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Default Extension="jpeg" ContentType="image/jpeg"/>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footer58.xml" ContentType="application/vnd.openxmlformats-officedocument.wordprocessingml.footer+xml"/>
  <Override PartName="/word/header59.xml" ContentType="application/vnd.openxmlformats-officedocument.wordprocessingml.header+xml"/>
  <Override PartName="/word/footer5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rPr>
          <w:rFonts w:ascii="Times New Roman"/>
          <w:sz w:val="16"/>
        </w:rPr>
      </w:pPr>
    </w:p>
    <w:p>
      <w:pPr>
        <w:pStyle w:val="BodyText"/>
        <w:tabs>
          <w:tab w:pos="6953" w:val="left" w:leader="none"/>
        </w:tabs>
        <w:spacing w:before="78"/>
        <w:ind w:left="758"/>
      </w:pPr>
      <w:r>
        <w:rPr/>
        <w:t>公司</w:t>
      </w:r>
      <w:r>
        <w:rPr>
          <w:spacing w:val="-3"/>
        </w:rPr>
        <w:t>代</w:t>
      </w:r>
      <w:r>
        <w:rPr/>
        <w:t>码：</w:t>
      </w:r>
      <w:r>
        <w:rPr>
          <w:rFonts w:ascii="Times New Roman" w:eastAsia="Times New Roman"/>
        </w:rPr>
        <w:t>600690</w:t>
        <w:tab/>
      </w:r>
      <w:r>
        <w:rPr/>
        <w:t>公</w:t>
      </w:r>
      <w:r>
        <w:rPr>
          <w:spacing w:val="-3"/>
        </w:rPr>
        <w:t>司</w:t>
      </w:r>
      <w:r>
        <w:rPr/>
        <w:t>简</w:t>
      </w:r>
      <w:r>
        <w:rPr>
          <w:spacing w:val="-3"/>
        </w:rPr>
        <w:t>称</w:t>
      </w:r>
      <w:r>
        <w:rPr/>
        <w:t>：海尔</w:t>
      </w:r>
      <w:r>
        <w:rPr>
          <w:spacing w:val="-3"/>
        </w:rPr>
        <w:t>智</w:t>
      </w:r>
      <w:r>
        <w:rPr/>
        <w:t>家</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32"/>
        </w:rPr>
      </w:pPr>
    </w:p>
    <w:p>
      <w:pPr>
        <w:spacing w:before="0"/>
        <w:ind w:left="1028" w:right="799" w:firstLine="0"/>
        <w:jc w:val="center"/>
        <w:rPr>
          <w:rFonts w:ascii="Microsoft JhengHei" w:eastAsia="Microsoft JhengHei" w:hint="eastAsia"/>
          <w:b/>
          <w:sz w:val="72"/>
        </w:rPr>
      </w:pPr>
      <w:r>
        <w:rPr>
          <w:rFonts w:ascii="Microsoft JhengHei" w:eastAsia="Microsoft JhengHei" w:hint="eastAsia"/>
          <w:b/>
          <w:color w:val="FF0000"/>
          <w:sz w:val="72"/>
        </w:rPr>
        <w:t>海尔智家股份有限公司</w:t>
      </w:r>
    </w:p>
    <w:p>
      <w:pPr>
        <w:spacing w:before="76"/>
        <w:ind w:left="1035" w:right="799" w:firstLine="0"/>
        <w:jc w:val="center"/>
        <w:rPr>
          <w:rFonts w:ascii="Microsoft JhengHei" w:eastAsia="Microsoft JhengHei" w:hint="eastAsia"/>
          <w:b/>
          <w:sz w:val="72"/>
        </w:rPr>
      </w:pPr>
      <w:r>
        <w:rPr>
          <w:rFonts w:ascii="Times New Roman" w:eastAsia="Times New Roman"/>
          <w:b/>
          <w:color w:val="FF0000"/>
          <w:sz w:val="72"/>
        </w:rPr>
        <w:t>2020 </w:t>
      </w:r>
      <w:r>
        <w:rPr>
          <w:rFonts w:ascii="Microsoft JhengHei" w:eastAsia="Microsoft JhengHei" w:hint="eastAsia"/>
          <w:b/>
          <w:color w:val="FF0000"/>
          <w:sz w:val="72"/>
        </w:rPr>
        <w:t>年年度报告</w:t>
      </w: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spacing w:before="16"/>
        <w:rPr>
          <w:rFonts w:ascii="Microsoft JhengHei"/>
          <w:b/>
          <w:sz w:val="19"/>
        </w:rPr>
      </w:pPr>
      <w:r>
        <w:rPr/>
        <w:drawing>
          <wp:anchor distT="0" distB="0" distL="0" distR="0" allowOverlap="1" layoutInCell="1" locked="0" behindDoc="0" simplePos="0" relativeHeight="0">
            <wp:simplePos x="0" y="0"/>
            <wp:positionH relativeFrom="page">
              <wp:posOffset>2468879</wp:posOffset>
            </wp:positionH>
            <wp:positionV relativeFrom="paragraph">
              <wp:posOffset>257267</wp:posOffset>
            </wp:positionV>
            <wp:extent cx="2908195" cy="1068990"/>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2908195" cy="1068990"/>
                    </a:xfrm>
                    <a:prstGeom prst="rect">
                      <a:avLst/>
                    </a:prstGeom>
                  </pic:spPr>
                </pic:pic>
              </a:graphicData>
            </a:graphic>
          </wp:anchor>
        </w:drawing>
      </w:r>
    </w:p>
    <w:p>
      <w:pPr>
        <w:spacing w:after="0"/>
        <w:rPr>
          <w:rFonts w:ascii="Microsoft JhengHei"/>
          <w:sz w:val="19"/>
        </w:rPr>
        <w:sectPr>
          <w:headerReference w:type="default" r:id="rId5"/>
          <w:footerReference w:type="default" r:id="rId6"/>
          <w:type w:val="continuous"/>
          <w:pgSz w:w="11910" w:h="16840"/>
          <w:pgMar w:header="874" w:footer="1214" w:top="1360" w:bottom="1400" w:left="1040" w:right="760"/>
          <w:pgNumType w:start="1"/>
        </w:sectPr>
      </w:pPr>
    </w:p>
    <w:p>
      <w:pPr>
        <w:pStyle w:val="BodyText"/>
        <w:rPr>
          <w:rFonts w:ascii="Microsoft JhengHei"/>
          <w:b/>
          <w:sz w:val="20"/>
        </w:rPr>
      </w:pPr>
    </w:p>
    <w:p>
      <w:pPr>
        <w:pStyle w:val="BodyText"/>
        <w:spacing w:before="4"/>
        <w:rPr>
          <w:rFonts w:ascii="Microsoft JhengHei"/>
          <w:b/>
          <w:sz w:val="13"/>
        </w:rPr>
      </w:pPr>
    </w:p>
    <w:p>
      <w:pPr>
        <w:spacing w:line="485" w:lineRule="exact" w:before="0"/>
        <w:ind w:left="1039" w:right="799" w:firstLine="0"/>
        <w:jc w:val="center"/>
        <w:rPr>
          <w:rFonts w:ascii="Microsoft JhengHei" w:eastAsia="Microsoft JhengHei" w:hint="eastAsia"/>
          <w:b/>
          <w:sz w:val="28"/>
        </w:rPr>
      </w:pPr>
      <w:r>
        <w:rPr>
          <w:rFonts w:ascii="Microsoft JhengHei" w:eastAsia="Microsoft JhengHei" w:hint="eastAsia"/>
          <w:b/>
          <w:sz w:val="28"/>
        </w:rPr>
        <w:t>重要提示</w:t>
      </w:r>
    </w:p>
    <w:p>
      <w:pPr>
        <w:pStyle w:val="Heading4"/>
        <w:spacing w:line="254" w:lineRule="auto" w:before="154"/>
        <w:ind w:left="1125" w:right="511" w:hanging="368"/>
      </w:pPr>
      <w:r>
        <w:rPr>
          <w:spacing w:val="-17"/>
        </w:rPr>
        <w:t>一、 本公司董事会、监事会及董事、监事、高级管理人员保证年度报告内容的真实、准确、完整， </w:t>
      </w:r>
      <w:r>
        <w:rPr>
          <w:spacing w:val="-12"/>
        </w:rPr>
        <w:t>不存在虚假记载、误导性陈述或重大遗漏，并承担个别和连带的法律责任。</w:t>
      </w:r>
    </w:p>
    <w:p>
      <w:pPr>
        <w:pStyle w:val="Heading4"/>
        <w:spacing w:line="383" w:lineRule="exact"/>
        <w:ind w:left="758"/>
      </w:pPr>
      <w:r>
        <w:rPr/>
        <w:t>二、 公司全体董事出席董事会会议。</w:t>
      </w:r>
    </w:p>
    <w:p>
      <w:pPr>
        <w:pStyle w:val="Heading4"/>
        <w:spacing w:before="22"/>
        <w:ind w:left="758"/>
      </w:pPr>
      <w:r>
        <w:rPr/>
        <w:t>三、 和信会计师事务所（特殊普通合伙）为本公司出具了标准无保留意见的审计报告。</w:t>
      </w:r>
    </w:p>
    <w:p>
      <w:pPr>
        <w:pStyle w:val="Heading4"/>
        <w:spacing w:line="254" w:lineRule="auto" w:before="24"/>
        <w:ind w:left="1125" w:right="510" w:hanging="368"/>
      </w:pPr>
      <w:r>
        <w:rPr>
          <w:spacing w:val="-15"/>
        </w:rPr>
        <w:t>四、 公司负责人梁海山、主管会计工作负责人宫伟及会计机构负责人</w:t>
      </w:r>
      <w:r>
        <w:rPr/>
        <w:t>（</w:t>
      </w:r>
      <w:r>
        <w:rPr>
          <w:spacing w:val="-2"/>
        </w:rPr>
        <w:t>会计主管人员</w:t>
      </w:r>
      <w:r>
        <w:rPr>
          <w:spacing w:val="-82"/>
        </w:rPr>
        <w:t>）</w:t>
      </w:r>
      <w:r>
        <w:rPr/>
        <w:t>应珂声明： </w:t>
      </w:r>
      <w:r>
        <w:rPr>
          <w:spacing w:val="-3"/>
        </w:rPr>
        <w:t>保证年度报告中财务报告的真实、准确、完整。</w:t>
      </w:r>
    </w:p>
    <w:p>
      <w:pPr>
        <w:pStyle w:val="Heading4"/>
        <w:spacing w:line="384" w:lineRule="exact"/>
        <w:ind w:left="758"/>
      </w:pPr>
      <w:r>
        <w:rPr/>
        <w:t>五、 经董事会审议的报告期利润分配预案或公积金转增股本预案</w:t>
      </w:r>
    </w:p>
    <w:p>
      <w:pPr>
        <w:pStyle w:val="BodyText"/>
        <w:spacing w:line="364" w:lineRule="auto" w:before="91"/>
        <w:ind w:left="758" w:right="513" w:firstLine="424"/>
      </w:pPr>
      <w:r>
        <w:rPr/>
        <w:t>经董事会审议的报告期利润分配预案为：以未来实施分配方案时股权登记日扣除回购专户上已回购股份后的总股本为基数，向全体股东按每</w:t>
      </w:r>
      <w:r>
        <w:rPr>
          <w:rFonts w:ascii="Times New Roman" w:eastAsia="Times New Roman"/>
        </w:rPr>
        <w:t>10</w:t>
      </w:r>
      <w:r>
        <w:rPr/>
        <w:t>股派发现金股利人民币</w:t>
      </w:r>
      <w:r>
        <w:rPr>
          <w:rFonts w:ascii="Times New Roman" w:eastAsia="Times New Roman"/>
        </w:rPr>
        <w:t>3.66</w:t>
      </w:r>
      <w:r>
        <w:rPr/>
        <w:t>元（含税）。</w:t>
      </w:r>
    </w:p>
    <w:p>
      <w:pPr>
        <w:pStyle w:val="Heading4"/>
        <w:spacing w:line="317" w:lineRule="exact"/>
        <w:ind w:left="758"/>
      </w:pPr>
      <w:r>
        <w:rPr/>
        <w:t>六、 前瞻性陈述的风险声明</w:t>
      </w:r>
    </w:p>
    <w:p>
      <w:pPr>
        <w:pStyle w:val="BodyText"/>
        <w:spacing w:before="91"/>
        <w:ind w:left="1182"/>
      </w:pPr>
      <w:r>
        <w:rPr>
          <w:rFonts w:ascii="Times New Roman" w:hAnsi="Times New Roman" w:eastAsia="Times New Roman"/>
        </w:rPr>
        <w:t>√</w:t>
      </w:r>
      <w:r>
        <w:rPr/>
        <w:t>适用 </w:t>
      </w:r>
      <w:r>
        <w:rPr>
          <w:rFonts w:ascii="Times New Roman" w:hAnsi="Times New Roman" w:eastAsia="Times New Roman"/>
        </w:rPr>
        <w:t>□</w:t>
      </w:r>
      <w:r>
        <w:rPr/>
        <w:t>不适用</w:t>
      </w:r>
    </w:p>
    <w:p>
      <w:pPr>
        <w:pStyle w:val="BodyText"/>
        <w:spacing w:line="364" w:lineRule="auto" w:before="139"/>
        <w:ind w:left="758" w:right="513" w:firstLine="424"/>
      </w:pPr>
      <w:r>
        <w:rPr/>
        <w:t>本报告中涉及的未来计划、发展战略等前瞻性描述不构成公司对投资者的实质承诺，敬请投资者注意投资风险。</w:t>
      </w:r>
    </w:p>
    <w:p>
      <w:pPr>
        <w:pStyle w:val="Heading4"/>
        <w:spacing w:line="315" w:lineRule="exact"/>
        <w:ind w:left="758"/>
      </w:pPr>
      <w:r>
        <w:rPr/>
        <w:t>七、 是否存在被控股股东及其关联方非经营性占用资金情况</w:t>
      </w:r>
    </w:p>
    <w:p>
      <w:pPr>
        <w:pStyle w:val="BodyText"/>
        <w:spacing w:before="94"/>
        <w:ind w:left="1182"/>
      </w:pPr>
      <w:r>
        <w:rPr>
          <w:w w:val="100"/>
        </w:rPr>
        <w:t>否</w:t>
      </w:r>
    </w:p>
    <w:p>
      <w:pPr>
        <w:pStyle w:val="Heading4"/>
        <w:spacing w:line="297" w:lineRule="auto" w:before="70"/>
        <w:ind w:left="1182" w:right="4063" w:hanging="425"/>
        <w:rPr>
          <w:rFonts w:ascii="宋体" w:eastAsia="宋体" w:hint="eastAsia"/>
          <w:b w:val="0"/>
        </w:rPr>
      </w:pPr>
      <w:r>
        <w:rPr>
          <w:spacing w:val="-4"/>
        </w:rPr>
        <w:t>八、 是否存在违反规定决策程序对外提供担保的情况？ </w:t>
      </w:r>
      <w:r>
        <w:rPr>
          <w:rFonts w:ascii="宋体" w:eastAsia="宋体" w:hint="eastAsia"/>
          <w:b w:val="0"/>
        </w:rPr>
        <w:t>否</w:t>
      </w:r>
    </w:p>
    <w:p>
      <w:pPr>
        <w:pStyle w:val="Heading4"/>
        <w:spacing w:line="297" w:lineRule="auto" w:before="3"/>
        <w:ind w:left="1182" w:right="1325" w:hanging="425"/>
        <w:rPr>
          <w:rFonts w:ascii="宋体" w:eastAsia="宋体" w:hint="eastAsia"/>
          <w:b w:val="0"/>
        </w:rPr>
      </w:pPr>
      <w:r>
        <w:rPr>
          <w:spacing w:val="-4"/>
        </w:rPr>
        <w:t>九、 是否存在半数以上董事无法保证公司所披露年度报告的真实性、准确性和完整性</w:t>
      </w:r>
      <w:r>
        <w:rPr>
          <w:rFonts w:ascii="宋体" w:eastAsia="宋体" w:hint="eastAsia"/>
          <w:b w:val="0"/>
        </w:rPr>
        <w:t>否</w:t>
      </w:r>
    </w:p>
    <w:p>
      <w:pPr>
        <w:pStyle w:val="Heading4"/>
        <w:spacing w:before="6"/>
        <w:ind w:left="758"/>
      </w:pPr>
      <w:r>
        <w:rPr/>
        <w:t>十、 重大风险提示</w:t>
      </w:r>
    </w:p>
    <w:p>
      <w:pPr>
        <w:pStyle w:val="BodyText"/>
        <w:spacing w:line="364" w:lineRule="auto" w:before="91"/>
        <w:ind w:left="758" w:right="541" w:firstLine="424"/>
      </w:pPr>
      <w:r>
        <w:rPr/>
        <w:t>关于公司可能面临的风险因素内容，在本报告</w:t>
      </w:r>
      <w:r>
        <w:rPr>
          <w:rFonts w:ascii="Times New Roman" w:hAnsi="Times New Roman" w:eastAsia="Times New Roman"/>
        </w:rPr>
        <w:t>“</w:t>
      </w:r>
      <w:r>
        <w:rPr/>
        <w:t>经营情况的讨论与分析</w:t>
      </w:r>
      <w:r>
        <w:rPr>
          <w:rFonts w:ascii="Times New Roman" w:hAnsi="Times New Roman" w:eastAsia="Times New Roman"/>
        </w:rPr>
        <w:t>”</w:t>
      </w:r>
      <w:r>
        <w:rPr/>
        <w:t>中做了详述，请参阅相关内容。</w:t>
      </w:r>
    </w:p>
    <w:p>
      <w:pPr>
        <w:spacing w:line="359" w:lineRule="exact" w:before="0"/>
        <w:ind w:left="758" w:right="0" w:firstLine="0"/>
        <w:jc w:val="left"/>
        <w:rPr>
          <w:rFonts w:ascii="Microsoft JhengHei" w:eastAsia="Microsoft JhengHei" w:hint="eastAsia"/>
          <w:b/>
          <w:sz w:val="24"/>
        </w:rPr>
      </w:pPr>
      <w:r>
        <w:rPr>
          <w:rFonts w:ascii="Microsoft JhengHei" w:eastAsia="Microsoft JhengHei" w:hint="eastAsia"/>
          <w:b/>
          <w:sz w:val="21"/>
        </w:rPr>
        <w:t>十一、 </w:t>
      </w:r>
      <w:r>
        <w:rPr>
          <w:rFonts w:ascii="Microsoft JhengHei" w:eastAsia="Microsoft JhengHei" w:hint="eastAsia"/>
          <w:b/>
          <w:sz w:val="24"/>
        </w:rPr>
        <w:t>其他</w:t>
      </w:r>
    </w:p>
    <w:p>
      <w:pPr>
        <w:pStyle w:val="BodyText"/>
        <w:spacing w:before="108"/>
        <w:ind w:left="1182"/>
      </w:pPr>
      <w:r>
        <w:rPr>
          <w:rFonts w:ascii="Times New Roman" w:hAnsi="Times New Roman" w:eastAsia="Times New Roman"/>
        </w:rPr>
        <w:t>□</w:t>
      </w:r>
      <w:r>
        <w:rPr/>
        <w:t>适用 </w:t>
      </w:r>
      <w:r>
        <w:rPr>
          <w:rFonts w:ascii="Times New Roman" w:hAnsi="Times New Roman" w:eastAsia="Times New Roman"/>
        </w:rPr>
        <w:t>√</w:t>
      </w:r>
      <w:r>
        <w:rPr/>
        <w:t>不适用</w:t>
      </w:r>
    </w:p>
    <w:p>
      <w:pPr>
        <w:pStyle w:val="BodyText"/>
        <w:spacing w:before="10"/>
        <w:rPr>
          <w:sz w:val="29"/>
        </w:rPr>
      </w:pPr>
    </w:p>
    <w:p>
      <w:pPr>
        <w:pStyle w:val="BodyText"/>
        <w:spacing w:line="364" w:lineRule="auto"/>
        <w:ind w:left="7491" w:right="510" w:firstLine="629"/>
        <w:jc w:val="right"/>
      </w:pPr>
      <w:r>
        <w:rPr/>
        <w:t>董事长：梁海山海尔智家股份有限公司</w:t>
      </w:r>
      <w:r>
        <w:rPr>
          <w:rFonts w:ascii="Times New Roman" w:eastAsia="Times New Roman"/>
        </w:rPr>
        <w:t>2021 </w:t>
      </w:r>
      <w:r>
        <w:rPr/>
        <w:t>年 </w:t>
      </w:r>
      <w:r>
        <w:rPr>
          <w:rFonts w:ascii="Times New Roman" w:eastAsia="Times New Roman"/>
        </w:rPr>
        <w:t>3 </w:t>
      </w:r>
      <w:r>
        <w:rPr/>
        <w:t>月 </w:t>
      </w:r>
      <w:r>
        <w:rPr>
          <w:rFonts w:ascii="Times New Roman" w:eastAsia="Times New Roman"/>
        </w:rPr>
        <w:t>30 </w:t>
      </w:r>
      <w:r>
        <w:rPr/>
        <w:t>日</w:t>
      </w:r>
    </w:p>
    <w:p>
      <w:pPr>
        <w:spacing w:after="0" w:line="364" w:lineRule="auto"/>
        <w:jc w:val="right"/>
        <w:sectPr>
          <w:pgSz w:w="11910" w:h="16840"/>
          <w:pgMar w:header="874" w:footer="1214" w:top="1360" w:bottom="1400" w:left="1040" w:right="760"/>
        </w:sectPr>
      </w:pPr>
    </w:p>
    <w:p>
      <w:pPr>
        <w:pStyle w:val="BodyText"/>
        <w:spacing w:before="7"/>
        <w:rPr>
          <w:sz w:val="11"/>
        </w:rPr>
      </w:pPr>
    </w:p>
    <w:p>
      <w:pPr>
        <w:pStyle w:val="Heading1"/>
        <w:ind w:left="1466" w:right="799"/>
      </w:pPr>
      <w:bookmarkStart w:name="_bookmark0" w:id="1"/>
      <w:bookmarkEnd w:id="1"/>
      <w:r>
        <w:rPr>
          <w:b w:val="0"/>
        </w:rPr>
      </w:r>
      <w:r>
        <w:rPr/>
        <w:t>致股东的信件</w:t>
      </w:r>
    </w:p>
    <w:p>
      <w:pPr>
        <w:pStyle w:val="BodyText"/>
        <w:spacing w:before="185"/>
        <w:ind w:right="508"/>
        <w:jc w:val="right"/>
      </w:pPr>
      <w:r>
        <w:rPr>
          <w:rFonts w:ascii="Times New Roman" w:eastAsia="Times New Roman"/>
        </w:rPr>
        <w:t>2020 </w:t>
      </w:r>
      <w:r>
        <w:rPr>
          <w:spacing w:val="-8"/>
        </w:rPr>
        <w:t>年是一个非同寻常的年份，在经历了上半年的疫情冲击后，全球九万九千海尔人众志成</w:t>
      </w:r>
    </w:p>
    <w:p>
      <w:pPr>
        <w:pStyle w:val="BodyText"/>
        <w:spacing w:before="141"/>
        <w:ind w:right="572"/>
        <w:jc w:val="right"/>
      </w:pPr>
      <w:r>
        <w:rPr/>
        <w:t>城，公司下半年实现全面复苏，全年业绩创历史新高，销售收入达到人民币 </w:t>
      </w:r>
      <w:r>
        <w:rPr>
          <w:rFonts w:ascii="Times New Roman" w:eastAsia="Times New Roman"/>
        </w:rPr>
        <w:t>2,097 </w:t>
      </w:r>
      <w:r>
        <w:rPr/>
        <w:t>亿元，归母净</w:t>
      </w:r>
    </w:p>
    <w:p>
      <w:pPr>
        <w:pStyle w:val="BodyText"/>
        <w:spacing w:before="139"/>
        <w:ind w:left="758"/>
        <w:jc w:val="both"/>
      </w:pPr>
      <w:r>
        <w:rPr/>
        <w:t>利润达到人民币 </w:t>
      </w:r>
      <w:r>
        <w:rPr>
          <w:rFonts w:ascii="Times New Roman" w:eastAsia="Times New Roman"/>
        </w:rPr>
        <w:t>88.8 </w:t>
      </w:r>
      <w:r>
        <w:rPr/>
        <w:t>亿元，经营现金流为人民币 </w:t>
      </w:r>
      <w:r>
        <w:rPr>
          <w:rFonts w:ascii="Times New Roman" w:eastAsia="Times New Roman"/>
        </w:rPr>
        <w:t>176 </w:t>
      </w:r>
      <w:r>
        <w:rPr/>
        <w:t>亿元。</w:t>
      </w:r>
    </w:p>
    <w:p>
      <w:pPr>
        <w:pStyle w:val="BodyText"/>
        <w:spacing w:line="364" w:lineRule="auto" w:before="139"/>
        <w:ind w:left="758" w:right="510" w:firstLine="446"/>
        <w:jc w:val="both"/>
      </w:pPr>
      <w:r>
        <w:rPr>
          <w:spacing w:val="-4"/>
        </w:rPr>
        <w:t>财务数字只是一方面，</w:t>
      </w:r>
      <w:r>
        <w:rPr>
          <w:rFonts w:ascii="Times New Roman" w:eastAsia="Times New Roman"/>
          <w:spacing w:val="-6"/>
        </w:rPr>
        <w:t>2020 </w:t>
      </w:r>
      <w:r>
        <w:rPr>
          <w:spacing w:val="-6"/>
        </w:rPr>
        <w:t>年也是海尔智家发展历史上的里程碑。这一年中，在国内外股东</w:t>
      </w:r>
      <w:r>
        <w:rPr>
          <w:spacing w:val="-1"/>
        </w:rPr>
        <w:t>的高票支持下，我们顺利完成了香港主板</w:t>
      </w:r>
      <w:r>
        <w:rPr>
          <w:rFonts w:ascii="Times New Roman" w:eastAsia="Times New Roman"/>
        </w:rPr>
        <w:t>H </w:t>
      </w:r>
      <w:r>
        <w:rPr>
          <w:spacing w:val="-3"/>
        </w:rPr>
        <w:t>股发行</w:t>
      </w:r>
      <w:r>
        <w:rPr/>
        <w:t>（</w:t>
      </w:r>
      <w:r>
        <w:rPr>
          <w:rFonts w:ascii="Times New Roman" w:eastAsia="Times New Roman"/>
        </w:rPr>
        <w:t>6690.HK</w:t>
      </w:r>
      <w:r>
        <w:rPr/>
        <w:t>）</w:t>
      </w:r>
      <w:r>
        <w:rPr>
          <w:spacing w:val="-3"/>
        </w:rPr>
        <w:t>和对子公司海尔电器的同步私有化，打造了一体化的上市平台，得以整合双方的人才、资金、网络资源、技术储备，更好的聚焦用户价值。</w:t>
      </w:r>
    </w:p>
    <w:p>
      <w:pPr>
        <w:pStyle w:val="BodyText"/>
        <w:spacing w:line="364" w:lineRule="auto"/>
        <w:ind w:left="758" w:right="508" w:firstLine="446"/>
        <w:jc w:val="both"/>
      </w:pPr>
      <w:r>
        <w:rPr>
          <w:spacing w:val="50"/>
        </w:rPr>
        <w:t>在</w:t>
      </w:r>
      <w:r>
        <w:rPr>
          <w:rFonts w:ascii="Times New Roman" w:eastAsia="Times New Roman"/>
        </w:rPr>
        <w:t>H </w:t>
      </w:r>
      <w:r>
        <w:rPr>
          <w:spacing w:val="-10"/>
        </w:rPr>
        <w:t>股招股说明书里，我分享了海尔如何从濒临破产的边缘成长为全球白色家电行业最受认</w:t>
      </w:r>
      <w:r>
        <w:rPr>
          <w:spacing w:val="-5"/>
        </w:rPr>
        <w:t>可的品牌，在中国高度竞争的市场成功创立了高端品牌、赢得用户信任，海外并购也实现协同、</w:t>
      </w:r>
      <w:r>
        <w:rPr>
          <w:spacing w:val="-6"/>
        </w:rPr>
        <w:t>效果斐然。</w:t>
      </w:r>
      <w:r>
        <w:rPr>
          <w:rFonts w:ascii="Times New Roman" w:eastAsia="Times New Roman"/>
        </w:rPr>
        <w:t>2021 </w:t>
      </w:r>
      <w:r>
        <w:rPr>
          <w:spacing w:val="-7"/>
        </w:rPr>
        <w:t>年伊始，在经历新冠疫情冲击后，多年前海尔的创始人注入的信仰更加坚定，我</w:t>
      </w:r>
      <w:r>
        <w:rPr>
          <w:spacing w:val="-5"/>
        </w:rPr>
        <w:t>们的初心更加明确，那就是全球海尔创客会倾听用户之所想，在物联网时代不断创新产品、升级</w:t>
      </w:r>
      <w:r>
        <w:rPr>
          <w:spacing w:val="-4"/>
        </w:rPr>
        <w:t>服务体验和消费场景，融合我们的激情和数字化技术，为我们的用户人性化和智慧的居家场景。</w:t>
      </w:r>
      <w:r>
        <w:rPr>
          <w:spacing w:val="-3"/>
        </w:rPr>
        <w:t>我们对全球化运营平台、场景重塑用户体验、互联工厂提效、数字化再造等战略更加坚定，未来</w:t>
      </w:r>
      <w:r>
        <w:rPr>
          <w:spacing w:val="-15"/>
        </w:rPr>
        <w:t>三年，我们将通过不断提升营运效率和用户体验，实现超越行业的增长，为股东创造更大的价值。</w:t>
      </w:r>
    </w:p>
    <w:p>
      <w:pPr>
        <w:pStyle w:val="BodyText"/>
        <w:spacing w:before="6"/>
        <w:rPr>
          <w:sz w:val="22"/>
        </w:rPr>
      </w:pPr>
    </w:p>
    <w:p>
      <w:pPr>
        <w:pStyle w:val="Heading4"/>
        <w:numPr>
          <w:ilvl w:val="0"/>
          <w:numId w:val="1"/>
        </w:numPr>
        <w:tabs>
          <w:tab w:pos="1597" w:val="left" w:leader="none"/>
          <w:tab w:pos="1598" w:val="left" w:leader="none"/>
        </w:tabs>
        <w:spacing w:line="254" w:lineRule="auto" w:before="0" w:after="0"/>
        <w:ind w:left="758" w:right="511" w:firstLine="448"/>
        <w:jc w:val="left"/>
        <w:rPr>
          <w:rFonts w:ascii="Times New Roman" w:eastAsia="Times New Roman"/>
        </w:rPr>
      </w:pPr>
      <w:r>
        <w:rPr>
          <w:spacing w:val="-5"/>
        </w:rPr>
        <w:t>多年累计建立的本土化品牌和全球化运营支持体系，将支持我们加速实现全球化市场份</w:t>
      </w:r>
      <w:r>
        <w:rPr>
          <w:spacing w:val="-1"/>
        </w:rPr>
        <w:t>额提升和盈利率提升。</w:t>
      </w:r>
    </w:p>
    <w:p>
      <w:pPr>
        <w:pStyle w:val="BodyText"/>
        <w:spacing w:line="364" w:lineRule="auto" w:before="69"/>
        <w:ind w:left="758" w:right="507" w:firstLine="446"/>
        <w:jc w:val="both"/>
      </w:pPr>
      <w:r>
        <w:rPr>
          <w:spacing w:val="-5"/>
        </w:rPr>
        <w:t>中国是世界上最大的家电消费市场，同时又是最大的家电生产基地，具有独立、完整的供应</w:t>
      </w:r>
      <w:r>
        <w:rPr>
          <w:spacing w:val="-4"/>
        </w:rPr>
        <w:t>链体系。海尔智家源于中国，但二十年来我们透过设立子公司和并购的方式，已经基本完成了全</w:t>
      </w:r>
      <w:r>
        <w:rPr>
          <w:spacing w:val="-3"/>
        </w:rPr>
        <w:t>球化布局，不同于其他中国品牌，我们选择研发，生产，销售三位一体当地化运营，在每一个市</w:t>
      </w:r>
      <w:r>
        <w:rPr>
          <w:spacing w:val="-9"/>
        </w:rPr>
        <w:t>场力争与我们的用户零距离。</w:t>
      </w:r>
      <w:r>
        <w:rPr>
          <w:rFonts w:ascii="Times New Roman" w:eastAsia="Times New Roman"/>
        </w:rPr>
        <w:t>2020 </w:t>
      </w:r>
      <w:r>
        <w:rPr>
          <w:spacing w:val="-9"/>
        </w:rPr>
        <w:t>年海尔智家的国际化业务实现丰收，销售收入突破人民币 </w:t>
      </w:r>
      <w:r>
        <w:rPr>
          <w:rFonts w:ascii="Times New Roman" w:eastAsia="Times New Roman"/>
        </w:rPr>
        <w:t>1,000 </w:t>
      </w:r>
      <w:r>
        <w:rPr>
          <w:spacing w:val="-6"/>
        </w:rPr>
        <w:t>亿元，同比增长 </w:t>
      </w:r>
      <w:r>
        <w:rPr>
          <w:rFonts w:ascii="Times New Roman" w:eastAsia="Times New Roman"/>
          <w:spacing w:val="-3"/>
        </w:rPr>
        <w:t>8.3%</w:t>
      </w:r>
      <w:r>
        <w:rPr>
          <w:spacing w:val="-8"/>
        </w:rPr>
        <w:t>；在美国市场，厨电、家用空调、波轮洗衣机份额第一，在澳洲和新西兰市</w:t>
      </w:r>
      <w:r>
        <w:rPr>
          <w:spacing w:val="-5"/>
        </w:rPr>
        <w:t>场，洗衣机份额第一，在日本市场，冷柜和大中型冰箱份额第一。</w:t>
      </w:r>
    </w:p>
    <w:p>
      <w:pPr>
        <w:pStyle w:val="BodyText"/>
        <w:spacing w:line="364" w:lineRule="auto"/>
        <w:ind w:left="758" w:right="299" w:firstLine="446"/>
      </w:pPr>
      <w:r>
        <w:rPr>
          <w:spacing w:val="-5"/>
        </w:rPr>
        <w:t>我看到海尔坚守多年的自主创牌和全球一体化运营体系，有助于我们进一步收获全球化红利。</w:t>
      </w:r>
      <w:r>
        <w:rPr>
          <w:spacing w:val="-4"/>
        </w:rPr>
        <w:t>增长的机会首先来自于海尔本土家电体系和门类比较齐全，可以支持和强化海外品类扩充，比如 </w:t>
      </w:r>
      <w:r>
        <w:rPr>
          <w:spacing w:val="-3"/>
        </w:rPr>
        <w:t>美国市场新开发热水器和滚筒洗衣机业务。二是中国品牌经过多年发展，在线上市场运营方面具 备丰富经验，而美国等国家线上家电销售占比往往不超过 </w:t>
      </w:r>
      <w:r>
        <w:rPr>
          <w:rFonts w:ascii="Times New Roman" w:eastAsia="Times New Roman"/>
        </w:rPr>
        <w:t>20%</w:t>
      </w:r>
      <w:r>
        <w:rPr>
          <w:spacing w:val="-3"/>
        </w:rPr>
        <w:t>，经过疫情后用户更倾向于选择在线上购物，未来海外的线上家电销售占比将会提升，中国市场的经验可以支持我们抓住机会，迅 速扩大份额。三是中国和美国市场的物联网产品应用场景比较丰富，产品迭代快速，可以支持其 他海外市场的产品创新。</w:t>
      </w:r>
    </w:p>
    <w:p>
      <w:pPr>
        <w:pStyle w:val="BodyText"/>
        <w:spacing w:before="4"/>
        <w:rPr>
          <w:sz w:val="22"/>
        </w:rPr>
      </w:pPr>
    </w:p>
    <w:p>
      <w:pPr>
        <w:pStyle w:val="Heading4"/>
        <w:numPr>
          <w:ilvl w:val="0"/>
          <w:numId w:val="1"/>
        </w:numPr>
        <w:tabs>
          <w:tab w:pos="1597" w:val="left" w:leader="none"/>
          <w:tab w:pos="1598" w:val="left" w:leader="none"/>
        </w:tabs>
        <w:spacing w:line="240" w:lineRule="auto" w:before="0" w:after="0"/>
        <w:ind w:left="1598" w:right="0" w:hanging="392"/>
        <w:jc w:val="left"/>
        <w:rPr>
          <w:rFonts w:ascii="Times New Roman" w:eastAsia="Times New Roman"/>
        </w:rPr>
      </w:pPr>
      <w:r>
        <w:rPr>
          <w:spacing w:val="-3"/>
        </w:rPr>
        <w:t>依托高端品牌的领先优势，以产品创新和场景重塑来实现高质量市场份额增长。</w:t>
      </w:r>
    </w:p>
    <w:p>
      <w:pPr>
        <w:spacing w:after="0" w:line="240" w:lineRule="auto"/>
        <w:jc w:val="left"/>
        <w:rPr>
          <w:rFonts w:ascii="Times New Roman" w:eastAsia="Times New Roman"/>
        </w:rPr>
        <w:sectPr>
          <w:pgSz w:w="11910" w:h="16840"/>
          <w:pgMar w:header="874" w:footer="1214" w:top="1360" w:bottom="1400" w:left="1040" w:right="760"/>
        </w:sectPr>
      </w:pPr>
    </w:p>
    <w:p>
      <w:pPr>
        <w:pStyle w:val="BodyText"/>
        <w:spacing w:line="364" w:lineRule="auto" w:before="152"/>
        <w:ind w:left="758" w:right="510" w:firstLine="446"/>
      </w:pPr>
      <w:r>
        <w:rPr>
          <w:rFonts w:ascii="Times New Roman" w:eastAsia="Times New Roman"/>
        </w:rPr>
        <w:t>2020 </w:t>
      </w:r>
      <w:r>
        <w:rPr>
          <w:spacing w:val="-5"/>
        </w:rPr>
        <w:t>年是卡萨帝再度收获丰硕成果的一年。在国内，卡萨帝再次成为单价人民币 </w:t>
      </w:r>
      <w:r>
        <w:rPr>
          <w:rFonts w:ascii="Times New Roman" w:eastAsia="Times New Roman"/>
        </w:rPr>
        <w:t>10,000 </w:t>
      </w:r>
      <w:r>
        <w:rPr/>
        <w:t>元</w:t>
      </w:r>
      <w:r>
        <w:rPr>
          <w:spacing w:val="-9"/>
        </w:rPr>
        <w:t>以上冰箱、洗衣机和单价人民币</w:t>
      </w:r>
      <w:r>
        <w:rPr>
          <w:rFonts w:ascii="Times New Roman" w:eastAsia="Times New Roman"/>
        </w:rPr>
        <w:t>15,000 </w:t>
      </w:r>
      <w:r>
        <w:rPr>
          <w:spacing w:val="-11"/>
        </w:rPr>
        <w:t>元以上的空调细分市场第一，同时厨电收入也增长了</w:t>
      </w:r>
      <w:r>
        <w:rPr>
          <w:rFonts w:ascii="Times New Roman" w:eastAsia="Times New Roman"/>
        </w:rPr>
        <w:t>79%</w:t>
      </w:r>
      <w:r>
        <w:rPr/>
        <w:t>。</w:t>
      </w:r>
      <w:r>
        <w:rPr>
          <w:spacing w:val="-3"/>
        </w:rPr>
        <w:t>卡萨帝在中国市场还有巨大的成长空间，特别是在干衣机、洗碗机、厨房家电、净水器等新兴品类。</w:t>
      </w:r>
    </w:p>
    <w:p>
      <w:pPr>
        <w:pStyle w:val="BodyText"/>
        <w:spacing w:line="364" w:lineRule="auto"/>
        <w:ind w:left="758" w:right="508" w:firstLine="446"/>
        <w:jc w:val="both"/>
      </w:pPr>
      <w:r>
        <w:rPr>
          <w:spacing w:val="-5"/>
        </w:rPr>
        <w:t>海尔智家越来越高比例的产品具备了互联互通属性，在我们的愿景里，未来所有家电产品都</w:t>
      </w:r>
      <w:r>
        <w:rPr>
          <w:spacing w:val="-4"/>
        </w:rPr>
        <w:t>是具备物联网属性的，这些产品会从环境采集数据或从用户互动中产生数据，利用这些数据，我</w:t>
      </w:r>
      <w:r>
        <w:rPr>
          <w:spacing w:val="-3"/>
        </w:rPr>
        <w:t>们可以更好地服务于用户，并且通过充分互动，设计用户喜爱的产品。在国际市场，海尔智家的</w:t>
      </w:r>
      <w:r>
        <w:rPr>
          <w:rFonts w:ascii="Times New Roman" w:hAnsi="Times New Roman" w:eastAsia="Times New Roman"/>
          <w:spacing w:val="-3"/>
        </w:rPr>
        <w:t>IoT </w:t>
      </w:r>
      <w:r>
        <w:rPr>
          <w:spacing w:val="-9"/>
        </w:rPr>
        <w:t>家电产品也处于领先地位。</w:t>
      </w:r>
      <w:r>
        <w:rPr>
          <w:rFonts w:ascii="Times New Roman" w:hAnsi="Times New Roman" w:eastAsia="Times New Roman"/>
        </w:rPr>
        <w:t>2021 </w:t>
      </w:r>
      <w:r>
        <w:rPr>
          <w:spacing w:val="-11"/>
        </w:rPr>
        <w:t>年美国的 </w:t>
      </w:r>
      <w:r>
        <w:rPr>
          <w:rFonts w:ascii="Times New Roman" w:hAnsi="Times New Roman" w:eastAsia="Times New Roman"/>
        </w:rPr>
        <w:t>IoT Breakthrough </w:t>
      </w:r>
      <w:r>
        <w:rPr>
          <w:spacing w:val="4"/>
        </w:rPr>
        <w:t>连续第三年授予</w:t>
      </w:r>
      <w:r>
        <w:rPr>
          <w:rFonts w:ascii="Times New Roman" w:hAnsi="Times New Roman" w:eastAsia="Times New Roman"/>
        </w:rPr>
        <w:t>GEA“</w:t>
      </w:r>
      <w:r>
        <w:rPr>
          <w:spacing w:val="-3"/>
        </w:rPr>
        <w:t>年度最佳智能家电公司</w:t>
      </w:r>
      <w:r>
        <w:rPr>
          <w:rFonts w:ascii="Times New Roman" w:hAnsi="Times New Roman" w:eastAsia="Times New Roman"/>
        </w:rPr>
        <w:t>”</w:t>
      </w:r>
      <w:r>
        <w:rPr>
          <w:spacing w:val="11"/>
        </w:rPr>
        <w:t>，作为对</w:t>
      </w:r>
      <w:r>
        <w:rPr>
          <w:rFonts w:ascii="Times New Roman" w:hAnsi="Times New Roman" w:eastAsia="Times New Roman"/>
        </w:rPr>
        <w:t>GEA </w:t>
      </w:r>
      <w:r>
        <w:rPr>
          <w:spacing w:val="-3"/>
        </w:rPr>
        <w:t>在创新物联网家电，开发智能家居场景解决方案的认可。</w:t>
      </w:r>
    </w:p>
    <w:p>
      <w:pPr>
        <w:pStyle w:val="BodyText"/>
        <w:spacing w:line="364" w:lineRule="auto"/>
        <w:ind w:left="758" w:right="508" w:firstLine="446"/>
        <w:jc w:val="both"/>
      </w:pPr>
      <w:r>
        <w:rPr>
          <w:spacing w:val="-5"/>
        </w:rPr>
        <w:t>伴随着消费的升级，我们察觉到用户对家电购买的个性化需求和延展需求越来越丰富，而传</w:t>
      </w:r>
      <w:r>
        <w:rPr>
          <w:spacing w:val="-4"/>
        </w:rPr>
        <w:t>统的家电卖场偏重于陈列缺乏设计，偏重推广缺乏互动，对此，我们创造性地推出了三翼鸟场景</w:t>
      </w:r>
      <w:r>
        <w:rPr>
          <w:spacing w:val="-3"/>
        </w:rPr>
        <w:t>品牌店，在丰富的智慧厨房、智慧客厅、智慧卧室和智慧浴室等场景中，用户可以体验定制化的电器和橱柜一体化的设计，感受烹饪、烧烤场景，我们的销售人员不再仅仅是推销产品，而是厨房设计专家，美食专家，这样的沉浸式体验有助于实现更具粘性的销售。</w:t>
      </w:r>
    </w:p>
    <w:p>
      <w:pPr>
        <w:pStyle w:val="BodyText"/>
        <w:rPr>
          <w:sz w:val="20"/>
        </w:rPr>
      </w:pPr>
    </w:p>
    <w:p>
      <w:pPr>
        <w:pStyle w:val="BodyText"/>
        <w:spacing w:before="11"/>
        <w:rPr>
          <w:sz w:val="25"/>
        </w:rPr>
      </w:pPr>
    </w:p>
    <w:p>
      <w:pPr>
        <w:pStyle w:val="Heading4"/>
        <w:numPr>
          <w:ilvl w:val="0"/>
          <w:numId w:val="1"/>
        </w:numPr>
        <w:tabs>
          <w:tab w:pos="1597" w:val="left" w:leader="none"/>
          <w:tab w:pos="1598" w:val="left" w:leader="none"/>
        </w:tabs>
        <w:spacing w:line="240" w:lineRule="auto" w:before="0" w:after="0"/>
        <w:ind w:left="1598" w:right="0" w:hanging="392"/>
        <w:jc w:val="left"/>
        <w:rPr>
          <w:rFonts w:ascii="Times New Roman" w:eastAsia="Times New Roman"/>
        </w:rPr>
      </w:pPr>
      <w:r>
        <w:rPr>
          <w:spacing w:val="-2"/>
        </w:rPr>
        <w:t>数字化再造，实现全流程价值增值。</w:t>
      </w:r>
    </w:p>
    <w:p>
      <w:pPr>
        <w:pStyle w:val="BodyText"/>
        <w:spacing w:line="364" w:lineRule="auto" w:before="94"/>
        <w:ind w:left="758" w:right="508" w:firstLine="446"/>
        <w:jc w:val="both"/>
      </w:pPr>
      <w:r>
        <w:rPr>
          <w:spacing w:val="-5"/>
        </w:rPr>
        <w:t>海尔智家的数字化再造聚焦在三个方面：数字化用户体验，数字化运营流程，最后是数字化</w:t>
      </w:r>
      <w:r>
        <w:rPr>
          <w:spacing w:val="-4"/>
        </w:rPr>
        <w:t>支持模式创新。越来越高比例的用户，特别是年青一代，倾向于借助各类线上渠道了解、互动、</w:t>
      </w:r>
      <w:r>
        <w:rPr>
          <w:spacing w:val="-3"/>
        </w:rPr>
        <w:t>选择和消费，因此，一方面我们要和包括电商平台、社交电商、直播电商、社区团购等各类数字化渠道合作，无缝触达用户；另一方面，无论透过什么渠道销售，海尔会保障始终如一的交付、安装和售后体验，并且要确保用户无论从哪个渠道接触到海尔产品或服务，都能体会到海尔品牌对产品的深入理解、独特价值主张、个性化设计以及精心营造的场景方案。这就是为什么我们设计了海尔智家体验云系统，这个系统整合了经销商、加盟店、线上线下渠道、物流、服务各个业务单元，实现和用户的深度个性化交互以便缩小距离，我们能够想用户之所想，为他们提供最适宜的产品和服务，从而加速基于全流程的零售服务转型。</w:t>
      </w:r>
    </w:p>
    <w:p>
      <w:pPr>
        <w:pStyle w:val="BodyText"/>
        <w:spacing w:line="364" w:lineRule="auto"/>
        <w:ind w:left="758" w:right="513" w:firstLine="446"/>
        <w:jc w:val="both"/>
      </w:pPr>
      <w:r>
        <w:rPr>
          <w:rFonts w:ascii="Times New Roman" w:eastAsia="Times New Roman"/>
        </w:rPr>
        <w:t>2020</w:t>
      </w:r>
      <w:r>
        <w:rPr>
          <w:rFonts w:ascii="Times New Roman" w:eastAsia="Times New Roman"/>
          <w:spacing w:val="30"/>
        </w:rPr>
        <w:t> </w:t>
      </w:r>
      <w:r>
        <w:rPr>
          <w:spacing w:val="-7"/>
        </w:rPr>
        <w:t>年我们大力推进端对端的生产流程再造，聚焦资源于核心活动，控制存货周转，从而有</w:t>
      </w:r>
      <w:r>
        <w:rPr>
          <w:spacing w:val="-5"/>
        </w:rPr>
        <w:t>效缓解了原材料上涨对成本的冲击。我们推广精益生产的理念，精简型号，推进供应商模块化， </w:t>
      </w:r>
      <w:r>
        <w:rPr>
          <w:spacing w:val="-4"/>
        </w:rPr>
        <w:t>对库存进行全流程管理，通过把生产、存货、销售、物流各个价值链的经理人指标统一到全流程</w:t>
      </w:r>
      <w:r>
        <w:rPr>
          <w:spacing w:val="-3"/>
        </w:rPr>
        <w:t>营运利润率，实现了数字化核算各个型号产品利润率，驱动了产销协同。</w:t>
      </w:r>
    </w:p>
    <w:p>
      <w:pPr>
        <w:pStyle w:val="BodyText"/>
        <w:spacing w:line="364" w:lineRule="auto"/>
        <w:ind w:left="758" w:right="508" w:firstLine="446"/>
        <w:jc w:val="both"/>
      </w:pPr>
      <w:r>
        <w:rPr>
          <w:spacing w:val="-4"/>
        </w:rPr>
        <w:t>海尔文化和创客精神是数字化转型成功的关键，授权和为用户担当的文化才能支持组织以更</w:t>
      </w:r>
      <w:r>
        <w:rPr>
          <w:spacing w:val="-3"/>
        </w:rPr>
        <w:t>有创意的新方式，在线上线下交互的丰富可能性中，定义创新的流程和模式。而充分认同人单合一理念的海尔创客，更容易接受挑战，主动走出自己的舒适区，拥抱新的流程。</w:t>
      </w:r>
    </w:p>
    <w:p>
      <w:pPr>
        <w:spacing w:after="0" w:line="364" w:lineRule="auto"/>
        <w:jc w:val="both"/>
        <w:sectPr>
          <w:pgSz w:w="11910" w:h="16840"/>
          <w:pgMar w:header="874" w:footer="1214" w:top="1360" w:bottom="1400" w:left="1040" w:right="760"/>
        </w:sectPr>
      </w:pPr>
    </w:p>
    <w:p>
      <w:pPr>
        <w:pStyle w:val="Heading4"/>
        <w:spacing w:before="83"/>
        <w:ind w:left="1206"/>
      </w:pPr>
      <w:r>
        <w:rPr>
          <w:u w:val="single"/>
        </w:rPr>
        <w:t>企业社会责任和可持续发展</w:t>
      </w:r>
    </w:p>
    <w:p>
      <w:pPr>
        <w:pStyle w:val="BodyText"/>
        <w:spacing w:line="364" w:lineRule="auto" w:before="94"/>
        <w:ind w:left="758" w:right="507" w:firstLine="446"/>
        <w:jc w:val="both"/>
      </w:pPr>
      <w:r>
        <w:rPr>
          <w:rFonts w:ascii="Times New Roman" w:eastAsia="Times New Roman"/>
        </w:rPr>
        <w:t>2021 </w:t>
      </w:r>
      <w:r>
        <w:rPr>
          <w:spacing w:val="-6"/>
        </w:rPr>
        <w:t>年初，海尔智家再次被财富杂志评为 </w:t>
      </w:r>
      <w:r>
        <w:rPr>
          <w:rFonts w:ascii="Times New Roman" w:eastAsia="Times New Roman"/>
        </w:rPr>
        <w:t>2021 </w:t>
      </w:r>
      <w:r>
        <w:rPr>
          <w:spacing w:val="-6"/>
        </w:rPr>
        <w:t>年最受赞赏的公司，中国大陆仅有 </w:t>
      </w:r>
      <w:r>
        <w:rPr>
          <w:rFonts w:ascii="Times New Roman" w:eastAsia="Times New Roman"/>
        </w:rPr>
        <w:t>5 </w:t>
      </w:r>
      <w:r>
        <w:rPr>
          <w:spacing w:val="-2"/>
        </w:rPr>
        <w:t>家公司</w:t>
      </w:r>
      <w:r>
        <w:rPr>
          <w:spacing w:val="-14"/>
        </w:rPr>
        <w:t>上榜。此项排名是基于对公司社会责任、管理质量、财务表现、长期投资价值、人才开发和管理、</w:t>
      </w:r>
      <w:r>
        <w:rPr>
          <w:spacing w:val="-7"/>
        </w:rPr>
        <w:t>全球竞争力的综合评估，这不仅是对公司的高度认可，也提醒我们所肩负的更大责任。作为全球</w:t>
      </w:r>
      <w:r>
        <w:rPr>
          <w:spacing w:val="-5"/>
        </w:rPr>
        <w:t>化的企业公民，海尔智家致力于关爱环境和践行社会责任，因为我们认识到只有拥有一个绿色的</w:t>
      </w:r>
      <w:r>
        <w:rPr>
          <w:spacing w:val="-4"/>
        </w:rPr>
        <w:t>星球，我们的下一代才有未来；只有开放和引入多元化的人才，企业才能维持创新活力；只有关</w:t>
      </w:r>
      <w:r>
        <w:rPr>
          <w:spacing w:val="-3"/>
        </w:rPr>
        <w:t>爱员工，支持上下游合作伙伴，投资于社区，回馈社会，我们才能实现可持续发展。</w:t>
      </w:r>
    </w:p>
    <w:p>
      <w:pPr>
        <w:pStyle w:val="BodyText"/>
        <w:spacing w:line="364" w:lineRule="auto"/>
        <w:ind w:left="758" w:right="507" w:firstLine="446"/>
        <w:jc w:val="both"/>
      </w:pPr>
      <w:r>
        <w:rPr>
          <w:rFonts w:ascii="Times New Roman" w:eastAsia="Times New Roman"/>
        </w:rPr>
        <w:t>2021</w:t>
      </w:r>
      <w:r>
        <w:rPr>
          <w:rFonts w:ascii="Times New Roman" w:eastAsia="Times New Roman"/>
          <w:spacing w:val="4"/>
        </w:rPr>
        <w:t> </w:t>
      </w:r>
      <w:r>
        <w:rPr>
          <w:spacing w:val="-23"/>
        </w:rPr>
        <w:t>年 </w:t>
      </w:r>
      <w:r>
        <w:rPr>
          <w:rFonts w:ascii="Times New Roman" w:eastAsia="Times New Roman"/>
        </w:rPr>
        <w:t>3</w:t>
      </w:r>
      <w:r>
        <w:rPr>
          <w:rFonts w:ascii="Times New Roman" w:eastAsia="Times New Roman"/>
          <w:spacing w:val="5"/>
        </w:rPr>
        <w:t> </w:t>
      </w:r>
      <w:r>
        <w:rPr>
          <w:spacing w:val="1"/>
        </w:rPr>
        <w:t>月，海尔智家设立了专门</w:t>
      </w:r>
      <w:r>
        <w:rPr>
          <w:rFonts w:ascii="Times New Roman" w:eastAsia="Times New Roman"/>
        </w:rPr>
        <w:t>ESG</w:t>
      </w:r>
      <w:r>
        <w:rPr>
          <w:rFonts w:ascii="Times New Roman" w:eastAsia="Times New Roman"/>
          <w:spacing w:val="9"/>
        </w:rPr>
        <w:t> </w:t>
      </w:r>
      <w:r>
        <w:rPr>
          <w:spacing w:val="-3"/>
        </w:rPr>
        <w:t>委员会，体现了出我们对环境、社会责任和公司管</w:t>
      </w:r>
      <w:r>
        <w:rPr>
          <w:spacing w:val="-9"/>
        </w:rPr>
        <w:t>制的高度重视和长远规划，董事会将驱动管理层，动员利益相关方共同关注提升 </w:t>
      </w:r>
      <w:r>
        <w:rPr>
          <w:rFonts w:ascii="Times New Roman" w:eastAsia="Times New Roman"/>
        </w:rPr>
        <w:t>ESG</w:t>
      </w:r>
      <w:r>
        <w:rPr>
          <w:rFonts w:ascii="Times New Roman" w:eastAsia="Times New Roman"/>
          <w:spacing w:val="19"/>
        </w:rPr>
        <w:t> </w:t>
      </w:r>
      <w:r>
        <w:rPr>
          <w:spacing w:val="-3"/>
        </w:rPr>
        <w:t>标准的长期</w:t>
      </w:r>
      <w:r>
        <w:rPr>
          <w:spacing w:val="-16"/>
        </w:rPr>
        <w:t>目标，以及具体项目设立的短期落地，包括绿色产品开发、供应商准入标准、推动废旧家电回收、</w:t>
      </w:r>
      <w:r>
        <w:rPr>
          <w:spacing w:val="-7"/>
        </w:rPr>
        <w:t>提升工厂能效提升等。</w:t>
      </w:r>
    </w:p>
    <w:p>
      <w:pPr>
        <w:pStyle w:val="BodyText"/>
        <w:spacing w:line="364" w:lineRule="auto"/>
        <w:ind w:left="758" w:right="508" w:firstLine="446"/>
        <w:jc w:val="both"/>
      </w:pPr>
      <w:r>
        <w:rPr>
          <w:spacing w:val="-4"/>
        </w:rPr>
        <w:t>在海尔智家，我们希望优秀员工不受限于现有的技能，而是在海尔智家这个平台上得以开发</w:t>
      </w:r>
      <w:r>
        <w:rPr>
          <w:spacing w:val="-7"/>
        </w:rPr>
        <w:t>个人潜能、实现个人对商业机遇的想象。我们鼓励内部学习和创新，</w:t>
      </w:r>
      <w:r>
        <w:rPr>
          <w:rFonts w:ascii="Times New Roman" w:eastAsia="Times New Roman"/>
          <w:spacing w:val="-6"/>
        </w:rPr>
        <w:t>GEA</w:t>
      </w:r>
      <w:r>
        <w:rPr>
          <w:rFonts w:ascii="Times New Roman" w:eastAsia="Times New Roman"/>
          <w:spacing w:val="34"/>
        </w:rPr>
        <w:t> </w:t>
      </w:r>
      <w:r>
        <w:rPr>
          <w:spacing w:val="-3"/>
        </w:rPr>
        <w:t>在美国市场的领先地位</w:t>
      </w:r>
      <w:r>
        <w:rPr>
          <w:spacing w:val="-7"/>
        </w:rPr>
        <w:t>和洞见帮助我们更好地触达在美国的用户，而海尔在中国的广泛产品组合和供应链能力支持 </w:t>
      </w:r>
      <w:r>
        <w:rPr>
          <w:rFonts w:ascii="Times New Roman" w:eastAsia="Times New Roman"/>
        </w:rPr>
        <w:t>GEA </w:t>
      </w:r>
      <w:r>
        <w:rPr>
          <w:spacing w:val="-3"/>
        </w:rPr>
        <w:t>在美国市场持续创新。</w:t>
      </w:r>
    </w:p>
    <w:p>
      <w:pPr>
        <w:pStyle w:val="BodyText"/>
        <w:spacing w:line="268" w:lineRule="exact"/>
        <w:ind w:left="1204"/>
        <w:jc w:val="both"/>
      </w:pPr>
      <w:r>
        <w:rPr/>
        <w:t>我乐意与和大家分享过去这一年中令我感动的事迹，其中一件是当新冠疫情 </w:t>
      </w:r>
      <w:r>
        <w:rPr>
          <w:rFonts w:ascii="Times New Roman" w:eastAsia="Times New Roman"/>
        </w:rPr>
        <w:t>2 </w:t>
      </w:r>
      <w:r>
        <w:rPr/>
        <w:t>月在武汉爆发</w:t>
      </w:r>
    </w:p>
    <w:p>
      <w:pPr>
        <w:pStyle w:val="BodyText"/>
        <w:spacing w:line="364" w:lineRule="auto" w:before="134"/>
        <w:ind w:left="758" w:right="508"/>
        <w:jc w:val="both"/>
      </w:pPr>
      <w:r>
        <w:rPr>
          <w:spacing w:val="-5"/>
        </w:rPr>
        <w:t>时，海尔智家第一时间捐赠了冰箱、热水器、净水器，并组建了超 </w:t>
      </w:r>
      <w:r>
        <w:rPr>
          <w:rFonts w:ascii="Times New Roman" w:eastAsia="Times New Roman"/>
        </w:rPr>
        <w:t>200 </w:t>
      </w:r>
      <w:r>
        <w:rPr>
          <w:spacing w:val="-3"/>
        </w:rPr>
        <w:t>人的服务团队，为定点医</w:t>
      </w:r>
      <w:r>
        <w:rPr>
          <w:spacing w:val="-16"/>
        </w:rPr>
        <w:t>院提供配送和安装，其中很多员工是主动请缨，从外地前往武汉支援。疫情期间，我们夜以继日， </w:t>
      </w:r>
      <w:r>
        <w:rPr>
          <w:spacing w:val="-7"/>
        </w:rPr>
        <w:t>为百余个医疗机构安装了具有杀菌功能的空调，在服务过程中，当了解有些品牌由于缺乏安装能</w:t>
      </w:r>
      <w:r>
        <w:rPr>
          <w:spacing w:val="-5"/>
        </w:rPr>
        <w:t>力，产品无法及时启用，海尔的团队主动承接了安装工作，我们认为，在面对疫情挑战时，社会</w:t>
      </w:r>
      <w:r>
        <w:rPr>
          <w:spacing w:val="-6"/>
        </w:rPr>
        <w:t>责任远比短期经济利益更为重要；二是在美国新冠疫情发生之初，</w:t>
      </w:r>
      <w:r>
        <w:rPr>
          <w:rFonts w:ascii="Times New Roman" w:eastAsia="Times New Roman"/>
          <w:spacing w:val="-6"/>
        </w:rPr>
        <w:t>GEA </w:t>
      </w:r>
      <w:r>
        <w:rPr>
          <w:spacing w:val="-5"/>
        </w:rPr>
        <w:t>以员工健康为优先，采取</w:t>
      </w:r>
      <w:r>
        <w:rPr>
          <w:spacing w:val="-4"/>
        </w:rPr>
        <w:t>了果断防控措施，包括全员体温检查、灵活的班次和工位、所有设施及厂区的消杀等，同时近千</w:t>
      </w:r>
      <w:r>
        <w:rPr>
          <w:spacing w:val="-24"/>
        </w:rPr>
        <w:t>名 </w:t>
      </w:r>
      <w:r>
        <w:rPr>
          <w:rFonts w:ascii="Times New Roman" w:eastAsia="Times New Roman"/>
        </w:rPr>
        <w:t>GEA </w:t>
      </w:r>
      <w:r>
        <w:rPr>
          <w:spacing w:val="-6"/>
        </w:rPr>
        <w:t>管理人员前往生产一线支援，合计无偿贡献 </w:t>
      </w:r>
      <w:r>
        <w:rPr>
          <w:rFonts w:ascii="Times New Roman" w:eastAsia="Times New Roman"/>
        </w:rPr>
        <w:t>15 </w:t>
      </w:r>
      <w:r>
        <w:rPr>
          <w:spacing w:val="-3"/>
        </w:rPr>
        <w:t>万个小时，为我们的客户在最需要的时候</w:t>
      </w:r>
      <w:r>
        <w:rPr>
          <w:spacing w:val="-7"/>
        </w:rPr>
        <w:t>及时制造出重要电器。尽管 </w:t>
      </w:r>
      <w:r>
        <w:rPr>
          <w:rFonts w:ascii="Times New Roman" w:eastAsia="Times New Roman"/>
        </w:rPr>
        <w:t>2020 </w:t>
      </w:r>
      <w:r>
        <w:rPr>
          <w:spacing w:val="-3"/>
        </w:rPr>
        <w:t>年困难重重，</w:t>
      </w:r>
      <w:r>
        <w:rPr>
          <w:rFonts w:ascii="Times New Roman" w:eastAsia="Times New Roman"/>
        </w:rPr>
        <w:t>GEA </w:t>
      </w:r>
      <w:r>
        <w:rPr>
          <w:spacing w:val="-7"/>
        </w:rPr>
        <w:t>的产量比上年同期增长了 </w:t>
      </w:r>
      <w:r>
        <w:rPr>
          <w:rFonts w:ascii="Times New Roman" w:eastAsia="Times New Roman"/>
        </w:rPr>
        <w:t>10</w:t>
      </w:r>
      <w:r>
        <w:rPr>
          <w:spacing w:val="-2"/>
        </w:rPr>
        <w:t>％，下半年增速</w:t>
      </w:r>
      <w:r>
        <w:rPr>
          <w:spacing w:val="-20"/>
        </w:rPr>
        <w:t>达到 </w:t>
      </w:r>
      <w:r>
        <w:rPr>
          <w:rFonts w:ascii="Times New Roman" w:eastAsia="Times New Roman"/>
        </w:rPr>
        <w:t>20</w:t>
      </w:r>
      <w:r>
        <w:rPr>
          <w:spacing w:val="-2"/>
        </w:rPr>
        <w:t>％。</w:t>
      </w:r>
    </w:p>
    <w:p>
      <w:pPr>
        <w:pStyle w:val="BodyText"/>
        <w:spacing w:line="265" w:lineRule="exact"/>
        <w:ind w:left="1204"/>
        <w:jc w:val="both"/>
      </w:pPr>
      <w:r>
        <w:rPr/>
        <w:t>我希望海尔品牌和海尔人都能成为社会和小区的积极贡献者。今年 </w:t>
      </w:r>
      <w:r>
        <w:rPr>
          <w:rFonts w:ascii="Times New Roman" w:eastAsia="Times New Roman"/>
        </w:rPr>
        <w:t>5 </w:t>
      </w:r>
      <w:r>
        <w:rPr/>
        <w:t>月，在中国四川一个住</w:t>
      </w:r>
    </w:p>
    <w:p>
      <w:pPr>
        <w:pStyle w:val="BodyText"/>
        <w:spacing w:line="364" w:lineRule="auto" w:before="139"/>
        <w:ind w:left="758" w:right="517"/>
        <w:jc w:val="both"/>
      </w:pPr>
      <w:r>
        <w:rPr>
          <w:spacing w:val="-6"/>
        </w:rPr>
        <w:t>宅楼，在一名没有大人看护的 </w:t>
      </w:r>
      <w:r>
        <w:rPr>
          <w:rFonts w:ascii="Times New Roman" w:eastAsia="Times New Roman"/>
        </w:rPr>
        <w:t>5 </w:t>
      </w:r>
      <w:r>
        <w:rPr>
          <w:spacing w:val="-3"/>
        </w:rPr>
        <w:t>岁女孩爬到六楼窗户外侧，随时有生命危险，正在旁边安装空调的海尔服务工程师胡云川发现这一情况，凭借自己的工作中累积的高空操作经验，毫不犹豫徒手攀爬到六楼救下了孩子。作为对无私救人的勇气的尊敬和弘扬，我们决定奖励该工程师一套当地房产。</w:t>
      </w:r>
    </w:p>
    <w:p>
      <w:pPr>
        <w:pStyle w:val="BodyText"/>
        <w:spacing w:line="364" w:lineRule="auto"/>
        <w:ind w:left="758" w:right="414" w:firstLine="446"/>
      </w:pPr>
      <w:r>
        <w:rPr>
          <w:spacing w:val="-2"/>
        </w:rPr>
        <w:t>海尔智家的声誉，正是由这些点点滴滴的事情累积而成，而我相信鼓励、倡导这样的行为， </w:t>
      </w:r>
      <w:r>
        <w:rPr>
          <w:spacing w:val="-3"/>
        </w:rPr>
        <w:t>就会有助于社会的和谐和培养人性中无私、敢于担当的特质。在社会需要时，我鼓励海尔智家、海尔员工和海尔大家庭都挺身而出，贡献自身的一份力量，大到援助建立希望小学，捐助公益事</w:t>
      </w:r>
    </w:p>
    <w:p>
      <w:pPr>
        <w:spacing w:after="0" w:line="364" w:lineRule="auto"/>
        <w:sectPr>
          <w:pgSz w:w="11910" w:h="16840"/>
          <w:pgMar w:header="874" w:footer="1214" w:top="1360" w:bottom="1400" w:left="1040" w:right="760"/>
        </w:sectPr>
      </w:pPr>
    </w:p>
    <w:p>
      <w:pPr>
        <w:pStyle w:val="BodyText"/>
        <w:spacing w:line="367" w:lineRule="auto" w:before="152"/>
        <w:ind w:left="758" w:right="517"/>
      </w:pPr>
      <w:r>
        <w:rPr/>
        <w:t>业，小到树立行为标杆，引导社会正能量，如果每个海尔创客都能以这样的方式参与社会，我们会收获更美好的一个地球村。</w:t>
      </w:r>
    </w:p>
    <w:p>
      <w:pPr>
        <w:pStyle w:val="BodyText"/>
        <w:spacing w:before="6"/>
        <w:rPr>
          <w:sz w:val="22"/>
        </w:rPr>
      </w:pPr>
    </w:p>
    <w:p>
      <w:pPr>
        <w:pStyle w:val="Heading4"/>
        <w:spacing w:before="1"/>
        <w:ind w:left="1206"/>
      </w:pPr>
      <w:r>
        <w:rPr/>
        <w:t>未来战略举措</w:t>
      </w:r>
    </w:p>
    <w:p>
      <w:pPr>
        <w:pStyle w:val="BodyText"/>
        <w:spacing w:line="364" w:lineRule="auto" w:before="91"/>
        <w:ind w:left="758" w:right="508" w:firstLine="446"/>
      </w:pPr>
      <w:r>
        <w:rPr>
          <w:spacing w:val="-15"/>
        </w:rPr>
        <w:t>回顾 </w:t>
      </w:r>
      <w:r>
        <w:rPr>
          <w:rFonts w:ascii="Times New Roman" w:eastAsia="Times New Roman"/>
        </w:rPr>
        <w:t>2020</w:t>
      </w:r>
      <w:r>
        <w:rPr>
          <w:rFonts w:ascii="Times New Roman" w:eastAsia="Times New Roman"/>
          <w:spacing w:val="7"/>
        </w:rPr>
        <w:t> </w:t>
      </w:r>
      <w:r>
        <w:rPr>
          <w:spacing w:val="-3"/>
        </w:rPr>
        <w:t>年，我无比感恩，感恩这个时代和我的团队。海尔智家受益于国际化的机遇，虽</w:t>
      </w:r>
      <w:r>
        <w:rPr>
          <w:spacing w:val="-11"/>
        </w:rPr>
        <w:t>然疫情阻挡了不同地区团队之间面对面相见，但海尔产品仍然通畅流动，数字化技术保障了交流， </w:t>
      </w:r>
      <w:r>
        <w:rPr>
          <w:spacing w:val="-6"/>
        </w:rPr>
        <w:t>更重要的是信息和知识在海尔智家全球大家庭无障碍传播，我们可以利用中国市场积累的疫情防</w:t>
      </w:r>
      <w:r>
        <w:rPr>
          <w:spacing w:val="-4"/>
        </w:rPr>
        <w:t>控经验、电商销售经验、供应链管理经验，支持世界各地团队更好地保障员工健康和服务用户。</w:t>
      </w:r>
      <w:r>
        <w:rPr>
          <w:spacing w:val="-3"/>
        </w:rPr>
        <w:t>我们的团队没有停下建设美好智慧家庭的脚步，产品创新不间歇，在疫情对我们生活和社交带来冲击的时候，我们团队的创造力、团结和奋发精神反而得到了激发，通过倾听市场声音，海尔产品人员开发了大量健康、环保、智慧的个人家电产品；借助关注数字化渠道趋势，海尔销售人员积极开发创新交互模式，使得海尔好产品及时被新兴社交渠道关注，我们的产品价值更好地透过数字化工具被实时感知；海尔物流和服务部门确保每一件产品按时交付，妥善安装，服务实时保障。海尔以人为本的人单合一文化，会支持我们渡过各种挑战，在学习和变革中实现企业和创客的共同升华。</w:t>
      </w:r>
    </w:p>
    <w:p>
      <w:pPr>
        <w:pStyle w:val="BodyText"/>
        <w:spacing w:line="364" w:lineRule="auto"/>
        <w:ind w:left="758" w:right="508" w:firstLine="446"/>
        <w:jc w:val="both"/>
      </w:pPr>
      <w:r>
        <w:rPr>
          <w:spacing w:val="-5"/>
        </w:rPr>
        <w:t>未来三年我们要持续在以下三个方面创造价值，一是增强国际业务竞争力，全面提升海外业</w:t>
      </w:r>
      <w:r>
        <w:rPr>
          <w:spacing w:val="-4"/>
        </w:rPr>
        <w:t>务盈利水平；二是实施以体验为中心、场景连接用户的数字化再造，提升经营效率；三是以创新</w:t>
      </w:r>
      <w:r>
        <w:rPr>
          <w:spacing w:val="-3"/>
        </w:rPr>
        <w:t>设计和物联网技术为突破点，坚持高端引领战略，带动全品类盈利水平提升，实现智慧家庭解决方案的升级。前期战略布局产生的稳定现金流将持续投资于数字化升级、人才建设以及未来创新模式。</w:t>
      </w:r>
    </w:p>
    <w:p>
      <w:pPr>
        <w:pStyle w:val="BodyText"/>
        <w:spacing w:line="364" w:lineRule="auto"/>
        <w:ind w:left="758" w:right="299" w:firstLine="446"/>
      </w:pPr>
      <w:r>
        <w:rPr>
          <w:spacing w:val="-5"/>
        </w:rPr>
        <w:t>感谢三地股东的一路支持，特别是公众股东接近全票赞同海尔智家完成对海尔电器资产整合， </w:t>
      </w:r>
      <w:r>
        <w:rPr>
          <w:spacing w:val="-4"/>
        </w:rPr>
        <w:t>大股东海尔集团全力支持海尔智家打造智慧家庭上市旗舰，新上市平台应当在资本市场更加进取 </w:t>
      </w:r>
      <w:r>
        <w:rPr>
          <w:spacing w:val="-3"/>
        </w:rPr>
        <w:t>和努力，海尔智家已经组建了更多元化的董事会，我们的战略目标清晰，我们的团队整装待发， 未来我们会加快落实协同效应，在行业踏出引领步伐。</w:t>
      </w:r>
    </w:p>
    <w:p>
      <w:pPr>
        <w:pStyle w:val="BodyText"/>
        <w:spacing w:line="364" w:lineRule="auto"/>
        <w:ind w:left="758" w:right="517" w:firstLine="446"/>
      </w:pPr>
      <w:r>
        <w:rPr>
          <w:spacing w:val="-15"/>
        </w:rPr>
        <w:t>展望 </w:t>
      </w:r>
      <w:r>
        <w:rPr>
          <w:rFonts w:ascii="Times New Roman" w:eastAsia="Times New Roman"/>
        </w:rPr>
        <w:t>2021</w:t>
      </w:r>
      <w:r>
        <w:rPr>
          <w:rFonts w:ascii="Times New Roman" w:eastAsia="Times New Roman"/>
          <w:spacing w:val="7"/>
        </w:rPr>
        <w:t> </w:t>
      </w:r>
      <w:r>
        <w:rPr>
          <w:spacing w:val="-3"/>
        </w:rPr>
        <w:t>年，我为即将到来的战略机遇而兴奋，我们正处在史上最好的发展轨道上。我和我的团队们将以乐观和信念，在变化的时代学习、拥抱技术、消费和人性的融合，持续发挥海尔智家全球化运营平台的效益，为用户提供优异产品，创造美好消费体验，股东创造长期的价值。</w:t>
      </w:r>
    </w:p>
    <w:p>
      <w:pPr>
        <w:pStyle w:val="BodyText"/>
        <w:spacing w:before="7"/>
        <w:rPr>
          <w:sz w:val="27"/>
        </w:rPr>
      </w:pPr>
    </w:p>
    <w:p>
      <w:pPr>
        <w:pStyle w:val="BodyText"/>
        <w:ind w:left="6019"/>
      </w:pPr>
      <w:r>
        <w:rPr>
          <w:spacing w:val="-3"/>
        </w:rPr>
        <w:t>海尔智家股份有限公司董事长：梁海山</w:t>
      </w:r>
    </w:p>
    <w:p>
      <w:pPr>
        <w:pStyle w:val="BodyText"/>
        <w:spacing w:before="139"/>
        <w:ind w:right="510"/>
        <w:jc w:val="right"/>
      </w:pPr>
      <w:r>
        <w:rPr>
          <w:rFonts w:ascii="Times New Roman" w:eastAsia="Times New Roman"/>
        </w:rPr>
        <w:t>2021</w:t>
      </w:r>
      <w:r>
        <w:rPr>
          <w:rFonts w:ascii="Times New Roman" w:eastAsia="Times New Roman"/>
          <w:spacing w:val="-2"/>
        </w:rPr>
        <w:t> </w:t>
      </w:r>
      <w:r>
        <w:rPr>
          <w:spacing w:val="-26"/>
        </w:rPr>
        <w:t>年 </w:t>
      </w:r>
      <w:r>
        <w:rPr>
          <w:rFonts w:ascii="Times New Roman" w:eastAsia="Times New Roman"/>
        </w:rPr>
        <w:t>3</w:t>
      </w:r>
      <w:r>
        <w:rPr>
          <w:rFonts w:ascii="Times New Roman" w:eastAsia="Times New Roman"/>
          <w:spacing w:val="-2"/>
        </w:rPr>
        <w:t> </w:t>
      </w:r>
      <w:r>
        <w:rPr>
          <w:spacing w:val="-26"/>
        </w:rPr>
        <w:t>月 </w:t>
      </w:r>
      <w:r>
        <w:rPr>
          <w:rFonts w:ascii="Times New Roman" w:eastAsia="Times New Roman"/>
        </w:rPr>
        <w:t>30</w:t>
      </w:r>
      <w:r>
        <w:rPr>
          <w:rFonts w:ascii="Times New Roman" w:eastAsia="Times New Roman"/>
          <w:spacing w:val="-2"/>
        </w:rPr>
        <w:t> </w:t>
      </w:r>
      <w:r>
        <w:rPr/>
        <w:t>日</w:t>
      </w:r>
    </w:p>
    <w:p>
      <w:pPr>
        <w:spacing w:after="0"/>
        <w:jc w:val="right"/>
        <w:sectPr>
          <w:pgSz w:w="11910" w:h="16840"/>
          <w:pgMar w:header="874" w:footer="1214" w:top="1360" w:bottom="1400" w:left="1040" w:right="760"/>
        </w:sectPr>
      </w:pPr>
    </w:p>
    <w:p>
      <w:pPr>
        <w:pStyle w:val="BodyText"/>
        <w:rPr>
          <w:sz w:val="26"/>
        </w:rPr>
      </w:pPr>
    </w:p>
    <w:p>
      <w:pPr>
        <w:spacing w:line="484" w:lineRule="exact" w:before="0"/>
        <w:ind w:left="1041" w:right="799" w:firstLine="0"/>
        <w:jc w:val="center"/>
        <w:rPr>
          <w:rFonts w:ascii="Microsoft JhengHei" w:eastAsia="Microsoft JhengHei" w:hint="eastAsia"/>
          <w:b/>
          <w:sz w:val="28"/>
        </w:rPr>
      </w:pPr>
      <w:r>
        <w:rPr>
          <w:rFonts w:ascii="Microsoft JhengHei" w:eastAsia="Microsoft JhengHei" w:hint="eastAsia"/>
          <w:b/>
          <w:sz w:val="28"/>
        </w:rPr>
        <w:t>目录</w:t>
      </w:r>
    </w:p>
    <w:sdt>
      <w:sdtPr>
        <w:docPartObj>
          <w:docPartGallery w:val="Table of Contents"/>
          <w:docPartUnique/>
        </w:docPartObj>
      </w:sdtPr>
      <w:sdtEndPr/>
      <w:sdtContent>
        <w:p>
          <w:pPr>
            <w:pStyle w:val="TOC1"/>
            <w:tabs>
              <w:tab w:pos="9581" w:val="right" w:leader="dot"/>
            </w:tabs>
            <w:spacing w:before="305"/>
            <w:rPr>
              <w:rFonts w:ascii="Times New Roman" w:eastAsia="Times New Roman"/>
            </w:rPr>
          </w:pPr>
          <w:r>
            <w:fldChar w:fldCharType="begin"/>
          </w:r>
          <w:r>
            <w:instrText>TOC \o "1-1" \h \z \u </w:instrText>
          </w:r>
          <w:r>
            <w:fldChar w:fldCharType="separate"/>
          </w:r>
          <w:hyperlink w:history="true" w:anchor="_bookmark0">
            <w:r>
              <w:rPr/>
              <w:t>致股</w:t>
            </w:r>
            <w:r>
              <w:rPr>
                <w:spacing w:val="-3"/>
              </w:rPr>
              <w:t>东</w:t>
            </w:r>
            <w:r>
              <w:rPr/>
              <w:t>的</w:t>
            </w:r>
            <w:r>
              <w:rPr>
                <w:spacing w:val="-3"/>
              </w:rPr>
              <w:t>信</w:t>
            </w:r>
            <w:r>
              <w:rPr/>
              <w:t>件</w:t>
              <w:tab/>
            </w:r>
            <w:r>
              <w:rPr>
                <w:rFonts w:ascii="Times New Roman" w:eastAsia="Times New Roman"/>
              </w:rPr>
              <w:t>3</w:t>
            </w:r>
          </w:hyperlink>
        </w:p>
        <w:p>
          <w:pPr>
            <w:pStyle w:val="TOC1"/>
            <w:tabs>
              <w:tab w:pos="2017" w:val="left" w:leader="none"/>
              <w:tab w:pos="9581" w:val="right" w:leader="dot"/>
            </w:tabs>
            <w:rPr>
              <w:rFonts w:ascii="Times New Roman" w:eastAsia="Times New Roman"/>
            </w:rPr>
          </w:pPr>
          <w:hyperlink w:history="true" w:anchor="_bookmark1">
            <w:r>
              <w:rPr/>
              <w:t>第一节</w:t>
              <w:tab/>
              <w:t>释义</w:t>
              <w:tab/>
            </w:r>
            <w:r>
              <w:rPr>
                <w:rFonts w:ascii="Times New Roman" w:eastAsia="Times New Roman"/>
              </w:rPr>
              <w:t>8</w:t>
            </w:r>
          </w:hyperlink>
        </w:p>
        <w:p>
          <w:pPr>
            <w:pStyle w:val="TOC1"/>
            <w:tabs>
              <w:tab w:pos="2017" w:val="left" w:leader="none"/>
              <w:tab w:pos="9581" w:val="right" w:leader="dot"/>
            </w:tabs>
            <w:rPr>
              <w:rFonts w:ascii="Times New Roman" w:eastAsia="Times New Roman"/>
            </w:rPr>
          </w:pPr>
          <w:hyperlink w:history="true" w:anchor="_bookmark2">
            <w:r>
              <w:rPr/>
              <w:t>第二节</w:t>
              <w:tab/>
              <w:t>公司</w:t>
            </w:r>
            <w:r>
              <w:rPr>
                <w:spacing w:val="-3"/>
              </w:rPr>
              <w:t>简</w:t>
            </w:r>
            <w:r>
              <w:rPr/>
              <w:t>介</w:t>
            </w:r>
            <w:r>
              <w:rPr>
                <w:spacing w:val="-3"/>
              </w:rPr>
              <w:t>和</w:t>
            </w:r>
            <w:r>
              <w:rPr/>
              <w:t>主</w:t>
            </w:r>
            <w:r>
              <w:rPr>
                <w:spacing w:val="-3"/>
              </w:rPr>
              <w:t>要</w:t>
            </w:r>
            <w:r>
              <w:rPr/>
              <w:t>财</w:t>
            </w:r>
            <w:r>
              <w:rPr>
                <w:spacing w:val="-3"/>
              </w:rPr>
              <w:t>务</w:t>
            </w:r>
            <w:r>
              <w:rPr/>
              <w:t>指标</w:t>
              <w:tab/>
            </w:r>
            <w:r>
              <w:rPr>
                <w:rFonts w:ascii="Times New Roman" w:eastAsia="Times New Roman"/>
              </w:rPr>
              <w:t>9</w:t>
            </w:r>
          </w:hyperlink>
        </w:p>
        <w:p>
          <w:pPr>
            <w:pStyle w:val="TOC1"/>
            <w:tabs>
              <w:tab w:pos="2017" w:val="left" w:leader="none"/>
              <w:tab w:pos="9581" w:val="right" w:leader="dot"/>
            </w:tabs>
            <w:rPr>
              <w:rFonts w:ascii="Times New Roman" w:eastAsia="Times New Roman"/>
            </w:rPr>
          </w:pPr>
          <w:hyperlink w:history="true" w:anchor="_bookmark3">
            <w:r>
              <w:rPr/>
              <w:t>第三节</w:t>
              <w:tab/>
              <w:t>公司</w:t>
            </w:r>
            <w:r>
              <w:rPr>
                <w:spacing w:val="-3"/>
              </w:rPr>
              <w:t>业</w:t>
            </w:r>
            <w:r>
              <w:rPr/>
              <w:t>务</w:t>
            </w:r>
            <w:r>
              <w:rPr>
                <w:spacing w:val="-3"/>
              </w:rPr>
              <w:t>概</w:t>
            </w:r>
            <w:r>
              <w:rPr/>
              <w:t>要</w:t>
              <w:tab/>
            </w:r>
            <w:r>
              <w:rPr>
                <w:rFonts w:ascii="Times New Roman" w:eastAsia="Times New Roman"/>
              </w:rPr>
              <w:t>14</w:t>
            </w:r>
          </w:hyperlink>
        </w:p>
        <w:p>
          <w:pPr>
            <w:pStyle w:val="TOC1"/>
            <w:tabs>
              <w:tab w:pos="2017" w:val="left" w:leader="none"/>
              <w:tab w:pos="9581" w:val="right" w:leader="dot"/>
            </w:tabs>
            <w:rPr>
              <w:rFonts w:ascii="Times New Roman" w:eastAsia="Times New Roman"/>
            </w:rPr>
          </w:pPr>
          <w:hyperlink w:history="true" w:anchor="_bookmark4">
            <w:r>
              <w:rPr/>
              <w:t>第四节</w:t>
              <w:tab/>
              <w:t>经营</w:t>
            </w:r>
            <w:r>
              <w:rPr>
                <w:spacing w:val="-3"/>
              </w:rPr>
              <w:t>情</w:t>
            </w:r>
            <w:r>
              <w:rPr/>
              <w:t>况</w:t>
            </w:r>
            <w:r>
              <w:rPr>
                <w:spacing w:val="-3"/>
              </w:rPr>
              <w:t>讨</w:t>
            </w:r>
            <w:r>
              <w:rPr/>
              <w:t>论</w:t>
            </w:r>
            <w:r>
              <w:rPr>
                <w:spacing w:val="-3"/>
              </w:rPr>
              <w:t>与</w:t>
            </w:r>
            <w:r>
              <w:rPr/>
              <w:t>分析</w:t>
              <w:tab/>
            </w:r>
            <w:r>
              <w:rPr>
                <w:rFonts w:ascii="Times New Roman" w:eastAsia="Times New Roman"/>
              </w:rPr>
              <w:t>22</w:t>
            </w:r>
          </w:hyperlink>
        </w:p>
        <w:p>
          <w:pPr>
            <w:pStyle w:val="TOC1"/>
            <w:tabs>
              <w:tab w:pos="2017" w:val="left" w:leader="none"/>
              <w:tab w:pos="9581" w:val="right" w:leader="dot"/>
            </w:tabs>
            <w:spacing w:before="141"/>
            <w:rPr>
              <w:rFonts w:ascii="Times New Roman" w:eastAsia="Times New Roman"/>
            </w:rPr>
          </w:pPr>
          <w:hyperlink w:history="true" w:anchor="_bookmark5">
            <w:r>
              <w:rPr/>
              <w:t>第五节</w:t>
              <w:tab/>
              <w:t>重要</w:t>
            </w:r>
            <w:r>
              <w:rPr>
                <w:spacing w:val="-3"/>
              </w:rPr>
              <w:t>事</w:t>
            </w:r>
            <w:r>
              <w:rPr/>
              <w:t>项</w:t>
              <w:tab/>
            </w:r>
            <w:r>
              <w:rPr>
                <w:rFonts w:ascii="Times New Roman" w:eastAsia="Times New Roman"/>
              </w:rPr>
              <w:t>44</w:t>
            </w:r>
          </w:hyperlink>
        </w:p>
        <w:p>
          <w:pPr>
            <w:pStyle w:val="TOC1"/>
            <w:tabs>
              <w:tab w:pos="2017" w:val="left" w:leader="none"/>
              <w:tab w:pos="9581" w:val="right" w:leader="dot"/>
            </w:tabs>
            <w:rPr>
              <w:rFonts w:ascii="Times New Roman" w:eastAsia="Times New Roman"/>
            </w:rPr>
          </w:pPr>
          <w:hyperlink w:history="true" w:anchor="_bookmark6">
            <w:r>
              <w:rPr/>
              <w:t>第六节</w:t>
              <w:tab/>
              <w:t>普通</w:t>
            </w:r>
            <w:r>
              <w:rPr>
                <w:spacing w:val="-3"/>
              </w:rPr>
              <w:t>股</w:t>
            </w:r>
            <w:r>
              <w:rPr/>
              <w:t>股</w:t>
            </w:r>
            <w:r>
              <w:rPr>
                <w:spacing w:val="-3"/>
              </w:rPr>
              <w:t>份</w:t>
            </w:r>
            <w:r>
              <w:rPr/>
              <w:t>变</w:t>
            </w:r>
            <w:r>
              <w:rPr>
                <w:spacing w:val="-3"/>
              </w:rPr>
              <w:t>动</w:t>
            </w:r>
            <w:r>
              <w:rPr/>
              <w:t>及</w:t>
            </w:r>
            <w:r>
              <w:rPr>
                <w:spacing w:val="-3"/>
              </w:rPr>
              <w:t>股</w:t>
            </w:r>
            <w:r>
              <w:rPr/>
              <w:t>东</w:t>
            </w:r>
            <w:r>
              <w:rPr>
                <w:spacing w:val="-3"/>
              </w:rPr>
              <w:t>情</w:t>
            </w:r>
            <w:r>
              <w:rPr/>
              <w:t>况</w:t>
              <w:tab/>
            </w:r>
            <w:r>
              <w:rPr>
                <w:rFonts w:ascii="Times New Roman" w:eastAsia="Times New Roman"/>
              </w:rPr>
              <w:t>76</w:t>
            </w:r>
          </w:hyperlink>
        </w:p>
        <w:p>
          <w:pPr>
            <w:pStyle w:val="TOC1"/>
            <w:tabs>
              <w:tab w:pos="2017" w:val="left" w:leader="none"/>
              <w:tab w:pos="9581" w:val="right" w:leader="dot"/>
            </w:tabs>
            <w:rPr>
              <w:rFonts w:ascii="Times New Roman" w:eastAsia="Times New Roman"/>
            </w:rPr>
          </w:pPr>
          <w:hyperlink w:history="true" w:anchor="_bookmark7">
            <w:r>
              <w:rPr/>
              <w:t>第七节</w:t>
              <w:tab/>
              <w:t>优先</w:t>
            </w:r>
            <w:r>
              <w:rPr>
                <w:spacing w:val="-3"/>
              </w:rPr>
              <w:t>股</w:t>
            </w:r>
            <w:r>
              <w:rPr/>
              <w:t>相</w:t>
            </w:r>
            <w:r>
              <w:rPr>
                <w:spacing w:val="-3"/>
              </w:rPr>
              <w:t>关</w:t>
            </w:r>
            <w:r>
              <w:rPr/>
              <w:t>情况</w:t>
              <w:tab/>
            </w:r>
            <w:r>
              <w:rPr>
                <w:rFonts w:ascii="Times New Roman" w:eastAsia="Times New Roman"/>
              </w:rPr>
              <w:t>84</w:t>
            </w:r>
          </w:hyperlink>
        </w:p>
        <w:p>
          <w:pPr>
            <w:pStyle w:val="TOC1"/>
            <w:tabs>
              <w:tab w:pos="2017" w:val="left" w:leader="none"/>
              <w:tab w:pos="9581" w:val="right" w:leader="dot"/>
            </w:tabs>
            <w:rPr>
              <w:rFonts w:ascii="Times New Roman" w:eastAsia="Times New Roman"/>
            </w:rPr>
          </w:pPr>
          <w:hyperlink w:history="true" w:anchor="_bookmark8">
            <w:r>
              <w:rPr/>
              <w:t>第八节</w:t>
              <w:tab/>
              <w:t>董事</w:t>
            </w:r>
            <w:r>
              <w:rPr>
                <w:spacing w:val="-3"/>
              </w:rPr>
              <w:t>、</w:t>
            </w:r>
            <w:r>
              <w:rPr/>
              <w:t>监</w:t>
            </w:r>
            <w:r>
              <w:rPr>
                <w:spacing w:val="-3"/>
              </w:rPr>
              <w:t>事</w:t>
            </w:r>
            <w:r>
              <w:rPr/>
              <w:t>、</w:t>
            </w:r>
            <w:r>
              <w:rPr>
                <w:spacing w:val="-3"/>
              </w:rPr>
              <w:t>高</w:t>
            </w:r>
            <w:r>
              <w:rPr/>
              <w:t>级</w:t>
            </w:r>
            <w:r>
              <w:rPr>
                <w:spacing w:val="-3"/>
              </w:rPr>
              <w:t>管</w:t>
            </w:r>
            <w:r>
              <w:rPr/>
              <w:t>理</w:t>
            </w:r>
            <w:r>
              <w:rPr>
                <w:spacing w:val="-3"/>
              </w:rPr>
              <w:t>人</w:t>
            </w:r>
            <w:r>
              <w:rPr/>
              <w:t>员和</w:t>
            </w:r>
            <w:r>
              <w:rPr>
                <w:spacing w:val="-3"/>
              </w:rPr>
              <w:t>员</w:t>
            </w:r>
            <w:r>
              <w:rPr/>
              <w:t>工</w:t>
            </w:r>
            <w:r>
              <w:rPr>
                <w:spacing w:val="-3"/>
              </w:rPr>
              <w:t>情</w:t>
            </w:r>
            <w:r>
              <w:rPr/>
              <w:t>况</w:t>
              <w:tab/>
            </w:r>
            <w:r>
              <w:rPr>
                <w:rFonts w:ascii="Times New Roman" w:eastAsia="Times New Roman"/>
              </w:rPr>
              <w:t>85</w:t>
            </w:r>
          </w:hyperlink>
        </w:p>
        <w:p>
          <w:pPr>
            <w:pStyle w:val="TOC1"/>
            <w:tabs>
              <w:tab w:pos="2017" w:val="left" w:leader="none"/>
              <w:tab w:pos="9581" w:val="right" w:leader="dot"/>
            </w:tabs>
            <w:spacing w:before="142"/>
            <w:rPr>
              <w:rFonts w:ascii="Times New Roman" w:eastAsia="Times New Roman"/>
            </w:rPr>
          </w:pPr>
          <w:hyperlink w:history="true" w:anchor="_bookmark9">
            <w:r>
              <w:rPr/>
              <w:t>第九节</w:t>
              <w:tab/>
              <w:t>公司</w:t>
            </w:r>
            <w:r>
              <w:rPr>
                <w:spacing w:val="-3"/>
              </w:rPr>
              <w:t>治</w:t>
            </w:r>
            <w:r>
              <w:rPr/>
              <w:t>理</w:t>
              <w:tab/>
            </w:r>
            <w:r>
              <w:rPr>
                <w:rFonts w:ascii="Times New Roman" w:eastAsia="Times New Roman"/>
              </w:rPr>
              <w:t>93</w:t>
            </w:r>
          </w:hyperlink>
        </w:p>
        <w:p>
          <w:pPr>
            <w:pStyle w:val="TOC1"/>
            <w:tabs>
              <w:tab w:pos="2017" w:val="left" w:leader="none"/>
              <w:tab w:pos="9584" w:val="right" w:leader="dot"/>
            </w:tabs>
            <w:rPr>
              <w:rFonts w:ascii="Times New Roman" w:eastAsia="Times New Roman"/>
            </w:rPr>
          </w:pPr>
          <w:hyperlink w:history="true" w:anchor="_bookmark10">
            <w:r>
              <w:rPr/>
              <w:t>第十节</w:t>
              <w:tab/>
              <w:t>公司</w:t>
            </w:r>
            <w:r>
              <w:rPr>
                <w:spacing w:val="-3"/>
              </w:rPr>
              <w:t>债</w:t>
            </w:r>
            <w:r>
              <w:rPr/>
              <w:t>券</w:t>
            </w:r>
            <w:r>
              <w:rPr>
                <w:spacing w:val="-3"/>
              </w:rPr>
              <w:t>相</w:t>
            </w:r>
            <w:r>
              <w:rPr/>
              <w:t>关</w:t>
            </w:r>
            <w:r>
              <w:rPr>
                <w:spacing w:val="-3"/>
              </w:rPr>
              <w:t>情</w:t>
            </w:r>
            <w:r>
              <w:rPr/>
              <w:t>况</w:t>
              <w:tab/>
            </w:r>
            <w:r>
              <w:rPr>
                <w:rFonts w:ascii="Times New Roman" w:eastAsia="Times New Roman"/>
              </w:rPr>
              <w:t>100</w:t>
            </w:r>
          </w:hyperlink>
        </w:p>
        <w:p>
          <w:pPr>
            <w:pStyle w:val="TOC1"/>
            <w:tabs>
              <w:tab w:pos="2017" w:val="left" w:leader="none"/>
              <w:tab w:pos="9584" w:val="right" w:leader="dot"/>
            </w:tabs>
            <w:rPr>
              <w:rFonts w:ascii="Times New Roman" w:eastAsia="Times New Roman"/>
            </w:rPr>
          </w:pPr>
          <w:hyperlink w:history="true" w:anchor="_bookmark11">
            <w:r>
              <w:rPr/>
              <w:t>第十</w:t>
            </w:r>
            <w:r>
              <w:rPr>
                <w:spacing w:val="-3"/>
              </w:rPr>
              <w:t>一</w:t>
            </w:r>
            <w:r>
              <w:rPr/>
              <w:t>节</w:t>
              <w:tab/>
              <w:t>财务</w:t>
            </w:r>
            <w:r>
              <w:rPr>
                <w:spacing w:val="-3"/>
              </w:rPr>
              <w:t>报</w:t>
            </w:r>
            <w:r>
              <w:rPr/>
              <w:t>告</w:t>
              <w:tab/>
            </w:r>
            <w:r>
              <w:rPr>
                <w:rFonts w:ascii="Times New Roman" w:eastAsia="Times New Roman"/>
              </w:rPr>
              <w:t>103</w:t>
            </w:r>
          </w:hyperlink>
        </w:p>
        <w:p>
          <w:pPr>
            <w:pStyle w:val="TOC1"/>
            <w:tabs>
              <w:tab w:pos="2017" w:val="left" w:leader="none"/>
              <w:tab w:pos="9584" w:val="right" w:leader="dot"/>
            </w:tabs>
            <w:spacing w:before="138"/>
            <w:rPr>
              <w:rFonts w:ascii="Times New Roman" w:eastAsia="Times New Roman"/>
            </w:rPr>
          </w:pPr>
          <w:hyperlink w:history="true" w:anchor="_bookmark12">
            <w:r>
              <w:rPr/>
              <w:t>第十</w:t>
            </w:r>
            <w:r>
              <w:rPr>
                <w:spacing w:val="-3"/>
              </w:rPr>
              <w:t>二</w:t>
            </w:r>
            <w:r>
              <w:rPr/>
              <w:t>节</w:t>
              <w:tab/>
              <w:t>备查</w:t>
            </w:r>
            <w:r>
              <w:rPr>
                <w:spacing w:val="-3"/>
              </w:rPr>
              <w:t>文</w:t>
            </w:r>
            <w:r>
              <w:rPr/>
              <w:t>件</w:t>
            </w:r>
            <w:r>
              <w:rPr>
                <w:spacing w:val="-3"/>
              </w:rPr>
              <w:t>目</w:t>
            </w:r>
            <w:r>
              <w:rPr/>
              <w:t>录</w:t>
              <w:tab/>
            </w:r>
            <w:r>
              <w:rPr>
                <w:rFonts w:ascii="Times New Roman" w:eastAsia="Times New Roman"/>
              </w:rPr>
              <w:t>231</w:t>
            </w:r>
          </w:hyperlink>
        </w:p>
        <w:p>
          <w:pPr/>
          <w:r>
            <w:fldChar w:fldCharType="end"/>
          </w:r>
        </w:p>
      </w:sdtContent>
    </w:sdt>
    <w:p>
      <w:pPr>
        <w:spacing w:after="0"/>
        <w:sectPr>
          <w:pgSz w:w="11910" w:h="16840"/>
          <w:pgMar w:header="874" w:footer="1214" w:top="1360" w:bottom="1400" w:left="1040" w:right="760"/>
        </w:sectPr>
      </w:pPr>
    </w:p>
    <w:p>
      <w:pPr>
        <w:pStyle w:val="BodyText"/>
        <w:spacing w:before="11"/>
        <w:rPr>
          <w:rFonts w:ascii="Times New Roman"/>
          <w:sz w:val="23"/>
        </w:rPr>
      </w:pPr>
    </w:p>
    <w:p>
      <w:pPr>
        <w:pStyle w:val="Heading1"/>
        <w:tabs>
          <w:tab w:pos="1259" w:val="left" w:leader="none"/>
        </w:tabs>
        <w:spacing w:line="240" w:lineRule="auto"/>
        <w:ind w:right="799"/>
      </w:pPr>
      <w:bookmarkStart w:name="_bookmark1" w:id="2"/>
      <w:bookmarkEnd w:id="2"/>
      <w:r>
        <w:rPr>
          <w:b w:val="0"/>
        </w:rPr>
      </w:r>
      <w:r>
        <w:rPr/>
        <w:t>第一节</w:t>
        <w:tab/>
        <w:t>释义</w:t>
      </w:r>
    </w:p>
    <w:p>
      <w:pPr>
        <w:pStyle w:val="Heading4"/>
        <w:spacing w:before="116"/>
        <w:ind w:left="237"/>
      </w:pPr>
      <w:r>
        <w:rPr/>
        <w:t>一 、 释 义</w:t>
      </w:r>
    </w:p>
    <w:p>
      <w:pPr>
        <w:pStyle w:val="BodyText"/>
        <w:spacing w:before="14" w:after="4"/>
        <w:ind w:left="237"/>
      </w:pPr>
      <w:r>
        <w:rPr/>
        <w:t>在本报告书中，除非文义另有所指，下列词语具有如下含义：</w:t>
      </w:r>
    </w:p>
    <w:tbl>
      <w:tblPr>
        <w:tblW w:w="0" w:type="auto"/>
        <w:jc w:val="left"/>
        <w:tblInd w:w="14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235"/>
        <w:gridCol w:w="428"/>
        <w:gridCol w:w="6388"/>
      </w:tblGrid>
      <w:tr>
        <w:trPr>
          <w:trHeight w:val="270" w:hRule="atLeast"/>
        </w:trPr>
        <w:tc>
          <w:tcPr>
            <w:tcW w:w="9051" w:type="dxa"/>
            <w:gridSpan w:val="3"/>
            <w:tcBorders>
              <w:bottom w:val="single" w:sz="4" w:space="0" w:color="000000"/>
            </w:tcBorders>
            <w:shd w:val="clear" w:color="auto" w:fill="EDEBE0"/>
          </w:tcPr>
          <w:p>
            <w:pPr>
              <w:pStyle w:val="TableParagraph"/>
              <w:spacing w:line="250" w:lineRule="exact"/>
              <w:ind w:left="107"/>
              <w:rPr>
                <w:rFonts w:ascii="宋体" w:eastAsia="宋体" w:hint="eastAsia"/>
                <w:sz w:val="21"/>
              </w:rPr>
            </w:pPr>
            <w:r>
              <w:rPr>
                <w:rFonts w:ascii="宋体" w:eastAsia="宋体" w:hint="eastAsia"/>
                <w:sz w:val="21"/>
              </w:rPr>
              <w:t>常用词语释义</w:t>
            </w:r>
          </w:p>
        </w:tc>
      </w:tr>
      <w:tr>
        <w:trPr>
          <w:trHeight w:val="273" w:hRule="atLeast"/>
        </w:trPr>
        <w:tc>
          <w:tcPr>
            <w:tcW w:w="2235" w:type="dxa"/>
            <w:tcBorders>
              <w:top w:val="single" w:sz="4" w:space="0" w:color="000000"/>
              <w:bottom w:val="single" w:sz="4" w:space="0" w:color="000000"/>
              <w:right w:val="single" w:sz="4" w:space="0" w:color="000000"/>
            </w:tcBorders>
          </w:tcPr>
          <w:p>
            <w:pPr>
              <w:pStyle w:val="TableParagraph"/>
              <w:spacing w:line="250" w:lineRule="exact" w:before="3"/>
              <w:ind w:left="107"/>
              <w:rPr>
                <w:rFonts w:ascii="宋体" w:eastAsia="宋体" w:hint="eastAsia"/>
                <w:sz w:val="21"/>
              </w:rPr>
            </w:pPr>
            <w:r>
              <w:rPr>
                <w:rFonts w:ascii="宋体" w:eastAsia="宋体" w:hint="eastAsia"/>
                <w:sz w:val="21"/>
              </w:rPr>
              <w:t>中国证监会、证监会</w:t>
            </w:r>
          </w:p>
        </w:tc>
        <w:tc>
          <w:tcPr>
            <w:tcW w:w="428"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50" w:lineRule="exact" w:before="3"/>
              <w:ind w:left="27"/>
              <w:jc w:val="center"/>
              <w:rPr>
                <w:rFonts w:ascii="宋体" w:eastAsia="宋体" w:hint="eastAsia"/>
                <w:sz w:val="21"/>
              </w:rPr>
            </w:pPr>
            <w:r>
              <w:rPr>
                <w:rFonts w:ascii="宋体" w:eastAsia="宋体" w:hint="eastAsia"/>
                <w:w w:val="100"/>
                <w:sz w:val="21"/>
              </w:rPr>
              <w:t>指</w:t>
            </w:r>
          </w:p>
        </w:tc>
        <w:tc>
          <w:tcPr>
            <w:tcW w:w="6388" w:type="dxa"/>
            <w:tcBorders>
              <w:top w:val="single" w:sz="4" w:space="0" w:color="000000"/>
              <w:left w:val="single" w:sz="4" w:space="0" w:color="000000"/>
              <w:bottom w:val="single" w:sz="4" w:space="0" w:color="000000"/>
            </w:tcBorders>
          </w:tcPr>
          <w:p>
            <w:pPr>
              <w:pStyle w:val="TableParagraph"/>
              <w:spacing w:line="250" w:lineRule="exact" w:before="3"/>
              <w:ind w:left="114"/>
              <w:rPr>
                <w:rFonts w:ascii="宋体" w:eastAsia="宋体" w:hint="eastAsia"/>
                <w:sz w:val="21"/>
              </w:rPr>
            </w:pPr>
            <w:r>
              <w:rPr>
                <w:rFonts w:ascii="宋体" w:eastAsia="宋体" w:hint="eastAsia"/>
                <w:sz w:val="21"/>
              </w:rPr>
              <w:t>中国证券监督管理委员会</w:t>
            </w:r>
          </w:p>
        </w:tc>
      </w:tr>
      <w:tr>
        <w:trPr>
          <w:trHeight w:val="273" w:hRule="atLeast"/>
        </w:trPr>
        <w:tc>
          <w:tcPr>
            <w:tcW w:w="2235"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上交所</w:t>
            </w:r>
          </w:p>
        </w:tc>
        <w:tc>
          <w:tcPr>
            <w:tcW w:w="428"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52" w:lineRule="exact" w:before="1"/>
              <w:ind w:left="27"/>
              <w:jc w:val="center"/>
              <w:rPr>
                <w:rFonts w:ascii="宋体" w:eastAsia="宋体" w:hint="eastAsia"/>
                <w:sz w:val="21"/>
              </w:rPr>
            </w:pPr>
            <w:r>
              <w:rPr>
                <w:rFonts w:ascii="宋体" w:eastAsia="宋体" w:hint="eastAsia"/>
                <w:w w:val="100"/>
                <w:sz w:val="21"/>
              </w:rPr>
              <w:t>指</w:t>
            </w:r>
          </w:p>
        </w:tc>
        <w:tc>
          <w:tcPr>
            <w:tcW w:w="6388" w:type="dxa"/>
            <w:tcBorders>
              <w:top w:val="single" w:sz="4" w:space="0" w:color="000000"/>
              <w:left w:val="single" w:sz="4" w:space="0" w:color="000000"/>
              <w:bottom w:val="single" w:sz="4" w:space="0" w:color="000000"/>
            </w:tcBorders>
          </w:tcPr>
          <w:p>
            <w:pPr>
              <w:pStyle w:val="TableParagraph"/>
              <w:spacing w:line="252" w:lineRule="exact" w:before="1"/>
              <w:ind w:left="114"/>
              <w:rPr>
                <w:rFonts w:ascii="宋体" w:eastAsia="宋体" w:hint="eastAsia"/>
                <w:sz w:val="21"/>
              </w:rPr>
            </w:pPr>
            <w:r>
              <w:rPr>
                <w:rFonts w:ascii="宋体" w:eastAsia="宋体" w:hint="eastAsia"/>
                <w:sz w:val="21"/>
              </w:rPr>
              <w:t>上海证券交易所</w:t>
            </w:r>
          </w:p>
        </w:tc>
      </w:tr>
      <w:tr>
        <w:trPr>
          <w:trHeight w:val="544" w:hRule="atLeast"/>
        </w:trPr>
        <w:tc>
          <w:tcPr>
            <w:tcW w:w="2235" w:type="dxa"/>
            <w:tcBorders>
              <w:top w:val="single" w:sz="4" w:space="0" w:color="000000"/>
              <w:bottom w:val="single" w:sz="4" w:space="0" w:color="000000"/>
              <w:right w:val="single" w:sz="4" w:space="0" w:color="000000"/>
            </w:tcBorders>
          </w:tcPr>
          <w:p>
            <w:pPr>
              <w:pStyle w:val="TableParagraph"/>
              <w:spacing w:before="1"/>
              <w:ind w:left="107"/>
              <w:rPr>
                <w:rFonts w:ascii="宋体" w:eastAsia="宋体" w:hint="eastAsia"/>
                <w:sz w:val="21"/>
              </w:rPr>
            </w:pPr>
            <w:r>
              <w:rPr>
                <w:rFonts w:ascii="宋体" w:eastAsia="宋体" w:hint="eastAsia"/>
                <w:sz w:val="21"/>
              </w:rPr>
              <w:t>本公司、公司、海尔智</w:t>
            </w:r>
          </w:p>
          <w:p>
            <w:pPr>
              <w:pStyle w:val="TableParagraph"/>
              <w:spacing w:line="252" w:lineRule="exact" w:before="2"/>
              <w:ind w:left="107"/>
              <w:rPr>
                <w:rFonts w:ascii="宋体" w:eastAsia="宋体" w:hint="eastAsia"/>
                <w:sz w:val="21"/>
              </w:rPr>
            </w:pPr>
            <w:r>
              <w:rPr>
                <w:rFonts w:ascii="宋体" w:eastAsia="宋体" w:hint="eastAsia"/>
                <w:w w:val="100"/>
                <w:sz w:val="21"/>
              </w:rPr>
              <w:t>家</w:t>
            </w:r>
          </w:p>
        </w:tc>
        <w:tc>
          <w:tcPr>
            <w:tcW w:w="428"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138"/>
              <w:ind w:left="27"/>
              <w:jc w:val="center"/>
              <w:rPr>
                <w:rFonts w:ascii="宋体" w:eastAsia="宋体" w:hint="eastAsia"/>
                <w:sz w:val="21"/>
              </w:rPr>
            </w:pPr>
            <w:r>
              <w:rPr>
                <w:rFonts w:ascii="宋体" w:eastAsia="宋体" w:hint="eastAsia"/>
                <w:w w:val="100"/>
                <w:sz w:val="21"/>
              </w:rPr>
              <w:t>指</w:t>
            </w:r>
          </w:p>
        </w:tc>
        <w:tc>
          <w:tcPr>
            <w:tcW w:w="6388" w:type="dxa"/>
            <w:tcBorders>
              <w:top w:val="single" w:sz="4" w:space="0" w:color="000000"/>
              <w:left w:val="single" w:sz="4" w:space="0" w:color="000000"/>
              <w:bottom w:val="single" w:sz="4" w:space="0" w:color="000000"/>
            </w:tcBorders>
          </w:tcPr>
          <w:p>
            <w:pPr>
              <w:pStyle w:val="TableParagraph"/>
              <w:spacing w:before="1"/>
              <w:ind w:left="114"/>
              <w:rPr>
                <w:rFonts w:ascii="宋体" w:hAnsi="宋体" w:eastAsia="宋体" w:hint="eastAsia"/>
                <w:sz w:val="21"/>
              </w:rPr>
            </w:pPr>
            <w:r>
              <w:rPr>
                <w:rFonts w:ascii="宋体" w:hAnsi="宋体" w:eastAsia="宋体" w:hint="eastAsia"/>
                <w:sz w:val="21"/>
              </w:rPr>
              <w:t>海尔智家股份有限公司，原名</w:t>
            </w:r>
            <w:r>
              <w:rPr>
                <w:sz w:val="21"/>
              </w:rPr>
              <w:t>“</w:t>
            </w:r>
            <w:r>
              <w:rPr>
                <w:rFonts w:ascii="宋体" w:hAnsi="宋体" w:eastAsia="宋体" w:hint="eastAsia"/>
                <w:sz w:val="21"/>
              </w:rPr>
              <w:t>青岛海尔股份有限公司</w:t>
            </w:r>
            <w:r>
              <w:rPr>
                <w:sz w:val="21"/>
              </w:rPr>
              <w:t>”</w:t>
            </w:r>
            <w:r>
              <w:rPr>
                <w:rFonts w:ascii="宋体" w:hAnsi="宋体" w:eastAsia="宋体" w:hint="eastAsia"/>
                <w:sz w:val="21"/>
              </w:rPr>
              <w:t>，原简称</w:t>
            </w:r>
            <w:r>
              <w:rPr>
                <w:sz w:val="21"/>
              </w:rPr>
              <w:t>“</w:t>
            </w:r>
            <w:r>
              <w:rPr>
                <w:rFonts w:ascii="宋体" w:hAnsi="宋体" w:eastAsia="宋体" w:hint="eastAsia"/>
                <w:sz w:val="21"/>
              </w:rPr>
              <w:t>青</w:t>
            </w:r>
          </w:p>
          <w:p>
            <w:pPr>
              <w:pStyle w:val="TableParagraph"/>
              <w:spacing w:line="252" w:lineRule="exact" w:before="2"/>
              <w:ind w:left="114"/>
              <w:rPr>
                <w:sz w:val="21"/>
              </w:rPr>
            </w:pPr>
            <w:r>
              <w:rPr>
                <w:rFonts w:ascii="宋体" w:hAnsi="宋体" w:eastAsia="宋体" w:hint="eastAsia"/>
                <w:sz w:val="21"/>
              </w:rPr>
              <w:t>岛海尔</w:t>
            </w:r>
            <w:r>
              <w:rPr>
                <w:sz w:val="21"/>
              </w:rPr>
              <w:t>”</w:t>
            </w:r>
          </w:p>
        </w:tc>
      </w:tr>
      <w:tr>
        <w:trPr>
          <w:trHeight w:val="273" w:hRule="atLeast"/>
        </w:trPr>
        <w:tc>
          <w:tcPr>
            <w:tcW w:w="2235"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四大证券报</w:t>
            </w:r>
          </w:p>
        </w:tc>
        <w:tc>
          <w:tcPr>
            <w:tcW w:w="428"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52" w:lineRule="exact" w:before="1"/>
              <w:ind w:left="27"/>
              <w:jc w:val="center"/>
              <w:rPr>
                <w:rFonts w:ascii="宋体" w:eastAsia="宋体" w:hint="eastAsia"/>
                <w:sz w:val="21"/>
              </w:rPr>
            </w:pPr>
            <w:r>
              <w:rPr>
                <w:rFonts w:ascii="宋体" w:eastAsia="宋体" w:hint="eastAsia"/>
                <w:w w:val="100"/>
                <w:sz w:val="21"/>
              </w:rPr>
              <w:t>指</w:t>
            </w:r>
          </w:p>
        </w:tc>
        <w:tc>
          <w:tcPr>
            <w:tcW w:w="6388" w:type="dxa"/>
            <w:tcBorders>
              <w:top w:val="single" w:sz="4" w:space="0" w:color="000000"/>
              <w:left w:val="single" w:sz="4" w:space="0" w:color="000000"/>
              <w:bottom w:val="single" w:sz="4" w:space="0" w:color="000000"/>
            </w:tcBorders>
          </w:tcPr>
          <w:p>
            <w:pPr>
              <w:pStyle w:val="TableParagraph"/>
              <w:spacing w:line="252" w:lineRule="exact" w:before="1"/>
              <w:ind w:left="114"/>
              <w:rPr>
                <w:rFonts w:ascii="宋体" w:eastAsia="宋体" w:hint="eastAsia"/>
                <w:sz w:val="21"/>
              </w:rPr>
            </w:pPr>
            <w:r>
              <w:rPr>
                <w:rFonts w:ascii="宋体" w:eastAsia="宋体" w:hint="eastAsia"/>
                <w:sz w:val="21"/>
              </w:rPr>
              <w:t>《中国证券报》、《上海证券报》、《证券时报》、《证券日报》</w:t>
            </w:r>
          </w:p>
        </w:tc>
      </w:tr>
      <w:tr>
        <w:trPr>
          <w:trHeight w:val="816" w:hRule="atLeast"/>
        </w:trPr>
        <w:tc>
          <w:tcPr>
            <w:tcW w:w="2235" w:type="dxa"/>
            <w:tcBorders>
              <w:top w:val="single" w:sz="4" w:space="0" w:color="000000"/>
              <w:bottom w:val="single" w:sz="4" w:space="0" w:color="000000"/>
              <w:right w:val="single" w:sz="4" w:space="0" w:color="000000"/>
            </w:tcBorders>
          </w:tcPr>
          <w:p>
            <w:pPr>
              <w:pStyle w:val="TableParagraph"/>
              <w:spacing w:before="3"/>
              <w:rPr>
                <w:rFonts w:ascii="宋体"/>
                <w:sz w:val="21"/>
              </w:rPr>
            </w:pPr>
          </w:p>
          <w:p>
            <w:pPr>
              <w:pStyle w:val="TableParagraph"/>
              <w:ind w:left="107"/>
              <w:rPr>
                <w:sz w:val="21"/>
              </w:rPr>
            </w:pPr>
            <w:r>
              <w:rPr>
                <w:rFonts w:ascii="宋体" w:eastAsia="宋体" w:hint="eastAsia"/>
                <w:sz w:val="21"/>
              </w:rPr>
              <w:t>海尔电器、</w:t>
            </w:r>
            <w:r>
              <w:rPr>
                <w:sz w:val="21"/>
              </w:rPr>
              <w:t>1169</w:t>
            </w:r>
          </w:p>
        </w:tc>
        <w:tc>
          <w:tcPr>
            <w:tcW w:w="428"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3"/>
              <w:rPr>
                <w:rFonts w:ascii="宋体"/>
                <w:sz w:val="21"/>
              </w:rPr>
            </w:pPr>
          </w:p>
          <w:p>
            <w:pPr>
              <w:pStyle w:val="TableParagraph"/>
              <w:ind w:left="27"/>
              <w:jc w:val="center"/>
              <w:rPr>
                <w:rFonts w:ascii="宋体" w:eastAsia="宋体" w:hint="eastAsia"/>
                <w:sz w:val="21"/>
              </w:rPr>
            </w:pPr>
            <w:r>
              <w:rPr>
                <w:rFonts w:ascii="宋体" w:eastAsia="宋体" w:hint="eastAsia"/>
                <w:w w:val="100"/>
                <w:sz w:val="21"/>
              </w:rPr>
              <w:t>指</w:t>
            </w:r>
          </w:p>
        </w:tc>
        <w:tc>
          <w:tcPr>
            <w:tcW w:w="6388" w:type="dxa"/>
            <w:tcBorders>
              <w:top w:val="single" w:sz="4" w:space="0" w:color="000000"/>
              <w:left w:val="single" w:sz="4" w:space="0" w:color="000000"/>
              <w:bottom w:val="single" w:sz="4" w:space="0" w:color="000000"/>
            </w:tcBorders>
          </w:tcPr>
          <w:p>
            <w:pPr>
              <w:pStyle w:val="TableParagraph"/>
              <w:spacing w:line="242" w:lineRule="auto" w:before="1"/>
              <w:ind w:left="114" w:right="75"/>
              <w:rPr>
                <w:sz w:val="21"/>
              </w:rPr>
            </w:pPr>
            <w:r>
              <w:rPr>
                <w:rFonts w:ascii="宋体" w:eastAsia="宋体" w:hint="eastAsia"/>
                <w:sz w:val="21"/>
              </w:rPr>
              <w:t>海尔电器集团有限公司（原香港上市公司，代码：</w:t>
            </w:r>
            <w:r>
              <w:rPr>
                <w:sz w:val="21"/>
              </w:rPr>
              <w:t>01169.HK</w:t>
            </w:r>
            <w:r>
              <w:rPr>
                <w:rFonts w:ascii="宋体" w:eastAsia="宋体" w:hint="eastAsia"/>
                <w:sz w:val="21"/>
              </w:rPr>
              <w:t>）</w:t>
            </w:r>
            <w:r>
              <w:rPr>
                <w:rFonts w:ascii="宋体" w:eastAsia="宋体" w:hint="eastAsia"/>
                <w:spacing w:val="-6"/>
                <w:sz w:val="21"/>
              </w:rPr>
              <w:t>，本</w:t>
            </w:r>
            <w:r>
              <w:rPr>
                <w:rFonts w:ascii="宋体" w:eastAsia="宋体" w:hint="eastAsia"/>
                <w:spacing w:val="-3"/>
                <w:sz w:val="21"/>
              </w:rPr>
              <w:t>公司合并报表范围子公司；</w:t>
            </w:r>
            <w:r>
              <w:rPr>
                <w:sz w:val="21"/>
              </w:rPr>
              <w:t>2020 </w:t>
            </w:r>
            <w:r>
              <w:rPr>
                <w:rFonts w:ascii="宋体" w:eastAsia="宋体" w:hint="eastAsia"/>
                <w:spacing w:val="-23"/>
                <w:sz w:val="21"/>
              </w:rPr>
              <w:t>年 </w:t>
            </w:r>
            <w:r>
              <w:rPr>
                <w:sz w:val="21"/>
              </w:rPr>
              <w:t>12 </w:t>
            </w:r>
            <w:r>
              <w:rPr>
                <w:rFonts w:ascii="宋体" w:eastAsia="宋体" w:hint="eastAsia"/>
                <w:spacing w:val="-22"/>
                <w:sz w:val="21"/>
              </w:rPr>
              <w:t>月 </w:t>
            </w:r>
            <w:r>
              <w:rPr>
                <w:sz w:val="21"/>
              </w:rPr>
              <w:t>23 </w:t>
            </w:r>
            <w:r>
              <w:rPr>
                <w:rFonts w:ascii="宋体" w:eastAsia="宋体" w:hint="eastAsia"/>
                <w:spacing w:val="-8"/>
                <w:sz w:val="21"/>
              </w:rPr>
              <w:t>日，公司完成以发行 </w:t>
            </w:r>
            <w:r>
              <w:rPr>
                <w:sz w:val="21"/>
              </w:rPr>
              <w:t>H</w:t>
            </w:r>
          </w:p>
          <w:p>
            <w:pPr>
              <w:pStyle w:val="TableParagraph"/>
              <w:spacing w:line="250" w:lineRule="exact" w:before="2"/>
              <w:ind w:left="114"/>
              <w:rPr>
                <w:rFonts w:ascii="宋体" w:eastAsia="宋体" w:hint="eastAsia"/>
                <w:sz w:val="21"/>
              </w:rPr>
            </w:pPr>
            <w:r>
              <w:rPr>
                <w:rFonts w:ascii="宋体" w:eastAsia="宋体" w:hint="eastAsia"/>
                <w:sz w:val="21"/>
              </w:rPr>
              <w:t>股方式将其私有化，至此，海尔电器已成为公司全资子公司。</w:t>
            </w:r>
          </w:p>
        </w:tc>
      </w:tr>
      <w:tr>
        <w:trPr>
          <w:trHeight w:val="544" w:hRule="atLeast"/>
        </w:trPr>
        <w:tc>
          <w:tcPr>
            <w:tcW w:w="2235" w:type="dxa"/>
            <w:tcBorders>
              <w:top w:val="single" w:sz="4" w:space="0" w:color="000000"/>
              <w:bottom w:val="single" w:sz="4" w:space="0" w:color="000000"/>
              <w:right w:val="single" w:sz="4" w:space="0" w:color="000000"/>
            </w:tcBorders>
          </w:tcPr>
          <w:p>
            <w:pPr>
              <w:pStyle w:val="TableParagraph"/>
              <w:spacing w:before="144"/>
              <w:ind w:left="107"/>
              <w:rPr>
                <w:sz w:val="21"/>
              </w:rPr>
            </w:pPr>
            <w:r>
              <w:rPr>
                <w:sz w:val="21"/>
              </w:rPr>
              <w:t>GEA</w:t>
            </w:r>
          </w:p>
        </w:tc>
        <w:tc>
          <w:tcPr>
            <w:tcW w:w="428"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138"/>
              <w:ind w:left="27"/>
              <w:jc w:val="center"/>
              <w:rPr>
                <w:rFonts w:ascii="宋体" w:eastAsia="宋体" w:hint="eastAsia"/>
                <w:sz w:val="21"/>
              </w:rPr>
            </w:pPr>
            <w:r>
              <w:rPr>
                <w:rFonts w:ascii="宋体" w:eastAsia="宋体" w:hint="eastAsia"/>
                <w:w w:val="100"/>
                <w:sz w:val="21"/>
              </w:rPr>
              <w:t>指</w:t>
            </w:r>
          </w:p>
        </w:tc>
        <w:tc>
          <w:tcPr>
            <w:tcW w:w="6388" w:type="dxa"/>
            <w:tcBorders>
              <w:top w:val="single" w:sz="4" w:space="0" w:color="000000"/>
              <w:left w:val="single" w:sz="4" w:space="0" w:color="000000"/>
              <w:bottom w:val="single" w:sz="4" w:space="0" w:color="000000"/>
            </w:tcBorders>
          </w:tcPr>
          <w:p>
            <w:pPr>
              <w:pStyle w:val="TableParagraph"/>
              <w:spacing w:before="1"/>
              <w:ind w:left="114"/>
              <w:rPr>
                <w:rFonts w:ascii="宋体" w:eastAsia="宋体" w:hint="eastAsia"/>
                <w:sz w:val="21"/>
              </w:rPr>
            </w:pPr>
            <w:r>
              <w:rPr>
                <w:sz w:val="21"/>
              </w:rPr>
              <w:t>GE Appliances</w:t>
            </w:r>
            <w:r>
              <w:rPr>
                <w:rFonts w:ascii="宋体" w:eastAsia="宋体" w:hint="eastAsia"/>
                <w:sz w:val="21"/>
              </w:rPr>
              <w:t>，通用电气家用电器资产与业务，该资产与业务属于</w:t>
            </w:r>
          </w:p>
          <w:p>
            <w:pPr>
              <w:pStyle w:val="TableParagraph"/>
              <w:spacing w:line="250" w:lineRule="exact" w:before="4"/>
              <w:ind w:left="114"/>
              <w:rPr>
                <w:rFonts w:ascii="宋体" w:eastAsia="宋体" w:hint="eastAsia"/>
                <w:sz w:val="21"/>
              </w:rPr>
            </w:pPr>
            <w:r>
              <w:rPr>
                <w:rFonts w:ascii="宋体" w:eastAsia="宋体" w:hint="eastAsia"/>
                <w:sz w:val="21"/>
              </w:rPr>
              <w:t>本公司。</w:t>
            </w:r>
          </w:p>
        </w:tc>
      </w:tr>
      <w:tr>
        <w:trPr>
          <w:trHeight w:val="1362" w:hRule="atLeast"/>
        </w:trPr>
        <w:tc>
          <w:tcPr>
            <w:tcW w:w="2235" w:type="dxa"/>
            <w:tcBorders>
              <w:top w:val="single" w:sz="4" w:space="0" w:color="000000"/>
              <w:bottom w:val="single" w:sz="4" w:space="0" w:color="000000"/>
              <w:right w:val="single" w:sz="4" w:space="0" w:color="000000"/>
            </w:tcBorders>
          </w:tcPr>
          <w:p>
            <w:pPr>
              <w:pStyle w:val="TableParagraph"/>
              <w:rPr>
                <w:rFonts w:ascii="宋体"/>
                <w:sz w:val="22"/>
              </w:rPr>
            </w:pPr>
          </w:p>
          <w:p>
            <w:pPr>
              <w:pStyle w:val="TableParagraph"/>
              <w:spacing w:before="4"/>
              <w:rPr>
                <w:rFonts w:ascii="宋体"/>
                <w:sz w:val="21"/>
              </w:rPr>
            </w:pPr>
          </w:p>
          <w:p>
            <w:pPr>
              <w:pStyle w:val="TableParagraph"/>
              <w:ind w:left="107"/>
              <w:rPr>
                <w:sz w:val="21"/>
              </w:rPr>
            </w:pPr>
            <w:r>
              <w:rPr>
                <w:sz w:val="21"/>
              </w:rPr>
              <w:t>FPA</w:t>
            </w:r>
          </w:p>
        </w:tc>
        <w:tc>
          <w:tcPr>
            <w:tcW w:w="428"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rPr>
                <w:rFonts w:ascii="宋体"/>
                <w:sz w:val="20"/>
              </w:rPr>
            </w:pPr>
          </w:p>
          <w:p>
            <w:pPr>
              <w:pStyle w:val="TableParagraph"/>
              <w:spacing w:before="7"/>
              <w:rPr>
                <w:rFonts w:ascii="宋体"/>
                <w:sz w:val="22"/>
              </w:rPr>
            </w:pPr>
          </w:p>
          <w:p>
            <w:pPr>
              <w:pStyle w:val="TableParagraph"/>
              <w:ind w:left="27"/>
              <w:jc w:val="center"/>
              <w:rPr>
                <w:rFonts w:ascii="宋体" w:eastAsia="宋体" w:hint="eastAsia"/>
                <w:sz w:val="21"/>
              </w:rPr>
            </w:pPr>
            <w:r>
              <w:rPr>
                <w:rFonts w:ascii="宋体" w:eastAsia="宋体" w:hint="eastAsia"/>
                <w:w w:val="100"/>
                <w:sz w:val="21"/>
              </w:rPr>
              <w:t>指</w:t>
            </w:r>
          </w:p>
        </w:tc>
        <w:tc>
          <w:tcPr>
            <w:tcW w:w="6388" w:type="dxa"/>
            <w:tcBorders>
              <w:top w:val="single" w:sz="4" w:space="0" w:color="000000"/>
              <w:left w:val="single" w:sz="4" w:space="0" w:color="000000"/>
              <w:bottom w:val="single" w:sz="4" w:space="0" w:color="000000"/>
            </w:tcBorders>
          </w:tcPr>
          <w:p>
            <w:pPr>
              <w:pStyle w:val="TableParagraph"/>
              <w:spacing w:line="242" w:lineRule="auto" w:before="1"/>
              <w:ind w:left="114" w:right="-29"/>
              <w:rPr>
                <w:rFonts w:ascii="宋体" w:eastAsia="宋体" w:hint="eastAsia"/>
                <w:sz w:val="21"/>
              </w:rPr>
            </w:pPr>
            <w:r>
              <w:rPr>
                <w:sz w:val="21"/>
              </w:rPr>
              <w:t>Fisher</w:t>
            </w:r>
            <w:r>
              <w:rPr>
                <w:spacing w:val="-1"/>
                <w:sz w:val="21"/>
              </w:rPr>
              <w:t> </w:t>
            </w:r>
            <w:r>
              <w:rPr>
                <w:sz w:val="21"/>
              </w:rPr>
              <w:t>&amp;</w:t>
            </w:r>
            <w:r>
              <w:rPr>
                <w:spacing w:val="-1"/>
                <w:sz w:val="21"/>
              </w:rPr>
              <w:t> </w:t>
            </w:r>
            <w:r>
              <w:rPr>
                <w:sz w:val="21"/>
              </w:rPr>
              <w:t>Paykel</w:t>
            </w:r>
            <w:r>
              <w:rPr>
                <w:spacing w:val="-1"/>
                <w:sz w:val="21"/>
              </w:rPr>
              <w:t> </w:t>
            </w:r>
            <w:r>
              <w:rPr>
                <w:sz w:val="21"/>
              </w:rPr>
              <w:t>Appliances</w:t>
            </w:r>
            <w:r>
              <w:rPr>
                <w:spacing w:val="-3"/>
                <w:sz w:val="21"/>
              </w:rPr>
              <w:t> </w:t>
            </w:r>
            <w:r>
              <w:rPr>
                <w:sz w:val="21"/>
              </w:rPr>
              <w:t>Holdings Limited</w:t>
            </w:r>
            <w:r>
              <w:rPr>
                <w:rFonts w:ascii="宋体" w:eastAsia="宋体" w:hint="eastAsia"/>
                <w:sz w:val="21"/>
              </w:rPr>
              <w:t>（</w:t>
            </w:r>
            <w:r>
              <w:rPr>
                <w:rFonts w:ascii="宋体" w:eastAsia="宋体" w:hint="eastAsia"/>
                <w:spacing w:val="-3"/>
                <w:sz w:val="21"/>
              </w:rPr>
              <w:t>中文名：斐雪派克</w:t>
            </w:r>
            <w:r>
              <w:rPr>
                <w:rFonts w:ascii="宋体" w:eastAsia="宋体" w:hint="eastAsia"/>
                <w:sz w:val="21"/>
              </w:rPr>
              <w:t>）， </w:t>
            </w:r>
            <w:r>
              <w:rPr>
                <w:rFonts w:ascii="宋体" w:eastAsia="宋体" w:hint="eastAsia"/>
                <w:spacing w:val="-12"/>
                <w:sz w:val="21"/>
              </w:rPr>
              <w:t>成立于 </w:t>
            </w:r>
            <w:r>
              <w:rPr>
                <w:sz w:val="21"/>
              </w:rPr>
              <w:t>1934</w:t>
            </w:r>
            <w:r>
              <w:rPr>
                <w:spacing w:val="14"/>
                <w:sz w:val="21"/>
              </w:rPr>
              <w:t> </w:t>
            </w:r>
            <w:r>
              <w:rPr>
                <w:rFonts w:ascii="宋体" w:eastAsia="宋体" w:hint="eastAsia"/>
                <w:spacing w:val="-14"/>
                <w:sz w:val="21"/>
              </w:rPr>
              <w:t>年，为新西兰国宝级电器品牌、全球顶级厨房电器品牌、世界著名的奢侈品品牌。产品线覆盖烟机、灶具、烤箱、洗碗机、</w:t>
            </w:r>
            <w:r>
              <w:rPr>
                <w:rFonts w:ascii="宋体" w:eastAsia="宋体" w:hint="eastAsia"/>
                <w:spacing w:val="-9"/>
                <w:sz w:val="21"/>
              </w:rPr>
              <w:t>微波炉、嵌入式冰箱、洗衣机、干衣机等产品，业务范围遍布全球</w:t>
            </w:r>
          </w:p>
          <w:p>
            <w:pPr>
              <w:pStyle w:val="TableParagraph"/>
              <w:spacing w:line="252" w:lineRule="exact" w:before="2"/>
              <w:ind w:left="114"/>
              <w:rPr>
                <w:rFonts w:ascii="宋体" w:eastAsia="宋体" w:hint="eastAsia"/>
                <w:sz w:val="21"/>
              </w:rPr>
            </w:pPr>
            <w:r>
              <w:rPr>
                <w:sz w:val="21"/>
              </w:rPr>
              <w:t>50 </w:t>
            </w:r>
            <w:r>
              <w:rPr>
                <w:rFonts w:ascii="宋体" w:eastAsia="宋体" w:hint="eastAsia"/>
                <w:sz w:val="21"/>
              </w:rPr>
              <w:t>个国家</w:t>
            </w:r>
            <w:r>
              <w:rPr>
                <w:sz w:val="21"/>
              </w:rPr>
              <w:t>/</w:t>
            </w:r>
            <w:r>
              <w:rPr>
                <w:rFonts w:ascii="宋体" w:eastAsia="宋体" w:hint="eastAsia"/>
                <w:sz w:val="21"/>
              </w:rPr>
              <w:t>地区。</w:t>
            </w:r>
            <w:r>
              <w:rPr>
                <w:sz w:val="21"/>
              </w:rPr>
              <w:t>FPA </w:t>
            </w:r>
            <w:r>
              <w:rPr>
                <w:rFonts w:ascii="宋体" w:eastAsia="宋体" w:hint="eastAsia"/>
                <w:sz w:val="21"/>
              </w:rPr>
              <w:t>为公司全资子公司。</w:t>
            </w:r>
          </w:p>
        </w:tc>
      </w:tr>
      <w:tr>
        <w:trPr>
          <w:trHeight w:val="1360" w:hRule="atLeast"/>
        </w:trPr>
        <w:tc>
          <w:tcPr>
            <w:tcW w:w="2235" w:type="dxa"/>
            <w:tcBorders>
              <w:top w:val="single" w:sz="4" w:space="0" w:color="000000"/>
              <w:bottom w:val="single" w:sz="4" w:space="0" w:color="000000"/>
              <w:right w:val="single" w:sz="4" w:space="0" w:color="000000"/>
            </w:tcBorders>
          </w:tcPr>
          <w:p>
            <w:pPr>
              <w:pStyle w:val="TableParagraph"/>
              <w:rPr>
                <w:rFonts w:ascii="宋体"/>
                <w:sz w:val="22"/>
              </w:rPr>
            </w:pPr>
          </w:p>
          <w:p>
            <w:pPr>
              <w:pStyle w:val="TableParagraph"/>
              <w:spacing w:before="1"/>
              <w:rPr>
                <w:rFonts w:ascii="宋体"/>
                <w:sz w:val="21"/>
              </w:rPr>
            </w:pPr>
          </w:p>
          <w:p>
            <w:pPr>
              <w:pStyle w:val="TableParagraph"/>
              <w:ind w:left="107"/>
              <w:rPr>
                <w:sz w:val="21"/>
              </w:rPr>
            </w:pPr>
            <w:r>
              <w:rPr>
                <w:sz w:val="21"/>
              </w:rPr>
              <w:t>Candy</w:t>
            </w:r>
          </w:p>
        </w:tc>
        <w:tc>
          <w:tcPr>
            <w:tcW w:w="428"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rPr>
                <w:rFonts w:ascii="宋体"/>
                <w:sz w:val="20"/>
              </w:rPr>
            </w:pPr>
          </w:p>
          <w:p>
            <w:pPr>
              <w:pStyle w:val="TableParagraph"/>
              <w:spacing w:before="7"/>
              <w:rPr>
                <w:rFonts w:ascii="宋体"/>
                <w:sz w:val="22"/>
              </w:rPr>
            </w:pPr>
          </w:p>
          <w:p>
            <w:pPr>
              <w:pStyle w:val="TableParagraph"/>
              <w:ind w:left="27"/>
              <w:jc w:val="center"/>
              <w:rPr>
                <w:rFonts w:ascii="宋体" w:eastAsia="宋体" w:hint="eastAsia"/>
                <w:sz w:val="21"/>
              </w:rPr>
            </w:pPr>
            <w:r>
              <w:rPr>
                <w:rFonts w:ascii="宋体" w:eastAsia="宋体" w:hint="eastAsia"/>
                <w:w w:val="100"/>
                <w:sz w:val="21"/>
              </w:rPr>
              <w:t>指</w:t>
            </w:r>
          </w:p>
        </w:tc>
        <w:tc>
          <w:tcPr>
            <w:tcW w:w="6388" w:type="dxa"/>
            <w:tcBorders>
              <w:top w:val="single" w:sz="4" w:space="0" w:color="000000"/>
              <w:left w:val="single" w:sz="4" w:space="0" w:color="000000"/>
              <w:bottom w:val="single" w:sz="4" w:space="0" w:color="000000"/>
            </w:tcBorders>
          </w:tcPr>
          <w:p>
            <w:pPr>
              <w:pStyle w:val="TableParagraph"/>
              <w:spacing w:line="242" w:lineRule="auto" w:before="1"/>
              <w:ind w:left="114" w:right="75"/>
              <w:jc w:val="both"/>
              <w:rPr>
                <w:rFonts w:ascii="宋体" w:eastAsia="宋体" w:hint="eastAsia"/>
                <w:sz w:val="21"/>
              </w:rPr>
            </w:pPr>
            <w:r>
              <w:rPr>
                <w:sz w:val="21"/>
              </w:rPr>
              <w:t>Candy </w:t>
            </w:r>
            <w:r>
              <w:rPr>
                <w:rFonts w:ascii="宋体" w:eastAsia="宋体" w:hint="eastAsia"/>
                <w:spacing w:val="-30"/>
                <w:sz w:val="21"/>
              </w:rPr>
              <w:t>集团</w:t>
            </w:r>
            <w:r>
              <w:rPr>
                <w:rFonts w:ascii="宋体" w:eastAsia="宋体" w:hint="eastAsia"/>
                <w:sz w:val="21"/>
              </w:rPr>
              <w:t>（</w:t>
            </w:r>
            <w:r>
              <w:rPr>
                <w:sz w:val="21"/>
              </w:rPr>
              <w:t>Candy </w:t>
            </w:r>
            <w:r>
              <w:rPr>
                <w:spacing w:val="-9"/>
                <w:sz w:val="21"/>
              </w:rPr>
              <w:t>S.p.A</w:t>
            </w:r>
            <w:r>
              <w:rPr>
                <w:rFonts w:ascii="宋体" w:eastAsia="宋体" w:hint="eastAsia"/>
                <w:spacing w:val="-9"/>
                <w:sz w:val="21"/>
              </w:rPr>
              <w:t>）</w:t>
            </w:r>
            <w:r>
              <w:rPr>
                <w:spacing w:val="-9"/>
                <w:sz w:val="21"/>
              </w:rPr>
              <w:t>,</w:t>
            </w:r>
            <w:r>
              <w:rPr>
                <w:rFonts w:ascii="宋体" w:eastAsia="宋体" w:hint="eastAsia"/>
                <w:spacing w:val="-7"/>
                <w:sz w:val="21"/>
              </w:rPr>
              <w:t>源于意大利的国际专业电器制造商。</w:t>
            </w:r>
            <w:r>
              <w:rPr>
                <w:sz w:val="21"/>
              </w:rPr>
              <w:t>1945 </w:t>
            </w:r>
            <w:r>
              <w:rPr>
                <w:rFonts w:ascii="宋体" w:eastAsia="宋体" w:hint="eastAsia"/>
                <w:sz w:val="21"/>
              </w:rPr>
              <w:t>年成立以来，一直致力于通过创新技术和优秀服务，让全球用户享受更高品质的生活。集团旗下拥有十多个专业家电品牌，在全球市</w:t>
            </w:r>
            <w:r>
              <w:rPr>
                <w:rFonts w:ascii="宋体" w:eastAsia="宋体" w:hint="eastAsia"/>
                <w:spacing w:val="-3"/>
                <w:sz w:val="21"/>
              </w:rPr>
              <w:t>场上享有盛誉，用户遍布世界各地。</w:t>
            </w:r>
            <w:r>
              <w:rPr>
                <w:sz w:val="21"/>
              </w:rPr>
              <w:t>Candy </w:t>
            </w:r>
            <w:r>
              <w:rPr>
                <w:rFonts w:ascii="宋体" w:eastAsia="宋体" w:hint="eastAsia"/>
                <w:spacing w:val="-24"/>
                <w:sz w:val="21"/>
              </w:rPr>
              <w:t>于 </w:t>
            </w:r>
            <w:r>
              <w:rPr>
                <w:sz w:val="21"/>
              </w:rPr>
              <w:t>2019 </w:t>
            </w:r>
            <w:r>
              <w:rPr>
                <w:rFonts w:ascii="宋体" w:eastAsia="宋体" w:hint="eastAsia"/>
                <w:spacing w:val="-23"/>
                <w:sz w:val="21"/>
              </w:rPr>
              <w:t>年 </w:t>
            </w:r>
            <w:r>
              <w:rPr>
                <w:sz w:val="21"/>
              </w:rPr>
              <w:t>1 </w:t>
            </w:r>
            <w:r>
              <w:rPr>
                <w:rFonts w:ascii="宋体" w:eastAsia="宋体" w:hint="eastAsia"/>
                <w:spacing w:val="-3"/>
                <w:sz w:val="21"/>
              </w:rPr>
              <w:t>月成为本公</w:t>
            </w:r>
          </w:p>
          <w:p>
            <w:pPr>
              <w:pStyle w:val="TableParagraph"/>
              <w:spacing w:line="250" w:lineRule="exact" w:before="2"/>
              <w:ind w:left="114"/>
              <w:rPr>
                <w:rFonts w:ascii="宋体" w:eastAsia="宋体" w:hint="eastAsia"/>
                <w:sz w:val="21"/>
              </w:rPr>
            </w:pPr>
            <w:r>
              <w:rPr>
                <w:rFonts w:ascii="宋体" w:eastAsia="宋体" w:hint="eastAsia"/>
                <w:sz w:val="21"/>
              </w:rPr>
              <w:t>司全资子公司。</w:t>
            </w:r>
          </w:p>
        </w:tc>
      </w:tr>
      <w:tr>
        <w:trPr>
          <w:trHeight w:val="544" w:hRule="atLeast"/>
        </w:trPr>
        <w:tc>
          <w:tcPr>
            <w:tcW w:w="2235" w:type="dxa"/>
            <w:tcBorders>
              <w:top w:val="single" w:sz="4" w:space="0" w:color="000000"/>
              <w:bottom w:val="single" w:sz="4" w:space="0" w:color="000000"/>
              <w:right w:val="single" w:sz="4" w:space="0" w:color="000000"/>
            </w:tcBorders>
          </w:tcPr>
          <w:p>
            <w:pPr>
              <w:pStyle w:val="TableParagraph"/>
              <w:spacing w:before="138"/>
              <w:ind w:left="107"/>
              <w:rPr>
                <w:rFonts w:ascii="宋体" w:eastAsia="宋体" w:hint="eastAsia"/>
                <w:sz w:val="21"/>
              </w:rPr>
            </w:pPr>
            <w:r>
              <w:rPr>
                <w:rFonts w:ascii="宋体" w:eastAsia="宋体" w:hint="eastAsia"/>
                <w:sz w:val="21"/>
              </w:rPr>
              <w:t>中怡康</w:t>
            </w:r>
          </w:p>
        </w:tc>
        <w:tc>
          <w:tcPr>
            <w:tcW w:w="428"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138"/>
              <w:ind w:left="27"/>
              <w:jc w:val="center"/>
              <w:rPr>
                <w:rFonts w:ascii="宋体" w:eastAsia="宋体" w:hint="eastAsia"/>
                <w:sz w:val="21"/>
              </w:rPr>
            </w:pPr>
            <w:r>
              <w:rPr>
                <w:rFonts w:ascii="宋体" w:eastAsia="宋体" w:hint="eastAsia"/>
                <w:w w:val="100"/>
                <w:sz w:val="21"/>
              </w:rPr>
              <w:t>指</w:t>
            </w:r>
          </w:p>
        </w:tc>
        <w:tc>
          <w:tcPr>
            <w:tcW w:w="6388" w:type="dxa"/>
            <w:tcBorders>
              <w:top w:val="single" w:sz="4" w:space="0" w:color="000000"/>
              <w:left w:val="single" w:sz="4" w:space="0" w:color="000000"/>
              <w:bottom w:val="single" w:sz="4" w:space="0" w:color="000000"/>
            </w:tcBorders>
          </w:tcPr>
          <w:p>
            <w:pPr>
              <w:pStyle w:val="TableParagraph"/>
              <w:spacing w:line="270" w:lineRule="atLeast" w:before="3"/>
              <w:ind w:left="114" w:right="-29"/>
              <w:rPr>
                <w:rFonts w:ascii="宋体" w:eastAsia="宋体" w:hint="eastAsia"/>
                <w:sz w:val="21"/>
              </w:rPr>
            </w:pPr>
            <w:r>
              <w:rPr>
                <w:rFonts w:ascii="宋体" w:eastAsia="宋体" w:hint="eastAsia"/>
                <w:spacing w:val="-7"/>
                <w:sz w:val="21"/>
              </w:rPr>
              <w:t>北京中怡康时代市场研究有限公司，成立于 </w:t>
            </w:r>
            <w:r>
              <w:rPr>
                <w:sz w:val="21"/>
              </w:rPr>
              <w:t>1994</w:t>
            </w:r>
            <w:r>
              <w:rPr>
                <w:spacing w:val="4"/>
                <w:sz w:val="21"/>
              </w:rPr>
              <w:t> </w:t>
            </w:r>
            <w:r>
              <w:rPr>
                <w:rFonts w:ascii="宋体" w:eastAsia="宋体" w:hint="eastAsia"/>
                <w:spacing w:val="-5"/>
                <w:sz w:val="21"/>
              </w:rPr>
              <w:t>年，长期专注于中</w:t>
            </w:r>
            <w:r>
              <w:rPr>
                <w:rFonts w:ascii="宋体" w:eastAsia="宋体" w:hint="eastAsia"/>
                <w:spacing w:val="-7"/>
                <w:sz w:val="21"/>
              </w:rPr>
              <w:t>国消费品市场零售研究，是中国家电领域专业市场研究的权威机构。</w:t>
            </w:r>
          </w:p>
        </w:tc>
      </w:tr>
      <w:tr>
        <w:trPr>
          <w:trHeight w:val="1091" w:hRule="atLeast"/>
        </w:trPr>
        <w:tc>
          <w:tcPr>
            <w:tcW w:w="2235" w:type="dxa"/>
            <w:tcBorders>
              <w:top w:val="single" w:sz="4" w:space="0" w:color="000000"/>
              <w:bottom w:val="single" w:sz="4" w:space="0" w:color="000000"/>
              <w:right w:val="single" w:sz="4" w:space="0" w:color="000000"/>
            </w:tcBorders>
          </w:tcPr>
          <w:p>
            <w:pPr>
              <w:pStyle w:val="TableParagraph"/>
              <w:spacing w:before="5"/>
              <w:rPr>
                <w:rFonts w:ascii="宋体"/>
                <w:sz w:val="21"/>
              </w:rPr>
            </w:pPr>
          </w:p>
          <w:p>
            <w:pPr>
              <w:pStyle w:val="TableParagraph"/>
              <w:tabs>
                <w:tab w:pos="712" w:val="left" w:leader="none"/>
                <w:tab w:pos="1314" w:val="left" w:leader="none"/>
                <w:tab w:pos="1916" w:val="left" w:leader="none"/>
              </w:tabs>
              <w:ind w:left="107"/>
              <w:rPr>
                <w:rFonts w:ascii="宋体" w:eastAsia="宋体" w:hint="eastAsia"/>
                <w:sz w:val="21"/>
              </w:rPr>
            </w:pPr>
            <w:r>
              <w:rPr>
                <w:rFonts w:ascii="宋体" w:eastAsia="宋体" w:hint="eastAsia"/>
                <w:sz w:val="21"/>
              </w:rPr>
              <w:t>欧</w:t>
              <w:tab/>
              <w:t>睿</w:t>
              <w:tab/>
              <w:t>国</w:t>
              <w:tab/>
              <w:t>际</w:t>
            </w:r>
          </w:p>
          <w:p>
            <w:pPr>
              <w:pStyle w:val="TableParagraph"/>
              <w:spacing w:before="5"/>
              <w:ind w:left="107"/>
              <w:rPr>
                <w:rFonts w:ascii="宋体" w:eastAsia="宋体" w:hint="eastAsia"/>
                <w:sz w:val="21"/>
              </w:rPr>
            </w:pPr>
            <w:r>
              <w:rPr>
                <w:rFonts w:ascii="宋体" w:eastAsia="宋体" w:hint="eastAsia"/>
                <w:sz w:val="21"/>
              </w:rPr>
              <w:t>（</w:t>
            </w:r>
            <w:r>
              <w:rPr>
                <w:sz w:val="21"/>
              </w:rPr>
              <w:t>Euromonitor</w:t>
            </w:r>
            <w:r>
              <w:rPr>
                <w:rFonts w:ascii="宋体" w:eastAsia="宋体" w:hint="eastAsia"/>
                <w:sz w:val="21"/>
              </w:rPr>
              <w:t>）</w:t>
            </w:r>
          </w:p>
        </w:tc>
        <w:tc>
          <w:tcPr>
            <w:tcW w:w="428"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rPr>
                <w:rFonts w:ascii="宋体"/>
                <w:sz w:val="20"/>
              </w:rPr>
            </w:pPr>
          </w:p>
          <w:p>
            <w:pPr>
              <w:pStyle w:val="TableParagraph"/>
              <w:spacing w:before="155"/>
              <w:ind w:left="27"/>
              <w:jc w:val="center"/>
              <w:rPr>
                <w:rFonts w:ascii="宋体" w:eastAsia="宋体" w:hint="eastAsia"/>
                <w:sz w:val="21"/>
              </w:rPr>
            </w:pPr>
            <w:r>
              <w:rPr>
                <w:rFonts w:ascii="宋体" w:eastAsia="宋体" w:hint="eastAsia"/>
                <w:w w:val="100"/>
                <w:sz w:val="21"/>
              </w:rPr>
              <w:t>指</w:t>
            </w:r>
          </w:p>
        </w:tc>
        <w:tc>
          <w:tcPr>
            <w:tcW w:w="6388" w:type="dxa"/>
            <w:tcBorders>
              <w:top w:val="single" w:sz="4" w:space="0" w:color="000000"/>
              <w:left w:val="single" w:sz="4" w:space="0" w:color="000000"/>
              <w:bottom w:val="single" w:sz="4" w:space="0" w:color="000000"/>
            </w:tcBorders>
          </w:tcPr>
          <w:p>
            <w:pPr>
              <w:pStyle w:val="TableParagraph"/>
              <w:spacing w:line="242" w:lineRule="auto" w:before="3"/>
              <w:ind w:left="114" w:right="75"/>
              <w:jc w:val="both"/>
              <w:rPr>
                <w:rFonts w:ascii="宋体" w:eastAsia="宋体" w:hint="eastAsia"/>
                <w:sz w:val="21"/>
              </w:rPr>
            </w:pPr>
            <w:r>
              <w:rPr>
                <w:rFonts w:ascii="宋体" w:eastAsia="宋体" w:hint="eastAsia"/>
                <w:spacing w:val="-8"/>
                <w:sz w:val="21"/>
              </w:rPr>
              <w:t>欧睿国际信息咨询公司，成立于 </w:t>
            </w:r>
            <w:r>
              <w:rPr>
                <w:sz w:val="21"/>
              </w:rPr>
              <w:t>1972 </w:t>
            </w:r>
            <w:r>
              <w:rPr>
                <w:rFonts w:ascii="宋体" w:eastAsia="宋体" w:hint="eastAsia"/>
                <w:spacing w:val="-6"/>
                <w:sz w:val="21"/>
              </w:rPr>
              <w:t>年，为全球领先的战略市场信</w:t>
            </w:r>
            <w:r>
              <w:rPr>
                <w:rFonts w:ascii="宋体" w:eastAsia="宋体" w:hint="eastAsia"/>
                <w:spacing w:val="-7"/>
                <w:sz w:val="21"/>
              </w:rPr>
              <w:t>息提供商，在出版市场报告、商业参考资料和网上数据库方面拥有</w:t>
            </w:r>
            <w:r>
              <w:rPr>
                <w:rFonts w:ascii="宋体" w:eastAsia="宋体" w:hint="eastAsia"/>
                <w:spacing w:val="-13"/>
                <w:sz w:val="21"/>
              </w:rPr>
              <w:t>超过 </w:t>
            </w:r>
            <w:r>
              <w:rPr>
                <w:sz w:val="21"/>
              </w:rPr>
              <w:t>40 </w:t>
            </w:r>
            <w:r>
              <w:rPr>
                <w:rFonts w:ascii="宋体" w:eastAsia="宋体" w:hint="eastAsia"/>
                <w:spacing w:val="-7"/>
                <w:sz w:val="21"/>
              </w:rPr>
              <w:t>年的经验，提供的数据和分析辐射到全球范围且覆盖了上万</w:t>
            </w:r>
          </w:p>
          <w:p>
            <w:pPr>
              <w:pStyle w:val="TableParagraph"/>
              <w:spacing w:line="252" w:lineRule="exact" w:before="1"/>
              <w:ind w:left="114"/>
              <w:rPr>
                <w:rFonts w:ascii="宋体" w:eastAsia="宋体" w:hint="eastAsia"/>
                <w:sz w:val="21"/>
              </w:rPr>
            </w:pPr>
            <w:r>
              <w:rPr>
                <w:rFonts w:ascii="宋体" w:eastAsia="宋体" w:hint="eastAsia"/>
                <w:sz w:val="21"/>
              </w:rPr>
              <w:t>种产品</w:t>
            </w:r>
            <w:r>
              <w:rPr>
                <w:sz w:val="21"/>
              </w:rPr>
              <w:t>/</w:t>
            </w:r>
            <w:r>
              <w:rPr>
                <w:rFonts w:ascii="宋体" w:eastAsia="宋体" w:hint="eastAsia"/>
                <w:sz w:val="21"/>
              </w:rPr>
              <w:t>服务品类。</w:t>
            </w:r>
          </w:p>
        </w:tc>
      </w:tr>
      <w:tr>
        <w:trPr>
          <w:trHeight w:val="815" w:hRule="atLeast"/>
        </w:trPr>
        <w:tc>
          <w:tcPr>
            <w:tcW w:w="2235" w:type="dxa"/>
            <w:tcBorders>
              <w:top w:val="single" w:sz="4" w:space="0" w:color="000000"/>
              <w:bottom w:val="single" w:sz="4" w:space="0" w:color="000000"/>
              <w:right w:val="single" w:sz="4" w:space="0" w:color="000000"/>
            </w:tcBorders>
          </w:tcPr>
          <w:p>
            <w:pPr>
              <w:pStyle w:val="TableParagraph"/>
              <w:spacing w:before="3"/>
              <w:rPr>
                <w:rFonts w:ascii="宋体"/>
                <w:sz w:val="21"/>
              </w:rPr>
            </w:pPr>
          </w:p>
          <w:p>
            <w:pPr>
              <w:pStyle w:val="TableParagraph"/>
              <w:ind w:left="107"/>
              <w:rPr>
                <w:rFonts w:ascii="宋体" w:eastAsia="宋体" w:hint="eastAsia"/>
                <w:sz w:val="21"/>
              </w:rPr>
            </w:pPr>
            <w:r>
              <w:rPr>
                <w:rFonts w:ascii="宋体" w:eastAsia="宋体" w:hint="eastAsia"/>
                <w:sz w:val="21"/>
              </w:rPr>
              <w:t>奥维云网</w:t>
            </w:r>
          </w:p>
        </w:tc>
        <w:tc>
          <w:tcPr>
            <w:tcW w:w="428"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3"/>
              <w:rPr>
                <w:rFonts w:ascii="宋体"/>
                <w:sz w:val="21"/>
              </w:rPr>
            </w:pPr>
          </w:p>
          <w:p>
            <w:pPr>
              <w:pStyle w:val="TableParagraph"/>
              <w:ind w:left="27"/>
              <w:jc w:val="center"/>
              <w:rPr>
                <w:rFonts w:ascii="宋体" w:eastAsia="宋体" w:hint="eastAsia"/>
                <w:sz w:val="21"/>
              </w:rPr>
            </w:pPr>
            <w:r>
              <w:rPr>
                <w:rFonts w:ascii="宋体" w:eastAsia="宋体" w:hint="eastAsia"/>
                <w:w w:val="100"/>
                <w:sz w:val="21"/>
              </w:rPr>
              <w:t>指</w:t>
            </w:r>
          </w:p>
        </w:tc>
        <w:tc>
          <w:tcPr>
            <w:tcW w:w="6388" w:type="dxa"/>
            <w:tcBorders>
              <w:top w:val="single" w:sz="4" w:space="0" w:color="000000"/>
              <w:left w:val="single" w:sz="4" w:space="0" w:color="000000"/>
              <w:bottom w:val="single" w:sz="4" w:space="0" w:color="000000"/>
            </w:tcBorders>
          </w:tcPr>
          <w:p>
            <w:pPr>
              <w:pStyle w:val="TableParagraph"/>
              <w:spacing w:line="242" w:lineRule="auto" w:before="1"/>
              <w:ind w:left="114" w:right="80"/>
              <w:rPr>
                <w:rFonts w:ascii="宋体" w:eastAsia="宋体" w:hint="eastAsia"/>
                <w:sz w:val="21"/>
              </w:rPr>
            </w:pPr>
            <w:r>
              <w:rPr>
                <w:rFonts w:ascii="宋体" w:eastAsia="宋体" w:hint="eastAsia"/>
                <w:sz w:val="21"/>
              </w:rPr>
              <w:t>奥维云网（</w:t>
            </w:r>
            <w:r>
              <w:rPr>
                <w:sz w:val="21"/>
              </w:rPr>
              <w:t>AVC</w:t>
            </w:r>
            <w:r>
              <w:rPr>
                <w:rFonts w:ascii="宋体" w:eastAsia="宋体" w:hint="eastAsia"/>
                <w:sz w:val="21"/>
              </w:rPr>
              <w:t>）是垂直于智慧家庭领域大数据综合解决方案服务商，为企业提供大数据信息服务、常规数据信息服务以及专项数据</w:t>
            </w:r>
          </w:p>
          <w:p>
            <w:pPr>
              <w:pStyle w:val="TableParagraph"/>
              <w:spacing w:line="250" w:lineRule="exact" w:before="1"/>
              <w:ind w:left="114"/>
              <w:rPr>
                <w:rFonts w:ascii="宋体" w:eastAsia="宋体" w:hint="eastAsia"/>
                <w:sz w:val="21"/>
              </w:rPr>
            </w:pPr>
            <w:r>
              <w:rPr>
                <w:rFonts w:ascii="宋体" w:eastAsia="宋体" w:hint="eastAsia"/>
                <w:sz w:val="21"/>
              </w:rPr>
              <w:t>服务。</w:t>
            </w:r>
          </w:p>
        </w:tc>
      </w:tr>
      <w:tr>
        <w:trPr>
          <w:trHeight w:val="1634" w:hRule="atLeast"/>
        </w:trPr>
        <w:tc>
          <w:tcPr>
            <w:tcW w:w="2235" w:type="dxa"/>
            <w:tcBorders>
              <w:top w:val="single" w:sz="4" w:space="0" w:color="000000"/>
              <w:bottom w:val="single" w:sz="4" w:space="0" w:color="000000"/>
              <w:right w:val="single" w:sz="4" w:space="0" w:color="000000"/>
            </w:tcBorders>
          </w:tcPr>
          <w:p>
            <w:pPr>
              <w:pStyle w:val="TableParagraph"/>
              <w:rPr>
                <w:rFonts w:ascii="宋体"/>
                <w:sz w:val="22"/>
              </w:rPr>
            </w:pPr>
          </w:p>
          <w:p>
            <w:pPr>
              <w:pStyle w:val="TableParagraph"/>
              <w:spacing w:before="10"/>
              <w:rPr>
                <w:rFonts w:ascii="宋体"/>
                <w:sz w:val="31"/>
              </w:rPr>
            </w:pPr>
          </w:p>
          <w:p>
            <w:pPr>
              <w:pStyle w:val="TableParagraph"/>
              <w:ind w:left="107"/>
              <w:rPr>
                <w:sz w:val="21"/>
              </w:rPr>
            </w:pPr>
            <w:r>
              <w:rPr>
                <w:sz w:val="21"/>
              </w:rPr>
              <w:t>IEC</w:t>
            </w:r>
          </w:p>
        </w:tc>
        <w:tc>
          <w:tcPr>
            <w:tcW w:w="428"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rPr>
                <w:rFonts w:ascii="宋体"/>
                <w:sz w:val="20"/>
              </w:rPr>
            </w:pPr>
          </w:p>
          <w:p>
            <w:pPr>
              <w:pStyle w:val="TableParagraph"/>
              <w:rPr>
                <w:rFonts w:ascii="宋体"/>
                <w:sz w:val="20"/>
              </w:rPr>
            </w:pPr>
          </w:p>
          <w:p>
            <w:pPr>
              <w:pStyle w:val="TableParagraph"/>
              <w:spacing w:before="170"/>
              <w:ind w:left="27"/>
              <w:jc w:val="center"/>
              <w:rPr>
                <w:rFonts w:ascii="宋体" w:eastAsia="宋体" w:hint="eastAsia"/>
                <w:sz w:val="21"/>
              </w:rPr>
            </w:pPr>
            <w:r>
              <w:rPr>
                <w:rFonts w:ascii="宋体" w:eastAsia="宋体" w:hint="eastAsia"/>
                <w:w w:val="100"/>
                <w:sz w:val="21"/>
              </w:rPr>
              <w:t>指</w:t>
            </w:r>
          </w:p>
        </w:tc>
        <w:tc>
          <w:tcPr>
            <w:tcW w:w="6388" w:type="dxa"/>
            <w:tcBorders>
              <w:top w:val="single" w:sz="4" w:space="0" w:color="000000"/>
              <w:left w:val="single" w:sz="4" w:space="0" w:color="000000"/>
              <w:bottom w:val="single" w:sz="4" w:space="0" w:color="000000"/>
            </w:tcBorders>
          </w:tcPr>
          <w:p>
            <w:pPr>
              <w:pStyle w:val="TableParagraph"/>
              <w:spacing w:line="242" w:lineRule="auto" w:before="1"/>
              <w:ind w:left="114" w:right="-29"/>
              <w:rPr>
                <w:rFonts w:ascii="宋体" w:eastAsia="宋体" w:hint="eastAsia"/>
                <w:sz w:val="21"/>
              </w:rPr>
            </w:pPr>
            <w:r>
              <w:rPr>
                <w:rFonts w:ascii="宋体" w:eastAsia="宋体" w:hint="eastAsia"/>
                <w:spacing w:val="-9"/>
                <w:sz w:val="21"/>
              </w:rPr>
              <w:t>国际电工委员会，成立于 </w:t>
            </w:r>
            <w:r>
              <w:rPr>
                <w:sz w:val="21"/>
              </w:rPr>
              <w:t>1906</w:t>
            </w:r>
            <w:r>
              <w:rPr>
                <w:spacing w:val="7"/>
                <w:sz w:val="21"/>
              </w:rPr>
              <w:t> </w:t>
            </w:r>
            <w:r>
              <w:rPr>
                <w:rFonts w:ascii="宋体" w:eastAsia="宋体" w:hint="eastAsia"/>
                <w:spacing w:val="-5"/>
                <w:sz w:val="21"/>
              </w:rPr>
              <w:t>年，世界上成立最早的国际性电工标</w:t>
            </w:r>
            <w:r>
              <w:rPr>
                <w:rFonts w:ascii="宋体" w:eastAsia="宋体" w:hint="eastAsia"/>
                <w:spacing w:val="-7"/>
                <w:sz w:val="21"/>
              </w:rPr>
              <w:t>准化机构，负责有关电气工程和电子工程领域中的国际标准化工作。该委员会的目标是：有效满足全球市场的需求；保证在全球范围内优先并最大程度地使用其标准和合格评定计划；评定并提高其标准所涉及的产品质量和服务质量；为共同使用复杂系统创造条件；提</w:t>
            </w:r>
          </w:p>
          <w:p>
            <w:pPr>
              <w:pStyle w:val="TableParagraph"/>
              <w:spacing w:line="250" w:lineRule="exact" w:before="5"/>
              <w:ind w:left="114"/>
              <w:rPr>
                <w:rFonts w:ascii="宋体" w:eastAsia="宋体" w:hint="eastAsia"/>
                <w:sz w:val="21"/>
              </w:rPr>
            </w:pPr>
            <w:r>
              <w:rPr>
                <w:rFonts w:ascii="宋体" w:eastAsia="宋体" w:hint="eastAsia"/>
                <w:sz w:val="21"/>
              </w:rPr>
              <w:t>高工业化进程的有效性；提高人类健康和安全；保护环境。</w:t>
            </w:r>
          </w:p>
        </w:tc>
      </w:tr>
      <w:tr>
        <w:trPr>
          <w:trHeight w:val="1362" w:hRule="atLeast"/>
        </w:trPr>
        <w:tc>
          <w:tcPr>
            <w:tcW w:w="2235" w:type="dxa"/>
            <w:tcBorders>
              <w:top w:val="single" w:sz="4" w:space="0" w:color="000000"/>
              <w:bottom w:val="single" w:sz="4" w:space="0" w:color="000000"/>
              <w:right w:val="single" w:sz="4" w:space="0" w:color="000000"/>
            </w:tcBorders>
          </w:tcPr>
          <w:p>
            <w:pPr>
              <w:pStyle w:val="TableParagraph"/>
              <w:rPr>
                <w:rFonts w:ascii="宋体"/>
                <w:sz w:val="22"/>
              </w:rPr>
            </w:pPr>
          </w:p>
          <w:p>
            <w:pPr>
              <w:pStyle w:val="TableParagraph"/>
              <w:spacing w:before="4"/>
              <w:rPr>
                <w:rFonts w:ascii="宋体"/>
                <w:sz w:val="21"/>
              </w:rPr>
            </w:pPr>
          </w:p>
          <w:p>
            <w:pPr>
              <w:pStyle w:val="TableParagraph"/>
              <w:ind w:left="107"/>
              <w:rPr>
                <w:sz w:val="21"/>
              </w:rPr>
            </w:pPr>
            <w:r>
              <w:rPr>
                <w:sz w:val="21"/>
              </w:rPr>
              <w:t>IEEE</w:t>
            </w:r>
          </w:p>
        </w:tc>
        <w:tc>
          <w:tcPr>
            <w:tcW w:w="428"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rPr>
                <w:rFonts w:ascii="宋体"/>
                <w:sz w:val="20"/>
              </w:rPr>
            </w:pPr>
          </w:p>
          <w:p>
            <w:pPr>
              <w:pStyle w:val="TableParagraph"/>
              <w:spacing w:before="7"/>
              <w:rPr>
                <w:rFonts w:ascii="宋体"/>
                <w:sz w:val="22"/>
              </w:rPr>
            </w:pPr>
          </w:p>
          <w:p>
            <w:pPr>
              <w:pStyle w:val="TableParagraph"/>
              <w:ind w:left="27"/>
              <w:jc w:val="center"/>
              <w:rPr>
                <w:rFonts w:ascii="宋体" w:eastAsia="宋体" w:hint="eastAsia"/>
                <w:sz w:val="21"/>
              </w:rPr>
            </w:pPr>
            <w:r>
              <w:rPr>
                <w:rFonts w:ascii="宋体" w:eastAsia="宋体" w:hint="eastAsia"/>
                <w:w w:val="100"/>
                <w:sz w:val="21"/>
              </w:rPr>
              <w:t>指</w:t>
            </w:r>
          </w:p>
        </w:tc>
        <w:tc>
          <w:tcPr>
            <w:tcW w:w="6388" w:type="dxa"/>
            <w:tcBorders>
              <w:top w:val="single" w:sz="4" w:space="0" w:color="000000"/>
              <w:left w:val="single" w:sz="4" w:space="0" w:color="000000"/>
              <w:bottom w:val="single" w:sz="4" w:space="0" w:color="000000"/>
            </w:tcBorders>
          </w:tcPr>
          <w:p>
            <w:pPr>
              <w:pStyle w:val="TableParagraph"/>
              <w:spacing w:line="242" w:lineRule="auto" w:before="1"/>
              <w:ind w:left="114" w:right="82"/>
              <w:jc w:val="both"/>
              <w:rPr>
                <w:rFonts w:ascii="宋体" w:eastAsia="宋体" w:hint="eastAsia"/>
                <w:sz w:val="21"/>
              </w:rPr>
            </w:pPr>
            <w:r>
              <w:rPr>
                <w:rFonts w:ascii="宋体" w:eastAsia="宋体" w:hint="eastAsia"/>
                <w:sz w:val="21"/>
              </w:rPr>
              <w:t>国际电气和电子工程师协会，国际性的电子技术与信息科学工程师的协会，是目前全球最大的非营利性专业技术学会。致力于电气、电子、计算机工程和与科学有关的领域的开发和研究，在太空、计</w:t>
            </w:r>
          </w:p>
          <w:p>
            <w:pPr>
              <w:pStyle w:val="TableParagraph"/>
              <w:spacing w:line="270" w:lineRule="atLeast" w:before="2"/>
              <w:ind w:left="114" w:right="82"/>
              <w:rPr>
                <w:rFonts w:ascii="宋体" w:eastAsia="宋体" w:hint="eastAsia"/>
                <w:sz w:val="21"/>
              </w:rPr>
            </w:pPr>
            <w:r>
              <w:rPr>
                <w:rFonts w:ascii="宋体" w:eastAsia="宋体" w:hint="eastAsia"/>
                <w:sz w:val="21"/>
              </w:rPr>
              <w:t>算机、电信、生物医学、电力及消费性电子产品等领域，现已发展成为具有较大影响力的国际学术组织。</w:t>
            </w:r>
          </w:p>
        </w:tc>
      </w:tr>
      <w:tr>
        <w:trPr>
          <w:trHeight w:val="815" w:hRule="atLeast"/>
        </w:trPr>
        <w:tc>
          <w:tcPr>
            <w:tcW w:w="2235" w:type="dxa"/>
            <w:tcBorders>
              <w:top w:val="single" w:sz="4" w:space="0" w:color="000000"/>
              <w:right w:val="single" w:sz="4" w:space="0" w:color="000000"/>
            </w:tcBorders>
          </w:tcPr>
          <w:p>
            <w:pPr>
              <w:pStyle w:val="TableParagraph"/>
              <w:spacing w:before="3"/>
              <w:rPr>
                <w:rFonts w:ascii="宋体"/>
                <w:sz w:val="21"/>
              </w:rPr>
            </w:pPr>
          </w:p>
          <w:p>
            <w:pPr>
              <w:pStyle w:val="TableParagraph"/>
              <w:ind w:left="107"/>
              <w:rPr>
                <w:rFonts w:ascii="宋体" w:eastAsia="宋体" w:hint="eastAsia"/>
                <w:sz w:val="21"/>
              </w:rPr>
            </w:pPr>
            <w:r>
              <w:rPr>
                <w:rFonts w:ascii="宋体" w:eastAsia="宋体" w:hint="eastAsia"/>
                <w:sz w:val="21"/>
              </w:rPr>
              <w:t>人单合一模式</w:t>
            </w:r>
          </w:p>
        </w:tc>
        <w:tc>
          <w:tcPr>
            <w:tcW w:w="428" w:type="dxa"/>
            <w:tcBorders>
              <w:top w:val="single" w:sz="4" w:space="0" w:color="000000"/>
              <w:left w:val="single" w:sz="4" w:space="0" w:color="000000"/>
              <w:right w:val="single" w:sz="4" w:space="0" w:color="000000"/>
            </w:tcBorders>
            <w:shd w:val="clear" w:color="auto" w:fill="EDEBE0"/>
          </w:tcPr>
          <w:p>
            <w:pPr>
              <w:pStyle w:val="TableParagraph"/>
              <w:spacing w:before="3"/>
              <w:rPr>
                <w:rFonts w:ascii="宋体"/>
                <w:sz w:val="21"/>
              </w:rPr>
            </w:pPr>
          </w:p>
          <w:p>
            <w:pPr>
              <w:pStyle w:val="TableParagraph"/>
              <w:ind w:left="27"/>
              <w:jc w:val="center"/>
              <w:rPr>
                <w:rFonts w:ascii="宋体" w:eastAsia="宋体" w:hint="eastAsia"/>
                <w:sz w:val="21"/>
              </w:rPr>
            </w:pPr>
            <w:r>
              <w:rPr>
                <w:rFonts w:ascii="宋体" w:eastAsia="宋体" w:hint="eastAsia"/>
                <w:w w:val="100"/>
                <w:sz w:val="21"/>
              </w:rPr>
              <w:t>指</w:t>
            </w:r>
          </w:p>
        </w:tc>
        <w:tc>
          <w:tcPr>
            <w:tcW w:w="6388" w:type="dxa"/>
            <w:tcBorders>
              <w:top w:val="single" w:sz="4" w:space="0" w:color="000000"/>
              <w:left w:val="single" w:sz="4" w:space="0" w:color="000000"/>
            </w:tcBorders>
          </w:tcPr>
          <w:p>
            <w:pPr>
              <w:pStyle w:val="TableParagraph"/>
              <w:spacing w:line="242" w:lineRule="auto" w:before="1"/>
              <w:ind w:left="114" w:right="78" w:firstLine="52"/>
              <w:rPr>
                <w:rFonts w:ascii="宋体" w:hAnsi="宋体" w:eastAsia="宋体" w:hint="eastAsia"/>
                <w:sz w:val="21"/>
              </w:rPr>
            </w:pPr>
            <w:r>
              <w:rPr>
                <w:rFonts w:ascii="宋体" w:hAnsi="宋体" w:eastAsia="宋体" w:hint="eastAsia"/>
                <w:spacing w:val="-3"/>
                <w:sz w:val="21"/>
              </w:rPr>
              <w:t>“人单合一双赢”的利益观是海尔永续经营的保障，是公司自我激</w:t>
            </w:r>
            <w:r>
              <w:rPr>
                <w:rFonts w:ascii="宋体" w:hAnsi="宋体" w:eastAsia="宋体" w:hint="eastAsia"/>
                <w:spacing w:val="-1"/>
                <w:sz w:val="21"/>
              </w:rPr>
              <w:t>励及赋能企业文化的驱动力。“人”指具有企业家及创新精神的员</w:t>
            </w:r>
          </w:p>
          <w:p>
            <w:pPr>
              <w:pStyle w:val="TableParagraph"/>
              <w:spacing w:line="249" w:lineRule="exact" w:before="1"/>
              <w:ind w:left="114"/>
              <w:rPr>
                <w:rFonts w:ascii="宋体" w:hAnsi="宋体" w:eastAsia="宋体" w:hint="eastAsia"/>
                <w:sz w:val="21"/>
              </w:rPr>
            </w:pPr>
            <w:r>
              <w:rPr>
                <w:rFonts w:ascii="宋体" w:hAnsi="宋体" w:eastAsia="宋体" w:hint="eastAsia"/>
                <w:sz w:val="21"/>
              </w:rPr>
              <w:t>工，“单”指创造用户价值，人单合一管理模式鼓励员工以企业家</w:t>
            </w:r>
          </w:p>
        </w:tc>
      </w:tr>
    </w:tbl>
    <w:p>
      <w:pPr>
        <w:spacing w:after="0" w:line="249" w:lineRule="exact"/>
        <w:rPr>
          <w:rFonts w:ascii="宋体" w:hAnsi="宋体" w:eastAsia="宋体" w:hint="eastAsia"/>
          <w:sz w:val="21"/>
        </w:rPr>
        <w:sectPr>
          <w:headerReference w:type="default" r:id="rId8"/>
          <w:footerReference w:type="default" r:id="rId9"/>
          <w:pgSz w:w="11910" w:h="16840"/>
          <w:pgMar w:header="874" w:footer="1214" w:top="1360" w:bottom="1400" w:left="1040" w:right="760"/>
          <w:pgNumType w:start="8"/>
        </w:sectPr>
      </w:pPr>
    </w:p>
    <w:p>
      <w:pPr>
        <w:pStyle w:val="BodyText"/>
        <w:spacing w:before="2"/>
        <w:rPr>
          <w:sz w:val="5"/>
        </w:rPr>
      </w:pPr>
    </w:p>
    <w:tbl>
      <w:tblPr>
        <w:tblW w:w="0" w:type="auto"/>
        <w:jc w:val="left"/>
        <w:tblInd w:w="14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235"/>
        <w:gridCol w:w="428"/>
        <w:gridCol w:w="6388"/>
      </w:tblGrid>
      <w:tr>
        <w:trPr>
          <w:trHeight w:val="544" w:hRule="atLeast"/>
        </w:trPr>
        <w:tc>
          <w:tcPr>
            <w:tcW w:w="2235" w:type="dxa"/>
            <w:tcBorders>
              <w:right w:val="single" w:sz="4" w:space="0" w:color="000000"/>
            </w:tcBorders>
          </w:tcPr>
          <w:p>
            <w:pPr>
              <w:pStyle w:val="TableParagraph"/>
              <w:rPr>
                <w:sz w:val="20"/>
              </w:rPr>
            </w:pPr>
          </w:p>
        </w:tc>
        <w:tc>
          <w:tcPr>
            <w:tcW w:w="428" w:type="dxa"/>
            <w:tcBorders>
              <w:left w:val="single" w:sz="4" w:space="0" w:color="000000"/>
              <w:right w:val="single" w:sz="4" w:space="0" w:color="000000"/>
            </w:tcBorders>
            <w:shd w:val="clear" w:color="auto" w:fill="EDEBE0"/>
          </w:tcPr>
          <w:p>
            <w:pPr>
              <w:pStyle w:val="TableParagraph"/>
              <w:rPr>
                <w:sz w:val="20"/>
              </w:rPr>
            </w:pPr>
          </w:p>
        </w:tc>
        <w:tc>
          <w:tcPr>
            <w:tcW w:w="6388" w:type="dxa"/>
            <w:tcBorders>
              <w:left w:val="single" w:sz="4" w:space="0" w:color="000000"/>
            </w:tcBorders>
          </w:tcPr>
          <w:p>
            <w:pPr>
              <w:pStyle w:val="TableParagraph"/>
              <w:spacing w:line="270" w:lineRule="atLeast" w:before="2"/>
              <w:ind w:left="114" w:right="82"/>
              <w:rPr>
                <w:rFonts w:ascii="宋体" w:eastAsia="宋体" w:hint="eastAsia"/>
                <w:sz w:val="21"/>
              </w:rPr>
            </w:pPr>
            <w:r>
              <w:rPr>
                <w:rFonts w:ascii="宋体" w:eastAsia="宋体" w:hint="eastAsia"/>
                <w:sz w:val="21"/>
              </w:rPr>
              <w:t>的心态为用户创造价值，并实现与本公司价值和股东价值相一致的自我价值。</w:t>
            </w:r>
          </w:p>
        </w:tc>
      </w:tr>
    </w:tbl>
    <w:p>
      <w:pPr>
        <w:pStyle w:val="BodyText"/>
        <w:rPr>
          <w:sz w:val="20"/>
        </w:rPr>
      </w:pPr>
    </w:p>
    <w:p>
      <w:pPr>
        <w:pStyle w:val="BodyText"/>
        <w:spacing w:before="8"/>
        <w:rPr>
          <w:sz w:val="17"/>
        </w:rPr>
      </w:pPr>
    </w:p>
    <w:p>
      <w:pPr>
        <w:pStyle w:val="Heading1"/>
        <w:tabs>
          <w:tab w:pos="3736" w:val="left" w:leader="none"/>
        </w:tabs>
        <w:spacing w:line="485" w:lineRule="exact"/>
        <w:ind w:left="2476"/>
        <w:jc w:val="left"/>
      </w:pPr>
      <w:bookmarkStart w:name="_bookmark2" w:id="3"/>
      <w:bookmarkEnd w:id="3"/>
      <w:r>
        <w:rPr>
          <w:b w:val="0"/>
        </w:rPr>
      </w:r>
      <w:r>
        <w:rPr/>
        <w:t>第二节</w:t>
        <w:tab/>
        <w:t>公司简介和主要财务指标</w:t>
      </w:r>
    </w:p>
    <w:p>
      <w:pPr>
        <w:pStyle w:val="BodyText"/>
        <w:spacing w:before="3"/>
        <w:rPr>
          <w:rFonts w:ascii="Microsoft JhengHei"/>
          <w:b/>
          <w:sz w:val="6"/>
        </w:rPr>
      </w:pPr>
    </w:p>
    <w:p>
      <w:pPr>
        <w:pStyle w:val="Heading4"/>
        <w:spacing w:before="2" w:after="16"/>
        <w:ind w:left="237"/>
      </w:pPr>
      <w:r>
        <w:rPr/>
        <w:t>一、 公司信息</w:t>
      </w:r>
    </w:p>
    <w:tbl>
      <w:tblPr>
        <w:tblW w:w="0" w:type="auto"/>
        <w:jc w:val="left"/>
        <w:tblInd w:w="22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60"/>
        <w:gridCol w:w="5036"/>
      </w:tblGrid>
      <w:tr>
        <w:trPr>
          <w:trHeight w:val="292" w:hRule="atLeast"/>
        </w:trPr>
        <w:tc>
          <w:tcPr>
            <w:tcW w:w="3860" w:type="dxa"/>
            <w:tcBorders>
              <w:bottom w:val="single" w:sz="4" w:space="0" w:color="000000"/>
              <w:right w:val="single" w:sz="4" w:space="0" w:color="000000"/>
            </w:tcBorders>
            <w:shd w:val="clear" w:color="auto" w:fill="EDEBE0"/>
          </w:tcPr>
          <w:p>
            <w:pPr>
              <w:pStyle w:val="TableParagraph"/>
              <w:ind w:left="31"/>
              <w:rPr>
                <w:rFonts w:ascii="宋体" w:eastAsia="宋体" w:hint="eastAsia"/>
                <w:sz w:val="21"/>
              </w:rPr>
            </w:pPr>
            <w:r>
              <w:rPr>
                <w:rFonts w:ascii="宋体" w:eastAsia="宋体" w:hint="eastAsia"/>
                <w:sz w:val="21"/>
              </w:rPr>
              <w:t>公司的中文名称</w:t>
            </w:r>
          </w:p>
        </w:tc>
        <w:tc>
          <w:tcPr>
            <w:tcW w:w="5036" w:type="dxa"/>
            <w:tcBorders>
              <w:left w:val="single" w:sz="4" w:space="0" w:color="000000"/>
              <w:bottom w:val="single" w:sz="4" w:space="0" w:color="000000"/>
            </w:tcBorders>
          </w:tcPr>
          <w:p>
            <w:pPr>
              <w:pStyle w:val="TableParagraph"/>
              <w:spacing w:line="262" w:lineRule="exact" w:before="10"/>
              <w:ind w:left="38"/>
              <w:rPr>
                <w:rFonts w:ascii="宋体" w:eastAsia="宋体" w:hint="eastAsia"/>
                <w:sz w:val="21"/>
              </w:rPr>
            </w:pPr>
            <w:r>
              <w:rPr>
                <w:rFonts w:ascii="宋体" w:eastAsia="宋体" w:hint="eastAsia"/>
                <w:sz w:val="21"/>
              </w:rPr>
              <w:t>海尔智家股份有限公司</w:t>
            </w:r>
          </w:p>
        </w:tc>
      </w:tr>
      <w:tr>
        <w:trPr>
          <w:trHeight w:val="292" w:hRule="atLeast"/>
        </w:trPr>
        <w:tc>
          <w:tcPr>
            <w:tcW w:w="3860" w:type="dxa"/>
            <w:tcBorders>
              <w:top w:val="single" w:sz="4" w:space="0" w:color="000000"/>
              <w:bottom w:val="single" w:sz="4" w:space="0" w:color="000000"/>
              <w:right w:val="single" w:sz="4" w:space="0" w:color="000000"/>
            </w:tcBorders>
            <w:shd w:val="clear" w:color="auto" w:fill="EDEBE0"/>
          </w:tcPr>
          <w:p>
            <w:pPr>
              <w:pStyle w:val="TableParagraph"/>
              <w:spacing w:before="1"/>
              <w:ind w:left="31"/>
              <w:rPr>
                <w:rFonts w:ascii="宋体" w:eastAsia="宋体" w:hint="eastAsia"/>
                <w:sz w:val="21"/>
              </w:rPr>
            </w:pPr>
            <w:r>
              <w:rPr>
                <w:rFonts w:ascii="宋体" w:eastAsia="宋体" w:hint="eastAsia"/>
                <w:sz w:val="21"/>
              </w:rPr>
              <w:t>公司的中文简称</w:t>
            </w:r>
          </w:p>
        </w:tc>
        <w:tc>
          <w:tcPr>
            <w:tcW w:w="5036" w:type="dxa"/>
            <w:tcBorders>
              <w:top w:val="single" w:sz="4" w:space="0" w:color="000000"/>
              <w:left w:val="single" w:sz="4" w:space="0" w:color="000000"/>
              <w:bottom w:val="single" w:sz="4" w:space="0" w:color="000000"/>
            </w:tcBorders>
          </w:tcPr>
          <w:p>
            <w:pPr>
              <w:pStyle w:val="TableParagraph"/>
              <w:spacing w:line="259" w:lineRule="exact" w:before="13"/>
              <w:ind w:left="38"/>
              <w:rPr>
                <w:rFonts w:ascii="宋体" w:eastAsia="宋体" w:hint="eastAsia"/>
                <w:sz w:val="21"/>
              </w:rPr>
            </w:pPr>
            <w:r>
              <w:rPr>
                <w:rFonts w:ascii="宋体" w:eastAsia="宋体" w:hint="eastAsia"/>
                <w:sz w:val="21"/>
              </w:rPr>
              <w:t>海尔智家</w:t>
            </w:r>
          </w:p>
        </w:tc>
      </w:tr>
      <w:tr>
        <w:trPr>
          <w:trHeight w:val="294" w:hRule="atLeast"/>
        </w:trPr>
        <w:tc>
          <w:tcPr>
            <w:tcW w:w="3860" w:type="dxa"/>
            <w:tcBorders>
              <w:top w:val="single" w:sz="4" w:space="0" w:color="000000"/>
              <w:bottom w:val="single" w:sz="4" w:space="0" w:color="000000"/>
              <w:right w:val="single" w:sz="4" w:space="0" w:color="000000"/>
            </w:tcBorders>
            <w:shd w:val="clear" w:color="auto" w:fill="EDEBE0"/>
          </w:tcPr>
          <w:p>
            <w:pPr>
              <w:pStyle w:val="TableParagraph"/>
              <w:spacing w:before="3"/>
              <w:ind w:left="31"/>
              <w:rPr>
                <w:rFonts w:ascii="宋体" w:eastAsia="宋体" w:hint="eastAsia"/>
                <w:sz w:val="21"/>
              </w:rPr>
            </w:pPr>
            <w:r>
              <w:rPr>
                <w:rFonts w:ascii="宋体" w:eastAsia="宋体" w:hint="eastAsia"/>
                <w:sz w:val="21"/>
              </w:rPr>
              <w:t>公司的外文名称</w:t>
            </w:r>
          </w:p>
        </w:tc>
        <w:tc>
          <w:tcPr>
            <w:tcW w:w="5036" w:type="dxa"/>
            <w:tcBorders>
              <w:top w:val="single" w:sz="4" w:space="0" w:color="000000"/>
              <w:left w:val="single" w:sz="4" w:space="0" w:color="000000"/>
              <w:bottom w:val="single" w:sz="4" w:space="0" w:color="000000"/>
            </w:tcBorders>
          </w:tcPr>
          <w:p>
            <w:pPr>
              <w:pStyle w:val="TableParagraph"/>
              <w:spacing w:before="19"/>
              <w:ind w:left="38"/>
              <w:rPr>
                <w:sz w:val="21"/>
              </w:rPr>
            </w:pPr>
            <w:r>
              <w:rPr>
                <w:sz w:val="21"/>
              </w:rPr>
              <w:t>Haier Smart Home Co., Ltd.</w:t>
            </w:r>
          </w:p>
        </w:tc>
      </w:tr>
      <w:tr>
        <w:trPr>
          <w:trHeight w:val="292" w:hRule="atLeast"/>
        </w:trPr>
        <w:tc>
          <w:tcPr>
            <w:tcW w:w="3860" w:type="dxa"/>
            <w:tcBorders>
              <w:top w:val="single" w:sz="4" w:space="0" w:color="000000"/>
              <w:bottom w:val="single" w:sz="4" w:space="0" w:color="000000"/>
              <w:right w:val="single" w:sz="4" w:space="0" w:color="000000"/>
            </w:tcBorders>
            <w:shd w:val="clear" w:color="auto" w:fill="EDEBE0"/>
          </w:tcPr>
          <w:p>
            <w:pPr>
              <w:pStyle w:val="TableParagraph"/>
              <w:spacing w:before="1"/>
              <w:ind w:left="31"/>
              <w:rPr>
                <w:rFonts w:ascii="宋体" w:eastAsia="宋体" w:hint="eastAsia"/>
                <w:sz w:val="21"/>
              </w:rPr>
            </w:pPr>
            <w:r>
              <w:rPr>
                <w:rFonts w:ascii="宋体" w:eastAsia="宋体" w:hint="eastAsia"/>
                <w:sz w:val="21"/>
              </w:rPr>
              <w:t>公司的外文名称缩写</w:t>
            </w:r>
          </w:p>
        </w:tc>
        <w:tc>
          <w:tcPr>
            <w:tcW w:w="5036" w:type="dxa"/>
            <w:tcBorders>
              <w:top w:val="single" w:sz="4" w:space="0" w:color="000000"/>
              <w:left w:val="single" w:sz="4" w:space="0" w:color="000000"/>
              <w:bottom w:val="single" w:sz="4" w:space="0" w:color="000000"/>
            </w:tcBorders>
          </w:tcPr>
          <w:p>
            <w:pPr>
              <w:pStyle w:val="TableParagraph"/>
              <w:spacing w:before="19"/>
              <w:ind w:left="38"/>
              <w:rPr>
                <w:sz w:val="21"/>
              </w:rPr>
            </w:pPr>
            <w:r>
              <w:rPr>
                <w:sz w:val="21"/>
              </w:rPr>
              <w:t>Haier Smart Home</w:t>
            </w:r>
          </w:p>
        </w:tc>
      </w:tr>
      <w:tr>
        <w:trPr>
          <w:trHeight w:val="292" w:hRule="atLeast"/>
        </w:trPr>
        <w:tc>
          <w:tcPr>
            <w:tcW w:w="3860" w:type="dxa"/>
            <w:tcBorders>
              <w:top w:val="single" w:sz="4" w:space="0" w:color="000000"/>
              <w:right w:val="single" w:sz="4" w:space="0" w:color="000000"/>
            </w:tcBorders>
            <w:shd w:val="clear" w:color="auto" w:fill="EDEBE0"/>
          </w:tcPr>
          <w:p>
            <w:pPr>
              <w:pStyle w:val="TableParagraph"/>
              <w:spacing w:before="1"/>
              <w:ind w:left="31"/>
              <w:rPr>
                <w:rFonts w:ascii="宋体" w:eastAsia="宋体" w:hint="eastAsia"/>
                <w:sz w:val="21"/>
              </w:rPr>
            </w:pPr>
            <w:r>
              <w:rPr>
                <w:rFonts w:ascii="宋体" w:eastAsia="宋体" w:hint="eastAsia"/>
                <w:sz w:val="21"/>
              </w:rPr>
              <w:t>公司的法定代表人</w:t>
            </w:r>
          </w:p>
        </w:tc>
        <w:tc>
          <w:tcPr>
            <w:tcW w:w="5036" w:type="dxa"/>
            <w:tcBorders>
              <w:top w:val="single" w:sz="4" w:space="0" w:color="000000"/>
              <w:left w:val="single" w:sz="4" w:space="0" w:color="000000"/>
            </w:tcBorders>
          </w:tcPr>
          <w:p>
            <w:pPr>
              <w:pStyle w:val="TableParagraph"/>
              <w:spacing w:line="261" w:lineRule="exact" w:before="10"/>
              <w:ind w:left="38"/>
              <w:rPr>
                <w:rFonts w:ascii="宋体" w:eastAsia="宋体" w:hint="eastAsia"/>
                <w:sz w:val="21"/>
              </w:rPr>
            </w:pPr>
            <w:r>
              <w:rPr>
                <w:rFonts w:ascii="宋体" w:eastAsia="宋体" w:hint="eastAsia"/>
                <w:sz w:val="21"/>
              </w:rPr>
              <w:t>梁海山</w:t>
            </w:r>
          </w:p>
        </w:tc>
      </w:tr>
    </w:tbl>
    <w:p>
      <w:pPr>
        <w:pStyle w:val="BodyText"/>
        <w:spacing w:before="14"/>
        <w:rPr>
          <w:rFonts w:ascii="Microsoft JhengHei"/>
          <w:b/>
          <w:sz w:val="12"/>
        </w:rPr>
      </w:pPr>
    </w:p>
    <w:p>
      <w:pPr>
        <w:pStyle w:val="Heading4"/>
        <w:spacing w:after="16"/>
        <w:ind w:left="237"/>
      </w:pPr>
      <w:r>
        <w:rPr/>
        <w:t>二、 联系人和联系方式</w:t>
      </w:r>
    </w:p>
    <w:tbl>
      <w:tblPr>
        <w:tblW w:w="0" w:type="auto"/>
        <w:jc w:val="left"/>
        <w:tblInd w:w="22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19"/>
        <w:gridCol w:w="1930"/>
        <w:gridCol w:w="1418"/>
        <w:gridCol w:w="1702"/>
        <w:gridCol w:w="1702"/>
        <w:gridCol w:w="924"/>
      </w:tblGrid>
      <w:tr>
        <w:trPr>
          <w:trHeight w:val="544" w:hRule="atLeast"/>
        </w:trPr>
        <w:tc>
          <w:tcPr>
            <w:tcW w:w="1219" w:type="dxa"/>
            <w:tcBorders>
              <w:bottom w:val="single" w:sz="4" w:space="0" w:color="000000"/>
              <w:right w:val="single" w:sz="4" w:space="0" w:color="000000"/>
            </w:tcBorders>
            <w:shd w:val="clear" w:color="auto" w:fill="EDEBE0"/>
          </w:tcPr>
          <w:p>
            <w:pPr>
              <w:pStyle w:val="TableParagraph"/>
              <w:rPr>
                <w:sz w:val="20"/>
              </w:rPr>
            </w:pPr>
          </w:p>
        </w:tc>
        <w:tc>
          <w:tcPr>
            <w:tcW w:w="1930" w:type="dxa"/>
            <w:tcBorders>
              <w:left w:val="single" w:sz="4" w:space="0" w:color="000000"/>
              <w:bottom w:val="single" w:sz="4" w:space="0" w:color="000000"/>
              <w:right w:val="single" w:sz="4" w:space="0" w:color="000000"/>
            </w:tcBorders>
            <w:shd w:val="clear" w:color="auto" w:fill="EDEBE0"/>
          </w:tcPr>
          <w:p>
            <w:pPr>
              <w:pStyle w:val="TableParagraph"/>
              <w:spacing w:before="137"/>
              <w:ind w:left="446"/>
              <w:rPr>
                <w:rFonts w:ascii="宋体" w:eastAsia="宋体" w:hint="eastAsia"/>
                <w:sz w:val="21"/>
              </w:rPr>
            </w:pPr>
            <w:r>
              <w:rPr>
                <w:rFonts w:ascii="宋体" w:eastAsia="宋体" w:hint="eastAsia"/>
                <w:sz w:val="21"/>
              </w:rPr>
              <w:t>董事会秘书</w:t>
            </w:r>
          </w:p>
        </w:tc>
        <w:tc>
          <w:tcPr>
            <w:tcW w:w="1418" w:type="dxa"/>
            <w:tcBorders>
              <w:left w:val="single" w:sz="4" w:space="0" w:color="000000"/>
              <w:bottom w:val="single" w:sz="4" w:space="0" w:color="000000"/>
              <w:right w:val="single" w:sz="4" w:space="0" w:color="000000"/>
            </w:tcBorders>
            <w:shd w:val="clear" w:color="auto" w:fill="EDEBE0"/>
          </w:tcPr>
          <w:p>
            <w:pPr>
              <w:pStyle w:val="TableParagraph"/>
              <w:spacing w:before="137"/>
              <w:ind w:left="87"/>
              <w:rPr>
                <w:rFonts w:ascii="宋体" w:eastAsia="宋体" w:hint="eastAsia"/>
                <w:sz w:val="21"/>
              </w:rPr>
            </w:pPr>
            <w:r>
              <w:rPr>
                <w:rFonts w:ascii="宋体" w:eastAsia="宋体" w:hint="eastAsia"/>
                <w:sz w:val="21"/>
              </w:rPr>
              <w:t>证券事务代表</w:t>
            </w:r>
          </w:p>
        </w:tc>
        <w:tc>
          <w:tcPr>
            <w:tcW w:w="1702" w:type="dxa"/>
            <w:tcBorders>
              <w:left w:val="single" w:sz="4" w:space="0" w:color="000000"/>
              <w:bottom w:val="single" w:sz="4" w:space="0" w:color="000000"/>
              <w:right w:val="single" w:sz="4" w:space="0" w:color="000000"/>
            </w:tcBorders>
            <w:shd w:val="clear" w:color="auto" w:fill="EDEBE0"/>
          </w:tcPr>
          <w:p>
            <w:pPr>
              <w:pStyle w:val="TableParagraph"/>
              <w:ind w:left="117" w:right="89"/>
              <w:jc w:val="center"/>
              <w:rPr>
                <w:rFonts w:ascii="宋体" w:eastAsia="宋体" w:hint="eastAsia"/>
                <w:sz w:val="21"/>
              </w:rPr>
            </w:pPr>
            <w:r>
              <w:rPr>
                <w:rFonts w:ascii="宋体" w:eastAsia="宋体" w:hint="eastAsia"/>
                <w:sz w:val="21"/>
              </w:rPr>
              <w:t>证券事务代表</w:t>
            </w:r>
          </w:p>
          <w:p>
            <w:pPr>
              <w:pStyle w:val="TableParagraph"/>
              <w:spacing w:line="250" w:lineRule="exact" w:before="5"/>
              <w:ind w:left="120" w:right="89"/>
              <w:jc w:val="center"/>
              <w:rPr>
                <w:rFonts w:ascii="宋体" w:eastAsia="宋体" w:hint="eastAsia"/>
                <w:sz w:val="21"/>
              </w:rPr>
            </w:pPr>
            <w:r>
              <w:rPr>
                <w:rFonts w:ascii="宋体" w:eastAsia="宋体" w:hint="eastAsia"/>
                <w:sz w:val="21"/>
              </w:rPr>
              <w:t>（</w:t>
            </w:r>
            <w:r>
              <w:rPr>
                <w:sz w:val="21"/>
              </w:rPr>
              <w:t>D</w:t>
            </w:r>
            <w:r>
              <w:rPr>
                <w:rFonts w:ascii="宋体" w:eastAsia="宋体" w:hint="eastAsia"/>
                <w:sz w:val="21"/>
              </w:rPr>
              <w:t>股）</w:t>
            </w:r>
          </w:p>
        </w:tc>
        <w:tc>
          <w:tcPr>
            <w:tcW w:w="1702" w:type="dxa"/>
            <w:tcBorders>
              <w:left w:val="single" w:sz="4" w:space="0" w:color="000000"/>
              <w:bottom w:val="single" w:sz="4" w:space="0" w:color="000000"/>
              <w:right w:val="single" w:sz="4" w:space="0" w:color="000000"/>
            </w:tcBorders>
            <w:shd w:val="clear" w:color="auto" w:fill="EDEBE0"/>
          </w:tcPr>
          <w:p>
            <w:pPr>
              <w:pStyle w:val="TableParagraph"/>
              <w:ind w:left="437"/>
              <w:rPr>
                <w:rFonts w:ascii="宋体" w:eastAsia="宋体" w:hint="eastAsia"/>
                <w:sz w:val="21"/>
              </w:rPr>
            </w:pPr>
            <w:r>
              <w:rPr>
                <w:rFonts w:ascii="宋体" w:eastAsia="宋体" w:hint="eastAsia"/>
                <w:spacing w:val="-1"/>
                <w:sz w:val="21"/>
              </w:rPr>
              <w:t>公司秘书</w:t>
            </w:r>
          </w:p>
          <w:p>
            <w:pPr>
              <w:pStyle w:val="TableParagraph"/>
              <w:spacing w:line="250" w:lineRule="exact" w:before="5"/>
              <w:ind w:left="466"/>
              <w:rPr>
                <w:rFonts w:ascii="宋体" w:eastAsia="宋体" w:hint="eastAsia"/>
                <w:sz w:val="21"/>
              </w:rPr>
            </w:pPr>
            <w:r>
              <w:rPr>
                <w:rFonts w:ascii="宋体" w:eastAsia="宋体" w:hint="eastAsia"/>
                <w:spacing w:val="-1"/>
                <w:sz w:val="21"/>
              </w:rPr>
              <w:t>（</w:t>
            </w:r>
            <w:r>
              <w:rPr>
                <w:spacing w:val="-1"/>
                <w:sz w:val="21"/>
              </w:rPr>
              <w:t>H</w:t>
            </w:r>
            <w:r>
              <w:rPr>
                <w:rFonts w:ascii="宋体" w:eastAsia="宋体" w:hint="eastAsia"/>
                <w:sz w:val="21"/>
              </w:rPr>
              <w:t>股）</w:t>
            </w:r>
          </w:p>
        </w:tc>
        <w:tc>
          <w:tcPr>
            <w:tcW w:w="924" w:type="dxa"/>
            <w:tcBorders>
              <w:left w:val="single" w:sz="4" w:space="0" w:color="000000"/>
              <w:bottom w:val="single" w:sz="4" w:space="0" w:color="000000"/>
            </w:tcBorders>
            <w:shd w:val="clear" w:color="auto" w:fill="EDEBE0"/>
          </w:tcPr>
          <w:p>
            <w:pPr>
              <w:pStyle w:val="TableParagraph"/>
              <w:spacing w:before="137"/>
              <w:ind w:left="260"/>
              <w:rPr>
                <w:rFonts w:ascii="宋体" w:eastAsia="宋体" w:hint="eastAsia"/>
                <w:sz w:val="21"/>
              </w:rPr>
            </w:pPr>
            <w:r>
              <w:rPr>
                <w:rFonts w:ascii="宋体" w:eastAsia="宋体" w:hint="eastAsia"/>
                <w:sz w:val="21"/>
              </w:rPr>
              <w:t>其他</w:t>
            </w:r>
          </w:p>
        </w:tc>
      </w:tr>
      <w:tr>
        <w:trPr>
          <w:trHeight w:val="544" w:hRule="atLeast"/>
        </w:trPr>
        <w:tc>
          <w:tcPr>
            <w:tcW w:w="1219" w:type="dxa"/>
            <w:tcBorders>
              <w:top w:val="single" w:sz="4" w:space="0" w:color="000000"/>
              <w:bottom w:val="single" w:sz="4" w:space="0" w:color="000000"/>
              <w:right w:val="single" w:sz="4" w:space="0" w:color="000000"/>
            </w:tcBorders>
            <w:shd w:val="clear" w:color="auto" w:fill="EDEBE0"/>
          </w:tcPr>
          <w:p>
            <w:pPr>
              <w:pStyle w:val="TableParagraph"/>
              <w:spacing w:before="138"/>
              <w:ind w:left="31"/>
              <w:rPr>
                <w:rFonts w:ascii="宋体" w:eastAsia="宋体" w:hint="eastAsia"/>
                <w:sz w:val="21"/>
              </w:rPr>
            </w:pPr>
            <w:r>
              <w:rPr>
                <w:rFonts w:ascii="宋体" w:eastAsia="宋体" w:hint="eastAsia"/>
                <w:sz w:val="21"/>
              </w:rPr>
              <w:t>姓名</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before="138"/>
              <w:ind w:left="38"/>
              <w:rPr>
                <w:rFonts w:ascii="宋体" w:eastAsia="宋体" w:hint="eastAsia"/>
                <w:sz w:val="21"/>
              </w:rPr>
            </w:pPr>
            <w:r>
              <w:rPr>
                <w:rFonts w:ascii="宋体" w:eastAsia="宋体" w:hint="eastAsia"/>
                <w:sz w:val="21"/>
              </w:rPr>
              <w:t>明国珍</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before="138"/>
              <w:ind w:left="39"/>
              <w:rPr>
                <w:rFonts w:ascii="宋体" w:eastAsia="宋体" w:hint="eastAsia"/>
                <w:sz w:val="21"/>
              </w:rPr>
            </w:pPr>
            <w:r>
              <w:rPr>
                <w:rFonts w:ascii="宋体" w:eastAsia="宋体" w:hint="eastAsia"/>
                <w:sz w:val="21"/>
              </w:rPr>
              <w:t>刘涛</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138"/>
              <w:ind w:left="39"/>
              <w:rPr>
                <w:rFonts w:ascii="宋体" w:eastAsia="宋体" w:hint="eastAsia"/>
                <w:sz w:val="21"/>
              </w:rPr>
            </w:pPr>
            <w:r>
              <w:rPr>
                <w:rFonts w:ascii="宋体" w:eastAsia="宋体" w:hint="eastAsia"/>
                <w:sz w:val="21"/>
              </w:rPr>
              <w:t>孙瑶（</w:t>
            </w:r>
            <w:r>
              <w:rPr>
                <w:sz w:val="21"/>
              </w:rPr>
              <w:t>Sophie</w:t>
            </w:r>
            <w:r>
              <w:rPr>
                <w:rFonts w:ascii="宋体" w:eastAsia="宋体" w:hint="eastAsia"/>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138"/>
              <w:ind w:left="39"/>
              <w:rPr>
                <w:rFonts w:ascii="宋体" w:eastAsia="宋体" w:hint="eastAsia"/>
                <w:sz w:val="21"/>
              </w:rPr>
            </w:pPr>
            <w:r>
              <w:rPr>
                <w:rFonts w:ascii="宋体" w:eastAsia="宋体" w:hint="eastAsia"/>
                <w:sz w:val="21"/>
              </w:rPr>
              <w:t>伍志贤（</w:t>
            </w:r>
            <w:r>
              <w:rPr>
                <w:sz w:val="21"/>
              </w:rPr>
              <w:t>Trevor</w:t>
            </w:r>
            <w:r>
              <w:rPr>
                <w:rFonts w:ascii="宋体" w:eastAsia="宋体" w:hint="eastAsia"/>
                <w:sz w:val="21"/>
              </w:rPr>
              <w:t>）</w:t>
            </w:r>
          </w:p>
        </w:tc>
        <w:tc>
          <w:tcPr>
            <w:tcW w:w="924" w:type="dxa"/>
            <w:tcBorders>
              <w:top w:val="single" w:sz="4" w:space="0" w:color="000000"/>
              <w:left w:val="single" w:sz="4" w:space="0" w:color="000000"/>
              <w:bottom w:val="single" w:sz="4" w:space="0" w:color="000000"/>
            </w:tcBorders>
          </w:tcPr>
          <w:p>
            <w:pPr>
              <w:pStyle w:val="TableParagraph"/>
              <w:spacing w:before="1"/>
              <w:ind w:left="39" w:right="-15"/>
              <w:rPr>
                <w:rFonts w:ascii="宋体" w:eastAsia="宋体" w:hint="eastAsia"/>
                <w:sz w:val="21"/>
              </w:rPr>
            </w:pPr>
            <w:r>
              <w:rPr>
                <w:rFonts w:ascii="宋体" w:eastAsia="宋体" w:hint="eastAsia"/>
                <w:spacing w:val="3"/>
                <w:sz w:val="21"/>
              </w:rPr>
              <w:t>全球客服</w:t>
            </w:r>
          </w:p>
          <w:p>
            <w:pPr>
              <w:pStyle w:val="TableParagraph"/>
              <w:spacing w:line="250" w:lineRule="exact" w:before="4"/>
              <w:ind w:left="39"/>
              <w:rPr>
                <w:rFonts w:ascii="宋体" w:eastAsia="宋体" w:hint="eastAsia"/>
                <w:sz w:val="21"/>
              </w:rPr>
            </w:pPr>
            <w:r>
              <w:rPr>
                <w:rFonts w:ascii="宋体" w:eastAsia="宋体" w:hint="eastAsia"/>
                <w:sz w:val="21"/>
              </w:rPr>
              <w:t>热线</w:t>
            </w:r>
          </w:p>
        </w:tc>
      </w:tr>
      <w:tr>
        <w:trPr>
          <w:trHeight w:val="1362" w:hRule="atLeast"/>
        </w:trPr>
        <w:tc>
          <w:tcPr>
            <w:tcW w:w="1219" w:type="dxa"/>
            <w:tcBorders>
              <w:top w:val="single" w:sz="4" w:space="0" w:color="000000"/>
              <w:bottom w:val="single" w:sz="4" w:space="0" w:color="000000"/>
              <w:right w:val="single" w:sz="4" w:space="0" w:color="000000"/>
            </w:tcBorders>
            <w:shd w:val="clear" w:color="auto" w:fill="EDEBE0"/>
          </w:tcPr>
          <w:p>
            <w:pPr>
              <w:pStyle w:val="TableParagraph"/>
              <w:spacing w:before="12"/>
              <w:rPr>
                <w:rFonts w:ascii="Microsoft JhengHei"/>
                <w:b/>
                <w:sz w:val="29"/>
              </w:rPr>
            </w:pPr>
          </w:p>
          <w:p>
            <w:pPr>
              <w:pStyle w:val="TableParagraph"/>
              <w:ind w:left="31"/>
              <w:rPr>
                <w:rFonts w:ascii="宋体" w:eastAsia="宋体" w:hint="eastAsia"/>
                <w:sz w:val="21"/>
              </w:rPr>
            </w:pPr>
            <w:r>
              <w:rPr>
                <w:rFonts w:ascii="宋体" w:eastAsia="宋体" w:hint="eastAsia"/>
                <w:sz w:val="21"/>
              </w:rPr>
              <w:t>联系地址</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37"/>
              <w:ind w:left="38" w:right="-15"/>
              <w:jc w:val="both"/>
              <w:rPr>
                <w:rFonts w:ascii="宋体" w:eastAsia="宋体" w:hint="eastAsia"/>
                <w:sz w:val="21"/>
              </w:rPr>
            </w:pPr>
            <w:r>
              <w:rPr>
                <w:rFonts w:ascii="宋体" w:eastAsia="宋体" w:hint="eastAsia"/>
                <w:sz w:val="21"/>
              </w:rPr>
              <w:t>青岛市海尔路</w:t>
            </w:r>
            <w:r>
              <w:rPr>
                <w:sz w:val="21"/>
              </w:rPr>
              <w:t>1</w:t>
            </w:r>
            <w:r>
              <w:rPr>
                <w:rFonts w:ascii="宋体" w:eastAsia="宋体" w:hint="eastAsia"/>
                <w:sz w:val="21"/>
              </w:rPr>
              <w:t>号海尔信息产业园海尔智家股份有限公司证券部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3"/>
              <w:ind w:left="39" w:right="7"/>
              <w:jc w:val="both"/>
              <w:rPr>
                <w:rFonts w:ascii="宋体" w:eastAsia="宋体" w:hint="eastAsia"/>
                <w:sz w:val="21"/>
              </w:rPr>
            </w:pPr>
            <w:r>
              <w:rPr>
                <w:rFonts w:ascii="宋体" w:eastAsia="宋体" w:hint="eastAsia"/>
                <w:sz w:val="21"/>
              </w:rPr>
              <w:t>青岛市海尔路</w:t>
            </w:r>
            <w:r>
              <w:rPr>
                <w:sz w:val="21"/>
              </w:rPr>
              <w:t>1 </w:t>
            </w:r>
            <w:r>
              <w:rPr>
                <w:rFonts w:ascii="宋体" w:eastAsia="宋体" w:hint="eastAsia"/>
                <w:sz w:val="21"/>
              </w:rPr>
              <w:t>号海尔信息产业园海尔智家股份有限公</w:t>
            </w:r>
          </w:p>
          <w:p>
            <w:pPr>
              <w:pStyle w:val="TableParagraph"/>
              <w:spacing w:line="252" w:lineRule="exact"/>
              <w:ind w:left="39"/>
              <w:rPr>
                <w:rFonts w:ascii="宋体" w:eastAsia="宋体" w:hint="eastAsia"/>
                <w:sz w:val="21"/>
              </w:rPr>
            </w:pPr>
            <w:r>
              <w:rPr>
                <w:rFonts w:ascii="宋体" w:eastAsia="宋体" w:hint="eastAsia"/>
                <w:sz w:val="21"/>
              </w:rPr>
              <w:t>司证券部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72"/>
              <w:ind w:left="39" w:right="6"/>
              <w:jc w:val="both"/>
              <w:rPr>
                <w:sz w:val="21"/>
              </w:rPr>
            </w:pPr>
            <w:r>
              <w:rPr>
                <w:sz w:val="21"/>
              </w:rPr>
              <w:t>Haier Deutschland GmbH</w:t>
            </w:r>
          </w:p>
          <w:p>
            <w:pPr>
              <w:pStyle w:val="TableParagraph"/>
              <w:ind w:left="39" w:right="35"/>
              <w:jc w:val="both"/>
              <w:rPr>
                <w:sz w:val="21"/>
              </w:rPr>
            </w:pPr>
            <w:r>
              <w:rPr>
                <w:sz w:val="21"/>
              </w:rPr>
              <w:t>Konrad-Zuse-Platz 681829 München, Germany</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17"/>
              <w:rPr>
                <w:rFonts w:ascii="Microsoft JhengHei"/>
                <w:b/>
                <w:sz w:val="14"/>
              </w:rPr>
            </w:pPr>
          </w:p>
          <w:p>
            <w:pPr>
              <w:pStyle w:val="TableParagraph"/>
              <w:spacing w:line="242" w:lineRule="auto"/>
              <w:ind w:left="39" w:right="9"/>
              <w:jc w:val="both"/>
              <w:rPr>
                <w:rFonts w:ascii="宋体" w:eastAsia="宋体" w:hint="eastAsia"/>
                <w:sz w:val="21"/>
              </w:rPr>
            </w:pPr>
            <w:r>
              <w:rPr>
                <w:rFonts w:ascii="宋体" w:eastAsia="宋体" w:hint="eastAsia"/>
                <w:sz w:val="21"/>
              </w:rPr>
              <w:t>香港中环皇后大道中</w:t>
            </w:r>
            <w:r>
              <w:rPr>
                <w:sz w:val="21"/>
              </w:rPr>
              <w:t>99 </w:t>
            </w:r>
            <w:r>
              <w:rPr>
                <w:rFonts w:ascii="宋体" w:eastAsia="宋体" w:hint="eastAsia"/>
                <w:sz w:val="21"/>
              </w:rPr>
              <w:t>号中环中心</w:t>
            </w:r>
            <w:r>
              <w:rPr>
                <w:sz w:val="21"/>
              </w:rPr>
              <w:t>35</w:t>
            </w:r>
            <w:r>
              <w:rPr>
                <w:rFonts w:ascii="宋体" w:eastAsia="宋体" w:hint="eastAsia"/>
                <w:sz w:val="21"/>
              </w:rPr>
              <w:t>楼</w:t>
            </w:r>
            <w:r>
              <w:rPr>
                <w:sz w:val="21"/>
              </w:rPr>
              <w:t>3513</w:t>
            </w:r>
            <w:r>
              <w:rPr>
                <w:rFonts w:ascii="宋体" w:eastAsia="宋体" w:hint="eastAsia"/>
                <w:sz w:val="21"/>
              </w:rPr>
              <w:t>室</w:t>
            </w:r>
          </w:p>
        </w:tc>
        <w:tc>
          <w:tcPr>
            <w:tcW w:w="924" w:type="dxa"/>
            <w:tcBorders>
              <w:top w:val="single" w:sz="4" w:space="0" w:color="000000"/>
              <w:left w:val="single" w:sz="4" w:space="0" w:color="000000"/>
              <w:bottom w:val="single" w:sz="4" w:space="0" w:color="000000"/>
            </w:tcBorders>
          </w:tcPr>
          <w:p>
            <w:pPr>
              <w:pStyle w:val="TableParagraph"/>
              <w:spacing w:before="3"/>
              <w:rPr>
                <w:rFonts w:ascii="Microsoft JhengHei"/>
                <w:b/>
                <w:sz w:val="30"/>
              </w:rPr>
            </w:pPr>
          </w:p>
          <w:p>
            <w:pPr>
              <w:pStyle w:val="TableParagraph"/>
              <w:ind w:left="39"/>
              <w:rPr>
                <w:sz w:val="21"/>
              </w:rPr>
            </w:pPr>
            <w:r>
              <w:rPr>
                <w:w w:val="100"/>
                <w:sz w:val="21"/>
              </w:rPr>
              <w:t>/</w:t>
            </w:r>
          </w:p>
        </w:tc>
      </w:tr>
      <w:tr>
        <w:trPr>
          <w:trHeight w:val="513" w:hRule="atLeast"/>
        </w:trPr>
        <w:tc>
          <w:tcPr>
            <w:tcW w:w="1219" w:type="dxa"/>
            <w:tcBorders>
              <w:top w:val="single" w:sz="4" w:space="0" w:color="000000"/>
              <w:bottom w:val="single" w:sz="4" w:space="0" w:color="000000"/>
              <w:right w:val="single" w:sz="4" w:space="0" w:color="000000"/>
            </w:tcBorders>
            <w:shd w:val="clear" w:color="auto" w:fill="EDEBE0"/>
          </w:tcPr>
          <w:p>
            <w:pPr>
              <w:pStyle w:val="TableParagraph"/>
              <w:spacing w:before="121"/>
              <w:ind w:left="31"/>
              <w:rPr>
                <w:rFonts w:ascii="宋体" w:eastAsia="宋体" w:hint="eastAsia"/>
                <w:sz w:val="21"/>
              </w:rPr>
            </w:pPr>
            <w:r>
              <w:rPr>
                <w:rFonts w:ascii="宋体" w:eastAsia="宋体" w:hint="eastAsia"/>
                <w:sz w:val="21"/>
              </w:rPr>
              <w:t>电话</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before="130"/>
              <w:ind w:left="38"/>
              <w:rPr>
                <w:sz w:val="21"/>
              </w:rPr>
            </w:pPr>
            <w:r>
              <w:rPr>
                <w:sz w:val="21"/>
              </w:rPr>
              <w:t>0532-88931670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before="130"/>
              <w:ind w:left="39"/>
              <w:rPr>
                <w:sz w:val="21"/>
              </w:rPr>
            </w:pPr>
            <w:r>
              <w:rPr>
                <w:sz w:val="21"/>
              </w:rPr>
              <w:t>0532-88931670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9"/>
              <w:rPr>
                <w:sz w:val="21"/>
              </w:rPr>
            </w:pPr>
            <w:r>
              <w:rPr>
                <w:sz w:val="21"/>
              </w:rPr>
              <w:t>+49 160 9469 3601</w:t>
            </w:r>
          </w:p>
          <w:p>
            <w:pPr>
              <w:pStyle w:val="TableParagraph"/>
              <w:spacing w:line="250" w:lineRule="exact" w:before="8"/>
              <w:ind w:left="39"/>
              <w:rPr>
                <w:rFonts w:ascii="宋体" w:eastAsia="宋体" w:hint="eastAsia"/>
                <w:sz w:val="21"/>
              </w:rPr>
            </w:pPr>
            <w:r>
              <w:rPr>
                <w:rFonts w:ascii="宋体" w:eastAsia="宋体" w:hint="eastAsia"/>
                <w:sz w:val="21"/>
              </w:rPr>
              <w:t>（德国）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130"/>
              <w:ind w:left="39"/>
              <w:rPr>
                <w:sz w:val="21"/>
              </w:rPr>
            </w:pPr>
            <w:r>
              <w:rPr>
                <w:sz w:val="21"/>
              </w:rPr>
              <w:t>+852 2169 0000</w:t>
            </w:r>
          </w:p>
        </w:tc>
        <w:tc>
          <w:tcPr>
            <w:tcW w:w="924" w:type="dxa"/>
            <w:tcBorders>
              <w:top w:val="single" w:sz="4" w:space="0" w:color="000000"/>
              <w:left w:val="single" w:sz="4" w:space="0" w:color="000000"/>
              <w:bottom w:val="single" w:sz="4" w:space="0" w:color="000000"/>
            </w:tcBorders>
          </w:tcPr>
          <w:p>
            <w:pPr>
              <w:pStyle w:val="TableParagraph"/>
              <w:spacing w:line="241" w:lineRule="exact" w:before="10"/>
              <w:ind w:left="39" w:right="-15"/>
              <w:rPr>
                <w:sz w:val="21"/>
              </w:rPr>
            </w:pPr>
            <w:r>
              <w:rPr>
                <w:sz w:val="21"/>
              </w:rPr>
              <w:t>4006</w:t>
            </w:r>
            <w:r>
              <w:rPr>
                <w:spacing w:val="25"/>
                <w:sz w:val="21"/>
              </w:rPr>
              <w:t> </w:t>
            </w:r>
            <w:r>
              <w:rPr>
                <w:sz w:val="21"/>
              </w:rPr>
              <w:t>999</w:t>
            </w:r>
          </w:p>
          <w:p>
            <w:pPr>
              <w:pStyle w:val="TableParagraph"/>
              <w:spacing w:line="241" w:lineRule="exact"/>
              <w:ind w:left="39"/>
              <w:rPr>
                <w:sz w:val="21"/>
              </w:rPr>
            </w:pPr>
            <w:r>
              <w:rPr>
                <w:sz w:val="21"/>
              </w:rPr>
              <w:t>999</w:t>
            </w:r>
          </w:p>
        </w:tc>
      </w:tr>
      <w:tr>
        <w:trPr>
          <w:trHeight w:val="273" w:hRule="atLeast"/>
        </w:trPr>
        <w:tc>
          <w:tcPr>
            <w:tcW w:w="1219" w:type="dxa"/>
            <w:tcBorders>
              <w:top w:val="single" w:sz="4" w:space="0" w:color="000000"/>
              <w:bottom w:val="single" w:sz="4" w:space="0" w:color="000000"/>
              <w:right w:val="single" w:sz="4" w:space="0" w:color="000000"/>
            </w:tcBorders>
            <w:shd w:val="clear" w:color="auto" w:fill="EDEBE0"/>
          </w:tcPr>
          <w:p>
            <w:pPr>
              <w:pStyle w:val="TableParagraph"/>
              <w:spacing w:line="252" w:lineRule="exact" w:before="1"/>
              <w:ind w:left="31"/>
              <w:rPr>
                <w:rFonts w:ascii="宋体" w:eastAsia="宋体" w:hint="eastAsia"/>
                <w:sz w:val="21"/>
              </w:rPr>
            </w:pPr>
            <w:r>
              <w:rPr>
                <w:rFonts w:ascii="宋体" w:eastAsia="宋体" w:hint="eastAsia"/>
                <w:sz w:val="21"/>
              </w:rPr>
              <w:t>传真</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before="10"/>
              <w:ind w:left="38"/>
              <w:rPr>
                <w:sz w:val="21"/>
              </w:rPr>
            </w:pPr>
            <w:r>
              <w:rPr>
                <w:sz w:val="21"/>
              </w:rPr>
              <w:t>0532-88931689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before="10"/>
              <w:ind w:left="39"/>
              <w:rPr>
                <w:sz w:val="21"/>
              </w:rPr>
            </w:pPr>
            <w:r>
              <w:rPr>
                <w:sz w:val="21"/>
              </w:rPr>
              <w:t>0532-88931689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10"/>
              <w:ind w:left="39"/>
              <w:rPr>
                <w:sz w:val="21"/>
              </w:rPr>
            </w:pPr>
            <w:r>
              <w:rPr>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10"/>
              <w:ind w:left="39"/>
              <w:rPr>
                <w:sz w:val="21"/>
              </w:rPr>
            </w:pPr>
            <w:r>
              <w:rPr>
                <w:sz w:val="21"/>
              </w:rPr>
              <w:t>+852 2169 0880</w:t>
            </w:r>
          </w:p>
        </w:tc>
        <w:tc>
          <w:tcPr>
            <w:tcW w:w="924" w:type="dxa"/>
            <w:tcBorders>
              <w:top w:val="single" w:sz="4" w:space="0" w:color="000000"/>
              <w:left w:val="single" w:sz="4" w:space="0" w:color="000000"/>
              <w:bottom w:val="single" w:sz="4" w:space="0" w:color="000000"/>
            </w:tcBorders>
          </w:tcPr>
          <w:p>
            <w:pPr>
              <w:pStyle w:val="TableParagraph"/>
              <w:spacing w:before="10"/>
              <w:ind w:left="39"/>
              <w:rPr>
                <w:sz w:val="21"/>
              </w:rPr>
            </w:pPr>
            <w:r>
              <w:rPr>
                <w:w w:val="100"/>
                <w:sz w:val="21"/>
              </w:rPr>
              <w:t>/</w:t>
            </w:r>
          </w:p>
        </w:tc>
      </w:tr>
      <w:tr>
        <w:trPr>
          <w:trHeight w:val="481" w:hRule="atLeast"/>
        </w:trPr>
        <w:tc>
          <w:tcPr>
            <w:tcW w:w="1219" w:type="dxa"/>
            <w:tcBorders>
              <w:top w:val="single" w:sz="4" w:space="0" w:color="000000"/>
              <w:right w:val="single" w:sz="4" w:space="0" w:color="000000"/>
            </w:tcBorders>
            <w:shd w:val="clear" w:color="auto" w:fill="EDEBE0"/>
          </w:tcPr>
          <w:p>
            <w:pPr>
              <w:pStyle w:val="TableParagraph"/>
              <w:spacing w:before="106"/>
              <w:ind w:left="31"/>
              <w:rPr>
                <w:rFonts w:ascii="宋体" w:eastAsia="宋体" w:hint="eastAsia"/>
                <w:sz w:val="21"/>
              </w:rPr>
            </w:pPr>
            <w:r>
              <w:rPr>
                <w:rFonts w:ascii="宋体" w:eastAsia="宋体" w:hint="eastAsia"/>
                <w:sz w:val="21"/>
              </w:rPr>
              <w:t>电子信箱</w:t>
            </w:r>
          </w:p>
        </w:tc>
        <w:tc>
          <w:tcPr>
            <w:tcW w:w="1930" w:type="dxa"/>
            <w:tcBorders>
              <w:top w:val="single" w:sz="4" w:space="0" w:color="000000"/>
              <w:left w:val="single" w:sz="4" w:space="0" w:color="000000"/>
              <w:right w:val="single" w:sz="4" w:space="0" w:color="000000"/>
            </w:tcBorders>
          </w:tcPr>
          <w:p>
            <w:pPr>
              <w:pStyle w:val="TableParagraph"/>
              <w:spacing w:before="113"/>
              <w:ind w:left="38"/>
              <w:rPr>
                <w:sz w:val="21"/>
              </w:rPr>
            </w:pPr>
            <w:hyperlink r:id="rId10">
              <w:r>
                <w:rPr>
                  <w:sz w:val="21"/>
                </w:rPr>
                <w:t>finance@haier.com</w:t>
              </w:r>
            </w:hyperlink>
          </w:p>
        </w:tc>
        <w:tc>
          <w:tcPr>
            <w:tcW w:w="1418" w:type="dxa"/>
            <w:tcBorders>
              <w:top w:val="single" w:sz="4" w:space="0" w:color="000000"/>
              <w:left w:val="single" w:sz="4" w:space="0" w:color="000000"/>
              <w:right w:val="single" w:sz="4" w:space="0" w:color="000000"/>
            </w:tcBorders>
          </w:tcPr>
          <w:p>
            <w:pPr>
              <w:pStyle w:val="TableParagraph"/>
              <w:spacing w:line="235" w:lineRule="exact"/>
              <w:ind w:left="39"/>
              <w:rPr>
                <w:sz w:val="21"/>
              </w:rPr>
            </w:pPr>
            <w:r>
              <w:rPr>
                <w:sz w:val="21"/>
              </w:rPr>
              <w:t>finance@haier.</w:t>
            </w:r>
          </w:p>
          <w:p>
            <w:pPr>
              <w:pStyle w:val="TableParagraph"/>
              <w:spacing w:line="226" w:lineRule="exact" w:before="1"/>
              <w:ind w:left="39"/>
              <w:rPr>
                <w:sz w:val="21"/>
              </w:rPr>
            </w:pPr>
            <w:r>
              <w:rPr>
                <w:sz w:val="21"/>
              </w:rPr>
              <w:t>com</w:t>
            </w:r>
          </w:p>
        </w:tc>
        <w:tc>
          <w:tcPr>
            <w:tcW w:w="1702" w:type="dxa"/>
            <w:tcBorders>
              <w:top w:val="single" w:sz="4" w:space="0" w:color="000000"/>
              <w:left w:val="single" w:sz="4" w:space="0" w:color="000000"/>
              <w:right w:val="single" w:sz="4" w:space="0" w:color="000000"/>
            </w:tcBorders>
          </w:tcPr>
          <w:p>
            <w:pPr>
              <w:pStyle w:val="TableParagraph"/>
              <w:spacing w:before="113"/>
              <w:ind w:left="39"/>
              <w:rPr>
                <w:sz w:val="21"/>
              </w:rPr>
            </w:pPr>
            <w:hyperlink r:id="rId11">
              <w:r>
                <w:rPr>
                  <w:sz w:val="21"/>
                </w:rPr>
                <w:t>Y.sun@haier.de</w:t>
              </w:r>
            </w:hyperlink>
          </w:p>
        </w:tc>
        <w:tc>
          <w:tcPr>
            <w:tcW w:w="1702" w:type="dxa"/>
            <w:tcBorders>
              <w:top w:val="single" w:sz="4" w:space="0" w:color="000000"/>
              <w:left w:val="single" w:sz="4" w:space="0" w:color="000000"/>
              <w:right w:val="single" w:sz="4" w:space="0" w:color="000000"/>
            </w:tcBorders>
          </w:tcPr>
          <w:p>
            <w:pPr>
              <w:pStyle w:val="TableParagraph"/>
              <w:spacing w:before="113"/>
              <w:ind w:left="39"/>
              <w:rPr>
                <w:sz w:val="21"/>
              </w:rPr>
            </w:pPr>
            <w:hyperlink r:id="rId12">
              <w:r>
                <w:rPr>
                  <w:sz w:val="21"/>
                </w:rPr>
                <w:t>ir@haier.hk</w:t>
              </w:r>
            </w:hyperlink>
          </w:p>
        </w:tc>
        <w:tc>
          <w:tcPr>
            <w:tcW w:w="924" w:type="dxa"/>
            <w:tcBorders>
              <w:top w:val="single" w:sz="4" w:space="0" w:color="000000"/>
              <w:left w:val="single" w:sz="4" w:space="0" w:color="000000"/>
            </w:tcBorders>
          </w:tcPr>
          <w:p>
            <w:pPr>
              <w:pStyle w:val="TableParagraph"/>
              <w:spacing w:before="113"/>
              <w:ind w:left="39"/>
              <w:rPr>
                <w:sz w:val="21"/>
              </w:rPr>
            </w:pPr>
            <w:r>
              <w:rPr>
                <w:w w:val="100"/>
                <w:sz w:val="21"/>
              </w:rPr>
              <w:t>/</w:t>
            </w:r>
          </w:p>
        </w:tc>
      </w:tr>
    </w:tbl>
    <w:p>
      <w:pPr>
        <w:pStyle w:val="BodyText"/>
        <w:spacing w:before="13"/>
        <w:rPr>
          <w:rFonts w:ascii="Microsoft JhengHei"/>
          <w:b/>
          <w:sz w:val="12"/>
        </w:rPr>
      </w:pPr>
    </w:p>
    <w:p>
      <w:pPr>
        <w:pStyle w:val="Heading4"/>
        <w:spacing w:after="16"/>
        <w:ind w:left="237"/>
      </w:pPr>
      <w:r>
        <w:rPr/>
        <w:t>三、 基本情况简介</w:t>
      </w:r>
    </w:p>
    <w:tbl>
      <w:tblPr>
        <w:tblW w:w="0" w:type="auto"/>
        <w:jc w:val="left"/>
        <w:tblInd w:w="22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60"/>
        <w:gridCol w:w="5036"/>
      </w:tblGrid>
      <w:tr>
        <w:trPr>
          <w:trHeight w:val="292" w:hRule="atLeast"/>
        </w:trPr>
        <w:tc>
          <w:tcPr>
            <w:tcW w:w="3860" w:type="dxa"/>
            <w:tcBorders>
              <w:bottom w:val="single" w:sz="4" w:space="0" w:color="000000"/>
              <w:right w:val="single" w:sz="4" w:space="0" w:color="000000"/>
            </w:tcBorders>
            <w:shd w:val="clear" w:color="auto" w:fill="EDEBE0"/>
          </w:tcPr>
          <w:p>
            <w:pPr>
              <w:pStyle w:val="TableParagraph"/>
              <w:ind w:left="31"/>
              <w:rPr>
                <w:rFonts w:ascii="宋体" w:eastAsia="宋体" w:hint="eastAsia"/>
                <w:sz w:val="21"/>
              </w:rPr>
            </w:pPr>
            <w:r>
              <w:rPr>
                <w:rFonts w:ascii="宋体" w:eastAsia="宋体" w:hint="eastAsia"/>
                <w:sz w:val="21"/>
              </w:rPr>
              <w:t>公司注册地址</w:t>
            </w:r>
          </w:p>
        </w:tc>
        <w:tc>
          <w:tcPr>
            <w:tcW w:w="5036" w:type="dxa"/>
            <w:tcBorders>
              <w:left w:val="single" w:sz="4" w:space="0" w:color="000000"/>
              <w:bottom w:val="single" w:sz="4" w:space="0" w:color="000000"/>
            </w:tcBorders>
          </w:tcPr>
          <w:p>
            <w:pPr>
              <w:pStyle w:val="TableParagraph"/>
              <w:spacing w:line="259" w:lineRule="exact" w:before="12"/>
              <w:ind w:left="38"/>
              <w:rPr>
                <w:rFonts w:ascii="宋体" w:eastAsia="宋体" w:hint="eastAsia"/>
                <w:sz w:val="21"/>
              </w:rPr>
            </w:pPr>
            <w:r>
              <w:rPr>
                <w:rFonts w:ascii="宋体" w:eastAsia="宋体" w:hint="eastAsia"/>
                <w:sz w:val="21"/>
              </w:rPr>
              <w:t>青岛市崂山区海尔工业园内</w:t>
            </w:r>
          </w:p>
        </w:tc>
      </w:tr>
      <w:tr>
        <w:trPr>
          <w:trHeight w:val="294" w:hRule="atLeast"/>
        </w:trPr>
        <w:tc>
          <w:tcPr>
            <w:tcW w:w="3860" w:type="dxa"/>
            <w:tcBorders>
              <w:top w:val="single" w:sz="4" w:space="0" w:color="000000"/>
              <w:bottom w:val="single" w:sz="4" w:space="0" w:color="000000"/>
              <w:right w:val="single" w:sz="4" w:space="0" w:color="000000"/>
            </w:tcBorders>
            <w:shd w:val="clear" w:color="auto" w:fill="EDEBE0"/>
          </w:tcPr>
          <w:p>
            <w:pPr>
              <w:pStyle w:val="TableParagraph"/>
              <w:spacing w:before="3"/>
              <w:ind w:left="31"/>
              <w:rPr>
                <w:rFonts w:ascii="宋体" w:eastAsia="宋体" w:hint="eastAsia"/>
                <w:sz w:val="21"/>
              </w:rPr>
            </w:pPr>
            <w:r>
              <w:rPr>
                <w:rFonts w:ascii="宋体" w:eastAsia="宋体" w:hint="eastAsia"/>
                <w:sz w:val="21"/>
              </w:rPr>
              <w:t>公司注册地址的邮政编码</w:t>
            </w:r>
          </w:p>
        </w:tc>
        <w:tc>
          <w:tcPr>
            <w:tcW w:w="5036" w:type="dxa"/>
            <w:tcBorders>
              <w:top w:val="single" w:sz="4" w:space="0" w:color="000000"/>
              <w:left w:val="single" w:sz="4" w:space="0" w:color="000000"/>
              <w:bottom w:val="single" w:sz="4" w:space="0" w:color="000000"/>
            </w:tcBorders>
          </w:tcPr>
          <w:p>
            <w:pPr>
              <w:pStyle w:val="TableParagraph"/>
              <w:spacing w:before="19"/>
              <w:ind w:left="38"/>
              <w:rPr>
                <w:sz w:val="21"/>
              </w:rPr>
            </w:pPr>
            <w:r>
              <w:rPr>
                <w:sz w:val="21"/>
              </w:rPr>
              <w:t>266101</w:t>
            </w:r>
          </w:p>
        </w:tc>
      </w:tr>
      <w:tr>
        <w:trPr>
          <w:trHeight w:val="292" w:hRule="atLeast"/>
        </w:trPr>
        <w:tc>
          <w:tcPr>
            <w:tcW w:w="3860" w:type="dxa"/>
            <w:tcBorders>
              <w:top w:val="single" w:sz="4" w:space="0" w:color="000000"/>
              <w:bottom w:val="single" w:sz="4" w:space="0" w:color="000000"/>
              <w:right w:val="single" w:sz="4" w:space="0" w:color="000000"/>
            </w:tcBorders>
            <w:shd w:val="clear" w:color="auto" w:fill="EDEBE0"/>
          </w:tcPr>
          <w:p>
            <w:pPr>
              <w:pStyle w:val="TableParagraph"/>
              <w:spacing w:before="1"/>
              <w:ind w:left="31"/>
              <w:rPr>
                <w:rFonts w:ascii="宋体" w:eastAsia="宋体" w:hint="eastAsia"/>
                <w:sz w:val="21"/>
              </w:rPr>
            </w:pPr>
            <w:r>
              <w:rPr>
                <w:rFonts w:ascii="宋体" w:eastAsia="宋体" w:hint="eastAsia"/>
                <w:sz w:val="21"/>
              </w:rPr>
              <w:t>公司办公地址</w:t>
            </w:r>
          </w:p>
        </w:tc>
        <w:tc>
          <w:tcPr>
            <w:tcW w:w="5036" w:type="dxa"/>
            <w:tcBorders>
              <w:top w:val="single" w:sz="4" w:space="0" w:color="000000"/>
              <w:left w:val="single" w:sz="4" w:space="0" w:color="000000"/>
              <w:bottom w:val="single" w:sz="4" w:space="0" w:color="000000"/>
            </w:tcBorders>
          </w:tcPr>
          <w:p>
            <w:pPr>
              <w:pStyle w:val="TableParagraph"/>
              <w:spacing w:line="262" w:lineRule="exact" w:before="10"/>
              <w:ind w:left="38"/>
              <w:rPr>
                <w:rFonts w:ascii="宋体" w:eastAsia="宋体" w:hint="eastAsia"/>
                <w:sz w:val="21"/>
              </w:rPr>
            </w:pPr>
            <w:r>
              <w:rPr>
                <w:rFonts w:ascii="宋体" w:eastAsia="宋体" w:hint="eastAsia"/>
                <w:sz w:val="21"/>
              </w:rPr>
              <w:t>青岛市崂山区海尔信息产业园内</w:t>
            </w:r>
          </w:p>
        </w:tc>
      </w:tr>
      <w:tr>
        <w:trPr>
          <w:trHeight w:val="292" w:hRule="atLeast"/>
        </w:trPr>
        <w:tc>
          <w:tcPr>
            <w:tcW w:w="3860" w:type="dxa"/>
            <w:tcBorders>
              <w:top w:val="single" w:sz="4" w:space="0" w:color="000000"/>
              <w:bottom w:val="single" w:sz="4" w:space="0" w:color="000000"/>
              <w:right w:val="single" w:sz="4" w:space="0" w:color="000000"/>
            </w:tcBorders>
            <w:shd w:val="clear" w:color="auto" w:fill="EDEBE0"/>
          </w:tcPr>
          <w:p>
            <w:pPr>
              <w:pStyle w:val="TableParagraph"/>
              <w:spacing w:before="1"/>
              <w:ind w:left="31"/>
              <w:rPr>
                <w:rFonts w:ascii="宋体" w:eastAsia="宋体" w:hint="eastAsia"/>
                <w:sz w:val="21"/>
              </w:rPr>
            </w:pPr>
            <w:r>
              <w:rPr>
                <w:rFonts w:ascii="宋体" w:eastAsia="宋体" w:hint="eastAsia"/>
                <w:sz w:val="21"/>
              </w:rPr>
              <w:t>公司办公地址的邮政编码</w:t>
            </w:r>
          </w:p>
        </w:tc>
        <w:tc>
          <w:tcPr>
            <w:tcW w:w="5036" w:type="dxa"/>
            <w:tcBorders>
              <w:top w:val="single" w:sz="4" w:space="0" w:color="000000"/>
              <w:left w:val="single" w:sz="4" w:space="0" w:color="000000"/>
              <w:bottom w:val="single" w:sz="4" w:space="0" w:color="000000"/>
            </w:tcBorders>
          </w:tcPr>
          <w:p>
            <w:pPr>
              <w:pStyle w:val="TableParagraph"/>
              <w:spacing w:before="19"/>
              <w:ind w:left="38"/>
              <w:rPr>
                <w:sz w:val="21"/>
              </w:rPr>
            </w:pPr>
            <w:r>
              <w:rPr>
                <w:sz w:val="21"/>
              </w:rPr>
              <w:t>266101</w:t>
            </w:r>
          </w:p>
        </w:tc>
      </w:tr>
      <w:tr>
        <w:trPr>
          <w:trHeight w:val="292" w:hRule="atLeast"/>
        </w:trPr>
        <w:tc>
          <w:tcPr>
            <w:tcW w:w="3860" w:type="dxa"/>
            <w:tcBorders>
              <w:top w:val="single" w:sz="4" w:space="0" w:color="000000"/>
              <w:bottom w:val="single" w:sz="4" w:space="0" w:color="000000"/>
              <w:right w:val="single" w:sz="4" w:space="0" w:color="000000"/>
            </w:tcBorders>
            <w:shd w:val="clear" w:color="auto" w:fill="EDEBE0"/>
          </w:tcPr>
          <w:p>
            <w:pPr>
              <w:pStyle w:val="TableParagraph"/>
              <w:spacing w:before="1"/>
              <w:ind w:left="31"/>
              <w:rPr>
                <w:rFonts w:ascii="宋体" w:eastAsia="宋体" w:hint="eastAsia"/>
                <w:sz w:val="21"/>
              </w:rPr>
            </w:pPr>
            <w:r>
              <w:rPr>
                <w:rFonts w:ascii="宋体" w:eastAsia="宋体" w:hint="eastAsia"/>
                <w:sz w:val="21"/>
              </w:rPr>
              <w:t>公司网址</w:t>
            </w:r>
          </w:p>
        </w:tc>
        <w:tc>
          <w:tcPr>
            <w:tcW w:w="5036" w:type="dxa"/>
            <w:tcBorders>
              <w:top w:val="single" w:sz="4" w:space="0" w:color="000000"/>
              <w:left w:val="single" w:sz="4" w:space="0" w:color="000000"/>
              <w:bottom w:val="single" w:sz="4" w:space="0" w:color="000000"/>
            </w:tcBorders>
          </w:tcPr>
          <w:p>
            <w:pPr>
              <w:pStyle w:val="TableParagraph"/>
              <w:spacing w:before="19"/>
              <w:ind w:left="38"/>
              <w:rPr>
                <w:sz w:val="21"/>
              </w:rPr>
            </w:pPr>
            <w:r>
              <w:rPr>
                <w:sz w:val="21"/>
              </w:rPr>
              <w:t>https://smart-home.haier.com/cn/</w:t>
            </w:r>
          </w:p>
        </w:tc>
      </w:tr>
      <w:tr>
        <w:trPr>
          <w:trHeight w:val="292" w:hRule="atLeast"/>
        </w:trPr>
        <w:tc>
          <w:tcPr>
            <w:tcW w:w="3860" w:type="dxa"/>
            <w:tcBorders>
              <w:top w:val="single" w:sz="4" w:space="0" w:color="000000"/>
              <w:right w:val="single" w:sz="4" w:space="0" w:color="000000"/>
            </w:tcBorders>
            <w:shd w:val="clear" w:color="auto" w:fill="EDEBE0"/>
          </w:tcPr>
          <w:p>
            <w:pPr>
              <w:pStyle w:val="TableParagraph"/>
              <w:spacing w:line="269" w:lineRule="exact" w:before="3"/>
              <w:ind w:left="31"/>
              <w:rPr>
                <w:rFonts w:ascii="宋体" w:eastAsia="宋体" w:hint="eastAsia"/>
                <w:sz w:val="21"/>
              </w:rPr>
            </w:pPr>
            <w:r>
              <w:rPr>
                <w:rFonts w:ascii="宋体" w:eastAsia="宋体" w:hint="eastAsia"/>
                <w:sz w:val="21"/>
              </w:rPr>
              <w:t>电子信箱</w:t>
            </w:r>
          </w:p>
        </w:tc>
        <w:tc>
          <w:tcPr>
            <w:tcW w:w="5036" w:type="dxa"/>
            <w:tcBorders>
              <w:top w:val="single" w:sz="4" w:space="0" w:color="000000"/>
              <w:left w:val="single" w:sz="4" w:space="0" w:color="000000"/>
            </w:tcBorders>
          </w:tcPr>
          <w:p>
            <w:pPr>
              <w:pStyle w:val="TableParagraph"/>
              <w:spacing w:before="19"/>
              <w:ind w:left="38"/>
              <w:rPr>
                <w:sz w:val="21"/>
              </w:rPr>
            </w:pPr>
            <w:hyperlink r:id="rId13">
              <w:r>
                <w:rPr>
                  <w:sz w:val="21"/>
                </w:rPr>
                <w:t>9999@haier.com</w:t>
              </w:r>
            </w:hyperlink>
          </w:p>
        </w:tc>
      </w:tr>
    </w:tbl>
    <w:p>
      <w:pPr>
        <w:pStyle w:val="BodyText"/>
        <w:spacing w:before="16"/>
        <w:rPr>
          <w:rFonts w:ascii="Microsoft JhengHei"/>
          <w:b/>
          <w:sz w:val="12"/>
        </w:rPr>
      </w:pPr>
    </w:p>
    <w:p>
      <w:pPr>
        <w:pStyle w:val="Heading4"/>
        <w:spacing w:after="14"/>
        <w:ind w:left="237"/>
      </w:pPr>
      <w:r>
        <w:rPr/>
        <w:t>四、 信息披露及备置地点</w:t>
      </w:r>
    </w:p>
    <w:tbl>
      <w:tblPr>
        <w:tblW w:w="0" w:type="auto"/>
        <w:jc w:val="left"/>
        <w:tblInd w:w="22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010"/>
        <w:gridCol w:w="5885"/>
      </w:tblGrid>
      <w:tr>
        <w:trPr>
          <w:trHeight w:val="546" w:hRule="atLeast"/>
        </w:trPr>
        <w:tc>
          <w:tcPr>
            <w:tcW w:w="3010" w:type="dxa"/>
            <w:tcBorders>
              <w:bottom w:val="single" w:sz="4" w:space="0" w:color="000000"/>
              <w:right w:val="single" w:sz="4" w:space="0" w:color="000000"/>
            </w:tcBorders>
            <w:shd w:val="clear" w:color="auto" w:fill="EDEBE0"/>
          </w:tcPr>
          <w:p>
            <w:pPr>
              <w:pStyle w:val="TableParagraph"/>
              <w:spacing w:before="137"/>
              <w:ind w:left="31"/>
              <w:rPr>
                <w:rFonts w:ascii="宋体" w:eastAsia="宋体" w:hint="eastAsia"/>
                <w:sz w:val="21"/>
              </w:rPr>
            </w:pPr>
            <w:r>
              <w:rPr>
                <w:rFonts w:ascii="宋体" w:eastAsia="宋体" w:hint="eastAsia"/>
                <w:sz w:val="21"/>
              </w:rPr>
              <w:t>公司选定的信息披露媒体名称</w:t>
            </w:r>
          </w:p>
        </w:tc>
        <w:tc>
          <w:tcPr>
            <w:tcW w:w="5885" w:type="dxa"/>
            <w:tcBorders>
              <w:left w:val="single" w:sz="4" w:space="0" w:color="000000"/>
              <w:bottom w:val="single" w:sz="4" w:space="0" w:color="000000"/>
            </w:tcBorders>
          </w:tcPr>
          <w:p>
            <w:pPr>
              <w:pStyle w:val="TableParagraph"/>
              <w:spacing w:before="3"/>
              <w:ind w:left="38" w:right="-15"/>
              <w:rPr>
                <w:rFonts w:ascii="宋体" w:eastAsia="宋体" w:hint="eastAsia"/>
                <w:sz w:val="21"/>
              </w:rPr>
            </w:pPr>
            <w:r>
              <w:rPr>
                <w:rFonts w:ascii="宋体" w:eastAsia="宋体" w:hint="eastAsia"/>
                <w:spacing w:val="-9"/>
                <w:sz w:val="21"/>
              </w:rPr>
              <w:t>《上海证券报》、《证券时报》、《中国证券报》、《证券日报</w:t>
            </w:r>
          </w:p>
          <w:p>
            <w:pPr>
              <w:pStyle w:val="TableParagraph"/>
              <w:spacing w:line="252" w:lineRule="exact" w:before="2"/>
              <w:ind w:left="38"/>
              <w:rPr>
                <w:rFonts w:ascii="宋体" w:eastAsia="宋体" w:hint="eastAsia"/>
                <w:sz w:val="21"/>
              </w:rPr>
            </w:pPr>
            <w:r>
              <w:rPr>
                <w:rFonts w:ascii="宋体" w:eastAsia="宋体" w:hint="eastAsia"/>
                <w:w w:val="100"/>
                <w:sz w:val="21"/>
              </w:rPr>
              <w:t>》</w:t>
            </w:r>
          </w:p>
        </w:tc>
      </w:tr>
      <w:tr>
        <w:trPr>
          <w:trHeight w:val="544" w:hRule="atLeast"/>
        </w:trPr>
        <w:tc>
          <w:tcPr>
            <w:tcW w:w="3010" w:type="dxa"/>
            <w:tcBorders>
              <w:top w:val="single" w:sz="4" w:space="0" w:color="000000"/>
              <w:bottom w:val="single" w:sz="4" w:space="0" w:color="000000"/>
              <w:right w:val="single" w:sz="4" w:space="0" w:color="000000"/>
            </w:tcBorders>
            <w:shd w:val="clear" w:color="auto" w:fill="EDEBE0"/>
          </w:tcPr>
          <w:p>
            <w:pPr>
              <w:pStyle w:val="TableParagraph"/>
              <w:spacing w:before="1"/>
              <w:ind w:left="31"/>
              <w:rPr>
                <w:rFonts w:ascii="宋体" w:eastAsia="宋体" w:hint="eastAsia"/>
                <w:sz w:val="21"/>
              </w:rPr>
            </w:pPr>
            <w:r>
              <w:rPr>
                <w:rFonts w:ascii="宋体" w:eastAsia="宋体" w:hint="eastAsia"/>
                <w:sz w:val="21"/>
              </w:rPr>
              <w:t>登载年度报告的中国证监会指定</w:t>
            </w:r>
          </w:p>
          <w:p>
            <w:pPr>
              <w:pStyle w:val="TableParagraph"/>
              <w:spacing w:line="252" w:lineRule="exact" w:before="2"/>
              <w:ind w:left="31"/>
              <w:rPr>
                <w:rFonts w:ascii="宋体" w:eastAsia="宋体" w:hint="eastAsia"/>
                <w:sz w:val="21"/>
              </w:rPr>
            </w:pPr>
            <w:r>
              <w:rPr>
                <w:rFonts w:ascii="宋体" w:eastAsia="宋体" w:hint="eastAsia"/>
                <w:sz w:val="21"/>
              </w:rPr>
              <w:t>网站的网址</w:t>
            </w:r>
          </w:p>
        </w:tc>
        <w:tc>
          <w:tcPr>
            <w:tcW w:w="5885" w:type="dxa"/>
            <w:tcBorders>
              <w:top w:val="single" w:sz="4" w:space="0" w:color="000000"/>
              <w:left w:val="single" w:sz="4" w:space="0" w:color="000000"/>
              <w:bottom w:val="single" w:sz="4" w:space="0" w:color="000000"/>
            </w:tcBorders>
          </w:tcPr>
          <w:p>
            <w:pPr>
              <w:pStyle w:val="TableParagraph"/>
              <w:spacing w:before="144"/>
              <w:ind w:left="38"/>
              <w:rPr>
                <w:sz w:val="21"/>
              </w:rPr>
            </w:pPr>
            <w:hyperlink r:id="rId14">
              <w:r>
                <w:rPr>
                  <w:sz w:val="21"/>
                </w:rPr>
                <w:t>www.sse.com.cn</w:t>
              </w:r>
            </w:hyperlink>
          </w:p>
        </w:tc>
      </w:tr>
      <w:tr>
        <w:trPr>
          <w:trHeight w:val="544" w:hRule="atLeast"/>
        </w:trPr>
        <w:tc>
          <w:tcPr>
            <w:tcW w:w="3010" w:type="dxa"/>
            <w:tcBorders>
              <w:top w:val="single" w:sz="4" w:space="0" w:color="000000"/>
              <w:bottom w:val="single" w:sz="4" w:space="0" w:color="000000"/>
              <w:right w:val="single" w:sz="4" w:space="0" w:color="000000"/>
            </w:tcBorders>
            <w:shd w:val="clear" w:color="auto" w:fill="EDEBE0"/>
          </w:tcPr>
          <w:p>
            <w:pPr>
              <w:pStyle w:val="TableParagraph"/>
              <w:spacing w:before="137"/>
              <w:ind w:left="31"/>
              <w:rPr>
                <w:rFonts w:ascii="宋体" w:eastAsia="宋体" w:hint="eastAsia"/>
                <w:sz w:val="21"/>
              </w:rPr>
            </w:pPr>
            <w:r>
              <w:rPr>
                <w:rFonts w:ascii="宋体" w:eastAsia="宋体" w:hint="eastAsia"/>
                <w:sz w:val="21"/>
              </w:rPr>
              <w:t>登载年度报告的其他网站的网址</w:t>
            </w:r>
          </w:p>
        </w:tc>
        <w:tc>
          <w:tcPr>
            <w:tcW w:w="5885" w:type="dxa"/>
            <w:tcBorders>
              <w:top w:val="single" w:sz="4" w:space="0" w:color="000000"/>
              <w:left w:val="single" w:sz="4" w:space="0" w:color="000000"/>
              <w:bottom w:val="single" w:sz="4" w:space="0" w:color="000000"/>
            </w:tcBorders>
          </w:tcPr>
          <w:p>
            <w:pPr>
              <w:pStyle w:val="TableParagraph"/>
              <w:spacing w:before="1"/>
              <w:ind w:left="38" w:right="-15"/>
              <w:rPr>
                <w:sz w:val="21"/>
              </w:rPr>
            </w:pPr>
            <w:r>
              <w:rPr>
                <w:sz w:val="21"/>
              </w:rPr>
              <w:t>https://smart-home.haier.com/cn/</w:t>
            </w:r>
            <w:r>
              <w:rPr>
                <w:rFonts w:ascii="宋体" w:eastAsia="宋体" w:hint="eastAsia"/>
                <w:sz w:val="21"/>
              </w:rPr>
              <w:t>，</w:t>
            </w:r>
            <w:r>
              <w:rPr>
                <w:rFonts w:ascii="宋体" w:eastAsia="宋体" w:hint="eastAsia"/>
                <w:spacing w:val="-75"/>
                <w:sz w:val="21"/>
              </w:rPr>
              <w:t> </w:t>
            </w:r>
            <w:hyperlink r:id="rId15">
              <w:r>
                <w:rPr>
                  <w:sz w:val="21"/>
                </w:rPr>
                <w:t>www.xetra.com</w:t>
              </w:r>
              <w:r>
                <w:rPr>
                  <w:spacing w:val="-27"/>
                  <w:sz w:val="21"/>
                </w:rPr>
                <w:t> </w:t>
              </w:r>
            </w:hyperlink>
            <w:r>
              <w:rPr>
                <w:rFonts w:ascii="宋体" w:eastAsia="宋体" w:hint="eastAsia"/>
                <w:sz w:val="21"/>
              </w:rPr>
              <w:t>，</w:t>
            </w:r>
            <w:r>
              <w:rPr>
                <w:rFonts w:ascii="宋体" w:eastAsia="宋体" w:hint="eastAsia"/>
                <w:spacing w:val="-71"/>
                <w:sz w:val="21"/>
              </w:rPr>
              <w:t> </w:t>
            </w:r>
            <w:hyperlink r:id="rId16">
              <w:r>
                <w:rPr>
                  <w:sz w:val="21"/>
                </w:rPr>
                <w:t>www.dgap.de</w:t>
              </w:r>
            </w:hyperlink>
          </w:p>
          <w:p>
            <w:pPr>
              <w:pStyle w:val="TableParagraph"/>
              <w:spacing w:line="252" w:lineRule="exact" w:before="2"/>
              <w:ind w:left="38"/>
              <w:rPr>
                <w:sz w:val="21"/>
              </w:rPr>
            </w:pPr>
            <w:r>
              <w:rPr>
                <w:rFonts w:ascii="宋体" w:eastAsia="宋体" w:hint="eastAsia"/>
                <w:sz w:val="21"/>
              </w:rPr>
              <w:t>，</w:t>
            </w:r>
            <w:r>
              <w:rPr>
                <w:sz w:val="21"/>
              </w:rPr>
              <w:t>https://</w:t>
            </w:r>
            <w:hyperlink r:id="rId17">
              <w:r>
                <w:rPr>
                  <w:sz w:val="21"/>
                </w:rPr>
                <w:t>www.hkexnews.hk</w:t>
              </w:r>
            </w:hyperlink>
          </w:p>
        </w:tc>
      </w:tr>
      <w:tr>
        <w:trPr>
          <w:trHeight w:val="291" w:hRule="atLeast"/>
        </w:trPr>
        <w:tc>
          <w:tcPr>
            <w:tcW w:w="3010" w:type="dxa"/>
            <w:tcBorders>
              <w:top w:val="single" w:sz="4" w:space="0" w:color="000000"/>
              <w:right w:val="single" w:sz="4" w:space="0" w:color="000000"/>
            </w:tcBorders>
            <w:shd w:val="clear" w:color="auto" w:fill="EDEBE0"/>
          </w:tcPr>
          <w:p>
            <w:pPr>
              <w:pStyle w:val="TableParagraph"/>
              <w:spacing w:line="261" w:lineRule="exact" w:before="10"/>
              <w:ind w:left="31"/>
              <w:rPr>
                <w:rFonts w:ascii="宋体" w:eastAsia="宋体" w:hint="eastAsia"/>
                <w:sz w:val="21"/>
              </w:rPr>
            </w:pPr>
            <w:r>
              <w:rPr>
                <w:rFonts w:ascii="宋体" w:eastAsia="宋体" w:hint="eastAsia"/>
                <w:sz w:val="21"/>
              </w:rPr>
              <w:t>公司年度报告备置地点</w:t>
            </w:r>
          </w:p>
        </w:tc>
        <w:tc>
          <w:tcPr>
            <w:tcW w:w="5885" w:type="dxa"/>
            <w:tcBorders>
              <w:top w:val="single" w:sz="4" w:space="0" w:color="000000"/>
              <w:left w:val="single" w:sz="4" w:space="0" w:color="000000"/>
            </w:tcBorders>
          </w:tcPr>
          <w:p>
            <w:pPr>
              <w:pStyle w:val="TableParagraph"/>
              <w:spacing w:line="261" w:lineRule="exact" w:before="10"/>
              <w:ind w:left="38"/>
              <w:rPr>
                <w:rFonts w:ascii="宋体" w:eastAsia="宋体" w:hint="eastAsia"/>
                <w:sz w:val="21"/>
              </w:rPr>
            </w:pPr>
            <w:r>
              <w:rPr>
                <w:rFonts w:ascii="宋体" w:eastAsia="宋体" w:hint="eastAsia"/>
                <w:sz w:val="21"/>
              </w:rPr>
              <w:t>青岛市海尔路</w:t>
            </w:r>
            <w:r>
              <w:rPr>
                <w:sz w:val="21"/>
              </w:rPr>
              <w:t>1</w:t>
            </w:r>
            <w:r>
              <w:rPr>
                <w:rFonts w:ascii="宋体" w:eastAsia="宋体" w:hint="eastAsia"/>
                <w:sz w:val="21"/>
              </w:rPr>
              <w:t>号海尔信息产业园海尔智家股份有限公司证券部</w:t>
            </w:r>
          </w:p>
        </w:tc>
      </w:tr>
    </w:tbl>
    <w:p>
      <w:pPr>
        <w:spacing w:after="0" w:line="261" w:lineRule="exact"/>
        <w:rPr>
          <w:rFonts w:ascii="宋体" w:eastAsia="宋体" w:hint="eastAsia"/>
          <w:sz w:val="21"/>
        </w:rPr>
        <w:sectPr>
          <w:pgSz w:w="11910" w:h="16840"/>
          <w:pgMar w:header="874" w:footer="1214" w:top="1360" w:bottom="1400" w:left="1040" w:right="760"/>
        </w:sectPr>
      </w:pPr>
    </w:p>
    <w:p>
      <w:pPr>
        <w:pStyle w:val="Heading4"/>
        <w:spacing w:line="385" w:lineRule="exact" w:after="13"/>
        <w:ind w:left="237"/>
      </w:pPr>
      <w:r>
        <w:rPr/>
        <w:t>五、 公司股票简况</w:t>
      </w:r>
    </w:p>
    <w:tbl>
      <w:tblPr>
        <w:tblW w:w="0" w:type="auto"/>
        <w:jc w:val="left"/>
        <w:tblInd w:w="22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779"/>
        <w:gridCol w:w="1779"/>
        <w:gridCol w:w="1779"/>
        <w:gridCol w:w="1781"/>
        <w:gridCol w:w="1779"/>
      </w:tblGrid>
      <w:tr>
        <w:trPr>
          <w:trHeight w:val="294" w:hRule="atLeast"/>
        </w:trPr>
        <w:tc>
          <w:tcPr>
            <w:tcW w:w="8897" w:type="dxa"/>
            <w:gridSpan w:val="5"/>
            <w:tcBorders>
              <w:bottom w:val="single" w:sz="4" w:space="0" w:color="000000"/>
            </w:tcBorders>
            <w:shd w:val="clear" w:color="auto" w:fill="EDEBE0"/>
          </w:tcPr>
          <w:p>
            <w:pPr>
              <w:pStyle w:val="TableParagraph"/>
              <w:spacing w:before="3"/>
              <w:ind w:left="3797" w:right="3769"/>
              <w:jc w:val="center"/>
              <w:rPr>
                <w:rFonts w:ascii="宋体" w:eastAsia="宋体" w:hint="eastAsia"/>
                <w:sz w:val="21"/>
              </w:rPr>
            </w:pPr>
            <w:r>
              <w:rPr>
                <w:rFonts w:ascii="宋体" w:eastAsia="宋体" w:hint="eastAsia"/>
                <w:sz w:val="21"/>
              </w:rPr>
              <w:t>公司股票简况</w:t>
            </w:r>
          </w:p>
        </w:tc>
      </w:tr>
      <w:tr>
        <w:trPr>
          <w:trHeight w:val="292" w:hRule="atLeast"/>
        </w:trPr>
        <w:tc>
          <w:tcPr>
            <w:tcW w:w="1779" w:type="dxa"/>
            <w:tcBorders>
              <w:top w:val="single" w:sz="4" w:space="0" w:color="000000"/>
              <w:bottom w:val="single" w:sz="4" w:space="0" w:color="000000"/>
              <w:right w:val="single" w:sz="4" w:space="0" w:color="000000"/>
            </w:tcBorders>
            <w:shd w:val="clear" w:color="auto" w:fill="EDEBE0"/>
          </w:tcPr>
          <w:p>
            <w:pPr>
              <w:pStyle w:val="TableParagraph"/>
              <w:spacing w:before="1"/>
              <w:ind w:left="131" w:right="107"/>
              <w:jc w:val="center"/>
              <w:rPr>
                <w:rFonts w:ascii="宋体" w:eastAsia="宋体" w:hint="eastAsia"/>
                <w:sz w:val="21"/>
              </w:rPr>
            </w:pPr>
            <w:r>
              <w:rPr>
                <w:rFonts w:ascii="宋体" w:eastAsia="宋体" w:hint="eastAsia"/>
                <w:sz w:val="21"/>
              </w:rPr>
              <w:t>股票种类</w:t>
            </w:r>
          </w:p>
        </w:tc>
        <w:tc>
          <w:tcPr>
            <w:tcW w:w="1779"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1"/>
              <w:ind w:left="82" w:right="57"/>
              <w:jc w:val="center"/>
              <w:rPr>
                <w:rFonts w:ascii="宋体" w:eastAsia="宋体" w:hint="eastAsia"/>
                <w:sz w:val="21"/>
              </w:rPr>
            </w:pPr>
            <w:r>
              <w:rPr>
                <w:rFonts w:ascii="宋体" w:eastAsia="宋体" w:hint="eastAsia"/>
                <w:sz w:val="21"/>
              </w:rPr>
              <w:t>股票上市交易所</w:t>
            </w:r>
          </w:p>
        </w:tc>
        <w:tc>
          <w:tcPr>
            <w:tcW w:w="1779"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1"/>
              <w:ind w:left="82" w:right="55"/>
              <w:jc w:val="center"/>
              <w:rPr>
                <w:rFonts w:ascii="宋体" w:eastAsia="宋体" w:hint="eastAsia"/>
                <w:sz w:val="21"/>
              </w:rPr>
            </w:pPr>
            <w:r>
              <w:rPr>
                <w:rFonts w:ascii="宋体" w:eastAsia="宋体" w:hint="eastAsia"/>
                <w:sz w:val="21"/>
              </w:rPr>
              <w:t>股票简称</w:t>
            </w:r>
          </w:p>
        </w:tc>
        <w:tc>
          <w:tcPr>
            <w:tcW w:w="1781"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1"/>
              <w:ind w:left="460" w:right="430"/>
              <w:jc w:val="center"/>
              <w:rPr>
                <w:rFonts w:ascii="宋体" w:eastAsia="宋体" w:hint="eastAsia"/>
                <w:sz w:val="21"/>
              </w:rPr>
            </w:pPr>
            <w:r>
              <w:rPr>
                <w:rFonts w:ascii="宋体" w:eastAsia="宋体" w:hint="eastAsia"/>
                <w:sz w:val="21"/>
              </w:rPr>
              <w:t>股票代码</w:t>
            </w:r>
          </w:p>
        </w:tc>
        <w:tc>
          <w:tcPr>
            <w:tcW w:w="1779" w:type="dxa"/>
            <w:tcBorders>
              <w:top w:val="single" w:sz="4" w:space="0" w:color="000000"/>
              <w:left w:val="single" w:sz="4" w:space="0" w:color="000000"/>
              <w:bottom w:val="single" w:sz="4" w:space="0" w:color="000000"/>
            </w:tcBorders>
            <w:shd w:val="clear" w:color="auto" w:fill="EDEBE0"/>
          </w:tcPr>
          <w:p>
            <w:pPr>
              <w:pStyle w:val="TableParagraph"/>
              <w:spacing w:before="1"/>
              <w:ind w:left="141" w:right="107"/>
              <w:jc w:val="center"/>
              <w:rPr>
                <w:rFonts w:ascii="宋体" w:eastAsia="宋体" w:hint="eastAsia"/>
                <w:sz w:val="21"/>
              </w:rPr>
            </w:pPr>
            <w:r>
              <w:rPr>
                <w:rFonts w:ascii="宋体" w:eastAsia="宋体" w:hint="eastAsia"/>
                <w:sz w:val="21"/>
              </w:rPr>
              <w:t>变更前股票简称</w:t>
            </w:r>
          </w:p>
        </w:tc>
      </w:tr>
      <w:tr>
        <w:trPr>
          <w:trHeight w:val="294" w:hRule="atLeast"/>
        </w:trPr>
        <w:tc>
          <w:tcPr>
            <w:tcW w:w="1779" w:type="dxa"/>
            <w:tcBorders>
              <w:top w:val="single" w:sz="4" w:space="0" w:color="000000"/>
              <w:bottom w:val="single" w:sz="4" w:space="0" w:color="000000"/>
              <w:right w:val="single" w:sz="4" w:space="0" w:color="000000"/>
            </w:tcBorders>
          </w:tcPr>
          <w:p>
            <w:pPr>
              <w:pStyle w:val="TableParagraph"/>
              <w:spacing w:line="262" w:lineRule="exact" w:before="13"/>
              <w:ind w:left="128" w:right="107"/>
              <w:jc w:val="center"/>
              <w:rPr>
                <w:rFonts w:ascii="宋体" w:eastAsia="宋体" w:hint="eastAsia"/>
                <w:sz w:val="21"/>
              </w:rPr>
            </w:pPr>
            <w:r>
              <w:rPr>
                <w:sz w:val="21"/>
              </w:rPr>
              <w:t>A</w:t>
            </w:r>
            <w:r>
              <w:rPr>
                <w:rFonts w:ascii="宋体" w:eastAsia="宋体" w:hint="eastAsia"/>
                <w:sz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before="13"/>
              <w:ind w:left="82" w:right="57"/>
              <w:jc w:val="center"/>
              <w:rPr>
                <w:rFonts w:ascii="宋体" w:eastAsia="宋体" w:hint="eastAsia"/>
                <w:sz w:val="21"/>
              </w:rPr>
            </w:pPr>
            <w:r>
              <w:rPr>
                <w:rFonts w:ascii="宋体" w:eastAsia="宋体" w:hint="eastAsia"/>
                <w:sz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before="13"/>
              <w:ind w:left="82" w:right="55"/>
              <w:jc w:val="center"/>
              <w:rPr>
                <w:rFonts w:ascii="宋体" w:eastAsia="宋体" w:hint="eastAsia"/>
                <w:sz w:val="21"/>
              </w:rPr>
            </w:pPr>
            <w:r>
              <w:rPr>
                <w:rFonts w:ascii="宋体" w:eastAsia="宋体" w:hint="eastAsia"/>
                <w:sz w:val="21"/>
              </w:rPr>
              <w:t>海尔智家</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before="19"/>
              <w:ind w:left="457" w:right="430"/>
              <w:jc w:val="center"/>
              <w:rPr>
                <w:sz w:val="21"/>
              </w:rPr>
            </w:pPr>
            <w:r>
              <w:rPr>
                <w:sz w:val="21"/>
              </w:rPr>
              <w:t>600690</w:t>
            </w:r>
          </w:p>
        </w:tc>
        <w:tc>
          <w:tcPr>
            <w:tcW w:w="1779" w:type="dxa"/>
            <w:tcBorders>
              <w:top w:val="single" w:sz="4" w:space="0" w:color="000000"/>
              <w:left w:val="single" w:sz="4" w:space="0" w:color="000000"/>
              <w:bottom w:val="single" w:sz="4" w:space="0" w:color="000000"/>
            </w:tcBorders>
          </w:tcPr>
          <w:p>
            <w:pPr>
              <w:pStyle w:val="TableParagraph"/>
              <w:spacing w:line="262" w:lineRule="exact" w:before="13"/>
              <w:ind w:left="141" w:right="103"/>
              <w:jc w:val="center"/>
              <w:rPr>
                <w:rFonts w:ascii="宋体" w:eastAsia="宋体" w:hint="eastAsia"/>
                <w:sz w:val="21"/>
              </w:rPr>
            </w:pPr>
            <w:r>
              <w:rPr>
                <w:rFonts w:ascii="宋体" w:eastAsia="宋体" w:hint="eastAsia"/>
                <w:sz w:val="21"/>
              </w:rPr>
              <w:t>青岛海尔</w:t>
            </w:r>
          </w:p>
        </w:tc>
      </w:tr>
      <w:tr>
        <w:trPr>
          <w:trHeight w:val="292" w:hRule="atLeast"/>
        </w:trPr>
        <w:tc>
          <w:tcPr>
            <w:tcW w:w="1779" w:type="dxa"/>
            <w:tcBorders>
              <w:top w:val="single" w:sz="4" w:space="0" w:color="000000"/>
              <w:bottom w:val="single" w:sz="4" w:space="0" w:color="000000"/>
              <w:right w:val="single" w:sz="4" w:space="0" w:color="000000"/>
            </w:tcBorders>
          </w:tcPr>
          <w:p>
            <w:pPr>
              <w:pStyle w:val="TableParagraph"/>
              <w:spacing w:line="262" w:lineRule="exact" w:before="10"/>
              <w:ind w:left="128" w:right="107"/>
              <w:jc w:val="center"/>
              <w:rPr>
                <w:rFonts w:ascii="宋体" w:eastAsia="宋体" w:hint="eastAsia"/>
                <w:sz w:val="21"/>
              </w:rPr>
            </w:pPr>
            <w:r>
              <w:rPr>
                <w:sz w:val="21"/>
              </w:rPr>
              <w:t>D</w:t>
            </w:r>
            <w:r>
              <w:rPr>
                <w:rFonts w:ascii="宋体" w:eastAsia="宋体" w:hint="eastAsia"/>
                <w:sz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before="10"/>
              <w:ind w:left="82" w:right="57"/>
              <w:jc w:val="center"/>
              <w:rPr>
                <w:rFonts w:ascii="宋体" w:eastAsia="宋体" w:hint="eastAsia"/>
                <w:sz w:val="21"/>
              </w:rPr>
            </w:pPr>
            <w:r>
              <w:rPr>
                <w:rFonts w:ascii="宋体" w:eastAsia="宋体" w:hint="eastAsia"/>
                <w:sz w:val="21"/>
              </w:rPr>
              <w:t>法兰克福交易所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before="17"/>
              <w:ind w:left="82" w:right="60"/>
              <w:jc w:val="center"/>
              <w:rPr>
                <w:sz w:val="21"/>
              </w:rPr>
            </w:pPr>
            <w:r>
              <w:rPr>
                <w:sz w:val="21"/>
              </w:rPr>
              <w:t>Haier Smart Home</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before="17"/>
              <w:ind w:left="459" w:right="430"/>
              <w:jc w:val="center"/>
              <w:rPr>
                <w:sz w:val="21"/>
              </w:rPr>
            </w:pPr>
            <w:r>
              <w:rPr>
                <w:sz w:val="21"/>
              </w:rPr>
              <w:t>690D</w:t>
            </w:r>
          </w:p>
        </w:tc>
        <w:tc>
          <w:tcPr>
            <w:tcW w:w="1779" w:type="dxa"/>
            <w:tcBorders>
              <w:top w:val="single" w:sz="4" w:space="0" w:color="000000"/>
              <w:left w:val="single" w:sz="4" w:space="0" w:color="000000"/>
              <w:bottom w:val="single" w:sz="4" w:space="0" w:color="000000"/>
            </w:tcBorders>
          </w:tcPr>
          <w:p>
            <w:pPr>
              <w:pStyle w:val="TableParagraph"/>
              <w:spacing w:before="17"/>
              <w:ind w:left="141" w:right="106"/>
              <w:jc w:val="center"/>
              <w:rPr>
                <w:sz w:val="21"/>
              </w:rPr>
            </w:pPr>
            <w:r>
              <w:rPr>
                <w:sz w:val="21"/>
              </w:rPr>
              <w:t>Qingdao Haier</w:t>
            </w:r>
          </w:p>
        </w:tc>
      </w:tr>
      <w:tr>
        <w:trPr>
          <w:trHeight w:val="291" w:hRule="atLeast"/>
        </w:trPr>
        <w:tc>
          <w:tcPr>
            <w:tcW w:w="1779" w:type="dxa"/>
            <w:tcBorders>
              <w:top w:val="single" w:sz="4" w:space="0" w:color="000000"/>
              <w:right w:val="single" w:sz="4" w:space="0" w:color="000000"/>
            </w:tcBorders>
          </w:tcPr>
          <w:p>
            <w:pPr>
              <w:pStyle w:val="TableParagraph"/>
              <w:spacing w:line="261" w:lineRule="exact" w:before="10"/>
              <w:ind w:left="128" w:right="107"/>
              <w:jc w:val="center"/>
              <w:rPr>
                <w:rFonts w:ascii="宋体" w:eastAsia="宋体" w:hint="eastAsia"/>
                <w:sz w:val="21"/>
              </w:rPr>
            </w:pPr>
            <w:r>
              <w:rPr>
                <w:sz w:val="21"/>
              </w:rPr>
              <w:t>H</w:t>
            </w:r>
            <w:r>
              <w:rPr>
                <w:rFonts w:ascii="宋体" w:eastAsia="宋体" w:hint="eastAsia"/>
                <w:sz w:val="21"/>
              </w:rPr>
              <w:t>股</w:t>
            </w:r>
          </w:p>
        </w:tc>
        <w:tc>
          <w:tcPr>
            <w:tcW w:w="1779" w:type="dxa"/>
            <w:tcBorders>
              <w:top w:val="single" w:sz="4" w:space="0" w:color="000000"/>
              <w:left w:val="single" w:sz="4" w:space="0" w:color="000000"/>
              <w:right w:val="single" w:sz="4" w:space="0" w:color="000000"/>
            </w:tcBorders>
          </w:tcPr>
          <w:p>
            <w:pPr>
              <w:pStyle w:val="TableParagraph"/>
              <w:spacing w:line="261" w:lineRule="exact" w:before="10"/>
              <w:ind w:left="82" w:right="55"/>
              <w:jc w:val="center"/>
              <w:rPr>
                <w:rFonts w:ascii="宋体" w:eastAsia="宋体" w:hint="eastAsia"/>
                <w:sz w:val="21"/>
              </w:rPr>
            </w:pPr>
            <w:r>
              <w:rPr>
                <w:rFonts w:ascii="宋体" w:eastAsia="宋体" w:hint="eastAsia"/>
                <w:sz w:val="21"/>
              </w:rPr>
              <w:t>香港联交所</w:t>
            </w:r>
          </w:p>
        </w:tc>
        <w:tc>
          <w:tcPr>
            <w:tcW w:w="1779" w:type="dxa"/>
            <w:tcBorders>
              <w:top w:val="single" w:sz="4" w:space="0" w:color="000000"/>
              <w:left w:val="single" w:sz="4" w:space="0" w:color="000000"/>
              <w:right w:val="single" w:sz="4" w:space="0" w:color="000000"/>
            </w:tcBorders>
          </w:tcPr>
          <w:p>
            <w:pPr>
              <w:pStyle w:val="TableParagraph"/>
              <w:spacing w:line="261" w:lineRule="exact" w:before="10"/>
              <w:ind w:left="82" w:right="55"/>
              <w:jc w:val="center"/>
              <w:rPr>
                <w:rFonts w:ascii="宋体" w:eastAsia="宋体" w:hint="eastAsia"/>
                <w:sz w:val="21"/>
              </w:rPr>
            </w:pPr>
            <w:r>
              <w:rPr>
                <w:rFonts w:ascii="宋体" w:eastAsia="宋体" w:hint="eastAsia"/>
                <w:sz w:val="21"/>
              </w:rPr>
              <w:t>海尔智家</w:t>
            </w:r>
          </w:p>
        </w:tc>
        <w:tc>
          <w:tcPr>
            <w:tcW w:w="1781" w:type="dxa"/>
            <w:tcBorders>
              <w:top w:val="single" w:sz="4" w:space="0" w:color="000000"/>
              <w:left w:val="single" w:sz="4" w:space="0" w:color="000000"/>
              <w:right w:val="single" w:sz="4" w:space="0" w:color="000000"/>
            </w:tcBorders>
          </w:tcPr>
          <w:p>
            <w:pPr>
              <w:pStyle w:val="TableParagraph"/>
              <w:spacing w:before="19"/>
              <w:ind w:left="457" w:right="430"/>
              <w:jc w:val="center"/>
              <w:rPr>
                <w:sz w:val="21"/>
              </w:rPr>
            </w:pPr>
            <w:r>
              <w:rPr>
                <w:sz w:val="21"/>
              </w:rPr>
              <w:t>6690</w:t>
            </w:r>
          </w:p>
        </w:tc>
        <w:tc>
          <w:tcPr>
            <w:tcW w:w="1779" w:type="dxa"/>
            <w:tcBorders>
              <w:top w:val="single" w:sz="4" w:space="0" w:color="000000"/>
              <w:left w:val="single" w:sz="4" w:space="0" w:color="000000"/>
            </w:tcBorders>
          </w:tcPr>
          <w:p>
            <w:pPr>
              <w:pStyle w:val="TableParagraph"/>
              <w:spacing w:before="19"/>
              <w:ind w:left="36"/>
              <w:jc w:val="center"/>
              <w:rPr>
                <w:sz w:val="21"/>
              </w:rPr>
            </w:pPr>
            <w:r>
              <w:rPr>
                <w:w w:val="100"/>
                <w:sz w:val="21"/>
              </w:rPr>
              <w:t>/</w:t>
            </w:r>
          </w:p>
        </w:tc>
      </w:tr>
    </w:tbl>
    <w:p>
      <w:pPr>
        <w:pStyle w:val="BodyText"/>
        <w:spacing w:before="13"/>
        <w:rPr>
          <w:rFonts w:ascii="Microsoft JhengHei"/>
          <w:b/>
          <w:sz w:val="12"/>
        </w:rPr>
      </w:pPr>
    </w:p>
    <w:p>
      <w:pPr>
        <w:pStyle w:val="Heading4"/>
        <w:spacing w:after="16"/>
        <w:ind w:left="237"/>
      </w:pPr>
      <w:r>
        <w:rPr/>
        <w:t>六、 其他相关资料</w:t>
      </w:r>
    </w:p>
    <w:tbl>
      <w:tblPr>
        <w:tblW w:w="0" w:type="auto"/>
        <w:jc w:val="left"/>
        <w:tblInd w:w="14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85"/>
        <w:gridCol w:w="2976"/>
        <w:gridCol w:w="4688"/>
      </w:tblGrid>
      <w:tr>
        <w:trPr>
          <w:trHeight w:val="272" w:hRule="atLeast"/>
        </w:trPr>
        <w:tc>
          <w:tcPr>
            <w:tcW w:w="1385" w:type="dxa"/>
            <w:vMerge w:val="restart"/>
            <w:tcBorders>
              <w:bottom w:val="single" w:sz="4" w:space="0" w:color="000000"/>
              <w:right w:val="single" w:sz="4" w:space="0" w:color="000000"/>
            </w:tcBorders>
            <w:shd w:val="clear" w:color="auto" w:fill="EDEBE0"/>
          </w:tcPr>
          <w:p>
            <w:pPr>
              <w:pStyle w:val="TableParagraph"/>
              <w:spacing w:before="10"/>
              <w:ind w:left="107"/>
              <w:rPr>
                <w:rFonts w:ascii="宋体" w:eastAsia="宋体" w:hint="eastAsia"/>
                <w:sz w:val="21"/>
              </w:rPr>
            </w:pPr>
            <w:r>
              <w:rPr>
                <w:rFonts w:ascii="宋体" w:eastAsia="宋体" w:hint="eastAsia"/>
                <w:sz w:val="21"/>
              </w:rPr>
              <w:t>公司聘请的</w:t>
            </w:r>
          </w:p>
          <w:p>
            <w:pPr>
              <w:pStyle w:val="TableParagraph"/>
              <w:spacing w:line="270" w:lineRule="atLeast" w:before="3"/>
              <w:ind w:left="107" w:right="55"/>
              <w:rPr>
                <w:rFonts w:ascii="宋体" w:eastAsia="宋体" w:hint="eastAsia"/>
                <w:sz w:val="21"/>
              </w:rPr>
            </w:pPr>
            <w:r>
              <w:rPr>
                <w:rFonts w:ascii="宋体" w:eastAsia="宋体" w:hint="eastAsia"/>
                <w:sz w:val="21"/>
              </w:rPr>
              <w:t>会计师事务所（境内）</w:t>
            </w:r>
          </w:p>
        </w:tc>
        <w:tc>
          <w:tcPr>
            <w:tcW w:w="2976" w:type="dxa"/>
            <w:tcBorders>
              <w:left w:val="single" w:sz="4" w:space="0" w:color="000000"/>
              <w:bottom w:val="single" w:sz="4" w:space="0" w:color="000000"/>
              <w:right w:val="single" w:sz="4" w:space="0" w:color="000000"/>
            </w:tcBorders>
            <w:shd w:val="clear" w:color="auto" w:fill="EDEBE0"/>
          </w:tcPr>
          <w:p>
            <w:pPr>
              <w:pStyle w:val="TableParagraph"/>
              <w:spacing w:line="252" w:lineRule="exact"/>
              <w:ind w:left="117"/>
              <w:rPr>
                <w:rFonts w:ascii="宋体" w:eastAsia="宋体" w:hint="eastAsia"/>
                <w:sz w:val="21"/>
              </w:rPr>
            </w:pPr>
            <w:r>
              <w:rPr>
                <w:rFonts w:ascii="宋体" w:eastAsia="宋体" w:hint="eastAsia"/>
                <w:sz w:val="21"/>
              </w:rPr>
              <w:t>名称</w:t>
            </w:r>
          </w:p>
        </w:tc>
        <w:tc>
          <w:tcPr>
            <w:tcW w:w="4688" w:type="dxa"/>
            <w:tcBorders>
              <w:left w:val="single" w:sz="4" w:space="0" w:color="000000"/>
              <w:bottom w:val="single" w:sz="4" w:space="0" w:color="000000"/>
            </w:tcBorders>
          </w:tcPr>
          <w:p>
            <w:pPr>
              <w:pStyle w:val="TableParagraph"/>
              <w:spacing w:line="252" w:lineRule="exact"/>
              <w:ind w:left="115"/>
              <w:rPr>
                <w:rFonts w:ascii="宋体" w:eastAsia="宋体" w:hint="eastAsia"/>
                <w:sz w:val="21"/>
              </w:rPr>
            </w:pPr>
            <w:r>
              <w:rPr>
                <w:rFonts w:ascii="宋体" w:eastAsia="宋体" w:hint="eastAsia"/>
                <w:sz w:val="21"/>
              </w:rPr>
              <w:t>和信会计师事务所（特殊普通合伙）</w:t>
            </w:r>
          </w:p>
        </w:tc>
      </w:tr>
      <w:tr>
        <w:trPr>
          <w:trHeight w:val="270" w:hRule="atLeast"/>
        </w:trPr>
        <w:tc>
          <w:tcPr>
            <w:tcW w:w="1385" w:type="dxa"/>
            <w:vMerge/>
            <w:tcBorders>
              <w:top w:val="nil"/>
              <w:bottom w:val="single" w:sz="4" w:space="0" w:color="000000"/>
              <w:right w:val="single" w:sz="4" w:space="0" w:color="000000"/>
            </w:tcBorders>
            <w:shd w:val="clear" w:color="auto" w:fill="EDEBE0"/>
          </w:tcPr>
          <w:p>
            <w:pPr>
              <w:rPr>
                <w:sz w:val="2"/>
                <w:szCs w:val="2"/>
              </w:rPr>
            </w:pPr>
          </w:p>
        </w:tc>
        <w:tc>
          <w:tcPr>
            <w:tcW w:w="2976"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50" w:lineRule="exact" w:before="1"/>
              <w:ind w:left="117"/>
              <w:rPr>
                <w:rFonts w:ascii="宋体" w:eastAsia="宋体" w:hint="eastAsia"/>
                <w:sz w:val="21"/>
              </w:rPr>
            </w:pPr>
            <w:r>
              <w:rPr>
                <w:rFonts w:ascii="宋体" w:eastAsia="宋体" w:hint="eastAsia"/>
                <w:sz w:val="21"/>
              </w:rPr>
              <w:t>办公地址</w:t>
            </w:r>
          </w:p>
        </w:tc>
        <w:tc>
          <w:tcPr>
            <w:tcW w:w="4688" w:type="dxa"/>
            <w:tcBorders>
              <w:top w:val="single" w:sz="4" w:space="0" w:color="000000"/>
              <w:left w:val="single" w:sz="4" w:space="0" w:color="000000"/>
              <w:bottom w:val="single" w:sz="4" w:space="0" w:color="000000"/>
            </w:tcBorders>
          </w:tcPr>
          <w:p>
            <w:pPr>
              <w:pStyle w:val="TableParagraph"/>
              <w:spacing w:line="250" w:lineRule="exact" w:before="1"/>
              <w:ind w:left="115"/>
              <w:rPr>
                <w:rFonts w:ascii="宋体" w:eastAsia="宋体" w:hint="eastAsia"/>
                <w:sz w:val="21"/>
              </w:rPr>
            </w:pPr>
            <w:r>
              <w:rPr>
                <w:rFonts w:ascii="宋体" w:eastAsia="宋体" w:hint="eastAsia"/>
                <w:sz w:val="21"/>
              </w:rPr>
              <w:t>青岛市东海西路 </w:t>
            </w:r>
            <w:r>
              <w:rPr>
                <w:sz w:val="21"/>
              </w:rPr>
              <w:t>39 </w:t>
            </w:r>
            <w:r>
              <w:rPr>
                <w:rFonts w:ascii="宋体" w:eastAsia="宋体" w:hint="eastAsia"/>
                <w:sz w:val="21"/>
              </w:rPr>
              <w:t>号世纪大厦 </w:t>
            </w:r>
            <w:r>
              <w:rPr>
                <w:sz w:val="21"/>
              </w:rPr>
              <w:t>26-27 </w:t>
            </w:r>
            <w:r>
              <w:rPr>
                <w:rFonts w:ascii="宋体" w:eastAsia="宋体" w:hint="eastAsia"/>
                <w:sz w:val="21"/>
              </w:rPr>
              <w:t>层</w:t>
            </w:r>
          </w:p>
        </w:tc>
      </w:tr>
      <w:tr>
        <w:trPr>
          <w:trHeight w:val="273" w:hRule="atLeast"/>
        </w:trPr>
        <w:tc>
          <w:tcPr>
            <w:tcW w:w="1385" w:type="dxa"/>
            <w:vMerge/>
            <w:tcBorders>
              <w:top w:val="nil"/>
              <w:bottom w:val="single" w:sz="4" w:space="0" w:color="000000"/>
              <w:right w:val="single" w:sz="4" w:space="0" w:color="000000"/>
            </w:tcBorders>
            <w:shd w:val="clear" w:color="auto" w:fill="EDEBE0"/>
          </w:tcPr>
          <w:p>
            <w:pPr>
              <w:rPr>
                <w:sz w:val="2"/>
                <w:szCs w:val="2"/>
              </w:rPr>
            </w:pPr>
          </w:p>
        </w:tc>
        <w:tc>
          <w:tcPr>
            <w:tcW w:w="2976"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52" w:lineRule="exact" w:before="1"/>
              <w:ind w:left="117"/>
              <w:rPr>
                <w:rFonts w:ascii="宋体" w:eastAsia="宋体" w:hint="eastAsia"/>
                <w:sz w:val="21"/>
              </w:rPr>
            </w:pPr>
            <w:r>
              <w:rPr>
                <w:rFonts w:ascii="宋体" w:eastAsia="宋体" w:hint="eastAsia"/>
                <w:sz w:val="21"/>
              </w:rPr>
              <w:t>签字会计师姓名</w:t>
            </w:r>
          </w:p>
        </w:tc>
        <w:tc>
          <w:tcPr>
            <w:tcW w:w="4688" w:type="dxa"/>
            <w:tcBorders>
              <w:top w:val="single" w:sz="4" w:space="0" w:color="000000"/>
              <w:left w:val="single" w:sz="4" w:space="0" w:color="000000"/>
              <w:bottom w:val="single" w:sz="4" w:space="0" w:color="000000"/>
            </w:tcBorders>
          </w:tcPr>
          <w:p>
            <w:pPr>
              <w:pStyle w:val="TableParagraph"/>
              <w:spacing w:line="252" w:lineRule="exact" w:before="1"/>
              <w:ind w:left="115"/>
              <w:rPr>
                <w:rFonts w:ascii="宋体" w:eastAsia="宋体" w:hint="eastAsia"/>
                <w:sz w:val="21"/>
              </w:rPr>
            </w:pPr>
            <w:r>
              <w:rPr>
                <w:rFonts w:ascii="宋体" w:eastAsia="宋体" w:hint="eastAsia"/>
                <w:sz w:val="21"/>
              </w:rPr>
              <w:t>赵波、王琳</w:t>
            </w:r>
          </w:p>
        </w:tc>
      </w:tr>
      <w:tr>
        <w:trPr>
          <w:trHeight w:val="544" w:hRule="atLeast"/>
        </w:trPr>
        <w:tc>
          <w:tcPr>
            <w:tcW w:w="1385" w:type="dxa"/>
            <w:vMerge w:val="restart"/>
            <w:tcBorders>
              <w:top w:val="single" w:sz="4" w:space="0" w:color="000000"/>
              <w:bottom w:val="single" w:sz="4" w:space="0" w:color="000000"/>
              <w:right w:val="single" w:sz="4" w:space="0" w:color="000000"/>
            </w:tcBorders>
            <w:shd w:val="clear" w:color="auto" w:fill="EDEBE0"/>
          </w:tcPr>
          <w:p>
            <w:pPr>
              <w:pStyle w:val="TableParagraph"/>
              <w:spacing w:before="8"/>
              <w:rPr>
                <w:rFonts w:ascii="Microsoft JhengHei"/>
                <w:b/>
                <w:sz w:val="15"/>
              </w:rPr>
            </w:pPr>
          </w:p>
          <w:p>
            <w:pPr>
              <w:pStyle w:val="TableParagraph"/>
              <w:spacing w:line="242" w:lineRule="auto"/>
              <w:ind w:left="107" w:right="55"/>
              <w:jc w:val="both"/>
              <w:rPr>
                <w:rFonts w:ascii="宋体" w:eastAsia="宋体" w:hint="eastAsia"/>
                <w:sz w:val="21"/>
              </w:rPr>
            </w:pPr>
            <w:r>
              <w:rPr>
                <w:rFonts w:ascii="宋体" w:eastAsia="宋体" w:hint="eastAsia"/>
                <w:sz w:val="21"/>
              </w:rPr>
              <w:t>公司聘请的会计师事务所（境外）</w:t>
            </w:r>
          </w:p>
        </w:tc>
        <w:tc>
          <w:tcPr>
            <w:tcW w:w="2976"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138"/>
              <w:ind w:left="117"/>
              <w:rPr>
                <w:rFonts w:ascii="宋体" w:eastAsia="宋体" w:hint="eastAsia"/>
                <w:sz w:val="21"/>
              </w:rPr>
            </w:pPr>
            <w:r>
              <w:rPr>
                <w:rFonts w:ascii="宋体" w:eastAsia="宋体" w:hint="eastAsia"/>
                <w:sz w:val="21"/>
              </w:rPr>
              <w:t>名称</w:t>
            </w:r>
          </w:p>
        </w:tc>
        <w:tc>
          <w:tcPr>
            <w:tcW w:w="4688" w:type="dxa"/>
            <w:tcBorders>
              <w:top w:val="single" w:sz="4" w:space="0" w:color="000000"/>
              <w:left w:val="single" w:sz="4" w:space="0" w:color="000000"/>
              <w:bottom w:val="single" w:sz="4" w:space="0" w:color="000000"/>
            </w:tcBorders>
          </w:tcPr>
          <w:p>
            <w:pPr>
              <w:pStyle w:val="TableParagraph"/>
              <w:spacing w:before="1"/>
              <w:ind w:left="115"/>
              <w:rPr>
                <w:sz w:val="21"/>
              </w:rPr>
            </w:pPr>
            <w:r>
              <w:rPr>
                <w:rFonts w:ascii="宋体" w:eastAsia="宋体" w:hint="eastAsia"/>
                <w:sz w:val="21"/>
              </w:rPr>
              <w:t>国卫会计师事务所有限公司（</w:t>
            </w:r>
            <w:r>
              <w:rPr>
                <w:sz w:val="21"/>
              </w:rPr>
              <w:t>HLB Hodgson Impey</w:t>
            </w:r>
          </w:p>
          <w:p>
            <w:pPr>
              <w:pStyle w:val="TableParagraph"/>
              <w:spacing w:line="250" w:lineRule="exact" w:before="4"/>
              <w:ind w:left="115"/>
              <w:rPr>
                <w:rFonts w:ascii="宋体" w:eastAsia="宋体" w:hint="eastAsia"/>
                <w:sz w:val="21"/>
              </w:rPr>
            </w:pPr>
            <w:r>
              <w:rPr>
                <w:sz w:val="21"/>
              </w:rPr>
              <w:t>Cheng Limited</w:t>
            </w:r>
            <w:r>
              <w:rPr>
                <w:rFonts w:ascii="宋体" w:eastAsia="宋体" w:hint="eastAsia"/>
                <w:sz w:val="21"/>
              </w:rPr>
              <w:t>）</w:t>
            </w:r>
          </w:p>
        </w:tc>
      </w:tr>
      <w:tr>
        <w:trPr>
          <w:trHeight w:val="544" w:hRule="atLeast"/>
        </w:trPr>
        <w:tc>
          <w:tcPr>
            <w:tcW w:w="1385" w:type="dxa"/>
            <w:vMerge/>
            <w:tcBorders>
              <w:top w:val="nil"/>
              <w:bottom w:val="single" w:sz="4" w:space="0" w:color="000000"/>
              <w:right w:val="single" w:sz="4" w:space="0" w:color="000000"/>
            </w:tcBorders>
            <w:shd w:val="clear" w:color="auto" w:fill="EDEBE0"/>
          </w:tcPr>
          <w:p>
            <w:pPr>
              <w:rPr>
                <w:sz w:val="2"/>
                <w:szCs w:val="2"/>
              </w:rPr>
            </w:pPr>
          </w:p>
        </w:tc>
        <w:tc>
          <w:tcPr>
            <w:tcW w:w="2976"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138"/>
              <w:ind w:left="117"/>
              <w:rPr>
                <w:rFonts w:ascii="宋体" w:eastAsia="宋体" w:hint="eastAsia"/>
                <w:sz w:val="21"/>
              </w:rPr>
            </w:pPr>
            <w:r>
              <w:rPr>
                <w:rFonts w:ascii="宋体" w:eastAsia="宋体" w:hint="eastAsia"/>
                <w:sz w:val="21"/>
              </w:rPr>
              <w:t>办公地址</w:t>
            </w:r>
          </w:p>
        </w:tc>
        <w:tc>
          <w:tcPr>
            <w:tcW w:w="4688" w:type="dxa"/>
            <w:tcBorders>
              <w:top w:val="single" w:sz="4" w:space="0" w:color="000000"/>
              <w:left w:val="single" w:sz="4" w:space="0" w:color="000000"/>
              <w:bottom w:val="single" w:sz="4" w:space="0" w:color="000000"/>
            </w:tcBorders>
          </w:tcPr>
          <w:p>
            <w:pPr>
              <w:pStyle w:val="TableParagraph"/>
              <w:spacing w:before="1"/>
              <w:ind w:left="115"/>
              <w:rPr>
                <w:rFonts w:ascii="宋体" w:eastAsia="宋体" w:hint="eastAsia"/>
                <w:sz w:val="21"/>
              </w:rPr>
            </w:pPr>
            <w:r>
              <w:rPr>
                <w:rFonts w:ascii="宋体" w:eastAsia="宋体" w:hint="eastAsia"/>
                <w:sz w:val="21"/>
              </w:rPr>
              <w:t>香港特别行政区中环毕打街</w:t>
            </w:r>
            <w:r>
              <w:rPr>
                <w:sz w:val="21"/>
              </w:rPr>
              <w:t>11 </w:t>
            </w:r>
            <w:r>
              <w:rPr>
                <w:rFonts w:ascii="宋体" w:eastAsia="宋体" w:hint="eastAsia"/>
                <w:sz w:val="21"/>
              </w:rPr>
              <w:t>号置地广场告罗士</w:t>
            </w:r>
          </w:p>
          <w:p>
            <w:pPr>
              <w:pStyle w:val="TableParagraph"/>
              <w:spacing w:line="250" w:lineRule="exact" w:before="4"/>
              <w:ind w:left="115"/>
              <w:rPr>
                <w:rFonts w:ascii="宋体" w:eastAsia="宋体" w:hint="eastAsia"/>
                <w:sz w:val="21"/>
              </w:rPr>
            </w:pPr>
            <w:r>
              <w:rPr>
                <w:rFonts w:ascii="宋体" w:eastAsia="宋体" w:hint="eastAsia"/>
                <w:sz w:val="21"/>
              </w:rPr>
              <w:t>打大厦 </w:t>
            </w:r>
            <w:r>
              <w:rPr>
                <w:sz w:val="21"/>
              </w:rPr>
              <w:t>31 </w:t>
            </w:r>
            <w:r>
              <w:rPr>
                <w:rFonts w:ascii="宋体" w:eastAsia="宋体" w:hint="eastAsia"/>
                <w:sz w:val="21"/>
              </w:rPr>
              <w:t>字楼</w:t>
            </w:r>
          </w:p>
        </w:tc>
      </w:tr>
      <w:tr>
        <w:trPr>
          <w:trHeight w:val="273" w:hRule="atLeast"/>
        </w:trPr>
        <w:tc>
          <w:tcPr>
            <w:tcW w:w="1385" w:type="dxa"/>
            <w:vMerge/>
            <w:tcBorders>
              <w:top w:val="nil"/>
              <w:bottom w:val="single" w:sz="4" w:space="0" w:color="000000"/>
              <w:right w:val="single" w:sz="4" w:space="0" w:color="000000"/>
            </w:tcBorders>
            <w:shd w:val="clear" w:color="auto" w:fill="EDEBE0"/>
          </w:tcPr>
          <w:p>
            <w:pPr>
              <w:rPr>
                <w:sz w:val="2"/>
                <w:szCs w:val="2"/>
              </w:rPr>
            </w:pPr>
          </w:p>
        </w:tc>
        <w:tc>
          <w:tcPr>
            <w:tcW w:w="2976"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52" w:lineRule="exact" w:before="1"/>
              <w:ind w:left="117"/>
              <w:rPr>
                <w:rFonts w:ascii="宋体" w:eastAsia="宋体" w:hint="eastAsia"/>
                <w:sz w:val="21"/>
              </w:rPr>
            </w:pPr>
            <w:r>
              <w:rPr>
                <w:rFonts w:ascii="宋体" w:eastAsia="宋体" w:hint="eastAsia"/>
                <w:sz w:val="21"/>
              </w:rPr>
              <w:t>签字会计师姓名</w:t>
            </w:r>
          </w:p>
        </w:tc>
        <w:tc>
          <w:tcPr>
            <w:tcW w:w="4688" w:type="dxa"/>
            <w:tcBorders>
              <w:top w:val="single" w:sz="4" w:space="0" w:color="000000"/>
              <w:left w:val="single" w:sz="4" w:space="0" w:color="000000"/>
              <w:bottom w:val="single" w:sz="4" w:space="0" w:color="000000"/>
            </w:tcBorders>
          </w:tcPr>
          <w:p>
            <w:pPr>
              <w:pStyle w:val="TableParagraph"/>
              <w:spacing w:line="252" w:lineRule="exact" w:before="1"/>
              <w:ind w:left="115"/>
              <w:rPr>
                <w:rFonts w:ascii="宋体" w:eastAsia="宋体" w:hint="eastAsia"/>
                <w:sz w:val="21"/>
              </w:rPr>
            </w:pPr>
            <w:r>
              <w:rPr>
                <w:rFonts w:ascii="宋体" w:eastAsia="宋体" w:hint="eastAsia"/>
                <w:sz w:val="21"/>
              </w:rPr>
              <w:t>田新杰</w:t>
            </w:r>
          </w:p>
        </w:tc>
      </w:tr>
      <w:tr>
        <w:trPr>
          <w:trHeight w:val="270" w:hRule="atLeast"/>
        </w:trPr>
        <w:tc>
          <w:tcPr>
            <w:tcW w:w="1385" w:type="dxa"/>
            <w:vMerge w:val="restart"/>
            <w:tcBorders>
              <w:top w:val="single" w:sz="4" w:space="0" w:color="000000"/>
              <w:bottom w:val="single" w:sz="4" w:space="0" w:color="000000"/>
              <w:right w:val="single" w:sz="4" w:space="0" w:color="000000"/>
            </w:tcBorders>
            <w:shd w:val="clear" w:color="auto" w:fill="EDEBE0"/>
          </w:tcPr>
          <w:p>
            <w:pPr>
              <w:pStyle w:val="TableParagraph"/>
              <w:spacing w:line="242" w:lineRule="auto" w:before="152"/>
              <w:ind w:left="107" w:right="55"/>
              <w:jc w:val="both"/>
              <w:rPr>
                <w:rFonts w:ascii="宋体" w:eastAsia="宋体" w:hint="eastAsia"/>
                <w:sz w:val="21"/>
              </w:rPr>
            </w:pPr>
            <w:r>
              <w:rPr>
                <w:rFonts w:ascii="宋体" w:eastAsia="宋体" w:hint="eastAsia"/>
                <w:sz w:val="21"/>
              </w:rPr>
              <w:t>报告期内履行持续督导职责的保荐机构</w:t>
            </w:r>
          </w:p>
        </w:tc>
        <w:tc>
          <w:tcPr>
            <w:tcW w:w="2976"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50" w:lineRule="exact" w:before="1"/>
              <w:ind w:left="117"/>
              <w:rPr>
                <w:rFonts w:ascii="宋体" w:eastAsia="宋体" w:hint="eastAsia"/>
                <w:sz w:val="21"/>
              </w:rPr>
            </w:pPr>
            <w:r>
              <w:rPr>
                <w:rFonts w:ascii="宋体" w:eastAsia="宋体" w:hint="eastAsia"/>
                <w:sz w:val="21"/>
              </w:rPr>
              <w:t>名称</w:t>
            </w:r>
          </w:p>
        </w:tc>
        <w:tc>
          <w:tcPr>
            <w:tcW w:w="4688" w:type="dxa"/>
            <w:tcBorders>
              <w:top w:val="single" w:sz="4" w:space="0" w:color="000000"/>
              <w:left w:val="single" w:sz="4" w:space="0" w:color="000000"/>
              <w:bottom w:val="single" w:sz="4" w:space="0" w:color="000000"/>
            </w:tcBorders>
          </w:tcPr>
          <w:p>
            <w:pPr>
              <w:pStyle w:val="TableParagraph"/>
              <w:spacing w:line="250" w:lineRule="exact" w:before="1"/>
              <w:ind w:left="115"/>
              <w:rPr>
                <w:rFonts w:ascii="宋体" w:eastAsia="宋体" w:hint="eastAsia"/>
                <w:sz w:val="21"/>
              </w:rPr>
            </w:pPr>
            <w:r>
              <w:rPr>
                <w:rFonts w:ascii="宋体" w:eastAsia="宋体" w:hint="eastAsia"/>
                <w:sz w:val="21"/>
              </w:rPr>
              <w:t>中国国际金融股份有限公司</w:t>
            </w:r>
          </w:p>
        </w:tc>
      </w:tr>
      <w:tr>
        <w:trPr>
          <w:trHeight w:val="546" w:hRule="atLeast"/>
        </w:trPr>
        <w:tc>
          <w:tcPr>
            <w:tcW w:w="1385" w:type="dxa"/>
            <w:vMerge/>
            <w:tcBorders>
              <w:top w:val="nil"/>
              <w:bottom w:val="single" w:sz="4" w:space="0" w:color="000000"/>
              <w:right w:val="single" w:sz="4" w:space="0" w:color="000000"/>
            </w:tcBorders>
            <w:shd w:val="clear" w:color="auto" w:fill="EDEBE0"/>
          </w:tcPr>
          <w:p>
            <w:pPr>
              <w:rPr>
                <w:sz w:val="2"/>
                <w:szCs w:val="2"/>
              </w:rPr>
            </w:pPr>
          </w:p>
        </w:tc>
        <w:tc>
          <w:tcPr>
            <w:tcW w:w="2976"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138"/>
              <w:ind w:left="117"/>
              <w:rPr>
                <w:rFonts w:ascii="宋体" w:eastAsia="宋体" w:hint="eastAsia"/>
                <w:sz w:val="21"/>
              </w:rPr>
            </w:pPr>
            <w:r>
              <w:rPr>
                <w:rFonts w:ascii="宋体" w:eastAsia="宋体" w:hint="eastAsia"/>
                <w:sz w:val="21"/>
              </w:rPr>
              <w:t>办公地址</w:t>
            </w:r>
          </w:p>
        </w:tc>
        <w:tc>
          <w:tcPr>
            <w:tcW w:w="4688" w:type="dxa"/>
            <w:tcBorders>
              <w:top w:val="single" w:sz="4" w:space="0" w:color="000000"/>
              <w:left w:val="single" w:sz="4" w:space="0" w:color="000000"/>
              <w:bottom w:val="single" w:sz="4" w:space="0" w:color="000000"/>
            </w:tcBorders>
          </w:tcPr>
          <w:p>
            <w:pPr>
              <w:pStyle w:val="TableParagraph"/>
              <w:spacing w:before="3"/>
              <w:ind w:left="115"/>
              <w:rPr>
                <w:sz w:val="21"/>
              </w:rPr>
            </w:pPr>
            <w:r>
              <w:rPr>
                <w:rFonts w:ascii="宋体" w:eastAsia="宋体" w:hint="eastAsia"/>
                <w:spacing w:val="-7"/>
                <w:sz w:val="21"/>
              </w:rPr>
              <w:t>北京建国门外大街 </w:t>
            </w:r>
            <w:r>
              <w:rPr>
                <w:sz w:val="21"/>
              </w:rPr>
              <w:t>1 </w:t>
            </w:r>
            <w:r>
              <w:rPr>
                <w:rFonts w:ascii="宋体" w:eastAsia="宋体" w:hint="eastAsia"/>
                <w:spacing w:val="-8"/>
                <w:sz w:val="21"/>
              </w:rPr>
              <w:t>号国贸大厦 </w:t>
            </w:r>
            <w:r>
              <w:rPr>
                <w:sz w:val="21"/>
              </w:rPr>
              <w:t>2 </w:t>
            </w:r>
            <w:r>
              <w:rPr>
                <w:rFonts w:ascii="宋体" w:eastAsia="宋体" w:hint="eastAsia"/>
                <w:spacing w:val="-17"/>
                <w:sz w:val="21"/>
              </w:rPr>
              <w:t>座 </w:t>
            </w:r>
            <w:r>
              <w:rPr>
                <w:sz w:val="21"/>
              </w:rPr>
              <w:t>27 </w:t>
            </w:r>
            <w:r>
              <w:rPr>
                <w:rFonts w:ascii="宋体" w:eastAsia="宋体" w:hint="eastAsia"/>
                <w:spacing w:val="-13"/>
                <w:sz w:val="21"/>
              </w:rPr>
              <w:t>层及 </w:t>
            </w:r>
            <w:r>
              <w:rPr>
                <w:sz w:val="21"/>
              </w:rPr>
              <w:t>28</w:t>
            </w:r>
          </w:p>
          <w:p>
            <w:pPr>
              <w:pStyle w:val="TableParagraph"/>
              <w:spacing w:line="252" w:lineRule="exact" w:before="2"/>
              <w:ind w:left="115"/>
              <w:rPr>
                <w:rFonts w:ascii="宋体" w:eastAsia="宋体" w:hint="eastAsia"/>
                <w:sz w:val="21"/>
              </w:rPr>
            </w:pPr>
            <w:r>
              <w:rPr>
                <w:rFonts w:ascii="宋体" w:eastAsia="宋体" w:hint="eastAsia"/>
                <w:w w:val="100"/>
                <w:sz w:val="21"/>
              </w:rPr>
              <w:t>层</w:t>
            </w:r>
          </w:p>
        </w:tc>
      </w:tr>
      <w:tr>
        <w:trPr>
          <w:trHeight w:val="270" w:hRule="atLeast"/>
        </w:trPr>
        <w:tc>
          <w:tcPr>
            <w:tcW w:w="1385" w:type="dxa"/>
            <w:vMerge/>
            <w:tcBorders>
              <w:top w:val="nil"/>
              <w:bottom w:val="single" w:sz="4" w:space="0" w:color="000000"/>
              <w:right w:val="single" w:sz="4" w:space="0" w:color="000000"/>
            </w:tcBorders>
            <w:shd w:val="clear" w:color="auto" w:fill="EDEBE0"/>
          </w:tcPr>
          <w:p>
            <w:pPr>
              <w:rPr>
                <w:sz w:val="2"/>
                <w:szCs w:val="2"/>
              </w:rPr>
            </w:pPr>
          </w:p>
        </w:tc>
        <w:tc>
          <w:tcPr>
            <w:tcW w:w="2976"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50" w:lineRule="exact" w:before="1"/>
              <w:ind w:left="117"/>
              <w:rPr>
                <w:rFonts w:ascii="宋体" w:eastAsia="宋体" w:hint="eastAsia"/>
                <w:sz w:val="21"/>
              </w:rPr>
            </w:pPr>
            <w:r>
              <w:rPr>
                <w:rFonts w:ascii="宋体" w:eastAsia="宋体" w:hint="eastAsia"/>
                <w:sz w:val="21"/>
              </w:rPr>
              <w:t>签字的保荐代表人姓名</w:t>
            </w:r>
          </w:p>
        </w:tc>
        <w:tc>
          <w:tcPr>
            <w:tcW w:w="4688" w:type="dxa"/>
            <w:tcBorders>
              <w:top w:val="single" w:sz="4" w:space="0" w:color="000000"/>
              <w:left w:val="single" w:sz="4" w:space="0" w:color="000000"/>
              <w:bottom w:val="single" w:sz="4" w:space="0" w:color="000000"/>
            </w:tcBorders>
          </w:tcPr>
          <w:p>
            <w:pPr>
              <w:pStyle w:val="TableParagraph"/>
              <w:spacing w:line="250" w:lineRule="exact" w:before="1"/>
              <w:ind w:left="115"/>
              <w:rPr>
                <w:rFonts w:ascii="宋体" w:eastAsia="宋体" w:hint="eastAsia"/>
                <w:sz w:val="21"/>
              </w:rPr>
            </w:pPr>
            <w:r>
              <w:rPr>
                <w:rFonts w:ascii="宋体" w:eastAsia="宋体" w:hint="eastAsia"/>
                <w:sz w:val="21"/>
              </w:rPr>
              <w:t>孙雷、李扬</w:t>
            </w:r>
          </w:p>
        </w:tc>
      </w:tr>
      <w:tr>
        <w:trPr>
          <w:trHeight w:val="273" w:hRule="atLeast"/>
        </w:trPr>
        <w:tc>
          <w:tcPr>
            <w:tcW w:w="1385" w:type="dxa"/>
            <w:vMerge/>
            <w:tcBorders>
              <w:top w:val="nil"/>
              <w:bottom w:val="single" w:sz="4" w:space="0" w:color="000000"/>
              <w:right w:val="single" w:sz="4" w:space="0" w:color="000000"/>
            </w:tcBorders>
            <w:shd w:val="clear" w:color="auto" w:fill="EDEBE0"/>
          </w:tcPr>
          <w:p>
            <w:pPr>
              <w:rPr>
                <w:sz w:val="2"/>
                <w:szCs w:val="2"/>
              </w:rPr>
            </w:pPr>
          </w:p>
        </w:tc>
        <w:tc>
          <w:tcPr>
            <w:tcW w:w="2976"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52" w:lineRule="exact" w:before="1"/>
              <w:ind w:left="117"/>
              <w:rPr>
                <w:rFonts w:ascii="宋体" w:eastAsia="宋体" w:hint="eastAsia"/>
                <w:sz w:val="21"/>
              </w:rPr>
            </w:pPr>
            <w:r>
              <w:rPr>
                <w:rFonts w:ascii="宋体" w:eastAsia="宋体" w:hint="eastAsia"/>
                <w:sz w:val="21"/>
              </w:rPr>
              <w:t>持续督导的期间</w:t>
            </w:r>
          </w:p>
        </w:tc>
        <w:tc>
          <w:tcPr>
            <w:tcW w:w="4688" w:type="dxa"/>
            <w:tcBorders>
              <w:top w:val="single" w:sz="4" w:space="0" w:color="000000"/>
              <w:left w:val="single" w:sz="4" w:space="0" w:color="000000"/>
              <w:bottom w:val="single" w:sz="4" w:space="0" w:color="000000"/>
            </w:tcBorders>
          </w:tcPr>
          <w:p>
            <w:pPr>
              <w:pStyle w:val="TableParagraph"/>
              <w:spacing w:line="252" w:lineRule="exact" w:before="1"/>
              <w:ind w:left="115"/>
              <w:rPr>
                <w:rFonts w:ascii="宋体" w:eastAsia="宋体" w:hint="eastAsia"/>
                <w:sz w:val="21"/>
              </w:rPr>
            </w:pPr>
            <w:r>
              <w:rPr>
                <w:sz w:val="21"/>
              </w:rPr>
              <w:t>2019 </w:t>
            </w:r>
            <w:r>
              <w:rPr>
                <w:rFonts w:ascii="宋体" w:eastAsia="宋体" w:hint="eastAsia"/>
                <w:sz w:val="21"/>
              </w:rPr>
              <w:t>年 </w:t>
            </w:r>
            <w:r>
              <w:rPr>
                <w:sz w:val="21"/>
              </w:rPr>
              <w:t>1 </w:t>
            </w:r>
            <w:r>
              <w:rPr>
                <w:rFonts w:ascii="宋体" w:eastAsia="宋体" w:hint="eastAsia"/>
                <w:sz w:val="21"/>
              </w:rPr>
              <w:t>月 </w:t>
            </w:r>
            <w:r>
              <w:rPr>
                <w:sz w:val="21"/>
              </w:rPr>
              <w:t>18 </w:t>
            </w:r>
            <w:r>
              <w:rPr>
                <w:rFonts w:ascii="宋体" w:eastAsia="宋体" w:hint="eastAsia"/>
                <w:sz w:val="21"/>
              </w:rPr>
              <w:t>日至 </w:t>
            </w:r>
            <w:r>
              <w:rPr>
                <w:sz w:val="21"/>
              </w:rPr>
              <w:t>2020 </w:t>
            </w:r>
            <w:r>
              <w:rPr>
                <w:rFonts w:ascii="宋体" w:eastAsia="宋体" w:hint="eastAsia"/>
                <w:sz w:val="21"/>
              </w:rPr>
              <w:t>年 </w:t>
            </w:r>
            <w:r>
              <w:rPr>
                <w:sz w:val="21"/>
              </w:rPr>
              <w:t>12 </w:t>
            </w:r>
            <w:r>
              <w:rPr>
                <w:rFonts w:ascii="宋体" w:eastAsia="宋体" w:hint="eastAsia"/>
                <w:sz w:val="21"/>
              </w:rPr>
              <w:t>月 </w:t>
            </w:r>
            <w:r>
              <w:rPr>
                <w:sz w:val="21"/>
              </w:rPr>
              <w:t>31 </w:t>
            </w:r>
            <w:r>
              <w:rPr>
                <w:rFonts w:ascii="宋体" w:eastAsia="宋体" w:hint="eastAsia"/>
                <w:sz w:val="21"/>
              </w:rPr>
              <w:t>日</w:t>
            </w:r>
          </w:p>
        </w:tc>
      </w:tr>
      <w:tr>
        <w:trPr>
          <w:trHeight w:val="260" w:hRule="atLeast"/>
        </w:trPr>
        <w:tc>
          <w:tcPr>
            <w:tcW w:w="1385" w:type="dxa"/>
            <w:vMerge w:val="restart"/>
            <w:tcBorders>
              <w:top w:val="single" w:sz="4" w:space="0" w:color="000000"/>
              <w:right w:val="single" w:sz="4" w:space="0" w:color="000000"/>
            </w:tcBorders>
            <w:shd w:val="clear" w:color="auto" w:fill="EDEBE0"/>
          </w:tcPr>
          <w:p>
            <w:pPr>
              <w:pStyle w:val="TableParagraph"/>
              <w:spacing w:line="242" w:lineRule="auto" w:before="15"/>
              <w:ind w:left="107" w:right="55"/>
              <w:jc w:val="both"/>
              <w:rPr>
                <w:rFonts w:ascii="宋体" w:eastAsia="宋体" w:hint="eastAsia"/>
                <w:sz w:val="21"/>
              </w:rPr>
            </w:pPr>
            <w:r>
              <w:rPr>
                <w:rFonts w:ascii="宋体" w:eastAsia="宋体" w:hint="eastAsia"/>
                <w:sz w:val="21"/>
              </w:rPr>
              <w:t>报告期内履行持续督导职责的财务</w:t>
            </w:r>
          </w:p>
          <w:p>
            <w:pPr>
              <w:pStyle w:val="TableParagraph"/>
              <w:spacing w:line="264" w:lineRule="exact" w:before="3"/>
              <w:ind w:left="107"/>
              <w:rPr>
                <w:rFonts w:ascii="宋体" w:eastAsia="宋体" w:hint="eastAsia"/>
                <w:sz w:val="21"/>
              </w:rPr>
            </w:pPr>
            <w:r>
              <w:rPr>
                <w:rFonts w:ascii="宋体" w:eastAsia="宋体" w:hint="eastAsia"/>
                <w:sz w:val="21"/>
              </w:rPr>
              <w:t>顾问</w:t>
            </w:r>
          </w:p>
        </w:tc>
        <w:tc>
          <w:tcPr>
            <w:tcW w:w="2976"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40" w:lineRule="exact" w:before="1"/>
              <w:ind w:left="117"/>
              <w:rPr>
                <w:rFonts w:ascii="宋体" w:eastAsia="宋体" w:hint="eastAsia"/>
                <w:sz w:val="21"/>
              </w:rPr>
            </w:pPr>
            <w:r>
              <w:rPr>
                <w:rFonts w:ascii="宋体" w:eastAsia="宋体" w:hint="eastAsia"/>
                <w:sz w:val="21"/>
              </w:rPr>
              <w:t>名称</w:t>
            </w:r>
          </w:p>
        </w:tc>
        <w:tc>
          <w:tcPr>
            <w:tcW w:w="4688" w:type="dxa"/>
            <w:tcBorders>
              <w:top w:val="single" w:sz="4" w:space="0" w:color="000000"/>
              <w:left w:val="single" w:sz="4" w:space="0" w:color="000000"/>
              <w:bottom w:val="single" w:sz="4" w:space="0" w:color="000000"/>
            </w:tcBorders>
          </w:tcPr>
          <w:p>
            <w:pPr>
              <w:pStyle w:val="TableParagraph"/>
              <w:spacing w:line="240" w:lineRule="exact" w:before="1"/>
              <w:ind w:left="115"/>
              <w:rPr>
                <w:rFonts w:ascii="宋体" w:eastAsia="宋体" w:hint="eastAsia"/>
                <w:sz w:val="21"/>
              </w:rPr>
            </w:pPr>
            <w:r>
              <w:rPr>
                <w:rFonts w:ascii="宋体" w:eastAsia="宋体" w:hint="eastAsia"/>
                <w:sz w:val="21"/>
              </w:rPr>
              <w:t>浙商证券股份有限公司</w:t>
            </w:r>
          </w:p>
        </w:tc>
      </w:tr>
      <w:tr>
        <w:trPr>
          <w:trHeight w:val="253" w:hRule="atLeast"/>
        </w:trPr>
        <w:tc>
          <w:tcPr>
            <w:tcW w:w="1385" w:type="dxa"/>
            <w:vMerge/>
            <w:tcBorders>
              <w:top w:val="nil"/>
              <w:right w:val="single" w:sz="4" w:space="0" w:color="000000"/>
            </w:tcBorders>
            <w:shd w:val="clear" w:color="auto" w:fill="EDEBE0"/>
          </w:tcPr>
          <w:p>
            <w:pPr>
              <w:rPr>
                <w:sz w:val="2"/>
                <w:szCs w:val="2"/>
              </w:rPr>
            </w:pPr>
          </w:p>
        </w:tc>
        <w:tc>
          <w:tcPr>
            <w:tcW w:w="2976"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33" w:lineRule="exact"/>
              <w:ind w:left="117"/>
              <w:rPr>
                <w:rFonts w:ascii="宋体" w:eastAsia="宋体" w:hint="eastAsia"/>
                <w:sz w:val="21"/>
              </w:rPr>
            </w:pPr>
            <w:r>
              <w:rPr>
                <w:rFonts w:ascii="宋体" w:eastAsia="宋体" w:hint="eastAsia"/>
                <w:sz w:val="21"/>
              </w:rPr>
              <w:t>办公地址</w:t>
            </w:r>
          </w:p>
        </w:tc>
        <w:tc>
          <w:tcPr>
            <w:tcW w:w="4688" w:type="dxa"/>
            <w:tcBorders>
              <w:top w:val="single" w:sz="4" w:space="0" w:color="000000"/>
              <w:left w:val="single" w:sz="4" w:space="0" w:color="000000"/>
              <w:bottom w:val="single" w:sz="4" w:space="0" w:color="000000"/>
            </w:tcBorders>
          </w:tcPr>
          <w:p>
            <w:pPr>
              <w:pStyle w:val="TableParagraph"/>
              <w:spacing w:line="233" w:lineRule="exact"/>
              <w:ind w:left="115"/>
              <w:rPr>
                <w:rFonts w:ascii="宋体" w:eastAsia="宋体" w:hint="eastAsia"/>
                <w:sz w:val="21"/>
              </w:rPr>
            </w:pPr>
            <w:r>
              <w:rPr>
                <w:rFonts w:ascii="宋体" w:eastAsia="宋体" w:hint="eastAsia"/>
                <w:sz w:val="21"/>
              </w:rPr>
              <w:t>浙江省杭州市江干区五星路 </w:t>
            </w:r>
            <w:r>
              <w:rPr>
                <w:sz w:val="21"/>
              </w:rPr>
              <w:t>201 </w:t>
            </w:r>
            <w:r>
              <w:rPr>
                <w:rFonts w:ascii="宋体" w:eastAsia="宋体" w:hint="eastAsia"/>
                <w:sz w:val="21"/>
              </w:rPr>
              <w:t>号</w:t>
            </w:r>
          </w:p>
        </w:tc>
      </w:tr>
      <w:tr>
        <w:trPr>
          <w:trHeight w:val="253" w:hRule="atLeast"/>
        </w:trPr>
        <w:tc>
          <w:tcPr>
            <w:tcW w:w="1385" w:type="dxa"/>
            <w:vMerge/>
            <w:tcBorders>
              <w:top w:val="nil"/>
              <w:right w:val="single" w:sz="4" w:space="0" w:color="000000"/>
            </w:tcBorders>
            <w:shd w:val="clear" w:color="auto" w:fill="EDEBE0"/>
          </w:tcPr>
          <w:p>
            <w:pPr>
              <w:rPr>
                <w:sz w:val="2"/>
                <w:szCs w:val="2"/>
              </w:rPr>
            </w:pPr>
          </w:p>
        </w:tc>
        <w:tc>
          <w:tcPr>
            <w:tcW w:w="2976"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33" w:lineRule="exact"/>
              <w:ind w:left="117"/>
              <w:rPr>
                <w:rFonts w:ascii="宋体" w:eastAsia="宋体" w:hint="eastAsia"/>
                <w:sz w:val="21"/>
              </w:rPr>
            </w:pPr>
            <w:r>
              <w:rPr>
                <w:rFonts w:ascii="宋体" w:eastAsia="宋体" w:hint="eastAsia"/>
                <w:sz w:val="21"/>
              </w:rPr>
              <w:t>签字的财务顾问主办人姓名</w:t>
            </w:r>
          </w:p>
        </w:tc>
        <w:tc>
          <w:tcPr>
            <w:tcW w:w="4688" w:type="dxa"/>
            <w:tcBorders>
              <w:top w:val="single" w:sz="4" w:space="0" w:color="000000"/>
              <w:left w:val="single" w:sz="4" w:space="0" w:color="000000"/>
              <w:bottom w:val="single" w:sz="4" w:space="0" w:color="000000"/>
            </w:tcBorders>
          </w:tcPr>
          <w:p>
            <w:pPr>
              <w:pStyle w:val="TableParagraph"/>
              <w:spacing w:line="233" w:lineRule="exact"/>
              <w:ind w:left="115"/>
              <w:rPr>
                <w:rFonts w:ascii="宋体" w:eastAsia="宋体" w:hint="eastAsia"/>
                <w:sz w:val="21"/>
              </w:rPr>
            </w:pPr>
            <w:r>
              <w:rPr>
                <w:rFonts w:ascii="宋体" w:eastAsia="宋体" w:hint="eastAsia"/>
                <w:sz w:val="21"/>
              </w:rPr>
              <w:t>王锋、王建</w:t>
            </w:r>
          </w:p>
        </w:tc>
      </w:tr>
      <w:tr>
        <w:trPr>
          <w:trHeight w:val="260" w:hRule="atLeast"/>
        </w:trPr>
        <w:tc>
          <w:tcPr>
            <w:tcW w:w="1385" w:type="dxa"/>
            <w:vMerge/>
            <w:tcBorders>
              <w:top w:val="nil"/>
              <w:right w:val="single" w:sz="4" w:space="0" w:color="000000"/>
            </w:tcBorders>
            <w:shd w:val="clear" w:color="auto" w:fill="EDEBE0"/>
          </w:tcPr>
          <w:p>
            <w:pPr>
              <w:rPr>
                <w:sz w:val="2"/>
                <w:szCs w:val="2"/>
              </w:rPr>
            </w:pPr>
          </w:p>
        </w:tc>
        <w:tc>
          <w:tcPr>
            <w:tcW w:w="2976" w:type="dxa"/>
            <w:tcBorders>
              <w:top w:val="single" w:sz="4" w:space="0" w:color="000000"/>
              <w:left w:val="single" w:sz="4" w:space="0" w:color="000000"/>
              <w:right w:val="single" w:sz="4" w:space="0" w:color="000000"/>
            </w:tcBorders>
            <w:shd w:val="clear" w:color="auto" w:fill="EDEBE0"/>
          </w:tcPr>
          <w:p>
            <w:pPr>
              <w:pStyle w:val="TableParagraph"/>
              <w:spacing w:line="240" w:lineRule="exact"/>
              <w:ind w:left="117"/>
              <w:rPr>
                <w:rFonts w:ascii="宋体" w:eastAsia="宋体" w:hint="eastAsia"/>
                <w:sz w:val="21"/>
              </w:rPr>
            </w:pPr>
            <w:r>
              <w:rPr>
                <w:rFonts w:ascii="宋体" w:eastAsia="宋体" w:hint="eastAsia"/>
                <w:sz w:val="21"/>
              </w:rPr>
              <w:t>持续督导的期间</w:t>
            </w:r>
          </w:p>
        </w:tc>
        <w:tc>
          <w:tcPr>
            <w:tcW w:w="4688" w:type="dxa"/>
            <w:tcBorders>
              <w:top w:val="single" w:sz="4" w:space="0" w:color="000000"/>
              <w:left w:val="single" w:sz="4" w:space="0" w:color="000000"/>
            </w:tcBorders>
          </w:tcPr>
          <w:p>
            <w:pPr>
              <w:pStyle w:val="TableParagraph"/>
              <w:spacing w:line="240" w:lineRule="exact"/>
              <w:ind w:left="115"/>
              <w:rPr>
                <w:rFonts w:ascii="宋体" w:eastAsia="宋体" w:hint="eastAsia"/>
                <w:sz w:val="21"/>
              </w:rPr>
            </w:pPr>
            <w:r>
              <w:rPr>
                <w:sz w:val="21"/>
              </w:rPr>
              <w:t>2020 </w:t>
            </w:r>
            <w:r>
              <w:rPr>
                <w:rFonts w:ascii="宋体" w:eastAsia="宋体" w:hint="eastAsia"/>
                <w:sz w:val="21"/>
              </w:rPr>
              <w:t>年 </w:t>
            </w:r>
            <w:r>
              <w:rPr>
                <w:sz w:val="21"/>
              </w:rPr>
              <w:t>12 </w:t>
            </w:r>
            <w:r>
              <w:rPr>
                <w:rFonts w:ascii="宋体" w:eastAsia="宋体" w:hint="eastAsia"/>
                <w:sz w:val="21"/>
              </w:rPr>
              <w:t>月 </w:t>
            </w:r>
            <w:r>
              <w:rPr>
                <w:sz w:val="21"/>
              </w:rPr>
              <w:t>23 </w:t>
            </w:r>
            <w:r>
              <w:rPr>
                <w:rFonts w:ascii="宋体" w:eastAsia="宋体" w:hint="eastAsia"/>
                <w:sz w:val="21"/>
              </w:rPr>
              <w:t>日至 </w:t>
            </w:r>
            <w:r>
              <w:rPr>
                <w:sz w:val="21"/>
              </w:rPr>
              <w:t>2021 </w:t>
            </w:r>
            <w:r>
              <w:rPr>
                <w:rFonts w:ascii="宋体" w:eastAsia="宋体" w:hint="eastAsia"/>
                <w:sz w:val="21"/>
              </w:rPr>
              <w:t>年 </w:t>
            </w:r>
            <w:r>
              <w:rPr>
                <w:sz w:val="21"/>
              </w:rPr>
              <w:t>12 </w:t>
            </w:r>
            <w:r>
              <w:rPr>
                <w:rFonts w:ascii="宋体" w:eastAsia="宋体" w:hint="eastAsia"/>
                <w:sz w:val="21"/>
              </w:rPr>
              <w:t>月 </w:t>
            </w:r>
            <w:r>
              <w:rPr>
                <w:sz w:val="21"/>
              </w:rPr>
              <w:t>31 </w:t>
            </w:r>
            <w:r>
              <w:rPr>
                <w:rFonts w:ascii="宋体" w:eastAsia="宋体" w:hint="eastAsia"/>
                <w:sz w:val="21"/>
              </w:rPr>
              <w:t>日</w:t>
            </w:r>
          </w:p>
        </w:tc>
      </w:tr>
    </w:tbl>
    <w:p>
      <w:pPr>
        <w:pStyle w:val="BodyText"/>
        <w:spacing w:before="4"/>
        <w:ind w:left="237"/>
      </w:pPr>
      <w:r>
        <w:rPr>
          <w:w w:val="100"/>
        </w:rPr>
        <w:t> </w:t>
      </w:r>
    </w:p>
    <w:p>
      <w:pPr>
        <w:pStyle w:val="BodyText"/>
        <w:spacing w:before="2"/>
        <w:ind w:left="237"/>
      </w:pPr>
      <w:r>
        <w:rPr/>
        <w:t>注：</w:t>
      </w:r>
    </w:p>
    <w:p>
      <w:pPr>
        <w:pStyle w:val="ListParagraph"/>
        <w:numPr>
          <w:ilvl w:val="0"/>
          <w:numId w:val="2"/>
        </w:numPr>
        <w:tabs>
          <w:tab w:pos="1191" w:val="left" w:leader="none"/>
        </w:tabs>
        <w:spacing w:line="240" w:lineRule="auto" w:before="141" w:after="0"/>
        <w:ind w:left="1191" w:right="0" w:hanging="529"/>
        <w:jc w:val="left"/>
        <w:rPr>
          <w:sz w:val="21"/>
        </w:rPr>
      </w:pPr>
      <w:r>
        <w:rPr>
          <w:spacing w:val="-4"/>
          <w:sz w:val="21"/>
        </w:rPr>
        <w:t>公司聘请的会计师事务所</w:t>
      </w:r>
      <w:r>
        <w:rPr>
          <w:spacing w:val="-3"/>
          <w:sz w:val="21"/>
        </w:rPr>
        <w:t>（</w:t>
      </w:r>
      <w:r>
        <w:rPr>
          <w:spacing w:val="-2"/>
          <w:sz w:val="21"/>
        </w:rPr>
        <w:t>境外</w:t>
      </w:r>
      <w:r>
        <w:rPr>
          <w:spacing w:val="-12"/>
          <w:sz w:val="21"/>
        </w:rPr>
        <w:t>）</w:t>
      </w:r>
      <w:r>
        <w:rPr>
          <w:spacing w:val="12"/>
          <w:sz w:val="21"/>
        </w:rPr>
        <w:t>：公司</w:t>
      </w:r>
      <w:r>
        <w:rPr>
          <w:rFonts w:ascii="Times New Roman" w:eastAsia="Times New Roman"/>
          <w:sz w:val="21"/>
        </w:rPr>
        <w:t>H </w:t>
      </w:r>
      <w:r>
        <w:rPr>
          <w:spacing w:val="-11"/>
          <w:sz w:val="21"/>
        </w:rPr>
        <w:t>股股票已于 </w:t>
      </w:r>
      <w:r>
        <w:rPr>
          <w:rFonts w:ascii="Times New Roman" w:eastAsia="Times New Roman"/>
          <w:sz w:val="21"/>
        </w:rPr>
        <w:t>2020</w:t>
      </w:r>
      <w:r>
        <w:rPr>
          <w:rFonts w:ascii="Times New Roman" w:eastAsia="Times New Roman"/>
          <w:spacing w:val="-1"/>
          <w:sz w:val="21"/>
        </w:rPr>
        <w:t> </w:t>
      </w:r>
      <w:r>
        <w:rPr>
          <w:spacing w:val="-26"/>
          <w:sz w:val="21"/>
        </w:rPr>
        <w:t>年 </w:t>
      </w:r>
      <w:r>
        <w:rPr>
          <w:rFonts w:ascii="Times New Roman" w:eastAsia="Times New Roman"/>
          <w:sz w:val="21"/>
        </w:rPr>
        <w:t>12</w:t>
      </w:r>
      <w:r>
        <w:rPr>
          <w:rFonts w:ascii="Times New Roman" w:eastAsia="Times New Roman"/>
          <w:spacing w:val="-2"/>
          <w:sz w:val="21"/>
        </w:rPr>
        <w:t> </w:t>
      </w:r>
      <w:r>
        <w:rPr>
          <w:spacing w:val="-26"/>
          <w:sz w:val="21"/>
        </w:rPr>
        <w:t>月 </w:t>
      </w:r>
      <w:r>
        <w:rPr>
          <w:rFonts w:ascii="Times New Roman" w:eastAsia="Times New Roman"/>
          <w:sz w:val="21"/>
        </w:rPr>
        <w:t>23</w:t>
      </w:r>
      <w:r>
        <w:rPr>
          <w:rFonts w:ascii="Times New Roman" w:eastAsia="Times New Roman"/>
          <w:spacing w:val="-1"/>
          <w:sz w:val="21"/>
        </w:rPr>
        <w:t> </w:t>
      </w:r>
      <w:r>
        <w:rPr>
          <w:spacing w:val="-2"/>
          <w:sz w:val="21"/>
        </w:rPr>
        <w:t>日在香港联合</w:t>
      </w:r>
    </w:p>
    <w:p>
      <w:pPr>
        <w:pStyle w:val="BodyText"/>
        <w:spacing w:line="364" w:lineRule="auto" w:before="139"/>
        <w:ind w:left="237" w:right="1029"/>
        <w:jc w:val="both"/>
      </w:pPr>
      <w:r>
        <w:rPr>
          <w:spacing w:val="-3"/>
        </w:rPr>
        <w:t>交易所有限公司主板市场挂牌并上市交易，根据相关要求，公司需要聘请国际会计准则审计机构</w:t>
      </w:r>
      <w:r>
        <w:rPr>
          <w:spacing w:val="-13"/>
        </w:rPr>
        <w:t>出具 </w:t>
      </w:r>
      <w:r>
        <w:rPr>
          <w:rFonts w:ascii="Times New Roman" w:eastAsia="Times New Roman"/>
        </w:rPr>
        <w:t>2020 </w:t>
      </w:r>
      <w:r>
        <w:rPr>
          <w:spacing w:val="-9"/>
        </w:rPr>
        <w:t>年度国际准则审计报告，因此，根据公司股东大会决议等，公司聘请了国卫会计师事务</w:t>
      </w:r>
    </w:p>
    <w:p>
      <w:pPr>
        <w:pStyle w:val="BodyText"/>
        <w:spacing w:line="267" w:lineRule="exact"/>
        <w:ind w:left="237"/>
        <w:jc w:val="both"/>
      </w:pPr>
      <w:r>
        <w:rPr/>
        <w:t>所有限公司为本公司出具 </w:t>
      </w:r>
      <w:r>
        <w:rPr>
          <w:rFonts w:ascii="Times New Roman" w:eastAsia="Times New Roman"/>
        </w:rPr>
        <w:t>2020 </w:t>
      </w:r>
      <w:r>
        <w:rPr/>
        <w:t>年度国际准则审计报告。</w:t>
      </w:r>
    </w:p>
    <w:p>
      <w:pPr>
        <w:pStyle w:val="ListParagraph"/>
        <w:numPr>
          <w:ilvl w:val="0"/>
          <w:numId w:val="2"/>
        </w:numPr>
        <w:tabs>
          <w:tab w:pos="1191" w:val="left" w:leader="none"/>
        </w:tabs>
        <w:spacing w:line="240" w:lineRule="auto" w:before="139" w:after="0"/>
        <w:ind w:left="1191" w:right="0" w:hanging="529"/>
        <w:jc w:val="both"/>
        <w:rPr>
          <w:rFonts w:ascii="Times New Roman" w:hAnsi="Times New Roman" w:eastAsia="Times New Roman"/>
          <w:sz w:val="21"/>
        </w:rPr>
      </w:pPr>
      <w:r>
        <w:rPr>
          <w:spacing w:val="-3"/>
          <w:sz w:val="21"/>
        </w:rPr>
        <w:t>履行持续督导职责的保荐机构：报告期内，公司发行的可转换债券</w:t>
      </w:r>
      <w:r>
        <w:rPr>
          <w:rFonts w:ascii="Times New Roman" w:hAnsi="Times New Roman" w:eastAsia="Times New Roman"/>
          <w:sz w:val="21"/>
        </w:rPr>
        <w:t>“</w:t>
      </w:r>
      <w:r>
        <w:rPr>
          <w:spacing w:val="-2"/>
          <w:sz w:val="21"/>
        </w:rPr>
        <w:t>海尔转债</w:t>
      </w:r>
      <w:r>
        <w:rPr>
          <w:rFonts w:ascii="Times New Roman" w:hAnsi="Times New Roman" w:eastAsia="Times New Roman"/>
          <w:spacing w:val="-3"/>
          <w:sz w:val="21"/>
        </w:rPr>
        <w:t>”</w:t>
      </w:r>
      <w:r>
        <w:rPr>
          <w:spacing w:val="-26"/>
          <w:sz w:val="21"/>
        </w:rPr>
        <w:t>于 </w:t>
      </w:r>
      <w:r>
        <w:rPr>
          <w:rFonts w:ascii="Times New Roman" w:hAnsi="Times New Roman" w:eastAsia="Times New Roman"/>
          <w:sz w:val="21"/>
        </w:rPr>
        <w:t>2019</w:t>
      </w:r>
    </w:p>
    <w:p>
      <w:pPr>
        <w:pStyle w:val="BodyText"/>
        <w:spacing w:line="364" w:lineRule="auto" w:before="141"/>
        <w:ind w:left="237" w:right="1041"/>
        <w:jc w:val="both"/>
      </w:pPr>
      <w:r>
        <w:rPr>
          <w:spacing w:val="-25"/>
        </w:rPr>
        <w:t>年 </w:t>
      </w:r>
      <w:r>
        <w:rPr>
          <w:rFonts w:ascii="Times New Roman" w:hAnsi="Times New Roman" w:eastAsia="Times New Roman"/>
        </w:rPr>
        <w:t>1 </w:t>
      </w:r>
      <w:r>
        <w:rPr>
          <w:spacing w:val="-25"/>
        </w:rPr>
        <w:t>月 </w:t>
      </w:r>
      <w:r>
        <w:rPr>
          <w:rFonts w:ascii="Times New Roman" w:hAnsi="Times New Roman" w:eastAsia="Times New Roman"/>
        </w:rPr>
        <w:t>18 </w:t>
      </w:r>
      <w:r>
        <w:rPr>
          <w:spacing w:val="-2"/>
        </w:rPr>
        <w:t>日上市</w:t>
      </w:r>
      <w:r>
        <w:rPr>
          <w:spacing w:val="-3"/>
        </w:rPr>
        <w:t>（</w:t>
      </w:r>
      <w:r>
        <w:rPr>
          <w:spacing w:val="-17"/>
        </w:rPr>
        <w:t>且于 </w:t>
      </w:r>
      <w:r>
        <w:rPr>
          <w:rFonts w:ascii="Times New Roman" w:hAnsi="Times New Roman" w:eastAsia="Times New Roman"/>
        </w:rPr>
        <w:t>2019 </w:t>
      </w:r>
      <w:r>
        <w:rPr>
          <w:spacing w:val="-26"/>
        </w:rPr>
        <w:t>年 </w:t>
      </w:r>
      <w:r>
        <w:rPr>
          <w:rFonts w:ascii="Times New Roman" w:hAnsi="Times New Roman" w:eastAsia="Times New Roman"/>
        </w:rPr>
        <w:t>12 </w:t>
      </w:r>
      <w:r>
        <w:rPr>
          <w:spacing w:val="-24"/>
        </w:rPr>
        <w:t>月 </w:t>
      </w:r>
      <w:r>
        <w:rPr>
          <w:rFonts w:ascii="Times New Roman" w:hAnsi="Times New Roman" w:eastAsia="Times New Roman"/>
        </w:rPr>
        <w:t>17 </w:t>
      </w:r>
      <w:r>
        <w:rPr>
          <w:spacing w:val="-3"/>
        </w:rPr>
        <w:t>日将未转股的余额赎回后退市</w:t>
      </w:r>
      <w:r>
        <w:rPr/>
        <w:t>）</w:t>
      </w:r>
      <w:r>
        <w:rPr>
          <w:spacing w:val="-3"/>
        </w:rPr>
        <w:t>。作为该发行事宜的保荐机构，中国国际金融股份有限公司在</w:t>
      </w:r>
      <w:r>
        <w:rPr>
          <w:rFonts w:ascii="Times New Roman" w:hAnsi="Times New Roman" w:eastAsia="Times New Roman"/>
          <w:spacing w:val="-3"/>
        </w:rPr>
        <w:t>“</w:t>
      </w:r>
      <w:r>
        <w:rPr>
          <w:spacing w:val="-2"/>
        </w:rPr>
        <w:t>海尔转债</w:t>
      </w:r>
      <w:r>
        <w:rPr>
          <w:rFonts w:ascii="Times New Roman" w:hAnsi="Times New Roman" w:eastAsia="Times New Roman"/>
          <w:spacing w:val="-3"/>
        </w:rPr>
        <w:t>”</w:t>
      </w:r>
      <w:r>
        <w:rPr>
          <w:spacing w:val="-3"/>
        </w:rPr>
        <w:t>上市当年剩余时间及其后一个完整会计年度履行持续督导职责。</w:t>
      </w:r>
    </w:p>
    <w:p>
      <w:pPr>
        <w:pStyle w:val="ListParagraph"/>
        <w:numPr>
          <w:ilvl w:val="0"/>
          <w:numId w:val="2"/>
        </w:numPr>
        <w:tabs>
          <w:tab w:pos="1191" w:val="left" w:leader="none"/>
        </w:tabs>
        <w:spacing w:line="364" w:lineRule="auto" w:before="0" w:after="0"/>
        <w:ind w:left="237" w:right="1029" w:firstLine="424"/>
        <w:jc w:val="both"/>
        <w:rPr>
          <w:sz w:val="21"/>
        </w:rPr>
      </w:pPr>
      <w:r>
        <w:rPr>
          <w:spacing w:val="-8"/>
          <w:sz w:val="21"/>
        </w:rPr>
        <w:t>履行持续督导职责的财务顾问：公司 </w:t>
      </w:r>
      <w:r>
        <w:rPr>
          <w:rFonts w:ascii="Times New Roman" w:eastAsia="Times New Roman"/>
          <w:sz w:val="21"/>
        </w:rPr>
        <w:t>H</w:t>
      </w:r>
      <w:r>
        <w:rPr>
          <w:rFonts w:ascii="Times New Roman" w:eastAsia="Times New Roman"/>
          <w:spacing w:val="4"/>
          <w:sz w:val="21"/>
        </w:rPr>
        <w:t> </w:t>
      </w:r>
      <w:r>
        <w:rPr>
          <w:spacing w:val="-11"/>
          <w:sz w:val="21"/>
        </w:rPr>
        <w:t>股股票已于 </w:t>
      </w:r>
      <w:r>
        <w:rPr>
          <w:rFonts w:ascii="Times New Roman" w:eastAsia="Times New Roman"/>
          <w:sz w:val="21"/>
        </w:rPr>
        <w:t>2020</w:t>
      </w:r>
      <w:r>
        <w:rPr>
          <w:rFonts w:ascii="Times New Roman" w:eastAsia="Times New Roman"/>
          <w:spacing w:val="2"/>
          <w:sz w:val="21"/>
        </w:rPr>
        <w:t> </w:t>
      </w:r>
      <w:r>
        <w:rPr>
          <w:spacing w:val="-25"/>
          <w:sz w:val="21"/>
        </w:rPr>
        <w:t>年 </w:t>
      </w:r>
      <w:r>
        <w:rPr>
          <w:rFonts w:ascii="Times New Roman" w:eastAsia="Times New Roman"/>
          <w:sz w:val="21"/>
        </w:rPr>
        <w:t>12</w:t>
      </w:r>
      <w:r>
        <w:rPr>
          <w:rFonts w:ascii="Times New Roman" w:eastAsia="Times New Roman"/>
          <w:spacing w:val="2"/>
          <w:sz w:val="21"/>
        </w:rPr>
        <w:t> </w:t>
      </w:r>
      <w:r>
        <w:rPr>
          <w:spacing w:val="-25"/>
          <w:sz w:val="21"/>
        </w:rPr>
        <w:t>月 </w:t>
      </w:r>
      <w:r>
        <w:rPr>
          <w:rFonts w:ascii="Times New Roman" w:eastAsia="Times New Roman"/>
          <w:sz w:val="21"/>
        </w:rPr>
        <w:t>23</w:t>
      </w:r>
      <w:r>
        <w:rPr>
          <w:rFonts w:ascii="Times New Roman" w:eastAsia="Times New Roman"/>
          <w:spacing w:val="5"/>
          <w:sz w:val="21"/>
        </w:rPr>
        <w:t> </w:t>
      </w:r>
      <w:r>
        <w:rPr>
          <w:spacing w:val="-3"/>
          <w:sz w:val="21"/>
        </w:rPr>
        <w:t>日在香港联合交易所有限公司主板市场挂牌并上市交易，根据重大资产重组的相关要求，作为该发行事宜的独立财</w:t>
      </w:r>
      <w:r>
        <w:rPr>
          <w:spacing w:val="-10"/>
          <w:sz w:val="21"/>
        </w:rPr>
        <w:t>务顾问，浙商证券股份有限公司在公司 </w:t>
      </w:r>
      <w:r>
        <w:rPr>
          <w:rFonts w:ascii="Times New Roman" w:eastAsia="Times New Roman"/>
          <w:sz w:val="21"/>
        </w:rPr>
        <w:t>H</w:t>
      </w:r>
      <w:r>
        <w:rPr>
          <w:rFonts w:ascii="Times New Roman" w:eastAsia="Times New Roman"/>
          <w:spacing w:val="21"/>
          <w:sz w:val="21"/>
        </w:rPr>
        <w:t> </w:t>
      </w:r>
      <w:r>
        <w:rPr>
          <w:spacing w:val="-3"/>
          <w:sz w:val="21"/>
        </w:rPr>
        <w:t>股股票上市当年剩余时间及其后一个完整会计年度履行持续督导职责。此外，依据香港规则要求公司聘请了英高财务顾问有限公司</w:t>
      </w:r>
      <w:r>
        <w:rPr>
          <w:sz w:val="21"/>
        </w:rPr>
        <w:t>（</w:t>
      </w:r>
      <w:r>
        <w:rPr>
          <w:spacing w:val="-3"/>
          <w:sz w:val="21"/>
        </w:rPr>
        <w:t>地址：香港中环康</w:t>
      </w:r>
      <w:r>
        <w:rPr>
          <w:spacing w:val="-14"/>
          <w:sz w:val="21"/>
        </w:rPr>
        <w:t>乐广场 </w:t>
      </w:r>
      <w:r>
        <w:rPr>
          <w:rFonts w:ascii="Times New Roman" w:eastAsia="Times New Roman"/>
          <w:sz w:val="21"/>
        </w:rPr>
        <w:t>8</w:t>
      </w:r>
      <w:r>
        <w:rPr>
          <w:rFonts w:ascii="Times New Roman" w:eastAsia="Times New Roman"/>
          <w:spacing w:val="5"/>
          <w:sz w:val="21"/>
        </w:rPr>
        <w:t> </w:t>
      </w:r>
      <w:r>
        <w:rPr>
          <w:spacing w:val="-10"/>
          <w:sz w:val="21"/>
        </w:rPr>
        <w:t>号交易广场第 </w:t>
      </w:r>
      <w:r>
        <w:rPr>
          <w:rFonts w:ascii="Times New Roman" w:eastAsia="Times New Roman"/>
          <w:sz w:val="21"/>
        </w:rPr>
        <w:t>2</w:t>
      </w:r>
      <w:r>
        <w:rPr>
          <w:rFonts w:ascii="Times New Roman" w:eastAsia="Times New Roman"/>
          <w:spacing w:val="2"/>
          <w:sz w:val="21"/>
        </w:rPr>
        <w:t> </w:t>
      </w:r>
      <w:r>
        <w:rPr>
          <w:spacing w:val="-24"/>
          <w:sz w:val="21"/>
        </w:rPr>
        <w:t>期 </w:t>
      </w:r>
      <w:r>
        <w:rPr>
          <w:rFonts w:ascii="Times New Roman" w:eastAsia="Times New Roman"/>
          <w:sz w:val="21"/>
        </w:rPr>
        <w:t>40</w:t>
      </w:r>
      <w:r>
        <w:rPr>
          <w:rFonts w:ascii="Times New Roman" w:eastAsia="Times New Roman"/>
          <w:spacing w:val="3"/>
          <w:sz w:val="21"/>
        </w:rPr>
        <w:t> </w:t>
      </w:r>
      <w:r>
        <w:rPr>
          <w:spacing w:val="-10"/>
          <w:sz w:val="21"/>
        </w:rPr>
        <w:t>楼；主办人：</w:t>
      </w:r>
      <w:r>
        <w:rPr>
          <w:rFonts w:ascii="Times New Roman" w:eastAsia="Times New Roman"/>
          <w:spacing w:val="-6"/>
          <w:sz w:val="21"/>
        </w:rPr>
        <w:t>Stephen</w:t>
      </w:r>
      <w:r>
        <w:rPr>
          <w:rFonts w:ascii="Times New Roman" w:eastAsia="Times New Roman"/>
          <w:spacing w:val="2"/>
          <w:sz w:val="21"/>
        </w:rPr>
        <w:t> </w:t>
      </w:r>
      <w:r>
        <w:rPr>
          <w:rFonts w:ascii="Times New Roman" w:eastAsia="Times New Roman"/>
          <w:spacing w:val="-7"/>
          <w:sz w:val="21"/>
        </w:rPr>
        <w:t>Clark</w:t>
      </w:r>
      <w:r>
        <w:rPr>
          <w:spacing w:val="-7"/>
          <w:sz w:val="21"/>
        </w:rPr>
        <w:t>）</w:t>
      </w:r>
      <w:r>
        <w:rPr>
          <w:spacing w:val="-11"/>
          <w:sz w:val="21"/>
        </w:rPr>
        <w:t>担任合规顾问，其在持续督导期内</w:t>
      </w:r>
      <w:r>
        <w:rPr>
          <w:sz w:val="21"/>
        </w:rPr>
        <w:t>（</w:t>
      </w:r>
      <w:r>
        <w:rPr>
          <w:rFonts w:ascii="Times New Roman" w:eastAsia="Times New Roman"/>
          <w:sz w:val="21"/>
        </w:rPr>
        <w:t>H</w:t>
      </w:r>
      <w:r>
        <w:rPr>
          <w:spacing w:val="-3"/>
          <w:sz w:val="21"/>
        </w:rPr>
        <w:t>股上市当年剩余时间及其后一个完整会计年度</w:t>
      </w:r>
      <w:r>
        <w:rPr>
          <w:sz w:val="21"/>
        </w:rPr>
        <w:t>）</w:t>
      </w:r>
      <w:r>
        <w:rPr>
          <w:spacing w:val="-3"/>
          <w:sz w:val="21"/>
        </w:rPr>
        <w:t>履行持续督导职责。</w:t>
      </w:r>
    </w:p>
    <w:p>
      <w:pPr>
        <w:spacing w:after="0" w:line="364" w:lineRule="auto"/>
        <w:jc w:val="both"/>
        <w:rPr>
          <w:sz w:val="21"/>
        </w:rPr>
        <w:sectPr>
          <w:headerReference w:type="default" r:id="rId18"/>
          <w:footerReference w:type="default" r:id="rId19"/>
          <w:pgSz w:w="11910" w:h="16840"/>
          <w:pgMar w:header="874" w:footer="1214" w:top="1360" w:bottom="1400" w:left="1040" w:right="760"/>
        </w:sectPr>
      </w:pPr>
    </w:p>
    <w:p>
      <w:pPr>
        <w:pStyle w:val="BodyText"/>
        <w:spacing w:line="266" w:lineRule="exact" w:before="68"/>
        <w:ind w:left="237"/>
      </w:pPr>
      <w:r>
        <w:rPr>
          <w:w w:val="100"/>
        </w:rPr>
        <w:t> </w:t>
      </w:r>
    </w:p>
    <w:p>
      <w:pPr>
        <w:pStyle w:val="Heading4"/>
        <w:spacing w:line="356" w:lineRule="exact"/>
        <w:ind w:left="237"/>
      </w:pPr>
      <w:r>
        <w:rPr/>
        <w:t>七、 近三年主要会计数据和财务指标</w:t>
      </w:r>
    </w:p>
    <w:p>
      <w:pPr>
        <w:pStyle w:val="Heading4"/>
        <w:spacing w:line="360" w:lineRule="exact"/>
        <w:ind w:left="237"/>
      </w:pPr>
      <w:r>
        <w:rPr>
          <w:rFonts w:ascii="Times New Roman" w:eastAsia="Times New Roman"/>
        </w:rPr>
        <w:t>(</w:t>
      </w:r>
      <w:r>
        <w:rPr/>
        <w:t>一</w:t>
      </w:r>
      <w:r>
        <w:rPr>
          <w:rFonts w:ascii="Times New Roman" w:eastAsia="Times New Roman"/>
        </w:rPr>
        <w:t>) </w:t>
      </w:r>
      <w:r>
        <w:rPr/>
        <w:t>主要会计数据</w:t>
      </w:r>
    </w:p>
    <w:p>
      <w:pPr>
        <w:pStyle w:val="BodyText"/>
        <w:spacing w:before="12"/>
        <w:rPr>
          <w:rFonts w:ascii="Microsoft JhengHei"/>
          <w:b/>
          <w:sz w:val="15"/>
        </w:rPr>
      </w:pPr>
    </w:p>
    <w:p>
      <w:pPr>
        <w:pStyle w:val="BodyText"/>
        <w:ind w:left="237"/>
      </w:pPr>
      <w:r>
        <w:rPr>
          <w:w w:val="100"/>
        </w:rPr>
        <w:t>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
        <w:rPr>
          <w:sz w:val="23"/>
        </w:rPr>
      </w:pPr>
    </w:p>
    <w:p>
      <w:pPr>
        <w:pStyle w:val="BodyText"/>
        <w:tabs>
          <w:tab w:pos="1288" w:val="left" w:leader="none"/>
        </w:tabs>
        <w:ind w:left="237"/>
      </w:pPr>
      <w:r>
        <w:rPr/>
        <w:t>单位</w:t>
      </w:r>
      <w:r>
        <w:rPr>
          <w:spacing w:val="-3"/>
        </w:rPr>
        <w:t>：</w:t>
      </w:r>
      <w:r>
        <w:rPr/>
        <w:t>元</w:t>
        <w:tab/>
        <w:t>币</w:t>
      </w:r>
      <w:r>
        <w:rPr>
          <w:spacing w:val="-3"/>
        </w:rPr>
        <w:t>种</w:t>
      </w:r>
      <w:r>
        <w:rPr/>
        <w:t>：</w:t>
      </w:r>
      <w:r>
        <w:rPr>
          <w:spacing w:val="-3"/>
        </w:rPr>
        <w:t>人</w:t>
      </w:r>
      <w:r>
        <w:rPr/>
        <w:t>民币</w:t>
      </w:r>
    </w:p>
    <w:p>
      <w:pPr>
        <w:spacing w:after="0"/>
        <w:sectPr>
          <w:headerReference w:type="default" r:id="rId20"/>
          <w:footerReference w:type="default" r:id="rId21"/>
          <w:pgSz w:w="11910" w:h="16840"/>
          <w:pgMar w:header="874" w:footer="1214" w:top="1360" w:bottom="1400" w:left="1040" w:right="760"/>
          <w:cols w:num="2" w:equalWidth="0">
            <w:col w:w="3727" w:space="2795"/>
            <w:col w:w="3588"/>
          </w:cols>
        </w:sectPr>
      </w:pPr>
    </w:p>
    <w:tbl>
      <w:tblPr>
        <w:tblW w:w="0" w:type="auto"/>
        <w:jc w:val="left"/>
        <w:tblInd w:w="14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516"/>
        <w:gridCol w:w="1897"/>
        <w:gridCol w:w="1976"/>
        <w:gridCol w:w="1095"/>
        <w:gridCol w:w="1984"/>
      </w:tblGrid>
      <w:tr>
        <w:trPr>
          <w:trHeight w:val="817" w:hRule="atLeast"/>
        </w:trPr>
        <w:tc>
          <w:tcPr>
            <w:tcW w:w="2516" w:type="dxa"/>
            <w:tcBorders>
              <w:bottom w:val="single" w:sz="4" w:space="0" w:color="000000"/>
              <w:right w:val="single" w:sz="4" w:space="0" w:color="000000"/>
            </w:tcBorders>
            <w:shd w:val="clear" w:color="auto" w:fill="EDEBE0"/>
          </w:tcPr>
          <w:p>
            <w:pPr>
              <w:pStyle w:val="TableParagraph"/>
              <w:spacing w:before="5"/>
              <w:rPr>
                <w:rFonts w:ascii="宋体"/>
                <w:sz w:val="21"/>
              </w:rPr>
            </w:pPr>
          </w:p>
          <w:p>
            <w:pPr>
              <w:pStyle w:val="TableParagraph"/>
              <w:ind w:left="626"/>
              <w:rPr>
                <w:rFonts w:ascii="宋体" w:eastAsia="宋体" w:hint="eastAsia"/>
                <w:sz w:val="21"/>
              </w:rPr>
            </w:pPr>
            <w:r>
              <w:rPr>
                <w:rFonts w:ascii="宋体" w:eastAsia="宋体" w:hint="eastAsia"/>
                <w:sz w:val="21"/>
              </w:rPr>
              <w:t>主要会计数据</w:t>
            </w:r>
          </w:p>
        </w:tc>
        <w:tc>
          <w:tcPr>
            <w:tcW w:w="1897" w:type="dxa"/>
            <w:tcBorders>
              <w:left w:val="single" w:sz="4" w:space="0" w:color="000000"/>
              <w:bottom w:val="single" w:sz="4" w:space="0" w:color="000000"/>
              <w:right w:val="single" w:sz="4" w:space="0" w:color="000000"/>
            </w:tcBorders>
            <w:shd w:val="clear" w:color="auto" w:fill="EDEBE0"/>
          </w:tcPr>
          <w:p>
            <w:pPr>
              <w:pStyle w:val="TableParagraph"/>
              <w:spacing w:before="5"/>
              <w:rPr>
                <w:rFonts w:ascii="宋体"/>
                <w:sz w:val="21"/>
              </w:rPr>
            </w:pPr>
          </w:p>
          <w:p>
            <w:pPr>
              <w:pStyle w:val="TableParagraph"/>
              <w:ind w:left="640"/>
              <w:rPr>
                <w:rFonts w:ascii="宋体" w:eastAsia="宋体" w:hint="eastAsia"/>
                <w:sz w:val="21"/>
              </w:rPr>
            </w:pPr>
            <w:r>
              <w:rPr>
                <w:sz w:val="21"/>
              </w:rPr>
              <w:t>2020</w:t>
            </w:r>
            <w:r>
              <w:rPr>
                <w:rFonts w:ascii="宋体" w:eastAsia="宋体" w:hint="eastAsia"/>
                <w:sz w:val="21"/>
              </w:rPr>
              <w:t>年</w:t>
            </w:r>
          </w:p>
        </w:tc>
        <w:tc>
          <w:tcPr>
            <w:tcW w:w="1976" w:type="dxa"/>
            <w:tcBorders>
              <w:left w:val="single" w:sz="4" w:space="0" w:color="000000"/>
              <w:bottom w:val="single" w:sz="4" w:space="0" w:color="000000"/>
              <w:right w:val="single" w:sz="4" w:space="0" w:color="000000"/>
            </w:tcBorders>
            <w:shd w:val="clear" w:color="auto" w:fill="EDEBE0"/>
          </w:tcPr>
          <w:p>
            <w:pPr>
              <w:pStyle w:val="TableParagraph"/>
              <w:spacing w:before="5"/>
              <w:rPr>
                <w:rFonts w:ascii="宋体"/>
                <w:sz w:val="21"/>
              </w:rPr>
            </w:pPr>
          </w:p>
          <w:p>
            <w:pPr>
              <w:pStyle w:val="TableParagraph"/>
              <w:ind w:left="678"/>
              <w:rPr>
                <w:rFonts w:ascii="宋体" w:eastAsia="宋体" w:hint="eastAsia"/>
                <w:sz w:val="21"/>
              </w:rPr>
            </w:pPr>
            <w:r>
              <w:rPr>
                <w:sz w:val="21"/>
              </w:rPr>
              <w:t>2019</w:t>
            </w:r>
            <w:r>
              <w:rPr>
                <w:rFonts w:ascii="宋体" w:eastAsia="宋体" w:hint="eastAsia"/>
                <w:sz w:val="21"/>
              </w:rPr>
              <w:t>年</w:t>
            </w:r>
          </w:p>
        </w:tc>
        <w:tc>
          <w:tcPr>
            <w:tcW w:w="1095" w:type="dxa"/>
            <w:tcBorders>
              <w:left w:val="single" w:sz="4" w:space="0" w:color="000000"/>
              <w:bottom w:val="single" w:sz="4" w:space="0" w:color="000000"/>
              <w:right w:val="single" w:sz="4" w:space="0" w:color="000000"/>
            </w:tcBorders>
            <w:shd w:val="clear" w:color="auto" w:fill="EDEBE0"/>
          </w:tcPr>
          <w:p>
            <w:pPr>
              <w:pStyle w:val="TableParagraph"/>
              <w:spacing w:line="242" w:lineRule="auto" w:before="3"/>
              <w:ind w:left="133" w:right="107"/>
              <w:jc w:val="center"/>
              <w:rPr>
                <w:rFonts w:ascii="宋体" w:eastAsia="宋体" w:hint="eastAsia"/>
                <w:sz w:val="21"/>
              </w:rPr>
            </w:pPr>
            <w:r>
              <w:rPr>
                <w:rFonts w:ascii="宋体" w:eastAsia="宋体" w:hint="eastAsia"/>
                <w:sz w:val="21"/>
              </w:rPr>
              <w:t>本期比上年同期增</w:t>
            </w:r>
          </w:p>
          <w:p>
            <w:pPr>
              <w:pStyle w:val="TableParagraph"/>
              <w:spacing w:line="250" w:lineRule="exact" w:before="1"/>
              <w:ind w:left="125" w:right="107"/>
              <w:jc w:val="center"/>
              <w:rPr>
                <w:sz w:val="21"/>
              </w:rPr>
            </w:pPr>
            <w:r>
              <w:rPr>
                <w:rFonts w:ascii="宋体" w:eastAsia="宋体" w:hint="eastAsia"/>
                <w:sz w:val="21"/>
              </w:rPr>
              <w:t>减</w:t>
            </w:r>
            <w:r>
              <w:rPr>
                <w:sz w:val="21"/>
              </w:rPr>
              <w:t>(%)</w:t>
            </w:r>
          </w:p>
        </w:tc>
        <w:tc>
          <w:tcPr>
            <w:tcW w:w="1984" w:type="dxa"/>
            <w:tcBorders>
              <w:left w:val="single" w:sz="4" w:space="0" w:color="000000"/>
              <w:bottom w:val="single" w:sz="4" w:space="0" w:color="000000"/>
            </w:tcBorders>
            <w:shd w:val="clear" w:color="auto" w:fill="EDEBE0"/>
          </w:tcPr>
          <w:p>
            <w:pPr>
              <w:pStyle w:val="TableParagraph"/>
              <w:spacing w:before="5"/>
              <w:rPr>
                <w:rFonts w:ascii="宋体"/>
                <w:sz w:val="21"/>
              </w:rPr>
            </w:pPr>
          </w:p>
          <w:p>
            <w:pPr>
              <w:pStyle w:val="TableParagraph"/>
              <w:ind w:left="680"/>
              <w:rPr>
                <w:rFonts w:ascii="宋体" w:eastAsia="宋体" w:hint="eastAsia"/>
                <w:sz w:val="21"/>
              </w:rPr>
            </w:pPr>
            <w:r>
              <w:rPr>
                <w:sz w:val="21"/>
              </w:rPr>
              <w:t>2018</w:t>
            </w:r>
            <w:r>
              <w:rPr>
                <w:rFonts w:ascii="宋体" w:eastAsia="宋体" w:hint="eastAsia"/>
                <w:sz w:val="21"/>
              </w:rPr>
              <w:t>年</w:t>
            </w:r>
          </w:p>
        </w:tc>
      </w:tr>
      <w:tr>
        <w:trPr>
          <w:trHeight w:val="285" w:hRule="atLeast"/>
        </w:trPr>
        <w:tc>
          <w:tcPr>
            <w:tcW w:w="2516" w:type="dxa"/>
            <w:tcBorders>
              <w:top w:val="single" w:sz="4" w:space="0" w:color="000000"/>
              <w:bottom w:val="single" w:sz="4" w:space="0" w:color="000000"/>
              <w:right w:val="single" w:sz="4" w:space="0" w:color="000000"/>
            </w:tcBorders>
          </w:tcPr>
          <w:p>
            <w:pPr>
              <w:pStyle w:val="TableParagraph"/>
              <w:spacing w:line="264" w:lineRule="exact" w:before="1"/>
              <w:ind w:left="107"/>
              <w:rPr>
                <w:rFonts w:ascii="宋体" w:eastAsia="宋体" w:hint="eastAsia"/>
                <w:sz w:val="21"/>
              </w:rPr>
            </w:pPr>
            <w:r>
              <w:rPr>
                <w:rFonts w:ascii="宋体" w:eastAsia="宋体" w:hint="eastAsia"/>
                <w:sz w:val="21"/>
              </w:rPr>
              <w:t>营业收入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before="17"/>
              <w:ind w:right="84"/>
              <w:jc w:val="right"/>
              <w:rPr>
                <w:sz w:val="21"/>
              </w:rPr>
            </w:pPr>
            <w:r>
              <w:rPr>
                <w:sz w:val="21"/>
              </w:rPr>
              <w:t>209,725,821,099.44</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before="17"/>
              <w:ind w:right="87"/>
              <w:jc w:val="right"/>
              <w:rPr>
                <w:sz w:val="21"/>
              </w:rPr>
            </w:pPr>
            <w:r>
              <w:rPr>
                <w:sz w:val="21"/>
              </w:rPr>
              <w:t>200,761,983,256.57</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before="17"/>
              <w:ind w:right="88"/>
              <w:jc w:val="right"/>
              <w:rPr>
                <w:sz w:val="21"/>
              </w:rPr>
            </w:pPr>
            <w:r>
              <w:rPr>
                <w:sz w:val="21"/>
              </w:rPr>
              <w:t>4.46</w:t>
            </w:r>
          </w:p>
        </w:tc>
        <w:tc>
          <w:tcPr>
            <w:tcW w:w="1984" w:type="dxa"/>
            <w:tcBorders>
              <w:top w:val="single" w:sz="4" w:space="0" w:color="000000"/>
              <w:left w:val="single" w:sz="4" w:space="0" w:color="000000"/>
              <w:bottom w:val="single" w:sz="4" w:space="0" w:color="000000"/>
            </w:tcBorders>
          </w:tcPr>
          <w:p>
            <w:pPr>
              <w:pStyle w:val="TableParagraph"/>
              <w:spacing w:before="17"/>
              <w:ind w:right="79"/>
              <w:jc w:val="right"/>
              <w:rPr>
                <w:sz w:val="21"/>
              </w:rPr>
            </w:pPr>
            <w:r>
              <w:rPr>
                <w:sz w:val="21"/>
              </w:rPr>
              <w:t>184,108,481,959.27</w:t>
            </w:r>
          </w:p>
        </w:tc>
      </w:tr>
      <w:tr>
        <w:trPr>
          <w:trHeight w:val="544" w:hRule="atLeast"/>
        </w:trPr>
        <w:tc>
          <w:tcPr>
            <w:tcW w:w="2516" w:type="dxa"/>
            <w:tcBorders>
              <w:top w:val="single" w:sz="4" w:space="0" w:color="000000"/>
              <w:bottom w:val="single" w:sz="4" w:space="0" w:color="000000"/>
              <w:right w:val="single" w:sz="4" w:space="0" w:color="000000"/>
            </w:tcBorders>
          </w:tcPr>
          <w:p>
            <w:pPr>
              <w:pStyle w:val="TableParagraph"/>
              <w:spacing w:before="1"/>
              <w:ind w:left="107"/>
              <w:rPr>
                <w:rFonts w:ascii="宋体" w:eastAsia="宋体" w:hint="eastAsia"/>
                <w:sz w:val="21"/>
              </w:rPr>
            </w:pPr>
            <w:r>
              <w:rPr>
                <w:rFonts w:ascii="宋体" w:eastAsia="宋体" w:hint="eastAsia"/>
                <w:sz w:val="21"/>
              </w:rPr>
              <w:t>归属于上市公司股东的</w:t>
            </w:r>
          </w:p>
          <w:p>
            <w:pPr>
              <w:pStyle w:val="TableParagraph"/>
              <w:spacing w:line="250" w:lineRule="exact" w:before="4"/>
              <w:ind w:left="107"/>
              <w:rPr>
                <w:rFonts w:ascii="宋体" w:eastAsia="宋体" w:hint="eastAsia"/>
                <w:sz w:val="21"/>
              </w:rPr>
            </w:pPr>
            <w:r>
              <w:rPr>
                <w:rFonts w:ascii="宋体" w:eastAsia="宋体" w:hint="eastAsia"/>
                <w:sz w:val="21"/>
              </w:rPr>
              <w:t>净利润</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before="147"/>
              <w:ind w:right="84"/>
              <w:jc w:val="right"/>
              <w:rPr>
                <w:sz w:val="21"/>
              </w:rPr>
            </w:pPr>
            <w:r>
              <w:rPr>
                <w:sz w:val="21"/>
              </w:rPr>
              <w:t>8,876,593,208.19</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before="147"/>
              <w:ind w:right="88"/>
              <w:jc w:val="right"/>
              <w:rPr>
                <w:sz w:val="21"/>
              </w:rPr>
            </w:pPr>
            <w:r>
              <w:rPr>
                <w:sz w:val="21"/>
              </w:rPr>
              <w:t>8,206,247,105.96</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before="147"/>
              <w:ind w:right="88"/>
              <w:jc w:val="right"/>
              <w:rPr>
                <w:sz w:val="21"/>
              </w:rPr>
            </w:pPr>
            <w:r>
              <w:rPr>
                <w:sz w:val="21"/>
              </w:rPr>
              <w:t>8.17</w:t>
            </w:r>
          </w:p>
        </w:tc>
        <w:tc>
          <w:tcPr>
            <w:tcW w:w="1984" w:type="dxa"/>
            <w:tcBorders>
              <w:top w:val="single" w:sz="4" w:space="0" w:color="000000"/>
              <w:left w:val="single" w:sz="4" w:space="0" w:color="000000"/>
              <w:bottom w:val="single" w:sz="4" w:space="0" w:color="000000"/>
            </w:tcBorders>
          </w:tcPr>
          <w:p>
            <w:pPr>
              <w:pStyle w:val="TableParagraph"/>
              <w:spacing w:before="147"/>
              <w:ind w:right="79"/>
              <w:jc w:val="right"/>
              <w:rPr>
                <w:sz w:val="21"/>
              </w:rPr>
            </w:pPr>
            <w:r>
              <w:rPr>
                <w:sz w:val="21"/>
              </w:rPr>
              <w:t>7,483,659,016.04</w:t>
            </w:r>
          </w:p>
        </w:tc>
      </w:tr>
      <w:tr>
        <w:trPr>
          <w:trHeight w:val="818" w:hRule="atLeast"/>
        </w:trPr>
        <w:tc>
          <w:tcPr>
            <w:tcW w:w="2516" w:type="dxa"/>
            <w:tcBorders>
              <w:top w:val="single" w:sz="4" w:space="0" w:color="000000"/>
              <w:bottom w:val="single" w:sz="4" w:space="0" w:color="000000"/>
              <w:right w:val="single" w:sz="4" w:space="0" w:color="000000"/>
            </w:tcBorders>
          </w:tcPr>
          <w:p>
            <w:pPr>
              <w:pStyle w:val="TableParagraph"/>
              <w:spacing w:line="242" w:lineRule="auto" w:before="3"/>
              <w:ind w:left="107" w:right="86"/>
              <w:rPr>
                <w:rFonts w:ascii="宋体" w:eastAsia="宋体" w:hint="eastAsia"/>
                <w:sz w:val="21"/>
              </w:rPr>
            </w:pPr>
            <w:r>
              <w:rPr>
                <w:rFonts w:ascii="宋体" w:eastAsia="宋体" w:hint="eastAsia"/>
                <w:sz w:val="21"/>
              </w:rPr>
              <w:t>归属于上市公司股东的扣除非经常性损益的净</w:t>
            </w:r>
          </w:p>
          <w:p>
            <w:pPr>
              <w:pStyle w:val="TableParagraph"/>
              <w:spacing w:line="252" w:lineRule="exact"/>
              <w:ind w:left="107"/>
              <w:rPr>
                <w:rFonts w:ascii="宋体" w:eastAsia="宋体" w:hint="eastAsia"/>
                <w:sz w:val="21"/>
              </w:rPr>
            </w:pPr>
            <w:r>
              <w:rPr>
                <w:rFonts w:ascii="宋体" w:eastAsia="宋体" w:hint="eastAsia"/>
                <w:sz w:val="21"/>
              </w:rPr>
              <w:t>利润</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before="12"/>
              <w:rPr>
                <w:rFonts w:ascii="宋体"/>
                <w:sz w:val="21"/>
              </w:rPr>
            </w:pPr>
          </w:p>
          <w:p>
            <w:pPr>
              <w:pStyle w:val="TableParagraph"/>
              <w:ind w:right="84"/>
              <w:jc w:val="right"/>
              <w:rPr>
                <w:sz w:val="21"/>
              </w:rPr>
            </w:pPr>
            <w:r>
              <w:rPr>
                <w:sz w:val="21"/>
              </w:rPr>
              <w:t>6,457,813,335.37</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before="12"/>
              <w:rPr>
                <w:rFonts w:ascii="宋体"/>
                <w:sz w:val="21"/>
              </w:rPr>
            </w:pPr>
          </w:p>
          <w:p>
            <w:pPr>
              <w:pStyle w:val="TableParagraph"/>
              <w:ind w:right="88"/>
              <w:jc w:val="right"/>
              <w:rPr>
                <w:sz w:val="21"/>
              </w:rPr>
            </w:pPr>
            <w:r>
              <w:rPr>
                <w:sz w:val="21"/>
              </w:rPr>
              <w:t>5,765,164,700.75</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before="12"/>
              <w:rPr>
                <w:rFonts w:ascii="宋体"/>
                <w:sz w:val="21"/>
              </w:rPr>
            </w:pPr>
          </w:p>
          <w:p>
            <w:pPr>
              <w:pStyle w:val="TableParagraph"/>
              <w:ind w:right="88"/>
              <w:jc w:val="right"/>
              <w:rPr>
                <w:sz w:val="21"/>
              </w:rPr>
            </w:pPr>
            <w:r>
              <w:rPr>
                <w:sz w:val="21"/>
              </w:rPr>
              <w:t>12.01</w:t>
            </w:r>
          </w:p>
        </w:tc>
        <w:tc>
          <w:tcPr>
            <w:tcW w:w="1984" w:type="dxa"/>
            <w:tcBorders>
              <w:top w:val="single" w:sz="4" w:space="0" w:color="000000"/>
              <w:left w:val="single" w:sz="4" w:space="0" w:color="000000"/>
              <w:bottom w:val="single" w:sz="4" w:space="0" w:color="000000"/>
            </w:tcBorders>
          </w:tcPr>
          <w:p>
            <w:pPr>
              <w:pStyle w:val="TableParagraph"/>
              <w:spacing w:before="12"/>
              <w:rPr>
                <w:rFonts w:ascii="宋体"/>
                <w:sz w:val="21"/>
              </w:rPr>
            </w:pPr>
          </w:p>
          <w:p>
            <w:pPr>
              <w:pStyle w:val="TableParagraph"/>
              <w:ind w:right="79"/>
              <w:jc w:val="right"/>
              <w:rPr>
                <w:sz w:val="21"/>
              </w:rPr>
            </w:pPr>
            <w:r>
              <w:rPr>
                <w:sz w:val="21"/>
              </w:rPr>
              <w:t>6,601,505,599.79</w:t>
            </w:r>
          </w:p>
        </w:tc>
      </w:tr>
      <w:tr>
        <w:trPr>
          <w:trHeight w:val="544" w:hRule="atLeast"/>
        </w:trPr>
        <w:tc>
          <w:tcPr>
            <w:tcW w:w="2516" w:type="dxa"/>
            <w:tcBorders>
              <w:top w:val="single" w:sz="4" w:space="0" w:color="000000"/>
              <w:bottom w:val="single" w:sz="4" w:space="0" w:color="000000"/>
              <w:right w:val="single" w:sz="4" w:space="0" w:color="000000"/>
            </w:tcBorders>
          </w:tcPr>
          <w:p>
            <w:pPr>
              <w:pStyle w:val="TableParagraph"/>
              <w:spacing w:before="1"/>
              <w:ind w:left="107"/>
              <w:rPr>
                <w:rFonts w:ascii="宋体" w:eastAsia="宋体" w:hint="eastAsia"/>
                <w:sz w:val="21"/>
              </w:rPr>
            </w:pPr>
            <w:r>
              <w:rPr>
                <w:rFonts w:ascii="宋体" w:eastAsia="宋体" w:hint="eastAsia"/>
                <w:sz w:val="21"/>
              </w:rPr>
              <w:t>经营活动产生的现金流</w:t>
            </w:r>
          </w:p>
          <w:p>
            <w:pPr>
              <w:pStyle w:val="TableParagraph"/>
              <w:spacing w:line="250" w:lineRule="exact" w:before="4"/>
              <w:ind w:left="107"/>
              <w:rPr>
                <w:rFonts w:ascii="宋体" w:eastAsia="宋体" w:hint="eastAsia"/>
                <w:sz w:val="21"/>
              </w:rPr>
            </w:pPr>
            <w:r>
              <w:rPr>
                <w:rFonts w:ascii="宋体" w:eastAsia="宋体" w:hint="eastAsia"/>
                <w:sz w:val="21"/>
              </w:rPr>
              <w:t>量净额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before="144"/>
              <w:ind w:right="84"/>
              <w:jc w:val="right"/>
              <w:rPr>
                <w:sz w:val="21"/>
              </w:rPr>
            </w:pPr>
            <w:r>
              <w:rPr>
                <w:sz w:val="21"/>
              </w:rPr>
              <w:t>17,599,111,715.51</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before="144"/>
              <w:ind w:right="87"/>
              <w:jc w:val="right"/>
              <w:rPr>
                <w:sz w:val="21"/>
              </w:rPr>
            </w:pPr>
            <w:r>
              <w:rPr>
                <w:sz w:val="21"/>
              </w:rPr>
              <w:t>15,082,630,942.73</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before="144"/>
              <w:ind w:right="88"/>
              <w:jc w:val="right"/>
              <w:rPr>
                <w:sz w:val="21"/>
              </w:rPr>
            </w:pPr>
            <w:r>
              <w:rPr>
                <w:sz w:val="21"/>
              </w:rPr>
              <w:t>16.68</w:t>
            </w:r>
          </w:p>
        </w:tc>
        <w:tc>
          <w:tcPr>
            <w:tcW w:w="1984" w:type="dxa"/>
            <w:tcBorders>
              <w:top w:val="single" w:sz="4" w:space="0" w:color="000000"/>
              <w:left w:val="single" w:sz="4" w:space="0" w:color="000000"/>
              <w:bottom w:val="single" w:sz="4" w:space="0" w:color="000000"/>
            </w:tcBorders>
          </w:tcPr>
          <w:p>
            <w:pPr>
              <w:pStyle w:val="TableParagraph"/>
              <w:spacing w:before="144"/>
              <w:ind w:right="79"/>
              <w:jc w:val="right"/>
              <w:rPr>
                <w:sz w:val="21"/>
              </w:rPr>
            </w:pPr>
            <w:r>
              <w:rPr>
                <w:sz w:val="21"/>
              </w:rPr>
              <w:t>19,142,782,481.20</w:t>
            </w:r>
          </w:p>
        </w:tc>
      </w:tr>
      <w:tr>
        <w:trPr>
          <w:trHeight w:val="1089" w:hRule="atLeast"/>
        </w:trPr>
        <w:tc>
          <w:tcPr>
            <w:tcW w:w="2516" w:type="dxa"/>
            <w:tcBorders>
              <w:top w:val="single" w:sz="4" w:space="0" w:color="000000"/>
              <w:bottom w:val="single" w:sz="4" w:space="0" w:color="000000"/>
              <w:right w:val="single" w:sz="4" w:space="0" w:color="000000"/>
            </w:tcBorders>
            <w:shd w:val="clear" w:color="auto" w:fill="EDEBE0"/>
          </w:tcPr>
          <w:p>
            <w:pPr>
              <w:pStyle w:val="TableParagraph"/>
              <w:rPr>
                <w:sz w:val="20"/>
              </w:rPr>
            </w:pPr>
          </w:p>
        </w:tc>
        <w:tc>
          <w:tcPr>
            <w:tcW w:w="1897"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11"/>
              <w:rPr>
                <w:rFonts w:ascii="宋体"/>
                <w:sz w:val="31"/>
              </w:rPr>
            </w:pPr>
          </w:p>
          <w:p>
            <w:pPr>
              <w:pStyle w:val="TableParagraph"/>
              <w:spacing w:before="1"/>
              <w:ind w:left="537"/>
              <w:rPr>
                <w:rFonts w:ascii="宋体" w:eastAsia="宋体" w:hint="eastAsia"/>
                <w:sz w:val="21"/>
              </w:rPr>
            </w:pPr>
            <w:r>
              <w:rPr>
                <w:sz w:val="21"/>
              </w:rPr>
              <w:t>2020</w:t>
            </w:r>
            <w:r>
              <w:rPr>
                <w:rFonts w:ascii="宋体" w:eastAsia="宋体" w:hint="eastAsia"/>
                <w:sz w:val="21"/>
              </w:rPr>
              <w:t>年末</w:t>
            </w:r>
          </w:p>
        </w:tc>
        <w:tc>
          <w:tcPr>
            <w:tcW w:w="1976"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11"/>
              <w:rPr>
                <w:rFonts w:ascii="宋体"/>
                <w:sz w:val="31"/>
              </w:rPr>
            </w:pPr>
          </w:p>
          <w:p>
            <w:pPr>
              <w:pStyle w:val="TableParagraph"/>
              <w:spacing w:before="1"/>
              <w:ind w:left="575"/>
              <w:rPr>
                <w:rFonts w:ascii="宋体" w:eastAsia="宋体" w:hint="eastAsia"/>
                <w:sz w:val="21"/>
              </w:rPr>
            </w:pPr>
            <w:r>
              <w:rPr>
                <w:sz w:val="21"/>
              </w:rPr>
              <w:t>2019</w:t>
            </w:r>
            <w:r>
              <w:rPr>
                <w:rFonts w:ascii="宋体" w:eastAsia="宋体" w:hint="eastAsia"/>
                <w:sz w:val="21"/>
              </w:rPr>
              <w:t>年末</w:t>
            </w:r>
          </w:p>
        </w:tc>
        <w:tc>
          <w:tcPr>
            <w:tcW w:w="1095"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42" w:lineRule="auto" w:before="1"/>
              <w:ind w:left="132" w:right="107"/>
              <w:jc w:val="both"/>
              <w:rPr>
                <w:rFonts w:ascii="宋体" w:eastAsia="宋体" w:hint="eastAsia"/>
                <w:sz w:val="21"/>
              </w:rPr>
            </w:pPr>
            <w:r>
              <w:rPr>
                <w:rFonts w:ascii="宋体" w:eastAsia="宋体" w:hint="eastAsia"/>
                <w:sz w:val="21"/>
              </w:rPr>
              <w:t>本期末比上年同期末增减（</w:t>
            </w:r>
          </w:p>
          <w:p>
            <w:pPr>
              <w:pStyle w:val="TableParagraph"/>
              <w:spacing w:line="250" w:lineRule="exact" w:before="3"/>
              <w:ind w:left="361"/>
              <w:rPr>
                <w:rFonts w:ascii="宋体" w:eastAsia="宋体" w:hint="eastAsia"/>
                <w:sz w:val="21"/>
              </w:rPr>
            </w:pPr>
            <w:r>
              <w:rPr>
                <w:sz w:val="21"/>
              </w:rPr>
              <w:t>%</w:t>
            </w:r>
            <w:r>
              <w:rPr>
                <w:rFonts w:ascii="宋体" w:eastAsia="宋体" w:hint="eastAsia"/>
                <w:sz w:val="21"/>
              </w:rPr>
              <w:t>）</w:t>
            </w:r>
          </w:p>
        </w:tc>
        <w:tc>
          <w:tcPr>
            <w:tcW w:w="1984" w:type="dxa"/>
            <w:tcBorders>
              <w:top w:val="single" w:sz="4" w:space="0" w:color="000000"/>
              <w:left w:val="single" w:sz="4" w:space="0" w:color="000000"/>
              <w:bottom w:val="single" w:sz="4" w:space="0" w:color="000000"/>
            </w:tcBorders>
            <w:shd w:val="clear" w:color="auto" w:fill="EDEBE0"/>
          </w:tcPr>
          <w:p>
            <w:pPr>
              <w:pStyle w:val="TableParagraph"/>
              <w:spacing w:before="11"/>
              <w:rPr>
                <w:rFonts w:ascii="宋体"/>
                <w:sz w:val="31"/>
              </w:rPr>
            </w:pPr>
          </w:p>
          <w:p>
            <w:pPr>
              <w:pStyle w:val="TableParagraph"/>
              <w:spacing w:before="1"/>
              <w:ind w:left="576"/>
              <w:rPr>
                <w:rFonts w:ascii="宋体" w:eastAsia="宋体" w:hint="eastAsia"/>
                <w:sz w:val="21"/>
              </w:rPr>
            </w:pPr>
            <w:r>
              <w:rPr>
                <w:sz w:val="21"/>
              </w:rPr>
              <w:t>2018</w:t>
            </w:r>
            <w:r>
              <w:rPr>
                <w:rFonts w:ascii="宋体" w:eastAsia="宋体" w:hint="eastAsia"/>
                <w:sz w:val="21"/>
              </w:rPr>
              <w:t>年末</w:t>
            </w:r>
          </w:p>
        </w:tc>
      </w:tr>
      <w:tr>
        <w:trPr>
          <w:trHeight w:val="544" w:hRule="atLeast"/>
        </w:trPr>
        <w:tc>
          <w:tcPr>
            <w:tcW w:w="2516" w:type="dxa"/>
            <w:tcBorders>
              <w:top w:val="single" w:sz="4" w:space="0" w:color="000000"/>
              <w:bottom w:val="single" w:sz="4" w:space="0" w:color="000000"/>
              <w:right w:val="single" w:sz="4" w:space="0" w:color="000000"/>
            </w:tcBorders>
          </w:tcPr>
          <w:p>
            <w:pPr>
              <w:pStyle w:val="TableParagraph"/>
              <w:spacing w:before="1"/>
              <w:ind w:left="107"/>
              <w:rPr>
                <w:rFonts w:ascii="宋体" w:eastAsia="宋体" w:hint="eastAsia"/>
                <w:sz w:val="21"/>
              </w:rPr>
            </w:pPr>
            <w:r>
              <w:rPr>
                <w:rFonts w:ascii="宋体" w:eastAsia="宋体" w:hint="eastAsia"/>
                <w:sz w:val="21"/>
              </w:rPr>
              <w:t>归属于上市公司股东的</w:t>
            </w:r>
          </w:p>
          <w:p>
            <w:pPr>
              <w:pStyle w:val="TableParagraph"/>
              <w:spacing w:line="250" w:lineRule="exact" w:before="4"/>
              <w:ind w:left="107"/>
              <w:rPr>
                <w:rFonts w:ascii="宋体" w:eastAsia="宋体" w:hint="eastAsia"/>
                <w:sz w:val="21"/>
              </w:rPr>
            </w:pPr>
            <w:r>
              <w:rPr>
                <w:rFonts w:ascii="宋体" w:eastAsia="宋体" w:hint="eastAsia"/>
                <w:sz w:val="21"/>
              </w:rPr>
              <w:t>净资产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before="144"/>
              <w:ind w:right="84"/>
              <w:jc w:val="right"/>
              <w:rPr>
                <w:sz w:val="21"/>
              </w:rPr>
            </w:pPr>
            <w:r>
              <w:rPr>
                <w:sz w:val="21"/>
              </w:rPr>
              <w:t>66,816,422,614.55</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before="144"/>
              <w:ind w:right="87"/>
              <w:jc w:val="right"/>
              <w:rPr>
                <w:sz w:val="21"/>
              </w:rPr>
            </w:pPr>
            <w:r>
              <w:rPr>
                <w:sz w:val="21"/>
              </w:rPr>
              <w:t>47,888,319,765.92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before="144"/>
              <w:ind w:right="88"/>
              <w:jc w:val="right"/>
              <w:rPr>
                <w:sz w:val="21"/>
              </w:rPr>
            </w:pPr>
            <w:r>
              <w:rPr>
                <w:sz w:val="21"/>
              </w:rPr>
              <w:t>39.53</w:t>
            </w:r>
          </w:p>
        </w:tc>
        <w:tc>
          <w:tcPr>
            <w:tcW w:w="1984" w:type="dxa"/>
            <w:tcBorders>
              <w:top w:val="single" w:sz="4" w:space="0" w:color="000000"/>
              <w:left w:val="single" w:sz="4" w:space="0" w:color="000000"/>
              <w:bottom w:val="single" w:sz="4" w:space="0" w:color="000000"/>
            </w:tcBorders>
          </w:tcPr>
          <w:p>
            <w:pPr>
              <w:pStyle w:val="TableParagraph"/>
              <w:spacing w:before="144"/>
              <w:ind w:right="79"/>
              <w:jc w:val="right"/>
              <w:rPr>
                <w:sz w:val="21"/>
              </w:rPr>
            </w:pPr>
            <w:r>
              <w:rPr>
                <w:sz w:val="21"/>
              </w:rPr>
              <w:t>39,742,745,893.42</w:t>
            </w:r>
          </w:p>
        </w:tc>
      </w:tr>
      <w:tr>
        <w:trPr>
          <w:trHeight w:val="284" w:hRule="atLeast"/>
        </w:trPr>
        <w:tc>
          <w:tcPr>
            <w:tcW w:w="2516" w:type="dxa"/>
            <w:tcBorders>
              <w:top w:val="single" w:sz="4" w:space="0" w:color="000000"/>
              <w:right w:val="single" w:sz="4" w:space="0" w:color="000000"/>
            </w:tcBorders>
          </w:tcPr>
          <w:p>
            <w:pPr>
              <w:pStyle w:val="TableParagraph"/>
              <w:spacing w:line="264" w:lineRule="exact" w:before="1"/>
              <w:ind w:left="107"/>
              <w:rPr>
                <w:rFonts w:ascii="宋体" w:eastAsia="宋体" w:hint="eastAsia"/>
                <w:sz w:val="21"/>
              </w:rPr>
            </w:pPr>
            <w:r>
              <w:rPr>
                <w:rFonts w:ascii="宋体" w:eastAsia="宋体" w:hint="eastAsia"/>
                <w:sz w:val="21"/>
              </w:rPr>
              <w:t>总资产</w:t>
            </w:r>
          </w:p>
        </w:tc>
        <w:tc>
          <w:tcPr>
            <w:tcW w:w="1897" w:type="dxa"/>
            <w:tcBorders>
              <w:top w:val="single" w:sz="4" w:space="0" w:color="000000"/>
              <w:left w:val="single" w:sz="4" w:space="0" w:color="000000"/>
              <w:right w:val="single" w:sz="4" w:space="0" w:color="000000"/>
            </w:tcBorders>
          </w:tcPr>
          <w:p>
            <w:pPr>
              <w:pStyle w:val="TableParagraph"/>
              <w:spacing w:before="15"/>
              <w:ind w:right="84"/>
              <w:jc w:val="right"/>
              <w:rPr>
                <w:sz w:val="21"/>
              </w:rPr>
            </w:pPr>
            <w:r>
              <w:rPr>
                <w:sz w:val="21"/>
              </w:rPr>
              <w:t>203,459,495,879.65</w:t>
            </w:r>
          </w:p>
        </w:tc>
        <w:tc>
          <w:tcPr>
            <w:tcW w:w="1976" w:type="dxa"/>
            <w:tcBorders>
              <w:top w:val="single" w:sz="4" w:space="0" w:color="000000"/>
              <w:left w:val="single" w:sz="4" w:space="0" w:color="000000"/>
              <w:right w:val="single" w:sz="4" w:space="0" w:color="000000"/>
            </w:tcBorders>
          </w:tcPr>
          <w:p>
            <w:pPr>
              <w:pStyle w:val="TableParagraph"/>
              <w:spacing w:before="15"/>
              <w:ind w:right="87"/>
              <w:jc w:val="right"/>
              <w:rPr>
                <w:sz w:val="21"/>
              </w:rPr>
            </w:pPr>
            <w:r>
              <w:rPr>
                <w:sz w:val="21"/>
              </w:rPr>
              <w:t>187,454,236,283.17</w:t>
            </w:r>
          </w:p>
        </w:tc>
        <w:tc>
          <w:tcPr>
            <w:tcW w:w="1095" w:type="dxa"/>
            <w:tcBorders>
              <w:top w:val="single" w:sz="4" w:space="0" w:color="000000"/>
              <w:left w:val="single" w:sz="4" w:space="0" w:color="000000"/>
              <w:right w:val="single" w:sz="4" w:space="0" w:color="000000"/>
            </w:tcBorders>
          </w:tcPr>
          <w:p>
            <w:pPr>
              <w:pStyle w:val="TableParagraph"/>
              <w:spacing w:before="15"/>
              <w:ind w:right="88"/>
              <w:jc w:val="right"/>
              <w:rPr>
                <w:sz w:val="21"/>
              </w:rPr>
            </w:pPr>
            <w:r>
              <w:rPr>
                <w:sz w:val="21"/>
              </w:rPr>
              <w:t>8.54</w:t>
            </w:r>
          </w:p>
        </w:tc>
        <w:tc>
          <w:tcPr>
            <w:tcW w:w="1984" w:type="dxa"/>
            <w:tcBorders>
              <w:top w:val="single" w:sz="4" w:space="0" w:color="000000"/>
              <w:left w:val="single" w:sz="4" w:space="0" w:color="000000"/>
            </w:tcBorders>
          </w:tcPr>
          <w:p>
            <w:pPr>
              <w:pStyle w:val="TableParagraph"/>
              <w:spacing w:before="15"/>
              <w:ind w:right="79"/>
              <w:jc w:val="right"/>
              <w:rPr>
                <w:sz w:val="21"/>
              </w:rPr>
            </w:pPr>
            <w:r>
              <w:rPr>
                <w:sz w:val="21"/>
              </w:rPr>
              <w:t>168,091,571,652.14</w:t>
            </w:r>
          </w:p>
        </w:tc>
      </w:tr>
    </w:tbl>
    <w:p>
      <w:pPr>
        <w:pStyle w:val="BodyText"/>
        <w:spacing w:before="3"/>
        <w:ind w:left="662"/>
        <w:rPr>
          <w:rFonts w:ascii="Times New Roman" w:eastAsia="Times New Roman"/>
        </w:rPr>
      </w:pPr>
      <w:r>
        <w:rPr/>
        <w:t>注：由于卡奥斯业务于 </w:t>
      </w:r>
      <w:r>
        <w:rPr>
          <w:rFonts w:ascii="Times New Roman" w:eastAsia="Times New Roman"/>
        </w:rPr>
        <w:t>2020 </w:t>
      </w:r>
      <w:r>
        <w:rPr/>
        <w:t>年 </w:t>
      </w:r>
      <w:r>
        <w:rPr>
          <w:rFonts w:ascii="Times New Roman" w:eastAsia="Times New Roman"/>
        </w:rPr>
        <w:t>9 </w:t>
      </w:r>
      <w:r>
        <w:rPr/>
        <w:t>月底出表，</w:t>
      </w:r>
      <w:r>
        <w:rPr>
          <w:rFonts w:ascii="Times New Roman" w:eastAsia="Times New Roman"/>
        </w:rPr>
        <w:t>2020 </w:t>
      </w:r>
      <w:r>
        <w:rPr/>
        <w:t>年第四季度不再包括卡奥斯收入。如 </w:t>
      </w:r>
      <w:r>
        <w:rPr>
          <w:rFonts w:ascii="Times New Roman" w:eastAsia="Times New Roman"/>
        </w:rPr>
        <w:t>2019</w:t>
      </w:r>
    </w:p>
    <w:p>
      <w:pPr>
        <w:pStyle w:val="BodyText"/>
        <w:spacing w:line="267" w:lineRule="exact" w:before="2"/>
        <w:ind w:left="237"/>
      </w:pPr>
      <w:r>
        <w:rPr/>
        <w:t>年第四季度不包括卡奥斯业务收入，同口径下 </w:t>
      </w:r>
      <w:r>
        <w:rPr>
          <w:rFonts w:ascii="Times New Roman" w:eastAsia="Times New Roman"/>
        </w:rPr>
        <w:t>2020 </w:t>
      </w:r>
      <w:r>
        <w:rPr/>
        <w:t>年收入全年增长 </w:t>
      </w:r>
      <w:r>
        <w:rPr>
          <w:rFonts w:ascii="Times New Roman" w:eastAsia="Times New Roman"/>
        </w:rPr>
        <w:t>8%</w:t>
      </w:r>
      <w:r>
        <w:rPr/>
        <w:t>、四季度增长 </w:t>
      </w:r>
      <w:r>
        <w:rPr>
          <w:rFonts w:ascii="Times New Roman" w:eastAsia="Times New Roman"/>
        </w:rPr>
        <w:t>20%</w:t>
      </w:r>
      <w:r>
        <w:rPr/>
        <w:t>。</w:t>
      </w:r>
    </w:p>
    <w:p>
      <w:pPr>
        <w:pStyle w:val="Heading4"/>
        <w:spacing w:line="384" w:lineRule="exact"/>
        <w:ind w:left="237"/>
      </w:pPr>
      <w:r>
        <w:rPr>
          <w:rFonts w:ascii="Times New Roman" w:eastAsia="Times New Roman"/>
        </w:rPr>
        <w:t>(</w:t>
      </w:r>
      <w:r>
        <w:rPr/>
        <w:t>二</w:t>
      </w:r>
      <w:r>
        <w:rPr>
          <w:rFonts w:ascii="Times New Roman" w:eastAsia="Times New Roman"/>
        </w:rPr>
        <w:t>) </w:t>
      </w:r>
      <w:r>
        <w:rPr/>
        <w:t>主要财务指标</w:t>
      </w:r>
    </w:p>
    <w:p>
      <w:pPr>
        <w:pStyle w:val="BodyText"/>
        <w:spacing w:before="15" w:after="4"/>
        <w:ind w:left="237"/>
      </w:pPr>
      <w:r>
        <w:rPr>
          <w:w w:val="100"/>
        </w:rPr>
        <w:t> </w:t>
      </w:r>
    </w:p>
    <w:tbl>
      <w:tblPr>
        <w:tblW w:w="0" w:type="auto"/>
        <w:jc w:val="left"/>
        <w:tblInd w:w="14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195"/>
        <w:gridCol w:w="1452"/>
        <w:gridCol w:w="1325"/>
        <w:gridCol w:w="1649"/>
        <w:gridCol w:w="1429"/>
      </w:tblGrid>
      <w:tr>
        <w:trPr>
          <w:trHeight w:val="543" w:hRule="atLeast"/>
        </w:trPr>
        <w:tc>
          <w:tcPr>
            <w:tcW w:w="3195" w:type="dxa"/>
            <w:tcBorders>
              <w:bottom w:val="single" w:sz="4" w:space="0" w:color="000000"/>
              <w:right w:val="single" w:sz="4" w:space="0" w:color="000000"/>
            </w:tcBorders>
            <w:shd w:val="clear" w:color="auto" w:fill="EDEBE0"/>
          </w:tcPr>
          <w:p>
            <w:pPr>
              <w:pStyle w:val="TableParagraph"/>
              <w:spacing w:before="137"/>
              <w:ind w:left="966"/>
              <w:rPr>
                <w:rFonts w:ascii="宋体" w:eastAsia="宋体" w:hint="eastAsia"/>
                <w:sz w:val="21"/>
              </w:rPr>
            </w:pPr>
            <w:r>
              <w:rPr>
                <w:rFonts w:ascii="宋体" w:eastAsia="宋体" w:hint="eastAsia"/>
                <w:sz w:val="21"/>
              </w:rPr>
              <w:t>主要财务指标</w:t>
            </w:r>
          </w:p>
        </w:tc>
        <w:tc>
          <w:tcPr>
            <w:tcW w:w="1452" w:type="dxa"/>
            <w:tcBorders>
              <w:left w:val="single" w:sz="4" w:space="0" w:color="000000"/>
              <w:bottom w:val="single" w:sz="4" w:space="0" w:color="000000"/>
              <w:right w:val="single" w:sz="4" w:space="0" w:color="000000"/>
            </w:tcBorders>
            <w:shd w:val="clear" w:color="auto" w:fill="EDEBE0"/>
          </w:tcPr>
          <w:p>
            <w:pPr>
              <w:pStyle w:val="TableParagraph"/>
              <w:spacing w:before="137"/>
              <w:ind w:left="420"/>
              <w:rPr>
                <w:rFonts w:ascii="宋体" w:eastAsia="宋体" w:hint="eastAsia"/>
                <w:sz w:val="21"/>
              </w:rPr>
            </w:pPr>
            <w:r>
              <w:rPr>
                <w:sz w:val="21"/>
              </w:rPr>
              <w:t>2020</w:t>
            </w:r>
            <w:r>
              <w:rPr>
                <w:rFonts w:ascii="宋体" w:eastAsia="宋体" w:hint="eastAsia"/>
                <w:sz w:val="21"/>
              </w:rPr>
              <w:t>年</w:t>
            </w:r>
          </w:p>
        </w:tc>
        <w:tc>
          <w:tcPr>
            <w:tcW w:w="1325" w:type="dxa"/>
            <w:tcBorders>
              <w:left w:val="single" w:sz="4" w:space="0" w:color="000000"/>
              <w:bottom w:val="single" w:sz="4" w:space="0" w:color="000000"/>
              <w:right w:val="single" w:sz="4" w:space="0" w:color="000000"/>
            </w:tcBorders>
            <w:shd w:val="clear" w:color="auto" w:fill="EDEBE0"/>
          </w:tcPr>
          <w:p>
            <w:pPr>
              <w:pStyle w:val="TableParagraph"/>
              <w:spacing w:before="137"/>
              <w:ind w:left="355"/>
              <w:rPr>
                <w:rFonts w:ascii="宋体" w:eastAsia="宋体" w:hint="eastAsia"/>
                <w:sz w:val="21"/>
              </w:rPr>
            </w:pPr>
            <w:r>
              <w:rPr>
                <w:sz w:val="21"/>
              </w:rPr>
              <w:t>2019</w:t>
            </w:r>
            <w:r>
              <w:rPr>
                <w:rFonts w:ascii="宋体" w:eastAsia="宋体" w:hint="eastAsia"/>
                <w:sz w:val="21"/>
              </w:rPr>
              <w:t>年</w:t>
            </w:r>
          </w:p>
        </w:tc>
        <w:tc>
          <w:tcPr>
            <w:tcW w:w="1649" w:type="dxa"/>
            <w:tcBorders>
              <w:left w:val="single" w:sz="4" w:space="0" w:color="000000"/>
              <w:bottom w:val="single" w:sz="4" w:space="0" w:color="000000"/>
              <w:right w:val="single" w:sz="4" w:space="0" w:color="000000"/>
            </w:tcBorders>
            <w:shd w:val="clear" w:color="auto" w:fill="EDEBE0"/>
          </w:tcPr>
          <w:p>
            <w:pPr>
              <w:pStyle w:val="TableParagraph"/>
              <w:ind w:left="185" w:right="153"/>
              <w:jc w:val="center"/>
              <w:rPr>
                <w:rFonts w:ascii="宋体" w:eastAsia="宋体" w:hint="eastAsia"/>
                <w:sz w:val="21"/>
              </w:rPr>
            </w:pPr>
            <w:r>
              <w:rPr>
                <w:rFonts w:ascii="宋体" w:eastAsia="宋体" w:hint="eastAsia"/>
                <w:sz w:val="21"/>
              </w:rPr>
              <w:t>本期比上年同</w:t>
            </w:r>
          </w:p>
          <w:p>
            <w:pPr>
              <w:pStyle w:val="TableParagraph"/>
              <w:spacing w:line="250" w:lineRule="exact" w:before="5"/>
              <w:ind w:left="182" w:right="153"/>
              <w:jc w:val="center"/>
              <w:rPr>
                <w:sz w:val="21"/>
              </w:rPr>
            </w:pPr>
            <w:r>
              <w:rPr>
                <w:rFonts w:ascii="宋体" w:eastAsia="宋体" w:hint="eastAsia"/>
                <w:sz w:val="21"/>
              </w:rPr>
              <w:t>期增减</w:t>
            </w:r>
            <w:r>
              <w:rPr>
                <w:sz w:val="21"/>
              </w:rPr>
              <w:t>(%)</w:t>
            </w:r>
          </w:p>
        </w:tc>
        <w:tc>
          <w:tcPr>
            <w:tcW w:w="1429" w:type="dxa"/>
            <w:tcBorders>
              <w:left w:val="single" w:sz="4" w:space="0" w:color="000000"/>
              <w:bottom w:val="single" w:sz="4" w:space="0" w:color="000000"/>
            </w:tcBorders>
            <w:shd w:val="clear" w:color="auto" w:fill="EDEBE0"/>
          </w:tcPr>
          <w:p>
            <w:pPr>
              <w:pStyle w:val="TableParagraph"/>
              <w:spacing w:before="137"/>
              <w:ind w:left="408"/>
              <w:rPr>
                <w:rFonts w:ascii="宋体" w:eastAsia="宋体" w:hint="eastAsia"/>
                <w:sz w:val="21"/>
              </w:rPr>
            </w:pPr>
            <w:r>
              <w:rPr>
                <w:sz w:val="21"/>
              </w:rPr>
              <w:t>2018</w:t>
            </w:r>
            <w:r>
              <w:rPr>
                <w:rFonts w:ascii="宋体" w:eastAsia="宋体" w:hint="eastAsia"/>
                <w:sz w:val="21"/>
              </w:rPr>
              <w:t>年</w:t>
            </w:r>
          </w:p>
        </w:tc>
      </w:tr>
      <w:tr>
        <w:trPr>
          <w:trHeight w:val="273" w:hRule="atLeast"/>
        </w:trPr>
        <w:tc>
          <w:tcPr>
            <w:tcW w:w="3195"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基本每股收益（元／股）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10"/>
              <w:ind w:right="83"/>
              <w:jc w:val="right"/>
              <w:rPr>
                <w:sz w:val="21"/>
              </w:rPr>
            </w:pPr>
            <w:r>
              <w:rPr>
                <w:sz w:val="21"/>
              </w:rPr>
              <w:t>1.337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before="10"/>
              <w:ind w:right="83"/>
              <w:jc w:val="right"/>
              <w:rPr>
                <w:sz w:val="21"/>
              </w:rPr>
            </w:pPr>
            <w:r>
              <w:rPr>
                <w:sz w:val="21"/>
              </w:rPr>
              <w:t>1.286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before="10"/>
              <w:ind w:right="83"/>
              <w:jc w:val="right"/>
              <w:rPr>
                <w:sz w:val="21"/>
              </w:rPr>
            </w:pPr>
            <w:r>
              <w:rPr>
                <w:sz w:val="21"/>
              </w:rPr>
              <w:t>3.97</w:t>
            </w:r>
          </w:p>
        </w:tc>
        <w:tc>
          <w:tcPr>
            <w:tcW w:w="1429"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1.217</w:t>
            </w:r>
          </w:p>
        </w:tc>
      </w:tr>
      <w:tr>
        <w:trPr>
          <w:trHeight w:val="270" w:hRule="atLeast"/>
        </w:trPr>
        <w:tc>
          <w:tcPr>
            <w:tcW w:w="3195"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稀释每股收益（元／股）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7"/>
              <w:ind w:right="83"/>
              <w:jc w:val="right"/>
              <w:rPr>
                <w:sz w:val="21"/>
              </w:rPr>
            </w:pPr>
            <w:r>
              <w:rPr>
                <w:sz w:val="21"/>
              </w:rPr>
              <w:t>1.306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before="7"/>
              <w:ind w:right="83"/>
              <w:jc w:val="right"/>
              <w:rPr>
                <w:sz w:val="21"/>
              </w:rPr>
            </w:pPr>
            <w:r>
              <w:rPr>
                <w:sz w:val="21"/>
              </w:rPr>
              <w:t>1.191</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before="7"/>
              <w:ind w:right="83"/>
              <w:jc w:val="right"/>
              <w:rPr>
                <w:sz w:val="21"/>
              </w:rPr>
            </w:pPr>
            <w:r>
              <w:rPr>
                <w:sz w:val="21"/>
              </w:rPr>
              <w:t>9.66</w:t>
            </w:r>
          </w:p>
        </w:tc>
        <w:tc>
          <w:tcPr>
            <w:tcW w:w="1429" w:type="dxa"/>
            <w:tcBorders>
              <w:top w:val="single" w:sz="4" w:space="0" w:color="000000"/>
              <w:left w:val="single" w:sz="4" w:space="0" w:color="000000"/>
              <w:bottom w:val="single" w:sz="4" w:space="0" w:color="000000"/>
            </w:tcBorders>
          </w:tcPr>
          <w:p>
            <w:pPr>
              <w:pStyle w:val="TableParagraph"/>
              <w:spacing w:before="7"/>
              <w:ind w:right="74"/>
              <w:jc w:val="right"/>
              <w:rPr>
                <w:sz w:val="21"/>
              </w:rPr>
            </w:pPr>
            <w:r>
              <w:rPr>
                <w:sz w:val="21"/>
              </w:rPr>
              <w:t>1.189</w:t>
            </w:r>
          </w:p>
        </w:tc>
      </w:tr>
      <w:tr>
        <w:trPr>
          <w:trHeight w:val="544" w:hRule="atLeast"/>
        </w:trPr>
        <w:tc>
          <w:tcPr>
            <w:tcW w:w="3195" w:type="dxa"/>
            <w:tcBorders>
              <w:top w:val="single" w:sz="4" w:space="0" w:color="000000"/>
              <w:bottom w:val="single" w:sz="4" w:space="0" w:color="000000"/>
              <w:right w:val="single" w:sz="4" w:space="0" w:color="000000"/>
            </w:tcBorders>
          </w:tcPr>
          <w:p>
            <w:pPr>
              <w:pStyle w:val="TableParagraph"/>
              <w:spacing w:before="1"/>
              <w:ind w:left="107"/>
              <w:rPr>
                <w:rFonts w:ascii="宋体" w:eastAsia="宋体" w:hint="eastAsia"/>
                <w:sz w:val="21"/>
              </w:rPr>
            </w:pPr>
            <w:r>
              <w:rPr>
                <w:rFonts w:ascii="宋体" w:eastAsia="宋体" w:hint="eastAsia"/>
                <w:sz w:val="21"/>
              </w:rPr>
              <w:t>扣除非经常性损益后的基本每股</w:t>
            </w:r>
          </w:p>
          <w:p>
            <w:pPr>
              <w:pStyle w:val="TableParagraph"/>
              <w:spacing w:line="250" w:lineRule="exact" w:before="4"/>
              <w:ind w:left="107"/>
              <w:rPr>
                <w:rFonts w:ascii="宋体" w:eastAsia="宋体" w:hint="eastAsia"/>
                <w:sz w:val="21"/>
              </w:rPr>
            </w:pPr>
            <w:r>
              <w:rPr>
                <w:rFonts w:ascii="宋体" w:eastAsia="宋体" w:hint="eastAsia"/>
                <w:sz w:val="21"/>
              </w:rPr>
              <w:t>收益（元／股）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147"/>
              <w:ind w:right="83"/>
              <w:jc w:val="right"/>
              <w:rPr>
                <w:sz w:val="21"/>
              </w:rPr>
            </w:pPr>
            <w:r>
              <w:rPr>
                <w:sz w:val="21"/>
              </w:rPr>
              <w:t>0.973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before="147"/>
              <w:ind w:right="83"/>
              <w:jc w:val="right"/>
              <w:rPr>
                <w:sz w:val="21"/>
              </w:rPr>
            </w:pPr>
            <w:r>
              <w:rPr>
                <w:sz w:val="21"/>
              </w:rPr>
              <w:t>0.903</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before="147"/>
              <w:ind w:right="83"/>
              <w:jc w:val="right"/>
              <w:rPr>
                <w:sz w:val="21"/>
              </w:rPr>
            </w:pPr>
            <w:r>
              <w:rPr>
                <w:sz w:val="21"/>
              </w:rPr>
              <w:t>7.75</w:t>
            </w:r>
          </w:p>
        </w:tc>
        <w:tc>
          <w:tcPr>
            <w:tcW w:w="1429" w:type="dxa"/>
            <w:tcBorders>
              <w:top w:val="single" w:sz="4" w:space="0" w:color="000000"/>
              <w:left w:val="single" w:sz="4" w:space="0" w:color="000000"/>
              <w:bottom w:val="single" w:sz="4" w:space="0" w:color="000000"/>
            </w:tcBorders>
          </w:tcPr>
          <w:p>
            <w:pPr>
              <w:pStyle w:val="TableParagraph"/>
              <w:spacing w:before="147"/>
              <w:ind w:right="74"/>
              <w:jc w:val="right"/>
              <w:rPr>
                <w:sz w:val="21"/>
              </w:rPr>
            </w:pPr>
            <w:r>
              <w:rPr>
                <w:sz w:val="21"/>
              </w:rPr>
              <w:t>1.074</w:t>
            </w:r>
          </w:p>
        </w:tc>
      </w:tr>
      <w:tr>
        <w:trPr>
          <w:trHeight w:val="546" w:hRule="atLeast"/>
        </w:trPr>
        <w:tc>
          <w:tcPr>
            <w:tcW w:w="3195" w:type="dxa"/>
            <w:tcBorders>
              <w:top w:val="single" w:sz="4" w:space="0" w:color="000000"/>
              <w:bottom w:val="single" w:sz="4" w:space="0" w:color="000000"/>
              <w:right w:val="single" w:sz="4" w:space="0" w:color="000000"/>
            </w:tcBorders>
          </w:tcPr>
          <w:p>
            <w:pPr>
              <w:pStyle w:val="TableParagraph"/>
              <w:spacing w:before="138"/>
              <w:ind w:left="107"/>
              <w:rPr>
                <w:rFonts w:ascii="宋体" w:eastAsia="宋体" w:hint="eastAsia"/>
                <w:sz w:val="21"/>
              </w:rPr>
            </w:pPr>
            <w:r>
              <w:rPr>
                <w:rFonts w:ascii="宋体" w:eastAsia="宋体" w:hint="eastAsia"/>
                <w:sz w:val="21"/>
              </w:rPr>
              <w:t>加权平均净资产收益率（</w:t>
            </w:r>
            <w:r>
              <w:rPr>
                <w:sz w:val="21"/>
              </w:rPr>
              <w:t>%</w:t>
            </w:r>
            <w:r>
              <w:rPr>
                <w:rFonts w:ascii="宋体" w:eastAsia="宋体" w:hint="eastAsia"/>
                <w:sz w:val="21"/>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147"/>
              <w:ind w:right="83"/>
              <w:jc w:val="right"/>
              <w:rPr>
                <w:sz w:val="21"/>
              </w:rPr>
            </w:pPr>
            <w:r>
              <w:rPr>
                <w:sz w:val="21"/>
              </w:rPr>
              <w:t>17.67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before="147"/>
              <w:ind w:right="83"/>
              <w:jc w:val="right"/>
              <w:rPr>
                <w:sz w:val="21"/>
              </w:rPr>
            </w:pPr>
            <w:r>
              <w:rPr>
                <w:sz w:val="21"/>
              </w:rPr>
              <w:t>19.12</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before="2"/>
              <w:ind w:left="118" w:right="98"/>
              <w:rPr>
                <w:rFonts w:ascii="宋体" w:eastAsia="宋体" w:hint="eastAsia"/>
                <w:sz w:val="21"/>
              </w:rPr>
            </w:pPr>
            <w:r>
              <w:rPr>
                <w:rFonts w:ascii="宋体" w:eastAsia="宋体" w:hint="eastAsia"/>
                <w:sz w:val="21"/>
              </w:rPr>
              <w:t>减少</w:t>
            </w:r>
            <w:r>
              <w:rPr>
                <w:sz w:val="21"/>
              </w:rPr>
              <w:t>1.45</w:t>
            </w:r>
            <w:r>
              <w:rPr>
                <w:rFonts w:ascii="宋体" w:eastAsia="宋体" w:hint="eastAsia"/>
                <w:sz w:val="21"/>
              </w:rPr>
              <w:t>个百分点</w:t>
            </w:r>
          </w:p>
        </w:tc>
        <w:tc>
          <w:tcPr>
            <w:tcW w:w="1429" w:type="dxa"/>
            <w:tcBorders>
              <w:top w:val="single" w:sz="4" w:space="0" w:color="000000"/>
              <w:left w:val="single" w:sz="4" w:space="0" w:color="000000"/>
              <w:bottom w:val="single" w:sz="4" w:space="0" w:color="000000"/>
            </w:tcBorders>
          </w:tcPr>
          <w:p>
            <w:pPr>
              <w:pStyle w:val="TableParagraph"/>
              <w:spacing w:before="147"/>
              <w:ind w:right="74"/>
              <w:jc w:val="right"/>
              <w:rPr>
                <w:sz w:val="21"/>
              </w:rPr>
            </w:pPr>
            <w:r>
              <w:rPr>
                <w:sz w:val="21"/>
              </w:rPr>
              <w:t>20.88</w:t>
            </w:r>
          </w:p>
        </w:tc>
      </w:tr>
      <w:tr>
        <w:trPr>
          <w:trHeight w:val="541" w:hRule="atLeast"/>
        </w:trPr>
        <w:tc>
          <w:tcPr>
            <w:tcW w:w="3195" w:type="dxa"/>
            <w:tcBorders>
              <w:top w:val="single" w:sz="4" w:space="0" w:color="000000"/>
              <w:right w:val="single" w:sz="4" w:space="0" w:color="000000"/>
            </w:tcBorders>
          </w:tcPr>
          <w:p>
            <w:pPr>
              <w:pStyle w:val="TableParagraph"/>
              <w:spacing w:before="1"/>
              <w:ind w:left="107"/>
              <w:rPr>
                <w:rFonts w:ascii="宋体" w:eastAsia="宋体" w:hint="eastAsia"/>
                <w:sz w:val="21"/>
              </w:rPr>
            </w:pPr>
            <w:r>
              <w:rPr>
                <w:rFonts w:ascii="宋体" w:eastAsia="宋体" w:hint="eastAsia"/>
                <w:sz w:val="21"/>
              </w:rPr>
              <w:t>扣除非经常性损益后的加权平均</w:t>
            </w:r>
          </w:p>
          <w:p>
            <w:pPr>
              <w:pStyle w:val="TableParagraph"/>
              <w:spacing w:line="249" w:lineRule="exact" w:before="2"/>
              <w:ind w:left="107"/>
              <w:rPr>
                <w:rFonts w:ascii="宋体" w:eastAsia="宋体" w:hint="eastAsia"/>
                <w:sz w:val="21"/>
              </w:rPr>
            </w:pPr>
            <w:r>
              <w:rPr>
                <w:rFonts w:ascii="宋体" w:eastAsia="宋体" w:hint="eastAsia"/>
                <w:sz w:val="21"/>
              </w:rPr>
              <w:t>净资产收益率（</w:t>
            </w:r>
            <w:r>
              <w:rPr>
                <w:sz w:val="21"/>
              </w:rPr>
              <w:t>%</w:t>
            </w:r>
            <w:r>
              <w:rPr>
                <w:rFonts w:ascii="宋体" w:eastAsia="宋体" w:hint="eastAsia"/>
                <w:sz w:val="21"/>
              </w:rPr>
              <w:t>）</w:t>
            </w:r>
          </w:p>
        </w:tc>
        <w:tc>
          <w:tcPr>
            <w:tcW w:w="1452" w:type="dxa"/>
            <w:tcBorders>
              <w:top w:val="single" w:sz="4" w:space="0" w:color="000000"/>
              <w:left w:val="single" w:sz="4" w:space="0" w:color="000000"/>
              <w:right w:val="single" w:sz="4" w:space="0" w:color="000000"/>
            </w:tcBorders>
          </w:tcPr>
          <w:p>
            <w:pPr>
              <w:pStyle w:val="TableParagraph"/>
              <w:spacing w:before="144"/>
              <w:ind w:right="83"/>
              <w:jc w:val="right"/>
              <w:rPr>
                <w:sz w:val="21"/>
              </w:rPr>
            </w:pPr>
            <w:r>
              <w:rPr>
                <w:sz w:val="21"/>
              </w:rPr>
              <w:t>12.85</w:t>
            </w:r>
          </w:p>
        </w:tc>
        <w:tc>
          <w:tcPr>
            <w:tcW w:w="1325" w:type="dxa"/>
            <w:tcBorders>
              <w:top w:val="single" w:sz="4" w:space="0" w:color="000000"/>
              <w:left w:val="single" w:sz="4" w:space="0" w:color="000000"/>
              <w:right w:val="single" w:sz="4" w:space="0" w:color="000000"/>
            </w:tcBorders>
          </w:tcPr>
          <w:p>
            <w:pPr>
              <w:pStyle w:val="TableParagraph"/>
              <w:spacing w:before="144"/>
              <w:ind w:right="83"/>
              <w:jc w:val="right"/>
              <w:rPr>
                <w:sz w:val="21"/>
              </w:rPr>
            </w:pPr>
            <w:r>
              <w:rPr>
                <w:sz w:val="21"/>
              </w:rPr>
              <w:t>13.43</w:t>
            </w:r>
          </w:p>
        </w:tc>
        <w:tc>
          <w:tcPr>
            <w:tcW w:w="1649" w:type="dxa"/>
            <w:tcBorders>
              <w:top w:val="single" w:sz="4" w:space="0" w:color="000000"/>
              <w:left w:val="single" w:sz="4" w:space="0" w:color="000000"/>
              <w:right w:val="single" w:sz="4" w:space="0" w:color="000000"/>
            </w:tcBorders>
          </w:tcPr>
          <w:p>
            <w:pPr>
              <w:pStyle w:val="TableParagraph"/>
              <w:spacing w:before="1"/>
              <w:ind w:left="118"/>
              <w:rPr>
                <w:rFonts w:ascii="宋体" w:eastAsia="宋体" w:hint="eastAsia"/>
                <w:sz w:val="21"/>
              </w:rPr>
            </w:pPr>
            <w:r>
              <w:rPr>
                <w:rFonts w:ascii="宋体" w:eastAsia="宋体" w:hint="eastAsia"/>
                <w:sz w:val="21"/>
              </w:rPr>
              <w:t>减少</w:t>
            </w:r>
            <w:r>
              <w:rPr>
                <w:sz w:val="21"/>
              </w:rPr>
              <w:t>0.58</w:t>
            </w:r>
            <w:r>
              <w:rPr>
                <w:rFonts w:ascii="宋体" w:eastAsia="宋体" w:hint="eastAsia"/>
                <w:sz w:val="21"/>
              </w:rPr>
              <w:t>个百分</w:t>
            </w:r>
          </w:p>
          <w:p>
            <w:pPr>
              <w:pStyle w:val="TableParagraph"/>
              <w:spacing w:line="249" w:lineRule="exact" w:before="2"/>
              <w:ind w:left="118"/>
              <w:rPr>
                <w:rFonts w:ascii="宋体" w:eastAsia="宋体" w:hint="eastAsia"/>
                <w:sz w:val="21"/>
              </w:rPr>
            </w:pPr>
            <w:r>
              <w:rPr>
                <w:rFonts w:ascii="宋体" w:eastAsia="宋体" w:hint="eastAsia"/>
                <w:w w:val="100"/>
                <w:sz w:val="21"/>
              </w:rPr>
              <w:t>点</w:t>
            </w:r>
          </w:p>
        </w:tc>
        <w:tc>
          <w:tcPr>
            <w:tcW w:w="1429" w:type="dxa"/>
            <w:tcBorders>
              <w:top w:val="single" w:sz="4" w:space="0" w:color="000000"/>
              <w:left w:val="single" w:sz="4" w:space="0" w:color="000000"/>
            </w:tcBorders>
          </w:tcPr>
          <w:p>
            <w:pPr>
              <w:pStyle w:val="TableParagraph"/>
              <w:spacing w:before="144"/>
              <w:ind w:right="74"/>
              <w:jc w:val="right"/>
              <w:rPr>
                <w:sz w:val="21"/>
              </w:rPr>
            </w:pPr>
            <w:r>
              <w:rPr>
                <w:sz w:val="21"/>
              </w:rPr>
              <w:t>18.63</w:t>
            </w:r>
          </w:p>
        </w:tc>
      </w:tr>
    </w:tbl>
    <w:p>
      <w:pPr>
        <w:pStyle w:val="BodyText"/>
        <w:spacing w:before="3"/>
        <w:ind w:left="237"/>
      </w:pPr>
      <w:r>
        <w:rPr>
          <w:w w:val="100"/>
        </w:rPr>
        <w:t> </w:t>
      </w:r>
    </w:p>
    <w:p>
      <w:pPr>
        <w:pStyle w:val="BodyText"/>
        <w:spacing w:before="5"/>
        <w:ind w:left="237"/>
      </w:pPr>
      <w:r>
        <w:rPr/>
        <w:t>报告期末公司前三年主要会计数据和财务指标的说明</w:t>
      </w:r>
    </w:p>
    <w:p>
      <w:pPr>
        <w:pStyle w:val="BodyText"/>
        <w:spacing w:before="139"/>
        <w:ind w:left="662"/>
      </w:pPr>
      <w:r>
        <w:rPr/>
        <w:t>□适用 √不适用</w:t>
      </w:r>
    </w:p>
    <w:p>
      <w:pPr>
        <w:pStyle w:val="BodyText"/>
        <w:spacing w:before="1"/>
        <w:rPr>
          <w:sz w:val="29"/>
        </w:rPr>
      </w:pPr>
    </w:p>
    <w:p>
      <w:pPr>
        <w:pStyle w:val="Heading4"/>
        <w:ind w:left="237"/>
      </w:pPr>
      <w:r>
        <w:rPr/>
        <w:t>八、 境内外会计准则下会计数据差异</w:t>
      </w:r>
    </w:p>
    <w:p>
      <w:pPr>
        <w:pStyle w:val="Heading4"/>
        <w:spacing w:line="254" w:lineRule="auto" w:before="82"/>
        <w:ind w:left="657" w:right="1030" w:hanging="420"/>
      </w:pPr>
      <w:r>
        <w:rPr>
          <w:rFonts w:ascii="Times New Roman" w:eastAsia="Times New Roman"/>
        </w:rPr>
        <w:t>(</w:t>
      </w:r>
      <w:r>
        <w:rPr/>
        <w:t>一</w:t>
      </w:r>
      <w:r>
        <w:rPr>
          <w:rFonts w:ascii="Times New Roman" w:eastAsia="Times New Roman"/>
        </w:rPr>
        <w:t>) </w:t>
      </w:r>
      <w:r>
        <w:rPr/>
        <w:t>同时按照国际会计准则与按中国会计准则披露的财务报告中净利润和归属于上市公司股东的净资产差异情况</w:t>
      </w:r>
    </w:p>
    <w:p>
      <w:pPr>
        <w:pStyle w:val="BodyText"/>
        <w:spacing w:before="126"/>
        <w:ind w:left="662"/>
      </w:pPr>
      <w:r>
        <w:rPr/>
        <w:t>□适用 √不适用</w:t>
      </w:r>
    </w:p>
    <w:p>
      <w:pPr>
        <w:spacing w:after="0"/>
        <w:sectPr>
          <w:type w:val="continuous"/>
          <w:pgSz w:w="11910" w:h="16840"/>
          <w:pgMar w:top="1360" w:bottom="1400" w:left="1040" w:right="760"/>
        </w:sectPr>
      </w:pPr>
    </w:p>
    <w:p>
      <w:pPr>
        <w:pStyle w:val="BodyText"/>
        <w:spacing w:line="364" w:lineRule="auto" w:before="68"/>
        <w:ind w:left="237" w:right="1034" w:firstLine="424"/>
      </w:pPr>
      <w:r>
        <w:rPr/>
        <w:t>公司按照国际会计准则和按照中国会计准则披露的合并财务报表中所列示的净利润和归属于上市公司股东的净资产无差异。</w:t>
      </w:r>
    </w:p>
    <w:p>
      <w:pPr>
        <w:pStyle w:val="Heading4"/>
        <w:spacing w:line="254" w:lineRule="auto"/>
        <w:ind w:left="604" w:right="1037" w:hanging="368"/>
      </w:pPr>
      <w:r>
        <w:rPr>
          <w:rFonts w:ascii="Times New Roman" w:eastAsia="Times New Roman"/>
        </w:rPr>
        <w:t>(</w:t>
      </w:r>
      <w:r>
        <w:rPr/>
        <w:t>二</w:t>
      </w:r>
      <w:r>
        <w:rPr>
          <w:rFonts w:ascii="Times New Roman" w:eastAsia="Times New Roman"/>
        </w:rPr>
        <w:t>)</w:t>
      </w:r>
      <w:r>
        <w:rPr/>
        <w:t>同时按照境外会计准则与按中国会计准则披露的财务报告中净利润和归属于上市公司股东的净资产差异情况</w:t>
      </w:r>
    </w:p>
    <w:p>
      <w:pPr>
        <w:pStyle w:val="BodyText"/>
        <w:spacing w:before="118"/>
        <w:ind w:left="662"/>
      </w:pPr>
      <w:r>
        <w:rPr/>
        <w:t>□适用 √不适用</w:t>
      </w:r>
    </w:p>
    <w:p>
      <w:pPr>
        <w:pStyle w:val="BodyText"/>
        <w:spacing w:before="139"/>
        <w:ind w:left="662"/>
      </w:pPr>
      <w:r>
        <w:rPr/>
        <w:t>除按照国际会计准则编制的财务报告外，公司未按照其他境外会计准则编制的财务报告。</w:t>
      </w:r>
    </w:p>
    <w:p>
      <w:pPr>
        <w:pStyle w:val="Heading4"/>
        <w:spacing w:before="130"/>
        <w:ind w:left="237"/>
      </w:pPr>
      <w:r>
        <w:rPr>
          <w:rFonts w:ascii="Times New Roman" w:eastAsia="Times New Roman"/>
        </w:rPr>
        <w:t>(</w:t>
      </w:r>
      <w:r>
        <w:rPr/>
        <w:t>三</w:t>
      </w:r>
      <w:r>
        <w:rPr>
          <w:rFonts w:ascii="Times New Roman" w:eastAsia="Times New Roman"/>
        </w:rPr>
        <w:t>) </w:t>
      </w:r>
      <w:r>
        <w:rPr/>
        <w:t>境内外会计准则差异的说明：</w:t>
      </w:r>
    </w:p>
    <w:p>
      <w:pPr>
        <w:pStyle w:val="BodyText"/>
        <w:spacing w:before="153"/>
        <w:ind w:left="662"/>
      </w:pPr>
      <w:r>
        <w:rPr/>
        <w:t>□适用 √不适用</w:t>
      </w:r>
    </w:p>
    <w:p>
      <w:pPr>
        <w:pStyle w:val="BodyText"/>
        <w:spacing w:before="3"/>
        <w:rPr>
          <w:sz w:val="28"/>
        </w:rPr>
      </w:pPr>
    </w:p>
    <w:p>
      <w:pPr>
        <w:spacing w:after="0"/>
        <w:rPr>
          <w:sz w:val="28"/>
        </w:rPr>
        <w:sectPr>
          <w:headerReference w:type="default" r:id="rId22"/>
          <w:footerReference w:type="default" r:id="rId23"/>
          <w:pgSz w:w="11910" w:h="16840"/>
          <w:pgMar w:header="874" w:footer="1214" w:top="1360" w:bottom="1400" w:left="1040" w:right="760"/>
          <w:pgNumType w:start="2"/>
        </w:sectPr>
      </w:pPr>
    </w:p>
    <w:p>
      <w:pPr>
        <w:pStyle w:val="Heading4"/>
        <w:spacing w:before="9"/>
        <w:ind w:left="237"/>
      </w:pPr>
      <w:r>
        <w:rPr/>
        <w:t>九、 </w:t>
      </w:r>
      <w:r>
        <w:rPr>
          <w:rFonts w:ascii="Times New Roman" w:eastAsia="Times New Roman"/>
        </w:rPr>
        <w:t>2020 </w:t>
      </w:r>
      <w:r>
        <w:rPr/>
        <w:t>年分季度主要财务数据</w:t>
      </w:r>
    </w:p>
    <w:p>
      <w:pPr>
        <w:pStyle w:val="BodyText"/>
        <w:spacing w:before="7"/>
        <w:rPr>
          <w:rFonts w:ascii="Microsoft JhengHei"/>
          <w:b/>
          <w:sz w:val="22"/>
        </w:rPr>
      </w:pPr>
      <w:r>
        <w:rPr/>
        <w:br w:type="column"/>
      </w:r>
      <w:r>
        <w:rPr>
          <w:rFonts w:ascii="Microsoft JhengHei"/>
          <w:b/>
          <w:sz w:val="22"/>
        </w:rPr>
      </w:r>
    </w:p>
    <w:p>
      <w:pPr>
        <w:pStyle w:val="BodyText"/>
        <w:tabs>
          <w:tab w:pos="1288" w:val="left" w:leader="none"/>
        </w:tabs>
        <w:ind w:left="237"/>
      </w:pPr>
      <w:r>
        <w:rPr/>
        <w:t>单位</w:t>
      </w:r>
      <w:r>
        <w:rPr>
          <w:spacing w:val="-3"/>
        </w:rPr>
        <w:t>：</w:t>
      </w:r>
      <w:r>
        <w:rPr/>
        <w:t>元</w:t>
        <w:tab/>
        <w:t>币</w:t>
      </w:r>
      <w:r>
        <w:rPr>
          <w:spacing w:val="-3"/>
        </w:rPr>
        <w:t>种</w:t>
      </w:r>
      <w:r>
        <w:rPr/>
        <w:t>：</w:t>
      </w:r>
      <w:r>
        <w:rPr>
          <w:spacing w:val="-3"/>
        </w:rPr>
        <w:t>人</w:t>
      </w:r>
      <w:r>
        <w:rPr/>
        <w:t>民币</w:t>
      </w:r>
    </w:p>
    <w:p>
      <w:pPr>
        <w:spacing w:after="0"/>
        <w:sectPr>
          <w:type w:val="continuous"/>
          <w:pgSz w:w="11910" w:h="16840"/>
          <w:pgMar w:top="1360" w:bottom="1400" w:left="1040" w:right="760"/>
          <w:cols w:num="2" w:equalWidth="0">
            <w:col w:w="3357" w:space="3165"/>
            <w:col w:w="3588"/>
          </w:cols>
        </w:sectPr>
      </w:pPr>
    </w:p>
    <w:tbl>
      <w:tblPr>
        <w:tblW w:w="0" w:type="auto"/>
        <w:jc w:val="left"/>
        <w:tblInd w:w="14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405"/>
        <w:gridCol w:w="1844"/>
        <w:gridCol w:w="1815"/>
        <w:gridCol w:w="1844"/>
        <w:gridCol w:w="1841"/>
      </w:tblGrid>
      <w:tr>
        <w:trPr>
          <w:trHeight w:val="546" w:hRule="atLeast"/>
        </w:trPr>
        <w:tc>
          <w:tcPr>
            <w:tcW w:w="2405" w:type="dxa"/>
            <w:tcBorders>
              <w:bottom w:val="single" w:sz="4" w:space="0" w:color="000000"/>
              <w:right w:val="single" w:sz="4" w:space="0" w:color="000000"/>
            </w:tcBorders>
            <w:shd w:val="clear" w:color="auto" w:fill="EDEBE0"/>
          </w:tcPr>
          <w:p>
            <w:pPr>
              <w:pStyle w:val="TableParagraph"/>
              <w:rPr>
                <w:sz w:val="20"/>
              </w:rPr>
            </w:pPr>
          </w:p>
        </w:tc>
        <w:tc>
          <w:tcPr>
            <w:tcW w:w="1844" w:type="dxa"/>
            <w:tcBorders>
              <w:left w:val="single" w:sz="4" w:space="0" w:color="000000"/>
              <w:bottom w:val="single" w:sz="4" w:space="0" w:color="000000"/>
              <w:right w:val="single" w:sz="4" w:space="0" w:color="000000"/>
            </w:tcBorders>
            <w:shd w:val="clear" w:color="auto" w:fill="EDEBE0"/>
          </w:tcPr>
          <w:p>
            <w:pPr>
              <w:pStyle w:val="TableParagraph"/>
              <w:spacing w:before="3"/>
              <w:ind w:left="42" w:right="10"/>
              <w:jc w:val="center"/>
              <w:rPr>
                <w:rFonts w:ascii="宋体" w:eastAsia="宋体" w:hint="eastAsia"/>
                <w:sz w:val="21"/>
              </w:rPr>
            </w:pPr>
            <w:r>
              <w:rPr>
                <w:rFonts w:ascii="宋体" w:eastAsia="宋体" w:hint="eastAsia"/>
                <w:sz w:val="21"/>
              </w:rPr>
              <w:t>第一季度</w:t>
            </w:r>
          </w:p>
          <w:p>
            <w:pPr>
              <w:pStyle w:val="TableParagraph"/>
              <w:spacing w:line="252" w:lineRule="exact" w:before="2"/>
              <w:ind w:left="41" w:right="12"/>
              <w:jc w:val="center"/>
              <w:rPr>
                <w:rFonts w:ascii="宋体" w:eastAsia="宋体" w:hint="eastAsia"/>
                <w:sz w:val="21"/>
              </w:rPr>
            </w:pPr>
            <w:r>
              <w:rPr>
                <w:rFonts w:ascii="宋体" w:eastAsia="宋体" w:hint="eastAsia"/>
                <w:sz w:val="21"/>
              </w:rPr>
              <w:t>（</w:t>
            </w:r>
            <w:r>
              <w:rPr>
                <w:sz w:val="21"/>
              </w:rPr>
              <w:t>1-3 </w:t>
            </w:r>
            <w:r>
              <w:rPr>
                <w:rFonts w:ascii="宋体" w:eastAsia="宋体" w:hint="eastAsia"/>
                <w:sz w:val="21"/>
              </w:rPr>
              <w:t>月份）</w:t>
            </w:r>
          </w:p>
        </w:tc>
        <w:tc>
          <w:tcPr>
            <w:tcW w:w="1815" w:type="dxa"/>
            <w:tcBorders>
              <w:left w:val="single" w:sz="4" w:space="0" w:color="000000"/>
              <w:bottom w:val="single" w:sz="4" w:space="0" w:color="000000"/>
              <w:right w:val="single" w:sz="4" w:space="0" w:color="000000"/>
            </w:tcBorders>
            <w:shd w:val="clear" w:color="auto" w:fill="EDEBE0"/>
          </w:tcPr>
          <w:p>
            <w:pPr>
              <w:pStyle w:val="TableParagraph"/>
              <w:spacing w:before="3"/>
              <w:ind w:left="98" w:right="68"/>
              <w:jc w:val="center"/>
              <w:rPr>
                <w:rFonts w:ascii="宋体" w:eastAsia="宋体" w:hint="eastAsia"/>
                <w:sz w:val="21"/>
              </w:rPr>
            </w:pPr>
            <w:r>
              <w:rPr>
                <w:rFonts w:ascii="宋体" w:eastAsia="宋体" w:hint="eastAsia"/>
                <w:sz w:val="21"/>
              </w:rPr>
              <w:t>第二季度</w:t>
            </w:r>
          </w:p>
          <w:p>
            <w:pPr>
              <w:pStyle w:val="TableParagraph"/>
              <w:spacing w:line="252" w:lineRule="exact" w:before="2"/>
              <w:ind w:left="96" w:right="68"/>
              <w:jc w:val="center"/>
              <w:rPr>
                <w:rFonts w:ascii="宋体" w:eastAsia="宋体" w:hint="eastAsia"/>
                <w:sz w:val="21"/>
              </w:rPr>
            </w:pPr>
            <w:r>
              <w:rPr>
                <w:rFonts w:ascii="宋体" w:eastAsia="宋体" w:hint="eastAsia"/>
                <w:sz w:val="21"/>
              </w:rPr>
              <w:t>（</w:t>
            </w:r>
            <w:r>
              <w:rPr>
                <w:sz w:val="21"/>
              </w:rPr>
              <w:t>4-6 </w:t>
            </w:r>
            <w:r>
              <w:rPr>
                <w:rFonts w:ascii="宋体" w:eastAsia="宋体" w:hint="eastAsia"/>
                <w:sz w:val="21"/>
              </w:rPr>
              <w:t>月份）</w:t>
            </w:r>
          </w:p>
        </w:tc>
        <w:tc>
          <w:tcPr>
            <w:tcW w:w="1844" w:type="dxa"/>
            <w:tcBorders>
              <w:left w:val="single" w:sz="4" w:space="0" w:color="000000"/>
              <w:bottom w:val="single" w:sz="4" w:space="0" w:color="000000"/>
              <w:right w:val="single" w:sz="4" w:space="0" w:color="000000"/>
            </w:tcBorders>
            <w:shd w:val="clear" w:color="auto" w:fill="EDEBE0"/>
          </w:tcPr>
          <w:p>
            <w:pPr>
              <w:pStyle w:val="TableParagraph"/>
              <w:spacing w:before="3"/>
              <w:ind w:left="37" w:right="12"/>
              <w:jc w:val="center"/>
              <w:rPr>
                <w:rFonts w:ascii="宋体" w:eastAsia="宋体" w:hint="eastAsia"/>
                <w:sz w:val="21"/>
              </w:rPr>
            </w:pPr>
            <w:r>
              <w:rPr>
                <w:rFonts w:ascii="宋体" w:eastAsia="宋体" w:hint="eastAsia"/>
                <w:sz w:val="21"/>
              </w:rPr>
              <w:t>第三季度</w:t>
            </w:r>
          </w:p>
          <w:p>
            <w:pPr>
              <w:pStyle w:val="TableParagraph"/>
              <w:spacing w:line="252" w:lineRule="exact" w:before="2"/>
              <w:ind w:left="34" w:right="12"/>
              <w:jc w:val="center"/>
              <w:rPr>
                <w:rFonts w:ascii="宋体" w:eastAsia="宋体" w:hint="eastAsia"/>
                <w:sz w:val="21"/>
              </w:rPr>
            </w:pPr>
            <w:r>
              <w:rPr>
                <w:rFonts w:ascii="宋体" w:eastAsia="宋体" w:hint="eastAsia"/>
                <w:sz w:val="21"/>
              </w:rPr>
              <w:t>（</w:t>
            </w:r>
            <w:r>
              <w:rPr>
                <w:sz w:val="21"/>
              </w:rPr>
              <w:t>7-9 </w:t>
            </w:r>
            <w:r>
              <w:rPr>
                <w:rFonts w:ascii="宋体" w:eastAsia="宋体" w:hint="eastAsia"/>
                <w:sz w:val="21"/>
              </w:rPr>
              <w:t>月份）</w:t>
            </w:r>
          </w:p>
        </w:tc>
        <w:tc>
          <w:tcPr>
            <w:tcW w:w="1841" w:type="dxa"/>
            <w:tcBorders>
              <w:left w:val="single" w:sz="4" w:space="0" w:color="000000"/>
              <w:bottom w:val="single" w:sz="4" w:space="0" w:color="000000"/>
            </w:tcBorders>
            <w:shd w:val="clear" w:color="auto" w:fill="EDEBE0"/>
          </w:tcPr>
          <w:p>
            <w:pPr>
              <w:pStyle w:val="TableParagraph"/>
              <w:spacing w:before="3"/>
              <w:ind w:left="217" w:right="180"/>
              <w:jc w:val="center"/>
              <w:rPr>
                <w:rFonts w:ascii="宋体" w:eastAsia="宋体" w:hint="eastAsia"/>
                <w:sz w:val="21"/>
              </w:rPr>
            </w:pPr>
            <w:r>
              <w:rPr>
                <w:rFonts w:ascii="宋体" w:eastAsia="宋体" w:hint="eastAsia"/>
                <w:sz w:val="21"/>
              </w:rPr>
              <w:t>第四季度</w:t>
            </w:r>
          </w:p>
          <w:p>
            <w:pPr>
              <w:pStyle w:val="TableParagraph"/>
              <w:spacing w:line="252" w:lineRule="exact" w:before="2"/>
              <w:ind w:left="217" w:right="180"/>
              <w:jc w:val="center"/>
              <w:rPr>
                <w:rFonts w:ascii="宋体" w:eastAsia="宋体" w:hint="eastAsia"/>
                <w:sz w:val="21"/>
              </w:rPr>
            </w:pPr>
            <w:r>
              <w:rPr>
                <w:rFonts w:ascii="宋体" w:eastAsia="宋体" w:hint="eastAsia"/>
                <w:sz w:val="21"/>
              </w:rPr>
              <w:t>（</w:t>
            </w:r>
            <w:r>
              <w:rPr>
                <w:sz w:val="21"/>
              </w:rPr>
              <w:t>10-12 </w:t>
            </w:r>
            <w:r>
              <w:rPr>
                <w:rFonts w:ascii="宋体" w:eastAsia="宋体" w:hint="eastAsia"/>
                <w:sz w:val="21"/>
              </w:rPr>
              <w:t>月份）</w:t>
            </w:r>
          </w:p>
        </w:tc>
      </w:tr>
      <w:tr>
        <w:trPr>
          <w:trHeight w:val="270" w:hRule="atLeast"/>
        </w:trPr>
        <w:tc>
          <w:tcPr>
            <w:tcW w:w="2405"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营业收入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before="7"/>
              <w:ind w:right="84"/>
              <w:jc w:val="right"/>
              <w:rPr>
                <w:sz w:val="21"/>
              </w:rPr>
            </w:pPr>
            <w:r>
              <w:rPr>
                <w:sz w:val="21"/>
              </w:rPr>
              <w:t>43,141,448,203.28</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before="7"/>
              <w:ind w:left="122" w:right="68"/>
              <w:jc w:val="center"/>
              <w:rPr>
                <w:sz w:val="21"/>
              </w:rPr>
            </w:pPr>
            <w:r>
              <w:rPr>
                <w:sz w:val="21"/>
              </w:rPr>
              <w:t>52,586,648,903.37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before="7"/>
              <w:ind w:right="87"/>
              <w:jc w:val="right"/>
              <w:rPr>
                <w:sz w:val="21"/>
              </w:rPr>
            </w:pPr>
            <w:r>
              <w:rPr>
                <w:sz w:val="21"/>
              </w:rPr>
              <w:t>58,683,716,582.79</w:t>
            </w:r>
          </w:p>
        </w:tc>
        <w:tc>
          <w:tcPr>
            <w:tcW w:w="1841" w:type="dxa"/>
            <w:tcBorders>
              <w:top w:val="single" w:sz="4" w:space="0" w:color="000000"/>
              <w:left w:val="single" w:sz="4" w:space="0" w:color="000000"/>
              <w:bottom w:val="single" w:sz="4" w:space="0" w:color="000000"/>
            </w:tcBorders>
          </w:tcPr>
          <w:p>
            <w:pPr>
              <w:pStyle w:val="TableParagraph"/>
              <w:spacing w:before="7"/>
              <w:ind w:right="74"/>
              <w:jc w:val="right"/>
              <w:rPr>
                <w:sz w:val="21"/>
              </w:rPr>
            </w:pPr>
            <w:r>
              <w:rPr>
                <w:sz w:val="21"/>
              </w:rPr>
              <w:t>55,314,007,410.00</w:t>
            </w:r>
          </w:p>
        </w:tc>
      </w:tr>
      <w:tr>
        <w:trPr>
          <w:trHeight w:val="546" w:hRule="atLeast"/>
        </w:trPr>
        <w:tc>
          <w:tcPr>
            <w:tcW w:w="2405" w:type="dxa"/>
            <w:tcBorders>
              <w:top w:val="single" w:sz="4" w:space="0" w:color="000000"/>
              <w:bottom w:val="single" w:sz="4" w:space="0" w:color="000000"/>
              <w:right w:val="single" w:sz="4" w:space="0" w:color="000000"/>
            </w:tcBorders>
          </w:tcPr>
          <w:p>
            <w:pPr>
              <w:pStyle w:val="TableParagraph"/>
              <w:spacing w:line="270" w:lineRule="atLeast" w:before="2"/>
              <w:ind w:left="107" w:right="172"/>
              <w:rPr>
                <w:rFonts w:ascii="宋体" w:eastAsia="宋体" w:hint="eastAsia"/>
                <w:sz w:val="21"/>
              </w:rPr>
            </w:pPr>
            <w:r>
              <w:rPr>
                <w:rFonts w:ascii="宋体" w:eastAsia="宋体" w:hint="eastAsia"/>
                <w:sz w:val="21"/>
              </w:rPr>
              <w:t>归属于上市公司股东的净利润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before="147"/>
              <w:ind w:right="84"/>
              <w:jc w:val="right"/>
              <w:rPr>
                <w:sz w:val="21"/>
              </w:rPr>
            </w:pPr>
            <w:r>
              <w:rPr>
                <w:sz w:val="21"/>
              </w:rPr>
              <w:t>1,070,333,404.45</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before="147"/>
              <w:ind w:left="225" w:right="68"/>
              <w:jc w:val="center"/>
              <w:rPr>
                <w:sz w:val="21"/>
              </w:rPr>
            </w:pPr>
            <w:r>
              <w:rPr>
                <w:sz w:val="21"/>
              </w:rPr>
              <w:t>1,710,467,308.27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before="147"/>
              <w:ind w:right="87"/>
              <w:jc w:val="right"/>
              <w:rPr>
                <w:sz w:val="21"/>
              </w:rPr>
            </w:pPr>
            <w:r>
              <w:rPr>
                <w:sz w:val="21"/>
              </w:rPr>
              <w:t>3,519,706,790.82</w:t>
            </w:r>
          </w:p>
        </w:tc>
        <w:tc>
          <w:tcPr>
            <w:tcW w:w="1841" w:type="dxa"/>
            <w:tcBorders>
              <w:top w:val="single" w:sz="4" w:space="0" w:color="000000"/>
              <w:left w:val="single" w:sz="4" w:space="0" w:color="000000"/>
              <w:bottom w:val="single" w:sz="4" w:space="0" w:color="000000"/>
            </w:tcBorders>
          </w:tcPr>
          <w:p>
            <w:pPr>
              <w:pStyle w:val="TableParagraph"/>
              <w:spacing w:before="147"/>
              <w:ind w:right="74"/>
              <w:jc w:val="right"/>
              <w:rPr>
                <w:sz w:val="21"/>
              </w:rPr>
            </w:pPr>
            <w:r>
              <w:rPr>
                <w:sz w:val="21"/>
              </w:rPr>
              <w:t>2,576,085,704.65</w:t>
            </w:r>
          </w:p>
        </w:tc>
      </w:tr>
      <w:tr>
        <w:trPr>
          <w:trHeight w:val="815" w:hRule="atLeast"/>
        </w:trPr>
        <w:tc>
          <w:tcPr>
            <w:tcW w:w="2405" w:type="dxa"/>
            <w:tcBorders>
              <w:top w:val="single" w:sz="4" w:space="0" w:color="000000"/>
              <w:bottom w:val="single" w:sz="4" w:space="0" w:color="000000"/>
              <w:right w:val="single" w:sz="4" w:space="0" w:color="000000"/>
            </w:tcBorders>
          </w:tcPr>
          <w:p>
            <w:pPr>
              <w:pStyle w:val="TableParagraph"/>
              <w:spacing w:line="242" w:lineRule="auto" w:before="1"/>
              <w:ind w:left="107" w:right="172"/>
              <w:rPr>
                <w:rFonts w:ascii="宋体" w:eastAsia="宋体" w:hint="eastAsia"/>
                <w:sz w:val="21"/>
              </w:rPr>
            </w:pPr>
            <w:r>
              <w:rPr>
                <w:rFonts w:ascii="宋体" w:eastAsia="宋体" w:hint="eastAsia"/>
                <w:sz w:val="21"/>
              </w:rPr>
              <w:t>归属于上市公司股东的扣除非经常性损益后的</w:t>
            </w:r>
          </w:p>
          <w:p>
            <w:pPr>
              <w:pStyle w:val="TableParagraph"/>
              <w:spacing w:line="250" w:lineRule="exact" w:before="1"/>
              <w:ind w:left="107"/>
              <w:rPr>
                <w:rFonts w:ascii="宋体" w:eastAsia="宋体" w:hint="eastAsia"/>
                <w:sz w:val="21"/>
              </w:rPr>
            </w:pPr>
            <w:r>
              <w:rPr>
                <w:rFonts w:ascii="宋体" w:eastAsia="宋体" w:hint="eastAsia"/>
                <w:sz w:val="21"/>
              </w:rPr>
              <w:t>净利润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before="12"/>
              <w:rPr>
                <w:rFonts w:ascii="宋体"/>
                <w:sz w:val="21"/>
              </w:rPr>
            </w:pPr>
          </w:p>
          <w:p>
            <w:pPr>
              <w:pStyle w:val="TableParagraph"/>
              <w:ind w:right="84"/>
              <w:jc w:val="right"/>
              <w:rPr>
                <w:sz w:val="21"/>
              </w:rPr>
            </w:pPr>
            <w:r>
              <w:rPr>
                <w:sz w:val="21"/>
              </w:rPr>
              <w:t>943,123,999.14</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before="12"/>
              <w:rPr>
                <w:rFonts w:ascii="宋体"/>
                <w:sz w:val="21"/>
              </w:rPr>
            </w:pPr>
          </w:p>
          <w:p>
            <w:pPr>
              <w:pStyle w:val="TableParagraph"/>
              <w:ind w:left="225" w:right="68"/>
              <w:jc w:val="center"/>
              <w:rPr>
                <w:sz w:val="21"/>
              </w:rPr>
            </w:pPr>
            <w:r>
              <w:rPr>
                <w:sz w:val="21"/>
              </w:rPr>
              <w:t>1,626,316,498.45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before="12"/>
              <w:rPr>
                <w:rFonts w:ascii="宋体"/>
                <w:sz w:val="21"/>
              </w:rPr>
            </w:pPr>
          </w:p>
          <w:p>
            <w:pPr>
              <w:pStyle w:val="TableParagraph"/>
              <w:ind w:right="87"/>
              <w:jc w:val="right"/>
              <w:rPr>
                <w:sz w:val="21"/>
              </w:rPr>
            </w:pPr>
            <w:r>
              <w:rPr>
                <w:sz w:val="21"/>
              </w:rPr>
              <w:t>1,522,917,638.14</w:t>
            </w:r>
          </w:p>
        </w:tc>
        <w:tc>
          <w:tcPr>
            <w:tcW w:w="1841" w:type="dxa"/>
            <w:tcBorders>
              <w:top w:val="single" w:sz="4" w:space="0" w:color="000000"/>
              <w:left w:val="single" w:sz="4" w:space="0" w:color="000000"/>
              <w:bottom w:val="single" w:sz="4" w:space="0" w:color="000000"/>
            </w:tcBorders>
          </w:tcPr>
          <w:p>
            <w:pPr>
              <w:pStyle w:val="TableParagraph"/>
              <w:spacing w:before="12"/>
              <w:rPr>
                <w:rFonts w:ascii="宋体"/>
                <w:sz w:val="21"/>
              </w:rPr>
            </w:pPr>
          </w:p>
          <w:p>
            <w:pPr>
              <w:pStyle w:val="TableParagraph"/>
              <w:ind w:right="74"/>
              <w:jc w:val="right"/>
              <w:rPr>
                <w:sz w:val="21"/>
              </w:rPr>
            </w:pPr>
            <w:r>
              <w:rPr>
                <w:sz w:val="21"/>
              </w:rPr>
              <w:t>2,365,455,199.64</w:t>
            </w:r>
          </w:p>
        </w:tc>
      </w:tr>
      <w:tr>
        <w:trPr>
          <w:trHeight w:val="544" w:hRule="atLeast"/>
        </w:trPr>
        <w:tc>
          <w:tcPr>
            <w:tcW w:w="2405" w:type="dxa"/>
            <w:tcBorders>
              <w:top w:val="single" w:sz="4" w:space="0" w:color="000000"/>
              <w:right w:val="single" w:sz="4" w:space="0" w:color="000000"/>
            </w:tcBorders>
          </w:tcPr>
          <w:p>
            <w:pPr>
              <w:pStyle w:val="TableParagraph"/>
              <w:spacing w:before="1"/>
              <w:ind w:left="107"/>
              <w:rPr>
                <w:rFonts w:ascii="宋体" w:eastAsia="宋体" w:hint="eastAsia"/>
                <w:sz w:val="21"/>
              </w:rPr>
            </w:pPr>
            <w:r>
              <w:rPr>
                <w:rFonts w:ascii="宋体" w:eastAsia="宋体" w:hint="eastAsia"/>
                <w:sz w:val="21"/>
              </w:rPr>
              <w:t>经营活动产生的现金流</w:t>
            </w:r>
          </w:p>
          <w:p>
            <w:pPr>
              <w:pStyle w:val="TableParagraph"/>
              <w:spacing w:line="249" w:lineRule="exact" w:before="4"/>
              <w:ind w:left="107"/>
              <w:rPr>
                <w:rFonts w:ascii="宋体" w:eastAsia="宋体" w:hint="eastAsia"/>
                <w:sz w:val="21"/>
              </w:rPr>
            </w:pPr>
            <w:r>
              <w:rPr>
                <w:rFonts w:ascii="宋体" w:eastAsia="宋体" w:hint="eastAsia"/>
                <w:sz w:val="21"/>
              </w:rPr>
              <w:t>量净额</w:t>
            </w:r>
          </w:p>
        </w:tc>
        <w:tc>
          <w:tcPr>
            <w:tcW w:w="1844" w:type="dxa"/>
            <w:tcBorders>
              <w:top w:val="single" w:sz="4" w:space="0" w:color="000000"/>
              <w:left w:val="single" w:sz="4" w:space="0" w:color="000000"/>
              <w:right w:val="single" w:sz="4" w:space="0" w:color="000000"/>
            </w:tcBorders>
          </w:tcPr>
          <w:p>
            <w:pPr>
              <w:pStyle w:val="TableParagraph"/>
              <w:spacing w:before="144"/>
              <w:ind w:right="84"/>
              <w:jc w:val="right"/>
              <w:rPr>
                <w:sz w:val="21"/>
              </w:rPr>
            </w:pPr>
            <w:r>
              <w:rPr>
                <w:sz w:val="21"/>
              </w:rPr>
              <w:t>-5,787,626,102.33</w:t>
            </w:r>
          </w:p>
        </w:tc>
        <w:tc>
          <w:tcPr>
            <w:tcW w:w="1815" w:type="dxa"/>
            <w:tcBorders>
              <w:top w:val="single" w:sz="4" w:space="0" w:color="000000"/>
              <w:left w:val="single" w:sz="4" w:space="0" w:color="000000"/>
              <w:right w:val="single" w:sz="4" w:space="0" w:color="000000"/>
            </w:tcBorders>
          </w:tcPr>
          <w:p>
            <w:pPr>
              <w:pStyle w:val="TableParagraph"/>
              <w:spacing w:before="144"/>
              <w:ind w:left="225" w:right="68"/>
              <w:jc w:val="center"/>
              <w:rPr>
                <w:sz w:val="21"/>
              </w:rPr>
            </w:pPr>
            <w:r>
              <w:rPr>
                <w:sz w:val="21"/>
              </w:rPr>
              <w:t>5,244,706,844.93</w:t>
            </w:r>
          </w:p>
        </w:tc>
        <w:tc>
          <w:tcPr>
            <w:tcW w:w="1844" w:type="dxa"/>
            <w:tcBorders>
              <w:top w:val="single" w:sz="4" w:space="0" w:color="000000"/>
              <w:left w:val="single" w:sz="4" w:space="0" w:color="000000"/>
              <w:right w:val="single" w:sz="4" w:space="0" w:color="000000"/>
            </w:tcBorders>
          </w:tcPr>
          <w:p>
            <w:pPr>
              <w:pStyle w:val="TableParagraph"/>
              <w:spacing w:before="144"/>
              <w:ind w:right="87"/>
              <w:jc w:val="right"/>
              <w:rPr>
                <w:sz w:val="21"/>
              </w:rPr>
            </w:pPr>
            <w:r>
              <w:rPr>
                <w:sz w:val="21"/>
              </w:rPr>
              <w:t>6,254,123,931.85</w:t>
            </w:r>
          </w:p>
        </w:tc>
        <w:tc>
          <w:tcPr>
            <w:tcW w:w="1841" w:type="dxa"/>
            <w:tcBorders>
              <w:top w:val="single" w:sz="4" w:space="0" w:color="000000"/>
              <w:left w:val="single" w:sz="4" w:space="0" w:color="000000"/>
            </w:tcBorders>
          </w:tcPr>
          <w:p>
            <w:pPr>
              <w:pStyle w:val="TableParagraph"/>
              <w:spacing w:before="144"/>
              <w:ind w:right="74"/>
              <w:jc w:val="right"/>
              <w:rPr>
                <w:sz w:val="21"/>
              </w:rPr>
            </w:pPr>
            <w:r>
              <w:rPr>
                <w:sz w:val="21"/>
              </w:rPr>
              <w:t>11,887,907,041.06</w:t>
            </w:r>
          </w:p>
        </w:tc>
      </w:tr>
    </w:tbl>
    <w:p>
      <w:pPr>
        <w:pStyle w:val="BodyText"/>
        <w:spacing w:before="3"/>
        <w:ind w:left="237"/>
      </w:pPr>
      <w:r>
        <w:rPr>
          <w:w w:val="100"/>
        </w:rPr>
        <w:t> </w:t>
      </w:r>
    </w:p>
    <w:p>
      <w:pPr>
        <w:pStyle w:val="BodyText"/>
        <w:spacing w:before="3"/>
        <w:ind w:left="237"/>
      </w:pPr>
      <w:r>
        <w:rPr/>
        <w:t>季度数据与已披露定期报告数据差异说明</w:t>
      </w:r>
    </w:p>
    <w:p>
      <w:pPr>
        <w:pStyle w:val="BodyText"/>
        <w:tabs>
          <w:tab w:pos="1504" w:val="left" w:leader="none"/>
        </w:tabs>
        <w:spacing w:before="139"/>
        <w:ind w:left="662"/>
      </w:pPr>
      <w:r>
        <w:rPr/>
        <w:t>□适用</w:t>
        <w:tab/>
      </w:r>
      <w:r>
        <w:rPr>
          <w:spacing w:val="-3"/>
        </w:rPr>
        <w:t>√</w:t>
      </w:r>
      <w:r>
        <w:rPr/>
        <w:t>不</w:t>
      </w:r>
      <w:r>
        <w:rPr>
          <w:spacing w:val="-3"/>
        </w:rPr>
        <w:t>适</w:t>
      </w:r>
      <w:r>
        <w:rPr/>
        <w:t>用</w:t>
      </w:r>
    </w:p>
    <w:p>
      <w:pPr>
        <w:pStyle w:val="BodyText"/>
        <w:spacing w:before="11"/>
        <w:rPr>
          <w:sz w:val="28"/>
        </w:rPr>
      </w:pPr>
    </w:p>
    <w:p>
      <w:pPr>
        <w:pStyle w:val="Heading4"/>
        <w:spacing w:before="2"/>
        <w:ind w:left="237"/>
      </w:pPr>
      <w:r>
        <w:rPr/>
        <w:t>十、 非经常性损益项目和金额</w:t>
      </w:r>
    </w:p>
    <w:p>
      <w:pPr>
        <w:pStyle w:val="BodyText"/>
        <w:spacing w:before="17"/>
        <w:ind w:right="928"/>
        <w:jc w:val="right"/>
      </w:pPr>
      <w:r>
        <w:rPr/>
        <w:t>单位：元 币种：人民币 </w:t>
      </w:r>
    </w:p>
    <w:tbl>
      <w:tblPr>
        <w:tblW w:w="0" w:type="auto"/>
        <w:jc w:val="left"/>
        <w:tblInd w:w="14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365"/>
        <w:gridCol w:w="1686"/>
      </w:tblGrid>
      <w:tr>
        <w:trPr>
          <w:trHeight w:val="272" w:hRule="atLeast"/>
        </w:trPr>
        <w:tc>
          <w:tcPr>
            <w:tcW w:w="7365" w:type="dxa"/>
            <w:tcBorders>
              <w:bottom w:val="single" w:sz="4" w:space="0" w:color="000000"/>
              <w:right w:val="single" w:sz="4" w:space="0" w:color="000000"/>
            </w:tcBorders>
            <w:shd w:val="clear" w:color="auto" w:fill="EDEBE0"/>
          </w:tcPr>
          <w:p>
            <w:pPr>
              <w:pStyle w:val="TableParagraph"/>
              <w:spacing w:line="250" w:lineRule="exact" w:before="3"/>
              <w:ind w:left="2823" w:right="2802"/>
              <w:jc w:val="center"/>
              <w:rPr>
                <w:rFonts w:ascii="宋体" w:eastAsia="宋体" w:hint="eastAsia"/>
                <w:sz w:val="21"/>
              </w:rPr>
            </w:pPr>
            <w:r>
              <w:rPr>
                <w:rFonts w:ascii="宋体" w:eastAsia="宋体" w:hint="eastAsia"/>
                <w:sz w:val="21"/>
              </w:rPr>
              <w:t>非经常性损益项目</w:t>
            </w:r>
          </w:p>
        </w:tc>
        <w:tc>
          <w:tcPr>
            <w:tcW w:w="1686" w:type="dxa"/>
            <w:tcBorders>
              <w:left w:val="single" w:sz="4" w:space="0" w:color="000000"/>
              <w:bottom w:val="single" w:sz="4" w:space="0" w:color="000000"/>
            </w:tcBorders>
            <w:shd w:val="clear" w:color="auto" w:fill="EDEBE0"/>
          </w:tcPr>
          <w:p>
            <w:pPr>
              <w:pStyle w:val="TableParagraph"/>
              <w:spacing w:line="250" w:lineRule="exact" w:before="3"/>
              <w:ind w:left="302"/>
              <w:rPr>
                <w:rFonts w:ascii="宋体" w:eastAsia="宋体" w:hint="eastAsia"/>
                <w:sz w:val="21"/>
              </w:rPr>
            </w:pPr>
            <w:r>
              <w:rPr>
                <w:sz w:val="21"/>
              </w:rPr>
              <w:t>2020 </w:t>
            </w:r>
            <w:r>
              <w:rPr>
                <w:rFonts w:ascii="宋体" w:eastAsia="宋体" w:hint="eastAsia"/>
                <w:sz w:val="21"/>
              </w:rPr>
              <w:t>年金额</w:t>
            </w:r>
          </w:p>
        </w:tc>
      </w:tr>
      <w:tr>
        <w:trPr>
          <w:trHeight w:val="273" w:hRule="atLeast"/>
        </w:trPr>
        <w:tc>
          <w:tcPr>
            <w:tcW w:w="7365"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非流动资产处置损益</w:t>
            </w:r>
          </w:p>
        </w:tc>
        <w:tc>
          <w:tcPr>
            <w:tcW w:w="1686" w:type="dxa"/>
            <w:tcBorders>
              <w:top w:val="single" w:sz="4" w:space="0" w:color="000000"/>
              <w:left w:val="single" w:sz="4" w:space="0" w:color="000000"/>
              <w:bottom w:val="single" w:sz="4" w:space="0" w:color="000000"/>
            </w:tcBorders>
          </w:tcPr>
          <w:p>
            <w:pPr>
              <w:pStyle w:val="TableParagraph"/>
              <w:spacing w:before="10"/>
              <w:ind w:right="73"/>
              <w:jc w:val="right"/>
              <w:rPr>
                <w:sz w:val="21"/>
              </w:rPr>
            </w:pPr>
            <w:r>
              <w:rPr>
                <w:sz w:val="21"/>
              </w:rPr>
              <w:t>2,149,836,798.36</w:t>
            </w:r>
          </w:p>
        </w:tc>
      </w:tr>
      <w:tr>
        <w:trPr>
          <w:trHeight w:val="544" w:hRule="atLeast"/>
        </w:trPr>
        <w:tc>
          <w:tcPr>
            <w:tcW w:w="7365" w:type="dxa"/>
            <w:tcBorders>
              <w:top w:val="single" w:sz="4" w:space="0" w:color="000000"/>
              <w:bottom w:val="single" w:sz="4" w:space="0" w:color="000000"/>
              <w:right w:val="single" w:sz="4" w:space="0" w:color="000000"/>
            </w:tcBorders>
          </w:tcPr>
          <w:p>
            <w:pPr>
              <w:pStyle w:val="TableParagraph"/>
              <w:spacing w:before="1"/>
              <w:ind w:left="107"/>
              <w:rPr>
                <w:rFonts w:ascii="宋体" w:eastAsia="宋体" w:hint="eastAsia"/>
                <w:sz w:val="21"/>
              </w:rPr>
            </w:pPr>
            <w:r>
              <w:rPr>
                <w:rFonts w:ascii="宋体" w:eastAsia="宋体" w:hint="eastAsia"/>
                <w:sz w:val="21"/>
              </w:rPr>
              <w:t>计入当期损益的政府补助，但与公司正常经营业务密切相关，符合国家政策规</w:t>
            </w:r>
          </w:p>
          <w:p>
            <w:pPr>
              <w:pStyle w:val="TableParagraph"/>
              <w:spacing w:line="252" w:lineRule="exact" w:before="2"/>
              <w:ind w:left="107"/>
              <w:rPr>
                <w:rFonts w:ascii="宋体" w:eastAsia="宋体" w:hint="eastAsia"/>
                <w:sz w:val="21"/>
              </w:rPr>
            </w:pPr>
            <w:r>
              <w:rPr>
                <w:rFonts w:ascii="宋体" w:eastAsia="宋体" w:hint="eastAsia"/>
                <w:sz w:val="21"/>
              </w:rPr>
              <w:t>定、按照一定标准定额或定量持续享受的政府补助除外</w:t>
            </w:r>
          </w:p>
        </w:tc>
        <w:tc>
          <w:tcPr>
            <w:tcW w:w="1686" w:type="dxa"/>
            <w:tcBorders>
              <w:top w:val="single" w:sz="4" w:space="0" w:color="000000"/>
              <w:left w:val="single" w:sz="4" w:space="0" w:color="000000"/>
              <w:bottom w:val="single" w:sz="4" w:space="0" w:color="000000"/>
            </w:tcBorders>
          </w:tcPr>
          <w:p>
            <w:pPr>
              <w:pStyle w:val="TableParagraph"/>
              <w:spacing w:before="144"/>
              <w:ind w:right="73"/>
              <w:jc w:val="right"/>
              <w:rPr>
                <w:sz w:val="21"/>
              </w:rPr>
            </w:pPr>
            <w:r>
              <w:rPr>
                <w:sz w:val="21"/>
              </w:rPr>
              <w:t>844,925,723.90</w:t>
            </w:r>
          </w:p>
        </w:tc>
      </w:tr>
      <w:tr>
        <w:trPr>
          <w:trHeight w:val="1089" w:hRule="atLeast"/>
        </w:trPr>
        <w:tc>
          <w:tcPr>
            <w:tcW w:w="7365" w:type="dxa"/>
            <w:tcBorders>
              <w:top w:val="single" w:sz="4" w:space="0" w:color="000000"/>
              <w:bottom w:val="single" w:sz="4" w:space="0" w:color="000000"/>
              <w:right w:val="single" w:sz="4" w:space="0" w:color="000000"/>
            </w:tcBorders>
          </w:tcPr>
          <w:p>
            <w:pPr>
              <w:pStyle w:val="TableParagraph"/>
              <w:spacing w:line="242" w:lineRule="auto" w:before="1"/>
              <w:ind w:left="107" w:right="89"/>
              <w:jc w:val="both"/>
              <w:rPr>
                <w:rFonts w:ascii="宋体" w:eastAsia="宋体" w:hint="eastAsia"/>
                <w:sz w:val="21"/>
              </w:rPr>
            </w:pPr>
            <w:r>
              <w:rPr>
                <w:rFonts w:ascii="宋体" w:eastAsia="宋体" w:hint="eastAsia"/>
                <w:sz w:val="21"/>
              </w:rPr>
              <w:t>除同公司正常经营业务相关的有效套期保值业务外，持有交易性金融资产、衍生金融资产、交易性金融负债、衍生金融负债产生的公允价值变动损益，以及处置交易性金融资产、衍生金融资产、交易性金融负债、衍生金融负债和其他</w:t>
            </w:r>
          </w:p>
          <w:p>
            <w:pPr>
              <w:pStyle w:val="TableParagraph"/>
              <w:spacing w:line="250" w:lineRule="exact" w:before="3"/>
              <w:ind w:left="107"/>
              <w:rPr>
                <w:rFonts w:ascii="宋体" w:eastAsia="宋体" w:hint="eastAsia"/>
                <w:sz w:val="21"/>
              </w:rPr>
            </w:pPr>
            <w:r>
              <w:rPr>
                <w:rFonts w:ascii="宋体" w:eastAsia="宋体" w:hint="eastAsia"/>
                <w:sz w:val="21"/>
              </w:rPr>
              <w:t>债权投资取得的投资收益</w:t>
            </w:r>
          </w:p>
        </w:tc>
        <w:tc>
          <w:tcPr>
            <w:tcW w:w="1686" w:type="dxa"/>
            <w:tcBorders>
              <w:top w:val="single" w:sz="4" w:space="0" w:color="000000"/>
              <w:left w:val="single" w:sz="4" w:space="0" w:color="000000"/>
              <w:bottom w:val="single" w:sz="4" w:space="0" w:color="000000"/>
            </w:tcBorders>
          </w:tcPr>
          <w:p>
            <w:pPr>
              <w:pStyle w:val="TableParagraph"/>
              <w:spacing w:before="8"/>
              <w:rPr>
                <w:rFonts w:ascii="宋体"/>
                <w:sz w:val="32"/>
              </w:rPr>
            </w:pPr>
          </w:p>
          <w:p>
            <w:pPr>
              <w:pStyle w:val="TableParagraph"/>
              <w:ind w:right="73"/>
              <w:jc w:val="right"/>
              <w:rPr>
                <w:sz w:val="21"/>
              </w:rPr>
            </w:pPr>
            <w:r>
              <w:rPr>
                <w:sz w:val="21"/>
              </w:rPr>
              <w:t>132,357,789.61</w:t>
            </w:r>
          </w:p>
        </w:tc>
      </w:tr>
      <w:tr>
        <w:trPr>
          <w:trHeight w:val="273" w:hRule="atLeast"/>
        </w:trPr>
        <w:tc>
          <w:tcPr>
            <w:tcW w:w="7365"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除上述各项之外的其他营业外收入和支出</w:t>
            </w:r>
          </w:p>
        </w:tc>
        <w:tc>
          <w:tcPr>
            <w:tcW w:w="1686" w:type="dxa"/>
            <w:tcBorders>
              <w:top w:val="single" w:sz="4" w:space="0" w:color="000000"/>
              <w:left w:val="single" w:sz="4" w:space="0" w:color="000000"/>
              <w:bottom w:val="single" w:sz="4" w:space="0" w:color="000000"/>
            </w:tcBorders>
          </w:tcPr>
          <w:p>
            <w:pPr>
              <w:pStyle w:val="TableParagraph"/>
              <w:spacing w:before="10"/>
              <w:ind w:right="72"/>
              <w:jc w:val="right"/>
              <w:rPr>
                <w:sz w:val="21"/>
              </w:rPr>
            </w:pPr>
            <w:r>
              <w:rPr>
                <w:sz w:val="21"/>
              </w:rPr>
              <w:t>54,990,221.86</w:t>
            </w:r>
          </w:p>
        </w:tc>
      </w:tr>
      <w:tr>
        <w:trPr>
          <w:trHeight w:val="270" w:hRule="atLeast"/>
        </w:trPr>
        <w:tc>
          <w:tcPr>
            <w:tcW w:w="7365"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少数股东权益影响额</w:t>
            </w:r>
          </w:p>
        </w:tc>
        <w:tc>
          <w:tcPr>
            <w:tcW w:w="1686" w:type="dxa"/>
            <w:tcBorders>
              <w:top w:val="single" w:sz="4" w:space="0" w:color="000000"/>
              <w:left w:val="single" w:sz="4" w:space="0" w:color="000000"/>
              <w:bottom w:val="single" w:sz="4" w:space="0" w:color="000000"/>
            </w:tcBorders>
          </w:tcPr>
          <w:p>
            <w:pPr>
              <w:pStyle w:val="TableParagraph"/>
              <w:spacing w:before="7"/>
              <w:ind w:right="73"/>
              <w:jc w:val="right"/>
              <w:rPr>
                <w:sz w:val="21"/>
              </w:rPr>
            </w:pPr>
            <w:r>
              <w:rPr>
                <w:sz w:val="21"/>
              </w:rPr>
              <w:t>-389,539,423.67</w:t>
            </w:r>
          </w:p>
        </w:tc>
      </w:tr>
      <w:tr>
        <w:trPr>
          <w:trHeight w:val="273" w:hRule="atLeast"/>
        </w:trPr>
        <w:tc>
          <w:tcPr>
            <w:tcW w:w="7365"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所得税影响额</w:t>
            </w:r>
          </w:p>
        </w:tc>
        <w:tc>
          <w:tcPr>
            <w:tcW w:w="1686" w:type="dxa"/>
            <w:tcBorders>
              <w:top w:val="single" w:sz="4" w:space="0" w:color="000000"/>
              <w:left w:val="single" w:sz="4" w:space="0" w:color="000000"/>
              <w:bottom w:val="single" w:sz="4" w:space="0" w:color="000000"/>
            </w:tcBorders>
          </w:tcPr>
          <w:p>
            <w:pPr>
              <w:pStyle w:val="TableParagraph"/>
              <w:spacing w:before="10"/>
              <w:ind w:right="73"/>
              <w:jc w:val="right"/>
              <w:rPr>
                <w:sz w:val="21"/>
              </w:rPr>
            </w:pPr>
            <w:r>
              <w:rPr>
                <w:sz w:val="21"/>
              </w:rPr>
              <w:t>-373,791,237.24</w:t>
            </w:r>
          </w:p>
        </w:tc>
      </w:tr>
      <w:tr>
        <w:trPr>
          <w:trHeight w:val="270" w:hRule="atLeast"/>
        </w:trPr>
        <w:tc>
          <w:tcPr>
            <w:tcW w:w="7365" w:type="dxa"/>
            <w:tcBorders>
              <w:top w:val="single" w:sz="4" w:space="0" w:color="000000"/>
              <w:right w:val="single" w:sz="4" w:space="0" w:color="000000"/>
            </w:tcBorders>
          </w:tcPr>
          <w:p>
            <w:pPr>
              <w:pStyle w:val="TableParagraph"/>
              <w:spacing w:line="249" w:lineRule="exact" w:before="1"/>
              <w:ind w:left="2821" w:right="2802"/>
              <w:jc w:val="center"/>
              <w:rPr>
                <w:rFonts w:ascii="宋体" w:eastAsia="宋体" w:hint="eastAsia"/>
                <w:sz w:val="21"/>
              </w:rPr>
            </w:pPr>
            <w:r>
              <w:rPr>
                <w:rFonts w:ascii="宋体" w:eastAsia="宋体" w:hint="eastAsia"/>
                <w:sz w:val="21"/>
              </w:rPr>
              <w:t>合计</w:t>
            </w:r>
          </w:p>
        </w:tc>
        <w:tc>
          <w:tcPr>
            <w:tcW w:w="1686" w:type="dxa"/>
            <w:tcBorders>
              <w:top w:val="single" w:sz="4" w:space="0" w:color="000000"/>
              <w:left w:val="single" w:sz="4" w:space="0" w:color="000000"/>
            </w:tcBorders>
          </w:tcPr>
          <w:p>
            <w:pPr>
              <w:pStyle w:val="TableParagraph"/>
              <w:spacing w:line="235" w:lineRule="exact"/>
              <w:ind w:right="73"/>
              <w:jc w:val="right"/>
              <w:rPr>
                <w:sz w:val="21"/>
              </w:rPr>
            </w:pPr>
            <w:r>
              <w:rPr>
                <w:sz w:val="21"/>
              </w:rPr>
              <w:t>2,418,779,872.82</w:t>
            </w:r>
          </w:p>
        </w:tc>
      </w:tr>
    </w:tbl>
    <w:p>
      <w:pPr>
        <w:pStyle w:val="BodyText"/>
        <w:spacing w:line="267" w:lineRule="exact" w:before="3"/>
        <w:ind w:left="237"/>
      </w:pPr>
      <w:r>
        <w:rPr>
          <w:w w:val="100"/>
        </w:rPr>
        <w:t> </w:t>
      </w:r>
    </w:p>
    <w:p>
      <w:pPr>
        <w:pStyle w:val="Heading4"/>
        <w:spacing w:line="384" w:lineRule="exact"/>
        <w:ind w:left="237"/>
      </w:pPr>
      <w:r>
        <w:rPr/>
        <w:t>十一、 采用公允价值计量的项目</w:t>
      </w:r>
    </w:p>
    <w:p>
      <w:pPr>
        <w:pStyle w:val="BodyText"/>
        <w:spacing w:before="15"/>
        <w:ind w:left="662"/>
      </w:pPr>
      <w:r>
        <w:rPr/>
        <w:t>√适用 □不适用</w:t>
      </w:r>
    </w:p>
    <w:p>
      <w:pPr>
        <w:pStyle w:val="BodyText"/>
        <w:tabs>
          <w:tab w:pos="7810" w:val="left" w:leader="none"/>
        </w:tabs>
        <w:spacing w:before="4"/>
        <w:ind w:left="6759"/>
      </w:pPr>
      <w:r>
        <w:rPr/>
        <w:t>单位</w:t>
      </w:r>
      <w:r>
        <w:rPr>
          <w:spacing w:val="-3"/>
        </w:rPr>
        <w:t>：</w:t>
      </w:r>
      <w:r>
        <w:rPr/>
        <w:t>元</w:t>
        <w:tab/>
        <w:t>币</w:t>
      </w:r>
      <w:r>
        <w:rPr>
          <w:spacing w:val="-3"/>
        </w:rPr>
        <w:t>种</w:t>
      </w:r>
      <w:r>
        <w:rPr/>
        <w:t>：</w:t>
      </w:r>
      <w:r>
        <w:rPr>
          <w:spacing w:val="-3"/>
        </w:rPr>
        <w:t>人</w:t>
      </w:r>
      <w:r>
        <w:rPr/>
        <w:t>民币</w:t>
      </w:r>
    </w:p>
    <w:p>
      <w:pPr>
        <w:spacing w:after="0"/>
        <w:sectPr>
          <w:type w:val="continuous"/>
          <w:pgSz w:w="11910" w:h="16840"/>
          <w:pgMar w:top="1360" w:bottom="1400" w:left="1040" w:right="760"/>
        </w:sectPr>
      </w:pPr>
    </w:p>
    <w:p>
      <w:pPr>
        <w:pStyle w:val="BodyText"/>
        <w:spacing w:before="2"/>
        <w:rPr>
          <w:sz w:val="5"/>
        </w:rPr>
      </w:pPr>
    </w:p>
    <w:tbl>
      <w:tblPr>
        <w:tblW w:w="0" w:type="auto"/>
        <w:jc w:val="left"/>
        <w:tblInd w:w="14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52"/>
        <w:gridCol w:w="1700"/>
        <w:gridCol w:w="1709"/>
        <w:gridCol w:w="1692"/>
        <w:gridCol w:w="1997"/>
      </w:tblGrid>
      <w:tr>
        <w:trPr>
          <w:trHeight w:val="544" w:hRule="atLeast"/>
        </w:trPr>
        <w:tc>
          <w:tcPr>
            <w:tcW w:w="1952" w:type="dxa"/>
            <w:tcBorders>
              <w:bottom w:val="single" w:sz="4" w:space="0" w:color="000000"/>
              <w:right w:val="single" w:sz="4" w:space="0" w:color="000000"/>
            </w:tcBorders>
            <w:shd w:val="clear" w:color="auto" w:fill="EDEBE0"/>
          </w:tcPr>
          <w:p>
            <w:pPr>
              <w:pStyle w:val="TableParagraph"/>
              <w:spacing w:before="138"/>
              <w:ind w:left="554"/>
              <w:rPr>
                <w:rFonts w:ascii="宋体" w:eastAsia="宋体" w:hint="eastAsia"/>
                <w:sz w:val="21"/>
              </w:rPr>
            </w:pPr>
            <w:r>
              <w:rPr>
                <w:rFonts w:ascii="宋体" w:eastAsia="宋体" w:hint="eastAsia"/>
                <w:sz w:val="21"/>
              </w:rPr>
              <w:t>项目名称</w:t>
            </w:r>
          </w:p>
        </w:tc>
        <w:tc>
          <w:tcPr>
            <w:tcW w:w="1700" w:type="dxa"/>
            <w:tcBorders>
              <w:left w:val="single" w:sz="4" w:space="0" w:color="000000"/>
              <w:bottom w:val="single" w:sz="4" w:space="0" w:color="000000"/>
              <w:right w:val="single" w:sz="4" w:space="0" w:color="000000"/>
            </w:tcBorders>
            <w:shd w:val="clear" w:color="auto" w:fill="EDEBE0"/>
          </w:tcPr>
          <w:p>
            <w:pPr>
              <w:pStyle w:val="TableParagraph"/>
              <w:spacing w:before="138"/>
              <w:ind w:left="438"/>
              <w:rPr>
                <w:rFonts w:ascii="宋体" w:eastAsia="宋体" w:hint="eastAsia"/>
                <w:sz w:val="21"/>
              </w:rPr>
            </w:pPr>
            <w:r>
              <w:rPr>
                <w:rFonts w:ascii="宋体" w:eastAsia="宋体" w:hint="eastAsia"/>
                <w:sz w:val="21"/>
              </w:rPr>
              <w:t>期初余额</w:t>
            </w:r>
          </w:p>
        </w:tc>
        <w:tc>
          <w:tcPr>
            <w:tcW w:w="1709" w:type="dxa"/>
            <w:tcBorders>
              <w:left w:val="single" w:sz="4" w:space="0" w:color="000000"/>
              <w:bottom w:val="single" w:sz="4" w:space="0" w:color="000000"/>
              <w:right w:val="single" w:sz="4" w:space="0" w:color="000000"/>
            </w:tcBorders>
            <w:shd w:val="clear" w:color="auto" w:fill="EDEBE0"/>
          </w:tcPr>
          <w:p>
            <w:pPr>
              <w:pStyle w:val="TableParagraph"/>
              <w:spacing w:before="138"/>
              <w:ind w:left="443"/>
              <w:rPr>
                <w:rFonts w:ascii="宋体" w:eastAsia="宋体" w:hint="eastAsia"/>
                <w:sz w:val="21"/>
              </w:rPr>
            </w:pPr>
            <w:r>
              <w:rPr>
                <w:rFonts w:ascii="宋体" w:eastAsia="宋体" w:hint="eastAsia"/>
                <w:sz w:val="21"/>
              </w:rPr>
              <w:t>期末余额</w:t>
            </w:r>
          </w:p>
        </w:tc>
        <w:tc>
          <w:tcPr>
            <w:tcW w:w="1692" w:type="dxa"/>
            <w:tcBorders>
              <w:left w:val="single" w:sz="4" w:space="0" w:color="000000"/>
              <w:bottom w:val="single" w:sz="4" w:space="0" w:color="000000"/>
              <w:right w:val="single" w:sz="4" w:space="0" w:color="000000"/>
            </w:tcBorders>
            <w:shd w:val="clear" w:color="auto" w:fill="EDEBE0"/>
          </w:tcPr>
          <w:p>
            <w:pPr>
              <w:pStyle w:val="TableParagraph"/>
              <w:spacing w:before="138"/>
              <w:ind w:left="431"/>
              <w:rPr>
                <w:rFonts w:ascii="宋体" w:eastAsia="宋体" w:hint="eastAsia"/>
                <w:sz w:val="21"/>
              </w:rPr>
            </w:pPr>
            <w:r>
              <w:rPr>
                <w:rFonts w:ascii="宋体" w:eastAsia="宋体" w:hint="eastAsia"/>
                <w:sz w:val="21"/>
              </w:rPr>
              <w:t>当期变动</w:t>
            </w:r>
          </w:p>
        </w:tc>
        <w:tc>
          <w:tcPr>
            <w:tcW w:w="1997" w:type="dxa"/>
            <w:tcBorders>
              <w:left w:val="single" w:sz="4" w:space="0" w:color="000000"/>
              <w:bottom w:val="single" w:sz="4" w:space="0" w:color="000000"/>
            </w:tcBorders>
            <w:shd w:val="clear" w:color="auto" w:fill="EDEBE0"/>
          </w:tcPr>
          <w:p>
            <w:pPr>
              <w:pStyle w:val="TableParagraph"/>
              <w:spacing w:line="270" w:lineRule="atLeast" w:before="2"/>
              <w:ind w:left="796" w:right="124" w:hanging="630"/>
              <w:rPr>
                <w:rFonts w:ascii="宋体" w:eastAsia="宋体" w:hint="eastAsia"/>
                <w:sz w:val="21"/>
              </w:rPr>
            </w:pPr>
            <w:r>
              <w:rPr>
                <w:rFonts w:ascii="宋体" w:eastAsia="宋体" w:hint="eastAsia"/>
                <w:sz w:val="21"/>
              </w:rPr>
              <w:t>对当期利润的影响金额</w:t>
            </w:r>
          </w:p>
        </w:tc>
      </w:tr>
      <w:tr>
        <w:trPr>
          <w:trHeight w:val="273" w:hRule="atLeast"/>
        </w:trPr>
        <w:tc>
          <w:tcPr>
            <w:tcW w:w="1952" w:type="dxa"/>
            <w:tcBorders>
              <w:top w:val="single" w:sz="4" w:space="0" w:color="000000"/>
              <w:bottom w:val="single" w:sz="4" w:space="0" w:color="000000"/>
              <w:right w:val="single" w:sz="4" w:space="0" w:color="000000"/>
            </w:tcBorders>
          </w:tcPr>
          <w:p>
            <w:pPr>
              <w:pStyle w:val="TableParagraph"/>
              <w:spacing w:line="250" w:lineRule="exact" w:before="3"/>
              <w:ind w:left="107"/>
              <w:rPr>
                <w:rFonts w:ascii="宋体" w:eastAsia="宋体" w:hint="eastAsia"/>
                <w:sz w:val="21"/>
              </w:rPr>
            </w:pPr>
            <w:r>
              <w:rPr>
                <w:rFonts w:ascii="宋体" w:eastAsia="宋体" w:hint="eastAsia"/>
                <w:sz w:val="21"/>
              </w:rPr>
              <w:t>外汇远期合约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-26,180,454.72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10"/>
              <w:ind w:right="84"/>
              <w:jc w:val="right"/>
              <w:rPr>
                <w:sz w:val="21"/>
              </w:rPr>
            </w:pPr>
            <w:r>
              <w:rPr>
                <w:sz w:val="21"/>
              </w:rPr>
              <w:t>-58,007,371.41</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10"/>
              <w:ind w:right="86"/>
              <w:jc w:val="right"/>
              <w:rPr>
                <w:sz w:val="21"/>
              </w:rPr>
            </w:pPr>
            <w:r>
              <w:rPr>
                <w:sz w:val="21"/>
              </w:rPr>
              <w:t>-31,826,916.69</w:t>
            </w:r>
          </w:p>
        </w:tc>
        <w:tc>
          <w:tcPr>
            <w:tcW w:w="1997"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113,101,043.88</w:t>
            </w:r>
          </w:p>
        </w:tc>
      </w:tr>
      <w:tr>
        <w:trPr>
          <w:trHeight w:val="273" w:hRule="atLeast"/>
        </w:trPr>
        <w:tc>
          <w:tcPr>
            <w:tcW w:w="1952"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理财产品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493,161,725.80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10"/>
              <w:ind w:right="84"/>
              <w:jc w:val="right"/>
              <w:rPr>
                <w:sz w:val="21"/>
              </w:rPr>
            </w:pPr>
            <w:r>
              <w:rPr>
                <w:sz w:val="21"/>
              </w:rPr>
              <w:t>1,862,036,322.21</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10"/>
              <w:ind w:right="86"/>
              <w:jc w:val="right"/>
              <w:rPr>
                <w:sz w:val="21"/>
              </w:rPr>
            </w:pPr>
            <w:r>
              <w:rPr>
                <w:sz w:val="21"/>
              </w:rPr>
              <w:t>1,368,874,596.41</w:t>
            </w:r>
          </w:p>
        </w:tc>
        <w:tc>
          <w:tcPr>
            <w:tcW w:w="1997"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71,832,480.22</w:t>
            </w:r>
          </w:p>
        </w:tc>
      </w:tr>
      <w:tr>
        <w:trPr>
          <w:trHeight w:val="544" w:hRule="atLeast"/>
        </w:trPr>
        <w:tc>
          <w:tcPr>
            <w:tcW w:w="1952" w:type="dxa"/>
            <w:tcBorders>
              <w:top w:val="single" w:sz="4" w:space="0" w:color="000000"/>
              <w:bottom w:val="single" w:sz="4" w:space="0" w:color="000000"/>
              <w:right w:val="single" w:sz="4" w:space="0" w:color="000000"/>
            </w:tcBorders>
          </w:tcPr>
          <w:p>
            <w:pPr>
              <w:pStyle w:val="TableParagraph"/>
              <w:spacing w:before="1"/>
              <w:ind w:left="107"/>
              <w:rPr>
                <w:rFonts w:ascii="宋体" w:eastAsia="宋体" w:hint="eastAsia"/>
                <w:sz w:val="21"/>
              </w:rPr>
            </w:pPr>
            <w:r>
              <w:rPr>
                <w:rFonts w:ascii="宋体" w:eastAsia="宋体" w:hint="eastAsia"/>
                <w:sz w:val="21"/>
              </w:rPr>
              <w:t>交易性权益工具投</w:t>
            </w:r>
          </w:p>
          <w:p>
            <w:pPr>
              <w:pStyle w:val="TableParagraph"/>
              <w:spacing w:line="252" w:lineRule="exact" w:before="2"/>
              <w:ind w:left="107"/>
              <w:rPr>
                <w:rFonts w:ascii="宋体" w:eastAsia="宋体" w:hint="eastAsia"/>
                <w:sz w:val="21"/>
              </w:rPr>
            </w:pPr>
            <w:r>
              <w:rPr>
                <w:rFonts w:ascii="宋体" w:eastAsia="宋体" w:hint="eastAsia"/>
                <w:w w:val="100"/>
                <w:sz w:val="21"/>
              </w:rPr>
              <w:t>资</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before="144"/>
              <w:ind w:right="85"/>
              <w:jc w:val="right"/>
              <w:rPr>
                <w:sz w:val="21"/>
              </w:rPr>
            </w:pPr>
            <w:r>
              <w:rPr>
                <w:sz w:val="21"/>
              </w:rPr>
              <w:t>24,586,332.05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144"/>
              <w:ind w:right="84"/>
              <w:jc w:val="right"/>
              <w:rPr>
                <w:sz w:val="21"/>
              </w:rPr>
            </w:pPr>
            <w:r>
              <w:rPr>
                <w:sz w:val="21"/>
              </w:rPr>
              <w:t>83,949,637.05</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144"/>
              <w:ind w:right="86"/>
              <w:jc w:val="right"/>
              <w:rPr>
                <w:sz w:val="21"/>
              </w:rPr>
            </w:pPr>
            <w:r>
              <w:rPr>
                <w:sz w:val="21"/>
              </w:rPr>
              <w:t>59,363,305.00</w:t>
            </w:r>
          </w:p>
        </w:tc>
        <w:tc>
          <w:tcPr>
            <w:tcW w:w="1997" w:type="dxa"/>
            <w:tcBorders>
              <w:top w:val="single" w:sz="4" w:space="0" w:color="000000"/>
              <w:left w:val="single" w:sz="4" w:space="0" w:color="000000"/>
              <w:bottom w:val="single" w:sz="4" w:space="0" w:color="000000"/>
            </w:tcBorders>
          </w:tcPr>
          <w:p>
            <w:pPr>
              <w:pStyle w:val="TableParagraph"/>
              <w:spacing w:before="144"/>
              <w:ind w:right="74"/>
              <w:jc w:val="right"/>
              <w:rPr>
                <w:sz w:val="21"/>
              </w:rPr>
            </w:pPr>
            <w:r>
              <w:rPr>
                <w:sz w:val="21"/>
              </w:rPr>
              <w:t>3,507,512.50</w:t>
            </w:r>
          </w:p>
        </w:tc>
      </w:tr>
      <w:tr>
        <w:trPr>
          <w:trHeight w:val="273" w:hRule="atLeast"/>
        </w:trPr>
        <w:tc>
          <w:tcPr>
            <w:tcW w:w="1952"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利率互换协议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before="7"/>
              <w:ind w:right="85"/>
              <w:jc w:val="right"/>
              <w:rPr>
                <w:sz w:val="21"/>
              </w:rPr>
            </w:pPr>
            <w:r>
              <w:rPr>
                <w:sz w:val="21"/>
              </w:rPr>
              <w:t>-13,991,425.83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7"/>
              <w:ind w:right="84"/>
              <w:jc w:val="right"/>
              <w:rPr>
                <w:sz w:val="21"/>
              </w:rPr>
            </w:pPr>
            <w:r>
              <w:rPr>
                <w:sz w:val="21"/>
              </w:rPr>
              <w:t>-50,886,744.60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7"/>
              <w:ind w:right="86"/>
              <w:jc w:val="right"/>
              <w:rPr>
                <w:sz w:val="21"/>
              </w:rPr>
            </w:pPr>
            <w:r>
              <w:rPr>
                <w:sz w:val="21"/>
              </w:rPr>
              <w:t>-36,895,318.77</w:t>
            </w:r>
          </w:p>
        </w:tc>
        <w:tc>
          <w:tcPr>
            <w:tcW w:w="1997"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1952"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投资基金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7"/>
              <w:ind w:right="84"/>
              <w:jc w:val="right"/>
              <w:rPr>
                <w:sz w:val="21"/>
              </w:rPr>
            </w:pPr>
            <w:r>
              <w:rPr>
                <w:sz w:val="21"/>
              </w:rPr>
              <w:t>113,759,845.57</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7"/>
              <w:ind w:right="86"/>
              <w:jc w:val="right"/>
              <w:rPr>
                <w:sz w:val="21"/>
              </w:rPr>
            </w:pPr>
            <w:r>
              <w:rPr>
                <w:sz w:val="21"/>
              </w:rPr>
              <w:t>113,759,845.57</w:t>
            </w:r>
          </w:p>
        </w:tc>
        <w:tc>
          <w:tcPr>
            <w:tcW w:w="1997" w:type="dxa"/>
            <w:tcBorders>
              <w:top w:val="single" w:sz="4" w:space="0" w:color="000000"/>
              <w:left w:val="single" w:sz="4" w:space="0" w:color="000000"/>
              <w:bottom w:val="single" w:sz="4" w:space="0" w:color="000000"/>
            </w:tcBorders>
          </w:tcPr>
          <w:p>
            <w:pPr>
              <w:pStyle w:val="TableParagraph"/>
              <w:spacing w:before="7"/>
              <w:ind w:right="74"/>
              <w:jc w:val="right"/>
              <w:rPr>
                <w:sz w:val="21"/>
              </w:rPr>
            </w:pPr>
            <w:r>
              <w:rPr>
                <w:sz w:val="21"/>
              </w:rPr>
              <w:t>8,351,206.56</w:t>
            </w:r>
          </w:p>
        </w:tc>
      </w:tr>
      <w:tr>
        <w:trPr>
          <w:trHeight w:val="273" w:hRule="atLeast"/>
        </w:trPr>
        <w:tc>
          <w:tcPr>
            <w:tcW w:w="1952"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其他权益工具投资</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1,395,959,878.92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10"/>
              <w:ind w:right="84"/>
              <w:jc w:val="right"/>
              <w:rPr>
                <w:sz w:val="21"/>
              </w:rPr>
            </w:pPr>
            <w:r>
              <w:rPr>
                <w:sz w:val="21"/>
              </w:rPr>
              <w:t>2,659,125,265.54</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10"/>
              <w:ind w:right="86"/>
              <w:jc w:val="right"/>
              <w:rPr>
                <w:sz w:val="21"/>
              </w:rPr>
            </w:pPr>
            <w:r>
              <w:rPr>
                <w:sz w:val="21"/>
              </w:rPr>
              <w:t>1,263,165,386.62</w:t>
            </w:r>
          </w:p>
        </w:tc>
        <w:tc>
          <w:tcPr>
            <w:tcW w:w="1997"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21,366,723.72</w:t>
            </w:r>
          </w:p>
        </w:tc>
      </w:tr>
      <w:tr>
        <w:trPr>
          <w:trHeight w:val="270" w:hRule="atLeast"/>
        </w:trPr>
        <w:tc>
          <w:tcPr>
            <w:tcW w:w="1952"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大宗有效套期</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before="7"/>
              <w:ind w:right="85"/>
              <w:jc w:val="right"/>
              <w:rPr>
                <w:sz w:val="21"/>
              </w:rPr>
            </w:pPr>
            <w:r>
              <w:rPr>
                <w:sz w:val="21"/>
              </w:rPr>
              <w:t>1,916,299.35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7"/>
              <w:ind w:right="84"/>
              <w:jc w:val="right"/>
              <w:rPr>
                <w:sz w:val="21"/>
              </w:rPr>
            </w:pPr>
            <w:r>
              <w:rPr>
                <w:sz w:val="21"/>
              </w:rPr>
              <w:t>25,644,774.08</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7"/>
              <w:ind w:right="86"/>
              <w:jc w:val="right"/>
              <w:rPr>
                <w:sz w:val="21"/>
              </w:rPr>
            </w:pPr>
            <w:r>
              <w:rPr>
                <w:sz w:val="21"/>
              </w:rPr>
              <w:t>23,728,474.73</w:t>
            </w:r>
          </w:p>
        </w:tc>
        <w:tc>
          <w:tcPr>
            <w:tcW w:w="1997"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1952" w:type="dxa"/>
            <w:tcBorders>
              <w:top w:val="single" w:sz="4" w:space="0" w:color="000000"/>
              <w:bottom w:val="single" w:sz="4" w:space="0" w:color="000000"/>
              <w:right w:val="single" w:sz="4" w:space="0" w:color="000000"/>
            </w:tcBorders>
          </w:tcPr>
          <w:p>
            <w:pPr>
              <w:pStyle w:val="TableParagraph"/>
              <w:spacing w:line="250" w:lineRule="exact" w:before="3"/>
              <w:ind w:left="107"/>
              <w:rPr>
                <w:rFonts w:ascii="宋体" w:eastAsia="宋体" w:hint="eastAsia"/>
                <w:sz w:val="21"/>
              </w:rPr>
            </w:pPr>
            <w:r>
              <w:rPr>
                <w:rFonts w:ascii="宋体" w:eastAsia="宋体" w:hint="eastAsia"/>
                <w:sz w:val="21"/>
              </w:rPr>
              <w:t>其他衍生金融工具</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77,057,328.58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10"/>
              <w:ind w:right="84"/>
              <w:jc w:val="right"/>
              <w:rPr>
                <w:sz w:val="21"/>
              </w:rPr>
            </w:pPr>
            <w:r>
              <w:rPr>
                <w:sz w:val="21"/>
              </w:rPr>
              <w:t>46,832,494.61</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10"/>
              <w:ind w:right="86"/>
              <w:jc w:val="right"/>
              <w:rPr>
                <w:sz w:val="21"/>
              </w:rPr>
            </w:pPr>
            <w:r>
              <w:rPr>
                <w:sz w:val="21"/>
              </w:rPr>
              <w:t>-30,224,833.97</w:t>
            </w:r>
          </w:p>
        </w:tc>
        <w:tc>
          <w:tcPr>
            <w:tcW w:w="1997"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5,869,913.46</w:t>
            </w:r>
          </w:p>
        </w:tc>
      </w:tr>
      <w:tr>
        <w:trPr>
          <w:trHeight w:val="544" w:hRule="atLeast"/>
        </w:trPr>
        <w:tc>
          <w:tcPr>
            <w:tcW w:w="1952" w:type="dxa"/>
            <w:tcBorders>
              <w:top w:val="single" w:sz="4" w:space="0" w:color="000000"/>
              <w:bottom w:val="single" w:sz="4" w:space="0" w:color="000000"/>
              <w:right w:val="single" w:sz="4" w:space="0" w:color="000000"/>
            </w:tcBorders>
          </w:tcPr>
          <w:p>
            <w:pPr>
              <w:pStyle w:val="TableParagraph"/>
              <w:spacing w:before="1"/>
              <w:ind w:left="107"/>
              <w:rPr>
                <w:rFonts w:ascii="宋体" w:eastAsia="宋体" w:hint="eastAsia"/>
                <w:sz w:val="21"/>
              </w:rPr>
            </w:pPr>
            <w:r>
              <w:rPr>
                <w:rFonts w:ascii="宋体" w:eastAsia="宋体" w:hint="eastAsia"/>
                <w:sz w:val="21"/>
              </w:rPr>
              <w:t>对少数股东权益的</w:t>
            </w:r>
          </w:p>
          <w:p>
            <w:pPr>
              <w:pStyle w:val="TableParagraph"/>
              <w:spacing w:line="250" w:lineRule="exact" w:before="4"/>
              <w:ind w:left="107"/>
              <w:rPr>
                <w:rFonts w:ascii="宋体" w:eastAsia="宋体" w:hint="eastAsia"/>
                <w:sz w:val="21"/>
              </w:rPr>
            </w:pPr>
            <w:r>
              <w:rPr>
                <w:rFonts w:ascii="宋体" w:eastAsia="宋体" w:hint="eastAsia"/>
                <w:sz w:val="21"/>
              </w:rPr>
              <w:t>回购义务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before="144"/>
              <w:ind w:right="85"/>
              <w:jc w:val="right"/>
              <w:rPr>
                <w:sz w:val="21"/>
              </w:rPr>
            </w:pPr>
            <w:r>
              <w:rPr>
                <w:sz w:val="21"/>
              </w:rPr>
              <w:t>54,598,203.27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144"/>
              <w:ind w:right="86"/>
              <w:jc w:val="right"/>
              <w:rPr>
                <w:sz w:val="21"/>
              </w:rPr>
            </w:pPr>
            <w:r>
              <w:rPr>
                <w:sz w:val="21"/>
              </w:rPr>
              <w:t>-54,598,203.27</w:t>
            </w:r>
          </w:p>
        </w:tc>
        <w:tc>
          <w:tcPr>
            <w:tcW w:w="1997"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1952" w:type="dxa"/>
            <w:tcBorders>
              <w:top w:val="single" w:sz="4" w:space="0" w:color="000000"/>
              <w:right w:val="single" w:sz="4" w:space="0" w:color="000000"/>
            </w:tcBorders>
          </w:tcPr>
          <w:p>
            <w:pPr>
              <w:pStyle w:val="TableParagraph"/>
              <w:spacing w:line="250" w:lineRule="exact" w:before="1"/>
              <w:ind w:left="746" w:right="725"/>
              <w:jc w:val="center"/>
              <w:rPr>
                <w:rFonts w:ascii="宋体" w:eastAsia="宋体" w:hint="eastAsia"/>
                <w:sz w:val="21"/>
              </w:rPr>
            </w:pPr>
            <w:r>
              <w:rPr>
                <w:rFonts w:ascii="宋体" w:eastAsia="宋体" w:hint="eastAsia"/>
                <w:sz w:val="21"/>
              </w:rPr>
              <w:t>合计</w:t>
            </w:r>
          </w:p>
        </w:tc>
        <w:tc>
          <w:tcPr>
            <w:tcW w:w="1700" w:type="dxa"/>
            <w:tcBorders>
              <w:top w:val="single" w:sz="4" w:space="0" w:color="000000"/>
              <w:left w:val="single" w:sz="4" w:space="0" w:color="000000"/>
              <w:right w:val="single" w:sz="4" w:space="0" w:color="000000"/>
            </w:tcBorders>
          </w:tcPr>
          <w:p>
            <w:pPr>
              <w:pStyle w:val="TableParagraph"/>
              <w:spacing w:line="241" w:lineRule="exact" w:before="10"/>
              <w:ind w:right="85"/>
              <w:jc w:val="right"/>
              <w:rPr>
                <w:sz w:val="21"/>
              </w:rPr>
            </w:pPr>
            <w:r>
              <w:rPr>
                <w:sz w:val="21"/>
              </w:rPr>
              <w:t>2,007,107,887.42</w:t>
            </w:r>
          </w:p>
        </w:tc>
        <w:tc>
          <w:tcPr>
            <w:tcW w:w="1709" w:type="dxa"/>
            <w:tcBorders>
              <w:top w:val="single" w:sz="4" w:space="0" w:color="000000"/>
              <w:left w:val="single" w:sz="4" w:space="0" w:color="000000"/>
              <w:right w:val="single" w:sz="4" w:space="0" w:color="000000"/>
            </w:tcBorders>
          </w:tcPr>
          <w:p>
            <w:pPr>
              <w:pStyle w:val="TableParagraph"/>
              <w:spacing w:line="241" w:lineRule="exact" w:before="10"/>
              <w:ind w:right="84"/>
              <w:jc w:val="right"/>
              <w:rPr>
                <w:sz w:val="21"/>
              </w:rPr>
            </w:pPr>
            <w:r>
              <w:rPr>
                <w:sz w:val="21"/>
              </w:rPr>
              <w:t>4,682,454,223.05</w:t>
            </w:r>
          </w:p>
        </w:tc>
        <w:tc>
          <w:tcPr>
            <w:tcW w:w="1692" w:type="dxa"/>
            <w:tcBorders>
              <w:top w:val="single" w:sz="4" w:space="0" w:color="000000"/>
              <w:left w:val="single" w:sz="4" w:space="0" w:color="000000"/>
              <w:right w:val="single" w:sz="4" w:space="0" w:color="000000"/>
            </w:tcBorders>
          </w:tcPr>
          <w:p>
            <w:pPr>
              <w:pStyle w:val="TableParagraph"/>
              <w:spacing w:line="241" w:lineRule="exact" w:before="10"/>
              <w:ind w:right="86"/>
              <w:jc w:val="right"/>
              <w:rPr>
                <w:sz w:val="21"/>
              </w:rPr>
            </w:pPr>
            <w:r>
              <w:rPr>
                <w:sz w:val="21"/>
              </w:rPr>
              <w:t>2,675,346,335.63</w:t>
            </w:r>
          </w:p>
        </w:tc>
        <w:tc>
          <w:tcPr>
            <w:tcW w:w="1997" w:type="dxa"/>
            <w:tcBorders>
              <w:top w:val="single" w:sz="4" w:space="0" w:color="000000"/>
              <w:left w:val="single" w:sz="4" w:space="0" w:color="000000"/>
            </w:tcBorders>
          </w:tcPr>
          <w:p>
            <w:pPr>
              <w:pStyle w:val="TableParagraph"/>
              <w:spacing w:line="241" w:lineRule="exact" w:before="10"/>
              <w:ind w:right="74"/>
              <w:jc w:val="right"/>
              <w:rPr>
                <w:sz w:val="21"/>
              </w:rPr>
            </w:pPr>
            <w:r>
              <w:rPr>
                <w:sz w:val="21"/>
              </w:rPr>
              <w:t>224,028,880.34</w:t>
            </w:r>
          </w:p>
        </w:tc>
      </w:tr>
    </w:tbl>
    <w:p>
      <w:pPr>
        <w:pStyle w:val="BodyText"/>
        <w:spacing w:before="4"/>
        <w:rPr>
          <w:sz w:val="18"/>
        </w:rPr>
      </w:pPr>
    </w:p>
    <w:p>
      <w:pPr>
        <w:pStyle w:val="Heading4"/>
        <w:spacing w:before="3"/>
        <w:ind w:left="237"/>
      </w:pPr>
      <w:r>
        <w:rPr/>
        <w:t>十二、 其他</w:t>
      </w:r>
    </w:p>
    <w:p>
      <w:pPr>
        <w:pStyle w:val="BodyText"/>
        <w:spacing w:before="14"/>
        <w:ind w:left="662"/>
      </w:pPr>
      <w:r>
        <w:rPr/>
        <w:t>□适用 √不适用</w:t>
      </w:r>
    </w:p>
    <w:p>
      <w:pPr>
        <w:spacing w:after="0"/>
        <w:sectPr>
          <w:pgSz w:w="11910" w:h="16840"/>
          <w:pgMar w:header="874" w:footer="1214" w:top="1360" w:bottom="1400" w:left="1040" w:right="760"/>
        </w:sectPr>
      </w:pPr>
    </w:p>
    <w:p>
      <w:pPr>
        <w:pStyle w:val="BodyText"/>
        <w:spacing w:before="12"/>
        <w:rPr>
          <w:sz w:val="23"/>
        </w:rPr>
      </w:pPr>
    </w:p>
    <w:p>
      <w:pPr>
        <w:pStyle w:val="Heading1"/>
        <w:tabs>
          <w:tab w:pos="4440" w:val="left" w:leader="none"/>
        </w:tabs>
        <w:ind w:left="3180"/>
        <w:jc w:val="left"/>
      </w:pPr>
      <w:bookmarkStart w:name="_bookmark3" w:id="4"/>
      <w:bookmarkEnd w:id="4"/>
      <w:r>
        <w:rPr>
          <w:b w:val="0"/>
        </w:rPr>
      </w:r>
      <w:r>
        <w:rPr/>
        <w:t>第三节</w:t>
        <w:tab/>
        <w:t>公司业务概要</w:t>
      </w:r>
    </w:p>
    <w:p>
      <w:pPr>
        <w:pStyle w:val="Heading4"/>
        <w:spacing w:before="116"/>
        <w:ind w:left="237"/>
      </w:pPr>
      <w:r>
        <w:rPr>
          <w:spacing w:val="-3"/>
        </w:rPr>
        <w:t>一、报告期内公司所从事的主要业务、经营模式及行业情况说明</w:t>
      </w:r>
    </w:p>
    <w:p>
      <w:pPr>
        <w:pStyle w:val="BodyText"/>
        <w:spacing w:before="14"/>
        <w:ind w:left="657"/>
        <w:jc w:val="both"/>
      </w:pPr>
      <w:r>
        <w:rPr>
          <w:color w:val="221F1F"/>
        </w:rPr>
        <w:t>自 </w:t>
      </w:r>
      <w:r>
        <w:rPr>
          <w:rFonts w:ascii="Times New Roman" w:eastAsia="Times New Roman"/>
          <w:color w:val="221F1F"/>
        </w:rPr>
        <w:t>1984 </w:t>
      </w:r>
      <w:r>
        <w:rPr>
          <w:color w:val="221F1F"/>
        </w:rPr>
        <w:t>年成立以来，公司始终致力于成为时代的企业，通过不断推出引领市场的新产品，持</w:t>
      </w:r>
    </w:p>
    <w:p>
      <w:pPr>
        <w:pStyle w:val="BodyText"/>
        <w:spacing w:line="364" w:lineRule="auto" w:before="139"/>
        <w:ind w:left="237" w:right="1028"/>
        <w:jc w:val="both"/>
      </w:pPr>
      <w:r>
        <w:rPr>
          <w:color w:val="221F1F"/>
          <w:spacing w:val="-11"/>
        </w:rPr>
        <w:t>续创新迭代，把握行业机遇。经过 </w:t>
      </w:r>
      <w:r>
        <w:rPr>
          <w:rFonts w:ascii="Times New Roman" w:eastAsia="Times New Roman"/>
          <w:color w:val="221F1F"/>
        </w:rPr>
        <w:t>30 </w:t>
      </w:r>
      <w:r>
        <w:rPr>
          <w:color w:val="221F1F"/>
          <w:spacing w:val="-7"/>
        </w:rPr>
        <w:t>多年发展，公司已经成为全球大家电行业的领导者和全球智</w:t>
      </w:r>
      <w:r>
        <w:rPr>
          <w:color w:val="221F1F"/>
          <w:spacing w:val="-5"/>
        </w:rPr>
        <w:t>慧家庭解决方案的引领者。</w:t>
      </w:r>
    </w:p>
    <w:p>
      <w:pPr>
        <w:pStyle w:val="ListParagraph"/>
        <w:numPr>
          <w:ilvl w:val="0"/>
          <w:numId w:val="3"/>
        </w:numPr>
        <w:tabs>
          <w:tab w:pos="838" w:val="left" w:leader="none"/>
        </w:tabs>
        <w:spacing w:line="364" w:lineRule="auto" w:before="0" w:after="0"/>
        <w:ind w:left="237" w:right="1028" w:firstLine="420"/>
        <w:jc w:val="both"/>
        <w:rPr>
          <w:sz w:val="21"/>
        </w:rPr>
      </w:pPr>
      <w:r>
        <w:rPr>
          <w:color w:val="221F1F"/>
          <w:spacing w:val="-8"/>
          <w:sz w:val="21"/>
        </w:rPr>
        <w:t>全球大家电行业的领导者：根据权威市场调查机构欧睿国际数据显示，公司连续 </w:t>
      </w:r>
      <w:r>
        <w:rPr>
          <w:rFonts w:ascii="Times New Roman" w:hAnsi="Times New Roman" w:eastAsia="Times New Roman"/>
          <w:color w:val="221F1F"/>
          <w:sz w:val="21"/>
        </w:rPr>
        <w:t>12</w:t>
      </w:r>
      <w:r>
        <w:rPr>
          <w:rFonts w:ascii="Times New Roman" w:hAnsi="Times New Roman" w:eastAsia="Times New Roman"/>
          <w:color w:val="221F1F"/>
          <w:spacing w:val="15"/>
          <w:sz w:val="21"/>
        </w:rPr>
        <w:t> </w:t>
      </w:r>
      <w:r>
        <w:rPr>
          <w:color w:val="221F1F"/>
          <w:spacing w:val="-2"/>
          <w:sz w:val="21"/>
        </w:rPr>
        <w:t>年蝉联</w:t>
      </w:r>
      <w:r>
        <w:rPr>
          <w:color w:val="221F1F"/>
          <w:spacing w:val="-10"/>
          <w:sz w:val="21"/>
        </w:rPr>
        <w:t>全球大型家用电器品牌零售量第一名。公司拥有全球家电品牌集群，包括海尔、卡萨帝、</w:t>
      </w:r>
      <w:r>
        <w:rPr>
          <w:rFonts w:ascii="Times New Roman" w:hAnsi="Times New Roman" w:eastAsia="Times New Roman"/>
          <w:color w:val="221F1F"/>
          <w:sz w:val="21"/>
        </w:rPr>
        <w:t>Leader</w:t>
      </w:r>
      <w:r>
        <w:rPr>
          <w:color w:val="221F1F"/>
          <w:sz w:val="21"/>
        </w:rPr>
        <w:t>、</w:t>
      </w:r>
      <w:r>
        <w:rPr>
          <w:rFonts w:ascii="Times New Roman" w:hAnsi="Times New Roman" w:eastAsia="Times New Roman"/>
          <w:color w:val="221F1F"/>
          <w:sz w:val="21"/>
        </w:rPr>
        <w:t>GE</w:t>
      </w:r>
      <w:r>
        <w:rPr>
          <w:rFonts w:ascii="Times New Roman" w:hAnsi="Times New Roman" w:eastAsia="Times New Roman"/>
          <w:color w:val="221F1F"/>
          <w:spacing w:val="-1"/>
          <w:sz w:val="21"/>
        </w:rPr>
        <w:t> </w:t>
      </w:r>
      <w:r>
        <w:rPr>
          <w:rFonts w:ascii="Times New Roman" w:hAnsi="Times New Roman" w:eastAsia="Times New Roman"/>
          <w:color w:val="221F1F"/>
          <w:sz w:val="21"/>
        </w:rPr>
        <w:t>Appliances</w:t>
      </w:r>
      <w:r>
        <w:rPr>
          <w:color w:val="221F1F"/>
          <w:spacing w:val="-3"/>
          <w:sz w:val="21"/>
        </w:rPr>
        <w:t>、</w:t>
      </w:r>
      <w:r>
        <w:rPr>
          <w:rFonts w:ascii="Times New Roman" w:hAnsi="Times New Roman" w:eastAsia="Times New Roman"/>
          <w:color w:val="221F1F"/>
          <w:sz w:val="21"/>
        </w:rPr>
        <w:t>Candy</w:t>
      </w:r>
      <w:r>
        <w:rPr>
          <w:color w:val="221F1F"/>
          <w:sz w:val="21"/>
        </w:rPr>
        <w:t>、</w:t>
      </w:r>
      <w:r>
        <w:rPr>
          <w:rFonts w:ascii="Times New Roman" w:hAnsi="Times New Roman" w:eastAsia="Times New Roman"/>
          <w:color w:val="221F1F"/>
          <w:sz w:val="21"/>
        </w:rPr>
        <w:t>Fisher&amp;Paykel</w:t>
      </w:r>
      <w:r>
        <w:rPr>
          <w:rFonts w:ascii="Times New Roman" w:hAnsi="Times New Roman" w:eastAsia="Times New Roman"/>
          <w:color w:val="221F1F"/>
          <w:spacing w:val="1"/>
          <w:sz w:val="21"/>
        </w:rPr>
        <w:t> </w:t>
      </w:r>
      <w:r>
        <w:rPr>
          <w:color w:val="221F1F"/>
          <w:spacing w:val="-26"/>
          <w:sz w:val="21"/>
        </w:rPr>
        <w:t>及 </w:t>
      </w:r>
      <w:r>
        <w:rPr>
          <w:rFonts w:ascii="Times New Roman" w:hAnsi="Times New Roman" w:eastAsia="Times New Roman"/>
          <w:color w:val="221F1F"/>
          <w:sz w:val="21"/>
        </w:rPr>
        <w:t>AQUA</w:t>
      </w:r>
      <w:r>
        <w:rPr>
          <w:color w:val="221F1F"/>
          <w:spacing w:val="-3"/>
          <w:sz w:val="21"/>
        </w:rPr>
        <w:t>。</w:t>
      </w:r>
      <w:r>
        <w:rPr>
          <w:rFonts w:ascii="Times New Roman" w:hAnsi="Times New Roman" w:eastAsia="Times New Roman"/>
          <w:color w:val="221F1F"/>
          <w:sz w:val="21"/>
        </w:rPr>
        <w:t>2009</w:t>
      </w:r>
      <w:r>
        <w:rPr>
          <w:rFonts w:ascii="Times New Roman" w:hAnsi="Times New Roman" w:eastAsia="Times New Roman"/>
          <w:color w:val="221F1F"/>
          <w:spacing w:val="3"/>
          <w:sz w:val="21"/>
        </w:rPr>
        <w:t> </w:t>
      </w:r>
      <w:r>
        <w:rPr>
          <w:color w:val="221F1F"/>
          <w:spacing w:val="-19"/>
          <w:sz w:val="21"/>
        </w:rPr>
        <w:t>年至 </w:t>
      </w:r>
      <w:r>
        <w:rPr>
          <w:rFonts w:ascii="Times New Roman" w:hAnsi="Times New Roman" w:eastAsia="Times New Roman"/>
          <w:color w:val="221F1F"/>
          <w:sz w:val="21"/>
        </w:rPr>
        <w:t>2020</w:t>
      </w:r>
      <w:r>
        <w:rPr>
          <w:rFonts w:ascii="Times New Roman" w:hAnsi="Times New Roman" w:eastAsia="Times New Roman"/>
          <w:color w:val="221F1F"/>
          <w:spacing w:val="2"/>
          <w:sz w:val="21"/>
        </w:rPr>
        <w:t> </w:t>
      </w:r>
      <w:r>
        <w:rPr>
          <w:color w:val="221F1F"/>
          <w:spacing w:val="-3"/>
          <w:sz w:val="21"/>
        </w:rPr>
        <w:t>年，海尔品牌制冷设备、洗衣</w:t>
      </w:r>
      <w:r>
        <w:rPr>
          <w:color w:val="221F1F"/>
          <w:spacing w:val="-6"/>
          <w:sz w:val="21"/>
        </w:rPr>
        <w:t>设备的零售量在全球大家电品牌中分别连续 </w:t>
      </w:r>
      <w:r>
        <w:rPr>
          <w:rFonts w:ascii="Times New Roman" w:hAnsi="Times New Roman" w:eastAsia="Times New Roman"/>
          <w:color w:val="221F1F"/>
          <w:sz w:val="21"/>
        </w:rPr>
        <w:t>13</w:t>
      </w:r>
      <w:r>
        <w:rPr>
          <w:rFonts w:ascii="Times New Roman" w:hAnsi="Times New Roman" w:eastAsia="Times New Roman"/>
          <w:color w:val="221F1F"/>
          <w:spacing w:val="1"/>
          <w:sz w:val="21"/>
        </w:rPr>
        <w:t> </w:t>
      </w:r>
      <w:r>
        <w:rPr>
          <w:color w:val="221F1F"/>
          <w:spacing w:val="-19"/>
          <w:sz w:val="21"/>
        </w:rPr>
        <w:t>年和 </w:t>
      </w:r>
      <w:r>
        <w:rPr>
          <w:rFonts w:ascii="Times New Roman" w:hAnsi="Times New Roman" w:eastAsia="Times New Roman"/>
          <w:color w:val="221F1F"/>
          <w:sz w:val="21"/>
        </w:rPr>
        <w:t>12</w:t>
      </w:r>
      <w:r>
        <w:rPr>
          <w:rFonts w:ascii="Times New Roman" w:hAnsi="Times New Roman" w:eastAsia="Times New Roman"/>
          <w:color w:val="221F1F"/>
          <w:spacing w:val="-1"/>
          <w:sz w:val="21"/>
        </w:rPr>
        <w:t> </w:t>
      </w:r>
      <w:r>
        <w:rPr>
          <w:color w:val="221F1F"/>
          <w:spacing w:val="-3"/>
          <w:sz w:val="21"/>
        </w:rPr>
        <w:t>年蝉联第一。</w:t>
      </w:r>
    </w:p>
    <w:p>
      <w:pPr>
        <w:pStyle w:val="ListParagraph"/>
        <w:numPr>
          <w:ilvl w:val="0"/>
          <w:numId w:val="3"/>
        </w:numPr>
        <w:tabs>
          <w:tab w:pos="838" w:val="left" w:leader="none"/>
        </w:tabs>
        <w:spacing w:line="364" w:lineRule="auto" w:before="0" w:after="0"/>
        <w:ind w:left="237" w:right="1028" w:firstLine="420"/>
        <w:jc w:val="both"/>
        <w:rPr>
          <w:sz w:val="21"/>
        </w:rPr>
      </w:pPr>
      <w:r>
        <w:rPr>
          <w:color w:val="221F1F"/>
          <w:spacing w:val="-3"/>
          <w:sz w:val="21"/>
        </w:rPr>
        <w:t>全球智慧家庭解决方案的引领者：根据欧睿数据统计，依托全品类的家电产品优势，公司是业内首批推出智慧家庭解决方案的家电企业之一。公司利用互联家电产品及合作资源、海尔智</w:t>
      </w:r>
      <w:r>
        <w:rPr>
          <w:color w:val="221F1F"/>
          <w:spacing w:val="-19"/>
          <w:sz w:val="21"/>
        </w:rPr>
        <w:t>家 </w:t>
      </w:r>
      <w:r>
        <w:rPr>
          <w:rFonts w:ascii="Times New Roman" w:hAnsi="Times New Roman" w:eastAsia="Times New Roman"/>
          <w:color w:val="221F1F"/>
          <w:sz w:val="21"/>
        </w:rPr>
        <w:t>APP</w:t>
      </w:r>
      <w:r>
        <w:rPr>
          <w:rFonts w:ascii="Times New Roman" w:hAnsi="Times New Roman" w:eastAsia="Times New Roman"/>
          <w:color w:val="221F1F"/>
          <w:spacing w:val="20"/>
          <w:sz w:val="21"/>
        </w:rPr>
        <w:t> </w:t>
      </w:r>
      <w:r>
        <w:rPr>
          <w:color w:val="221F1F"/>
          <w:spacing w:val="-7"/>
          <w:sz w:val="21"/>
        </w:rPr>
        <w:t>及海尔智家体验云平台，与线下的体验中心和专卖店相结合，为用户提供不同生活场景的</w:t>
      </w:r>
      <w:r>
        <w:rPr>
          <w:color w:val="221F1F"/>
          <w:spacing w:val="-5"/>
          <w:sz w:val="21"/>
        </w:rPr>
        <w:t>智慧家庭解决方案，满足用户美好生活需求。</w:t>
      </w:r>
    </w:p>
    <w:p>
      <w:pPr>
        <w:pStyle w:val="BodyText"/>
        <w:spacing w:line="367" w:lineRule="auto" w:before="111"/>
        <w:ind w:left="237" w:right="1139" w:firstLine="420"/>
      </w:pPr>
      <w:r>
        <w:rPr>
          <w:color w:val="221F1F"/>
          <w:spacing w:val="-11"/>
        </w:rPr>
        <w:t>经过多年发展，公司形成包括中国智慧家庭业务、海外智慧家庭业务和其他业务在内的三大</w:t>
      </w:r>
      <w:r>
        <w:rPr>
          <w:color w:val="221F1F"/>
          <w:spacing w:val="-6"/>
        </w:rPr>
        <w:t>业务布局。</w:t>
      </w:r>
    </w:p>
    <w:p>
      <w:pPr>
        <w:pStyle w:val="Heading4"/>
        <w:spacing w:before="45"/>
        <w:ind w:left="659"/>
      </w:pPr>
      <w:r>
        <w:rPr>
          <w:color w:val="221F1F"/>
        </w:rPr>
        <w:t>中国智慧家庭业务</w:t>
      </w:r>
    </w:p>
    <w:p>
      <w:pPr>
        <w:pStyle w:val="BodyText"/>
        <w:spacing w:line="364" w:lineRule="auto" w:before="92"/>
        <w:ind w:left="237" w:right="1031" w:firstLine="420"/>
      </w:pPr>
      <w:r>
        <w:rPr>
          <w:color w:val="221F1F"/>
          <w:spacing w:val="-3"/>
        </w:rPr>
        <w:t>公司在中国市场为用户提供全品类的家电产品，并以家电产品为基础，利用在线海尔智家</w:t>
      </w:r>
      <w:r>
        <w:rPr>
          <w:rFonts w:ascii="Times New Roman" w:eastAsia="Times New Roman"/>
          <w:color w:val="221F1F"/>
          <w:spacing w:val="-3"/>
        </w:rPr>
        <w:t>APP</w:t>
      </w:r>
      <w:r>
        <w:rPr>
          <w:color w:val="221F1F"/>
          <w:spacing w:val="-12"/>
        </w:rPr>
        <w:t>及线下体验中心提供增值服务，共同形成智慧家庭解决方案，满足用户不同生活场景的需求。</w:t>
      </w:r>
      <w:r>
        <w:rPr>
          <w:color w:val="221F1F"/>
          <w:spacing w:val="-9"/>
        </w:rPr>
        <w:t>按照不同的用户生活场景，中国智慧家庭业务由全屋食品解决方案</w:t>
      </w:r>
      <w:r>
        <w:rPr>
          <w:color w:val="221F1F"/>
        </w:rPr>
        <w:t>（</w:t>
      </w:r>
      <w:r>
        <w:rPr>
          <w:color w:val="221F1F"/>
          <w:spacing w:val="-3"/>
        </w:rPr>
        <w:t>食联网</w:t>
      </w:r>
      <w:r>
        <w:rPr>
          <w:color w:val="221F1F"/>
          <w:spacing w:val="-25"/>
        </w:rPr>
        <w:t>）</w:t>
      </w:r>
      <w:r>
        <w:rPr>
          <w:color w:val="221F1F"/>
          <w:spacing w:val="-7"/>
        </w:rPr>
        <w:t>、全屋衣物解决方案（</w:t>
      </w:r>
      <w:r>
        <w:rPr>
          <w:color w:val="221F1F"/>
          <w:spacing w:val="-3"/>
        </w:rPr>
        <w:t>衣联网</w:t>
      </w:r>
      <w:r>
        <w:rPr>
          <w:color w:val="221F1F"/>
        </w:rPr>
        <w:t>）</w:t>
      </w:r>
      <w:r>
        <w:rPr>
          <w:color w:val="221F1F"/>
          <w:spacing w:val="-3"/>
        </w:rPr>
        <w:t>、全屋空气解决方案（</w:t>
      </w:r>
      <w:r>
        <w:rPr>
          <w:color w:val="221F1F"/>
          <w:spacing w:val="-2"/>
        </w:rPr>
        <w:t>空气网</w:t>
      </w:r>
      <w:r>
        <w:rPr>
          <w:color w:val="221F1F"/>
          <w:spacing w:val="-3"/>
        </w:rPr>
        <w:t>）及全屋用水解决方案</w:t>
      </w:r>
      <w:r>
        <w:rPr>
          <w:color w:val="221F1F"/>
        </w:rPr>
        <w:t>（</w:t>
      </w:r>
      <w:r>
        <w:rPr>
          <w:color w:val="221F1F"/>
          <w:spacing w:val="-3"/>
        </w:rPr>
        <w:t>水联网</w:t>
      </w:r>
      <w:r>
        <w:rPr>
          <w:color w:val="221F1F"/>
        </w:rPr>
        <w:t>）</w:t>
      </w:r>
      <w:r>
        <w:rPr>
          <w:color w:val="221F1F"/>
          <w:spacing w:val="-2"/>
        </w:rPr>
        <w:t>构成。</w:t>
      </w:r>
    </w:p>
    <w:p>
      <w:pPr>
        <w:pStyle w:val="ListParagraph"/>
        <w:numPr>
          <w:ilvl w:val="0"/>
          <w:numId w:val="3"/>
        </w:numPr>
        <w:tabs>
          <w:tab w:pos="838" w:val="left" w:leader="none"/>
        </w:tabs>
        <w:spacing w:line="364" w:lineRule="auto" w:before="0" w:after="0"/>
        <w:ind w:left="237" w:right="1038" w:firstLine="420"/>
        <w:jc w:val="both"/>
        <w:rPr>
          <w:sz w:val="21"/>
        </w:rPr>
      </w:pPr>
      <w:r>
        <w:rPr>
          <w:color w:val="221F1F"/>
          <w:spacing w:val="-3"/>
          <w:sz w:val="21"/>
        </w:rPr>
        <w:t>全屋食品解决方案（</w:t>
      </w:r>
      <w:r>
        <w:rPr>
          <w:color w:val="221F1F"/>
          <w:spacing w:val="-2"/>
          <w:sz w:val="21"/>
        </w:rPr>
        <w:t>食联网</w:t>
      </w:r>
      <w:r>
        <w:rPr>
          <w:color w:val="221F1F"/>
          <w:sz w:val="21"/>
        </w:rPr>
        <w:t>）</w:t>
      </w:r>
      <w:r>
        <w:rPr>
          <w:color w:val="221F1F"/>
          <w:spacing w:val="-3"/>
          <w:sz w:val="21"/>
        </w:rPr>
        <w:t>：公司根据全屋食品解决方案，通过中国市场销售及出口， 为用户提供冰箱、冷柜、厨房电器等产品，其中具有互联功能的产品能够形成如烟灶联动、冰箱烤箱联动等智慧解决方案，实现为用户提供智慧烹饪、营养方案制定等软硬件结合的饮食增值服务，全面满足用户对便捷、健康、美味体验的需求。</w:t>
      </w:r>
    </w:p>
    <w:p>
      <w:pPr>
        <w:pStyle w:val="ListParagraph"/>
        <w:numPr>
          <w:ilvl w:val="0"/>
          <w:numId w:val="3"/>
        </w:numPr>
        <w:tabs>
          <w:tab w:pos="838" w:val="left" w:leader="none"/>
        </w:tabs>
        <w:spacing w:line="364" w:lineRule="auto" w:before="0" w:after="0"/>
        <w:ind w:left="237" w:right="1038" w:firstLine="420"/>
        <w:jc w:val="both"/>
        <w:rPr>
          <w:sz w:val="21"/>
        </w:rPr>
      </w:pPr>
      <w:r>
        <w:rPr>
          <w:color w:val="221F1F"/>
          <w:spacing w:val="-3"/>
          <w:sz w:val="21"/>
        </w:rPr>
        <w:t>全屋衣物解决方案（</w:t>
      </w:r>
      <w:r>
        <w:rPr>
          <w:color w:val="221F1F"/>
          <w:spacing w:val="-2"/>
          <w:sz w:val="21"/>
        </w:rPr>
        <w:t>衣联网</w:t>
      </w:r>
      <w:r>
        <w:rPr>
          <w:color w:val="221F1F"/>
          <w:sz w:val="21"/>
        </w:rPr>
        <w:t>）</w:t>
      </w:r>
      <w:r>
        <w:rPr>
          <w:color w:val="221F1F"/>
          <w:spacing w:val="-3"/>
          <w:sz w:val="21"/>
        </w:rPr>
        <w:t>：公司根据全屋衣物解决方案，通过中国市场销售及出口， 为用户提供洗衣机、干衣机等产品，其中具有互联功能的产品能够形成如洗干联动、自动适配投放洗衣液等智慧解决方案，实现为用户提供定制化的软硬件结合的洗护增值服务，全面满足用户对衣物清洁、呵护的需求。</w:t>
      </w:r>
    </w:p>
    <w:p>
      <w:pPr>
        <w:pStyle w:val="ListParagraph"/>
        <w:numPr>
          <w:ilvl w:val="0"/>
          <w:numId w:val="3"/>
        </w:numPr>
        <w:tabs>
          <w:tab w:pos="838" w:val="left" w:leader="none"/>
        </w:tabs>
        <w:spacing w:line="364" w:lineRule="auto" w:before="0" w:after="0"/>
        <w:ind w:left="237" w:right="1038" w:firstLine="420"/>
        <w:jc w:val="both"/>
        <w:rPr>
          <w:sz w:val="21"/>
        </w:rPr>
      </w:pPr>
      <w:r>
        <w:rPr>
          <w:color w:val="221F1F"/>
          <w:spacing w:val="-3"/>
          <w:sz w:val="21"/>
        </w:rPr>
        <w:t>全屋空气解决方案（</w:t>
      </w:r>
      <w:r>
        <w:rPr>
          <w:color w:val="221F1F"/>
          <w:spacing w:val="-2"/>
          <w:sz w:val="21"/>
        </w:rPr>
        <w:t>空气网</w:t>
      </w:r>
      <w:r>
        <w:rPr>
          <w:color w:val="221F1F"/>
          <w:sz w:val="21"/>
        </w:rPr>
        <w:t>）</w:t>
      </w:r>
      <w:r>
        <w:rPr>
          <w:color w:val="221F1F"/>
          <w:spacing w:val="-3"/>
          <w:sz w:val="21"/>
        </w:rPr>
        <w:t>：公司根据全屋空气解决方案，通过中国市场销售及出口， 为用户提供家用空调、商用空调、净化器、新风系统等产品，其中具有互联功能的产品能够形成如多屋空调联动、空净联动、智慧感知、适配送风、空气质量检测、智慧杀菌除菌等智慧解决方案，全面满足用户对空气温度、湿度、洁净度、清新度等健康、舒适体验的需求。</w:t>
      </w:r>
    </w:p>
    <w:p>
      <w:pPr>
        <w:spacing w:after="0" w:line="364" w:lineRule="auto"/>
        <w:jc w:val="both"/>
        <w:rPr>
          <w:sz w:val="21"/>
        </w:rPr>
        <w:sectPr>
          <w:pgSz w:w="11910" w:h="16840"/>
          <w:pgMar w:header="874" w:footer="1214" w:top="1360" w:bottom="1400" w:left="1040" w:right="760"/>
        </w:sectPr>
      </w:pPr>
    </w:p>
    <w:p>
      <w:pPr>
        <w:pStyle w:val="ListParagraph"/>
        <w:numPr>
          <w:ilvl w:val="0"/>
          <w:numId w:val="3"/>
        </w:numPr>
        <w:tabs>
          <w:tab w:pos="838" w:val="left" w:leader="none"/>
        </w:tabs>
        <w:spacing w:line="364" w:lineRule="auto" w:before="68" w:after="0"/>
        <w:ind w:left="237" w:right="1028" w:firstLine="420"/>
        <w:jc w:val="both"/>
        <w:rPr>
          <w:sz w:val="21"/>
        </w:rPr>
      </w:pPr>
      <w:r>
        <w:rPr>
          <w:color w:val="221F1F"/>
          <w:spacing w:val="-3"/>
          <w:sz w:val="21"/>
        </w:rPr>
        <w:t>全屋用水解决方案（</w:t>
      </w:r>
      <w:r>
        <w:rPr>
          <w:color w:val="221F1F"/>
          <w:spacing w:val="-2"/>
          <w:sz w:val="21"/>
        </w:rPr>
        <w:t>水联网</w:t>
      </w:r>
      <w:r>
        <w:rPr>
          <w:color w:val="221F1F"/>
          <w:sz w:val="21"/>
        </w:rPr>
        <w:t>）</w:t>
      </w:r>
      <w:r>
        <w:rPr>
          <w:color w:val="221F1F"/>
          <w:spacing w:val="-3"/>
          <w:sz w:val="21"/>
        </w:rPr>
        <w:t>：公司根据全屋用水解决方案，通过中国市场销售及出口， </w:t>
      </w:r>
      <w:r>
        <w:rPr>
          <w:color w:val="221F1F"/>
          <w:spacing w:val="-7"/>
          <w:sz w:val="21"/>
        </w:rPr>
        <w:t>为用户提供电热水器、燃气热水器、太阳能热水器、热泵热水器、</w:t>
      </w:r>
      <w:r>
        <w:rPr>
          <w:rFonts w:ascii="Times New Roman" w:hAnsi="Times New Roman" w:eastAsia="Times New Roman"/>
          <w:color w:val="221F1F"/>
          <w:sz w:val="21"/>
        </w:rPr>
        <w:t>POE</w:t>
      </w:r>
      <w:r>
        <w:rPr>
          <w:rFonts w:ascii="Times New Roman" w:hAnsi="Times New Roman" w:eastAsia="Times New Roman"/>
          <w:color w:val="221F1F"/>
          <w:spacing w:val="18"/>
          <w:sz w:val="21"/>
        </w:rPr>
        <w:t> </w:t>
      </w:r>
      <w:r>
        <w:rPr>
          <w:color w:val="221F1F"/>
          <w:spacing w:val="-6"/>
          <w:sz w:val="21"/>
        </w:rPr>
        <w:t>净水器、</w:t>
      </w:r>
      <w:r>
        <w:rPr>
          <w:rFonts w:ascii="Times New Roman" w:hAnsi="Times New Roman" w:eastAsia="Times New Roman"/>
          <w:color w:val="221F1F"/>
          <w:sz w:val="21"/>
        </w:rPr>
        <w:t>POU</w:t>
      </w:r>
      <w:r>
        <w:rPr>
          <w:rFonts w:ascii="Times New Roman" w:hAnsi="Times New Roman" w:eastAsia="Times New Roman"/>
          <w:color w:val="221F1F"/>
          <w:spacing w:val="20"/>
          <w:sz w:val="21"/>
        </w:rPr>
        <w:t> </w:t>
      </w:r>
      <w:r>
        <w:rPr>
          <w:color w:val="221F1F"/>
          <w:spacing w:val="-5"/>
          <w:sz w:val="21"/>
        </w:rPr>
        <w:t>净水器、软</w:t>
      </w:r>
      <w:r>
        <w:rPr>
          <w:color w:val="221F1F"/>
          <w:spacing w:val="-4"/>
          <w:sz w:val="21"/>
        </w:rPr>
        <w:t>水处理设备等产品，其中具有互联功能的产品能够形成包括热净联动、热暖联动等全屋用水解决</w:t>
      </w:r>
      <w:r>
        <w:rPr>
          <w:color w:val="221F1F"/>
          <w:spacing w:val="-3"/>
          <w:sz w:val="21"/>
        </w:rPr>
        <w:t>方案，全面满足用户净水、软水及热水等用水需求。</w:t>
      </w:r>
    </w:p>
    <w:p>
      <w:pPr>
        <w:pStyle w:val="Heading4"/>
        <w:spacing w:line="316" w:lineRule="exact"/>
        <w:ind w:left="659"/>
      </w:pPr>
      <w:r>
        <w:rPr>
          <w:color w:val="221F1F"/>
        </w:rPr>
        <w:t>海外智慧家庭业务</w:t>
      </w:r>
    </w:p>
    <w:p>
      <w:pPr>
        <w:pStyle w:val="BodyText"/>
        <w:spacing w:line="367" w:lineRule="auto" w:before="91"/>
        <w:ind w:left="237" w:right="1249" w:firstLine="420"/>
      </w:pPr>
      <w:r>
        <w:rPr>
          <w:color w:val="221F1F"/>
        </w:rPr>
        <w:t>除中国市场外，公司也在北美洲、欧洲、南亚和东南亚、澳大利亚和新西兰、日本、中东和非洲等超过</w:t>
      </w:r>
      <w:r>
        <w:rPr>
          <w:rFonts w:ascii="Times New Roman" w:eastAsia="Times New Roman"/>
          <w:color w:val="221F1F"/>
        </w:rPr>
        <w:t>160</w:t>
      </w:r>
      <w:r>
        <w:rPr>
          <w:color w:val="221F1F"/>
        </w:rPr>
        <w:t>个国家和地区为用户制造和销售全品类的家电产品及增值服务。</w:t>
      </w:r>
    </w:p>
    <w:p>
      <w:pPr>
        <w:pStyle w:val="BodyText"/>
        <w:spacing w:line="364" w:lineRule="auto" w:before="110"/>
        <w:ind w:left="237" w:right="1136" w:firstLine="420"/>
        <w:jc w:val="both"/>
      </w:pPr>
      <w:r>
        <w:rPr>
          <w:color w:val="221F1F"/>
          <w:spacing w:val="-11"/>
        </w:rPr>
        <w:t>在海外市场，公司基于各市场当地消费需求生产及销售自有品牌的家电产品。公司已具有超过</w:t>
      </w:r>
      <w:r>
        <w:rPr>
          <w:rFonts w:ascii="Times New Roman" w:eastAsia="Times New Roman"/>
          <w:color w:val="221F1F"/>
          <w:spacing w:val="-11"/>
        </w:rPr>
        <w:t>20</w:t>
      </w:r>
      <w:r>
        <w:rPr>
          <w:color w:val="221F1F"/>
          <w:spacing w:val="-10"/>
        </w:rPr>
        <w:t>年的海外运营经验。公司也通过收购海外业务，进一步扩大海外业务布局。公司于</w:t>
      </w:r>
      <w:r>
        <w:rPr>
          <w:rFonts w:ascii="Times New Roman" w:eastAsia="Times New Roman"/>
          <w:color w:val="221F1F"/>
        </w:rPr>
        <w:t>2015</w:t>
      </w:r>
      <w:r>
        <w:rPr>
          <w:color w:val="221F1F"/>
          <w:spacing w:val="-3"/>
        </w:rPr>
        <w:t>年收</w:t>
      </w:r>
      <w:r>
        <w:rPr>
          <w:color w:val="221F1F"/>
          <w:spacing w:val="-9"/>
        </w:rPr>
        <w:t>购了海尔集团公司海外白色家电业务，其中包括收购日本三洋电机公司的日本及东南亚白色家电</w:t>
      </w:r>
      <w:r>
        <w:rPr>
          <w:color w:val="221F1F"/>
          <w:spacing w:val="-11"/>
        </w:rPr>
        <w:t>业务，于</w:t>
      </w:r>
      <w:r>
        <w:rPr>
          <w:rFonts w:ascii="Times New Roman" w:eastAsia="Times New Roman"/>
          <w:color w:val="221F1F"/>
          <w:spacing w:val="-1"/>
        </w:rPr>
        <w:t>2016</w:t>
      </w:r>
      <w:r>
        <w:rPr>
          <w:color w:val="221F1F"/>
          <w:spacing w:val="-5"/>
        </w:rPr>
        <w:t>年收购美国通用电气公司的家电业务，于</w:t>
      </w:r>
      <w:r>
        <w:rPr>
          <w:rFonts w:ascii="Times New Roman" w:eastAsia="Times New Roman"/>
          <w:color w:val="221F1F"/>
        </w:rPr>
        <w:t>2018</w:t>
      </w:r>
      <w:r>
        <w:rPr>
          <w:color w:val="221F1F"/>
          <w:spacing w:val="-2"/>
        </w:rPr>
        <w:t>年收购</w:t>
      </w:r>
      <w:r>
        <w:rPr>
          <w:rFonts w:ascii="Times New Roman" w:eastAsia="Times New Roman"/>
          <w:color w:val="221F1F"/>
        </w:rPr>
        <w:t>Fisher&amp;Paykel</w:t>
      </w:r>
      <w:r>
        <w:rPr>
          <w:color w:val="221F1F"/>
          <w:spacing w:val="-8"/>
        </w:rPr>
        <w:t>公司，并于</w:t>
      </w:r>
      <w:r>
        <w:rPr>
          <w:rFonts w:ascii="Times New Roman" w:eastAsia="Times New Roman"/>
          <w:color w:val="221F1F"/>
        </w:rPr>
        <w:t>2019 </w:t>
      </w:r>
      <w:r>
        <w:rPr>
          <w:color w:val="221F1F"/>
          <w:spacing w:val="-1"/>
        </w:rPr>
        <w:t>年收购</w:t>
      </w:r>
      <w:r>
        <w:rPr>
          <w:rFonts w:ascii="Times New Roman" w:eastAsia="Times New Roman"/>
          <w:color w:val="221F1F"/>
        </w:rPr>
        <w:t>Candy</w:t>
      </w:r>
      <w:r>
        <w:rPr>
          <w:color w:val="221F1F"/>
          <w:spacing w:val="-3"/>
        </w:rPr>
        <w:t>公司。自主运营业务与海外收购业务协同促进了公司的海外智慧家庭业务发展。</w:t>
      </w:r>
    </w:p>
    <w:p>
      <w:pPr>
        <w:pStyle w:val="BodyText"/>
        <w:spacing w:line="364" w:lineRule="auto"/>
        <w:ind w:left="237" w:right="1036" w:firstLine="420"/>
      </w:pPr>
      <w:r>
        <w:rPr>
          <w:color w:val="221F1F"/>
          <w:spacing w:val="-7"/>
        </w:rPr>
        <w:t>目前公司的海外智慧家庭业务已经进入良性发展期，成功实现了多品牌、跨产品、跨区域的</w:t>
      </w:r>
      <w:r>
        <w:rPr>
          <w:color w:val="221F1F"/>
          <w:spacing w:val="-5"/>
        </w:rPr>
        <w:t>全球化布局。根据欧睿数据统计，</w:t>
      </w:r>
      <w:r>
        <w:rPr>
          <w:rFonts w:ascii="Times New Roman" w:eastAsia="Times New Roman"/>
          <w:color w:val="221F1F"/>
        </w:rPr>
        <w:t>2020</w:t>
      </w:r>
      <w:r>
        <w:rPr>
          <w:color w:val="221F1F"/>
          <w:spacing w:val="-3"/>
        </w:rPr>
        <w:t>年，公司在亚洲大家电市场零售量排名第一，市场份额</w:t>
      </w:r>
      <w:r>
        <w:rPr>
          <w:rFonts w:ascii="Times New Roman" w:eastAsia="Times New Roman"/>
          <w:color w:val="221F1F"/>
          <w:spacing w:val="-3"/>
        </w:rPr>
        <w:t>18.6%</w:t>
      </w:r>
      <w:r>
        <w:rPr>
          <w:color w:val="221F1F"/>
          <w:spacing w:val="-3"/>
        </w:rPr>
        <w:t>；在北美洲排名第二，市场份额</w:t>
      </w:r>
      <w:r>
        <w:rPr>
          <w:rFonts w:ascii="Times New Roman" w:eastAsia="Times New Roman"/>
          <w:color w:val="221F1F"/>
        </w:rPr>
        <w:t>22.0%</w:t>
      </w:r>
      <w:r>
        <w:rPr>
          <w:color w:val="221F1F"/>
        </w:rPr>
        <w:t>；在澳大利亚及新西兰排名第二，市场份额</w:t>
      </w:r>
      <w:r>
        <w:rPr>
          <w:rFonts w:ascii="Times New Roman" w:eastAsia="Times New Roman"/>
          <w:color w:val="221F1F"/>
        </w:rPr>
        <w:t>13.4%</w:t>
      </w:r>
      <w:r>
        <w:rPr>
          <w:color w:val="221F1F"/>
        </w:rPr>
        <w:t>； </w:t>
      </w:r>
      <w:r>
        <w:rPr>
          <w:color w:val="221F1F"/>
          <w:spacing w:val="-3"/>
        </w:rPr>
        <w:t>在中东及非洲排名第三，市场份额</w:t>
      </w:r>
      <w:r>
        <w:rPr>
          <w:rFonts w:ascii="Times New Roman" w:eastAsia="Times New Roman"/>
          <w:color w:val="221F1F"/>
        </w:rPr>
        <w:t>8.4%</w:t>
      </w:r>
      <w:r>
        <w:rPr>
          <w:color w:val="221F1F"/>
          <w:spacing w:val="-3"/>
        </w:rPr>
        <w:t>；在欧洲排名第五，市场份额</w:t>
      </w:r>
      <w:r>
        <w:rPr>
          <w:rFonts w:ascii="Times New Roman" w:eastAsia="Times New Roman"/>
          <w:color w:val="221F1F"/>
        </w:rPr>
        <w:t>7.2%</w:t>
      </w:r>
      <w:r>
        <w:rPr>
          <w:color w:val="221F1F"/>
        </w:rPr>
        <w:t>。</w:t>
      </w:r>
    </w:p>
    <w:p>
      <w:pPr>
        <w:pStyle w:val="Heading4"/>
        <w:spacing w:before="151"/>
        <w:ind w:left="659"/>
      </w:pPr>
      <w:r>
        <w:rPr>
          <w:color w:val="221F1F"/>
        </w:rPr>
        <w:t>其他业务</w:t>
      </w:r>
    </w:p>
    <w:p>
      <w:pPr>
        <w:pStyle w:val="BodyText"/>
        <w:spacing w:line="364" w:lineRule="auto" w:before="94"/>
        <w:ind w:left="237" w:right="1139" w:firstLine="420"/>
        <w:jc w:val="both"/>
      </w:pPr>
      <w:r>
        <w:rPr>
          <w:color w:val="221F1F"/>
          <w:spacing w:val="-9"/>
        </w:rPr>
        <w:t>基于公司已建立的智慧家庭业务，公司还发展了装备部品、生活小家电、渠道分销等其他业</w:t>
      </w:r>
      <w:r>
        <w:rPr>
          <w:color w:val="221F1F"/>
          <w:spacing w:val="-12"/>
        </w:rPr>
        <w:t>务。其中，装备部品业务主要为家电上游配套部件的采购、生产与销售。生活小家电业务主要为</w:t>
      </w:r>
      <w:r>
        <w:rPr>
          <w:color w:val="221F1F"/>
          <w:spacing w:val="-13"/>
        </w:rPr>
        <w:t>本公司设计、委托第三方代工生产并以本公司品牌销售的生活小家电产品，以丰富智慧家庭解决</w:t>
      </w:r>
      <w:r>
        <w:rPr>
          <w:color w:val="221F1F"/>
          <w:spacing w:val="-11"/>
        </w:rPr>
        <w:t>方案的产品。渠道分销业务主要为利用本公司的渠道网络，为海尔集团或第三方品牌的彩电、消</w:t>
      </w:r>
      <w:r>
        <w:rPr>
          <w:color w:val="221F1F"/>
          <w:spacing w:val="-6"/>
        </w:rPr>
        <w:t>费电子类产品等产品提供分销服务。</w:t>
      </w:r>
    </w:p>
    <w:p>
      <w:pPr>
        <w:pStyle w:val="BodyText"/>
        <w:spacing w:line="364" w:lineRule="auto"/>
        <w:ind w:left="237" w:right="1033" w:firstLine="420"/>
      </w:pPr>
      <w:r>
        <w:rPr>
          <w:color w:val="221F1F"/>
          <w:spacing w:val="-15"/>
        </w:rPr>
        <w:t>期内，公司处置了其他业务分部中原有的海尔卡奥斯物联生态科技有限公司</w:t>
      </w:r>
      <w:r>
        <w:rPr>
          <w:color w:val="221F1F"/>
        </w:rPr>
        <w:t>（</w:t>
      </w:r>
      <w:r>
        <w:rPr>
          <w:color w:val="221F1F"/>
          <w:spacing w:val="-2"/>
        </w:rPr>
        <w:t>简称</w:t>
      </w:r>
      <w:r>
        <w:rPr>
          <w:rFonts w:ascii="Times New Roman" w:hAnsi="Times New Roman" w:eastAsia="Times New Roman"/>
          <w:color w:val="221F1F"/>
        </w:rPr>
        <w:t>“</w:t>
      </w:r>
      <w:r>
        <w:rPr>
          <w:color w:val="221F1F"/>
          <w:spacing w:val="-2"/>
        </w:rPr>
        <w:t>卡奥斯</w:t>
      </w:r>
      <w:r>
        <w:rPr>
          <w:rFonts w:ascii="Times New Roman" w:hAnsi="Times New Roman" w:eastAsia="Times New Roman"/>
          <w:color w:val="221F1F"/>
        </w:rPr>
        <w:t>”</w:t>
      </w:r>
      <w:r>
        <w:rPr>
          <w:color w:val="221F1F"/>
        </w:rPr>
        <w:t>） </w:t>
      </w:r>
      <w:r>
        <w:rPr>
          <w:rFonts w:ascii="Times New Roman" w:hAnsi="Times New Roman" w:eastAsia="Times New Roman"/>
          <w:color w:val="221F1F"/>
        </w:rPr>
        <w:t>54.50%</w:t>
      </w:r>
      <w:r>
        <w:rPr>
          <w:color w:val="221F1F"/>
          <w:spacing w:val="-3"/>
        </w:rPr>
        <w:t>的股权。公司仍通过直接和间接合计持有卡奥斯</w:t>
      </w:r>
      <w:r>
        <w:rPr>
          <w:rFonts w:ascii="Times New Roman" w:hAnsi="Times New Roman" w:eastAsia="Times New Roman"/>
          <w:color w:val="221F1F"/>
        </w:rPr>
        <w:t>18.75%</w:t>
      </w:r>
      <w:r>
        <w:rPr>
          <w:color w:val="221F1F"/>
          <w:spacing w:val="-2"/>
        </w:rPr>
        <w:t>股权。</w:t>
      </w:r>
      <w:r>
        <w:rPr>
          <w:rFonts w:ascii="Times New Roman" w:hAnsi="Times New Roman" w:eastAsia="Times New Roman"/>
          <w:color w:val="221F1F"/>
        </w:rPr>
        <w:t>2020</w:t>
      </w:r>
      <w:r>
        <w:rPr>
          <w:color w:val="221F1F"/>
          <w:spacing w:val="-3"/>
        </w:rPr>
        <w:t>年四季度卡奥斯不再 纳入公司合并报表范围，卡奥斯业务不再纳入其他业务分部。</w:t>
      </w:r>
    </w:p>
    <w:p>
      <w:pPr>
        <w:pStyle w:val="BodyText"/>
        <w:spacing w:before="11"/>
        <w:rPr>
          <w:sz w:val="27"/>
        </w:rPr>
      </w:pPr>
    </w:p>
    <w:p>
      <w:pPr>
        <w:pStyle w:val="BodyText"/>
        <w:ind w:left="657"/>
      </w:pPr>
      <w:r>
        <w:rPr>
          <w:color w:val="221F1F"/>
          <w:spacing w:val="-14"/>
        </w:rPr>
        <w:t>期内，公司再次入围《财富》杂志世界 </w:t>
      </w:r>
      <w:r>
        <w:rPr>
          <w:rFonts w:ascii="Times New Roman" w:eastAsia="Times New Roman"/>
          <w:color w:val="221F1F"/>
        </w:rPr>
        <w:t>500</w:t>
      </w:r>
      <w:r>
        <w:rPr>
          <w:rFonts w:ascii="Times New Roman" w:eastAsia="Times New Roman"/>
          <w:color w:val="221F1F"/>
          <w:spacing w:val="4"/>
        </w:rPr>
        <w:t> </w:t>
      </w:r>
      <w:r>
        <w:rPr>
          <w:color w:val="221F1F"/>
          <w:spacing w:val="-15"/>
        </w:rPr>
        <w:t>强，排名较 </w:t>
      </w:r>
      <w:r>
        <w:rPr>
          <w:rFonts w:ascii="Times New Roman" w:eastAsia="Times New Roman"/>
          <w:color w:val="221F1F"/>
        </w:rPr>
        <w:t>2019</w:t>
      </w:r>
      <w:r>
        <w:rPr>
          <w:rFonts w:ascii="Times New Roman" w:eastAsia="Times New Roman"/>
          <w:color w:val="221F1F"/>
          <w:spacing w:val="7"/>
        </w:rPr>
        <w:t> </w:t>
      </w:r>
      <w:r>
        <w:rPr>
          <w:color w:val="221F1F"/>
          <w:spacing w:val="-14"/>
        </w:rPr>
        <w:t>年提升 </w:t>
      </w:r>
      <w:r>
        <w:rPr>
          <w:rFonts w:ascii="Times New Roman" w:eastAsia="Times New Roman"/>
          <w:color w:val="221F1F"/>
        </w:rPr>
        <w:t>13</w:t>
      </w:r>
      <w:r>
        <w:rPr>
          <w:rFonts w:ascii="Times New Roman" w:eastAsia="Times New Roman"/>
          <w:color w:val="221F1F"/>
          <w:spacing w:val="8"/>
        </w:rPr>
        <w:t> </w:t>
      </w:r>
      <w:r>
        <w:rPr>
          <w:color w:val="221F1F"/>
          <w:spacing w:val="-10"/>
        </w:rPr>
        <w:t>个名次；入选《财富》</w:t>
      </w:r>
    </w:p>
    <w:p>
      <w:pPr>
        <w:pStyle w:val="BodyText"/>
        <w:spacing w:before="142"/>
        <w:ind w:left="237"/>
      </w:pPr>
      <w:r>
        <w:rPr>
          <w:color w:val="221F1F"/>
          <w:spacing w:val="-10"/>
        </w:rPr>
        <w:t>杂志 </w:t>
      </w:r>
      <w:r>
        <w:rPr>
          <w:rFonts w:ascii="Times New Roman" w:eastAsia="Times New Roman"/>
          <w:color w:val="221F1F"/>
        </w:rPr>
        <w:t>2021</w:t>
      </w:r>
      <w:r>
        <w:rPr>
          <w:rFonts w:ascii="Times New Roman" w:eastAsia="Times New Roman"/>
          <w:color w:val="221F1F"/>
          <w:spacing w:val="20"/>
        </w:rPr>
        <w:t> </w:t>
      </w:r>
      <w:r>
        <w:rPr>
          <w:color w:val="221F1F"/>
          <w:spacing w:val="-10"/>
        </w:rPr>
        <w:t>年全球最受赞赏公司，是家电家居领域欧亚唯一入选公司，也是除美国本土之外的唯一</w:t>
      </w:r>
    </w:p>
    <w:p>
      <w:pPr>
        <w:pStyle w:val="BodyText"/>
        <w:spacing w:line="364" w:lineRule="auto" w:before="139"/>
        <w:ind w:left="237" w:right="1028"/>
      </w:pPr>
      <w:r>
        <w:rPr>
          <w:color w:val="221F1F"/>
          <w:spacing w:val="-11"/>
        </w:rPr>
        <w:t>入选企业；同时，再次入选 </w:t>
      </w:r>
      <w:r>
        <w:rPr>
          <w:rFonts w:ascii="Times New Roman" w:eastAsia="Times New Roman"/>
          <w:color w:val="221F1F"/>
        </w:rPr>
        <w:t>BrandZ</w:t>
      </w:r>
      <w:r>
        <w:rPr>
          <w:rFonts w:ascii="Times New Roman" w:eastAsia="Times New Roman"/>
          <w:color w:val="221F1F"/>
          <w:position w:val="7"/>
          <w:sz w:val="14"/>
        </w:rPr>
        <w:t>tm </w:t>
      </w:r>
      <w:r>
        <w:rPr>
          <w:rFonts w:ascii="Times New Roman" w:eastAsia="Times New Roman"/>
          <w:color w:val="221F1F"/>
        </w:rPr>
        <w:t>2021 </w:t>
      </w:r>
      <w:r>
        <w:rPr>
          <w:color w:val="221F1F"/>
          <w:spacing w:val="-8"/>
        </w:rPr>
        <w:t>最具价值全球品牌 </w:t>
      </w:r>
      <w:r>
        <w:rPr>
          <w:rFonts w:ascii="Times New Roman" w:eastAsia="Times New Roman"/>
          <w:color w:val="221F1F"/>
        </w:rPr>
        <w:t>100 </w:t>
      </w:r>
      <w:r>
        <w:rPr>
          <w:color w:val="221F1F"/>
          <w:spacing w:val="-6"/>
        </w:rPr>
        <w:t>强，成为全球唯一入选物联网生</w:t>
      </w:r>
      <w:r>
        <w:rPr>
          <w:color w:val="221F1F"/>
          <w:spacing w:val="-4"/>
        </w:rPr>
        <w:t>态品牌。</w:t>
      </w:r>
    </w:p>
    <w:p>
      <w:pPr>
        <w:pStyle w:val="BodyText"/>
        <w:spacing w:before="11"/>
      </w:pPr>
    </w:p>
    <w:p>
      <w:pPr>
        <w:pStyle w:val="Heading2"/>
      </w:pPr>
      <w:r>
        <w:rPr>
          <w:rFonts w:ascii="Times New Roman" w:eastAsia="Times New Roman"/>
          <w:color w:val="221F1F"/>
        </w:rPr>
        <w:t>2020 </w:t>
      </w:r>
      <w:r>
        <w:rPr>
          <w:color w:val="221F1F"/>
        </w:rPr>
        <w:t>年行业总结</w:t>
      </w:r>
    </w:p>
    <w:p>
      <w:pPr>
        <w:pStyle w:val="Heading4"/>
        <w:spacing w:before="157"/>
        <w:ind w:left="659"/>
      </w:pPr>
      <w:r>
        <w:rPr>
          <w:color w:val="221F1F"/>
        </w:rPr>
        <w:t>（一）中国市场</w:t>
      </w:r>
    </w:p>
    <w:p>
      <w:pPr>
        <w:spacing w:after="0"/>
        <w:sectPr>
          <w:pgSz w:w="11910" w:h="16840"/>
          <w:pgMar w:header="874" w:footer="1214" w:top="1360" w:bottom="1400" w:left="1040" w:right="760"/>
        </w:sectPr>
      </w:pPr>
    </w:p>
    <w:p>
      <w:pPr>
        <w:pStyle w:val="BodyText"/>
        <w:spacing w:line="364" w:lineRule="auto" w:before="68"/>
        <w:ind w:left="237" w:right="1028" w:firstLine="420"/>
        <w:jc w:val="both"/>
      </w:pPr>
      <w:r>
        <w:rPr>
          <w:color w:val="221F1F"/>
          <w:spacing w:val="-3"/>
        </w:rPr>
        <w:t>受新冠疫情、复杂多变的国际环境等因素影响，中国经济增速下滑，根据国家统计局数据， </w:t>
      </w:r>
      <w:r>
        <w:rPr>
          <w:rFonts w:ascii="Times New Roman" w:eastAsia="Times New Roman"/>
          <w:color w:val="221F1F"/>
          <w:spacing w:val="-3"/>
        </w:rPr>
        <w:t>2020 </w:t>
      </w:r>
      <w:r>
        <w:rPr>
          <w:color w:val="221F1F"/>
          <w:spacing w:val="-26"/>
        </w:rPr>
        <w:t>年，我国 </w:t>
      </w:r>
      <w:r>
        <w:rPr>
          <w:rFonts w:ascii="Times New Roman" w:eastAsia="Times New Roman"/>
          <w:color w:val="221F1F"/>
        </w:rPr>
        <w:t>GDP </w:t>
      </w:r>
      <w:r>
        <w:rPr>
          <w:color w:val="221F1F"/>
          <w:spacing w:val="-12"/>
        </w:rPr>
        <w:t>总额突破 </w:t>
      </w:r>
      <w:r>
        <w:rPr>
          <w:rFonts w:ascii="Times New Roman" w:eastAsia="Times New Roman"/>
          <w:color w:val="221F1F"/>
        </w:rPr>
        <w:t>101 </w:t>
      </w:r>
      <w:r>
        <w:rPr>
          <w:color w:val="221F1F"/>
          <w:spacing w:val="-13"/>
        </w:rPr>
        <w:t>万亿人民币，比上年同比增长 </w:t>
      </w:r>
      <w:r>
        <w:rPr>
          <w:rFonts w:ascii="Times New Roman" w:eastAsia="Times New Roman"/>
          <w:color w:val="221F1F"/>
          <w:spacing w:val="-16"/>
        </w:rPr>
        <w:t>2.3%</w:t>
      </w:r>
      <w:r>
        <w:rPr>
          <w:color w:val="221F1F"/>
          <w:spacing w:val="-13"/>
        </w:rPr>
        <w:t>，增速为近 </w:t>
      </w:r>
      <w:r>
        <w:rPr>
          <w:rFonts w:ascii="Times New Roman" w:eastAsia="Times New Roman"/>
          <w:color w:val="221F1F"/>
        </w:rPr>
        <w:t>5 </w:t>
      </w:r>
      <w:r>
        <w:rPr>
          <w:color w:val="221F1F"/>
          <w:spacing w:val="-3"/>
        </w:rPr>
        <w:t>年来最低水平。一季度，疫情的爆发对经济及企业造成了强烈冲击，居民平均收入下降，消费行为趋于谨慎，家电市场遭遇冰点，总体消费需求萎缩。但随着国内疫情得到有效控制、行业实现有序复工复产、</w:t>
      </w:r>
      <w:r>
        <w:rPr>
          <w:color w:val="221F1F"/>
          <w:spacing w:val="-16"/>
        </w:rPr>
        <w:t>消费需求得以释放，自二季度以来，整体家电市场逐渐摆脱疫情冲击，市场销售逐季度环比改善。</w:t>
      </w:r>
      <w:r>
        <w:rPr>
          <w:color w:val="221F1F"/>
          <w:spacing w:val="-12"/>
        </w:rPr>
        <w:t>据中怡康数据，国内白色家电、厨房家电全年零售额市场规模实现人民币 </w:t>
      </w:r>
      <w:r>
        <w:rPr>
          <w:rFonts w:ascii="Times New Roman" w:eastAsia="Times New Roman"/>
          <w:color w:val="221F1F"/>
        </w:rPr>
        <w:t>4487 </w:t>
      </w:r>
      <w:r>
        <w:rPr>
          <w:color w:val="221F1F"/>
          <w:spacing w:val="-7"/>
        </w:rPr>
        <w:t>亿元，较同期下降</w:t>
      </w:r>
      <w:r>
        <w:rPr>
          <w:rFonts w:ascii="Times New Roman" w:eastAsia="Times New Roman"/>
          <w:color w:val="221F1F"/>
          <w:spacing w:val="-7"/>
        </w:rPr>
        <w:t>11.9%</w:t>
      </w:r>
      <w:r>
        <w:rPr>
          <w:color w:val="221F1F"/>
          <w:spacing w:val="-7"/>
        </w:rPr>
        <w:t>，其中冰箱、洗衣机、空调、厨电等品类零售额分别负增长 </w:t>
      </w:r>
      <w:r>
        <w:rPr>
          <w:rFonts w:ascii="Times New Roman" w:eastAsia="Times New Roman"/>
          <w:color w:val="221F1F"/>
        </w:rPr>
        <w:t>3.3%</w:t>
      </w:r>
      <w:r>
        <w:rPr>
          <w:color w:val="221F1F"/>
          <w:spacing w:val="-3"/>
        </w:rPr>
        <w:t>、</w:t>
      </w:r>
      <w:r>
        <w:rPr>
          <w:rFonts w:ascii="Times New Roman" w:eastAsia="Times New Roman"/>
          <w:color w:val="221F1F"/>
        </w:rPr>
        <w:t>6.5%</w:t>
      </w:r>
      <w:r>
        <w:rPr>
          <w:color w:val="221F1F"/>
        </w:rPr>
        <w:t>、</w:t>
      </w:r>
      <w:r>
        <w:rPr>
          <w:rFonts w:ascii="Times New Roman" w:eastAsia="Times New Roman"/>
          <w:color w:val="221F1F"/>
        </w:rPr>
        <w:t>22%</w:t>
      </w:r>
      <w:r>
        <w:rPr>
          <w:color w:val="221F1F"/>
        </w:rPr>
        <w:t>、</w:t>
      </w:r>
      <w:r>
        <w:rPr>
          <w:rFonts w:ascii="Times New Roman" w:eastAsia="Times New Roman"/>
          <w:color w:val="221F1F"/>
        </w:rPr>
        <w:t>5.4%</w:t>
      </w:r>
      <w:r>
        <w:rPr>
          <w:color w:val="221F1F"/>
        </w:rPr>
        <w:t>。但</w:t>
      </w:r>
      <w:r>
        <w:rPr>
          <w:color w:val="221F1F"/>
          <w:spacing w:val="-7"/>
        </w:rPr>
        <w:t>是，下半年零售规模达到 </w:t>
      </w:r>
      <w:r>
        <w:rPr>
          <w:rFonts w:ascii="Times New Roman" w:eastAsia="Times New Roman"/>
          <w:color w:val="221F1F"/>
        </w:rPr>
        <w:t>2,329 </w:t>
      </w:r>
      <w:r>
        <w:rPr>
          <w:color w:val="221F1F"/>
          <w:spacing w:val="-8"/>
        </w:rPr>
        <w:t>亿元，同比负增长 </w:t>
      </w:r>
      <w:r>
        <w:rPr>
          <w:rFonts w:ascii="Times New Roman" w:eastAsia="Times New Roman"/>
          <w:color w:val="221F1F"/>
        </w:rPr>
        <w:t>2.4%</w:t>
      </w:r>
      <w:r>
        <w:rPr>
          <w:color w:val="221F1F"/>
          <w:spacing w:val="-3"/>
        </w:rPr>
        <w:t>，降幅较上半年明显收窄。受到后疫情时代催化，家电市场持续向健康、智能化升级，并在细分品类和渠道呈现亮点。</w:t>
      </w:r>
    </w:p>
    <w:p>
      <w:pPr>
        <w:pStyle w:val="BodyText"/>
        <w:spacing w:line="364" w:lineRule="auto"/>
        <w:ind w:left="237" w:right="1038" w:firstLine="420"/>
        <w:jc w:val="both"/>
      </w:pPr>
      <w:r>
        <w:rPr>
          <w:color w:val="221F1F"/>
          <w:spacing w:val="-2"/>
        </w:rPr>
        <w:t>首先，疫情</w:t>
      </w:r>
      <w:r>
        <w:rPr>
          <w:rFonts w:ascii="Times New Roman" w:hAnsi="Times New Roman" w:eastAsia="Times New Roman"/>
          <w:color w:val="221F1F"/>
        </w:rPr>
        <w:t>“</w:t>
      </w:r>
      <w:r>
        <w:rPr>
          <w:color w:val="221F1F"/>
          <w:spacing w:val="-2"/>
        </w:rPr>
        <w:t>黑天鹅</w:t>
      </w:r>
      <w:r>
        <w:rPr>
          <w:rFonts w:ascii="Times New Roman" w:hAnsi="Times New Roman" w:eastAsia="Times New Roman"/>
          <w:color w:val="221F1F"/>
          <w:spacing w:val="-3"/>
        </w:rPr>
        <w:t>”</w:t>
      </w:r>
      <w:r>
        <w:rPr>
          <w:color w:val="221F1F"/>
          <w:spacing w:val="-3"/>
        </w:rPr>
        <w:t>事件在对各经济领域产生影响的同时，也重塑了居民的消费理念。由于居家时间延长，居民对家电产品的依赖程度增强，比如因囤积食物的需求带来对大容量冰箱的追捧，对居家洗护频次的提升带来对大容量洗衣机、热水器的青睐。同时，用户对品质生活有了更高要求，推动了产品功能升级，消毒杀菌、环保类品质家电成为消费热点。主打新风、自清洁及舒适风感的空调，具备高温杀菌功能的洗衣机、兼顾保鲜及净味抑菌的冰箱及消毒柜、净水机、</w:t>
      </w:r>
      <w:r>
        <w:rPr>
          <w:color w:val="221F1F"/>
          <w:spacing w:val="-5"/>
        </w:rPr>
        <w:t>净化器等家电产品有明显增长。根据中怡康零售监测数据，针对 </w:t>
      </w:r>
      <w:r>
        <w:rPr>
          <w:rFonts w:ascii="Times New Roman" w:hAnsi="Times New Roman" w:eastAsia="Times New Roman"/>
          <w:color w:val="221F1F"/>
        </w:rPr>
        <w:t>2020 </w:t>
      </w:r>
      <w:r>
        <w:rPr>
          <w:color w:val="221F1F"/>
          <w:spacing w:val="-23"/>
        </w:rPr>
        <w:t>年 </w:t>
      </w:r>
      <w:r>
        <w:rPr>
          <w:rFonts w:ascii="Times New Roman" w:hAnsi="Times New Roman" w:eastAsia="Times New Roman"/>
          <w:color w:val="221F1F"/>
        </w:rPr>
        <w:t>1-11 </w:t>
      </w:r>
      <w:r>
        <w:rPr>
          <w:color w:val="221F1F"/>
          <w:spacing w:val="-3"/>
        </w:rPr>
        <w:t>月线上家电市场主要卖点调查显示，洗衣机、电饭煲、加湿器等产品中，健康功能品类销售额均居高位。</w:t>
      </w:r>
    </w:p>
    <w:p>
      <w:pPr>
        <w:pStyle w:val="BodyText"/>
        <w:spacing w:line="364" w:lineRule="auto"/>
        <w:ind w:left="237" w:right="1038" w:firstLine="420"/>
      </w:pPr>
      <w:r>
        <w:rPr>
          <w:color w:val="221F1F"/>
          <w:spacing w:val="-3"/>
        </w:rPr>
        <w:t>其次，家电产品功能的升级也进一步推动了智能家居的发展。得益于物联网、云计算、大数据、人工智能等技术的驱动，智能家居以其无接触的交互方式及多产品联动、自主学习的特性， </w:t>
      </w:r>
      <w:r>
        <w:rPr>
          <w:color w:val="221F1F"/>
          <w:spacing w:val="-4"/>
        </w:rPr>
        <w:t>为居家生活带来了极大便利。例如，智能化程度较高的扫地机器人可以一机多用，并且通过 </w:t>
      </w:r>
      <w:r>
        <w:rPr>
          <w:rFonts w:ascii="Times New Roman" w:eastAsia="Times New Roman"/>
          <w:color w:val="221F1F"/>
        </w:rPr>
        <w:t>AI </w:t>
      </w:r>
      <w:r>
        <w:rPr>
          <w:color w:val="221F1F"/>
          <w:spacing w:val="-3"/>
        </w:rPr>
        <w:t>学习和自动识别掌握房间布局，并提供家庭安防服务，成为客厅新的连接中心。单品智能化也推动了全屋智能的兴起，从单品购买到套系化定制、从单一网器到智慧场景已成为未来家电产业的发展趋势，众多巨头纷纷入局。同时，随着更多开放云平台出现，硬件开发成本降低，智慧家庭生态链日渐成熟。而用户对智能家居消费习惯正在逐渐强化，对成套购买和场景购买的比例日渐提升。</w:t>
      </w:r>
    </w:p>
    <w:p>
      <w:pPr>
        <w:pStyle w:val="BodyText"/>
        <w:spacing w:line="364" w:lineRule="auto"/>
        <w:ind w:left="237" w:right="1031" w:firstLine="420"/>
        <w:jc w:val="both"/>
      </w:pPr>
      <w:r>
        <w:rPr>
          <w:color w:val="221F1F"/>
          <w:spacing w:val="-15"/>
        </w:rPr>
        <w:t>再次，随着新兴消费群体的成熟、健康品质生活理念的深入，具备单价低、体积小、免安装、</w:t>
      </w:r>
      <w:r>
        <w:rPr>
          <w:color w:val="221F1F"/>
          <w:spacing w:val="-7"/>
        </w:rPr>
        <w:t>轻服务特性的小家电成为新的市场热点。尤其在疫情期间，小家电凭借更加贴合直播电商的线上</w:t>
      </w:r>
      <w:r>
        <w:rPr>
          <w:color w:val="221F1F"/>
          <w:spacing w:val="-5"/>
        </w:rPr>
        <w:t>销售模式，实现了逆势增长。如根据奥维云网数据，二零二零年，破壁机、微蒸烤复合机等品类</w:t>
      </w:r>
      <w:r>
        <w:rPr>
          <w:color w:val="221F1F"/>
          <w:spacing w:val="-7"/>
        </w:rPr>
        <w:t>线上销售额增速分别达到 </w:t>
      </w:r>
      <w:r>
        <w:rPr>
          <w:rFonts w:ascii="Times New Roman" w:eastAsia="Times New Roman"/>
          <w:color w:val="221F1F"/>
        </w:rPr>
        <w:t>108.7%</w:t>
      </w:r>
      <w:r>
        <w:rPr>
          <w:color w:val="221F1F"/>
        </w:rPr>
        <w:t>、</w:t>
      </w:r>
      <w:r>
        <w:rPr>
          <w:rFonts w:ascii="Times New Roman" w:eastAsia="Times New Roman"/>
          <w:color w:val="221F1F"/>
        </w:rPr>
        <w:t>43.8%</w:t>
      </w:r>
      <w:r>
        <w:rPr>
          <w:color w:val="221F1F"/>
          <w:spacing w:val="-3"/>
        </w:rPr>
        <w:t>。在传统大家电增速放缓的背景下，兼具功能性与享受性的小家电不仅可以打探市场上行空间，也为新兴品类的发展提供了机会。</w:t>
      </w:r>
    </w:p>
    <w:p>
      <w:pPr>
        <w:pStyle w:val="BodyText"/>
        <w:spacing w:line="364" w:lineRule="auto"/>
        <w:ind w:left="237" w:right="1029" w:firstLine="420"/>
        <w:jc w:val="both"/>
      </w:pPr>
      <w:r>
        <w:rPr>
          <w:color w:val="221F1F"/>
          <w:spacing w:val="-3"/>
        </w:rPr>
        <w:t>最后，在渠道方面，由于线下卖场受到疫情防控影响，线上渠道成为需求释放的主要渠道。根据奥维云网市场监测数据，在整体消费下降的背景下，空调、冰箱、洗衣机等品类线上市场零</w:t>
      </w:r>
      <w:r>
        <w:rPr>
          <w:color w:val="221F1F"/>
          <w:spacing w:val="-7"/>
        </w:rPr>
        <w:t>售量占比均有所上升，分别达到 </w:t>
      </w:r>
      <w:r>
        <w:rPr>
          <w:rFonts w:ascii="Times New Roman" w:eastAsia="Times New Roman"/>
          <w:color w:val="221F1F"/>
        </w:rPr>
        <w:t>51.5%</w:t>
      </w:r>
      <w:r>
        <w:rPr>
          <w:color w:val="221F1F"/>
          <w:spacing w:val="-8"/>
        </w:rPr>
        <w:t>、</w:t>
      </w:r>
      <w:r>
        <w:rPr>
          <w:rFonts w:ascii="Times New Roman" w:eastAsia="Times New Roman"/>
          <w:color w:val="221F1F"/>
        </w:rPr>
        <w:t>60.3%</w:t>
      </w:r>
      <w:r>
        <w:rPr>
          <w:color w:val="221F1F"/>
          <w:spacing w:val="-5"/>
        </w:rPr>
        <w:t>、</w:t>
      </w:r>
      <w:r>
        <w:rPr>
          <w:rFonts w:ascii="Times New Roman" w:eastAsia="Times New Roman"/>
          <w:color w:val="221F1F"/>
          <w:spacing w:val="-3"/>
        </w:rPr>
        <w:t>64.6%</w:t>
      </w:r>
      <w:r>
        <w:rPr>
          <w:color w:val="221F1F"/>
          <w:spacing w:val="-13"/>
        </w:rPr>
        <w:t>，提升 </w:t>
      </w:r>
      <w:r>
        <w:rPr>
          <w:rFonts w:ascii="Times New Roman" w:eastAsia="Times New Roman"/>
          <w:color w:val="221F1F"/>
        </w:rPr>
        <w:t>7.4</w:t>
      </w:r>
      <w:r>
        <w:rPr>
          <w:color w:val="221F1F"/>
          <w:spacing w:val="-5"/>
        </w:rPr>
        <w:t>、</w:t>
      </w:r>
      <w:r>
        <w:rPr>
          <w:rFonts w:ascii="Times New Roman" w:eastAsia="Times New Roman"/>
          <w:color w:val="221F1F"/>
        </w:rPr>
        <w:t>8.0</w:t>
      </w:r>
      <w:r>
        <w:rPr>
          <w:color w:val="221F1F"/>
          <w:spacing w:val="-5"/>
        </w:rPr>
        <w:t>、</w:t>
      </w:r>
      <w:r>
        <w:rPr>
          <w:rFonts w:ascii="Times New Roman" w:eastAsia="Times New Roman"/>
          <w:color w:val="221F1F"/>
        </w:rPr>
        <w:t>9.3 </w:t>
      </w:r>
      <w:r>
        <w:rPr>
          <w:color w:val="221F1F"/>
          <w:spacing w:val="-4"/>
        </w:rPr>
        <w:t>个百分点。由于居家</w:t>
      </w:r>
      <w:r>
        <w:rPr>
          <w:color w:val="221F1F"/>
          <w:spacing w:val="-3"/>
        </w:rPr>
        <w:t>时间延长、新一代年轻群体偏好网购，电商作为无接触、云体验的营销媒介，对用户购买意向和决策产生巨大的影响。而直播电商依托平台资源和技术优势，凭借移动化、社交化、场景化的特</w:t>
      </w:r>
    </w:p>
    <w:p>
      <w:pPr>
        <w:spacing w:after="0" w:line="364" w:lineRule="auto"/>
        <w:jc w:val="both"/>
        <w:sectPr>
          <w:pgSz w:w="11910" w:h="16840"/>
          <w:pgMar w:header="874" w:footer="1214" w:top="1360" w:bottom="1400" w:left="1040" w:right="760"/>
        </w:sectPr>
      </w:pPr>
    </w:p>
    <w:p>
      <w:pPr>
        <w:pStyle w:val="BodyText"/>
        <w:spacing w:line="364" w:lineRule="auto" w:before="68"/>
        <w:ind w:left="237" w:right="1029"/>
        <w:jc w:val="both"/>
      </w:pPr>
      <w:r>
        <w:rPr>
          <w:color w:val="221F1F"/>
          <w:spacing w:val="-9"/>
        </w:rPr>
        <w:t>点，提高了传播效率并加速流量变现，成为当前重要电商营销模式之一。未来，伴随 </w:t>
      </w:r>
      <w:r>
        <w:rPr>
          <w:rFonts w:ascii="Times New Roman" w:eastAsia="Times New Roman"/>
          <w:color w:val="221F1F"/>
          <w:spacing w:val="-3"/>
        </w:rPr>
        <w:t>KOL</w:t>
      </w:r>
      <w:r>
        <w:rPr>
          <w:color w:val="221F1F"/>
          <w:spacing w:val="-15"/>
        </w:rPr>
        <w:t>、</w:t>
      </w:r>
      <w:r>
        <w:rPr>
          <w:rFonts w:ascii="Times New Roman" w:eastAsia="Times New Roman"/>
          <w:color w:val="221F1F"/>
        </w:rPr>
        <w:t>KOC </w:t>
      </w:r>
      <w:r>
        <w:rPr>
          <w:color w:val="221F1F"/>
          <w:spacing w:val="-12"/>
        </w:rPr>
        <w:t>等核心用户圈层的兴起，以及 </w:t>
      </w:r>
      <w:r>
        <w:rPr>
          <w:rFonts w:ascii="Times New Roman" w:eastAsia="Times New Roman"/>
          <w:color w:val="221F1F"/>
        </w:rPr>
        <w:t>5G</w:t>
      </w:r>
      <w:r>
        <w:rPr>
          <w:rFonts w:ascii="Times New Roman" w:eastAsia="Times New Roman"/>
          <w:color w:val="221F1F"/>
          <w:spacing w:val="9"/>
        </w:rPr>
        <w:t> </w:t>
      </w:r>
      <w:r>
        <w:rPr>
          <w:color w:val="221F1F"/>
          <w:spacing w:val="-9"/>
        </w:rPr>
        <w:t>网络的普及和 </w:t>
      </w:r>
      <w:r>
        <w:rPr>
          <w:rFonts w:ascii="Times New Roman" w:eastAsia="Times New Roman"/>
          <w:color w:val="221F1F"/>
        </w:rPr>
        <w:t>VR</w:t>
      </w:r>
      <w:r>
        <w:rPr>
          <w:rFonts w:ascii="Times New Roman" w:eastAsia="Times New Roman"/>
          <w:color w:val="221F1F"/>
          <w:spacing w:val="9"/>
        </w:rPr>
        <w:t> </w:t>
      </w:r>
      <w:r>
        <w:rPr>
          <w:color w:val="221F1F"/>
          <w:spacing w:val="-9"/>
        </w:rPr>
        <w:t>技术的日趋成熟，线上内容平台将更加丰富， </w:t>
      </w:r>
      <w:r>
        <w:rPr>
          <w:color w:val="221F1F"/>
          <w:spacing w:val="-5"/>
        </w:rPr>
        <w:t>电商直播有望带给企业和用户更深入直接的交互。</w:t>
      </w:r>
    </w:p>
    <w:p>
      <w:pPr>
        <w:pStyle w:val="Heading4"/>
        <w:spacing w:before="50"/>
        <w:ind w:left="659"/>
      </w:pPr>
      <w:r>
        <w:rPr>
          <w:color w:val="221F1F"/>
        </w:rPr>
        <w:t>（二）海外市场</w:t>
      </w:r>
    </w:p>
    <w:p>
      <w:pPr>
        <w:pStyle w:val="BodyText"/>
        <w:spacing w:before="9"/>
        <w:rPr>
          <w:rFonts w:ascii="Microsoft JhengHei"/>
          <w:b/>
          <w:sz w:val="11"/>
        </w:rPr>
      </w:pPr>
    </w:p>
    <w:p>
      <w:pPr>
        <w:pStyle w:val="BodyText"/>
        <w:spacing w:line="364" w:lineRule="auto"/>
        <w:ind w:left="237" w:right="1038" w:firstLine="420"/>
        <w:jc w:val="both"/>
      </w:pPr>
      <w:r>
        <w:rPr>
          <w:color w:val="221F1F"/>
        </w:rPr>
        <w:t>全球各地区家电市场呈现差异化发展态势。在发达国家和地区，家电市场依托新增住房、细分市场需求多样化及家电升级换代获得发展势能，而在发展中国家，由于家电保有率仍较低，整体市场仍具备快速增长潜力。另一方面，新冠疫情在世界多国爆发，经济社会活动受限、居民收入减少、房地产面临销售及交付压力，一系列因素导致用户对家电的需求下降，对各地区带来不同程度负面影响。</w:t>
      </w:r>
    </w:p>
    <w:p>
      <w:pPr>
        <w:pStyle w:val="BodyText"/>
        <w:spacing w:line="364" w:lineRule="auto"/>
        <w:ind w:left="237" w:right="1038" w:firstLine="420"/>
        <w:jc w:val="both"/>
      </w:pPr>
      <w:r>
        <w:rPr>
          <w:color w:val="221F1F"/>
        </w:rPr>
        <w:t>在渠道方面，尽管线下渠道仍占主导地位，线上渠道快速发展，全球家电市场分销渠道日益呈多元化的发展趋势。面对零售渠道变革，线上渠道的快速发展及与线下销售渠道的整合进一步增强了线上渠道的增长潜力。</w:t>
      </w:r>
    </w:p>
    <w:p>
      <w:pPr>
        <w:pStyle w:val="Heading4"/>
        <w:spacing w:line="316" w:lineRule="exact"/>
        <w:ind w:left="657"/>
      </w:pPr>
      <w:r>
        <w:rPr>
          <w:color w:val="221F1F"/>
        </w:rPr>
        <w:t>分市场来看：</w:t>
      </w:r>
    </w:p>
    <w:p>
      <w:pPr>
        <w:pStyle w:val="ListParagraph"/>
        <w:numPr>
          <w:ilvl w:val="0"/>
          <w:numId w:val="4"/>
        </w:numPr>
        <w:tabs>
          <w:tab w:pos="1187" w:val="left" w:leader="none"/>
        </w:tabs>
        <w:spacing w:line="297" w:lineRule="auto" w:before="20" w:after="0"/>
        <w:ind w:left="237" w:right="1029" w:firstLine="420"/>
        <w:jc w:val="left"/>
        <w:rPr>
          <w:sz w:val="21"/>
        </w:rPr>
      </w:pPr>
      <w:r>
        <w:rPr>
          <w:rFonts w:ascii="Microsoft JhengHei" w:eastAsia="Microsoft JhengHei" w:hint="eastAsia"/>
          <w:b/>
          <w:color w:val="221F1F"/>
          <w:sz w:val="21"/>
        </w:rPr>
        <w:t>美国市场</w:t>
      </w:r>
      <w:r>
        <w:rPr>
          <w:color w:val="221F1F"/>
          <w:spacing w:val="-10"/>
          <w:sz w:val="21"/>
        </w:rPr>
        <w:t>：受疫情影响，美国市场上半年消费疲弱。但随着社交隔离等疫情防控政策 </w:t>
      </w:r>
      <w:r>
        <w:rPr>
          <w:color w:val="221F1F"/>
          <w:spacing w:val="-5"/>
          <w:sz w:val="21"/>
        </w:rPr>
        <w:t>常态化，据欧睿国际统计，下半年家电行业实现双位数增长，全年增幅达到 </w:t>
      </w:r>
      <w:r>
        <w:rPr>
          <w:rFonts w:ascii="Times New Roman" w:eastAsia="Times New Roman"/>
          <w:color w:val="221F1F"/>
          <w:sz w:val="21"/>
        </w:rPr>
        <w:t>5%</w:t>
      </w:r>
      <w:r>
        <w:rPr>
          <w:color w:val="221F1F"/>
          <w:spacing w:val="-3"/>
          <w:sz w:val="21"/>
        </w:rPr>
        <w:t>。美国家电市场</w:t>
      </w:r>
      <w:r>
        <w:rPr>
          <w:color w:val="221F1F"/>
          <w:sz w:val="21"/>
        </w:rPr>
        <w:t>的</w:t>
      </w:r>
    </w:p>
    <w:p>
      <w:pPr>
        <w:pStyle w:val="BodyText"/>
        <w:spacing w:line="364" w:lineRule="auto" w:before="73"/>
        <w:ind w:left="237" w:right="929"/>
      </w:pPr>
      <w:r>
        <w:rPr>
          <w:color w:val="221F1F"/>
          <w:spacing w:val="-3"/>
        </w:rPr>
        <w:t>复苏首先得益于居家延长刺激了用户对家电产品的需求，将旅游及娱乐支出转移至居家消费；其次，较成熟的电商渠道促进了居家消费的活跃；再次，政府实施的一系列刺激政策有效拉动居家</w:t>
      </w:r>
      <w:r>
        <w:rPr>
          <w:color w:val="221F1F"/>
          <w:spacing w:val="-4"/>
        </w:rPr>
        <w:t>消费增长；最后，房贷利率创纪录新低，新房开工大增，现房销售维持 </w:t>
      </w:r>
      <w:r>
        <w:rPr>
          <w:rFonts w:ascii="Times New Roman" w:eastAsia="Times New Roman"/>
          <w:color w:val="221F1F"/>
        </w:rPr>
        <w:t>2006 </w:t>
      </w:r>
      <w:r>
        <w:rPr>
          <w:color w:val="221F1F"/>
          <w:spacing w:val="-2"/>
        </w:rPr>
        <w:t>年以来的最高水平， </w:t>
      </w:r>
      <w:r>
        <w:rPr>
          <w:color w:val="221F1F"/>
          <w:spacing w:val="-3"/>
        </w:rPr>
        <w:t>进一步刺激了居民对家电产品的需求。</w:t>
      </w:r>
    </w:p>
    <w:p>
      <w:pPr>
        <w:pStyle w:val="ListParagraph"/>
        <w:numPr>
          <w:ilvl w:val="0"/>
          <w:numId w:val="4"/>
        </w:numPr>
        <w:tabs>
          <w:tab w:pos="1184" w:val="left" w:leader="none"/>
        </w:tabs>
        <w:spacing w:line="316" w:lineRule="exact" w:before="0" w:after="0"/>
        <w:ind w:left="1183" w:right="0" w:hanging="527"/>
        <w:jc w:val="left"/>
        <w:rPr>
          <w:sz w:val="21"/>
        </w:rPr>
      </w:pPr>
      <w:r>
        <w:rPr>
          <w:rFonts w:ascii="Microsoft JhengHei" w:eastAsia="Microsoft JhengHei" w:hint="eastAsia"/>
          <w:b/>
          <w:color w:val="221F1F"/>
          <w:sz w:val="21"/>
        </w:rPr>
        <w:t>欧洲市场</w:t>
      </w:r>
      <w:r>
        <w:rPr>
          <w:color w:val="221F1F"/>
          <w:spacing w:val="-4"/>
          <w:sz w:val="21"/>
        </w:rPr>
        <w:t>：</w:t>
      </w:r>
      <w:r>
        <w:rPr>
          <w:rFonts w:ascii="Times New Roman" w:eastAsia="Times New Roman"/>
          <w:color w:val="221F1F"/>
          <w:spacing w:val="-4"/>
          <w:sz w:val="21"/>
        </w:rPr>
        <w:t>2020</w:t>
      </w:r>
      <w:r>
        <w:rPr>
          <w:rFonts w:ascii="Times New Roman" w:eastAsia="Times New Roman"/>
          <w:color w:val="221F1F"/>
          <w:spacing w:val="-1"/>
          <w:sz w:val="21"/>
        </w:rPr>
        <w:t> </w:t>
      </w:r>
      <w:r>
        <w:rPr>
          <w:color w:val="221F1F"/>
          <w:spacing w:val="-8"/>
          <w:sz w:val="21"/>
        </w:rPr>
        <w:t>年受疫情影响，大家电市场增幅为 </w:t>
      </w:r>
      <w:r>
        <w:rPr>
          <w:rFonts w:ascii="Times New Roman" w:eastAsia="Times New Roman"/>
          <w:color w:val="221F1F"/>
          <w:spacing w:val="-5"/>
          <w:sz w:val="21"/>
        </w:rPr>
        <w:t>3.9%</w:t>
      </w:r>
      <w:r>
        <w:rPr>
          <w:color w:val="221F1F"/>
          <w:spacing w:val="-10"/>
          <w:sz w:val="21"/>
        </w:rPr>
        <w:t>，其中制冷增长 </w:t>
      </w:r>
      <w:r>
        <w:rPr>
          <w:rFonts w:ascii="Times New Roman" w:eastAsia="Times New Roman"/>
          <w:color w:val="221F1F"/>
          <w:spacing w:val="-4"/>
          <w:sz w:val="21"/>
        </w:rPr>
        <w:t>3.9%</w:t>
      </w:r>
      <w:r>
        <w:rPr>
          <w:color w:val="221F1F"/>
          <w:spacing w:val="-3"/>
          <w:sz w:val="21"/>
        </w:rPr>
        <w:t>，洗衣机</w:t>
      </w:r>
    </w:p>
    <w:p>
      <w:pPr>
        <w:pStyle w:val="BodyText"/>
        <w:spacing w:before="91"/>
        <w:ind w:left="237"/>
      </w:pPr>
      <w:r>
        <w:rPr>
          <w:color w:val="221F1F"/>
        </w:rPr>
        <w:t>增长 </w:t>
      </w:r>
      <w:r>
        <w:rPr>
          <w:rFonts w:ascii="Times New Roman" w:eastAsia="Times New Roman"/>
          <w:color w:val="221F1F"/>
        </w:rPr>
        <w:t>1%</w:t>
      </w:r>
      <w:r>
        <w:rPr>
          <w:color w:val="221F1F"/>
        </w:rPr>
        <w:t>，嵌入式厨电增长 </w:t>
      </w:r>
      <w:r>
        <w:rPr>
          <w:rFonts w:ascii="Times New Roman" w:eastAsia="Times New Roman"/>
          <w:color w:val="221F1F"/>
        </w:rPr>
        <w:t>4%</w:t>
      </w:r>
      <w:r>
        <w:rPr>
          <w:color w:val="221F1F"/>
        </w:rPr>
        <w:t>。</w:t>
      </w:r>
    </w:p>
    <w:p>
      <w:pPr>
        <w:pStyle w:val="ListParagraph"/>
        <w:numPr>
          <w:ilvl w:val="0"/>
          <w:numId w:val="4"/>
        </w:numPr>
        <w:tabs>
          <w:tab w:pos="1187" w:val="left" w:leader="none"/>
        </w:tabs>
        <w:spacing w:line="408" w:lineRule="exact" w:before="25" w:after="0"/>
        <w:ind w:left="237" w:right="1029" w:firstLine="420"/>
        <w:jc w:val="both"/>
        <w:rPr>
          <w:sz w:val="21"/>
        </w:rPr>
      </w:pPr>
      <w:r>
        <w:rPr>
          <w:rFonts w:ascii="Microsoft JhengHei" w:hAnsi="Microsoft JhengHei" w:eastAsia="Microsoft JhengHei" w:hint="eastAsia"/>
          <w:b/>
          <w:color w:val="221F1F"/>
          <w:sz w:val="21"/>
        </w:rPr>
        <w:t>南亚和东南亚市场</w:t>
      </w:r>
      <w:r>
        <w:rPr>
          <w:color w:val="221F1F"/>
          <w:spacing w:val="-13"/>
          <w:sz w:val="21"/>
        </w:rPr>
        <w:t>：①为了应对疫情影响，印度政府在 </w:t>
      </w:r>
      <w:r>
        <w:rPr>
          <w:rFonts w:ascii="Times New Roman" w:hAnsi="Times New Roman" w:eastAsia="Times New Roman"/>
          <w:color w:val="221F1F"/>
          <w:sz w:val="21"/>
        </w:rPr>
        <w:t>3</w:t>
      </w:r>
      <w:r>
        <w:rPr>
          <w:rFonts w:ascii="Times New Roman" w:hAnsi="Times New Roman" w:eastAsia="Times New Roman"/>
          <w:color w:val="221F1F"/>
          <w:spacing w:val="3"/>
          <w:sz w:val="21"/>
        </w:rPr>
        <w:t> </w:t>
      </w:r>
      <w:r>
        <w:rPr>
          <w:color w:val="221F1F"/>
          <w:spacing w:val="-12"/>
          <w:sz w:val="21"/>
        </w:rPr>
        <w:t>月下旬至 </w:t>
      </w:r>
      <w:r>
        <w:rPr>
          <w:rFonts w:ascii="Times New Roman" w:hAnsi="Times New Roman" w:eastAsia="Times New Roman"/>
          <w:color w:val="221F1F"/>
          <w:sz w:val="21"/>
        </w:rPr>
        <w:t>6</w:t>
      </w:r>
      <w:r>
        <w:rPr>
          <w:rFonts w:ascii="Times New Roman" w:hAnsi="Times New Roman" w:eastAsia="Times New Roman"/>
          <w:color w:val="221F1F"/>
          <w:spacing w:val="7"/>
          <w:sz w:val="21"/>
        </w:rPr>
        <w:t> </w:t>
      </w:r>
      <w:r>
        <w:rPr>
          <w:color w:val="221F1F"/>
          <w:spacing w:val="-3"/>
          <w:sz w:val="21"/>
        </w:rPr>
        <w:t>月下旬实施严格</w:t>
      </w:r>
      <w:r>
        <w:rPr>
          <w:color w:val="221F1F"/>
          <w:spacing w:val="-4"/>
          <w:sz w:val="21"/>
        </w:rPr>
        <w:t>封锁，全国销售基本停滞，据当地经销商预计数据，行业同比下降 </w:t>
      </w:r>
      <w:r>
        <w:rPr>
          <w:rFonts w:ascii="Times New Roman" w:hAnsi="Times New Roman" w:eastAsia="Times New Roman"/>
          <w:color w:val="221F1F"/>
          <w:sz w:val="21"/>
        </w:rPr>
        <w:t>25%</w:t>
      </w:r>
      <w:r>
        <w:rPr>
          <w:color w:val="221F1F"/>
          <w:spacing w:val="-3"/>
          <w:sz w:val="21"/>
        </w:rPr>
        <w:t>以上。②其他地区的商业活动也收到政府隔离政策的限制，零售额和零售量均下降，五六月开始逐渐恢复。</w:t>
      </w:r>
    </w:p>
    <w:p>
      <w:pPr>
        <w:pStyle w:val="ListParagraph"/>
        <w:numPr>
          <w:ilvl w:val="0"/>
          <w:numId w:val="4"/>
        </w:numPr>
        <w:tabs>
          <w:tab w:pos="1187" w:val="left" w:leader="none"/>
        </w:tabs>
        <w:spacing w:line="297" w:lineRule="auto" w:before="47" w:after="0"/>
        <w:ind w:left="237" w:right="1029" w:firstLine="420"/>
        <w:jc w:val="left"/>
        <w:rPr>
          <w:sz w:val="21"/>
        </w:rPr>
      </w:pPr>
      <w:r>
        <w:rPr>
          <w:rFonts w:ascii="Microsoft JhengHei" w:hAnsi="Microsoft JhengHei" w:eastAsia="Microsoft JhengHei" w:hint="eastAsia"/>
          <w:b/>
          <w:color w:val="221F1F"/>
          <w:sz w:val="21"/>
        </w:rPr>
        <w:t>澳新市场</w:t>
      </w:r>
      <w:r>
        <w:rPr>
          <w:color w:val="221F1F"/>
          <w:spacing w:val="-10"/>
          <w:sz w:val="21"/>
        </w:rPr>
        <w:t>：①受居家令影响，促进澳洲家电和家具市场在短期增长强劲，行业竞争更 </w:t>
      </w:r>
      <w:r>
        <w:rPr>
          <w:color w:val="221F1F"/>
          <w:spacing w:val="-3"/>
          <w:sz w:val="21"/>
        </w:rPr>
        <w:t>加激烈，企业纷纷积极布局线上平台并持续改善线下购物体验。②新西兰的家电连锁渠道集中化愈</w:t>
      </w:r>
    </w:p>
    <w:p>
      <w:pPr>
        <w:pStyle w:val="BodyText"/>
        <w:spacing w:before="76"/>
        <w:ind w:left="237"/>
      </w:pPr>
      <w:r>
        <w:rPr>
          <w:color w:val="221F1F"/>
        </w:rPr>
        <w:t>发明显，中小渠道份额持续降低；线上销售额占比提升至 </w:t>
      </w:r>
      <w:r>
        <w:rPr>
          <w:rFonts w:ascii="Times New Roman" w:eastAsia="Times New Roman"/>
          <w:color w:val="221F1F"/>
        </w:rPr>
        <w:t>5%</w:t>
      </w:r>
      <w:r>
        <w:rPr>
          <w:color w:val="221F1F"/>
        </w:rPr>
        <w:t>。</w:t>
      </w:r>
    </w:p>
    <w:p>
      <w:pPr>
        <w:pStyle w:val="ListParagraph"/>
        <w:numPr>
          <w:ilvl w:val="0"/>
          <w:numId w:val="4"/>
        </w:numPr>
        <w:tabs>
          <w:tab w:pos="1187" w:val="left" w:leader="none"/>
        </w:tabs>
        <w:spacing w:line="408" w:lineRule="exact" w:before="23" w:after="0"/>
        <w:ind w:left="237" w:right="1072" w:firstLine="420"/>
        <w:jc w:val="both"/>
        <w:rPr>
          <w:sz w:val="21"/>
        </w:rPr>
      </w:pPr>
      <w:r>
        <w:rPr>
          <w:rFonts w:ascii="Microsoft JhengHei" w:eastAsia="Microsoft JhengHei" w:hint="eastAsia"/>
          <w:b/>
          <w:color w:val="221F1F"/>
          <w:sz w:val="21"/>
        </w:rPr>
        <w:t>日本市场</w:t>
      </w:r>
      <w:r>
        <w:rPr>
          <w:color w:val="221F1F"/>
          <w:spacing w:val="-4"/>
          <w:sz w:val="21"/>
        </w:rPr>
        <w:t>：受新冠疫情影响，白电行业整体销量下降 </w:t>
      </w:r>
      <w:r>
        <w:rPr>
          <w:rFonts w:ascii="Times New Roman" w:eastAsia="Times New Roman"/>
          <w:color w:val="221F1F"/>
          <w:sz w:val="21"/>
        </w:rPr>
        <w:t>2.3%</w:t>
      </w:r>
      <w:r>
        <w:rPr>
          <w:color w:val="221F1F"/>
          <w:spacing w:val="-3"/>
          <w:sz w:val="21"/>
        </w:rPr>
        <w:t>。其中，冰箱销售量及销售</w:t>
      </w:r>
      <w:r>
        <w:rPr>
          <w:color w:val="221F1F"/>
          <w:spacing w:val="-6"/>
          <w:sz w:val="21"/>
        </w:rPr>
        <w:t>额均下降；洗衣机销售量下降 </w:t>
      </w:r>
      <w:r>
        <w:rPr>
          <w:rFonts w:ascii="Times New Roman" w:eastAsia="Times New Roman"/>
          <w:color w:val="221F1F"/>
          <w:sz w:val="21"/>
        </w:rPr>
        <w:t>2.9%</w:t>
      </w:r>
      <w:r>
        <w:rPr>
          <w:color w:val="221F1F"/>
          <w:spacing w:val="-9"/>
          <w:sz w:val="21"/>
        </w:rPr>
        <w:t>、销售额提升 </w:t>
      </w:r>
      <w:r>
        <w:rPr>
          <w:rFonts w:ascii="Times New Roman" w:eastAsia="Times New Roman"/>
          <w:color w:val="221F1F"/>
          <w:sz w:val="21"/>
        </w:rPr>
        <w:t>2.4%</w:t>
      </w:r>
      <w:r>
        <w:rPr>
          <w:color w:val="221F1F"/>
          <w:spacing w:val="-3"/>
          <w:sz w:val="21"/>
        </w:rPr>
        <w:t>。此外，冷柜在疫情中成为消费热点，销</w:t>
      </w:r>
      <w:r>
        <w:rPr>
          <w:color w:val="221F1F"/>
          <w:spacing w:val="-11"/>
          <w:sz w:val="21"/>
        </w:rPr>
        <w:t>售量同比增长 </w:t>
      </w:r>
      <w:r>
        <w:rPr>
          <w:rFonts w:ascii="Times New Roman" w:eastAsia="Times New Roman"/>
          <w:color w:val="221F1F"/>
          <w:sz w:val="21"/>
        </w:rPr>
        <w:t>53.3%</w:t>
      </w:r>
      <w:r>
        <w:rPr>
          <w:color w:val="221F1F"/>
          <w:spacing w:val="-10"/>
          <w:sz w:val="21"/>
        </w:rPr>
        <w:t>、销售额增长 </w:t>
      </w:r>
      <w:r>
        <w:rPr>
          <w:rFonts w:ascii="Times New Roman" w:eastAsia="Times New Roman"/>
          <w:color w:val="221F1F"/>
          <w:sz w:val="21"/>
        </w:rPr>
        <w:t>42.5%</w:t>
      </w:r>
      <w:r>
        <w:rPr>
          <w:color w:val="221F1F"/>
          <w:sz w:val="21"/>
        </w:rPr>
        <w:t>（</w:t>
      </w:r>
      <w:r>
        <w:rPr>
          <w:color w:val="221F1F"/>
          <w:spacing w:val="-13"/>
          <w:sz w:val="21"/>
        </w:rPr>
        <w:t>数据来自 </w:t>
      </w:r>
      <w:r>
        <w:rPr>
          <w:rFonts w:ascii="Times New Roman" w:eastAsia="Times New Roman"/>
          <w:color w:val="221F1F"/>
          <w:sz w:val="21"/>
        </w:rPr>
        <w:t>GFK</w:t>
      </w:r>
      <w:r>
        <w:rPr>
          <w:color w:val="221F1F"/>
          <w:sz w:val="21"/>
        </w:rPr>
        <w:t>）。</w:t>
      </w:r>
    </w:p>
    <w:p>
      <w:pPr>
        <w:pStyle w:val="BodyText"/>
        <w:rPr>
          <w:sz w:val="22"/>
        </w:rPr>
      </w:pPr>
    </w:p>
    <w:p>
      <w:pPr>
        <w:pStyle w:val="BodyText"/>
        <w:spacing w:before="4"/>
        <w:rPr>
          <w:sz w:val="19"/>
        </w:rPr>
      </w:pPr>
    </w:p>
    <w:p>
      <w:pPr>
        <w:pStyle w:val="Heading4"/>
        <w:ind w:left="659"/>
      </w:pPr>
      <w:r>
        <w:rPr>
          <w:color w:val="221F1F"/>
        </w:rPr>
        <w:t>（三）</w:t>
      </w:r>
      <w:r>
        <w:rPr>
          <w:rFonts w:ascii="Times New Roman" w:eastAsia="Times New Roman"/>
          <w:color w:val="221F1F"/>
        </w:rPr>
        <w:t>2021 </w:t>
      </w:r>
      <w:r>
        <w:rPr>
          <w:color w:val="221F1F"/>
        </w:rPr>
        <w:t>年行业展望</w:t>
      </w:r>
    </w:p>
    <w:p>
      <w:pPr>
        <w:spacing w:after="0"/>
        <w:sectPr>
          <w:pgSz w:w="11910" w:h="16840"/>
          <w:pgMar w:header="874" w:footer="1214" w:top="1360" w:bottom="1400" w:left="1040" w:right="760"/>
        </w:sectPr>
      </w:pPr>
    </w:p>
    <w:p>
      <w:pPr>
        <w:pStyle w:val="BodyText"/>
        <w:spacing w:line="385" w:lineRule="exact"/>
        <w:ind w:left="659"/>
        <w:jc w:val="both"/>
      </w:pPr>
      <w:r>
        <w:rPr>
          <w:rFonts w:ascii="Microsoft JhengHei" w:hAnsi="Microsoft JhengHei" w:eastAsia="Microsoft JhengHei" w:hint="eastAsia"/>
          <w:b/>
          <w:color w:val="221F1F"/>
          <w:spacing w:val="-5"/>
        </w:rPr>
        <w:t>中国市场：</w:t>
      </w:r>
      <w:r>
        <w:rPr>
          <w:color w:val="221F1F"/>
          <w:spacing w:val="-7"/>
        </w:rPr>
        <w:t>预计各个行业于 </w:t>
      </w:r>
      <w:r>
        <w:rPr>
          <w:rFonts w:ascii="Times New Roman" w:hAnsi="Times New Roman" w:eastAsia="Times New Roman"/>
          <w:color w:val="221F1F"/>
        </w:rPr>
        <w:t>2021</w:t>
      </w:r>
      <w:r>
        <w:rPr>
          <w:rFonts w:ascii="Times New Roman" w:hAnsi="Times New Roman" w:eastAsia="Times New Roman"/>
          <w:color w:val="221F1F"/>
          <w:spacing w:val="22"/>
        </w:rPr>
        <w:t> </w:t>
      </w:r>
      <w:r>
        <w:rPr>
          <w:color w:val="221F1F"/>
          <w:spacing w:val="-9"/>
        </w:rPr>
        <w:t>年呈现复苏态势。①冰箱：行业将量额双涨，同时结构升级</w:t>
      </w:r>
    </w:p>
    <w:p>
      <w:pPr>
        <w:pStyle w:val="BodyText"/>
        <w:spacing w:line="364" w:lineRule="auto" w:before="91"/>
        <w:ind w:left="237" w:right="1028"/>
        <w:jc w:val="both"/>
      </w:pPr>
      <w:r>
        <w:rPr>
          <w:color w:val="221F1F"/>
          <w:spacing w:val="-8"/>
        </w:rPr>
        <w:t>的替换需求也进一步推动市场规模上涨。预期 </w:t>
      </w:r>
      <w:r>
        <w:rPr>
          <w:rFonts w:ascii="Times New Roman" w:hAnsi="Times New Roman" w:eastAsia="Times New Roman"/>
          <w:color w:val="221F1F"/>
        </w:rPr>
        <w:t>2021</w:t>
      </w:r>
      <w:r>
        <w:rPr>
          <w:rFonts w:ascii="Times New Roman" w:hAnsi="Times New Roman" w:eastAsia="Times New Roman"/>
          <w:color w:val="221F1F"/>
          <w:spacing w:val="16"/>
        </w:rPr>
        <w:t> </w:t>
      </w:r>
      <w:r>
        <w:rPr>
          <w:color w:val="221F1F"/>
          <w:spacing w:val="-6"/>
        </w:rPr>
        <w:t>年冰箱市场零售额规模将实现个位数增长。出</w:t>
      </w:r>
      <w:r>
        <w:rPr>
          <w:color w:val="221F1F"/>
          <w:spacing w:val="-4"/>
        </w:rPr>
        <w:t>口市场预计源于同期高基数的影响下，增速将有所放缓。②洗衣机：国内零售市场以及出口市场</w:t>
      </w:r>
      <w:r>
        <w:rPr>
          <w:color w:val="221F1F"/>
          <w:spacing w:val="-8"/>
        </w:rPr>
        <w:t>均将呈正增长态势。国内洗衣机市场仍在持续恢复中，产品在健康洗涤、</w:t>
      </w:r>
      <w:r>
        <w:rPr>
          <w:rFonts w:ascii="Times New Roman" w:hAnsi="Times New Roman" w:eastAsia="Times New Roman"/>
          <w:color w:val="221F1F"/>
        </w:rPr>
        <w:t>“</w:t>
      </w:r>
      <w:r>
        <w:rPr>
          <w:color w:val="221F1F"/>
          <w:spacing w:val="-2"/>
        </w:rPr>
        <w:t>洗衣</w:t>
      </w:r>
      <w:r>
        <w:rPr>
          <w:rFonts w:ascii="Times New Roman" w:hAnsi="Times New Roman" w:eastAsia="Times New Roman"/>
          <w:color w:val="221F1F"/>
        </w:rPr>
        <w:t>+</w:t>
      </w:r>
      <w:r>
        <w:rPr>
          <w:color w:val="221F1F"/>
        </w:rPr>
        <w:t>护衣</w:t>
      </w:r>
      <w:r>
        <w:rPr>
          <w:rFonts w:ascii="Times New Roman" w:hAnsi="Times New Roman" w:eastAsia="Times New Roman"/>
          <w:color w:val="221F1F"/>
          <w:spacing w:val="-3"/>
        </w:rPr>
        <w:t>”</w:t>
      </w:r>
      <w:r>
        <w:rPr>
          <w:color w:val="221F1F"/>
          <w:spacing w:val="-3"/>
        </w:rPr>
        <w:t>方面不断创</w:t>
      </w:r>
      <w:r>
        <w:rPr>
          <w:color w:val="221F1F"/>
          <w:spacing w:val="-16"/>
        </w:rPr>
        <w:t>新，同时作为新兴品类如干衣机、烘衣机等切合当下用户对品质生活的追求，规模有望迅速扩张；</w:t>
      </w:r>
    </w:p>
    <w:p>
      <w:pPr>
        <w:pStyle w:val="BodyText"/>
        <w:spacing w:line="364" w:lineRule="auto"/>
        <w:ind w:left="237" w:right="1031"/>
        <w:jc w:val="both"/>
      </w:pPr>
      <w:r>
        <w:rPr>
          <w:color w:val="221F1F"/>
          <w:spacing w:val="-18"/>
        </w:rPr>
        <w:t>③家用空调：将迎来量额齐涨。</w:t>
      </w:r>
      <w:r>
        <w:rPr>
          <w:rFonts w:ascii="Times New Roman" w:hAnsi="Times New Roman" w:eastAsia="Times New Roman"/>
          <w:color w:val="221F1F"/>
        </w:rPr>
        <w:t>2021</w:t>
      </w:r>
      <w:r>
        <w:rPr>
          <w:rFonts w:ascii="Times New Roman" w:hAnsi="Times New Roman" w:eastAsia="Times New Roman"/>
          <w:color w:val="221F1F"/>
          <w:spacing w:val="34"/>
        </w:rPr>
        <w:t> </w:t>
      </w:r>
      <w:r>
        <w:rPr>
          <w:color w:val="221F1F"/>
          <w:spacing w:val="-9"/>
        </w:rPr>
        <w:t>宏观经济预期复苏以及同期低基数，同时叠加产品均价上涨， </w:t>
      </w:r>
      <w:r>
        <w:rPr>
          <w:color w:val="221F1F"/>
          <w:spacing w:val="-13"/>
        </w:rPr>
        <w:t>预计空调零售量、零售额均将实现双位数增长；出口方面预计将延续 </w:t>
      </w:r>
      <w:r>
        <w:rPr>
          <w:rFonts w:ascii="Times New Roman" w:hAnsi="Times New Roman" w:eastAsia="Times New Roman"/>
          <w:color w:val="221F1F"/>
        </w:rPr>
        <w:t>2020</w:t>
      </w:r>
      <w:r>
        <w:rPr>
          <w:rFonts w:ascii="Times New Roman" w:hAnsi="Times New Roman" w:eastAsia="Times New Roman"/>
          <w:color w:val="221F1F"/>
          <w:spacing w:val="16"/>
        </w:rPr>
        <w:t> </w:t>
      </w:r>
      <w:r>
        <w:rPr>
          <w:color w:val="221F1F"/>
          <w:spacing w:val="-3"/>
        </w:rPr>
        <w:t>年二季度以来增长的态势。④此外，热水器市场亦将迎来复苏，线下市场源于同期低基数，增速将高于线上市场，线上</w:t>
      </w:r>
      <w:r>
        <w:rPr>
          <w:color w:val="221F1F"/>
          <w:spacing w:val="-10"/>
        </w:rPr>
        <w:t>市场增速预计将放缓。⑤厨电市场整体规模将较 </w:t>
      </w:r>
      <w:r>
        <w:rPr>
          <w:rFonts w:ascii="Times New Roman" w:hAnsi="Times New Roman" w:eastAsia="Times New Roman"/>
          <w:color w:val="221F1F"/>
        </w:rPr>
        <w:t>2020</w:t>
      </w:r>
      <w:r>
        <w:rPr>
          <w:rFonts w:ascii="Times New Roman" w:hAnsi="Times New Roman" w:eastAsia="Times New Roman"/>
          <w:color w:val="221F1F"/>
          <w:spacing w:val="18"/>
        </w:rPr>
        <w:t> </w:t>
      </w:r>
      <w:r>
        <w:rPr>
          <w:color w:val="221F1F"/>
          <w:spacing w:val="-8"/>
        </w:rPr>
        <w:t>年回升，一方面虽然房地产市场管制政策趋</w:t>
      </w:r>
      <w:r>
        <w:rPr>
          <w:color w:val="221F1F"/>
          <w:spacing w:val="-5"/>
        </w:rPr>
        <w:t>紧，但二手房成交比例上升，带动厨电品类量增长的同时质亦提升；另一方面洗碗机、集成灶以</w:t>
      </w:r>
      <w:r>
        <w:rPr>
          <w:color w:val="221F1F"/>
          <w:spacing w:val="-4"/>
        </w:rPr>
        <w:t>及嵌入式一体机等新兴品类仍将延续高增长态势。</w:t>
      </w:r>
    </w:p>
    <w:p>
      <w:pPr>
        <w:pStyle w:val="BodyText"/>
        <w:spacing w:line="314" w:lineRule="exact"/>
        <w:ind w:left="659"/>
        <w:jc w:val="both"/>
      </w:pPr>
      <w:r>
        <w:rPr>
          <w:rFonts w:ascii="Microsoft JhengHei" w:eastAsia="Microsoft JhengHei" w:hint="eastAsia"/>
          <w:b/>
          <w:color w:val="221F1F"/>
        </w:rPr>
        <w:t>全球市场：</w:t>
      </w:r>
      <w:r>
        <w:rPr>
          <w:color w:val="221F1F"/>
        </w:rPr>
        <w:t>展望 </w:t>
      </w:r>
      <w:r>
        <w:rPr>
          <w:rFonts w:ascii="Times New Roman" w:eastAsia="Times New Roman"/>
          <w:color w:val="221F1F"/>
        </w:rPr>
        <w:t>2021 </w:t>
      </w:r>
      <w:r>
        <w:rPr>
          <w:color w:val="221F1F"/>
        </w:rPr>
        <w:t>年，家电作为消费必需品，长期需求依然稳定，且随着全球许多国家将</w:t>
      </w:r>
    </w:p>
    <w:p>
      <w:pPr>
        <w:pStyle w:val="BodyText"/>
        <w:spacing w:line="364" w:lineRule="auto" w:before="92"/>
        <w:ind w:left="237" w:right="1028"/>
        <w:jc w:val="both"/>
      </w:pPr>
      <w:r>
        <w:rPr>
          <w:color w:val="221F1F"/>
          <w:spacing w:val="-3"/>
        </w:rPr>
        <w:t>逐渐恢复经济社会活动，以及随疫苗大范围应用接种，疫情有望得以控制，全球家电零售市场将</w:t>
      </w:r>
      <w:r>
        <w:rPr>
          <w:color w:val="221F1F"/>
          <w:spacing w:val="-9"/>
        </w:rPr>
        <w:t>恢复增长。根据欧睿数据预测，</w:t>
      </w:r>
      <w:r>
        <w:rPr>
          <w:rFonts w:ascii="Times New Roman" w:eastAsia="Times New Roman"/>
          <w:color w:val="221F1F"/>
          <w:spacing w:val="-10"/>
        </w:rPr>
        <w:t>2021 </w:t>
      </w:r>
      <w:r>
        <w:rPr>
          <w:color w:val="221F1F"/>
          <w:spacing w:val="-11"/>
        </w:rPr>
        <w:t>年全球大家电</w:t>
      </w:r>
      <w:r>
        <w:rPr>
          <w:color w:val="221F1F"/>
        </w:rPr>
        <w:t>（</w:t>
      </w:r>
      <w:r>
        <w:rPr>
          <w:color w:val="221F1F"/>
          <w:spacing w:val="-16"/>
        </w:rPr>
        <w:t>不含 </w:t>
      </w:r>
      <w:r>
        <w:rPr>
          <w:rFonts w:ascii="Times New Roman" w:eastAsia="Times New Roman"/>
          <w:color w:val="221F1F"/>
        </w:rPr>
        <w:t>3C </w:t>
      </w:r>
      <w:r>
        <w:rPr>
          <w:color w:val="221F1F"/>
        </w:rPr>
        <w:t>等</w:t>
      </w:r>
      <w:r>
        <w:rPr>
          <w:color w:val="221F1F"/>
          <w:spacing w:val="-46"/>
        </w:rPr>
        <w:t>）</w:t>
      </w:r>
      <w:r>
        <w:rPr>
          <w:color w:val="221F1F"/>
          <w:spacing w:val="-9"/>
        </w:rPr>
        <w:t>市场规模将再回 </w:t>
      </w:r>
      <w:r>
        <w:rPr>
          <w:rFonts w:ascii="Times New Roman" w:eastAsia="Times New Roman"/>
          <w:color w:val="221F1F"/>
        </w:rPr>
        <w:t>3 </w:t>
      </w:r>
      <w:r>
        <w:rPr>
          <w:color w:val="221F1F"/>
          <w:spacing w:val="-3"/>
        </w:rPr>
        <w:t>万亿元以上， </w:t>
      </w:r>
      <w:r>
        <w:rPr>
          <w:color w:val="221F1F"/>
          <w:spacing w:val="-11"/>
        </w:rPr>
        <w:t>同比增幅达到 </w:t>
      </w:r>
      <w:r>
        <w:rPr>
          <w:rFonts w:ascii="Times New Roman" w:eastAsia="Times New Roman"/>
          <w:color w:val="221F1F"/>
        </w:rPr>
        <w:t>4%</w:t>
      </w:r>
      <w:r>
        <w:rPr>
          <w:color w:val="221F1F"/>
          <w:spacing w:val="-2"/>
        </w:rPr>
        <w:t>左右。</w:t>
      </w:r>
    </w:p>
    <w:p>
      <w:pPr>
        <w:pStyle w:val="BodyText"/>
        <w:rPr>
          <w:sz w:val="18"/>
        </w:rPr>
      </w:pPr>
    </w:p>
    <w:p>
      <w:pPr>
        <w:pStyle w:val="Heading4"/>
        <w:ind w:left="237"/>
      </w:pPr>
      <w:r>
        <w:rPr/>
        <w:t>二、报告期内公司主要资产发生重大变化情况的说明</w:t>
      </w:r>
    </w:p>
    <w:p>
      <w:pPr>
        <w:pStyle w:val="BodyText"/>
        <w:spacing w:before="151"/>
        <w:ind w:left="662"/>
        <w:jc w:val="both"/>
      </w:pPr>
      <w:r>
        <w:rPr/>
        <w:t>√适用 □不适用</w:t>
      </w:r>
    </w:p>
    <w:p>
      <w:pPr>
        <w:pStyle w:val="BodyText"/>
        <w:spacing w:line="364" w:lineRule="auto" w:before="139"/>
        <w:ind w:left="237" w:right="1028" w:firstLine="424"/>
        <w:jc w:val="both"/>
      </w:pPr>
      <w:r>
        <w:rPr>
          <w:spacing w:val="-10"/>
        </w:rPr>
        <w:t>报告期内，公司推进发行</w:t>
      </w:r>
      <w:r>
        <w:rPr>
          <w:rFonts w:ascii="Times New Roman" w:eastAsia="Times New Roman"/>
        </w:rPr>
        <w:t>H </w:t>
      </w:r>
      <w:r>
        <w:rPr>
          <w:spacing w:val="-10"/>
        </w:rPr>
        <w:t>股私有化香港上市公司海尔电器事宜，该事宜构成重大资产重组。</w:t>
      </w:r>
      <w:r>
        <w:rPr>
          <w:spacing w:val="-5"/>
        </w:rPr>
        <w:t>截止报告期末，该重组事项已完成，海尔电器成为本公司全资子公司</w:t>
      </w:r>
      <w:r>
        <w:rPr>
          <w:spacing w:val="-3"/>
        </w:rPr>
        <w:t>（交易前本公司对海尔电器</w:t>
      </w:r>
      <w:r>
        <w:rPr>
          <w:spacing w:val="-11"/>
        </w:rPr>
        <w:t>的持股比例为 </w:t>
      </w:r>
      <w:r>
        <w:rPr>
          <w:rFonts w:ascii="Times New Roman" w:eastAsia="Times New Roman"/>
        </w:rPr>
        <w:t>45.87%</w:t>
      </w:r>
      <w:r>
        <w:rPr/>
        <w:t>）。</w:t>
      </w:r>
    </w:p>
    <w:p>
      <w:pPr>
        <w:pStyle w:val="BodyText"/>
        <w:spacing w:line="269" w:lineRule="exact"/>
        <w:ind w:left="237"/>
      </w:pPr>
      <w:r>
        <w:rPr>
          <w:w w:val="100"/>
        </w:rPr>
        <w:t> </w:t>
      </w:r>
    </w:p>
    <w:p>
      <w:pPr>
        <w:pStyle w:val="BodyText"/>
        <w:spacing w:before="2"/>
        <w:ind w:left="662"/>
      </w:pPr>
      <w:r>
        <w:rPr/>
        <w:t>其中：境外资产 </w:t>
      </w:r>
      <w:r>
        <w:rPr>
          <w:rFonts w:ascii="Times New Roman" w:eastAsia="Times New Roman"/>
        </w:rPr>
        <w:t>9,110,691</w:t>
      </w:r>
      <w:r>
        <w:rPr/>
        <w:t>（单位：万元 币种：人民币），占总资产的比例为 </w:t>
      </w:r>
      <w:r>
        <w:rPr>
          <w:rFonts w:ascii="Times New Roman" w:eastAsia="Times New Roman"/>
        </w:rPr>
        <w:t>44.8</w:t>
      </w:r>
      <w:r>
        <w:rPr/>
        <w:t>%。 </w:t>
      </w:r>
    </w:p>
    <w:p>
      <w:pPr>
        <w:pStyle w:val="BodyText"/>
        <w:rPr>
          <w:sz w:val="20"/>
        </w:rPr>
      </w:pPr>
    </w:p>
    <w:p>
      <w:pPr>
        <w:pStyle w:val="BodyText"/>
        <w:spacing w:before="7"/>
        <w:rPr>
          <w:sz w:val="19"/>
        </w:rPr>
      </w:pPr>
    </w:p>
    <w:p>
      <w:pPr>
        <w:pStyle w:val="Heading4"/>
        <w:spacing w:before="3"/>
        <w:ind w:left="237"/>
      </w:pPr>
      <w:r>
        <w:rPr/>
        <w:t>三、报告期内核心竞争力分析</w:t>
      </w:r>
    </w:p>
    <w:p>
      <w:pPr>
        <w:pStyle w:val="BodyText"/>
        <w:spacing w:before="14"/>
        <w:ind w:left="662"/>
        <w:jc w:val="both"/>
      </w:pPr>
      <w:r>
        <w:rPr/>
        <w:t>√适用 □不适用</w:t>
      </w:r>
    </w:p>
    <w:p>
      <w:pPr>
        <w:pStyle w:val="BodyText"/>
        <w:spacing w:line="364" w:lineRule="auto" w:before="64"/>
        <w:ind w:left="237" w:right="1038" w:firstLine="420"/>
        <w:jc w:val="both"/>
      </w:pPr>
      <w:r>
        <w:rPr/>
        <w:t>公司已经在中国及海外市场建立了强大的战略布局和竞争优势。在此基础上，公司将继续利用全球统一平台的整合协同、数字化驱动的效率变革、技术实力与创新能力，进一步巩固行业领导地位。作为可持续发展的基础，人单合一模式也为公司提供了管理的指引并使公司能够复制成功的经验。相信以下优势将帮助公司在未来巩固领先地位。</w:t>
      </w:r>
    </w:p>
    <w:p>
      <w:pPr>
        <w:pStyle w:val="Heading4"/>
        <w:spacing w:line="376" w:lineRule="exact"/>
        <w:ind w:left="657"/>
        <w:jc w:val="both"/>
      </w:pPr>
      <w:r>
        <w:rPr>
          <w:rFonts w:ascii="Times New Roman" w:eastAsia="Times New Roman"/>
        </w:rPr>
        <w:t>(</w:t>
      </w:r>
      <w:r>
        <w:rPr/>
        <w:t>一</w:t>
      </w:r>
      <w:r>
        <w:rPr>
          <w:rFonts w:ascii="Times New Roman" w:eastAsia="Times New Roman"/>
        </w:rPr>
        <w:t>) </w:t>
      </w:r>
      <w:r>
        <w:rPr/>
        <w:t>中国市场竞争优势</w:t>
      </w:r>
    </w:p>
    <w:p>
      <w:pPr>
        <w:pStyle w:val="BodyText"/>
        <w:spacing w:line="364" w:lineRule="auto" w:before="152"/>
        <w:ind w:left="237" w:right="1029" w:firstLine="420"/>
        <w:jc w:val="both"/>
      </w:pPr>
      <w:r>
        <w:rPr>
          <w:spacing w:val="-4"/>
        </w:rPr>
        <w:t>公司在中国大家电市场长期保持全品类的领先地位。根据中怡康报告，</w:t>
      </w:r>
      <w:r>
        <w:rPr>
          <w:rFonts w:ascii="Times New Roman" w:eastAsia="Times New Roman"/>
          <w:spacing w:val="-4"/>
        </w:rPr>
        <w:t>2020 </w:t>
      </w:r>
      <w:r>
        <w:rPr>
          <w:spacing w:val="-5"/>
        </w:rPr>
        <w:t>年，公司在不同</w:t>
      </w:r>
      <w:r>
        <w:rPr>
          <w:spacing w:val="-4"/>
        </w:rPr>
        <w:t>的大家电品类均建立了持续领先的市场地位。全品类家电产品的领先地位是公司发展智慧家庭解</w:t>
      </w:r>
    </w:p>
    <w:p>
      <w:pPr>
        <w:spacing w:after="0" w:line="364" w:lineRule="auto"/>
        <w:jc w:val="both"/>
        <w:sectPr>
          <w:pgSz w:w="11910" w:h="16840"/>
          <w:pgMar w:header="874" w:footer="1214" w:top="1360" w:bottom="1400" w:left="1040" w:right="760"/>
        </w:sectPr>
      </w:pPr>
    </w:p>
    <w:p>
      <w:pPr>
        <w:pStyle w:val="BodyText"/>
        <w:spacing w:line="364" w:lineRule="auto" w:before="68"/>
        <w:ind w:left="237" w:right="1038"/>
      </w:pPr>
      <w:r>
        <w:rPr/>
        <w:t>决方案的基础。公司在各品类单品上建立起的核心技术、先进制造经验、用户基础，使得公司具备足够的单品规模与行业经验，得以顺利将公司交付用户的产品形态由单品向成套转型。</w:t>
      </w:r>
    </w:p>
    <w:p>
      <w:pPr>
        <w:pStyle w:val="Heading4"/>
        <w:spacing w:line="375" w:lineRule="exact"/>
        <w:ind w:left="657"/>
      </w:pPr>
      <w:r>
        <w:rPr>
          <w:rFonts w:ascii="Times New Roman" w:eastAsia="Times New Roman"/>
        </w:rPr>
        <w:t>(</w:t>
      </w:r>
      <w:r>
        <w:rPr/>
        <w:t>二</w:t>
      </w:r>
      <w:r>
        <w:rPr>
          <w:rFonts w:ascii="Times New Roman" w:eastAsia="Times New Roman"/>
        </w:rPr>
        <w:t>) </w:t>
      </w:r>
      <w:r>
        <w:rPr/>
        <w:t>高端市场占据主导地位</w:t>
      </w:r>
    </w:p>
    <w:p>
      <w:pPr>
        <w:pStyle w:val="BodyText"/>
        <w:spacing w:line="364" w:lineRule="auto" w:before="153"/>
        <w:ind w:left="237" w:right="1028" w:firstLine="420"/>
        <w:jc w:val="both"/>
      </w:pPr>
      <w:r>
        <w:rPr>
          <w:spacing w:val="-10"/>
        </w:rPr>
        <w:t>适应中国消费升级趋势，公司在 </w:t>
      </w:r>
      <w:r>
        <w:rPr>
          <w:rFonts w:ascii="Times New Roman" w:eastAsia="Times New Roman"/>
        </w:rPr>
        <w:t>10 </w:t>
      </w:r>
      <w:r>
        <w:rPr>
          <w:spacing w:val="-6"/>
        </w:rPr>
        <w:t>多年前开始在中国市场建设高端品牌卡萨帝。高端品牌的</w:t>
      </w:r>
      <w:r>
        <w:rPr>
          <w:spacing w:val="-4"/>
        </w:rPr>
        <w:t>打造除了需要专注、经验、耐心，更需要持续创新的技术水平和差异化的服务能</w:t>
      </w:r>
      <w:r>
        <w:rPr>
          <w:color w:val="211F1F"/>
          <w:spacing w:val="-3"/>
        </w:rPr>
        <w:t>力，方能适应用户对高质量体验的需求。卡萨帝品牌融合了公司在全球范围的技术实力、产品开发能力、制造工</w:t>
      </w:r>
      <w:r>
        <w:rPr>
          <w:color w:val="211F1F"/>
          <w:spacing w:val="-14"/>
        </w:rPr>
        <w:t>艺等优势，及专属营销和差异化服务，逐渐赢得中国高端市场用户的信赖。根据</w:t>
      </w:r>
      <w:r>
        <w:rPr>
          <w:spacing w:val="-3"/>
        </w:rPr>
        <w:t>中怡康资料</w:t>
      </w:r>
      <w:r>
        <w:rPr>
          <w:color w:val="211F1F"/>
          <w:spacing w:val="-11"/>
        </w:rPr>
        <w:t>，</w:t>
      </w:r>
      <w:r>
        <w:rPr>
          <w:rFonts w:ascii="Times New Roman" w:eastAsia="Times New Roman"/>
          <w:spacing w:val="-11"/>
        </w:rPr>
        <w:t>2020 </w:t>
      </w:r>
      <w:r>
        <w:rPr/>
        <w:t>年</w:t>
      </w:r>
      <w:r>
        <w:rPr>
          <w:color w:val="211F1F"/>
          <w:spacing w:val="-3"/>
        </w:rPr>
        <w:t>卡萨帝品牌已在中国高端大家电市场中占据绝对领先地位，</w:t>
      </w:r>
      <w:r>
        <w:rPr>
          <w:spacing w:val="-3"/>
        </w:rPr>
        <w:t>在高端市场冰箱</w:t>
      </w:r>
      <w:r>
        <w:rPr>
          <w:color w:val="211F1F"/>
          <w:spacing w:val="-2"/>
        </w:rPr>
        <w:t>、洗衣</w:t>
      </w:r>
      <w:r>
        <w:rPr>
          <w:spacing w:val="-3"/>
        </w:rPr>
        <w:t>机</w:t>
      </w:r>
      <w:r>
        <w:rPr>
          <w:color w:val="211F1F"/>
          <w:spacing w:val="-2"/>
        </w:rPr>
        <w:t>、空调</w:t>
      </w:r>
      <w:r>
        <w:rPr/>
        <w:t>等品类</w:t>
      </w:r>
      <w:r>
        <w:rPr>
          <w:color w:val="211F1F"/>
          <w:spacing w:val="-3"/>
        </w:rPr>
        <w:t>的零售</w:t>
      </w:r>
      <w:r>
        <w:rPr>
          <w:spacing w:val="-2"/>
        </w:rPr>
        <w:t>额份额</w:t>
      </w:r>
      <w:r>
        <w:rPr>
          <w:color w:val="211F1F"/>
          <w:spacing w:val="-3"/>
        </w:rPr>
        <w:t>排名第一。其中，就线下</w:t>
      </w:r>
      <w:r>
        <w:rPr>
          <w:spacing w:val="-3"/>
        </w:rPr>
        <w:t>零售额而言</w:t>
      </w:r>
      <w:r>
        <w:rPr>
          <w:color w:val="211F1F"/>
          <w:spacing w:val="-3"/>
        </w:rPr>
        <w:t>，卡萨帝品牌洗衣机及冰箱在中国万元以</w:t>
      </w:r>
      <w:r>
        <w:rPr>
          <w:color w:val="211F1F"/>
          <w:spacing w:val="-7"/>
        </w:rPr>
        <w:t>上市场的份额达到 </w:t>
      </w:r>
      <w:r>
        <w:rPr>
          <w:rFonts w:ascii="Times New Roman" w:eastAsia="Times New Roman"/>
        </w:rPr>
        <w:t>76.7%</w:t>
      </w:r>
      <w:r>
        <w:rPr>
          <w:color w:val="211F1F"/>
          <w:spacing w:val="-10"/>
        </w:rPr>
        <w:t>、</w:t>
      </w:r>
      <w:r>
        <w:rPr>
          <w:rFonts w:ascii="Times New Roman" w:eastAsia="Times New Roman"/>
          <w:spacing w:val="-3"/>
        </w:rPr>
        <w:t>37.1%</w:t>
      </w:r>
      <w:r>
        <w:rPr>
          <w:color w:val="211F1F"/>
          <w:spacing w:val="-5"/>
        </w:rPr>
        <w:t>，空调在中国一万五千元以上市场的份额达到 </w:t>
      </w:r>
      <w:r>
        <w:rPr>
          <w:rFonts w:ascii="Times New Roman" w:eastAsia="Times New Roman"/>
        </w:rPr>
        <w:t>46.9%</w:t>
      </w:r>
      <w:r>
        <w:rPr>
          <w:color w:val="211F1F"/>
          <w:spacing w:val="-6"/>
        </w:rPr>
        <w:t>。冰箱、空</w:t>
      </w:r>
      <w:r>
        <w:rPr>
          <w:color w:val="211F1F"/>
          <w:spacing w:val="-4"/>
        </w:rPr>
        <w:t>调、洗衣机的线下市场均价达到行业均价的大约两倍到三倍。</w:t>
      </w:r>
    </w:p>
    <w:p>
      <w:pPr>
        <w:pStyle w:val="Heading4"/>
        <w:spacing w:line="372" w:lineRule="exact"/>
        <w:ind w:left="657"/>
      </w:pPr>
      <w:r>
        <w:rPr>
          <w:rFonts w:ascii="Times New Roman" w:eastAsia="Times New Roman"/>
        </w:rPr>
        <w:t>(</w:t>
      </w:r>
      <w:r>
        <w:rPr/>
        <w:t>三</w:t>
      </w:r>
      <w:r>
        <w:rPr>
          <w:rFonts w:ascii="Times New Roman" w:eastAsia="Times New Roman"/>
          <w:spacing w:val="17"/>
        </w:rPr>
        <w:t>) </w:t>
      </w:r>
      <w:r>
        <w:rPr>
          <w:spacing w:val="-2"/>
        </w:rPr>
        <w:t>持续拓展并升级的智慧家庭解决方案</w:t>
      </w:r>
    </w:p>
    <w:p>
      <w:pPr>
        <w:pStyle w:val="BodyText"/>
        <w:spacing w:line="364" w:lineRule="auto" w:before="154"/>
        <w:ind w:left="237" w:right="1030" w:firstLine="420"/>
        <w:jc w:val="both"/>
      </w:pPr>
      <w:r>
        <w:rPr>
          <w:spacing w:val="-3"/>
        </w:rPr>
        <w:t>随着用户对美好生活需求的不断提升，以及物联网、大数据、云计算、人工智能等技术的发展，家电行业呈现出智能化、套系化、场景化的发展趋势。公司凭借领先的用户洞察、丰富的品类覆盖等积累，已于业内率先基于客厅、厨房、卧室、浴室、阳台等生活空间内的个性化生活场</w:t>
      </w:r>
      <w:r>
        <w:rPr>
          <w:spacing w:val="-4"/>
        </w:rPr>
        <w:t>景，向智慧家庭解决方案转型。用户可以以公司的海尔智家</w:t>
      </w:r>
      <w:r>
        <w:rPr>
          <w:rFonts w:ascii="Times New Roman" w:eastAsia="Times New Roman"/>
        </w:rPr>
        <w:t>APP</w:t>
      </w:r>
      <w:r>
        <w:rPr>
          <w:rFonts w:ascii="Times New Roman" w:eastAsia="Times New Roman"/>
          <w:spacing w:val="35"/>
        </w:rPr>
        <w:t> </w:t>
      </w:r>
      <w:r>
        <w:rPr>
          <w:spacing w:val="-6"/>
        </w:rPr>
        <w:t>为入口，进行已有设备交互、下</w:t>
      </w:r>
      <w:r>
        <w:rPr>
          <w:spacing w:val="-4"/>
        </w:rPr>
        <w:t>单、取得服务，满足在特定生活场景下的全面需求。未来，公司将持续顺应用户体验需求，进一</w:t>
      </w:r>
      <w:r>
        <w:rPr>
          <w:spacing w:val="-3"/>
        </w:rPr>
        <w:t>步升级并丰富公司提供的智慧家庭解决方案。</w:t>
      </w:r>
    </w:p>
    <w:p>
      <w:pPr>
        <w:pStyle w:val="Heading4"/>
        <w:spacing w:line="374" w:lineRule="exact"/>
        <w:ind w:left="657"/>
      </w:pPr>
      <w:r>
        <w:rPr>
          <w:rFonts w:ascii="Times New Roman" w:eastAsia="Times New Roman"/>
        </w:rPr>
        <w:t>(</w:t>
      </w:r>
      <w:r>
        <w:rPr/>
        <w:t>四</w:t>
      </w:r>
      <w:r>
        <w:rPr>
          <w:rFonts w:ascii="Times New Roman" w:eastAsia="Times New Roman"/>
        </w:rPr>
        <w:t>) </w:t>
      </w:r>
      <w:r>
        <w:rPr/>
        <w:t>广泛而扎实的全球化布局和本土化运营能力</w:t>
      </w:r>
    </w:p>
    <w:p>
      <w:pPr>
        <w:pStyle w:val="BodyText"/>
        <w:spacing w:line="364" w:lineRule="auto" w:before="151"/>
        <w:ind w:left="237" w:right="1038" w:firstLine="420"/>
        <w:jc w:val="both"/>
      </w:pPr>
      <w:r>
        <w:rPr/>
        <w:t>除在中国市场取得成功外，公司于海外市场亦表现强劲。公司坚持依靠自有品牌与并购开拓海外市场。公司的这一经营策略帮助公司建立了多品牌、跨产品、跨区域的研发、制造、营销中具有自建、互联及协同运作的三位一体模式。</w:t>
      </w:r>
    </w:p>
    <w:p>
      <w:pPr>
        <w:pStyle w:val="BodyText"/>
        <w:spacing w:line="364" w:lineRule="auto" w:before="60"/>
        <w:ind w:left="237" w:right="1038" w:firstLine="420"/>
        <w:jc w:val="both"/>
      </w:pPr>
      <w:r>
        <w:rPr/>
        <w:t>公司广泛的全球化布局也有赖于公司在海外各区域市场建立的本土化的业务团队和灵活自主的管理机制，从而使得公司实现对当地消费需求的快速洞察和响应。公司也积极融入各地当地市场和文化，于公司经营的海外区域树立了受到当地社会认可的企业形象。</w:t>
      </w:r>
    </w:p>
    <w:p>
      <w:pPr>
        <w:pStyle w:val="BodyText"/>
        <w:spacing w:before="57"/>
        <w:ind w:left="657"/>
        <w:jc w:val="both"/>
      </w:pPr>
      <w:r>
        <w:rPr>
          <w:rFonts w:ascii="Times New Roman" w:eastAsia="Times New Roman"/>
        </w:rPr>
        <w:t>2020 </w:t>
      </w:r>
      <w:r>
        <w:rPr/>
        <w:t>年，公司在全球运营 </w:t>
      </w:r>
      <w:r>
        <w:rPr>
          <w:rFonts w:ascii="Times New Roman" w:eastAsia="Times New Roman"/>
        </w:rPr>
        <w:t>14 </w:t>
      </w:r>
      <w:r>
        <w:rPr/>
        <w:t>个研发中心、</w:t>
      </w:r>
      <w:r>
        <w:rPr>
          <w:rFonts w:ascii="Times New Roman" w:eastAsia="Times New Roman"/>
        </w:rPr>
        <w:t>122 </w:t>
      </w:r>
      <w:r>
        <w:rPr/>
        <w:t>个制造中心、</w:t>
      </w:r>
      <w:r>
        <w:rPr>
          <w:rFonts w:ascii="Times New Roman" w:eastAsia="Times New Roman"/>
        </w:rPr>
        <w:t>108 </w:t>
      </w:r>
      <w:r>
        <w:rPr/>
        <w:t>个</w:t>
      </w:r>
      <w:r>
        <w:rPr>
          <w:u w:val="single"/>
        </w:rPr>
        <w:t>营销</w:t>
      </w:r>
      <w:r>
        <w:rPr/>
        <w:t>中心，并在海外市场</w:t>
      </w:r>
    </w:p>
    <w:p>
      <w:pPr>
        <w:pStyle w:val="BodyText"/>
        <w:spacing w:before="142"/>
        <w:ind w:left="237"/>
      </w:pPr>
      <w:r>
        <w:rPr/>
        <w:t>覆盖接近 </w:t>
      </w:r>
      <w:r>
        <w:rPr>
          <w:rFonts w:ascii="Times New Roman" w:eastAsia="Times New Roman"/>
        </w:rPr>
        <w:t>13 </w:t>
      </w:r>
      <w:r>
        <w:rPr/>
        <w:t>万个销售网点。</w:t>
      </w:r>
    </w:p>
    <w:p>
      <w:pPr>
        <w:pStyle w:val="Heading4"/>
        <w:spacing w:before="129"/>
        <w:ind w:left="657"/>
      </w:pPr>
      <w:r>
        <w:rPr>
          <w:rFonts w:ascii="Times New Roman" w:eastAsia="Times New Roman"/>
        </w:rPr>
        <w:t>(</w:t>
      </w:r>
      <w:r>
        <w:rPr/>
        <w:t>五</w:t>
      </w:r>
      <w:r>
        <w:rPr>
          <w:rFonts w:ascii="Times New Roman" w:eastAsia="Times New Roman"/>
        </w:rPr>
        <w:t>) </w:t>
      </w:r>
      <w:r>
        <w:rPr/>
        <w:t>持续提升的市场份额</w:t>
      </w:r>
    </w:p>
    <w:p>
      <w:pPr>
        <w:pStyle w:val="BodyText"/>
        <w:spacing w:line="364" w:lineRule="auto" w:before="151"/>
        <w:ind w:left="237" w:right="1038" w:firstLine="420"/>
        <w:jc w:val="both"/>
      </w:pPr>
      <w:r>
        <w:rPr>
          <w:spacing w:val="-3"/>
        </w:rPr>
        <w:t>凭借全球化布局的扎实落地，公司具备适应当地市场的产品竞争力、深入当地市场的销售渠道网络、全球其他市场的成功经验，及全球研发、采购、生产调度的协同和运营能力，这些使得公司能够在全球各主要市场持续提升市场份额。</w:t>
      </w:r>
    </w:p>
    <w:p>
      <w:pPr>
        <w:pStyle w:val="Heading4"/>
        <w:spacing w:line="376" w:lineRule="exact"/>
        <w:ind w:left="657"/>
      </w:pPr>
      <w:r>
        <w:rPr>
          <w:rFonts w:ascii="Times New Roman" w:eastAsia="Times New Roman"/>
        </w:rPr>
        <w:t>(</w:t>
      </w:r>
      <w:r>
        <w:rPr/>
        <w:t>六</w:t>
      </w:r>
      <w:r>
        <w:rPr>
          <w:rFonts w:ascii="Times New Roman" w:eastAsia="Times New Roman"/>
          <w:spacing w:val="18"/>
        </w:rPr>
        <w:t>) </w:t>
      </w:r>
      <w:r>
        <w:rPr>
          <w:spacing w:val="-2"/>
        </w:rPr>
        <w:t>全面的自有品牌组合与强大的品牌形象</w:t>
      </w:r>
    </w:p>
    <w:p>
      <w:pPr>
        <w:spacing w:after="0" w:line="376" w:lineRule="exact"/>
        <w:sectPr>
          <w:pgSz w:w="11910" w:h="16840"/>
          <w:pgMar w:header="874" w:footer="1214" w:top="1360" w:bottom="1400" w:left="1040" w:right="760"/>
        </w:sectPr>
      </w:pPr>
    </w:p>
    <w:p>
      <w:pPr>
        <w:pStyle w:val="BodyText"/>
        <w:spacing w:line="364" w:lineRule="auto" w:before="68"/>
        <w:ind w:left="237" w:right="923" w:firstLine="420"/>
      </w:pPr>
      <w:r>
        <w:rPr>
          <w:spacing w:val="-15"/>
        </w:rPr>
        <w:t>公司已通过自主发展和并购形成了七大品牌集群，包括海尔、卡萨帝、</w:t>
      </w:r>
      <w:r>
        <w:rPr>
          <w:rFonts w:ascii="Times New Roman" w:eastAsia="Times New Roman"/>
        </w:rPr>
        <w:t>Leader</w:t>
      </w:r>
      <w:r>
        <w:rPr>
          <w:spacing w:val="-96"/>
        </w:rPr>
        <w:t>、</w:t>
      </w:r>
      <w:r>
        <w:rPr>
          <w:rFonts w:ascii="Times New Roman" w:eastAsia="Times New Roman"/>
        </w:rPr>
        <w:t>GE Appliances </w:t>
      </w:r>
      <w:r>
        <w:rPr/>
        <w:t>、</w:t>
      </w:r>
      <w:r>
        <w:rPr>
          <w:rFonts w:ascii="Times New Roman" w:eastAsia="Times New Roman"/>
        </w:rPr>
        <w:t>Candy</w:t>
      </w:r>
      <w:r>
        <w:rPr/>
        <w:t>、</w:t>
      </w:r>
      <w:r>
        <w:rPr>
          <w:rFonts w:ascii="Times New Roman" w:eastAsia="Times New Roman"/>
        </w:rPr>
        <w:t>Fisher&amp;Paykel </w:t>
      </w:r>
      <w:r>
        <w:rPr>
          <w:spacing w:val="-24"/>
        </w:rPr>
        <w:t>和 </w:t>
      </w:r>
      <w:r>
        <w:rPr>
          <w:rFonts w:ascii="Times New Roman" w:eastAsia="Times New Roman"/>
        </w:rPr>
        <w:t>AQUA</w:t>
      </w:r>
      <w:r>
        <w:rPr>
          <w:spacing w:val="-3"/>
        </w:rPr>
        <w:t>。为适应全球各市场不同层次用户的需求，公司采取以用户为中心的差异化的多品牌策略，实现了广泛而深入的用户覆盖。</w:t>
      </w:r>
    </w:p>
    <w:p>
      <w:pPr>
        <w:pStyle w:val="Heading4"/>
        <w:spacing w:line="377" w:lineRule="exact"/>
        <w:ind w:left="657"/>
      </w:pPr>
      <w:r>
        <w:rPr>
          <w:rFonts w:ascii="Times New Roman" w:eastAsia="Times New Roman"/>
        </w:rPr>
        <w:t>(</w:t>
      </w:r>
      <w:r>
        <w:rPr/>
        <w:t>七</w:t>
      </w:r>
      <w:r>
        <w:rPr>
          <w:rFonts w:ascii="Times New Roman" w:eastAsia="Times New Roman"/>
          <w:spacing w:val="13"/>
        </w:rPr>
        <w:t>) </w:t>
      </w:r>
      <w:r>
        <w:rPr/>
        <w:t>跨境并购与整合能力</w:t>
      </w:r>
    </w:p>
    <w:p>
      <w:pPr>
        <w:pStyle w:val="BodyText"/>
        <w:spacing w:line="364" w:lineRule="auto" w:before="151"/>
        <w:ind w:left="237" w:right="822" w:firstLine="420"/>
      </w:pPr>
      <w:r>
        <w:rPr>
          <w:spacing w:val="-8"/>
        </w:rPr>
        <w:t>公司拥有出色的并购整合业绩。公司于 </w:t>
      </w:r>
      <w:r>
        <w:rPr>
          <w:rFonts w:ascii="Times New Roman" w:eastAsia="Times New Roman"/>
        </w:rPr>
        <w:t>2015</w:t>
      </w:r>
      <w:r>
        <w:rPr>
          <w:rFonts w:ascii="Times New Roman" w:eastAsia="Times New Roman"/>
          <w:spacing w:val="28"/>
        </w:rPr>
        <w:t> </w:t>
      </w:r>
      <w:r>
        <w:rPr>
          <w:spacing w:val="-6"/>
        </w:rPr>
        <w:t>年收购海尔集团的海外白色家电业务，其中包括日</w:t>
      </w:r>
      <w:r>
        <w:rPr>
          <w:spacing w:val="-8"/>
        </w:rPr>
        <w:t>本三洋电机公司的日本及东南亚白色家电业务，于 </w:t>
      </w:r>
      <w:r>
        <w:rPr>
          <w:rFonts w:ascii="Times New Roman" w:eastAsia="Times New Roman"/>
        </w:rPr>
        <w:t>2016</w:t>
      </w:r>
      <w:r>
        <w:rPr>
          <w:rFonts w:ascii="Times New Roman" w:eastAsia="Times New Roman"/>
          <w:spacing w:val="8"/>
        </w:rPr>
        <w:t> </w:t>
      </w:r>
      <w:r>
        <w:rPr>
          <w:spacing w:val="15"/>
        </w:rPr>
        <w:t>年收购</w:t>
      </w:r>
      <w:r>
        <w:rPr>
          <w:rFonts w:ascii="Times New Roman" w:eastAsia="Times New Roman"/>
        </w:rPr>
        <w:t>GE</w:t>
      </w:r>
      <w:r>
        <w:rPr>
          <w:rFonts w:ascii="Times New Roman" w:eastAsia="Times New Roman"/>
          <w:spacing w:val="5"/>
        </w:rPr>
        <w:t> </w:t>
      </w:r>
      <w:r>
        <w:rPr>
          <w:rFonts w:ascii="Times New Roman" w:eastAsia="Times New Roman"/>
          <w:spacing w:val="-4"/>
        </w:rPr>
        <w:t>Appliances</w:t>
      </w:r>
      <w:r>
        <w:rPr>
          <w:spacing w:val="-16"/>
        </w:rPr>
        <w:t>，于 </w:t>
      </w:r>
      <w:r>
        <w:rPr>
          <w:rFonts w:ascii="Times New Roman" w:eastAsia="Times New Roman"/>
        </w:rPr>
        <w:t>2018</w:t>
      </w:r>
      <w:r>
        <w:rPr>
          <w:rFonts w:ascii="Times New Roman" w:eastAsia="Times New Roman"/>
          <w:spacing w:val="4"/>
        </w:rPr>
        <w:t> </w:t>
      </w:r>
      <w:r>
        <w:rPr>
          <w:spacing w:val="5"/>
        </w:rPr>
        <w:t>年收购自</w:t>
      </w:r>
      <w:r>
        <w:rPr>
          <w:rFonts w:ascii="Times New Roman" w:eastAsia="Times New Roman"/>
        </w:rPr>
        <w:t>2015</w:t>
      </w:r>
      <w:r>
        <w:rPr>
          <w:rFonts w:ascii="Times New Roman" w:eastAsia="Times New Roman"/>
          <w:spacing w:val="-18"/>
        </w:rPr>
        <w:t> </w:t>
      </w:r>
      <w:r>
        <w:rPr>
          <w:spacing w:val="-1"/>
        </w:rPr>
        <w:t>年起受海尔集团委托运营的新西兰</w:t>
      </w:r>
      <w:r>
        <w:rPr>
          <w:rFonts w:ascii="Times New Roman" w:eastAsia="Times New Roman"/>
        </w:rPr>
        <w:t>Fisher&amp;Paykel</w:t>
      </w:r>
      <w:r>
        <w:rPr>
          <w:rFonts w:ascii="Times New Roman" w:eastAsia="Times New Roman"/>
          <w:spacing w:val="-19"/>
        </w:rPr>
        <w:t> </w:t>
      </w:r>
      <w:r>
        <w:rPr>
          <w:spacing w:val="-17"/>
        </w:rPr>
        <w:t>公司，并于</w:t>
      </w:r>
      <w:r>
        <w:rPr>
          <w:rFonts w:ascii="Times New Roman" w:eastAsia="Times New Roman"/>
        </w:rPr>
        <w:t>2019</w:t>
      </w:r>
      <w:r>
        <w:rPr>
          <w:rFonts w:ascii="Times New Roman" w:eastAsia="Times New Roman"/>
          <w:spacing w:val="-17"/>
        </w:rPr>
        <w:t> </w:t>
      </w:r>
      <w:r>
        <w:rPr>
          <w:spacing w:val="1"/>
        </w:rPr>
        <w:t>年收购意大利公司</w:t>
      </w:r>
      <w:r>
        <w:rPr>
          <w:rFonts w:ascii="Times New Roman" w:eastAsia="Times New Roman"/>
        </w:rPr>
        <w:t>Candy</w:t>
      </w:r>
      <w:r>
        <w:rPr/>
        <w:t>。公</w:t>
      </w:r>
      <w:r>
        <w:rPr>
          <w:spacing w:val="-3"/>
        </w:rPr>
        <w:t>司的并购整合能力体现在：第一，在被并购企业中推行人单合一模式，即全流程团队在同一目 标下的增值分享机制，这一模式可激发被并购企业及员工的活力，使其创造更大的价值；第二， 公司利用全球平台，在战略、研发和采购等方面赋能被并购企业，促进其提高竞争力；第三，公 司具有开放包容的企业文化，支持被并购企业建立灵活的自主管理机制，容易得到被并购企业的 认同，有利于促进整合效果。</w:t>
      </w:r>
    </w:p>
    <w:p>
      <w:pPr>
        <w:pStyle w:val="Heading4"/>
        <w:spacing w:line="374" w:lineRule="exact"/>
        <w:ind w:left="657"/>
      </w:pPr>
      <w:r>
        <w:rPr>
          <w:rFonts w:ascii="Times New Roman" w:eastAsia="Times New Roman"/>
        </w:rPr>
        <w:t>(</w:t>
      </w:r>
      <w:r>
        <w:rPr/>
        <w:t>八</w:t>
      </w:r>
      <w:r>
        <w:rPr>
          <w:rFonts w:ascii="Times New Roman" w:eastAsia="Times New Roman"/>
        </w:rPr>
        <w:t>) </w:t>
      </w:r>
      <w:r>
        <w:rPr/>
        <w:t>全面而深入的全球协同能力</w:t>
      </w:r>
    </w:p>
    <w:p>
      <w:pPr>
        <w:pStyle w:val="BodyText"/>
        <w:spacing w:line="364" w:lineRule="auto" w:before="151"/>
        <w:ind w:left="237" w:right="1029" w:firstLine="420"/>
        <w:jc w:val="both"/>
      </w:pPr>
      <w:r>
        <w:rPr>
          <w:spacing w:val="-13"/>
        </w:rPr>
        <w:t>公司充分利用全球协同平台及研发、产品开发、采购、供应链、营销及品牌推广等综合功能， </w:t>
      </w:r>
      <w:r>
        <w:rPr>
          <w:spacing w:val="-6"/>
        </w:rPr>
        <w:t>并能够将已有的成功市场经验共享拓展至全球各个市场。公司通过不断深化全球业务间的协同效</w:t>
      </w:r>
      <w:r>
        <w:rPr>
          <w:spacing w:val="-4"/>
        </w:rPr>
        <w:t>应，为公司未来的发展注入强大的推动力。</w:t>
      </w:r>
    </w:p>
    <w:p>
      <w:pPr>
        <w:pStyle w:val="ListParagraph"/>
        <w:numPr>
          <w:ilvl w:val="0"/>
          <w:numId w:val="5"/>
        </w:numPr>
        <w:tabs>
          <w:tab w:pos="838" w:val="left" w:leader="none"/>
        </w:tabs>
        <w:spacing w:line="374" w:lineRule="exact" w:before="0" w:after="0"/>
        <w:ind w:left="237" w:right="0" w:firstLine="422"/>
        <w:jc w:val="both"/>
        <w:rPr>
          <w:sz w:val="21"/>
        </w:rPr>
      </w:pPr>
      <w:r>
        <w:rPr>
          <w:rFonts w:ascii="Microsoft JhengHei" w:hAnsi="Microsoft JhengHei" w:eastAsia="Microsoft JhengHei" w:hint="eastAsia"/>
          <w:b/>
          <w:sz w:val="21"/>
        </w:rPr>
        <w:t>全球协同研发：</w:t>
      </w:r>
      <w:r>
        <w:rPr>
          <w:spacing w:val="-3"/>
          <w:sz w:val="21"/>
        </w:rPr>
        <w:t>公司具有全球协同研发体系，设立了全球技术研发机制，共享通用模块和</w:t>
      </w:r>
    </w:p>
    <w:p>
      <w:pPr>
        <w:pStyle w:val="BodyText"/>
        <w:spacing w:line="364" w:lineRule="auto" w:before="94"/>
        <w:ind w:left="237" w:right="1029"/>
        <w:jc w:val="both"/>
      </w:pPr>
      <w:r>
        <w:rPr>
          <w:spacing w:val="-11"/>
        </w:rPr>
        <w:t>复用技术及在合规范围内共享专利。例如，公司成功将 </w:t>
      </w:r>
      <w:r>
        <w:rPr>
          <w:rFonts w:ascii="Times New Roman" w:eastAsia="Times New Roman"/>
        </w:rPr>
        <w:t>Fisher&amp;Paykel </w:t>
      </w:r>
      <w:r>
        <w:rPr>
          <w:spacing w:val="-3"/>
        </w:rPr>
        <w:t>研发的直驱电机技术应用于卡萨帝品牌洗衣设备，并取得理想成果。</w:t>
      </w:r>
    </w:p>
    <w:p>
      <w:pPr>
        <w:pStyle w:val="ListParagraph"/>
        <w:numPr>
          <w:ilvl w:val="0"/>
          <w:numId w:val="5"/>
        </w:numPr>
        <w:tabs>
          <w:tab w:pos="838" w:val="left" w:leader="none"/>
        </w:tabs>
        <w:spacing w:line="297" w:lineRule="auto" w:before="0" w:after="0"/>
        <w:ind w:left="237" w:right="1060" w:firstLine="422"/>
        <w:jc w:val="left"/>
        <w:rPr>
          <w:sz w:val="21"/>
        </w:rPr>
      </w:pPr>
      <w:r>
        <w:rPr>
          <w:rFonts w:ascii="Microsoft JhengHei" w:hAnsi="Microsoft JhengHei" w:eastAsia="Microsoft JhengHei" w:hint="eastAsia"/>
          <w:b/>
          <w:sz w:val="21"/>
        </w:rPr>
        <w:t>全球协同产品开发：</w:t>
      </w:r>
      <w:r>
        <w:rPr>
          <w:spacing w:val="-3"/>
          <w:sz w:val="21"/>
        </w:rPr>
        <w:t>公司设立了全球产品开发机制协调全球产品合作开发，可实现产品类</w:t>
      </w:r>
      <w:r>
        <w:rPr>
          <w:spacing w:val="-1"/>
          <w:sz w:val="21"/>
        </w:rPr>
        <w:t>别之间的区域合作和补充。例如，公司成功支持了</w:t>
      </w:r>
      <w:r>
        <w:rPr>
          <w:rFonts w:ascii="Times New Roman" w:hAnsi="Times New Roman" w:eastAsia="Times New Roman"/>
          <w:sz w:val="21"/>
        </w:rPr>
        <w:t>GE</w:t>
      </w:r>
      <w:r>
        <w:rPr>
          <w:rFonts w:ascii="Times New Roman" w:hAnsi="Times New Roman" w:eastAsia="Times New Roman"/>
          <w:spacing w:val="-1"/>
          <w:sz w:val="21"/>
        </w:rPr>
        <w:t> </w:t>
      </w:r>
      <w:r>
        <w:rPr>
          <w:rFonts w:ascii="Times New Roman" w:hAnsi="Times New Roman" w:eastAsia="Times New Roman"/>
          <w:sz w:val="21"/>
        </w:rPr>
        <w:t>Appliances</w:t>
      </w:r>
      <w:r>
        <w:rPr>
          <w:rFonts w:ascii="Times New Roman" w:hAnsi="Times New Roman" w:eastAsia="Times New Roman"/>
          <w:spacing w:val="1"/>
          <w:sz w:val="21"/>
        </w:rPr>
        <w:t> </w:t>
      </w:r>
      <w:r>
        <w:rPr>
          <w:spacing w:val="-3"/>
          <w:sz w:val="21"/>
        </w:rPr>
        <w:t>重启热水器业务。</w:t>
      </w:r>
    </w:p>
    <w:p>
      <w:pPr>
        <w:pStyle w:val="ListParagraph"/>
        <w:numPr>
          <w:ilvl w:val="0"/>
          <w:numId w:val="5"/>
        </w:numPr>
        <w:tabs>
          <w:tab w:pos="838" w:val="left" w:leader="none"/>
        </w:tabs>
        <w:spacing w:line="297" w:lineRule="auto" w:before="55" w:after="0"/>
        <w:ind w:left="237" w:right="1062" w:firstLine="422"/>
        <w:jc w:val="left"/>
        <w:rPr>
          <w:sz w:val="21"/>
        </w:rPr>
      </w:pPr>
      <w:r>
        <w:rPr>
          <w:rFonts w:ascii="Microsoft JhengHei" w:hAnsi="Microsoft JhengHei" w:eastAsia="Microsoft JhengHei" w:hint="eastAsia"/>
          <w:b/>
          <w:sz w:val="21"/>
        </w:rPr>
        <w:t>全球协同采购：</w:t>
      </w:r>
      <w:r>
        <w:rPr>
          <w:spacing w:val="-3"/>
          <w:sz w:val="21"/>
        </w:rPr>
        <w:t>公司的全球采购活动由公司的全球商品委员会指导推进。借助公司的全球采购运营平台，公司不同地区的运营部门可共享全球采购资源，从而实现规模效应。</w:t>
      </w:r>
    </w:p>
    <w:p>
      <w:pPr>
        <w:pStyle w:val="ListParagraph"/>
        <w:numPr>
          <w:ilvl w:val="0"/>
          <w:numId w:val="5"/>
        </w:numPr>
        <w:tabs>
          <w:tab w:pos="838" w:val="left" w:leader="none"/>
        </w:tabs>
        <w:spacing w:line="297" w:lineRule="auto" w:before="63" w:after="0"/>
        <w:ind w:left="237" w:right="1062" w:firstLine="422"/>
        <w:jc w:val="left"/>
        <w:rPr>
          <w:sz w:val="21"/>
        </w:rPr>
      </w:pPr>
      <w:r>
        <w:rPr>
          <w:rFonts w:ascii="Microsoft JhengHei" w:hAnsi="Microsoft JhengHei" w:eastAsia="Microsoft JhengHei" w:hint="eastAsia"/>
          <w:b/>
          <w:sz w:val="21"/>
        </w:rPr>
        <w:t>全球协同供应链：</w:t>
      </w:r>
      <w:r>
        <w:rPr>
          <w:spacing w:val="-3"/>
          <w:sz w:val="21"/>
        </w:rPr>
        <w:t>公司具有可视化、数字化的全球供应链管理体系，能够灵活部署全球产能，共享与协同发展智能制造技术。</w:t>
      </w:r>
    </w:p>
    <w:p>
      <w:pPr>
        <w:pStyle w:val="ListParagraph"/>
        <w:numPr>
          <w:ilvl w:val="0"/>
          <w:numId w:val="5"/>
        </w:numPr>
        <w:tabs>
          <w:tab w:pos="838" w:val="left" w:leader="none"/>
        </w:tabs>
        <w:spacing w:line="240" w:lineRule="auto" w:before="64" w:after="0"/>
        <w:ind w:left="237" w:right="0" w:firstLine="422"/>
        <w:jc w:val="left"/>
        <w:rPr>
          <w:sz w:val="21"/>
        </w:rPr>
      </w:pPr>
      <w:r>
        <w:rPr>
          <w:rFonts w:ascii="Microsoft JhengHei" w:hAnsi="Microsoft JhengHei" w:eastAsia="Microsoft JhengHei" w:hint="eastAsia"/>
          <w:b/>
          <w:spacing w:val="-1"/>
          <w:sz w:val="21"/>
        </w:rPr>
        <w:t>全球协同营销和品牌推广：</w:t>
      </w:r>
      <w:r>
        <w:rPr>
          <w:spacing w:val="-3"/>
          <w:sz w:val="21"/>
        </w:rPr>
        <w:t>公司在全球范围运营多层次品牌组合，可实现全球协同品牌推</w:t>
      </w:r>
    </w:p>
    <w:p>
      <w:pPr>
        <w:pStyle w:val="BodyText"/>
        <w:spacing w:line="364" w:lineRule="auto" w:before="94"/>
        <w:ind w:left="237" w:right="1038"/>
        <w:jc w:val="both"/>
      </w:pPr>
      <w:r>
        <w:rPr/>
        <w:t>广。公司也在全球各区域市场之间互相推广和引入成功营销策略。例如，公司把在中国三四级市场的销售及营销模式成功复制到印度、巴基斯坦、泰国等市场，强化了公司的品牌形象和区域市场竞争力。</w:t>
      </w:r>
    </w:p>
    <w:p>
      <w:pPr>
        <w:pStyle w:val="Heading4"/>
        <w:spacing w:line="374" w:lineRule="exact"/>
        <w:ind w:left="657"/>
      </w:pPr>
      <w:r>
        <w:rPr>
          <w:rFonts w:ascii="Times New Roman" w:eastAsia="Times New Roman"/>
        </w:rPr>
        <w:t>(</w:t>
      </w:r>
      <w:r>
        <w:rPr/>
        <w:t>九</w:t>
      </w:r>
      <w:r>
        <w:rPr>
          <w:rFonts w:ascii="Times New Roman" w:eastAsia="Times New Roman"/>
        </w:rPr>
        <w:t>) </w:t>
      </w:r>
      <w:r>
        <w:rPr/>
        <w:t>行业领先的研发和技术实力</w:t>
      </w:r>
    </w:p>
    <w:p>
      <w:pPr>
        <w:pStyle w:val="BodyText"/>
        <w:spacing w:line="364" w:lineRule="auto" w:before="151"/>
        <w:ind w:left="237" w:right="1038" w:firstLine="420"/>
      </w:pPr>
      <w:r>
        <w:rPr/>
        <w:t>公司基于</w:t>
      </w:r>
      <w:r>
        <w:rPr>
          <w:rFonts w:ascii="Times New Roman" w:hAnsi="Times New Roman" w:eastAsia="Times New Roman"/>
        </w:rPr>
        <w:t>“</w:t>
      </w:r>
      <w:r>
        <w:rPr/>
        <w:t>世界就是我的研发部</w:t>
      </w:r>
      <w:r>
        <w:rPr>
          <w:rFonts w:ascii="Times New Roman" w:hAnsi="Times New Roman" w:eastAsia="Times New Roman"/>
        </w:rPr>
        <w:t>”</w:t>
      </w:r>
      <w:r>
        <w:rPr/>
        <w:t>的核心理念，建立了领先的全球研发创新体系，保障了公司得以实现围绕用户需求的持续创新。公司已在全球建立十四大研发中心，形成了遍布全球的研发</w:t>
      </w:r>
    </w:p>
    <w:p>
      <w:pPr>
        <w:spacing w:after="0" w:line="364" w:lineRule="auto"/>
        <w:sectPr>
          <w:headerReference w:type="default" r:id="rId24"/>
          <w:footerReference w:type="default" r:id="rId25"/>
          <w:pgSz w:w="11910" w:h="16840"/>
          <w:pgMar w:header="874" w:footer="1214" w:top="1360" w:bottom="1400" w:left="1040" w:right="760"/>
        </w:sectPr>
      </w:pPr>
    </w:p>
    <w:p>
      <w:pPr>
        <w:pStyle w:val="BodyText"/>
        <w:spacing w:line="364" w:lineRule="auto" w:before="68"/>
        <w:ind w:left="237" w:right="1028"/>
      </w:pPr>
      <w:r>
        <w:rPr>
          <w:spacing w:val="-3"/>
        </w:rPr>
        <w:t>资源共享网络。在此基础上，公司自主搭建了海尔开放伙伴关系系统</w:t>
      </w:r>
      <w:r>
        <w:rPr/>
        <w:t>（</w:t>
      </w:r>
      <w:r>
        <w:rPr>
          <w:rFonts w:ascii="Times New Roman" w:eastAsia="Times New Roman"/>
        </w:rPr>
        <w:t>HOPE </w:t>
      </w:r>
      <w:r>
        <w:rPr>
          <w:spacing w:val="-2"/>
        </w:rPr>
        <w:t>平台</w:t>
      </w:r>
      <w:r>
        <w:rPr/>
        <w:t>），</w:t>
      </w:r>
      <w:r>
        <w:rPr>
          <w:rFonts w:ascii="Times New Roman" w:eastAsia="Times New Roman"/>
        </w:rPr>
        <w:t>HOPE </w:t>
      </w:r>
      <w:r>
        <w:rPr/>
        <w:t>平</w:t>
      </w:r>
      <w:r>
        <w:rPr>
          <w:spacing w:val="-7"/>
        </w:rPr>
        <w:t>台已链接全球一流资源超过 </w:t>
      </w:r>
      <w:r>
        <w:rPr>
          <w:rFonts w:ascii="Times New Roman" w:eastAsia="Times New Roman"/>
        </w:rPr>
        <w:t>100 </w:t>
      </w:r>
      <w:r>
        <w:rPr>
          <w:spacing w:val="-12"/>
        </w:rPr>
        <w:t>万、专利成果超过 </w:t>
      </w:r>
      <w:r>
        <w:rPr>
          <w:rFonts w:ascii="Times New Roman" w:eastAsia="Times New Roman"/>
        </w:rPr>
        <w:t>3000 </w:t>
      </w:r>
      <w:r>
        <w:rPr>
          <w:spacing w:val="-8"/>
        </w:rPr>
        <w:t>万，资源方可参与到公司以用户为中心的</w:t>
      </w:r>
      <w:r>
        <w:rPr>
          <w:spacing w:val="-5"/>
        </w:rPr>
        <w:t>迭代式研发流程中。</w:t>
      </w:r>
    </w:p>
    <w:p>
      <w:pPr>
        <w:pStyle w:val="BodyText"/>
        <w:spacing w:before="60"/>
        <w:ind w:left="657"/>
      </w:pPr>
      <w:r>
        <w:rPr/>
        <w:t>在 </w:t>
      </w:r>
      <w:r>
        <w:rPr>
          <w:rFonts w:ascii="Times New Roman" w:hAnsi="Times New Roman" w:eastAsia="Times New Roman"/>
        </w:rPr>
        <w:t>2020 </w:t>
      </w:r>
      <w:r>
        <w:rPr/>
        <w:t>年</w:t>
      </w:r>
      <w:r>
        <w:rPr>
          <w:rFonts w:ascii="Times New Roman" w:hAnsi="Times New Roman" w:eastAsia="Times New Roman"/>
        </w:rPr>
        <w:t>“</w:t>
      </w:r>
      <w:r>
        <w:rPr/>
        <w:t>全球智慧家庭发明专利排行榜</w:t>
      </w:r>
      <w:r>
        <w:rPr>
          <w:rFonts w:ascii="Times New Roman" w:hAnsi="Times New Roman" w:eastAsia="Times New Roman"/>
        </w:rPr>
        <w:t>”</w:t>
      </w:r>
      <w:r>
        <w:rPr/>
        <w:t>中，海尔智家以 </w:t>
      </w:r>
      <w:r>
        <w:rPr>
          <w:rFonts w:ascii="Times New Roman" w:hAnsi="Times New Roman" w:eastAsia="Times New Roman"/>
        </w:rPr>
        <w:t>2034 </w:t>
      </w:r>
      <w:r>
        <w:rPr/>
        <w:t>件排名榜首，连续四次排名</w:t>
      </w:r>
    </w:p>
    <w:p>
      <w:pPr>
        <w:pStyle w:val="BodyText"/>
        <w:spacing w:line="364" w:lineRule="auto" w:before="139"/>
        <w:ind w:left="237" w:right="929"/>
      </w:pPr>
      <w:r>
        <w:rPr>
          <w:spacing w:val="-12"/>
        </w:rPr>
        <w:t>全球第一；在第 </w:t>
      </w:r>
      <w:r>
        <w:rPr>
          <w:rFonts w:ascii="Times New Roman" w:hAnsi="Times New Roman" w:eastAsia="Times New Roman"/>
        </w:rPr>
        <w:t>21 </w:t>
      </w:r>
      <w:r>
        <w:rPr>
          <w:spacing w:val="-8"/>
        </w:rPr>
        <w:t>届中国专利金奖评奖中，海尔再拿 </w:t>
      </w:r>
      <w:r>
        <w:rPr>
          <w:rFonts w:ascii="Times New Roman" w:hAnsi="Times New Roman" w:eastAsia="Times New Roman"/>
        </w:rPr>
        <w:t>2 </w:t>
      </w:r>
      <w:r>
        <w:rPr>
          <w:spacing w:val="-13"/>
        </w:rPr>
        <w:t>金，行业第一；累计获得 </w:t>
      </w:r>
      <w:r>
        <w:rPr>
          <w:rFonts w:ascii="Times New Roman" w:hAnsi="Times New Roman" w:eastAsia="Times New Roman"/>
        </w:rPr>
        <w:t>9 </w:t>
      </w:r>
      <w:r>
        <w:rPr>
          <w:spacing w:val="-3"/>
        </w:rPr>
        <w:t>项国家专利金奖，占行业一半。作为家电领域国际标准引领者，海尔智家正加速驱动中国标准</w:t>
      </w:r>
      <w:r>
        <w:rPr>
          <w:rFonts w:ascii="Times New Roman" w:hAnsi="Times New Roman" w:eastAsia="Times New Roman"/>
          <w:spacing w:val="-3"/>
        </w:rPr>
        <w:t>“</w:t>
      </w:r>
      <w:r>
        <w:rPr>
          <w:spacing w:val="-2"/>
        </w:rPr>
        <w:t>走出去</w:t>
      </w:r>
      <w:r>
        <w:rPr>
          <w:rFonts w:ascii="Times New Roman" w:hAnsi="Times New Roman" w:eastAsia="Times New Roman"/>
        </w:rPr>
        <w:t>”</w:t>
      </w:r>
      <w:r>
        <w:rPr>
          <w:spacing w:val="-2"/>
        </w:rPr>
        <w:t>。中国</w:t>
      </w:r>
      <w:r>
        <w:rPr>
          <w:spacing w:val="-12"/>
        </w:rPr>
        <w:t>家电行业 </w:t>
      </w:r>
      <w:r>
        <w:rPr>
          <w:rFonts w:ascii="Times New Roman" w:hAnsi="Times New Roman" w:eastAsia="Times New Roman"/>
        </w:rPr>
        <w:t>80%</w:t>
      </w:r>
      <w:r>
        <w:rPr>
          <w:spacing w:val="-7"/>
        </w:rPr>
        <w:t>的国际标准均来自海尔。</w:t>
      </w:r>
      <w:r>
        <w:rPr>
          <w:rFonts w:ascii="Times New Roman" w:hAnsi="Times New Roman" w:eastAsia="Times New Roman"/>
        </w:rPr>
        <w:t>2020 </w:t>
      </w:r>
      <w:r>
        <w:rPr>
          <w:spacing w:val="-11"/>
        </w:rPr>
        <w:t>年，由海尔主导制定的首个 </w:t>
      </w:r>
      <w:r>
        <w:rPr>
          <w:rFonts w:ascii="Times New Roman" w:hAnsi="Times New Roman" w:eastAsia="Times New Roman"/>
        </w:rPr>
        <w:t>IEC </w:t>
      </w:r>
      <w:r>
        <w:rPr>
          <w:spacing w:val="-3"/>
        </w:rPr>
        <w:t>冰箱保鲜国际标准正</w:t>
      </w:r>
      <w:r>
        <w:rPr>
          <w:spacing w:val="-5"/>
        </w:rPr>
        <w:t>式发布；衣联网、食联网、水联网等场景及生态标准覆盖 </w:t>
      </w:r>
      <w:r>
        <w:rPr>
          <w:rFonts w:ascii="Times New Roman" w:hAnsi="Times New Roman" w:eastAsia="Times New Roman"/>
        </w:rPr>
        <w:t>ISO/IEC/IEEE/OCF 4 </w:t>
      </w:r>
      <w:r>
        <w:rPr/>
        <w:t>大国际标准组织， </w:t>
      </w:r>
      <w:r>
        <w:rPr>
          <w:spacing w:val="-3"/>
        </w:rPr>
        <w:t>真正实现智慧家庭云生态标准体系全面覆盖、全球引领。</w:t>
      </w:r>
    </w:p>
    <w:p>
      <w:pPr>
        <w:pStyle w:val="Heading4"/>
        <w:spacing w:line="375" w:lineRule="exact"/>
        <w:ind w:left="657"/>
      </w:pPr>
      <w:r>
        <w:rPr>
          <w:rFonts w:ascii="Times New Roman" w:eastAsia="Times New Roman"/>
        </w:rPr>
        <w:t>(</w:t>
      </w:r>
      <w:r>
        <w:rPr/>
        <w:t>十</w:t>
      </w:r>
      <w:r>
        <w:rPr>
          <w:rFonts w:ascii="Times New Roman" w:eastAsia="Times New Roman"/>
        </w:rPr>
        <w:t>) </w:t>
      </w:r>
      <w:r>
        <w:rPr/>
        <w:t>诚信的企业文化、人单合一双赢的管理模式</w:t>
      </w:r>
    </w:p>
    <w:p>
      <w:pPr>
        <w:pStyle w:val="BodyText"/>
        <w:spacing w:line="364" w:lineRule="auto" w:before="151"/>
        <w:ind w:left="237" w:right="1038" w:firstLine="420"/>
        <w:jc w:val="both"/>
      </w:pPr>
      <w:r>
        <w:rPr/>
        <w:t>以质量和服务为基石的诚信文化是海尔生存发展的内在基因，也是海尔不断取得成功的根本原因。</w:t>
      </w:r>
      <w:r>
        <w:rPr>
          <w:rFonts w:ascii="Times New Roman" w:hAnsi="Times New Roman" w:eastAsia="Times New Roman"/>
        </w:rPr>
        <w:t>“</w:t>
      </w:r>
      <w:r>
        <w:rPr/>
        <w:t>用户至上</w:t>
      </w:r>
      <w:r>
        <w:rPr>
          <w:rFonts w:ascii="Times New Roman" w:hAnsi="Times New Roman" w:eastAsia="Times New Roman"/>
        </w:rPr>
        <w:t>”</w:t>
      </w:r>
      <w:r>
        <w:rPr/>
        <w:t>、</w:t>
      </w:r>
      <w:r>
        <w:rPr>
          <w:rFonts w:ascii="Times New Roman" w:hAnsi="Times New Roman" w:eastAsia="Times New Roman"/>
        </w:rPr>
        <w:t>“</w:t>
      </w:r>
      <w:r>
        <w:rPr/>
        <w:t>真诚到永远</w:t>
      </w:r>
      <w:r>
        <w:rPr>
          <w:rFonts w:ascii="Times New Roman" w:hAnsi="Times New Roman" w:eastAsia="Times New Roman"/>
        </w:rPr>
        <w:t>”</w:t>
      </w:r>
      <w:r>
        <w:rPr/>
        <w:t>的诚信文化，使海尔从一个濒临倒闭的小集体企业成长为全球白色家电第一品牌，并在互联网时代勇立全球创新潮头。</w:t>
      </w:r>
    </w:p>
    <w:p>
      <w:pPr>
        <w:pStyle w:val="BodyText"/>
        <w:spacing w:line="364" w:lineRule="auto" w:before="59"/>
        <w:ind w:left="237" w:right="923" w:firstLine="420"/>
      </w:pPr>
      <w:r>
        <w:rPr>
          <w:rFonts w:ascii="Times New Roman" w:hAnsi="Times New Roman" w:eastAsia="Times New Roman"/>
        </w:rPr>
        <w:t>“</w:t>
      </w:r>
      <w:r>
        <w:rPr>
          <w:spacing w:val="-3"/>
        </w:rPr>
        <w:t>人单合一双赢</w:t>
      </w:r>
      <w:r>
        <w:rPr>
          <w:rFonts w:ascii="Times New Roman" w:hAnsi="Times New Roman" w:eastAsia="Times New Roman"/>
          <w:spacing w:val="-3"/>
        </w:rPr>
        <w:t>”</w:t>
      </w:r>
      <w:r>
        <w:rPr>
          <w:spacing w:val="-8"/>
        </w:rPr>
        <w:t>的利益观是海尔永续经营的保障，是公司自我激励及赋能企业文化的驱动力。</w:t>
      </w:r>
      <w:r>
        <w:rPr>
          <w:rFonts w:ascii="Times New Roman" w:hAnsi="Times New Roman" w:eastAsia="Times New Roman"/>
          <w:spacing w:val="-8"/>
        </w:rPr>
        <w:t>“</w:t>
      </w:r>
      <w:r>
        <w:rPr>
          <w:spacing w:val="-8"/>
        </w:rPr>
        <w:t>人</w:t>
      </w:r>
      <w:r>
        <w:rPr>
          <w:rFonts w:ascii="Times New Roman" w:hAnsi="Times New Roman" w:eastAsia="Times New Roman"/>
          <w:spacing w:val="-8"/>
        </w:rPr>
        <w:t>”</w:t>
      </w:r>
      <w:r>
        <w:rPr>
          <w:spacing w:val="-3"/>
        </w:rPr>
        <w:t>指具有企业家及创新精神的员工，</w:t>
      </w:r>
      <w:r>
        <w:rPr>
          <w:rFonts w:ascii="Times New Roman" w:hAnsi="Times New Roman" w:eastAsia="Times New Roman"/>
        </w:rPr>
        <w:t>“</w:t>
      </w:r>
      <w:r>
        <w:rPr/>
        <w:t>单</w:t>
      </w:r>
      <w:r>
        <w:rPr>
          <w:rFonts w:ascii="Times New Roman" w:hAnsi="Times New Roman" w:eastAsia="Times New Roman"/>
        </w:rPr>
        <w:t>”</w:t>
      </w:r>
      <w:r>
        <w:rPr>
          <w:spacing w:val="-3"/>
        </w:rPr>
        <w:t>指创造用户价值，人单合一管理模式鼓励员工以企业 家的心态为用户创造价值，并实现与本公司价值和股东价值相一致的自我价值。人单合一管理模式有效地打破</w:t>
      </w:r>
      <w:r>
        <w:rPr>
          <w:rFonts w:ascii="Times New Roman" w:hAnsi="Times New Roman" w:eastAsia="Times New Roman"/>
          <w:spacing w:val="-3"/>
        </w:rPr>
        <w:t>“</w:t>
      </w:r>
      <w:r>
        <w:rPr>
          <w:spacing w:val="-2"/>
        </w:rPr>
        <w:t>部门墙</w:t>
      </w:r>
      <w:r>
        <w:rPr>
          <w:rFonts w:ascii="Times New Roman" w:hAnsi="Times New Roman" w:eastAsia="Times New Roman"/>
        </w:rPr>
        <w:t>”</w:t>
      </w:r>
      <w:r>
        <w:rPr>
          <w:spacing w:val="-3"/>
        </w:rPr>
        <w:t>、促进创新并提高企业效率，目前该模式已被多家公司及研究机构作为研究对象。</w:t>
      </w:r>
    </w:p>
    <w:p>
      <w:pPr>
        <w:spacing w:after="0" w:line="364" w:lineRule="auto"/>
        <w:sectPr>
          <w:headerReference w:type="default" r:id="rId26"/>
          <w:footerReference w:type="default" r:id="rId27"/>
          <w:pgSz w:w="11910" w:h="16840"/>
          <w:pgMar w:header="874" w:footer="1214" w:top="1360" w:bottom="1400" w:left="1040" w:right="760"/>
          <w:pgNumType w:start="1"/>
        </w:sectPr>
      </w:pPr>
    </w:p>
    <w:p>
      <w:pPr>
        <w:pStyle w:val="BodyText"/>
        <w:spacing w:before="12"/>
        <w:rPr>
          <w:sz w:val="23"/>
        </w:rPr>
      </w:pPr>
    </w:p>
    <w:p>
      <w:pPr>
        <w:pStyle w:val="Heading1"/>
        <w:tabs>
          <w:tab w:pos="4015" w:val="left" w:leader="none"/>
        </w:tabs>
        <w:ind w:left="2755"/>
        <w:jc w:val="left"/>
      </w:pPr>
      <w:bookmarkStart w:name="_bookmark4" w:id="5"/>
      <w:bookmarkEnd w:id="5"/>
      <w:r>
        <w:rPr>
          <w:b w:val="0"/>
        </w:rPr>
      </w:r>
      <w:r>
        <w:rPr/>
        <w:t>第四节</w:t>
        <w:tab/>
        <w:t>经营情况讨论与分析</w:t>
      </w:r>
    </w:p>
    <w:p>
      <w:pPr>
        <w:pStyle w:val="Heading4"/>
        <w:spacing w:before="116"/>
        <w:ind w:left="237"/>
      </w:pPr>
      <w:r>
        <w:rPr/>
        <w:t>一、经营情况讨论与分析</w:t>
      </w:r>
    </w:p>
    <w:p>
      <w:pPr>
        <w:pStyle w:val="BodyText"/>
        <w:spacing w:before="14"/>
        <w:ind w:left="657"/>
        <w:rPr>
          <w:rFonts w:ascii="Times New Roman" w:eastAsia="Times New Roman"/>
        </w:rPr>
      </w:pPr>
      <w:r>
        <w:rPr>
          <w:rFonts w:ascii="Times New Roman" w:eastAsia="Times New Roman"/>
        </w:rPr>
        <w:t>2020 </w:t>
      </w:r>
      <w:r>
        <w:rPr/>
        <w:t>年，公司坚持物联网智慧家庭战略，持续扩大全球市场领先地位。全年实现收入 </w:t>
      </w:r>
      <w:r>
        <w:rPr>
          <w:rFonts w:ascii="Times New Roman" w:eastAsia="Times New Roman"/>
        </w:rPr>
        <w:t>2097.26</w:t>
      </w:r>
    </w:p>
    <w:p>
      <w:pPr>
        <w:pStyle w:val="BodyText"/>
        <w:spacing w:line="364" w:lineRule="auto" w:before="139"/>
        <w:ind w:left="237" w:right="923"/>
      </w:pPr>
      <w:r>
        <w:rPr>
          <w:spacing w:val="-9"/>
        </w:rPr>
        <w:t>亿元，增长 </w:t>
      </w:r>
      <w:r>
        <w:rPr>
          <w:rFonts w:ascii="Times New Roman" w:eastAsia="Times New Roman"/>
        </w:rPr>
        <w:t>4.46%</w:t>
      </w:r>
      <w:r>
        <w:rPr>
          <w:spacing w:val="-7"/>
        </w:rPr>
        <w:t>，其中四季度收入 </w:t>
      </w:r>
      <w:r>
        <w:rPr>
          <w:rFonts w:ascii="Times New Roman" w:eastAsia="Times New Roman"/>
        </w:rPr>
        <w:t>553.14 </w:t>
      </w:r>
      <w:r>
        <w:rPr>
          <w:spacing w:val="-11"/>
        </w:rPr>
        <w:t>亿元，增长 </w:t>
      </w:r>
      <w:r>
        <w:rPr>
          <w:rFonts w:ascii="Times New Roman" w:eastAsia="Times New Roman"/>
        </w:rPr>
        <w:t>9.5%</w:t>
      </w:r>
      <w:r>
        <w:rPr>
          <w:spacing w:val="-8"/>
        </w:rPr>
        <w:t>。由于卡奥斯业务于 </w:t>
      </w:r>
      <w:r>
        <w:rPr>
          <w:rFonts w:ascii="Times New Roman" w:eastAsia="Times New Roman"/>
        </w:rPr>
        <w:t>2020 </w:t>
      </w:r>
      <w:r>
        <w:rPr>
          <w:spacing w:val="-24"/>
        </w:rPr>
        <w:t>年 </w:t>
      </w:r>
      <w:r>
        <w:rPr>
          <w:rFonts w:ascii="Times New Roman" w:eastAsia="Times New Roman"/>
        </w:rPr>
        <w:t>9 </w:t>
      </w:r>
      <w:r>
        <w:rPr>
          <w:spacing w:val="-3"/>
        </w:rPr>
        <w:t>月底</w:t>
      </w:r>
      <w:r>
        <w:rPr/>
        <w:t>出表，</w:t>
      </w:r>
      <w:r>
        <w:rPr>
          <w:rFonts w:ascii="Times New Roman" w:eastAsia="Times New Roman"/>
        </w:rPr>
        <w:t>2020 </w:t>
      </w:r>
      <w:r>
        <w:rPr>
          <w:spacing w:val="-5"/>
        </w:rPr>
        <w:t>年第四季度不再包括卡奥斯收入。如 </w:t>
      </w:r>
      <w:r>
        <w:rPr>
          <w:rFonts w:ascii="Times New Roman" w:eastAsia="Times New Roman"/>
        </w:rPr>
        <w:t>2019 </w:t>
      </w:r>
      <w:r>
        <w:rPr>
          <w:spacing w:val="-4"/>
        </w:rPr>
        <w:t>年第四季度不包括卡奥斯业务收入，同口</w:t>
      </w:r>
      <w:r>
        <w:rPr>
          <w:spacing w:val="-11"/>
        </w:rPr>
        <w:t>径下 </w:t>
      </w:r>
      <w:r>
        <w:rPr>
          <w:rFonts w:ascii="Times New Roman" w:eastAsia="Times New Roman"/>
        </w:rPr>
        <w:t>2020 </w:t>
      </w:r>
      <w:r>
        <w:rPr>
          <w:spacing w:val="-6"/>
        </w:rPr>
        <w:t>年收入全年增长 </w:t>
      </w:r>
      <w:r>
        <w:rPr>
          <w:rFonts w:ascii="Times New Roman" w:eastAsia="Times New Roman"/>
        </w:rPr>
        <w:t>8%</w:t>
      </w:r>
      <w:r>
        <w:rPr>
          <w:spacing w:val="-6"/>
        </w:rPr>
        <w:t>、四季度增长 </w:t>
      </w:r>
      <w:r>
        <w:rPr>
          <w:rFonts w:ascii="Times New Roman" w:eastAsia="Times New Roman"/>
        </w:rPr>
        <w:t>20%</w:t>
      </w:r>
      <w:r>
        <w:rPr>
          <w:spacing w:val="-3"/>
        </w:rPr>
        <w:t>。收入增长缘于国内业务与海外业务齐头并进。如，</w:t>
      </w:r>
      <w:r>
        <w:rPr>
          <w:rFonts w:ascii="Times New Roman" w:eastAsia="Times New Roman"/>
          <w:spacing w:val="-3"/>
        </w:rPr>
        <w:t>2020 </w:t>
      </w:r>
      <w:r>
        <w:rPr>
          <w:spacing w:val="-6"/>
        </w:rPr>
        <w:t>年，国内家电业务收入 </w:t>
      </w:r>
      <w:r>
        <w:rPr>
          <w:rFonts w:ascii="Times New Roman" w:eastAsia="Times New Roman"/>
        </w:rPr>
        <w:t>988.80 </w:t>
      </w:r>
      <w:r>
        <w:rPr>
          <w:spacing w:val="-8"/>
        </w:rPr>
        <w:t>亿元，增长 </w:t>
      </w:r>
      <w:r>
        <w:rPr>
          <w:rFonts w:ascii="Times New Roman" w:eastAsia="Times New Roman"/>
        </w:rPr>
        <w:t>6.6%</w:t>
      </w:r>
      <w:r>
        <w:rPr>
          <w:spacing w:val="-7"/>
        </w:rPr>
        <w:t>，其中下半年增长 </w:t>
      </w:r>
      <w:r>
        <w:rPr>
          <w:rFonts w:ascii="Times New Roman" w:eastAsia="Times New Roman"/>
        </w:rPr>
        <w:t>18.5%</w:t>
      </w:r>
      <w:r>
        <w:rPr>
          <w:spacing w:val="-3"/>
        </w:rPr>
        <w:t>。增长缘于公</w:t>
      </w:r>
      <w:r>
        <w:rPr/>
        <w:t>司持续推出引领成套产品、卡萨帝不断拓展高端份额、深化零售转型优化效率。海外市场收入</w:t>
      </w:r>
      <w:r>
        <w:rPr>
          <w:rFonts w:ascii="Times New Roman" w:eastAsia="Times New Roman"/>
        </w:rPr>
        <w:t>1,006.22</w:t>
      </w:r>
      <w:r>
        <w:rPr>
          <w:rFonts w:ascii="Times New Roman" w:eastAsia="Times New Roman"/>
          <w:spacing w:val="15"/>
        </w:rPr>
        <w:t> </w:t>
      </w:r>
      <w:r>
        <w:rPr>
          <w:spacing w:val="-9"/>
        </w:rPr>
        <w:t>亿元，增长 </w:t>
      </w:r>
      <w:r>
        <w:rPr>
          <w:rFonts w:ascii="Times New Roman" w:eastAsia="Times New Roman"/>
        </w:rPr>
        <w:t>8.3%</w:t>
      </w:r>
      <w:r>
        <w:rPr>
          <w:spacing w:val="-7"/>
        </w:rPr>
        <w:t>，其中下半年增长 </w:t>
      </w:r>
      <w:r>
        <w:rPr>
          <w:rFonts w:ascii="Times New Roman" w:eastAsia="Times New Roman"/>
        </w:rPr>
        <w:t>15.8%</w:t>
      </w:r>
      <w:r>
        <w:rPr>
          <w:spacing w:val="-3"/>
        </w:rPr>
        <w:t>。增长缘于公司持续坚持高端创牌战略，聚焦本土化研发、制造、营销的运营能力建设，人单合一机制保障各区域小微在疫情挑战下的快速反应，依托全球采购、供应链、研发平台充分发挥全球资源布局优势，克服外部环境带来的不利影响，实现业务持续发展。</w:t>
      </w:r>
    </w:p>
    <w:p>
      <w:pPr>
        <w:pStyle w:val="BodyText"/>
        <w:spacing w:line="364" w:lineRule="auto"/>
        <w:ind w:left="237" w:right="1028" w:firstLine="420"/>
        <w:jc w:val="both"/>
      </w:pPr>
      <w:r>
        <w:rPr>
          <w:spacing w:val="-8"/>
        </w:rPr>
        <w:t>公司全年实现净利润 </w:t>
      </w:r>
      <w:r>
        <w:rPr>
          <w:rFonts w:ascii="Times New Roman" w:eastAsia="Times New Roman"/>
          <w:spacing w:val="-3"/>
        </w:rPr>
        <w:t>113.23</w:t>
      </w:r>
      <w:r>
        <w:rPr>
          <w:rFonts w:ascii="Times New Roman" w:eastAsia="Times New Roman"/>
          <w:spacing w:val="9"/>
        </w:rPr>
        <w:t> </w:t>
      </w:r>
      <w:r>
        <w:rPr>
          <w:spacing w:val="-18"/>
        </w:rPr>
        <w:t>亿元，下降 </w:t>
      </w:r>
      <w:r>
        <w:rPr>
          <w:rFonts w:ascii="Times New Roman" w:eastAsia="Times New Roman"/>
          <w:spacing w:val="-10"/>
        </w:rPr>
        <w:t>8.20%</w:t>
      </w:r>
      <w:r>
        <w:rPr>
          <w:spacing w:val="-13"/>
        </w:rPr>
        <w:t>，主要为 </w:t>
      </w:r>
      <w:r>
        <w:rPr>
          <w:rFonts w:ascii="Times New Roman" w:eastAsia="Times New Roman"/>
        </w:rPr>
        <w:t>2019</w:t>
      </w:r>
      <w:r>
        <w:rPr>
          <w:rFonts w:ascii="Times New Roman" w:eastAsia="Times New Roman"/>
          <w:spacing w:val="9"/>
        </w:rPr>
        <w:t> </w:t>
      </w:r>
      <w:r>
        <w:rPr>
          <w:spacing w:val="-3"/>
        </w:rPr>
        <w:t>年有物流业务出表的投资收益影</w:t>
      </w:r>
      <w:r>
        <w:rPr>
          <w:spacing w:val="-13"/>
          <w:w w:val="100"/>
        </w:rPr>
        <w:t>响；全年持续经营净利润</w:t>
      </w:r>
      <w:r>
        <w:rPr>
          <w:spacing w:val="-58"/>
        </w:rPr>
        <w:t> </w:t>
      </w:r>
      <w:r>
        <w:rPr>
          <w:rFonts w:ascii="Times New Roman" w:eastAsia="Times New Roman"/>
          <w:spacing w:val="-3"/>
          <w:w w:val="100"/>
        </w:rPr>
        <w:t>1</w:t>
      </w:r>
      <w:r>
        <w:rPr>
          <w:rFonts w:ascii="Times New Roman" w:eastAsia="Times New Roman"/>
          <w:w w:val="100"/>
        </w:rPr>
        <w:t>13.22</w:t>
      </w:r>
      <w:r>
        <w:rPr>
          <w:rFonts w:ascii="Times New Roman" w:eastAsia="Times New Roman"/>
          <w:spacing w:val="-4"/>
        </w:rPr>
        <w:t> </w:t>
      </w:r>
      <w:r>
        <w:rPr>
          <w:spacing w:val="-18"/>
          <w:w w:val="100"/>
        </w:rPr>
        <w:t>亿元，同比增长</w:t>
      </w:r>
      <w:r>
        <w:rPr>
          <w:spacing w:val="-58"/>
        </w:rPr>
        <w:t> </w:t>
      </w:r>
      <w:r>
        <w:rPr>
          <w:rFonts w:ascii="Times New Roman" w:eastAsia="Times New Roman"/>
          <w:w w:val="100"/>
        </w:rPr>
        <w:t>25.</w:t>
      </w:r>
      <w:r>
        <w:rPr>
          <w:rFonts w:ascii="Times New Roman" w:eastAsia="Times New Roman"/>
          <w:spacing w:val="-3"/>
          <w:w w:val="100"/>
        </w:rPr>
        <w:t>31</w:t>
      </w:r>
      <w:r>
        <w:rPr>
          <w:rFonts w:ascii="Times New Roman" w:eastAsia="Times New Roman"/>
          <w:spacing w:val="-1"/>
          <w:w w:val="100"/>
        </w:rPr>
        <w:t>%</w:t>
      </w:r>
      <w:r>
        <w:rPr>
          <w:spacing w:val="-16"/>
          <w:w w:val="100"/>
        </w:rPr>
        <w:t>；全年归母净利润</w:t>
      </w:r>
      <w:r>
        <w:rPr>
          <w:spacing w:val="-60"/>
        </w:rPr>
        <w:t> </w:t>
      </w:r>
      <w:r>
        <w:rPr>
          <w:rFonts w:ascii="Times New Roman" w:eastAsia="Times New Roman"/>
          <w:w w:val="100"/>
        </w:rPr>
        <w:t>88.77</w:t>
      </w:r>
      <w:r>
        <w:rPr>
          <w:rFonts w:ascii="Times New Roman" w:eastAsia="Times New Roman"/>
          <w:spacing w:val="-7"/>
        </w:rPr>
        <w:t> </w:t>
      </w:r>
      <w:r>
        <w:rPr>
          <w:spacing w:val="-22"/>
          <w:w w:val="100"/>
        </w:rPr>
        <w:t>亿元，增长</w:t>
      </w:r>
      <w:r>
        <w:rPr>
          <w:spacing w:val="-57"/>
        </w:rPr>
        <w:t> </w:t>
      </w:r>
      <w:r>
        <w:rPr>
          <w:rFonts w:ascii="Times New Roman" w:eastAsia="Times New Roman"/>
          <w:w w:val="100"/>
        </w:rPr>
        <w:t>8.</w:t>
      </w:r>
      <w:r>
        <w:rPr>
          <w:rFonts w:ascii="Times New Roman" w:eastAsia="Times New Roman"/>
          <w:spacing w:val="-3"/>
          <w:w w:val="100"/>
        </w:rPr>
        <w:t>1</w:t>
      </w:r>
      <w:r>
        <w:rPr>
          <w:rFonts w:ascii="Times New Roman" w:eastAsia="Times New Roman"/>
          <w:w w:val="100"/>
        </w:rPr>
        <w:t>7</w:t>
      </w:r>
      <w:r>
        <w:rPr>
          <w:rFonts w:ascii="Times New Roman" w:eastAsia="Times New Roman"/>
          <w:spacing w:val="-1"/>
          <w:w w:val="100"/>
        </w:rPr>
        <w:t>%</w:t>
      </w:r>
      <w:r>
        <w:rPr>
          <w:w w:val="100"/>
        </w:rPr>
        <w:t>；</w:t>
      </w:r>
      <w:r>
        <w:rPr>
          <w:spacing w:val="-3"/>
        </w:rPr>
        <w:t>其中四季度单季度净利润达到 </w:t>
      </w:r>
      <w:r>
        <w:rPr>
          <w:rFonts w:ascii="Times New Roman" w:eastAsia="Times New Roman"/>
        </w:rPr>
        <w:t>33.04</w:t>
      </w:r>
      <w:r>
        <w:rPr>
          <w:rFonts w:ascii="Times New Roman" w:eastAsia="Times New Roman"/>
          <w:spacing w:val="51"/>
        </w:rPr>
        <w:t> </w:t>
      </w:r>
      <w:r>
        <w:rPr>
          <w:spacing w:val="-3"/>
        </w:rPr>
        <w:t>亿元，创出历年同期新高。全年利润增长缘于收入增长、费</w:t>
      </w:r>
      <w:r>
        <w:rPr>
          <w:spacing w:val="-4"/>
        </w:rPr>
        <w:t>用率优化等。全年毛利率 </w:t>
      </w:r>
      <w:r>
        <w:rPr>
          <w:rFonts w:ascii="Times New Roman" w:eastAsia="Times New Roman"/>
        </w:rPr>
        <w:t>29.68%</w:t>
      </w:r>
      <w:r>
        <w:rPr>
          <w:spacing w:val="-4"/>
        </w:rPr>
        <w:t>，同比下降 </w:t>
      </w:r>
      <w:r>
        <w:rPr>
          <w:rFonts w:ascii="Times New Roman" w:eastAsia="Times New Roman"/>
        </w:rPr>
        <w:t>0.15</w:t>
      </w:r>
      <w:r>
        <w:rPr>
          <w:rFonts w:ascii="Times New Roman" w:eastAsia="Times New Roman"/>
          <w:spacing w:val="47"/>
        </w:rPr>
        <w:t> </w:t>
      </w:r>
      <w:r>
        <w:rPr>
          <w:spacing w:val="-3"/>
        </w:rPr>
        <w:t>百分点，主要是上半年毛利率受疫情影响造成</w:t>
      </w:r>
      <w:r>
        <w:rPr>
          <w:spacing w:val="-9"/>
        </w:rPr>
        <w:t>的下降 </w:t>
      </w:r>
      <w:r>
        <w:rPr>
          <w:rFonts w:ascii="Times New Roman" w:eastAsia="Times New Roman"/>
        </w:rPr>
        <w:t>1.03</w:t>
      </w:r>
      <w:r>
        <w:rPr>
          <w:rFonts w:ascii="Times New Roman" w:eastAsia="Times New Roman"/>
          <w:spacing w:val="24"/>
        </w:rPr>
        <w:t> </w:t>
      </w:r>
      <w:r>
        <w:rPr>
          <w:spacing w:val="-7"/>
        </w:rPr>
        <w:t>个百分点；随着下半年收入规模持续快速增长、卡萨帝收入占比持续提升以及海外市</w:t>
      </w:r>
    </w:p>
    <w:p>
      <w:pPr>
        <w:pStyle w:val="BodyText"/>
        <w:spacing w:line="267" w:lineRule="exact"/>
        <w:ind w:left="237"/>
        <w:jc w:val="both"/>
      </w:pPr>
      <w:r>
        <w:rPr>
          <w:spacing w:val="-10"/>
        </w:rPr>
        <w:t>场结构优化等因素，下半年毛利率提升</w:t>
      </w:r>
      <w:r>
        <w:rPr>
          <w:rFonts w:ascii="Times New Roman" w:eastAsia="Times New Roman"/>
        </w:rPr>
        <w:t>0.46</w:t>
      </w:r>
      <w:r>
        <w:rPr>
          <w:rFonts w:ascii="Times New Roman" w:eastAsia="Times New Roman"/>
          <w:spacing w:val="-1"/>
        </w:rPr>
        <w:t> </w:t>
      </w:r>
      <w:r>
        <w:rPr>
          <w:spacing w:val="-11"/>
        </w:rPr>
        <w:t>个百分点。销售及管理费用率合计下降</w:t>
      </w:r>
      <w:r>
        <w:rPr>
          <w:rFonts w:ascii="Times New Roman" w:eastAsia="Times New Roman"/>
        </w:rPr>
        <w:t>0.98 </w:t>
      </w:r>
      <w:r>
        <w:rPr>
          <w:spacing w:val="-3"/>
        </w:rPr>
        <w:t>个百分点，</w:t>
      </w:r>
    </w:p>
    <w:p>
      <w:pPr>
        <w:pStyle w:val="BodyText"/>
        <w:spacing w:line="364" w:lineRule="auto" w:before="135"/>
        <w:ind w:left="237" w:right="1029"/>
        <w:jc w:val="both"/>
      </w:pPr>
      <w:r>
        <w:rPr>
          <w:spacing w:val="-3"/>
        </w:rPr>
        <w:t>其中下半年下降 </w:t>
      </w:r>
      <w:r>
        <w:rPr>
          <w:rFonts w:ascii="Times New Roman" w:hAnsi="Times New Roman" w:eastAsia="Times New Roman"/>
        </w:rPr>
        <w:t>2.8</w:t>
      </w:r>
      <w:r>
        <w:rPr>
          <w:rFonts w:ascii="Times New Roman" w:hAnsi="Times New Roman" w:eastAsia="Times New Roman"/>
          <w:spacing w:val="51"/>
        </w:rPr>
        <w:t> </w:t>
      </w:r>
      <w:r>
        <w:rPr>
          <w:spacing w:val="-3"/>
        </w:rPr>
        <w:t>个百分点；其中，中国区通过通过“目标、流程、组织、机制”的四个重构与“产品、营销、服务、物流、客户、用户”的进一步数字化运营转型实现提效，而海外通过规模效应提升及精细化运营，实现费用率优化。</w:t>
      </w:r>
    </w:p>
    <w:p>
      <w:pPr>
        <w:pStyle w:val="BodyText"/>
        <w:spacing w:line="364" w:lineRule="auto"/>
        <w:ind w:left="237" w:right="1028" w:firstLine="420"/>
        <w:jc w:val="both"/>
      </w:pPr>
      <w:r>
        <w:rPr/>
        <w:t>公司全年经营活动现金流量净额为 </w:t>
      </w:r>
      <w:r>
        <w:rPr>
          <w:rFonts w:ascii="Times New Roman" w:eastAsia="Times New Roman"/>
        </w:rPr>
        <w:t>175.99 </w:t>
      </w:r>
      <w:r>
        <w:rPr/>
        <w:t>亿元，增长 </w:t>
      </w:r>
      <w:r>
        <w:rPr>
          <w:rFonts w:ascii="Times New Roman" w:eastAsia="Times New Roman"/>
        </w:rPr>
        <w:t>16.68%</w:t>
      </w:r>
      <w:r>
        <w:rPr/>
        <w:t>；其中四季度经营活动现金流量净额 </w:t>
      </w:r>
      <w:r>
        <w:rPr>
          <w:rFonts w:ascii="Times New Roman" w:eastAsia="Times New Roman"/>
        </w:rPr>
        <w:t>118.88 </w:t>
      </w:r>
      <w:r>
        <w:rPr/>
        <w:t>亿元，同比增长 </w:t>
      </w:r>
      <w:r>
        <w:rPr>
          <w:rFonts w:ascii="Times New Roman" w:eastAsia="Times New Roman"/>
        </w:rPr>
        <w:t>79.9%</w:t>
      </w:r>
      <w:r>
        <w:rPr/>
        <w:t>。</w:t>
      </w:r>
    </w:p>
    <w:p>
      <w:pPr>
        <w:pStyle w:val="Heading4"/>
        <w:spacing w:line="317" w:lineRule="exact"/>
        <w:ind w:left="659"/>
      </w:pPr>
      <w:r>
        <w:rPr/>
        <w:t>（一）中国智慧家庭业务</w:t>
      </w:r>
    </w:p>
    <w:p>
      <w:pPr>
        <w:pStyle w:val="BodyText"/>
        <w:spacing w:before="9"/>
        <w:rPr>
          <w:rFonts w:ascii="Microsoft JhengHei"/>
          <w:b/>
          <w:sz w:val="11"/>
        </w:rPr>
      </w:pPr>
    </w:p>
    <w:p>
      <w:pPr>
        <w:pStyle w:val="BodyText"/>
        <w:spacing w:line="364" w:lineRule="auto"/>
        <w:ind w:left="237" w:right="1028" w:firstLine="420"/>
        <w:jc w:val="both"/>
      </w:pPr>
      <w:r>
        <w:rPr>
          <w:spacing w:val="-5"/>
        </w:rPr>
        <w:t>面对中国白色家电及厨房家电行业零售额下滑 </w:t>
      </w:r>
      <w:r>
        <w:rPr>
          <w:rFonts w:ascii="Times New Roman" w:eastAsia="Times New Roman"/>
        </w:rPr>
        <w:t>11.9%</w:t>
      </w:r>
      <w:r>
        <w:rPr>
          <w:spacing w:val="-3"/>
        </w:rPr>
        <w:t>的严峻挑战，</w:t>
      </w:r>
      <w:r>
        <w:rPr>
          <w:rFonts w:ascii="Times New Roman" w:eastAsia="Times New Roman"/>
        </w:rPr>
        <w:t>2020 </w:t>
      </w:r>
      <w:r>
        <w:rPr>
          <w:spacing w:val="-3"/>
        </w:rPr>
        <w:t>年中国区智慧家庭业</w:t>
      </w:r>
      <w:r>
        <w:rPr>
          <w:spacing w:val="-7"/>
        </w:rPr>
        <w:t>务实现逆势增长，竞争力与行业领先地位进一步增强：公司国内家电收入规模达 </w:t>
      </w:r>
      <w:r>
        <w:rPr>
          <w:rFonts w:ascii="Times New Roman" w:eastAsia="Times New Roman"/>
        </w:rPr>
        <w:t>988.80 </w:t>
      </w:r>
      <w:r>
        <w:rPr>
          <w:spacing w:val="-6"/>
        </w:rPr>
        <w:t>亿元，同</w:t>
      </w:r>
      <w:r>
        <w:rPr>
          <w:spacing w:val="-11"/>
        </w:rPr>
        <w:t>比增长 </w:t>
      </w:r>
      <w:r>
        <w:rPr>
          <w:rFonts w:ascii="Times New Roman" w:eastAsia="Times New Roman"/>
          <w:spacing w:val="-3"/>
        </w:rPr>
        <w:t>6.6%</w:t>
      </w:r>
      <w:r>
        <w:rPr>
          <w:spacing w:val="-7"/>
        </w:rPr>
        <w:t>；经营利润增长 </w:t>
      </w:r>
      <w:r>
        <w:rPr>
          <w:rFonts w:ascii="Times New Roman" w:eastAsia="Times New Roman"/>
          <w:spacing w:val="-2"/>
        </w:rPr>
        <w:t>8.65%</w:t>
      </w:r>
      <w:r>
        <w:rPr>
          <w:spacing w:val="-5"/>
        </w:rPr>
        <w:t>，各产业零售份额持续提升。同时，高端品牌卡萨帝实现净收</w:t>
      </w:r>
      <w:r>
        <w:rPr>
          <w:spacing w:val="-29"/>
        </w:rPr>
        <w:t>入 </w:t>
      </w:r>
      <w:r>
        <w:rPr>
          <w:rFonts w:ascii="Times New Roman" w:eastAsia="Times New Roman"/>
        </w:rPr>
        <w:t>87 </w:t>
      </w:r>
      <w:r>
        <w:rPr>
          <w:spacing w:val="-10"/>
        </w:rPr>
        <w:t>亿元，同比增长 </w:t>
      </w:r>
      <w:r>
        <w:rPr>
          <w:rFonts w:ascii="Times New Roman" w:eastAsia="Times New Roman"/>
        </w:rPr>
        <w:t>17%</w:t>
      </w:r>
      <w:r>
        <w:rPr>
          <w:spacing w:val="-8"/>
        </w:rPr>
        <w:t>，其中第四季度增长 </w:t>
      </w:r>
      <w:r>
        <w:rPr>
          <w:rFonts w:ascii="Times New Roman" w:eastAsia="Times New Roman"/>
        </w:rPr>
        <w:t>35%</w:t>
      </w:r>
      <w:r>
        <w:rPr/>
        <w:t>。</w:t>
      </w:r>
    </w:p>
    <w:p>
      <w:pPr>
        <w:pStyle w:val="BodyText"/>
        <w:spacing w:line="364" w:lineRule="auto" w:before="119"/>
        <w:ind w:left="237" w:right="1038" w:firstLine="420"/>
        <w:jc w:val="both"/>
      </w:pPr>
      <w:r>
        <w:rPr/>
        <w:t>公司业务增长得益于不断推出智慧成套产品引领创新；充分运用统仓统配、易理货信息化工具优化库存、提升渠道效率；积极拓展高端品牌卡萨帝的产品阵容及市场份额；持续深化数字化转型变革。</w:t>
      </w:r>
    </w:p>
    <w:p>
      <w:pPr>
        <w:spacing w:after="0" w:line="364" w:lineRule="auto"/>
        <w:jc w:val="both"/>
        <w:sectPr>
          <w:pgSz w:w="11910" w:h="16840"/>
          <w:pgMar w:header="874" w:footer="1214" w:top="1360" w:bottom="1400" w:left="1040" w:right="760"/>
        </w:sectPr>
      </w:pPr>
    </w:p>
    <w:p>
      <w:pPr>
        <w:pStyle w:val="Heading4"/>
        <w:spacing w:line="385" w:lineRule="exact"/>
        <w:ind w:left="657"/>
      </w:pPr>
      <w:r>
        <w:rPr>
          <w:rFonts w:ascii="Times New Roman" w:eastAsia="Times New Roman"/>
          <w:color w:val="221F1F"/>
        </w:rPr>
        <w:t>1</w:t>
      </w:r>
      <w:r>
        <w:rPr>
          <w:color w:val="221F1F"/>
        </w:rPr>
        <w:t>、全屋食品解决方案（食联网）</w:t>
      </w:r>
    </w:p>
    <w:p>
      <w:pPr>
        <w:pStyle w:val="Heading4"/>
        <w:numPr>
          <w:ilvl w:val="0"/>
          <w:numId w:val="6"/>
        </w:numPr>
        <w:tabs>
          <w:tab w:pos="1082" w:val="left" w:leader="none"/>
        </w:tabs>
        <w:spacing w:line="240" w:lineRule="auto" w:before="22" w:after="0"/>
        <w:ind w:left="1082" w:right="0" w:hanging="425"/>
        <w:jc w:val="left"/>
      </w:pPr>
      <w:r>
        <w:rPr/>
        <w:t>冰箱业务</w:t>
      </w:r>
    </w:p>
    <w:p>
      <w:pPr>
        <w:pStyle w:val="BodyText"/>
        <w:spacing w:line="364" w:lineRule="auto" w:before="91"/>
        <w:ind w:left="237" w:right="1028" w:firstLine="420"/>
        <w:jc w:val="both"/>
      </w:pPr>
      <w:r>
        <w:rPr>
          <w:spacing w:val="-4"/>
        </w:rPr>
        <w:t>据中怡康零售数据显示，</w:t>
      </w:r>
      <w:r>
        <w:rPr>
          <w:rFonts w:ascii="Times New Roman" w:eastAsia="Times New Roman"/>
          <w:spacing w:val="-5"/>
        </w:rPr>
        <w:t>2020 </w:t>
      </w:r>
      <w:r>
        <w:rPr>
          <w:spacing w:val="-7"/>
        </w:rPr>
        <w:t>年冰箱行业零售量规模 </w:t>
      </w:r>
      <w:r>
        <w:rPr>
          <w:rFonts w:ascii="Times New Roman" w:eastAsia="Times New Roman"/>
        </w:rPr>
        <w:t>3,257 </w:t>
      </w:r>
      <w:r>
        <w:rPr>
          <w:spacing w:val="-11"/>
        </w:rPr>
        <w:t>万台，同比下降 </w:t>
      </w:r>
      <w:r>
        <w:rPr>
          <w:rFonts w:ascii="Times New Roman" w:eastAsia="Times New Roman"/>
          <w:spacing w:val="-5"/>
        </w:rPr>
        <w:t>3.6%</w:t>
      </w:r>
      <w:r>
        <w:rPr>
          <w:spacing w:val="-3"/>
        </w:rPr>
        <w:t>；零售额规</w:t>
      </w:r>
      <w:r>
        <w:rPr>
          <w:spacing w:val="-22"/>
        </w:rPr>
        <w:t>模 </w:t>
      </w:r>
      <w:r>
        <w:rPr>
          <w:rFonts w:ascii="Times New Roman" w:eastAsia="Times New Roman"/>
        </w:rPr>
        <w:t>912 </w:t>
      </w:r>
      <w:r>
        <w:rPr>
          <w:spacing w:val="-10"/>
        </w:rPr>
        <w:t>亿元，同比下滑 </w:t>
      </w:r>
      <w:r>
        <w:rPr>
          <w:rFonts w:ascii="Times New Roman" w:eastAsia="Times New Roman"/>
        </w:rPr>
        <w:t>3.3%</w:t>
      </w:r>
      <w:r>
        <w:rPr>
          <w:spacing w:val="-8"/>
        </w:rPr>
        <w:t>。全年来看，冰箱行业从年初到五月受到疫情冲击波动较大，但下半</w:t>
      </w:r>
      <w:r>
        <w:rPr>
          <w:spacing w:val="-5"/>
        </w:rPr>
        <w:t>年开始强劲恢复。国内主要零售渠道下半年零售额增速均大幅改善，同时海外订单暴涨助力国内</w:t>
      </w:r>
      <w:r>
        <w:rPr>
          <w:spacing w:val="-4"/>
        </w:rPr>
        <w:t>生产形势向好。海尔继续强化冰箱行业全球领导地位，通过持续的技术革新与功能迭代，为用户</w:t>
      </w:r>
      <w:r>
        <w:rPr>
          <w:spacing w:val="-8"/>
        </w:rPr>
        <w:t>提供健康、智慧、艺术的食材储鲜方案，引领行业消费升级。</w:t>
      </w:r>
      <w:r>
        <w:rPr>
          <w:rFonts w:ascii="Times New Roman" w:eastAsia="Times New Roman"/>
        </w:rPr>
        <w:t>2020 </w:t>
      </w:r>
      <w:r>
        <w:rPr>
          <w:spacing w:val="-4"/>
        </w:rPr>
        <w:t>年，公司国内冰箱产业实现收</w:t>
      </w:r>
    </w:p>
    <w:p>
      <w:pPr>
        <w:pStyle w:val="BodyText"/>
        <w:spacing w:line="364" w:lineRule="auto"/>
        <w:ind w:left="237" w:right="1127"/>
        <w:jc w:val="both"/>
      </w:pPr>
      <w:r>
        <w:rPr>
          <w:rFonts w:ascii="Times New Roman" w:eastAsia="Times New Roman"/>
        </w:rPr>
        <w:t>343.93 </w:t>
      </w:r>
      <w:r>
        <w:rPr>
          <w:spacing w:val="-9"/>
        </w:rPr>
        <w:t>亿元，增长 </w:t>
      </w:r>
      <w:r>
        <w:rPr>
          <w:rFonts w:ascii="Times New Roman" w:eastAsia="Times New Roman"/>
        </w:rPr>
        <w:t>5%</w:t>
      </w:r>
      <w:r>
        <w:rPr>
          <w:spacing w:val="-3"/>
        </w:rPr>
        <w:t>。期内，根据中怡康报告，公司在国内市场线上线下零售额份额分别达到</w:t>
      </w:r>
      <w:r>
        <w:rPr>
          <w:rFonts w:ascii="Times New Roman" w:eastAsia="Times New Roman"/>
          <w:spacing w:val="-3"/>
        </w:rPr>
        <w:t>36%</w:t>
      </w:r>
      <w:r>
        <w:rPr>
          <w:spacing w:val="-26"/>
        </w:rPr>
        <w:t>和 </w:t>
      </w:r>
      <w:r>
        <w:rPr>
          <w:rFonts w:ascii="Times New Roman" w:eastAsia="Times New Roman"/>
        </w:rPr>
        <w:t>39%</w:t>
      </w:r>
      <w:r>
        <w:rPr>
          <w:spacing w:val="-10"/>
        </w:rPr>
        <w:t>，分别提升 </w:t>
      </w:r>
      <w:r>
        <w:rPr>
          <w:rFonts w:ascii="Times New Roman" w:eastAsia="Times New Roman"/>
        </w:rPr>
        <w:t>2.2 </w:t>
      </w:r>
      <w:r>
        <w:rPr>
          <w:spacing w:val="-24"/>
        </w:rPr>
        <w:t>和 </w:t>
      </w:r>
      <w:r>
        <w:rPr>
          <w:rFonts w:ascii="Times New Roman" w:eastAsia="Times New Roman"/>
        </w:rPr>
        <w:t>1.9 </w:t>
      </w:r>
      <w:r>
        <w:rPr>
          <w:spacing w:val="-6"/>
        </w:rPr>
        <w:t>个百分点；线上线下零售量份额分别达到 </w:t>
      </w:r>
      <w:r>
        <w:rPr>
          <w:rFonts w:ascii="Times New Roman" w:eastAsia="Times New Roman"/>
          <w:spacing w:val="-3"/>
        </w:rPr>
        <w:t>30%</w:t>
      </w:r>
      <w:r>
        <w:rPr>
          <w:spacing w:val="-24"/>
        </w:rPr>
        <w:t>和 </w:t>
      </w:r>
      <w:r>
        <w:rPr>
          <w:rFonts w:ascii="Times New Roman" w:eastAsia="Times New Roman"/>
        </w:rPr>
        <w:t>36%</w:t>
      </w:r>
      <w:r>
        <w:rPr>
          <w:spacing w:val="-2"/>
        </w:rPr>
        <w:t>，分别提</w:t>
      </w:r>
      <w:r>
        <w:rPr>
          <w:spacing w:val="-28"/>
        </w:rPr>
        <w:t>升 </w:t>
      </w:r>
      <w:r>
        <w:rPr>
          <w:rFonts w:ascii="Times New Roman" w:eastAsia="Times New Roman"/>
        </w:rPr>
        <w:t>3 </w:t>
      </w:r>
      <w:r>
        <w:rPr>
          <w:spacing w:val="-27"/>
        </w:rPr>
        <w:t>和 </w:t>
      </w:r>
      <w:r>
        <w:rPr>
          <w:rFonts w:ascii="Times New Roman" w:eastAsia="Times New Roman"/>
        </w:rPr>
        <w:t>3.6 </w:t>
      </w:r>
      <w:r>
        <w:rPr>
          <w:spacing w:val="-3"/>
        </w:rPr>
        <w:t>个百分点。</w:t>
      </w:r>
    </w:p>
    <w:p>
      <w:pPr>
        <w:pStyle w:val="BodyText"/>
        <w:spacing w:line="364" w:lineRule="auto" w:before="118"/>
        <w:ind w:left="237" w:right="1038" w:firstLine="420"/>
      </w:pPr>
      <w:r>
        <w:rPr/>
        <w:t>疫情影响下，用户对健康饮食日益关注。同时，由于居家时间延长，用户对冰箱长时间保鲜能力及存储容量提出更高要求。</w:t>
      </w:r>
    </w:p>
    <w:p>
      <w:pPr>
        <w:pStyle w:val="BodyText"/>
        <w:spacing w:line="364" w:lineRule="auto" w:before="120"/>
        <w:ind w:left="237" w:right="1029" w:firstLine="420"/>
        <w:jc w:val="both"/>
      </w:pPr>
      <w:r>
        <w:rPr>
          <w:spacing w:val="-3"/>
        </w:rPr>
        <w:t>冰箱产业基于对全品类食材的存储和营养研究，积累了千种以上食材大数据，形成智能保鲜算法，即根据用户录入的食材种类，自动计算和调节冰箱温度，达到最优的保鲜效果。同时，建</w:t>
      </w:r>
      <w:r>
        <w:rPr>
          <w:spacing w:val="-5"/>
        </w:rPr>
        <w:t>立多样化的食材管理方式，用户可以根据自己的使用习惯，通过冰箱屏幕、智能语音和智家 </w:t>
      </w:r>
      <w:r>
        <w:rPr>
          <w:rFonts w:ascii="Times New Roman" w:eastAsia="Times New Roman"/>
        </w:rPr>
        <w:t>APP </w:t>
      </w:r>
      <w:r>
        <w:rPr>
          <w:spacing w:val="-3"/>
        </w:rPr>
        <w:t>等多个入口管理冰箱内的食材，随时随地了解冰箱内的食材状态，保证食材新鲜及时使用。</w:t>
      </w:r>
    </w:p>
    <w:p>
      <w:pPr>
        <w:pStyle w:val="BodyText"/>
        <w:spacing w:line="364" w:lineRule="auto" w:before="116"/>
        <w:ind w:left="237" w:right="1031" w:firstLine="420"/>
      </w:pPr>
      <w:r>
        <w:rPr>
          <w:spacing w:val="-3"/>
        </w:rPr>
        <w:t>在扩容方面，冰箱产业融合橱柜设计实现冰箱门直角全开，大大提升冰箱容积率。其中，卡萨帝冰箱推出全新</w:t>
      </w:r>
      <w:r>
        <w:rPr>
          <w:rFonts w:ascii="Times New Roman" w:hAnsi="Times New Roman" w:eastAsia="Times New Roman"/>
          <w:spacing w:val="-3"/>
        </w:rPr>
        <w:t>“</w:t>
      </w:r>
      <w:r>
        <w:rPr>
          <w:spacing w:val="-3"/>
        </w:rPr>
        <w:t>无界嵌入式</w:t>
      </w:r>
      <w:r>
        <w:rPr>
          <w:rFonts w:ascii="Times New Roman" w:hAnsi="Times New Roman" w:eastAsia="Times New Roman"/>
          <w:spacing w:val="-4"/>
        </w:rPr>
        <w:t>”</w:t>
      </w:r>
      <w:r>
        <w:rPr>
          <w:spacing w:val="-5"/>
        </w:rPr>
        <w:t>，以底层散热的创新设计，无需预留散热空间，实现 </w:t>
      </w:r>
      <w:r>
        <w:rPr>
          <w:rFonts w:ascii="Times New Roman" w:hAnsi="Times New Roman" w:eastAsia="Times New Roman"/>
        </w:rPr>
        <w:t>0cm </w:t>
      </w:r>
      <w:r>
        <w:rPr>
          <w:spacing w:val="-2"/>
        </w:rPr>
        <w:t>无界平</w:t>
      </w:r>
      <w:r>
        <w:rPr>
          <w:spacing w:val="-3"/>
        </w:rPr>
        <w:t>行嵌入、无缝贴合橱柜，高效适配家居家电一体化的用户需求，赋予厨房更多艺术美感和想象空间。同时，极大提升了既定空间内的冰箱存储容量。卡萨帝</w:t>
      </w:r>
      <w:r>
        <w:rPr>
          <w:rFonts w:ascii="Times New Roman" w:hAnsi="Times New Roman" w:eastAsia="Times New Roman"/>
          <w:spacing w:val="-3"/>
        </w:rPr>
        <w:t>“</w:t>
      </w:r>
      <w:r>
        <w:rPr>
          <w:spacing w:val="-3"/>
        </w:rPr>
        <w:t>无界嵌入式</w:t>
      </w:r>
      <w:r>
        <w:rPr>
          <w:rFonts w:ascii="Times New Roman" w:hAnsi="Times New Roman" w:eastAsia="Times New Roman"/>
        </w:rPr>
        <w:t>”</w:t>
      </w:r>
      <w:r>
        <w:rPr>
          <w:spacing w:val="-3"/>
        </w:rPr>
        <w:t>荣获国际设计大奖</w:t>
      </w:r>
      <w:r>
        <w:rPr>
          <w:rFonts w:ascii="Times New Roman" w:hAnsi="Times New Roman" w:eastAsia="Times New Roman"/>
        </w:rPr>
        <w:t>“IF </w:t>
      </w:r>
      <w:r>
        <w:rPr/>
        <w:t>奖</w:t>
      </w:r>
      <w:r>
        <w:rPr>
          <w:rFonts w:ascii="Times New Roman" w:hAnsi="Times New Roman" w:eastAsia="Times New Roman"/>
        </w:rPr>
        <w:t>”</w:t>
      </w:r>
      <w:r>
        <w:rPr/>
        <w:t>、</w:t>
      </w:r>
      <w:r>
        <w:rPr>
          <w:rFonts w:ascii="Times New Roman" w:hAnsi="Times New Roman" w:eastAsia="Times New Roman"/>
          <w:spacing w:val="-3"/>
        </w:rPr>
        <w:t>“</w:t>
      </w:r>
      <w:r>
        <w:rPr>
          <w:spacing w:val="-2"/>
        </w:rPr>
        <w:t>红点奖</w:t>
      </w:r>
      <w:r>
        <w:rPr>
          <w:rFonts w:ascii="Times New Roman" w:hAnsi="Times New Roman" w:eastAsia="Times New Roman"/>
        </w:rPr>
        <w:t>”</w:t>
      </w:r>
      <w:r>
        <w:rPr>
          <w:spacing w:val="-5"/>
        </w:rPr>
        <w:t>。该设计也帮助卡萨帝冰箱实现全年累计零售额份额 </w:t>
      </w:r>
      <w:r>
        <w:rPr>
          <w:rFonts w:ascii="Times New Roman" w:hAnsi="Times New Roman" w:eastAsia="Times New Roman"/>
        </w:rPr>
        <w:t>12.3%</w:t>
      </w:r>
      <w:r>
        <w:rPr>
          <w:spacing w:val="-8"/>
        </w:rPr>
        <w:t>，同比提升 </w:t>
      </w:r>
      <w:r>
        <w:rPr>
          <w:rFonts w:ascii="Times New Roman" w:hAnsi="Times New Roman" w:eastAsia="Times New Roman"/>
        </w:rPr>
        <w:t>2.1 </w:t>
      </w:r>
      <w:r>
        <w:rPr>
          <w:spacing w:val="-2"/>
        </w:rPr>
        <w:t>个百分</w:t>
      </w:r>
      <w:r>
        <w:rPr>
          <w:spacing w:val="-12"/>
        </w:rPr>
        <w:t>点。其中在 </w:t>
      </w:r>
      <w:r>
        <w:rPr>
          <w:rFonts w:ascii="Times New Roman" w:hAnsi="Times New Roman" w:eastAsia="Times New Roman"/>
        </w:rPr>
        <w:t>10000 </w:t>
      </w:r>
      <w:r>
        <w:rPr>
          <w:spacing w:val="-7"/>
        </w:rPr>
        <w:t>元以上价位段，卡萨帝的份额达到 </w:t>
      </w:r>
      <w:r>
        <w:rPr>
          <w:rFonts w:ascii="Times New Roman" w:hAnsi="Times New Roman" w:eastAsia="Times New Roman"/>
        </w:rPr>
        <w:t>37%</w:t>
      </w:r>
      <w:r>
        <w:rPr>
          <w:spacing w:val="-15"/>
        </w:rPr>
        <w:t>，提升 </w:t>
      </w:r>
      <w:r>
        <w:rPr>
          <w:rFonts w:ascii="Times New Roman" w:hAnsi="Times New Roman" w:eastAsia="Times New Roman"/>
        </w:rPr>
        <w:t>5.4 </w:t>
      </w:r>
      <w:r>
        <w:rPr>
          <w:spacing w:val="-3"/>
        </w:rPr>
        <w:t>个百分点。</w:t>
      </w:r>
    </w:p>
    <w:p>
      <w:pPr>
        <w:pStyle w:val="BodyText"/>
        <w:spacing w:line="364" w:lineRule="auto" w:before="120"/>
        <w:ind w:left="237" w:right="1038" w:firstLine="420"/>
        <w:jc w:val="both"/>
      </w:pPr>
      <w:r>
        <w:rPr/>
        <w:t>冰箱产业依托全球供应链优势，实现出口业务快速增长。由于海外供应链受疫情影响较大， 恢复速度较慢，市场出现供不应求的现象，加之线下大卖场的封锁、用户居家时间的延长，海外用户对冰箱、冷柜需求量持续上涨。国内疫情得到控制之后，国内供应链恢复较快，冰箱出口增速迅猛。海外大区根据需求变化，及时调整渠道策略、合作模式并拓展合作渠道，实现各个区域的高速增长，全年冰箱出口业务增速接近 </w:t>
      </w:r>
      <w:r>
        <w:rPr>
          <w:rFonts w:ascii="Times New Roman" w:eastAsia="Times New Roman"/>
        </w:rPr>
        <w:t>60%</w:t>
      </w:r>
      <w:r>
        <w:rPr/>
        <w:t>。</w:t>
      </w:r>
    </w:p>
    <w:p>
      <w:pPr>
        <w:pStyle w:val="BodyText"/>
        <w:spacing w:line="364" w:lineRule="auto" w:before="118"/>
        <w:ind w:left="237" w:right="1038" w:firstLine="420"/>
        <w:jc w:val="both"/>
      </w:pPr>
      <w:r>
        <w:rPr/>
        <w:t>年内，公司不断推进全球化的高效产销协同体系。在采购方面，深化与当地战略伙伴的合作关系，优化完善供应链体系，实现对当地需求的高效响应；在制造方面，推行智能排产和柔性制造，不断提升制造效率，推动产能利用率最大化。</w:t>
      </w:r>
    </w:p>
    <w:p>
      <w:pPr>
        <w:spacing w:after="0" w:line="364" w:lineRule="auto"/>
        <w:jc w:val="both"/>
        <w:sectPr>
          <w:pgSz w:w="11910" w:h="16840"/>
          <w:pgMar w:header="874" w:footer="1214" w:top="1360" w:bottom="1400" w:left="1040" w:right="760"/>
        </w:sectPr>
      </w:pPr>
    </w:p>
    <w:p>
      <w:pPr>
        <w:pStyle w:val="Heading4"/>
        <w:numPr>
          <w:ilvl w:val="0"/>
          <w:numId w:val="6"/>
        </w:numPr>
        <w:tabs>
          <w:tab w:pos="1082" w:val="left" w:leader="none"/>
        </w:tabs>
        <w:spacing w:line="385" w:lineRule="exact" w:before="0" w:after="0"/>
        <w:ind w:left="1082" w:right="0" w:hanging="425"/>
        <w:jc w:val="left"/>
      </w:pPr>
      <w:r>
        <w:rPr/>
        <w:t>厨电业务</w:t>
      </w:r>
    </w:p>
    <w:p>
      <w:pPr>
        <w:pStyle w:val="BodyText"/>
        <w:spacing w:before="9"/>
        <w:rPr>
          <w:rFonts w:ascii="Microsoft JhengHei"/>
          <w:b/>
          <w:sz w:val="11"/>
        </w:rPr>
      </w:pPr>
    </w:p>
    <w:p>
      <w:pPr>
        <w:pStyle w:val="BodyText"/>
        <w:ind w:right="1060"/>
        <w:jc w:val="right"/>
      </w:pPr>
      <w:r>
        <w:rPr>
          <w:rFonts w:ascii="Times New Roman" w:eastAsia="Times New Roman"/>
        </w:rPr>
        <w:t>2020 </w:t>
      </w:r>
      <w:r>
        <w:rPr/>
        <w:t>年，中国区厨电分部收入 </w:t>
      </w:r>
      <w:r>
        <w:rPr>
          <w:rFonts w:ascii="Times New Roman" w:eastAsia="Times New Roman"/>
        </w:rPr>
        <w:t>27.73 </w:t>
      </w:r>
      <w:r>
        <w:rPr/>
        <w:t>亿元，同比增长 </w:t>
      </w:r>
      <w:r>
        <w:rPr>
          <w:rFonts w:ascii="Times New Roman" w:eastAsia="Times New Roman"/>
        </w:rPr>
        <w:t>13.6%</w:t>
      </w:r>
      <w:r>
        <w:rPr/>
        <w:t>；卡萨帝厨电收入增长 </w:t>
      </w:r>
      <w:r>
        <w:rPr>
          <w:rFonts w:ascii="Times New Roman" w:eastAsia="Times New Roman"/>
        </w:rPr>
        <w:t>79%</w:t>
      </w:r>
      <w:r>
        <w:rPr/>
        <w:t>，其</w:t>
      </w:r>
    </w:p>
    <w:p>
      <w:pPr>
        <w:pStyle w:val="BodyText"/>
        <w:spacing w:before="139"/>
        <w:ind w:right="1127"/>
        <w:jc w:val="right"/>
      </w:pPr>
      <w:r>
        <w:rPr/>
        <w:t>中 </w:t>
      </w:r>
      <w:r>
        <w:rPr>
          <w:rFonts w:ascii="Times New Roman" w:eastAsia="Times New Roman"/>
        </w:rPr>
        <w:t>9 </w:t>
      </w:r>
      <w:r>
        <w:rPr/>
        <w:t>月</w:t>
      </w:r>
      <w:r>
        <w:rPr>
          <w:rFonts w:ascii="Times New Roman" w:eastAsia="Times New Roman"/>
        </w:rPr>
        <w:t>-12 </w:t>
      </w:r>
      <w:r>
        <w:rPr/>
        <w:t>月连续 </w:t>
      </w:r>
      <w:r>
        <w:rPr>
          <w:rFonts w:ascii="Times New Roman" w:eastAsia="Times New Roman"/>
        </w:rPr>
        <w:t>4 </w:t>
      </w:r>
      <w:r>
        <w:rPr/>
        <w:t>个月翻番增长，展现出良好发展势头与增长潜力。在份额方面，国内零售额</w:t>
      </w:r>
    </w:p>
    <w:p>
      <w:pPr>
        <w:pStyle w:val="BodyText"/>
        <w:spacing w:before="141"/>
        <w:ind w:right="1076"/>
        <w:jc w:val="right"/>
      </w:pPr>
      <w:r>
        <w:rPr/>
        <w:t>份额达到 </w:t>
      </w:r>
      <w:r>
        <w:rPr>
          <w:rFonts w:ascii="Times New Roman" w:eastAsia="Times New Roman"/>
        </w:rPr>
        <w:t>6%</w:t>
      </w:r>
      <w:r>
        <w:rPr/>
        <w:t>，同比增长 </w:t>
      </w:r>
      <w:r>
        <w:rPr>
          <w:rFonts w:ascii="Times New Roman" w:eastAsia="Times New Roman"/>
        </w:rPr>
        <w:t>1 </w:t>
      </w:r>
      <w:r>
        <w:rPr/>
        <w:t>个百分点；高端份额（大于 </w:t>
      </w:r>
      <w:r>
        <w:rPr>
          <w:rFonts w:ascii="Times New Roman" w:eastAsia="Times New Roman"/>
        </w:rPr>
        <w:t>5000 </w:t>
      </w:r>
      <w:r>
        <w:rPr/>
        <w:t>元价位段）同比增长 </w:t>
      </w:r>
      <w:r>
        <w:rPr>
          <w:rFonts w:ascii="Times New Roman" w:eastAsia="Times New Roman"/>
        </w:rPr>
        <w:t>0.9 </w:t>
      </w:r>
      <w:r>
        <w:rPr/>
        <w:t>个百分点。</w:t>
      </w:r>
    </w:p>
    <w:p>
      <w:pPr>
        <w:pStyle w:val="BodyText"/>
        <w:spacing w:before="3"/>
        <w:rPr>
          <w:sz w:val="20"/>
        </w:rPr>
      </w:pPr>
    </w:p>
    <w:p>
      <w:pPr>
        <w:pStyle w:val="BodyText"/>
        <w:spacing w:line="364" w:lineRule="auto"/>
        <w:ind w:left="237" w:right="1028" w:firstLine="420"/>
        <w:jc w:val="both"/>
      </w:pPr>
      <w:r>
        <w:rPr>
          <w:spacing w:val="-3"/>
        </w:rPr>
        <w:t>公司通过持续做好全球协同，打造</w:t>
      </w:r>
      <w:r>
        <w:rPr>
          <w:rFonts w:ascii="Times New Roman" w:hAnsi="Times New Roman" w:eastAsia="Times New Roman"/>
          <w:spacing w:val="-3"/>
        </w:rPr>
        <w:t>“</w:t>
      </w:r>
      <w:r>
        <w:rPr>
          <w:spacing w:val="-3"/>
        </w:rPr>
        <w:t>智慧与健康</w:t>
      </w:r>
      <w:r>
        <w:rPr>
          <w:rFonts w:ascii="Times New Roman" w:hAnsi="Times New Roman" w:eastAsia="Times New Roman"/>
          <w:spacing w:val="-3"/>
        </w:rPr>
        <w:t>"</w:t>
      </w:r>
      <w:r>
        <w:rPr>
          <w:spacing w:val="-3"/>
        </w:rPr>
        <w:t>的厨居生活体验。厨电产业以中西融合的原</w:t>
      </w:r>
      <w:r>
        <w:rPr>
          <w:spacing w:val="-16"/>
        </w:rPr>
        <w:t>创科技为突破点，将世界多元化的健康烹饪方式带入中国厨房，并通过体验式营销打造用户口碑。</w:t>
      </w:r>
      <w:r>
        <w:rPr>
          <w:spacing w:val="-9"/>
        </w:rPr>
        <w:t>公司厨电产业依托全球雄厚的厨电研发实力与积淀，持续整合 </w:t>
      </w:r>
      <w:r>
        <w:rPr>
          <w:rFonts w:ascii="Times New Roman" w:hAnsi="Times New Roman" w:eastAsia="Times New Roman"/>
        </w:rPr>
        <w:t>GEA</w:t>
      </w:r>
      <w:r>
        <w:rPr>
          <w:spacing w:val="-5"/>
        </w:rPr>
        <w:t>、斐雪派克、</w:t>
      </w:r>
      <w:r>
        <w:rPr>
          <w:rFonts w:ascii="Times New Roman" w:hAnsi="Times New Roman" w:eastAsia="Times New Roman"/>
        </w:rPr>
        <w:t>Candy </w:t>
      </w:r>
      <w:r>
        <w:rPr>
          <w:spacing w:val="-1"/>
        </w:rPr>
        <w:t>在厨电领</w:t>
      </w:r>
      <w:r>
        <w:rPr>
          <w:spacing w:val="-10"/>
        </w:rPr>
        <w:t>域的技术资源，成立 </w:t>
      </w:r>
      <w:r>
        <w:rPr>
          <w:rFonts w:ascii="Times New Roman" w:hAnsi="Times New Roman" w:eastAsia="Times New Roman"/>
        </w:rPr>
        <w:t>GFC </w:t>
      </w:r>
      <w:r>
        <w:rPr>
          <w:spacing w:val="-10"/>
        </w:rPr>
        <w:t>全球研发联盟。期内，厨电产业推出一系列融合全球各区域领先技术与</w:t>
      </w:r>
      <w:r>
        <w:rPr>
          <w:spacing w:val="-6"/>
        </w:rPr>
        <w:t>模块的智慧厨电产品。发布恒风量、医用级消毒技术、智慧家庭、垃圾处理器等 </w:t>
      </w:r>
      <w:r>
        <w:rPr>
          <w:rFonts w:ascii="Times New Roman" w:hAnsi="Times New Roman" w:eastAsia="Times New Roman"/>
        </w:rPr>
        <w:t>4 </w:t>
      </w:r>
      <w:r>
        <w:rPr>
          <w:spacing w:val="-3"/>
        </w:rPr>
        <w:t>项引领标准， 有效支持智慧风系列烟机、卡萨帝医用级消毒柜的快速发展。</w:t>
      </w:r>
    </w:p>
    <w:p>
      <w:pPr>
        <w:pStyle w:val="BodyText"/>
        <w:spacing w:line="364" w:lineRule="auto" w:before="117"/>
        <w:ind w:left="237" w:right="1028" w:firstLine="420"/>
      </w:pPr>
      <w:r>
        <w:rPr>
          <w:spacing w:val="-2"/>
        </w:rPr>
        <w:t>同时，卡萨帝厨电实现高端破局，有效增强了厨电品牌力。上市的卡萨帝</w:t>
      </w:r>
      <w:r>
        <w:rPr>
          <w:rFonts w:ascii="Times New Roman" w:hAnsi="Times New Roman" w:eastAsia="Times New Roman"/>
        </w:rPr>
        <w:t>C5+</w:t>
      </w:r>
      <w:r>
        <w:rPr>
          <w:spacing w:val="-3"/>
        </w:rPr>
        <w:t>套系产品、海尔双防套系产品通过有效解决用户痛点、创造差异化体验，沉淀用户口碑，打造行业产品与技术</w:t>
      </w:r>
      <w:r>
        <w:rPr>
          <w:spacing w:val="3"/>
        </w:rPr>
        <w:t>的新高度。卡萨帝</w:t>
      </w:r>
      <w:r>
        <w:rPr>
          <w:rFonts w:ascii="Times New Roman" w:hAnsi="Times New Roman" w:eastAsia="Times New Roman"/>
        </w:rPr>
        <w:t>C5+</w:t>
      </w:r>
      <w:r>
        <w:rPr>
          <w:spacing w:val="-3"/>
        </w:rPr>
        <w:t>美食家套系通过各品类的技术引领实现用户体验升级：①恒风量吸油烟机</w:t>
      </w:r>
      <w:r>
        <w:rPr>
          <w:spacing w:val="-9"/>
        </w:rPr>
        <w:t>首创智慧 </w:t>
      </w:r>
      <w:r>
        <w:rPr>
          <w:rFonts w:ascii="Times New Roman" w:hAnsi="Times New Roman" w:eastAsia="Times New Roman"/>
        </w:rPr>
        <w:t>12</w:t>
      </w:r>
      <w:r>
        <w:rPr>
          <w:rFonts w:ascii="Times New Roman" w:hAnsi="Times New Roman" w:eastAsia="Times New Roman"/>
          <w:spacing w:val="20"/>
        </w:rPr>
        <w:t> </w:t>
      </w:r>
      <w:r>
        <w:rPr>
          <w:spacing w:val="-10"/>
        </w:rPr>
        <w:t>方技术，不惧高楼层的压强、不受烟道影响，做到风量恒定，打造无烟烹饪环境；② </w:t>
      </w:r>
      <w:r>
        <w:rPr>
          <w:spacing w:val="-3"/>
        </w:rPr>
        <w:t>卡萨帝三头灶占据三头灶市场半壁江山，可实现一键煲饭、智能控温、烟灶联动等，提供便捷烹饪体验；③作为行业首款医用级消毒柜</w:t>
      </w:r>
      <w:r>
        <w:rPr>
          <w:rFonts w:ascii="Times New Roman" w:hAnsi="Times New Roman" w:eastAsia="Times New Roman"/>
        </w:rPr>
        <w:t>,C5+</w:t>
      </w:r>
      <w:r>
        <w:rPr>
          <w:spacing w:val="-3"/>
        </w:rPr>
        <w:t>消毒柜能智能跟踪自动杀菌</w:t>
      </w:r>
      <w:r>
        <w:rPr>
          <w:rFonts w:ascii="Times New Roman" w:hAnsi="Times New Roman" w:eastAsia="Times New Roman"/>
        </w:rPr>
        <w:t>,</w:t>
      </w:r>
      <w:r>
        <w:rPr>
          <w:spacing w:val="-17"/>
        </w:rPr>
        <w:t>杀灭 </w:t>
      </w:r>
      <w:r>
        <w:rPr>
          <w:rFonts w:ascii="Times New Roman" w:hAnsi="Times New Roman" w:eastAsia="Times New Roman"/>
        </w:rPr>
        <w:t>10</w:t>
      </w:r>
      <w:r>
        <w:rPr>
          <w:rFonts w:ascii="Times New Roman" w:hAnsi="Times New Roman" w:eastAsia="Times New Roman"/>
          <w:spacing w:val="11"/>
        </w:rPr>
        <w:t> </w:t>
      </w:r>
      <w:r>
        <w:rPr>
          <w:spacing w:val="-3"/>
        </w:rPr>
        <w:t>种致病菌、领先</w:t>
      </w:r>
      <w:r>
        <w:rPr>
          <w:spacing w:val="-9"/>
        </w:rPr>
        <w:t>行业二星级杀灭 </w:t>
      </w:r>
      <w:r>
        <w:rPr>
          <w:rFonts w:ascii="Times New Roman" w:hAnsi="Times New Roman" w:eastAsia="Times New Roman"/>
        </w:rPr>
        <w:t>2</w:t>
      </w:r>
      <w:r>
        <w:rPr>
          <w:rFonts w:ascii="Times New Roman" w:hAnsi="Times New Roman" w:eastAsia="Times New Roman"/>
          <w:spacing w:val="5"/>
        </w:rPr>
        <w:t> </w:t>
      </w:r>
      <w:r>
        <w:rPr>
          <w:spacing w:val="-6"/>
        </w:rPr>
        <w:t>种，获得年度消毒技术引领奖；④融合 </w:t>
      </w:r>
      <w:r>
        <w:rPr>
          <w:rFonts w:ascii="Times New Roman" w:hAnsi="Times New Roman" w:eastAsia="Times New Roman"/>
        </w:rPr>
        <w:t>GE</w:t>
      </w:r>
      <w:r>
        <w:rPr>
          <w:rFonts w:ascii="Times New Roman" w:hAnsi="Times New Roman" w:eastAsia="Times New Roman"/>
          <w:spacing w:val="3"/>
        </w:rPr>
        <w:t> </w:t>
      </w:r>
      <w:r>
        <w:rPr>
          <w:rFonts w:ascii="Times New Roman" w:hAnsi="Times New Roman" w:eastAsia="Times New Roman"/>
        </w:rPr>
        <w:t>Appliances</w:t>
      </w:r>
      <w:r>
        <w:rPr>
          <w:rFonts w:ascii="Times New Roman" w:hAnsi="Times New Roman" w:eastAsia="Times New Roman"/>
          <w:spacing w:val="5"/>
        </w:rPr>
        <w:t> </w:t>
      </w:r>
      <w:r>
        <w:rPr>
          <w:spacing w:val="-3"/>
        </w:rPr>
        <w:t>百年干烤技术和斐雪派</w:t>
      </w:r>
      <w:r>
        <w:rPr>
          <w:spacing w:val="5"/>
        </w:rPr>
        <w:t>克湿烤技术的</w:t>
      </w:r>
      <w:r>
        <w:rPr>
          <w:rFonts w:ascii="Times New Roman" w:hAnsi="Times New Roman" w:eastAsia="Times New Roman"/>
        </w:rPr>
        <w:t>C5+</w:t>
      </w:r>
      <w:r>
        <w:rPr>
          <w:spacing w:val="-18"/>
        </w:rPr>
        <w:t>烤箱，实现温湿双控，美食干烤均匀，湿烤鲜嫩；⑤依托 </w:t>
      </w:r>
      <w:r>
        <w:rPr>
          <w:rFonts w:ascii="Times New Roman" w:hAnsi="Times New Roman" w:eastAsia="Times New Roman"/>
        </w:rPr>
        <w:t>Candy</w:t>
      </w:r>
      <w:r>
        <w:rPr>
          <w:rFonts w:ascii="Times New Roman" w:hAnsi="Times New Roman" w:eastAsia="Times New Roman"/>
          <w:spacing w:val="13"/>
        </w:rPr>
        <w:t> </w:t>
      </w:r>
      <w:r>
        <w:rPr>
          <w:spacing w:val="-1"/>
        </w:rPr>
        <w:t>水汽分离技术， </w:t>
      </w:r>
      <w:r>
        <w:rPr>
          <w:rFonts w:ascii="Times New Roman" w:hAnsi="Times New Roman" w:eastAsia="Times New Roman"/>
          <w:spacing w:val="-1"/>
        </w:rPr>
        <w:t>C5+</w:t>
      </w:r>
      <w:r>
        <w:rPr>
          <w:spacing w:val="-6"/>
        </w:rPr>
        <w:t>蒸箱创新出水汽双循环系统，通过纯蒸汽实现 </w:t>
      </w:r>
      <w:r>
        <w:rPr>
          <w:rFonts w:ascii="Times New Roman" w:hAnsi="Times New Roman" w:eastAsia="Times New Roman"/>
        </w:rPr>
        <w:t>110℃</w:t>
      </w:r>
      <w:r>
        <w:rPr>
          <w:spacing w:val="-11"/>
        </w:rPr>
        <w:t>高温蒸、多层蒸，新鲜不串味，让用户吃</w:t>
      </w:r>
      <w:r>
        <w:rPr>
          <w:spacing w:val="-3"/>
        </w:rPr>
        <w:t>得新鲜健康；⑥创造第五种烹饪方式的</w:t>
      </w:r>
      <w:r>
        <w:rPr>
          <w:rFonts w:ascii="Times New Roman" w:hAnsi="Times New Roman" w:eastAsia="Times New Roman"/>
        </w:rPr>
        <w:t>C5+</w:t>
      </w:r>
      <w:r>
        <w:rPr>
          <w:spacing w:val="-3"/>
        </w:rPr>
        <w:t>蒸烤一体机，可以实现同蒸同烤，缩短烹饪时间，适配更多美味。</w:t>
      </w:r>
    </w:p>
    <w:p>
      <w:pPr>
        <w:pStyle w:val="BodyText"/>
        <w:spacing w:before="117"/>
        <w:ind w:left="657"/>
      </w:pPr>
      <w:r>
        <w:rPr/>
        <w:t>公司厨电出口收入增长 </w:t>
      </w:r>
      <w:r>
        <w:rPr>
          <w:rFonts w:ascii="Times New Roman" w:eastAsia="Times New Roman"/>
        </w:rPr>
        <w:t>51%</w:t>
      </w:r>
      <w:r>
        <w:rPr/>
        <w:t>，主要是为海尔品牌厨电在俄罗斯、菲律宾等市场增幅良好。</w:t>
      </w:r>
    </w:p>
    <w:p>
      <w:pPr>
        <w:pStyle w:val="BodyText"/>
        <w:spacing w:before="2"/>
        <w:rPr>
          <w:sz w:val="20"/>
        </w:rPr>
      </w:pPr>
    </w:p>
    <w:p>
      <w:pPr>
        <w:pStyle w:val="BodyText"/>
        <w:spacing w:line="364" w:lineRule="auto" w:before="1"/>
        <w:ind w:left="237" w:right="1031" w:firstLine="420"/>
      </w:pPr>
      <w:r>
        <w:rPr/>
        <w:t>期内，厨电工厂通过实施大规模集中生产，推进模块商当地化建厂，做好精益生产与精细化技术升级等措施，有效降低采购成本、提升交付速度及生产效率。</w:t>
      </w:r>
    </w:p>
    <w:p>
      <w:pPr>
        <w:pStyle w:val="Heading4"/>
        <w:numPr>
          <w:ilvl w:val="0"/>
          <w:numId w:val="6"/>
        </w:numPr>
        <w:tabs>
          <w:tab w:pos="1082" w:val="left" w:leader="none"/>
        </w:tabs>
        <w:spacing w:line="240" w:lineRule="auto" w:before="48" w:after="0"/>
        <w:ind w:left="1082" w:right="0" w:hanging="425"/>
        <w:jc w:val="left"/>
      </w:pPr>
      <w:r>
        <w:rPr/>
        <w:t>食联网生态</w:t>
      </w:r>
    </w:p>
    <w:p>
      <w:pPr>
        <w:pStyle w:val="BodyText"/>
        <w:spacing w:before="10"/>
        <w:rPr>
          <w:rFonts w:ascii="Microsoft JhengHei"/>
          <w:b/>
          <w:sz w:val="11"/>
        </w:rPr>
      </w:pPr>
    </w:p>
    <w:p>
      <w:pPr>
        <w:pStyle w:val="BodyText"/>
        <w:spacing w:line="364" w:lineRule="auto"/>
        <w:ind w:left="237" w:right="1038" w:firstLine="420"/>
        <w:jc w:val="both"/>
      </w:pPr>
      <w:r>
        <w:rPr/>
        <w:t>随着消费者对美食品质、便捷烹饪、食材安全等方面日益增加的需求，食联网基于智能硬件平台与美食生态联盟资源，以预制品为切入点，通过物联网技术、厨艺</w:t>
      </w:r>
      <w:r>
        <w:rPr>
          <w:rFonts w:ascii="Times New Roman" w:eastAsia="Times New Roman"/>
        </w:rPr>
        <w:t>&amp;</w:t>
      </w:r>
      <w:r>
        <w:rPr/>
        <w:t>菜品标准化、烹饪程序数字化，提供全流程健康饮食体验。公司与用户之间的关系也从以往的一次性硬件产品销售逐步升级为高频的美食分享，用户黏性得到加强。</w:t>
      </w:r>
    </w:p>
    <w:p>
      <w:pPr>
        <w:spacing w:after="0" w:line="364" w:lineRule="auto"/>
        <w:jc w:val="both"/>
        <w:sectPr>
          <w:pgSz w:w="11910" w:h="16840"/>
          <w:pgMar w:header="874" w:footer="1214" w:top="1360" w:bottom="1400" w:left="1040" w:right="760"/>
        </w:sectPr>
      </w:pPr>
    </w:p>
    <w:p>
      <w:pPr>
        <w:pStyle w:val="BodyText"/>
        <w:spacing w:line="364" w:lineRule="auto" w:before="68"/>
        <w:ind w:left="237" w:right="1038" w:firstLine="420"/>
        <w:jc w:val="both"/>
      </w:pPr>
      <w:r>
        <w:rPr/>
        <w:t>在智能硬件研发方面，食联网产业三次升级智慧蒸烤箱。该产品具备双温度传感器，精准控温等八大功能，可兼顾多种烹饪模式与食材定制，智慧烹饪模式一触启动。智能冰箱可实现菜谱推荐与食材购买，并可联动蒸烤箱，通过烹饪工艺的精准数字化，保证美食原汁原味。</w:t>
      </w:r>
    </w:p>
    <w:p>
      <w:pPr>
        <w:pStyle w:val="BodyText"/>
        <w:spacing w:line="364" w:lineRule="auto" w:before="120"/>
        <w:ind w:left="237" w:right="1031" w:firstLine="420"/>
        <w:jc w:val="both"/>
      </w:pPr>
      <w:r>
        <w:rPr>
          <w:spacing w:val="-3"/>
        </w:rPr>
        <w:t>在生态圈打造方面，公司与中国烹饪协会等资源方成立海尔食联网美食生态联盟等，打造智慧美食生态平台，让名厨食谱成为</w:t>
      </w:r>
      <w:r>
        <w:rPr>
          <w:rFonts w:ascii="Times New Roman" w:hAnsi="Times New Roman" w:eastAsia="Times New Roman"/>
          <w:spacing w:val="-3"/>
        </w:rPr>
        <w:t>“</w:t>
      </w:r>
      <w:r>
        <w:rPr>
          <w:spacing w:val="-2"/>
        </w:rPr>
        <w:t>家常菜</w:t>
      </w:r>
      <w:r>
        <w:rPr>
          <w:rFonts w:ascii="Times New Roman" w:hAnsi="Times New Roman" w:eastAsia="Times New Roman"/>
        </w:rPr>
        <w:t>”</w:t>
      </w:r>
      <w:r>
        <w:rPr>
          <w:spacing w:val="-3"/>
        </w:rPr>
        <w:t>，美食体验与用户口碑的形成也有助于公司智能产品的销售。如公司与资源方联合开发</w:t>
      </w:r>
      <w:r>
        <w:rPr>
          <w:rFonts w:ascii="Times New Roman" w:hAnsi="Times New Roman" w:eastAsia="Times New Roman"/>
          <w:spacing w:val="-3"/>
        </w:rPr>
        <w:t>“</w:t>
      </w:r>
      <w:r>
        <w:rPr>
          <w:spacing w:val="-2"/>
        </w:rPr>
        <w:t>北京烤鸭</w:t>
      </w:r>
      <w:r>
        <w:rPr>
          <w:rFonts w:ascii="Times New Roman" w:hAnsi="Times New Roman" w:eastAsia="Times New Roman"/>
          <w:spacing w:val="-3"/>
        </w:rPr>
        <w:t>”</w:t>
      </w:r>
      <w:r>
        <w:rPr>
          <w:spacing w:val="-3"/>
        </w:rPr>
        <w:t>食谱，用户收到预制品（</w:t>
      </w:r>
      <w:r>
        <w:rPr>
          <w:spacing w:val="-2"/>
        </w:rPr>
        <w:t>鸭胚</w:t>
      </w:r>
      <w:r>
        <w:rPr/>
        <w:t>）</w:t>
      </w:r>
      <w:r>
        <w:rPr>
          <w:spacing w:val="-3"/>
        </w:rPr>
        <w:t>后，扫描专属溯源二维码便可知晓养殖时长、生长情况、检疫情况等；食材放入智能烤箱后，烤箱自动匹配温度与</w:t>
      </w:r>
      <w:r>
        <w:rPr>
          <w:spacing w:val="-9"/>
        </w:rPr>
        <w:t>烹饪时间，不再额外需要其他手工操作，且菜品达到较好水准；鸭胚还可通过智家 </w:t>
      </w:r>
      <w:r>
        <w:rPr>
          <w:rFonts w:ascii="Times New Roman" w:hAnsi="Times New Roman" w:eastAsia="Times New Roman"/>
        </w:rPr>
        <w:t>APP </w:t>
      </w:r>
      <w:r>
        <w:rPr>
          <w:spacing w:val="-3"/>
        </w:rPr>
        <w:t>或者冰箱</w:t>
      </w:r>
      <w:r>
        <w:rPr>
          <w:spacing w:val="-9"/>
        </w:rPr>
        <w:t>大屏实现一键购买，针对鼓励原地过年、不能返乡与家人共享年夜饭的市场需求，公司推出</w:t>
      </w:r>
      <w:r>
        <w:rPr>
          <w:rFonts w:ascii="Times New Roman" w:hAnsi="Times New Roman" w:eastAsia="Times New Roman"/>
        </w:rPr>
        <w:t>“</w:t>
      </w:r>
      <w:r>
        <w:rPr>
          <w:spacing w:val="-3"/>
        </w:rPr>
        <w:t>年夜</w:t>
      </w:r>
      <w:r>
        <w:rPr/>
        <w:t>饭</w:t>
      </w:r>
      <w:r>
        <w:rPr>
          <w:rFonts w:ascii="Times New Roman" w:hAnsi="Times New Roman" w:eastAsia="Times New Roman"/>
        </w:rPr>
        <w:t>”</w:t>
      </w:r>
      <w:r>
        <w:rPr>
          <w:spacing w:val="-12"/>
        </w:rPr>
        <w:t>套餐，汇聚 </w:t>
      </w:r>
      <w:r>
        <w:rPr>
          <w:rFonts w:ascii="Times New Roman" w:hAnsi="Times New Roman" w:eastAsia="Times New Roman"/>
        </w:rPr>
        <w:t>6 </w:t>
      </w:r>
      <w:r>
        <w:rPr>
          <w:spacing w:val="-14"/>
        </w:rPr>
        <w:t>大菜系的 </w:t>
      </w:r>
      <w:r>
        <w:rPr>
          <w:rFonts w:ascii="Times New Roman" w:hAnsi="Times New Roman" w:eastAsia="Times New Roman"/>
        </w:rPr>
        <w:t>18 </w:t>
      </w:r>
      <w:r>
        <w:rPr>
          <w:spacing w:val="-9"/>
        </w:rPr>
        <w:t>道菜品，春节零售 </w:t>
      </w:r>
      <w:r>
        <w:rPr>
          <w:rFonts w:ascii="Times New Roman" w:hAnsi="Times New Roman" w:eastAsia="Times New Roman"/>
        </w:rPr>
        <w:t>1.5 </w:t>
      </w:r>
      <w:r>
        <w:rPr/>
        <w:t>万套、</w:t>
      </w:r>
      <w:r>
        <w:rPr>
          <w:rFonts w:ascii="Times New Roman" w:hAnsi="Times New Roman" w:eastAsia="Times New Roman"/>
        </w:rPr>
        <w:t>12 </w:t>
      </w:r>
      <w:r>
        <w:rPr>
          <w:spacing w:val="-3"/>
        </w:rPr>
        <w:t>万道菜品。</w:t>
      </w:r>
    </w:p>
    <w:p>
      <w:pPr>
        <w:pStyle w:val="Heading4"/>
        <w:spacing w:before="47"/>
        <w:ind w:left="520"/>
      </w:pPr>
      <w:r>
        <w:rPr>
          <w:rFonts w:ascii="Times New Roman" w:eastAsia="Times New Roman"/>
          <w:color w:val="221F1F"/>
        </w:rPr>
        <w:t>2</w:t>
      </w:r>
      <w:r>
        <w:rPr>
          <w:color w:val="221F1F"/>
        </w:rPr>
        <w:t>、全屋衣物解决方案（衣联网）</w:t>
      </w:r>
    </w:p>
    <w:p>
      <w:pPr>
        <w:pStyle w:val="Heading4"/>
        <w:numPr>
          <w:ilvl w:val="0"/>
          <w:numId w:val="7"/>
        </w:numPr>
        <w:tabs>
          <w:tab w:pos="1187" w:val="left" w:leader="none"/>
        </w:tabs>
        <w:spacing w:line="240" w:lineRule="auto" w:before="21" w:after="0"/>
        <w:ind w:left="1186" w:right="0" w:hanging="530"/>
        <w:jc w:val="left"/>
        <w:rPr>
          <w:color w:val="221F1F"/>
          <w:sz w:val="19"/>
        </w:rPr>
      </w:pPr>
      <w:r>
        <w:rPr/>
        <w:t>洗衣机业务</w:t>
      </w:r>
    </w:p>
    <w:p>
      <w:pPr>
        <w:pStyle w:val="BodyText"/>
        <w:spacing w:before="12"/>
        <w:rPr>
          <w:rFonts w:ascii="Microsoft JhengHei"/>
          <w:b/>
          <w:sz w:val="11"/>
        </w:rPr>
      </w:pPr>
    </w:p>
    <w:p>
      <w:pPr>
        <w:pStyle w:val="BodyText"/>
        <w:spacing w:line="364" w:lineRule="auto"/>
        <w:ind w:left="237" w:right="1029" w:firstLine="420"/>
        <w:jc w:val="both"/>
      </w:pPr>
      <w:r>
        <w:rPr>
          <w:rFonts w:ascii="Times New Roman" w:eastAsia="Times New Roman"/>
        </w:rPr>
        <w:t>2020 </w:t>
      </w:r>
      <w:r>
        <w:rPr>
          <w:spacing w:val="-19"/>
        </w:rPr>
        <w:t>年，受新冠疫情冲击、国际环境复杂多变等因素影响，中国经济面临多方面的严峻考验。</w:t>
      </w:r>
      <w:r>
        <w:rPr>
          <w:spacing w:val="-8"/>
        </w:rPr>
        <w:t>根据中怡康发布的市场研究报告，国内洗衣机市场全年零售量下滑 </w:t>
      </w:r>
      <w:r>
        <w:rPr>
          <w:rFonts w:ascii="Times New Roman" w:eastAsia="Times New Roman"/>
        </w:rPr>
        <w:t>9.3%</w:t>
      </w:r>
      <w:r>
        <w:rPr>
          <w:spacing w:val="-2"/>
        </w:rPr>
        <w:t>，零售额下滑 </w:t>
      </w:r>
      <w:r>
        <w:rPr>
          <w:rFonts w:ascii="Times New Roman" w:eastAsia="Times New Roman"/>
        </w:rPr>
        <w:t>6.5%</w:t>
      </w:r>
      <w:r>
        <w:rPr>
          <w:spacing w:val="-3"/>
        </w:rPr>
        <w:t>。面对整体行业的乏力表现，公司洗衣机业务快速应对市场变化，充分发挥品牌组合优势，积极推进</w:t>
      </w:r>
      <w:r>
        <w:rPr/>
        <w:t>全流程数字化转型，有力实现逆势增长和经营提效。期内，公司洗衣机业务取得净收入人民币</w:t>
      </w:r>
    </w:p>
    <w:p>
      <w:pPr>
        <w:pStyle w:val="BodyText"/>
        <w:spacing w:line="364" w:lineRule="auto"/>
        <w:ind w:left="237" w:right="1028"/>
        <w:jc w:val="both"/>
      </w:pPr>
      <w:r>
        <w:rPr>
          <w:rFonts w:ascii="Times New Roman" w:eastAsia="Times New Roman"/>
        </w:rPr>
        <w:t>259.85 </w:t>
      </w:r>
      <w:r>
        <w:rPr>
          <w:spacing w:val="-29"/>
        </w:rPr>
        <w:t>亿元，增长 </w:t>
      </w:r>
      <w:r>
        <w:rPr>
          <w:rFonts w:ascii="Times New Roman" w:eastAsia="Times New Roman"/>
        </w:rPr>
        <w:t>6.3%</w:t>
      </w:r>
      <w:r>
        <w:rPr>
          <w:spacing w:val="-19"/>
        </w:rPr>
        <w:t>。市场份额在保持领先的情况下进一步增长，线下市场占有率达到 </w:t>
      </w:r>
      <w:r>
        <w:rPr>
          <w:rFonts w:ascii="Times New Roman" w:eastAsia="Times New Roman"/>
        </w:rPr>
        <w:t>40.22%</w:t>
      </w:r>
      <w:r>
        <w:rPr/>
        <w:t>， </w:t>
      </w:r>
      <w:r>
        <w:rPr>
          <w:spacing w:val="-8"/>
        </w:rPr>
        <w:t>同比提升 </w:t>
      </w:r>
      <w:r>
        <w:rPr>
          <w:rFonts w:ascii="Times New Roman" w:eastAsia="Times New Roman"/>
        </w:rPr>
        <w:t>3.89 </w:t>
      </w:r>
      <w:r>
        <w:rPr>
          <w:spacing w:val="-6"/>
        </w:rPr>
        <w:t>个百分点。线上市场占有率达到 </w:t>
      </w:r>
      <w:r>
        <w:rPr>
          <w:rFonts w:ascii="Times New Roman" w:eastAsia="Times New Roman"/>
        </w:rPr>
        <w:t>39.9%</w:t>
      </w:r>
      <w:r>
        <w:rPr>
          <w:spacing w:val="-9"/>
        </w:rPr>
        <w:t>，同比增长 </w:t>
      </w:r>
      <w:r>
        <w:rPr>
          <w:rFonts w:ascii="Times New Roman" w:eastAsia="Times New Roman"/>
        </w:rPr>
        <w:t>3.5 </w:t>
      </w:r>
      <w:r>
        <w:rPr>
          <w:spacing w:val="-3"/>
        </w:rPr>
        <w:t>个百分点。根据欧睿国际数</w:t>
      </w:r>
      <w:r>
        <w:rPr>
          <w:spacing w:val="-5"/>
        </w:rPr>
        <w:t>据统计，海尔洗衣机品牌零售量连续 </w:t>
      </w:r>
      <w:r>
        <w:rPr>
          <w:rFonts w:ascii="Times New Roman" w:eastAsia="Times New Roman"/>
        </w:rPr>
        <w:t>12 </w:t>
      </w:r>
      <w:r>
        <w:rPr>
          <w:spacing w:val="-6"/>
        </w:rPr>
        <w:t>年蝉联全球第一，市场销量占有率为 </w:t>
      </w:r>
      <w:r>
        <w:rPr>
          <w:rFonts w:ascii="Times New Roman" w:eastAsia="Times New Roman"/>
        </w:rPr>
        <w:t>16.3%</w:t>
      </w:r>
      <w:r>
        <w:rPr>
          <w:spacing w:val="-12"/>
        </w:rPr>
        <w:t>，较 </w:t>
      </w:r>
      <w:r>
        <w:rPr>
          <w:rFonts w:ascii="Times New Roman" w:eastAsia="Times New Roman"/>
        </w:rPr>
        <w:t>2019 </w:t>
      </w:r>
      <w:r>
        <w:rPr/>
        <w:t>年</w:t>
      </w:r>
      <w:r>
        <w:rPr>
          <w:spacing w:val="-9"/>
        </w:rPr>
        <w:t>增长 </w:t>
      </w:r>
      <w:r>
        <w:rPr>
          <w:rFonts w:ascii="Times New Roman" w:eastAsia="Times New Roman"/>
        </w:rPr>
        <w:t>1.2 </w:t>
      </w:r>
      <w:r>
        <w:rPr>
          <w:spacing w:val="-5"/>
        </w:rPr>
        <w:t>个百分点。卡萨帝国内线下份额达到 </w:t>
      </w:r>
      <w:r>
        <w:rPr>
          <w:rFonts w:ascii="Times New Roman" w:eastAsia="Times New Roman"/>
        </w:rPr>
        <w:t>12.2%</w:t>
      </w:r>
      <w:r>
        <w:rPr>
          <w:spacing w:val="-6"/>
        </w:rPr>
        <w:t>，同比提升 </w:t>
      </w:r>
      <w:r>
        <w:rPr>
          <w:rFonts w:ascii="Times New Roman" w:eastAsia="Times New Roman"/>
        </w:rPr>
        <w:t>3 </w:t>
      </w:r>
      <w:r>
        <w:rPr>
          <w:spacing w:val="-3"/>
        </w:rPr>
        <w:t>个百分点，跻身洗衣机市场品</w:t>
      </w:r>
      <w:r>
        <w:rPr>
          <w:spacing w:val="-7"/>
        </w:rPr>
        <w:t>牌前三名；统帅线上份额达到 </w:t>
      </w:r>
      <w:r>
        <w:rPr>
          <w:rFonts w:ascii="Times New Roman" w:eastAsia="Times New Roman"/>
        </w:rPr>
        <w:t>5.1%</w:t>
      </w:r>
      <w:r>
        <w:rPr>
          <w:spacing w:val="-3"/>
        </w:rPr>
        <w:t>，跻身线上洗衣机品牌前五名。</w:t>
      </w:r>
    </w:p>
    <w:p>
      <w:pPr>
        <w:pStyle w:val="BodyText"/>
        <w:spacing w:line="364" w:lineRule="auto" w:before="116"/>
        <w:ind w:left="237" w:right="1031" w:firstLine="420"/>
      </w:pPr>
      <w:r>
        <w:rPr/>
        <w:t>期内，人们对洗衣机产品的需求继续向健康化、个性化、智能化、场景化发展。作为行业引领者，海尔洗衣机持续聚焦用户需求，通过技术创新和产品迭代，带动行业升级。</w:t>
      </w:r>
    </w:p>
    <w:p>
      <w:pPr>
        <w:pStyle w:val="BodyText"/>
        <w:spacing w:line="364" w:lineRule="auto" w:before="118"/>
        <w:ind w:left="237" w:right="1028" w:firstLine="420"/>
        <w:jc w:val="both"/>
      </w:pPr>
      <w:r>
        <w:rPr>
          <w:spacing w:val="-3"/>
        </w:rPr>
        <w:t>疫情催生的健康意识推动了洗衣机行业产品的加速升级和进化。以健康呵护为核心，分区洗产品受到用户追捧，成为更新换代热潮之一；同时，具有高温、银离子、紫外线、臭氧等多种除菌方式的健康洗也得到快速普及。海尔洗衣机通过卡萨帝双子系列持续拉升分区洗护份额，同时借势健康洗护首创自发电消毒技术。云熙、纤沐等系列波轮洗衣机通过工作过程中自动产生的深</w:t>
      </w:r>
      <w:r>
        <w:rPr>
          <w:spacing w:val="-8"/>
        </w:rPr>
        <w:t>紫外波段光，实现无能耗自动除菌。期内，波轮洗衣机线下零售量份额达到 </w:t>
      </w:r>
      <w:r>
        <w:rPr>
          <w:rFonts w:ascii="Times New Roman" w:eastAsia="Times New Roman"/>
          <w:spacing w:val="-3"/>
        </w:rPr>
        <w:t>43.5%</w:t>
      </w:r>
      <w:r>
        <w:rPr>
          <w:spacing w:val="-8"/>
        </w:rPr>
        <w:t>，同比增长 </w:t>
      </w:r>
      <w:r>
        <w:rPr>
          <w:rFonts w:ascii="Times New Roman" w:eastAsia="Times New Roman"/>
        </w:rPr>
        <w:t>3.3 </w:t>
      </w:r>
      <w:r>
        <w:rPr>
          <w:spacing w:val="-6"/>
        </w:rPr>
        <w:t>个百分点；滚筒洗衣机线下零售量份额达到 </w:t>
      </w:r>
      <w:r>
        <w:rPr>
          <w:rFonts w:ascii="Times New Roman" w:eastAsia="Times New Roman"/>
        </w:rPr>
        <w:t>39.4%</w:t>
      </w:r>
      <w:r>
        <w:rPr>
          <w:spacing w:val="-11"/>
        </w:rPr>
        <w:t>，同比增长 </w:t>
      </w:r>
      <w:r>
        <w:rPr>
          <w:rFonts w:ascii="Times New Roman" w:eastAsia="Times New Roman"/>
        </w:rPr>
        <w:t>4.3 </w:t>
      </w:r>
      <w:r>
        <w:rPr>
          <w:spacing w:val="-3"/>
        </w:rPr>
        <w:t>个百分点。</w:t>
      </w:r>
    </w:p>
    <w:p>
      <w:pPr>
        <w:pStyle w:val="BodyText"/>
        <w:spacing w:line="364" w:lineRule="auto" w:before="117"/>
        <w:ind w:left="237" w:right="1028" w:firstLine="420"/>
        <w:jc w:val="both"/>
      </w:pPr>
      <w:r>
        <w:rPr>
          <w:spacing w:val="-3"/>
        </w:rPr>
        <w:t>面对需求细分化趋势，公司根据不同用户群体深度剖析市场需求。针对用户日益提升的对高</w:t>
      </w:r>
      <w:r>
        <w:rPr>
          <w:spacing w:val="-4"/>
        </w:rPr>
        <w:t>端面料的护理护色需求，洗衣机业务推出创新产品 </w:t>
      </w:r>
      <w:r>
        <w:rPr>
          <w:rFonts w:ascii="Times New Roman" w:eastAsia="Times New Roman"/>
        </w:rPr>
        <w:t>BlingBling </w:t>
      </w:r>
      <w:r>
        <w:rPr>
          <w:spacing w:val="-3"/>
        </w:rPr>
        <w:t>彩装机，通过嵌入多样化洗涤剂模</w:t>
      </w:r>
      <w:r>
        <w:rPr>
          <w:spacing w:val="-12"/>
        </w:rPr>
        <w:t>式，一键还原衣物本色。彩装机发布以来，线上市场销售迅速提升，成功拉动 </w:t>
      </w:r>
      <w:r>
        <w:rPr>
          <w:rFonts w:ascii="Times New Roman" w:eastAsia="Times New Roman"/>
        </w:rPr>
        <w:t>6000 </w:t>
      </w:r>
      <w:r>
        <w:rPr>
          <w:spacing w:val="-3"/>
        </w:rPr>
        <w:t>元以上市场份</w:t>
      </w:r>
    </w:p>
    <w:p>
      <w:pPr>
        <w:spacing w:after="0" w:line="364" w:lineRule="auto"/>
        <w:jc w:val="both"/>
        <w:sectPr>
          <w:pgSz w:w="11910" w:h="16840"/>
          <w:pgMar w:header="874" w:footer="1214" w:top="1360" w:bottom="1400" w:left="1040" w:right="760"/>
        </w:sectPr>
      </w:pPr>
    </w:p>
    <w:p>
      <w:pPr>
        <w:pStyle w:val="BodyText"/>
        <w:spacing w:line="364" w:lineRule="auto" w:before="68"/>
        <w:ind w:left="237" w:right="1030"/>
        <w:jc w:val="both"/>
      </w:pPr>
      <w:r>
        <w:rPr/>
        <w:t>额同比提升 </w:t>
      </w:r>
      <w:r>
        <w:rPr>
          <w:rFonts w:ascii="Times New Roman" w:eastAsia="Times New Roman"/>
        </w:rPr>
        <w:t>9%</w:t>
      </w:r>
      <w:r>
        <w:rPr/>
        <w:t>。此外，根据女性用户做家务时护腰的需求，洗衣机产业推出妈妈机，成功带动波轮产品在 </w:t>
      </w:r>
      <w:r>
        <w:rPr>
          <w:rFonts w:ascii="Times New Roman" w:eastAsia="Times New Roman"/>
        </w:rPr>
        <w:t>2700-4000 </w:t>
      </w:r>
      <w:r>
        <w:rPr/>
        <w:t>元价位段份额同比提升 </w:t>
      </w:r>
      <w:r>
        <w:rPr>
          <w:rFonts w:ascii="Times New Roman" w:eastAsia="Times New Roman"/>
        </w:rPr>
        <w:t>2.9%</w:t>
      </w:r>
      <w:r>
        <w:rPr/>
        <w:t>。</w:t>
      </w:r>
    </w:p>
    <w:p>
      <w:pPr>
        <w:pStyle w:val="BodyText"/>
        <w:spacing w:line="364" w:lineRule="auto" w:before="118"/>
        <w:ind w:left="237" w:right="1029" w:firstLine="420"/>
        <w:jc w:val="both"/>
      </w:pPr>
      <w:r>
        <w:rPr/>
        <w:t>同时，洗衣机产业积极引领产品智能化趋势，卡萨帝空气洗由最初的变温蒸汽空气洗升级为集除菌、除皱、祛味、除潮、蓬松于一体，根据面料和不同需求精准定制的空气洗程序，以智能化方式满足用户高端洗护需求。</w:t>
      </w:r>
    </w:p>
    <w:p>
      <w:pPr>
        <w:pStyle w:val="BodyText"/>
        <w:spacing w:line="364" w:lineRule="auto" w:before="120"/>
        <w:ind w:left="237" w:right="1028" w:firstLine="420"/>
        <w:jc w:val="both"/>
      </w:pPr>
      <w:r>
        <w:rPr>
          <w:spacing w:val="-3"/>
        </w:rPr>
        <w:t>海外出口方面，受疫情影响，上半年洗衣机业务增速放缓，得益于公司在全球三位一体优势</w:t>
      </w:r>
      <w:r>
        <w:rPr>
          <w:spacing w:val="-4"/>
        </w:rPr>
        <w:t>及产品竞争力，下半年出口收入实现快速增长，拉动全年洗衣机出口增幅高达 </w:t>
      </w:r>
      <w:r>
        <w:rPr>
          <w:rFonts w:ascii="Times New Roman" w:eastAsia="Times New Roman"/>
        </w:rPr>
        <w:t>40%</w:t>
      </w:r>
      <w:r>
        <w:rPr>
          <w:spacing w:val="-3"/>
        </w:rPr>
        <w:t>。其中，美国</w:t>
      </w:r>
      <w:r>
        <w:rPr>
          <w:spacing w:val="-14"/>
        </w:rPr>
        <w:t>首推的健康产品，因差异化功能受用户青睐，实现滚筒市场份额提升 </w:t>
      </w:r>
      <w:r>
        <w:rPr>
          <w:rFonts w:ascii="Times New Roman" w:eastAsia="Times New Roman"/>
        </w:rPr>
        <w:t>4 </w:t>
      </w:r>
      <w:r>
        <w:rPr>
          <w:spacing w:val="-10"/>
        </w:rPr>
        <w:t>个百分点，市场地位提升； </w:t>
      </w:r>
      <w:r>
        <w:rPr>
          <w:spacing w:val="-13"/>
        </w:rPr>
        <w:t>日本的 </w:t>
      </w:r>
      <w:r>
        <w:rPr>
          <w:rFonts w:ascii="Times New Roman" w:eastAsia="Times New Roman"/>
        </w:rPr>
        <w:t>AQUA </w:t>
      </w:r>
      <w:r>
        <w:rPr>
          <w:spacing w:val="-7"/>
        </w:rPr>
        <w:t>超声波项目聚焦中高端变频系列产品，高效清洁衣领和袖口，并且不易损坏衣服纤</w:t>
      </w:r>
      <w:r>
        <w:rPr>
          <w:spacing w:val="-5"/>
        </w:rPr>
        <w:t>维，在行业下降 </w:t>
      </w:r>
      <w:r>
        <w:rPr>
          <w:rFonts w:ascii="Times New Roman" w:eastAsia="Times New Roman"/>
        </w:rPr>
        <w:t>4%</w:t>
      </w:r>
      <w:r>
        <w:rPr>
          <w:spacing w:val="-4"/>
        </w:rPr>
        <w:t>行情下，实现逆势增长，变频系列份额增长 </w:t>
      </w:r>
      <w:r>
        <w:rPr>
          <w:rFonts w:ascii="Times New Roman" w:eastAsia="Times New Roman"/>
        </w:rPr>
        <w:t>4 </w:t>
      </w:r>
      <w:r>
        <w:rPr>
          <w:spacing w:val="-3"/>
        </w:rPr>
        <w:t>个百分点；而欧洲持续聚焦高端品牌，从高端滚筒产品、高盈利产品切入，提升了市场规模及整体盈利性。</w:t>
      </w:r>
    </w:p>
    <w:p>
      <w:pPr>
        <w:pStyle w:val="BodyText"/>
        <w:spacing w:line="364" w:lineRule="auto" w:before="117"/>
        <w:ind w:left="237" w:right="1029" w:firstLine="420"/>
        <w:jc w:val="both"/>
      </w:pPr>
      <w:r>
        <w:rPr/>
        <w:t>期内，洗衣机产业在产能、效率方面实现双突破，继续推进超级工厂项目，通过与供应商对赌，集中型号、模块、产地，实现型号效率提升及整机成本下降。另外，洗衣机产业借助渠道数字化推进运营效率提升，组织架构优化，并通过设备自制、自动化来减少员工成本，实现生产效率提升。随着互联工厂项目实施，工厂无人化、智能化、可视化生产能力得以加强。而通过对用户大数据的采集和建模，生产决策能力和效率进一步得到有力提升。</w:t>
      </w:r>
    </w:p>
    <w:p>
      <w:pPr>
        <w:pStyle w:val="Heading4"/>
        <w:numPr>
          <w:ilvl w:val="0"/>
          <w:numId w:val="7"/>
        </w:numPr>
        <w:tabs>
          <w:tab w:pos="1187" w:val="left" w:leader="none"/>
        </w:tabs>
        <w:spacing w:line="240" w:lineRule="auto" w:before="48" w:after="0"/>
        <w:ind w:left="1186" w:right="0" w:hanging="530"/>
        <w:jc w:val="left"/>
        <w:rPr>
          <w:sz w:val="19"/>
        </w:rPr>
      </w:pPr>
      <w:r>
        <w:rPr/>
        <w:t>衣联网</w:t>
      </w:r>
    </w:p>
    <w:p>
      <w:pPr>
        <w:pStyle w:val="BodyText"/>
        <w:spacing w:before="94"/>
        <w:ind w:left="657"/>
      </w:pPr>
      <w:r>
        <w:rPr/>
        <w:t>海尔衣联网积极推进与洗衣液、服装、鞋靴生产商的跨界联合，打造洗护生态。</w:t>
      </w:r>
    </w:p>
    <w:p>
      <w:pPr>
        <w:pStyle w:val="BodyText"/>
        <w:spacing w:line="364" w:lineRule="auto" w:before="139"/>
        <w:ind w:left="237" w:right="1038" w:firstLine="420"/>
        <w:jc w:val="both"/>
      </w:pPr>
      <w:r>
        <w:rPr/>
        <w:t>期内，针对用户对高端衣物面料个性化呵护需求，衣联网与洗衣液市场头部资源品牌共同打造海尔首台墨盒洗衣机，墨盒洗护生态方案通过个性化洗护程序、精准智能洗衣液投放及洗涤剂智能购买等领先科技与便捷服务体验，获得用户认可。</w:t>
      </w:r>
    </w:p>
    <w:p>
      <w:pPr>
        <w:pStyle w:val="BodyText"/>
        <w:spacing w:line="364" w:lineRule="auto"/>
        <w:ind w:left="237" w:right="1038" w:firstLine="420"/>
        <w:jc w:val="both"/>
      </w:pPr>
      <w:r>
        <w:rPr/>
        <w:t>此外，新冠疫情后，随着入户消毒意识的提高，对鞋靴如何进行及时高效的消毒杀菌和存放成为用户痛点。衣联网产业整合鞋靴洗护服务、运动用品连锁品牌和鞋靴品牌资源，共同打造鞋靴洗、护、存、定制的全场景体验。</w:t>
      </w:r>
    </w:p>
    <w:p>
      <w:pPr>
        <w:pStyle w:val="BodyText"/>
        <w:spacing w:line="364" w:lineRule="auto"/>
        <w:ind w:left="237" w:right="1038" w:firstLine="420"/>
        <w:jc w:val="both"/>
      </w:pPr>
      <w:r>
        <w:rPr/>
        <w:t>新冠疫情期间，衣联网家庭全场景防疫解决方案，从回家、居家、出行场景布局，为用户提供一站式健康防护方案，极大提升用户对相关智能家电的升级需求，并催生了对洗衣液等生态合作资源的购买热情。</w:t>
      </w:r>
    </w:p>
    <w:p>
      <w:pPr>
        <w:pStyle w:val="Heading4"/>
        <w:spacing w:line="317" w:lineRule="exact"/>
        <w:ind w:left="0" w:right="7057"/>
        <w:jc w:val="center"/>
      </w:pPr>
      <w:r>
        <w:rPr>
          <w:rFonts w:ascii="Times New Roman" w:eastAsia="Times New Roman"/>
          <w:color w:val="221F1F"/>
        </w:rPr>
        <w:t>3</w:t>
      </w:r>
      <w:r>
        <w:rPr>
          <w:color w:val="221F1F"/>
        </w:rPr>
        <w:t>、空气能源解决方案</w:t>
      </w:r>
    </w:p>
    <w:p>
      <w:pPr>
        <w:pStyle w:val="Heading4"/>
        <w:numPr>
          <w:ilvl w:val="0"/>
          <w:numId w:val="8"/>
        </w:numPr>
        <w:tabs>
          <w:tab w:pos="1187" w:val="left" w:leader="none"/>
        </w:tabs>
        <w:spacing w:line="240" w:lineRule="auto" w:before="78" w:after="0"/>
        <w:ind w:left="1186" w:right="6994" w:hanging="1187"/>
        <w:jc w:val="left"/>
      </w:pPr>
      <w:r>
        <w:rPr/>
        <w:t>家用空调业务</w:t>
      </w:r>
    </w:p>
    <w:p>
      <w:pPr>
        <w:pStyle w:val="BodyText"/>
        <w:spacing w:before="9"/>
        <w:rPr>
          <w:rFonts w:ascii="Microsoft JhengHei"/>
          <w:b/>
          <w:sz w:val="11"/>
        </w:rPr>
      </w:pPr>
    </w:p>
    <w:p>
      <w:pPr>
        <w:pStyle w:val="BodyText"/>
        <w:spacing w:line="364" w:lineRule="auto"/>
        <w:ind w:left="237" w:right="1029" w:firstLine="420"/>
        <w:jc w:val="both"/>
      </w:pPr>
      <w:r>
        <w:rPr>
          <w:spacing w:val="-3"/>
        </w:rPr>
        <w:t>家空产业坚持健康、智慧的产品主线，引领行业从分销向零售转型、积极拓展线下网络与线上渠道融合、推进工程渠道建设，有效提升零售份额增长，公司线下、线上份额逆势双增：线下</w:t>
      </w:r>
      <w:r>
        <w:rPr>
          <w:spacing w:val="-11"/>
        </w:rPr>
        <w:t>零售额份额 </w:t>
      </w:r>
      <w:r>
        <w:rPr>
          <w:rFonts w:ascii="Times New Roman" w:eastAsia="Times New Roman"/>
          <w:spacing w:val="-4"/>
        </w:rPr>
        <w:t>14.7%</w:t>
      </w:r>
      <w:r>
        <w:rPr>
          <w:spacing w:val="-14"/>
        </w:rPr>
        <w:t>，提升 </w:t>
      </w:r>
      <w:r>
        <w:rPr>
          <w:rFonts w:ascii="Times New Roman" w:eastAsia="Times New Roman"/>
        </w:rPr>
        <w:t>2.2 </w:t>
      </w:r>
      <w:r>
        <w:rPr>
          <w:spacing w:val="-2"/>
        </w:rPr>
        <w:t>个百分点</w:t>
      </w:r>
      <w:r>
        <w:rPr>
          <w:rFonts w:ascii="Times New Roman" w:eastAsia="Times New Roman"/>
          <w:spacing w:val="-4"/>
        </w:rPr>
        <w:t>;</w:t>
      </w:r>
      <w:r>
        <w:rPr>
          <w:spacing w:val="-9"/>
        </w:rPr>
        <w:t>线上零售额份额 </w:t>
      </w:r>
      <w:r>
        <w:rPr>
          <w:rFonts w:ascii="Times New Roman" w:eastAsia="Times New Roman"/>
          <w:spacing w:val="-6"/>
        </w:rPr>
        <w:t>11.2%</w:t>
      </w:r>
      <w:r>
        <w:rPr>
          <w:spacing w:val="-15"/>
        </w:rPr>
        <w:t>，提升 </w:t>
      </w:r>
      <w:r>
        <w:rPr>
          <w:rFonts w:ascii="Times New Roman" w:eastAsia="Times New Roman"/>
        </w:rPr>
        <w:t>2.4 </w:t>
      </w:r>
      <w:r>
        <w:rPr>
          <w:spacing w:val="-8"/>
        </w:rPr>
        <w:t>个百分点。同时，持续扩</w:t>
      </w:r>
    </w:p>
    <w:p>
      <w:pPr>
        <w:spacing w:after="0" w:line="364" w:lineRule="auto"/>
        <w:jc w:val="both"/>
        <w:sectPr>
          <w:pgSz w:w="11910" w:h="16840"/>
          <w:pgMar w:header="874" w:footer="1214" w:top="1360" w:bottom="1400" w:left="1040" w:right="760"/>
        </w:sectPr>
      </w:pPr>
    </w:p>
    <w:p>
      <w:pPr>
        <w:pStyle w:val="BodyText"/>
        <w:spacing w:before="68"/>
        <w:ind w:left="237"/>
      </w:pPr>
      <w:r>
        <w:rPr/>
        <w:t>大卡萨帝空调产品阵容，驱动结构升级与规模增长。</w:t>
      </w:r>
    </w:p>
    <w:p>
      <w:pPr>
        <w:pStyle w:val="BodyText"/>
        <w:spacing w:before="3"/>
        <w:rPr>
          <w:sz w:val="20"/>
        </w:rPr>
      </w:pPr>
    </w:p>
    <w:p>
      <w:pPr>
        <w:pStyle w:val="BodyText"/>
        <w:spacing w:line="364" w:lineRule="auto"/>
        <w:ind w:left="237" w:right="1028" w:firstLine="420"/>
        <w:jc w:val="both"/>
      </w:pPr>
      <w:r>
        <w:rPr>
          <w:spacing w:val="-9"/>
        </w:rPr>
        <w:t>家空产业制定除菌舱、洗空气等多项健康空调标准，累计申请发明专利 </w:t>
      </w:r>
      <w:r>
        <w:rPr>
          <w:rFonts w:ascii="Times New Roman" w:hAnsi="Times New Roman" w:eastAsia="Times New Roman"/>
        </w:rPr>
        <w:t>4881 </w:t>
      </w:r>
      <w:r>
        <w:rPr>
          <w:spacing w:val="-7"/>
        </w:rPr>
        <w:t>项，申请国际专</w:t>
      </w:r>
      <w:r>
        <w:rPr>
          <w:spacing w:val="-34"/>
        </w:rPr>
        <w:t>利 </w:t>
      </w:r>
      <w:r>
        <w:rPr>
          <w:rFonts w:ascii="Times New Roman" w:hAnsi="Times New Roman" w:eastAsia="Times New Roman"/>
        </w:rPr>
        <w:t>609 </w:t>
      </w:r>
      <w:r>
        <w:rPr>
          <w:spacing w:val="-15"/>
        </w:rPr>
        <w:t>项。家空产业先后推出</w:t>
      </w:r>
      <w:r>
        <w:rPr>
          <w:rFonts w:ascii="Times New Roman" w:hAnsi="Times New Roman" w:eastAsia="Times New Roman"/>
        </w:rPr>
        <w:t>“</w:t>
      </w:r>
      <w:r>
        <w:rPr>
          <w:spacing w:val="-2"/>
        </w:rPr>
        <w:t>雷神者</w:t>
      </w:r>
      <w:r>
        <w:rPr>
          <w:rFonts w:ascii="Times New Roman" w:hAnsi="Times New Roman" w:eastAsia="Times New Roman"/>
        </w:rPr>
        <w:t>”56℃</w:t>
      </w:r>
      <w:r>
        <w:rPr>
          <w:spacing w:val="-12"/>
        </w:rPr>
        <w:t>除菌自清洁空调、全屋健康空气</w:t>
      </w:r>
      <w:r>
        <w:rPr>
          <w:rFonts w:ascii="Times New Roman" w:hAnsi="Times New Roman" w:eastAsia="Times New Roman"/>
        </w:rPr>
        <w:t>“3D </w:t>
      </w:r>
      <w:r>
        <w:rPr/>
        <w:t>除菌舱</w:t>
      </w:r>
      <w:r>
        <w:rPr>
          <w:rFonts w:ascii="Times New Roman" w:hAnsi="Times New Roman" w:eastAsia="Times New Roman"/>
        </w:rPr>
        <w:t>”</w:t>
      </w:r>
      <w:r>
        <w:rPr>
          <w:spacing w:val="-3"/>
        </w:rPr>
        <w:t>系列空调、水洗空气新物种空调。其中，</w:t>
      </w:r>
      <w:r>
        <w:rPr>
          <w:rFonts w:ascii="Times New Roman" w:hAnsi="Times New Roman" w:eastAsia="Times New Roman"/>
        </w:rPr>
        <w:t>“</w:t>
      </w:r>
      <w:r>
        <w:rPr>
          <w:spacing w:val="-2"/>
        </w:rPr>
        <w:t>除菌舱</w:t>
      </w:r>
      <w:r>
        <w:rPr>
          <w:rFonts w:ascii="Times New Roman" w:hAnsi="Times New Roman" w:eastAsia="Times New Roman"/>
        </w:rPr>
        <w:t>”</w:t>
      </w:r>
      <w:r>
        <w:rPr>
          <w:spacing w:val="-4"/>
        </w:rPr>
        <w:t>系列空调采用水火电三重杀菌技术，除菌率达 </w:t>
      </w:r>
      <w:r>
        <w:rPr>
          <w:rFonts w:ascii="Times New Roman" w:hAnsi="Times New Roman" w:eastAsia="Times New Roman"/>
        </w:rPr>
        <w:t>99%</w:t>
      </w:r>
      <w:r>
        <w:rPr>
          <w:spacing w:val="-3"/>
        </w:rPr>
        <w:t>，彻底解决空调吹脏风的痛点，在疫情期间得到用户一致好评，除菌空调市场份额达到 </w:t>
      </w:r>
      <w:r>
        <w:rPr>
          <w:rFonts w:ascii="Times New Roman" w:hAnsi="Times New Roman" w:eastAsia="Times New Roman"/>
        </w:rPr>
        <w:t>56.6%</w:t>
      </w:r>
      <w:r>
        <w:rPr>
          <w:spacing w:val="-3"/>
        </w:rPr>
        <w:t>。而全球首创的洗空气空调，借鉴航空发动机原理，以高速离心式瀑布水幕系统实现净化、加湿、增氧、</w:t>
      </w:r>
      <w:r>
        <w:rPr>
          <w:spacing w:val="-4"/>
        </w:rPr>
        <w:t>杀菌、定位送风、语音交互等差异化体验，为用户实现 </w:t>
      </w:r>
      <w:r>
        <w:rPr>
          <w:rFonts w:ascii="Times New Roman" w:hAnsi="Times New Roman" w:eastAsia="Times New Roman"/>
        </w:rPr>
        <w:t>1 </w:t>
      </w:r>
      <w:r>
        <w:rPr>
          <w:spacing w:val="-3"/>
        </w:rPr>
        <w:t>小时洗一遍空气的效果，打造洁净、清</w:t>
      </w:r>
    </w:p>
    <w:p>
      <w:pPr>
        <w:pStyle w:val="BodyText"/>
        <w:spacing w:line="268" w:lineRule="exact"/>
        <w:ind w:left="237"/>
        <w:jc w:val="both"/>
      </w:pPr>
      <w:r>
        <w:rPr/>
        <w:t>新、温润好空气。上市后，洗空气空调连续实现 </w:t>
      </w:r>
      <w:r>
        <w:rPr>
          <w:rFonts w:ascii="Times New Roman" w:eastAsia="Times New Roman"/>
        </w:rPr>
        <w:t>14,000 </w:t>
      </w:r>
      <w:r>
        <w:rPr/>
        <w:t>元以上价格段份额第一名。</w:t>
      </w:r>
    </w:p>
    <w:p>
      <w:pPr>
        <w:pStyle w:val="BodyText"/>
        <w:spacing w:before="2"/>
        <w:rPr>
          <w:sz w:val="20"/>
        </w:rPr>
      </w:pPr>
    </w:p>
    <w:p>
      <w:pPr>
        <w:pStyle w:val="BodyText"/>
        <w:spacing w:line="364" w:lineRule="auto" w:before="1"/>
        <w:ind w:left="237" w:right="1028" w:firstLine="420"/>
        <w:jc w:val="both"/>
      </w:pPr>
      <w:r>
        <w:rPr>
          <w:spacing w:val="-6"/>
        </w:rPr>
        <w:t>卡萨帝空调通过丰富产品阵容与触点建设，收入增长 </w:t>
      </w:r>
      <w:r>
        <w:rPr>
          <w:rFonts w:ascii="Times New Roman" w:eastAsia="Times New Roman"/>
        </w:rPr>
        <w:t>27%</w:t>
      </w:r>
      <w:r>
        <w:rPr>
          <w:spacing w:val="-20"/>
        </w:rPr>
        <w:t>。</w:t>
      </w:r>
      <w:r>
        <w:rPr>
          <w:rFonts w:ascii="Times New Roman" w:eastAsia="Times New Roman"/>
        </w:rPr>
        <w:t>2020 </w:t>
      </w:r>
      <w:r>
        <w:rPr>
          <w:spacing w:val="-6"/>
        </w:rPr>
        <w:t>年，卡萨帝家用空调套系新</w:t>
      </w:r>
      <w:r>
        <w:rPr>
          <w:spacing w:val="-11"/>
        </w:rPr>
        <w:t>增银河系列。高端市场份额上，卡萨帝 </w:t>
      </w:r>
      <w:r>
        <w:rPr>
          <w:rFonts w:ascii="Times New Roman" w:eastAsia="Times New Roman"/>
        </w:rPr>
        <w:t>15,000 </w:t>
      </w:r>
      <w:r>
        <w:rPr>
          <w:spacing w:val="-7"/>
        </w:rPr>
        <w:t>元以上价格段份额达到 </w:t>
      </w:r>
      <w:r>
        <w:rPr>
          <w:rFonts w:ascii="Times New Roman" w:eastAsia="Times New Roman"/>
          <w:spacing w:val="-5"/>
        </w:rPr>
        <w:t>46.9%</w:t>
      </w:r>
      <w:r>
        <w:rPr>
          <w:spacing w:val="-11"/>
        </w:rPr>
        <w:t>，同比提升 </w:t>
      </w:r>
      <w:r>
        <w:rPr>
          <w:rFonts w:ascii="Times New Roman" w:eastAsia="Times New Roman"/>
        </w:rPr>
        <w:t>6.27 </w:t>
      </w:r>
      <w:r>
        <w:rPr>
          <w:spacing w:val="-3"/>
        </w:rPr>
        <w:t>个百</w:t>
      </w:r>
      <w:r>
        <w:rPr>
          <w:spacing w:val="-15"/>
        </w:rPr>
        <w:t>分点；在 </w:t>
      </w:r>
      <w:r>
        <w:rPr>
          <w:rFonts w:ascii="Times New Roman" w:eastAsia="Times New Roman"/>
        </w:rPr>
        <w:t>4,000 </w:t>
      </w:r>
      <w:r>
        <w:rPr>
          <w:spacing w:val="-6"/>
        </w:rPr>
        <w:t>元以上挂机、</w:t>
      </w:r>
      <w:r>
        <w:rPr>
          <w:rFonts w:ascii="Times New Roman" w:eastAsia="Times New Roman"/>
        </w:rPr>
        <w:t>10,000 </w:t>
      </w:r>
      <w:r>
        <w:rPr>
          <w:spacing w:val="-6"/>
        </w:rPr>
        <w:t>元以上柜机的整体高端市场份额达到 </w:t>
      </w:r>
      <w:r>
        <w:rPr>
          <w:rFonts w:ascii="Times New Roman" w:eastAsia="Times New Roman"/>
          <w:spacing w:val="-4"/>
        </w:rPr>
        <w:t>16.6%</w:t>
      </w:r>
      <w:r>
        <w:rPr>
          <w:spacing w:val="-14"/>
        </w:rPr>
        <w:t>，提升 </w:t>
      </w:r>
      <w:r>
        <w:rPr>
          <w:rFonts w:ascii="Times New Roman" w:eastAsia="Times New Roman"/>
        </w:rPr>
        <w:t>3.8 </w:t>
      </w:r>
      <w:r>
        <w:rPr>
          <w:spacing w:val="-2"/>
        </w:rPr>
        <w:t>个百分点。</w:t>
      </w:r>
    </w:p>
    <w:p>
      <w:pPr>
        <w:pStyle w:val="BodyText"/>
        <w:spacing w:line="364" w:lineRule="auto" w:before="119"/>
        <w:ind w:left="237" w:right="1028" w:firstLine="420"/>
        <w:jc w:val="both"/>
      </w:pPr>
      <w:r>
        <w:rPr>
          <w:spacing w:val="-5"/>
        </w:rPr>
        <w:t>公司家用空调出口收入增长 </w:t>
      </w:r>
      <w:r>
        <w:rPr>
          <w:rFonts w:ascii="Times New Roman" w:eastAsia="Times New Roman"/>
        </w:rPr>
        <w:t>21%</w:t>
      </w:r>
      <w:r>
        <w:rPr>
          <w:spacing w:val="-17"/>
        </w:rPr>
        <w:t>。海外市场通过持续拓展渠道、上市创新产品扩大市场份额、</w:t>
      </w:r>
      <w:r>
        <w:rPr>
          <w:spacing w:val="-9"/>
        </w:rPr>
        <w:t>灵活借势线上营销带动本土化竞争力的提升。同时，国内工厂在第一时间复工复产，保证了重点</w:t>
      </w:r>
      <w:r>
        <w:rPr>
          <w:spacing w:val="-5"/>
        </w:rPr>
        <w:t>市场的订单需求，支持海外本土创牌的发展。</w:t>
      </w:r>
    </w:p>
    <w:p>
      <w:pPr>
        <w:pStyle w:val="Heading4"/>
        <w:numPr>
          <w:ilvl w:val="0"/>
          <w:numId w:val="8"/>
        </w:numPr>
        <w:tabs>
          <w:tab w:pos="1187" w:val="left" w:leader="none"/>
        </w:tabs>
        <w:spacing w:line="240" w:lineRule="auto" w:before="48" w:after="0"/>
        <w:ind w:left="1186" w:right="0" w:hanging="530"/>
        <w:jc w:val="left"/>
      </w:pPr>
      <w:r>
        <w:rPr/>
        <w:t>商用空调业务</w:t>
      </w:r>
    </w:p>
    <w:p>
      <w:pPr>
        <w:pStyle w:val="BodyText"/>
        <w:spacing w:before="8"/>
        <w:rPr>
          <w:rFonts w:ascii="Microsoft JhengHei"/>
          <w:b/>
          <w:sz w:val="11"/>
        </w:rPr>
      </w:pPr>
    </w:p>
    <w:p>
      <w:pPr>
        <w:pStyle w:val="BodyText"/>
        <w:spacing w:line="367" w:lineRule="auto"/>
        <w:ind w:left="237" w:right="1038" w:firstLine="420"/>
      </w:pPr>
      <w:r>
        <w:rPr/>
        <w:t>受益于国内快速控制疫情、开启复工复产，中央空调行业呈现逐步回暖趋势，海尔商用空调业务以二位数增长领跑行业。</w:t>
      </w:r>
    </w:p>
    <w:p>
      <w:pPr>
        <w:pStyle w:val="BodyText"/>
        <w:spacing w:line="364" w:lineRule="auto" w:before="116"/>
        <w:ind w:left="237" w:right="1028" w:firstLine="420"/>
        <w:jc w:val="both"/>
      </w:pPr>
      <w:r>
        <w:rPr>
          <w:spacing w:val="-4"/>
        </w:rPr>
        <w:t>其中，以磁悬浮为核心的节能解决方案成为行业主流发展趋势，海尔以超 </w:t>
      </w:r>
      <w:r>
        <w:rPr>
          <w:rFonts w:ascii="Times New Roman" w:eastAsia="Times New Roman"/>
        </w:rPr>
        <w:t>61%</w:t>
      </w:r>
      <w:r>
        <w:rPr>
          <w:spacing w:val="-3"/>
        </w:rPr>
        <w:t>的份额连续多年引领行业；以物联多联机为标志的智慧空调节能解决方案成为行业首创。提前布局煤改电等清洁能源产品，</w:t>
      </w:r>
      <w:r>
        <w:rPr>
          <w:rFonts w:ascii="Times New Roman" w:eastAsia="Times New Roman"/>
        </w:rPr>
        <w:t>20 </w:t>
      </w:r>
      <w:r>
        <w:rPr>
          <w:spacing w:val="-3"/>
        </w:rPr>
        <w:t>年规模快速增长，在区域煤改电能源替换中，市场份额第一。</w:t>
      </w:r>
    </w:p>
    <w:p>
      <w:pPr>
        <w:pStyle w:val="BodyText"/>
        <w:spacing w:line="364" w:lineRule="auto" w:before="119"/>
        <w:ind w:left="237" w:right="928" w:firstLine="420"/>
      </w:pPr>
      <w:r>
        <w:rPr>
          <w:spacing w:val="-3"/>
        </w:rPr>
        <w:t>公司始终坚持健康、节能、智慧的产品主线，以差异化解决方案为用户定制舒适、节能的使</w:t>
      </w:r>
      <w:r>
        <w:rPr>
          <w:spacing w:val="-5"/>
        </w:rPr>
        <w:t>用体验。期内，快速推出可杀菌净化的健康空调，行业首创 </w:t>
      </w:r>
      <w:r>
        <w:rPr>
          <w:rFonts w:ascii="Times New Roman" w:eastAsia="Times New Roman"/>
        </w:rPr>
        <w:t>3D </w:t>
      </w:r>
      <w:r>
        <w:rPr>
          <w:spacing w:val="-1"/>
        </w:rPr>
        <w:t>除菌舱中央空调。 在节能方面， </w:t>
      </w:r>
      <w:r>
        <w:rPr>
          <w:spacing w:val="-8"/>
        </w:rPr>
        <w:t>迭代研发大冷量磁悬浮产品，并行业首推 </w:t>
      </w:r>
      <w:r>
        <w:rPr>
          <w:rFonts w:ascii="Times New Roman" w:eastAsia="Times New Roman"/>
        </w:rPr>
        <w:t>E+</w:t>
      </w:r>
      <w:r>
        <w:rPr>
          <w:spacing w:val="-6"/>
        </w:rPr>
        <w:t>物联高效机房场景解决方案。智慧空气解决方案在商</w:t>
      </w:r>
      <w:r>
        <w:rPr>
          <w:spacing w:val="-16"/>
        </w:rPr>
        <w:t>用楼宇领域快速突破，研发中央空调物联身份识别技术，物联网多联机物联集控及物联计费场景， </w:t>
      </w:r>
      <w:r>
        <w:rPr>
          <w:spacing w:val="-12"/>
        </w:rPr>
        <w:t>相较于传统方案费用降低 </w:t>
      </w:r>
      <w:r>
        <w:rPr>
          <w:rFonts w:ascii="Times New Roman" w:eastAsia="Times New Roman"/>
        </w:rPr>
        <w:t>50%</w:t>
      </w:r>
      <w:r>
        <w:rPr>
          <w:spacing w:val="-2"/>
        </w:rPr>
        <w:t>以上。</w:t>
      </w:r>
    </w:p>
    <w:p>
      <w:pPr>
        <w:pStyle w:val="BodyText"/>
        <w:spacing w:line="235" w:lineRule="exact" w:before="118"/>
        <w:ind w:left="657"/>
      </w:pPr>
      <w:r>
        <w:rPr/>
        <w:t>空调中国区收入 </w:t>
      </w:r>
      <w:r>
        <w:rPr>
          <w:rFonts w:ascii="Times New Roman" w:eastAsia="Times New Roman"/>
        </w:rPr>
        <w:t>255.12 </w:t>
      </w:r>
      <w:r>
        <w:rPr/>
        <w:t>亿元，同比增长 </w:t>
      </w:r>
      <w:r>
        <w:rPr>
          <w:rFonts w:ascii="Times New Roman" w:eastAsia="Times New Roman"/>
        </w:rPr>
        <w:t>8.6%</w:t>
      </w:r>
      <w:r>
        <w:rPr/>
        <w:t>。</w:t>
      </w:r>
    </w:p>
    <w:p>
      <w:pPr>
        <w:pStyle w:val="Heading4"/>
        <w:spacing w:line="353" w:lineRule="exact"/>
        <w:ind w:left="520"/>
      </w:pPr>
      <w:r>
        <w:rPr>
          <w:rFonts w:ascii="Times New Roman" w:eastAsia="Times New Roman"/>
          <w:color w:val="221F1F"/>
        </w:rPr>
        <w:t>4</w:t>
      </w:r>
      <w:r>
        <w:rPr>
          <w:color w:val="221F1F"/>
        </w:rPr>
        <w:t>、全屋用水解决方案</w:t>
      </w:r>
    </w:p>
    <w:p>
      <w:pPr>
        <w:pStyle w:val="Heading4"/>
        <w:numPr>
          <w:ilvl w:val="0"/>
          <w:numId w:val="9"/>
        </w:numPr>
        <w:tabs>
          <w:tab w:pos="1187" w:val="left" w:leader="none"/>
        </w:tabs>
        <w:spacing w:line="240" w:lineRule="auto" w:before="82" w:after="0"/>
        <w:ind w:left="1186" w:right="0" w:hanging="530"/>
        <w:jc w:val="left"/>
      </w:pPr>
      <w:r>
        <w:rPr/>
        <w:t>热水器业务</w:t>
      </w:r>
    </w:p>
    <w:p>
      <w:pPr>
        <w:pStyle w:val="BodyText"/>
        <w:spacing w:before="9"/>
        <w:rPr>
          <w:rFonts w:ascii="Microsoft JhengHei"/>
          <w:b/>
          <w:sz w:val="11"/>
        </w:rPr>
      </w:pPr>
    </w:p>
    <w:p>
      <w:pPr>
        <w:pStyle w:val="BodyText"/>
        <w:spacing w:line="364" w:lineRule="auto"/>
        <w:ind w:left="237" w:right="996" w:firstLine="420"/>
      </w:pPr>
      <w:r>
        <w:rPr/>
        <w:t>热水器及净水机业务致力于为用户提供安全、智能、舒适的全屋用水解决方案。</w:t>
      </w:r>
      <w:r>
        <w:rPr>
          <w:rFonts w:ascii="Times New Roman" w:eastAsia="Times New Roman"/>
        </w:rPr>
        <w:t>2020 </w:t>
      </w:r>
      <w:r>
        <w:rPr/>
        <w:t>年，虽然疫情抑制了部分线下消费需求，但社交隔离带动的宅经济推动了线上流量增长并进一步释放了</w:t>
      </w:r>
    </w:p>
    <w:p>
      <w:pPr>
        <w:spacing w:after="0" w:line="364" w:lineRule="auto"/>
        <w:sectPr>
          <w:pgSz w:w="11910" w:h="16840"/>
          <w:pgMar w:header="874" w:footer="1214" w:top="1360" w:bottom="1400" w:left="1040" w:right="760"/>
        </w:sectPr>
      </w:pPr>
    </w:p>
    <w:p>
      <w:pPr>
        <w:pStyle w:val="BodyText"/>
        <w:spacing w:line="364" w:lineRule="auto" w:before="68"/>
        <w:ind w:left="237" w:right="1029"/>
        <w:jc w:val="both"/>
      </w:pPr>
      <w:r>
        <w:rPr/>
        <w:t>低线市场需求，海尔热水器及净水机业务抓住机遇，顺应家电健康化、智能化趋势，不断进行产品功能迭代升级，实现收入人民币 </w:t>
      </w:r>
      <w:r>
        <w:rPr>
          <w:rFonts w:ascii="Times New Roman" w:eastAsia="Times New Roman"/>
        </w:rPr>
        <w:t>102.17 </w:t>
      </w:r>
      <w:r>
        <w:rPr/>
        <w:t>亿元，同比增长 </w:t>
      </w:r>
      <w:r>
        <w:rPr>
          <w:rFonts w:ascii="Times New Roman" w:eastAsia="Times New Roman"/>
        </w:rPr>
        <w:t>6.5%</w:t>
      </w:r>
      <w:r>
        <w:rPr/>
        <w:t>。</w:t>
      </w:r>
    </w:p>
    <w:p>
      <w:pPr>
        <w:pStyle w:val="BodyText"/>
        <w:spacing w:line="364" w:lineRule="auto" w:before="118"/>
        <w:ind w:left="237" w:right="1029" w:firstLine="420"/>
        <w:jc w:val="both"/>
      </w:pPr>
      <w:r>
        <w:rPr>
          <w:spacing w:val="-3"/>
        </w:rPr>
        <w:t>期内，热水器业务行业地位进一步提升，整体达成行业第一，市场份额进一步提升，线下市</w:t>
      </w:r>
      <w:r>
        <w:rPr>
          <w:spacing w:val="-11"/>
        </w:rPr>
        <w:t>场份额为 </w:t>
      </w:r>
      <w:r>
        <w:rPr>
          <w:rFonts w:ascii="Times New Roman" w:eastAsia="Times New Roman"/>
          <w:spacing w:val="-4"/>
        </w:rPr>
        <w:t>23.9%</w:t>
      </w:r>
      <w:r>
        <w:rPr>
          <w:spacing w:val="-9"/>
        </w:rPr>
        <w:t>，同比增长 </w:t>
      </w:r>
      <w:r>
        <w:rPr>
          <w:rFonts w:ascii="Times New Roman" w:eastAsia="Times New Roman"/>
          <w:spacing w:val="-4"/>
        </w:rPr>
        <w:t>3.4%</w:t>
      </w:r>
      <w:r>
        <w:rPr>
          <w:spacing w:val="-8"/>
        </w:rPr>
        <w:t>，线上市场份额为 </w:t>
      </w:r>
      <w:r>
        <w:rPr>
          <w:rFonts w:ascii="Times New Roman" w:eastAsia="Times New Roman"/>
          <w:spacing w:val="-3"/>
        </w:rPr>
        <w:t>27.3%</w:t>
      </w:r>
      <w:r>
        <w:rPr>
          <w:spacing w:val="-10"/>
        </w:rPr>
        <w:t>，同比增长 </w:t>
      </w:r>
      <w:r>
        <w:rPr>
          <w:rFonts w:ascii="Times New Roman" w:eastAsia="Times New Roman"/>
        </w:rPr>
        <w:t>3.2%</w:t>
      </w:r>
      <w:r>
        <w:rPr>
          <w:spacing w:val="-6"/>
        </w:rPr>
        <w:t>。在高端市场方面，卡</w:t>
      </w:r>
      <w:r>
        <w:rPr>
          <w:spacing w:val="-4"/>
          <w:w w:val="100"/>
        </w:rPr>
        <w:t>萨帝实现收入增幅</w:t>
      </w:r>
      <w:r>
        <w:rPr>
          <w:spacing w:val="-53"/>
        </w:rPr>
        <w:t> </w:t>
      </w:r>
      <w:r>
        <w:rPr>
          <w:rFonts w:ascii="Times New Roman" w:eastAsia="Times New Roman"/>
          <w:spacing w:val="-3"/>
          <w:w w:val="100"/>
        </w:rPr>
        <w:t>8</w:t>
      </w:r>
      <w:r>
        <w:rPr>
          <w:rFonts w:ascii="Times New Roman" w:eastAsia="Times New Roman"/>
          <w:w w:val="100"/>
        </w:rPr>
        <w:t>0</w:t>
      </w:r>
      <w:r>
        <w:rPr>
          <w:rFonts w:ascii="Times New Roman" w:eastAsia="Times New Roman"/>
          <w:spacing w:val="-1"/>
          <w:w w:val="100"/>
        </w:rPr>
        <w:t>%</w:t>
      </w:r>
      <w:r>
        <w:rPr>
          <w:spacing w:val="-16"/>
          <w:w w:val="100"/>
        </w:rPr>
        <w:t>，份额也进一步增长</w:t>
      </w:r>
      <w:r>
        <w:rPr>
          <w:spacing w:val="-52"/>
        </w:rPr>
        <w:t> </w:t>
      </w:r>
      <w:r>
        <w:rPr>
          <w:rFonts w:ascii="Times New Roman" w:eastAsia="Times New Roman"/>
          <w:w w:val="100"/>
        </w:rPr>
        <w:t>4.2</w:t>
      </w:r>
      <w:r>
        <w:rPr>
          <w:rFonts w:ascii="Times New Roman" w:eastAsia="Times New Roman"/>
          <w:spacing w:val="-1"/>
          <w:w w:val="100"/>
        </w:rPr>
        <w:t>%</w:t>
      </w:r>
      <w:r>
        <w:rPr>
          <w:spacing w:val="-13"/>
          <w:w w:val="100"/>
        </w:rPr>
        <w:t>。而统帅品牌通过小黄鸭</w:t>
      </w:r>
      <w:r>
        <w:rPr>
          <w:spacing w:val="-53"/>
        </w:rPr>
        <w:t> </w:t>
      </w:r>
      <w:r>
        <w:rPr>
          <w:rFonts w:ascii="Times New Roman" w:eastAsia="Times New Roman"/>
          <w:spacing w:val="-4"/>
          <w:w w:val="100"/>
        </w:rPr>
        <w:t>I</w:t>
      </w:r>
      <w:r>
        <w:rPr>
          <w:rFonts w:ascii="Times New Roman" w:eastAsia="Times New Roman"/>
          <w:spacing w:val="2"/>
          <w:w w:val="100"/>
        </w:rPr>
        <w:t>P</w:t>
      </w:r>
      <w:r>
        <w:rPr>
          <w:spacing w:val="-14"/>
          <w:w w:val="100"/>
        </w:rPr>
        <w:t>，线上线下集中造势，</w:t>
      </w:r>
      <w:r>
        <w:rPr>
          <w:spacing w:val="-7"/>
        </w:rPr>
        <w:t>占领年轻用户心智，份额也实现大幅提升。</w:t>
      </w:r>
    </w:p>
    <w:p>
      <w:pPr>
        <w:pStyle w:val="BodyText"/>
        <w:spacing w:line="364" w:lineRule="auto" w:before="119"/>
        <w:ind w:left="237" w:right="1028" w:firstLine="420"/>
        <w:jc w:val="both"/>
      </w:pPr>
      <w:r>
        <w:rPr>
          <w:spacing w:val="-7"/>
        </w:rPr>
        <w:t>在收入快速增长的同时，热水器产业不断推进成本及费用优化，通过精简 </w:t>
      </w:r>
      <w:r>
        <w:rPr>
          <w:rFonts w:ascii="Times New Roman" w:eastAsia="Times New Roman"/>
          <w:spacing w:val="-5"/>
        </w:rPr>
        <w:t>SKU</w:t>
      </w:r>
      <w:r>
        <w:rPr>
          <w:spacing w:val="-3"/>
        </w:rPr>
        <w:t>，聚焦资源至高投入产出项目等，有效提升盈利能力。期内，虽然上半年利润率水平受到疫情冲击，下半年呈明显好转趋势。</w:t>
      </w:r>
    </w:p>
    <w:p>
      <w:pPr>
        <w:pStyle w:val="BodyText"/>
        <w:spacing w:line="364" w:lineRule="auto" w:before="120"/>
        <w:ind w:left="237" w:right="1028" w:firstLine="420"/>
        <w:jc w:val="both"/>
      </w:pPr>
      <w:r>
        <w:rPr>
          <w:spacing w:val="-3"/>
        </w:rPr>
        <w:t>作为行业引领品牌，海尔电热水器致力于解决用户痛点，满足用户需求。根据中怡康数据显</w:t>
      </w:r>
      <w:r>
        <w:rPr>
          <w:spacing w:val="-10"/>
        </w:rPr>
        <w:t>示，公司电热水器线上和线下的零售额市场份额分别为 </w:t>
      </w:r>
      <w:r>
        <w:rPr>
          <w:rFonts w:ascii="Times New Roman" w:eastAsia="Times New Roman"/>
        </w:rPr>
        <w:t>37.7%</w:t>
      </w:r>
      <w:r>
        <w:rPr>
          <w:spacing w:val="-23"/>
        </w:rPr>
        <w:t>和 </w:t>
      </w:r>
      <w:r>
        <w:rPr>
          <w:rFonts w:ascii="Times New Roman" w:eastAsia="Times New Roman"/>
          <w:spacing w:val="-8"/>
        </w:rPr>
        <w:t>36.5%</w:t>
      </w:r>
      <w:r>
        <w:rPr>
          <w:spacing w:val="-10"/>
        </w:rPr>
        <w:t>，较同期各增长 </w:t>
      </w:r>
      <w:r>
        <w:rPr>
          <w:rFonts w:ascii="Times New Roman" w:eastAsia="Times New Roman"/>
        </w:rPr>
        <w:t>4.7</w:t>
      </w:r>
      <w:r>
        <w:rPr>
          <w:rFonts w:ascii="Times New Roman" w:eastAsia="Times New Roman"/>
          <w:spacing w:val="7"/>
        </w:rPr>
        <w:t> </w:t>
      </w:r>
      <w:r>
        <w:rPr>
          <w:spacing w:val="-24"/>
        </w:rPr>
        <w:t>和 </w:t>
      </w:r>
      <w:r>
        <w:rPr>
          <w:rFonts w:ascii="Times New Roman" w:eastAsia="Times New Roman"/>
        </w:rPr>
        <w:t>8</w:t>
      </w:r>
      <w:r>
        <w:rPr>
          <w:rFonts w:ascii="Times New Roman" w:eastAsia="Times New Roman"/>
          <w:spacing w:val="7"/>
        </w:rPr>
        <w:t> </w:t>
      </w:r>
      <w:r>
        <w:rPr/>
        <w:t>个</w:t>
      </w:r>
      <w:r>
        <w:rPr>
          <w:spacing w:val="-20"/>
        </w:rPr>
        <w:t>百分点。期内，海尔电热水器推出变频瞬热洗科技、</w:t>
      </w:r>
      <w:r>
        <w:rPr>
          <w:rFonts w:ascii="Times New Roman" w:eastAsia="Times New Roman"/>
        </w:rPr>
        <w:t>AI</w:t>
      </w:r>
      <w:r>
        <w:rPr>
          <w:rFonts w:ascii="Times New Roman" w:eastAsia="Times New Roman"/>
          <w:spacing w:val="32"/>
        </w:rPr>
        <w:t> </w:t>
      </w:r>
      <w:r>
        <w:rPr>
          <w:spacing w:val="-4"/>
        </w:rPr>
        <w:t>人工智能技术和净水洗科技三大引领技术， 为用户带来大容量、智能、健康沐浴体验。目前，具有水质清洁功能的产品已占到海尔电热水器</w:t>
      </w:r>
      <w:r>
        <w:rPr>
          <w:rFonts w:ascii="Times New Roman" w:eastAsia="Times New Roman"/>
          <w:spacing w:val="-4"/>
        </w:rPr>
        <w:t>70%</w:t>
      </w:r>
      <w:r>
        <w:rPr>
          <w:spacing w:val="-5"/>
        </w:rPr>
        <w:t>以上的份额。其中，卡萨帝天沐 </w:t>
      </w:r>
      <w:r>
        <w:rPr>
          <w:rFonts w:ascii="Times New Roman" w:eastAsia="Times New Roman"/>
          <w:spacing w:val="-8"/>
        </w:rPr>
        <w:t>SPA</w:t>
      </w:r>
      <w:r>
        <w:rPr>
          <w:rFonts w:ascii="Times New Roman" w:eastAsia="Times New Roman"/>
          <w:spacing w:val="19"/>
        </w:rPr>
        <w:t> </w:t>
      </w:r>
      <w:r>
        <w:rPr>
          <w:spacing w:val="-3"/>
        </w:rPr>
        <w:t>系列更为用户实现无限热水、全家畅浴体验。同时，借</w:t>
      </w:r>
      <w:r>
        <w:rPr>
          <w:spacing w:val="-12"/>
        </w:rPr>
        <w:t>助海尔 </w:t>
      </w:r>
      <w:r>
        <w:rPr>
          <w:rFonts w:ascii="Times New Roman" w:eastAsia="Times New Roman"/>
        </w:rPr>
        <w:t>AI</w:t>
      </w:r>
      <w:r>
        <w:rPr>
          <w:rFonts w:ascii="Times New Roman" w:eastAsia="Times New Roman"/>
          <w:spacing w:val="10"/>
        </w:rPr>
        <w:t> </w:t>
      </w:r>
      <w:r>
        <w:rPr>
          <w:spacing w:val="-8"/>
        </w:rPr>
        <w:t>智能技术、依托 </w:t>
      </w:r>
      <w:r>
        <w:rPr>
          <w:rFonts w:ascii="Times New Roman" w:eastAsia="Times New Roman"/>
        </w:rPr>
        <w:t>U+</w:t>
      </w:r>
      <w:r>
        <w:rPr>
          <w:spacing w:val="-4"/>
        </w:rPr>
        <w:t>大数据平台，海尔电热水器为用户提供智能用水的同时，也可以作为连接浴室或全屋的智慧网器，为用户带来未来生活体验。海尔电热水器优异的产品创新实力和</w:t>
      </w:r>
      <w:r>
        <w:rPr>
          <w:spacing w:val="-6"/>
        </w:rPr>
        <w:t>时尚简约的设计也获得了国际认可，卡萨帝天泉 </w:t>
      </w:r>
      <w:r>
        <w:rPr>
          <w:rFonts w:ascii="Times New Roman" w:eastAsia="Times New Roman"/>
          <w:spacing w:val="-9"/>
        </w:rPr>
        <w:t>SPA</w:t>
      </w:r>
      <w:r>
        <w:rPr>
          <w:rFonts w:ascii="Times New Roman" w:eastAsia="Times New Roman"/>
          <w:spacing w:val="4"/>
        </w:rPr>
        <w:t> </w:t>
      </w:r>
      <w:r>
        <w:rPr>
          <w:spacing w:val="-3"/>
        </w:rPr>
        <w:t>电热水器荣获艾普兰优秀产品奖。</w:t>
      </w:r>
    </w:p>
    <w:p>
      <w:pPr>
        <w:pStyle w:val="BodyText"/>
        <w:spacing w:line="364" w:lineRule="auto" w:before="117"/>
        <w:ind w:left="237" w:right="923" w:firstLine="420"/>
      </w:pPr>
      <w:r>
        <w:rPr>
          <w:spacing w:val="-5"/>
        </w:rPr>
        <w:t>期内，海尔燃气热水器同样表现优异，</w:t>
      </w:r>
      <w:r>
        <w:rPr>
          <w:rFonts w:ascii="Times New Roman" w:eastAsia="Times New Roman"/>
          <w:spacing w:val="-5"/>
        </w:rPr>
        <w:t>618 </w:t>
      </w:r>
      <w:r>
        <w:rPr>
          <w:spacing w:val="-7"/>
        </w:rPr>
        <w:t>期间，本公司燃气热水器零售增幅接近 </w:t>
      </w:r>
      <w:r>
        <w:rPr>
          <w:rFonts w:ascii="Times New Roman" w:eastAsia="Times New Roman"/>
          <w:spacing w:val="-5"/>
        </w:rPr>
        <w:t>100%</w:t>
      </w:r>
      <w:r>
        <w:rPr>
          <w:spacing w:val="-11"/>
        </w:rPr>
        <w:t>，双</w:t>
      </w:r>
      <w:r>
        <w:rPr>
          <w:spacing w:val="1"/>
        </w:rPr>
        <w:t>十一期间，零售增幅超 </w:t>
      </w:r>
      <w:r>
        <w:rPr>
          <w:rFonts w:ascii="Times New Roman" w:eastAsia="Times New Roman"/>
        </w:rPr>
        <w:t>60%</w:t>
      </w:r>
      <w:r>
        <w:rPr/>
        <w:t>。根据中怡康数据显示，</w:t>
      </w:r>
      <w:r>
        <w:rPr>
          <w:rFonts w:ascii="Times New Roman" w:eastAsia="Times New Roman"/>
        </w:rPr>
        <w:t>2020 </w:t>
      </w:r>
      <w:r>
        <w:rPr/>
        <w:t>年公司燃气热水器线上零售额份额达</w:t>
      </w:r>
      <w:r>
        <w:rPr>
          <w:rFonts w:ascii="Times New Roman" w:eastAsia="Times New Roman"/>
        </w:rPr>
        <w:t>16.3%</w:t>
      </w:r>
      <w:r>
        <w:rPr>
          <w:spacing w:val="-10"/>
        </w:rPr>
        <w:t>，同比上升 </w:t>
      </w:r>
      <w:r>
        <w:rPr>
          <w:rFonts w:ascii="Times New Roman" w:eastAsia="Times New Roman"/>
        </w:rPr>
        <w:t>1.7 </w:t>
      </w:r>
      <w:r>
        <w:rPr>
          <w:spacing w:val="-8"/>
        </w:rPr>
        <w:t>个百分点；线下零售份额达 </w:t>
      </w:r>
      <w:r>
        <w:rPr>
          <w:rFonts w:ascii="Times New Roman" w:eastAsia="Times New Roman"/>
        </w:rPr>
        <w:t>15.6%</w:t>
      </w:r>
      <w:r>
        <w:rPr>
          <w:spacing w:val="-11"/>
        </w:rPr>
        <w:t>，同比提升 </w:t>
      </w:r>
      <w:r>
        <w:rPr>
          <w:rFonts w:ascii="Times New Roman" w:eastAsia="Times New Roman"/>
        </w:rPr>
        <w:t>4 </w:t>
      </w:r>
      <w:r>
        <w:rPr>
          <w:spacing w:val="-5"/>
        </w:rPr>
        <w:t>个百分点。期内，新上市的</w:t>
      </w:r>
      <w:r>
        <w:rPr>
          <w:spacing w:val="-4"/>
        </w:rPr>
        <w:t>双增压零冷水产品 </w:t>
      </w:r>
      <w:r>
        <w:rPr>
          <w:rFonts w:ascii="Times New Roman" w:eastAsia="Times New Roman"/>
        </w:rPr>
        <w:t>TR7 </w:t>
      </w:r>
      <w:r>
        <w:rPr>
          <w:spacing w:val="-3"/>
        </w:rPr>
        <w:t>系列，颠覆了用户对燃热产品恒温效果差、抗风差、安全隐患高的顾虑， </w:t>
      </w:r>
      <w:r>
        <w:rPr>
          <w:spacing w:val="-8"/>
        </w:rPr>
        <w:t>一经发布就获得了行业和用户的一致好评，实现 </w:t>
      </w:r>
      <w:r>
        <w:rPr>
          <w:rFonts w:ascii="Times New Roman" w:eastAsia="Times New Roman"/>
        </w:rPr>
        <w:t>5000 </w:t>
      </w:r>
      <w:r>
        <w:rPr>
          <w:spacing w:val="-8"/>
        </w:rPr>
        <w:t>元以下价位段份额翻番。其使用的密闭稳燃</w:t>
      </w:r>
    </w:p>
    <w:p>
      <w:pPr>
        <w:pStyle w:val="BodyText"/>
        <w:spacing w:line="364" w:lineRule="auto"/>
        <w:ind w:left="237" w:right="1028"/>
        <w:jc w:val="both"/>
      </w:pPr>
      <w:r>
        <w:rPr>
          <w:spacing w:val="-7"/>
        </w:rPr>
        <w:t>核心燃烧技术获得中国专利优秀奖，是中国燃热行业 </w:t>
      </w:r>
      <w:r>
        <w:rPr>
          <w:rFonts w:ascii="Times New Roman" w:hAnsi="Times New Roman" w:eastAsia="Times New Roman"/>
        </w:rPr>
        <w:t>40 </w:t>
      </w:r>
      <w:r>
        <w:rPr>
          <w:spacing w:val="-2"/>
        </w:rPr>
        <w:t>年来唯一</w:t>
      </w:r>
      <w:r>
        <w:rPr>
          <w:rFonts w:ascii="Times New Roman" w:hAnsi="Times New Roman" w:eastAsia="Times New Roman"/>
          <w:spacing w:val="-3"/>
        </w:rPr>
        <w:t>“</w:t>
      </w:r>
      <w:r>
        <w:rPr>
          <w:spacing w:val="-2"/>
        </w:rPr>
        <w:t>诺贝尔级</w:t>
      </w:r>
      <w:r>
        <w:rPr>
          <w:rFonts w:ascii="Times New Roman" w:hAnsi="Times New Roman" w:eastAsia="Times New Roman"/>
          <w:spacing w:val="-3"/>
        </w:rPr>
        <w:t>”</w:t>
      </w:r>
      <w:r>
        <w:rPr>
          <w:spacing w:val="-9"/>
        </w:rPr>
        <w:t>专利。另外，海尔还</w:t>
      </w:r>
      <w:r>
        <w:rPr>
          <w:spacing w:val="-13"/>
        </w:rPr>
        <w:t>制定了零冷水产品团体标准《家用燃气快速热水器带预热功能的特殊要求》，成为行业零冷水的标杆。</w:t>
      </w:r>
      <w:r>
        <w:rPr>
          <w:rFonts w:ascii="Times New Roman" w:hAnsi="Times New Roman" w:eastAsia="Times New Roman"/>
          <w:spacing w:val="-13"/>
        </w:rPr>
        <w:t>2020 </w:t>
      </w:r>
      <w:r>
        <w:rPr>
          <w:spacing w:val="-16"/>
        </w:rPr>
        <w:t>年 </w:t>
      </w:r>
      <w:r>
        <w:rPr>
          <w:rFonts w:ascii="Times New Roman" w:hAnsi="Times New Roman" w:eastAsia="Times New Roman"/>
        </w:rPr>
        <w:t>6 </w:t>
      </w:r>
      <w:r>
        <w:rPr>
          <w:spacing w:val="-16"/>
        </w:rPr>
        <w:t>月 </w:t>
      </w:r>
      <w:r>
        <w:rPr>
          <w:rFonts w:ascii="Times New Roman" w:hAnsi="Times New Roman" w:eastAsia="Times New Roman"/>
        </w:rPr>
        <w:t>8 </w:t>
      </w:r>
      <w:r>
        <w:rPr>
          <w:spacing w:val="-6"/>
        </w:rPr>
        <w:t>日，卡萨帝燃气热水器 </w:t>
      </w:r>
      <w:r>
        <w:rPr>
          <w:rFonts w:ascii="Times New Roman" w:hAnsi="Times New Roman" w:eastAsia="Times New Roman"/>
        </w:rPr>
        <w:t>CX3 </w:t>
      </w:r>
      <w:r>
        <w:rPr>
          <w:spacing w:val="-3"/>
        </w:rPr>
        <w:t>被中国家电研究院评选认证为行业</w:t>
      </w:r>
      <w:r>
        <w:rPr>
          <w:rFonts w:ascii="Times New Roman" w:hAnsi="Times New Roman" w:eastAsia="Times New Roman"/>
          <w:spacing w:val="-3"/>
        </w:rPr>
        <w:t>“</w:t>
      </w:r>
      <w:r>
        <w:rPr>
          <w:spacing w:val="-3"/>
        </w:rPr>
        <w:t>七星级智能</w:t>
      </w:r>
      <w:r>
        <w:rPr>
          <w:rFonts w:ascii="Times New Roman" w:hAnsi="Times New Roman" w:eastAsia="Times New Roman"/>
        </w:rPr>
        <w:t>” </w:t>
      </w:r>
      <w:r>
        <w:rPr>
          <w:spacing w:val="-11"/>
        </w:rPr>
        <w:t>燃气热水器。行业引领产品卡萨帝 </w:t>
      </w:r>
      <w:r>
        <w:rPr>
          <w:rFonts w:ascii="Times New Roman" w:hAnsi="Times New Roman" w:eastAsia="Times New Roman"/>
        </w:rPr>
        <w:t>CR6 </w:t>
      </w:r>
      <w:r>
        <w:rPr>
          <w:spacing w:val="-3"/>
        </w:rPr>
        <w:t>系列零冷水瀑布洗产品推动卡萨帝燃热热水器实现翻番增长。</w:t>
      </w:r>
    </w:p>
    <w:p>
      <w:pPr>
        <w:pStyle w:val="BodyText"/>
        <w:spacing w:line="364" w:lineRule="auto" w:before="116"/>
        <w:ind w:left="237" w:right="1028" w:firstLine="420"/>
        <w:jc w:val="both"/>
      </w:pPr>
      <w:r>
        <w:rPr>
          <w:spacing w:val="-5"/>
        </w:rPr>
        <w:t>期内，海尔空气能加快了对高水温、除菌等健康型产品的研发节奏，同时以全年累计超 </w:t>
      </w:r>
      <w:r>
        <w:rPr>
          <w:rFonts w:ascii="Times New Roman" w:eastAsia="Times New Roman"/>
        </w:rPr>
        <w:t>55% </w:t>
      </w:r>
      <w:r>
        <w:rPr>
          <w:spacing w:val="-4"/>
        </w:rPr>
        <w:t>的线下零售份额独占鳌头，线上以 </w:t>
      </w:r>
      <w:r>
        <w:rPr>
          <w:rFonts w:ascii="Times New Roman" w:eastAsia="Times New Roman"/>
        </w:rPr>
        <w:t>48%</w:t>
      </w:r>
      <w:r>
        <w:rPr>
          <w:spacing w:val="-3"/>
        </w:rPr>
        <w:t>的份额占据行业首位，</w:t>
      </w:r>
      <w:r>
        <w:rPr>
          <w:rFonts w:ascii="Times New Roman" w:eastAsia="Times New Roman"/>
        </w:rPr>
        <w:t>10000 </w:t>
      </w:r>
      <w:r>
        <w:rPr>
          <w:spacing w:val="-3"/>
        </w:rPr>
        <w:t>元以上的高端价位段份额达</w:t>
      </w:r>
      <w:r>
        <w:rPr>
          <w:spacing w:val="-26"/>
        </w:rPr>
        <w:t>到 </w:t>
      </w:r>
      <w:r>
        <w:rPr>
          <w:rFonts w:ascii="Times New Roman" w:eastAsia="Times New Roman"/>
        </w:rPr>
        <w:t>25%</w:t>
      </w:r>
      <w:r>
        <w:rPr>
          <w:spacing w:val="4"/>
        </w:rPr>
        <w:t>。空气能热水器</w:t>
      </w:r>
      <w:r>
        <w:rPr>
          <w:rFonts w:ascii="Times New Roman" w:eastAsia="Times New Roman"/>
          <w:spacing w:val="-3"/>
        </w:rPr>
        <w:t>TOP10 </w:t>
      </w:r>
      <w:r>
        <w:rPr>
          <w:spacing w:val="-3"/>
        </w:rPr>
        <w:t>畅销型号榜单中，海尔独占九席，全面领跑行业。</w:t>
      </w:r>
    </w:p>
    <w:p>
      <w:pPr>
        <w:pStyle w:val="Heading4"/>
        <w:numPr>
          <w:ilvl w:val="0"/>
          <w:numId w:val="9"/>
        </w:numPr>
        <w:tabs>
          <w:tab w:pos="1187" w:val="left" w:leader="none"/>
        </w:tabs>
        <w:spacing w:line="240" w:lineRule="auto" w:before="48" w:after="0"/>
        <w:ind w:left="1186" w:right="0" w:hanging="530"/>
        <w:jc w:val="left"/>
      </w:pPr>
      <w:r>
        <w:rPr/>
        <w:t>净水机业务</w:t>
      </w:r>
    </w:p>
    <w:p>
      <w:pPr>
        <w:pStyle w:val="BodyText"/>
        <w:spacing w:before="11"/>
        <w:rPr>
          <w:rFonts w:ascii="Microsoft JhengHei"/>
          <w:b/>
          <w:sz w:val="11"/>
        </w:rPr>
      </w:pPr>
    </w:p>
    <w:p>
      <w:pPr>
        <w:pStyle w:val="BodyText"/>
        <w:ind w:left="657"/>
      </w:pPr>
      <w:r>
        <w:rPr/>
        <w:t>根据中怡康零售监测报告，线上整体市场行业零售额增幅 </w:t>
      </w:r>
      <w:r>
        <w:rPr>
          <w:rFonts w:ascii="Times New Roman" w:eastAsia="Times New Roman"/>
        </w:rPr>
        <w:t>32.4%</w:t>
      </w:r>
      <w:r>
        <w:rPr/>
        <w:t>，海尔表现优于行业，增幅</w:t>
      </w:r>
    </w:p>
    <w:p>
      <w:pPr>
        <w:spacing w:after="0"/>
        <w:sectPr>
          <w:pgSz w:w="11910" w:h="16840"/>
          <w:pgMar w:header="874" w:footer="1214" w:top="1360" w:bottom="1400" w:left="1040" w:right="760"/>
        </w:sectPr>
      </w:pPr>
    </w:p>
    <w:p>
      <w:pPr>
        <w:pStyle w:val="BodyText"/>
        <w:spacing w:line="364" w:lineRule="auto" w:before="68"/>
        <w:ind w:left="237" w:right="1028"/>
        <w:jc w:val="both"/>
      </w:pPr>
      <w:r>
        <w:rPr>
          <w:spacing w:val="-16"/>
        </w:rPr>
        <w:t>达 </w:t>
      </w:r>
      <w:r>
        <w:rPr>
          <w:rFonts w:ascii="Times New Roman" w:eastAsia="Times New Roman"/>
          <w:spacing w:val="-2"/>
        </w:rPr>
        <w:t>41.1%</w:t>
      </w:r>
      <w:r>
        <w:rPr>
          <w:spacing w:val="-6"/>
        </w:rPr>
        <w:t>，市场排名第一，份额同比提升 </w:t>
      </w:r>
      <w:r>
        <w:rPr>
          <w:rFonts w:ascii="Times New Roman" w:eastAsia="Times New Roman"/>
          <w:spacing w:val="-3"/>
        </w:rPr>
        <w:t>0.8%</w:t>
      </w:r>
      <w:r>
        <w:rPr>
          <w:spacing w:val="-4"/>
        </w:rPr>
        <w:t>，实现持续引领；线下整体市场行业零售额增速下</w:t>
      </w:r>
      <w:r>
        <w:rPr>
          <w:spacing w:val="-10"/>
        </w:rPr>
        <w:t>降 </w:t>
      </w:r>
      <w:r>
        <w:rPr>
          <w:rFonts w:ascii="Times New Roman" w:eastAsia="Times New Roman"/>
        </w:rPr>
        <w:t>22.8%</w:t>
      </w:r>
      <w:r>
        <w:rPr>
          <w:spacing w:val="-5"/>
        </w:rPr>
        <w:t>，海尔逆势增长 </w:t>
      </w:r>
      <w:r>
        <w:rPr>
          <w:rFonts w:ascii="Times New Roman" w:eastAsia="Times New Roman"/>
        </w:rPr>
        <w:t>8.8%</w:t>
      </w:r>
      <w:r>
        <w:rPr>
          <w:spacing w:val="-4"/>
        </w:rPr>
        <w:t>，成为名次前五品牌中唯一零售正增长的品牌，份额同比提升 </w:t>
      </w:r>
      <w:r>
        <w:rPr>
          <w:rFonts w:ascii="Times New Roman" w:eastAsia="Times New Roman"/>
        </w:rPr>
        <w:t>3.8 </w:t>
      </w:r>
      <w:r>
        <w:rPr>
          <w:spacing w:val="-1"/>
        </w:rPr>
        <w:t>个百分点。</w:t>
      </w:r>
    </w:p>
    <w:p>
      <w:pPr>
        <w:pStyle w:val="BodyText"/>
        <w:spacing w:line="364" w:lineRule="auto" w:before="120"/>
        <w:ind w:left="237" w:right="1028" w:firstLine="420"/>
        <w:jc w:val="both"/>
      </w:pPr>
      <w:r>
        <w:rPr>
          <w:spacing w:val="-13"/>
        </w:rPr>
        <w:t>据中怡康数据，家用末端净水方面，海尔净水产品在线上零售市场份额达 </w:t>
      </w:r>
      <w:r>
        <w:rPr>
          <w:rFonts w:ascii="Times New Roman" w:eastAsia="Times New Roman"/>
          <w:spacing w:val="-11"/>
        </w:rPr>
        <w:t>13.2%</w:t>
      </w:r>
      <w:r>
        <w:rPr>
          <w:spacing w:val="-4"/>
        </w:rPr>
        <w:t>，跃居第一； </w:t>
      </w:r>
      <w:r>
        <w:rPr>
          <w:spacing w:val="3"/>
        </w:rPr>
        <w:t>线下增幅达 </w:t>
      </w:r>
      <w:r>
        <w:rPr>
          <w:rFonts w:ascii="Times New Roman" w:eastAsia="Times New Roman"/>
        </w:rPr>
        <w:t>7%</w:t>
      </w:r>
      <w:r>
        <w:rPr>
          <w:spacing w:val="-1"/>
        </w:rPr>
        <w:t>，成为前五品牌中唯一正增长品牌。全屋净水方面，海尔净水通过为用户提供套</w:t>
      </w:r>
      <w:r>
        <w:rPr>
          <w:spacing w:val="-4"/>
        </w:rPr>
        <w:t>系化、差异化智慧全屋用水解决方案，实现全屋成套中央净软场景销售突破 </w:t>
      </w:r>
      <w:r>
        <w:rPr>
          <w:rFonts w:ascii="Times New Roman" w:eastAsia="Times New Roman"/>
        </w:rPr>
        <w:t>11000</w:t>
      </w:r>
      <w:r>
        <w:rPr>
          <w:rFonts w:ascii="Times New Roman" w:eastAsia="Times New Roman"/>
          <w:spacing w:val="26"/>
        </w:rPr>
        <w:t> </w:t>
      </w:r>
      <w:r>
        <w:rPr>
          <w:spacing w:val="-3"/>
        </w:rPr>
        <w:t>套，客厅净饮</w:t>
      </w:r>
      <w:r>
        <w:rPr>
          <w:spacing w:val="-12"/>
        </w:rPr>
        <w:t>场景突破 </w:t>
      </w:r>
      <w:r>
        <w:rPr>
          <w:rFonts w:ascii="Times New Roman" w:eastAsia="Times New Roman"/>
        </w:rPr>
        <w:t>46000</w:t>
      </w:r>
      <w:r>
        <w:rPr>
          <w:rFonts w:ascii="Times New Roman" w:eastAsia="Times New Roman"/>
          <w:spacing w:val="5"/>
        </w:rPr>
        <w:t> </w:t>
      </w:r>
      <w:r>
        <w:rPr>
          <w:spacing w:val="-16"/>
        </w:rPr>
        <w:t>套。同时，海尔 </w:t>
      </w:r>
      <w:r>
        <w:rPr>
          <w:rFonts w:ascii="Times New Roman" w:eastAsia="Times New Roman"/>
        </w:rPr>
        <w:t>BWT</w:t>
      </w:r>
      <w:r>
        <w:rPr>
          <w:rFonts w:ascii="Times New Roman" w:eastAsia="Times New Roman"/>
          <w:spacing w:val="5"/>
        </w:rPr>
        <w:t> </w:t>
      </w:r>
      <w:r>
        <w:rPr>
          <w:spacing w:val="6"/>
        </w:rPr>
        <w:t>合资公司凭借</w:t>
      </w:r>
      <w:r>
        <w:rPr>
          <w:rFonts w:ascii="Times New Roman" w:eastAsia="Times New Roman"/>
        </w:rPr>
        <w:t>BWT</w:t>
      </w:r>
      <w:r>
        <w:rPr>
          <w:rFonts w:ascii="Times New Roman" w:eastAsia="Times New Roman"/>
          <w:spacing w:val="6"/>
        </w:rPr>
        <w:t> </w:t>
      </w:r>
      <w:r>
        <w:rPr>
          <w:spacing w:val="-5"/>
        </w:rPr>
        <w:t>在高端全屋用水领域的品牌知名度，与</w:t>
      </w:r>
      <w:r>
        <w:rPr>
          <w:spacing w:val="-4"/>
        </w:rPr>
        <w:t>国内知名地产商成功开展全屋用水工程合作。</w:t>
      </w:r>
    </w:p>
    <w:p>
      <w:pPr>
        <w:pStyle w:val="BodyText"/>
        <w:spacing w:line="364" w:lineRule="auto" w:before="117"/>
        <w:ind w:left="237" w:right="1031" w:firstLine="420"/>
      </w:pPr>
      <w:r>
        <w:rPr/>
        <w:t>期内，净水产业主推高端卡萨帝矿物质水净水机云鲸系列，围绕用户差异化水质需求，提供富锶的矿物质水解决方案，满足用户健康需求。产品一经上市引起了用户的广泛关注和购买。</w:t>
      </w:r>
    </w:p>
    <w:p>
      <w:pPr>
        <w:pStyle w:val="Heading4"/>
        <w:numPr>
          <w:ilvl w:val="0"/>
          <w:numId w:val="9"/>
        </w:numPr>
        <w:tabs>
          <w:tab w:pos="1187" w:val="left" w:leader="none"/>
        </w:tabs>
        <w:spacing w:line="240" w:lineRule="auto" w:before="50" w:after="0"/>
        <w:ind w:left="1186" w:right="0" w:hanging="530"/>
        <w:jc w:val="left"/>
      </w:pPr>
      <w:r>
        <w:rPr/>
        <w:t>水联网</w:t>
      </w:r>
    </w:p>
    <w:p>
      <w:pPr>
        <w:pStyle w:val="BodyText"/>
        <w:spacing w:line="364" w:lineRule="auto" w:before="91"/>
        <w:ind w:left="237" w:right="1038" w:firstLine="420"/>
        <w:jc w:val="both"/>
      </w:pPr>
      <w:r>
        <w:rPr/>
        <w:t>为了满足用户美好用水生活的需求，海尔智慧用水全屋方案将全屋净水、全屋软水、全屋热水和全屋采暖一站式配齐。此外，卡萨帝采暖炉可以实现远程操控，在用户回家之前就提前预热好房间，还可以根据用户的生活节奏，分时段预约加热，避免过度使用，更加节能环保。</w:t>
      </w:r>
    </w:p>
    <w:p>
      <w:pPr>
        <w:pStyle w:val="Heading4"/>
        <w:spacing w:line="316" w:lineRule="exact"/>
        <w:ind w:left="520"/>
      </w:pPr>
      <w:r>
        <w:rPr>
          <w:rFonts w:ascii="Times New Roman" w:eastAsia="Times New Roman"/>
          <w:color w:val="221F1F"/>
        </w:rPr>
        <w:t>5</w:t>
      </w:r>
      <w:r>
        <w:rPr>
          <w:color w:val="221F1F"/>
        </w:rPr>
        <w:t>、中国区平台业务</w:t>
      </w:r>
    </w:p>
    <w:p>
      <w:pPr>
        <w:pStyle w:val="BodyText"/>
        <w:spacing w:line="364" w:lineRule="auto" w:before="91"/>
        <w:ind w:left="237" w:right="1031" w:firstLine="420"/>
        <w:jc w:val="both"/>
      </w:pPr>
      <w:r>
        <w:rPr>
          <w:rFonts w:ascii="Times New Roman" w:eastAsia="Times New Roman"/>
        </w:rPr>
        <w:t>2020 </w:t>
      </w:r>
      <w:r>
        <w:rPr>
          <w:spacing w:val="-17"/>
        </w:rPr>
        <w:t>年，面对疫情挑战，本公司加强电商平台合作，并升级自有智家 </w:t>
      </w:r>
      <w:r>
        <w:rPr>
          <w:rFonts w:ascii="Times New Roman" w:eastAsia="Times New Roman"/>
        </w:rPr>
        <w:t>App</w:t>
      </w:r>
      <w:r>
        <w:rPr>
          <w:spacing w:val="-10"/>
        </w:rPr>
        <w:t>、深化全渠道融合。</w:t>
      </w:r>
      <w:r>
        <w:rPr>
          <w:spacing w:val="-5"/>
        </w:rPr>
        <w:t>同时，整合家居、建材等多方资源，打造全新智家体验店。</w:t>
      </w:r>
    </w:p>
    <w:p>
      <w:pPr>
        <w:pStyle w:val="BodyText"/>
        <w:spacing w:line="364" w:lineRule="auto" w:before="1"/>
        <w:ind w:left="237" w:right="1038" w:firstLine="420"/>
        <w:jc w:val="both"/>
      </w:pPr>
      <w:r>
        <w:rPr/>
        <w:t>智家体验店从产品销售升级为围绕衣食住娱场景，为用户提供成套展示及销售，打造售前设计、售中沉浸式体验及售后保养一站式服务。基于不断深化的智慧场景能力布局，以及上述资源的充分整合，公司年内推出新的生态场景品牌</w:t>
      </w:r>
      <w:r>
        <w:rPr>
          <w:rFonts w:ascii="Times New Roman" w:hAnsi="Times New Roman" w:eastAsia="Times New Roman"/>
        </w:rPr>
        <w:t>“</w:t>
      </w:r>
      <w:r>
        <w:rPr/>
        <w:t>三翼鸟</w:t>
      </w:r>
      <w:r>
        <w:rPr>
          <w:rFonts w:ascii="Times New Roman" w:hAnsi="Times New Roman" w:eastAsia="Times New Roman"/>
        </w:rPr>
        <w:t>”</w:t>
      </w:r>
      <w:r>
        <w:rPr/>
        <w:t>，聚焦用户智慧家庭全流程解决方案，开辟新赛道。</w:t>
      </w:r>
    </w:p>
    <w:p>
      <w:pPr>
        <w:pStyle w:val="BodyText"/>
        <w:spacing w:line="364" w:lineRule="auto"/>
        <w:ind w:left="237" w:right="1028" w:firstLine="420"/>
        <w:jc w:val="both"/>
      </w:pPr>
      <w:r>
        <w:rPr>
          <w:spacing w:val="-3"/>
        </w:rPr>
        <w:t>期内，公司在如下几方面都取得长足的发展。电商渠道方面，公司充分响应用户日益增长的在线消费需求，积极拓展电商渠道产品，加强品牌布局。同时，利用数字化工具，通过深化内容</w:t>
      </w:r>
      <w:r>
        <w:rPr>
          <w:spacing w:val="-23"/>
        </w:rPr>
        <w:t>营销，与用户形成高频互动，有效提升用户粘性和转换率。期内，公司电商整体零售额增幅 </w:t>
      </w:r>
      <w:r>
        <w:rPr>
          <w:rFonts w:ascii="Times New Roman" w:hAnsi="Times New Roman" w:eastAsia="Times New Roman"/>
        </w:rPr>
        <w:t>39.2%</w:t>
      </w:r>
      <w:r>
        <w:rPr/>
        <w:t>， </w:t>
      </w:r>
      <w:r>
        <w:rPr>
          <w:spacing w:val="-12"/>
        </w:rPr>
        <w:t>达到 </w:t>
      </w:r>
      <w:r>
        <w:rPr>
          <w:rFonts w:ascii="Times New Roman" w:hAnsi="Times New Roman" w:eastAsia="Times New Roman"/>
        </w:rPr>
        <w:t>522 </w:t>
      </w:r>
      <w:r>
        <w:rPr>
          <w:spacing w:val="-3"/>
        </w:rPr>
        <w:t>亿，居于行业第一，其中在双十一电商购物节，根据中怡康监测数据，海尔线上零售额</w:t>
      </w:r>
      <w:r>
        <w:rPr>
          <w:spacing w:val="-11"/>
        </w:rPr>
        <w:t>份额达 </w:t>
      </w:r>
      <w:r>
        <w:rPr>
          <w:rFonts w:ascii="Times New Roman" w:hAnsi="Times New Roman" w:eastAsia="Times New Roman"/>
        </w:rPr>
        <w:t>22.4%</w:t>
      </w:r>
      <w:r>
        <w:rPr>
          <w:spacing w:val="-3"/>
        </w:rPr>
        <w:t>，位居大家电排名第一。此外，公司在线上的高端产品占比不断增加，用户满意度不断改善，保持领先水平。工程渠道方面，公司由全屋智慧家庭及商用工程切入，建立基于全流程服务能力保障</w:t>
      </w:r>
      <w:r>
        <w:rPr>
          <w:rFonts w:ascii="Times New Roman" w:hAnsi="Times New Roman" w:eastAsia="Times New Roman"/>
        </w:rPr>
        <w:t>“</w:t>
      </w:r>
      <w:r>
        <w:rPr>
          <w:spacing w:val="-3"/>
        </w:rPr>
        <w:t>需求零遗漏、订单零时差、服务零距离</w:t>
      </w:r>
      <w:r>
        <w:rPr>
          <w:rFonts w:ascii="Times New Roman" w:hAnsi="Times New Roman" w:eastAsia="Times New Roman"/>
          <w:spacing w:val="-3"/>
        </w:rPr>
        <w:t>”</w:t>
      </w:r>
      <w:r>
        <w:rPr>
          <w:spacing w:val="-3"/>
        </w:rPr>
        <w:t>的运营体系，实现在多个品类的快速增</w:t>
      </w:r>
      <w:r>
        <w:rPr>
          <w:spacing w:val="-17"/>
        </w:rPr>
        <w:t>长。其中，厨电业务通过卡萨帝与 </w:t>
      </w:r>
      <w:r>
        <w:rPr>
          <w:rFonts w:ascii="Times New Roman" w:hAnsi="Times New Roman" w:eastAsia="Times New Roman"/>
        </w:rPr>
        <w:t>GEA </w:t>
      </w:r>
      <w:r>
        <w:rPr>
          <w:spacing w:val="-15"/>
        </w:rPr>
        <w:t>的品牌组合，实现对多价位段工程的覆盖，获得快速增长。</w:t>
      </w:r>
      <w:r>
        <w:rPr>
          <w:spacing w:val="-7"/>
        </w:rPr>
        <w:t>专卖店渠道方面，由于上半年疫情对整体消费市场的冲击，销售收入出现下滑，下半年恢复趋势</w:t>
      </w:r>
      <w:r>
        <w:rPr>
          <w:spacing w:val="-5"/>
        </w:rPr>
        <w:t>明显，冰冷、洗衣机、热水器等主要品类均实现了高于行业的增速。</w:t>
      </w:r>
    </w:p>
    <w:p>
      <w:pPr>
        <w:pStyle w:val="BodyText"/>
        <w:spacing w:line="364" w:lineRule="auto"/>
        <w:ind w:left="237" w:right="1038" w:firstLine="420"/>
      </w:pPr>
      <w:r>
        <w:rPr/>
        <w:t>报告期内，公司持续推进三翼鸟场景品牌落地，不断丰富智家体验云、促进线上线下渠道融合，并借助数字化平台提升精细化运营能力。</w:t>
      </w:r>
    </w:p>
    <w:p>
      <w:pPr>
        <w:spacing w:after="0" w:line="364" w:lineRule="auto"/>
        <w:sectPr>
          <w:pgSz w:w="11910" w:h="16840"/>
          <w:pgMar w:header="874" w:footer="1214" w:top="1360" w:bottom="1400" w:left="1040" w:right="760"/>
        </w:sectPr>
      </w:pPr>
    </w:p>
    <w:p>
      <w:pPr>
        <w:pStyle w:val="BodyText"/>
        <w:spacing w:before="68"/>
        <w:ind w:left="657"/>
      </w:pPr>
      <w:r>
        <w:rPr/>
        <w:t>首先，基于场景品牌三翼鸟，提供一站式定制服务能力。</w:t>
      </w:r>
    </w:p>
    <w:p>
      <w:pPr>
        <w:pStyle w:val="BodyText"/>
        <w:spacing w:before="3"/>
        <w:rPr>
          <w:sz w:val="20"/>
        </w:rPr>
      </w:pPr>
    </w:p>
    <w:p>
      <w:pPr>
        <w:pStyle w:val="BodyText"/>
        <w:spacing w:line="364" w:lineRule="auto"/>
        <w:ind w:left="237" w:right="1028" w:firstLine="420"/>
        <w:jc w:val="both"/>
      </w:pPr>
      <w:r>
        <w:rPr>
          <w:spacing w:val="-3"/>
        </w:rPr>
        <w:t>依托在高端、成套、智慧产品及生态资源上的深厚积淀，公司重新定义消费场景，围绕</w:t>
      </w:r>
      <w:r>
        <w:rPr>
          <w:rFonts w:ascii="Times New Roman" w:hAnsi="Times New Roman" w:eastAsia="Times New Roman"/>
        </w:rPr>
        <w:t>“</w:t>
      </w:r>
      <w:r>
        <w:rPr/>
        <w:t>家</w:t>
      </w:r>
      <w:r>
        <w:rPr>
          <w:rFonts w:ascii="Times New Roman" w:hAnsi="Times New Roman" w:eastAsia="Times New Roman"/>
        </w:rPr>
        <w:t>” </w:t>
      </w:r>
      <w:r>
        <w:rPr>
          <w:spacing w:val="-11"/>
        </w:rPr>
        <w:t>的需求，于 </w:t>
      </w:r>
      <w:r>
        <w:rPr>
          <w:rFonts w:ascii="Times New Roman" w:hAnsi="Times New Roman" w:eastAsia="Times New Roman"/>
        </w:rPr>
        <w:t>2020 </w:t>
      </w:r>
      <w:r>
        <w:rPr>
          <w:spacing w:val="-21"/>
        </w:rPr>
        <w:t>年 </w:t>
      </w:r>
      <w:r>
        <w:rPr>
          <w:rFonts w:ascii="Times New Roman" w:hAnsi="Times New Roman" w:eastAsia="Times New Roman"/>
        </w:rPr>
        <w:t>9 </w:t>
      </w:r>
      <w:r>
        <w:rPr>
          <w:spacing w:val="-9"/>
        </w:rPr>
        <w:t>月推出全新场景品牌三翼鸟，为用户提供阳台、厨房、客厅、浴室、卧室等智慧家庭全场景解决方案。同时，借助丰富的服务网络资源，积极打造 </w:t>
      </w:r>
      <w:r>
        <w:rPr>
          <w:rFonts w:ascii="Times New Roman" w:hAnsi="Times New Roman" w:eastAsia="Times New Roman"/>
        </w:rPr>
        <w:t>1+N </w:t>
      </w:r>
      <w:r>
        <w:rPr>
          <w:spacing w:val="-4"/>
        </w:rPr>
        <w:t>服务体系，仅需通过</w:t>
      </w:r>
      <w:r>
        <w:rPr>
          <w:spacing w:val="-7"/>
        </w:rPr>
        <w:t>一个服务管家、一个项目经理，即可协同家电服务人员、成套服务商、经销商、家装公司等</w:t>
      </w:r>
      <w:r>
        <w:rPr>
          <w:rFonts w:ascii="Times New Roman" w:hAnsi="Times New Roman" w:eastAsia="Times New Roman"/>
        </w:rPr>
        <w:t>N </w:t>
      </w:r>
      <w:r>
        <w:rPr/>
        <w:t>个</w:t>
      </w:r>
      <w:r>
        <w:rPr>
          <w:spacing w:val="-3"/>
        </w:rPr>
        <w:t>资源方，为用户提供集家电、家装、暖通、全屋智能等服务需求于一体的整体解决方案。</w:t>
      </w:r>
    </w:p>
    <w:p>
      <w:pPr>
        <w:pStyle w:val="BodyText"/>
        <w:spacing w:line="364" w:lineRule="auto" w:before="118"/>
        <w:ind w:left="237" w:right="1028" w:firstLine="420"/>
        <w:jc w:val="both"/>
      </w:pPr>
      <w:r>
        <w:rPr>
          <w:spacing w:val="-6"/>
        </w:rPr>
        <w:t>例如，洗衣机产业围绕</w:t>
      </w:r>
      <w:r>
        <w:rPr>
          <w:rFonts w:ascii="Times New Roman" w:hAnsi="Times New Roman" w:eastAsia="Times New Roman"/>
        </w:rPr>
        <w:t>“</w:t>
      </w:r>
      <w:r>
        <w:rPr>
          <w:spacing w:val="-3"/>
        </w:rPr>
        <w:t>以穿为主线</w:t>
      </w:r>
      <w:r>
        <w:rPr>
          <w:rFonts w:ascii="Times New Roman" w:hAnsi="Times New Roman" w:eastAsia="Times New Roman"/>
          <w:spacing w:val="-3"/>
        </w:rPr>
        <w:t>”</w:t>
      </w:r>
      <w:r>
        <w:rPr>
          <w:spacing w:val="-10"/>
        </w:rPr>
        <w:t>的场景，成功开发智慧阳台、智慧衣帽间等 </w:t>
      </w:r>
      <w:r>
        <w:rPr>
          <w:rFonts w:ascii="Times New Roman" w:hAnsi="Times New Roman" w:eastAsia="Times New Roman"/>
        </w:rPr>
        <w:t>15 </w:t>
      </w:r>
      <w:r>
        <w:rPr>
          <w:spacing w:val="-2"/>
        </w:rPr>
        <w:t>个场景解</w:t>
      </w:r>
      <w:r>
        <w:rPr>
          <w:spacing w:val="-3"/>
        </w:rPr>
        <w:t>决方案，为用户打造集洗、护、存、搭、购等于一体的衣物全生命周期服务。以智慧阳台的搭建为例，三翼鸟基于不同用户需求，提供个性化阳台场景方案，以及设计、施工、配套送装等一站</w:t>
      </w:r>
      <w:r>
        <w:rPr>
          <w:spacing w:val="-10"/>
        </w:rPr>
        <w:t>式服务，并最快 </w:t>
      </w:r>
      <w:r>
        <w:rPr>
          <w:rFonts w:ascii="Times New Roman" w:hAnsi="Times New Roman" w:eastAsia="Times New Roman"/>
        </w:rPr>
        <w:t>3 </w:t>
      </w:r>
      <w:r>
        <w:rPr>
          <w:spacing w:val="-3"/>
        </w:rPr>
        <w:t>天即可完成施工。</w:t>
      </w:r>
    </w:p>
    <w:p>
      <w:pPr>
        <w:pStyle w:val="BodyText"/>
        <w:spacing w:line="364" w:lineRule="auto" w:before="119"/>
        <w:ind w:left="237" w:right="1031" w:firstLine="420"/>
        <w:jc w:val="both"/>
      </w:pPr>
      <w:r>
        <w:rPr>
          <w:spacing w:val="-5"/>
        </w:rPr>
        <w:t>截止年末，公司已通过新建及改造的方式推出 </w:t>
      </w:r>
      <w:r>
        <w:rPr>
          <w:rFonts w:ascii="Times New Roman" w:eastAsia="Times New Roman"/>
        </w:rPr>
        <w:t>325 </w:t>
      </w:r>
      <w:r>
        <w:rPr>
          <w:spacing w:val="-10"/>
        </w:rPr>
        <w:t>家三翼鸟 </w:t>
      </w:r>
      <w:r>
        <w:rPr>
          <w:rFonts w:ascii="Times New Roman" w:eastAsia="Times New Roman"/>
        </w:rPr>
        <w:t>001 </w:t>
      </w:r>
      <w:r>
        <w:rPr>
          <w:spacing w:val="-3"/>
        </w:rPr>
        <w:t>号店，实现核心城市的全覆</w:t>
      </w:r>
      <w:r>
        <w:rPr>
          <w:spacing w:val="-5"/>
        </w:rPr>
        <w:t>盖。三翼鸟场景方案有效带动公司成套产品销售，成套产品销量同比增长 </w:t>
      </w:r>
      <w:r>
        <w:rPr>
          <w:rFonts w:ascii="Times New Roman" w:eastAsia="Times New Roman"/>
          <w:spacing w:val="-3"/>
        </w:rPr>
        <w:t>41%</w:t>
      </w:r>
      <w:r>
        <w:rPr>
          <w:spacing w:val="-3"/>
        </w:rPr>
        <w:t>；其中高端智慧成</w:t>
      </w:r>
      <w:r>
        <w:rPr>
          <w:spacing w:val="-10"/>
        </w:rPr>
        <w:t>套销量同比增长 </w:t>
      </w:r>
      <w:r>
        <w:rPr>
          <w:rFonts w:ascii="Times New Roman" w:eastAsia="Times New Roman"/>
        </w:rPr>
        <w:t>63.2%</w:t>
      </w:r>
      <w:r>
        <w:rPr/>
        <w:t>。</w:t>
      </w:r>
    </w:p>
    <w:p>
      <w:pPr>
        <w:pStyle w:val="BodyText"/>
        <w:spacing w:before="119"/>
        <w:ind w:left="657"/>
      </w:pPr>
      <w:r>
        <w:rPr/>
        <w:t>其次，打造物联网时代体验云平台。</w:t>
      </w:r>
    </w:p>
    <w:p>
      <w:pPr>
        <w:pStyle w:val="BodyText"/>
        <w:spacing w:before="3"/>
        <w:rPr>
          <w:sz w:val="20"/>
        </w:rPr>
      </w:pPr>
    </w:p>
    <w:p>
      <w:pPr>
        <w:pStyle w:val="BodyText"/>
        <w:spacing w:line="364" w:lineRule="auto"/>
        <w:ind w:left="237" w:right="1038" w:firstLine="420"/>
        <w:jc w:val="both"/>
      </w:pPr>
      <w:r>
        <w:rPr>
          <w:spacing w:val="-3"/>
        </w:rPr>
        <w:t>海尔自建和自运营的线上众播平台</w:t>
      </w:r>
      <w:r>
        <w:rPr>
          <w:rFonts w:ascii="Times New Roman" w:hAnsi="Times New Roman" w:eastAsia="Times New Roman"/>
        </w:rPr>
        <w:t>——</w:t>
      </w:r>
      <w:r>
        <w:rPr>
          <w:spacing w:val="-9"/>
        </w:rPr>
        <w:t>海尔智家 </w:t>
      </w:r>
      <w:r>
        <w:rPr>
          <w:rFonts w:ascii="Times New Roman" w:hAnsi="Times New Roman" w:eastAsia="Times New Roman"/>
        </w:rPr>
        <w:t>App</w:t>
      </w:r>
      <w:r>
        <w:rPr>
          <w:spacing w:val="-3"/>
        </w:rPr>
        <w:t>，汇聚丰富的在线内容，吸引用户观看涵盖衣食住娱等全场景直播，交互得到用户满意的家装家居场景解决方案，或激发用户购买家电及周边产品。</w:t>
      </w:r>
    </w:p>
    <w:p>
      <w:pPr>
        <w:pStyle w:val="BodyText"/>
        <w:spacing w:line="364" w:lineRule="auto" w:before="120"/>
        <w:ind w:left="237" w:right="1028" w:firstLine="420"/>
      </w:pPr>
      <w:r>
        <w:rPr>
          <w:spacing w:val="8"/>
        </w:rPr>
        <w:t>期内，智家</w:t>
      </w:r>
      <w:r>
        <w:rPr>
          <w:rFonts w:ascii="Times New Roman" w:hAnsi="Times New Roman" w:eastAsia="Times New Roman"/>
        </w:rPr>
        <w:t>App </w:t>
      </w:r>
      <w:r>
        <w:rPr>
          <w:spacing w:val="-12"/>
        </w:rPr>
        <w:t>平均日活 </w:t>
      </w:r>
      <w:r>
        <w:rPr>
          <w:rFonts w:ascii="Times New Roman" w:hAnsi="Times New Roman" w:eastAsia="Times New Roman"/>
        </w:rPr>
        <w:t>120.6 </w:t>
      </w:r>
      <w:r>
        <w:rPr>
          <w:spacing w:val="-10"/>
        </w:rPr>
        <w:t>万，同比增长 </w:t>
      </w:r>
      <w:r>
        <w:rPr>
          <w:rFonts w:ascii="Times New Roman" w:hAnsi="Times New Roman" w:eastAsia="Times New Roman"/>
        </w:rPr>
        <w:t>546%</w:t>
      </w:r>
      <w:r>
        <w:rPr>
          <w:spacing w:val="-14"/>
        </w:rPr>
        <w:t>，月活 </w:t>
      </w:r>
      <w:r>
        <w:rPr>
          <w:rFonts w:ascii="Times New Roman" w:hAnsi="Times New Roman" w:eastAsia="Times New Roman"/>
        </w:rPr>
        <w:t>2480 </w:t>
      </w:r>
      <w:r>
        <w:rPr>
          <w:spacing w:val="-13"/>
        </w:rPr>
        <w:t>万，增长 </w:t>
      </w:r>
      <w:r>
        <w:rPr>
          <w:rFonts w:ascii="Times New Roman" w:hAnsi="Times New Roman" w:eastAsia="Times New Roman"/>
        </w:rPr>
        <w:t>803%</w:t>
      </w:r>
      <w:r>
        <w:rPr>
          <w:spacing w:val="-3"/>
        </w:rPr>
        <w:t>。其中，体</w:t>
      </w:r>
      <w:r>
        <w:rPr>
          <w:spacing w:val="-5"/>
        </w:rPr>
        <w:t>验云众播上线后通过直播为用户提供场景解决方案，全年直播超 </w:t>
      </w:r>
      <w:r>
        <w:rPr>
          <w:rFonts w:ascii="Times New Roman" w:hAnsi="Times New Roman" w:eastAsia="Times New Roman"/>
        </w:rPr>
        <w:t>1 </w:t>
      </w:r>
      <w:r>
        <w:rPr>
          <w:spacing w:val="-7"/>
        </w:rPr>
        <w:t>千次，累计观看用户 </w:t>
      </w:r>
      <w:r>
        <w:rPr>
          <w:rFonts w:ascii="Times New Roman" w:hAnsi="Times New Roman" w:eastAsia="Times New Roman"/>
        </w:rPr>
        <w:t>5 </w:t>
      </w:r>
      <w:r>
        <w:rPr>
          <w:spacing w:val="-2"/>
        </w:rPr>
        <w:t>千万人</w:t>
      </w:r>
      <w:r>
        <w:rPr>
          <w:spacing w:val="-13"/>
        </w:rPr>
        <w:t>次。在 </w:t>
      </w:r>
      <w:r>
        <w:rPr>
          <w:rFonts w:ascii="Times New Roman" w:hAnsi="Times New Roman" w:eastAsia="Times New Roman"/>
        </w:rPr>
        <w:t>APP </w:t>
      </w:r>
      <w:r>
        <w:rPr>
          <w:spacing w:val="-3"/>
        </w:rPr>
        <w:t>内，新上线的生活家板块为用户打造家电使用、家庭生活智慧的交互平台；</w:t>
      </w:r>
      <w:r>
        <w:rPr>
          <w:rFonts w:ascii="Times New Roman" w:hAnsi="Times New Roman" w:eastAsia="Times New Roman"/>
        </w:rPr>
        <w:t>“1+N </w:t>
      </w:r>
      <w:r>
        <w:rPr/>
        <w:t>智</w:t>
      </w:r>
      <w:r>
        <w:rPr>
          <w:spacing w:val="-1"/>
        </w:rPr>
        <w:t>家焕新</w:t>
      </w:r>
      <w:r>
        <w:rPr>
          <w:rFonts w:ascii="Times New Roman" w:hAnsi="Times New Roman" w:eastAsia="Times New Roman"/>
        </w:rPr>
        <w:t>”</w:t>
      </w:r>
      <w:r>
        <w:rPr>
          <w:spacing w:val="-8"/>
        </w:rPr>
        <w:t>版块还可以整合生态服务资源，将以前单纯的家电服务升级为家电、家庭和家居全方位居</w:t>
      </w:r>
      <w:r>
        <w:rPr>
          <w:spacing w:val="-17"/>
        </w:rPr>
        <w:t>家服务。通过智家 </w:t>
      </w:r>
      <w:r>
        <w:rPr>
          <w:rFonts w:ascii="Times New Roman" w:hAnsi="Times New Roman" w:eastAsia="Times New Roman"/>
          <w:spacing w:val="-19"/>
        </w:rPr>
        <w:t>APP</w:t>
      </w:r>
      <w:r>
        <w:rPr>
          <w:spacing w:val="-10"/>
        </w:rPr>
        <w:t>，公司帮助线下 </w:t>
      </w:r>
      <w:r>
        <w:rPr>
          <w:rFonts w:ascii="Times New Roman" w:hAnsi="Times New Roman" w:eastAsia="Times New Roman"/>
        </w:rPr>
        <w:t>3 </w:t>
      </w:r>
      <w:r>
        <w:rPr>
          <w:spacing w:val="-10"/>
        </w:rPr>
        <w:t>万家店实现线上化，升级用户全场景线上线下购物体验。</w:t>
      </w:r>
    </w:p>
    <w:p>
      <w:pPr>
        <w:pStyle w:val="BodyText"/>
        <w:spacing w:line="364" w:lineRule="auto" w:before="117"/>
        <w:ind w:left="237" w:right="1029" w:firstLine="420"/>
        <w:jc w:val="both"/>
      </w:pPr>
      <w:r>
        <w:rPr>
          <w:spacing w:val="4"/>
        </w:rPr>
        <w:t>公司以海尔智家</w:t>
      </w:r>
      <w:r>
        <w:rPr>
          <w:rFonts w:ascii="Times New Roman" w:hAnsi="Times New Roman" w:eastAsia="Times New Roman"/>
        </w:rPr>
        <w:t>App </w:t>
      </w:r>
      <w:r>
        <w:rPr>
          <w:spacing w:val="-7"/>
        </w:rPr>
        <w:t>为数字化载体，基于在上述直播、用户服务和交互过程中的积淀，打造</w:t>
      </w:r>
      <w:r>
        <w:rPr>
          <w:spacing w:val="-5"/>
        </w:rPr>
        <w:t>体验云平台。用户在平台上同时可以分享消费和使用心得，并远程管理智慧家电设备、申请售后</w:t>
      </w:r>
      <w:r>
        <w:rPr>
          <w:spacing w:val="-16"/>
        </w:rPr>
        <w:t>服务，公司亦可通过体验云优化自身产品、服务的设计与开发，聚焦用户体验的不断升级。同时， </w:t>
      </w:r>
      <w:r>
        <w:rPr>
          <w:spacing w:val="-7"/>
        </w:rPr>
        <w:t>智家体验云也在不断迭代，提升智能产品使用体验。例如，在场景建设方面，针对第三方品牌， </w:t>
      </w:r>
      <w:r>
        <w:rPr>
          <w:spacing w:val="-5"/>
        </w:rPr>
        <w:t>提供模板化快速接入服务；在智能语音产品方面，体验云建成行业引领的全屋分布式语音标准， </w:t>
      </w:r>
      <w:r>
        <w:rPr>
          <w:spacing w:val="-11"/>
        </w:rPr>
        <w:t>实现全屋 </w:t>
      </w:r>
      <w:r>
        <w:rPr>
          <w:rFonts w:ascii="Times New Roman" w:hAnsi="Times New Roman" w:eastAsia="Times New Roman"/>
        </w:rPr>
        <w:t>5 </w:t>
      </w:r>
      <w:r>
        <w:rPr>
          <w:spacing w:val="-3"/>
        </w:rPr>
        <w:t>大家电的分布式体验，推动智慧产品向</w:t>
      </w:r>
      <w:r>
        <w:rPr>
          <w:rFonts w:ascii="Times New Roman" w:hAnsi="Times New Roman" w:eastAsia="Times New Roman"/>
          <w:spacing w:val="-3"/>
        </w:rPr>
        <w:t>“</w:t>
      </w:r>
      <w:r>
        <w:rPr>
          <w:spacing w:val="-3"/>
        </w:rPr>
        <w:t>随意说、听得懂、能识别、更懂你</w:t>
      </w:r>
      <w:r>
        <w:rPr>
          <w:rFonts w:ascii="Times New Roman" w:hAnsi="Times New Roman" w:eastAsia="Times New Roman"/>
          <w:spacing w:val="-3"/>
        </w:rPr>
        <w:t>”</w:t>
      </w:r>
      <w:r>
        <w:rPr>
          <w:spacing w:val="-2"/>
        </w:rPr>
        <w:t>的目标不</w:t>
      </w:r>
      <w:r>
        <w:rPr>
          <w:spacing w:val="-3"/>
        </w:rPr>
        <w:t>断进步。</w:t>
      </w:r>
    </w:p>
    <w:p>
      <w:pPr>
        <w:pStyle w:val="BodyText"/>
        <w:spacing w:before="116"/>
        <w:ind w:left="657"/>
      </w:pPr>
      <w:r>
        <w:rPr/>
        <w:t>最后，全面打通信息化系统，实现数字化营销，赋能专卖店。</w:t>
      </w:r>
    </w:p>
    <w:p>
      <w:pPr>
        <w:spacing w:after="0"/>
        <w:sectPr>
          <w:headerReference w:type="default" r:id="rId28"/>
          <w:footerReference w:type="default" r:id="rId29"/>
          <w:pgSz w:w="11910" w:h="16840"/>
          <w:pgMar w:header="874" w:footer="1214" w:top="1360" w:bottom="1400" w:left="1040" w:right="760"/>
        </w:sectPr>
      </w:pPr>
    </w:p>
    <w:p>
      <w:pPr>
        <w:pStyle w:val="BodyText"/>
        <w:spacing w:line="364" w:lineRule="auto" w:before="68"/>
        <w:ind w:left="237" w:right="1028" w:firstLine="420"/>
      </w:pPr>
      <w:r>
        <w:rPr>
          <w:spacing w:val="-3"/>
        </w:rPr>
        <w:t>目前，公司巨商汇平台覆盖全部专卖店客户，实现客户进销存的实时可视化管理。同时，易</w:t>
      </w:r>
      <w:r>
        <w:rPr>
          <w:spacing w:val="-8"/>
        </w:rPr>
        <w:t>理货平台也完成了 </w:t>
      </w:r>
      <w:r>
        <w:rPr>
          <w:rFonts w:ascii="Times New Roman" w:eastAsia="Times New Roman"/>
        </w:rPr>
        <w:t>100%</w:t>
      </w:r>
      <w:r>
        <w:rPr>
          <w:spacing w:val="-3"/>
        </w:rPr>
        <w:t>的乡镇店覆盖，实现从政策兑现到产品奖励和培训直接到镇的数字化体系。通过渠道数字化体系的普及，乡镇管理进一步透明，极大提升了市场营销方式、奖励资源的有效性。此外，随着公司对乡镇店的数字化管理能力加强，以及统仓统配在乡镇店的广泛覆盖， </w:t>
      </w:r>
      <w:r>
        <w:rPr>
          <w:spacing w:val="-7"/>
        </w:rPr>
        <w:t>乡镇用户的反向定制比例显著提升，借此优化下沉渠道 </w:t>
      </w:r>
      <w:r>
        <w:rPr>
          <w:rFonts w:ascii="Times New Roman" w:eastAsia="Times New Roman"/>
        </w:rPr>
        <w:t>SKU </w:t>
      </w:r>
      <w:r>
        <w:rPr>
          <w:spacing w:val="-10"/>
        </w:rPr>
        <w:t>数量，加快库存周转，为生产和销售</w:t>
      </w:r>
      <w:r>
        <w:rPr>
          <w:spacing w:val="-5"/>
        </w:rPr>
        <w:t>效率的提升带来重要贡献。</w:t>
      </w:r>
    </w:p>
    <w:p>
      <w:pPr>
        <w:pStyle w:val="BodyText"/>
        <w:spacing w:line="364" w:lineRule="auto" w:before="117"/>
        <w:ind w:left="237" w:right="923" w:firstLine="420"/>
      </w:pPr>
      <w:r>
        <w:rPr>
          <w:spacing w:val="-5"/>
        </w:rPr>
        <w:t>同时，公司借力体验云平台提升营销资源的数字化，基于 </w:t>
      </w:r>
      <w:r>
        <w:rPr>
          <w:rFonts w:ascii="Times New Roman" w:hAnsi="Times New Roman" w:eastAsia="Times New Roman"/>
        </w:rPr>
        <w:t>AI</w:t>
      </w:r>
      <w:r>
        <w:rPr>
          <w:rFonts w:ascii="Times New Roman" w:hAnsi="Times New Roman" w:eastAsia="Times New Roman"/>
          <w:spacing w:val="17"/>
        </w:rPr>
        <w:t> </w:t>
      </w:r>
      <w:r>
        <w:rPr>
          <w:spacing w:val="-3"/>
        </w:rPr>
        <w:t>精准营销手段建立覆盖全渠道、全场景的数字化平台，实现对用户的识别、触达、运营与追溯，大幅提高营销运营效率。期内， 通过数据精准分析，</w:t>
      </w:r>
      <w:r>
        <w:rPr>
          <w:rFonts w:ascii="Times New Roman" w:hAnsi="Times New Roman" w:eastAsia="Times New Roman"/>
        </w:rPr>
        <w:t>“</w:t>
      </w:r>
      <w:r>
        <w:rPr>
          <w:spacing w:val="-2"/>
        </w:rPr>
        <w:t>潜客雷达</w:t>
      </w:r>
      <w:r>
        <w:rPr>
          <w:rFonts w:ascii="Times New Roman" w:hAnsi="Times New Roman" w:eastAsia="Times New Roman"/>
          <w:spacing w:val="-3"/>
        </w:rPr>
        <w:t>”</w:t>
      </w:r>
      <w:r>
        <w:rPr>
          <w:spacing w:val="-9"/>
        </w:rPr>
        <w:t>挖掘出潜在用户约 </w:t>
      </w:r>
      <w:r>
        <w:rPr>
          <w:rFonts w:ascii="Times New Roman" w:hAnsi="Times New Roman" w:eastAsia="Times New Roman"/>
        </w:rPr>
        <w:t>200</w:t>
      </w:r>
      <w:r>
        <w:rPr>
          <w:rFonts w:ascii="Times New Roman" w:hAnsi="Times New Roman" w:eastAsia="Times New Roman"/>
          <w:spacing w:val="1"/>
        </w:rPr>
        <w:t> </w:t>
      </w:r>
      <w:r>
        <w:rPr>
          <w:spacing w:val="-3"/>
        </w:rPr>
        <w:t>万，有效赋能用户转化。</w:t>
      </w:r>
    </w:p>
    <w:p>
      <w:pPr>
        <w:pStyle w:val="Heading4"/>
        <w:spacing w:line="317" w:lineRule="exact"/>
        <w:ind w:left="520"/>
      </w:pPr>
      <w:r>
        <w:rPr>
          <w:rFonts w:ascii="Times New Roman" w:eastAsia="Times New Roman"/>
          <w:color w:val="221F1F"/>
        </w:rPr>
        <w:t>6</w:t>
      </w:r>
      <w:r>
        <w:rPr>
          <w:color w:val="221F1F"/>
        </w:rPr>
        <w:t>、智能制造</w:t>
      </w:r>
    </w:p>
    <w:p>
      <w:pPr>
        <w:pStyle w:val="BodyText"/>
        <w:spacing w:before="9"/>
        <w:rPr>
          <w:rFonts w:ascii="Microsoft JhengHei"/>
          <w:b/>
          <w:sz w:val="11"/>
        </w:rPr>
      </w:pPr>
    </w:p>
    <w:p>
      <w:pPr>
        <w:pStyle w:val="BodyText"/>
        <w:spacing w:line="364" w:lineRule="auto"/>
        <w:ind w:left="237" w:right="1028" w:firstLine="420"/>
        <w:jc w:val="both"/>
      </w:pPr>
      <w:r>
        <w:rPr>
          <w:spacing w:val="-3"/>
        </w:rPr>
        <w:t>报告期内，公司以超级工厂战略落地驱动全流程效率提升，引领行业发展。首先，公司深化</w:t>
      </w:r>
      <w:r>
        <w:rPr>
          <w:spacing w:val="-5"/>
        </w:rPr>
        <w:t>在人工智能、</w:t>
      </w:r>
      <w:r>
        <w:rPr>
          <w:rFonts w:ascii="Times New Roman" w:eastAsia="Times New Roman"/>
        </w:rPr>
        <w:t>5G</w:t>
      </w:r>
      <w:r>
        <w:rPr>
          <w:spacing w:val="-7"/>
        </w:rPr>
        <w:t>、边缘计算等前沿技术与先进制造技术的深度融合应用，并实现 </w:t>
      </w:r>
      <w:r>
        <w:rPr>
          <w:rFonts w:ascii="Times New Roman" w:eastAsia="Times New Roman"/>
        </w:rPr>
        <w:t>200 </w:t>
      </w:r>
      <w:r>
        <w:rPr>
          <w:spacing w:val="-3"/>
        </w:rPr>
        <w:t>多个项目落地；其次，构建超级工厂战略运营体系，做到事先全流程协同，事中数字化自驱动、事后自闭环优化，确保目标达成。超级工厂战略有效提升生产制造效率，带来成本端优化空间。</w:t>
      </w:r>
    </w:p>
    <w:p>
      <w:pPr>
        <w:pStyle w:val="BodyText"/>
        <w:spacing w:line="364" w:lineRule="auto" w:before="118"/>
        <w:ind w:left="237" w:right="1028" w:firstLine="420"/>
      </w:pPr>
      <w:r>
        <w:rPr>
          <w:spacing w:val="-9"/>
        </w:rPr>
        <w:t>期内，公司已建成 </w:t>
      </w:r>
      <w:r>
        <w:rPr>
          <w:rFonts w:ascii="Times New Roman" w:eastAsia="Times New Roman"/>
        </w:rPr>
        <w:t>16 </w:t>
      </w:r>
      <w:r>
        <w:rPr>
          <w:spacing w:val="-3"/>
        </w:rPr>
        <w:t>家互联工厂。</w:t>
      </w:r>
      <w:r>
        <w:rPr>
          <w:rFonts w:ascii="Times New Roman" w:eastAsia="Times New Roman"/>
        </w:rPr>
        <w:t>2020 </w:t>
      </w:r>
      <w:r>
        <w:rPr>
          <w:spacing w:val="-25"/>
        </w:rPr>
        <w:t>年 </w:t>
      </w:r>
      <w:r>
        <w:rPr>
          <w:rFonts w:ascii="Times New Roman" w:eastAsia="Times New Roman"/>
        </w:rPr>
        <w:t>9 </w:t>
      </w:r>
      <w:r>
        <w:rPr>
          <w:spacing w:val="-6"/>
        </w:rPr>
        <w:t>月，海尔中德园区荣获全球唯一德国工业 </w:t>
      </w:r>
      <w:r>
        <w:rPr>
          <w:rFonts w:ascii="Times New Roman" w:eastAsia="Times New Roman"/>
        </w:rPr>
        <w:t>4.0 </w:t>
      </w:r>
      <w:r>
        <w:rPr>
          <w:spacing w:val="-6"/>
        </w:rPr>
        <w:t>奖，标志着海尔智能制造由灯塔工厂到灯塔基地的持续引领；</w:t>
      </w:r>
      <w:r>
        <w:rPr>
          <w:rFonts w:ascii="Times New Roman" w:eastAsia="Times New Roman"/>
          <w:spacing w:val="-6"/>
        </w:rPr>
        <w:t>10 </w:t>
      </w:r>
      <w:r>
        <w:rPr>
          <w:spacing w:val="-10"/>
        </w:rPr>
        <w:t>月，中央空调等 </w:t>
      </w:r>
      <w:r>
        <w:rPr>
          <w:rFonts w:ascii="Times New Roman" w:eastAsia="Times New Roman"/>
        </w:rPr>
        <w:t>3 </w:t>
      </w:r>
      <w:r>
        <w:rPr>
          <w:spacing w:val="-3"/>
        </w:rPr>
        <w:t>家工厂通过智</w:t>
      </w:r>
      <w:r>
        <w:rPr>
          <w:spacing w:val="-7"/>
        </w:rPr>
        <w:t>能制造能力成熟度 </w:t>
      </w:r>
      <w:r>
        <w:rPr>
          <w:rFonts w:ascii="Times New Roman" w:eastAsia="Times New Roman"/>
        </w:rPr>
        <w:t>4 </w:t>
      </w:r>
      <w:r>
        <w:rPr>
          <w:spacing w:val="-4"/>
        </w:rPr>
        <w:t>级认证；</w:t>
      </w:r>
      <w:r>
        <w:rPr>
          <w:rFonts w:ascii="Times New Roman" w:eastAsia="Times New Roman"/>
          <w:spacing w:val="-8"/>
        </w:rPr>
        <w:t>12 </w:t>
      </w:r>
      <w:r>
        <w:rPr>
          <w:spacing w:val="-6"/>
        </w:rPr>
        <w:t>月，海尔中央空调互联工厂获得国家智能制造标杆企业的荣誉称</w:t>
      </w:r>
      <w:r>
        <w:rPr>
          <w:spacing w:val="-4"/>
        </w:rPr>
        <w:t>号，成为国家智能制造标杆唯一入选两家工厂的企业。</w:t>
      </w:r>
    </w:p>
    <w:p>
      <w:pPr>
        <w:pStyle w:val="Heading4"/>
        <w:spacing w:before="50"/>
        <w:ind w:left="638"/>
      </w:pPr>
      <w:r>
        <w:rPr/>
        <w:t>（二）海外家电与智慧家庭业务</w:t>
      </w:r>
    </w:p>
    <w:p>
      <w:pPr>
        <w:pStyle w:val="BodyText"/>
        <w:spacing w:line="364" w:lineRule="auto" w:before="91"/>
        <w:ind w:left="237" w:right="1060" w:firstLine="420"/>
        <w:jc w:val="both"/>
      </w:pPr>
      <w:r>
        <w:rPr>
          <w:rFonts w:ascii="Times New Roman" w:hAnsi="Times New Roman" w:eastAsia="Times New Roman"/>
        </w:rPr>
        <w:t>2020 </w:t>
      </w:r>
      <w:r>
        <w:rPr>
          <w:spacing w:val="-2"/>
        </w:rPr>
        <w:t>年，面对疫情影响，公司在海外市场依托 </w:t>
      </w:r>
      <w:r>
        <w:rPr>
          <w:rFonts w:ascii="Times New Roman" w:hAnsi="Times New Roman" w:eastAsia="Times New Roman"/>
        </w:rPr>
        <w:t>“</w:t>
      </w:r>
      <w:r>
        <w:rPr>
          <w:spacing w:val="-3"/>
        </w:rPr>
        <w:t>三位一体</w:t>
      </w:r>
      <w:r>
        <w:rPr>
          <w:rFonts w:ascii="Times New Roman" w:hAnsi="Times New Roman" w:eastAsia="Times New Roman"/>
        </w:rPr>
        <w:t>”</w:t>
      </w:r>
      <w:r>
        <w:rPr>
          <w:spacing w:val="-3"/>
        </w:rPr>
        <w:t>的本土化布局，坚持高端创牌战</w:t>
      </w:r>
      <w:r>
        <w:rPr>
          <w:spacing w:val="-6"/>
        </w:rPr>
        <w:t>略和场景生态转型，实现销售收入突破 </w:t>
      </w:r>
      <w:r>
        <w:rPr>
          <w:rFonts w:ascii="Times New Roman" w:hAnsi="Times New Roman" w:eastAsia="Times New Roman"/>
        </w:rPr>
        <w:t>1000 </w:t>
      </w:r>
      <w:r>
        <w:rPr>
          <w:spacing w:val="-9"/>
        </w:rPr>
        <w:t>亿元、经营利润 </w:t>
      </w:r>
      <w:r>
        <w:rPr>
          <w:rFonts w:ascii="Times New Roman" w:hAnsi="Times New Roman" w:eastAsia="Times New Roman"/>
        </w:rPr>
        <w:t>40 </w:t>
      </w:r>
      <w:r>
        <w:rPr>
          <w:spacing w:val="-9"/>
        </w:rPr>
        <w:t>亿元，分别增长 </w:t>
      </w:r>
      <w:r>
        <w:rPr>
          <w:rFonts w:ascii="Times New Roman" w:hAnsi="Times New Roman" w:eastAsia="Times New Roman"/>
        </w:rPr>
        <w:t>8%</w:t>
      </w:r>
      <w:r>
        <w:rPr>
          <w:spacing w:val="-24"/>
        </w:rPr>
        <w:t>和 </w:t>
      </w:r>
      <w:r>
        <w:rPr>
          <w:rFonts w:ascii="Times New Roman" w:hAnsi="Times New Roman" w:eastAsia="Times New Roman"/>
        </w:rPr>
        <w:t>26.79%</w:t>
      </w:r>
      <w:r>
        <w:rPr/>
        <w:t>。</w:t>
      </w:r>
      <w:r>
        <w:rPr>
          <w:spacing w:val="-3"/>
        </w:rPr>
        <w:t>市场份额全线提升。业绩增长主要源于：</w:t>
      </w:r>
    </w:p>
    <w:p>
      <w:pPr>
        <w:pStyle w:val="BodyText"/>
        <w:spacing w:line="364" w:lineRule="auto"/>
        <w:ind w:left="237" w:right="1029" w:firstLine="420"/>
      </w:pPr>
      <w:r>
        <w:rPr>
          <w:rFonts w:ascii="Times New Roman" w:eastAsia="Times New Roman"/>
        </w:rPr>
        <w:t>1</w:t>
      </w:r>
      <w:r>
        <w:rPr>
          <w:spacing w:val="-11"/>
        </w:rPr>
        <w:t>、坚持高端创牌战略，通过打造高份额高价值的产品阵容，基于行业趋势推进全网覆盖和直</w:t>
      </w:r>
      <w:r>
        <w:rPr>
          <w:spacing w:val="-6"/>
        </w:rPr>
        <w:t>达终端的直销员体系，在各个区域市场均持续实现高于行业的增长。</w:t>
      </w:r>
    </w:p>
    <w:p>
      <w:pPr>
        <w:pStyle w:val="BodyText"/>
        <w:spacing w:line="364" w:lineRule="auto"/>
        <w:ind w:left="237" w:right="1029" w:firstLine="420"/>
      </w:pPr>
      <w:r>
        <w:rPr>
          <w:rFonts w:ascii="Times New Roman" w:eastAsia="Times New Roman"/>
        </w:rPr>
        <w:t>2</w:t>
      </w:r>
      <w:r>
        <w:rPr>
          <w:spacing w:val="-11"/>
        </w:rPr>
        <w:t>、坚持引领的本土化运营。公司通过全球范围的本土化布局，保障了新品的及时上市和产品</w:t>
      </w:r>
      <w:r>
        <w:rPr>
          <w:spacing w:val="-6"/>
        </w:rPr>
        <w:t>供应，实现了疫情下的逆势增长。</w:t>
      </w:r>
    </w:p>
    <w:p>
      <w:pPr>
        <w:pStyle w:val="BodyText"/>
        <w:spacing w:line="364" w:lineRule="auto"/>
        <w:ind w:left="237" w:right="1031" w:firstLine="420"/>
        <w:jc w:val="both"/>
      </w:pPr>
      <w:r>
        <w:rPr>
          <w:rFonts w:ascii="Times New Roman" w:eastAsia="Times New Roman"/>
        </w:rPr>
        <w:t>3</w:t>
      </w:r>
      <w:r>
        <w:rPr>
          <w:spacing w:val="-6"/>
        </w:rPr>
        <w:t>、坚持场景生态转型。场景品牌实现突破，孵化出日本兰朵丽社区洗、英国</w:t>
      </w:r>
      <w:r>
        <w:rPr>
          <w:rFonts w:ascii="Times New Roman" w:eastAsia="Times New Roman"/>
        </w:rPr>
        <w:t>Wash pass </w:t>
      </w:r>
      <w:r>
        <w:rPr/>
        <w:t>墨盒</w:t>
      </w:r>
      <w:r>
        <w:rPr>
          <w:spacing w:val="-6"/>
        </w:rPr>
        <w:t>洗等解决方案；生态品牌也分别上线西欧 </w:t>
      </w:r>
      <w:r>
        <w:rPr>
          <w:rFonts w:ascii="Times New Roman" w:eastAsia="Times New Roman"/>
        </w:rPr>
        <w:t>hOn </w:t>
      </w:r>
      <w:r>
        <w:rPr>
          <w:spacing w:val="-8"/>
        </w:rPr>
        <w:t>体验云平台、美国 </w:t>
      </w:r>
      <w:r>
        <w:rPr>
          <w:rFonts w:ascii="Times New Roman" w:eastAsia="Times New Roman"/>
        </w:rPr>
        <w:t>Smart HQ </w:t>
      </w:r>
      <w:r>
        <w:rPr>
          <w:spacing w:val="-3"/>
        </w:rPr>
        <w:t>平台，从产品硬件到场景解决方案和生态平台等全面突破，持续迭代用户体验。</w:t>
      </w:r>
    </w:p>
    <w:p>
      <w:pPr>
        <w:pStyle w:val="Heading4"/>
        <w:numPr>
          <w:ilvl w:val="0"/>
          <w:numId w:val="10"/>
        </w:numPr>
        <w:tabs>
          <w:tab w:pos="924" w:val="left" w:leader="none"/>
        </w:tabs>
        <w:spacing w:line="374" w:lineRule="exact" w:before="0" w:after="0"/>
        <w:ind w:left="923" w:right="0" w:hanging="262"/>
        <w:jc w:val="left"/>
      </w:pPr>
      <w:r>
        <w:rPr/>
        <w:t>美国市场</w:t>
      </w:r>
    </w:p>
    <w:p>
      <w:pPr>
        <w:pStyle w:val="BodyText"/>
        <w:spacing w:line="364" w:lineRule="auto" w:before="150"/>
        <w:ind w:left="237" w:right="1033" w:firstLine="420"/>
        <w:jc w:val="both"/>
      </w:pPr>
      <w:r>
        <w:rPr>
          <w:spacing w:val="-3"/>
        </w:rPr>
        <w:t>面对新冠疫情挑战，公司坚持以用户为中心，在品牌高端化、供应链精细化和全渠道整合方</w:t>
      </w:r>
      <w:r>
        <w:rPr>
          <w:spacing w:val="-7"/>
        </w:rPr>
        <w:t>面做出了不懈的努力，实现了史上最好业绩表现。北美销售收入增长 </w:t>
      </w:r>
      <w:r>
        <w:rPr>
          <w:rFonts w:ascii="Times New Roman" w:eastAsia="Times New Roman"/>
          <w:spacing w:val="-5"/>
        </w:rPr>
        <w:t>10</w:t>
      </w:r>
      <w:r>
        <w:rPr>
          <w:spacing w:val="-11"/>
        </w:rPr>
        <w:t>％，达到 </w:t>
      </w:r>
      <w:r>
        <w:rPr>
          <w:rFonts w:ascii="Times New Roman" w:eastAsia="Times New Roman"/>
        </w:rPr>
        <w:t>637 </w:t>
      </w:r>
      <w:r>
        <w:rPr>
          <w:spacing w:val="-5"/>
        </w:rPr>
        <w:t>亿元，其中</w:t>
      </w:r>
    </w:p>
    <w:p>
      <w:pPr>
        <w:spacing w:after="0" w:line="364" w:lineRule="auto"/>
        <w:jc w:val="both"/>
        <w:sectPr>
          <w:headerReference w:type="default" r:id="rId30"/>
          <w:footerReference w:type="default" r:id="rId31"/>
          <w:pgSz w:w="11910" w:h="16840"/>
          <w:pgMar w:header="874" w:footer="1214" w:top="1360" w:bottom="1400" w:left="1040" w:right="760"/>
          <w:pgNumType w:start="1"/>
        </w:sectPr>
      </w:pPr>
    </w:p>
    <w:p>
      <w:pPr>
        <w:pStyle w:val="BodyText"/>
        <w:spacing w:line="364" w:lineRule="auto" w:before="68"/>
        <w:ind w:left="237" w:right="1038"/>
        <w:jc w:val="both"/>
      </w:pPr>
      <w:r>
        <w:rPr>
          <w:spacing w:val="-8"/>
        </w:rPr>
        <w:t>高端品牌增长 </w:t>
      </w:r>
      <w:r>
        <w:rPr>
          <w:rFonts w:ascii="Times New Roman" w:eastAsia="Times New Roman"/>
        </w:rPr>
        <w:t>30</w:t>
      </w:r>
      <w:r>
        <w:rPr>
          <w:spacing w:val="-6"/>
        </w:rPr>
        <w:t>％以上。核心家电市场份额增长 </w:t>
      </w:r>
      <w:r>
        <w:rPr>
          <w:rFonts w:ascii="Times New Roman" w:eastAsia="Times New Roman"/>
        </w:rPr>
        <w:t>1.4 </w:t>
      </w:r>
      <w:r>
        <w:rPr>
          <w:spacing w:val="-3"/>
        </w:rPr>
        <w:t>个百分点。同时，在品类方面，公司在美国市场推出了小家电和热水器新产品；在渠道方面，线上业务加速拓展，与生态相关的收入也显著增加。</w:t>
      </w:r>
    </w:p>
    <w:p>
      <w:pPr>
        <w:pStyle w:val="BodyText"/>
        <w:spacing w:line="364" w:lineRule="auto"/>
        <w:ind w:left="237" w:right="1029" w:firstLine="420"/>
        <w:jc w:val="both"/>
      </w:pPr>
      <w:r>
        <w:rPr>
          <w:spacing w:val="-3"/>
        </w:rPr>
        <w:t>在制造方面，面对疫情，以员工的健康安全为首要考量，公司迅速采取一系列防控措施，包</w:t>
      </w:r>
      <w:r>
        <w:rPr>
          <w:spacing w:val="-10"/>
        </w:rPr>
        <w:t>括全体员工温度检查、安排灵活的班次和工位、厂区全面消毒杀菌等，公司 </w:t>
      </w:r>
      <w:r>
        <w:rPr>
          <w:rFonts w:ascii="Times New Roman" w:eastAsia="Times New Roman"/>
        </w:rPr>
        <w:t>1000 </w:t>
      </w:r>
      <w:r>
        <w:rPr>
          <w:spacing w:val="-3"/>
        </w:rPr>
        <w:t>名管理人员自愿</w:t>
      </w:r>
    </w:p>
    <w:p>
      <w:pPr>
        <w:pStyle w:val="BodyText"/>
        <w:spacing w:line="364" w:lineRule="auto"/>
        <w:ind w:left="237" w:right="1029"/>
        <w:jc w:val="both"/>
      </w:pPr>
      <w:r>
        <w:rPr>
          <w:spacing w:val="-6"/>
        </w:rPr>
        <w:t>无偿在流水线贡献了 </w:t>
      </w:r>
      <w:r>
        <w:rPr>
          <w:rFonts w:ascii="Times New Roman" w:eastAsia="Times New Roman"/>
        </w:rPr>
        <w:t>15 </w:t>
      </w:r>
      <w:r>
        <w:rPr>
          <w:spacing w:val="-10"/>
        </w:rPr>
        <w:t>万个工时，持续为用户提供产品和服务。克服了疫情带来的挑战，美国市</w:t>
      </w:r>
      <w:r>
        <w:rPr>
          <w:spacing w:val="-15"/>
        </w:rPr>
        <w:t>场产量比 </w:t>
      </w:r>
      <w:r>
        <w:rPr>
          <w:rFonts w:ascii="Times New Roman" w:eastAsia="Times New Roman"/>
        </w:rPr>
        <w:t>2019 </w:t>
      </w:r>
      <w:r>
        <w:rPr>
          <w:spacing w:val="-10"/>
        </w:rPr>
        <w:t>年同期增长了 </w:t>
      </w:r>
      <w:r>
        <w:rPr>
          <w:rFonts w:ascii="Times New Roman" w:eastAsia="Times New Roman"/>
        </w:rPr>
        <w:t>10</w:t>
      </w:r>
      <w:r>
        <w:rPr>
          <w:spacing w:val="-8"/>
        </w:rPr>
        <w:t>％，其中下半年增长了 </w:t>
      </w:r>
      <w:r>
        <w:rPr>
          <w:rFonts w:ascii="Times New Roman" w:eastAsia="Times New Roman"/>
        </w:rPr>
        <w:t>20</w:t>
      </w:r>
      <w:r>
        <w:rPr>
          <w:spacing w:val="7"/>
        </w:rPr>
        <w:t>％；公司位于</w:t>
      </w:r>
      <w:r>
        <w:rPr>
          <w:rFonts w:ascii="Times New Roman" w:eastAsia="Times New Roman"/>
        </w:rPr>
        <w:t>Roper </w:t>
      </w:r>
      <w:r>
        <w:rPr>
          <w:spacing w:val="-3"/>
        </w:rPr>
        <w:t>的厨房电器工厂最</w:t>
      </w:r>
      <w:r>
        <w:rPr>
          <w:spacing w:val="3"/>
        </w:rPr>
        <w:t>大的组装线完成了</w:t>
      </w:r>
      <w:r>
        <w:rPr>
          <w:rFonts w:ascii="Times New Roman" w:eastAsia="Times New Roman"/>
        </w:rPr>
        <w:t>Proficy </w:t>
      </w:r>
      <w:r>
        <w:rPr>
          <w:spacing w:val="-6"/>
        </w:rPr>
        <w:t>系统的软件升级，加速了其在工业 </w:t>
      </w:r>
      <w:r>
        <w:rPr>
          <w:rFonts w:ascii="Times New Roman" w:eastAsia="Times New Roman"/>
        </w:rPr>
        <w:t>4.0 </w:t>
      </w:r>
      <w:r>
        <w:rPr>
          <w:spacing w:val="-3"/>
        </w:rPr>
        <w:t>框架下向精益生产的转变。</w:t>
      </w:r>
    </w:p>
    <w:p>
      <w:pPr>
        <w:pStyle w:val="BodyText"/>
        <w:spacing w:line="364" w:lineRule="auto"/>
        <w:ind w:left="237" w:right="1031" w:firstLine="420"/>
        <w:jc w:val="both"/>
      </w:pPr>
      <w:r>
        <w:rPr>
          <w:spacing w:val="-2"/>
        </w:rPr>
        <w:t>在研发方面，美国团队与新加坡、以色列等地的同事在</w:t>
      </w:r>
      <w:r>
        <w:rPr>
          <w:rFonts w:ascii="Times New Roman" w:eastAsia="Times New Roman"/>
        </w:rPr>
        <w:t>HOPE </w:t>
      </w:r>
      <w:r>
        <w:rPr>
          <w:spacing w:val="-4"/>
        </w:rPr>
        <w:t>创新平台上紧密合作，充分共</w:t>
      </w:r>
      <w:r>
        <w:rPr>
          <w:spacing w:val="-7"/>
        </w:rPr>
        <w:t>享技术和解决方案，例如 </w:t>
      </w:r>
      <w:r>
        <w:rPr>
          <w:rFonts w:ascii="Times New Roman" w:eastAsia="Times New Roman"/>
        </w:rPr>
        <w:t>AC </w:t>
      </w:r>
      <w:r>
        <w:rPr>
          <w:spacing w:val="-3"/>
        </w:rPr>
        <w:t>的新叶轮设计，微波炉中的温度控制，智能家居系统的数据安全性</w:t>
      </w:r>
      <w:r>
        <w:rPr>
          <w:spacing w:val="-7"/>
        </w:rPr>
        <w:t>等。在新的大型滚筒洗衣机的开发过程中，全球研发平台将开发时间减少了 </w:t>
      </w:r>
      <w:r>
        <w:rPr>
          <w:rFonts w:ascii="Times New Roman" w:eastAsia="Times New Roman"/>
          <w:spacing w:val="-4"/>
        </w:rPr>
        <w:t>55</w:t>
      </w:r>
      <w:r>
        <w:rPr>
          <w:spacing w:val="-3"/>
        </w:rPr>
        <w:t>％，并且参与的人</w:t>
      </w:r>
      <w:r>
        <w:rPr>
          <w:spacing w:val="-13"/>
        </w:rPr>
        <w:t>员减少了 </w:t>
      </w:r>
      <w:r>
        <w:rPr>
          <w:rFonts w:ascii="Times New Roman" w:eastAsia="Times New Roman"/>
        </w:rPr>
        <w:t>33</w:t>
      </w:r>
      <w:r>
        <w:rPr>
          <w:spacing w:val="-2"/>
        </w:rPr>
        <w:t>％。</w:t>
      </w:r>
    </w:p>
    <w:p>
      <w:pPr>
        <w:pStyle w:val="BodyText"/>
        <w:spacing w:line="364" w:lineRule="auto"/>
        <w:ind w:left="237" w:right="1028" w:firstLine="631"/>
        <w:jc w:val="both"/>
      </w:pPr>
      <w:r>
        <w:rPr>
          <w:spacing w:val="-3"/>
        </w:rPr>
        <w:t>公司充分理解用户使用我们的产品来存放食品和药品、烹制食物以及对衣服和餐具消毒杀</w:t>
      </w:r>
      <w:r>
        <w:rPr>
          <w:spacing w:val="-11"/>
        </w:rPr>
        <w:t>菌的需求，实时推出内置 </w:t>
      </w:r>
      <w:r>
        <w:rPr>
          <w:rFonts w:ascii="Times New Roman" w:eastAsia="Times New Roman"/>
        </w:rPr>
        <w:t>UltraFresh </w:t>
      </w:r>
      <w:r>
        <w:rPr>
          <w:spacing w:val="9"/>
        </w:rPr>
        <w:t>通风系统和</w:t>
      </w:r>
      <w:r>
        <w:rPr>
          <w:rFonts w:ascii="Times New Roman" w:eastAsia="Times New Roman"/>
        </w:rPr>
        <w:t>Microban </w:t>
      </w:r>
      <w:r>
        <w:rPr>
          <w:spacing w:val="-3"/>
        </w:rPr>
        <w:t>抗菌技术的新型滚筒洗衣机以消除多余</w:t>
      </w:r>
      <w:r>
        <w:rPr>
          <w:spacing w:val="-16"/>
        </w:rPr>
        <w:t>的湿气和气味；新的多门冰箱也带有湿度控制系统，密封的高湿度储物箱可以延长蔬菜保鲜时间。</w:t>
      </w:r>
      <w:r>
        <w:rPr>
          <w:spacing w:val="-34"/>
        </w:rPr>
        <w:t>在 </w:t>
      </w:r>
      <w:r>
        <w:rPr>
          <w:rFonts w:ascii="Times New Roman" w:eastAsia="Times New Roman"/>
        </w:rPr>
        <w:t>GE</w:t>
      </w:r>
      <w:r>
        <w:rPr/>
        <w:t>，</w:t>
      </w:r>
      <w:r>
        <w:rPr>
          <w:rFonts w:ascii="Times New Roman" w:eastAsia="Times New Roman"/>
        </w:rPr>
        <w:t>GE Profile </w:t>
      </w:r>
      <w:r>
        <w:rPr>
          <w:spacing w:val="-25"/>
        </w:rPr>
        <w:t>和 </w:t>
      </w:r>
      <w:r>
        <w:rPr>
          <w:rFonts w:ascii="Times New Roman" w:eastAsia="Times New Roman"/>
        </w:rPr>
        <w:t>GE Cafe </w:t>
      </w:r>
      <w:r>
        <w:rPr>
          <w:spacing w:val="-3"/>
        </w:rPr>
        <w:t>品牌下，新系列的小家电产品也已成功推出，</w:t>
      </w:r>
      <w:r>
        <w:rPr>
          <w:rFonts w:ascii="Times New Roman" w:eastAsia="Times New Roman"/>
        </w:rPr>
        <w:t>GE Profile Opal </w:t>
      </w:r>
      <w:r>
        <w:rPr>
          <w:spacing w:val="-3"/>
        </w:rPr>
        <w:t>制冰</w:t>
      </w:r>
      <w:r>
        <w:rPr>
          <w:spacing w:val="-2"/>
        </w:rPr>
        <w:t>机在亚马逊会员日当天荣登家用电器和制冰机类别榜首；凭借新推出的热水器产品还成为</w:t>
      </w:r>
      <w:r>
        <w:rPr>
          <w:rFonts w:ascii="Times New Roman" w:eastAsia="Times New Roman"/>
        </w:rPr>
        <w:t>Costco </w:t>
      </w:r>
      <w:r>
        <w:rPr>
          <w:spacing w:val="-3"/>
        </w:rPr>
        <w:t>的该品类的独家合作伙伴，并与水暖行业建立了伙伴关系。</w:t>
      </w:r>
    </w:p>
    <w:p>
      <w:pPr>
        <w:pStyle w:val="BodyText"/>
        <w:spacing w:line="364" w:lineRule="auto"/>
        <w:ind w:left="237" w:right="1028" w:firstLine="420"/>
        <w:jc w:val="both"/>
      </w:pPr>
      <w:r>
        <w:rPr>
          <w:spacing w:val="-7"/>
        </w:rPr>
        <w:t>公司专注于提高产品的互联互通，通过 </w:t>
      </w:r>
      <w:r>
        <w:rPr>
          <w:rFonts w:ascii="Times New Roman" w:eastAsia="Times New Roman"/>
        </w:rPr>
        <w:t>SmartHQ </w:t>
      </w:r>
      <w:r>
        <w:rPr>
          <w:spacing w:val="-7"/>
        </w:rPr>
        <w:t>数字平台，用户无论是在家中还是办公室都</w:t>
      </w:r>
      <w:r>
        <w:rPr>
          <w:spacing w:val="-13"/>
        </w:rPr>
        <w:t>可以实现全屋控制。公司在物联网战略的拓展也获得了行业认可，包括 </w:t>
      </w:r>
      <w:r>
        <w:rPr>
          <w:rFonts w:ascii="Times New Roman" w:eastAsia="Times New Roman"/>
        </w:rPr>
        <w:t>2020 </w:t>
      </w:r>
      <w:r>
        <w:rPr>
          <w:spacing w:val="-3"/>
        </w:rPr>
        <w:t>年度网络安全突破大</w:t>
      </w:r>
      <w:r>
        <w:rPr>
          <w:spacing w:val="-28"/>
        </w:rPr>
        <w:t>奖 </w:t>
      </w:r>
      <w:r>
        <w:rPr>
          <w:rFonts w:ascii="Times New Roman" w:eastAsia="Times New Roman"/>
        </w:rPr>
        <w:t>Cybersecurity Breakthrough Award</w:t>
      </w:r>
      <w:r>
        <w:rPr>
          <w:spacing w:val="-18"/>
        </w:rPr>
        <w:t>；从 </w:t>
      </w:r>
      <w:r>
        <w:rPr>
          <w:rFonts w:ascii="Times New Roman" w:eastAsia="Times New Roman"/>
        </w:rPr>
        <w:t>2019 </w:t>
      </w:r>
      <w:r>
        <w:rPr>
          <w:spacing w:val="-27"/>
        </w:rPr>
        <w:t>至 </w:t>
      </w:r>
      <w:r>
        <w:rPr>
          <w:rFonts w:ascii="Times New Roman" w:eastAsia="Times New Roman"/>
        </w:rPr>
        <w:t>2021</w:t>
      </w:r>
      <w:r>
        <w:rPr>
          <w:spacing w:val="-1"/>
        </w:rPr>
        <w:t>， </w:t>
      </w:r>
      <w:r>
        <w:rPr>
          <w:rFonts w:ascii="Times New Roman" w:eastAsia="Times New Roman"/>
        </w:rPr>
        <w:t>GEA </w:t>
      </w:r>
      <w:r>
        <w:rPr>
          <w:spacing w:val="-12"/>
        </w:rPr>
        <w:t>连续三年被 </w:t>
      </w:r>
      <w:r>
        <w:rPr>
          <w:rFonts w:ascii="Times New Roman" w:eastAsia="Times New Roman"/>
        </w:rPr>
        <w:t>IoT Breakthrough </w:t>
      </w:r>
      <w:r>
        <w:rPr>
          <w:spacing w:val="-3"/>
        </w:rPr>
        <w:t>评为</w:t>
      </w:r>
      <w:r>
        <w:rPr>
          <w:spacing w:val="-10"/>
        </w:rPr>
        <w:t>年度智能家电公司；并且被 </w:t>
      </w:r>
      <w:r>
        <w:rPr>
          <w:rFonts w:ascii="Times New Roman" w:eastAsia="Times New Roman"/>
        </w:rPr>
        <w:t>UL </w:t>
      </w:r>
      <w:r>
        <w:rPr>
          <w:spacing w:val="-4"/>
        </w:rPr>
        <w:t>认定为首个实现金牌级物联网安全评级的家电品牌；</w:t>
      </w:r>
      <w:r>
        <w:rPr>
          <w:rFonts w:ascii="Times New Roman" w:eastAsia="Times New Roman"/>
          <w:spacing w:val="-7"/>
        </w:rPr>
        <w:t>ultra </w:t>
      </w:r>
      <w:r>
        <w:rPr>
          <w:rFonts w:ascii="Times New Roman" w:eastAsia="Times New Roman"/>
        </w:rPr>
        <w:t>Fresh </w:t>
      </w:r>
      <w:r>
        <w:rPr/>
        <w:t>滚</w:t>
      </w:r>
      <w:r>
        <w:rPr>
          <w:spacing w:val="-11"/>
        </w:rPr>
        <w:t>筒洗衣机在 </w:t>
      </w:r>
      <w:r>
        <w:rPr>
          <w:rFonts w:ascii="Times New Roman" w:eastAsia="Times New Roman"/>
        </w:rPr>
        <w:t>2020 </w:t>
      </w:r>
      <w:r>
        <w:rPr>
          <w:spacing w:val="-3"/>
        </w:rPr>
        <w:t>年获得了好管家杂志评选的好管家奖章。</w:t>
      </w:r>
    </w:p>
    <w:p>
      <w:pPr>
        <w:pStyle w:val="BodyText"/>
        <w:spacing w:line="364" w:lineRule="auto"/>
        <w:ind w:left="237" w:right="1029" w:firstLine="420"/>
        <w:jc w:val="both"/>
      </w:pPr>
      <w:r>
        <w:rPr>
          <w:spacing w:val="-3"/>
        </w:rPr>
        <w:t>在分销方面，利用中国市场的电商运营经验，美国团队采取了迅速行动，抓住线上新的增长机会。我们的员工在疫情期间表现出的专业性和责任心加强了最重要的渠道伙伴的信心，夯实了</w:t>
      </w:r>
      <w:r>
        <w:rPr>
          <w:spacing w:val="-10"/>
        </w:rPr>
        <w:t>合作基础，这不仅有助于公司在 </w:t>
      </w:r>
      <w:r>
        <w:rPr>
          <w:rFonts w:ascii="Times New Roman" w:eastAsia="Times New Roman"/>
        </w:rPr>
        <w:t>2020 </w:t>
      </w:r>
      <w:r>
        <w:rPr>
          <w:spacing w:val="-9"/>
        </w:rPr>
        <w:t>年逆势增长，更将成为未来持续领先的动力。我们还成立了</w:t>
      </w:r>
      <w:r>
        <w:rPr>
          <w:spacing w:val="-5"/>
        </w:rPr>
        <w:t>一个专门服务商业客户的新部门，重点推出空调及热水器品类。</w:t>
      </w:r>
    </w:p>
    <w:p>
      <w:pPr>
        <w:pStyle w:val="Heading4"/>
        <w:numPr>
          <w:ilvl w:val="0"/>
          <w:numId w:val="10"/>
        </w:numPr>
        <w:tabs>
          <w:tab w:pos="922" w:val="left" w:leader="none"/>
        </w:tabs>
        <w:spacing w:line="316" w:lineRule="exact" w:before="0" w:after="0"/>
        <w:ind w:left="921" w:right="0" w:hanging="263"/>
        <w:jc w:val="left"/>
      </w:pPr>
      <w:r>
        <w:rPr/>
        <w:t>欧洲市场</w:t>
      </w:r>
    </w:p>
    <w:p>
      <w:pPr>
        <w:pStyle w:val="BodyText"/>
        <w:spacing w:line="364" w:lineRule="auto" w:before="82"/>
        <w:ind w:left="237" w:right="1028" w:firstLine="420"/>
        <w:jc w:val="both"/>
      </w:pPr>
      <w:r>
        <w:rPr>
          <w:spacing w:val="-9"/>
        </w:rPr>
        <w:t>期内，欧洲市场实现收入 </w:t>
      </w:r>
      <w:r>
        <w:rPr>
          <w:rFonts w:ascii="Times New Roman" w:hAnsi="Times New Roman" w:eastAsia="Times New Roman"/>
        </w:rPr>
        <w:t>165 </w:t>
      </w:r>
      <w:r>
        <w:rPr>
          <w:spacing w:val="-10"/>
        </w:rPr>
        <w:t>亿元，同比增长 </w:t>
      </w:r>
      <w:r>
        <w:rPr>
          <w:rFonts w:ascii="Times New Roman" w:hAnsi="Times New Roman" w:eastAsia="Times New Roman"/>
        </w:rPr>
        <w:t>8.7%</w:t>
      </w:r>
      <w:r>
        <w:rPr>
          <w:spacing w:val="-7"/>
        </w:rPr>
        <w:t>。在疫情冲击之下，公司在欧洲实现快于</w:t>
      </w:r>
      <w:r>
        <w:rPr>
          <w:spacing w:val="-16"/>
        </w:rPr>
        <w:t>行业的表现，主要源于①充分借鉴国内抗疫经验。欧洲团队积极与总部沟通，通过借鉴相关经验， </w:t>
      </w:r>
      <w:r>
        <w:rPr>
          <w:spacing w:val="-7"/>
        </w:rPr>
        <w:t>快速实现线下转线上的销售，积极增加社交媒体热度。疫情后期，欧洲团队加速渠道融合，线下</w:t>
      </w:r>
      <w:r>
        <w:rPr>
          <w:spacing w:val="-5"/>
        </w:rPr>
        <w:t>开设旗舰店、品牌墙和店中店，线上开设专卖店，提升品牌认可；②针对疫情催生的需求，推出</w:t>
      </w:r>
      <w:r>
        <w:rPr>
          <w:spacing w:val="-4"/>
        </w:rPr>
        <w:t>了一系列便利生活的产品，包括超大容量的全空间保鲜冰箱、蒸汽消毒杀菌的洗衣机、大容量冷</w:t>
      </w:r>
      <w:r>
        <w:rPr>
          <w:spacing w:val="-7"/>
        </w:rPr>
        <w:t>柜、智能互联的全系列厨具产品以及 </w:t>
      </w:r>
      <w:r>
        <w:rPr>
          <w:rFonts w:ascii="Times New Roman" w:hAnsi="Times New Roman" w:eastAsia="Times New Roman"/>
        </w:rPr>
        <w:t>56℃</w:t>
      </w:r>
      <w:r>
        <w:rPr>
          <w:spacing w:val="-6"/>
        </w:rPr>
        <w:t>空调等；③欧洲工厂提前做好充分准备，严格按照当地</w:t>
      </w:r>
    </w:p>
    <w:p>
      <w:pPr>
        <w:spacing w:after="0" w:line="364" w:lineRule="auto"/>
        <w:jc w:val="both"/>
        <w:sectPr>
          <w:pgSz w:w="11910" w:h="16840"/>
          <w:pgMar w:header="874" w:footer="1214" w:top="1360" w:bottom="1400" w:left="1040" w:right="760"/>
        </w:sectPr>
      </w:pPr>
    </w:p>
    <w:p>
      <w:pPr>
        <w:pStyle w:val="BodyText"/>
        <w:spacing w:line="364" w:lineRule="auto" w:before="68"/>
        <w:ind w:left="237" w:right="1038"/>
        <w:jc w:val="both"/>
      </w:pPr>
      <w:r>
        <w:rPr/>
        <w:t>政府要求做好防疫措施，在确保安全前提下，率先复工复产，满足了市场需求；④欧洲市场积极推动异业联盟，洗衣机与洗涤剂厂商合作，并突出静音和蒸汽洗的功能；烤箱与卖半成品食物和葡萄酒的平台合作，使消费体验更加丰富便利。</w:t>
      </w:r>
    </w:p>
    <w:p>
      <w:pPr>
        <w:pStyle w:val="Heading4"/>
        <w:numPr>
          <w:ilvl w:val="0"/>
          <w:numId w:val="10"/>
        </w:numPr>
        <w:tabs>
          <w:tab w:pos="922" w:val="left" w:leader="none"/>
        </w:tabs>
        <w:spacing w:line="317" w:lineRule="exact" w:before="0" w:after="0"/>
        <w:ind w:left="921" w:right="0" w:hanging="263"/>
        <w:jc w:val="left"/>
      </w:pPr>
      <w:r>
        <w:rPr/>
        <w:t>澳新市场</w:t>
      </w:r>
    </w:p>
    <w:p>
      <w:pPr>
        <w:pStyle w:val="BodyText"/>
        <w:spacing w:line="364" w:lineRule="auto" w:before="91"/>
        <w:ind w:left="237" w:right="1028" w:firstLine="420"/>
        <w:jc w:val="both"/>
      </w:pPr>
      <w:r>
        <w:rPr>
          <w:spacing w:val="-8"/>
        </w:rPr>
        <w:t>澳新市场实现收入 </w:t>
      </w:r>
      <w:r>
        <w:rPr>
          <w:rFonts w:ascii="Times New Roman" w:eastAsia="Times New Roman"/>
        </w:rPr>
        <w:t>59.79 </w:t>
      </w:r>
      <w:r>
        <w:rPr>
          <w:spacing w:val="-9"/>
        </w:rPr>
        <w:t>亿元，同比增长 </w:t>
      </w:r>
      <w:r>
        <w:rPr>
          <w:rFonts w:ascii="Times New Roman" w:eastAsia="Times New Roman"/>
        </w:rPr>
        <w:t>11.71%</w:t>
      </w:r>
      <w:r>
        <w:rPr>
          <w:spacing w:val="-4"/>
        </w:rPr>
        <w:t>；其中海尔品牌抓住健康、杀菌等新的用户</w:t>
      </w:r>
      <w:r>
        <w:rPr>
          <w:spacing w:val="2"/>
        </w:rPr>
        <w:t>需求，推出全新</w:t>
      </w:r>
      <w:r>
        <w:rPr>
          <w:rFonts w:ascii="Times New Roman" w:eastAsia="Times New Roman"/>
        </w:rPr>
        <w:t>T </w:t>
      </w:r>
      <w:r>
        <w:rPr>
          <w:spacing w:val="-6"/>
        </w:rPr>
        <w:t>门冰箱产品及洗碗机产品，带动全年收入增长 </w:t>
      </w:r>
      <w:r>
        <w:rPr>
          <w:rFonts w:ascii="Times New Roman" w:eastAsia="Times New Roman"/>
          <w:spacing w:val="-4"/>
        </w:rPr>
        <w:t>69%</w:t>
      </w:r>
      <w:r>
        <w:rPr>
          <w:spacing w:val="-4"/>
        </w:rPr>
        <w:t>；在线上通过优化体验，聚</w:t>
      </w:r>
      <w:r>
        <w:rPr>
          <w:spacing w:val="-3"/>
        </w:rPr>
        <w:t>焦高端，升级产品，实现收入翻倍增长。</w:t>
      </w:r>
    </w:p>
    <w:p>
      <w:pPr>
        <w:pStyle w:val="BodyText"/>
        <w:spacing w:line="364" w:lineRule="auto"/>
        <w:ind w:left="237" w:right="1028" w:firstLine="420"/>
        <w:jc w:val="both"/>
      </w:pPr>
      <w:r>
        <w:rPr>
          <w:rFonts w:ascii="Times New Roman" w:eastAsia="Times New Roman"/>
        </w:rPr>
        <w:t>2020</w:t>
      </w:r>
      <w:r>
        <w:rPr>
          <w:rFonts w:ascii="Times New Roman" w:eastAsia="Times New Roman"/>
          <w:spacing w:val="8"/>
        </w:rPr>
        <w:t> </w:t>
      </w:r>
      <w:r>
        <w:rPr>
          <w:spacing w:val="-3"/>
        </w:rPr>
        <w:t>年上半年，严格的封城措施影响居民消费，</w:t>
      </w:r>
      <w:r>
        <w:rPr>
          <w:rFonts w:ascii="Times New Roman" w:eastAsia="Times New Roman"/>
        </w:rPr>
        <w:t>3</w:t>
      </w:r>
      <w:r>
        <w:rPr>
          <w:rFonts w:ascii="Times New Roman" w:eastAsia="Times New Roman"/>
          <w:spacing w:val="10"/>
        </w:rPr>
        <w:t> </w:t>
      </w:r>
      <w:r>
        <w:rPr/>
        <w:t>月</w:t>
      </w:r>
      <w:r>
        <w:rPr>
          <w:rFonts w:ascii="Times New Roman" w:eastAsia="Times New Roman"/>
        </w:rPr>
        <w:t>-5</w:t>
      </w:r>
      <w:r>
        <w:rPr>
          <w:rFonts w:ascii="Times New Roman" w:eastAsia="Times New Roman"/>
          <w:spacing w:val="12"/>
        </w:rPr>
        <w:t> </w:t>
      </w:r>
      <w:r>
        <w:rPr>
          <w:spacing w:val="-3"/>
        </w:rPr>
        <w:t>月期间新西兰各家电零售渠道销售额</w:t>
      </w:r>
      <w:r>
        <w:rPr>
          <w:spacing w:val="-6"/>
        </w:rPr>
        <w:t>平均下降达 </w:t>
      </w:r>
      <w:r>
        <w:rPr>
          <w:rFonts w:ascii="Times New Roman" w:eastAsia="Times New Roman"/>
          <w:spacing w:val="-4"/>
        </w:rPr>
        <w:t>70-80%</w:t>
      </w:r>
      <w:r>
        <w:rPr>
          <w:spacing w:val="-7"/>
        </w:rPr>
        <w:t>；下半年公司抓住疫情缓和，市场需求回升的机会，依托全球供应链平台，全</w:t>
      </w:r>
      <w:r>
        <w:rPr>
          <w:spacing w:val="-5"/>
        </w:rPr>
        <w:t>流程整合协调资源，与上下游伙伴保持积极沟通，确保充足的库存供应，推出灵活的营销方案， </w:t>
      </w:r>
      <w:r>
        <w:rPr>
          <w:spacing w:val="-4"/>
        </w:rPr>
        <w:t>为增长奠定基础。</w:t>
      </w:r>
    </w:p>
    <w:p>
      <w:pPr>
        <w:pStyle w:val="BodyText"/>
        <w:spacing w:line="364" w:lineRule="auto"/>
        <w:ind w:left="237" w:right="1028" w:firstLine="420"/>
        <w:jc w:val="both"/>
      </w:pPr>
      <w:r>
        <w:rPr>
          <w:spacing w:val="-3"/>
        </w:rPr>
        <w:t>新冠疫情催生了用户对大储存空间、健康灭菌、长效保鲜的需求，针对这一趋势，总部和当</w:t>
      </w:r>
      <w:r>
        <w:rPr>
          <w:spacing w:val="-11"/>
        </w:rPr>
        <w:t>地团队迅速响应，联合开发 </w:t>
      </w:r>
      <w:r>
        <w:rPr>
          <w:rFonts w:ascii="Times New Roman" w:hAnsi="Times New Roman" w:eastAsia="Times New Roman"/>
        </w:rPr>
        <w:t>HRF565T </w:t>
      </w:r>
      <w:r>
        <w:rPr>
          <w:spacing w:val="-4"/>
        </w:rPr>
        <w:t>门升级产品，</w:t>
      </w:r>
      <w:r>
        <w:rPr>
          <w:rFonts w:ascii="Times New Roman" w:hAnsi="Times New Roman" w:eastAsia="Times New Roman"/>
          <w:spacing w:val="-7"/>
        </w:rPr>
        <w:t>RF605 </w:t>
      </w:r>
      <w:r>
        <w:rPr>
          <w:spacing w:val="-11"/>
        </w:rPr>
        <w:t>系列迭代产品，一方面在 </w:t>
      </w:r>
      <w:r>
        <w:rPr>
          <w:rFonts w:ascii="Times New Roman" w:hAnsi="Times New Roman" w:eastAsia="Times New Roman"/>
        </w:rPr>
        <w:t>TGG/HNV </w:t>
      </w:r>
      <w:r>
        <w:rPr/>
        <w:t>渠</w:t>
      </w:r>
      <w:r>
        <w:rPr>
          <w:spacing w:val="1"/>
        </w:rPr>
        <w:t>道展示健康场景，同时在</w:t>
      </w:r>
      <w:r>
        <w:rPr>
          <w:rFonts w:ascii="Times New Roman" w:hAnsi="Times New Roman" w:eastAsia="Times New Roman"/>
        </w:rPr>
        <w:t>Facebook</w:t>
      </w:r>
      <w:r>
        <w:rPr/>
        <w:t>、</w:t>
      </w:r>
      <w:r>
        <w:rPr>
          <w:rFonts w:ascii="Times New Roman" w:hAnsi="Times New Roman" w:eastAsia="Times New Roman"/>
        </w:rPr>
        <w:t>Instagram </w:t>
      </w:r>
      <w:r>
        <w:rPr>
          <w:spacing w:val="-3"/>
        </w:rPr>
        <w:t>等社交媒体上开启</w:t>
      </w:r>
      <w:r>
        <w:rPr>
          <w:rFonts w:ascii="Times New Roman" w:hAnsi="Times New Roman" w:eastAsia="Times New Roman"/>
        </w:rPr>
        <w:t>‘Social Kitchen’</w:t>
      </w:r>
      <w:r>
        <w:rPr>
          <w:spacing w:val="-3"/>
        </w:rPr>
        <w:t>对话，向用户推</w:t>
      </w:r>
      <w:r>
        <w:rPr>
          <w:spacing w:val="-2"/>
        </w:rPr>
        <w:t>送产品设计、生活小贴士、健康食谱等内容，全方位展示了</w:t>
      </w:r>
      <w:r>
        <w:rPr>
          <w:rFonts w:ascii="Times New Roman" w:hAnsi="Times New Roman" w:eastAsia="Times New Roman"/>
        </w:rPr>
        <w:t>T </w:t>
      </w:r>
      <w:r>
        <w:rPr>
          <w:spacing w:val="-3"/>
        </w:rPr>
        <w:t>门冰箱的可变温区、分区储存和智</w:t>
      </w:r>
      <w:r>
        <w:rPr>
          <w:spacing w:val="-6"/>
        </w:rPr>
        <w:t>能保鲜等场景，带动了冰箱实现全年收入 </w:t>
      </w:r>
      <w:r>
        <w:rPr>
          <w:rFonts w:ascii="Times New Roman" w:hAnsi="Times New Roman" w:eastAsia="Times New Roman"/>
        </w:rPr>
        <w:t>13%</w:t>
      </w:r>
      <w:r>
        <w:rPr>
          <w:spacing w:val="-2"/>
        </w:rPr>
        <w:t>的增长。</w:t>
      </w:r>
    </w:p>
    <w:p>
      <w:pPr>
        <w:pStyle w:val="Heading4"/>
        <w:numPr>
          <w:ilvl w:val="0"/>
          <w:numId w:val="10"/>
        </w:numPr>
        <w:tabs>
          <w:tab w:pos="922" w:val="left" w:leader="none"/>
        </w:tabs>
        <w:spacing w:line="374" w:lineRule="exact" w:before="0" w:after="0"/>
        <w:ind w:left="921" w:right="0" w:hanging="263"/>
        <w:jc w:val="left"/>
      </w:pPr>
      <w:r>
        <w:rPr/>
        <w:t>南亚市场</w:t>
      </w:r>
    </w:p>
    <w:p>
      <w:pPr>
        <w:pStyle w:val="BodyText"/>
        <w:spacing w:before="150"/>
        <w:ind w:left="657"/>
        <w:jc w:val="both"/>
      </w:pPr>
      <w:r>
        <w:rPr/>
        <w:t>期内，实现收入 </w:t>
      </w:r>
      <w:r>
        <w:rPr>
          <w:rFonts w:ascii="Times New Roman" w:eastAsia="Times New Roman"/>
        </w:rPr>
        <w:t>54.72 </w:t>
      </w:r>
      <w:r>
        <w:rPr/>
        <w:t>亿元，同比下降 </w:t>
      </w:r>
      <w:r>
        <w:rPr>
          <w:rFonts w:ascii="Times New Roman" w:eastAsia="Times New Roman"/>
        </w:rPr>
        <w:t>13.69%</w:t>
      </w:r>
      <w:r>
        <w:rPr/>
        <w:t>。</w:t>
      </w:r>
    </w:p>
    <w:p>
      <w:pPr>
        <w:pStyle w:val="BodyText"/>
        <w:spacing w:before="7"/>
        <w:rPr>
          <w:sz w:val="15"/>
        </w:rPr>
      </w:pPr>
    </w:p>
    <w:p>
      <w:pPr>
        <w:pStyle w:val="BodyText"/>
        <w:spacing w:line="364" w:lineRule="auto"/>
        <w:ind w:left="237" w:right="1031" w:firstLine="420"/>
        <w:jc w:val="both"/>
      </w:pPr>
      <w:r>
        <w:rPr>
          <w:spacing w:val="-6"/>
        </w:rPr>
        <w:t>印度市场三月底至六月底实施城镇封锁，导致行业错失销售旺季，整体负增长约 </w:t>
      </w:r>
      <w:r>
        <w:rPr>
          <w:rFonts w:ascii="Times New Roman" w:hAnsi="Times New Roman" w:eastAsia="Times New Roman"/>
        </w:rPr>
        <w:t>35%</w:t>
      </w:r>
      <w:r>
        <w:rPr>
          <w:spacing w:val="-3"/>
        </w:rPr>
        <w:t>，针对疫情催生的新的需求，公司主推健康杀菌等产品卖点，增强大尺寸大容积产品竞争力；网络持续</w:t>
      </w:r>
      <w:r>
        <w:rPr>
          <w:spacing w:val="-5"/>
        </w:rPr>
        <w:t>下沉，伞下店覆盖率提升至近 </w:t>
      </w:r>
      <w:r>
        <w:rPr>
          <w:rFonts w:ascii="Times New Roman" w:hAnsi="Times New Roman" w:eastAsia="Times New Roman"/>
        </w:rPr>
        <w:t>70%</w:t>
      </w:r>
      <w:r>
        <w:rPr>
          <w:spacing w:val="-3"/>
        </w:rPr>
        <w:t>；滚筒洗衣机的生产逐步当地化，带动产品、品牌竞争力持续</w:t>
      </w:r>
      <w:r>
        <w:rPr>
          <w:spacing w:val="-4"/>
        </w:rPr>
        <w:t>提升。受疫情蔓延影响，巴基斯坦市场容量萎缩，但公司本币收入增幅超过 </w:t>
      </w:r>
      <w:r>
        <w:rPr>
          <w:rFonts w:ascii="Times New Roman" w:hAnsi="Times New Roman" w:eastAsia="Times New Roman"/>
        </w:rPr>
        <w:t>17%</w:t>
      </w:r>
      <w:r>
        <w:rPr>
          <w:spacing w:val="-3"/>
        </w:rPr>
        <w:t>，主要得益于不断优化升级当地运营流程，包括①线下网络持续拓展，并大力发展电商渠道，线上零售额增幅超</w:t>
      </w:r>
      <w:r>
        <w:rPr>
          <w:spacing w:val="-9"/>
        </w:rPr>
        <w:t>过 </w:t>
      </w:r>
      <w:r>
        <w:rPr>
          <w:rFonts w:ascii="Times New Roman" w:hAnsi="Times New Roman" w:eastAsia="Times New Roman"/>
          <w:spacing w:val="-8"/>
        </w:rPr>
        <w:t>300%</w:t>
      </w:r>
      <w:r>
        <w:rPr>
          <w:spacing w:val="-10"/>
        </w:rPr>
        <w:t>；②产品高中低端阵容逐渐完善，适应不同消费层级需求。全自动洗衣机持续引领市场， </w:t>
      </w:r>
      <w:r>
        <w:rPr>
          <w:spacing w:val="-5"/>
        </w:rPr>
        <w:t>空净一体空调为用户提供健康空气解决方案，智能产品占比提升；③冰箱、家用冷柜、空调、洗</w:t>
      </w:r>
      <w:r>
        <w:rPr>
          <w:spacing w:val="-4"/>
        </w:rPr>
        <w:t>衣机均达到市场份额第一。</w:t>
      </w:r>
    </w:p>
    <w:p>
      <w:pPr>
        <w:pStyle w:val="Heading4"/>
        <w:numPr>
          <w:ilvl w:val="0"/>
          <w:numId w:val="10"/>
        </w:numPr>
        <w:tabs>
          <w:tab w:pos="1082" w:val="left" w:leader="none"/>
        </w:tabs>
        <w:spacing w:line="374" w:lineRule="exact" w:before="0" w:after="0"/>
        <w:ind w:left="1082" w:right="0" w:hanging="423"/>
        <w:jc w:val="left"/>
      </w:pPr>
      <w:r>
        <w:rPr/>
        <w:t>东南亚市场</w:t>
      </w:r>
    </w:p>
    <w:p>
      <w:pPr>
        <w:pStyle w:val="BodyText"/>
        <w:spacing w:line="364" w:lineRule="auto" w:before="151"/>
        <w:ind w:left="237" w:right="1028" w:firstLine="420"/>
        <w:jc w:val="both"/>
      </w:pPr>
      <w:r>
        <w:rPr>
          <w:spacing w:val="-10"/>
        </w:rPr>
        <w:t>实现收入 </w:t>
      </w:r>
      <w:r>
        <w:rPr>
          <w:rFonts w:ascii="Times New Roman" w:hAnsi="Times New Roman" w:eastAsia="Times New Roman"/>
        </w:rPr>
        <w:t>41.23 </w:t>
      </w:r>
      <w:r>
        <w:rPr>
          <w:spacing w:val="-8"/>
        </w:rPr>
        <w:t>亿元，同比增长 </w:t>
      </w:r>
      <w:r>
        <w:rPr>
          <w:rFonts w:ascii="Times New Roman" w:hAnsi="Times New Roman" w:eastAsia="Times New Roman"/>
        </w:rPr>
        <w:t>11.26%</w:t>
      </w:r>
      <w:r>
        <w:rPr>
          <w:spacing w:val="-3"/>
        </w:rPr>
        <w:t>。报告期内，公司聚焦品牌差异化营销，推进体验店建设，推进全网渠道覆盖；优化售后流程，加强对电话中心、售后网络和备件管理，提升响应速</w:t>
      </w:r>
      <w:r>
        <w:rPr>
          <w:spacing w:val="-2"/>
        </w:rPr>
        <w:t>度、售后服务体验；推进销售预测和</w:t>
      </w:r>
      <w:r>
        <w:rPr>
          <w:rFonts w:ascii="Times New Roman" w:hAnsi="Times New Roman" w:eastAsia="Times New Roman"/>
        </w:rPr>
        <w:t>PC </w:t>
      </w:r>
      <w:r>
        <w:rPr>
          <w:spacing w:val="-5"/>
        </w:rPr>
        <w:t>管理，增强对市场的控制能力和反应速度。持续聚焦</w:t>
      </w:r>
      <w:r>
        <w:rPr>
          <w:rFonts w:ascii="Times New Roman" w:hAnsi="Times New Roman" w:eastAsia="Times New Roman"/>
          <w:spacing w:val="-3"/>
        </w:rPr>
        <w:t>“</w:t>
      </w:r>
      <w:r>
        <w:rPr/>
        <w:t>中</w:t>
      </w:r>
      <w:r>
        <w:rPr>
          <w:spacing w:val="-1"/>
        </w:rPr>
        <w:t>高端产品</w:t>
      </w:r>
      <w:r>
        <w:rPr>
          <w:rFonts w:ascii="Times New Roman" w:hAnsi="Times New Roman" w:eastAsia="Times New Roman"/>
          <w:spacing w:val="-3"/>
        </w:rPr>
        <w:t>”</w:t>
      </w:r>
      <w:r>
        <w:rPr/>
        <w:t>和</w:t>
      </w:r>
      <w:r>
        <w:rPr>
          <w:rFonts w:ascii="Times New Roman" w:hAnsi="Times New Roman" w:eastAsia="Times New Roman"/>
        </w:rPr>
        <w:t>“</w:t>
      </w:r>
      <w:r>
        <w:rPr>
          <w:spacing w:val="-3"/>
        </w:rPr>
        <w:t>终端零售</w:t>
      </w:r>
      <w:r>
        <w:rPr>
          <w:rFonts w:ascii="Times New Roman" w:hAnsi="Times New Roman" w:eastAsia="Times New Roman"/>
        </w:rPr>
        <w:t>”</w:t>
      </w:r>
      <w:r>
        <w:rPr>
          <w:spacing w:val="-9"/>
        </w:rPr>
        <w:t>两个转型，精准把握用户需求，依托全球供应链，不断优化产品阵容；抓</w:t>
      </w:r>
      <w:r>
        <w:rPr>
          <w:spacing w:val="-5"/>
        </w:rPr>
        <w:t>住疫情带来的线上销售增长机会，通过智能全场景体验，满足用户需求。</w:t>
      </w:r>
    </w:p>
    <w:p>
      <w:pPr>
        <w:pStyle w:val="Heading4"/>
        <w:numPr>
          <w:ilvl w:val="0"/>
          <w:numId w:val="10"/>
        </w:numPr>
        <w:tabs>
          <w:tab w:pos="922" w:val="left" w:leader="none"/>
        </w:tabs>
        <w:spacing w:line="374" w:lineRule="exact" w:before="0" w:after="0"/>
        <w:ind w:left="921" w:right="0" w:hanging="263"/>
        <w:jc w:val="left"/>
      </w:pPr>
      <w:r>
        <w:rPr/>
        <w:t>日本市场</w:t>
      </w:r>
    </w:p>
    <w:p>
      <w:pPr>
        <w:spacing w:after="0" w:line="374" w:lineRule="exact"/>
        <w:jc w:val="left"/>
        <w:sectPr>
          <w:pgSz w:w="11910" w:h="16840"/>
          <w:pgMar w:header="874" w:footer="1214" w:top="1360" w:bottom="1400" w:left="1040" w:right="760"/>
        </w:sectPr>
      </w:pPr>
    </w:p>
    <w:p>
      <w:pPr>
        <w:pStyle w:val="BodyText"/>
        <w:spacing w:line="364" w:lineRule="auto" w:before="68"/>
        <w:ind w:left="237" w:right="1028" w:firstLine="424"/>
      </w:pPr>
      <w:r>
        <w:rPr>
          <w:spacing w:val="-10"/>
        </w:rPr>
        <w:t>实现收入 </w:t>
      </w:r>
      <w:r>
        <w:rPr>
          <w:rFonts w:ascii="Times New Roman" w:hAnsi="Times New Roman" w:eastAsia="Times New Roman"/>
        </w:rPr>
        <w:t>36.13 </w:t>
      </w:r>
      <w:r>
        <w:rPr>
          <w:spacing w:val="-9"/>
        </w:rPr>
        <w:t>亿元，同比增长 </w:t>
      </w:r>
      <w:r>
        <w:rPr>
          <w:rFonts w:ascii="Times New Roman" w:hAnsi="Times New Roman" w:eastAsia="Times New Roman"/>
        </w:rPr>
        <w:t>11.2%</w:t>
      </w:r>
      <w:r>
        <w:rPr>
          <w:spacing w:val="-3"/>
        </w:rPr>
        <w:t>。日本市场增长动力包括①加速高端品牌建设，优化</w:t>
      </w:r>
      <w:r>
        <w:rPr>
          <w:spacing w:val="-8"/>
        </w:rPr>
        <w:t>产品结构。公司推出 </w:t>
      </w:r>
      <w:r>
        <w:rPr>
          <w:rFonts w:ascii="Times New Roman" w:hAnsi="Times New Roman" w:eastAsia="Times New Roman"/>
        </w:rPr>
        <w:t>AQUA </w:t>
      </w:r>
      <w:r>
        <w:rPr>
          <w:spacing w:val="-17"/>
        </w:rPr>
        <w:t>全新 </w:t>
      </w:r>
      <w:r>
        <w:rPr>
          <w:rFonts w:ascii="Times New Roman" w:hAnsi="Times New Roman" w:eastAsia="Times New Roman"/>
        </w:rPr>
        <w:t>Delie </w:t>
      </w:r>
      <w:r>
        <w:rPr>
          <w:spacing w:val="-3"/>
        </w:rPr>
        <w:t>系列冰箱，扩大超大型、大型产品阵容，同时推出日本独一无二的超音波系列洗衣机，引领市场。②挖掘消费需求，推出差异化创新产品。抓住用户疫情</w:t>
      </w:r>
      <w:r>
        <w:rPr>
          <w:spacing w:val="-6"/>
        </w:rPr>
        <w:t>期间居家时间延长对大容量冰冷产品的需求，迅速上市 </w:t>
      </w:r>
      <w:r>
        <w:rPr>
          <w:rFonts w:ascii="Times New Roman" w:hAnsi="Times New Roman" w:eastAsia="Times New Roman"/>
        </w:rPr>
        <w:t>280L </w:t>
      </w:r>
      <w:r>
        <w:rPr>
          <w:spacing w:val="-6"/>
        </w:rPr>
        <w:t>行业最大容量立式冷柜以及 </w:t>
      </w:r>
      <w:r>
        <w:rPr>
          <w:rFonts w:ascii="Times New Roman" w:hAnsi="Times New Roman" w:eastAsia="Times New Roman"/>
        </w:rPr>
        <w:t>3IN2 </w:t>
      </w:r>
      <w:r>
        <w:rPr/>
        <w:t>变</w:t>
      </w:r>
      <w:r>
        <w:rPr>
          <w:spacing w:val="-11"/>
        </w:rPr>
        <w:t>温系列冰箱等高端产品；③深化社区洗场景布局，在疫情突现、社区洗市场停滞的情况下，</w:t>
      </w:r>
      <w:r>
        <w:rPr>
          <w:rFonts w:ascii="Times New Roman" w:hAnsi="Times New Roman" w:eastAsia="Times New Roman"/>
          <w:spacing w:val="-11"/>
        </w:rPr>
        <w:t>AQUA </w:t>
      </w:r>
      <w:r>
        <w:rPr>
          <w:spacing w:val="-13"/>
        </w:rPr>
        <w:t>智能社区洗围绕用户场景体验的迭代需求，吸引异业合作方不断加入平台共创，市场份额持续 </w:t>
      </w:r>
      <w:r>
        <w:rPr>
          <w:rFonts w:ascii="Times New Roman" w:hAnsi="Times New Roman" w:eastAsia="Times New Roman"/>
        </w:rPr>
        <w:t>70% </w:t>
      </w:r>
      <w:r>
        <w:rPr>
          <w:spacing w:val="-3"/>
        </w:rPr>
        <w:t>以上绝对引领，从</w:t>
      </w:r>
      <w:r>
        <w:rPr>
          <w:rFonts w:ascii="Times New Roman" w:hAnsi="Times New Roman" w:eastAsia="Times New Roman"/>
          <w:spacing w:val="-3"/>
        </w:rPr>
        <w:t>“</w:t>
      </w:r>
      <w:r>
        <w:rPr>
          <w:spacing w:val="-3"/>
        </w:rPr>
        <w:t>高端绝对引领</w:t>
      </w:r>
      <w:r>
        <w:rPr>
          <w:rFonts w:ascii="Times New Roman" w:hAnsi="Times New Roman" w:eastAsia="Times New Roman"/>
        </w:rPr>
        <w:t>”</w:t>
      </w:r>
      <w:r>
        <w:rPr/>
        <w:t>向</w:t>
      </w:r>
      <w:r>
        <w:rPr>
          <w:rFonts w:ascii="Times New Roman" w:hAnsi="Times New Roman" w:eastAsia="Times New Roman"/>
          <w:spacing w:val="-3"/>
        </w:rPr>
        <w:t>“</w:t>
      </w:r>
      <w:r>
        <w:rPr>
          <w:spacing w:val="-3"/>
        </w:rPr>
        <w:t>场景生态引领</w:t>
      </w:r>
      <w:r>
        <w:rPr>
          <w:rFonts w:ascii="Times New Roman" w:hAnsi="Times New Roman" w:eastAsia="Times New Roman"/>
          <w:spacing w:val="-3"/>
        </w:rPr>
        <w:t>”</w:t>
      </w:r>
      <w:r>
        <w:rPr>
          <w:spacing w:val="-1"/>
        </w:rPr>
        <w:t>进化突破。</w:t>
      </w:r>
    </w:p>
    <w:p>
      <w:pPr>
        <w:pStyle w:val="BodyText"/>
        <w:spacing w:before="3"/>
        <w:rPr>
          <w:sz w:val="27"/>
        </w:rPr>
      </w:pPr>
    </w:p>
    <w:p>
      <w:pPr>
        <w:pStyle w:val="Heading4"/>
        <w:ind w:left="237"/>
      </w:pPr>
      <w:r>
        <w:rPr/>
        <w:t>二、报告期内主要经营情况</w:t>
      </w:r>
    </w:p>
    <w:p>
      <w:pPr>
        <w:pStyle w:val="BodyText"/>
        <w:spacing w:before="154"/>
        <w:ind w:left="662"/>
      </w:pPr>
      <w:r>
        <w:rPr/>
        <w:t>参见本章节“一、经营情况讨论与分析”的相关表述。</w:t>
      </w:r>
    </w:p>
    <w:p>
      <w:pPr>
        <w:pStyle w:val="BodyText"/>
        <w:spacing w:before="12"/>
        <w:rPr>
          <w:sz w:val="9"/>
        </w:rPr>
      </w:pPr>
    </w:p>
    <w:p>
      <w:pPr>
        <w:pStyle w:val="Heading4"/>
        <w:tabs>
          <w:tab w:pos="1077" w:val="left" w:leader="none"/>
        </w:tabs>
        <w:spacing w:line="359" w:lineRule="exact" w:before="2"/>
        <w:ind w:left="237"/>
      </w:pPr>
      <w:r>
        <w:rPr>
          <w:w w:val="125"/>
        </w:rPr>
        <w:t>(</w:t>
      </w:r>
      <w:r>
        <w:rPr>
          <w:w w:val="110"/>
        </w:rPr>
        <w:t>一</w:t>
      </w:r>
      <w:r>
        <w:rPr>
          <w:w w:val="125"/>
        </w:rPr>
        <w:t>)</w:t>
        <w:tab/>
      </w:r>
      <w:r>
        <w:rPr>
          <w:w w:val="110"/>
        </w:rPr>
        <w:t>主营业务分析</w:t>
      </w:r>
    </w:p>
    <w:p>
      <w:pPr>
        <w:pStyle w:val="Heading4"/>
        <w:numPr>
          <w:ilvl w:val="0"/>
          <w:numId w:val="11"/>
        </w:numPr>
        <w:tabs>
          <w:tab w:pos="657" w:val="left" w:leader="none"/>
          <w:tab w:pos="658" w:val="left" w:leader="none"/>
        </w:tabs>
        <w:spacing w:line="359" w:lineRule="exact" w:before="0" w:after="0"/>
        <w:ind w:left="657" w:right="0" w:hanging="421"/>
        <w:jc w:val="left"/>
      </w:pPr>
      <w:r>
        <w:rPr>
          <w:spacing w:val="-2"/>
        </w:rPr>
        <w:t>利润表及现金流量表相关科目变动分析表</w:t>
      </w:r>
    </w:p>
    <w:p>
      <w:pPr>
        <w:pStyle w:val="BodyText"/>
        <w:tabs>
          <w:tab w:pos="900" w:val="left" w:leader="none"/>
        </w:tabs>
        <w:spacing w:before="17"/>
        <w:ind w:right="1031"/>
        <w:jc w:val="right"/>
      </w:pPr>
      <w:r>
        <w:rPr/>
        <w:t>单位</w:t>
      </w:r>
      <w:r>
        <w:rPr>
          <w:rFonts w:ascii="Times New Roman" w:eastAsia="Times New Roman"/>
        </w:rPr>
        <w:t>:</w:t>
      </w:r>
      <w:r>
        <w:rPr/>
        <w:t>元</w:t>
        <w:tab/>
      </w:r>
      <w:r>
        <w:rPr>
          <w:spacing w:val="-3"/>
        </w:rPr>
        <w:t>币</w:t>
      </w:r>
      <w:r>
        <w:rPr>
          <w:spacing w:val="-1"/>
        </w:rPr>
        <w:t>种</w:t>
      </w:r>
      <w:r>
        <w:rPr>
          <w:rFonts w:ascii="Times New Roman" w:eastAsia="Times New Roman"/>
          <w:spacing w:val="-1"/>
        </w:rPr>
        <w:t>:</w:t>
      </w:r>
      <w:r>
        <w:rPr/>
        <w:t>人</w:t>
      </w:r>
      <w:r>
        <w:rPr>
          <w:spacing w:val="-3"/>
        </w:rPr>
        <w:t>民</w:t>
      </w:r>
      <w:r>
        <w:rPr/>
        <w:t>币</w:t>
      </w:r>
    </w:p>
    <w:tbl>
      <w:tblPr>
        <w:tblW w:w="0" w:type="auto"/>
        <w:jc w:val="left"/>
        <w:tblInd w:w="14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359"/>
        <w:gridCol w:w="1897"/>
        <w:gridCol w:w="1897"/>
        <w:gridCol w:w="1900"/>
      </w:tblGrid>
      <w:tr>
        <w:trPr>
          <w:trHeight w:val="272" w:hRule="atLeast"/>
        </w:trPr>
        <w:tc>
          <w:tcPr>
            <w:tcW w:w="3359" w:type="dxa"/>
            <w:tcBorders>
              <w:bottom w:val="single" w:sz="4" w:space="0" w:color="000000"/>
              <w:right w:val="single" w:sz="4" w:space="0" w:color="000000"/>
            </w:tcBorders>
            <w:shd w:val="clear" w:color="auto" w:fill="EDEBE0"/>
          </w:tcPr>
          <w:p>
            <w:pPr>
              <w:pStyle w:val="TableParagraph"/>
              <w:spacing w:line="250" w:lineRule="exact" w:before="3"/>
              <w:ind w:left="1449" w:right="1429"/>
              <w:jc w:val="center"/>
              <w:rPr>
                <w:rFonts w:ascii="宋体" w:eastAsia="宋体" w:hint="eastAsia"/>
                <w:sz w:val="21"/>
              </w:rPr>
            </w:pPr>
            <w:r>
              <w:rPr>
                <w:rFonts w:ascii="宋体" w:eastAsia="宋体" w:hint="eastAsia"/>
                <w:sz w:val="21"/>
              </w:rPr>
              <w:t>科目</w:t>
            </w:r>
          </w:p>
        </w:tc>
        <w:tc>
          <w:tcPr>
            <w:tcW w:w="1897" w:type="dxa"/>
            <w:tcBorders>
              <w:left w:val="single" w:sz="4" w:space="0" w:color="000000"/>
              <w:bottom w:val="single" w:sz="4" w:space="0" w:color="000000"/>
              <w:right w:val="single" w:sz="4" w:space="0" w:color="000000"/>
            </w:tcBorders>
            <w:shd w:val="clear" w:color="auto" w:fill="EDEBE0"/>
          </w:tcPr>
          <w:p>
            <w:pPr>
              <w:pStyle w:val="TableParagraph"/>
              <w:spacing w:line="250" w:lineRule="exact" w:before="3"/>
              <w:ind w:left="640"/>
              <w:rPr>
                <w:rFonts w:ascii="宋体" w:eastAsia="宋体" w:hint="eastAsia"/>
                <w:sz w:val="21"/>
              </w:rPr>
            </w:pPr>
            <w:r>
              <w:rPr>
                <w:rFonts w:ascii="宋体" w:eastAsia="宋体" w:hint="eastAsia"/>
                <w:sz w:val="21"/>
              </w:rPr>
              <w:t>本期数</w:t>
            </w:r>
          </w:p>
        </w:tc>
        <w:tc>
          <w:tcPr>
            <w:tcW w:w="1897" w:type="dxa"/>
            <w:tcBorders>
              <w:left w:val="single" w:sz="4" w:space="0" w:color="000000"/>
              <w:bottom w:val="single" w:sz="4" w:space="0" w:color="000000"/>
              <w:right w:val="single" w:sz="4" w:space="0" w:color="000000"/>
            </w:tcBorders>
            <w:shd w:val="clear" w:color="auto" w:fill="EDEBE0"/>
          </w:tcPr>
          <w:p>
            <w:pPr>
              <w:pStyle w:val="TableParagraph"/>
              <w:spacing w:line="250" w:lineRule="exact" w:before="3"/>
              <w:ind w:left="430"/>
              <w:rPr>
                <w:rFonts w:ascii="宋体" w:eastAsia="宋体" w:hint="eastAsia"/>
                <w:sz w:val="21"/>
              </w:rPr>
            </w:pPr>
            <w:r>
              <w:rPr>
                <w:rFonts w:ascii="宋体" w:eastAsia="宋体" w:hint="eastAsia"/>
                <w:sz w:val="21"/>
              </w:rPr>
              <w:t>上年同期数</w:t>
            </w:r>
          </w:p>
        </w:tc>
        <w:tc>
          <w:tcPr>
            <w:tcW w:w="1900" w:type="dxa"/>
            <w:tcBorders>
              <w:left w:val="single" w:sz="4" w:space="0" w:color="000000"/>
              <w:bottom w:val="single" w:sz="4" w:space="0" w:color="000000"/>
            </w:tcBorders>
            <w:shd w:val="clear" w:color="auto" w:fill="EDEBE0"/>
          </w:tcPr>
          <w:p>
            <w:pPr>
              <w:pStyle w:val="TableParagraph"/>
              <w:spacing w:line="250" w:lineRule="exact" w:before="3"/>
              <w:ind w:left="237"/>
              <w:rPr>
                <w:rFonts w:ascii="宋体" w:eastAsia="宋体" w:hint="eastAsia"/>
                <w:sz w:val="21"/>
              </w:rPr>
            </w:pPr>
            <w:r>
              <w:rPr>
                <w:rFonts w:ascii="宋体" w:eastAsia="宋体" w:hint="eastAsia"/>
                <w:sz w:val="21"/>
              </w:rPr>
              <w:t>变动比例（</w:t>
            </w:r>
            <w:r>
              <w:rPr>
                <w:sz w:val="21"/>
              </w:rPr>
              <w:t>%</w:t>
            </w:r>
            <w:r>
              <w:rPr>
                <w:rFonts w:ascii="宋体" w:eastAsia="宋体" w:hint="eastAsia"/>
                <w:sz w:val="21"/>
              </w:rPr>
              <w:t>）</w:t>
            </w:r>
          </w:p>
        </w:tc>
      </w:tr>
      <w:tr>
        <w:trPr>
          <w:trHeight w:val="273" w:hRule="atLeast"/>
        </w:trPr>
        <w:tc>
          <w:tcPr>
            <w:tcW w:w="3359"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营业收入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209,725,821,099.44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200,761,983,256.57</w:t>
            </w:r>
          </w:p>
        </w:tc>
        <w:tc>
          <w:tcPr>
            <w:tcW w:w="1900" w:type="dxa"/>
            <w:tcBorders>
              <w:top w:val="single" w:sz="4" w:space="0" w:color="000000"/>
              <w:left w:val="single" w:sz="4" w:space="0" w:color="000000"/>
              <w:bottom w:val="single" w:sz="4" w:space="0" w:color="000000"/>
            </w:tcBorders>
          </w:tcPr>
          <w:p>
            <w:pPr>
              <w:pStyle w:val="TableParagraph"/>
              <w:spacing w:line="235" w:lineRule="exact"/>
              <w:ind w:right="77"/>
              <w:jc w:val="right"/>
              <w:rPr>
                <w:sz w:val="21"/>
              </w:rPr>
            </w:pPr>
            <w:r>
              <w:rPr>
                <w:sz w:val="21"/>
              </w:rPr>
              <w:t>4.46</w:t>
            </w:r>
          </w:p>
        </w:tc>
      </w:tr>
      <w:tr>
        <w:trPr>
          <w:trHeight w:val="273" w:hRule="atLeast"/>
        </w:trPr>
        <w:tc>
          <w:tcPr>
            <w:tcW w:w="3359"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营业成本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147,475,181,245.03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140,868,398,722.26</w:t>
            </w:r>
          </w:p>
        </w:tc>
        <w:tc>
          <w:tcPr>
            <w:tcW w:w="1900" w:type="dxa"/>
            <w:tcBorders>
              <w:top w:val="single" w:sz="4" w:space="0" w:color="000000"/>
              <w:left w:val="single" w:sz="4" w:space="0" w:color="000000"/>
              <w:bottom w:val="single" w:sz="4" w:space="0" w:color="000000"/>
            </w:tcBorders>
          </w:tcPr>
          <w:p>
            <w:pPr>
              <w:pStyle w:val="TableParagraph"/>
              <w:spacing w:line="235" w:lineRule="exact"/>
              <w:ind w:right="77"/>
              <w:jc w:val="right"/>
              <w:rPr>
                <w:sz w:val="21"/>
              </w:rPr>
            </w:pPr>
            <w:r>
              <w:rPr>
                <w:sz w:val="21"/>
              </w:rPr>
              <w:t>4.69</w:t>
            </w:r>
          </w:p>
        </w:tc>
      </w:tr>
      <w:tr>
        <w:trPr>
          <w:trHeight w:val="270" w:hRule="atLeast"/>
        </w:trPr>
        <w:tc>
          <w:tcPr>
            <w:tcW w:w="3359"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销售费用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before="7"/>
              <w:ind w:right="85"/>
              <w:jc w:val="right"/>
              <w:rPr>
                <w:sz w:val="21"/>
              </w:rPr>
            </w:pPr>
            <w:r>
              <w:rPr>
                <w:sz w:val="21"/>
              </w:rPr>
              <w:t>33,641,711,147.72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before="7"/>
              <w:ind w:right="85"/>
              <w:jc w:val="right"/>
              <w:rPr>
                <w:sz w:val="21"/>
              </w:rPr>
            </w:pPr>
            <w:r>
              <w:rPr>
                <w:sz w:val="21"/>
              </w:rPr>
              <w:t>33,682,126,291.31</w:t>
            </w:r>
          </w:p>
        </w:tc>
        <w:tc>
          <w:tcPr>
            <w:tcW w:w="1900" w:type="dxa"/>
            <w:tcBorders>
              <w:top w:val="single" w:sz="4" w:space="0" w:color="000000"/>
              <w:left w:val="single" w:sz="4" w:space="0" w:color="000000"/>
              <w:bottom w:val="single" w:sz="4" w:space="0" w:color="000000"/>
            </w:tcBorders>
          </w:tcPr>
          <w:p>
            <w:pPr>
              <w:pStyle w:val="TableParagraph"/>
              <w:spacing w:line="235" w:lineRule="exact"/>
              <w:ind w:right="79"/>
              <w:jc w:val="right"/>
              <w:rPr>
                <w:sz w:val="21"/>
              </w:rPr>
            </w:pPr>
            <w:r>
              <w:rPr>
                <w:sz w:val="21"/>
              </w:rPr>
              <w:t>-0.12</w:t>
            </w:r>
          </w:p>
        </w:tc>
      </w:tr>
      <w:tr>
        <w:trPr>
          <w:trHeight w:val="273" w:hRule="atLeast"/>
        </w:trPr>
        <w:tc>
          <w:tcPr>
            <w:tcW w:w="3359"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管理费用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10,052,645,415.72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10,113,263,329.25</w:t>
            </w:r>
          </w:p>
        </w:tc>
        <w:tc>
          <w:tcPr>
            <w:tcW w:w="1900" w:type="dxa"/>
            <w:tcBorders>
              <w:top w:val="single" w:sz="4" w:space="0" w:color="000000"/>
              <w:left w:val="single" w:sz="4" w:space="0" w:color="000000"/>
              <w:bottom w:val="single" w:sz="4" w:space="0" w:color="000000"/>
            </w:tcBorders>
          </w:tcPr>
          <w:p>
            <w:pPr>
              <w:pStyle w:val="TableParagraph"/>
              <w:spacing w:line="235" w:lineRule="exact"/>
              <w:ind w:right="79"/>
              <w:jc w:val="right"/>
              <w:rPr>
                <w:sz w:val="21"/>
              </w:rPr>
            </w:pPr>
            <w:r>
              <w:rPr>
                <w:sz w:val="21"/>
              </w:rPr>
              <w:t>-0.60</w:t>
            </w:r>
          </w:p>
        </w:tc>
      </w:tr>
      <w:tr>
        <w:trPr>
          <w:trHeight w:val="270" w:hRule="atLeast"/>
        </w:trPr>
        <w:tc>
          <w:tcPr>
            <w:tcW w:w="3359"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研发费用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before="7"/>
              <w:ind w:right="85"/>
              <w:jc w:val="right"/>
              <w:rPr>
                <w:sz w:val="21"/>
              </w:rPr>
            </w:pPr>
            <w:r>
              <w:rPr>
                <w:sz w:val="21"/>
              </w:rPr>
              <w:t>6,860,161,572.42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before="7"/>
              <w:ind w:right="86"/>
              <w:jc w:val="right"/>
              <w:rPr>
                <w:sz w:val="21"/>
              </w:rPr>
            </w:pPr>
            <w:r>
              <w:rPr>
                <w:sz w:val="21"/>
              </w:rPr>
              <w:t>6,266,936,518.17</w:t>
            </w:r>
          </w:p>
        </w:tc>
        <w:tc>
          <w:tcPr>
            <w:tcW w:w="1900" w:type="dxa"/>
            <w:tcBorders>
              <w:top w:val="single" w:sz="4" w:space="0" w:color="000000"/>
              <w:left w:val="single" w:sz="4" w:space="0" w:color="000000"/>
              <w:bottom w:val="single" w:sz="4" w:space="0" w:color="000000"/>
            </w:tcBorders>
          </w:tcPr>
          <w:p>
            <w:pPr>
              <w:pStyle w:val="TableParagraph"/>
              <w:spacing w:line="235" w:lineRule="exact"/>
              <w:ind w:right="77"/>
              <w:jc w:val="right"/>
              <w:rPr>
                <w:sz w:val="21"/>
              </w:rPr>
            </w:pPr>
            <w:r>
              <w:rPr>
                <w:sz w:val="21"/>
              </w:rPr>
              <w:t>9.47</w:t>
            </w:r>
          </w:p>
        </w:tc>
      </w:tr>
      <w:tr>
        <w:trPr>
          <w:trHeight w:val="273" w:hRule="atLeast"/>
        </w:trPr>
        <w:tc>
          <w:tcPr>
            <w:tcW w:w="3359" w:type="dxa"/>
            <w:tcBorders>
              <w:top w:val="single" w:sz="4" w:space="0" w:color="000000"/>
              <w:bottom w:val="single" w:sz="4" w:space="0" w:color="000000"/>
              <w:right w:val="single" w:sz="4" w:space="0" w:color="000000"/>
            </w:tcBorders>
          </w:tcPr>
          <w:p>
            <w:pPr>
              <w:pStyle w:val="TableParagraph"/>
              <w:spacing w:line="250" w:lineRule="exact" w:before="3"/>
              <w:ind w:left="107"/>
              <w:rPr>
                <w:rFonts w:ascii="宋体" w:eastAsia="宋体" w:hint="eastAsia"/>
                <w:sz w:val="21"/>
              </w:rPr>
            </w:pPr>
            <w:r>
              <w:rPr>
                <w:rFonts w:ascii="宋体" w:eastAsia="宋体" w:hint="eastAsia"/>
                <w:sz w:val="21"/>
              </w:rPr>
              <w:t>财务费用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1,196,217,735.43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before="10"/>
              <w:ind w:right="86"/>
              <w:jc w:val="right"/>
              <w:rPr>
                <w:sz w:val="21"/>
              </w:rPr>
            </w:pPr>
            <w:r>
              <w:rPr>
                <w:sz w:val="21"/>
              </w:rPr>
              <w:t>893,017,558.86</w:t>
            </w:r>
          </w:p>
        </w:tc>
        <w:tc>
          <w:tcPr>
            <w:tcW w:w="1900" w:type="dxa"/>
            <w:tcBorders>
              <w:top w:val="single" w:sz="4" w:space="0" w:color="000000"/>
              <w:left w:val="single" w:sz="4" w:space="0" w:color="000000"/>
              <w:bottom w:val="single" w:sz="4" w:space="0" w:color="000000"/>
            </w:tcBorders>
          </w:tcPr>
          <w:p>
            <w:pPr>
              <w:pStyle w:val="TableParagraph"/>
              <w:spacing w:line="237" w:lineRule="exact"/>
              <w:ind w:right="77"/>
              <w:jc w:val="right"/>
              <w:rPr>
                <w:sz w:val="21"/>
              </w:rPr>
            </w:pPr>
            <w:r>
              <w:rPr>
                <w:sz w:val="21"/>
              </w:rPr>
              <w:t>33.95</w:t>
            </w:r>
          </w:p>
        </w:tc>
      </w:tr>
      <w:tr>
        <w:trPr>
          <w:trHeight w:val="273" w:hRule="atLeast"/>
        </w:trPr>
        <w:tc>
          <w:tcPr>
            <w:tcW w:w="3359"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经营活动产生的现金流量净额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17,599,111,715.51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15,082,630,942.73</w:t>
            </w:r>
          </w:p>
        </w:tc>
        <w:tc>
          <w:tcPr>
            <w:tcW w:w="1900" w:type="dxa"/>
            <w:tcBorders>
              <w:top w:val="single" w:sz="4" w:space="0" w:color="000000"/>
              <w:left w:val="single" w:sz="4" w:space="0" w:color="000000"/>
              <w:bottom w:val="single" w:sz="4" w:space="0" w:color="000000"/>
            </w:tcBorders>
          </w:tcPr>
          <w:p>
            <w:pPr>
              <w:pStyle w:val="TableParagraph"/>
              <w:spacing w:line="235" w:lineRule="exact"/>
              <w:ind w:right="77"/>
              <w:jc w:val="right"/>
              <w:rPr>
                <w:sz w:val="21"/>
              </w:rPr>
            </w:pPr>
            <w:r>
              <w:rPr>
                <w:sz w:val="21"/>
              </w:rPr>
              <w:t>16.68</w:t>
            </w:r>
          </w:p>
        </w:tc>
      </w:tr>
      <w:tr>
        <w:trPr>
          <w:trHeight w:val="271" w:hRule="atLeast"/>
        </w:trPr>
        <w:tc>
          <w:tcPr>
            <w:tcW w:w="3359"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投资活动产生的现金流量净额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before="8"/>
              <w:ind w:right="85"/>
              <w:jc w:val="right"/>
              <w:rPr>
                <w:sz w:val="21"/>
              </w:rPr>
            </w:pPr>
            <w:r>
              <w:rPr>
                <w:sz w:val="21"/>
              </w:rPr>
              <w:t>-5,264,150,809.37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before="8"/>
              <w:ind w:right="86"/>
              <w:jc w:val="right"/>
              <w:rPr>
                <w:sz w:val="21"/>
              </w:rPr>
            </w:pPr>
            <w:r>
              <w:rPr>
                <w:sz w:val="21"/>
              </w:rPr>
              <w:t>-10,961,583,141.21</w:t>
            </w:r>
          </w:p>
        </w:tc>
        <w:tc>
          <w:tcPr>
            <w:tcW w:w="1900" w:type="dxa"/>
            <w:tcBorders>
              <w:top w:val="single" w:sz="4" w:space="0" w:color="000000"/>
              <w:left w:val="single" w:sz="4" w:space="0" w:color="000000"/>
              <w:bottom w:val="single" w:sz="4" w:space="0" w:color="000000"/>
            </w:tcBorders>
          </w:tcPr>
          <w:p>
            <w:pPr>
              <w:pStyle w:val="TableParagraph"/>
              <w:spacing w:line="235" w:lineRule="exact"/>
              <w:ind w:right="77"/>
              <w:jc w:val="right"/>
              <w:rPr>
                <w:sz w:val="21"/>
              </w:rPr>
            </w:pPr>
            <w:r>
              <w:rPr>
                <w:sz w:val="21"/>
              </w:rPr>
              <w:t>51.98</w:t>
            </w:r>
          </w:p>
        </w:tc>
      </w:tr>
      <w:tr>
        <w:trPr>
          <w:trHeight w:val="273" w:hRule="atLeast"/>
        </w:trPr>
        <w:tc>
          <w:tcPr>
            <w:tcW w:w="3359" w:type="dxa"/>
            <w:tcBorders>
              <w:top w:val="single" w:sz="4" w:space="0" w:color="000000"/>
              <w:bottom w:val="single" w:sz="4" w:space="0" w:color="000000"/>
              <w:right w:val="single" w:sz="4" w:space="0" w:color="000000"/>
            </w:tcBorders>
          </w:tcPr>
          <w:p>
            <w:pPr>
              <w:pStyle w:val="TableParagraph"/>
              <w:spacing w:line="250" w:lineRule="exact" w:before="3"/>
              <w:ind w:left="107"/>
              <w:rPr>
                <w:rFonts w:ascii="宋体" w:eastAsia="宋体" w:hint="eastAsia"/>
                <w:sz w:val="21"/>
              </w:rPr>
            </w:pPr>
            <w:r>
              <w:rPr>
                <w:rFonts w:ascii="宋体" w:eastAsia="宋体" w:hint="eastAsia"/>
                <w:sz w:val="21"/>
              </w:rPr>
              <w:t>筹资活动产生的现金流量净额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-1,025,923,097.55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before="10"/>
              <w:ind w:right="86"/>
              <w:jc w:val="right"/>
              <w:rPr>
                <w:sz w:val="21"/>
              </w:rPr>
            </w:pPr>
            <w:r>
              <w:rPr>
                <w:sz w:val="21"/>
              </w:rPr>
              <w:t>-6,012,963,226.41</w:t>
            </w:r>
          </w:p>
        </w:tc>
        <w:tc>
          <w:tcPr>
            <w:tcW w:w="1900" w:type="dxa"/>
            <w:tcBorders>
              <w:top w:val="single" w:sz="4" w:space="0" w:color="000000"/>
              <w:left w:val="single" w:sz="4" w:space="0" w:color="000000"/>
              <w:bottom w:val="single" w:sz="4" w:space="0" w:color="000000"/>
            </w:tcBorders>
          </w:tcPr>
          <w:p>
            <w:pPr>
              <w:pStyle w:val="TableParagraph"/>
              <w:spacing w:line="237" w:lineRule="exact"/>
              <w:ind w:right="77"/>
              <w:jc w:val="right"/>
              <w:rPr>
                <w:sz w:val="21"/>
              </w:rPr>
            </w:pPr>
            <w:r>
              <w:rPr>
                <w:sz w:val="21"/>
              </w:rPr>
              <w:t>82.94</w:t>
            </w:r>
          </w:p>
        </w:tc>
      </w:tr>
      <w:tr>
        <w:trPr>
          <w:trHeight w:val="273" w:hRule="atLeast"/>
        </w:trPr>
        <w:tc>
          <w:tcPr>
            <w:tcW w:w="3359"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资产减值损失</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-1,335,630,451.94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before="10"/>
              <w:ind w:right="86"/>
              <w:jc w:val="right"/>
              <w:rPr>
                <w:sz w:val="21"/>
              </w:rPr>
            </w:pPr>
            <w:r>
              <w:rPr>
                <w:sz w:val="21"/>
              </w:rPr>
              <w:t>-860,578,700.61</w:t>
            </w:r>
          </w:p>
        </w:tc>
        <w:tc>
          <w:tcPr>
            <w:tcW w:w="1900" w:type="dxa"/>
            <w:tcBorders>
              <w:top w:val="single" w:sz="4" w:space="0" w:color="000000"/>
              <w:left w:val="single" w:sz="4" w:space="0" w:color="000000"/>
              <w:bottom w:val="single" w:sz="4" w:space="0" w:color="000000"/>
            </w:tcBorders>
          </w:tcPr>
          <w:p>
            <w:pPr>
              <w:pStyle w:val="TableParagraph"/>
              <w:spacing w:line="235" w:lineRule="exact"/>
              <w:ind w:right="79"/>
              <w:jc w:val="right"/>
              <w:rPr>
                <w:sz w:val="21"/>
              </w:rPr>
            </w:pPr>
            <w:r>
              <w:rPr>
                <w:sz w:val="21"/>
              </w:rPr>
              <w:t>-55.20</w:t>
            </w:r>
          </w:p>
        </w:tc>
      </w:tr>
      <w:tr>
        <w:trPr>
          <w:trHeight w:val="270" w:hRule="atLeast"/>
        </w:trPr>
        <w:tc>
          <w:tcPr>
            <w:tcW w:w="3359"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资产处置收益</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before="7"/>
              <w:ind w:right="85"/>
              <w:jc w:val="right"/>
              <w:rPr>
                <w:sz w:val="21"/>
              </w:rPr>
            </w:pPr>
            <w:r>
              <w:rPr>
                <w:sz w:val="21"/>
              </w:rPr>
              <w:t>-12,812,837.06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before="7"/>
              <w:ind w:right="86"/>
              <w:jc w:val="right"/>
              <w:rPr>
                <w:sz w:val="21"/>
              </w:rPr>
            </w:pPr>
            <w:r>
              <w:rPr>
                <w:sz w:val="21"/>
              </w:rPr>
              <w:t>485,727,628.01</w:t>
            </w:r>
          </w:p>
        </w:tc>
        <w:tc>
          <w:tcPr>
            <w:tcW w:w="1900" w:type="dxa"/>
            <w:tcBorders>
              <w:top w:val="single" w:sz="4" w:space="0" w:color="000000"/>
              <w:left w:val="single" w:sz="4" w:space="0" w:color="000000"/>
              <w:bottom w:val="single" w:sz="4" w:space="0" w:color="000000"/>
            </w:tcBorders>
          </w:tcPr>
          <w:p>
            <w:pPr>
              <w:pStyle w:val="TableParagraph"/>
              <w:spacing w:line="235" w:lineRule="exact"/>
              <w:ind w:right="79"/>
              <w:jc w:val="right"/>
              <w:rPr>
                <w:sz w:val="21"/>
              </w:rPr>
            </w:pPr>
            <w:r>
              <w:rPr>
                <w:sz w:val="21"/>
              </w:rPr>
              <w:t>-102.64</w:t>
            </w:r>
          </w:p>
        </w:tc>
      </w:tr>
      <w:tr>
        <w:trPr>
          <w:trHeight w:val="270" w:hRule="atLeast"/>
        </w:trPr>
        <w:tc>
          <w:tcPr>
            <w:tcW w:w="3359" w:type="dxa"/>
            <w:tcBorders>
              <w:top w:val="single" w:sz="4" w:space="0" w:color="000000"/>
              <w:right w:val="single" w:sz="4" w:space="0" w:color="000000"/>
            </w:tcBorders>
          </w:tcPr>
          <w:p>
            <w:pPr>
              <w:pStyle w:val="TableParagraph"/>
              <w:spacing w:line="247" w:lineRule="exact" w:before="3"/>
              <w:ind w:left="107"/>
              <w:rPr>
                <w:rFonts w:ascii="宋体" w:eastAsia="宋体" w:hint="eastAsia"/>
                <w:sz w:val="21"/>
              </w:rPr>
            </w:pPr>
            <w:r>
              <w:rPr>
                <w:rFonts w:ascii="宋体" w:eastAsia="宋体" w:hint="eastAsia"/>
                <w:sz w:val="21"/>
              </w:rPr>
              <w:t>营业外收入</w:t>
            </w:r>
          </w:p>
        </w:tc>
        <w:tc>
          <w:tcPr>
            <w:tcW w:w="1897" w:type="dxa"/>
            <w:tcBorders>
              <w:top w:val="single" w:sz="4" w:space="0" w:color="000000"/>
              <w:left w:val="single" w:sz="4" w:space="0" w:color="000000"/>
              <w:right w:val="single" w:sz="4" w:space="0" w:color="000000"/>
            </w:tcBorders>
          </w:tcPr>
          <w:p>
            <w:pPr>
              <w:pStyle w:val="TableParagraph"/>
              <w:spacing w:line="240" w:lineRule="exact" w:before="10"/>
              <w:ind w:right="85"/>
              <w:jc w:val="right"/>
              <w:rPr>
                <w:sz w:val="21"/>
              </w:rPr>
            </w:pPr>
            <w:r>
              <w:rPr>
                <w:sz w:val="21"/>
              </w:rPr>
              <w:t>197,444,051.06</w:t>
            </w:r>
          </w:p>
        </w:tc>
        <w:tc>
          <w:tcPr>
            <w:tcW w:w="1897" w:type="dxa"/>
            <w:tcBorders>
              <w:top w:val="single" w:sz="4" w:space="0" w:color="000000"/>
              <w:left w:val="single" w:sz="4" w:space="0" w:color="000000"/>
              <w:right w:val="single" w:sz="4" w:space="0" w:color="000000"/>
            </w:tcBorders>
          </w:tcPr>
          <w:p>
            <w:pPr>
              <w:pStyle w:val="TableParagraph"/>
              <w:spacing w:line="240" w:lineRule="exact" w:before="10"/>
              <w:ind w:right="86"/>
              <w:jc w:val="right"/>
              <w:rPr>
                <w:sz w:val="21"/>
              </w:rPr>
            </w:pPr>
            <w:r>
              <w:rPr>
                <w:sz w:val="21"/>
              </w:rPr>
              <w:t>390,971,548.74</w:t>
            </w:r>
          </w:p>
        </w:tc>
        <w:tc>
          <w:tcPr>
            <w:tcW w:w="1900" w:type="dxa"/>
            <w:tcBorders>
              <w:top w:val="single" w:sz="4" w:space="0" w:color="000000"/>
              <w:left w:val="single" w:sz="4" w:space="0" w:color="000000"/>
            </w:tcBorders>
          </w:tcPr>
          <w:p>
            <w:pPr>
              <w:pStyle w:val="TableParagraph"/>
              <w:spacing w:line="237" w:lineRule="exact"/>
              <w:ind w:right="79"/>
              <w:jc w:val="right"/>
              <w:rPr>
                <w:sz w:val="21"/>
              </w:rPr>
            </w:pPr>
            <w:r>
              <w:rPr>
                <w:sz w:val="21"/>
              </w:rPr>
              <w:t>-49.50</w:t>
            </w:r>
          </w:p>
        </w:tc>
      </w:tr>
    </w:tbl>
    <w:p>
      <w:pPr>
        <w:pStyle w:val="BodyText"/>
        <w:spacing w:before="3"/>
        <w:ind w:left="237"/>
      </w:pPr>
      <w:r>
        <w:rPr>
          <w:w w:val="100"/>
        </w:rPr>
        <w:t> </w:t>
      </w:r>
    </w:p>
    <w:p>
      <w:pPr>
        <w:pStyle w:val="BodyText"/>
        <w:spacing w:before="5"/>
        <w:ind w:left="237"/>
      </w:pPr>
      <w:r>
        <w:rPr/>
        <w:t>变动幅度较大的指标之变动原因分析： </w:t>
      </w:r>
    </w:p>
    <w:p>
      <w:pPr>
        <w:pStyle w:val="ListParagraph"/>
        <w:numPr>
          <w:ilvl w:val="1"/>
          <w:numId w:val="11"/>
        </w:numPr>
        <w:tabs>
          <w:tab w:pos="1077" w:val="left" w:leader="none"/>
          <w:tab w:pos="1078" w:val="left" w:leader="none"/>
        </w:tabs>
        <w:spacing w:line="240" w:lineRule="auto" w:before="175" w:after="0"/>
        <w:ind w:left="1077" w:right="0" w:hanging="414"/>
        <w:jc w:val="left"/>
        <w:rPr>
          <w:sz w:val="21"/>
        </w:rPr>
      </w:pPr>
      <w:r>
        <w:rPr>
          <w:spacing w:val="-8"/>
          <w:sz w:val="21"/>
        </w:rPr>
        <w:t>财务费用较同期上升 </w:t>
      </w:r>
      <w:r>
        <w:rPr>
          <w:rFonts w:ascii="Times New Roman" w:eastAsia="Times New Roman"/>
          <w:sz w:val="21"/>
        </w:rPr>
        <w:t>33.95%</w:t>
      </w:r>
      <w:r>
        <w:rPr>
          <w:spacing w:val="-3"/>
          <w:sz w:val="21"/>
        </w:rPr>
        <w:t>，主要是本期汇率波动确认汇兑损失所致；</w:t>
      </w:r>
    </w:p>
    <w:p>
      <w:pPr>
        <w:pStyle w:val="BodyText"/>
        <w:spacing w:before="6"/>
        <w:rPr>
          <w:sz w:val="16"/>
        </w:rPr>
      </w:pPr>
    </w:p>
    <w:p>
      <w:pPr>
        <w:pStyle w:val="ListParagraph"/>
        <w:numPr>
          <w:ilvl w:val="1"/>
          <w:numId w:val="11"/>
        </w:numPr>
        <w:tabs>
          <w:tab w:pos="1077" w:val="left" w:leader="none"/>
          <w:tab w:pos="1078" w:val="left" w:leader="none"/>
        </w:tabs>
        <w:spacing w:line="240" w:lineRule="auto" w:before="0" w:after="0"/>
        <w:ind w:left="1077" w:right="0" w:hanging="414"/>
        <w:jc w:val="left"/>
        <w:rPr>
          <w:sz w:val="21"/>
        </w:rPr>
      </w:pPr>
      <w:r>
        <w:rPr>
          <w:spacing w:val="-8"/>
          <w:sz w:val="21"/>
        </w:rPr>
        <w:t>资产减值损失较同期上升 </w:t>
      </w:r>
      <w:r>
        <w:rPr>
          <w:rFonts w:ascii="Times New Roman" w:eastAsia="Times New Roman"/>
          <w:sz w:val="21"/>
        </w:rPr>
        <w:t>55.20%</w:t>
      </w:r>
      <w:r>
        <w:rPr>
          <w:spacing w:val="-3"/>
          <w:sz w:val="21"/>
        </w:rPr>
        <w:t>，主要是本期计提存货减值损失增加所致；</w:t>
      </w:r>
    </w:p>
    <w:p>
      <w:pPr>
        <w:pStyle w:val="BodyText"/>
        <w:spacing w:before="5"/>
        <w:rPr>
          <w:sz w:val="16"/>
        </w:rPr>
      </w:pPr>
    </w:p>
    <w:p>
      <w:pPr>
        <w:pStyle w:val="ListParagraph"/>
        <w:numPr>
          <w:ilvl w:val="1"/>
          <w:numId w:val="11"/>
        </w:numPr>
        <w:tabs>
          <w:tab w:pos="1077" w:val="left" w:leader="none"/>
          <w:tab w:pos="1078" w:val="left" w:leader="none"/>
        </w:tabs>
        <w:spacing w:line="240" w:lineRule="auto" w:before="1" w:after="0"/>
        <w:ind w:left="1077" w:right="0" w:hanging="414"/>
        <w:jc w:val="left"/>
        <w:rPr>
          <w:sz w:val="21"/>
        </w:rPr>
      </w:pPr>
      <w:r>
        <w:rPr>
          <w:spacing w:val="-8"/>
          <w:sz w:val="21"/>
        </w:rPr>
        <w:t>资产处置收益较同期下降 </w:t>
      </w:r>
      <w:r>
        <w:rPr>
          <w:rFonts w:ascii="Times New Roman" w:eastAsia="Times New Roman"/>
          <w:sz w:val="21"/>
        </w:rPr>
        <w:t>102.64%</w:t>
      </w:r>
      <w:r>
        <w:rPr>
          <w:spacing w:val="-3"/>
          <w:sz w:val="21"/>
        </w:rPr>
        <w:t>，主要是同期子公司处置资产收益所致；</w:t>
      </w:r>
    </w:p>
    <w:p>
      <w:pPr>
        <w:pStyle w:val="BodyText"/>
        <w:spacing w:before="6"/>
        <w:rPr>
          <w:sz w:val="16"/>
        </w:rPr>
      </w:pPr>
    </w:p>
    <w:p>
      <w:pPr>
        <w:pStyle w:val="ListParagraph"/>
        <w:numPr>
          <w:ilvl w:val="1"/>
          <w:numId w:val="11"/>
        </w:numPr>
        <w:tabs>
          <w:tab w:pos="1077" w:val="left" w:leader="none"/>
          <w:tab w:pos="1078" w:val="left" w:leader="none"/>
        </w:tabs>
        <w:spacing w:line="240" w:lineRule="auto" w:before="0" w:after="0"/>
        <w:ind w:left="1077" w:right="0" w:hanging="414"/>
        <w:jc w:val="left"/>
        <w:rPr>
          <w:sz w:val="21"/>
        </w:rPr>
      </w:pPr>
      <w:r>
        <w:rPr>
          <w:spacing w:val="-8"/>
          <w:sz w:val="21"/>
        </w:rPr>
        <w:t>营业外收入较同期下降 </w:t>
      </w:r>
      <w:r>
        <w:rPr>
          <w:rFonts w:ascii="Times New Roman" w:eastAsia="Times New Roman"/>
          <w:sz w:val="21"/>
        </w:rPr>
        <w:t>49.50%</w:t>
      </w:r>
      <w:r>
        <w:rPr>
          <w:spacing w:val="-3"/>
          <w:sz w:val="21"/>
        </w:rPr>
        <w:t>，主要是本期罚款收入较同期下降所致。</w:t>
      </w:r>
    </w:p>
    <w:p>
      <w:pPr>
        <w:pStyle w:val="BodyText"/>
        <w:rPr>
          <w:sz w:val="22"/>
        </w:rPr>
      </w:pPr>
    </w:p>
    <w:p>
      <w:pPr>
        <w:pStyle w:val="BodyText"/>
        <w:spacing w:before="1"/>
        <w:rPr>
          <w:sz w:val="18"/>
        </w:rPr>
      </w:pPr>
    </w:p>
    <w:p>
      <w:pPr>
        <w:pStyle w:val="Heading4"/>
        <w:numPr>
          <w:ilvl w:val="0"/>
          <w:numId w:val="11"/>
        </w:numPr>
        <w:tabs>
          <w:tab w:pos="657" w:val="left" w:leader="none"/>
          <w:tab w:pos="658" w:val="left" w:leader="none"/>
        </w:tabs>
        <w:spacing w:line="240" w:lineRule="auto" w:before="0" w:after="0"/>
        <w:ind w:left="657" w:right="0" w:hanging="421"/>
        <w:jc w:val="left"/>
      </w:pPr>
      <w:r>
        <w:rPr/>
        <w:t>收入和成本分析</w:t>
      </w:r>
    </w:p>
    <w:p>
      <w:pPr>
        <w:pStyle w:val="BodyText"/>
        <w:rPr>
          <w:rFonts w:ascii="Microsoft JhengHei"/>
          <w:b/>
          <w:sz w:val="13"/>
        </w:rPr>
      </w:pPr>
    </w:p>
    <w:p>
      <w:pPr>
        <w:pStyle w:val="Heading4"/>
        <w:numPr>
          <w:ilvl w:val="0"/>
          <w:numId w:val="12"/>
        </w:numPr>
        <w:tabs>
          <w:tab w:pos="803" w:val="left" w:leader="none"/>
          <w:tab w:pos="804" w:val="left" w:leader="none"/>
        </w:tabs>
        <w:spacing w:line="240" w:lineRule="auto" w:before="9" w:after="0"/>
        <w:ind w:left="803" w:right="0" w:hanging="567"/>
        <w:jc w:val="left"/>
      </w:pPr>
      <w:r>
        <w:rPr>
          <w:spacing w:val="-2"/>
        </w:rPr>
        <w:t>主营业务分行业、分产品、分地区情况</w:t>
      </w:r>
    </w:p>
    <w:p>
      <w:pPr>
        <w:pStyle w:val="BodyText"/>
        <w:tabs>
          <w:tab w:pos="1109" w:val="left" w:leader="none"/>
        </w:tabs>
        <w:spacing w:before="14" w:after="4"/>
        <w:ind w:right="1031"/>
        <w:jc w:val="right"/>
      </w:pPr>
      <w:r>
        <w:rPr/>
        <w:t>单位</w:t>
      </w:r>
      <w:r>
        <w:rPr>
          <w:rFonts w:ascii="Times New Roman" w:eastAsia="Times New Roman"/>
        </w:rPr>
        <w:t>:</w:t>
      </w:r>
      <w:r>
        <w:rPr>
          <w:spacing w:val="-3"/>
        </w:rPr>
        <w:t>万</w:t>
      </w:r>
      <w:r>
        <w:rPr/>
        <w:t>元</w:t>
        <w:tab/>
      </w:r>
      <w:r>
        <w:rPr>
          <w:spacing w:val="-1"/>
        </w:rPr>
        <w:t>币种</w:t>
      </w:r>
      <w:r>
        <w:rPr>
          <w:rFonts w:ascii="Times New Roman" w:eastAsia="Times New Roman"/>
        </w:rPr>
        <w:t>:</w:t>
      </w:r>
      <w:r>
        <w:rPr>
          <w:spacing w:val="-3"/>
        </w:rPr>
        <w:t>人</w:t>
      </w:r>
      <w:r>
        <w:rPr/>
        <w:t>民币</w:t>
      </w:r>
    </w:p>
    <w:tbl>
      <w:tblPr>
        <w:tblW w:w="0" w:type="auto"/>
        <w:jc w:val="left"/>
        <w:tblInd w:w="14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36"/>
        <w:gridCol w:w="1392"/>
        <w:gridCol w:w="1480"/>
        <w:gridCol w:w="1236"/>
        <w:gridCol w:w="1236"/>
        <w:gridCol w:w="1237"/>
        <w:gridCol w:w="1647"/>
      </w:tblGrid>
      <w:tr>
        <w:trPr>
          <w:trHeight w:val="272" w:hRule="atLeast"/>
        </w:trPr>
        <w:tc>
          <w:tcPr>
            <w:tcW w:w="9464" w:type="dxa"/>
            <w:gridSpan w:val="7"/>
            <w:tcBorders>
              <w:bottom w:val="single" w:sz="4" w:space="0" w:color="000000"/>
            </w:tcBorders>
            <w:shd w:val="clear" w:color="auto" w:fill="EDEBE0"/>
          </w:tcPr>
          <w:p>
            <w:pPr>
              <w:pStyle w:val="TableParagraph"/>
              <w:spacing w:line="252" w:lineRule="exact"/>
              <w:ind w:left="3767" w:right="3737"/>
              <w:jc w:val="center"/>
              <w:rPr>
                <w:rFonts w:ascii="宋体" w:eastAsia="宋体" w:hint="eastAsia"/>
                <w:sz w:val="21"/>
              </w:rPr>
            </w:pPr>
            <w:r>
              <w:rPr>
                <w:rFonts w:ascii="宋体" w:eastAsia="宋体" w:hint="eastAsia"/>
                <w:sz w:val="21"/>
              </w:rPr>
              <w:t>主营业务分产品情况</w:t>
            </w:r>
          </w:p>
        </w:tc>
      </w:tr>
      <w:tr>
        <w:trPr>
          <w:trHeight w:val="273" w:hRule="atLeast"/>
        </w:trPr>
        <w:tc>
          <w:tcPr>
            <w:tcW w:w="1236" w:type="dxa"/>
            <w:tcBorders>
              <w:top w:val="single" w:sz="4" w:space="0" w:color="000000"/>
              <w:bottom w:val="single" w:sz="4" w:space="0" w:color="000000"/>
              <w:right w:val="single" w:sz="4" w:space="0" w:color="000000"/>
            </w:tcBorders>
            <w:shd w:val="clear" w:color="auto" w:fill="EDEBE0"/>
          </w:tcPr>
          <w:p>
            <w:pPr>
              <w:pStyle w:val="TableParagraph"/>
              <w:spacing w:line="252" w:lineRule="exact" w:before="1"/>
              <w:ind w:left="302"/>
              <w:rPr>
                <w:rFonts w:ascii="宋体" w:eastAsia="宋体" w:hint="eastAsia"/>
                <w:sz w:val="21"/>
              </w:rPr>
            </w:pPr>
            <w:r>
              <w:rPr>
                <w:rFonts w:ascii="宋体" w:eastAsia="宋体" w:hint="eastAsia"/>
                <w:sz w:val="21"/>
              </w:rPr>
              <w:t>分产品</w:t>
            </w:r>
          </w:p>
        </w:tc>
        <w:tc>
          <w:tcPr>
            <w:tcW w:w="1392"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52" w:lineRule="exact" w:before="1"/>
              <w:ind w:left="285"/>
              <w:rPr>
                <w:rFonts w:ascii="宋体" w:eastAsia="宋体" w:hint="eastAsia"/>
                <w:sz w:val="21"/>
              </w:rPr>
            </w:pPr>
            <w:r>
              <w:rPr>
                <w:rFonts w:ascii="宋体" w:eastAsia="宋体" w:hint="eastAsia"/>
                <w:sz w:val="21"/>
              </w:rPr>
              <w:t>营业收入</w:t>
            </w:r>
          </w:p>
        </w:tc>
        <w:tc>
          <w:tcPr>
            <w:tcW w:w="1480"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52" w:lineRule="exact" w:before="1"/>
              <w:ind w:left="329"/>
              <w:rPr>
                <w:rFonts w:ascii="宋体" w:eastAsia="宋体" w:hint="eastAsia"/>
                <w:sz w:val="21"/>
              </w:rPr>
            </w:pPr>
            <w:r>
              <w:rPr>
                <w:rFonts w:ascii="宋体" w:eastAsia="宋体" w:hint="eastAsia"/>
                <w:sz w:val="21"/>
              </w:rPr>
              <w:t>营业成本</w:t>
            </w:r>
          </w:p>
        </w:tc>
        <w:tc>
          <w:tcPr>
            <w:tcW w:w="1236"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52" w:lineRule="exact" w:before="1"/>
              <w:ind w:left="116" w:right="-29"/>
              <w:rPr>
                <w:rFonts w:ascii="宋体" w:eastAsia="宋体" w:hint="eastAsia"/>
                <w:sz w:val="21"/>
              </w:rPr>
            </w:pPr>
            <w:r>
              <w:rPr>
                <w:rFonts w:ascii="宋体" w:eastAsia="宋体" w:hint="eastAsia"/>
                <w:spacing w:val="-35"/>
                <w:sz w:val="21"/>
              </w:rPr>
              <w:t>毛利率</w:t>
            </w:r>
            <w:r>
              <w:rPr>
                <w:rFonts w:ascii="宋体" w:eastAsia="宋体" w:hint="eastAsia"/>
                <w:sz w:val="21"/>
              </w:rPr>
              <w:t>（</w:t>
            </w:r>
            <w:r>
              <w:rPr>
                <w:sz w:val="21"/>
              </w:rPr>
              <w:t>%</w:t>
            </w:r>
            <w:r>
              <w:rPr>
                <w:rFonts w:ascii="宋体" w:eastAsia="宋体" w:hint="eastAsia"/>
                <w:sz w:val="21"/>
              </w:rPr>
              <w:t>）</w:t>
            </w:r>
          </w:p>
        </w:tc>
        <w:tc>
          <w:tcPr>
            <w:tcW w:w="1236"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52" w:lineRule="exact" w:before="1"/>
              <w:ind w:left="206"/>
              <w:rPr>
                <w:rFonts w:ascii="宋体" w:eastAsia="宋体" w:hint="eastAsia"/>
                <w:sz w:val="21"/>
              </w:rPr>
            </w:pPr>
            <w:r>
              <w:rPr>
                <w:rFonts w:ascii="宋体" w:eastAsia="宋体" w:hint="eastAsia"/>
                <w:sz w:val="21"/>
              </w:rPr>
              <w:t>营业收入</w:t>
            </w:r>
          </w:p>
        </w:tc>
        <w:tc>
          <w:tcPr>
            <w:tcW w:w="1237"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52" w:lineRule="exact" w:before="1"/>
              <w:ind w:left="205"/>
              <w:rPr>
                <w:rFonts w:ascii="宋体" w:eastAsia="宋体" w:hint="eastAsia"/>
                <w:sz w:val="21"/>
              </w:rPr>
            </w:pPr>
            <w:r>
              <w:rPr>
                <w:rFonts w:ascii="宋体" w:eastAsia="宋体" w:hint="eastAsia"/>
                <w:sz w:val="21"/>
              </w:rPr>
              <w:t>营业成本</w:t>
            </w:r>
          </w:p>
        </w:tc>
        <w:tc>
          <w:tcPr>
            <w:tcW w:w="1647" w:type="dxa"/>
            <w:tcBorders>
              <w:top w:val="single" w:sz="4" w:space="0" w:color="000000"/>
              <w:left w:val="single" w:sz="4" w:space="0" w:color="000000"/>
              <w:bottom w:val="single" w:sz="4" w:space="0" w:color="000000"/>
            </w:tcBorders>
            <w:shd w:val="clear" w:color="auto" w:fill="EDEBE0"/>
          </w:tcPr>
          <w:p>
            <w:pPr>
              <w:pStyle w:val="TableParagraph"/>
              <w:spacing w:line="252" w:lineRule="exact" w:before="1"/>
              <w:ind w:left="200"/>
              <w:rPr>
                <w:rFonts w:ascii="宋体" w:eastAsia="宋体" w:hint="eastAsia"/>
                <w:sz w:val="21"/>
              </w:rPr>
            </w:pPr>
            <w:r>
              <w:rPr>
                <w:rFonts w:ascii="宋体" w:eastAsia="宋体" w:hint="eastAsia"/>
                <w:sz w:val="21"/>
              </w:rPr>
              <w:t>毛利率比上年</w:t>
            </w:r>
          </w:p>
        </w:tc>
      </w:tr>
    </w:tbl>
    <w:p>
      <w:pPr>
        <w:spacing w:after="0" w:line="252" w:lineRule="exact"/>
        <w:rPr>
          <w:rFonts w:ascii="宋体" w:eastAsia="宋体" w:hint="eastAsia"/>
          <w:sz w:val="21"/>
        </w:rPr>
        <w:sectPr>
          <w:pgSz w:w="11910" w:h="16840"/>
          <w:pgMar w:header="874" w:footer="1214" w:top="1360" w:bottom="1400" w:left="1040" w:right="760"/>
        </w:sectPr>
      </w:pPr>
    </w:p>
    <w:p>
      <w:pPr>
        <w:pStyle w:val="BodyText"/>
        <w:spacing w:before="2"/>
        <w:rPr>
          <w:sz w:val="5"/>
        </w:rPr>
      </w:pPr>
    </w:p>
    <w:tbl>
      <w:tblPr>
        <w:tblW w:w="0" w:type="auto"/>
        <w:jc w:val="left"/>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6"/>
        <w:gridCol w:w="1392"/>
        <w:gridCol w:w="1480"/>
        <w:gridCol w:w="1236"/>
        <w:gridCol w:w="1236"/>
        <w:gridCol w:w="1237"/>
        <w:gridCol w:w="1647"/>
      </w:tblGrid>
      <w:tr>
        <w:trPr>
          <w:trHeight w:val="544" w:hRule="atLeast"/>
        </w:trPr>
        <w:tc>
          <w:tcPr>
            <w:tcW w:w="1236" w:type="dxa"/>
            <w:tcBorders>
              <w:left w:val="single" w:sz="12" w:space="0" w:color="000000"/>
            </w:tcBorders>
            <w:shd w:val="clear" w:color="auto" w:fill="EDEBE0"/>
          </w:tcPr>
          <w:p>
            <w:pPr>
              <w:pStyle w:val="TableParagraph"/>
              <w:rPr>
                <w:sz w:val="20"/>
              </w:rPr>
            </w:pPr>
          </w:p>
        </w:tc>
        <w:tc>
          <w:tcPr>
            <w:tcW w:w="1392" w:type="dxa"/>
            <w:shd w:val="clear" w:color="auto" w:fill="EDEBE0"/>
          </w:tcPr>
          <w:p>
            <w:pPr>
              <w:pStyle w:val="TableParagraph"/>
              <w:rPr>
                <w:sz w:val="20"/>
              </w:rPr>
            </w:pPr>
          </w:p>
        </w:tc>
        <w:tc>
          <w:tcPr>
            <w:tcW w:w="1480" w:type="dxa"/>
            <w:shd w:val="clear" w:color="auto" w:fill="EDEBE0"/>
          </w:tcPr>
          <w:p>
            <w:pPr>
              <w:pStyle w:val="TableParagraph"/>
              <w:rPr>
                <w:sz w:val="20"/>
              </w:rPr>
            </w:pPr>
          </w:p>
        </w:tc>
        <w:tc>
          <w:tcPr>
            <w:tcW w:w="1236" w:type="dxa"/>
            <w:shd w:val="clear" w:color="auto" w:fill="EDEBE0"/>
          </w:tcPr>
          <w:p>
            <w:pPr>
              <w:pStyle w:val="TableParagraph"/>
              <w:rPr>
                <w:sz w:val="20"/>
              </w:rPr>
            </w:pPr>
          </w:p>
        </w:tc>
        <w:tc>
          <w:tcPr>
            <w:tcW w:w="1236" w:type="dxa"/>
            <w:shd w:val="clear" w:color="auto" w:fill="EDEBE0"/>
          </w:tcPr>
          <w:p>
            <w:pPr>
              <w:pStyle w:val="TableParagraph"/>
              <w:spacing w:before="1"/>
              <w:ind w:left="206"/>
              <w:rPr>
                <w:rFonts w:ascii="宋体" w:eastAsia="宋体" w:hint="eastAsia"/>
                <w:sz w:val="21"/>
              </w:rPr>
            </w:pPr>
            <w:r>
              <w:rPr>
                <w:rFonts w:ascii="宋体" w:eastAsia="宋体" w:hint="eastAsia"/>
                <w:spacing w:val="-1"/>
                <w:sz w:val="21"/>
              </w:rPr>
              <w:t>比上年增</w:t>
            </w:r>
          </w:p>
          <w:p>
            <w:pPr>
              <w:pStyle w:val="TableParagraph"/>
              <w:spacing w:line="250" w:lineRule="exact" w:before="5"/>
              <w:ind w:left="225"/>
              <w:rPr>
                <w:rFonts w:ascii="宋体" w:eastAsia="宋体" w:hint="eastAsia"/>
                <w:sz w:val="21"/>
              </w:rPr>
            </w:pPr>
            <w:r>
              <w:rPr>
                <w:rFonts w:ascii="宋体" w:eastAsia="宋体" w:hint="eastAsia"/>
                <w:spacing w:val="-1"/>
                <w:sz w:val="21"/>
              </w:rPr>
              <w:t>减（</w:t>
            </w:r>
            <w:r>
              <w:rPr>
                <w:spacing w:val="-1"/>
                <w:sz w:val="21"/>
              </w:rPr>
              <w:t>%</w:t>
            </w:r>
            <w:r>
              <w:rPr>
                <w:rFonts w:ascii="宋体" w:eastAsia="宋体" w:hint="eastAsia"/>
                <w:spacing w:val="-1"/>
                <w:sz w:val="21"/>
              </w:rPr>
              <w:t>）</w:t>
            </w:r>
          </w:p>
        </w:tc>
        <w:tc>
          <w:tcPr>
            <w:tcW w:w="1237" w:type="dxa"/>
            <w:shd w:val="clear" w:color="auto" w:fill="EDEBE0"/>
          </w:tcPr>
          <w:p>
            <w:pPr>
              <w:pStyle w:val="TableParagraph"/>
              <w:spacing w:before="1"/>
              <w:ind w:left="205"/>
              <w:rPr>
                <w:rFonts w:ascii="宋体" w:eastAsia="宋体" w:hint="eastAsia"/>
                <w:sz w:val="21"/>
              </w:rPr>
            </w:pPr>
            <w:r>
              <w:rPr>
                <w:rFonts w:ascii="宋体" w:eastAsia="宋体" w:hint="eastAsia"/>
                <w:spacing w:val="-1"/>
                <w:sz w:val="21"/>
              </w:rPr>
              <w:t>比上年增</w:t>
            </w:r>
          </w:p>
          <w:p>
            <w:pPr>
              <w:pStyle w:val="TableParagraph"/>
              <w:spacing w:line="250" w:lineRule="exact" w:before="5"/>
              <w:ind w:left="225"/>
              <w:rPr>
                <w:rFonts w:ascii="宋体" w:eastAsia="宋体" w:hint="eastAsia"/>
                <w:sz w:val="21"/>
              </w:rPr>
            </w:pPr>
            <w:r>
              <w:rPr>
                <w:rFonts w:ascii="宋体" w:eastAsia="宋体" w:hint="eastAsia"/>
                <w:spacing w:val="-1"/>
                <w:sz w:val="21"/>
              </w:rPr>
              <w:t>减（</w:t>
            </w:r>
            <w:r>
              <w:rPr>
                <w:spacing w:val="-1"/>
                <w:sz w:val="21"/>
              </w:rPr>
              <w:t>%</w:t>
            </w:r>
            <w:r>
              <w:rPr>
                <w:rFonts w:ascii="宋体" w:eastAsia="宋体" w:hint="eastAsia"/>
                <w:spacing w:val="-1"/>
                <w:sz w:val="21"/>
              </w:rPr>
              <w:t>）</w:t>
            </w:r>
          </w:p>
        </w:tc>
        <w:tc>
          <w:tcPr>
            <w:tcW w:w="1647" w:type="dxa"/>
            <w:tcBorders>
              <w:right w:val="single" w:sz="12" w:space="0" w:color="000000"/>
            </w:tcBorders>
            <w:shd w:val="clear" w:color="auto" w:fill="EDEBE0"/>
          </w:tcPr>
          <w:p>
            <w:pPr>
              <w:pStyle w:val="TableParagraph"/>
              <w:spacing w:before="1"/>
              <w:ind w:left="323"/>
              <w:rPr>
                <w:rFonts w:ascii="宋体" w:eastAsia="宋体" w:hint="eastAsia"/>
                <w:sz w:val="21"/>
              </w:rPr>
            </w:pPr>
            <w:r>
              <w:rPr>
                <w:rFonts w:ascii="宋体" w:eastAsia="宋体" w:hint="eastAsia"/>
                <w:sz w:val="21"/>
              </w:rPr>
              <w:t>增减（</w:t>
            </w:r>
            <w:r>
              <w:rPr>
                <w:sz w:val="21"/>
              </w:rPr>
              <w:t>%</w:t>
            </w:r>
            <w:r>
              <w:rPr>
                <w:rFonts w:ascii="宋体" w:eastAsia="宋体" w:hint="eastAsia"/>
                <w:sz w:val="21"/>
              </w:rPr>
              <w:t>）</w:t>
            </w:r>
          </w:p>
        </w:tc>
      </w:tr>
      <w:tr>
        <w:trPr>
          <w:trHeight w:val="544" w:hRule="atLeast"/>
        </w:trPr>
        <w:tc>
          <w:tcPr>
            <w:tcW w:w="1236" w:type="dxa"/>
            <w:tcBorders>
              <w:left w:val="single" w:sz="12" w:space="0" w:color="000000"/>
            </w:tcBorders>
          </w:tcPr>
          <w:p>
            <w:pPr>
              <w:pStyle w:val="TableParagraph"/>
              <w:spacing w:before="138"/>
              <w:ind w:left="284" w:right="262"/>
              <w:jc w:val="center"/>
              <w:rPr>
                <w:rFonts w:ascii="宋体" w:eastAsia="宋体" w:hint="eastAsia"/>
                <w:sz w:val="21"/>
              </w:rPr>
            </w:pPr>
            <w:r>
              <w:rPr>
                <w:rFonts w:ascii="宋体" w:eastAsia="宋体" w:hint="eastAsia"/>
                <w:sz w:val="21"/>
              </w:rPr>
              <w:t>空调</w:t>
            </w:r>
          </w:p>
        </w:tc>
        <w:tc>
          <w:tcPr>
            <w:tcW w:w="1392" w:type="dxa"/>
          </w:tcPr>
          <w:p>
            <w:pPr>
              <w:pStyle w:val="TableParagraph"/>
              <w:spacing w:before="144"/>
              <w:ind w:right="83"/>
              <w:jc w:val="right"/>
              <w:rPr>
                <w:sz w:val="21"/>
              </w:rPr>
            </w:pPr>
            <w:r>
              <w:rPr>
                <w:sz w:val="21"/>
              </w:rPr>
              <w:t>2,999,886</w:t>
            </w:r>
          </w:p>
        </w:tc>
        <w:tc>
          <w:tcPr>
            <w:tcW w:w="1480" w:type="dxa"/>
          </w:tcPr>
          <w:p>
            <w:pPr>
              <w:pStyle w:val="TableParagraph"/>
              <w:spacing w:before="144"/>
              <w:ind w:right="82"/>
              <w:jc w:val="right"/>
              <w:rPr>
                <w:sz w:val="21"/>
              </w:rPr>
            </w:pPr>
            <w:r>
              <w:rPr>
                <w:sz w:val="21"/>
              </w:rPr>
              <w:t>2,177,581</w:t>
            </w:r>
          </w:p>
        </w:tc>
        <w:tc>
          <w:tcPr>
            <w:tcW w:w="1236" w:type="dxa"/>
          </w:tcPr>
          <w:p>
            <w:pPr>
              <w:pStyle w:val="TableParagraph"/>
              <w:spacing w:before="144"/>
              <w:ind w:right="84"/>
              <w:jc w:val="right"/>
              <w:rPr>
                <w:sz w:val="21"/>
              </w:rPr>
            </w:pPr>
            <w:r>
              <w:rPr>
                <w:sz w:val="21"/>
              </w:rPr>
              <w:t>27.41</w:t>
            </w:r>
          </w:p>
        </w:tc>
        <w:tc>
          <w:tcPr>
            <w:tcW w:w="1236" w:type="dxa"/>
          </w:tcPr>
          <w:p>
            <w:pPr>
              <w:pStyle w:val="TableParagraph"/>
              <w:spacing w:before="144"/>
              <w:ind w:right="84"/>
              <w:jc w:val="right"/>
              <w:rPr>
                <w:sz w:val="21"/>
              </w:rPr>
            </w:pPr>
            <w:r>
              <w:rPr>
                <w:sz w:val="21"/>
              </w:rPr>
              <w:t>2.99</w:t>
            </w:r>
          </w:p>
        </w:tc>
        <w:tc>
          <w:tcPr>
            <w:tcW w:w="1237" w:type="dxa"/>
          </w:tcPr>
          <w:p>
            <w:pPr>
              <w:pStyle w:val="TableParagraph"/>
              <w:spacing w:before="144"/>
              <w:ind w:right="85"/>
              <w:jc w:val="right"/>
              <w:rPr>
                <w:sz w:val="21"/>
              </w:rPr>
            </w:pPr>
            <w:r>
              <w:rPr>
                <w:sz w:val="21"/>
              </w:rPr>
              <w:t>8.69</w:t>
            </w:r>
          </w:p>
        </w:tc>
        <w:tc>
          <w:tcPr>
            <w:tcW w:w="1647" w:type="dxa"/>
            <w:tcBorders>
              <w:right w:val="single" w:sz="12" w:space="0" w:color="000000"/>
            </w:tcBorders>
          </w:tcPr>
          <w:p>
            <w:pPr>
              <w:pStyle w:val="TableParagraph"/>
              <w:spacing w:before="1"/>
              <w:ind w:left="116"/>
              <w:rPr>
                <w:rFonts w:ascii="宋体" w:eastAsia="宋体" w:hint="eastAsia"/>
                <w:sz w:val="21"/>
              </w:rPr>
            </w:pPr>
            <w:r>
              <w:rPr>
                <w:rFonts w:ascii="宋体" w:eastAsia="宋体" w:hint="eastAsia"/>
                <w:sz w:val="21"/>
              </w:rPr>
              <w:t>减少 </w:t>
            </w:r>
            <w:r>
              <w:rPr>
                <w:sz w:val="21"/>
              </w:rPr>
              <w:t>3.81 </w:t>
            </w:r>
            <w:r>
              <w:rPr>
                <w:rFonts w:ascii="宋体" w:eastAsia="宋体" w:hint="eastAsia"/>
                <w:sz w:val="21"/>
              </w:rPr>
              <w:t>个百</w:t>
            </w:r>
          </w:p>
          <w:p>
            <w:pPr>
              <w:pStyle w:val="TableParagraph"/>
              <w:spacing w:line="250" w:lineRule="exact" w:before="4"/>
              <w:ind w:left="116"/>
              <w:rPr>
                <w:rFonts w:ascii="宋体" w:eastAsia="宋体" w:hint="eastAsia"/>
                <w:sz w:val="21"/>
              </w:rPr>
            </w:pPr>
            <w:r>
              <w:rPr>
                <w:rFonts w:ascii="宋体" w:eastAsia="宋体" w:hint="eastAsia"/>
                <w:sz w:val="21"/>
              </w:rPr>
              <w:t>分点</w:t>
            </w:r>
          </w:p>
        </w:tc>
      </w:tr>
      <w:tr>
        <w:trPr>
          <w:trHeight w:val="544" w:hRule="atLeast"/>
        </w:trPr>
        <w:tc>
          <w:tcPr>
            <w:tcW w:w="1236" w:type="dxa"/>
            <w:tcBorders>
              <w:left w:val="single" w:sz="12" w:space="0" w:color="000000"/>
            </w:tcBorders>
          </w:tcPr>
          <w:p>
            <w:pPr>
              <w:pStyle w:val="TableParagraph"/>
              <w:spacing w:before="137"/>
              <w:ind w:left="284" w:right="262"/>
              <w:jc w:val="center"/>
              <w:rPr>
                <w:rFonts w:ascii="宋体" w:eastAsia="宋体" w:hint="eastAsia"/>
                <w:sz w:val="21"/>
              </w:rPr>
            </w:pPr>
            <w:r>
              <w:rPr>
                <w:rFonts w:ascii="宋体" w:eastAsia="宋体" w:hint="eastAsia"/>
                <w:sz w:val="21"/>
              </w:rPr>
              <w:t>电冰箱</w:t>
            </w:r>
          </w:p>
        </w:tc>
        <w:tc>
          <w:tcPr>
            <w:tcW w:w="1392" w:type="dxa"/>
          </w:tcPr>
          <w:p>
            <w:pPr>
              <w:pStyle w:val="TableParagraph"/>
              <w:spacing w:before="147"/>
              <w:ind w:right="83"/>
              <w:jc w:val="right"/>
              <w:rPr>
                <w:sz w:val="21"/>
              </w:rPr>
            </w:pPr>
            <w:r>
              <w:rPr>
                <w:sz w:val="21"/>
              </w:rPr>
              <w:t>6,153,804</w:t>
            </w:r>
          </w:p>
        </w:tc>
        <w:tc>
          <w:tcPr>
            <w:tcW w:w="1480" w:type="dxa"/>
          </w:tcPr>
          <w:p>
            <w:pPr>
              <w:pStyle w:val="TableParagraph"/>
              <w:spacing w:before="147"/>
              <w:ind w:right="82"/>
              <w:jc w:val="right"/>
              <w:rPr>
                <w:sz w:val="21"/>
              </w:rPr>
            </w:pPr>
            <w:r>
              <w:rPr>
                <w:sz w:val="21"/>
              </w:rPr>
              <w:t>4,156,775</w:t>
            </w:r>
          </w:p>
        </w:tc>
        <w:tc>
          <w:tcPr>
            <w:tcW w:w="1236" w:type="dxa"/>
          </w:tcPr>
          <w:p>
            <w:pPr>
              <w:pStyle w:val="TableParagraph"/>
              <w:spacing w:before="147"/>
              <w:ind w:right="84"/>
              <w:jc w:val="right"/>
              <w:rPr>
                <w:sz w:val="21"/>
              </w:rPr>
            </w:pPr>
            <w:r>
              <w:rPr>
                <w:sz w:val="21"/>
              </w:rPr>
              <w:t>32.45</w:t>
            </w:r>
          </w:p>
        </w:tc>
        <w:tc>
          <w:tcPr>
            <w:tcW w:w="1236" w:type="dxa"/>
          </w:tcPr>
          <w:p>
            <w:pPr>
              <w:pStyle w:val="TableParagraph"/>
              <w:spacing w:before="147"/>
              <w:ind w:right="84"/>
              <w:jc w:val="right"/>
              <w:rPr>
                <w:sz w:val="21"/>
              </w:rPr>
            </w:pPr>
            <w:r>
              <w:rPr>
                <w:sz w:val="21"/>
              </w:rPr>
              <w:t>5.31</w:t>
            </w:r>
          </w:p>
        </w:tc>
        <w:tc>
          <w:tcPr>
            <w:tcW w:w="1237" w:type="dxa"/>
          </w:tcPr>
          <w:p>
            <w:pPr>
              <w:pStyle w:val="TableParagraph"/>
              <w:spacing w:before="147"/>
              <w:ind w:right="85"/>
              <w:jc w:val="right"/>
              <w:rPr>
                <w:sz w:val="21"/>
              </w:rPr>
            </w:pPr>
            <w:r>
              <w:rPr>
                <w:sz w:val="21"/>
              </w:rPr>
              <w:t>5.03</w:t>
            </w:r>
          </w:p>
        </w:tc>
        <w:tc>
          <w:tcPr>
            <w:tcW w:w="1647" w:type="dxa"/>
            <w:tcBorders>
              <w:right w:val="single" w:sz="12" w:space="0" w:color="000000"/>
            </w:tcBorders>
          </w:tcPr>
          <w:p>
            <w:pPr>
              <w:pStyle w:val="TableParagraph"/>
              <w:spacing w:before="1"/>
              <w:ind w:left="116"/>
              <w:rPr>
                <w:rFonts w:ascii="宋体" w:eastAsia="宋体" w:hint="eastAsia"/>
                <w:sz w:val="21"/>
              </w:rPr>
            </w:pPr>
            <w:r>
              <w:rPr>
                <w:rFonts w:ascii="宋体" w:eastAsia="宋体" w:hint="eastAsia"/>
                <w:sz w:val="21"/>
              </w:rPr>
              <w:t>增加 </w:t>
            </w:r>
            <w:r>
              <w:rPr>
                <w:sz w:val="21"/>
              </w:rPr>
              <w:t>0.18 </w:t>
            </w:r>
            <w:r>
              <w:rPr>
                <w:rFonts w:ascii="宋体" w:eastAsia="宋体" w:hint="eastAsia"/>
                <w:sz w:val="21"/>
              </w:rPr>
              <w:t>个百</w:t>
            </w:r>
          </w:p>
          <w:p>
            <w:pPr>
              <w:pStyle w:val="TableParagraph"/>
              <w:spacing w:line="250" w:lineRule="exact" w:before="4"/>
              <w:ind w:left="116"/>
              <w:rPr>
                <w:rFonts w:ascii="宋体" w:eastAsia="宋体" w:hint="eastAsia"/>
                <w:sz w:val="21"/>
              </w:rPr>
            </w:pPr>
            <w:r>
              <w:rPr>
                <w:rFonts w:ascii="宋体" w:eastAsia="宋体" w:hint="eastAsia"/>
                <w:sz w:val="21"/>
              </w:rPr>
              <w:t>分点</w:t>
            </w:r>
          </w:p>
        </w:tc>
      </w:tr>
      <w:tr>
        <w:trPr>
          <w:trHeight w:val="544" w:hRule="atLeast"/>
        </w:trPr>
        <w:tc>
          <w:tcPr>
            <w:tcW w:w="1236" w:type="dxa"/>
            <w:tcBorders>
              <w:left w:val="single" w:sz="12" w:space="0" w:color="000000"/>
            </w:tcBorders>
          </w:tcPr>
          <w:p>
            <w:pPr>
              <w:pStyle w:val="TableParagraph"/>
              <w:spacing w:before="138"/>
              <w:ind w:left="284" w:right="262"/>
              <w:jc w:val="center"/>
              <w:rPr>
                <w:rFonts w:ascii="宋体" w:eastAsia="宋体" w:hint="eastAsia"/>
                <w:sz w:val="21"/>
              </w:rPr>
            </w:pPr>
            <w:r>
              <w:rPr>
                <w:rFonts w:ascii="宋体" w:eastAsia="宋体" w:hint="eastAsia"/>
                <w:sz w:val="21"/>
              </w:rPr>
              <w:t>厨电</w:t>
            </w:r>
          </w:p>
        </w:tc>
        <w:tc>
          <w:tcPr>
            <w:tcW w:w="1392" w:type="dxa"/>
          </w:tcPr>
          <w:p>
            <w:pPr>
              <w:pStyle w:val="TableParagraph"/>
              <w:spacing w:before="147"/>
              <w:ind w:right="83"/>
              <w:jc w:val="right"/>
              <w:rPr>
                <w:sz w:val="21"/>
              </w:rPr>
            </w:pPr>
            <w:r>
              <w:rPr>
                <w:sz w:val="21"/>
              </w:rPr>
              <w:t>3,136,132</w:t>
            </w:r>
          </w:p>
        </w:tc>
        <w:tc>
          <w:tcPr>
            <w:tcW w:w="1480" w:type="dxa"/>
          </w:tcPr>
          <w:p>
            <w:pPr>
              <w:pStyle w:val="TableParagraph"/>
              <w:spacing w:before="147"/>
              <w:ind w:right="82"/>
              <w:jc w:val="right"/>
              <w:rPr>
                <w:sz w:val="21"/>
              </w:rPr>
            </w:pPr>
            <w:r>
              <w:rPr>
                <w:sz w:val="21"/>
              </w:rPr>
              <w:t>2,142,057</w:t>
            </w:r>
          </w:p>
        </w:tc>
        <w:tc>
          <w:tcPr>
            <w:tcW w:w="1236" w:type="dxa"/>
          </w:tcPr>
          <w:p>
            <w:pPr>
              <w:pStyle w:val="TableParagraph"/>
              <w:spacing w:before="147"/>
              <w:ind w:right="84"/>
              <w:jc w:val="right"/>
              <w:rPr>
                <w:sz w:val="21"/>
              </w:rPr>
            </w:pPr>
            <w:r>
              <w:rPr>
                <w:sz w:val="21"/>
              </w:rPr>
              <w:t>31.70</w:t>
            </w:r>
          </w:p>
        </w:tc>
        <w:tc>
          <w:tcPr>
            <w:tcW w:w="1236" w:type="dxa"/>
          </w:tcPr>
          <w:p>
            <w:pPr>
              <w:pStyle w:val="TableParagraph"/>
              <w:spacing w:before="147"/>
              <w:ind w:right="84"/>
              <w:jc w:val="right"/>
              <w:rPr>
                <w:sz w:val="21"/>
              </w:rPr>
            </w:pPr>
            <w:r>
              <w:rPr>
                <w:sz w:val="21"/>
              </w:rPr>
              <w:t>6.28</w:t>
            </w:r>
          </w:p>
        </w:tc>
        <w:tc>
          <w:tcPr>
            <w:tcW w:w="1237" w:type="dxa"/>
          </w:tcPr>
          <w:p>
            <w:pPr>
              <w:pStyle w:val="TableParagraph"/>
              <w:spacing w:before="147"/>
              <w:ind w:right="85"/>
              <w:jc w:val="right"/>
              <w:rPr>
                <w:sz w:val="21"/>
              </w:rPr>
            </w:pPr>
            <w:r>
              <w:rPr>
                <w:sz w:val="21"/>
              </w:rPr>
              <w:t>5.40</w:t>
            </w:r>
          </w:p>
        </w:tc>
        <w:tc>
          <w:tcPr>
            <w:tcW w:w="1647" w:type="dxa"/>
            <w:tcBorders>
              <w:right w:val="single" w:sz="12" w:space="0" w:color="000000"/>
            </w:tcBorders>
          </w:tcPr>
          <w:p>
            <w:pPr>
              <w:pStyle w:val="TableParagraph"/>
              <w:spacing w:line="270" w:lineRule="atLeast" w:before="2"/>
              <w:ind w:left="116" w:right="75"/>
              <w:rPr>
                <w:rFonts w:ascii="宋体" w:eastAsia="宋体" w:hint="eastAsia"/>
                <w:sz w:val="21"/>
              </w:rPr>
            </w:pPr>
            <w:r>
              <w:rPr>
                <w:rFonts w:ascii="宋体" w:eastAsia="宋体" w:hint="eastAsia"/>
                <w:sz w:val="21"/>
              </w:rPr>
              <w:t>增加 </w:t>
            </w:r>
            <w:r>
              <w:rPr>
                <w:sz w:val="21"/>
              </w:rPr>
              <w:t>0.57 </w:t>
            </w:r>
            <w:r>
              <w:rPr>
                <w:rFonts w:ascii="宋体" w:eastAsia="宋体" w:hint="eastAsia"/>
                <w:sz w:val="21"/>
              </w:rPr>
              <w:t>个百分点</w:t>
            </w:r>
          </w:p>
        </w:tc>
      </w:tr>
      <w:tr>
        <w:trPr>
          <w:trHeight w:val="546" w:hRule="atLeast"/>
        </w:trPr>
        <w:tc>
          <w:tcPr>
            <w:tcW w:w="1236" w:type="dxa"/>
            <w:tcBorders>
              <w:left w:val="single" w:sz="12" w:space="0" w:color="000000"/>
            </w:tcBorders>
          </w:tcPr>
          <w:p>
            <w:pPr>
              <w:pStyle w:val="TableParagraph"/>
              <w:spacing w:before="137"/>
              <w:ind w:left="284" w:right="262"/>
              <w:jc w:val="center"/>
              <w:rPr>
                <w:rFonts w:ascii="宋体" w:eastAsia="宋体" w:hint="eastAsia"/>
                <w:sz w:val="21"/>
              </w:rPr>
            </w:pPr>
            <w:r>
              <w:rPr>
                <w:rFonts w:ascii="宋体" w:eastAsia="宋体" w:hint="eastAsia"/>
                <w:sz w:val="21"/>
              </w:rPr>
              <w:t>水家电</w:t>
            </w:r>
          </w:p>
        </w:tc>
        <w:tc>
          <w:tcPr>
            <w:tcW w:w="1392" w:type="dxa"/>
          </w:tcPr>
          <w:p>
            <w:pPr>
              <w:pStyle w:val="TableParagraph"/>
              <w:spacing w:before="147"/>
              <w:ind w:right="83"/>
              <w:jc w:val="right"/>
              <w:rPr>
                <w:sz w:val="21"/>
              </w:rPr>
            </w:pPr>
            <w:r>
              <w:rPr>
                <w:sz w:val="21"/>
              </w:rPr>
              <w:t>985,673</w:t>
            </w:r>
          </w:p>
        </w:tc>
        <w:tc>
          <w:tcPr>
            <w:tcW w:w="1480" w:type="dxa"/>
          </w:tcPr>
          <w:p>
            <w:pPr>
              <w:pStyle w:val="TableParagraph"/>
              <w:spacing w:before="147"/>
              <w:ind w:right="82"/>
              <w:jc w:val="right"/>
              <w:rPr>
                <w:sz w:val="21"/>
              </w:rPr>
            </w:pPr>
            <w:r>
              <w:rPr>
                <w:sz w:val="21"/>
              </w:rPr>
              <w:t>534,906</w:t>
            </w:r>
          </w:p>
        </w:tc>
        <w:tc>
          <w:tcPr>
            <w:tcW w:w="1236" w:type="dxa"/>
          </w:tcPr>
          <w:p>
            <w:pPr>
              <w:pStyle w:val="TableParagraph"/>
              <w:spacing w:before="147"/>
              <w:ind w:right="84"/>
              <w:jc w:val="right"/>
              <w:rPr>
                <w:sz w:val="21"/>
              </w:rPr>
            </w:pPr>
            <w:r>
              <w:rPr>
                <w:sz w:val="21"/>
              </w:rPr>
              <w:t>45.73</w:t>
            </w:r>
          </w:p>
        </w:tc>
        <w:tc>
          <w:tcPr>
            <w:tcW w:w="1236" w:type="dxa"/>
          </w:tcPr>
          <w:p>
            <w:pPr>
              <w:pStyle w:val="TableParagraph"/>
              <w:spacing w:before="147"/>
              <w:ind w:right="84"/>
              <w:jc w:val="right"/>
              <w:rPr>
                <w:sz w:val="21"/>
              </w:rPr>
            </w:pPr>
            <w:r>
              <w:rPr>
                <w:sz w:val="21"/>
              </w:rPr>
              <w:t>2.42</w:t>
            </w:r>
          </w:p>
        </w:tc>
        <w:tc>
          <w:tcPr>
            <w:tcW w:w="1237" w:type="dxa"/>
          </w:tcPr>
          <w:p>
            <w:pPr>
              <w:pStyle w:val="TableParagraph"/>
              <w:spacing w:before="147"/>
              <w:ind w:right="85"/>
              <w:jc w:val="right"/>
              <w:rPr>
                <w:sz w:val="21"/>
              </w:rPr>
            </w:pPr>
            <w:r>
              <w:rPr>
                <w:sz w:val="21"/>
              </w:rPr>
              <w:t>2.63</w:t>
            </w:r>
          </w:p>
        </w:tc>
        <w:tc>
          <w:tcPr>
            <w:tcW w:w="1647" w:type="dxa"/>
            <w:tcBorders>
              <w:right w:val="single" w:sz="12" w:space="0" w:color="000000"/>
            </w:tcBorders>
          </w:tcPr>
          <w:p>
            <w:pPr>
              <w:pStyle w:val="TableParagraph"/>
              <w:spacing w:line="270" w:lineRule="atLeast" w:before="2"/>
              <w:ind w:left="116" w:right="75"/>
              <w:rPr>
                <w:rFonts w:ascii="宋体" w:eastAsia="宋体" w:hint="eastAsia"/>
                <w:sz w:val="21"/>
              </w:rPr>
            </w:pPr>
            <w:r>
              <w:rPr>
                <w:rFonts w:ascii="宋体" w:eastAsia="宋体" w:hint="eastAsia"/>
                <w:sz w:val="21"/>
              </w:rPr>
              <w:t>减少 </w:t>
            </w:r>
            <w:r>
              <w:rPr>
                <w:sz w:val="21"/>
              </w:rPr>
              <w:t>0.11 </w:t>
            </w:r>
            <w:r>
              <w:rPr>
                <w:rFonts w:ascii="宋体" w:eastAsia="宋体" w:hint="eastAsia"/>
                <w:sz w:val="21"/>
              </w:rPr>
              <w:t>个百分点</w:t>
            </w:r>
          </w:p>
        </w:tc>
      </w:tr>
      <w:tr>
        <w:trPr>
          <w:trHeight w:val="544" w:hRule="atLeast"/>
        </w:trPr>
        <w:tc>
          <w:tcPr>
            <w:tcW w:w="1236" w:type="dxa"/>
            <w:tcBorders>
              <w:left w:val="single" w:sz="12" w:space="0" w:color="000000"/>
            </w:tcBorders>
          </w:tcPr>
          <w:p>
            <w:pPr>
              <w:pStyle w:val="TableParagraph"/>
              <w:spacing w:before="138"/>
              <w:ind w:left="284" w:right="262"/>
              <w:jc w:val="center"/>
              <w:rPr>
                <w:rFonts w:ascii="宋体" w:eastAsia="宋体" w:hint="eastAsia"/>
                <w:sz w:val="21"/>
              </w:rPr>
            </w:pPr>
            <w:r>
              <w:rPr>
                <w:rFonts w:ascii="宋体" w:eastAsia="宋体" w:hint="eastAsia"/>
                <w:sz w:val="21"/>
              </w:rPr>
              <w:t>洗衣机</w:t>
            </w:r>
          </w:p>
        </w:tc>
        <w:tc>
          <w:tcPr>
            <w:tcW w:w="1392" w:type="dxa"/>
          </w:tcPr>
          <w:p>
            <w:pPr>
              <w:pStyle w:val="TableParagraph"/>
              <w:spacing w:before="144"/>
              <w:ind w:right="83"/>
              <w:jc w:val="right"/>
              <w:rPr>
                <w:sz w:val="21"/>
              </w:rPr>
            </w:pPr>
            <w:r>
              <w:rPr>
                <w:sz w:val="21"/>
              </w:rPr>
              <w:t>4,845,243</w:t>
            </w:r>
          </w:p>
        </w:tc>
        <w:tc>
          <w:tcPr>
            <w:tcW w:w="1480" w:type="dxa"/>
          </w:tcPr>
          <w:p>
            <w:pPr>
              <w:pStyle w:val="TableParagraph"/>
              <w:spacing w:before="144"/>
              <w:ind w:right="82"/>
              <w:jc w:val="right"/>
              <w:rPr>
                <w:sz w:val="21"/>
              </w:rPr>
            </w:pPr>
            <w:r>
              <w:rPr>
                <w:sz w:val="21"/>
              </w:rPr>
              <w:t>3,240,256</w:t>
            </w:r>
          </w:p>
        </w:tc>
        <w:tc>
          <w:tcPr>
            <w:tcW w:w="1236" w:type="dxa"/>
          </w:tcPr>
          <w:p>
            <w:pPr>
              <w:pStyle w:val="TableParagraph"/>
              <w:spacing w:before="144"/>
              <w:ind w:right="84"/>
              <w:jc w:val="right"/>
              <w:rPr>
                <w:sz w:val="21"/>
              </w:rPr>
            </w:pPr>
            <w:r>
              <w:rPr>
                <w:sz w:val="21"/>
              </w:rPr>
              <w:t>33.12</w:t>
            </w:r>
          </w:p>
        </w:tc>
        <w:tc>
          <w:tcPr>
            <w:tcW w:w="1236" w:type="dxa"/>
          </w:tcPr>
          <w:p>
            <w:pPr>
              <w:pStyle w:val="TableParagraph"/>
              <w:spacing w:before="144"/>
              <w:ind w:right="84"/>
              <w:jc w:val="right"/>
              <w:rPr>
                <w:sz w:val="21"/>
              </w:rPr>
            </w:pPr>
            <w:r>
              <w:rPr>
                <w:sz w:val="21"/>
              </w:rPr>
              <w:t>8.36</w:t>
            </w:r>
          </w:p>
        </w:tc>
        <w:tc>
          <w:tcPr>
            <w:tcW w:w="1237" w:type="dxa"/>
          </w:tcPr>
          <w:p>
            <w:pPr>
              <w:pStyle w:val="TableParagraph"/>
              <w:spacing w:before="144"/>
              <w:ind w:right="85"/>
              <w:jc w:val="right"/>
              <w:rPr>
                <w:sz w:val="21"/>
              </w:rPr>
            </w:pPr>
            <w:r>
              <w:rPr>
                <w:sz w:val="21"/>
              </w:rPr>
              <w:t>7.71</w:t>
            </w:r>
          </w:p>
        </w:tc>
        <w:tc>
          <w:tcPr>
            <w:tcW w:w="1647" w:type="dxa"/>
            <w:tcBorders>
              <w:right w:val="single" w:sz="12" w:space="0" w:color="000000"/>
            </w:tcBorders>
          </w:tcPr>
          <w:p>
            <w:pPr>
              <w:pStyle w:val="TableParagraph"/>
              <w:spacing w:before="1"/>
              <w:ind w:left="116"/>
              <w:rPr>
                <w:rFonts w:ascii="宋体" w:eastAsia="宋体" w:hint="eastAsia"/>
                <w:sz w:val="21"/>
              </w:rPr>
            </w:pPr>
            <w:r>
              <w:rPr>
                <w:rFonts w:ascii="宋体" w:eastAsia="宋体" w:hint="eastAsia"/>
                <w:sz w:val="21"/>
              </w:rPr>
              <w:t>增加 </w:t>
            </w:r>
            <w:r>
              <w:rPr>
                <w:sz w:val="21"/>
              </w:rPr>
              <w:t>0.40 </w:t>
            </w:r>
            <w:r>
              <w:rPr>
                <w:rFonts w:ascii="宋体" w:eastAsia="宋体" w:hint="eastAsia"/>
                <w:sz w:val="21"/>
              </w:rPr>
              <w:t>个百</w:t>
            </w:r>
          </w:p>
          <w:p>
            <w:pPr>
              <w:pStyle w:val="TableParagraph"/>
              <w:spacing w:line="252" w:lineRule="exact" w:before="2"/>
              <w:ind w:left="116"/>
              <w:rPr>
                <w:rFonts w:ascii="宋体" w:eastAsia="宋体" w:hint="eastAsia"/>
                <w:sz w:val="21"/>
              </w:rPr>
            </w:pPr>
            <w:r>
              <w:rPr>
                <w:rFonts w:ascii="宋体" w:eastAsia="宋体" w:hint="eastAsia"/>
                <w:sz w:val="21"/>
              </w:rPr>
              <w:t>分点</w:t>
            </w:r>
          </w:p>
        </w:tc>
      </w:tr>
      <w:tr>
        <w:trPr>
          <w:trHeight w:val="816" w:hRule="atLeast"/>
        </w:trPr>
        <w:tc>
          <w:tcPr>
            <w:tcW w:w="1236" w:type="dxa"/>
            <w:tcBorders>
              <w:left w:val="single" w:sz="12" w:space="0" w:color="000000"/>
            </w:tcBorders>
          </w:tcPr>
          <w:p>
            <w:pPr>
              <w:pStyle w:val="TableParagraph"/>
              <w:spacing w:line="242" w:lineRule="auto" w:before="1"/>
              <w:ind w:left="196" w:right="174"/>
              <w:rPr>
                <w:rFonts w:ascii="宋体" w:eastAsia="宋体" w:hint="eastAsia"/>
                <w:sz w:val="21"/>
              </w:rPr>
            </w:pPr>
            <w:r>
              <w:rPr>
                <w:rFonts w:ascii="宋体" w:eastAsia="宋体" w:hint="eastAsia"/>
                <w:spacing w:val="-5"/>
                <w:sz w:val="21"/>
              </w:rPr>
              <w:t>装备部品及渠道综</w:t>
            </w:r>
          </w:p>
          <w:p>
            <w:pPr>
              <w:pStyle w:val="TableParagraph"/>
              <w:spacing w:line="250" w:lineRule="exact" w:before="2"/>
              <w:ind w:left="302"/>
              <w:rPr>
                <w:rFonts w:ascii="宋体" w:eastAsia="宋体" w:hint="eastAsia"/>
                <w:sz w:val="21"/>
              </w:rPr>
            </w:pPr>
            <w:r>
              <w:rPr>
                <w:rFonts w:ascii="宋体" w:eastAsia="宋体" w:hint="eastAsia"/>
                <w:sz w:val="21"/>
              </w:rPr>
              <w:t>合服务</w:t>
            </w:r>
          </w:p>
        </w:tc>
        <w:tc>
          <w:tcPr>
            <w:tcW w:w="1392" w:type="dxa"/>
          </w:tcPr>
          <w:p>
            <w:pPr>
              <w:pStyle w:val="TableParagraph"/>
              <w:spacing w:before="12"/>
              <w:rPr>
                <w:rFonts w:ascii="宋体"/>
                <w:sz w:val="21"/>
              </w:rPr>
            </w:pPr>
          </w:p>
          <w:p>
            <w:pPr>
              <w:pStyle w:val="TableParagraph"/>
              <w:ind w:right="83"/>
              <w:jc w:val="right"/>
              <w:rPr>
                <w:sz w:val="21"/>
              </w:rPr>
            </w:pPr>
            <w:r>
              <w:rPr>
                <w:sz w:val="21"/>
              </w:rPr>
              <w:t>2,738,589</w:t>
            </w:r>
          </w:p>
        </w:tc>
        <w:tc>
          <w:tcPr>
            <w:tcW w:w="1480" w:type="dxa"/>
          </w:tcPr>
          <w:p>
            <w:pPr>
              <w:pStyle w:val="TableParagraph"/>
              <w:spacing w:before="12"/>
              <w:rPr>
                <w:rFonts w:ascii="宋体"/>
                <w:sz w:val="21"/>
              </w:rPr>
            </w:pPr>
          </w:p>
          <w:p>
            <w:pPr>
              <w:pStyle w:val="TableParagraph"/>
              <w:ind w:right="82"/>
              <w:jc w:val="right"/>
              <w:rPr>
                <w:sz w:val="21"/>
              </w:rPr>
            </w:pPr>
            <w:r>
              <w:rPr>
                <w:sz w:val="21"/>
              </w:rPr>
              <w:t>2,461,406</w:t>
            </w:r>
          </w:p>
        </w:tc>
        <w:tc>
          <w:tcPr>
            <w:tcW w:w="1236" w:type="dxa"/>
          </w:tcPr>
          <w:p>
            <w:pPr>
              <w:pStyle w:val="TableParagraph"/>
              <w:spacing w:before="12"/>
              <w:rPr>
                <w:rFonts w:ascii="宋体"/>
                <w:sz w:val="21"/>
              </w:rPr>
            </w:pPr>
          </w:p>
          <w:p>
            <w:pPr>
              <w:pStyle w:val="TableParagraph"/>
              <w:ind w:right="84"/>
              <w:jc w:val="right"/>
              <w:rPr>
                <w:sz w:val="21"/>
              </w:rPr>
            </w:pPr>
            <w:r>
              <w:rPr>
                <w:sz w:val="21"/>
              </w:rPr>
              <w:t>10.12</w:t>
            </w:r>
          </w:p>
        </w:tc>
        <w:tc>
          <w:tcPr>
            <w:tcW w:w="1236" w:type="dxa"/>
          </w:tcPr>
          <w:p>
            <w:pPr>
              <w:pStyle w:val="TableParagraph"/>
              <w:spacing w:before="12"/>
              <w:rPr>
                <w:rFonts w:ascii="宋体"/>
                <w:sz w:val="21"/>
              </w:rPr>
            </w:pPr>
          </w:p>
          <w:p>
            <w:pPr>
              <w:pStyle w:val="TableParagraph"/>
              <w:ind w:right="86"/>
              <w:jc w:val="right"/>
              <w:rPr>
                <w:sz w:val="21"/>
              </w:rPr>
            </w:pPr>
            <w:r>
              <w:rPr>
                <w:sz w:val="21"/>
              </w:rPr>
              <w:t>-2.39</w:t>
            </w:r>
          </w:p>
        </w:tc>
        <w:tc>
          <w:tcPr>
            <w:tcW w:w="1237" w:type="dxa"/>
          </w:tcPr>
          <w:p>
            <w:pPr>
              <w:pStyle w:val="TableParagraph"/>
              <w:spacing w:before="12"/>
              <w:rPr>
                <w:rFonts w:ascii="宋体"/>
                <w:sz w:val="21"/>
              </w:rPr>
            </w:pPr>
          </w:p>
          <w:p>
            <w:pPr>
              <w:pStyle w:val="TableParagraph"/>
              <w:ind w:right="87"/>
              <w:jc w:val="right"/>
              <w:rPr>
                <w:sz w:val="21"/>
              </w:rPr>
            </w:pPr>
            <w:r>
              <w:rPr>
                <w:sz w:val="21"/>
              </w:rPr>
              <w:t>-2.25</w:t>
            </w:r>
          </w:p>
        </w:tc>
        <w:tc>
          <w:tcPr>
            <w:tcW w:w="1647" w:type="dxa"/>
            <w:tcBorders>
              <w:right w:val="single" w:sz="12" w:space="0" w:color="000000"/>
            </w:tcBorders>
          </w:tcPr>
          <w:p>
            <w:pPr>
              <w:pStyle w:val="TableParagraph"/>
              <w:spacing w:line="242" w:lineRule="auto" w:before="137"/>
              <w:ind w:left="116" w:right="75"/>
              <w:rPr>
                <w:rFonts w:ascii="宋体" w:eastAsia="宋体" w:hint="eastAsia"/>
                <w:sz w:val="21"/>
              </w:rPr>
            </w:pPr>
            <w:r>
              <w:rPr>
                <w:rFonts w:ascii="宋体" w:eastAsia="宋体" w:hint="eastAsia"/>
                <w:sz w:val="21"/>
              </w:rPr>
              <w:t>减少 </w:t>
            </w:r>
            <w:r>
              <w:rPr>
                <w:sz w:val="21"/>
              </w:rPr>
              <w:t>0.13 </w:t>
            </w:r>
            <w:r>
              <w:rPr>
                <w:rFonts w:ascii="宋体" w:eastAsia="宋体" w:hint="eastAsia"/>
                <w:sz w:val="21"/>
              </w:rPr>
              <w:t>个百分点</w:t>
            </w:r>
          </w:p>
        </w:tc>
      </w:tr>
      <w:tr>
        <w:trPr>
          <w:trHeight w:val="273" w:hRule="atLeast"/>
        </w:trPr>
        <w:tc>
          <w:tcPr>
            <w:tcW w:w="9464" w:type="dxa"/>
            <w:gridSpan w:val="7"/>
            <w:tcBorders>
              <w:left w:val="single" w:sz="12" w:space="0" w:color="000000"/>
              <w:right w:val="single" w:sz="12" w:space="0" w:color="000000"/>
            </w:tcBorders>
            <w:shd w:val="clear" w:color="auto" w:fill="EDEBE0"/>
          </w:tcPr>
          <w:p>
            <w:pPr>
              <w:pStyle w:val="TableParagraph"/>
              <w:spacing w:line="252" w:lineRule="exact" w:before="1"/>
              <w:ind w:left="3767" w:right="3737"/>
              <w:jc w:val="center"/>
              <w:rPr>
                <w:rFonts w:ascii="宋体" w:eastAsia="宋体" w:hint="eastAsia"/>
                <w:sz w:val="21"/>
              </w:rPr>
            </w:pPr>
            <w:r>
              <w:rPr>
                <w:rFonts w:ascii="宋体" w:eastAsia="宋体" w:hint="eastAsia"/>
                <w:sz w:val="21"/>
              </w:rPr>
              <w:t>主营业务分地区情况</w:t>
            </w:r>
          </w:p>
        </w:tc>
      </w:tr>
      <w:tr>
        <w:trPr>
          <w:trHeight w:val="817" w:hRule="atLeast"/>
        </w:trPr>
        <w:tc>
          <w:tcPr>
            <w:tcW w:w="1236" w:type="dxa"/>
            <w:tcBorders>
              <w:left w:val="single" w:sz="12" w:space="0" w:color="000000"/>
            </w:tcBorders>
            <w:shd w:val="clear" w:color="auto" w:fill="EDEBE0"/>
          </w:tcPr>
          <w:p>
            <w:pPr>
              <w:pStyle w:val="TableParagraph"/>
              <w:spacing w:before="5"/>
              <w:rPr>
                <w:rFonts w:ascii="宋体"/>
                <w:sz w:val="21"/>
              </w:rPr>
            </w:pPr>
          </w:p>
          <w:p>
            <w:pPr>
              <w:pStyle w:val="TableParagraph"/>
              <w:ind w:left="284" w:right="262"/>
              <w:jc w:val="center"/>
              <w:rPr>
                <w:rFonts w:ascii="宋体" w:eastAsia="宋体" w:hint="eastAsia"/>
                <w:sz w:val="21"/>
              </w:rPr>
            </w:pPr>
            <w:r>
              <w:rPr>
                <w:rFonts w:ascii="宋体" w:eastAsia="宋体" w:hint="eastAsia"/>
                <w:sz w:val="21"/>
              </w:rPr>
              <w:t>分地区</w:t>
            </w:r>
          </w:p>
        </w:tc>
        <w:tc>
          <w:tcPr>
            <w:tcW w:w="1392" w:type="dxa"/>
            <w:shd w:val="clear" w:color="auto" w:fill="EDEBE0"/>
          </w:tcPr>
          <w:p>
            <w:pPr>
              <w:pStyle w:val="TableParagraph"/>
              <w:spacing w:before="5"/>
              <w:rPr>
                <w:rFonts w:ascii="宋体"/>
                <w:sz w:val="21"/>
              </w:rPr>
            </w:pPr>
          </w:p>
          <w:p>
            <w:pPr>
              <w:pStyle w:val="TableParagraph"/>
              <w:ind w:left="285"/>
              <w:rPr>
                <w:rFonts w:ascii="宋体" w:eastAsia="宋体" w:hint="eastAsia"/>
                <w:sz w:val="21"/>
              </w:rPr>
            </w:pPr>
            <w:r>
              <w:rPr>
                <w:rFonts w:ascii="宋体" w:eastAsia="宋体" w:hint="eastAsia"/>
                <w:sz w:val="21"/>
              </w:rPr>
              <w:t>营业收入</w:t>
            </w:r>
          </w:p>
        </w:tc>
        <w:tc>
          <w:tcPr>
            <w:tcW w:w="1480" w:type="dxa"/>
            <w:shd w:val="clear" w:color="auto" w:fill="EDEBE0"/>
          </w:tcPr>
          <w:p>
            <w:pPr>
              <w:pStyle w:val="TableParagraph"/>
              <w:spacing w:before="5"/>
              <w:rPr>
                <w:rFonts w:ascii="宋体"/>
                <w:sz w:val="21"/>
              </w:rPr>
            </w:pPr>
          </w:p>
          <w:p>
            <w:pPr>
              <w:pStyle w:val="TableParagraph"/>
              <w:ind w:left="329"/>
              <w:rPr>
                <w:rFonts w:ascii="宋体" w:eastAsia="宋体" w:hint="eastAsia"/>
                <w:sz w:val="21"/>
              </w:rPr>
            </w:pPr>
            <w:r>
              <w:rPr>
                <w:rFonts w:ascii="宋体" w:eastAsia="宋体" w:hint="eastAsia"/>
                <w:sz w:val="21"/>
              </w:rPr>
              <w:t>营业成本</w:t>
            </w:r>
          </w:p>
        </w:tc>
        <w:tc>
          <w:tcPr>
            <w:tcW w:w="1236" w:type="dxa"/>
            <w:shd w:val="clear" w:color="auto" w:fill="EDEBE0"/>
          </w:tcPr>
          <w:p>
            <w:pPr>
              <w:pStyle w:val="TableParagraph"/>
              <w:spacing w:before="5"/>
              <w:rPr>
                <w:rFonts w:ascii="宋体"/>
                <w:sz w:val="21"/>
              </w:rPr>
            </w:pPr>
          </w:p>
          <w:p>
            <w:pPr>
              <w:pStyle w:val="TableParagraph"/>
              <w:ind w:right="-29"/>
              <w:jc w:val="right"/>
              <w:rPr>
                <w:rFonts w:ascii="宋体" w:eastAsia="宋体" w:hint="eastAsia"/>
                <w:sz w:val="21"/>
              </w:rPr>
            </w:pPr>
            <w:r>
              <w:rPr>
                <w:rFonts w:ascii="宋体" w:eastAsia="宋体" w:hint="eastAsia"/>
                <w:sz w:val="21"/>
              </w:rPr>
              <w:t>毛利率（</w:t>
            </w:r>
            <w:r>
              <w:rPr>
                <w:sz w:val="21"/>
              </w:rPr>
              <w:t>%</w:t>
            </w:r>
            <w:r>
              <w:rPr>
                <w:rFonts w:ascii="宋体" w:eastAsia="宋体" w:hint="eastAsia"/>
                <w:sz w:val="21"/>
              </w:rPr>
              <w:t>）</w:t>
            </w:r>
          </w:p>
        </w:tc>
        <w:tc>
          <w:tcPr>
            <w:tcW w:w="1236" w:type="dxa"/>
            <w:shd w:val="clear" w:color="auto" w:fill="EDEBE0"/>
          </w:tcPr>
          <w:p>
            <w:pPr>
              <w:pStyle w:val="TableParagraph"/>
              <w:spacing w:before="1"/>
              <w:ind w:left="206"/>
              <w:rPr>
                <w:rFonts w:ascii="宋体" w:eastAsia="宋体" w:hint="eastAsia"/>
                <w:sz w:val="21"/>
              </w:rPr>
            </w:pPr>
            <w:r>
              <w:rPr>
                <w:rFonts w:ascii="宋体" w:eastAsia="宋体" w:hint="eastAsia"/>
                <w:spacing w:val="-1"/>
                <w:sz w:val="21"/>
              </w:rPr>
              <w:t>营业收入</w:t>
            </w:r>
          </w:p>
          <w:p>
            <w:pPr>
              <w:pStyle w:val="TableParagraph"/>
              <w:spacing w:line="270" w:lineRule="atLeast" w:before="3"/>
              <w:ind w:left="225" w:right="175" w:hanging="20"/>
              <w:rPr>
                <w:rFonts w:ascii="宋体" w:eastAsia="宋体" w:hint="eastAsia"/>
                <w:sz w:val="21"/>
              </w:rPr>
            </w:pPr>
            <w:r>
              <w:rPr>
                <w:rFonts w:ascii="宋体" w:eastAsia="宋体" w:hint="eastAsia"/>
                <w:spacing w:val="-5"/>
                <w:sz w:val="21"/>
              </w:rPr>
              <w:t>比上年增</w:t>
            </w:r>
            <w:r>
              <w:rPr>
                <w:rFonts w:ascii="宋体" w:eastAsia="宋体" w:hint="eastAsia"/>
                <w:spacing w:val="-1"/>
                <w:sz w:val="21"/>
              </w:rPr>
              <w:t>减（</w:t>
            </w:r>
            <w:r>
              <w:rPr>
                <w:spacing w:val="-1"/>
                <w:sz w:val="21"/>
              </w:rPr>
              <w:t>%</w:t>
            </w:r>
            <w:r>
              <w:rPr>
                <w:rFonts w:ascii="宋体" w:eastAsia="宋体" w:hint="eastAsia"/>
                <w:spacing w:val="-1"/>
                <w:sz w:val="21"/>
              </w:rPr>
              <w:t>）</w:t>
            </w:r>
          </w:p>
        </w:tc>
        <w:tc>
          <w:tcPr>
            <w:tcW w:w="1237" w:type="dxa"/>
            <w:shd w:val="clear" w:color="auto" w:fill="EDEBE0"/>
          </w:tcPr>
          <w:p>
            <w:pPr>
              <w:pStyle w:val="TableParagraph"/>
              <w:spacing w:before="1"/>
              <w:ind w:left="205"/>
              <w:rPr>
                <w:rFonts w:ascii="宋体" w:eastAsia="宋体" w:hint="eastAsia"/>
                <w:sz w:val="21"/>
              </w:rPr>
            </w:pPr>
            <w:r>
              <w:rPr>
                <w:rFonts w:ascii="宋体" w:eastAsia="宋体" w:hint="eastAsia"/>
                <w:spacing w:val="-1"/>
                <w:sz w:val="21"/>
              </w:rPr>
              <w:t>营业成本</w:t>
            </w:r>
          </w:p>
          <w:p>
            <w:pPr>
              <w:pStyle w:val="TableParagraph"/>
              <w:spacing w:line="270" w:lineRule="atLeast" w:before="3"/>
              <w:ind w:left="225" w:right="176" w:hanging="20"/>
              <w:rPr>
                <w:rFonts w:ascii="宋体" w:eastAsia="宋体" w:hint="eastAsia"/>
                <w:sz w:val="21"/>
              </w:rPr>
            </w:pPr>
            <w:r>
              <w:rPr>
                <w:rFonts w:ascii="宋体" w:eastAsia="宋体" w:hint="eastAsia"/>
                <w:spacing w:val="-5"/>
                <w:sz w:val="21"/>
              </w:rPr>
              <w:t>比上年增</w:t>
            </w:r>
            <w:r>
              <w:rPr>
                <w:rFonts w:ascii="宋体" w:eastAsia="宋体" w:hint="eastAsia"/>
                <w:spacing w:val="-1"/>
                <w:sz w:val="21"/>
              </w:rPr>
              <w:t>减（</w:t>
            </w:r>
            <w:r>
              <w:rPr>
                <w:spacing w:val="-1"/>
                <w:sz w:val="21"/>
              </w:rPr>
              <w:t>%</w:t>
            </w:r>
            <w:r>
              <w:rPr>
                <w:rFonts w:ascii="宋体" w:eastAsia="宋体" w:hint="eastAsia"/>
                <w:spacing w:val="-1"/>
                <w:sz w:val="21"/>
              </w:rPr>
              <w:t>）</w:t>
            </w:r>
          </w:p>
        </w:tc>
        <w:tc>
          <w:tcPr>
            <w:tcW w:w="1647" w:type="dxa"/>
            <w:tcBorders>
              <w:right w:val="single" w:sz="12" w:space="0" w:color="000000"/>
            </w:tcBorders>
            <w:shd w:val="clear" w:color="auto" w:fill="EDEBE0"/>
          </w:tcPr>
          <w:p>
            <w:pPr>
              <w:pStyle w:val="TableParagraph"/>
              <w:spacing w:line="242" w:lineRule="auto" w:before="138"/>
              <w:ind w:left="323" w:right="161" w:hanging="123"/>
              <w:rPr>
                <w:rFonts w:ascii="宋体" w:eastAsia="宋体" w:hint="eastAsia"/>
                <w:sz w:val="21"/>
              </w:rPr>
            </w:pPr>
            <w:r>
              <w:rPr>
                <w:rFonts w:ascii="宋体" w:eastAsia="宋体" w:hint="eastAsia"/>
                <w:sz w:val="21"/>
              </w:rPr>
              <w:t>毛利率比上年增减（</w:t>
            </w:r>
            <w:r>
              <w:rPr>
                <w:sz w:val="21"/>
              </w:rPr>
              <w:t>%</w:t>
            </w:r>
            <w:r>
              <w:rPr>
                <w:rFonts w:ascii="宋体" w:eastAsia="宋体" w:hint="eastAsia"/>
                <w:sz w:val="21"/>
              </w:rPr>
              <w:t>）</w:t>
            </w:r>
          </w:p>
        </w:tc>
      </w:tr>
      <w:tr>
        <w:trPr>
          <w:trHeight w:val="544" w:hRule="atLeast"/>
        </w:trPr>
        <w:tc>
          <w:tcPr>
            <w:tcW w:w="1236" w:type="dxa"/>
            <w:tcBorders>
              <w:left w:val="single" w:sz="12" w:space="0" w:color="000000"/>
            </w:tcBorders>
          </w:tcPr>
          <w:p>
            <w:pPr>
              <w:pStyle w:val="TableParagraph"/>
              <w:spacing w:before="135"/>
              <w:ind w:left="284" w:right="210"/>
              <w:jc w:val="center"/>
              <w:rPr>
                <w:rFonts w:ascii="宋体" w:eastAsia="宋体" w:hint="eastAsia"/>
                <w:sz w:val="21"/>
              </w:rPr>
            </w:pPr>
            <w:r>
              <w:rPr>
                <w:rFonts w:ascii="宋体" w:eastAsia="宋体" w:hint="eastAsia"/>
                <w:sz w:val="21"/>
              </w:rPr>
              <w:t>国内</w:t>
            </w:r>
          </w:p>
        </w:tc>
        <w:tc>
          <w:tcPr>
            <w:tcW w:w="1392" w:type="dxa"/>
          </w:tcPr>
          <w:p>
            <w:pPr>
              <w:pStyle w:val="TableParagraph"/>
              <w:spacing w:before="144"/>
              <w:ind w:right="83"/>
              <w:jc w:val="right"/>
              <w:rPr>
                <w:sz w:val="21"/>
              </w:rPr>
            </w:pPr>
            <w:r>
              <w:rPr>
                <w:sz w:val="21"/>
              </w:rPr>
              <w:t>10,724,136</w:t>
            </w:r>
          </w:p>
        </w:tc>
        <w:tc>
          <w:tcPr>
            <w:tcW w:w="1480" w:type="dxa"/>
          </w:tcPr>
          <w:p>
            <w:pPr>
              <w:pStyle w:val="TableParagraph"/>
              <w:spacing w:before="144"/>
              <w:ind w:right="82"/>
              <w:jc w:val="right"/>
              <w:rPr>
                <w:sz w:val="21"/>
              </w:rPr>
            </w:pPr>
            <w:r>
              <w:rPr>
                <w:sz w:val="21"/>
              </w:rPr>
              <w:t>7,416,614</w:t>
            </w:r>
          </w:p>
        </w:tc>
        <w:tc>
          <w:tcPr>
            <w:tcW w:w="1236" w:type="dxa"/>
          </w:tcPr>
          <w:p>
            <w:pPr>
              <w:pStyle w:val="TableParagraph"/>
              <w:spacing w:before="144"/>
              <w:ind w:right="84"/>
              <w:jc w:val="right"/>
              <w:rPr>
                <w:sz w:val="21"/>
              </w:rPr>
            </w:pPr>
            <w:r>
              <w:rPr>
                <w:sz w:val="21"/>
              </w:rPr>
              <w:t>30.84</w:t>
            </w:r>
          </w:p>
        </w:tc>
        <w:tc>
          <w:tcPr>
            <w:tcW w:w="1236" w:type="dxa"/>
          </w:tcPr>
          <w:p>
            <w:pPr>
              <w:pStyle w:val="TableParagraph"/>
              <w:spacing w:before="144"/>
              <w:ind w:right="84"/>
              <w:jc w:val="right"/>
              <w:rPr>
                <w:sz w:val="21"/>
              </w:rPr>
            </w:pPr>
            <w:r>
              <w:rPr>
                <w:sz w:val="21"/>
              </w:rPr>
              <w:t>1.03</w:t>
            </w:r>
          </w:p>
        </w:tc>
        <w:tc>
          <w:tcPr>
            <w:tcW w:w="1237" w:type="dxa"/>
          </w:tcPr>
          <w:p>
            <w:pPr>
              <w:pStyle w:val="TableParagraph"/>
              <w:spacing w:before="144"/>
              <w:ind w:right="85"/>
              <w:jc w:val="right"/>
              <w:rPr>
                <w:sz w:val="21"/>
              </w:rPr>
            </w:pPr>
            <w:r>
              <w:rPr>
                <w:sz w:val="21"/>
              </w:rPr>
              <w:t>3.03</w:t>
            </w:r>
          </w:p>
        </w:tc>
        <w:tc>
          <w:tcPr>
            <w:tcW w:w="1647" w:type="dxa"/>
            <w:tcBorders>
              <w:right w:val="single" w:sz="12" w:space="0" w:color="000000"/>
            </w:tcBorders>
          </w:tcPr>
          <w:p>
            <w:pPr>
              <w:pStyle w:val="TableParagraph"/>
              <w:spacing w:before="1"/>
              <w:ind w:left="116"/>
              <w:rPr>
                <w:rFonts w:ascii="宋体" w:eastAsia="宋体" w:hint="eastAsia"/>
                <w:sz w:val="21"/>
              </w:rPr>
            </w:pPr>
            <w:r>
              <w:rPr>
                <w:rFonts w:ascii="宋体" w:eastAsia="宋体" w:hint="eastAsia"/>
                <w:sz w:val="21"/>
              </w:rPr>
              <w:t>减少 </w:t>
            </w:r>
            <w:r>
              <w:rPr>
                <w:sz w:val="21"/>
              </w:rPr>
              <w:t>1.34 </w:t>
            </w:r>
            <w:r>
              <w:rPr>
                <w:rFonts w:ascii="宋体" w:eastAsia="宋体" w:hint="eastAsia"/>
                <w:sz w:val="21"/>
              </w:rPr>
              <w:t>个百</w:t>
            </w:r>
          </w:p>
          <w:p>
            <w:pPr>
              <w:pStyle w:val="TableParagraph"/>
              <w:spacing w:line="252" w:lineRule="exact" w:before="2"/>
              <w:ind w:left="116"/>
              <w:rPr>
                <w:rFonts w:ascii="宋体" w:eastAsia="宋体" w:hint="eastAsia"/>
                <w:sz w:val="21"/>
              </w:rPr>
            </w:pPr>
            <w:r>
              <w:rPr>
                <w:rFonts w:ascii="宋体" w:eastAsia="宋体" w:hint="eastAsia"/>
                <w:sz w:val="21"/>
              </w:rPr>
              <w:t>分点</w:t>
            </w:r>
          </w:p>
        </w:tc>
      </w:tr>
      <w:tr>
        <w:trPr>
          <w:trHeight w:val="541" w:hRule="atLeast"/>
        </w:trPr>
        <w:tc>
          <w:tcPr>
            <w:tcW w:w="1236" w:type="dxa"/>
            <w:tcBorders>
              <w:left w:val="single" w:sz="12" w:space="0" w:color="000000"/>
              <w:bottom w:val="single" w:sz="12" w:space="0" w:color="000000"/>
            </w:tcBorders>
          </w:tcPr>
          <w:p>
            <w:pPr>
              <w:pStyle w:val="TableParagraph"/>
              <w:spacing w:before="138"/>
              <w:ind w:left="284" w:right="210"/>
              <w:jc w:val="center"/>
              <w:rPr>
                <w:rFonts w:ascii="宋体" w:eastAsia="宋体" w:hint="eastAsia"/>
                <w:sz w:val="21"/>
              </w:rPr>
            </w:pPr>
            <w:r>
              <w:rPr>
                <w:rFonts w:ascii="宋体" w:eastAsia="宋体" w:hint="eastAsia"/>
                <w:sz w:val="21"/>
              </w:rPr>
              <w:t>国外</w:t>
            </w:r>
          </w:p>
        </w:tc>
        <w:tc>
          <w:tcPr>
            <w:tcW w:w="1392" w:type="dxa"/>
            <w:tcBorders>
              <w:bottom w:val="single" w:sz="12" w:space="0" w:color="000000"/>
            </w:tcBorders>
          </w:tcPr>
          <w:p>
            <w:pPr>
              <w:pStyle w:val="TableParagraph"/>
              <w:spacing w:before="144"/>
              <w:ind w:right="83"/>
              <w:jc w:val="right"/>
              <w:rPr>
                <w:sz w:val="21"/>
              </w:rPr>
            </w:pPr>
            <w:r>
              <w:rPr>
                <w:sz w:val="21"/>
              </w:rPr>
              <w:t>10,135,191</w:t>
            </w:r>
          </w:p>
        </w:tc>
        <w:tc>
          <w:tcPr>
            <w:tcW w:w="1480" w:type="dxa"/>
            <w:tcBorders>
              <w:bottom w:val="single" w:sz="12" w:space="0" w:color="000000"/>
            </w:tcBorders>
          </w:tcPr>
          <w:p>
            <w:pPr>
              <w:pStyle w:val="TableParagraph"/>
              <w:spacing w:before="144"/>
              <w:ind w:right="82"/>
              <w:jc w:val="right"/>
              <w:rPr>
                <w:sz w:val="21"/>
              </w:rPr>
            </w:pPr>
            <w:r>
              <w:rPr>
                <w:sz w:val="21"/>
              </w:rPr>
              <w:t>7,296,368</w:t>
            </w:r>
          </w:p>
        </w:tc>
        <w:tc>
          <w:tcPr>
            <w:tcW w:w="1236" w:type="dxa"/>
            <w:tcBorders>
              <w:bottom w:val="single" w:sz="12" w:space="0" w:color="000000"/>
            </w:tcBorders>
          </w:tcPr>
          <w:p>
            <w:pPr>
              <w:pStyle w:val="TableParagraph"/>
              <w:spacing w:before="144"/>
              <w:ind w:right="84"/>
              <w:jc w:val="right"/>
              <w:rPr>
                <w:sz w:val="21"/>
              </w:rPr>
            </w:pPr>
            <w:r>
              <w:rPr>
                <w:sz w:val="21"/>
              </w:rPr>
              <w:t>28.01</w:t>
            </w:r>
          </w:p>
        </w:tc>
        <w:tc>
          <w:tcPr>
            <w:tcW w:w="1236" w:type="dxa"/>
            <w:tcBorders>
              <w:bottom w:val="single" w:sz="12" w:space="0" w:color="000000"/>
            </w:tcBorders>
          </w:tcPr>
          <w:p>
            <w:pPr>
              <w:pStyle w:val="TableParagraph"/>
              <w:spacing w:before="144"/>
              <w:ind w:right="84"/>
              <w:jc w:val="right"/>
              <w:rPr>
                <w:sz w:val="21"/>
              </w:rPr>
            </w:pPr>
            <w:r>
              <w:rPr>
                <w:sz w:val="21"/>
              </w:rPr>
              <w:t>8.61</w:t>
            </w:r>
          </w:p>
        </w:tc>
        <w:tc>
          <w:tcPr>
            <w:tcW w:w="1237" w:type="dxa"/>
            <w:tcBorders>
              <w:bottom w:val="single" w:sz="12" w:space="0" w:color="000000"/>
            </w:tcBorders>
          </w:tcPr>
          <w:p>
            <w:pPr>
              <w:pStyle w:val="TableParagraph"/>
              <w:spacing w:before="144"/>
              <w:ind w:right="85"/>
              <w:jc w:val="right"/>
              <w:rPr>
                <w:sz w:val="21"/>
              </w:rPr>
            </w:pPr>
            <w:r>
              <w:rPr>
                <w:sz w:val="21"/>
              </w:rPr>
              <w:t>6.63</w:t>
            </w:r>
          </w:p>
        </w:tc>
        <w:tc>
          <w:tcPr>
            <w:tcW w:w="1647" w:type="dxa"/>
            <w:tcBorders>
              <w:bottom w:val="single" w:sz="12" w:space="0" w:color="000000"/>
              <w:right w:val="single" w:sz="12" w:space="0" w:color="000000"/>
            </w:tcBorders>
          </w:tcPr>
          <w:p>
            <w:pPr>
              <w:pStyle w:val="TableParagraph"/>
              <w:spacing w:before="1"/>
              <w:ind w:left="116"/>
              <w:rPr>
                <w:rFonts w:ascii="宋体" w:eastAsia="宋体" w:hint="eastAsia"/>
                <w:sz w:val="21"/>
              </w:rPr>
            </w:pPr>
            <w:r>
              <w:rPr>
                <w:rFonts w:ascii="宋体" w:eastAsia="宋体" w:hint="eastAsia"/>
                <w:sz w:val="21"/>
              </w:rPr>
              <w:t>增加 </w:t>
            </w:r>
            <w:r>
              <w:rPr>
                <w:sz w:val="21"/>
              </w:rPr>
              <w:t>1.33 </w:t>
            </w:r>
            <w:r>
              <w:rPr>
                <w:rFonts w:ascii="宋体" w:eastAsia="宋体" w:hint="eastAsia"/>
                <w:sz w:val="21"/>
              </w:rPr>
              <w:t>个百</w:t>
            </w:r>
          </w:p>
          <w:p>
            <w:pPr>
              <w:pStyle w:val="TableParagraph"/>
              <w:spacing w:line="249" w:lineRule="exact" w:before="2"/>
              <w:ind w:left="116"/>
              <w:rPr>
                <w:rFonts w:ascii="宋体" w:eastAsia="宋体" w:hint="eastAsia"/>
                <w:sz w:val="21"/>
              </w:rPr>
            </w:pPr>
            <w:r>
              <w:rPr>
                <w:rFonts w:ascii="宋体" w:eastAsia="宋体" w:hint="eastAsia"/>
                <w:sz w:val="21"/>
              </w:rPr>
              <w:t>分点</w:t>
            </w:r>
          </w:p>
        </w:tc>
      </w:tr>
    </w:tbl>
    <w:p>
      <w:pPr>
        <w:pStyle w:val="BodyText"/>
        <w:rPr>
          <w:sz w:val="20"/>
        </w:rPr>
      </w:pPr>
    </w:p>
    <w:p>
      <w:pPr>
        <w:pStyle w:val="BodyText"/>
        <w:rPr>
          <w:sz w:val="19"/>
        </w:rPr>
      </w:pPr>
    </w:p>
    <w:p>
      <w:pPr>
        <w:pStyle w:val="Heading4"/>
        <w:numPr>
          <w:ilvl w:val="0"/>
          <w:numId w:val="12"/>
        </w:numPr>
        <w:tabs>
          <w:tab w:pos="803" w:val="left" w:leader="none"/>
          <w:tab w:pos="804" w:val="left" w:leader="none"/>
        </w:tabs>
        <w:spacing w:line="240" w:lineRule="auto" w:before="9" w:after="0"/>
        <w:ind w:left="803" w:right="0" w:hanging="567"/>
        <w:jc w:val="left"/>
      </w:pPr>
      <w:r>
        <w:rPr/>
        <w:t>产销量情况分析表</w:t>
      </w:r>
    </w:p>
    <w:p>
      <w:pPr>
        <w:pStyle w:val="BodyText"/>
        <w:spacing w:before="154"/>
        <w:ind w:left="662"/>
      </w:pPr>
      <w:r>
        <w:rPr/>
        <w:t>√适用 □不适用</w:t>
      </w:r>
    </w:p>
    <w:p>
      <w:pPr>
        <w:pStyle w:val="BodyText"/>
        <w:spacing w:before="9"/>
        <w:rPr>
          <w:sz w:val="10"/>
        </w:rPr>
      </w:pPr>
    </w:p>
    <w:tbl>
      <w:tblPr>
        <w:tblW w:w="0" w:type="auto"/>
        <w:jc w:val="left"/>
        <w:tblInd w:w="14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31"/>
        <w:gridCol w:w="1131"/>
        <w:gridCol w:w="1132"/>
        <w:gridCol w:w="1131"/>
        <w:gridCol w:w="1134"/>
        <w:gridCol w:w="1134"/>
        <w:gridCol w:w="1132"/>
        <w:gridCol w:w="1131"/>
      </w:tblGrid>
      <w:tr>
        <w:trPr>
          <w:trHeight w:val="817" w:hRule="atLeast"/>
        </w:trPr>
        <w:tc>
          <w:tcPr>
            <w:tcW w:w="1131" w:type="dxa"/>
            <w:tcBorders>
              <w:bottom w:val="single" w:sz="4" w:space="0" w:color="000000"/>
              <w:right w:val="single" w:sz="4" w:space="0" w:color="000000"/>
            </w:tcBorders>
          </w:tcPr>
          <w:p>
            <w:pPr>
              <w:pStyle w:val="TableParagraph"/>
              <w:spacing w:before="5"/>
              <w:rPr>
                <w:rFonts w:ascii="宋体"/>
                <w:sz w:val="21"/>
              </w:rPr>
            </w:pPr>
          </w:p>
          <w:p>
            <w:pPr>
              <w:pStyle w:val="TableParagraph"/>
              <w:ind w:left="143"/>
              <w:rPr>
                <w:rFonts w:ascii="宋体" w:eastAsia="宋体" w:hint="eastAsia"/>
                <w:sz w:val="21"/>
              </w:rPr>
            </w:pPr>
            <w:r>
              <w:rPr>
                <w:rFonts w:ascii="宋体" w:eastAsia="宋体" w:hint="eastAsia"/>
                <w:sz w:val="21"/>
              </w:rPr>
              <w:t>主要产品</w:t>
            </w:r>
          </w:p>
        </w:tc>
        <w:tc>
          <w:tcPr>
            <w:tcW w:w="1131" w:type="dxa"/>
            <w:tcBorders>
              <w:left w:val="single" w:sz="4" w:space="0" w:color="000000"/>
              <w:bottom w:val="single" w:sz="4" w:space="0" w:color="000000"/>
              <w:right w:val="single" w:sz="4" w:space="0" w:color="000000"/>
            </w:tcBorders>
          </w:tcPr>
          <w:p>
            <w:pPr>
              <w:pStyle w:val="TableParagraph"/>
              <w:spacing w:before="5"/>
              <w:rPr>
                <w:rFonts w:ascii="宋体"/>
                <w:sz w:val="21"/>
              </w:rPr>
            </w:pPr>
          </w:p>
          <w:p>
            <w:pPr>
              <w:pStyle w:val="TableParagraph"/>
              <w:ind w:right="332"/>
              <w:jc w:val="right"/>
              <w:rPr>
                <w:rFonts w:ascii="宋体" w:eastAsia="宋体" w:hint="eastAsia"/>
                <w:sz w:val="21"/>
              </w:rPr>
            </w:pPr>
            <w:r>
              <w:rPr>
                <w:rFonts w:ascii="宋体" w:eastAsia="宋体" w:hint="eastAsia"/>
                <w:sz w:val="21"/>
              </w:rPr>
              <w:t>单位</w:t>
            </w:r>
          </w:p>
        </w:tc>
        <w:tc>
          <w:tcPr>
            <w:tcW w:w="1132" w:type="dxa"/>
            <w:tcBorders>
              <w:left w:val="single" w:sz="4" w:space="0" w:color="000000"/>
              <w:bottom w:val="single" w:sz="4" w:space="0" w:color="000000"/>
              <w:right w:val="single" w:sz="4" w:space="0" w:color="000000"/>
            </w:tcBorders>
          </w:tcPr>
          <w:p>
            <w:pPr>
              <w:pStyle w:val="TableParagraph"/>
              <w:spacing w:before="5"/>
              <w:rPr>
                <w:rFonts w:ascii="宋体"/>
                <w:sz w:val="21"/>
              </w:rPr>
            </w:pPr>
          </w:p>
          <w:p>
            <w:pPr>
              <w:pStyle w:val="TableParagraph"/>
              <w:ind w:left="255"/>
              <w:rPr>
                <w:rFonts w:ascii="宋体" w:eastAsia="宋体" w:hint="eastAsia"/>
                <w:sz w:val="21"/>
              </w:rPr>
            </w:pPr>
            <w:r>
              <w:rPr>
                <w:rFonts w:ascii="宋体" w:eastAsia="宋体" w:hint="eastAsia"/>
                <w:sz w:val="21"/>
              </w:rPr>
              <w:t>生产量</w:t>
            </w:r>
          </w:p>
        </w:tc>
        <w:tc>
          <w:tcPr>
            <w:tcW w:w="1131" w:type="dxa"/>
            <w:tcBorders>
              <w:left w:val="single" w:sz="4" w:space="0" w:color="000000"/>
              <w:bottom w:val="single" w:sz="4" w:space="0" w:color="000000"/>
              <w:right w:val="single" w:sz="4" w:space="0" w:color="000000"/>
            </w:tcBorders>
          </w:tcPr>
          <w:p>
            <w:pPr>
              <w:pStyle w:val="TableParagraph"/>
              <w:spacing w:before="5"/>
              <w:rPr>
                <w:rFonts w:ascii="宋体"/>
                <w:sz w:val="21"/>
              </w:rPr>
            </w:pPr>
          </w:p>
          <w:p>
            <w:pPr>
              <w:pStyle w:val="TableParagraph"/>
              <w:ind w:left="254"/>
              <w:rPr>
                <w:rFonts w:ascii="宋体" w:eastAsia="宋体" w:hint="eastAsia"/>
                <w:sz w:val="21"/>
              </w:rPr>
            </w:pPr>
            <w:r>
              <w:rPr>
                <w:rFonts w:ascii="宋体" w:eastAsia="宋体" w:hint="eastAsia"/>
                <w:sz w:val="21"/>
              </w:rPr>
              <w:t>销售量</w:t>
            </w:r>
          </w:p>
        </w:tc>
        <w:tc>
          <w:tcPr>
            <w:tcW w:w="1134" w:type="dxa"/>
            <w:tcBorders>
              <w:left w:val="single" w:sz="4" w:space="0" w:color="000000"/>
              <w:bottom w:val="single" w:sz="4" w:space="0" w:color="000000"/>
              <w:right w:val="single" w:sz="4" w:space="0" w:color="000000"/>
            </w:tcBorders>
          </w:tcPr>
          <w:p>
            <w:pPr>
              <w:pStyle w:val="TableParagraph"/>
              <w:spacing w:before="5"/>
              <w:rPr>
                <w:rFonts w:ascii="宋体"/>
                <w:sz w:val="21"/>
              </w:rPr>
            </w:pPr>
          </w:p>
          <w:p>
            <w:pPr>
              <w:pStyle w:val="TableParagraph"/>
              <w:ind w:left="256"/>
              <w:rPr>
                <w:rFonts w:ascii="宋体" w:eastAsia="宋体" w:hint="eastAsia"/>
                <w:sz w:val="21"/>
              </w:rPr>
            </w:pPr>
            <w:r>
              <w:rPr>
                <w:rFonts w:ascii="宋体" w:eastAsia="宋体" w:hint="eastAsia"/>
                <w:sz w:val="21"/>
              </w:rPr>
              <w:t>库存量</w:t>
            </w:r>
          </w:p>
        </w:tc>
        <w:tc>
          <w:tcPr>
            <w:tcW w:w="1134" w:type="dxa"/>
            <w:tcBorders>
              <w:left w:val="single" w:sz="4" w:space="0" w:color="000000"/>
              <w:bottom w:val="single" w:sz="4" w:space="0" w:color="000000"/>
              <w:right w:val="single" w:sz="4" w:space="0" w:color="000000"/>
            </w:tcBorders>
          </w:tcPr>
          <w:p>
            <w:pPr>
              <w:pStyle w:val="TableParagraph"/>
              <w:spacing w:line="244" w:lineRule="auto"/>
              <w:ind w:left="152" w:right="126"/>
              <w:jc w:val="center"/>
              <w:rPr>
                <w:rFonts w:ascii="宋体" w:eastAsia="宋体" w:hint="eastAsia"/>
                <w:sz w:val="21"/>
              </w:rPr>
            </w:pPr>
            <w:r>
              <w:rPr>
                <w:rFonts w:ascii="宋体" w:eastAsia="宋体" w:hint="eastAsia"/>
                <w:sz w:val="21"/>
              </w:rPr>
              <w:t>生产量比上年增减</w:t>
            </w:r>
          </w:p>
          <w:p>
            <w:pPr>
              <w:pStyle w:val="TableParagraph"/>
              <w:spacing w:line="248" w:lineRule="exact"/>
              <w:ind w:left="149" w:right="126"/>
              <w:jc w:val="center"/>
              <w:rPr>
                <w:rFonts w:ascii="宋体" w:eastAsia="宋体" w:hint="eastAsia"/>
                <w:sz w:val="21"/>
              </w:rPr>
            </w:pPr>
            <w:r>
              <w:rPr>
                <w:rFonts w:ascii="宋体" w:eastAsia="宋体" w:hint="eastAsia"/>
                <w:sz w:val="21"/>
              </w:rPr>
              <w:t>（</w:t>
            </w:r>
            <w:r>
              <w:rPr>
                <w:sz w:val="21"/>
              </w:rPr>
              <w:t>%</w:t>
            </w:r>
            <w:r>
              <w:rPr>
                <w:rFonts w:ascii="宋体" w:eastAsia="宋体" w:hint="eastAsia"/>
                <w:sz w:val="21"/>
              </w:rPr>
              <w:t>）</w:t>
            </w:r>
          </w:p>
        </w:tc>
        <w:tc>
          <w:tcPr>
            <w:tcW w:w="1132" w:type="dxa"/>
            <w:tcBorders>
              <w:left w:val="single" w:sz="4" w:space="0" w:color="000000"/>
              <w:bottom w:val="single" w:sz="4" w:space="0" w:color="000000"/>
              <w:right w:val="single" w:sz="4" w:space="0" w:color="000000"/>
            </w:tcBorders>
          </w:tcPr>
          <w:p>
            <w:pPr>
              <w:pStyle w:val="TableParagraph"/>
              <w:spacing w:line="244" w:lineRule="auto"/>
              <w:ind w:left="149" w:right="128"/>
              <w:jc w:val="center"/>
              <w:rPr>
                <w:rFonts w:ascii="宋体" w:eastAsia="宋体" w:hint="eastAsia"/>
                <w:sz w:val="21"/>
              </w:rPr>
            </w:pPr>
            <w:r>
              <w:rPr>
                <w:rFonts w:ascii="宋体" w:eastAsia="宋体" w:hint="eastAsia"/>
                <w:sz w:val="21"/>
              </w:rPr>
              <w:t>销售量比上年增减</w:t>
            </w:r>
          </w:p>
          <w:p>
            <w:pPr>
              <w:pStyle w:val="TableParagraph"/>
              <w:spacing w:line="248" w:lineRule="exact"/>
              <w:ind w:left="146" w:right="128"/>
              <w:jc w:val="center"/>
              <w:rPr>
                <w:rFonts w:ascii="宋体" w:eastAsia="宋体" w:hint="eastAsia"/>
                <w:sz w:val="21"/>
              </w:rPr>
            </w:pPr>
            <w:r>
              <w:rPr>
                <w:rFonts w:ascii="宋体" w:eastAsia="宋体" w:hint="eastAsia"/>
                <w:sz w:val="21"/>
              </w:rPr>
              <w:t>（</w:t>
            </w:r>
            <w:r>
              <w:rPr>
                <w:sz w:val="21"/>
              </w:rPr>
              <w:t>%</w:t>
            </w:r>
            <w:r>
              <w:rPr>
                <w:rFonts w:ascii="宋体" w:eastAsia="宋体" w:hint="eastAsia"/>
                <w:sz w:val="21"/>
              </w:rPr>
              <w:t>）</w:t>
            </w:r>
          </w:p>
        </w:tc>
        <w:tc>
          <w:tcPr>
            <w:tcW w:w="1131" w:type="dxa"/>
            <w:tcBorders>
              <w:left w:val="single" w:sz="4" w:space="0" w:color="000000"/>
              <w:bottom w:val="single" w:sz="4" w:space="0" w:color="000000"/>
            </w:tcBorders>
          </w:tcPr>
          <w:p>
            <w:pPr>
              <w:pStyle w:val="TableParagraph"/>
              <w:spacing w:line="244" w:lineRule="auto"/>
              <w:ind w:left="147" w:right="118"/>
              <w:jc w:val="center"/>
              <w:rPr>
                <w:rFonts w:ascii="宋体" w:eastAsia="宋体" w:hint="eastAsia"/>
                <w:sz w:val="21"/>
              </w:rPr>
            </w:pPr>
            <w:r>
              <w:rPr>
                <w:rFonts w:ascii="宋体" w:eastAsia="宋体" w:hint="eastAsia"/>
                <w:sz w:val="21"/>
              </w:rPr>
              <w:t>库存量比上年增减</w:t>
            </w:r>
          </w:p>
          <w:p>
            <w:pPr>
              <w:pStyle w:val="TableParagraph"/>
              <w:spacing w:line="248" w:lineRule="exact"/>
              <w:ind w:left="145" w:right="118"/>
              <w:jc w:val="center"/>
              <w:rPr>
                <w:rFonts w:ascii="宋体" w:eastAsia="宋体" w:hint="eastAsia"/>
                <w:sz w:val="21"/>
              </w:rPr>
            </w:pPr>
            <w:r>
              <w:rPr>
                <w:rFonts w:ascii="宋体" w:eastAsia="宋体" w:hint="eastAsia"/>
                <w:sz w:val="21"/>
              </w:rPr>
              <w:t>（</w:t>
            </w:r>
            <w:r>
              <w:rPr>
                <w:sz w:val="21"/>
              </w:rPr>
              <w:t>%</w:t>
            </w:r>
            <w:r>
              <w:rPr>
                <w:rFonts w:ascii="宋体" w:eastAsia="宋体" w:hint="eastAsia"/>
                <w:sz w:val="21"/>
              </w:rPr>
              <w:t>）</w:t>
            </w:r>
          </w:p>
        </w:tc>
      </w:tr>
      <w:tr>
        <w:trPr>
          <w:trHeight w:val="270" w:hRule="atLeast"/>
        </w:trPr>
        <w:tc>
          <w:tcPr>
            <w:tcW w:w="1131" w:type="dxa"/>
            <w:tcBorders>
              <w:top w:val="single" w:sz="4" w:space="0" w:color="000000"/>
              <w:right w:val="single" w:sz="4" w:space="0" w:color="000000"/>
            </w:tcBorders>
          </w:tcPr>
          <w:p>
            <w:pPr>
              <w:pStyle w:val="TableParagraph"/>
              <w:spacing w:line="249" w:lineRule="exact" w:before="1"/>
              <w:ind w:left="107"/>
              <w:rPr>
                <w:rFonts w:ascii="宋体" w:eastAsia="宋体" w:hint="eastAsia"/>
                <w:sz w:val="21"/>
              </w:rPr>
            </w:pPr>
            <w:r>
              <w:rPr>
                <w:rFonts w:ascii="宋体" w:eastAsia="宋体" w:hint="eastAsia"/>
                <w:sz w:val="21"/>
              </w:rPr>
              <w:t>家用电器</w:t>
            </w:r>
          </w:p>
        </w:tc>
        <w:tc>
          <w:tcPr>
            <w:tcW w:w="1131" w:type="dxa"/>
            <w:tcBorders>
              <w:top w:val="single" w:sz="4" w:space="0" w:color="000000"/>
              <w:left w:val="single" w:sz="4" w:space="0" w:color="000000"/>
              <w:right w:val="single" w:sz="4" w:space="0" w:color="000000"/>
            </w:tcBorders>
          </w:tcPr>
          <w:p>
            <w:pPr>
              <w:pStyle w:val="TableParagraph"/>
              <w:spacing w:line="249" w:lineRule="exact" w:before="1"/>
              <w:ind w:right="310"/>
              <w:jc w:val="right"/>
              <w:rPr>
                <w:rFonts w:ascii="宋体" w:eastAsia="宋体" w:hint="eastAsia"/>
                <w:sz w:val="21"/>
              </w:rPr>
            </w:pPr>
            <w:r>
              <w:rPr>
                <w:rFonts w:ascii="宋体" w:eastAsia="宋体" w:hint="eastAsia"/>
                <w:sz w:val="21"/>
              </w:rPr>
              <w:t>万台</w:t>
            </w:r>
            <w:r>
              <w:rPr>
                <w:sz w:val="21"/>
              </w:rPr>
              <w:t>/</w:t>
            </w:r>
            <w:r>
              <w:rPr>
                <w:rFonts w:ascii="宋体" w:eastAsia="宋体" w:hint="eastAsia"/>
                <w:sz w:val="21"/>
              </w:rPr>
              <w:t>套</w:t>
            </w:r>
          </w:p>
        </w:tc>
        <w:tc>
          <w:tcPr>
            <w:tcW w:w="1132" w:type="dxa"/>
            <w:tcBorders>
              <w:top w:val="single" w:sz="4" w:space="0" w:color="000000"/>
              <w:left w:val="single" w:sz="4" w:space="0" w:color="000000"/>
              <w:right w:val="single" w:sz="4" w:space="0" w:color="000000"/>
            </w:tcBorders>
          </w:tcPr>
          <w:p>
            <w:pPr>
              <w:pStyle w:val="TableParagraph"/>
              <w:spacing w:before="7"/>
              <w:ind w:left="556"/>
              <w:rPr>
                <w:sz w:val="21"/>
              </w:rPr>
            </w:pPr>
            <w:r>
              <w:rPr>
                <w:sz w:val="21"/>
              </w:rPr>
              <w:t>8,579</w:t>
            </w:r>
          </w:p>
        </w:tc>
        <w:tc>
          <w:tcPr>
            <w:tcW w:w="1131" w:type="dxa"/>
            <w:tcBorders>
              <w:top w:val="single" w:sz="4" w:space="0" w:color="000000"/>
              <w:left w:val="single" w:sz="4" w:space="0" w:color="000000"/>
              <w:right w:val="single" w:sz="4" w:space="0" w:color="000000"/>
            </w:tcBorders>
          </w:tcPr>
          <w:p>
            <w:pPr>
              <w:pStyle w:val="TableParagraph"/>
              <w:spacing w:before="7"/>
              <w:ind w:left="451"/>
              <w:rPr>
                <w:sz w:val="21"/>
              </w:rPr>
            </w:pPr>
            <w:r>
              <w:rPr>
                <w:sz w:val="21"/>
              </w:rPr>
              <w:t>10,028</w:t>
            </w:r>
          </w:p>
        </w:tc>
        <w:tc>
          <w:tcPr>
            <w:tcW w:w="1134" w:type="dxa"/>
            <w:tcBorders>
              <w:top w:val="single" w:sz="4" w:space="0" w:color="000000"/>
              <w:left w:val="single" w:sz="4" w:space="0" w:color="000000"/>
              <w:right w:val="single" w:sz="4" w:space="0" w:color="000000"/>
            </w:tcBorders>
          </w:tcPr>
          <w:p>
            <w:pPr>
              <w:pStyle w:val="TableParagraph"/>
              <w:spacing w:before="7"/>
              <w:ind w:left="559"/>
              <w:rPr>
                <w:sz w:val="21"/>
              </w:rPr>
            </w:pPr>
            <w:r>
              <w:rPr>
                <w:sz w:val="21"/>
              </w:rPr>
              <w:t>1,982</w:t>
            </w:r>
          </w:p>
        </w:tc>
        <w:tc>
          <w:tcPr>
            <w:tcW w:w="1134" w:type="dxa"/>
            <w:tcBorders>
              <w:top w:val="single" w:sz="4" w:space="0" w:color="000000"/>
              <w:left w:val="single" w:sz="4" w:space="0" w:color="000000"/>
              <w:right w:val="single" w:sz="4" w:space="0" w:color="000000"/>
            </w:tcBorders>
          </w:tcPr>
          <w:p>
            <w:pPr>
              <w:pStyle w:val="TableParagraph"/>
              <w:spacing w:before="7"/>
              <w:ind w:left="558"/>
              <w:rPr>
                <w:sz w:val="21"/>
              </w:rPr>
            </w:pPr>
            <w:r>
              <w:rPr>
                <w:sz w:val="21"/>
              </w:rPr>
              <w:t>11.75</w:t>
            </w:r>
          </w:p>
        </w:tc>
        <w:tc>
          <w:tcPr>
            <w:tcW w:w="1132" w:type="dxa"/>
            <w:tcBorders>
              <w:top w:val="single" w:sz="4" w:space="0" w:color="000000"/>
              <w:left w:val="single" w:sz="4" w:space="0" w:color="000000"/>
              <w:right w:val="single" w:sz="4" w:space="0" w:color="000000"/>
            </w:tcBorders>
          </w:tcPr>
          <w:p>
            <w:pPr>
              <w:pStyle w:val="TableParagraph"/>
              <w:spacing w:before="7"/>
              <w:ind w:left="660"/>
              <w:rPr>
                <w:sz w:val="21"/>
              </w:rPr>
            </w:pPr>
            <w:r>
              <w:rPr>
                <w:sz w:val="21"/>
              </w:rPr>
              <w:t>8.51</w:t>
            </w:r>
          </w:p>
        </w:tc>
        <w:tc>
          <w:tcPr>
            <w:tcW w:w="1131" w:type="dxa"/>
            <w:tcBorders>
              <w:top w:val="single" w:sz="4" w:space="0" w:color="000000"/>
              <w:left w:val="single" w:sz="4" w:space="0" w:color="000000"/>
            </w:tcBorders>
          </w:tcPr>
          <w:p>
            <w:pPr>
              <w:pStyle w:val="TableParagraph"/>
              <w:spacing w:before="7"/>
              <w:ind w:left="553"/>
              <w:rPr>
                <w:sz w:val="21"/>
              </w:rPr>
            </w:pPr>
            <w:r>
              <w:rPr>
                <w:sz w:val="21"/>
              </w:rPr>
              <w:t>20.90</w:t>
            </w:r>
          </w:p>
        </w:tc>
      </w:tr>
    </w:tbl>
    <w:p>
      <w:pPr>
        <w:pStyle w:val="BodyText"/>
        <w:spacing w:before="9"/>
        <w:rPr>
          <w:sz w:val="17"/>
        </w:rPr>
      </w:pPr>
    </w:p>
    <w:p>
      <w:pPr>
        <w:spacing w:after="0"/>
        <w:rPr>
          <w:sz w:val="17"/>
        </w:rPr>
        <w:sectPr>
          <w:pgSz w:w="11910" w:h="16840"/>
          <w:pgMar w:header="874" w:footer="1214" w:top="1360" w:bottom="1400" w:left="1040" w:right="760"/>
        </w:sectPr>
      </w:pPr>
    </w:p>
    <w:p>
      <w:pPr>
        <w:pStyle w:val="Heading4"/>
        <w:numPr>
          <w:ilvl w:val="0"/>
          <w:numId w:val="12"/>
        </w:numPr>
        <w:tabs>
          <w:tab w:pos="803" w:val="left" w:leader="none"/>
          <w:tab w:pos="804" w:val="left" w:leader="none"/>
        </w:tabs>
        <w:spacing w:line="240" w:lineRule="auto" w:before="10" w:after="0"/>
        <w:ind w:left="803" w:right="0" w:hanging="567"/>
        <w:jc w:val="left"/>
      </w:pPr>
      <w:r>
        <w:rPr/>
        <w:t>成本分析表</w:t>
      </w:r>
    </w:p>
    <w:p>
      <w:pPr>
        <w:pStyle w:val="BodyText"/>
        <w:spacing w:before="5"/>
        <w:rPr>
          <w:rFonts w:ascii="Microsoft JhengHei"/>
          <w:b/>
          <w:sz w:val="22"/>
        </w:rPr>
      </w:pPr>
      <w:r>
        <w:rPr/>
        <w:br w:type="column"/>
      </w:r>
      <w:r>
        <w:rPr>
          <w:rFonts w:ascii="Microsoft JhengHei"/>
          <w:b/>
          <w:sz w:val="22"/>
        </w:rPr>
      </w:r>
    </w:p>
    <w:p>
      <w:pPr>
        <w:pStyle w:val="BodyText"/>
        <w:spacing w:before="1"/>
        <w:ind w:left="237"/>
      </w:pPr>
      <w:r>
        <w:rPr/>
        <w:t>单位：万元</w:t>
      </w:r>
    </w:p>
    <w:p>
      <w:pPr>
        <w:spacing w:after="0"/>
        <w:sectPr>
          <w:type w:val="continuous"/>
          <w:pgSz w:w="11910" w:h="16840"/>
          <w:pgMar w:top="1360" w:bottom="1400" w:left="1040" w:right="760"/>
          <w:cols w:num="2" w:equalWidth="0">
            <w:col w:w="1900" w:space="5882"/>
            <w:col w:w="2328"/>
          </w:cols>
        </w:sectPr>
      </w:pPr>
    </w:p>
    <w:tbl>
      <w:tblPr>
        <w:tblW w:w="0" w:type="auto"/>
        <w:jc w:val="left"/>
        <w:tblInd w:w="14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84"/>
        <w:gridCol w:w="1202"/>
        <w:gridCol w:w="1267"/>
        <w:gridCol w:w="1175"/>
        <w:gridCol w:w="1267"/>
        <w:gridCol w:w="1106"/>
        <w:gridCol w:w="1080"/>
        <w:gridCol w:w="664"/>
      </w:tblGrid>
      <w:tr>
        <w:trPr>
          <w:trHeight w:val="272" w:hRule="atLeast"/>
        </w:trPr>
        <w:tc>
          <w:tcPr>
            <w:tcW w:w="9045" w:type="dxa"/>
            <w:gridSpan w:val="8"/>
            <w:tcBorders>
              <w:bottom w:val="single" w:sz="4" w:space="0" w:color="000000"/>
            </w:tcBorders>
            <w:shd w:val="clear" w:color="auto" w:fill="EDEBE0"/>
          </w:tcPr>
          <w:p>
            <w:pPr>
              <w:pStyle w:val="TableParagraph"/>
              <w:spacing w:line="250" w:lineRule="exact" w:before="3"/>
              <w:ind w:left="3980" w:right="3944"/>
              <w:jc w:val="center"/>
              <w:rPr>
                <w:rFonts w:ascii="宋体" w:eastAsia="宋体" w:hint="eastAsia"/>
                <w:sz w:val="21"/>
              </w:rPr>
            </w:pPr>
            <w:r>
              <w:rPr>
                <w:rFonts w:ascii="宋体" w:eastAsia="宋体" w:hint="eastAsia"/>
                <w:sz w:val="21"/>
              </w:rPr>
              <w:t>分行业情况</w:t>
            </w:r>
          </w:p>
        </w:tc>
      </w:tr>
      <w:tr>
        <w:trPr>
          <w:trHeight w:val="1092" w:hRule="atLeast"/>
        </w:trPr>
        <w:tc>
          <w:tcPr>
            <w:tcW w:w="1284" w:type="dxa"/>
            <w:tcBorders>
              <w:top w:val="single" w:sz="4" w:space="0" w:color="000000"/>
              <w:bottom w:val="single" w:sz="4" w:space="0" w:color="000000"/>
              <w:right w:val="single" w:sz="4" w:space="0" w:color="000000"/>
            </w:tcBorders>
            <w:shd w:val="clear" w:color="auto" w:fill="EDEBE0"/>
          </w:tcPr>
          <w:p>
            <w:pPr>
              <w:pStyle w:val="TableParagraph"/>
              <w:rPr>
                <w:rFonts w:ascii="宋体"/>
                <w:sz w:val="20"/>
              </w:rPr>
            </w:pPr>
          </w:p>
          <w:p>
            <w:pPr>
              <w:pStyle w:val="TableParagraph"/>
              <w:spacing w:before="155"/>
              <w:ind w:left="326"/>
              <w:rPr>
                <w:rFonts w:ascii="宋体" w:eastAsia="宋体" w:hint="eastAsia"/>
                <w:sz w:val="21"/>
              </w:rPr>
            </w:pPr>
            <w:r>
              <w:rPr>
                <w:rFonts w:ascii="宋体" w:eastAsia="宋体" w:hint="eastAsia"/>
                <w:sz w:val="21"/>
              </w:rPr>
              <w:t>分行业</w:t>
            </w:r>
          </w:p>
        </w:tc>
        <w:tc>
          <w:tcPr>
            <w:tcW w:w="1202"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5"/>
              <w:rPr>
                <w:rFonts w:ascii="宋体"/>
                <w:sz w:val="21"/>
              </w:rPr>
            </w:pPr>
          </w:p>
          <w:p>
            <w:pPr>
              <w:pStyle w:val="TableParagraph"/>
              <w:spacing w:line="244" w:lineRule="auto"/>
              <w:ind w:left="398" w:right="157" w:hanging="209"/>
              <w:rPr>
                <w:rFonts w:ascii="宋体" w:eastAsia="宋体" w:hint="eastAsia"/>
                <w:sz w:val="21"/>
              </w:rPr>
            </w:pPr>
            <w:r>
              <w:rPr>
                <w:rFonts w:ascii="宋体" w:eastAsia="宋体" w:hint="eastAsia"/>
                <w:sz w:val="21"/>
              </w:rPr>
              <w:t>成本构成项目</w:t>
            </w:r>
          </w:p>
        </w:tc>
        <w:tc>
          <w:tcPr>
            <w:tcW w:w="1267"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rPr>
                <w:rFonts w:ascii="宋体"/>
                <w:sz w:val="20"/>
              </w:rPr>
            </w:pPr>
          </w:p>
          <w:p>
            <w:pPr>
              <w:pStyle w:val="TableParagraph"/>
              <w:spacing w:before="155"/>
              <w:ind w:left="224"/>
              <w:rPr>
                <w:rFonts w:ascii="宋体" w:eastAsia="宋体" w:hint="eastAsia"/>
                <w:sz w:val="21"/>
              </w:rPr>
            </w:pPr>
            <w:r>
              <w:rPr>
                <w:rFonts w:ascii="宋体" w:eastAsia="宋体" w:hint="eastAsia"/>
                <w:sz w:val="21"/>
              </w:rPr>
              <w:t>本期金额</w:t>
            </w:r>
          </w:p>
        </w:tc>
        <w:tc>
          <w:tcPr>
            <w:tcW w:w="1175"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154"/>
              <w:ind w:left="179" w:right="141"/>
              <w:jc w:val="center"/>
              <w:rPr>
                <w:sz w:val="21"/>
              </w:rPr>
            </w:pPr>
            <w:r>
              <w:rPr>
                <w:rFonts w:ascii="宋体" w:eastAsia="宋体" w:hint="eastAsia"/>
                <w:sz w:val="21"/>
              </w:rPr>
              <w:t>本期占总成本比例</w:t>
            </w:r>
            <w:r>
              <w:rPr>
                <w:sz w:val="21"/>
              </w:rPr>
              <w:t>(%)</w:t>
            </w:r>
          </w:p>
        </w:tc>
        <w:tc>
          <w:tcPr>
            <w:tcW w:w="1267"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5"/>
              <w:rPr>
                <w:rFonts w:ascii="宋体"/>
                <w:sz w:val="21"/>
              </w:rPr>
            </w:pPr>
          </w:p>
          <w:p>
            <w:pPr>
              <w:pStyle w:val="TableParagraph"/>
              <w:spacing w:line="244" w:lineRule="auto"/>
              <w:ind w:left="540" w:right="81" w:hanging="421"/>
              <w:rPr>
                <w:rFonts w:ascii="宋体" w:eastAsia="宋体" w:hint="eastAsia"/>
                <w:sz w:val="21"/>
              </w:rPr>
            </w:pPr>
            <w:r>
              <w:rPr>
                <w:rFonts w:ascii="宋体" w:eastAsia="宋体" w:hint="eastAsia"/>
                <w:sz w:val="21"/>
              </w:rPr>
              <w:t>上年同期金额</w:t>
            </w:r>
          </w:p>
        </w:tc>
        <w:tc>
          <w:tcPr>
            <w:tcW w:w="1106"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42" w:lineRule="auto" w:before="138"/>
              <w:ind w:left="144" w:right="106"/>
              <w:jc w:val="both"/>
              <w:rPr>
                <w:sz w:val="21"/>
              </w:rPr>
            </w:pPr>
            <w:r>
              <w:rPr>
                <w:rFonts w:ascii="宋体" w:eastAsia="宋体" w:hint="eastAsia"/>
                <w:sz w:val="21"/>
              </w:rPr>
              <w:t>上年同期占总成本比例</w:t>
            </w:r>
            <w:r>
              <w:rPr>
                <w:sz w:val="21"/>
              </w:rPr>
              <w:t>(%)</w:t>
            </w:r>
          </w:p>
        </w:tc>
        <w:tc>
          <w:tcPr>
            <w:tcW w:w="1080"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42" w:lineRule="auto" w:before="3"/>
              <w:ind w:left="132" w:right="92"/>
              <w:jc w:val="both"/>
              <w:rPr>
                <w:rFonts w:ascii="宋体" w:eastAsia="宋体" w:hint="eastAsia"/>
                <w:sz w:val="21"/>
              </w:rPr>
            </w:pPr>
            <w:r>
              <w:rPr>
                <w:rFonts w:ascii="宋体" w:eastAsia="宋体" w:hint="eastAsia"/>
                <w:sz w:val="21"/>
              </w:rPr>
              <w:t>本期金额较上年同期变动比</w:t>
            </w:r>
          </w:p>
          <w:p>
            <w:pPr>
              <w:pStyle w:val="TableParagraph"/>
              <w:spacing w:line="252" w:lineRule="exact" w:before="1"/>
              <w:ind w:left="288"/>
              <w:rPr>
                <w:sz w:val="21"/>
              </w:rPr>
            </w:pPr>
            <w:r>
              <w:rPr>
                <w:rFonts w:ascii="宋体" w:eastAsia="宋体" w:hint="eastAsia"/>
                <w:sz w:val="21"/>
              </w:rPr>
              <w:t>例</w:t>
            </w:r>
            <w:r>
              <w:rPr>
                <w:sz w:val="21"/>
              </w:rPr>
              <w:t>(%)</w:t>
            </w:r>
          </w:p>
        </w:tc>
        <w:tc>
          <w:tcPr>
            <w:tcW w:w="664" w:type="dxa"/>
            <w:tcBorders>
              <w:top w:val="single" w:sz="4" w:space="0" w:color="000000"/>
              <w:left w:val="single" w:sz="4" w:space="0" w:color="000000"/>
              <w:bottom w:val="single" w:sz="4" w:space="0" w:color="000000"/>
            </w:tcBorders>
            <w:shd w:val="clear" w:color="auto" w:fill="EDEBE0"/>
          </w:tcPr>
          <w:p>
            <w:pPr>
              <w:pStyle w:val="TableParagraph"/>
              <w:spacing w:before="5"/>
              <w:rPr>
                <w:rFonts w:ascii="宋体"/>
                <w:sz w:val="21"/>
              </w:rPr>
            </w:pPr>
          </w:p>
          <w:p>
            <w:pPr>
              <w:pStyle w:val="TableParagraph"/>
              <w:spacing w:line="244" w:lineRule="auto"/>
              <w:ind w:left="135" w:right="83"/>
              <w:rPr>
                <w:rFonts w:ascii="宋体" w:eastAsia="宋体" w:hint="eastAsia"/>
                <w:sz w:val="21"/>
              </w:rPr>
            </w:pPr>
            <w:r>
              <w:rPr>
                <w:rFonts w:ascii="宋体" w:eastAsia="宋体" w:hint="eastAsia"/>
                <w:sz w:val="21"/>
              </w:rPr>
              <w:t>情况说明</w:t>
            </w:r>
          </w:p>
        </w:tc>
      </w:tr>
      <w:tr>
        <w:trPr>
          <w:trHeight w:val="534" w:hRule="atLeast"/>
        </w:trPr>
        <w:tc>
          <w:tcPr>
            <w:tcW w:w="1284" w:type="dxa"/>
            <w:vMerge w:val="restart"/>
            <w:tcBorders>
              <w:top w:val="single" w:sz="4" w:space="0" w:color="000000"/>
              <w:right w:val="single" w:sz="4" w:space="0" w:color="000000"/>
            </w:tcBorders>
          </w:tcPr>
          <w:p>
            <w:pPr>
              <w:pStyle w:val="TableParagraph"/>
              <w:rPr>
                <w:rFonts w:ascii="宋体"/>
                <w:sz w:val="20"/>
              </w:rPr>
            </w:pPr>
          </w:p>
          <w:p>
            <w:pPr>
              <w:pStyle w:val="TableParagraph"/>
              <w:rPr>
                <w:rFonts w:ascii="宋体"/>
                <w:sz w:val="20"/>
              </w:rPr>
            </w:pPr>
          </w:p>
          <w:p>
            <w:pPr>
              <w:pStyle w:val="TableParagraph"/>
              <w:spacing w:before="1"/>
              <w:rPr>
                <w:rFonts w:ascii="宋体"/>
                <w:sz w:val="15"/>
              </w:rPr>
            </w:pPr>
          </w:p>
          <w:p>
            <w:pPr>
              <w:pStyle w:val="TableParagraph"/>
              <w:spacing w:line="242" w:lineRule="auto" w:before="1"/>
              <w:ind w:left="107" w:right="84"/>
              <w:rPr>
                <w:rFonts w:ascii="宋体" w:eastAsia="宋体" w:hint="eastAsia"/>
                <w:sz w:val="21"/>
              </w:rPr>
            </w:pPr>
            <w:r>
              <w:rPr>
                <w:rFonts w:ascii="宋体" w:eastAsia="宋体" w:hint="eastAsia"/>
                <w:sz w:val="21"/>
              </w:rPr>
              <w:t>家用电器行业</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before="1"/>
              <w:ind w:left="115"/>
              <w:rPr>
                <w:rFonts w:ascii="宋体" w:eastAsia="宋体" w:hint="eastAsia"/>
                <w:sz w:val="21"/>
              </w:rPr>
            </w:pPr>
            <w:r>
              <w:rPr>
                <w:rFonts w:ascii="宋体" w:eastAsia="宋体" w:hint="eastAsia"/>
                <w:sz w:val="21"/>
              </w:rPr>
              <w:t>主营业务</w:t>
            </w:r>
          </w:p>
          <w:p>
            <w:pPr>
              <w:pStyle w:val="TableParagraph"/>
              <w:spacing w:line="242" w:lineRule="exact" w:before="2"/>
              <w:ind w:left="115"/>
              <w:rPr>
                <w:rFonts w:ascii="宋体" w:eastAsia="宋体" w:hint="eastAsia"/>
                <w:sz w:val="21"/>
              </w:rPr>
            </w:pPr>
            <w:r>
              <w:rPr>
                <w:rFonts w:ascii="宋体" w:eastAsia="宋体" w:hint="eastAsia"/>
                <w:sz w:val="21"/>
              </w:rPr>
              <w:t>成本</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144"/>
              <w:ind w:left="224"/>
              <w:rPr>
                <w:sz w:val="21"/>
              </w:rPr>
            </w:pPr>
            <w:r>
              <w:rPr>
                <w:sz w:val="21"/>
              </w:rPr>
              <w:t>12,251,576</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before="144"/>
              <w:ind w:right="81"/>
              <w:jc w:val="right"/>
              <w:rPr>
                <w:sz w:val="21"/>
              </w:rPr>
            </w:pPr>
            <w:r>
              <w:rPr>
                <w:sz w:val="21"/>
              </w:rPr>
              <w:t>100.00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144"/>
              <w:ind w:right="80"/>
              <w:jc w:val="right"/>
              <w:rPr>
                <w:sz w:val="21"/>
              </w:rPr>
            </w:pPr>
            <w:r>
              <w:rPr>
                <w:sz w:val="21"/>
              </w:rPr>
              <w:t>10,503,713</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before="144"/>
              <w:ind w:right="80"/>
              <w:jc w:val="right"/>
              <w:rPr>
                <w:sz w:val="21"/>
              </w:rPr>
            </w:pPr>
            <w:r>
              <w:rPr>
                <w:sz w:val="21"/>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144"/>
              <w:ind w:right="81"/>
              <w:jc w:val="right"/>
              <w:rPr>
                <w:sz w:val="21"/>
              </w:rPr>
            </w:pPr>
            <w:r>
              <w:rPr>
                <w:sz w:val="21"/>
              </w:rPr>
              <w:t>16.64</w:t>
            </w:r>
          </w:p>
        </w:tc>
        <w:tc>
          <w:tcPr>
            <w:tcW w:w="664" w:type="dxa"/>
            <w:tcBorders>
              <w:top w:val="single" w:sz="4" w:space="0" w:color="000000"/>
              <w:left w:val="single" w:sz="4" w:space="0" w:color="000000"/>
              <w:bottom w:val="single" w:sz="4" w:space="0" w:color="000000"/>
            </w:tcBorders>
          </w:tcPr>
          <w:p>
            <w:pPr>
              <w:pStyle w:val="TableParagraph"/>
              <w:rPr>
                <w:sz w:val="20"/>
              </w:rPr>
            </w:pPr>
          </w:p>
        </w:tc>
      </w:tr>
      <w:tr>
        <w:trPr>
          <w:trHeight w:val="250" w:hRule="atLeast"/>
        </w:trPr>
        <w:tc>
          <w:tcPr>
            <w:tcW w:w="1284" w:type="dxa"/>
            <w:vMerge/>
            <w:tcBorders>
              <w:top w:val="nil"/>
              <w:right w:val="single" w:sz="4" w:space="0" w:color="000000"/>
            </w:tcBorders>
          </w:tcPr>
          <w:p>
            <w:pPr>
              <w:rPr>
                <w:sz w:val="2"/>
                <w:szCs w:val="2"/>
              </w:rPr>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15"/>
              <w:rPr>
                <w:rFonts w:ascii="宋体" w:eastAsia="宋体" w:hint="eastAsia"/>
                <w:sz w:val="21"/>
              </w:rPr>
            </w:pPr>
            <w:r>
              <w:rPr>
                <w:rFonts w:ascii="宋体" w:eastAsia="宋体" w:hint="eastAsia"/>
                <w:sz w:val="21"/>
              </w:rPr>
              <w:t>原材料</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4"/>
              <w:rPr>
                <w:sz w:val="21"/>
              </w:rPr>
            </w:pPr>
            <w:r>
              <w:rPr>
                <w:sz w:val="21"/>
              </w:rPr>
              <w:t>10,190,414</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0"/>
              <w:jc w:val="right"/>
              <w:rPr>
                <w:sz w:val="21"/>
              </w:rPr>
            </w:pPr>
            <w:r>
              <w:rPr>
                <w:sz w:val="21"/>
              </w:rPr>
              <w:t>83.2%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0"/>
              <w:jc w:val="right"/>
              <w:rPr>
                <w:sz w:val="21"/>
              </w:rPr>
            </w:pPr>
            <w:r>
              <w:rPr>
                <w:sz w:val="21"/>
              </w:rPr>
              <w:t>8,817,249</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0"/>
              <w:jc w:val="right"/>
              <w:rPr>
                <w:sz w:val="21"/>
              </w:rPr>
            </w:pPr>
            <w:r>
              <w:rPr>
                <w:sz w:val="21"/>
              </w:rPr>
              <w:t>83.94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1"/>
              <w:jc w:val="right"/>
              <w:rPr>
                <w:sz w:val="21"/>
              </w:rPr>
            </w:pPr>
            <w:r>
              <w:rPr>
                <w:sz w:val="21"/>
              </w:rPr>
              <w:t>15.57</w:t>
            </w:r>
          </w:p>
        </w:tc>
        <w:tc>
          <w:tcPr>
            <w:tcW w:w="664" w:type="dxa"/>
            <w:tcBorders>
              <w:top w:val="single" w:sz="4" w:space="0" w:color="000000"/>
              <w:left w:val="single" w:sz="4" w:space="0" w:color="000000"/>
              <w:bottom w:val="single" w:sz="4" w:space="0" w:color="000000"/>
            </w:tcBorders>
          </w:tcPr>
          <w:p>
            <w:pPr>
              <w:pStyle w:val="TableParagraph"/>
              <w:rPr>
                <w:sz w:val="18"/>
              </w:rPr>
            </w:pPr>
          </w:p>
        </w:tc>
      </w:tr>
      <w:tr>
        <w:trPr>
          <w:trHeight w:val="253" w:hRule="atLeast"/>
        </w:trPr>
        <w:tc>
          <w:tcPr>
            <w:tcW w:w="1284" w:type="dxa"/>
            <w:vMerge/>
            <w:tcBorders>
              <w:top w:val="nil"/>
              <w:right w:val="single" w:sz="4" w:space="0" w:color="000000"/>
            </w:tcBorders>
          </w:tcPr>
          <w:p>
            <w:pPr>
              <w:rPr>
                <w:sz w:val="2"/>
                <w:szCs w:val="2"/>
              </w:rPr>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15"/>
              <w:rPr>
                <w:rFonts w:ascii="宋体" w:eastAsia="宋体" w:hint="eastAsia"/>
                <w:sz w:val="21"/>
              </w:rPr>
            </w:pPr>
            <w:r>
              <w:rPr>
                <w:rFonts w:ascii="宋体" w:eastAsia="宋体" w:hint="eastAsia"/>
                <w:sz w:val="21"/>
              </w:rPr>
              <w:t>人工</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82"/>
              <w:jc w:val="right"/>
              <w:rPr>
                <w:sz w:val="21"/>
              </w:rPr>
            </w:pPr>
            <w:r>
              <w:rPr>
                <w:sz w:val="21"/>
              </w:rPr>
              <w:t>776,334</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80"/>
              <w:jc w:val="right"/>
              <w:rPr>
                <w:sz w:val="21"/>
              </w:rPr>
            </w:pPr>
            <w:r>
              <w:rPr>
                <w:sz w:val="21"/>
              </w:rPr>
              <w:t>6.3%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80"/>
              <w:jc w:val="right"/>
              <w:rPr>
                <w:sz w:val="21"/>
              </w:rPr>
            </w:pPr>
            <w:r>
              <w:rPr>
                <w:sz w:val="21"/>
              </w:rPr>
              <w:t>588,073</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80"/>
              <w:jc w:val="right"/>
              <w:rPr>
                <w:sz w:val="21"/>
              </w:rPr>
            </w:pPr>
            <w:r>
              <w:rPr>
                <w:sz w:val="21"/>
              </w:rPr>
              <w:t>5.60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81"/>
              <w:jc w:val="right"/>
              <w:rPr>
                <w:sz w:val="21"/>
              </w:rPr>
            </w:pPr>
            <w:r>
              <w:rPr>
                <w:sz w:val="21"/>
              </w:rPr>
              <w:t>32.01</w:t>
            </w:r>
          </w:p>
        </w:tc>
        <w:tc>
          <w:tcPr>
            <w:tcW w:w="664" w:type="dxa"/>
            <w:tcBorders>
              <w:top w:val="single" w:sz="4" w:space="0" w:color="000000"/>
              <w:left w:val="single" w:sz="4" w:space="0" w:color="000000"/>
              <w:bottom w:val="single" w:sz="4" w:space="0" w:color="000000"/>
            </w:tcBorders>
          </w:tcPr>
          <w:p>
            <w:pPr>
              <w:pStyle w:val="TableParagraph"/>
              <w:rPr>
                <w:sz w:val="18"/>
              </w:rPr>
            </w:pPr>
          </w:p>
        </w:tc>
      </w:tr>
      <w:tr>
        <w:trPr>
          <w:trHeight w:val="253" w:hRule="atLeast"/>
        </w:trPr>
        <w:tc>
          <w:tcPr>
            <w:tcW w:w="1284" w:type="dxa"/>
            <w:vMerge/>
            <w:tcBorders>
              <w:top w:val="nil"/>
              <w:right w:val="single" w:sz="4" w:space="0" w:color="000000"/>
            </w:tcBorders>
          </w:tcPr>
          <w:p>
            <w:pPr>
              <w:rPr>
                <w:sz w:val="2"/>
                <w:szCs w:val="2"/>
              </w:rPr>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15"/>
              <w:rPr>
                <w:rFonts w:ascii="宋体" w:eastAsia="宋体" w:hint="eastAsia"/>
                <w:sz w:val="21"/>
              </w:rPr>
            </w:pPr>
            <w:r>
              <w:rPr>
                <w:rFonts w:ascii="宋体" w:eastAsia="宋体" w:hint="eastAsia"/>
                <w:sz w:val="21"/>
              </w:rPr>
              <w:t>折旧</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82"/>
              <w:jc w:val="right"/>
              <w:rPr>
                <w:sz w:val="21"/>
              </w:rPr>
            </w:pPr>
            <w:r>
              <w:rPr>
                <w:sz w:val="21"/>
              </w:rPr>
              <w:t>240,106</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80"/>
              <w:jc w:val="right"/>
              <w:rPr>
                <w:sz w:val="21"/>
              </w:rPr>
            </w:pPr>
            <w:r>
              <w:rPr>
                <w:sz w:val="21"/>
              </w:rPr>
              <w:t>2.0%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80"/>
              <w:jc w:val="right"/>
              <w:rPr>
                <w:sz w:val="21"/>
              </w:rPr>
            </w:pPr>
            <w:r>
              <w:rPr>
                <w:sz w:val="21"/>
              </w:rPr>
              <w:t>174,804</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80"/>
              <w:jc w:val="right"/>
              <w:rPr>
                <w:sz w:val="21"/>
              </w:rPr>
            </w:pPr>
            <w:r>
              <w:rPr>
                <w:sz w:val="21"/>
              </w:rPr>
              <w:t>1.66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81"/>
              <w:jc w:val="right"/>
              <w:rPr>
                <w:sz w:val="21"/>
              </w:rPr>
            </w:pPr>
            <w:r>
              <w:rPr>
                <w:sz w:val="21"/>
              </w:rPr>
              <w:t>37.36</w:t>
            </w:r>
          </w:p>
        </w:tc>
        <w:tc>
          <w:tcPr>
            <w:tcW w:w="664" w:type="dxa"/>
            <w:tcBorders>
              <w:top w:val="single" w:sz="4" w:space="0" w:color="000000"/>
              <w:left w:val="single" w:sz="4" w:space="0" w:color="000000"/>
              <w:bottom w:val="single" w:sz="4" w:space="0" w:color="000000"/>
            </w:tcBorders>
          </w:tcPr>
          <w:p>
            <w:pPr>
              <w:pStyle w:val="TableParagraph"/>
              <w:rPr>
                <w:sz w:val="18"/>
              </w:rPr>
            </w:pPr>
          </w:p>
        </w:tc>
      </w:tr>
      <w:tr>
        <w:trPr>
          <w:trHeight w:val="250" w:hRule="atLeast"/>
        </w:trPr>
        <w:tc>
          <w:tcPr>
            <w:tcW w:w="1284" w:type="dxa"/>
            <w:vMerge/>
            <w:tcBorders>
              <w:top w:val="nil"/>
              <w:right w:val="single" w:sz="4" w:space="0" w:color="000000"/>
            </w:tcBorders>
          </w:tcPr>
          <w:p>
            <w:pPr>
              <w:rPr>
                <w:sz w:val="2"/>
                <w:szCs w:val="2"/>
              </w:rPr>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15"/>
              <w:rPr>
                <w:rFonts w:ascii="宋体" w:eastAsia="宋体" w:hint="eastAsia"/>
                <w:sz w:val="21"/>
              </w:rPr>
            </w:pPr>
            <w:r>
              <w:rPr>
                <w:rFonts w:ascii="宋体" w:eastAsia="宋体" w:hint="eastAsia"/>
                <w:sz w:val="21"/>
              </w:rPr>
              <w:t>能源</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2"/>
              <w:jc w:val="right"/>
              <w:rPr>
                <w:sz w:val="21"/>
              </w:rPr>
            </w:pPr>
            <w:r>
              <w:rPr>
                <w:sz w:val="21"/>
              </w:rPr>
              <w:t>63,633</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0"/>
              <w:jc w:val="right"/>
              <w:rPr>
                <w:sz w:val="21"/>
              </w:rPr>
            </w:pPr>
            <w:r>
              <w:rPr>
                <w:sz w:val="21"/>
              </w:rPr>
              <w:t>0.5%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2"/>
              <w:jc w:val="right"/>
              <w:rPr>
                <w:sz w:val="21"/>
              </w:rPr>
            </w:pPr>
            <w:r>
              <w:rPr>
                <w:sz w:val="21"/>
              </w:rPr>
              <w:t>60,780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0"/>
              <w:jc w:val="right"/>
              <w:rPr>
                <w:sz w:val="21"/>
              </w:rPr>
            </w:pPr>
            <w:r>
              <w:rPr>
                <w:sz w:val="21"/>
              </w:rPr>
              <w:t>0.58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81"/>
              <w:jc w:val="right"/>
              <w:rPr>
                <w:sz w:val="21"/>
              </w:rPr>
            </w:pPr>
            <w:r>
              <w:rPr>
                <w:sz w:val="21"/>
              </w:rPr>
              <w:t>4.69</w:t>
            </w:r>
          </w:p>
        </w:tc>
        <w:tc>
          <w:tcPr>
            <w:tcW w:w="664" w:type="dxa"/>
            <w:tcBorders>
              <w:top w:val="single" w:sz="4" w:space="0" w:color="000000"/>
              <w:left w:val="single" w:sz="4" w:space="0" w:color="000000"/>
              <w:bottom w:val="single" w:sz="4" w:space="0" w:color="000000"/>
            </w:tcBorders>
          </w:tcPr>
          <w:p>
            <w:pPr>
              <w:pStyle w:val="TableParagraph"/>
              <w:rPr>
                <w:sz w:val="18"/>
              </w:rPr>
            </w:pPr>
          </w:p>
        </w:tc>
      </w:tr>
      <w:tr>
        <w:trPr>
          <w:trHeight w:val="260" w:hRule="atLeast"/>
        </w:trPr>
        <w:tc>
          <w:tcPr>
            <w:tcW w:w="1284" w:type="dxa"/>
            <w:vMerge/>
            <w:tcBorders>
              <w:top w:val="nil"/>
              <w:right w:val="single" w:sz="4" w:space="0" w:color="000000"/>
            </w:tcBorders>
          </w:tcPr>
          <w:p>
            <w:pPr>
              <w:rPr>
                <w:sz w:val="2"/>
                <w:szCs w:val="2"/>
              </w:rPr>
            </w:pPr>
          </w:p>
        </w:tc>
        <w:tc>
          <w:tcPr>
            <w:tcW w:w="1202" w:type="dxa"/>
            <w:tcBorders>
              <w:top w:val="single" w:sz="4" w:space="0" w:color="000000"/>
              <w:left w:val="single" w:sz="4" w:space="0" w:color="000000"/>
              <w:right w:val="single" w:sz="4" w:space="0" w:color="000000"/>
            </w:tcBorders>
          </w:tcPr>
          <w:p>
            <w:pPr>
              <w:pStyle w:val="TableParagraph"/>
              <w:spacing w:line="240" w:lineRule="exact"/>
              <w:ind w:left="115"/>
              <w:rPr>
                <w:rFonts w:ascii="宋体" w:eastAsia="宋体" w:hint="eastAsia"/>
                <w:sz w:val="21"/>
              </w:rPr>
            </w:pPr>
            <w:r>
              <w:rPr>
                <w:rFonts w:ascii="宋体" w:eastAsia="宋体" w:hint="eastAsia"/>
                <w:sz w:val="21"/>
              </w:rPr>
              <w:t>其他</w:t>
            </w:r>
          </w:p>
        </w:tc>
        <w:tc>
          <w:tcPr>
            <w:tcW w:w="1267" w:type="dxa"/>
            <w:tcBorders>
              <w:top w:val="single" w:sz="4" w:space="0" w:color="000000"/>
              <w:left w:val="single" w:sz="4" w:space="0" w:color="000000"/>
              <w:right w:val="single" w:sz="4" w:space="0" w:color="000000"/>
            </w:tcBorders>
          </w:tcPr>
          <w:p>
            <w:pPr>
              <w:pStyle w:val="TableParagraph"/>
              <w:spacing w:line="240" w:lineRule="exact"/>
              <w:ind w:right="82"/>
              <w:jc w:val="right"/>
              <w:rPr>
                <w:sz w:val="21"/>
              </w:rPr>
            </w:pPr>
            <w:r>
              <w:rPr>
                <w:sz w:val="21"/>
              </w:rPr>
              <w:t>981,089</w:t>
            </w:r>
          </w:p>
        </w:tc>
        <w:tc>
          <w:tcPr>
            <w:tcW w:w="1175" w:type="dxa"/>
            <w:tcBorders>
              <w:top w:val="single" w:sz="4" w:space="0" w:color="000000"/>
              <w:left w:val="single" w:sz="4" w:space="0" w:color="000000"/>
              <w:right w:val="single" w:sz="4" w:space="0" w:color="000000"/>
            </w:tcBorders>
          </w:tcPr>
          <w:p>
            <w:pPr>
              <w:pStyle w:val="TableParagraph"/>
              <w:spacing w:line="240" w:lineRule="exact"/>
              <w:ind w:right="80"/>
              <w:jc w:val="right"/>
              <w:rPr>
                <w:sz w:val="21"/>
              </w:rPr>
            </w:pPr>
            <w:r>
              <w:rPr>
                <w:sz w:val="21"/>
              </w:rPr>
              <w:t>8.0%</w:t>
            </w:r>
          </w:p>
        </w:tc>
        <w:tc>
          <w:tcPr>
            <w:tcW w:w="1267" w:type="dxa"/>
            <w:tcBorders>
              <w:top w:val="single" w:sz="4" w:space="0" w:color="000000"/>
              <w:left w:val="single" w:sz="4" w:space="0" w:color="000000"/>
              <w:right w:val="single" w:sz="4" w:space="0" w:color="000000"/>
            </w:tcBorders>
          </w:tcPr>
          <w:p>
            <w:pPr>
              <w:pStyle w:val="TableParagraph"/>
              <w:spacing w:line="240" w:lineRule="exact"/>
              <w:ind w:right="80"/>
              <w:jc w:val="right"/>
              <w:rPr>
                <w:sz w:val="21"/>
              </w:rPr>
            </w:pPr>
            <w:r>
              <w:rPr>
                <w:sz w:val="21"/>
              </w:rPr>
              <w:t>862,807</w:t>
            </w:r>
          </w:p>
        </w:tc>
        <w:tc>
          <w:tcPr>
            <w:tcW w:w="1106" w:type="dxa"/>
            <w:tcBorders>
              <w:top w:val="single" w:sz="4" w:space="0" w:color="000000"/>
              <w:left w:val="single" w:sz="4" w:space="0" w:color="000000"/>
              <w:right w:val="single" w:sz="4" w:space="0" w:color="000000"/>
            </w:tcBorders>
          </w:tcPr>
          <w:p>
            <w:pPr>
              <w:pStyle w:val="TableParagraph"/>
              <w:spacing w:line="240" w:lineRule="exact"/>
              <w:ind w:right="80"/>
              <w:jc w:val="right"/>
              <w:rPr>
                <w:sz w:val="21"/>
              </w:rPr>
            </w:pPr>
            <w:r>
              <w:rPr>
                <w:sz w:val="21"/>
              </w:rPr>
              <w:t>8.21</w:t>
            </w:r>
          </w:p>
        </w:tc>
        <w:tc>
          <w:tcPr>
            <w:tcW w:w="1080" w:type="dxa"/>
            <w:tcBorders>
              <w:top w:val="single" w:sz="4" w:space="0" w:color="000000"/>
              <w:left w:val="single" w:sz="4" w:space="0" w:color="000000"/>
              <w:right w:val="single" w:sz="4" w:space="0" w:color="000000"/>
            </w:tcBorders>
          </w:tcPr>
          <w:p>
            <w:pPr>
              <w:pStyle w:val="TableParagraph"/>
              <w:spacing w:line="240" w:lineRule="exact"/>
              <w:ind w:right="81"/>
              <w:jc w:val="right"/>
              <w:rPr>
                <w:sz w:val="21"/>
              </w:rPr>
            </w:pPr>
            <w:r>
              <w:rPr>
                <w:sz w:val="21"/>
              </w:rPr>
              <w:t>13.71</w:t>
            </w:r>
          </w:p>
        </w:tc>
        <w:tc>
          <w:tcPr>
            <w:tcW w:w="664" w:type="dxa"/>
            <w:tcBorders>
              <w:top w:val="single" w:sz="4" w:space="0" w:color="000000"/>
              <w:left w:val="single" w:sz="4" w:space="0" w:color="000000"/>
            </w:tcBorders>
          </w:tcPr>
          <w:p>
            <w:pPr>
              <w:pStyle w:val="TableParagraph"/>
              <w:rPr>
                <w:sz w:val="18"/>
              </w:rPr>
            </w:pPr>
          </w:p>
        </w:tc>
      </w:tr>
    </w:tbl>
    <w:p>
      <w:pPr>
        <w:spacing w:after="0"/>
        <w:rPr>
          <w:sz w:val="18"/>
        </w:rPr>
        <w:sectPr>
          <w:type w:val="continuous"/>
          <w:pgSz w:w="11910" w:h="16840"/>
          <w:pgMar w:top="1360" w:bottom="1400" w:left="1040" w:right="760"/>
        </w:sectPr>
      </w:pPr>
    </w:p>
    <w:p>
      <w:pPr>
        <w:pStyle w:val="Heading4"/>
        <w:numPr>
          <w:ilvl w:val="0"/>
          <w:numId w:val="12"/>
        </w:numPr>
        <w:tabs>
          <w:tab w:pos="803" w:val="left" w:leader="none"/>
          <w:tab w:pos="804" w:val="left" w:leader="none"/>
        </w:tabs>
        <w:spacing w:line="385" w:lineRule="exact" w:before="0" w:after="0"/>
        <w:ind w:left="803" w:right="0" w:hanging="567"/>
        <w:jc w:val="left"/>
      </w:pPr>
      <w:r>
        <w:rPr>
          <w:spacing w:val="-2"/>
        </w:rPr>
        <w:t>主要销售客户及主要供应商情况</w:t>
      </w:r>
    </w:p>
    <w:p>
      <w:pPr>
        <w:pStyle w:val="BodyText"/>
        <w:spacing w:before="14"/>
        <w:ind w:left="662"/>
      </w:pPr>
      <w:r>
        <w:rPr/>
        <w:t>√适用 □不适用</w:t>
      </w:r>
    </w:p>
    <w:p>
      <w:pPr>
        <w:pStyle w:val="BodyText"/>
        <w:spacing w:line="364" w:lineRule="auto" w:before="5"/>
        <w:ind w:left="237" w:right="1074" w:firstLine="424"/>
      </w:pPr>
      <w:r>
        <w:rPr>
          <w:spacing w:val="-8"/>
        </w:rPr>
        <w:t>前五名客户销售额 </w:t>
      </w:r>
      <w:r>
        <w:rPr>
          <w:rFonts w:ascii="Times New Roman" w:eastAsia="Times New Roman"/>
        </w:rPr>
        <w:t>4,519,919 </w:t>
      </w:r>
      <w:r>
        <w:rPr>
          <w:spacing w:val="-7"/>
        </w:rPr>
        <w:t>万元，占年度销售总额 </w:t>
      </w:r>
      <w:r>
        <w:rPr>
          <w:rFonts w:ascii="Times New Roman" w:eastAsia="Times New Roman"/>
        </w:rPr>
        <w:t>21.55%</w:t>
      </w:r>
      <w:r>
        <w:rPr>
          <w:spacing w:val="-3"/>
        </w:rPr>
        <w:t>；其中前五名客户销售额中关联</w:t>
      </w:r>
      <w:r>
        <w:rPr>
          <w:spacing w:val="-13"/>
        </w:rPr>
        <w:t>方销售额 </w:t>
      </w:r>
      <w:r>
        <w:rPr>
          <w:rFonts w:ascii="Times New Roman" w:eastAsia="Times New Roman"/>
        </w:rPr>
        <w:t>0 </w:t>
      </w:r>
      <w:r>
        <w:rPr>
          <w:spacing w:val="-8"/>
        </w:rPr>
        <w:t>万元，占年度销售总额 </w:t>
      </w:r>
      <w:r>
        <w:rPr>
          <w:rFonts w:ascii="Times New Roman" w:eastAsia="Times New Roman"/>
        </w:rPr>
        <w:t>0</w:t>
      </w:r>
      <w:r>
        <w:rPr>
          <w:rFonts w:ascii="Times New Roman" w:eastAsia="Times New Roman"/>
          <w:spacing w:val="-2"/>
        </w:rPr>
        <w:t> %</w:t>
      </w:r>
      <w:r>
        <w:rPr/>
        <w:t>。</w:t>
      </w:r>
    </w:p>
    <w:p>
      <w:pPr>
        <w:pStyle w:val="BodyText"/>
        <w:spacing w:line="367" w:lineRule="auto"/>
        <w:ind w:left="237" w:right="1072" w:firstLine="424"/>
      </w:pPr>
      <w:r>
        <w:rPr>
          <w:spacing w:val="-8"/>
        </w:rPr>
        <w:t>前五名供应商采购额 </w:t>
      </w:r>
      <w:r>
        <w:rPr>
          <w:rFonts w:ascii="Times New Roman" w:eastAsia="Times New Roman"/>
        </w:rPr>
        <w:t>3,910,629 </w:t>
      </w:r>
      <w:r>
        <w:rPr>
          <w:spacing w:val="-7"/>
        </w:rPr>
        <w:t>万元，占年度采购总额 </w:t>
      </w:r>
      <w:r>
        <w:rPr>
          <w:rFonts w:ascii="Times New Roman" w:eastAsia="Times New Roman"/>
        </w:rPr>
        <w:t>20.46%</w:t>
      </w:r>
      <w:r>
        <w:rPr>
          <w:spacing w:val="-3"/>
        </w:rPr>
        <w:t>；其中前五名供应商采购额中</w:t>
      </w:r>
      <w:r>
        <w:rPr>
          <w:spacing w:val="-11"/>
        </w:rPr>
        <w:t>关联方采购额 </w:t>
      </w:r>
      <w:r>
        <w:rPr>
          <w:rFonts w:ascii="Times New Roman" w:eastAsia="Times New Roman"/>
        </w:rPr>
        <w:t>2,266,043 </w:t>
      </w:r>
      <w:r>
        <w:rPr>
          <w:spacing w:val="-8"/>
        </w:rPr>
        <w:t>万元，占年度采购总额 </w:t>
      </w:r>
      <w:r>
        <w:rPr>
          <w:rFonts w:ascii="Times New Roman" w:eastAsia="Times New Roman"/>
        </w:rPr>
        <w:t>11.85%</w:t>
      </w:r>
      <w:r>
        <w:rPr/>
        <w:t>。</w:t>
      </w:r>
    </w:p>
    <w:p>
      <w:pPr>
        <w:pStyle w:val="BodyText"/>
        <w:spacing w:before="6"/>
        <w:rPr>
          <w:sz w:val="17"/>
        </w:rPr>
      </w:pPr>
    </w:p>
    <w:p>
      <w:pPr>
        <w:pStyle w:val="Heading4"/>
        <w:numPr>
          <w:ilvl w:val="0"/>
          <w:numId w:val="11"/>
        </w:numPr>
        <w:tabs>
          <w:tab w:pos="657" w:val="left" w:leader="none"/>
          <w:tab w:pos="658" w:val="left" w:leader="none"/>
        </w:tabs>
        <w:spacing w:line="240" w:lineRule="auto" w:before="0" w:after="0"/>
        <w:ind w:left="657" w:right="0" w:hanging="421"/>
        <w:jc w:val="left"/>
      </w:pPr>
      <w:r>
        <w:rPr/>
        <w:t>费用</w:t>
      </w:r>
    </w:p>
    <w:p>
      <w:pPr>
        <w:pStyle w:val="BodyText"/>
        <w:spacing w:before="17"/>
        <w:ind w:left="237"/>
      </w:pPr>
      <w:r>
        <w:rPr/>
        <w:t>√适用 □不适用</w:t>
      </w:r>
    </w:p>
    <w:p>
      <w:pPr>
        <w:pStyle w:val="ListParagraph"/>
        <w:numPr>
          <w:ilvl w:val="1"/>
          <w:numId w:val="11"/>
        </w:numPr>
        <w:tabs>
          <w:tab w:pos="1077" w:val="left" w:leader="none"/>
          <w:tab w:pos="1078" w:val="left" w:leader="none"/>
        </w:tabs>
        <w:spacing w:line="240" w:lineRule="auto" w:before="175" w:after="0"/>
        <w:ind w:left="1077" w:right="0" w:hanging="414"/>
        <w:jc w:val="left"/>
        <w:rPr>
          <w:sz w:val="21"/>
        </w:rPr>
      </w:pPr>
      <w:r>
        <w:rPr>
          <w:spacing w:val="-8"/>
          <w:sz w:val="21"/>
        </w:rPr>
        <w:t>财务费用较同期上升 </w:t>
      </w:r>
      <w:r>
        <w:rPr>
          <w:rFonts w:ascii="Times New Roman" w:eastAsia="Times New Roman"/>
          <w:sz w:val="21"/>
        </w:rPr>
        <w:t>33.95%</w:t>
      </w:r>
      <w:r>
        <w:rPr>
          <w:spacing w:val="-3"/>
          <w:sz w:val="21"/>
        </w:rPr>
        <w:t>，主要是本期汇率波动确认汇兑损失所致。</w:t>
      </w:r>
    </w:p>
    <w:p>
      <w:pPr>
        <w:pStyle w:val="BodyText"/>
        <w:spacing w:before="6"/>
        <w:rPr>
          <w:sz w:val="20"/>
        </w:rPr>
      </w:pPr>
    </w:p>
    <w:p>
      <w:pPr>
        <w:pStyle w:val="Heading4"/>
        <w:numPr>
          <w:ilvl w:val="0"/>
          <w:numId w:val="11"/>
        </w:numPr>
        <w:tabs>
          <w:tab w:pos="657" w:val="left" w:leader="none"/>
          <w:tab w:pos="658" w:val="left" w:leader="none"/>
        </w:tabs>
        <w:spacing w:line="359" w:lineRule="exact" w:before="9" w:after="0"/>
        <w:ind w:left="657" w:right="0" w:hanging="421"/>
        <w:jc w:val="left"/>
      </w:pPr>
      <w:r>
        <w:rPr/>
        <w:t>研发投入</w:t>
      </w:r>
    </w:p>
    <w:p>
      <w:pPr>
        <w:pStyle w:val="Heading4"/>
        <w:numPr>
          <w:ilvl w:val="0"/>
          <w:numId w:val="13"/>
        </w:numPr>
        <w:tabs>
          <w:tab w:pos="641" w:val="left" w:leader="none"/>
        </w:tabs>
        <w:spacing w:line="359" w:lineRule="exact" w:before="0" w:after="0"/>
        <w:ind w:left="640" w:right="0" w:hanging="404"/>
        <w:jc w:val="left"/>
      </w:pPr>
      <w:r>
        <w:rPr/>
        <w:t>研发投入情况表</w:t>
      </w:r>
    </w:p>
    <w:p>
      <w:pPr>
        <w:pStyle w:val="BodyText"/>
        <w:tabs>
          <w:tab w:pos="1504" w:val="left" w:leader="none"/>
        </w:tabs>
        <w:spacing w:before="17"/>
        <w:ind w:left="662"/>
      </w:pPr>
      <w:r>
        <w:rPr/>
        <w:t>√适用</w:t>
        <w:tab/>
      </w:r>
      <w:r>
        <w:rPr>
          <w:spacing w:val="-3"/>
        </w:rPr>
        <w:t>□</w:t>
      </w:r>
      <w:r>
        <w:rPr/>
        <w:t>不</w:t>
      </w:r>
      <w:r>
        <w:rPr>
          <w:spacing w:val="-3"/>
        </w:rPr>
        <w:t>适</w:t>
      </w:r>
      <w:r>
        <w:rPr/>
        <w:t>用</w:t>
      </w:r>
    </w:p>
    <w:p>
      <w:pPr>
        <w:pStyle w:val="BodyText"/>
        <w:spacing w:before="2" w:after="4"/>
        <w:ind w:left="8230"/>
      </w:pPr>
      <w:r>
        <w:rPr/>
        <w:t>单位：元</w:t>
      </w:r>
    </w:p>
    <w:tbl>
      <w:tblPr>
        <w:tblW w:w="0" w:type="auto"/>
        <w:jc w:val="left"/>
        <w:tblInd w:w="14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795"/>
        <w:gridCol w:w="5254"/>
      </w:tblGrid>
      <w:tr>
        <w:trPr>
          <w:trHeight w:val="272" w:hRule="atLeast"/>
        </w:trPr>
        <w:tc>
          <w:tcPr>
            <w:tcW w:w="3795" w:type="dxa"/>
            <w:tcBorders>
              <w:bottom w:val="single" w:sz="4" w:space="0" w:color="000000"/>
              <w:right w:val="single" w:sz="4" w:space="0" w:color="000000"/>
            </w:tcBorders>
          </w:tcPr>
          <w:p>
            <w:pPr>
              <w:pStyle w:val="TableParagraph"/>
              <w:spacing w:line="252" w:lineRule="exact"/>
              <w:ind w:left="107"/>
              <w:rPr>
                <w:rFonts w:ascii="宋体" w:eastAsia="宋体" w:hint="eastAsia"/>
                <w:sz w:val="21"/>
              </w:rPr>
            </w:pPr>
            <w:r>
              <w:rPr>
                <w:rFonts w:ascii="宋体" w:eastAsia="宋体" w:hint="eastAsia"/>
                <w:sz w:val="21"/>
              </w:rPr>
              <w:t>本期费用化研发投入</w:t>
            </w:r>
          </w:p>
        </w:tc>
        <w:tc>
          <w:tcPr>
            <w:tcW w:w="5254" w:type="dxa"/>
            <w:tcBorders>
              <w:left w:val="single" w:sz="4" w:space="0" w:color="000000"/>
              <w:bottom w:val="single" w:sz="4" w:space="0" w:color="000000"/>
            </w:tcBorders>
          </w:tcPr>
          <w:p>
            <w:pPr>
              <w:pStyle w:val="TableParagraph"/>
              <w:spacing w:before="9"/>
              <w:ind w:right="73"/>
              <w:jc w:val="right"/>
              <w:rPr>
                <w:sz w:val="21"/>
              </w:rPr>
            </w:pPr>
            <w:r>
              <w:rPr>
                <w:sz w:val="21"/>
              </w:rPr>
              <w:t>6,860,161,572</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本期资本化研发投入</w:t>
            </w:r>
          </w:p>
        </w:tc>
        <w:tc>
          <w:tcPr>
            <w:tcW w:w="5254" w:type="dxa"/>
            <w:tcBorders>
              <w:top w:val="single" w:sz="4" w:space="0" w:color="000000"/>
              <w:left w:val="single" w:sz="4" w:space="0" w:color="000000"/>
              <w:bottom w:val="single" w:sz="4" w:space="0" w:color="000000"/>
            </w:tcBorders>
          </w:tcPr>
          <w:p>
            <w:pPr>
              <w:pStyle w:val="TableParagraph"/>
              <w:spacing w:before="7"/>
              <w:ind w:right="73"/>
              <w:jc w:val="right"/>
              <w:rPr>
                <w:sz w:val="21"/>
              </w:rPr>
            </w:pPr>
            <w:r>
              <w:rPr>
                <w:sz w:val="21"/>
              </w:rPr>
              <w:t>359,861,728</w:t>
            </w: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研发投入合计</w:t>
            </w:r>
          </w:p>
        </w:tc>
        <w:tc>
          <w:tcPr>
            <w:tcW w:w="5254" w:type="dxa"/>
            <w:tcBorders>
              <w:top w:val="single" w:sz="4" w:space="0" w:color="000000"/>
              <w:left w:val="single" w:sz="4" w:space="0" w:color="000000"/>
              <w:bottom w:val="single" w:sz="4" w:space="0" w:color="000000"/>
            </w:tcBorders>
          </w:tcPr>
          <w:p>
            <w:pPr>
              <w:pStyle w:val="TableParagraph"/>
              <w:spacing w:before="7"/>
              <w:ind w:right="73"/>
              <w:jc w:val="right"/>
              <w:rPr>
                <w:sz w:val="21"/>
              </w:rPr>
            </w:pPr>
            <w:r>
              <w:rPr>
                <w:sz w:val="21"/>
              </w:rPr>
              <w:t>7,220,023,300</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研发投入总额占营业收入比例（</w:t>
            </w:r>
            <w:r>
              <w:rPr>
                <w:sz w:val="21"/>
              </w:rPr>
              <w:t>%</w:t>
            </w:r>
            <w:r>
              <w:rPr>
                <w:rFonts w:ascii="宋体" w:eastAsia="宋体" w:hint="eastAsia"/>
                <w:sz w:val="21"/>
              </w:rPr>
              <w:t>）</w:t>
            </w:r>
          </w:p>
        </w:tc>
        <w:tc>
          <w:tcPr>
            <w:tcW w:w="5254" w:type="dxa"/>
            <w:tcBorders>
              <w:top w:val="single" w:sz="4" w:space="0" w:color="000000"/>
              <w:left w:val="single" w:sz="4" w:space="0" w:color="000000"/>
              <w:bottom w:val="single" w:sz="4" w:space="0" w:color="000000"/>
            </w:tcBorders>
          </w:tcPr>
          <w:p>
            <w:pPr>
              <w:pStyle w:val="TableParagraph"/>
              <w:spacing w:before="10"/>
              <w:ind w:right="73"/>
              <w:jc w:val="right"/>
              <w:rPr>
                <w:sz w:val="21"/>
              </w:rPr>
            </w:pPr>
            <w:r>
              <w:rPr>
                <w:sz w:val="21"/>
              </w:rPr>
              <w:t>3.44</w:t>
            </w: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公司研发人员的数量</w:t>
            </w:r>
          </w:p>
        </w:tc>
        <w:tc>
          <w:tcPr>
            <w:tcW w:w="5254" w:type="dxa"/>
            <w:tcBorders>
              <w:top w:val="single" w:sz="4" w:space="0" w:color="000000"/>
              <w:left w:val="single" w:sz="4" w:space="0" w:color="000000"/>
              <w:bottom w:val="single" w:sz="4" w:space="0" w:color="000000"/>
            </w:tcBorders>
          </w:tcPr>
          <w:p>
            <w:pPr>
              <w:pStyle w:val="TableParagraph"/>
              <w:spacing w:before="7"/>
              <w:ind w:right="73"/>
              <w:jc w:val="right"/>
              <w:rPr>
                <w:sz w:val="21"/>
              </w:rPr>
            </w:pPr>
            <w:r>
              <w:rPr>
                <w:sz w:val="21"/>
              </w:rPr>
              <w:t>18,014</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3"/>
              <w:ind w:left="107" w:right="-29"/>
              <w:rPr>
                <w:rFonts w:ascii="宋体" w:eastAsia="宋体" w:hint="eastAsia"/>
                <w:sz w:val="21"/>
              </w:rPr>
            </w:pPr>
            <w:r>
              <w:rPr>
                <w:rFonts w:ascii="宋体" w:eastAsia="宋体" w:hint="eastAsia"/>
                <w:spacing w:val="-7"/>
                <w:sz w:val="21"/>
              </w:rPr>
              <w:t>研发人员数量占公司总人数的比例</w:t>
            </w:r>
            <w:r>
              <w:rPr>
                <w:rFonts w:ascii="宋体" w:eastAsia="宋体" w:hint="eastAsia"/>
                <w:sz w:val="21"/>
              </w:rPr>
              <w:t>（</w:t>
            </w:r>
            <w:r>
              <w:rPr>
                <w:sz w:val="21"/>
              </w:rPr>
              <w:t>%</w:t>
            </w:r>
            <w:r>
              <w:rPr>
                <w:rFonts w:ascii="宋体" w:eastAsia="宋体" w:hint="eastAsia"/>
                <w:sz w:val="21"/>
              </w:rPr>
              <w:t>）</w:t>
            </w:r>
          </w:p>
        </w:tc>
        <w:tc>
          <w:tcPr>
            <w:tcW w:w="5254" w:type="dxa"/>
            <w:tcBorders>
              <w:top w:val="single" w:sz="4" w:space="0" w:color="000000"/>
              <w:left w:val="single" w:sz="4" w:space="0" w:color="000000"/>
              <w:bottom w:val="single" w:sz="4" w:space="0" w:color="000000"/>
            </w:tcBorders>
          </w:tcPr>
          <w:p>
            <w:pPr>
              <w:pStyle w:val="TableParagraph"/>
              <w:spacing w:before="10"/>
              <w:ind w:right="73"/>
              <w:jc w:val="right"/>
              <w:rPr>
                <w:sz w:val="21"/>
              </w:rPr>
            </w:pPr>
            <w:r>
              <w:rPr>
                <w:sz w:val="21"/>
              </w:rPr>
              <w:t>18.14</w:t>
            </w:r>
          </w:p>
        </w:tc>
      </w:tr>
      <w:tr>
        <w:trPr>
          <w:trHeight w:val="270" w:hRule="atLeast"/>
        </w:trPr>
        <w:tc>
          <w:tcPr>
            <w:tcW w:w="3795" w:type="dxa"/>
            <w:tcBorders>
              <w:top w:val="single" w:sz="4" w:space="0" w:color="000000"/>
              <w:right w:val="single" w:sz="4" w:space="0" w:color="000000"/>
            </w:tcBorders>
          </w:tcPr>
          <w:p>
            <w:pPr>
              <w:pStyle w:val="TableParagraph"/>
              <w:spacing w:line="249" w:lineRule="exact" w:before="1"/>
              <w:ind w:left="107"/>
              <w:rPr>
                <w:rFonts w:ascii="宋体" w:eastAsia="宋体" w:hint="eastAsia"/>
                <w:sz w:val="21"/>
              </w:rPr>
            </w:pPr>
            <w:r>
              <w:rPr>
                <w:rFonts w:ascii="宋体" w:eastAsia="宋体" w:hint="eastAsia"/>
                <w:sz w:val="21"/>
              </w:rPr>
              <w:t>研发投入资本化的比重（</w:t>
            </w:r>
            <w:r>
              <w:rPr>
                <w:sz w:val="21"/>
              </w:rPr>
              <w:t>%</w:t>
            </w:r>
            <w:r>
              <w:rPr>
                <w:rFonts w:ascii="宋体" w:eastAsia="宋体" w:hint="eastAsia"/>
                <w:sz w:val="21"/>
              </w:rPr>
              <w:t>）</w:t>
            </w:r>
          </w:p>
        </w:tc>
        <w:tc>
          <w:tcPr>
            <w:tcW w:w="5254" w:type="dxa"/>
            <w:tcBorders>
              <w:top w:val="single" w:sz="4" w:space="0" w:color="000000"/>
              <w:left w:val="single" w:sz="4" w:space="0" w:color="000000"/>
            </w:tcBorders>
          </w:tcPr>
          <w:p>
            <w:pPr>
              <w:pStyle w:val="TableParagraph"/>
              <w:spacing w:line="240" w:lineRule="exact" w:before="10"/>
              <w:ind w:right="73"/>
              <w:jc w:val="right"/>
              <w:rPr>
                <w:sz w:val="21"/>
              </w:rPr>
            </w:pPr>
            <w:r>
              <w:rPr>
                <w:sz w:val="21"/>
              </w:rPr>
              <w:t>4.98</w:t>
            </w:r>
          </w:p>
        </w:tc>
      </w:tr>
    </w:tbl>
    <w:p>
      <w:pPr>
        <w:pStyle w:val="BodyText"/>
        <w:spacing w:before="10"/>
        <w:rPr>
          <w:sz w:val="17"/>
        </w:rPr>
      </w:pPr>
    </w:p>
    <w:p>
      <w:pPr>
        <w:pStyle w:val="Heading4"/>
        <w:numPr>
          <w:ilvl w:val="0"/>
          <w:numId w:val="13"/>
        </w:numPr>
        <w:tabs>
          <w:tab w:pos="641" w:val="left" w:leader="none"/>
        </w:tabs>
        <w:spacing w:line="240" w:lineRule="auto" w:before="9" w:after="0"/>
        <w:ind w:left="640" w:right="0" w:hanging="404"/>
        <w:jc w:val="left"/>
      </w:pPr>
      <w:r>
        <w:rPr/>
        <w:t>情况说明</w:t>
      </w:r>
    </w:p>
    <w:p>
      <w:pPr>
        <w:pStyle w:val="BodyText"/>
        <w:spacing w:before="14"/>
        <w:ind w:left="662"/>
        <w:jc w:val="both"/>
      </w:pPr>
      <w:r>
        <w:rPr/>
        <w:t>√适用 □不适用</w:t>
      </w:r>
    </w:p>
    <w:p>
      <w:pPr>
        <w:pStyle w:val="BodyText"/>
        <w:spacing w:line="364" w:lineRule="auto" w:before="65"/>
        <w:ind w:left="237" w:right="1029" w:firstLine="424"/>
        <w:jc w:val="both"/>
      </w:pPr>
      <w:r>
        <w:rPr>
          <w:spacing w:val="-3"/>
        </w:rPr>
        <w:t>公司以用户体验为中心，</w:t>
      </w:r>
      <w:r>
        <w:rPr>
          <w:rFonts w:ascii="Times New Roman" w:eastAsia="Times New Roman"/>
        </w:rPr>
        <w:t>2020 </w:t>
      </w:r>
      <w:r>
        <w:rPr>
          <w:spacing w:val="-5"/>
        </w:rPr>
        <w:t>年重点聚焦原创科技突破，推出水洗空气空调、智慧 </w:t>
      </w:r>
      <w:r>
        <w:rPr>
          <w:rFonts w:ascii="Times New Roman" w:eastAsia="Times New Roman"/>
        </w:rPr>
        <w:t>12 </w:t>
      </w:r>
      <w:r>
        <w:rPr/>
        <w:t>方烟</w:t>
      </w:r>
      <w:r>
        <w:rPr>
          <w:spacing w:val="-13"/>
        </w:rPr>
        <w:t>机等一系列行业首创技术；围绕智慧家庭领域的本体、智能、安全、场景四大领域技术进行布局， </w:t>
      </w:r>
      <w:r>
        <w:rPr>
          <w:spacing w:val="-6"/>
        </w:rPr>
        <w:t>以技术专利化、专利标准化为主线，通过全球各研发中心的优势互补、融合协同，形成原创科技</w:t>
      </w:r>
      <w:r>
        <w:rPr>
          <w:spacing w:val="-4"/>
        </w:rPr>
        <w:t>的代际引领及智家云脑等智家核心技术突破；同时围绕国家产业战略以及核心物联网技术切入， </w:t>
      </w:r>
      <w:r>
        <w:rPr>
          <w:spacing w:val="-3"/>
        </w:rPr>
        <w:t>升级中长期技术路线图，超前布局，形成未来智家场景应用技术的持续引领。</w:t>
      </w:r>
    </w:p>
    <w:p>
      <w:pPr>
        <w:pStyle w:val="BodyText"/>
        <w:rPr>
          <w:sz w:val="18"/>
        </w:rPr>
      </w:pPr>
    </w:p>
    <w:p>
      <w:pPr>
        <w:pStyle w:val="Heading4"/>
        <w:numPr>
          <w:ilvl w:val="0"/>
          <w:numId w:val="11"/>
        </w:numPr>
        <w:tabs>
          <w:tab w:pos="657" w:val="left" w:leader="none"/>
          <w:tab w:pos="658" w:val="left" w:leader="none"/>
        </w:tabs>
        <w:spacing w:line="240" w:lineRule="auto" w:before="0" w:after="0"/>
        <w:ind w:left="657" w:right="0" w:hanging="421"/>
        <w:jc w:val="left"/>
      </w:pPr>
      <w:r>
        <w:rPr/>
        <w:t>现金流</w:t>
      </w:r>
    </w:p>
    <w:p>
      <w:pPr>
        <w:pStyle w:val="BodyText"/>
        <w:spacing w:before="152"/>
        <w:ind w:left="662"/>
        <w:jc w:val="both"/>
      </w:pPr>
      <w:r>
        <w:rPr/>
        <w:t>√适用 □不适用</w:t>
      </w:r>
    </w:p>
    <w:p>
      <w:pPr>
        <w:pStyle w:val="BodyText"/>
        <w:spacing w:before="4"/>
        <w:rPr>
          <w:sz w:val="24"/>
        </w:rPr>
      </w:pPr>
    </w:p>
    <w:p>
      <w:pPr>
        <w:pStyle w:val="ListParagraph"/>
        <w:numPr>
          <w:ilvl w:val="1"/>
          <w:numId w:val="11"/>
        </w:numPr>
        <w:tabs>
          <w:tab w:pos="1077" w:val="left" w:leader="none"/>
          <w:tab w:pos="1078" w:val="left" w:leader="none"/>
        </w:tabs>
        <w:spacing w:line="427" w:lineRule="auto" w:before="0" w:after="0"/>
        <w:ind w:left="237" w:right="1029" w:firstLine="427"/>
        <w:jc w:val="left"/>
        <w:rPr>
          <w:sz w:val="21"/>
        </w:rPr>
      </w:pPr>
      <w:r>
        <w:rPr>
          <w:spacing w:val="-4"/>
          <w:sz w:val="21"/>
        </w:rPr>
        <w:t>投资活动产生的现金流量净额较同期上升 </w:t>
      </w:r>
      <w:r>
        <w:rPr>
          <w:rFonts w:ascii="Times New Roman" w:eastAsia="Times New Roman"/>
          <w:spacing w:val="-6"/>
          <w:sz w:val="21"/>
        </w:rPr>
        <w:t>51.98%</w:t>
      </w:r>
      <w:r>
        <w:rPr>
          <w:spacing w:val="-6"/>
          <w:sz w:val="21"/>
        </w:rPr>
        <w:t>，主要是本期处置子公司、赎回理财产</w:t>
      </w:r>
      <w:r>
        <w:rPr>
          <w:spacing w:val="-8"/>
          <w:sz w:val="21"/>
        </w:rPr>
        <w:t>品产生现金流入及同期并购 </w:t>
      </w:r>
      <w:r>
        <w:rPr>
          <w:rFonts w:ascii="Times New Roman" w:eastAsia="Times New Roman"/>
          <w:sz w:val="21"/>
        </w:rPr>
        <w:t>Candy</w:t>
      </w:r>
      <w:r>
        <w:rPr>
          <w:rFonts w:ascii="Times New Roman" w:eastAsia="Times New Roman"/>
          <w:spacing w:val="-5"/>
          <w:sz w:val="21"/>
        </w:rPr>
        <w:t> </w:t>
      </w:r>
      <w:r>
        <w:rPr>
          <w:spacing w:val="-1"/>
          <w:sz w:val="21"/>
        </w:rPr>
        <w:t>支出所致；</w:t>
      </w:r>
    </w:p>
    <w:p>
      <w:pPr>
        <w:pStyle w:val="ListParagraph"/>
        <w:numPr>
          <w:ilvl w:val="1"/>
          <w:numId w:val="11"/>
        </w:numPr>
        <w:tabs>
          <w:tab w:pos="1077" w:val="left" w:leader="none"/>
          <w:tab w:pos="1078" w:val="left" w:leader="none"/>
        </w:tabs>
        <w:spacing w:line="240" w:lineRule="auto" w:before="2" w:after="0"/>
        <w:ind w:left="1077" w:right="0" w:hanging="414"/>
        <w:jc w:val="left"/>
        <w:rPr>
          <w:sz w:val="21"/>
        </w:rPr>
      </w:pPr>
      <w:r>
        <w:rPr>
          <w:spacing w:val="-6"/>
          <w:sz w:val="21"/>
        </w:rPr>
        <w:t>筹资活动产生的现金流量净额较同期上升 </w:t>
      </w:r>
      <w:r>
        <w:rPr>
          <w:rFonts w:ascii="Times New Roman" w:eastAsia="Times New Roman"/>
          <w:spacing w:val="-10"/>
          <w:sz w:val="21"/>
        </w:rPr>
        <w:t>82.94%</w:t>
      </w:r>
      <w:r>
        <w:rPr>
          <w:spacing w:val="-4"/>
          <w:sz w:val="21"/>
        </w:rPr>
        <w:t>，主要是本期新增借款及发行超短融所</w:t>
      </w:r>
    </w:p>
    <w:p>
      <w:pPr>
        <w:pStyle w:val="BodyText"/>
        <w:spacing w:before="6"/>
        <w:rPr>
          <w:sz w:val="16"/>
        </w:rPr>
      </w:pPr>
    </w:p>
    <w:p>
      <w:pPr>
        <w:pStyle w:val="BodyText"/>
        <w:ind w:left="237"/>
      </w:pPr>
      <w:r>
        <w:rPr/>
        <w:t>致。</w:t>
      </w:r>
    </w:p>
    <w:p>
      <w:pPr>
        <w:spacing w:after="0"/>
        <w:sectPr>
          <w:pgSz w:w="11910" w:h="16840"/>
          <w:pgMar w:header="874" w:footer="1214" w:top="1360" w:bottom="1400" w:left="1040" w:right="760"/>
        </w:sectPr>
      </w:pPr>
    </w:p>
    <w:p>
      <w:pPr>
        <w:pStyle w:val="Heading4"/>
        <w:tabs>
          <w:tab w:pos="1077" w:val="left" w:leader="none"/>
        </w:tabs>
        <w:spacing w:line="385" w:lineRule="exact"/>
        <w:ind w:left="237"/>
      </w:pPr>
      <w:r>
        <w:rPr>
          <w:w w:val="125"/>
        </w:rPr>
        <w:t>(</w:t>
      </w:r>
      <w:r>
        <w:rPr>
          <w:w w:val="105"/>
        </w:rPr>
        <w:t>二</w:t>
      </w:r>
      <w:r>
        <w:rPr>
          <w:w w:val="125"/>
        </w:rPr>
        <w:t>)</w:t>
        <w:tab/>
      </w:r>
      <w:r>
        <w:rPr>
          <w:w w:val="105"/>
        </w:rPr>
        <w:t>非主营业务导致利</w:t>
      </w:r>
      <w:r>
        <w:rPr>
          <w:spacing w:val="-3"/>
          <w:w w:val="105"/>
        </w:rPr>
        <w:t>润</w:t>
      </w:r>
      <w:r>
        <w:rPr>
          <w:w w:val="105"/>
        </w:rPr>
        <w:t>重</w:t>
      </w:r>
      <w:r>
        <w:rPr>
          <w:spacing w:val="-3"/>
          <w:w w:val="105"/>
        </w:rPr>
        <w:t>大</w:t>
      </w:r>
      <w:r>
        <w:rPr>
          <w:w w:val="105"/>
        </w:rPr>
        <w:t>变化的说明</w:t>
      </w:r>
    </w:p>
    <w:p>
      <w:pPr>
        <w:pStyle w:val="BodyText"/>
        <w:spacing w:before="151"/>
        <w:ind w:left="662"/>
      </w:pPr>
      <w:r>
        <w:rPr/>
        <w:t>□适用 √不适用</w:t>
      </w:r>
    </w:p>
    <w:p>
      <w:pPr>
        <w:pStyle w:val="BodyText"/>
        <w:rPr>
          <w:sz w:val="20"/>
        </w:rPr>
      </w:pPr>
    </w:p>
    <w:p>
      <w:pPr>
        <w:pStyle w:val="BodyText"/>
        <w:spacing w:before="5"/>
        <w:rPr>
          <w:sz w:val="18"/>
        </w:rPr>
      </w:pPr>
    </w:p>
    <w:p>
      <w:pPr>
        <w:pStyle w:val="Heading4"/>
        <w:tabs>
          <w:tab w:pos="1077" w:val="left" w:leader="none"/>
        </w:tabs>
        <w:ind w:left="237"/>
      </w:pPr>
      <w:r>
        <w:rPr>
          <w:w w:val="125"/>
        </w:rPr>
        <w:t>(</w:t>
      </w:r>
      <w:r>
        <w:rPr>
          <w:w w:val="105"/>
        </w:rPr>
        <w:t>三</w:t>
      </w:r>
      <w:r>
        <w:rPr>
          <w:w w:val="125"/>
        </w:rPr>
        <w:t>)</w:t>
        <w:tab/>
      </w:r>
      <w:r>
        <w:rPr>
          <w:w w:val="105"/>
        </w:rPr>
        <w:t>资产、负债情况分析</w:t>
      </w:r>
    </w:p>
    <w:p>
      <w:pPr>
        <w:pStyle w:val="BodyText"/>
        <w:tabs>
          <w:tab w:pos="1504" w:val="left" w:leader="none"/>
        </w:tabs>
        <w:spacing w:before="154"/>
        <w:ind w:left="662"/>
      </w:pPr>
      <w:r>
        <w:rPr/>
        <w:t>√适用</w:t>
        <w:tab/>
      </w:r>
      <w:r>
        <w:rPr>
          <w:spacing w:val="-3"/>
        </w:rPr>
        <w:t>□</w:t>
      </w:r>
      <w:r>
        <w:rPr/>
        <w:t>不</w:t>
      </w:r>
      <w:r>
        <w:rPr>
          <w:spacing w:val="-3"/>
        </w:rPr>
        <w:t>适</w:t>
      </w:r>
      <w:r>
        <w:rPr/>
        <w:t>用</w:t>
      </w:r>
    </w:p>
    <w:p>
      <w:pPr>
        <w:pStyle w:val="Heading4"/>
        <w:numPr>
          <w:ilvl w:val="0"/>
          <w:numId w:val="14"/>
        </w:numPr>
        <w:tabs>
          <w:tab w:pos="661" w:val="left" w:leader="none"/>
          <w:tab w:pos="663" w:val="left" w:leader="none"/>
        </w:tabs>
        <w:spacing w:line="240" w:lineRule="auto" w:before="130" w:after="0"/>
        <w:ind w:left="662" w:right="0" w:hanging="426"/>
        <w:jc w:val="left"/>
      </w:pPr>
      <w:r>
        <w:rPr/>
        <w:t>资产及负债状况</w:t>
      </w:r>
    </w:p>
    <w:p>
      <w:pPr>
        <w:pStyle w:val="BodyText"/>
        <w:spacing w:before="151"/>
        <w:ind w:right="1031"/>
        <w:jc w:val="right"/>
      </w:pPr>
      <w:r>
        <w:rPr/>
        <w:t>单位：万元</w:t>
      </w:r>
    </w:p>
    <w:tbl>
      <w:tblPr>
        <w:tblW w:w="0" w:type="auto"/>
        <w:jc w:val="left"/>
        <w:tblInd w:w="14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508"/>
        <w:gridCol w:w="1151"/>
        <w:gridCol w:w="1136"/>
        <w:gridCol w:w="1136"/>
        <w:gridCol w:w="1139"/>
        <w:gridCol w:w="1275"/>
        <w:gridCol w:w="2125"/>
      </w:tblGrid>
      <w:tr>
        <w:trPr>
          <w:trHeight w:val="1091" w:hRule="atLeast"/>
        </w:trPr>
        <w:tc>
          <w:tcPr>
            <w:tcW w:w="1508" w:type="dxa"/>
            <w:tcBorders>
              <w:bottom w:val="single" w:sz="4" w:space="0" w:color="000000"/>
              <w:right w:val="single" w:sz="4" w:space="0" w:color="000000"/>
            </w:tcBorders>
            <w:shd w:val="clear" w:color="auto" w:fill="EDEBE0"/>
          </w:tcPr>
          <w:p>
            <w:pPr>
              <w:pStyle w:val="TableParagraph"/>
              <w:rPr>
                <w:rFonts w:ascii="宋体"/>
                <w:sz w:val="20"/>
              </w:rPr>
            </w:pPr>
          </w:p>
          <w:p>
            <w:pPr>
              <w:pStyle w:val="TableParagraph"/>
              <w:spacing w:before="154"/>
              <w:ind w:left="333"/>
              <w:rPr>
                <w:rFonts w:ascii="宋体" w:eastAsia="宋体" w:hint="eastAsia"/>
                <w:sz w:val="21"/>
              </w:rPr>
            </w:pPr>
            <w:r>
              <w:rPr>
                <w:rFonts w:ascii="宋体" w:eastAsia="宋体" w:hint="eastAsia"/>
                <w:sz w:val="21"/>
              </w:rPr>
              <w:t>项目名称</w:t>
            </w:r>
          </w:p>
        </w:tc>
        <w:tc>
          <w:tcPr>
            <w:tcW w:w="1151" w:type="dxa"/>
            <w:tcBorders>
              <w:left w:val="single" w:sz="4" w:space="0" w:color="000000"/>
              <w:bottom w:val="single" w:sz="4" w:space="0" w:color="000000"/>
              <w:right w:val="single" w:sz="4" w:space="0" w:color="000000"/>
            </w:tcBorders>
            <w:shd w:val="clear" w:color="auto" w:fill="EDEBE0"/>
          </w:tcPr>
          <w:p>
            <w:pPr>
              <w:pStyle w:val="TableParagraph"/>
              <w:spacing w:before="5"/>
              <w:rPr>
                <w:rFonts w:ascii="宋体"/>
                <w:sz w:val="21"/>
              </w:rPr>
            </w:pPr>
          </w:p>
          <w:p>
            <w:pPr>
              <w:pStyle w:val="TableParagraph"/>
              <w:spacing w:line="244" w:lineRule="auto"/>
              <w:ind w:left="476" w:right="133" w:hanging="315"/>
              <w:rPr>
                <w:rFonts w:ascii="宋体" w:eastAsia="宋体" w:hint="eastAsia"/>
                <w:sz w:val="21"/>
              </w:rPr>
            </w:pPr>
            <w:r>
              <w:rPr>
                <w:rFonts w:ascii="宋体" w:eastAsia="宋体" w:hint="eastAsia"/>
                <w:sz w:val="21"/>
              </w:rPr>
              <w:t>本期期末数</w:t>
            </w:r>
          </w:p>
        </w:tc>
        <w:tc>
          <w:tcPr>
            <w:tcW w:w="1136" w:type="dxa"/>
            <w:tcBorders>
              <w:left w:val="single" w:sz="4" w:space="0" w:color="000000"/>
              <w:bottom w:val="single" w:sz="4" w:space="0" w:color="000000"/>
              <w:right w:val="single" w:sz="4" w:space="0" w:color="000000"/>
            </w:tcBorders>
            <w:shd w:val="clear" w:color="auto" w:fill="EDEBE0"/>
          </w:tcPr>
          <w:p>
            <w:pPr>
              <w:pStyle w:val="TableParagraph"/>
              <w:spacing w:line="242" w:lineRule="auto" w:before="3"/>
              <w:ind w:left="152" w:right="129"/>
              <w:jc w:val="both"/>
              <w:rPr>
                <w:rFonts w:ascii="宋体" w:eastAsia="宋体" w:hint="eastAsia"/>
                <w:sz w:val="21"/>
              </w:rPr>
            </w:pPr>
            <w:r>
              <w:rPr>
                <w:rFonts w:ascii="宋体" w:eastAsia="宋体" w:hint="eastAsia"/>
                <w:sz w:val="21"/>
              </w:rPr>
              <w:t>本期期末数占总资产的比例</w:t>
            </w:r>
          </w:p>
          <w:p>
            <w:pPr>
              <w:pStyle w:val="TableParagraph"/>
              <w:spacing w:line="252" w:lineRule="exact" w:before="1"/>
              <w:ind w:left="274"/>
              <w:rPr>
                <w:rFonts w:ascii="宋体" w:eastAsia="宋体" w:hint="eastAsia"/>
                <w:sz w:val="21"/>
              </w:rPr>
            </w:pPr>
            <w:r>
              <w:rPr>
                <w:rFonts w:ascii="宋体" w:eastAsia="宋体" w:hint="eastAsia"/>
                <w:sz w:val="21"/>
              </w:rPr>
              <w:t>（</w:t>
            </w:r>
            <w:r>
              <w:rPr>
                <w:sz w:val="21"/>
              </w:rPr>
              <w:t>%</w:t>
            </w:r>
            <w:r>
              <w:rPr>
                <w:rFonts w:ascii="宋体" w:eastAsia="宋体" w:hint="eastAsia"/>
                <w:sz w:val="21"/>
              </w:rPr>
              <w:t>）</w:t>
            </w:r>
          </w:p>
        </w:tc>
        <w:tc>
          <w:tcPr>
            <w:tcW w:w="1136" w:type="dxa"/>
            <w:tcBorders>
              <w:left w:val="single" w:sz="4" w:space="0" w:color="000000"/>
              <w:bottom w:val="single" w:sz="4" w:space="0" w:color="000000"/>
              <w:right w:val="single" w:sz="4" w:space="0" w:color="000000"/>
            </w:tcBorders>
            <w:shd w:val="clear" w:color="auto" w:fill="EDEBE0"/>
          </w:tcPr>
          <w:p>
            <w:pPr>
              <w:pStyle w:val="TableParagraph"/>
              <w:spacing w:before="5"/>
              <w:rPr>
                <w:rFonts w:ascii="宋体"/>
                <w:sz w:val="21"/>
              </w:rPr>
            </w:pPr>
          </w:p>
          <w:p>
            <w:pPr>
              <w:pStyle w:val="TableParagraph"/>
              <w:spacing w:line="244" w:lineRule="auto"/>
              <w:ind w:left="468" w:right="127" w:hanging="315"/>
              <w:rPr>
                <w:rFonts w:ascii="宋体" w:eastAsia="宋体" w:hint="eastAsia"/>
                <w:sz w:val="21"/>
              </w:rPr>
            </w:pPr>
            <w:r>
              <w:rPr>
                <w:rFonts w:ascii="宋体" w:eastAsia="宋体" w:hint="eastAsia"/>
                <w:sz w:val="21"/>
              </w:rPr>
              <w:t>上期期末数</w:t>
            </w:r>
          </w:p>
        </w:tc>
        <w:tc>
          <w:tcPr>
            <w:tcW w:w="1139" w:type="dxa"/>
            <w:tcBorders>
              <w:left w:val="single" w:sz="4" w:space="0" w:color="000000"/>
              <w:bottom w:val="single" w:sz="4" w:space="0" w:color="000000"/>
              <w:right w:val="single" w:sz="4" w:space="0" w:color="000000"/>
            </w:tcBorders>
            <w:shd w:val="clear" w:color="auto" w:fill="EDEBE0"/>
          </w:tcPr>
          <w:p>
            <w:pPr>
              <w:pStyle w:val="TableParagraph"/>
              <w:spacing w:line="242" w:lineRule="auto" w:before="3"/>
              <w:ind w:left="152" w:right="131"/>
              <w:jc w:val="both"/>
              <w:rPr>
                <w:rFonts w:ascii="宋体" w:eastAsia="宋体" w:hint="eastAsia"/>
                <w:sz w:val="21"/>
              </w:rPr>
            </w:pPr>
            <w:r>
              <w:rPr>
                <w:rFonts w:ascii="宋体" w:eastAsia="宋体" w:hint="eastAsia"/>
                <w:sz w:val="21"/>
              </w:rPr>
              <w:t>上期期末数占总资产的比例</w:t>
            </w:r>
          </w:p>
          <w:p>
            <w:pPr>
              <w:pStyle w:val="TableParagraph"/>
              <w:spacing w:line="252" w:lineRule="exact" w:before="1"/>
              <w:ind w:left="275"/>
              <w:rPr>
                <w:rFonts w:ascii="宋体" w:eastAsia="宋体" w:hint="eastAsia"/>
                <w:sz w:val="21"/>
              </w:rPr>
            </w:pPr>
            <w:r>
              <w:rPr>
                <w:rFonts w:ascii="宋体" w:eastAsia="宋体" w:hint="eastAsia"/>
                <w:sz w:val="21"/>
              </w:rPr>
              <w:t>（</w:t>
            </w:r>
            <w:r>
              <w:rPr>
                <w:sz w:val="21"/>
              </w:rPr>
              <w:t>%</w:t>
            </w:r>
            <w:r>
              <w:rPr>
                <w:rFonts w:ascii="宋体" w:eastAsia="宋体" w:hint="eastAsia"/>
                <w:sz w:val="21"/>
              </w:rPr>
              <w:t>）</w:t>
            </w:r>
          </w:p>
        </w:tc>
        <w:tc>
          <w:tcPr>
            <w:tcW w:w="1275" w:type="dxa"/>
            <w:tcBorders>
              <w:left w:val="single" w:sz="4" w:space="0" w:color="000000"/>
              <w:bottom w:val="single" w:sz="4" w:space="0" w:color="000000"/>
              <w:right w:val="single" w:sz="4" w:space="0" w:color="000000"/>
            </w:tcBorders>
            <w:shd w:val="clear" w:color="auto" w:fill="EDEBE0"/>
          </w:tcPr>
          <w:p>
            <w:pPr>
              <w:pStyle w:val="TableParagraph"/>
              <w:spacing w:line="242" w:lineRule="auto" w:before="3"/>
              <w:ind w:left="115" w:right="93"/>
              <w:jc w:val="both"/>
              <w:rPr>
                <w:rFonts w:ascii="宋体" w:eastAsia="宋体" w:hint="eastAsia"/>
                <w:sz w:val="21"/>
              </w:rPr>
            </w:pPr>
            <w:r>
              <w:rPr>
                <w:rFonts w:ascii="宋体" w:eastAsia="宋体" w:hint="eastAsia"/>
                <w:sz w:val="21"/>
              </w:rPr>
              <w:t>本期期末金额较上期期末变动比例</w:t>
            </w:r>
          </w:p>
          <w:p>
            <w:pPr>
              <w:pStyle w:val="TableParagraph"/>
              <w:spacing w:line="252" w:lineRule="exact" w:before="1"/>
              <w:ind w:left="343"/>
              <w:rPr>
                <w:rFonts w:ascii="宋体" w:eastAsia="宋体" w:hint="eastAsia"/>
                <w:sz w:val="21"/>
              </w:rPr>
            </w:pPr>
            <w:r>
              <w:rPr>
                <w:rFonts w:ascii="宋体" w:eastAsia="宋体" w:hint="eastAsia"/>
                <w:sz w:val="21"/>
              </w:rPr>
              <w:t>（</w:t>
            </w:r>
            <w:r>
              <w:rPr>
                <w:sz w:val="21"/>
              </w:rPr>
              <w:t>%</w:t>
            </w:r>
            <w:r>
              <w:rPr>
                <w:rFonts w:ascii="宋体" w:eastAsia="宋体" w:hint="eastAsia"/>
                <w:sz w:val="21"/>
              </w:rPr>
              <w:t>）</w:t>
            </w:r>
          </w:p>
        </w:tc>
        <w:tc>
          <w:tcPr>
            <w:tcW w:w="2125" w:type="dxa"/>
            <w:tcBorders>
              <w:left w:val="single" w:sz="4" w:space="0" w:color="000000"/>
              <w:bottom w:val="single" w:sz="4" w:space="0" w:color="000000"/>
            </w:tcBorders>
            <w:shd w:val="clear" w:color="auto" w:fill="EDEBE0"/>
          </w:tcPr>
          <w:p>
            <w:pPr>
              <w:pStyle w:val="TableParagraph"/>
              <w:rPr>
                <w:rFonts w:ascii="宋体"/>
                <w:sz w:val="20"/>
              </w:rPr>
            </w:pPr>
          </w:p>
          <w:p>
            <w:pPr>
              <w:pStyle w:val="TableParagraph"/>
              <w:spacing w:before="154"/>
              <w:ind w:left="102" w:right="72"/>
              <w:jc w:val="center"/>
              <w:rPr>
                <w:rFonts w:ascii="宋体" w:eastAsia="宋体" w:hint="eastAsia"/>
                <w:sz w:val="21"/>
              </w:rPr>
            </w:pPr>
            <w:r>
              <w:rPr>
                <w:rFonts w:ascii="宋体" w:eastAsia="宋体" w:hint="eastAsia"/>
                <w:sz w:val="21"/>
              </w:rPr>
              <w:t>情况说明</w:t>
            </w:r>
          </w:p>
        </w:tc>
      </w:tr>
      <w:tr>
        <w:trPr>
          <w:trHeight w:val="544" w:hRule="atLeast"/>
        </w:trPr>
        <w:tc>
          <w:tcPr>
            <w:tcW w:w="1508" w:type="dxa"/>
            <w:tcBorders>
              <w:top w:val="single" w:sz="4" w:space="0" w:color="000000"/>
              <w:bottom w:val="single" w:sz="4" w:space="0" w:color="000000"/>
              <w:right w:val="single" w:sz="4" w:space="0" w:color="000000"/>
            </w:tcBorders>
          </w:tcPr>
          <w:p>
            <w:pPr>
              <w:pStyle w:val="TableParagraph"/>
              <w:spacing w:before="1"/>
              <w:ind w:left="107"/>
              <w:rPr>
                <w:rFonts w:ascii="宋体" w:eastAsia="宋体" w:hint="eastAsia"/>
                <w:sz w:val="21"/>
              </w:rPr>
            </w:pPr>
            <w:r>
              <w:rPr>
                <w:rFonts w:ascii="宋体" w:eastAsia="宋体" w:hint="eastAsia"/>
                <w:sz w:val="21"/>
              </w:rPr>
              <w:t>交易性金融资</w:t>
            </w:r>
          </w:p>
          <w:p>
            <w:pPr>
              <w:pStyle w:val="TableParagraph"/>
              <w:spacing w:line="250" w:lineRule="exact" w:before="4"/>
              <w:ind w:left="107"/>
              <w:rPr>
                <w:rFonts w:ascii="宋体" w:eastAsia="宋体" w:hint="eastAsia"/>
                <w:sz w:val="21"/>
              </w:rPr>
            </w:pPr>
            <w:r>
              <w:rPr>
                <w:rFonts w:ascii="宋体" w:eastAsia="宋体" w:hint="eastAsia"/>
                <w:w w:val="100"/>
                <w:sz w:val="21"/>
              </w:rPr>
              <w:t>产</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before="144"/>
              <w:ind w:right="85"/>
              <w:jc w:val="right"/>
              <w:rPr>
                <w:sz w:val="21"/>
              </w:rPr>
            </w:pPr>
            <w:r>
              <w:rPr>
                <w:sz w:val="21"/>
              </w:rPr>
              <w:t>216,519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44"/>
              <w:ind w:right="88"/>
              <w:jc w:val="right"/>
              <w:rPr>
                <w:sz w:val="21"/>
              </w:rPr>
            </w:pPr>
            <w:r>
              <w:rPr>
                <w:sz w:val="21"/>
              </w:rPr>
              <w:t>1.06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44"/>
              <w:ind w:right="88"/>
              <w:jc w:val="right"/>
              <w:rPr>
                <w:sz w:val="21"/>
              </w:rPr>
            </w:pPr>
            <w:r>
              <w:rPr>
                <w:sz w:val="21"/>
              </w:rPr>
              <w:t>30,814</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before="144"/>
              <w:ind w:right="90"/>
              <w:jc w:val="right"/>
              <w:rPr>
                <w:sz w:val="21"/>
              </w:rPr>
            </w:pPr>
            <w:r>
              <w:rPr>
                <w:sz w:val="21"/>
              </w:rPr>
              <w:t>0.16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144"/>
              <w:ind w:right="88"/>
              <w:jc w:val="right"/>
              <w:rPr>
                <w:sz w:val="21"/>
              </w:rPr>
            </w:pPr>
            <w:r>
              <w:rPr>
                <w:sz w:val="21"/>
              </w:rPr>
              <w:t>602.68</w:t>
            </w:r>
          </w:p>
        </w:tc>
        <w:tc>
          <w:tcPr>
            <w:tcW w:w="2125" w:type="dxa"/>
            <w:tcBorders>
              <w:top w:val="single" w:sz="4" w:space="0" w:color="000000"/>
              <w:left w:val="single" w:sz="4" w:space="0" w:color="000000"/>
              <w:bottom w:val="single" w:sz="4" w:space="0" w:color="000000"/>
            </w:tcBorders>
          </w:tcPr>
          <w:p>
            <w:pPr>
              <w:pStyle w:val="TableParagraph"/>
              <w:spacing w:before="1"/>
              <w:ind w:left="112"/>
              <w:rPr>
                <w:rFonts w:ascii="宋体" w:eastAsia="宋体" w:hint="eastAsia"/>
                <w:sz w:val="21"/>
              </w:rPr>
            </w:pPr>
            <w:r>
              <w:rPr>
                <w:rFonts w:ascii="宋体" w:eastAsia="宋体" w:hint="eastAsia"/>
                <w:sz w:val="21"/>
              </w:rPr>
              <w:t>主要是短期理财产品</w:t>
            </w:r>
          </w:p>
          <w:p>
            <w:pPr>
              <w:pStyle w:val="TableParagraph"/>
              <w:spacing w:line="250" w:lineRule="exact" w:before="4"/>
              <w:ind w:left="112"/>
              <w:rPr>
                <w:rFonts w:ascii="宋体" w:eastAsia="宋体" w:hint="eastAsia"/>
                <w:sz w:val="21"/>
              </w:rPr>
            </w:pPr>
            <w:r>
              <w:rPr>
                <w:rFonts w:ascii="宋体" w:eastAsia="宋体" w:hint="eastAsia"/>
                <w:sz w:val="21"/>
              </w:rPr>
              <w:t>增加所致</w:t>
            </w:r>
          </w:p>
        </w:tc>
      </w:tr>
      <w:tr>
        <w:trPr>
          <w:trHeight w:val="544" w:hRule="atLeast"/>
        </w:trPr>
        <w:tc>
          <w:tcPr>
            <w:tcW w:w="1508" w:type="dxa"/>
            <w:tcBorders>
              <w:top w:val="single" w:sz="4" w:space="0" w:color="000000"/>
              <w:bottom w:val="single" w:sz="4" w:space="0" w:color="000000"/>
              <w:right w:val="single" w:sz="4" w:space="0" w:color="000000"/>
            </w:tcBorders>
          </w:tcPr>
          <w:p>
            <w:pPr>
              <w:pStyle w:val="TableParagraph"/>
              <w:spacing w:before="138"/>
              <w:ind w:left="107"/>
              <w:rPr>
                <w:rFonts w:ascii="宋体" w:eastAsia="宋体" w:hint="eastAsia"/>
                <w:sz w:val="21"/>
              </w:rPr>
            </w:pPr>
            <w:r>
              <w:rPr>
                <w:rFonts w:ascii="宋体" w:eastAsia="宋体" w:hint="eastAsia"/>
                <w:sz w:val="21"/>
              </w:rPr>
              <w:t>衍生金融资产</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before="144"/>
              <w:ind w:right="87"/>
              <w:jc w:val="right"/>
              <w:rPr>
                <w:sz w:val="21"/>
              </w:rPr>
            </w:pPr>
            <w:r>
              <w:rPr>
                <w:sz w:val="21"/>
              </w:rPr>
              <w:t>7,784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44"/>
              <w:ind w:right="88"/>
              <w:jc w:val="right"/>
              <w:rPr>
                <w:sz w:val="21"/>
              </w:rPr>
            </w:pPr>
            <w:r>
              <w:rPr>
                <w:sz w:val="21"/>
              </w:rPr>
              <w:t>0.04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44"/>
              <w:ind w:right="88"/>
              <w:jc w:val="right"/>
              <w:rPr>
                <w:sz w:val="21"/>
              </w:rPr>
            </w:pPr>
            <w:r>
              <w:rPr>
                <w:sz w:val="21"/>
              </w:rPr>
              <w:t>1,916</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before="144"/>
              <w:ind w:right="90"/>
              <w:jc w:val="right"/>
              <w:rPr>
                <w:sz w:val="21"/>
              </w:rPr>
            </w:pPr>
            <w:r>
              <w:rPr>
                <w:sz w:val="21"/>
              </w:rPr>
              <w:t>0.01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144"/>
              <w:ind w:right="88"/>
              <w:jc w:val="right"/>
              <w:rPr>
                <w:sz w:val="21"/>
              </w:rPr>
            </w:pPr>
            <w:r>
              <w:rPr>
                <w:sz w:val="21"/>
              </w:rPr>
              <w:t>306.30</w:t>
            </w:r>
          </w:p>
        </w:tc>
        <w:tc>
          <w:tcPr>
            <w:tcW w:w="2125" w:type="dxa"/>
            <w:tcBorders>
              <w:top w:val="single" w:sz="4" w:space="0" w:color="000000"/>
              <w:left w:val="single" w:sz="4" w:space="0" w:color="000000"/>
              <w:bottom w:val="single" w:sz="4" w:space="0" w:color="000000"/>
            </w:tcBorders>
          </w:tcPr>
          <w:p>
            <w:pPr>
              <w:pStyle w:val="TableParagraph"/>
              <w:spacing w:before="1"/>
              <w:ind w:left="112"/>
              <w:rPr>
                <w:rFonts w:ascii="宋体" w:eastAsia="宋体" w:hint="eastAsia"/>
                <w:sz w:val="21"/>
              </w:rPr>
            </w:pPr>
            <w:r>
              <w:rPr>
                <w:rFonts w:ascii="宋体" w:eastAsia="宋体" w:hint="eastAsia"/>
                <w:sz w:val="21"/>
              </w:rPr>
              <w:t>主要是本期远期外汇</w:t>
            </w:r>
          </w:p>
          <w:p>
            <w:pPr>
              <w:pStyle w:val="TableParagraph"/>
              <w:spacing w:line="250" w:lineRule="exact" w:before="4"/>
              <w:ind w:left="112"/>
              <w:rPr>
                <w:rFonts w:ascii="宋体" w:eastAsia="宋体" w:hint="eastAsia"/>
                <w:sz w:val="21"/>
              </w:rPr>
            </w:pPr>
            <w:r>
              <w:rPr>
                <w:rFonts w:ascii="宋体" w:eastAsia="宋体" w:hint="eastAsia"/>
                <w:sz w:val="21"/>
              </w:rPr>
              <w:t>买卖合约增加所致</w:t>
            </w:r>
          </w:p>
        </w:tc>
      </w:tr>
      <w:tr>
        <w:trPr>
          <w:trHeight w:val="544" w:hRule="atLeast"/>
        </w:trPr>
        <w:tc>
          <w:tcPr>
            <w:tcW w:w="1508" w:type="dxa"/>
            <w:tcBorders>
              <w:top w:val="single" w:sz="4" w:space="0" w:color="000000"/>
              <w:bottom w:val="single" w:sz="4" w:space="0" w:color="000000"/>
              <w:right w:val="single" w:sz="4" w:space="0" w:color="000000"/>
            </w:tcBorders>
          </w:tcPr>
          <w:p>
            <w:pPr>
              <w:pStyle w:val="TableParagraph"/>
              <w:spacing w:before="138"/>
              <w:ind w:left="107"/>
              <w:rPr>
                <w:rFonts w:ascii="宋体" w:eastAsia="宋体" w:hint="eastAsia"/>
                <w:sz w:val="21"/>
              </w:rPr>
            </w:pPr>
            <w:r>
              <w:rPr>
                <w:rFonts w:ascii="宋体" w:eastAsia="宋体" w:hint="eastAsia"/>
                <w:sz w:val="21"/>
              </w:rPr>
              <w:t>应收账款</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before="144"/>
              <w:ind w:right="85"/>
              <w:jc w:val="right"/>
              <w:rPr>
                <w:sz w:val="21"/>
              </w:rPr>
            </w:pPr>
            <w:r>
              <w:rPr>
                <w:sz w:val="21"/>
              </w:rPr>
              <w:t>1,593,002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44"/>
              <w:ind w:right="88"/>
              <w:jc w:val="right"/>
              <w:rPr>
                <w:sz w:val="21"/>
              </w:rPr>
            </w:pPr>
            <w:r>
              <w:rPr>
                <w:sz w:val="21"/>
              </w:rPr>
              <w:t>7.83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44"/>
              <w:ind w:right="86"/>
              <w:jc w:val="right"/>
              <w:rPr>
                <w:sz w:val="21"/>
              </w:rPr>
            </w:pPr>
            <w:r>
              <w:rPr>
                <w:sz w:val="21"/>
              </w:rPr>
              <w:t>1,101,587</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before="144"/>
              <w:ind w:right="90"/>
              <w:jc w:val="right"/>
              <w:rPr>
                <w:sz w:val="21"/>
              </w:rPr>
            </w:pPr>
            <w:r>
              <w:rPr>
                <w:sz w:val="21"/>
              </w:rPr>
              <w:t>5.88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144"/>
              <w:ind w:right="88"/>
              <w:jc w:val="right"/>
              <w:rPr>
                <w:sz w:val="21"/>
              </w:rPr>
            </w:pPr>
            <w:r>
              <w:rPr>
                <w:sz w:val="21"/>
              </w:rPr>
              <w:t>44.61</w:t>
            </w:r>
          </w:p>
        </w:tc>
        <w:tc>
          <w:tcPr>
            <w:tcW w:w="2125" w:type="dxa"/>
            <w:tcBorders>
              <w:top w:val="single" w:sz="4" w:space="0" w:color="000000"/>
              <w:left w:val="single" w:sz="4" w:space="0" w:color="000000"/>
              <w:bottom w:val="single" w:sz="4" w:space="0" w:color="000000"/>
            </w:tcBorders>
          </w:tcPr>
          <w:p>
            <w:pPr>
              <w:pStyle w:val="TableParagraph"/>
              <w:spacing w:before="1"/>
              <w:ind w:left="112"/>
              <w:rPr>
                <w:rFonts w:ascii="宋体" w:eastAsia="宋体" w:hint="eastAsia"/>
                <w:sz w:val="21"/>
              </w:rPr>
            </w:pPr>
            <w:r>
              <w:rPr>
                <w:rFonts w:ascii="宋体" w:eastAsia="宋体" w:hint="eastAsia"/>
                <w:sz w:val="21"/>
              </w:rPr>
              <w:t>主要是收入增长及本</w:t>
            </w:r>
          </w:p>
          <w:p>
            <w:pPr>
              <w:pStyle w:val="TableParagraph"/>
              <w:spacing w:line="250" w:lineRule="exact" w:before="4"/>
              <w:ind w:left="112"/>
              <w:rPr>
                <w:rFonts w:ascii="宋体" w:eastAsia="宋体" w:hint="eastAsia"/>
                <w:sz w:val="21"/>
              </w:rPr>
            </w:pPr>
            <w:r>
              <w:rPr>
                <w:rFonts w:ascii="宋体" w:eastAsia="宋体" w:hint="eastAsia"/>
                <w:sz w:val="21"/>
              </w:rPr>
              <w:t>期保理减少所致</w:t>
            </w:r>
          </w:p>
        </w:tc>
      </w:tr>
      <w:tr>
        <w:trPr>
          <w:trHeight w:val="544" w:hRule="atLeast"/>
        </w:trPr>
        <w:tc>
          <w:tcPr>
            <w:tcW w:w="1508" w:type="dxa"/>
            <w:tcBorders>
              <w:top w:val="single" w:sz="4" w:space="0" w:color="000000"/>
              <w:bottom w:val="single" w:sz="4" w:space="0" w:color="000000"/>
              <w:right w:val="single" w:sz="4" w:space="0" w:color="000000"/>
            </w:tcBorders>
          </w:tcPr>
          <w:p>
            <w:pPr>
              <w:pStyle w:val="TableParagraph"/>
              <w:spacing w:before="138"/>
              <w:ind w:left="107"/>
              <w:rPr>
                <w:rFonts w:ascii="宋体" w:eastAsia="宋体" w:hint="eastAsia"/>
                <w:sz w:val="21"/>
              </w:rPr>
            </w:pPr>
            <w:r>
              <w:rPr>
                <w:rFonts w:ascii="宋体" w:eastAsia="宋体" w:hint="eastAsia"/>
                <w:sz w:val="21"/>
              </w:rPr>
              <w:t>预付款项</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before="147"/>
              <w:ind w:right="87"/>
              <w:jc w:val="right"/>
              <w:rPr>
                <w:sz w:val="21"/>
              </w:rPr>
            </w:pPr>
            <w:r>
              <w:rPr>
                <w:sz w:val="21"/>
              </w:rPr>
              <w:t>76,543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47"/>
              <w:ind w:right="88"/>
              <w:jc w:val="right"/>
              <w:rPr>
                <w:sz w:val="21"/>
              </w:rPr>
            </w:pPr>
            <w:r>
              <w:rPr>
                <w:sz w:val="21"/>
              </w:rPr>
              <w:t>0.38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47"/>
              <w:ind w:right="86"/>
              <w:jc w:val="right"/>
              <w:rPr>
                <w:sz w:val="21"/>
              </w:rPr>
            </w:pPr>
            <w:r>
              <w:rPr>
                <w:sz w:val="21"/>
              </w:rPr>
              <w:t>127,292</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before="147"/>
              <w:ind w:right="90"/>
              <w:jc w:val="right"/>
              <w:rPr>
                <w:sz w:val="21"/>
              </w:rPr>
            </w:pPr>
            <w:r>
              <w:rPr>
                <w:sz w:val="21"/>
              </w:rPr>
              <w:t>0.68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147"/>
              <w:ind w:right="92"/>
              <w:jc w:val="right"/>
              <w:rPr>
                <w:sz w:val="21"/>
              </w:rPr>
            </w:pPr>
            <w:r>
              <w:rPr>
                <w:sz w:val="21"/>
              </w:rPr>
              <w:t>-39.87</w:t>
            </w:r>
          </w:p>
        </w:tc>
        <w:tc>
          <w:tcPr>
            <w:tcW w:w="2125" w:type="dxa"/>
            <w:tcBorders>
              <w:top w:val="single" w:sz="4" w:space="0" w:color="000000"/>
              <w:left w:val="single" w:sz="4" w:space="0" w:color="000000"/>
              <w:bottom w:val="single" w:sz="4" w:space="0" w:color="000000"/>
            </w:tcBorders>
          </w:tcPr>
          <w:p>
            <w:pPr>
              <w:pStyle w:val="TableParagraph"/>
              <w:spacing w:before="1"/>
              <w:ind w:left="112"/>
              <w:rPr>
                <w:rFonts w:ascii="宋体" w:eastAsia="宋体" w:hint="eastAsia"/>
                <w:sz w:val="21"/>
              </w:rPr>
            </w:pPr>
            <w:r>
              <w:rPr>
                <w:rFonts w:ascii="宋体" w:eastAsia="宋体" w:hint="eastAsia"/>
                <w:sz w:val="21"/>
              </w:rPr>
              <w:t>主要是处置子公司所</w:t>
            </w:r>
          </w:p>
          <w:p>
            <w:pPr>
              <w:pStyle w:val="TableParagraph"/>
              <w:spacing w:line="250" w:lineRule="exact" w:before="4"/>
              <w:ind w:left="112"/>
              <w:rPr>
                <w:rFonts w:ascii="宋体" w:eastAsia="宋体" w:hint="eastAsia"/>
                <w:sz w:val="21"/>
              </w:rPr>
            </w:pPr>
            <w:r>
              <w:rPr>
                <w:rFonts w:ascii="宋体" w:eastAsia="宋体" w:hint="eastAsia"/>
                <w:w w:val="100"/>
                <w:sz w:val="21"/>
              </w:rPr>
              <w:t>致</w:t>
            </w:r>
          </w:p>
        </w:tc>
      </w:tr>
      <w:tr>
        <w:trPr>
          <w:trHeight w:val="544" w:hRule="atLeast"/>
        </w:trPr>
        <w:tc>
          <w:tcPr>
            <w:tcW w:w="1508" w:type="dxa"/>
            <w:tcBorders>
              <w:top w:val="single" w:sz="4" w:space="0" w:color="000000"/>
              <w:bottom w:val="single" w:sz="4" w:space="0" w:color="000000"/>
              <w:right w:val="single" w:sz="4" w:space="0" w:color="000000"/>
            </w:tcBorders>
          </w:tcPr>
          <w:p>
            <w:pPr>
              <w:pStyle w:val="TableParagraph"/>
              <w:spacing w:before="138"/>
              <w:ind w:left="107"/>
              <w:rPr>
                <w:rFonts w:ascii="宋体" w:eastAsia="宋体" w:hint="eastAsia"/>
                <w:sz w:val="21"/>
              </w:rPr>
            </w:pPr>
            <w:r>
              <w:rPr>
                <w:rFonts w:ascii="宋体" w:eastAsia="宋体" w:hint="eastAsia"/>
                <w:sz w:val="21"/>
              </w:rPr>
              <w:t>合同资产</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before="147"/>
              <w:ind w:right="87"/>
              <w:jc w:val="right"/>
              <w:rPr>
                <w:sz w:val="21"/>
              </w:rPr>
            </w:pPr>
            <w:r>
              <w:rPr>
                <w:sz w:val="21"/>
              </w:rPr>
              <w:t>26,341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47"/>
              <w:ind w:right="88"/>
              <w:jc w:val="right"/>
              <w:rPr>
                <w:sz w:val="21"/>
              </w:rPr>
            </w:pPr>
            <w:r>
              <w:rPr>
                <w:sz w:val="21"/>
              </w:rPr>
              <w:t>0.13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47"/>
              <w:ind w:right="88"/>
              <w:jc w:val="right"/>
              <w:rPr>
                <w:sz w:val="21"/>
              </w:rPr>
            </w:pPr>
            <w:r>
              <w:rPr>
                <w:sz w:val="21"/>
              </w:rPr>
              <w:t>42,274</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before="147"/>
              <w:ind w:right="90"/>
              <w:jc w:val="right"/>
              <w:rPr>
                <w:sz w:val="21"/>
              </w:rPr>
            </w:pPr>
            <w:r>
              <w:rPr>
                <w:sz w:val="21"/>
              </w:rPr>
              <w:t>0.23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147"/>
              <w:ind w:right="92"/>
              <w:jc w:val="right"/>
              <w:rPr>
                <w:sz w:val="21"/>
              </w:rPr>
            </w:pPr>
            <w:r>
              <w:rPr>
                <w:sz w:val="21"/>
              </w:rPr>
              <w:t>-37.69</w:t>
            </w:r>
          </w:p>
        </w:tc>
        <w:tc>
          <w:tcPr>
            <w:tcW w:w="2125" w:type="dxa"/>
            <w:tcBorders>
              <w:top w:val="single" w:sz="4" w:space="0" w:color="000000"/>
              <w:left w:val="single" w:sz="4" w:space="0" w:color="000000"/>
              <w:bottom w:val="single" w:sz="4" w:space="0" w:color="000000"/>
            </w:tcBorders>
          </w:tcPr>
          <w:p>
            <w:pPr>
              <w:pStyle w:val="TableParagraph"/>
              <w:spacing w:line="270" w:lineRule="atLeast" w:before="2"/>
              <w:ind w:left="112" w:right="80"/>
              <w:rPr>
                <w:rFonts w:ascii="宋体" w:eastAsia="宋体" w:hint="eastAsia"/>
                <w:sz w:val="21"/>
              </w:rPr>
            </w:pPr>
            <w:r>
              <w:rPr>
                <w:rFonts w:ascii="宋体" w:eastAsia="宋体" w:hint="eastAsia"/>
                <w:sz w:val="21"/>
              </w:rPr>
              <w:t>主要是处置子公司所致</w:t>
            </w:r>
          </w:p>
        </w:tc>
      </w:tr>
      <w:tr>
        <w:trPr>
          <w:trHeight w:val="818" w:hRule="atLeast"/>
        </w:trPr>
        <w:tc>
          <w:tcPr>
            <w:tcW w:w="1508" w:type="dxa"/>
            <w:tcBorders>
              <w:top w:val="single" w:sz="4" w:space="0" w:color="000000"/>
              <w:bottom w:val="single" w:sz="4" w:space="0" w:color="000000"/>
              <w:right w:val="single" w:sz="4" w:space="0" w:color="000000"/>
            </w:tcBorders>
          </w:tcPr>
          <w:p>
            <w:pPr>
              <w:pStyle w:val="TableParagraph"/>
              <w:spacing w:before="5"/>
              <w:rPr>
                <w:rFonts w:ascii="宋体"/>
                <w:sz w:val="21"/>
              </w:rPr>
            </w:pPr>
          </w:p>
          <w:p>
            <w:pPr>
              <w:pStyle w:val="TableParagraph"/>
              <w:ind w:left="107"/>
              <w:rPr>
                <w:rFonts w:ascii="宋体" w:eastAsia="宋体" w:hint="eastAsia"/>
                <w:sz w:val="21"/>
              </w:rPr>
            </w:pPr>
            <w:r>
              <w:rPr>
                <w:rFonts w:ascii="宋体" w:eastAsia="宋体" w:hint="eastAsia"/>
                <w:sz w:val="21"/>
              </w:rPr>
              <w:t>其他流动资产</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before="1"/>
              <w:rPr>
                <w:rFonts w:ascii="宋体"/>
                <w:sz w:val="22"/>
              </w:rPr>
            </w:pPr>
          </w:p>
          <w:p>
            <w:pPr>
              <w:pStyle w:val="TableParagraph"/>
              <w:spacing w:before="1"/>
              <w:ind w:right="85"/>
              <w:jc w:val="right"/>
              <w:rPr>
                <w:sz w:val="21"/>
              </w:rPr>
            </w:pPr>
            <w:r>
              <w:rPr>
                <w:sz w:val="21"/>
              </w:rPr>
              <w:t>328,389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
              <w:rPr>
                <w:rFonts w:ascii="宋体"/>
                <w:sz w:val="22"/>
              </w:rPr>
            </w:pPr>
          </w:p>
          <w:p>
            <w:pPr>
              <w:pStyle w:val="TableParagraph"/>
              <w:spacing w:before="1"/>
              <w:ind w:right="88"/>
              <w:jc w:val="right"/>
              <w:rPr>
                <w:sz w:val="21"/>
              </w:rPr>
            </w:pPr>
            <w:r>
              <w:rPr>
                <w:sz w:val="21"/>
              </w:rPr>
              <w:t>1.61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
              <w:rPr>
                <w:rFonts w:ascii="宋体"/>
                <w:sz w:val="22"/>
              </w:rPr>
            </w:pPr>
          </w:p>
          <w:p>
            <w:pPr>
              <w:pStyle w:val="TableParagraph"/>
              <w:spacing w:before="1"/>
              <w:ind w:right="86"/>
              <w:jc w:val="right"/>
              <w:rPr>
                <w:sz w:val="21"/>
              </w:rPr>
            </w:pPr>
            <w:r>
              <w:rPr>
                <w:sz w:val="21"/>
              </w:rPr>
              <w:t>698,597</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before="1"/>
              <w:rPr>
                <w:rFonts w:ascii="宋体"/>
                <w:sz w:val="22"/>
              </w:rPr>
            </w:pPr>
          </w:p>
          <w:p>
            <w:pPr>
              <w:pStyle w:val="TableParagraph"/>
              <w:spacing w:before="1"/>
              <w:ind w:right="90"/>
              <w:jc w:val="right"/>
              <w:rPr>
                <w:sz w:val="21"/>
              </w:rPr>
            </w:pPr>
            <w:r>
              <w:rPr>
                <w:sz w:val="21"/>
              </w:rPr>
              <w:t>3.73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1"/>
              <w:rPr>
                <w:rFonts w:ascii="宋体"/>
                <w:sz w:val="22"/>
              </w:rPr>
            </w:pPr>
          </w:p>
          <w:p>
            <w:pPr>
              <w:pStyle w:val="TableParagraph"/>
              <w:spacing w:before="1"/>
              <w:ind w:right="92"/>
              <w:jc w:val="right"/>
              <w:rPr>
                <w:sz w:val="21"/>
              </w:rPr>
            </w:pPr>
            <w:r>
              <w:rPr>
                <w:sz w:val="21"/>
              </w:rPr>
              <w:t>-52.99</w:t>
            </w:r>
          </w:p>
        </w:tc>
        <w:tc>
          <w:tcPr>
            <w:tcW w:w="2125" w:type="dxa"/>
            <w:tcBorders>
              <w:top w:val="single" w:sz="4" w:space="0" w:color="000000"/>
              <w:left w:val="single" w:sz="4" w:space="0" w:color="000000"/>
              <w:bottom w:val="single" w:sz="4" w:space="0" w:color="000000"/>
            </w:tcBorders>
          </w:tcPr>
          <w:p>
            <w:pPr>
              <w:pStyle w:val="TableParagraph"/>
              <w:spacing w:line="242" w:lineRule="auto" w:before="3"/>
              <w:ind w:left="112" w:right="80"/>
              <w:rPr>
                <w:rFonts w:ascii="宋体" w:eastAsia="宋体" w:hint="eastAsia"/>
                <w:sz w:val="21"/>
              </w:rPr>
            </w:pPr>
            <w:r>
              <w:rPr>
                <w:rFonts w:ascii="宋体" w:eastAsia="宋体" w:hint="eastAsia"/>
                <w:sz w:val="21"/>
              </w:rPr>
              <w:t>主要是以摊余成本计量的理财产品减少所</w:t>
            </w:r>
          </w:p>
          <w:p>
            <w:pPr>
              <w:pStyle w:val="TableParagraph"/>
              <w:spacing w:line="250" w:lineRule="exact" w:before="2"/>
              <w:ind w:left="112"/>
              <w:rPr>
                <w:rFonts w:ascii="宋体" w:eastAsia="宋体" w:hint="eastAsia"/>
                <w:sz w:val="21"/>
              </w:rPr>
            </w:pPr>
            <w:r>
              <w:rPr>
                <w:rFonts w:ascii="宋体" w:eastAsia="宋体" w:hint="eastAsia"/>
                <w:w w:val="100"/>
                <w:sz w:val="21"/>
              </w:rPr>
              <w:t>致</w:t>
            </w:r>
          </w:p>
        </w:tc>
      </w:tr>
      <w:tr>
        <w:trPr>
          <w:trHeight w:val="1907" w:hRule="atLeast"/>
        </w:trPr>
        <w:tc>
          <w:tcPr>
            <w:tcW w:w="1508" w:type="dxa"/>
            <w:tcBorders>
              <w:top w:val="single" w:sz="4" w:space="0" w:color="000000"/>
              <w:bottom w:val="single" w:sz="4" w:space="0" w:color="000000"/>
              <w:right w:val="single" w:sz="4" w:space="0" w:color="000000"/>
            </w:tcBorders>
          </w:tcPr>
          <w:p>
            <w:pPr>
              <w:pStyle w:val="TableParagraph"/>
              <w:rPr>
                <w:rFonts w:ascii="宋体"/>
                <w:sz w:val="20"/>
              </w:rPr>
            </w:pPr>
          </w:p>
          <w:p>
            <w:pPr>
              <w:pStyle w:val="TableParagraph"/>
              <w:rPr>
                <w:rFonts w:ascii="宋体"/>
                <w:sz w:val="20"/>
              </w:rPr>
            </w:pPr>
          </w:p>
          <w:p>
            <w:pPr>
              <w:pStyle w:val="TableParagraph"/>
              <w:spacing w:line="242" w:lineRule="auto" w:before="170"/>
              <w:ind w:left="107" w:right="85"/>
              <w:rPr>
                <w:rFonts w:ascii="宋体" w:eastAsia="宋体" w:hint="eastAsia"/>
                <w:sz w:val="21"/>
              </w:rPr>
            </w:pPr>
            <w:r>
              <w:rPr>
                <w:rFonts w:ascii="宋体" w:eastAsia="宋体" w:hint="eastAsia"/>
                <w:sz w:val="21"/>
              </w:rPr>
              <w:t>其他权益工具投资</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22"/>
              </w:rPr>
            </w:pPr>
          </w:p>
          <w:p>
            <w:pPr>
              <w:pStyle w:val="TableParagraph"/>
              <w:rPr>
                <w:rFonts w:ascii="宋体"/>
                <w:sz w:val="22"/>
              </w:rPr>
            </w:pPr>
          </w:p>
          <w:p>
            <w:pPr>
              <w:pStyle w:val="TableParagraph"/>
              <w:spacing w:before="6"/>
              <w:rPr>
                <w:rFonts w:ascii="宋体"/>
                <w:sz w:val="20"/>
              </w:rPr>
            </w:pPr>
          </w:p>
          <w:p>
            <w:pPr>
              <w:pStyle w:val="TableParagraph"/>
              <w:ind w:right="85"/>
              <w:jc w:val="right"/>
              <w:rPr>
                <w:sz w:val="21"/>
              </w:rPr>
            </w:pPr>
            <w:r>
              <w:rPr>
                <w:sz w:val="21"/>
              </w:rPr>
              <w:t>265,913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22"/>
              </w:rPr>
            </w:pPr>
          </w:p>
          <w:p>
            <w:pPr>
              <w:pStyle w:val="TableParagraph"/>
              <w:rPr>
                <w:rFonts w:ascii="宋体"/>
                <w:sz w:val="22"/>
              </w:rPr>
            </w:pPr>
          </w:p>
          <w:p>
            <w:pPr>
              <w:pStyle w:val="TableParagraph"/>
              <w:spacing w:before="6"/>
              <w:rPr>
                <w:rFonts w:ascii="宋体"/>
                <w:sz w:val="20"/>
              </w:rPr>
            </w:pPr>
          </w:p>
          <w:p>
            <w:pPr>
              <w:pStyle w:val="TableParagraph"/>
              <w:ind w:right="88"/>
              <w:jc w:val="right"/>
              <w:rPr>
                <w:sz w:val="21"/>
              </w:rPr>
            </w:pPr>
            <w:r>
              <w:rPr>
                <w:sz w:val="21"/>
              </w:rPr>
              <w:t>1.31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22"/>
              </w:rPr>
            </w:pPr>
          </w:p>
          <w:p>
            <w:pPr>
              <w:pStyle w:val="TableParagraph"/>
              <w:rPr>
                <w:rFonts w:ascii="宋体"/>
                <w:sz w:val="22"/>
              </w:rPr>
            </w:pPr>
          </w:p>
          <w:p>
            <w:pPr>
              <w:pStyle w:val="TableParagraph"/>
              <w:spacing w:before="6"/>
              <w:rPr>
                <w:rFonts w:ascii="宋体"/>
                <w:sz w:val="20"/>
              </w:rPr>
            </w:pPr>
          </w:p>
          <w:p>
            <w:pPr>
              <w:pStyle w:val="TableParagraph"/>
              <w:ind w:right="86"/>
              <w:jc w:val="right"/>
              <w:rPr>
                <w:sz w:val="21"/>
              </w:rPr>
            </w:pPr>
            <w:r>
              <w:rPr>
                <w:sz w:val="21"/>
              </w:rPr>
              <w:t>139,596</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22"/>
              </w:rPr>
            </w:pPr>
          </w:p>
          <w:p>
            <w:pPr>
              <w:pStyle w:val="TableParagraph"/>
              <w:rPr>
                <w:rFonts w:ascii="宋体"/>
                <w:sz w:val="22"/>
              </w:rPr>
            </w:pPr>
          </w:p>
          <w:p>
            <w:pPr>
              <w:pStyle w:val="TableParagraph"/>
              <w:spacing w:before="6"/>
              <w:rPr>
                <w:rFonts w:ascii="宋体"/>
                <w:sz w:val="20"/>
              </w:rPr>
            </w:pPr>
          </w:p>
          <w:p>
            <w:pPr>
              <w:pStyle w:val="TableParagraph"/>
              <w:ind w:right="90"/>
              <w:jc w:val="right"/>
              <w:rPr>
                <w:sz w:val="21"/>
              </w:rPr>
            </w:pPr>
            <w:r>
              <w:rPr>
                <w:sz w:val="21"/>
              </w:rPr>
              <w:t>0.74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22"/>
              </w:rPr>
            </w:pPr>
          </w:p>
          <w:p>
            <w:pPr>
              <w:pStyle w:val="TableParagraph"/>
              <w:rPr>
                <w:rFonts w:ascii="宋体"/>
                <w:sz w:val="22"/>
              </w:rPr>
            </w:pPr>
          </w:p>
          <w:p>
            <w:pPr>
              <w:pStyle w:val="TableParagraph"/>
              <w:spacing w:before="6"/>
              <w:rPr>
                <w:rFonts w:ascii="宋体"/>
                <w:sz w:val="20"/>
              </w:rPr>
            </w:pPr>
          </w:p>
          <w:p>
            <w:pPr>
              <w:pStyle w:val="TableParagraph"/>
              <w:ind w:right="88"/>
              <w:jc w:val="right"/>
              <w:rPr>
                <w:sz w:val="21"/>
              </w:rPr>
            </w:pPr>
            <w:r>
              <w:rPr>
                <w:sz w:val="21"/>
              </w:rPr>
              <w:t>90.49</w:t>
            </w:r>
          </w:p>
        </w:tc>
        <w:tc>
          <w:tcPr>
            <w:tcW w:w="2125" w:type="dxa"/>
            <w:tcBorders>
              <w:top w:val="single" w:sz="4" w:space="0" w:color="000000"/>
              <w:left w:val="single" w:sz="4" w:space="0" w:color="000000"/>
              <w:bottom w:val="single" w:sz="4" w:space="0" w:color="000000"/>
            </w:tcBorders>
          </w:tcPr>
          <w:p>
            <w:pPr>
              <w:pStyle w:val="TableParagraph"/>
              <w:spacing w:line="242" w:lineRule="auto" w:before="1"/>
              <w:ind w:left="112" w:right="7"/>
              <w:jc w:val="both"/>
              <w:rPr>
                <w:rFonts w:ascii="宋体" w:eastAsia="宋体" w:hint="eastAsia"/>
                <w:sz w:val="21"/>
              </w:rPr>
            </w:pPr>
            <w:r>
              <w:rPr>
                <w:rFonts w:ascii="宋体" w:eastAsia="宋体" w:hint="eastAsia"/>
                <w:sz w:val="21"/>
              </w:rPr>
              <w:t>报告期公司出售卡奥</w:t>
            </w:r>
            <w:r>
              <w:rPr>
                <w:rFonts w:ascii="宋体" w:eastAsia="宋体" w:hint="eastAsia"/>
                <w:spacing w:val="-25"/>
                <w:sz w:val="21"/>
              </w:rPr>
              <w:t>斯 </w:t>
            </w:r>
            <w:r>
              <w:rPr>
                <w:sz w:val="21"/>
              </w:rPr>
              <w:t>54.50%</w:t>
            </w:r>
            <w:r>
              <w:rPr>
                <w:rFonts w:ascii="宋体" w:eastAsia="宋体" w:hint="eastAsia"/>
                <w:spacing w:val="-12"/>
                <w:sz w:val="21"/>
              </w:rPr>
              <w:t>股权，卡奥斯不再纳入公司合并报表范围。交易完成</w:t>
            </w:r>
            <w:r>
              <w:rPr>
                <w:rFonts w:ascii="宋体" w:eastAsia="宋体" w:hint="eastAsia"/>
                <w:spacing w:val="61"/>
                <w:sz w:val="21"/>
              </w:rPr>
              <w:t>后公司仍持有的</w:t>
            </w:r>
            <w:r>
              <w:rPr>
                <w:rFonts w:ascii="宋体" w:eastAsia="宋体" w:hint="eastAsia"/>
                <w:spacing w:val="-33"/>
                <w:sz w:val="21"/>
              </w:rPr>
              <w:t> </w:t>
            </w:r>
          </w:p>
          <w:p>
            <w:pPr>
              <w:pStyle w:val="TableParagraph"/>
              <w:spacing w:line="270" w:lineRule="atLeast" w:before="3"/>
              <w:ind w:left="112" w:right="38"/>
              <w:jc w:val="both"/>
              <w:rPr>
                <w:rFonts w:ascii="宋体" w:eastAsia="宋体" w:hint="eastAsia"/>
                <w:sz w:val="21"/>
              </w:rPr>
            </w:pPr>
            <w:r>
              <w:rPr>
                <w:sz w:val="21"/>
              </w:rPr>
              <w:t>18.75% </w:t>
            </w:r>
            <w:r>
              <w:rPr>
                <w:rFonts w:ascii="宋体" w:eastAsia="宋体" w:hint="eastAsia"/>
                <w:sz w:val="21"/>
              </w:rPr>
              <w:t>股权调整至其他权益工具投资</w:t>
            </w:r>
          </w:p>
        </w:tc>
      </w:tr>
      <w:tr>
        <w:trPr>
          <w:trHeight w:val="544" w:hRule="atLeast"/>
        </w:trPr>
        <w:tc>
          <w:tcPr>
            <w:tcW w:w="1508" w:type="dxa"/>
            <w:tcBorders>
              <w:top w:val="single" w:sz="4" w:space="0" w:color="000000"/>
              <w:bottom w:val="single" w:sz="4" w:space="0" w:color="000000"/>
              <w:right w:val="single" w:sz="4" w:space="0" w:color="000000"/>
            </w:tcBorders>
          </w:tcPr>
          <w:p>
            <w:pPr>
              <w:pStyle w:val="TableParagraph"/>
              <w:spacing w:before="1"/>
              <w:ind w:left="107"/>
              <w:rPr>
                <w:rFonts w:ascii="宋体" w:eastAsia="宋体" w:hint="eastAsia"/>
                <w:sz w:val="21"/>
              </w:rPr>
            </w:pPr>
            <w:r>
              <w:rPr>
                <w:rFonts w:ascii="宋体" w:eastAsia="宋体" w:hint="eastAsia"/>
                <w:sz w:val="21"/>
              </w:rPr>
              <w:t>其他非流动金</w:t>
            </w:r>
          </w:p>
          <w:p>
            <w:pPr>
              <w:pStyle w:val="TableParagraph"/>
              <w:spacing w:line="252" w:lineRule="exact" w:before="2"/>
              <w:ind w:left="107"/>
              <w:rPr>
                <w:rFonts w:ascii="宋体" w:eastAsia="宋体" w:hint="eastAsia"/>
                <w:sz w:val="21"/>
              </w:rPr>
            </w:pPr>
            <w:r>
              <w:rPr>
                <w:rFonts w:ascii="宋体" w:eastAsia="宋体" w:hint="eastAsia"/>
                <w:sz w:val="21"/>
              </w:rPr>
              <w:t>融资产</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before="8"/>
              <w:rPr>
                <w:rFonts w:ascii="宋体"/>
                <w:sz w:val="20"/>
              </w:rPr>
            </w:pPr>
          </w:p>
          <w:p>
            <w:pPr>
              <w:pStyle w:val="TableParagraph"/>
              <w:ind w:right="193"/>
              <w:jc w:val="right"/>
              <w:rPr>
                <w:sz w:val="21"/>
              </w:rPr>
            </w:pPr>
            <w:r>
              <w:rPr>
                <w:w w:val="100"/>
                <w:sz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44"/>
              <w:ind w:right="88"/>
              <w:jc w:val="right"/>
              <w:rPr>
                <w:sz w:val="21"/>
              </w:rPr>
            </w:pPr>
            <w:r>
              <w:rPr>
                <w:sz w:val="21"/>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44"/>
              <w:ind w:right="88"/>
              <w:jc w:val="right"/>
              <w:rPr>
                <w:sz w:val="21"/>
              </w:rPr>
            </w:pPr>
            <w:r>
              <w:rPr>
                <w:sz w:val="21"/>
              </w:rPr>
              <w:t>29,455</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before="144"/>
              <w:ind w:right="90"/>
              <w:jc w:val="right"/>
              <w:rPr>
                <w:sz w:val="21"/>
              </w:rPr>
            </w:pPr>
            <w:r>
              <w:rPr>
                <w:sz w:val="21"/>
              </w:rPr>
              <w:t>0.16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144"/>
              <w:ind w:right="92"/>
              <w:jc w:val="right"/>
              <w:rPr>
                <w:sz w:val="21"/>
              </w:rPr>
            </w:pPr>
            <w:r>
              <w:rPr>
                <w:sz w:val="21"/>
              </w:rPr>
              <w:t>-100.00</w:t>
            </w:r>
          </w:p>
        </w:tc>
        <w:tc>
          <w:tcPr>
            <w:tcW w:w="2125" w:type="dxa"/>
            <w:tcBorders>
              <w:top w:val="single" w:sz="4" w:space="0" w:color="000000"/>
              <w:left w:val="single" w:sz="4" w:space="0" w:color="000000"/>
              <w:bottom w:val="single" w:sz="4" w:space="0" w:color="000000"/>
            </w:tcBorders>
          </w:tcPr>
          <w:p>
            <w:pPr>
              <w:pStyle w:val="TableParagraph"/>
              <w:spacing w:before="1"/>
              <w:ind w:left="112"/>
              <w:rPr>
                <w:rFonts w:ascii="宋体" w:eastAsia="宋体" w:hint="eastAsia"/>
                <w:sz w:val="21"/>
              </w:rPr>
            </w:pPr>
            <w:r>
              <w:rPr>
                <w:rFonts w:ascii="宋体" w:eastAsia="宋体" w:hint="eastAsia"/>
                <w:sz w:val="21"/>
              </w:rPr>
              <w:t>主要是理财产品到期</w:t>
            </w:r>
          </w:p>
          <w:p>
            <w:pPr>
              <w:pStyle w:val="TableParagraph"/>
              <w:spacing w:line="252" w:lineRule="exact" w:before="2"/>
              <w:ind w:left="112"/>
              <w:rPr>
                <w:rFonts w:ascii="宋体" w:eastAsia="宋体" w:hint="eastAsia"/>
                <w:sz w:val="21"/>
              </w:rPr>
            </w:pPr>
            <w:r>
              <w:rPr>
                <w:rFonts w:ascii="宋体" w:eastAsia="宋体" w:hint="eastAsia"/>
                <w:sz w:val="21"/>
              </w:rPr>
              <w:t>所致</w:t>
            </w:r>
          </w:p>
        </w:tc>
      </w:tr>
      <w:tr>
        <w:trPr>
          <w:trHeight w:val="544" w:hRule="atLeast"/>
        </w:trPr>
        <w:tc>
          <w:tcPr>
            <w:tcW w:w="1508" w:type="dxa"/>
            <w:tcBorders>
              <w:top w:val="single" w:sz="4" w:space="0" w:color="000000"/>
              <w:bottom w:val="single" w:sz="4" w:space="0" w:color="000000"/>
              <w:right w:val="single" w:sz="4" w:space="0" w:color="000000"/>
            </w:tcBorders>
          </w:tcPr>
          <w:p>
            <w:pPr>
              <w:pStyle w:val="TableParagraph"/>
              <w:spacing w:before="137"/>
              <w:ind w:left="107"/>
              <w:rPr>
                <w:rFonts w:ascii="宋体" w:eastAsia="宋体" w:hint="eastAsia"/>
                <w:sz w:val="21"/>
              </w:rPr>
            </w:pPr>
            <w:r>
              <w:rPr>
                <w:rFonts w:ascii="宋体" w:eastAsia="宋体" w:hint="eastAsia"/>
                <w:sz w:val="21"/>
              </w:rPr>
              <w:t>在建工程</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before="144"/>
              <w:ind w:right="85"/>
              <w:jc w:val="right"/>
              <w:rPr>
                <w:sz w:val="21"/>
              </w:rPr>
            </w:pPr>
            <w:r>
              <w:rPr>
                <w:sz w:val="21"/>
              </w:rPr>
              <w:t>359,690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44"/>
              <w:ind w:right="88"/>
              <w:jc w:val="right"/>
              <w:rPr>
                <w:sz w:val="21"/>
              </w:rPr>
            </w:pPr>
            <w:r>
              <w:rPr>
                <w:sz w:val="21"/>
              </w:rPr>
              <w:t>1.77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44"/>
              <w:ind w:right="86"/>
              <w:jc w:val="right"/>
              <w:rPr>
                <w:sz w:val="21"/>
              </w:rPr>
            </w:pPr>
            <w:r>
              <w:rPr>
                <w:sz w:val="21"/>
              </w:rPr>
              <w:t>239,136</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before="144"/>
              <w:ind w:right="90"/>
              <w:jc w:val="right"/>
              <w:rPr>
                <w:sz w:val="21"/>
              </w:rPr>
            </w:pPr>
            <w:r>
              <w:rPr>
                <w:sz w:val="21"/>
              </w:rPr>
              <w:t>1.28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144"/>
              <w:ind w:right="88"/>
              <w:jc w:val="right"/>
              <w:rPr>
                <w:sz w:val="21"/>
              </w:rPr>
            </w:pPr>
            <w:r>
              <w:rPr>
                <w:sz w:val="21"/>
              </w:rPr>
              <w:t>50.41</w:t>
            </w:r>
          </w:p>
        </w:tc>
        <w:tc>
          <w:tcPr>
            <w:tcW w:w="2125" w:type="dxa"/>
            <w:tcBorders>
              <w:top w:val="single" w:sz="4" w:space="0" w:color="000000"/>
              <w:left w:val="single" w:sz="4" w:space="0" w:color="000000"/>
              <w:bottom w:val="single" w:sz="4" w:space="0" w:color="000000"/>
            </w:tcBorders>
          </w:tcPr>
          <w:p>
            <w:pPr>
              <w:pStyle w:val="TableParagraph"/>
              <w:spacing w:before="1"/>
              <w:ind w:left="112"/>
              <w:rPr>
                <w:rFonts w:ascii="宋体" w:eastAsia="宋体" w:hint="eastAsia"/>
                <w:sz w:val="21"/>
              </w:rPr>
            </w:pPr>
            <w:r>
              <w:rPr>
                <w:rFonts w:ascii="宋体" w:eastAsia="宋体" w:hint="eastAsia"/>
                <w:sz w:val="21"/>
              </w:rPr>
              <w:t>主要是在建厂房、设</w:t>
            </w:r>
          </w:p>
          <w:p>
            <w:pPr>
              <w:pStyle w:val="TableParagraph"/>
              <w:spacing w:line="252" w:lineRule="exact" w:before="2"/>
              <w:ind w:left="112"/>
              <w:rPr>
                <w:rFonts w:ascii="宋体" w:eastAsia="宋体" w:hint="eastAsia"/>
                <w:sz w:val="21"/>
              </w:rPr>
            </w:pPr>
            <w:r>
              <w:rPr>
                <w:rFonts w:ascii="宋体" w:eastAsia="宋体" w:hint="eastAsia"/>
                <w:sz w:val="21"/>
              </w:rPr>
              <w:t>备增加所致</w:t>
            </w:r>
          </w:p>
        </w:tc>
      </w:tr>
      <w:tr>
        <w:trPr>
          <w:trHeight w:val="816" w:hRule="atLeast"/>
        </w:trPr>
        <w:tc>
          <w:tcPr>
            <w:tcW w:w="1508" w:type="dxa"/>
            <w:tcBorders>
              <w:top w:val="single" w:sz="4" w:space="0" w:color="000000"/>
              <w:bottom w:val="single" w:sz="4" w:space="0" w:color="000000"/>
              <w:right w:val="single" w:sz="4" w:space="0" w:color="000000"/>
            </w:tcBorders>
          </w:tcPr>
          <w:p>
            <w:pPr>
              <w:pStyle w:val="TableParagraph"/>
              <w:spacing w:line="242" w:lineRule="auto" w:before="138"/>
              <w:ind w:left="107" w:right="85"/>
              <w:rPr>
                <w:rFonts w:ascii="宋体" w:eastAsia="宋体" w:hint="eastAsia"/>
                <w:sz w:val="21"/>
              </w:rPr>
            </w:pPr>
            <w:r>
              <w:rPr>
                <w:rFonts w:ascii="宋体" w:eastAsia="宋体" w:hint="eastAsia"/>
                <w:sz w:val="21"/>
              </w:rPr>
              <w:t>递延所得税资产</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22"/>
              </w:rPr>
            </w:pPr>
          </w:p>
          <w:p>
            <w:pPr>
              <w:pStyle w:val="TableParagraph"/>
              <w:ind w:right="85"/>
              <w:jc w:val="right"/>
              <w:rPr>
                <w:sz w:val="21"/>
              </w:rPr>
            </w:pPr>
            <w:r>
              <w:rPr>
                <w:sz w:val="21"/>
              </w:rPr>
              <w:t>220,830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22"/>
              </w:rPr>
            </w:pPr>
          </w:p>
          <w:p>
            <w:pPr>
              <w:pStyle w:val="TableParagraph"/>
              <w:ind w:right="88"/>
              <w:jc w:val="right"/>
              <w:rPr>
                <w:sz w:val="21"/>
              </w:rPr>
            </w:pPr>
            <w:r>
              <w:rPr>
                <w:sz w:val="21"/>
              </w:rPr>
              <w:t>1.09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22"/>
              </w:rPr>
            </w:pPr>
          </w:p>
          <w:p>
            <w:pPr>
              <w:pStyle w:val="TableParagraph"/>
              <w:ind w:right="86"/>
              <w:jc w:val="right"/>
              <w:rPr>
                <w:sz w:val="21"/>
              </w:rPr>
            </w:pPr>
            <w:r>
              <w:rPr>
                <w:sz w:val="21"/>
              </w:rPr>
              <w:t>157,890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22"/>
              </w:rPr>
            </w:pPr>
          </w:p>
          <w:p>
            <w:pPr>
              <w:pStyle w:val="TableParagraph"/>
              <w:ind w:right="90"/>
              <w:jc w:val="right"/>
              <w:rPr>
                <w:sz w:val="21"/>
              </w:rPr>
            </w:pPr>
            <w:r>
              <w:rPr>
                <w:sz w:val="21"/>
              </w:rPr>
              <w:t>0.84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22"/>
              </w:rPr>
            </w:pPr>
          </w:p>
          <w:p>
            <w:pPr>
              <w:pStyle w:val="TableParagraph"/>
              <w:ind w:right="88"/>
              <w:jc w:val="right"/>
              <w:rPr>
                <w:sz w:val="21"/>
              </w:rPr>
            </w:pPr>
            <w:r>
              <w:rPr>
                <w:sz w:val="21"/>
              </w:rPr>
              <w:t>39.86</w:t>
            </w:r>
          </w:p>
        </w:tc>
        <w:tc>
          <w:tcPr>
            <w:tcW w:w="2125" w:type="dxa"/>
            <w:tcBorders>
              <w:top w:val="single" w:sz="4" w:space="0" w:color="000000"/>
              <w:left w:val="single" w:sz="4" w:space="0" w:color="000000"/>
              <w:bottom w:val="single" w:sz="4" w:space="0" w:color="000000"/>
            </w:tcBorders>
          </w:tcPr>
          <w:p>
            <w:pPr>
              <w:pStyle w:val="TableParagraph"/>
              <w:spacing w:line="242" w:lineRule="auto" w:before="1"/>
              <w:ind w:left="112" w:right="80"/>
              <w:rPr>
                <w:rFonts w:ascii="宋体" w:eastAsia="宋体" w:hint="eastAsia"/>
                <w:sz w:val="21"/>
              </w:rPr>
            </w:pPr>
            <w:r>
              <w:rPr>
                <w:rFonts w:ascii="宋体" w:eastAsia="宋体" w:hint="eastAsia"/>
                <w:sz w:val="21"/>
              </w:rPr>
              <w:t>主要是时间性差异导致未来可抵扣所得税</w:t>
            </w:r>
          </w:p>
          <w:p>
            <w:pPr>
              <w:pStyle w:val="TableParagraph"/>
              <w:spacing w:line="250" w:lineRule="exact" w:before="2"/>
              <w:ind w:left="112"/>
              <w:rPr>
                <w:rFonts w:ascii="宋体" w:eastAsia="宋体" w:hint="eastAsia"/>
                <w:sz w:val="21"/>
              </w:rPr>
            </w:pPr>
            <w:r>
              <w:rPr>
                <w:rFonts w:ascii="宋体" w:eastAsia="宋体" w:hint="eastAsia"/>
                <w:sz w:val="21"/>
              </w:rPr>
              <w:t>增加所致</w:t>
            </w:r>
          </w:p>
        </w:tc>
      </w:tr>
      <w:tr>
        <w:trPr>
          <w:trHeight w:val="546" w:hRule="atLeast"/>
        </w:trPr>
        <w:tc>
          <w:tcPr>
            <w:tcW w:w="1508" w:type="dxa"/>
            <w:tcBorders>
              <w:top w:val="single" w:sz="4" w:space="0" w:color="000000"/>
              <w:bottom w:val="single" w:sz="4" w:space="0" w:color="000000"/>
              <w:right w:val="single" w:sz="4" w:space="0" w:color="000000"/>
            </w:tcBorders>
          </w:tcPr>
          <w:p>
            <w:pPr>
              <w:pStyle w:val="TableParagraph"/>
              <w:spacing w:line="270" w:lineRule="atLeast" w:before="2"/>
              <w:ind w:left="107" w:right="85"/>
              <w:rPr>
                <w:rFonts w:ascii="宋体" w:eastAsia="宋体" w:hint="eastAsia"/>
                <w:sz w:val="21"/>
              </w:rPr>
            </w:pPr>
            <w:r>
              <w:rPr>
                <w:rFonts w:ascii="宋体" w:eastAsia="宋体" w:hint="eastAsia"/>
                <w:sz w:val="21"/>
              </w:rPr>
              <w:t>交易性金融负债</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before="147"/>
              <w:ind w:right="87"/>
              <w:jc w:val="right"/>
              <w:rPr>
                <w:sz w:val="21"/>
              </w:rPr>
            </w:pPr>
            <w:r>
              <w:rPr>
                <w:sz w:val="21"/>
              </w:rPr>
              <w:t>2,695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47"/>
              <w:ind w:right="88"/>
              <w:jc w:val="right"/>
              <w:rPr>
                <w:sz w:val="21"/>
              </w:rPr>
            </w:pPr>
            <w:r>
              <w:rPr>
                <w:sz w:val="21"/>
              </w:rPr>
              <w:t>0.01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47"/>
              <w:ind w:right="88"/>
              <w:jc w:val="right"/>
              <w:rPr>
                <w:sz w:val="21"/>
              </w:rPr>
            </w:pPr>
            <w:r>
              <w:rPr>
                <w:sz w:val="21"/>
              </w:rPr>
              <w:t>4,280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before="147"/>
              <w:ind w:right="90"/>
              <w:jc w:val="right"/>
              <w:rPr>
                <w:sz w:val="21"/>
              </w:rPr>
            </w:pPr>
            <w:r>
              <w:rPr>
                <w:sz w:val="21"/>
              </w:rPr>
              <w:t>0.02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147"/>
              <w:ind w:right="92"/>
              <w:jc w:val="right"/>
              <w:rPr>
                <w:sz w:val="21"/>
              </w:rPr>
            </w:pPr>
            <w:r>
              <w:rPr>
                <w:sz w:val="21"/>
              </w:rPr>
              <w:t>-37.03</w:t>
            </w:r>
          </w:p>
        </w:tc>
        <w:tc>
          <w:tcPr>
            <w:tcW w:w="2125" w:type="dxa"/>
            <w:tcBorders>
              <w:top w:val="single" w:sz="4" w:space="0" w:color="000000"/>
              <w:left w:val="single" w:sz="4" w:space="0" w:color="000000"/>
              <w:bottom w:val="single" w:sz="4" w:space="0" w:color="000000"/>
            </w:tcBorders>
          </w:tcPr>
          <w:p>
            <w:pPr>
              <w:pStyle w:val="TableParagraph"/>
              <w:spacing w:line="270" w:lineRule="atLeast" w:before="2"/>
              <w:ind w:left="112" w:right="76"/>
              <w:rPr>
                <w:rFonts w:ascii="宋体" w:eastAsia="宋体" w:hint="eastAsia"/>
                <w:sz w:val="21"/>
              </w:rPr>
            </w:pPr>
            <w:r>
              <w:rPr>
                <w:rFonts w:ascii="宋体" w:eastAsia="宋体" w:hint="eastAsia"/>
                <w:sz w:val="21"/>
              </w:rPr>
              <w:t>主要是锁汇工具到期所致</w:t>
            </w:r>
          </w:p>
        </w:tc>
      </w:tr>
      <w:tr>
        <w:trPr>
          <w:trHeight w:val="815" w:hRule="atLeast"/>
        </w:trPr>
        <w:tc>
          <w:tcPr>
            <w:tcW w:w="1508" w:type="dxa"/>
            <w:tcBorders>
              <w:top w:val="single" w:sz="4" w:space="0" w:color="000000"/>
              <w:bottom w:val="single" w:sz="4" w:space="0" w:color="000000"/>
              <w:right w:val="single" w:sz="4" w:space="0" w:color="000000"/>
            </w:tcBorders>
          </w:tcPr>
          <w:p>
            <w:pPr>
              <w:pStyle w:val="TableParagraph"/>
              <w:spacing w:before="3"/>
              <w:rPr>
                <w:rFonts w:ascii="宋体"/>
                <w:sz w:val="21"/>
              </w:rPr>
            </w:pPr>
          </w:p>
          <w:p>
            <w:pPr>
              <w:pStyle w:val="TableParagraph"/>
              <w:ind w:left="107"/>
              <w:rPr>
                <w:rFonts w:ascii="宋体" w:eastAsia="宋体" w:hint="eastAsia"/>
                <w:sz w:val="21"/>
              </w:rPr>
            </w:pPr>
            <w:r>
              <w:rPr>
                <w:rFonts w:ascii="宋体" w:eastAsia="宋体" w:hint="eastAsia"/>
                <w:sz w:val="21"/>
              </w:rPr>
              <w:t>衍生金融负债</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before="12"/>
              <w:rPr>
                <w:rFonts w:ascii="宋体"/>
                <w:sz w:val="21"/>
              </w:rPr>
            </w:pPr>
          </w:p>
          <w:p>
            <w:pPr>
              <w:pStyle w:val="TableParagraph"/>
              <w:ind w:right="87"/>
              <w:jc w:val="right"/>
              <w:rPr>
                <w:sz w:val="21"/>
              </w:rPr>
            </w:pPr>
            <w:r>
              <w:rPr>
                <w:sz w:val="21"/>
              </w:rPr>
              <w:t>23,958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2"/>
              <w:rPr>
                <w:rFonts w:ascii="宋体"/>
                <w:sz w:val="21"/>
              </w:rPr>
            </w:pPr>
          </w:p>
          <w:p>
            <w:pPr>
              <w:pStyle w:val="TableParagraph"/>
              <w:ind w:right="88"/>
              <w:jc w:val="right"/>
              <w:rPr>
                <w:sz w:val="21"/>
              </w:rPr>
            </w:pPr>
            <w:r>
              <w:rPr>
                <w:sz w:val="21"/>
              </w:rPr>
              <w:t>0.12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2"/>
              <w:rPr>
                <w:rFonts w:ascii="宋体"/>
                <w:sz w:val="21"/>
              </w:rPr>
            </w:pPr>
          </w:p>
          <w:p>
            <w:pPr>
              <w:pStyle w:val="TableParagraph"/>
              <w:ind w:right="88"/>
              <w:jc w:val="right"/>
              <w:rPr>
                <w:sz w:val="21"/>
              </w:rPr>
            </w:pPr>
            <w:r>
              <w:rPr>
                <w:sz w:val="21"/>
              </w:rPr>
              <w:t>9,955</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before="12"/>
              <w:rPr>
                <w:rFonts w:ascii="宋体"/>
                <w:sz w:val="21"/>
              </w:rPr>
            </w:pPr>
          </w:p>
          <w:p>
            <w:pPr>
              <w:pStyle w:val="TableParagraph"/>
              <w:ind w:right="90"/>
              <w:jc w:val="right"/>
              <w:rPr>
                <w:sz w:val="21"/>
              </w:rPr>
            </w:pPr>
            <w:r>
              <w:rPr>
                <w:sz w:val="21"/>
              </w:rPr>
              <w:t>0.05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12"/>
              <w:rPr>
                <w:rFonts w:ascii="宋体"/>
                <w:sz w:val="21"/>
              </w:rPr>
            </w:pPr>
          </w:p>
          <w:p>
            <w:pPr>
              <w:pStyle w:val="TableParagraph"/>
              <w:ind w:right="88"/>
              <w:jc w:val="right"/>
              <w:rPr>
                <w:sz w:val="21"/>
              </w:rPr>
            </w:pPr>
            <w:r>
              <w:rPr>
                <w:sz w:val="21"/>
              </w:rPr>
              <w:t>140.67</w:t>
            </w:r>
          </w:p>
        </w:tc>
        <w:tc>
          <w:tcPr>
            <w:tcW w:w="2125" w:type="dxa"/>
            <w:tcBorders>
              <w:top w:val="single" w:sz="4" w:space="0" w:color="000000"/>
              <w:left w:val="single" w:sz="4" w:space="0" w:color="000000"/>
              <w:bottom w:val="single" w:sz="4" w:space="0" w:color="000000"/>
            </w:tcBorders>
          </w:tcPr>
          <w:p>
            <w:pPr>
              <w:pStyle w:val="TableParagraph"/>
              <w:spacing w:line="242" w:lineRule="auto" w:before="1"/>
              <w:ind w:left="112" w:right="80"/>
              <w:rPr>
                <w:rFonts w:ascii="宋体" w:eastAsia="宋体" w:hint="eastAsia"/>
                <w:sz w:val="21"/>
              </w:rPr>
            </w:pPr>
            <w:r>
              <w:rPr>
                <w:rFonts w:ascii="宋体" w:eastAsia="宋体" w:hint="eastAsia"/>
                <w:sz w:val="21"/>
              </w:rPr>
              <w:t>主要是利率互换协议及远期外汇买卖合约</w:t>
            </w:r>
          </w:p>
          <w:p>
            <w:pPr>
              <w:pStyle w:val="TableParagraph"/>
              <w:spacing w:line="250" w:lineRule="exact" w:before="1"/>
              <w:ind w:left="112"/>
              <w:rPr>
                <w:rFonts w:ascii="宋体" w:eastAsia="宋体" w:hint="eastAsia"/>
                <w:sz w:val="21"/>
              </w:rPr>
            </w:pPr>
            <w:r>
              <w:rPr>
                <w:rFonts w:ascii="宋体" w:eastAsia="宋体" w:hint="eastAsia"/>
                <w:sz w:val="21"/>
              </w:rPr>
              <w:t>增加所致</w:t>
            </w:r>
          </w:p>
        </w:tc>
      </w:tr>
      <w:tr>
        <w:trPr>
          <w:trHeight w:val="544" w:hRule="atLeast"/>
        </w:trPr>
        <w:tc>
          <w:tcPr>
            <w:tcW w:w="1508" w:type="dxa"/>
            <w:tcBorders>
              <w:top w:val="single" w:sz="4" w:space="0" w:color="000000"/>
              <w:bottom w:val="single" w:sz="4" w:space="0" w:color="000000"/>
              <w:right w:val="single" w:sz="4" w:space="0" w:color="000000"/>
            </w:tcBorders>
          </w:tcPr>
          <w:p>
            <w:pPr>
              <w:pStyle w:val="TableParagraph"/>
              <w:spacing w:before="137"/>
              <w:ind w:left="107"/>
              <w:rPr>
                <w:rFonts w:ascii="宋体" w:eastAsia="宋体" w:hint="eastAsia"/>
                <w:sz w:val="21"/>
              </w:rPr>
            </w:pPr>
            <w:r>
              <w:rPr>
                <w:rFonts w:ascii="宋体" w:eastAsia="宋体" w:hint="eastAsia"/>
                <w:sz w:val="21"/>
              </w:rPr>
              <w:t>其他流动负债</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before="144"/>
              <w:ind w:right="85"/>
              <w:jc w:val="right"/>
              <w:rPr>
                <w:sz w:val="21"/>
              </w:rPr>
            </w:pPr>
            <w:r>
              <w:rPr>
                <w:sz w:val="21"/>
              </w:rPr>
              <w:t>611,205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44"/>
              <w:ind w:right="88"/>
              <w:jc w:val="right"/>
              <w:rPr>
                <w:sz w:val="21"/>
              </w:rPr>
            </w:pPr>
            <w:r>
              <w:rPr>
                <w:sz w:val="21"/>
              </w:rPr>
              <w:t>3.00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44"/>
              <w:ind w:right="88"/>
              <w:jc w:val="right"/>
              <w:rPr>
                <w:sz w:val="21"/>
              </w:rPr>
            </w:pPr>
            <w:r>
              <w:rPr>
                <w:sz w:val="21"/>
              </w:rPr>
              <w:t>49,407</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before="144"/>
              <w:ind w:right="90"/>
              <w:jc w:val="right"/>
              <w:rPr>
                <w:sz w:val="21"/>
              </w:rPr>
            </w:pPr>
            <w:r>
              <w:rPr>
                <w:sz w:val="21"/>
              </w:rPr>
              <w:t>0.26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144"/>
              <w:ind w:right="88"/>
              <w:jc w:val="right"/>
              <w:rPr>
                <w:sz w:val="21"/>
              </w:rPr>
            </w:pPr>
            <w:r>
              <w:rPr>
                <w:sz w:val="21"/>
              </w:rPr>
              <w:t>1,137.09</w:t>
            </w:r>
          </w:p>
        </w:tc>
        <w:tc>
          <w:tcPr>
            <w:tcW w:w="2125" w:type="dxa"/>
            <w:tcBorders>
              <w:top w:val="single" w:sz="4" w:space="0" w:color="000000"/>
              <w:left w:val="single" w:sz="4" w:space="0" w:color="000000"/>
              <w:bottom w:val="single" w:sz="4" w:space="0" w:color="000000"/>
            </w:tcBorders>
          </w:tcPr>
          <w:p>
            <w:pPr>
              <w:pStyle w:val="TableParagraph"/>
              <w:spacing w:before="1"/>
              <w:ind w:left="112"/>
              <w:rPr>
                <w:rFonts w:ascii="宋体" w:eastAsia="宋体" w:hint="eastAsia"/>
                <w:sz w:val="21"/>
              </w:rPr>
            </w:pPr>
            <w:r>
              <w:rPr>
                <w:rFonts w:ascii="宋体" w:eastAsia="宋体" w:hint="eastAsia"/>
                <w:sz w:val="21"/>
              </w:rPr>
              <w:t>主要是公司发行超短</w:t>
            </w:r>
          </w:p>
          <w:p>
            <w:pPr>
              <w:pStyle w:val="TableParagraph"/>
              <w:spacing w:line="250" w:lineRule="exact" w:before="4"/>
              <w:ind w:left="112"/>
              <w:rPr>
                <w:rFonts w:ascii="宋体" w:eastAsia="宋体" w:hint="eastAsia"/>
                <w:sz w:val="21"/>
              </w:rPr>
            </w:pPr>
            <w:r>
              <w:rPr>
                <w:rFonts w:ascii="宋体" w:eastAsia="宋体" w:hint="eastAsia"/>
                <w:sz w:val="21"/>
              </w:rPr>
              <w:t>融债券融资所致</w:t>
            </w:r>
          </w:p>
        </w:tc>
      </w:tr>
      <w:tr>
        <w:trPr>
          <w:trHeight w:val="270" w:hRule="atLeast"/>
        </w:trPr>
        <w:tc>
          <w:tcPr>
            <w:tcW w:w="1508" w:type="dxa"/>
            <w:tcBorders>
              <w:top w:val="single" w:sz="4" w:space="0" w:color="000000"/>
              <w:right w:val="single" w:sz="4" w:space="0" w:color="000000"/>
            </w:tcBorders>
          </w:tcPr>
          <w:p>
            <w:pPr>
              <w:pStyle w:val="TableParagraph"/>
              <w:spacing w:line="249" w:lineRule="exact" w:before="1"/>
              <w:ind w:left="107"/>
              <w:rPr>
                <w:rFonts w:ascii="宋体" w:eastAsia="宋体" w:hint="eastAsia"/>
                <w:sz w:val="21"/>
              </w:rPr>
            </w:pPr>
            <w:r>
              <w:rPr>
                <w:rFonts w:ascii="宋体" w:eastAsia="宋体" w:hint="eastAsia"/>
                <w:sz w:val="21"/>
              </w:rPr>
              <w:t>长期应付款</w:t>
            </w:r>
          </w:p>
        </w:tc>
        <w:tc>
          <w:tcPr>
            <w:tcW w:w="1151" w:type="dxa"/>
            <w:tcBorders>
              <w:top w:val="single" w:sz="4" w:space="0" w:color="000000"/>
              <w:left w:val="single" w:sz="4" w:space="0" w:color="000000"/>
              <w:right w:val="single" w:sz="4" w:space="0" w:color="000000"/>
            </w:tcBorders>
          </w:tcPr>
          <w:p>
            <w:pPr>
              <w:pStyle w:val="TableParagraph"/>
              <w:spacing w:line="240" w:lineRule="exact" w:before="10"/>
              <w:ind w:right="87"/>
              <w:jc w:val="right"/>
              <w:rPr>
                <w:sz w:val="21"/>
              </w:rPr>
            </w:pPr>
            <w:r>
              <w:rPr>
                <w:sz w:val="21"/>
              </w:rPr>
              <w:t>9,820</w:t>
            </w:r>
          </w:p>
        </w:tc>
        <w:tc>
          <w:tcPr>
            <w:tcW w:w="1136" w:type="dxa"/>
            <w:tcBorders>
              <w:top w:val="single" w:sz="4" w:space="0" w:color="000000"/>
              <w:left w:val="single" w:sz="4" w:space="0" w:color="000000"/>
              <w:right w:val="single" w:sz="4" w:space="0" w:color="000000"/>
            </w:tcBorders>
          </w:tcPr>
          <w:p>
            <w:pPr>
              <w:pStyle w:val="TableParagraph"/>
              <w:spacing w:line="240" w:lineRule="exact" w:before="10"/>
              <w:ind w:right="88"/>
              <w:jc w:val="right"/>
              <w:rPr>
                <w:sz w:val="21"/>
              </w:rPr>
            </w:pPr>
            <w:r>
              <w:rPr>
                <w:sz w:val="21"/>
              </w:rPr>
              <w:t>0.05</w:t>
            </w:r>
          </w:p>
        </w:tc>
        <w:tc>
          <w:tcPr>
            <w:tcW w:w="1136" w:type="dxa"/>
            <w:tcBorders>
              <w:top w:val="single" w:sz="4" w:space="0" w:color="000000"/>
              <w:left w:val="single" w:sz="4" w:space="0" w:color="000000"/>
              <w:right w:val="single" w:sz="4" w:space="0" w:color="000000"/>
            </w:tcBorders>
          </w:tcPr>
          <w:p>
            <w:pPr>
              <w:pStyle w:val="TableParagraph"/>
              <w:spacing w:line="240" w:lineRule="exact" w:before="10"/>
              <w:ind w:right="88"/>
              <w:jc w:val="right"/>
              <w:rPr>
                <w:sz w:val="21"/>
              </w:rPr>
            </w:pPr>
            <w:r>
              <w:rPr>
                <w:sz w:val="21"/>
              </w:rPr>
              <w:t>14,234</w:t>
            </w:r>
          </w:p>
        </w:tc>
        <w:tc>
          <w:tcPr>
            <w:tcW w:w="1139" w:type="dxa"/>
            <w:tcBorders>
              <w:top w:val="single" w:sz="4" w:space="0" w:color="000000"/>
              <w:left w:val="single" w:sz="4" w:space="0" w:color="000000"/>
              <w:right w:val="single" w:sz="4" w:space="0" w:color="000000"/>
            </w:tcBorders>
          </w:tcPr>
          <w:p>
            <w:pPr>
              <w:pStyle w:val="TableParagraph"/>
              <w:spacing w:line="240" w:lineRule="exact" w:before="10"/>
              <w:ind w:right="90"/>
              <w:jc w:val="right"/>
              <w:rPr>
                <w:sz w:val="21"/>
              </w:rPr>
            </w:pPr>
            <w:r>
              <w:rPr>
                <w:sz w:val="21"/>
              </w:rPr>
              <w:t>0.08</w:t>
            </w:r>
          </w:p>
        </w:tc>
        <w:tc>
          <w:tcPr>
            <w:tcW w:w="1275" w:type="dxa"/>
            <w:tcBorders>
              <w:top w:val="single" w:sz="4" w:space="0" w:color="000000"/>
              <w:left w:val="single" w:sz="4" w:space="0" w:color="000000"/>
              <w:right w:val="single" w:sz="4" w:space="0" w:color="000000"/>
            </w:tcBorders>
          </w:tcPr>
          <w:p>
            <w:pPr>
              <w:pStyle w:val="TableParagraph"/>
              <w:spacing w:line="240" w:lineRule="exact" w:before="10"/>
              <w:ind w:right="92"/>
              <w:jc w:val="right"/>
              <w:rPr>
                <w:sz w:val="21"/>
              </w:rPr>
            </w:pPr>
            <w:r>
              <w:rPr>
                <w:sz w:val="21"/>
              </w:rPr>
              <w:t>-31.01</w:t>
            </w:r>
          </w:p>
        </w:tc>
        <w:tc>
          <w:tcPr>
            <w:tcW w:w="2125" w:type="dxa"/>
            <w:tcBorders>
              <w:top w:val="single" w:sz="4" w:space="0" w:color="000000"/>
              <w:left w:val="single" w:sz="4" w:space="0" w:color="000000"/>
            </w:tcBorders>
          </w:tcPr>
          <w:p>
            <w:pPr>
              <w:pStyle w:val="TableParagraph"/>
              <w:spacing w:line="249" w:lineRule="exact" w:before="1"/>
              <w:ind w:left="102" w:right="72"/>
              <w:jc w:val="center"/>
              <w:rPr>
                <w:rFonts w:ascii="宋体" w:eastAsia="宋体" w:hint="eastAsia"/>
                <w:sz w:val="21"/>
              </w:rPr>
            </w:pPr>
            <w:r>
              <w:rPr>
                <w:rFonts w:ascii="宋体" w:eastAsia="宋体" w:hint="eastAsia"/>
                <w:sz w:val="21"/>
              </w:rPr>
              <w:t>主要是公司回购国开</w:t>
            </w:r>
          </w:p>
        </w:tc>
      </w:tr>
    </w:tbl>
    <w:p>
      <w:pPr>
        <w:spacing w:after="0" w:line="249" w:lineRule="exact"/>
        <w:jc w:val="center"/>
        <w:rPr>
          <w:rFonts w:ascii="宋体" w:eastAsia="宋体" w:hint="eastAsia"/>
          <w:sz w:val="21"/>
        </w:rPr>
        <w:sectPr>
          <w:pgSz w:w="11910" w:h="16840"/>
          <w:pgMar w:header="874" w:footer="1214" w:top="1360" w:bottom="1400" w:left="1040" w:right="760"/>
        </w:sectPr>
      </w:pPr>
    </w:p>
    <w:p>
      <w:pPr>
        <w:pStyle w:val="BodyText"/>
        <w:spacing w:before="2"/>
        <w:rPr>
          <w:sz w:val="5"/>
        </w:rPr>
      </w:pPr>
    </w:p>
    <w:tbl>
      <w:tblPr>
        <w:tblW w:w="0" w:type="auto"/>
        <w:jc w:val="left"/>
        <w:tblInd w:w="14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508"/>
        <w:gridCol w:w="1151"/>
        <w:gridCol w:w="1136"/>
        <w:gridCol w:w="1136"/>
        <w:gridCol w:w="1139"/>
        <w:gridCol w:w="1275"/>
        <w:gridCol w:w="2125"/>
      </w:tblGrid>
      <w:tr>
        <w:trPr>
          <w:trHeight w:val="544" w:hRule="atLeast"/>
        </w:trPr>
        <w:tc>
          <w:tcPr>
            <w:tcW w:w="1508" w:type="dxa"/>
            <w:tcBorders>
              <w:bottom w:val="single" w:sz="4" w:space="0" w:color="000000"/>
              <w:right w:val="single" w:sz="4" w:space="0" w:color="000000"/>
            </w:tcBorders>
          </w:tcPr>
          <w:p>
            <w:pPr>
              <w:pStyle w:val="TableParagraph"/>
              <w:rPr>
                <w:sz w:val="20"/>
              </w:rPr>
            </w:pPr>
          </w:p>
        </w:tc>
        <w:tc>
          <w:tcPr>
            <w:tcW w:w="1151" w:type="dxa"/>
            <w:tcBorders>
              <w:left w:val="single" w:sz="4" w:space="0" w:color="000000"/>
              <w:bottom w:val="single" w:sz="4" w:space="0" w:color="000000"/>
              <w:right w:val="single" w:sz="4" w:space="0" w:color="000000"/>
            </w:tcBorders>
          </w:tcPr>
          <w:p>
            <w:pPr>
              <w:pStyle w:val="TableParagraph"/>
              <w:rPr>
                <w:sz w:val="20"/>
              </w:rPr>
            </w:pPr>
          </w:p>
        </w:tc>
        <w:tc>
          <w:tcPr>
            <w:tcW w:w="1136" w:type="dxa"/>
            <w:tcBorders>
              <w:left w:val="single" w:sz="4" w:space="0" w:color="000000"/>
              <w:bottom w:val="single" w:sz="4" w:space="0" w:color="000000"/>
              <w:right w:val="single" w:sz="4" w:space="0" w:color="000000"/>
            </w:tcBorders>
          </w:tcPr>
          <w:p>
            <w:pPr>
              <w:pStyle w:val="TableParagraph"/>
              <w:rPr>
                <w:sz w:val="20"/>
              </w:rPr>
            </w:pPr>
          </w:p>
        </w:tc>
        <w:tc>
          <w:tcPr>
            <w:tcW w:w="1136" w:type="dxa"/>
            <w:tcBorders>
              <w:left w:val="single" w:sz="4" w:space="0" w:color="000000"/>
              <w:bottom w:val="single" w:sz="4" w:space="0" w:color="000000"/>
              <w:right w:val="single" w:sz="4" w:space="0" w:color="000000"/>
            </w:tcBorders>
          </w:tcPr>
          <w:p>
            <w:pPr>
              <w:pStyle w:val="TableParagraph"/>
              <w:rPr>
                <w:sz w:val="20"/>
              </w:rPr>
            </w:pPr>
          </w:p>
        </w:tc>
        <w:tc>
          <w:tcPr>
            <w:tcW w:w="1139" w:type="dxa"/>
            <w:tcBorders>
              <w:left w:val="single" w:sz="4" w:space="0" w:color="000000"/>
              <w:bottom w:val="single" w:sz="4" w:space="0" w:color="000000"/>
              <w:right w:val="single" w:sz="4" w:space="0" w:color="000000"/>
            </w:tcBorders>
          </w:tcPr>
          <w:p>
            <w:pPr>
              <w:pStyle w:val="TableParagraph"/>
              <w:rPr>
                <w:sz w:val="20"/>
              </w:rPr>
            </w:pPr>
          </w:p>
        </w:tc>
        <w:tc>
          <w:tcPr>
            <w:tcW w:w="1275" w:type="dxa"/>
            <w:tcBorders>
              <w:left w:val="single" w:sz="4" w:space="0" w:color="000000"/>
              <w:bottom w:val="single" w:sz="4" w:space="0" w:color="000000"/>
              <w:right w:val="single" w:sz="4" w:space="0" w:color="000000"/>
            </w:tcBorders>
          </w:tcPr>
          <w:p>
            <w:pPr>
              <w:pStyle w:val="TableParagraph"/>
              <w:rPr>
                <w:sz w:val="20"/>
              </w:rPr>
            </w:pPr>
          </w:p>
        </w:tc>
        <w:tc>
          <w:tcPr>
            <w:tcW w:w="2125" w:type="dxa"/>
            <w:tcBorders>
              <w:left w:val="single" w:sz="4" w:space="0" w:color="000000"/>
              <w:bottom w:val="single" w:sz="4" w:space="0" w:color="000000"/>
            </w:tcBorders>
          </w:tcPr>
          <w:p>
            <w:pPr>
              <w:pStyle w:val="TableParagraph"/>
              <w:spacing w:line="270" w:lineRule="atLeast" w:before="2"/>
              <w:ind w:left="112" w:right="80"/>
              <w:rPr>
                <w:rFonts w:ascii="宋体" w:eastAsia="宋体" w:hint="eastAsia"/>
                <w:sz w:val="21"/>
              </w:rPr>
            </w:pPr>
            <w:r>
              <w:rPr>
                <w:rFonts w:ascii="宋体" w:eastAsia="宋体" w:hint="eastAsia"/>
                <w:sz w:val="21"/>
              </w:rPr>
              <w:t>发展基金有限公司对子公司的投资所致</w:t>
            </w:r>
          </w:p>
        </w:tc>
      </w:tr>
      <w:tr>
        <w:trPr>
          <w:trHeight w:val="546" w:hRule="atLeast"/>
        </w:trPr>
        <w:tc>
          <w:tcPr>
            <w:tcW w:w="1508" w:type="dxa"/>
            <w:tcBorders>
              <w:top w:val="single" w:sz="4" w:space="0" w:color="000000"/>
              <w:bottom w:val="single" w:sz="4" w:space="0" w:color="000000"/>
              <w:right w:val="single" w:sz="4" w:space="0" w:color="000000"/>
            </w:tcBorders>
          </w:tcPr>
          <w:p>
            <w:pPr>
              <w:pStyle w:val="TableParagraph"/>
              <w:spacing w:line="270" w:lineRule="atLeast" w:before="2"/>
              <w:ind w:left="107" w:right="85"/>
              <w:rPr>
                <w:rFonts w:ascii="宋体" w:eastAsia="宋体" w:hint="eastAsia"/>
                <w:sz w:val="21"/>
              </w:rPr>
            </w:pPr>
            <w:r>
              <w:rPr>
                <w:rFonts w:ascii="宋体" w:eastAsia="宋体" w:hint="eastAsia"/>
                <w:sz w:val="21"/>
              </w:rPr>
              <w:t>递延所得税负债</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before="147"/>
              <w:ind w:right="85"/>
              <w:jc w:val="right"/>
              <w:rPr>
                <w:sz w:val="21"/>
              </w:rPr>
            </w:pPr>
            <w:r>
              <w:rPr>
                <w:sz w:val="21"/>
              </w:rPr>
              <w:t>190,040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47"/>
              <w:ind w:right="88"/>
              <w:jc w:val="right"/>
              <w:rPr>
                <w:sz w:val="21"/>
              </w:rPr>
            </w:pPr>
            <w:r>
              <w:rPr>
                <w:sz w:val="21"/>
              </w:rPr>
              <w:t>0.93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47"/>
              <w:ind w:right="86"/>
              <w:jc w:val="right"/>
              <w:rPr>
                <w:sz w:val="21"/>
              </w:rPr>
            </w:pPr>
            <w:r>
              <w:rPr>
                <w:sz w:val="21"/>
              </w:rPr>
              <w:t>115,441</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before="147"/>
              <w:ind w:right="90"/>
              <w:jc w:val="right"/>
              <w:rPr>
                <w:sz w:val="21"/>
              </w:rPr>
            </w:pPr>
            <w:r>
              <w:rPr>
                <w:sz w:val="21"/>
              </w:rPr>
              <w:t>0.62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147"/>
              <w:ind w:right="88"/>
              <w:jc w:val="right"/>
              <w:rPr>
                <w:sz w:val="21"/>
              </w:rPr>
            </w:pPr>
            <w:r>
              <w:rPr>
                <w:sz w:val="21"/>
              </w:rPr>
              <w:t>64.62</w:t>
            </w:r>
          </w:p>
        </w:tc>
        <w:tc>
          <w:tcPr>
            <w:tcW w:w="2125" w:type="dxa"/>
            <w:tcBorders>
              <w:top w:val="single" w:sz="4" w:space="0" w:color="000000"/>
              <w:left w:val="single" w:sz="4" w:space="0" w:color="000000"/>
              <w:bottom w:val="single" w:sz="4" w:space="0" w:color="000000"/>
            </w:tcBorders>
          </w:tcPr>
          <w:p>
            <w:pPr>
              <w:pStyle w:val="TableParagraph"/>
              <w:spacing w:line="270" w:lineRule="atLeast" w:before="2"/>
              <w:ind w:left="112" w:right="80"/>
              <w:rPr>
                <w:rFonts w:ascii="宋体" w:eastAsia="宋体" w:hint="eastAsia"/>
                <w:sz w:val="21"/>
              </w:rPr>
            </w:pPr>
            <w:r>
              <w:rPr>
                <w:rFonts w:ascii="宋体" w:eastAsia="宋体" w:hint="eastAsia"/>
                <w:sz w:val="21"/>
              </w:rPr>
              <w:t>主要是对子公司的股权变动所致</w:t>
            </w:r>
          </w:p>
        </w:tc>
      </w:tr>
      <w:tr>
        <w:trPr>
          <w:trHeight w:val="815" w:hRule="atLeast"/>
        </w:trPr>
        <w:tc>
          <w:tcPr>
            <w:tcW w:w="1508" w:type="dxa"/>
            <w:tcBorders>
              <w:top w:val="single" w:sz="4" w:space="0" w:color="000000"/>
              <w:bottom w:val="single" w:sz="4" w:space="0" w:color="000000"/>
              <w:right w:val="single" w:sz="4" w:space="0" w:color="000000"/>
            </w:tcBorders>
          </w:tcPr>
          <w:p>
            <w:pPr>
              <w:pStyle w:val="TableParagraph"/>
              <w:spacing w:line="244" w:lineRule="auto" w:before="135"/>
              <w:ind w:left="107" w:right="85"/>
              <w:rPr>
                <w:rFonts w:ascii="宋体" w:eastAsia="宋体" w:hint="eastAsia"/>
                <w:sz w:val="21"/>
              </w:rPr>
            </w:pPr>
            <w:r>
              <w:rPr>
                <w:rFonts w:ascii="宋体" w:eastAsia="宋体" w:hint="eastAsia"/>
                <w:sz w:val="21"/>
              </w:rPr>
              <w:t>其他非流动负债</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before="12"/>
              <w:rPr>
                <w:rFonts w:ascii="宋体"/>
                <w:sz w:val="21"/>
              </w:rPr>
            </w:pPr>
          </w:p>
          <w:p>
            <w:pPr>
              <w:pStyle w:val="TableParagraph"/>
              <w:ind w:right="87"/>
              <w:jc w:val="right"/>
              <w:rPr>
                <w:sz w:val="21"/>
              </w:rPr>
            </w:pPr>
            <w:r>
              <w:rPr>
                <w:sz w:val="21"/>
              </w:rPr>
              <w:t>2,703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2"/>
              <w:rPr>
                <w:rFonts w:ascii="宋体"/>
                <w:sz w:val="21"/>
              </w:rPr>
            </w:pPr>
          </w:p>
          <w:p>
            <w:pPr>
              <w:pStyle w:val="TableParagraph"/>
              <w:ind w:right="88"/>
              <w:jc w:val="right"/>
              <w:rPr>
                <w:sz w:val="21"/>
              </w:rPr>
            </w:pPr>
            <w:r>
              <w:rPr>
                <w:sz w:val="21"/>
              </w:rPr>
              <w:t>0.01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2"/>
              <w:rPr>
                <w:rFonts w:ascii="宋体"/>
                <w:sz w:val="21"/>
              </w:rPr>
            </w:pPr>
          </w:p>
          <w:p>
            <w:pPr>
              <w:pStyle w:val="TableParagraph"/>
              <w:ind w:right="88"/>
              <w:jc w:val="right"/>
              <w:rPr>
                <w:sz w:val="21"/>
              </w:rPr>
            </w:pPr>
            <w:r>
              <w:rPr>
                <w:sz w:val="21"/>
              </w:rPr>
              <w:t>7,007</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before="12"/>
              <w:rPr>
                <w:rFonts w:ascii="宋体"/>
                <w:sz w:val="21"/>
              </w:rPr>
            </w:pPr>
          </w:p>
          <w:p>
            <w:pPr>
              <w:pStyle w:val="TableParagraph"/>
              <w:ind w:right="90"/>
              <w:jc w:val="right"/>
              <w:rPr>
                <w:sz w:val="21"/>
              </w:rPr>
            </w:pPr>
            <w:r>
              <w:rPr>
                <w:sz w:val="21"/>
              </w:rPr>
              <w:t>0.04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12"/>
              <w:rPr>
                <w:rFonts w:ascii="宋体"/>
                <w:sz w:val="21"/>
              </w:rPr>
            </w:pPr>
          </w:p>
          <w:p>
            <w:pPr>
              <w:pStyle w:val="TableParagraph"/>
              <w:ind w:right="92"/>
              <w:jc w:val="right"/>
              <w:rPr>
                <w:sz w:val="21"/>
              </w:rPr>
            </w:pPr>
            <w:r>
              <w:rPr>
                <w:sz w:val="21"/>
              </w:rPr>
              <w:t>-61.42</w:t>
            </w:r>
          </w:p>
        </w:tc>
        <w:tc>
          <w:tcPr>
            <w:tcW w:w="2125" w:type="dxa"/>
            <w:tcBorders>
              <w:top w:val="single" w:sz="4" w:space="0" w:color="000000"/>
              <w:left w:val="single" w:sz="4" w:space="0" w:color="000000"/>
              <w:bottom w:val="single" w:sz="4" w:space="0" w:color="000000"/>
            </w:tcBorders>
          </w:tcPr>
          <w:p>
            <w:pPr>
              <w:pStyle w:val="TableParagraph"/>
              <w:spacing w:line="242" w:lineRule="auto" w:before="1"/>
              <w:ind w:left="112" w:right="80"/>
              <w:rPr>
                <w:rFonts w:ascii="宋体" w:eastAsia="宋体" w:hint="eastAsia"/>
                <w:sz w:val="21"/>
              </w:rPr>
            </w:pPr>
            <w:r>
              <w:rPr>
                <w:rFonts w:ascii="宋体" w:eastAsia="宋体" w:hint="eastAsia"/>
                <w:sz w:val="21"/>
              </w:rPr>
              <w:t>主要是期初对少数股东权益的回购义务所</w:t>
            </w:r>
          </w:p>
          <w:p>
            <w:pPr>
              <w:pStyle w:val="TableParagraph"/>
              <w:spacing w:line="250" w:lineRule="exact" w:before="1"/>
              <w:ind w:left="112"/>
              <w:rPr>
                <w:rFonts w:ascii="宋体" w:eastAsia="宋体" w:hint="eastAsia"/>
                <w:sz w:val="21"/>
              </w:rPr>
            </w:pPr>
            <w:r>
              <w:rPr>
                <w:rFonts w:ascii="宋体" w:eastAsia="宋体" w:hint="eastAsia"/>
                <w:w w:val="100"/>
                <w:sz w:val="21"/>
              </w:rPr>
              <w:t>致</w:t>
            </w:r>
          </w:p>
        </w:tc>
      </w:tr>
      <w:tr>
        <w:trPr>
          <w:trHeight w:val="1634" w:hRule="atLeast"/>
        </w:trPr>
        <w:tc>
          <w:tcPr>
            <w:tcW w:w="1508" w:type="dxa"/>
            <w:tcBorders>
              <w:top w:val="single" w:sz="4" w:space="0" w:color="000000"/>
              <w:bottom w:val="single" w:sz="4" w:space="0" w:color="000000"/>
              <w:right w:val="single" w:sz="4" w:space="0" w:color="000000"/>
            </w:tcBorders>
          </w:tcPr>
          <w:p>
            <w:pPr>
              <w:pStyle w:val="TableParagraph"/>
              <w:rPr>
                <w:rFonts w:ascii="宋体"/>
                <w:sz w:val="20"/>
              </w:rPr>
            </w:pPr>
          </w:p>
          <w:p>
            <w:pPr>
              <w:pStyle w:val="TableParagraph"/>
              <w:rPr>
                <w:rFonts w:ascii="宋体"/>
                <w:sz w:val="20"/>
              </w:rPr>
            </w:pPr>
          </w:p>
          <w:p>
            <w:pPr>
              <w:pStyle w:val="TableParagraph"/>
              <w:spacing w:before="170"/>
              <w:ind w:left="107"/>
              <w:rPr>
                <w:rFonts w:ascii="宋体" w:eastAsia="宋体" w:hint="eastAsia"/>
                <w:sz w:val="21"/>
              </w:rPr>
            </w:pPr>
            <w:r>
              <w:rPr>
                <w:rFonts w:ascii="宋体" w:eastAsia="宋体" w:hint="eastAsia"/>
                <w:sz w:val="21"/>
              </w:rPr>
              <w:t>股本</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22"/>
              </w:rPr>
            </w:pPr>
          </w:p>
          <w:p>
            <w:pPr>
              <w:pStyle w:val="TableParagraph"/>
              <w:spacing w:before="10"/>
              <w:rPr>
                <w:rFonts w:ascii="宋体"/>
                <w:sz w:val="31"/>
              </w:rPr>
            </w:pPr>
          </w:p>
          <w:p>
            <w:pPr>
              <w:pStyle w:val="TableParagraph"/>
              <w:ind w:right="85"/>
              <w:jc w:val="right"/>
              <w:rPr>
                <w:sz w:val="21"/>
              </w:rPr>
            </w:pPr>
            <w:r>
              <w:rPr>
                <w:sz w:val="21"/>
              </w:rPr>
              <w:t>902,785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22"/>
              </w:rPr>
            </w:pPr>
          </w:p>
          <w:p>
            <w:pPr>
              <w:pStyle w:val="TableParagraph"/>
              <w:spacing w:before="10"/>
              <w:rPr>
                <w:rFonts w:ascii="宋体"/>
                <w:sz w:val="31"/>
              </w:rPr>
            </w:pPr>
          </w:p>
          <w:p>
            <w:pPr>
              <w:pStyle w:val="TableParagraph"/>
              <w:ind w:right="88"/>
              <w:jc w:val="right"/>
              <w:rPr>
                <w:sz w:val="21"/>
              </w:rPr>
            </w:pPr>
            <w:r>
              <w:rPr>
                <w:sz w:val="21"/>
              </w:rPr>
              <w:t>4.44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22"/>
              </w:rPr>
            </w:pPr>
          </w:p>
          <w:p>
            <w:pPr>
              <w:pStyle w:val="TableParagraph"/>
              <w:spacing w:before="10"/>
              <w:rPr>
                <w:rFonts w:ascii="宋体"/>
                <w:sz w:val="31"/>
              </w:rPr>
            </w:pPr>
          </w:p>
          <w:p>
            <w:pPr>
              <w:pStyle w:val="TableParagraph"/>
              <w:ind w:right="86"/>
              <w:jc w:val="right"/>
              <w:rPr>
                <w:sz w:val="21"/>
              </w:rPr>
            </w:pPr>
            <w:r>
              <w:rPr>
                <w:sz w:val="21"/>
              </w:rPr>
              <w:t>657,957</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22"/>
              </w:rPr>
            </w:pPr>
          </w:p>
          <w:p>
            <w:pPr>
              <w:pStyle w:val="TableParagraph"/>
              <w:spacing w:before="10"/>
              <w:rPr>
                <w:rFonts w:ascii="宋体"/>
                <w:sz w:val="31"/>
              </w:rPr>
            </w:pPr>
          </w:p>
          <w:p>
            <w:pPr>
              <w:pStyle w:val="TableParagraph"/>
              <w:ind w:right="90"/>
              <w:jc w:val="right"/>
              <w:rPr>
                <w:sz w:val="21"/>
              </w:rPr>
            </w:pPr>
            <w:r>
              <w:rPr>
                <w:sz w:val="21"/>
              </w:rPr>
              <w:t>3.51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22"/>
              </w:rPr>
            </w:pPr>
          </w:p>
          <w:p>
            <w:pPr>
              <w:pStyle w:val="TableParagraph"/>
              <w:spacing w:before="10"/>
              <w:rPr>
                <w:rFonts w:ascii="宋体"/>
                <w:sz w:val="31"/>
              </w:rPr>
            </w:pPr>
          </w:p>
          <w:p>
            <w:pPr>
              <w:pStyle w:val="TableParagraph"/>
              <w:ind w:right="88"/>
              <w:jc w:val="right"/>
              <w:rPr>
                <w:sz w:val="21"/>
              </w:rPr>
            </w:pPr>
            <w:r>
              <w:rPr>
                <w:sz w:val="21"/>
              </w:rPr>
              <w:t>37.21</w:t>
            </w:r>
          </w:p>
        </w:tc>
        <w:tc>
          <w:tcPr>
            <w:tcW w:w="2125" w:type="dxa"/>
            <w:tcBorders>
              <w:top w:val="single" w:sz="4" w:space="0" w:color="000000"/>
              <w:left w:val="single" w:sz="4" w:space="0" w:color="000000"/>
              <w:bottom w:val="single" w:sz="4" w:space="0" w:color="000000"/>
            </w:tcBorders>
          </w:tcPr>
          <w:p>
            <w:pPr>
              <w:pStyle w:val="TableParagraph"/>
              <w:spacing w:line="242" w:lineRule="auto" w:before="1"/>
              <w:ind w:left="112" w:right="80"/>
              <w:jc w:val="both"/>
              <w:rPr>
                <w:rFonts w:ascii="宋体" w:eastAsia="宋体" w:hint="eastAsia"/>
                <w:sz w:val="21"/>
              </w:rPr>
            </w:pPr>
            <w:r>
              <w:rPr>
                <w:rFonts w:ascii="宋体" w:eastAsia="宋体" w:hint="eastAsia"/>
                <w:spacing w:val="-2"/>
                <w:sz w:val="21"/>
              </w:rPr>
              <w:t>主要是公司依据私有化方案发行的作为注</w:t>
            </w:r>
            <w:r>
              <w:rPr>
                <w:rFonts w:ascii="宋体" w:eastAsia="宋体" w:hint="eastAsia"/>
                <w:spacing w:val="-6"/>
                <w:sz w:val="21"/>
              </w:rPr>
              <w:t>销计划股份对价的 </w:t>
            </w:r>
            <w:r>
              <w:rPr>
                <w:spacing w:val="-15"/>
                <w:sz w:val="21"/>
              </w:rPr>
              <w:t>H </w:t>
            </w:r>
            <w:r>
              <w:rPr>
                <w:rFonts w:ascii="宋体" w:eastAsia="宋体" w:hint="eastAsia"/>
                <w:spacing w:val="-6"/>
                <w:sz w:val="21"/>
              </w:rPr>
              <w:t>股、以及公司因其 </w:t>
            </w:r>
            <w:r>
              <w:rPr>
                <w:spacing w:val="-15"/>
                <w:sz w:val="21"/>
              </w:rPr>
              <w:t>H </w:t>
            </w:r>
            <w:r>
              <w:rPr>
                <w:rFonts w:ascii="宋体" w:eastAsia="宋体" w:hint="eastAsia"/>
                <w:spacing w:val="-2"/>
                <w:sz w:val="21"/>
              </w:rPr>
              <w:t>股可转换债券转股而</w:t>
            </w:r>
          </w:p>
          <w:p>
            <w:pPr>
              <w:pStyle w:val="TableParagraph"/>
              <w:spacing w:line="250" w:lineRule="exact" w:before="4"/>
              <w:ind w:left="112"/>
              <w:jc w:val="both"/>
              <w:rPr>
                <w:rFonts w:ascii="宋体" w:eastAsia="宋体" w:hint="eastAsia"/>
                <w:sz w:val="21"/>
              </w:rPr>
            </w:pPr>
            <w:r>
              <w:rPr>
                <w:rFonts w:ascii="宋体" w:eastAsia="宋体" w:hint="eastAsia"/>
                <w:sz w:val="21"/>
              </w:rPr>
              <w:t>增发</w:t>
            </w:r>
            <w:r>
              <w:rPr>
                <w:sz w:val="21"/>
              </w:rPr>
              <w:t>H </w:t>
            </w:r>
            <w:r>
              <w:rPr>
                <w:rFonts w:ascii="宋体" w:eastAsia="宋体" w:hint="eastAsia"/>
                <w:sz w:val="21"/>
              </w:rPr>
              <w:t>股</w:t>
            </w:r>
          </w:p>
        </w:tc>
      </w:tr>
      <w:tr>
        <w:trPr>
          <w:trHeight w:val="544" w:hRule="atLeast"/>
        </w:trPr>
        <w:tc>
          <w:tcPr>
            <w:tcW w:w="1508" w:type="dxa"/>
            <w:tcBorders>
              <w:top w:val="single" w:sz="4" w:space="0" w:color="000000"/>
              <w:bottom w:val="single" w:sz="4" w:space="0" w:color="000000"/>
              <w:right w:val="single" w:sz="4" w:space="0" w:color="000000"/>
            </w:tcBorders>
          </w:tcPr>
          <w:p>
            <w:pPr>
              <w:pStyle w:val="TableParagraph"/>
              <w:spacing w:before="138"/>
              <w:ind w:left="107"/>
              <w:rPr>
                <w:rFonts w:ascii="宋体" w:eastAsia="宋体" w:hint="eastAsia"/>
                <w:sz w:val="21"/>
              </w:rPr>
            </w:pPr>
            <w:r>
              <w:rPr>
                <w:rFonts w:ascii="宋体" w:eastAsia="宋体" w:hint="eastAsia"/>
                <w:sz w:val="21"/>
              </w:rPr>
              <w:t>其他权益工具</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before="147"/>
              <w:ind w:right="85"/>
              <w:jc w:val="right"/>
              <w:rPr>
                <w:sz w:val="21"/>
              </w:rPr>
            </w:pPr>
            <w:r>
              <w:rPr>
                <w:sz w:val="21"/>
              </w:rPr>
              <w:t>236,420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47"/>
              <w:ind w:right="88"/>
              <w:jc w:val="right"/>
              <w:rPr>
                <w:sz w:val="21"/>
              </w:rPr>
            </w:pPr>
            <w:r>
              <w:rPr>
                <w:sz w:val="21"/>
              </w:rPr>
              <w:t>1.16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47"/>
              <w:ind w:right="88"/>
              <w:jc w:val="right"/>
              <w:rPr>
                <w:sz w:val="21"/>
              </w:rPr>
            </w:pPr>
            <w:r>
              <w:rPr>
                <w:sz w:val="21"/>
              </w:rPr>
              <w:t>43,142</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before="147"/>
              <w:ind w:right="90"/>
              <w:jc w:val="right"/>
              <w:rPr>
                <w:sz w:val="21"/>
              </w:rPr>
            </w:pPr>
            <w:r>
              <w:rPr>
                <w:sz w:val="21"/>
              </w:rPr>
              <w:t>0.23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147"/>
              <w:ind w:right="88"/>
              <w:jc w:val="right"/>
              <w:rPr>
                <w:sz w:val="21"/>
              </w:rPr>
            </w:pPr>
            <w:r>
              <w:rPr>
                <w:sz w:val="21"/>
              </w:rPr>
              <w:t>448.00</w:t>
            </w:r>
          </w:p>
        </w:tc>
        <w:tc>
          <w:tcPr>
            <w:tcW w:w="2125" w:type="dxa"/>
            <w:tcBorders>
              <w:top w:val="single" w:sz="4" w:space="0" w:color="000000"/>
              <w:left w:val="single" w:sz="4" w:space="0" w:color="000000"/>
              <w:bottom w:val="single" w:sz="4" w:space="0" w:color="000000"/>
            </w:tcBorders>
          </w:tcPr>
          <w:p>
            <w:pPr>
              <w:pStyle w:val="TableParagraph"/>
              <w:spacing w:before="1"/>
              <w:ind w:left="112"/>
              <w:rPr>
                <w:rFonts w:ascii="宋体" w:eastAsia="宋体" w:hint="eastAsia"/>
                <w:sz w:val="21"/>
              </w:rPr>
            </w:pPr>
            <w:r>
              <w:rPr>
                <w:rFonts w:ascii="宋体" w:eastAsia="宋体" w:hint="eastAsia"/>
                <w:sz w:val="21"/>
              </w:rPr>
              <w:t>主要是公司转换债券</w:t>
            </w:r>
          </w:p>
          <w:p>
            <w:pPr>
              <w:pStyle w:val="TableParagraph"/>
              <w:spacing w:line="250" w:lineRule="exact" w:before="5"/>
              <w:ind w:left="112"/>
              <w:rPr>
                <w:rFonts w:ascii="宋体" w:eastAsia="宋体" w:hint="eastAsia"/>
                <w:sz w:val="21"/>
              </w:rPr>
            </w:pPr>
            <w:r>
              <w:rPr>
                <w:rFonts w:ascii="宋体" w:eastAsia="宋体" w:hint="eastAsia"/>
                <w:sz w:val="21"/>
              </w:rPr>
              <w:t>权益部分增加所致</w:t>
            </w:r>
          </w:p>
        </w:tc>
      </w:tr>
      <w:tr>
        <w:trPr>
          <w:trHeight w:val="544" w:hRule="atLeast"/>
        </w:trPr>
        <w:tc>
          <w:tcPr>
            <w:tcW w:w="1508" w:type="dxa"/>
            <w:tcBorders>
              <w:top w:val="single" w:sz="4" w:space="0" w:color="000000"/>
              <w:bottom w:val="single" w:sz="4" w:space="0" w:color="000000"/>
              <w:right w:val="single" w:sz="4" w:space="0" w:color="000000"/>
            </w:tcBorders>
          </w:tcPr>
          <w:p>
            <w:pPr>
              <w:pStyle w:val="TableParagraph"/>
              <w:spacing w:before="137"/>
              <w:ind w:left="107"/>
              <w:rPr>
                <w:rFonts w:ascii="宋体" w:eastAsia="宋体" w:hint="eastAsia"/>
                <w:sz w:val="21"/>
              </w:rPr>
            </w:pPr>
            <w:r>
              <w:rPr>
                <w:rFonts w:ascii="宋体" w:eastAsia="宋体" w:hint="eastAsia"/>
                <w:sz w:val="21"/>
              </w:rPr>
              <w:t>资本公积</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before="147"/>
              <w:ind w:right="85"/>
              <w:jc w:val="right"/>
              <w:rPr>
                <w:sz w:val="21"/>
              </w:rPr>
            </w:pPr>
            <w:r>
              <w:rPr>
                <w:sz w:val="21"/>
              </w:rPr>
              <w:t>1,500,903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47"/>
              <w:ind w:right="88"/>
              <w:jc w:val="right"/>
              <w:rPr>
                <w:sz w:val="21"/>
              </w:rPr>
            </w:pPr>
            <w:r>
              <w:rPr>
                <w:sz w:val="21"/>
              </w:rPr>
              <w:t>7.38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47"/>
              <w:ind w:right="86"/>
              <w:jc w:val="right"/>
              <w:rPr>
                <w:sz w:val="21"/>
              </w:rPr>
            </w:pPr>
            <w:r>
              <w:rPr>
                <w:sz w:val="21"/>
              </w:rPr>
              <w:t>443,589</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before="147"/>
              <w:ind w:right="90"/>
              <w:jc w:val="right"/>
              <w:rPr>
                <w:sz w:val="21"/>
              </w:rPr>
            </w:pPr>
            <w:r>
              <w:rPr>
                <w:sz w:val="21"/>
              </w:rPr>
              <w:t>2.37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147"/>
              <w:ind w:right="88"/>
              <w:jc w:val="right"/>
              <w:rPr>
                <w:sz w:val="21"/>
              </w:rPr>
            </w:pPr>
            <w:r>
              <w:rPr>
                <w:sz w:val="21"/>
              </w:rPr>
              <w:t>238.35</w:t>
            </w:r>
          </w:p>
        </w:tc>
        <w:tc>
          <w:tcPr>
            <w:tcW w:w="2125" w:type="dxa"/>
            <w:tcBorders>
              <w:top w:val="single" w:sz="4" w:space="0" w:color="000000"/>
              <w:left w:val="single" w:sz="4" w:space="0" w:color="000000"/>
              <w:bottom w:val="single" w:sz="4" w:space="0" w:color="000000"/>
            </w:tcBorders>
          </w:tcPr>
          <w:p>
            <w:pPr>
              <w:pStyle w:val="TableParagraph"/>
              <w:spacing w:before="1"/>
              <w:ind w:left="112"/>
              <w:rPr>
                <w:rFonts w:ascii="宋体" w:eastAsia="宋体" w:hint="eastAsia"/>
                <w:sz w:val="21"/>
              </w:rPr>
            </w:pPr>
            <w:r>
              <w:rPr>
                <w:rFonts w:ascii="宋体" w:eastAsia="宋体" w:hint="eastAsia"/>
                <w:sz w:val="21"/>
              </w:rPr>
              <w:t>主要是股本溢价变动</w:t>
            </w:r>
          </w:p>
          <w:p>
            <w:pPr>
              <w:pStyle w:val="TableParagraph"/>
              <w:spacing w:line="250" w:lineRule="exact" w:before="4"/>
              <w:ind w:left="112"/>
              <w:rPr>
                <w:rFonts w:ascii="宋体" w:eastAsia="宋体" w:hint="eastAsia"/>
                <w:sz w:val="21"/>
              </w:rPr>
            </w:pPr>
            <w:r>
              <w:rPr>
                <w:rFonts w:ascii="宋体" w:eastAsia="宋体" w:hint="eastAsia"/>
                <w:sz w:val="21"/>
              </w:rPr>
              <w:t>所致</w:t>
            </w:r>
          </w:p>
        </w:tc>
      </w:tr>
      <w:tr>
        <w:trPr>
          <w:trHeight w:val="544" w:hRule="atLeast"/>
        </w:trPr>
        <w:tc>
          <w:tcPr>
            <w:tcW w:w="1508" w:type="dxa"/>
            <w:tcBorders>
              <w:top w:val="single" w:sz="4" w:space="0" w:color="000000"/>
              <w:right w:val="single" w:sz="4" w:space="0" w:color="000000"/>
            </w:tcBorders>
          </w:tcPr>
          <w:p>
            <w:pPr>
              <w:pStyle w:val="TableParagraph"/>
              <w:spacing w:before="138"/>
              <w:ind w:left="107"/>
              <w:rPr>
                <w:rFonts w:ascii="宋体" w:eastAsia="宋体" w:hint="eastAsia"/>
                <w:sz w:val="21"/>
              </w:rPr>
            </w:pPr>
            <w:r>
              <w:rPr>
                <w:rFonts w:ascii="宋体" w:eastAsia="宋体" w:hint="eastAsia"/>
                <w:sz w:val="21"/>
              </w:rPr>
              <w:t>其他综合收益</w:t>
            </w:r>
          </w:p>
        </w:tc>
        <w:tc>
          <w:tcPr>
            <w:tcW w:w="1151" w:type="dxa"/>
            <w:tcBorders>
              <w:top w:val="single" w:sz="4" w:space="0" w:color="000000"/>
              <w:left w:val="single" w:sz="4" w:space="0" w:color="000000"/>
              <w:right w:val="single" w:sz="4" w:space="0" w:color="000000"/>
            </w:tcBorders>
          </w:tcPr>
          <w:p>
            <w:pPr>
              <w:pStyle w:val="TableParagraph"/>
              <w:spacing w:before="147"/>
              <w:ind w:right="88"/>
              <w:jc w:val="right"/>
              <w:rPr>
                <w:sz w:val="21"/>
              </w:rPr>
            </w:pPr>
            <w:r>
              <w:rPr>
                <w:sz w:val="21"/>
              </w:rPr>
              <w:t>-104,622</w:t>
            </w:r>
          </w:p>
        </w:tc>
        <w:tc>
          <w:tcPr>
            <w:tcW w:w="1136" w:type="dxa"/>
            <w:tcBorders>
              <w:top w:val="single" w:sz="4" w:space="0" w:color="000000"/>
              <w:left w:val="single" w:sz="4" w:space="0" w:color="000000"/>
              <w:right w:val="single" w:sz="4" w:space="0" w:color="000000"/>
            </w:tcBorders>
          </w:tcPr>
          <w:p>
            <w:pPr>
              <w:pStyle w:val="TableParagraph"/>
              <w:spacing w:before="147"/>
              <w:ind w:right="92"/>
              <w:jc w:val="right"/>
              <w:rPr>
                <w:sz w:val="21"/>
              </w:rPr>
            </w:pPr>
            <w:r>
              <w:rPr>
                <w:sz w:val="21"/>
              </w:rPr>
              <w:t>-0.51</w:t>
            </w:r>
          </w:p>
        </w:tc>
        <w:tc>
          <w:tcPr>
            <w:tcW w:w="1136" w:type="dxa"/>
            <w:tcBorders>
              <w:top w:val="single" w:sz="4" w:space="0" w:color="000000"/>
              <w:left w:val="single" w:sz="4" w:space="0" w:color="000000"/>
              <w:right w:val="single" w:sz="4" w:space="0" w:color="000000"/>
            </w:tcBorders>
          </w:tcPr>
          <w:p>
            <w:pPr>
              <w:pStyle w:val="TableParagraph"/>
              <w:spacing w:before="147"/>
              <w:ind w:right="86"/>
              <w:jc w:val="right"/>
              <w:rPr>
                <w:sz w:val="21"/>
              </w:rPr>
            </w:pPr>
            <w:r>
              <w:rPr>
                <w:sz w:val="21"/>
              </w:rPr>
              <w:t>131,799</w:t>
            </w:r>
          </w:p>
        </w:tc>
        <w:tc>
          <w:tcPr>
            <w:tcW w:w="1139" w:type="dxa"/>
            <w:tcBorders>
              <w:top w:val="single" w:sz="4" w:space="0" w:color="000000"/>
              <w:left w:val="single" w:sz="4" w:space="0" w:color="000000"/>
              <w:right w:val="single" w:sz="4" w:space="0" w:color="000000"/>
            </w:tcBorders>
          </w:tcPr>
          <w:p>
            <w:pPr>
              <w:pStyle w:val="TableParagraph"/>
              <w:spacing w:before="147"/>
              <w:ind w:right="90"/>
              <w:jc w:val="right"/>
              <w:rPr>
                <w:sz w:val="21"/>
              </w:rPr>
            </w:pPr>
            <w:r>
              <w:rPr>
                <w:sz w:val="21"/>
              </w:rPr>
              <w:t>0.70</w:t>
            </w:r>
          </w:p>
        </w:tc>
        <w:tc>
          <w:tcPr>
            <w:tcW w:w="1275" w:type="dxa"/>
            <w:tcBorders>
              <w:top w:val="single" w:sz="4" w:space="0" w:color="000000"/>
              <w:left w:val="single" w:sz="4" w:space="0" w:color="000000"/>
              <w:right w:val="single" w:sz="4" w:space="0" w:color="000000"/>
            </w:tcBorders>
          </w:tcPr>
          <w:p>
            <w:pPr>
              <w:pStyle w:val="TableParagraph"/>
              <w:spacing w:before="147"/>
              <w:ind w:right="92"/>
              <w:jc w:val="right"/>
              <w:rPr>
                <w:sz w:val="21"/>
              </w:rPr>
            </w:pPr>
            <w:r>
              <w:rPr>
                <w:sz w:val="21"/>
              </w:rPr>
              <w:t>-179.38</w:t>
            </w:r>
          </w:p>
        </w:tc>
        <w:tc>
          <w:tcPr>
            <w:tcW w:w="2125" w:type="dxa"/>
            <w:tcBorders>
              <w:top w:val="single" w:sz="4" w:space="0" w:color="000000"/>
              <w:left w:val="single" w:sz="4" w:space="0" w:color="000000"/>
            </w:tcBorders>
          </w:tcPr>
          <w:p>
            <w:pPr>
              <w:pStyle w:val="TableParagraph"/>
              <w:spacing w:line="270" w:lineRule="atLeast" w:before="2"/>
              <w:ind w:left="112" w:right="80"/>
              <w:rPr>
                <w:rFonts w:ascii="宋体" w:eastAsia="宋体" w:hint="eastAsia"/>
                <w:sz w:val="21"/>
              </w:rPr>
            </w:pPr>
            <w:r>
              <w:rPr>
                <w:rFonts w:ascii="宋体" w:eastAsia="宋体" w:hint="eastAsia"/>
                <w:sz w:val="21"/>
              </w:rPr>
              <w:t>主要是外币报表折算差额所致</w:t>
            </w:r>
          </w:p>
        </w:tc>
      </w:tr>
    </w:tbl>
    <w:p>
      <w:pPr>
        <w:pStyle w:val="BodyText"/>
        <w:spacing w:before="4"/>
        <w:ind w:left="237"/>
      </w:pPr>
      <w:r>
        <w:rPr>
          <w:w w:val="100"/>
        </w:rPr>
        <w:t> </w:t>
      </w:r>
    </w:p>
    <w:p>
      <w:pPr>
        <w:pStyle w:val="BodyText"/>
        <w:spacing w:before="5"/>
        <w:ind w:left="237"/>
      </w:pPr>
      <w:r>
        <w:rPr/>
        <w:t>其他说明</w:t>
      </w:r>
    </w:p>
    <w:p>
      <w:pPr>
        <w:pStyle w:val="BodyText"/>
        <w:spacing w:before="2"/>
        <w:ind w:left="662"/>
      </w:pPr>
      <w:r>
        <w:rPr>
          <w:w w:val="100"/>
        </w:rPr>
        <w:t>无</w:t>
      </w:r>
    </w:p>
    <w:p>
      <w:pPr>
        <w:pStyle w:val="BodyText"/>
        <w:spacing w:before="9"/>
        <w:rPr>
          <w:sz w:val="27"/>
        </w:rPr>
      </w:pPr>
    </w:p>
    <w:p>
      <w:pPr>
        <w:pStyle w:val="Heading4"/>
        <w:numPr>
          <w:ilvl w:val="0"/>
          <w:numId w:val="14"/>
        </w:numPr>
        <w:tabs>
          <w:tab w:pos="661" w:val="left" w:leader="none"/>
          <w:tab w:pos="663" w:val="left" w:leader="none"/>
        </w:tabs>
        <w:spacing w:line="240" w:lineRule="auto" w:before="0" w:after="0"/>
        <w:ind w:left="662" w:right="0" w:hanging="426"/>
        <w:jc w:val="left"/>
      </w:pPr>
      <w:r>
        <w:rPr>
          <w:spacing w:val="-2"/>
        </w:rPr>
        <w:t>截至报告期末主要资产受限情况</w:t>
      </w:r>
    </w:p>
    <w:p>
      <w:pPr>
        <w:pStyle w:val="BodyText"/>
        <w:tabs>
          <w:tab w:pos="1504" w:val="left" w:leader="none"/>
        </w:tabs>
        <w:spacing w:before="154"/>
        <w:ind w:left="662"/>
      </w:pPr>
      <w:r>
        <w:rPr/>
        <w:t>□适用</w:t>
        <w:tab/>
      </w:r>
      <w:r>
        <w:rPr>
          <w:spacing w:val="-3"/>
        </w:rPr>
        <w:t>√</w:t>
      </w:r>
      <w:r>
        <w:rPr/>
        <w:t>不</w:t>
      </w:r>
      <w:r>
        <w:rPr>
          <w:spacing w:val="-3"/>
        </w:rPr>
        <w:t>适</w:t>
      </w:r>
      <w:r>
        <w:rPr/>
        <w:t>用</w:t>
      </w:r>
    </w:p>
    <w:p>
      <w:pPr>
        <w:pStyle w:val="Heading4"/>
        <w:numPr>
          <w:ilvl w:val="0"/>
          <w:numId w:val="14"/>
        </w:numPr>
        <w:tabs>
          <w:tab w:pos="661" w:val="left" w:leader="none"/>
          <w:tab w:pos="663" w:val="left" w:leader="none"/>
        </w:tabs>
        <w:spacing w:line="240" w:lineRule="auto" w:before="130" w:after="0"/>
        <w:ind w:left="662" w:right="0" w:hanging="426"/>
        <w:jc w:val="left"/>
      </w:pPr>
      <w:r>
        <w:rPr/>
        <w:t>其他说明</w:t>
      </w:r>
    </w:p>
    <w:p>
      <w:pPr>
        <w:pStyle w:val="BodyText"/>
        <w:tabs>
          <w:tab w:pos="1504" w:val="left" w:leader="none"/>
        </w:tabs>
        <w:spacing w:before="151"/>
        <w:ind w:left="662"/>
      </w:pPr>
      <w:r>
        <w:rPr/>
        <w:t>□适用</w:t>
        <w:tab/>
      </w:r>
      <w:r>
        <w:rPr>
          <w:spacing w:val="-3"/>
        </w:rPr>
        <w:t>√</w:t>
      </w:r>
      <w:r>
        <w:rPr/>
        <w:t>不</w:t>
      </w:r>
      <w:r>
        <w:rPr>
          <w:spacing w:val="-3"/>
        </w:rPr>
        <w:t>适</w:t>
      </w:r>
      <w:r>
        <w:rPr/>
        <w:t>用</w:t>
      </w:r>
    </w:p>
    <w:p>
      <w:pPr>
        <w:pStyle w:val="BodyText"/>
        <w:rPr>
          <w:sz w:val="20"/>
        </w:rPr>
      </w:pPr>
    </w:p>
    <w:p>
      <w:pPr>
        <w:pStyle w:val="BodyText"/>
        <w:spacing w:before="5"/>
        <w:rPr>
          <w:sz w:val="18"/>
        </w:rPr>
      </w:pPr>
    </w:p>
    <w:p>
      <w:pPr>
        <w:pStyle w:val="Heading4"/>
        <w:tabs>
          <w:tab w:pos="1077" w:val="left" w:leader="none"/>
        </w:tabs>
        <w:ind w:left="237"/>
      </w:pPr>
      <w:r>
        <w:rPr>
          <w:w w:val="125"/>
        </w:rPr>
        <w:t>(</w:t>
      </w:r>
      <w:r>
        <w:rPr>
          <w:w w:val="105"/>
        </w:rPr>
        <w:t>四</w:t>
      </w:r>
      <w:r>
        <w:rPr>
          <w:w w:val="125"/>
        </w:rPr>
        <w:t>)</w:t>
        <w:tab/>
      </w:r>
      <w:r>
        <w:rPr>
          <w:w w:val="105"/>
        </w:rPr>
        <w:t>行业经营性信息分析</w:t>
      </w:r>
    </w:p>
    <w:p>
      <w:pPr>
        <w:pStyle w:val="BodyText"/>
        <w:tabs>
          <w:tab w:pos="1504" w:val="left" w:leader="none"/>
        </w:tabs>
        <w:spacing w:before="151"/>
        <w:ind w:left="662"/>
      </w:pPr>
      <w:r>
        <w:rPr/>
        <w:t>□适用</w:t>
        <w:tab/>
      </w:r>
      <w:r>
        <w:rPr>
          <w:spacing w:val="-3"/>
        </w:rPr>
        <w:t>√</w:t>
      </w:r>
      <w:r>
        <w:rPr/>
        <w:t>不</w:t>
      </w:r>
      <w:r>
        <w:rPr>
          <w:spacing w:val="-3"/>
        </w:rPr>
        <w:t>适</w:t>
      </w:r>
      <w:r>
        <w:rPr/>
        <w:t>用</w:t>
      </w:r>
    </w:p>
    <w:p>
      <w:pPr>
        <w:spacing w:after="0"/>
        <w:sectPr>
          <w:pgSz w:w="11910" w:h="16840"/>
          <w:pgMar w:header="874" w:footer="1214" w:top="1360" w:bottom="1400" w:left="1040" w:right="760"/>
        </w:sectPr>
      </w:pPr>
    </w:p>
    <w:p>
      <w:pPr>
        <w:pStyle w:val="BodyText"/>
        <w:spacing w:before="8"/>
        <w:rPr>
          <w:sz w:val="18"/>
        </w:rPr>
      </w:pPr>
    </w:p>
    <w:p>
      <w:pPr>
        <w:pStyle w:val="Heading4"/>
        <w:tabs>
          <w:tab w:pos="1597" w:val="left" w:leader="none"/>
        </w:tabs>
        <w:spacing w:before="3"/>
        <w:ind w:left="758"/>
      </w:pPr>
      <w:r>
        <w:rPr>
          <w:w w:val="125"/>
        </w:rPr>
        <w:t>(</w:t>
      </w:r>
      <w:r>
        <w:rPr>
          <w:w w:val="110"/>
        </w:rPr>
        <w:t>五</w:t>
      </w:r>
      <w:r>
        <w:rPr>
          <w:w w:val="125"/>
        </w:rPr>
        <w:t>)</w:t>
        <w:tab/>
      </w:r>
      <w:r>
        <w:rPr>
          <w:w w:val="110"/>
        </w:rPr>
        <w:t>投资状况分析</w:t>
      </w:r>
    </w:p>
    <w:p>
      <w:pPr>
        <w:pStyle w:val="Heading4"/>
        <w:spacing w:before="142"/>
        <w:ind w:left="758"/>
      </w:pPr>
      <w:r>
        <w:rPr/>
        <w:t>1、 对外股权投资总体分析</w:t>
      </w:r>
    </w:p>
    <w:p>
      <w:pPr>
        <w:pStyle w:val="BodyText"/>
        <w:spacing w:before="8"/>
        <w:rPr>
          <w:rFonts w:ascii="Microsoft JhengHei"/>
          <w:b/>
          <w:sz w:val="11"/>
        </w:rPr>
      </w:pPr>
    </w:p>
    <w:p>
      <w:pPr>
        <w:pStyle w:val="BodyText"/>
        <w:ind w:left="1182"/>
        <w:jc w:val="both"/>
      </w:pPr>
      <w:r>
        <w:rPr>
          <w:rFonts w:ascii="Times New Roman" w:hAnsi="Times New Roman" w:eastAsia="Times New Roman"/>
        </w:rPr>
        <w:t>√</w:t>
      </w:r>
      <w:r>
        <w:rPr/>
        <w:t>适用 </w:t>
      </w:r>
      <w:r>
        <w:rPr>
          <w:rFonts w:ascii="Times New Roman" w:hAnsi="Times New Roman" w:eastAsia="Times New Roman"/>
        </w:rPr>
        <w:t>□</w:t>
      </w:r>
      <w:r>
        <w:rPr/>
        <w:t>不适用</w:t>
      </w:r>
    </w:p>
    <w:p>
      <w:pPr>
        <w:pStyle w:val="BodyText"/>
        <w:spacing w:before="7"/>
        <w:rPr>
          <w:sz w:val="15"/>
        </w:rPr>
      </w:pPr>
    </w:p>
    <w:p>
      <w:pPr>
        <w:pStyle w:val="BodyText"/>
        <w:spacing w:line="417" w:lineRule="auto"/>
        <w:ind w:left="758" w:right="507" w:firstLine="424"/>
        <w:jc w:val="both"/>
      </w:pPr>
      <w:r>
        <w:rPr>
          <w:rFonts w:ascii="Times New Roman" w:eastAsia="Times New Roman"/>
        </w:rPr>
        <w:t>2020 </w:t>
      </w:r>
      <w:r>
        <w:rPr>
          <w:spacing w:val="-10"/>
        </w:rPr>
        <w:t>年度，公司通过发行 </w:t>
      </w:r>
      <w:r>
        <w:rPr>
          <w:rFonts w:ascii="Times New Roman" w:eastAsia="Times New Roman"/>
        </w:rPr>
        <w:t>H </w:t>
      </w:r>
      <w:r>
        <w:rPr>
          <w:spacing w:val="-8"/>
        </w:rPr>
        <w:t>股，完成对本公司控股的香港上市公司海尔电器的私有化，该项</w:t>
      </w:r>
      <w:r>
        <w:rPr>
          <w:spacing w:val="-13"/>
        </w:rPr>
        <w:t>目构成公司的重大资产重组。截止报告期末，该事项已完成，详见公司于 </w:t>
      </w:r>
      <w:r>
        <w:rPr>
          <w:rFonts w:ascii="Times New Roman" w:eastAsia="Times New Roman"/>
        </w:rPr>
        <w:t>2020 </w:t>
      </w:r>
      <w:r>
        <w:rPr>
          <w:spacing w:val="-24"/>
        </w:rPr>
        <w:t>年 </w:t>
      </w:r>
      <w:r>
        <w:rPr>
          <w:rFonts w:ascii="Times New Roman" w:eastAsia="Times New Roman"/>
        </w:rPr>
        <w:t>12 </w:t>
      </w:r>
      <w:r>
        <w:rPr>
          <w:spacing w:val="-24"/>
        </w:rPr>
        <w:t>月 </w:t>
      </w:r>
      <w:r>
        <w:rPr>
          <w:rFonts w:ascii="Times New Roman" w:eastAsia="Times New Roman"/>
        </w:rPr>
        <w:t>26 </w:t>
      </w:r>
      <w:r>
        <w:rPr>
          <w:spacing w:val="-2"/>
        </w:rPr>
        <w:t>日披露</w:t>
      </w:r>
      <w:r>
        <w:rPr>
          <w:spacing w:val="-3"/>
        </w:rPr>
        <w:t>的《海尔智家股份有限公司重大资产购买暨关联交易实施情况报告书》。</w:t>
      </w:r>
    </w:p>
    <w:p>
      <w:pPr>
        <w:pStyle w:val="BodyText"/>
        <w:rPr>
          <w:sz w:val="20"/>
        </w:rPr>
      </w:pPr>
    </w:p>
    <w:p>
      <w:pPr>
        <w:pStyle w:val="BodyText"/>
        <w:spacing w:before="10"/>
        <w:rPr>
          <w:sz w:val="15"/>
        </w:rPr>
      </w:pPr>
    </w:p>
    <w:p>
      <w:pPr>
        <w:pStyle w:val="Heading4"/>
        <w:numPr>
          <w:ilvl w:val="1"/>
          <w:numId w:val="14"/>
        </w:numPr>
        <w:tabs>
          <w:tab w:pos="1178" w:val="left" w:leader="none"/>
        </w:tabs>
        <w:spacing w:line="240" w:lineRule="auto" w:before="1" w:after="0"/>
        <w:ind w:left="1178" w:right="0" w:hanging="420"/>
        <w:jc w:val="left"/>
      </w:pPr>
      <w:r>
        <w:rPr/>
        <w:t>重大的股权投资</w:t>
      </w:r>
    </w:p>
    <w:p>
      <w:pPr>
        <w:pStyle w:val="BodyText"/>
        <w:spacing w:before="8"/>
        <w:rPr>
          <w:rFonts w:ascii="Microsoft JhengHei"/>
          <w:b/>
          <w:sz w:val="11"/>
        </w:rPr>
      </w:pPr>
    </w:p>
    <w:p>
      <w:pPr>
        <w:pStyle w:val="BodyText"/>
        <w:ind w:left="1182"/>
        <w:jc w:val="both"/>
      </w:pPr>
      <w:r>
        <w:rPr/>
        <w:t>√适用 □不适用</w:t>
      </w:r>
    </w:p>
    <w:p>
      <w:pPr>
        <w:pStyle w:val="BodyText"/>
        <w:spacing w:before="7"/>
        <w:rPr>
          <w:sz w:val="15"/>
        </w:rPr>
      </w:pPr>
    </w:p>
    <w:p>
      <w:pPr>
        <w:pStyle w:val="BodyText"/>
        <w:ind w:left="1182"/>
      </w:pPr>
      <w:r>
        <w:rPr/>
        <w:t>见前述</w:t>
      </w:r>
      <w:r>
        <w:rPr>
          <w:rFonts w:ascii="Times New Roman" w:hAnsi="Times New Roman" w:eastAsia="Times New Roman"/>
        </w:rPr>
        <w:t>“1</w:t>
      </w:r>
      <w:r>
        <w:rPr/>
        <w:t>、对外股权投资总体分析</w:t>
      </w:r>
      <w:r>
        <w:rPr>
          <w:rFonts w:ascii="Times New Roman" w:hAnsi="Times New Roman" w:eastAsia="Times New Roman"/>
        </w:rPr>
        <w:t>”</w:t>
      </w:r>
      <w:r>
        <w:rPr/>
        <w:t>的内容。</w:t>
      </w:r>
    </w:p>
    <w:p>
      <w:pPr>
        <w:pStyle w:val="BodyText"/>
        <w:rPr>
          <w:sz w:val="22"/>
        </w:rPr>
      </w:pPr>
    </w:p>
    <w:p>
      <w:pPr>
        <w:pStyle w:val="BodyText"/>
        <w:spacing w:before="4"/>
        <w:rPr>
          <w:sz w:val="29"/>
        </w:rPr>
      </w:pPr>
    </w:p>
    <w:p>
      <w:pPr>
        <w:pStyle w:val="Heading4"/>
        <w:numPr>
          <w:ilvl w:val="1"/>
          <w:numId w:val="14"/>
        </w:numPr>
        <w:tabs>
          <w:tab w:pos="1178" w:val="left" w:leader="none"/>
        </w:tabs>
        <w:spacing w:line="240" w:lineRule="auto" w:before="0" w:after="0"/>
        <w:ind w:left="1178" w:right="0" w:hanging="420"/>
        <w:jc w:val="left"/>
      </w:pPr>
      <w:r>
        <w:rPr/>
        <w:t>重大的非股权投资</w:t>
      </w:r>
    </w:p>
    <w:p>
      <w:pPr>
        <w:pStyle w:val="BodyText"/>
        <w:spacing w:before="9"/>
        <w:rPr>
          <w:rFonts w:ascii="Microsoft JhengHei"/>
          <w:b/>
          <w:sz w:val="11"/>
        </w:rPr>
      </w:pPr>
    </w:p>
    <w:p>
      <w:pPr>
        <w:pStyle w:val="BodyText"/>
        <w:tabs>
          <w:tab w:pos="2025" w:val="left" w:leader="none"/>
        </w:tabs>
        <w:ind w:left="1182"/>
      </w:pPr>
      <w:r>
        <w:rPr/>
        <w:t>□适用</w:t>
        <w:tab/>
      </w:r>
      <w:r>
        <w:rPr>
          <w:spacing w:val="-3"/>
        </w:rPr>
        <w:t>√</w:t>
      </w:r>
      <w:r>
        <w:rPr/>
        <w:t>不</w:t>
      </w:r>
      <w:r>
        <w:rPr>
          <w:spacing w:val="-3"/>
        </w:rPr>
        <w:t>适</w:t>
      </w:r>
      <w:r>
        <w:rPr/>
        <w:t>用</w:t>
      </w:r>
    </w:p>
    <w:p>
      <w:pPr>
        <w:pStyle w:val="BodyText"/>
        <w:rPr>
          <w:sz w:val="20"/>
        </w:rPr>
      </w:pPr>
    </w:p>
    <w:p>
      <w:pPr>
        <w:pStyle w:val="BodyText"/>
        <w:rPr>
          <w:sz w:val="20"/>
        </w:rPr>
      </w:pPr>
    </w:p>
    <w:p>
      <w:pPr>
        <w:pStyle w:val="Heading4"/>
        <w:numPr>
          <w:ilvl w:val="1"/>
          <w:numId w:val="14"/>
        </w:numPr>
        <w:tabs>
          <w:tab w:pos="1178" w:val="left" w:leader="none"/>
        </w:tabs>
        <w:spacing w:line="240" w:lineRule="auto" w:before="145" w:after="0"/>
        <w:ind w:left="1178" w:right="0" w:hanging="420"/>
        <w:jc w:val="left"/>
      </w:pPr>
      <w:r>
        <w:rPr>
          <w:spacing w:val="-2"/>
        </w:rPr>
        <w:t>以公允价值计量的金融资产</w:t>
      </w:r>
    </w:p>
    <w:p>
      <w:pPr>
        <w:pStyle w:val="BodyText"/>
        <w:spacing w:before="12"/>
        <w:rPr>
          <w:rFonts w:ascii="Microsoft JhengHei"/>
          <w:b/>
          <w:sz w:val="7"/>
        </w:rPr>
      </w:pPr>
    </w:p>
    <w:p>
      <w:pPr>
        <w:spacing w:after="0"/>
        <w:rPr>
          <w:rFonts w:ascii="Microsoft JhengHei"/>
          <w:sz w:val="7"/>
        </w:rPr>
        <w:sectPr>
          <w:headerReference w:type="default" r:id="rId32"/>
          <w:footerReference w:type="default" r:id="rId33"/>
          <w:pgSz w:w="11910" w:h="16840"/>
          <w:pgMar w:header="874" w:footer="1214" w:top="1360" w:bottom="1400" w:left="1040" w:right="760"/>
          <w:pgNumType w:start="3"/>
        </w:sectPr>
      </w:pPr>
    </w:p>
    <w:p>
      <w:pPr>
        <w:pStyle w:val="BodyText"/>
        <w:tabs>
          <w:tab w:pos="2025" w:val="left" w:leader="none"/>
        </w:tabs>
        <w:spacing w:before="71"/>
        <w:ind w:left="1182"/>
      </w:pPr>
      <w:r>
        <w:rPr/>
        <w:t>√适用</w:t>
        <w:tab/>
      </w:r>
      <w:r>
        <w:rPr>
          <w:spacing w:val="-3"/>
        </w:rPr>
        <w:t>□</w:t>
      </w:r>
      <w:r>
        <w:rPr/>
        <w:t>不</w:t>
      </w:r>
      <w:r>
        <w:rPr>
          <w:spacing w:val="-3"/>
        </w:rPr>
        <w:t>适</w:t>
      </w:r>
      <w:r>
        <w:rPr/>
        <w:t>用</w:t>
      </w:r>
    </w:p>
    <w:p>
      <w:pPr>
        <w:pStyle w:val="BodyText"/>
        <w:rPr>
          <w:sz w:val="22"/>
        </w:rPr>
      </w:pPr>
      <w:r>
        <w:rPr/>
        <w:br w:type="column"/>
      </w:r>
      <w:r>
        <w:rPr>
          <w:sz w:val="22"/>
        </w:rPr>
      </w:r>
    </w:p>
    <w:p>
      <w:pPr>
        <w:pStyle w:val="BodyText"/>
        <w:spacing w:before="181"/>
        <w:ind w:left="1182"/>
      </w:pPr>
      <w:r>
        <w:rPr/>
        <w:t>人民币</w:t>
      </w:r>
      <w:r>
        <w:rPr>
          <w:rFonts w:ascii="Times New Roman" w:eastAsia="Times New Roman"/>
        </w:rPr>
        <w:t>/</w:t>
      </w:r>
      <w:r>
        <w:rPr/>
        <w:t>元</w:t>
      </w:r>
    </w:p>
    <w:p>
      <w:pPr>
        <w:spacing w:after="0"/>
        <w:sectPr>
          <w:type w:val="continuous"/>
          <w:pgSz w:w="11910" w:h="16840"/>
          <w:pgMar w:top="1360" w:bottom="1400" w:left="1040" w:right="760"/>
          <w:cols w:num="2" w:equalWidth="0">
            <w:col w:w="2906" w:space="4605"/>
            <w:col w:w="2599"/>
          </w:cols>
        </w:sectPr>
      </w:pPr>
    </w:p>
    <w:tbl>
      <w:tblPr>
        <w:tblW w:w="0" w:type="auto"/>
        <w:jc w:val="left"/>
        <w:tblInd w:w="75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99"/>
        <w:gridCol w:w="1560"/>
        <w:gridCol w:w="708"/>
        <w:gridCol w:w="1844"/>
        <w:gridCol w:w="1561"/>
        <w:gridCol w:w="1558"/>
      </w:tblGrid>
      <w:tr>
        <w:trPr>
          <w:trHeight w:val="625" w:hRule="atLeast"/>
        </w:trPr>
        <w:tc>
          <w:tcPr>
            <w:tcW w:w="1999" w:type="dxa"/>
            <w:tcBorders>
              <w:bottom w:val="single" w:sz="4" w:space="0" w:color="000000"/>
              <w:right w:val="single" w:sz="6" w:space="0" w:color="000000"/>
            </w:tcBorders>
            <w:shd w:val="clear" w:color="auto" w:fill="EDEBE0"/>
          </w:tcPr>
          <w:p>
            <w:pPr>
              <w:pStyle w:val="TableParagraph"/>
              <w:spacing w:line="304" w:lineRule="exact"/>
              <w:ind w:left="39" w:right="6"/>
              <w:jc w:val="center"/>
              <w:rPr>
                <w:rFonts w:ascii="Microsoft JhengHei" w:eastAsia="Microsoft JhengHei" w:hint="eastAsia"/>
                <w:b/>
                <w:sz w:val="21"/>
              </w:rPr>
            </w:pPr>
            <w:r>
              <w:rPr>
                <w:rFonts w:ascii="Microsoft JhengHei" w:eastAsia="Microsoft JhengHei" w:hint="eastAsia"/>
                <w:b/>
                <w:sz w:val="21"/>
              </w:rPr>
              <w:t>以公允价值计量的金</w:t>
            </w:r>
          </w:p>
          <w:p>
            <w:pPr>
              <w:pStyle w:val="TableParagraph"/>
              <w:spacing w:line="301" w:lineRule="exact"/>
              <w:ind w:left="34" w:right="6"/>
              <w:jc w:val="center"/>
              <w:rPr>
                <w:rFonts w:ascii="Microsoft JhengHei" w:eastAsia="Microsoft JhengHei" w:hint="eastAsia"/>
                <w:b/>
                <w:sz w:val="21"/>
              </w:rPr>
            </w:pPr>
            <w:r>
              <w:rPr>
                <w:rFonts w:ascii="Microsoft JhengHei" w:eastAsia="Microsoft JhengHei" w:hint="eastAsia"/>
                <w:b/>
                <w:sz w:val="21"/>
              </w:rPr>
              <w:t>融资产</w:t>
            </w:r>
          </w:p>
        </w:tc>
        <w:tc>
          <w:tcPr>
            <w:tcW w:w="1560" w:type="dxa"/>
            <w:tcBorders>
              <w:left w:val="single" w:sz="6" w:space="0" w:color="000000"/>
              <w:bottom w:val="single" w:sz="4" w:space="0" w:color="000000"/>
              <w:right w:val="single" w:sz="4" w:space="0" w:color="000000"/>
            </w:tcBorders>
            <w:shd w:val="clear" w:color="auto" w:fill="EDEBE0"/>
          </w:tcPr>
          <w:p>
            <w:pPr>
              <w:pStyle w:val="TableParagraph"/>
              <w:spacing w:before="111"/>
              <w:ind w:left="154"/>
              <w:rPr>
                <w:rFonts w:ascii="Microsoft JhengHei" w:eastAsia="Microsoft JhengHei" w:hint="eastAsia"/>
                <w:b/>
                <w:sz w:val="21"/>
              </w:rPr>
            </w:pPr>
            <w:r>
              <w:rPr>
                <w:rFonts w:ascii="Microsoft JhengHei" w:eastAsia="Microsoft JhengHei" w:hint="eastAsia"/>
                <w:b/>
                <w:sz w:val="21"/>
              </w:rPr>
              <w:t>初始投资成本</w:t>
            </w:r>
          </w:p>
        </w:tc>
        <w:tc>
          <w:tcPr>
            <w:tcW w:w="708" w:type="dxa"/>
            <w:tcBorders>
              <w:left w:val="single" w:sz="4" w:space="0" w:color="000000"/>
              <w:bottom w:val="single" w:sz="4" w:space="0" w:color="000000"/>
              <w:right w:val="single" w:sz="4" w:space="0" w:color="000000"/>
            </w:tcBorders>
            <w:shd w:val="clear" w:color="auto" w:fill="EDEBE0"/>
          </w:tcPr>
          <w:p>
            <w:pPr>
              <w:pStyle w:val="TableParagraph"/>
              <w:spacing w:line="304" w:lineRule="exact"/>
              <w:ind w:left="27"/>
              <w:jc w:val="center"/>
              <w:rPr>
                <w:rFonts w:ascii="Microsoft JhengHei" w:eastAsia="Microsoft JhengHei" w:hint="eastAsia"/>
                <w:b/>
                <w:sz w:val="21"/>
              </w:rPr>
            </w:pPr>
            <w:r>
              <w:rPr>
                <w:rFonts w:ascii="Microsoft JhengHei" w:eastAsia="Microsoft JhengHei" w:hint="eastAsia"/>
                <w:b/>
                <w:sz w:val="21"/>
              </w:rPr>
              <w:t>资金来</w:t>
            </w:r>
          </w:p>
          <w:p>
            <w:pPr>
              <w:pStyle w:val="TableParagraph"/>
              <w:spacing w:line="301" w:lineRule="exact"/>
              <w:ind w:left="27"/>
              <w:jc w:val="center"/>
              <w:rPr>
                <w:rFonts w:ascii="Microsoft JhengHei" w:eastAsia="Microsoft JhengHei" w:hint="eastAsia"/>
                <w:b/>
                <w:sz w:val="21"/>
              </w:rPr>
            </w:pPr>
            <w:r>
              <w:rPr>
                <w:rFonts w:ascii="Microsoft JhengHei" w:eastAsia="Microsoft JhengHei" w:hint="eastAsia"/>
                <w:b/>
                <w:w w:val="100"/>
                <w:sz w:val="21"/>
              </w:rPr>
              <w:t>源</w:t>
            </w:r>
          </w:p>
        </w:tc>
        <w:tc>
          <w:tcPr>
            <w:tcW w:w="1844" w:type="dxa"/>
            <w:tcBorders>
              <w:left w:val="single" w:sz="4" w:space="0" w:color="000000"/>
              <w:bottom w:val="single" w:sz="4" w:space="0" w:color="000000"/>
              <w:right w:val="single" w:sz="4" w:space="0" w:color="000000"/>
            </w:tcBorders>
            <w:shd w:val="clear" w:color="auto" w:fill="EDEBE0"/>
          </w:tcPr>
          <w:p>
            <w:pPr>
              <w:pStyle w:val="TableParagraph"/>
              <w:spacing w:line="304" w:lineRule="exact"/>
              <w:ind w:left="42" w:right="12"/>
              <w:jc w:val="center"/>
              <w:rPr>
                <w:b/>
                <w:sz w:val="21"/>
              </w:rPr>
            </w:pPr>
            <w:r>
              <w:rPr>
                <w:rFonts w:ascii="Microsoft JhengHei" w:eastAsia="Microsoft JhengHei" w:hint="eastAsia"/>
                <w:b/>
                <w:sz w:val="21"/>
              </w:rPr>
              <w:t>报告期内本期购入</w:t>
            </w:r>
            <w:r>
              <w:rPr>
                <w:b/>
                <w:sz w:val="21"/>
              </w:rPr>
              <w:t>/</w:t>
            </w:r>
          </w:p>
          <w:p>
            <w:pPr>
              <w:pStyle w:val="TableParagraph"/>
              <w:spacing w:line="301" w:lineRule="exact"/>
              <w:ind w:left="42" w:right="12"/>
              <w:jc w:val="center"/>
              <w:rPr>
                <w:rFonts w:ascii="Microsoft JhengHei" w:eastAsia="Microsoft JhengHei" w:hint="eastAsia"/>
                <w:b/>
                <w:sz w:val="21"/>
              </w:rPr>
            </w:pPr>
            <w:r>
              <w:rPr>
                <w:rFonts w:ascii="Microsoft JhengHei" w:eastAsia="Microsoft JhengHei" w:hint="eastAsia"/>
                <w:b/>
                <w:sz w:val="21"/>
              </w:rPr>
              <w:t>出售</w:t>
            </w:r>
          </w:p>
        </w:tc>
        <w:tc>
          <w:tcPr>
            <w:tcW w:w="1561" w:type="dxa"/>
            <w:tcBorders>
              <w:left w:val="single" w:sz="4" w:space="0" w:color="000000"/>
              <w:bottom w:val="single" w:sz="4" w:space="0" w:color="000000"/>
              <w:right w:val="single" w:sz="4" w:space="0" w:color="000000"/>
            </w:tcBorders>
            <w:shd w:val="clear" w:color="auto" w:fill="EDEBE0"/>
          </w:tcPr>
          <w:p>
            <w:pPr>
              <w:pStyle w:val="TableParagraph"/>
              <w:spacing w:line="304" w:lineRule="exact"/>
              <w:ind w:left="134"/>
              <w:jc w:val="center"/>
              <w:rPr>
                <w:rFonts w:ascii="Microsoft JhengHei" w:eastAsia="Microsoft JhengHei" w:hint="eastAsia"/>
                <w:b/>
                <w:sz w:val="21"/>
              </w:rPr>
            </w:pPr>
            <w:r>
              <w:rPr>
                <w:rFonts w:ascii="Microsoft JhengHei" w:eastAsia="Microsoft JhengHei" w:hint="eastAsia"/>
                <w:b/>
                <w:sz w:val="21"/>
              </w:rPr>
              <w:t>报告期内投资</w:t>
            </w:r>
          </w:p>
          <w:p>
            <w:pPr>
              <w:pStyle w:val="TableParagraph"/>
              <w:spacing w:line="301" w:lineRule="exact"/>
              <w:ind w:left="23"/>
              <w:jc w:val="center"/>
              <w:rPr>
                <w:rFonts w:ascii="Microsoft JhengHei" w:eastAsia="Microsoft JhengHei" w:hint="eastAsia"/>
                <w:b/>
                <w:sz w:val="21"/>
              </w:rPr>
            </w:pPr>
            <w:r>
              <w:rPr>
                <w:rFonts w:ascii="Microsoft JhengHei" w:eastAsia="Microsoft JhengHei" w:hint="eastAsia"/>
                <w:b/>
                <w:sz w:val="21"/>
              </w:rPr>
              <w:t>收益</w:t>
            </w:r>
          </w:p>
        </w:tc>
        <w:tc>
          <w:tcPr>
            <w:tcW w:w="1558" w:type="dxa"/>
            <w:tcBorders>
              <w:left w:val="single" w:sz="4" w:space="0" w:color="000000"/>
              <w:bottom w:val="single" w:sz="4" w:space="0" w:color="000000"/>
            </w:tcBorders>
            <w:shd w:val="clear" w:color="auto" w:fill="EDEBE0"/>
          </w:tcPr>
          <w:p>
            <w:pPr>
              <w:pStyle w:val="TableParagraph"/>
              <w:spacing w:line="304" w:lineRule="exact"/>
              <w:ind w:left="27" w:right="1"/>
              <w:jc w:val="center"/>
              <w:rPr>
                <w:rFonts w:ascii="Microsoft JhengHei" w:eastAsia="Microsoft JhengHei" w:hint="eastAsia"/>
                <w:b/>
                <w:sz w:val="21"/>
              </w:rPr>
            </w:pPr>
            <w:r>
              <w:rPr>
                <w:rFonts w:ascii="Microsoft JhengHei" w:eastAsia="Microsoft JhengHei" w:hint="eastAsia"/>
                <w:b/>
                <w:sz w:val="21"/>
              </w:rPr>
              <w:t>报告期内公允价</w:t>
            </w:r>
          </w:p>
          <w:p>
            <w:pPr>
              <w:pStyle w:val="TableParagraph"/>
              <w:spacing w:line="301" w:lineRule="exact"/>
              <w:ind w:left="22" w:right="1"/>
              <w:jc w:val="center"/>
              <w:rPr>
                <w:rFonts w:ascii="Microsoft JhengHei" w:eastAsia="Microsoft JhengHei" w:hint="eastAsia"/>
                <w:b/>
                <w:sz w:val="21"/>
              </w:rPr>
            </w:pPr>
            <w:r>
              <w:rPr>
                <w:rFonts w:ascii="Microsoft JhengHei" w:eastAsia="Microsoft JhengHei" w:hint="eastAsia"/>
                <w:b/>
                <w:sz w:val="21"/>
              </w:rPr>
              <w:t>值变动</w:t>
            </w:r>
          </w:p>
        </w:tc>
      </w:tr>
      <w:tr>
        <w:trPr>
          <w:trHeight w:val="311" w:hRule="atLeast"/>
        </w:trPr>
        <w:tc>
          <w:tcPr>
            <w:tcW w:w="1999" w:type="dxa"/>
            <w:tcBorders>
              <w:top w:val="single" w:sz="4" w:space="0" w:color="000000"/>
              <w:bottom w:val="single" w:sz="4" w:space="0" w:color="000000"/>
              <w:right w:val="single" w:sz="6" w:space="0" w:color="000000"/>
            </w:tcBorders>
          </w:tcPr>
          <w:p>
            <w:pPr>
              <w:pStyle w:val="TableParagraph"/>
              <w:spacing w:before="22"/>
              <w:ind w:left="13"/>
              <w:rPr>
                <w:sz w:val="21"/>
              </w:rPr>
            </w:pPr>
            <w:r>
              <w:rPr>
                <w:rFonts w:ascii="宋体" w:eastAsia="宋体" w:hint="eastAsia"/>
                <w:sz w:val="21"/>
              </w:rPr>
              <w:t>交通银行</w:t>
            </w:r>
            <w:r>
              <w:rPr>
                <w:sz w:val="21"/>
              </w:rPr>
              <w:t>(601328)</w:t>
            </w:r>
          </w:p>
        </w:tc>
        <w:tc>
          <w:tcPr>
            <w:tcW w:w="1560" w:type="dxa"/>
            <w:tcBorders>
              <w:top w:val="single" w:sz="4" w:space="0" w:color="000000"/>
              <w:left w:val="single" w:sz="6" w:space="0" w:color="000000"/>
              <w:bottom w:val="single" w:sz="4" w:space="0" w:color="000000"/>
              <w:right w:val="single" w:sz="4" w:space="0" w:color="000000"/>
            </w:tcBorders>
          </w:tcPr>
          <w:p>
            <w:pPr>
              <w:pStyle w:val="TableParagraph"/>
              <w:spacing w:before="38"/>
              <w:ind w:right="-15"/>
              <w:jc w:val="right"/>
              <w:rPr>
                <w:sz w:val="20"/>
              </w:rPr>
            </w:pPr>
            <w:r>
              <w:rPr>
                <w:w w:val="95"/>
                <w:sz w:val="20"/>
              </w:rPr>
              <w:t>1,803,769.50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25"/>
              <w:ind w:right="83"/>
              <w:jc w:val="right"/>
              <w:rPr>
                <w:rFonts w:ascii="宋体" w:eastAsia="宋体" w:hint="eastAsia"/>
                <w:sz w:val="20"/>
              </w:rPr>
            </w:pPr>
            <w:r>
              <w:rPr>
                <w:rFonts w:ascii="宋体" w:eastAsia="宋体" w:hint="eastAsia"/>
                <w:w w:val="95"/>
                <w:sz w:val="20"/>
              </w:rPr>
              <w:t>自有</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before="25"/>
              <w:ind w:left="14"/>
              <w:rPr>
                <w:rFonts w:ascii="宋体"/>
                <w:sz w:val="20"/>
              </w:rPr>
            </w:pPr>
            <w:r>
              <w:rPr>
                <w:rFonts w:ascii="宋体"/>
                <w:w w:val="99"/>
                <w:sz w:val="20"/>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38"/>
              <w:ind w:right="-15"/>
              <w:jc w:val="right"/>
              <w:rPr>
                <w:sz w:val="20"/>
              </w:rPr>
            </w:pPr>
            <w:r>
              <w:rPr>
                <w:w w:val="95"/>
                <w:sz w:val="20"/>
              </w:rPr>
              <w:t>429,109.38</w:t>
            </w:r>
          </w:p>
        </w:tc>
        <w:tc>
          <w:tcPr>
            <w:tcW w:w="1558" w:type="dxa"/>
            <w:tcBorders>
              <w:top w:val="single" w:sz="4" w:space="0" w:color="000000"/>
              <w:left w:val="single" w:sz="4" w:space="0" w:color="000000"/>
              <w:bottom w:val="single" w:sz="4" w:space="0" w:color="000000"/>
            </w:tcBorders>
          </w:tcPr>
          <w:p>
            <w:pPr>
              <w:pStyle w:val="TableParagraph"/>
              <w:spacing w:before="38"/>
              <w:ind w:right="-15"/>
              <w:jc w:val="right"/>
              <w:rPr>
                <w:sz w:val="20"/>
              </w:rPr>
            </w:pPr>
            <w:r>
              <w:rPr>
                <w:w w:val="95"/>
                <w:sz w:val="20"/>
              </w:rPr>
              <w:t>-1,566,589.80</w:t>
            </w:r>
          </w:p>
        </w:tc>
      </w:tr>
      <w:tr>
        <w:trPr>
          <w:trHeight w:val="311" w:hRule="atLeast"/>
        </w:trPr>
        <w:tc>
          <w:tcPr>
            <w:tcW w:w="1999" w:type="dxa"/>
            <w:tcBorders>
              <w:top w:val="single" w:sz="4" w:space="0" w:color="000000"/>
              <w:bottom w:val="single" w:sz="4" w:space="0" w:color="000000"/>
              <w:right w:val="single" w:sz="6" w:space="0" w:color="000000"/>
            </w:tcBorders>
          </w:tcPr>
          <w:p>
            <w:pPr>
              <w:pStyle w:val="TableParagraph"/>
              <w:spacing w:before="22"/>
              <w:ind w:left="13"/>
              <w:rPr>
                <w:sz w:val="21"/>
              </w:rPr>
            </w:pPr>
            <w:r>
              <w:rPr>
                <w:rFonts w:ascii="宋体" w:eastAsia="宋体" w:hint="eastAsia"/>
                <w:sz w:val="21"/>
              </w:rPr>
              <w:t>百联股份</w:t>
            </w:r>
            <w:r>
              <w:rPr>
                <w:sz w:val="21"/>
              </w:rPr>
              <w:t>(600827)</w:t>
            </w:r>
          </w:p>
        </w:tc>
        <w:tc>
          <w:tcPr>
            <w:tcW w:w="1560" w:type="dxa"/>
            <w:tcBorders>
              <w:top w:val="single" w:sz="4" w:space="0" w:color="000000"/>
              <w:left w:val="single" w:sz="6" w:space="0" w:color="000000"/>
              <w:bottom w:val="single" w:sz="4" w:space="0" w:color="000000"/>
              <w:right w:val="single" w:sz="4" w:space="0" w:color="000000"/>
            </w:tcBorders>
          </w:tcPr>
          <w:p>
            <w:pPr>
              <w:pStyle w:val="TableParagraph"/>
              <w:spacing w:before="38"/>
              <w:ind w:right="-15"/>
              <w:jc w:val="right"/>
              <w:rPr>
                <w:sz w:val="20"/>
              </w:rPr>
            </w:pPr>
            <w:r>
              <w:rPr>
                <w:w w:val="95"/>
                <w:sz w:val="20"/>
              </w:rPr>
              <w:t>154,770.00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25"/>
              <w:ind w:right="83"/>
              <w:jc w:val="right"/>
              <w:rPr>
                <w:rFonts w:ascii="宋体" w:eastAsia="宋体" w:hint="eastAsia"/>
                <w:sz w:val="20"/>
              </w:rPr>
            </w:pPr>
            <w:r>
              <w:rPr>
                <w:rFonts w:ascii="宋体" w:eastAsia="宋体" w:hint="eastAsia"/>
                <w:w w:val="95"/>
                <w:sz w:val="20"/>
              </w:rPr>
              <w:t>自有</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before="25"/>
              <w:ind w:left="14"/>
              <w:rPr>
                <w:rFonts w:ascii="宋体"/>
                <w:sz w:val="20"/>
              </w:rPr>
            </w:pPr>
            <w:r>
              <w:rPr>
                <w:rFonts w:ascii="宋体"/>
                <w:w w:val="99"/>
                <w:sz w:val="20"/>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25"/>
              <w:ind w:left="14"/>
              <w:rPr>
                <w:rFonts w:ascii="宋体"/>
                <w:sz w:val="20"/>
              </w:rPr>
            </w:pPr>
            <w:r>
              <w:rPr>
                <w:rFonts w:ascii="宋体"/>
                <w:w w:val="99"/>
                <w:sz w:val="20"/>
              </w:rPr>
              <w:t> </w:t>
            </w:r>
          </w:p>
        </w:tc>
        <w:tc>
          <w:tcPr>
            <w:tcW w:w="1558" w:type="dxa"/>
            <w:tcBorders>
              <w:top w:val="single" w:sz="4" w:space="0" w:color="000000"/>
              <w:left w:val="single" w:sz="4" w:space="0" w:color="000000"/>
              <w:bottom w:val="single" w:sz="4" w:space="0" w:color="000000"/>
            </w:tcBorders>
          </w:tcPr>
          <w:p>
            <w:pPr>
              <w:pStyle w:val="TableParagraph"/>
              <w:spacing w:before="38"/>
              <w:ind w:right="-15"/>
              <w:jc w:val="right"/>
              <w:rPr>
                <w:sz w:val="20"/>
              </w:rPr>
            </w:pPr>
            <w:r>
              <w:rPr>
                <w:w w:val="95"/>
                <w:sz w:val="20"/>
              </w:rPr>
              <w:t>221,360.56</w:t>
            </w:r>
          </w:p>
        </w:tc>
      </w:tr>
      <w:tr>
        <w:trPr>
          <w:trHeight w:val="311" w:hRule="atLeast"/>
        </w:trPr>
        <w:tc>
          <w:tcPr>
            <w:tcW w:w="1999" w:type="dxa"/>
            <w:tcBorders>
              <w:top w:val="single" w:sz="4" w:space="0" w:color="000000"/>
              <w:bottom w:val="single" w:sz="4" w:space="0" w:color="000000"/>
              <w:right w:val="single" w:sz="6" w:space="0" w:color="000000"/>
            </w:tcBorders>
          </w:tcPr>
          <w:p>
            <w:pPr>
              <w:pStyle w:val="TableParagraph"/>
              <w:spacing w:before="22"/>
              <w:ind w:left="13"/>
              <w:rPr>
                <w:sz w:val="21"/>
              </w:rPr>
            </w:pPr>
            <w:r>
              <w:rPr>
                <w:rFonts w:ascii="宋体" w:eastAsia="宋体" w:hint="eastAsia"/>
                <w:sz w:val="21"/>
              </w:rPr>
              <w:t>东软载波</w:t>
            </w:r>
            <w:r>
              <w:rPr>
                <w:sz w:val="21"/>
              </w:rPr>
              <w:t>(300183)</w:t>
            </w:r>
          </w:p>
        </w:tc>
        <w:tc>
          <w:tcPr>
            <w:tcW w:w="1560" w:type="dxa"/>
            <w:tcBorders>
              <w:top w:val="single" w:sz="4" w:space="0" w:color="000000"/>
              <w:left w:val="single" w:sz="6" w:space="0" w:color="000000"/>
              <w:bottom w:val="single" w:sz="4" w:space="0" w:color="000000"/>
              <w:right w:val="single" w:sz="4" w:space="0" w:color="000000"/>
            </w:tcBorders>
          </w:tcPr>
          <w:p>
            <w:pPr>
              <w:pStyle w:val="TableParagraph"/>
              <w:spacing w:before="38"/>
              <w:ind w:right="-15"/>
              <w:jc w:val="right"/>
              <w:rPr>
                <w:sz w:val="20"/>
              </w:rPr>
            </w:pPr>
            <w:r>
              <w:rPr>
                <w:w w:val="95"/>
                <w:sz w:val="20"/>
              </w:rPr>
              <w:t>18,713,562.84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25"/>
              <w:ind w:right="83"/>
              <w:jc w:val="right"/>
              <w:rPr>
                <w:rFonts w:ascii="宋体" w:eastAsia="宋体" w:hint="eastAsia"/>
                <w:sz w:val="20"/>
              </w:rPr>
            </w:pPr>
            <w:r>
              <w:rPr>
                <w:rFonts w:ascii="宋体" w:eastAsia="宋体" w:hint="eastAsia"/>
                <w:w w:val="95"/>
                <w:sz w:val="20"/>
              </w:rPr>
              <w:t>自有</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before="25"/>
              <w:ind w:left="14"/>
              <w:rPr>
                <w:rFonts w:ascii="宋体"/>
                <w:sz w:val="20"/>
              </w:rPr>
            </w:pPr>
            <w:r>
              <w:rPr>
                <w:rFonts w:ascii="宋体"/>
                <w:w w:val="99"/>
                <w:sz w:val="20"/>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25"/>
              <w:ind w:left="14"/>
              <w:rPr>
                <w:rFonts w:ascii="宋体"/>
                <w:sz w:val="20"/>
              </w:rPr>
            </w:pPr>
            <w:r>
              <w:rPr>
                <w:rFonts w:ascii="宋体"/>
                <w:w w:val="99"/>
                <w:sz w:val="20"/>
              </w:rPr>
              <w:t> </w:t>
            </w:r>
          </w:p>
        </w:tc>
        <w:tc>
          <w:tcPr>
            <w:tcW w:w="1558" w:type="dxa"/>
            <w:tcBorders>
              <w:top w:val="single" w:sz="4" w:space="0" w:color="000000"/>
              <w:left w:val="single" w:sz="4" w:space="0" w:color="000000"/>
              <w:bottom w:val="single" w:sz="4" w:space="0" w:color="000000"/>
            </w:tcBorders>
          </w:tcPr>
          <w:p>
            <w:pPr>
              <w:pStyle w:val="TableParagraph"/>
              <w:spacing w:before="38"/>
              <w:ind w:right="-15"/>
              <w:jc w:val="right"/>
              <w:rPr>
                <w:sz w:val="20"/>
              </w:rPr>
            </w:pPr>
            <w:r>
              <w:rPr>
                <w:w w:val="95"/>
                <w:sz w:val="20"/>
              </w:rPr>
              <w:t>1,680,624.90</w:t>
            </w:r>
          </w:p>
        </w:tc>
      </w:tr>
      <w:tr>
        <w:trPr>
          <w:trHeight w:val="313" w:hRule="atLeast"/>
        </w:trPr>
        <w:tc>
          <w:tcPr>
            <w:tcW w:w="1999" w:type="dxa"/>
            <w:tcBorders>
              <w:top w:val="single" w:sz="4" w:space="0" w:color="000000"/>
              <w:bottom w:val="single" w:sz="4" w:space="0" w:color="000000"/>
              <w:right w:val="single" w:sz="6" w:space="0" w:color="000000"/>
            </w:tcBorders>
          </w:tcPr>
          <w:p>
            <w:pPr>
              <w:pStyle w:val="TableParagraph"/>
              <w:spacing w:before="25"/>
              <w:ind w:left="13"/>
              <w:rPr>
                <w:rFonts w:ascii="宋体" w:eastAsia="宋体" w:hint="eastAsia"/>
                <w:sz w:val="21"/>
              </w:rPr>
            </w:pPr>
            <w:r>
              <w:rPr>
                <w:rFonts w:ascii="宋体" w:eastAsia="宋体" w:hint="eastAsia"/>
                <w:sz w:val="21"/>
              </w:rPr>
              <w:t>理财产品</w:t>
            </w:r>
          </w:p>
        </w:tc>
        <w:tc>
          <w:tcPr>
            <w:tcW w:w="1560" w:type="dxa"/>
            <w:tcBorders>
              <w:top w:val="single" w:sz="4" w:space="0" w:color="000000"/>
              <w:left w:val="single" w:sz="6" w:space="0" w:color="000000"/>
              <w:bottom w:val="single" w:sz="4" w:space="0" w:color="000000"/>
              <w:right w:val="single" w:sz="4" w:space="0" w:color="000000"/>
            </w:tcBorders>
          </w:tcPr>
          <w:p>
            <w:pPr>
              <w:pStyle w:val="TableParagraph"/>
              <w:spacing w:before="41"/>
              <w:ind w:right="-15"/>
              <w:jc w:val="right"/>
              <w:rPr>
                <w:sz w:val="20"/>
              </w:rPr>
            </w:pPr>
            <w:r>
              <w:rPr>
                <w:sz w:val="20"/>
              </w:rPr>
              <w:t>1,846,012,857.28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27"/>
              <w:ind w:right="83"/>
              <w:jc w:val="right"/>
              <w:rPr>
                <w:rFonts w:ascii="宋体" w:eastAsia="宋体" w:hint="eastAsia"/>
                <w:sz w:val="20"/>
              </w:rPr>
            </w:pPr>
            <w:r>
              <w:rPr>
                <w:rFonts w:ascii="宋体" w:eastAsia="宋体" w:hint="eastAsia"/>
                <w:w w:val="95"/>
                <w:sz w:val="20"/>
              </w:rPr>
              <w:t>自有</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before="41"/>
              <w:ind w:right="-15"/>
              <w:jc w:val="right"/>
              <w:rPr>
                <w:sz w:val="20"/>
              </w:rPr>
            </w:pPr>
            <w:r>
              <w:rPr>
                <w:sz w:val="20"/>
              </w:rPr>
              <w:t>1,356,569,266.55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41"/>
              <w:ind w:right="-15"/>
              <w:jc w:val="right"/>
              <w:rPr>
                <w:sz w:val="20"/>
              </w:rPr>
            </w:pPr>
            <w:r>
              <w:rPr>
                <w:w w:val="95"/>
                <w:sz w:val="20"/>
              </w:rPr>
              <w:t>67,813,452.04</w:t>
            </w:r>
          </w:p>
        </w:tc>
        <w:tc>
          <w:tcPr>
            <w:tcW w:w="1558" w:type="dxa"/>
            <w:tcBorders>
              <w:top w:val="single" w:sz="4" w:space="0" w:color="000000"/>
              <w:left w:val="single" w:sz="4" w:space="0" w:color="000000"/>
              <w:bottom w:val="single" w:sz="4" w:space="0" w:color="000000"/>
            </w:tcBorders>
          </w:tcPr>
          <w:p>
            <w:pPr>
              <w:pStyle w:val="TableParagraph"/>
              <w:spacing w:before="41"/>
              <w:ind w:right="-15"/>
              <w:jc w:val="right"/>
              <w:rPr>
                <w:sz w:val="20"/>
              </w:rPr>
            </w:pPr>
            <w:r>
              <w:rPr>
                <w:w w:val="95"/>
                <w:sz w:val="20"/>
              </w:rPr>
              <w:t>4,019,028.18</w:t>
            </w:r>
          </w:p>
        </w:tc>
      </w:tr>
      <w:tr>
        <w:trPr>
          <w:trHeight w:val="311" w:hRule="atLeast"/>
        </w:trPr>
        <w:tc>
          <w:tcPr>
            <w:tcW w:w="1999" w:type="dxa"/>
            <w:tcBorders>
              <w:top w:val="single" w:sz="4" w:space="0" w:color="000000"/>
              <w:bottom w:val="single" w:sz="4" w:space="0" w:color="000000"/>
              <w:right w:val="single" w:sz="6" w:space="0" w:color="000000"/>
            </w:tcBorders>
          </w:tcPr>
          <w:p>
            <w:pPr>
              <w:pStyle w:val="TableParagraph"/>
              <w:spacing w:before="22"/>
              <w:ind w:left="13"/>
              <w:rPr>
                <w:rFonts w:ascii="宋体" w:eastAsia="宋体" w:hint="eastAsia"/>
                <w:sz w:val="21"/>
              </w:rPr>
            </w:pPr>
            <w:r>
              <w:rPr>
                <w:rFonts w:ascii="宋体" w:eastAsia="宋体" w:hint="eastAsia"/>
                <w:sz w:val="21"/>
              </w:rPr>
              <w:t>投资基金</w:t>
            </w:r>
          </w:p>
        </w:tc>
        <w:tc>
          <w:tcPr>
            <w:tcW w:w="1560" w:type="dxa"/>
            <w:tcBorders>
              <w:top w:val="single" w:sz="4" w:space="0" w:color="000000"/>
              <w:left w:val="single" w:sz="6" w:space="0" w:color="000000"/>
              <w:bottom w:val="single" w:sz="4" w:space="0" w:color="000000"/>
              <w:right w:val="single" w:sz="4" w:space="0" w:color="000000"/>
            </w:tcBorders>
          </w:tcPr>
          <w:p>
            <w:pPr>
              <w:pStyle w:val="TableParagraph"/>
              <w:spacing w:before="38"/>
              <w:ind w:right="-15"/>
              <w:jc w:val="right"/>
              <w:rPr>
                <w:sz w:val="20"/>
              </w:rPr>
            </w:pPr>
            <w:r>
              <w:rPr>
                <w:w w:val="95"/>
                <w:sz w:val="20"/>
              </w:rPr>
              <w:t>105,408,639.01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25"/>
              <w:ind w:right="83"/>
              <w:jc w:val="right"/>
              <w:rPr>
                <w:rFonts w:ascii="宋体" w:eastAsia="宋体" w:hint="eastAsia"/>
                <w:sz w:val="20"/>
              </w:rPr>
            </w:pPr>
            <w:r>
              <w:rPr>
                <w:rFonts w:ascii="宋体" w:eastAsia="宋体" w:hint="eastAsia"/>
                <w:w w:val="95"/>
                <w:sz w:val="20"/>
              </w:rPr>
              <w:t>自有</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before="38"/>
              <w:ind w:right="-15"/>
              <w:jc w:val="right"/>
              <w:rPr>
                <w:sz w:val="20"/>
              </w:rPr>
            </w:pPr>
            <w:r>
              <w:rPr>
                <w:w w:val="95"/>
                <w:sz w:val="20"/>
              </w:rPr>
              <w:t>105,408,639.01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58" w:type="dxa"/>
            <w:tcBorders>
              <w:top w:val="single" w:sz="4" w:space="0" w:color="000000"/>
              <w:left w:val="single" w:sz="4" w:space="0" w:color="000000"/>
              <w:bottom w:val="single" w:sz="4" w:space="0" w:color="000000"/>
            </w:tcBorders>
          </w:tcPr>
          <w:p>
            <w:pPr>
              <w:pStyle w:val="TableParagraph"/>
              <w:spacing w:before="38"/>
              <w:ind w:right="-15"/>
              <w:jc w:val="right"/>
              <w:rPr>
                <w:sz w:val="20"/>
              </w:rPr>
            </w:pPr>
            <w:r>
              <w:rPr>
                <w:w w:val="95"/>
                <w:sz w:val="20"/>
              </w:rPr>
              <w:t>8,351,206.56</w:t>
            </w:r>
          </w:p>
        </w:tc>
      </w:tr>
      <w:tr>
        <w:trPr>
          <w:trHeight w:val="311" w:hRule="atLeast"/>
        </w:trPr>
        <w:tc>
          <w:tcPr>
            <w:tcW w:w="1999" w:type="dxa"/>
            <w:tcBorders>
              <w:top w:val="single" w:sz="4" w:space="0" w:color="000000"/>
              <w:bottom w:val="single" w:sz="4" w:space="0" w:color="000000"/>
              <w:right w:val="single" w:sz="6" w:space="0" w:color="000000"/>
            </w:tcBorders>
          </w:tcPr>
          <w:p>
            <w:pPr>
              <w:pStyle w:val="TableParagraph"/>
              <w:spacing w:before="22"/>
              <w:ind w:left="13"/>
              <w:rPr>
                <w:rFonts w:ascii="宋体" w:eastAsia="宋体" w:hint="eastAsia"/>
                <w:sz w:val="21"/>
              </w:rPr>
            </w:pPr>
            <w:r>
              <w:rPr>
                <w:rFonts w:ascii="宋体" w:eastAsia="宋体" w:hint="eastAsia"/>
                <w:sz w:val="21"/>
              </w:rPr>
              <w:t>远期商品合约</w:t>
            </w:r>
          </w:p>
        </w:tc>
        <w:tc>
          <w:tcPr>
            <w:tcW w:w="1560" w:type="dxa"/>
            <w:tcBorders>
              <w:top w:val="single" w:sz="4" w:space="0" w:color="000000"/>
              <w:left w:val="single" w:sz="6" w:space="0" w:color="000000"/>
              <w:bottom w:val="single" w:sz="4" w:space="0" w:color="000000"/>
              <w:right w:val="single" w:sz="4" w:space="0" w:color="000000"/>
            </w:tcBorders>
          </w:tcPr>
          <w:p>
            <w:pPr>
              <w:pStyle w:val="TableParagraph"/>
              <w:rPr>
                <w:sz w:val="20"/>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25"/>
              <w:ind w:right="83"/>
              <w:jc w:val="right"/>
              <w:rPr>
                <w:rFonts w:ascii="宋体" w:eastAsia="宋体" w:hint="eastAsia"/>
                <w:sz w:val="20"/>
              </w:rPr>
            </w:pPr>
            <w:r>
              <w:rPr>
                <w:rFonts w:ascii="宋体" w:eastAsia="宋体" w:hint="eastAsia"/>
                <w:w w:val="95"/>
                <w:sz w:val="20"/>
              </w:rPr>
              <w:t>自有</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58" w:type="dxa"/>
            <w:tcBorders>
              <w:top w:val="single" w:sz="4" w:space="0" w:color="000000"/>
              <w:left w:val="single" w:sz="4" w:space="0" w:color="000000"/>
              <w:bottom w:val="single" w:sz="4" w:space="0" w:color="000000"/>
            </w:tcBorders>
          </w:tcPr>
          <w:p>
            <w:pPr>
              <w:pStyle w:val="TableParagraph"/>
              <w:spacing w:before="38"/>
              <w:ind w:right="-15"/>
              <w:jc w:val="right"/>
              <w:rPr>
                <w:sz w:val="20"/>
              </w:rPr>
            </w:pPr>
            <w:r>
              <w:rPr>
                <w:w w:val="95"/>
                <w:sz w:val="20"/>
              </w:rPr>
              <w:t>23,728,474.73</w:t>
            </w:r>
          </w:p>
        </w:tc>
      </w:tr>
      <w:tr>
        <w:trPr>
          <w:trHeight w:val="312" w:hRule="atLeast"/>
        </w:trPr>
        <w:tc>
          <w:tcPr>
            <w:tcW w:w="1999" w:type="dxa"/>
            <w:tcBorders>
              <w:top w:val="single" w:sz="4" w:space="0" w:color="000000"/>
              <w:bottom w:val="single" w:sz="4" w:space="0" w:color="000000"/>
              <w:right w:val="single" w:sz="6" w:space="0" w:color="000000"/>
            </w:tcBorders>
          </w:tcPr>
          <w:p>
            <w:pPr>
              <w:pStyle w:val="TableParagraph"/>
              <w:spacing w:before="23"/>
              <w:ind w:left="13"/>
              <w:rPr>
                <w:rFonts w:ascii="宋体" w:eastAsia="宋体" w:hint="eastAsia"/>
                <w:sz w:val="21"/>
              </w:rPr>
            </w:pPr>
            <w:r>
              <w:rPr>
                <w:rFonts w:ascii="宋体" w:eastAsia="宋体" w:hint="eastAsia"/>
                <w:sz w:val="21"/>
              </w:rPr>
              <w:t>远期外汇合约</w:t>
            </w:r>
          </w:p>
        </w:tc>
        <w:tc>
          <w:tcPr>
            <w:tcW w:w="1560" w:type="dxa"/>
            <w:tcBorders>
              <w:top w:val="single" w:sz="4" w:space="0" w:color="000000"/>
              <w:left w:val="single" w:sz="6" w:space="0" w:color="000000"/>
              <w:bottom w:val="single" w:sz="4" w:space="0" w:color="000000"/>
              <w:right w:val="single" w:sz="4" w:space="0" w:color="000000"/>
            </w:tcBorders>
          </w:tcPr>
          <w:p>
            <w:pPr>
              <w:pStyle w:val="TableParagraph"/>
              <w:rPr>
                <w:sz w:val="20"/>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26"/>
              <w:ind w:right="83"/>
              <w:jc w:val="right"/>
              <w:rPr>
                <w:rFonts w:ascii="宋体" w:eastAsia="宋体" w:hint="eastAsia"/>
                <w:sz w:val="20"/>
              </w:rPr>
            </w:pPr>
            <w:r>
              <w:rPr>
                <w:rFonts w:ascii="宋体" w:eastAsia="宋体" w:hint="eastAsia"/>
                <w:w w:val="95"/>
                <w:sz w:val="20"/>
              </w:rPr>
              <w:t>自有</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39"/>
              <w:ind w:right="-15"/>
              <w:jc w:val="right"/>
              <w:rPr>
                <w:sz w:val="20"/>
              </w:rPr>
            </w:pPr>
            <w:r>
              <w:rPr>
                <w:w w:val="95"/>
                <w:sz w:val="20"/>
              </w:rPr>
              <w:t>72,218,956.78</w:t>
            </w:r>
          </w:p>
        </w:tc>
        <w:tc>
          <w:tcPr>
            <w:tcW w:w="1558" w:type="dxa"/>
            <w:tcBorders>
              <w:top w:val="single" w:sz="4" w:space="0" w:color="000000"/>
              <w:left w:val="single" w:sz="4" w:space="0" w:color="000000"/>
              <w:bottom w:val="single" w:sz="4" w:space="0" w:color="000000"/>
            </w:tcBorders>
          </w:tcPr>
          <w:p>
            <w:pPr>
              <w:pStyle w:val="TableParagraph"/>
              <w:spacing w:before="39"/>
              <w:ind w:right="-15"/>
              <w:jc w:val="right"/>
              <w:rPr>
                <w:sz w:val="20"/>
              </w:rPr>
            </w:pPr>
            <w:r>
              <w:rPr>
                <w:w w:val="95"/>
                <w:sz w:val="20"/>
              </w:rPr>
              <w:t>55,464,778.78</w:t>
            </w:r>
          </w:p>
        </w:tc>
      </w:tr>
      <w:tr>
        <w:trPr>
          <w:trHeight w:val="311" w:hRule="atLeast"/>
        </w:trPr>
        <w:tc>
          <w:tcPr>
            <w:tcW w:w="1999" w:type="dxa"/>
            <w:tcBorders>
              <w:top w:val="single" w:sz="4" w:space="0" w:color="000000"/>
              <w:bottom w:val="single" w:sz="4" w:space="0" w:color="000000"/>
              <w:right w:val="single" w:sz="6" w:space="0" w:color="000000"/>
            </w:tcBorders>
          </w:tcPr>
          <w:p>
            <w:pPr>
              <w:pStyle w:val="TableParagraph"/>
              <w:spacing w:before="22"/>
              <w:ind w:left="13"/>
              <w:rPr>
                <w:rFonts w:ascii="宋体" w:eastAsia="宋体" w:hint="eastAsia"/>
                <w:sz w:val="21"/>
              </w:rPr>
            </w:pPr>
            <w:r>
              <w:rPr>
                <w:rFonts w:ascii="宋体" w:eastAsia="宋体" w:hint="eastAsia"/>
                <w:sz w:val="21"/>
              </w:rPr>
              <w:t>其他衍生金融工具</w:t>
            </w:r>
          </w:p>
        </w:tc>
        <w:tc>
          <w:tcPr>
            <w:tcW w:w="1560" w:type="dxa"/>
            <w:tcBorders>
              <w:top w:val="single" w:sz="4" w:space="0" w:color="000000"/>
              <w:left w:val="single" w:sz="6" w:space="0" w:color="000000"/>
              <w:bottom w:val="single" w:sz="4" w:space="0" w:color="000000"/>
              <w:right w:val="single" w:sz="4" w:space="0" w:color="000000"/>
            </w:tcBorders>
          </w:tcPr>
          <w:p>
            <w:pPr>
              <w:pStyle w:val="TableParagraph"/>
              <w:spacing w:before="38"/>
              <w:ind w:right="-15"/>
              <w:jc w:val="right"/>
              <w:rPr>
                <w:sz w:val="20"/>
              </w:rPr>
            </w:pPr>
            <w:r>
              <w:rPr>
                <w:w w:val="95"/>
                <w:sz w:val="20"/>
              </w:rPr>
              <w:t>29,450,000.00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25"/>
              <w:ind w:right="83"/>
              <w:jc w:val="right"/>
              <w:rPr>
                <w:rFonts w:ascii="宋体" w:eastAsia="宋体" w:hint="eastAsia"/>
                <w:sz w:val="20"/>
              </w:rPr>
            </w:pPr>
            <w:r>
              <w:rPr>
                <w:rFonts w:ascii="宋体" w:eastAsia="宋体" w:hint="eastAsia"/>
                <w:w w:val="95"/>
                <w:sz w:val="20"/>
              </w:rPr>
              <w:t>自有</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before="38"/>
              <w:ind w:right="-15"/>
              <w:jc w:val="right"/>
              <w:rPr>
                <w:sz w:val="20"/>
              </w:rPr>
            </w:pPr>
            <w:r>
              <w:rPr>
                <w:w w:val="95"/>
                <w:sz w:val="20"/>
              </w:rPr>
              <w:t>-36,094,747.43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58" w:type="dxa"/>
            <w:tcBorders>
              <w:top w:val="single" w:sz="4" w:space="0" w:color="000000"/>
              <w:left w:val="single" w:sz="4" w:space="0" w:color="000000"/>
              <w:bottom w:val="single" w:sz="4" w:space="0" w:color="000000"/>
            </w:tcBorders>
          </w:tcPr>
          <w:p>
            <w:pPr>
              <w:pStyle w:val="TableParagraph"/>
              <w:spacing w:before="38"/>
              <w:ind w:right="-15"/>
              <w:jc w:val="right"/>
              <w:rPr>
                <w:sz w:val="20"/>
              </w:rPr>
            </w:pPr>
            <w:r>
              <w:rPr>
                <w:w w:val="95"/>
                <w:sz w:val="20"/>
              </w:rPr>
              <w:t>5,869,913.46</w:t>
            </w:r>
          </w:p>
        </w:tc>
      </w:tr>
      <w:tr>
        <w:trPr>
          <w:trHeight w:val="311" w:hRule="atLeast"/>
        </w:trPr>
        <w:tc>
          <w:tcPr>
            <w:tcW w:w="1999" w:type="dxa"/>
            <w:tcBorders>
              <w:top w:val="single" w:sz="4" w:space="0" w:color="000000"/>
              <w:bottom w:val="single" w:sz="4" w:space="0" w:color="000000"/>
              <w:right w:val="single" w:sz="6" w:space="0" w:color="000000"/>
            </w:tcBorders>
          </w:tcPr>
          <w:p>
            <w:pPr>
              <w:pStyle w:val="TableParagraph"/>
              <w:spacing w:before="22"/>
              <w:ind w:left="13"/>
              <w:rPr>
                <w:rFonts w:ascii="宋体" w:eastAsia="宋体" w:hint="eastAsia"/>
                <w:sz w:val="21"/>
              </w:rPr>
            </w:pPr>
            <w:r>
              <w:rPr>
                <w:rFonts w:ascii="宋体" w:eastAsia="宋体" w:hint="eastAsia"/>
                <w:sz w:val="21"/>
              </w:rPr>
              <w:t>其他</w:t>
            </w:r>
          </w:p>
        </w:tc>
        <w:tc>
          <w:tcPr>
            <w:tcW w:w="1560" w:type="dxa"/>
            <w:tcBorders>
              <w:top w:val="single" w:sz="4" w:space="0" w:color="000000"/>
              <w:left w:val="single" w:sz="6" w:space="0" w:color="000000"/>
              <w:bottom w:val="single" w:sz="4" w:space="0" w:color="000000"/>
              <w:right w:val="single" w:sz="4" w:space="0" w:color="000000"/>
            </w:tcBorders>
          </w:tcPr>
          <w:p>
            <w:pPr>
              <w:pStyle w:val="TableParagraph"/>
              <w:spacing w:before="38"/>
              <w:ind w:right="-15"/>
              <w:jc w:val="right"/>
              <w:rPr>
                <w:sz w:val="20"/>
              </w:rPr>
            </w:pPr>
            <w:r>
              <w:rPr>
                <w:sz w:val="20"/>
              </w:rPr>
              <w:t>2,900,738,991.13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25"/>
              <w:ind w:right="83"/>
              <w:jc w:val="right"/>
              <w:rPr>
                <w:rFonts w:ascii="宋体" w:eastAsia="宋体" w:hint="eastAsia"/>
                <w:sz w:val="20"/>
              </w:rPr>
            </w:pPr>
            <w:r>
              <w:rPr>
                <w:rFonts w:ascii="宋体" w:eastAsia="宋体" w:hint="eastAsia"/>
                <w:w w:val="95"/>
                <w:sz w:val="20"/>
              </w:rPr>
              <w:t>自有</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before="38"/>
              <w:ind w:right="-15"/>
              <w:jc w:val="right"/>
              <w:rPr>
                <w:sz w:val="20"/>
              </w:rPr>
            </w:pPr>
            <w:r>
              <w:rPr>
                <w:sz w:val="20"/>
              </w:rPr>
              <w:t>1,440,383,537.73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38"/>
              <w:ind w:right="-15"/>
              <w:jc w:val="right"/>
              <w:rPr>
                <w:sz w:val="20"/>
              </w:rPr>
            </w:pPr>
            <w:r>
              <w:rPr>
                <w:w w:val="95"/>
                <w:sz w:val="20"/>
              </w:rPr>
              <w:t>18,446,699.37</w:t>
            </w:r>
          </w:p>
        </w:tc>
        <w:tc>
          <w:tcPr>
            <w:tcW w:w="1558" w:type="dxa"/>
            <w:tcBorders>
              <w:top w:val="single" w:sz="4" w:space="0" w:color="000000"/>
              <w:left w:val="single" w:sz="4" w:space="0" w:color="000000"/>
              <w:bottom w:val="single" w:sz="4" w:space="0" w:color="000000"/>
            </w:tcBorders>
          </w:tcPr>
          <w:p>
            <w:pPr>
              <w:pStyle w:val="TableParagraph"/>
              <w:spacing w:before="38"/>
              <w:ind w:right="-15"/>
              <w:jc w:val="right"/>
              <w:rPr>
                <w:sz w:val="20"/>
              </w:rPr>
            </w:pPr>
            <w:r>
              <w:rPr>
                <w:w w:val="95"/>
                <w:sz w:val="20"/>
              </w:rPr>
              <w:t>-111,515,275.63</w:t>
            </w:r>
          </w:p>
        </w:tc>
      </w:tr>
      <w:tr>
        <w:trPr>
          <w:trHeight w:val="311" w:hRule="atLeast"/>
        </w:trPr>
        <w:tc>
          <w:tcPr>
            <w:tcW w:w="1999" w:type="dxa"/>
            <w:tcBorders>
              <w:top w:val="single" w:sz="4" w:space="0" w:color="000000"/>
              <w:right w:val="single" w:sz="6" w:space="0" w:color="000000"/>
            </w:tcBorders>
          </w:tcPr>
          <w:p>
            <w:pPr>
              <w:pStyle w:val="TableParagraph"/>
              <w:spacing w:line="266" w:lineRule="exact" w:before="25"/>
              <w:ind w:left="39" w:right="6"/>
              <w:jc w:val="center"/>
              <w:rPr>
                <w:rFonts w:ascii="宋体" w:eastAsia="宋体" w:hint="eastAsia"/>
                <w:sz w:val="21"/>
              </w:rPr>
            </w:pPr>
            <w:r>
              <w:rPr>
                <w:rFonts w:ascii="宋体" w:eastAsia="宋体" w:hint="eastAsia"/>
                <w:sz w:val="21"/>
              </w:rPr>
              <w:t>合计</w:t>
            </w:r>
          </w:p>
        </w:tc>
        <w:tc>
          <w:tcPr>
            <w:tcW w:w="1560" w:type="dxa"/>
            <w:tcBorders>
              <w:top w:val="single" w:sz="4" w:space="0" w:color="000000"/>
              <w:left w:val="single" w:sz="6" w:space="0" w:color="000000"/>
              <w:right w:val="single" w:sz="4" w:space="0" w:color="000000"/>
            </w:tcBorders>
          </w:tcPr>
          <w:p>
            <w:pPr>
              <w:pStyle w:val="TableParagraph"/>
              <w:spacing w:before="41"/>
              <w:ind w:right="-15"/>
              <w:jc w:val="right"/>
              <w:rPr>
                <w:sz w:val="20"/>
              </w:rPr>
            </w:pPr>
            <w:r>
              <w:rPr>
                <w:sz w:val="20"/>
              </w:rPr>
              <w:t>4,902,282,589.76</w:t>
            </w:r>
          </w:p>
        </w:tc>
        <w:tc>
          <w:tcPr>
            <w:tcW w:w="708" w:type="dxa"/>
            <w:tcBorders>
              <w:top w:val="single" w:sz="4" w:space="0" w:color="000000"/>
              <w:left w:val="single" w:sz="4" w:space="0" w:color="000000"/>
              <w:right w:val="single" w:sz="4" w:space="0" w:color="000000"/>
            </w:tcBorders>
          </w:tcPr>
          <w:p>
            <w:pPr>
              <w:pStyle w:val="TableParagraph"/>
              <w:spacing w:before="27"/>
              <w:ind w:left="14"/>
              <w:rPr>
                <w:rFonts w:ascii="宋体"/>
                <w:sz w:val="20"/>
              </w:rPr>
            </w:pPr>
            <w:r>
              <w:rPr>
                <w:rFonts w:ascii="宋体"/>
                <w:w w:val="99"/>
                <w:sz w:val="20"/>
              </w:rPr>
              <w:t> </w:t>
            </w:r>
          </w:p>
        </w:tc>
        <w:tc>
          <w:tcPr>
            <w:tcW w:w="1844" w:type="dxa"/>
            <w:tcBorders>
              <w:top w:val="single" w:sz="4" w:space="0" w:color="000000"/>
              <w:left w:val="single" w:sz="4" w:space="0" w:color="000000"/>
              <w:right w:val="single" w:sz="4" w:space="0" w:color="000000"/>
            </w:tcBorders>
          </w:tcPr>
          <w:p>
            <w:pPr>
              <w:pStyle w:val="TableParagraph"/>
              <w:spacing w:before="41"/>
              <w:ind w:right="-15"/>
              <w:jc w:val="right"/>
              <w:rPr>
                <w:sz w:val="20"/>
              </w:rPr>
            </w:pPr>
            <w:r>
              <w:rPr>
                <w:sz w:val="20"/>
              </w:rPr>
              <w:t>2,866,266,695.87</w:t>
            </w:r>
          </w:p>
        </w:tc>
        <w:tc>
          <w:tcPr>
            <w:tcW w:w="1561" w:type="dxa"/>
            <w:tcBorders>
              <w:top w:val="single" w:sz="4" w:space="0" w:color="000000"/>
              <w:left w:val="single" w:sz="4" w:space="0" w:color="000000"/>
              <w:right w:val="single" w:sz="4" w:space="0" w:color="000000"/>
            </w:tcBorders>
          </w:tcPr>
          <w:p>
            <w:pPr>
              <w:pStyle w:val="TableParagraph"/>
              <w:spacing w:before="41"/>
              <w:ind w:right="-15"/>
              <w:jc w:val="right"/>
              <w:rPr>
                <w:sz w:val="20"/>
              </w:rPr>
            </w:pPr>
            <w:r>
              <w:rPr>
                <w:w w:val="95"/>
                <w:sz w:val="20"/>
              </w:rPr>
              <w:t>158,908,217.57</w:t>
            </w:r>
          </w:p>
        </w:tc>
        <w:tc>
          <w:tcPr>
            <w:tcW w:w="1558" w:type="dxa"/>
            <w:tcBorders>
              <w:top w:val="single" w:sz="4" w:space="0" w:color="000000"/>
              <w:left w:val="single" w:sz="4" w:space="0" w:color="000000"/>
            </w:tcBorders>
          </w:tcPr>
          <w:p>
            <w:pPr>
              <w:pStyle w:val="TableParagraph"/>
              <w:spacing w:before="41"/>
              <w:ind w:right="-15"/>
              <w:jc w:val="right"/>
              <w:rPr>
                <w:sz w:val="20"/>
              </w:rPr>
            </w:pPr>
            <w:r>
              <w:rPr>
                <w:w w:val="95"/>
                <w:sz w:val="20"/>
              </w:rPr>
              <w:t>-13,746,478.26</w:t>
            </w:r>
          </w:p>
        </w:tc>
      </w:tr>
    </w:tbl>
    <w:p>
      <w:pPr>
        <w:pStyle w:val="BodyText"/>
        <w:spacing w:before="45"/>
        <w:ind w:left="1182"/>
      </w:pPr>
      <w:r>
        <w:rPr/>
        <w:t>注：截至 </w:t>
      </w:r>
      <w:r>
        <w:rPr>
          <w:rFonts w:ascii="Times New Roman" w:eastAsia="Times New Roman"/>
        </w:rPr>
        <w:t>2020 </w:t>
      </w:r>
      <w:r>
        <w:rPr/>
        <w:t>年 </w:t>
      </w:r>
      <w:r>
        <w:rPr>
          <w:rFonts w:ascii="Times New Roman" w:eastAsia="Times New Roman"/>
        </w:rPr>
        <w:t>12 </w:t>
      </w:r>
      <w:r>
        <w:rPr/>
        <w:t>月 </w:t>
      </w:r>
      <w:r>
        <w:rPr>
          <w:rFonts w:ascii="Times New Roman" w:eastAsia="Times New Roman"/>
        </w:rPr>
        <w:t>31 </w:t>
      </w:r>
      <w:r>
        <w:rPr/>
        <w:t>日，公司外汇衍生品交易余额合计约 </w:t>
      </w:r>
      <w:r>
        <w:rPr>
          <w:rFonts w:ascii="Times New Roman" w:eastAsia="Times New Roman"/>
        </w:rPr>
        <w:t>22.7 </w:t>
      </w:r>
      <w:r>
        <w:rPr/>
        <w:t>亿美元。 </w:t>
      </w:r>
    </w:p>
    <w:p>
      <w:pPr>
        <w:pStyle w:val="BodyText"/>
        <w:spacing w:before="12"/>
        <w:rPr>
          <w:sz w:val="26"/>
        </w:rPr>
      </w:pPr>
    </w:p>
    <w:p>
      <w:pPr>
        <w:pStyle w:val="Heading4"/>
        <w:tabs>
          <w:tab w:pos="1597" w:val="left" w:leader="none"/>
        </w:tabs>
        <w:ind w:left="758"/>
      </w:pPr>
      <w:r>
        <w:rPr>
          <w:w w:val="125"/>
        </w:rPr>
        <w:t>(</w:t>
      </w:r>
      <w:r>
        <w:rPr>
          <w:w w:val="105"/>
        </w:rPr>
        <w:t>六</w:t>
      </w:r>
      <w:r>
        <w:rPr>
          <w:w w:val="125"/>
        </w:rPr>
        <w:t>)</w:t>
        <w:tab/>
      </w:r>
      <w:r>
        <w:rPr>
          <w:w w:val="105"/>
        </w:rPr>
        <w:t>重大资产和股权出售</w:t>
      </w:r>
    </w:p>
    <w:p>
      <w:pPr>
        <w:pStyle w:val="BodyText"/>
        <w:tabs>
          <w:tab w:pos="2025" w:val="left" w:leader="none"/>
        </w:tabs>
        <w:spacing w:before="55"/>
        <w:ind w:left="1182"/>
      </w:pPr>
      <w:r>
        <w:rPr/>
        <w:t>√适用</w:t>
        <w:tab/>
      </w:r>
      <w:r>
        <w:rPr>
          <w:spacing w:val="-3"/>
        </w:rPr>
        <w:t>□</w:t>
      </w:r>
      <w:r>
        <w:rPr/>
        <w:t>不</w:t>
      </w:r>
      <w:r>
        <w:rPr>
          <w:spacing w:val="-3"/>
        </w:rPr>
        <w:t>适</w:t>
      </w:r>
      <w:r>
        <w:rPr/>
        <w:t>用</w:t>
      </w:r>
    </w:p>
    <w:p>
      <w:pPr>
        <w:spacing w:after="0"/>
        <w:sectPr>
          <w:type w:val="continuous"/>
          <w:pgSz w:w="11910" w:h="16840"/>
          <w:pgMar w:top="1360" w:bottom="1400" w:left="1040" w:right="760"/>
        </w:sectPr>
      </w:pPr>
    </w:p>
    <w:p>
      <w:pPr>
        <w:pStyle w:val="BodyText"/>
        <w:spacing w:before="6"/>
        <w:rPr>
          <w:sz w:val="13"/>
        </w:rPr>
      </w:pPr>
    </w:p>
    <w:p>
      <w:pPr>
        <w:pStyle w:val="BodyText"/>
        <w:spacing w:line="417" w:lineRule="auto" w:before="78"/>
        <w:ind w:left="758" w:right="507" w:firstLine="424"/>
      </w:pPr>
      <w:r>
        <w:rPr>
          <w:spacing w:val="-7"/>
        </w:rPr>
        <w:t>报告期内，公司以人民币 </w:t>
      </w:r>
      <w:r>
        <w:rPr>
          <w:rFonts w:ascii="Times New Roman" w:eastAsia="Times New Roman"/>
        </w:rPr>
        <w:t>40.6 </w:t>
      </w:r>
      <w:r>
        <w:rPr>
          <w:spacing w:val="-6"/>
        </w:rPr>
        <w:t>亿元转让海尔卡奥斯物联生态科技有限公司 </w:t>
      </w:r>
      <w:r>
        <w:rPr>
          <w:rFonts w:ascii="Times New Roman" w:eastAsia="Times New Roman"/>
        </w:rPr>
        <w:t>54.50%</w:t>
      </w:r>
      <w:r>
        <w:rPr>
          <w:spacing w:val="-3"/>
        </w:rPr>
        <w:t>股权，该</w:t>
      </w:r>
      <w:r>
        <w:rPr>
          <w:spacing w:val="-6"/>
        </w:rPr>
        <w:t>交易截止报告期末已完成。详见公司于 </w:t>
      </w:r>
      <w:r>
        <w:rPr>
          <w:rFonts w:ascii="Times New Roman" w:eastAsia="Times New Roman"/>
        </w:rPr>
        <w:t>2020 </w:t>
      </w:r>
      <w:r>
        <w:rPr>
          <w:spacing w:val="-23"/>
        </w:rPr>
        <w:t>年 </w:t>
      </w:r>
      <w:r>
        <w:rPr>
          <w:rFonts w:ascii="Times New Roman" w:eastAsia="Times New Roman"/>
        </w:rPr>
        <w:t>7 </w:t>
      </w:r>
      <w:r>
        <w:rPr>
          <w:spacing w:val="-23"/>
        </w:rPr>
        <w:t>月 </w:t>
      </w:r>
      <w:r>
        <w:rPr>
          <w:rFonts w:ascii="Times New Roman" w:eastAsia="Times New Roman"/>
        </w:rPr>
        <w:t>30 </w:t>
      </w:r>
      <w:r>
        <w:rPr>
          <w:spacing w:val="-3"/>
        </w:rPr>
        <w:t>日披露的《海尔智家股份有限公司关于转</w:t>
      </w:r>
      <w:r>
        <w:rPr>
          <w:spacing w:val="-3"/>
          <w:w w:val="100"/>
        </w:rPr>
        <w:t>让海尔卡奥斯物联生态科技有限公司</w:t>
      </w:r>
      <w:r>
        <w:rPr>
          <w:spacing w:val="-3"/>
        </w:rPr>
        <w:t> </w:t>
      </w:r>
      <w:r>
        <w:rPr>
          <w:rFonts w:ascii="Times New Roman" w:eastAsia="Times New Roman"/>
          <w:w w:val="100"/>
        </w:rPr>
        <w:t>54.</w:t>
      </w:r>
      <w:r>
        <w:rPr>
          <w:rFonts w:ascii="Times New Roman" w:eastAsia="Times New Roman"/>
          <w:spacing w:val="-3"/>
          <w:w w:val="100"/>
        </w:rPr>
        <w:t>5</w:t>
      </w:r>
      <w:r>
        <w:rPr>
          <w:rFonts w:ascii="Times New Roman" w:eastAsia="Times New Roman"/>
          <w:w w:val="100"/>
        </w:rPr>
        <w:t>0</w:t>
      </w:r>
      <w:r>
        <w:rPr>
          <w:rFonts w:ascii="Times New Roman" w:eastAsia="Times New Roman"/>
          <w:spacing w:val="-1"/>
          <w:w w:val="100"/>
        </w:rPr>
        <w:t>%</w:t>
      </w:r>
      <w:r>
        <w:rPr>
          <w:spacing w:val="-3"/>
          <w:w w:val="100"/>
        </w:rPr>
        <w:t>股权暨关联交易的公告</w:t>
      </w:r>
      <w:r>
        <w:rPr>
          <w:spacing w:val="-190"/>
          <w:w w:val="100"/>
        </w:rPr>
        <w:t>》</w:t>
      </w:r>
      <w:r>
        <w:rPr>
          <w:spacing w:val="-3"/>
          <w:w w:val="100"/>
        </w:rPr>
        <w:t>（</w:t>
      </w:r>
      <w:r>
        <w:rPr>
          <w:w w:val="100"/>
        </w:rPr>
        <w:t>临</w:t>
      </w:r>
      <w:r>
        <w:rPr>
          <w:spacing w:val="-53"/>
        </w:rPr>
        <w:t> </w:t>
      </w:r>
      <w:r>
        <w:rPr>
          <w:rFonts w:ascii="Times New Roman" w:eastAsia="Times New Roman"/>
          <w:spacing w:val="-3"/>
          <w:w w:val="100"/>
        </w:rPr>
        <w:t>2</w:t>
      </w:r>
      <w:r>
        <w:rPr>
          <w:rFonts w:ascii="Times New Roman" w:eastAsia="Times New Roman"/>
          <w:w w:val="100"/>
        </w:rPr>
        <w:t>020</w:t>
      </w:r>
      <w:r>
        <w:rPr>
          <w:rFonts w:ascii="Times New Roman" w:eastAsia="Times New Roman"/>
          <w:spacing w:val="-4"/>
          <w:w w:val="100"/>
        </w:rPr>
        <w:t>-</w:t>
      </w:r>
      <w:r>
        <w:rPr>
          <w:rFonts w:ascii="Times New Roman" w:eastAsia="Times New Roman"/>
          <w:w w:val="100"/>
        </w:rPr>
        <w:t>03</w:t>
      </w:r>
      <w:r>
        <w:rPr>
          <w:rFonts w:ascii="Times New Roman" w:eastAsia="Times New Roman"/>
          <w:spacing w:val="-3"/>
          <w:w w:val="100"/>
        </w:rPr>
        <w:t>6</w:t>
      </w:r>
      <w:r>
        <w:rPr>
          <w:spacing w:val="-94"/>
          <w:w w:val="100"/>
        </w:rPr>
        <w:t>）</w:t>
      </w:r>
      <w:r>
        <w:rPr>
          <w:spacing w:val="-3"/>
          <w:w w:val="100"/>
        </w:rPr>
        <w:t>及相关公告。</w:t>
      </w:r>
    </w:p>
    <w:p>
      <w:pPr>
        <w:pStyle w:val="BodyText"/>
        <w:spacing w:before="5"/>
        <w:rPr>
          <w:sz w:val="17"/>
        </w:rPr>
      </w:pPr>
    </w:p>
    <w:p>
      <w:pPr>
        <w:pStyle w:val="Heading4"/>
        <w:tabs>
          <w:tab w:pos="1597" w:val="left" w:leader="none"/>
        </w:tabs>
        <w:spacing w:before="3"/>
        <w:ind w:left="758"/>
      </w:pPr>
      <w:r>
        <w:rPr>
          <w:w w:val="125"/>
        </w:rPr>
        <w:t>(</w:t>
      </w:r>
      <w:r>
        <w:rPr>
          <w:w w:val="105"/>
        </w:rPr>
        <w:t>七</w:t>
      </w:r>
      <w:r>
        <w:rPr>
          <w:w w:val="125"/>
        </w:rPr>
        <w:t>)</w:t>
        <w:tab/>
      </w:r>
      <w:r>
        <w:rPr>
          <w:w w:val="105"/>
        </w:rPr>
        <w:t>主要控股参股公司</w:t>
      </w:r>
      <w:r>
        <w:rPr>
          <w:spacing w:val="-3"/>
          <w:w w:val="105"/>
        </w:rPr>
        <w:t>分</w:t>
      </w:r>
      <w:r>
        <w:rPr>
          <w:w w:val="105"/>
        </w:rPr>
        <w:t>析</w:t>
      </w:r>
    </w:p>
    <w:p>
      <w:pPr>
        <w:pStyle w:val="BodyText"/>
        <w:tabs>
          <w:tab w:pos="2025" w:val="left" w:leader="none"/>
        </w:tabs>
        <w:spacing w:before="55"/>
        <w:ind w:left="1182"/>
      </w:pPr>
      <w:r>
        <w:rPr/>
        <w:t>√适用</w:t>
        <w:tab/>
      </w:r>
      <w:r>
        <w:rPr>
          <w:spacing w:val="-3"/>
        </w:rPr>
        <w:t>□</w:t>
      </w:r>
      <w:r>
        <w:rPr/>
        <w:t>不</w:t>
      </w:r>
      <w:r>
        <w:rPr>
          <w:spacing w:val="-3"/>
        </w:rPr>
        <w:t>适</w:t>
      </w:r>
      <w:r>
        <w:rPr/>
        <w:t>用</w:t>
      </w:r>
    </w:p>
    <w:p>
      <w:pPr>
        <w:pStyle w:val="BodyText"/>
        <w:spacing w:before="43" w:after="20"/>
        <w:ind w:left="8482"/>
      </w:pPr>
      <w:r>
        <w:rPr/>
        <w:t>人民币</w:t>
      </w:r>
      <w:r>
        <w:rPr>
          <w:rFonts w:ascii="Times New Roman" w:eastAsia="Times New Roman"/>
        </w:rPr>
        <w:t>/</w:t>
      </w:r>
      <w:r>
        <w:rPr/>
        <w:t>万元</w:t>
      </w:r>
    </w:p>
    <w:tbl>
      <w:tblPr>
        <w:tblW w:w="0" w:type="auto"/>
        <w:jc w:val="left"/>
        <w:tblInd w:w="66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370"/>
        <w:gridCol w:w="1841"/>
        <w:gridCol w:w="1418"/>
        <w:gridCol w:w="1277"/>
        <w:gridCol w:w="1142"/>
      </w:tblGrid>
      <w:tr>
        <w:trPr>
          <w:trHeight w:val="313" w:hRule="atLeast"/>
        </w:trPr>
        <w:tc>
          <w:tcPr>
            <w:tcW w:w="3370" w:type="dxa"/>
            <w:tcBorders>
              <w:bottom w:val="single" w:sz="4" w:space="0" w:color="000000"/>
              <w:right w:val="single" w:sz="4" w:space="0" w:color="000000"/>
            </w:tcBorders>
            <w:shd w:val="clear" w:color="auto" w:fill="EDEBE0"/>
          </w:tcPr>
          <w:p>
            <w:pPr>
              <w:pStyle w:val="TableParagraph"/>
              <w:spacing w:before="24"/>
              <w:ind w:left="1245" w:right="1225"/>
              <w:jc w:val="center"/>
              <w:rPr>
                <w:rFonts w:ascii="宋体" w:eastAsia="宋体" w:hint="eastAsia"/>
                <w:sz w:val="21"/>
              </w:rPr>
            </w:pPr>
            <w:r>
              <w:rPr>
                <w:rFonts w:ascii="宋体" w:eastAsia="宋体" w:hint="eastAsia"/>
                <w:sz w:val="21"/>
              </w:rPr>
              <w:t>公司名称</w:t>
            </w:r>
          </w:p>
        </w:tc>
        <w:tc>
          <w:tcPr>
            <w:tcW w:w="1841" w:type="dxa"/>
            <w:tcBorders>
              <w:left w:val="single" w:sz="4" w:space="0" w:color="000000"/>
              <w:bottom w:val="single" w:sz="4" w:space="0" w:color="000000"/>
              <w:right w:val="single" w:sz="4" w:space="0" w:color="000000"/>
            </w:tcBorders>
            <w:shd w:val="clear" w:color="auto" w:fill="EDEBE0"/>
          </w:tcPr>
          <w:p>
            <w:pPr>
              <w:pStyle w:val="TableParagraph"/>
              <w:spacing w:before="24"/>
              <w:ind w:left="511"/>
              <w:rPr>
                <w:rFonts w:ascii="宋体" w:eastAsia="宋体" w:hint="eastAsia"/>
                <w:sz w:val="21"/>
              </w:rPr>
            </w:pPr>
            <w:r>
              <w:rPr>
                <w:rFonts w:ascii="宋体" w:eastAsia="宋体" w:hint="eastAsia"/>
                <w:sz w:val="21"/>
              </w:rPr>
              <w:t>经营范围</w:t>
            </w:r>
          </w:p>
        </w:tc>
        <w:tc>
          <w:tcPr>
            <w:tcW w:w="1418" w:type="dxa"/>
            <w:tcBorders>
              <w:left w:val="single" w:sz="4" w:space="0" w:color="000000"/>
              <w:bottom w:val="single" w:sz="4" w:space="0" w:color="000000"/>
              <w:right w:val="single" w:sz="4" w:space="0" w:color="000000"/>
            </w:tcBorders>
            <w:shd w:val="clear" w:color="auto" w:fill="EDEBE0"/>
          </w:tcPr>
          <w:p>
            <w:pPr>
              <w:pStyle w:val="TableParagraph"/>
              <w:spacing w:before="24"/>
              <w:ind w:left="403"/>
              <w:rPr>
                <w:rFonts w:ascii="宋体" w:eastAsia="宋体" w:hint="eastAsia"/>
                <w:sz w:val="21"/>
              </w:rPr>
            </w:pPr>
            <w:r>
              <w:rPr>
                <w:rFonts w:ascii="宋体" w:eastAsia="宋体" w:hint="eastAsia"/>
                <w:sz w:val="21"/>
              </w:rPr>
              <w:t>总资产</w:t>
            </w:r>
          </w:p>
        </w:tc>
        <w:tc>
          <w:tcPr>
            <w:tcW w:w="1277" w:type="dxa"/>
            <w:tcBorders>
              <w:left w:val="single" w:sz="4" w:space="0" w:color="000000"/>
              <w:bottom w:val="single" w:sz="4" w:space="0" w:color="000000"/>
              <w:right w:val="single" w:sz="4" w:space="0" w:color="000000"/>
            </w:tcBorders>
            <w:shd w:val="clear" w:color="auto" w:fill="EDEBE0"/>
          </w:tcPr>
          <w:p>
            <w:pPr>
              <w:pStyle w:val="TableParagraph"/>
              <w:spacing w:before="24"/>
              <w:ind w:left="331"/>
              <w:rPr>
                <w:rFonts w:ascii="宋体" w:eastAsia="宋体" w:hint="eastAsia"/>
                <w:sz w:val="21"/>
              </w:rPr>
            </w:pPr>
            <w:r>
              <w:rPr>
                <w:rFonts w:ascii="宋体" w:eastAsia="宋体" w:hint="eastAsia"/>
                <w:sz w:val="21"/>
              </w:rPr>
              <w:t>净资产</w:t>
            </w:r>
          </w:p>
        </w:tc>
        <w:tc>
          <w:tcPr>
            <w:tcW w:w="1142" w:type="dxa"/>
            <w:tcBorders>
              <w:left w:val="single" w:sz="4" w:space="0" w:color="000000"/>
              <w:bottom w:val="single" w:sz="4" w:space="0" w:color="000000"/>
            </w:tcBorders>
            <w:shd w:val="clear" w:color="auto" w:fill="EDEBE0"/>
          </w:tcPr>
          <w:p>
            <w:pPr>
              <w:pStyle w:val="TableParagraph"/>
              <w:spacing w:before="24"/>
              <w:ind w:left="267"/>
              <w:rPr>
                <w:rFonts w:ascii="宋体" w:eastAsia="宋体" w:hint="eastAsia"/>
                <w:sz w:val="21"/>
              </w:rPr>
            </w:pPr>
            <w:r>
              <w:rPr>
                <w:rFonts w:ascii="宋体" w:eastAsia="宋体" w:hint="eastAsia"/>
                <w:sz w:val="21"/>
              </w:rPr>
              <w:t>净利润</w:t>
            </w:r>
          </w:p>
        </w:tc>
      </w:tr>
      <w:tr>
        <w:trPr>
          <w:trHeight w:val="311" w:hRule="atLeast"/>
        </w:trPr>
        <w:tc>
          <w:tcPr>
            <w:tcW w:w="3370" w:type="dxa"/>
            <w:tcBorders>
              <w:top w:val="single" w:sz="4" w:space="0" w:color="000000"/>
              <w:right w:val="single" w:sz="4" w:space="0" w:color="000000"/>
            </w:tcBorders>
          </w:tcPr>
          <w:p>
            <w:pPr>
              <w:pStyle w:val="TableParagraph"/>
              <w:spacing w:line="269" w:lineRule="exact" w:before="22"/>
              <w:ind w:left="107"/>
              <w:rPr>
                <w:rFonts w:ascii="宋体" w:eastAsia="宋体" w:hint="eastAsia"/>
                <w:sz w:val="21"/>
              </w:rPr>
            </w:pPr>
            <w:r>
              <w:rPr>
                <w:rFonts w:ascii="宋体" w:eastAsia="宋体" w:hint="eastAsia"/>
                <w:sz w:val="21"/>
              </w:rPr>
              <w:t>海尔股份</w:t>
            </w:r>
            <w:r>
              <w:rPr>
                <w:sz w:val="21"/>
              </w:rPr>
              <w:t>(</w:t>
            </w:r>
            <w:r>
              <w:rPr>
                <w:rFonts w:ascii="宋体" w:eastAsia="宋体" w:hint="eastAsia"/>
                <w:sz w:val="21"/>
              </w:rPr>
              <w:t>香港</w:t>
            </w:r>
            <w:r>
              <w:rPr>
                <w:sz w:val="21"/>
              </w:rPr>
              <w:t>)</w:t>
            </w:r>
            <w:r>
              <w:rPr>
                <w:rFonts w:ascii="宋体" w:eastAsia="宋体" w:hint="eastAsia"/>
                <w:sz w:val="21"/>
              </w:rPr>
              <w:t>有限公司</w:t>
            </w:r>
          </w:p>
        </w:tc>
        <w:tc>
          <w:tcPr>
            <w:tcW w:w="1841" w:type="dxa"/>
            <w:tcBorders>
              <w:top w:val="single" w:sz="4" w:space="0" w:color="000000"/>
              <w:left w:val="single" w:sz="4" w:space="0" w:color="000000"/>
              <w:right w:val="single" w:sz="4" w:space="0" w:color="000000"/>
            </w:tcBorders>
          </w:tcPr>
          <w:p>
            <w:pPr>
              <w:pStyle w:val="TableParagraph"/>
              <w:spacing w:line="269" w:lineRule="exact" w:before="22"/>
              <w:ind w:left="117"/>
              <w:rPr>
                <w:rFonts w:ascii="宋体" w:eastAsia="宋体" w:hint="eastAsia"/>
                <w:sz w:val="21"/>
              </w:rPr>
            </w:pPr>
            <w:r>
              <w:rPr>
                <w:rFonts w:ascii="宋体" w:eastAsia="宋体" w:hint="eastAsia"/>
                <w:sz w:val="21"/>
              </w:rPr>
              <w:t>投资控股</w:t>
            </w:r>
          </w:p>
        </w:tc>
        <w:tc>
          <w:tcPr>
            <w:tcW w:w="1418" w:type="dxa"/>
            <w:tcBorders>
              <w:top w:val="single" w:sz="4" w:space="0" w:color="000000"/>
              <w:left w:val="single" w:sz="4" w:space="0" w:color="000000"/>
              <w:right w:val="single" w:sz="4" w:space="0" w:color="000000"/>
            </w:tcBorders>
          </w:tcPr>
          <w:p>
            <w:pPr>
              <w:pStyle w:val="TableParagraph"/>
              <w:spacing w:before="38"/>
              <w:ind w:left="520"/>
              <w:rPr>
                <w:sz w:val="20"/>
              </w:rPr>
            </w:pPr>
            <w:r>
              <w:rPr>
                <w:sz w:val="20"/>
              </w:rPr>
              <w:t>4,128,619</w:t>
            </w:r>
          </w:p>
        </w:tc>
        <w:tc>
          <w:tcPr>
            <w:tcW w:w="1277" w:type="dxa"/>
            <w:tcBorders>
              <w:top w:val="single" w:sz="4" w:space="0" w:color="000000"/>
              <w:left w:val="single" w:sz="4" w:space="0" w:color="000000"/>
              <w:right w:val="single" w:sz="4" w:space="0" w:color="000000"/>
            </w:tcBorders>
          </w:tcPr>
          <w:p>
            <w:pPr>
              <w:pStyle w:val="TableParagraph"/>
              <w:spacing w:before="34"/>
              <w:ind w:left="338"/>
              <w:rPr>
                <w:sz w:val="21"/>
              </w:rPr>
            </w:pPr>
            <w:r>
              <w:rPr>
                <w:sz w:val="21"/>
              </w:rPr>
              <w:t>3,376,074</w:t>
            </w:r>
          </w:p>
        </w:tc>
        <w:tc>
          <w:tcPr>
            <w:tcW w:w="1142" w:type="dxa"/>
            <w:tcBorders>
              <w:top w:val="single" w:sz="4" w:space="0" w:color="000000"/>
              <w:left w:val="single" w:sz="4" w:space="0" w:color="000000"/>
            </w:tcBorders>
          </w:tcPr>
          <w:p>
            <w:pPr>
              <w:pStyle w:val="TableParagraph"/>
              <w:spacing w:before="34"/>
              <w:ind w:left="365"/>
              <w:rPr>
                <w:sz w:val="21"/>
              </w:rPr>
            </w:pPr>
            <w:r>
              <w:rPr>
                <w:sz w:val="21"/>
              </w:rPr>
              <w:t>705,358</w:t>
            </w:r>
          </w:p>
        </w:tc>
      </w:tr>
    </w:tbl>
    <w:p>
      <w:pPr>
        <w:pStyle w:val="BodyText"/>
        <w:spacing w:before="5"/>
        <w:rPr>
          <w:sz w:val="25"/>
        </w:rPr>
      </w:pPr>
    </w:p>
    <w:p>
      <w:pPr>
        <w:pStyle w:val="Heading4"/>
        <w:tabs>
          <w:tab w:pos="1597" w:val="left" w:leader="none"/>
        </w:tabs>
        <w:spacing w:before="3"/>
        <w:ind w:left="758"/>
      </w:pPr>
      <w:r>
        <w:rPr>
          <w:w w:val="125"/>
        </w:rPr>
        <w:t>(</w:t>
      </w:r>
      <w:r>
        <w:rPr>
          <w:w w:val="105"/>
        </w:rPr>
        <w:t>八</w:t>
      </w:r>
      <w:r>
        <w:rPr>
          <w:w w:val="125"/>
        </w:rPr>
        <w:t>)</w:t>
        <w:tab/>
      </w:r>
      <w:r>
        <w:rPr>
          <w:w w:val="105"/>
        </w:rPr>
        <w:t>公司控制的结构化</w:t>
      </w:r>
      <w:r>
        <w:rPr>
          <w:spacing w:val="-3"/>
          <w:w w:val="105"/>
        </w:rPr>
        <w:t>主</w:t>
      </w:r>
      <w:r>
        <w:rPr>
          <w:w w:val="105"/>
        </w:rPr>
        <w:t>体</w:t>
      </w:r>
      <w:r>
        <w:rPr>
          <w:spacing w:val="-3"/>
          <w:w w:val="105"/>
        </w:rPr>
        <w:t>情</w:t>
      </w:r>
      <w:r>
        <w:rPr>
          <w:w w:val="105"/>
        </w:rPr>
        <w:t>况</w:t>
      </w:r>
    </w:p>
    <w:p>
      <w:pPr>
        <w:pStyle w:val="BodyText"/>
        <w:tabs>
          <w:tab w:pos="2025" w:val="left" w:leader="none"/>
        </w:tabs>
        <w:spacing w:before="55"/>
        <w:ind w:left="1182"/>
      </w:pPr>
      <w:r>
        <w:rPr/>
        <w:t>□适用</w:t>
        <w:tab/>
      </w:r>
      <w:r>
        <w:rPr>
          <w:spacing w:val="-3"/>
        </w:rPr>
        <w:t>√</w:t>
      </w:r>
      <w:r>
        <w:rPr/>
        <w:t>不</w:t>
      </w:r>
      <w:r>
        <w:rPr>
          <w:spacing w:val="-3"/>
        </w:rPr>
        <w:t>适</w:t>
      </w:r>
      <w:r>
        <w:rPr/>
        <w:t>用</w:t>
      </w:r>
    </w:p>
    <w:p>
      <w:pPr>
        <w:pStyle w:val="BodyText"/>
        <w:rPr>
          <w:sz w:val="20"/>
        </w:rPr>
      </w:pPr>
    </w:p>
    <w:p>
      <w:pPr>
        <w:pStyle w:val="Heading4"/>
        <w:tabs>
          <w:tab w:pos="1597" w:val="left" w:leader="none"/>
        </w:tabs>
        <w:spacing w:line="328" w:lineRule="auto" w:before="166"/>
        <w:ind w:left="758" w:right="5549"/>
      </w:pPr>
      <w:r>
        <w:rPr/>
        <w:t>三、公司关于公司未来</w:t>
      </w:r>
      <w:r>
        <w:rPr>
          <w:spacing w:val="-3"/>
        </w:rPr>
        <w:t>发</w:t>
      </w:r>
      <w:r>
        <w:rPr/>
        <w:t>展</w:t>
      </w:r>
      <w:r>
        <w:rPr>
          <w:spacing w:val="-3"/>
        </w:rPr>
        <w:t>的</w:t>
      </w:r>
      <w:r>
        <w:rPr/>
        <w:t>讨论与分</w:t>
      </w:r>
      <w:r>
        <w:rPr>
          <w:spacing w:val="-16"/>
        </w:rPr>
        <w:t>析</w:t>
      </w:r>
      <w:r>
        <w:rPr>
          <w:w w:val="125"/>
        </w:rPr>
        <w:t>(</w:t>
      </w:r>
      <w:r>
        <w:rPr>
          <w:w w:val="105"/>
        </w:rPr>
        <w:t>一</w:t>
      </w:r>
      <w:r>
        <w:rPr>
          <w:w w:val="125"/>
        </w:rPr>
        <w:t>)</w:t>
        <w:tab/>
      </w:r>
      <w:r>
        <w:rPr>
          <w:w w:val="105"/>
        </w:rPr>
        <w:t>行业格局和趋势</w:t>
      </w:r>
    </w:p>
    <w:p>
      <w:pPr>
        <w:pStyle w:val="BodyText"/>
        <w:tabs>
          <w:tab w:pos="2025" w:val="left" w:leader="none"/>
        </w:tabs>
        <w:spacing w:before="67"/>
        <w:ind w:left="1182"/>
      </w:pPr>
      <w:r>
        <w:rPr/>
        <w:t>√适用</w:t>
        <w:tab/>
      </w:r>
      <w:r>
        <w:rPr>
          <w:spacing w:val="-3"/>
        </w:rPr>
        <w:t>□</w:t>
      </w:r>
      <w:r>
        <w:rPr/>
        <w:t>不</w:t>
      </w:r>
      <w:r>
        <w:rPr>
          <w:spacing w:val="-3"/>
        </w:rPr>
        <w:t>适</w:t>
      </w:r>
      <w:r>
        <w:rPr/>
        <w:t>用</w:t>
      </w:r>
    </w:p>
    <w:p>
      <w:pPr>
        <w:pStyle w:val="BodyText"/>
        <w:spacing w:before="7"/>
        <w:rPr>
          <w:sz w:val="15"/>
        </w:rPr>
      </w:pPr>
    </w:p>
    <w:p>
      <w:pPr>
        <w:pStyle w:val="BodyText"/>
        <w:ind w:left="1182"/>
      </w:pPr>
      <w:r>
        <w:rPr/>
        <w:t>详见本报告“第三节 公司业务概要”的相关内容。</w:t>
      </w:r>
    </w:p>
    <w:p>
      <w:pPr>
        <w:pStyle w:val="BodyText"/>
        <w:rPr>
          <w:sz w:val="20"/>
        </w:rPr>
      </w:pPr>
    </w:p>
    <w:p>
      <w:pPr>
        <w:pStyle w:val="BodyText"/>
        <w:spacing w:before="2"/>
        <w:rPr>
          <w:sz w:val="19"/>
        </w:rPr>
      </w:pPr>
    </w:p>
    <w:p>
      <w:pPr>
        <w:pStyle w:val="Heading4"/>
        <w:tabs>
          <w:tab w:pos="1597" w:val="left" w:leader="none"/>
        </w:tabs>
        <w:spacing w:before="1"/>
        <w:ind w:left="758"/>
      </w:pPr>
      <w:r>
        <w:rPr>
          <w:w w:val="125"/>
        </w:rPr>
        <w:t>(</w:t>
      </w:r>
      <w:r>
        <w:rPr>
          <w:w w:val="110"/>
        </w:rPr>
        <w:t>二</w:t>
      </w:r>
      <w:r>
        <w:rPr>
          <w:w w:val="125"/>
        </w:rPr>
        <w:t>)</w:t>
        <w:tab/>
      </w:r>
      <w:r>
        <w:rPr/>
        <w:t>公司发展战略</w:t>
      </w:r>
    </w:p>
    <w:p>
      <w:pPr>
        <w:pStyle w:val="BodyText"/>
        <w:spacing w:before="8"/>
        <w:rPr>
          <w:rFonts w:ascii="Microsoft JhengHei"/>
          <w:b/>
          <w:sz w:val="11"/>
        </w:rPr>
      </w:pPr>
    </w:p>
    <w:p>
      <w:pPr>
        <w:pStyle w:val="BodyText"/>
        <w:ind w:left="1182"/>
        <w:jc w:val="both"/>
      </w:pPr>
      <w:r>
        <w:rPr>
          <w:spacing w:val="-1"/>
        </w:rPr>
        <w:t>√适用  □不适用</w:t>
      </w:r>
    </w:p>
    <w:p>
      <w:pPr>
        <w:pStyle w:val="BodyText"/>
        <w:spacing w:before="7"/>
        <w:rPr>
          <w:sz w:val="15"/>
        </w:rPr>
      </w:pPr>
    </w:p>
    <w:p>
      <w:pPr>
        <w:pStyle w:val="BodyText"/>
        <w:spacing w:line="417" w:lineRule="auto"/>
        <w:ind w:left="758" w:right="513" w:firstLine="424"/>
        <w:jc w:val="both"/>
      </w:pPr>
      <w:r>
        <w:rPr>
          <w:color w:val="211F1F"/>
        </w:rPr>
        <w:t>通过持续创新，为用户定制美好生活，致力于打造物联网智慧家庭生态品牌，成为物联网时代的引领者。公司致力于通过以下战略成为全球领先的智慧家庭解决方案提供商：①持续强化连接用户、产品、全流程服务的海尔智家体验云平台建设；②坚持推进全球运营协同和海外市场创牌引领；③坚持推进高端化引领；④推动数字化变革驱动效率提升；⑤人单合一管理模式驱动持续创新和长远发展。</w:t>
      </w:r>
    </w:p>
    <w:p>
      <w:pPr>
        <w:pStyle w:val="BodyText"/>
        <w:spacing w:before="8"/>
        <w:rPr>
          <w:sz w:val="17"/>
        </w:rPr>
      </w:pPr>
    </w:p>
    <w:p>
      <w:pPr>
        <w:pStyle w:val="Heading4"/>
        <w:tabs>
          <w:tab w:pos="1597" w:val="left" w:leader="none"/>
        </w:tabs>
        <w:ind w:left="758"/>
      </w:pPr>
      <w:r>
        <w:rPr>
          <w:w w:val="125"/>
        </w:rPr>
        <w:t>(</w:t>
      </w:r>
      <w:r>
        <w:rPr>
          <w:w w:val="110"/>
        </w:rPr>
        <w:t>三</w:t>
      </w:r>
      <w:r>
        <w:rPr>
          <w:w w:val="125"/>
        </w:rPr>
        <w:t>)</w:t>
        <w:tab/>
      </w:r>
      <w:r>
        <w:rPr>
          <w:w w:val="110"/>
        </w:rPr>
        <w:t>经营计划</w:t>
      </w:r>
    </w:p>
    <w:p>
      <w:pPr>
        <w:pStyle w:val="BodyText"/>
        <w:spacing w:before="55"/>
        <w:ind w:left="1182"/>
        <w:jc w:val="both"/>
      </w:pPr>
      <w:r>
        <w:rPr/>
        <w:t>√适用 □不适用</w:t>
      </w:r>
    </w:p>
    <w:p>
      <w:pPr>
        <w:pStyle w:val="BodyText"/>
        <w:spacing w:line="417" w:lineRule="auto" w:before="120"/>
        <w:ind w:left="758" w:right="508" w:firstLine="424"/>
        <w:jc w:val="both"/>
      </w:pPr>
      <w:r>
        <w:rPr>
          <w:rFonts w:ascii="Times New Roman" w:eastAsia="Times New Roman"/>
        </w:rPr>
        <w:t>2021 </w:t>
      </w:r>
      <w:r>
        <w:rPr>
          <w:spacing w:val="-8"/>
        </w:rPr>
        <w:t>年，公司将聚焦高端品牌、场景品牌、生态品牌建设，持续发挥在成套引领产品、全球</w:t>
      </w:r>
      <w:r>
        <w:rPr>
          <w:spacing w:val="-5"/>
        </w:rPr>
        <w:t>协同、高端品牌、智家体验云平台等方面的优势，推进全流程数字化变革提效，不断拓展智慧家</w:t>
      </w:r>
      <w:r>
        <w:rPr>
          <w:spacing w:val="-4"/>
        </w:rPr>
        <w:t>庭场景解决方案，保持良好发展态势。</w:t>
      </w:r>
    </w:p>
    <w:p>
      <w:pPr>
        <w:spacing w:after="0" w:line="417" w:lineRule="auto"/>
        <w:jc w:val="both"/>
        <w:sectPr>
          <w:pgSz w:w="11910" w:h="16840"/>
          <w:pgMar w:header="874" w:footer="1214" w:top="1360" w:bottom="1400" w:left="1040" w:right="760"/>
        </w:sectPr>
      </w:pPr>
    </w:p>
    <w:p>
      <w:pPr>
        <w:pStyle w:val="BodyText"/>
        <w:spacing w:before="6"/>
        <w:rPr>
          <w:sz w:val="13"/>
        </w:rPr>
      </w:pPr>
    </w:p>
    <w:p>
      <w:pPr>
        <w:pStyle w:val="BodyText"/>
        <w:spacing w:line="333" w:lineRule="auto" w:before="9"/>
        <w:ind w:left="758" w:right="427" w:firstLine="419"/>
      </w:pPr>
      <w:r>
        <w:rPr>
          <w:rFonts w:ascii="Times New Roman" w:eastAsia="Times New Roman"/>
          <w:b/>
        </w:rPr>
        <w:t>1</w:t>
      </w:r>
      <w:r>
        <w:rPr>
          <w:rFonts w:ascii="Microsoft JhengHei" w:eastAsia="Microsoft JhengHei" w:hint="eastAsia"/>
          <w:b/>
        </w:rPr>
        <w:t>、中国市场：</w:t>
      </w:r>
      <w:r>
        <w:rPr/>
        <w:t>（</w:t>
      </w:r>
      <w:r>
        <w:rPr>
          <w:rFonts w:ascii="Times New Roman" w:eastAsia="Times New Roman"/>
        </w:rPr>
        <w:t>1</w:t>
      </w:r>
      <w:r>
        <w:rPr/>
        <w:t>）卡萨帝品牌通过不断的产品创新扩大高端市场优势；持续推进数字化改造实现全流程提效；通过产品升级、渠道拓展、营销创新实现空调业务的突破。（</w:t>
      </w:r>
      <w:r>
        <w:rPr>
          <w:rFonts w:ascii="Times New Roman" w:eastAsia="Times New Roman"/>
        </w:rPr>
        <w:t>2</w:t>
      </w:r>
      <w:r>
        <w:rPr/>
        <w:t>）通过拓展触</w:t>
      </w:r>
    </w:p>
    <w:p>
      <w:pPr>
        <w:pStyle w:val="BodyText"/>
        <w:spacing w:line="417" w:lineRule="auto" w:before="94"/>
        <w:ind w:left="758" w:right="508"/>
        <w:jc w:val="both"/>
      </w:pPr>
      <w:r>
        <w:rPr>
          <w:spacing w:val="-6"/>
        </w:rPr>
        <w:t>点网络，升级场景库，打造 </w:t>
      </w:r>
      <w:r>
        <w:rPr>
          <w:rFonts w:ascii="Times New Roman" w:eastAsia="Times New Roman"/>
        </w:rPr>
        <w:t>1+N </w:t>
      </w:r>
      <w:r>
        <w:rPr>
          <w:spacing w:val="-3"/>
        </w:rPr>
        <w:t>服务能力等措施，加速三翼鸟场景品牌的发展。</w:t>
      </w:r>
      <w:r>
        <w:rPr/>
        <w:t>（</w:t>
      </w:r>
      <w:r>
        <w:rPr>
          <w:rFonts w:ascii="Times New Roman" w:eastAsia="Times New Roman"/>
        </w:rPr>
        <w:t>3</w:t>
      </w:r>
      <w:r>
        <w:rPr/>
        <w:t>）</w:t>
      </w:r>
      <w:r>
        <w:rPr>
          <w:spacing w:val="-2"/>
        </w:rPr>
        <w:t>聚焦食联</w:t>
      </w:r>
      <w:r>
        <w:rPr>
          <w:spacing w:val="-10"/>
        </w:rPr>
        <w:t>网、衣联网等生态品牌发展，实现平台用户、</w:t>
      </w:r>
      <w:r>
        <w:rPr>
          <w:rFonts w:ascii="Times New Roman" w:eastAsia="Times New Roman"/>
        </w:rPr>
        <w:t>GMV</w:t>
      </w:r>
      <w:r>
        <w:rPr>
          <w:spacing w:val="-11"/>
        </w:rPr>
        <w:t>、生态收入的突破。</w:t>
      </w:r>
      <w:r>
        <w:rPr>
          <w:spacing w:val="-10"/>
        </w:rPr>
        <w:t>（</w:t>
      </w:r>
      <w:r>
        <w:rPr>
          <w:rFonts w:ascii="Times New Roman" w:eastAsia="Times New Roman"/>
          <w:spacing w:val="-10"/>
        </w:rPr>
        <w:t>4</w:t>
      </w:r>
      <w:r>
        <w:rPr>
          <w:spacing w:val="-10"/>
        </w:rPr>
        <w:t>）</w:t>
      </w:r>
      <w:r>
        <w:rPr>
          <w:spacing w:val="-3"/>
        </w:rPr>
        <w:t>智慧家庭建设方面， 通过建设智家感知决策系统，打造海尔智家大脑体系，实现无处不在、自然交互、安全可靠、主</w:t>
      </w:r>
      <w:r>
        <w:rPr/>
        <w:t>动贴心的家庭服务；通过智家</w:t>
      </w:r>
      <w:r>
        <w:rPr>
          <w:rFonts w:ascii="Times New Roman" w:eastAsia="Times New Roman"/>
        </w:rPr>
        <w:t>APP</w:t>
      </w:r>
      <w:r>
        <w:rPr>
          <w:spacing w:val="-7"/>
        </w:rPr>
        <w:t>、三翼鸟 </w:t>
      </w:r>
      <w:r>
        <w:rPr>
          <w:rFonts w:ascii="Times New Roman" w:eastAsia="Times New Roman"/>
        </w:rPr>
        <w:t>APP</w:t>
      </w:r>
      <w:r>
        <w:rPr>
          <w:spacing w:val="-5"/>
        </w:rPr>
        <w:t>、分布式语音、多屏等多入口，打造高粘性的智</w:t>
      </w:r>
      <w:r>
        <w:rPr>
          <w:spacing w:val="-4"/>
        </w:rPr>
        <w:t>慧生活交互入口。</w:t>
      </w:r>
    </w:p>
    <w:p>
      <w:pPr>
        <w:pStyle w:val="BodyText"/>
        <w:spacing w:line="316" w:lineRule="exact"/>
        <w:ind w:left="1178"/>
      </w:pPr>
      <w:r>
        <w:rPr>
          <w:rFonts w:ascii="Times New Roman" w:eastAsia="Times New Roman"/>
          <w:b/>
        </w:rPr>
        <w:t>2</w:t>
      </w:r>
      <w:r>
        <w:rPr>
          <w:rFonts w:ascii="Microsoft JhengHei" w:eastAsia="Microsoft JhengHei" w:hint="eastAsia"/>
          <w:b/>
        </w:rPr>
        <w:t>、海外市场。</w:t>
      </w:r>
      <w:r>
        <w:rPr/>
        <w:t>（</w:t>
      </w:r>
      <w:r>
        <w:rPr>
          <w:rFonts w:ascii="Times New Roman" w:eastAsia="Times New Roman"/>
        </w:rPr>
        <w:t>1</w:t>
      </w:r>
      <w:r>
        <w:rPr/>
        <w:t>）打造高份额高价值的产品阵容，利用与时俱进的全网覆盖策略和直达终</w:t>
      </w:r>
    </w:p>
    <w:p>
      <w:pPr>
        <w:pStyle w:val="BodyText"/>
        <w:spacing w:line="417" w:lineRule="auto" w:before="152"/>
        <w:ind w:left="758" w:right="507"/>
        <w:jc w:val="both"/>
      </w:pPr>
      <w:r>
        <w:rPr>
          <w:spacing w:val="-3"/>
        </w:rPr>
        <w:t>端的直销员体系，实现本土化创牌的引领；</w:t>
      </w:r>
      <w:r>
        <w:rPr/>
        <w:t>（</w:t>
      </w:r>
      <w:r>
        <w:rPr>
          <w:rFonts w:ascii="Times New Roman" w:eastAsia="Times New Roman"/>
        </w:rPr>
        <w:t>2</w:t>
      </w:r>
      <w:r>
        <w:rPr/>
        <w:t>）</w:t>
      </w:r>
      <w:r>
        <w:rPr>
          <w:spacing w:val="-3"/>
        </w:rPr>
        <w:t> 完善全球供应链体系建设，提升第一时间为当</w:t>
      </w:r>
      <w:r>
        <w:rPr>
          <w:spacing w:val="-4"/>
        </w:rPr>
        <w:t>地用户提供健康家庭解决方案的能力；</w:t>
      </w:r>
      <w:r>
        <w:rPr>
          <w:spacing w:val="-19"/>
        </w:rPr>
        <w:t>（</w:t>
      </w:r>
      <w:r>
        <w:rPr>
          <w:rFonts w:ascii="Times New Roman" w:eastAsia="Times New Roman"/>
          <w:spacing w:val="-19"/>
        </w:rPr>
        <w:t>3</w:t>
      </w:r>
      <w:r>
        <w:rPr>
          <w:spacing w:val="-19"/>
        </w:rPr>
        <w:t>）</w:t>
      </w:r>
      <w:r>
        <w:rPr>
          <w:spacing w:val="-5"/>
        </w:rPr>
        <w:t>实现场景品牌与生态品牌突破。迭代升级西欧市场的</w:t>
      </w:r>
      <w:r>
        <w:rPr>
          <w:rFonts w:ascii="Times New Roman" w:eastAsia="Times New Roman"/>
          <w:spacing w:val="-5"/>
        </w:rPr>
        <w:t>hOn </w:t>
      </w:r>
      <w:r>
        <w:rPr>
          <w:spacing w:val="-7"/>
        </w:rPr>
        <w:t>体验云平台、俄罗斯的 </w:t>
      </w:r>
      <w:r>
        <w:rPr>
          <w:rFonts w:ascii="Times New Roman" w:eastAsia="Times New Roman"/>
        </w:rPr>
        <w:t>EVO </w:t>
      </w:r>
      <w:r>
        <w:rPr>
          <w:spacing w:val="-11"/>
        </w:rPr>
        <w:t>平台、美国 </w:t>
      </w:r>
      <w:r>
        <w:rPr>
          <w:rFonts w:ascii="Times New Roman" w:eastAsia="Times New Roman"/>
        </w:rPr>
        <w:t>Smart HQ </w:t>
      </w:r>
      <w:r>
        <w:rPr>
          <w:spacing w:val="-3"/>
        </w:rPr>
        <w:t>平台，形成价值循环生态体系与生态的自扩展，持续迭代用户体验。</w:t>
      </w:r>
    </w:p>
    <w:p>
      <w:pPr>
        <w:spacing w:line="316" w:lineRule="exact" w:before="0"/>
        <w:ind w:left="1185" w:right="0" w:firstLine="0"/>
        <w:jc w:val="left"/>
        <w:rPr>
          <w:sz w:val="21"/>
        </w:rPr>
      </w:pPr>
      <w:r>
        <w:rPr>
          <w:rFonts w:ascii="Times New Roman" w:eastAsia="Times New Roman"/>
          <w:b/>
          <w:sz w:val="21"/>
        </w:rPr>
        <w:t>3</w:t>
      </w:r>
      <w:r>
        <w:rPr>
          <w:rFonts w:ascii="Microsoft JhengHei" w:eastAsia="Microsoft JhengHei" w:hint="eastAsia"/>
          <w:b/>
          <w:sz w:val="21"/>
        </w:rPr>
        <w:t>、在全球范围内，</w:t>
      </w:r>
      <w:r>
        <w:rPr>
          <w:sz w:val="21"/>
        </w:rPr>
        <w:t>构建互联工厂全数字化运营体系，追求全流程效率最优，聚焦精准、高效、</w:t>
      </w:r>
    </w:p>
    <w:p>
      <w:pPr>
        <w:pStyle w:val="BodyText"/>
        <w:spacing w:line="417" w:lineRule="auto" w:before="151"/>
        <w:ind w:left="758" w:right="517"/>
      </w:pPr>
      <w:r>
        <w:rPr/>
        <w:t>均衡、满负荷目标落地。通过超级工厂项目，力求以最经济高效的生产方式打造最具市场竞争力的爆款产品。</w:t>
      </w:r>
    </w:p>
    <w:p>
      <w:pPr>
        <w:pStyle w:val="BodyText"/>
        <w:spacing w:before="8"/>
        <w:rPr>
          <w:sz w:val="17"/>
        </w:rPr>
      </w:pPr>
    </w:p>
    <w:p>
      <w:pPr>
        <w:pStyle w:val="Heading4"/>
        <w:tabs>
          <w:tab w:pos="1597" w:val="left" w:leader="none"/>
        </w:tabs>
        <w:ind w:left="758"/>
      </w:pPr>
      <w:r>
        <w:rPr>
          <w:w w:val="125"/>
        </w:rPr>
        <w:t>(</w:t>
      </w:r>
      <w:r>
        <w:rPr>
          <w:w w:val="110"/>
        </w:rPr>
        <w:t>四</w:t>
      </w:r>
      <w:r>
        <w:rPr>
          <w:w w:val="125"/>
        </w:rPr>
        <w:t>)</w:t>
        <w:tab/>
      </w:r>
      <w:r>
        <w:rPr>
          <w:w w:val="110"/>
        </w:rPr>
        <w:t>可能面对的风险</w:t>
      </w:r>
    </w:p>
    <w:p>
      <w:pPr>
        <w:pStyle w:val="BodyText"/>
        <w:tabs>
          <w:tab w:pos="2025" w:val="left" w:leader="none"/>
        </w:tabs>
        <w:spacing w:before="56"/>
        <w:ind w:left="1182"/>
      </w:pPr>
      <w:r>
        <w:rPr/>
        <w:t>√适用</w:t>
        <w:tab/>
      </w:r>
      <w:r>
        <w:rPr>
          <w:spacing w:val="-3"/>
        </w:rPr>
        <w:t>□</w:t>
      </w:r>
      <w:r>
        <w:rPr/>
        <w:t>不</w:t>
      </w:r>
      <w:r>
        <w:rPr>
          <w:spacing w:val="-3"/>
        </w:rPr>
        <w:t>适</w:t>
      </w:r>
      <w:r>
        <w:rPr/>
        <w:t>用</w:t>
      </w:r>
    </w:p>
    <w:p>
      <w:pPr>
        <w:spacing w:line="333" w:lineRule="auto" w:before="50"/>
        <w:ind w:left="758" w:right="517" w:firstLine="419"/>
        <w:jc w:val="left"/>
        <w:rPr>
          <w:sz w:val="21"/>
        </w:rPr>
      </w:pPr>
      <w:r>
        <w:rPr>
          <w:rFonts w:ascii="Times New Roman" w:eastAsia="Times New Roman"/>
          <w:sz w:val="21"/>
        </w:rPr>
        <w:t>1</w:t>
      </w:r>
      <w:r>
        <w:rPr>
          <w:spacing w:val="-3"/>
          <w:sz w:val="21"/>
        </w:rPr>
        <w:t>、</w:t>
      </w:r>
      <w:r>
        <w:rPr>
          <w:rFonts w:ascii="Microsoft JhengHei" w:eastAsia="Microsoft JhengHei" w:hint="eastAsia"/>
          <w:b/>
          <w:spacing w:val="-2"/>
          <w:sz w:val="21"/>
        </w:rPr>
        <w:t>宏观经济增速放缓导致市场需求下降的风险。</w:t>
      </w:r>
      <w:r>
        <w:rPr>
          <w:spacing w:val="-3"/>
          <w:sz w:val="21"/>
        </w:rPr>
        <w:t>白色家电产品属于耐用消费类电器产品， 用户收入水平以及对未来收入增长的预期，将对产品购买意愿产生一定影响，如果宏观经济增幅</w:t>
      </w:r>
    </w:p>
    <w:p>
      <w:pPr>
        <w:pStyle w:val="BodyText"/>
        <w:spacing w:line="417" w:lineRule="auto" w:before="95"/>
        <w:ind w:left="758" w:right="517"/>
      </w:pPr>
      <w:r>
        <w:rPr/>
        <w:t>放缓导致用户购买力下降，将对行业增长产生负面影响。另外，房地产市场增幅放缓也将对市场需求产生一定负面影响，间接影响家电产品的终端需求。</w:t>
      </w:r>
    </w:p>
    <w:p>
      <w:pPr>
        <w:spacing w:line="317" w:lineRule="exact" w:before="0"/>
        <w:ind w:left="1178" w:right="0" w:firstLine="0"/>
        <w:jc w:val="left"/>
        <w:rPr>
          <w:sz w:val="21"/>
        </w:rPr>
      </w:pPr>
      <w:r>
        <w:rPr>
          <w:rFonts w:ascii="Times New Roman" w:eastAsia="Times New Roman"/>
          <w:sz w:val="21"/>
        </w:rPr>
        <w:t>2</w:t>
      </w:r>
      <w:r>
        <w:rPr>
          <w:sz w:val="21"/>
        </w:rPr>
        <w:t>、</w:t>
      </w:r>
      <w:r>
        <w:rPr>
          <w:rFonts w:ascii="Microsoft JhengHei" w:eastAsia="Microsoft JhengHei" w:hint="eastAsia"/>
          <w:b/>
          <w:sz w:val="21"/>
        </w:rPr>
        <w:t>行业竞争加剧导致的价格战风险。</w:t>
      </w:r>
      <w:r>
        <w:rPr>
          <w:sz w:val="21"/>
        </w:rPr>
        <w:t>白电行业充分竞争、产品同质化较高，近年来行业集中</w:t>
      </w:r>
    </w:p>
    <w:p>
      <w:pPr>
        <w:pStyle w:val="BodyText"/>
        <w:spacing w:line="417" w:lineRule="auto" w:before="151"/>
        <w:ind w:left="758" w:right="517"/>
        <w:jc w:val="both"/>
      </w:pPr>
      <w:r>
        <w:rPr/>
        <w:t>呈现提升态势，但个别子行业因供需失衡形成的行业库存规模增加可能会导致价格战等风险。此外，由于技术飞速发展、行业人才匮乏、产品寿命周期缩短及易于模仿，越来越难以获益。新的产品、服务和技术通常伴随着较高的售价，同时公司不得不在研发上投入更多。公司将积极投入研发，通过持续创新的产品和服务赢得用户，并树立持久的品牌影响力。</w:t>
      </w:r>
    </w:p>
    <w:p>
      <w:pPr>
        <w:spacing w:line="317" w:lineRule="exact" w:before="0"/>
        <w:ind w:left="1178" w:right="0" w:firstLine="0"/>
        <w:jc w:val="left"/>
        <w:rPr>
          <w:sz w:val="21"/>
        </w:rPr>
      </w:pPr>
      <w:r>
        <w:rPr>
          <w:rFonts w:ascii="Times New Roman" w:eastAsia="Times New Roman"/>
          <w:sz w:val="21"/>
        </w:rPr>
        <w:t>3</w:t>
      </w:r>
      <w:r>
        <w:rPr>
          <w:sz w:val="21"/>
        </w:rPr>
        <w:t>、</w:t>
      </w:r>
      <w:r>
        <w:rPr>
          <w:rFonts w:ascii="Microsoft JhengHei" w:eastAsia="Microsoft JhengHei" w:hint="eastAsia"/>
          <w:b/>
          <w:sz w:val="21"/>
        </w:rPr>
        <w:t>原材料价格波动的风险。</w:t>
      </w:r>
      <w:r>
        <w:rPr>
          <w:sz w:val="21"/>
        </w:rPr>
        <w:t>公司产品及核心零部件主要使用钢、铝、铜等金属原材料，以及</w:t>
      </w:r>
    </w:p>
    <w:p>
      <w:pPr>
        <w:pStyle w:val="BodyText"/>
        <w:spacing w:line="417" w:lineRule="auto" w:before="151"/>
        <w:ind w:left="758" w:right="517"/>
      </w:pPr>
      <w:r>
        <w:rPr/>
        <w:t>塑料、发泡料等大宗原材料，如原材料供应价格持续上涨，将对公司的生产经营构成一定压力。另外，公司依赖第三方供应商提供关键原材料、零部件及制造设备以及 </w:t>
      </w:r>
      <w:r>
        <w:rPr>
          <w:rFonts w:ascii="Times New Roman" w:eastAsia="Times New Roman"/>
        </w:rPr>
        <w:t>OEM </w:t>
      </w:r>
      <w:r>
        <w:rPr/>
        <w:t>供应商，任何供应</w:t>
      </w:r>
    </w:p>
    <w:p>
      <w:pPr>
        <w:spacing w:after="0" w:line="417" w:lineRule="auto"/>
        <w:sectPr>
          <w:headerReference w:type="default" r:id="rId34"/>
          <w:footerReference w:type="default" r:id="rId35"/>
          <w:pgSz w:w="11910" w:h="16840"/>
          <w:pgMar w:header="874" w:footer="1214" w:top="1360" w:bottom="1400" w:left="1040" w:right="760"/>
          <w:pgNumType w:start="1"/>
        </w:sectPr>
      </w:pPr>
    </w:p>
    <w:p>
      <w:pPr>
        <w:pStyle w:val="BodyText"/>
        <w:rPr>
          <w:sz w:val="14"/>
        </w:rPr>
      </w:pPr>
    </w:p>
    <w:p>
      <w:pPr>
        <w:pStyle w:val="BodyText"/>
        <w:spacing w:line="417" w:lineRule="auto" w:before="71"/>
        <w:ind w:left="758" w:right="517"/>
      </w:pPr>
      <w:r>
        <w:rPr/>
        <w:t>商的供应中断或价格大幅上涨均会对公司的业务造成负面影响。公司作为行业领导者，将采取与供应商量价对赌、套期保值等方式，降低原材料波动对经营带来的风险。</w:t>
      </w:r>
    </w:p>
    <w:p>
      <w:pPr>
        <w:spacing w:line="317" w:lineRule="exact" w:before="0"/>
        <w:ind w:left="1178" w:right="0" w:firstLine="0"/>
        <w:jc w:val="left"/>
        <w:rPr>
          <w:sz w:val="21"/>
        </w:rPr>
      </w:pPr>
      <w:r>
        <w:rPr>
          <w:rFonts w:ascii="Times New Roman" w:eastAsia="Times New Roman"/>
          <w:sz w:val="21"/>
        </w:rPr>
        <w:t>4</w:t>
      </w:r>
      <w:r>
        <w:rPr>
          <w:sz w:val="21"/>
        </w:rPr>
        <w:t>、</w:t>
      </w:r>
      <w:r>
        <w:rPr>
          <w:rFonts w:ascii="Microsoft JhengHei" w:eastAsia="Microsoft JhengHei" w:hint="eastAsia"/>
          <w:b/>
          <w:sz w:val="21"/>
        </w:rPr>
        <w:t>海外业务运营风险。</w:t>
      </w:r>
      <w:r>
        <w:rPr>
          <w:sz w:val="21"/>
        </w:rPr>
        <w:t>公司业务全球化稳步发展，已在全球多地建立生产基地、研发中心和</w:t>
      </w:r>
    </w:p>
    <w:p>
      <w:pPr>
        <w:pStyle w:val="BodyText"/>
        <w:spacing w:line="417" w:lineRule="auto" w:before="151"/>
        <w:ind w:left="758" w:right="508"/>
        <w:jc w:val="both"/>
      </w:pPr>
      <w:r>
        <w:rPr>
          <w:spacing w:val="-3"/>
        </w:rPr>
        <w:t>营销中心，海外收入占比逐年提升。海外市场受当地政治经济局势、法律体系和监管制度影响较多，上述因素发生重大变化，将对公司当地运营形成一定风险。公司已积极采取各种措施，以减</w:t>
      </w:r>
      <w:r>
        <w:rPr>
          <w:spacing w:val="-15"/>
        </w:rPr>
        <w:t>轻有关影响，包括积极与供应商及客户讨论并合作，以减轻美国附加关税的影响；提高生产效率， </w:t>
      </w:r>
      <w:r>
        <w:rPr>
          <w:spacing w:val="-7"/>
        </w:rPr>
        <w:t>以抵消对公司整体销售成本的有关影响；及可能将公司的供应资源扩展至其他国家。</w:t>
      </w:r>
    </w:p>
    <w:p>
      <w:pPr>
        <w:pStyle w:val="BodyText"/>
        <w:spacing w:line="316" w:lineRule="exact"/>
        <w:ind w:left="1178"/>
      </w:pPr>
      <w:r>
        <w:rPr>
          <w:rFonts w:ascii="Times New Roman" w:eastAsia="Times New Roman"/>
        </w:rPr>
        <w:t>5</w:t>
      </w:r>
      <w:r>
        <w:rPr/>
        <w:t>、</w:t>
      </w:r>
      <w:r>
        <w:rPr>
          <w:rFonts w:ascii="Microsoft JhengHei" w:eastAsia="Microsoft JhengHei" w:hint="eastAsia"/>
          <w:b/>
        </w:rPr>
        <w:t>汇率波动风险。</w:t>
      </w:r>
      <w:r>
        <w:rPr/>
        <w:t>随着公司全球布局的深入，公司产品进出口涉及美元、欧元、日元等外币</w:t>
      </w:r>
    </w:p>
    <w:p>
      <w:pPr>
        <w:pStyle w:val="BodyText"/>
        <w:spacing w:line="417" w:lineRule="auto" w:before="152"/>
        <w:ind w:left="758" w:right="517"/>
        <w:jc w:val="both"/>
      </w:pPr>
      <w:r>
        <w:rPr/>
        <w:t>的汇兑，如果相关币种汇率波动，将对公司财务状况产生一定影响，增加财务成本。此外，公司的综合财务报表以人民币计值，而附属公司的财务报表则以该实体经营所在的主要经济环境的货币计量和呈报，因此亦面临货币兑换的风险。对此，公司运用对冲工具来降低汇率波动风险。</w:t>
      </w:r>
    </w:p>
    <w:p>
      <w:pPr>
        <w:pStyle w:val="BodyText"/>
        <w:spacing w:line="316" w:lineRule="exact"/>
        <w:ind w:left="1178"/>
      </w:pPr>
      <w:r>
        <w:rPr>
          <w:rFonts w:ascii="Times New Roman" w:eastAsia="Times New Roman"/>
        </w:rPr>
        <w:t>6</w:t>
      </w:r>
      <w:r>
        <w:rPr/>
        <w:t>、</w:t>
      </w:r>
      <w:r>
        <w:rPr>
          <w:rFonts w:ascii="Microsoft JhengHei" w:eastAsia="Microsoft JhengHei" w:hint="eastAsia"/>
          <w:b/>
        </w:rPr>
        <w:t>政策变动风险。</w:t>
      </w:r>
      <w:r>
        <w:rPr/>
        <w:t>家电行业与消费品市场、房地产市场密切相关，宏观经济政策、消费投资</w:t>
      </w:r>
    </w:p>
    <w:p>
      <w:pPr>
        <w:pStyle w:val="BodyText"/>
        <w:spacing w:line="417" w:lineRule="auto" w:before="151"/>
        <w:ind w:left="758" w:right="517"/>
        <w:jc w:val="both"/>
      </w:pPr>
      <w:r>
        <w:rPr/>
        <w:t>政策、房地产政策以及相关的法律法规的变动，都将对产品的客户需求造成影响，进而影响公司产品销售。公司会密切关注政策及法律法规的变动，并对市场变动作出预测，以保证公司进一步发展。</w:t>
      </w:r>
    </w:p>
    <w:p>
      <w:pPr>
        <w:pStyle w:val="BodyText"/>
        <w:spacing w:line="316" w:lineRule="exact"/>
        <w:ind w:left="1178"/>
        <w:jc w:val="both"/>
      </w:pPr>
      <w:r>
        <w:rPr>
          <w:rFonts w:ascii="Times New Roman" w:eastAsia="Times New Roman"/>
        </w:rPr>
        <w:t>7</w:t>
      </w:r>
      <w:r>
        <w:rPr/>
        <w:t>、</w:t>
      </w:r>
      <w:r>
        <w:rPr>
          <w:rFonts w:ascii="Microsoft JhengHei" w:eastAsia="Microsoft JhengHei" w:hint="eastAsia"/>
          <w:b/>
        </w:rPr>
        <w:t>疫情风险。</w:t>
      </w:r>
      <w:r>
        <w:rPr>
          <w:rFonts w:ascii="Times New Roman" w:eastAsia="Times New Roman"/>
        </w:rPr>
        <w:t>2019 </w:t>
      </w:r>
      <w:r>
        <w:rPr/>
        <w:t>年底逐步蔓延的新冠疫情，冲击消费需求可能会带来家电消费需求进一</w:t>
      </w:r>
    </w:p>
    <w:p>
      <w:pPr>
        <w:pStyle w:val="BodyText"/>
        <w:spacing w:line="417" w:lineRule="auto" w:before="152"/>
        <w:ind w:left="758" w:right="507"/>
        <w:jc w:val="both"/>
      </w:pPr>
      <w:r>
        <w:rPr>
          <w:spacing w:val="-3"/>
        </w:rPr>
        <w:t>步走弱，进而影响公司的产品销售。首先，封锁、社交距离措施及出行限制会使用户的流动性降</w:t>
      </w:r>
      <w:r>
        <w:rPr>
          <w:spacing w:val="-14"/>
        </w:rPr>
        <w:t>低和零售销售网点关闭，从而使得家电消费需求降低。其次，疫情还可能会导致客户的运营中断， </w:t>
      </w:r>
      <w:r>
        <w:rPr>
          <w:spacing w:val="-7"/>
        </w:rPr>
        <w:t>比如进行产品交付时物流中断，则导致客户对公司服务不满，从而对公司产品的需求减少。公司</w:t>
      </w:r>
      <w:r>
        <w:rPr>
          <w:spacing w:val="-5"/>
        </w:rPr>
        <w:t>将借助在中国市场的抗疫经验、依托全球资源协同，减缓疫情对公司业务的冲击。</w:t>
      </w:r>
    </w:p>
    <w:p>
      <w:pPr>
        <w:pStyle w:val="BodyText"/>
        <w:spacing w:line="316" w:lineRule="exact"/>
        <w:ind w:left="1178"/>
      </w:pPr>
      <w:r>
        <w:rPr>
          <w:rFonts w:ascii="Times New Roman" w:eastAsia="Times New Roman"/>
        </w:rPr>
        <w:t>8</w:t>
      </w:r>
      <w:r>
        <w:rPr/>
        <w:t>、</w:t>
      </w:r>
      <w:r>
        <w:rPr>
          <w:rFonts w:ascii="Microsoft JhengHei" w:eastAsia="Microsoft JhengHei" w:hint="eastAsia"/>
          <w:b/>
        </w:rPr>
        <w:t>信贷风险。</w:t>
      </w:r>
      <w:r>
        <w:rPr/>
        <w:t>公司可能无法向客户悉数收回贸易应收款项，或者客户不能按时结算公司的贸</w:t>
      </w:r>
    </w:p>
    <w:p>
      <w:pPr>
        <w:pStyle w:val="BodyText"/>
        <w:spacing w:line="417" w:lineRule="auto" w:before="151"/>
        <w:ind w:left="758" w:right="517"/>
      </w:pPr>
      <w:r>
        <w:rPr/>
        <w:t>易应收款项，那么公司的业务、财务状况及经营业绩可能会受到不利影响。对此风险，公司会根据客户信贷记录及其交易金额，灵活地为若干客户提供 </w:t>
      </w:r>
      <w:r>
        <w:rPr>
          <w:rFonts w:ascii="Times New Roman" w:eastAsia="Times New Roman"/>
        </w:rPr>
        <w:t>30 </w:t>
      </w:r>
      <w:r>
        <w:rPr/>
        <w:t>日至 </w:t>
      </w:r>
      <w:r>
        <w:rPr>
          <w:rFonts w:ascii="Times New Roman" w:eastAsia="Times New Roman"/>
        </w:rPr>
        <w:t>90 </w:t>
      </w:r>
      <w:r>
        <w:rPr/>
        <w:t>日的信贷期。</w:t>
      </w:r>
    </w:p>
    <w:p>
      <w:pPr>
        <w:pStyle w:val="BodyText"/>
        <w:spacing w:line="317" w:lineRule="exact"/>
        <w:ind w:left="1178"/>
      </w:pPr>
      <w:r>
        <w:rPr>
          <w:rFonts w:ascii="Times New Roman" w:eastAsia="Times New Roman"/>
        </w:rPr>
        <w:t>9</w:t>
      </w:r>
      <w:r>
        <w:rPr/>
        <w:t>、</w:t>
      </w:r>
      <w:r>
        <w:rPr>
          <w:rFonts w:ascii="Microsoft JhengHei" w:eastAsia="Microsoft JhengHei" w:hint="eastAsia"/>
          <w:b/>
        </w:rPr>
        <w:t>存货风险。</w:t>
      </w:r>
      <w:r>
        <w:rPr/>
        <w:t>由于公司不能总是准确地预测各种趋势和事件，并始终保持足够的存货水平。</w:t>
      </w:r>
    </w:p>
    <w:p>
      <w:pPr>
        <w:pStyle w:val="BodyText"/>
        <w:spacing w:line="417" w:lineRule="auto" w:before="151"/>
        <w:ind w:left="758" w:right="508"/>
        <w:jc w:val="both"/>
      </w:pPr>
      <w:r>
        <w:rPr>
          <w:spacing w:val="-17"/>
        </w:rPr>
        <w:t>因此，可能会出现存货过剩的情况，此时公司可能会被迫提供折扣或进行促销以处理滞销的存货， </w:t>
      </w:r>
      <w:r>
        <w:rPr>
          <w:spacing w:val="-7"/>
        </w:rPr>
        <w:t>另一方面，存货不足的情况也会出现，这时可能会导致公司损失销售机会。但是公司会管理存货</w:t>
      </w:r>
      <w:r>
        <w:rPr>
          <w:spacing w:val="-5"/>
        </w:rPr>
        <w:t>并根据市场情况作出调整，同时也会定期评估存货减值。</w:t>
      </w:r>
    </w:p>
    <w:p>
      <w:pPr>
        <w:pStyle w:val="BodyText"/>
        <w:spacing w:before="8"/>
        <w:rPr>
          <w:sz w:val="17"/>
        </w:rPr>
      </w:pPr>
    </w:p>
    <w:p>
      <w:pPr>
        <w:pStyle w:val="Heading4"/>
        <w:ind w:left="758"/>
        <w:jc w:val="both"/>
      </w:pPr>
      <w:r>
        <w:rPr>
          <w:w w:val="125"/>
        </w:rPr>
        <w:t>( </w:t>
      </w:r>
      <w:r>
        <w:rPr>
          <w:w w:val="115"/>
        </w:rPr>
        <w:t>五 </w:t>
      </w:r>
      <w:r>
        <w:rPr>
          <w:w w:val="125"/>
        </w:rPr>
        <w:t>) </w:t>
      </w:r>
      <w:r>
        <w:rPr>
          <w:w w:val="115"/>
        </w:rPr>
        <w:t>其 他</w:t>
      </w:r>
    </w:p>
    <w:p>
      <w:pPr>
        <w:pStyle w:val="BodyText"/>
        <w:spacing w:before="55"/>
        <w:ind w:left="1182"/>
        <w:jc w:val="both"/>
      </w:pPr>
      <w:r>
        <w:rPr/>
        <w:t>√适用 □不适用</w:t>
      </w:r>
    </w:p>
    <w:p>
      <w:pPr>
        <w:spacing w:after="0"/>
        <w:jc w:val="both"/>
        <w:sectPr>
          <w:pgSz w:w="11910" w:h="16840"/>
          <w:pgMar w:header="874" w:footer="1214" w:top="1360" w:bottom="1400" w:left="1040" w:right="760"/>
        </w:sectPr>
      </w:pPr>
    </w:p>
    <w:p>
      <w:pPr>
        <w:pStyle w:val="BodyText"/>
        <w:rPr>
          <w:sz w:val="14"/>
        </w:rPr>
      </w:pPr>
    </w:p>
    <w:p>
      <w:pPr>
        <w:pStyle w:val="BodyText"/>
        <w:spacing w:line="417" w:lineRule="auto" w:before="71"/>
        <w:ind w:left="758" w:right="512" w:firstLine="424"/>
        <w:jc w:val="both"/>
      </w:pPr>
      <w:r>
        <w:rPr/>
        <w:t>未来资本支出规划：中国市场资本开支主要集中智能工厂布局、员工工作环境提升等，促进公司相关产业快速发展。海外市场资本开支主要集中在全球供应链布局与园区改建、新品研发、信息化建设等，持续提升海外运营能力，保障市场未来引领与快速发展。投资资金将通过公司自有资金和债权融资等解决。</w:t>
      </w:r>
    </w:p>
    <w:p>
      <w:pPr>
        <w:pStyle w:val="BodyText"/>
        <w:spacing w:before="8"/>
        <w:rPr>
          <w:sz w:val="17"/>
        </w:rPr>
      </w:pPr>
    </w:p>
    <w:p>
      <w:pPr>
        <w:pStyle w:val="Heading4"/>
        <w:ind w:left="758"/>
      </w:pPr>
      <w:r>
        <w:rPr/>
        <w:t>四、公司因不适用准则规定或国家秘密、商业秘密等特殊原因，未按准则披露的情况和原因说明</w:t>
      </w:r>
    </w:p>
    <w:p>
      <w:pPr>
        <w:pStyle w:val="BodyText"/>
        <w:tabs>
          <w:tab w:pos="2025" w:val="left" w:leader="none"/>
        </w:tabs>
        <w:spacing w:before="55"/>
        <w:ind w:left="1182"/>
      </w:pPr>
      <w:r>
        <w:rPr/>
        <w:t>□适用</w:t>
        <w:tab/>
      </w:r>
      <w:r>
        <w:rPr>
          <w:spacing w:val="-3"/>
        </w:rPr>
        <w:t>√</w:t>
      </w:r>
      <w:r>
        <w:rPr/>
        <w:t>不</w:t>
      </w:r>
      <w:r>
        <w:rPr>
          <w:spacing w:val="-3"/>
        </w:rPr>
        <w:t>适</w:t>
      </w:r>
      <w:r>
        <w:rPr/>
        <w:t>用</w:t>
      </w:r>
    </w:p>
    <w:p>
      <w:pPr>
        <w:spacing w:after="0"/>
        <w:sectPr>
          <w:pgSz w:w="11910" w:h="16840"/>
          <w:pgMar w:header="874" w:footer="1214" w:top="1360" w:bottom="1400" w:left="1040" w:right="760"/>
        </w:sectPr>
      </w:pPr>
    </w:p>
    <w:p>
      <w:pPr>
        <w:pStyle w:val="BodyText"/>
        <w:spacing w:before="5"/>
        <w:rPr>
          <w:sz w:val="17"/>
        </w:rPr>
      </w:pPr>
    </w:p>
    <w:p>
      <w:pPr>
        <w:pStyle w:val="Heading1"/>
        <w:tabs>
          <w:tab w:pos="1502" w:val="left" w:leader="none"/>
        </w:tabs>
        <w:ind w:left="242"/>
      </w:pPr>
      <w:bookmarkStart w:name="_bookmark5" w:id="6"/>
      <w:bookmarkEnd w:id="6"/>
      <w:r>
        <w:rPr>
          <w:b w:val="0"/>
        </w:rPr>
      </w:r>
      <w:r>
        <w:rPr/>
        <w:t>第五节</w:t>
        <w:tab/>
        <w:t>重要事项</w:t>
      </w:r>
    </w:p>
    <w:p>
      <w:pPr>
        <w:pStyle w:val="Heading4"/>
        <w:spacing w:line="379" w:lineRule="exact" w:before="82"/>
        <w:ind w:left="758"/>
      </w:pPr>
      <w:r>
        <w:rPr>
          <w:spacing w:val="-3"/>
        </w:rPr>
        <w:t>一、普通股利润分配或资本公积金转增预案</w:t>
      </w:r>
    </w:p>
    <w:p>
      <w:pPr>
        <w:pStyle w:val="Heading4"/>
        <w:spacing w:line="379" w:lineRule="exact"/>
        <w:ind w:left="758"/>
      </w:pPr>
      <w:r>
        <w:rPr>
          <w:rFonts w:ascii="Times New Roman" w:eastAsia="Times New Roman"/>
        </w:rPr>
        <w:t>(</w:t>
      </w:r>
      <w:r>
        <w:rPr/>
        <w:t>一</w:t>
      </w:r>
      <w:r>
        <w:rPr>
          <w:rFonts w:ascii="Times New Roman" w:eastAsia="Times New Roman"/>
          <w:spacing w:val="18"/>
        </w:rPr>
        <w:t>) </w:t>
      </w:r>
      <w:r>
        <w:rPr>
          <w:spacing w:val="-2"/>
        </w:rPr>
        <w:t>现金分红政策的制定、执行或调整情况</w:t>
      </w:r>
    </w:p>
    <w:p>
      <w:pPr>
        <w:pStyle w:val="BodyText"/>
        <w:tabs>
          <w:tab w:pos="1929" w:val="left" w:leader="none"/>
        </w:tabs>
        <w:spacing w:before="55"/>
        <w:ind w:left="1182"/>
      </w:pPr>
      <w:r>
        <w:rPr>
          <w:rFonts w:ascii="Times New Roman" w:hAnsi="Times New Roman" w:eastAsia="Times New Roman"/>
        </w:rPr>
        <w:t>√</w:t>
      </w:r>
      <w:r>
        <w:rPr/>
        <w:t>适用</w:t>
        <w:tab/>
      </w:r>
      <w:r>
        <w:rPr>
          <w:rFonts w:ascii="Times New Roman" w:hAnsi="Times New Roman" w:eastAsia="Times New Roman"/>
        </w:rPr>
        <w:t>□</w:t>
      </w:r>
      <w:r>
        <w:rPr>
          <w:spacing w:val="-3"/>
        </w:rPr>
        <w:t>不</w:t>
      </w:r>
      <w:r>
        <w:rPr/>
        <w:t>适用</w:t>
      </w:r>
    </w:p>
    <w:p>
      <w:pPr>
        <w:pStyle w:val="BodyText"/>
        <w:spacing w:line="417" w:lineRule="auto" w:before="120"/>
        <w:ind w:left="758" w:right="407" w:firstLine="424"/>
      </w:pPr>
      <w:r>
        <w:rPr>
          <w:spacing w:val="-17"/>
        </w:rPr>
        <w:t>公司 </w:t>
      </w:r>
      <w:r>
        <w:rPr>
          <w:rFonts w:ascii="Times New Roman" w:eastAsia="Times New Roman"/>
        </w:rPr>
        <w:t>2020 </w:t>
      </w:r>
      <w:r>
        <w:rPr>
          <w:spacing w:val="-25"/>
        </w:rPr>
        <w:t>年 </w:t>
      </w:r>
      <w:r>
        <w:rPr>
          <w:rFonts w:ascii="Times New Roman" w:eastAsia="Times New Roman"/>
        </w:rPr>
        <w:t>6 </w:t>
      </w:r>
      <w:r>
        <w:rPr>
          <w:spacing w:val="-24"/>
        </w:rPr>
        <w:t>月 </w:t>
      </w:r>
      <w:r>
        <w:rPr>
          <w:rFonts w:ascii="Times New Roman" w:eastAsia="Times New Roman"/>
        </w:rPr>
        <w:t>3 </w:t>
      </w:r>
      <w:r>
        <w:rPr>
          <w:spacing w:val="-13"/>
        </w:rPr>
        <w:t>日召开的 </w:t>
      </w:r>
      <w:r>
        <w:rPr>
          <w:rFonts w:ascii="Times New Roman" w:eastAsia="Times New Roman"/>
        </w:rPr>
        <w:t>2019 </w:t>
      </w:r>
      <w:r>
        <w:rPr>
          <w:spacing w:val="-7"/>
        </w:rPr>
        <w:t>年年度股东大会审议通过了公司 </w:t>
      </w:r>
      <w:r>
        <w:rPr>
          <w:rFonts w:ascii="Times New Roman" w:eastAsia="Times New Roman"/>
        </w:rPr>
        <w:t>2019 </w:t>
      </w:r>
      <w:r>
        <w:rPr>
          <w:spacing w:val="-3"/>
        </w:rPr>
        <w:t>年度利润分配方案： </w:t>
      </w:r>
      <w:r>
        <w:rPr>
          <w:spacing w:val="-9"/>
        </w:rPr>
        <w:t>以分配时的股本 </w:t>
      </w:r>
      <w:r>
        <w:rPr>
          <w:rFonts w:ascii="Times New Roman" w:eastAsia="Times New Roman"/>
        </w:rPr>
        <w:t>6,579,566,627 </w:t>
      </w:r>
      <w:r>
        <w:rPr>
          <w:spacing w:val="-10"/>
        </w:rPr>
        <w:t>股</w:t>
      </w:r>
      <w:r>
        <w:rPr/>
        <w:t>（</w:t>
      </w:r>
      <w:r>
        <w:rPr>
          <w:spacing w:val="23"/>
        </w:rPr>
        <w:t>其中</w:t>
      </w:r>
      <w:r>
        <w:rPr>
          <w:rFonts w:ascii="Times New Roman" w:eastAsia="Times New Roman"/>
        </w:rPr>
        <w:t>A </w:t>
      </w:r>
      <w:r>
        <w:rPr>
          <w:spacing w:val="-27"/>
        </w:rPr>
        <w:t>股 </w:t>
      </w:r>
      <w:r>
        <w:rPr>
          <w:rFonts w:ascii="Times New Roman" w:eastAsia="Times New Roman"/>
        </w:rPr>
        <w:t>6,308,552,654 </w:t>
      </w:r>
      <w:r>
        <w:rPr>
          <w:spacing w:val="-3"/>
        </w:rPr>
        <w:t>股，</w:t>
      </w:r>
      <w:r>
        <w:rPr>
          <w:rFonts w:ascii="Times New Roman" w:eastAsia="Times New Roman"/>
          <w:spacing w:val="-5"/>
        </w:rPr>
        <w:t>D </w:t>
      </w:r>
      <w:r>
        <w:rPr>
          <w:spacing w:val="-25"/>
        </w:rPr>
        <w:t>股 </w:t>
      </w:r>
      <w:r>
        <w:rPr>
          <w:rFonts w:ascii="Times New Roman" w:eastAsia="Times New Roman"/>
        </w:rPr>
        <w:t>271,013,973 </w:t>
      </w:r>
      <w:r>
        <w:rPr/>
        <w:t>股</w:t>
      </w:r>
      <w:r>
        <w:rPr>
          <w:spacing w:val="-10"/>
        </w:rPr>
        <w:t>）</w:t>
      </w:r>
      <w:r>
        <w:rPr>
          <w:spacing w:val="-4"/>
        </w:rPr>
        <w:t>为基数，向</w:t>
      </w:r>
      <w:r>
        <w:rPr>
          <w:spacing w:val="-12"/>
        </w:rPr>
        <w:t>全体股东每 </w:t>
      </w:r>
      <w:r>
        <w:rPr>
          <w:rFonts w:ascii="Times New Roman" w:eastAsia="Times New Roman"/>
        </w:rPr>
        <w:t>10 </w:t>
      </w:r>
      <w:r>
        <w:rPr>
          <w:spacing w:val="-9"/>
        </w:rPr>
        <w:t>股派发现金红利 </w:t>
      </w:r>
      <w:r>
        <w:rPr>
          <w:rFonts w:ascii="Times New Roman" w:eastAsia="Times New Roman"/>
        </w:rPr>
        <w:t>3.75 </w:t>
      </w:r>
      <w:r>
        <w:rPr>
          <w:spacing w:val="-10"/>
        </w:rPr>
        <w:t>元</w:t>
      </w:r>
      <w:r>
        <w:rPr>
          <w:spacing w:val="-3"/>
        </w:rPr>
        <w:t>（</w:t>
      </w:r>
      <w:r>
        <w:rPr>
          <w:spacing w:val="-2"/>
        </w:rPr>
        <w:t>含税</w:t>
      </w:r>
      <w:r>
        <w:rPr>
          <w:spacing w:val="-12"/>
        </w:rPr>
        <w:t>）</w:t>
      </w:r>
      <w:r>
        <w:rPr>
          <w:spacing w:val="-10"/>
        </w:rPr>
        <w:t>，税前共计派发股利 </w:t>
      </w:r>
      <w:r>
        <w:rPr>
          <w:rFonts w:ascii="Times New Roman" w:eastAsia="Times New Roman"/>
        </w:rPr>
        <w:t>2,467,337,485.12 </w:t>
      </w:r>
      <w:r>
        <w:rPr>
          <w:spacing w:val="-4"/>
        </w:rPr>
        <w:t>元。该方案</w:t>
      </w:r>
    </w:p>
    <w:p>
      <w:pPr>
        <w:pStyle w:val="BodyText"/>
        <w:spacing w:line="417" w:lineRule="auto"/>
        <w:ind w:left="758" w:right="510"/>
        <w:jc w:val="both"/>
      </w:pPr>
      <w:r>
        <w:rPr>
          <w:spacing w:val="-17"/>
        </w:rPr>
        <w:t>已于 </w:t>
      </w:r>
      <w:r>
        <w:rPr>
          <w:rFonts w:ascii="Times New Roman" w:eastAsia="Times New Roman"/>
        </w:rPr>
        <w:t>2020 </w:t>
      </w:r>
      <w:r>
        <w:rPr>
          <w:spacing w:val="-25"/>
        </w:rPr>
        <w:t>年 </w:t>
      </w:r>
      <w:r>
        <w:rPr>
          <w:rFonts w:ascii="Times New Roman" w:eastAsia="Times New Roman"/>
        </w:rPr>
        <w:t>7 </w:t>
      </w:r>
      <w:r>
        <w:rPr>
          <w:spacing w:val="-15"/>
        </w:rPr>
        <w:t>月份实施完毕。详见公司 </w:t>
      </w:r>
      <w:r>
        <w:rPr>
          <w:rFonts w:ascii="Times New Roman" w:eastAsia="Times New Roman"/>
        </w:rPr>
        <w:t>2020 </w:t>
      </w:r>
      <w:r>
        <w:rPr>
          <w:spacing w:val="-26"/>
        </w:rPr>
        <w:t>年 </w:t>
      </w:r>
      <w:r>
        <w:rPr>
          <w:rFonts w:ascii="Times New Roman" w:eastAsia="Times New Roman"/>
        </w:rPr>
        <w:t>7 </w:t>
      </w:r>
      <w:r>
        <w:rPr>
          <w:spacing w:val="-26"/>
        </w:rPr>
        <w:t>月 </w:t>
      </w:r>
      <w:r>
        <w:rPr>
          <w:rFonts w:ascii="Times New Roman" w:eastAsia="Times New Roman"/>
        </w:rPr>
        <w:t>10 </w:t>
      </w:r>
      <w:r>
        <w:rPr>
          <w:spacing w:val="-3"/>
        </w:rPr>
        <w:t>日刊登在四大证券报以及上海证券交易所</w:t>
      </w:r>
      <w:r>
        <w:rPr>
          <w:spacing w:val="-11"/>
        </w:rPr>
        <w:t>网站上的《海尔智家股份有限公司 </w:t>
      </w:r>
      <w:r>
        <w:rPr>
          <w:rFonts w:ascii="Times New Roman" w:eastAsia="Times New Roman"/>
        </w:rPr>
        <w:t>2019 </w:t>
      </w:r>
      <w:r>
        <w:rPr>
          <w:spacing w:val="15"/>
        </w:rPr>
        <w:t>年年度</w:t>
      </w:r>
      <w:r>
        <w:rPr>
          <w:rFonts w:ascii="Times New Roman" w:eastAsia="Times New Roman"/>
        </w:rPr>
        <w:t>A </w:t>
      </w:r>
      <w:r>
        <w:rPr>
          <w:spacing w:val="-9"/>
        </w:rPr>
        <w:t>股权益分派实施公告》</w:t>
      </w:r>
      <w:r>
        <w:rPr>
          <w:spacing w:val="-3"/>
        </w:rPr>
        <w:t>（</w:t>
      </w:r>
      <w:r>
        <w:rPr>
          <w:spacing w:val="-16"/>
        </w:rPr>
        <w:t>编号：临 </w:t>
      </w:r>
      <w:r>
        <w:rPr>
          <w:rFonts w:ascii="Times New Roman" w:eastAsia="Times New Roman"/>
          <w:spacing w:val="-8"/>
        </w:rPr>
        <w:t>2020-032</w:t>
      </w:r>
      <w:r>
        <w:rPr>
          <w:spacing w:val="-8"/>
        </w:rPr>
        <w:t>）， </w:t>
      </w:r>
      <w:r>
        <w:rPr>
          <w:spacing w:val="1"/>
        </w:rPr>
        <w:t>以及刊登在公司网站等上的</w:t>
      </w:r>
      <w:r>
        <w:rPr>
          <w:rFonts w:ascii="Times New Roman" w:eastAsia="Times New Roman"/>
        </w:rPr>
        <w:t>D </w:t>
      </w:r>
      <w:r>
        <w:rPr>
          <w:spacing w:val="-3"/>
        </w:rPr>
        <w:t>股权益派发相关公告。</w:t>
      </w:r>
    </w:p>
    <w:p>
      <w:pPr>
        <w:pStyle w:val="BodyText"/>
        <w:spacing w:line="417" w:lineRule="auto"/>
        <w:ind w:left="758" w:right="510" w:firstLine="424"/>
        <w:jc w:val="both"/>
      </w:pPr>
      <w:r>
        <w:rPr>
          <w:spacing w:val="-3"/>
        </w:rPr>
        <w:t>公司一直坚持连续、稳定的利润分配政策。报告期内，公司严格执行公司章程以及公司《未来三年</w:t>
      </w:r>
      <w:r>
        <w:rPr/>
        <w:t>（</w:t>
      </w:r>
      <w:r>
        <w:rPr>
          <w:rFonts w:ascii="Times New Roman" w:eastAsia="Times New Roman"/>
        </w:rPr>
        <w:t>2018 </w:t>
      </w:r>
      <w:r>
        <w:rPr/>
        <w:t>年度</w:t>
      </w:r>
      <w:r>
        <w:rPr>
          <w:rFonts w:ascii="Times New Roman" w:eastAsia="Times New Roman"/>
        </w:rPr>
        <w:t>-2020 </w:t>
      </w:r>
      <w:r>
        <w:rPr/>
        <w:t>年度</w:t>
      </w:r>
      <w:r>
        <w:rPr>
          <w:spacing w:val="-3"/>
        </w:rPr>
        <w:t>）股东回报规划》的规定，在拟订利润分配方案时，充分考虑对投资者的回报，同时兼顾公司的长远利益、全体股东的整体利益及公司的可持续发展，执行稳健的分红政策，为投资者提供分享公司成长价值的机会，使投资者形成稳定的回报预期。公司执行的公司章程及股东回报规划等制度决策程序和机制完备合规，过程公开透明，分红标准和比例明确清晰。政策制定过程中，独立董事的职责明确，能发挥应有的作用，中小股东有充分表达意见和</w:t>
      </w:r>
      <w:r>
        <w:rPr>
          <w:spacing w:val="-18"/>
        </w:rPr>
        <w:t>诉求的机会，中小股东的合法权益得到充分维护。报告期内，公司推出了新的未来三年</w:t>
      </w:r>
      <w:r>
        <w:rPr/>
        <w:t>（</w:t>
      </w:r>
      <w:r>
        <w:rPr>
          <w:rFonts w:ascii="Times New Roman" w:eastAsia="Times New Roman"/>
        </w:rPr>
        <w:t>2021-2023 </w:t>
      </w:r>
      <w:r>
        <w:rPr/>
        <w:t>年度</w:t>
      </w:r>
      <w:r>
        <w:rPr>
          <w:spacing w:val="-3"/>
        </w:rPr>
        <w:t>）股东回报规划，将进一步提高公司现金分红水平，增加股东回报。</w:t>
      </w:r>
    </w:p>
    <w:p>
      <w:pPr>
        <w:pStyle w:val="BodyText"/>
        <w:spacing w:line="268" w:lineRule="exact"/>
        <w:ind w:left="1182"/>
        <w:jc w:val="both"/>
      </w:pPr>
      <w:r>
        <w:rPr/>
        <w:t>公司 </w:t>
      </w:r>
      <w:r>
        <w:rPr>
          <w:rFonts w:ascii="Times New Roman" w:eastAsia="Times New Roman"/>
        </w:rPr>
        <w:t>2020 </w:t>
      </w:r>
      <w:r>
        <w:rPr/>
        <w:t>年度分红方案为：以未来实施分配方案时股权登记日扣除回购专户上已回购股份后</w:t>
      </w:r>
    </w:p>
    <w:p>
      <w:pPr>
        <w:pStyle w:val="BodyText"/>
        <w:spacing w:before="6"/>
        <w:rPr>
          <w:sz w:val="15"/>
        </w:rPr>
      </w:pPr>
    </w:p>
    <w:p>
      <w:pPr>
        <w:pStyle w:val="BodyText"/>
        <w:spacing w:line="417" w:lineRule="auto"/>
        <w:ind w:left="758" w:right="507"/>
        <w:jc w:val="both"/>
      </w:pPr>
      <w:r>
        <w:rPr>
          <w:spacing w:val="-19"/>
        </w:rPr>
        <w:t>的总股本为基数，每 </w:t>
      </w:r>
      <w:r>
        <w:rPr>
          <w:rFonts w:ascii="Times New Roman" w:eastAsia="Times New Roman"/>
        </w:rPr>
        <w:t>10 </w:t>
      </w:r>
      <w:r>
        <w:rPr>
          <w:spacing w:val="-9"/>
        </w:rPr>
        <w:t>股分配现金股利 </w:t>
      </w:r>
      <w:r>
        <w:rPr>
          <w:rFonts w:ascii="Times New Roman" w:eastAsia="Times New Roman"/>
        </w:rPr>
        <w:t>3.66 </w:t>
      </w:r>
      <w:r>
        <w:rPr>
          <w:spacing w:val="-101"/>
        </w:rPr>
        <w:t>元</w:t>
      </w:r>
      <w:r>
        <w:rPr>
          <w:spacing w:val="-3"/>
        </w:rPr>
        <w:t>（</w:t>
      </w:r>
      <w:r>
        <w:rPr>
          <w:spacing w:val="-2"/>
        </w:rPr>
        <w:t>含税</w:t>
      </w:r>
      <w:r>
        <w:rPr>
          <w:spacing w:val="-104"/>
        </w:rPr>
        <w:t>），</w:t>
      </w:r>
      <w:r>
        <w:rPr>
          <w:spacing w:val="-7"/>
        </w:rPr>
        <w:t>预计分配现金红利不低于 </w:t>
      </w:r>
      <w:r>
        <w:rPr>
          <w:rFonts w:ascii="Times New Roman" w:eastAsia="Times New Roman"/>
        </w:rPr>
        <w:t>3,397,277,612.09 </w:t>
      </w:r>
      <w:r>
        <w:rPr>
          <w:spacing w:val="-3"/>
        </w:rPr>
        <w:t>元，留存的未分配利润将主要用于与公司主营业务相关的项目建设、对外投资、研发投入和日常</w:t>
      </w:r>
      <w:r>
        <w:rPr>
          <w:spacing w:val="-12"/>
        </w:rPr>
        <w:t>运营，保持公司持续稳定发展，更好的回报投资者。本次分红金额占公司 </w:t>
      </w:r>
      <w:r>
        <w:rPr>
          <w:rFonts w:ascii="Times New Roman" w:eastAsia="Times New Roman"/>
        </w:rPr>
        <w:t>2020 </w:t>
      </w:r>
      <w:r>
        <w:rPr>
          <w:spacing w:val="-3"/>
        </w:rPr>
        <w:t>年度归母净利润的</w:t>
      </w:r>
      <w:r>
        <w:rPr>
          <w:spacing w:val="-20"/>
        </w:rPr>
        <w:t>比例 </w:t>
      </w:r>
      <w:r>
        <w:rPr>
          <w:rFonts w:ascii="Times New Roman" w:eastAsia="Times New Roman"/>
        </w:rPr>
        <w:t>38.27%</w:t>
      </w:r>
      <w:r>
        <w:rPr>
          <w:spacing w:val="-6"/>
        </w:rPr>
        <w:t>，现金分红在本次分红方案中的比例为 </w:t>
      </w:r>
      <w:r>
        <w:rPr>
          <w:rFonts w:ascii="Times New Roman" w:eastAsia="Times New Roman"/>
        </w:rPr>
        <w:t>100%</w:t>
      </w:r>
      <w:r>
        <w:rPr/>
        <w:t>。</w:t>
      </w:r>
    </w:p>
    <w:p>
      <w:pPr>
        <w:pStyle w:val="BodyText"/>
        <w:spacing w:before="8"/>
        <w:rPr>
          <w:sz w:val="17"/>
        </w:rPr>
      </w:pPr>
    </w:p>
    <w:p>
      <w:pPr>
        <w:pStyle w:val="Heading4"/>
        <w:ind w:left="758"/>
      </w:pPr>
      <w:r>
        <w:rPr>
          <w:rFonts w:ascii="Times New Roman" w:eastAsia="Times New Roman"/>
        </w:rPr>
        <w:t>(</w:t>
      </w:r>
      <w:r>
        <w:rPr/>
        <w:t>二</w:t>
      </w:r>
      <w:r>
        <w:rPr>
          <w:rFonts w:ascii="Times New Roman" w:eastAsia="Times New Roman"/>
        </w:rPr>
        <w:t>) </w:t>
      </w:r>
      <w:r>
        <w:rPr/>
        <w:t>公司近三年（含报告期）的普通股股利分配方案或预案、资本公积金转增股本方案或预案</w:t>
      </w:r>
    </w:p>
    <w:p>
      <w:pPr>
        <w:pStyle w:val="BodyText"/>
        <w:tabs>
          <w:tab w:pos="1051" w:val="left" w:leader="none"/>
        </w:tabs>
        <w:spacing w:before="55" w:after="21"/>
        <w:ind w:right="510"/>
        <w:jc w:val="right"/>
      </w:pPr>
      <w:r>
        <w:rPr/>
        <w:t>单位：元</w:t>
        <w:tab/>
      </w:r>
      <w:r>
        <w:rPr>
          <w:spacing w:val="-1"/>
        </w:rPr>
        <w:t>币</w:t>
      </w:r>
      <w:r>
        <w:rPr>
          <w:spacing w:val="-3"/>
        </w:rPr>
        <w:t>种</w:t>
      </w:r>
      <w:r>
        <w:rPr/>
        <w:t>：</w:t>
      </w:r>
      <w:r>
        <w:rPr>
          <w:spacing w:val="-3"/>
        </w:rPr>
        <w:t>人</w:t>
      </w:r>
      <w:r>
        <w:rPr/>
        <w:t>民币</w:t>
      </w:r>
    </w:p>
    <w:tbl>
      <w:tblPr>
        <w:tblW w:w="0" w:type="auto"/>
        <w:jc w:val="left"/>
        <w:tblInd w:w="66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36"/>
        <w:gridCol w:w="1135"/>
        <w:gridCol w:w="1092"/>
        <w:gridCol w:w="1135"/>
        <w:gridCol w:w="1685"/>
        <w:gridCol w:w="1688"/>
        <w:gridCol w:w="1378"/>
      </w:tblGrid>
      <w:tr>
        <w:trPr>
          <w:trHeight w:val="1870" w:hRule="atLeast"/>
        </w:trPr>
        <w:tc>
          <w:tcPr>
            <w:tcW w:w="936" w:type="dxa"/>
            <w:tcBorders>
              <w:right w:val="single" w:sz="4" w:space="0" w:color="000000"/>
            </w:tcBorders>
            <w:shd w:val="clear" w:color="auto" w:fill="EDEBE0"/>
          </w:tcPr>
          <w:p>
            <w:pPr>
              <w:pStyle w:val="TableParagraph"/>
              <w:rPr>
                <w:rFonts w:ascii="宋体"/>
                <w:sz w:val="20"/>
              </w:rPr>
            </w:pPr>
          </w:p>
          <w:p>
            <w:pPr>
              <w:pStyle w:val="TableParagraph"/>
              <w:rPr>
                <w:rFonts w:ascii="宋体"/>
                <w:sz w:val="20"/>
              </w:rPr>
            </w:pPr>
          </w:p>
          <w:p>
            <w:pPr>
              <w:pStyle w:val="TableParagraph"/>
              <w:spacing w:line="278" w:lineRule="auto" w:before="136"/>
              <w:ind w:left="256" w:right="235"/>
              <w:rPr>
                <w:rFonts w:ascii="宋体" w:eastAsia="宋体" w:hint="eastAsia"/>
                <w:sz w:val="21"/>
              </w:rPr>
            </w:pPr>
            <w:r>
              <w:rPr>
                <w:rFonts w:ascii="宋体" w:eastAsia="宋体" w:hint="eastAsia"/>
                <w:sz w:val="21"/>
              </w:rPr>
              <w:t>分红年度</w:t>
            </w:r>
          </w:p>
        </w:tc>
        <w:tc>
          <w:tcPr>
            <w:tcW w:w="1135" w:type="dxa"/>
            <w:tcBorders>
              <w:left w:val="single" w:sz="4" w:space="0" w:color="000000"/>
              <w:right w:val="single" w:sz="4" w:space="0" w:color="000000"/>
            </w:tcBorders>
            <w:shd w:val="clear" w:color="auto" w:fill="EDEBE0"/>
          </w:tcPr>
          <w:p>
            <w:pPr>
              <w:pStyle w:val="TableParagraph"/>
              <w:rPr>
                <w:rFonts w:ascii="宋体"/>
                <w:sz w:val="20"/>
              </w:rPr>
            </w:pPr>
          </w:p>
          <w:p>
            <w:pPr>
              <w:pStyle w:val="TableParagraph"/>
              <w:spacing w:before="5"/>
              <w:rPr>
                <w:rFonts w:ascii="宋体"/>
                <w:sz w:val="18"/>
              </w:rPr>
            </w:pPr>
          </w:p>
          <w:p>
            <w:pPr>
              <w:pStyle w:val="TableParagraph"/>
              <w:spacing w:line="278" w:lineRule="auto"/>
              <w:ind w:left="114" w:right="88"/>
              <w:jc w:val="center"/>
              <w:rPr>
                <w:rFonts w:ascii="宋体" w:eastAsia="宋体" w:hint="eastAsia"/>
                <w:sz w:val="21"/>
              </w:rPr>
            </w:pPr>
            <w:r>
              <w:rPr>
                <w:rFonts w:ascii="宋体" w:eastAsia="宋体" w:hint="eastAsia"/>
                <w:spacing w:val="-32"/>
                <w:sz w:val="21"/>
              </w:rPr>
              <w:t>每 </w:t>
            </w:r>
            <w:r>
              <w:rPr>
                <w:sz w:val="21"/>
              </w:rPr>
              <w:t>10</w:t>
            </w:r>
            <w:r>
              <w:rPr>
                <w:spacing w:val="-11"/>
                <w:sz w:val="21"/>
              </w:rPr>
              <w:t> </w:t>
            </w:r>
            <w:r>
              <w:rPr>
                <w:rFonts w:ascii="宋体" w:eastAsia="宋体" w:hint="eastAsia"/>
                <w:spacing w:val="-10"/>
                <w:sz w:val="21"/>
              </w:rPr>
              <w:t>股送</w:t>
            </w:r>
            <w:r>
              <w:rPr>
                <w:rFonts w:ascii="宋体" w:eastAsia="宋体" w:hint="eastAsia"/>
                <w:sz w:val="21"/>
              </w:rPr>
              <w:t>红股数</w:t>
            </w:r>
          </w:p>
          <w:p>
            <w:pPr>
              <w:pStyle w:val="TableParagraph"/>
              <w:spacing w:line="269" w:lineRule="exact"/>
              <w:ind w:left="114" w:right="88"/>
              <w:jc w:val="center"/>
              <w:rPr>
                <w:rFonts w:ascii="宋体" w:eastAsia="宋体" w:hint="eastAsia"/>
                <w:sz w:val="21"/>
              </w:rPr>
            </w:pPr>
            <w:r>
              <w:rPr>
                <w:rFonts w:ascii="宋体" w:eastAsia="宋体" w:hint="eastAsia"/>
                <w:sz w:val="21"/>
              </w:rPr>
              <w:t>（股）</w:t>
            </w:r>
          </w:p>
        </w:tc>
        <w:tc>
          <w:tcPr>
            <w:tcW w:w="1092" w:type="dxa"/>
            <w:tcBorders>
              <w:left w:val="single" w:sz="4" w:space="0" w:color="000000"/>
              <w:right w:val="single" w:sz="4" w:space="0" w:color="000000"/>
            </w:tcBorders>
            <w:shd w:val="clear" w:color="auto" w:fill="EDEBE0"/>
          </w:tcPr>
          <w:p>
            <w:pPr>
              <w:pStyle w:val="TableParagraph"/>
              <w:spacing w:before="3"/>
              <w:rPr>
                <w:rFonts w:ascii="宋体"/>
                <w:sz w:val="26"/>
              </w:rPr>
            </w:pPr>
          </w:p>
          <w:p>
            <w:pPr>
              <w:pStyle w:val="TableParagraph"/>
              <w:spacing w:line="278" w:lineRule="auto"/>
              <w:ind w:left="170" w:right="136" w:hanging="3"/>
              <w:jc w:val="center"/>
              <w:rPr>
                <w:rFonts w:ascii="宋体" w:eastAsia="宋体" w:hint="eastAsia"/>
                <w:sz w:val="21"/>
              </w:rPr>
            </w:pPr>
            <w:r>
              <w:rPr>
                <w:rFonts w:ascii="宋体" w:eastAsia="宋体" w:hint="eastAsia"/>
                <w:spacing w:val="-27"/>
                <w:sz w:val="21"/>
              </w:rPr>
              <w:t>每 </w:t>
            </w:r>
            <w:r>
              <w:rPr>
                <w:sz w:val="21"/>
              </w:rPr>
              <w:t>10 </w:t>
            </w:r>
            <w:r>
              <w:rPr>
                <w:rFonts w:ascii="宋体" w:eastAsia="宋体" w:hint="eastAsia"/>
                <w:sz w:val="21"/>
              </w:rPr>
              <w:t>股派息数 </w:t>
            </w:r>
            <w:r>
              <w:rPr>
                <w:sz w:val="21"/>
              </w:rPr>
              <w:t>(</w:t>
            </w:r>
            <w:r>
              <w:rPr>
                <w:rFonts w:ascii="宋体" w:eastAsia="宋体" w:hint="eastAsia"/>
                <w:sz w:val="21"/>
              </w:rPr>
              <w:t>元</w:t>
            </w:r>
            <w:r>
              <w:rPr>
                <w:sz w:val="21"/>
              </w:rPr>
              <w:t>)</w:t>
            </w:r>
            <w:r>
              <w:rPr>
                <w:rFonts w:ascii="宋体" w:eastAsia="宋体" w:hint="eastAsia"/>
                <w:sz w:val="21"/>
              </w:rPr>
              <w:t>（</w:t>
            </w:r>
            <w:r>
              <w:rPr>
                <w:rFonts w:ascii="宋体" w:eastAsia="宋体" w:hint="eastAsia"/>
                <w:spacing w:val="-17"/>
                <w:sz w:val="21"/>
              </w:rPr>
              <w:t>含</w:t>
            </w:r>
            <w:r>
              <w:rPr>
                <w:rFonts w:ascii="宋体" w:eastAsia="宋体" w:hint="eastAsia"/>
                <w:sz w:val="21"/>
              </w:rPr>
              <w:t>税）</w:t>
            </w:r>
          </w:p>
        </w:tc>
        <w:tc>
          <w:tcPr>
            <w:tcW w:w="1135" w:type="dxa"/>
            <w:tcBorders>
              <w:left w:val="single" w:sz="4" w:space="0" w:color="000000"/>
              <w:right w:val="single" w:sz="4" w:space="0" w:color="000000"/>
            </w:tcBorders>
            <w:shd w:val="clear" w:color="auto" w:fill="EDEBE0"/>
          </w:tcPr>
          <w:p>
            <w:pPr>
              <w:pStyle w:val="TableParagraph"/>
              <w:rPr>
                <w:rFonts w:ascii="宋体"/>
                <w:sz w:val="20"/>
              </w:rPr>
            </w:pPr>
          </w:p>
          <w:p>
            <w:pPr>
              <w:pStyle w:val="TableParagraph"/>
              <w:rPr>
                <w:rFonts w:ascii="宋体"/>
                <w:sz w:val="20"/>
              </w:rPr>
            </w:pPr>
          </w:p>
          <w:p>
            <w:pPr>
              <w:pStyle w:val="TableParagraph"/>
              <w:spacing w:line="278" w:lineRule="auto" w:before="136"/>
              <w:ind w:left="115" w:right="-29"/>
              <w:rPr>
                <w:rFonts w:ascii="宋体" w:eastAsia="宋体" w:hint="eastAsia"/>
                <w:sz w:val="21"/>
              </w:rPr>
            </w:pPr>
            <w:r>
              <w:rPr>
                <w:rFonts w:ascii="宋体" w:eastAsia="宋体" w:hint="eastAsia"/>
                <w:spacing w:val="-33"/>
                <w:sz w:val="21"/>
              </w:rPr>
              <w:t>每 </w:t>
            </w:r>
            <w:r>
              <w:rPr>
                <w:sz w:val="21"/>
              </w:rPr>
              <w:t>10</w:t>
            </w:r>
            <w:r>
              <w:rPr>
                <w:spacing w:val="-12"/>
                <w:sz w:val="21"/>
              </w:rPr>
              <w:t> </w:t>
            </w:r>
            <w:r>
              <w:rPr>
                <w:rFonts w:ascii="宋体" w:eastAsia="宋体" w:hint="eastAsia"/>
                <w:spacing w:val="-3"/>
                <w:sz w:val="21"/>
              </w:rPr>
              <w:t>股转</w:t>
            </w:r>
            <w:r>
              <w:rPr>
                <w:rFonts w:ascii="宋体" w:eastAsia="宋体" w:hint="eastAsia"/>
                <w:spacing w:val="-14"/>
                <w:sz w:val="21"/>
              </w:rPr>
              <w:t>增数</w:t>
            </w:r>
            <w:r>
              <w:rPr>
                <w:rFonts w:ascii="宋体" w:eastAsia="宋体" w:hint="eastAsia"/>
                <w:sz w:val="21"/>
              </w:rPr>
              <w:t>（</w:t>
            </w:r>
            <w:r>
              <w:rPr>
                <w:rFonts w:ascii="宋体" w:eastAsia="宋体" w:hint="eastAsia"/>
                <w:spacing w:val="-3"/>
                <w:sz w:val="21"/>
              </w:rPr>
              <w:t>股</w:t>
            </w:r>
            <w:r>
              <w:rPr>
                <w:rFonts w:ascii="宋体" w:eastAsia="宋体" w:hint="eastAsia"/>
                <w:sz w:val="21"/>
              </w:rPr>
              <w:t>）</w:t>
            </w:r>
          </w:p>
        </w:tc>
        <w:tc>
          <w:tcPr>
            <w:tcW w:w="1685" w:type="dxa"/>
            <w:tcBorders>
              <w:left w:val="single" w:sz="4" w:space="0" w:color="000000"/>
              <w:right w:val="single" w:sz="4" w:space="0" w:color="000000"/>
            </w:tcBorders>
            <w:shd w:val="clear" w:color="auto" w:fill="EDEBE0"/>
          </w:tcPr>
          <w:p>
            <w:pPr>
              <w:pStyle w:val="TableParagraph"/>
              <w:rPr>
                <w:rFonts w:ascii="宋体"/>
                <w:sz w:val="20"/>
              </w:rPr>
            </w:pPr>
          </w:p>
          <w:p>
            <w:pPr>
              <w:pStyle w:val="TableParagraph"/>
              <w:rPr>
                <w:rFonts w:ascii="宋体"/>
                <w:sz w:val="20"/>
              </w:rPr>
            </w:pPr>
          </w:p>
          <w:p>
            <w:pPr>
              <w:pStyle w:val="TableParagraph"/>
              <w:spacing w:before="136"/>
              <w:ind w:left="100" w:right="65"/>
              <w:jc w:val="center"/>
              <w:rPr>
                <w:rFonts w:ascii="宋体" w:eastAsia="宋体" w:hint="eastAsia"/>
                <w:sz w:val="21"/>
              </w:rPr>
            </w:pPr>
            <w:r>
              <w:rPr>
                <w:rFonts w:ascii="宋体" w:eastAsia="宋体" w:hint="eastAsia"/>
                <w:sz w:val="21"/>
              </w:rPr>
              <w:t>现金分红的数额</w:t>
            </w:r>
          </w:p>
          <w:p>
            <w:pPr>
              <w:pStyle w:val="TableParagraph"/>
              <w:spacing w:before="43"/>
              <w:ind w:left="98" w:right="65"/>
              <w:jc w:val="center"/>
              <w:rPr>
                <w:rFonts w:ascii="宋体" w:eastAsia="宋体" w:hint="eastAsia"/>
                <w:sz w:val="21"/>
              </w:rPr>
            </w:pPr>
            <w:r>
              <w:rPr>
                <w:rFonts w:ascii="宋体" w:eastAsia="宋体" w:hint="eastAsia"/>
                <w:sz w:val="21"/>
              </w:rPr>
              <w:t>（含税）</w:t>
            </w:r>
          </w:p>
        </w:tc>
        <w:tc>
          <w:tcPr>
            <w:tcW w:w="1688" w:type="dxa"/>
            <w:tcBorders>
              <w:left w:val="single" w:sz="4" w:space="0" w:color="000000"/>
              <w:right w:val="single" w:sz="4" w:space="0" w:color="000000"/>
            </w:tcBorders>
            <w:shd w:val="clear" w:color="auto" w:fill="EDEBE0"/>
          </w:tcPr>
          <w:p>
            <w:pPr>
              <w:pStyle w:val="TableParagraph"/>
              <w:spacing w:before="3"/>
              <w:rPr>
                <w:rFonts w:ascii="宋体"/>
                <w:sz w:val="26"/>
              </w:rPr>
            </w:pPr>
          </w:p>
          <w:p>
            <w:pPr>
              <w:pStyle w:val="TableParagraph"/>
              <w:spacing w:line="278" w:lineRule="auto"/>
              <w:ind w:left="118" w:right="83"/>
              <w:jc w:val="center"/>
              <w:rPr>
                <w:rFonts w:ascii="宋体" w:eastAsia="宋体" w:hint="eastAsia"/>
                <w:sz w:val="21"/>
              </w:rPr>
            </w:pPr>
            <w:r>
              <w:rPr>
                <w:rFonts w:ascii="宋体" w:eastAsia="宋体" w:hint="eastAsia"/>
                <w:sz w:val="21"/>
              </w:rPr>
              <w:t>分红年度合并报表中归属于上市公司普通股股东的净利润</w:t>
            </w:r>
          </w:p>
        </w:tc>
        <w:tc>
          <w:tcPr>
            <w:tcW w:w="1378" w:type="dxa"/>
            <w:tcBorders>
              <w:left w:val="single" w:sz="4" w:space="0" w:color="000000"/>
            </w:tcBorders>
            <w:shd w:val="clear" w:color="auto" w:fill="EDEBE0"/>
          </w:tcPr>
          <w:p>
            <w:pPr>
              <w:pStyle w:val="TableParagraph"/>
              <w:spacing w:line="278" w:lineRule="auto" w:before="24"/>
              <w:ind w:left="173" w:right="128"/>
              <w:jc w:val="both"/>
              <w:rPr>
                <w:rFonts w:ascii="宋体" w:eastAsia="宋体" w:hint="eastAsia"/>
                <w:sz w:val="21"/>
              </w:rPr>
            </w:pPr>
            <w:r>
              <w:rPr>
                <w:rFonts w:ascii="宋体" w:eastAsia="宋体" w:hint="eastAsia"/>
                <w:sz w:val="21"/>
              </w:rPr>
              <w:t>占合并报表中归属于上市公司普通股股东的净利润的比率</w:t>
            </w:r>
          </w:p>
          <w:p>
            <w:pPr>
              <w:pStyle w:val="TableParagraph"/>
              <w:spacing w:before="11"/>
              <w:ind w:left="522" w:right="480"/>
              <w:jc w:val="center"/>
              <w:rPr>
                <w:sz w:val="21"/>
              </w:rPr>
            </w:pPr>
            <w:r>
              <w:rPr>
                <w:sz w:val="21"/>
              </w:rPr>
              <w:t>(%)</w:t>
            </w:r>
          </w:p>
        </w:tc>
      </w:tr>
    </w:tbl>
    <w:p>
      <w:pPr>
        <w:spacing w:after="0"/>
        <w:jc w:val="center"/>
        <w:rPr>
          <w:sz w:val="21"/>
        </w:rPr>
        <w:sectPr>
          <w:pgSz w:w="11910" w:h="16840"/>
          <w:pgMar w:header="874" w:footer="1214" w:top="1360" w:bottom="1400" w:left="1040" w:right="760"/>
        </w:sectPr>
      </w:pPr>
    </w:p>
    <w:p>
      <w:pPr>
        <w:pStyle w:val="BodyText"/>
        <w:spacing w:before="10"/>
        <w:rPr>
          <w:sz w:val="11"/>
        </w:rPr>
      </w:pPr>
    </w:p>
    <w:tbl>
      <w:tblPr>
        <w:tblW w:w="0" w:type="auto"/>
        <w:jc w:val="left"/>
        <w:tblInd w:w="66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36"/>
        <w:gridCol w:w="1135"/>
        <w:gridCol w:w="1092"/>
        <w:gridCol w:w="1135"/>
        <w:gridCol w:w="1685"/>
        <w:gridCol w:w="1688"/>
        <w:gridCol w:w="1378"/>
      </w:tblGrid>
      <w:tr>
        <w:trPr>
          <w:trHeight w:val="314" w:hRule="atLeast"/>
        </w:trPr>
        <w:tc>
          <w:tcPr>
            <w:tcW w:w="936" w:type="dxa"/>
            <w:tcBorders>
              <w:bottom w:val="single" w:sz="4" w:space="0" w:color="000000"/>
              <w:right w:val="single" w:sz="4" w:space="0" w:color="000000"/>
            </w:tcBorders>
          </w:tcPr>
          <w:p>
            <w:pPr>
              <w:pStyle w:val="TableParagraph"/>
              <w:spacing w:before="25"/>
              <w:ind w:left="107"/>
              <w:rPr>
                <w:rFonts w:ascii="宋体" w:eastAsia="宋体" w:hint="eastAsia"/>
                <w:sz w:val="21"/>
              </w:rPr>
            </w:pPr>
            <w:r>
              <w:rPr>
                <w:sz w:val="21"/>
              </w:rPr>
              <w:t>2020 </w:t>
            </w:r>
            <w:r>
              <w:rPr>
                <w:rFonts w:ascii="宋体" w:eastAsia="宋体" w:hint="eastAsia"/>
                <w:sz w:val="21"/>
              </w:rPr>
              <w:t>年</w:t>
            </w:r>
          </w:p>
        </w:tc>
        <w:tc>
          <w:tcPr>
            <w:tcW w:w="1135" w:type="dxa"/>
            <w:tcBorders>
              <w:left w:val="single" w:sz="4" w:space="0" w:color="000000"/>
              <w:bottom w:val="single" w:sz="4" w:space="0" w:color="000000"/>
              <w:right w:val="single" w:sz="4" w:space="0" w:color="000000"/>
            </w:tcBorders>
          </w:tcPr>
          <w:p>
            <w:pPr>
              <w:pStyle w:val="TableParagraph"/>
              <w:spacing w:before="36"/>
              <w:ind w:right="88"/>
              <w:jc w:val="right"/>
              <w:rPr>
                <w:sz w:val="21"/>
              </w:rPr>
            </w:pPr>
            <w:r>
              <w:rPr>
                <w:w w:val="100"/>
                <w:sz w:val="21"/>
              </w:rPr>
              <w:t>0</w:t>
            </w:r>
          </w:p>
        </w:tc>
        <w:tc>
          <w:tcPr>
            <w:tcW w:w="1092" w:type="dxa"/>
            <w:tcBorders>
              <w:left w:val="single" w:sz="4" w:space="0" w:color="000000"/>
              <w:bottom w:val="single" w:sz="4" w:space="0" w:color="000000"/>
              <w:right w:val="single" w:sz="4" w:space="0" w:color="000000"/>
            </w:tcBorders>
          </w:tcPr>
          <w:p>
            <w:pPr>
              <w:pStyle w:val="TableParagraph"/>
              <w:spacing w:before="36"/>
              <w:ind w:right="83"/>
              <w:jc w:val="right"/>
              <w:rPr>
                <w:sz w:val="21"/>
              </w:rPr>
            </w:pPr>
            <w:r>
              <w:rPr>
                <w:sz w:val="21"/>
              </w:rPr>
              <w:t>3.66</w:t>
            </w:r>
          </w:p>
        </w:tc>
        <w:tc>
          <w:tcPr>
            <w:tcW w:w="1135" w:type="dxa"/>
            <w:tcBorders>
              <w:left w:val="single" w:sz="4" w:space="0" w:color="000000"/>
              <w:bottom w:val="single" w:sz="4" w:space="0" w:color="000000"/>
              <w:right w:val="single" w:sz="4" w:space="0" w:color="000000"/>
            </w:tcBorders>
          </w:tcPr>
          <w:p>
            <w:pPr>
              <w:pStyle w:val="TableParagraph"/>
              <w:spacing w:before="36"/>
              <w:ind w:right="88"/>
              <w:jc w:val="right"/>
              <w:rPr>
                <w:sz w:val="21"/>
              </w:rPr>
            </w:pPr>
            <w:r>
              <w:rPr>
                <w:w w:val="100"/>
                <w:sz w:val="21"/>
              </w:rPr>
              <w:t>0</w:t>
            </w:r>
          </w:p>
        </w:tc>
        <w:tc>
          <w:tcPr>
            <w:tcW w:w="1685" w:type="dxa"/>
            <w:tcBorders>
              <w:left w:val="single" w:sz="4" w:space="0" w:color="000000"/>
              <w:bottom w:val="single" w:sz="4" w:space="0" w:color="000000"/>
              <w:right w:val="single" w:sz="4" w:space="0" w:color="000000"/>
            </w:tcBorders>
          </w:tcPr>
          <w:p>
            <w:pPr>
              <w:pStyle w:val="TableParagraph"/>
              <w:spacing w:before="36"/>
              <w:ind w:left="100" w:right="65"/>
              <w:jc w:val="center"/>
              <w:rPr>
                <w:sz w:val="21"/>
              </w:rPr>
            </w:pPr>
            <w:r>
              <w:rPr>
                <w:sz w:val="21"/>
              </w:rPr>
              <w:t>3,397,277,612.09</w:t>
            </w:r>
          </w:p>
        </w:tc>
        <w:tc>
          <w:tcPr>
            <w:tcW w:w="1688" w:type="dxa"/>
            <w:tcBorders>
              <w:left w:val="single" w:sz="4" w:space="0" w:color="000000"/>
              <w:bottom w:val="single" w:sz="4" w:space="0" w:color="000000"/>
              <w:right w:val="single" w:sz="4" w:space="0" w:color="000000"/>
            </w:tcBorders>
          </w:tcPr>
          <w:p>
            <w:pPr>
              <w:pStyle w:val="TableParagraph"/>
              <w:spacing w:before="36"/>
              <w:ind w:left="100" w:right="68"/>
              <w:jc w:val="center"/>
              <w:rPr>
                <w:sz w:val="21"/>
              </w:rPr>
            </w:pPr>
            <w:r>
              <w:rPr>
                <w:sz w:val="21"/>
              </w:rPr>
              <w:t>8,876,593,208.19</w:t>
            </w:r>
          </w:p>
        </w:tc>
        <w:tc>
          <w:tcPr>
            <w:tcW w:w="1378" w:type="dxa"/>
            <w:tcBorders>
              <w:left w:val="single" w:sz="4" w:space="0" w:color="000000"/>
              <w:bottom w:val="single" w:sz="4" w:space="0" w:color="000000"/>
            </w:tcBorders>
          </w:tcPr>
          <w:p>
            <w:pPr>
              <w:pStyle w:val="TableParagraph"/>
              <w:spacing w:before="36"/>
              <w:ind w:right="71"/>
              <w:jc w:val="right"/>
              <w:rPr>
                <w:sz w:val="21"/>
              </w:rPr>
            </w:pPr>
            <w:r>
              <w:rPr>
                <w:sz w:val="21"/>
              </w:rPr>
              <w:t>38.27</w:t>
            </w:r>
          </w:p>
        </w:tc>
      </w:tr>
      <w:tr>
        <w:trPr>
          <w:trHeight w:val="311" w:hRule="atLeast"/>
        </w:trPr>
        <w:tc>
          <w:tcPr>
            <w:tcW w:w="936" w:type="dxa"/>
            <w:tcBorders>
              <w:top w:val="single" w:sz="4" w:space="0" w:color="000000"/>
              <w:bottom w:val="single" w:sz="4" w:space="0" w:color="000000"/>
              <w:right w:val="single" w:sz="4" w:space="0" w:color="000000"/>
            </w:tcBorders>
          </w:tcPr>
          <w:p>
            <w:pPr>
              <w:pStyle w:val="TableParagraph"/>
              <w:spacing w:before="22"/>
              <w:ind w:left="107"/>
              <w:rPr>
                <w:rFonts w:ascii="宋体" w:eastAsia="宋体" w:hint="eastAsia"/>
                <w:sz w:val="21"/>
              </w:rPr>
            </w:pPr>
            <w:r>
              <w:rPr>
                <w:sz w:val="21"/>
              </w:rPr>
              <w:t>2019 </w:t>
            </w:r>
            <w:r>
              <w:rPr>
                <w:rFonts w:ascii="宋体" w:eastAsia="宋体" w:hint="eastAsia"/>
                <w:sz w:val="21"/>
              </w:rPr>
              <w:t>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before="34"/>
              <w:ind w:right="88"/>
              <w:jc w:val="right"/>
              <w:rPr>
                <w:sz w:val="21"/>
              </w:rPr>
            </w:pPr>
            <w:r>
              <w:rPr>
                <w:w w:val="100"/>
                <w:sz w:val="21"/>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before="34"/>
              <w:ind w:right="83"/>
              <w:jc w:val="right"/>
              <w:rPr>
                <w:sz w:val="21"/>
              </w:rPr>
            </w:pPr>
            <w:r>
              <w:rPr>
                <w:sz w:val="21"/>
              </w:rPr>
              <w:t>3.75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before="34"/>
              <w:ind w:right="88"/>
              <w:jc w:val="right"/>
              <w:rPr>
                <w:sz w:val="21"/>
              </w:rPr>
            </w:pPr>
            <w:r>
              <w:rPr>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before="34"/>
              <w:ind w:left="100" w:right="65"/>
              <w:jc w:val="center"/>
              <w:rPr>
                <w:sz w:val="21"/>
              </w:rPr>
            </w:pPr>
            <w:r>
              <w:rPr>
                <w:sz w:val="21"/>
              </w:rPr>
              <w:t>2,467,337,485.13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before="34"/>
              <w:ind w:left="100" w:right="68"/>
              <w:jc w:val="center"/>
              <w:rPr>
                <w:sz w:val="21"/>
              </w:rPr>
            </w:pPr>
            <w:r>
              <w:rPr>
                <w:sz w:val="21"/>
              </w:rPr>
              <w:t>8,206,247,105.96</w:t>
            </w:r>
          </w:p>
        </w:tc>
        <w:tc>
          <w:tcPr>
            <w:tcW w:w="1378" w:type="dxa"/>
            <w:tcBorders>
              <w:top w:val="single" w:sz="4" w:space="0" w:color="000000"/>
              <w:left w:val="single" w:sz="4" w:space="0" w:color="000000"/>
              <w:bottom w:val="single" w:sz="4" w:space="0" w:color="000000"/>
            </w:tcBorders>
          </w:tcPr>
          <w:p>
            <w:pPr>
              <w:pStyle w:val="TableParagraph"/>
              <w:spacing w:before="34"/>
              <w:ind w:right="71"/>
              <w:jc w:val="right"/>
              <w:rPr>
                <w:sz w:val="21"/>
              </w:rPr>
            </w:pPr>
            <w:r>
              <w:rPr>
                <w:sz w:val="21"/>
              </w:rPr>
              <w:t>30.07</w:t>
            </w:r>
          </w:p>
        </w:tc>
      </w:tr>
      <w:tr>
        <w:trPr>
          <w:trHeight w:val="311" w:hRule="atLeast"/>
        </w:trPr>
        <w:tc>
          <w:tcPr>
            <w:tcW w:w="936" w:type="dxa"/>
            <w:tcBorders>
              <w:top w:val="single" w:sz="4" w:space="0" w:color="000000"/>
              <w:right w:val="single" w:sz="4" w:space="0" w:color="000000"/>
            </w:tcBorders>
          </w:tcPr>
          <w:p>
            <w:pPr>
              <w:pStyle w:val="TableParagraph"/>
              <w:spacing w:line="269" w:lineRule="exact" w:before="22"/>
              <w:ind w:left="107"/>
              <w:rPr>
                <w:rFonts w:ascii="宋体" w:eastAsia="宋体" w:hint="eastAsia"/>
                <w:sz w:val="21"/>
              </w:rPr>
            </w:pPr>
            <w:r>
              <w:rPr>
                <w:sz w:val="21"/>
              </w:rPr>
              <w:t>2018 </w:t>
            </w:r>
            <w:r>
              <w:rPr>
                <w:rFonts w:ascii="宋体" w:eastAsia="宋体" w:hint="eastAsia"/>
                <w:sz w:val="21"/>
              </w:rPr>
              <w:t>年</w:t>
            </w:r>
          </w:p>
        </w:tc>
        <w:tc>
          <w:tcPr>
            <w:tcW w:w="1135" w:type="dxa"/>
            <w:tcBorders>
              <w:top w:val="single" w:sz="4" w:space="0" w:color="000000"/>
              <w:left w:val="single" w:sz="4" w:space="0" w:color="000000"/>
              <w:right w:val="single" w:sz="4" w:space="0" w:color="000000"/>
            </w:tcBorders>
          </w:tcPr>
          <w:p>
            <w:pPr>
              <w:pStyle w:val="TableParagraph"/>
              <w:spacing w:before="34"/>
              <w:ind w:right="88"/>
              <w:jc w:val="right"/>
              <w:rPr>
                <w:sz w:val="21"/>
              </w:rPr>
            </w:pPr>
            <w:r>
              <w:rPr>
                <w:w w:val="100"/>
                <w:sz w:val="21"/>
              </w:rPr>
              <w:t>0</w:t>
            </w:r>
          </w:p>
        </w:tc>
        <w:tc>
          <w:tcPr>
            <w:tcW w:w="1092" w:type="dxa"/>
            <w:tcBorders>
              <w:top w:val="single" w:sz="4" w:space="0" w:color="000000"/>
              <w:left w:val="single" w:sz="4" w:space="0" w:color="000000"/>
              <w:right w:val="single" w:sz="4" w:space="0" w:color="000000"/>
            </w:tcBorders>
          </w:tcPr>
          <w:p>
            <w:pPr>
              <w:pStyle w:val="TableParagraph"/>
              <w:spacing w:before="34"/>
              <w:ind w:right="83"/>
              <w:jc w:val="right"/>
              <w:rPr>
                <w:sz w:val="21"/>
              </w:rPr>
            </w:pPr>
            <w:r>
              <w:rPr>
                <w:sz w:val="21"/>
              </w:rPr>
              <w:t>3.51</w:t>
            </w:r>
          </w:p>
        </w:tc>
        <w:tc>
          <w:tcPr>
            <w:tcW w:w="1135" w:type="dxa"/>
            <w:tcBorders>
              <w:top w:val="single" w:sz="4" w:space="0" w:color="000000"/>
              <w:left w:val="single" w:sz="4" w:space="0" w:color="000000"/>
              <w:right w:val="single" w:sz="4" w:space="0" w:color="000000"/>
            </w:tcBorders>
          </w:tcPr>
          <w:p>
            <w:pPr>
              <w:pStyle w:val="TableParagraph"/>
              <w:spacing w:before="34"/>
              <w:ind w:right="88"/>
              <w:jc w:val="right"/>
              <w:rPr>
                <w:sz w:val="21"/>
              </w:rPr>
            </w:pPr>
            <w:r>
              <w:rPr>
                <w:w w:val="100"/>
                <w:sz w:val="21"/>
              </w:rPr>
              <w:t>0</w:t>
            </w:r>
          </w:p>
        </w:tc>
        <w:tc>
          <w:tcPr>
            <w:tcW w:w="1685" w:type="dxa"/>
            <w:tcBorders>
              <w:top w:val="single" w:sz="4" w:space="0" w:color="000000"/>
              <w:left w:val="single" w:sz="4" w:space="0" w:color="000000"/>
              <w:right w:val="single" w:sz="4" w:space="0" w:color="000000"/>
            </w:tcBorders>
          </w:tcPr>
          <w:p>
            <w:pPr>
              <w:pStyle w:val="TableParagraph"/>
              <w:spacing w:before="34"/>
              <w:ind w:left="100" w:right="65"/>
              <w:jc w:val="center"/>
              <w:rPr>
                <w:sz w:val="21"/>
              </w:rPr>
            </w:pPr>
            <w:r>
              <w:rPr>
                <w:sz w:val="21"/>
              </w:rPr>
              <w:t>2,235,314,261.70</w:t>
            </w:r>
          </w:p>
        </w:tc>
        <w:tc>
          <w:tcPr>
            <w:tcW w:w="1688" w:type="dxa"/>
            <w:tcBorders>
              <w:top w:val="single" w:sz="4" w:space="0" w:color="000000"/>
              <w:left w:val="single" w:sz="4" w:space="0" w:color="000000"/>
              <w:right w:val="single" w:sz="4" w:space="0" w:color="000000"/>
            </w:tcBorders>
          </w:tcPr>
          <w:p>
            <w:pPr>
              <w:pStyle w:val="TableParagraph"/>
              <w:spacing w:before="34"/>
              <w:ind w:left="100" w:right="68"/>
              <w:jc w:val="center"/>
              <w:rPr>
                <w:sz w:val="21"/>
              </w:rPr>
            </w:pPr>
            <w:r>
              <w:rPr>
                <w:sz w:val="21"/>
              </w:rPr>
              <w:t>7,440,228,855.90</w:t>
            </w:r>
          </w:p>
        </w:tc>
        <w:tc>
          <w:tcPr>
            <w:tcW w:w="1378" w:type="dxa"/>
            <w:tcBorders>
              <w:top w:val="single" w:sz="4" w:space="0" w:color="000000"/>
              <w:left w:val="single" w:sz="4" w:space="0" w:color="000000"/>
            </w:tcBorders>
          </w:tcPr>
          <w:p>
            <w:pPr>
              <w:pStyle w:val="TableParagraph"/>
              <w:spacing w:before="34"/>
              <w:ind w:right="71"/>
              <w:jc w:val="right"/>
              <w:rPr>
                <w:sz w:val="21"/>
              </w:rPr>
            </w:pPr>
            <w:r>
              <w:rPr>
                <w:sz w:val="21"/>
              </w:rPr>
              <w:t>30.04</w:t>
            </w:r>
          </w:p>
        </w:tc>
      </w:tr>
    </w:tbl>
    <w:p>
      <w:pPr>
        <w:pStyle w:val="BodyText"/>
        <w:rPr>
          <w:sz w:val="20"/>
        </w:rPr>
      </w:pPr>
    </w:p>
    <w:p>
      <w:pPr>
        <w:pStyle w:val="Heading4"/>
        <w:spacing w:before="148"/>
        <w:ind w:left="758"/>
      </w:pPr>
      <w:r>
        <w:rPr>
          <w:rFonts w:ascii="Times New Roman" w:eastAsia="Times New Roman"/>
        </w:rPr>
        <w:t>(</w:t>
      </w:r>
      <w:r>
        <w:rPr/>
        <w:t>三</w:t>
      </w:r>
      <w:r>
        <w:rPr>
          <w:rFonts w:ascii="Times New Roman" w:eastAsia="Times New Roman"/>
        </w:rPr>
        <w:t>) </w:t>
      </w:r>
      <w:r>
        <w:rPr/>
        <w:t>以现金方式回购股份计入现金分红的情况</w:t>
      </w:r>
    </w:p>
    <w:p>
      <w:pPr>
        <w:pStyle w:val="BodyText"/>
        <w:spacing w:before="9"/>
        <w:rPr>
          <w:rFonts w:ascii="Microsoft JhengHei"/>
          <w:b/>
          <w:sz w:val="11"/>
        </w:rPr>
      </w:pPr>
    </w:p>
    <w:p>
      <w:pPr>
        <w:pStyle w:val="BodyText"/>
        <w:ind w:left="1182"/>
      </w:pPr>
      <w:r>
        <w:rPr>
          <w:rFonts w:ascii="Times New Roman" w:hAnsi="Times New Roman" w:eastAsia="Times New Roman"/>
        </w:rPr>
        <w:t>□</w:t>
      </w:r>
      <w:r>
        <w:rPr/>
        <w:t>适用 </w:t>
      </w:r>
      <w:r>
        <w:rPr>
          <w:rFonts w:ascii="Times New Roman" w:hAnsi="Times New Roman" w:eastAsia="Times New Roman"/>
        </w:rPr>
        <w:t>√</w:t>
      </w:r>
      <w:r>
        <w:rPr/>
        <w:t>不适用</w:t>
      </w:r>
    </w:p>
    <w:p>
      <w:pPr>
        <w:pStyle w:val="Heading4"/>
        <w:spacing w:line="290" w:lineRule="auto" w:before="190"/>
        <w:ind w:left="1178" w:right="511" w:hanging="420"/>
      </w:pPr>
      <w:r>
        <w:rPr>
          <w:rFonts w:ascii="Times New Roman" w:eastAsia="Times New Roman"/>
        </w:rPr>
        <w:t>(</w:t>
      </w:r>
      <w:r>
        <w:rPr/>
        <w:t>四</w:t>
      </w:r>
      <w:r>
        <w:rPr>
          <w:rFonts w:ascii="Times New Roman" w:eastAsia="Times New Roman"/>
        </w:rPr>
        <w:t>) </w:t>
      </w:r>
      <w:r>
        <w:rPr/>
        <w:t>报告期内盈利且母公司可供普通股股东分配利润为正，但未提出普通股现金利润分配方案预案的，公司应当详细披露原因以及未分配利润的用途和使用计划</w:t>
      </w:r>
    </w:p>
    <w:p>
      <w:pPr>
        <w:pStyle w:val="BodyText"/>
        <w:spacing w:before="130"/>
        <w:ind w:left="1182"/>
      </w:pPr>
      <w:r>
        <w:rPr>
          <w:rFonts w:ascii="Times New Roman" w:hAnsi="Times New Roman" w:eastAsia="Times New Roman"/>
        </w:rPr>
        <w:t>□</w:t>
      </w:r>
      <w:r>
        <w:rPr/>
        <w:t>适用 </w:t>
      </w:r>
      <w:r>
        <w:rPr>
          <w:rFonts w:ascii="Times New Roman" w:hAnsi="Times New Roman" w:eastAsia="Times New Roman"/>
        </w:rPr>
        <w:t>√</w:t>
      </w:r>
      <w:r>
        <w:rPr/>
        <w:t>不适用</w:t>
      </w:r>
    </w:p>
    <w:p>
      <w:pPr>
        <w:spacing w:after="0"/>
        <w:sectPr>
          <w:pgSz w:w="11910" w:h="16840"/>
          <w:pgMar w:header="874" w:footer="1214" w:top="1360" w:bottom="1400" w:left="1040" w:right="760"/>
        </w:sectPr>
      </w:pPr>
    </w:p>
    <w:p>
      <w:pPr>
        <w:pStyle w:val="BodyText"/>
        <w:rPr>
          <w:sz w:val="20"/>
        </w:rPr>
      </w:pPr>
    </w:p>
    <w:p>
      <w:pPr>
        <w:pStyle w:val="BodyText"/>
        <w:rPr>
          <w:sz w:val="20"/>
        </w:rPr>
      </w:pPr>
    </w:p>
    <w:p>
      <w:pPr>
        <w:pStyle w:val="Heading4"/>
        <w:spacing w:before="135"/>
        <w:ind w:left="260"/>
      </w:pPr>
      <w:r>
        <w:rPr/>
        <w:t>二、承诺事项履行情况</w:t>
      </w:r>
    </w:p>
    <w:p>
      <w:pPr>
        <w:pStyle w:val="Heading4"/>
        <w:tabs>
          <w:tab w:pos="826" w:val="left" w:leader="none"/>
        </w:tabs>
        <w:spacing w:before="65"/>
        <w:ind w:left="260"/>
      </w:pPr>
      <w:r>
        <w:rPr>
          <w:rFonts w:ascii="Times New Roman" w:eastAsia="Times New Roman"/>
        </w:rPr>
        <w:t>(</w:t>
      </w:r>
      <w:r>
        <w:rPr/>
        <w:t>一</w:t>
      </w:r>
      <w:r>
        <w:rPr>
          <w:rFonts w:ascii="Times New Roman" w:eastAsia="Times New Roman"/>
        </w:rPr>
        <w:t>)</w:t>
        <w:tab/>
      </w:r>
      <w:r>
        <w:rPr/>
        <w:t>公司实际控制人、</w:t>
      </w:r>
      <w:r>
        <w:rPr>
          <w:spacing w:val="-3"/>
        </w:rPr>
        <w:t>股</w:t>
      </w:r>
      <w:r>
        <w:rPr/>
        <w:t>东</w:t>
      </w:r>
      <w:r>
        <w:rPr>
          <w:spacing w:val="-3"/>
        </w:rPr>
        <w:t>、</w:t>
      </w:r>
      <w:r>
        <w:rPr/>
        <w:t>关联方、收购人以</w:t>
      </w:r>
      <w:r>
        <w:rPr>
          <w:spacing w:val="-3"/>
        </w:rPr>
        <w:t>及</w:t>
      </w:r>
      <w:r>
        <w:rPr/>
        <w:t>公</w:t>
      </w:r>
      <w:r>
        <w:rPr>
          <w:spacing w:val="-3"/>
        </w:rPr>
        <w:t>司</w:t>
      </w:r>
      <w:r>
        <w:rPr/>
        <w:t>等承诺相关方在报</w:t>
      </w:r>
      <w:r>
        <w:rPr>
          <w:spacing w:val="-3"/>
        </w:rPr>
        <w:t>告</w:t>
      </w:r>
      <w:r>
        <w:rPr/>
        <w:t>期</w:t>
      </w:r>
      <w:r>
        <w:rPr>
          <w:spacing w:val="-3"/>
        </w:rPr>
        <w:t>内</w:t>
      </w:r>
      <w:r>
        <w:rPr/>
        <w:t>或持续到报告期内</w:t>
      </w:r>
      <w:r>
        <w:rPr>
          <w:spacing w:val="-3"/>
        </w:rPr>
        <w:t>的</w:t>
      </w:r>
      <w:r>
        <w:rPr/>
        <w:t>承</w:t>
      </w:r>
      <w:r>
        <w:rPr>
          <w:spacing w:val="-3"/>
        </w:rPr>
        <w:t>诺</w:t>
      </w:r>
      <w:r>
        <w:rPr/>
        <w:t>事项</w:t>
      </w:r>
    </w:p>
    <w:p>
      <w:pPr>
        <w:pStyle w:val="BodyText"/>
        <w:spacing w:before="55" w:after="20"/>
        <w:ind w:left="685"/>
      </w:pPr>
      <w:r>
        <w:rPr/>
        <w:t>√适用 □不适用</w:t>
      </w:r>
    </w:p>
    <w:tbl>
      <w:tblPr>
        <w:tblW w:w="0" w:type="auto"/>
        <w:jc w:val="left"/>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36"/>
        <w:gridCol w:w="994"/>
        <w:gridCol w:w="1560"/>
        <w:gridCol w:w="7086"/>
        <w:gridCol w:w="1846"/>
        <w:gridCol w:w="849"/>
        <w:gridCol w:w="935"/>
      </w:tblGrid>
      <w:tr>
        <w:trPr>
          <w:trHeight w:val="935" w:hRule="atLeast"/>
        </w:trPr>
        <w:tc>
          <w:tcPr>
            <w:tcW w:w="836" w:type="dxa"/>
            <w:tcBorders>
              <w:bottom w:val="single" w:sz="4" w:space="0" w:color="000000"/>
              <w:right w:val="single" w:sz="4" w:space="0" w:color="000000"/>
            </w:tcBorders>
            <w:shd w:val="clear" w:color="auto" w:fill="EDEBE0"/>
          </w:tcPr>
          <w:p>
            <w:pPr>
              <w:pStyle w:val="TableParagraph"/>
              <w:spacing w:line="278" w:lineRule="auto" w:before="178"/>
              <w:ind w:left="205" w:right="185"/>
              <w:rPr>
                <w:rFonts w:ascii="宋体" w:eastAsia="宋体" w:hint="eastAsia"/>
                <w:sz w:val="21"/>
              </w:rPr>
            </w:pPr>
            <w:r>
              <w:rPr>
                <w:rFonts w:ascii="宋体" w:eastAsia="宋体" w:hint="eastAsia"/>
                <w:sz w:val="21"/>
              </w:rPr>
              <w:t>承诺背景</w:t>
            </w:r>
          </w:p>
        </w:tc>
        <w:tc>
          <w:tcPr>
            <w:tcW w:w="994" w:type="dxa"/>
            <w:tcBorders>
              <w:left w:val="single" w:sz="4" w:space="0" w:color="000000"/>
              <w:bottom w:val="single" w:sz="4" w:space="0" w:color="000000"/>
              <w:right w:val="single" w:sz="4" w:space="0" w:color="000000"/>
            </w:tcBorders>
            <w:shd w:val="clear" w:color="auto" w:fill="EDEBE0"/>
          </w:tcPr>
          <w:p>
            <w:pPr>
              <w:pStyle w:val="TableParagraph"/>
              <w:spacing w:line="278" w:lineRule="auto" w:before="178"/>
              <w:ind w:left="294" w:right="266"/>
              <w:rPr>
                <w:rFonts w:ascii="宋体" w:eastAsia="宋体" w:hint="eastAsia"/>
                <w:sz w:val="21"/>
              </w:rPr>
            </w:pPr>
            <w:r>
              <w:rPr>
                <w:rFonts w:ascii="宋体" w:eastAsia="宋体" w:hint="eastAsia"/>
                <w:sz w:val="21"/>
              </w:rPr>
              <w:t>承诺类型</w:t>
            </w:r>
          </w:p>
        </w:tc>
        <w:tc>
          <w:tcPr>
            <w:tcW w:w="1560" w:type="dxa"/>
            <w:tcBorders>
              <w:left w:val="single" w:sz="4" w:space="0" w:color="000000"/>
              <w:bottom w:val="single" w:sz="4" w:space="0" w:color="000000"/>
              <w:right w:val="single" w:sz="4" w:space="0" w:color="000000"/>
            </w:tcBorders>
            <w:shd w:val="clear" w:color="auto" w:fill="EDEBE0"/>
          </w:tcPr>
          <w:p>
            <w:pPr>
              <w:pStyle w:val="TableParagraph"/>
              <w:spacing w:before="1"/>
              <w:rPr>
                <w:rFonts w:ascii="宋体"/>
                <w:sz w:val="26"/>
              </w:rPr>
            </w:pPr>
          </w:p>
          <w:p>
            <w:pPr>
              <w:pStyle w:val="TableParagraph"/>
              <w:ind w:left="471"/>
              <w:rPr>
                <w:rFonts w:ascii="宋体" w:eastAsia="宋体" w:hint="eastAsia"/>
                <w:sz w:val="21"/>
              </w:rPr>
            </w:pPr>
            <w:r>
              <w:rPr>
                <w:rFonts w:ascii="宋体" w:eastAsia="宋体" w:hint="eastAsia"/>
                <w:sz w:val="21"/>
              </w:rPr>
              <w:t>承诺方</w:t>
            </w:r>
          </w:p>
        </w:tc>
        <w:tc>
          <w:tcPr>
            <w:tcW w:w="7086" w:type="dxa"/>
            <w:tcBorders>
              <w:left w:val="single" w:sz="4" w:space="0" w:color="000000"/>
              <w:bottom w:val="single" w:sz="4" w:space="0" w:color="000000"/>
              <w:right w:val="single" w:sz="4" w:space="0" w:color="000000"/>
            </w:tcBorders>
            <w:shd w:val="clear" w:color="auto" w:fill="EDEBE0"/>
          </w:tcPr>
          <w:p>
            <w:pPr>
              <w:pStyle w:val="TableParagraph"/>
              <w:spacing w:line="278" w:lineRule="auto" w:before="178"/>
              <w:ind w:left="3340" w:right="3311"/>
              <w:jc w:val="center"/>
              <w:rPr>
                <w:rFonts w:ascii="宋体" w:eastAsia="宋体" w:hint="eastAsia"/>
                <w:sz w:val="21"/>
              </w:rPr>
            </w:pPr>
            <w:r>
              <w:rPr>
                <w:rFonts w:ascii="宋体" w:eastAsia="宋体" w:hint="eastAsia"/>
                <w:sz w:val="21"/>
              </w:rPr>
              <w:t>承诺内容</w:t>
            </w:r>
          </w:p>
        </w:tc>
        <w:tc>
          <w:tcPr>
            <w:tcW w:w="1846" w:type="dxa"/>
            <w:tcBorders>
              <w:left w:val="single" w:sz="4" w:space="0" w:color="000000"/>
              <w:bottom w:val="single" w:sz="4" w:space="0" w:color="000000"/>
              <w:right w:val="single" w:sz="4" w:space="0" w:color="000000"/>
            </w:tcBorders>
            <w:shd w:val="clear" w:color="auto" w:fill="EDEBE0"/>
          </w:tcPr>
          <w:p>
            <w:pPr>
              <w:pStyle w:val="TableParagraph"/>
              <w:spacing w:before="1"/>
              <w:rPr>
                <w:rFonts w:ascii="宋体"/>
                <w:sz w:val="26"/>
              </w:rPr>
            </w:pPr>
          </w:p>
          <w:p>
            <w:pPr>
              <w:pStyle w:val="TableParagraph"/>
              <w:ind w:left="195"/>
              <w:rPr>
                <w:rFonts w:ascii="宋体" w:eastAsia="宋体" w:hint="eastAsia"/>
                <w:sz w:val="21"/>
              </w:rPr>
            </w:pPr>
            <w:r>
              <w:rPr>
                <w:rFonts w:ascii="宋体" w:eastAsia="宋体" w:hint="eastAsia"/>
                <w:sz w:val="21"/>
              </w:rPr>
              <w:t>承诺时间及期限</w:t>
            </w:r>
          </w:p>
        </w:tc>
        <w:tc>
          <w:tcPr>
            <w:tcW w:w="849" w:type="dxa"/>
            <w:tcBorders>
              <w:left w:val="single" w:sz="4" w:space="0" w:color="000000"/>
              <w:bottom w:val="single" w:sz="4" w:space="0" w:color="000000"/>
              <w:right w:val="single" w:sz="4" w:space="0" w:color="000000"/>
            </w:tcBorders>
            <w:shd w:val="clear" w:color="auto" w:fill="EDEBE0"/>
          </w:tcPr>
          <w:p>
            <w:pPr>
              <w:pStyle w:val="TableParagraph"/>
              <w:spacing w:line="278" w:lineRule="auto" w:before="22"/>
              <w:ind w:left="116" w:right="86"/>
              <w:jc w:val="center"/>
              <w:rPr>
                <w:rFonts w:ascii="宋体" w:eastAsia="宋体" w:hint="eastAsia"/>
                <w:sz w:val="21"/>
              </w:rPr>
            </w:pPr>
            <w:r>
              <w:rPr>
                <w:rFonts w:ascii="宋体" w:eastAsia="宋体" w:hint="eastAsia"/>
                <w:sz w:val="21"/>
              </w:rPr>
              <w:t>是否有履行期</w:t>
            </w:r>
          </w:p>
          <w:p>
            <w:pPr>
              <w:pStyle w:val="TableParagraph"/>
              <w:ind w:left="27"/>
              <w:jc w:val="center"/>
              <w:rPr>
                <w:rFonts w:ascii="宋体" w:eastAsia="宋体" w:hint="eastAsia"/>
                <w:sz w:val="21"/>
              </w:rPr>
            </w:pPr>
            <w:r>
              <w:rPr>
                <w:rFonts w:ascii="宋体" w:eastAsia="宋体" w:hint="eastAsia"/>
                <w:w w:val="100"/>
                <w:sz w:val="21"/>
              </w:rPr>
              <w:t>限</w:t>
            </w:r>
          </w:p>
        </w:tc>
        <w:tc>
          <w:tcPr>
            <w:tcW w:w="935" w:type="dxa"/>
            <w:tcBorders>
              <w:left w:val="single" w:sz="4" w:space="0" w:color="000000"/>
              <w:bottom w:val="single" w:sz="4" w:space="0" w:color="000000"/>
            </w:tcBorders>
            <w:shd w:val="clear" w:color="auto" w:fill="EDEBE0"/>
          </w:tcPr>
          <w:p>
            <w:pPr>
              <w:pStyle w:val="TableParagraph"/>
              <w:spacing w:line="278" w:lineRule="auto" w:before="22"/>
              <w:ind w:left="160" w:right="120"/>
              <w:rPr>
                <w:rFonts w:ascii="宋体" w:eastAsia="宋体" w:hint="eastAsia"/>
                <w:sz w:val="21"/>
              </w:rPr>
            </w:pPr>
            <w:r>
              <w:rPr>
                <w:rFonts w:ascii="宋体" w:eastAsia="宋体" w:hint="eastAsia"/>
                <w:spacing w:val="-7"/>
                <w:sz w:val="21"/>
              </w:rPr>
              <w:t>是否及时严格</w:t>
            </w:r>
          </w:p>
          <w:p>
            <w:pPr>
              <w:pStyle w:val="TableParagraph"/>
              <w:ind w:left="265"/>
              <w:rPr>
                <w:rFonts w:ascii="宋体" w:eastAsia="宋体" w:hint="eastAsia"/>
                <w:sz w:val="21"/>
              </w:rPr>
            </w:pPr>
            <w:r>
              <w:rPr>
                <w:rFonts w:ascii="宋体" w:eastAsia="宋体" w:hint="eastAsia"/>
                <w:sz w:val="21"/>
              </w:rPr>
              <w:t>履行</w:t>
            </w:r>
          </w:p>
        </w:tc>
      </w:tr>
      <w:tr>
        <w:trPr>
          <w:trHeight w:val="624" w:hRule="atLeast"/>
        </w:trPr>
        <w:tc>
          <w:tcPr>
            <w:tcW w:w="836" w:type="dxa"/>
            <w:tcBorders>
              <w:top w:val="single" w:sz="4" w:space="0" w:color="000000"/>
              <w:bottom w:val="nil"/>
              <w:right w:val="single" w:sz="4" w:space="0" w:color="000000"/>
            </w:tcBorders>
          </w:tcPr>
          <w:p>
            <w:pPr>
              <w:pStyle w:val="TableParagraph"/>
              <w:rPr>
                <w:sz w:val="20"/>
              </w:rPr>
            </w:pPr>
          </w:p>
        </w:tc>
        <w:tc>
          <w:tcPr>
            <w:tcW w:w="994" w:type="dxa"/>
            <w:tcBorders>
              <w:top w:val="single" w:sz="4" w:space="0" w:color="000000"/>
              <w:left w:val="single" w:sz="4" w:space="0" w:color="000000"/>
              <w:bottom w:val="nil"/>
              <w:right w:val="single" w:sz="4" w:space="0" w:color="000000"/>
            </w:tcBorders>
          </w:tcPr>
          <w:p>
            <w:pPr>
              <w:pStyle w:val="TableParagraph"/>
              <w:rPr>
                <w:sz w:val="20"/>
              </w:rPr>
            </w:pPr>
          </w:p>
        </w:tc>
        <w:tc>
          <w:tcPr>
            <w:tcW w:w="1560" w:type="dxa"/>
            <w:tcBorders>
              <w:top w:val="single" w:sz="4" w:space="0" w:color="000000"/>
              <w:left w:val="single" w:sz="4" w:space="0" w:color="000000"/>
              <w:bottom w:val="nil"/>
              <w:right w:val="single" w:sz="4" w:space="0" w:color="000000"/>
            </w:tcBorders>
          </w:tcPr>
          <w:p>
            <w:pPr>
              <w:pStyle w:val="TableParagraph"/>
              <w:rPr>
                <w:sz w:val="20"/>
              </w:rPr>
            </w:pPr>
          </w:p>
        </w:tc>
        <w:tc>
          <w:tcPr>
            <w:tcW w:w="7086" w:type="dxa"/>
            <w:tcBorders>
              <w:top w:val="single" w:sz="4" w:space="0" w:color="000000"/>
              <w:left w:val="single" w:sz="4" w:space="0" w:color="000000"/>
              <w:bottom w:val="nil"/>
              <w:right w:val="single" w:sz="4" w:space="0" w:color="000000"/>
            </w:tcBorders>
          </w:tcPr>
          <w:p>
            <w:pPr>
              <w:pStyle w:val="TableParagraph"/>
              <w:spacing w:before="22"/>
              <w:ind w:left="116"/>
              <w:rPr>
                <w:rFonts w:ascii="宋体" w:hAnsi="宋体" w:eastAsia="宋体" w:hint="eastAsia"/>
                <w:sz w:val="21"/>
              </w:rPr>
            </w:pPr>
            <w:r>
              <w:rPr>
                <w:sz w:val="21"/>
              </w:rPr>
              <w:t>2006</w:t>
            </w:r>
            <w:r>
              <w:rPr>
                <w:spacing w:val="1"/>
                <w:sz w:val="21"/>
              </w:rPr>
              <w:t> </w:t>
            </w:r>
            <w:r>
              <w:rPr>
                <w:rFonts w:ascii="宋体" w:hAnsi="宋体" w:eastAsia="宋体" w:hint="eastAsia"/>
                <w:spacing w:val="-24"/>
                <w:sz w:val="21"/>
              </w:rPr>
              <w:t>年 </w:t>
            </w:r>
            <w:r>
              <w:rPr>
                <w:sz w:val="21"/>
              </w:rPr>
              <w:t>9</w:t>
            </w:r>
            <w:r>
              <w:rPr>
                <w:spacing w:val="1"/>
                <w:sz w:val="21"/>
              </w:rPr>
              <w:t> </w:t>
            </w:r>
            <w:r>
              <w:rPr>
                <w:rFonts w:ascii="宋体" w:hAnsi="宋体" w:eastAsia="宋体" w:hint="eastAsia"/>
                <w:spacing w:val="-17"/>
                <w:sz w:val="21"/>
              </w:rPr>
              <w:t>月至 </w:t>
            </w:r>
            <w:r>
              <w:rPr>
                <w:sz w:val="21"/>
              </w:rPr>
              <w:t>2007</w:t>
            </w:r>
            <w:r>
              <w:rPr>
                <w:spacing w:val="1"/>
                <w:sz w:val="21"/>
              </w:rPr>
              <w:t> </w:t>
            </w:r>
            <w:r>
              <w:rPr>
                <w:rFonts w:ascii="宋体" w:hAnsi="宋体" w:eastAsia="宋体" w:hint="eastAsia"/>
                <w:spacing w:val="-25"/>
                <w:sz w:val="21"/>
              </w:rPr>
              <w:t>年 </w:t>
            </w:r>
            <w:r>
              <w:rPr>
                <w:sz w:val="21"/>
              </w:rPr>
              <w:t>5</w:t>
            </w:r>
            <w:r>
              <w:rPr>
                <w:spacing w:val="2"/>
                <w:sz w:val="21"/>
              </w:rPr>
              <w:t> </w:t>
            </w:r>
            <w:r>
              <w:rPr>
                <w:rFonts w:ascii="宋体" w:hAnsi="宋体" w:eastAsia="宋体" w:hint="eastAsia"/>
                <w:spacing w:val="-3"/>
                <w:sz w:val="21"/>
              </w:rPr>
              <w:t>月间，公司向海尔集团公司</w:t>
            </w:r>
            <w:r>
              <w:rPr>
                <w:rFonts w:ascii="宋体" w:hAnsi="宋体" w:eastAsia="宋体" w:hint="eastAsia"/>
                <w:sz w:val="21"/>
              </w:rPr>
              <w:t>（</w:t>
            </w:r>
            <w:r>
              <w:rPr>
                <w:rFonts w:ascii="宋体" w:hAnsi="宋体" w:eastAsia="宋体" w:hint="eastAsia"/>
                <w:spacing w:val="-2"/>
                <w:sz w:val="21"/>
              </w:rPr>
              <w:t>简称</w:t>
            </w:r>
            <w:r>
              <w:rPr>
                <w:spacing w:val="-3"/>
                <w:sz w:val="21"/>
              </w:rPr>
              <w:t>“</w:t>
            </w:r>
            <w:r>
              <w:rPr>
                <w:rFonts w:ascii="宋体" w:hAnsi="宋体" w:eastAsia="宋体" w:hint="eastAsia"/>
                <w:spacing w:val="-2"/>
                <w:sz w:val="21"/>
              </w:rPr>
              <w:t>海尔集团</w:t>
            </w:r>
            <w:r>
              <w:rPr>
                <w:sz w:val="21"/>
              </w:rPr>
              <w:t>”</w:t>
            </w:r>
            <w:r>
              <w:rPr>
                <w:rFonts w:ascii="宋体" w:hAnsi="宋体" w:eastAsia="宋体" w:hint="eastAsia"/>
                <w:sz w:val="21"/>
              </w:rPr>
              <w:t>）发</w:t>
            </w:r>
          </w:p>
          <w:p>
            <w:pPr>
              <w:pStyle w:val="TableParagraph"/>
              <w:spacing w:before="43"/>
              <w:ind w:left="116"/>
              <w:rPr>
                <w:rFonts w:ascii="宋体" w:eastAsia="宋体" w:hint="eastAsia"/>
                <w:sz w:val="21"/>
              </w:rPr>
            </w:pPr>
            <w:r>
              <w:rPr>
                <w:rFonts w:ascii="宋体" w:eastAsia="宋体" w:hint="eastAsia"/>
                <w:spacing w:val="-6"/>
                <w:sz w:val="21"/>
              </w:rPr>
              <w:t>行股份购买海尔集团下属四家子公司的控股股权；该四家公司分别为青岛海</w:t>
            </w:r>
          </w:p>
        </w:tc>
        <w:tc>
          <w:tcPr>
            <w:tcW w:w="1846" w:type="dxa"/>
            <w:tcBorders>
              <w:top w:val="single" w:sz="4" w:space="0" w:color="000000"/>
              <w:left w:val="single" w:sz="4" w:space="0" w:color="000000"/>
              <w:bottom w:val="nil"/>
              <w:right w:val="single" w:sz="4" w:space="0" w:color="000000"/>
            </w:tcBorders>
          </w:tcPr>
          <w:p>
            <w:pPr>
              <w:pStyle w:val="TableParagraph"/>
              <w:rPr>
                <w:sz w:val="20"/>
              </w:rPr>
            </w:pPr>
          </w:p>
        </w:tc>
        <w:tc>
          <w:tcPr>
            <w:tcW w:w="849" w:type="dxa"/>
            <w:tcBorders>
              <w:top w:val="single" w:sz="4" w:space="0" w:color="000000"/>
              <w:left w:val="single" w:sz="4" w:space="0" w:color="000000"/>
              <w:bottom w:val="nil"/>
              <w:right w:val="single" w:sz="4" w:space="0" w:color="000000"/>
            </w:tcBorders>
          </w:tcPr>
          <w:p>
            <w:pPr>
              <w:pStyle w:val="TableParagraph"/>
              <w:rPr>
                <w:sz w:val="20"/>
              </w:rPr>
            </w:pPr>
          </w:p>
        </w:tc>
        <w:tc>
          <w:tcPr>
            <w:tcW w:w="935" w:type="dxa"/>
            <w:tcBorders>
              <w:top w:val="single" w:sz="4" w:space="0" w:color="000000"/>
              <w:left w:val="single" w:sz="4" w:space="0" w:color="000000"/>
              <w:bottom w:val="nil"/>
            </w:tcBorders>
          </w:tcPr>
          <w:p>
            <w:pPr>
              <w:pStyle w:val="TableParagraph"/>
              <w:rPr>
                <w:sz w:val="20"/>
              </w:rPr>
            </w:pPr>
          </w:p>
        </w:tc>
      </w:tr>
      <w:tr>
        <w:trPr>
          <w:trHeight w:val="311" w:hRule="atLeast"/>
        </w:trPr>
        <w:tc>
          <w:tcPr>
            <w:tcW w:w="836" w:type="dxa"/>
            <w:tcBorders>
              <w:top w:val="nil"/>
              <w:bottom w:val="nil"/>
              <w:right w:val="single" w:sz="4" w:space="0" w:color="000000"/>
            </w:tcBorders>
          </w:tcPr>
          <w:p>
            <w:pPr>
              <w:pStyle w:val="TableParagraph"/>
              <w:rPr>
                <w:sz w:val="20"/>
              </w:rPr>
            </w:pPr>
          </w:p>
        </w:tc>
        <w:tc>
          <w:tcPr>
            <w:tcW w:w="994" w:type="dxa"/>
            <w:tcBorders>
              <w:top w:val="nil"/>
              <w:left w:val="single" w:sz="4" w:space="0" w:color="000000"/>
              <w:bottom w:val="nil"/>
              <w:right w:val="single" w:sz="4" w:space="0" w:color="000000"/>
            </w:tcBorders>
          </w:tcPr>
          <w:p>
            <w:pPr>
              <w:pStyle w:val="TableParagraph"/>
              <w:rPr>
                <w:sz w:val="20"/>
              </w:rPr>
            </w:pPr>
          </w:p>
        </w:tc>
        <w:tc>
          <w:tcPr>
            <w:tcW w:w="1560" w:type="dxa"/>
            <w:tcBorders>
              <w:top w:val="nil"/>
              <w:left w:val="single" w:sz="4" w:space="0" w:color="000000"/>
              <w:bottom w:val="nil"/>
              <w:right w:val="single" w:sz="4" w:space="0" w:color="000000"/>
            </w:tcBorders>
          </w:tcPr>
          <w:p>
            <w:pPr>
              <w:pStyle w:val="TableParagraph"/>
              <w:rPr>
                <w:sz w:val="20"/>
              </w:rPr>
            </w:pPr>
          </w:p>
        </w:tc>
        <w:tc>
          <w:tcPr>
            <w:tcW w:w="7086" w:type="dxa"/>
            <w:tcBorders>
              <w:top w:val="nil"/>
              <w:left w:val="single" w:sz="4" w:space="0" w:color="000000"/>
              <w:bottom w:val="nil"/>
              <w:right w:val="single" w:sz="4" w:space="0" w:color="000000"/>
            </w:tcBorders>
          </w:tcPr>
          <w:p>
            <w:pPr>
              <w:pStyle w:val="TableParagraph"/>
              <w:spacing w:before="22"/>
              <w:ind w:left="116"/>
              <w:rPr>
                <w:rFonts w:ascii="宋体" w:eastAsia="宋体" w:hint="eastAsia"/>
                <w:sz w:val="21"/>
              </w:rPr>
            </w:pPr>
            <w:r>
              <w:rPr>
                <w:rFonts w:ascii="宋体" w:eastAsia="宋体" w:hint="eastAsia"/>
                <w:sz w:val="21"/>
              </w:rPr>
              <w:t>尔空调电子有限公司、合肥海尔空调器有限公司、武汉海尔电器股份有限公</w:t>
            </w:r>
          </w:p>
        </w:tc>
        <w:tc>
          <w:tcPr>
            <w:tcW w:w="1846" w:type="dxa"/>
            <w:tcBorders>
              <w:top w:val="nil"/>
              <w:left w:val="single" w:sz="4" w:space="0" w:color="000000"/>
              <w:bottom w:val="nil"/>
              <w:right w:val="single" w:sz="4" w:space="0" w:color="000000"/>
            </w:tcBorders>
          </w:tcPr>
          <w:p>
            <w:pPr>
              <w:pStyle w:val="TableParagraph"/>
              <w:rPr>
                <w:sz w:val="20"/>
              </w:rPr>
            </w:pPr>
          </w:p>
        </w:tc>
        <w:tc>
          <w:tcPr>
            <w:tcW w:w="849" w:type="dxa"/>
            <w:tcBorders>
              <w:top w:val="nil"/>
              <w:left w:val="single" w:sz="4" w:space="0" w:color="000000"/>
              <w:bottom w:val="nil"/>
              <w:right w:val="single" w:sz="4" w:space="0" w:color="000000"/>
            </w:tcBorders>
          </w:tcPr>
          <w:p>
            <w:pPr>
              <w:pStyle w:val="TableParagraph"/>
              <w:rPr>
                <w:sz w:val="20"/>
              </w:rPr>
            </w:pPr>
          </w:p>
        </w:tc>
        <w:tc>
          <w:tcPr>
            <w:tcW w:w="935" w:type="dxa"/>
            <w:tcBorders>
              <w:top w:val="nil"/>
              <w:left w:val="single" w:sz="4" w:space="0" w:color="000000"/>
              <w:bottom w:val="nil"/>
            </w:tcBorders>
          </w:tcPr>
          <w:p>
            <w:pPr>
              <w:pStyle w:val="TableParagraph"/>
              <w:rPr>
                <w:sz w:val="20"/>
              </w:rPr>
            </w:pPr>
          </w:p>
        </w:tc>
      </w:tr>
      <w:tr>
        <w:trPr>
          <w:trHeight w:val="1568" w:hRule="atLeast"/>
        </w:trPr>
        <w:tc>
          <w:tcPr>
            <w:tcW w:w="836" w:type="dxa"/>
            <w:tcBorders>
              <w:top w:val="nil"/>
              <w:bottom w:val="nil"/>
              <w:right w:val="single" w:sz="4" w:space="0" w:color="000000"/>
            </w:tcBorders>
          </w:tcPr>
          <w:p>
            <w:pPr>
              <w:pStyle w:val="TableParagraph"/>
              <w:rPr>
                <w:rFonts w:ascii="宋体"/>
                <w:sz w:val="20"/>
              </w:rPr>
            </w:pPr>
          </w:p>
          <w:p>
            <w:pPr>
              <w:pStyle w:val="TableParagraph"/>
              <w:rPr>
                <w:rFonts w:ascii="宋体"/>
                <w:sz w:val="20"/>
              </w:rPr>
            </w:pPr>
          </w:p>
          <w:p>
            <w:pPr>
              <w:pStyle w:val="TableParagraph"/>
              <w:rPr>
                <w:rFonts w:ascii="宋体"/>
                <w:sz w:val="20"/>
              </w:rPr>
            </w:pPr>
          </w:p>
          <w:p>
            <w:pPr>
              <w:pStyle w:val="TableParagraph"/>
              <w:rPr>
                <w:rFonts w:ascii="宋体"/>
                <w:sz w:val="20"/>
              </w:rPr>
            </w:pPr>
          </w:p>
          <w:p>
            <w:pPr>
              <w:pStyle w:val="TableParagraph"/>
              <w:spacing w:before="5"/>
              <w:rPr>
                <w:rFonts w:ascii="宋体"/>
                <w:sz w:val="20"/>
              </w:rPr>
            </w:pPr>
          </w:p>
          <w:p>
            <w:pPr>
              <w:pStyle w:val="TableParagraph"/>
              <w:spacing w:line="262" w:lineRule="exact" w:before="1"/>
              <w:ind w:left="107"/>
              <w:rPr>
                <w:rFonts w:ascii="宋体" w:eastAsia="宋体" w:hint="eastAsia"/>
                <w:sz w:val="21"/>
              </w:rPr>
            </w:pPr>
            <w:r>
              <w:rPr>
                <w:rFonts w:ascii="宋体" w:eastAsia="宋体" w:hint="eastAsia"/>
                <w:sz w:val="21"/>
              </w:rPr>
              <w:t>与重</w:t>
            </w:r>
          </w:p>
        </w:tc>
        <w:tc>
          <w:tcPr>
            <w:tcW w:w="994" w:type="dxa"/>
            <w:tcBorders>
              <w:top w:val="nil"/>
              <w:left w:val="single" w:sz="4" w:space="0" w:color="000000"/>
              <w:bottom w:val="nil"/>
              <w:right w:val="single" w:sz="4" w:space="0" w:color="000000"/>
            </w:tcBorders>
          </w:tcPr>
          <w:p>
            <w:pPr>
              <w:pStyle w:val="TableParagraph"/>
              <w:spacing w:line="278" w:lineRule="auto" w:before="22"/>
              <w:ind w:left="116" w:right="85"/>
              <w:jc w:val="both"/>
              <w:rPr>
                <w:rFonts w:ascii="宋体" w:eastAsia="宋体" w:hint="eastAsia"/>
                <w:sz w:val="21"/>
              </w:rPr>
            </w:pPr>
            <w:r>
              <w:rPr>
                <w:rFonts w:ascii="宋体" w:eastAsia="宋体" w:hint="eastAsia"/>
                <w:spacing w:val="-16"/>
                <w:sz w:val="21"/>
              </w:rPr>
              <w:t>解 决 土地 等 产</w:t>
            </w:r>
            <w:r>
              <w:rPr>
                <w:rFonts w:ascii="宋体" w:eastAsia="宋体" w:hint="eastAsia"/>
                <w:sz w:val="21"/>
              </w:rPr>
              <w:t>权瑕疵</w:t>
            </w:r>
          </w:p>
        </w:tc>
        <w:tc>
          <w:tcPr>
            <w:tcW w:w="1560" w:type="dxa"/>
            <w:tcBorders>
              <w:top w:val="nil"/>
              <w:left w:val="single" w:sz="4" w:space="0" w:color="000000"/>
              <w:bottom w:val="nil"/>
              <w:right w:val="single" w:sz="4" w:space="0" w:color="000000"/>
            </w:tcBorders>
          </w:tcPr>
          <w:p>
            <w:pPr>
              <w:pStyle w:val="TableParagraph"/>
              <w:rPr>
                <w:rFonts w:ascii="宋体"/>
                <w:sz w:val="26"/>
              </w:rPr>
            </w:pPr>
          </w:p>
          <w:p>
            <w:pPr>
              <w:pStyle w:val="TableParagraph"/>
              <w:ind w:left="116"/>
              <w:rPr>
                <w:rFonts w:ascii="宋体" w:eastAsia="宋体" w:hint="eastAsia"/>
                <w:sz w:val="21"/>
              </w:rPr>
            </w:pPr>
            <w:r>
              <w:rPr>
                <w:rFonts w:ascii="宋体" w:eastAsia="宋体" w:hint="eastAsia"/>
                <w:sz w:val="21"/>
              </w:rPr>
              <w:t>海尔集团公司</w:t>
            </w:r>
          </w:p>
        </w:tc>
        <w:tc>
          <w:tcPr>
            <w:tcW w:w="7086" w:type="dxa"/>
            <w:tcBorders>
              <w:top w:val="nil"/>
              <w:left w:val="single" w:sz="4" w:space="0" w:color="000000"/>
              <w:bottom w:val="nil"/>
              <w:right w:val="single" w:sz="4" w:space="0" w:color="000000"/>
            </w:tcBorders>
          </w:tcPr>
          <w:p>
            <w:pPr>
              <w:pStyle w:val="TableParagraph"/>
              <w:spacing w:line="278" w:lineRule="auto" w:before="22"/>
              <w:ind w:left="116" w:right="84"/>
              <w:jc w:val="both"/>
              <w:rPr>
                <w:rFonts w:ascii="宋体" w:hAnsi="宋体" w:eastAsia="宋体" w:hint="eastAsia"/>
                <w:sz w:val="21"/>
              </w:rPr>
            </w:pPr>
            <w:r>
              <w:rPr>
                <w:rFonts w:ascii="宋体" w:hAnsi="宋体" w:eastAsia="宋体" w:hint="eastAsia"/>
                <w:spacing w:val="-9"/>
                <w:sz w:val="21"/>
              </w:rPr>
              <w:t>司、贵州海尔电器有限公司。就青岛海尔空调电子有限公司、合肥海尔空调</w:t>
            </w:r>
            <w:r>
              <w:rPr>
                <w:rFonts w:ascii="宋体" w:hAnsi="宋体" w:eastAsia="宋体" w:hint="eastAsia"/>
                <w:spacing w:val="-8"/>
                <w:sz w:val="21"/>
              </w:rPr>
              <w:t>器有限公司、武汉海尔电器股份有限公司三家公司</w:t>
            </w:r>
            <w:r>
              <w:rPr>
                <w:rFonts w:ascii="宋体" w:hAnsi="宋体" w:eastAsia="宋体" w:hint="eastAsia"/>
                <w:sz w:val="21"/>
              </w:rPr>
              <w:t>（</w:t>
            </w:r>
            <w:r>
              <w:rPr>
                <w:rFonts w:ascii="宋体" w:hAnsi="宋体" w:eastAsia="宋体" w:hint="eastAsia"/>
                <w:spacing w:val="-2"/>
                <w:sz w:val="21"/>
              </w:rPr>
              <w:t>简称</w:t>
            </w:r>
            <w:r>
              <w:rPr>
                <w:sz w:val="21"/>
              </w:rPr>
              <w:t>“</w:t>
            </w:r>
            <w:r>
              <w:rPr>
                <w:rFonts w:ascii="宋体" w:hAnsi="宋体" w:eastAsia="宋体" w:hint="eastAsia"/>
                <w:spacing w:val="-3"/>
                <w:sz w:val="21"/>
              </w:rPr>
              <w:t>承诺对象</w:t>
            </w:r>
            <w:r>
              <w:rPr>
                <w:spacing w:val="-8"/>
                <w:sz w:val="21"/>
              </w:rPr>
              <w:t>”</w:t>
            </w:r>
            <w:r>
              <w:rPr>
                <w:rFonts w:ascii="宋体" w:hAnsi="宋体" w:eastAsia="宋体" w:hint="eastAsia"/>
                <w:spacing w:val="-8"/>
                <w:sz w:val="21"/>
              </w:rPr>
              <w:t>）</w:t>
            </w:r>
            <w:r>
              <w:rPr>
                <w:rFonts w:ascii="宋体" w:hAnsi="宋体" w:eastAsia="宋体" w:hint="eastAsia"/>
                <w:spacing w:val="-2"/>
                <w:sz w:val="21"/>
              </w:rPr>
              <w:t>生产</w:t>
            </w:r>
            <w:r>
              <w:rPr>
                <w:rFonts w:ascii="宋体" w:hAnsi="宋体" w:eastAsia="宋体" w:hint="eastAsia"/>
                <w:spacing w:val="-7"/>
                <w:sz w:val="21"/>
              </w:rPr>
              <w:t>经营所需土地和房产，海尔集团做出了相关承诺</w:t>
            </w:r>
            <w:r>
              <w:rPr>
                <w:rFonts w:ascii="宋体" w:hAnsi="宋体" w:eastAsia="宋体" w:hint="eastAsia"/>
                <w:spacing w:val="-3"/>
                <w:sz w:val="21"/>
              </w:rPr>
              <w:t>（</w:t>
            </w:r>
            <w:r>
              <w:rPr>
                <w:rFonts w:ascii="宋体" w:hAnsi="宋体" w:eastAsia="宋体" w:hint="eastAsia"/>
                <w:sz w:val="21"/>
              </w:rPr>
              <w:t>简称</w:t>
            </w:r>
            <w:r>
              <w:rPr>
                <w:sz w:val="21"/>
              </w:rPr>
              <w:t>“2006 </w:t>
            </w:r>
            <w:r>
              <w:rPr>
                <w:rFonts w:ascii="宋体" w:hAnsi="宋体" w:eastAsia="宋体" w:hint="eastAsia"/>
                <w:spacing w:val="-2"/>
                <w:sz w:val="21"/>
              </w:rPr>
              <w:t>年承诺</w:t>
            </w:r>
            <w:r>
              <w:rPr>
                <w:spacing w:val="-14"/>
                <w:sz w:val="21"/>
              </w:rPr>
              <w:t>”</w:t>
            </w:r>
            <w:r>
              <w:rPr>
                <w:rFonts w:ascii="宋体" w:hAnsi="宋体" w:eastAsia="宋体" w:hint="eastAsia"/>
                <w:spacing w:val="-14"/>
                <w:sz w:val="21"/>
              </w:rPr>
              <w:t>）</w:t>
            </w:r>
            <w:r>
              <w:rPr>
                <w:rFonts w:ascii="宋体" w:hAnsi="宋体" w:eastAsia="宋体" w:hint="eastAsia"/>
                <w:spacing w:val="-11"/>
                <w:sz w:val="21"/>
              </w:rPr>
              <w:t>。根</w:t>
            </w:r>
            <w:r>
              <w:rPr>
                <w:rFonts w:ascii="宋体" w:hAnsi="宋体" w:eastAsia="宋体" w:hint="eastAsia"/>
                <w:spacing w:val="-27"/>
                <w:sz w:val="21"/>
              </w:rPr>
              <w:t>据 </w:t>
            </w:r>
            <w:r>
              <w:rPr>
                <w:sz w:val="21"/>
              </w:rPr>
              <w:t>2006 </w:t>
            </w:r>
            <w:r>
              <w:rPr>
                <w:rFonts w:ascii="宋体" w:hAnsi="宋体" w:eastAsia="宋体" w:hint="eastAsia"/>
                <w:spacing w:val="-3"/>
                <w:sz w:val="21"/>
              </w:rPr>
              <w:t>年承诺的内容以及各承诺对象的现状，海尔集团将持续确保各承诺</w:t>
            </w:r>
          </w:p>
          <w:p>
            <w:pPr>
              <w:pStyle w:val="TableParagraph"/>
              <w:ind w:left="116"/>
              <w:rPr>
                <w:rFonts w:ascii="宋体" w:eastAsia="宋体" w:hint="eastAsia"/>
                <w:sz w:val="21"/>
              </w:rPr>
            </w:pPr>
            <w:r>
              <w:rPr>
                <w:rFonts w:ascii="宋体" w:eastAsia="宋体" w:hint="eastAsia"/>
                <w:sz w:val="21"/>
              </w:rPr>
              <w:t>对象无偿租用海尔集团拥有的土地、房产；如各承诺对象因无法使用该等土</w:t>
            </w:r>
          </w:p>
        </w:tc>
        <w:tc>
          <w:tcPr>
            <w:tcW w:w="1846" w:type="dxa"/>
            <w:tcBorders>
              <w:top w:val="nil"/>
              <w:left w:val="single" w:sz="4" w:space="0" w:color="000000"/>
              <w:bottom w:val="nil"/>
              <w:right w:val="single" w:sz="4" w:space="0" w:color="000000"/>
            </w:tcBorders>
          </w:tcPr>
          <w:p>
            <w:pPr>
              <w:pStyle w:val="TableParagraph"/>
              <w:spacing w:line="278" w:lineRule="auto" w:before="178"/>
              <w:ind w:left="116" w:right="-29"/>
              <w:rPr>
                <w:rFonts w:ascii="宋体" w:eastAsia="宋体" w:hint="eastAsia"/>
                <w:sz w:val="21"/>
              </w:rPr>
            </w:pPr>
            <w:r>
              <w:rPr>
                <w:sz w:val="21"/>
              </w:rPr>
              <w:t>2006</w:t>
            </w:r>
            <w:r>
              <w:rPr>
                <w:spacing w:val="-20"/>
                <w:sz w:val="21"/>
              </w:rPr>
              <w:t> </w:t>
            </w:r>
            <w:r>
              <w:rPr>
                <w:rFonts w:ascii="宋体" w:eastAsia="宋体" w:hint="eastAsia"/>
                <w:spacing w:val="31"/>
                <w:sz w:val="21"/>
              </w:rPr>
              <w:t>年</w:t>
            </w:r>
            <w:r>
              <w:rPr>
                <w:sz w:val="21"/>
              </w:rPr>
              <w:t>9</w:t>
            </w:r>
            <w:r>
              <w:rPr>
                <w:spacing w:val="-19"/>
                <w:sz w:val="21"/>
              </w:rPr>
              <w:t> </w:t>
            </w:r>
            <w:r>
              <w:rPr>
                <w:rFonts w:ascii="宋体" w:eastAsia="宋体" w:hint="eastAsia"/>
                <w:spacing w:val="31"/>
                <w:sz w:val="21"/>
              </w:rPr>
              <w:t>月</w:t>
            </w:r>
            <w:r>
              <w:rPr>
                <w:sz w:val="21"/>
              </w:rPr>
              <w:t>27</w:t>
            </w:r>
            <w:r>
              <w:rPr>
                <w:spacing w:val="-22"/>
                <w:sz w:val="21"/>
              </w:rPr>
              <w:t> </w:t>
            </w:r>
            <w:r>
              <w:rPr>
                <w:rFonts w:ascii="宋体" w:eastAsia="宋体" w:hint="eastAsia"/>
                <w:sz w:val="21"/>
              </w:rPr>
              <w:t>日， 长期</w:t>
            </w:r>
          </w:p>
        </w:tc>
        <w:tc>
          <w:tcPr>
            <w:tcW w:w="849" w:type="dxa"/>
            <w:tcBorders>
              <w:top w:val="nil"/>
              <w:left w:val="single" w:sz="4" w:space="0" w:color="000000"/>
              <w:bottom w:val="nil"/>
              <w:right w:val="single" w:sz="4" w:space="0" w:color="000000"/>
            </w:tcBorders>
          </w:tcPr>
          <w:p>
            <w:pPr>
              <w:pStyle w:val="TableParagraph"/>
              <w:rPr>
                <w:rFonts w:ascii="宋体"/>
                <w:sz w:val="26"/>
              </w:rPr>
            </w:pPr>
          </w:p>
          <w:p>
            <w:pPr>
              <w:pStyle w:val="TableParagraph"/>
              <w:ind w:left="27"/>
              <w:jc w:val="center"/>
              <w:rPr>
                <w:rFonts w:ascii="宋体" w:eastAsia="宋体" w:hint="eastAsia"/>
                <w:sz w:val="21"/>
              </w:rPr>
            </w:pPr>
            <w:r>
              <w:rPr>
                <w:rFonts w:ascii="宋体" w:eastAsia="宋体" w:hint="eastAsia"/>
                <w:w w:val="100"/>
                <w:sz w:val="21"/>
              </w:rPr>
              <w:t>是</w:t>
            </w:r>
          </w:p>
        </w:tc>
        <w:tc>
          <w:tcPr>
            <w:tcW w:w="935" w:type="dxa"/>
            <w:tcBorders>
              <w:top w:val="nil"/>
              <w:left w:val="single" w:sz="4" w:space="0" w:color="000000"/>
              <w:bottom w:val="nil"/>
            </w:tcBorders>
          </w:tcPr>
          <w:p>
            <w:pPr>
              <w:pStyle w:val="TableParagraph"/>
              <w:rPr>
                <w:rFonts w:ascii="宋体"/>
                <w:sz w:val="26"/>
              </w:rPr>
            </w:pPr>
          </w:p>
          <w:p>
            <w:pPr>
              <w:pStyle w:val="TableParagraph"/>
              <w:ind w:left="39"/>
              <w:jc w:val="center"/>
              <w:rPr>
                <w:rFonts w:ascii="宋体" w:eastAsia="宋体" w:hint="eastAsia"/>
                <w:sz w:val="21"/>
              </w:rPr>
            </w:pPr>
            <w:r>
              <w:rPr>
                <w:rFonts w:ascii="宋体" w:eastAsia="宋体" w:hint="eastAsia"/>
                <w:w w:val="100"/>
                <w:sz w:val="21"/>
              </w:rPr>
              <w:t>是</w:t>
            </w:r>
          </w:p>
        </w:tc>
      </w:tr>
      <w:tr>
        <w:trPr>
          <w:trHeight w:val="302" w:hRule="atLeast"/>
        </w:trPr>
        <w:tc>
          <w:tcPr>
            <w:tcW w:w="836" w:type="dxa"/>
            <w:tcBorders>
              <w:top w:val="nil"/>
              <w:bottom w:val="nil"/>
              <w:right w:val="single" w:sz="4" w:space="0" w:color="000000"/>
            </w:tcBorders>
          </w:tcPr>
          <w:p>
            <w:pPr>
              <w:pStyle w:val="TableParagraph"/>
              <w:spacing w:line="252" w:lineRule="exact" w:before="30"/>
              <w:ind w:left="107"/>
              <w:rPr>
                <w:rFonts w:ascii="宋体" w:eastAsia="宋体" w:hint="eastAsia"/>
                <w:sz w:val="21"/>
              </w:rPr>
            </w:pPr>
            <w:r>
              <w:rPr>
                <w:rFonts w:ascii="宋体" w:eastAsia="宋体" w:hint="eastAsia"/>
                <w:sz w:val="21"/>
              </w:rPr>
              <w:t>大资</w:t>
            </w:r>
          </w:p>
        </w:tc>
        <w:tc>
          <w:tcPr>
            <w:tcW w:w="994" w:type="dxa"/>
            <w:tcBorders>
              <w:top w:val="nil"/>
              <w:left w:val="single" w:sz="4" w:space="0" w:color="000000"/>
              <w:bottom w:val="single" w:sz="4" w:space="0" w:color="000000"/>
              <w:right w:val="single" w:sz="4" w:space="0" w:color="000000"/>
            </w:tcBorders>
          </w:tcPr>
          <w:p>
            <w:pPr>
              <w:pStyle w:val="TableParagraph"/>
              <w:rPr>
                <w:sz w:val="20"/>
              </w:rPr>
            </w:pPr>
          </w:p>
        </w:tc>
        <w:tc>
          <w:tcPr>
            <w:tcW w:w="1560" w:type="dxa"/>
            <w:tcBorders>
              <w:top w:val="nil"/>
              <w:left w:val="single" w:sz="4" w:space="0" w:color="000000"/>
              <w:bottom w:val="single" w:sz="4" w:space="0" w:color="000000"/>
              <w:right w:val="single" w:sz="4" w:space="0" w:color="000000"/>
            </w:tcBorders>
          </w:tcPr>
          <w:p>
            <w:pPr>
              <w:pStyle w:val="TableParagraph"/>
              <w:rPr>
                <w:sz w:val="20"/>
              </w:rPr>
            </w:pPr>
          </w:p>
        </w:tc>
        <w:tc>
          <w:tcPr>
            <w:tcW w:w="7086" w:type="dxa"/>
            <w:tcBorders>
              <w:top w:val="nil"/>
              <w:left w:val="single" w:sz="4" w:space="0" w:color="000000"/>
              <w:bottom w:val="single" w:sz="4" w:space="0" w:color="000000"/>
              <w:right w:val="single" w:sz="4" w:space="0" w:color="000000"/>
            </w:tcBorders>
          </w:tcPr>
          <w:p>
            <w:pPr>
              <w:pStyle w:val="TableParagraph"/>
              <w:spacing w:before="13"/>
              <w:ind w:left="116"/>
              <w:rPr>
                <w:rFonts w:ascii="宋体" w:eastAsia="宋体" w:hint="eastAsia"/>
                <w:sz w:val="21"/>
              </w:rPr>
            </w:pPr>
            <w:r>
              <w:rPr>
                <w:rFonts w:ascii="宋体" w:eastAsia="宋体" w:hint="eastAsia"/>
                <w:sz w:val="21"/>
              </w:rPr>
              <w:t>地、房产而遭受损失，海尔集团将予以赔偿。</w:t>
            </w:r>
          </w:p>
        </w:tc>
        <w:tc>
          <w:tcPr>
            <w:tcW w:w="1846" w:type="dxa"/>
            <w:tcBorders>
              <w:top w:val="nil"/>
              <w:left w:val="single" w:sz="4" w:space="0" w:color="000000"/>
              <w:bottom w:val="single" w:sz="4" w:space="0" w:color="000000"/>
              <w:right w:val="single" w:sz="4" w:space="0" w:color="000000"/>
            </w:tcBorders>
          </w:tcPr>
          <w:p>
            <w:pPr>
              <w:pStyle w:val="TableParagraph"/>
              <w:rPr>
                <w:sz w:val="20"/>
              </w:rPr>
            </w:pPr>
          </w:p>
        </w:tc>
        <w:tc>
          <w:tcPr>
            <w:tcW w:w="849" w:type="dxa"/>
            <w:tcBorders>
              <w:top w:val="nil"/>
              <w:left w:val="single" w:sz="4" w:space="0" w:color="000000"/>
              <w:bottom w:val="single" w:sz="4" w:space="0" w:color="000000"/>
              <w:right w:val="single" w:sz="4" w:space="0" w:color="000000"/>
            </w:tcBorders>
          </w:tcPr>
          <w:p>
            <w:pPr>
              <w:pStyle w:val="TableParagraph"/>
              <w:rPr>
                <w:sz w:val="20"/>
              </w:rPr>
            </w:pPr>
          </w:p>
        </w:tc>
        <w:tc>
          <w:tcPr>
            <w:tcW w:w="935" w:type="dxa"/>
            <w:tcBorders>
              <w:top w:val="nil"/>
              <w:left w:val="single" w:sz="4" w:space="0" w:color="000000"/>
              <w:bottom w:val="single" w:sz="4" w:space="0" w:color="000000"/>
            </w:tcBorders>
          </w:tcPr>
          <w:p>
            <w:pPr>
              <w:pStyle w:val="TableParagraph"/>
              <w:rPr>
                <w:sz w:val="20"/>
              </w:rPr>
            </w:pPr>
          </w:p>
        </w:tc>
      </w:tr>
      <w:tr>
        <w:trPr>
          <w:trHeight w:val="317" w:hRule="atLeast"/>
        </w:trPr>
        <w:tc>
          <w:tcPr>
            <w:tcW w:w="836" w:type="dxa"/>
            <w:tcBorders>
              <w:top w:val="nil"/>
              <w:bottom w:val="nil"/>
              <w:right w:val="single" w:sz="4" w:space="0" w:color="000000"/>
            </w:tcBorders>
          </w:tcPr>
          <w:p>
            <w:pPr>
              <w:pStyle w:val="TableParagraph"/>
              <w:spacing w:line="268" w:lineRule="exact" w:before="30"/>
              <w:ind w:left="107"/>
              <w:rPr>
                <w:rFonts w:ascii="宋体" w:eastAsia="宋体" w:hint="eastAsia"/>
                <w:sz w:val="21"/>
              </w:rPr>
            </w:pPr>
            <w:r>
              <w:rPr>
                <w:rFonts w:ascii="宋体" w:eastAsia="宋体" w:hint="eastAsia"/>
                <w:sz w:val="21"/>
              </w:rPr>
              <w:t>产重</w:t>
            </w:r>
          </w:p>
        </w:tc>
        <w:tc>
          <w:tcPr>
            <w:tcW w:w="994" w:type="dxa"/>
            <w:tcBorders>
              <w:top w:val="single" w:sz="4" w:space="0" w:color="000000"/>
              <w:left w:val="single" w:sz="4" w:space="0" w:color="000000"/>
              <w:bottom w:val="nil"/>
              <w:right w:val="single" w:sz="4" w:space="0" w:color="000000"/>
            </w:tcBorders>
          </w:tcPr>
          <w:p>
            <w:pPr>
              <w:pStyle w:val="TableParagraph"/>
              <w:rPr>
                <w:sz w:val="20"/>
              </w:rPr>
            </w:pPr>
          </w:p>
        </w:tc>
        <w:tc>
          <w:tcPr>
            <w:tcW w:w="1560" w:type="dxa"/>
            <w:tcBorders>
              <w:top w:val="single" w:sz="4" w:space="0" w:color="000000"/>
              <w:left w:val="single" w:sz="4" w:space="0" w:color="000000"/>
              <w:bottom w:val="nil"/>
              <w:right w:val="single" w:sz="4" w:space="0" w:color="000000"/>
            </w:tcBorders>
          </w:tcPr>
          <w:p>
            <w:pPr>
              <w:pStyle w:val="TableParagraph"/>
              <w:rPr>
                <w:sz w:val="20"/>
              </w:rPr>
            </w:pPr>
          </w:p>
        </w:tc>
        <w:tc>
          <w:tcPr>
            <w:tcW w:w="7086" w:type="dxa"/>
            <w:tcBorders>
              <w:top w:val="single" w:sz="4" w:space="0" w:color="000000"/>
              <w:left w:val="single" w:sz="4" w:space="0" w:color="000000"/>
              <w:bottom w:val="nil"/>
              <w:right w:val="single" w:sz="4" w:space="0" w:color="000000"/>
            </w:tcBorders>
          </w:tcPr>
          <w:p>
            <w:pPr>
              <w:pStyle w:val="TableParagraph"/>
              <w:spacing w:before="25"/>
              <w:ind w:left="116"/>
              <w:rPr>
                <w:rFonts w:ascii="宋体" w:eastAsia="宋体" w:hint="eastAsia"/>
                <w:sz w:val="21"/>
              </w:rPr>
            </w:pPr>
            <w:r>
              <w:rPr>
                <w:rFonts w:ascii="宋体" w:eastAsia="宋体" w:hint="eastAsia"/>
                <w:sz w:val="21"/>
              </w:rPr>
              <w:t>本次交易（指海尔智家拟私有化海尔电器事项涉及的交易，下同）前，海尔</w:t>
            </w:r>
          </w:p>
        </w:tc>
        <w:tc>
          <w:tcPr>
            <w:tcW w:w="1846" w:type="dxa"/>
            <w:tcBorders>
              <w:top w:val="single" w:sz="4" w:space="0" w:color="000000"/>
              <w:left w:val="single" w:sz="4" w:space="0" w:color="000000"/>
              <w:bottom w:val="nil"/>
              <w:right w:val="single" w:sz="4" w:space="0" w:color="000000"/>
            </w:tcBorders>
          </w:tcPr>
          <w:p>
            <w:pPr>
              <w:pStyle w:val="TableParagraph"/>
              <w:rPr>
                <w:sz w:val="20"/>
              </w:rPr>
            </w:pPr>
          </w:p>
        </w:tc>
        <w:tc>
          <w:tcPr>
            <w:tcW w:w="849" w:type="dxa"/>
            <w:tcBorders>
              <w:top w:val="single" w:sz="4" w:space="0" w:color="000000"/>
              <w:left w:val="single" w:sz="4" w:space="0" w:color="000000"/>
              <w:bottom w:val="nil"/>
              <w:right w:val="single" w:sz="4" w:space="0" w:color="000000"/>
            </w:tcBorders>
          </w:tcPr>
          <w:p>
            <w:pPr>
              <w:pStyle w:val="TableParagraph"/>
              <w:rPr>
                <w:sz w:val="20"/>
              </w:rPr>
            </w:pPr>
          </w:p>
        </w:tc>
        <w:tc>
          <w:tcPr>
            <w:tcW w:w="935" w:type="dxa"/>
            <w:tcBorders>
              <w:top w:val="single" w:sz="4" w:space="0" w:color="000000"/>
              <w:left w:val="single" w:sz="4" w:space="0" w:color="000000"/>
              <w:bottom w:val="nil"/>
            </w:tcBorders>
          </w:tcPr>
          <w:p>
            <w:pPr>
              <w:pStyle w:val="TableParagraph"/>
              <w:rPr>
                <w:sz w:val="20"/>
              </w:rPr>
            </w:pPr>
          </w:p>
        </w:tc>
      </w:tr>
      <w:tr>
        <w:trPr>
          <w:trHeight w:val="935" w:hRule="atLeast"/>
        </w:trPr>
        <w:tc>
          <w:tcPr>
            <w:tcW w:w="836" w:type="dxa"/>
            <w:tcBorders>
              <w:top w:val="nil"/>
              <w:bottom w:val="nil"/>
              <w:right w:val="single" w:sz="4" w:space="0" w:color="000000"/>
            </w:tcBorders>
          </w:tcPr>
          <w:p>
            <w:pPr>
              <w:pStyle w:val="TableParagraph"/>
              <w:spacing w:line="278" w:lineRule="auto" w:before="24"/>
              <w:ind w:left="107" w:right="284"/>
              <w:rPr>
                <w:rFonts w:ascii="宋体" w:eastAsia="宋体" w:hint="eastAsia"/>
                <w:sz w:val="21"/>
              </w:rPr>
            </w:pPr>
            <w:r>
              <w:rPr>
                <w:rFonts w:ascii="宋体" w:eastAsia="宋体" w:hint="eastAsia"/>
                <w:spacing w:val="-9"/>
                <w:sz w:val="21"/>
              </w:rPr>
              <w:t>组相关的</w:t>
            </w:r>
          </w:p>
          <w:p>
            <w:pPr>
              <w:pStyle w:val="TableParagraph"/>
              <w:spacing w:line="267" w:lineRule="exact"/>
              <w:ind w:left="107"/>
              <w:rPr>
                <w:rFonts w:ascii="宋体" w:eastAsia="宋体" w:hint="eastAsia"/>
                <w:sz w:val="21"/>
              </w:rPr>
            </w:pPr>
            <w:r>
              <w:rPr>
                <w:rFonts w:ascii="宋体" w:eastAsia="宋体" w:hint="eastAsia"/>
                <w:sz w:val="21"/>
              </w:rPr>
              <w:t>承诺</w:t>
            </w:r>
          </w:p>
        </w:tc>
        <w:tc>
          <w:tcPr>
            <w:tcW w:w="994" w:type="dxa"/>
            <w:tcBorders>
              <w:top w:val="nil"/>
              <w:left w:val="single" w:sz="4" w:space="0" w:color="000000"/>
              <w:bottom w:val="nil"/>
              <w:right w:val="single" w:sz="4" w:space="0" w:color="000000"/>
            </w:tcBorders>
          </w:tcPr>
          <w:p>
            <w:pPr>
              <w:pStyle w:val="TableParagraph"/>
              <w:spacing w:line="278" w:lineRule="auto" w:before="175"/>
              <w:ind w:left="116" w:right="16"/>
              <w:rPr>
                <w:rFonts w:ascii="宋体" w:eastAsia="宋体" w:hint="eastAsia"/>
                <w:sz w:val="21"/>
              </w:rPr>
            </w:pPr>
            <w:r>
              <w:rPr>
                <w:rFonts w:ascii="宋体" w:eastAsia="宋体" w:hint="eastAsia"/>
                <w:sz w:val="21"/>
              </w:rPr>
              <w:t>解 决 同业竞争</w:t>
            </w:r>
          </w:p>
        </w:tc>
        <w:tc>
          <w:tcPr>
            <w:tcW w:w="1560" w:type="dxa"/>
            <w:tcBorders>
              <w:top w:val="nil"/>
              <w:left w:val="single" w:sz="4" w:space="0" w:color="000000"/>
              <w:bottom w:val="nil"/>
              <w:right w:val="single" w:sz="4" w:space="0" w:color="000000"/>
            </w:tcBorders>
          </w:tcPr>
          <w:p>
            <w:pPr>
              <w:pStyle w:val="TableParagraph"/>
              <w:spacing w:line="278" w:lineRule="auto" w:before="175"/>
              <w:ind w:left="116" w:right="85"/>
              <w:rPr>
                <w:rFonts w:ascii="宋体" w:eastAsia="宋体" w:hint="eastAsia"/>
                <w:sz w:val="21"/>
              </w:rPr>
            </w:pPr>
            <w:r>
              <w:rPr>
                <w:rFonts w:ascii="宋体" w:eastAsia="宋体" w:hint="eastAsia"/>
                <w:sz w:val="21"/>
              </w:rPr>
              <w:t>海尔智家股份有限公司</w:t>
            </w:r>
          </w:p>
        </w:tc>
        <w:tc>
          <w:tcPr>
            <w:tcW w:w="7086" w:type="dxa"/>
            <w:tcBorders>
              <w:top w:val="nil"/>
              <w:left w:val="single" w:sz="4" w:space="0" w:color="000000"/>
              <w:bottom w:val="nil"/>
              <w:right w:val="single" w:sz="4" w:space="0" w:color="000000"/>
            </w:tcBorders>
          </w:tcPr>
          <w:p>
            <w:pPr>
              <w:pStyle w:val="TableParagraph"/>
              <w:spacing w:line="278" w:lineRule="auto" w:before="19"/>
              <w:ind w:left="116" w:right="82"/>
              <w:rPr>
                <w:rFonts w:ascii="宋体" w:eastAsia="宋体" w:hint="eastAsia"/>
                <w:sz w:val="21"/>
              </w:rPr>
            </w:pPr>
            <w:r>
              <w:rPr>
                <w:rFonts w:ascii="宋体" w:eastAsia="宋体" w:hint="eastAsia"/>
                <w:spacing w:val="-7"/>
                <w:sz w:val="21"/>
              </w:rPr>
              <w:t>电器为公司的控股子公司，与公司不存在同业竞争；本次交易完成后，海尔</w:t>
            </w:r>
            <w:r>
              <w:rPr>
                <w:rFonts w:ascii="宋体" w:eastAsia="宋体" w:hint="eastAsia"/>
                <w:spacing w:val="-5"/>
                <w:sz w:val="21"/>
              </w:rPr>
              <w:t>电器成为公司的全资或控股子公司，与公司不存在亦不会产生新的同业竞</w:t>
            </w:r>
          </w:p>
          <w:p>
            <w:pPr>
              <w:pStyle w:val="TableParagraph"/>
              <w:spacing w:line="269" w:lineRule="exact"/>
              <w:ind w:left="116"/>
              <w:rPr>
                <w:rFonts w:ascii="宋体" w:eastAsia="宋体" w:hint="eastAsia"/>
                <w:sz w:val="21"/>
              </w:rPr>
            </w:pPr>
            <w:r>
              <w:rPr>
                <w:rFonts w:ascii="宋体" w:eastAsia="宋体" w:hint="eastAsia"/>
                <w:sz w:val="21"/>
              </w:rPr>
              <w:t>争。公司与公司的控股股东、实际控制人控制的其他关联方之间不存在任何</w:t>
            </w:r>
          </w:p>
        </w:tc>
        <w:tc>
          <w:tcPr>
            <w:tcW w:w="1846" w:type="dxa"/>
            <w:tcBorders>
              <w:top w:val="nil"/>
              <w:left w:val="single" w:sz="4" w:space="0" w:color="000000"/>
              <w:bottom w:val="nil"/>
              <w:right w:val="single" w:sz="4" w:space="0" w:color="000000"/>
            </w:tcBorders>
          </w:tcPr>
          <w:p>
            <w:pPr>
              <w:pStyle w:val="TableParagraph"/>
              <w:spacing w:line="278" w:lineRule="auto" w:before="175"/>
              <w:ind w:left="116" w:right="-29"/>
              <w:rPr>
                <w:rFonts w:ascii="宋体" w:eastAsia="宋体" w:hint="eastAsia"/>
                <w:sz w:val="21"/>
              </w:rPr>
            </w:pPr>
            <w:r>
              <w:rPr>
                <w:sz w:val="21"/>
              </w:rPr>
              <w:t>2020</w:t>
            </w:r>
            <w:r>
              <w:rPr>
                <w:spacing w:val="-20"/>
                <w:sz w:val="21"/>
              </w:rPr>
              <w:t> </w:t>
            </w:r>
            <w:r>
              <w:rPr>
                <w:rFonts w:ascii="宋体" w:eastAsia="宋体" w:hint="eastAsia"/>
                <w:spacing w:val="31"/>
                <w:sz w:val="21"/>
              </w:rPr>
              <w:t>年</w:t>
            </w:r>
            <w:r>
              <w:rPr>
                <w:sz w:val="21"/>
              </w:rPr>
              <w:t>7</w:t>
            </w:r>
            <w:r>
              <w:rPr>
                <w:spacing w:val="-19"/>
                <w:sz w:val="21"/>
              </w:rPr>
              <w:t> </w:t>
            </w:r>
            <w:r>
              <w:rPr>
                <w:rFonts w:ascii="宋体" w:eastAsia="宋体" w:hint="eastAsia"/>
                <w:spacing w:val="31"/>
                <w:sz w:val="21"/>
              </w:rPr>
              <w:t>月</w:t>
            </w:r>
            <w:r>
              <w:rPr>
                <w:sz w:val="21"/>
              </w:rPr>
              <w:t>31</w:t>
            </w:r>
            <w:r>
              <w:rPr>
                <w:spacing w:val="-22"/>
                <w:sz w:val="21"/>
              </w:rPr>
              <w:t> </w:t>
            </w:r>
            <w:r>
              <w:rPr>
                <w:rFonts w:ascii="宋体" w:eastAsia="宋体" w:hint="eastAsia"/>
                <w:sz w:val="21"/>
              </w:rPr>
              <w:t>日， 长期</w:t>
            </w:r>
          </w:p>
        </w:tc>
        <w:tc>
          <w:tcPr>
            <w:tcW w:w="849" w:type="dxa"/>
            <w:tcBorders>
              <w:top w:val="nil"/>
              <w:left w:val="single" w:sz="4" w:space="0" w:color="000000"/>
              <w:bottom w:val="nil"/>
              <w:right w:val="single" w:sz="4" w:space="0" w:color="000000"/>
            </w:tcBorders>
          </w:tcPr>
          <w:p>
            <w:pPr>
              <w:pStyle w:val="TableParagraph"/>
              <w:spacing w:before="11"/>
              <w:rPr>
                <w:rFonts w:ascii="宋体"/>
                <w:sz w:val="25"/>
              </w:rPr>
            </w:pPr>
          </w:p>
          <w:p>
            <w:pPr>
              <w:pStyle w:val="TableParagraph"/>
              <w:ind w:left="27"/>
              <w:jc w:val="center"/>
              <w:rPr>
                <w:rFonts w:ascii="宋体" w:eastAsia="宋体" w:hint="eastAsia"/>
                <w:sz w:val="21"/>
              </w:rPr>
            </w:pPr>
            <w:r>
              <w:rPr>
                <w:rFonts w:ascii="宋体" w:eastAsia="宋体" w:hint="eastAsia"/>
                <w:w w:val="100"/>
                <w:sz w:val="21"/>
              </w:rPr>
              <w:t>是</w:t>
            </w:r>
          </w:p>
        </w:tc>
        <w:tc>
          <w:tcPr>
            <w:tcW w:w="935" w:type="dxa"/>
            <w:tcBorders>
              <w:top w:val="nil"/>
              <w:left w:val="single" w:sz="4" w:space="0" w:color="000000"/>
              <w:bottom w:val="nil"/>
            </w:tcBorders>
          </w:tcPr>
          <w:p>
            <w:pPr>
              <w:pStyle w:val="TableParagraph"/>
              <w:spacing w:before="11"/>
              <w:rPr>
                <w:rFonts w:ascii="宋体"/>
                <w:sz w:val="25"/>
              </w:rPr>
            </w:pPr>
          </w:p>
          <w:p>
            <w:pPr>
              <w:pStyle w:val="TableParagraph"/>
              <w:ind w:left="39"/>
              <w:jc w:val="center"/>
              <w:rPr>
                <w:rFonts w:ascii="宋体" w:eastAsia="宋体" w:hint="eastAsia"/>
                <w:sz w:val="21"/>
              </w:rPr>
            </w:pPr>
            <w:r>
              <w:rPr>
                <w:rFonts w:ascii="宋体" w:eastAsia="宋体" w:hint="eastAsia"/>
                <w:w w:val="100"/>
                <w:sz w:val="21"/>
              </w:rPr>
              <w:t>是</w:t>
            </w:r>
          </w:p>
        </w:tc>
      </w:tr>
      <w:tr>
        <w:trPr>
          <w:trHeight w:val="308" w:hRule="atLeast"/>
        </w:trPr>
        <w:tc>
          <w:tcPr>
            <w:tcW w:w="836" w:type="dxa"/>
            <w:tcBorders>
              <w:top w:val="nil"/>
              <w:bottom w:val="nil"/>
              <w:right w:val="single" w:sz="4" w:space="0" w:color="000000"/>
            </w:tcBorders>
          </w:tcPr>
          <w:p>
            <w:pPr>
              <w:pStyle w:val="TableParagraph"/>
              <w:rPr>
                <w:sz w:val="20"/>
              </w:rPr>
            </w:pPr>
          </w:p>
        </w:tc>
        <w:tc>
          <w:tcPr>
            <w:tcW w:w="994" w:type="dxa"/>
            <w:tcBorders>
              <w:top w:val="nil"/>
              <w:left w:val="single" w:sz="4" w:space="0" w:color="000000"/>
              <w:bottom w:val="single" w:sz="4" w:space="0" w:color="000000"/>
              <w:right w:val="single" w:sz="4" w:space="0" w:color="000000"/>
            </w:tcBorders>
          </w:tcPr>
          <w:p>
            <w:pPr>
              <w:pStyle w:val="TableParagraph"/>
              <w:rPr>
                <w:sz w:val="20"/>
              </w:rPr>
            </w:pPr>
          </w:p>
        </w:tc>
        <w:tc>
          <w:tcPr>
            <w:tcW w:w="1560" w:type="dxa"/>
            <w:tcBorders>
              <w:top w:val="nil"/>
              <w:left w:val="single" w:sz="4" w:space="0" w:color="000000"/>
              <w:bottom w:val="single" w:sz="4" w:space="0" w:color="000000"/>
              <w:right w:val="single" w:sz="4" w:space="0" w:color="000000"/>
            </w:tcBorders>
          </w:tcPr>
          <w:p>
            <w:pPr>
              <w:pStyle w:val="TableParagraph"/>
              <w:rPr>
                <w:sz w:val="20"/>
              </w:rPr>
            </w:pPr>
          </w:p>
        </w:tc>
        <w:tc>
          <w:tcPr>
            <w:tcW w:w="7086" w:type="dxa"/>
            <w:tcBorders>
              <w:top w:val="nil"/>
              <w:left w:val="single" w:sz="4" w:space="0" w:color="000000"/>
              <w:bottom w:val="single" w:sz="4" w:space="0" w:color="000000"/>
              <w:right w:val="single" w:sz="4" w:space="0" w:color="000000"/>
            </w:tcBorders>
          </w:tcPr>
          <w:p>
            <w:pPr>
              <w:pStyle w:val="TableParagraph"/>
              <w:spacing w:before="19"/>
              <w:ind w:left="116"/>
              <w:rPr>
                <w:rFonts w:ascii="宋体" w:eastAsia="宋体" w:hint="eastAsia"/>
                <w:sz w:val="21"/>
              </w:rPr>
            </w:pPr>
            <w:r>
              <w:rPr>
                <w:rFonts w:ascii="宋体" w:eastAsia="宋体" w:hint="eastAsia"/>
                <w:sz w:val="21"/>
              </w:rPr>
              <w:t>新发生的同业竞争或潜在可能发生同业竞争的情形。</w:t>
            </w:r>
          </w:p>
        </w:tc>
        <w:tc>
          <w:tcPr>
            <w:tcW w:w="1846" w:type="dxa"/>
            <w:tcBorders>
              <w:top w:val="nil"/>
              <w:left w:val="single" w:sz="4" w:space="0" w:color="000000"/>
              <w:bottom w:val="single" w:sz="4" w:space="0" w:color="000000"/>
              <w:right w:val="single" w:sz="4" w:space="0" w:color="000000"/>
            </w:tcBorders>
          </w:tcPr>
          <w:p>
            <w:pPr>
              <w:pStyle w:val="TableParagraph"/>
              <w:rPr>
                <w:sz w:val="20"/>
              </w:rPr>
            </w:pPr>
          </w:p>
        </w:tc>
        <w:tc>
          <w:tcPr>
            <w:tcW w:w="849" w:type="dxa"/>
            <w:tcBorders>
              <w:top w:val="nil"/>
              <w:left w:val="single" w:sz="4" w:space="0" w:color="000000"/>
              <w:bottom w:val="single" w:sz="4" w:space="0" w:color="000000"/>
              <w:right w:val="single" w:sz="4" w:space="0" w:color="000000"/>
            </w:tcBorders>
          </w:tcPr>
          <w:p>
            <w:pPr>
              <w:pStyle w:val="TableParagraph"/>
              <w:rPr>
                <w:sz w:val="20"/>
              </w:rPr>
            </w:pPr>
          </w:p>
        </w:tc>
        <w:tc>
          <w:tcPr>
            <w:tcW w:w="935" w:type="dxa"/>
            <w:tcBorders>
              <w:top w:val="nil"/>
              <w:left w:val="single" w:sz="4" w:space="0" w:color="000000"/>
              <w:bottom w:val="single" w:sz="4" w:space="0" w:color="000000"/>
            </w:tcBorders>
          </w:tcPr>
          <w:p>
            <w:pPr>
              <w:pStyle w:val="TableParagraph"/>
              <w:rPr>
                <w:sz w:val="20"/>
              </w:rPr>
            </w:pPr>
          </w:p>
        </w:tc>
      </w:tr>
      <w:tr>
        <w:trPr>
          <w:trHeight w:val="309" w:hRule="atLeast"/>
        </w:trPr>
        <w:tc>
          <w:tcPr>
            <w:tcW w:w="836" w:type="dxa"/>
            <w:tcBorders>
              <w:top w:val="nil"/>
              <w:bottom w:val="nil"/>
              <w:right w:val="single" w:sz="4" w:space="0" w:color="000000"/>
            </w:tcBorders>
          </w:tcPr>
          <w:p>
            <w:pPr>
              <w:pStyle w:val="TableParagraph"/>
              <w:rPr>
                <w:sz w:val="20"/>
              </w:rPr>
            </w:pPr>
          </w:p>
        </w:tc>
        <w:tc>
          <w:tcPr>
            <w:tcW w:w="994" w:type="dxa"/>
            <w:tcBorders>
              <w:top w:val="single" w:sz="4" w:space="0" w:color="000000"/>
              <w:left w:val="single" w:sz="4" w:space="0" w:color="000000"/>
              <w:bottom w:val="nil"/>
              <w:right w:val="single" w:sz="4" w:space="0" w:color="000000"/>
            </w:tcBorders>
          </w:tcPr>
          <w:p>
            <w:pPr>
              <w:pStyle w:val="TableParagraph"/>
              <w:rPr>
                <w:sz w:val="20"/>
              </w:rPr>
            </w:pPr>
          </w:p>
        </w:tc>
        <w:tc>
          <w:tcPr>
            <w:tcW w:w="1560" w:type="dxa"/>
            <w:tcBorders>
              <w:top w:val="single" w:sz="4" w:space="0" w:color="000000"/>
              <w:left w:val="single" w:sz="4" w:space="0" w:color="000000"/>
              <w:bottom w:val="nil"/>
              <w:right w:val="single" w:sz="4" w:space="0" w:color="000000"/>
            </w:tcBorders>
          </w:tcPr>
          <w:p>
            <w:pPr>
              <w:pStyle w:val="TableParagraph"/>
              <w:rPr>
                <w:sz w:val="20"/>
              </w:rPr>
            </w:pPr>
          </w:p>
        </w:tc>
        <w:tc>
          <w:tcPr>
            <w:tcW w:w="7086" w:type="dxa"/>
            <w:tcBorders>
              <w:top w:val="single" w:sz="4" w:space="0" w:color="000000"/>
              <w:left w:val="single" w:sz="4" w:space="0" w:color="000000"/>
              <w:bottom w:val="nil"/>
              <w:right w:val="single" w:sz="4" w:space="0" w:color="000000"/>
            </w:tcBorders>
          </w:tcPr>
          <w:p>
            <w:pPr>
              <w:pStyle w:val="TableParagraph"/>
              <w:spacing w:line="267" w:lineRule="exact" w:before="22"/>
              <w:ind w:left="116"/>
              <w:rPr>
                <w:rFonts w:ascii="宋体" w:eastAsia="宋体" w:hint="eastAsia"/>
                <w:sz w:val="21"/>
              </w:rPr>
            </w:pPr>
            <w:r>
              <w:rPr>
                <w:rFonts w:ascii="宋体" w:eastAsia="宋体" w:hint="eastAsia"/>
                <w:sz w:val="21"/>
              </w:rPr>
              <w:t>海尔智家股份有限公司董事、监事及高级管理人员承诺：本次交易中，自海</w:t>
            </w:r>
          </w:p>
        </w:tc>
        <w:tc>
          <w:tcPr>
            <w:tcW w:w="1846" w:type="dxa"/>
            <w:tcBorders>
              <w:top w:val="single" w:sz="4" w:space="0" w:color="000000"/>
              <w:left w:val="single" w:sz="4" w:space="0" w:color="000000"/>
              <w:bottom w:val="nil"/>
              <w:right w:val="single" w:sz="4" w:space="0" w:color="000000"/>
            </w:tcBorders>
          </w:tcPr>
          <w:p>
            <w:pPr>
              <w:pStyle w:val="TableParagraph"/>
              <w:rPr>
                <w:sz w:val="20"/>
              </w:rPr>
            </w:pPr>
          </w:p>
        </w:tc>
        <w:tc>
          <w:tcPr>
            <w:tcW w:w="849" w:type="dxa"/>
            <w:tcBorders>
              <w:top w:val="single" w:sz="4" w:space="0" w:color="000000"/>
              <w:left w:val="single" w:sz="4" w:space="0" w:color="000000"/>
              <w:bottom w:val="nil"/>
              <w:right w:val="single" w:sz="4" w:space="0" w:color="000000"/>
            </w:tcBorders>
          </w:tcPr>
          <w:p>
            <w:pPr>
              <w:pStyle w:val="TableParagraph"/>
              <w:rPr>
                <w:sz w:val="20"/>
              </w:rPr>
            </w:pPr>
          </w:p>
        </w:tc>
        <w:tc>
          <w:tcPr>
            <w:tcW w:w="935" w:type="dxa"/>
            <w:tcBorders>
              <w:top w:val="single" w:sz="4" w:space="0" w:color="000000"/>
              <w:left w:val="single" w:sz="4" w:space="0" w:color="000000"/>
              <w:bottom w:val="nil"/>
            </w:tcBorders>
          </w:tcPr>
          <w:p>
            <w:pPr>
              <w:pStyle w:val="TableParagraph"/>
              <w:rPr>
                <w:sz w:val="20"/>
              </w:rPr>
            </w:pPr>
          </w:p>
        </w:tc>
      </w:tr>
      <w:tr>
        <w:trPr>
          <w:trHeight w:val="627" w:hRule="atLeast"/>
        </w:trPr>
        <w:tc>
          <w:tcPr>
            <w:tcW w:w="836" w:type="dxa"/>
            <w:tcBorders>
              <w:top w:val="nil"/>
              <w:bottom w:val="nil"/>
              <w:right w:val="single" w:sz="4" w:space="0" w:color="000000"/>
            </w:tcBorders>
          </w:tcPr>
          <w:p>
            <w:pPr>
              <w:pStyle w:val="TableParagraph"/>
              <w:rPr>
                <w:sz w:val="20"/>
              </w:rPr>
            </w:pPr>
          </w:p>
        </w:tc>
        <w:tc>
          <w:tcPr>
            <w:tcW w:w="994" w:type="dxa"/>
            <w:tcBorders>
              <w:top w:val="nil"/>
              <w:left w:val="single" w:sz="4" w:space="0" w:color="000000"/>
              <w:bottom w:val="nil"/>
              <w:right w:val="single" w:sz="4" w:space="0" w:color="000000"/>
            </w:tcBorders>
          </w:tcPr>
          <w:p>
            <w:pPr>
              <w:pStyle w:val="TableParagraph"/>
              <w:spacing w:before="25"/>
              <w:ind w:left="116"/>
              <w:rPr>
                <w:rFonts w:ascii="宋体" w:eastAsia="宋体" w:hint="eastAsia"/>
                <w:sz w:val="21"/>
              </w:rPr>
            </w:pPr>
            <w:r>
              <w:rPr>
                <w:rFonts w:ascii="宋体" w:eastAsia="宋体" w:hint="eastAsia"/>
                <w:spacing w:val="-13"/>
                <w:sz w:val="21"/>
              </w:rPr>
              <w:t>股 份 减</w:t>
            </w:r>
          </w:p>
          <w:p>
            <w:pPr>
              <w:pStyle w:val="TableParagraph"/>
              <w:spacing w:before="43"/>
              <w:ind w:left="116"/>
              <w:rPr>
                <w:rFonts w:ascii="宋体" w:eastAsia="宋体" w:hint="eastAsia"/>
                <w:sz w:val="21"/>
              </w:rPr>
            </w:pPr>
            <w:r>
              <w:rPr>
                <w:rFonts w:ascii="宋体" w:eastAsia="宋体" w:hint="eastAsia"/>
                <w:spacing w:val="-13"/>
                <w:sz w:val="21"/>
              </w:rPr>
              <w:t>持 相 关</w:t>
            </w:r>
          </w:p>
        </w:tc>
        <w:tc>
          <w:tcPr>
            <w:tcW w:w="1560" w:type="dxa"/>
            <w:tcBorders>
              <w:top w:val="nil"/>
              <w:left w:val="single" w:sz="4" w:space="0" w:color="000000"/>
              <w:bottom w:val="nil"/>
              <w:right w:val="single" w:sz="4" w:space="0" w:color="000000"/>
            </w:tcBorders>
          </w:tcPr>
          <w:p>
            <w:pPr>
              <w:pStyle w:val="TableParagraph"/>
              <w:spacing w:before="25"/>
              <w:ind w:left="116"/>
              <w:rPr>
                <w:rFonts w:ascii="宋体" w:eastAsia="宋体" w:hint="eastAsia"/>
                <w:sz w:val="21"/>
              </w:rPr>
            </w:pPr>
            <w:r>
              <w:rPr>
                <w:rFonts w:ascii="宋体" w:eastAsia="宋体" w:hint="eastAsia"/>
                <w:spacing w:val="-16"/>
                <w:sz w:val="21"/>
              </w:rPr>
              <w:t>海 尔 智 家 董</w:t>
            </w:r>
          </w:p>
          <w:p>
            <w:pPr>
              <w:pStyle w:val="TableParagraph"/>
              <w:spacing w:before="43"/>
              <w:ind w:left="116"/>
              <w:rPr>
                <w:rFonts w:ascii="宋体" w:eastAsia="宋体" w:hint="eastAsia"/>
                <w:sz w:val="21"/>
              </w:rPr>
            </w:pPr>
            <w:r>
              <w:rPr>
                <w:rFonts w:ascii="宋体" w:eastAsia="宋体" w:hint="eastAsia"/>
                <w:spacing w:val="11"/>
                <w:sz w:val="21"/>
              </w:rPr>
              <w:t>事、监事及高</w:t>
            </w:r>
          </w:p>
        </w:tc>
        <w:tc>
          <w:tcPr>
            <w:tcW w:w="7086" w:type="dxa"/>
            <w:tcBorders>
              <w:top w:val="nil"/>
              <w:left w:val="single" w:sz="4" w:space="0" w:color="000000"/>
              <w:bottom w:val="nil"/>
              <w:right w:val="single" w:sz="4" w:space="0" w:color="000000"/>
            </w:tcBorders>
          </w:tcPr>
          <w:p>
            <w:pPr>
              <w:pStyle w:val="TableParagraph"/>
              <w:spacing w:before="25"/>
              <w:ind w:left="116"/>
              <w:rPr>
                <w:rFonts w:ascii="宋体" w:eastAsia="宋体" w:hint="eastAsia"/>
                <w:sz w:val="21"/>
              </w:rPr>
            </w:pPr>
            <w:r>
              <w:rPr>
                <w:rFonts w:ascii="宋体" w:eastAsia="宋体" w:hint="eastAsia"/>
                <w:sz w:val="21"/>
              </w:rPr>
              <w:t>尔智家股票复牌之日及本承诺函出具之日间的孰早之日起至本次交易实施</w:t>
            </w:r>
          </w:p>
          <w:p>
            <w:pPr>
              <w:pStyle w:val="TableParagraph"/>
              <w:spacing w:before="43"/>
              <w:ind w:left="116"/>
              <w:rPr>
                <w:rFonts w:ascii="宋体" w:eastAsia="宋体" w:hint="eastAsia"/>
                <w:sz w:val="21"/>
              </w:rPr>
            </w:pPr>
            <w:r>
              <w:rPr>
                <w:rFonts w:ascii="宋体" w:eastAsia="宋体" w:hint="eastAsia"/>
                <w:sz w:val="21"/>
              </w:rPr>
              <w:t>完毕期间，本人不存在减持海尔智家股份的计划（如适用）。如违反上述承</w:t>
            </w:r>
          </w:p>
        </w:tc>
        <w:tc>
          <w:tcPr>
            <w:tcW w:w="1846" w:type="dxa"/>
            <w:tcBorders>
              <w:top w:val="nil"/>
              <w:left w:val="single" w:sz="4" w:space="0" w:color="000000"/>
              <w:bottom w:val="nil"/>
              <w:right w:val="single" w:sz="4" w:space="0" w:color="000000"/>
            </w:tcBorders>
          </w:tcPr>
          <w:p>
            <w:pPr>
              <w:pStyle w:val="TableParagraph"/>
              <w:spacing w:before="25"/>
              <w:ind w:left="116" w:right="-29"/>
              <w:rPr>
                <w:rFonts w:ascii="宋体" w:eastAsia="宋体" w:hint="eastAsia"/>
                <w:sz w:val="21"/>
              </w:rPr>
            </w:pPr>
            <w:r>
              <w:rPr>
                <w:sz w:val="21"/>
              </w:rPr>
              <w:t>2020</w:t>
            </w:r>
            <w:r>
              <w:rPr>
                <w:spacing w:val="-20"/>
                <w:sz w:val="21"/>
              </w:rPr>
              <w:t> </w:t>
            </w:r>
            <w:r>
              <w:rPr>
                <w:rFonts w:ascii="宋体" w:eastAsia="宋体" w:hint="eastAsia"/>
                <w:spacing w:val="31"/>
                <w:sz w:val="21"/>
              </w:rPr>
              <w:t>年</w:t>
            </w:r>
            <w:r>
              <w:rPr>
                <w:sz w:val="21"/>
              </w:rPr>
              <w:t>7</w:t>
            </w:r>
            <w:r>
              <w:rPr>
                <w:spacing w:val="-19"/>
                <w:sz w:val="21"/>
              </w:rPr>
              <w:t> </w:t>
            </w:r>
            <w:r>
              <w:rPr>
                <w:rFonts w:ascii="宋体" w:eastAsia="宋体" w:hint="eastAsia"/>
                <w:spacing w:val="31"/>
                <w:sz w:val="21"/>
              </w:rPr>
              <w:t>月</w:t>
            </w:r>
            <w:r>
              <w:rPr>
                <w:sz w:val="21"/>
              </w:rPr>
              <w:t>31</w:t>
            </w:r>
            <w:r>
              <w:rPr>
                <w:spacing w:val="-22"/>
                <w:sz w:val="21"/>
              </w:rPr>
              <w:t> </w:t>
            </w:r>
            <w:r>
              <w:rPr>
                <w:rFonts w:ascii="宋体" w:eastAsia="宋体" w:hint="eastAsia"/>
                <w:sz w:val="21"/>
              </w:rPr>
              <w:t>日，</w:t>
            </w:r>
          </w:p>
          <w:p>
            <w:pPr>
              <w:pStyle w:val="TableParagraph"/>
              <w:spacing w:before="43"/>
              <w:ind w:left="116"/>
              <w:rPr>
                <w:rFonts w:ascii="宋体" w:eastAsia="宋体" w:hint="eastAsia"/>
                <w:sz w:val="21"/>
              </w:rPr>
            </w:pPr>
            <w:r>
              <w:rPr>
                <w:rFonts w:ascii="宋体" w:eastAsia="宋体" w:hint="eastAsia"/>
                <w:sz w:val="21"/>
              </w:rPr>
              <w:t>本次交易实施完</w:t>
            </w:r>
          </w:p>
        </w:tc>
        <w:tc>
          <w:tcPr>
            <w:tcW w:w="849" w:type="dxa"/>
            <w:tcBorders>
              <w:top w:val="nil"/>
              <w:left w:val="single" w:sz="4" w:space="0" w:color="000000"/>
              <w:bottom w:val="nil"/>
              <w:right w:val="single" w:sz="4" w:space="0" w:color="000000"/>
            </w:tcBorders>
          </w:tcPr>
          <w:p>
            <w:pPr>
              <w:pStyle w:val="TableParagraph"/>
              <w:spacing w:before="4"/>
              <w:rPr>
                <w:rFonts w:ascii="宋体"/>
                <w:sz w:val="26"/>
              </w:rPr>
            </w:pPr>
          </w:p>
          <w:p>
            <w:pPr>
              <w:pStyle w:val="TableParagraph"/>
              <w:ind w:left="27"/>
              <w:jc w:val="center"/>
              <w:rPr>
                <w:rFonts w:ascii="宋体" w:eastAsia="宋体" w:hint="eastAsia"/>
                <w:sz w:val="21"/>
              </w:rPr>
            </w:pPr>
            <w:r>
              <w:rPr>
                <w:rFonts w:ascii="宋体" w:eastAsia="宋体" w:hint="eastAsia"/>
                <w:w w:val="100"/>
                <w:sz w:val="21"/>
              </w:rPr>
              <w:t>是</w:t>
            </w:r>
          </w:p>
        </w:tc>
        <w:tc>
          <w:tcPr>
            <w:tcW w:w="935" w:type="dxa"/>
            <w:tcBorders>
              <w:top w:val="nil"/>
              <w:left w:val="single" w:sz="4" w:space="0" w:color="000000"/>
              <w:bottom w:val="nil"/>
            </w:tcBorders>
          </w:tcPr>
          <w:p>
            <w:pPr>
              <w:pStyle w:val="TableParagraph"/>
              <w:spacing w:before="4"/>
              <w:rPr>
                <w:rFonts w:ascii="宋体"/>
                <w:sz w:val="26"/>
              </w:rPr>
            </w:pPr>
          </w:p>
          <w:p>
            <w:pPr>
              <w:pStyle w:val="TableParagraph"/>
              <w:ind w:left="39"/>
              <w:jc w:val="center"/>
              <w:rPr>
                <w:rFonts w:ascii="宋体" w:eastAsia="宋体" w:hint="eastAsia"/>
                <w:sz w:val="21"/>
              </w:rPr>
            </w:pPr>
            <w:r>
              <w:rPr>
                <w:rFonts w:ascii="宋体" w:eastAsia="宋体" w:hint="eastAsia"/>
                <w:w w:val="100"/>
                <w:sz w:val="21"/>
              </w:rPr>
              <w:t>是</w:t>
            </w:r>
          </w:p>
        </w:tc>
      </w:tr>
      <w:tr>
        <w:trPr>
          <w:trHeight w:val="311" w:hRule="atLeast"/>
        </w:trPr>
        <w:tc>
          <w:tcPr>
            <w:tcW w:w="836" w:type="dxa"/>
            <w:tcBorders>
              <w:top w:val="nil"/>
              <w:bottom w:val="nil"/>
              <w:right w:val="single" w:sz="4" w:space="0" w:color="000000"/>
            </w:tcBorders>
          </w:tcPr>
          <w:p>
            <w:pPr>
              <w:pStyle w:val="TableParagraph"/>
              <w:rPr>
                <w:sz w:val="20"/>
              </w:rPr>
            </w:pPr>
          </w:p>
        </w:tc>
        <w:tc>
          <w:tcPr>
            <w:tcW w:w="994" w:type="dxa"/>
            <w:tcBorders>
              <w:top w:val="nil"/>
              <w:left w:val="single" w:sz="4" w:space="0" w:color="000000"/>
              <w:bottom w:val="nil"/>
              <w:right w:val="single" w:sz="4" w:space="0" w:color="000000"/>
            </w:tcBorders>
          </w:tcPr>
          <w:p>
            <w:pPr>
              <w:pStyle w:val="TableParagraph"/>
              <w:spacing w:before="22"/>
              <w:ind w:left="116"/>
              <w:rPr>
                <w:rFonts w:ascii="宋体" w:eastAsia="宋体" w:hint="eastAsia"/>
                <w:sz w:val="21"/>
              </w:rPr>
            </w:pPr>
            <w:r>
              <w:rPr>
                <w:rFonts w:ascii="宋体" w:eastAsia="宋体" w:hint="eastAsia"/>
                <w:sz w:val="21"/>
              </w:rPr>
              <w:t>承诺</w:t>
            </w:r>
          </w:p>
        </w:tc>
        <w:tc>
          <w:tcPr>
            <w:tcW w:w="1560" w:type="dxa"/>
            <w:tcBorders>
              <w:top w:val="nil"/>
              <w:left w:val="single" w:sz="4" w:space="0" w:color="000000"/>
              <w:bottom w:val="nil"/>
              <w:right w:val="single" w:sz="4" w:space="0" w:color="000000"/>
            </w:tcBorders>
          </w:tcPr>
          <w:p>
            <w:pPr>
              <w:pStyle w:val="TableParagraph"/>
              <w:spacing w:before="22"/>
              <w:ind w:left="116"/>
              <w:rPr>
                <w:rFonts w:ascii="宋体" w:eastAsia="宋体" w:hint="eastAsia"/>
                <w:sz w:val="21"/>
              </w:rPr>
            </w:pPr>
            <w:r>
              <w:rPr>
                <w:rFonts w:ascii="宋体" w:eastAsia="宋体" w:hint="eastAsia"/>
                <w:sz w:val="21"/>
              </w:rPr>
              <w:t>级管理人员</w:t>
            </w:r>
          </w:p>
        </w:tc>
        <w:tc>
          <w:tcPr>
            <w:tcW w:w="7086" w:type="dxa"/>
            <w:tcBorders>
              <w:top w:val="nil"/>
              <w:left w:val="single" w:sz="4" w:space="0" w:color="000000"/>
              <w:bottom w:val="nil"/>
              <w:right w:val="single" w:sz="4" w:space="0" w:color="000000"/>
            </w:tcBorders>
          </w:tcPr>
          <w:p>
            <w:pPr>
              <w:pStyle w:val="TableParagraph"/>
              <w:spacing w:before="22"/>
              <w:ind w:left="116"/>
              <w:rPr>
                <w:rFonts w:ascii="宋体" w:eastAsia="宋体" w:hint="eastAsia"/>
                <w:sz w:val="21"/>
              </w:rPr>
            </w:pPr>
            <w:r>
              <w:rPr>
                <w:rFonts w:ascii="宋体" w:eastAsia="宋体" w:hint="eastAsia"/>
                <w:sz w:val="21"/>
              </w:rPr>
              <w:t>诺，由此给海尔智家或其他投资者造成损失的，本人承诺向海尔智家或其他</w:t>
            </w:r>
          </w:p>
        </w:tc>
        <w:tc>
          <w:tcPr>
            <w:tcW w:w="1846" w:type="dxa"/>
            <w:tcBorders>
              <w:top w:val="nil"/>
              <w:left w:val="single" w:sz="4" w:space="0" w:color="000000"/>
              <w:bottom w:val="nil"/>
              <w:right w:val="single" w:sz="4" w:space="0" w:color="000000"/>
            </w:tcBorders>
          </w:tcPr>
          <w:p>
            <w:pPr>
              <w:pStyle w:val="TableParagraph"/>
              <w:spacing w:before="22"/>
              <w:ind w:left="116"/>
              <w:rPr>
                <w:rFonts w:ascii="宋体" w:eastAsia="宋体" w:hint="eastAsia"/>
                <w:sz w:val="21"/>
              </w:rPr>
            </w:pPr>
            <w:r>
              <w:rPr>
                <w:rFonts w:ascii="宋体" w:eastAsia="宋体" w:hint="eastAsia"/>
                <w:w w:val="100"/>
                <w:sz w:val="21"/>
              </w:rPr>
              <w:t>毕</w:t>
            </w:r>
          </w:p>
        </w:tc>
        <w:tc>
          <w:tcPr>
            <w:tcW w:w="849" w:type="dxa"/>
            <w:tcBorders>
              <w:top w:val="nil"/>
              <w:left w:val="single" w:sz="4" w:space="0" w:color="000000"/>
              <w:bottom w:val="nil"/>
              <w:right w:val="single" w:sz="4" w:space="0" w:color="000000"/>
            </w:tcBorders>
          </w:tcPr>
          <w:p>
            <w:pPr>
              <w:pStyle w:val="TableParagraph"/>
              <w:rPr>
                <w:sz w:val="20"/>
              </w:rPr>
            </w:pPr>
          </w:p>
        </w:tc>
        <w:tc>
          <w:tcPr>
            <w:tcW w:w="935" w:type="dxa"/>
            <w:tcBorders>
              <w:top w:val="nil"/>
              <w:left w:val="single" w:sz="4" w:space="0" w:color="000000"/>
              <w:bottom w:val="nil"/>
            </w:tcBorders>
          </w:tcPr>
          <w:p>
            <w:pPr>
              <w:pStyle w:val="TableParagraph"/>
              <w:rPr>
                <w:sz w:val="20"/>
              </w:rPr>
            </w:pPr>
          </w:p>
        </w:tc>
      </w:tr>
      <w:tr>
        <w:trPr>
          <w:trHeight w:val="310" w:hRule="atLeast"/>
        </w:trPr>
        <w:tc>
          <w:tcPr>
            <w:tcW w:w="836" w:type="dxa"/>
            <w:tcBorders>
              <w:top w:val="nil"/>
              <w:bottom w:val="nil"/>
              <w:right w:val="single" w:sz="4" w:space="0" w:color="000000"/>
            </w:tcBorders>
          </w:tcPr>
          <w:p>
            <w:pPr>
              <w:pStyle w:val="TableParagraph"/>
              <w:rPr>
                <w:sz w:val="20"/>
              </w:rPr>
            </w:pPr>
          </w:p>
        </w:tc>
        <w:tc>
          <w:tcPr>
            <w:tcW w:w="994" w:type="dxa"/>
            <w:tcBorders>
              <w:top w:val="nil"/>
              <w:left w:val="single" w:sz="4" w:space="0" w:color="000000"/>
              <w:bottom w:val="single" w:sz="4" w:space="0" w:color="000000"/>
              <w:right w:val="single" w:sz="4" w:space="0" w:color="000000"/>
            </w:tcBorders>
          </w:tcPr>
          <w:p>
            <w:pPr>
              <w:pStyle w:val="TableParagraph"/>
              <w:rPr>
                <w:sz w:val="20"/>
              </w:rPr>
            </w:pPr>
          </w:p>
        </w:tc>
        <w:tc>
          <w:tcPr>
            <w:tcW w:w="1560" w:type="dxa"/>
            <w:tcBorders>
              <w:top w:val="nil"/>
              <w:left w:val="single" w:sz="4" w:space="0" w:color="000000"/>
              <w:bottom w:val="single" w:sz="4" w:space="0" w:color="000000"/>
              <w:right w:val="single" w:sz="4" w:space="0" w:color="000000"/>
            </w:tcBorders>
          </w:tcPr>
          <w:p>
            <w:pPr>
              <w:pStyle w:val="TableParagraph"/>
              <w:rPr>
                <w:sz w:val="20"/>
              </w:rPr>
            </w:pPr>
          </w:p>
        </w:tc>
        <w:tc>
          <w:tcPr>
            <w:tcW w:w="7086" w:type="dxa"/>
            <w:tcBorders>
              <w:top w:val="nil"/>
              <w:left w:val="single" w:sz="4" w:space="0" w:color="000000"/>
              <w:bottom w:val="single" w:sz="4" w:space="0" w:color="000000"/>
              <w:right w:val="single" w:sz="4" w:space="0" w:color="000000"/>
            </w:tcBorders>
          </w:tcPr>
          <w:p>
            <w:pPr>
              <w:pStyle w:val="TableParagraph"/>
              <w:spacing w:before="22"/>
              <w:ind w:left="116"/>
              <w:rPr>
                <w:rFonts w:ascii="宋体" w:eastAsia="宋体" w:hint="eastAsia"/>
                <w:sz w:val="21"/>
              </w:rPr>
            </w:pPr>
            <w:r>
              <w:rPr>
                <w:rFonts w:ascii="宋体" w:eastAsia="宋体" w:hint="eastAsia"/>
                <w:sz w:val="21"/>
              </w:rPr>
              <w:t>投资者依法承担赔偿责任。</w:t>
            </w:r>
          </w:p>
        </w:tc>
        <w:tc>
          <w:tcPr>
            <w:tcW w:w="1846" w:type="dxa"/>
            <w:tcBorders>
              <w:top w:val="nil"/>
              <w:left w:val="single" w:sz="4" w:space="0" w:color="000000"/>
              <w:bottom w:val="single" w:sz="4" w:space="0" w:color="000000"/>
              <w:right w:val="single" w:sz="4" w:space="0" w:color="000000"/>
            </w:tcBorders>
          </w:tcPr>
          <w:p>
            <w:pPr>
              <w:pStyle w:val="TableParagraph"/>
              <w:rPr>
                <w:sz w:val="20"/>
              </w:rPr>
            </w:pPr>
          </w:p>
        </w:tc>
        <w:tc>
          <w:tcPr>
            <w:tcW w:w="849" w:type="dxa"/>
            <w:tcBorders>
              <w:top w:val="nil"/>
              <w:left w:val="single" w:sz="4" w:space="0" w:color="000000"/>
              <w:bottom w:val="single" w:sz="4" w:space="0" w:color="000000"/>
              <w:right w:val="single" w:sz="4" w:space="0" w:color="000000"/>
            </w:tcBorders>
          </w:tcPr>
          <w:p>
            <w:pPr>
              <w:pStyle w:val="TableParagraph"/>
              <w:rPr>
                <w:sz w:val="20"/>
              </w:rPr>
            </w:pPr>
          </w:p>
        </w:tc>
        <w:tc>
          <w:tcPr>
            <w:tcW w:w="935" w:type="dxa"/>
            <w:tcBorders>
              <w:top w:val="nil"/>
              <w:left w:val="single" w:sz="4" w:space="0" w:color="000000"/>
              <w:bottom w:val="single" w:sz="4" w:space="0" w:color="000000"/>
            </w:tcBorders>
          </w:tcPr>
          <w:p>
            <w:pPr>
              <w:pStyle w:val="TableParagraph"/>
              <w:rPr>
                <w:sz w:val="20"/>
              </w:rPr>
            </w:pPr>
          </w:p>
        </w:tc>
      </w:tr>
      <w:tr>
        <w:trPr>
          <w:trHeight w:val="308" w:hRule="atLeast"/>
        </w:trPr>
        <w:tc>
          <w:tcPr>
            <w:tcW w:w="836" w:type="dxa"/>
            <w:tcBorders>
              <w:top w:val="nil"/>
              <w:right w:val="single" w:sz="4" w:space="0" w:color="000000"/>
            </w:tcBorders>
          </w:tcPr>
          <w:p>
            <w:pPr>
              <w:pStyle w:val="TableParagraph"/>
              <w:rPr>
                <w:sz w:val="20"/>
              </w:rPr>
            </w:pPr>
          </w:p>
        </w:tc>
        <w:tc>
          <w:tcPr>
            <w:tcW w:w="994" w:type="dxa"/>
            <w:tcBorders>
              <w:top w:val="single" w:sz="4" w:space="0" w:color="000000"/>
              <w:left w:val="single" w:sz="4" w:space="0" w:color="000000"/>
              <w:right w:val="single" w:sz="4" w:space="0" w:color="000000"/>
            </w:tcBorders>
          </w:tcPr>
          <w:p>
            <w:pPr>
              <w:pStyle w:val="TableParagraph"/>
              <w:spacing w:line="266" w:lineRule="exact" w:before="22"/>
              <w:ind w:left="116"/>
              <w:rPr>
                <w:rFonts w:ascii="宋体" w:eastAsia="宋体" w:hint="eastAsia"/>
                <w:sz w:val="21"/>
              </w:rPr>
            </w:pPr>
            <w:r>
              <w:rPr>
                <w:rFonts w:ascii="宋体" w:eastAsia="宋体" w:hint="eastAsia"/>
                <w:sz w:val="21"/>
              </w:rPr>
              <w:t>减 少 关</w:t>
            </w:r>
          </w:p>
        </w:tc>
        <w:tc>
          <w:tcPr>
            <w:tcW w:w="1560" w:type="dxa"/>
            <w:tcBorders>
              <w:top w:val="single" w:sz="4" w:space="0" w:color="000000"/>
              <w:left w:val="single" w:sz="4" w:space="0" w:color="000000"/>
              <w:right w:val="single" w:sz="4" w:space="0" w:color="000000"/>
            </w:tcBorders>
          </w:tcPr>
          <w:p>
            <w:pPr>
              <w:pStyle w:val="TableParagraph"/>
              <w:spacing w:line="266" w:lineRule="exact" w:before="22"/>
              <w:ind w:left="116"/>
              <w:rPr>
                <w:rFonts w:ascii="宋体" w:eastAsia="宋体" w:hint="eastAsia"/>
                <w:sz w:val="21"/>
              </w:rPr>
            </w:pPr>
            <w:r>
              <w:rPr>
                <w:rFonts w:ascii="宋体" w:eastAsia="宋体" w:hint="eastAsia"/>
                <w:sz w:val="21"/>
              </w:rPr>
              <w:t>海尔卡奥斯股</w:t>
            </w:r>
          </w:p>
        </w:tc>
        <w:tc>
          <w:tcPr>
            <w:tcW w:w="7086" w:type="dxa"/>
            <w:tcBorders>
              <w:top w:val="single" w:sz="4" w:space="0" w:color="000000"/>
              <w:left w:val="single" w:sz="4" w:space="0" w:color="000000"/>
              <w:right w:val="single" w:sz="4" w:space="0" w:color="000000"/>
            </w:tcBorders>
          </w:tcPr>
          <w:p>
            <w:pPr>
              <w:pStyle w:val="TableParagraph"/>
              <w:spacing w:line="266" w:lineRule="exact" w:before="22"/>
              <w:ind w:left="116" w:right="-29"/>
              <w:rPr>
                <w:rFonts w:ascii="宋体" w:eastAsia="宋体" w:hint="eastAsia"/>
                <w:sz w:val="21"/>
              </w:rPr>
            </w:pPr>
            <w:r>
              <w:rPr>
                <w:sz w:val="21"/>
              </w:rPr>
              <w:t>1</w:t>
            </w:r>
            <w:r>
              <w:rPr>
                <w:rFonts w:ascii="宋体" w:eastAsia="宋体" w:hint="eastAsia"/>
                <w:spacing w:val="-10"/>
                <w:sz w:val="21"/>
              </w:rPr>
              <w:t>、本次交易构成关联交易，本次交易已履行的关联交易程序符合相关规定，</w:t>
            </w:r>
          </w:p>
        </w:tc>
        <w:tc>
          <w:tcPr>
            <w:tcW w:w="1846" w:type="dxa"/>
            <w:tcBorders>
              <w:top w:val="single" w:sz="4" w:space="0" w:color="000000"/>
              <w:left w:val="single" w:sz="4" w:space="0" w:color="000000"/>
              <w:right w:val="single" w:sz="4" w:space="0" w:color="000000"/>
            </w:tcBorders>
          </w:tcPr>
          <w:p>
            <w:pPr>
              <w:pStyle w:val="TableParagraph"/>
              <w:spacing w:line="266" w:lineRule="exact" w:before="22"/>
              <w:ind w:left="116" w:right="-29"/>
              <w:rPr>
                <w:rFonts w:ascii="宋体" w:eastAsia="宋体" w:hint="eastAsia"/>
                <w:sz w:val="21"/>
              </w:rPr>
            </w:pPr>
            <w:r>
              <w:rPr>
                <w:sz w:val="21"/>
              </w:rPr>
              <w:t>2020</w:t>
            </w:r>
            <w:r>
              <w:rPr>
                <w:spacing w:val="-20"/>
                <w:sz w:val="21"/>
              </w:rPr>
              <w:t> </w:t>
            </w:r>
            <w:r>
              <w:rPr>
                <w:rFonts w:ascii="宋体" w:eastAsia="宋体" w:hint="eastAsia"/>
                <w:spacing w:val="31"/>
                <w:sz w:val="21"/>
              </w:rPr>
              <w:t>年</w:t>
            </w:r>
            <w:r>
              <w:rPr>
                <w:sz w:val="21"/>
              </w:rPr>
              <w:t>7</w:t>
            </w:r>
            <w:r>
              <w:rPr>
                <w:spacing w:val="-19"/>
                <w:sz w:val="21"/>
              </w:rPr>
              <w:t> </w:t>
            </w:r>
            <w:r>
              <w:rPr>
                <w:rFonts w:ascii="宋体" w:eastAsia="宋体" w:hint="eastAsia"/>
                <w:spacing w:val="31"/>
                <w:sz w:val="21"/>
              </w:rPr>
              <w:t>月</w:t>
            </w:r>
            <w:r>
              <w:rPr>
                <w:sz w:val="21"/>
              </w:rPr>
              <w:t>29</w:t>
            </w:r>
            <w:r>
              <w:rPr>
                <w:spacing w:val="-22"/>
                <w:sz w:val="21"/>
              </w:rPr>
              <w:t> </w:t>
            </w:r>
            <w:r>
              <w:rPr>
                <w:rFonts w:ascii="宋体" w:eastAsia="宋体" w:hint="eastAsia"/>
                <w:sz w:val="21"/>
              </w:rPr>
              <w:t>日，</w:t>
            </w:r>
          </w:p>
        </w:tc>
        <w:tc>
          <w:tcPr>
            <w:tcW w:w="849" w:type="dxa"/>
            <w:tcBorders>
              <w:top w:val="single" w:sz="4" w:space="0" w:color="000000"/>
              <w:left w:val="single" w:sz="4" w:space="0" w:color="000000"/>
              <w:right w:val="single" w:sz="4" w:space="0" w:color="000000"/>
            </w:tcBorders>
          </w:tcPr>
          <w:p>
            <w:pPr>
              <w:pStyle w:val="TableParagraph"/>
              <w:spacing w:line="266" w:lineRule="exact" w:before="22"/>
              <w:ind w:left="27"/>
              <w:jc w:val="center"/>
              <w:rPr>
                <w:rFonts w:ascii="宋体" w:eastAsia="宋体" w:hint="eastAsia"/>
                <w:sz w:val="21"/>
              </w:rPr>
            </w:pPr>
            <w:r>
              <w:rPr>
                <w:rFonts w:ascii="宋体" w:eastAsia="宋体" w:hint="eastAsia"/>
                <w:w w:val="100"/>
                <w:sz w:val="21"/>
              </w:rPr>
              <w:t>是</w:t>
            </w:r>
          </w:p>
        </w:tc>
        <w:tc>
          <w:tcPr>
            <w:tcW w:w="935" w:type="dxa"/>
            <w:tcBorders>
              <w:top w:val="single" w:sz="4" w:space="0" w:color="000000"/>
              <w:left w:val="single" w:sz="4" w:space="0" w:color="000000"/>
            </w:tcBorders>
          </w:tcPr>
          <w:p>
            <w:pPr>
              <w:pStyle w:val="TableParagraph"/>
              <w:spacing w:line="266" w:lineRule="exact" w:before="22"/>
              <w:ind w:left="39"/>
              <w:jc w:val="center"/>
              <w:rPr>
                <w:rFonts w:ascii="宋体" w:eastAsia="宋体" w:hint="eastAsia"/>
                <w:sz w:val="21"/>
              </w:rPr>
            </w:pPr>
            <w:r>
              <w:rPr>
                <w:rFonts w:ascii="宋体" w:eastAsia="宋体" w:hint="eastAsia"/>
                <w:w w:val="100"/>
                <w:sz w:val="21"/>
              </w:rPr>
              <w:t>是</w:t>
            </w:r>
          </w:p>
        </w:tc>
      </w:tr>
    </w:tbl>
    <w:p>
      <w:pPr>
        <w:spacing w:after="0" w:line="266" w:lineRule="exact"/>
        <w:jc w:val="center"/>
        <w:rPr>
          <w:rFonts w:ascii="宋体" w:eastAsia="宋体" w:hint="eastAsia"/>
          <w:sz w:val="21"/>
        </w:rPr>
        <w:sectPr>
          <w:headerReference w:type="default" r:id="rId36"/>
          <w:footerReference w:type="default" r:id="rId37"/>
          <w:pgSz w:w="16840" w:h="11910" w:orient="landscape"/>
          <w:pgMar w:header="876" w:footer="1214" w:top="1180" w:bottom="1400" w:left="1180" w:right="1280"/>
          <w:pgNumType w:start="6"/>
        </w:sectPr>
      </w:pPr>
    </w:p>
    <w:p>
      <w:pPr>
        <w:pStyle w:val="BodyText"/>
        <w:rPr>
          <w:rFonts w:ascii="Times New Roman"/>
          <w:sz w:val="20"/>
        </w:rPr>
      </w:pPr>
    </w:p>
    <w:p>
      <w:pPr>
        <w:pStyle w:val="BodyText"/>
        <w:rPr>
          <w:rFonts w:ascii="Times New Roman"/>
          <w:sz w:val="20"/>
        </w:rPr>
      </w:pPr>
    </w:p>
    <w:p>
      <w:pPr>
        <w:pStyle w:val="BodyText"/>
        <w:spacing w:before="7" w:after="1"/>
        <w:rPr>
          <w:rFonts w:ascii="Times New Roman"/>
          <w:sz w:val="13"/>
        </w:rPr>
      </w:pPr>
    </w:p>
    <w:tbl>
      <w:tblPr>
        <w:tblW w:w="0" w:type="auto"/>
        <w:jc w:val="left"/>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36"/>
        <w:gridCol w:w="994"/>
        <w:gridCol w:w="1560"/>
        <w:gridCol w:w="7086"/>
        <w:gridCol w:w="1846"/>
        <w:gridCol w:w="849"/>
        <w:gridCol w:w="935"/>
      </w:tblGrid>
      <w:tr>
        <w:trPr>
          <w:trHeight w:val="3109" w:hRule="atLeast"/>
        </w:trPr>
        <w:tc>
          <w:tcPr>
            <w:tcW w:w="836" w:type="dxa"/>
            <w:vMerge w:val="restart"/>
            <w:tcBorders>
              <w:right w:val="single" w:sz="4" w:space="0" w:color="000000"/>
            </w:tcBorders>
          </w:tcPr>
          <w:p>
            <w:pPr>
              <w:pStyle w:val="TableParagraph"/>
              <w:rPr>
                <w:sz w:val="20"/>
              </w:rPr>
            </w:pPr>
          </w:p>
        </w:tc>
        <w:tc>
          <w:tcPr>
            <w:tcW w:w="994" w:type="dxa"/>
            <w:tcBorders>
              <w:left w:val="single" w:sz="4" w:space="0" w:color="000000"/>
              <w:bottom w:val="single" w:sz="4" w:space="0" w:color="000000"/>
              <w:right w:val="single" w:sz="4" w:space="0" w:color="000000"/>
            </w:tcBorders>
          </w:tcPr>
          <w:p>
            <w:pPr>
              <w:pStyle w:val="TableParagraph"/>
              <w:spacing w:before="22"/>
              <w:ind w:left="116"/>
              <w:rPr>
                <w:rFonts w:ascii="宋体" w:eastAsia="宋体" w:hint="eastAsia"/>
                <w:sz w:val="21"/>
              </w:rPr>
            </w:pPr>
            <w:r>
              <w:rPr>
                <w:rFonts w:ascii="宋体" w:eastAsia="宋体" w:hint="eastAsia"/>
                <w:sz w:val="21"/>
              </w:rPr>
              <w:t>联交易</w:t>
            </w:r>
          </w:p>
        </w:tc>
        <w:tc>
          <w:tcPr>
            <w:tcW w:w="1560" w:type="dxa"/>
            <w:tcBorders>
              <w:left w:val="single" w:sz="4" w:space="0" w:color="000000"/>
              <w:bottom w:val="single" w:sz="4" w:space="0" w:color="000000"/>
              <w:right w:val="single" w:sz="4" w:space="0" w:color="000000"/>
            </w:tcBorders>
          </w:tcPr>
          <w:p>
            <w:pPr>
              <w:pStyle w:val="TableParagraph"/>
              <w:spacing w:before="22"/>
              <w:ind w:left="116"/>
              <w:rPr>
                <w:rFonts w:ascii="宋体" w:eastAsia="宋体" w:hint="eastAsia"/>
                <w:sz w:val="21"/>
              </w:rPr>
            </w:pPr>
            <w:r>
              <w:rPr>
                <w:rFonts w:ascii="宋体" w:eastAsia="宋体" w:hint="eastAsia"/>
                <w:sz w:val="21"/>
              </w:rPr>
              <w:t>份有限公司</w:t>
            </w:r>
          </w:p>
        </w:tc>
        <w:tc>
          <w:tcPr>
            <w:tcW w:w="7086" w:type="dxa"/>
            <w:tcBorders>
              <w:left w:val="single" w:sz="4" w:space="0" w:color="000000"/>
              <w:bottom w:val="single" w:sz="4" w:space="0" w:color="000000"/>
              <w:right w:val="single" w:sz="4" w:space="0" w:color="000000"/>
            </w:tcBorders>
          </w:tcPr>
          <w:p>
            <w:pPr>
              <w:pStyle w:val="TableParagraph"/>
              <w:spacing w:line="278" w:lineRule="auto" w:before="22"/>
              <w:ind w:left="116" w:right="22"/>
              <w:rPr>
                <w:rFonts w:ascii="宋体" w:eastAsia="宋体" w:hint="eastAsia"/>
                <w:sz w:val="21"/>
              </w:rPr>
            </w:pPr>
            <w:r>
              <w:rPr>
                <w:rFonts w:ascii="宋体" w:eastAsia="宋体" w:hint="eastAsia"/>
                <w:spacing w:val="-3"/>
                <w:sz w:val="21"/>
              </w:rPr>
              <w:t>关联交易定价公允，不存在损害上市公司及非关联股东利益的情形。</w:t>
            </w:r>
            <w:r>
              <w:rPr>
                <w:spacing w:val="-3"/>
                <w:sz w:val="21"/>
              </w:rPr>
              <w:t>2</w:t>
            </w:r>
            <w:r>
              <w:rPr>
                <w:rFonts w:ascii="宋体" w:eastAsia="宋体" w:hint="eastAsia"/>
                <w:sz w:val="21"/>
              </w:rPr>
              <w:t>、本</w:t>
            </w:r>
            <w:r>
              <w:rPr>
                <w:rFonts w:ascii="宋体" w:eastAsia="宋体" w:hint="eastAsia"/>
                <w:spacing w:val="-8"/>
                <w:sz w:val="21"/>
              </w:rPr>
              <w:t>次交易完成后，本公司及本公司关联企业将采取合法及有效措施，尽量减少</w:t>
            </w:r>
            <w:r>
              <w:rPr>
                <w:rFonts w:ascii="宋体" w:eastAsia="宋体" w:hint="eastAsia"/>
                <w:spacing w:val="-5"/>
                <w:sz w:val="21"/>
              </w:rPr>
              <w:t>并规范与上市公司之间的关联交易，自觉维护上市公司及全体股东的利益， </w:t>
            </w:r>
            <w:r>
              <w:rPr>
                <w:rFonts w:ascii="宋体" w:eastAsia="宋体" w:hint="eastAsia"/>
                <w:spacing w:val="-4"/>
                <w:sz w:val="21"/>
              </w:rPr>
              <w:t>不利用关联交易谋取不正当利益。</w:t>
            </w:r>
            <w:r>
              <w:rPr>
                <w:spacing w:val="-3"/>
                <w:sz w:val="21"/>
              </w:rPr>
              <w:t>3</w:t>
            </w:r>
            <w:r>
              <w:rPr>
                <w:rFonts w:ascii="宋体" w:eastAsia="宋体" w:hint="eastAsia"/>
                <w:spacing w:val="-3"/>
                <w:sz w:val="21"/>
              </w:rPr>
              <w:t>、在不与法律、法规相抵触的前提下， 本公司及本公司关联企业与上市公司如发生或存在无法避免或有合理原因 </w:t>
            </w:r>
            <w:r>
              <w:rPr>
                <w:rFonts w:ascii="宋体" w:eastAsia="宋体" w:hint="eastAsia"/>
                <w:spacing w:val="-8"/>
                <w:sz w:val="21"/>
              </w:rPr>
              <w:t>的关联交易，本公司及本公司关联企业将与上市公司依法签订交易协议，保</w:t>
            </w:r>
            <w:r>
              <w:rPr>
                <w:rFonts w:ascii="宋体" w:eastAsia="宋体" w:hint="eastAsia"/>
                <w:spacing w:val="-11"/>
                <w:sz w:val="21"/>
              </w:rPr>
              <w:t>证严格履行法律、法规、规范性文件和公司章程规定的关联交易程序，按市</w:t>
            </w:r>
            <w:r>
              <w:rPr>
                <w:rFonts w:ascii="宋体" w:eastAsia="宋体" w:hint="eastAsia"/>
                <w:spacing w:val="-9"/>
                <w:sz w:val="21"/>
              </w:rPr>
              <w:t>场化原则和公允价格进行交易，确保关联交易的公允性和合规性，不利用该</w:t>
            </w:r>
            <w:r>
              <w:rPr>
                <w:rFonts w:ascii="宋体" w:eastAsia="宋体" w:hint="eastAsia"/>
                <w:spacing w:val="-8"/>
                <w:sz w:val="21"/>
              </w:rPr>
              <w:t>类关联交易从事任何损害上市公司或其中小股东利益的行为，同时按相关规</w:t>
            </w:r>
          </w:p>
          <w:p>
            <w:pPr>
              <w:pStyle w:val="TableParagraph"/>
              <w:spacing w:line="259" w:lineRule="exact"/>
              <w:ind w:left="116"/>
              <w:rPr>
                <w:rFonts w:ascii="宋体" w:eastAsia="宋体" w:hint="eastAsia"/>
                <w:sz w:val="21"/>
              </w:rPr>
            </w:pPr>
            <w:r>
              <w:rPr>
                <w:rFonts w:ascii="宋体" w:eastAsia="宋体" w:hint="eastAsia"/>
                <w:sz w:val="21"/>
              </w:rPr>
              <w:t>定履行信息披露义务。</w:t>
            </w:r>
          </w:p>
        </w:tc>
        <w:tc>
          <w:tcPr>
            <w:tcW w:w="1846" w:type="dxa"/>
            <w:tcBorders>
              <w:left w:val="single" w:sz="4" w:space="0" w:color="000000"/>
              <w:bottom w:val="single" w:sz="4" w:space="0" w:color="000000"/>
              <w:right w:val="single" w:sz="4" w:space="0" w:color="000000"/>
            </w:tcBorders>
          </w:tcPr>
          <w:p>
            <w:pPr>
              <w:pStyle w:val="TableParagraph"/>
              <w:spacing w:before="22"/>
              <w:ind w:left="116"/>
              <w:rPr>
                <w:rFonts w:ascii="宋体" w:eastAsia="宋体" w:hint="eastAsia"/>
                <w:sz w:val="21"/>
              </w:rPr>
            </w:pPr>
            <w:r>
              <w:rPr>
                <w:rFonts w:ascii="宋体" w:eastAsia="宋体" w:hint="eastAsia"/>
                <w:sz w:val="21"/>
              </w:rPr>
              <w:t>长期</w:t>
            </w:r>
          </w:p>
        </w:tc>
        <w:tc>
          <w:tcPr>
            <w:tcW w:w="849" w:type="dxa"/>
            <w:tcBorders>
              <w:left w:val="single" w:sz="4" w:space="0" w:color="000000"/>
              <w:bottom w:val="single" w:sz="4" w:space="0" w:color="000000"/>
              <w:right w:val="single" w:sz="4" w:space="0" w:color="000000"/>
            </w:tcBorders>
          </w:tcPr>
          <w:p>
            <w:pPr>
              <w:pStyle w:val="TableParagraph"/>
              <w:rPr>
                <w:sz w:val="20"/>
              </w:rPr>
            </w:pPr>
          </w:p>
        </w:tc>
        <w:tc>
          <w:tcPr>
            <w:tcW w:w="935" w:type="dxa"/>
            <w:tcBorders>
              <w:left w:val="single" w:sz="4" w:space="0" w:color="000000"/>
              <w:bottom w:val="single" w:sz="4" w:space="0" w:color="000000"/>
            </w:tcBorders>
          </w:tcPr>
          <w:p>
            <w:pPr>
              <w:pStyle w:val="TableParagraph"/>
              <w:rPr>
                <w:sz w:val="20"/>
              </w:rPr>
            </w:pPr>
          </w:p>
        </w:tc>
      </w:tr>
      <w:tr>
        <w:trPr>
          <w:trHeight w:val="1227" w:hRule="atLeast"/>
        </w:trPr>
        <w:tc>
          <w:tcPr>
            <w:tcW w:w="836" w:type="dxa"/>
            <w:vMerge/>
            <w:tcBorders>
              <w:top w:val="nil"/>
              <w:right w:val="single" w:sz="4" w:space="0" w:color="000000"/>
            </w:tcBorders>
          </w:tcPr>
          <w:p>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68"/>
              <w:ind w:left="116" w:right="85"/>
              <w:jc w:val="both"/>
              <w:rPr>
                <w:rFonts w:ascii="宋体" w:eastAsia="宋体" w:hint="eastAsia"/>
                <w:sz w:val="21"/>
              </w:rPr>
            </w:pPr>
            <w:r>
              <w:rPr>
                <w:rFonts w:ascii="宋体" w:eastAsia="宋体" w:hint="eastAsia"/>
                <w:spacing w:val="-16"/>
                <w:sz w:val="21"/>
              </w:rPr>
              <w:t>股 份 减持 相 关</w:t>
            </w:r>
            <w:r>
              <w:rPr>
                <w:rFonts w:ascii="宋体" w:eastAsia="宋体" w:hint="eastAsia"/>
                <w:sz w:val="21"/>
              </w:rPr>
              <w:t>承诺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before="2"/>
              <w:rPr>
                <w:sz w:val="28"/>
              </w:rPr>
            </w:pPr>
          </w:p>
          <w:p>
            <w:pPr>
              <w:pStyle w:val="TableParagraph"/>
              <w:spacing w:line="278" w:lineRule="auto"/>
              <w:ind w:left="116" w:right="86"/>
              <w:rPr>
                <w:rFonts w:ascii="宋体" w:eastAsia="宋体" w:hint="eastAsia"/>
                <w:sz w:val="21"/>
              </w:rPr>
            </w:pPr>
            <w:r>
              <w:rPr>
                <w:rFonts w:ascii="宋体" w:eastAsia="宋体" w:hint="eastAsia"/>
                <w:sz w:val="21"/>
              </w:rPr>
              <w:t>海尔卡奥斯股份有限公司</w:t>
            </w:r>
          </w:p>
        </w:tc>
        <w:tc>
          <w:tcPr>
            <w:tcW w:w="708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2"/>
              <w:ind w:left="116" w:right="82"/>
              <w:jc w:val="both"/>
              <w:rPr>
                <w:rFonts w:ascii="宋体" w:eastAsia="宋体" w:hint="eastAsia"/>
                <w:sz w:val="21"/>
              </w:rPr>
            </w:pPr>
            <w:r>
              <w:rPr>
                <w:rFonts w:ascii="宋体" w:eastAsia="宋体" w:hint="eastAsia"/>
                <w:spacing w:val="-10"/>
                <w:sz w:val="21"/>
              </w:rPr>
              <w:t>本次交易中，自海尔智家股票复牌之日及本承诺函出具之日间的孰早之日起</w:t>
            </w:r>
            <w:r>
              <w:rPr>
                <w:rFonts w:ascii="宋体" w:eastAsia="宋体" w:hint="eastAsia"/>
                <w:spacing w:val="-9"/>
                <w:sz w:val="21"/>
              </w:rPr>
              <w:t>至本次交易实施完毕期间，本公司不存在减持海尔智家股份的计划。如违反上述承诺，由此给海尔智家或其他投资者造成损失的，本公司承诺向海尔智</w:t>
            </w:r>
          </w:p>
          <w:p>
            <w:pPr>
              <w:pStyle w:val="TableParagraph"/>
              <w:spacing w:line="259" w:lineRule="exact"/>
              <w:ind w:left="116"/>
              <w:rPr>
                <w:rFonts w:ascii="宋体" w:eastAsia="宋体" w:hint="eastAsia"/>
                <w:sz w:val="21"/>
              </w:rPr>
            </w:pPr>
            <w:r>
              <w:rPr>
                <w:rFonts w:ascii="宋体" w:eastAsia="宋体" w:hint="eastAsia"/>
                <w:sz w:val="21"/>
              </w:rPr>
              <w:t>家或其他投资者依法承担赔偿责任。</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68"/>
              <w:ind w:left="116" w:right="-29"/>
              <w:rPr>
                <w:rFonts w:ascii="宋体" w:eastAsia="宋体" w:hint="eastAsia"/>
                <w:sz w:val="21"/>
              </w:rPr>
            </w:pPr>
            <w:r>
              <w:rPr>
                <w:sz w:val="21"/>
              </w:rPr>
              <w:t>2020</w:t>
            </w:r>
            <w:r>
              <w:rPr>
                <w:spacing w:val="-20"/>
                <w:sz w:val="21"/>
              </w:rPr>
              <w:t> </w:t>
            </w:r>
            <w:r>
              <w:rPr>
                <w:rFonts w:ascii="宋体" w:eastAsia="宋体" w:hint="eastAsia"/>
                <w:spacing w:val="31"/>
                <w:sz w:val="21"/>
              </w:rPr>
              <w:t>年</w:t>
            </w:r>
            <w:r>
              <w:rPr>
                <w:sz w:val="21"/>
              </w:rPr>
              <w:t>7</w:t>
            </w:r>
            <w:r>
              <w:rPr>
                <w:spacing w:val="-19"/>
                <w:sz w:val="21"/>
              </w:rPr>
              <w:t> </w:t>
            </w:r>
            <w:r>
              <w:rPr>
                <w:rFonts w:ascii="宋体" w:eastAsia="宋体" w:hint="eastAsia"/>
                <w:spacing w:val="31"/>
                <w:sz w:val="21"/>
              </w:rPr>
              <w:t>月</w:t>
            </w:r>
            <w:r>
              <w:rPr>
                <w:sz w:val="21"/>
              </w:rPr>
              <w:t>29</w:t>
            </w:r>
            <w:r>
              <w:rPr>
                <w:spacing w:val="-22"/>
                <w:sz w:val="21"/>
              </w:rPr>
              <w:t> </w:t>
            </w:r>
            <w:r>
              <w:rPr>
                <w:rFonts w:ascii="宋体" w:eastAsia="宋体" w:hint="eastAsia"/>
                <w:sz w:val="21"/>
              </w:rPr>
              <w:t>日， </w:t>
            </w:r>
            <w:r>
              <w:rPr>
                <w:rFonts w:ascii="宋体" w:eastAsia="宋体" w:hint="eastAsia"/>
                <w:spacing w:val="20"/>
                <w:sz w:val="21"/>
              </w:rPr>
              <w:t>本次交易实施完毕</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rPr>
                <w:sz w:val="20"/>
              </w:rPr>
            </w:pPr>
          </w:p>
          <w:p>
            <w:pPr>
              <w:pStyle w:val="TableParagraph"/>
              <w:spacing w:before="9"/>
              <w:rPr>
                <w:sz w:val="21"/>
              </w:rPr>
            </w:pPr>
          </w:p>
          <w:p>
            <w:pPr>
              <w:pStyle w:val="TableParagraph"/>
              <w:ind w:left="27"/>
              <w:jc w:val="center"/>
              <w:rPr>
                <w:rFonts w:ascii="宋体" w:eastAsia="宋体" w:hint="eastAsia"/>
                <w:sz w:val="21"/>
              </w:rPr>
            </w:pPr>
            <w:r>
              <w:rPr>
                <w:rFonts w:ascii="宋体" w:eastAsia="宋体" w:hint="eastAsia"/>
                <w:w w:val="100"/>
                <w:sz w:val="21"/>
              </w:rPr>
              <w:t>是</w:t>
            </w:r>
          </w:p>
        </w:tc>
        <w:tc>
          <w:tcPr>
            <w:tcW w:w="935" w:type="dxa"/>
            <w:tcBorders>
              <w:top w:val="single" w:sz="4" w:space="0" w:color="000000"/>
              <w:left w:val="single" w:sz="4" w:space="0" w:color="000000"/>
              <w:bottom w:val="single" w:sz="4" w:space="0" w:color="000000"/>
            </w:tcBorders>
          </w:tcPr>
          <w:p>
            <w:pPr>
              <w:pStyle w:val="TableParagraph"/>
              <w:rPr>
                <w:sz w:val="20"/>
              </w:rPr>
            </w:pPr>
          </w:p>
          <w:p>
            <w:pPr>
              <w:pStyle w:val="TableParagraph"/>
              <w:spacing w:before="9"/>
              <w:rPr>
                <w:sz w:val="21"/>
              </w:rPr>
            </w:pPr>
          </w:p>
          <w:p>
            <w:pPr>
              <w:pStyle w:val="TableParagraph"/>
              <w:ind w:left="39"/>
              <w:jc w:val="center"/>
              <w:rPr>
                <w:rFonts w:ascii="宋体" w:eastAsia="宋体" w:hint="eastAsia"/>
                <w:sz w:val="21"/>
              </w:rPr>
            </w:pPr>
            <w:r>
              <w:rPr>
                <w:rFonts w:ascii="宋体" w:eastAsia="宋体" w:hint="eastAsia"/>
                <w:w w:val="100"/>
                <w:sz w:val="21"/>
              </w:rPr>
              <w:t>是</w:t>
            </w:r>
          </w:p>
        </w:tc>
      </w:tr>
      <w:tr>
        <w:trPr>
          <w:trHeight w:val="3414" w:hRule="atLeast"/>
        </w:trPr>
        <w:tc>
          <w:tcPr>
            <w:tcW w:w="836" w:type="dxa"/>
            <w:vMerge/>
            <w:tcBorders>
              <w:top w:val="nil"/>
              <w:right w:val="single" w:sz="4" w:space="0" w:color="000000"/>
            </w:tcBorders>
          </w:tcPr>
          <w:p>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5"/>
              <w:rPr>
                <w:sz w:val="23"/>
              </w:rPr>
            </w:pPr>
          </w:p>
          <w:p>
            <w:pPr>
              <w:pStyle w:val="TableParagraph"/>
              <w:spacing w:line="278" w:lineRule="auto"/>
              <w:ind w:left="116" w:right="16"/>
              <w:rPr>
                <w:rFonts w:ascii="宋体" w:eastAsia="宋体" w:hint="eastAsia"/>
                <w:sz w:val="21"/>
              </w:rPr>
            </w:pPr>
            <w:r>
              <w:rPr>
                <w:rFonts w:ascii="宋体" w:eastAsia="宋体" w:hint="eastAsia"/>
                <w:sz w:val="21"/>
              </w:rPr>
              <w:t>减 少 关联交易</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17"/>
              </w:rPr>
            </w:pPr>
          </w:p>
          <w:p>
            <w:pPr>
              <w:pStyle w:val="TableParagraph"/>
              <w:ind w:left="116"/>
              <w:rPr>
                <w:rFonts w:ascii="宋体" w:eastAsia="宋体" w:hint="eastAsia"/>
                <w:sz w:val="21"/>
              </w:rPr>
            </w:pPr>
            <w:r>
              <w:rPr>
                <w:rFonts w:ascii="宋体" w:eastAsia="宋体" w:hint="eastAsia"/>
                <w:sz w:val="21"/>
              </w:rPr>
              <w:t>海尔集团公司</w:t>
            </w:r>
          </w:p>
        </w:tc>
        <w:tc>
          <w:tcPr>
            <w:tcW w:w="708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5"/>
              <w:ind w:left="116" w:right="-29"/>
              <w:rPr>
                <w:rFonts w:ascii="宋体" w:eastAsia="宋体" w:hint="eastAsia"/>
                <w:sz w:val="21"/>
              </w:rPr>
            </w:pPr>
            <w:r>
              <w:rPr>
                <w:sz w:val="21"/>
              </w:rPr>
              <w:t>1</w:t>
            </w:r>
            <w:r>
              <w:rPr>
                <w:rFonts w:ascii="宋体" w:eastAsia="宋体" w:hint="eastAsia"/>
                <w:spacing w:val="-10"/>
                <w:sz w:val="21"/>
              </w:rPr>
              <w:t>、本次交易构成关联交易，本次交易已履行的关联交易程序符合相关规定， </w:t>
            </w:r>
            <w:r>
              <w:rPr>
                <w:rFonts w:ascii="宋体" w:eastAsia="宋体" w:hint="eastAsia"/>
                <w:spacing w:val="-5"/>
                <w:sz w:val="21"/>
              </w:rPr>
              <w:t>关联交易定价公允，不存在损害上市公司及非关联股东利益的情形。</w:t>
            </w:r>
            <w:r>
              <w:rPr>
                <w:spacing w:val="-3"/>
                <w:sz w:val="21"/>
              </w:rPr>
              <w:t>2</w:t>
            </w:r>
            <w:r>
              <w:rPr>
                <w:rFonts w:ascii="宋体" w:eastAsia="宋体" w:hint="eastAsia"/>
                <w:sz w:val="21"/>
              </w:rPr>
              <w:t>、本</w:t>
            </w:r>
            <w:r>
              <w:rPr>
                <w:rFonts w:ascii="宋体" w:eastAsia="宋体" w:hint="eastAsia"/>
                <w:spacing w:val="-8"/>
                <w:sz w:val="21"/>
              </w:rPr>
              <w:t>次交易完成后，本公司及本公司关联企业将采取合法及有效措施，尽量减少</w:t>
            </w:r>
            <w:r>
              <w:rPr>
                <w:rFonts w:ascii="宋体" w:eastAsia="宋体" w:hint="eastAsia"/>
                <w:spacing w:val="-5"/>
                <w:sz w:val="21"/>
              </w:rPr>
              <w:t>并规范与上市公司之间的关联交易，自觉维护上市公司及全体股东的利益， </w:t>
            </w:r>
            <w:r>
              <w:rPr>
                <w:rFonts w:ascii="宋体" w:eastAsia="宋体" w:hint="eastAsia"/>
                <w:spacing w:val="-4"/>
                <w:sz w:val="21"/>
              </w:rPr>
              <w:t>不利用关联交易谋取不正当利益。</w:t>
            </w:r>
            <w:r>
              <w:rPr>
                <w:spacing w:val="-3"/>
                <w:sz w:val="21"/>
              </w:rPr>
              <w:t>3</w:t>
            </w:r>
            <w:r>
              <w:rPr>
                <w:rFonts w:ascii="宋体" w:eastAsia="宋体" w:hint="eastAsia"/>
                <w:spacing w:val="-3"/>
                <w:sz w:val="21"/>
              </w:rPr>
              <w:t>、在不与法律、法规相抵触的前提下， 本公司及本公司关联企业与上市公司如发生或存在无法避免或有合理原因 </w:t>
            </w:r>
            <w:r>
              <w:rPr>
                <w:rFonts w:ascii="宋体" w:eastAsia="宋体" w:hint="eastAsia"/>
                <w:spacing w:val="-8"/>
                <w:sz w:val="21"/>
              </w:rPr>
              <w:t>的关联交易，本公司及本公司关联企业将与上市公司依法签订交易协议，保</w:t>
            </w:r>
            <w:r>
              <w:rPr>
                <w:rFonts w:ascii="宋体" w:eastAsia="宋体" w:hint="eastAsia"/>
                <w:spacing w:val="-11"/>
                <w:sz w:val="21"/>
              </w:rPr>
              <w:t>证严格履行法律、法规、规范性文件和公司章程规定的关联交易程序，按市</w:t>
            </w:r>
            <w:r>
              <w:rPr>
                <w:rFonts w:ascii="宋体" w:eastAsia="宋体" w:hint="eastAsia"/>
                <w:spacing w:val="-9"/>
                <w:sz w:val="21"/>
              </w:rPr>
              <w:t>场化原则和公允价格进行交易，确保关联交易的公允性和合规性，不利用该</w:t>
            </w:r>
            <w:r>
              <w:rPr>
                <w:rFonts w:ascii="宋体" w:eastAsia="宋体" w:hint="eastAsia"/>
                <w:spacing w:val="-8"/>
                <w:sz w:val="21"/>
              </w:rPr>
              <w:t>类关联交易从事任何损害上市公司或其中小股东利益的行为，同时按相关规</w:t>
            </w:r>
          </w:p>
          <w:p>
            <w:pPr>
              <w:pStyle w:val="TableParagraph"/>
              <w:spacing w:line="258" w:lineRule="exact"/>
              <w:ind w:left="116"/>
              <w:rPr>
                <w:rFonts w:ascii="宋体" w:eastAsia="宋体" w:hint="eastAsia"/>
                <w:sz w:val="21"/>
              </w:rPr>
            </w:pPr>
            <w:r>
              <w:rPr>
                <w:rFonts w:ascii="宋体" w:eastAsia="宋体" w:hint="eastAsia"/>
                <w:sz w:val="21"/>
              </w:rPr>
              <w:t>定履行信息披露义务。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5"/>
              <w:rPr>
                <w:sz w:val="23"/>
              </w:rPr>
            </w:pPr>
          </w:p>
          <w:p>
            <w:pPr>
              <w:pStyle w:val="TableParagraph"/>
              <w:spacing w:line="278" w:lineRule="auto"/>
              <w:ind w:left="116" w:right="-29"/>
              <w:rPr>
                <w:rFonts w:ascii="宋体" w:eastAsia="宋体" w:hint="eastAsia"/>
                <w:sz w:val="21"/>
              </w:rPr>
            </w:pPr>
            <w:r>
              <w:rPr>
                <w:sz w:val="21"/>
              </w:rPr>
              <w:t>2020</w:t>
            </w:r>
            <w:r>
              <w:rPr>
                <w:spacing w:val="-20"/>
                <w:sz w:val="21"/>
              </w:rPr>
              <w:t> </w:t>
            </w:r>
            <w:r>
              <w:rPr>
                <w:rFonts w:ascii="宋体" w:eastAsia="宋体" w:hint="eastAsia"/>
                <w:spacing w:val="31"/>
                <w:sz w:val="21"/>
              </w:rPr>
              <w:t>年</w:t>
            </w:r>
            <w:r>
              <w:rPr>
                <w:sz w:val="21"/>
              </w:rPr>
              <w:t>7</w:t>
            </w:r>
            <w:r>
              <w:rPr>
                <w:spacing w:val="-19"/>
                <w:sz w:val="21"/>
              </w:rPr>
              <w:t> </w:t>
            </w:r>
            <w:r>
              <w:rPr>
                <w:rFonts w:ascii="宋体" w:eastAsia="宋体" w:hint="eastAsia"/>
                <w:spacing w:val="31"/>
                <w:sz w:val="21"/>
              </w:rPr>
              <w:t>月</w:t>
            </w:r>
            <w:r>
              <w:rPr>
                <w:sz w:val="21"/>
              </w:rPr>
              <w:t>29</w:t>
            </w:r>
            <w:r>
              <w:rPr>
                <w:spacing w:val="-22"/>
                <w:sz w:val="21"/>
              </w:rPr>
              <w:t> </w:t>
            </w:r>
            <w:r>
              <w:rPr>
                <w:rFonts w:ascii="宋体" w:eastAsia="宋体" w:hint="eastAsia"/>
                <w:sz w:val="21"/>
              </w:rPr>
              <w:t>日， 长期</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17"/>
              </w:rPr>
            </w:pPr>
          </w:p>
          <w:p>
            <w:pPr>
              <w:pStyle w:val="TableParagraph"/>
              <w:ind w:left="27"/>
              <w:jc w:val="center"/>
              <w:rPr>
                <w:rFonts w:ascii="宋体" w:eastAsia="宋体" w:hint="eastAsia"/>
                <w:sz w:val="21"/>
              </w:rPr>
            </w:pPr>
            <w:r>
              <w:rPr>
                <w:rFonts w:ascii="宋体" w:eastAsia="宋体" w:hint="eastAsia"/>
                <w:w w:val="100"/>
                <w:sz w:val="21"/>
              </w:rPr>
              <w:t>是</w:t>
            </w:r>
          </w:p>
        </w:tc>
        <w:tc>
          <w:tcPr>
            <w:tcW w:w="935" w:type="dxa"/>
            <w:tcBorders>
              <w:top w:val="single" w:sz="4" w:space="0" w:color="000000"/>
              <w:left w:val="single" w:sz="4" w:space="0" w:color="000000"/>
              <w:bottom w:val="single" w:sz="4"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17"/>
              </w:rPr>
            </w:pPr>
          </w:p>
          <w:p>
            <w:pPr>
              <w:pStyle w:val="TableParagraph"/>
              <w:ind w:left="39"/>
              <w:jc w:val="center"/>
              <w:rPr>
                <w:rFonts w:ascii="宋体" w:eastAsia="宋体" w:hint="eastAsia"/>
                <w:sz w:val="21"/>
              </w:rPr>
            </w:pPr>
            <w:r>
              <w:rPr>
                <w:rFonts w:ascii="宋体" w:eastAsia="宋体" w:hint="eastAsia"/>
                <w:w w:val="100"/>
                <w:sz w:val="21"/>
              </w:rPr>
              <w:t>是</w:t>
            </w:r>
          </w:p>
        </w:tc>
      </w:tr>
      <w:tr>
        <w:trPr>
          <w:trHeight w:val="610" w:hRule="atLeast"/>
        </w:trPr>
        <w:tc>
          <w:tcPr>
            <w:tcW w:w="836" w:type="dxa"/>
            <w:vMerge/>
            <w:tcBorders>
              <w:top w:val="nil"/>
              <w:right w:val="single" w:sz="4" w:space="0" w:color="000000"/>
            </w:tcBorders>
          </w:tcPr>
          <w:p>
            <w:pPr>
              <w:rPr>
                <w:sz w:val="2"/>
                <w:szCs w:val="2"/>
              </w:rPr>
            </w:pPr>
          </w:p>
        </w:tc>
        <w:tc>
          <w:tcPr>
            <w:tcW w:w="994" w:type="dxa"/>
            <w:tcBorders>
              <w:top w:val="single" w:sz="4" w:space="0" w:color="000000"/>
              <w:left w:val="single" w:sz="4" w:space="0" w:color="000000"/>
              <w:right w:val="single" w:sz="4" w:space="0" w:color="000000"/>
            </w:tcBorders>
          </w:tcPr>
          <w:p>
            <w:pPr>
              <w:pStyle w:val="TableParagraph"/>
              <w:spacing w:before="12"/>
              <w:ind w:left="116"/>
              <w:rPr>
                <w:rFonts w:ascii="宋体" w:eastAsia="宋体" w:hint="eastAsia"/>
                <w:sz w:val="21"/>
              </w:rPr>
            </w:pPr>
            <w:r>
              <w:rPr>
                <w:rFonts w:ascii="宋体" w:eastAsia="宋体" w:hint="eastAsia"/>
                <w:sz w:val="21"/>
              </w:rPr>
              <w:t>解 决 同</w:t>
            </w:r>
          </w:p>
          <w:p>
            <w:pPr>
              <w:pStyle w:val="TableParagraph"/>
              <w:spacing w:line="266" w:lineRule="exact" w:before="43"/>
              <w:ind w:left="116"/>
              <w:rPr>
                <w:rFonts w:ascii="宋体" w:eastAsia="宋体" w:hint="eastAsia"/>
                <w:sz w:val="21"/>
              </w:rPr>
            </w:pPr>
            <w:r>
              <w:rPr>
                <w:rFonts w:ascii="宋体" w:eastAsia="宋体" w:hint="eastAsia"/>
                <w:sz w:val="21"/>
              </w:rPr>
              <w:t>业竞争</w:t>
            </w:r>
          </w:p>
        </w:tc>
        <w:tc>
          <w:tcPr>
            <w:tcW w:w="1560" w:type="dxa"/>
            <w:tcBorders>
              <w:top w:val="single" w:sz="4" w:space="0" w:color="000000"/>
              <w:left w:val="single" w:sz="4" w:space="0" w:color="000000"/>
              <w:right w:val="single" w:sz="4" w:space="0" w:color="000000"/>
            </w:tcBorders>
          </w:tcPr>
          <w:p>
            <w:pPr>
              <w:pStyle w:val="TableParagraph"/>
              <w:spacing w:before="168"/>
              <w:ind w:left="116"/>
              <w:rPr>
                <w:rFonts w:ascii="宋体" w:eastAsia="宋体" w:hint="eastAsia"/>
                <w:sz w:val="21"/>
              </w:rPr>
            </w:pPr>
            <w:r>
              <w:rPr>
                <w:rFonts w:ascii="宋体" w:eastAsia="宋体" w:hint="eastAsia"/>
                <w:sz w:val="21"/>
              </w:rPr>
              <w:t>海尔集团公司</w:t>
            </w:r>
          </w:p>
        </w:tc>
        <w:tc>
          <w:tcPr>
            <w:tcW w:w="7086" w:type="dxa"/>
            <w:tcBorders>
              <w:top w:val="single" w:sz="4" w:space="0" w:color="000000"/>
              <w:left w:val="single" w:sz="4" w:space="0" w:color="000000"/>
              <w:right w:val="single" w:sz="4" w:space="0" w:color="000000"/>
            </w:tcBorders>
          </w:tcPr>
          <w:p>
            <w:pPr>
              <w:pStyle w:val="TableParagraph"/>
              <w:spacing w:before="12"/>
              <w:ind w:left="116"/>
              <w:rPr>
                <w:rFonts w:ascii="宋体" w:eastAsia="宋体" w:hint="eastAsia"/>
                <w:sz w:val="21"/>
              </w:rPr>
            </w:pPr>
            <w:r>
              <w:rPr>
                <w:sz w:val="21"/>
              </w:rPr>
              <w:t>1</w:t>
            </w:r>
            <w:r>
              <w:rPr>
                <w:rFonts w:ascii="宋体" w:eastAsia="宋体" w:hint="eastAsia"/>
                <w:sz w:val="21"/>
              </w:rPr>
              <w:t>、本公司及控股子公司海尔电器国际股份有限公司报告期内主要从事投资</w:t>
            </w:r>
          </w:p>
          <w:p>
            <w:pPr>
              <w:pStyle w:val="TableParagraph"/>
              <w:spacing w:line="266" w:lineRule="exact" w:before="43"/>
              <w:ind w:left="116"/>
              <w:rPr>
                <w:rFonts w:ascii="宋体" w:eastAsia="宋体" w:hint="eastAsia"/>
                <w:sz w:val="21"/>
              </w:rPr>
            </w:pPr>
            <w:r>
              <w:rPr>
                <w:rFonts w:ascii="宋体" w:eastAsia="宋体" w:hint="eastAsia"/>
                <w:sz w:val="21"/>
              </w:rPr>
              <w:t>业务，本公司及控股子公司海尔电器国际股份有限公司（包括彼等的附属子</w:t>
            </w:r>
          </w:p>
        </w:tc>
        <w:tc>
          <w:tcPr>
            <w:tcW w:w="1846" w:type="dxa"/>
            <w:tcBorders>
              <w:top w:val="single" w:sz="4" w:space="0" w:color="000000"/>
              <w:left w:val="single" w:sz="4" w:space="0" w:color="000000"/>
              <w:right w:val="single" w:sz="4" w:space="0" w:color="000000"/>
            </w:tcBorders>
          </w:tcPr>
          <w:p>
            <w:pPr>
              <w:pStyle w:val="TableParagraph"/>
              <w:spacing w:before="12"/>
              <w:ind w:left="116" w:right="-29"/>
              <w:rPr>
                <w:rFonts w:ascii="宋体" w:eastAsia="宋体" w:hint="eastAsia"/>
                <w:sz w:val="21"/>
              </w:rPr>
            </w:pPr>
            <w:r>
              <w:rPr>
                <w:sz w:val="21"/>
              </w:rPr>
              <w:t>2020</w:t>
            </w:r>
            <w:r>
              <w:rPr>
                <w:spacing w:val="-20"/>
                <w:sz w:val="21"/>
              </w:rPr>
              <w:t> </w:t>
            </w:r>
            <w:r>
              <w:rPr>
                <w:rFonts w:ascii="宋体" w:eastAsia="宋体" w:hint="eastAsia"/>
                <w:spacing w:val="31"/>
                <w:sz w:val="21"/>
              </w:rPr>
              <w:t>年</w:t>
            </w:r>
            <w:r>
              <w:rPr>
                <w:sz w:val="21"/>
              </w:rPr>
              <w:t>7</w:t>
            </w:r>
            <w:r>
              <w:rPr>
                <w:spacing w:val="-19"/>
                <w:sz w:val="21"/>
              </w:rPr>
              <w:t> </w:t>
            </w:r>
            <w:r>
              <w:rPr>
                <w:rFonts w:ascii="宋体" w:eastAsia="宋体" w:hint="eastAsia"/>
                <w:spacing w:val="31"/>
                <w:sz w:val="21"/>
              </w:rPr>
              <w:t>月</w:t>
            </w:r>
            <w:r>
              <w:rPr>
                <w:sz w:val="21"/>
              </w:rPr>
              <w:t>29</w:t>
            </w:r>
            <w:r>
              <w:rPr>
                <w:spacing w:val="-22"/>
                <w:sz w:val="21"/>
              </w:rPr>
              <w:t> </w:t>
            </w:r>
            <w:r>
              <w:rPr>
                <w:rFonts w:ascii="宋体" w:eastAsia="宋体" w:hint="eastAsia"/>
                <w:sz w:val="21"/>
              </w:rPr>
              <w:t>日，</w:t>
            </w:r>
          </w:p>
          <w:p>
            <w:pPr>
              <w:pStyle w:val="TableParagraph"/>
              <w:spacing w:line="266" w:lineRule="exact" w:before="43"/>
              <w:ind w:left="116"/>
              <w:rPr>
                <w:rFonts w:ascii="宋体" w:eastAsia="宋体" w:hint="eastAsia"/>
                <w:sz w:val="21"/>
              </w:rPr>
            </w:pPr>
            <w:r>
              <w:rPr>
                <w:rFonts w:ascii="宋体" w:eastAsia="宋体" w:hint="eastAsia"/>
                <w:sz w:val="21"/>
              </w:rPr>
              <w:t>长期</w:t>
            </w:r>
          </w:p>
        </w:tc>
        <w:tc>
          <w:tcPr>
            <w:tcW w:w="849" w:type="dxa"/>
            <w:tcBorders>
              <w:top w:val="single" w:sz="4" w:space="0" w:color="000000"/>
              <w:left w:val="single" w:sz="4" w:space="0" w:color="000000"/>
              <w:right w:val="single" w:sz="4" w:space="0" w:color="000000"/>
            </w:tcBorders>
          </w:tcPr>
          <w:p>
            <w:pPr>
              <w:pStyle w:val="TableParagraph"/>
              <w:spacing w:before="168"/>
              <w:ind w:left="27"/>
              <w:jc w:val="center"/>
              <w:rPr>
                <w:rFonts w:ascii="宋体" w:eastAsia="宋体" w:hint="eastAsia"/>
                <w:sz w:val="21"/>
              </w:rPr>
            </w:pPr>
            <w:r>
              <w:rPr>
                <w:rFonts w:ascii="宋体" w:eastAsia="宋体" w:hint="eastAsia"/>
                <w:w w:val="100"/>
                <w:sz w:val="21"/>
              </w:rPr>
              <w:t>是</w:t>
            </w:r>
          </w:p>
        </w:tc>
        <w:tc>
          <w:tcPr>
            <w:tcW w:w="935" w:type="dxa"/>
            <w:tcBorders>
              <w:top w:val="single" w:sz="4" w:space="0" w:color="000000"/>
              <w:left w:val="single" w:sz="4" w:space="0" w:color="000000"/>
            </w:tcBorders>
          </w:tcPr>
          <w:p>
            <w:pPr>
              <w:pStyle w:val="TableParagraph"/>
              <w:spacing w:before="168"/>
              <w:ind w:left="39"/>
              <w:jc w:val="center"/>
              <w:rPr>
                <w:rFonts w:ascii="宋体" w:eastAsia="宋体" w:hint="eastAsia"/>
                <w:sz w:val="21"/>
              </w:rPr>
            </w:pPr>
            <w:r>
              <w:rPr>
                <w:rFonts w:ascii="宋体" w:eastAsia="宋体" w:hint="eastAsia"/>
                <w:w w:val="100"/>
                <w:sz w:val="21"/>
              </w:rPr>
              <w:t>是</w:t>
            </w:r>
          </w:p>
        </w:tc>
      </w:tr>
    </w:tbl>
    <w:p>
      <w:pPr>
        <w:spacing w:after="0"/>
        <w:jc w:val="center"/>
        <w:rPr>
          <w:rFonts w:ascii="宋体" w:eastAsia="宋体" w:hint="eastAsia"/>
          <w:sz w:val="21"/>
        </w:rPr>
        <w:sectPr>
          <w:pgSz w:w="16840" w:h="11910" w:orient="landscape"/>
          <w:pgMar w:header="876" w:footer="1214" w:top="1180" w:bottom="1400" w:left="1180" w:right="1280"/>
        </w:sectPr>
      </w:pPr>
    </w:p>
    <w:p>
      <w:pPr>
        <w:pStyle w:val="BodyText"/>
        <w:rPr>
          <w:rFonts w:ascii="Times New Roman"/>
          <w:sz w:val="20"/>
        </w:rPr>
      </w:pPr>
    </w:p>
    <w:p>
      <w:pPr>
        <w:pStyle w:val="BodyText"/>
        <w:rPr>
          <w:rFonts w:ascii="Times New Roman"/>
          <w:sz w:val="20"/>
        </w:rPr>
      </w:pPr>
    </w:p>
    <w:p>
      <w:pPr>
        <w:pStyle w:val="BodyText"/>
        <w:spacing w:before="7" w:after="1"/>
        <w:rPr>
          <w:rFonts w:ascii="Times New Roman"/>
          <w:sz w:val="13"/>
        </w:rPr>
      </w:pPr>
    </w:p>
    <w:tbl>
      <w:tblPr>
        <w:tblW w:w="0" w:type="auto"/>
        <w:jc w:val="left"/>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36"/>
        <w:gridCol w:w="994"/>
        <w:gridCol w:w="1560"/>
        <w:gridCol w:w="7086"/>
        <w:gridCol w:w="1846"/>
        <w:gridCol w:w="849"/>
        <w:gridCol w:w="935"/>
      </w:tblGrid>
      <w:tr>
        <w:trPr>
          <w:trHeight w:val="4978" w:hRule="atLeast"/>
        </w:trPr>
        <w:tc>
          <w:tcPr>
            <w:tcW w:w="836" w:type="dxa"/>
            <w:vMerge w:val="restart"/>
            <w:tcBorders>
              <w:right w:val="single" w:sz="4" w:space="0" w:color="000000"/>
            </w:tcBorders>
          </w:tcPr>
          <w:p>
            <w:pPr>
              <w:pStyle w:val="TableParagraph"/>
              <w:rPr>
                <w:sz w:val="20"/>
              </w:rPr>
            </w:pPr>
          </w:p>
        </w:tc>
        <w:tc>
          <w:tcPr>
            <w:tcW w:w="994" w:type="dxa"/>
            <w:vMerge w:val="restart"/>
            <w:tcBorders>
              <w:left w:val="single" w:sz="4" w:space="0" w:color="000000"/>
              <w:bottom w:val="single" w:sz="4" w:space="0" w:color="000000"/>
              <w:right w:val="single" w:sz="4" w:space="0" w:color="000000"/>
            </w:tcBorders>
          </w:tcPr>
          <w:p>
            <w:pPr>
              <w:pStyle w:val="TableParagraph"/>
              <w:rPr>
                <w:sz w:val="20"/>
              </w:rPr>
            </w:pPr>
          </w:p>
        </w:tc>
        <w:tc>
          <w:tcPr>
            <w:tcW w:w="1560" w:type="dxa"/>
            <w:vMerge w:val="restart"/>
            <w:tcBorders>
              <w:left w:val="single" w:sz="4" w:space="0" w:color="000000"/>
              <w:bottom w:val="single" w:sz="4" w:space="0" w:color="000000"/>
              <w:right w:val="single" w:sz="4" w:space="0" w:color="000000"/>
            </w:tcBorders>
          </w:tcPr>
          <w:p>
            <w:pPr>
              <w:pStyle w:val="TableParagraph"/>
              <w:rPr>
                <w:sz w:val="20"/>
              </w:rPr>
            </w:pPr>
          </w:p>
        </w:tc>
        <w:tc>
          <w:tcPr>
            <w:tcW w:w="7086" w:type="dxa"/>
            <w:tcBorders>
              <w:left w:val="single" w:sz="4" w:space="0" w:color="000000"/>
              <w:bottom w:val="nil"/>
              <w:right w:val="single" w:sz="4" w:space="0" w:color="000000"/>
            </w:tcBorders>
          </w:tcPr>
          <w:p>
            <w:pPr>
              <w:pStyle w:val="TableParagraph"/>
              <w:spacing w:line="278" w:lineRule="auto" w:before="22"/>
              <w:ind w:left="116" w:right="-29"/>
              <w:rPr>
                <w:rFonts w:ascii="宋体" w:eastAsia="宋体" w:hint="eastAsia"/>
                <w:sz w:val="21"/>
              </w:rPr>
            </w:pPr>
            <w:r>
              <w:rPr>
                <w:rFonts w:ascii="宋体" w:eastAsia="宋体" w:hint="eastAsia"/>
                <w:spacing w:val="-7"/>
                <w:sz w:val="21"/>
              </w:rPr>
              <w:t>公司及持股 </w:t>
            </w:r>
            <w:r>
              <w:rPr>
                <w:sz w:val="21"/>
              </w:rPr>
              <w:t>30%</w:t>
            </w:r>
            <w:r>
              <w:rPr>
                <w:rFonts w:ascii="宋体" w:eastAsia="宋体" w:hint="eastAsia"/>
                <w:spacing w:val="-3"/>
                <w:sz w:val="21"/>
              </w:rPr>
              <w:t>以上的实体</w:t>
            </w:r>
            <w:r>
              <w:rPr>
                <w:rFonts w:ascii="宋体" w:eastAsia="宋体" w:hint="eastAsia"/>
                <w:spacing w:val="-41"/>
                <w:sz w:val="21"/>
              </w:rPr>
              <w:t>）</w:t>
            </w:r>
            <w:r>
              <w:rPr>
                <w:rFonts w:ascii="宋体" w:eastAsia="宋体" w:hint="eastAsia"/>
                <w:spacing w:val="-4"/>
                <w:sz w:val="21"/>
              </w:rPr>
              <w:t>与海尔智家不存在现实或潜在的同业竞争；</w:t>
            </w:r>
            <w:r>
              <w:rPr>
                <w:spacing w:val="-21"/>
                <w:sz w:val="21"/>
              </w:rPr>
              <w:t>2</w:t>
            </w:r>
            <w:r>
              <w:rPr>
                <w:rFonts w:ascii="宋体" w:eastAsia="宋体" w:hint="eastAsia"/>
                <w:sz w:val="21"/>
              </w:rPr>
              <w:t>、</w:t>
            </w:r>
            <w:r>
              <w:rPr>
                <w:rFonts w:ascii="宋体" w:eastAsia="宋体" w:hint="eastAsia"/>
                <w:spacing w:val="-14"/>
                <w:sz w:val="21"/>
              </w:rPr>
              <w:t>本公司</w:t>
            </w:r>
            <w:r>
              <w:rPr>
                <w:rFonts w:ascii="宋体" w:eastAsia="宋体" w:hint="eastAsia"/>
                <w:spacing w:val="-3"/>
                <w:sz w:val="21"/>
              </w:rPr>
              <w:t>（</w:t>
            </w:r>
            <w:r>
              <w:rPr>
                <w:rFonts w:ascii="宋体" w:eastAsia="宋体" w:hint="eastAsia"/>
                <w:spacing w:val="-6"/>
                <w:sz w:val="21"/>
              </w:rPr>
              <w:t>包括本公司的附属子公司及持股 </w:t>
            </w:r>
            <w:r>
              <w:rPr>
                <w:sz w:val="21"/>
              </w:rPr>
              <w:t>30%</w:t>
            </w:r>
            <w:r>
              <w:rPr>
                <w:rFonts w:ascii="宋体" w:eastAsia="宋体" w:hint="eastAsia"/>
                <w:spacing w:val="-3"/>
                <w:sz w:val="21"/>
              </w:rPr>
              <w:t>以上的实体</w:t>
            </w:r>
            <w:r>
              <w:rPr>
                <w:rFonts w:ascii="宋体" w:eastAsia="宋体" w:hint="eastAsia"/>
                <w:spacing w:val="-41"/>
                <w:sz w:val="21"/>
              </w:rPr>
              <w:t>）</w:t>
            </w:r>
            <w:r>
              <w:rPr>
                <w:rFonts w:ascii="宋体" w:eastAsia="宋体" w:hint="eastAsia"/>
                <w:spacing w:val="-3"/>
                <w:sz w:val="21"/>
              </w:rPr>
              <w:t>所持境内及海外</w:t>
            </w:r>
            <w:r>
              <w:rPr>
                <w:rFonts w:ascii="宋体" w:eastAsia="宋体" w:hint="eastAsia"/>
                <w:spacing w:val="-6"/>
                <w:sz w:val="21"/>
              </w:rPr>
              <w:t>白色家电业务及资产均已依照本公司于 </w:t>
            </w:r>
            <w:r>
              <w:rPr>
                <w:sz w:val="21"/>
              </w:rPr>
              <w:t>2011</w:t>
            </w:r>
            <w:r>
              <w:rPr>
                <w:spacing w:val="2"/>
                <w:sz w:val="21"/>
              </w:rPr>
              <w:t> </w:t>
            </w:r>
            <w:r>
              <w:rPr>
                <w:rFonts w:ascii="宋体" w:eastAsia="宋体" w:hint="eastAsia"/>
                <w:spacing w:val="-24"/>
                <w:sz w:val="21"/>
              </w:rPr>
              <w:t>年 </w:t>
            </w:r>
            <w:r>
              <w:rPr>
                <w:sz w:val="21"/>
              </w:rPr>
              <w:t>1</w:t>
            </w:r>
            <w:r>
              <w:rPr>
                <w:spacing w:val="1"/>
                <w:sz w:val="21"/>
              </w:rPr>
              <w:t> </w:t>
            </w:r>
            <w:r>
              <w:rPr>
                <w:rFonts w:ascii="宋体" w:eastAsia="宋体" w:hint="eastAsia"/>
                <w:spacing w:val="-3"/>
                <w:sz w:val="21"/>
              </w:rPr>
              <w:t>月所作承诺及经海尔智家</w:t>
            </w:r>
          </w:p>
          <w:p>
            <w:pPr>
              <w:pStyle w:val="TableParagraph"/>
              <w:spacing w:line="278" w:lineRule="auto"/>
              <w:ind w:left="116" w:right="128"/>
              <w:jc w:val="both"/>
              <w:rPr>
                <w:sz w:val="21"/>
              </w:rPr>
            </w:pPr>
            <w:r>
              <w:rPr>
                <w:sz w:val="21"/>
              </w:rPr>
              <w:t>2014 </w:t>
            </w:r>
            <w:r>
              <w:rPr>
                <w:rFonts w:ascii="宋体" w:eastAsia="宋体" w:hint="eastAsia"/>
                <w:sz w:val="21"/>
              </w:rPr>
              <w:t>年年度股东大会审议通过的调整该等承诺的要求，通过资产整合、股权转让等方式注入海尔智家；</w:t>
            </w:r>
            <w:r>
              <w:rPr>
                <w:sz w:val="21"/>
              </w:rPr>
              <w:t>3</w:t>
            </w:r>
            <w:r>
              <w:rPr>
                <w:rFonts w:ascii="宋体" w:eastAsia="宋体" w:hint="eastAsia"/>
                <w:sz w:val="21"/>
              </w:rPr>
              <w:t>、自海尔智家境外子公司海尔新加坡投资控股有限公司收购 </w:t>
            </w:r>
            <w:r>
              <w:rPr>
                <w:sz w:val="21"/>
              </w:rPr>
              <w:t>Haier New Zealand Investment Holding Company Limited</w:t>
            </w:r>
          </w:p>
          <w:p>
            <w:pPr>
              <w:pStyle w:val="TableParagraph"/>
              <w:tabs>
                <w:tab w:pos="2255" w:val="left" w:leader="none"/>
                <w:tab w:pos="3253" w:val="left" w:leader="none"/>
                <w:tab w:pos="5336" w:val="left" w:leader="none"/>
              </w:tabs>
              <w:spacing w:line="278" w:lineRule="auto"/>
              <w:ind w:left="116" w:right="-29"/>
              <w:rPr>
                <w:rFonts w:ascii="宋体" w:eastAsia="宋体" w:hint="eastAsia"/>
                <w:sz w:val="21"/>
              </w:rPr>
            </w:pPr>
            <w:r>
              <w:rPr>
                <w:rFonts w:ascii="宋体" w:eastAsia="宋体" w:hint="eastAsia"/>
                <w:sz w:val="21"/>
              </w:rPr>
              <w:t>（该</w:t>
            </w:r>
            <w:r>
              <w:rPr>
                <w:rFonts w:ascii="宋体" w:eastAsia="宋体" w:hint="eastAsia"/>
                <w:spacing w:val="-3"/>
                <w:sz w:val="21"/>
              </w:rPr>
              <w:t>公</w:t>
            </w:r>
            <w:r>
              <w:rPr>
                <w:rFonts w:ascii="宋体" w:eastAsia="宋体" w:hint="eastAsia"/>
                <w:sz w:val="21"/>
              </w:rPr>
              <w:t>司</w:t>
            </w:r>
            <w:r>
              <w:rPr>
                <w:rFonts w:ascii="宋体" w:eastAsia="宋体" w:hint="eastAsia"/>
                <w:spacing w:val="-3"/>
                <w:sz w:val="21"/>
              </w:rPr>
              <w:t>持</w:t>
            </w:r>
            <w:r>
              <w:rPr>
                <w:rFonts w:ascii="宋体" w:eastAsia="宋体" w:hint="eastAsia"/>
                <w:spacing w:val="38"/>
                <w:sz w:val="21"/>
              </w:rPr>
              <w:t>有</w:t>
            </w:r>
            <w:r>
              <w:rPr>
                <w:sz w:val="21"/>
              </w:rPr>
              <w:t>Fisher</w:t>
              <w:tab/>
              <w:t>&amp;</w:t>
            </w:r>
            <w:r>
              <w:rPr>
                <w:spacing w:val="-1"/>
                <w:sz w:val="21"/>
              </w:rPr>
              <w:t> </w:t>
            </w:r>
            <w:r>
              <w:rPr>
                <w:sz w:val="21"/>
              </w:rPr>
              <w:t>Paykel</w:t>
              <w:tab/>
              <w:t>Appliances</w:t>
            </w:r>
            <w:r>
              <w:rPr>
                <w:spacing w:val="-6"/>
                <w:sz w:val="21"/>
              </w:rPr>
              <w:t> </w:t>
            </w:r>
            <w:r>
              <w:rPr>
                <w:sz w:val="21"/>
              </w:rPr>
              <w:t>Holdings</w:t>
              <w:tab/>
              <w:t>Limited</w:t>
            </w:r>
            <w:r>
              <w:rPr>
                <w:spacing w:val="-13"/>
                <w:sz w:val="21"/>
              </w:rPr>
              <w:t> </w:t>
            </w:r>
            <w:r>
              <w:rPr>
                <w:rFonts w:ascii="宋体" w:eastAsia="宋体" w:hint="eastAsia"/>
                <w:sz w:val="21"/>
              </w:rPr>
              <w:t>的</w:t>
            </w:r>
            <w:r>
              <w:rPr>
                <w:rFonts w:ascii="宋体" w:eastAsia="宋体" w:hint="eastAsia"/>
                <w:spacing w:val="-68"/>
                <w:sz w:val="21"/>
              </w:rPr>
              <w:t> </w:t>
            </w:r>
            <w:r>
              <w:rPr>
                <w:sz w:val="21"/>
              </w:rPr>
              <w:t>100%</w:t>
            </w:r>
            <w:r>
              <w:rPr>
                <w:rFonts w:ascii="宋体" w:eastAsia="宋体" w:hint="eastAsia"/>
                <w:sz w:val="21"/>
              </w:rPr>
              <w:t>股份</w:t>
            </w:r>
            <w:r>
              <w:rPr>
                <w:rFonts w:ascii="宋体" w:eastAsia="宋体" w:hint="eastAsia"/>
                <w:spacing w:val="-27"/>
                <w:sz w:val="21"/>
              </w:rPr>
              <w:t>）</w:t>
            </w:r>
            <w:r>
              <w:rPr>
                <w:rFonts w:ascii="宋体" w:eastAsia="宋体" w:hint="eastAsia"/>
                <w:sz w:val="21"/>
              </w:rPr>
              <w:t>的</w:t>
            </w:r>
            <w:r>
              <w:rPr>
                <w:rFonts w:ascii="宋体" w:eastAsia="宋体" w:hint="eastAsia"/>
                <w:spacing w:val="-50"/>
                <w:sz w:val="21"/>
              </w:rPr>
              <w:t> </w:t>
            </w:r>
            <w:r>
              <w:rPr>
                <w:sz w:val="21"/>
              </w:rPr>
              <w:t>100%</w:t>
            </w:r>
            <w:r>
              <w:rPr>
                <w:rFonts w:ascii="宋体" w:eastAsia="宋体" w:hint="eastAsia"/>
                <w:sz w:val="21"/>
              </w:rPr>
              <w:t>股</w:t>
            </w:r>
            <w:r>
              <w:rPr>
                <w:rFonts w:ascii="宋体" w:eastAsia="宋体" w:hint="eastAsia"/>
                <w:spacing w:val="-3"/>
                <w:sz w:val="21"/>
              </w:rPr>
              <w:t>份</w:t>
            </w:r>
            <w:r>
              <w:rPr>
                <w:rFonts w:ascii="宋体" w:eastAsia="宋体" w:hint="eastAsia"/>
                <w:sz w:val="21"/>
              </w:rPr>
              <w:t>于</w:t>
            </w:r>
            <w:r>
              <w:rPr>
                <w:rFonts w:ascii="宋体" w:eastAsia="宋体" w:hint="eastAsia"/>
                <w:spacing w:val="-49"/>
                <w:sz w:val="21"/>
              </w:rPr>
              <w:t> </w:t>
            </w:r>
            <w:r>
              <w:rPr>
                <w:sz w:val="21"/>
              </w:rPr>
              <w:t>2018 </w:t>
            </w:r>
            <w:r>
              <w:rPr>
                <w:rFonts w:ascii="宋体" w:eastAsia="宋体" w:hint="eastAsia"/>
                <w:sz w:val="21"/>
              </w:rPr>
              <w:t>年</w:t>
            </w:r>
            <w:r>
              <w:rPr>
                <w:rFonts w:ascii="宋体" w:eastAsia="宋体" w:hint="eastAsia"/>
                <w:spacing w:val="-48"/>
                <w:sz w:val="21"/>
              </w:rPr>
              <w:t> </w:t>
            </w:r>
            <w:r>
              <w:rPr>
                <w:sz w:val="21"/>
              </w:rPr>
              <w:t>7</w:t>
            </w:r>
            <w:r>
              <w:rPr>
                <w:spacing w:val="4"/>
                <w:sz w:val="21"/>
              </w:rPr>
              <w:t> </w:t>
            </w:r>
            <w:r>
              <w:rPr>
                <w:rFonts w:ascii="宋体" w:eastAsia="宋体" w:hint="eastAsia"/>
                <w:spacing w:val="-3"/>
                <w:sz w:val="21"/>
              </w:rPr>
              <w:t>月</w:t>
            </w:r>
            <w:r>
              <w:rPr>
                <w:rFonts w:ascii="宋体" w:eastAsia="宋体" w:hint="eastAsia"/>
                <w:sz w:val="21"/>
              </w:rPr>
              <w:t>交</w:t>
            </w:r>
            <w:r>
              <w:rPr>
                <w:rFonts w:ascii="宋体" w:eastAsia="宋体" w:hint="eastAsia"/>
                <w:spacing w:val="-3"/>
                <w:sz w:val="21"/>
              </w:rPr>
              <w:t>割</w:t>
            </w:r>
            <w:r>
              <w:rPr>
                <w:rFonts w:ascii="宋体" w:eastAsia="宋体" w:hint="eastAsia"/>
                <w:sz w:val="21"/>
              </w:rPr>
              <w:t>后</w:t>
            </w:r>
            <w:r>
              <w:rPr>
                <w:rFonts w:ascii="宋体" w:eastAsia="宋体" w:hint="eastAsia"/>
                <w:spacing w:val="-29"/>
                <w:sz w:val="21"/>
              </w:rPr>
              <w:t>，</w:t>
            </w:r>
            <w:r>
              <w:rPr>
                <w:rFonts w:ascii="宋体" w:eastAsia="宋体" w:hint="eastAsia"/>
                <w:sz w:val="21"/>
              </w:rPr>
              <w:t>本</w:t>
            </w:r>
            <w:r>
              <w:rPr>
                <w:rFonts w:ascii="宋体" w:eastAsia="宋体" w:hint="eastAsia"/>
                <w:spacing w:val="-3"/>
                <w:sz w:val="21"/>
              </w:rPr>
              <w:t>公</w:t>
            </w:r>
            <w:r>
              <w:rPr>
                <w:rFonts w:ascii="宋体" w:eastAsia="宋体" w:hint="eastAsia"/>
                <w:spacing w:val="-27"/>
                <w:sz w:val="21"/>
              </w:rPr>
              <w:t>司</w:t>
            </w:r>
            <w:r>
              <w:rPr>
                <w:rFonts w:ascii="宋体" w:eastAsia="宋体" w:hint="eastAsia"/>
                <w:spacing w:val="-3"/>
                <w:sz w:val="21"/>
              </w:rPr>
              <w:t>（</w:t>
            </w:r>
            <w:r>
              <w:rPr>
                <w:rFonts w:ascii="宋体" w:eastAsia="宋体" w:hint="eastAsia"/>
                <w:sz w:val="21"/>
              </w:rPr>
              <w:t>包括</w:t>
            </w:r>
            <w:r>
              <w:rPr>
                <w:rFonts w:ascii="宋体" w:eastAsia="宋体" w:hint="eastAsia"/>
                <w:spacing w:val="-3"/>
                <w:sz w:val="21"/>
              </w:rPr>
              <w:t>本</w:t>
            </w:r>
            <w:r>
              <w:rPr>
                <w:rFonts w:ascii="宋体" w:eastAsia="宋体" w:hint="eastAsia"/>
                <w:sz w:val="21"/>
              </w:rPr>
              <w:t>公</w:t>
            </w:r>
            <w:r>
              <w:rPr>
                <w:rFonts w:ascii="宋体" w:eastAsia="宋体" w:hint="eastAsia"/>
                <w:spacing w:val="-3"/>
                <w:sz w:val="21"/>
              </w:rPr>
              <w:t>司</w:t>
            </w:r>
            <w:r>
              <w:rPr>
                <w:rFonts w:ascii="宋体" w:eastAsia="宋体" w:hint="eastAsia"/>
                <w:sz w:val="21"/>
              </w:rPr>
              <w:t>的</w:t>
            </w:r>
            <w:r>
              <w:rPr>
                <w:rFonts w:ascii="宋体" w:eastAsia="宋体" w:hint="eastAsia"/>
                <w:spacing w:val="-3"/>
                <w:sz w:val="21"/>
              </w:rPr>
              <w:t>附</w:t>
            </w:r>
            <w:r>
              <w:rPr>
                <w:rFonts w:ascii="宋体" w:eastAsia="宋体" w:hint="eastAsia"/>
                <w:sz w:val="21"/>
              </w:rPr>
              <w:t>属</w:t>
            </w:r>
            <w:r>
              <w:rPr>
                <w:rFonts w:ascii="宋体" w:eastAsia="宋体" w:hint="eastAsia"/>
                <w:spacing w:val="-3"/>
                <w:sz w:val="21"/>
              </w:rPr>
              <w:t>子</w:t>
            </w:r>
            <w:r>
              <w:rPr>
                <w:rFonts w:ascii="宋体" w:eastAsia="宋体" w:hint="eastAsia"/>
                <w:sz w:val="21"/>
              </w:rPr>
              <w:t>公司及</w:t>
            </w:r>
            <w:r>
              <w:rPr>
                <w:rFonts w:ascii="宋体" w:eastAsia="宋体" w:hint="eastAsia"/>
                <w:spacing w:val="-3"/>
                <w:sz w:val="21"/>
              </w:rPr>
              <w:t>持</w:t>
            </w:r>
            <w:r>
              <w:rPr>
                <w:rFonts w:ascii="宋体" w:eastAsia="宋体" w:hint="eastAsia"/>
                <w:sz w:val="21"/>
              </w:rPr>
              <w:t>股</w:t>
            </w:r>
            <w:r>
              <w:rPr>
                <w:rFonts w:ascii="宋体" w:eastAsia="宋体" w:hint="eastAsia"/>
                <w:spacing w:val="-42"/>
                <w:sz w:val="21"/>
              </w:rPr>
              <w:t> </w:t>
            </w:r>
            <w:r>
              <w:rPr>
                <w:sz w:val="21"/>
              </w:rPr>
              <w:t>30%</w:t>
            </w:r>
            <w:r>
              <w:rPr>
                <w:rFonts w:ascii="宋体" w:eastAsia="宋体" w:hint="eastAsia"/>
                <w:sz w:val="21"/>
              </w:rPr>
              <w:t>以</w:t>
            </w:r>
            <w:r>
              <w:rPr>
                <w:rFonts w:ascii="宋体" w:eastAsia="宋体" w:hint="eastAsia"/>
                <w:spacing w:val="-3"/>
                <w:sz w:val="21"/>
              </w:rPr>
              <w:t>上</w:t>
            </w:r>
            <w:r>
              <w:rPr>
                <w:rFonts w:ascii="宋体" w:eastAsia="宋体" w:hint="eastAsia"/>
                <w:sz w:val="21"/>
              </w:rPr>
              <w:t>的</w:t>
            </w:r>
            <w:r>
              <w:rPr>
                <w:rFonts w:ascii="宋体" w:eastAsia="宋体" w:hint="eastAsia"/>
                <w:spacing w:val="-3"/>
                <w:sz w:val="21"/>
              </w:rPr>
              <w:t>实</w:t>
            </w:r>
            <w:r>
              <w:rPr>
                <w:rFonts w:ascii="宋体" w:eastAsia="宋体" w:hint="eastAsia"/>
                <w:sz w:val="21"/>
              </w:rPr>
              <w:t>体</w:t>
            </w:r>
            <w:r>
              <w:rPr>
                <w:rFonts w:ascii="宋体" w:eastAsia="宋体" w:hint="eastAsia"/>
                <w:spacing w:val="-82"/>
                <w:sz w:val="21"/>
              </w:rPr>
              <w:t>）</w:t>
            </w:r>
            <w:r>
              <w:rPr>
                <w:rFonts w:ascii="宋体" w:eastAsia="宋体" w:hint="eastAsia"/>
                <w:sz w:val="21"/>
              </w:rPr>
              <w:t>与海</w:t>
            </w:r>
            <w:r>
              <w:rPr>
                <w:rFonts w:ascii="宋体" w:eastAsia="宋体" w:hint="eastAsia"/>
                <w:spacing w:val="-3"/>
                <w:sz w:val="21"/>
              </w:rPr>
              <w:t>尔</w:t>
            </w:r>
            <w:r>
              <w:rPr>
                <w:rFonts w:ascii="宋体" w:eastAsia="宋体" w:hint="eastAsia"/>
                <w:sz w:val="21"/>
              </w:rPr>
              <w:t>智</w:t>
            </w:r>
            <w:r>
              <w:rPr>
                <w:rFonts w:ascii="宋体" w:eastAsia="宋体" w:hint="eastAsia"/>
                <w:spacing w:val="-3"/>
                <w:sz w:val="21"/>
              </w:rPr>
              <w:t>家</w:t>
            </w:r>
            <w:r>
              <w:rPr>
                <w:rFonts w:ascii="宋体" w:eastAsia="宋体" w:hint="eastAsia"/>
                <w:sz w:val="21"/>
              </w:rPr>
              <w:t>在</w:t>
            </w:r>
            <w:r>
              <w:rPr>
                <w:rFonts w:ascii="宋体" w:eastAsia="宋体" w:hint="eastAsia"/>
                <w:spacing w:val="-3"/>
                <w:sz w:val="21"/>
              </w:rPr>
              <w:t>境</w:t>
            </w:r>
            <w:r>
              <w:rPr>
                <w:rFonts w:ascii="宋体" w:eastAsia="宋体" w:hint="eastAsia"/>
                <w:sz w:val="21"/>
              </w:rPr>
              <w:t>内</w:t>
            </w:r>
            <w:r>
              <w:rPr>
                <w:rFonts w:ascii="宋体" w:eastAsia="宋体" w:hint="eastAsia"/>
                <w:spacing w:val="-3"/>
                <w:sz w:val="21"/>
              </w:rPr>
              <w:t>外</w:t>
            </w:r>
            <w:r>
              <w:rPr>
                <w:rFonts w:ascii="宋体" w:eastAsia="宋体" w:hint="eastAsia"/>
                <w:sz w:val="21"/>
              </w:rPr>
              <w:t>均</w:t>
            </w:r>
            <w:r>
              <w:rPr>
                <w:rFonts w:ascii="宋体" w:eastAsia="宋体" w:hint="eastAsia"/>
                <w:spacing w:val="-3"/>
                <w:sz w:val="21"/>
              </w:rPr>
              <w:t>不</w:t>
            </w:r>
            <w:r>
              <w:rPr>
                <w:rFonts w:ascii="宋体" w:eastAsia="宋体" w:hint="eastAsia"/>
                <w:sz w:val="21"/>
              </w:rPr>
              <w:t>存在</w:t>
            </w:r>
            <w:r>
              <w:rPr>
                <w:rFonts w:ascii="宋体" w:eastAsia="宋体" w:hint="eastAsia"/>
                <w:spacing w:val="-3"/>
                <w:sz w:val="21"/>
              </w:rPr>
              <w:t>任</w:t>
            </w:r>
            <w:r>
              <w:rPr>
                <w:rFonts w:ascii="宋体" w:eastAsia="宋体" w:hint="eastAsia"/>
                <w:sz w:val="21"/>
              </w:rPr>
              <w:t>何</w:t>
            </w:r>
            <w:r>
              <w:rPr>
                <w:rFonts w:ascii="宋体" w:eastAsia="宋体" w:hint="eastAsia"/>
                <w:spacing w:val="-3"/>
                <w:sz w:val="21"/>
              </w:rPr>
              <w:t>业</w:t>
            </w:r>
            <w:r>
              <w:rPr>
                <w:rFonts w:ascii="宋体" w:eastAsia="宋体" w:hint="eastAsia"/>
                <w:sz w:val="21"/>
              </w:rPr>
              <w:t>务</w:t>
            </w:r>
            <w:r>
              <w:rPr>
                <w:rFonts w:ascii="宋体" w:eastAsia="宋体" w:hint="eastAsia"/>
                <w:spacing w:val="-3"/>
                <w:sz w:val="21"/>
              </w:rPr>
              <w:t>领</w:t>
            </w:r>
            <w:r>
              <w:rPr>
                <w:rFonts w:ascii="宋体" w:eastAsia="宋体" w:hint="eastAsia"/>
                <w:sz w:val="21"/>
              </w:rPr>
              <w:t>域</w:t>
            </w:r>
            <w:r>
              <w:rPr>
                <w:rFonts w:ascii="宋体" w:eastAsia="宋体" w:hint="eastAsia"/>
                <w:spacing w:val="-3"/>
                <w:sz w:val="21"/>
              </w:rPr>
              <w:t>中</w:t>
            </w:r>
            <w:r>
              <w:rPr>
                <w:rFonts w:ascii="宋体" w:eastAsia="宋体" w:hint="eastAsia"/>
                <w:sz w:val="21"/>
              </w:rPr>
              <w:t>的同业竞</w:t>
            </w:r>
            <w:r>
              <w:rPr>
                <w:rFonts w:ascii="宋体" w:eastAsia="宋体" w:hint="eastAsia"/>
                <w:spacing w:val="-3"/>
                <w:sz w:val="21"/>
              </w:rPr>
              <w:t>争</w:t>
            </w:r>
            <w:r>
              <w:rPr>
                <w:rFonts w:ascii="宋体" w:eastAsia="宋体" w:hint="eastAsia"/>
                <w:sz w:val="21"/>
              </w:rPr>
              <w:t>关</w:t>
            </w:r>
            <w:r>
              <w:rPr>
                <w:rFonts w:ascii="宋体" w:eastAsia="宋体" w:hint="eastAsia"/>
                <w:spacing w:val="-3"/>
                <w:sz w:val="21"/>
              </w:rPr>
              <w:t>系</w:t>
            </w:r>
            <w:r>
              <w:rPr>
                <w:rFonts w:ascii="宋体" w:eastAsia="宋体" w:hint="eastAsia"/>
                <w:spacing w:val="-27"/>
                <w:sz w:val="21"/>
              </w:rPr>
              <w:t>。</w:t>
            </w:r>
            <w:r>
              <w:rPr>
                <w:rFonts w:ascii="宋体" w:eastAsia="宋体" w:hint="eastAsia"/>
                <w:spacing w:val="-3"/>
                <w:sz w:val="21"/>
              </w:rPr>
              <w:t>报</w:t>
            </w:r>
            <w:r>
              <w:rPr>
                <w:rFonts w:ascii="宋体" w:eastAsia="宋体" w:hint="eastAsia"/>
                <w:sz w:val="21"/>
              </w:rPr>
              <w:t>告</w:t>
            </w:r>
            <w:r>
              <w:rPr>
                <w:rFonts w:ascii="宋体" w:eastAsia="宋体" w:hint="eastAsia"/>
                <w:spacing w:val="-3"/>
                <w:sz w:val="21"/>
              </w:rPr>
              <w:t>期</w:t>
            </w:r>
            <w:r>
              <w:rPr>
                <w:rFonts w:ascii="宋体" w:eastAsia="宋体" w:hint="eastAsia"/>
                <w:sz w:val="21"/>
              </w:rPr>
              <w:t>内</w:t>
            </w:r>
            <w:r>
              <w:rPr>
                <w:rFonts w:ascii="宋体" w:eastAsia="宋体" w:hint="eastAsia"/>
                <w:spacing w:val="-29"/>
                <w:sz w:val="21"/>
              </w:rPr>
              <w:t>，</w:t>
            </w:r>
            <w:r>
              <w:rPr>
                <w:rFonts w:ascii="宋体" w:eastAsia="宋体" w:hint="eastAsia"/>
                <w:sz w:val="21"/>
              </w:rPr>
              <w:t>本公</w:t>
            </w:r>
            <w:r>
              <w:rPr>
                <w:rFonts w:ascii="宋体" w:eastAsia="宋体" w:hint="eastAsia"/>
                <w:spacing w:val="-29"/>
                <w:sz w:val="21"/>
              </w:rPr>
              <w:t>司</w:t>
            </w:r>
            <w:r>
              <w:rPr>
                <w:rFonts w:ascii="宋体" w:eastAsia="宋体" w:hint="eastAsia"/>
                <w:sz w:val="21"/>
              </w:rPr>
              <w:t>（</w:t>
            </w:r>
            <w:r>
              <w:rPr>
                <w:rFonts w:ascii="宋体" w:eastAsia="宋体" w:hint="eastAsia"/>
                <w:spacing w:val="-3"/>
                <w:sz w:val="21"/>
              </w:rPr>
              <w:t>包</w:t>
            </w:r>
            <w:r>
              <w:rPr>
                <w:rFonts w:ascii="宋体" w:eastAsia="宋体" w:hint="eastAsia"/>
                <w:sz w:val="21"/>
              </w:rPr>
              <w:t>括</w:t>
            </w:r>
            <w:r>
              <w:rPr>
                <w:rFonts w:ascii="宋体" w:eastAsia="宋体" w:hint="eastAsia"/>
                <w:spacing w:val="-3"/>
                <w:sz w:val="21"/>
              </w:rPr>
              <w:t>本</w:t>
            </w:r>
            <w:r>
              <w:rPr>
                <w:rFonts w:ascii="宋体" w:eastAsia="宋体" w:hint="eastAsia"/>
                <w:sz w:val="21"/>
              </w:rPr>
              <w:t>公</w:t>
            </w:r>
            <w:r>
              <w:rPr>
                <w:rFonts w:ascii="宋体" w:eastAsia="宋体" w:hint="eastAsia"/>
                <w:spacing w:val="-3"/>
                <w:sz w:val="21"/>
              </w:rPr>
              <w:t>司</w:t>
            </w:r>
            <w:r>
              <w:rPr>
                <w:rFonts w:ascii="宋体" w:eastAsia="宋体" w:hint="eastAsia"/>
                <w:sz w:val="21"/>
              </w:rPr>
              <w:t>的</w:t>
            </w:r>
            <w:r>
              <w:rPr>
                <w:rFonts w:ascii="宋体" w:eastAsia="宋体" w:hint="eastAsia"/>
                <w:spacing w:val="-3"/>
                <w:sz w:val="21"/>
              </w:rPr>
              <w:t>附</w:t>
            </w:r>
            <w:r>
              <w:rPr>
                <w:rFonts w:ascii="宋体" w:eastAsia="宋体" w:hint="eastAsia"/>
                <w:sz w:val="21"/>
              </w:rPr>
              <w:t>属子</w:t>
            </w:r>
            <w:r>
              <w:rPr>
                <w:rFonts w:ascii="宋体" w:eastAsia="宋体" w:hint="eastAsia"/>
                <w:spacing w:val="-3"/>
                <w:sz w:val="21"/>
              </w:rPr>
              <w:t>公</w:t>
            </w:r>
            <w:r>
              <w:rPr>
                <w:rFonts w:ascii="宋体" w:eastAsia="宋体" w:hint="eastAsia"/>
                <w:sz w:val="21"/>
              </w:rPr>
              <w:t>司</w:t>
            </w:r>
            <w:r>
              <w:rPr>
                <w:rFonts w:ascii="宋体" w:eastAsia="宋体" w:hint="eastAsia"/>
                <w:spacing w:val="-3"/>
                <w:sz w:val="21"/>
              </w:rPr>
              <w:t>及持</w:t>
            </w:r>
            <w:r>
              <w:rPr>
                <w:rFonts w:ascii="宋体" w:eastAsia="宋体" w:hint="eastAsia"/>
                <w:sz w:val="21"/>
              </w:rPr>
              <w:t>股</w:t>
            </w:r>
            <w:r>
              <w:rPr>
                <w:rFonts w:ascii="宋体" w:eastAsia="宋体" w:hint="eastAsia"/>
                <w:spacing w:val="-43"/>
                <w:sz w:val="21"/>
              </w:rPr>
              <w:t> </w:t>
            </w:r>
            <w:r>
              <w:rPr>
                <w:sz w:val="21"/>
              </w:rPr>
              <w:t>30%</w:t>
            </w:r>
            <w:r>
              <w:rPr>
                <w:rFonts w:ascii="宋体" w:eastAsia="宋体" w:hint="eastAsia"/>
                <w:sz w:val="21"/>
              </w:rPr>
              <w:t>以上的实</w:t>
            </w:r>
            <w:r>
              <w:rPr>
                <w:rFonts w:ascii="宋体" w:eastAsia="宋体" w:hint="eastAsia"/>
                <w:spacing w:val="-3"/>
                <w:sz w:val="21"/>
              </w:rPr>
              <w:t>体</w:t>
            </w:r>
            <w:r>
              <w:rPr>
                <w:rFonts w:ascii="宋体" w:eastAsia="宋体" w:hint="eastAsia"/>
                <w:spacing w:val="-22"/>
                <w:sz w:val="21"/>
              </w:rPr>
              <w:t>）</w:t>
            </w:r>
            <w:r>
              <w:rPr>
                <w:rFonts w:ascii="宋体" w:eastAsia="宋体" w:hint="eastAsia"/>
                <w:sz w:val="21"/>
              </w:rPr>
              <w:t>与</w:t>
            </w:r>
            <w:r>
              <w:rPr>
                <w:rFonts w:ascii="宋体" w:eastAsia="宋体" w:hint="eastAsia"/>
                <w:spacing w:val="-3"/>
                <w:sz w:val="21"/>
              </w:rPr>
              <w:t>海</w:t>
            </w:r>
            <w:r>
              <w:rPr>
                <w:rFonts w:ascii="宋体" w:eastAsia="宋体" w:hint="eastAsia"/>
                <w:sz w:val="21"/>
              </w:rPr>
              <w:t>尔</w:t>
            </w:r>
            <w:r>
              <w:rPr>
                <w:rFonts w:ascii="宋体" w:eastAsia="宋体" w:hint="eastAsia"/>
                <w:spacing w:val="-3"/>
                <w:sz w:val="21"/>
              </w:rPr>
              <w:t>智</w:t>
            </w:r>
            <w:r>
              <w:rPr>
                <w:rFonts w:ascii="宋体" w:eastAsia="宋体" w:hint="eastAsia"/>
                <w:sz w:val="21"/>
              </w:rPr>
              <w:t>家</w:t>
            </w:r>
            <w:r>
              <w:rPr>
                <w:rFonts w:ascii="宋体" w:eastAsia="宋体" w:hint="eastAsia"/>
                <w:spacing w:val="-3"/>
                <w:sz w:val="21"/>
              </w:rPr>
              <w:t>不存</w:t>
            </w:r>
            <w:r>
              <w:rPr>
                <w:rFonts w:ascii="宋体" w:eastAsia="宋体" w:hint="eastAsia"/>
                <w:sz w:val="21"/>
              </w:rPr>
              <w:t>在任</w:t>
            </w:r>
            <w:r>
              <w:rPr>
                <w:rFonts w:ascii="宋体" w:eastAsia="宋体" w:hint="eastAsia"/>
                <w:spacing w:val="-3"/>
                <w:sz w:val="21"/>
              </w:rPr>
              <w:t>何</w:t>
            </w:r>
            <w:r>
              <w:rPr>
                <w:rFonts w:ascii="宋体" w:eastAsia="宋体" w:hint="eastAsia"/>
                <w:sz w:val="21"/>
              </w:rPr>
              <w:t>新</w:t>
            </w:r>
            <w:r>
              <w:rPr>
                <w:rFonts w:ascii="宋体" w:eastAsia="宋体" w:hint="eastAsia"/>
                <w:spacing w:val="-3"/>
                <w:sz w:val="21"/>
              </w:rPr>
              <w:t>增</w:t>
            </w:r>
            <w:r>
              <w:rPr>
                <w:rFonts w:ascii="宋体" w:eastAsia="宋体" w:hint="eastAsia"/>
                <w:sz w:val="21"/>
              </w:rPr>
              <w:t>同</w:t>
            </w:r>
            <w:r>
              <w:rPr>
                <w:rFonts w:ascii="宋体" w:eastAsia="宋体" w:hint="eastAsia"/>
                <w:spacing w:val="-3"/>
                <w:sz w:val="21"/>
              </w:rPr>
              <w:t>业</w:t>
            </w:r>
            <w:r>
              <w:rPr>
                <w:rFonts w:ascii="宋体" w:eastAsia="宋体" w:hint="eastAsia"/>
                <w:sz w:val="21"/>
              </w:rPr>
              <w:t>竞</w:t>
            </w:r>
            <w:r>
              <w:rPr>
                <w:rFonts w:ascii="宋体" w:eastAsia="宋体" w:hint="eastAsia"/>
                <w:spacing w:val="-3"/>
                <w:sz w:val="21"/>
              </w:rPr>
              <w:t>争</w:t>
            </w:r>
            <w:r>
              <w:rPr>
                <w:rFonts w:ascii="宋体" w:eastAsia="宋体" w:hint="eastAsia"/>
                <w:sz w:val="21"/>
              </w:rPr>
              <w:t>的</w:t>
            </w:r>
            <w:r>
              <w:rPr>
                <w:rFonts w:ascii="宋体" w:eastAsia="宋体" w:hint="eastAsia"/>
                <w:spacing w:val="-3"/>
                <w:sz w:val="21"/>
              </w:rPr>
              <w:t>情</w:t>
            </w:r>
            <w:r>
              <w:rPr>
                <w:rFonts w:ascii="宋体" w:eastAsia="宋体" w:hint="eastAsia"/>
                <w:sz w:val="21"/>
              </w:rPr>
              <w:t>形</w:t>
            </w:r>
            <w:r>
              <w:rPr>
                <w:rFonts w:ascii="宋体" w:eastAsia="宋体" w:hint="eastAsia"/>
                <w:spacing w:val="-13"/>
                <w:sz w:val="21"/>
              </w:rPr>
              <w:t>；</w:t>
            </w:r>
            <w:r>
              <w:rPr>
                <w:spacing w:val="-13"/>
                <w:sz w:val="21"/>
              </w:rPr>
              <w:t>4</w:t>
            </w:r>
            <w:r>
              <w:rPr>
                <w:rFonts w:ascii="宋体" w:eastAsia="宋体" w:hint="eastAsia"/>
                <w:spacing w:val="-20"/>
                <w:sz w:val="21"/>
              </w:rPr>
              <w:t>、</w:t>
            </w:r>
            <w:r>
              <w:rPr>
                <w:rFonts w:ascii="宋体" w:eastAsia="宋体" w:hint="eastAsia"/>
                <w:spacing w:val="-3"/>
                <w:sz w:val="21"/>
              </w:rPr>
              <w:t>本</w:t>
            </w:r>
            <w:r>
              <w:rPr>
                <w:rFonts w:ascii="宋体" w:eastAsia="宋体" w:hint="eastAsia"/>
                <w:sz w:val="21"/>
              </w:rPr>
              <w:t>次</w:t>
            </w:r>
            <w:r>
              <w:rPr>
                <w:rFonts w:ascii="宋体" w:eastAsia="宋体" w:hint="eastAsia"/>
                <w:spacing w:val="-3"/>
                <w:sz w:val="21"/>
              </w:rPr>
              <w:t>交</w:t>
            </w:r>
            <w:r>
              <w:rPr>
                <w:rFonts w:ascii="宋体" w:eastAsia="宋体" w:hint="eastAsia"/>
                <w:sz w:val="21"/>
              </w:rPr>
              <w:t>易</w:t>
            </w:r>
            <w:r>
              <w:rPr>
                <w:rFonts w:ascii="宋体" w:eastAsia="宋体" w:hint="eastAsia"/>
                <w:spacing w:val="-3"/>
                <w:sz w:val="21"/>
              </w:rPr>
              <w:t>完</w:t>
            </w:r>
            <w:r>
              <w:rPr>
                <w:rFonts w:ascii="宋体" w:eastAsia="宋体" w:hint="eastAsia"/>
                <w:sz w:val="21"/>
              </w:rPr>
              <w:t>成后， 本公</w:t>
            </w:r>
            <w:r>
              <w:rPr>
                <w:rFonts w:ascii="宋体" w:eastAsia="宋体" w:hint="eastAsia"/>
                <w:spacing w:val="-41"/>
                <w:sz w:val="21"/>
              </w:rPr>
              <w:t>司</w:t>
            </w:r>
            <w:r>
              <w:rPr>
                <w:rFonts w:ascii="宋体" w:eastAsia="宋体" w:hint="eastAsia"/>
                <w:spacing w:val="-3"/>
                <w:sz w:val="21"/>
              </w:rPr>
              <w:t>（</w:t>
            </w:r>
            <w:r>
              <w:rPr>
                <w:rFonts w:ascii="宋体" w:eastAsia="宋体" w:hint="eastAsia"/>
                <w:sz w:val="21"/>
              </w:rPr>
              <w:t>包</w:t>
            </w:r>
            <w:r>
              <w:rPr>
                <w:rFonts w:ascii="宋体" w:eastAsia="宋体" w:hint="eastAsia"/>
                <w:spacing w:val="-3"/>
                <w:sz w:val="21"/>
              </w:rPr>
              <w:t>括</w:t>
            </w:r>
            <w:r>
              <w:rPr>
                <w:rFonts w:ascii="宋体" w:eastAsia="宋体" w:hint="eastAsia"/>
                <w:sz w:val="21"/>
              </w:rPr>
              <w:t>本</w:t>
            </w:r>
            <w:r>
              <w:rPr>
                <w:rFonts w:ascii="宋体" w:eastAsia="宋体" w:hint="eastAsia"/>
                <w:spacing w:val="-3"/>
                <w:sz w:val="21"/>
              </w:rPr>
              <w:t>公</w:t>
            </w:r>
            <w:r>
              <w:rPr>
                <w:rFonts w:ascii="宋体" w:eastAsia="宋体" w:hint="eastAsia"/>
                <w:sz w:val="21"/>
              </w:rPr>
              <w:t>司</w:t>
            </w:r>
            <w:r>
              <w:rPr>
                <w:rFonts w:ascii="宋体" w:eastAsia="宋体" w:hint="eastAsia"/>
                <w:spacing w:val="-3"/>
                <w:sz w:val="21"/>
              </w:rPr>
              <w:t>的附</w:t>
            </w:r>
            <w:r>
              <w:rPr>
                <w:rFonts w:ascii="宋体" w:eastAsia="宋体" w:hint="eastAsia"/>
                <w:sz w:val="21"/>
              </w:rPr>
              <w:t>属子</w:t>
            </w:r>
            <w:r>
              <w:rPr>
                <w:rFonts w:ascii="宋体" w:eastAsia="宋体" w:hint="eastAsia"/>
                <w:spacing w:val="-3"/>
                <w:sz w:val="21"/>
              </w:rPr>
              <w:t>公</w:t>
            </w:r>
            <w:r>
              <w:rPr>
                <w:rFonts w:ascii="宋体" w:eastAsia="宋体" w:hint="eastAsia"/>
                <w:sz w:val="21"/>
              </w:rPr>
              <w:t>司</w:t>
            </w:r>
            <w:r>
              <w:rPr>
                <w:rFonts w:ascii="宋体" w:eastAsia="宋体" w:hint="eastAsia"/>
                <w:spacing w:val="-3"/>
                <w:sz w:val="21"/>
              </w:rPr>
              <w:t>及持</w:t>
            </w:r>
            <w:r>
              <w:rPr>
                <w:rFonts w:ascii="宋体" w:eastAsia="宋体" w:hint="eastAsia"/>
                <w:sz w:val="21"/>
              </w:rPr>
              <w:t>股</w:t>
            </w:r>
            <w:r>
              <w:rPr>
                <w:rFonts w:ascii="宋体" w:eastAsia="宋体" w:hint="eastAsia"/>
                <w:spacing w:val="-43"/>
                <w:sz w:val="21"/>
              </w:rPr>
              <w:t> </w:t>
            </w:r>
            <w:r>
              <w:rPr>
                <w:sz w:val="21"/>
              </w:rPr>
              <w:t>30%</w:t>
            </w:r>
            <w:r>
              <w:rPr>
                <w:rFonts w:ascii="宋体" w:eastAsia="宋体" w:hint="eastAsia"/>
                <w:sz w:val="21"/>
              </w:rPr>
              <w:t>以</w:t>
            </w:r>
            <w:r>
              <w:rPr>
                <w:rFonts w:ascii="宋体" w:eastAsia="宋体" w:hint="eastAsia"/>
                <w:spacing w:val="-3"/>
                <w:sz w:val="21"/>
              </w:rPr>
              <w:t>上</w:t>
            </w:r>
            <w:r>
              <w:rPr>
                <w:rFonts w:ascii="宋体" w:eastAsia="宋体" w:hint="eastAsia"/>
                <w:sz w:val="21"/>
              </w:rPr>
              <w:t>的实</w:t>
            </w:r>
            <w:r>
              <w:rPr>
                <w:rFonts w:ascii="宋体" w:eastAsia="宋体" w:hint="eastAsia"/>
                <w:spacing w:val="-3"/>
                <w:sz w:val="21"/>
              </w:rPr>
              <w:t>体</w:t>
            </w:r>
            <w:r>
              <w:rPr>
                <w:rFonts w:ascii="宋体" w:eastAsia="宋体" w:hint="eastAsia"/>
                <w:spacing w:val="-41"/>
                <w:sz w:val="21"/>
              </w:rPr>
              <w:t>）</w:t>
            </w:r>
            <w:r>
              <w:rPr>
                <w:rFonts w:ascii="宋体" w:eastAsia="宋体" w:hint="eastAsia"/>
                <w:sz w:val="21"/>
              </w:rPr>
              <w:t>及</w:t>
            </w:r>
            <w:r>
              <w:rPr>
                <w:rFonts w:ascii="宋体" w:eastAsia="宋体" w:hint="eastAsia"/>
                <w:spacing w:val="-3"/>
                <w:sz w:val="21"/>
              </w:rPr>
              <w:t>本</w:t>
            </w:r>
            <w:r>
              <w:rPr>
                <w:rFonts w:ascii="宋体" w:eastAsia="宋体" w:hint="eastAsia"/>
                <w:sz w:val="21"/>
              </w:rPr>
              <w:t>公</w:t>
            </w:r>
            <w:r>
              <w:rPr>
                <w:rFonts w:ascii="宋体" w:eastAsia="宋体" w:hint="eastAsia"/>
                <w:spacing w:val="-3"/>
                <w:sz w:val="21"/>
              </w:rPr>
              <w:t>司</w:t>
            </w:r>
            <w:r>
              <w:rPr>
                <w:rFonts w:ascii="宋体" w:eastAsia="宋体" w:hint="eastAsia"/>
                <w:sz w:val="21"/>
              </w:rPr>
              <w:t>关</w:t>
            </w:r>
            <w:r>
              <w:rPr>
                <w:rFonts w:ascii="宋体" w:eastAsia="宋体" w:hint="eastAsia"/>
                <w:spacing w:val="-3"/>
                <w:sz w:val="21"/>
              </w:rPr>
              <w:t>联</w:t>
            </w:r>
            <w:r>
              <w:rPr>
                <w:rFonts w:ascii="宋体" w:eastAsia="宋体" w:hint="eastAsia"/>
                <w:sz w:val="21"/>
              </w:rPr>
              <w:t>企业与</w:t>
            </w:r>
            <w:r>
              <w:rPr>
                <w:rFonts w:ascii="宋体" w:eastAsia="宋体" w:hint="eastAsia"/>
                <w:spacing w:val="-3"/>
                <w:sz w:val="21"/>
              </w:rPr>
              <w:t>海</w:t>
            </w:r>
            <w:r>
              <w:rPr>
                <w:rFonts w:ascii="宋体" w:eastAsia="宋体" w:hint="eastAsia"/>
                <w:sz w:val="21"/>
              </w:rPr>
              <w:t>尔</w:t>
            </w:r>
            <w:r>
              <w:rPr>
                <w:rFonts w:ascii="宋体" w:eastAsia="宋体" w:hint="eastAsia"/>
                <w:spacing w:val="-3"/>
                <w:sz w:val="21"/>
              </w:rPr>
              <w:t>智</w:t>
            </w:r>
            <w:r>
              <w:rPr>
                <w:rFonts w:ascii="宋体" w:eastAsia="宋体" w:hint="eastAsia"/>
                <w:sz w:val="21"/>
              </w:rPr>
              <w:t>家</w:t>
            </w:r>
            <w:r>
              <w:rPr>
                <w:rFonts w:ascii="宋体" w:eastAsia="宋体" w:hint="eastAsia"/>
                <w:spacing w:val="-3"/>
                <w:sz w:val="21"/>
              </w:rPr>
              <w:t>不</w:t>
            </w:r>
            <w:r>
              <w:rPr>
                <w:rFonts w:ascii="宋体" w:eastAsia="宋体" w:hint="eastAsia"/>
                <w:sz w:val="21"/>
              </w:rPr>
              <w:t>存</w:t>
            </w:r>
            <w:r>
              <w:rPr>
                <w:rFonts w:ascii="宋体" w:eastAsia="宋体" w:hint="eastAsia"/>
                <w:spacing w:val="-3"/>
                <w:sz w:val="21"/>
              </w:rPr>
              <w:t>在</w:t>
            </w:r>
            <w:r>
              <w:rPr>
                <w:rFonts w:ascii="宋体" w:eastAsia="宋体" w:hint="eastAsia"/>
                <w:sz w:val="21"/>
              </w:rPr>
              <w:t>任</w:t>
            </w:r>
            <w:r>
              <w:rPr>
                <w:rFonts w:ascii="宋体" w:eastAsia="宋体" w:hint="eastAsia"/>
                <w:spacing w:val="-3"/>
                <w:sz w:val="21"/>
              </w:rPr>
              <w:t>何</w:t>
            </w:r>
            <w:r>
              <w:rPr>
                <w:rFonts w:ascii="宋体" w:eastAsia="宋体" w:hint="eastAsia"/>
                <w:sz w:val="21"/>
              </w:rPr>
              <w:t>新发</w:t>
            </w:r>
            <w:r>
              <w:rPr>
                <w:rFonts w:ascii="宋体" w:eastAsia="宋体" w:hint="eastAsia"/>
                <w:spacing w:val="-3"/>
                <w:sz w:val="21"/>
              </w:rPr>
              <w:t>生</w:t>
            </w:r>
            <w:r>
              <w:rPr>
                <w:rFonts w:ascii="宋体" w:eastAsia="宋体" w:hint="eastAsia"/>
                <w:sz w:val="21"/>
              </w:rPr>
              <w:t>的</w:t>
            </w:r>
            <w:r>
              <w:rPr>
                <w:rFonts w:ascii="宋体" w:eastAsia="宋体" w:hint="eastAsia"/>
                <w:spacing w:val="-3"/>
                <w:sz w:val="21"/>
              </w:rPr>
              <w:t>同</w:t>
            </w:r>
            <w:r>
              <w:rPr>
                <w:rFonts w:ascii="宋体" w:eastAsia="宋体" w:hint="eastAsia"/>
                <w:sz w:val="21"/>
              </w:rPr>
              <w:t>业</w:t>
            </w:r>
            <w:r>
              <w:rPr>
                <w:rFonts w:ascii="宋体" w:eastAsia="宋体" w:hint="eastAsia"/>
                <w:spacing w:val="-3"/>
                <w:sz w:val="21"/>
              </w:rPr>
              <w:t>竞</w:t>
            </w:r>
            <w:r>
              <w:rPr>
                <w:rFonts w:ascii="宋体" w:eastAsia="宋体" w:hint="eastAsia"/>
                <w:sz w:val="21"/>
              </w:rPr>
              <w:t>争</w:t>
            </w:r>
            <w:r>
              <w:rPr>
                <w:rFonts w:ascii="宋体" w:eastAsia="宋体" w:hint="eastAsia"/>
                <w:spacing w:val="-3"/>
                <w:sz w:val="21"/>
              </w:rPr>
              <w:t>或</w:t>
            </w:r>
            <w:r>
              <w:rPr>
                <w:rFonts w:ascii="宋体" w:eastAsia="宋体" w:hint="eastAsia"/>
                <w:sz w:val="21"/>
              </w:rPr>
              <w:t>潜</w:t>
            </w:r>
            <w:r>
              <w:rPr>
                <w:rFonts w:ascii="宋体" w:eastAsia="宋体" w:hint="eastAsia"/>
                <w:spacing w:val="-3"/>
                <w:sz w:val="21"/>
              </w:rPr>
              <w:t>在</w:t>
            </w:r>
            <w:r>
              <w:rPr>
                <w:rFonts w:ascii="宋体" w:eastAsia="宋体" w:hint="eastAsia"/>
                <w:sz w:val="21"/>
              </w:rPr>
              <w:t>可能</w:t>
            </w:r>
            <w:r>
              <w:rPr>
                <w:rFonts w:ascii="宋体" w:eastAsia="宋体" w:hint="eastAsia"/>
                <w:spacing w:val="-3"/>
                <w:sz w:val="21"/>
              </w:rPr>
              <w:t>发</w:t>
            </w:r>
            <w:r>
              <w:rPr>
                <w:rFonts w:ascii="宋体" w:eastAsia="宋体" w:hint="eastAsia"/>
                <w:sz w:val="21"/>
              </w:rPr>
              <w:t>生</w:t>
            </w:r>
            <w:r>
              <w:rPr>
                <w:rFonts w:ascii="宋体" w:eastAsia="宋体" w:hint="eastAsia"/>
                <w:spacing w:val="-3"/>
                <w:sz w:val="21"/>
              </w:rPr>
              <w:t>同</w:t>
            </w:r>
            <w:r>
              <w:rPr>
                <w:rFonts w:ascii="宋体" w:eastAsia="宋体" w:hint="eastAsia"/>
                <w:sz w:val="21"/>
              </w:rPr>
              <w:t>业</w:t>
            </w:r>
            <w:r>
              <w:rPr>
                <w:rFonts w:ascii="宋体" w:eastAsia="宋体" w:hint="eastAsia"/>
                <w:spacing w:val="-3"/>
                <w:sz w:val="21"/>
              </w:rPr>
              <w:t>竞</w:t>
            </w:r>
            <w:r>
              <w:rPr>
                <w:rFonts w:ascii="宋体" w:eastAsia="宋体" w:hint="eastAsia"/>
                <w:sz w:val="21"/>
              </w:rPr>
              <w:t>争</w:t>
            </w:r>
            <w:r>
              <w:rPr>
                <w:rFonts w:ascii="宋体" w:eastAsia="宋体" w:hint="eastAsia"/>
                <w:spacing w:val="-3"/>
                <w:sz w:val="21"/>
              </w:rPr>
              <w:t>的</w:t>
            </w:r>
            <w:r>
              <w:rPr>
                <w:rFonts w:ascii="宋体" w:eastAsia="宋体" w:hint="eastAsia"/>
                <w:sz w:val="21"/>
              </w:rPr>
              <w:t>情 形；</w:t>
            </w:r>
            <w:r>
              <w:rPr>
                <w:sz w:val="21"/>
              </w:rPr>
              <w:t>5</w:t>
            </w:r>
            <w:r>
              <w:rPr>
                <w:rFonts w:ascii="宋体" w:eastAsia="宋体" w:hint="eastAsia"/>
                <w:sz w:val="21"/>
              </w:rPr>
              <w:t>、</w:t>
            </w:r>
            <w:r>
              <w:rPr>
                <w:rFonts w:ascii="宋体" w:eastAsia="宋体" w:hint="eastAsia"/>
                <w:spacing w:val="-3"/>
                <w:sz w:val="21"/>
              </w:rPr>
              <w:t>在</w:t>
            </w:r>
            <w:r>
              <w:rPr>
                <w:rFonts w:ascii="宋体" w:eastAsia="宋体" w:hint="eastAsia"/>
                <w:sz w:val="21"/>
              </w:rPr>
              <w:t>本</w:t>
            </w:r>
            <w:r>
              <w:rPr>
                <w:rFonts w:ascii="宋体" w:eastAsia="宋体" w:hint="eastAsia"/>
                <w:spacing w:val="-3"/>
                <w:sz w:val="21"/>
              </w:rPr>
              <w:t>公</w:t>
            </w:r>
            <w:r>
              <w:rPr>
                <w:rFonts w:ascii="宋体" w:eastAsia="宋体" w:hint="eastAsia"/>
                <w:sz w:val="21"/>
              </w:rPr>
              <w:t>司</w:t>
            </w:r>
            <w:r>
              <w:rPr>
                <w:rFonts w:ascii="宋体" w:eastAsia="宋体" w:hint="eastAsia"/>
                <w:spacing w:val="-3"/>
                <w:sz w:val="21"/>
              </w:rPr>
              <w:t>作</w:t>
            </w:r>
            <w:r>
              <w:rPr>
                <w:rFonts w:ascii="宋体" w:eastAsia="宋体" w:hint="eastAsia"/>
                <w:sz w:val="21"/>
              </w:rPr>
              <w:t>为</w:t>
            </w:r>
            <w:r>
              <w:rPr>
                <w:rFonts w:ascii="宋体" w:eastAsia="宋体" w:hint="eastAsia"/>
                <w:spacing w:val="-3"/>
                <w:sz w:val="21"/>
              </w:rPr>
              <w:t>海尔</w:t>
            </w:r>
            <w:r>
              <w:rPr>
                <w:rFonts w:ascii="宋体" w:eastAsia="宋体" w:hint="eastAsia"/>
                <w:sz w:val="21"/>
              </w:rPr>
              <w:t>智家</w:t>
            </w:r>
            <w:r>
              <w:rPr>
                <w:rFonts w:ascii="宋体" w:eastAsia="宋体" w:hint="eastAsia"/>
                <w:spacing w:val="-3"/>
                <w:sz w:val="21"/>
              </w:rPr>
              <w:t>控</w:t>
            </w:r>
            <w:r>
              <w:rPr>
                <w:rFonts w:ascii="宋体" w:eastAsia="宋体" w:hint="eastAsia"/>
                <w:sz w:val="21"/>
              </w:rPr>
              <w:t>股</w:t>
            </w:r>
            <w:r>
              <w:rPr>
                <w:rFonts w:ascii="宋体" w:eastAsia="宋体" w:hint="eastAsia"/>
                <w:spacing w:val="-3"/>
                <w:sz w:val="21"/>
              </w:rPr>
              <w:t>股</w:t>
            </w:r>
            <w:r>
              <w:rPr>
                <w:rFonts w:ascii="宋体" w:eastAsia="宋体" w:hint="eastAsia"/>
                <w:sz w:val="21"/>
              </w:rPr>
              <w:t>东</w:t>
            </w:r>
            <w:r>
              <w:rPr>
                <w:rFonts w:ascii="宋体" w:eastAsia="宋体" w:hint="eastAsia"/>
                <w:spacing w:val="-3"/>
                <w:sz w:val="21"/>
              </w:rPr>
              <w:t>且</w:t>
            </w:r>
            <w:r>
              <w:rPr>
                <w:rFonts w:ascii="宋体" w:eastAsia="宋体" w:hint="eastAsia"/>
                <w:sz w:val="21"/>
              </w:rPr>
              <w:t>海</w:t>
            </w:r>
            <w:r>
              <w:rPr>
                <w:rFonts w:ascii="宋体" w:eastAsia="宋体" w:hint="eastAsia"/>
                <w:spacing w:val="-3"/>
                <w:sz w:val="21"/>
              </w:rPr>
              <w:t>尔</w:t>
            </w:r>
            <w:r>
              <w:rPr>
                <w:rFonts w:ascii="宋体" w:eastAsia="宋体" w:hint="eastAsia"/>
                <w:sz w:val="21"/>
              </w:rPr>
              <w:t>智</w:t>
            </w:r>
            <w:r>
              <w:rPr>
                <w:rFonts w:ascii="宋体" w:eastAsia="宋体" w:hint="eastAsia"/>
                <w:spacing w:val="-3"/>
                <w:sz w:val="21"/>
              </w:rPr>
              <w:t>家</w:t>
            </w:r>
            <w:r>
              <w:rPr>
                <w:rFonts w:ascii="宋体" w:eastAsia="宋体" w:hint="eastAsia"/>
                <w:sz w:val="21"/>
              </w:rPr>
              <w:t>股份</w:t>
            </w:r>
            <w:r>
              <w:rPr>
                <w:rFonts w:ascii="宋体" w:eastAsia="宋体" w:hint="eastAsia"/>
                <w:spacing w:val="-3"/>
                <w:sz w:val="21"/>
              </w:rPr>
              <w:t>于</w:t>
            </w:r>
            <w:r>
              <w:rPr>
                <w:rFonts w:ascii="宋体" w:eastAsia="宋体" w:hint="eastAsia"/>
                <w:sz w:val="21"/>
              </w:rPr>
              <w:t>香</w:t>
            </w:r>
            <w:r>
              <w:rPr>
                <w:rFonts w:ascii="宋体" w:eastAsia="宋体" w:hint="eastAsia"/>
                <w:spacing w:val="-3"/>
                <w:sz w:val="21"/>
              </w:rPr>
              <w:t>港</w:t>
            </w:r>
            <w:r>
              <w:rPr>
                <w:rFonts w:ascii="宋体" w:eastAsia="宋体" w:hint="eastAsia"/>
                <w:sz w:val="21"/>
              </w:rPr>
              <w:t>联</w:t>
            </w:r>
            <w:r>
              <w:rPr>
                <w:rFonts w:ascii="宋体" w:eastAsia="宋体" w:hint="eastAsia"/>
                <w:spacing w:val="-3"/>
                <w:sz w:val="21"/>
              </w:rPr>
              <w:t>交</w:t>
            </w:r>
            <w:r>
              <w:rPr>
                <w:rFonts w:ascii="宋体" w:eastAsia="宋体" w:hint="eastAsia"/>
                <w:sz w:val="21"/>
              </w:rPr>
              <w:t>所</w:t>
            </w:r>
            <w:r>
              <w:rPr>
                <w:rFonts w:ascii="宋体" w:eastAsia="宋体" w:hint="eastAsia"/>
                <w:spacing w:val="-3"/>
                <w:sz w:val="21"/>
              </w:rPr>
              <w:t>处</w:t>
            </w:r>
            <w:r>
              <w:rPr>
                <w:rFonts w:ascii="宋体" w:eastAsia="宋体" w:hint="eastAsia"/>
                <w:sz w:val="21"/>
              </w:rPr>
              <w:t>于上市</w:t>
            </w:r>
            <w:r>
              <w:rPr>
                <w:rFonts w:ascii="宋体" w:eastAsia="宋体" w:hint="eastAsia"/>
                <w:spacing w:val="-3"/>
                <w:sz w:val="21"/>
              </w:rPr>
              <w:t>地</w:t>
            </w:r>
            <w:r>
              <w:rPr>
                <w:rFonts w:ascii="宋体" w:eastAsia="宋体" w:hint="eastAsia"/>
                <w:sz w:val="21"/>
              </w:rPr>
              <w:t>位</w:t>
            </w:r>
            <w:r>
              <w:rPr>
                <w:rFonts w:ascii="宋体" w:eastAsia="宋体" w:hint="eastAsia"/>
                <w:spacing w:val="-3"/>
                <w:sz w:val="21"/>
              </w:rPr>
              <w:t>期</w:t>
            </w:r>
            <w:r>
              <w:rPr>
                <w:rFonts w:ascii="宋体" w:eastAsia="宋体" w:hint="eastAsia"/>
                <w:sz w:val="21"/>
              </w:rPr>
              <w:t>间</w:t>
            </w:r>
            <w:r>
              <w:rPr>
                <w:rFonts w:ascii="宋体" w:eastAsia="宋体" w:hint="eastAsia"/>
                <w:spacing w:val="-82"/>
                <w:sz w:val="21"/>
              </w:rPr>
              <w:t>，</w:t>
            </w:r>
            <w:r>
              <w:rPr>
                <w:rFonts w:ascii="宋体" w:eastAsia="宋体" w:hint="eastAsia"/>
                <w:sz w:val="21"/>
              </w:rPr>
              <w:t>本</w:t>
            </w:r>
            <w:r>
              <w:rPr>
                <w:rFonts w:ascii="宋体" w:eastAsia="宋体" w:hint="eastAsia"/>
                <w:spacing w:val="-3"/>
                <w:sz w:val="21"/>
              </w:rPr>
              <w:t>公</w:t>
            </w:r>
            <w:r>
              <w:rPr>
                <w:rFonts w:ascii="宋体" w:eastAsia="宋体" w:hint="eastAsia"/>
                <w:sz w:val="21"/>
              </w:rPr>
              <w:t>司</w:t>
            </w:r>
            <w:r>
              <w:rPr>
                <w:rFonts w:ascii="宋体" w:eastAsia="宋体" w:hint="eastAsia"/>
                <w:spacing w:val="-3"/>
                <w:sz w:val="21"/>
              </w:rPr>
              <w:t>及本</w:t>
            </w:r>
            <w:r>
              <w:rPr>
                <w:rFonts w:ascii="宋体" w:eastAsia="宋体" w:hint="eastAsia"/>
                <w:sz w:val="21"/>
              </w:rPr>
              <w:t>公司</w:t>
            </w:r>
            <w:r>
              <w:rPr>
                <w:rFonts w:ascii="宋体" w:eastAsia="宋体" w:hint="eastAsia"/>
                <w:spacing w:val="-3"/>
                <w:sz w:val="21"/>
              </w:rPr>
              <w:t>的</w:t>
            </w:r>
            <w:r>
              <w:rPr>
                <w:rFonts w:ascii="宋体" w:eastAsia="宋体" w:hint="eastAsia"/>
                <w:sz w:val="21"/>
              </w:rPr>
              <w:t>其</w:t>
            </w:r>
            <w:r>
              <w:rPr>
                <w:rFonts w:ascii="宋体" w:eastAsia="宋体" w:hint="eastAsia"/>
                <w:spacing w:val="-3"/>
                <w:sz w:val="21"/>
              </w:rPr>
              <w:t>他</w:t>
            </w:r>
            <w:r>
              <w:rPr>
                <w:rFonts w:ascii="宋体" w:eastAsia="宋体" w:hint="eastAsia"/>
                <w:sz w:val="21"/>
              </w:rPr>
              <w:t>附</w:t>
            </w:r>
            <w:r>
              <w:rPr>
                <w:rFonts w:ascii="宋体" w:eastAsia="宋体" w:hint="eastAsia"/>
                <w:spacing w:val="-3"/>
                <w:sz w:val="21"/>
              </w:rPr>
              <w:t>属</w:t>
            </w:r>
            <w:r>
              <w:rPr>
                <w:rFonts w:ascii="宋体" w:eastAsia="宋体" w:hint="eastAsia"/>
                <w:sz w:val="21"/>
              </w:rPr>
              <w:t>公</w:t>
            </w:r>
            <w:r>
              <w:rPr>
                <w:rFonts w:ascii="宋体" w:eastAsia="宋体" w:hint="eastAsia"/>
                <w:spacing w:val="-3"/>
                <w:sz w:val="21"/>
              </w:rPr>
              <w:t>司</w:t>
            </w:r>
            <w:r>
              <w:rPr>
                <w:rFonts w:ascii="宋体" w:eastAsia="宋体" w:hint="eastAsia"/>
                <w:sz w:val="21"/>
              </w:rPr>
              <w:t>及</w:t>
            </w:r>
            <w:r>
              <w:rPr>
                <w:rFonts w:ascii="宋体" w:eastAsia="宋体" w:hint="eastAsia"/>
                <w:spacing w:val="-3"/>
                <w:sz w:val="21"/>
              </w:rPr>
              <w:t>持</w:t>
            </w:r>
            <w:r>
              <w:rPr>
                <w:rFonts w:ascii="宋体" w:eastAsia="宋体" w:hint="eastAsia"/>
                <w:sz w:val="21"/>
              </w:rPr>
              <w:t>股</w:t>
            </w:r>
            <w:r>
              <w:rPr>
                <w:rFonts w:ascii="宋体" w:eastAsia="宋体" w:hint="eastAsia"/>
                <w:spacing w:val="-43"/>
                <w:sz w:val="21"/>
              </w:rPr>
              <w:t> </w:t>
            </w:r>
            <w:r>
              <w:rPr>
                <w:sz w:val="21"/>
              </w:rPr>
              <w:t>30%</w:t>
            </w:r>
            <w:r>
              <w:rPr>
                <w:rFonts w:ascii="宋体" w:eastAsia="宋体" w:hint="eastAsia"/>
                <w:sz w:val="21"/>
              </w:rPr>
              <w:t>以</w:t>
            </w:r>
            <w:r>
              <w:rPr>
                <w:rFonts w:ascii="宋体" w:eastAsia="宋体" w:hint="eastAsia"/>
                <w:spacing w:val="-3"/>
                <w:sz w:val="21"/>
              </w:rPr>
              <w:t>上</w:t>
            </w:r>
            <w:r>
              <w:rPr>
                <w:rFonts w:ascii="宋体" w:eastAsia="宋体" w:hint="eastAsia"/>
                <w:sz w:val="21"/>
              </w:rPr>
              <w:t>的</w:t>
            </w:r>
            <w:r>
              <w:rPr>
                <w:rFonts w:ascii="宋体" w:eastAsia="宋体" w:hint="eastAsia"/>
                <w:spacing w:val="-3"/>
                <w:sz w:val="21"/>
              </w:rPr>
              <w:t>实</w:t>
            </w:r>
            <w:r>
              <w:rPr>
                <w:rFonts w:ascii="宋体" w:eastAsia="宋体" w:hint="eastAsia"/>
                <w:sz w:val="21"/>
              </w:rPr>
              <w:t>体</w:t>
            </w:r>
            <w:r>
              <w:rPr>
                <w:rFonts w:ascii="宋体" w:eastAsia="宋体" w:hint="eastAsia"/>
                <w:spacing w:val="-3"/>
                <w:sz w:val="21"/>
              </w:rPr>
              <w:t>将</w:t>
            </w:r>
            <w:r>
              <w:rPr>
                <w:rFonts w:ascii="宋体" w:eastAsia="宋体" w:hint="eastAsia"/>
                <w:sz w:val="21"/>
              </w:rPr>
              <w:t>不</w:t>
            </w:r>
          </w:p>
          <w:p>
            <w:pPr>
              <w:pStyle w:val="TableParagraph"/>
              <w:spacing w:line="254" w:lineRule="exact"/>
              <w:ind w:left="116"/>
              <w:rPr>
                <w:rFonts w:ascii="宋体" w:eastAsia="宋体" w:hint="eastAsia"/>
                <w:sz w:val="21"/>
              </w:rPr>
            </w:pPr>
            <w:r>
              <w:rPr>
                <w:rFonts w:ascii="宋体" w:eastAsia="宋体" w:hint="eastAsia"/>
                <w:spacing w:val="-6"/>
                <w:sz w:val="21"/>
              </w:rPr>
              <w:t>会经营任何与海尔智家从事的业务存在竞争的业务，不与海尔智家发生现实</w:t>
            </w:r>
          </w:p>
        </w:tc>
        <w:tc>
          <w:tcPr>
            <w:tcW w:w="1846" w:type="dxa"/>
            <w:vMerge w:val="restart"/>
            <w:tcBorders>
              <w:left w:val="single" w:sz="4" w:space="0" w:color="000000"/>
              <w:bottom w:val="single" w:sz="4" w:space="0" w:color="000000"/>
              <w:right w:val="single" w:sz="4" w:space="0" w:color="000000"/>
            </w:tcBorders>
          </w:tcPr>
          <w:p>
            <w:pPr>
              <w:pStyle w:val="TableParagraph"/>
              <w:rPr>
                <w:sz w:val="20"/>
              </w:rPr>
            </w:pPr>
          </w:p>
        </w:tc>
        <w:tc>
          <w:tcPr>
            <w:tcW w:w="849" w:type="dxa"/>
            <w:vMerge w:val="restart"/>
            <w:tcBorders>
              <w:left w:val="single" w:sz="4" w:space="0" w:color="000000"/>
              <w:bottom w:val="single" w:sz="4" w:space="0" w:color="000000"/>
              <w:right w:val="single" w:sz="4" w:space="0" w:color="000000"/>
            </w:tcBorders>
          </w:tcPr>
          <w:p>
            <w:pPr>
              <w:pStyle w:val="TableParagraph"/>
              <w:rPr>
                <w:sz w:val="20"/>
              </w:rPr>
            </w:pPr>
          </w:p>
        </w:tc>
        <w:tc>
          <w:tcPr>
            <w:tcW w:w="935" w:type="dxa"/>
            <w:vMerge w:val="restart"/>
            <w:tcBorders>
              <w:left w:val="single" w:sz="4" w:space="0" w:color="000000"/>
              <w:bottom w:val="single" w:sz="4" w:space="0" w:color="000000"/>
            </w:tcBorders>
          </w:tcPr>
          <w:p>
            <w:pPr>
              <w:pStyle w:val="TableParagraph"/>
              <w:rPr>
                <w:sz w:val="20"/>
              </w:rPr>
            </w:pPr>
          </w:p>
        </w:tc>
      </w:tr>
      <w:tr>
        <w:trPr>
          <w:trHeight w:val="285" w:hRule="atLeast"/>
        </w:trPr>
        <w:tc>
          <w:tcPr>
            <w:tcW w:w="836" w:type="dxa"/>
            <w:vMerge/>
            <w:tcBorders>
              <w:top w:val="nil"/>
              <w:right w:val="single" w:sz="4" w:space="0" w:color="000000"/>
            </w:tcBorders>
          </w:tcPr>
          <w:p>
            <w:pPr>
              <w:rPr>
                <w:sz w:val="2"/>
                <w:szCs w:val="2"/>
              </w:rPr>
            </w:pPr>
          </w:p>
        </w:tc>
        <w:tc>
          <w:tcPr>
            <w:tcW w:w="994" w:type="dxa"/>
            <w:vMerge/>
            <w:tcBorders>
              <w:top w:val="nil"/>
              <w:left w:val="single" w:sz="4" w:space="0" w:color="000000"/>
              <w:bottom w:val="single" w:sz="4" w:space="0" w:color="000000"/>
              <w:right w:val="single" w:sz="4" w:space="0" w:color="000000"/>
            </w:tcBorders>
          </w:tcPr>
          <w:p>
            <w:pPr>
              <w:rPr>
                <w:sz w:val="2"/>
                <w:szCs w:val="2"/>
              </w:rPr>
            </w:pPr>
          </w:p>
        </w:tc>
        <w:tc>
          <w:tcPr>
            <w:tcW w:w="1560" w:type="dxa"/>
            <w:vMerge/>
            <w:tcBorders>
              <w:top w:val="nil"/>
              <w:left w:val="single" w:sz="4" w:space="0" w:color="000000"/>
              <w:bottom w:val="single" w:sz="4" w:space="0" w:color="000000"/>
              <w:right w:val="single" w:sz="4" w:space="0" w:color="000000"/>
            </w:tcBorders>
          </w:tcPr>
          <w:p>
            <w:pPr>
              <w:rPr>
                <w:sz w:val="2"/>
                <w:szCs w:val="2"/>
              </w:rPr>
            </w:pPr>
          </w:p>
        </w:tc>
        <w:tc>
          <w:tcPr>
            <w:tcW w:w="7086" w:type="dxa"/>
            <w:tcBorders>
              <w:top w:val="nil"/>
              <w:left w:val="single" w:sz="4" w:space="0" w:color="000000"/>
              <w:bottom w:val="single" w:sz="4" w:space="0" w:color="000000"/>
              <w:right w:val="single" w:sz="4" w:space="0" w:color="000000"/>
            </w:tcBorders>
          </w:tcPr>
          <w:p>
            <w:pPr>
              <w:pStyle w:val="TableParagraph"/>
              <w:spacing w:line="259" w:lineRule="exact" w:before="7"/>
              <w:ind w:left="116"/>
              <w:rPr>
                <w:rFonts w:ascii="宋体" w:eastAsia="宋体" w:hint="eastAsia"/>
                <w:sz w:val="21"/>
              </w:rPr>
            </w:pPr>
            <w:r>
              <w:rPr>
                <w:rFonts w:ascii="宋体" w:eastAsia="宋体" w:hint="eastAsia"/>
                <w:sz w:val="21"/>
              </w:rPr>
              <w:t>或潜在的同业竞争。</w:t>
            </w:r>
          </w:p>
        </w:tc>
        <w:tc>
          <w:tcPr>
            <w:tcW w:w="1846" w:type="dxa"/>
            <w:vMerge/>
            <w:tcBorders>
              <w:top w:val="nil"/>
              <w:left w:val="single" w:sz="4" w:space="0" w:color="000000"/>
              <w:bottom w:val="single" w:sz="4" w:space="0" w:color="000000"/>
              <w:right w:val="single" w:sz="4" w:space="0" w:color="000000"/>
            </w:tcBorders>
          </w:tcPr>
          <w:p>
            <w:pPr>
              <w:rPr>
                <w:sz w:val="2"/>
                <w:szCs w:val="2"/>
              </w:rPr>
            </w:pPr>
          </w:p>
        </w:tc>
        <w:tc>
          <w:tcPr>
            <w:tcW w:w="849" w:type="dxa"/>
            <w:vMerge/>
            <w:tcBorders>
              <w:top w:val="nil"/>
              <w:left w:val="single" w:sz="4" w:space="0" w:color="000000"/>
              <w:bottom w:val="single" w:sz="4" w:space="0" w:color="000000"/>
              <w:right w:val="single" w:sz="4" w:space="0" w:color="000000"/>
            </w:tcBorders>
          </w:tcPr>
          <w:p>
            <w:pPr>
              <w:rPr>
                <w:sz w:val="2"/>
                <w:szCs w:val="2"/>
              </w:rPr>
            </w:pPr>
          </w:p>
        </w:tc>
        <w:tc>
          <w:tcPr>
            <w:tcW w:w="935" w:type="dxa"/>
            <w:vMerge/>
            <w:tcBorders>
              <w:top w:val="nil"/>
              <w:left w:val="single" w:sz="4" w:space="0" w:color="000000"/>
              <w:bottom w:val="single" w:sz="4" w:space="0" w:color="000000"/>
            </w:tcBorders>
          </w:tcPr>
          <w:p>
            <w:pPr>
              <w:rPr>
                <w:sz w:val="2"/>
                <w:szCs w:val="2"/>
              </w:rPr>
            </w:pPr>
          </w:p>
        </w:tc>
      </w:tr>
      <w:tr>
        <w:trPr>
          <w:trHeight w:val="287" w:hRule="atLeast"/>
        </w:trPr>
        <w:tc>
          <w:tcPr>
            <w:tcW w:w="836" w:type="dxa"/>
            <w:vMerge/>
            <w:tcBorders>
              <w:top w:val="nil"/>
              <w:right w:val="single" w:sz="4" w:space="0" w:color="000000"/>
            </w:tcBorders>
          </w:tcPr>
          <w:p>
            <w:pPr>
              <w:rPr>
                <w:sz w:val="2"/>
                <w:szCs w:val="2"/>
              </w:rPr>
            </w:pPr>
          </w:p>
        </w:tc>
        <w:tc>
          <w:tcPr>
            <w:tcW w:w="994" w:type="dxa"/>
            <w:tcBorders>
              <w:top w:val="single" w:sz="4" w:space="0" w:color="000000"/>
              <w:left w:val="single" w:sz="4" w:space="0" w:color="000000"/>
              <w:bottom w:val="nil"/>
              <w:right w:val="single" w:sz="4" w:space="0" w:color="000000"/>
            </w:tcBorders>
          </w:tcPr>
          <w:p>
            <w:pPr>
              <w:pStyle w:val="TableParagraph"/>
              <w:rPr>
                <w:sz w:val="20"/>
              </w:rPr>
            </w:pPr>
          </w:p>
        </w:tc>
        <w:tc>
          <w:tcPr>
            <w:tcW w:w="1560" w:type="dxa"/>
            <w:tcBorders>
              <w:top w:val="single" w:sz="4" w:space="0" w:color="000000"/>
              <w:left w:val="single" w:sz="4" w:space="0" w:color="000000"/>
              <w:bottom w:val="nil"/>
              <w:right w:val="single" w:sz="4" w:space="0" w:color="000000"/>
            </w:tcBorders>
          </w:tcPr>
          <w:p>
            <w:pPr>
              <w:pStyle w:val="TableParagraph"/>
              <w:rPr>
                <w:sz w:val="20"/>
              </w:rPr>
            </w:pPr>
          </w:p>
        </w:tc>
        <w:tc>
          <w:tcPr>
            <w:tcW w:w="7086" w:type="dxa"/>
            <w:tcBorders>
              <w:top w:val="single" w:sz="4" w:space="0" w:color="000000"/>
              <w:left w:val="single" w:sz="4" w:space="0" w:color="000000"/>
              <w:bottom w:val="nil"/>
              <w:right w:val="single" w:sz="4" w:space="0" w:color="000000"/>
            </w:tcBorders>
          </w:tcPr>
          <w:p>
            <w:pPr>
              <w:pStyle w:val="TableParagraph"/>
              <w:spacing w:line="255" w:lineRule="exact" w:before="12"/>
              <w:ind w:left="116"/>
              <w:rPr>
                <w:rFonts w:ascii="宋体" w:eastAsia="宋体" w:hint="eastAsia"/>
                <w:sz w:val="21"/>
              </w:rPr>
            </w:pPr>
            <w:r>
              <w:rPr>
                <w:rFonts w:ascii="宋体" w:eastAsia="宋体" w:hint="eastAsia"/>
                <w:sz w:val="21"/>
              </w:rPr>
              <w:t>本次交易完成后，本公司将严格遵守《公司法》、《证券法》、中国证券监</w:t>
            </w:r>
          </w:p>
        </w:tc>
        <w:tc>
          <w:tcPr>
            <w:tcW w:w="1846" w:type="dxa"/>
            <w:tcBorders>
              <w:top w:val="single" w:sz="4" w:space="0" w:color="000000"/>
              <w:left w:val="single" w:sz="4" w:space="0" w:color="000000"/>
              <w:bottom w:val="nil"/>
              <w:right w:val="single" w:sz="4" w:space="0" w:color="000000"/>
            </w:tcBorders>
          </w:tcPr>
          <w:p>
            <w:pPr>
              <w:pStyle w:val="TableParagraph"/>
              <w:rPr>
                <w:sz w:val="20"/>
              </w:rPr>
            </w:pPr>
          </w:p>
        </w:tc>
        <w:tc>
          <w:tcPr>
            <w:tcW w:w="849" w:type="dxa"/>
            <w:tcBorders>
              <w:top w:val="single" w:sz="4" w:space="0" w:color="000000"/>
              <w:left w:val="single" w:sz="4" w:space="0" w:color="000000"/>
              <w:bottom w:val="nil"/>
              <w:right w:val="single" w:sz="4" w:space="0" w:color="000000"/>
            </w:tcBorders>
          </w:tcPr>
          <w:p>
            <w:pPr>
              <w:pStyle w:val="TableParagraph"/>
              <w:rPr>
                <w:sz w:val="20"/>
              </w:rPr>
            </w:pPr>
          </w:p>
        </w:tc>
        <w:tc>
          <w:tcPr>
            <w:tcW w:w="935" w:type="dxa"/>
            <w:tcBorders>
              <w:top w:val="single" w:sz="4" w:space="0" w:color="000000"/>
              <w:left w:val="single" w:sz="4" w:space="0" w:color="000000"/>
              <w:bottom w:val="nil"/>
            </w:tcBorders>
          </w:tcPr>
          <w:p>
            <w:pPr>
              <w:pStyle w:val="TableParagraph"/>
              <w:rPr>
                <w:sz w:val="20"/>
              </w:rPr>
            </w:pPr>
          </w:p>
        </w:tc>
      </w:tr>
      <w:tr>
        <w:trPr>
          <w:trHeight w:val="281" w:hRule="atLeast"/>
        </w:trPr>
        <w:tc>
          <w:tcPr>
            <w:tcW w:w="836" w:type="dxa"/>
            <w:vMerge/>
            <w:tcBorders>
              <w:top w:val="nil"/>
              <w:right w:val="single" w:sz="4" w:space="0" w:color="000000"/>
            </w:tcBorders>
          </w:tcPr>
          <w:p>
            <w:pPr>
              <w:rPr>
                <w:sz w:val="2"/>
                <w:szCs w:val="2"/>
              </w:rPr>
            </w:pPr>
          </w:p>
        </w:tc>
        <w:tc>
          <w:tcPr>
            <w:tcW w:w="994" w:type="dxa"/>
            <w:tcBorders>
              <w:top w:val="nil"/>
              <w:left w:val="single" w:sz="4" w:space="0" w:color="000000"/>
              <w:bottom w:val="nil"/>
              <w:right w:val="single" w:sz="4" w:space="0" w:color="000000"/>
            </w:tcBorders>
          </w:tcPr>
          <w:p>
            <w:pPr>
              <w:pStyle w:val="TableParagraph"/>
              <w:rPr>
                <w:sz w:val="20"/>
              </w:rPr>
            </w:pPr>
          </w:p>
        </w:tc>
        <w:tc>
          <w:tcPr>
            <w:tcW w:w="1560" w:type="dxa"/>
            <w:tcBorders>
              <w:top w:val="nil"/>
              <w:left w:val="single" w:sz="4" w:space="0" w:color="000000"/>
              <w:bottom w:val="nil"/>
              <w:right w:val="single" w:sz="4" w:space="0" w:color="000000"/>
            </w:tcBorders>
          </w:tcPr>
          <w:p>
            <w:pPr>
              <w:pStyle w:val="TableParagraph"/>
              <w:rPr>
                <w:sz w:val="20"/>
              </w:rPr>
            </w:pPr>
          </w:p>
        </w:tc>
        <w:tc>
          <w:tcPr>
            <w:tcW w:w="7086" w:type="dxa"/>
            <w:tcBorders>
              <w:top w:val="nil"/>
              <w:left w:val="single" w:sz="4" w:space="0" w:color="000000"/>
              <w:bottom w:val="nil"/>
              <w:right w:val="single" w:sz="4" w:space="0" w:color="000000"/>
            </w:tcBorders>
          </w:tcPr>
          <w:p>
            <w:pPr>
              <w:pStyle w:val="TableParagraph"/>
              <w:spacing w:line="255" w:lineRule="exact" w:before="7"/>
              <w:ind w:left="116"/>
              <w:rPr>
                <w:rFonts w:ascii="宋体" w:eastAsia="宋体" w:hint="eastAsia"/>
                <w:sz w:val="21"/>
              </w:rPr>
            </w:pPr>
            <w:r>
              <w:rPr>
                <w:rFonts w:ascii="宋体" w:eastAsia="宋体" w:hint="eastAsia"/>
                <w:sz w:val="21"/>
              </w:rPr>
              <w:t>督管理委员会、上海证券交易所的相关规定及海尔智家公司章程等，平等行</w:t>
            </w:r>
          </w:p>
        </w:tc>
        <w:tc>
          <w:tcPr>
            <w:tcW w:w="1846" w:type="dxa"/>
            <w:tcBorders>
              <w:top w:val="nil"/>
              <w:left w:val="single" w:sz="4" w:space="0" w:color="000000"/>
              <w:bottom w:val="nil"/>
              <w:right w:val="single" w:sz="4" w:space="0" w:color="000000"/>
            </w:tcBorders>
          </w:tcPr>
          <w:p>
            <w:pPr>
              <w:pStyle w:val="TableParagraph"/>
              <w:rPr>
                <w:sz w:val="20"/>
              </w:rPr>
            </w:pPr>
          </w:p>
        </w:tc>
        <w:tc>
          <w:tcPr>
            <w:tcW w:w="849" w:type="dxa"/>
            <w:tcBorders>
              <w:top w:val="nil"/>
              <w:left w:val="single" w:sz="4" w:space="0" w:color="000000"/>
              <w:bottom w:val="nil"/>
              <w:right w:val="single" w:sz="4" w:space="0" w:color="000000"/>
            </w:tcBorders>
          </w:tcPr>
          <w:p>
            <w:pPr>
              <w:pStyle w:val="TableParagraph"/>
              <w:rPr>
                <w:sz w:val="20"/>
              </w:rPr>
            </w:pPr>
          </w:p>
        </w:tc>
        <w:tc>
          <w:tcPr>
            <w:tcW w:w="935" w:type="dxa"/>
            <w:tcBorders>
              <w:top w:val="nil"/>
              <w:left w:val="single" w:sz="4" w:space="0" w:color="000000"/>
              <w:bottom w:val="nil"/>
            </w:tcBorders>
          </w:tcPr>
          <w:p>
            <w:pPr>
              <w:pStyle w:val="TableParagraph"/>
              <w:rPr>
                <w:sz w:val="20"/>
              </w:rPr>
            </w:pPr>
          </w:p>
        </w:tc>
      </w:tr>
      <w:tr>
        <w:trPr>
          <w:trHeight w:val="282" w:hRule="atLeast"/>
        </w:trPr>
        <w:tc>
          <w:tcPr>
            <w:tcW w:w="836" w:type="dxa"/>
            <w:vMerge/>
            <w:tcBorders>
              <w:top w:val="nil"/>
              <w:right w:val="single" w:sz="4" w:space="0" w:color="000000"/>
            </w:tcBorders>
          </w:tcPr>
          <w:p>
            <w:pPr>
              <w:rPr>
                <w:sz w:val="2"/>
                <w:szCs w:val="2"/>
              </w:rPr>
            </w:pPr>
          </w:p>
        </w:tc>
        <w:tc>
          <w:tcPr>
            <w:tcW w:w="994" w:type="dxa"/>
            <w:tcBorders>
              <w:top w:val="nil"/>
              <w:left w:val="single" w:sz="4" w:space="0" w:color="000000"/>
              <w:bottom w:val="nil"/>
              <w:right w:val="single" w:sz="4" w:space="0" w:color="000000"/>
            </w:tcBorders>
          </w:tcPr>
          <w:p>
            <w:pPr>
              <w:pStyle w:val="TableParagraph"/>
              <w:rPr>
                <w:sz w:val="20"/>
              </w:rPr>
            </w:pPr>
          </w:p>
        </w:tc>
        <w:tc>
          <w:tcPr>
            <w:tcW w:w="1560" w:type="dxa"/>
            <w:tcBorders>
              <w:top w:val="nil"/>
              <w:left w:val="single" w:sz="4" w:space="0" w:color="000000"/>
              <w:bottom w:val="nil"/>
              <w:right w:val="single" w:sz="4" w:space="0" w:color="000000"/>
            </w:tcBorders>
          </w:tcPr>
          <w:p>
            <w:pPr>
              <w:pStyle w:val="TableParagraph"/>
              <w:rPr>
                <w:sz w:val="20"/>
              </w:rPr>
            </w:pPr>
          </w:p>
        </w:tc>
        <w:tc>
          <w:tcPr>
            <w:tcW w:w="7086" w:type="dxa"/>
            <w:tcBorders>
              <w:top w:val="nil"/>
              <w:left w:val="single" w:sz="4" w:space="0" w:color="000000"/>
              <w:bottom w:val="nil"/>
              <w:right w:val="single" w:sz="4" w:space="0" w:color="000000"/>
            </w:tcBorders>
          </w:tcPr>
          <w:p>
            <w:pPr>
              <w:pStyle w:val="TableParagraph"/>
              <w:spacing w:line="255" w:lineRule="exact" w:before="7"/>
              <w:ind w:left="116"/>
              <w:rPr>
                <w:rFonts w:ascii="宋体" w:eastAsia="宋体" w:hint="eastAsia"/>
                <w:sz w:val="21"/>
              </w:rPr>
            </w:pPr>
            <w:r>
              <w:rPr>
                <w:rFonts w:ascii="宋体" w:eastAsia="宋体" w:hint="eastAsia"/>
                <w:sz w:val="21"/>
              </w:rPr>
              <w:t>使股东权利、履行股东义务，不利用股东地位谋取不当利益，保证上市公司</w:t>
            </w:r>
          </w:p>
        </w:tc>
        <w:tc>
          <w:tcPr>
            <w:tcW w:w="1846" w:type="dxa"/>
            <w:tcBorders>
              <w:top w:val="nil"/>
              <w:left w:val="single" w:sz="4" w:space="0" w:color="000000"/>
              <w:bottom w:val="nil"/>
              <w:right w:val="single" w:sz="4" w:space="0" w:color="000000"/>
            </w:tcBorders>
          </w:tcPr>
          <w:p>
            <w:pPr>
              <w:pStyle w:val="TableParagraph"/>
              <w:rPr>
                <w:sz w:val="20"/>
              </w:rPr>
            </w:pPr>
          </w:p>
        </w:tc>
        <w:tc>
          <w:tcPr>
            <w:tcW w:w="849" w:type="dxa"/>
            <w:tcBorders>
              <w:top w:val="nil"/>
              <w:left w:val="single" w:sz="4" w:space="0" w:color="000000"/>
              <w:bottom w:val="nil"/>
              <w:right w:val="single" w:sz="4" w:space="0" w:color="000000"/>
            </w:tcBorders>
          </w:tcPr>
          <w:p>
            <w:pPr>
              <w:pStyle w:val="TableParagraph"/>
              <w:rPr>
                <w:sz w:val="20"/>
              </w:rPr>
            </w:pPr>
          </w:p>
        </w:tc>
        <w:tc>
          <w:tcPr>
            <w:tcW w:w="935" w:type="dxa"/>
            <w:tcBorders>
              <w:top w:val="nil"/>
              <w:left w:val="single" w:sz="4" w:space="0" w:color="000000"/>
              <w:bottom w:val="nil"/>
            </w:tcBorders>
          </w:tcPr>
          <w:p>
            <w:pPr>
              <w:pStyle w:val="TableParagraph"/>
              <w:rPr>
                <w:sz w:val="20"/>
              </w:rPr>
            </w:pPr>
          </w:p>
        </w:tc>
      </w:tr>
      <w:tr>
        <w:trPr>
          <w:trHeight w:val="1218" w:hRule="atLeast"/>
        </w:trPr>
        <w:tc>
          <w:tcPr>
            <w:tcW w:w="836" w:type="dxa"/>
            <w:vMerge/>
            <w:tcBorders>
              <w:top w:val="nil"/>
              <w:right w:val="single" w:sz="4" w:space="0" w:color="000000"/>
            </w:tcBorders>
          </w:tcPr>
          <w:p>
            <w:pPr>
              <w:rPr>
                <w:sz w:val="2"/>
                <w:szCs w:val="2"/>
              </w:rPr>
            </w:pPr>
          </w:p>
        </w:tc>
        <w:tc>
          <w:tcPr>
            <w:tcW w:w="994" w:type="dxa"/>
            <w:tcBorders>
              <w:top w:val="nil"/>
              <w:left w:val="single" w:sz="4" w:space="0" w:color="000000"/>
              <w:bottom w:val="nil"/>
              <w:right w:val="single" w:sz="4" w:space="0" w:color="000000"/>
            </w:tcBorders>
          </w:tcPr>
          <w:p>
            <w:pPr>
              <w:pStyle w:val="TableParagraph"/>
              <w:spacing w:line="278" w:lineRule="auto" w:before="163"/>
              <w:ind w:left="116" w:right="85"/>
              <w:jc w:val="both"/>
              <w:rPr>
                <w:rFonts w:ascii="宋体" w:eastAsia="宋体" w:hint="eastAsia"/>
                <w:sz w:val="21"/>
              </w:rPr>
            </w:pPr>
            <w:r>
              <w:rPr>
                <w:rFonts w:ascii="宋体" w:eastAsia="宋体" w:hint="eastAsia"/>
                <w:spacing w:val="-16"/>
                <w:sz w:val="21"/>
              </w:rPr>
              <w:t>保 持 上市 公 司</w:t>
            </w:r>
            <w:r>
              <w:rPr>
                <w:rFonts w:ascii="宋体" w:eastAsia="宋体" w:hint="eastAsia"/>
                <w:sz w:val="21"/>
              </w:rPr>
              <w:t>独立性</w:t>
            </w:r>
          </w:p>
        </w:tc>
        <w:tc>
          <w:tcPr>
            <w:tcW w:w="1560" w:type="dxa"/>
            <w:tcBorders>
              <w:top w:val="nil"/>
              <w:left w:val="single" w:sz="4" w:space="0" w:color="000000"/>
              <w:bottom w:val="nil"/>
              <w:right w:val="single" w:sz="4" w:space="0" w:color="000000"/>
            </w:tcBorders>
          </w:tcPr>
          <w:p>
            <w:pPr>
              <w:pStyle w:val="TableParagraph"/>
              <w:rPr>
                <w:sz w:val="20"/>
              </w:rPr>
            </w:pPr>
          </w:p>
          <w:p>
            <w:pPr>
              <w:pStyle w:val="TableParagraph"/>
              <w:spacing w:before="3"/>
              <w:rPr>
                <w:sz w:val="21"/>
              </w:rPr>
            </w:pPr>
          </w:p>
          <w:p>
            <w:pPr>
              <w:pStyle w:val="TableParagraph"/>
              <w:ind w:left="116"/>
              <w:rPr>
                <w:rFonts w:ascii="宋体" w:eastAsia="宋体" w:hint="eastAsia"/>
                <w:sz w:val="21"/>
              </w:rPr>
            </w:pPr>
            <w:r>
              <w:rPr>
                <w:rFonts w:ascii="宋体" w:eastAsia="宋体" w:hint="eastAsia"/>
                <w:sz w:val="21"/>
              </w:rPr>
              <w:t>海尔集团公司</w:t>
            </w:r>
          </w:p>
        </w:tc>
        <w:tc>
          <w:tcPr>
            <w:tcW w:w="7086" w:type="dxa"/>
            <w:tcBorders>
              <w:top w:val="nil"/>
              <w:left w:val="single" w:sz="4" w:space="0" w:color="000000"/>
              <w:bottom w:val="nil"/>
              <w:right w:val="single" w:sz="4" w:space="0" w:color="000000"/>
            </w:tcBorders>
          </w:tcPr>
          <w:p>
            <w:pPr>
              <w:pStyle w:val="TableParagraph"/>
              <w:spacing w:line="278" w:lineRule="auto" w:before="7"/>
              <w:ind w:left="116" w:right="-29"/>
              <w:rPr>
                <w:rFonts w:ascii="宋体" w:eastAsia="宋体" w:hint="eastAsia"/>
                <w:sz w:val="21"/>
              </w:rPr>
            </w:pPr>
            <w:r>
              <w:rPr>
                <w:rFonts w:ascii="宋体" w:eastAsia="宋体" w:hint="eastAsia"/>
                <w:spacing w:val="-8"/>
                <w:sz w:val="21"/>
              </w:rPr>
              <w:t>在管理、人员、资产、财务、机构及业务运营方面继续与本公司及本公司控</w:t>
            </w:r>
            <w:r>
              <w:rPr>
                <w:rFonts w:ascii="宋体" w:eastAsia="宋体" w:hint="eastAsia"/>
                <w:spacing w:val="-12"/>
                <w:sz w:val="21"/>
              </w:rPr>
              <w:t>制或施加重大影响的其他企业完全分开，保持上市公司在管理、人员、资产、</w:t>
            </w:r>
            <w:r>
              <w:rPr>
                <w:rFonts w:ascii="宋体" w:eastAsia="宋体" w:hint="eastAsia"/>
                <w:spacing w:val="-9"/>
                <w:sz w:val="21"/>
              </w:rPr>
              <w:t>财务、机构及业务运营方面继续保持独立。本次交易完成后，本公司将遵守</w:t>
            </w:r>
          </w:p>
          <w:p>
            <w:pPr>
              <w:pStyle w:val="TableParagraph"/>
              <w:spacing w:line="255" w:lineRule="exact"/>
              <w:ind w:left="116"/>
              <w:rPr>
                <w:rFonts w:ascii="宋体" w:eastAsia="宋体" w:hint="eastAsia"/>
                <w:sz w:val="21"/>
              </w:rPr>
            </w:pPr>
            <w:r>
              <w:rPr>
                <w:rFonts w:ascii="宋体" w:eastAsia="宋体" w:hint="eastAsia"/>
                <w:sz w:val="21"/>
              </w:rPr>
              <w:t>《关于规范上市公司与关联方资金往来及上市公司对外担保若干问题的通</w:t>
            </w:r>
          </w:p>
        </w:tc>
        <w:tc>
          <w:tcPr>
            <w:tcW w:w="1846" w:type="dxa"/>
            <w:tcBorders>
              <w:top w:val="nil"/>
              <w:left w:val="single" w:sz="4" w:space="0" w:color="000000"/>
              <w:bottom w:val="nil"/>
              <w:right w:val="single" w:sz="4" w:space="0" w:color="000000"/>
            </w:tcBorders>
          </w:tcPr>
          <w:p>
            <w:pPr>
              <w:pStyle w:val="TableParagraph"/>
              <w:spacing w:before="8"/>
              <w:rPr>
                <w:sz w:val="27"/>
              </w:rPr>
            </w:pPr>
          </w:p>
          <w:p>
            <w:pPr>
              <w:pStyle w:val="TableParagraph"/>
              <w:spacing w:line="278" w:lineRule="auto"/>
              <w:ind w:left="116" w:right="-29"/>
              <w:rPr>
                <w:rFonts w:ascii="宋体" w:eastAsia="宋体" w:hint="eastAsia"/>
                <w:sz w:val="21"/>
              </w:rPr>
            </w:pPr>
            <w:r>
              <w:rPr>
                <w:sz w:val="21"/>
              </w:rPr>
              <w:t>2020</w:t>
            </w:r>
            <w:r>
              <w:rPr>
                <w:spacing w:val="-20"/>
                <w:sz w:val="21"/>
              </w:rPr>
              <w:t> </w:t>
            </w:r>
            <w:r>
              <w:rPr>
                <w:rFonts w:ascii="宋体" w:eastAsia="宋体" w:hint="eastAsia"/>
                <w:spacing w:val="31"/>
                <w:sz w:val="21"/>
              </w:rPr>
              <w:t>年</w:t>
            </w:r>
            <w:r>
              <w:rPr>
                <w:sz w:val="21"/>
              </w:rPr>
              <w:t>7</w:t>
            </w:r>
            <w:r>
              <w:rPr>
                <w:spacing w:val="-19"/>
                <w:sz w:val="21"/>
              </w:rPr>
              <w:t> </w:t>
            </w:r>
            <w:r>
              <w:rPr>
                <w:rFonts w:ascii="宋体" w:eastAsia="宋体" w:hint="eastAsia"/>
                <w:spacing w:val="31"/>
                <w:sz w:val="21"/>
              </w:rPr>
              <w:t>月</w:t>
            </w:r>
            <w:r>
              <w:rPr>
                <w:sz w:val="21"/>
              </w:rPr>
              <w:t>29</w:t>
            </w:r>
            <w:r>
              <w:rPr>
                <w:spacing w:val="-22"/>
                <w:sz w:val="21"/>
              </w:rPr>
              <w:t> </w:t>
            </w:r>
            <w:r>
              <w:rPr>
                <w:rFonts w:ascii="宋体" w:eastAsia="宋体" w:hint="eastAsia"/>
                <w:sz w:val="21"/>
              </w:rPr>
              <w:t>日， 长期</w:t>
            </w:r>
          </w:p>
        </w:tc>
        <w:tc>
          <w:tcPr>
            <w:tcW w:w="849" w:type="dxa"/>
            <w:tcBorders>
              <w:top w:val="nil"/>
              <w:left w:val="single" w:sz="4" w:space="0" w:color="000000"/>
              <w:bottom w:val="nil"/>
              <w:right w:val="single" w:sz="4" w:space="0" w:color="000000"/>
            </w:tcBorders>
          </w:tcPr>
          <w:p>
            <w:pPr>
              <w:pStyle w:val="TableParagraph"/>
              <w:rPr>
                <w:sz w:val="20"/>
              </w:rPr>
            </w:pPr>
          </w:p>
          <w:p>
            <w:pPr>
              <w:pStyle w:val="TableParagraph"/>
              <w:spacing w:before="3"/>
              <w:rPr>
                <w:sz w:val="21"/>
              </w:rPr>
            </w:pPr>
          </w:p>
          <w:p>
            <w:pPr>
              <w:pStyle w:val="TableParagraph"/>
              <w:ind w:left="27"/>
              <w:jc w:val="center"/>
              <w:rPr>
                <w:rFonts w:ascii="宋体" w:eastAsia="宋体" w:hint="eastAsia"/>
                <w:sz w:val="21"/>
              </w:rPr>
            </w:pPr>
            <w:r>
              <w:rPr>
                <w:rFonts w:ascii="宋体" w:eastAsia="宋体" w:hint="eastAsia"/>
                <w:w w:val="100"/>
                <w:sz w:val="21"/>
              </w:rPr>
              <w:t>是</w:t>
            </w:r>
          </w:p>
        </w:tc>
        <w:tc>
          <w:tcPr>
            <w:tcW w:w="935" w:type="dxa"/>
            <w:tcBorders>
              <w:top w:val="nil"/>
              <w:left w:val="single" w:sz="4" w:space="0" w:color="000000"/>
              <w:bottom w:val="nil"/>
            </w:tcBorders>
          </w:tcPr>
          <w:p>
            <w:pPr>
              <w:pStyle w:val="TableParagraph"/>
              <w:rPr>
                <w:sz w:val="20"/>
              </w:rPr>
            </w:pPr>
          </w:p>
          <w:p>
            <w:pPr>
              <w:pStyle w:val="TableParagraph"/>
              <w:spacing w:before="3"/>
              <w:rPr>
                <w:sz w:val="21"/>
              </w:rPr>
            </w:pPr>
          </w:p>
          <w:p>
            <w:pPr>
              <w:pStyle w:val="TableParagraph"/>
              <w:ind w:left="39"/>
              <w:jc w:val="center"/>
              <w:rPr>
                <w:rFonts w:ascii="宋体" w:eastAsia="宋体" w:hint="eastAsia"/>
                <w:sz w:val="21"/>
              </w:rPr>
            </w:pPr>
            <w:r>
              <w:rPr>
                <w:rFonts w:ascii="宋体" w:eastAsia="宋体" w:hint="eastAsia"/>
                <w:w w:val="100"/>
                <w:sz w:val="21"/>
              </w:rPr>
              <w:t>是</w:t>
            </w:r>
          </w:p>
        </w:tc>
      </w:tr>
      <w:tr>
        <w:trPr>
          <w:trHeight w:val="281" w:hRule="atLeast"/>
        </w:trPr>
        <w:tc>
          <w:tcPr>
            <w:tcW w:w="836" w:type="dxa"/>
            <w:vMerge/>
            <w:tcBorders>
              <w:top w:val="nil"/>
              <w:right w:val="single" w:sz="4" w:space="0" w:color="000000"/>
            </w:tcBorders>
          </w:tcPr>
          <w:p>
            <w:pPr>
              <w:rPr>
                <w:sz w:val="2"/>
                <w:szCs w:val="2"/>
              </w:rPr>
            </w:pPr>
          </w:p>
        </w:tc>
        <w:tc>
          <w:tcPr>
            <w:tcW w:w="994" w:type="dxa"/>
            <w:tcBorders>
              <w:top w:val="nil"/>
              <w:left w:val="single" w:sz="4" w:space="0" w:color="000000"/>
              <w:bottom w:val="nil"/>
              <w:right w:val="single" w:sz="4" w:space="0" w:color="000000"/>
            </w:tcBorders>
          </w:tcPr>
          <w:p>
            <w:pPr>
              <w:pStyle w:val="TableParagraph"/>
              <w:rPr>
                <w:sz w:val="20"/>
              </w:rPr>
            </w:pPr>
          </w:p>
        </w:tc>
        <w:tc>
          <w:tcPr>
            <w:tcW w:w="1560" w:type="dxa"/>
            <w:tcBorders>
              <w:top w:val="nil"/>
              <w:left w:val="single" w:sz="4" w:space="0" w:color="000000"/>
              <w:bottom w:val="nil"/>
              <w:right w:val="single" w:sz="4" w:space="0" w:color="000000"/>
            </w:tcBorders>
          </w:tcPr>
          <w:p>
            <w:pPr>
              <w:pStyle w:val="TableParagraph"/>
              <w:rPr>
                <w:sz w:val="20"/>
              </w:rPr>
            </w:pPr>
          </w:p>
        </w:tc>
        <w:tc>
          <w:tcPr>
            <w:tcW w:w="7086" w:type="dxa"/>
            <w:tcBorders>
              <w:top w:val="nil"/>
              <w:left w:val="single" w:sz="4" w:space="0" w:color="000000"/>
              <w:bottom w:val="nil"/>
              <w:right w:val="single" w:sz="4" w:space="0" w:color="000000"/>
            </w:tcBorders>
          </w:tcPr>
          <w:p>
            <w:pPr>
              <w:pStyle w:val="TableParagraph"/>
              <w:spacing w:line="255" w:lineRule="exact" w:before="7"/>
              <w:ind w:left="116"/>
              <w:rPr>
                <w:rFonts w:ascii="宋体" w:eastAsia="宋体" w:hint="eastAsia"/>
                <w:sz w:val="21"/>
              </w:rPr>
            </w:pPr>
            <w:r>
              <w:rPr>
                <w:rFonts w:ascii="宋体" w:eastAsia="宋体" w:hint="eastAsia"/>
                <w:sz w:val="21"/>
              </w:rPr>
              <w:t>知》及《中国证券监督管理委员会、中国银行业监督管理委员会关于规范上</w:t>
            </w:r>
          </w:p>
        </w:tc>
        <w:tc>
          <w:tcPr>
            <w:tcW w:w="1846" w:type="dxa"/>
            <w:tcBorders>
              <w:top w:val="nil"/>
              <w:left w:val="single" w:sz="4" w:space="0" w:color="000000"/>
              <w:bottom w:val="nil"/>
              <w:right w:val="single" w:sz="4" w:space="0" w:color="000000"/>
            </w:tcBorders>
          </w:tcPr>
          <w:p>
            <w:pPr>
              <w:pStyle w:val="TableParagraph"/>
              <w:rPr>
                <w:sz w:val="20"/>
              </w:rPr>
            </w:pPr>
          </w:p>
        </w:tc>
        <w:tc>
          <w:tcPr>
            <w:tcW w:w="849" w:type="dxa"/>
            <w:tcBorders>
              <w:top w:val="nil"/>
              <w:left w:val="single" w:sz="4" w:space="0" w:color="000000"/>
              <w:bottom w:val="nil"/>
              <w:right w:val="single" w:sz="4" w:space="0" w:color="000000"/>
            </w:tcBorders>
          </w:tcPr>
          <w:p>
            <w:pPr>
              <w:pStyle w:val="TableParagraph"/>
              <w:rPr>
                <w:sz w:val="20"/>
              </w:rPr>
            </w:pPr>
          </w:p>
        </w:tc>
        <w:tc>
          <w:tcPr>
            <w:tcW w:w="935" w:type="dxa"/>
            <w:tcBorders>
              <w:top w:val="nil"/>
              <w:left w:val="single" w:sz="4" w:space="0" w:color="000000"/>
              <w:bottom w:val="nil"/>
            </w:tcBorders>
          </w:tcPr>
          <w:p>
            <w:pPr>
              <w:pStyle w:val="TableParagraph"/>
              <w:rPr>
                <w:sz w:val="20"/>
              </w:rPr>
            </w:pPr>
          </w:p>
        </w:tc>
      </w:tr>
      <w:tr>
        <w:trPr>
          <w:trHeight w:val="281" w:hRule="atLeast"/>
        </w:trPr>
        <w:tc>
          <w:tcPr>
            <w:tcW w:w="836" w:type="dxa"/>
            <w:vMerge/>
            <w:tcBorders>
              <w:top w:val="nil"/>
              <w:right w:val="single" w:sz="4" w:space="0" w:color="000000"/>
            </w:tcBorders>
          </w:tcPr>
          <w:p>
            <w:pPr>
              <w:rPr>
                <w:sz w:val="2"/>
                <w:szCs w:val="2"/>
              </w:rPr>
            </w:pPr>
          </w:p>
        </w:tc>
        <w:tc>
          <w:tcPr>
            <w:tcW w:w="994" w:type="dxa"/>
            <w:tcBorders>
              <w:top w:val="nil"/>
              <w:left w:val="single" w:sz="4" w:space="0" w:color="000000"/>
              <w:bottom w:val="nil"/>
              <w:right w:val="single" w:sz="4" w:space="0" w:color="000000"/>
            </w:tcBorders>
          </w:tcPr>
          <w:p>
            <w:pPr>
              <w:pStyle w:val="TableParagraph"/>
              <w:rPr>
                <w:sz w:val="20"/>
              </w:rPr>
            </w:pPr>
          </w:p>
        </w:tc>
        <w:tc>
          <w:tcPr>
            <w:tcW w:w="1560" w:type="dxa"/>
            <w:tcBorders>
              <w:top w:val="nil"/>
              <w:left w:val="single" w:sz="4" w:space="0" w:color="000000"/>
              <w:bottom w:val="nil"/>
              <w:right w:val="single" w:sz="4" w:space="0" w:color="000000"/>
            </w:tcBorders>
          </w:tcPr>
          <w:p>
            <w:pPr>
              <w:pStyle w:val="TableParagraph"/>
              <w:rPr>
                <w:sz w:val="20"/>
              </w:rPr>
            </w:pPr>
          </w:p>
        </w:tc>
        <w:tc>
          <w:tcPr>
            <w:tcW w:w="7086" w:type="dxa"/>
            <w:tcBorders>
              <w:top w:val="nil"/>
              <w:left w:val="single" w:sz="4" w:space="0" w:color="000000"/>
              <w:bottom w:val="nil"/>
              <w:right w:val="single" w:sz="4" w:space="0" w:color="000000"/>
            </w:tcBorders>
          </w:tcPr>
          <w:p>
            <w:pPr>
              <w:pStyle w:val="TableParagraph"/>
              <w:spacing w:line="255" w:lineRule="exact" w:before="7"/>
              <w:ind w:left="116"/>
              <w:rPr>
                <w:rFonts w:ascii="宋体" w:eastAsia="宋体" w:hint="eastAsia"/>
                <w:sz w:val="21"/>
              </w:rPr>
            </w:pPr>
            <w:r>
              <w:rPr>
                <w:rFonts w:ascii="宋体" w:eastAsia="宋体" w:hint="eastAsia"/>
                <w:sz w:val="21"/>
              </w:rPr>
              <w:t>市公司对外担保行为的通知》的规定，规范上市公司及其子公司的对外担保</w:t>
            </w:r>
          </w:p>
        </w:tc>
        <w:tc>
          <w:tcPr>
            <w:tcW w:w="1846" w:type="dxa"/>
            <w:tcBorders>
              <w:top w:val="nil"/>
              <w:left w:val="single" w:sz="4" w:space="0" w:color="000000"/>
              <w:bottom w:val="nil"/>
              <w:right w:val="single" w:sz="4" w:space="0" w:color="000000"/>
            </w:tcBorders>
          </w:tcPr>
          <w:p>
            <w:pPr>
              <w:pStyle w:val="TableParagraph"/>
              <w:rPr>
                <w:sz w:val="20"/>
              </w:rPr>
            </w:pPr>
          </w:p>
        </w:tc>
        <w:tc>
          <w:tcPr>
            <w:tcW w:w="849" w:type="dxa"/>
            <w:tcBorders>
              <w:top w:val="nil"/>
              <w:left w:val="single" w:sz="4" w:space="0" w:color="000000"/>
              <w:bottom w:val="nil"/>
              <w:right w:val="single" w:sz="4" w:space="0" w:color="000000"/>
            </w:tcBorders>
          </w:tcPr>
          <w:p>
            <w:pPr>
              <w:pStyle w:val="TableParagraph"/>
              <w:rPr>
                <w:sz w:val="20"/>
              </w:rPr>
            </w:pPr>
          </w:p>
        </w:tc>
        <w:tc>
          <w:tcPr>
            <w:tcW w:w="935" w:type="dxa"/>
            <w:tcBorders>
              <w:top w:val="nil"/>
              <w:left w:val="single" w:sz="4" w:space="0" w:color="000000"/>
              <w:bottom w:val="nil"/>
            </w:tcBorders>
          </w:tcPr>
          <w:p>
            <w:pPr>
              <w:pStyle w:val="TableParagraph"/>
              <w:rPr>
                <w:sz w:val="20"/>
              </w:rPr>
            </w:pPr>
          </w:p>
        </w:tc>
      </w:tr>
      <w:tr>
        <w:trPr>
          <w:trHeight w:val="295" w:hRule="atLeast"/>
        </w:trPr>
        <w:tc>
          <w:tcPr>
            <w:tcW w:w="836" w:type="dxa"/>
            <w:vMerge/>
            <w:tcBorders>
              <w:top w:val="nil"/>
              <w:right w:val="single" w:sz="4" w:space="0" w:color="000000"/>
            </w:tcBorders>
          </w:tcPr>
          <w:p>
            <w:pPr>
              <w:rPr>
                <w:sz w:val="2"/>
                <w:szCs w:val="2"/>
              </w:rPr>
            </w:pPr>
          </w:p>
        </w:tc>
        <w:tc>
          <w:tcPr>
            <w:tcW w:w="994" w:type="dxa"/>
            <w:tcBorders>
              <w:top w:val="nil"/>
              <w:left w:val="single" w:sz="4" w:space="0" w:color="000000"/>
              <w:right w:val="single" w:sz="4" w:space="0" w:color="000000"/>
            </w:tcBorders>
          </w:tcPr>
          <w:p>
            <w:pPr>
              <w:pStyle w:val="TableParagraph"/>
              <w:rPr>
                <w:sz w:val="20"/>
              </w:rPr>
            </w:pPr>
          </w:p>
        </w:tc>
        <w:tc>
          <w:tcPr>
            <w:tcW w:w="1560" w:type="dxa"/>
            <w:tcBorders>
              <w:top w:val="nil"/>
              <w:left w:val="single" w:sz="4" w:space="0" w:color="000000"/>
              <w:right w:val="single" w:sz="4" w:space="0" w:color="000000"/>
            </w:tcBorders>
          </w:tcPr>
          <w:p>
            <w:pPr>
              <w:pStyle w:val="TableParagraph"/>
              <w:rPr>
                <w:sz w:val="20"/>
              </w:rPr>
            </w:pPr>
          </w:p>
        </w:tc>
        <w:tc>
          <w:tcPr>
            <w:tcW w:w="7086" w:type="dxa"/>
            <w:tcBorders>
              <w:top w:val="nil"/>
              <w:left w:val="single" w:sz="4" w:space="0" w:color="000000"/>
              <w:right w:val="single" w:sz="4" w:space="0" w:color="000000"/>
            </w:tcBorders>
          </w:tcPr>
          <w:p>
            <w:pPr>
              <w:pStyle w:val="TableParagraph"/>
              <w:spacing w:line="269" w:lineRule="exact" w:before="7"/>
              <w:ind w:left="116"/>
              <w:rPr>
                <w:rFonts w:ascii="宋体" w:eastAsia="宋体" w:hint="eastAsia"/>
                <w:sz w:val="21"/>
              </w:rPr>
            </w:pPr>
            <w:r>
              <w:rPr>
                <w:rFonts w:ascii="宋体" w:eastAsia="宋体" w:hint="eastAsia"/>
                <w:sz w:val="21"/>
              </w:rPr>
              <w:t>行为，不违规占用上市公司及其子公司的资金。本公司保证严格履行上述承</w:t>
            </w:r>
          </w:p>
        </w:tc>
        <w:tc>
          <w:tcPr>
            <w:tcW w:w="1846" w:type="dxa"/>
            <w:tcBorders>
              <w:top w:val="nil"/>
              <w:left w:val="single" w:sz="4" w:space="0" w:color="000000"/>
              <w:right w:val="single" w:sz="4" w:space="0" w:color="000000"/>
            </w:tcBorders>
          </w:tcPr>
          <w:p>
            <w:pPr>
              <w:pStyle w:val="TableParagraph"/>
              <w:rPr>
                <w:sz w:val="20"/>
              </w:rPr>
            </w:pPr>
          </w:p>
        </w:tc>
        <w:tc>
          <w:tcPr>
            <w:tcW w:w="849" w:type="dxa"/>
            <w:tcBorders>
              <w:top w:val="nil"/>
              <w:left w:val="single" w:sz="4" w:space="0" w:color="000000"/>
              <w:right w:val="single" w:sz="4" w:space="0" w:color="000000"/>
            </w:tcBorders>
          </w:tcPr>
          <w:p>
            <w:pPr>
              <w:pStyle w:val="TableParagraph"/>
              <w:rPr>
                <w:sz w:val="20"/>
              </w:rPr>
            </w:pPr>
          </w:p>
        </w:tc>
        <w:tc>
          <w:tcPr>
            <w:tcW w:w="935" w:type="dxa"/>
            <w:tcBorders>
              <w:top w:val="nil"/>
              <w:left w:val="single" w:sz="4" w:space="0" w:color="000000"/>
            </w:tcBorders>
          </w:tcPr>
          <w:p>
            <w:pPr>
              <w:pStyle w:val="TableParagraph"/>
              <w:rPr>
                <w:sz w:val="20"/>
              </w:rPr>
            </w:pPr>
          </w:p>
        </w:tc>
      </w:tr>
    </w:tbl>
    <w:p>
      <w:pPr>
        <w:spacing w:after="0"/>
        <w:rPr>
          <w:sz w:val="20"/>
        </w:rPr>
        <w:sectPr>
          <w:pgSz w:w="16840" w:h="11910" w:orient="landscape"/>
          <w:pgMar w:header="876" w:footer="1214" w:top="1180" w:bottom="1400" w:left="1180" w:right="1280"/>
        </w:sectPr>
      </w:pPr>
    </w:p>
    <w:p>
      <w:pPr>
        <w:pStyle w:val="BodyText"/>
        <w:rPr>
          <w:rFonts w:ascii="Times New Roman"/>
          <w:sz w:val="20"/>
        </w:rPr>
      </w:pPr>
    </w:p>
    <w:p>
      <w:pPr>
        <w:pStyle w:val="BodyText"/>
        <w:rPr>
          <w:rFonts w:ascii="Times New Roman"/>
          <w:sz w:val="20"/>
        </w:rPr>
      </w:pPr>
    </w:p>
    <w:p>
      <w:pPr>
        <w:pStyle w:val="BodyText"/>
        <w:spacing w:before="7" w:after="1"/>
        <w:rPr>
          <w:rFonts w:ascii="Times New Roman"/>
          <w:sz w:val="13"/>
        </w:rPr>
      </w:pPr>
    </w:p>
    <w:tbl>
      <w:tblPr>
        <w:tblW w:w="0" w:type="auto"/>
        <w:jc w:val="left"/>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36"/>
        <w:gridCol w:w="994"/>
        <w:gridCol w:w="1560"/>
        <w:gridCol w:w="7086"/>
        <w:gridCol w:w="1846"/>
        <w:gridCol w:w="849"/>
        <w:gridCol w:w="935"/>
      </w:tblGrid>
      <w:tr>
        <w:trPr>
          <w:trHeight w:val="297" w:hRule="atLeast"/>
        </w:trPr>
        <w:tc>
          <w:tcPr>
            <w:tcW w:w="836" w:type="dxa"/>
            <w:vMerge w:val="restart"/>
            <w:tcBorders>
              <w:right w:val="single" w:sz="4" w:space="0" w:color="000000"/>
            </w:tcBorders>
          </w:tcPr>
          <w:p>
            <w:pPr>
              <w:pStyle w:val="TableParagraph"/>
              <w:rPr>
                <w:sz w:val="20"/>
              </w:rPr>
            </w:pPr>
          </w:p>
        </w:tc>
        <w:tc>
          <w:tcPr>
            <w:tcW w:w="994" w:type="dxa"/>
            <w:vMerge w:val="restart"/>
            <w:tcBorders>
              <w:left w:val="single" w:sz="4" w:space="0" w:color="000000"/>
              <w:bottom w:val="single" w:sz="4" w:space="0" w:color="000000"/>
              <w:right w:val="single" w:sz="4" w:space="0" w:color="000000"/>
            </w:tcBorders>
          </w:tcPr>
          <w:p>
            <w:pPr>
              <w:pStyle w:val="TableParagraph"/>
              <w:rPr>
                <w:sz w:val="20"/>
              </w:rPr>
            </w:pPr>
          </w:p>
        </w:tc>
        <w:tc>
          <w:tcPr>
            <w:tcW w:w="1560" w:type="dxa"/>
            <w:vMerge w:val="restart"/>
            <w:tcBorders>
              <w:left w:val="single" w:sz="4" w:space="0" w:color="000000"/>
              <w:bottom w:val="single" w:sz="4" w:space="0" w:color="000000"/>
              <w:right w:val="single" w:sz="4" w:space="0" w:color="000000"/>
            </w:tcBorders>
          </w:tcPr>
          <w:p>
            <w:pPr>
              <w:pStyle w:val="TableParagraph"/>
              <w:rPr>
                <w:sz w:val="20"/>
              </w:rPr>
            </w:pPr>
          </w:p>
        </w:tc>
        <w:tc>
          <w:tcPr>
            <w:tcW w:w="7086" w:type="dxa"/>
            <w:tcBorders>
              <w:left w:val="single" w:sz="4" w:space="0" w:color="000000"/>
              <w:bottom w:val="nil"/>
              <w:right w:val="single" w:sz="4" w:space="0" w:color="000000"/>
            </w:tcBorders>
          </w:tcPr>
          <w:p>
            <w:pPr>
              <w:pStyle w:val="TableParagraph"/>
              <w:spacing w:line="255" w:lineRule="exact" w:before="22"/>
              <w:ind w:left="116"/>
              <w:rPr>
                <w:rFonts w:ascii="宋体" w:eastAsia="宋体" w:hint="eastAsia"/>
                <w:sz w:val="21"/>
              </w:rPr>
            </w:pPr>
            <w:r>
              <w:rPr>
                <w:rFonts w:ascii="宋体" w:eastAsia="宋体" w:hint="eastAsia"/>
                <w:sz w:val="21"/>
              </w:rPr>
              <w:t>诺，如出现因本公司及本公司控制或施加重大影响的其他企业违反上述承诺</w:t>
            </w:r>
          </w:p>
        </w:tc>
        <w:tc>
          <w:tcPr>
            <w:tcW w:w="1846" w:type="dxa"/>
            <w:vMerge w:val="restart"/>
            <w:tcBorders>
              <w:left w:val="single" w:sz="4" w:space="0" w:color="000000"/>
              <w:bottom w:val="single" w:sz="4" w:space="0" w:color="000000"/>
              <w:right w:val="single" w:sz="4" w:space="0" w:color="000000"/>
            </w:tcBorders>
          </w:tcPr>
          <w:p>
            <w:pPr>
              <w:pStyle w:val="TableParagraph"/>
              <w:rPr>
                <w:sz w:val="20"/>
              </w:rPr>
            </w:pPr>
          </w:p>
        </w:tc>
        <w:tc>
          <w:tcPr>
            <w:tcW w:w="849" w:type="dxa"/>
            <w:vMerge w:val="restart"/>
            <w:tcBorders>
              <w:left w:val="single" w:sz="4" w:space="0" w:color="000000"/>
              <w:bottom w:val="single" w:sz="4" w:space="0" w:color="000000"/>
              <w:right w:val="single" w:sz="4" w:space="0" w:color="000000"/>
            </w:tcBorders>
          </w:tcPr>
          <w:p>
            <w:pPr>
              <w:pStyle w:val="TableParagraph"/>
              <w:rPr>
                <w:sz w:val="20"/>
              </w:rPr>
            </w:pPr>
          </w:p>
        </w:tc>
        <w:tc>
          <w:tcPr>
            <w:tcW w:w="935" w:type="dxa"/>
            <w:vMerge w:val="restart"/>
            <w:tcBorders>
              <w:left w:val="single" w:sz="4" w:space="0" w:color="000000"/>
              <w:bottom w:val="single" w:sz="4" w:space="0" w:color="000000"/>
            </w:tcBorders>
          </w:tcPr>
          <w:p>
            <w:pPr>
              <w:pStyle w:val="TableParagraph"/>
              <w:rPr>
                <w:sz w:val="20"/>
              </w:rPr>
            </w:pPr>
          </w:p>
        </w:tc>
      </w:tr>
      <w:tr>
        <w:trPr>
          <w:trHeight w:val="281" w:hRule="atLeast"/>
        </w:trPr>
        <w:tc>
          <w:tcPr>
            <w:tcW w:w="836" w:type="dxa"/>
            <w:vMerge/>
            <w:tcBorders>
              <w:top w:val="nil"/>
              <w:right w:val="single" w:sz="4" w:space="0" w:color="000000"/>
            </w:tcBorders>
          </w:tcPr>
          <w:p>
            <w:pPr>
              <w:rPr>
                <w:sz w:val="2"/>
                <w:szCs w:val="2"/>
              </w:rPr>
            </w:pPr>
          </w:p>
        </w:tc>
        <w:tc>
          <w:tcPr>
            <w:tcW w:w="994" w:type="dxa"/>
            <w:vMerge/>
            <w:tcBorders>
              <w:top w:val="nil"/>
              <w:left w:val="single" w:sz="4" w:space="0" w:color="000000"/>
              <w:bottom w:val="single" w:sz="4" w:space="0" w:color="000000"/>
              <w:right w:val="single" w:sz="4" w:space="0" w:color="000000"/>
            </w:tcBorders>
          </w:tcPr>
          <w:p>
            <w:pPr>
              <w:rPr>
                <w:sz w:val="2"/>
                <w:szCs w:val="2"/>
              </w:rPr>
            </w:pPr>
          </w:p>
        </w:tc>
        <w:tc>
          <w:tcPr>
            <w:tcW w:w="1560" w:type="dxa"/>
            <w:vMerge/>
            <w:tcBorders>
              <w:top w:val="nil"/>
              <w:left w:val="single" w:sz="4" w:space="0" w:color="000000"/>
              <w:bottom w:val="single" w:sz="4" w:space="0" w:color="000000"/>
              <w:right w:val="single" w:sz="4" w:space="0" w:color="000000"/>
            </w:tcBorders>
          </w:tcPr>
          <w:p>
            <w:pPr>
              <w:rPr>
                <w:sz w:val="2"/>
                <w:szCs w:val="2"/>
              </w:rPr>
            </w:pPr>
          </w:p>
        </w:tc>
        <w:tc>
          <w:tcPr>
            <w:tcW w:w="7086" w:type="dxa"/>
            <w:tcBorders>
              <w:top w:val="nil"/>
              <w:left w:val="single" w:sz="4" w:space="0" w:color="000000"/>
              <w:bottom w:val="nil"/>
              <w:right w:val="single" w:sz="4" w:space="0" w:color="000000"/>
            </w:tcBorders>
          </w:tcPr>
          <w:p>
            <w:pPr>
              <w:pStyle w:val="TableParagraph"/>
              <w:spacing w:line="255" w:lineRule="exact" w:before="7"/>
              <w:ind w:left="116"/>
              <w:rPr>
                <w:rFonts w:ascii="宋体" w:eastAsia="宋体" w:hint="eastAsia"/>
                <w:sz w:val="21"/>
              </w:rPr>
            </w:pPr>
            <w:r>
              <w:rPr>
                <w:rFonts w:ascii="宋体" w:eastAsia="宋体" w:hint="eastAsia"/>
                <w:sz w:val="21"/>
              </w:rPr>
              <w:t>而导致上市公司的权益受到损害的情况，本公司将依法承担相应的赔偿责</w:t>
            </w:r>
          </w:p>
        </w:tc>
        <w:tc>
          <w:tcPr>
            <w:tcW w:w="1846" w:type="dxa"/>
            <w:vMerge/>
            <w:tcBorders>
              <w:top w:val="nil"/>
              <w:left w:val="single" w:sz="4" w:space="0" w:color="000000"/>
              <w:bottom w:val="single" w:sz="4" w:space="0" w:color="000000"/>
              <w:right w:val="single" w:sz="4" w:space="0" w:color="000000"/>
            </w:tcBorders>
          </w:tcPr>
          <w:p>
            <w:pPr>
              <w:rPr>
                <w:sz w:val="2"/>
                <w:szCs w:val="2"/>
              </w:rPr>
            </w:pPr>
          </w:p>
        </w:tc>
        <w:tc>
          <w:tcPr>
            <w:tcW w:w="849" w:type="dxa"/>
            <w:vMerge/>
            <w:tcBorders>
              <w:top w:val="nil"/>
              <w:left w:val="single" w:sz="4" w:space="0" w:color="000000"/>
              <w:bottom w:val="single" w:sz="4" w:space="0" w:color="000000"/>
              <w:right w:val="single" w:sz="4" w:space="0" w:color="000000"/>
            </w:tcBorders>
          </w:tcPr>
          <w:p>
            <w:pPr>
              <w:rPr>
                <w:sz w:val="2"/>
                <w:szCs w:val="2"/>
              </w:rPr>
            </w:pPr>
          </w:p>
        </w:tc>
        <w:tc>
          <w:tcPr>
            <w:tcW w:w="935" w:type="dxa"/>
            <w:vMerge/>
            <w:tcBorders>
              <w:top w:val="nil"/>
              <w:left w:val="single" w:sz="4" w:space="0" w:color="000000"/>
              <w:bottom w:val="single" w:sz="4" w:space="0" w:color="000000"/>
            </w:tcBorders>
          </w:tcPr>
          <w:p>
            <w:pPr>
              <w:rPr>
                <w:sz w:val="2"/>
                <w:szCs w:val="2"/>
              </w:rPr>
            </w:pPr>
          </w:p>
        </w:tc>
      </w:tr>
      <w:tr>
        <w:trPr>
          <w:trHeight w:val="285" w:hRule="atLeast"/>
        </w:trPr>
        <w:tc>
          <w:tcPr>
            <w:tcW w:w="836" w:type="dxa"/>
            <w:vMerge/>
            <w:tcBorders>
              <w:top w:val="nil"/>
              <w:right w:val="single" w:sz="4" w:space="0" w:color="000000"/>
            </w:tcBorders>
          </w:tcPr>
          <w:p>
            <w:pPr>
              <w:rPr>
                <w:sz w:val="2"/>
                <w:szCs w:val="2"/>
              </w:rPr>
            </w:pPr>
          </w:p>
        </w:tc>
        <w:tc>
          <w:tcPr>
            <w:tcW w:w="994" w:type="dxa"/>
            <w:vMerge/>
            <w:tcBorders>
              <w:top w:val="nil"/>
              <w:left w:val="single" w:sz="4" w:space="0" w:color="000000"/>
              <w:bottom w:val="single" w:sz="4" w:space="0" w:color="000000"/>
              <w:right w:val="single" w:sz="4" w:space="0" w:color="000000"/>
            </w:tcBorders>
          </w:tcPr>
          <w:p>
            <w:pPr>
              <w:rPr>
                <w:sz w:val="2"/>
                <w:szCs w:val="2"/>
              </w:rPr>
            </w:pPr>
          </w:p>
        </w:tc>
        <w:tc>
          <w:tcPr>
            <w:tcW w:w="1560" w:type="dxa"/>
            <w:vMerge/>
            <w:tcBorders>
              <w:top w:val="nil"/>
              <w:left w:val="single" w:sz="4" w:space="0" w:color="000000"/>
              <w:bottom w:val="single" w:sz="4" w:space="0" w:color="000000"/>
              <w:right w:val="single" w:sz="4" w:space="0" w:color="000000"/>
            </w:tcBorders>
          </w:tcPr>
          <w:p>
            <w:pPr>
              <w:rPr>
                <w:sz w:val="2"/>
                <w:szCs w:val="2"/>
              </w:rPr>
            </w:pPr>
          </w:p>
        </w:tc>
        <w:tc>
          <w:tcPr>
            <w:tcW w:w="7086" w:type="dxa"/>
            <w:tcBorders>
              <w:top w:val="nil"/>
              <w:left w:val="single" w:sz="4" w:space="0" w:color="000000"/>
              <w:bottom w:val="single" w:sz="4" w:space="0" w:color="000000"/>
              <w:right w:val="single" w:sz="4" w:space="0" w:color="000000"/>
            </w:tcBorders>
          </w:tcPr>
          <w:p>
            <w:pPr>
              <w:pStyle w:val="TableParagraph"/>
              <w:spacing w:line="259" w:lineRule="exact" w:before="7"/>
              <w:ind w:left="116"/>
              <w:rPr>
                <w:rFonts w:ascii="宋体" w:eastAsia="宋体" w:hint="eastAsia"/>
                <w:sz w:val="21"/>
              </w:rPr>
            </w:pPr>
            <w:r>
              <w:rPr>
                <w:rFonts w:ascii="宋体" w:eastAsia="宋体" w:hint="eastAsia"/>
                <w:sz w:val="21"/>
              </w:rPr>
              <w:t>任。</w:t>
            </w:r>
          </w:p>
        </w:tc>
        <w:tc>
          <w:tcPr>
            <w:tcW w:w="1846" w:type="dxa"/>
            <w:vMerge/>
            <w:tcBorders>
              <w:top w:val="nil"/>
              <w:left w:val="single" w:sz="4" w:space="0" w:color="000000"/>
              <w:bottom w:val="single" w:sz="4" w:space="0" w:color="000000"/>
              <w:right w:val="single" w:sz="4" w:space="0" w:color="000000"/>
            </w:tcBorders>
          </w:tcPr>
          <w:p>
            <w:pPr>
              <w:rPr>
                <w:sz w:val="2"/>
                <w:szCs w:val="2"/>
              </w:rPr>
            </w:pPr>
          </w:p>
        </w:tc>
        <w:tc>
          <w:tcPr>
            <w:tcW w:w="849" w:type="dxa"/>
            <w:vMerge/>
            <w:tcBorders>
              <w:top w:val="nil"/>
              <w:left w:val="single" w:sz="4" w:space="0" w:color="000000"/>
              <w:bottom w:val="single" w:sz="4" w:space="0" w:color="000000"/>
              <w:right w:val="single" w:sz="4" w:space="0" w:color="000000"/>
            </w:tcBorders>
          </w:tcPr>
          <w:p>
            <w:pPr>
              <w:rPr>
                <w:sz w:val="2"/>
                <w:szCs w:val="2"/>
              </w:rPr>
            </w:pPr>
          </w:p>
        </w:tc>
        <w:tc>
          <w:tcPr>
            <w:tcW w:w="935" w:type="dxa"/>
            <w:vMerge/>
            <w:tcBorders>
              <w:top w:val="nil"/>
              <w:left w:val="single" w:sz="4" w:space="0" w:color="000000"/>
              <w:bottom w:val="single" w:sz="4" w:space="0" w:color="000000"/>
            </w:tcBorders>
          </w:tcPr>
          <w:p>
            <w:pPr>
              <w:rPr>
                <w:sz w:val="2"/>
                <w:szCs w:val="2"/>
              </w:rPr>
            </w:pPr>
          </w:p>
        </w:tc>
      </w:tr>
      <w:tr>
        <w:trPr>
          <w:trHeight w:val="1228" w:hRule="atLeast"/>
        </w:trPr>
        <w:tc>
          <w:tcPr>
            <w:tcW w:w="836" w:type="dxa"/>
            <w:vMerge/>
            <w:tcBorders>
              <w:top w:val="nil"/>
              <w:right w:val="single" w:sz="4" w:space="0" w:color="000000"/>
            </w:tcBorders>
          </w:tcPr>
          <w:p>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68"/>
              <w:ind w:left="116" w:right="85"/>
              <w:jc w:val="both"/>
              <w:rPr>
                <w:rFonts w:ascii="宋体" w:eastAsia="宋体" w:hint="eastAsia"/>
                <w:sz w:val="21"/>
              </w:rPr>
            </w:pPr>
            <w:r>
              <w:rPr>
                <w:rFonts w:ascii="宋体" w:eastAsia="宋体" w:hint="eastAsia"/>
                <w:spacing w:val="-16"/>
                <w:sz w:val="21"/>
              </w:rPr>
              <w:t>股 份 减持 相 关</w:t>
            </w:r>
            <w:r>
              <w:rPr>
                <w:rFonts w:ascii="宋体" w:eastAsia="宋体" w:hint="eastAsia"/>
                <w:sz w:val="21"/>
              </w:rPr>
              <w:t>承诺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rPr>
                <w:sz w:val="20"/>
              </w:rPr>
            </w:pPr>
          </w:p>
          <w:p>
            <w:pPr>
              <w:pStyle w:val="TableParagraph"/>
              <w:spacing w:before="9"/>
              <w:rPr>
                <w:sz w:val="21"/>
              </w:rPr>
            </w:pPr>
          </w:p>
          <w:p>
            <w:pPr>
              <w:pStyle w:val="TableParagraph"/>
              <w:ind w:left="116"/>
              <w:rPr>
                <w:rFonts w:ascii="宋体" w:eastAsia="宋体" w:hint="eastAsia"/>
                <w:sz w:val="21"/>
              </w:rPr>
            </w:pPr>
            <w:r>
              <w:rPr>
                <w:rFonts w:ascii="宋体" w:eastAsia="宋体" w:hint="eastAsia"/>
                <w:sz w:val="21"/>
              </w:rPr>
              <w:t>海尔集团公司</w:t>
            </w:r>
          </w:p>
        </w:tc>
        <w:tc>
          <w:tcPr>
            <w:tcW w:w="708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2"/>
              <w:ind w:left="116" w:right="82"/>
              <w:jc w:val="both"/>
              <w:rPr>
                <w:rFonts w:ascii="宋体" w:eastAsia="宋体" w:hint="eastAsia"/>
                <w:sz w:val="21"/>
              </w:rPr>
            </w:pPr>
            <w:r>
              <w:rPr>
                <w:rFonts w:ascii="宋体" w:eastAsia="宋体" w:hint="eastAsia"/>
                <w:spacing w:val="-10"/>
                <w:sz w:val="21"/>
              </w:rPr>
              <w:t>本次交易中，自海尔智家股票复牌之日及本承诺函出具之日间的孰早之日起</w:t>
            </w:r>
            <w:r>
              <w:rPr>
                <w:rFonts w:ascii="宋体" w:eastAsia="宋体" w:hint="eastAsia"/>
                <w:spacing w:val="-9"/>
                <w:sz w:val="21"/>
              </w:rPr>
              <w:t>至本次交易实施完毕期间，本公司不存在减持海尔智家股份的计划。如违反上述承诺，由此给海尔智家或其他投资者造成损失的，本公司承诺向海尔智</w:t>
            </w:r>
          </w:p>
          <w:p>
            <w:pPr>
              <w:pStyle w:val="TableParagraph"/>
              <w:spacing w:line="259" w:lineRule="exact" w:before="1"/>
              <w:ind w:left="116"/>
              <w:rPr>
                <w:rFonts w:ascii="宋体" w:eastAsia="宋体" w:hint="eastAsia"/>
                <w:sz w:val="21"/>
              </w:rPr>
            </w:pPr>
            <w:r>
              <w:rPr>
                <w:rFonts w:ascii="宋体" w:eastAsia="宋体" w:hint="eastAsia"/>
                <w:sz w:val="21"/>
              </w:rPr>
              <w:t>家或其他投资者依法承担赔偿责任。</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68"/>
              <w:ind w:left="116" w:right="-29"/>
              <w:rPr>
                <w:rFonts w:ascii="宋体" w:eastAsia="宋体" w:hint="eastAsia"/>
                <w:sz w:val="21"/>
              </w:rPr>
            </w:pPr>
            <w:r>
              <w:rPr>
                <w:sz w:val="21"/>
              </w:rPr>
              <w:t>2020</w:t>
            </w:r>
            <w:r>
              <w:rPr>
                <w:spacing w:val="-20"/>
                <w:sz w:val="21"/>
              </w:rPr>
              <w:t> </w:t>
            </w:r>
            <w:r>
              <w:rPr>
                <w:rFonts w:ascii="宋体" w:eastAsia="宋体" w:hint="eastAsia"/>
                <w:spacing w:val="31"/>
                <w:sz w:val="21"/>
              </w:rPr>
              <w:t>年</w:t>
            </w:r>
            <w:r>
              <w:rPr>
                <w:sz w:val="21"/>
              </w:rPr>
              <w:t>7</w:t>
            </w:r>
            <w:r>
              <w:rPr>
                <w:spacing w:val="-19"/>
                <w:sz w:val="21"/>
              </w:rPr>
              <w:t> </w:t>
            </w:r>
            <w:r>
              <w:rPr>
                <w:rFonts w:ascii="宋体" w:eastAsia="宋体" w:hint="eastAsia"/>
                <w:spacing w:val="31"/>
                <w:sz w:val="21"/>
              </w:rPr>
              <w:t>月</w:t>
            </w:r>
            <w:r>
              <w:rPr>
                <w:sz w:val="21"/>
              </w:rPr>
              <w:t>29</w:t>
            </w:r>
            <w:r>
              <w:rPr>
                <w:spacing w:val="-22"/>
                <w:sz w:val="21"/>
              </w:rPr>
              <w:t> </w:t>
            </w:r>
            <w:r>
              <w:rPr>
                <w:rFonts w:ascii="宋体" w:eastAsia="宋体" w:hint="eastAsia"/>
                <w:sz w:val="21"/>
              </w:rPr>
              <w:t>日， </w:t>
            </w:r>
            <w:r>
              <w:rPr>
                <w:rFonts w:ascii="宋体" w:eastAsia="宋体" w:hint="eastAsia"/>
                <w:spacing w:val="20"/>
                <w:sz w:val="21"/>
              </w:rPr>
              <w:t>本次交易实施完毕</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rPr>
                <w:sz w:val="20"/>
              </w:rPr>
            </w:pPr>
          </w:p>
          <w:p>
            <w:pPr>
              <w:pStyle w:val="TableParagraph"/>
              <w:spacing w:before="9"/>
              <w:rPr>
                <w:sz w:val="21"/>
              </w:rPr>
            </w:pPr>
          </w:p>
          <w:p>
            <w:pPr>
              <w:pStyle w:val="TableParagraph"/>
              <w:ind w:left="27"/>
              <w:jc w:val="center"/>
              <w:rPr>
                <w:rFonts w:ascii="宋体" w:eastAsia="宋体" w:hint="eastAsia"/>
                <w:sz w:val="21"/>
              </w:rPr>
            </w:pPr>
            <w:r>
              <w:rPr>
                <w:rFonts w:ascii="宋体" w:eastAsia="宋体" w:hint="eastAsia"/>
                <w:w w:val="100"/>
                <w:sz w:val="21"/>
              </w:rPr>
              <w:t>是</w:t>
            </w:r>
          </w:p>
        </w:tc>
        <w:tc>
          <w:tcPr>
            <w:tcW w:w="935" w:type="dxa"/>
            <w:tcBorders>
              <w:top w:val="single" w:sz="4" w:space="0" w:color="000000"/>
              <w:left w:val="single" w:sz="4" w:space="0" w:color="000000"/>
              <w:bottom w:val="single" w:sz="4" w:space="0" w:color="000000"/>
            </w:tcBorders>
          </w:tcPr>
          <w:p>
            <w:pPr>
              <w:pStyle w:val="TableParagraph"/>
              <w:rPr>
                <w:sz w:val="20"/>
              </w:rPr>
            </w:pPr>
          </w:p>
          <w:p>
            <w:pPr>
              <w:pStyle w:val="TableParagraph"/>
              <w:spacing w:before="9"/>
              <w:rPr>
                <w:sz w:val="21"/>
              </w:rPr>
            </w:pPr>
          </w:p>
          <w:p>
            <w:pPr>
              <w:pStyle w:val="TableParagraph"/>
              <w:ind w:left="39"/>
              <w:jc w:val="center"/>
              <w:rPr>
                <w:rFonts w:ascii="宋体" w:eastAsia="宋体" w:hint="eastAsia"/>
                <w:sz w:val="21"/>
              </w:rPr>
            </w:pPr>
            <w:r>
              <w:rPr>
                <w:rFonts w:ascii="宋体" w:eastAsia="宋体" w:hint="eastAsia"/>
                <w:w w:val="100"/>
                <w:sz w:val="21"/>
              </w:rPr>
              <w:t>是</w:t>
            </w:r>
          </w:p>
        </w:tc>
      </w:tr>
      <w:tr>
        <w:trPr>
          <w:trHeight w:val="1229" w:hRule="atLeast"/>
        </w:trPr>
        <w:tc>
          <w:tcPr>
            <w:tcW w:w="836" w:type="dxa"/>
            <w:vMerge/>
            <w:tcBorders>
              <w:top w:val="nil"/>
              <w:right w:val="single" w:sz="4" w:space="0" w:color="000000"/>
            </w:tcBorders>
          </w:tcPr>
          <w:p>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1"/>
              <w:ind w:left="116" w:right="85"/>
              <w:jc w:val="both"/>
              <w:rPr>
                <w:rFonts w:ascii="宋体" w:eastAsia="宋体" w:hint="eastAsia"/>
                <w:sz w:val="21"/>
              </w:rPr>
            </w:pPr>
            <w:r>
              <w:rPr>
                <w:rFonts w:ascii="宋体" w:eastAsia="宋体" w:hint="eastAsia"/>
                <w:spacing w:val="-16"/>
                <w:sz w:val="21"/>
              </w:rPr>
              <w:t>股 份 减持 相 关</w:t>
            </w:r>
            <w:r>
              <w:rPr>
                <w:rFonts w:ascii="宋体" w:eastAsia="宋体" w:hint="eastAsia"/>
                <w:sz w:val="21"/>
              </w:rPr>
              <w:t>承诺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1"/>
              <w:ind w:left="116" w:right="85"/>
              <w:jc w:val="both"/>
              <w:rPr>
                <w:rFonts w:ascii="宋体" w:eastAsia="宋体" w:hint="eastAsia"/>
                <w:sz w:val="21"/>
              </w:rPr>
            </w:pPr>
            <w:r>
              <w:rPr>
                <w:rFonts w:ascii="宋体" w:eastAsia="宋体" w:hint="eastAsia"/>
                <w:sz w:val="21"/>
              </w:rPr>
              <w:t>青岛海尔创业投资咨询有限公司</w:t>
            </w:r>
          </w:p>
        </w:tc>
        <w:tc>
          <w:tcPr>
            <w:tcW w:w="708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5"/>
              <w:ind w:left="116" w:right="82"/>
              <w:jc w:val="both"/>
              <w:rPr>
                <w:rFonts w:ascii="宋体" w:eastAsia="宋体" w:hint="eastAsia"/>
                <w:sz w:val="21"/>
              </w:rPr>
            </w:pPr>
            <w:r>
              <w:rPr>
                <w:rFonts w:ascii="宋体" w:eastAsia="宋体" w:hint="eastAsia"/>
                <w:spacing w:val="-10"/>
                <w:sz w:val="21"/>
              </w:rPr>
              <w:t>本次交易中，自海尔智家股票复牌之日及本承诺函出具之日间的孰早之日起</w:t>
            </w:r>
            <w:r>
              <w:rPr>
                <w:rFonts w:ascii="宋体" w:eastAsia="宋体" w:hint="eastAsia"/>
                <w:spacing w:val="-9"/>
                <w:sz w:val="21"/>
              </w:rPr>
              <w:t>至本次交易实施完毕期间，本公司不存在减持海尔智家股份的计划。如违反上述承诺，由此给海尔智家或其他投资者造成损失的，本公司承诺向海尔智</w:t>
            </w:r>
          </w:p>
          <w:p>
            <w:pPr>
              <w:pStyle w:val="TableParagraph"/>
              <w:spacing w:line="259" w:lineRule="exact"/>
              <w:ind w:left="116"/>
              <w:rPr>
                <w:rFonts w:ascii="宋体" w:eastAsia="宋体" w:hint="eastAsia"/>
                <w:sz w:val="21"/>
              </w:rPr>
            </w:pPr>
            <w:r>
              <w:rPr>
                <w:rFonts w:ascii="宋体" w:eastAsia="宋体" w:hint="eastAsia"/>
                <w:sz w:val="21"/>
              </w:rPr>
              <w:t>家或其他投资者依法承担赔偿责任。</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1"/>
              <w:ind w:left="116" w:right="-29"/>
              <w:rPr>
                <w:rFonts w:ascii="宋体" w:eastAsia="宋体" w:hint="eastAsia"/>
                <w:sz w:val="21"/>
              </w:rPr>
            </w:pPr>
            <w:r>
              <w:rPr>
                <w:sz w:val="21"/>
              </w:rPr>
              <w:t>2020</w:t>
            </w:r>
            <w:r>
              <w:rPr>
                <w:spacing w:val="-20"/>
                <w:sz w:val="21"/>
              </w:rPr>
              <w:t> </w:t>
            </w:r>
            <w:r>
              <w:rPr>
                <w:rFonts w:ascii="宋体" w:eastAsia="宋体" w:hint="eastAsia"/>
                <w:spacing w:val="31"/>
                <w:sz w:val="21"/>
              </w:rPr>
              <w:t>年</w:t>
            </w:r>
            <w:r>
              <w:rPr>
                <w:sz w:val="21"/>
              </w:rPr>
              <w:t>7</w:t>
            </w:r>
            <w:r>
              <w:rPr>
                <w:spacing w:val="-19"/>
                <w:sz w:val="21"/>
              </w:rPr>
              <w:t> </w:t>
            </w:r>
            <w:r>
              <w:rPr>
                <w:rFonts w:ascii="宋体" w:eastAsia="宋体" w:hint="eastAsia"/>
                <w:spacing w:val="31"/>
                <w:sz w:val="21"/>
              </w:rPr>
              <w:t>月</w:t>
            </w:r>
            <w:r>
              <w:rPr>
                <w:sz w:val="21"/>
              </w:rPr>
              <w:t>29</w:t>
            </w:r>
            <w:r>
              <w:rPr>
                <w:spacing w:val="-22"/>
                <w:sz w:val="21"/>
              </w:rPr>
              <w:t> </w:t>
            </w:r>
            <w:r>
              <w:rPr>
                <w:rFonts w:ascii="宋体" w:eastAsia="宋体" w:hint="eastAsia"/>
                <w:sz w:val="21"/>
              </w:rPr>
              <w:t>日， </w:t>
            </w:r>
            <w:r>
              <w:rPr>
                <w:rFonts w:ascii="宋体" w:eastAsia="宋体" w:hint="eastAsia"/>
                <w:spacing w:val="20"/>
                <w:sz w:val="21"/>
              </w:rPr>
              <w:t>本次交易实施完毕</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rPr>
                <w:sz w:val="20"/>
              </w:rPr>
            </w:pPr>
          </w:p>
          <w:p>
            <w:pPr>
              <w:pStyle w:val="TableParagraph"/>
              <w:rPr>
                <w:sz w:val="22"/>
              </w:rPr>
            </w:pPr>
          </w:p>
          <w:p>
            <w:pPr>
              <w:pStyle w:val="TableParagraph"/>
              <w:ind w:left="27"/>
              <w:jc w:val="center"/>
              <w:rPr>
                <w:rFonts w:ascii="宋体" w:eastAsia="宋体" w:hint="eastAsia"/>
                <w:sz w:val="21"/>
              </w:rPr>
            </w:pPr>
            <w:r>
              <w:rPr>
                <w:rFonts w:ascii="宋体" w:eastAsia="宋体" w:hint="eastAsia"/>
                <w:w w:val="100"/>
                <w:sz w:val="21"/>
              </w:rPr>
              <w:t>是</w:t>
            </w:r>
          </w:p>
        </w:tc>
        <w:tc>
          <w:tcPr>
            <w:tcW w:w="935" w:type="dxa"/>
            <w:tcBorders>
              <w:top w:val="single" w:sz="4" w:space="0" w:color="000000"/>
              <w:left w:val="single" w:sz="4" w:space="0" w:color="000000"/>
              <w:bottom w:val="single" w:sz="4" w:space="0" w:color="000000"/>
            </w:tcBorders>
          </w:tcPr>
          <w:p>
            <w:pPr>
              <w:pStyle w:val="TableParagraph"/>
              <w:rPr>
                <w:sz w:val="20"/>
              </w:rPr>
            </w:pPr>
          </w:p>
          <w:p>
            <w:pPr>
              <w:pStyle w:val="TableParagraph"/>
              <w:rPr>
                <w:sz w:val="22"/>
              </w:rPr>
            </w:pPr>
          </w:p>
          <w:p>
            <w:pPr>
              <w:pStyle w:val="TableParagraph"/>
              <w:ind w:left="39"/>
              <w:jc w:val="center"/>
              <w:rPr>
                <w:rFonts w:ascii="宋体" w:eastAsia="宋体" w:hint="eastAsia"/>
                <w:sz w:val="21"/>
              </w:rPr>
            </w:pPr>
            <w:r>
              <w:rPr>
                <w:rFonts w:ascii="宋体" w:eastAsia="宋体" w:hint="eastAsia"/>
                <w:w w:val="100"/>
                <w:sz w:val="21"/>
              </w:rPr>
              <w:t>是</w:t>
            </w:r>
          </w:p>
        </w:tc>
      </w:tr>
      <w:tr>
        <w:trPr>
          <w:trHeight w:val="1228" w:hRule="atLeast"/>
        </w:trPr>
        <w:tc>
          <w:tcPr>
            <w:tcW w:w="836" w:type="dxa"/>
            <w:vMerge/>
            <w:tcBorders>
              <w:top w:val="nil"/>
              <w:right w:val="single" w:sz="4" w:space="0" w:color="000000"/>
            </w:tcBorders>
          </w:tcPr>
          <w:p>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68"/>
              <w:ind w:left="116" w:right="85"/>
              <w:jc w:val="both"/>
              <w:rPr>
                <w:rFonts w:ascii="宋体" w:eastAsia="宋体" w:hint="eastAsia"/>
                <w:sz w:val="21"/>
              </w:rPr>
            </w:pPr>
            <w:r>
              <w:rPr>
                <w:rFonts w:ascii="宋体" w:eastAsia="宋体" w:hint="eastAsia"/>
                <w:spacing w:val="-16"/>
                <w:sz w:val="21"/>
              </w:rPr>
              <w:t>股 份 减持 相 关</w:t>
            </w:r>
            <w:r>
              <w:rPr>
                <w:rFonts w:ascii="宋体" w:eastAsia="宋体" w:hint="eastAsia"/>
                <w:sz w:val="21"/>
              </w:rPr>
              <w:t>承诺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68"/>
              <w:ind w:left="116" w:right="85"/>
              <w:rPr>
                <w:rFonts w:ascii="宋体" w:eastAsia="宋体" w:hint="eastAsia"/>
                <w:sz w:val="21"/>
              </w:rPr>
            </w:pPr>
            <w:r>
              <w:rPr>
                <w:rFonts w:ascii="宋体" w:eastAsia="宋体" w:hint="eastAsia"/>
                <w:spacing w:val="9"/>
                <w:sz w:val="21"/>
              </w:rPr>
              <w:t>青岛海创智管</w:t>
            </w:r>
            <w:r>
              <w:rPr>
                <w:rFonts w:ascii="宋体" w:eastAsia="宋体" w:hint="eastAsia"/>
                <w:spacing w:val="-18"/>
                <w:sz w:val="21"/>
              </w:rPr>
              <w:t>理 咨 询 企 业</w:t>
            </w:r>
          </w:p>
          <w:p>
            <w:pPr>
              <w:pStyle w:val="TableParagraph"/>
              <w:ind w:left="116"/>
              <w:rPr>
                <w:rFonts w:ascii="宋体" w:eastAsia="宋体" w:hint="eastAsia"/>
                <w:sz w:val="21"/>
              </w:rPr>
            </w:pPr>
            <w:r>
              <w:rPr>
                <w:rFonts w:ascii="宋体" w:eastAsia="宋体" w:hint="eastAsia"/>
                <w:sz w:val="21"/>
              </w:rPr>
              <w:t>（</w:t>
            </w:r>
            <w:r>
              <w:rPr>
                <w:rFonts w:ascii="宋体" w:eastAsia="宋体" w:hint="eastAsia"/>
                <w:spacing w:val="-3"/>
                <w:sz w:val="21"/>
              </w:rPr>
              <w:t>有限合伙</w:t>
            </w:r>
            <w:r>
              <w:rPr>
                <w:rFonts w:ascii="宋体" w:eastAsia="宋体" w:hint="eastAsia"/>
                <w:sz w:val="21"/>
              </w:rPr>
              <w:t>）</w:t>
            </w:r>
          </w:p>
        </w:tc>
        <w:tc>
          <w:tcPr>
            <w:tcW w:w="708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2"/>
              <w:ind w:left="116" w:right="82"/>
              <w:jc w:val="both"/>
              <w:rPr>
                <w:rFonts w:ascii="宋体" w:eastAsia="宋体" w:hint="eastAsia"/>
                <w:sz w:val="21"/>
              </w:rPr>
            </w:pPr>
            <w:r>
              <w:rPr>
                <w:rFonts w:ascii="宋体" w:eastAsia="宋体" w:hint="eastAsia"/>
                <w:spacing w:val="-10"/>
                <w:sz w:val="21"/>
              </w:rPr>
              <w:t>本次交易中，自海尔智家股票复牌之日及本承诺函出具之日间的孰早之日起</w:t>
            </w:r>
            <w:r>
              <w:rPr>
                <w:rFonts w:ascii="宋体" w:eastAsia="宋体" w:hint="eastAsia"/>
                <w:spacing w:val="-9"/>
                <w:sz w:val="21"/>
              </w:rPr>
              <w:t>至本次交易实施完毕期间，本公司不存在减持海尔智家股份的计划。如违反上述承诺，由此给海尔智家或其他投资者造成损失的，本公司承诺向海尔智</w:t>
            </w:r>
          </w:p>
          <w:p>
            <w:pPr>
              <w:pStyle w:val="TableParagraph"/>
              <w:spacing w:line="259" w:lineRule="exact"/>
              <w:ind w:left="116"/>
              <w:rPr>
                <w:rFonts w:ascii="宋体" w:eastAsia="宋体" w:hint="eastAsia"/>
                <w:sz w:val="21"/>
              </w:rPr>
            </w:pPr>
            <w:r>
              <w:rPr>
                <w:rFonts w:ascii="宋体" w:eastAsia="宋体" w:hint="eastAsia"/>
                <w:sz w:val="21"/>
              </w:rPr>
              <w:t>家或其他投资者依法承担赔偿责任。</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68"/>
              <w:ind w:left="116" w:right="-29"/>
              <w:rPr>
                <w:rFonts w:ascii="宋体" w:eastAsia="宋体" w:hint="eastAsia"/>
                <w:sz w:val="21"/>
              </w:rPr>
            </w:pPr>
            <w:r>
              <w:rPr>
                <w:sz w:val="21"/>
              </w:rPr>
              <w:t>2020</w:t>
            </w:r>
            <w:r>
              <w:rPr>
                <w:spacing w:val="-20"/>
                <w:sz w:val="21"/>
              </w:rPr>
              <w:t> </w:t>
            </w:r>
            <w:r>
              <w:rPr>
                <w:rFonts w:ascii="宋体" w:eastAsia="宋体" w:hint="eastAsia"/>
                <w:spacing w:val="31"/>
                <w:sz w:val="21"/>
              </w:rPr>
              <w:t>年</w:t>
            </w:r>
            <w:r>
              <w:rPr>
                <w:sz w:val="21"/>
              </w:rPr>
              <w:t>7</w:t>
            </w:r>
            <w:r>
              <w:rPr>
                <w:spacing w:val="-19"/>
                <w:sz w:val="21"/>
              </w:rPr>
              <w:t> </w:t>
            </w:r>
            <w:r>
              <w:rPr>
                <w:rFonts w:ascii="宋体" w:eastAsia="宋体" w:hint="eastAsia"/>
                <w:spacing w:val="31"/>
                <w:sz w:val="21"/>
              </w:rPr>
              <w:t>月</w:t>
            </w:r>
            <w:r>
              <w:rPr>
                <w:sz w:val="21"/>
              </w:rPr>
              <w:t>29</w:t>
            </w:r>
            <w:r>
              <w:rPr>
                <w:spacing w:val="-22"/>
                <w:sz w:val="21"/>
              </w:rPr>
              <w:t> </w:t>
            </w:r>
            <w:r>
              <w:rPr>
                <w:rFonts w:ascii="宋体" w:eastAsia="宋体" w:hint="eastAsia"/>
                <w:sz w:val="21"/>
              </w:rPr>
              <w:t>日， </w:t>
            </w:r>
            <w:r>
              <w:rPr>
                <w:rFonts w:ascii="宋体" w:eastAsia="宋体" w:hint="eastAsia"/>
                <w:spacing w:val="20"/>
                <w:sz w:val="21"/>
              </w:rPr>
              <w:t>本次交易实施完毕</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rPr>
                <w:sz w:val="20"/>
              </w:rPr>
            </w:pPr>
          </w:p>
          <w:p>
            <w:pPr>
              <w:pStyle w:val="TableParagraph"/>
              <w:spacing w:before="9"/>
              <w:rPr>
                <w:sz w:val="21"/>
              </w:rPr>
            </w:pPr>
          </w:p>
          <w:p>
            <w:pPr>
              <w:pStyle w:val="TableParagraph"/>
              <w:ind w:left="27"/>
              <w:jc w:val="center"/>
              <w:rPr>
                <w:rFonts w:ascii="宋体" w:eastAsia="宋体" w:hint="eastAsia"/>
                <w:sz w:val="21"/>
              </w:rPr>
            </w:pPr>
            <w:r>
              <w:rPr>
                <w:rFonts w:ascii="宋体" w:eastAsia="宋体" w:hint="eastAsia"/>
                <w:w w:val="100"/>
                <w:sz w:val="21"/>
              </w:rPr>
              <w:t>是</w:t>
            </w:r>
          </w:p>
        </w:tc>
        <w:tc>
          <w:tcPr>
            <w:tcW w:w="935" w:type="dxa"/>
            <w:tcBorders>
              <w:top w:val="single" w:sz="4" w:space="0" w:color="000000"/>
              <w:left w:val="single" w:sz="4" w:space="0" w:color="000000"/>
              <w:bottom w:val="single" w:sz="4" w:space="0" w:color="000000"/>
            </w:tcBorders>
          </w:tcPr>
          <w:p>
            <w:pPr>
              <w:pStyle w:val="TableParagraph"/>
              <w:rPr>
                <w:sz w:val="20"/>
              </w:rPr>
            </w:pPr>
          </w:p>
          <w:p>
            <w:pPr>
              <w:pStyle w:val="TableParagraph"/>
              <w:spacing w:before="9"/>
              <w:rPr>
                <w:sz w:val="21"/>
              </w:rPr>
            </w:pPr>
          </w:p>
          <w:p>
            <w:pPr>
              <w:pStyle w:val="TableParagraph"/>
              <w:ind w:left="39"/>
              <w:jc w:val="center"/>
              <w:rPr>
                <w:rFonts w:ascii="宋体" w:eastAsia="宋体" w:hint="eastAsia"/>
                <w:sz w:val="21"/>
              </w:rPr>
            </w:pPr>
            <w:r>
              <w:rPr>
                <w:rFonts w:ascii="宋体" w:eastAsia="宋体" w:hint="eastAsia"/>
                <w:w w:val="100"/>
                <w:sz w:val="21"/>
              </w:rPr>
              <w:t>是</w:t>
            </w:r>
          </w:p>
        </w:tc>
      </w:tr>
      <w:tr>
        <w:trPr>
          <w:trHeight w:val="2784" w:hRule="atLeast"/>
        </w:trPr>
        <w:tc>
          <w:tcPr>
            <w:tcW w:w="836" w:type="dxa"/>
            <w:vMerge/>
            <w:tcBorders>
              <w:top w:val="nil"/>
              <w:right w:val="single" w:sz="4" w:space="0" w:color="000000"/>
            </w:tcBorders>
          </w:tcPr>
          <w:p>
            <w:pPr>
              <w:rPr>
                <w:sz w:val="2"/>
                <w:szCs w:val="2"/>
              </w:rPr>
            </w:pPr>
          </w:p>
        </w:tc>
        <w:tc>
          <w:tcPr>
            <w:tcW w:w="994" w:type="dxa"/>
            <w:tcBorders>
              <w:top w:val="single" w:sz="4" w:space="0" w:color="000000"/>
              <w:left w:val="single" w:sz="4" w:space="0" w:color="000000"/>
              <w:bottom w:val="nil"/>
              <w:right w:val="single" w:sz="4"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8"/>
              <w:ind w:left="116"/>
              <w:rPr>
                <w:rFonts w:ascii="宋体" w:eastAsia="宋体" w:hint="eastAsia"/>
                <w:sz w:val="21"/>
              </w:rPr>
            </w:pPr>
            <w:r>
              <w:rPr>
                <w:rFonts w:ascii="宋体" w:eastAsia="宋体" w:hint="eastAsia"/>
                <w:sz w:val="21"/>
              </w:rPr>
              <w:t>其他</w:t>
            </w:r>
          </w:p>
        </w:tc>
        <w:tc>
          <w:tcPr>
            <w:tcW w:w="1560" w:type="dxa"/>
            <w:tcBorders>
              <w:top w:val="single" w:sz="4" w:space="0" w:color="000000"/>
              <w:left w:val="single" w:sz="4" w:space="0" w:color="000000"/>
              <w:bottom w:val="nil"/>
              <w:right w:val="single" w:sz="4" w:space="0" w:color="000000"/>
            </w:tcBorders>
          </w:tcPr>
          <w:p>
            <w:pPr>
              <w:pStyle w:val="TableParagraph"/>
              <w:rPr>
                <w:sz w:val="22"/>
              </w:rPr>
            </w:pPr>
          </w:p>
          <w:p>
            <w:pPr>
              <w:pStyle w:val="TableParagraph"/>
              <w:rPr>
                <w:sz w:val="22"/>
              </w:rPr>
            </w:pPr>
          </w:p>
          <w:p>
            <w:pPr>
              <w:pStyle w:val="TableParagraph"/>
              <w:rPr>
                <w:sz w:val="22"/>
              </w:rPr>
            </w:pPr>
          </w:p>
          <w:p>
            <w:pPr>
              <w:pStyle w:val="TableParagraph"/>
              <w:rPr>
                <w:sz w:val="31"/>
              </w:rPr>
            </w:pPr>
          </w:p>
          <w:p>
            <w:pPr>
              <w:pStyle w:val="TableParagraph"/>
              <w:tabs>
                <w:tab w:pos="1018" w:val="left" w:leader="none"/>
                <w:tab w:pos="1063" w:val="left" w:leader="none"/>
              </w:tabs>
              <w:spacing w:line="309" w:lineRule="auto"/>
              <w:ind w:left="116" w:right="85"/>
              <w:rPr>
                <w:sz w:val="21"/>
              </w:rPr>
            </w:pPr>
            <w:r>
              <w:rPr>
                <w:sz w:val="21"/>
              </w:rPr>
              <w:t>HCH</w:t>
              <w:tab/>
            </w:r>
            <w:r>
              <w:rPr>
                <w:spacing w:val="-6"/>
                <w:sz w:val="21"/>
              </w:rPr>
              <w:t>(HK) </w:t>
            </w:r>
            <w:r>
              <w:rPr>
                <w:spacing w:val="-1"/>
                <w:sz w:val="21"/>
              </w:rPr>
              <w:t>INVESTMENT </w:t>
            </w:r>
            <w:r>
              <w:rPr>
                <w:sz w:val="21"/>
              </w:rPr>
              <w:t>MANAGEME NT</w:t>
              <w:tab/>
              <w:tab/>
            </w:r>
            <w:r>
              <w:rPr>
                <w:spacing w:val="-5"/>
                <w:sz w:val="21"/>
              </w:rPr>
              <w:t>CO., </w:t>
            </w:r>
            <w:r>
              <w:rPr>
                <w:sz w:val="21"/>
              </w:rPr>
              <w:t>LIMITED</w:t>
            </w:r>
          </w:p>
        </w:tc>
        <w:tc>
          <w:tcPr>
            <w:tcW w:w="7086" w:type="dxa"/>
            <w:tcBorders>
              <w:top w:val="single" w:sz="4" w:space="0" w:color="000000"/>
              <w:left w:val="single" w:sz="4" w:space="0" w:color="000000"/>
              <w:bottom w:val="nil"/>
              <w:right w:val="single" w:sz="4" w:space="0" w:color="000000"/>
            </w:tcBorders>
          </w:tcPr>
          <w:p>
            <w:pPr>
              <w:pStyle w:val="TableParagraph"/>
              <w:spacing w:line="278" w:lineRule="auto" w:before="12"/>
              <w:ind w:left="116" w:right="82"/>
              <w:jc w:val="both"/>
              <w:rPr>
                <w:rFonts w:ascii="宋体" w:eastAsia="宋体" w:hint="eastAsia"/>
                <w:sz w:val="21"/>
              </w:rPr>
            </w:pPr>
            <w:r>
              <w:rPr>
                <w:sz w:val="21"/>
              </w:rPr>
              <w:t>1</w:t>
            </w:r>
            <w:r>
              <w:rPr>
                <w:rFonts w:ascii="宋体" w:eastAsia="宋体" w:hint="eastAsia"/>
                <w:spacing w:val="-3"/>
                <w:sz w:val="21"/>
              </w:rPr>
              <w:t>、本公司合法持有标的股份，本公司具有标的股份完整的所有权，标的股份上不存在权利限制或任何可能影响本次交易要约或交割的情形。</w:t>
            </w:r>
            <w:r>
              <w:rPr>
                <w:sz w:val="21"/>
              </w:rPr>
              <w:t>2</w:t>
            </w:r>
            <w:r>
              <w:rPr>
                <w:rFonts w:ascii="宋体" w:eastAsia="宋体" w:hint="eastAsia"/>
                <w:spacing w:val="-2"/>
                <w:sz w:val="21"/>
              </w:rPr>
              <w:t>、本公</w:t>
            </w:r>
            <w:r>
              <w:rPr>
                <w:rFonts w:ascii="宋体" w:eastAsia="宋体" w:hint="eastAsia"/>
                <w:spacing w:val="-7"/>
                <w:sz w:val="21"/>
              </w:rPr>
              <w:t>司拥有参与本次交易的完整权利，有权就本次交易接受要约，有权签署并履</w:t>
            </w:r>
            <w:r>
              <w:rPr>
                <w:rFonts w:ascii="宋体" w:eastAsia="宋体" w:hint="eastAsia"/>
                <w:spacing w:val="-5"/>
                <w:sz w:val="21"/>
              </w:rPr>
              <w:t>行本次交易涉及的全部协议和文件。</w:t>
            </w:r>
            <w:r>
              <w:rPr>
                <w:sz w:val="21"/>
              </w:rPr>
              <w:t>3</w:t>
            </w:r>
            <w:r>
              <w:rPr>
                <w:rFonts w:ascii="宋体" w:eastAsia="宋体" w:hint="eastAsia"/>
                <w:spacing w:val="-3"/>
                <w:sz w:val="21"/>
              </w:rPr>
              <w:t>、本公司将拟作为协议安排计划股东参与本次交易。</w:t>
            </w:r>
            <w:r>
              <w:rPr>
                <w:sz w:val="21"/>
              </w:rPr>
              <w:t>4</w:t>
            </w:r>
            <w:r>
              <w:rPr>
                <w:rFonts w:ascii="宋体" w:eastAsia="宋体" w:hint="eastAsia"/>
                <w:spacing w:val="-3"/>
                <w:sz w:val="21"/>
              </w:rPr>
              <w:t>、除非海尔电器私有化完成或海尔智家宣布终止私有化， </w:t>
            </w:r>
            <w:r>
              <w:rPr>
                <w:rFonts w:ascii="宋体" w:eastAsia="宋体" w:hint="eastAsia"/>
                <w:spacing w:val="-6"/>
                <w:sz w:val="21"/>
              </w:rPr>
              <w:t>除与海尔智家及其指定的主体的交易外，自本确认函出具之日，本公司不会</w:t>
            </w:r>
            <w:r>
              <w:rPr>
                <w:rFonts w:ascii="宋体" w:eastAsia="宋体" w:hint="eastAsia"/>
                <w:spacing w:val="-10"/>
                <w:sz w:val="21"/>
              </w:rPr>
              <w:t>出售标的股份，不会与任何第三方达成任何有关标的股份或其权益的处置安</w:t>
            </w:r>
            <w:r>
              <w:rPr>
                <w:rFonts w:ascii="宋体" w:eastAsia="宋体" w:hint="eastAsia"/>
                <w:spacing w:val="-5"/>
                <w:sz w:val="21"/>
              </w:rPr>
              <w:t>排，不会在标的股份上设置质押等任何权利限制。</w:t>
            </w:r>
            <w:r>
              <w:rPr>
                <w:spacing w:val="-3"/>
                <w:sz w:val="21"/>
              </w:rPr>
              <w:t>5</w:t>
            </w:r>
            <w:r>
              <w:rPr>
                <w:rFonts w:ascii="宋体" w:eastAsia="宋体" w:hint="eastAsia"/>
                <w:spacing w:val="-3"/>
                <w:sz w:val="21"/>
              </w:rPr>
              <w:t>、除非海尔电器私有化</w:t>
            </w:r>
          </w:p>
          <w:p>
            <w:pPr>
              <w:pStyle w:val="TableParagraph"/>
              <w:spacing w:line="255" w:lineRule="exact"/>
              <w:ind w:left="116"/>
              <w:rPr>
                <w:rFonts w:ascii="宋体" w:eastAsia="宋体" w:hint="eastAsia"/>
                <w:sz w:val="21"/>
              </w:rPr>
            </w:pPr>
            <w:r>
              <w:rPr>
                <w:rFonts w:ascii="宋体" w:eastAsia="宋体" w:hint="eastAsia"/>
                <w:sz w:val="21"/>
              </w:rPr>
              <w:t>完成或海尔智家宣布终止私有化，除参与和推进本次交易外，本公司不会增</w:t>
            </w:r>
          </w:p>
        </w:tc>
        <w:tc>
          <w:tcPr>
            <w:tcW w:w="1846" w:type="dxa"/>
            <w:tcBorders>
              <w:top w:val="single" w:sz="4" w:space="0" w:color="000000"/>
              <w:left w:val="single" w:sz="4" w:space="0" w:color="000000"/>
              <w:bottom w:val="nil"/>
              <w:right w:val="single" w:sz="4"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29"/>
              </w:rPr>
            </w:pPr>
          </w:p>
          <w:p>
            <w:pPr>
              <w:pStyle w:val="TableParagraph"/>
              <w:spacing w:line="278" w:lineRule="auto"/>
              <w:ind w:left="116" w:right="-29"/>
              <w:rPr>
                <w:rFonts w:ascii="宋体" w:eastAsia="宋体" w:hint="eastAsia"/>
                <w:sz w:val="21"/>
              </w:rPr>
            </w:pPr>
            <w:r>
              <w:rPr>
                <w:sz w:val="21"/>
              </w:rPr>
              <w:t>2020</w:t>
            </w:r>
            <w:r>
              <w:rPr>
                <w:spacing w:val="-20"/>
                <w:sz w:val="21"/>
              </w:rPr>
              <w:t> </w:t>
            </w:r>
            <w:r>
              <w:rPr>
                <w:rFonts w:ascii="宋体" w:eastAsia="宋体" w:hint="eastAsia"/>
                <w:spacing w:val="31"/>
                <w:sz w:val="21"/>
              </w:rPr>
              <w:t>年</w:t>
            </w:r>
            <w:r>
              <w:rPr>
                <w:sz w:val="21"/>
              </w:rPr>
              <w:t>7</w:t>
            </w:r>
            <w:r>
              <w:rPr>
                <w:spacing w:val="-19"/>
                <w:sz w:val="21"/>
              </w:rPr>
              <w:t> </w:t>
            </w:r>
            <w:r>
              <w:rPr>
                <w:rFonts w:ascii="宋体" w:eastAsia="宋体" w:hint="eastAsia"/>
                <w:spacing w:val="31"/>
                <w:sz w:val="21"/>
              </w:rPr>
              <w:t>月</w:t>
            </w:r>
            <w:r>
              <w:rPr>
                <w:sz w:val="21"/>
              </w:rPr>
              <w:t>29</w:t>
            </w:r>
            <w:r>
              <w:rPr>
                <w:spacing w:val="-22"/>
                <w:sz w:val="21"/>
              </w:rPr>
              <w:t> </w:t>
            </w:r>
            <w:r>
              <w:rPr>
                <w:rFonts w:ascii="宋体" w:eastAsia="宋体" w:hint="eastAsia"/>
                <w:sz w:val="21"/>
              </w:rPr>
              <w:t>日， </w:t>
            </w:r>
            <w:r>
              <w:rPr>
                <w:rFonts w:ascii="宋体" w:eastAsia="宋体" w:hint="eastAsia"/>
                <w:spacing w:val="20"/>
                <w:sz w:val="21"/>
              </w:rPr>
              <w:t>私有化事宜终止</w:t>
            </w:r>
          </w:p>
          <w:p>
            <w:pPr>
              <w:pStyle w:val="TableParagraph"/>
              <w:spacing w:line="278" w:lineRule="auto"/>
              <w:ind w:left="116" w:right="86"/>
              <w:rPr>
                <w:rFonts w:ascii="宋体" w:eastAsia="宋体" w:hint="eastAsia"/>
                <w:sz w:val="21"/>
              </w:rPr>
            </w:pPr>
            <w:r>
              <w:rPr>
                <w:sz w:val="21"/>
              </w:rPr>
              <w:t>/H </w:t>
            </w:r>
            <w:r>
              <w:rPr>
                <w:rFonts w:ascii="宋体" w:eastAsia="宋体" w:hint="eastAsia"/>
                <w:spacing w:val="-6"/>
                <w:sz w:val="21"/>
              </w:rPr>
              <w:t>股上市后 </w:t>
            </w:r>
            <w:r>
              <w:rPr>
                <w:sz w:val="21"/>
              </w:rPr>
              <w:t>6 </w:t>
            </w:r>
            <w:r>
              <w:rPr>
                <w:rFonts w:ascii="宋体" w:eastAsia="宋体" w:hint="eastAsia"/>
                <w:spacing w:val="-14"/>
                <w:sz w:val="21"/>
              </w:rPr>
              <w:t>个</w:t>
            </w:r>
            <w:r>
              <w:rPr>
                <w:rFonts w:ascii="宋体" w:eastAsia="宋体" w:hint="eastAsia"/>
                <w:sz w:val="21"/>
              </w:rPr>
              <w:t>月</w:t>
            </w:r>
          </w:p>
        </w:tc>
        <w:tc>
          <w:tcPr>
            <w:tcW w:w="849" w:type="dxa"/>
            <w:tcBorders>
              <w:top w:val="single" w:sz="4" w:space="0" w:color="000000"/>
              <w:left w:val="single" w:sz="4" w:space="0" w:color="000000"/>
              <w:bottom w:val="nil"/>
              <w:right w:val="single" w:sz="4"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8"/>
              <w:ind w:left="27"/>
              <w:jc w:val="center"/>
              <w:rPr>
                <w:rFonts w:ascii="宋体" w:eastAsia="宋体" w:hint="eastAsia"/>
                <w:sz w:val="21"/>
              </w:rPr>
            </w:pPr>
            <w:r>
              <w:rPr>
                <w:rFonts w:ascii="宋体" w:eastAsia="宋体" w:hint="eastAsia"/>
                <w:w w:val="100"/>
                <w:sz w:val="21"/>
              </w:rPr>
              <w:t>是</w:t>
            </w:r>
          </w:p>
        </w:tc>
        <w:tc>
          <w:tcPr>
            <w:tcW w:w="935" w:type="dxa"/>
            <w:tcBorders>
              <w:top w:val="single" w:sz="4" w:space="0" w:color="000000"/>
              <w:left w:val="single" w:sz="4" w:space="0" w:color="000000"/>
              <w:bottom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8"/>
              <w:ind w:left="39"/>
              <w:jc w:val="center"/>
              <w:rPr>
                <w:rFonts w:ascii="宋体" w:eastAsia="宋体" w:hint="eastAsia"/>
                <w:sz w:val="21"/>
              </w:rPr>
            </w:pPr>
            <w:r>
              <w:rPr>
                <w:rFonts w:ascii="宋体" w:eastAsia="宋体" w:hint="eastAsia"/>
                <w:w w:val="100"/>
                <w:sz w:val="21"/>
              </w:rPr>
              <w:t>是</w:t>
            </w:r>
          </w:p>
        </w:tc>
      </w:tr>
      <w:tr>
        <w:trPr>
          <w:trHeight w:val="281" w:hRule="atLeast"/>
        </w:trPr>
        <w:tc>
          <w:tcPr>
            <w:tcW w:w="836" w:type="dxa"/>
            <w:vMerge/>
            <w:tcBorders>
              <w:top w:val="nil"/>
              <w:right w:val="single" w:sz="4" w:space="0" w:color="000000"/>
            </w:tcBorders>
          </w:tcPr>
          <w:p>
            <w:pPr>
              <w:rPr>
                <w:sz w:val="2"/>
                <w:szCs w:val="2"/>
              </w:rPr>
            </w:pPr>
          </w:p>
        </w:tc>
        <w:tc>
          <w:tcPr>
            <w:tcW w:w="994" w:type="dxa"/>
            <w:tcBorders>
              <w:top w:val="nil"/>
              <w:left w:val="single" w:sz="4" w:space="0" w:color="000000"/>
              <w:bottom w:val="nil"/>
              <w:right w:val="single" w:sz="4" w:space="0" w:color="000000"/>
            </w:tcBorders>
          </w:tcPr>
          <w:p>
            <w:pPr>
              <w:pStyle w:val="TableParagraph"/>
              <w:rPr>
                <w:sz w:val="20"/>
              </w:rPr>
            </w:pPr>
          </w:p>
        </w:tc>
        <w:tc>
          <w:tcPr>
            <w:tcW w:w="1560" w:type="dxa"/>
            <w:tcBorders>
              <w:top w:val="nil"/>
              <w:left w:val="single" w:sz="4" w:space="0" w:color="000000"/>
              <w:bottom w:val="nil"/>
              <w:right w:val="single" w:sz="4" w:space="0" w:color="000000"/>
            </w:tcBorders>
          </w:tcPr>
          <w:p>
            <w:pPr>
              <w:pStyle w:val="TableParagraph"/>
              <w:rPr>
                <w:sz w:val="20"/>
              </w:rPr>
            </w:pPr>
          </w:p>
        </w:tc>
        <w:tc>
          <w:tcPr>
            <w:tcW w:w="7086" w:type="dxa"/>
            <w:tcBorders>
              <w:top w:val="nil"/>
              <w:left w:val="single" w:sz="4" w:space="0" w:color="000000"/>
              <w:bottom w:val="nil"/>
              <w:right w:val="single" w:sz="4" w:space="0" w:color="000000"/>
            </w:tcBorders>
          </w:tcPr>
          <w:p>
            <w:pPr>
              <w:pStyle w:val="TableParagraph"/>
              <w:spacing w:line="255" w:lineRule="exact" w:before="7"/>
              <w:ind w:left="116"/>
              <w:rPr>
                <w:rFonts w:ascii="宋体" w:eastAsia="宋体" w:hint="eastAsia"/>
                <w:sz w:val="21"/>
              </w:rPr>
            </w:pPr>
            <w:r>
              <w:rPr>
                <w:rFonts w:ascii="宋体" w:eastAsia="宋体" w:hint="eastAsia"/>
                <w:sz w:val="21"/>
              </w:rPr>
              <w:t>持海尔电器股份，不会与海尔电器其他股东达成任何有关标的股份或其权益</w:t>
            </w:r>
          </w:p>
        </w:tc>
        <w:tc>
          <w:tcPr>
            <w:tcW w:w="1846" w:type="dxa"/>
            <w:tcBorders>
              <w:top w:val="nil"/>
              <w:left w:val="single" w:sz="4" w:space="0" w:color="000000"/>
              <w:bottom w:val="nil"/>
              <w:right w:val="single" w:sz="4" w:space="0" w:color="000000"/>
            </w:tcBorders>
          </w:tcPr>
          <w:p>
            <w:pPr>
              <w:pStyle w:val="TableParagraph"/>
              <w:rPr>
                <w:sz w:val="20"/>
              </w:rPr>
            </w:pPr>
          </w:p>
        </w:tc>
        <w:tc>
          <w:tcPr>
            <w:tcW w:w="849" w:type="dxa"/>
            <w:tcBorders>
              <w:top w:val="nil"/>
              <w:left w:val="single" w:sz="4" w:space="0" w:color="000000"/>
              <w:bottom w:val="nil"/>
              <w:right w:val="single" w:sz="4" w:space="0" w:color="000000"/>
            </w:tcBorders>
          </w:tcPr>
          <w:p>
            <w:pPr>
              <w:pStyle w:val="TableParagraph"/>
              <w:rPr>
                <w:sz w:val="20"/>
              </w:rPr>
            </w:pPr>
          </w:p>
        </w:tc>
        <w:tc>
          <w:tcPr>
            <w:tcW w:w="935" w:type="dxa"/>
            <w:tcBorders>
              <w:top w:val="nil"/>
              <w:left w:val="single" w:sz="4" w:space="0" w:color="000000"/>
              <w:bottom w:val="nil"/>
            </w:tcBorders>
          </w:tcPr>
          <w:p>
            <w:pPr>
              <w:pStyle w:val="TableParagraph"/>
              <w:rPr>
                <w:sz w:val="20"/>
              </w:rPr>
            </w:pPr>
          </w:p>
        </w:tc>
      </w:tr>
      <w:tr>
        <w:trPr>
          <w:trHeight w:val="605" w:hRule="atLeast"/>
        </w:trPr>
        <w:tc>
          <w:tcPr>
            <w:tcW w:w="836" w:type="dxa"/>
            <w:vMerge/>
            <w:tcBorders>
              <w:top w:val="nil"/>
              <w:right w:val="single" w:sz="4" w:space="0" w:color="000000"/>
            </w:tcBorders>
          </w:tcPr>
          <w:p>
            <w:pPr>
              <w:rPr>
                <w:sz w:val="2"/>
                <w:szCs w:val="2"/>
              </w:rPr>
            </w:pPr>
          </w:p>
        </w:tc>
        <w:tc>
          <w:tcPr>
            <w:tcW w:w="994" w:type="dxa"/>
            <w:tcBorders>
              <w:top w:val="nil"/>
              <w:left w:val="single" w:sz="4" w:space="0" w:color="000000"/>
              <w:right w:val="single" w:sz="4" w:space="0" w:color="000000"/>
            </w:tcBorders>
          </w:tcPr>
          <w:p>
            <w:pPr>
              <w:pStyle w:val="TableParagraph"/>
              <w:rPr>
                <w:sz w:val="20"/>
              </w:rPr>
            </w:pPr>
          </w:p>
        </w:tc>
        <w:tc>
          <w:tcPr>
            <w:tcW w:w="1560" w:type="dxa"/>
            <w:tcBorders>
              <w:top w:val="nil"/>
              <w:left w:val="single" w:sz="4" w:space="0" w:color="000000"/>
              <w:right w:val="single" w:sz="4" w:space="0" w:color="000000"/>
            </w:tcBorders>
          </w:tcPr>
          <w:p>
            <w:pPr>
              <w:pStyle w:val="TableParagraph"/>
              <w:rPr>
                <w:sz w:val="20"/>
              </w:rPr>
            </w:pPr>
          </w:p>
        </w:tc>
        <w:tc>
          <w:tcPr>
            <w:tcW w:w="7086" w:type="dxa"/>
            <w:tcBorders>
              <w:top w:val="nil"/>
              <w:left w:val="single" w:sz="4" w:space="0" w:color="000000"/>
              <w:right w:val="single" w:sz="4" w:space="0" w:color="000000"/>
            </w:tcBorders>
          </w:tcPr>
          <w:p>
            <w:pPr>
              <w:pStyle w:val="TableParagraph"/>
              <w:spacing w:before="7"/>
              <w:ind w:left="116"/>
              <w:rPr>
                <w:rFonts w:ascii="宋体" w:eastAsia="宋体" w:hint="eastAsia"/>
                <w:sz w:val="21"/>
              </w:rPr>
            </w:pPr>
            <w:r>
              <w:rPr>
                <w:rFonts w:ascii="宋体" w:eastAsia="宋体" w:hint="eastAsia"/>
                <w:sz w:val="21"/>
              </w:rPr>
              <w:t>的处置安排或在海尔电器其他股东所持海尔电器股份上设置质押等任何权</w:t>
            </w:r>
          </w:p>
          <w:p>
            <w:pPr>
              <w:pStyle w:val="TableParagraph"/>
              <w:spacing w:line="266" w:lineRule="exact" w:before="42"/>
              <w:ind w:left="116"/>
              <w:rPr>
                <w:rFonts w:ascii="宋体" w:eastAsia="宋体" w:hint="eastAsia"/>
                <w:sz w:val="21"/>
              </w:rPr>
            </w:pPr>
            <w:r>
              <w:rPr>
                <w:rFonts w:ascii="宋体" w:eastAsia="宋体" w:hint="eastAsia"/>
                <w:sz w:val="21"/>
              </w:rPr>
              <w:t>利限制。</w:t>
            </w:r>
            <w:r>
              <w:rPr>
                <w:sz w:val="21"/>
              </w:rPr>
              <w:t>6</w:t>
            </w:r>
            <w:r>
              <w:rPr>
                <w:rFonts w:ascii="宋体" w:eastAsia="宋体" w:hint="eastAsia"/>
                <w:sz w:val="21"/>
              </w:rPr>
              <w:t>、本公司将遵守经不时修订的《香港联合交易所有限公司证券上</w:t>
            </w:r>
          </w:p>
        </w:tc>
        <w:tc>
          <w:tcPr>
            <w:tcW w:w="1846" w:type="dxa"/>
            <w:tcBorders>
              <w:top w:val="nil"/>
              <w:left w:val="single" w:sz="4" w:space="0" w:color="000000"/>
              <w:right w:val="single" w:sz="4" w:space="0" w:color="000000"/>
            </w:tcBorders>
          </w:tcPr>
          <w:p>
            <w:pPr>
              <w:pStyle w:val="TableParagraph"/>
              <w:rPr>
                <w:sz w:val="20"/>
              </w:rPr>
            </w:pPr>
          </w:p>
        </w:tc>
        <w:tc>
          <w:tcPr>
            <w:tcW w:w="849" w:type="dxa"/>
            <w:tcBorders>
              <w:top w:val="nil"/>
              <w:left w:val="single" w:sz="4" w:space="0" w:color="000000"/>
              <w:right w:val="single" w:sz="4" w:space="0" w:color="000000"/>
            </w:tcBorders>
          </w:tcPr>
          <w:p>
            <w:pPr>
              <w:pStyle w:val="TableParagraph"/>
              <w:rPr>
                <w:sz w:val="20"/>
              </w:rPr>
            </w:pPr>
          </w:p>
        </w:tc>
        <w:tc>
          <w:tcPr>
            <w:tcW w:w="935" w:type="dxa"/>
            <w:tcBorders>
              <w:top w:val="nil"/>
              <w:left w:val="single" w:sz="4" w:space="0" w:color="000000"/>
            </w:tcBorders>
          </w:tcPr>
          <w:p>
            <w:pPr>
              <w:pStyle w:val="TableParagraph"/>
              <w:rPr>
                <w:sz w:val="20"/>
              </w:rPr>
            </w:pPr>
          </w:p>
        </w:tc>
      </w:tr>
    </w:tbl>
    <w:p>
      <w:pPr>
        <w:spacing w:after="0"/>
        <w:rPr>
          <w:sz w:val="20"/>
        </w:rPr>
        <w:sectPr>
          <w:pgSz w:w="16840" w:h="11910" w:orient="landscape"/>
          <w:pgMar w:header="876" w:footer="1214" w:top="1180" w:bottom="1400" w:left="1180" w:right="1280"/>
        </w:sectPr>
      </w:pPr>
    </w:p>
    <w:p>
      <w:pPr>
        <w:pStyle w:val="BodyText"/>
        <w:rPr>
          <w:rFonts w:ascii="Times New Roman"/>
          <w:sz w:val="20"/>
        </w:rPr>
      </w:pPr>
    </w:p>
    <w:p>
      <w:pPr>
        <w:pStyle w:val="BodyText"/>
        <w:rPr>
          <w:rFonts w:ascii="Times New Roman"/>
          <w:sz w:val="20"/>
        </w:rPr>
      </w:pPr>
    </w:p>
    <w:p>
      <w:pPr>
        <w:pStyle w:val="BodyText"/>
        <w:spacing w:before="7" w:after="1"/>
        <w:rPr>
          <w:rFonts w:ascii="Times New Roman"/>
          <w:sz w:val="13"/>
        </w:rPr>
      </w:pPr>
    </w:p>
    <w:tbl>
      <w:tblPr>
        <w:tblW w:w="0" w:type="auto"/>
        <w:jc w:val="left"/>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36"/>
        <w:gridCol w:w="994"/>
        <w:gridCol w:w="1560"/>
        <w:gridCol w:w="7086"/>
        <w:gridCol w:w="1846"/>
        <w:gridCol w:w="849"/>
        <w:gridCol w:w="935"/>
      </w:tblGrid>
      <w:tr>
        <w:trPr>
          <w:trHeight w:val="2495" w:hRule="atLeast"/>
        </w:trPr>
        <w:tc>
          <w:tcPr>
            <w:tcW w:w="836" w:type="dxa"/>
            <w:vMerge w:val="restart"/>
            <w:tcBorders>
              <w:bottom w:val="single" w:sz="4" w:space="0" w:color="000000"/>
              <w:right w:val="single" w:sz="4" w:space="0" w:color="000000"/>
            </w:tcBorders>
          </w:tcPr>
          <w:p>
            <w:pPr>
              <w:pStyle w:val="TableParagraph"/>
              <w:rPr>
                <w:sz w:val="20"/>
              </w:rPr>
            </w:pPr>
          </w:p>
        </w:tc>
        <w:tc>
          <w:tcPr>
            <w:tcW w:w="994" w:type="dxa"/>
            <w:tcBorders>
              <w:left w:val="single" w:sz="4" w:space="0" w:color="000000"/>
              <w:bottom w:val="single" w:sz="4" w:space="0" w:color="000000"/>
              <w:right w:val="single" w:sz="4" w:space="0" w:color="000000"/>
            </w:tcBorders>
          </w:tcPr>
          <w:p>
            <w:pPr>
              <w:pStyle w:val="TableParagraph"/>
              <w:rPr>
                <w:sz w:val="20"/>
              </w:rPr>
            </w:pPr>
          </w:p>
        </w:tc>
        <w:tc>
          <w:tcPr>
            <w:tcW w:w="1560" w:type="dxa"/>
            <w:tcBorders>
              <w:left w:val="single" w:sz="4" w:space="0" w:color="000000"/>
              <w:bottom w:val="single" w:sz="4" w:space="0" w:color="000000"/>
              <w:right w:val="single" w:sz="4" w:space="0" w:color="000000"/>
            </w:tcBorders>
          </w:tcPr>
          <w:p>
            <w:pPr>
              <w:pStyle w:val="TableParagraph"/>
              <w:rPr>
                <w:sz w:val="20"/>
              </w:rPr>
            </w:pPr>
          </w:p>
        </w:tc>
        <w:tc>
          <w:tcPr>
            <w:tcW w:w="7086" w:type="dxa"/>
            <w:tcBorders>
              <w:left w:val="single" w:sz="4" w:space="0" w:color="000000"/>
              <w:bottom w:val="single" w:sz="4" w:space="0" w:color="000000"/>
              <w:right w:val="single" w:sz="4" w:space="0" w:color="000000"/>
            </w:tcBorders>
          </w:tcPr>
          <w:p>
            <w:pPr>
              <w:pStyle w:val="TableParagraph"/>
              <w:spacing w:line="278" w:lineRule="auto" w:before="22"/>
              <w:ind w:left="116" w:right="82"/>
              <w:rPr>
                <w:rFonts w:ascii="宋体" w:eastAsia="宋体" w:hint="eastAsia"/>
                <w:sz w:val="21"/>
              </w:rPr>
            </w:pPr>
            <w:r>
              <w:rPr>
                <w:rFonts w:ascii="宋体" w:eastAsia="宋体" w:hint="eastAsia"/>
                <w:spacing w:val="-9"/>
                <w:sz w:val="21"/>
              </w:rPr>
              <w:t>市规则》第 </w:t>
            </w:r>
            <w:r>
              <w:rPr>
                <w:sz w:val="21"/>
              </w:rPr>
              <w:t>10.07 </w:t>
            </w:r>
            <w:r>
              <w:rPr>
                <w:rFonts w:ascii="宋体" w:eastAsia="宋体" w:hint="eastAsia"/>
                <w:spacing w:val="-4"/>
                <w:sz w:val="21"/>
              </w:rPr>
              <w:t>条关于出售海尔智家股份的相关限制：自本次交易涉及的</w:t>
            </w:r>
            <w:r>
              <w:rPr>
                <w:rFonts w:ascii="宋体" w:eastAsia="宋体" w:hint="eastAsia"/>
                <w:spacing w:val="9"/>
                <w:sz w:val="21"/>
              </w:rPr>
              <w:t>海尔智家</w:t>
            </w:r>
            <w:r>
              <w:rPr>
                <w:sz w:val="21"/>
              </w:rPr>
              <w:t>H </w:t>
            </w:r>
            <w:r>
              <w:rPr>
                <w:rFonts w:ascii="宋体" w:eastAsia="宋体" w:hint="eastAsia"/>
                <w:spacing w:val="-1"/>
                <w:sz w:val="21"/>
              </w:rPr>
              <w:t>股上市文件披露本公司持股情况当日起至海尔智家</w:t>
            </w:r>
            <w:r>
              <w:rPr>
                <w:sz w:val="21"/>
              </w:rPr>
              <w:t>H </w:t>
            </w:r>
            <w:r>
              <w:rPr>
                <w:rFonts w:ascii="宋体" w:eastAsia="宋体" w:hint="eastAsia"/>
                <w:spacing w:val="-2"/>
                <w:sz w:val="21"/>
              </w:rPr>
              <w:t>股股票在</w:t>
            </w:r>
            <w:r>
              <w:rPr>
                <w:rFonts w:ascii="宋体" w:eastAsia="宋体" w:hint="eastAsia"/>
                <w:spacing w:val="-6"/>
                <w:sz w:val="21"/>
              </w:rPr>
              <w:t>香港联合交易所买卖之日起的 </w:t>
            </w:r>
            <w:r>
              <w:rPr>
                <w:sz w:val="21"/>
              </w:rPr>
              <w:t>6 </w:t>
            </w:r>
            <w:r>
              <w:rPr>
                <w:rFonts w:ascii="宋体" w:eastAsia="宋体" w:hint="eastAsia"/>
                <w:spacing w:val="-9"/>
                <w:sz w:val="21"/>
              </w:rPr>
              <w:t>个月内，本公司不出售本公司通过本次交易</w:t>
            </w:r>
            <w:r>
              <w:rPr>
                <w:rFonts w:ascii="宋体" w:eastAsia="宋体" w:hint="eastAsia"/>
                <w:spacing w:val="2"/>
                <w:sz w:val="21"/>
              </w:rPr>
              <w:t>取得的海尔智家</w:t>
            </w:r>
            <w:r>
              <w:rPr>
                <w:sz w:val="21"/>
              </w:rPr>
              <w:t>H </w:t>
            </w:r>
            <w:r>
              <w:rPr>
                <w:rFonts w:ascii="宋体" w:eastAsia="宋体" w:hint="eastAsia"/>
                <w:spacing w:val="-3"/>
                <w:sz w:val="21"/>
              </w:rPr>
              <w:t>股股份，或订立任何出售该等股份的协议，或就该等股</w:t>
            </w:r>
            <w:r>
              <w:rPr>
                <w:rFonts w:ascii="宋体" w:eastAsia="宋体" w:hint="eastAsia"/>
                <w:spacing w:val="-10"/>
                <w:sz w:val="21"/>
              </w:rPr>
              <w:t>份设立任何选择权、权利、利益或产权负担；此外，在前述 </w:t>
            </w:r>
            <w:r>
              <w:rPr>
                <w:sz w:val="21"/>
              </w:rPr>
              <w:t>6 </w:t>
            </w:r>
            <w:r>
              <w:rPr>
                <w:rFonts w:ascii="宋体" w:eastAsia="宋体" w:hint="eastAsia"/>
                <w:spacing w:val="-3"/>
                <w:sz w:val="21"/>
              </w:rPr>
              <w:t>个月期限届满</w:t>
            </w:r>
            <w:r>
              <w:rPr>
                <w:rFonts w:ascii="宋体" w:eastAsia="宋体" w:hint="eastAsia"/>
                <w:spacing w:val="-18"/>
                <w:sz w:val="21"/>
              </w:rPr>
              <w:t>后的 </w:t>
            </w:r>
            <w:r>
              <w:rPr>
                <w:sz w:val="21"/>
              </w:rPr>
              <w:t>6 </w:t>
            </w:r>
            <w:r>
              <w:rPr>
                <w:rFonts w:ascii="宋体" w:eastAsia="宋体" w:hint="eastAsia"/>
                <w:spacing w:val="1"/>
                <w:sz w:val="21"/>
              </w:rPr>
              <w:t>个月内，本公司出售海尔智家</w:t>
            </w:r>
            <w:r>
              <w:rPr>
                <w:sz w:val="21"/>
              </w:rPr>
              <w:t>H </w:t>
            </w:r>
            <w:r>
              <w:rPr>
                <w:rFonts w:ascii="宋体" w:eastAsia="宋体" w:hint="eastAsia"/>
                <w:spacing w:val="-3"/>
                <w:sz w:val="21"/>
              </w:rPr>
              <w:t>股股份、订立任何出售该等股份的</w:t>
            </w:r>
            <w:r>
              <w:rPr>
                <w:rFonts w:ascii="宋体" w:eastAsia="宋体" w:hint="eastAsia"/>
                <w:spacing w:val="-9"/>
                <w:sz w:val="21"/>
              </w:rPr>
              <w:t>协议，或就该等股份行使或执行有关选择权、权利、利益或产权负担，将不</w:t>
            </w:r>
          </w:p>
          <w:p>
            <w:pPr>
              <w:pStyle w:val="TableParagraph"/>
              <w:ind w:left="116"/>
              <w:rPr>
                <w:rFonts w:ascii="宋体" w:eastAsia="宋体" w:hint="eastAsia"/>
                <w:sz w:val="21"/>
              </w:rPr>
            </w:pPr>
            <w:r>
              <w:rPr>
                <w:rFonts w:ascii="宋体" w:eastAsia="宋体" w:hint="eastAsia"/>
                <w:sz w:val="21"/>
              </w:rPr>
              <w:t>得导致海尔集团公司及其一致行动人失去海尔智家控股股东地位。</w:t>
            </w:r>
          </w:p>
        </w:tc>
        <w:tc>
          <w:tcPr>
            <w:tcW w:w="1846" w:type="dxa"/>
            <w:tcBorders>
              <w:left w:val="single" w:sz="4" w:space="0" w:color="000000"/>
              <w:bottom w:val="single" w:sz="4" w:space="0" w:color="000000"/>
              <w:right w:val="single" w:sz="4" w:space="0" w:color="000000"/>
            </w:tcBorders>
          </w:tcPr>
          <w:p>
            <w:pPr>
              <w:pStyle w:val="TableParagraph"/>
              <w:rPr>
                <w:sz w:val="20"/>
              </w:rPr>
            </w:pPr>
          </w:p>
        </w:tc>
        <w:tc>
          <w:tcPr>
            <w:tcW w:w="849" w:type="dxa"/>
            <w:tcBorders>
              <w:left w:val="single" w:sz="4" w:space="0" w:color="000000"/>
              <w:bottom w:val="single" w:sz="4" w:space="0" w:color="000000"/>
              <w:right w:val="single" w:sz="4" w:space="0" w:color="000000"/>
            </w:tcBorders>
          </w:tcPr>
          <w:p>
            <w:pPr>
              <w:pStyle w:val="TableParagraph"/>
              <w:rPr>
                <w:sz w:val="20"/>
              </w:rPr>
            </w:pPr>
          </w:p>
        </w:tc>
        <w:tc>
          <w:tcPr>
            <w:tcW w:w="935" w:type="dxa"/>
            <w:tcBorders>
              <w:left w:val="single" w:sz="4" w:space="0" w:color="000000"/>
              <w:bottom w:val="single" w:sz="4" w:space="0" w:color="000000"/>
            </w:tcBorders>
          </w:tcPr>
          <w:p>
            <w:pPr>
              <w:pStyle w:val="TableParagraph"/>
              <w:rPr>
                <w:sz w:val="20"/>
              </w:rPr>
            </w:pPr>
          </w:p>
        </w:tc>
      </w:tr>
      <w:tr>
        <w:trPr>
          <w:trHeight w:val="4056" w:hRule="atLeast"/>
        </w:trPr>
        <w:tc>
          <w:tcPr>
            <w:tcW w:w="836" w:type="dxa"/>
            <w:vMerge/>
            <w:tcBorders>
              <w:top w:val="nil"/>
              <w:bottom w:val="single" w:sz="4" w:space="0" w:color="000000"/>
              <w:right w:val="single" w:sz="4" w:space="0" w:color="000000"/>
            </w:tcBorders>
          </w:tcPr>
          <w:p>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line="278" w:lineRule="auto" w:before="128"/>
              <w:ind w:left="116" w:right="16"/>
              <w:rPr>
                <w:rFonts w:ascii="宋体" w:eastAsia="宋体" w:hint="eastAsia"/>
                <w:sz w:val="21"/>
              </w:rPr>
            </w:pPr>
            <w:r>
              <w:rPr>
                <w:rFonts w:ascii="宋体" w:eastAsia="宋体" w:hint="eastAsia"/>
                <w:sz w:val="21"/>
              </w:rPr>
              <w:t>减 少 关联交易</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5"/>
              <w:rPr>
                <w:sz w:val="23"/>
              </w:rPr>
            </w:pPr>
          </w:p>
          <w:p>
            <w:pPr>
              <w:pStyle w:val="TableParagraph"/>
              <w:tabs>
                <w:tab w:pos="1018" w:val="left" w:leader="none"/>
                <w:tab w:pos="1063" w:val="left" w:leader="none"/>
              </w:tabs>
              <w:spacing w:line="309" w:lineRule="auto"/>
              <w:ind w:left="116" w:right="85"/>
              <w:rPr>
                <w:sz w:val="21"/>
              </w:rPr>
            </w:pPr>
            <w:r>
              <w:rPr>
                <w:sz w:val="21"/>
              </w:rPr>
              <w:t>HCH</w:t>
              <w:tab/>
            </w:r>
            <w:r>
              <w:rPr>
                <w:spacing w:val="-6"/>
                <w:sz w:val="21"/>
              </w:rPr>
              <w:t>(HK) </w:t>
            </w:r>
            <w:r>
              <w:rPr>
                <w:spacing w:val="-1"/>
                <w:sz w:val="21"/>
              </w:rPr>
              <w:t>INVESTMENT </w:t>
            </w:r>
            <w:r>
              <w:rPr>
                <w:sz w:val="21"/>
              </w:rPr>
              <w:t>MANAGEME NT</w:t>
              <w:tab/>
              <w:tab/>
            </w:r>
            <w:r>
              <w:rPr>
                <w:spacing w:val="-5"/>
                <w:sz w:val="21"/>
              </w:rPr>
              <w:t>CO., </w:t>
            </w:r>
            <w:r>
              <w:rPr>
                <w:sz w:val="21"/>
              </w:rPr>
              <w:t>LIMITED</w:t>
            </w:r>
          </w:p>
        </w:tc>
        <w:tc>
          <w:tcPr>
            <w:tcW w:w="708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22"/>
              <w:ind w:left="116" w:right="-29"/>
              <w:rPr>
                <w:rFonts w:ascii="宋体" w:eastAsia="宋体" w:hint="eastAsia"/>
                <w:sz w:val="21"/>
              </w:rPr>
            </w:pPr>
            <w:r>
              <w:rPr>
                <w:sz w:val="21"/>
              </w:rPr>
              <w:t>1</w:t>
            </w:r>
            <w:r>
              <w:rPr>
                <w:rFonts w:ascii="宋体" w:eastAsia="宋体" w:hint="eastAsia"/>
                <w:spacing w:val="-10"/>
                <w:sz w:val="21"/>
              </w:rPr>
              <w:t>、本次交易构成关联交易，本次交易已履行的关联交易程序符合相关规定， </w:t>
            </w:r>
            <w:r>
              <w:rPr>
                <w:rFonts w:ascii="宋体" w:eastAsia="宋体" w:hint="eastAsia"/>
                <w:spacing w:val="-5"/>
                <w:sz w:val="21"/>
              </w:rPr>
              <w:t>关联交易定价公允，不存在损害上市公司及非关联股东利益的情形。</w:t>
            </w:r>
            <w:r>
              <w:rPr>
                <w:spacing w:val="-3"/>
                <w:sz w:val="21"/>
              </w:rPr>
              <w:t>2</w:t>
            </w:r>
            <w:r>
              <w:rPr>
                <w:rFonts w:ascii="宋体" w:eastAsia="宋体" w:hint="eastAsia"/>
                <w:sz w:val="21"/>
              </w:rPr>
              <w:t>、本</w:t>
            </w:r>
            <w:r>
              <w:rPr>
                <w:rFonts w:ascii="宋体" w:eastAsia="宋体" w:hint="eastAsia"/>
                <w:spacing w:val="-8"/>
                <w:sz w:val="21"/>
              </w:rPr>
              <w:t>次交易完成后，本公司及本公司控制的其他企业将采取合法及有效措施，尽</w:t>
            </w:r>
            <w:r>
              <w:rPr>
                <w:rFonts w:ascii="宋体" w:eastAsia="宋体" w:hint="eastAsia"/>
                <w:spacing w:val="-9"/>
                <w:sz w:val="21"/>
              </w:rPr>
              <w:t>量减少并规范与上市公司之间的关联交易，自觉维护上市公司及全体股东的</w:t>
            </w:r>
            <w:r>
              <w:rPr>
                <w:rFonts w:ascii="宋体" w:eastAsia="宋体" w:hint="eastAsia"/>
                <w:spacing w:val="-5"/>
                <w:sz w:val="21"/>
              </w:rPr>
              <w:t>利益，不利用关联交易谋取不正当利益。</w:t>
            </w:r>
            <w:r>
              <w:rPr>
                <w:sz w:val="21"/>
              </w:rPr>
              <w:t>3</w:t>
            </w:r>
            <w:r>
              <w:rPr>
                <w:rFonts w:ascii="宋体" w:eastAsia="宋体" w:hint="eastAsia"/>
                <w:spacing w:val="-3"/>
                <w:sz w:val="21"/>
              </w:rPr>
              <w:t>、在不与法律、法规相抵触的前</w:t>
            </w:r>
            <w:r>
              <w:rPr>
                <w:rFonts w:ascii="宋体" w:eastAsia="宋体" w:hint="eastAsia"/>
                <w:spacing w:val="-10"/>
                <w:sz w:val="21"/>
              </w:rPr>
              <w:t>提下，本公司及本公司控制的其他企业与上市公司如发生或存在无法避免或</w:t>
            </w:r>
            <w:r>
              <w:rPr>
                <w:rFonts w:ascii="宋体" w:eastAsia="宋体" w:hint="eastAsia"/>
                <w:spacing w:val="-11"/>
                <w:sz w:val="21"/>
              </w:rPr>
              <w:t>有合理原因的关联交易，本公司及本公司控制的其他企业将与上市公司依法</w:t>
            </w:r>
            <w:r>
              <w:rPr>
                <w:rFonts w:ascii="宋体" w:eastAsia="宋体" w:hint="eastAsia"/>
                <w:spacing w:val="-10"/>
                <w:sz w:val="21"/>
              </w:rPr>
              <w:t>签订交易协议，保证严格履行法律、法规、规范性文件和上市公司章程规定的关联交易程序，按市场化原则和公允价格进行交易，不利用该类关联交易</w:t>
            </w:r>
            <w:r>
              <w:rPr>
                <w:rFonts w:ascii="宋体" w:eastAsia="宋体" w:hint="eastAsia"/>
                <w:spacing w:val="-8"/>
                <w:sz w:val="21"/>
              </w:rPr>
              <w:t>从事任何损害上市公司或其中小股东利益的行为，同时按相关规定履行信息</w:t>
            </w:r>
            <w:r>
              <w:rPr>
                <w:rFonts w:ascii="宋体" w:eastAsia="宋体" w:hint="eastAsia"/>
                <w:spacing w:val="-5"/>
                <w:sz w:val="21"/>
              </w:rPr>
              <w:t>披露义务。</w:t>
            </w:r>
            <w:r>
              <w:rPr>
                <w:sz w:val="21"/>
              </w:rPr>
              <w:t>4</w:t>
            </w:r>
            <w:r>
              <w:rPr>
                <w:rFonts w:ascii="宋体" w:eastAsia="宋体" w:hint="eastAsia"/>
                <w:spacing w:val="-3"/>
                <w:sz w:val="21"/>
              </w:rPr>
              <w:t>、本公司及本公司控制的其他企业与上市公司就关联交易所做</w:t>
            </w:r>
            <w:r>
              <w:rPr>
                <w:rFonts w:ascii="宋体" w:eastAsia="宋体" w:hint="eastAsia"/>
                <w:spacing w:val="-8"/>
                <w:sz w:val="21"/>
              </w:rPr>
              <w:t>出的任何约定及安排，均不妨碍对方为其自身利益、在市场同等竞争条件下</w:t>
            </w:r>
          </w:p>
          <w:p>
            <w:pPr>
              <w:pStyle w:val="TableParagraph"/>
              <w:spacing w:line="268" w:lineRule="exact"/>
              <w:ind w:left="116"/>
              <w:rPr>
                <w:rFonts w:ascii="宋体" w:eastAsia="宋体" w:hint="eastAsia"/>
                <w:sz w:val="21"/>
              </w:rPr>
            </w:pPr>
            <w:r>
              <w:rPr>
                <w:rFonts w:ascii="宋体" w:eastAsia="宋体" w:hint="eastAsia"/>
                <w:sz w:val="21"/>
              </w:rPr>
              <w:t>与任何第三方进行业务往来或交易。</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line="278" w:lineRule="auto" w:before="128"/>
              <w:ind w:left="116" w:right="-29"/>
              <w:rPr>
                <w:rFonts w:ascii="宋体" w:eastAsia="宋体" w:hint="eastAsia"/>
                <w:sz w:val="21"/>
              </w:rPr>
            </w:pPr>
            <w:r>
              <w:rPr>
                <w:sz w:val="21"/>
              </w:rPr>
              <w:t>2020</w:t>
            </w:r>
            <w:r>
              <w:rPr>
                <w:spacing w:val="-20"/>
                <w:sz w:val="21"/>
              </w:rPr>
              <w:t> </w:t>
            </w:r>
            <w:r>
              <w:rPr>
                <w:rFonts w:ascii="宋体" w:eastAsia="宋体" w:hint="eastAsia"/>
                <w:spacing w:val="31"/>
                <w:sz w:val="21"/>
              </w:rPr>
              <w:t>年</w:t>
            </w:r>
            <w:r>
              <w:rPr>
                <w:sz w:val="21"/>
              </w:rPr>
              <w:t>7</w:t>
            </w:r>
            <w:r>
              <w:rPr>
                <w:spacing w:val="-19"/>
                <w:sz w:val="21"/>
              </w:rPr>
              <w:t> </w:t>
            </w:r>
            <w:r>
              <w:rPr>
                <w:rFonts w:ascii="宋体" w:eastAsia="宋体" w:hint="eastAsia"/>
                <w:spacing w:val="31"/>
                <w:sz w:val="21"/>
              </w:rPr>
              <w:t>月</w:t>
            </w:r>
            <w:r>
              <w:rPr>
                <w:sz w:val="21"/>
              </w:rPr>
              <w:t>29</w:t>
            </w:r>
            <w:r>
              <w:rPr>
                <w:spacing w:val="-22"/>
                <w:sz w:val="21"/>
              </w:rPr>
              <w:t> </w:t>
            </w:r>
            <w:r>
              <w:rPr>
                <w:rFonts w:ascii="宋体" w:eastAsia="宋体" w:hint="eastAsia"/>
                <w:sz w:val="21"/>
              </w:rPr>
              <w:t>日， 长期</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9"/>
              <w:rPr>
                <w:sz w:val="24"/>
              </w:rPr>
            </w:pPr>
          </w:p>
          <w:p>
            <w:pPr>
              <w:pStyle w:val="TableParagraph"/>
              <w:ind w:left="27"/>
              <w:jc w:val="center"/>
              <w:rPr>
                <w:rFonts w:ascii="宋体" w:eastAsia="宋体" w:hint="eastAsia"/>
                <w:sz w:val="21"/>
              </w:rPr>
            </w:pPr>
            <w:r>
              <w:rPr>
                <w:rFonts w:ascii="宋体" w:eastAsia="宋体" w:hint="eastAsia"/>
                <w:w w:val="100"/>
                <w:sz w:val="21"/>
              </w:rPr>
              <w:t>是</w:t>
            </w:r>
          </w:p>
        </w:tc>
        <w:tc>
          <w:tcPr>
            <w:tcW w:w="935" w:type="dxa"/>
            <w:tcBorders>
              <w:top w:val="single" w:sz="4" w:space="0" w:color="000000"/>
              <w:left w:val="single" w:sz="4" w:space="0" w:color="000000"/>
              <w:bottom w:val="single" w:sz="4"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9"/>
              <w:rPr>
                <w:sz w:val="24"/>
              </w:rPr>
            </w:pPr>
          </w:p>
          <w:p>
            <w:pPr>
              <w:pStyle w:val="TableParagraph"/>
              <w:ind w:left="39"/>
              <w:jc w:val="center"/>
              <w:rPr>
                <w:rFonts w:ascii="宋体" w:eastAsia="宋体" w:hint="eastAsia"/>
                <w:sz w:val="21"/>
              </w:rPr>
            </w:pPr>
            <w:r>
              <w:rPr>
                <w:rFonts w:ascii="宋体" w:eastAsia="宋体" w:hint="eastAsia"/>
                <w:w w:val="100"/>
                <w:sz w:val="21"/>
              </w:rPr>
              <w:t>是</w:t>
            </w:r>
          </w:p>
        </w:tc>
      </w:tr>
      <w:tr>
        <w:trPr>
          <w:trHeight w:val="1250" w:hRule="atLeast"/>
        </w:trPr>
        <w:tc>
          <w:tcPr>
            <w:tcW w:w="836" w:type="dxa"/>
            <w:vMerge/>
            <w:tcBorders>
              <w:top w:val="nil"/>
              <w:bottom w:val="single" w:sz="4" w:space="0" w:color="000000"/>
              <w:right w:val="single" w:sz="4" w:space="0" w:color="000000"/>
            </w:tcBorders>
          </w:tcPr>
          <w:p>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8"/>
              <w:rPr>
                <w:sz w:val="15"/>
              </w:rPr>
            </w:pPr>
          </w:p>
          <w:p>
            <w:pPr>
              <w:pStyle w:val="TableParagraph"/>
              <w:spacing w:line="278" w:lineRule="auto"/>
              <w:ind w:left="116" w:right="85"/>
              <w:jc w:val="both"/>
              <w:rPr>
                <w:rFonts w:ascii="宋体" w:eastAsia="宋体" w:hint="eastAsia"/>
                <w:sz w:val="21"/>
              </w:rPr>
            </w:pPr>
            <w:r>
              <w:rPr>
                <w:rFonts w:ascii="宋体" w:eastAsia="宋体" w:hint="eastAsia"/>
                <w:spacing w:val="-16"/>
                <w:sz w:val="21"/>
              </w:rPr>
              <w:t>股 份 减持 相 关</w:t>
            </w:r>
            <w:r>
              <w:rPr>
                <w:rFonts w:ascii="宋体" w:eastAsia="宋体" w:hint="eastAsia"/>
                <w:sz w:val="21"/>
              </w:rPr>
              <w:t>承诺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tabs>
                <w:tab w:pos="1111" w:val="left" w:leader="none"/>
              </w:tabs>
              <w:spacing w:line="309" w:lineRule="auto" w:before="192"/>
              <w:ind w:left="116" w:right="85"/>
              <w:jc w:val="both"/>
              <w:rPr>
                <w:sz w:val="21"/>
              </w:rPr>
            </w:pPr>
            <w:r>
              <w:rPr>
                <w:sz w:val="21"/>
              </w:rPr>
              <w:t>Haier </w:t>
            </w:r>
            <w:r>
              <w:rPr>
                <w:spacing w:val="-3"/>
                <w:sz w:val="21"/>
              </w:rPr>
              <w:t>Internat </w:t>
            </w:r>
            <w:r>
              <w:rPr>
                <w:sz w:val="21"/>
              </w:rPr>
              <w:t>ional</w:t>
              <w:tab/>
            </w:r>
            <w:r>
              <w:rPr>
                <w:spacing w:val="-6"/>
                <w:sz w:val="21"/>
              </w:rPr>
              <w:t>Co., </w:t>
            </w:r>
            <w:r>
              <w:rPr>
                <w:sz w:val="21"/>
              </w:rPr>
              <w:t>Limited</w:t>
            </w:r>
          </w:p>
        </w:tc>
        <w:tc>
          <w:tcPr>
            <w:tcW w:w="708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25"/>
              <w:ind w:left="116" w:right="82"/>
              <w:jc w:val="both"/>
              <w:rPr>
                <w:rFonts w:ascii="宋体" w:eastAsia="宋体" w:hint="eastAsia"/>
                <w:sz w:val="21"/>
              </w:rPr>
            </w:pPr>
            <w:r>
              <w:rPr>
                <w:rFonts w:ascii="宋体" w:eastAsia="宋体" w:hint="eastAsia"/>
                <w:spacing w:val="-10"/>
                <w:sz w:val="21"/>
              </w:rPr>
              <w:t>本次交易中，自海尔智家股票复牌之日及本承诺函出具之日间的孰早之日起</w:t>
            </w:r>
            <w:r>
              <w:rPr>
                <w:rFonts w:ascii="宋体" w:eastAsia="宋体" w:hint="eastAsia"/>
                <w:spacing w:val="-9"/>
                <w:sz w:val="21"/>
              </w:rPr>
              <w:t>至本次交易实施完毕期间，本公司不存在减持海尔智家股份的计划。如违反上述承诺，由此给海尔智家或其他投资者造成损失的，本公司承诺向海尔智</w:t>
            </w:r>
          </w:p>
          <w:p>
            <w:pPr>
              <w:pStyle w:val="TableParagraph"/>
              <w:ind w:left="116"/>
              <w:rPr>
                <w:rFonts w:ascii="宋体" w:eastAsia="宋体" w:hint="eastAsia"/>
                <w:sz w:val="21"/>
              </w:rPr>
            </w:pPr>
            <w:r>
              <w:rPr>
                <w:rFonts w:ascii="宋体" w:eastAsia="宋体" w:hint="eastAsia"/>
                <w:sz w:val="21"/>
              </w:rPr>
              <w:t>家或其他投资者依法承担赔偿责任。</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before="8"/>
              <w:rPr>
                <w:sz w:val="15"/>
              </w:rPr>
            </w:pPr>
          </w:p>
          <w:p>
            <w:pPr>
              <w:pStyle w:val="TableParagraph"/>
              <w:spacing w:line="278" w:lineRule="auto"/>
              <w:ind w:left="116" w:right="-29"/>
              <w:rPr>
                <w:rFonts w:ascii="宋体" w:eastAsia="宋体" w:hint="eastAsia"/>
                <w:sz w:val="21"/>
              </w:rPr>
            </w:pPr>
            <w:r>
              <w:rPr>
                <w:sz w:val="21"/>
              </w:rPr>
              <w:t>2020</w:t>
            </w:r>
            <w:r>
              <w:rPr>
                <w:spacing w:val="-20"/>
                <w:sz w:val="21"/>
              </w:rPr>
              <w:t> </w:t>
            </w:r>
            <w:r>
              <w:rPr>
                <w:rFonts w:ascii="宋体" w:eastAsia="宋体" w:hint="eastAsia"/>
                <w:spacing w:val="31"/>
                <w:sz w:val="21"/>
              </w:rPr>
              <w:t>年</w:t>
            </w:r>
            <w:r>
              <w:rPr>
                <w:sz w:val="21"/>
              </w:rPr>
              <w:t>7</w:t>
            </w:r>
            <w:r>
              <w:rPr>
                <w:spacing w:val="-19"/>
                <w:sz w:val="21"/>
              </w:rPr>
              <w:t> </w:t>
            </w:r>
            <w:r>
              <w:rPr>
                <w:rFonts w:ascii="宋体" w:eastAsia="宋体" w:hint="eastAsia"/>
                <w:spacing w:val="31"/>
                <w:sz w:val="21"/>
              </w:rPr>
              <w:t>月</w:t>
            </w:r>
            <w:r>
              <w:rPr>
                <w:sz w:val="21"/>
              </w:rPr>
              <w:t>29</w:t>
            </w:r>
            <w:r>
              <w:rPr>
                <w:spacing w:val="-22"/>
                <w:sz w:val="21"/>
              </w:rPr>
              <w:t> </w:t>
            </w:r>
            <w:r>
              <w:rPr>
                <w:rFonts w:ascii="宋体" w:eastAsia="宋体" w:hint="eastAsia"/>
                <w:sz w:val="21"/>
              </w:rPr>
              <w:t>日， </w:t>
            </w:r>
            <w:r>
              <w:rPr>
                <w:rFonts w:ascii="宋体" w:eastAsia="宋体" w:hint="eastAsia"/>
                <w:spacing w:val="20"/>
                <w:sz w:val="21"/>
              </w:rPr>
              <w:t>本次交易实施完毕</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rPr>
                <w:sz w:val="20"/>
              </w:rPr>
            </w:pPr>
          </w:p>
          <w:p>
            <w:pPr>
              <w:pStyle w:val="TableParagraph"/>
              <w:spacing w:before="10"/>
              <w:rPr>
                <w:sz w:val="22"/>
              </w:rPr>
            </w:pPr>
          </w:p>
          <w:p>
            <w:pPr>
              <w:pStyle w:val="TableParagraph"/>
              <w:ind w:left="27"/>
              <w:jc w:val="center"/>
              <w:rPr>
                <w:rFonts w:ascii="宋体" w:eastAsia="宋体" w:hint="eastAsia"/>
                <w:sz w:val="21"/>
              </w:rPr>
            </w:pPr>
            <w:r>
              <w:rPr>
                <w:rFonts w:ascii="宋体" w:eastAsia="宋体" w:hint="eastAsia"/>
                <w:w w:val="100"/>
                <w:sz w:val="21"/>
              </w:rPr>
              <w:t>是</w:t>
            </w:r>
          </w:p>
        </w:tc>
        <w:tc>
          <w:tcPr>
            <w:tcW w:w="935" w:type="dxa"/>
            <w:tcBorders>
              <w:top w:val="single" w:sz="4" w:space="0" w:color="000000"/>
              <w:left w:val="single" w:sz="4" w:space="0" w:color="000000"/>
              <w:bottom w:val="single" w:sz="4" w:space="0" w:color="000000"/>
            </w:tcBorders>
          </w:tcPr>
          <w:p>
            <w:pPr>
              <w:pStyle w:val="TableParagraph"/>
              <w:rPr>
                <w:sz w:val="20"/>
              </w:rPr>
            </w:pPr>
          </w:p>
          <w:p>
            <w:pPr>
              <w:pStyle w:val="TableParagraph"/>
              <w:spacing w:before="10"/>
              <w:rPr>
                <w:sz w:val="22"/>
              </w:rPr>
            </w:pPr>
          </w:p>
          <w:p>
            <w:pPr>
              <w:pStyle w:val="TableParagraph"/>
              <w:ind w:left="39"/>
              <w:jc w:val="center"/>
              <w:rPr>
                <w:rFonts w:ascii="宋体" w:eastAsia="宋体" w:hint="eastAsia"/>
                <w:sz w:val="21"/>
              </w:rPr>
            </w:pPr>
            <w:r>
              <w:rPr>
                <w:rFonts w:ascii="宋体" w:eastAsia="宋体" w:hint="eastAsia"/>
                <w:w w:val="100"/>
                <w:sz w:val="21"/>
              </w:rPr>
              <w:t>是</w:t>
            </w:r>
          </w:p>
        </w:tc>
      </w:tr>
      <w:tr>
        <w:trPr>
          <w:trHeight w:val="620" w:hRule="atLeast"/>
        </w:trPr>
        <w:tc>
          <w:tcPr>
            <w:tcW w:w="836" w:type="dxa"/>
            <w:tcBorders>
              <w:top w:val="single" w:sz="4" w:space="0" w:color="000000"/>
              <w:right w:val="single" w:sz="4" w:space="0" w:color="000000"/>
            </w:tcBorders>
          </w:tcPr>
          <w:p>
            <w:pPr>
              <w:pStyle w:val="TableParagraph"/>
              <w:spacing w:before="22"/>
              <w:ind w:left="107"/>
              <w:rPr>
                <w:rFonts w:ascii="宋体" w:eastAsia="宋体" w:hint="eastAsia"/>
                <w:sz w:val="21"/>
              </w:rPr>
            </w:pPr>
            <w:r>
              <w:rPr>
                <w:rFonts w:ascii="宋体" w:eastAsia="宋体" w:hint="eastAsia"/>
                <w:sz w:val="21"/>
              </w:rPr>
              <w:t>与再</w:t>
            </w:r>
          </w:p>
          <w:p>
            <w:pPr>
              <w:pStyle w:val="TableParagraph"/>
              <w:spacing w:line="266" w:lineRule="exact" w:before="43"/>
              <w:ind w:left="107"/>
              <w:rPr>
                <w:rFonts w:ascii="宋体" w:eastAsia="宋体" w:hint="eastAsia"/>
                <w:sz w:val="21"/>
              </w:rPr>
            </w:pPr>
            <w:r>
              <w:rPr>
                <w:rFonts w:ascii="宋体" w:eastAsia="宋体" w:hint="eastAsia"/>
                <w:sz w:val="21"/>
              </w:rPr>
              <w:t>融资</w:t>
            </w:r>
          </w:p>
        </w:tc>
        <w:tc>
          <w:tcPr>
            <w:tcW w:w="994" w:type="dxa"/>
            <w:tcBorders>
              <w:top w:val="single" w:sz="4" w:space="0" w:color="000000"/>
              <w:left w:val="single" w:sz="4" w:space="0" w:color="000000"/>
              <w:right w:val="single" w:sz="4" w:space="0" w:color="000000"/>
            </w:tcBorders>
          </w:tcPr>
          <w:p>
            <w:pPr>
              <w:pStyle w:val="TableParagraph"/>
              <w:spacing w:before="22"/>
              <w:ind w:left="116"/>
              <w:rPr>
                <w:rFonts w:ascii="宋体" w:eastAsia="宋体" w:hint="eastAsia"/>
                <w:sz w:val="21"/>
              </w:rPr>
            </w:pPr>
            <w:r>
              <w:rPr>
                <w:rFonts w:ascii="宋体" w:eastAsia="宋体" w:hint="eastAsia"/>
                <w:spacing w:val="-13"/>
                <w:sz w:val="21"/>
              </w:rPr>
              <w:t>解 决 土</w:t>
            </w:r>
          </w:p>
          <w:p>
            <w:pPr>
              <w:pStyle w:val="TableParagraph"/>
              <w:spacing w:line="266" w:lineRule="exact" w:before="43"/>
              <w:ind w:left="116"/>
              <w:rPr>
                <w:rFonts w:ascii="宋体" w:eastAsia="宋体" w:hint="eastAsia"/>
                <w:sz w:val="21"/>
              </w:rPr>
            </w:pPr>
            <w:r>
              <w:rPr>
                <w:rFonts w:ascii="宋体" w:eastAsia="宋体" w:hint="eastAsia"/>
                <w:spacing w:val="-13"/>
                <w:sz w:val="21"/>
              </w:rPr>
              <w:t>地 等 产</w:t>
            </w:r>
          </w:p>
        </w:tc>
        <w:tc>
          <w:tcPr>
            <w:tcW w:w="1560" w:type="dxa"/>
            <w:tcBorders>
              <w:top w:val="single" w:sz="4" w:space="0" w:color="000000"/>
              <w:left w:val="single" w:sz="4" w:space="0" w:color="000000"/>
              <w:right w:val="single" w:sz="4" w:space="0" w:color="000000"/>
            </w:tcBorders>
          </w:tcPr>
          <w:p>
            <w:pPr>
              <w:pStyle w:val="TableParagraph"/>
              <w:spacing w:before="178"/>
              <w:ind w:left="116"/>
              <w:rPr>
                <w:rFonts w:ascii="宋体" w:eastAsia="宋体" w:hint="eastAsia"/>
                <w:sz w:val="21"/>
              </w:rPr>
            </w:pPr>
            <w:r>
              <w:rPr>
                <w:rFonts w:ascii="宋体" w:eastAsia="宋体" w:hint="eastAsia"/>
                <w:sz w:val="21"/>
              </w:rPr>
              <w:t>海尔集团公司</w:t>
            </w:r>
          </w:p>
        </w:tc>
        <w:tc>
          <w:tcPr>
            <w:tcW w:w="7086" w:type="dxa"/>
            <w:tcBorders>
              <w:top w:val="single" w:sz="4" w:space="0" w:color="000000"/>
              <w:left w:val="single" w:sz="4" w:space="0" w:color="000000"/>
              <w:right w:val="single" w:sz="4" w:space="0" w:color="000000"/>
            </w:tcBorders>
          </w:tcPr>
          <w:p>
            <w:pPr>
              <w:pStyle w:val="TableParagraph"/>
              <w:spacing w:before="22"/>
              <w:ind w:left="116"/>
              <w:rPr>
                <w:rFonts w:ascii="宋体" w:eastAsia="宋体" w:hint="eastAsia"/>
                <w:sz w:val="21"/>
              </w:rPr>
            </w:pPr>
            <w:r>
              <w:rPr>
                <w:rFonts w:ascii="宋体" w:eastAsia="宋体" w:hint="eastAsia"/>
                <w:spacing w:val="-7"/>
                <w:sz w:val="21"/>
              </w:rPr>
              <w:t>海尔集团公司承诺，将确保海尔智家及其子公司持续、稳定、不受干扰地使</w:t>
            </w:r>
          </w:p>
          <w:p>
            <w:pPr>
              <w:pStyle w:val="TableParagraph"/>
              <w:spacing w:line="266" w:lineRule="exact" w:before="43"/>
              <w:ind w:left="116"/>
              <w:rPr>
                <w:rFonts w:ascii="宋体" w:eastAsia="宋体" w:hint="eastAsia"/>
                <w:sz w:val="21"/>
              </w:rPr>
            </w:pPr>
            <w:r>
              <w:rPr>
                <w:rFonts w:ascii="宋体" w:eastAsia="宋体" w:hint="eastAsia"/>
                <w:spacing w:val="-10"/>
                <w:sz w:val="21"/>
              </w:rPr>
              <w:t>用租赁房产；如因租赁房产不具有相应房屋所有权证书的事实导致海尔智家</w:t>
            </w:r>
          </w:p>
        </w:tc>
        <w:tc>
          <w:tcPr>
            <w:tcW w:w="1846" w:type="dxa"/>
            <w:tcBorders>
              <w:top w:val="single" w:sz="4" w:space="0" w:color="000000"/>
              <w:left w:val="single" w:sz="4" w:space="0" w:color="000000"/>
              <w:right w:val="single" w:sz="4" w:space="0" w:color="000000"/>
            </w:tcBorders>
          </w:tcPr>
          <w:p>
            <w:pPr>
              <w:pStyle w:val="TableParagraph"/>
              <w:spacing w:before="22"/>
              <w:ind w:left="116"/>
              <w:rPr>
                <w:sz w:val="21"/>
              </w:rPr>
            </w:pPr>
            <w:r>
              <w:rPr>
                <w:sz w:val="21"/>
              </w:rPr>
              <w:t>2013 </w:t>
            </w:r>
            <w:r>
              <w:rPr>
                <w:rFonts w:ascii="宋体" w:eastAsia="宋体" w:hint="eastAsia"/>
                <w:sz w:val="21"/>
              </w:rPr>
              <w:t>年 </w:t>
            </w:r>
            <w:r>
              <w:rPr>
                <w:sz w:val="21"/>
              </w:rPr>
              <w:t>12 </w:t>
            </w:r>
            <w:r>
              <w:rPr>
                <w:rFonts w:ascii="宋体" w:eastAsia="宋体" w:hint="eastAsia"/>
                <w:sz w:val="21"/>
              </w:rPr>
              <w:t>月 </w:t>
            </w:r>
            <w:r>
              <w:rPr>
                <w:sz w:val="21"/>
              </w:rPr>
              <w:t>24</w:t>
            </w:r>
          </w:p>
          <w:p>
            <w:pPr>
              <w:pStyle w:val="TableParagraph"/>
              <w:spacing w:line="266" w:lineRule="exact" w:before="43"/>
              <w:ind w:left="116"/>
              <w:rPr>
                <w:rFonts w:ascii="宋体" w:eastAsia="宋体" w:hint="eastAsia"/>
                <w:sz w:val="21"/>
              </w:rPr>
            </w:pPr>
            <w:r>
              <w:rPr>
                <w:rFonts w:ascii="宋体" w:eastAsia="宋体" w:hint="eastAsia"/>
                <w:sz w:val="21"/>
              </w:rPr>
              <w:t>日，长期</w:t>
            </w:r>
          </w:p>
        </w:tc>
        <w:tc>
          <w:tcPr>
            <w:tcW w:w="849" w:type="dxa"/>
            <w:tcBorders>
              <w:top w:val="single" w:sz="4" w:space="0" w:color="000000"/>
              <w:left w:val="single" w:sz="4" w:space="0" w:color="000000"/>
              <w:right w:val="single" w:sz="4" w:space="0" w:color="000000"/>
            </w:tcBorders>
          </w:tcPr>
          <w:p>
            <w:pPr>
              <w:pStyle w:val="TableParagraph"/>
              <w:spacing w:before="178"/>
              <w:ind w:left="27"/>
              <w:jc w:val="center"/>
              <w:rPr>
                <w:rFonts w:ascii="宋体" w:eastAsia="宋体" w:hint="eastAsia"/>
                <w:sz w:val="21"/>
              </w:rPr>
            </w:pPr>
            <w:r>
              <w:rPr>
                <w:rFonts w:ascii="宋体" w:eastAsia="宋体" w:hint="eastAsia"/>
                <w:w w:val="100"/>
                <w:sz w:val="21"/>
              </w:rPr>
              <w:t>是</w:t>
            </w:r>
          </w:p>
        </w:tc>
        <w:tc>
          <w:tcPr>
            <w:tcW w:w="935" w:type="dxa"/>
            <w:tcBorders>
              <w:top w:val="single" w:sz="4" w:space="0" w:color="000000"/>
              <w:left w:val="single" w:sz="4" w:space="0" w:color="000000"/>
            </w:tcBorders>
          </w:tcPr>
          <w:p>
            <w:pPr>
              <w:pStyle w:val="TableParagraph"/>
              <w:spacing w:before="178"/>
              <w:ind w:left="39"/>
              <w:jc w:val="center"/>
              <w:rPr>
                <w:rFonts w:ascii="宋体" w:eastAsia="宋体" w:hint="eastAsia"/>
                <w:sz w:val="21"/>
              </w:rPr>
            </w:pPr>
            <w:r>
              <w:rPr>
                <w:rFonts w:ascii="宋体" w:eastAsia="宋体" w:hint="eastAsia"/>
                <w:w w:val="100"/>
                <w:sz w:val="21"/>
              </w:rPr>
              <w:t>是</w:t>
            </w:r>
          </w:p>
        </w:tc>
      </w:tr>
    </w:tbl>
    <w:p>
      <w:pPr>
        <w:spacing w:after="0"/>
        <w:jc w:val="center"/>
        <w:rPr>
          <w:rFonts w:ascii="宋体" w:eastAsia="宋体" w:hint="eastAsia"/>
          <w:sz w:val="21"/>
        </w:rPr>
        <w:sectPr>
          <w:headerReference w:type="default" r:id="rId38"/>
          <w:footerReference w:type="default" r:id="rId39"/>
          <w:pgSz w:w="16840" w:h="11910" w:orient="landscape"/>
          <w:pgMar w:header="876" w:footer="1214" w:top="1180" w:bottom="1400" w:left="1180" w:right="1280"/>
        </w:sectPr>
      </w:pPr>
    </w:p>
    <w:p>
      <w:pPr>
        <w:pStyle w:val="BodyText"/>
        <w:rPr>
          <w:rFonts w:ascii="Times New Roman"/>
          <w:sz w:val="20"/>
        </w:rPr>
      </w:pPr>
    </w:p>
    <w:p>
      <w:pPr>
        <w:pStyle w:val="BodyText"/>
        <w:rPr>
          <w:rFonts w:ascii="Times New Roman"/>
          <w:sz w:val="20"/>
        </w:rPr>
      </w:pPr>
    </w:p>
    <w:p>
      <w:pPr>
        <w:pStyle w:val="BodyText"/>
        <w:spacing w:before="7" w:after="1"/>
        <w:rPr>
          <w:rFonts w:ascii="Times New Roman"/>
          <w:sz w:val="13"/>
        </w:rPr>
      </w:pPr>
    </w:p>
    <w:tbl>
      <w:tblPr>
        <w:tblW w:w="0" w:type="auto"/>
        <w:jc w:val="left"/>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36"/>
        <w:gridCol w:w="994"/>
        <w:gridCol w:w="1560"/>
        <w:gridCol w:w="7086"/>
        <w:gridCol w:w="1846"/>
        <w:gridCol w:w="849"/>
        <w:gridCol w:w="935"/>
      </w:tblGrid>
      <w:tr>
        <w:trPr>
          <w:trHeight w:val="4367" w:hRule="atLeast"/>
        </w:trPr>
        <w:tc>
          <w:tcPr>
            <w:tcW w:w="836" w:type="dxa"/>
            <w:vMerge w:val="restart"/>
            <w:tcBorders>
              <w:bottom w:val="single" w:sz="4" w:space="0" w:color="000000"/>
              <w:right w:val="single" w:sz="4" w:space="0" w:color="000000"/>
            </w:tcBorders>
          </w:tcPr>
          <w:p>
            <w:pPr>
              <w:pStyle w:val="TableParagraph"/>
              <w:spacing w:line="278" w:lineRule="auto" w:before="22"/>
              <w:ind w:left="107" w:right="284"/>
              <w:jc w:val="both"/>
              <w:rPr>
                <w:rFonts w:ascii="宋体" w:eastAsia="宋体" w:hint="eastAsia"/>
                <w:sz w:val="21"/>
              </w:rPr>
            </w:pPr>
            <w:r>
              <w:rPr>
                <w:rFonts w:ascii="宋体" w:eastAsia="宋体" w:hint="eastAsia"/>
                <w:sz w:val="21"/>
              </w:rPr>
              <w:t>相关的承诺</w:t>
            </w:r>
          </w:p>
        </w:tc>
        <w:tc>
          <w:tcPr>
            <w:tcW w:w="994" w:type="dxa"/>
            <w:tcBorders>
              <w:left w:val="single" w:sz="4" w:space="0" w:color="000000"/>
              <w:bottom w:val="single" w:sz="4" w:space="0" w:color="000000"/>
              <w:right w:val="single" w:sz="4" w:space="0" w:color="000000"/>
            </w:tcBorders>
          </w:tcPr>
          <w:p>
            <w:pPr>
              <w:pStyle w:val="TableParagraph"/>
              <w:spacing w:before="22"/>
              <w:ind w:left="116"/>
              <w:rPr>
                <w:rFonts w:ascii="宋体" w:eastAsia="宋体" w:hint="eastAsia"/>
                <w:sz w:val="21"/>
              </w:rPr>
            </w:pPr>
            <w:r>
              <w:rPr>
                <w:rFonts w:ascii="宋体" w:eastAsia="宋体" w:hint="eastAsia"/>
                <w:sz w:val="21"/>
              </w:rPr>
              <w:t>权瑕疵</w:t>
            </w:r>
          </w:p>
        </w:tc>
        <w:tc>
          <w:tcPr>
            <w:tcW w:w="1560" w:type="dxa"/>
            <w:tcBorders>
              <w:left w:val="single" w:sz="4" w:space="0" w:color="000000"/>
              <w:bottom w:val="single" w:sz="4" w:space="0" w:color="000000"/>
              <w:right w:val="single" w:sz="4" w:space="0" w:color="000000"/>
            </w:tcBorders>
          </w:tcPr>
          <w:p>
            <w:pPr>
              <w:pStyle w:val="TableParagraph"/>
              <w:rPr>
                <w:sz w:val="20"/>
              </w:rPr>
            </w:pPr>
          </w:p>
        </w:tc>
        <w:tc>
          <w:tcPr>
            <w:tcW w:w="7086" w:type="dxa"/>
            <w:tcBorders>
              <w:left w:val="single" w:sz="4" w:space="0" w:color="000000"/>
              <w:bottom w:val="single" w:sz="4" w:space="0" w:color="000000"/>
              <w:right w:val="single" w:sz="4" w:space="0" w:color="000000"/>
            </w:tcBorders>
          </w:tcPr>
          <w:p>
            <w:pPr>
              <w:pStyle w:val="TableParagraph"/>
              <w:spacing w:line="278" w:lineRule="auto" w:before="22"/>
              <w:ind w:left="116" w:right="-29"/>
              <w:rPr>
                <w:rFonts w:ascii="宋体" w:eastAsia="宋体" w:hint="eastAsia"/>
                <w:sz w:val="21"/>
              </w:rPr>
            </w:pPr>
            <w:r>
              <w:rPr>
                <w:rFonts w:ascii="宋体" w:eastAsia="宋体" w:hint="eastAsia"/>
                <w:spacing w:val="-3"/>
                <w:sz w:val="21"/>
              </w:rPr>
              <w:t>或其子公司遭受任何经济损失，则海尔集团公司将向相关受损方进行及时、</w:t>
            </w:r>
            <w:r>
              <w:rPr>
                <w:rFonts w:ascii="宋体" w:eastAsia="宋体" w:hint="eastAsia"/>
                <w:spacing w:val="-10"/>
                <w:sz w:val="21"/>
              </w:rPr>
              <w:t>充分的赔偿，并采取一切合理可行的措施协助受损方尽快恢复损害发生之前的正常生产经营状态；在相关租赁期满之后，海尔集团公司将授予或采取现</w:t>
            </w:r>
            <w:r>
              <w:rPr>
                <w:rFonts w:ascii="宋体" w:eastAsia="宋体" w:hint="eastAsia"/>
                <w:spacing w:val="-5"/>
                <w:sz w:val="21"/>
              </w:rPr>
              <w:t>实可行的措施确保海尔智家及其子公司以不高于届时可比市场租金水平的 </w:t>
            </w:r>
            <w:r>
              <w:rPr>
                <w:rFonts w:ascii="宋体" w:eastAsia="宋体" w:hint="eastAsia"/>
                <w:spacing w:val="-4"/>
                <w:sz w:val="21"/>
              </w:rPr>
              <w:t>价格续租租赁房产的优先权。海尔集团公司将确保海尔智家及其子公司持 </w:t>
            </w:r>
            <w:r>
              <w:rPr>
                <w:rFonts w:ascii="宋体" w:eastAsia="宋体" w:hint="eastAsia"/>
                <w:spacing w:val="-9"/>
                <w:sz w:val="21"/>
              </w:rPr>
              <w:t>续、稳定、无偿且不受干扰地使用自建房产及集团土地；如因自建房产不具</w:t>
            </w:r>
            <w:r>
              <w:rPr>
                <w:rFonts w:ascii="宋体" w:eastAsia="宋体" w:hint="eastAsia"/>
                <w:spacing w:val="-5"/>
                <w:sz w:val="21"/>
              </w:rPr>
              <w:t>有相应房屋所有权证书的事实导致海尔智家或其子公司无法继续根据其自 </w:t>
            </w:r>
            <w:r>
              <w:rPr>
                <w:rFonts w:ascii="宋体" w:eastAsia="宋体" w:hint="eastAsia"/>
                <w:spacing w:val="-8"/>
                <w:sz w:val="21"/>
              </w:rPr>
              <w:t>身意愿或以原有方式使用自建房产，则海尔集团公司将采取一切合理可行的</w:t>
            </w:r>
            <w:r>
              <w:rPr>
                <w:rFonts w:ascii="宋体" w:eastAsia="宋体" w:hint="eastAsia"/>
                <w:spacing w:val="-10"/>
                <w:sz w:val="21"/>
              </w:rPr>
              <w:t>措施排除妨碍、消除影响，或者，在海尔集团公司预计其合理努力无法克服或消除外部的妨碍或影响时，海尔集团公司将协助海尔智家或其受影响子公</w:t>
            </w:r>
            <w:r>
              <w:rPr>
                <w:rFonts w:ascii="宋体" w:eastAsia="宋体" w:hint="eastAsia"/>
                <w:spacing w:val="-13"/>
                <w:sz w:val="21"/>
              </w:rPr>
              <w:t>司尽快获得替代性的房产。详见公司于 </w:t>
            </w:r>
            <w:r>
              <w:rPr>
                <w:sz w:val="21"/>
              </w:rPr>
              <w:t>2014</w:t>
            </w:r>
            <w:r>
              <w:rPr>
                <w:spacing w:val="4"/>
                <w:sz w:val="21"/>
              </w:rPr>
              <w:t> </w:t>
            </w:r>
            <w:r>
              <w:rPr>
                <w:rFonts w:ascii="宋体" w:eastAsia="宋体" w:hint="eastAsia"/>
                <w:spacing w:val="-26"/>
                <w:sz w:val="21"/>
              </w:rPr>
              <w:t>年 </w:t>
            </w:r>
            <w:r>
              <w:rPr>
                <w:sz w:val="21"/>
              </w:rPr>
              <w:t>3</w:t>
            </w:r>
            <w:r>
              <w:rPr>
                <w:spacing w:val="4"/>
                <w:sz w:val="21"/>
              </w:rPr>
              <w:t> </w:t>
            </w:r>
            <w:r>
              <w:rPr>
                <w:rFonts w:ascii="宋体" w:eastAsia="宋体" w:hint="eastAsia"/>
                <w:spacing w:val="-26"/>
                <w:sz w:val="21"/>
              </w:rPr>
              <w:t>月 </w:t>
            </w:r>
            <w:r>
              <w:rPr>
                <w:sz w:val="21"/>
              </w:rPr>
              <w:t>29</w:t>
            </w:r>
            <w:r>
              <w:rPr>
                <w:spacing w:val="4"/>
                <w:sz w:val="21"/>
              </w:rPr>
              <w:t> </w:t>
            </w:r>
            <w:r>
              <w:rPr>
                <w:rFonts w:ascii="宋体" w:eastAsia="宋体" w:hint="eastAsia"/>
                <w:spacing w:val="-3"/>
                <w:sz w:val="21"/>
              </w:rPr>
              <w:t>日刊登在四大证券报</w:t>
            </w:r>
            <w:r>
              <w:rPr>
                <w:rFonts w:ascii="宋体" w:eastAsia="宋体" w:hint="eastAsia"/>
                <w:spacing w:val="-15"/>
                <w:sz w:val="21"/>
              </w:rPr>
              <w:t>及上交所网站上的《青岛海尔股份有限公司关于瑕疵房产的形成原因、现状、</w:t>
            </w:r>
            <w:r>
              <w:rPr>
                <w:rFonts w:ascii="宋体" w:eastAsia="宋体" w:hint="eastAsia"/>
                <w:spacing w:val="-10"/>
                <w:sz w:val="21"/>
              </w:rPr>
              <w:t>产权的不确定性对发行人生产经营的影响、对不动产瑕疵问题的处理计划及</w:t>
            </w:r>
          </w:p>
          <w:p>
            <w:pPr>
              <w:pStyle w:val="TableParagraph"/>
              <w:spacing w:line="268" w:lineRule="exact"/>
              <w:ind w:left="116"/>
              <w:rPr>
                <w:rFonts w:ascii="宋体" w:eastAsia="宋体" w:hint="eastAsia"/>
                <w:sz w:val="21"/>
              </w:rPr>
            </w:pPr>
            <w:r>
              <w:rPr>
                <w:rFonts w:ascii="宋体" w:eastAsia="宋体" w:hint="eastAsia"/>
                <w:sz w:val="21"/>
              </w:rPr>
              <w:t>保障措施的公告》（临 </w:t>
            </w:r>
            <w:r>
              <w:rPr>
                <w:sz w:val="21"/>
              </w:rPr>
              <w:t>2014-005</w:t>
            </w:r>
            <w:r>
              <w:rPr>
                <w:rFonts w:ascii="宋体" w:eastAsia="宋体" w:hint="eastAsia"/>
                <w:sz w:val="21"/>
              </w:rPr>
              <w:t>）。</w:t>
            </w:r>
          </w:p>
        </w:tc>
        <w:tc>
          <w:tcPr>
            <w:tcW w:w="1846" w:type="dxa"/>
            <w:tcBorders>
              <w:left w:val="single" w:sz="4" w:space="0" w:color="000000"/>
              <w:bottom w:val="single" w:sz="4" w:space="0" w:color="000000"/>
              <w:right w:val="single" w:sz="4" w:space="0" w:color="000000"/>
            </w:tcBorders>
          </w:tcPr>
          <w:p>
            <w:pPr>
              <w:pStyle w:val="TableParagraph"/>
              <w:rPr>
                <w:sz w:val="20"/>
              </w:rPr>
            </w:pPr>
          </w:p>
        </w:tc>
        <w:tc>
          <w:tcPr>
            <w:tcW w:w="849" w:type="dxa"/>
            <w:tcBorders>
              <w:left w:val="single" w:sz="4" w:space="0" w:color="000000"/>
              <w:bottom w:val="single" w:sz="4" w:space="0" w:color="000000"/>
              <w:right w:val="single" w:sz="4" w:space="0" w:color="000000"/>
            </w:tcBorders>
          </w:tcPr>
          <w:p>
            <w:pPr>
              <w:pStyle w:val="TableParagraph"/>
              <w:rPr>
                <w:sz w:val="20"/>
              </w:rPr>
            </w:pPr>
          </w:p>
        </w:tc>
        <w:tc>
          <w:tcPr>
            <w:tcW w:w="935" w:type="dxa"/>
            <w:tcBorders>
              <w:left w:val="single" w:sz="4" w:space="0" w:color="000000"/>
              <w:bottom w:val="single" w:sz="4" w:space="0" w:color="000000"/>
            </w:tcBorders>
          </w:tcPr>
          <w:p>
            <w:pPr>
              <w:pStyle w:val="TableParagraph"/>
              <w:rPr>
                <w:sz w:val="20"/>
              </w:rPr>
            </w:pPr>
          </w:p>
        </w:tc>
      </w:tr>
      <w:tr>
        <w:trPr>
          <w:trHeight w:val="3432" w:hRule="atLeast"/>
        </w:trPr>
        <w:tc>
          <w:tcPr>
            <w:tcW w:w="836" w:type="dxa"/>
            <w:vMerge/>
            <w:tcBorders>
              <w:top w:val="nil"/>
              <w:bottom w:val="single" w:sz="4" w:space="0" w:color="000000"/>
              <w:right w:val="single" w:sz="4" w:space="0" w:color="000000"/>
            </w:tcBorders>
          </w:tcPr>
          <w:p>
            <w:pPr>
              <w:rPr>
                <w:sz w:val="2"/>
                <w:szCs w:val="2"/>
              </w:rPr>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line="278" w:lineRule="auto" w:before="121"/>
              <w:ind w:left="116" w:right="85"/>
              <w:jc w:val="both"/>
              <w:rPr>
                <w:rFonts w:ascii="宋体" w:eastAsia="宋体" w:hint="eastAsia"/>
                <w:sz w:val="21"/>
              </w:rPr>
            </w:pPr>
            <w:r>
              <w:rPr>
                <w:rFonts w:ascii="宋体" w:eastAsia="宋体" w:hint="eastAsia"/>
                <w:spacing w:val="-16"/>
                <w:sz w:val="21"/>
              </w:rPr>
              <w:t>解 决 土地 等 产</w:t>
            </w:r>
            <w:r>
              <w:rPr>
                <w:rFonts w:ascii="宋体" w:eastAsia="宋体" w:hint="eastAsia"/>
                <w:sz w:val="21"/>
              </w:rPr>
              <w:t>权瑕疵</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
              <w:rPr>
                <w:sz w:val="24"/>
              </w:rPr>
            </w:pPr>
          </w:p>
          <w:p>
            <w:pPr>
              <w:pStyle w:val="TableParagraph"/>
              <w:spacing w:line="278" w:lineRule="auto"/>
              <w:ind w:left="116" w:right="85"/>
              <w:rPr>
                <w:rFonts w:ascii="宋体" w:eastAsia="宋体" w:hint="eastAsia"/>
                <w:sz w:val="21"/>
              </w:rPr>
            </w:pPr>
            <w:r>
              <w:rPr>
                <w:rFonts w:ascii="宋体" w:eastAsia="宋体" w:hint="eastAsia"/>
                <w:sz w:val="21"/>
              </w:rPr>
              <w:t>海尔智家股份有限公司</w:t>
            </w:r>
          </w:p>
        </w:tc>
        <w:tc>
          <w:tcPr>
            <w:tcW w:w="708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23"/>
              <w:ind w:left="116" w:right="82"/>
              <w:jc w:val="both"/>
              <w:rPr>
                <w:rFonts w:ascii="宋体" w:eastAsia="宋体" w:hint="eastAsia"/>
                <w:sz w:val="21"/>
              </w:rPr>
            </w:pPr>
            <w:r>
              <w:rPr>
                <w:rFonts w:ascii="宋体" w:eastAsia="宋体" w:hint="eastAsia"/>
                <w:spacing w:val="-10"/>
                <w:sz w:val="21"/>
              </w:rPr>
              <w:t>公司承诺自 </w:t>
            </w:r>
            <w:r>
              <w:rPr>
                <w:sz w:val="21"/>
              </w:rPr>
              <w:t>2013 </w:t>
            </w:r>
            <w:r>
              <w:rPr>
                <w:rFonts w:ascii="宋体" w:eastAsia="宋体" w:hint="eastAsia"/>
                <w:spacing w:val="-25"/>
                <w:sz w:val="21"/>
              </w:rPr>
              <w:t>年 </w:t>
            </w:r>
            <w:r>
              <w:rPr>
                <w:sz w:val="21"/>
              </w:rPr>
              <w:t>12 </w:t>
            </w:r>
            <w:r>
              <w:rPr>
                <w:rFonts w:ascii="宋体" w:eastAsia="宋体" w:hint="eastAsia"/>
                <w:spacing w:val="-25"/>
                <w:sz w:val="21"/>
              </w:rPr>
              <w:t>月 </w:t>
            </w:r>
            <w:r>
              <w:rPr>
                <w:sz w:val="21"/>
              </w:rPr>
              <w:t>24 </w:t>
            </w:r>
            <w:r>
              <w:rPr>
                <w:rFonts w:ascii="宋体" w:eastAsia="宋体" w:hint="eastAsia"/>
                <w:spacing w:val="-3"/>
                <w:sz w:val="21"/>
              </w:rPr>
              <w:t>日起，公司将尽合理的商业努力于五年内解决</w:t>
            </w:r>
            <w:r>
              <w:rPr>
                <w:rFonts w:ascii="宋体" w:eastAsia="宋体" w:hint="eastAsia"/>
                <w:spacing w:val="-7"/>
                <w:sz w:val="21"/>
              </w:rPr>
              <w:t>公司及主要子公司的不动产瑕疵，以期实现公司及主要子公司在土地和房产</w:t>
            </w:r>
            <w:r>
              <w:rPr>
                <w:rFonts w:ascii="宋体" w:eastAsia="宋体" w:hint="eastAsia"/>
                <w:spacing w:val="-14"/>
                <w:sz w:val="21"/>
              </w:rPr>
              <w:t>方面的合法合规性。详见公司于 </w:t>
            </w:r>
            <w:r>
              <w:rPr>
                <w:sz w:val="21"/>
              </w:rPr>
              <w:t>2014 </w:t>
            </w:r>
            <w:r>
              <w:rPr>
                <w:rFonts w:ascii="宋体" w:eastAsia="宋体" w:hint="eastAsia"/>
                <w:spacing w:val="-25"/>
                <w:sz w:val="21"/>
              </w:rPr>
              <w:t>年 </w:t>
            </w:r>
            <w:r>
              <w:rPr>
                <w:sz w:val="21"/>
              </w:rPr>
              <w:t>3 </w:t>
            </w:r>
            <w:r>
              <w:rPr>
                <w:rFonts w:ascii="宋体" w:eastAsia="宋体" w:hint="eastAsia"/>
                <w:spacing w:val="-25"/>
                <w:sz w:val="21"/>
              </w:rPr>
              <w:t>月 </w:t>
            </w:r>
            <w:r>
              <w:rPr>
                <w:sz w:val="21"/>
              </w:rPr>
              <w:t>29 </w:t>
            </w:r>
            <w:r>
              <w:rPr>
                <w:rFonts w:ascii="宋体" w:eastAsia="宋体" w:hint="eastAsia"/>
                <w:spacing w:val="-3"/>
                <w:sz w:val="21"/>
              </w:rPr>
              <w:t>日刊登在四大证券报及上交</w:t>
            </w:r>
            <w:r>
              <w:rPr>
                <w:rFonts w:ascii="宋体" w:eastAsia="宋体" w:hint="eastAsia"/>
                <w:spacing w:val="-8"/>
                <w:sz w:val="21"/>
              </w:rPr>
              <w:t>所网站上的《青岛海尔股份有限公司关于瑕疵房产的形成原因、现状、产权</w:t>
            </w:r>
            <w:r>
              <w:rPr>
                <w:rFonts w:ascii="宋体" w:eastAsia="宋体" w:hint="eastAsia"/>
                <w:spacing w:val="-9"/>
                <w:sz w:val="21"/>
              </w:rPr>
              <w:t>的不确定性对发行人生产经营的影响、对不动产瑕疵问题的处理计划及保障</w:t>
            </w:r>
            <w:r>
              <w:rPr>
                <w:rFonts w:ascii="宋体" w:eastAsia="宋体" w:hint="eastAsia"/>
                <w:spacing w:val="-5"/>
                <w:sz w:val="21"/>
              </w:rPr>
              <w:t>措施的公告》</w:t>
            </w:r>
            <w:r>
              <w:rPr>
                <w:rFonts w:ascii="宋体" w:eastAsia="宋体" w:hint="eastAsia"/>
                <w:spacing w:val="-3"/>
                <w:sz w:val="21"/>
              </w:rPr>
              <w:t>（</w:t>
            </w:r>
            <w:r>
              <w:rPr>
                <w:rFonts w:ascii="宋体" w:eastAsia="宋体" w:hint="eastAsia"/>
                <w:spacing w:val="-23"/>
                <w:sz w:val="21"/>
              </w:rPr>
              <w:t>临 </w:t>
            </w:r>
            <w:r>
              <w:rPr>
                <w:sz w:val="21"/>
              </w:rPr>
              <w:t>2014-005</w:t>
            </w:r>
            <w:r>
              <w:rPr>
                <w:rFonts w:ascii="宋体" w:eastAsia="宋体" w:hint="eastAsia"/>
                <w:sz w:val="21"/>
              </w:rPr>
              <w:t>）</w:t>
            </w:r>
            <w:r>
              <w:rPr>
                <w:rFonts w:ascii="宋体" w:eastAsia="宋体" w:hint="eastAsia"/>
                <w:spacing w:val="-14"/>
                <w:sz w:val="21"/>
              </w:rPr>
              <w:t>。截至 </w:t>
            </w:r>
            <w:r>
              <w:rPr>
                <w:sz w:val="21"/>
              </w:rPr>
              <w:t>2018 </w:t>
            </w:r>
            <w:r>
              <w:rPr>
                <w:rFonts w:ascii="宋体" w:eastAsia="宋体" w:hint="eastAsia"/>
                <w:spacing w:val="-3"/>
                <w:sz w:val="21"/>
              </w:rPr>
              <w:t>年底，公司已解决公司及其中八</w:t>
            </w:r>
            <w:r>
              <w:rPr>
                <w:rFonts w:ascii="宋体" w:eastAsia="宋体" w:hint="eastAsia"/>
                <w:spacing w:val="-7"/>
                <w:sz w:val="21"/>
              </w:rPr>
              <w:t>家主要子公司的房产瑕疵，其余五家主要子公司的房产瑕疵正在解决中，经</w:t>
            </w:r>
            <w:r>
              <w:rPr>
                <w:rFonts w:ascii="宋体" w:eastAsia="宋体" w:hint="eastAsia"/>
                <w:spacing w:val="-16"/>
                <w:sz w:val="21"/>
              </w:rPr>
              <w:t>公司于 </w:t>
            </w:r>
            <w:r>
              <w:rPr>
                <w:sz w:val="21"/>
              </w:rPr>
              <w:t>2018 </w:t>
            </w:r>
            <w:r>
              <w:rPr>
                <w:rFonts w:ascii="宋体" w:eastAsia="宋体" w:hint="eastAsia"/>
                <w:spacing w:val="-27"/>
                <w:sz w:val="21"/>
              </w:rPr>
              <w:t>年 </w:t>
            </w:r>
            <w:r>
              <w:rPr>
                <w:sz w:val="21"/>
              </w:rPr>
              <w:t>11 </w:t>
            </w:r>
            <w:r>
              <w:rPr>
                <w:rFonts w:ascii="宋体" w:eastAsia="宋体" w:hint="eastAsia"/>
                <w:spacing w:val="-26"/>
                <w:sz w:val="21"/>
              </w:rPr>
              <w:t>月 </w:t>
            </w:r>
            <w:r>
              <w:rPr>
                <w:sz w:val="21"/>
              </w:rPr>
              <w:t>5 </w:t>
            </w:r>
            <w:r>
              <w:rPr>
                <w:rFonts w:ascii="宋体" w:eastAsia="宋体" w:hint="eastAsia"/>
                <w:spacing w:val="-9"/>
                <w:sz w:val="21"/>
              </w:rPr>
              <w:t>日召开的董事会及 </w:t>
            </w:r>
            <w:r>
              <w:rPr>
                <w:sz w:val="21"/>
              </w:rPr>
              <w:t>2018 </w:t>
            </w:r>
            <w:r>
              <w:rPr>
                <w:rFonts w:ascii="宋体" w:eastAsia="宋体" w:hint="eastAsia"/>
                <w:spacing w:val="-27"/>
                <w:sz w:val="21"/>
              </w:rPr>
              <w:t>年 </w:t>
            </w:r>
            <w:r>
              <w:rPr>
                <w:sz w:val="21"/>
              </w:rPr>
              <w:t>12 </w:t>
            </w:r>
            <w:r>
              <w:rPr>
                <w:rFonts w:ascii="宋体" w:eastAsia="宋体" w:hint="eastAsia"/>
                <w:spacing w:val="-26"/>
                <w:sz w:val="21"/>
              </w:rPr>
              <w:t>月 </w:t>
            </w:r>
            <w:r>
              <w:rPr>
                <w:sz w:val="21"/>
              </w:rPr>
              <w:t>21 </w:t>
            </w:r>
            <w:r>
              <w:rPr>
                <w:rFonts w:ascii="宋体" w:eastAsia="宋体" w:hint="eastAsia"/>
                <w:spacing w:val="-3"/>
                <w:sz w:val="21"/>
              </w:rPr>
              <w:t>日召开的股东大</w:t>
            </w:r>
            <w:r>
              <w:rPr>
                <w:rFonts w:ascii="宋体" w:eastAsia="宋体" w:hint="eastAsia"/>
                <w:spacing w:val="-8"/>
                <w:sz w:val="21"/>
              </w:rPr>
              <w:t>会审议批准，前述承诺事宜在原期限基础上延长三年。目前，五家主要子公司的房产瑕疵已经通过办理不动产权证、搬迁后瑕疵房产随土地入储、瑕疵</w:t>
            </w:r>
          </w:p>
          <w:p>
            <w:pPr>
              <w:pStyle w:val="TableParagraph"/>
              <w:spacing w:line="268" w:lineRule="exact"/>
              <w:ind w:left="116"/>
              <w:rPr>
                <w:rFonts w:ascii="宋体" w:eastAsia="宋体" w:hint="eastAsia"/>
                <w:sz w:val="21"/>
              </w:rPr>
            </w:pPr>
            <w:r>
              <w:rPr>
                <w:rFonts w:ascii="宋体" w:eastAsia="宋体" w:hint="eastAsia"/>
                <w:sz w:val="21"/>
              </w:rPr>
              <w:t>房产随子公司股权剥离等方式得到妥善解决，公司已经完成本项承诺。</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62"/>
              <w:ind w:left="116"/>
              <w:rPr>
                <w:sz w:val="21"/>
              </w:rPr>
            </w:pPr>
            <w:r>
              <w:rPr>
                <w:sz w:val="21"/>
              </w:rPr>
              <w:t>2013 </w:t>
            </w:r>
            <w:r>
              <w:rPr>
                <w:rFonts w:ascii="宋体" w:eastAsia="宋体" w:hint="eastAsia"/>
                <w:sz w:val="21"/>
              </w:rPr>
              <w:t>年 </w:t>
            </w:r>
            <w:r>
              <w:rPr>
                <w:sz w:val="21"/>
              </w:rPr>
              <w:t>12 </w:t>
            </w:r>
            <w:r>
              <w:rPr>
                <w:rFonts w:ascii="宋体" w:eastAsia="宋体" w:hint="eastAsia"/>
                <w:sz w:val="21"/>
              </w:rPr>
              <w:t>月 </w:t>
            </w:r>
            <w:r>
              <w:rPr>
                <w:sz w:val="21"/>
              </w:rPr>
              <w:t>24</w:t>
            </w:r>
          </w:p>
          <w:p>
            <w:pPr>
              <w:pStyle w:val="TableParagraph"/>
              <w:spacing w:before="43"/>
              <w:ind w:left="116"/>
              <w:rPr>
                <w:rFonts w:ascii="宋体" w:eastAsia="宋体" w:hint="eastAsia"/>
                <w:sz w:val="21"/>
              </w:rPr>
            </w:pPr>
            <w:r>
              <w:rPr>
                <w:rFonts w:ascii="宋体" w:eastAsia="宋体" w:hint="eastAsia"/>
                <w:sz w:val="21"/>
              </w:rPr>
              <w:t>日，八年</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17"/>
              </w:rPr>
            </w:pPr>
          </w:p>
          <w:p>
            <w:pPr>
              <w:pStyle w:val="TableParagraph"/>
              <w:ind w:left="27"/>
              <w:jc w:val="center"/>
              <w:rPr>
                <w:rFonts w:ascii="宋体" w:eastAsia="宋体" w:hint="eastAsia"/>
                <w:sz w:val="21"/>
              </w:rPr>
            </w:pPr>
            <w:r>
              <w:rPr>
                <w:rFonts w:ascii="宋体" w:eastAsia="宋体" w:hint="eastAsia"/>
                <w:w w:val="100"/>
                <w:sz w:val="21"/>
              </w:rPr>
              <w:t>是</w:t>
            </w:r>
          </w:p>
        </w:tc>
        <w:tc>
          <w:tcPr>
            <w:tcW w:w="935" w:type="dxa"/>
            <w:tcBorders>
              <w:top w:val="single" w:sz="4" w:space="0" w:color="000000"/>
              <w:left w:val="single" w:sz="4" w:space="0" w:color="000000"/>
              <w:bottom w:val="single" w:sz="4"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17"/>
              </w:rPr>
            </w:pPr>
          </w:p>
          <w:p>
            <w:pPr>
              <w:pStyle w:val="TableParagraph"/>
              <w:ind w:left="39"/>
              <w:jc w:val="center"/>
              <w:rPr>
                <w:rFonts w:ascii="宋体" w:eastAsia="宋体" w:hint="eastAsia"/>
                <w:sz w:val="21"/>
              </w:rPr>
            </w:pPr>
            <w:r>
              <w:rPr>
                <w:rFonts w:ascii="宋体" w:eastAsia="宋体" w:hint="eastAsia"/>
                <w:w w:val="100"/>
                <w:sz w:val="21"/>
              </w:rPr>
              <w:t>是</w:t>
            </w:r>
          </w:p>
        </w:tc>
      </w:tr>
      <w:tr>
        <w:trPr>
          <w:trHeight w:val="623" w:hRule="atLeast"/>
        </w:trPr>
        <w:tc>
          <w:tcPr>
            <w:tcW w:w="836" w:type="dxa"/>
            <w:tcBorders>
              <w:top w:val="single" w:sz="4" w:space="0" w:color="000000"/>
              <w:right w:val="single" w:sz="4" w:space="0" w:color="000000"/>
            </w:tcBorders>
          </w:tcPr>
          <w:p>
            <w:pPr>
              <w:pStyle w:val="TableParagraph"/>
              <w:spacing w:before="25"/>
              <w:ind w:left="107"/>
              <w:rPr>
                <w:rFonts w:ascii="宋体" w:eastAsia="宋体" w:hint="eastAsia"/>
                <w:sz w:val="21"/>
              </w:rPr>
            </w:pPr>
            <w:r>
              <w:rPr>
                <w:rFonts w:ascii="宋体" w:eastAsia="宋体" w:hint="eastAsia"/>
                <w:sz w:val="21"/>
              </w:rPr>
              <w:t>其他</w:t>
            </w:r>
          </w:p>
          <w:p>
            <w:pPr>
              <w:pStyle w:val="TableParagraph"/>
              <w:spacing w:line="266" w:lineRule="exact" w:before="43"/>
              <w:ind w:left="107"/>
              <w:rPr>
                <w:rFonts w:ascii="宋体" w:eastAsia="宋体" w:hint="eastAsia"/>
                <w:sz w:val="21"/>
              </w:rPr>
            </w:pPr>
            <w:r>
              <w:rPr>
                <w:rFonts w:ascii="宋体" w:eastAsia="宋体" w:hint="eastAsia"/>
                <w:sz w:val="21"/>
              </w:rPr>
              <w:t>承诺</w:t>
            </w:r>
          </w:p>
        </w:tc>
        <w:tc>
          <w:tcPr>
            <w:tcW w:w="994" w:type="dxa"/>
            <w:tcBorders>
              <w:top w:val="single" w:sz="4" w:space="0" w:color="000000"/>
              <w:left w:val="single" w:sz="4" w:space="0" w:color="000000"/>
              <w:right w:val="single" w:sz="4" w:space="0" w:color="000000"/>
            </w:tcBorders>
          </w:tcPr>
          <w:p>
            <w:pPr>
              <w:pStyle w:val="TableParagraph"/>
              <w:spacing w:before="25"/>
              <w:ind w:left="116"/>
              <w:rPr>
                <w:rFonts w:ascii="宋体" w:eastAsia="宋体" w:hint="eastAsia"/>
                <w:sz w:val="21"/>
              </w:rPr>
            </w:pPr>
            <w:r>
              <w:rPr>
                <w:rFonts w:ascii="宋体" w:eastAsia="宋体" w:hint="eastAsia"/>
                <w:sz w:val="21"/>
              </w:rPr>
              <w:t>资 产 注</w:t>
            </w:r>
          </w:p>
          <w:p>
            <w:pPr>
              <w:pStyle w:val="TableParagraph"/>
              <w:spacing w:line="266" w:lineRule="exact" w:before="43"/>
              <w:ind w:left="116"/>
              <w:rPr>
                <w:rFonts w:ascii="宋体" w:eastAsia="宋体" w:hint="eastAsia"/>
                <w:sz w:val="21"/>
              </w:rPr>
            </w:pPr>
            <w:r>
              <w:rPr>
                <w:rFonts w:ascii="宋体" w:eastAsia="宋体" w:hint="eastAsia"/>
                <w:w w:val="100"/>
                <w:sz w:val="21"/>
              </w:rPr>
              <w:t>入</w:t>
            </w:r>
          </w:p>
        </w:tc>
        <w:tc>
          <w:tcPr>
            <w:tcW w:w="1560" w:type="dxa"/>
            <w:tcBorders>
              <w:top w:val="single" w:sz="4" w:space="0" w:color="000000"/>
              <w:left w:val="single" w:sz="4" w:space="0" w:color="000000"/>
              <w:right w:val="single" w:sz="4" w:space="0" w:color="000000"/>
            </w:tcBorders>
          </w:tcPr>
          <w:p>
            <w:pPr>
              <w:pStyle w:val="TableParagraph"/>
              <w:spacing w:before="8"/>
              <w:rPr>
                <w:sz w:val="15"/>
              </w:rPr>
            </w:pPr>
          </w:p>
          <w:p>
            <w:pPr>
              <w:pStyle w:val="TableParagraph"/>
              <w:ind w:left="116"/>
              <w:rPr>
                <w:rFonts w:ascii="宋体" w:eastAsia="宋体" w:hint="eastAsia"/>
                <w:sz w:val="21"/>
              </w:rPr>
            </w:pPr>
            <w:r>
              <w:rPr>
                <w:rFonts w:ascii="宋体" w:eastAsia="宋体" w:hint="eastAsia"/>
                <w:sz w:val="21"/>
              </w:rPr>
              <w:t>海尔集团公司</w:t>
            </w:r>
          </w:p>
        </w:tc>
        <w:tc>
          <w:tcPr>
            <w:tcW w:w="7086" w:type="dxa"/>
            <w:tcBorders>
              <w:top w:val="single" w:sz="4" w:space="0" w:color="000000"/>
              <w:left w:val="single" w:sz="4" w:space="0" w:color="000000"/>
              <w:right w:val="single" w:sz="4" w:space="0" w:color="000000"/>
            </w:tcBorders>
          </w:tcPr>
          <w:p>
            <w:pPr>
              <w:pStyle w:val="TableParagraph"/>
              <w:spacing w:before="25"/>
              <w:ind w:left="116"/>
              <w:rPr>
                <w:rFonts w:ascii="宋体" w:eastAsia="宋体" w:hint="eastAsia"/>
                <w:sz w:val="21"/>
              </w:rPr>
            </w:pPr>
            <w:r>
              <w:rPr>
                <w:rFonts w:ascii="宋体" w:eastAsia="宋体" w:hint="eastAsia"/>
                <w:sz w:val="21"/>
              </w:rPr>
              <w:t>于 </w:t>
            </w:r>
            <w:r>
              <w:rPr>
                <w:sz w:val="21"/>
              </w:rPr>
              <w:t>2025 </w:t>
            </w:r>
            <w:r>
              <w:rPr>
                <w:rFonts w:ascii="宋体" w:eastAsia="宋体" w:hint="eastAsia"/>
                <w:sz w:val="21"/>
              </w:rPr>
              <w:t>年 </w:t>
            </w:r>
            <w:r>
              <w:rPr>
                <w:sz w:val="21"/>
              </w:rPr>
              <w:t>6 </w:t>
            </w:r>
            <w:r>
              <w:rPr>
                <w:rFonts w:ascii="宋体" w:eastAsia="宋体" w:hint="eastAsia"/>
                <w:sz w:val="21"/>
              </w:rPr>
              <w:t>月之前向公司注入或通过其他符合境内监管要求的方式处置海</w:t>
            </w:r>
          </w:p>
          <w:p>
            <w:pPr>
              <w:pStyle w:val="TableParagraph"/>
              <w:spacing w:line="266" w:lineRule="exact" w:before="43"/>
              <w:ind w:left="116"/>
              <w:rPr>
                <w:rFonts w:ascii="宋体" w:eastAsia="宋体" w:hint="eastAsia"/>
                <w:sz w:val="21"/>
              </w:rPr>
            </w:pPr>
            <w:r>
              <w:rPr>
                <w:rFonts w:ascii="宋体" w:eastAsia="宋体" w:hint="eastAsia"/>
                <w:spacing w:val="-13"/>
                <w:sz w:val="21"/>
              </w:rPr>
              <w:t>尔光电相关资产。详见公司于 </w:t>
            </w:r>
            <w:r>
              <w:rPr>
                <w:sz w:val="21"/>
              </w:rPr>
              <w:t>2020 </w:t>
            </w:r>
            <w:r>
              <w:rPr>
                <w:rFonts w:ascii="宋体" w:eastAsia="宋体" w:hint="eastAsia"/>
                <w:spacing w:val="-24"/>
                <w:sz w:val="21"/>
              </w:rPr>
              <w:t>年 </w:t>
            </w:r>
            <w:r>
              <w:rPr>
                <w:sz w:val="21"/>
              </w:rPr>
              <w:t>4 </w:t>
            </w:r>
            <w:r>
              <w:rPr>
                <w:rFonts w:ascii="宋体" w:eastAsia="宋体" w:hint="eastAsia"/>
                <w:spacing w:val="-25"/>
                <w:sz w:val="21"/>
              </w:rPr>
              <w:t>月 </w:t>
            </w:r>
            <w:r>
              <w:rPr>
                <w:sz w:val="21"/>
              </w:rPr>
              <w:t>30 </w:t>
            </w:r>
            <w:r>
              <w:rPr>
                <w:rFonts w:ascii="宋体" w:eastAsia="宋体" w:hint="eastAsia"/>
                <w:spacing w:val="-3"/>
                <w:sz w:val="21"/>
              </w:rPr>
              <w:t>日刊登在四大证券报及上交所</w:t>
            </w:r>
          </w:p>
        </w:tc>
        <w:tc>
          <w:tcPr>
            <w:tcW w:w="1846" w:type="dxa"/>
            <w:tcBorders>
              <w:top w:val="single" w:sz="4" w:space="0" w:color="000000"/>
              <w:left w:val="single" w:sz="4" w:space="0" w:color="000000"/>
              <w:right w:val="single" w:sz="4" w:space="0" w:color="000000"/>
            </w:tcBorders>
          </w:tcPr>
          <w:p>
            <w:pPr>
              <w:pStyle w:val="TableParagraph"/>
              <w:spacing w:before="25"/>
              <w:ind w:left="116"/>
              <w:rPr>
                <w:rFonts w:ascii="宋体" w:eastAsia="宋体" w:hint="eastAsia"/>
                <w:sz w:val="21"/>
              </w:rPr>
            </w:pPr>
            <w:r>
              <w:rPr>
                <w:sz w:val="21"/>
              </w:rPr>
              <w:t>2015 </w:t>
            </w:r>
            <w:r>
              <w:rPr>
                <w:rFonts w:ascii="宋体" w:eastAsia="宋体" w:hint="eastAsia"/>
                <w:sz w:val="21"/>
              </w:rPr>
              <w:t>年 </w:t>
            </w:r>
            <w:r>
              <w:rPr>
                <w:sz w:val="21"/>
              </w:rPr>
              <w:t>12 </w:t>
            </w:r>
            <w:r>
              <w:rPr>
                <w:rFonts w:ascii="宋体" w:eastAsia="宋体" w:hint="eastAsia"/>
                <w:sz w:val="21"/>
              </w:rPr>
              <w:t>月至</w:t>
            </w:r>
          </w:p>
          <w:p>
            <w:pPr>
              <w:pStyle w:val="TableParagraph"/>
              <w:spacing w:line="266" w:lineRule="exact" w:before="43"/>
              <w:ind w:left="116"/>
              <w:rPr>
                <w:rFonts w:ascii="宋体" w:eastAsia="宋体" w:hint="eastAsia"/>
                <w:sz w:val="21"/>
              </w:rPr>
            </w:pPr>
            <w:r>
              <w:rPr>
                <w:sz w:val="21"/>
              </w:rPr>
              <w:t>2025 </w:t>
            </w:r>
            <w:r>
              <w:rPr>
                <w:rFonts w:ascii="宋体" w:eastAsia="宋体" w:hint="eastAsia"/>
                <w:sz w:val="21"/>
              </w:rPr>
              <w:t>年 </w:t>
            </w:r>
            <w:r>
              <w:rPr>
                <w:sz w:val="21"/>
              </w:rPr>
              <w:t>6 </w:t>
            </w:r>
            <w:r>
              <w:rPr>
                <w:rFonts w:ascii="宋体" w:eastAsia="宋体" w:hint="eastAsia"/>
                <w:sz w:val="21"/>
              </w:rPr>
              <w:t>月</w:t>
            </w:r>
          </w:p>
        </w:tc>
        <w:tc>
          <w:tcPr>
            <w:tcW w:w="849" w:type="dxa"/>
            <w:tcBorders>
              <w:top w:val="single" w:sz="4" w:space="0" w:color="000000"/>
              <w:left w:val="single" w:sz="4" w:space="0" w:color="000000"/>
              <w:right w:val="single" w:sz="4" w:space="0" w:color="000000"/>
            </w:tcBorders>
          </w:tcPr>
          <w:p>
            <w:pPr>
              <w:pStyle w:val="TableParagraph"/>
              <w:spacing w:before="8"/>
              <w:rPr>
                <w:sz w:val="15"/>
              </w:rPr>
            </w:pPr>
          </w:p>
          <w:p>
            <w:pPr>
              <w:pStyle w:val="TableParagraph"/>
              <w:ind w:left="27"/>
              <w:jc w:val="center"/>
              <w:rPr>
                <w:rFonts w:ascii="宋体" w:eastAsia="宋体" w:hint="eastAsia"/>
                <w:sz w:val="21"/>
              </w:rPr>
            </w:pPr>
            <w:r>
              <w:rPr>
                <w:rFonts w:ascii="宋体" w:eastAsia="宋体" w:hint="eastAsia"/>
                <w:w w:val="100"/>
                <w:sz w:val="21"/>
              </w:rPr>
              <w:t>是</w:t>
            </w:r>
          </w:p>
        </w:tc>
        <w:tc>
          <w:tcPr>
            <w:tcW w:w="935" w:type="dxa"/>
            <w:tcBorders>
              <w:top w:val="single" w:sz="4" w:space="0" w:color="000000"/>
              <w:left w:val="single" w:sz="4" w:space="0" w:color="000000"/>
            </w:tcBorders>
          </w:tcPr>
          <w:p>
            <w:pPr>
              <w:pStyle w:val="TableParagraph"/>
              <w:spacing w:before="8"/>
              <w:rPr>
                <w:sz w:val="15"/>
              </w:rPr>
            </w:pPr>
          </w:p>
          <w:p>
            <w:pPr>
              <w:pStyle w:val="TableParagraph"/>
              <w:ind w:left="39"/>
              <w:jc w:val="center"/>
              <w:rPr>
                <w:rFonts w:ascii="宋体" w:eastAsia="宋体" w:hint="eastAsia"/>
                <w:sz w:val="21"/>
              </w:rPr>
            </w:pPr>
            <w:r>
              <w:rPr>
                <w:rFonts w:ascii="宋体" w:eastAsia="宋体" w:hint="eastAsia"/>
                <w:w w:val="100"/>
                <w:sz w:val="21"/>
              </w:rPr>
              <w:t>是</w:t>
            </w:r>
          </w:p>
        </w:tc>
      </w:tr>
    </w:tbl>
    <w:p>
      <w:pPr>
        <w:spacing w:after="0"/>
        <w:jc w:val="center"/>
        <w:rPr>
          <w:rFonts w:ascii="宋体" w:eastAsia="宋体" w:hint="eastAsia"/>
          <w:sz w:val="21"/>
        </w:rPr>
        <w:sectPr>
          <w:headerReference w:type="default" r:id="rId40"/>
          <w:footerReference w:type="default" r:id="rId41"/>
          <w:pgSz w:w="16840" w:h="11910" w:orient="landscape"/>
          <w:pgMar w:header="876" w:footer="1214" w:top="1180" w:bottom="1400" w:left="1180" w:right="1280"/>
          <w:pgNumType w:start="1"/>
        </w:sectPr>
      </w:pPr>
    </w:p>
    <w:p>
      <w:pPr>
        <w:pStyle w:val="BodyText"/>
        <w:rPr>
          <w:rFonts w:ascii="Times New Roman"/>
          <w:sz w:val="20"/>
        </w:rPr>
      </w:pPr>
    </w:p>
    <w:p>
      <w:pPr>
        <w:pStyle w:val="BodyText"/>
        <w:rPr>
          <w:rFonts w:ascii="Times New Roman"/>
          <w:sz w:val="20"/>
        </w:rPr>
      </w:pPr>
    </w:p>
    <w:p>
      <w:pPr>
        <w:pStyle w:val="BodyText"/>
        <w:spacing w:before="7" w:after="1"/>
        <w:rPr>
          <w:rFonts w:ascii="Times New Roman"/>
          <w:sz w:val="13"/>
        </w:rPr>
      </w:pPr>
    </w:p>
    <w:tbl>
      <w:tblPr>
        <w:tblW w:w="0" w:type="auto"/>
        <w:jc w:val="left"/>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36"/>
        <w:gridCol w:w="994"/>
        <w:gridCol w:w="1560"/>
        <w:gridCol w:w="7086"/>
        <w:gridCol w:w="1846"/>
        <w:gridCol w:w="849"/>
        <w:gridCol w:w="935"/>
      </w:tblGrid>
      <w:tr>
        <w:trPr>
          <w:trHeight w:val="613" w:hRule="atLeast"/>
        </w:trPr>
        <w:tc>
          <w:tcPr>
            <w:tcW w:w="836" w:type="dxa"/>
            <w:vMerge w:val="restart"/>
            <w:tcBorders>
              <w:right w:val="single" w:sz="4" w:space="0" w:color="000000"/>
            </w:tcBorders>
          </w:tcPr>
          <w:p>
            <w:pPr>
              <w:pStyle w:val="TableParagraph"/>
              <w:rPr>
                <w:sz w:val="20"/>
              </w:rPr>
            </w:pPr>
          </w:p>
        </w:tc>
        <w:tc>
          <w:tcPr>
            <w:tcW w:w="994" w:type="dxa"/>
            <w:tcBorders>
              <w:left w:val="single" w:sz="4" w:space="0" w:color="000000"/>
              <w:bottom w:val="single" w:sz="4" w:space="0" w:color="000000"/>
              <w:right w:val="single" w:sz="4" w:space="0" w:color="000000"/>
            </w:tcBorders>
          </w:tcPr>
          <w:p>
            <w:pPr>
              <w:pStyle w:val="TableParagraph"/>
              <w:rPr>
                <w:sz w:val="20"/>
              </w:rPr>
            </w:pPr>
          </w:p>
        </w:tc>
        <w:tc>
          <w:tcPr>
            <w:tcW w:w="1560" w:type="dxa"/>
            <w:tcBorders>
              <w:left w:val="single" w:sz="4" w:space="0" w:color="000000"/>
              <w:bottom w:val="single" w:sz="4" w:space="0" w:color="000000"/>
              <w:right w:val="single" w:sz="4" w:space="0" w:color="000000"/>
            </w:tcBorders>
          </w:tcPr>
          <w:p>
            <w:pPr>
              <w:pStyle w:val="TableParagraph"/>
              <w:rPr>
                <w:sz w:val="20"/>
              </w:rPr>
            </w:pPr>
          </w:p>
        </w:tc>
        <w:tc>
          <w:tcPr>
            <w:tcW w:w="7086" w:type="dxa"/>
            <w:tcBorders>
              <w:left w:val="single" w:sz="4" w:space="0" w:color="000000"/>
              <w:bottom w:val="single" w:sz="4" w:space="0" w:color="000000"/>
              <w:right w:val="single" w:sz="4" w:space="0" w:color="000000"/>
            </w:tcBorders>
          </w:tcPr>
          <w:p>
            <w:pPr>
              <w:pStyle w:val="TableParagraph"/>
              <w:spacing w:before="22"/>
              <w:ind w:left="116"/>
              <w:rPr>
                <w:rFonts w:ascii="宋体" w:eastAsia="宋体" w:hint="eastAsia"/>
                <w:sz w:val="21"/>
              </w:rPr>
            </w:pPr>
            <w:r>
              <w:rPr>
                <w:rFonts w:ascii="宋体" w:eastAsia="宋体" w:hint="eastAsia"/>
                <w:sz w:val="21"/>
              </w:rPr>
              <w:t>网站上的《海尔智家股份有限公司关于海尔集团公司变更其部分资产注入承</w:t>
            </w:r>
          </w:p>
          <w:p>
            <w:pPr>
              <w:pStyle w:val="TableParagraph"/>
              <w:spacing w:line="259" w:lineRule="exact" w:before="43"/>
              <w:ind w:left="116"/>
              <w:rPr>
                <w:rFonts w:ascii="宋体" w:eastAsia="宋体" w:hint="eastAsia"/>
                <w:sz w:val="21"/>
              </w:rPr>
            </w:pPr>
            <w:r>
              <w:rPr>
                <w:rFonts w:ascii="宋体" w:eastAsia="宋体" w:hint="eastAsia"/>
                <w:sz w:val="21"/>
              </w:rPr>
              <w:t>诺的公告》（临 </w:t>
            </w:r>
            <w:r>
              <w:rPr>
                <w:sz w:val="21"/>
              </w:rPr>
              <w:t>2020-024</w:t>
            </w:r>
            <w:r>
              <w:rPr>
                <w:rFonts w:ascii="宋体" w:eastAsia="宋体" w:hint="eastAsia"/>
                <w:sz w:val="21"/>
              </w:rPr>
              <w:t>）。</w:t>
            </w:r>
          </w:p>
        </w:tc>
        <w:tc>
          <w:tcPr>
            <w:tcW w:w="1846" w:type="dxa"/>
            <w:tcBorders>
              <w:left w:val="single" w:sz="4" w:space="0" w:color="000000"/>
              <w:bottom w:val="single" w:sz="4" w:space="0" w:color="000000"/>
              <w:right w:val="single" w:sz="4" w:space="0" w:color="000000"/>
            </w:tcBorders>
          </w:tcPr>
          <w:p>
            <w:pPr>
              <w:pStyle w:val="TableParagraph"/>
              <w:rPr>
                <w:sz w:val="20"/>
              </w:rPr>
            </w:pPr>
          </w:p>
        </w:tc>
        <w:tc>
          <w:tcPr>
            <w:tcW w:w="849" w:type="dxa"/>
            <w:tcBorders>
              <w:left w:val="single" w:sz="4" w:space="0" w:color="000000"/>
              <w:bottom w:val="single" w:sz="4" w:space="0" w:color="000000"/>
              <w:right w:val="single" w:sz="4" w:space="0" w:color="000000"/>
            </w:tcBorders>
          </w:tcPr>
          <w:p>
            <w:pPr>
              <w:pStyle w:val="TableParagraph"/>
              <w:rPr>
                <w:sz w:val="20"/>
              </w:rPr>
            </w:pPr>
          </w:p>
        </w:tc>
        <w:tc>
          <w:tcPr>
            <w:tcW w:w="935" w:type="dxa"/>
            <w:tcBorders>
              <w:left w:val="single" w:sz="4" w:space="0" w:color="000000"/>
              <w:bottom w:val="single" w:sz="4" w:space="0" w:color="000000"/>
            </w:tcBorders>
          </w:tcPr>
          <w:p>
            <w:pPr>
              <w:pStyle w:val="TableParagraph"/>
              <w:rPr>
                <w:sz w:val="20"/>
              </w:rPr>
            </w:pPr>
          </w:p>
        </w:tc>
      </w:tr>
      <w:tr>
        <w:trPr>
          <w:trHeight w:val="3109" w:hRule="atLeast"/>
        </w:trPr>
        <w:tc>
          <w:tcPr>
            <w:tcW w:w="836" w:type="dxa"/>
            <w:vMerge/>
            <w:tcBorders>
              <w:top w:val="nil"/>
              <w:right w:val="single" w:sz="4" w:space="0" w:color="000000"/>
            </w:tcBorders>
          </w:tcPr>
          <w:p>
            <w:pPr>
              <w:rPr>
                <w:sz w:val="2"/>
                <w:szCs w:val="2"/>
              </w:rPr>
            </w:pPr>
          </w:p>
        </w:tc>
        <w:tc>
          <w:tcPr>
            <w:tcW w:w="994" w:type="dxa"/>
            <w:tcBorders>
              <w:top w:val="single" w:sz="4" w:space="0" w:color="000000"/>
              <w:left w:val="single" w:sz="4" w:space="0" w:color="000000"/>
              <w:right w:val="single" w:sz="4"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
              <w:rPr>
                <w:sz w:val="16"/>
              </w:rPr>
            </w:pPr>
          </w:p>
          <w:p>
            <w:pPr>
              <w:pStyle w:val="TableParagraph"/>
              <w:spacing w:line="278" w:lineRule="auto"/>
              <w:ind w:left="116" w:right="85"/>
              <w:jc w:val="both"/>
              <w:rPr>
                <w:rFonts w:ascii="宋体" w:eastAsia="宋体" w:hint="eastAsia"/>
                <w:sz w:val="21"/>
              </w:rPr>
            </w:pPr>
            <w:r>
              <w:rPr>
                <w:rFonts w:ascii="宋体" w:eastAsia="宋体" w:hint="eastAsia"/>
                <w:spacing w:val="-16"/>
                <w:sz w:val="21"/>
              </w:rPr>
              <w:t>盈 利 预测 及 补</w:t>
            </w:r>
            <w:r>
              <w:rPr>
                <w:rFonts w:ascii="宋体" w:eastAsia="宋体" w:hint="eastAsia"/>
                <w:sz w:val="21"/>
              </w:rPr>
              <w:t>偿</w:t>
            </w:r>
          </w:p>
        </w:tc>
        <w:tc>
          <w:tcPr>
            <w:tcW w:w="1560" w:type="dxa"/>
            <w:tcBorders>
              <w:top w:val="single" w:sz="4" w:space="0" w:color="000000"/>
              <w:left w:val="single" w:sz="4" w:space="0" w:color="000000"/>
              <w:right w:val="single" w:sz="4"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29"/>
              </w:rPr>
            </w:pPr>
          </w:p>
          <w:p>
            <w:pPr>
              <w:pStyle w:val="TableParagraph"/>
              <w:spacing w:line="278" w:lineRule="auto" w:before="1"/>
              <w:ind w:left="116" w:right="86"/>
              <w:rPr>
                <w:rFonts w:ascii="宋体" w:eastAsia="宋体" w:hint="eastAsia"/>
                <w:sz w:val="21"/>
              </w:rPr>
            </w:pPr>
            <w:r>
              <w:rPr>
                <w:rFonts w:ascii="宋体" w:eastAsia="宋体" w:hint="eastAsia"/>
                <w:sz w:val="21"/>
              </w:rPr>
              <w:t>海尔卡奥斯股份有限公司</w:t>
            </w:r>
          </w:p>
        </w:tc>
        <w:tc>
          <w:tcPr>
            <w:tcW w:w="7086" w:type="dxa"/>
            <w:tcBorders>
              <w:top w:val="single" w:sz="4" w:space="0" w:color="000000"/>
              <w:left w:val="single" w:sz="4" w:space="0" w:color="000000"/>
              <w:right w:val="single" w:sz="4" w:space="0" w:color="000000"/>
            </w:tcBorders>
          </w:tcPr>
          <w:p>
            <w:pPr>
              <w:pStyle w:val="TableParagraph"/>
              <w:spacing w:line="278" w:lineRule="auto" w:before="12"/>
              <w:ind w:left="116" w:right="82"/>
              <w:rPr>
                <w:rFonts w:ascii="宋体" w:hAnsi="宋体" w:eastAsia="宋体" w:hint="eastAsia"/>
                <w:sz w:val="21"/>
              </w:rPr>
            </w:pPr>
            <w:r>
              <w:rPr>
                <w:sz w:val="21"/>
              </w:rPr>
              <w:t>2018 </w:t>
            </w:r>
            <w:r>
              <w:rPr>
                <w:rFonts w:ascii="宋体" w:hAnsi="宋体" w:eastAsia="宋体" w:hint="eastAsia"/>
                <w:spacing w:val="-23"/>
                <w:sz w:val="21"/>
              </w:rPr>
              <w:t>年 </w:t>
            </w:r>
            <w:r>
              <w:rPr>
                <w:sz w:val="21"/>
              </w:rPr>
              <w:t>8 </w:t>
            </w:r>
            <w:r>
              <w:rPr>
                <w:rFonts w:ascii="宋体" w:hAnsi="宋体" w:eastAsia="宋体" w:hint="eastAsia"/>
                <w:spacing w:val="-3"/>
                <w:sz w:val="21"/>
              </w:rPr>
              <w:t>月，公司的间接控股子公司贯美</w:t>
            </w:r>
            <w:r>
              <w:rPr>
                <w:rFonts w:ascii="宋体" w:hAnsi="宋体" w:eastAsia="宋体" w:hint="eastAsia"/>
                <w:sz w:val="21"/>
              </w:rPr>
              <w:t>（</w:t>
            </w:r>
            <w:r>
              <w:rPr>
                <w:rFonts w:ascii="宋体" w:hAnsi="宋体" w:eastAsia="宋体" w:hint="eastAsia"/>
                <w:spacing w:val="-2"/>
                <w:sz w:val="21"/>
              </w:rPr>
              <w:t>上海</w:t>
            </w:r>
            <w:r>
              <w:rPr>
                <w:rFonts w:ascii="宋体" w:hAnsi="宋体" w:eastAsia="宋体" w:hint="eastAsia"/>
                <w:spacing w:val="-3"/>
                <w:sz w:val="21"/>
              </w:rPr>
              <w:t>）企业管理有限公司（</w:t>
            </w:r>
            <w:r>
              <w:rPr>
                <w:rFonts w:ascii="宋体" w:hAnsi="宋体" w:eastAsia="宋体" w:hint="eastAsia"/>
                <w:sz w:val="21"/>
              </w:rPr>
              <w:t>以下简称</w:t>
            </w:r>
            <w:r>
              <w:rPr>
                <w:sz w:val="21"/>
              </w:rPr>
              <w:t>“</w:t>
            </w:r>
            <w:r>
              <w:rPr>
                <w:rFonts w:ascii="宋体" w:hAnsi="宋体" w:eastAsia="宋体" w:hint="eastAsia"/>
                <w:spacing w:val="-3"/>
                <w:sz w:val="21"/>
              </w:rPr>
              <w:t>贯美公司</w:t>
            </w:r>
            <w:r>
              <w:rPr>
                <w:spacing w:val="-11"/>
                <w:sz w:val="21"/>
              </w:rPr>
              <w:t>”</w:t>
            </w:r>
            <w:r>
              <w:rPr>
                <w:rFonts w:ascii="宋体" w:hAnsi="宋体" w:eastAsia="宋体" w:hint="eastAsia"/>
                <w:spacing w:val="-11"/>
                <w:sz w:val="21"/>
              </w:rPr>
              <w:t>）</w:t>
            </w:r>
            <w:r>
              <w:rPr>
                <w:rFonts w:ascii="宋体" w:hAnsi="宋体" w:eastAsia="宋体" w:hint="eastAsia"/>
                <w:spacing w:val="-6"/>
                <w:sz w:val="21"/>
              </w:rPr>
              <w:t>以其持有的冰戟</w:t>
            </w:r>
            <w:r>
              <w:rPr>
                <w:rFonts w:ascii="宋体" w:hAnsi="宋体" w:eastAsia="宋体" w:hint="eastAsia"/>
                <w:sz w:val="21"/>
              </w:rPr>
              <w:t>（</w:t>
            </w:r>
            <w:r>
              <w:rPr>
                <w:rFonts w:ascii="宋体" w:hAnsi="宋体" w:eastAsia="宋体" w:hint="eastAsia"/>
                <w:spacing w:val="-2"/>
                <w:sz w:val="21"/>
              </w:rPr>
              <w:t>上海</w:t>
            </w:r>
            <w:r>
              <w:rPr>
                <w:rFonts w:ascii="宋体" w:hAnsi="宋体" w:eastAsia="宋体" w:hint="eastAsia"/>
                <w:spacing w:val="-20"/>
                <w:sz w:val="21"/>
              </w:rPr>
              <w:t>）</w:t>
            </w:r>
            <w:r>
              <w:rPr>
                <w:rFonts w:ascii="宋体" w:hAnsi="宋体" w:eastAsia="宋体" w:hint="eastAsia"/>
                <w:spacing w:val="-6"/>
                <w:sz w:val="21"/>
              </w:rPr>
              <w:t>企业管理有限公司 </w:t>
            </w:r>
            <w:r>
              <w:rPr>
                <w:sz w:val="21"/>
              </w:rPr>
              <w:t>55%</w:t>
            </w:r>
            <w:r>
              <w:rPr>
                <w:rFonts w:ascii="宋体" w:hAnsi="宋体" w:eastAsia="宋体" w:hint="eastAsia"/>
                <w:spacing w:val="-2"/>
                <w:sz w:val="21"/>
              </w:rPr>
              <w:t>股权与</w:t>
            </w:r>
            <w:r>
              <w:rPr>
                <w:rFonts w:ascii="宋体" w:hAnsi="宋体" w:eastAsia="宋体" w:hint="eastAsia"/>
                <w:spacing w:val="-5"/>
                <w:sz w:val="21"/>
              </w:rPr>
              <w:t>海尔电器国际股份有限公司</w:t>
            </w:r>
            <w:r>
              <w:rPr>
                <w:rFonts w:ascii="宋体" w:hAnsi="宋体" w:eastAsia="宋体" w:hint="eastAsia"/>
                <w:sz w:val="21"/>
              </w:rPr>
              <w:t>（</w:t>
            </w:r>
            <w:r>
              <w:rPr>
                <w:rFonts w:ascii="宋体" w:hAnsi="宋体" w:eastAsia="宋体" w:hint="eastAsia"/>
                <w:spacing w:val="-3"/>
                <w:sz w:val="21"/>
              </w:rPr>
              <w:t>以下简称</w:t>
            </w:r>
            <w:r>
              <w:rPr>
                <w:sz w:val="21"/>
              </w:rPr>
              <w:t>“</w:t>
            </w:r>
            <w:r>
              <w:rPr>
                <w:rFonts w:ascii="宋体" w:hAnsi="宋体" w:eastAsia="宋体" w:hint="eastAsia"/>
                <w:spacing w:val="-3"/>
                <w:sz w:val="21"/>
              </w:rPr>
              <w:t>海尔国际</w:t>
            </w:r>
            <w:r>
              <w:rPr>
                <w:spacing w:val="-12"/>
                <w:sz w:val="21"/>
              </w:rPr>
              <w:t>”</w:t>
            </w:r>
            <w:r>
              <w:rPr>
                <w:rFonts w:ascii="宋体" w:hAnsi="宋体" w:eastAsia="宋体" w:hint="eastAsia"/>
                <w:spacing w:val="-12"/>
                <w:sz w:val="21"/>
              </w:rPr>
              <w:t>）</w:t>
            </w:r>
            <w:r>
              <w:rPr>
                <w:rFonts w:ascii="宋体" w:hAnsi="宋体" w:eastAsia="宋体" w:hint="eastAsia"/>
                <w:spacing w:val="-3"/>
                <w:sz w:val="21"/>
              </w:rPr>
              <w:t>持有的青岛海施水设备有限公司</w:t>
            </w:r>
            <w:r>
              <w:rPr>
                <w:rFonts w:ascii="宋体" w:hAnsi="宋体" w:eastAsia="宋体" w:hint="eastAsia"/>
                <w:sz w:val="21"/>
              </w:rPr>
              <w:t>（</w:t>
            </w:r>
            <w:r>
              <w:rPr>
                <w:rFonts w:ascii="宋体" w:hAnsi="宋体" w:eastAsia="宋体" w:hint="eastAsia"/>
                <w:spacing w:val="-3"/>
                <w:sz w:val="21"/>
              </w:rPr>
              <w:t>以下简称</w:t>
            </w:r>
            <w:r>
              <w:rPr>
                <w:sz w:val="21"/>
              </w:rPr>
              <w:t>“</w:t>
            </w:r>
            <w:r>
              <w:rPr>
                <w:rFonts w:ascii="宋体" w:hAnsi="宋体" w:eastAsia="宋体" w:hint="eastAsia"/>
                <w:spacing w:val="-2"/>
                <w:sz w:val="21"/>
              </w:rPr>
              <w:t>水设备</w:t>
            </w:r>
            <w:r>
              <w:rPr>
                <w:sz w:val="21"/>
              </w:rPr>
              <w:t>”</w:t>
            </w:r>
            <w:r>
              <w:rPr>
                <w:rFonts w:ascii="宋体" w:hAnsi="宋体" w:eastAsia="宋体" w:hint="eastAsia"/>
                <w:sz w:val="21"/>
              </w:rPr>
              <w:t>）</w:t>
            </w:r>
            <w:r>
              <w:rPr>
                <w:sz w:val="21"/>
              </w:rPr>
              <w:t>51%</w:t>
            </w:r>
            <w:r>
              <w:rPr>
                <w:rFonts w:ascii="宋体" w:hAnsi="宋体" w:eastAsia="宋体" w:hint="eastAsia"/>
                <w:spacing w:val="-3"/>
                <w:sz w:val="21"/>
              </w:rPr>
              <w:t>股权进行置换，就此事宜，海尔国际承</w:t>
            </w:r>
            <w:r>
              <w:rPr>
                <w:rFonts w:ascii="宋体" w:hAnsi="宋体" w:eastAsia="宋体" w:hint="eastAsia"/>
                <w:spacing w:val="-10"/>
                <w:sz w:val="21"/>
              </w:rPr>
              <w:t>诺，水设备在盈利补偿期间三个会计年度实现的累计实际净利润数不低于其</w:t>
            </w:r>
            <w:r>
              <w:rPr>
                <w:rFonts w:ascii="宋体" w:hAnsi="宋体" w:eastAsia="宋体" w:hint="eastAsia"/>
                <w:spacing w:val="-9"/>
                <w:sz w:val="21"/>
              </w:rPr>
              <w:t>在相应年度累计预测净利润数，否则海尔国际需要根据《资产置换协议》的</w:t>
            </w:r>
            <w:r>
              <w:rPr>
                <w:rFonts w:ascii="宋体" w:hAnsi="宋体" w:eastAsia="宋体" w:hint="eastAsia"/>
                <w:spacing w:val="-11"/>
                <w:sz w:val="21"/>
              </w:rPr>
              <w:t>约定向贯美公司进行业绩补偿。内容详见公司于 </w:t>
            </w:r>
            <w:r>
              <w:rPr>
                <w:sz w:val="21"/>
              </w:rPr>
              <w:t>2018 </w:t>
            </w:r>
            <w:r>
              <w:rPr>
                <w:rFonts w:ascii="宋体" w:hAnsi="宋体" w:eastAsia="宋体" w:hint="eastAsia"/>
                <w:spacing w:val="-24"/>
                <w:sz w:val="21"/>
              </w:rPr>
              <w:t>年 </w:t>
            </w:r>
            <w:r>
              <w:rPr>
                <w:sz w:val="21"/>
              </w:rPr>
              <w:t>8 </w:t>
            </w:r>
            <w:r>
              <w:rPr>
                <w:rFonts w:ascii="宋体" w:hAnsi="宋体" w:eastAsia="宋体" w:hint="eastAsia"/>
                <w:spacing w:val="-24"/>
                <w:sz w:val="21"/>
              </w:rPr>
              <w:t>月 </w:t>
            </w:r>
            <w:r>
              <w:rPr>
                <w:sz w:val="21"/>
              </w:rPr>
              <w:t>31 </w:t>
            </w:r>
            <w:r>
              <w:rPr>
                <w:rFonts w:ascii="宋体" w:hAnsi="宋体" w:eastAsia="宋体" w:hint="eastAsia"/>
                <w:spacing w:val="-3"/>
                <w:sz w:val="21"/>
              </w:rPr>
              <w:t>日刊登在四</w:t>
            </w:r>
            <w:r>
              <w:rPr>
                <w:rFonts w:ascii="宋体" w:hAnsi="宋体" w:eastAsia="宋体" w:hint="eastAsia"/>
                <w:spacing w:val="-7"/>
                <w:sz w:val="21"/>
              </w:rPr>
              <w:t>大证券报及上海证券交易所网站上的《青岛海尔股份有限公司关于控股子公</w:t>
            </w:r>
            <w:r>
              <w:rPr>
                <w:rFonts w:ascii="宋体" w:hAnsi="宋体" w:eastAsia="宋体" w:hint="eastAsia"/>
                <w:spacing w:val="-5"/>
                <w:sz w:val="21"/>
              </w:rPr>
              <w:t>司与海尔电器国际股份有限公司拟实施股权置换暨关联交易的公告》</w:t>
            </w:r>
            <w:r>
              <w:rPr>
                <w:rFonts w:ascii="宋体" w:hAnsi="宋体" w:eastAsia="宋体" w:hint="eastAsia"/>
                <w:spacing w:val="-3"/>
                <w:sz w:val="21"/>
              </w:rPr>
              <w:t>（</w:t>
            </w:r>
            <w:r>
              <w:rPr>
                <w:rFonts w:ascii="宋体" w:hAnsi="宋体" w:eastAsia="宋体" w:hint="eastAsia"/>
                <w:sz w:val="21"/>
              </w:rPr>
              <w:t>临</w:t>
            </w:r>
          </w:p>
          <w:p>
            <w:pPr>
              <w:pStyle w:val="TableParagraph"/>
              <w:spacing w:line="268" w:lineRule="exact"/>
              <w:ind w:left="116"/>
              <w:rPr>
                <w:rFonts w:ascii="宋体" w:eastAsia="宋体" w:hint="eastAsia"/>
                <w:sz w:val="21"/>
              </w:rPr>
            </w:pPr>
            <w:r>
              <w:rPr>
                <w:sz w:val="21"/>
              </w:rPr>
              <w:t>2018-047</w:t>
            </w:r>
            <w:r>
              <w:rPr>
                <w:rFonts w:ascii="宋体" w:eastAsia="宋体" w:hint="eastAsia"/>
                <w:sz w:val="21"/>
              </w:rPr>
              <w:t>）。</w:t>
            </w:r>
          </w:p>
        </w:tc>
        <w:tc>
          <w:tcPr>
            <w:tcW w:w="1846" w:type="dxa"/>
            <w:tcBorders>
              <w:top w:val="single" w:sz="4" w:space="0" w:color="000000"/>
              <w:left w:val="single" w:sz="4" w:space="0" w:color="000000"/>
              <w:right w:val="single" w:sz="4" w:space="0" w:color="000000"/>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7"/>
              <w:rPr>
                <w:sz w:val="21"/>
              </w:rPr>
            </w:pPr>
          </w:p>
          <w:p>
            <w:pPr>
              <w:pStyle w:val="TableParagraph"/>
              <w:spacing w:before="1"/>
              <w:ind w:left="116"/>
              <w:rPr>
                <w:rFonts w:ascii="宋体" w:eastAsia="宋体" w:hint="eastAsia"/>
                <w:sz w:val="21"/>
              </w:rPr>
            </w:pPr>
            <w:r>
              <w:rPr>
                <w:rFonts w:ascii="宋体" w:eastAsia="宋体" w:hint="eastAsia"/>
                <w:sz w:val="21"/>
              </w:rPr>
              <w:t>截止 </w:t>
            </w:r>
            <w:r>
              <w:rPr>
                <w:sz w:val="21"/>
              </w:rPr>
              <w:t>2021 </w:t>
            </w:r>
            <w:r>
              <w:rPr>
                <w:rFonts w:ascii="宋体" w:eastAsia="宋体" w:hint="eastAsia"/>
                <w:sz w:val="21"/>
              </w:rPr>
              <w:t>年 </w:t>
            </w:r>
            <w:r>
              <w:rPr>
                <w:sz w:val="21"/>
              </w:rPr>
              <w:t>4 </w:t>
            </w:r>
            <w:r>
              <w:rPr>
                <w:rFonts w:ascii="宋体" w:eastAsia="宋体" w:hint="eastAsia"/>
                <w:sz w:val="21"/>
              </w:rPr>
              <w:t>月</w:t>
            </w:r>
          </w:p>
          <w:p>
            <w:pPr>
              <w:pStyle w:val="TableParagraph"/>
              <w:spacing w:before="42"/>
              <w:ind w:left="116"/>
              <w:rPr>
                <w:rFonts w:ascii="宋体" w:eastAsia="宋体" w:hint="eastAsia"/>
                <w:sz w:val="21"/>
              </w:rPr>
            </w:pPr>
            <w:r>
              <w:rPr>
                <w:sz w:val="21"/>
              </w:rPr>
              <w:t>30 </w:t>
            </w:r>
            <w:r>
              <w:rPr>
                <w:rFonts w:ascii="宋体" w:eastAsia="宋体" w:hint="eastAsia"/>
                <w:sz w:val="21"/>
              </w:rPr>
              <w:t>日</w:t>
            </w:r>
          </w:p>
        </w:tc>
        <w:tc>
          <w:tcPr>
            <w:tcW w:w="849" w:type="dxa"/>
            <w:tcBorders>
              <w:top w:val="single" w:sz="4" w:space="0" w:color="000000"/>
              <w:left w:val="single" w:sz="4" w:space="0" w:color="000000"/>
              <w:right w:val="single" w:sz="4"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
              <w:rPr>
                <w:sz w:val="23"/>
              </w:rPr>
            </w:pPr>
          </w:p>
          <w:p>
            <w:pPr>
              <w:pStyle w:val="TableParagraph"/>
              <w:spacing w:before="1"/>
              <w:ind w:left="27"/>
              <w:jc w:val="center"/>
              <w:rPr>
                <w:rFonts w:ascii="宋体" w:eastAsia="宋体" w:hint="eastAsia"/>
                <w:sz w:val="21"/>
              </w:rPr>
            </w:pPr>
            <w:r>
              <w:rPr>
                <w:rFonts w:ascii="宋体" w:eastAsia="宋体" w:hint="eastAsia"/>
                <w:w w:val="100"/>
                <w:sz w:val="21"/>
              </w:rPr>
              <w:t>是</w:t>
            </w:r>
          </w:p>
        </w:tc>
        <w:tc>
          <w:tcPr>
            <w:tcW w:w="935" w:type="dxa"/>
            <w:tcBorders>
              <w:top w:val="single" w:sz="4" w:space="0" w:color="000000"/>
              <w:left w:val="single" w:sz="4"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
              <w:rPr>
                <w:sz w:val="23"/>
              </w:rPr>
            </w:pPr>
          </w:p>
          <w:p>
            <w:pPr>
              <w:pStyle w:val="TableParagraph"/>
              <w:spacing w:before="1"/>
              <w:ind w:left="39"/>
              <w:jc w:val="center"/>
              <w:rPr>
                <w:rFonts w:ascii="宋体" w:eastAsia="宋体" w:hint="eastAsia"/>
                <w:sz w:val="21"/>
              </w:rPr>
            </w:pPr>
            <w:r>
              <w:rPr>
                <w:rFonts w:ascii="宋体" w:eastAsia="宋体" w:hint="eastAsia"/>
                <w:w w:val="100"/>
                <w:sz w:val="21"/>
              </w:rPr>
              <w:t>是</w:t>
            </w:r>
          </w:p>
        </w:tc>
      </w:tr>
    </w:tbl>
    <w:p>
      <w:pPr>
        <w:spacing w:after="0"/>
        <w:jc w:val="center"/>
        <w:rPr>
          <w:rFonts w:ascii="宋体" w:eastAsia="宋体" w:hint="eastAsia"/>
          <w:sz w:val="21"/>
        </w:rPr>
        <w:sectPr>
          <w:pgSz w:w="16840" w:h="11910" w:orient="landscape"/>
          <w:pgMar w:header="876" w:footer="1214" w:top="1180" w:bottom="1400" w:left="1180" w:right="1280"/>
        </w:sectPr>
      </w:pPr>
    </w:p>
    <w:p>
      <w:pPr>
        <w:pStyle w:val="BodyText"/>
        <w:rPr>
          <w:rFonts w:ascii="Times New Roman"/>
          <w:sz w:val="20"/>
        </w:rPr>
      </w:pPr>
    </w:p>
    <w:p>
      <w:pPr>
        <w:pStyle w:val="BodyText"/>
        <w:spacing w:before="7"/>
        <w:rPr>
          <w:rFonts w:ascii="Times New Roman"/>
          <w:sz w:val="17"/>
        </w:rPr>
      </w:pPr>
    </w:p>
    <w:p>
      <w:pPr>
        <w:pStyle w:val="Heading4"/>
        <w:tabs>
          <w:tab w:pos="804" w:val="left" w:leader="none"/>
        </w:tabs>
        <w:spacing w:line="328" w:lineRule="auto" w:before="9"/>
        <w:ind w:left="238" w:right="930"/>
      </w:pPr>
      <w:r>
        <w:rPr>
          <w:rFonts w:ascii="Times New Roman" w:eastAsia="Times New Roman"/>
        </w:rPr>
        <w:t>(</w:t>
      </w:r>
      <w:r>
        <w:rPr/>
        <w:t>二</w:t>
      </w:r>
      <w:r>
        <w:rPr>
          <w:rFonts w:ascii="Times New Roman" w:eastAsia="Times New Roman"/>
        </w:rPr>
        <w:t>)</w:t>
        <w:tab/>
      </w:r>
      <w:r>
        <w:rPr/>
        <w:t>公司资产或项目存</w:t>
      </w:r>
      <w:r>
        <w:rPr>
          <w:spacing w:val="-3"/>
        </w:rPr>
        <w:t>在</w:t>
      </w:r>
      <w:r>
        <w:rPr/>
        <w:t>盈</w:t>
      </w:r>
      <w:r>
        <w:rPr>
          <w:spacing w:val="-3"/>
        </w:rPr>
        <w:t>利</w:t>
      </w:r>
      <w:r>
        <w:rPr/>
        <w:t>预测，且报告期仍</w:t>
      </w:r>
      <w:r>
        <w:rPr>
          <w:spacing w:val="-3"/>
        </w:rPr>
        <w:t>处</w:t>
      </w:r>
      <w:r>
        <w:rPr/>
        <w:t>在</w:t>
      </w:r>
      <w:r>
        <w:rPr>
          <w:spacing w:val="-3"/>
        </w:rPr>
        <w:t>盈</w:t>
      </w:r>
      <w:r>
        <w:rPr/>
        <w:t>利预测期间，公司</w:t>
      </w:r>
      <w:r>
        <w:rPr>
          <w:spacing w:val="-3"/>
        </w:rPr>
        <w:t>就</w:t>
      </w:r>
      <w:r>
        <w:rPr/>
        <w:t>资</w:t>
      </w:r>
      <w:r>
        <w:rPr>
          <w:spacing w:val="-3"/>
        </w:rPr>
        <w:t>产</w:t>
      </w:r>
      <w:r>
        <w:rPr/>
        <w:t>或项</w:t>
      </w:r>
      <w:r>
        <w:rPr>
          <w:spacing w:val="-13"/>
        </w:rPr>
        <w:t>目</w:t>
      </w:r>
      <w:r>
        <w:rPr/>
        <w:t>是否达到原盈利预</w:t>
      </w:r>
      <w:r>
        <w:rPr>
          <w:spacing w:val="-3"/>
        </w:rPr>
        <w:t>测</w:t>
      </w:r>
      <w:r>
        <w:rPr/>
        <w:t>及</w:t>
      </w:r>
      <w:r>
        <w:rPr>
          <w:spacing w:val="-3"/>
        </w:rPr>
        <w:t>其</w:t>
      </w:r>
      <w:r>
        <w:rPr/>
        <w:t>原因作出说明</w:t>
      </w:r>
    </w:p>
    <w:p>
      <w:pPr>
        <w:pStyle w:val="BodyText"/>
        <w:spacing w:before="7"/>
        <w:ind w:left="662"/>
      </w:pPr>
      <w:r>
        <w:rPr>
          <w:rFonts w:ascii="Times New Roman" w:hAnsi="Times New Roman" w:eastAsia="Times New Roman"/>
        </w:rPr>
        <w:t>√</w:t>
      </w:r>
      <w:r>
        <w:rPr/>
        <w:t>已达到 </w:t>
      </w:r>
      <w:r>
        <w:rPr>
          <w:rFonts w:ascii="Times New Roman" w:hAnsi="Times New Roman" w:eastAsia="Times New Roman"/>
        </w:rPr>
        <w:t>□</w:t>
      </w:r>
      <w:r>
        <w:rPr/>
        <w:t>未达到 </w:t>
      </w:r>
      <w:r>
        <w:rPr>
          <w:rFonts w:ascii="Times New Roman" w:hAnsi="Times New Roman" w:eastAsia="Times New Roman"/>
        </w:rPr>
        <w:t>□</w:t>
      </w:r>
      <w:r>
        <w:rPr/>
        <w:t>不适用</w:t>
      </w:r>
    </w:p>
    <w:p>
      <w:pPr>
        <w:pStyle w:val="BodyText"/>
        <w:spacing w:before="6"/>
        <w:rPr>
          <w:sz w:val="15"/>
        </w:rPr>
      </w:pPr>
    </w:p>
    <w:p>
      <w:pPr>
        <w:pStyle w:val="BodyText"/>
        <w:spacing w:line="417" w:lineRule="auto" w:before="1"/>
        <w:ind w:left="238" w:right="149" w:firstLine="371"/>
      </w:pPr>
      <w:r>
        <w:rPr>
          <w:rFonts w:ascii="Times New Roman" w:hAnsi="Times New Roman" w:eastAsia="Times New Roman"/>
        </w:rPr>
        <w:t>2018</w:t>
      </w:r>
      <w:r>
        <w:rPr>
          <w:rFonts w:ascii="Times New Roman" w:hAnsi="Times New Roman" w:eastAsia="Times New Roman"/>
          <w:spacing w:val="5"/>
        </w:rPr>
        <w:t> </w:t>
      </w:r>
      <w:r>
        <w:rPr>
          <w:spacing w:val="-23"/>
        </w:rPr>
        <w:t>年 </w:t>
      </w:r>
      <w:r>
        <w:rPr>
          <w:rFonts w:ascii="Times New Roman" w:hAnsi="Times New Roman" w:eastAsia="Times New Roman"/>
        </w:rPr>
        <w:t>8</w:t>
      </w:r>
      <w:r>
        <w:rPr>
          <w:rFonts w:ascii="Times New Roman" w:hAnsi="Times New Roman" w:eastAsia="Times New Roman"/>
          <w:spacing w:val="6"/>
        </w:rPr>
        <w:t> </w:t>
      </w:r>
      <w:r>
        <w:rPr>
          <w:spacing w:val="-11"/>
        </w:rPr>
        <w:t>月，公司的间接控股子公司贯美</w:t>
      </w:r>
      <w:r>
        <w:rPr>
          <w:spacing w:val="-3"/>
        </w:rPr>
        <w:t>（</w:t>
      </w:r>
      <w:r>
        <w:rPr/>
        <w:t>上海</w:t>
      </w:r>
      <w:r>
        <w:rPr>
          <w:spacing w:val="-48"/>
        </w:rPr>
        <w:t>）</w:t>
      </w:r>
      <w:r>
        <w:rPr>
          <w:spacing w:val="-9"/>
        </w:rPr>
        <w:t>企业管理有限公司</w:t>
      </w:r>
      <w:r>
        <w:rPr>
          <w:spacing w:val="-3"/>
        </w:rPr>
        <w:t>（以下简称</w:t>
      </w:r>
      <w:r>
        <w:rPr>
          <w:rFonts w:ascii="Times New Roman" w:hAnsi="Times New Roman" w:eastAsia="Times New Roman"/>
        </w:rPr>
        <w:t>“</w:t>
      </w:r>
      <w:r>
        <w:rPr>
          <w:spacing w:val="-3"/>
        </w:rPr>
        <w:t>贯美公司</w:t>
      </w:r>
      <w:r>
        <w:rPr>
          <w:rFonts w:ascii="Times New Roman" w:hAnsi="Times New Roman" w:eastAsia="Times New Roman"/>
        </w:rPr>
        <w:t>”</w:t>
      </w:r>
      <w:r>
        <w:rPr/>
        <w:t>） </w:t>
      </w:r>
      <w:r>
        <w:rPr>
          <w:spacing w:val="-7"/>
        </w:rPr>
        <w:t>以其持有的冰戟</w:t>
      </w:r>
      <w:r>
        <w:rPr/>
        <w:t>（</w:t>
      </w:r>
      <w:r>
        <w:rPr>
          <w:spacing w:val="-2"/>
        </w:rPr>
        <w:t>上海</w:t>
      </w:r>
      <w:r>
        <w:rPr>
          <w:spacing w:val="-34"/>
        </w:rPr>
        <w:t>）</w:t>
      </w:r>
      <w:r>
        <w:rPr>
          <w:spacing w:val="-7"/>
        </w:rPr>
        <w:t>企业管理有限公司 </w:t>
      </w:r>
      <w:r>
        <w:rPr>
          <w:rFonts w:ascii="Times New Roman" w:hAnsi="Times New Roman" w:eastAsia="Times New Roman"/>
        </w:rPr>
        <w:t>55%</w:t>
      </w:r>
      <w:r>
        <w:rPr>
          <w:spacing w:val="-6"/>
        </w:rPr>
        <w:t>股权与海尔电器国际股份有限公司</w:t>
      </w:r>
      <w:r>
        <w:rPr>
          <w:spacing w:val="-3"/>
        </w:rPr>
        <w:t>（</w:t>
      </w:r>
      <w:r>
        <w:rPr>
          <w:spacing w:val="-2"/>
        </w:rPr>
        <w:t>以下简称</w:t>
      </w:r>
      <w:r>
        <w:rPr>
          <w:rFonts w:ascii="Times New Roman" w:hAnsi="Times New Roman" w:eastAsia="Times New Roman"/>
          <w:spacing w:val="-3"/>
        </w:rPr>
        <w:t>“</w:t>
      </w:r>
      <w:r>
        <w:rPr/>
        <w:t>海</w:t>
      </w:r>
      <w:r>
        <w:rPr>
          <w:spacing w:val="-1"/>
        </w:rPr>
        <w:t>尔国际</w:t>
      </w:r>
      <w:r>
        <w:rPr>
          <w:rFonts w:ascii="Times New Roman" w:hAnsi="Times New Roman" w:eastAsia="Times New Roman"/>
        </w:rPr>
        <w:t>”</w:t>
      </w:r>
      <w:r>
        <w:rPr/>
        <w:t>）</w:t>
      </w:r>
      <w:r>
        <w:rPr>
          <w:spacing w:val="-3"/>
        </w:rPr>
        <w:t>持有的青岛海施水设备有限公司</w:t>
      </w:r>
      <w:r>
        <w:rPr/>
        <w:t>（</w:t>
      </w:r>
      <w:r>
        <w:rPr>
          <w:spacing w:val="1"/>
        </w:rPr>
        <w:t>以下简称</w:t>
      </w:r>
      <w:r>
        <w:rPr>
          <w:rFonts w:ascii="Times New Roman" w:hAnsi="Times New Roman" w:eastAsia="Times New Roman"/>
        </w:rPr>
        <w:t>“</w:t>
      </w:r>
      <w:r>
        <w:rPr/>
        <w:t>水设备</w:t>
      </w:r>
      <w:r>
        <w:rPr>
          <w:rFonts w:ascii="Times New Roman" w:hAnsi="Times New Roman" w:eastAsia="Times New Roman"/>
        </w:rPr>
        <w:t>”</w:t>
      </w:r>
      <w:r>
        <w:rPr/>
        <w:t>）</w:t>
      </w:r>
      <w:r>
        <w:rPr>
          <w:rFonts w:ascii="Times New Roman" w:hAnsi="Times New Roman" w:eastAsia="Times New Roman"/>
        </w:rPr>
        <w:t>51%</w:t>
      </w:r>
      <w:r>
        <w:rPr/>
        <w:t>股权进行置换，就此事宜， </w:t>
      </w:r>
      <w:r>
        <w:rPr>
          <w:spacing w:val="-3"/>
        </w:rPr>
        <w:t>海尔国际承诺，水设备在盈利补偿期间（</w:t>
      </w:r>
      <w:r>
        <w:rPr>
          <w:spacing w:val="-24"/>
        </w:rPr>
        <w:t>即 </w:t>
      </w:r>
      <w:r>
        <w:rPr>
          <w:rFonts w:ascii="Times New Roman" w:hAnsi="Times New Roman" w:eastAsia="Times New Roman"/>
        </w:rPr>
        <w:t>2018</w:t>
      </w:r>
      <w:r>
        <w:rPr>
          <w:rFonts w:ascii="Times New Roman" w:hAnsi="Times New Roman" w:eastAsia="Times New Roman"/>
          <w:spacing w:val="4"/>
        </w:rPr>
        <w:t> </w:t>
      </w:r>
      <w:r>
        <w:rPr>
          <w:spacing w:val="-23"/>
        </w:rPr>
        <w:t>至 </w:t>
      </w:r>
      <w:r>
        <w:rPr>
          <w:rFonts w:ascii="Times New Roman" w:hAnsi="Times New Roman" w:eastAsia="Times New Roman"/>
        </w:rPr>
        <w:t>2020</w:t>
      </w:r>
      <w:r>
        <w:rPr>
          <w:rFonts w:ascii="Times New Roman" w:hAnsi="Times New Roman" w:eastAsia="Times New Roman"/>
          <w:spacing w:val="6"/>
        </w:rPr>
        <w:t> </w:t>
      </w:r>
      <w:r>
        <w:rPr>
          <w:spacing w:val="-3"/>
        </w:rPr>
        <w:t>年</w:t>
      </w:r>
      <w:r>
        <w:rPr/>
        <w:t>）</w:t>
      </w:r>
      <w:r>
        <w:rPr>
          <w:spacing w:val="-3"/>
        </w:rPr>
        <w:t>三个会计年度实现的累计实际净利</w:t>
      </w:r>
    </w:p>
    <w:p>
      <w:pPr>
        <w:pStyle w:val="BodyText"/>
        <w:ind w:left="238"/>
      </w:pPr>
      <w:r>
        <w:rPr>
          <w:spacing w:val="-2"/>
        </w:rPr>
        <w:t>润数不低于其在相应年度累计预测净利润数</w:t>
      </w:r>
      <w:r>
        <w:rPr>
          <w:rFonts w:ascii="Times New Roman" w:eastAsia="Times New Roman"/>
        </w:rPr>
        <w:t>47,050</w:t>
      </w:r>
      <w:r>
        <w:rPr>
          <w:rFonts w:ascii="Times New Roman" w:eastAsia="Times New Roman"/>
          <w:spacing w:val="27"/>
        </w:rPr>
        <w:t> </w:t>
      </w:r>
      <w:r>
        <w:rPr>
          <w:spacing w:val="-17"/>
        </w:rPr>
        <w:t>万元，否则海尔国际需要根据《资产置换协议》</w:t>
      </w:r>
    </w:p>
    <w:p>
      <w:pPr>
        <w:pStyle w:val="BodyText"/>
        <w:spacing w:before="6"/>
        <w:rPr>
          <w:sz w:val="15"/>
        </w:rPr>
      </w:pPr>
    </w:p>
    <w:p>
      <w:pPr>
        <w:pStyle w:val="BodyText"/>
        <w:spacing w:line="417" w:lineRule="auto"/>
        <w:ind w:left="238" w:right="257"/>
        <w:jc w:val="both"/>
      </w:pPr>
      <w:r>
        <w:rPr>
          <w:spacing w:val="-5"/>
        </w:rPr>
        <w:t>的约定向贯美公司进行业绩补偿。内容详见公司于 </w:t>
      </w:r>
      <w:r>
        <w:rPr>
          <w:rFonts w:ascii="Times New Roman" w:eastAsia="Times New Roman"/>
        </w:rPr>
        <w:t>2018 </w:t>
      </w:r>
      <w:r>
        <w:rPr>
          <w:spacing w:val="-23"/>
        </w:rPr>
        <w:t>年 </w:t>
      </w:r>
      <w:r>
        <w:rPr>
          <w:rFonts w:ascii="Times New Roman" w:eastAsia="Times New Roman"/>
        </w:rPr>
        <w:t>8 </w:t>
      </w:r>
      <w:r>
        <w:rPr>
          <w:spacing w:val="-23"/>
        </w:rPr>
        <w:t>月 </w:t>
      </w:r>
      <w:r>
        <w:rPr>
          <w:rFonts w:ascii="Times New Roman" w:eastAsia="Times New Roman"/>
        </w:rPr>
        <w:t>31 </w:t>
      </w:r>
      <w:r>
        <w:rPr>
          <w:spacing w:val="-3"/>
        </w:rPr>
        <w:t>日刊登在四大证券报及上海证券交易所网站上的《青岛海尔股份有限公司关于控股子公司与海尔电器国际股份有限公司拟实施股权置换暨关联交易的公告》（</w:t>
      </w:r>
      <w:r>
        <w:rPr>
          <w:spacing w:val="-27"/>
        </w:rPr>
        <w:t>临 </w:t>
      </w:r>
      <w:r>
        <w:rPr>
          <w:rFonts w:ascii="Times New Roman" w:eastAsia="Times New Roman"/>
        </w:rPr>
        <w:t>2018-047</w:t>
      </w:r>
      <w:r>
        <w:rPr/>
        <w:t>）。</w:t>
      </w:r>
    </w:p>
    <w:p>
      <w:pPr>
        <w:pStyle w:val="BodyText"/>
        <w:spacing w:line="417" w:lineRule="auto"/>
        <w:ind w:left="238" w:right="305" w:firstLine="371"/>
        <w:jc w:val="both"/>
      </w:pPr>
      <w:r>
        <w:rPr/>
        <w:t>根据和信会计师事务所（特殊普通合伙）出具的《海尔智家股份有限公司业绩承诺完成情况的专项审核报告》（报告编号：和信专字（</w:t>
      </w:r>
      <w:r>
        <w:rPr>
          <w:rFonts w:ascii="Times New Roman" w:eastAsia="Times New Roman"/>
        </w:rPr>
        <w:t>2021</w:t>
      </w:r>
      <w:r>
        <w:rPr/>
        <w:t>）第 </w:t>
      </w:r>
      <w:r>
        <w:rPr>
          <w:rFonts w:ascii="Times New Roman" w:eastAsia="Times New Roman"/>
        </w:rPr>
        <w:t>000101 </w:t>
      </w:r>
      <w:r>
        <w:rPr/>
        <w:t>号），水设备在盈利补偿期间（即</w:t>
      </w:r>
    </w:p>
    <w:p>
      <w:pPr>
        <w:pStyle w:val="BodyText"/>
        <w:spacing w:line="417" w:lineRule="auto"/>
        <w:ind w:left="238" w:right="248"/>
        <w:jc w:val="both"/>
      </w:pPr>
      <w:r>
        <w:rPr>
          <w:rFonts w:ascii="Times New Roman" w:eastAsia="Times New Roman"/>
        </w:rPr>
        <w:t>2018 </w:t>
      </w:r>
      <w:r>
        <w:rPr>
          <w:spacing w:val="-23"/>
        </w:rPr>
        <w:t>至 </w:t>
      </w:r>
      <w:r>
        <w:rPr>
          <w:rFonts w:ascii="Times New Roman" w:eastAsia="Times New Roman"/>
        </w:rPr>
        <w:t>2020 </w:t>
      </w:r>
      <w:r>
        <w:rPr>
          <w:spacing w:val="-3"/>
        </w:rPr>
        <w:t>年</w:t>
      </w:r>
      <w:r>
        <w:rPr>
          <w:spacing w:val="-22"/>
        </w:rPr>
        <w:t>）</w:t>
      </w:r>
      <w:r>
        <w:rPr>
          <w:spacing w:val="-6"/>
        </w:rPr>
        <w:t>三个会计年度实现的累计实际净利润数 </w:t>
      </w:r>
      <w:r>
        <w:rPr>
          <w:rFonts w:ascii="Times New Roman" w:eastAsia="Times New Roman"/>
        </w:rPr>
        <w:t>47,251.57 </w:t>
      </w:r>
      <w:r>
        <w:rPr>
          <w:spacing w:val="-6"/>
        </w:rPr>
        <w:t>万元，净利润实现数超过了预</w:t>
      </w:r>
      <w:r>
        <w:rPr>
          <w:spacing w:val="-4"/>
        </w:rPr>
        <w:t>测数，业绩承诺达成。</w:t>
      </w:r>
    </w:p>
    <w:p>
      <w:pPr>
        <w:pStyle w:val="Heading4"/>
        <w:tabs>
          <w:tab w:pos="804" w:val="left" w:leader="none"/>
        </w:tabs>
        <w:spacing w:line="300" w:lineRule="exact"/>
        <w:ind w:left="238"/>
      </w:pPr>
      <w:r>
        <w:rPr>
          <w:rFonts w:ascii="Times New Roman" w:eastAsia="Times New Roman"/>
        </w:rPr>
        <w:t>(</w:t>
      </w:r>
      <w:r>
        <w:rPr/>
        <w:t>三</w:t>
      </w:r>
      <w:r>
        <w:rPr>
          <w:rFonts w:ascii="Times New Roman" w:eastAsia="Times New Roman"/>
        </w:rPr>
        <w:t>)</w:t>
        <w:tab/>
      </w:r>
      <w:r>
        <w:rPr/>
        <w:t>业绩承诺的完成情</w:t>
      </w:r>
      <w:r>
        <w:rPr>
          <w:spacing w:val="-3"/>
        </w:rPr>
        <w:t>况</w:t>
      </w:r>
      <w:r>
        <w:rPr/>
        <w:t>及</w:t>
      </w:r>
      <w:r>
        <w:rPr>
          <w:spacing w:val="-3"/>
        </w:rPr>
        <w:t>其</w:t>
      </w:r>
      <w:r>
        <w:rPr/>
        <w:t>对商誉减值测试的</w:t>
      </w:r>
      <w:r>
        <w:rPr>
          <w:spacing w:val="-3"/>
        </w:rPr>
        <w:t>影</w:t>
      </w:r>
      <w:r>
        <w:rPr/>
        <w:t>响</w:t>
      </w:r>
    </w:p>
    <w:p>
      <w:pPr>
        <w:pStyle w:val="BodyText"/>
        <w:spacing w:before="55"/>
        <w:ind w:left="662"/>
      </w:pPr>
      <w:r>
        <w:rPr>
          <w:rFonts w:ascii="Times New Roman" w:hAnsi="Times New Roman" w:eastAsia="Times New Roman"/>
        </w:rPr>
        <w:t>□</w:t>
      </w:r>
      <w:r>
        <w:rPr/>
        <w:t>适用 </w:t>
      </w:r>
      <w:r>
        <w:rPr>
          <w:rFonts w:ascii="Times New Roman" w:hAnsi="Times New Roman" w:eastAsia="Times New Roman"/>
        </w:rPr>
        <w:t>√</w:t>
      </w:r>
      <w:r>
        <w:rPr/>
        <w:t>不适用</w:t>
      </w:r>
    </w:p>
    <w:p>
      <w:pPr>
        <w:pStyle w:val="BodyText"/>
        <w:spacing w:before="12"/>
        <w:rPr>
          <w:sz w:val="32"/>
        </w:rPr>
      </w:pPr>
    </w:p>
    <w:p>
      <w:pPr>
        <w:pStyle w:val="Heading4"/>
        <w:ind w:left="238"/>
      </w:pPr>
      <w:r>
        <w:rPr/>
        <w:t>三、报告期内资金被占用情况及清欠进展情况</w:t>
      </w:r>
    </w:p>
    <w:p>
      <w:pPr>
        <w:pStyle w:val="BodyText"/>
        <w:spacing w:before="9"/>
        <w:rPr>
          <w:rFonts w:ascii="Microsoft JhengHei"/>
          <w:b/>
          <w:sz w:val="11"/>
        </w:rPr>
      </w:pPr>
    </w:p>
    <w:p>
      <w:pPr>
        <w:pStyle w:val="BodyText"/>
        <w:ind w:left="662"/>
      </w:pPr>
      <w:r>
        <w:rPr>
          <w:rFonts w:ascii="Times New Roman" w:hAnsi="Times New Roman" w:eastAsia="Times New Roman"/>
        </w:rPr>
        <w:t>□</w:t>
      </w:r>
      <w:r>
        <w:rPr/>
        <w:t>适用 </w:t>
      </w:r>
      <w:r>
        <w:rPr>
          <w:rFonts w:ascii="Times New Roman" w:hAnsi="Times New Roman" w:eastAsia="Times New Roman"/>
        </w:rPr>
        <w:t>√</w:t>
      </w:r>
      <w:r>
        <w:rPr/>
        <w:t>不适用</w:t>
      </w:r>
    </w:p>
    <w:p>
      <w:pPr>
        <w:pStyle w:val="BodyText"/>
        <w:rPr>
          <w:sz w:val="22"/>
        </w:rPr>
      </w:pPr>
    </w:p>
    <w:p>
      <w:pPr>
        <w:pStyle w:val="BodyText"/>
        <w:spacing w:before="4"/>
        <w:rPr>
          <w:sz w:val="29"/>
        </w:rPr>
      </w:pPr>
    </w:p>
    <w:p>
      <w:pPr>
        <w:pStyle w:val="Heading4"/>
        <w:ind w:left="238"/>
      </w:pPr>
      <w:r>
        <w:rPr/>
        <w:t>四、公司对会计师事务所</w:t>
      </w:r>
      <w:r>
        <w:rPr>
          <w:rFonts w:ascii="Times New Roman" w:hAnsi="Times New Roman" w:eastAsia="Times New Roman"/>
        </w:rPr>
        <w:t>“</w:t>
      </w:r>
      <w:r>
        <w:rPr/>
        <w:t>非标准意见审计报告</w:t>
      </w:r>
      <w:r>
        <w:rPr>
          <w:rFonts w:ascii="Times New Roman" w:hAnsi="Times New Roman" w:eastAsia="Times New Roman"/>
        </w:rPr>
        <w:t>”</w:t>
      </w:r>
      <w:r>
        <w:rPr/>
        <w:t>的说明</w:t>
      </w:r>
    </w:p>
    <w:p>
      <w:pPr>
        <w:pStyle w:val="BodyText"/>
        <w:spacing w:before="9"/>
        <w:rPr>
          <w:rFonts w:ascii="Microsoft JhengHei"/>
          <w:b/>
          <w:sz w:val="11"/>
        </w:rPr>
      </w:pPr>
    </w:p>
    <w:p>
      <w:pPr>
        <w:pStyle w:val="BodyText"/>
        <w:ind w:left="662"/>
      </w:pPr>
      <w:r>
        <w:rPr>
          <w:rFonts w:ascii="Times New Roman" w:hAnsi="Times New Roman" w:eastAsia="Times New Roman"/>
        </w:rPr>
        <w:t>□</w:t>
      </w:r>
      <w:r>
        <w:rPr/>
        <w:t>适用 </w:t>
      </w:r>
      <w:r>
        <w:rPr>
          <w:rFonts w:ascii="Times New Roman" w:hAnsi="Times New Roman" w:eastAsia="Times New Roman"/>
        </w:rPr>
        <w:t>√</w:t>
      </w:r>
      <w:r>
        <w:rPr/>
        <w:t>不适用</w:t>
      </w:r>
    </w:p>
    <w:p>
      <w:pPr>
        <w:pStyle w:val="BodyText"/>
        <w:rPr>
          <w:sz w:val="22"/>
        </w:rPr>
      </w:pPr>
    </w:p>
    <w:p>
      <w:pPr>
        <w:pStyle w:val="Heading4"/>
        <w:spacing w:line="379" w:lineRule="exact" w:before="143"/>
        <w:ind w:left="238"/>
      </w:pPr>
      <w:r>
        <w:rPr/>
        <w:t>五、公司对会计政策、会计估计变更或重大会计差错更正原因和影响的分析说明</w:t>
      </w:r>
    </w:p>
    <w:p>
      <w:pPr>
        <w:pStyle w:val="Heading4"/>
        <w:spacing w:line="379" w:lineRule="exact"/>
        <w:ind w:left="238"/>
      </w:pPr>
      <w:r>
        <w:rPr/>
        <w:t>（一）公司对会计政策、会计估计变更原因及影响的分析说明</w:t>
      </w:r>
    </w:p>
    <w:p>
      <w:pPr>
        <w:pStyle w:val="BodyText"/>
        <w:tabs>
          <w:tab w:pos="1505" w:val="left" w:leader="none"/>
        </w:tabs>
        <w:spacing w:before="56"/>
        <w:ind w:left="662"/>
      </w:pPr>
      <w:r>
        <w:rPr/>
        <w:t>□适用</w:t>
        <w:tab/>
      </w:r>
      <w:r>
        <w:rPr>
          <w:spacing w:val="-3"/>
        </w:rPr>
        <w:t>√</w:t>
      </w:r>
      <w:r>
        <w:rPr/>
        <w:t>不</w:t>
      </w:r>
      <w:r>
        <w:rPr>
          <w:spacing w:val="-3"/>
        </w:rPr>
        <w:t>适</w:t>
      </w:r>
      <w:r>
        <w:rPr/>
        <w:t>用</w:t>
      </w:r>
    </w:p>
    <w:p>
      <w:pPr>
        <w:pStyle w:val="Heading4"/>
        <w:spacing w:before="33"/>
        <w:ind w:left="238"/>
      </w:pPr>
      <w:r>
        <w:rPr/>
        <w:t>（二）公司对重大会计差错更正原因及影响的分析说明</w:t>
      </w:r>
    </w:p>
    <w:p>
      <w:pPr>
        <w:pStyle w:val="BodyText"/>
        <w:tabs>
          <w:tab w:pos="1505" w:val="left" w:leader="none"/>
        </w:tabs>
        <w:spacing w:before="55"/>
        <w:ind w:left="662"/>
      </w:pPr>
      <w:r>
        <w:rPr/>
        <w:t>□适用</w:t>
        <w:tab/>
      </w:r>
      <w:r>
        <w:rPr>
          <w:spacing w:val="-3"/>
        </w:rPr>
        <w:t>√</w:t>
      </w:r>
      <w:r>
        <w:rPr/>
        <w:t>不</w:t>
      </w:r>
      <w:r>
        <w:rPr>
          <w:spacing w:val="-3"/>
        </w:rPr>
        <w:t>适</w:t>
      </w:r>
      <w:r>
        <w:rPr/>
        <w:t>用</w:t>
      </w:r>
    </w:p>
    <w:p>
      <w:pPr>
        <w:spacing w:after="0"/>
        <w:sectPr>
          <w:headerReference w:type="default" r:id="rId42"/>
          <w:footerReference w:type="default" r:id="rId43"/>
          <w:pgSz w:w="11910" w:h="16840"/>
          <w:pgMar w:header="874" w:footer="1208" w:top="1480" w:bottom="1400" w:left="1560" w:right="1020"/>
          <w:pgNumType w:start="3"/>
        </w:sectPr>
      </w:pPr>
    </w:p>
    <w:p>
      <w:pPr>
        <w:pStyle w:val="Heading4"/>
        <w:spacing w:line="378" w:lineRule="exact"/>
        <w:ind w:left="238"/>
      </w:pPr>
      <w:r>
        <w:rPr/>
        <w:t>（三）与前任会计师事务所进行的沟通情况</w:t>
      </w:r>
    </w:p>
    <w:p>
      <w:pPr>
        <w:pStyle w:val="BodyText"/>
        <w:tabs>
          <w:tab w:pos="1421" w:val="left" w:leader="none"/>
        </w:tabs>
        <w:spacing w:before="55"/>
        <w:ind w:left="662"/>
      </w:pPr>
      <w:r>
        <w:rPr>
          <w:rFonts w:ascii="Times New Roman" w:hAnsi="Times New Roman" w:eastAsia="Times New Roman"/>
        </w:rPr>
        <w:t>□</w:t>
      </w:r>
      <w:r>
        <w:rPr/>
        <w:t>适用</w:t>
        <w:tab/>
      </w:r>
      <w:r>
        <w:rPr>
          <w:rFonts w:ascii="Times New Roman" w:hAnsi="Times New Roman" w:eastAsia="Times New Roman"/>
        </w:rPr>
        <w:t>√</w:t>
      </w:r>
      <w:r>
        <w:rPr>
          <w:spacing w:val="-3"/>
        </w:rPr>
        <w:t>不</w:t>
      </w:r>
      <w:r>
        <w:rPr/>
        <w:t>适用</w:t>
      </w:r>
    </w:p>
    <w:p>
      <w:pPr>
        <w:pStyle w:val="Heading4"/>
        <w:spacing w:before="34"/>
        <w:ind w:left="238"/>
      </w:pPr>
      <w:r>
        <w:rPr/>
        <w:t>（四）其他说明</w:t>
      </w:r>
    </w:p>
    <w:p>
      <w:pPr>
        <w:pStyle w:val="BodyText"/>
        <w:tabs>
          <w:tab w:pos="1505" w:val="left" w:leader="none"/>
        </w:tabs>
        <w:spacing w:before="55"/>
        <w:ind w:left="662"/>
      </w:pPr>
      <w:r>
        <w:rPr/>
        <w:t>□适用</w:t>
        <w:tab/>
      </w:r>
      <w:r>
        <w:rPr>
          <w:spacing w:val="-3"/>
        </w:rPr>
        <w:t>√</w:t>
      </w:r>
      <w:r>
        <w:rPr/>
        <w:t>不</w:t>
      </w:r>
      <w:r>
        <w:rPr>
          <w:spacing w:val="-3"/>
        </w:rPr>
        <w:t>适</w:t>
      </w:r>
      <w:r>
        <w:rPr/>
        <w:t>用</w:t>
      </w:r>
    </w:p>
    <w:p>
      <w:pPr>
        <w:pStyle w:val="BodyText"/>
        <w:spacing w:before="10"/>
        <w:rPr>
          <w:sz w:val="26"/>
        </w:rPr>
      </w:pPr>
    </w:p>
    <w:p>
      <w:pPr>
        <w:pStyle w:val="Heading4"/>
        <w:spacing w:before="3"/>
        <w:ind w:left="238"/>
      </w:pPr>
      <w:r>
        <w:rPr/>
        <w:t>六、聘任、解聘会计师事务所情况</w:t>
      </w:r>
    </w:p>
    <w:p>
      <w:pPr>
        <w:pStyle w:val="BodyText"/>
        <w:tabs>
          <w:tab w:pos="1262" w:val="left" w:leader="none"/>
        </w:tabs>
        <w:spacing w:before="55" w:after="20"/>
        <w:ind w:right="252"/>
        <w:jc w:val="right"/>
      </w:pPr>
      <w:r>
        <w:rPr/>
        <w:t>单位</w:t>
      </w:r>
      <w:r>
        <w:rPr>
          <w:spacing w:val="-3"/>
        </w:rPr>
        <w:t>：</w:t>
      </w:r>
      <w:r>
        <w:rPr/>
        <w:t>万元</w:t>
        <w:tab/>
      </w:r>
      <w:r>
        <w:rPr>
          <w:spacing w:val="-3"/>
        </w:rPr>
        <w:t>币</w:t>
      </w:r>
      <w:r>
        <w:rPr/>
        <w:t>种</w:t>
      </w:r>
      <w:r>
        <w:rPr>
          <w:spacing w:val="-3"/>
        </w:rPr>
        <w:t>：</w:t>
      </w:r>
      <w:r>
        <w:rPr/>
        <w:t>人</w:t>
      </w:r>
      <w:r>
        <w:rPr>
          <w:spacing w:val="-3"/>
        </w:rPr>
        <w:t>民</w:t>
      </w:r>
      <w:r>
        <w:rPr/>
        <w:t>币</w:t>
      </w:r>
    </w:p>
    <w:tbl>
      <w:tblPr>
        <w:tblW w:w="0" w:type="auto"/>
        <w:jc w:val="left"/>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804"/>
        <w:gridCol w:w="6246"/>
      </w:tblGrid>
      <w:tr>
        <w:trPr>
          <w:trHeight w:val="313" w:hRule="atLeast"/>
        </w:trPr>
        <w:tc>
          <w:tcPr>
            <w:tcW w:w="2804" w:type="dxa"/>
            <w:tcBorders>
              <w:bottom w:val="single" w:sz="4" w:space="0" w:color="000000"/>
              <w:right w:val="single" w:sz="4" w:space="0" w:color="000000"/>
            </w:tcBorders>
            <w:shd w:val="clear" w:color="auto" w:fill="EDEBE0"/>
          </w:tcPr>
          <w:p>
            <w:pPr>
              <w:pStyle w:val="TableParagraph"/>
              <w:rPr>
                <w:sz w:val="20"/>
              </w:rPr>
            </w:pPr>
          </w:p>
        </w:tc>
        <w:tc>
          <w:tcPr>
            <w:tcW w:w="6246" w:type="dxa"/>
            <w:tcBorders>
              <w:left w:val="single" w:sz="4" w:space="0" w:color="000000"/>
              <w:bottom w:val="single" w:sz="4" w:space="0" w:color="000000"/>
            </w:tcBorders>
            <w:shd w:val="clear" w:color="auto" w:fill="EDEBE0"/>
          </w:tcPr>
          <w:p>
            <w:pPr>
              <w:pStyle w:val="TableParagraph"/>
              <w:spacing w:before="24"/>
              <w:ind w:left="2796" w:right="2759"/>
              <w:jc w:val="center"/>
              <w:rPr>
                <w:rFonts w:ascii="宋体" w:eastAsia="宋体" w:hint="eastAsia"/>
                <w:sz w:val="21"/>
              </w:rPr>
            </w:pPr>
            <w:r>
              <w:rPr>
                <w:rFonts w:ascii="宋体" w:eastAsia="宋体" w:hint="eastAsia"/>
                <w:sz w:val="21"/>
              </w:rPr>
              <w:t>现聘任</w:t>
            </w:r>
          </w:p>
        </w:tc>
      </w:tr>
      <w:tr>
        <w:trPr>
          <w:trHeight w:val="311" w:hRule="atLeast"/>
        </w:trPr>
        <w:tc>
          <w:tcPr>
            <w:tcW w:w="2804" w:type="dxa"/>
            <w:tcBorders>
              <w:top w:val="single" w:sz="4" w:space="0" w:color="000000"/>
              <w:bottom w:val="single" w:sz="4" w:space="0" w:color="000000"/>
              <w:right w:val="single" w:sz="4" w:space="0" w:color="000000"/>
            </w:tcBorders>
          </w:tcPr>
          <w:p>
            <w:pPr>
              <w:pStyle w:val="TableParagraph"/>
              <w:spacing w:before="22"/>
              <w:ind w:left="107"/>
              <w:rPr>
                <w:rFonts w:ascii="宋体" w:eastAsia="宋体" w:hint="eastAsia"/>
                <w:sz w:val="21"/>
              </w:rPr>
            </w:pPr>
            <w:r>
              <w:rPr>
                <w:rFonts w:ascii="宋体" w:eastAsia="宋体" w:hint="eastAsia"/>
                <w:sz w:val="21"/>
              </w:rPr>
              <w:t>境内会计师事务所名称</w:t>
            </w:r>
          </w:p>
        </w:tc>
        <w:tc>
          <w:tcPr>
            <w:tcW w:w="6246" w:type="dxa"/>
            <w:tcBorders>
              <w:top w:val="single" w:sz="4" w:space="0" w:color="000000"/>
              <w:left w:val="single" w:sz="4" w:space="0" w:color="000000"/>
              <w:bottom w:val="single" w:sz="4" w:space="0" w:color="000000"/>
            </w:tcBorders>
          </w:tcPr>
          <w:p>
            <w:pPr>
              <w:pStyle w:val="TableParagraph"/>
              <w:spacing w:before="22"/>
              <w:ind w:left="114"/>
              <w:rPr>
                <w:rFonts w:ascii="宋体" w:eastAsia="宋体" w:hint="eastAsia"/>
                <w:sz w:val="21"/>
              </w:rPr>
            </w:pPr>
            <w:r>
              <w:rPr>
                <w:rFonts w:ascii="宋体" w:eastAsia="宋体" w:hint="eastAsia"/>
                <w:sz w:val="21"/>
              </w:rPr>
              <w:t>和信会计师事务所（特殊普通合伙）</w:t>
            </w:r>
          </w:p>
        </w:tc>
      </w:tr>
      <w:tr>
        <w:trPr>
          <w:trHeight w:val="311" w:hRule="atLeast"/>
        </w:trPr>
        <w:tc>
          <w:tcPr>
            <w:tcW w:w="2804" w:type="dxa"/>
            <w:tcBorders>
              <w:top w:val="single" w:sz="4" w:space="0" w:color="000000"/>
              <w:bottom w:val="single" w:sz="4" w:space="0" w:color="000000"/>
              <w:right w:val="single" w:sz="4" w:space="0" w:color="000000"/>
            </w:tcBorders>
          </w:tcPr>
          <w:p>
            <w:pPr>
              <w:pStyle w:val="TableParagraph"/>
              <w:spacing w:before="22"/>
              <w:ind w:left="107"/>
              <w:rPr>
                <w:rFonts w:ascii="宋体" w:eastAsia="宋体" w:hint="eastAsia"/>
                <w:sz w:val="21"/>
              </w:rPr>
            </w:pPr>
            <w:r>
              <w:rPr>
                <w:rFonts w:ascii="宋体" w:eastAsia="宋体" w:hint="eastAsia"/>
                <w:sz w:val="21"/>
              </w:rPr>
              <w:t>境内会计师事务所报酬</w:t>
            </w:r>
          </w:p>
        </w:tc>
        <w:tc>
          <w:tcPr>
            <w:tcW w:w="6246" w:type="dxa"/>
            <w:tcBorders>
              <w:top w:val="single" w:sz="4" w:space="0" w:color="000000"/>
              <w:left w:val="single" w:sz="4" w:space="0" w:color="000000"/>
              <w:bottom w:val="single" w:sz="4" w:space="0" w:color="000000"/>
            </w:tcBorders>
          </w:tcPr>
          <w:p>
            <w:pPr>
              <w:pStyle w:val="TableParagraph"/>
              <w:spacing w:before="34"/>
              <w:ind w:right="74"/>
              <w:jc w:val="right"/>
              <w:rPr>
                <w:sz w:val="21"/>
              </w:rPr>
            </w:pPr>
            <w:r>
              <w:rPr>
                <w:sz w:val="21"/>
              </w:rPr>
              <w:t>715</w:t>
            </w:r>
          </w:p>
        </w:tc>
      </w:tr>
      <w:tr>
        <w:trPr>
          <w:trHeight w:val="311" w:hRule="atLeast"/>
        </w:trPr>
        <w:tc>
          <w:tcPr>
            <w:tcW w:w="2804" w:type="dxa"/>
            <w:tcBorders>
              <w:top w:val="single" w:sz="4" w:space="0" w:color="000000"/>
              <w:bottom w:val="single" w:sz="4" w:space="0" w:color="000000"/>
              <w:right w:val="single" w:sz="4" w:space="0" w:color="000000"/>
            </w:tcBorders>
          </w:tcPr>
          <w:p>
            <w:pPr>
              <w:pStyle w:val="TableParagraph"/>
              <w:spacing w:before="22"/>
              <w:ind w:left="107"/>
              <w:rPr>
                <w:rFonts w:ascii="宋体" w:eastAsia="宋体" w:hint="eastAsia"/>
                <w:sz w:val="21"/>
              </w:rPr>
            </w:pPr>
            <w:r>
              <w:rPr>
                <w:rFonts w:ascii="宋体" w:eastAsia="宋体" w:hint="eastAsia"/>
                <w:sz w:val="21"/>
              </w:rPr>
              <w:t>境内会计师事务所审计年限</w:t>
            </w:r>
          </w:p>
        </w:tc>
        <w:tc>
          <w:tcPr>
            <w:tcW w:w="6246" w:type="dxa"/>
            <w:tcBorders>
              <w:top w:val="single" w:sz="4" w:space="0" w:color="000000"/>
              <w:left w:val="single" w:sz="4" w:space="0" w:color="000000"/>
              <w:bottom w:val="single" w:sz="4" w:space="0" w:color="000000"/>
            </w:tcBorders>
          </w:tcPr>
          <w:p>
            <w:pPr>
              <w:pStyle w:val="TableParagraph"/>
              <w:spacing w:before="34"/>
              <w:ind w:left="114"/>
              <w:rPr>
                <w:sz w:val="21"/>
              </w:rPr>
            </w:pPr>
            <w:r>
              <w:rPr>
                <w:w w:val="100"/>
                <w:sz w:val="21"/>
              </w:rPr>
              <w:t>8</w:t>
            </w:r>
          </w:p>
        </w:tc>
      </w:tr>
      <w:tr>
        <w:trPr>
          <w:trHeight w:val="314" w:hRule="atLeast"/>
        </w:trPr>
        <w:tc>
          <w:tcPr>
            <w:tcW w:w="2804" w:type="dxa"/>
            <w:tcBorders>
              <w:top w:val="single" w:sz="4" w:space="0" w:color="000000"/>
              <w:bottom w:val="single" w:sz="4" w:space="0" w:color="000000"/>
              <w:right w:val="single" w:sz="4" w:space="0" w:color="000000"/>
            </w:tcBorders>
          </w:tcPr>
          <w:p>
            <w:pPr>
              <w:pStyle w:val="TableParagraph"/>
              <w:spacing w:before="25"/>
              <w:ind w:left="107"/>
              <w:rPr>
                <w:rFonts w:ascii="宋体" w:eastAsia="宋体" w:hint="eastAsia"/>
                <w:sz w:val="21"/>
              </w:rPr>
            </w:pPr>
            <w:r>
              <w:rPr>
                <w:rFonts w:ascii="宋体" w:eastAsia="宋体" w:hint="eastAsia"/>
                <w:sz w:val="21"/>
              </w:rPr>
              <w:t>境外会计师事务所名称</w:t>
            </w:r>
          </w:p>
        </w:tc>
        <w:tc>
          <w:tcPr>
            <w:tcW w:w="6246" w:type="dxa"/>
            <w:tcBorders>
              <w:top w:val="single" w:sz="4" w:space="0" w:color="000000"/>
              <w:left w:val="single" w:sz="4" w:space="0" w:color="000000"/>
              <w:bottom w:val="single" w:sz="4" w:space="0" w:color="000000"/>
            </w:tcBorders>
          </w:tcPr>
          <w:p>
            <w:pPr>
              <w:pStyle w:val="TableParagraph"/>
              <w:spacing w:before="25"/>
              <w:ind w:left="114"/>
              <w:rPr>
                <w:rFonts w:ascii="宋体" w:eastAsia="宋体" w:hint="eastAsia"/>
                <w:sz w:val="21"/>
              </w:rPr>
            </w:pPr>
            <w:r>
              <w:rPr>
                <w:rFonts w:ascii="宋体" w:eastAsia="宋体" w:hint="eastAsia"/>
                <w:sz w:val="21"/>
              </w:rPr>
              <w:t>国卫会计师事务所有限公司（</w:t>
            </w:r>
            <w:r>
              <w:rPr>
                <w:sz w:val="21"/>
              </w:rPr>
              <w:t>HLB Hodgson Impey Cheng Limited</w:t>
            </w:r>
            <w:r>
              <w:rPr>
                <w:rFonts w:ascii="宋体" w:eastAsia="宋体" w:hint="eastAsia"/>
                <w:sz w:val="21"/>
              </w:rPr>
              <w:t>）</w:t>
            </w:r>
          </w:p>
        </w:tc>
      </w:tr>
      <w:tr>
        <w:trPr>
          <w:trHeight w:val="311" w:hRule="atLeast"/>
        </w:trPr>
        <w:tc>
          <w:tcPr>
            <w:tcW w:w="2804" w:type="dxa"/>
            <w:tcBorders>
              <w:top w:val="single" w:sz="4" w:space="0" w:color="000000"/>
              <w:bottom w:val="single" w:sz="4" w:space="0" w:color="000000"/>
              <w:right w:val="single" w:sz="4" w:space="0" w:color="000000"/>
            </w:tcBorders>
          </w:tcPr>
          <w:p>
            <w:pPr>
              <w:pStyle w:val="TableParagraph"/>
              <w:spacing w:before="22"/>
              <w:ind w:left="107"/>
              <w:rPr>
                <w:rFonts w:ascii="宋体" w:eastAsia="宋体" w:hint="eastAsia"/>
                <w:sz w:val="21"/>
              </w:rPr>
            </w:pPr>
            <w:r>
              <w:rPr>
                <w:rFonts w:ascii="宋体" w:eastAsia="宋体" w:hint="eastAsia"/>
                <w:sz w:val="21"/>
              </w:rPr>
              <w:t>境外会计师事务所报酬</w:t>
            </w:r>
          </w:p>
        </w:tc>
        <w:tc>
          <w:tcPr>
            <w:tcW w:w="6246" w:type="dxa"/>
            <w:tcBorders>
              <w:top w:val="single" w:sz="4" w:space="0" w:color="000000"/>
              <w:left w:val="single" w:sz="4" w:space="0" w:color="000000"/>
              <w:bottom w:val="single" w:sz="4" w:space="0" w:color="000000"/>
            </w:tcBorders>
          </w:tcPr>
          <w:p>
            <w:pPr>
              <w:pStyle w:val="TableParagraph"/>
              <w:spacing w:before="34"/>
              <w:ind w:right="74"/>
              <w:jc w:val="right"/>
              <w:rPr>
                <w:sz w:val="21"/>
              </w:rPr>
            </w:pPr>
            <w:r>
              <w:rPr>
                <w:sz w:val="21"/>
              </w:rPr>
              <w:t>339</w:t>
            </w:r>
          </w:p>
        </w:tc>
      </w:tr>
      <w:tr>
        <w:trPr>
          <w:trHeight w:val="308" w:hRule="atLeast"/>
        </w:trPr>
        <w:tc>
          <w:tcPr>
            <w:tcW w:w="2804" w:type="dxa"/>
            <w:tcBorders>
              <w:top w:val="single" w:sz="4" w:space="0" w:color="000000"/>
              <w:right w:val="single" w:sz="4" w:space="0" w:color="000000"/>
            </w:tcBorders>
          </w:tcPr>
          <w:p>
            <w:pPr>
              <w:pStyle w:val="TableParagraph"/>
              <w:spacing w:line="266" w:lineRule="exact" w:before="22"/>
              <w:ind w:left="107"/>
              <w:rPr>
                <w:rFonts w:ascii="宋体" w:eastAsia="宋体" w:hint="eastAsia"/>
                <w:sz w:val="21"/>
              </w:rPr>
            </w:pPr>
            <w:r>
              <w:rPr>
                <w:rFonts w:ascii="宋体" w:eastAsia="宋体" w:hint="eastAsia"/>
                <w:sz w:val="21"/>
              </w:rPr>
              <w:t>境外会计师事务所审计年限</w:t>
            </w:r>
          </w:p>
        </w:tc>
        <w:tc>
          <w:tcPr>
            <w:tcW w:w="6246" w:type="dxa"/>
            <w:tcBorders>
              <w:top w:val="single" w:sz="4" w:space="0" w:color="000000"/>
              <w:left w:val="single" w:sz="4" w:space="0" w:color="000000"/>
            </w:tcBorders>
          </w:tcPr>
          <w:p>
            <w:pPr>
              <w:pStyle w:val="TableParagraph"/>
              <w:spacing w:before="34"/>
              <w:ind w:left="114"/>
              <w:rPr>
                <w:sz w:val="21"/>
              </w:rPr>
            </w:pPr>
            <w:r>
              <w:rPr>
                <w:w w:val="100"/>
                <w:sz w:val="21"/>
              </w:rPr>
              <w:t>1</w:t>
            </w:r>
          </w:p>
        </w:tc>
      </w:tr>
    </w:tbl>
    <w:p>
      <w:pPr>
        <w:pStyle w:val="BodyText"/>
        <w:spacing w:before="6" w:after="1"/>
        <w:rPr>
          <w:sz w:val="24"/>
        </w:rPr>
      </w:pPr>
    </w:p>
    <w:tbl>
      <w:tblPr>
        <w:tblW w:w="0" w:type="auto"/>
        <w:jc w:val="left"/>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229"/>
        <w:gridCol w:w="4679"/>
        <w:gridCol w:w="1143"/>
      </w:tblGrid>
      <w:tr>
        <w:trPr>
          <w:trHeight w:val="313" w:hRule="atLeast"/>
        </w:trPr>
        <w:tc>
          <w:tcPr>
            <w:tcW w:w="3229" w:type="dxa"/>
            <w:tcBorders>
              <w:bottom w:val="single" w:sz="4" w:space="0" w:color="000000"/>
              <w:right w:val="single" w:sz="4" w:space="0" w:color="000000"/>
            </w:tcBorders>
            <w:shd w:val="clear" w:color="auto" w:fill="EDEBE0"/>
          </w:tcPr>
          <w:p>
            <w:pPr>
              <w:pStyle w:val="TableParagraph"/>
              <w:spacing w:before="24"/>
              <w:ind w:left="107"/>
              <w:rPr>
                <w:rFonts w:ascii="宋体"/>
                <w:sz w:val="21"/>
              </w:rPr>
            </w:pPr>
            <w:r>
              <w:rPr>
                <w:rFonts w:ascii="宋体"/>
                <w:w w:val="100"/>
                <w:sz w:val="21"/>
              </w:rPr>
              <w:t> </w:t>
            </w:r>
          </w:p>
        </w:tc>
        <w:tc>
          <w:tcPr>
            <w:tcW w:w="4679" w:type="dxa"/>
            <w:tcBorders>
              <w:left w:val="single" w:sz="4" w:space="0" w:color="000000"/>
              <w:bottom w:val="single" w:sz="4" w:space="0" w:color="000000"/>
              <w:right w:val="single" w:sz="4" w:space="0" w:color="000000"/>
            </w:tcBorders>
            <w:shd w:val="clear" w:color="auto" w:fill="EDEBE0"/>
          </w:tcPr>
          <w:p>
            <w:pPr>
              <w:pStyle w:val="TableParagraph"/>
              <w:spacing w:before="24"/>
              <w:ind w:left="2168" w:right="2040"/>
              <w:jc w:val="center"/>
              <w:rPr>
                <w:rFonts w:ascii="宋体" w:eastAsia="宋体" w:hint="eastAsia"/>
                <w:sz w:val="21"/>
              </w:rPr>
            </w:pPr>
            <w:r>
              <w:rPr>
                <w:rFonts w:ascii="宋体" w:eastAsia="宋体" w:hint="eastAsia"/>
                <w:sz w:val="21"/>
              </w:rPr>
              <w:t>名称 </w:t>
            </w:r>
          </w:p>
        </w:tc>
        <w:tc>
          <w:tcPr>
            <w:tcW w:w="1143" w:type="dxa"/>
            <w:tcBorders>
              <w:left w:val="single" w:sz="4" w:space="0" w:color="000000"/>
              <w:bottom w:val="single" w:sz="4" w:space="0" w:color="000000"/>
            </w:tcBorders>
            <w:shd w:val="clear" w:color="auto" w:fill="EDEBE0"/>
          </w:tcPr>
          <w:p>
            <w:pPr>
              <w:pStyle w:val="TableParagraph"/>
              <w:spacing w:before="24"/>
              <w:ind w:left="370"/>
              <w:rPr>
                <w:rFonts w:ascii="宋体" w:eastAsia="宋体" w:hint="eastAsia"/>
                <w:sz w:val="21"/>
              </w:rPr>
            </w:pPr>
            <w:r>
              <w:rPr>
                <w:rFonts w:ascii="宋体" w:eastAsia="宋体" w:hint="eastAsia"/>
                <w:sz w:val="21"/>
              </w:rPr>
              <w:t>报酬 </w:t>
            </w:r>
          </w:p>
        </w:tc>
      </w:tr>
      <w:tr>
        <w:trPr>
          <w:trHeight w:val="311" w:hRule="atLeast"/>
        </w:trPr>
        <w:tc>
          <w:tcPr>
            <w:tcW w:w="3229" w:type="dxa"/>
            <w:tcBorders>
              <w:top w:val="single" w:sz="4" w:space="0" w:color="000000"/>
              <w:bottom w:val="single" w:sz="4" w:space="0" w:color="000000"/>
              <w:right w:val="single" w:sz="4" w:space="0" w:color="000000"/>
            </w:tcBorders>
          </w:tcPr>
          <w:p>
            <w:pPr>
              <w:pStyle w:val="TableParagraph"/>
              <w:spacing w:before="22"/>
              <w:ind w:left="107"/>
              <w:rPr>
                <w:rFonts w:ascii="宋体" w:eastAsia="宋体" w:hint="eastAsia"/>
                <w:sz w:val="21"/>
              </w:rPr>
            </w:pPr>
            <w:r>
              <w:rPr>
                <w:rFonts w:ascii="宋体" w:eastAsia="宋体" w:hint="eastAsia"/>
                <w:sz w:val="21"/>
              </w:rPr>
              <w:t>内部控制审计会计师事务所 </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before="22"/>
              <w:ind w:left="114"/>
              <w:rPr>
                <w:rFonts w:ascii="宋体" w:eastAsia="宋体" w:hint="eastAsia"/>
                <w:sz w:val="21"/>
              </w:rPr>
            </w:pPr>
            <w:r>
              <w:rPr>
                <w:rFonts w:ascii="宋体" w:eastAsia="宋体" w:hint="eastAsia"/>
                <w:sz w:val="21"/>
              </w:rPr>
              <w:t>和信会计师事务所（特殊普通合伙） </w:t>
            </w:r>
          </w:p>
        </w:tc>
        <w:tc>
          <w:tcPr>
            <w:tcW w:w="1143" w:type="dxa"/>
            <w:tcBorders>
              <w:top w:val="single" w:sz="4" w:space="0" w:color="000000"/>
              <w:left w:val="single" w:sz="4" w:space="0" w:color="000000"/>
              <w:bottom w:val="single" w:sz="4" w:space="0" w:color="000000"/>
            </w:tcBorders>
          </w:tcPr>
          <w:p>
            <w:pPr>
              <w:pStyle w:val="TableParagraph"/>
              <w:spacing w:before="34"/>
              <w:ind w:right="73"/>
              <w:jc w:val="right"/>
              <w:rPr>
                <w:sz w:val="21"/>
              </w:rPr>
            </w:pPr>
            <w:r>
              <w:rPr>
                <w:sz w:val="21"/>
              </w:rPr>
              <w:t>285</w:t>
            </w:r>
          </w:p>
        </w:tc>
      </w:tr>
      <w:tr>
        <w:trPr>
          <w:trHeight w:val="311" w:hRule="atLeast"/>
        </w:trPr>
        <w:tc>
          <w:tcPr>
            <w:tcW w:w="3229" w:type="dxa"/>
            <w:tcBorders>
              <w:top w:val="single" w:sz="4" w:space="0" w:color="000000"/>
              <w:bottom w:val="single" w:sz="4" w:space="0" w:color="000000"/>
              <w:right w:val="single" w:sz="4" w:space="0" w:color="000000"/>
            </w:tcBorders>
          </w:tcPr>
          <w:p>
            <w:pPr>
              <w:pStyle w:val="TableParagraph"/>
              <w:spacing w:before="22"/>
              <w:ind w:left="107"/>
              <w:rPr>
                <w:rFonts w:ascii="宋体" w:eastAsia="宋体" w:hint="eastAsia"/>
                <w:sz w:val="21"/>
              </w:rPr>
            </w:pPr>
            <w:r>
              <w:rPr>
                <w:rFonts w:ascii="宋体" w:eastAsia="宋体" w:hint="eastAsia"/>
                <w:sz w:val="21"/>
              </w:rPr>
              <w:t>保荐人 </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before="22"/>
              <w:ind w:left="114"/>
              <w:rPr>
                <w:rFonts w:ascii="宋体" w:eastAsia="宋体" w:hint="eastAsia"/>
                <w:sz w:val="21"/>
              </w:rPr>
            </w:pPr>
            <w:r>
              <w:rPr>
                <w:rFonts w:ascii="宋体" w:eastAsia="宋体" w:hint="eastAsia"/>
                <w:sz w:val="21"/>
              </w:rPr>
              <w:t>中国国际金融股份有限公司 </w:t>
            </w:r>
          </w:p>
        </w:tc>
        <w:tc>
          <w:tcPr>
            <w:tcW w:w="1143" w:type="dxa"/>
            <w:tcBorders>
              <w:top w:val="single" w:sz="4" w:space="0" w:color="000000"/>
              <w:left w:val="single" w:sz="4" w:space="0" w:color="000000"/>
              <w:bottom w:val="single" w:sz="4" w:space="0" w:color="000000"/>
            </w:tcBorders>
          </w:tcPr>
          <w:p>
            <w:pPr>
              <w:pStyle w:val="TableParagraph"/>
              <w:spacing w:before="34"/>
              <w:ind w:right="75"/>
              <w:jc w:val="right"/>
              <w:rPr>
                <w:sz w:val="21"/>
              </w:rPr>
            </w:pPr>
            <w:r>
              <w:rPr>
                <w:w w:val="100"/>
                <w:sz w:val="21"/>
              </w:rPr>
              <w:t>0</w:t>
            </w:r>
          </w:p>
        </w:tc>
      </w:tr>
      <w:tr>
        <w:trPr>
          <w:trHeight w:val="311" w:hRule="atLeast"/>
        </w:trPr>
        <w:tc>
          <w:tcPr>
            <w:tcW w:w="3229" w:type="dxa"/>
            <w:tcBorders>
              <w:top w:val="single" w:sz="4" w:space="0" w:color="000000"/>
              <w:right w:val="single" w:sz="4" w:space="0" w:color="000000"/>
            </w:tcBorders>
          </w:tcPr>
          <w:p>
            <w:pPr>
              <w:pStyle w:val="TableParagraph"/>
              <w:spacing w:line="269" w:lineRule="exact" w:before="22"/>
              <w:ind w:left="107"/>
              <w:rPr>
                <w:rFonts w:ascii="宋体" w:eastAsia="宋体" w:hint="eastAsia"/>
                <w:sz w:val="21"/>
              </w:rPr>
            </w:pPr>
            <w:r>
              <w:rPr>
                <w:rFonts w:ascii="宋体" w:eastAsia="宋体" w:hint="eastAsia"/>
                <w:sz w:val="21"/>
              </w:rPr>
              <w:t>独立财务顾问 </w:t>
            </w:r>
          </w:p>
        </w:tc>
        <w:tc>
          <w:tcPr>
            <w:tcW w:w="4679" w:type="dxa"/>
            <w:tcBorders>
              <w:top w:val="single" w:sz="4" w:space="0" w:color="000000"/>
              <w:left w:val="single" w:sz="4" w:space="0" w:color="000000"/>
              <w:right w:val="single" w:sz="4" w:space="0" w:color="000000"/>
            </w:tcBorders>
          </w:tcPr>
          <w:p>
            <w:pPr>
              <w:pStyle w:val="TableParagraph"/>
              <w:spacing w:line="269" w:lineRule="exact" w:before="22"/>
              <w:ind w:left="114"/>
              <w:rPr>
                <w:rFonts w:ascii="宋体" w:eastAsia="宋体" w:hint="eastAsia"/>
                <w:sz w:val="21"/>
              </w:rPr>
            </w:pPr>
            <w:r>
              <w:rPr>
                <w:rFonts w:ascii="宋体" w:eastAsia="宋体" w:hint="eastAsia"/>
                <w:sz w:val="21"/>
              </w:rPr>
              <w:t>浙商证券股份有限公司 </w:t>
            </w:r>
          </w:p>
        </w:tc>
        <w:tc>
          <w:tcPr>
            <w:tcW w:w="1143" w:type="dxa"/>
            <w:tcBorders>
              <w:top w:val="single" w:sz="4" w:space="0" w:color="000000"/>
              <w:left w:val="single" w:sz="4" w:space="0" w:color="000000"/>
            </w:tcBorders>
          </w:tcPr>
          <w:p>
            <w:pPr>
              <w:pStyle w:val="TableParagraph"/>
              <w:spacing w:before="34"/>
              <w:ind w:right="75"/>
              <w:jc w:val="right"/>
              <w:rPr>
                <w:sz w:val="21"/>
              </w:rPr>
            </w:pPr>
            <w:r>
              <w:rPr>
                <w:sz w:val="21"/>
              </w:rPr>
              <w:t>70</w:t>
            </w:r>
          </w:p>
        </w:tc>
      </w:tr>
    </w:tbl>
    <w:p>
      <w:pPr>
        <w:pStyle w:val="BodyText"/>
        <w:spacing w:before="9"/>
        <w:rPr>
          <w:sz w:val="26"/>
        </w:rPr>
      </w:pPr>
    </w:p>
    <w:p>
      <w:pPr>
        <w:pStyle w:val="BodyText"/>
        <w:spacing w:before="72"/>
        <w:ind w:left="238"/>
      </w:pPr>
      <w:r>
        <w:rPr/>
        <w:t>聘任、解聘会计师事务所的情况说明</w:t>
      </w:r>
    </w:p>
    <w:p>
      <w:pPr>
        <w:pStyle w:val="BodyText"/>
        <w:spacing w:before="7"/>
        <w:rPr>
          <w:sz w:val="15"/>
        </w:rPr>
      </w:pPr>
    </w:p>
    <w:p>
      <w:pPr>
        <w:pStyle w:val="BodyText"/>
        <w:ind w:left="662"/>
      </w:pPr>
      <w:r>
        <w:rPr/>
        <w:t>□适用 √不适用</w:t>
      </w:r>
    </w:p>
    <w:p>
      <w:pPr>
        <w:pStyle w:val="BodyText"/>
        <w:spacing w:before="6"/>
        <w:rPr>
          <w:sz w:val="15"/>
        </w:rPr>
      </w:pPr>
    </w:p>
    <w:p>
      <w:pPr>
        <w:pStyle w:val="BodyText"/>
        <w:ind w:left="238"/>
      </w:pPr>
      <w:r>
        <w:rPr/>
        <w:t>审计期间改聘会计师事务所的情况说明</w:t>
      </w:r>
    </w:p>
    <w:p>
      <w:pPr>
        <w:pStyle w:val="BodyText"/>
        <w:spacing w:before="7"/>
        <w:rPr>
          <w:sz w:val="15"/>
        </w:rPr>
      </w:pPr>
    </w:p>
    <w:p>
      <w:pPr>
        <w:pStyle w:val="BodyText"/>
        <w:tabs>
          <w:tab w:pos="1421" w:val="left" w:leader="none"/>
        </w:tabs>
        <w:ind w:left="662"/>
      </w:pPr>
      <w:r>
        <w:rPr>
          <w:rFonts w:ascii="Times New Roman" w:hAnsi="Times New Roman" w:eastAsia="Times New Roman"/>
        </w:rPr>
        <w:t>□</w:t>
      </w:r>
      <w:r>
        <w:rPr/>
        <w:t>适用</w:t>
        <w:tab/>
      </w:r>
      <w:r>
        <w:rPr>
          <w:rFonts w:ascii="Times New Roman" w:hAnsi="Times New Roman" w:eastAsia="Times New Roman"/>
        </w:rPr>
        <w:t>√</w:t>
      </w:r>
      <w:r>
        <w:rPr>
          <w:spacing w:val="-3"/>
        </w:rPr>
        <w:t>不</w:t>
      </w:r>
      <w:r>
        <w:rPr/>
        <w:t>适用</w:t>
      </w:r>
    </w:p>
    <w:p>
      <w:pPr>
        <w:pStyle w:val="BodyText"/>
        <w:rPr>
          <w:sz w:val="22"/>
        </w:rPr>
      </w:pPr>
    </w:p>
    <w:p>
      <w:pPr>
        <w:pStyle w:val="BodyText"/>
        <w:spacing w:before="4"/>
        <w:rPr>
          <w:sz w:val="29"/>
        </w:rPr>
      </w:pPr>
    </w:p>
    <w:p>
      <w:pPr>
        <w:pStyle w:val="Heading4"/>
        <w:spacing w:line="328" w:lineRule="auto"/>
        <w:ind w:left="238" w:right="6343"/>
      </w:pPr>
      <w:r>
        <w:rPr/>
        <w:t>七、面临暂停上市风险的情况</w:t>
      </w:r>
      <w:r>
        <w:rPr>
          <w:w w:val="125"/>
        </w:rPr>
        <w:t>(</w:t>
      </w:r>
      <w:r>
        <w:rPr>
          <w:w w:val="105"/>
        </w:rPr>
        <w:t>一</w:t>
      </w:r>
      <w:r>
        <w:rPr>
          <w:w w:val="125"/>
        </w:rPr>
        <w:t>)</w:t>
      </w:r>
      <w:r>
        <w:rPr>
          <w:w w:val="105"/>
        </w:rPr>
        <w:t>导致暂停上市的原因</w:t>
      </w:r>
    </w:p>
    <w:p>
      <w:pPr>
        <w:pStyle w:val="BodyText"/>
        <w:tabs>
          <w:tab w:pos="1421" w:val="left" w:leader="none"/>
        </w:tabs>
        <w:spacing w:before="68"/>
        <w:ind w:left="662"/>
      </w:pPr>
      <w:r>
        <w:rPr>
          <w:rFonts w:ascii="Times New Roman" w:hAnsi="Times New Roman" w:eastAsia="Times New Roman"/>
        </w:rPr>
        <w:t>□</w:t>
      </w:r>
      <w:r>
        <w:rPr/>
        <w:t>适用</w:t>
        <w:tab/>
      </w:r>
      <w:r>
        <w:rPr>
          <w:rFonts w:ascii="Times New Roman" w:hAnsi="Times New Roman" w:eastAsia="Times New Roman"/>
        </w:rPr>
        <w:t>√</w:t>
      </w:r>
      <w:r>
        <w:rPr>
          <w:spacing w:val="-3"/>
        </w:rPr>
        <w:t>不</w:t>
      </w:r>
      <w:r>
        <w:rPr/>
        <w:t>适用</w:t>
      </w:r>
    </w:p>
    <w:p>
      <w:pPr>
        <w:pStyle w:val="Heading4"/>
        <w:spacing w:before="190"/>
        <w:ind w:left="238"/>
      </w:pPr>
      <w:r>
        <w:rPr>
          <w:w w:val="125"/>
        </w:rPr>
        <w:t>(</w:t>
      </w:r>
      <w:r>
        <w:rPr>
          <w:w w:val="105"/>
        </w:rPr>
        <w:t>二</w:t>
      </w:r>
      <w:r>
        <w:rPr>
          <w:w w:val="125"/>
        </w:rPr>
        <w:t>)</w:t>
      </w:r>
      <w:r>
        <w:rPr>
          <w:w w:val="105"/>
        </w:rPr>
        <w:t>公司拟采取的应对措施</w:t>
      </w:r>
    </w:p>
    <w:p>
      <w:pPr>
        <w:pStyle w:val="BodyText"/>
        <w:spacing w:before="9"/>
        <w:rPr>
          <w:rFonts w:ascii="Microsoft JhengHei"/>
          <w:b/>
          <w:sz w:val="11"/>
        </w:rPr>
      </w:pPr>
    </w:p>
    <w:p>
      <w:pPr>
        <w:pStyle w:val="BodyText"/>
        <w:ind w:left="662"/>
      </w:pPr>
      <w:r>
        <w:rPr>
          <w:rFonts w:ascii="Times New Roman" w:hAnsi="Times New Roman" w:eastAsia="Times New Roman"/>
        </w:rPr>
        <w:t>□</w:t>
      </w:r>
      <w:r>
        <w:rPr/>
        <w:t>适用 </w:t>
      </w:r>
      <w:r>
        <w:rPr>
          <w:rFonts w:ascii="Times New Roman" w:hAnsi="Times New Roman" w:eastAsia="Times New Roman"/>
        </w:rPr>
        <w:t>√</w:t>
      </w:r>
      <w:r>
        <w:rPr/>
        <w:t>不适用</w:t>
      </w:r>
    </w:p>
    <w:p>
      <w:pPr>
        <w:pStyle w:val="BodyText"/>
        <w:rPr>
          <w:sz w:val="22"/>
        </w:rPr>
      </w:pPr>
    </w:p>
    <w:p>
      <w:pPr>
        <w:pStyle w:val="Heading4"/>
        <w:spacing w:before="143"/>
        <w:ind w:left="238"/>
      </w:pPr>
      <w:r>
        <w:rPr/>
        <w:t>八、面临终止上市的情况和原因</w:t>
      </w:r>
    </w:p>
    <w:p>
      <w:pPr>
        <w:pStyle w:val="BodyText"/>
        <w:tabs>
          <w:tab w:pos="1421" w:val="left" w:leader="none"/>
        </w:tabs>
        <w:spacing w:before="55"/>
        <w:ind w:left="662"/>
      </w:pPr>
      <w:r>
        <w:rPr>
          <w:rFonts w:ascii="Times New Roman" w:hAnsi="Times New Roman" w:eastAsia="Times New Roman"/>
        </w:rPr>
        <w:t>□</w:t>
      </w:r>
      <w:r>
        <w:rPr/>
        <w:t>适用</w:t>
        <w:tab/>
      </w:r>
      <w:r>
        <w:rPr>
          <w:rFonts w:ascii="Times New Roman" w:hAnsi="Times New Roman" w:eastAsia="Times New Roman"/>
        </w:rPr>
        <w:t>√</w:t>
      </w:r>
      <w:r>
        <w:rPr>
          <w:spacing w:val="-3"/>
        </w:rPr>
        <w:t>不</w:t>
      </w:r>
      <w:r>
        <w:rPr/>
        <w:t>适用</w:t>
      </w:r>
    </w:p>
    <w:p>
      <w:pPr>
        <w:pStyle w:val="BodyText"/>
        <w:spacing w:before="12"/>
        <w:rPr>
          <w:sz w:val="26"/>
        </w:rPr>
      </w:pPr>
    </w:p>
    <w:p>
      <w:pPr>
        <w:pStyle w:val="Heading4"/>
        <w:ind w:left="238"/>
      </w:pPr>
      <w:r>
        <w:rPr/>
        <w:t>九、破产重整相关事项</w:t>
      </w:r>
    </w:p>
    <w:p>
      <w:pPr>
        <w:pStyle w:val="BodyText"/>
        <w:spacing w:before="55"/>
        <w:ind w:left="662"/>
      </w:pPr>
      <w:r>
        <w:rPr>
          <w:rFonts w:ascii="Times New Roman" w:hAnsi="Times New Roman" w:eastAsia="Times New Roman"/>
        </w:rPr>
        <w:t>□</w:t>
      </w:r>
      <w:r>
        <w:rPr/>
        <w:t>适用 </w:t>
      </w:r>
      <w:r>
        <w:rPr>
          <w:rFonts w:ascii="Times New Roman" w:hAnsi="Times New Roman" w:eastAsia="Times New Roman"/>
        </w:rPr>
        <w:t>√</w:t>
      </w:r>
      <w:r>
        <w:rPr/>
        <w:t>不适用</w:t>
      </w:r>
    </w:p>
    <w:p>
      <w:pPr>
        <w:spacing w:after="0"/>
        <w:sectPr>
          <w:pgSz w:w="11910" w:h="16840"/>
          <w:pgMar w:header="874" w:footer="1208" w:top="1480" w:bottom="1400" w:left="1560" w:right="1020"/>
        </w:sectPr>
      </w:pPr>
    </w:p>
    <w:p>
      <w:pPr>
        <w:pStyle w:val="BodyText"/>
        <w:rPr>
          <w:sz w:val="20"/>
        </w:rPr>
      </w:pPr>
    </w:p>
    <w:p>
      <w:pPr>
        <w:pStyle w:val="BodyText"/>
        <w:spacing w:before="3"/>
        <w:rPr>
          <w:sz w:val="14"/>
        </w:rPr>
      </w:pPr>
    </w:p>
    <w:p>
      <w:pPr>
        <w:pStyle w:val="Heading4"/>
        <w:spacing w:before="2"/>
        <w:ind w:left="238"/>
      </w:pPr>
      <w:r>
        <w:rPr/>
        <w:t>十、重大诉讼、仲裁事项</w:t>
      </w:r>
    </w:p>
    <w:p>
      <w:pPr>
        <w:pStyle w:val="BodyText"/>
        <w:spacing w:before="9"/>
        <w:rPr>
          <w:rFonts w:ascii="Microsoft JhengHei"/>
          <w:b/>
          <w:sz w:val="11"/>
        </w:rPr>
      </w:pPr>
    </w:p>
    <w:p>
      <w:pPr>
        <w:pStyle w:val="BodyText"/>
        <w:ind w:left="662"/>
      </w:pPr>
      <w:r>
        <w:rPr/>
        <w:t>□本年度公司有重大诉讼、仲裁事项 √本年度公司无重大诉讼、仲裁事项</w:t>
      </w:r>
    </w:p>
    <w:p>
      <w:pPr>
        <w:pStyle w:val="BodyText"/>
        <w:rPr>
          <w:sz w:val="20"/>
        </w:rPr>
      </w:pPr>
    </w:p>
    <w:p>
      <w:pPr>
        <w:pStyle w:val="BodyText"/>
        <w:rPr>
          <w:sz w:val="20"/>
        </w:rPr>
      </w:pPr>
    </w:p>
    <w:p>
      <w:pPr>
        <w:pStyle w:val="Heading4"/>
        <w:spacing w:line="290" w:lineRule="auto" w:before="145"/>
        <w:ind w:left="658" w:right="249" w:hanging="420"/>
      </w:pPr>
      <w:r>
        <w:rPr>
          <w:spacing w:val="-6"/>
        </w:rPr>
        <w:t>十一、上市公司及其董事、监事、高级管理人员、控股股东、实际控制人、收购人处罚及整改情</w:t>
      </w:r>
      <w:r>
        <w:rPr/>
        <w:t>况</w:t>
      </w:r>
    </w:p>
    <w:p>
      <w:pPr>
        <w:pStyle w:val="BodyText"/>
        <w:spacing w:before="131"/>
        <w:ind w:left="662"/>
      </w:pPr>
      <w:r>
        <w:rPr>
          <w:rFonts w:ascii="Times New Roman" w:hAnsi="Times New Roman" w:eastAsia="Times New Roman"/>
        </w:rPr>
        <w:t>□</w:t>
      </w:r>
      <w:r>
        <w:rPr/>
        <w:t>适用 </w:t>
      </w:r>
      <w:r>
        <w:rPr>
          <w:rFonts w:ascii="Times New Roman" w:hAnsi="Times New Roman" w:eastAsia="Times New Roman"/>
        </w:rPr>
        <w:t>√</w:t>
      </w:r>
      <w:r>
        <w:rPr/>
        <w:t>不适用</w:t>
      </w:r>
    </w:p>
    <w:p>
      <w:pPr>
        <w:pStyle w:val="BodyText"/>
        <w:rPr>
          <w:sz w:val="22"/>
        </w:rPr>
      </w:pPr>
    </w:p>
    <w:p>
      <w:pPr>
        <w:pStyle w:val="BodyText"/>
        <w:spacing w:before="5"/>
        <w:rPr>
          <w:sz w:val="29"/>
        </w:rPr>
      </w:pPr>
    </w:p>
    <w:p>
      <w:pPr>
        <w:pStyle w:val="Heading4"/>
        <w:ind w:left="238"/>
      </w:pPr>
      <w:r>
        <w:rPr/>
        <w:t>十二、报告期内公司及其控股股东、实际控制人诚信状况的说明</w:t>
      </w:r>
    </w:p>
    <w:p>
      <w:pPr>
        <w:pStyle w:val="BodyText"/>
        <w:spacing w:before="9"/>
        <w:rPr>
          <w:rFonts w:ascii="Microsoft JhengHei"/>
          <w:b/>
          <w:sz w:val="11"/>
        </w:rPr>
      </w:pPr>
    </w:p>
    <w:p>
      <w:pPr>
        <w:pStyle w:val="BodyText"/>
        <w:tabs>
          <w:tab w:pos="1421" w:val="left" w:leader="none"/>
        </w:tabs>
        <w:ind w:left="662"/>
      </w:pPr>
      <w:r>
        <w:rPr>
          <w:rFonts w:ascii="Times New Roman" w:hAnsi="Times New Roman" w:eastAsia="Times New Roman"/>
        </w:rPr>
        <w:t>□</w:t>
      </w:r>
      <w:r>
        <w:rPr/>
        <w:t>适用</w:t>
        <w:tab/>
      </w:r>
      <w:r>
        <w:rPr>
          <w:rFonts w:ascii="Times New Roman" w:hAnsi="Times New Roman" w:eastAsia="Times New Roman"/>
        </w:rPr>
        <w:t>√</w:t>
      </w:r>
      <w:r>
        <w:rPr>
          <w:spacing w:val="-3"/>
        </w:rPr>
        <w:t>不</w:t>
      </w:r>
      <w:r>
        <w:rPr/>
        <w:t>适用</w:t>
      </w:r>
    </w:p>
    <w:p>
      <w:pPr>
        <w:pStyle w:val="BodyText"/>
        <w:rPr>
          <w:sz w:val="22"/>
        </w:rPr>
      </w:pPr>
    </w:p>
    <w:p>
      <w:pPr>
        <w:pStyle w:val="BodyText"/>
        <w:spacing w:before="2"/>
        <w:rPr>
          <w:sz w:val="17"/>
        </w:rPr>
      </w:pPr>
    </w:p>
    <w:p>
      <w:pPr>
        <w:pStyle w:val="Heading4"/>
        <w:spacing w:line="328" w:lineRule="auto"/>
        <w:ind w:left="238" w:right="1846"/>
      </w:pPr>
      <w:r>
        <w:rPr/>
        <w:t>十三、公司股权激励计划、员工持股计划或其他员工激励措施的情况及其影响</w:t>
      </w:r>
      <w:r>
        <w:rPr>
          <w:w w:val="125"/>
        </w:rPr>
        <w:t>(</w:t>
      </w:r>
      <w:r>
        <w:rPr/>
        <w:t>一</w:t>
      </w:r>
      <w:r>
        <w:rPr>
          <w:w w:val="125"/>
        </w:rPr>
        <w:t>) </w:t>
      </w:r>
      <w:r>
        <w:rPr/>
        <w:t>相关激励事项已在临时公告披露且后续实施无进展或变化的</w:t>
      </w:r>
    </w:p>
    <w:p>
      <w:pPr>
        <w:pStyle w:val="BodyText"/>
        <w:spacing w:before="67"/>
        <w:ind w:left="662"/>
      </w:pPr>
      <w:r>
        <w:rPr/>
        <w:t>□适用 √不适用</w:t>
      </w:r>
    </w:p>
    <w:p>
      <w:pPr>
        <w:pStyle w:val="BodyText"/>
        <w:spacing w:before="10"/>
        <w:rPr>
          <w:sz w:val="14"/>
        </w:rPr>
      </w:pPr>
    </w:p>
    <w:p>
      <w:pPr>
        <w:spacing w:line="372" w:lineRule="auto" w:before="0"/>
        <w:ind w:left="238" w:right="4662" w:firstLine="0"/>
        <w:jc w:val="left"/>
        <w:rPr>
          <w:sz w:val="21"/>
        </w:rPr>
      </w:pPr>
      <w:r>
        <w:rPr>
          <w:rFonts w:ascii="Microsoft JhengHei" w:eastAsia="Microsoft JhengHei" w:hint="eastAsia"/>
          <w:b/>
          <w:sz w:val="21"/>
        </w:rPr>
        <w:t>(二) 临时公告未披露或有后续进展的激励情况</w:t>
      </w:r>
      <w:r>
        <w:rPr>
          <w:w w:val="105"/>
          <w:sz w:val="21"/>
        </w:rPr>
        <w:t>股权激励情况</w:t>
      </w:r>
    </w:p>
    <w:p>
      <w:pPr>
        <w:pStyle w:val="BodyText"/>
        <w:spacing w:line="417" w:lineRule="auto" w:before="50"/>
        <w:ind w:left="238" w:right="7262" w:firstLine="424"/>
      </w:pPr>
      <w:r>
        <w:rPr>
          <w:rFonts w:ascii="Times New Roman" w:hAnsi="Times New Roman" w:eastAsia="Times New Roman"/>
        </w:rPr>
        <w:t>□</w:t>
      </w:r>
      <w:r>
        <w:rPr/>
        <w:t>适用 </w:t>
      </w:r>
      <w:r>
        <w:rPr>
          <w:rFonts w:ascii="Times New Roman" w:hAnsi="Times New Roman" w:eastAsia="Times New Roman"/>
        </w:rPr>
        <w:t>√</w:t>
      </w:r>
      <w:r>
        <w:rPr/>
        <w:t>不适用其他说明</w:t>
      </w:r>
    </w:p>
    <w:p>
      <w:pPr>
        <w:pStyle w:val="BodyText"/>
        <w:tabs>
          <w:tab w:pos="1421" w:val="left" w:leader="none"/>
        </w:tabs>
        <w:spacing w:line="417" w:lineRule="auto"/>
        <w:ind w:left="238" w:right="7156" w:firstLine="424"/>
      </w:pPr>
      <w:r>
        <w:rPr>
          <w:rFonts w:ascii="Times New Roman" w:hAnsi="Times New Roman" w:eastAsia="Times New Roman"/>
        </w:rPr>
        <w:t>□</w:t>
      </w:r>
      <w:r>
        <w:rPr/>
        <w:t>适用</w:t>
        <w:tab/>
      </w:r>
      <w:r>
        <w:rPr>
          <w:rFonts w:ascii="Times New Roman" w:hAnsi="Times New Roman" w:eastAsia="Times New Roman"/>
        </w:rPr>
        <w:t>√</w:t>
      </w:r>
      <w:r>
        <w:rPr>
          <w:spacing w:val="-3"/>
        </w:rPr>
        <w:t>不</w:t>
      </w:r>
      <w:r>
        <w:rPr/>
        <w:t>适</w:t>
      </w:r>
      <w:r>
        <w:rPr>
          <w:spacing w:val="-17"/>
        </w:rPr>
        <w:t>用</w:t>
      </w:r>
      <w:r>
        <w:rPr/>
        <w:t>员工</w:t>
      </w:r>
      <w:r>
        <w:rPr>
          <w:spacing w:val="-3"/>
        </w:rPr>
        <w:t>持</w:t>
      </w:r>
      <w:r>
        <w:rPr/>
        <w:t>股</w:t>
      </w:r>
      <w:r>
        <w:rPr>
          <w:spacing w:val="-3"/>
        </w:rPr>
        <w:t>计</w:t>
      </w:r>
      <w:r>
        <w:rPr/>
        <w:t>划</w:t>
      </w:r>
      <w:r>
        <w:rPr>
          <w:spacing w:val="-3"/>
        </w:rPr>
        <w:t>情</w:t>
      </w:r>
      <w:r>
        <w:rPr/>
        <w:t>况</w:t>
      </w:r>
    </w:p>
    <w:p>
      <w:pPr>
        <w:pStyle w:val="BodyText"/>
        <w:tabs>
          <w:tab w:pos="1409" w:val="left" w:leader="none"/>
        </w:tabs>
        <w:spacing w:line="269" w:lineRule="exact"/>
        <w:ind w:left="662"/>
      </w:pPr>
      <w:r>
        <w:rPr>
          <w:rFonts w:ascii="Times New Roman" w:hAnsi="Times New Roman" w:eastAsia="Times New Roman"/>
        </w:rPr>
        <w:t>√</w:t>
      </w:r>
      <w:r>
        <w:rPr/>
        <w:t>适用</w:t>
        <w:tab/>
      </w:r>
      <w:r>
        <w:rPr>
          <w:rFonts w:ascii="Times New Roman" w:hAnsi="Times New Roman" w:eastAsia="Times New Roman"/>
        </w:rPr>
        <w:t>□</w:t>
      </w:r>
      <w:r>
        <w:rPr>
          <w:spacing w:val="-3"/>
        </w:rPr>
        <w:t>不</w:t>
      </w:r>
      <w:r>
        <w:rPr/>
        <w:t>适用</w:t>
      </w:r>
    </w:p>
    <w:p>
      <w:pPr>
        <w:pStyle w:val="BodyText"/>
        <w:spacing w:line="333" w:lineRule="auto" w:before="130"/>
        <w:ind w:left="238" w:right="248" w:firstLine="424"/>
      </w:pPr>
      <w:r>
        <w:rPr>
          <w:rFonts w:ascii="Times New Roman" w:hAnsi="Times New Roman" w:eastAsia="Times New Roman"/>
          <w:b/>
        </w:rPr>
        <w:t>1</w:t>
      </w:r>
      <w:r>
        <w:rPr>
          <w:rFonts w:ascii="Microsoft JhengHei" w:hAnsi="Microsoft JhengHei" w:eastAsia="Microsoft JhengHei" w:hint="eastAsia"/>
          <w:b/>
          <w:spacing w:val="-8"/>
        </w:rPr>
        <w:t>、二期员工持股计划延期：</w:t>
      </w:r>
      <w:r>
        <w:rPr>
          <w:spacing w:val="-9"/>
        </w:rPr>
        <w:t>因《青岛海尔股份有限公司第二期持股计划</w:t>
      </w:r>
      <w:r>
        <w:rPr/>
        <w:t>（</w:t>
      </w:r>
      <w:r>
        <w:rPr>
          <w:spacing w:val="-2"/>
        </w:rPr>
        <w:t>草案</w:t>
      </w:r>
      <w:r>
        <w:rPr>
          <w:spacing w:val="-29"/>
        </w:rPr>
        <w:t>）</w:t>
      </w:r>
      <w:r>
        <w:rPr>
          <w:spacing w:val="-58"/>
        </w:rPr>
        <w:t>》</w:t>
      </w:r>
      <w:r>
        <w:rPr>
          <w:spacing w:val="-3"/>
        </w:rPr>
        <w:t>（</w:t>
      </w:r>
      <w:r>
        <w:rPr>
          <w:spacing w:val="-2"/>
        </w:rPr>
        <w:t>简称</w:t>
      </w:r>
      <w:r>
        <w:rPr>
          <w:rFonts w:ascii="Times New Roman" w:hAnsi="Times New Roman" w:eastAsia="Times New Roman"/>
        </w:rPr>
        <w:t>“</w:t>
      </w:r>
      <w:r>
        <w:rPr/>
        <w:t>第</w:t>
      </w:r>
      <w:r>
        <w:rPr>
          <w:spacing w:val="-2"/>
        </w:rPr>
        <w:t>二期持股计划</w:t>
      </w:r>
      <w:r>
        <w:rPr>
          <w:rFonts w:ascii="Times New Roman" w:hAnsi="Times New Roman" w:eastAsia="Times New Roman"/>
        </w:rPr>
        <w:t>”</w:t>
      </w:r>
      <w:r>
        <w:rPr/>
        <w:t>）</w:t>
      </w:r>
      <w:r>
        <w:rPr>
          <w:spacing w:val="-5"/>
        </w:rPr>
        <w:t>尚存部分股票未归属，第二期持股计划资管账户内尚有股票 </w:t>
      </w:r>
      <w:r>
        <w:rPr>
          <w:rFonts w:ascii="Times New Roman" w:hAnsi="Times New Roman" w:eastAsia="Times New Roman"/>
        </w:rPr>
        <w:t>1,854,568</w:t>
      </w:r>
      <w:r>
        <w:rPr>
          <w:rFonts w:ascii="Times New Roman" w:hAnsi="Times New Roman" w:eastAsia="Times New Roman"/>
          <w:spacing w:val="18"/>
        </w:rPr>
        <w:t> </w:t>
      </w:r>
      <w:r>
        <w:rPr>
          <w:spacing w:val="-2"/>
        </w:rPr>
        <w:t>股。根据</w:t>
      </w:r>
    </w:p>
    <w:p>
      <w:pPr>
        <w:pStyle w:val="BodyText"/>
        <w:spacing w:line="417" w:lineRule="auto" w:before="95"/>
        <w:ind w:left="238" w:right="257"/>
        <w:jc w:val="both"/>
      </w:pPr>
      <w:r>
        <w:rPr>
          <w:spacing w:val="-7"/>
        </w:rPr>
        <w:t>原定安排，该计划将于 </w:t>
      </w:r>
      <w:r>
        <w:rPr>
          <w:rFonts w:ascii="Times New Roman" w:eastAsia="Times New Roman"/>
        </w:rPr>
        <w:t>2020</w:t>
      </w:r>
      <w:r>
        <w:rPr>
          <w:rFonts w:ascii="Times New Roman" w:eastAsia="Times New Roman"/>
          <w:spacing w:val="6"/>
        </w:rPr>
        <w:t> </w:t>
      </w:r>
      <w:r>
        <w:rPr>
          <w:spacing w:val="-25"/>
        </w:rPr>
        <w:t>年 </w:t>
      </w:r>
      <w:r>
        <w:rPr>
          <w:rFonts w:ascii="Times New Roman" w:eastAsia="Times New Roman"/>
        </w:rPr>
        <w:t>3</w:t>
      </w:r>
      <w:r>
        <w:rPr>
          <w:rFonts w:ascii="Times New Roman" w:eastAsia="Times New Roman"/>
          <w:spacing w:val="6"/>
        </w:rPr>
        <w:t> </w:t>
      </w:r>
      <w:r>
        <w:rPr>
          <w:spacing w:val="-24"/>
        </w:rPr>
        <w:t>月 </w:t>
      </w:r>
      <w:r>
        <w:rPr>
          <w:rFonts w:ascii="Times New Roman" w:eastAsia="Times New Roman"/>
        </w:rPr>
        <w:t>27</w:t>
      </w:r>
      <w:r>
        <w:rPr>
          <w:rFonts w:ascii="Times New Roman" w:eastAsia="Times New Roman"/>
          <w:spacing w:val="6"/>
        </w:rPr>
        <w:t> </w:t>
      </w:r>
      <w:r>
        <w:rPr>
          <w:spacing w:val="-3"/>
        </w:rPr>
        <w:t>日到期。根据第二期持股计划，存续期满后，第二期持股计划存续期可经董事会审议通过后延长，因此基于对公司未来持续发展的信心及对公司股票价值的判断，</w:t>
      </w:r>
      <w:r>
        <w:rPr>
          <w:rFonts w:ascii="Times New Roman" w:eastAsia="Times New Roman"/>
        </w:rPr>
        <w:t>2020</w:t>
      </w:r>
      <w:r>
        <w:rPr>
          <w:rFonts w:ascii="Times New Roman" w:eastAsia="Times New Roman"/>
          <w:spacing w:val="3"/>
        </w:rPr>
        <w:t> </w:t>
      </w:r>
      <w:r>
        <w:rPr>
          <w:spacing w:val="-23"/>
        </w:rPr>
        <w:t>年 </w:t>
      </w:r>
      <w:r>
        <w:rPr>
          <w:rFonts w:ascii="Times New Roman" w:eastAsia="Times New Roman"/>
        </w:rPr>
        <w:t>2</w:t>
      </w:r>
      <w:r>
        <w:rPr>
          <w:rFonts w:ascii="Times New Roman" w:eastAsia="Times New Roman"/>
          <w:spacing w:val="4"/>
        </w:rPr>
        <w:t> </w:t>
      </w:r>
      <w:r>
        <w:rPr>
          <w:spacing w:val="-23"/>
        </w:rPr>
        <w:t>月 </w:t>
      </w:r>
      <w:r>
        <w:rPr>
          <w:rFonts w:ascii="Times New Roman" w:eastAsia="Times New Roman"/>
        </w:rPr>
        <w:t>14</w:t>
      </w:r>
      <w:r>
        <w:rPr>
          <w:rFonts w:ascii="Times New Roman" w:eastAsia="Times New Roman"/>
          <w:spacing w:val="4"/>
        </w:rPr>
        <w:t> </w:t>
      </w:r>
      <w:r>
        <w:rPr>
          <w:spacing w:val="-3"/>
        </w:rPr>
        <w:t>日，海尔智家召开第十届董事会第六次会议，决定第二期持股计划的存</w:t>
      </w:r>
    </w:p>
    <w:p>
      <w:pPr>
        <w:pStyle w:val="BodyText"/>
        <w:spacing w:line="269" w:lineRule="exact"/>
        <w:ind w:left="238"/>
        <w:jc w:val="both"/>
      </w:pPr>
      <w:r>
        <w:rPr>
          <w:spacing w:val="-8"/>
        </w:rPr>
        <w:t>续期由自标的股票登记至第二期持股计划时</w:t>
      </w:r>
      <w:r>
        <w:rPr>
          <w:spacing w:val="-3"/>
        </w:rPr>
        <w:t>（</w:t>
      </w:r>
      <w:r>
        <w:rPr>
          <w:spacing w:val="-25"/>
        </w:rPr>
        <w:t>即 </w:t>
      </w:r>
      <w:r>
        <w:rPr>
          <w:rFonts w:ascii="Times New Roman" w:hAnsi="Times New Roman" w:eastAsia="Times New Roman"/>
        </w:rPr>
        <w:t>2017 </w:t>
      </w:r>
      <w:r>
        <w:rPr>
          <w:spacing w:val="-25"/>
        </w:rPr>
        <w:t>年 </w:t>
      </w:r>
      <w:r>
        <w:rPr>
          <w:rFonts w:ascii="Times New Roman" w:hAnsi="Times New Roman" w:eastAsia="Times New Roman"/>
        </w:rPr>
        <w:t>3 </w:t>
      </w:r>
      <w:r>
        <w:rPr>
          <w:spacing w:val="-25"/>
        </w:rPr>
        <w:t>月 </w:t>
      </w:r>
      <w:r>
        <w:rPr>
          <w:rFonts w:ascii="Times New Roman" w:hAnsi="Times New Roman" w:eastAsia="Times New Roman"/>
        </w:rPr>
        <w:t>28 </w:t>
      </w:r>
      <w:r>
        <w:rPr/>
        <w:t>日</w:t>
      </w:r>
      <w:r>
        <w:rPr>
          <w:spacing w:val="-85"/>
        </w:rPr>
        <w:t>）</w:t>
      </w:r>
      <w:r>
        <w:rPr/>
        <w:t>起</w:t>
      </w:r>
      <w:r>
        <w:rPr>
          <w:rFonts w:ascii="Times New Roman" w:hAnsi="Times New Roman" w:eastAsia="Times New Roman"/>
        </w:rPr>
        <w:t>“</w:t>
      </w:r>
      <w:r>
        <w:rPr>
          <w:spacing w:val="-15"/>
        </w:rPr>
        <w:t>不超过 </w:t>
      </w:r>
      <w:r>
        <w:rPr>
          <w:rFonts w:ascii="Times New Roman" w:hAnsi="Times New Roman" w:eastAsia="Times New Roman"/>
        </w:rPr>
        <w:t>36 </w:t>
      </w:r>
      <w:r>
        <w:rPr>
          <w:spacing w:val="-2"/>
        </w:rPr>
        <w:t>个月</w:t>
      </w:r>
      <w:r>
        <w:rPr>
          <w:rFonts w:ascii="Times New Roman" w:hAnsi="Times New Roman" w:eastAsia="Times New Roman"/>
        </w:rPr>
        <w:t>”</w:t>
      </w:r>
      <w:r>
        <w:rPr>
          <w:spacing w:val="-2"/>
        </w:rPr>
        <w:t>变更为</w:t>
      </w:r>
      <w:r>
        <w:rPr>
          <w:rFonts w:ascii="Times New Roman" w:hAnsi="Times New Roman" w:eastAsia="Times New Roman"/>
          <w:spacing w:val="-3"/>
        </w:rPr>
        <w:t>“</w:t>
      </w:r>
      <w:r>
        <w:rPr/>
        <w:t>不</w:t>
      </w:r>
    </w:p>
    <w:p>
      <w:pPr>
        <w:pStyle w:val="BodyText"/>
        <w:spacing w:line="460" w:lineRule="atLeast" w:before="8"/>
        <w:ind w:left="238" w:right="269"/>
        <w:jc w:val="both"/>
      </w:pPr>
      <w:r>
        <w:rPr>
          <w:spacing w:val="-13"/>
        </w:rPr>
        <w:t>超过 </w:t>
      </w:r>
      <w:r>
        <w:rPr>
          <w:rFonts w:ascii="Times New Roman" w:hAnsi="Times New Roman" w:eastAsia="Times New Roman"/>
        </w:rPr>
        <w:t>60 </w:t>
      </w:r>
      <w:r>
        <w:rPr>
          <w:spacing w:val="-2"/>
        </w:rPr>
        <w:t>个月</w:t>
      </w:r>
      <w:r>
        <w:rPr>
          <w:rFonts w:ascii="Times New Roman" w:hAnsi="Times New Roman" w:eastAsia="Times New Roman"/>
        </w:rPr>
        <w:t>”</w:t>
      </w:r>
      <w:r>
        <w:rPr>
          <w:spacing w:val="-3"/>
        </w:rPr>
        <w:t>，存续期变更后，第二期员工持股计划不再重新设定锁定期，同日召开的监事会也审议通过了前述事项，独立董事发表了同意的独立意见。</w:t>
      </w:r>
    </w:p>
    <w:p>
      <w:pPr>
        <w:spacing w:after="0" w:line="460" w:lineRule="atLeast"/>
        <w:jc w:val="both"/>
        <w:sectPr>
          <w:pgSz w:w="11910" w:h="16840"/>
          <w:pgMar w:header="874" w:footer="1208" w:top="1480" w:bottom="1400" w:left="1560" w:right="1020"/>
        </w:sectPr>
      </w:pPr>
    </w:p>
    <w:p>
      <w:pPr>
        <w:pStyle w:val="BodyText"/>
        <w:spacing w:line="333" w:lineRule="auto" w:before="69"/>
        <w:ind w:left="238" w:right="286" w:firstLine="424"/>
      </w:pPr>
      <w:r>
        <w:rPr>
          <w:rFonts w:ascii="Times New Roman" w:hAnsi="Times New Roman" w:eastAsia="Times New Roman"/>
          <w:b/>
        </w:rPr>
        <w:t>2</w:t>
      </w:r>
      <w:r>
        <w:rPr>
          <w:rFonts w:ascii="Microsoft JhengHei" w:hAnsi="Microsoft JhengHei" w:eastAsia="Microsoft JhengHei" w:hint="eastAsia"/>
          <w:b/>
        </w:rPr>
        <w:t>、员工持股计划部分归属：</w:t>
      </w:r>
      <w:r>
        <w:rPr/>
        <w:t>报告期内，公司《青岛海尔股份有限公司核心员工持股计划之第三期持股计划（草案）及摘要》（简称</w:t>
      </w:r>
      <w:r>
        <w:rPr>
          <w:rFonts w:ascii="Times New Roman" w:hAnsi="Times New Roman" w:eastAsia="Times New Roman"/>
        </w:rPr>
        <w:t>“</w:t>
      </w:r>
      <w:r>
        <w:rPr/>
        <w:t>第三期持股计划</w:t>
      </w:r>
      <w:r>
        <w:rPr>
          <w:rFonts w:ascii="Times New Roman" w:hAnsi="Times New Roman" w:eastAsia="Times New Roman"/>
        </w:rPr>
        <w:t>”</w:t>
      </w:r>
      <w:r>
        <w:rPr/>
        <w:t>）第二次归属、《青岛海尔股份有限</w:t>
      </w:r>
    </w:p>
    <w:p>
      <w:pPr>
        <w:pStyle w:val="BodyText"/>
        <w:spacing w:line="417" w:lineRule="auto" w:before="95"/>
        <w:ind w:left="238" w:right="247"/>
        <w:jc w:val="both"/>
      </w:pPr>
      <w:r>
        <w:rPr>
          <w:spacing w:val="-3"/>
        </w:rPr>
        <w:t>公司核心员工持股计划之第四期持股计划</w:t>
      </w:r>
      <w:r>
        <w:rPr/>
        <w:t>（</w:t>
      </w:r>
      <w:r>
        <w:rPr>
          <w:spacing w:val="-2"/>
        </w:rPr>
        <w:t>草案</w:t>
      </w:r>
      <w:r>
        <w:rPr>
          <w:spacing w:val="-3"/>
        </w:rPr>
        <w:t>）</w:t>
      </w:r>
      <w:r>
        <w:rPr>
          <w:spacing w:val="-1"/>
        </w:rPr>
        <w:t>及摘要》</w:t>
      </w:r>
      <w:r>
        <w:rPr>
          <w:spacing w:val="-3"/>
        </w:rPr>
        <w:t>（</w:t>
      </w:r>
      <w:r>
        <w:rPr>
          <w:spacing w:val="-2"/>
        </w:rPr>
        <w:t>简称</w:t>
      </w:r>
      <w:r>
        <w:rPr>
          <w:rFonts w:ascii="Times New Roman" w:hAnsi="Times New Roman" w:eastAsia="Times New Roman"/>
        </w:rPr>
        <w:t>“</w:t>
      </w:r>
      <w:r>
        <w:rPr>
          <w:spacing w:val="-3"/>
        </w:rPr>
        <w:t>第四期持股计划</w:t>
      </w:r>
      <w:r>
        <w:rPr>
          <w:rFonts w:ascii="Times New Roman" w:hAnsi="Times New Roman" w:eastAsia="Times New Roman"/>
        </w:rPr>
        <w:t>”</w:t>
      </w:r>
      <w:r>
        <w:rPr/>
        <w:t>）</w:t>
      </w:r>
      <w:r>
        <w:rPr>
          <w:spacing w:val="-2"/>
        </w:rPr>
        <w:t>第一次归</w:t>
      </w:r>
      <w:r>
        <w:rPr>
          <w:spacing w:val="-3"/>
        </w:rPr>
        <w:t>属条件达成：</w:t>
      </w:r>
      <w:r>
        <w:rPr>
          <w:rFonts w:ascii="Times New Roman" w:hAnsi="Times New Roman" w:eastAsia="Times New Roman"/>
          <w:spacing w:val="-3"/>
        </w:rPr>
        <w:t>2020 </w:t>
      </w:r>
      <w:r>
        <w:rPr>
          <w:spacing w:val="-23"/>
        </w:rPr>
        <w:t>年 </w:t>
      </w:r>
      <w:r>
        <w:rPr>
          <w:rFonts w:ascii="Times New Roman" w:hAnsi="Times New Roman" w:eastAsia="Times New Roman"/>
        </w:rPr>
        <w:t>7 </w:t>
      </w:r>
      <w:r>
        <w:rPr>
          <w:spacing w:val="-23"/>
        </w:rPr>
        <w:t>月 </w:t>
      </w:r>
      <w:r>
        <w:rPr>
          <w:rFonts w:ascii="Times New Roman" w:hAnsi="Times New Roman" w:eastAsia="Times New Roman"/>
        </w:rPr>
        <w:t>20 </w:t>
      </w:r>
      <w:r>
        <w:rPr>
          <w:spacing w:val="-6"/>
        </w:rPr>
        <w:t>日，员工持股计划管委会召开会议，确定了：</w:t>
      </w:r>
      <w:r>
        <w:rPr>
          <w:spacing w:val="-7"/>
        </w:rPr>
        <w:t>（</w:t>
      </w:r>
      <w:r>
        <w:rPr>
          <w:rFonts w:ascii="Times New Roman" w:hAnsi="Times New Roman" w:eastAsia="Times New Roman"/>
          <w:spacing w:val="-7"/>
        </w:rPr>
        <w:t>1</w:t>
      </w:r>
      <w:r>
        <w:rPr>
          <w:spacing w:val="-7"/>
        </w:rPr>
        <w:t>）</w:t>
      </w:r>
      <w:r>
        <w:rPr>
          <w:spacing w:val="-3"/>
        </w:rPr>
        <w:t>第三期持股计划根据和信会计师事务所（</w:t>
      </w:r>
      <w:r>
        <w:rPr>
          <w:spacing w:val="-2"/>
        </w:rPr>
        <w:t>特殊普通合伙</w:t>
      </w:r>
      <w:r>
        <w:rPr/>
        <w:t>）</w:t>
      </w:r>
      <w:r>
        <w:rPr>
          <w:spacing w:val="-1"/>
        </w:rPr>
        <w:t> 出具的和信审字</w:t>
      </w:r>
      <w:r>
        <w:rPr/>
        <w:t>（</w:t>
      </w:r>
      <w:r>
        <w:rPr>
          <w:rFonts w:ascii="Times New Roman" w:hAnsi="Times New Roman" w:eastAsia="Times New Roman"/>
        </w:rPr>
        <w:t>2020</w:t>
      </w:r>
      <w:r>
        <w:rPr/>
        <w:t>）</w:t>
      </w:r>
      <w:r>
        <w:rPr>
          <w:spacing w:val="-23"/>
        </w:rPr>
        <w:t>第 </w:t>
      </w:r>
      <w:r>
        <w:rPr>
          <w:rFonts w:ascii="Times New Roman" w:hAnsi="Times New Roman" w:eastAsia="Times New Roman"/>
        </w:rPr>
        <w:t>000287 </w:t>
      </w:r>
      <w:r>
        <w:rPr>
          <w:spacing w:val="-3"/>
        </w:rPr>
        <w:t>号《海尔智家股份</w:t>
      </w:r>
      <w:r>
        <w:rPr>
          <w:spacing w:val="-5"/>
        </w:rPr>
        <w:t>有限公司审计报告》，</w:t>
      </w:r>
      <w:r>
        <w:rPr>
          <w:rFonts w:ascii="Times New Roman" w:hAnsi="Times New Roman" w:eastAsia="Times New Roman"/>
          <w:spacing w:val="-5"/>
        </w:rPr>
        <w:t>2019 </w:t>
      </w:r>
      <w:r>
        <w:rPr>
          <w:spacing w:val="-3"/>
        </w:rPr>
        <w:t>年度公司经审计的扣除非经常性损益的归属于母公司股东的净利润较</w:t>
      </w:r>
      <w:r>
        <w:rPr>
          <w:rFonts w:ascii="Times New Roman" w:hAnsi="Times New Roman" w:eastAsia="Times New Roman"/>
          <w:spacing w:val="-3"/>
        </w:rPr>
        <w:t>2017 </w:t>
      </w:r>
      <w:r>
        <w:rPr>
          <w:spacing w:val="-9"/>
        </w:rPr>
        <w:t>年增长 </w:t>
      </w:r>
      <w:r>
        <w:rPr>
          <w:rFonts w:ascii="Times New Roman" w:hAnsi="Times New Roman" w:eastAsia="Times New Roman"/>
          <w:spacing w:val="-9"/>
        </w:rPr>
        <w:t>2.51%</w:t>
      </w:r>
      <w:r>
        <w:rPr>
          <w:spacing w:val="-16"/>
        </w:rPr>
        <w:t>，董事、监事、高级管理人员、及公司平台人员未达成归属条件，本次不归属；</w:t>
      </w:r>
    </w:p>
    <w:p>
      <w:pPr>
        <w:pStyle w:val="BodyText"/>
        <w:spacing w:line="417" w:lineRule="auto"/>
        <w:ind w:left="238" w:right="250"/>
        <w:jc w:val="both"/>
      </w:pPr>
      <w:r>
        <w:rPr/>
        <w:t>其他 </w:t>
      </w:r>
      <w:r>
        <w:rPr>
          <w:rFonts w:ascii="Times New Roman" w:eastAsia="Times New Roman"/>
        </w:rPr>
        <w:t>428 </w:t>
      </w:r>
      <w:r>
        <w:rPr/>
        <w:t>名持有人根据 </w:t>
      </w:r>
      <w:r>
        <w:rPr>
          <w:rFonts w:ascii="Times New Roman" w:eastAsia="Times New Roman"/>
        </w:rPr>
        <w:t>2019 </w:t>
      </w:r>
      <w:r>
        <w:rPr/>
        <w:t>年度业绩及个人考核结果本次应归属股票 </w:t>
      </w:r>
      <w:r>
        <w:rPr>
          <w:rFonts w:ascii="Times New Roman" w:eastAsia="Times New Roman"/>
        </w:rPr>
        <w:t>4,640,815 </w:t>
      </w:r>
      <w:r>
        <w:rPr/>
        <w:t>股，其余持有人因考核不达标或离职等原因，相应的份额暂不进行归属 或者对其归属份额进行调整；（</w:t>
      </w:r>
      <w:r>
        <w:rPr>
          <w:rFonts w:ascii="Times New Roman" w:eastAsia="Times New Roman"/>
        </w:rPr>
        <w:t>2</w:t>
      </w:r>
      <w:r>
        <w:rPr/>
        <w:t>）第四期持股计划基于对持有人的综合考核，共计有 </w:t>
      </w:r>
      <w:r>
        <w:rPr>
          <w:rFonts w:ascii="Times New Roman" w:eastAsia="Times New Roman"/>
        </w:rPr>
        <w:t>589 </w:t>
      </w:r>
      <w:r>
        <w:rPr/>
        <w:t>名持有人本次应归属股票 </w:t>
      </w:r>
      <w:r>
        <w:rPr>
          <w:rFonts w:ascii="Times New Roman" w:eastAsia="Times New Roman"/>
        </w:rPr>
        <w:t>5,386,118 </w:t>
      </w:r>
      <w:r>
        <w:rPr/>
        <w:t>股，其余持有人因考核不达标或离职等原因，相应的份额暂不进行归属或者对其归属份额进行调整。公司董事、监事及高级管理人员本次共计可归属 </w:t>
      </w:r>
      <w:r>
        <w:rPr>
          <w:rFonts w:ascii="Times New Roman" w:eastAsia="Times New Roman"/>
        </w:rPr>
        <w:t>995,043 </w:t>
      </w:r>
      <w:r>
        <w:rPr/>
        <w:t>股，其所持股份若变动须遵守《上市公司董事、监事和高级管理人员所持本公司股份及其变动管理规则》等的相关规定。</w:t>
      </w:r>
    </w:p>
    <w:p>
      <w:pPr>
        <w:pStyle w:val="BodyText"/>
        <w:spacing w:line="269" w:lineRule="exact"/>
        <w:ind w:left="662"/>
        <w:jc w:val="both"/>
      </w:pPr>
      <w:r>
        <w:rPr/>
        <w:t>公司已根据前述决议等于 </w:t>
      </w:r>
      <w:r>
        <w:rPr>
          <w:rFonts w:ascii="Times New Roman" w:eastAsia="Times New Roman"/>
        </w:rPr>
        <w:t>2020 </w:t>
      </w:r>
      <w:r>
        <w:rPr/>
        <w:t>年 </w:t>
      </w:r>
      <w:r>
        <w:rPr>
          <w:rFonts w:ascii="Times New Roman" w:eastAsia="Times New Roman"/>
        </w:rPr>
        <w:t>7 </w:t>
      </w:r>
      <w:r>
        <w:rPr/>
        <w:t>月 </w:t>
      </w:r>
      <w:r>
        <w:rPr>
          <w:rFonts w:ascii="Times New Roman" w:eastAsia="Times New Roman"/>
        </w:rPr>
        <w:t>28 </w:t>
      </w:r>
      <w:r>
        <w:rPr/>
        <w:t>日在中国证券登记结算公司上海分公司办理了相关</w:t>
      </w:r>
    </w:p>
    <w:p>
      <w:pPr>
        <w:pStyle w:val="BodyText"/>
        <w:spacing w:before="5"/>
        <w:rPr>
          <w:sz w:val="15"/>
        </w:rPr>
      </w:pPr>
    </w:p>
    <w:p>
      <w:pPr>
        <w:pStyle w:val="BodyText"/>
        <w:spacing w:before="1"/>
        <w:ind w:left="238"/>
      </w:pPr>
      <w:r>
        <w:rPr/>
        <w:t>股票的过户事宜，合计数量 </w:t>
      </w:r>
      <w:r>
        <w:rPr>
          <w:rFonts w:ascii="Times New Roman" w:eastAsia="Times New Roman"/>
        </w:rPr>
        <w:t>10,026,933 </w:t>
      </w:r>
      <w:r>
        <w:rPr/>
        <w:t>股。</w:t>
      </w:r>
    </w:p>
    <w:p>
      <w:pPr>
        <w:pStyle w:val="BodyText"/>
        <w:rPr>
          <w:sz w:val="22"/>
        </w:rPr>
      </w:pPr>
    </w:p>
    <w:p>
      <w:pPr>
        <w:pStyle w:val="BodyText"/>
        <w:spacing w:before="11"/>
        <w:rPr>
          <w:sz w:val="17"/>
        </w:rPr>
      </w:pPr>
    </w:p>
    <w:p>
      <w:pPr>
        <w:pStyle w:val="BodyText"/>
        <w:ind w:left="238"/>
      </w:pPr>
      <w:r>
        <w:rPr/>
        <w:t>其他激励措施</w:t>
      </w:r>
    </w:p>
    <w:p>
      <w:pPr>
        <w:pStyle w:val="BodyText"/>
        <w:spacing w:before="7"/>
        <w:rPr>
          <w:sz w:val="15"/>
        </w:rPr>
      </w:pPr>
    </w:p>
    <w:p>
      <w:pPr>
        <w:pStyle w:val="BodyText"/>
        <w:ind w:left="662"/>
      </w:pPr>
      <w:r>
        <w:rPr>
          <w:rFonts w:ascii="Times New Roman" w:hAnsi="Times New Roman" w:eastAsia="Times New Roman"/>
        </w:rPr>
        <w:t>□</w:t>
      </w:r>
      <w:r>
        <w:rPr/>
        <w:t>适用 </w:t>
      </w:r>
      <w:r>
        <w:rPr>
          <w:rFonts w:ascii="Times New Roman" w:hAnsi="Times New Roman" w:eastAsia="Times New Roman"/>
        </w:rPr>
        <w:t>√</w:t>
      </w:r>
      <w:r>
        <w:rPr/>
        <w:t>不适用</w:t>
      </w:r>
    </w:p>
    <w:p>
      <w:pPr>
        <w:pStyle w:val="BodyText"/>
        <w:rPr>
          <w:sz w:val="22"/>
        </w:rPr>
      </w:pPr>
    </w:p>
    <w:p>
      <w:pPr>
        <w:pStyle w:val="BodyText"/>
        <w:spacing w:before="2"/>
        <w:rPr>
          <w:sz w:val="17"/>
        </w:rPr>
      </w:pPr>
    </w:p>
    <w:p>
      <w:pPr>
        <w:pStyle w:val="Heading4"/>
        <w:ind w:left="238"/>
      </w:pPr>
      <w:r>
        <w:rPr/>
        <w:t>十四、重大关联交易</w:t>
      </w:r>
    </w:p>
    <w:p>
      <w:pPr>
        <w:pStyle w:val="Heading4"/>
        <w:spacing w:before="142"/>
        <w:ind w:left="238"/>
      </w:pPr>
      <w:r>
        <w:rPr>
          <w:rFonts w:ascii="Times New Roman" w:eastAsia="Times New Roman"/>
        </w:rPr>
        <w:t>(</w:t>
      </w:r>
      <w:r>
        <w:rPr/>
        <w:t>一</w:t>
      </w:r>
      <w:r>
        <w:rPr>
          <w:rFonts w:ascii="Times New Roman" w:eastAsia="Times New Roman"/>
        </w:rPr>
        <w:t>) </w:t>
      </w:r>
      <w:r>
        <w:rPr/>
        <w:t>与日常经营相关的关联交易</w:t>
      </w:r>
    </w:p>
    <w:p>
      <w:pPr>
        <w:pStyle w:val="Heading4"/>
        <w:spacing w:before="142"/>
        <w:ind w:left="238"/>
      </w:pPr>
      <w:r>
        <w:rPr>
          <w:rFonts w:ascii="Times New Roman" w:eastAsia="Times New Roman"/>
        </w:rPr>
        <w:t>1</w:t>
      </w:r>
      <w:r>
        <w:rPr/>
        <w:t>、 已在临时公告披露且后续实施无进展或变化的事项</w:t>
      </w:r>
    </w:p>
    <w:p>
      <w:pPr>
        <w:pStyle w:val="BodyText"/>
        <w:spacing w:before="8"/>
        <w:rPr>
          <w:rFonts w:ascii="Microsoft JhengHei"/>
          <w:b/>
          <w:sz w:val="11"/>
        </w:rPr>
      </w:pPr>
    </w:p>
    <w:p>
      <w:pPr>
        <w:pStyle w:val="BodyText"/>
        <w:ind w:left="662"/>
      </w:pPr>
      <w:r>
        <w:rPr/>
        <w:t>□适用 √不适用</w:t>
      </w:r>
    </w:p>
    <w:p>
      <w:pPr>
        <w:pStyle w:val="BodyText"/>
        <w:spacing w:before="11"/>
        <w:rPr>
          <w:sz w:val="14"/>
        </w:rPr>
      </w:pPr>
    </w:p>
    <w:p>
      <w:pPr>
        <w:pStyle w:val="Heading4"/>
        <w:ind w:left="238"/>
      </w:pPr>
      <w:r>
        <w:rPr>
          <w:rFonts w:ascii="Times New Roman" w:eastAsia="Times New Roman"/>
        </w:rPr>
        <w:t>2</w:t>
      </w:r>
      <w:r>
        <w:rPr/>
        <w:t>、 已在临时公告披露，但有后续实施的进展或变化的事项</w:t>
      </w:r>
    </w:p>
    <w:p>
      <w:pPr>
        <w:pStyle w:val="BodyText"/>
        <w:spacing w:before="9"/>
        <w:rPr>
          <w:rFonts w:ascii="Microsoft JhengHei"/>
          <w:b/>
          <w:sz w:val="11"/>
        </w:rPr>
      </w:pPr>
    </w:p>
    <w:p>
      <w:pPr>
        <w:pStyle w:val="BodyText"/>
        <w:tabs>
          <w:tab w:pos="1409" w:val="left" w:leader="none"/>
        </w:tabs>
        <w:ind w:left="662"/>
      </w:pPr>
      <w:r>
        <w:rPr>
          <w:rFonts w:ascii="Times New Roman" w:hAnsi="Times New Roman" w:eastAsia="Times New Roman"/>
        </w:rPr>
        <w:t>√</w:t>
      </w:r>
      <w:r>
        <w:rPr/>
        <w:t>适用</w:t>
        <w:tab/>
      </w:r>
      <w:r>
        <w:rPr>
          <w:rFonts w:ascii="Times New Roman" w:hAnsi="Times New Roman" w:eastAsia="Times New Roman"/>
        </w:rPr>
        <w:t>□</w:t>
      </w:r>
      <w:r>
        <w:rPr>
          <w:spacing w:val="-3"/>
        </w:rPr>
        <w:t>不</w:t>
      </w:r>
      <w:r>
        <w:rPr/>
        <w:t>适用</w:t>
      </w:r>
    </w:p>
    <w:p>
      <w:pPr>
        <w:pStyle w:val="BodyText"/>
        <w:spacing w:before="7"/>
        <w:rPr>
          <w:sz w:val="15"/>
        </w:rPr>
      </w:pPr>
    </w:p>
    <w:p>
      <w:pPr>
        <w:pStyle w:val="BodyText"/>
        <w:spacing w:line="417" w:lineRule="auto"/>
        <w:ind w:left="238" w:right="142" w:firstLine="371"/>
      </w:pPr>
      <w:r>
        <w:rPr>
          <w:spacing w:val="-1"/>
        </w:rPr>
        <w:t>公司于</w:t>
      </w:r>
      <w:r>
        <w:rPr>
          <w:rFonts w:ascii="Times New Roman" w:eastAsia="Times New Roman"/>
        </w:rPr>
        <w:t>2020</w:t>
      </w:r>
      <w:r>
        <w:rPr/>
        <w:t>年</w:t>
      </w:r>
      <w:r>
        <w:rPr>
          <w:rFonts w:ascii="Times New Roman" w:eastAsia="Times New Roman"/>
          <w:spacing w:val="-3"/>
        </w:rPr>
        <w:t>4</w:t>
      </w:r>
      <w:r>
        <w:rPr/>
        <w:t>月</w:t>
      </w:r>
      <w:r>
        <w:rPr>
          <w:rFonts w:ascii="Times New Roman" w:eastAsia="Times New Roman"/>
        </w:rPr>
        <w:t>29</w:t>
      </w:r>
      <w:r>
        <w:rPr>
          <w:spacing w:val="-3"/>
        </w:rPr>
        <w:t>日召开的第十届董事会第七次会议对</w:t>
      </w:r>
      <w:r>
        <w:rPr>
          <w:rFonts w:ascii="Times New Roman" w:eastAsia="Times New Roman"/>
        </w:rPr>
        <w:t>2020</w:t>
      </w:r>
      <w:r>
        <w:rPr>
          <w:spacing w:val="-3"/>
        </w:rPr>
        <w:t>年度公司关联交易情况进行了  </w:t>
      </w:r>
      <w:r>
        <w:rPr>
          <w:spacing w:val="-22"/>
        </w:rPr>
        <w:t>预计，详见</w:t>
      </w:r>
      <w:r>
        <w:rPr>
          <w:rFonts w:ascii="Times New Roman" w:eastAsia="Times New Roman"/>
        </w:rPr>
        <w:t>2020</w:t>
      </w:r>
      <w:r>
        <w:rPr/>
        <w:t>年</w:t>
      </w:r>
      <w:r>
        <w:rPr>
          <w:rFonts w:ascii="Times New Roman" w:eastAsia="Times New Roman"/>
          <w:spacing w:val="-3"/>
        </w:rPr>
        <w:t>4</w:t>
      </w:r>
      <w:r>
        <w:rPr/>
        <w:t>月</w:t>
      </w:r>
      <w:r>
        <w:rPr>
          <w:rFonts w:ascii="Times New Roman" w:eastAsia="Times New Roman"/>
        </w:rPr>
        <w:t>30</w:t>
      </w:r>
      <w:r>
        <w:rPr>
          <w:spacing w:val="-13"/>
        </w:rPr>
        <w:t>日披露的《海尔智家股份有限公司关于预计</w:t>
      </w:r>
      <w:r>
        <w:rPr>
          <w:rFonts w:ascii="Times New Roman" w:eastAsia="Times New Roman"/>
        </w:rPr>
        <w:t>2020</w:t>
      </w:r>
      <w:r>
        <w:rPr>
          <w:spacing w:val="-3"/>
        </w:rPr>
        <w:t>年度日常关联交易的公告》及相关董事会决议公告。</w:t>
      </w:r>
    </w:p>
    <w:p>
      <w:pPr>
        <w:spacing w:after="0" w:line="417" w:lineRule="auto"/>
        <w:sectPr>
          <w:pgSz w:w="11910" w:h="16840"/>
          <w:pgMar w:header="874" w:footer="1208" w:top="1480" w:bottom="1400" w:left="1560" w:right="1020"/>
        </w:sectPr>
      </w:pPr>
    </w:p>
    <w:p>
      <w:pPr>
        <w:pStyle w:val="BodyText"/>
        <w:spacing w:line="417" w:lineRule="auto" w:before="138"/>
        <w:ind w:left="238" w:right="327" w:firstLine="424"/>
      </w:pPr>
      <w:r>
        <w:rPr>
          <w:rFonts w:ascii="Times New Roman" w:eastAsia="Times New Roman"/>
        </w:rPr>
        <w:t>2020 </w:t>
      </w:r>
      <w:r>
        <w:rPr/>
        <w:t>年公司关联交易实际履行情况详见本定期报告第十节《财务会计报告》之</w:t>
      </w:r>
      <w:r>
        <w:rPr>
          <w:rFonts w:ascii="Times New Roman" w:eastAsia="Times New Roman"/>
        </w:rPr>
        <w:t>"</w:t>
      </w:r>
      <w:r>
        <w:rPr/>
        <w:t>附注十二、关联方及关联交易</w:t>
      </w:r>
      <w:r>
        <w:rPr>
          <w:rFonts w:ascii="Times New Roman" w:eastAsia="Times New Roman"/>
        </w:rPr>
        <w:t>"</w:t>
      </w:r>
      <w:r>
        <w:rPr/>
        <w:t>的内容。</w:t>
      </w:r>
    </w:p>
    <w:p>
      <w:pPr>
        <w:pStyle w:val="Heading4"/>
        <w:spacing w:line="377" w:lineRule="exact"/>
        <w:ind w:left="238"/>
      </w:pPr>
      <w:r>
        <w:rPr>
          <w:rFonts w:ascii="Times New Roman" w:eastAsia="Times New Roman"/>
        </w:rPr>
        <w:t>3</w:t>
      </w:r>
      <w:r>
        <w:rPr/>
        <w:t>、 临时公告未披露的事项</w:t>
      </w:r>
    </w:p>
    <w:p>
      <w:pPr>
        <w:pStyle w:val="BodyText"/>
        <w:spacing w:before="9"/>
        <w:rPr>
          <w:rFonts w:ascii="Microsoft JhengHei"/>
          <w:b/>
          <w:sz w:val="11"/>
        </w:rPr>
      </w:pPr>
    </w:p>
    <w:p>
      <w:pPr>
        <w:pStyle w:val="BodyText"/>
        <w:ind w:left="662"/>
      </w:pPr>
      <w:r>
        <w:rPr/>
        <w:t>□适用 √不适用</w:t>
      </w:r>
    </w:p>
    <w:p>
      <w:pPr>
        <w:pStyle w:val="BodyText"/>
        <w:rPr>
          <w:sz w:val="20"/>
        </w:rPr>
      </w:pPr>
    </w:p>
    <w:p>
      <w:pPr>
        <w:pStyle w:val="BodyText"/>
        <w:rPr>
          <w:sz w:val="20"/>
        </w:rPr>
      </w:pPr>
    </w:p>
    <w:p>
      <w:pPr>
        <w:pStyle w:val="Heading4"/>
        <w:spacing w:before="145"/>
        <w:ind w:left="238"/>
      </w:pPr>
      <w:r>
        <w:rPr>
          <w:rFonts w:ascii="Times New Roman" w:eastAsia="Times New Roman"/>
        </w:rPr>
        <w:t>(</w:t>
      </w:r>
      <w:r>
        <w:rPr/>
        <w:t>二</w:t>
      </w:r>
      <w:r>
        <w:rPr>
          <w:rFonts w:ascii="Times New Roman" w:eastAsia="Times New Roman"/>
        </w:rPr>
        <w:t>) </w:t>
      </w:r>
      <w:r>
        <w:rPr/>
        <w:t>资产或股权收购、出售发生的关联交易</w:t>
      </w:r>
    </w:p>
    <w:p>
      <w:pPr>
        <w:pStyle w:val="Heading4"/>
        <w:spacing w:before="142"/>
        <w:ind w:left="238"/>
      </w:pPr>
      <w:r>
        <w:rPr>
          <w:rFonts w:ascii="Times New Roman" w:eastAsia="Times New Roman"/>
        </w:rPr>
        <w:t>1</w:t>
      </w:r>
      <w:r>
        <w:rPr/>
        <w:t>、 已在临时公告披露且后续实施无进展或变化的事项</w:t>
      </w:r>
    </w:p>
    <w:p>
      <w:pPr>
        <w:pStyle w:val="BodyText"/>
        <w:spacing w:before="10"/>
        <w:rPr>
          <w:rFonts w:ascii="Microsoft JhengHei"/>
          <w:b/>
          <w:sz w:val="11"/>
        </w:rPr>
      </w:pPr>
    </w:p>
    <w:p>
      <w:pPr>
        <w:pStyle w:val="BodyText"/>
        <w:ind w:left="662"/>
      </w:pPr>
      <w:r>
        <w:rPr/>
        <w:t>√适用 □不适用</w:t>
      </w:r>
    </w:p>
    <w:p>
      <w:pPr>
        <w:pStyle w:val="BodyText"/>
        <w:spacing w:before="9"/>
        <w:rPr>
          <w:sz w:val="7"/>
        </w:rPr>
      </w:pPr>
    </w:p>
    <w:tbl>
      <w:tblPr>
        <w:tblW w:w="0" w:type="auto"/>
        <w:jc w:val="left"/>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509"/>
        <w:gridCol w:w="5540"/>
      </w:tblGrid>
      <w:tr>
        <w:trPr>
          <w:trHeight w:val="313" w:hRule="atLeast"/>
        </w:trPr>
        <w:tc>
          <w:tcPr>
            <w:tcW w:w="3509" w:type="dxa"/>
            <w:tcBorders>
              <w:bottom w:val="single" w:sz="4" w:space="0" w:color="000000"/>
              <w:right w:val="single" w:sz="4" w:space="0" w:color="000000"/>
            </w:tcBorders>
            <w:shd w:val="clear" w:color="auto" w:fill="EDEBE0"/>
          </w:tcPr>
          <w:p>
            <w:pPr>
              <w:pStyle w:val="TableParagraph"/>
              <w:spacing w:before="24"/>
              <w:ind w:left="1314" w:right="1294"/>
              <w:jc w:val="center"/>
              <w:rPr>
                <w:rFonts w:ascii="宋体" w:eastAsia="宋体" w:hint="eastAsia"/>
                <w:sz w:val="21"/>
              </w:rPr>
            </w:pPr>
            <w:r>
              <w:rPr>
                <w:rFonts w:ascii="宋体" w:eastAsia="宋体" w:hint="eastAsia"/>
                <w:sz w:val="21"/>
              </w:rPr>
              <w:t>事项概述</w:t>
            </w:r>
          </w:p>
        </w:tc>
        <w:tc>
          <w:tcPr>
            <w:tcW w:w="5540" w:type="dxa"/>
            <w:tcBorders>
              <w:left w:val="single" w:sz="4" w:space="0" w:color="000000"/>
              <w:bottom w:val="single" w:sz="4" w:space="0" w:color="000000"/>
            </w:tcBorders>
            <w:shd w:val="clear" w:color="auto" w:fill="EDEBE0"/>
          </w:tcPr>
          <w:p>
            <w:pPr>
              <w:pStyle w:val="TableParagraph"/>
              <w:spacing w:before="24"/>
              <w:ind w:left="2340" w:right="2299"/>
              <w:jc w:val="center"/>
              <w:rPr>
                <w:rFonts w:ascii="宋体" w:eastAsia="宋体" w:hint="eastAsia"/>
                <w:sz w:val="21"/>
              </w:rPr>
            </w:pPr>
            <w:r>
              <w:rPr>
                <w:rFonts w:ascii="宋体" w:eastAsia="宋体" w:hint="eastAsia"/>
                <w:sz w:val="21"/>
              </w:rPr>
              <w:t>查询索引</w:t>
            </w:r>
          </w:p>
        </w:tc>
      </w:tr>
      <w:tr>
        <w:trPr>
          <w:trHeight w:val="1247" w:hRule="atLeast"/>
        </w:trPr>
        <w:tc>
          <w:tcPr>
            <w:tcW w:w="3509" w:type="dxa"/>
            <w:tcBorders>
              <w:top w:val="single" w:sz="4" w:space="0" w:color="000000"/>
              <w:bottom w:val="single" w:sz="4" w:space="0" w:color="000000"/>
              <w:right w:val="single" w:sz="4" w:space="0" w:color="000000"/>
            </w:tcBorders>
          </w:tcPr>
          <w:p>
            <w:pPr>
              <w:pStyle w:val="TableParagraph"/>
              <w:spacing w:line="278" w:lineRule="auto" w:before="22"/>
              <w:ind w:left="107" w:right="83"/>
              <w:jc w:val="both"/>
              <w:rPr>
                <w:rFonts w:ascii="宋体" w:hAnsi="宋体" w:eastAsia="宋体" w:hint="eastAsia"/>
                <w:sz w:val="21"/>
              </w:rPr>
            </w:pPr>
            <w:r>
              <w:rPr>
                <w:rFonts w:ascii="宋体" w:hAnsi="宋体" w:eastAsia="宋体" w:hint="eastAsia"/>
                <w:sz w:val="21"/>
              </w:rPr>
              <w:t>发行 </w:t>
            </w:r>
            <w:r>
              <w:rPr>
                <w:sz w:val="21"/>
              </w:rPr>
              <w:t>H </w:t>
            </w:r>
            <w:r>
              <w:rPr>
                <w:rFonts w:ascii="宋体" w:hAnsi="宋体" w:eastAsia="宋体" w:hint="eastAsia"/>
                <w:spacing w:val="-4"/>
                <w:sz w:val="21"/>
              </w:rPr>
              <w:t>股私有化海尔电器事宜涉及</w:t>
            </w:r>
            <w:r>
              <w:rPr>
                <w:rFonts w:ascii="宋体" w:hAnsi="宋体" w:eastAsia="宋体" w:hint="eastAsia"/>
                <w:spacing w:val="-9"/>
                <w:sz w:val="21"/>
              </w:rPr>
              <w:t>的关联交易：详见本报告</w:t>
            </w:r>
            <w:r>
              <w:rPr>
                <w:spacing w:val="-3"/>
                <w:sz w:val="21"/>
              </w:rPr>
              <w:t>“</w:t>
            </w:r>
            <w:r>
              <w:rPr>
                <w:rFonts w:ascii="宋体" w:hAnsi="宋体" w:eastAsia="宋体" w:hint="eastAsia"/>
                <w:spacing w:val="-1"/>
                <w:sz w:val="21"/>
              </w:rPr>
              <w:t>第四节 经</w:t>
            </w:r>
            <w:r>
              <w:rPr>
                <w:rFonts w:ascii="宋体" w:hAnsi="宋体" w:eastAsia="宋体" w:hint="eastAsia"/>
                <w:spacing w:val="-3"/>
                <w:sz w:val="21"/>
              </w:rPr>
              <w:t>营情况的讨论与分析</w:t>
            </w:r>
            <w:r>
              <w:rPr>
                <w:sz w:val="21"/>
              </w:rPr>
              <w:t>”</w:t>
            </w:r>
            <w:r>
              <w:rPr>
                <w:rFonts w:ascii="宋体" w:hAnsi="宋体" w:eastAsia="宋体" w:hint="eastAsia"/>
                <w:sz w:val="21"/>
              </w:rPr>
              <w:t>之</w:t>
            </w:r>
            <w:r>
              <w:rPr>
                <w:spacing w:val="-13"/>
                <w:sz w:val="21"/>
              </w:rPr>
              <w:t>“</w:t>
            </w:r>
            <w:r>
              <w:rPr>
                <w:rFonts w:ascii="宋体" w:hAnsi="宋体" w:eastAsia="宋体" w:hint="eastAsia"/>
                <w:spacing w:val="-13"/>
                <w:sz w:val="21"/>
              </w:rPr>
              <w:t>（</w:t>
            </w:r>
            <w:r>
              <w:rPr>
                <w:rFonts w:ascii="宋体" w:hAnsi="宋体" w:eastAsia="宋体" w:hint="eastAsia"/>
                <w:spacing w:val="-3"/>
                <w:sz w:val="21"/>
              </w:rPr>
              <w:t>六</w:t>
            </w:r>
            <w:r>
              <w:rPr>
                <w:rFonts w:ascii="宋体" w:hAnsi="宋体" w:eastAsia="宋体" w:hint="eastAsia"/>
                <w:spacing w:val="-22"/>
                <w:sz w:val="21"/>
              </w:rPr>
              <w:t>）</w:t>
            </w:r>
            <w:r>
              <w:rPr>
                <w:rFonts w:ascii="宋体" w:hAnsi="宋体" w:eastAsia="宋体" w:hint="eastAsia"/>
                <w:spacing w:val="-8"/>
                <w:sz w:val="21"/>
              </w:rPr>
              <w:t>重大</w:t>
            </w:r>
          </w:p>
          <w:p>
            <w:pPr>
              <w:pStyle w:val="TableParagraph"/>
              <w:spacing w:line="269" w:lineRule="exact"/>
              <w:ind w:left="107"/>
              <w:rPr>
                <w:rFonts w:ascii="宋体" w:hAnsi="宋体" w:eastAsia="宋体" w:hint="eastAsia"/>
                <w:sz w:val="21"/>
              </w:rPr>
            </w:pPr>
            <w:r>
              <w:rPr>
                <w:rFonts w:ascii="宋体" w:hAnsi="宋体" w:eastAsia="宋体" w:hint="eastAsia"/>
                <w:sz w:val="21"/>
              </w:rPr>
              <w:t>资产和股权出售</w:t>
            </w:r>
            <w:r>
              <w:rPr>
                <w:sz w:val="21"/>
              </w:rPr>
              <w:t>”</w:t>
            </w:r>
            <w:r>
              <w:rPr>
                <w:rFonts w:ascii="宋体" w:hAnsi="宋体" w:eastAsia="宋体" w:hint="eastAsia"/>
                <w:sz w:val="21"/>
              </w:rPr>
              <w:t>。</w:t>
            </w:r>
          </w:p>
        </w:tc>
        <w:tc>
          <w:tcPr>
            <w:tcW w:w="5540" w:type="dxa"/>
            <w:tcBorders>
              <w:top w:val="single" w:sz="4" w:space="0" w:color="000000"/>
              <w:left w:val="single" w:sz="4" w:space="0" w:color="000000"/>
              <w:bottom w:val="single" w:sz="4" w:space="0" w:color="000000"/>
            </w:tcBorders>
          </w:tcPr>
          <w:p>
            <w:pPr>
              <w:pStyle w:val="TableParagraph"/>
              <w:spacing w:line="278" w:lineRule="auto" w:before="22"/>
              <w:ind w:left="117" w:right="71"/>
              <w:jc w:val="both"/>
              <w:rPr>
                <w:rFonts w:ascii="宋体" w:eastAsia="宋体" w:hint="eastAsia"/>
                <w:sz w:val="21"/>
              </w:rPr>
            </w:pPr>
            <w:r>
              <w:rPr>
                <w:rFonts w:ascii="宋体" w:eastAsia="宋体" w:hint="eastAsia"/>
                <w:spacing w:val="-10"/>
                <w:sz w:val="21"/>
              </w:rPr>
              <w:t>详见公司于 </w:t>
            </w:r>
            <w:r>
              <w:rPr>
                <w:sz w:val="21"/>
              </w:rPr>
              <w:t>2020 </w:t>
            </w:r>
            <w:r>
              <w:rPr>
                <w:rFonts w:ascii="宋体" w:eastAsia="宋体" w:hint="eastAsia"/>
                <w:spacing w:val="-26"/>
                <w:sz w:val="21"/>
              </w:rPr>
              <w:t>年 </w:t>
            </w:r>
            <w:r>
              <w:rPr>
                <w:sz w:val="21"/>
              </w:rPr>
              <w:t>8 </w:t>
            </w:r>
            <w:r>
              <w:rPr>
                <w:rFonts w:ascii="宋体" w:eastAsia="宋体" w:hint="eastAsia"/>
                <w:spacing w:val="-26"/>
                <w:sz w:val="21"/>
              </w:rPr>
              <w:t>月 </w:t>
            </w:r>
            <w:r>
              <w:rPr>
                <w:sz w:val="21"/>
              </w:rPr>
              <w:t>1 </w:t>
            </w:r>
            <w:r>
              <w:rPr>
                <w:rFonts w:ascii="宋体" w:eastAsia="宋体" w:hint="eastAsia"/>
                <w:spacing w:val="-8"/>
                <w:sz w:val="21"/>
              </w:rPr>
              <w:t>日披露的《</w:t>
            </w:r>
            <w:hyperlink r:id="rId44">
              <w:r>
                <w:rPr>
                  <w:rFonts w:ascii="宋体" w:eastAsia="宋体" w:hint="eastAsia"/>
                  <w:spacing w:val="-3"/>
                  <w:sz w:val="21"/>
                </w:rPr>
                <w:t>海尔智家股份有限公</w:t>
              </w:r>
            </w:hyperlink>
            <w:hyperlink r:id="rId44">
              <w:r>
                <w:rPr>
                  <w:rFonts w:ascii="宋体" w:eastAsia="宋体" w:hint="eastAsia"/>
                  <w:spacing w:val="-3"/>
                  <w:sz w:val="21"/>
                </w:rPr>
                <w:t>司重大资产购买暨关联交易报告书</w:t>
              </w:r>
              <w:r>
                <w:rPr>
                  <w:sz w:val="21"/>
                </w:rPr>
                <w:t>(</w:t>
              </w:r>
              <w:r>
                <w:rPr>
                  <w:rFonts w:ascii="宋体" w:eastAsia="宋体" w:hint="eastAsia"/>
                  <w:spacing w:val="-2"/>
                  <w:sz w:val="21"/>
                </w:rPr>
                <w:t>草案</w:t>
              </w:r>
              <w:r>
                <w:rPr>
                  <w:sz w:val="21"/>
                </w:rPr>
                <w:t>)</w:t>
              </w:r>
            </w:hyperlink>
            <w:r>
              <w:rPr>
                <w:rFonts w:ascii="宋体" w:eastAsia="宋体" w:hint="eastAsia"/>
                <w:spacing w:val="-8"/>
                <w:sz w:val="21"/>
              </w:rPr>
              <w:t>》、</w:t>
            </w:r>
            <w:r>
              <w:rPr>
                <w:sz w:val="21"/>
              </w:rPr>
              <w:t>2020 </w:t>
            </w:r>
            <w:r>
              <w:rPr>
                <w:rFonts w:ascii="宋体" w:eastAsia="宋体" w:hint="eastAsia"/>
                <w:spacing w:val="-23"/>
                <w:sz w:val="21"/>
              </w:rPr>
              <w:t>年 </w:t>
            </w:r>
            <w:r>
              <w:rPr>
                <w:sz w:val="21"/>
              </w:rPr>
              <w:t>12 </w:t>
            </w:r>
            <w:r>
              <w:rPr>
                <w:rFonts w:ascii="宋体" w:eastAsia="宋体" w:hint="eastAsia"/>
                <w:sz w:val="21"/>
              </w:rPr>
              <w:t>月</w:t>
            </w:r>
            <w:r>
              <w:rPr>
                <w:sz w:val="21"/>
              </w:rPr>
              <w:t>26 </w:t>
            </w:r>
            <w:r>
              <w:rPr>
                <w:rFonts w:ascii="宋体" w:eastAsia="宋体" w:hint="eastAsia"/>
                <w:spacing w:val="-3"/>
                <w:sz w:val="21"/>
              </w:rPr>
              <w:t>日披露的《海尔智家股份有限公司重大资产购买暨关联</w:t>
            </w:r>
          </w:p>
          <w:p>
            <w:pPr>
              <w:pStyle w:val="TableParagraph"/>
              <w:spacing w:line="269" w:lineRule="exact"/>
              <w:ind w:left="117"/>
              <w:rPr>
                <w:rFonts w:ascii="宋体" w:eastAsia="宋体" w:hint="eastAsia"/>
                <w:sz w:val="21"/>
              </w:rPr>
            </w:pPr>
            <w:r>
              <w:rPr>
                <w:rFonts w:ascii="宋体" w:eastAsia="宋体" w:hint="eastAsia"/>
                <w:sz w:val="21"/>
              </w:rPr>
              <w:t>交易实施情况报告书》及在其他时间段披露的相关公告。</w:t>
            </w:r>
          </w:p>
        </w:tc>
      </w:tr>
      <w:tr>
        <w:trPr>
          <w:trHeight w:val="1247" w:hRule="atLeast"/>
        </w:trPr>
        <w:tc>
          <w:tcPr>
            <w:tcW w:w="3509" w:type="dxa"/>
            <w:tcBorders>
              <w:top w:val="single" w:sz="4" w:space="0" w:color="000000"/>
              <w:right w:val="single" w:sz="4" w:space="0" w:color="000000"/>
            </w:tcBorders>
          </w:tcPr>
          <w:p>
            <w:pPr>
              <w:pStyle w:val="TableParagraph"/>
              <w:spacing w:line="278" w:lineRule="auto" w:before="22"/>
              <w:ind w:left="107" w:right="81"/>
              <w:jc w:val="both"/>
              <w:rPr>
                <w:rFonts w:ascii="宋体" w:hAnsi="宋体" w:eastAsia="宋体" w:hint="eastAsia"/>
                <w:sz w:val="21"/>
              </w:rPr>
            </w:pPr>
            <w:r>
              <w:rPr>
                <w:rFonts w:ascii="宋体" w:hAnsi="宋体" w:eastAsia="宋体" w:hint="eastAsia"/>
                <w:spacing w:val="-9"/>
                <w:sz w:val="21"/>
              </w:rPr>
              <w:t>转让子公司股权涉及的关联交易：详</w:t>
            </w:r>
            <w:r>
              <w:rPr>
                <w:rFonts w:ascii="宋体" w:hAnsi="宋体" w:eastAsia="宋体" w:hint="eastAsia"/>
                <w:spacing w:val="9"/>
                <w:sz w:val="21"/>
              </w:rPr>
              <w:t>见本报告</w:t>
            </w:r>
            <w:r>
              <w:rPr>
                <w:spacing w:val="9"/>
                <w:sz w:val="21"/>
              </w:rPr>
              <w:t>“</w:t>
            </w:r>
            <w:r>
              <w:rPr>
                <w:rFonts w:ascii="宋体" w:hAnsi="宋体" w:eastAsia="宋体" w:hint="eastAsia"/>
                <w:spacing w:val="8"/>
                <w:sz w:val="21"/>
              </w:rPr>
              <w:t>第四节 经营情况的讨论</w:t>
            </w:r>
            <w:r>
              <w:rPr>
                <w:rFonts w:ascii="宋体" w:hAnsi="宋体" w:eastAsia="宋体" w:hint="eastAsia"/>
                <w:spacing w:val="4"/>
                <w:sz w:val="21"/>
              </w:rPr>
              <w:t>与分析</w:t>
            </w:r>
            <w:r>
              <w:rPr>
                <w:sz w:val="21"/>
              </w:rPr>
              <w:t>”</w:t>
            </w:r>
            <w:r>
              <w:rPr>
                <w:rFonts w:ascii="宋体" w:hAnsi="宋体" w:eastAsia="宋体" w:hint="eastAsia"/>
                <w:sz w:val="21"/>
              </w:rPr>
              <w:t>之</w:t>
            </w:r>
            <w:r>
              <w:rPr>
                <w:spacing w:val="-13"/>
                <w:sz w:val="21"/>
              </w:rPr>
              <w:t>“</w:t>
            </w:r>
            <w:r>
              <w:rPr>
                <w:rFonts w:ascii="宋体" w:hAnsi="宋体" w:eastAsia="宋体" w:hint="eastAsia"/>
                <w:spacing w:val="-13"/>
                <w:sz w:val="21"/>
              </w:rPr>
              <w:t>（</w:t>
            </w:r>
            <w:r>
              <w:rPr>
                <w:rFonts w:ascii="宋体" w:hAnsi="宋体" w:eastAsia="宋体" w:hint="eastAsia"/>
                <w:spacing w:val="-3"/>
                <w:sz w:val="21"/>
              </w:rPr>
              <w:t>六</w:t>
            </w:r>
            <w:r>
              <w:rPr>
                <w:rFonts w:ascii="宋体" w:hAnsi="宋体" w:eastAsia="宋体" w:hint="eastAsia"/>
                <w:spacing w:val="-22"/>
                <w:sz w:val="21"/>
              </w:rPr>
              <w:t>）</w:t>
            </w:r>
            <w:r>
              <w:rPr>
                <w:rFonts w:ascii="宋体" w:hAnsi="宋体" w:eastAsia="宋体" w:hint="eastAsia"/>
                <w:spacing w:val="-3"/>
                <w:sz w:val="21"/>
              </w:rPr>
              <w:t>重大资产和股权出</w:t>
            </w:r>
          </w:p>
          <w:p>
            <w:pPr>
              <w:pStyle w:val="TableParagraph"/>
              <w:spacing w:line="268" w:lineRule="exact"/>
              <w:ind w:left="107"/>
              <w:rPr>
                <w:rFonts w:ascii="宋体" w:hAnsi="宋体" w:eastAsia="宋体" w:hint="eastAsia"/>
                <w:sz w:val="21"/>
              </w:rPr>
            </w:pPr>
            <w:r>
              <w:rPr>
                <w:rFonts w:ascii="宋体" w:hAnsi="宋体" w:eastAsia="宋体" w:hint="eastAsia"/>
                <w:sz w:val="21"/>
              </w:rPr>
              <w:t>售</w:t>
            </w:r>
            <w:r>
              <w:rPr>
                <w:sz w:val="21"/>
              </w:rPr>
              <w:t>”</w:t>
            </w:r>
            <w:r>
              <w:rPr>
                <w:rFonts w:ascii="宋体" w:hAnsi="宋体" w:eastAsia="宋体" w:hint="eastAsia"/>
                <w:sz w:val="21"/>
              </w:rPr>
              <w:t>。</w:t>
            </w:r>
          </w:p>
        </w:tc>
        <w:tc>
          <w:tcPr>
            <w:tcW w:w="5540" w:type="dxa"/>
            <w:tcBorders>
              <w:top w:val="single" w:sz="4" w:space="0" w:color="000000"/>
              <w:left w:val="single" w:sz="4" w:space="0" w:color="000000"/>
            </w:tcBorders>
          </w:tcPr>
          <w:p>
            <w:pPr>
              <w:pStyle w:val="TableParagraph"/>
              <w:spacing w:line="278" w:lineRule="auto" w:before="178"/>
              <w:ind w:left="117" w:right="71"/>
              <w:jc w:val="both"/>
              <w:rPr>
                <w:rFonts w:ascii="宋体" w:eastAsia="宋体" w:hint="eastAsia"/>
                <w:sz w:val="21"/>
              </w:rPr>
            </w:pPr>
            <w:r>
              <w:rPr>
                <w:rFonts w:ascii="宋体" w:eastAsia="宋体" w:hint="eastAsia"/>
                <w:spacing w:val="-8"/>
                <w:sz w:val="21"/>
              </w:rPr>
              <w:t>详见公司于 </w:t>
            </w:r>
            <w:r>
              <w:rPr>
                <w:sz w:val="21"/>
              </w:rPr>
              <w:t>2020 </w:t>
            </w:r>
            <w:r>
              <w:rPr>
                <w:rFonts w:ascii="宋体" w:eastAsia="宋体" w:hint="eastAsia"/>
                <w:spacing w:val="-18"/>
                <w:sz w:val="21"/>
              </w:rPr>
              <w:t>年 </w:t>
            </w:r>
            <w:r>
              <w:rPr>
                <w:sz w:val="21"/>
              </w:rPr>
              <w:t>7 </w:t>
            </w:r>
            <w:r>
              <w:rPr>
                <w:rFonts w:ascii="宋体" w:eastAsia="宋体" w:hint="eastAsia"/>
                <w:spacing w:val="-19"/>
                <w:sz w:val="21"/>
              </w:rPr>
              <w:t>月 </w:t>
            </w:r>
            <w:r>
              <w:rPr>
                <w:sz w:val="21"/>
              </w:rPr>
              <w:t>30 </w:t>
            </w:r>
            <w:r>
              <w:rPr>
                <w:rFonts w:ascii="宋体" w:eastAsia="宋体" w:hint="eastAsia"/>
                <w:spacing w:val="-3"/>
                <w:sz w:val="21"/>
              </w:rPr>
              <w:t>日披露的</w:t>
            </w:r>
            <w:hyperlink r:id="rId44">
              <w:r>
                <w:rPr>
                  <w:rFonts w:ascii="宋体" w:eastAsia="宋体" w:hint="eastAsia"/>
                  <w:spacing w:val="-3"/>
                  <w:sz w:val="21"/>
                </w:rPr>
                <w:t>《海尔智家股份有限</w:t>
              </w:r>
            </w:hyperlink>
            <w:hyperlink r:id="rId44">
              <w:r>
                <w:rPr>
                  <w:rFonts w:ascii="宋体" w:eastAsia="宋体" w:hint="eastAsia"/>
                  <w:spacing w:val="-5"/>
                  <w:sz w:val="21"/>
                </w:rPr>
                <w:t>公司关于转让海尔卡奥斯物联生态科技有限公司 </w:t>
              </w:r>
              <w:r>
                <w:rPr>
                  <w:sz w:val="21"/>
                </w:rPr>
                <w:t>54.50%</w:t>
              </w:r>
              <w:r>
                <w:rPr>
                  <w:rFonts w:ascii="宋体" w:eastAsia="宋体" w:hint="eastAsia"/>
                  <w:sz w:val="21"/>
                </w:rPr>
                <w:t>股</w:t>
              </w:r>
            </w:hyperlink>
            <w:hyperlink r:id="rId44">
              <w:r>
                <w:rPr>
                  <w:rFonts w:ascii="宋体" w:eastAsia="宋体" w:hint="eastAsia"/>
                  <w:spacing w:val="-3"/>
                  <w:sz w:val="21"/>
                </w:rPr>
                <w:t>权暨关联交易的公告</w:t>
              </w:r>
            </w:hyperlink>
            <w:r>
              <w:rPr>
                <w:rFonts w:ascii="宋体" w:eastAsia="宋体" w:hint="eastAsia"/>
                <w:spacing w:val="-3"/>
                <w:sz w:val="21"/>
              </w:rPr>
              <w:t>》及当日披露的其他相关公告。</w:t>
            </w:r>
          </w:p>
        </w:tc>
      </w:tr>
    </w:tbl>
    <w:p>
      <w:pPr>
        <w:pStyle w:val="Heading4"/>
        <w:spacing w:before="93"/>
        <w:ind w:left="238"/>
      </w:pPr>
      <w:r>
        <w:rPr>
          <w:rFonts w:ascii="Times New Roman" w:eastAsia="Times New Roman"/>
        </w:rPr>
        <w:t>2</w:t>
      </w:r>
      <w:r>
        <w:rPr/>
        <w:t>、 已在临时公告披露，但有后续实施的进展或变化的事项</w:t>
      </w:r>
    </w:p>
    <w:p>
      <w:pPr>
        <w:pStyle w:val="BodyText"/>
        <w:spacing w:before="9"/>
        <w:rPr>
          <w:rFonts w:ascii="Microsoft JhengHei"/>
          <w:b/>
          <w:sz w:val="11"/>
        </w:rPr>
      </w:pPr>
    </w:p>
    <w:p>
      <w:pPr>
        <w:pStyle w:val="BodyText"/>
        <w:tabs>
          <w:tab w:pos="1505" w:val="left" w:leader="none"/>
        </w:tabs>
        <w:ind w:left="662"/>
      </w:pPr>
      <w:r>
        <w:rPr/>
        <w:t>□适用</w:t>
        <w:tab/>
      </w:r>
      <w:r>
        <w:rPr>
          <w:spacing w:val="-3"/>
        </w:rPr>
        <w:t>√</w:t>
      </w:r>
      <w:r>
        <w:rPr/>
        <w:t>不</w:t>
      </w:r>
      <w:r>
        <w:rPr>
          <w:spacing w:val="-3"/>
        </w:rPr>
        <w:t>适</w:t>
      </w:r>
      <w:r>
        <w:rPr/>
        <w:t>用</w:t>
      </w:r>
    </w:p>
    <w:p>
      <w:pPr>
        <w:pStyle w:val="BodyText"/>
        <w:spacing w:before="10"/>
        <w:rPr>
          <w:sz w:val="14"/>
        </w:rPr>
      </w:pPr>
    </w:p>
    <w:p>
      <w:pPr>
        <w:pStyle w:val="Heading4"/>
        <w:spacing w:before="1"/>
        <w:ind w:left="238"/>
      </w:pPr>
      <w:r>
        <w:rPr>
          <w:rFonts w:ascii="Times New Roman" w:eastAsia="Times New Roman"/>
        </w:rPr>
        <w:t>3</w:t>
      </w:r>
      <w:r>
        <w:rPr/>
        <w:t>、 临时公告未披露的事项</w:t>
      </w:r>
    </w:p>
    <w:p>
      <w:pPr>
        <w:pStyle w:val="BodyText"/>
        <w:spacing w:before="8"/>
        <w:rPr>
          <w:rFonts w:ascii="Microsoft JhengHei"/>
          <w:b/>
          <w:sz w:val="11"/>
        </w:rPr>
      </w:pPr>
    </w:p>
    <w:p>
      <w:pPr>
        <w:pStyle w:val="BodyText"/>
        <w:ind w:left="662"/>
      </w:pPr>
      <w:r>
        <w:rPr>
          <w:rFonts w:ascii="Times New Roman" w:hAnsi="Times New Roman" w:eastAsia="Times New Roman"/>
        </w:rPr>
        <w:t>□</w:t>
      </w:r>
      <w:r>
        <w:rPr/>
        <w:t>适用 </w:t>
      </w:r>
      <w:r>
        <w:rPr>
          <w:rFonts w:ascii="Times New Roman" w:hAnsi="Times New Roman" w:eastAsia="Times New Roman"/>
        </w:rPr>
        <w:t>√</w:t>
      </w:r>
      <w:r>
        <w:rPr/>
        <w:t>不适用</w:t>
      </w:r>
    </w:p>
    <w:p>
      <w:pPr>
        <w:pStyle w:val="Heading4"/>
        <w:spacing w:before="190"/>
        <w:ind w:left="238"/>
      </w:pPr>
      <w:r>
        <w:rPr>
          <w:rFonts w:ascii="Times New Roman" w:eastAsia="Times New Roman"/>
        </w:rPr>
        <w:t>4</w:t>
      </w:r>
      <w:r>
        <w:rPr/>
        <w:t>、 涉及业绩约定的，应当披露报告期内的业绩实现情况</w:t>
      </w:r>
    </w:p>
    <w:p>
      <w:pPr>
        <w:pStyle w:val="BodyText"/>
        <w:spacing w:before="9"/>
        <w:rPr>
          <w:rFonts w:ascii="Microsoft JhengHei"/>
          <w:b/>
          <w:sz w:val="11"/>
        </w:rPr>
      </w:pPr>
    </w:p>
    <w:p>
      <w:pPr>
        <w:pStyle w:val="BodyText"/>
        <w:tabs>
          <w:tab w:pos="1505" w:val="left" w:leader="none"/>
        </w:tabs>
        <w:ind w:left="662"/>
      </w:pPr>
      <w:r>
        <w:rPr/>
        <w:t>□适用</w:t>
        <w:tab/>
      </w:r>
      <w:r>
        <w:rPr>
          <w:spacing w:val="-3"/>
        </w:rPr>
        <w:t>√</w:t>
      </w:r>
      <w:r>
        <w:rPr/>
        <w:t>不</w:t>
      </w:r>
      <w:r>
        <w:rPr>
          <w:spacing w:val="-3"/>
        </w:rPr>
        <w:t>适</w:t>
      </w:r>
      <w:r>
        <w:rPr/>
        <w:t>用</w:t>
      </w:r>
    </w:p>
    <w:p>
      <w:pPr>
        <w:pStyle w:val="BodyText"/>
        <w:rPr>
          <w:sz w:val="20"/>
        </w:rPr>
      </w:pPr>
    </w:p>
    <w:p>
      <w:pPr>
        <w:pStyle w:val="Heading4"/>
        <w:spacing w:before="169"/>
        <w:ind w:left="238"/>
      </w:pPr>
      <w:r>
        <w:rPr>
          <w:rFonts w:ascii="Times New Roman" w:eastAsia="Times New Roman"/>
        </w:rPr>
        <w:t>(</w:t>
      </w:r>
      <w:r>
        <w:rPr/>
        <w:t>三</w:t>
      </w:r>
      <w:r>
        <w:rPr>
          <w:rFonts w:ascii="Times New Roman" w:eastAsia="Times New Roman"/>
        </w:rPr>
        <w:t>) </w:t>
      </w:r>
      <w:r>
        <w:rPr/>
        <w:t>共同对外投资的重大关联交易</w:t>
      </w:r>
    </w:p>
    <w:p>
      <w:pPr>
        <w:pStyle w:val="Heading4"/>
        <w:spacing w:before="63"/>
        <w:ind w:left="238"/>
      </w:pPr>
      <w:r>
        <w:rPr>
          <w:rFonts w:ascii="Times New Roman" w:eastAsia="Times New Roman"/>
        </w:rPr>
        <w:t>1</w:t>
      </w:r>
      <w:r>
        <w:rPr/>
        <w:t>、 已在临时公告披露且后续实施无进展或变化的事项</w:t>
      </w:r>
    </w:p>
    <w:p>
      <w:pPr>
        <w:pStyle w:val="BodyText"/>
        <w:spacing w:before="8"/>
        <w:rPr>
          <w:rFonts w:ascii="Microsoft JhengHei"/>
          <w:b/>
          <w:sz w:val="11"/>
        </w:rPr>
      </w:pPr>
    </w:p>
    <w:p>
      <w:pPr>
        <w:pStyle w:val="BodyText"/>
        <w:spacing w:before="1"/>
        <w:ind w:left="662"/>
      </w:pPr>
      <w:r>
        <w:rPr/>
        <w:t>□适用 √不适用</w:t>
      </w:r>
    </w:p>
    <w:p>
      <w:pPr>
        <w:pStyle w:val="BodyText"/>
        <w:spacing w:before="10"/>
        <w:rPr>
          <w:sz w:val="14"/>
        </w:rPr>
      </w:pPr>
    </w:p>
    <w:p>
      <w:pPr>
        <w:pStyle w:val="Heading4"/>
        <w:ind w:left="238"/>
      </w:pPr>
      <w:r>
        <w:rPr>
          <w:rFonts w:ascii="Times New Roman" w:eastAsia="Times New Roman"/>
        </w:rPr>
        <w:t>2</w:t>
      </w:r>
      <w:r>
        <w:rPr/>
        <w:t>、 已在临时公告披露，但有后续实施的进展或变化的事项</w:t>
      </w:r>
    </w:p>
    <w:p>
      <w:pPr>
        <w:pStyle w:val="BodyText"/>
        <w:spacing w:before="9"/>
        <w:rPr>
          <w:rFonts w:ascii="Microsoft JhengHei"/>
          <w:b/>
          <w:sz w:val="11"/>
        </w:rPr>
      </w:pPr>
    </w:p>
    <w:p>
      <w:pPr>
        <w:pStyle w:val="BodyText"/>
        <w:tabs>
          <w:tab w:pos="1505" w:val="left" w:leader="none"/>
        </w:tabs>
        <w:ind w:left="662"/>
      </w:pPr>
      <w:r>
        <w:rPr/>
        <w:t>□适用</w:t>
        <w:tab/>
      </w:r>
      <w:r>
        <w:rPr>
          <w:spacing w:val="-3"/>
        </w:rPr>
        <w:t>√</w:t>
      </w:r>
      <w:r>
        <w:rPr/>
        <w:t>不</w:t>
      </w:r>
      <w:r>
        <w:rPr>
          <w:spacing w:val="-3"/>
        </w:rPr>
        <w:t>适</w:t>
      </w:r>
      <w:r>
        <w:rPr/>
        <w:t>用</w:t>
      </w:r>
    </w:p>
    <w:p>
      <w:pPr>
        <w:pStyle w:val="BodyText"/>
        <w:spacing w:before="10"/>
        <w:rPr>
          <w:sz w:val="14"/>
        </w:rPr>
      </w:pPr>
    </w:p>
    <w:p>
      <w:pPr>
        <w:pStyle w:val="Heading4"/>
        <w:ind w:left="238"/>
      </w:pPr>
      <w:r>
        <w:rPr>
          <w:rFonts w:ascii="Times New Roman" w:eastAsia="Times New Roman"/>
        </w:rPr>
        <w:t>3</w:t>
      </w:r>
      <w:r>
        <w:rPr/>
        <w:t>、 临时公告未披露的事项</w:t>
      </w:r>
    </w:p>
    <w:p>
      <w:pPr>
        <w:pStyle w:val="BodyText"/>
        <w:spacing w:before="9"/>
        <w:rPr>
          <w:rFonts w:ascii="Microsoft JhengHei"/>
          <w:b/>
          <w:sz w:val="11"/>
        </w:rPr>
      </w:pPr>
    </w:p>
    <w:p>
      <w:pPr>
        <w:pStyle w:val="BodyText"/>
        <w:ind w:left="662"/>
      </w:pPr>
      <w:r>
        <w:rPr/>
        <w:t>□适用 √不适用 </w:t>
      </w:r>
      <w:r>
        <w:rPr>
          <w:w w:val="100"/>
        </w:rPr>
        <w:t> </w:t>
      </w:r>
    </w:p>
    <w:p>
      <w:pPr>
        <w:spacing w:after="0"/>
        <w:sectPr>
          <w:pgSz w:w="11910" w:h="16840"/>
          <w:pgMar w:header="874" w:footer="1208" w:top="1480" w:bottom="1400" w:left="1560" w:right="1020"/>
        </w:sectPr>
      </w:pPr>
    </w:p>
    <w:p>
      <w:pPr>
        <w:pStyle w:val="BodyText"/>
        <w:rPr>
          <w:sz w:val="20"/>
        </w:rPr>
      </w:pPr>
    </w:p>
    <w:p>
      <w:pPr>
        <w:pStyle w:val="Heading4"/>
        <w:spacing w:before="185"/>
        <w:ind w:left="238"/>
      </w:pPr>
      <w:r>
        <w:rPr>
          <w:rFonts w:ascii="Times New Roman" w:eastAsia="Times New Roman"/>
        </w:rPr>
        <w:t>(</w:t>
      </w:r>
      <w:r>
        <w:rPr/>
        <w:t>四</w:t>
      </w:r>
      <w:r>
        <w:rPr>
          <w:rFonts w:ascii="Times New Roman" w:eastAsia="Times New Roman"/>
        </w:rPr>
        <w:t>) </w:t>
      </w:r>
      <w:r>
        <w:rPr/>
        <w:t>关联债权债务往来</w:t>
      </w:r>
    </w:p>
    <w:p>
      <w:pPr>
        <w:pStyle w:val="Heading4"/>
        <w:spacing w:before="142"/>
        <w:ind w:left="238"/>
      </w:pPr>
      <w:r>
        <w:rPr>
          <w:rFonts w:ascii="Times New Roman" w:eastAsia="Times New Roman"/>
        </w:rPr>
        <w:t>1</w:t>
      </w:r>
      <w:r>
        <w:rPr/>
        <w:t>、 已在临时公告披露且后续实施无进展或变化的事项</w:t>
      </w:r>
    </w:p>
    <w:p>
      <w:pPr>
        <w:pStyle w:val="BodyText"/>
        <w:spacing w:before="8"/>
        <w:rPr>
          <w:rFonts w:ascii="Microsoft JhengHei"/>
          <w:b/>
          <w:sz w:val="11"/>
        </w:rPr>
      </w:pPr>
    </w:p>
    <w:p>
      <w:pPr>
        <w:pStyle w:val="BodyText"/>
        <w:spacing w:before="1"/>
        <w:ind w:left="662"/>
      </w:pPr>
      <w:r>
        <w:rPr>
          <w:rFonts w:ascii="Times New Roman" w:hAnsi="Times New Roman" w:eastAsia="Times New Roman"/>
        </w:rPr>
        <w:t>□</w:t>
      </w:r>
      <w:r>
        <w:rPr/>
        <w:t>适用 </w:t>
      </w:r>
      <w:r>
        <w:rPr>
          <w:rFonts w:ascii="Times New Roman" w:hAnsi="Times New Roman" w:eastAsia="Times New Roman"/>
        </w:rPr>
        <w:t>√</w:t>
      </w:r>
      <w:r>
        <w:rPr/>
        <w:t>不适用</w:t>
      </w:r>
    </w:p>
    <w:p>
      <w:pPr>
        <w:pStyle w:val="Heading4"/>
        <w:spacing w:before="189"/>
        <w:ind w:left="238"/>
      </w:pPr>
      <w:r>
        <w:rPr>
          <w:rFonts w:ascii="Times New Roman" w:eastAsia="Times New Roman"/>
        </w:rPr>
        <w:t>2</w:t>
      </w:r>
      <w:r>
        <w:rPr/>
        <w:t>、 已在临时公告披露，但有后续实施的进展或变化的事项</w:t>
      </w:r>
    </w:p>
    <w:p>
      <w:pPr>
        <w:pStyle w:val="BodyText"/>
        <w:spacing w:before="9"/>
        <w:rPr>
          <w:rFonts w:ascii="Microsoft JhengHei"/>
          <w:b/>
          <w:sz w:val="11"/>
        </w:rPr>
      </w:pPr>
    </w:p>
    <w:p>
      <w:pPr>
        <w:pStyle w:val="BodyText"/>
        <w:tabs>
          <w:tab w:pos="1421" w:val="left" w:leader="none"/>
        </w:tabs>
        <w:ind w:left="662"/>
      </w:pPr>
      <w:r>
        <w:rPr>
          <w:rFonts w:ascii="Times New Roman" w:hAnsi="Times New Roman" w:eastAsia="Times New Roman"/>
        </w:rPr>
        <w:t>□</w:t>
      </w:r>
      <w:r>
        <w:rPr/>
        <w:t>适用</w:t>
        <w:tab/>
      </w:r>
      <w:r>
        <w:rPr>
          <w:rFonts w:ascii="Times New Roman" w:hAnsi="Times New Roman" w:eastAsia="Times New Roman"/>
        </w:rPr>
        <w:t>√</w:t>
      </w:r>
      <w:r>
        <w:rPr>
          <w:spacing w:val="-3"/>
        </w:rPr>
        <w:t>不</w:t>
      </w:r>
      <w:r>
        <w:rPr/>
        <w:t>适用</w:t>
      </w:r>
    </w:p>
    <w:p>
      <w:pPr>
        <w:pStyle w:val="Heading4"/>
        <w:spacing w:before="190"/>
        <w:ind w:left="238"/>
      </w:pPr>
      <w:r>
        <w:rPr>
          <w:rFonts w:ascii="Times New Roman" w:eastAsia="Times New Roman"/>
        </w:rPr>
        <w:t>3</w:t>
      </w:r>
      <w:r>
        <w:rPr/>
        <w:t>、 临时公告未披露的事项</w:t>
      </w:r>
    </w:p>
    <w:p>
      <w:pPr>
        <w:pStyle w:val="BodyText"/>
        <w:spacing w:before="9"/>
        <w:rPr>
          <w:rFonts w:ascii="Microsoft JhengHei"/>
          <w:b/>
          <w:sz w:val="11"/>
        </w:rPr>
      </w:pPr>
    </w:p>
    <w:p>
      <w:pPr>
        <w:pStyle w:val="BodyText"/>
        <w:ind w:left="662"/>
      </w:pPr>
      <w:r>
        <w:rPr>
          <w:rFonts w:ascii="Times New Roman" w:hAnsi="Times New Roman" w:eastAsia="Times New Roman"/>
        </w:rPr>
        <w:t>□</w:t>
      </w:r>
      <w:r>
        <w:rPr/>
        <w:t>适用 </w:t>
      </w:r>
      <w:r>
        <w:rPr>
          <w:rFonts w:ascii="Times New Roman" w:hAnsi="Times New Roman" w:eastAsia="Times New Roman"/>
        </w:rPr>
        <w:t>√</w:t>
      </w:r>
      <w:r>
        <w:rPr/>
        <w:t>不适用</w:t>
      </w:r>
    </w:p>
    <w:p>
      <w:pPr>
        <w:pStyle w:val="BodyText"/>
        <w:rPr>
          <w:sz w:val="22"/>
        </w:rPr>
      </w:pPr>
    </w:p>
    <w:p>
      <w:pPr>
        <w:pStyle w:val="Heading4"/>
        <w:spacing w:before="143"/>
        <w:ind w:left="238"/>
      </w:pPr>
      <w:r>
        <w:rPr>
          <w:rFonts w:ascii="Times New Roman" w:eastAsia="Times New Roman"/>
        </w:rPr>
        <w:t>(</w:t>
      </w:r>
      <w:r>
        <w:rPr/>
        <w:t>五</w:t>
      </w:r>
      <w:r>
        <w:rPr>
          <w:rFonts w:ascii="Times New Roman" w:eastAsia="Times New Roman"/>
        </w:rPr>
        <w:t>) </w:t>
      </w:r>
      <w:r>
        <w:rPr/>
        <w:t>其他</w:t>
      </w:r>
    </w:p>
    <w:p>
      <w:pPr>
        <w:pStyle w:val="BodyText"/>
        <w:tabs>
          <w:tab w:pos="1421" w:val="left" w:leader="none"/>
        </w:tabs>
        <w:spacing w:before="55"/>
        <w:ind w:left="662"/>
      </w:pPr>
      <w:r>
        <w:rPr>
          <w:rFonts w:ascii="Times New Roman" w:hAnsi="Times New Roman" w:eastAsia="Times New Roman"/>
        </w:rPr>
        <w:t>□</w:t>
      </w:r>
      <w:r>
        <w:rPr/>
        <w:t>适用</w:t>
        <w:tab/>
      </w:r>
      <w:r>
        <w:rPr>
          <w:rFonts w:ascii="Times New Roman" w:hAnsi="Times New Roman" w:eastAsia="Times New Roman"/>
        </w:rPr>
        <w:t>√</w:t>
      </w:r>
      <w:r>
        <w:rPr>
          <w:spacing w:val="-3"/>
        </w:rPr>
        <w:t>不</w:t>
      </w:r>
      <w:r>
        <w:rPr/>
        <w:t>适用</w:t>
      </w:r>
    </w:p>
    <w:p>
      <w:pPr>
        <w:pStyle w:val="BodyText"/>
        <w:rPr>
          <w:sz w:val="22"/>
        </w:rPr>
      </w:pPr>
    </w:p>
    <w:p>
      <w:pPr>
        <w:pStyle w:val="Heading4"/>
        <w:spacing w:before="141"/>
        <w:ind w:left="238"/>
      </w:pPr>
      <w:r>
        <w:rPr/>
        <w:t>十五、重大合同及其履行情况</w:t>
      </w:r>
    </w:p>
    <w:p>
      <w:pPr>
        <w:pStyle w:val="Heading4"/>
        <w:tabs>
          <w:tab w:pos="1077" w:val="left" w:leader="none"/>
        </w:tabs>
        <w:spacing w:before="142"/>
        <w:ind w:left="238"/>
      </w:pPr>
      <w:r>
        <w:rPr>
          <w:w w:val="125"/>
        </w:rPr>
        <w:t>(</w:t>
      </w:r>
      <w:r>
        <w:rPr>
          <w:w w:val="105"/>
        </w:rPr>
        <w:t>一</w:t>
      </w:r>
      <w:r>
        <w:rPr>
          <w:w w:val="125"/>
        </w:rPr>
        <w:t>)</w:t>
        <w:tab/>
      </w:r>
      <w:r>
        <w:rPr>
          <w:w w:val="105"/>
        </w:rPr>
        <w:t>托管、承包、租赁</w:t>
      </w:r>
      <w:r>
        <w:rPr>
          <w:spacing w:val="-3"/>
          <w:w w:val="105"/>
        </w:rPr>
        <w:t>事</w:t>
      </w:r>
      <w:r>
        <w:rPr>
          <w:w w:val="105"/>
        </w:rPr>
        <w:t>项</w:t>
      </w:r>
    </w:p>
    <w:p>
      <w:pPr>
        <w:pStyle w:val="Heading4"/>
        <w:spacing w:before="141"/>
        <w:ind w:left="238"/>
      </w:pPr>
      <w:r>
        <w:rPr>
          <w:rFonts w:ascii="Times New Roman" w:eastAsia="Times New Roman"/>
        </w:rPr>
        <w:t>1</w:t>
      </w:r>
      <w:r>
        <w:rPr/>
        <w:t>、 托管情况</w:t>
      </w:r>
    </w:p>
    <w:p>
      <w:pPr>
        <w:pStyle w:val="BodyText"/>
        <w:spacing w:before="9"/>
        <w:rPr>
          <w:rFonts w:ascii="Microsoft JhengHei"/>
          <w:b/>
          <w:sz w:val="11"/>
        </w:rPr>
      </w:pPr>
    </w:p>
    <w:p>
      <w:pPr>
        <w:pStyle w:val="BodyText"/>
        <w:ind w:left="662"/>
      </w:pPr>
      <w:r>
        <w:rPr>
          <w:rFonts w:ascii="Times New Roman" w:hAnsi="Times New Roman" w:eastAsia="Times New Roman"/>
        </w:rPr>
        <w:t>□</w:t>
      </w:r>
      <w:r>
        <w:rPr/>
        <w:t>适用 </w:t>
      </w:r>
      <w:r>
        <w:rPr>
          <w:rFonts w:ascii="Times New Roman" w:hAnsi="Times New Roman" w:eastAsia="Times New Roman"/>
        </w:rPr>
        <w:t>√</w:t>
      </w:r>
      <w:r>
        <w:rPr/>
        <w:t>不适用</w:t>
      </w:r>
    </w:p>
    <w:p>
      <w:pPr>
        <w:pStyle w:val="BodyText"/>
        <w:spacing w:before="7"/>
        <w:rPr>
          <w:sz w:val="15"/>
        </w:rPr>
      </w:pPr>
    </w:p>
    <w:p>
      <w:pPr>
        <w:pStyle w:val="BodyText"/>
        <w:spacing w:line="417" w:lineRule="auto" w:before="1"/>
        <w:ind w:left="238" w:right="308" w:firstLine="369"/>
      </w:pPr>
      <w:r>
        <w:rPr/>
        <w:t>报告期内，公司无重大托管事项。截止目前，公司有如下已经公司股东大会等审议通过的受托资产事项仍在有效期内：</w:t>
      </w:r>
    </w:p>
    <w:p>
      <w:pPr>
        <w:pStyle w:val="BodyText"/>
        <w:spacing w:line="417" w:lineRule="auto"/>
        <w:ind w:left="238" w:right="247" w:firstLine="369"/>
        <w:jc w:val="both"/>
      </w:pPr>
      <w:r>
        <w:rPr>
          <w:spacing w:val="-7"/>
        </w:rPr>
        <w:t>根据海尔集团 </w:t>
      </w:r>
      <w:r>
        <w:rPr>
          <w:rFonts w:ascii="Times New Roman" w:hAnsi="Times New Roman" w:eastAsia="Times New Roman"/>
        </w:rPr>
        <w:t>2011 </w:t>
      </w:r>
      <w:r>
        <w:rPr>
          <w:spacing w:val="-6"/>
        </w:rPr>
        <w:t>年关于进一步支持青岛海尔发展、解决同业竞争减少关联交易的承诺，基</w:t>
      </w:r>
      <w:r>
        <w:rPr>
          <w:spacing w:val="-4"/>
        </w:rPr>
        <w:t>于海尔集团承接彩电业务的主体</w:t>
      </w:r>
      <w:r>
        <w:rPr>
          <w:rFonts w:ascii="Times New Roman" w:hAnsi="Times New Roman" w:eastAsia="Times New Roman"/>
        </w:rPr>
        <w:t>——</w:t>
      </w:r>
      <w:r>
        <w:rPr>
          <w:spacing w:val="-3"/>
        </w:rPr>
        <w:t>青岛海尔光电有限公司及其下属子公司尚处于转型整合期且其财务表现尚未达到公司预期，海尔集团无法在前述承诺期之前完成转让，海尔集团拟委托公司</w:t>
      </w:r>
      <w:r>
        <w:rPr>
          <w:spacing w:val="-6"/>
        </w:rPr>
        <w:t>经营及管理托管资产，并在托管期间每年向公司支付 </w:t>
      </w:r>
      <w:r>
        <w:rPr>
          <w:rFonts w:ascii="Times New Roman" w:hAnsi="Times New Roman" w:eastAsia="Times New Roman"/>
        </w:rPr>
        <w:t>100 </w:t>
      </w:r>
      <w:r>
        <w:rPr>
          <w:spacing w:val="-3"/>
        </w:rPr>
        <w:t>万元人民币的托管费。</w:t>
      </w:r>
    </w:p>
    <w:p>
      <w:pPr>
        <w:pStyle w:val="Heading4"/>
        <w:spacing w:line="376" w:lineRule="exact"/>
        <w:ind w:left="238"/>
      </w:pPr>
      <w:r>
        <w:rPr>
          <w:rFonts w:ascii="Times New Roman" w:eastAsia="Times New Roman"/>
        </w:rPr>
        <w:t>2</w:t>
      </w:r>
      <w:r>
        <w:rPr/>
        <w:t>、 承包情况</w:t>
      </w:r>
    </w:p>
    <w:p>
      <w:pPr>
        <w:pStyle w:val="BodyText"/>
        <w:spacing w:before="8"/>
        <w:rPr>
          <w:rFonts w:ascii="Microsoft JhengHei"/>
          <w:b/>
          <w:sz w:val="11"/>
        </w:rPr>
      </w:pPr>
    </w:p>
    <w:p>
      <w:pPr>
        <w:pStyle w:val="BodyText"/>
        <w:spacing w:before="1"/>
        <w:ind w:left="662"/>
      </w:pPr>
      <w:r>
        <w:rPr>
          <w:rFonts w:ascii="Times New Roman" w:hAnsi="Times New Roman" w:eastAsia="Times New Roman"/>
        </w:rPr>
        <w:t>□</w:t>
      </w:r>
      <w:r>
        <w:rPr/>
        <w:t>适用 </w:t>
      </w:r>
      <w:r>
        <w:rPr>
          <w:rFonts w:ascii="Times New Roman" w:hAnsi="Times New Roman" w:eastAsia="Times New Roman"/>
        </w:rPr>
        <w:t>√</w:t>
      </w:r>
      <w:r>
        <w:rPr/>
        <w:t>不适用</w:t>
      </w:r>
    </w:p>
    <w:p>
      <w:pPr>
        <w:pStyle w:val="Heading4"/>
        <w:spacing w:before="189"/>
        <w:ind w:left="238"/>
      </w:pPr>
      <w:r>
        <w:rPr>
          <w:rFonts w:ascii="Times New Roman" w:eastAsia="Times New Roman"/>
        </w:rPr>
        <w:t>3</w:t>
      </w:r>
      <w:r>
        <w:rPr/>
        <w:t>、 租赁情况</w:t>
      </w:r>
    </w:p>
    <w:p>
      <w:pPr>
        <w:pStyle w:val="BodyText"/>
        <w:spacing w:before="9"/>
        <w:rPr>
          <w:rFonts w:ascii="Microsoft JhengHei"/>
          <w:b/>
          <w:sz w:val="11"/>
        </w:rPr>
      </w:pPr>
    </w:p>
    <w:p>
      <w:pPr>
        <w:pStyle w:val="BodyText"/>
        <w:ind w:left="662"/>
      </w:pPr>
      <w:r>
        <w:rPr>
          <w:rFonts w:ascii="Times New Roman" w:hAnsi="Times New Roman" w:eastAsia="Times New Roman"/>
        </w:rPr>
        <w:t>□</w:t>
      </w:r>
      <w:r>
        <w:rPr/>
        <w:t>适用 </w:t>
      </w:r>
      <w:r>
        <w:rPr>
          <w:rFonts w:ascii="Times New Roman" w:hAnsi="Times New Roman" w:eastAsia="Times New Roman"/>
        </w:rPr>
        <w:t>√</w:t>
      </w:r>
      <w:r>
        <w:rPr/>
        <w:t>不适用</w:t>
      </w:r>
    </w:p>
    <w:p>
      <w:pPr>
        <w:pStyle w:val="BodyText"/>
        <w:rPr>
          <w:sz w:val="20"/>
        </w:rPr>
      </w:pPr>
    </w:p>
    <w:p>
      <w:pPr>
        <w:pStyle w:val="Heading4"/>
        <w:tabs>
          <w:tab w:pos="1077" w:val="left" w:leader="none"/>
        </w:tabs>
        <w:spacing w:before="169"/>
        <w:ind w:left="238"/>
      </w:pPr>
      <w:bookmarkStart w:name="OLE_LINK3" w:id="7"/>
      <w:bookmarkEnd w:id="7"/>
      <w:r>
        <w:rPr>
          <w:b w:val="0"/>
        </w:rPr>
      </w:r>
      <w:bookmarkStart w:name="OLE_LINK2" w:id="8"/>
      <w:bookmarkEnd w:id="8"/>
      <w:r>
        <w:rPr>
          <w:b w:val="0"/>
        </w:rPr>
      </w:r>
      <w:r>
        <w:rPr>
          <w:w w:val="125"/>
        </w:rPr>
        <w:t>(</w:t>
      </w:r>
      <w:r>
        <w:rPr>
          <w:w w:val="110"/>
        </w:rPr>
        <w:t>二</w:t>
      </w:r>
      <w:r>
        <w:rPr>
          <w:w w:val="125"/>
        </w:rPr>
        <w:t>)</w:t>
        <w:tab/>
      </w:r>
      <w:r>
        <w:rPr>
          <w:w w:val="110"/>
        </w:rPr>
        <w:t>担保情况</w:t>
      </w:r>
    </w:p>
    <w:p>
      <w:pPr>
        <w:pStyle w:val="BodyText"/>
        <w:spacing w:before="55"/>
        <w:ind w:left="662"/>
      </w:pPr>
      <w:r>
        <w:rPr/>
        <w:t>√适用 □不适用</w:t>
      </w:r>
    </w:p>
    <w:p>
      <w:pPr>
        <w:pStyle w:val="BodyText"/>
        <w:tabs>
          <w:tab w:pos="7859" w:val="left" w:leader="none"/>
        </w:tabs>
        <w:spacing w:before="43"/>
        <w:ind w:left="6644"/>
      </w:pPr>
      <w:r>
        <w:rPr/>
        <w:t>单位</w:t>
      </w:r>
      <w:r>
        <w:rPr>
          <w:rFonts w:ascii="Times New Roman" w:eastAsia="Times New Roman"/>
        </w:rPr>
        <w:t>: </w:t>
      </w:r>
      <w:r>
        <w:rPr>
          <w:rFonts w:ascii="Times New Roman" w:eastAsia="Times New Roman"/>
          <w:spacing w:val="1"/>
        </w:rPr>
        <w:t> </w:t>
      </w:r>
      <w:r>
        <w:rPr>
          <w:spacing w:val="-3"/>
        </w:rPr>
        <w:t>万</w:t>
      </w:r>
      <w:r>
        <w:rPr/>
        <w:t>元</w:t>
        <w:tab/>
        <w:t>币种</w:t>
      </w:r>
      <w:r>
        <w:rPr>
          <w:rFonts w:ascii="Times New Roman" w:eastAsia="Times New Roman"/>
        </w:rPr>
        <w:t>:</w:t>
      </w:r>
      <w:r>
        <w:rPr>
          <w:rFonts w:ascii="Times New Roman" w:eastAsia="Times New Roman"/>
          <w:spacing w:val="51"/>
        </w:rPr>
        <w:t> </w:t>
      </w:r>
      <w:r>
        <w:rPr/>
        <w:t>人</w:t>
      </w:r>
      <w:r>
        <w:rPr>
          <w:spacing w:val="-3"/>
        </w:rPr>
        <w:t>民</w:t>
      </w:r>
      <w:r>
        <w:rPr/>
        <w:t>币</w:t>
      </w:r>
    </w:p>
    <w:p>
      <w:pPr>
        <w:spacing w:after="0"/>
        <w:sectPr>
          <w:pgSz w:w="11910" w:h="16840"/>
          <w:pgMar w:header="874" w:footer="1208" w:top="1480" w:bottom="1400" w:left="1560" w:right="1020"/>
        </w:sectPr>
      </w:pPr>
    </w:p>
    <w:p>
      <w:pPr>
        <w:pStyle w:val="BodyText"/>
        <w:rPr>
          <w:sz w:val="3"/>
        </w:rPr>
      </w:pPr>
    </w:p>
    <w:tbl>
      <w:tblPr>
        <w:tblW w:w="0" w:type="auto"/>
        <w:jc w:val="left"/>
        <w:tblInd w:w="22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18"/>
        <w:gridCol w:w="1008"/>
        <w:gridCol w:w="490"/>
        <w:gridCol w:w="248"/>
        <w:gridCol w:w="245"/>
        <w:gridCol w:w="1104"/>
        <w:gridCol w:w="418"/>
        <w:gridCol w:w="418"/>
        <w:gridCol w:w="493"/>
        <w:gridCol w:w="469"/>
        <w:gridCol w:w="467"/>
        <w:gridCol w:w="640"/>
        <w:gridCol w:w="643"/>
        <w:gridCol w:w="715"/>
        <w:gridCol w:w="789"/>
        <w:gridCol w:w="345"/>
      </w:tblGrid>
      <w:tr>
        <w:trPr>
          <w:trHeight w:val="314" w:hRule="atLeast"/>
        </w:trPr>
        <w:tc>
          <w:tcPr>
            <w:tcW w:w="8910" w:type="dxa"/>
            <w:gridSpan w:val="16"/>
            <w:tcBorders>
              <w:bottom w:val="single" w:sz="4" w:space="0" w:color="000000"/>
            </w:tcBorders>
            <w:shd w:val="clear" w:color="auto" w:fill="EDEBE0"/>
          </w:tcPr>
          <w:p>
            <w:pPr>
              <w:pStyle w:val="TableParagraph"/>
              <w:spacing w:before="25"/>
              <w:ind w:left="2327" w:right="2313"/>
              <w:jc w:val="center"/>
              <w:rPr>
                <w:rFonts w:ascii="宋体" w:eastAsia="宋体" w:hint="eastAsia"/>
                <w:sz w:val="21"/>
              </w:rPr>
            </w:pPr>
            <w:r>
              <w:rPr>
                <w:rFonts w:ascii="宋体" w:eastAsia="宋体" w:hint="eastAsia"/>
                <w:sz w:val="21"/>
              </w:rPr>
              <w:t>公司对外担保情况（不包括对子公司的担保）</w:t>
            </w:r>
          </w:p>
        </w:tc>
      </w:tr>
      <w:tr>
        <w:trPr>
          <w:trHeight w:val="1559" w:hRule="atLeast"/>
        </w:trPr>
        <w:tc>
          <w:tcPr>
            <w:tcW w:w="418" w:type="dxa"/>
            <w:tcBorders>
              <w:top w:val="single" w:sz="4" w:space="0" w:color="000000"/>
              <w:bottom w:val="single" w:sz="4" w:space="0" w:color="000000"/>
              <w:right w:val="single" w:sz="4" w:space="0" w:color="000000"/>
            </w:tcBorders>
            <w:shd w:val="clear" w:color="auto" w:fill="EDEBE0"/>
          </w:tcPr>
          <w:p>
            <w:pPr>
              <w:pStyle w:val="TableParagraph"/>
              <w:spacing w:before="1"/>
              <w:rPr>
                <w:rFonts w:ascii="宋体"/>
                <w:sz w:val="26"/>
              </w:rPr>
            </w:pPr>
          </w:p>
          <w:p>
            <w:pPr>
              <w:pStyle w:val="TableParagraph"/>
              <w:spacing w:line="278" w:lineRule="auto"/>
              <w:ind w:left="102" w:right="82"/>
              <w:jc w:val="both"/>
              <w:rPr>
                <w:rFonts w:ascii="宋体" w:eastAsia="宋体" w:hint="eastAsia"/>
                <w:sz w:val="21"/>
              </w:rPr>
            </w:pPr>
            <w:r>
              <w:rPr>
                <w:rFonts w:ascii="宋体" w:eastAsia="宋体" w:hint="eastAsia"/>
                <w:sz w:val="21"/>
              </w:rPr>
              <w:t>担保方</w:t>
            </w:r>
          </w:p>
        </w:tc>
        <w:tc>
          <w:tcPr>
            <w:tcW w:w="1008"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1"/>
              <w:rPr>
                <w:rFonts w:ascii="宋体"/>
                <w:sz w:val="26"/>
              </w:rPr>
            </w:pPr>
          </w:p>
          <w:p>
            <w:pPr>
              <w:pStyle w:val="TableParagraph"/>
              <w:spacing w:line="278" w:lineRule="auto"/>
              <w:ind w:left="92" w:right="60"/>
              <w:jc w:val="both"/>
              <w:rPr>
                <w:rFonts w:ascii="宋体" w:eastAsia="宋体" w:hint="eastAsia"/>
                <w:sz w:val="21"/>
              </w:rPr>
            </w:pPr>
            <w:r>
              <w:rPr>
                <w:rFonts w:ascii="宋体" w:eastAsia="宋体" w:hint="eastAsia"/>
                <w:sz w:val="21"/>
              </w:rPr>
              <w:t>担保方与上市公司的关系</w:t>
            </w:r>
          </w:p>
        </w:tc>
        <w:tc>
          <w:tcPr>
            <w:tcW w:w="490"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rPr>
                <w:rFonts w:ascii="宋体"/>
                <w:sz w:val="20"/>
              </w:rPr>
            </w:pPr>
          </w:p>
          <w:p>
            <w:pPr>
              <w:pStyle w:val="TableParagraph"/>
              <w:spacing w:before="3"/>
              <w:rPr>
                <w:rFonts w:ascii="宋体"/>
                <w:sz w:val="18"/>
              </w:rPr>
            </w:pPr>
          </w:p>
          <w:p>
            <w:pPr>
              <w:pStyle w:val="TableParagraph"/>
              <w:spacing w:line="278" w:lineRule="auto"/>
              <w:ind w:left="42" w:right="13"/>
              <w:rPr>
                <w:rFonts w:ascii="宋体" w:eastAsia="宋体" w:hint="eastAsia"/>
                <w:sz w:val="21"/>
              </w:rPr>
            </w:pPr>
            <w:r>
              <w:rPr>
                <w:rFonts w:ascii="宋体" w:eastAsia="宋体" w:hint="eastAsia"/>
                <w:sz w:val="21"/>
              </w:rPr>
              <w:t>被担保方</w:t>
            </w:r>
          </w:p>
        </w:tc>
        <w:tc>
          <w:tcPr>
            <w:tcW w:w="493" w:type="dxa"/>
            <w:gridSpan w:val="2"/>
            <w:tcBorders>
              <w:top w:val="single" w:sz="4" w:space="0" w:color="000000"/>
              <w:left w:val="single" w:sz="4" w:space="0" w:color="000000"/>
              <w:bottom w:val="single" w:sz="4" w:space="0" w:color="000000"/>
              <w:right w:val="single" w:sz="4" w:space="0" w:color="000000"/>
            </w:tcBorders>
            <w:shd w:val="clear" w:color="auto" w:fill="EDEBE0"/>
          </w:tcPr>
          <w:p>
            <w:pPr>
              <w:pStyle w:val="TableParagraph"/>
              <w:rPr>
                <w:rFonts w:ascii="宋体"/>
                <w:sz w:val="20"/>
              </w:rPr>
            </w:pPr>
          </w:p>
          <w:p>
            <w:pPr>
              <w:pStyle w:val="TableParagraph"/>
              <w:spacing w:before="3"/>
              <w:rPr>
                <w:rFonts w:ascii="宋体"/>
                <w:sz w:val="18"/>
              </w:rPr>
            </w:pPr>
          </w:p>
          <w:p>
            <w:pPr>
              <w:pStyle w:val="TableParagraph"/>
              <w:spacing w:line="278" w:lineRule="auto"/>
              <w:ind w:left="44" w:right="14"/>
              <w:rPr>
                <w:rFonts w:ascii="宋体" w:eastAsia="宋体" w:hint="eastAsia"/>
                <w:sz w:val="21"/>
              </w:rPr>
            </w:pPr>
            <w:r>
              <w:rPr>
                <w:rFonts w:ascii="宋体" w:eastAsia="宋体" w:hint="eastAsia"/>
                <w:sz w:val="21"/>
              </w:rPr>
              <w:t>担保金额</w:t>
            </w:r>
          </w:p>
        </w:tc>
        <w:tc>
          <w:tcPr>
            <w:tcW w:w="1104"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1"/>
              <w:rPr>
                <w:rFonts w:ascii="宋体"/>
                <w:sz w:val="26"/>
              </w:rPr>
            </w:pPr>
          </w:p>
          <w:p>
            <w:pPr>
              <w:pStyle w:val="TableParagraph"/>
              <w:spacing w:line="278" w:lineRule="auto"/>
              <w:ind w:left="106" w:right="75" w:firstLine="33"/>
              <w:jc w:val="both"/>
              <w:rPr>
                <w:sz w:val="21"/>
              </w:rPr>
            </w:pPr>
            <w:r>
              <w:rPr>
                <w:rFonts w:ascii="宋体" w:eastAsia="宋体" w:hint="eastAsia"/>
                <w:sz w:val="21"/>
              </w:rPr>
              <w:t>担保发生日期</w:t>
            </w:r>
            <w:r>
              <w:rPr>
                <w:sz w:val="21"/>
              </w:rPr>
              <w:t>(</w:t>
            </w:r>
            <w:r>
              <w:rPr>
                <w:rFonts w:ascii="宋体" w:eastAsia="宋体" w:hint="eastAsia"/>
                <w:sz w:val="21"/>
              </w:rPr>
              <w:t>协议签署日</w:t>
            </w:r>
            <w:r>
              <w:rPr>
                <w:sz w:val="21"/>
              </w:rPr>
              <w:t>)</w:t>
            </w:r>
          </w:p>
        </w:tc>
        <w:tc>
          <w:tcPr>
            <w:tcW w:w="418"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78" w:lineRule="auto" w:before="22"/>
              <w:ind w:left="108" w:right="85"/>
              <w:jc w:val="both"/>
              <w:rPr>
                <w:rFonts w:ascii="宋体" w:eastAsia="宋体" w:hint="eastAsia"/>
                <w:sz w:val="21"/>
              </w:rPr>
            </w:pPr>
            <w:r>
              <w:rPr>
                <w:rFonts w:ascii="宋体" w:eastAsia="宋体" w:hint="eastAsia"/>
                <w:sz w:val="21"/>
              </w:rPr>
              <w:t>担保起始</w:t>
            </w:r>
          </w:p>
          <w:p>
            <w:pPr>
              <w:pStyle w:val="TableParagraph"/>
              <w:spacing w:line="269" w:lineRule="exact"/>
              <w:ind w:left="108"/>
              <w:rPr>
                <w:rFonts w:ascii="宋体" w:eastAsia="宋体" w:hint="eastAsia"/>
                <w:sz w:val="21"/>
              </w:rPr>
            </w:pPr>
            <w:r>
              <w:rPr>
                <w:rFonts w:ascii="宋体" w:eastAsia="宋体" w:hint="eastAsia"/>
                <w:w w:val="100"/>
                <w:sz w:val="21"/>
              </w:rPr>
              <w:t>日</w:t>
            </w:r>
          </w:p>
        </w:tc>
        <w:tc>
          <w:tcPr>
            <w:tcW w:w="418"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78" w:lineRule="auto" w:before="22"/>
              <w:ind w:left="108" w:right="86"/>
              <w:jc w:val="both"/>
              <w:rPr>
                <w:rFonts w:ascii="宋体" w:eastAsia="宋体" w:hint="eastAsia"/>
                <w:sz w:val="21"/>
              </w:rPr>
            </w:pPr>
            <w:r>
              <w:rPr>
                <w:rFonts w:ascii="宋体" w:eastAsia="宋体" w:hint="eastAsia"/>
                <w:sz w:val="21"/>
              </w:rPr>
              <w:t>担保到期</w:t>
            </w:r>
          </w:p>
          <w:p>
            <w:pPr>
              <w:pStyle w:val="TableParagraph"/>
              <w:spacing w:line="269" w:lineRule="exact"/>
              <w:ind w:left="108"/>
              <w:rPr>
                <w:rFonts w:ascii="宋体" w:eastAsia="宋体" w:hint="eastAsia"/>
                <w:sz w:val="21"/>
              </w:rPr>
            </w:pPr>
            <w:r>
              <w:rPr>
                <w:rFonts w:ascii="宋体" w:eastAsia="宋体" w:hint="eastAsia"/>
                <w:w w:val="100"/>
                <w:sz w:val="21"/>
              </w:rPr>
              <w:t>日</w:t>
            </w:r>
          </w:p>
        </w:tc>
        <w:tc>
          <w:tcPr>
            <w:tcW w:w="493"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rPr>
                <w:rFonts w:ascii="宋体"/>
                <w:sz w:val="20"/>
              </w:rPr>
            </w:pPr>
          </w:p>
          <w:p>
            <w:pPr>
              <w:pStyle w:val="TableParagraph"/>
              <w:spacing w:before="3"/>
              <w:rPr>
                <w:rFonts w:ascii="宋体"/>
                <w:sz w:val="18"/>
              </w:rPr>
            </w:pPr>
          </w:p>
          <w:p>
            <w:pPr>
              <w:pStyle w:val="TableParagraph"/>
              <w:spacing w:line="278" w:lineRule="auto"/>
              <w:ind w:left="43" w:right="15"/>
              <w:rPr>
                <w:rFonts w:ascii="宋体" w:eastAsia="宋体" w:hint="eastAsia"/>
                <w:sz w:val="21"/>
              </w:rPr>
            </w:pPr>
            <w:r>
              <w:rPr>
                <w:rFonts w:ascii="宋体" w:eastAsia="宋体" w:hint="eastAsia"/>
                <w:sz w:val="21"/>
              </w:rPr>
              <w:t>担保类型</w:t>
            </w:r>
          </w:p>
        </w:tc>
        <w:tc>
          <w:tcPr>
            <w:tcW w:w="936" w:type="dxa"/>
            <w:gridSpan w:val="2"/>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1"/>
              <w:rPr>
                <w:rFonts w:ascii="宋体"/>
                <w:sz w:val="26"/>
              </w:rPr>
            </w:pPr>
          </w:p>
          <w:p>
            <w:pPr>
              <w:pStyle w:val="TableParagraph"/>
              <w:spacing w:line="278" w:lineRule="auto"/>
              <w:ind w:left="52" w:right="29"/>
              <w:jc w:val="center"/>
              <w:rPr>
                <w:rFonts w:ascii="宋体" w:eastAsia="宋体" w:hint="eastAsia"/>
                <w:sz w:val="21"/>
              </w:rPr>
            </w:pPr>
            <w:r>
              <w:rPr>
                <w:rFonts w:ascii="宋体" w:eastAsia="宋体" w:hint="eastAsia"/>
                <w:sz w:val="21"/>
              </w:rPr>
              <w:t>担保是否已经履行完毕</w:t>
            </w:r>
          </w:p>
        </w:tc>
        <w:tc>
          <w:tcPr>
            <w:tcW w:w="640"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1"/>
              <w:rPr>
                <w:rFonts w:ascii="宋体"/>
                <w:sz w:val="26"/>
              </w:rPr>
            </w:pPr>
          </w:p>
          <w:p>
            <w:pPr>
              <w:pStyle w:val="TableParagraph"/>
              <w:spacing w:line="278" w:lineRule="auto"/>
              <w:ind w:left="112" w:right="93"/>
              <w:jc w:val="both"/>
              <w:rPr>
                <w:rFonts w:ascii="宋体" w:eastAsia="宋体" w:hint="eastAsia"/>
                <w:sz w:val="21"/>
              </w:rPr>
            </w:pPr>
            <w:r>
              <w:rPr>
                <w:rFonts w:ascii="宋体" w:eastAsia="宋体" w:hint="eastAsia"/>
                <w:sz w:val="21"/>
              </w:rPr>
              <w:t>担保是否逾期</w:t>
            </w:r>
          </w:p>
        </w:tc>
        <w:tc>
          <w:tcPr>
            <w:tcW w:w="643" w:type="dxa"/>
            <w:tcBorders>
              <w:top w:val="single" w:sz="4" w:space="0" w:color="000000"/>
              <w:left w:val="single" w:sz="4" w:space="0" w:color="000000"/>
              <w:bottom w:val="single" w:sz="4" w:space="0" w:color="000000"/>
              <w:right w:val="single" w:sz="6" w:space="0" w:color="000000"/>
            </w:tcBorders>
            <w:shd w:val="clear" w:color="auto" w:fill="EDEBE0"/>
          </w:tcPr>
          <w:p>
            <w:pPr>
              <w:pStyle w:val="TableParagraph"/>
              <w:spacing w:before="1"/>
              <w:rPr>
                <w:rFonts w:ascii="宋体"/>
                <w:sz w:val="26"/>
              </w:rPr>
            </w:pPr>
          </w:p>
          <w:p>
            <w:pPr>
              <w:pStyle w:val="TableParagraph"/>
              <w:spacing w:line="278" w:lineRule="auto"/>
              <w:ind w:left="113" w:right="92"/>
              <w:jc w:val="both"/>
              <w:rPr>
                <w:rFonts w:ascii="宋体" w:eastAsia="宋体" w:hint="eastAsia"/>
                <w:sz w:val="21"/>
              </w:rPr>
            </w:pPr>
            <w:r>
              <w:rPr>
                <w:rFonts w:ascii="宋体" w:eastAsia="宋体" w:hint="eastAsia"/>
                <w:sz w:val="21"/>
              </w:rPr>
              <w:t>担保逾期金额</w:t>
            </w:r>
          </w:p>
        </w:tc>
        <w:tc>
          <w:tcPr>
            <w:tcW w:w="715" w:type="dxa"/>
            <w:tcBorders>
              <w:top w:val="single" w:sz="4" w:space="0" w:color="000000"/>
              <w:left w:val="single" w:sz="6" w:space="0" w:color="000000"/>
              <w:bottom w:val="single" w:sz="4" w:space="0" w:color="000000"/>
              <w:right w:val="single" w:sz="4" w:space="0" w:color="000000"/>
            </w:tcBorders>
            <w:shd w:val="clear" w:color="auto" w:fill="EDEBE0"/>
          </w:tcPr>
          <w:p>
            <w:pPr>
              <w:pStyle w:val="TableParagraph"/>
              <w:spacing w:before="1"/>
              <w:rPr>
                <w:rFonts w:ascii="宋体"/>
                <w:sz w:val="26"/>
              </w:rPr>
            </w:pPr>
          </w:p>
          <w:p>
            <w:pPr>
              <w:pStyle w:val="TableParagraph"/>
              <w:spacing w:line="278" w:lineRule="auto"/>
              <w:ind w:left="37" w:right="29"/>
              <w:jc w:val="center"/>
              <w:rPr>
                <w:rFonts w:ascii="宋体" w:eastAsia="宋体" w:hint="eastAsia"/>
                <w:sz w:val="21"/>
              </w:rPr>
            </w:pPr>
            <w:r>
              <w:rPr>
                <w:rFonts w:ascii="宋体" w:eastAsia="宋体" w:hint="eastAsia"/>
                <w:sz w:val="21"/>
              </w:rPr>
              <w:t>是否存在反担保</w:t>
            </w:r>
          </w:p>
        </w:tc>
        <w:tc>
          <w:tcPr>
            <w:tcW w:w="789"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1"/>
              <w:rPr>
                <w:rFonts w:ascii="宋体"/>
                <w:sz w:val="26"/>
              </w:rPr>
            </w:pPr>
          </w:p>
          <w:p>
            <w:pPr>
              <w:pStyle w:val="TableParagraph"/>
              <w:spacing w:line="278" w:lineRule="auto"/>
              <w:ind w:left="75" w:right="67"/>
              <w:jc w:val="both"/>
              <w:rPr>
                <w:rFonts w:ascii="宋体" w:eastAsia="宋体" w:hint="eastAsia"/>
                <w:sz w:val="21"/>
              </w:rPr>
            </w:pPr>
            <w:r>
              <w:rPr>
                <w:rFonts w:ascii="宋体" w:eastAsia="宋体" w:hint="eastAsia"/>
                <w:sz w:val="21"/>
              </w:rPr>
              <w:t>是否为关联方担保</w:t>
            </w:r>
          </w:p>
        </w:tc>
        <w:tc>
          <w:tcPr>
            <w:tcW w:w="345" w:type="dxa"/>
            <w:tcBorders>
              <w:top w:val="single" w:sz="4" w:space="0" w:color="000000"/>
              <w:left w:val="single" w:sz="4" w:space="0" w:color="000000"/>
              <w:bottom w:val="single" w:sz="4" w:space="0" w:color="000000"/>
            </w:tcBorders>
            <w:shd w:val="clear" w:color="auto" w:fill="EDEBE0"/>
          </w:tcPr>
          <w:p>
            <w:pPr>
              <w:pStyle w:val="TableParagraph"/>
              <w:spacing w:line="278" w:lineRule="auto" w:before="178"/>
              <w:ind w:left="61" w:right="49"/>
              <w:jc w:val="both"/>
              <w:rPr>
                <w:rFonts w:ascii="宋体" w:eastAsia="宋体" w:hint="eastAsia"/>
                <w:sz w:val="21"/>
              </w:rPr>
            </w:pPr>
            <w:r>
              <w:rPr>
                <w:rFonts w:ascii="宋体" w:eastAsia="宋体" w:hint="eastAsia"/>
                <w:sz w:val="21"/>
              </w:rPr>
              <w:t>关联关系</w:t>
            </w:r>
          </w:p>
        </w:tc>
      </w:tr>
      <w:tr>
        <w:trPr>
          <w:trHeight w:val="311" w:hRule="atLeast"/>
        </w:trPr>
        <w:tc>
          <w:tcPr>
            <w:tcW w:w="418" w:type="dxa"/>
            <w:tcBorders>
              <w:top w:val="single" w:sz="4" w:space="0" w:color="000000"/>
              <w:bottom w:val="single" w:sz="4" w:space="0" w:color="000000"/>
              <w:right w:val="single" w:sz="4" w:space="0" w:color="000000"/>
            </w:tcBorders>
          </w:tcPr>
          <w:p>
            <w:pPr>
              <w:pStyle w:val="TableParagraph"/>
              <w:rPr>
                <w:sz w:val="20"/>
              </w:rPr>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20"/>
              <w:ind w:left="40"/>
              <w:rPr>
                <w:rFonts w:ascii="宋体"/>
                <w:sz w:val="21"/>
              </w:rPr>
            </w:pPr>
            <w:r>
              <w:rPr>
                <w:rFonts w:ascii="宋体"/>
                <w:w w:val="100"/>
                <w:sz w:val="21"/>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93" w:type="dxa"/>
            <w:gridSpan w:val="2"/>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before="20"/>
              <w:ind w:left="38"/>
              <w:rPr>
                <w:rFonts w:ascii="宋体"/>
                <w:sz w:val="21"/>
              </w:rPr>
            </w:pPr>
            <w:r>
              <w:rPr>
                <w:rFonts w:ascii="宋体"/>
                <w:w w:val="100"/>
                <w:sz w:val="21"/>
              </w:rPr>
              <w:t> </w:t>
            </w:r>
          </w:p>
        </w:tc>
        <w:tc>
          <w:tcPr>
            <w:tcW w:w="9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0"/>
              <w:ind w:left="35"/>
              <w:rPr>
                <w:rFonts w:ascii="宋体"/>
                <w:sz w:val="21"/>
              </w:rPr>
            </w:pPr>
            <w:r>
              <w:rPr>
                <w:rFonts w:ascii="宋体"/>
                <w:w w:val="100"/>
                <w:sz w:val="21"/>
              </w:rPr>
              <w:t> </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before="20"/>
              <w:ind w:left="33"/>
              <w:rPr>
                <w:rFonts w:ascii="宋体"/>
                <w:sz w:val="21"/>
              </w:rPr>
            </w:pPr>
            <w:r>
              <w:rPr>
                <w:rFonts w:ascii="宋体"/>
                <w:w w:val="100"/>
                <w:sz w:val="21"/>
              </w:rPr>
              <w:t> </w:t>
            </w:r>
          </w:p>
        </w:tc>
        <w:tc>
          <w:tcPr>
            <w:tcW w:w="643" w:type="dxa"/>
            <w:tcBorders>
              <w:top w:val="single" w:sz="4" w:space="0" w:color="000000"/>
              <w:left w:val="single" w:sz="4" w:space="0" w:color="000000"/>
              <w:bottom w:val="single" w:sz="4" w:space="0" w:color="000000"/>
              <w:right w:val="single" w:sz="6" w:space="0" w:color="000000"/>
            </w:tcBorders>
          </w:tcPr>
          <w:p>
            <w:pPr>
              <w:pStyle w:val="TableParagraph"/>
              <w:rPr>
                <w:sz w:val="20"/>
              </w:rPr>
            </w:pPr>
          </w:p>
        </w:tc>
        <w:tc>
          <w:tcPr>
            <w:tcW w:w="715" w:type="dxa"/>
            <w:tcBorders>
              <w:top w:val="single" w:sz="4" w:space="0" w:color="000000"/>
              <w:left w:val="single" w:sz="6" w:space="0" w:color="000000"/>
              <w:bottom w:val="single" w:sz="4" w:space="0" w:color="000000"/>
              <w:right w:val="single" w:sz="4" w:space="0" w:color="000000"/>
            </w:tcBorders>
          </w:tcPr>
          <w:p>
            <w:pPr>
              <w:pStyle w:val="TableParagraph"/>
              <w:spacing w:before="20"/>
              <w:ind w:left="27"/>
              <w:rPr>
                <w:rFonts w:ascii="宋体"/>
                <w:sz w:val="21"/>
              </w:rPr>
            </w:pPr>
            <w:r>
              <w:rPr>
                <w:rFonts w:ascii="宋体"/>
                <w:w w:val="100"/>
                <w:sz w:val="21"/>
              </w:rPr>
              <w:t> </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before="20"/>
              <w:ind w:left="27"/>
              <w:rPr>
                <w:rFonts w:ascii="宋体"/>
                <w:sz w:val="21"/>
              </w:rPr>
            </w:pPr>
            <w:r>
              <w:rPr>
                <w:rFonts w:ascii="宋体"/>
                <w:w w:val="100"/>
                <w:sz w:val="21"/>
              </w:rPr>
              <w:t> </w:t>
            </w:r>
          </w:p>
        </w:tc>
        <w:tc>
          <w:tcPr>
            <w:tcW w:w="345" w:type="dxa"/>
            <w:tcBorders>
              <w:top w:val="single" w:sz="4" w:space="0" w:color="000000"/>
              <w:left w:val="single" w:sz="4" w:space="0" w:color="000000"/>
              <w:bottom w:val="single" w:sz="4" w:space="0" w:color="000000"/>
            </w:tcBorders>
          </w:tcPr>
          <w:p>
            <w:pPr>
              <w:pStyle w:val="TableParagraph"/>
              <w:spacing w:before="20"/>
              <w:ind w:right="49"/>
              <w:jc w:val="right"/>
              <w:rPr>
                <w:rFonts w:ascii="宋体"/>
                <w:sz w:val="21"/>
              </w:rPr>
            </w:pPr>
            <w:r>
              <w:rPr>
                <w:rFonts w:ascii="宋体"/>
                <w:w w:val="100"/>
                <w:sz w:val="21"/>
              </w:rPr>
              <w:t> </w:t>
            </w:r>
          </w:p>
        </w:tc>
      </w:tr>
      <w:tr>
        <w:trPr>
          <w:trHeight w:val="311" w:hRule="atLeast"/>
        </w:trPr>
        <w:tc>
          <w:tcPr>
            <w:tcW w:w="418" w:type="dxa"/>
            <w:tcBorders>
              <w:top w:val="single" w:sz="4" w:space="0" w:color="000000"/>
              <w:bottom w:val="single" w:sz="4" w:space="0" w:color="000000"/>
              <w:right w:val="single" w:sz="4" w:space="0" w:color="000000"/>
            </w:tcBorders>
          </w:tcPr>
          <w:p>
            <w:pPr>
              <w:pStyle w:val="TableParagraph"/>
              <w:rPr>
                <w:sz w:val="20"/>
              </w:rPr>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20"/>
              <w:ind w:left="40"/>
              <w:rPr>
                <w:rFonts w:ascii="宋体"/>
                <w:sz w:val="21"/>
              </w:rPr>
            </w:pPr>
            <w:r>
              <w:rPr>
                <w:rFonts w:ascii="宋体"/>
                <w:w w:val="100"/>
                <w:sz w:val="21"/>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93" w:type="dxa"/>
            <w:gridSpan w:val="2"/>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1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before="20"/>
              <w:ind w:left="38"/>
              <w:rPr>
                <w:rFonts w:ascii="宋体"/>
                <w:sz w:val="21"/>
              </w:rPr>
            </w:pPr>
            <w:r>
              <w:rPr>
                <w:rFonts w:ascii="宋体"/>
                <w:w w:val="100"/>
                <w:sz w:val="21"/>
              </w:rPr>
              <w:t> </w:t>
            </w:r>
          </w:p>
        </w:tc>
        <w:tc>
          <w:tcPr>
            <w:tcW w:w="9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0"/>
              <w:ind w:left="35"/>
              <w:rPr>
                <w:rFonts w:ascii="宋体"/>
                <w:sz w:val="21"/>
              </w:rPr>
            </w:pPr>
            <w:r>
              <w:rPr>
                <w:rFonts w:ascii="宋体"/>
                <w:w w:val="100"/>
                <w:sz w:val="21"/>
              </w:rPr>
              <w:t> </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before="20"/>
              <w:ind w:left="33"/>
              <w:rPr>
                <w:rFonts w:ascii="宋体"/>
                <w:sz w:val="21"/>
              </w:rPr>
            </w:pPr>
            <w:r>
              <w:rPr>
                <w:rFonts w:ascii="宋体"/>
                <w:w w:val="100"/>
                <w:sz w:val="21"/>
              </w:rPr>
              <w:t> </w:t>
            </w:r>
          </w:p>
        </w:tc>
        <w:tc>
          <w:tcPr>
            <w:tcW w:w="643" w:type="dxa"/>
            <w:tcBorders>
              <w:top w:val="single" w:sz="4" w:space="0" w:color="000000"/>
              <w:left w:val="single" w:sz="4" w:space="0" w:color="000000"/>
              <w:bottom w:val="single" w:sz="4" w:space="0" w:color="000000"/>
              <w:right w:val="single" w:sz="6" w:space="0" w:color="000000"/>
            </w:tcBorders>
          </w:tcPr>
          <w:p>
            <w:pPr>
              <w:pStyle w:val="TableParagraph"/>
              <w:rPr>
                <w:sz w:val="20"/>
              </w:rPr>
            </w:pPr>
          </w:p>
        </w:tc>
        <w:tc>
          <w:tcPr>
            <w:tcW w:w="715" w:type="dxa"/>
            <w:tcBorders>
              <w:top w:val="single" w:sz="4" w:space="0" w:color="000000"/>
              <w:left w:val="single" w:sz="6" w:space="0" w:color="000000"/>
              <w:bottom w:val="single" w:sz="4" w:space="0" w:color="000000"/>
              <w:right w:val="single" w:sz="4" w:space="0" w:color="000000"/>
            </w:tcBorders>
          </w:tcPr>
          <w:p>
            <w:pPr>
              <w:pStyle w:val="TableParagraph"/>
              <w:spacing w:before="20"/>
              <w:ind w:left="27"/>
              <w:rPr>
                <w:rFonts w:ascii="宋体"/>
                <w:sz w:val="21"/>
              </w:rPr>
            </w:pPr>
            <w:r>
              <w:rPr>
                <w:rFonts w:ascii="宋体"/>
                <w:w w:val="100"/>
                <w:sz w:val="21"/>
              </w:rPr>
              <w:t> </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before="20"/>
              <w:ind w:left="27"/>
              <w:rPr>
                <w:rFonts w:ascii="宋体"/>
                <w:sz w:val="21"/>
              </w:rPr>
            </w:pPr>
            <w:r>
              <w:rPr>
                <w:rFonts w:ascii="宋体"/>
                <w:w w:val="100"/>
                <w:sz w:val="21"/>
              </w:rPr>
              <w:t> </w:t>
            </w:r>
          </w:p>
        </w:tc>
        <w:tc>
          <w:tcPr>
            <w:tcW w:w="345" w:type="dxa"/>
            <w:tcBorders>
              <w:top w:val="single" w:sz="4" w:space="0" w:color="000000"/>
              <w:left w:val="single" w:sz="4" w:space="0" w:color="000000"/>
              <w:bottom w:val="single" w:sz="4" w:space="0" w:color="000000"/>
            </w:tcBorders>
          </w:tcPr>
          <w:p>
            <w:pPr>
              <w:pStyle w:val="TableParagraph"/>
              <w:spacing w:before="20"/>
              <w:ind w:right="49"/>
              <w:jc w:val="right"/>
              <w:rPr>
                <w:rFonts w:ascii="宋体"/>
                <w:sz w:val="21"/>
              </w:rPr>
            </w:pPr>
            <w:r>
              <w:rPr>
                <w:rFonts w:ascii="宋体"/>
                <w:w w:val="100"/>
                <w:sz w:val="21"/>
              </w:rPr>
              <w:t> </w:t>
            </w:r>
          </w:p>
        </w:tc>
      </w:tr>
      <w:tr>
        <w:trPr>
          <w:trHeight w:val="313" w:hRule="atLeast"/>
        </w:trPr>
        <w:tc>
          <w:tcPr>
            <w:tcW w:w="5311" w:type="dxa"/>
            <w:gridSpan w:val="10"/>
            <w:tcBorders>
              <w:top w:val="single" w:sz="4" w:space="0" w:color="000000"/>
              <w:bottom w:val="single" w:sz="4" w:space="0" w:color="000000"/>
              <w:right w:val="single" w:sz="4" w:space="0" w:color="000000"/>
            </w:tcBorders>
            <w:shd w:val="clear" w:color="auto" w:fill="EDEBE0"/>
          </w:tcPr>
          <w:p>
            <w:pPr>
              <w:pStyle w:val="TableParagraph"/>
              <w:spacing w:before="25"/>
              <w:ind w:left="30"/>
              <w:rPr>
                <w:rFonts w:ascii="宋体" w:eastAsia="宋体" w:hint="eastAsia"/>
                <w:sz w:val="21"/>
              </w:rPr>
            </w:pPr>
            <w:r>
              <w:rPr>
                <w:rFonts w:ascii="宋体" w:eastAsia="宋体" w:hint="eastAsia"/>
                <w:sz w:val="21"/>
              </w:rPr>
              <w:t>报告期内担保发生额合计（不包括对子公司的担保）</w:t>
            </w:r>
          </w:p>
        </w:tc>
        <w:tc>
          <w:tcPr>
            <w:tcW w:w="3599" w:type="dxa"/>
            <w:gridSpan w:val="6"/>
            <w:tcBorders>
              <w:top w:val="single" w:sz="4" w:space="0" w:color="000000"/>
              <w:left w:val="single" w:sz="4" w:space="0" w:color="000000"/>
              <w:bottom w:val="single" w:sz="4" w:space="0" w:color="000000"/>
            </w:tcBorders>
          </w:tcPr>
          <w:p>
            <w:pPr>
              <w:pStyle w:val="TableParagraph"/>
              <w:rPr>
                <w:sz w:val="20"/>
              </w:rPr>
            </w:pPr>
          </w:p>
        </w:tc>
      </w:tr>
      <w:tr>
        <w:trPr>
          <w:trHeight w:val="311" w:hRule="atLeast"/>
        </w:trPr>
        <w:tc>
          <w:tcPr>
            <w:tcW w:w="5311" w:type="dxa"/>
            <w:gridSpan w:val="10"/>
            <w:tcBorders>
              <w:top w:val="single" w:sz="4" w:space="0" w:color="000000"/>
              <w:bottom w:val="single" w:sz="4" w:space="0" w:color="000000"/>
              <w:right w:val="single" w:sz="4" w:space="0" w:color="000000"/>
            </w:tcBorders>
            <w:shd w:val="clear" w:color="auto" w:fill="EDEBE0"/>
          </w:tcPr>
          <w:p>
            <w:pPr>
              <w:pStyle w:val="TableParagraph"/>
              <w:spacing w:before="22"/>
              <w:ind w:left="30"/>
              <w:rPr>
                <w:rFonts w:ascii="宋体" w:eastAsia="宋体" w:hint="eastAsia"/>
                <w:sz w:val="21"/>
              </w:rPr>
            </w:pPr>
            <w:r>
              <w:rPr>
                <w:rFonts w:ascii="宋体" w:eastAsia="宋体" w:hint="eastAsia"/>
                <w:sz w:val="21"/>
              </w:rPr>
              <w:t>报告期末担保余额合计（</w:t>
            </w:r>
            <w:r>
              <w:rPr>
                <w:sz w:val="21"/>
              </w:rPr>
              <w:t>A</w:t>
            </w:r>
            <w:r>
              <w:rPr>
                <w:rFonts w:ascii="宋体" w:eastAsia="宋体" w:hint="eastAsia"/>
                <w:sz w:val="21"/>
              </w:rPr>
              <w:t>）（不包括对子公司的担保）</w:t>
            </w:r>
          </w:p>
        </w:tc>
        <w:tc>
          <w:tcPr>
            <w:tcW w:w="3599" w:type="dxa"/>
            <w:gridSpan w:val="6"/>
            <w:tcBorders>
              <w:top w:val="single" w:sz="4" w:space="0" w:color="000000"/>
              <w:left w:val="single" w:sz="4" w:space="0" w:color="000000"/>
              <w:bottom w:val="single" w:sz="4" w:space="0" w:color="000000"/>
            </w:tcBorders>
          </w:tcPr>
          <w:p>
            <w:pPr>
              <w:pStyle w:val="TableParagraph"/>
              <w:rPr>
                <w:sz w:val="20"/>
              </w:rPr>
            </w:pPr>
          </w:p>
        </w:tc>
      </w:tr>
      <w:tr>
        <w:trPr>
          <w:trHeight w:val="311" w:hRule="atLeast"/>
        </w:trPr>
        <w:tc>
          <w:tcPr>
            <w:tcW w:w="8910" w:type="dxa"/>
            <w:gridSpan w:val="16"/>
            <w:tcBorders>
              <w:top w:val="single" w:sz="4" w:space="0" w:color="000000"/>
              <w:bottom w:val="single" w:sz="4" w:space="0" w:color="000000"/>
            </w:tcBorders>
            <w:shd w:val="clear" w:color="auto" w:fill="EDEBE0"/>
          </w:tcPr>
          <w:p>
            <w:pPr>
              <w:pStyle w:val="TableParagraph"/>
              <w:spacing w:before="22"/>
              <w:ind w:left="2249" w:right="2313"/>
              <w:jc w:val="center"/>
              <w:rPr>
                <w:rFonts w:ascii="宋体" w:eastAsia="宋体" w:hint="eastAsia"/>
                <w:sz w:val="21"/>
              </w:rPr>
            </w:pPr>
            <w:r>
              <w:rPr>
                <w:rFonts w:ascii="宋体" w:eastAsia="宋体" w:hint="eastAsia"/>
                <w:sz w:val="21"/>
              </w:rPr>
              <w:t>公司及其子公司对子公司的担保情况</w:t>
            </w:r>
          </w:p>
        </w:tc>
      </w:tr>
      <w:tr>
        <w:trPr>
          <w:trHeight w:val="312" w:hRule="atLeast"/>
        </w:trPr>
        <w:tc>
          <w:tcPr>
            <w:tcW w:w="5311" w:type="dxa"/>
            <w:gridSpan w:val="10"/>
            <w:tcBorders>
              <w:top w:val="single" w:sz="4" w:space="0" w:color="000000"/>
              <w:bottom w:val="single" w:sz="4" w:space="0" w:color="000000"/>
              <w:right w:val="single" w:sz="4" w:space="0" w:color="000000"/>
            </w:tcBorders>
            <w:shd w:val="clear" w:color="auto" w:fill="EDEBE0"/>
          </w:tcPr>
          <w:p>
            <w:pPr>
              <w:pStyle w:val="TableParagraph"/>
              <w:spacing w:before="22"/>
              <w:ind w:left="30"/>
              <w:rPr>
                <w:rFonts w:ascii="宋体" w:eastAsia="宋体" w:hint="eastAsia"/>
                <w:sz w:val="21"/>
              </w:rPr>
            </w:pPr>
            <w:r>
              <w:rPr>
                <w:rFonts w:ascii="宋体" w:eastAsia="宋体" w:hint="eastAsia"/>
                <w:sz w:val="21"/>
              </w:rPr>
              <w:t>报告期内对子公司担保发生额合计</w:t>
            </w:r>
          </w:p>
        </w:tc>
        <w:tc>
          <w:tcPr>
            <w:tcW w:w="3599" w:type="dxa"/>
            <w:gridSpan w:val="6"/>
            <w:tcBorders>
              <w:top w:val="single" w:sz="4" w:space="0" w:color="000000"/>
              <w:left w:val="single" w:sz="4" w:space="0" w:color="000000"/>
              <w:bottom w:val="single" w:sz="4" w:space="0" w:color="000000"/>
            </w:tcBorders>
          </w:tcPr>
          <w:p>
            <w:pPr>
              <w:pStyle w:val="TableParagraph"/>
              <w:spacing w:before="34"/>
              <w:ind w:right="95"/>
              <w:jc w:val="right"/>
              <w:rPr>
                <w:sz w:val="21"/>
              </w:rPr>
            </w:pPr>
            <w:r>
              <w:rPr>
                <w:sz w:val="21"/>
              </w:rPr>
              <w:t>4,461,868</w:t>
            </w:r>
          </w:p>
        </w:tc>
      </w:tr>
      <w:tr>
        <w:trPr>
          <w:trHeight w:val="311" w:hRule="atLeast"/>
        </w:trPr>
        <w:tc>
          <w:tcPr>
            <w:tcW w:w="5311" w:type="dxa"/>
            <w:gridSpan w:val="10"/>
            <w:tcBorders>
              <w:top w:val="single" w:sz="4" w:space="0" w:color="000000"/>
              <w:bottom w:val="single" w:sz="4" w:space="0" w:color="000000"/>
              <w:right w:val="single" w:sz="4" w:space="0" w:color="000000"/>
            </w:tcBorders>
            <w:shd w:val="clear" w:color="auto" w:fill="EDEBE0"/>
          </w:tcPr>
          <w:p>
            <w:pPr>
              <w:pStyle w:val="TableParagraph"/>
              <w:spacing w:before="22"/>
              <w:ind w:left="30"/>
              <w:rPr>
                <w:rFonts w:ascii="宋体" w:eastAsia="宋体" w:hint="eastAsia"/>
                <w:sz w:val="21"/>
              </w:rPr>
            </w:pPr>
            <w:r>
              <w:rPr>
                <w:rFonts w:ascii="宋体" w:eastAsia="宋体" w:hint="eastAsia"/>
                <w:sz w:val="21"/>
              </w:rPr>
              <w:t>报告期末对子公司担保余额合计（</w:t>
            </w:r>
            <w:r>
              <w:rPr>
                <w:sz w:val="21"/>
              </w:rPr>
              <w:t>B</w:t>
            </w:r>
            <w:r>
              <w:rPr>
                <w:rFonts w:ascii="宋体" w:eastAsia="宋体" w:hint="eastAsia"/>
                <w:sz w:val="21"/>
              </w:rPr>
              <w:t>）</w:t>
            </w:r>
          </w:p>
        </w:tc>
        <w:tc>
          <w:tcPr>
            <w:tcW w:w="3599" w:type="dxa"/>
            <w:gridSpan w:val="6"/>
            <w:tcBorders>
              <w:top w:val="single" w:sz="4" w:space="0" w:color="000000"/>
              <w:left w:val="single" w:sz="4" w:space="0" w:color="000000"/>
              <w:bottom w:val="single" w:sz="4" w:space="0" w:color="000000"/>
            </w:tcBorders>
          </w:tcPr>
          <w:p>
            <w:pPr>
              <w:pStyle w:val="TableParagraph"/>
              <w:spacing w:before="34"/>
              <w:ind w:right="95"/>
              <w:jc w:val="right"/>
              <w:rPr>
                <w:sz w:val="21"/>
              </w:rPr>
            </w:pPr>
            <w:r>
              <w:rPr>
                <w:sz w:val="21"/>
              </w:rPr>
              <w:t>2,943,165</w:t>
            </w:r>
          </w:p>
        </w:tc>
      </w:tr>
      <w:tr>
        <w:trPr>
          <w:trHeight w:val="311" w:hRule="atLeast"/>
        </w:trPr>
        <w:tc>
          <w:tcPr>
            <w:tcW w:w="8910" w:type="dxa"/>
            <w:gridSpan w:val="16"/>
            <w:tcBorders>
              <w:top w:val="single" w:sz="4" w:space="0" w:color="000000"/>
              <w:bottom w:val="single" w:sz="4" w:space="0" w:color="000000"/>
            </w:tcBorders>
            <w:shd w:val="clear" w:color="auto" w:fill="EDEBE0"/>
          </w:tcPr>
          <w:p>
            <w:pPr>
              <w:pStyle w:val="TableParagraph"/>
              <w:spacing w:before="22"/>
              <w:ind w:left="2249" w:right="2313"/>
              <w:jc w:val="center"/>
              <w:rPr>
                <w:rFonts w:ascii="宋体" w:eastAsia="宋体" w:hint="eastAsia"/>
                <w:sz w:val="21"/>
              </w:rPr>
            </w:pPr>
            <w:r>
              <w:rPr>
                <w:rFonts w:ascii="宋体" w:eastAsia="宋体" w:hint="eastAsia"/>
                <w:sz w:val="21"/>
              </w:rPr>
              <w:t>公司担保总额情况（包括对子公司的担保）</w:t>
            </w:r>
          </w:p>
        </w:tc>
      </w:tr>
      <w:tr>
        <w:trPr>
          <w:trHeight w:val="73" w:hRule="atLeast"/>
        </w:trPr>
        <w:tc>
          <w:tcPr>
            <w:tcW w:w="5311" w:type="dxa"/>
            <w:gridSpan w:val="10"/>
            <w:tcBorders>
              <w:top w:val="single" w:sz="4" w:space="0" w:color="000000"/>
              <w:bottom w:val="nil"/>
              <w:right w:val="single" w:sz="4" w:space="0" w:color="000000"/>
            </w:tcBorders>
            <w:shd w:val="clear" w:color="auto" w:fill="EDEBE0"/>
          </w:tcPr>
          <w:p>
            <w:pPr>
              <w:pStyle w:val="TableParagraph"/>
              <w:rPr>
                <w:sz w:val="2"/>
              </w:rPr>
            </w:pPr>
          </w:p>
        </w:tc>
        <w:tc>
          <w:tcPr>
            <w:tcW w:w="3599" w:type="dxa"/>
            <w:gridSpan w:val="6"/>
            <w:vMerge w:val="restart"/>
            <w:tcBorders>
              <w:top w:val="single" w:sz="4" w:space="0" w:color="000000"/>
              <w:left w:val="single" w:sz="4" w:space="0" w:color="000000"/>
              <w:bottom w:val="single" w:sz="4" w:space="0" w:color="000000"/>
            </w:tcBorders>
          </w:tcPr>
          <w:p>
            <w:pPr>
              <w:pStyle w:val="TableParagraph"/>
              <w:spacing w:before="113"/>
              <w:ind w:right="95"/>
              <w:jc w:val="right"/>
              <w:rPr>
                <w:sz w:val="21"/>
              </w:rPr>
            </w:pPr>
            <w:r>
              <w:rPr>
                <w:sz w:val="21"/>
              </w:rPr>
              <w:t>2,943,165</w:t>
            </w:r>
          </w:p>
        </w:tc>
      </w:tr>
      <w:tr>
        <w:trPr>
          <w:trHeight w:val="386" w:hRule="atLeast"/>
        </w:trPr>
        <w:tc>
          <w:tcPr>
            <w:tcW w:w="5311" w:type="dxa"/>
            <w:gridSpan w:val="10"/>
            <w:tcBorders>
              <w:top w:val="nil"/>
              <w:bottom w:val="single" w:sz="4" w:space="0" w:color="000000"/>
              <w:right w:val="single" w:sz="4" w:space="0" w:color="000000"/>
            </w:tcBorders>
            <w:shd w:val="clear" w:color="auto" w:fill="EDEBE0"/>
          </w:tcPr>
          <w:p>
            <w:pPr>
              <w:pStyle w:val="TableParagraph"/>
              <w:spacing w:before="17"/>
              <w:ind w:left="30"/>
              <w:rPr>
                <w:rFonts w:ascii="宋体" w:eastAsia="宋体" w:hint="eastAsia"/>
                <w:sz w:val="21"/>
              </w:rPr>
            </w:pPr>
            <w:r>
              <w:rPr>
                <w:rFonts w:ascii="宋体" w:eastAsia="宋体" w:hint="eastAsia"/>
                <w:sz w:val="21"/>
              </w:rPr>
              <w:t>担保总额（</w:t>
            </w:r>
            <w:r>
              <w:rPr>
                <w:sz w:val="21"/>
              </w:rPr>
              <w:t>A+B</w:t>
            </w:r>
            <w:r>
              <w:rPr>
                <w:rFonts w:ascii="宋体" w:eastAsia="宋体" w:hint="eastAsia"/>
                <w:sz w:val="21"/>
              </w:rPr>
              <w:t>）</w:t>
            </w:r>
          </w:p>
        </w:tc>
        <w:tc>
          <w:tcPr>
            <w:tcW w:w="3599" w:type="dxa"/>
            <w:gridSpan w:val="6"/>
            <w:vMerge/>
            <w:tcBorders>
              <w:top w:val="nil"/>
              <w:left w:val="single" w:sz="4" w:space="0" w:color="000000"/>
              <w:bottom w:val="single" w:sz="4" w:space="0" w:color="000000"/>
            </w:tcBorders>
          </w:tcPr>
          <w:p>
            <w:pPr>
              <w:rPr>
                <w:sz w:val="2"/>
                <w:szCs w:val="2"/>
              </w:rPr>
            </w:pPr>
          </w:p>
        </w:tc>
      </w:tr>
      <w:tr>
        <w:trPr>
          <w:trHeight w:val="313" w:hRule="atLeast"/>
        </w:trPr>
        <w:tc>
          <w:tcPr>
            <w:tcW w:w="5311" w:type="dxa"/>
            <w:gridSpan w:val="10"/>
            <w:tcBorders>
              <w:top w:val="single" w:sz="4" w:space="0" w:color="000000"/>
              <w:bottom w:val="single" w:sz="4" w:space="0" w:color="000000"/>
              <w:right w:val="single" w:sz="4" w:space="0" w:color="000000"/>
            </w:tcBorders>
            <w:shd w:val="clear" w:color="auto" w:fill="EDEBE0"/>
          </w:tcPr>
          <w:p>
            <w:pPr>
              <w:pStyle w:val="TableParagraph"/>
              <w:spacing w:before="25"/>
              <w:ind w:left="30"/>
              <w:rPr>
                <w:sz w:val="21"/>
              </w:rPr>
            </w:pPr>
            <w:r>
              <w:rPr>
                <w:rFonts w:ascii="宋体" w:eastAsia="宋体" w:hint="eastAsia"/>
                <w:sz w:val="21"/>
              </w:rPr>
              <w:t>担保总额占公司净资产的比例</w:t>
            </w:r>
            <w:r>
              <w:rPr>
                <w:sz w:val="21"/>
              </w:rPr>
              <w:t>(%)</w:t>
            </w:r>
          </w:p>
        </w:tc>
        <w:tc>
          <w:tcPr>
            <w:tcW w:w="3599" w:type="dxa"/>
            <w:gridSpan w:val="6"/>
            <w:tcBorders>
              <w:top w:val="single" w:sz="4" w:space="0" w:color="000000"/>
              <w:left w:val="single" w:sz="4" w:space="0" w:color="000000"/>
              <w:bottom w:val="single" w:sz="4" w:space="0" w:color="000000"/>
            </w:tcBorders>
          </w:tcPr>
          <w:p>
            <w:pPr>
              <w:pStyle w:val="TableParagraph"/>
              <w:spacing w:before="36"/>
              <w:ind w:right="95"/>
              <w:jc w:val="right"/>
              <w:rPr>
                <w:sz w:val="21"/>
              </w:rPr>
            </w:pPr>
            <w:r>
              <w:rPr>
                <w:sz w:val="21"/>
              </w:rPr>
              <w:t>44.0</w:t>
            </w:r>
          </w:p>
        </w:tc>
      </w:tr>
      <w:tr>
        <w:trPr>
          <w:trHeight w:val="311" w:hRule="atLeast"/>
        </w:trPr>
        <w:tc>
          <w:tcPr>
            <w:tcW w:w="8910" w:type="dxa"/>
            <w:gridSpan w:val="16"/>
            <w:tcBorders>
              <w:top w:val="single" w:sz="4" w:space="0" w:color="000000"/>
              <w:bottom w:val="single" w:sz="4" w:space="0" w:color="000000"/>
            </w:tcBorders>
            <w:shd w:val="clear" w:color="auto" w:fill="EDEBE0"/>
          </w:tcPr>
          <w:p>
            <w:pPr>
              <w:pStyle w:val="TableParagraph"/>
              <w:spacing w:before="22"/>
              <w:ind w:left="30"/>
              <w:rPr>
                <w:rFonts w:ascii="宋体" w:eastAsia="宋体" w:hint="eastAsia"/>
                <w:sz w:val="21"/>
              </w:rPr>
            </w:pPr>
            <w:r>
              <w:rPr>
                <w:rFonts w:ascii="宋体" w:eastAsia="宋体" w:hint="eastAsia"/>
                <w:sz w:val="21"/>
              </w:rPr>
              <w:t>其中：</w:t>
            </w:r>
          </w:p>
        </w:tc>
      </w:tr>
      <w:tr>
        <w:trPr>
          <w:trHeight w:val="311" w:hRule="atLeast"/>
        </w:trPr>
        <w:tc>
          <w:tcPr>
            <w:tcW w:w="5311" w:type="dxa"/>
            <w:gridSpan w:val="10"/>
            <w:tcBorders>
              <w:top w:val="single" w:sz="4" w:space="0" w:color="000000"/>
              <w:bottom w:val="single" w:sz="4" w:space="0" w:color="000000"/>
              <w:right w:val="single" w:sz="4" w:space="0" w:color="000000"/>
            </w:tcBorders>
            <w:shd w:val="clear" w:color="auto" w:fill="EDEBE0"/>
          </w:tcPr>
          <w:p>
            <w:pPr>
              <w:pStyle w:val="TableParagraph"/>
              <w:spacing w:before="22"/>
              <w:ind w:left="30"/>
              <w:rPr>
                <w:rFonts w:ascii="宋体" w:eastAsia="宋体" w:hint="eastAsia"/>
                <w:sz w:val="21"/>
              </w:rPr>
            </w:pPr>
            <w:r>
              <w:rPr>
                <w:rFonts w:ascii="宋体" w:eastAsia="宋体" w:hint="eastAsia"/>
                <w:sz w:val="21"/>
              </w:rPr>
              <w:t>为股东、实际控制人及其关联方提供担保的金额（</w:t>
            </w:r>
            <w:r>
              <w:rPr>
                <w:sz w:val="21"/>
              </w:rPr>
              <w:t>C</w:t>
            </w:r>
            <w:r>
              <w:rPr>
                <w:rFonts w:ascii="宋体" w:eastAsia="宋体" w:hint="eastAsia"/>
                <w:sz w:val="21"/>
              </w:rPr>
              <w:t>）</w:t>
            </w:r>
          </w:p>
        </w:tc>
        <w:tc>
          <w:tcPr>
            <w:tcW w:w="3599" w:type="dxa"/>
            <w:gridSpan w:val="6"/>
            <w:tcBorders>
              <w:top w:val="single" w:sz="4" w:space="0" w:color="000000"/>
              <w:left w:val="single" w:sz="4" w:space="0" w:color="000000"/>
              <w:bottom w:val="single" w:sz="4" w:space="0" w:color="000000"/>
            </w:tcBorders>
          </w:tcPr>
          <w:p>
            <w:pPr>
              <w:pStyle w:val="TableParagraph"/>
              <w:spacing w:before="34"/>
              <w:ind w:right="97"/>
              <w:jc w:val="right"/>
              <w:rPr>
                <w:sz w:val="21"/>
              </w:rPr>
            </w:pPr>
            <w:r>
              <w:rPr>
                <w:w w:val="100"/>
                <w:sz w:val="21"/>
              </w:rPr>
              <w:t>0</w:t>
            </w:r>
          </w:p>
        </w:tc>
      </w:tr>
      <w:tr>
        <w:trPr>
          <w:trHeight w:val="623" w:hRule="atLeast"/>
        </w:trPr>
        <w:tc>
          <w:tcPr>
            <w:tcW w:w="5311" w:type="dxa"/>
            <w:gridSpan w:val="10"/>
            <w:tcBorders>
              <w:top w:val="single" w:sz="4" w:space="0" w:color="000000"/>
              <w:bottom w:val="single" w:sz="4" w:space="0" w:color="000000"/>
              <w:right w:val="single" w:sz="4" w:space="0" w:color="000000"/>
            </w:tcBorders>
            <w:shd w:val="clear" w:color="auto" w:fill="EDEBE0"/>
          </w:tcPr>
          <w:p>
            <w:pPr>
              <w:pStyle w:val="TableParagraph"/>
              <w:spacing w:before="22"/>
              <w:ind w:left="30"/>
              <w:rPr>
                <w:rFonts w:ascii="宋体" w:eastAsia="宋体" w:hint="eastAsia"/>
                <w:sz w:val="21"/>
              </w:rPr>
            </w:pPr>
            <w:r>
              <w:rPr>
                <w:rFonts w:ascii="宋体" w:eastAsia="宋体" w:hint="eastAsia"/>
                <w:sz w:val="21"/>
              </w:rPr>
              <w:t>直接或间接为资产负债率超过</w:t>
            </w:r>
            <w:r>
              <w:rPr>
                <w:sz w:val="21"/>
              </w:rPr>
              <w:t>70%</w:t>
            </w:r>
            <w:r>
              <w:rPr>
                <w:rFonts w:ascii="宋体" w:eastAsia="宋体" w:hint="eastAsia"/>
                <w:sz w:val="21"/>
              </w:rPr>
              <w:t>的被担保对象提供的债</w:t>
            </w:r>
          </w:p>
          <w:p>
            <w:pPr>
              <w:pStyle w:val="TableParagraph"/>
              <w:spacing w:before="43"/>
              <w:ind w:left="30"/>
              <w:rPr>
                <w:rFonts w:ascii="宋体" w:eastAsia="宋体" w:hint="eastAsia"/>
                <w:sz w:val="21"/>
              </w:rPr>
            </w:pPr>
            <w:r>
              <w:rPr>
                <w:rFonts w:ascii="宋体" w:eastAsia="宋体" w:hint="eastAsia"/>
                <w:sz w:val="21"/>
              </w:rPr>
              <w:t>务担保金额（</w:t>
            </w:r>
            <w:r>
              <w:rPr>
                <w:sz w:val="21"/>
              </w:rPr>
              <w:t>D</w:t>
            </w:r>
            <w:r>
              <w:rPr>
                <w:rFonts w:ascii="宋体" w:eastAsia="宋体" w:hint="eastAsia"/>
                <w:sz w:val="21"/>
              </w:rPr>
              <w:t>）</w:t>
            </w:r>
          </w:p>
        </w:tc>
        <w:tc>
          <w:tcPr>
            <w:tcW w:w="3599" w:type="dxa"/>
            <w:gridSpan w:val="6"/>
            <w:tcBorders>
              <w:top w:val="single" w:sz="4" w:space="0" w:color="000000"/>
              <w:left w:val="single" w:sz="4" w:space="0" w:color="000000"/>
              <w:bottom w:val="single" w:sz="4" w:space="0" w:color="000000"/>
            </w:tcBorders>
          </w:tcPr>
          <w:p>
            <w:pPr>
              <w:pStyle w:val="TableParagraph"/>
              <w:spacing w:before="190"/>
              <w:ind w:right="95"/>
              <w:jc w:val="right"/>
              <w:rPr>
                <w:sz w:val="21"/>
              </w:rPr>
            </w:pPr>
            <w:r>
              <w:rPr>
                <w:sz w:val="21"/>
              </w:rPr>
              <w:t>1,285,881</w:t>
            </w:r>
          </w:p>
        </w:tc>
      </w:tr>
      <w:tr>
        <w:trPr>
          <w:trHeight w:val="311" w:hRule="atLeast"/>
        </w:trPr>
        <w:tc>
          <w:tcPr>
            <w:tcW w:w="5311" w:type="dxa"/>
            <w:gridSpan w:val="10"/>
            <w:tcBorders>
              <w:top w:val="single" w:sz="4" w:space="0" w:color="000000"/>
              <w:bottom w:val="single" w:sz="4" w:space="0" w:color="000000"/>
              <w:right w:val="single" w:sz="4" w:space="0" w:color="000000"/>
            </w:tcBorders>
            <w:shd w:val="clear" w:color="auto" w:fill="EDEBE0"/>
          </w:tcPr>
          <w:p>
            <w:pPr>
              <w:pStyle w:val="TableParagraph"/>
              <w:spacing w:before="22"/>
              <w:ind w:left="30"/>
              <w:rPr>
                <w:rFonts w:ascii="宋体" w:eastAsia="宋体" w:hint="eastAsia"/>
                <w:sz w:val="21"/>
              </w:rPr>
            </w:pPr>
            <w:r>
              <w:rPr>
                <w:rFonts w:ascii="宋体" w:eastAsia="宋体" w:hint="eastAsia"/>
                <w:sz w:val="21"/>
              </w:rPr>
              <w:t>担保总额超过净资产</w:t>
            </w:r>
            <w:r>
              <w:rPr>
                <w:sz w:val="21"/>
              </w:rPr>
              <w:t>50%</w:t>
            </w:r>
            <w:r>
              <w:rPr>
                <w:rFonts w:ascii="宋体" w:eastAsia="宋体" w:hint="eastAsia"/>
                <w:sz w:val="21"/>
              </w:rPr>
              <w:t>部分的金额（</w:t>
            </w:r>
            <w:r>
              <w:rPr>
                <w:sz w:val="21"/>
              </w:rPr>
              <w:t>E</w:t>
            </w:r>
            <w:r>
              <w:rPr>
                <w:rFonts w:ascii="宋体" w:eastAsia="宋体" w:hint="eastAsia"/>
                <w:sz w:val="21"/>
              </w:rPr>
              <w:t>）</w:t>
            </w:r>
          </w:p>
        </w:tc>
        <w:tc>
          <w:tcPr>
            <w:tcW w:w="3599" w:type="dxa"/>
            <w:gridSpan w:val="6"/>
            <w:tcBorders>
              <w:top w:val="single" w:sz="4" w:space="0" w:color="000000"/>
              <w:left w:val="single" w:sz="4" w:space="0" w:color="000000"/>
              <w:bottom w:val="single" w:sz="4" w:space="0" w:color="000000"/>
            </w:tcBorders>
          </w:tcPr>
          <w:p>
            <w:pPr>
              <w:pStyle w:val="TableParagraph"/>
              <w:spacing w:before="34"/>
              <w:ind w:right="97"/>
              <w:jc w:val="right"/>
              <w:rPr>
                <w:sz w:val="21"/>
              </w:rPr>
            </w:pPr>
            <w:r>
              <w:rPr>
                <w:w w:val="100"/>
                <w:sz w:val="21"/>
              </w:rPr>
              <w:t>0</w:t>
            </w:r>
          </w:p>
        </w:tc>
      </w:tr>
      <w:tr>
        <w:trPr>
          <w:trHeight w:val="311" w:hRule="atLeast"/>
        </w:trPr>
        <w:tc>
          <w:tcPr>
            <w:tcW w:w="5311" w:type="dxa"/>
            <w:gridSpan w:val="10"/>
            <w:tcBorders>
              <w:top w:val="single" w:sz="4" w:space="0" w:color="000000"/>
              <w:bottom w:val="single" w:sz="4" w:space="0" w:color="000000"/>
              <w:right w:val="single" w:sz="4" w:space="0" w:color="000000"/>
            </w:tcBorders>
            <w:shd w:val="clear" w:color="auto" w:fill="EDEBE0"/>
          </w:tcPr>
          <w:p>
            <w:pPr>
              <w:pStyle w:val="TableParagraph"/>
              <w:spacing w:before="22"/>
              <w:ind w:left="30"/>
              <w:rPr>
                <w:rFonts w:ascii="宋体" w:eastAsia="宋体" w:hint="eastAsia"/>
                <w:sz w:val="21"/>
              </w:rPr>
            </w:pPr>
            <w:r>
              <w:rPr>
                <w:rFonts w:ascii="宋体" w:eastAsia="宋体" w:hint="eastAsia"/>
                <w:sz w:val="21"/>
              </w:rPr>
              <w:t>上述三项担保金额合计（</w:t>
            </w:r>
            <w:r>
              <w:rPr>
                <w:sz w:val="21"/>
              </w:rPr>
              <w:t>C+D+E</w:t>
            </w:r>
            <w:r>
              <w:rPr>
                <w:rFonts w:ascii="宋体" w:eastAsia="宋体" w:hint="eastAsia"/>
                <w:sz w:val="21"/>
              </w:rPr>
              <w:t>）</w:t>
            </w:r>
          </w:p>
        </w:tc>
        <w:tc>
          <w:tcPr>
            <w:tcW w:w="3599" w:type="dxa"/>
            <w:gridSpan w:val="6"/>
            <w:tcBorders>
              <w:top w:val="single" w:sz="4" w:space="0" w:color="000000"/>
              <w:left w:val="single" w:sz="4" w:space="0" w:color="000000"/>
              <w:bottom w:val="single" w:sz="4" w:space="0" w:color="000000"/>
            </w:tcBorders>
          </w:tcPr>
          <w:p>
            <w:pPr>
              <w:pStyle w:val="TableParagraph"/>
              <w:spacing w:before="34"/>
              <w:ind w:right="95"/>
              <w:jc w:val="right"/>
              <w:rPr>
                <w:sz w:val="21"/>
              </w:rPr>
            </w:pPr>
            <w:r>
              <w:rPr>
                <w:sz w:val="21"/>
              </w:rPr>
              <w:t>1,285,881</w:t>
            </w:r>
          </w:p>
        </w:tc>
      </w:tr>
      <w:tr>
        <w:trPr>
          <w:trHeight w:val="626" w:hRule="atLeast"/>
        </w:trPr>
        <w:tc>
          <w:tcPr>
            <w:tcW w:w="2164" w:type="dxa"/>
            <w:gridSpan w:val="4"/>
            <w:tcBorders>
              <w:top w:val="single" w:sz="4" w:space="0" w:color="000000"/>
              <w:bottom w:val="single" w:sz="4" w:space="0" w:color="000000"/>
              <w:right w:val="single" w:sz="4" w:space="0" w:color="000000"/>
            </w:tcBorders>
            <w:shd w:val="clear" w:color="auto" w:fill="EDEBE0"/>
          </w:tcPr>
          <w:p>
            <w:pPr>
              <w:pStyle w:val="TableParagraph"/>
              <w:spacing w:before="25"/>
              <w:ind w:left="30"/>
              <w:rPr>
                <w:rFonts w:ascii="宋体" w:eastAsia="宋体" w:hint="eastAsia"/>
                <w:sz w:val="21"/>
              </w:rPr>
            </w:pPr>
            <w:r>
              <w:rPr>
                <w:rFonts w:ascii="宋体" w:eastAsia="宋体" w:hint="eastAsia"/>
                <w:sz w:val="21"/>
              </w:rPr>
              <w:t>未到期担保可能承担连</w:t>
            </w:r>
          </w:p>
          <w:p>
            <w:pPr>
              <w:pStyle w:val="TableParagraph"/>
              <w:spacing w:before="43"/>
              <w:ind w:left="30"/>
              <w:rPr>
                <w:rFonts w:ascii="宋体" w:eastAsia="宋体" w:hint="eastAsia"/>
                <w:sz w:val="21"/>
              </w:rPr>
            </w:pPr>
            <w:r>
              <w:rPr>
                <w:rFonts w:ascii="宋体" w:eastAsia="宋体" w:hint="eastAsia"/>
                <w:sz w:val="21"/>
              </w:rPr>
              <w:t>带清偿责任说明</w:t>
            </w:r>
          </w:p>
        </w:tc>
        <w:tc>
          <w:tcPr>
            <w:tcW w:w="6746" w:type="dxa"/>
            <w:gridSpan w:val="12"/>
            <w:tcBorders>
              <w:top w:val="single" w:sz="4" w:space="0" w:color="000000"/>
              <w:left w:val="single" w:sz="4" w:space="0" w:color="000000"/>
              <w:bottom w:val="single" w:sz="4" w:space="0" w:color="000000"/>
            </w:tcBorders>
          </w:tcPr>
          <w:p>
            <w:pPr>
              <w:pStyle w:val="TableParagraph"/>
              <w:spacing w:before="2"/>
              <w:rPr>
                <w:rFonts w:ascii="宋体"/>
                <w:sz w:val="14"/>
              </w:rPr>
            </w:pPr>
          </w:p>
          <w:p>
            <w:pPr>
              <w:pStyle w:val="TableParagraph"/>
              <w:ind w:left="37"/>
              <w:rPr>
                <w:rFonts w:ascii="宋体" w:eastAsia="宋体" w:hint="eastAsia"/>
                <w:sz w:val="21"/>
              </w:rPr>
            </w:pPr>
            <w:r>
              <w:rPr>
                <w:rFonts w:ascii="宋体" w:eastAsia="宋体" w:hint="eastAsia"/>
                <w:w w:val="100"/>
                <w:sz w:val="21"/>
              </w:rPr>
              <w:t>无</w:t>
            </w:r>
          </w:p>
        </w:tc>
      </w:tr>
      <w:tr>
        <w:trPr>
          <w:trHeight w:val="3117" w:hRule="atLeast"/>
        </w:trPr>
        <w:tc>
          <w:tcPr>
            <w:tcW w:w="2164" w:type="dxa"/>
            <w:gridSpan w:val="4"/>
            <w:tcBorders>
              <w:top w:val="single" w:sz="4" w:space="0" w:color="000000"/>
              <w:right w:val="single" w:sz="4" w:space="0" w:color="000000"/>
            </w:tcBorders>
            <w:shd w:val="clear" w:color="auto" w:fill="EDEBE0"/>
          </w:tcPr>
          <w:p>
            <w:pPr>
              <w:pStyle w:val="TableParagraph"/>
              <w:rPr>
                <w:rFonts w:ascii="宋体"/>
                <w:sz w:val="20"/>
              </w:rPr>
            </w:pPr>
          </w:p>
          <w:p>
            <w:pPr>
              <w:pStyle w:val="TableParagraph"/>
              <w:rPr>
                <w:rFonts w:ascii="宋体"/>
                <w:sz w:val="20"/>
              </w:rPr>
            </w:pPr>
          </w:p>
          <w:p>
            <w:pPr>
              <w:pStyle w:val="TableParagraph"/>
              <w:rPr>
                <w:rFonts w:ascii="宋体"/>
                <w:sz w:val="20"/>
              </w:rPr>
            </w:pPr>
          </w:p>
          <w:p>
            <w:pPr>
              <w:pStyle w:val="TableParagraph"/>
              <w:rPr>
                <w:rFonts w:ascii="宋体"/>
                <w:sz w:val="20"/>
              </w:rPr>
            </w:pPr>
          </w:p>
          <w:p>
            <w:pPr>
              <w:pStyle w:val="TableParagraph"/>
              <w:rPr>
                <w:rFonts w:ascii="宋体"/>
                <w:sz w:val="20"/>
              </w:rPr>
            </w:pPr>
          </w:p>
          <w:p>
            <w:pPr>
              <w:pStyle w:val="TableParagraph"/>
              <w:spacing w:before="145"/>
              <w:ind w:left="30"/>
              <w:rPr>
                <w:rFonts w:ascii="宋体" w:eastAsia="宋体" w:hint="eastAsia"/>
                <w:sz w:val="21"/>
              </w:rPr>
            </w:pPr>
            <w:r>
              <w:rPr>
                <w:rFonts w:ascii="宋体" w:eastAsia="宋体" w:hint="eastAsia"/>
                <w:sz w:val="21"/>
              </w:rPr>
              <w:t>担保情况说明</w:t>
            </w:r>
          </w:p>
        </w:tc>
        <w:tc>
          <w:tcPr>
            <w:tcW w:w="6746" w:type="dxa"/>
            <w:gridSpan w:val="12"/>
            <w:tcBorders>
              <w:top w:val="single" w:sz="4" w:space="0" w:color="000000"/>
              <w:left w:val="single" w:sz="4" w:space="0" w:color="000000"/>
            </w:tcBorders>
          </w:tcPr>
          <w:p>
            <w:pPr>
              <w:pStyle w:val="TableParagraph"/>
              <w:spacing w:before="22"/>
              <w:ind w:left="37"/>
              <w:rPr>
                <w:rFonts w:ascii="宋体" w:eastAsia="宋体" w:hint="eastAsia"/>
                <w:sz w:val="21"/>
              </w:rPr>
            </w:pPr>
            <w:r>
              <w:rPr>
                <w:rFonts w:ascii="宋体" w:eastAsia="宋体" w:hint="eastAsia"/>
                <w:sz w:val="21"/>
              </w:rPr>
              <w:t>前述担保前述担保总额共包括两部分：</w:t>
            </w:r>
          </w:p>
          <w:p>
            <w:pPr>
              <w:pStyle w:val="TableParagraph"/>
              <w:spacing w:line="278" w:lineRule="auto" w:before="43"/>
              <w:ind w:left="37" w:right="9"/>
              <w:jc w:val="both"/>
              <w:rPr>
                <w:rFonts w:ascii="宋体" w:eastAsia="宋体" w:hint="eastAsia"/>
                <w:sz w:val="21"/>
              </w:rPr>
            </w:pPr>
            <w:r>
              <w:rPr>
                <w:sz w:val="21"/>
              </w:rPr>
              <w:t>1</w:t>
            </w:r>
            <w:r>
              <w:rPr>
                <w:rFonts w:ascii="宋体" w:eastAsia="宋体" w:hint="eastAsia"/>
                <w:sz w:val="21"/>
              </w:rPr>
              <w:t>、</w:t>
            </w:r>
            <w:r>
              <w:rPr>
                <w:sz w:val="21"/>
              </w:rPr>
              <w:t>2016</w:t>
            </w:r>
            <w:r>
              <w:rPr>
                <w:rFonts w:ascii="宋体" w:eastAsia="宋体" w:hint="eastAsia"/>
                <w:sz w:val="21"/>
              </w:rPr>
              <w:t>年，公司以自有资金和并购贷款合计</w:t>
            </w:r>
            <w:r>
              <w:rPr>
                <w:sz w:val="21"/>
              </w:rPr>
              <w:t>56.1</w:t>
            </w:r>
            <w:r>
              <w:rPr>
                <w:rFonts w:ascii="宋体" w:eastAsia="宋体" w:hint="eastAsia"/>
                <w:sz w:val="21"/>
              </w:rPr>
              <w:t>亿美元收购</w:t>
            </w:r>
            <w:r>
              <w:rPr>
                <w:sz w:val="21"/>
              </w:rPr>
              <w:t>GEA</w:t>
            </w:r>
            <w:r>
              <w:rPr>
                <w:rFonts w:ascii="宋体" w:eastAsia="宋体" w:hint="eastAsia"/>
                <w:sz w:val="21"/>
              </w:rPr>
              <w:t>资产。</w:t>
            </w:r>
            <w:r>
              <w:rPr>
                <w:rFonts w:ascii="宋体" w:eastAsia="宋体" w:hint="eastAsia"/>
                <w:spacing w:val="29"/>
                <w:sz w:val="21"/>
              </w:rPr>
              <w:t>其中</w:t>
            </w:r>
            <w:r>
              <w:rPr>
                <w:sz w:val="21"/>
              </w:rPr>
              <w:t>33 </w:t>
            </w:r>
            <w:r>
              <w:rPr>
                <w:rFonts w:ascii="宋体" w:eastAsia="宋体" w:hint="eastAsia"/>
                <w:spacing w:val="28"/>
                <w:sz w:val="21"/>
              </w:rPr>
              <w:t>亿美元的并购贷款系由公司全资子公司</w:t>
            </w:r>
            <w:r>
              <w:rPr>
                <w:sz w:val="21"/>
              </w:rPr>
              <w:t>Haier US Appliance Solutions, Inc.</w:t>
            </w:r>
            <w:r>
              <w:rPr>
                <w:rFonts w:ascii="宋体" w:eastAsia="宋体" w:hint="eastAsia"/>
                <w:spacing w:val="-4"/>
                <w:sz w:val="21"/>
              </w:rPr>
              <w:t>向国家开发银行股份有限公司申请，该贷款由本公司及海尔</w:t>
            </w:r>
            <w:r>
              <w:rPr>
                <w:rFonts w:ascii="宋体" w:eastAsia="宋体" w:hint="eastAsia"/>
                <w:spacing w:val="-8"/>
                <w:sz w:val="21"/>
              </w:rPr>
              <w:t>集团公司提供全额担保。报告期末担保发生额为</w:t>
            </w:r>
            <w:r>
              <w:rPr>
                <w:sz w:val="21"/>
              </w:rPr>
              <w:t>93.22</w:t>
            </w:r>
            <w:r>
              <w:rPr>
                <w:rFonts w:ascii="宋体" w:eastAsia="宋体" w:hint="eastAsia"/>
                <w:spacing w:val="-9"/>
                <w:sz w:val="21"/>
              </w:rPr>
              <w:t>亿元人民币，余额为</w:t>
            </w:r>
            <w:r>
              <w:rPr>
                <w:spacing w:val="-9"/>
                <w:sz w:val="21"/>
              </w:rPr>
              <w:t>0</w:t>
            </w:r>
            <w:r>
              <w:rPr>
                <w:rFonts w:ascii="宋体" w:eastAsia="宋体" w:hint="eastAsia"/>
                <w:spacing w:val="-9"/>
                <w:sz w:val="21"/>
              </w:rPr>
              <w:t>（</w:t>
            </w:r>
            <w:r>
              <w:rPr>
                <w:rFonts w:ascii="宋体" w:eastAsia="宋体" w:hint="eastAsia"/>
                <w:spacing w:val="-3"/>
                <w:sz w:val="21"/>
              </w:rPr>
              <w:t>已偿还完毕</w:t>
            </w:r>
            <w:r>
              <w:rPr>
                <w:rFonts w:ascii="宋体" w:eastAsia="宋体" w:hint="eastAsia"/>
                <w:sz w:val="21"/>
              </w:rPr>
              <w:t>）</w:t>
            </w:r>
            <w:r>
              <w:rPr>
                <w:rFonts w:ascii="宋体" w:eastAsia="宋体" w:hint="eastAsia"/>
                <w:spacing w:val="-3"/>
                <w:sz w:val="21"/>
              </w:rPr>
              <w:t>。该担保事宜已经公司董事会、股东大会审议通过；</w:t>
            </w:r>
          </w:p>
          <w:p>
            <w:pPr>
              <w:pStyle w:val="TableParagraph"/>
              <w:spacing w:line="278" w:lineRule="auto"/>
              <w:ind w:left="37" w:right="9"/>
              <w:jc w:val="both"/>
              <w:rPr>
                <w:rFonts w:ascii="宋体" w:eastAsia="宋体" w:hint="eastAsia"/>
                <w:sz w:val="21"/>
              </w:rPr>
            </w:pPr>
            <w:r>
              <w:rPr>
                <w:spacing w:val="-1"/>
                <w:sz w:val="21"/>
              </w:rPr>
              <w:t>2</w:t>
            </w:r>
            <w:r>
              <w:rPr>
                <w:rFonts w:ascii="宋体" w:eastAsia="宋体" w:hint="eastAsia"/>
                <w:spacing w:val="-24"/>
                <w:sz w:val="21"/>
              </w:rPr>
              <w:t>、</w:t>
            </w:r>
            <w:r>
              <w:rPr>
                <w:spacing w:val="-1"/>
                <w:sz w:val="21"/>
              </w:rPr>
              <w:t>2020</w:t>
            </w:r>
            <w:r>
              <w:rPr>
                <w:rFonts w:ascii="宋体" w:eastAsia="宋体" w:hint="eastAsia"/>
                <w:sz w:val="21"/>
              </w:rPr>
              <w:t>年</w:t>
            </w:r>
            <w:r>
              <w:rPr>
                <w:spacing w:val="-3"/>
                <w:sz w:val="21"/>
              </w:rPr>
              <w:t>6</w:t>
            </w:r>
            <w:r>
              <w:rPr>
                <w:rFonts w:ascii="宋体" w:eastAsia="宋体" w:hint="eastAsia"/>
                <w:spacing w:val="-9"/>
                <w:sz w:val="21"/>
              </w:rPr>
              <w:t>月，公司</w:t>
            </w:r>
            <w:r>
              <w:rPr>
                <w:sz w:val="21"/>
              </w:rPr>
              <w:t>2019</w:t>
            </w:r>
            <w:r>
              <w:rPr>
                <w:rFonts w:ascii="宋体" w:eastAsia="宋体" w:hint="eastAsia"/>
                <w:spacing w:val="-3"/>
                <w:sz w:val="21"/>
              </w:rPr>
              <w:t>年年度股东大会审议通过了关于预计</w:t>
            </w:r>
            <w:r>
              <w:rPr>
                <w:sz w:val="21"/>
              </w:rPr>
              <w:t>2020</w:t>
            </w:r>
            <w:r>
              <w:rPr>
                <w:rFonts w:ascii="宋体" w:eastAsia="宋体" w:hint="eastAsia"/>
                <w:spacing w:val="-2"/>
                <w:sz w:val="21"/>
              </w:rPr>
              <w:t>年度为</w:t>
            </w:r>
            <w:r>
              <w:rPr>
                <w:rFonts w:ascii="宋体" w:eastAsia="宋体" w:hint="eastAsia"/>
                <w:spacing w:val="-7"/>
                <w:sz w:val="21"/>
              </w:rPr>
              <w:t>子公司提供担保情况的议案。按照该决议，公司对部分子公司向金融机构</w:t>
            </w:r>
            <w:r>
              <w:rPr>
                <w:rFonts w:ascii="宋体" w:eastAsia="宋体" w:hint="eastAsia"/>
                <w:spacing w:val="-9"/>
                <w:sz w:val="21"/>
              </w:rPr>
              <w:t>申请综合授信等提供了担保，报告期内，公司对子公司累计担保发生额约</w:t>
            </w:r>
          </w:p>
          <w:p>
            <w:pPr>
              <w:pStyle w:val="TableParagraph"/>
              <w:spacing w:line="266" w:lineRule="exact"/>
              <w:ind w:left="37"/>
              <w:rPr>
                <w:rFonts w:ascii="宋体" w:eastAsia="宋体" w:hint="eastAsia"/>
                <w:sz w:val="21"/>
              </w:rPr>
            </w:pPr>
            <w:r>
              <w:rPr>
                <w:sz w:val="21"/>
              </w:rPr>
              <w:t>352.97</w:t>
            </w:r>
            <w:r>
              <w:rPr>
                <w:rFonts w:ascii="宋体" w:eastAsia="宋体" w:hint="eastAsia"/>
                <w:sz w:val="21"/>
              </w:rPr>
              <w:t>亿元，截止报告期末余额为人民币</w:t>
            </w:r>
            <w:r>
              <w:rPr>
                <w:sz w:val="21"/>
              </w:rPr>
              <w:t>294.32</w:t>
            </w:r>
            <w:r>
              <w:rPr>
                <w:rFonts w:ascii="宋体" w:eastAsia="宋体" w:hint="eastAsia"/>
                <w:sz w:val="21"/>
              </w:rPr>
              <w:t>亿元。</w:t>
            </w:r>
          </w:p>
        </w:tc>
      </w:tr>
    </w:tbl>
    <w:p>
      <w:pPr>
        <w:pStyle w:val="BodyText"/>
        <w:spacing w:before="5"/>
        <w:rPr>
          <w:sz w:val="25"/>
        </w:rPr>
      </w:pPr>
    </w:p>
    <w:p>
      <w:pPr>
        <w:pStyle w:val="Heading4"/>
        <w:tabs>
          <w:tab w:pos="1077" w:val="left" w:leader="none"/>
        </w:tabs>
        <w:spacing w:line="379" w:lineRule="exact" w:before="3"/>
        <w:ind w:left="238"/>
      </w:pPr>
      <w:r>
        <w:rPr>
          <w:w w:val="125"/>
        </w:rPr>
        <w:t>(</w:t>
      </w:r>
      <w:r>
        <w:rPr>
          <w:w w:val="105"/>
        </w:rPr>
        <w:t>三</w:t>
      </w:r>
      <w:r>
        <w:rPr>
          <w:w w:val="125"/>
        </w:rPr>
        <w:t>)</w:t>
        <w:tab/>
      </w:r>
      <w:r>
        <w:rPr>
          <w:w w:val="105"/>
        </w:rPr>
        <w:t>委托他人进行现金</w:t>
      </w:r>
      <w:r>
        <w:rPr>
          <w:spacing w:val="-3"/>
          <w:w w:val="105"/>
        </w:rPr>
        <w:t>资</w:t>
      </w:r>
      <w:r>
        <w:rPr>
          <w:w w:val="105"/>
        </w:rPr>
        <w:t>产</w:t>
      </w:r>
      <w:r>
        <w:rPr>
          <w:spacing w:val="-3"/>
          <w:w w:val="105"/>
        </w:rPr>
        <w:t>管</w:t>
      </w:r>
      <w:r>
        <w:rPr>
          <w:w w:val="105"/>
        </w:rPr>
        <w:t>理的情况</w:t>
      </w:r>
    </w:p>
    <w:p>
      <w:pPr>
        <w:pStyle w:val="Heading4"/>
        <w:numPr>
          <w:ilvl w:val="0"/>
          <w:numId w:val="15"/>
        </w:numPr>
        <w:tabs>
          <w:tab w:pos="662" w:val="left" w:leader="none"/>
          <w:tab w:pos="663" w:val="left" w:leader="none"/>
        </w:tabs>
        <w:spacing w:line="372" w:lineRule="exact" w:before="0" w:after="0"/>
        <w:ind w:left="662" w:right="0" w:hanging="425"/>
        <w:jc w:val="left"/>
      </w:pPr>
      <w:r>
        <w:rPr/>
        <w:t>委托理财情况</w:t>
      </w:r>
    </w:p>
    <w:p>
      <w:pPr>
        <w:pStyle w:val="Heading4"/>
        <w:numPr>
          <w:ilvl w:val="0"/>
          <w:numId w:val="16"/>
        </w:numPr>
        <w:tabs>
          <w:tab w:pos="598" w:val="left" w:leader="none"/>
        </w:tabs>
        <w:spacing w:line="379" w:lineRule="exact" w:before="0" w:after="0"/>
        <w:ind w:left="598" w:right="0" w:hanging="360"/>
        <w:jc w:val="left"/>
      </w:pPr>
      <w:r>
        <w:rPr/>
        <w:t>委托理财总体情况</w:t>
      </w:r>
    </w:p>
    <w:p>
      <w:pPr>
        <w:pStyle w:val="BodyText"/>
        <w:tabs>
          <w:tab w:pos="1505" w:val="left" w:leader="none"/>
        </w:tabs>
        <w:spacing w:before="55"/>
        <w:ind w:left="662"/>
      </w:pPr>
      <w:r>
        <w:rPr/>
        <w:t>√适用</w:t>
        <w:tab/>
      </w:r>
      <w:r>
        <w:rPr>
          <w:spacing w:val="-3"/>
        </w:rPr>
        <w:t>□</w:t>
      </w:r>
      <w:r>
        <w:rPr/>
        <w:t>不</w:t>
      </w:r>
      <w:r>
        <w:rPr>
          <w:spacing w:val="-3"/>
        </w:rPr>
        <w:t>适</w:t>
      </w:r>
      <w:r>
        <w:rPr/>
        <w:t>用</w:t>
      </w:r>
    </w:p>
    <w:p>
      <w:pPr>
        <w:pStyle w:val="BodyText"/>
        <w:tabs>
          <w:tab w:pos="7811" w:val="left" w:leader="none"/>
        </w:tabs>
        <w:spacing w:before="43" w:after="20"/>
        <w:ind w:left="6759"/>
      </w:pPr>
      <w:r>
        <w:rPr/>
        <w:t>单位：元</w:t>
        <w:tab/>
        <w:t>币</w:t>
      </w:r>
      <w:r>
        <w:rPr>
          <w:spacing w:val="-3"/>
        </w:rPr>
        <w:t>种</w:t>
      </w:r>
      <w:r>
        <w:rPr/>
        <w:t>：</w:t>
      </w:r>
      <w:r>
        <w:rPr>
          <w:spacing w:val="-3"/>
        </w:rPr>
        <w:t>人</w:t>
      </w:r>
      <w:r>
        <w:rPr/>
        <w:t>民币</w:t>
      </w:r>
    </w:p>
    <w:tbl>
      <w:tblPr>
        <w:tblW w:w="0" w:type="auto"/>
        <w:jc w:val="left"/>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660"/>
        <w:gridCol w:w="1421"/>
        <w:gridCol w:w="1700"/>
        <w:gridCol w:w="1563"/>
        <w:gridCol w:w="1706"/>
      </w:tblGrid>
      <w:tr>
        <w:trPr>
          <w:trHeight w:val="313" w:hRule="atLeast"/>
        </w:trPr>
        <w:tc>
          <w:tcPr>
            <w:tcW w:w="2660" w:type="dxa"/>
            <w:tcBorders>
              <w:bottom w:val="single" w:sz="4" w:space="0" w:color="000000"/>
              <w:right w:val="single" w:sz="4" w:space="0" w:color="000000"/>
            </w:tcBorders>
            <w:shd w:val="clear" w:color="auto" w:fill="EDEBE0"/>
          </w:tcPr>
          <w:p>
            <w:pPr>
              <w:pStyle w:val="TableParagraph"/>
              <w:spacing w:before="24"/>
              <w:ind w:left="1238" w:right="942"/>
              <w:jc w:val="center"/>
              <w:rPr>
                <w:rFonts w:ascii="宋体" w:eastAsia="宋体" w:hint="eastAsia"/>
                <w:sz w:val="21"/>
              </w:rPr>
            </w:pPr>
            <w:r>
              <w:rPr>
                <w:rFonts w:ascii="宋体" w:eastAsia="宋体" w:hint="eastAsia"/>
                <w:sz w:val="21"/>
              </w:rPr>
              <w:t>类型</w:t>
            </w:r>
          </w:p>
        </w:tc>
        <w:tc>
          <w:tcPr>
            <w:tcW w:w="1421" w:type="dxa"/>
            <w:tcBorders>
              <w:left w:val="single" w:sz="4" w:space="0" w:color="000000"/>
              <w:bottom w:val="single" w:sz="4" w:space="0" w:color="000000"/>
              <w:right w:val="single" w:sz="4" w:space="0" w:color="000000"/>
            </w:tcBorders>
            <w:shd w:val="clear" w:color="auto" w:fill="EDEBE0"/>
          </w:tcPr>
          <w:p>
            <w:pPr>
              <w:pStyle w:val="TableParagraph"/>
              <w:spacing w:before="24"/>
              <w:ind w:left="297"/>
              <w:rPr>
                <w:rFonts w:ascii="宋体" w:eastAsia="宋体" w:hint="eastAsia"/>
                <w:sz w:val="21"/>
              </w:rPr>
            </w:pPr>
            <w:r>
              <w:rPr>
                <w:rFonts w:ascii="宋体" w:eastAsia="宋体" w:hint="eastAsia"/>
                <w:sz w:val="21"/>
              </w:rPr>
              <w:t>资金来源</w:t>
            </w:r>
          </w:p>
        </w:tc>
        <w:tc>
          <w:tcPr>
            <w:tcW w:w="1700" w:type="dxa"/>
            <w:tcBorders>
              <w:left w:val="single" w:sz="4" w:space="0" w:color="000000"/>
              <w:bottom w:val="single" w:sz="4" w:space="0" w:color="000000"/>
              <w:right w:val="single" w:sz="4" w:space="0" w:color="000000"/>
            </w:tcBorders>
            <w:shd w:val="clear" w:color="auto" w:fill="EDEBE0"/>
          </w:tcPr>
          <w:p>
            <w:pPr>
              <w:pStyle w:val="TableParagraph"/>
              <w:spacing w:before="24"/>
              <w:ind w:left="542"/>
              <w:rPr>
                <w:rFonts w:ascii="宋体" w:eastAsia="宋体" w:hint="eastAsia"/>
                <w:sz w:val="21"/>
              </w:rPr>
            </w:pPr>
            <w:r>
              <w:rPr>
                <w:rFonts w:ascii="宋体" w:eastAsia="宋体" w:hint="eastAsia"/>
                <w:sz w:val="21"/>
              </w:rPr>
              <w:t>发生额</w:t>
            </w:r>
          </w:p>
        </w:tc>
        <w:tc>
          <w:tcPr>
            <w:tcW w:w="1563" w:type="dxa"/>
            <w:tcBorders>
              <w:left w:val="single" w:sz="4" w:space="0" w:color="000000"/>
              <w:bottom w:val="single" w:sz="4" w:space="0" w:color="000000"/>
              <w:right w:val="single" w:sz="4" w:space="0" w:color="000000"/>
            </w:tcBorders>
            <w:shd w:val="clear" w:color="auto" w:fill="EDEBE0"/>
          </w:tcPr>
          <w:p>
            <w:pPr>
              <w:pStyle w:val="TableParagraph"/>
              <w:spacing w:before="24"/>
              <w:ind w:left="262"/>
              <w:rPr>
                <w:rFonts w:ascii="宋体" w:eastAsia="宋体" w:hint="eastAsia"/>
                <w:sz w:val="21"/>
              </w:rPr>
            </w:pPr>
            <w:r>
              <w:rPr>
                <w:rFonts w:ascii="宋体" w:eastAsia="宋体" w:hint="eastAsia"/>
                <w:sz w:val="21"/>
              </w:rPr>
              <w:t>未到期余额</w:t>
            </w:r>
          </w:p>
        </w:tc>
        <w:tc>
          <w:tcPr>
            <w:tcW w:w="1706" w:type="dxa"/>
            <w:tcBorders>
              <w:left w:val="single" w:sz="4" w:space="0" w:color="000000"/>
              <w:bottom w:val="single" w:sz="4" w:space="0" w:color="000000"/>
            </w:tcBorders>
            <w:shd w:val="clear" w:color="auto" w:fill="EDEBE0"/>
          </w:tcPr>
          <w:p>
            <w:pPr>
              <w:pStyle w:val="TableParagraph"/>
              <w:spacing w:before="24"/>
              <w:ind w:right="84"/>
              <w:jc w:val="right"/>
              <w:rPr>
                <w:rFonts w:ascii="宋体" w:eastAsia="宋体" w:hint="eastAsia"/>
                <w:sz w:val="21"/>
              </w:rPr>
            </w:pPr>
            <w:r>
              <w:rPr>
                <w:rFonts w:ascii="宋体" w:eastAsia="宋体" w:hint="eastAsia"/>
                <w:sz w:val="21"/>
              </w:rPr>
              <w:t>逾期未收回金额</w:t>
            </w:r>
          </w:p>
        </w:tc>
      </w:tr>
      <w:tr>
        <w:trPr>
          <w:trHeight w:val="308" w:hRule="atLeast"/>
        </w:trPr>
        <w:tc>
          <w:tcPr>
            <w:tcW w:w="2660" w:type="dxa"/>
            <w:tcBorders>
              <w:top w:val="single" w:sz="4" w:space="0" w:color="000000"/>
              <w:right w:val="single" w:sz="4" w:space="0" w:color="000000"/>
            </w:tcBorders>
          </w:tcPr>
          <w:p>
            <w:pPr>
              <w:pStyle w:val="TableParagraph"/>
              <w:spacing w:line="266" w:lineRule="exact" w:before="22"/>
              <w:ind w:left="107"/>
              <w:rPr>
                <w:rFonts w:ascii="宋体" w:eastAsia="宋体" w:hint="eastAsia"/>
                <w:sz w:val="21"/>
              </w:rPr>
            </w:pPr>
            <w:r>
              <w:rPr>
                <w:rFonts w:ascii="宋体" w:eastAsia="宋体" w:hint="eastAsia"/>
                <w:sz w:val="21"/>
              </w:rPr>
              <w:t>保本理财及结构性存款</w:t>
            </w:r>
          </w:p>
        </w:tc>
        <w:tc>
          <w:tcPr>
            <w:tcW w:w="1421" w:type="dxa"/>
            <w:tcBorders>
              <w:top w:val="single" w:sz="4" w:space="0" w:color="000000"/>
              <w:left w:val="single" w:sz="4" w:space="0" w:color="000000"/>
              <w:right w:val="single" w:sz="4" w:space="0" w:color="000000"/>
            </w:tcBorders>
          </w:tcPr>
          <w:p>
            <w:pPr>
              <w:pStyle w:val="TableParagraph"/>
              <w:spacing w:line="266" w:lineRule="exact" w:before="22"/>
              <w:ind w:left="117"/>
              <w:rPr>
                <w:rFonts w:ascii="宋体" w:eastAsia="宋体" w:hint="eastAsia"/>
                <w:sz w:val="21"/>
              </w:rPr>
            </w:pPr>
            <w:r>
              <w:rPr>
                <w:rFonts w:ascii="宋体" w:eastAsia="宋体" w:hint="eastAsia"/>
                <w:sz w:val="21"/>
              </w:rPr>
              <w:t>自有资金</w:t>
            </w:r>
          </w:p>
        </w:tc>
        <w:tc>
          <w:tcPr>
            <w:tcW w:w="1700" w:type="dxa"/>
            <w:tcBorders>
              <w:top w:val="single" w:sz="4" w:space="0" w:color="000000"/>
              <w:left w:val="single" w:sz="4" w:space="0" w:color="000000"/>
              <w:right w:val="single" w:sz="4" w:space="0" w:color="000000"/>
            </w:tcBorders>
          </w:tcPr>
          <w:p>
            <w:pPr>
              <w:pStyle w:val="TableParagraph"/>
              <w:spacing w:before="34"/>
              <w:ind w:left="392"/>
              <w:rPr>
                <w:sz w:val="21"/>
              </w:rPr>
            </w:pPr>
            <w:r>
              <w:rPr>
                <w:sz w:val="21"/>
              </w:rPr>
              <w:t>2,322,018,078</w:t>
            </w:r>
          </w:p>
        </w:tc>
        <w:tc>
          <w:tcPr>
            <w:tcW w:w="1563" w:type="dxa"/>
            <w:tcBorders>
              <w:top w:val="single" w:sz="4" w:space="0" w:color="000000"/>
              <w:left w:val="single" w:sz="4" w:space="0" w:color="000000"/>
              <w:right w:val="single" w:sz="4" w:space="0" w:color="000000"/>
            </w:tcBorders>
          </w:tcPr>
          <w:p>
            <w:pPr>
              <w:pStyle w:val="TableParagraph"/>
              <w:spacing w:before="34"/>
              <w:ind w:left="255"/>
              <w:rPr>
                <w:sz w:val="21"/>
              </w:rPr>
            </w:pPr>
            <w:r>
              <w:rPr>
                <w:sz w:val="21"/>
              </w:rPr>
              <w:t>2,322,018,078</w:t>
            </w:r>
          </w:p>
        </w:tc>
        <w:tc>
          <w:tcPr>
            <w:tcW w:w="1706" w:type="dxa"/>
            <w:tcBorders>
              <w:top w:val="single" w:sz="4" w:space="0" w:color="000000"/>
              <w:left w:val="single" w:sz="4" w:space="0" w:color="000000"/>
            </w:tcBorders>
          </w:tcPr>
          <w:p>
            <w:pPr>
              <w:pStyle w:val="TableParagraph"/>
              <w:spacing w:before="34"/>
              <w:ind w:right="77"/>
              <w:jc w:val="right"/>
              <w:rPr>
                <w:sz w:val="21"/>
              </w:rPr>
            </w:pPr>
            <w:r>
              <w:rPr>
                <w:w w:val="100"/>
                <w:sz w:val="21"/>
              </w:rPr>
              <w:t>0</w:t>
            </w:r>
          </w:p>
        </w:tc>
      </w:tr>
    </w:tbl>
    <w:p>
      <w:pPr>
        <w:spacing w:after="0"/>
        <w:jc w:val="right"/>
        <w:rPr>
          <w:sz w:val="21"/>
        </w:rPr>
        <w:sectPr>
          <w:pgSz w:w="11910" w:h="16840"/>
          <w:pgMar w:header="874" w:footer="1208" w:top="1480" w:bottom="1400" w:left="1560" w:right="1020"/>
        </w:sectPr>
      </w:pPr>
    </w:p>
    <w:p>
      <w:pPr>
        <w:pStyle w:val="BodyText"/>
        <w:spacing w:before="7"/>
        <w:rPr>
          <w:sz w:val="23"/>
        </w:rPr>
      </w:pPr>
    </w:p>
    <w:p>
      <w:pPr>
        <w:pStyle w:val="Heading4"/>
        <w:spacing w:line="384" w:lineRule="exact" w:before="3"/>
        <w:ind w:left="238"/>
      </w:pPr>
      <w:r>
        <w:rPr/>
        <w:t>其他情况</w:t>
      </w:r>
    </w:p>
    <w:p>
      <w:pPr>
        <w:pStyle w:val="BodyText"/>
        <w:tabs>
          <w:tab w:pos="1505" w:val="left" w:leader="none"/>
        </w:tabs>
        <w:spacing w:line="267" w:lineRule="exact"/>
        <w:ind w:left="662"/>
      </w:pPr>
      <w:r>
        <w:rPr/>
        <w:t>√适用</w:t>
        <w:tab/>
      </w:r>
      <w:r>
        <w:rPr>
          <w:spacing w:val="-3"/>
        </w:rPr>
        <w:t>□</w:t>
      </w:r>
      <w:r>
        <w:rPr/>
        <w:t>不</w:t>
      </w:r>
      <w:r>
        <w:rPr>
          <w:spacing w:val="-3"/>
        </w:rPr>
        <w:t>适</w:t>
      </w:r>
      <w:r>
        <w:rPr/>
        <w:t>用</w:t>
      </w:r>
    </w:p>
    <w:p>
      <w:pPr>
        <w:spacing w:before="50"/>
        <w:ind w:left="0" w:right="298" w:firstLine="0"/>
        <w:jc w:val="right"/>
        <w:rPr>
          <w:rFonts w:ascii="Microsoft JhengHei" w:hAnsi="Microsoft JhengHei" w:eastAsia="Microsoft JhengHei" w:hint="eastAsia"/>
          <w:b/>
          <w:sz w:val="21"/>
        </w:rPr>
      </w:pPr>
      <w:r>
        <w:rPr>
          <w:spacing w:val="-5"/>
          <w:sz w:val="21"/>
        </w:rPr>
        <w:t>截至报告期末，公司委托理财余额 </w:t>
      </w:r>
      <w:r>
        <w:rPr>
          <w:rFonts w:ascii="Times New Roman" w:hAnsi="Times New Roman" w:eastAsia="Times New Roman"/>
          <w:sz w:val="21"/>
        </w:rPr>
        <w:t>23.22</w:t>
      </w:r>
      <w:r>
        <w:rPr>
          <w:rFonts w:ascii="Times New Roman" w:hAnsi="Times New Roman" w:eastAsia="Times New Roman"/>
          <w:spacing w:val="19"/>
          <w:sz w:val="21"/>
        </w:rPr>
        <w:t> </w:t>
      </w:r>
      <w:r>
        <w:rPr>
          <w:spacing w:val="-3"/>
          <w:sz w:val="21"/>
        </w:rPr>
        <w:t>亿元，包括两部分：①</w:t>
      </w:r>
      <w:r>
        <w:rPr>
          <w:rFonts w:ascii="Microsoft JhengHei" w:hAnsi="Microsoft JhengHei" w:eastAsia="Microsoft JhengHei" w:hint="eastAsia"/>
          <w:b/>
          <w:spacing w:val="-1"/>
          <w:sz w:val="21"/>
        </w:rPr>
        <w:t>暂时闲置的募集资金理财：</w:t>
      </w:r>
    </w:p>
    <w:p>
      <w:pPr>
        <w:pStyle w:val="BodyText"/>
        <w:spacing w:before="151"/>
        <w:ind w:right="310"/>
        <w:jc w:val="right"/>
      </w:pPr>
      <w:r>
        <w:rPr>
          <w:rFonts w:ascii="Times New Roman" w:eastAsia="Times New Roman"/>
        </w:rPr>
        <w:t>2018</w:t>
      </w:r>
      <w:r>
        <w:rPr>
          <w:rFonts w:ascii="Times New Roman" w:eastAsia="Times New Roman"/>
          <w:spacing w:val="13"/>
        </w:rPr>
        <w:t> </w:t>
      </w:r>
      <w:r>
        <w:rPr>
          <w:spacing w:val="-18"/>
        </w:rPr>
        <w:t>年 </w:t>
      </w:r>
      <w:r>
        <w:rPr>
          <w:rFonts w:ascii="Times New Roman" w:eastAsia="Times New Roman"/>
        </w:rPr>
        <w:t>12</w:t>
      </w:r>
      <w:r>
        <w:rPr>
          <w:rFonts w:ascii="Times New Roman" w:eastAsia="Times New Roman"/>
          <w:spacing w:val="13"/>
        </w:rPr>
        <w:t> </w:t>
      </w:r>
      <w:r>
        <w:rPr>
          <w:spacing w:val="-3"/>
        </w:rPr>
        <w:t>月底，公司发行可转换公司债券募集资金到位。为提高暂时闲置资金的收益率，经董</w:t>
      </w:r>
    </w:p>
    <w:p>
      <w:pPr>
        <w:pStyle w:val="BodyText"/>
        <w:spacing w:before="7"/>
        <w:rPr>
          <w:sz w:val="15"/>
        </w:rPr>
      </w:pPr>
    </w:p>
    <w:p>
      <w:pPr>
        <w:pStyle w:val="BodyText"/>
        <w:ind w:left="238"/>
        <w:jc w:val="both"/>
      </w:pPr>
      <w:r>
        <w:rPr>
          <w:spacing w:val="-14"/>
        </w:rPr>
        <w:t>事会批准后，公司拟开展金额不高于 </w:t>
      </w:r>
      <w:r>
        <w:rPr>
          <w:rFonts w:ascii="Times New Roman" w:eastAsia="Times New Roman"/>
        </w:rPr>
        <w:t>7</w:t>
      </w:r>
      <w:r>
        <w:rPr>
          <w:rFonts w:ascii="Times New Roman" w:eastAsia="Times New Roman"/>
          <w:spacing w:val="9"/>
        </w:rPr>
        <w:t> </w:t>
      </w:r>
      <w:r>
        <w:rPr>
          <w:spacing w:val="-18"/>
        </w:rPr>
        <w:t>亿元的现金管理，截止报告期末，委托理财余额 </w:t>
      </w:r>
      <w:r>
        <w:rPr>
          <w:rFonts w:ascii="Times New Roman" w:eastAsia="Times New Roman"/>
        </w:rPr>
        <w:t>4.64</w:t>
      </w:r>
      <w:r>
        <w:rPr>
          <w:rFonts w:ascii="Times New Roman" w:eastAsia="Times New Roman"/>
          <w:spacing w:val="12"/>
        </w:rPr>
        <w:t> </w:t>
      </w:r>
      <w:r>
        <w:rPr>
          <w:spacing w:val="-2"/>
        </w:rPr>
        <w:t>亿元；</w:t>
      </w:r>
    </w:p>
    <w:p>
      <w:pPr>
        <w:pStyle w:val="BodyText"/>
        <w:spacing w:line="468" w:lineRule="exact" w:before="34"/>
        <w:ind w:left="238" w:right="250"/>
        <w:jc w:val="both"/>
      </w:pPr>
      <w:r>
        <w:rPr>
          <w:spacing w:val="-3"/>
        </w:rPr>
        <w:t>②</w:t>
      </w:r>
      <w:r>
        <w:rPr>
          <w:rFonts w:ascii="Microsoft JhengHei" w:hAnsi="Microsoft JhengHei" w:eastAsia="Microsoft JhengHei" w:hint="eastAsia"/>
          <w:b/>
          <w:spacing w:val="-1"/>
        </w:rPr>
        <w:t>公司部分子公司用暂时闲置资金理财：</w:t>
      </w:r>
      <w:r>
        <w:rPr>
          <w:spacing w:val="-3"/>
        </w:rPr>
        <w:t>在确保主营业务日常运营所需资金充裕的前提下，为提高暂时闲置资金的收益率，提高股东回报，公司部分子公司按照总经理办公会权限，并以保障资金安全为前提，从大型商业银行等购买了部分短期保本型理财及结构性存款，以提高闲置资金的</w:t>
      </w:r>
    </w:p>
    <w:p>
      <w:pPr>
        <w:pStyle w:val="BodyText"/>
        <w:spacing w:before="165"/>
        <w:ind w:left="238"/>
        <w:jc w:val="both"/>
      </w:pPr>
      <w:r>
        <w:rPr/>
        <w:t>运用效率。截止报告期末，该部分委托理财余额 </w:t>
      </w:r>
      <w:r>
        <w:rPr>
          <w:rFonts w:ascii="Times New Roman" w:eastAsia="Times New Roman"/>
        </w:rPr>
        <w:t>18.59 </w:t>
      </w:r>
      <w:r>
        <w:rPr/>
        <w:t>亿元。</w:t>
      </w:r>
    </w:p>
    <w:p>
      <w:pPr>
        <w:spacing w:after="0"/>
        <w:jc w:val="both"/>
        <w:sectPr>
          <w:headerReference w:type="default" r:id="rId45"/>
          <w:footerReference w:type="default" r:id="rId46"/>
          <w:pgSz w:w="11910" w:h="16840"/>
          <w:pgMar w:header="874" w:footer="1214" w:top="1480" w:bottom="1400" w:left="1560" w:right="1020"/>
        </w:sectPr>
      </w:pPr>
    </w:p>
    <w:p>
      <w:pPr>
        <w:pStyle w:val="BodyText"/>
        <w:rPr>
          <w:sz w:val="20"/>
        </w:rPr>
      </w:pPr>
    </w:p>
    <w:p>
      <w:pPr>
        <w:pStyle w:val="BodyText"/>
        <w:rPr>
          <w:sz w:val="20"/>
        </w:rPr>
      </w:pPr>
    </w:p>
    <w:p>
      <w:pPr>
        <w:pStyle w:val="BodyText"/>
        <w:rPr>
          <w:sz w:val="20"/>
        </w:rPr>
      </w:pPr>
    </w:p>
    <w:p>
      <w:pPr>
        <w:pStyle w:val="Heading4"/>
        <w:numPr>
          <w:ilvl w:val="0"/>
          <w:numId w:val="16"/>
        </w:numPr>
        <w:tabs>
          <w:tab w:pos="1341" w:val="left" w:leader="none"/>
        </w:tabs>
        <w:spacing w:line="240" w:lineRule="auto" w:before="174" w:after="0"/>
        <w:ind w:left="1340" w:right="0" w:hanging="361"/>
        <w:jc w:val="left"/>
      </w:pPr>
      <w:r>
        <w:rPr/>
        <w:t>单项委托理财情况</w:t>
      </w:r>
    </w:p>
    <w:p>
      <w:pPr>
        <w:pStyle w:val="BodyText"/>
        <w:tabs>
          <w:tab w:pos="1822" w:val="left" w:leader="none"/>
        </w:tabs>
        <w:spacing w:before="55"/>
        <w:ind w:left="980"/>
      </w:pPr>
      <w:r>
        <w:rPr/>
        <w:t>√适用</w:t>
        <w:tab/>
      </w:r>
      <w:r>
        <w:rPr>
          <w:spacing w:val="-3"/>
        </w:rPr>
        <w:t>□</w:t>
      </w:r>
      <w:r>
        <w:rPr/>
        <w:t>不</w:t>
      </w:r>
      <w:r>
        <w:rPr>
          <w:spacing w:val="-3"/>
        </w:rPr>
        <w:t>适</w:t>
      </w:r>
      <w:r>
        <w:rPr/>
        <w:t>用</w:t>
      </w:r>
    </w:p>
    <w:p>
      <w:pPr>
        <w:pStyle w:val="BodyText"/>
        <w:tabs>
          <w:tab w:pos="13581" w:val="left" w:leader="none"/>
        </w:tabs>
        <w:spacing w:before="43" w:after="20"/>
        <w:ind w:left="12530"/>
      </w:pPr>
      <w:r>
        <w:rPr/>
        <w:t>单位</w:t>
      </w:r>
      <w:r>
        <w:rPr>
          <w:spacing w:val="-3"/>
        </w:rPr>
        <w:t>：</w:t>
      </w:r>
      <w:r>
        <w:rPr/>
        <w:t>元</w:t>
        <w:tab/>
        <w:t>币</w:t>
      </w:r>
      <w:r>
        <w:rPr>
          <w:spacing w:val="-3"/>
        </w:rPr>
        <w:t>种</w:t>
      </w:r>
      <w:r>
        <w:rPr/>
        <w:t>：</w:t>
      </w:r>
      <w:r>
        <w:rPr>
          <w:spacing w:val="-3"/>
        </w:rPr>
        <w:t>人</w:t>
      </w:r>
      <w:r>
        <w:rPr/>
        <w:t>民币</w:t>
      </w: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736"/>
        <w:gridCol w:w="1248"/>
        <w:gridCol w:w="1579"/>
        <w:gridCol w:w="1532"/>
        <w:gridCol w:w="1414"/>
        <w:gridCol w:w="1009"/>
        <w:gridCol w:w="567"/>
        <w:gridCol w:w="567"/>
        <w:gridCol w:w="1280"/>
        <w:gridCol w:w="1139"/>
        <w:gridCol w:w="574"/>
        <w:gridCol w:w="689"/>
        <w:gridCol w:w="699"/>
        <w:gridCol w:w="718"/>
        <w:gridCol w:w="711"/>
      </w:tblGrid>
      <w:tr>
        <w:trPr>
          <w:trHeight w:val="2183" w:hRule="atLeast"/>
        </w:trPr>
        <w:tc>
          <w:tcPr>
            <w:tcW w:w="1736" w:type="dxa"/>
            <w:tcBorders>
              <w:bottom w:val="single" w:sz="4" w:space="0" w:color="000000"/>
              <w:right w:val="single" w:sz="4" w:space="0" w:color="000000"/>
            </w:tcBorders>
            <w:shd w:val="clear" w:color="auto" w:fill="EDEBE0"/>
          </w:tcPr>
          <w:p>
            <w:pPr>
              <w:pStyle w:val="TableParagraph"/>
              <w:rPr>
                <w:rFonts w:ascii="宋体"/>
                <w:sz w:val="20"/>
              </w:rPr>
            </w:pPr>
          </w:p>
          <w:p>
            <w:pPr>
              <w:pStyle w:val="TableParagraph"/>
              <w:rPr>
                <w:rFonts w:ascii="宋体"/>
                <w:sz w:val="20"/>
              </w:rPr>
            </w:pPr>
          </w:p>
          <w:p>
            <w:pPr>
              <w:pStyle w:val="TableParagraph"/>
              <w:rPr>
                <w:rFonts w:ascii="宋体"/>
                <w:sz w:val="20"/>
              </w:rPr>
            </w:pPr>
          </w:p>
          <w:p>
            <w:pPr>
              <w:pStyle w:val="TableParagraph"/>
              <w:spacing w:before="10"/>
              <w:rPr>
                <w:rFonts w:ascii="宋体"/>
                <w:sz w:val="14"/>
              </w:rPr>
            </w:pPr>
          </w:p>
          <w:p>
            <w:pPr>
              <w:pStyle w:val="TableParagraph"/>
              <w:ind w:left="113" w:right="93"/>
              <w:jc w:val="center"/>
              <w:rPr>
                <w:rFonts w:ascii="宋体" w:eastAsia="宋体" w:hint="eastAsia"/>
                <w:sz w:val="21"/>
              </w:rPr>
            </w:pPr>
            <w:r>
              <w:rPr>
                <w:rFonts w:ascii="宋体" w:eastAsia="宋体" w:hint="eastAsia"/>
                <w:sz w:val="21"/>
              </w:rPr>
              <w:t>受托人</w:t>
            </w:r>
          </w:p>
        </w:tc>
        <w:tc>
          <w:tcPr>
            <w:tcW w:w="1248" w:type="dxa"/>
            <w:tcBorders>
              <w:left w:val="single" w:sz="4" w:space="0" w:color="000000"/>
              <w:bottom w:val="single" w:sz="4" w:space="0" w:color="000000"/>
              <w:right w:val="single" w:sz="4" w:space="0" w:color="000000"/>
            </w:tcBorders>
            <w:shd w:val="clear" w:color="auto" w:fill="EDEBE0"/>
          </w:tcPr>
          <w:p>
            <w:pPr>
              <w:pStyle w:val="TableParagraph"/>
              <w:rPr>
                <w:rFonts w:ascii="宋体"/>
                <w:sz w:val="20"/>
              </w:rPr>
            </w:pPr>
          </w:p>
          <w:p>
            <w:pPr>
              <w:pStyle w:val="TableParagraph"/>
              <w:rPr>
                <w:rFonts w:ascii="宋体"/>
                <w:sz w:val="20"/>
              </w:rPr>
            </w:pPr>
          </w:p>
          <w:p>
            <w:pPr>
              <w:pStyle w:val="TableParagraph"/>
              <w:spacing w:before="8"/>
              <w:rPr>
                <w:rFonts w:ascii="宋体"/>
                <w:sz w:val="22"/>
              </w:rPr>
            </w:pPr>
          </w:p>
          <w:p>
            <w:pPr>
              <w:pStyle w:val="TableParagraph"/>
              <w:spacing w:line="278" w:lineRule="auto"/>
              <w:ind w:left="421" w:right="180" w:hanging="209"/>
              <w:rPr>
                <w:rFonts w:ascii="宋体" w:eastAsia="宋体" w:hint="eastAsia"/>
                <w:sz w:val="21"/>
              </w:rPr>
            </w:pPr>
            <w:r>
              <w:rPr>
                <w:rFonts w:ascii="宋体" w:eastAsia="宋体" w:hint="eastAsia"/>
                <w:sz w:val="21"/>
              </w:rPr>
              <w:t>委托理财类型</w:t>
            </w:r>
          </w:p>
        </w:tc>
        <w:tc>
          <w:tcPr>
            <w:tcW w:w="1579" w:type="dxa"/>
            <w:tcBorders>
              <w:left w:val="single" w:sz="4" w:space="0" w:color="000000"/>
              <w:bottom w:val="single" w:sz="4" w:space="0" w:color="000000"/>
              <w:right w:val="single" w:sz="4" w:space="0" w:color="000000"/>
            </w:tcBorders>
            <w:shd w:val="clear" w:color="auto" w:fill="EDEBE0"/>
          </w:tcPr>
          <w:p>
            <w:pPr>
              <w:pStyle w:val="TableParagraph"/>
              <w:rPr>
                <w:rFonts w:ascii="宋体"/>
                <w:sz w:val="20"/>
              </w:rPr>
            </w:pPr>
          </w:p>
          <w:p>
            <w:pPr>
              <w:pStyle w:val="TableParagraph"/>
              <w:rPr>
                <w:rFonts w:ascii="宋体"/>
                <w:sz w:val="20"/>
              </w:rPr>
            </w:pPr>
          </w:p>
          <w:p>
            <w:pPr>
              <w:pStyle w:val="TableParagraph"/>
              <w:rPr>
                <w:rFonts w:ascii="宋体"/>
                <w:sz w:val="20"/>
              </w:rPr>
            </w:pPr>
          </w:p>
          <w:p>
            <w:pPr>
              <w:pStyle w:val="TableParagraph"/>
              <w:spacing w:before="10"/>
              <w:rPr>
                <w:rFonts w:ascii="宋体"/>
                <w:sz w:val="14"/>
              </w:rPr>
            </w:pPr>
          </w:p>
          <w:p>
            <w:pPr>
              <w:pStyle w:val="TableParagraph"/>
              <w:ind w:left="167"/>
              <w:rPr>
                <w:rFonts w:ascii="宋体" w:eastAsia="宋体" w:hint="eastAsia"/>
                <w:sz w:val="21"/>
              </w:rPr>
            </w:pPr>
            <w:r>
              <w:rPr>
                <w:rFonts w:ascii="宋体" w:eastAsia="宋体" w:hint="eastAsia"/>
                <w:sz w:val="21"/>
              </w:rPr>
              <w:t>委托理财金额</w:t>
            </w:r>
          </w:p>
        </w:tc>
        <w:tc>
          <w:tcPr>
            <w:tcW w:w="1532" w:type="dxa"/>
            <w:tcBorders>
              <w:left w:val="single" w:sz="4" w:space="0" w:color="000000"/>
              <w:bottom w:val="single" w:sz="4" w:space="0" w:color="000000"/>
              <w:right w:val="single" w:sz="4" w:space="0" w:color="000000"/>
            </w:tcBorders>
            <w:shd w:val="clear" w:color="auto" w:fill="EDEBE0"/>
          </w:tcPr>
          <w:p>
            <w:pPr>
              <w:pStyle w:val="TableParagraph"/>
              <w:rPr>
                <w:rFonts w:ascii="宋体"/>
                <w:sz w:val="20"/>
              </w:rPr>
            </w:pPr>
          </w:p>
          <w:p>
            <w:pPr>
              <w:pStyle w:val="TableParagraph"/>
              <w:rPr>
                <w:rFonts w:ascii="宋体"/>
                <w:sz w:val="20"/>
              </w:rPr>
            </w:pPr>
          </w:p>
          <w:p>
            <w:pPr>
              <w:pStyle w:val="TableParagraph"/>
              <w:spacing w:before="8"/>
              <w:rPr>
                <w:rFonts w:ascii="宋体"/>
                <w:sz w:val="22"/>
              </w:rPr>
            </w:pPr>
          </w:p>
          <w:p>
            <w:pPr>
              <w:pStyle w:val="TableParagraph"/>
              <w:spacing w:line="278" w:lineRule="auto"/>
              <w:ind w:left="564" w:right="113" w:hanging="421"/>
              <w:rPr>
                <w:rFonts w:ascii="宋体" w:eastAsia="宋体" w:hint="eastAsia"/>
                <w:sz w:val="21"/>
              </w:rPr>
            </w:pPr>
            <w:r>
              <w:rPr>
                <w:rFonts w:ascii="宋体" w:eastAsia="宋体" w:hint="eastAsia"/>
                <w:sz w:val="21"/>
              </w:rPr>
              <w:t>委托理财起始日期</w:t>
            </w:r>
          </w:p>
        </w:tc>
        <w:tc>
          <w:tcPr>
            <w:tcW w:w="1414" w:type="dxa"/>
            <w:tcBorders>
              <w:left w:val="single" w:sz="4" w:space="0" w:color="000000"/>
              <w:bottom w:val="single" w:sz="4" w:space="0" w:color="000000"/>
              <w:right w:val="single" w:sz="4" w:space="0" w:color="000000"/>
            </w:tcBorders>
            <w:shd w:val="clear" w:color="auto" w:fill="EDEBE0"/>
          </w:tcPr>
          <w:p>
            <w:pPr>
              <w:pStyle w:val="TableParagraph"/>
              <w:rPr>
                <w:rFonts w:ascii="宋体"/>
                <w:sz w:val="20"/>
              </w:rPr>
            </w:pPr>
          </w:p>
          <w:p>
            <w:pPr>
              <w:pStyle w:val="TableParagraph"/>
              <w:rPr>
                <w:rFonts w:ascii="宋体"/>
                <w:sz w:val="20"/>
              </w:rPr>
            </w:pPr>
          </w:p>
          <w:p>
            <w:pPr>
              <w:pStyle w:val="TableParagraph"/>
              <w:spacing w:before="8"/>
              <w:rPr>
                <w:rFonts w:ascii="宋体"/>
                <w:sz w:val="22"/>
              </w:rPr>
            </w:pPr>
          </w:p>
          <w:p>
            <w:pPr>
              <w:pStyle w:val="TableParagraph"/>
              <w:spacing w:line="278" w:lineRule="auto"/>
              <w:ind w:left="400" w:right="159" w:hanging="212"/>
              <w:rPr>
                <w:rFonts w:ascii="宋体" w:eastAsia="宋体" w:hint="eastAsia"/>
                <w:sz w:val="21"/>
              </w:rPr>
            </w:pPr>
            <w:r>
              <w:rPr>
                <w:rFonts w:ascii="宋体" w:eastAsia="宋体" w:hint="eastAsia"/>
                <w:sz w:val="21"/>
              </w:rPr>
              <w:t>委托理财终止日期</w:t>
            </w:r>
          </w:p>
        </w:tc>
        <w:tc>
          <w:tcPr>
            <w:tcW w:w="1009" w:type="dxa"/>
            <w:tcBorders>
              <w:left w:val="single" w:sz="4" w:space="0" w:color="000000"/>
              <w:bottom w:val="single" w:sz="4" w:space="0" w:color="000000"/>
              <w:right w:val="single" w:sz="4" w:space="0" w:color="000000"/>
            </w:tcBorders>
            <w:shd w:val="clear" w:color="auto" w:fill="EDEBE0"/>
          </w:tcPr>
          <w:p>
            <w:pPr>
              <w:pStyle w:val="TableParagraph"/>
              <w:rPr>
                <w:rFonts w:ascii="宋体"/>
                <w:sz w:val="20"/>
              </w:rPr>
            </w:pPr>
          </w:p>
          <w:p>
            <w:pPr>
              <w:pStyle w:val="TableParagraph"/>
              <w:rPr>
                <w:rFonts w:ascii="宋体"/>
                <w:sz w:val="20"/>
              </w:rPr>
            </w:pPr>
          </w:p>
          <w:p>
            <w:pPr>
              <w:pStyle w:val="TableParagraph"/>
              <w:spacing w:line="278" w:lineRule="auto" w:before="134"/>
              <w:ind w:left="301" w:right="273"/>
              <w:rPr>
                <w:rFonts w:ascii="宋体" w:eastAsia="宋体" w:hint="eastAsia"/>
                <w:sz w:val="21"/>
              </w:rPr>
            </w:pPr>
            <w:r>
              <w:rPr>
                <w:rFonts w:ascii="宋体" w:eastAsia="宋体" w:hint="eastAsia"/>
                <w:sz w:val="21"/>
              </w:rPr>
              <w:t>资金来源</w:t>
            </w:r>
          </w:p>
        </w:tc>
        <w:tc>
          <w:tcPr>
            <w:tcW w:w="567" w:type="dxa"/>
            <w:tcBorders>
              <w:left w:val="single" w:sz="4" w:space="0" w:color="000000"/>
              <w:bottom w:val="single" w:sz="4" w:space="0" w:color="000000"/>
              <w:right w:val="single" w:sz="4" w:space="0" w:color="000000"/>
            </w:tcBorders>
            <w:shd w:val="clear" w:color="auto" w:fill="EDEBE0"/>
          </w:tcPr>
          <w:p>
            <w:pPr>
              <w:pStyle w:val="TableParagraph"/>
              <w:rPr>
                <w:rFonts w:ascii="宋体"/>
                <w:sz w:val="20"/>
              </w:rPr>
            </w:pPr>
          </w:p>
          <w:p>
            <w:pPr>
              <w:pStyle w:val="TableParagraph"/>
              <w:spacing w:before="3"/>
              <w:rPr>
                <w:rFonts w:ascii="宋体"/>
                <w:sz w:val="18"/>
              </w:rPr>
            </w:pPr>
          </w:p>
          <w:p>
            <w:pPr>
              <w:pStyle w:val="TableParagraph"/>
              <w:spacing w:line="278" w:lineRule="auto" w:before="1"/>
              <w:ind w:left="185" w:right="158"/>
              <w:jc w:val="both"/>
              <w:rPr>
                <w:rFonts w:ascii="宋体" w:eastAsia="宋体" w:hint="eastAsia"/>
                <w:sz w:val="21"/>
              </w:rPr>
            </w:pPr>
            <w:r>
              <w:rPr>
                <w:rFonts w:ascii="宋体" w:eastAsia="宋体" w:hint="eastAsia"/>
                <w:sz w:val="21"/>
              </w:rPr>
              <w:t>资金投向</w:t>
            </w:r>
          </w:p>
        </w:tc>
        <w:tc>
          <w:tcPr>
            <w:tcW w:w="567" w:type="dxa"/>
            <w:tcBorders>
              <w:left w:val="single" w:sz="4" w:space="0" w:color="000000"/>
              <w:bottom w:val="single" w:sz="4" w:space="0" w:color="000000"/>
              <w:right w:val="single" w:sz="4" w:space="0" w:color="000000"/>
            </w:tcBorders>
            <w:shd w:val="clear" w:color="auto" w:fill="EDEBE0"/>
          </w:tcPr>
          <w:p>
            <w:pPr>
              <w:pStyle w:val="TableParagraph"/>
              <w:spacing w:line="278" w:lineRule="auto" w:before="178"/>
              <w:ind w:left="185" w:right="158"/>
              <w:jc w:val="both"/>
              <w:rPr>
                <w:rFonts w:ascii="宋体" w:eastAsia="宋体" w:hint="eastAsia"/>
                <w:sz w:val="21"/>
              </w:rPr>
            </w:pPr>
            <w:r>
              <w:rPr>
                <w:rFonts w:ascii="宋体" w:eastAsia="宋体" w:hint="eastAsia"/>
                <w:sz w:val="21"/>
              </w:rPr>
              <w:t>报酬确定方式</w:t>
            </w:r>
          </w:p>
        </w:tc>
        <w:tc>
          <w:tcPr>
            <w:tcW w:w="1280" w:type="dxa"/>
            <w:tcBorders>
              <w:left w:val="single" w:sz="4" w:space="0" w:color="000000"/>
              <w:bottom w:val="single" w:sz="4" w:space="0" w:color="000000"/>
              <w:right w:val="single" w:sz="4" w:space="0" w:color="000000"/>
            </w:tcBorders>
            <w:shd w:val="clear" w:color="auto" w:fill="EDEBE0"/>
          </w:tcPr>
          <w:p>
            <w:pPr>
              <w:pStyle w:val="TableParagraph"/>
              <w:rPr>
                <w:rFonts w:ascii="宋体"/>
                <w:sz w:val="20"/>
              </w:rPr>
            </w:pPr>
          </w:p>
          <w:p>
            <w:pPr>
              <w:pStyle w:val="TableParagraph"/>
              <w:rPr>
                <w:rFonts w:ascii="宋体"/>
                <w:sz w:val="20"/>
              </w:rPr>
            </w:pPr>
          </w:p>
          <w:p>
            <w:pPr>
              <w:pStyle w:val="TableParagraph"/>
              <w:spacing w:line="278" w:lineRule="auto" w:before="134"/>
              <w:ind w:left="330" w:right="303" w:firstLine="105"/>
              <w:rPr>
                <w:rFonts w:ascii="宋体" w:eastAsia="宋体" w:hint="eastAsia"/>
                <w:sz w:val="21"/>
              </w:rPr>
            </w:pPr>
            <w:r>
              <w:rPr>
                <w:rFonts w:ascii="宋体" w:eastAsia="宋体" w:hint="eastAsia"/>
                <w:sz w:val="21"/>
              </w:rPr>
              <w:t>年化收益率</w:t>
            </w:r>
          </w:p>
        </w:tc>
        <w:tc>
          <w:tcPr>
            <w:tcW w:w="1139" w:type="dxa"/>
            <w:tcBorders>
              <w:left w:val="single" w:sz="4" w:space="0" w:color="000000"/>
              <w:bottom w:val="single" w:sz="4" w:space="0" w:color="000000"/>
              <w:right w:val="single" w:sz="4" w:space="0" w:color="000000"/>
            </w:tcBorders>
            <w:shd w:val="clear" w:color="auto" w:fill="EDEBE0"/>
          </w:tcPr>
          <w:p>
            <w:pPr>
              <w:pStyle w:val="TableParagraph"/>
              <w:rPr>
                <w:rFonts w:ascii="宋体"/>
                <w:sz w:val="20"/>
              </w:rPr>
            </w:pPr>
          </w:p>
          <w:p>
            <w:pPr>
              <w:pStyle w:val="TableParagraph"/>
              <w:rPr>
                <w:rFonts w:ascii="宋体"/>
                <w:sz w:val="20"/>
              </w:rPr>
            </w:pPr>
          </w:p>
          <w:p>
            <w:pPr>
              <w:pStyle w:val="TableParagraph"/>
              <w:spacing w:before="134"/>
              <w:ind w:left="136" w:right="113"/>
              <w:jc w:val="center"/>
              <w:rPr>
                <w:rFonts w:ascii="宋体" w:eastAsia="宋体" w:hint="eastAsia"/>
                <w:sz w:val="21"/>
              </w:rPr>
            </w:pPr>
            <w:r>
              <w:rPr>
                <w:rFonts w:ascii="宋体" w:eastAsia="宋体" w:hint="eastAsia"/>
                <w:sz w:val="21"/>
              </w:rPr>
              <w:t>预期收益</w:t>
            </w:r>
          </w:p>
          <w:p>
            <w:pPr>
              <w:pStyle w:val="TableParagraph"/>
              <w:spacing w:before="43"/>
              <w:ind w:left="134" w:right="113"/>
              <w:jc w:val="center"/>
              <w:rPr>
                <w:sz w:val="21"/>
              </w:rPr>
            </w:pPr>
            <w:r>
              <w:rPr>
                <w:sz w:val="21"/>
              </w:rPr>
              <w:t>(</w:t>
            </w:r>
            <w:r>
              <w:rPr>
                <w:rFonts w:ascii="宋体" w:eastAsia="宋体" w:hint="eastAsia"/>
                <w:sz w:val="21"/>
              </w:rPr>
              <w:t>如有</w:t>
            </w:r>
            <w:r>
              <w:rPr>
                <w:sz w:val="21"/>
              </w:rPr>
              <w:t>)</w:t>
            </w:r>
          </w:p>
        </w:tc>
        <w:tc>
          <w:tcPr>
            <w:tcW w:w="574" w:type="dxa"/>
            <w:tcBorders>
              <w:left w:val="single" w:sz="4" w:space="0" w:color="000000"/>
              <w:bottom w:val="single" w:sz="4" w:space="0" w:color="000000"/>
              <w:right w:val="single" w:sz="4" w:space="0" w:color="000000"/>
            </w:tcBorders>
            <w:shd w:val="clear" w:color="auto" w:fill="EDEBE0"/>
          </w:tcPr>
          <w:p>
            <w:pPr>
              <w:pStyle w:val="TableParagraph"/>
              <w:spacing w:line="278" w:lineRule="auto" w:before="22"/>
              <w:ind w:left="187" w:right="163"/>
              <w:jc w:val="both"/>
              <w:rPr>
                <w:rFonts w:ascii="宋体" w:eastAsia="宋体" w:hint="eastAsia"/>
                <w:sz w:val="21"/>
              </w:rPr>
            </w:pPr>
            <w:r>
              <w:rPr>
                <w:rFonts w:ascii="宋体" w:eastAsia="宋体" w:hint="eastAsia"/>
                <w:sz w:val="21"/>
              </w:rPr>
              <w:t>实际收益或损</w:t>
            </w:r>
          </w:p>
          <w:p>
            <w:pPr>
              <w:pStyle w:val="TableParagraph"/>
              <w:ind w:left="187"/>
              <w:rPr>
                <w:rFonts w:ascii="宋体" w:eastAsia="宋体" w:hint="eastAsia"/>
                <w:sz w:val="21"/>
              </w:rPr>
            </w:pPr>
            <w:r>
              <w:rPr>
                <w:rFonts w:ascii="宋体" w:eastAsia="宋体" w:hint="eastAsia"/>
                <w:w w:val="100"/>
                <w:sz w:val="21"/>
              </w:rPr>
              <w:t>失</w:t>
            </w:r>
          </w:p>
        </w:tc>
        <w:tc>
          <w:tcPr>
            <w:tcW w:w="689" w:type="dxa"/>
            <w:tcBorders>
              <w:left w:val="single" w:sz="4" w:space="0" w:color="000000"/>
              <w:bottom w:val="single" w:sz="4" w:space="0" w:color="000000"/>
              <w:right w:val="single" w:sz="4" w:space="0" w:color="000000"/>
            </w:tcBorders>
            <w:shd w:val="clear" w:color="auto" w:fill="EDEBE0"/>
          </w:tcPr>
          <w:p>
            <w:pPr>
              <w:pStyle w:val="TableParagraph"/>
              <w:rPr>
                <w:rFonts w:ascii="宋体"/>
                <w:sz w:val="20"/>
              </w:rPr>
            </w:pPr>
          </w:p>
          <w:p>
            <w:pPr>
              <w:pStyle w:val="TableParagraph"/>
              <w:rPr>
                <w:rFonts w:ascii="宋体"/>
                <w:sz w:val="20"/>
              </w:rPr>
            </w:pPr>
          </w:p>
          <w:p>
            <w:pPr>
              <w:pStyle w:val="TableParagraph"/>
              <w:spacing w:line="278" w:lineRule="auto" w:before="134"/>
              <w:ind w:left="139" w:right="115"/>
              <w:jc w:val="both"/>
              <w:rPr>
                <w:rFonts w:ascii="宋体" w:eastAsia="宋体" w:hint="eastAsia"/>
                <w:sz w:val="21"/>
              </w:rPr>
            </w:pPr>
            <w:r>
              <w:rPr>
                <w:rFonts w:ascii="宋体" w:eastAsia="宋体" w:hint="eastAsia"/>
                <w:sz w:val="21"/>
              </w:rPr>
              <w:t>实际收回情况</w:t>
            </w:r>
          </w:p>
        </w:tc>
        <w:tc>
          <w:tcPr>
            <w:tcW w:w="699" w:type="dxa"/>
            <w:tcBorders>
              <w:left w:val="single" w:sz="4" w:space="0" w:color="000000"/>
              <w:bottom w:val="single" w:sz="4" w:space="0" w:color="000000"/>
              <w:right w:val="single" w:sz="4" w:space="0" w:color="000000"/>
            </w:tcBorders>
            <w:shd w:val="clear" w:color="auto" w:fill="EDEBE0"/>
          </w:tcPr>
          <w:p>
            <w:pPr>
              <w:pStyle w:val="TableParagraph"/>
              <w:rPr>
                <w:rFonts w:ascii="宋体"/>
                <w:sz w:val="20"/>
              </w:rPr>
            </w:pPr>
          </w:p>
          <w:p>
            <w:pPr>
              <w:pStyle w:val="TableParagraph"/>
              <w:spacing w:before="3"/>
              <w:rPr>
                <w:rFonts w:ascii="宋体"/>
                <w:sz w:val="18"/>
              </w:rPr>
            </w:pPr>
          </w:p>
          <w:p>
            <w:pPr>
              <w:pStyle w:val="TableParagraph"/>
              <w:spacing w:line="278" w:lineRule="auto" w:before="1"/>
              <w:ind w:left="143" w:right="120"/>
              <w:jc w:val="both"/>
              <w:rPr>
                <w:rFonts w:ascii="宋体" w:eastAsia="宋体" w:hint="eastAsia"/>
                <w:sz w:val="21"/>
              </w:rPr>
            </w:pPr>
            <w:r>
              <w:rPr>
                <w:rFonts w:ascii="宋体" w:eastAsia="宋体" w:hint="eastAsia"/>
                <w:sz w:val="21"/>
              </w:rPr>
              <w:t>是否经过法定程序</w:t>
            </w:r>
          </w:p>
        </w:tc>
        <w:tc>
          <w:tcPr>
            <w:tcW w:w="718" w:type="dxa"/>
            <w:tcBorders>
              <w:left w:val="single" w:sz="4" w:space="0" w:color="000000"/>
              <w:bottom w:val="single" w:sz="4" w:space="0" w:color="000000"/>
              <w:right w:val="single" w:sz="4" w:space="0" w:color="000000"/>
            </w:tcBorders>
            <w:shd w:val="clear" w:color="auto" w:fill="EDEBE0"/>
          </w:tcPr>
          <w:p>
            <w:pPr>
              <w:pStyle w:val="TableParagraph"/>
              <w:spacing w:line="278" w:lineRule="auto" w:before="178"/>
              <w:ind w:left="152" w:right="130"/>
              <w:jc w:val="both"/>
              <w:rPr>
                <w:rFonts w:ascii="宋体" w:eastAsia="宋体" w:hint="eastAsia"/>
                <w:sz w:val="21"/>
              </w:rPr>
            </w:pPr>
            <w:r>
              <w:rPr>
                <w:rFonts w:ascii="宋体" w:eastAsia="宋体" w:hint="eastAsia"/>
                <w:sz w:val="21"/>
              </w:rPr>
              <w:t>未来是否有委托理财计划</w:t>
            </w:r>
          </w:p>
        </w:tc>
        <w:tc>
          <w:tcPr>
            <w:tcW w:w="711" w:type="dxa"/>
            <w:tcBorders>
              <w:left w:val="single" w:sz="4" w:space="0" w:color="000000"/>
              <w:bottom w:val="single" w:sz="4" w:space="0" w:color="000000"/>
            </w:tcBorders>
            <w:shd w:val="clear" w:color="auto" w:fill="EDEBE0"/>
          </w:tcPr>
          <w:p>
            <w:pPr>
              <w:pStyle w:val="TableParagraph"/>
              <w:spacing w:line="278" w:lineRule="auto" w:before="22"/>
              <w:ind w:left="147" w:right="120"/>
              <w:jc w:val="both"/>
              <w:rPr>
                <w:rFonts w:ascii="宋体" w:eastAsia="宋体" w:hint="eastAsia"/>
                <w:sz w:val="21"/>
              </w:rPr>
            </w:pPr>
            <w:r>
              <w:rPr>
                <w:rFonts w:ascii="宋体" w:eastAsia="宋体" w:hint="eastAsia"/>
                <w:sz w:val="21"/>
              </w:rPr>
              <w:t>减值准备计提金额</w:t>
            </w:r>
            <w:r>
              <w:rPr>
                <w:sz w:val="21"/>
              </w:rPr>
              <w:t>(</w:t>
            </w:r>
            <w:r>
              <w:rPr>
                <w:rFonts w:ascii="宋体" w:eastAsia="宋体" w:hint="eastAsia"/>
                <w:sz w:val="21"/>
              </w:rPr>
              <w:t>如</w:t>
            </w:r>
          </w:p>
          <w:p>
            <w:pPr>
              <w:pStyle w:val="TableParagraph"/>
              <w:ind w:left="217"/>
              <w:rPr>
                <w:sz w:val="21"/>
              </w:rPr>
            </w:pPr>
            <w:r>
              <w:rPr>
                <w:rFonts w:ascii="宋体" w:eastAsia="宋体" w:hint="eastAsia"/>
                <w:sz w:val="21"/>
              </w:rPr>
              <w:t>有</w:t>
            </w:r>
            <w:r>
              <w:rPr>
                <w:sz w:val="21"/>
              </w:rPr>
              <w:t>)</w:t>
            </w:r>
          </w:p>
        </w:tc>
      </w:tr>
      <w:tr>
        <w:trPr>
          <w:trHeight w:val="623" w:hRule="atLeast"/>
        </w:trPr>
        <w:tc>
          <w:tcPr>
            <w:tcW w:w="1736" w:type="dxa"/>
            <w:tcBorders>
              <w:top w:val="single" w:sz="4" w:space="0" w:color="000000"/>
              <w:bottom w:val="single" w:sz="4" w:space="0" w:color="000000"/>
              <w:right w:val="single" w:sz="4" w:space="0" w:color="000000"/>
            </w:tcBorders>
          </w:tcPr>
          <w:p>
            <w:pPr>
              <w:pStyle w:val="TableParagraph"/>
              <w:spacing w:before="178"/>
              <w:ind w:left="113" w:right="93"/>
              <w:jc w:val="center"/>
              <w:rPr>
                <w:rFonts w:ascii="宋体" w:eastAsia="宋体" w:hint="eastAsia"/>
                <w:sz w:val="21"/>
              </w:rPr>
            </w:pPr>
            <w:r>
              <w:rPr>
                <w:rFonts w:ascii="宋体" w:eastAsia="宋体" w:hint="eastAsia"/>
                <w:sz w:val="21"/>
              </w:rPr>
              <w:t>建行海尔路支行</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178"/>
              <w:ind w:left="421"/>
              <w:rPr>
                <w:rFonts w:ascii="宋体" w:eastAsia="宋体" w:hint="eastAsia"/>
                <w:sz w:val="21"/>
              </w:rPr>
            </w:pPr>
            <w:r>
              <w:rPr>
                <w:rFonts w:ascii="宋体" w:eastAsia="宋体" w:hint="eastAsia"/>
                <w:sz w:val="21"/>
              </w:rPr>
              <w:t>理财</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before="190"/>
              <w:ind w:right="84"/>
              <w:jc w:val="right"/>
              <w:rPr>
                <w:sz w:val="21"/>
              </w:rPr>
            </w:pPr>
            <w:r>
              <w:rPr>
                <w:sz w:val="21"/>
              </w:rPr>
              <w:t>231,000,000.00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before="190"/>
              <w:ind w:left="117"/>
              <w:rPr>
                <w:sz w:val="21"/>
              </w:rPr>
            </w:pPr>
            <w:r>
              <w:rPr>
                <w:sz w:val="21"/>
              </w:rPr>
              <w:t>2020/10/12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before="190"/>
              <w:ind w:left="117"/>
              <w:rPr>
                <w:sz w:val="21"/>
              </w:rPr>
            </w:pPr>
            <w:r>
              <w:rPr>
                <w:sz w:val="21"/>
              </w:rPr>
              <w:t>2021/3/29</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22"/>
              <w:ind w:left="177" w:right="151"/>
              <w:jc w:val="center"/>
              <w:rPr>
                <w:rFonts w:ascii="宋体" w:eastAsia="宋体" w:hint="eastAsia"/>
                <w:sz w:val="21"/>
              </w:rPr>
            </w:pPr>
            <w:r>
              <w:rPr>
                <w:rFonts w:ascii="宋体" w:eastAsia="宋体" w:hint="eastAsia"/>
                <w:sz w:val="21"/>
              </w:rPr>
              <w:t>自有资</w:t>
            </w:r>
          </w:p>
          <w:p>
            <w:pPr>
              <w:pStyle w:val="TableParagraph"/>
              <w:spacing w:before="43"/>
              <w:ind w:left="26"/>
              <w:jc w:val="center"/>
              <w:rPr>
                <w:rFonts w:ascii="宋体" w:eastAsia="宋体" w:hint="eastAsia"/>
                <w:sz w:val="21"/>
              </w:rPr>
            </w:pPr>
            <w:r>
              <w:rPr>
                <w:rFonts w:ascii="宋体" w:eastAsia="宋体" w:hint="eastAsia"/>
                <w:w w:val="100"/>
                <w:sz w:val="21"/>
              </w:rPr>
              <w:t>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before="20"/>
              <w:ind w:left="116"/>
              <w:rPr>
                <w:rFonts w:ascii="宋体"/>
                <w:sz w:val="21"/>
              </w:rPr>
            </w:pPr>
            <w:r>
              <w:rPr>
                <w:rFonts w:ascii="宋体"/>
                <w:w w:val="100"/>
                <w:sz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before="20"/>
              <w:ind w:left="115"/>
              <w:rPr>
                <w:rFonts w:ascii="宋体"/>
                <w:sz w:val="21"/>
              </w:rPr>
            </w:pPr>
            <w:r>
              <w:rPr>
                <w:rFonts w:ascii="宋体"/>
                <w:w w:val="100"/>
                <w:sz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before="190"/>
              <w:ind w:right="86"/>
              <w:jc w:val="right"/>
              <w:rPr>
                <w:sz w:val="21"/>
              </w:rPr>
            </w:pPr>
            <w:r>
              <w:rPr>
                <w:sz w:val="21"/>
              </w:rPr>
              <w:t>3.15%</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before="190"/>
              <w:ind w:right="88"/>
              <w:jc w:val="right"/>
              <w:rPr>
                <w:sz w:val="21"/>
              </w:rPr>
            </w:pPr>
            <w:r>
              <w:rPr>
                <w:sz w:val="21"/>
              </w:rPr>
              <w:t>3,349,184</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22"/>
              <w:ind w:left="139"/>
              <w:rPr>
                <w:rFonts w:ascii="宋体" w:eastAsia="宋体" w:hint="eastAsia"/>
                <w:sz w:val="21"/>
              </w:rPr>
            </w:pPr>
            <w:r>
              <w:rPr>
                <w:rFonts w:ascii="宋体" w:eastAsia="宋体" w:hint="eastAsia"/>
                <w:sz w:val="21"/>
              </w:rPr>
              <w:t>未到</w:t>
            </w:r>
          </w:p>
          <w:p>
            <w:pPr>
              <w:pStyle w:val="TableParagraph"/>
              <w:spacing w:before="43"/>
              <w:ind w:left="242"/>
              <w:rPr>
                <w:rFonts w:ascii="宋体" w:eastAsia="宋体" w:hint="eastAsia"/>
                <w:sz w:val="21"/>
              </w:rPr>
            </w:pPr>
            <w:r>
              <w:rPr>
                <w:rFonts w:ascii="宋体" w:eastAsia="宋体" w:hint="eastAsia"/>
                <w:w w:val="100"/>
                <w:sz w:val="21"/>
              </w:rPr>
              <w:t>期</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before="178"/>
              <w:ind w:left="16"/>
              <w:jc w:val="center"/>
              <w:rPr>
                <w:rFonts w:ascii="宋体" w:eastAsia="宋体" w:hint="eastAsia"/>
                <w:sz w:val="21"/>
              </w:rPr>
            </w:pPr>
            <w:r>
              <w:rPr>
                <w:rFonts w:ascii="宋体" w:eastAsia="宋体" w:hint="eastAsia"/>
                <w:w w:val="100"/>
                <w:sz w:val="21"/>
              </w:rPr>
              <w:t>是</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before="178"/>
              <w:ind w:left="255"/>
              <w:rPr>
                <w:rFonts w:ascii="宋体" w:eastAsia="宋体" w:hint="eastAsia"/>
                <w:sz w:val="21"/>
              </w:rPr>
            </w:pPr>
            <w:r>
              <w:rPr>
                <w:rFonts w:ascii="宋体" w:eastAsia="宋体" w:hint="eastAsia"/>
                <w:w w:val="100"/>
                <w:sz w:val="21"/>
              </w:rPr>
              <w:t>是</w:t>
            </w:r>
          </w:p>
        </w:tc>
        <w:tc>
          <w:tcPr>
            <w:tcW w:w="711" w:type="dxa"/>
            <w:tcBorders>
              <w:top w:val="single" w:sz="4" w:space="0" w:color="000000"/>
              <w:left w:val="single" w:sz="4" w:space="0" w:color="000000"/>
              <w:bottom w:val="single" w:sz="4" w:space="0" w:color="000000"/>
            </w:tcBorders>
          </w:tcPr>
          <w:p>
            <w:pPr>
              <w:pStyle w:val="TableParagraph"/>
              <w:rPr>
                <w:sz w:val="20"/>
              </w:rPr>
            </w:pPr>
          </w:p>
        </w:tc>
      </w:tr>
      <w:tr>
        <w:trPr>
          <w:trHeight w:val="626" w:hRule="atLeast"/>
        </w:trPr>
        <w:tc>
          <w:tcPr>
            <w:tcW w:w="1736" w:type="dxa"/>
            <w:tcBorders>
              <w:top w:val="single" w:sz="4" w:space="0" w:color="000000"/>
              <w:bottom w:val="single" w:sz="4" w:space="0" w:color="000000"/>
              <w:right w:val="single" w:sz="4" w:space="0" w:color="000000"/>
            </w:tcBorders>
          </w:tcPr>
          <w:p>
            <w:pPr>
              <w:pStyle w:val="TableParagraph"/>
              <w:spacing w:before="2"/>
              <w:rPr>
                <w:rFonts w:ascii="宋体"/>
                <w:sz w:val="14"/>
              </w:rPr>
            </w:pPr>
          </w:p>
          <w:p>
            <w:pPr>
              <w:pStyle w:val="TableParagraph"/>
              <w:ind w:left="113" w:right="93"/>
              <w:jc w:val="center"/>
              <w:rPr>
                <w:rFonts w:ascii="宋体" w:eastAsia="宋体" w:hint="eastAsia"/>
                <w:sz w:val="21"/>
              </w:rPr>
            </w:pPr>
            <w:r>
              <w:rPr>
                <w:rFonts w:ascii="宋体" w:eastAsia="宋体" w:hint="eastAsia"/>
                <w:sz w:val="21"/>
              </w:rPr>
              <w:t>建行海尔路支行</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2"/>
              <w:rPr>
                <w:rFonts w:ascii="宋体"/>
                <w:sz w:val="14"/>
              </w:rPr>
            </w:pPr>
          </w:p>
          <w:p>
            <w:pPr>
              <w:pStyle w:val="TableParagraph"/>
              <w:ind w:left="421"/>
              <w:rPr>
                <w:rFonts w:ascii="宋体" w:eastAsia="宋体" w:hint="eastAsia"/>
                <w:sz w:val="21"/>
              </w:rPr>
            </w:pPr>
            <w:r>
              <w:rPr>
                <w:rFonts w:ascii="宋体" w:eastAsia="宋体" w:hint="eastAsia"/>
                <w:sz w:val="21"/>
              </w:rPr>
              <w:t>理财</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before="193"/>
              <w:ind w:right="84"/>
              <w:jc w:val="right"/>
              <w:rPr>
                <w:sz w:val="21"/>
              </w:rPr>
            </w:pPr>
            <w:r>
              <w:rPr>
                <w:sz w:val="21"/>
              </w:rPr>
              <w:t>15,000,000.00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before="193"/>
              <w:ind w:left="117"/>
              <w:rPr>
                <w:sz w:val="21"/>
              </w:rPr>
            </w:pPr>
            <w:r>
              <w:rPr>
                <w:sz w:val="21"/>
              </w:rPr>
              <w:t>2019/3/13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before="2"/>
              <w:rPr>
                <w:rFonts w:ascii="宋体"/>
                <w:sz w:val="14"/>
              </w:rPr>
            </w:pPr>
          </w:p>
          <w:p>
            <w:pPr>
              <w:pStyle w:val="TableParagraph"/>
              <w:ind w:left="117"/>
              <w:rPr>
                <w:rFonts w:ascii="宋体" w:eastAsia="宋体" w:hint="eastAsia"/>
                <w:sz w:val="21"/>
              </w:rPr>
            </w:pPr>
            <w:r>
              <w:rPr>
                <w:rFonts w:ascii="宋体" w:eastAsia="宋体" w:hint="eastAsia"/>
                <w:sz w:val="21"/>
              </w:rPr>
              <w:t>每周三可取</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25"/>
              <w:ind w:left="177" w:right="151"/>
              <w:jc w:val="center"/>
              <w:rPr>
                <w:rFonts w:ascii="宋体" w:eastAsia="宋体" w:hint="eastAsia"/>
                <w:sz w:val="21"/>
              </w:rPr>
            </w:pPr>
            <w:r>
              <w:rPr>
                <w:rFonts w:ascii="宋体" w:eastAsia="宋体" w:hint="eastAsia"/>
                <w:sz w:val="21"/>
              </w:rPr>
              <w:t>自有资</w:t>
            </w:r>
          </w:p>
          <w:p>
            <w:pPr>
              <w:pStyle w:val="TableParagraph"/>
              <w:spacing w:before="43"/>
              <w:ind w:left="26"/>
              <w:jc w:val="center"/>
              <w:rPr>
                <w:rFonts w:ascii="宋体" w:eastAsia="宋体" w:hint="eastAsia"/>
                <w:sz w:val="21"/>
              </w:rPr>
            </w:pPr>
            <w:r>
              <w:rPr>
                <w:rFonts w:ascii="宋体" w:eastAsia="宋体" w:hint="eastAsia"/>
                <w:w w:val="100"/>
                <w:sz w:val="21"/>
              </w:rPr>
              <w:t>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before="22"/>
              <w:ind w:left="116"/>
              <w:rPr>
                <w:rFonts w:ascii="宋体"/>
                <w:sz w:val="21"/>
              </w:rPr>
            </w:pPr>
            <w:r>
              <w:rPr>
                <w:rFonts w:ascii="宋体"/>
                <w:w w:val="100"/>
                <w:sz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before="22"/>
              <w:ind w:left="115"/>
              <w:rPr>
                <w:rFonts w:ascii="宋体"/>
                <w:sz w:val="21"/>
              </w:rPr>
            </w:pPr>
            <w:r>
              <w:rPr>
                <w:rFonts w:ascii="宋体"/>
                <w:w w:val="100"/>
                <w:sz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before="193"/>
              <w:ind w:right="86"/>
              <w:jc w:val="right"/>
              <w:rPr>
                <w:sz w:val="21"/>
              </w:rPr>
            </w:pPr>
            <w:r>
              <w:rPr>
                <w:sz w:val="21"/>
              </w:rPr>
              <w:t>1.7%~2.7%</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25"/>
              <w:ind w:left="139"/>
              <w:rPr>
                <w:rFonts w:ascii="宋体" w:eastAsia="宋体" w:hint="eastAsia"/>
                <w:sz w:val="21"/>
              </w:rPr>
            </w:pPr>
            <w:r>
              <w:rPr>
                <w:rFonts w:ascii="宋体" w:eastAsia="宋体" w:hint="eastAsia"/>
                <w:sz w:val="21"/>
              </w:rPr>
              <w:t>未到</w:t>
            </w:r>
          </w:p>
          <w:p>
            <w:pPr>
              <w:pStyle w:val="TableParagraph"/>
              <w:spacing w:before="43"/>
              <w:ind w:left="242"/>
              <w:rPr>
                <w:rFonts w:ascii="宋体" w:eastAsia="宋体" w:hint="eastAsia"/>
                <w:sz w:val="21"/>
              </w:rPr>
            </w:pPr>
            <w:r>
              <w:rPr>
                <w:rFonts w:ascii="宋体" w:eastAsia="宋体" w:hint="eastAsia"/>
                <w:w w:val="100"/>
                <w:sz w:val="21"/>
              </w:rPr>
              <w:t>期</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before="2"/>
              <w:rPr>
                <w:rFonts w:ascii="宋体"/>
                <w:sz w:val="14"/>
              </w:rPr>
            </w:pPr>
          </w:p>
          <w:p>
            <w:pPr>
              <w:pStyle w:val="TableParagraph"/>
              <w:ind w:left="16"/>
              <w:jc w:val="center"/>
              <w:rPr>
                <w:rFonts w:ascii="宋体" w:eastAsia="宋体" w:hint="eastAsia"/>
                <w:sz w:val="21"/>
              </w:rPr>
            </w:pPr>
            <w:r>
              <w:rPr>
                <w:rFonts w:ascii="宋体" w:eastAsia="宋体" w:hint="eastAsia"/>
                <w:w w:val="100"/>
                <w:sz w:val="21"/>
              </w:rPr>
              <w:t>是</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before="2"/>
              <w:rPr>
                <w:rFonts w:ascii="宋体"/>
                <w:sz w:val="14"/>
              </w:rPr>
            </w:pPr>
          </w:p>
          <w:p>
            <w:pPr>
              <w:pStyle w:val="TableParagraph"/>
              <w:ind w:left="255"/>
              <w:rPr>
                <w:rFonts w:ascii="宋体" w:eastAsia="宋体" w:hint="eastAsia"/>
                <w:sz w:val="21"/>
              </w:rPr>
            </w:pPr>
            <w:r>
              <w:rPr>
                <w:rFonts w:ascii="宋体" w:eastAsia="宋体" w:hint="eastAsia"/>
                <w:w w:val="100"/>
                <w:sz w:val="21"/>
              </w:rPr>
              <w:t>是</w:t>
            </w:r>
          </w:p>
        </w:tc>
        <w:tc>
          <w:tcPr>
            <w:tcW w:w="711" w:type="dxa"/>
            <w:tcBorders>
              <w:top w:val="single" w:sz="4" w:space="0" w:color="000000"/>
              <w:left w:val="single" w:sz="4" w:space="0" w:color="000000"/>
              <w:bottom w:val="single" w:sz="4" w:space="0" w:color="000000"/>
            </w:tcBorders>
          </w:tcPr>
          <w:p>
            <w:pPr>
              <w:pStyle w:val="TableParagraph"/>
              <w:rPr>
                <w:sz w:val="20"/>
              </w:rPr>
            </w:pPr>
          </w:p>
        </w:tc>
      </w:tr>
      <w:tr>
        <w:trPr>
          <w:trHeight w:val="623" w:hRule="atLeast"/>
        </w:trPr>
        <w:tc>
          <w:tcPr>
            <w:tcW w:w="1736" w:type="dxa"/>
            <w:tcBorders>
              <w:top w:val="single" w:sz="4" w:space="0" w:color="000000"/>
              <w:bottom w:val="single" w:sz="4" w:space="0" w:color="000000"/>
              <w:right w:val="single" w:sz="4" w:space="0" w:color="000000"/>
            </w:tcBorders>
          </w:tcPr>
          <w:p>
            <w:pPr>
              <w:pStyle w:val="TableParagraph"/>
              <w:spacing w:before="178"/>
              <w:ind w:left="113" w:right="93"/>
              <w:jc w:val="center"/>
              <w:rPr>
                <w:rFonts w:ascii="宋体" w:eastAsia="宋体" w:hint="eastAsia"/>
                <w:sz w:val="21"/>
              </w:rPr>
            </w:pPr>
            <w:r>
              <w:rPr>
                <w:rFonts w:ascii="宋体" w:eastAsia="宋体" w:hint="eastAsia"/>
                <w:sz w:val="21"/>
              </w:rPr>
              <w:t>建行海尔路支行</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178"/>
              <w:ind w:left="421"/>
              <w:rPr>
                <w:rFonts w:ascii="宋体" w:eastAsia="宋体" w:hint="eastAsia"/>
                <w:sz w:val="21"/>
              </w:rPr>
            </w:pPr>
            <w:r>
              <w:rPr>
                <w:rFonts w:ascii="宋体" w:eastAsia="宋体" w:hint="eastAsia"/>
                <w:sz w:val="21"/>
              </w:rPr>
              <w:t>理财</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before="190"/>
              <w:ind w:right="84"/>
              <w:jc w:val="right"/>
              <w:rPr>
                <w:sz w:val="21"/>
              </w:rPr>
            </w:pPr>
            <w:r>
              <w:rPr>
                <w:sz w:val="21"/>
              </w:rPr>
              <w:t>70,000,000.00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before="190"/>
              <w:ind w:left="117"/>
              <w:rPr>
                <w:sz w:val="21"/>
              </w:rPr>
            </w:pPr>
            <w:r>
              <w:rPr>
                <w:sz w:val="21"/>
              </w:rPr>
              <w:t>2019/3/20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before="178"/>
              <w:ind w:left="117"/>
              <w:rPr>
                <w:rFonts w:ascii="宋体" w:eastAsia="宋体" w:hint="eastAsia"/>
                <w:sz w:val="21"/>
              </w:rPr>
            </w:pPr>
            <w:r>
              <w:rPr>
                <w:rFonts w:ascii="宋体" w:eastAsia="宋体" w:hint="eastAsia"/>
                <w:sz w:val="21"/>
              </w:rPr>
              <w:t>每周三可取</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22"/>
              <w:ind w:left="177" w:right="151"/>
              <w:jc w:val="center"/>
              <w:rPr>
                <w:rFonts w:ascii="宋体" w:eastAsia="宋体" w:hint="eastAsia"/>
                <w:sz w:val="21"/>
              </w:rPr>
            </w:pPr>
            <w:r>
              <w:rPr>
                <w:rFonts w:ascii="宋体" w:eastAsia="宋体" w:hint="eastAsia"/>
                <w:sz w:val="21"/>
              </w:rPr>
              <w:t>自有资</w:t>
            </w:r>
          </w:p>
          <w:p>
            <w:pPr>
              <w:pStyle w:val="TableParagraph"/>
              <w:spacing w:before="43"/>
              <w:ind w:left="26"/>
              <w:jc w:val="center"/>
              <w:rPr>
                <w:rFonts w:ascii="宋体" w:eastAsia="宋体" w:hint="eastAsia"/>
                <w:sz w:val="21"/>
              </w:rPr>
            </w:pPr>
            <w:r>
              <w:rPr>
                <w:rFonts w:ascii="宋体" w:eastAsia="宋体" w:hint="eastAsia"/>
                <w:w w:val="100"/>
                <w:sz w:val="21"/>
              </w:rPr>
              <w:t>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before="20"/>
              <w:ind w:left="116"/>
              <w:rPr>
                <w:rFonts w:ascii="宋体"/>
                <w:sz w:val="21"/>
              </w:rPr>
            </w:pPr>
            <w:r>
              <w:rPr>
                <w:rFonts w:ascii="宋体"/>
                <w:w w:val="100"/>
                <w:sz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before="20"/>
              <w:ind w:left="115"/>
              <w:rPr>
                <w:rFonts w:ascii="宋体"/>
                <w:sz w:val="21"/>
              </w:rPr>
            </w:pPr>
            <w:r>
              <w:rPr>
                <w:rFonts w:ascii="宋体"/>
                <w:w w:val="100"/>
                <w:sz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before="190"/>
              <w:ind w:right="86"/>
              <w:jc w:val="right"/>
              <w:rPr>
                <w:sz w:val="21"/>
              </w:rPr>
            </w:pPr>
            <w:r>
              <w:rPr>
                <w:sz w:val="21"/>
              </w:rPr>
              <w:t>1.7%~2.7%</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22"/>
              <w:ind w:left="139"/>
              <w:rPr>
                <w:rFonts w:ascii="宋体" w:eastAsia="宋体" w:hint="eastAsia"/>
                <w:sz w:val="21"/>
              </w:rPr>
            </w:pPr>
            <w:r>
              <w:rPr>
                <w:rFonts w:ascii="宋体" w:eastAsia="宋体" w:hint="eastAsia"/>
                <w:sz w:val="21"/>
              </w:rPr>
              <w:t>未到</w:t>
            </w:r>
          </w:p>
          <w:p>
            <w:pPr>
              <w:pStyle w:val="TableParagraph"/>
              <w:spacing w:before="43"/>
              <w:ind w:left="242"/>
              <w:rPr>
                <w:rFonts w:ascii="宋体" w:eastAsia="宋体" w:hint="eastAsia"/>
                <w:sz w:val="21"/>
              </w:rPr>
            </w:pPr>
            <w:r>
              <w:rPr>
                <w:rFonts w:ascii="宋体" w:eastAsia="宋体" w:hint="eastAsia"/>
                <w:w w:val="100"/>
                <w:sz w:val="21"/>
              </w:rPr>
              <w:t>期</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before="178"/>
              <w:ind w:left="16"/>
              <w:jc w:val="center"/>
              <w:rPr>
                <w:rFonts w:ascii="宋体" w:eastAsia="宋体" w:hint="eastAsia"/>
                <w:sz w:val="21"/>
              </w:rPr>
            </w:pPr>
            <w:r>
              <w:rPr>
                <w:rFonts w:ascii="宋体" w:eastAsia="宋体" w:hint="eastAsia"/>
                <w:w w:val="100"/>
                <w:sz w:val="21"/>
              </w:rPr>
              <w:t>是</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before="178"/>
              <w:ind w:left="255"/>
              <w:rPr>
                <w:rFonts w:ascii="宋体" w:eastAsia="宋体" w:hint="eastAsia"/>
                <w:sz w:val="21"/>
              </w:rPr>
            </w:pPr>
            <w:r>
              <w:rPr>
                <w:rFonts w:ascii="宋体" w:eastAsia="宋体" w:hint="eastAsia"/>
                <w:w w:val="100"/>
                <w:sz w:val="21"/>
              </w:rPr>
              <w:t>是</w:t>
            </w:r>
          </w:p>
        </w:tc>
        <w:tc>
          <w:tcPr>
            <w:tcW w:w="711" w:type="dxa"/>
            <w:tcBorders>
              <w:top w:val="single" w:sz="4" w:space="0" w:color="000000"/>
              <w:left w:val="single" w:sz="4" w:space="0" w:color="000000"/>
              <w:bottom w:val="single" w:sz="4" w:space="0" w:color="000000"/>
            </w:tcBorders>
          </w:tcPr>
          <w:p>
            <w:pPr>
              <w:pStyle w:val="TableParagraph"/>
              <w:rPr>
                <w:sz w:val="20"/>
              </w:rPr>
            </w:pPr>
          </w:p>
        </w:tc>
      </w:tr>
      <w:tr>
        <w:trPr>
          <w:trHeight w:val="623" w:hRule="atLeast"/>
        </w:trPr>
        <w:tc>
          <w:tcPr>
            <w:tcW w:w="1736" w:type="dxa"/>
            <w:tcBorders>
              <w:top w:val="single" w:sz="4" w:space="0" w:color="000000"/>
              <w:bottom w:val="single" w:sz="4" w:space="0" w:color="000000"/>
              <w:right w:val="single" w:sz="4" w:space="0" w:color="000000"/>
            </w:tcBorders>
          </w:tcPr>
          <w:p>
            <w:pPr>
              <w:pStyle w:val="TableParagraph"/>
              <w:spacing w:before="178"/>
              <w:ind w:left="113" w:right="93"/>
              <w:jc w:val="center"/>
              <w:rPr>
                <w:rFonts w:ascii="宋体" w:eastAsia="宋体" w:hint="eastAsia"/>
                <w:sz w:val="21"/>
              </w:rPr>
            </w:pPr>
            <w:r>
              <w:rPr>
                <w:rFonts w:ascii="宋体" w:eastAsia="宋体" w:hint="eastAsia"/>
                <w:sz w:val="21"/>
              </w:rPr>
              <w:t>建行海尔路支行</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178"/>
              <w:ind w:left="421"/>
              <w:rPr>
                <w:rFonts w:ascii="宋体" w:eastAsia="宋体" w:hint="eastAsia"/>
                <w:sz w:val="21"/>
              </w:rPr>
            </w:pPr>
            <w:r>
              <w:rPr>
                <w:rFonts w:ascii="宋体" w:eastAsia="宋体" w:hint="eastAsia"/>
                <w:sz w:val="21"/>
              </w:rPr>
              <w:t>理财</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before="190"/>
              <w:ind w:right="84"/>
              <w:jc w:val="right"/>
              <w:rPr>
                <w:sz w:val="21"/>
              </w:rPr>
            </w:pPr>
            <w:r>
              <w:rPr>
                <w:sz w:val="21"/>
              </w:rPr>
              <w:t>17,000,000.00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before="190"/>
              <w:ind w:left="117"/>
              <w:rPr>
                <w:sz w:val="21"/>
              </w:rPr>
            </w:pPr>
            <w:r>
              <w:rPr>
                <w:sz w:val="21"/>
              </w:rPr>
              <w:t>2019/4/17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before="178"/>
              <w:ind w:left="117"/>
              <w:rPr>
                <w:rFonts w:ascii="宋体" w:eastAsia="宋体" w:hint="eastAsia"/>
                <w:sz w:val="21"/>
              </w:rPr>
            </w:pPr>
            <w:r>
              <w:rPr>
                <w:rFonts w:ascii="宋体" w:eastAsia="宋体" w:hint="eastAsia"/>
                <w:sz w:val="21"/>
              </w:rPr>
              <w:t>每周三可取</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22"/>
              <w:ind w:left="177" w:right="151"/>
              <w:jc w:val="center"/>
              <w:rPr>
                <w:rFonts w:ascii="宋体" w:eastAsia="宋体" w:hint="eastAsia"/>
                <w:sz w:val="21"/>
              </w:rPr>
            </w:pPr>
            <w:r>
              <w:rPr>
                <w:rFonts w:ascii="宋体" w:eastAsia="宋体" w:hint="eastAsia"/>
                <w:sz w:val="21"/>
              </w:rPr>
              <w:t>自有资</w:t>
            </w:r>
          </w:p>
          <w:p>
            <w:pPr>
              <w:pStyle w:val="TableParagraph"/>
              <w:spacing w:before="43"/>
              <w:ind w:left="26"/>
              <w:jc w:val="center"/>
              <w:rPr>
                <w:rFonts w:ascii="宋体" w:eastAsia="宋体" w:hint="eastAsia"/>
                <w:sz w:val="21"/>
              </w:rPr>
            </w:pPr>
            <w:r>
              <w:rPr>
                <w:rFonts w:ascii="宋体" w:eastAsia="宋体" w:hint="eastAsia"/>
                <w:w w:val="100"/>
                <w:sz w:val="21"/>
              </w:rPr>
              <w:t>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before="20"/>
              <w:ind w:left="116"/>
              <w:rPr>
                <w:rFonts w:ascii="宋体"/>
                <w:sz w:val="21"/>
              </w:rPr>
            </w:pPr>
            <w:r>
              <w:rPr>
                <w:rFonts w:ascii="宋体"/>
                <w:w w:val="100"/>
                <w:sz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before="20"/>
              <w:ind w:left="115"/>
              <w:rPr>
                <w:rFonts w:ascii="宋体"/>
                <w:sz w:val="21"/>
              </w:rPr>
            </w:pPr>
            <w:r>
              <w:rPr>
                <w:rFonts w:ascii="宋体"/>
                <w:w w:val="100"/>
                <w:sz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before="190"/>
              <w:ind w:right="86"/>
              <w:jc w:val="right"/>
              <w:rPr>
                <w:sz w:val="21"/>
              </w:rPr>
            </w:pPr>
            <w:r>
              <w:rPr>
                <w:sz w:val="21"/>
              </w:rPr>
              <w:t>1.7%~2.7%</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22"/>
              <w:ind w:left="139"/>
              <w:rPr>
                <w:rFonts w:ascii="宋体" w:eastAsia="宋体" w:hint="eastAsia"/>
                <w:sz w:val="21"/>
              </w:rPr>
            </w:pPr>
            <w:r>
              <w:rPr>
                <w:rFonts w:ascii="宋体" w:eastAsia="宋体" w:hint="eastAsia"/>
                <w:sz w:val="21"/>
              </w:rPr>
              <w:t>未到</w:t>
            </w:r>
          </w:p>
          <w:p>
            <w:pPr>
              <w:pStyle w:val="TableParagraph"/>
              <w:spacing w:before="43"/>
              <w:ind w:left="242"/>
              <w:rPr>
                <w:rFonts w:ascii="宋体" w:eastAsia="宋体" w:hint="eastAsia"/>
                <w:sz w:val="21"/>
              </w:rPr>
            </w:pPr>
            <w:r>
              <w:rPr>
                <w:rFonts w:ascii="宋体" w:eastAsia="宋体" w:hint="eastAsia"/>
                <w:w w:val="100"/>
                <w:sz w:val="21"/>
              </w:rPr>
              <w:t>期</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before="178"/>
              <w:ind w:left="16"/>
              <w:jc w:val="center"/>
              <w:rPr>
                <w:rFonts w:ascii="宋体" w:eastAsia="宋体" w:hint="eastAsia"/>
                <w:sz w:val="21"/>
              </w:rPr>
            </w:pPr>
            <w:r>
              <w:rPr>
                <w:rFonts w:ascii="宋体" w:eastAsia="宋体" w:hint="eastAsia"/>
                <w:w w:val="100"/>
                <w:sz w:val="21"/>
              </w:rPr>
              <w:t>是</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before="178"/>
              <w:ind w:left="255"/>
              <w:rPr>
                <w:rFonts w:ascii="宋体" w:eastAsia="宋体" w:hint="eastAsia"/>
                <w:sz w:val="21"/>
              </w:rPr>
            </w:pPr>
            <w:r>
              <w:rPr>
                <w:rFonts w:ascii="宋体" w:eastAsia="宋体" w:hint="eastAsia"/>
                <w:w w:val="100"/>
                <w:sz w:val="21"/>
              </w:rPr>
              <w:t>是</w:t>
            </w:r>
          </w:p>
        </w:tc>
        <w:tc>
          <w:tcPr>
            <w:tcW w:w="711" w:type="dxa"/>
            <w:tcBorders>
              <w:top w:val="single" w:sz="4" w:space="0" w:color="000000"/>
              <w:left w:val="single" w:sz="4" w:space="0" w:color="000000"/>
              <w:bottom w:val="single" w:sz="4" w:space="0" w:color="000000"/>
            </w:tcBorders>
          </w:tcPr>
          <w:p>
            <w:pPr>
              <w:pStyle w:val="TableParagraph"/>
              <w:rPr>
                <w:sz w:val="20"/>
              </w:rPr>
            </w:pPr>
          </w:p>
        </w:tc>
      </w:tr>
      <w:tr>
        <w:trPr>
          <w:trHeight w:val="623" w:hRule="atLeast"/>
        </w:trPr>
        <w:tc>
          <w:tcPr>
            <w:tcW w:w="1736" w:type="dxa"/>
            <w:tcBorders>
              <w:top w:val="single" w:sz="4" w:space="0" w:color="000000"/>
              <w:bottom w:val="single" w:sz="4" w:space="0" w:color="000000"/>
              <w:right w:val="single" w:sz="4" w:space="0" w:color="000000"/>
            </w:tcBorders>
          </w:tcPr>
          <w:p>
            <w:pPr>
              <w:pStyle w:val="TableParagraph"/>
              <w:spacing w:before="178"/>
              <w:ind w:left="113" w:right="93"/>
              <w:jc w:val="center"/>
              <w:rPr>
                <w:rFonts w:ascii="宋体" w:eastAsia="宋体" w:hint="eastAsia"/>
                <w:sz w:val="21"/>
              </w:rPr>
            </w:pPr>
            <w:r>
              <w:rPr>
                <w:rFonts w:ascii="宋体" w:eastAsia="宋体" w:hint="eastAsia"/>
                <w:sz w:val="21"/>
              </w:rPr>
              <w:t>建行海尔路支行</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178"/>
              <w:ind w:left="421"/>
              <w:rPr>
                <w:rFonts w:ascii="宋体" w:eastAsia="宋体" w:hint="eastAsia"/>
                <w:sz w:val="21"/>
              </w:rPr>
            </w:pPr>
            <w:r>
              <w:rPr>
                <w:rFonts w:ascii="宋体" w:eastAsia="宋体" w:hint="eastAsia"/>
                <w:sz w:val="21"/>
              </w:rPr>
              <w:t>理财</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before="190"/>
              <w:ind w:right="84"/>
              <w:jc w:val="right"/>
              <w:rPr>
                <w:sz w:val="21"/>
              </w:rPr>
            </w:pPr>
            <w:r>
              <w:rPr>
                <w:sz w:val="21"/>
              </w:rPr>
              <w:t>10,000,000.00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before="190"/>
              <w:ind w:left="117"/>
              <w:rPr>
                <w:sz w:val="21"/>
              </w:rPr>
            </w:pPr>
            <w:r>
              <w:rPr>
                <w:sz w:val="21"/>
              </w:rPr>
              <w:t>2019/6/26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before="178"/>
              <w:ind w:left="117"/>
              <w:rPr>
                <w:rFonts w:ascii="宋体" w:eastAsia="宋体" w:hint="eastAsia"/>
                <w:sz w:val="21"/>
              </w:rPr>
            </w:pPr>
            <w:r>
              <w:rPr>
                <w:rFonts w:ascii="宋体" w:eastAsia="宋体" w:hint="eastAsia"/>
                <w:sz w:val="21"/>
              </w:rPr>
              <w:t>每周三可取</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22"/>
              <w:ind w:left="177" w:right="151"/>
              <w:jc w:val="center"/>
              <w:rPr>
                <w:rFonts w:ascii="宋体" w:eastAsia="宋体" w:hint="eastAsia"/>
                <w:sz w:val="21"/>
              </w:rPr>
            </w:pPr>
            <w:r>
              <w:rPr>
                <w:rFonts w:ascii="宋体" w:eastAsia="宋体" w:hint="eastAsia"/>
                <w:sz w:val="21"/>
              </w:rPr>
              <w:t>自有资</w:t>
            </w:r>
          </w:p>
          <w:p>
            <w:pPr>
              <w:pStyle w:val="TableParagraph"/>
              <w:spacing w:before="43"/>
              <w:ind w:left="26"/>
              <w:jc w:val="center"/>
              <w:rPr>
                <w:rFonts w:ascii="宋体" w:eastAsia="宋体" w:hint="eastAsia"/>
                <w:sz w:val="21"/>
              </w:rPr>
            </w:pPr>
            <w:r>
              <w:rPr>
                <w:rFonts w:ascii="宋体" w:eastAsia="宋体" w:hint="eastAsia"/>
                <w:w w:val="100"/>
                <w:sz w:val="21"/>
              </w:rPr>
              <w:t>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before="20"/>
              <w:ind w:left="116"/>
              <w:rPr>
                <w:rFonts w:ascii="宋体"/>
                <w:sz w:val="21"/>
              </w:rPr>
            </w:pPr>
            <w:r>
              <w:rPr>
                <w:rFonts w:ascii="宋体"/>
                <w:w w:val="100"/>
                <w:sz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before="20"/>
              <w:ind w:left="115"/>
              <w:rPr>
                <w:rFonts w:ascii="宋体"/>
                <w:sz w:val="21"/>
              </w:rPr>
            </w:pPr>
            <w:r>
              <w:rPr>
                <w:rFonts w:ascii="宋体"/>
                <w:w w:val="100"/>
                <w:sz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before="190"/>
              <w:ind w:right="86"/>
              <w:jc w:val="right"/>
              <w:rPr>
                <w:sz w:val="21"/>
              </w:rPr>
            </w:pPr>
            <w:r>
              <w:rPr>
                <w:sz w:val="21"/>
              </w:rPr>
              <w:t>1.7%~2.7%</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22"/>
              <w:ind w:left="139"/>
              <w:rPr>
                <w:rFonts w:ascii="宋体" w:eastAsia="宋体" w:hint="eastAsia"/>
                <w:sz w:val="21"/>
              </w:rPr>
            </w:pPr>
            <w:r>
              <w:rPr>
                <w:rFonts w:ascii="宋体" w:eastAsia="宋体" w:hint="eastAsia"/>
                <w:sz w:val="21"/>
              </w:rPr>
              <w:t>未到</w:t>
            </w:r>
          </w:p>
          <w:p>
            <w:pPr>
              <w:pStyle w:val="TableParagraph"/>
              <w:spacing w:before="43"/>
              <w:ind w:left="242"/>
              <w:rPr>
                <w:rFonts w:ascii="宋体" w:eastAsia="宋体" w:hint="eastAsia"/>
                <w:sz w:val="21"/>
              </w:rPr>
            </w:pPr>
            <w:r>
              <w:rPr>
                <w:rFonts w:ascii="宋体" w:eastAsia="宋体" w:hint="eastAsia"/>
                <w:w w:val="100"/>
                <w:sz w:val="21"/>
              </w:rPr>
              <w:t>期</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before="178"/>
              <w:ind w:left="16"/>
              <w:jc w:val="center"/>
              <w:rPr>
                <w:rFonts w:ascii="宋体" w:eastAsia="宋体" w:hint="eastAsia"/>
                <w:sz w:val="21"/>
              </w:rPr>
            </w:pPr>
            <w:r>
              <w:rPr>
                <w:rFonts w:ascii="宋体" w:eastAsia="宋体" w:hint="eastAsia"/>
                <w:w w:val="100"/>
                <w:sz w:val="21"/>
              </w:rPr>
              <w:t>是</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before="178"/>
              <w:ind w:left="255"/>
              <w:rPr>
                <w:rFonts w:ascii="宋体" w:eastAsia="宋体" w:hint="eastAsia"/>
                <w:sz w:val="21"/>
              </w:rPr>
            </w:pPr>
            <w:r>
              <w:rPr>
                <w:rFonts w:ascii="宋体" w:eastAsia="宋体" w:hint="eastAsia"/>
                <w:w w:val="100"/>
                <w:sz w:val="21"/>
              </w:rPr>
              <w:t>是</w:t>
            </w:r>
          </w:p>
        </w:tc>
        <w:tc>
          <w:tcPr>
            <w:tcW w:w="711" w:type="dxa"/>
            <w:tcBorders>
              <w:top w:val="single" w:sz="4" w:space="0" w:color="000000"/>
              <w:left w:val="single" w:sz="4" w:space="0" w:color="000000"/>
              <w:bottom w:val="single" w:sz="4" w:space="0" w:color="000000"/>
            </w:tcBorders>
          </w:tcPr>
          <w:p>
            <w:pPr>
              <w:pStyle w:val="TableParagraph"/>
              <w:rPr>
                <w:sz w:val="20"/>
              </w:rPr>
            </w:pPr>
          </w:p>
        </w:tc>
      </w:tr>
      <w:tr>
        <w:trPr>
          <w:trHeight w:val="624" w:hRule="atLeast"/>
        </w:trPr>
        <w:tc>
          <w:tcPr>
            <w:tcW w:w="1736" w:type="dxa"/>
            <w:tcBorders>
              <w:top w:val="single" w:sz="4" w:space="0" w:color="000000"/>
              <w:bottom w:val="single" w:sz="4" w:space="0" w:color="000000"/>
              <w:right w:val="single" w:sz="4" w:space="0" w:color="000000"/>
            </w:tcBorders>
          </w:tcPr>
          <w:p>
            <w:pPr>
              <w:pStyle w:val="TableParagraph"/>
              <w:spacing w:before="179"/>
              <w:ind w:left="113" w:right="93"/>
              <w:jc w:val="center"/>
              <w:rPr>
                <w:rFonts w:ascii="宋体" w:eastAsia="宋体" w:hint="eastAsia"/>
                <w:sz w:val="21"/>
              </w:rPr>
            </w:pPr>
            <w:r>
              <w:rPr>
                <w:rFonts w:ascii="宋体" w:eastAsia="宋体" w:hint="eastAsia"/>
                <w:sz w:val="21"/>
              </w:rPr>
              <w:t>建行海尔路支行</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179"/>
              <w:ind w:left="421"/>
              <w:rPr>
                <w:rFonts w:ascii="宋体" w:eastAsia="宋体" w:hint="eastAsia"/>
                <w:sz w:val="21"/>
              </w:rPr>
            </w:pPr>
            <w:r>
              <w:rPr>
                <w:rFonts w:ascii="宋体" w:eastAsia="宋体" w:hint="eastAsia"/>
                <w:sz w:val="21"/>
              </w:rPr>
              <w:t>理财</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before="190"/>
              <w:ind w:right="84"/>
              <w:jc w:val="right"/>
              <w:rPr>
                <w:sz w:val="21"/>
              </w:rPr>
            </w:pPr>
            <w:r>
              <w:rPr>
                <w:sz w:val="21"/>
              </w:rPr>
              <w:t>30,000,000.00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before="190"/>
              <w:ind w:left="117"/>
              <w:rPr>
                <w:sz w:val="21"/>
              </w:rPr>
            </w:pPr>
            <w:r>
              <w:rPr>
                <w:sz w:val="21"/>
              </w:rPr>
              <w:t>2019/7/31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before="179"/>
              <w:ind w:left="117"/>
              <w:rPr>
                <w:rFonts w:ascii="宋体" w:eastAsia="宋体" w:hint="eastAsia"/>
                <w:sz w:val="21"/>
              </w:rPr>
            </w:pPr>
            <w:r>
              <w:rPr>
                <w:rFonts w:ascii="宋体" w:eastAsia="宋体" w:hint="eastAsia"/>
                <w:sz w:val="21"/>
              </w:rPr>
              <w:t>每周三可取</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22"/>
              <w:ind w:left="177" w:right="151"/>
              <w:jc w:val="center"/>
              <w:rPr>
                <w:rFonts w:ascii="宋体" w:eastAsia="宋体" w:hint="eastAsia"/>
                <w:sz w:val="21"/>
              </w:rPr>
            </w:pPr>
            <w:r>
              <w:rPr>
                <w:rFonts w:ascii="宋体" w:eastAsia="宋体" w:hint="eastAsia"/>
                <w:sz w:val="21"/>
              </w:rPr>
              <w:t>自有资</w:t>
            </w:r>
          </w:p>
          <w:p>
            <w:pPr>
              <w:pStyle w:val="TableParagraph"/>
              <w:spacing w:before="44"/>
              <w:ind w:left="26"/>
              <w:jc w:val="center"/>
              <w:rPr>
                <w:rFonts w:ascii="宋体" w:eastAsia="宋体" w:hint="eastAsia"/>
                <w:sz w:val="21"/>
              </w:rPr>
            </w:pPr>
            <w:r>
              <w:rPr>
                <w:rFonts w:ascii="宋体" w:eastAsia="宋体" w:hint="eastAsia"/>
                <w:w w:val="100"/>
                <w:sz w:val="21"/>
              </w:rPr>
              <w:t>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before="20"/>
              <w:ind w:left="116"/>
              <w:rPr>
                <w:rFonts w:ascii="宋体"/>
                <w:sz w:val="21"/>
              </w:rPr>
            </w:pPr>
            <w:r>
              <w:rPr>
                <w:rFonts w:ascii="宋体"/>
                <w:w w:val="100"/>
                <w:sz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before="20"/>
              <w:ind w:left="115"/>
              <w:rPr>
                <w:rFonts w:ascii="宋体"/>
                <w:sz w:val="21"/>
              </w:rPr>
            </w:pPr>
            <w:r>
              <w:rPr>
                <w:rFonts w:ascii="宋体"/>
                <w:w w:val="100"/>
                <w:sz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before="190"/>
              <w:ind w:right="86"/>
              <w:jc w:val="right"/>
              <w:rPr>
                <w:sz w:val="21"/>
              </w:rPr>
            </w:pPr>
            <w:r>
              <w:rPr>
                <w:sz w:val="21"/>
              </w:rPr>
              <w:t>1.7%~2.7%</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22"/>
              <w:ind w:left="139"/>
              <w:rPr>
                <w:rFonts w:ascii="宋体" w:eastAsia="宋体" w:hint="eastAsia"/>
                <w:sz w:val="21"/>
              </w:rPr>
            </w:pPr>
            <w:r>
              <w:rPr>
                <w:rFonts w:ascii="宋体" w:eastAsia="宋体" w:hint="eastAsia"/>
                <w:sz w:val="21"/>
              </w:rPr>
              <w:t>未到</w:t>
            </w:r>
          </w:p>
          <w:p>
            <w:pPr>
              <w:pStyle w:val="TableParagraph"/>
              <w:spacing w:before="44"/>
              <w:ind w:left="242"/>
              <w:rPr>
                <w:rFonts w:ascii="宋体" w:eastAsia="宋体" w:hint="eastAsia"/>
                <w:sz w:val="21"/>
              </w:rPr>
            </w:pPr>
            <w:r>
              <w:rPr>
                <w:rFonts w:ascii="宋体" w:eastAsia="宋体" w:hint="eastAsia"/>
                <w:w w:val="100"/>
                <w:sz w:val="21"/>
              </w:rPr>
              <w:t>期</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before="179"/>
              <w:ind w:left="16"/>
              <w:jc w:val="center"/>
              <w:rPr>
                <w:rFonts w:ascii="宋体" w:eastAsia="宋体" w:hint="eastAsia"/>
                <w:sz w:val="21"/>
              </w:rPr>
            </w:pPr>
            <w:r>
              <w:rPr>
                <w:rFonts w:ascii="宋体" w:eastAsia="宋体" w:hint="eastAsia"/>
                <w:w w:val="100"/>
                <w:sz w:val="21"/>
              </w:rPr>
              <w:t>是</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before="179"/>
              <w:ind w:left="255"/>
              <w:rPr>
                <w:rFonts w:ascii="宋体" w:eastAsia="宋体" w:hint="eastAsia"/>
                <w:sz w:val="21"/>
              </w:rPr>
            </w:pPr>
            <w:r>
              <w:rPr>
                <w:rFonts w:ascii="宋体" w:eastAsia="宋体" w:hint="eastAsia"/>
                <w:w w:val="100"/>
                <w:sz w:val="21"/>
              </w:rPr>
              <w:t>是</w:t>
            </w:r>
          </w:p>
        </w:tc>
        <w:tc>
          <w:tcPr>
            <w:tcW w:w="711" w:type="dxa"/>
            <w:tcBorders>
              <w:top w:val="single" w:sz="4" w:space="0" w:color="000000"/>
              <w:left w:val="single" w:sz="4" w:space="0" w:color="000000"/>
              <w:bottom w:val="single" w:sz="4" w:space="0" w:color="000000"/>
            </w:tcBorders>
          </w:tcPr>
          <w:p>
            <w:pPr>
              <w:pStyle w:val="TableParagraph"/>
              <w:rPr>
                <w:sz w:val="20"/>
              </w:rPr>
            </w:pPr>
          </w:p>
        </w:tc>
      </w:tr>
      <w:tr>
        <w:trPr>
          <w:trHeight w:val="623" w:hRule="atLeast"/>
        </w:trPr>
        <w:tc>
          <w:tcPr>
            <w:tcW w:w="1736" w:type="dxa"/>
            <w:tcBorders>
              <w:top w:val="single" w:sz="4" w:space="0" w:color="000000"/>
              <w:bottom w:val="single" w:sz="4" w:space="0" w:color="000000"/>
              <w:right w:val="single" w:sz="4" w:space="0" w:color="000000"/>
            </w:tcBorders>
          </w:tcPr>
          <w:p>
            <w:pPr>
              <w:pStyle w:val="TableParagraph"/>
              <w:spacing w:before="178"/>
              <w:ind w:left="113" w:right="93"/>
              <w:jc w:val="center"/>
              <w:rPr>
                <w:rFonts w:ascii="宋体" w:eastAsia="宋体" w:hint="eastAsia"/>
                <w:sz w:val="21"/>
              </w:rPr>
            </w:pPr>
            <w:r>
              <w:rPr>
                <w:rFonts w:ascii="宋体" w:eastAsia="宋体" w:hint="eastAsia"/>
                <w:sz w:val="21"/>
              </w:rPr>
              <w:t>交行青岛分行</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178"/>
              <w:ind w:left="421"/>
              <w:rPr>
                <w:rFonts w:ascii="宋体" w:eastAsia="宋体" w:hint="eastAsia"/>
                <w:sz w:val="21"/>
              </w:rPr>
            </w:pPr>
            <w:r>
              <w:rPr>
                <w:rFonts w:ascii="宋体" w:eastAsia="宋体" w:hint="eastAsia"/>
                <w:sz w:val="21"/>
              </w:rPr>
              <w:t>理财</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before="190"/>
              <w:ind w:right="84"/>
              <w:jc w:val="right"/>
              <w:rPr>
                <w:sz w:val="21"/>
              </w:rPr>
            </w:pPr>
            <w:r>
              <w:rPr>
                <w:sz w:val="21"/>
              </w:rPr>
              <w:t>304,000,000.00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before="190"/>
              <w:ind w:left="117"/>
              <w:rPr>
                <w:sz w:val="21"/>
              </w:rPr>
            </w:pPr>
            <w:r>
              <w:rPr>
                <w:sz w:val="21"/>
              </w:rPr>
              <w:t>2020/9/30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before="190"/>
              <w:ind w:left="117"/>
              <w:rPr>
                <w:sz w:val="21"/>
              </w:rPr>
            </w:pPr>
            <w:r>
              <w:rPr>
                <w:sz w:val="21"/>
              </w:rPr>
              <w:t>2021/1/8</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22"/>
              <w:ind w:left="177" w:right="151"/>
              <w:jc w:val="center"/>
              <w:rPr>
                <w:rFonts w:ascii="宋体" w:eastAsia="宋体" w:hint="eastAsia"/>
                <w:sz w:val="21"/>
              </w:rPr>
            </w:pPr>
            <w:r>
              <w:rPr>
                <w:rFonts w:ascii="宋体" w:eastAsia="宋体" w:hint="eastAsia"/>
                <w:sz w:val="21"/>
              </w:rPr>
              <w:t>自有资</w:t>
            </w:r>
          </w:p>
          <w:p>
            <w:pPr>
              <w:pStyle w:val="TableParagraph"/>
              <w:spacing w:before="43"/>
              <w:ind w:left="26"/>
              <w:jc w:val="center"/>
              <w:rPr>
                <w:rFonts w:ascii="宋体" w:eastAsia="宋体" w:hint="eastAsia"/>
                <w:sz w:val="21"/>
              </w:rPr>
            </w:pPr>
            <w:r>
              <w:rPr>
                <w:rFonts w:ascii="宋体" w:eastAsia="宋体" w:hint="eastAsia"/>
                <w:w w:val="100"/>
                <w:sz w:val="21"/>
              </w:rPr>
              <w:t>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before="20"/>
              <w:ind w:left="116"/>
              <w:rPr>
                <w:rFonts w:ascii="宋体"/>
                <w:sz w:val="21"/>
              </w:rPr>
            </w:pPr>
            <w:r>
              <w:rPr>
                <w:rFonts w:ascii="宋体"/>
                <w:w w:val="100"/>
                <w:sz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before="20"/>
              <w:ind w:left="115"/>
              <w:rPr>
                <w:rFonts w:ascii="宋体"/>
                <w:sz w:val="21"/>
              </w:rPr>
            </w:pPr>
            <w:r>
              <w:rPr>
                <w:rFonts w:ascii="宋体"/>
                <w:w w:val="100"/>
                <w:sz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before="190"/>
              <w:ind w:right="86"/>
              <w:jc w:val="right"/>
              <w:rPr>
                <w:sz w:val="21"/>
              </w:rPr>
            </w:pPr>
            <w:r>
              <w:rPr>
                <w:sz w:val="21"/>
              </w:rPr>
              <w:t>2.82%</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before="190"/>
              <w:ind w:right="88"/>
              <w:jc w:val="right"/>
              <w:rPr>
                <w:sz w:val="21"/>
              </w:rPr>
            </w:pPr>
            <w:r>
              <w:rPr>
                <w:sz w:val="21"/>
              </w:rPr>
              <w:t>2,348,712</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22"/>
              <w:ind w:left="139"/>
              <w:rPr>
                <w:rFonts w:ascii="宋体" w:eastAsia="宋体" w:hint="eastAsia"/>
                <w:sz w:val="21"/>
              </w:rPr>
            </w:pPr>
            <w:r>
              <w:rPr>
                <w:rFonts w:ascii="宋体" w:eastAsia="宋体" w:hint="eastAsia"/>
                <w:sz w:val="21"/>
              </w:rPr>
              <w:t>未到</w:t>
            </w:r>
          </w:p>
          <w:p>
            <w:pPr>
              <w:pStyle w:val="TableParagraph"/>
              <w:spacing w:before="43"/>
              <w:ind w:left="242"/>
              <w:rPr>
                <w:rFonts w:ascii="宋体" w:eastAsia="宋体" w:hint="eastAsia"/>
                <w:sz w:val="21"/>
              </w:rPr>
            </w:pPr>
            <w:r>
              <w:rPr>
                <w:rFonts w:ascii="宋体" w:eastAsia="宋体" w:hint="eastAsia"/>
                <w:w w:val="100"/>
                <w:sz w:val="21"/>
              </w:rPr>
              <w:t>期</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before="178"/>
              <w:ind w:left="16"/>
              <w:jc w:val="center"/>
              <w:rPr>
                <w:rFonts w:ascii="宋体" w:eastAsia="宋体" w:hint="eastAsia"/>
                <w:sz w:val="21"/>
              </w:rPr>
            </w:pPr>
            <w:r>
              <w:rPr>
                <w:rFonts w:ascii="宋体" w:eastAsia="宋体" w:hint="eastAsia"/>
                <w:w w:val="100"/>
                <w:sz w:val="21"/>
              </w:rPr>
              <w:t>是</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before="178"/>
              <w:ind w:left="255"/>
              <w:rPr>
                <w:rFonts w:ascii="宋体" w:eastAsia="宋体" w:hint="eastAsia"/>
                <w:sz w:val="21"/>
              </w:rPr>
            </w:pPr>
            <w:r>
              <w:rPr>
                <w:rFonts w:ascii="宋体" w:eastAsia="宋体" w:hint="eastAsia"/>
                <w:w w:val="100"/>
                <w:sz w:val="21"/>
              </w:rPr>
              <w:t>是</w:t>
            </w:r>
          </w:p>
        </w:tc>
        <w:tc>
          <w:tcPr>
            <w:tcW w:w="711" w:type="dxa"/>
            <w:tcBorders>
              <w:top w:val="single" w:sz="4" w:space="0" w:color="000000"/>
              <w:left w:val="single" w:sz="4" w:space="0" w:color="000000"/>
              <w:bottom w:val="single" w:sz="4" w:space="0" w:color="000000"/>
            </w:tcBorders>
          </w:tcPr>
          <w:p>
            <w:pPr>
              <w:pStyle w:val="TableParagraph"/>
              <w:rPr>
                <w:sz w:val="20"/>
              </w:rPr>
            </w:pPr>
          </w:p>
        </w:tc>
      </w:tr>
      <w:tr>
        <w:trPr>
          <w:trHeight w:val="623" w:hRule="atLeast"/>
        </w:trPr>
        <w:tc>
          <w:tcPr>
            <w:tcW w:w="1736" w:type="dxa"/>
            <w:tcBorders>
              <w:top w:val="single" w:sz="4" w:space="0" w:color="000000"/>
              <w:right w:val="single" w:sz="4" w:space="0" w:color="000000"/>
            </w:tcBorders>
          </w:tcPr>
          <w:p>
            <w:pPr>
              <w:pStyle w:val="TableParagraph"/>
              <w:spacing w:before="1"/>
              <w:rPr>
                <w:rFonts w:ascii="宋体"/>
                <w:sz w:val="14"/>
              </w:rPr>
            </w:pPr>
          </w:p>
          <w:p>
            <w:pPr>
              <w:pStyle w:val="TableParagraph"/>
              <w:ind w:left="113" w:right="93"/>
              <w:jc w:val="center"/>
              <w:rPr>
                <w:rFonts w:ascii="宋体" w:eastAsia="宋体" w:hint="eastAsia"/>
                <w:sz w:val="21"/>
              </w:rPr>
            </w:pPr>
            <w:r>
              <w:rPr>
                <w:rFonts w:ascii="宋体" w:eastAsia="宋体" w:hint="eastAsia"/>
                <w:sz w:val="21"/>
              </w:rPr>
              <w:t>交行青岛分行</w:t>
            </w:r>
          </w:p>
        </w:tc>
        <w:tc>
          <w:tcPr>
            <w:tcW w:w="1248" w:type="dxa"/>
            <w:tcBorders>
              <w:top w:val="single" w:sz="4" w:space="0" w:color="000000"/>
              <w:left w:val="single" w:sz="4" w:space="0" w:color="000000"/>
              <w:right w:val="single" w:sz="4" w:space="0" w:color="000000"/>
            </w:tcBorders>
          </w:tcPr>
          <w:p>
            <w:pPr>
              <w:pStyle w:val="TableParagraph"/>
              <w:spacing w:before="1"/>
              <w:rPr>
                <w:rFonts w:ascii="宋体"/>
                <w:sz w:val="14"/>
              </w:rPr>
            </w:pPr>
          </w:p>
          <w:p>
            <w:pPr>
              <w:pStyle w:val="TableParagraph"/>
              <w:ind w:left="421"/>
              <w:rPr>
                <w:rFonts w:ascii="宋体" w:eastAsia="宋体" w:hint="eastAsia"/>
                <w:sz w:val="21"/>
              </w:rPr>
            </w:pPr>
            <w:r>
              <w:rPr>
                <w:rFonts w:ascii="宋体" w:eastAsia="宋体" w:hint="eastAsia"/>
                <w:sz w:val="21"/>
              </w:rPr>
              <w:t>理财</w:t>
            </w:r>
          </w:p>
        </w:tc>
        <w:tc>
          <w:tcPr>
            <w:tcW w:w="1579" w:type="dxa"/>
            <w:tcBorders>
              <w:top w:val="single" w:sz="4" w:space="0" w:color="000000"/>
              <w:left w:val="single" w:sz="4" w:space="0" w:color="000000"/>
              <w:right w:val="single" w:sz="4" w:space="0" w:color="000000"/>
            </w:tcBorders>
          </w:tcPr>
          <w:p>
            <w:pPr>
              <w:pStyle w:val="TableParagraph"/>
              <w:spacing w:before="192"/>
              <w:ind w:right="84"/>
              <w:jc w:val="right"/>
              <w:rPr>
                <w:sz w:val="21"/>
              </w:rPr>
            </w:pPr>
            <w:r>
              <w:rPr>
                <w:sz w:val="21"/>
              </w:rPr>
              <w:t>549,000,000.00</w:t>
            </w:r>
          </w:p>
        </w:tc>
        <w:tc>
          <w:tcPr>
            <w:tcW w:w="1532" w:type="dxa"/>
            <w:tcBorders>
              <w:top w:val="single" w:sz="4" w:space="0" w:color="000000"/>
              <w:left w:val="single" w:sz="4" w:space="0" w:color="000000"/>
              <w:right w:val="single" w:sz="4" w:space="0" w:color="000000"/>
            </w:tcBorders>
          </w:tcPr>
          <w:p>
            <w:pPr>
              <w:pStyle w:val="TableParagraph"/>
              <w:spacing w:before="192"/>
              <w:ind w:left="117"/>
              <w:rPr>
                <w:sz w:val="21"/>
              </w:rPr>
            </w:pPr>
            <w:r>
              <w:rPr>
                <w:sz w:val="21"/>
              </w:rPr>
              <w:t>2020/11/13</w:t>
            </w:r>
          </w:p>
        </w:tc>
        <w:tc>
          <w:tcPr>
            <w:tcW w:w="1414" w:type="dxa"/>
            <w:tcBorders>
              <w:top w:val="single" w:sz="4" w:space="0" w:color="000000"/>
              <w:left w:val="single" w:sz="4" w:space="0" w:color="000000"/>
              <w:right w:val="single" w:sz="4" w:space="0" w:color="000000"/>
            </w:tcBorders>
          </w:tcPr>
          <w:p>
            <w:pPr>
              <w:pStyle w:val="TableParagraph"/>
              <w:spacing w:before="192"/>
              <w:ind w:left="117"/>
              <w:rPr>
                <w:sz w:val="21"/>
              </w:rPr>
            </w:pPr>
            <w:r>
              <w:rPr>
                <w:sz w:val="21"/>
              </w:rPr>
              <w:t>2021/1/22</w:t>
            </w:r>
          </w:p>
        </w:tc>
        <w:tc>
          <w:tcPr>
            <w:tcW w:w="1009" w:type="dxa"/>
            <w:tcBorders>
              <w:top w:val="single" w:sz="4" w:space="0" w:color="000000"/>
              <w:left w:val="single" w:sz="4" w:space="0" w:color="000000"/>
              <w:right w:val="single" w:sz="4" w:space="0" w:color="000000"/>
            </w:tcBorders>
          </w:tcPr>
          <w:p>
            <w:pPr>
              <w:pStyle w:val="TableParagraph"/>
              <w:spacing w:before="25"/>
              <w:ind w:left="177" w:right="151"/>
              <w:jc w:val="center"/>
              <w:rPr>
                <w:rFonts w:ascii="宋体" w:eastAsia="宋体" w:hint="eastAsia"/>
                <w:sz w:val="21"/>
              </w:rPr>
            </w:pPr>
            <w:r>
              <w:rPr>
                <w:rFonts w:ascii="宋体" w:eastAsia="宋体" w:hint="eastAsia"/>
                <w:sz w:val="21"/>
              </w:rPr>
              <w:t>自有资</w:t>
            </w:r>
          </w:p>
          <w:p>
            <w:pPr>
              <w:pStyle w:val="TableParagraph"/>
              <w:spacing w:line="266" w:lineRule="exact" w:before="43"/>
              <w:ind w:left="26"/>
              <w:jc w:val="center"/>
              <w:rPr>
                <w:rFonts w:ascii="宋体" w:eastAsia="宋体" w:hint="eastAsia"/>
                <w:sz w:val="21"/>
              </w:rPr>
            </w:pPr>
            <w:r>
              <w:rPr>
                <w:rFonts w:ascii="宋体" w:eastAsia="宋体" w:hint="eastAsia"/>
                <w:w w:val="100"/>
                <w:sz w:val="21"/>
              </w:rPr>
              <w:t>金</w:t>
            </w:r>
          </w:p>
        </w:tc>
        <w:tc>
          <w:tcPr>
            <w:tcW w:w="567" w:type="dxa"/>
            <w:tcBorders>
              <w:top w:val="single" w:sz="4" w:space="0" w:color="000000"/>
              <w:left w:val="single" w:sz="4" w:space="0" w:color="000000"/>
              <w:right w:val="single" w:sz="4" w:space="0" w:color="000000"/>
            </w:tcBorders>
          </w:tcPr>
          <w:p>
            <w:pPr>
              <w:pStyle w:val="TableParagraph"/>
              <w:spacing w:before="22"/>
              <w:ind w:left="116"/>
              <w:rPr>
                <w:rFonts w:ascii="宋体"/>
                <w:sz w:val="21"/>
              </w:rPr>
            </w:pPr>
            <w:r>
              <w:rPr>
                <w:rFonts w:ascii="宋体"/>
                <w:w w:val="100"/>
                <w:sz w:val="21"/>
              </w:rPr>
              <w:t> </w:t>
            </w:r>
          </w:p>
        </w:tc>
        <w:tc>
          <w:tcPr>
            <w:tcW w:w="567" w:type="dxa"/>
            <w:tcBorders>
              <w:top w:val="single" w:sz="4" w:space="0" w:color="000000"/>
              <w:left w:val="single" w:sz="4" w:space="0" w:color="000000"/>
              <w:right w:val="single" w:sz="4" w:space="0" w:color="000000"/>
            </w:tcBorders>
          </w:tcPr>
          <w:p>
            <w:pPr>
              <w:pStyle w:val="TableParagraph"/>
              <w:spacing w:before="22"/>
              <w:ind w:left="115"/>
              <w:rPr>
                <w:rFonts w:ascii="宋体"/>
                <w:sz w:val="21"/>
              </w:rPr>
            </w:pPr>
            <w:r>
              <w:rPr>
                <w:rFonts w:ascii="宋体"/>
                <w:w w:val="100"/>
                <w:sz w:val="21"/>
              </w:rPr>
              <w:t> </w:t>
            </w:r>
          </w:p>
        </w:tc>
        <w:tc>
          <w:tcPr>
            <w:tcW w:w="1280" w:type="dxa"/>
            <w:tcBorders>
              <w:top w:val="single" w:sz="4" w:space="0" w:color="000000"/>
              <w:left w:val="single" w:sz="4" w:space="0" w:color="000000"/>
              <w:right w:val="single" w:sz="4" w:space="0" w:color="000000"/>
            </w:tcBorders>
          </w:tcPr>
          <w:p>
            <w:pPr>
              <w:pStyle w:val="TableParagraph"/>
              <w:spacing w:before="192"/>
              <w:ind w:right="86"/>
              <w:jc w:val="right"/>
              <w:rPr>
                <w:sz w:val="21"/>
              </w:rPr>
            </w:pPr>
            <w:r>
              <w:rPr>
                <w:sz w:val="21"/>
              </w:rPr>
              <w:t>2.82%</w:t>
            </w:r>
          </w:p>
        </w:tc>
        <w:tc>
          <w:tcPr>
            <w:tcW w:w="1139" w:type="dxa"/>
            <w:tcBorders>
              <w:top w:val="single" w:sz="4" w:space="0" w:color="000000"/>
              <w:left w:val="single" w:sz="4" w:space="0" w:color="000000"/>
              <w:right w:val="single" w:sz="4" w:space="0" w:color="000000"/>
            </w:tcBorders>
          </w:tcPr>
          <w:p>
            <w:pPr>
              <w:pStyle w:val="TableParagraph"/>
              <w:spacing w:before="192"/>
              <w:ind w:right="88"/>
              <w:jc w:val="right"/>
              <w:rPr>
                <w:sz w:val="21"/>
              </w:rPr>
            </w:pPr>
            <w:r>
              <w:rPr>
                <w:sz w:val="21"/>
              </w:rPr>
              <w:t>2,969,112</w:t>
            </w:r>
          </w:p>
        </w:tc>
        <w:tc>
          <w:tcPr>
            <w:tcW w:w="574" w:type="dxa"/>
            <w:tcBorders>
              <w:top w:val="single" w:sz="4" w:space="0" w:color="000000"/>
              <w:left w:val="single" w:sz="4" w:space="0" w:color="000000"/>
              <w:right w:val="single" w:sz="4" w:space="0" w:color="000000"/>
            </w:tcBorders>
          </w:tcPr>
          <w:p>
            <w:pPr>
              <w:pStyle w:val="TableParagraph"/>
              <w:rPr>
                <w:sz w:val="20"/>
              </w:rPr>
            </w:pPr>
          </w:p>
        </w:tc>
        <w:tc>
          <w:tcPr>
            <w:tcW w:w="689" w:type="dxa"/>
            <w:tcBorders>
              <w:top w:val="single" w:sz="4" w:space="0" w:color="000000"/>
              <w:left w:val="single" w:sz="4" w:space="0" w:color="000000"/>
              <w:right w:val="single" w:sz="4" w:space="0" w:color="000000"/>
            </w:tcBorders>
          </w:tcPr>
          <w:p>
            <w:pPr>
              <w:pStyle w:val="TableParagraph"/>
              <w:spacing w:before="25"/>
              <w:ind w:left="139"/>
              <w:rPr>
                <w:rFonts w:ascii="宋体" w:eastAsia="宋体" w:hint="eastAsia"/>
                <w:sz w:val="21"/>
              </w:rPr>
            </w:pPr>
            <w:r>
              <w:rPr>
                <w:rFonts w:ascii="宋体" w:eastAsia="宋体" w:hint="eastAsia"/>
                <w:sz w:val="21"/>
              </w:rPr>
              <w:t>未到</w:t>
            </w:r>
          </w:p>
          <w:p>
            <w:pPr>
              <w:pStyle w:val="TableParagraph"/>
              <w:spacing w:line="266" w:lineRule="exact" w:before="43"/>
              <w:ind w:left="242"/>
              <w:rPr>
                <w:rFonts w:ascii="宋体" w:eastAsia="宋体" w:hint="eastAsia"/>
                <w:sz w:val="21"/>
              </w:rPr>
            </w:pPr>
            <w:r>
              <w:rPr>
                <w:rFonts w:ascii="宋体" w:eastAsia="宋体" w:hint="eastAsia"/>
                <w:w w:val="100"/>
                <w:sz w:val="21"/>
              </w:rPr>
              <w:t>期</w:t>
            </w:r>
          </w:p>
        </w:tc>
        <w:tc>
          <w:tcPr>
            <w:tcW w:w="699" w:type="dxa"/>
            <w:tcBorders>
              <w:top w:val="single" w:sz="4" w:space="0" w:color="000000"/>
              <w:left w:val="single" w:sz="4" w:space="0" w:color="000000"/>
              <w:right w:val="single" w:sz="4" w:space="0" w:color="000000"/>
            </w:tcBorders>
          </w:tcPr>
          <w:p>
            <w:pPr>
              <w:pStyle w:val="TableParagraph"/>
              <w:spacing w:before="1"/>
              <w:rPr>
                <w:rFonts w:ascii="宋体"/>
                <w:sz w:val="14"/>
              </w:rPr>
            </w:pPr>
          </w:p>
          <w:p>
            <w:pPr>
              <w:pStyle w:val="TableParagraph"/>
              <w:ind w:left="16"/>
              <w:jc w:val="center"/>
              <w:rPr>
                <w:rFonts w:ascii="宋体" w:eastAsia="宋体" w:hint="eastAsia"/>
                <w:sz w:val="21"/>
              </w:rPr>
            </w:pPr>
            <w:r>
              <w:rPr>
                <w:rFonts w:ascii="宋体" w:eastAsia="宋体" w:hint="eastAsia"/>
                <w:w w:val="100"/>
                <w:sz w:val="21"/>
              </w:rPr>
              <w:t>是</w:t>
            </w:r>
          </w:p>
        </w:tc>
        <w:tc>
          <w:tcPr>
            <w:tcW w:w="718" w:type="dxa"/>
            <w:tcBorders>
              <w:top w:val="single" w:sz="4" w:space="0" w:color="000000"/>
              <w:left w:val="single" w:sz="4" w:space="0" w:color="000000"/>
              <w:right w:val="single" w:sz="4" w:space="0" w:color="000000"/>
            </w:tcBorders>
          </w:tcPr>
          <w:p>
            <w:pPr>
              <w:pStyle w:val="TableParagraph"/>
              <w:spacing w:before="1"/>
              <w:rPr>
                <w:rFonts w:ascii="宋体"/>
                <w:sz w:val="14"/>
              </w:rPr>
            </w:pPr>
          </w:p>
          <w:p>
            <w:pPr>
              <w:pStyle w:val="TableParagraph"/>
              <w:ind w:left="255"/>
              <w:rPr>
                <w:rFonts w:ascii="宋体" w:eastAsia="宋体" w:hint="eastAsia"/>
                <w:sz w:val="21"/>
              </w:rPr>
            </w:pPr>
            <w:r>
              <w:rPr>
                <w:rFonts w:ascii="宋体" w:eastAsia="宋体" w:hint="eastAsia"/>
                <w:w w:val="100"/>
                <w:sz w:val="21"/>
              </w:rPr>
              <w:t>是</w:t>
            </w:r>
          </w:p>
        </w:tc>
        <w:tc>
          <w:tcPr>
            <w:tcW w:w="711" w:type="dxa"/>
            <w:tcBorders>
              <w:top w:val="single" w:sz="4" w:space="0" w:color="000000"/>
              <w:left w:val="single" w:sz="4" w:space="0" w:color="000000"/>
            </w:tcBorders>
          </w:tcPr>
          <w:p>
            <w:pPr>
              <w:pStyle w:val="TableParagraph"/>
              <w:rPr>
                <w:sz w:val="20"/>
              </w:rPr>
            </w:pPr>
          </w:p>
        </w:tc>
      </w:tr>
    </w:tbl>
    <w:p>
      <w:pPr>
        <w:spacing w:after="0"/>
        <w:rPr>
          <w:sz w:val="20"/>
        </w:rPr>
        <w:sectPr>
          <w:headerReference w:type="default" r:id="rId47"/>
          <w:footerReference w:type="default" r:id="rId48"/>
          <w:pgSz w:w="16840" w:h="11910" w:orient="landscape"/>
          <w:pgMar w:header="876" w:footer="1160" w:top="1180" w:bottom="1360" w:left="460" w:right="660"/>
          <w:pgNumType w:start="1"/>
        </w:sectPr>
      </w:pPr>
    </w:p>
    <w:p>
      <w:pPr>
        <w:pStyle w:val="BodyText"/>
        <w:rPr>
          <w:rFonts w:ascii="Times New Roman"/>
          <w:sz w:val="20"/>
        </w:rPr>
      </w:pPr>
    </w:p>
    <w:p>
      <w:pPr>
        <w:pStyle w:val="BodyText"/>
        <w:rPr>
          <w:rFonts w:ascii="Times New Roman"/>
          <w:sz w:val="20"/>
        </w:rPr>
      </w:pPr>
    </w:p>
    <w:p>
      <w:pPr>
        <w:pStyle w:val="BodyText"/>
        <w:spacing w:before="7" w:after="1"/>
        <w:rPr>
          <w:rFonts w:ascii="Times New Roman"/>
          <w:sz w:val="13"/>
        </w:rPr>
      </w:pP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736"/>
        <w:gridCol w:w="1248"/>
        <w:gridCol w:w="1579"/>
        <w:gridCol w:w="1532"/>
        <w:gridCol w:w="1414"/>
        <w:gridCol w:w="1009"/>
        <w:gridCol w:w="567"/>
        <w:gridCol w:w="567"/>
        <w:gridCol w:w="1280"/>
        <w:gridCol w:w="1139"/>
        <w:gridCol w:w="574"/>
        <w:gridCol w:w="689"/>
        <w:gridCol w:w="699"/>
        <w:gridCol w:w="718"/>
        <w:gridCol w:w="711"/>
      </w:tblGrid>
      <w:tr>
        <w:trPr>
          <w:trHeight w:val="623" w:hRule="atLeast"/>
        </w:trPr>
        <w:tc>
          <w:tcPr>
            <w:tcW w:w="1736" w:type="dxa"/>
            <w:tcBorders>
              <w:bottom w:val="single" w:sz="4" w:space="0" w:color="000000"/>
              <w:right w:val="single" w:sz="4" w:space="0" w:color="000000"/>
            </w:tcBorders>
          </w:tcPr>
          <w:p>
            <w:pPr>
              <w:pStyle w:val="TableParagraph"/>
              <w:spacing w:before="178"/>
              <w:ind w:left="113" w:right="93"/>
              <w:jc w:val="center"/>
              <w:rPr>
                <w:rFonts w:ascii="宋体" w:eastAsia="宋体" w:hint="eastAsia"/>
                <w:sz w:val="21"/>
              </w:rPr>
            </w:pPr>
            <w:r>
              <w:rPr>
                <w:rFonts w:ascii="宋体" w:eastAsia="宋体" w:hint="eastAsia"/>
                <w:sz w:val="21"/>
              </w:rPr>
              <w:t>交行青岛分行</w:t>
            </w:r>
          </w:p>
        </w:tc>
        <w:tc>
          <w:tcPr>
            <w:tcW w:w="1248" w:type="dxa"/>
            <w:tcBorders>
              <w:left w:val="single" w:sz="4" w:space="0" w:color="000000"/>
              <w:bottom w:val="single" w:sz="4" w:space="0" w:color="000000"/>
              <w:right w:val="single" w:sz="4" w:space="0" w:color="000000"/>
            </w:tcBorders>
          </w:tcPr>
          <w:p>
            <w:pPr>
              <w:pStyle w:val="TableParagraph"/>
              <w:spacing w:before="178"/>
              <w:ind w:left="208" w:right="180"/>
              <w:jc w:val="center"/>
              <w:rPr>
                <w:rFonts w:ascii="宋体" w:eastAsia="宋体" w:hint="eastAsia"/>
                <w:sz w:val="21"/>
              </w:rPr>
            </w:pPr>
            <w:r>
              <w:rPr>
                <w:rFonts w:ascii="宋体" w:eastAsia="宋体" w:hint="eastAsia"/>
                <w:sz w:val="21"/>
              </w:rPr>
              <w:t>理财</w:t>
            </w:r>
          </w:p>
        </w:tc>
        <w:tc>
          <w:tcPr>
            <w:tcW w:w="1579" w:type="dxa"/>
            <w:tcBorders>
              <w:left w:val="single" w:sz="4" w:space="0" w:color="000000"/>
              <w:bottom w:val="single" w:sz="4" w:space="0" w:color="000000"/>
              <w:right w:val="single" w:sz="4" w:space="0" w:color="000000"/>
            </w:tcBorders>
          </w:tcPr>
          <w:p>
            <w:pPr>
              <w:pStyle w:val="TableParagraph"/>
              <w:spacing w:before="189"/>
              <w:ind w:right="84"/>
              <w:jc w:val="right"/>
              <w:rPr>
                <w:sz w:val="21"/>
              </w:rPr>
            </w:pPr>
            <w:r>
              <w:rPr>
                <w:sz w:val="21"/>
              </w:rPr>
              <w:t>60,000,000.00</w:t>
            </w:r>
          </w:p>
        </w:tc>
        <w:tc>
          <w:tcPr>
            <w:tcW w:w="1532" w:type="dxa"/>
            <w:tcBorders>
              <w:left w:val="single" w:sz="4" w:space="0" w:color="000000"/>
              <w:bottom w:val="single" w:sz="4" w:space="0" w:color="000000"/>
              <w:right w:val="single" w:sz="4" w:space="0" w:color="000000"/>
            </w:tcBorders>
          </w:tcPr>
          <w:p>
            <w:pPr>
              <w:pStyle w:val="TableParagraph"/>
              <w:spacing w:before="189"/>
              <w:ind w:left="117"/>
              <w:rPr>
                <w:sz w:val="21"/>
              </w:rPr>
            </w:pPr>
            <w:r>
              <w:rPr>
                <w:sz w:val="21"/>
              </w:rPr>
              <w:t>2020/11/13</w:t>
            </w:r>
          </w:p>
        </w:tc>
        <w:tc>
          <w:tcPr>
            <w:tcW w:w="1414" w:type="dxa"/>
            <w:tcBorders>
              <w:left w:val="single" w:sz="4" w:space="0" w:color="000000"/>
              <w:bottom w:val="single" w:sz="4" w:space="0" w:color="000000"/>
              <w:right w:val="single" w:sz="4" w:space="0" w:color="000000"/>
            </w:tcBorders>
          </w:tcPr>
          <w:p>
            <w:pPr>
              <w:pStyle w:val="TableParagraph"/>
              <w:spacing w:before="189"/>
              <w:ind w:left="117"/>
              <w:rPr>
                <w:sz w:val="21"/>
              </w:rPr>
            </w:pPr>
            <w:r>
              <w:rPr>
                <w:sz w:val="21"/>
              </w:rPr>
              <w:t>2021/1/22</w:t>
            </w:r>
          </w:p>
        </w:tc>
        <w:tc>
          <w:tcPr>
            <w:tcW w:w="1009" w:type="dxa"/>
            <w:tcBorders>
              <w:left w:val="single" w:sz="4" w:space="0" w:color="000000"/>
              <w:bottom w:val="single" w:sz="4" w:space="0" w:color="000000"/>
              <w:right w:val="single" w:sz="4" w:space="0" w:color="000000"/>
            </w:tcBorders>
          </w:tcPr>
          <w:p>
            <w:pPr>
              <w:pStyle w:val="TableParagraph"/>
              <w:spacing w:before="22"/>
              <w:ind w:left="177" w:right="151"/>
              <w:jc w:val="center"/>
              <w:rPr>
                <w:rFonts w:ascii="宋体" w:eastAsia="宋体" w:hint="eastAsia"/>
                <w:sz w:val="21"/>
              </w:rPr>
            </w:pPr>
            <w:r>
              <w:rPr>
                <w:rFonts w:ascii="宋体" w:eastAsia="宋体" w:hint="eastAsia"/>
                <w:sz w:val="21"/>
              </w:rPr>
              <w:t>自有资</w:t>
            </w:r>
          </w:p>
          <w:p>
            <w:pPr>
              <w:pStyle w:val="TableParagraph"/>
              <w:spacing w:before="43"/>
              <w:ind w:left="26"/>
              <w:jc w:val="center"/>
              <w:rPr>
                <w:rFonts w:ascii="宋体" w:eastAsia="宋体" w:hint="eastAsia"/>
                <w:sz w:val="21"/>
              </w:rPr>
            </w:pPr>
            <w:r>
              <w:rPr>
                <w:rFonts w:ascii="宋体" w:eastAsia="宋体" w:hint="eastAsia"/>
                <w:w w:val="100"/>
                <w:sz w:val="21"/>
              </w:rPr>
              <w:t>金</w:t>
            </w:r>
          </w:p>
        </w:tc>
        <w:tc>
          <w:tcPr>
            <w:tcW w:w="567" w:type="dxa"/>
            <w:tcBorders>
              <w:left w:val="single" w:sz="4" w:space="0" w:color="000000"/>
              <w:bottom w:val="single" w:sz="4" w:space="0" w:color="000000"/>
              <w:right w:val="single" w:sz="4" w:space="0" w:color="000000"/>
            </w:tcBorders>
          </w:tcPr>
          <w:p>
            <w:pPr>
              <w:pStyle w:val="TableParagraph"/>
              <w:spacing w:before="20"/>
              <w:ind w:left="116"/>
              <w:rPr>
                <w:rFonts w:ascii="宋体"/>
                <w:sz w:val="21"/>
              </w:rPr>
            </w:pPr>
            <w:r>
              <w:rPr>
                <w:rFonts w:ascii="宋体"/>
                <w:w w:val="100"/>
                <w:sz w:val="21"/>
              </w:rPr>
              <w:t> </w:t>
            </w:r>
          </w:p>
        </w:tc>
        <w:tc>
          <w:tcPr>
            <w:tcW w:w="567" w:type="dxa"/>
            <w:tcBorders>
              <w:left w:val="single" w:sz="4" w:space="0" w:color="000000"/>
              <w:bottom w:val="single" w:sz="4" w:space="0" w:color="000000"/>
              <w:right w:val="single" w:sz="4" w:space="0" w:color="000000"/>
            </w:tcBorders>
          </w:tcPr>
          <w:p>
            <w:pPr>
              <w:pStyle w:val="TableParagraph"/>
              <w:spacing w:before="20"/>
              <w:ind w:left="115"/>
              <w:rPr>
                <w:rFonts w:ascii="宋体"/>
                <w:sz w:val="21"/>
              </w:rPr>
            </w:pPr>
            <w:r>
              <w:rPr>
                <w:rFonts w:ascii="宋体"/>
                <w:w w:val="100"/>
                <w:sz w:val="21"/>
              </w:rPr>
              <w:t> </w:t>
            </w:r>
          </w:p>
        </w:tc>
        <w:tc>
          <w:tcPr>
            <w:tcW w:w="1280" w:type="dxa"/>
            <w:tcBorders>
              <w:left w:val="single" w:sz="4" w:space="0" w:color="000000"/>
              <w:bottom w:val="single" w:sz="4" w:space="0" w:color="000000"/>
              <w:right w:val="single" w:sz="4" w:space="0" w:color="000000"/>
            </w:tcBorders>
          </w:tcPr>
          <w:p>
            <w:pPr>
              <w:pStyle w:val="TableParagraph"/>
              <w:spacing w:before="189"/>
              <w:ind w:right="86"/>
              <w:jc w:val="right"/>
              <w:rPr>
                <w:sz w:val="21"/>
              </w:rPr>
            </w:pPr>
            <w:r>
              <w:rPr>
                <w:sz w:val="21"/>
              </w:rPr>
              <w:t>2.82%</w:t>
            </w:r>
          </w:p>
        </w:tc>
        <w:tc>
          <w:tcPr>
            <w:tcW w:w="1139" w:type="dxa"/>
            <w:tcBorders>
              <w:left w:val="single" w:sz="4" w:space="0" w:color="000000"/>
              <w:bottom w:val="single" w:sz="4" w:space="0" w:color="000000"/>
              <w:right w:val="single" w:sz="4" w:space="0" w:color="000000"/>
            </w:tcBorders>
          </w:tcPr>
          <w:p>
            <w:pPr>
              <w:pStyle w:val="TableParagraph"/>
              <w:spacing w:before="189"/>
              <w:ind w:right="88"/>
              <w:jc w:val="right"/>
              <w:rPr>
                <w:sz w:val="21"/>
              </w:rPr>
            </w:pPr>
            <w:r>
              <w:rPr>
                <w:sz w:val="21"/>
              </w:rPr>
              <w:t>324,493</w:t>
            </w:r>
          </w:p>
        </w:tc>
        <w:tc>
          <w:tcPr>
            <w:tcW w:w="574" w:type="dxa"/>
            <w:tcBorders>
              <w:left w:val="single" w:sz="4" w:space="0" w:color="000000"/>
              <w:bottom w:val="single" w:sz="4" w:space="0" w:color="000000"/>
              <w:right w:val="single" w:sz="4" w:space="0" w:color="000000"/>
            </w:tcBorders>
          </w:tcPr>
          <w:p>
            <w:pPr>
              <w:pStyle w:val="TableParagraph"/>
              <w:rPr>
                <w:sz w:val="20"/>
              </w:rPr>
            </w:pPr>
          </w:p>
        </w:tc>
        <w:tc>
          <w:tcPr>
            <w:tcW w:w="689" w:type="dxa"/>
            <w:tcBorders>
              <w:left w:val="single" w:sz="4" w:space="0" w:color="000000"/>
              <w:bottom w:val="single" w:sz="4" w:space="0" w:color="000000"/>
              <w:right w:val="single" w:sz="4" w:space="0" w:color="000000"/>
            </w:tcBorders>
          </w:tcPr>
          <w:p>
            <w:pPr>
              <w:pStyle w:val="TableParagraph"/>
              <w:spacing w:before="22"/>
              <w:ind w:left="139"/>
              <w:rPr>
                <w:rFonts w:ascii="宋体" w:eastAsia="宋体" w:hint="eastAsia"/>
                <w:sz w:val="21"/>
              </w:rPr>
            </w:pPr>
            <w:r>
              <w:rPr>
                <w:rFonts w:ascii="宋体" w:eastAsia="宋体" w:hint="eastAsia"/>
                <w:sz w:val="21"/>
              </w:rPr>
              <w:t>未到</w:t>
            </w:r>
          </w:p>
          <w:p>
            <w:pPr>
              <w:pStyle w:val="TableParagraph"/>
              <w:spacing w:before="43"/>
              <w:ind w:left="242"/>
              <w:rPr>
                <w:rFonts w:ascii="宋体" w:eastAsia="宋体" w:hint="eastAsia"/>
                <w:sz w:val="21"/>
              </w:rPr>
            </w:pPr>
            <w:r>
              <w:rPr>
                <w:rFonts w:ascii="宋体" w:eastAsia="宋体" w:hint="eastAsia"/>
                <w:w w:val="100"/>
                <w:sz w:val="21"/>
              </w:rPr>
              <w:t>期</w:t>
            </w:r>
          </w:p>
        </w:tc>
        <w:tc>
          <w:tcPr>
            <w:tcW w:w="699" w:type="dxa"/>
            <w:tcBorders>
              <w:left w:val="single" w:sz="4" w:space="0" w:color="000000"/>
              <w:bottom w:val="single" w:sz="4" w:space="0" w:color="000000"/>
              <w:right w:val="single" w:sz="4" w:space="0" w:color="000000"/>
            </w:tcBorders>
          </w:tcPr>
          <w:p>
            <w:pPr>
              <w:pStyle w:val="TableParagraph"/>
              <w:spacing w:before="178"/>
              <w:ind w:left="16"/>
              <w:jc w:val="center"/>
              <w:rPr>
                <w:rFonts w:ascii="宋体" w:eastAsia="宋体" w:hint="eastAsia"/>
                <w:sz w:val="21"/>
              </w:rPr>
            </w:pPr>
            <w:r>
              <w:rPr>
                <w:rFonts w:ascii="宋体" w:eastAsia="宋体" w:hint="eastAsia"/>
                <w:w w:val="100"/>
                <w:sz w:val="21"/>
              </w:rPr>
              <w:t>是</w:t>
            </w:r>
          </w:p>
        </w:tc>
        <w:tc>
          <w:tcPr>
            <w:tcW w:w="718" w:type="dxa"/>
            <w:tcBorders>
              <w:left w:val="single" w:sz="4" w:space="0" w:color="000000"/>
              <w:bottom w:val="single" w:sz="4" w:space="0" w:color="000000"/>
              <w:right w:val="single" w:sz="4" w:space="0" w:color="000000"/>
            </w:tcBorders>
          </w:tcPr>
          <w:p>
            <w:pPr>
              <w:pStyle w:val="TableParagraph"/>
              <w:spacing w:before="178"/>
              <w:ind w:left="255"/>
              <w:rPr>
                <w:rFonts w:ascii="宋体" w:eastAsia="宋体" w:hint="eastAsia"/>
                <w:sz w:val="21"/>
              </w:rPr>
            </w:pPr>
            <w:r>
              <w:rPr>
                <w:rFonts w:ascii="宋体" w:eastAsia="宋体" w:hint="eastAsia"/>
                <w:w w:val="100"/>
                <w:sz w:val="21"/>
              </w:rPr>
              <w:t>是</w:t>
            </w:r>
          </w:p>
        </w:tc>
        <w:tc>
          <w:tcPr>
            <w:tcW w:w="711" w:type="dxa"/>
            <w:tcBorders>
              <w:left w:val="single" w:sz="4" w:space="0" w:color="000000"/>
              <w:bottom w:val="single" w:sz="4" w:space="0" w:color="000000"/>
            </w:tcBorders>
          </w:tcPr>
          <w:p>
            <w:pPr>
              <w:pStyle w:val="TableParagraph"/>
              <w:rPr>
                <w:sz w:val="20"/>
              </w:rPr>
            </w:pPr>
          </w:p>
        </w:tc>
      </w:tr>
      <w:tr>
        <w:trPr>
          <w:trHeight w:val="623" w:hRule="atLeast"/>
        </w:trPr>
        <w:tc>
          <w:tcPr>
            <w:tcW w:w="1736" w:type="dxa"/>
            <w:tcBorders>
              <w:top w:val="single" w:sz="4" w:space="0" w:color="000000"/>
              <w:bottom w:val="single" w:sz="4" w:space="0" w:color="000000"/>
              <w:right w:val="single" w:sz="4" w:space="0" w:color="000000"/>
            </w:tcBorders>
          </w:tcPr>
          <w:p>
            <w:pPr>
              <w:pStyle w:val="TableParagraph"/>
              <w:spacing w:before="178"/>
              <w:ind w:left="113" w:right="93"/>
              <w:jc w:val="center"/>
              <w:rPr>
                <w:rFonts w:ascii="宋体" w:eastAsia="宋体" w:hint="eastAsia"/>
                <w:sz w:val="21"/>
              </w:rPr>
            </w:pPr>
            <w:r>
              <w:rPr>
                <w:rFonts w:ascii="宋体" w:eastAsia="宋体" w:hint="eastAsia"/>
                <w:sz w:val="21"/>
              </w:rPr>
              <w:t>中行青岛分行</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178"/>
              <w:ind w:left="208" w:right="180"/>
              <w:jc w:val="center"/>
              <w:rPr>
                <w:rFonts w:ascii="宋体" w:eastAsia="宋体" w:hint="eastAsia"/>
                <w:sz w:val="21"/>
              </w:rPr>
            </w:pPr>
            <w:r>
              <w:rPr>
                <w:rFonts w:ascii="宋体" w:eastAsia="宋体" w:hint="eastAsia"/>
                <w:sz w:val="21"/>
              </w:rPr>
              <w:t>理财</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before="190"/>
              <w:ind w:right="84"/>
              <w:jc w:val="right"/>
              <w:rPr>
                <w:sz w:val="21"/>
              </w:rPr>
            </w:pPr>
            <w:r>
              <w:rPr>
                <w:sz w:val="21"/>
              </w:rPr>
              <w:t>560,000,000.00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before="190"/>
              <w:ind w:left="117"/>
              <w:rPr>
                <w:sz w:val="21"/>
              </w:rPr>
            </w:pPr>
            <w:r>
              <w:rPr>
                <w:sz w:val="21"/>
              </w:rPr>
              <w:t>2020/10/12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before="190"/>
              <w:ind w:left="117"/>
              <w:rPr>
                <w:sz w:val="21"/>
              </w:rPr>
            </w:pPr>
            <w:r>
              <w:rPr>
                <w:sz w:val="21"/>
              </w:rPr>
              <w:t>2021/1/28</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22"/>
              <w:ind w:left="177" w:right="151"/>
              <w:jc w:val="center"/>
              <w:rPr>
                <w:rFonts w:ascii="宋体" w:eastAsia="宋体" w:hint="eastAsia"/>
                <w:sz w:val="21"/>
              </w:rPr>
            </w:pPr>
            <w:r>
              <w:rPr>
                <w:rFonts w:ascii="宋体" w:eastAsia="宋体" w:hint="eastAsia"/>
                <w:sz w:val="21"/>
              </w:rPr>
              <w:t>自有资</w:t>
            </w:r>
          </w:p>
          <w:p>
            <w:pPr>
              <w:pStyle w:val="TableParagraph"/>
              <w:spacing w:before="43"/>
              <w:ind w:left="26"/>
              <w:jc w:val="center"/>
              <w:rPr>
                <w:rFonts w:ascii="宋体" w:eastAsia="宋体" w:hint="eastAsia"/>
                <w:sz w:val="21"/>
              </w:rPr>
            </w:pPr>
            <w:r>
              <w:rPr>
                <w:rFonts w:ascii="宋体" w:eastAsia="宋体" w:hint="eastAsia"/>
                <w:w w:val="100"/>
                <w:sz w:val="21"/>
              </w:rPr>
              <w:t>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before="20"/>
              <w:ind w:left="116"/>
              <w:rPr>
                <w:rFonts w:ascii="宋体"/>
                <w:sz w:val="21"/>
              </w:rPr>
            </w:pPr>
            <w:r>
              <w:rPr>
                <w:rFonts w:ascii="宋体"/>
                <w:w w:val="100"/>
                <w:sz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before="20"/>
              <w:ind w:left="115"/>
              <w:rPr>
                <w:rFonts w:ascii="宋体"/>
                <w:sz w:val="21"/>
              </w:rPr>
            </w:pPr>
            <w:r>
              <w:rPr>
                <w:rFonts w:ascii="宋体"/>
                <w:w w:val="100"/>
                <w:sz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before="190"/>
              <w:ind w:right="86"/>
              <w:jc w:val="right"/>
              <w:rPr>
                <w:sz w:val="21"/>
              </w:rPr>
            </w:pPr>
            <w:r>
              <w:rPr>
                <w:sz w:val="21"/>
              </w:rPr>
              <w:t>3.50%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before="190"/>
              <w:ind w:right="88"/>
              <w:jc w:val="right"/>
              <w:rPr>
                <w:sz w:val="21"/>
              </w:rPr>
            </w:pPr>
            <w:r>
              <w:rPr>
                <w:sz w:val="21"/>
              </w:rPr>
              <w:t>5,799,452</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22"/>
              <w:ind w:left="139"/>
              <w:rPr>
                <w:rFonts w:ascii="宋体" w:eastAsia="宋体" w:hint="eastAsia"/>
                <w:sz w:val="21"/>
              </w:rPr>
            </w:pPr>
            <w:r>
              <w:rPr>
                <w:rFonts w:ascii="宋体" w:eastAsia="宋体" w:hint="eastAsia"/>
                <w:sz w:val="21"/>
              </w:rPr>
              <w:t>未到</w:t>
            </w:r>
          </w:p>
          <w:p>
            <w:pPr>
              <w:pStyle w:val="TableParagraph"/>
              <w:spacing w:before="43"/>
              <w:ind w:left="242"/>
              <w:rPr>
                <w:rFonts w:ascii="宋体" w:eastAsia="宋体" w:hint="eastAsia"/>
                <w:sz w:val="21"/>
              </w:rPr>
            </w:pPr>
            <w:r>
              <w:rPr>
                <w:rFonts w:ascii="宋体" w:eastAsia="宋体" w:hint="eastAsia"/>
                <w:w w:val="100"/>
                <w:sz w:val="21"/>
              </w:rPr>
              <w:t>期</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before="178"/>
              <w:ind w:left="16"/>
              <w:jc w:val="center"/>
              <w:rPr>
                <w:rFonts w:ascii="宋体" w:eastAsia="宋体" w:hint="eastAsia"/>
                <w:sz w:val="21"/>
              </w:rPr>
            </w:pPr>
            <w:r>
              <w:rPr>
                <w:rFonts w:ascii="宋体" w:eastAsia="宋体" w:hint="eastAsia"/>
                <w:w w:val="100"/>
                <w:sz w:val="21"/>
              </w:rPr>
              <w:t>是</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before="178"/>
              <w:ind w:left="255"/>
              <w:rPr>
                <w:rFonts w:ascii="宋体" w:eastAsia="宋体" w:hint="eastAsia"/>
                <w:sz w:val="21"/>
              </w:rPr>
            </w:pPr>
            <w:r>
              <w:rPr>
                <w:rFonts w:ascii="宋体" w:eastAsia="宋体" w:hint="eastAsia"/>
                <w:w w:val="100"/>
                <w:sz w:val="21"/>
              </w:rPr>
              <w:t>是</w:t>
            </w:r>
          </w:p>
        </w:tc>
        <w:tc>
          <w:tcPr>
            <w:tcW w:w="711" w:type="dxa"/>
            <w:tcBorders>
              <w:top w:val="single" w:sz="4" w:space="0" w:color="000000"/>
              <w:left w:val="single" w:sz="4" w:space="0" w:color="000000"/>
              <w:bottom w:val="single" w:sz="4" w:space="0" w:color="000000"/>
            </w:tcBorders>
          </w:tcPr>
          <w:p>
            <w:pPr>
              <w:pStyle w:val="TableParagraph"/>
              <w:rPr>
                <w:sz w:val="20"/>
              </w:rPr>
            </w:pPr>
          </w:p>
        </w:tc>
      </w:tr>
      <w:tr>
        <w:trPr>
          <w:trHeight w:val="938" w:hRule="atLeast"/>
        </w:trPr>
        <w:tc>
          <w:tcPr>
            <w:tcW w:w="1736" w:type="dxa"/>
            <w:tcBorders>
              <w:top w:val="single" w:sz="4" w:space="0" w:color="000000"/>
              <w:bottom w:val="single" w:sz="4" w:space="0" w:color="000000"/>
              <w:right w:val="single" w:sz="4" w:space="0" w:color="000000"/>
            </w:tcBorders>
          </w:tcPr>
          <w:p>
            <w:pPr>
              <w:pStyle w:val="TableParagraph"/>
              <w:spacing w:before="3"/>
              <w:rPr>
                <w:sz w:val="29"/>
              </w:rPr>
            </w:pPr>
          </w:p>
          <w:p>
            <w:pPr>
              <w:pStyle w:val="TableParagraph"/>
              <w:ind w:left="111" w:right="93"/>
              <w:jc w:val="center"/>
              <w:rPr>
                <w:rFonts w:ascii="宋体" w:eastAsia="宋体" w:hint="eastAsia"/>
                <w:sz w:val="21"/>
              </w:rPr>
            </w:pPr>
            <w:r>
              <w:rPr>
                <w:rFonts w:ascii="宋体" w:eastAsia="宋体" w:hint="eastAsia"/>
                <w:sz w:val="21"/>
              </w:rPr>
              <w:t>建设银行</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25"/>
              <w:ind w:left="212" w:right="180"/>
              <w:jc w:val="center"/>
              <w:rPr>
                <w:rFonts w:ascii="宋体" w:eastAsia="宋体" w:hint="eastAsia"/>
                <w:sz w:val="21"/>
              </w:rPr>
            </w:pPr>
            <w:r>
              <w:rPr>
                <w:rFonts w:ascii="宋体" w:eastAsia="宋体" w:hint="eastAsia"/>
                <w:sz w:val="21"/>
              </w:rPr>
              <w:t>非保本浮动收益型</w:t>
            </w:r>
          </w:p>
          <w:p>
            <w:pPr>
              <w:pStyle w:val="TableParagraph"/>
              <w:ind w:left="208" w:right="180"/>
              <w:jc w:val="center"/>
              <w:rPr>
                <w:rFonts w:ascii="宋体" w:eastAsia="宋体" w:hint="eastAsia"/>
                <w:sz w:val="21"/>
              </w:rPr>
            </w:pPr>
            <w:r>
              <w:rPr>
                <w:rFonts w:ascii="宋体" w:eastAsia="宋体" w:hint="eastAsia"/>
                <w:sz w:val="21"/>
              </w:rPr>
              <w:t>产品</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before="3"/>
              <w:rPr>
                <w:sz w:val="30"/>
              </w:rPr>
            </w:pPr>
          </w:p>
          <w:p>
            <w:pPr>
              <w:pStyle w:val="TableParagraph"/>
              <w:ind w:right="84"/>
              <w:jc w:val="right"/>
              <w:rPr>
                <w:sz w:val="21"/>
              </w:rPr>
            </w:pPr>
            <w:r>
              <w:rPr>
                <w:sz w:val="21"/>
              </w:rPr>
              <w:t>4,500,000.0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before="3"/>
              <w:rPr>
                <w:sz w:val="30"/>
              </w:rPr>
            </w:pPr>
          </w:p>
          <w:p>
            <w:pPr>
              <w:pStyle w:val="TableParagraph"/>
              <w:ind w:left="117"/>
              <w:rPr>
                <w:sz w:val="21"/>
              </w:rPr>
            </w:pPr>
            <w:r>
              <w:rPr>
                <w:sz w:val="21"/>
              </w:rPr>
              <w:t>2019/7/3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before="3"/>
              <w:rPr>
                <w:sz w:val="29"/>
              </w:rPr>
            </w:pPr>
          </w:p>
          <w:p>
            <w:pPr>
              <w:pStyle w:val="TableParagraph"/>
              <w:ind w:left="117"/>
              <w:rPr>
                <w:rFonts w:ascii="宋体" w:eastAsia="宋体" w:hint="eastAsia"/>
                <w:sz w:val="21"/>
              </w:rPr>
            </w:pPr>
            <w:r>
              <w:rPr>
                <w:rFonts w:ascii="宋体" w:eastAsia="宋体" w:hint="eastAsia"/>
                <w:sz w:val="21"/>
              </w:rPr>
              <w:t>随用随取</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8"/>
              <w:rPr>
                <w:sz w:val="15"/>
              </w:rPr>
            </w:pPr>
          </w:p>
          <w:p>
            <w:pPr>
              <w:pStyle w:val="TableParagraph"/>
              <w:spacing w:line="278" w:lineRule="auto"/>
              <w:ind w:left="407" w:right="167" w:hanging="212"/>
              <w:rPr>
                <w:rFonts w:ascii="宋体" w:eastAsia="宋体" w:hint="eastAsia"/>
                <w:sz w:val="21"/>
              </w:rPr>
            </w:pPr>
            <w:r>
              <w:rPr>
                <w:rFonts w:ascii="宋体" w:eastAsia="宋体" w:hint="eastAsia"/>
                <w:sz w:val="21"/>
              </w:rPr>
              <w:t>自有资金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before="22"/>
              <w:ind w:left="116"/>
              <w:rPr>
                <w:rFonts w:ascii="宋体"/>
                <w:sz w:val="21"/>
              </w:rPr>
            </w:pPr>
            <w:r>
              <w:rPr>
                <w:rFonts w:ascii="宋体"/>
                <w:w w:val="100"/>
                <w:sz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before="22"/>
              <w:ind w:left="115"/>
              <w:rPr>
                <w:rFonts w:ascii="宋体"/>
                <w:sz w:val="21"/>
              </w:rPr>
            </w:pPr>
            <w:r>
              <w:rPr>
                <w:rFonts w:ascii="宋体"/>
                <w:w w:val="100"/>
                <w:sz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before="8"/>
              <w:rPr>
                <w:sz w:val="15"/>
              </w:rPr>
            </w:pPr>
          </w:p>
          <w:p>
            <w:pPr>
              <w:pStyle w:val="TableParagraph"/>
              <w:ind w:right="87"/>
              <w:jc w:val="right"/>
              <w:rPr>
                <w:rFonts w:ascii="宋体" w:eastAsia="宋体" w:hint="eastAsia"/>
                <w:sz w:val="21"/>
              </w:rPr>
            </w:pPr>
            <w:r>
              <w:rPr>
                <w:rFonts w:ascii="宋体" w:eastAsia="宋体" w:hint="eastAsia"/>
                <w:sz w:val="21"/>
              </w:rPr>
              <w:t>根据投资天</w:t>
            </w:r>
          </w:p>
          <w:p>
            <w:pPr>
              <w:pStyle w:val="TableParagraph"/>
              <w:spacing w:before="44"/>
              <w:ind w:right="91"/>
              <w:jc w:val="right"/>
              <w:rPr>
                <w:rFonts w:ascii="宋体" w:eastAsia="宋体" w:hint="eastAsia"/>
                <w:sz w:val="21"/>
              </w:rPr>
            </w:pPr>
            <w:r>
              <w:rPr>
                <w:rFonts w:ascii="宋体" w:eastAsia="宋体" w:hint="eastAsia"/>
                <w:w w:val="100"/>
                <w:sz w:val="21"/>
              </w:rPr>
              <w:t>数</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8"/>
              <w:rPr>
                <w:sz w:val="15"/>
              </w:rPr>
            </w:pPr>
          </w:p>
          <w:p>
            <w:pPr>
              <w:pStyle w:val="TableParagraph"/>
              <w:spacing w:line="278" w:lineRule="auto"/>
              <w:ind w:left="242" w:right="115" w:hanging="104"/>
              <w:rPr>
                <w:rFonts w:ascii="宋体" w:eastAsia="宋体" w:hint="eastAsia"/>
                <w:sz w:val="21"/>
              </w:rPr>
            </w:pPr>
            <w:r>
              <w:rPr>
                <w:rFonts w:ascii="宋体" w:eastAsia="宋体" w:hint="eastAsia"/>
                <w:sz w:val="21"/>
              </w:rPr>
              <w:t>未到期</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before="3"/>
              <w:rPr>
                <w:sz w:val="29"/>
              </w:rPr>
            </w:pPr>
          </w:p>
          <w:p>
            <w:pPr>
              <w:pStyle w:val="TableParagraph"/>
              <w:ind w:left="16"/>
              <w:jc w:val="center"/>
              <w:rPr>
                <w:rFonts w:ascii="宋体" w:eastAsia="宋体" w:hint="eastAsia"/>
                <w:sz w:val="21"/>
              </w:rPr>
            </w:pPr>
            <w:r>
              <w:rPr>
                <w:rFonts w:ascii="宋体" w:eastAsia="宋体" w:hint="eastAsia"/>
                <w:w w:val="100"/>
                <w:sz w:val="21"/>
              </w:rPr>
              <w:t>是</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before="3"/>
              <w:rPr>
                <w:sz w:val="29"/>
              </w:rPr>
            </w:pPr>
          </w:p>
          <w:p>
            <w:pPr>
              <w:pStyle w:val="TableParagraph"/>
              <w:ind w:left="255"/>
              <w:rPr>
                <w:rFonts w:ascii="宋体" w:eastAsia="宋体" w:hint="eastAsia"/>
                <w:sz w:val="21"/>
              </w:rPr>
            </w:pPr>
            <w:r>
              <w:rPr>
                <w:rFonts w:ascii="宋体" w:eastAsia="宋体" w:hint="eastAsia"/>
                <w:w w:val="100"/>
                <w:sz w:val="21"/>
              </w:rPr>
              <w:t>是</w:t>
            </w:r>
          </w:p>
        </w:tc>
        <w:tc>
          <w:tcPr>
            <w:tcW w:w="711" w:type="dxa"/>
            <w:tcBorders>
              <w:top w:val="single" w:sz="4" w:space="0" w:color="000000"/>
              <w:left w:val="single" w:sz="4" w:space="0" w:color="000000"/>
              <w:bottom w:val="single" w:sz="4" w:space="0" w:color="000000"/>
            </w:tcBorders>
          </w:tcPr>
          <w:p>
            <w:pPr>
              <w:pStyle w:val="TableParagraph"/>
              <w:rPr>
                <w:sz w:val="20"/>
              </w:rPr>
            </w:pPr>
          </w:p>
        </w:tc>
      </w:tr>
      <w:tr>
        <w:trPr>
          <w:trHeight w:val="623" w:hRule="atLeast"/>
        </w:trPr>
        <w:tc>
          <w:tcPr>
            <w:tcW w:w="1736" w:type="dxa"/>
            <w:tcBorders>
              <w:top w:val="single" w:sz="4" w:space="0" w:color="000000"/>
              <w:bottom w:val="single" w:sz="4" w:space="0" w:color="000000"/>
              <w:right w:val="single" w:sz="4" w:space="0" w:color="000000"/>
            </w:tcBorders>
          </w:tcPr>
          <w:p>
            <w:pPr>
              <w:pStyle w:val="TableParagraph"/>
              <w:spacing w:before="22"/>
              <w:ind w:left="113" w:right="93"/>
              <w:jc w:val="center"/>
              <w:rPr>
                <w:rFonts w:ascii="宋体" w:eastAsia="宋体" w:hint="eastAsia"/>
                <w:sz w:val="21"/>
              </w:rPr>
            </w:pPr>
            <w:r>
              <w:rPr>
                <w:rFonts w:ascii="宋体" w:eastAsia="宋体" w:hint="eastAsia"/>
                <w:sz w:val="21"/>
              </w:rPr>
              <w:t>海尔消费金融有</w:t>
            </w:r>
          </w:p>
          <w:p>
            <w:pPr>
              <w:pStyle w:val="TableParagraph"/>
              <w:spacing w:before="43"/>
              <w:ind w:left="113" w:right="93"/>
              <w:jc w:val="center"/>
              <w:rPr>
                <w:rFonts w:ascii="宋体" w:eastAsia="宋体" w:hint="eastAsia"/>
                <w:sz w:val="21"/>
              </w:rPr>
            </w:pPr>
            <w:r>
              <w:rPr>
                <w:rFonts w:ascii="宋体" w:eastAsia="宋体" w:hint="eastAsia"/>
                <w:sz w:val="21"/>
              </w:rPr>
              <w:t>限公司</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22"/>
              <w:ind w:left="213"/>
              <w:rPr>
                <w:rFonts w:ascii="宋体" w:eastAsia="宋体" w:hint="eastAsia"/>
                <w:sz w:val="21"/>
              </w:rPr>
            </w:pPr>
            <w:r>
              <w:rPr>
                <w:rFonts w:ascii="宋体" w:eastAsia="宋体" w:hint="eastAsia"/>
                <w:sz w:val="21"/>
              </w:rPr>
              <w:t>固定收益</w:t>
            </w:r>
          </w:p>
          <w:p>
            <w:pPr>
              <w:pStyle w:val="TableParagraph"/>
              <w:spacing w:before="43"/>
              <w:ind w:left="316"/>
              <w:rPr>
                <w:rFonts w:ascii="宋体" w:eastAsia="宋体" w:hint="eastAsia"/>
                <w:sz w:val="21"/>
              </w:rPr>
            </w:pPr>
            <w:r>
              <w:rPr>
                <w:rFonts w:ascii="宋体" w:eastAsia="宋体" w:hint="eastAsia"/>
                <w:sz w:val="21"/>
              </w:rPr>
              <w:t>型产品</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before="190"/>
              <w:ind w:right="84"/>
              <w:jc w:val="right"/>
              <w:rPr>
                <w:sz w:val="21"/>
              </w:rPr>
            </w:pPr>
            <w:r>
              <w:rPr>
                <w:sz w:val="21"/>
              </w:rPr>
              <w:t>8,000,000.0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before="190"/>
              <w:ind w:left="117"/>
              <w:rPr>
                <w:sz w:val="21"/>
              </w:rPr>
            </w:pPr>
            <w:r>
              <w:rPr>
                <w:sz w:val="21"/>
              </w:rPr>
              <w:t>2020/10/15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before="190"/>
              <w:ind w:left="117"/>
              <w:rPr>
                <w:sz w:val="21"/>
              </w:rPr>
            </w:pPr>
            <w:r>
              <w:rPr>
                <w:sz w:val="21"/>
              </w:rPr>
              <w:t>2021/4/15</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22"/>
              <w:ind w:left="177" w:right="151"/>
              <w:jc w:val="center"/>
              <w:rPr>
                <w:rFonts w:ascii="宋体" w:eastAsia="宋体" w:hint="eastAsia"/>
                <w:sz w:val="21"/>
              </w:rPr>
            </w:pPr>
            <w:r>
              <w:rPr>
                <w:rFonts w:ascii="宋体" w:eastAsia="宋体" w:hint="eastAsia"/>
                <w:sz w:val="21"/>
              </w:rPr>
              <w:t>自有资</w:t>
            </w:r>
          </w:p>
          <w:p>
            <w:pPr>
              <w:pStyle w:val="TableParagraph"/>
              <w:spacing w:before="43"/>
              <w:ind w:left="26"/>
              <w:jc w:val="center"/>
              <w:rPr>
                <w:rFonts w:ascii="宋体" w:eastAsia="宋体" w:hint="eastAsia"/>
                <w:sz w:val="21"/>
              </w:rPr>
            </w:pPr>
            <w:r>
              <w:rPr>
                <w:rFonts w:ascii="宋体" w:eastAsia="宋体" w:hint="eastAsia"/>
                <w:w w:val="100"/>
                <w:sz w:val="21"/>
              </w:rPr>
              <w:t>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before="20"/>
              <w:ind w:left="116"/>
              <w:rPr>
                <w:rFonts w:ascii="宋体"/>
                <w:sz w:val="21"/>
              </w:rPr>
            </w:pPr>
            <w:r>
              <w:rPr>
                <w:rFonts w:ascii="宋体"/>
                <w:w w:val="100"/>
                <w:sz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before="20"/>
              <w:ind w:left="115"/>
              <w:rPr>
                <w:rFonts w:ascii="宋体"/>
                <w:sz w:val="21"/>
              </w:rPr>
            </w:pPr>
            <w:r>
              <w:rPr>
                <w:rFonts w:ascii="宋体"/>
                <w:w w:val="100"/>
                <w:sz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before="190"/>
              <w:ind w:right="86"/>
              <w:jc w:val="right"/>
              <w:rPr>
                <w:sz w:val="21"/>
              </w:rPr>
            </w:pPr>
            <w:r>
              <w:rPr>
                <w:sz w:val="21"/>
              </w:rPr>
              <w:t>3.85%</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22"/>
              <w:ind w:left="139"/>
              <w:rPr>
                <w:rFonts w:ascii="宋体" w:eastAsia="宋体" w:hint="eastAsia"/>
                <w:sz w:val="21"/>
              </w:rPr>
            </w:pPr>
            <w:r>
              <w:rPr>
                <w:rFonts w:ascii="宋体" w:eastAsia="宋体" w:hint="eastAsia"/>
                <w:sz w:val="21"/>
              </w:rPr>
              <w:t>未到</w:t>
            </w:r>
          </w:p>
          <w:p>
            <w:pPr>
              <w:pStyle w:val="TableParagraph"/>
              <w:spacing w:before="43"/>
              <w:ind w:left="242"/>
              <w:rPr>
                <w:rFonts w:ascii="宋体" w:eastAsia="宋体" w:hint="eastAsia"/>
                <w:sz w:val="21"/>
              </w:rPr>
            </w:pPr>
            <w:r>
              <w:rPr>
                <w:rFonts w:ascii="宋体" w:eastAsia="宋体" w:hint="eastAsia"/>
                <w:w w:val="100"/>
                <w:sz w:val="21"/>
              </w:rPr>
              <w:t>期</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before="178"/>
              <w:ind w:left="16"/>
              <w:jc w:val="center"/>
              <w:rPr>
                <w:rFonts w:ascii="宋体" w:eastAsia="宋体" w:hint="eastAsia"/>
                <w:sz w:val="21"/>
              </w:rPr>
            </w:pPr>
            <w:r>
              <w:rPr>
                <w:rFonts w:ascii="宋体" w:eastAsia="宋体" w:hint="eastAsia"/>
                <w:w w:val="100"/>
                <w:sz w:val="21"/>
              </w:rPr>
              <w:t>是</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before="178"/>
              <w:ind w:left="255"/>
              <w:rPr>
                <w:rFonts w:ascii="宋体" w:eastAsia="宋体" w:hint="eastAsia"/>
                <w:sz w:val="21"/>
              </w:rPr>
            </w:pPr>
            <w:r>
              <w:rPr>
                <w:rFonts w:ascii="宋体" w:eastAsia="宋体" w:hint="eastAsia"/>
                <w:w w:val="100"/>
                <w:sz w:val="21"/>
              </w:rPr>
              <w:t>是</w:t>
            </w:r>
          </w:p>
        </w:tc>
        <w:tc>
          <w:tcPr>
            <w:tcW w:w="711" w:type="dxa"/>
            <w:tcBorders>
              <w:top w:val="single" w:sz="4" w:space="0" w:color="000000"/>
              <w:left w:val="single" w:sz="4" w:space="0" w:color="000000"/>
              <w:bottom w:val="single" w:sz="4" w:space="0" w:color="000000"/>
            </w:tcBorders>
          </w:tcPr>
          <w:p>
            <w:pPr>
              <w:pStyle w:val="TableParagraph"/>
              <w:rPr>
                <w:sz w:val="20"/>
              </w:rPr>
            </w:pPr>
          </w:p>
        </w:tc>
      </w:tr>
      <w:tr>
        <w:trPr>
          <w:trHeight w:val="1247" w:hRule="atLeast"/>
        </w:trPr>
        <w:tc>
          <w:tcPr>
            <w:tcW w:w="1736" w:type="dxa"/>
            <w:tcBorders>
              <w:top w:val="single" w:sz="4" w:space="0" w:color="000000"/>
              <w:bottom w:val="single" w:sz="4" w:space="0" w:color="000000"/>
              <w:right w:val="single" w:sz="4" w:space="0" w:color="000000"/>
            </w:tcBorders>
          </w:tcPr>
          <w:p>
            <w:pPr>
              <w:pStyle w:val="TableParagraph"/>
              <w:rPr>
                <w:sz w:val="20"/>
              </w:rPr>
            </w:pPr>
          </w:p>
          <w:p>
            <w:pPr>
              <w:pStyle w:val="TableParagraph"/>
              <w:spacing w:before="7"/>
              <w:rPr>
                <w:sz w:val="22"/>
              </w:rPr>
            </w:pPr>
          </w:p>
          <w:p>
            <w:pPr>
              <w:pStyle w:val="TableParagraph"/>
              <w:ind w:left="113" w:right="93"/>
              <w:jc w:val="center"/>
              <w:rPr>
                <w:rFonts w:ascii="宋体" w:eastAsia="宋体" w:hint="eastAsia"/>
                <w:sz w:val="21"/>
              </w:rPr>
            </w:pPr>
            <w:r>
              <w:rPr>
                <w:rFonts w:ascii="宋体" w:eastAsia="宋体" w:hint="eastAsia"/>
                <w:sz w:val="21"/>
              </w:rPr>
              <w:t>建行海尔路支行</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22"/>
              <w:ind w:left="213" w:right="148" w:hanging="36"/>
              <w:jc w:val="both"/>
              <w:rPr>
                <w:rFonts w:ascii="宋体" w:eastAsia="宋体" w:hint="eastAsia"/>
                <w:sz w:val="21"/>
              </w:rPr>
            </w:pPr>
            <w:r>
              <w:rPr>
                <w:rFonts w:ascii="宋体" w:eastAsia="宋体" w:hint="eastAsia"/>
                <w:sz w:val="21"/>
              </w:rPr>
              <w:t>乾元</w:t>
            </w:r>
            <w:r>
              <w:rPr>
                <w:sz w:val="21"/>
              </w:rPr>
              <w:t>-</w:t>
            </w:r>
            <w:r>
              <w:rPr>
                <w:rFonts w:ascii="宋体" w:eastAsia="宋体" w:hint="eastAsia"/>
                <w:sz w:val="21"/>
              </w:rPr>
              <w:t>周周利开放式保本理财</w:t>
            </w:r>
          </w:p>
          <w:p>
            <w:pPr>
              <w:pStyle w:val="TableParagraph"/>
              <w:spacing w:line="269" w:lineRule="exact"/>
              <w:ind w:left="421"/>
              <w:rPr>
                <w:rFonts w:ascii="宋体" w:eastAsia="宋体" w:hint="eastAsia"/>
                <w:sz w:val="21"/>
              </w:rPr>
            </w:pPr>
            <w:r>
              <w:rPr>
                <w:rFonts w:ascii="宋体" w:eastAsia="宋体" w:hint="eastAsia"/>
                <w:sz w:val="21"/>
              </w:rPr>
              <w:t>产品</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rPr>
                <w:sz w:val="22"/>
              </w:rPr>
            </w:pPr>
          </w:p>
          <w:p>
            <w:pPr>
              <w:pStyle w:val="TableParagraph"/>
              <w:spacing w:before="7"/>
              <w:rPr>
                <w:sz w:val="21"/>
              </w:rPr>
            </w:pPr>
          </w:p>
          <w:p>
            <w:pPr>
              <w:pStyle w:val="TableParagraph"/>
              <w:ind w:right="84"/>
              <w:jc w:val="right"/>
              <w:rPr>
                <w:sz w:val="21"/>
              </w:rPr>
            </w:pPr>
            <w:r>
              <w:rPr>
                <w:sz w:val="21"/>
              </w:rPr>
              <w:t>197,100,000.00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rPr>
                <w:sz w:val="22"/>
              </w:rPr>
            </w:pPr>
          </w:p>
          <w:p>
            <w:pPr>
              <w:pStyle w:val="TableParagraph"/>
              <w:spacing w:before="7"/>
              <w:rPr>
                <w:sz w:val="21"/>
              </w:rPr>
            </w:pPr>
          </w:p>
          <w:p>
            <w:pPr>
              <w:pStyle w:val="TableParagraph"/>
              <w:ind w:left="117"/>
              <w:rPr>
                <w:sz w:val="21"/>
              </w:rPr>
            </w:pPr>
            <w:r>
              <w:rPr>
                <w:sz w:val="21"/>
              </w:rPr>
              <w:t>2019/8/14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rPr>
                <w:sz w:val="20"/>
              </w:rPr>
            </w:pPr>
          </w:p>
          <w:p>
            <w:pPr>
              <w:pStyle w:val="TableParagraph"/>
              <w:spacing w:before="7"/>
              <w:rPr>
                <w:sz w:val="22"/>
              </w:rPr>
            </w:pPr>
          </w:p>
          <w:p>
            <w:pPr>
              <w:pStyle w:val="TableParagraph"/>
              <w:ind w:left="117"/>
              <w:rPr>
                <w:rFonts w:ascii="宋体" w:eastAsia="宋体" w:hint="eastAsia"/>
                <w:sz w:val="21"/>
              </w:rPr>
            </w:pPr>
            <w:r>
              <w:rPr>
                <w:rFonts w:ascii="宋体" w:eastAsia="宋体" w:hint="eastAsia"/>
                <w:sz w:val="21"/>
              </w:rPr>
              <w:t>按需</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1"/>
              <w:rPr>
                <w:sz w:val="29"/>
              </w:rPr>
            </w:pPr>
          </w:p>
          <w:p>
            <w:pPr>
              <w:pStyle w:val="TableParagraph"/>
              <w:spacing w:line="278" w:lineRule="auto"/>
              <w:ind w:left="407" w:right="167" w:hanging="212"/>
              <w:rPr>
                <w:rFonts w:ascii="宋体" w:eastAsia="宋体" w:hint="eastAsia"/>
                <w:sz w:val="21"/>
              </w:rPr>
            </w:pPr>
            <w:r>
              <w:rPr>
                <w:rFonts w:ascii="宋体" w:eastAsia="宋体" w:hint="eastAsia"/>
                <w:sz w:val="21"/>
              </w:rPr>
              <w:t>募集资金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before="20"/>
              <w:ind w:left="116"/>
              <w:rPr>
                <w:rFonts w:ascii="宋体"/>
                <w:sz w:val="21"/>
              </w:rPr>
            </w:pPr>
            <w:r>
              <w:rPr>
                <w:rFonts w:ascii="宋体"/>
                <w:w w:val="100"/>
                <w:sz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before="20"/>
              <w:ind w:left="115"/>
              <w:rPr>
                <w:rFonts w:ascii="宋体"/>
                <w:sz w:val="21"/>
              </w:rPr>
            </w:pPr>
            <w:r>
              <w:rPr>
                <w:rFonts w:ascii="宋体"/>
                <w:w w:val="100"/>
                <w:sz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rPr>
                <w:sz w:val="22"/>
              </w:rPr>
            </w:pPr>
          </w:p>
          <w:p>
            <w:pPr>
              <w:pStyle w:val="TableParagraph"/>
              <w:spacing w:before="7"/>
              <w:rPr>
                <w:sz w:val="21"/>
              </w:rPr>
            </w:pPr>
          </w:p>
          <w:p>
            <w:pPr>
              <w:pStyle w:val="TableParagraph"/>
              <w:ind w:right="86"/>
              <w:jc w:val="right"/>
              <w:rPr>
                <w:sz w:val="21"/>
              </w:rPr>
            </w:pPr>
            <w:r>
              <w:rPr>
                <w:sz w:val="21"/>
              </w:rPr>
              <w:t>2.20%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1"/>
              <w:rPr>
                <w:sz w:val="29"/>
              </w:rPr>
            </w:pPr>
          </w:p>
          <w:p>
            <w:pPr>
              <w:pStyle w:val="TableParagraph"/>
              <w:spacing w:line="278" w:lineRule="auto"/>
              <w:ind w:left="242" w:right="115" w:hanging="104"/>
              <w:rPr>
                <w:rFonts w:ascii="宋体" w:eastAsia="宋体" w:hint="eastAsia"/>
                <w:sz w:val="21"/>
              </w:rPr>
            </w:pPr>
            <w:r>
              <w:rPr>
                <w:rFonts w:ascii="宋体" w:eastAsia="宋体" w:hint="eastAsia"/>
                <w:sz w:val="21"/>
              </w:rPr>
              <w:t>未到期</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rPr>
                <w:sz w:val="20"/>
              </w:rPr>
            </w:pPr>
          </w:p>
          <w:p>
            <w:pPr>
              <w:pStyle w:val="TableParagraph"/>
              <w:spacing w:before="7"/>
              <w:rPr>
                <w:sz w:val="22"/>
              </w:rPr>
            </w:pPr>
          </w:p>
          <w:p>
            <w:pPr>
              <w:pStyle w:val="TableParagraph"/>
              <w:ind w:left="16"/>
              <w:jc w:val="center"/>
              <w:rPr>
                <w:rFonts w:ascii="宋体" w:eastAsia="宋体" w:hint="eastAsia"/>
                <w:sz w:val="21"/>
              </w:rPr>
            </w:pPr>
            <w:r>
              <w:rPr>
                <w:rFonts w:ascii="宋体" w:eastAsia="宋体" w:hint="eastAsia"/>
                <w:w w:val="100"/>
                <w:sz w:val="21"/>
              </w:rPr>
              <w:t>是</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rPr>
                <w:sz w:val="20"/>
              </w:rPr>
            </w:pPr>
          </w:p>
          <w:p>
            <w:pPr>
              <w:pStyle w:val="TableParagraph"/>
              <w:spacing w:before="7"/>
              <w:rPr>
                <w:sz w:val="22"/>
              </w:rPr>
            </w:pPr>
          </w:p>
          <w:p>
            <w:pPr>
              <w:pStyle w:val="TableParagraph"/>
              <w:ind w:left="255"/>
              <w:rPr>
                <w:rFonts w:ascii="宋体" w:eastAsia="宋体" w:hint="eastAsia"/>
                <w:sz w:val="21"/>
              </w:rPr>
            </w:pPr>
            <w:r>
              <w:rPr>
                <w:rFonts w:ascii="宋体" w:eastAsia="宋体" w:hint="eastAsia"/>
                <w:w w:val="100"/>
                <w:sz w:val="21"/>
              </w:rPr>
              <w:t>是</w:t>
            </w:r>
          </w:p>
        </w:tc>
        <w:tc>
          <w:tcPr>
            <w:tcW w:w="711" w:type="dxa"/>
            <w:tcBorders>
              <w:top w:val="single" w:sz="4" w:space="0" w:color="000000"/>
              <w:left w:val="single" w:sz="4" w:space="0" w:color="000000"/>
              <w:bottom w:val="single" w:sz="4" w:space="0" w:color="000000"/>
            </w:tcBorders>
          </w:tcPr>
          <w:p>
            <w:pPr>
              <w:pStyle w:val="TableParagraph"/>
              <w:rPr>
                <w:sz w:val="20"/>
              </w:rPr>
            </w:pPr>
          </w:p>
        </w:tc>
      </w:tr>
      <w:tr>
        <w:trPr>
          <w:trHeight w:val="1247" w:hRule="atLeast"/>
        </w:trPr>
        <w:tc>
          <w:tcPr>
            <w:tcW w:w="1736" w:type="dxa"/>
            <w:tcBorders>
              <w:top w:val="single" w:sz="4" w:space="0" w:color="000000"/>
              <w:bottom w:val="single" w:sz="4" w:space="0" w:color="000000"/>
              <w:right w:val="single" w:sz="4" w:space="0" w:color="000000"/>
            </w:tcBorders>
          </w:tcPr>
          <w:p>
            <w:pPr>
              <w:pStyle w:val="TableParagraph"/>
              <w:spacing w:line="278" w:lineRule="auto" w:before="179"/>
              <w:ind w:left="131" w:right="108"/>
              <w:jc w:val="center"/>
              <w:rPr>
                <w:rFonts w:ascii="宋体" w:eastAsia="宋体" w:hint="eastAsia"/>
                <w:sz w:val="21"/>
              </w:rPr>
            </w:pPr>
            <w:r>
              <w:rPr>
                <w:rFonts w:ascii="宋体" w:eastAsia="宋体" w:hint="eastAsia"/>
                <w:sz w:val="21"/>
              </w:rPr>
              <w:t>中国银行股份有限公司青岛市分行</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22"/>
              <w:ind w:left="177" w:right="148" w:firstLine="36"/>
              <w:jc w:val="both"/>
              <w:rPr>
                <w:rFonts w:ascii="宋体" w:eastAsia="宋体" w:hint="eastAsia"/>
                <w:sz w:val="21"/>
              </w:rPr>
            </w:pPr>
            <w:r>
              <w:rPr>
                <w:rFonts w:ascii="宋体" w:eastAsia="宋体" w:hint="eastAsia"/>
                <w:sz w:val="21"/>
              </w:rPr>
              <w:t>中银保本理财</w:t>
            </w:r>
            <w:r>
              <w:rPr>
                <w:sz w:val="21"/>
              </w:rPr>
              <w:t>-</w:t>
            </w:r>
            <w:r>
              <w:rPr>
                <w:rFonts w:ascii="宋体" w:eastAsia="宋体" w:hint="eastAsia"/>
                <w:sz w:val="21"/>
              </w:rPr>
              <w:t>挂钩型结构性</w:t>
            </w:r>
          </w:p>
          <w:p>
            <w:pPr>
              <w:pStyle w:val="TableParagraph"/>
              <w:ind w:left="421"/>
              <w:rPr>
                <w:rFonts w:ascii="宋体" w:eastAsia="宋体" w:hint="eastAsia"/>
                <w:sz w:val="21"/>
              </w:rPr>
            </w:pPr>
            <w:r>
              <w:rPr>
                <w:rFonts w:ascii="宋体" w:eastAsia="宋体" w:hint="eastAsia"/>
                <w:sz w:val="21"/>
              </w:rPr>
              <w:t>存款</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rPr>
                <w:sz w:val="22"/>
              </w:rPr>
            </w:pPr>
          </w:p>
          <w:p>
            <w:pPr>
              <w:pStyle w:val="TableParagraph"/>
              <w:spacing w:before="8"/>
              <w:rPr>
                <w:sz w:val="21"/>
              </w:rPr>
            </w:pPr>
          </w:p>
          <w:p>
            <w:pPr>
              <w:pStyle w:val="TableParagraph"/>
              <w:ind w:right="84"/>
              <w:jc w:val="right"/>
              <w:rPr>
                <w:sz w:val="21"/>
              </w:rPr>
            </w:pPr>
            <w:r>
              <w:rPr>
                <w:sz w:val="21"/>
              </w:rPr>
              <w:t>92,000,000.00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rPr>
                <w:sz w:val="22"/>
              </w:rPr>
            </w:pPr>
          </w:p>
          <w:p>
            <w:pPr>
              <w:pStyle w:val="TableParagraph"/>
              <w:spacing w:before="8"/>
              <w:rPr>
                <w:sz w:val="21"/>
              </w:rPr>
            </w:pPr>
          </w:p>
          <w:p>
            <w:pPr>
              <w:pStyle w:val="TableParagraph"/>
              <w:ind w:left="117"/>
              <w:rPr>
                <w:sz w:val="21"/>
              </w:rPr>
            </w:pPr>
            <w:r>
              <w:rPr>
                <w:sz w:val="21"/>
              </w:rPr>
              <w:t>2020/11/23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rPr>
                <w:sz w:val="22"/>
              </w:rPr>
            </w:pPr>
          </w:p>
          <w:p>
            <w:pPr>
              <w:pStyle w:val="TableParagraph"/>
              <w:spacing w:before="8"/>
              <w:rPr>
                <w:sz w:val="21"/>
              </w:rPr>
            </w:pPr>
          </w:p>
          <w:p>
            <w:pPr>
              <w:pStyle w:val="TableParagraph"/>
              <w:ind w:left="117"/>
              <w:rPr>
                <w:sz w:val="21"/>
              </w:rPr>
            </w:pPr>
            <w:r>
              <w:rPr>
                <w:sz w:val="21"/>
              </w:rPr>
              <w:t>2021/5/17</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1"/>
              <w:rPr>
                <w:sz w:val="29"/>
              </w:rPr>
            </w:pPr>
          </w:p>
          <w:p>
            <w:pPr>
              <w:pStyle w:val="TableParagraph"/>
              <w:spacing w:line="278" w:lineRule="auto"/>
              <w:ind w:left="407" w:right="167" w:hanging="212"/>
              <w:rPr>
                <w:rFonts w:ascii="宋体" w:eastAsia="宋体" w:hint="eastAsia"/>
                <w:sz w:val="21"/>
              </w:rPr>
            </w:pPr>
            <w:r>
              <w:rPr>
                <w:rFonts w:ascii="宋体" w:eastAsia="宋体" w:hint="eastAsia"/>
                <w:sz w:val="21"/>
              </w:rPr>
              <w:t>募集资金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before="20"/>
              <w:ind w:left="116"/>
              <w:rPr>
                <w:rFonts w:ascii="宋体"/>
                <w:sz w:val="21"/>
              </w:rPr>
            </w:pPr>
            <w:r>
              <w:rPr>
                <w:rFonts w:ascii="宋体"/>
                <w:w w:val="100"/>
                <w:sz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before="20"/>
              <w:ind w:left="115"/>
              <w:rPr>
                <w:rFonts w:ascii="宋体"/>
                <w:sz w:val="21"/>
              </w:rPr>
            </w:pPr>
            <w:r>
              <w:rPr>
                <w:rFonts w:ascii="宋体"/>
                <w:w w:val="100"/>
                <w:sz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rPr>
                <w:sz w:val="22"/>
              </w:rPr>
            </w:pPr>
          </w:p>
          <w:p>
            <w:pPr>
              <w:pStyle w:val="TableParagraph"/>
              <w:spacing w:before="8"/>
              <w:rPr>
                <w:sz w:val="21"/>
              </w:rPr>
            </w:pPr>
          </w:p>
          <w:p>
            <w:pPr>
              <w:pStyle w:val="TableParagraph"/>
              <w:ind w:right="86"/>
              <w:jc w:val="right"/>
              <w:rPr>
                <w:sz w:val="21"/>
              </w:rPr>
            </w:pPr>
            <w:r>
              <w:rPr>
                <w:sz w:val="21"/>
              </w:rPr>
              <w:t>3.25%</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1"/>
              <w:rPr>
                <w:sz w:val="29"/>
              </w:rPr>
            </w:pPr>
          </w:p>
          <w:p>
            <w:pPr>
              <w:pStyle w:val="TableParagraph"/>
              <w:spacing w:line="278" w:lineRule="auto"/>
              <w:ind w:left="242" w:right="115" w:hanging="104"/>
              <w:rPr>
                <w:rFonts w:ascii="宋体" w:eastAsia="宋体" w:hint="eastAsia"/>
                <w:sz w:val="21"/>
              </w:rPr>
            </w:pPr>
            <w:r>
              <w:rPr>
                <w:rFonts w:ascii="宋体" w:eastAsia="宋体" w:hint="eastAsia"/>
                <w:sz w:val="21"/>
              </w:rPr>
              <w:t>未到期</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rPr>
                <w:sz w:val="20"/>
              </w:rPr>
            </w:pPr>
          </w:p>
          <w:p>
            <w:pPr>
              <w:pStyle w:val="TableParagraph"/>
              <w:spacing w:before="8"/>
              <w:rPr>
                <w:sz w:val="22"/>
              </w:rPr>
            </w:pPr>
          </w:p>
          <w:p>
            <w:pPr>
              <w:pStyle w:val="TableParagraph"/>
              <w:ind w:left="16"/>
              <w:jc w:val="center"/>
              <w:rPr>
                <w:rFonts w:ascii="宋体" w:eastAsia="宋体" w:hint="eastAsia"/>
                <w:sz w:val="21"/>
              </w:rPr>
            </w:pPr>
            <w:r>
              <w:rPr>
                <w:rFonts w:ascii="宋体" w:eastAsia="宋体" w:hint="eastAsia"/>
                <w:w w:val="100"/>
                <w:sz w:val="21"/>
              </w:rPr>
              <w:t>是</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rPr>
                <w:sz w:val="20"/>
              </w:rPr>
            </w:pPr>
          </w:p>
          <w:p>
            <w:pPr>
              <w:pStyle w:val="TableParagraph"/>
              <w:spacing w:before="8"/>
              <w:rPr>
                <w:sz w:val="22"/>
              </w:rPr>
            </w:pPr>
          </w:p>
          <w:p>
            <w:pPr>
              <w:pStyle w:val="TableParagraph"/>
              <w:ind w:left="255"/>
              <w:rPr>
                <w:rFonts w:ascii="宋体" w:eastAsia="宋体" w:hint="eastAsia"/>
                <w:sz w:val="21"/>
              </w:rPr>
            </w:pPr>
            <w:r>
              <w:rPr>
                <w:rFonts w:ascii="宋体" w:eastAsia="宋体" w:hint="eastAsia"/>
                <w:w w:val="100"/>
                <w:sz w:val="21"/>
              </w:rPr>
              <w:t>是</w:t>
            </w:r>
          </w:p>
        </w:tc>
        <w:tc>
          <w:tcPr>
            <w:tcW w:w="711" w:type="dxa"/>
            <w:tcBorders>
              <w:top w:val="single" w:sz="4" w:space="0" w:color="000000"/>
              <w:left w:val="single" w:sz="4" w:space="0" w:color="000000"/>
              <w:bottom w:val="single" w:sz="4" w:space="0" w:color="000000"/>
            </w:tcBorders>
          </w:tcPr>
          <w:p>
            <w:pPr>
              <w:pStyle w:val="TableParagraph"/>
              <w:rPr>
                <w:sz w:val="20"/>
              </w:rPr>
            </w:pPr>
          </w:p>
        </w:tc>
      </w:tr>
      <w:tr>
        <w:trPr>
          <w:trHeight w:val="623" w:hRule="atLeast"/>
        </w:trPr>
        <w:tc>
          <w:tcPr>
            <w:tcW w:w="1736" w:type="dxa"/>
            <w:tcBorders>
              <w:top w:val="single" w:sz="4" w:space="0" w:color="000000"/>
              <w:bottom w:val="single" w:sz="4" w:space="0" w:color="000000"/>
              <w:right w:val="single" w:sz="4" w:space="0" w:color="000000"/>
            </w:tcBorders>
          </w:tcPr>
          <w:p>
            <w:pPr>
              <w:pStyle w:val="TableParagraph"/>
              <w:spacing w:before="178"/>
              <w:ind w:left="113" w:right="93"/>
              <w:jc w:val="center"/>
              <w:rPr>
                <w:rFonts w:ascii="宋体" w:eastAsia="宋体" w:hint="eastAsia"/>
                <w:sz w:val="21"/>
              </w:rPr>
            </w:pPr>
            <w:r>
              <w:rPr>
                <w:rFonts w:ascii="宋体" w:eastAsia="宋体" w:hint="eastAsia"/>
                <w:sz w:val="21"/>
              </w:rPr>
              <w:t>建行海尔路支行</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22"/>
              <w:ind w:left="213"/>
              <w:rPr>
                <w:rFonts w:ascii="宋体" w:eastAsia="宋体" w:hint="eastAsia"/>
                <w:sz w:val="21"/>
              </w:rPr>
            </w:pPr>
            <w:r>
              <w:rPr>
                <w:rFonts w:ascii="宋体" w:eastAsia="宋体" w:hint="eastAsia"/>
                <w:spacing w:val="-1"/>
                <w:sz w:val="21"/>
              </w:rPr>
              <w:t>挂钩型结</w:t>
            </w:r>
          </w:p>
          <w:p>
            <w:pPr>
              <w:pStyle w:val="TableParagraph"/>
              <w:spacing w:before="43"/>
              <w:ind w:left="213"/>
              <w:rPr>
                <w:rFonts w:ascii="宋体" w:eastAsia="宋体" w:hint="eastAsia"/>
                <w:sz w:val="21"/>
              </w:rPr>
            </w:pPr>
            <w:r>
              <w:rPr>
                <w:rFonts w:ascii="宋体" w:eastAsia="宋体" w:hint="eastAsia"/>
                <w:spacing w:val="-1"/>
                <w:sz w:val="21"/>
              </w:rPr>
              <w:t>构性存款</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before="190"/>
              <w:ind w:right="84"/>
              <w:jc w:val="right"/>
              <w:rPr>
                <w:sz w:val="21"/>
              </w:rPr>
            </w:pPr>
            <w:r>
              <w:rPr>
                <w:sz w:val="21"/>
              </w:rPr>
              <w:t>140,000,000.00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before="190"/>
              <w:ind w:left="117"/>
              <w:rPr>
                <w:sz w:val="21"/>
              </w:rPr>
            </w:pPr>
            <w:r>
              <w:rPr>
                <w:sz w:val="21"/>
              </w:rPr>
              <w:t>2020/12/17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before="190"/>
              <w:ind w:left="117"/>
              <w:rPr>
                <w:sz w:val="21"/>
              </w:rPr>
            </w:pPr>
            <w:r>
              <w:rPr>
                <w:sz w:val="21"/>
              </w:rPr>
              <w:t>2021/6/15</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22"/>
              <w:ind w:left="177" w:right="151"/>
              <w:jc w:val="center"/>
              <w:rPr>
                <w:rFonts w:ascii="宋体" w:eastAsia="宋体" w:hint="eastAsia"/>
                <w:sz w:val="21"/>
              </w:rPr>
            </w:pPr>
            <w:r>
              <w:rPr>
                <w:rFonts w:ascii="宋体" w:eastAsia="宋体" w:hint="eastAsia"/>
                <w:sz w:val="21"/>
              </w:rPr>
              <w:t>募集资</w:t>
            </w:r>
          </w:p>
          <w:p>
            <w:pPr>
              <w:pStyle w:val="TableParagraph"/>
              <w:spacing w:before="43"/>
              <w:ind w:left="26"/>
              <w:jc w:val="center"/>
              <w:rPr>
                <w:rFonts w:ascii="宋体" w:eastAsia="宋体" w:hint="eastAsia"/>
                <w:sz w:val="21"/>
              </w:rPr>
            </w:pPr>
            <w:r>
              <w:rPr>
                <w:rFonts w:ascii="宋体" w:eastAsia="宋体" w:hint="eastAsia"/>
                <w:w w:val="100"/>
                <w:sz w:val="21"/>
              </w:rPr>
              <w:t>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before="20"/>
              <w:ind w:left="116"/>
              <w:rPr>
                <w:rFonts w:ascii="宋体"/>
                <w:sz w:val="21"/>
              </w:rPr>
            </w:pPr>
            <w:r>
              <w:rPr>
                <w:rFonts w:ascii="宋体"/>
                <w:w w:val="100"/>
                <w:sz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before="20"/>
              <w:ind w:left="115"/>
              <w:rPr>
                <w:rFonts w:ascii="宋体"/>
                <w:sz w:val="21"/>
              </w:rPr>
            </w:pPr>
            <w:r>
              <w:rPr>
                <w:rFonts w:ascii="宋体"/>
                <w:w w:val="100"/>
                <w:sz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before="190"/>
              <w:ind w:right="86"/>
              <w:jc w:val="right"/>
              <w:rPr>
                <w:sz w:val="21"/>
              </w:rPr>
            </w:pPr>
            <w:r>
              <w:rPr>
                <w:sz w:val="21"/>
              </w:rPr>
              <w:t>3.25%</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22"/>
              <w:ind w:left="139"/>
              <w:rPr>
                <w:rFonts w:ascii="宋体" w:eastAsia="宋体" w:hint="eastAsia"/>
                <w:sz w:val="21"/>
              </w:rPr>
            </w:pPr>
            <w:r>
              <w:rPr>
                <w:rFonts w:ascii="宋体" w:eastAsia="宋体" w:hint="eastAsia"/>
                <w:sz w:val="21"/>
              </w:rPr>
              <w:t>未到</w:t>
            </w:r>
          </w:p>
          <w:p>
            <w:pPr>
              <w:pStyle w:val="TableParagraph"/>
              <w:spacing w:before="43"/>
              <w:ind w:left="242"/>
              <w:rPr>
                <w:rFonts w:ascii="宋体" w:eastAsia="宋体" w:hint="eastAsia"/>
                <w:sz w:val="21"/>
              </w:rPr>
            </w:pPr>
            <w:r>
              <w:rPr>
                <w:rFonts w:ascii="宋体" w:eastAsia="宋体" w:hint="eastAsia"/>
                <w:w w:val="100"/>
                <w:sz w:val="21"/>
              </w:rPr>
              <w:t>期</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before="178"/>
              <w:ind w:left="16"/>
              <w:jc w:val="center"/>
              <w:rPr>
                <w:rFonts w:ascii="宋体" w:eastAsia="宋体" w:hint="eastAsia"/>
                <w:sz w:val="21"/>
              </w:rPr>
            </w:pPr>
            <w:r>
              <w:rPr>
                <w:rFonts w:ascii="宋体" w:eastAsia="宋体" w:hint="eastAsia"/>
                <w:w w:val="100"/>
                <w:sz w:val="21"/>
              </w:rPr>
              <w:t>是</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before="178"/>
              <w:ind w:left="255"/>
              <w:rPr>
                <w:rFonts w:ascii="宋体" w:eastAsia="宋体" w:hint="eastAsia"/>
                <w:sz w:val="21"/>
              </w:rPr>
            </w:pPr>
            <w:r>
              <w:rPr>
                <w:rFonts w:ascii="宋体" w:eastAsia="宋体" w:hint="eastAsia"/>
                <w:w w:val="100"/>
                <w:sz w:val="21"/>
              </w:rPr>
              <w:t>是</w:t>
            </w:r>
          </w:p>
        </w:tc>
        <w:tc>
          <w:tcPr>
            <w:tcW w:w="711" w:type="dxa"/>
            <w:tcBorders>
              <w:top w:val="single" w:sz="4" w:space="0" w:color="000000"/>
              <w:left w:val="single" w:sz="4" w:space="0" w:color="000000"/>
              <w:bottom w:val="single" w:sz="4" w:space="0" w:color="000000"/>
            </w:tcBorders>
          </w:tcPr>
          <w:p>
            <w:pPr>
              <w:pStyle w:val="TableParagraph"/>
              <w:rPr>
                <w:sz w:val="20"/>
              </w:rPr>
            </w:pPr>
          </w:p>
        </w:tc>
      </w:tr>
      <w:tr>
        <w:trPr>
          <w:trHeight w:val="935" w:hRule="atLeast"/>
        </w:trPr>
        <w:tc>
          <w:tcPr>
            <w:tcW w:w="1736" w:type="dxa"/>
            <w:tcBorders>
              <w:top w:val="single" w:sz="4" w:space="0" w:color="000000"/>
              <w:right w:val="single" w:sz="4" w:space="0" w:color="000000"/>
            </w:tcBorders>
          </w:tcPr>
          <w:p>
            <w:pPr>
              <w:pStyle w:val="TableParagraph"/>
              <w:spacing w:before="22"/>
              <w:ind w:left="131"/>
              <w:rPr>
                <w:rFonts w:ascii="宋体" w:eastAsia="宋体" w:hint="eastAsia"/>
                <w:sz w:val="21"/>
              </w:rPr>
            </w:pPr>
            <w:r>
              <w:rPr>
                <w:rFonts w:ascii="宋体" w:eastAsia="宋体" w:hint="eastAsia"/>
                <w:sz w:val="21"/>
              </w:rPr>
              <w:t>中国银行股份有</w:t>
            </w:r>
          </w:p>
          <w:p>
            <w:pPr>
              <w:pStyle w:val="TableParagraph"/>
              <w:spacing w:line="310" w:lineRule="atLeast" w:before="2"/>
              <w:ind w:left="760" w:right="108" w:hanging="629"/>
              <w:rPr>
                <w:rFonts w:ascii="宋体" w:eastAsia="宋体" w:hint="eastAsia"/>
                <w:sz w:val="21"/>
              </w:rPr>
            </w:pPr>
            <w:r>
              <w:rPr>
                <w:rFonts w:ascii="宋体" w:eastAsia="宋体" w:hint="eastAsia"/>
                <w:sz w:val="21"/>
              </w:rPr>
              <w:t>限公司青岛市分行</w:t>
            </w:r>
          </w:p>
        </w:tc>
        <w:tc>
          <w:tcPr>
            <w:tcW w:w="1248" w:type="dxa"/>
            <w:tcBorders>
              <w:top w:val="single" w:sz="4" w:space="0" w:color="000000"/>
              <w:left w:val="single" w:sz="4" w:space="0" w:color="000000"/>
              <w:right w:val="single" w:sz="4" w:space="0" w:color="000000"/>
            </w:tcBorders>
          </w:tcPr>
          <w:p>
            <w:pPr>
              <w:pStyle w:val="TableParagraph"/>
              <w:spacing w:before="1"/>
              <w:rPr>
                <w:sz w:val="29"/>
              </w:rPr>
            </w:pPr>
          </w:p>
          <w:p>
            <w:pPr>
              <w:pStyle w:val="TableParagraph"/>
              <w:ind w:left="194" w:right="164"/>
              <w:jc w:val="center"/>
              <w:rPr>
                <w:rFonts w:ascii="宋体" w:eastAsia="宋体" w:hint="eastAsia"/>
                <w:sz w:val="21"/>
              </w:rPr>
            </w:pPr>
            <w:r>
              <w:rPr>
                <w:rFonts w:ascii="宋体" w:eastAsia="宋体" w:hint="eastAsia"/>
                <w:sz w:val="21"/>
              </w:rPr>
              <w:t>大额存单</w:t>
            </w:r>
          </w:p>
        </w:tc>
        <w:tc>
          <w:tcPr>
            <w:tcW w:w="1579" w:type="dxa"/>
            <w:tcBorders>
              <w:top w:val="single" w:sz="4" w:space="0" w:color="000000"/>
              <w:left w:val="single" w:sz="4" w:space="0" w:color="000000"/>
              <w:right w:val="single" w:sz="4" w:space="0" w:color="000000"/>
            </w:tcBorders>
          </w:tcPr>
          <w:p>
            <w:pPr>
              <w:pStyle w:val="TableParagraph"/>
              <w:spacing w:before="1"/>
              <w:rPr>
                <w:sz w:val="30"/>
              </w:rPr>
            </w:pPr>
          </w:p>
          <w:p>
            <w:pPr>
              <w:pStyle w:val="TableParagraph"/>
              <w:ind w:right="84"/>
              <w:jc w:val="right"/>
              <w:rPr>
                <w:sz w:val="21"/>
              </w:rPr>
            </w:pPr>
            <w:r>
              <w:rPr>
                <w:sz w:val="21"/>
              </w:rPr>
              <w:t>34,418,078.00</w:t>
            </w:r>
          </w:p>
        </w:tc>
        <w:tc>
          <w:tcPr>
            <w:tcW w:w="1532" w:type="dxa"/>
            <w:tcBorders>
              <w:top w:val="single" w:sz="4" w:space="0" w:color="000000"/>
              <w:left w:val="single" w:sz="4" w:space="0" w:color="000000"/>
              <w:right w:val="single" w:sz="4" w:space="0" w:color="000000"/>
            </w:tcBorders>
          </w:tcPr>
          <w:p>
            <w:pPr>
              <w:pStyle w:val="TableParagraph"/>
              <w:spacing w:before="1"/>
              <w:rPr>
                <w:sz w:val="30"/>
              </w:rPr>
            </w:pPr>
          </w:p>
          <w:p>
            <w:pPr>
              <w:pStyle w:val="TableParagraph"/>
              <w:ind w:left="117"/>
              <w:rPr>
                <w:sz w:val="21"/>
              </w:rPr>
            </w:pPr>
            <w:r>
              <w:rPr>
                <w:sz w:val="21"/>
              </w:rPr>
              <w:t>2019/1/29</w:t>
            </w:r>
          </w:p>
        </w:tc>
        <w:tc>
          <w:tcPr>
            <w:tcW w:w="1414" w:type="dxa"/>
            <w:tcBorders>
              <w:top w:val="single" w:sz="4" w:space="0" w:color="000000"/>
              <w:left w:val="single" w:sz="4" w:space="0" w:color="000000"/>
              <w:right w:val="single" w:sz="4" w:space="0" w:color="000000"/>
            </w:tcBorders>
          </w:tcPr>
          <w:p>
            <w:pPr>
              <w:pStyle w:val="TableParagraph"/>
              <w:spacing w:before="1"/>
              <w:rPr>
                <w:sz w:val="29"/>
              </w:rPr>
            </w:pPr>
          </w:p>
          <w:p>
            <w:pPr>
              <w:pStyle w:val="TableParagraph"/>
              <w:ind w:left="117"/>
              <w:rPr>
                <w:rFonts w:ascii="宋体" w:eastAsia="宋体" w:hint="eastAsia"/>
                <w:sz w:val="21"/>
              </w:rPr>
            </w:pPr>
            <w:r>
              <w:rPr>
                <w:rFonts w:ascii="宋体" w:eastAsia="宋体" w:hint="eastAsia"/>
                <w:sz w:val="21"/>
              </w:rPr>
              <w:t>按需</w:t>
            </w:r>
          </w:p>
        </w:tc>
        <w:tc>
          <w:tcPr>
            <w:tcW w:w="1009" w:type="dxa"/>
            <w:tcBorders>
              <w:top w:val="single" w:sz="4" w:space="0" w:color="000000"/>
              <w:left w:val="single" w:sz="4" w:space="0" w:color="000000"/>
              <w:right w:val="single" w:sz="4" w:space="0" w:color="000000"/>
            </w:tcBorders>
          </w:tcPr>
          <w:p>
            <w:pPr>
              <w:pStyle w:val="TableParagraph"/>
              <w:spacing w:line="278" w:lineRule="auto" w:before="178"/>
              <w:ind w:left="407" w:right="167" w:hanging="212"/>
              <w:rPr>
                <w:rFonts w:ascii="宋体" w:eastAsia="宋体" w:hint="eastAsia"/>
                <w:sz w:val="21"/>
              </w:rPr>
            </w:pPr>
            <w:r>
              <w:rPr>
                <w:rFonts w:ascii="宋体" w:eastAsia="宋体" w:hint="eastAsia"/>
                <w:sz w:val="21"/>
              </w:rPr>
              <w:t>募集资金</w:t>
            </w:r>
          </w:p>
        </w:tc>
        <w:tc>
          <w:tcPr>
            <w:tcW w:w="567" w:type="dxa"/>
            <w:tcBorders>
              <w:top w:val="single" w:sz="4" w:space="0" w:color="000000"/>
              <w:left w:val="single" w:sz="4" w:space="0" w:color="000000"/>
              <w:right w:val="single" w:sz="4" w:space="0" w:color="000000"/>
            </w:tcBorders>
          </w:tcPr>
          <w:p>
            <w:pPr>
              <w:pStyle w:val="TableParagraph"/>
              <w:rPr>
                <w:sz w:val="20"/>
              </w:rPr>
            </w:pPr>
          </w:p>
        </w:tc>
        <w:tc>
          <w:tcPr>
            <w:tcW w:w="567" w:type="dxa"/>
            <w:tcBorders>
              <w:top w:val="single" w:sz="4" w:space="0" w:color="000000"/>
              <w:left w:val="single" w:sz="4" w:space="0" w:color="000000"/>
              <w:right w:val="single" w:sz="4" w:space="0" w:color="000000"/>
            </w:tcBorders>
          </w:tcPr>
          <w:p>
            <w:pPr>
              <w:pStyle w:val="TableParagraph"/>
              <w:rPr>
                <w:sz w:val="20"/>
              </w:rPr>
            </w:pPr>
          </w:p>
        </w:tc>
        <w:tc>
          <w:tcPr>
            <w:tcW w:w="1280" w:type="dxa"/>
            <w:tcBorders>
              <w:top w:val="single" w:sz="4" w:space="0" w:color="000000"/>
              <w:left w:val="single" w:sz="4" w:space="0" w:color="000000"/>
              <w:right w:val="single" w:sz="4" w:space="0" w:color="000000"/>
            </w:tcBorders>
          </w:tcPr>
          <w:p>
            <w:pPr>
              <w:pStyle w:val="TableParagraph"/>
              <w:spacing w:before="1"/>
              <w:rPr>
                <w:sz w:val="30"/>
              </w:rPr>
            </w:pPr>
          </w:p>
          <w:p>
            <w:pPr>
              <w:pStyle w:val="TableParagraph"/>
              <w:ind w:right="86"/>
              <w:jc w:val="right"/>
              <w:rPr>
                <w:sz w:val="21"/>
              </w:rPr>
            </w:pPr>
            <w:r>
              <w:rPr>
                <w:sz w:val="21"/>
              </w:rPr>
              <w:t>3.00%</w:t>
            </w:r>
          </w:p>
        </w:tc>
        <w:tc>
          <w:tcPr>
            <w:tcW w:w="1139" w:type="dxa"/>
            <w:tcBorders>
              <w:top w:val="single" w:sz="4" w:space="0" w:color="000000"/>
              <w:left w:val="single" w:sz="4" w:space="0" w:color="000000"/>
              <w:right w:val="single" w:sz="4" w:space="0" w:color="000000"/>
            </w:tcBorders>
          </w:tcPr>
          <w:p>
            <w:pPr>
              <w:pStyle w:val="TableParagraph"/>
              <w:rPr>
                <w:sz w:val="20"/>
              </w:rPr>
            </w:pPr>
          </w:p>
        </w:tc>
        <w:tc>
          <w:tcPr>
            <w:tcW w:w="574" w:type="dxa"/>
            <w:tcBorders>
              <w:top w:val="single" w:sz="4" w:space="0" w:color="000000"/>
              <w:left w:val="single" w:sz="4" w:space="0" w:color="000000"/>
              <w:right w:val="single" w:sz="4" w:space="0" w:color="000000"/>
            </w:tcBorders>
          </w:tcPr>
          <w:p>
            <w:pPr>
              <w:pStyle w:val="TableParagraph"/>
              <w:rPr>
                <w:sz w:val="20"/>
              </w:rPr>
            </w:pPr>
          </w:p>
        </w:tc>
        <w:tc>
          <w:tcPr>
            <w:tcW w:w="689" w:type="dxa"/>
            <w:tcBorders>
              <w:top w:val="single" w:sz="4" w:space="0" w:color="000000"/>
              <w:left w:val="single" w:sz="4" w:space="0" w:color="000000"/>
              <w:right w:val="single" w:sz="4" w:space="0" w:color="000000"/>
            </w:tcBorders>
          </w:tcPr>
          <w:p>
            <w:pPr>
              <w:pStyle w:val="TableParagraph"/>
              <w:spacing w:line="278" w:lineRule="auto" w:before="178"/>
              <w:ind w:left="242" w:right="115" w:hanging="104"/>
              <w:rPr>
                <w:rFonts w:ascii="宋体" w:eastAsia="宋体" w:hint="eastAsia"/>
                <w:sz w:val="21"/>
              </w:rPr>
            </w:pPr>
            <w:r>
              <w:rPr>
                <w:rFonts w:ascii="宋体" w:eastAsia="宋体" w:hint="eastAsia"/>
                <w:sz w:val="21"/>
              </w:rPr>
              <w:t>未到期</w:t>
            </w:r>
          </w:p>
        </w:tc>
        <w:tc>
          <w:tcPr>
            <w:tcW w:w="699" w:type="dxa"/>
            <w:tcBorders>
              <w:top w:val="single" w:sz="4" w:space="0" w:color="000000"/>
              <w:left w:val="single" w:sz="4" w:space="0" w:color="000000"/>
              <w:right w:val="single" w:sz="4" w:space="0" w:color="000000"/>
            </w:tcBorders>
          </w:tcPr>
          <w:p>
            <w:pPr>
              <w:pStyle w:val="TableParagraph"/>
              <w:spacing w:before="1"/>
              <w:rPr>
                <w:sz w:val="29"/>
              </w:rPr>
            </w:pPr>
          </w:p>
          <w:p>
            <w:pPr>
              <w:pStyle w:val="TableParagraph"/>
              <w:ind w:left="16"/>
              <w:jc w:val="center"/>
              <w:rPr>
                <w:rFonts w:ascii="宋体" w:eastAsia="宋体" w:hint="eastAsia"/>
                <w:sz w:val="21"/>
              </w:rPr>
            </w:pPr>
            <w:r>
              <w:rPr>
                <w:rFonts w:ascii="宋体" w:eastAsia="宋体" w:hint="eastAsia"/>
                <w:w w:val="100"/>
                <w:sz w:val="21"/>
              </w:rPr>
              <w:t>是</w:t>
            </w:r>
          </w:p>
        </w:tc>
        <w:tc>
          <w:tcPr>
            <w:tcW w:w="718" w:type="dxa"/>
            <w:tcBorders>
              <w:top w:val="single" w:sz="4" w:space="0" w:color="000000"/>
              <w:left w:val="single" w:sz="4" w:space="0" w:color="000000"/>
              <w:right w:val="single" w:sz="4" w:space="0" w:color="000000"/>
            </w:tcBorders>
          </w:tcPr>
          <w:p>
            <w:pPr>
              <w:pStyle w:val="TableParagraph"/>
              <w:spacing w:before="1"/>
              <w:rPr>
                <w:sz w:val="29"/>
              </w:rPr>
            </w:pPr>
          </w:p>
          <w:p>
            <w:pPr>
              <w:pStyle w:val="TableParagraph"/>
              <w:ind w:left="255"/>
              <w:rPr>
                <w:rFonts w:ascii="宋体" w:eastAsia="宋体" w:hint="eastAsia"/>
                <w:sz w:val="21"/>
              </w:rPr>
            </w:pPr>
            <w:r>
              <w:rPr>
                <w:rFonts w:ascii="宋体" w:eastAsia="宋体" w:hint="eastAsia"/>
                <w:w w:val="100"/>
                <w:sz w:val="21"/>
              </w:rPr>
              <w:t>是</w:t>
            </w:r>
          </w:p>
        </w:tc>
        <w:tc>
          <w:tcPr>
            <w:tcW w:w="711" w:type="dxa"/>
            <w:tcBorders>
              <w:top w:val="single" w:sz="4" w:space="0" w:color="000000"/>
              <w:left w:val="single" w:sz="4" w:space="0" w:color="000000"/>
            </w:tcBorders>
          </w:tcPr>
          <w:p>
            <w:pPr>
              <w:pStyle w:val="TableParagraph"/>
              <w:rPr>
                <w:sz w:val="20"/>
              </w:rPr>
            </w:pPr>
          </w:p>
        </w:tc>
      </w:tr>
    </w:tbl>
    <w:p>
      <w:pPr>
        <w:spacing w:after="0"/>
        <w:rPr>
          <w:sz w:val="20"/>
        </w:rPr>
        <w:sectPr>
          <w:pgSz w:w="16840" w:h="11910" w:orient="landscape"/>
          <w:pgMar w:header="876" w:footer="1160" w:top="1180" w:bottom="1400" w:left="460" w:right="660"/>
        </w:sectPr>
      </w:pPr>
    </w:p>
    <w:p>
      <w:pPr>
        <w:pStyle w:val="BodyText"/>
        <w:rPr>
          <w:rFonts w:ascii="Times New Roman"/>
          <w:sz w:val="3"/>
        </w:rPr>
      </w:pPr>
    </w:p>
    <w:p>
      <w:pPr>
        <w:pStyle w:val="BodyText"/>
        <w:spacing w:line="20" w:lineRule="exact"/>
        <w:ind w:left="921"/>
        <w:rPr>
          <w:rFonts w:ascii="Times New Roman"/>
          <w:sz w:val="2"/>
        </w:rPr>
      </w:pPr>
      <w:r>
        <w:rPr>
          <w:rFonts w:ascii="Times New Roman"/>
          <w:sz w:val="2"/>
        </w:rPr>
        <w:pict>
          <v:group style="width:443.6pt;height:.75pt;mso-position-horizontal-relative:char;mso-position-vertical-relative:line" coordorigin="0,0" coordsize="8872,15">
            <v:line style="position:absolute" from="0,7" to="8872,7" stroked="true" strokeweight=".72pt" strokecolor="#000000">
              <v:stroke dashstyle="solid"/>
            </v:line>
          </v:group>
        </w:pict>
      </w:r>
      <w:r>
        <w:rPr>
          <w:rFonts w:ascii="Times New Roman"/>
          <w:sz w:val="2"/>
        </w:rPr>
      </w:r>
    </w:p>
    <w:p>
      <w:pPr>
        <w:pStyle w:val="BodyText"/>
        <w:rPr>
          <w:rFonts w:ascii="Times New Roman"/>
          <w:sz w:val="20"/>
        </w:rPr>
      </w:pPr>
    </w:p>
    <w:p>
      <w:pPr>
        <w:pStyle w:val="BodyText"/>
        <w:rPr>
          <w:rFonts w:ascii="Times New Roman"/>
          <w:sz w:val="20"/>
        </w:rPr>
      </w:pPr>
    </w:p>
    <w:p>
      <w:pPr>
        <w:pStyle w:val="BodyText"/>
        <w:rPr>
          <w:rFonts w:ascii="Times New Roman"/>
          <w:sz w:val="24"/>
        </w:rPr>
      </w:pPr>
    </w:p>
    <w:p>
      <w:pPr>
        <w:pStyle w:val="Heading4"/>
        <w:spacing w:before="3"/>
        <w:ind w:left="958"/>
      </w:pPr>
      <w:r>
        <w:rPr/>
        <w:t>其他情况</w:t>
      </w:r>
    </w:p>
    <w:p>
      <w:pPr>
        <w:pStyle w:val="BodyText"/>
        <w:tabs>
          <w:tab w:pos="2225" w:val="left" w:leader="none"/>
        </w:tabs>
        <w:spacing w:before="151"/>
        <w:ind w:left="1382"/>
      </w:pPr>
      <w:r>
        <w:rPr/>
        <w:t>□适用</w:t>
        <w:tab/>
      </w:r>
      <w:r>
        <w:rPr>
          <w:spacing w:val="-3"/>
        </w:rPr>
        <w:t>√</w:t>
      </w:r>
      <w:r>
        <w:rPr/>
        <w:t>不</w:t>
      </w:r>
      <w:r>
        <w:rPr>
          <w:spacing w:val="-3"/>
        </w:rPr>
        <w:t>适</w:t>
      </w:r>
      <w:r>
        <w:rPr/>
        <w:t>用</w:t>
      </w:r>
    </w:p>
    <w:p>
      <w:pPr>
        <w:pStyle w:val="BodyText"/>
        <w:spacing w:before="10"/>
        <w:rPr>
          <w:sz w:val="14"/>
        </w:rPr>
      </w:pPr>
    </w:p>
    <w:p>
      <w:pPr>
        <w:pStyle w:val="Heading4"/>
        <w:numPr>
          <w:ilvl w:val="0"/>
          <w:numId w:val="16"/>
        </w:numPr>
        <w:tabs>
          <w:tab w:pos="1318" w:val="left" w:leader="none"/>
        </w:tabs>
        <w:spacing w:line="240" w:lineRule="auto" w:before="0" w:after="0"/>
        <w:ind w:left="1318" w:right="0" w:hanging="360"/>
        <w:jc w:val="left"/>
      </w:pPr>
      <w:r>
        <w:rPr/>
        <w:t>委托理财减值准备</w:t>
      </w:r>
    </w:p>
    <w:p>
      <w:pPr>
        <w:pStyle w:val="BodyText"/>
        <w:spacing w:before="9"/>
        <w:rPr>
          <w:rFonts w:ascii="Microsoft JhengHei"/>
          <w:b/>
          <w:sz w:val="11"/>
        </w:rPr>
      </w:pPr>
    </w:p>
    <w:p>
      <w:pPr>
        <w:pStyle w:val="BodyText"/>
        <w:tabs>
          <w:tab w:pos="2225" w:val="left" w:leader="none"/>
        </w:tabs>
        <w:ind w:left="1382"/>
      </w:pPr>
      <w:r>
        <w:rPr/>
        <w:t>□适用</w:t>
        <w:tab/>
      </w:r>
      <w:r>
        <w:rPr>
          <w:spacing w:val="-3"/>
        </w:rPr>
        <w:t>√</w:t>
      </w:r>
      <w:r>
        <w:rPr/>
        <w:t>不</w:t>
      </w:r>
      <w:r>
        <w:rPr>
          <w:spacing w:val="-3"/>
        </w:rPr>
        <w:t>适</w:t>
      </w:r>
      <w:r>
        <w:rPr/>
        <w:t>用</w:t>
      </w:r>
    </w:p>
    <w:p>
      <w:pPr>
        <w:pStyle w:val="BodyText"/>
        <w:rPr>
          <w:sz w:val="20"/>
        </w:rPr>
      </w:pPr>
    </w:p>
    <w:p>
      <w:pPr>
        <w:pStyle w:val="BodyText"/>
        <w:spacing w:before="2"/>
        <w:rPr>
          <w:sz w:val="19"/>
        </w:rPr>
      </w:pPr>
    </w:p>
    <w:p>
      <w:pPr>
        <w:pStyle w:val="Heading4"/>
        <w:numPr>
          <w:ilvl w:val="0"/>
          <w:numId w:val="15"/>
        </w:numPr>
        <w:tabs>
          <w:tab w:pos="1382" w:val="left" w:leader="none"/>
          <w:tab w:pos="1383" w:val="left" w:leader="none"/>
        </w:tabs>
        <w:spacing w:line="240" w:lineRule="auto" w:before="0" w:after="0"/>
        <w:ind w:left="1382" w:right="0" w:hanging="425"/>
        <w:jc w:val="left"/>
      </w:pPr>
      <w:r>
        <w:rPr/>
        <w:t>委托贷款情况</w:t>
      </w:r>
    </w:p>
    <w:p>
      <w:pPr>
        <w:pStyle w:val="Heading4"/>
        <w:numPr>
          <w:ilvl w:val="0"/>
          <w:numId w:val="17"/>
        </w:numPr>
        <w:tabs>
          <w:tab w:pos="1318" w:val="left" w:leader="none"/>
        </w:tabs>
        <w:spacing w:line="240" w:lineRule="auto" w:before="142" w:after="0"/>
        <w:ind w:left="1318" w:right="0" w:hanging="360"/>
        <w:jc w:val="left"/>
      </w:pPr>
      <w:r>
        <w:rPr/>
        <w:t>委托贷款总体情况</w:t>
      </w:r>
    </w:p>
    <w:p>
      <w:pPr>
        <w:pStyle w:val="BodyText"/>
        <w:spacing w:before="9"/>
        <w:rPr>
          <w:rFonts w:ascii="Microsoft JhengHei"/>
          <w:b/>
          <w:sz w:val="11"/>
        </w:rPr>
      </w:pPr>
    </w:p>
    <w:p>
      <w:pPr>
        <w:tabs>
          <w:tab w:pos="2225" w:val="left" w:leader="none"/>
        </w:tabs>
        <w:spacing w:line="355" w:lineRule="auto" w:before="0"/>
        <w:ind w:left="958" w:right="7699" w:firstLine="424"/>
        <w:jc w:val="left"/>
        <w:rPr>
          <w:rFonts w:ascii="Microsoft JhengHei" w:hAnsi="Microsoft JhengHei" w:eastAsia="Microsoft JhengHei" w:hint="eastAsia"/>
          <w:b/>
          <w:sz w:val="21"/>
        </w:rPr>
      </w:pPr>
      <w:r>
        <w:rPr>
          <w:sz w:val="21"/>
        </w:rPr>
        <w:t>□适用</w:t>
        <w:tab/>
      </w:r>
      <w:r>
        <w:rPr>
          <w:spacing w:val="-3"/>
          <w:sz w:val="21"/>
        </w:rPr>
        <w:t>√</w:t>
      </w:r>
      <w:r>
        <w:rPr>
          <w:sz w:val="21"/>
        </w:rPr>
        <w:t>不</w:t>
      </w:r>
      <w:r>
        <w:rPr>
          <w:spacing w:val="-3"/>
          <w:sz w:val="21"/>
        </w:rPr>
        <w:t>适</w:t>
      </w:r>
      <w:r>
        <w:rPr>
          <w:spacing w:val="-17"/>
          <w:sz w:val="21"/>
        </w:rPr>
        <w:t>用</w:t>
      </w:r>
      <w:r>
        <w:rPr>
          <w:rFonts w:ascii="Microsoft JhengHei" w:hAnsi="Microsoft JhengHei" w:eastAsia="Microsoft JhengHei" w:hint="eastAsia"/>
          <w:b/>
          <w:sz w:val="21"/>
        </w:rPr>
        <w:t>其他情况</w:t>
      </w:r>
    </w:p>
    <w:p>
      <w:pPr>
        <w:pStyle w:val="BodyText"/>
        <w:tabs>
          <w:tab w:pos="2225" w:val="left" w:leader="none"/>
        </w:tabs>
        <w:spacing w:line="235" w:lineRule="exact"/>
        <w:ind w:left="1382"/>
      </w:pPr>
      <w:r>
        <w:rPr/>
        <w:t>□适用</w:t>
        <w:tab/>
      </w:r>
      <w:r>
        <w:rPr>
          <w:spacing w:val="-3"/>
        </w:rPr>
        <w:t>√</w:t>
      </w:r>
      <w:r>
        <w:rPr/>
        <w:t>不</w:t>
      </w:r>
      <w:r>
        <w:rPr>
          <w:spacing w:val="-3"/>
        </w:rPr>
        <w:t>适</w:t>
      </w:r>
      <w:r>
        <w:rPr/>
        <w:t>用</w:t>
      </w:r>
    </w:p>
    <w:p>
      <w:pPr>
        <w:pStyle w:val="BodyText"/>
        <w:spacing w:before="10"/>
        <w:rPr>
          <w:sz w:val="14"/>
        </w:rPr>
      </w:pPr>
    </w:p>
    <w:p>
      <w:pPr>
        <w:pStyle w:val="Heading4"/>
        <w:numPr>
          <w:ilvl w:val="0"/>
          <w:numId w:val="17"/>
        </w:numPr>
        <w:tabs>
          <w:tab w:pos="1318" w:val="left" w:leader="none"/>
        </w:tabs>
        <w:spacing w:line="240" w:lineRule="auto" w:before="0" w:after="0"/>
        <w:ind w:left="1318" w:right="0" w:hanging="360"/>
        <w:jc w:val="left"/>
      </w:pPr>
      <w:r>
        <w:rPr/>
        <w:t>单项委托贷款情况</w:t>
      </w:r>
    </w:p>
    <w:p>
      <w:pPr>
        <w:pStyle w:val="BodyText"/>
        <w:spacing w:before="9"/>
        <w:rPr>
          <w:rFonts w:ascii="Microsoft JhengHei"/>
          <w:b/>
          <w:sz w:val="11"/>
        </w:rPr>
      </w:pPr>
    </w:p>
    <w:p>
      <w:pPr>
        <w:tabs>
          <w:tab w:pos="2225" w:val="left" w:leader="none"/>
        </w:tabs>
        <w:spacing w:line="355" w:lineRule="auto" w:before="0"/>
        <w:ind w:left="958" w:right="7699" w:firstLine="424"/>
        <w:jc w:val="left"/>
        <w:rPr>
          <w:rFonts w:ascii="Microsoft JhengHei" w:hAnsi="Microsoft JhengHei" w:eastAsia="Microsoft JhengHei" w:hint="eastAsia"/>
          <w:b/>
          <w:sz w:val="21"/>
        </w:rPr>
      </w:pPr>
      <w:r>
        <w:rPr>
          <w:sz w:val="21"/>
        </w:rPr>
        <w:t>□适用</w:t>
        <w:tab/>
      </w:r>
      <w:r>
        <w:rPr>
          <w:spacing w:val="-3"/>
          <w:sz w:val="21"/>
        </w:rPr>
        <w:t>√</w:t>
      </w:r>
      <w:r>
        <w:rPr>
          <w:sz w:val="21"/>
        </w:rPr>
        <w:t>不</w:t>
      </w:r>
      <w:r>
        <w:rPr>
          <w:spacing w:val="-3"/>
          <w:sz w:val="21"/>
        </w:rPr>
        <w:t>适</w:t>
      </w:r>
      <w:r>
        <w:rPr>
          <w:spacing w:val="-17"/>
          <w:sz w:val="21"/>
        </w:rPr>
        <w:t>用</w:t>
      </w:r>
      <w:r>
        <w:rPr>
          <w:rFonts w:ascii="Microsoft JhengHei" w:hAnsi="Microsoft JhengHei" w:eastAsia="Microsoft JhengHei" w:hint="eastAsia"/>
          <w:b/>
          <w:sz w:val="21"/>
        </w:rPr>
        <w:t>其他情况</w:t>
      </w:r>
    </w:p>
    <w:p>
      <w:pPr>
        <w:pStyle w:val="BodyText"/>
        <w:tabs>
          <w:tab w:pos="2225" w:val="left" w:leader="none"/>
        </w:tabs>
        <w:spacing w:line="235" w:lineRule="exact"/>
        <w:ind w:left="1382"/>
      </w:pPr>
      <w:r>
        <w:rPr/>
        <w:t>□适用</w:t>
        <w:tab/>
      </w:r>
      <w:r>
        <w:rPr>
          <w:spacing w:val="-3"/>
        </w:rPr>
        <w:t>√</w:t>
      </w:r>
      <w:r>
        <w:rPr/>
        <w:t>不</w:t>
      </w:r>
      <w:r>
        <w:rPr>
          <w:spacing w:val="-3"/>
        </w:rPr>
        <w:t>适</w:t>
      </w:r>
      <w:r>
        <w:rPr/>
        <w:t>用</w:t>
      </w:r>
    </w:p>
    <w:p>
      <w:pPr>
        <w:pStyle w:val="BodyText"/>
        <w:spacing w:before="11"/>
        <w:rPr>
          <w:sz w:val="14"/>
        </w:rPr>
      </w:pPr>
    </w:p>
    <w:p>
      <w:pPr>
        <w:pStyle w:val="Heading4"/>
        <w:numPr>
          <w:ilvl w:val="0"/>
          <w:numId w:val="17"/>
        </w:numPr>
        <w:tabs>
          <w:tab w:pos="1318" w:val="left" w:leader="none"/>
        </w:tabs>
        <w:spacing w:line="240" w:lineRule="auto" w:before="0" w:after="0"/>
        <w:ind w:left="1318" w:right="0" w:hanging="360"/>
        <w:jc w:val="left"/>
      </w:pPr>
      <w:r>
        <w:rPr/>
        <w:t>委托贷款减值准备</w:t>
      </w:r>
    </w:p>
    <w:p>
      <w:pPr>
        <w:pStyle w:val="BodyText"/>
        <w:spacing w:before="9"/>
        <w:rPr>
          <w:rFonts w:ascii="Microsoft JhengHei"/>
          <w:b/>
          <w:sz w:val="11"/>
        </w:rPr>
      </w:pPr>
    </w:p>
    <w:p>
      <w:pPr>
        <w:pStyle w:val="BodyText"/>
        <w:tabs>
          <w:tab w:pos="2225" w:val="left" w:leader="none"/>
        </w:tabs>
        <w:ind w:left="1382"/>
      </w:pPr>
      <w:r>
        <w:rPr/>
        <w:t>□适用</w:t>
        <w:tab/>
      </w:r>
      <w:r>
        <w:rPr>
          <w:spacing w:val="-3"/>
        </w:rPr>
        <w:t>√</w:t>
      </w:r>
      <w:r>
        <w:rPr/>
        <w:t>不</w:t>
      </w:r>
      <w:r>
        <w:rPr>
          <w:spacing w:val="-3"/>
        </w:rPr>
        <w:t>适</w:t>
      </w:r>
      <w:r>
        <w:rPr/>
        <w:t>用</w:t>
      </w:r>
    </w:p>
    <w:p>
      <w:pPr>
        <w:pStyle w:val="BodyText"/>
        <w:rPr>
          <w:sz w:val="20"/>
        </w:rPr>
      </w:pPr>
    </w:p>
    <w:p>
      <w:pPr>
        <w:pStyle w:val="Heading4"/>
        <w:numPr>
          <w:ilvl w:val="0"/>
          <w:numId w:val="15"/>
        </w:numPr>
        <w:tabs>
          <w:tab w:pos="1382" w:val="left" w:leader="none"/>
          <w:tab w:pos="1383" w:val="left" w:leader="none"/>
        </w:tabs>
        <w:spacing w:line="240" w:lineRule="auto" w:before="168" w:after="0"/>
        <w:ind w:left="1382" w:right="0" w:hanging="425"/>
        <w:jc w:val="left"/>
      </w:pPr>
      <w:r>
        <w:rPr/>
        <w:t>其他情况</w:t>
      </w:r>
    </w:p>
    <w:p>
      <w:pPr>
        <w:pStyle w:val="BodyText"/>
        <w:tabs>
          <w:tab w:pos="2225" w:val="left" w:leader="none"/>
        </w:tabs>
        <w:spacing w:before="56"/>
        <w:ind w:left="1382"/>
      </w:pPr>
      <w:r>
        <w:rPr/>
        <w:t>√适用</w:t>
        <w:tab/>
      </w:r>
      <w:r>
        <w:rPr>
          <w:spacing w:val="-3"/>
        </w:rPr>
        <w:t>□</w:t>
      </w:r>
      <w:r>
        <w:rPr/>
        <w:t>不</w:t>
      </w:r>
      <w:r>
        <w:rPr>
          <w:spacing w:val="-3"/>
        </w:rPr>
        <w:t>适</w:t>
      </w:r>
      <w:r>
        <w:rPr/>
        <w:t>用</w:t>
      </w:r>
    </w:p>
    <w:p>
      <w:pPr>
        <w:pStyle w:val="BodyText"/>
        <w:spacing w:before="42" w:after="21"/>
        <w:ind w:left="8637"/>
      </w:pPr>
      <w:r>
        <w:rPr/>
        <w:t>人民币/万元 </w:t>
      </w:r>
    </w:p>
    <w:tbl>
      <w:tblPr>
        <w:tblW w:w="0" w:type="auto"/>
        <w:jc w:val="left"/>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665"/>
        <w:gridCol w:w="710"/>
        <w:gridCol w:w="1132"/>
        <w:gridCol w:w="710"/>
        <w:gridCol w:w="849"/>
        <w:gridCol w:w="1135"/>
        <w:gridCol w:w="588"/>
        <w:gridCol w:w="652"/>
        <w:gridCol w:w="791"/>
        <w:gridCol w:w="1104"/>
        <w:gridCol w:w="873"/>
        <w:gridCol w:w="1274"/>
      </w:tblGrid>
      <w:tr>
        <w:trPr>
          <w:trHeight w:val="1874" w:hRule="atLeast"/>
        </w:trPr>
        <w:tc>
          <w:tcPr>
            <w:tcW w:w="665" w:type="dxa"/>
            <w:tcBorders>
              <w:bottom w:val="single" w:sz="4" w:space="0" w:color="000000"/>
              <w:right w:val="single" w:sz="4" w:space="0" w:color="000000"/>
            </w:tcBorders>
            <w:shd w:val="clear" w:color="auto" w:fill="EDEBE0"/>
          </w:tcPr>
          <w:p>
            <w:pPr>
              <w:pStyle w:val="TableParagraph"/>
              <w:spacing w:before="4"/>
              <w:rPr>
                <w:rFonts w:ascii="宋体"/>
                <w:sz w:val="15"/>
              </w:rPr>
            </w:pPr>
          </w:p>
          <w:p>
            <w:pPr>
              <w:pStyle w:val="TableParagraph"/>
              <w:spacing w:line="324" w:lineRule="auto"/>
              <w:ind w:left="150" w:right="132"/>
              <w:jc w:val="both"/>
              <w:rPr>
                <w:rFonts w:ascii="宋体" w:eastAsia="宋体" w:hint="eastAsia"/>
                <w:sz w:val="18"/>
              </w:rPr>
            </w:pPr>
            <w:r>
              <w:rPr>
                <w:rFonts w:ascii="宋体" w:eastAsia="宋体" w:hint="eastAsia"/>
                <w:sz w:val="18"/>
              </w:rPr>
              <w:t>衍生品投资操作方名称</w:t>
            </w:r>
          </w:p>
        </w:tc>
        <w:tc>
          <w:tcPr>
            <w:tcW w:w="710" w:type="dxa"/>
            <w:tcBorders>
              <w:left w:val="single" w:sz="4" w:space="0" w:color="000000"/>
              <w:bottom w:val="single" w:sz="4" w:space="0" w:color="000000"/>
              <w:right w:val="single" w:sz="4" w:space="0" w:color="000000"/>
            </w:tcBorders>
            <w:shd w:val="clear" w:color="auto" w:fill="EDEBE0"/>
          </w:tcPr>
          <w:p>
            <w:pPr>
              <w:pStyle w:val="TableParagraph"/>
              <w:rPr>
                <w:rFonts w:ascii="宋体"/>
                <w:sz w:val="18"/>
              </w:rPr>
            </w:pPr>
          </w:p>
          <w:p>
            <w:pPr>
              <w:pStyle w:val="TableParagraph"/>
              <w:spacing w:line="324" w:lineRule="auto" w:before="121"/>
              <w:ind w:left="184" w:right="153"/>
              <w:jc w:val="both"/>
              <w:rPr>
                <w:rFonts w:ascii="宋体" w:eastAsia="宋体" w:hint="eastAsia"/>
                <w:sz w:val="18"/>
              </w:rPr>
            </w:pPr>
            <w:r>
              <w:rPr>
                <w:rFonts w:ascii="宋体" w:eastAsia="宋体" w:hint="eastAsia"/>
                <w:sz w:val="18"/>
              </w:rPr>
              <w:t>衍生品投资类型</w:t>
            </w:r>
          </w:p>
        </w:tc>
        <w:tc>
          <w:tcPr>
            <w:tcW w:w="1132" w:type="dxa"/>
            <w:tcBorders>
              <w:left w:val="single" w:sz="4" w:space="0" w:color="000000"/>
              <w:bottom w:val="single" w:sz="4" w:space="0" w:color="000000"/>
              <w:right w:val="single" w:sz="4" w:space="0" w:color="000000"/>
            </w:tcBorders>
            <w:shd w:val="clear" w:color="auto" w:fill="EDEBE0"/>
          </w:tcPr>
          <w:p>
            <w:pPr>
              <w:pStyle w:val="TableParagraph"/>
              <w:rPr>
                <w:rFonts w:ascii="宋体"/>
                <w:sz w:val="18"/>
              </w:rPr>
            </w:pPr>
          </w:p>
          <w:p>
            <w:pPr>
              <w:pStyle w:val="TableParagraph"/>
              <w:spacing w:before="8"/>
              <w:rPr>
                <w:rFonts w:ascii="宋体"/>
                <w:sz w:val="21"/>
              </w:rPr>
            </w:pPr>
          </w:p>
          <w:p>
            <w:pPr>
              <w:pStyle w:val="TableParagraph"/>
              <w:spacing w:line="324" w:lineRule="auto"/>
              <w:ind w:left="125" w:right="94"/>
              <w:jc w:val="center"/>
              <w:rPr>
                <w:rFonts w:ascii="宋体" w:eastAsia="宋体" w:hint="eastAsia"/>
                <w:sz w:val="18"/>
              </w:rPr>
            </w:pPr>
            <w:r>
              <w:rPr>
                <w:rFonts w:ascii="宋体" w:eastAsia="宋体" w:hint="eastAsia"/>
                <w:sz w:val="18"/>
              </w:rPr>
              <w:t>衍生品投资初始投资金额</w:t>
            </w:r>
          </w:p>
        </w:tc>
        <w:tc>
          <w:tcPr>
            <w:tcW w:w="710" w:type="dxa"/>
            <w:tcBorders>
              <w:left w:val="single" w:sz="4" w:space="0" w:color="000000"/>
              <w:bottom w:val="single" w:sz="4" w:space="0" w:color="000000"/>
              <w:right w:val="single" w:sz="4" w:space="0" w:color="000000"/>
            </w:tcBorders>
            <w:shd w:val="clear" w:color="auto" w:fill="EDEBE0"/>
          </w:tcPr>
          <w:p>
            <w:pPr>
              <w:pStyle w:val="TableParagraph"/>
              <w:rPr>
                <w:rFonts w:ascii="宋体"/>
                <w:sz w:val="18"/>
              </w:rPr>
            </w:pPr>
          </w:p>
          <w:p>
            <w:pPr>
              <w:pStyle w:val="TableParagraph"/>
              <w:rPr>
                <w:rFonts w:ascii="宋体"/>
                <w:sz w:val="18"/>
              </w:rPr>
            </w:pPr>
          </w:p>
          <w:p>
            <w:pPr>
              <w:pStyle w:val="TableParagraph"/>
              <w:spacing w:before="10"/>
              <w:rPr>
                <w:rFonts w:ascii="宋体"/>
                <w:sz w:val="15"/>
              </w:rPr>
            </w:pPr>
          </w:p>
          <w:p>
            <w:pPr>
              <w:pStyle w:val="TableParagraph"/>
              <w:spacing w:line="324" w:lineRule="auto"/>
              <w:ind w:left="183" w:right="154"/>
              <w:rPr>
                <w:rFonts w:ascii="宋体" w:eastAsia="宋体" w:hint="eastAsia"/>
                <w:sz w:val="18"/>
              </w:rPr>
            </w:pPr>
            <w:r>
              <w:rPr>
                <w:rFonts w:ascii="宋体" w:eastAsia="宋体" w:hint="eastAsia"/>
                <w:sz w:val="18"/>
              </w:rPr>
              <w:t>起始日期</w:t>
            </w:r>
          </w:p>
        </w:tc>
        <w:tc>
          <w:tcPr>
            <w:tcW w:w="849" w:type="dxa"/>
            <w:tcBorders>
              <w:left w:val="single" w:sz="4" w:space="0" w:color="000000"/>
              <w:bottom w:val="single" w:sz="4" w:space="0" w:color="000000"/>
              <w:right w:val="single" w:sz="4" w:space="0" w:color="000000"/>
            </w:tcBorders>
            <w:shd w:val="clear" w:color="auto" w:fill="EDEBE0"/>
          </w:tcPr>
          <w:p>
            <w:pPr>
              <w:pStyle w:val="TableParagraph"/>
              <w:rPr>
                <w:rFonts w:ascii="宋体"/>
                <w:sz w:val="18"/>
              </w:rPr>
            </w:pPr>
          </w:p>
          <w:p>
            <w:pPr>
              <w:pStyle w:val="TableParagraph"/>
              <w:rPr>
                <w:rFonts w:ascii="宋体"/>
                <w:sz w:val="18"/>
              </w:rPr>
            </w:pPr>
          </w:p>
          <w:p>
            <w:pPr>
              <w:pStyle w:val="TableParagraph"/>
              <w:spacing w:before="10"/>
              <w:rPr>
                <w:rFonts w:ascii="宋体"/>
                <w:sz w:val="15"/>
              </w:rPr>
            </w:pPr>
          </w:p>
          <w:p>
            <w:pPr>
              <w:pStyle w:val="TableParagraph"/>
              <w:spacing w:line="324" w:lineRule="auto"/>
              <w:ind w:left="345" w:right="131" w:hanging="180"/>
              <w:rPr>
                <w:rFonts w:ascii="宋体" w:eastAsia="宋体" w:hint="eastAsia"/>
                <w:sz w:val="18"/>
              </w:rPr>
            </w:pPr>
            <w:r>
              <w:rPr>
                <w:rFonts w:ascii="宋体" w:eastAsia="宋体" w:hint="eastAsia"/>
                <w:sz w:val="18"/>
              </w:rPr>
              <w:t>终止日期</w:t>
            </w:r>
          </w:p>
        </w:tc>
        <w:tc>
          <w:tcPr>
            <w:tcW w:w="1135" w:type="dxa"/>
            <w:tcBorders>
              <w:left w:val="single" w:sz="4" w:space="0" w:color="000000"/>
              <w:bottom w:val="single" w:sz="4" w:space="0" w:color="000000"/>
              <w:right w:val="single" w:sz="4" w:space="0" w:color="000000"/>
            </w:tcBorders>
            <w:shd w:val="clear" w:color="auto" w:fill="EDEBE0"/>
          </w:tcPr>
          <w:p>
            <w:pPr>
              <w:pStyle w:val="TableParagraph"/>
              <w:rPr>
                <w:rFonts w:ascii="宋体"/>
                <w:sz w:val="18"/>
              </w:rPr>
            </w:pPr>
          </w:p>
          <w:p>
            <w:pPr>
              <w:pStyle w:val="TableParagraph"/>
              <w:rPr>
                <w:rFonts w:ascii="宋体"/>
                <w:sz w:val="18"/>
              </w:rPr>
            </w:pPr>
          </w:p>
          <w:p>
            <w:pPr>
              <w:pStyle w:val="TableParagraph"/>
              <w:spacing w:before="10"/>
              <w:rPr>
                <w:rFonts w:ascii="宋体"/>
                <w:sz w:val="15"/>
              </w:rPr>
            </w:pPr>
          </w:p>
          <w:p>
            <w:pPr>
              <w:pStyle w:val="TableParagraph"/>
              <w:spacing w:line="324" w:lineRule="auto"/>
              <w:ind w:left="398" w:right="184" w:hanging="180"/>
              <w:rPr>
                <w:rFonts w:ascii="宋体" w:eastAsia="宋体" w:hint="eastAsia"/>
                <w:sz w:val="18"/>
              </w:rPr>
            </w:pPr>
            <w:r>
              <w:rPr>
                <w:rFonts w:ascii="宋体" w:eastAsia="宋体" w:hint="eastAsia"/>
                <w:sz w:val="18"/>
              </w:rPr>
              <w:t>期初投资金额</w:t>
            </w:r>
          </w:p>
        </w:tc>
        <w:tc>
          <w:tcPr>
            <w:tcW w:w="588" w:type="dxa"/>
            <w:tcBorders>
              <w:left w:val="single" w:sz="4" w:space="0" w:color="000000"/>
              <w:bottom w:val="single" w:sz="4" w:space="0" w:color="000000"/>
              <w:right w:val="single" w:sz="4" w:space="0" w:color="000000"/>
            </w:tcBorders>
            <w:shd w:val="clear" w:color="auto" w:fill="EDEBE0"/>
          </w:tcPr>
          <w:p>
            <w:pPr>
              <w:pStyle w:val="TableParagraph"/>
              <w:spacing w:before="4"/>
              <w:rPr>
                <w:rFonts w:ascii="宋体"/>
                <w:sz w:val="15"/>
              </w:rPr>
            </w:pPr>
          </w:p>
          <w:p>
            <w:pPr>
              <w:pStyle w:val="TableParagraph"/>
              <w:spacing w:line="324" w:lineRule="auto"/>
              <w:ind w:left="122" w:right="94"/>
              <w:jc w:val="both"/>
              <w:rPr>
                <w:rFonts w:ascii="宋体" w:eastAsia="宋体" w:hint="eastAsia"/>
                <w:sz w:val="18"/>
              </w:rPr>
            </w:pPr>
            <w:r>
              <w:rPr>
                <w:rFonts w:ascii="宋体" w:eastAsia="宋体" w:hint="eastAsia"/>
                <w:sz w:val="18"/>
              </w:rPr>
              <w:t>报告期内购入金额</w:t>
            </w:r>
          </w:p>
        </w:tc>
        <w:tc>
          <w:tcPr>
            <w:tcW w:w="652" w:type="dxa"/>
            <w:tcBorders>
              <w:left w:val="single" w:sz="4" w:space="0" w:color="000000"/>
              <w:bottom w:val="single" w:sz="4" w:space="0" w:color="000000"/>
              <w:right w:val="single" w:sz="4" w:space="0" w:color="000000"/>
            </w:tcBorders>
            <w:shd w:val="clear" w:color="auto" w:fill="EDEBE0"/>
          </w:tcPr>
          <w:p>
            <w:pPr>
              <w:pStyle w:val="TableParagraph"/>
              <w:spacing w:before="4"/>
              <w:rPr>
                <w:rFonts w:ascii="宋体"/>
                <w:sz w:val="15"/>
              </w:rPr>
            </w:pPr>
          </w:p>
          <w:p>
            <w:pPr>
              <w:pStyle w:val="TableParagraph"/>
              <w:spacing w:line="324" w:lineRule="auto"/>
              <w:ind w:left="157" w:right="124"/>
              <w:jc w:val="both"/>
              <w:rPr>
                <w:rFonts w:ascii="宋体" w:eastAsia="宋体" w:hint="eastAsia"/>
                <w:sz w:val="18"/>
              </w:rPr>
            </w:pPr>
            <w:r>
              <w:rPr>
                <w:rFonts w:ascii="宋体" w:eastAsia="宋体" w:hint="eastAsia"/>
                <w:sz w:val="18"/>
              </w:rPr>
              <w:t>报告期内售出金额</w:t>
            </w:r>
          </w:p>
        </w:tc>
        <w:tc>
          <w:tcPr>
            <w:tcW w:w="791" w:type="dxa"/>
            <w:tcBorders>
              <w:left w:val="single" w:sz="4" w:space="0" w:color="000000"/>
              <w:bottom w:val="single" w:sz="4" w:space="0" w:color="000000"/>
              <w:right w:val="single" w:sz="4" w:space="0" w:color="000000"/>
            </w:tcBorders>
            <w:shd w:val="clear" w:color="auto" w:fill="EDEBE0"/>
          </w:tcPr>
          <w:p>
            <w:pPr>
              <w:pStyle w:val="TableParagraph"/>
              <w:spacing w:before="4"/>
              <w:rPr>
                <w:rFonts w:ascii="宋体"/>
                <w:sz w:val="15"/>
              </w:rPr>
            </w:pPr>
          </w:p>
          <w:p>
            <w:pPr>
              <w:pStyle w:val="TableParagraph"/>
              <w:spacing w:line="324" w:lineRule="auto"/>
              <w:ind w:left="138" w:right="100"/>
              <w:jc w:val="both"/>
              <w:rPr>
                <w:rFonts w:ascii="宋体" w:eastAsia="宋体" w:hint="eastAsia"/>
                <w:sz w:val="18"/>
              </w:rPr>
            </w:pPr>
            <w:r>
              <w:rPr>
                <w:rFonts w:ascii="宋体" w:eastAsia="宋体" w:hint="eastAsia"/>
                <w:spacing w:val="-6"/>
                <w:sz w:val="18"/>
              </w:rPr>
              <w:t>计提减值准备</w:t>
            </w:r>
            <w:r>
              <w:rPr>
                <w:rFonts w:ascii="宋体" w:eastAsia="宋体" w:hint="eastAsia"/>
                <w:sz w:val="18"/>
              </w:rPr>
              <w:t>金额</w:t>
            </w:r>
          </w:p>
          <w:p>
            <w:pPr>
              <w:pStyle w:val="TableParagraph"/>
              <w:spacing w:line="326" w:lineRule="auto" w:before="2"/>
              <w:ind w:left="229" w:right="189"/>
              <w:rPr>
                <w:rFonts w:ascii="宋体" w:eastAsia="宋体" w:hint="eastAsia"/>
                <w:sz w:val="18"/>
              </w:rPr>
            </w:pPr>
            <w:r>
              <w:rPr>
                <w:rFonts w:ascii="宋体" w:eastAsia="宋体" w:hint="eastAsia"/>
                <w:sz w:val="18"/>
              </w:rPr>
              <w:t>（</w:t>
            </w:r>
            <w:r>
              <w:rPr>
                <w:rFonts w:ascii="宋体" w:eastAsia="宋体" w:hint="eastAsia"/>
                <w:spacing w:val="-17"/>
                <w:sz w:val="18"/>
              </w:rPr>
              <w:t>如</w:t>
            </w:r>
            <w:r>
              <w:rPr>
                <w:rFonts w:ascii="宋体" w:eastAsia="宋体" w:hint="eastAsia"/>
                <w:sz w:val="18"/>
              </w:rPr>
              <w:t>有</w:t>
            </w:r>
            <w:r>
              <w:rPr>
                <w:rFonts w:ascii="宋体" w:eastAsia="宋体" w:hint="eastAsia"/>
                <w:spacing w:val="-17"/>
                <w:sz w:val="18"/>
              </w:rPr>
              <w:t>）</w:t>
            </w:r>
          </w:p>
        </w:tc>
        <w:tc>
          <w:tcPr>
            <w:tcW w:w="1104" w:type="dxa"/>
            <w:tcBorders>
              <w:left w:val="single" w:sz="4" w:space="0" w:color="000000"/>
              <w:bottom w:val="single" w:sz="4" w:space="0" w:color="000000"/>
              <w:right w:val="single" w:sz="4" w:space="0" w:color="000000"/>
            </w:tcBorders>
            <w:shd w:val="clear" w:color="auto" w:fill="EDEBE0"/>
          </w:tcPr>
          <w:p>
            <w:pPr>
              <w:pStyle w:val="TableParagraph"/>
              <w:rPr>
                <w:rFonts w:ascii="宋体"/>
                <w:sz w:val="18"/>
              </w:rPr>
            </w:pPr>
          </w:p>
          <w:p>
            <w:pPr>
              <w:pStyle w:val="TableParagraph"/>
              <w:rPr>
                <w:rFonts w:ascii="宋体"/>
                <w:sz w:val="18"/>
              </w:rPr>
            </w:pPr>
          </w:p>
          <w:p>
            <w:pPr>
              <w:pStyle w:val="TableParagraph"/>
              <w:spacing w:before="10"/>
              <w:rPr>
                <w:rFonts w:ascii="宋体"/>
                <w:sz w:val="15"/>
              </w:rPr>
            </w:pPr>
          </w:p>
          <w:p>
            <w:pPr>
              <w:pStyle w:val="TableParagraph"/>
              <w:spacing w:line="324" w:lineRule="auto"/>
              <w:ind w:left="384" w:right="167" w:hanging="180"/>
              <w:rPr>
                <w:rFonts w:ascii="宋体" w:eastAsia="宋体" w:hint="eastAsia"/>
                <w:sz w:val="18"/>
              </w:rPr>
            </w:pPr>
            <w:r>
              <w:rPr>
                <w:rFonts w:ascii="宋体" w:eastAsia="宋体" w:hint="eastAsia"/>
                <w:sz w:val="18"/>
              </w:rPr>
              <w:t>期末投资金额</w:t>
            </w:r>
          </w:p>
        </w:tc>
        <w:tc>
          <w:tcPr>
            <w:tcW w:w="873" w:type="dxa"/>
            <w:tcBorders>
              <w:left w:val="single" w:sz="4" w:space="0" w:color="000000"/>
              <w:bottom w:val="single" w:sz="4" w:space="0" w:color="000000"/>
              <w:right w:val="single" w:sz="4" w:space="0" w:color="000000"/>
            </w:tcBorders>
            <w:shd w:val="clear" w:color="auto" w:fill="EDEBE0"/>
          </w:tcPr>
          <w:p>
            <w:pPr>
              <w:pStyle w:val="TableParagraph"/>
              <w:spacing w:line="324" w:lineRule="auto" w:before="40"/>
              <w:ind w:left="181" w:right="141"/>
              <w:jc w:val="both"/>
              <w:rPr>
                <w:rFonts w:ascii="宋体" w:eastAsia="宋体" w:hint="eastAsia"/>
                <w:sz w:val="18"/>
              </w:rPr>
            </w:pPr>
            <w:r>
              <w:rPr>
                <w:rFonts w:ascii="宋体" w:eastAsia="宋体" w:hint="eastAsia"/>
                <w:spacing w:val="-7"/>
                <w:sz w:val="18"/>
              </w:rPr>
              <w:t>期末投资金额占公司报告期末净资</w:t>
            </w:r>
          </w:p>
          <w:p>
            <w:pPr>
              <w:pStyle w:val="TableParagraph"/>
              <w:spacing w:before="4"/>
              <w:ind w:left="181"/>
              <w:rPr>
                <w:rFonts w:ascii="宋体" w:eastAsia="宋体" w:hint="eastAsia"/>
                <w:sz w:val="18"/>
              </w:rPr>
            </w:pPr>
            <w:r>
              <w:rPr>
                <w:rFonts w:ascii="宋体" w:eastAsia="宋体" w:hint="eastAsia"/>
                <w:sz w:val="18"/>
              </w:rPr>
              <w:t>产比例</w:t>
            </w:r>
          </w:p>
        </w:tc>
        <w:tc>
          <w:tcPr>
            <w:tcW w:w="1274" w:type="dxa"/>
            <w:tcBorders>
              <w:left w:val="single" w:sz="4" w:space="0" w:color="000000"/>
              <w:bottom w:val="single" w:sz="4" w:space="0" w:color="000000"/>
            </w:tcBorders>
            <w:shd w:val="clear" w:color="auto" w:fill="EDEBE0"/>
          </w:tcPr>
          <w:p>
            <w:pPr>
              <w:pStyle w:val="TableParagraph"/>
              <w:rPr>
                <w:rFonts w:ascii="宋体"/>
                <w:sz w:val="18"/>
              </w:rPr>
            </w:pPr>
          </w:p>
          <w:p>
            <w:pPr>
              <w:pStyle w:val="TableParagraph"/>
              <w:rPr>
                <w:rFonts w:ascii="宋体"/>
                <w:sz w:val="18"/>
              </w:rPr>
            </w:pPr>
          </w:p>
          <w:p>
            <w:pPr>
              <w:pStyle w:val="TableParagraph"/>
              <w:spacing w:before="10"/>
              <w:rPr>
                <w:rFonts w:ascii="宋体"/>
                <w:sz w:val="15"/>
              </w:rPr>
            </w:pPr>
          </w:p>
          <w:p>
            <w:pPr>
              <w:pStyle w:val="TableParagraph"/>
              <w:spacing w:line="324" w:lineRule="auto"/>
              <w:ind w:left="291" w:right="148" w:hanging="89"/>
              <w:rPr>
                <w:rFonts w:ascii="宋体" w:eastAsia="宋体" w:hint="eastAsia"/>
                <w:sz w:val="18"/>
              </w:rPr>
            </w:pPr>
            <w:r>
              <w:rPr>
                <w:rFonts w:ascii="宋体" w:eastAsia="宋体" w:hint="eastAsia"/>
                <w:sz w:val="18"/>
              </w:rPr>
              <w:t>报告期实际损益金额</w:t>
            </w:r>
          </w:p>
        </w:tc>
      </w:tr>
      <w:tr>
        <w:trPr>
          <w:trHeight w:val="935" w:hRule="atLeast"/>
        </w:trPr>
        <w:tc>
          <w:tcPr>
            <w:tcW w:w="665" w:type="dxa"/>
            <w:tcBorders>
              <w:top w:val="single" w:sz="4" w:space="0" w:color="000000"/>
              <w:bottom w:val="single" w:sz="4" w:space="0" w:color="000000"/>
              <w:right w:val="single" w:sz="4" w:space="0" w:color="000000"/>
            </w:tcBorders>
          </w:tcPr>
          <w:p>
            <w:pPr>
              <w:pStyle w:val="TableParagraph"/>
              <w:rPr>
                <w:rFonts w:ascii="宋体"/>
                <w:sz w:val="18"/>
              </w:rPr>
            </w:pPr>
          </w:p>
          <w:p>
            <w:pPr>
              <w:pStyle w:val="TableParagraph"/>
              <w:spacing w:before="119"/>
              <w:ind w:right="132"/>
              <w:jc w:val="right"/>
              <w:rPr>
                <w:rFonts w:ascii="宋体" w:eastAsia="宋体" w:hint="eastAsia"/>
                <w:sz w:val="18"/>
              </w:rPr>
            </w:pPr>
            <w:r>
              <w:rPr>
                <w:rFonts w:ascii="宋体" w:eastAsia="宋体" w:hint="eastAsia"/>
                <w:sz w:val="18"/>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38"/>
              <w:ind w:left="184" w:right="153"/>
              <w:rPr>
                <w:rFonts w:ascii="宋体" w:eastAsia="宋体" w:hint="eastAsia"/>
                <w:sz w:val="18"/>
              </w:rPr>
            </w:pPr>
            <w:r>
              <w:rPr>
                <w:rFonts w:ascii="宋体" w:eastAsia="宋体" w:hint="eastAsia"/>
                <w:spacing w:val="-9"/>
                <w:sz w:val="18"/>
              </w:rPr>
              <w:t>远期外汇</w:t>
            </w:r>
          </w:p>
          <w:p>
            <w:pPr>
              <w:pStyle w:val="TableParagraph"/>
              <w:spacing w:before="1"/>
              <w:ind w:left="184"/>
              <w:rPr>
                <w:rFonts w:ascii="宋体" w:eastAsia="宋体" w:hint="eastAsia"/>
                <w:sz w:val="18"/>
              </w:rPr>
            </w:pPr>
            <w:r>
              <w:rPr>
                <w:rFonts w:ascii="宋体" w:eastAsia="宋体" w:hint="eastAsia"/>
                <w:sz w:val="18"/>
              </w:rPr>
              <w:t>合约</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before="3"/>
              <w:rPr>
                <w:rFonts w:ascii="宋体"/>
                <w:sz w:val="28"/>
              </w:rPr>
            </w:pPr>
          </w:p>
          <w:p>
            <w:pPr>
              <w:pStyle w:val="TableParagraph"/>
              <w:ind w:left="226"/>
              <w:rPr>
                <w:sz w:val="18"/>
              </w:rPr>
            </w:pPr>
            <w:r>
              <w:rPr>
                <w:sz w:val="18"/>
              </w:rPr>
              <w:t>1,062,613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before="1"/>
              <w:rPr>
                <w:rFonts w:ascii="宋体"/>
                <w:sz w:val="16"/>
              </w:rPr>
            </w:pPr>
          </w:p>
          <w:p>
            <w:pPr>
              <w:pStyle w:val="TableParagraph"/>
              <w:ind w:left="159"/>
              <w:rPr>
                <w:sz w:val="18"/>
              </w:rPr>
            </w:pPr>
            <w:r>
              <w:rPr>
                <w:sz w:val="18"/>
              </w:rPr>
              <w:t>2020/</w:t>
            </w:r>
          </w:p>
          <w:p>
            <w:pPr>
              <w:pStyle w:val="TableParagraph"/>
              <w:spacing w:before="105"/>
              <w:ind w:left="248"/>
              <w:rPr>
                <w:sz w:val="18"/>
              </w:rPr>
            </w:pPr>
            <w:r>
              <w:rPr>
                <w:sz w:val="18"/>
              </w:rPr>
              <w:t>1/1</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
              <w:rPr>
                <w:rFonts w:ascii="宋体"/>
                <w:sz w:val="16"/>
              </w:rPr>
            </w:pPr>
          </w:p>
          <w:p>
            <w:pPr>
              <w:pStyle w:val="TableParagraph"/>
              <w:ind w:left="116" w:right="82"/>
              <w:jc w:val="center"/>
              <w:rPr>
                <w:sz w:val="18"/>
              </w:rPr>
            </w:pPr>
            <w:r>
              <w:rPr>
                <w:sz w:val="18"/>
              </w:rPr>
              <w:t>2020/12</w:t>
            </w:r>
          </w:p>
          <w:p>
            <w:pPr>
              <w:pStyle w:val="TableParagraph"/>
              <w:spacing w:before="105"/>
              <w:ind w:left="116" w:right="81"/>
              <w:jc w:val="center"/>
              <w:rPr>
                <w:sz w:val="18"/>
              </w:rPr>
            </w:pPr>
            <w:r>
              <w:rPr>
                <w:sz w:val="18"/>
              </w:rPr>
              <w:t>/31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before="3"/>
              <w:rPr>
                <w:rFonts w:ascii="宋体"/>
                <w:sz w:val="28"/>
              </w:rPr>
            </w:pPr>
          </w:p>
          <w:p>
            <w:pPr>
              <w:pStyle w:val="TableParagraph"/>
              <w:ind w:left="228"/>
              <w:rPr>
                <w:sz w:val="18"/>
              </w:rPr>
            </w:pPr>
            <w:r>
              <w:rPr>
                <w:sz w:val="18"/>
              </w:rPr>
              <w:t>1,062,613</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before="3"/>
              <w:rPr>
                <w:rFonts w:ascii="宋体"/>
                <w:sz w:val="28"/>
              </w:rPr>
            </w:pPr>
          </w:p>
          <w:p>
            <w:pPr>
              <w:pStyle w:val="TableParagraph"/>
              <w:ind w:right="172"/>
              <w:jc w:val="right"/>
              <w:rPr>
                <w:sz w:val="18"/>
              </w:rPr>
            </w:pPr>
            <w:r>
              <w:rPr>
                <w:sz w:val="18"/>
              </w:rPr>
              <w:t>1,250,593</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274" w:type="dxa"/>
            <w:tcBorders>
              <w:top w:val="single" w:sz="4" w:space="0" w:color="000000"/>
              <w:left w:val="single" w:sz="4" w:space="0" w:color="000000"/>
              <w:bottom w:val="single" w:sz="4" w:space="0" w:color="000000"/>
            </w:tcBorders>
          </w:tcPr>
          <w:p>
            <w:pPr>
              <w:pStyle w:val="TableParagraph"/>
              <w:spacing w:before="3"/>
              <w:rPr>
                <w:rFonts w:ascii="宋体"/>
                <w:sz w:val="28"/>
              </w:rPr>
            </w:pPr>
          </w:p>
          <w:p>
            <w:pPr>
              <w:pStyle w:val="TableParagraph"/>
              <w:ind w:right="157"/>
              <w:jc w:val="right"/>
              <w:rPr>
                <w:sz w:val="18"/>
              </w:rPr>
            </w:pPr>
            <w:r>
              <w:rPr>
                <w:sz w:val="18"/>
              </w:rPr>
              <w:t>8,833</w:t>
            </w:r>
          </w:p>
        </w:tc>
      </w:tr>
      <w:tr>
        <w:trPr>
          <w:trHeight w:val="935" w:hRule="atLeast"/>
        </w:trPr>
        <w:tc>
          <w:tcPr>
            <w:tcW w:w="665" w:type="dxa"/>
            <w:tcBorders>
              <w:top w:val="single" w:sz="4" w:space="0" w:color="000000"/>
              <w:bottom w:val="single" w:sz="4" w:space="0" w:color="000000"/>
              <w:right w:val="single" w:sz="4" w:space="0" w:color="000000"/>
            </w:tcBorders>
          </w:tcPr>
          <w:p>
            <w:pPr>
              <w:pStyle w:val="TableParagraph"/>
              <w:rPr>
                <w:rFonts w:ascii="宋体"/>
                <w:sz w:val="18"/>
              </w:rPr>
            </w:pPr>
          </w:p>
          <w:p>
            <w:pPr>
              <w:pStyle w:val="TableParagraph"/>
              <w:spacing w:before="119"/>
              <w:ind w:right="132"/>
              <w:jc w:val="right"/>
              <w:rPr>
                <w:rFonts w:ascii="宋体" w:eastAsia="宋体" w:hint="eastAsia"/>
                <w:sz w:val="18"/>
              </w:rPr>
            </w:pPr>
            <w:r>
              <w:rPr>
                <w:rFonts w:ascii="宋体" w:eastAsia="宋体" w:hint="eastAsia"/>
                <w:sz w:val="18"/>
              </w:rPr>
              <w:t>银行</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38"/>
              <w:ind w:left="184" w:right="129" w:hanging="27"/>
              <w:rPr>
                <w:rFonts w:ascii="宋体" w:eastAsia="宋体" w:hint="eastAsia"/>
                <w:sz w:val="18"/>
              </w:rPr>
            </w:pPr>
            <w:r>
              <w:rPr>
                <w:rFonts w:ascii="宋体" w:eastAsia="宋体" w:hint="eastAsia"/>
                <w:sz w:val="18"/>
              </w:rPr>
              <w:t>利率</w:t>
            </w:r>
            <w:r>
              <w:rPr>
                <w:spacing w:val="-15"/>
                <w:sz w:val="18"/>
              </w:rPr>
              <w:t>/ </w:t>
            </w:r>
            <w:r>
              <w:rPr>
                <w:rFonts w:ascii="宋体" w:eastAsia="宋体" w:hint="eastAsia"/>
                <w:sz w:val="18"/>
              </w:rPr>
              <w:t>汇率</w:t>
            </w:r>
          </w:p>
          <w:p>
            <w:pPr>
              <w:pStyle w:val="TableParagraph"/>
              <w:spacing w:before="1"/>
              <w:ind w:left="184"/>
              <w:rPr>
                <w:rFonts w:ascii="宋体" w:eastAsia="宋体" w:hint="eastAsia"/>
                <w:sz w:val="18"/>
              </w:rPr>
            </w:pPr>
            <w:r>
              <w:rPr>
                <w:rFonts w:ascii="宋体" w:eastAsia="宋体" w:hint="eastAsia"/>
                <w:sz w:val="18"/>
              </w:rPr>
              <w:t>掉期</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before="3"/>
              <w:rPr>
                <w:rFonts w:ascii="宋体"/>
                <w:sz w:val="28"/>
              </w:rPr>
            </w:pPr>
          </w:p>
          <w:p>
            <w:pPr>
              <w:pStyle w:val="TableParagraph"/>
              <w:ind w:left="449"/>
              <w:rPr>
                <w:sz w:val="18"/>
              </w:rPr>
            </w:pPr>
            <w:r>
              <w:rPr>
                <w:sz w:val="18"/>
              </w:rPr>
              <w:t>428,824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before="1"/>
              <w:rPr>
                <w:rFonts w:ascii="宋体"/>
                <w:sz w:val="16"/>
              </w:rPr>
            </w:pPr>
          </w:p>
          <w:p>
            <w:pPr>
              <w:pStyle w:val="TableParagraph"/>
              <w:ind w:left="159"/>
              <w:rPr>
                <w:sz w:val="18"/>
              </w:rPr>
            </w:pPr>
            <w:r>
              <w:rPr>
                <w:sz w:val="18"/>
              </w:rPr>
              <w:t>2020/</w:t>
            </w:r>
          </w:p>
          <w:p>
            <w:pPr>
              <w:pStyle w:val="TableParagraph"/>
              <w:spacing w:before="105"/>
              <w:ind w:left="248"/>
              <w:rPr>
                <w:sz w:val="18"/>
              </w:rPr>
            </w:pPr>
            <w:r>
              <w:rPr>
                <w:sz w:val="18"/>
              </w:rPr>
              <w:t>1/1</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
              <w:rPr>
                <w:rFonts w:ascii="宋体"/>
                <w:sz w:val="16"/>
              </w:rPr>
            </w:pPr>
          </w:p>
          <w:p>
            <w:pPr>
              <w:pStyle w:val="TableParagraph"/>
              <w:ind w:left="116" w:right="82"/>
              <w:jc w:val="center"/>
              <w:rPr>
                <w:sz w:val="18"/>
              </w:rPr>
            </w:pPr>
            <w:r>
              <w:rPr>
                <w:sz w:val="18"/>
              </w:rPr>
              <w:t>2020/12</w:t>
            </w:r>
          </w:p>
          <w:p>
            <w:pPr>
              <w:pStyle w:val="TableParagraph"/>
              <w:spacing w:before="105"/>
              <w:ind w:left="116" w:right="81"/>
              <w:jc w:val="center"/>
              <w:rPr>
                <w:sz w:val="18"/>
              </w:rPr>
            </w:pPr>
            <w:r>
              <w:rPr>
                <w:sz w:val="18"/>
              </w:rPr>
              <w:t>/31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before="3"/>
              <w:rPr>
                <w:rFonts w:ascii="宋体"/>
                <w:sz w:val="28"/>
              </w:rPr>
            </w:pPr>
          </w:p>
          <w:p>
            <w:pPr>
              <w:pStyle w:val="TableParagraph"/>
              <w:ind w:left="451"/>
              <w:rPr>
                <w:sz w:val="18"/>
              </w:rPr>
            </w:pPr>
            <w:r>
              <w:rPr>
                <w:sz w:val="18"/>
              </w:rPr>
              <w:t>428,824</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before="3"/>
              <w:rPr>
                <w:rFonts w:ascii="宋体"/>
                <w:sz w:val="28"/>
              </w:rPr>
            </w:pPr>
          </w:p>
          <w:p>
            <w:pPr>
              <w:pStyle w:val="TableParagraph"/>
              <w:ind w:right="171"/>
              <w:jc w:val="right"/>
              <w:rPr>
                <w:sz w:val="18"/>
              </w:rPr>
            </w:pPr>
            <w:r>
              <w:rPr>
                <w:sz w:val="18"/>
              </w:rPr>
              <w:t>230,366</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274" w:type="dxa"/>
            <w:tcBorders>
              <w:top w:val="single" w:sz="4" w:space="0" w:color="000000"/>
              <w:left w:val="single" w:sz="4" w:space="0" w:color="000000"/>
              <w:bottom w:val="single" w:sz="4" w:space="0" w:color="000000"/>
            </w:tcBorders>
          </w:tcPr>
          <w:p>
            <w:pPr>
              <w:pStyle w:val="TableParagraph"/>
              <w:spacing w:before="3"/>
              <w:rPr>
                <w:rFonts w:ascii="宋体"/>
                <w:sz w:val="28"/>
              </w:rPr>
            </w:pPr>
          </w:p>
          <w:p>
            <w:pPr>
              <w:pStyle w:val="TableParagraph"/>
              <w:ind w:right="157"/>
              <w:jc w:val="right"/>
              <w:rPr>
                <w:sz w:val="18"/>
              </w:rPr>
            </w:pPr>
            <w:r>
              <w:rPr>
                <w:sz w:val="18"/>
              </w:rPr>
              <w:t>-4,279</w:t>
            </w:r>
          </w:p>
        </w:tc>
      </w:tr>
      <w:tr>
        <w:trPr>
          <w:trHeight w:val="313" w:hRule="atLeast"/>
        </w:trPr>
        <w:tc>
          <w:tcPr>
            <w:tcW w:w="2507" w:type="dxa"/>
            <w:gridSpan w:val="3"/>
            <w:tcBorders>
              <w:top w:val="single" w:sz="4" w:space="0" w:color="000000"/>
              <w:right w:val="single" w:sz="4" w:space="0" w:color="000000"/>
            </w:tcBorders>
            <w:shd w:val="clear" w:color="auto" w:fill="EDEBE0"/>
          </w:tcPr>
          <w:p>
            <w:pPr>
              <w:pStyle w:val="TableParagraph"/>
              <w:spacing w:before="38"/>
              <w:ind w:left="105"/>
              <w:rPr>
                <w:rFonts w:ascii="宋体" w:eastAsia="宋体" w:hint="eastAsia"/>
                <w:sz w:val="18"/>
              </w:rPr>
            </w:pPr>
            <w:r>
              <w:rPr>
                <w:rFonts w:ascii="宋体" w:eastAsia="宋体" w:hint="eastAsia"/>
                <w:sz w:val="18"/>
              </w:rPr>
              <w:t>衍生品投资资金来源</w:t>
            </w:r>
          </w:p>
        </w:tc>
        <w:tc>
          <w:tcPr>
            <w:tcW w:w="7976" w:type="dxa"/>
            <w:gridSpan w:val="9"/>
            <w:tcBorders>
              <w:top w:val="single" w:sz="4" w:space="0" w:color="000000"/>
              <w:left w:val="single" w:sz="4" w:space="0" w:color="000000"/>
            </w:tcBorders>
          </w:tcPr>
          <w:p>
            <w:pPr>
              <w:pStyle w:val="TableParagraph"/>
              <w:spacing w:before="38"/>
              <w:ind w:left="118"/>
              <w:rPr>
                <w:rFonts w:ascii="宋体" w:eastAsia="宋体" w:hint="eastAsia"/>
                <w:sz w:val="18"/>
              </w:rPr>
            </w:pPr>
            <w:r>
              <w:rPr>
                <w:rFonts w:ascii="宋体" w:eastAsia="宋体" w:hint="eastAsia"/>
                <w:sz w:val="18"/>
              </w:rPr>
              <w:t>全部为公司自有资金</w:t>
            </w:r>
          </w:p>
        </w:tc>
      </w:tr>
    </w:tbl>
    <w:p>
      <w:pPr>
        <w:spacing w:after="0"/>
        <w:rPr>
          <w:rFonts w:ascii="宋体" w:eastAsia="宋体" w:hint="eastAsia"/>
          <w:sz w:val="18"/>
        </w:rPr>
        <w:sectPr>
          <w:headerReference w:type="default" r:id="rId49"/>
          <w:footerReference w:type="default" r:id="rId50"/>
          <w:pgSz w:w="11910" w:h="16840"/>
          <w:pgMar w:header="873" w:footer="1214" w:top="1060" w:bottom="1400" w:left="840" w:right="300"/>
          <w:pgNumType w:start="3"/>
        </w:sectPr>
      </w:pPr>
    </w:p>
    <w:p>
      <w:pPr>
        <w:pStyle w:val="BodyText"/>
        <w:spacing w:before="9"/>
        <w:rPr>
          <w:sz w:val="2"/>
        </w:rPr>
      </w:pPr>
    </w:p>
    <w:tbl>
      <w:tblPr>
        <w:tblW w:w="0" w:type="auto"/>
        <w:jc w:val="left"/>
        <w:tblInd w:w="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08"/>
        <w:gridCol w:w="7982"/>
      </w:tblGrid>
      <w:tr>
        <w:trPr>
          <w:trHeight w:val="399" w:hRule="atLeast"/>
        </w:trPr>
        <w:tc>
          <w:tcPr>
            <w:tcW w:w="2508" w:type="dxa"/>
            <w:tcBorders>
              <w:left w:val="nil"/>
              <w:bottom w:val="single" w:sz="12" w:space="0" w:color="000000"/>
              <w:right w:val="nil"/>
            </w:tcBorders>
          </w:tcPr>
          <w:p>
            <w:pPr>
              <w:pStyle w:val="TableParagraph"/>
              <w:rPr>
                <w:sz w:val="18"/>
              </w:rPr>
            </w:pPr>
          </w:p>
        </w:tc>
        <w:tc>
          <w:tcPr>
            <w:tcW w:w="7982" w:type="dxa"/>
            <w:tcBorders>
              <w:left w:val="nil"/>
              <w:bottom w:val="single" w:sz="12" w:space="0" w:color="000000"/>
              <w:right w:val="nil"/>
            </w:tcBorders>
          </w:tcPr>
          <w:p>
            <w:pPr>
              <w:pStyle w:val="TableParagraph"/>
              <w:rPr>
                <w:sz w:val="18"/>
              </w:rPr>
            </w:pPr>
          </w:p>
        </w:tc>
      </w:tr>
      <w:tr>
        <w:trPr>
          <w:trHeight w:val="1871" w:hRule="atLeast"/>
        </w:trPr>
        <w:tc>
          <w:tcPr>
            <w:tcW w:w="2508" w:type="dxa"/>
            <w:tcBorders>
              <w:top w:val="single" w:sz="12" w:space="0" w:color="000000"/>
              <w:left w:val="single" w:sz="12" w:space="0" w:color="000000"/>
              <w:bottom w:val="single" w:sz="12" w:space="0" w:color="000000"/>
              <w:right w:val="single" w:sz="4" w:space="0" w:color="000000"/>
            </w:tcBorders>
            <w:shd w:val="clear" w:color="auto" w:fill="EDEBE0"/>
          </w:tcPr>
          <w:p>
            <w:pPr>
              <w:pStyle w:val="TableParagraph"/>
              <w:spacing w:line="324" w:lineRule="auto" w:before="40"/>
              <w:ind w:left="105" w:right="402"/>
              <w:rPr>
                <w:rFonts w:ascii="宋体" w:eastAsia="宋体" w:hint="eastAsia"/>
                <w:sz w:val="18"/>
              </w:rPr>
            </w:pPr>
            <w:r>
              <w:rPr>
                <w:rFonts w:ascii="宋体" w:eastAsia="宋体" w:hint="eastAsia"/>
                <w:sz w:val="18"/>
              </w:rPr>
              <w:t>已投资衍生品报告期内 市场价格或产品公允价 </w:t>
            </w:r>
            <w:r>
              <w:rPr>
                <w:rFonts w:ascii="宋体" w:eastAsia="宋体" w:hint="eastAsia"/>
                <w:spacing w:val="-2"/>
                <w:sz w:val="18"/>
              </w:rPr>
              <w:t>值变动的情况，对衍生品</w:t>
            </w:r>
            <w:r>
              <w:rPr>
                <w:rFonts w:ascii="宋体" w:eastAsia="宋体" w:hint="eastAsia"/>
                <w:sz w:val="18"/>
              </w:rPr>
              <w:t>公允价值的分析应披露 具体使用的方法及相关</w:t>
            </w:r>
          </w:p>
          <w:p>
            <w:pPr>
              <w:pStyle w:val="TableParagraph"/>
              <w:spacing w:before="4"/>
              <w:ind w:left="105"/>
              <w:rPr>
                <w:rFonts w:ascii="宋体" w:eastAsia="宋体" w:hint="eastAsia"/>
                <w:sz w:val="18"/>
              </w:rPr>
            </w:pPr>
            <w:r>
              <w:rPr>
                <w:rFonts w:ascii="宋体" w:eastAsia="宋体" w:hint="eastAsia"/>
                <w:sz w:val="18"/>
              </w:rPr>
              <w:t>假设与参数的设定</w:t>
            </w:r>
          </w:p>
        </w:tc>
        <w:tc>
          <w:tcPr>
            <w:tcW w:w="7982" w:type="dxa"/>
            <w:tcBorders>
              <w:top w:val="single" w:sz="12" w:space="0" w:color="000000"/>
              <w:left w:val="single" w:sz="4" w:space="0" w:color="000000"/>
              <w:bottom w:val="single" w:sz="12" w:space="0" w:color="000000"/>
              <w:right w:val="single" w:sz="12" w:space="0" w:color="000000"/>
            </w:tcBorders>
          </w:tcPr>
          <w:p>
            <w:pPr>
              <w:pStyle w:val="TableParagraph"/>
              <w:rPr>
                <w:rFonts w:ascii="宋体"/>
                <w:sz w:val="18"/>
              </w:rPr>
            </w:pPr>
          </w:p>
          <w:p>
            <w:pPr>
              <w:pStyle w:val="TableParagraph"/>
              <w:spacing w:before="122"/>
              <w:ind w:left="117"/>
              <w:rPr>
                <w:rFonts w:ascii="宋体" w:eastAsia="宋体" w:hint="eastAsia"/>
                <w:sz w:val="18"/>
              </w:rPr>
            </w:pPr>
            <w:r>
              <w:rPr>
                <w:rFonts w:ascii="宋体" w:eastAsia="宋体" w:hint="eastAsia"/>
                <w:sz w:val="18"/>
              </w:rPr>
              <w:t>市场价格或产品公允价值变动的情况，</w:t>
            </w:r>
          </w:p>
          <w:p>
            <w:pPr>
              <w:pStyle w:val="TableParagraph"/>
              <w:spacing w:before="81"/>
              <w:ind w:left="117"/>
              <w:rPr>
                <w:rFonts w:ascii="宋体" w:eastAsia="宋体" w:hint="eastAsia"/>
                <w:sz w:val="18"/>
              </w:rPr>
            </w:pPr>
            <w:r>
              <w:rPr>
                <w:sz w:val="18"/>
              </w:rPr>
              <w:t>1</w:t>
            </w:r>
            <w:r>
              <w:rPr>
                <w:rFonts w:ascii="宋体" w:eastAsia="宋体" w:hint="eastAsia"/>
                <w:sz w:val="18"/>
              </w:rPr>
              <w:t>、外汇远期合约报告期内产生的损益为 </w:t>
            </w:r>
            <w:r>
              <w:rPr>
                <w:sz w:val="18"/>
              </w:rPr>
              <w:t>8,833 </w:t>
            </w:r>
            <w:r>
              <w:rPr>
                <w:rFonts w:ascii="宋体" w:eastAsia="宋体" w:hint="eastAsia"/>
                <w:sz w:val="18"/>
              </w:rPr>
              <w:t>万元；</w:t>
            </w:r>
          </w:p>
          <w:p>
            <w:pPr>
              <w:pStyle w:val="TableParagraph"/>
              <w:spacing w:before="81"/>
              <w:ind w:left="117"/>
              <w:rPr>
                <w:rFonts w:ascii="宋体" w:eastAsia="宋体" w:hint="eastAsia"/>
                <w:sz w:val="18"/>
              </w:rPr>
            </w:pPr>
            <w:r>
              <w:rPr>
                <w:sz w:val="18"/>
              </w:rPr>
              <w:t>2</w:t>
            </w:r>
            <w:r>
              <w:rPr>
                <w:rFonts w:ascii="宋体" w:eastAsia="宋体" w:hint="eastAsia"/>
                <w:sz w:val="18"/>
              </w:rPr>
              <w:t>、利率</w:t>
            </w:r>
            <w:r>
              <w:rPr>
                <w:sz w:val="18"/>
              </w:rPr>
              <w:t>/</w:t>
            </w:r>
            <w:r>
              <w:rPr>
                <w:rFonts w:ascii="宋体" w:eastAsia="宋体" w:hint="eastAsia"/>
                <w:sz w:val="18"/>
              </w:rPr>
              <w:t>汇率掉期报告期产生的损益为</w:t>
            </w:r>
            <w:r>
              <w:rPr>
                <w:sz w:val="18"/>
              </w:rPr>
              <w:t>-4,279 </w:t>
            </w:r>
            <w:r>
              <w:rPr>
                <w:rFonts w:ascii="宋体" w:eastAsia="宋体" w:hint="eastAsia"/>
                <w:sz w:val="18"/>
              </w:rPr>
              <w:t>万元。</w:t>
            </w:r>
          </w:p>
          <w:p>
            <w:pPr>
              <w:pStyle w:val="TableParagraph"/>
              <w:spacing w:before="82"/>
              <w:ind w:left="117"/>
              <w:rPr>
                <w:rFonts w:ascii="宋体" w:eastAsia="宋体" w:hint="eastAsia"/>
                <w:sz w:val="18"/>
              </w:rPr>
            </w:pPr>
            <w:r>
              <w:rPr>
                <w:rFonts w:ascii="宋体" w:eastAsia="宋体" w:hint="eastAsia"/>
                <w:sz w:val="18"/>
              </w:rPr>
              <w:t>具体使用的方法及相关假设与参数设定</w:t>
            </w:r>
            <w:r>
              <w:rPr>
                <w:sz w:val="18"/>
              </w:rPr>
              <w:t>:</w:t>
            </w:r>
            <w:r>
              <w:rPr>
                <w:rFonts w:ascii="宋体" w:eastAsia="宋体" w:hint="eastAsia"/>
                <w:sz w:val="18"/>
              </w:rPr>
              <w:t>使用的是金融机构的外汇和利率掉期远期报价。</w:t>
            </w:r>
          </w:p>
        </w:tc>
      </w:tr>
    </w:tbl>
    <w:p>
      <w:pPr>
        <w:pStyle w:val="BodyText"/>
        <w:spacing w:before="26"/>
        <w:ind w:left="958"/>
      </w:pPr>
      <w:r>
        <w:rPr>
          <w:w w:val="100"/>
        </w:rPr>
        <w:t> </w:t>
      </w:r>
    </w:p>
    <w:p>
      <w:pPr>
        <w:pStyle w:val="Heading4"/>
        <w:tabs>
          <w:tab w:pos="1797" w:val="left" w:leader="none"/>
        </w:tabs>
        <w:spacing w:before="33"/>
        <w:ind w:left="958"/>
      </w:pPr>
      <w:r>
        <w:rPr>
          <w:w w:val="125"/>
        </w:rPr>
        <w:t>(</w:t>
      </w:r>
      <w:r>
        <w:rPr>
          <w:w w:val="110"/>
        </w:rPr>
        <w:t>四</w:t>
      </w:r>
      <w:r>
        <w:rPr>
          <w:w w:val="125"/>
        </w:rPr>
        <w:t>)</w:t>
        <w:tab/>
      </w:r>
      <w:r>
        <w:rPr/>
        <w:t>其他重大合同</w:t>
      </w:r>
    </w:p>
    <w:p>
      <w:pPr>
        <w:pStyle w:val="BodyText"/>
        <w:tabs>
          <w:tab w:pos="2225" w:val="left" w:leader="none"/>
        </w:tabs>
        <w:spacing w:before="56"/>
        <w:ind w:left="1382"/>
      </w:pPr>
      <w:r>
        <w:rPr/>
        <w:t>□适用</w:t>
        <w:tab/>
      </w:r>
      <w:r>
        <w:rPr>
          <w:spacing w:val="-3"/>
        </w:rPr>
        <w:t>√</w:t>
      </w:r>
      <w:r>
        <w:rPr/>
        <w:t>不</w:t>
      </w:r>
      <w:r>
        <w:rPr>
          <w:spacing w:val="-3"/>
        </w:rPr>
        <w:t>适</w:t>
      </w:r>
      <w:r>
        <w:rPr/>
        <w:t>用</w:t>
      </w:r>
    </w:p>
    <w:p>
      <w:pPr>
        <w:pStyle w:val="BodyText"/>
        <w:spacing w:before="12"/>
        <w:rPr>
          <w:sz w:val="26"/>
        </w:rPr>
      </w:pPr>
    </w:p>
    <w:p>
      <w:pPr>
        <w:pStyle w:val="Heading4"/>
        <w:ind w:left="958"/>
      </w:pPr>
      <w:r>
        <w:rPr/>
        <w:t>十六、其他重大事项的说明</w:t>
      </w:r>
    </w:p>
    <w:p>
      <w:pPr>
        <w:pStyle w:val="BodyText"/>
        <w:spacing w:before="133"/>
        <w:ind w:left="1382"/>
      </w:pPr>
      <w:r>
        <w:rPr/>
        <w:t>√适用 □不适用</w:t>
      </w:r>
    </w:p>
    <w:p>
      <w:pPr>
        <w:pStyle w:val="BodyText"/>
        <w:spacing w:before="6"/>
        <w:rPr>
          <w:sz w:val="15"/>
        </w:rPr>
      </w:pPr>
    </w:p>
    <w:p>
      <w:pPr>
        <w:pStyle w:val="BodyText"/>
        <w:ind w:left="1382"/>
      </w:pPr>
      <w:r>
        <w:rPr/>
        <w:t>报告期内，公司信息披露情况如下，所有披露内容均同步刊登在上海证券交易所网站</w:t>
      </w:r>
    </w:p>
    <w:p>
      <w:pPr>
        <w:pStyle w:val="BodyText"/>
        <w:spacing w:before="7"/>
        <w:rPr>
          <w:sz w:val="15"/>
        </w:rPr>
      </w:pPr>
    </w:p>
    <w:p>
      <w:pPr>
        <w:pStyle w:val="BodyText"/>
        <w:ind w:left="958"/>
      </w:pPr>
      <w:r>
        <w:rPr/>
        <w:t>（</w:t>
      </w:r>
      <w:hyperlink r:id="rId14">
        <w:r>
          <w:rPr>
            <w:rFonts w:ascii="Times New Roman" w:eastAsia="Times New Roman"/>
            <w:color w:val="0000FF"/>
            <w:u w:val="single" w:color="0000FF"/>
          </w:rPr>
          <w:t>www.sse.com.cn</w:t>
        </w:r>
      </w:hyperlink>
      <w:r>
        <w:rPr/>
        <w:t>）上：</w:t>
      </w:r>
    </w:p>
    <w:p>
      <w:pPr>
        <w:pStyle w:val="BodyText"/>
        <w:spacing w:before="10"/>
        <w:rPr>
          <w:sz w:val="7"/>
        </w:rPr>
      </w:pPr>
    </w:p>
    <w:tbl>
      <w:tblPr>
        <w:tblW w:w="0" w:type="auto"/>
        <w:jc w:val="left"/>
        <w:tblInd w:w="6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253"/>
        <w:gridCol w:w="3401"/>
        <w:gridCol w:w="1559"/>
      </w:tblGrid>
      <w:tr>
        <w:trPr>
          <w:trHeight w:val="313" w:hRule="atLeast"/>
        </w:trPr>
        <w:tc>
          <w:tcPr>
            <w:tcW w:w="4253" w:type="dxa"/>
            <w:tcBorders>
              <w:bottom w:val="single" w:sz="4" w:space="0" w:color="000000"/>
              <w:right w:val="single" w:sz="4" w:space="0" w:color="000000"/>
            </w:tcBorders>
            <w:shd w:val="clear" w:color="auto" w:fill="F1F1F1"/>
          </w:tcPr>
          <w:p>
            <w:pPr>
              <w:pStyle w:val="TableParagraph"/>
              <w:spacing w:line="294" w:lineRule="exact"/>
              <w:ind w:left="1923" w:right="1910"/>
              <w:jc w:val="center"/>
              <w:rPr>
                <w:rFonts w:ascii="Microsoft JhengHei" w:eastAsia="Microsoft JhengHei" w:hint="eastAsia"/>
                <w:b/>
                <w:sz w:val="18"/>
              </w:rPr>
            </w:pPr>
            <w:r>
              <w:rPr>
                <w:rFonts w:ascii="Microsoft JhengHei" w:eastAsia="Microsoft JhengHei" w:hint="eastAsia"/>
                <w:b/>
                <w:sz w:val="18"/>
              </w:rPr>
              <w:t>事项</w:t>
            </w:r>
          </w:p>
        </w:tc>
        <w:tc>
          <w:tcPr>
            <w:tcW w:w="3401" w:type="dxa"/>
            <w:tcBorders>
              <w:left w:val="single" w:sz="4" w:space="0" w:color="000000"/>
              <w:bottom w:val="single" w:sz="4" w:space="0" w:color="000000"/>
              <w:right w:val="single" w:sz="4" w:space="0" w:color="000000"/>
            </w:tcBorders>
            <w:shd w:val="clear" w:color="auto" w:fill="F1F1F1"/>
          </w:tcPr>
          <w:p>
            <w:pPr>
              <w:pStyle w:val="TableParagraph"/>
              <w:spacing w:line="294" w:lineRule="exact"/>
              <w:ind w:left="42" w:right="18"/>
              <w:jc w:val="center"/>
              <w:rPr>
                <w:rFonts w:ascii="Microsoft JhengHei" w:eastAsia="Microsoft JhengHei" w:hint="eastAsia"/>
                <w:b/>
                <w:sz w:val="18"/>
              </w:rPr>
            </w:pPr>
            <w:r>
              <w:rPr>
                <w:rFonts w:ascii="Microsoft JhengHei" w:eastAsia="Microsoft JhengHei" w:hint="eastAsia"/>
                <w:b/>
                <w:sz w:val="18"/>
              </w:rPr>
              <w:t>刊载的报刊名称及版面</w:t>
            </w:r>
          </w:p>
        </w:tc>
        <w:tc>
          <w:tcPr>
            <w:tcW w:w="1559" w:type="dxa"/>
            <w:tcBorders>
              <w:left w:val="single" w:sz="4" w:space="0" w:color="000000"/>
              <w:bottom w:val="single" w:sz="4" w:space="0" w:color="000000"/>
            </w:tcBorders>
            <w:shd w:val="clear" w:color="auto" w:fill="F1F1F1"/>
          </w:tcPr>
          <w:p>
            <w:pPr>
              <w:pStyle w:val="TableParagraph"/>
              <w:spacing w:line="294" w:lineRule="exact"/>
              <w:ind w:left="94" w:right="55"/>
              <w:jc w:val="center"/>
              <w:rPr>
                <w:rFonts w:ascii="Microsoft JhengHei" w:eastAsia="Microsoft JhengHei" w:hint="eastAsia"/>
                <w:b/>
                <w:sz w:val="18"/>
              </w:rPr>
            </w:pPr>
            <w:r>
              <w:rPr>
                <w:rFonts w:ascii="Microsoft JhengHei" w:eastAsia="Microsoft JhengHei" w:hint="eastAsia"/>
                <w:b/>
                <w:sz w:val="18"/>
              </w:rPr>
              <w:t>刊载日期</w:t>
            </w:r>
          </w:p>
        </w:tc>
      </w:tr>
      <w:tr>
        <w:trPr>
          <w:trHeight w:val="623" w:hRule="atLeast"/>
        </w:trPr>
        <w:tc>
          <w:tcPr>
            <w:tcW w:w="4253" w:type="dxa"/>
            <w:tcBorders>
              <w:top w:val="single" w:sz="4" w:space="0" w:color="000000"/>
              <w:bottom w:val="single" w:sz="4" w:space="0" w:color="000000"/>
              <w:right w:val="single" w:sz="4" w:space="0" w:color="000000"/>
            </w:tcBorders>
          </w:tcPr>
          <w:p>
            <w:pPr>
              <w:pStyle w:val="TableParagraph"/>
              <w:spacing w:before="38"/>
              <w:ind w:left="105"/>
              <w:rPr>
                <w:rFonts w:ascii="宋体" w:eastAsia="宋体" w:hint="eastAsia"/>
                <w:sz w:val="18"/>
              </w:rPr>
            </w:pPr>
            <w:r>
              <w:rPr>
                <w:rFonts w:ascii="宋体" w:eastAsia="宋体" w:hint="eastAsia"/>
                <w:sz w:val="18"/>
              </w:rPr>
              <w:t>海尔智家股份有限公司关于公司与海尔电器集团有</w:t>
            </w:r>
          </w:p>
          <w:p>
            <w:pPr>
              <w:pStyle w:val="TableParagraph"/>
              <w:spacing w:before="81"/>
              <w:ind w:left="105"/>
              <w:rPr>
                <w:rFonts w:ascii="宋体" w:eastAsia="宋体" w:hint="eastAsia"/>
                <w:sz w:val="18"/>
              </w:rPr>
            </w:pPr>
            <w:r>
              <w:rPr>
                <w:rFonts w:ascii="宋体" w:eastAsia="宋体" w:hint="eastAsia"/>
                <w:sz w:val="18"/>
              </w:rPr>
              <w:t>限公司发布联合公告的提示性公告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ight="-15"/>
              <w:rPr>
                <w:rFonts w:ascii="宋体" w:eastAsia="宋体" w:hint="eastAsia"/>
                <w:sz w:val="18"/>
              </w:rPr>
            </w:pPr>
            <w:r>
              <w:rPr>
                <w:rFonts w:ascii="宋体" w:eastAsia="宋体" w:hint="eastAsia"/>
                <w:spacing w:val="-8"/>
                <w:sz w:val="18"/>
              </w:rPr>
              <w:t>中国证券报 </w:t>
            </w:r>
            <w:r>
              <w:rPr>
                <w:sz w:val="18"/>
              </w:rPr>
              <w:t>B012</w:t>
            </w:r>
            <w:r>
              <w:rPr>
                <w:spacing w:val="1"/>
                <w:sz w:val="18"/>
              </w:rPr>
              <w:t> </w:t>
            </w:r>
            <w:r>
              <w:rPr>
                <w:rFonts w:ascii="宋体" w:eastAsia="宋体" w:hint="eastAsia"/>
                <w:spacing w:val="-18"/>
                <w:sz w:val="18"/>
              </w:rPr>
              <w:t>版、上海证券报 </w:t>
            </w:r>
            <w:r>
              <w:rPr>
                <w:sz w:val="18"/>
              </w:rPr>
              <w:t>137</w:t>
            </w:r>
            <w:r>
              <w:rPr>
                <w:spacing w:val="1"/>
                <w:sz w:val="18"/>
              </w:rPr>
              <w:t> </w:t>
            </w:r>
            <w:r>
              <w:rPr>
                <w:rFonts w:ascii="宋体" w:eastAsia="宋体" w:hint="eastAsia"/>
                <w:sz w:val="18"/>
              </w:rPr>
              <w:t>版、</w:t>
            </w:r>
          </w:p>
          <w:p>
            <w:pPr>
              <w:pStyle w:val="TableParagraph"/>
              <w:spacing w:before="81"/>
              <w:ind w:left="115"/>
              <w:rPr>
                <w:rFonts w:ascii="宋体" w:eastAsia="宋体" w:hint="eastAsia"/>
                <w:sz w:val="18"/>
              </w:rPr>
            </w:pPr>
            <w:r>
              <w:rPr>
                <w:rFonts w:ascii="宋体" w:eastAsia="宋体" w:hint="eastAsia"/>
                <w:sz w:val="18"/>
              </w:rPr>
              <w:t>证券时报 </w:t>
            </w:r>
            <w:r>
              <w:rPr>
                <w:sz w:val="18"/>
              </w:rPr>
              <w:t>B66 </w:t>
            </w:r>
            <w:r>
              <w:rPr>
                <w:rFonts w:ascii="宋体" w:eastAsia="宋体" w:hint="eastAsia"/>
                <w:sz w:val="18"/>
              </w:rPr>
              <w:t>版、证券日报 </w:t>
            </w:r>
            <w:r>
              <w:rPr>
                <w:sz w:val="18"/>
              </w:rPr>
              <w:t>D72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38"/>
              <w:ind w:left="94" w:right="55"/>
              <w:jc w:val="center"/>
              <w:rPr>
                <w:sz w:val="18"/>
              </w:rPr>
            </w:pPr>
            <w:r>
              <w:rPr>
                <w:sz w:val="18"/>
              </w:rPr>
              <w:t>2020 </w:t>
            </w:r>
            <w:r>
              <w:rPr>
                <w:rFonts w:ascii="宋体" w:eastAsia="宋体" w:hint="eastAsia"/>
                <w:sz w:val="18"/>
              </w:rPr>
              <w:t>年 </w:t>
            </w:r>
            <w:r>
              <w:rPr>
                <w:sz w:val="18"/>
              </w:rPr>
              <w:t>01 </w:t>
            </w:r>
            <w:r>
              <w:rPr>
                <w:rFonts w:ascii="宋体" w:eastAsia="宋体" w:hint="eastAsia"/>
                <w:sz w:val="18"/>
              </w:rPr>
              <w:t>月 </w:t>
            </w:r>
            <w:r>
              <w:rPr>
                <w:sz w:val="18"/>
              </w:rPr>
              <w:t>17</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623" w:hRule="atLeast"/>
        </w:trPr>
        <w:tc>
          <w:tcPr>
            <w:tcW w:w="4253" w:type="dxa"/>
            <w:tcBorders>
              <w:top w:val="single" w:sz="4" w:space="0" w:color="000000"/>
              <w:bottom w:val="single" w:sz="4" w:space="0" w:color="000000"/>
              <w:right w:val="single" w:sz="4" w:space="0" w:color="000000"/>
            </w:tcBorders>
          </w:tcPr>
          <w:p>
            <w:pPr>
              <w:pStyle w:val="TableParagraph"/>
              <w:spacing w:before="38"/>
              <w:ind w:left="105"/>
              <w:rPr>
                <w:rFonts w:ascii="宋体" w:eastAsia="宋体" w:hint="eastAsia"/>
                <w:sz w:val="18"/>
              </w:rPr>
            </w:pPr>
            <w:r>
              <w:rPr>
                <w:rFonts w:ascii="宋体" w:eastAsia="宋体" w:hint="eastAsia"/>
                <w:sz w:val="18"/>
              </w:rPr>
              <w:t>海尔智家股份有限公司第十届董事会第六次会议决</w:t>
            </w:r>
          </w:p>
          <w:p>
            <w:pPr>
              <w:pStyle w:val="TableParagraph"/>
              <w:spacing w:before="81"/>
              <w:ind w:left="105"/>
              <w:rPr>
                <w:rFonts w:ascii="宋体" w:eastAsia="宋体" w:hint="eastAsia"/>
                <w:sz w:val="18"/>
              </w:rPr>
            </w:pPr>
            <w:r>
              <w:rPr>
                <w:rFonts w:ascii="宋体" w:eastAsia="宋体" w:hint="eastAsia"/>
                <w:sz w:val="18"/>
              </w:rPr>
              <w:t>议公告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Pr>
                <w:rFonts w:ascii="宋体" w:eastAsia="宋体" w:hint="eastAsia"/>
                <w:sz w:val="18"/>
              </w:rPr>
            </w:pPr>
            <w:r>
              <w:rPr>
                <w:rFonts w:ascii="宋体" w:eastAsia="宋体" w:hint="eastAsia"/>
                <w:spacing w:val="-8"/>
                <w:sz w:val="18"/>
              </w:rPr>
              <w:t>中国证券报 </w:t>
            </w:r>
            <w:r>
              <w:rPr>
                <w:sz w:val="18"/>
              </w:rPr>
              <w:t>B009 </w:t>
            </w:r>
            <w:r>
              <w:rPr>
                <w:rFonts w:ascii="宋体" w:eastAsia="宋体" w:hint="eastAsia"/>
                <w:spacing w:val="-7"/>
                <w:sz w:val="18"/>
              </w:rPr>
              <w:t>版、上海证券报 </w:t>
            </w:r>
            <w:r>
              <w:rPr>
                <w:sz w:val="18"/>
              </w:rPr>
              <w:t>33 </w:t>
            </w:r>
            <w:r>
              <w:rPr>
                <w:rFonts w:ascii="宋体" w:eastAsia="宋体" w:hint="eastAsia"/>
                <w:spacing w:val="-8"/>
                <w:sz w:val="18"/>
              </w:rPr>
              <w:t>版、</w:t>
            </w:r>
          </w:p>
          <w:p>
            <w:pPr>
              <w:pStyle w:val="TableParagraph"/>
              <w:spacing w:before="81"/>
              <w:ind w:left="115"/>
              <w:rPr>
                <w:rFonts w:ascii="宋体" w:eastAsia="宋体" w:hint="eastAsia"/>
                <w:sz w:val="18"/>
              </w:rPr>
            </w:pPr>
            <w:r>
              <w:rPr>
                <w:rFonts w:ascii="宋体" w:eastAsia="宋体" w:hint="eastAsia"/>
                <w:sz w:val="18"/>
              </w:rPr>
              <w:t>证券时报 </w:t>
            </w:r>
            <w:r>
              <w:rPr>
                <w:sz w:val="18"/>
              </w:rPr>
              <w:t>B032 </w:t>
            </w:r>
            <w:r>
              <w:rPr>
                <w:rFonts w:ascii="宋体" w:eastAsia="宋体" w:hint="eastAsia"/>
                <w:sz w:val="18"/>
              </w:rPr>
              <w:t>版、证券日报 </w:t>
            </w:r>
            <w:r>
              <w:rPr>
                <w:sz w:val="18"/>
              </w:rPr>
              <w:t>C23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38"/>
              <w:ind w:left="94" w:right="55"/>
              <w:jc w:val="center"/>
              <w:rPr>
                <w:sz w:val="18"/>
              </w:rPr>
            </w:pPr>
            <w:r>
              <w:rPr>
                <w:sz w:val="18"/>
              </w:rPr>
              <w:t>2020 </w:t>
            </w:r>
            <w:r>
              <w:rPr>
                <w:rFonts w:ascii="宋体" w:eastAsia="宋体" w:hint="eastAsia"/>
                <w:sz w:val="18"/>
              </w:rPr>
              <w:t>年 </w:t>
            </w:r>
            <w:r>
              <w:rPr>
                <w:sz w:val="18"/>
              </w:rPr>
              <w:t>02 </w:t>
            </w:r>
            <w:r>
              <w:rPr>
                <w:rFonts w:ascii="宋体" w:eastAsia="宋体" w:hint="eastAsia"/>
                <w:sz w:val="18"/>
              </w:rPr>
              <w:t>月 </w:t>
            </w:r>
            <w:r>
              <w:rPr>
                <w:sz w:val="18"/>
              </w:rPr>
              <w:t>15</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621" w:hRule="atLeast"/>
        </w:trPr>
        <w:tc>
          <w:tcPr>
            <w:tcW w:w="4253" w:type="dxa"/>
            <w:tcBorders>
              <w:top w:val="single" w:sz="4" w:space="0" w:color="000000"/>
              <w:bottom w:val="single" w:sz="6" w:space="0" w:color="000000"/>
              <w:right w:val="single" w:sz="4" w:space="0" w:color="000000"/>
            </w:tcBorders>
          </w:tcPr>
          <w:p>
            <w:pPr>
              <w:pStyle w:val="TableParagraph"/>
              <w:spacing w:before="38"/>
              <w:ind w:left="105"/>
              <w:rPr>
                <w:rFonts w:ascii="宋体" w:eastAsia="宋体" w:hint="eastAsia"/>
                <w:sz w:val="18"/>
              </w:rPr>
            </w:pPr>
            <w:r>
              <w:rPr>
                <w:rFonts w:ascii="宋体" w:eastAsia="宋体" w:hint="eastAsia"/>
                <w:sz w:val="18"/>
              </w:rPr>
              <w:t>海尔智家股份有限公司第十届监事会第六次会议决</w:t>
            </w:r>
          </w:p>
          <w:p>
            <w:pPr>
              <w:pStyle w:val="TableParagraph"/>
              <w:spacing w:before="81"/>
              <w:ind w:left="105"/>
              <w:rPr>
                <w:rFonts w:ascii="宋体" w:eastAsia="宋体" w:hint="eastAsia"/>
                <w:sz w:val="18"/>
              </w:rPr>
            </w:pPr>
            <w:r>
              <w:rPr>
                <w:rFonts w:ascii="宋体" w:eastAsia="宋体" w:hint="eastAsia"/>
                <w:sz w:val="18"/>
              </w:rPr>
              <w:t>议公告</w:t>
            </w:r>
          </w:p>
        </w:tc>
        <w:tc>
          <w:tcPr>
            <w:tcW w:w="3401" w:type="dxa"/>
            <w:tcBorders>
              <w:top w:val="single" w:sz="4" w:space="0" w:color="000000"/>
              <w:left w:val="single" w:sz="4" w:space="0" w:color="000000"/>
              <w:bottom w:val="single" w:sz="6" w:space="0" w:color="000000"/>
              <w:right w:val="single" w:sz="4" w:space="0" w:color="000000"/>
            </w:tcBorders>
          </w:tcPr>
          <w:p>
            <w:pPr>
              <w:pStyle w:val="TableParagraph"/>
              <w:spacing w:before="38"/>
              <w:ind w:left="115"/>
              <w:rPr>
                <w:rFonts w:ascii="宋体" w:eastAsia="宋体" w:hint="eastAsia"/>
                <w:sz w:val="18"/>
              </w:rPr>
            </w:pPr>
            <w:r>
              <w:rPr>
                <w:rFonts w:ascii="宋体" w:eastAsia="宋体" w:hint="eastAsia"/>
                <w:spacing w:val="-8"/>
                <w:sz w:val="18"/>
              </w:rPr>
              <w:t>中国证券报 </w:t>
            </w:r>
            <w:r>
              <w:rPr>
                <w:sz w:val="18"/>
              </w:rPr>
              <w:t>B009 </w:t>
            </w:r>
            <w:r>
              <w:rPr>
                <w:rFonts w:ascii="宋体" w:eastAsia="宋体" w:hint="eastAsia"/>
                <w:spacing w:val="-7"/>
                <w:sz w:val="18"/>
              </w:rPr>
              <w:t>版、上海证券报 </w:t>
            </w:r>
            <w:r>
              <w:rPr>
                <w:sz w:val="18"/>
              </w:rPr>
              <w:t>33 </w:t>
            </w:r>
            <w:r>
              <w:rPr>
                <w:rFonts w:ascii="宋体" w:eastAsia="宋体" w:hint="eastAsia"/>
                <w:spacing w:val="-8"/>
                <w:sz w:val="18"/>
              </w:rPr>
              <w:t>版、</w:t>
            </w:r>
          </w:p>
          <w:p>
            <w:pPr>
              <w:pStyle w:val="TableParagraph"/>
              <w:spacing w:before="81"/>
              <w:ind w:left="115"/>
              <w:rPr>
                <w:rFonts w:ascii="宋体" w:eastAsia="宋体" w:hint="eastAsia"/>
                <w:sz w:val="18"/>
              </w:rPr>
            </w:pPr>
            <w:r>
              <w:rPr>
                <w:rFonts w:ascii="宋体" w:eastAsia="宋体" w:hint="eastAsia"/>
                <w:sz w:val="18"/>
              </w:rPr>
              <w:t>证券时报 </w:t>
            </w:r>
            <w:r>
              <w:rPr>
                <w:sz w:val="18"/>
              </w:rPr>
              <w:t>B0 </w:t>
            </w:r>
            <w:r>
              <w:rPr>
                <w:rFonts w:ascii="宋体" w:eastAsia="宋体" w:hint="eastAsia"/>
                <w:sz w:val="18"/>
              </w:rPr>
              <w:t>疲 </w:t>
            </w:r>
            <w:r>
              <w:rPr>
                <w:sz w:val="18"/>
              </w:rPr>
              <w:t>32 </w:t>
            </w:r>
            <w:r>
              <w:rPr>
                <w:rFonts w:ascii="宋体" w:eastAsia="宋体" w:hint="eastAsia"/>
                <w:sz w:val="18"/>
              </w:rPr>
              <w:t>版、证券日报 </w:t>
            </w:r>
            <w:r>
              <w:rPr>
                <w:sz w:val="18"/>
              </w:rPr>
              <w:t>C23 </w:t>
            </w:r>
            <w:r>
              <w:rPr>
                <w:rFonts w:ascii="宋体" w:eastAsia="宋体" w:hint="eastAsia"/>
                <w:sz w:val="18"/>
              </w:rPr>
              <w:t>版</w:t>
            </w:r>
          </w:p>
        </w:tc>
        <w:tc>
          <w:tcPr>
            <w:tcW w:w="1559" w:type="dxa"/>
            <w:tcBorders>
              <w:top w:val="single" w:sz="4" w:space="0" w:color="000000"/>
              <w:left w:val="single" w:sz="4" w:space="0" w:color="000000"/>
              <w:bottom w:val="single" w:sz="6" w:space="0" w:color="000000"/>
            </w:tcBorders>
          </w:tcPr>
          <w:p>
            <w:pPr>
              <w:pStyle w:val="TableParagraph"/>
              <w:spacing w:before="38"/>
              <w:ind w:left="94" w:right="55"/>
              <w:jc w:val="center"/>
              <w:rPr>
                <w:sz w:val="18"/>
              </w:rPr>
            </w:pPr>
            <w:r>
              <w:rPr>
                <w:sz w:val="18"/>
              </w:rPr>
              <w:t>2020 </w:t>
            </w:r>
            <w:r>
              <w:rPr>
                <w:rFonts w:ascii="宋体" w:eastAsia="宋体" w:hint="eastAsia"/>
                <w:sz w:val="18"/>
              </w:rPr>
              <w:t>年 </w:t>
            </w:r>
            <w:r>
              <w:rPr>
                <w:sz w:val="18"/>
              </w:rPr>
              <w:t>02 </w:t>
            </w:r>
            <w:r>
              <w:rPr>
                <w:rFonts w:ascii="宋体" w:eastAsia="宋体" w:hint="eastAsia"/>
                <w:sz w:val="18"/>
              </w:rPr>
              <w:t>月 </w:t>
            </w:r>
            <w:r>
              <w:rPr>
                <w:sz w:val="18"/>
              </w:rPr>
              <w:t>15</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623" w:hRule="atLeast"/>
        </w:trPr>
        <w:tc>
          <w:tcPr>
            <w:tcW w:w="4253" w:type="dxa"/>
            <w:tcBorders>
              <w:top w:val="single" w:sz="6" w:space="0" w:color="000000"/>
              <w:bottom w:val="single" w:sz="4" w:space="0" w:color="000000"/>
              <w:right w:val="single" w:sz="4" w:space="0" w:color="000000"/>
            </w:tcBorders>
          </w:tcPr>
          <w:p>
            <w:pPr>
              <w:pStyle w:val="TableParagraph"/>
              <w:spacing w:before="38"/>
              <w:ind w:left="105"/>
              <w:rPr>
                <w:rFonts w:ascii="宋体" w:eastAsia="宋体" w:hint="eastAsia"/>
                <w:sz w:val="18"/>
              </w:rPr>
            </w:pPr>
            <w:r>
              <w:rPr>
                <w:rFonts w:ascii="宋体" w:eastAsia="宋体" w:hint="eastAsia"/>
                <w:sz w:val="18"/>
              </w:rPr>
              <w:t>海尔智家股份有限公司 </w:t>
            </w:r>
            <w:r>
              <w:rPr>
                <w:sz w:val="18"/>
              </w:rPr>
              <w:t>2020 </w:t>
            </w:r>
            <w:r>
              <w:rPr>
                <w:rFonts w:ascii="宋体" w:eastAsia="宋体" w:hint="eastAsia"/>
                <w:sz w:val="18"/>
              </w:rPr>
              <w:t>年第一次临时股东大会</w:t>
            </w:r>
          </w:p>
          <w:p>
            <w:pPr>
              <w:pStyle w:val="TableParagraph"/>
              <w:spacing w:before="81"/>
              <w:ind w:left="105"/>
              <w:rPr>
                <w:rFonts w:ascii="宋体" w:eastAsia="宋体" w:hint="eastAsia"/>
                <w:sz w:val="18"/>
              </w:rPr>
            </w:pPr>
            <w:r>
              <w:rPr>
                <w:rFonts w:ascii="宋体" w:eastAsia="宋体" w:hint="eastAsia"/>
                <w:sz w:val="18"/>
              </w:rPr>
              <w:t>通知</w:t>
            </w:r>
          </w:p>
        </w:tc>
        <w:tc>
          <w:tcPr>
            <w:tcW w:w="3401" w:type="dxa"/>
            <w:tcBorders>
              <w:top w:val="single" w:sz="6" w:space="0" w:color="000000"/>
              <w:left w:val="single" w:sz="4" w:space="0" w:color="000000"/>
              <w:bottom w:val="single" w:sz="4" w:space="0" w:color="000000"/>
              <w:right w:val="single" w:sz="4" w:space="0" w:color="000000"/>
            </w:tcBorders>
          </w:tcPr>
          <w:p>
            <w:pPr>
              <w:pStyle w:val="TableParagraph"/>
              <w:spacing w:before="38"/>
              <w:ind w:left="115"/>
              <w:rPr>
                <w:rFonts w:ascii="宋体" w:eastAsia="宋体" w:hint="eastAsia"/>
                <w:sz w:val="18"/>
              </w:rPr>
            </w:pPr>
            <w:r>
              <w:rPr>
                <w:rFonts w:ascii="宋体" w:eastAsia="宋体" w:hint="eastAsia"/>
                <w:spacing w:val="-8"/>
                <w:sz w:val="18"/>
              </w:rPr>
              <w:t>中国证券报 </w:t>
            </w:r>
            <w:r>
              <w:rPr>
                <w:sz w:val="18"/>
              </w:rPr>
              <w:t>B009 </w:t>
            </w:r>
            <w:r>
              <w:rPr>
                <w:rFonts w:ascii="宋体" w:eastAsia="宋体" w:hint="eastAsia"/>
                <w:spacing w:val="-7"/>
                <w:sz w:val="18"/>
              </w:rPr>
              <w:t>版、上海证券报 </w:t>
            </w:r>
            <w:r>
              <w:rPr>
                <w:sz w:val="18"/>
              </w:rPr>
              <w:t>33 </w:t>
            </w:r>
            <w:r>
              <w:rPr>
                <w:rFonts w:ascii="宋体" w:eastAsia="宋体" w:hint="eastAsia"/>
                <w:spacing w:val="-8"/>
                <w:sz w:val="18"/>
              </w:rPr>
              <w:t>版、</w:t>
            </w:r>
          </w:p>
          <w:p>
            <w:pPr>
              <w:pStyle w:val="TableParagraph"/>
              <w:spacing w:before="81"/>
              <w:ind w:left="115"/>
              <w:rPr>
                <w:rFonts w:ascii="宋体" w:eastAsia="宋体" w:hint="eastAsia"/>
                <w:sz w:val="18"/>
              </w:rPr>
            </w:pPr>
            <w:r>
              <w:rPr>
                <w:rFonts w:ascii="宋体" w:eastAsia="宋体" w:hint="eastAsia"/>
                <w:sz w:val="18"/>
              </w:rPr>
              <w:t>证券时报 </w:t>
            </w:r>
            <w:r>
              <w:rPr>
                <w:sz w:val="18"/>
              </w:rPr>
              <w:t>B032 </w:t>
            </w:r>
            <w:r>
              <w:rPr>
                <w:rFonts w:ascii="宋体" w:eastAsia="宋体" w:hint="eastAsia"/>
                <w:sz w:val="18"/>
              </w:rPr>
              <w:t>版、证券日报 </w:t>
            </w:r>
            <w:r>
              <w:rPr>
                <w:sz w:val="18"/>
              </w:rPr>
              <w:t>C23 </w:t>
            </w:r>
            <w:r>
              <w:rPr>
                <w:rFonts w:ascii="宋体" w:eastAsia="宋体" w:hint="eastAsia"/>
                <w:sz w:val="18"/>
              </w:rPr>
              <w:t>版</w:t>
            </w:r>
          </w:p>
        </w:tc>
        <w:tc>
          <w:tcPr>
            <w:tcW w:w="1559" w:type="dxa"/>
            <w:tcBorders>
              <w:top w:val="single" w:sz="6" w:space="0" w:color="000000"/>
              <w:left w:val="single" w:sz="4" w:space="0" w:color="000000"/>
              <w:bottom w:val="single" w:sz="4" w:space="0" w:color="000000"/>
            </w:tcBorders>
          </w:tcPr>
          <w:p>
            <w:pPr>
              <w:pStyle w:val="TableParagraph"/>
              <w:spacing w:before="38"/>
              <w:ind w:left="94" w:right="55"/>
              <w:jc w:val="center"/>
              <w:rPr>
                <w:sz w:val="18"/>
              </w:rPr>
            </w:pPr>
            <w:r>
              <w:rPr>
                <w:sz w:val="18"/>
              </w:rPr>
              <w:t>2020 </w:t>
            </w:r>
            <w:r>
              <w:rPr>
                <w:rFonts w:ascii="宋体" w:eastAsia="宋体" w:hint="eastAsia"/>
                <w:sz w:val="18"/>
              </w:rPr>
              <w:t>年 </w:t>
            </w:r>
            <w:r>
              <w:rPr>
                <w:sz w:val="18"/>
              </w:rPr>
              <w:t>02 </w:t>
            </w:r>
            <w:r>
              <w:rPr>
                <w:rFonts w:ascii="宋体" w:eastAsia="宋体" w:hint="eastAsia"/>
                <w:sz w:val="18"/>
              </w:rPr>
              <w:t>月 </w:t>
            </w:r>
            <w:r>
              <w:rPr>
                <w:sz w:val="18"/>
              </w:rPr>
              <w:t>15</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623" w:hRule="atLeast"/>
        </w:trPr>
        <w:tc>
          <w:tcPr>
            <w:tcW w:w="4253" w:type="dxa"/>
            <w:tcBorders>
              <w:top w:val="single" w:sz="4" w:space="0" w:color="000000"/>
              <w:bottom w:val="single" w:sz="4" w:space="0" w:color="000000"/>
              <w:right w:val="single" w:sz="4" w:space="0" w:color="000000"/>
            </w:tcBorders>
          </w:tcPr>
          <w:p>
            <w:pPr>
              <w:pStyle w:val="TableParagraph"/>
              <w:spacing w:before="38"/>
              <w:ind w:left="105"/>
              <w:rPr>
                <w:rFonts w:ascii="宋体" w:eastAsia="宋体" w:hint="eastAsia"/>
                <w:sz w:val="18"/>
              </w:rPr>
            </w:pPr>
            <w:r>
              <w:rPr>
                <w:rFonts w:ascii="宋体" w:eastAsia="宋体" w:hint="eastAsia"/>
                <w:sz w:val="18"/>
              </w:rPr>
              <w:t>海尔智家股份有限公司关于核心员工持股计划之第</w:t>
            </w:r>
          </w:p>
          <w:p>
            <w:pPr>
              <w:pStyle w:val="TableParagraph"/>
              <w:spacing w:before="81"/>
              <w:ind w:left="105"/>
              <w:rPr>
                <w:rFonts w:ascii="宋体" w:eastAsia="宋体" w:hint="eastAsia"/>
                <w:sz w:val="18"/>
              </w:rPr>
            </w:pPr>
            <w:r>
              <w:rPr>
                <w:rFonts w:ascii="宋体" w:eastAsia="宋体" w:hint="eastAsia"/>
                <w:sz w:val="18"/>
              </w:rPr>
              <w:t>二期持股计划延期的公告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Pr>
                <w:rFonts w:ascii="宋体" w:eastAsia="宋体" w:hint="eastAsia"/>
                <w:sz w:val="18"/>
              </w:rPr>
            </w:pPr>
            <w:r>
              <w:rPr>
                <w:rFonts w:ascii="宋体" w:eastAsia="宋体" w:hint="eastAsia"/>
                <w:spacing w:val="-8"/>
                <w:sz w:val="18"/>
              </w:rPr>
              <w:t>中国证券报 </w:t>
            </w:r>
            <w:r>
              <w:rPr>
                <w:sz w:val="18"/>
              </w:rPr>
              <w:t>B009 </w:t>
            </w:r>
            <w:r>
              <w:rPr>
                <w:rFonts w:ascii="宋体" w:eastAsia="宋体" w:hint="eastAsia"/>
                <w:spacing w:val="-7"/>
                <w:sz w:val="18"/>
              </w:rPr>
              <w:t>版、上海证券报 </w:t>
            </w:r>
            <w:r>
              <w:rPr>
                <w:sz w:val="18"/>
              </w:rPr>
              <w:t>33 </w:t>
            </w:r>
            <w:r>
              <w:rPr>
                <w:rFonts w:ascii="宋体" w:eastAsia="宋体" w:hint="eastAsia"/>
                <w:spacing w:val="-8"/>
                <w:sz w:val="18"/>
              </w:rPr>
              <w:t>版、</w:t>
            </w:r>
          </w:p>
          <w:p>
            <w:pPr>
              <w:pStyle w:val="TableParagraph"/>
              <w:spacing w:before="81"/>
              <w:ind w:left="115"/>
              <w:rPr>
                <w:rFonts w:ascii="宋体" w:eastAsia="宋体" w:hint="eastAsia"/>
                <w:sz w:val="18"/>
              </w:rPr>
            </w:pPr>
            <w:r>
              <w:rPr>
                <w:rFonts w:ascii="宋体" w:eastAsia="宋体" w:hint="eastAsia"/>
                <w:sz w:val="18"/>
              </w:rPr>
              <w:t>证券时报 </w:t>
            </w:r>
            <w:r>
              <w:rPr>
                <w:sz w:val="18"/>
              </w:rPr>
              <w:t>B032 </w:t>
            </w:r>
            <w:r>
              <w:rPr>
                <w:rFonts w:ascii="宋体" w:eastAsia="宋体" w:hint="eastAsia"/>
                <w:sz w:val="18"/>
              </w:rPr>
              <w:t>版、证券日报 </w:t>
            </w:r>
            <w:r>
              <w:rPr>
                <w:sz w:val="18"/>
              </w:rPr>
              <w:t>C23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38"/>
              <w:ind w:left="94" w:right="55"/>
              <w:jc w:val="center"/>
              <w:rPr>
                <w:sz w:val="18"/>
              </w:rPr>
            </w:pPr>
            <w:r>
              <w:rPr>
                <w:sz w:val="18"/>
              </w:rPr>
              <w:t>2020 </w:t>
            </w:r>
            <w:r>
              <w:rPr>
                <w:rFonts w:ascii="宋体" w:eastAsia="宋体" w:hint="eastAsia"/>
                <w:sz w:val="18"/>
              </w:rPr>
              <w:t>年 </w:t>
            </w:r>
            <w:r>
              <w:rPr>
                <w:sz w:val="18"/>
              </w:rPr>
              <w:t>02 </w:t>
            </w:r>
            <w:r>
              <w:rPr>
                <w:rFonts w:ascii="宋体" w:eastAsia="宋体" w:hint="eastAsia"/>
                <w:sz w:val="18"/>
              </w:rPr>
              <w:t>月 </w:t>
            </w:r>
            <w:r>
              <w:rPr>
                <w:sz w:val="18"/>
              </w:rPr>
              <w:t>15</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623" w:hRule="atLeast"/>
        </w:trPr>
        <w:tc>
          <w:tcPr>
            <w:tcW w:w="4253" w:type="dxa"/>
            <w:tcBorders>
              <w:top w:val="single" w:sz="4" w:space="0" w:color="000000"/>
              <w:bottom w:val="single" w:sz="4" w:space="0" w:color="000000"/>
              <w:right w:val="single" w:sz="4" w:space="0" w:color="000000"/>
            </w:tcBorders>
          </w:tcPr>
          <w:p>
            <w:pPr>
              <w:pStyle w:val="TableParagraph"/>
              <w:spacing w:before="38"/>
              <w:ind w:left="105"/>
              <w:rPr>
                <w:rFonts w:ascii="宋体" w:eastAsia="宋体" w:hint="eastAsia"/>
                <w:sz w:val="18"/>
              </w:rPr>
            </w:pPr>
            <w:r>
              <w:rPr>
                <w:rFonts w:ascii="宋体" w:eastAsia="宋体" w:hint="eastAsia"/>
                <w:sz w:val="18"/>
              </w:rPr>
              <w:t>海尔智家股份有限公司关于潜在私有化海尔电器集</w:t>
            </w:r>
          </w:p>
          <w:p>
            <w:pPr>
              <w:pStyle w:val="TableParagraph"/>
              <w:spacing w:before="81"/>
              <w:ind w:left="105"/>
              <w:rPr>
                <w:rFonts w:ascii="宋体" w:eastAsia="宋体" w:hint="eastAsia"/>
                <w:sz w:val="18"/>
              </w:rPr>
            </w:pPr>
            <w:r>
              <w:rPr>
                <w:rFonts w:ascii="宋体" w:eastAsia="宋体" w:hint="eastAsia"/>
                <w:sz w:val="18"/>
              </w:rPr>
              <w:t>团有限公司进程更新的提示性公告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Pr>
                <w:rFonts w:ascii="宋体" w:eastAsia="宋体" w:hint="eastAsia"/>
                <w:sz w:val="18"/>
              </w:rPr>
            </w:pPr>
            <w:r>
              <w:rPr>
                <w:rFonts w:ascii="宋体" w:eastAsia="宋体" w:hint="eastAsia"/>
                <w:spacing w:val="-8"/>
                <w:sz w:val="18"/>
              </w:rPr>
              <w:t>中国证券报 </w:t>
            </w:r>
            <w:r>
              <w:rPr>
                <w:sz w:val="18"/>
              </w:rPr>
              <w:t>B009 </w:t>
            </w:r>
            <w:r>
              <w:rPr>
                <w:rFonts w:ascii="宋体" w:eastAsia="宋体" w:hint="eastAsia"/>
                <w:spacing w:val="-7"/>
                <w:sz w:val="18"/>
              </w:rPr>
              <w:t>版、上海证券报 </w:t>
            </w:r>
            <w:r>
              <w:rPr>
                <w:sz w:val="18"/>
              </w:rPr>
              <w:t>33 </w:t>
            </w:r>
            <w:r>
              <w:rPr>
                <w:rFonts w:ascii="宋体" w:eastAsia="宋体" w:hint="eastAsia"/>
                <w:spacing w:val="-8"/>
                <w:sz w:val="18"/>
              </w:rPr>
              <w:t>版、</w:t>
            </w:r>
          </w:p>
          <w:p>
            <w:pPr>
              <w:pStyle w:val="TableParagraph"/>
              <w:spacing w:before="81"/>
              <w:ind w:left="115"/>
              <w:rPr>
                <w:rFonts w:ascii="宋体" w:eastAsia="宋体" w:hint="eastAsia"/>
                <w:sz w:val="18"/>
              </w:rPr>
            </w:pPr>
            <w:r>
              <w:rPr>
                <w:rFonts w:ascii="宋体" w:eastAsia="宋体" w:hint="eastAsia"/>
                <w:sz w:val="18"/>
              </w:rPr>
              <w:t>证券时报 </w:t>
            </w:r>
            <w:r>
              <w:rPr>
                <w:sz w:val="18"/>
              </w:rPr>
              <w:t>B032 </w:t>
            </w:r>
            <w:r>
              <w:rPr>
                <w:rFonts w:ascii="宋体" w:eastAsia="宋体" w:hint="eastAsia"/>
                <w:sz w:val="18"/>
              </w:rPr>
              <w:t>版、证券日报 </w:t>
            </w:r>
            <w:r>
              <w:rPr>
                <w:sz w:val="18"/>
              </w:rPr>
              <w:t>C23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38"/>
              <w:ind w:left="94" w:right="55"/>
              <w:jc w:val="center"/>
              <w:rPr>
                <w:sz w:val="18"/>
              </w:rPr>
            </w:pPr>
            <w:r>
              <w:rPr>
                <w:sz w:val="18"/>
              </w:rPr>
              <w:t>2020 </w:t>
            </w:r>
            <w:r>
              <w:rPr>
                <w:rFonts w:ascii="宋体" w:eastAsia="宋体" w:hint="eastAsia"/>
                <w:sz w:val="18"/>
              </w:rPr>
              <w:t>年 </w:t>
            </w:r>
            <w:r>
              <w:rPr>
                <w:sz w:val="18"/>
              </w:rPr>
              <w:t>02 </w:t>
            </w:r>
            <w:r>
              <w:rPr>
                <w:rFonts w:ascii="宋体" w:eastAsia="宋体" w:hint="eastAsia"/>
                <w:sz w:val="18"/>
              </w:rPr>
              <w:t>月 </w:t>
            </w:r>
            <w:r>
              <w:rPr>
                <w:sz w:val="18"/>
              </w:rPr>
              <w:t>15</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623" w:hRule="atLeast"/>
        </w:trPr>
        <w:tc>
          <w:tcPr>
            <w:tcW w:w="4253" w:type="dxa"/>
            <w:tcBorders>
              <w:top w:val="single" w:sz="4" w:space="0" w:color="000000"/>
              <w:bottom w:val="single" w:sz="4" w:space="0" w:color="000000"/>
              <w:right w:val="single" w:sz="4" w:space="0" w:color="000000"/>
            </w:tcBorders>
          </w:tcPr>
          <w:p>
            <w:pPr>
              <w:pStyle w:val="TableParagraph"/>
              <w:spacing w:before="38"/>
              <w:ind w:left="105"/>
              <w:rPr>
                <w:rFonts w:ascii="宋体" w:eastAsia="宋体" w:hint="eastAsia"/>
                <w:sz w:val="18"/>
              </w:rPr>
            </w:pPr>
            <w:r>
              <w:rPr>
                <w:rFonts w:ascii="宋体" w:eastAsia="宋体" w:hint="eastAsia"/>
                <w:sz w:val="18"/>
              </w:rPr>
              <w:t>海尔智家股份有限公司关于实际控制人的一致行动</w:t>
            </w:r>
          </w:p>
          <w:p>
            <w:pPr>
              <w:pStyle w:val="TableParagraph"/>
              <w:spacing w:before="81"/>
              <w:ind w:left="105"/>
              <w:rPr>
                <w:rFonts w:ascii="宋体" w:eastAsia="宋体" w:hint="eastAsia"/>
                <w:sz w:val="18"/>
              </w:rPr>
            </w:pPr>
            <w:r>
              <w:rPr>
                <w:rFonts w:ascii="宋体" w:eastAsia="宋体" w:hint="eastAsia"/>
                <w:sz w:val="18"/>
              </w:rPr>
              <w:t>人增持公司境外股份计划延迟的公告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Pr>
                <w:rFonts w:ascii="宋体" w:eastAsia="宋体" w:hint="eastAsia"/>
                <w:sz w:val="18"/>
              </w:rPr>
            </w:pPr>
            <w:r>
              <w:rPr>
                <w:rFonts w:ascii="宋体" w:eastAsia="宋体" w:hint="eastAsia"/>
                <w:spacing w:val="-8"/>
                <w:sz w:val="18"/>
              </w:rPr>
              <w:t>中国证券报 </w:t>
            </w:r>
            <w:r>
              <w:rPr>
                <w:sz w:val="18"/>
              </w:rPr>
              <w:t>B071 </w:t>
            </w:r>
            <w:r>
              <w:rPr>
                <w:rFonts w:ascii="宋体" w:eastAsia="宋体" w:hint="eastAsia"/>
                <w:spacing w:val="-7"/>
                <w:sz w:val="18"/>
              </w:rPr>
              <w:t>版、上海证券报 </w:t>
            </w:r>
            <w:r>
              <w:rPr>
                <w:sz w:val="18"/>
              </w:rPr>
              <w:t>81 </w:t>
            </w:r>
            <w:r>
              <w:rPr>
                <w:rFonts w:ascii="宋体" w:eastAsia="宋体" w:hint="eastAsia"/>
                <w:spacing w:val="-8"/>
                <w:sz w:val="18"/>
              </w:rPr>
              <w:t>版、</w:t>
            </w:r>
          </w:p>
          <w:p>
            <w:pPr>
              <w:pStyle w:val="TableParagraph"/>
              <w:spacing w:before="81"/>
              <w:ind w:left="115"/>
              <w:rPr>
                <w:rFonts w:ascii="宋体" w:eastAsia="宋体" w:hint="eastAsia"/>
                <w:sz w:val="18"/>
              </w:rPr>
            </w:pPr>
            <w:r>
              <w:rPr>
                <w:rFonts w:ascii="宋体" w:eastAsia="宋体" w:hint="eastAsia"/>
                <w:sz w:val="18"/>
              </w:rPr>
              <w:t>证券时报 </w:t>
            </w:r>
            <w:r>
              <w:rPr>
                <w:sz w:val="18"/>
              </w:rPr>
              <w:t>B3 </w:t>
            </w:r>
            <w:r>
              <w:rPr>
                <w:rFonts w:ascii="宋体" w:eastAsia="宋体" w:hint="eastAsia"/>
                <w:sz w:val="18"/>
              </w:rPr>
              <w:t>版、证券日报 </w:t>
            </w:r>
            <w:r>
              <w:rPr>
                <w:sz w:val="18"/>
              </w:rPr>
              <w:t>C26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38"/>
              <w:ind w:left="94" w:right="55"/>
              <w:jc w:val="center"/>
              <w:rPr>
                <w:sz w:val="18"/>
              </w:rPr>
            </w:pPr>
            <w:r>
              <w:rPr>
                <w:sz w:val="18"/>
              </w:rPr>
              <w:t>2020 </w:t>
            </w:r>
            <w:r>
              <w:rPr>
                <w:rFonts w:ascii="宋体" w:eastAsia="宋体" w:hint="eastAsia"/>
                <w:sz w:val="18"/>
              </w:rPr>
              <w:t>年 </w:t>
            </w:r>
            <w:r>
              <w:rPr>
                <w:sz w:val="18"/>
              </w:rPr>
              <w:t>03 </w:t>
            </w:r>
            <w:r>
              <w:rPr>
                <w:rFonts w:ascii="宋体" w:eastAsia="宋体" w:hint="eastAsia"/>
                <w:sz w:val="18"/>
              </w:rPr>
              <w:t>月 </w:t>
            </w:r>
            <w:r>
              <w:rPr>
                <w:sz w:val="18"/>
              </w:rPr>
              <w:t>14</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623" w:hRule="atLeast"/>
        </w:trPr>
        <w:tc>
          <w:tcPr>
            <w:tcW w:w="4253" w:type="dxa"/>
            <w:tcBorders>
              <w:top w:val="single" w:sz="4" w:space="0" w:color="000000"/>
              <w:bottom w:val="single" w:sz="4" w:space="0" w:color="000000"/>
              <w:right w:val="single" w:sz="4" w:space="0" w:color="000000"/>
            </w:tcBorders>
          </w:tcPr>
          <w:p>
            <w:pPr>
              <w:pStyle w:val="TableParagraph"/>
              <w:spacing w:before="38"/>
              <w:ind w:left="105"/>
              <w:rPr>
                <w:rFonts w:ascii="宋体" w:eastAsia="宋体" w:hint="eastAsia"/>
                <w:sz w:val="18"/>
              </w:rPr>
            </w:pPr>
            <w:r>
              <w:rPr>
                <w:rFonts w:ascii="宋体" w:eastAsia="宋体" w:hint="eastAsia"/>
                <w:sz w:val="18"/>
              </w:rPr>
              <w:t>海尔智家股份有限公司关于潜在私有化海尔电器集</w:t>
            </w:r>
          </w:p>
          <w:p>
            <w:pPr>
              <w:pStyle w:val="TableParagraph"/>
              <w:spacing w:before="81"/>
              <w:ind w:left="105"/>
              <w:rPr>
                <w:rFonts w:ascii="宋体" w:eastAsia="宋体" w:hint="eastAsia"/>
                <w:sz w:val="18"/>
              </w:rPr>
            </w:pPr>
            <w:r>
              <w:rPr>
                <w:rFonts w:ascii="宋体" w:eastAsia="宋体" w:hint="eastAsia"/>
                <w:sz w:val="18"/>
              </w:rPr>
              <w:t>团有限公司进程更新的提示性公告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Pr>
                <w:rFonts w:ascii="宋体" w:eastAsia="宋体" w:hint="eastAsia"/>
                <w:sz w:val="18"/>
              </w:rPr>
            </w:pPr>
            <w:r>
              <w:rPr>
                <w:rFonts w:ascii="宋体" w:eastAsia="宋体" w:hint="eastAsia"/>
                <w:spacing w:val="-8"/>
                <w:sz w:val="18"/>
              </w:rPr>
              <w:t>中国证券报 </w:t>
            </w:r>
            <w:r>
              <w:rPr>
                <w:sz w:val="18"/>
              </w:rPr>
              <w:t>B001 </w:t>
            </w:r>
            <w:r>
              <w:rPr>
                <w:rFonts w:ascii="宋体" w:eastAsia="宋体" w:hint="eastAsia"/>
                <w:spacing w:val="-7"/>
                <w:sz w:val="18"/>
              </w:rPr>
              <w:t>版、上海证券报 </w:t>
            </w:r>
            <w:r>
              <w:rPr>
                <w:sz w:val="18"/>
              </w:rPr>
              <w:t>89 </w:t>
            </w:r>
            <w:r>
              <w:rPr>
                <w:rFonts w:ascii="宋体" w:eastAsia="宋体" w:hint="eastAsia"/>
                <w:spacing w:val="-8"/>
                <w:sz w:val="18"/>
              </w:rPr>
              <w:t>版、</w:t>
            </w:r>
          </w:p>
          <w:p>
            <w:pPr>
              <w:pStyle w:val="TableParagraph"/>
              <w:spacing w:before="81"/>
              <w:ind w:left="115"/>
              <w:rPr>
                <w:rFonts w:ascii="宋体" w:eastAsia="宋体" w:hint="eastAsia"/>
                <w:sz w:val="18"/>
              </w:rPr>
            </w:pPr>
            <w:r>
              <w:rPr>
                <w:rFonts w:ascii="宋体" w:eastAsia="宋体" w:hint="eastAsia"/>
                <w:sz w:val="18"/>
              </w:rPr>
              <w:t>证券时报 </w:t>
            </w:r>
            <w:r>
              <w:rPr>
                <w:sz w:val="18"/>
              </w:rPr>
              <w:t>B72 </w:t>
            </w:r>
            <w:r>
              <w:rPr>
                <w:rFonts w:ascii="宋体" w:eastAsia="宋体" w:hint="eastAsia"/>
                <w:sz w:val="18"/>
              </w:rPr>
              <w:t>版、证券日报 </w:t>
            </w:r>
            <w:r>
              <w:rPr>
                <w:sz w:val="18"/>
              </w:rPr>
              <w:t>C80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38"/>
              <w:ind w:left="94" w:right="55"/>
              <w:jc w:val="center"/>
              <w:rPr>
                <w:sz w:val="18"/>
              </w:rPr>
            </w:pPr>
            <w:r>
              <w:rPr>
                <w:sz w:val="18"/>
              </w:rPr>
              <w:t>2020 </w:t>
            </w:r>
            <w:r>
              <w:rPr>
                <w:rFonts w:ascii="宋体" w:eastAsia="宋体" w:hint="eastAsia"/>
                <w:sz w:val="18"/>
              </w:rPr>
              <w:t>年 </w:t>
            </w:r>
            <w:r>
              <w:rPr>
                <w:sz w:val="18"/>
              </w:rPr>
              <w:t>03 </w:t>
            </w:r>
            <w:r>
              <w:rPr>
                <w:rFonts w:ascii="宋体" w:eastAsia="宋体" w:hint="eastAsia"/>
                <w:sz w:val="18"/>
              </w:rPr>
              <w:t>月 </w:t>
            </w:r>
            <w:r>
              <w:rPr>
                <w:sz w:val="18"/>
              </w:rPr>
              <w:t>17</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624" w:hRule="atLeast"/>
        </w:trPr>
        <w:tc>
          <w:tcPr>
            <w:tcW w:w="4253" w:type="dxa"/>
            <w:tcBorders>
              <w:top w:val="single" w:sz="4" w:space="0" w:color="000000"/>
              <w:bottom w:val="single" w:sz="4" w:space="0" w:color="000000"/>
              <w:right w:val="single" w:sz="4" w:space="0" w:color="000000"/>
            </w:tcBorders>
          </w:tcPr>
          <w:p>
            <w:pPr>
              <w:pStyle w:val="TableParagraph"/>
              <w:spacing w:before="38"/>
              <w:ind w:left="105"/>
              <w:rPr>
                <w:rFonts w:ascii="宋体" w:eastAsia="宋体" w:hint="eastAsia"/>
                <w:sz w:val="18"/>
              </w:rPr>
            </w:pPr>
            <w:r>
              <w:rPr>
                <w:rFonts w:ascii="宋体" w:eastAsia="宋体" w:hint="eastAsia"/>
                <w:sz w:val="18"/>
              </w:rPr>
              <w:t>海尔智家股份有限公司关于控股子公司海尔电器集</w:t>
            </w:r>
          </w:p>
          <w:p>
            <w:pPr>
              <w:pStyle w:val="TableParagraph"/>
              <w:spacing w:before="82"/>
              <w:ind w:left="105"/>
              <w:rPr>
                <w:rFonts w:ascii="宋体" w:eastAsia="宋体" w:hint="eastAsia"/>
                <w:sz w:val="18"/>
              </w:rPr>
            </w:pPr>
            <w:r>
              <w:rPr>
                <w:rFonts w:ascii="宋体" w:eastAsia="宋体" w:hint="eastAsia"/>
                <w:sz w:val="18"/>
              </w:rPr>
              <w:t>团有限公司发布 </w:t>
            </w:r>
            <w:r>
              <w:rPr>
                <w:sz w:val="18"/>
              </w:rPr>
              <w:t>2019 </w:t>
            </w:r>
            <w:r>
              <w:rPr>
                <w:rFonts w:ascii="宋体" w:eastAsia="宋体" w:hint="eastAsia"/>
                <w:sz w:val="18"/>
              </w:rPr>
              <w:t>年年度业绩的提示性公告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ight="-15"/>
              <w:rPr>
                <w:rFonts w:ascii="宋体" w:eastAsia="宋体" w:hint="eastAsia"/>
                <w:sz w:val="18"/>
              </w:rPr>
            </w:pPr>
            <w:r>
              <w:rPr>
                <w:rFonts w:ascii="宋体" w:eastAsia="宋体" w:hint="eastAsia"/>
                <w:spacing w:val="-8"/>
                <w:sz w:val="18"/>
              </w:rPr>
              <w:t>中国证券报 </w:t>
            </w:r>
            <w:r>
              <w:rPr>
                <w:sz w:val="18"/>
              </w:rPr>
              <w:t>B008</w:t>
            </w:r>
            <w:r>
              <w:rPr>
                <w:spacing w:val="1"/>
                <w:sz w:val="18"/>
              </w:rPr>
              <w:t> </w:t>
            </w:r>
            <w:r>
              <w:rPr>
                <w:rFonts w:ascii="宋体" w:eastAsia="宋体" w:hint="eastAsia"/>
                <w:spacing w:val="-18"/>
                <w:sz w:val="18"/>
              </w:rPr>
              <w:t>版、上海证券报 </w:t>
            </w:r>
            <w:r>
              <w:rPr>
                <w:sz w:val="18"/>
              </w:rPr>
              <w:t>108</w:t>
            </w:r>
            <w:r>
              <w:rPr>
                <w:spacing w:val="1"/>
                <w:sz w:val="18"/>
              </w:rPr>
              <w:t> </w:t>
            </w:r>
            <w:r>
              <w:rPr>
                <w:rFonts w:ascii="宋体" w:eastAsia="宋体" w:hint="eastAsia"/>
                <w:sz w:val="18"/>
              </w:rPr>
              <w:t>版、</w:t>
            </w:r>
          </w:p>
          <w:p>
            <w:pPr>
              <w:pStyle w:val="TableParagraph"/>
              <w:spacing w:before="82"/>
              <w:ind w:left="115"/>
              <w:rPr>
                <w:rFonts w:ascii="宋体" w:eastAsia="宋体" w:hint="eastAsia"/>
                <w:sz w:val="18"/>
              </w:rPr>
            </w:pPr>
            <w:r>
              <w:rPr>
                <w:rFonts w:ascii="宋体" w:eastAsia="宋体" w:hint="eastAsia"/>
                <w:sz w:val="18"/>
              </w:rPr>
              <w:t>证券时报 </w:t>
            </w:r>
            <w:r>
              <w:rPr>
                <w:sz w:val="18"/>
              </w:rPr>
              <w:t>B37 </w:t>
            </w:r>
            <w:r>
              <w:rPr>
                <w:rFonts w:ascii="宋体" w:eastAsia="宋体" w:hint="eastAsia"/>
                <w:sz w:val="18"/>
              </w:rPr>
              <w:t>版、证券日报 </w:t>
            </w:r>
            <w:r>
              <w:rPr>
                <w:sz w:val="18"/>
              </w:rPr>
              <w:t>C87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38"/>
              <w:ind w:left="94" w:right="55"/>
              <w:jc w:val="center"/>
              <w:rPr>
                <w:sz w:val="18"/>
              </w:rPr>
            </w:pPr>
            <w:r>
              <w:rPr>
                <w:sz w:val="18"/>
              </w:rPr>
              <w:t>2020 </w:t>
            </w:r>
            <w:r>
              <w:rPr>
                <w:rFonts w:ascii="宋体" w:eastAsia="宋体" w:hint="eastAsia"/>
                <w:sz w:val="18"/>
              </w:rPr>
              <w:t>年 </w:t>
            </w:r>
            <w:r>
              <w:rPr>
                <w:sz w:val="18"/>
              </w:rPr>
              <w:t>03 </w:t>
            </w:r>
            <w:r>
              <w:rPr>
                <w:rFonts w:ascii="宋体" w:eastAsia="宋体" w:hint="eastAsia"/>
                <w:sz w:val="18"/>
              </w:rPr>
              <w:t>月 </w:t>
            </w:r>
            <w:r>
              <w:rPr>
                <w:sz w:val="18"/>
              </w:rPr>
              <w:t>27</w:t>
            </w:r>
          </w:p>
          <w:p>
            <w:pPr>
              <w:pStyle w:val="TableParagraph"/>
              <w:spacing w:before="82"/>
              <w:ind w:left="39"/>
              <w:jc w:val="center"/>
              <w:rPr>
                <w:rFonts w:ascii="宋体" w:eastAsia="宋体" w:hint="eastAsia"/>
                <w:sz w:val="18"/>
              </w:rPr>
            </w:pPr>
            <w:r>
              <w:rPr>
                <w:rFonts w:ascii="宋体" w:eastAsia="宋体" w:hint="eastAsia"/>
                <w:sz w:val="18"/>
              </w:rPr>
              <w:t>日</w:t>
            </w:r>
          </w:p>
        </w:tc>
      </w:tr>
      <w:tr>
        <w:trPr>
          <w:trHeight w:val="626" w:hRule="atLeast"/>
        </w:trPr>
        <w:tc>
          <w:tcPr>
            <w:tcW w:w="4253" w:type="dxa"/>
            <w:tcBorders>
              <w:top w:val="single" w:sz="4" w:space="0" w:color="000000"/>
              <w:bottom w:val="single" w:sz="4" w:space="0" w:color="000000"/>
              <w:right w:val="single" w:sz="4" w:space="0" w:color="000000"/>
            </w:tcBorders>
          </w:tcPr>
          <w:p>
            <w:pPr>
              <w:pStyle w:val="TableParagraph"/>
              <w:spacing w:before="40"/>
              <w:ind w:left="105"/>
              <w:rPr>
                <w:rFonts w:ascii="宋体" w:eastAsia="宋体" w:hint="eastAsia"/>
                <w:sz w:val="18"/>
              </w:rPr>
            </w:pPr>
            <w:r>
              <w:rPr>
                <w:rFonts w:ascii="宋体" w:eastAsia="宋体" w:hint="eastAsia"/>
                <w:sz w:val="18"/>
              </w:rPr>
              <w:t>海尔智家股份有限公司 </w:t>
            </w:r>
            <w:r>
              <w:rPr>
                <w:sz w:val="18"/>
              </w:rPr>
              <w:t>2020 </w:t>
            </w:r>
            <w:r>
              <w:rPr>
                <w:rFonts w:ascii="宋体" w:eastAsia="宋体" w:hint="eastAsia"/>
                <w:sz w:val="18"/>
              </w:rPr>
              <w:t>年第一次临时股东大会</w:t>
            </w:r>
          </w:p>
          <w:p>
            <w:pPr>
              <w:pStyle w:val="TableParagraph"/>
              <w:spacing w:before="82"/>
              <w:ind w:left="105"/>
              <w:rPr>
                <w:rFonts w:ascii="宋体" w:eastAsia="宋体" w:hint="eastAsia"/>
                <w:sz w:val="18"/>
              </w:rPr>
            </w:pPr>
            <w:r>
              <w:rPr>
                <w:rFonts w:ascii="宋体" w:eastAsia="宋体" w:hint="eastAsia"/>
                <w:sz w:val="18"/>
              </w:rPr>
              <w:t>决议公告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40"/>
              <w:ind w:left="115"/>
              <w:rPr>
                <w:rFonts w:ascii="宋体" w:eastAsia="宋体" w:hint="eastAsia"/>
                <w:sz w:val="18"/>
              </w:rPr>
            </w:pPr>
            <w:r>
              <w:rPr>
                <w:rFonts w:ascii="宋体" w:eastAsia="宋体" w:hint="eastAsia"/>
                <w:spacing w:val="-8"/>
                <w:sz w:val="18"/>
              </w:rPr>
              <w:t>中国证券报 </w:t>
            </w:r>
            <w:r>
              <w:rPr>
                <w:sz w:val="18"/>
              </w:rPr>
              <w:t>B008 </w:t>
            </w:r>
            <w:r>
              <w:rPr>
                <w:rFonts w:ascii="宋体" w:eastAsia="宋体" w:hint="eastAsia"/>
                <w:spacing w:val="-7"/>
                <w:sz w:val="18"/>
              </w:rPr>
              <w:t>版、上海证券报 </w:t>
            </w:r>
            <w:r>
              <w:rPr>
                <w:sz w:val="18"/>
              </w:rPr>
              <w:t>73 </w:t>
            </w:r>
            <w:r>
              <w:rPr>
                <w:rFonts w:ascii="宋体" w:eastAsia="宋体" w:hint="eastAsia"/>
                <w:spacing w:val="-8"/>
                <w:sz w:val="18"/>
              </w:rPr>
              <w:t>版、</w:t>
            </w:r>
          </w:p>
          <w:p>
            <w:pPr>
              <w:pStyle w:val="TableParagraph"/>
              <w:spacing w:before="82"/>
              <w:ind w:left="115"/>
              <w:rPr>
                <w:rFonts w:ascii="宋体" w:eastAsia="宋体" w:hint="eastAsia"/>
                <w:sz w:val="18"/>
              </w:rPr>
            </w:pPr>
            <w:r>
              <w:rPr>
                <w:rFonts w:ascii="宋体" w:eastAsia="宋体" w:hint="eastAsia"/>
                <w:sz w:val="18"/>
              </w:rPr>
              <w:t>证券时报 </w:t>
            </w:r>
            <w:r>
              <w:rPr>
                <w:sz w:val="18"/>
              </w:rPr>
              <w:t>B75 </w:t>
            </w:r>
            <w:r>
              <w:rPr>
                <w:rFonts w:ascii="宋体" w:eastAsia="宋体" w:hint="eastAsia"/>
                <w:sz w:val="18"/>
              </w:rPr>
              <w:t>版、证券日报 </w:t>
            </w:r>
            <w:r>
              <w:rPr>
                <w:sz w:val="18"/>
              </w:rPr>
              <w:t>C39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40"/>
              <w:ind w:left="94" w:right="55"/>
              <w:jc w:val="center"/>
              <w:rPr>
                <w:sz w:val="18"/>
              </w:rPr>
            </w:pPr>
            <w:r>
              <w:rPr>
                <w:sz w:val="18"/>
              </w:rPr>
              <w:t>2020 </w:t>
            </w:r>
            <w:r>
              <w:rPr>
                <w:rFonts w:ascii="宋体" w:eastAsia="宋体" w:hint="eastAsia"/>
                <w:sz w:val="18"/>
              </w:rPr>
              <w:t>年 </w:t>
            </w:r>
            <w:r>
              <w:rPr>
                <w:sz w:val="18"/>
              </w:rPr>
              <w:t>04 </w:t>
            </w:r>
            <w:r>
              <w:rPr>
                <w:rFonts w:ascii="宋体" w:eastAsia="宋体" w:hint="eastAsia"/>
                <w:sz w:val="18"/>
              </w:rPr>
              <w:t>月 </w:t>
            </w:r>
            <w:r>
              <w:rPr>
                <w:sz w:val="18"/>
              </w:rPr>
              <w:t>01</w:t>
            </w:r>
          </w:p>
          <w:p>
            <w:pPr>
              <w:pStyle w:val="TableParagraph"/>
              <w:spacing w:before="82"/>
              <w:ind w:left="39"/>
              <w:jc w:val="center"/>
              <w:rPr>
                <w:rFonts w:ascii="宋体" w:eastAsia="宋体" w:hint="eastAsia"/>
                <w:sz w:val="18"/>
              </w:rPr>
            </w:pPr>
            <w:r>
              <w:rPr>
                <w:rFonts w:ascii="宋体" w:eastAsia="宋体" w:hint="eastAsia"/>
                <w:sz w:val="18"/>
              </w:rPr>
              <w:t>日</w:t>
            </w:r>
          </w:p>
        </w:tc>
      </w:tr>
      <w:tr>
        <w:trPr>
          <w:trHeight w:val="623" w:hRule="atLeast"/>
        </w:trPr>
        <w:tc>
          <w:tcPr>
            <w:tcW w:w="4253" w:type="dxa"/>
            <w:tcBorders>
              <w:top w:val="single" w:sz="4" w:space="0" w:color="000000"/>
              <w:bottom w:val="single" w:sz="4" w:space="0" w:color="000000"/>
              <w:right w:val="single" w:sz="4" w:space="0" w:color="000000"/>
            </w:tcBorders>
          </w:tcPr>
          <w:p>
            <w:pPr>
              <w:pStyle w:val="TableParagraph"/>
              <w:spacing w:before="38"/>
              <w:ind w:left="105"/>
              <w:rPr>
                <w:rFonts w:ascii="宋体" w:eastAsia="宋体" w:hint="eastAsia"/>
                <w:sz w:val="18"/>
              </w:rPr>
            </w:pPr>
            <w:r>
              <w:rPr>
                <w:rFonts w:ascii="宋体" w:eastAsia="宋体" w:hint="eastAsia"/>
                <w:sz w:val="18"/>
              </w:rPr>
              <w:t>海尔智家股份有限公司关于潜在私有化海尔电器集</w:t>
            </w:r>
          </w:p>
          <w:p>
            <w:pPr>
              <w:pStyle w:val="TableParagraph"/>
              <w:spacing w:before="81"/>
              <w:ind w:left="105"/>
              <w:rPr>
                <w:rFonts w:ascii="宋体" w:eastAsia="宋体" w:hint="eastAsia"/>
                <w:sz w:val="18"/>
              </w:rPr>
            </w:pPr>
            <w:r>
              <w:rPr>
                <w:rFonts w:ascii="宋体" w:eastAsia="宋体" w:hint="eastAsia"/>
                <w:sz w:val="18"/>
              </w:rPr>
              <w:t>团有限公司进程更新的提示性公告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ight="-15"/>
              <w:rPr>
                <w:rFonts w:ascii="宋体" w:eastAsia="宋体" w:hint="eastAsia"/>
                <w:sz w:val="18"/>
              </w:rPr>
            </w:pPr>
            <w:r>
              <w:rPr>
                <w:rFonts w:ascii="宋体" w:eastAsia="宋体" w:hint="eastAsia"/>
                <w:spacing w:val="-8"/>
                <w:sz w:val="18"/>
              </w:rPr>
              <w:t>中国证券报 </w:t>
            </w:r>
            <w:r>
              <w:rPr>
                <w:sz w:val="18"/>
              </w:rPr>
              <w:t>B029</w:t>
            </w:r>
            <w:r>
              <w:rPr>
                <w:spacing w:val="1"/>
                <w:sz w:val="18"/>
              </w:rPr>
              <w:t> </w:t>
            </w:r>
            <w:r>
              <w:rPr>
                <w:rFonts w:ascii="宋体" w:eastAsia="宋体" w:hint="eastAsia"/>
                <w:spacing w:val="-18"/>
                <w:sz w:val="18"/>
              </w:rPr>
              <w:t>版、上海证券报 </w:t>
            </w:r>
            <w:r>
              <w:rPr>
                <w:sz w:val="18"/>
              </w:rPr>
              <w:t>156</w:t>
            </w:r>
            <w:r>
              <w:rPr>
                <w:spacing w:val="1"/>
                <w:sz w:val="18"/>
              </w:rPr>
              <w:t> </w:t>
            </w:r>
            <w:r>
              <w:rPr>
                <w:rFonts w:ascii="宋体" w:eastAsia="宋体" w:hint="eastAsia"/>
                <w:sz w:val="18"/>
              </w:rPr>
              <w:t>版、</w:t>
            </w:r>
          </w:p>
          <w:p>
            <w:pPr>
              <w:pStyle w:val="TableParagraph"/>
              <w:spacing w:before="81"/>
              <w:ind w:left="115"/>
              <w:rPr>
                <w:rFonts w:ascii="宋体" w:eastAsia="宋体" w:hint="eastAsia"/>
                <w:sz w:val="18"/>
              </w:rPr>
            </w:pPr>
            <w:r>
              <w:rPr>
                <w:rFonts w:ascii="宋体" w:eastAsia="宋体" w:hint="eastAsia"/>
                <w:sz w:val="18"/>
              </w:rPr>
              <w:t>证券时报 </w:t>
            </w:r>
            <w:r>
              <w:rPr>
                <w:sz w:val="18"/>
              </w:rPr>
              <w:t>B82 </w:t>
            </w:r>
            <w:r>
              <w:rPr>
                <w:rFonts w:ascii="宋体" w:eastAsia="宋体" w:hint="eastAsia"/>
                <w:sz w:val="18"/>
              </w:rPr>
              <w:t>版、证券日报 </w:t>
            </w:r>
            <w:r>
              <w:rPr>
                <w:sz w:val="18"/>
              </w:rPr>
              <w:t>C106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38"/>
              <w:ind w:left="94" w:right="55"/>
              <w:jc w:val="center"/>
              <w:rPr>
                <w:sz w:val="18"/>
              </w:rPr>
            </w:pPr>
            <w:r>
              <w:rPr>
                <w:sz w:val="18"/>
              </w:rPr>
              <w:t>2020 </w:t>
            </w:r>
            <w:r>
              <w:rPr>
                <w:rFonts w:ascii="宋体" w:eastAsia="宋体" w:hint="eastAsia"/>
                <w:sz w:val="18"/>
              </w:rPr>
              <w:t>年 </w:t>
            </w:r>
            <w:r>
              <w:rPr>
                <w:sz w:val="18"/>
              </w:rPr>
              <w:t>04 </w:t>
            </w:r>
            <w:r>
              <w:rPr>
                <w:rFonts w:ascii="宋体" w:eastAsia="宋体" w:hint="eastAsia"/>
                <w:sz w:val="18"/>
              </w:rPr>
              <w:t>月 </w:t>
            </w:r>
            <w:r>
              <w:rPr>
                <w:sz w:val="18"/>
              </w:rPr>
              <w:t>17</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935" w:hRule="atLeast"/>
        </w:trPr>
        <w:tc>
          <w:tcPr>
            <w:tcW w:w="4253" w:type="dxa"/>
            <w:tcBorders>
              <w:top w:val="single" w:sz="4" w:space="0" w:color="000000"/>
              <w:bottom w:val="single" w:sz="4" w:space="0" w:color="000000"/>
              <w:right w:val="single" w:sz="4" w:space="0" w:color="000000"/>
            </w:tcBorders>
          </w:tcPr>
          <w:p>
            <w:pPr>
              <w:pStyle w:val="TableParagraph"/>
              <w:spacing w:before="4"/>
              <w:rPr>
                <w:rFonts w:ascii="宋体"/>
                <w:sz w:val="27"/>
              </w:rPr>
            </w:pPr>
          </w:p>
          <w:p>
            <w:pPr>
              <w:pStyle w:val="TableParagraph"/>
              <w:ind w:left="105"/>
              <w:rPr>
                <w:rFonts w:ascii="宋体" w:eastAsia="宋体" w:hint="eastAsia"/>
                <w:sz w:val="18"/>
              </w:rPr>
            </w:pPr>
            <w:r>
              <w:rPr>
                <w:rFonts w:ascii="宋体" w:eastAsia="宋体" w:hint="eastAsia"/>
                <w:sz w:val="18"/>
              </w:rPr>
              <w:t>海尔智家股份有限公司 </w:t>
            </w:r>
            <w:r>
              <w:rPr>
                <w:sz w:val="18"/>
              </w:rPr>
              <w:t>2019 </w:t>
            </w:r>
            <w:r>
              <w:rPr>
                <w:rFonts w:ascii="宋体" w:eastAsia="宋体" w:hint="eastAsia"/>
                <w:sz w:val="18"/>
              </w:rPr>
              <w:t>年年度报告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Pr>
                <w:sz w:val="18"/>
              </w:rPr>
            </w:pPr>
            <w:r>
              <w:rPr>
                <w:rFonts w:ascii="宋体" w:eastAsia="宋体" w:hint="eastAsia"/>
                <w:spacing w:val="8"/>
                <w:sz w:val="18"/>
              </w:rPr>
              <w:t>中国证券报</w:t>
            </w:r>
            <w:r>
              <w:rPr>
                <w:sz w:val="18"/>
              </w:rPr>
              <w:t>B278</w:t>
            </w:r>
            <w:r>
              <w:rPr>
                <w:spacing w:val="-3"/>
                <w:sz w:val="18"/>
              </w:rPr>
              <w:t> </w:t>
            </w:r>
            <w:r>
              <w:rPr>
                <w:rFonts w:ascii="宋体" w:eastAsia="宋体" w:hint="eastAsia"/>
                <w:spacing w:val="-20"/>
                <w:sz w:val="18"/>
              </w:rPr>
              <w:t>版、上海证券报 </w:t>
            </w:r>
            <w:r>
              <w:rPr>
                <w:sz w:val="18"/>
              </w:rPr>
              <w:t>121-123</w:t>
            </w:r>
          </w:p>
          <w:p>
            <w:pPr>
              <w:pStyle w:val="TableParagraph"/>
              <w:spacing w:before="81"/>
              <w:ind w:left="115"/>
              <w:rPr>
                <w:rFonts w:ascii="宋体" w:eastAsia="宋体" w:hint="eastAsia"/>
                <w:sz w:val="18"/>
              </w:rPr>
            </w:pPr>
            <w:r>
              <w:rPr>
                <w:rFonts w:ascii="宋体" w:eastAsia="宋体" w:hint="eastAsia"/>
                <w:spacing w:val="7"/>
                <w:sz w:val="18"/>
              </w:rPr>
              <w:t>版、证券时报 </w:t>
            </w:r>
            <w:r>
              <w:rPr>
                <w:sz w:val="18"/>
              </w:rPr>
              <w:t>B385-388</w:t>
            </w:r>
            <w:r>
              <w:rPr>
                <w:spacing w:val="6"/>
                <w:sz w:val="18"/>
              </w:rPr>
              <w:t>  </w:t>
            </w:r>
            <w:r>
              <w:rPr>
                <w:rFonts w:ascii="宋体" w:eastAsia="宋体" w:hint="eastAsia"/>
                <w:spacing w:val="6"/>
                <w:sz w:val="18"/>
              </w:rPr>
              <w:t>版、证券日报</w:t>
            </w:r>
          </w:p>
          <w:p>
            <w:pPr>
              <w:pStyle w:val="TableParagraph"/>
              <w:spacing w:before="82"/>
              <w:ind w:left="115"/>
              <w:rPr>
                <w:rFonts w:ascii="宋体" w:eastAsia="宋体" w:hint="eastAsia"/>
                <w:sz w:val="18"/>
              </w:rPr>
            </w:pPr>
            <w:r>
              <w:rPr>
                <w:sz w:val="18"/>
              </w:rPr>
              <w:t>C469-474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2"/>
              <w:rPr>
                <w:rFonts w:ascii="宋体"/>
                <w:sz w:val="15"/>
              </w:rPr>
            </w:pPr>
          </w:p>
          <w:p>
            <w:pPr>
              <w:pStyle w:val="TableParagraph"/>
              <w:ind w:left="94" w:right="55"/>
              <w:jc w:val="center"/>
              <w:rPr>
                <w:sz w:val="18"/>
              </w:rPr>
            </w:pPr>
            <w:r>
              <w:rPr>
                <w:sz w:val="18"/>
              </w:rPr>
              <w:t>2020 </w:t>
            </w:r>
            <w:r>
              <w:rPr>
                <w:rFonts w:ascii="宋体" w:eastAsia="宋体" w:hint="eastAsia"/>
                <w:sz w:val="18"/>
              </w:rPr>
              <w:t>年 </w:t>
            </w:r>
            <w:r>
              <w:rPr>
                <w:sz w:val="18"/>
              </w:rPr>
              <w:t>04 </w:t>
            </w:r>
            <w:r>
              <w:rPr>
                <w:rFonts w:ascii="宋体" w:eastAsia="宋体" w:hint="eastAsia"/>
                <w:sz w:val="18"/>
              </w:rPr>
              <w:t>月 </w:t>
            </w:r>
            <w:r>
              <w:rPr>
                <w:sz w:val="18"/>
              </w:rPr>
              <w:t>30</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311" w:hRule="atLeast"/>
        </w:trPr>
        <w:tc>
          <w:tcPr>
            <w:tcW w:w="4253" w:type="dxa"/>
            <w:tcBorders>
              <w:top w:val="single" w:sz="4" w:space="0" w:color="000000"/>
              <w:right w:val="single" w:sz="4" w:space="0" w:color="000000"/>
            </w:tcBorders>
          </w:tcPr>
          <w:p>
            <w:pPr>
              <w:pStyle w:val="TableParagraph"/>
              <w:spacing w:before="38"/>
              <w:ind w:left="105"/>
              <w:rPr>
                <w:rFonts w:ascii="宋体" w:eastAsia="宋体" w:hint="eastAsia"/>
                <w:sz w:val="18"/>
              </w:rPr>
            </w:pPr>
            <w:r>
              <w:rPr>
                <w:rFonts w:ascii="宋体" w:eastAsia="宋体" w:hint="eastAsia"/>
                <w:sz w:val="18"/>
              </w:rPr>
              <w:t>海尔智家股份有限公司 </w:t>
            </w:r>
            <w:r>
              <w:rPr>
                <w:sz w:val="18"/>
              </w:rPr>
              <w:t>2020 </w:t>
            </w:r>
            <w:r>
              <w:rPr>
                <w:rFonts w:ascii="宋体" w:eastAsia="宋体" w:hint="eastAsia"/>
                <w:sz w:val="18"/>
              </w:rPr>
              <w:t>年一季度报告</w:t>
            </w:r>
            <w:r>
              <w:rPr>
                <w:sz w:val="18"/>
              </w:rPr>
              <w:t>_</w:t>
            </w:r>
            <w:r>
              <w:rPr>
                <w:rFonts w:ascii="宋体" w:eastAsia="宋体" w:hint="eastAsia"/>
                <w:sz w:val="18"/>
              </w:rPr>
              <w:t>正文</w:t>
            </w:r>
          </w:p>
        </w:tc>
        <w:tc>
          <w:tcPr>
            <w:tcW w:w="3401" w:type="dxa"/>
            <w:tcBorders>
              <w:top w:val="single" w:sz="4" w:space="0" w:color="000000"/>
              <w:left w:val="single" w:sz="4" w:space="0" w:color="000000"/>
              <w:right w:val="single" w:sz="4" w:space="0" w:color="000000"/>
            </w:tcBorders>
          </w:tcPr>
          <w:p>
            <w:pPr>
              <w:pStyle w:val="TableParagraph"/>
              <w:spacing w:before="38"/>
              <w:ind w:left="47" w:right="18"/>
              <w:jc w:val="center"/>
              <w:rPr>
                <w:sz w:val="18"/>
              </w:rPr>
            </w:pPr>
            <w:r>
              <w:rPr>
                <w:rFonts w:ascii="宋体" w:eastAsia="宋体" w:hint="eastAsia"/>
                <w:sz w:val="18"/>
              </w:rPr>
              <w:t>中国证券报</w:t>
            </w:r>
            <w:r>
              <w:rPr>
                <w:sz w:val="18"/>
              </w:rPr>
              <w:t>B278 </w:t>
            </w:r>
            <w:r>
              <w:rPr>
                <w:rFonts w:ascii="宋体" w:eastAsia="宋体" w:hint="eastAsia"/>
                <w:sz w:val="18"/>
              </w:rPr>
              <w:t>版、上海证券报 </w:t>
            </w:r>
            <w:r>
              <w:rPr>
                <w:sz w:val="18"/>
              </w:rPr>
              <w:t>121-123</w:t>
            </w:r>
          </w:p>
        </w:tc>
        <w:tc>
          <w:tcPr>
            <w:tcW w:w="1559" w:type="dxa"/>
            <w:tcBorders>
              <w:top w:val="single" w:sz="4" w:space="0" w:color="000000"/>
              <w:left w:val="single" w:sz="4" w:space="0" w:color="000000"/>
            </w:tcBorders>
          </w:tcPr>
          <w:p>
            <w:pPr>
              <w:pStyle w:val="TableParagraph"/>
              <w:spacing w:before="38"/>
              <w:ind w:left="94" w:right="55"/>
              <w:jc w:val="center"/>
              <w:rPr>
                <w:sz w:val="18"/>
              </w:rPr>
            </w:pPr>
            <w:r>
              <w:rPr>
                <w:sz w:val="18"/>
              </w:rPr>
              <w:t>2020 </w:t>
            </w:r>
            <w:r>
              <w:rPr>
                <w:rFonts w:ascii="宋体" w:eastAsia="宋体" w:hint="eastAsia"/>
                <w:sz w:val="18"/>
              </w:rPr>
              <w:t>年 </w:t>
            </w:r>
            <w:r>
              <w:rPr>
                <w:sz w:val="18"/>
              </w:rPr>
              <w:t>04 </w:t>
            </w:r>
            <w:r>
              <w:rPr>
                <w:rFonts w:ascii="宋体" w:eastAsia="宋体" w:hint="eastAsia"/>
                <w:sz w:val="18"/>
              </w:rPr>
              <w:t>月 </w:t>
            </w:r>
            <w:r>
              <w:rPr>
                <w:sz w:val="18"/>
              </w:rPr>
              <w:t>30</w:t>
            </w:r>
          </w:p>
        </w:tc>
      </w:tr>
    </w:tbl>
    <w:p>
      <w:pPr>
        <w:spacing w:after="0"/>
        <w:jc w:val="center"/>
        <w:rPr>
          <w:sz w:val="18"/>
        </w:rPr>
        <w:sectPr>
          <w:pgSz w:w="11910" w:h="16840"/>
          <w:pgMar w:header="873" w:footer="1214" w:top="1060" w:bottom="1400" w:left="840" w:right="300"/>
        </w:sectPr>
      </w:pPr>
    </w:p>
    <w:p>
      <w:pPr>
        <w:pStyle w:val="BodyText"/>
        <w:rPr>
          <w:rFonts w:ascii="Times New Roman"/>
          <w:sz w:val="20"/>
        </w:rPr>
      </w:pPr>
    </w:p>
    <w:p>
      <w:pPr>
        <w:pStyle w:val="BodyText"/>
        <w:spacing w:before="9" w:after="1"/>
        <w:rPr>
          <w:rFonts w:ascii="Times New Roman"/>
          <w:sz w:val="14"/>
        </w:rPr>
      </w:pPr>
    </w:p>
    <w:tbl>
      <w:tblPr>
        <w:tblW w:w="0" w:type="auto"/>
        <w:jc w:val="left"/>
        <w:tblInd w:w="6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253"/>
        <w:gridCol w:w="3401"/>
        <w:gridCol w:w="1559"/>
      </w:tblGrid>
      <w:tr>
        <w:trPr>
          <w:trHeight w:val="625" w:hRule="atLeast"/>
        </w:trPr>
        <w:tc>
          <w:tcPr>
            <w:tcW w:w="4253" w:type="dxa"/>
            <w:tcBorders>
              <w:bottom w:val="single" w:sz="4" w:space="0" w:color="000000"/>
              <w:right w:val="single" w:sz="4" w:space="0" w:color="000000"/>
            </w:tcBorders>
          </w:tcPr>
          <w:p>
            <w:pPr>
              <w:pStyle w:val="TableParagraph"/>
              <w:rPr>
                <w:sz w:val="18"/>
              </w:rPr>
            </w:pPr>
          </w:p>
        </w:tc>
        <w:tc>
          <w:tcPr>
            <w:tcW w:w="3401" w:type="dxa"/>
            <w:tcBorders>
              <w:left w:val="single" w:sz="4" w:space="0" w:color="000000"/>
              <w:bottom w:val="single" w:sz="4" w:space="0" w:color="000000"/>
              <w:right w:val="single" w:sz="4" w:space="0" w:color="000000"/>
            </w:tcBorders>
          </w:tcPr>
          <w:p>
            <w:pPr>
              <w:pStyle w:val="TableParagraph"/>
              <w:spacing w:before="40"/>
              <w:ind w:left="115"/>
              <w:rPr>
                <w:rFonts w:ascii="宋体" w:eastAsia="宋体" w:hint="eastAsia"/>
                <w:sz w:val="18"/>
              </w:rPr>
            </w:pPr>
            <w:r>
              <w:rPr>
                <w:rFonts w:ascii="宋体" w:eastAsia="宋体" w:hint="eastAsia"/>
                <w:sz w:val="18"/>
              </w:rPr>
              <w:t>版、证券时报 </w:t>
            </w:r>
            <w:r>
              <w:rPr>
                <w:sz w:val="18"/>
              </w:rPr>
              <w:t>B385-388 </w:t>
            </w:r>
            <w:r>
              <w:rPr>
                <w:rFonts w:ascii="宋体" w:eastAsia="宋体" w:hint="eastAsia"/>
                <w:sz w:val="18"/>
              </w:rPr>
              <w:t>版、证券日报</w:t>
            </w:r>
          </w:p>
          <w:p>
            <w:pPr>
              <w:pStyle w:val="TableParagraph"/>
              <w:spacing w:before="82"/>
              <w:ind w:left="115"/>
              <w:rPr>
                <w:rFonts w:ascii="宋体" w:eastAsia="宋体" w:hint="eastAsia"/>
                <w:sz w:val="18"/>
              </w:rPr>
            </w:pPr>
            <w:r>
              <w:rPr>
                <w:sz w:val="18"/>
              </w:rPr>
              <w:t>C469-474 </w:t>
            </w:r>
            <w:r>
              <w:rPr>
                <w:rFonts w:ascii="宋体" w:eastAsia="宋体" w:hint="eastAsia"/>
                <w:sz w:val="18"/>
              </w:rPr>
              <w:t>版</w:t>
            </w:r>
          </w:p>
        </w:tc>
        <w:tc>
          <w:tcPr>
            <w:tcW w:w="1559" w:type="dxa"/>
            <w:tcBorders>
              <w:left w:val="single" w:sz="4" w:space="0" w:color="000000"/>
              <w:bottom w:val="single" w:sz="4" w:space="0" w:color="000000"/>
            </w:tcBorders>
          </w:tcPr>
          <w:p>
            <w:pPr>
              <w:pStyle w:val="TableParagraph"/>
              <w:spacing w:before="40"/>
              <w:ind w:left="39"/>
              <w:jc w:val="center"/>
              <w:rPr>
                <w:rFonts w:ascii="宋体" w:eastAsia="宋体" w:hint="eastAsia"/>
                <w:sz w:val="18"/>
              </w:rPr>
            </w:pPr>
            <w:r>
              <w:rPr>
                <w:rFonts w:ascii="宋体" w:eastAsia="宋体" w:hint="eastAsia"/>
                <w:sz w:val="18"/>
              </w:rPr>
              <w:t>日</w:t>
            </w:r>
          </w:p>
        </w:tc>
      </w:tr>
      <w:tr>
        <w:trPr>
          <w:trHeight w:val="935" w:hRule="atLeast"/>
        </w:trPr>
        <w:tc>
          <w:tcPr>
            <w:tcW w:w="4253" w:type="dxa"/>
            <w:tcBorders>
              <w:top w:val="single" w:sz="4" w:space="0" w:color="000000"/>
              <w:bottom w:val="single" w:sz="4" w:space="0" w:color="000000"/>
              <w:right w:val="single" w:sz="4" w:space="0" w:color="000000"/>
            </w:tcBorders>
          </w:tcPr>
          <w:p>
            <w:pPr>
              <w:pStyle w:val="TableParagraph"/>
              <w:spacing w:before="10"/>
              <w:rPr>
                <w:sz w:val="16"/>
              </w:rPr>
            </w:pPr>
          </w:p>
          <w:p>
            <w:pPr>
              <w:pStyle w:val="TableParagraph"/>
              <w:spacing w:line="324" w:lineRule="auto"/>
              <w:ind w:left="105" w:right="90"/>
              <w:rPr>
                <w:rFonts w:ascii="宋体" w:eastAsia="宋体" w:hint="eastAsia"/>
                <w:sz w:val="18"/>
              </w:rPr>
            </w:pPr>
            <w:r>
              <w:rPr>
                <w:rFonts w:ascii="宋体" w:eastAsia="宋体" w:hint="eastAsia"/>
                <w:sz w:val="18"/>
              </w:rPr>
              <w:t>海尔智家股份有限公司第十届董事会第七次会议决议公告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Pr>
                <w:sz w:val="18"/>
              </w:rPr>
            </w:pPr>
            <w:r>
              <w:rPr>
                <w:rFonts w:ascii="宋体" w:eastAsia="宋体" w:hint="eastAsia"/>
                <w:spacing w:val="8"/>
                <w:sz w:val="18"/>
              </w:rPr>
              <w:t>中国证券报</w:t>
            </w:r>
            <w:r>
              <w:rPr>
                <w:sz w:val="18"/>
              </w:rPr>
              <w:t>B278 </w:t>
            </w:r>
            <w:r>
              <w:rPr>
                <w:rFonts w:ascii="宋体" w:eastAsia="宋体" w:hint="eastAsia"/>
                <w:spacing w:val="-20"/>
                <w:sz w:val="18"/>
              </w:rPr>
              <w:t>版、上海证券报 </w:t>
            </w:r>
            <w:r>
              <w:rPr>
                <w:sz w:val="18"/>
              </w:rPr>
              <w:t>121-123</w:t>
            </w:r>
          </w:p>
          <w:p>
            <w:pPr>
              <w:pStyle w:val="TableParagraph"/>
              <w:spacing w:before="81"/>
              <w:ind w:left="115"/>
              <w:rPr>
                <w:rFonts w:ascii="宋体" w:eastAsia="宋体" w:hint="eastAsia"/>
                <w:sz w:val="18"/>
              </w:rPr>
            </w:pPr>
            <w:r>
              <w:rPr>
                <w:rFonts w:ascii="宋体" w:eastAsia="宋体" w:hint="eastAsia"/>
                <w:sz w:val="18"/>
              </w:rPr>
              <w:t>版、证券时报 </w:t>
            </w:r>
            <w:r>
              <w:rPr>
                <w:sz w:val="18"/>
              </w:rPr>
              <w:t>B385-388 </w:t>
            </w:r>
            <w:r>
              <w:rPr>
                <w:rFonts w:ascii="宋体" w:eastAsia="宋体" w:hint="eastAsia"/>
                <w:sz w:val="18"/>
              </w:rPr>
              <w:t>版、证券日报</w:t>
            </w:r>
          </w:p>
          <w:p>
            <w:pPr>
              <w:pStyle w:val="TableParagraph"/>
              <w:spacing w:before="82"/>
              <w:ind w:left="115"/>
              <w:rPr>
                <w:rFonts w:ascii="宋体" w:eastAsia="宋体" w:hint="eastAsia"/>
                <w:sz w:val="18"/>
              </w:rPr>
            </w:pPr>
            <w:r>
              <w:rPr>
                <w:sz w:val="18"/>
              </w:rPr>
              <w:t>C469-474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10"/>
              <w:rPr>
                <w:sz w:val="16"/>
              </w:rPr>
            </w:pPr>
          </w:p>
          <w:p>
            <w:pPr>
              <w:pStyle w:val="TableParagraph"/>
              <w:ind w:left="94" w:right="55"/>
              <w:jc w:val="center"/>
              <w:rPr>
                <w:sz w:val="18"/>
              </w:rPr>
            </w:pPr>
            <w:r>
              <w:rPr>
                <w:sz w:val="18"/>
              </w:rPr>
              <w:t>2020 </w:t>
            </w:r>
            <w:r>
              <w:rPr>
                <w:rFonts w:ascii="宋体" w:eastAsia="宋体" w:hint="eastAsia"/>
                <w:sz w:val="18"/>
              </w:rPr>
              <w:t>年 </w:t>
            </w:r>
            <w:r>
              <w:rPr>
                <w:sz w:val="18"/>
              </w:rPr>
              <w:t>04 </w:t>
            </w:r>
            <w:r>
              <w:rPr>
                <w:rFonts w:ascii="宋体" w:eastAsia="宋体" w:hint="eastAsia"/>
                <w:sz w:val="18"/>
              </w:rPr>
              <w:t>月 </w:t>
            </w:r>
            <w:r>
              <w:rPr>
                <w:sz w:val="18"/>
              </w:rPr>
              <w:t>30</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935" w:hRule="atLeast"/>
        </w:trPr>
        <w:tc>
          <w:tcPr>
            <w:tcW w:w="4253" w:type="dxa"/>
            <w:tcBorders>
              <w:top w:val="single" w:sz="4" w:space="0" w:color="000000"/>
              <w:bottom w:val="single" w:sz="4" w:space="0" w:color="000000"/>
              <w:right w:val="single" w:sz="4" w:space="0" w:color="000000"/>
            </w:tcBorders>
          </w:tcPr>
          <w:p>
            <w:pPr>
              <w:pStyle w:val="TableParagraph"/>
              <w:spacing w:before="10"/>
              <w:rPr>
                <w:sz w:val="16"/>
              </w:rPr>
            </w:pPr>
          </w:p>
          <w:p>
            <w:pPr>
              <w:pStyle w:val="TableParagraph"/>
              <w:spacing w:line="324" w:lineRule="auto"/>
              <w:ind w:left="105" w:right="90"/>
              <w:rPr>
                <w:rFonts w:ascii="宋体" w:eastAsia="宋体" w:hint="eastAsia"/>
                <w:sz w:val="18"/>
              </w:rPr>
            </w:pPr>
            <w:r>
              <w:rPr>
                <w:rFonts w:ascii="宋体" w:eastAsia="宋体" w:hint="eastAsia"/>
                <w:sz w:val="18"/>
              </w:rPr>
              <w:t>海尔智家股份有限公司第十届监事会第七次会议决议公告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Pr>
                <w:sz w:val="18"/>
              </w:rPr>
            </w:pPr>
            <w:r>
              <w:rPr>
                <w:rFonts w:ascii="宋体" w:eastAsia="宋体" w:hint="eastAsia"/>
                <w:spacing w:val="8"/>
                <w:sz w:val="18"/>
              </w:rPr>
              <w:t>中国证券报</w:t>
            </w:r>
            <w:r>
              <w:rPr>
                <w:sz w:val="18"/>
              </w:rPr>
              <w:t>B278 </w:t>
            </w:r>
            <w:r>
              <w:rPr>
                <w:rFonts w:ascii="宋体" w:eastAsia="宋体" w:hint="eastAsia"/>
                <w:spacing w:val="-20"/>
                <w:sz w:val="18"/>
              </w:rPr>
              <w:t>版、上海证券报 </w:t>
            </w:r>
            <w:r>
              <w:rPr>
                <w:sz w:val="18"/>
              </w:rPr>
              <w:t>121-123</w:t>
            </w:r>
          </w:p>
          <w:p>
            <w:pPr>
              <w:pStyle w:val="TableParagraph"/>
              <w:spacing w:before="81"/>
              <w:ind w:left="115"/>
              <w:rPr>
                <w:rFonts w:ascii="宋体" w:eastAsia="宋体" w:hint="eastAsia"/>
                <w:sz w:val="18"/>
              </w:rPr>
            </w:pPr>
            <w:r>
              <w:rPr>
                <w:rFonts w:ascii="宋体" w:eastAsia="宋体" w:hint="eastAsia"/>
                <w:sz w:val="18"/>
              </w:rPr>
              <w:t>版、证券时报 </w:t>
            </w:r>
            <w:r>
              <w:rPr>
                <w:sz w:val="18"/>
              </w:rPr>
              <w:t>B385-388 </w:t>
            </w:r>
            <w:r>
              <w:rPr>
                <w:rFonts w:ascii="宋体" w:eastAsia="宋体" w:hint="eastAsia"/>
                <w:sz w:val="18"/>
              </w:rPr>
              <w:t>版、证券日报</w:t>
            </w:r>
          </w:p>
          <w:p>
            <w:pPr>
              <w:pStyle w:val="TableParagraph"/>
              <w:spacing w:before="82"/>
              <w:ind w:left="115"/>
              <w:rPr>
                <w:rFonts w:ascii="宋体" w:eastAsia="宋体" w:hint="eastAsia"/>
                <w:sz w:val="18"/>
              </w:rPr>
            </w:pPr>
            <w:r>
              <w:rPr>
                <w:sz w:val="18"/>
              </w:rPr>
              <w:t>C469-474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10"/>
              <w:rPr>
                <w:sz w:val="16"/>
              </w:rPr>
            </w:pPr>
          </w:p>
          <w:p>
            <w:pPr>
              <w:pStyle w:val="TableParagraph"/>
              <w:ind w:left="94" w:right="55"/>
              <w:jc w:val="center"/>
              <w:rPr>
                <w:sz w:val="18"/>
              </w:rPr>
            </w:pPr>
            <w:r>
              <w:rPr>
                <w:sz w:val="18"/>
              </w:rPr>
              <w:t>2020 </w:t>
            </w:r>
            <w:r>
              <w:rPr>
                <w:rFonts w:ascii="宋体" w:eastAsia="宋体" w:hint="eastAsia"/>
                <w:sz w:val="18"/>
              </w:rPr>
              <w:t>年 </w:t>
            </w:r>
            <w:r>
              <w:rPr>
                <w:sz w:val="18"/>
              </w:rPr>
              <w:t>04 </w:t>
            </w:r>
            <w:r>
              <w:rPr>
                <w:rFonts w:ascii="宋体" w:eastAsia="宋体" w:hint="eastAsia"/>
                <w:sz w:val="18"/>
              </w:rPr>
              <w:t>月 </w:t>
            </w:r>
            <w:r>
              <w:rPr>
                <w:sz w:val="18"/>
              </w:rPr>
              <w:t>30</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935" w:hRule="atLeast"/>
        </w:trPr>
        <w:tc>
          <w:tcPr>
            <w:tcW w:w="4253" w:type="dxa"/>
            <w:tcBorders>
              <w:top w:val="single" w:sz="4" w:space="0" w:color="000000"/>
              <w:bottom w:val="single" w:sz="4" w:space="0" w:color="000000"/>
              <w:right w:val="single" w:sz="4" w:space="0" w:color="000000"/>
            </w:tcBorders>
          </w:tcPr>
          <w:p>
            <w:pPr>
              <w:pStyle w:val="TableParagraph"/>
              <w:spacing w:before="10"/>
              <w:rPr>
                <w:sz w:val="16"/>
              </w:rPr>
            </w:pPr>
          </w:p>
          <w:p>
            <w:pPr>
              <w:pStyle w:val="TableParagraph"/>
              <w:spacing w:line="324" w:lineRule="auto"/>
              <w:ind w:left="105" w:right="19"/>
              <w:rPr>
                <w:rFonts w:ascii="宋体" w:eastAsia="宋体" w:hint="eastAsia"/>
                <w:sz w:val="18"/>
              </w:rPr>
            </w:pPr>
            <w:r>
              <w:rPr>
                <w:rFonts w:ascii="宋体" w:eastAsia="宋体" w:hint="eastAsia"/>
                <w:sz w:val="18"/>
              </w:rPr>
              <w:t>海尔智家股份有限公司关于 </w:t>
            </w:r>
            <w:r>
              <w:rPr>
                <w:sz w:val="18"/>
              </w:rPr>
              <w:t>2019 </w:t>
            </w:r>
            <w:r>
              <w:rPr>
                <w:rFonts w:ascii="宋体" w:eastAsia="宋体" w:hint="eastAsia"/>
                <w:sz w:val="18"/>
              </w:rPr>
              <w:t>年年度利润分配预案的公告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Pr>
                <w:sz w:val="18"/>
              </w:rPr>
            </w:pPr>
            <w:r>
              <w:rPr>
                <w:rFonts w:ascii="宋体" w:eastAsia="宋体" w:hint="eastAsia"/>
                <w:spacing w:val="8"/>
                <w:sz w:val="18"/>
              </w:rPr>
              <w:t>中国证券报</w:t>
            </w:r>
            <w:r>
              <w:rPr>
                <w:sz w:val="18"/>
              </w:rPr>
              <w:t>B278 </w:t>
            </w:r>
            <w:r>
              <w:rPr>
                <w:rFonts w:ascii="宋体" w:eastAsia="宋体" w:hint="eastAsia"/>
                <w:spacing w:val="-20"/>
                <w:sz w:val="18"/>
              </w:rPr>
              <w:t>版、上海证券报 </w:t>
            </w:r>
            <w:r>
              <w:rPr>
                <w:sz w:val="18"/>
              </w:rPr>
              <w:t>121-123</w:t>
            </w:r>
          </w:p>
          <w:p>
            <w:pPr>
              <w:pStyle w:val="TableParagraph"/>
              <w:spacing w:before="81"/>
              <w:ind w:left="115"/>
              <w:rPr>
                <w:rFonts w:ascii="宋体" w:eastAsia="宋体" w:hint="eastAsia"/>
                <w:sz w:val="18"/>
              </w:rPr>
            </w:pPr>
            <w:r>
              <w:rPr>
                <w:rFonts w:ascii="宋体" w:eastAsia="宋体" w:hint="eastAsia"/>
                <w:sz w:val="18"/>
              </w:rPr>
              <w:t>版、证券时报 </w:t>
            </w:r>
            <w:r>
              <w:rPr>
                <w:sz w:val="18"/>
              </w:rPr>
              <w:t>B385-388 </w:t>
            </w:r>
            <w:r>
              <w:rPr>
                <w:rFonts w:ascii="宋体" w:eastAsia="宋体" w:hint="eastAsia"/>
                <w:sz w:val="18"/>
              </w:rPr>
              <w:t>版、证券日报</w:t>
            </w:r>
          </w:p>
          <w:p>
            <w:pPr>
              <w:pStyle w:val="TableParagraph"/>
              <w:spacing w:before="82"/>
              <w:ind w:left="115"/>
              <w:rPr>
                <w:rFonts w:ascii="宋体" w:eastAsia="宋体" w:hint="eastAsia"/>
                <w:sz w:val="18"/>
              </w:rPr>
            </w:pPr>
            <w:r>
              <w:rPr>
                <w:sz w:val="18"/>
              </w:rPr>
              <w:t>C469-474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10"/>
              <w:rPr>
                <w:sz w:val="16"/>
              </w:rPr>
            </w:pPr>
          </w:p>
          <w:p>
            <w:pPr>
              <w:pStyle w:val="TableParagraph"/>
              <w:ind w:left="94" w:right="55"/>
              <w:jc w:val="center"/>
              <w:rPr>
                <w:sz w:val="18"/>
              </w:rPr>
            </w:pPr>
            <w:r>
              <w:rPr>
                <w:sz w:val="18"/>
              </w:rPr>
              <w:t>2020 </w:t>
            </w:r>
            <w:r>
              <w:rPr>
                <w:rFonts w:ascii="宋体" w:eastAsia="宋体" w:hint="eastAsia"/>
                <w:sz w:val="18"/>
              </w:rPr>
              <w:t>年 </w:t>
            </w:r>
            <w:r>
              <w:rPr>
                <w:sz w:val="18"/>
              </w:rPr>
              <w:t>04 </w:t>
            </w:r>
            <w:r>
              <w:rPr>
                <w:rFonts w:ascii="宋体" w:eastAsia="宋体" w:hint="eastAsia"/>
                <w:sz w:val="18"/>
              </w:rPr>
              <w:t>月 </w:t>
            </w:r>
            <w:r>
              <w:rPr>
                <w:sz w:val="18"/>
              </w:rPr>
              <w:t>30</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938" w:hRule="atLeast"/>
        </w:trPr>
        <w:tc>
          <w:tcPr>
            <w:tcW w:w="4253" w:type="dxa"/>
            <w:tcBorders>
              <w:top w:val="single" w:sz="4" w:space="0" w:color="000000"/>
              <w:bottom w:val="single" w:sz="4" w:space="0" w:color="000000"/>
              <w:right w:val="single" w:sz="4" w:space="0" w:color="000000"/>
            </w:tcBorders>
          </w:tcPr>
          <w:p>
            <w:pPr>
              <w:pStyle w:val="TableParagraph"/>
              <w:spacing w:before="1"/>
              <w:rPr>
                <w:sz w:val="17"/>
              </w:rPr>
            </w:pPr>
          </w:p>
          <w:p>
            <w:pPr>
              <w:pStyle w:val="TableParagraph"/>
              <w:spacing w:line="324" w:lineRule="auto"/>
              <w:ind w:left="105" w:right="90"/>
              <w:rPr>
                <w:rFonts w:ascii="宋体" w:eastAsia="宋体" w:hint="eastAsia"/>
                <w:sz w:val="18"/>
              </w:rPr>
            </w:pPr>
            <w:r>
              <w:rPr>
                <w:rFonts w:ascii="宋体" w:eastAsia="宋体" w:hint="eastAsia"/>
                <w:sz w:val="18"/>
              </w:rPr>
              <w:t>海尔智家股份有限公司关于续聘会计师事务所的公告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40"/>
              <w:ind w:left="115"/>
              <w:rPr>
                <w:sz w:val="18"/>
              </w:rPr>
            </w:pPr>
            <w:r>
              <w:rPr>
                <w:rFonts w:ascii="宋体" w:eastAsia="宋体" w:hint="eastAsia"/>
                <w:spacing w:val="8"/>
                <w:sz w:val="18"/>
              </w:rPr>
              <w:t>中国证券报</w:t>
            </w:r>
            <w:r>
              <w:rPr>
                <w:sz w:val="18"/>
              </w:rPr>
              <w:t>B278 </w:t>
            </w:r>
            <w:r>
              <w:rPr>
                <w:rFonts w:ascii="宋体" w:eastAsia="宋体" w:hint="eastAsia"/>
                <w:spacing w:val="-20"/>
                <w:sz w:val="18"/>
              </w:rPr>
              <w:t>版、上海证券报 </w:t>
            </w:r>
            <w:r>
              <w:rPr>
                <w:sz w:val="18"/>
              </w:rPr>
              <w:t>121-123</w:t>
            </w:r>
          </w:p>
          <w:p>
            <w:pPr>
              <w:pStyle w:val="TableParagraph"/>
              <w:spacing w:before="82"/>
              <w:ind w:left="115"/>
              <w:rPr>
                <w:rFonts w:ascii="宋体" w:eastAsia="宋体" w:hint="eastAsia"/>
                <w:sz w:val="18"/>
              </w:rPr>
            </w:pPr>
            <w:r>
              <w:rPr>
                <w:rFonts w:ascii="宋体" w:eastAsia="宋体" w:hint="eastAsia"/>
                <w:sz w:val="18"/>
              </w:rPr>
              <w:t>版、证券时报 </w:t>
            </w:r>
            <w:r>
              <w:rPr>
                <w:sz w:val="18"/>
              </w:rPr>
              <w:t>B385-388 </w:t>
            </w:r>
            <w:r>
              <w:rPr>
                <w:rFonts w:ascii="宋体" w:eastAsia="宋体" w:hint="eastAsia"/>
                <w:sz w:val="18"/>
              </w:rPr>
              <w:t>版、证券日报</w:t>
            </w:r>
          </w:p>
          <w:p>
            <w:pPr>
              <w:pStyle w:val="TableParagraph"/>
              <w:spacing w:before="82"/>
              <w:ind w:left="115"/>
              <w:rPr>
                <w:rFonts w:ascii="宋体" w:eastAsia="宋体" w:hint="eastAsia"/>
                <w:sz w:val="18"/>
              </w:rPr>
            </w:pPr>
            <w:r>
              <w:rPr>
                <w:sz w:val="18"/>
              </w:rPr>
              <w:t>C469-474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1"/>
              <w:rPr>
                <w:sz w:val="17"/>
              </w:rPr>
            </w:pPr>
          </w:p>
          <w:p>
            <w:pPr>
              <w:pStyle w:val="TableParagraph"/>
              <w:ind w:left="94" w:right="55"/>
              <w:jc w:val="center"/>
              <w:rPr>
                <w:sz w:val="18"/>
              </w:rPr>
            </w:pPr>
            <w:r>
              <w:rPr>
                <w:sz w:val="18"/>
              </w:rPr>
              <w:t>2020 </w:t>
            </w:r>
            <w:r>
              <w:rPr>
                <w:rFonts w:ascii="宋体" w:eastAsia="宋体" w:hint="eastAsia"/>
                <w:sz w:val="18"/>
              </w:rPr>
              <w:t>年 </w:t>
            </w:r>
            <w:r>
              <w:rPr>
                <w:sz w:val="18"/>
              </w:rPr>
              <w:t>04 </w:t>
            </w:r>
            <w:r>
              <w:rPr>
                <w:rFonts w:ascii="宋体" w:eastAsia="宋体" w:hint="eastAsia"/>
                <w:sz w:val="18"/>
              </w:rPr>
              <w:t>月 </w:t>
            </w:r>
            <w:r>
              <w:rPr>
                <w:sz w:val="18"/>
              </w:rPr>
              <w:t>30</w:t>
            </w:r>
          </w:p>
          <w:p>
            <w:pPr>
              <w:pStyle w:val="TableParagraph"/>
              <w:spacing w:before="82"/>
              <w:ind w:left="39"/>
              <w:jc w:val="center"/>
              <w:rPr>
                <w:rFonts w:ascii="宋体" w:eastAsia="宋体" w:hint="eastAsia"/>
                <w:sz w:val="18"/>
              </w:rPr>
            </w:pPr>
            <w:r>
              <w:rPr>
                <w:rFonts w:ascii="宋体" w:eastAsia="宋体" w:hint="eastAsia"/>
                <w:sz w:val="18"/>
              </w:rPr>
              <w:t>日</w:t>
            </w:r>
          </w:p>
        </w:tc>
      </w:tr>
      <w:tr>
        <w:trPr>
          <w:trHeight w:val="935" w:hRule="atLeast"/>
        </w:trPr>
        <w:tc>
          <w:tcPr>
            <w:tcW w:w="4253" w:type="dxa"/>
            <w:tcBorders>
              <w:top w:val="single" w:sz="4" w:space="0" w:color="000000"/>
              <w:bottom w:val="single" w:sz="4" w:space="0" w:color="000000"/>
              <w:right w:val="single" w:sz="4" w:space="0" w:color="000000"/>
            </w:tcBorders>
          </w:tcPr>
          <w:p>
            <w:pPr>
              <w:pStyle w:val="TableParagraph"/>
              <w:spacing w:before="10"/>
              <w:rPr>
                <w:sz w:val="16"/>
              </w:rPr>
            </w:pPr>
          </w:p>
          <w:p>
            <w:pPr>
              <w:pStyle w:val="TableParagraph"/>
              <w:spacing w:line="324" w:lineRule="auto"/>
              <w:ind w:left="105" w:right="19"/>
              <w:rPr>
                <w:rFonts w:ascii="宋体" w:eastAsia="宋体" w:hint="eastAsia"/>
                <w:sz w:val="18"/>
              </w:rPr>
            </w:pPr>
            <w:r>
              <w:rPr>
                <w:rFonts w:ascii="宋体" w:eastAsia="宋体" w:hint="eastAsia"/>
                <w:sz w:val="18"/>
              </w:rPr>
              <w:t>海尔智家股份有限公司关于预计 </w:t>
            </w:r>
            <w:r>
              <w:rPr>
                <w:sz w:val="18"/>
              </w:rPr>
              <w:t>2020 </w:t>
            </w:r>
            <w:r>
              <w:rPr>
                <w:rFonts w:ascii="宋体" w:eastAsia="宋体" w:hint="eastAsia"/>
                <w:sz w:val="18"/>
              </w:rPr>
              <w:t>年度为子公司提供担保情况的公告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Pr>
                <w:sz w:val="18"/>
              </w:rPr>
            </w:pPr>
            <w:r>
              <w:rPr>
                <w:rFonts w:ascii="宋体" w:eastAsia="宋体" w:hint="eastAsia"/>
                <w:spacing w:val="8"/>
                <w:sz w:val="18"/>
              </w:rPr>
              <w:t>中国证券报</w:t>
            </w:r>
            <w:r>
              <w:rPr>
                <w:sz w:val="18"/>
              </w:rPr>
              <w:t>B278 </w:t>
            </w:r>
            <w:r>
              <w:rPr>
                <w:rFonts w:ascii="宋体" w:eastAsia="宋体" w:hint="eastAsia"/>
                <w:spacing w:val="-20"/>
                <w:sz w:val="18"/>
              </w:rPr>
              <w:t>版、上海证券报 </w:t>
            </w:r>
            <w:r>
              <w:rPr>
                <w:sz w:val="18"/>
              </w:rPr>
              <w:t>121-123</w:t>
            </w:r>
          </w:p>
          <w:p>
            <w:pPr>
              <w:pStyle w:val="TableParagraph"/>
              <w:spacing w:before="81"/>
              <w:ind w:left="115"/>
              <w:rPr>
                <w:rFonts w:ascii="宋体" w:eastAsia="宋体" w:hint="eastAsia"/>
                <w:sz w:val="18"/>
              </w:rPr>
            </w:pPr>
            <w:r>
              <w:rPr>
                <w:rFonts w:ascii="宋体" w:eastAsia="宋体" w:hint="eastAsia"/>
                <w:sz w:val="18"/>
              </w:rPr>
              <w:t>版、证券时报 </w:t>
            </w:r>
            <w:r>
              <w:rPr>
                <w:sz w:val="18"/>
              </w:rPr>
              <w:t>B385-388 </w:t>
            </w:r>
            <w:r>
              <w:rPr>
                <w:rFonts w:ascii="宋体" w:eastAsia="宋体" w:hint="eastAsia"/>
                <w:sz w:val="18"/>
              </w:rPr>
              <w:t>版、证券日报</w:t>
            </w:r>
          </w:p>
          <w:p>
            <w:pPr>
              <w:pStyle w:val="TableParagraph"/>
              <w:spacing w:before="82"/>
              <w:ind w:left="115"/>
              <w:rPr>
                <w:rFonts w:ascii="宋体" w:eastAsia="宋体" w:hint="eastAsia"/>
                <w:sz w:val="18"/>
              </w:rPr>
            </w:pPr>
            <w:r>
              <w:rPr>
                <w:sz w:val="18"/>
              </w:rPr>
              <w:t>C469-474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10"/>
              <w:rPr>
                <w:sz w:val="16"/>
              </w:rPr>
            </w:pPr>
          </w:p>
          <w:p>
            <w:pPr>
              <w:pStyle w:val="TableParagraph"/>
              <w:ind w:left="94" w:right="55"/>
              <w:jc w:val="center"/>
              <w:rPr>
                <w:sz w:val="18"/>
              </w:rPr>
            </w:pPr>
            <w:r>
              <w:rPr>
                <w:sz w:val="18"/>
              </w:rPr>
              <w:t>2020 </w:t>
            </w:r>
            <w:r>
              <w:rPr>
                <w:rFonts w:ascii="宋体" w:eastAsia="宋体" w:hint="eastAsia"/>
                <w:sz w:val="18"/>
              </w:rPr>
              <w:t>年 </w:t>
            </w:r>
            <w:r>
              <w:rPr>
                <w:sz w:val="18"/>
              </w:rPr>
              <w:t>04 </w:t>
            </w:r>
            <w:r>
              <w:rPr>
                <w:rFonts w:ascii="宋体" w:eastAsia="宋体" w:hint="eastAsia"/>
                <w:sz w:val="18"/>
              </w:rPr>
              <w:t>月 </w:t>
            </w:r>
            <w:r>
              <w:rPr>
                <w:sz w:val="18"/>
              </w:rPr>
              <w:t>30</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935" w:hRule="atLeast"/>
        </w:trPr>
        <w:tc>
          <w:tcPr>
            <w:tcW w:w="4253" w:type="dxa"/>
            <w:tcBorders>
              <w:top w:val="single" w:sz="4" w:space="0" w:color="000000"/>
              <w:bottom w:val="single" w:sz="4" w:space="0" w:color="000000"/>
              <w:right w:val="single" w:sz="4" w:space="0" w:color="000000"/>
            </w:tcBorders>
          </w:tcPr>
          <w:p>
            <w:pPr>
              <w:pStyle w:val="TableParagraph"/>
              <w:spacing w:before="10"/>
              <w:rPr>
                <w:sz w:val="16"/>
              </w:rPr>
            </w:pPr>
          </w:p>
          <w:p>
            <w:pPr>
              <w:pStyle w:val="TableParagraph"/>
              <w:spacing w:line="324" w:lineRule="auto"/>
              <w:ind w:left="105" w:right="90"/>
              <w:rPr>
                <w:rFonts w:ascii="宋体" w:eastAsia="宋体" w:hint="eastAsia"/>
                <w:sz w:val="18"/>
              </w:rPr>
            </w:pPr>
            <w:r>
              <w:rPr>
                <w:rFonts w:ascii="宋体" w:eastAsia="宋体" w:hint="eastAsia"/>
                <w:sz w:val="18"/>
              </w:rPr>
              <w:t>海尔智家股份有限公司关于开展外汇资金衍生品业务的公告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Pr>
                <w:sz w:val="18"/>
              </w:rPr>
            </w:pPr>
            <w:r>
              <w:rPr>
                <w:rFonts w:ascii="宋体" w:eastAsia="宋体" w:hint="eastAsia"/>
                <w:spacing w:val="8"/>
                <w:sz w:val="18"/>
              </w:rPr>
              <w:t>中国证券报</w:t>
            </w:r>
            <w:r>
              <w:rPr>
                <w:sz w:val="18"/>
              </w:rPr>
              <w:t>B278 </w:t>
            </w:r>
            <w:r>
              <w:rPr>
                <w:rFonts w:ascii="宋体" w:eastAsia="宋体" w:hint="eastAsia"/>
                <w:spacing w:val="-20"/>
                <w:sz w:val="18"/>
              </w:rPr>
              <w:t>版、上海证券报 </w:t>
            </w:r>
            <w:r>
              <w:rPr>
                <w:sz w:val="18"/>
              </w:rPr>
              <w:t>121-123</w:t>
            </w:r>
          </w:p>
          <w:p>
            <w:pPr>
              <w:pStyle w:val="TableParagraph"/>
              <w:spacing w:before="81"/>
              <w:ind w:left="115"/>
              <w:rPr>
                <w:rFonts w:ascii="宋体" w:eastAsia="宋体" w:hint="eastAsia"/>
                <w:sz w:val="18"/>
              </w:rPr>
            </w:pPr>
            <w:r>
              <w:rPr>
                <w:rFonts w:ascii="宋体" w:eastAsia="宋体" w:hint="eastAsia"/>
                <w:sz w:val="18"/>
              </w:rPr>
              <w:t>版、证券时报 </w:t>
            </w:r>
            <w:r>
              <w:rPr>
                <w:sz w:val="18"/>
              </w:rPr>
              <w:t>B385-388 </w:t>
            </w:r>
            <w:r>
              <w:rPr>
                <w:rFonts w:ascii="宋体" w:eastAsia="宋体" w:hint="eastAsia"/>
                <w:sz w:val="18"/>
              </w:rPr>
              <w:t>版、证券日报</w:t>
            </w:r>
          </w:p>
          <w:p>
            <w:pPr>
              <w:pStyle w:val="TableParagraph"/>
              <w:spacing w:before="82"/>
              <w:ind w:left="115"/>
              <w:rPr>
                <w:rFonts w:ascii="宋体" w:eastAsia="宋体" w:hint="eastAsia"/>
                <w:sz w:val="18"/>
              </w:rPr>
            </w:pPr>
            <w:r>
              <w:rPr>
                <w:sz w:val="18"/>
              </w:rPr>
              <w:t>C469-474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10"/>
              <w:rPr>
                <w:sz w:val="16"/>
              </w:rPr>
            </w:pPr>
          </w:p>
          <w:p>
            <w:pPr>
              <w:pStyle w:val="TableParagraph"/>
              <w:ind w:left="94" w:right="55"/>
              <w:jc w:val="center"/>
              <w:rPr>
                <w:sz w:val="18"/>
              </w:rPr>
            </w:pPr>
            <w:r>
              <w:rPr>
                <w:sz w:val="18"/>
              </w:rPr>
              <w:t>2020 </w:t>
            </w:r>
            <w:r>
              <w:rPr>
                <w:rFonts w:ascii="宋体" w:eastAsia="宋体" w:hint="eastAsia"/>
                <w:sz w:val="18"/>
              </w:rPr>
              <w:t>年 </w:t>
            </w:r>
            <w:r>
              <w:rPr>
                <w:sz w:val="18"/>
              </w:rPr>
              <w:t>04 </w:t>
            </w:r>
            <w:r>
              <w:rPr>
                <w:rFonts w:ascii="宋体" w:eastAsia="宋体" w:hint="eastAsia"/>
                <w:sz w:val="18"/>
              </w:rPr>
              <w:t>月 </w:t>
            </w:r>
            <w:r>
              <w:rPr>
                <w:sz w:val="18"/>
              </w:rPr>
              <w:t>30</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935" w:hRule="atLeast"/>
        </w:trPr>
        <w:tc>
          <w:tcPr>
            <w:tcW w:w="4253" w:type="dxa"/>
            <w:tcBorders>
              <w:top w:val="single" w:sz="4" w:space="0" w:color="000000"/>
              <w:bottom w:val="single" w:sz="4" w:space="0" w:color="000000"/>
              <w:right w:val="single" w:sz="4" w:space="0" w:color="000000"/>
            </w:tcBorders>
          </w:tcPr>
          <w:p>
            <w:pPr>
              <w:pStyle w:val="TableParagraph"/>
              <w:spacing w:before="10"/>
              <w:rPr>
                <w:sz w:val="16"/>
              </w:rPr>
            </w:pPr>
          </w:p>
          <w:p>
            <w:pPr>
              <w:pStyle w:val="TableParagraph"/>
              <w:spacing w:line="324" w:lineRule="auto"/>
              <w:ind w:left="105" w:right="90"/>
              <w:rPr>
                <w:rFonts w:ascii="宋体" w:eastAsia="宋体" w:hint="eastAsia"/>
                <w:sz w:val="18"/>
              </w:rPr>
            </w:pPr>
            <w:r>
              <w:rPr>
                <w:rFonts w:ascii="宋体" w:eastAsia="宋体" w:hint="eastAsia"/>
                <w:sz w:val="18"/>
              </w:rPr>
              <w:t>海尔智家股份有限公司关于开展大宗原材料套期保值业务的公告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Pr>
                <w:sz w:val="18"/>
              </w:rPr>
            </w:pPr>
            <w:r>
              <w:rPr>
                <w:rFonts w:ascii="宋体" w:eastAsia="宋体" w:hint="eastAsia"/>
                <w:spacing w:val="8"/>
                <w:sz w:val="18"/>
              </w:rPr>
              <w:t>中国证券报</w:t>
            </w:r>
            <w:r>
              <w:rPr>
                <w:sz w:val="18"/>
              </w:rPr>
              <w:t>B278 </w:t>
            </w:r>
            <w:r>
              <w:rPr>
                <w:rFonts w:ascii="宋体" w:eastAsia="宋体" w:hint="eastAsia"/>
                <w:spacing w:val="-20"/>
                <w:sz w:val="18"/>
              </w:rPr>
              <w:t>版、上海证券报 </w:t>
            </w:r>
            <w:r>
              <w:rPr>
                <w:sz w:val="18"/>
              </w:rPr>
              <w:t>121-123</w:t>
            </w:r>
          </w:p>
          <w:p>
            <w:pPr>
              <w:pStyle w:val="TableParagraph"/>
              <w:spacing w:before="81"/>
              <w:ind w:left="115"/>
              <w:rPr>
                <w:rFonts w:ascii="宋体" w:eastAsia="宋体" w:hint="eastAsia"/>
                <w:sz w:val="18"/>
              </w:rPr>
            </w:pPr>
            <w:r>
              <w:rPr>
                <w:rFonts w:ascii="宋体" w:eastAsia="宋体" w:hint="eastAsia"/>
                <w:sz w:val="18"/>
              </w:rPr>
              <w:t>版、证券时报 </w:t>
            </w:r>
            <w:r>
              <w:rPr>
                <w:sz w:val="18"/>
              </w:rPr>
              <w:t>B385-388 </w:t>
            </w:r>
            <w:r>
              <w:rPr>
                <w:rFonts w:ascii="宋体" w:eastAsia="宋体" w:hint="eastAsia"/>
                <w:sz w:val="18"/>
              </w:rPr>
              <w:t>版、证券日报</w:t>
            </w:r>
          </w:p>
          <w:p>
            <w:pPr>
              <w:pStyle w:val="TableParagraph"/>
              <w:spacing w:before="82"/>
              <w:ind w:left="115"/>
              <w:rPr>
                <w:rFonts w:ascii="宋体" w:eastAsia="宋体" w:hint="eastAsia"/>
                <w:sz w:val="18"/>
              </w:rPr>
            </w:pPr>
            <w:r>
              <w:rPr>
                <w:sz w:val="18"/>
              </w:rPr>
              <w:t>C469-474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10"/>
              <w:rPr>
                <w:sz w:val="16"/>
              </w:rPr>
            </w:pPr>
          </w:p>
          <w:p>
            <w:pPr>
              <w:pStyle w:val="TableParagraph"/>
              <w:ind w:left="94" w:right="55"/>
              <w:jc w:val="center"/>
              <w:rPr>
                <w:sz w:val="18"/>
              </w:rPr>
            </w:pPr>
            <w:r>
              <w:rPr>
                <w:sz w:val="18"/>
              </w:rPr>
              <w:t>2020 </w:t>
            </w:r>
            <w:r>
              <w:rPr>
                <w:rFonts w:ascii="宋体" w:eastAsia="宋体" w:hint="eastAsia"/>
                <w:sz w:val="18"/>
              </w:rPr>
              <w:t>年 </w:t>
            </w:r>
            <w:r>
              <w:rPr>
                <w:sz w:val="18"/>
              </w:rPr>
              <w:t>04 </w:t>
            </w:r>
            <w:r>
              <w:rPr>
                <w:rFonts w:ascii="宋体" w:eastAsia="宋体" w:hint="eastAsia"/>
                <w:sz w:val="18"/>
              </w:rPr>
              <w:t>月 </w:t>
            </w:r>
            <w:r>
              <w:rPr>
                <w:sz w:val="18"/>
              </w:rPr>
              <w:t>30</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935" w:hRule="atLeast"/>
        </w:trPr>
        <w:tc>
          <w:tcPr>
            <w:tcW w:w="4253" w:type="dxa"/>
            <w:tcBorders>
              <w:top w:val="single" w:sz="4" w:space="0" w:color="000000"/>
              <w:bottom w:val="single" w:sz="4" w:space="0" w:color="000000"/>
              <w:right w:val="single" w:sz="4" w:space="0" w:color="000000"/>
            </w:tcBorders>
          </w:tcPr>
          <w:p>
            <w:pPr>
              <w:pStyle w:val="TableParagraph"/>
              <w:spacing w:before="10"/>
              <w:rPr>
                <w:sz w:val="16"/>
              </w:rPr>
            </w:pPr>
          </w:p>
          <w:p>
            <w:pPr>
              <w:pStyle w:val="TableParagraph"/>
              <w:spacing w:line="324" w:lineRule="auto"/>
              <w:ind w:left="105" w:right="90"/>
              <w:rPr>
                <w:rFonts w:ascii="宋体" w:eastAsia="宋体" w:hint="eastAsia"/>
                <w:sz w:val="18"/>
              </w:rPr>
            </w:pPr>
            <w:r>
              <w:rPr>
                <w:rFonts w:ascii="宋体" w:eastAsia="宋体" w:hint="eastAsia"/>
                <w:sz w:val="18"/>
              </w:rPr>
              <w:t>海尔智家股份有限公司关于拟注册发行债务融资工具的公告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Pr>
                <w:sz w:val="18"/>
              </w:rPr>
            </w:pPr>
            <w:r>
              <w:rPr>
                <w:rFonts w:ascii="宋体" w:eastAsia="宋体" w:hint="eastAsia"/>
                <w:spacing w:val="8"/>
                <w:sz w:val="18"/>
              </w:rPr>
              <w:t>中国证券报</w:t>
            </w:r>
            <w:r>
              <w:rPr>
                <w:sz w:val="18"/>
              </w:rPr>
              <w:t>B278 </w:t>
            </w:r>
            <w:r>
              <w:rPr>
                <w:rFonts w:ascii="宋体" w:eastAsia="宋体" w:hint="eastAsia"/>
                <w:spacing w:val="-20"/>
                <w:sz w:val="18"/>
              </w:rPr>
              <w:t>版、上海证券报 </w:t>
            </w:r>
            <w:r>
              <w:rPr>
                <w:sz w:val="18"/>
              </w:rPr>
              <w:t>121-123</w:t>
            </w:r>
          </w:p>
          <w:p>
            <w:pPr>
              <w:pStyle w:val="TableParagraph"/>
              <w:spacing w:before="82"/>
              <w:ind w:left="115"/>
              <w:rPr>
                <w:rFonts w:ascii="宋体" w:eastAsia="宋体" w:hint="eastAsia"/>
                <w:sz w:val="18"/>
              </w:rPr>
            </w:pPr>
            <w:r>
              <w:rPr>
                <w:rFonts w:ascii="宋体" w:eastAsia="宋体" w:hint="eastAsia"/>
                <w:sz w:val="18"/>
              </w:rPr>
              <w:t>版、证券时报 </w:t>
            </w:r>
            <w:r>
              <w:rPr>
                <w:sz w:val="18"/>
              </w:rPr>
              <w:t>B385-388 </w:t>
            </w:r>
            <w:r>
              <w:rPr>
                <w:rFonts w:ascii="宋体" w:eastAsia="宋体" w:hint="eastAsia"/>
                <w:sz w:val="18"/>
              </w:rPr>
              <w:t>版、证券日报</w:t>
            </w:r>
          </w:p>
          <w:p>
            <w:pPr>
              <w:pStyle w:val="TableParagraph"/>
              <w:spacing w:before="81"/>
              <w:ind w:left="115"/>
              <w:rPr>
                <w:rFonts w:ascii="宋体" w:eastAsia="宋体" w:hint="eastAsia"/>
                <w:sz w:val="18"/>
              </w:rPr>
            </w:pPr>
            <w:r>
              <w:rPr>
                <w:sz w:val="18"/>
              </w:rPr>
              <w:t>C469-474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10"/>
              <w:rPr>
                <w:sz w:val="16"/>
              </w:rPr>
            </w:pPr>
          </w:p>
          <w:p>
            <w:pPr>
              <w:pStyle w:val="TableParagraph"/>
              <w:ind w:left="94" w:right="55"/>
              <w:jc w:val="center"/>
              <w:rPr>
                <w:sz w:val="18"/>
              </w:rPr>
            </w:pPr>
            <w:r>
              <w:rPr>
                <w:sz w:val="18"/>
              </w:rPr>
              <w:t>2020 </w:t>
            </w:r>
            <w:r>
              <w:rPr>
                <w:rFonts w:ascii="宋体" w:eastAsia="宋体" w:hint="eastAsia"/>
                <w:sz w:val="18"/>
              </w:rPr>
              <w:t>年 </w:t>
            </w:r>
            <w:r>
              <w:rPr>
                <w:sz w:val="18"/>
              </w:rPr>
              <w:t>04 </w:t>
            </w:r>
            <w:r>
              <w:rPr>
                <w:rFonts w:ascii="宋体" w:eastAsia="宋体" w:hint="eastAsia"/>
                <w:sz w:val="18"/>
              </w:rPr>
              <w:t>月 </w:t>
            </w:r>
            <w:r>
              <w:rPr>
                <w:sz w:val="18"/>
              </w:rPr>
              <w:t>30</w:t>
            </w:r>
          </w:p>
          <w:p>
            <w:pPr>
              <w:pStyle w:val="TableParagraph"/>
              <w:spacing w:before="82"/>
              <w:ind w:left="39"/>
              <w:jc w:val="center"/>
              <w:rPr>
                <w:rFonts w:ascii="宋体" w:eastAsia="宋体" w:hint="eastAsia"/>
                <w:sz w:val="18"/>
              </w:rPr>
            </w:pPr>
            <w:r>
              <w:rPr>
                <w:rFonts w:ascii="宋体" w:eastAsia="宋体" w:hint="eastAsia"/>
                <w:sz w:val="18"/>
              </w:rPr>
              <w:t>日</w:t>
            </w:r>
          </w:p>
        </w:tc>
      </w:tr>
      <w:tr>
        <w:trPr>
          <w:trHeight w:val="935" w:hRule="atLeast"/>
        </w:trPr>
        <w:tc>
          <w:tcPr>
            <w:tcW w:w="4253" w:type="dxa"/>
            <w:tcBorders>
              <w:top w:val="single" w:sz="4" w:space="0" w:color="000000"/>
              <w:bottom w:val="single" w:sz="4" w:space="0" w:color="000000"/>
              <w:right w:val="single" w:sz="4" w:space="0" w:color="000000"/>
            </w:tcBorders>
          </w:tcPr>
          <w:p>
            <w:pPr>
              <w:pStyle w:val="TableParagraph"/>
              <w:spacing w:before="10"/>
              <w:rPr>
                <w:sz w:val="16"/>
              </w:rPr>
            </w:pPr>
          </w:p>
          <w:p>
            <w:pPr>
              <w:pStyle w:val="TableParagraph"/>
              <w:spacing w:line="324" w:lineRule="auto"/>
              <w:ind w:left="105" w:right="19"/>
              <w:rPr>
                <w:rFonts w:ascii="宋体" w:eastAsia="宋体" w:hint="eastAsia"/>
                <w:sz w:val="18"/>
              </w:rPr>
            </w:pPr>
            <w:r>
              <w:rPr>
                <w:rFonts w:ascii="宋体" w:eastAsia="宋体" w:hint="eastAsia"/>
                <w:sz w:val="18"/>
              </w:rPr>
              <w:t>海尔智家股份有限公司关于预计 </w:t>
            </w:r>
            <w:r>
              <w:rPr>
                <w:sz w:val="18"/>
              </w:rPr>
              <w:t>2020 </w:t>
            </w:r>
            <w:r>
              <w:rPr>
                <w:rFonts w:ascii="宋体" w:eastAsia="宋体" w:hint="eastAsia"/>
                <w:sz w:val="18"/>
              </w:rPr>
              <w:t>年度日常关联交易的公告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Pr>
                <w:sz w:val="18"/>
              </w:rPr>
            </w:pPr>
            <w:r>
              <w:rPr>
                <w:rFonts w:ascii="宋体" w:eastAsia="宋体" w:hint="eastAsia"/>
                <w:spacing w:val="8"/>
                <w:sz w:val="18"/>
              </w:rPr>
              <w:t>中国证券报</w:t>
            </w:r>
            <w:r>
              <w:rPr>
                <w:sz w:val="18"/>
              </w:rPr>
              <w:t>B278 </w:t>
            </w:r>
            <w:r>
              <w:rPr>
                <w:rFonts w:ascii="宋体" w:eastAsia="宋体" w:hint="eastAsia"/>
                <w:spacing w:val="-20"/>
                <w:sz w:val="18"/>
              </w:rPr>
              <w:t>版、上海证券报 </w:t>
            </w:r>
            <w:r>
              <w:rPr>
                <w:sz w:val="18"/>
              </w:rPr>
              <w:t>121-123</w:t>
            </w:r>
          </w:p>
          <w:p>
            <w:pPr>
              <w:pStyle w:val="TableParagraph"/>
              <w:spacing w:before="81"/>
              <w:ind w:left="115"/>
              <w:rPr>
                <w:rFonts w:ascii="宋体" w:eastAsia="宋体" w:hint="eastAsia"/>
                <w:sz w:val="18"/>
              </w:rPr>
            </w:pPr>
            <w:r>
              <w:rPr>
                <w:rFonts w:ascii="宋体" w:eastAsia="宋体" w:hint="eastAsia"/>
                <w:sz w:val="18"/>
              </w:rPr>
              <w:t>版、证券时报 </w:t>
            </w:r>
            <w:r>
              <w:rPr>
                <w:sz w:val="18"/>
              </w:rPr>
              <w:t>B385-388 </w:t>
            </w:r>
            <w:r>
              <w:rPr>
                <w:rFonts w:ascii="宋体" w:eastAsia="宋体" w:hint="eastAsia"/>
                <w:sz w:val="18"/>
              </w:rPr>
              <w:t>版、证券日报</w:t>
            </w:r>
          </w:p>
          <w:p>
            <w:pPr>
              <w:pStyle w:val="TableParagraph"/>
              <w:spacing w:before="82"/>
              <w:ind w:left="115"/>
              <w:rPr>
                <w:rFonts w:ascii="宋体" w:eastAsia="宋体" w:hint="eastAsia"/>
                <w:sz w:val="18"/>
              </w:rPr>
            </w:pPr>
            <w:r>
              <w:rPr>
                <w:sz w:val="18"/>
              </w:rPr>
              <w:t>C469-474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10"/>
              <w:rPr>
                <w:sz w:val="16"/>
              </w:rPr>
            </w:pPr>
          </w:p>
          <w:p>
            <w:pPr>
              <w:pStyle w:val="TableParagraph"/>
              <w:ind w:left="94" w:right="55"/>
              <w:jc w:val="center"/>
              <w:rPr>
                <w:sz w:val="18"/>
              </w:rPr>
            </w:pPr>
            <w:r>
              <w:rPr>
                <w:sz w:val="18"/>
              </w:rPr>
              <w:t>2020 </w:t>
            </w:r>
            <w:r>
              <w:rPr>
                <w:rFonts w:ascii="宋体" w:eastAsia="宋体" w:hint="eastAsia"/>
                <w:sz w:val="18"/>
              </w:rPr>
              <w:t>年 </w:t>
            </w:r>
            <w:r>
              <w:rPr>
                <w:sz w:val="18"/>
              </w:rPr>
              <w:t>04 </w:t>
            </w:r>
            <w:r>
              <w:rPr>
                <w:rFonts w:ascii="宋体" w:eastAsia="宋体" w:hint="eastAsia"/>
                <w:sz w:val="18"/>
              </w:rPr>
              <w:t>月 </w:t>
            </w:r>
            <w:r>
              <w:rPr>
                <w:sz w:val="18"/>
              </w:rPr>
              <w:t>30</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937" w:hRule="atLeast"/>
        </w:trPr>
        <w:tc>
          <w:tcPr>
            <w:tcW w:w="4253" w:type="dxa"/>
            <w:tcBorders>
              <w:top w:val="single" w:sz="4" w:space="0" w:color="000000"/>
              <w:bottom w:val="single" w:sz="4" w:space="0" w:color="000000"/>
              <w:right w:val="single" w:sz="4" w:space="0" w:color="000000"/>
            </w:tcBorders>
          </w:tcPr>
          <w:p>
            <w:pPr>
              <w:pStyle w:val="TableParagraph"/>
              <w:rPr>
                <w:sz w:val="18"/>
              </w:rPr>
            </w:pPr>
          </w:p>
          <w:p>
            <w:pPr>
              <w:pStyle w:val="TableParagraph"/>
              <w:spacing w:before="145"/>
              <w:ind w:left="105"/>
              <w:rPr>
                <w:rFonts w:ascii="宋体" w:eastAsia="宋体" w:hint="eastAsia"/>
                <w:sz w:val="18"/>
              </w:rPr>
            </w:pPr>
            <w:r>
              <w:rPr>
                <w:rFonts w:ascii="宋体" w:eastAsia="宋体" w:hint="eastAsia"/>
                <w:sz w:val="18"/>
              </w:rPr>
              <w:t>海尔智家股份有限公司关于选举独立董事的公告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40"/>
              <w:ind w:left="115"/>
              <w:rPr>
                <w:sz w:val="18"/>
              </w:rPr>
            </w:pPr>
            <w:r>
              <w:rPr>
                <w:rFonts w:ascii="宋体" w:eastAsia="宋体" w:hint="eastAsia"/>
                <w:spacing w:val="8"/>
                <w:sz w:val="18"/>
              </w:rPr>
              <w:t>中国证券报</w:t>
            </w:r>
            <w:r>
              <w:rPr>
                <w:sz w:val="18"/>
              </w:rPr>
              <w:t>B278 </w:t>
            </w:r>
            <w:r>
              <w:rPr>
                <w:rFonts w:ascii="宋体" w:eastAsia="宋体" w:hint="eastAsia"/>
                <w:spacing w:val="-20"/>
                <w:sz w:val="18"/>
              </w:rPr>
              <w:t>版、上海证券报 </w:t>
            </w:r>
            <w:r>
              <w:rPr>
                <w:sz w:val="18"/>
              </w:rPr>
              <w:t>121-123</w:t>
            </w:r>
          </w:p>
          <w:p>
            <w:pPr>
              <w:pStyle w:val="TableParagraph"/>
              <w:spacing w:before="82"/>
              <w:ind w:left="115"/>
              <w:rPr>
                <w:rFonts w:ascii="宋体" w:eastAsia="宋体" w:hint="eastAsia"/>
                <w:sz w:val="18"/>
              </w:rPr>
            </w:pPr>
            <w:r>
              <w:rPr>
                <w:rFonts w:ascii="宋体" w:eastAsia="宋体" w:hint="eastAsia"/>
                <w:sz w:val="18"/>
              </w:rPr>
              <w:t>版、证券时报 </w:t>
            </w:r>
            <w:r>
              <w:rPr>
                <w:sz w:val="18"/>
              </w:rPr>
              <w:t>B385-388 </w:t>
            </w:r>
            <w:r>
              <w:rPr>
                <w:rFonts w:ascii="宋体" w:eastAsia="宋体" w:hint="eastAsia"/>
                <w:sz w:val="18"/>
              </w:rPr>
              <w:t>版、证券日报</w:t>
            </w:r>
          </w:p>
          <w:p>
            <w:pPr>
              <w:pStyle w:val="TableParagraph"/>
              <w:spacing w:before="81"/>
              <w:ind w:left="115"/>
              <w:rPr>
                <w:rFonts w:ascii="宋体" w:eastAsia="宋体" w:hint="eastAsia"/>
                <w:sz w:val="18"/>
              </w:rPr>
            </w:pPr>
            <w:r>
              <w:rPr>
                <w:sz w:val="18"/>
              </w:rPr>
              <w:t>C469-474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1"/>
              <w:rPr>
                <w:sz w:val="17"/>
              </w:rPr>
            </w:pPr>
          </w:p>
          <w:p>
            <w:pPr>
              <w:pStyle w:val="TableParagraph"/>
              <w:ind w:left="94" w:right="55"/>
              <w:jc w:val="center"/>
              <w:rPr>
                <w:sz w:val="18"/>
              </w:rPr>
            </w:pPr>
            <w:r>
              <w:rPr>
                <w:sz w:val="18"/>
              </w:rPr>
              <w:t>2020 </w:t>
            </w:r>
            <w:r>
              <w:rPr>
                <w:rFonts w:ascii="宋体" w:eastAsia="宋体" w:hint="eastAsia"/>
                <w:sz w:val="18"/>
              </w:rPr>
              <w:t>年 </w:t>
            </w:r>
            <w:r>
              <w:rPr>
                <w:sz w:val="18"/>
              </w:rPr>
              <w:t>04 </w:t>
            </w:r>
            <w:r>
              <w:rPr>
                <w:rFonts w:ascii="宋体" w:eastAsia="宋体" w:hint="eastAsia"/>
                <w:sz w:val="18"/>
              </w:rPr>
              <w:t>月 </w:t>
            </w:r>
            <w:r>
              <w:rPr>
                <w:sz w:val="18"/>
              </w:rPr>
              <w:t>30</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936" w:hRule="atLeast"/>
        </w:trPr>
        <w:tc>
          <w:tcPr>
            <w:tcW w:w="4253" w:type="dxa"/>
            <w:tcBorders>
              <w:top w:val="single" w:sz="4" w:space="0" w:color="000000"/>
              <w:bottom w:val="single" w:sz="4" w:space="0" w:color="000000"/>
              <w:right w:val="single" w:sz="4" w:space="0" w:color="000000"/>
            </w:tcBorders>
          </w:tcPr>
          <w:p>
            <w:pPr>
              <w:pStyle w:val="TableParagraph"/>
              <w:spacing w:before="10"/>
              <w:rPr>
                <w:sz w:val="16"/>
              </w:rPr>
            </w:pPr>
          </w:p>
          <w:p>
            <w:pPr>
              <w:pStyle w:val="TableParagraph"/>
              <w:spacing w:line="324" w:lineRule="auto"/>
              <w:ind w:left="105" w:right="81"/>
              <w:rPr>
                <w:rFonts w:ascii="宋体" w:eastAsia="宋体" w:hint="eastAsia"/>
                <w:sz w:val="18"/>
              </w:rPr>
            </w:pPr>
            <w:r>
              <w:rPr>
                <w:rFonts w:ascii="宋体" w:eastAsia="宋体" w:hint="eastAsia"/>
                <w:sz w:val="18"/>
              </w:rPr>
              <w:t>海尔智家股份有限公司关于部分募投项目结项并将节余募集资金永久补充流动资金的公告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Pr>
                <w:sz w:val="18"/>
              </w:rPr>
            </w:pPr>
            <w:r>
              <w:rPr>
                <w:rFonts w:ascii="宋体" w:eastAsia="宋体" w:hint="eastAsia"/>
                <w:spacing w:val="8"/>
                <w:sz w:val="18"/>
              </w:rPr>
              <w:t>中国证券报</w:t>
            </w:r>
            <w:r>
              <w:rPr>
                <w:sz w:val="18"/>
              </w:rPr>
              <w:t>B278 </w:t>
            </w:r>
            <w:r>
              <w:rPr>
                <w:rFonts w:ascii="宋体" w:eastAsia="宋体" w:hint="eastAsia"/>
                <w:spacing w:val="-20"/>
                <w:sz w:val="18"/>
              </w:rPr>
              <w:t>版、上海证券报 </w:t>
            </w:r>
            <w:r>
              <w:rPr>
                <w:sz w:val="18"/>
              </w:rPr>
              <w:t>121-123</w:t>
            </w:r>
          </w:p>
          <w:p>
            <w:pPr>
              <w:pStyle w:val="TableParagraph"/>
              <w:spacing w:before="81"/>
              <w:ind w:left="115"/>
              <w:rPr>
                <w:rFonts w:ascii="宋体" w:eastAsia="宋体" w:hint="eastAsia"/>
                <w:sz w:val="18"/>
              </w:rPr>
            </w:pPr>
            <w:r>
              <w:rPr>
                <w:rFonts w:ascii="宋体" w:eastAsia="宋体" w:hint="eastAsia"/>
                <w:sz w:val="18"/>
              </w:rPr>
              <w:t>版、证券时报 </w:t>
            </w:r>
            <w:r>
              <w:rPr>
                <w:sz w:val="18"/>
              </w:rPr>
              <w:t>B385-388 </w:t>
            </w:r>
            <w:r>
              <w:rPr>
                <w:rFonts w:ascii="宋体" w:eastAsia="宋体" w:hint="eastAsia"/>
                <w:sz w:val="18"/>
              </w:rPr>
              <w:t>版、证券日报</w:t>
            </w:r>
          </w:p>
          <w:p>
            <w:pPr>
              <w:pStyle w:val="TableParagraph"/>
              <w:spacing w:before="82"/>
              <w:ind w:left="115"/>
              <w:rPr>
                <w:rFonts w:ascii="宋体" w:eastAsia="宋体" w:hint="eastAsia"/>
                <w:sz w:val="18"/>
              </w:rPr>
            </w:pPr>
            <w:r>
              <w:rPr>
                <w:sz w:val="18"/>
              </w:rPr>
              <w:t>C469-474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10"/>
              <w:rPr>
                <w:sz w:val="16"/>
              </w:rPr>
            </w:pPr>
          </w:p>
          <w:p>
            <w:pPr>
              <w:pStyle w:val="TableParagraph"/>
              <w:ind w:left="94" w:right="55"/>
              <w:jc w:val="center"/>
              <w:rPr>
                <w:sz w:val="18"/>
              </w:rPr>
            </w:pPr>
            <w:r>
              <w:rPr>
                <w:sz w:val="18"/>
              </w:rPr>
              <w:t>2020 </w:t>
            </w:r>
            <w:r>
              <w:rPr>
                <w:rFonts w:ascii="宋体" w:eastAsia="宋体" w:hint="eastAsia"/>
                <w:sz w:val="18"/>
              </w:rPr>
              <w:t>年 </w:t>
            </w:r>
            <w:r>
              <w:rPr>
                <w:sz w:val="18"/>
              </w:rPr>
              <w:t>04 </w:t>
            </w:r>
            <w:r>
              <w:rPr>
                <w:rFonts w:ascii="宋体" w:eastAsia="宋体" w:hint="eastAsia"/>
                <w:sz w:val="18"/>
              </w:rPr>
              <w:t>月 </w:t>
            </w:r>
            <w:r>
              <w:rPr>
                <w:sz w:val="18"/>
              </w:rPr>
              <w:t>30</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935" w:hRule="atLeast"/>
        </w:trPr>
        <w:tc>
          <w:tcPr>
            <w:tcW w:w="4253" w:type="dxa"/>
            <w:tcBorders>
              <w:top w:val="single" w:sz="4" w:space="0" w:color="000000"/>
              <w:bottom w:val="single" w:sz="4" w:space="0" w:color="000000"/>
              <w:right w:val="single" w:sz="4" w:space="0" w:color="000000"/>
            </w:tcBorders>
          </w:tcPr>
          <w:p>
            <w:pPr>
              <w:pStyle w:val="TableParagraph"/>
              <w:spacing w:before="10"/>
              <w:rPr>
                <w:sz w:val="16"/>
              </w:rPr>
            </w:pPr>
          </w:p>
          <w:p>
            <w:pPr>
              <w:pStyle w:val="TableParagraph"/>
              <w:spacing w:line="324" w:lineRule="auto"/>
              <w:ind w:left="105" w:right="90"/>
              <w:rPr>
                <w:rFonts w:ascii="宋体" w:eastAsia="宋体" w:hint="eastAsia"/>
                <w:sz w:val="18"/>
              </w:rPr>
            </w:pPr>
            <w:r>
              <w:rPr>
                <w:rFonts w:ascii="宋体" w:eastAsia="宋体" w:hint="eastAsia"/>
                <w:sz w:val="18"/>
              </w:rPr>
              <w:t>海尔智家股份有限公司关于使用闲置募集资金进行现金管理的公告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Pr>
                <w:sz w:val="18"/>
              </w:rPr>
            </w:pPr>
            <w:r>
              <w:rPr>
                <w:rFonts w:ascii="宋体" w:eastAsia="宋体" w:hint="eastAsia"/>
                <w:spacing w:val="8"/>
                <w:sz w:val="18"/>
              </w:rPr>
              <w:t>中国证券报</w:t>
            </w:r>
            <w:r>
              <w:rPr>
                <w:sz w:val="18"/>
              </w:rPr>
              <w:t>B278 </w:t>
            </w:r>
            <w:r>
              <w:rPr>
                <w:rFonts w:ascii="宋体" w:eastAsia="宋体" w:hint="eastAsia"/>
                <w:spacing w:val="-20"/>
                <w:sz w:val="18"/>
              </w:rPr>
              <w:t>版、上海证券报 </w:t>
            </w:r>
            <w:r>
              <w:rPr>
                <w:sz w:val="18"/>
              </w:rPr>
              <w:t>121-123</w:t>
            </w:r>
          </w:p>
          <w:p>
            <w:pPr>
              <w:pStyle w:val="TableParagraph"/>
              <w:spacing w:before="81"/>
              <w:ind w:left="115"/>
              <w:rPr>
                <w:rFonts w:ascii="宋体" w:eastAsia="宋体" w:hint="eastAsia"/>
                <w:sz w:val="18"/>
              </w:rPr>
            </w:pPr>
            <w:r>
              <w:rPr>
                <w:rFonts w:ascii="宋体" w:eastAsia="宋体" w:hint="eastAsia"/>
                <w:sz w:val="18"/>
              </w:rPr>
              <w:t>版、证券时报 </w:t>
            </w:r>
            <w:r>
              <w:rPr>
                <w:sz w:val="18"/>
              </w:rPr>
              <w:t>B385-388 </w:t>
            </w:r>
            <w:r>
              <w:rPr>
                <w:rFonts w:ascii="宋体" w:eastAsia="宋体" w:hint="eastAsia"/>
                <w:sz w:val="18"/>
              </w:rPr>
              <w:t>版、证券日报</w:t>
            </w:r>
          </w:p>
          <w:p>
            <w:pPr>
              <w:pStyle w:val="TableParagraph"/>
              <w:spacing w:before="82"/>
              <w:ind w:left="115"/>
              <w:rPr>
                <w:rFonts w:ascii="宋体" w:eastAsia="宋体" w:hint="eastAsia"/>
                <w:sz w:val="18"/>
              </w:rPr>
            </w:pPr>
            <w:r>
              <w:rPr>
                <w:sz w:val="18"/>
              </w:rPr>
              <w:t>C469-474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10"/>
              <w:rPr>
                <w:sz w:val="16"/>
              </w:rPr>
            </w:pPr>
          </w:p>
          <w:p>
            <w:pPr>
              <w:pStyle w:val="TableParagraph"/>
              <w:ind w:left="94" w:right="55"/>
              <w:jc w:val="center"/>
              <w:rPr>
                <w:sz w:val="18"/>
              </w:rPr>
            </w:pPr>
            <w:r>
              <w:rPr>
                <w:sz w:val="18"/>
              </w:rPr>
              <w:t>2020 </w:t>
            </w:r>
            <w:r>
              <w:rPr>
                <w:rFonts w:ascii="宋体" w:eastAsia="宋体" w:hint="eastAsia"/>
                <w:sz w:val="18"/>
              </w:rPr>
              <w:t>年 </w:t>
            </w:r>
            <w:r>
              <w:rPr>
                <w:sz w:val="18"/>
              </w:rPr>
              <w:t>04 </w:t>
            </w:r>
            <w:r>
              <w:rPr>
                <w:rFonts w:ascii="宋体" w:eastAsia="宋体" w:hint="eastAsia"/>
                <w:sz w:val="18"/>
              </w:rPr>
              <w:t>月 </w:t>
            </w:r>
            <w:r>
              <w:rPr>
                <w:sz w:val="18"/>
              </w:rPr>
              <w:t>30</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935" w:hRule="atLeast"/>
        </w:trPr>
        <w:tc>
          <w:tcPr>
            <w:tcW w:w="4253" w:type="dxa"/>
            <w:tcBorders>
              <w:top w:val="single" w:sz="4" w:space="0" w:color="000000"/>
              <w:bottom w:val="single" w:sz="4" w:space="0" w:color="000000"/>
              <w:right w:val="single" w:sz="4" w:space="0" w:color="000000"/>
            </w:tcBorders>
          </w:tcPr>
          <w:p>
            <w:pPr>
              <w:pStyle w:val="TableParagraph"/>
              <w:spacing w:before="10"/>
              <w:rPr>
                <w:sz w:val="16"/>
              </w:rPr>
            </w:pPr>
          </w:p>
          <w:p>
            <w:pPr>
              <w:pStyle w:val="TableParagraph"/>
              <w:spacing w:line="324" w:lineRule="auto"/>
              <w:ind w:left="105" w:right="90"/>
              <w:rPr>
                <w:rFonts w:ascii="宋体" w:eastAsia="宋体" w:hint="eastAsia"/>
                <w:sz w:val="18"/>
              </w:rPr>
            </w:pPr>
            <w:r>
              <w:rPr>
                <w:rFonts w:ascii="宋体" w:eastAsia="宋体" w:hint="eastAsia"/>
                <w:sz w:val="18"/>
              </w:rPr>
              <w:t>海尔智家股份有限公司关于海尔集团公司变更其部分资产注入承诺的公告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Pr>
                <w:sz w:val="18"/>
              </w:rPr>
            </w:pPr>
            <w:r>
              <w:rPr>
                <w:rFonts w:ascii="宋体" w:eastAsia="宋体" w:hint="eastAsia"/>
                <w:spacing w:val="8"/>
                <w:sz w:val="18"/>
              </w:rPr>
              <w:t>中国证券报</w:t>
            </w:r>
            <w:r>
              <w:rPr>
                <w:sz w:val="18"/>
              </w:rPr>
              <w:t>B278 </w:t>
            </w:r>
            <w:r>
              <w:rPr>
                <w:rFonts w:ascii="宋体" w:eastAsia="宋体" w:hint="eastAsia"/>
                <w:spacing w:val="-20"/>
                <w:sz w:val="18"/>
              </w:rPr>
              <w:t>版、上海证券报 </w:t>
            </w:r>
            <w:r>
              <w:rPr>
                <w:sz w:val="18"/>
              </w:rPr>
              <w:t>121-123</w:t>
            </w:r>
          </w:p>
          <w:p>
            <w:pPr>
              <w:pStyle w:val="TableParagraph"/>
              <w:spacing w:before="81"/>
              <w:ind w:left="115"/>
              <w:rPr>
                <w:rFonts w:ascii="宋体" w:eastAsia="宋体" w:hint="eastAsia"/>
                <w:sz w:val="18"/>
              </w:rPr>
            </w:pPr>
            <w:r>
              <w:rPr>
                <w:rFonts w:ascii="宋体" w:eastAsia="宋体" w:hint="eastAsia"/>
                <w:sz w:val="18"/>
              </w:rPr>
              <w:t>版、证券时报 </w:t>
            </w:r>
            <w:r>
              <w:rPr>
                <w:sz w:val="18"/>
              </w:rPr>
              <w:t>B385-388 </w:t>
            </w:r>
            <w:r>
              <w:rPr>
                <w:rFonts w:ascii="宋体" w:eastAsia="宋体" w:hint="eastAsia"/>
                <w:sz w:val="18"/>
              </w:rPr>
              <w:t>版、证券日报</w:t>
            </w:r>
          </w:p>
          <w:p>
            <w:pPr>
              <w:pStyle w:val="TableParagraph"/>
              <w:spacing w:before="82"/>
              <w:ind w:left="115"/>
              <w:rPr>
                <w:rFonts w:ascii="宋体" w:eastAsia="宋体" w:hint="eastAsia"/>
                <w:sz w:val="18"/>
              </w:rPr>
            </w:pPr>
            <w:r>
              <w:rPr>
                <w:sz w:val="18"/>
              </w:rPr>
              <w:t>C469-474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10"/>
              <w:rPr>
                <w:sz w:val="16"/>
              </w:rPr>
            </w:pPr>
          </w:p>
          <w:p>
            <w:pPr>
              <w:pStyle w:val="TableParagraph"/>
              <w:ind w:left="94" w:right="55"/>
              <w:jc w:val="center"/>
              <w:rPr>
                <w:sz w:val="18"/>
              </w:rPr>
            </w:pPr>
            <w:r>
              <w:rPr>
                <w:sz w:val="18"/>
              </w:rPr>
              <w:t>2020 </w:t>
            </w:r>
            <w:r>
              <w:rPr>
                <w:rFonts w:ascii="宋体" w:eastAsia="宋体" w:hint="eastAsia"/>
                <w:sz w:val="18"/>
              </w:rPr>
              <w:t>年 </w:t>
            </w:r>
            <w:r>
              <w:rPr>
                <w:sz w:val="18"/>
              </w:rPr>
              <w:t>04 </w:t>
            </w:r>
            <w:r>
              <w:rPr>
                <w:rFonts w:ascii="宋体" w:eastAsia="宋体" w:hint="eastAsia"/>
                <w:sz w:val="18"/>
              </w:rPr>
              <w:t>月 </w:t>
            </w:r>
            <w:r>
              <w:rPr>
                <w:sz w:val="18"/>
              </w:rPr>
              <w:t>30</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623" w:hRule="atLeast"/>
        </w:trPr>
        <w:tc>
          <w:tcPr>
            <w:tcW w:w="4253" w:type="dxa"/>
            <w:tcBorders>
              <w:top w:val="single" w:sz="4" w:space="0" w:color="000000"/>
              <w:right w:val="single" w:sz="4" w:space="0" w:color="000000"/>
            </w:tcBorders>
          </w:tcPr>
          <w:p>
            <w:pPr>
              <w:pStyle w:val="TableParagraph"/>
              <w:spacing w:before="38"/>
              <w:ind w:left="105"/>
              <w:rPr>
                <w:rFonts w:ascii="宋体" w:eastAsia="宋体" w:hint="eastAsia"/>
                <w:sz w:val="18"/>
              </w:rPr>
            </w:pPr>
            <w:r>
              <w:rPr>
                <w:rFonts w:ascii="宋体" w:eastAsia="宋体" w:hint="eastAsia"/>
                <w:sz w:val="18"/>
              </w:rPr>
              <w:t>海尔智家股份有限公司关于继续受托管理青岛海尔</w:t>
            </w:r>
          </w:p>
          <w:p>
            <w:pPr>
              <w:pStyle w:val="TableParagraph"/>
              <w:spacing w:before="81"/>
              <w:ind w:left="105"/>
              <w:rPr>
                <w:rFonts w:ascii="宋体" w:eastAsia="宋体" w:hint="eastAsia"/>
                <w:sz w:val="18"/>
              </w:rPr>
            </w:pPr>
            <w:r>
              <w:rPr>
                <w:rFonts w:ascii="宋体" w:eastAsia="宋体" w:hint="eastAsia"/>
                <w:sz w:val="18"/>
              </w:rPr>
              <w:t>光电有限公司暨关联交易的公告</w:t>
            </w:r>
          </w:p>
        </w:tc>
        <w:tc>
          <w:tcPr>
            <w:tcW w:w="3401" w:type="dxa"/>
            <w:tcBorders>
              <w:top w:val="single" w:sz="4" w:space="0" w:color="000000"/>
              <w:left w:val="single" w:sz="4" w:space="0" w:color="000000"/>
              <w:right w:val="single" w:sz="4" w:space="0" w:color="000000"/>
            </w:tcBorders>
          </w:tcPr>
          <w:p>
            <w:pPr>
              <w:pStyle w:val="TableParagraph"/>
              <w:spacing w:before="38"/>
              <w:ind w:left="115"/>
              <w:rPr>
                <w:sz w:val="18"/>
              </w:rPr>
            </w:pPr>
            <w:r>
              <w:rPr>
                <w:rFonts w:ascii="宋体" w:eastAsia="宋体" w:hint="eastAsia"/>
                <w:spacing w:val="8"/>
                <w:sz w:val="18"/>
              </w:rPr>
              <w:t>中国证券报</w:t>
            </w:r>
            <w:r>
              <w:rPr>
                <w:sz w:val="18"/>
              </w:rPr>
              <w:t>B278 </w:t>
            </w:r>
            <w:r>
              <w:rPr>
                <w:rFonts w:ascii="宋体" w:eastAsia="宋体" w:hint="eastAsia"/>
                <w:spacing w:val="-20"/>
                <w:sz w:val="18"/>
              </w:rPr>
              <w:t>版、上海证券报 </w:t>
            </w:r>
            <w:r>
              <w:rPr>
                <w:sz w:val="18"/>
              </w:rPr>
              <w:t>121-123</w:t>
            </w:r>
          </w:p>
          <w:p>
            <w:pPr>
              <w:pStyle w:val="TableParagraph"/>
              <w:spacing w:before="81"/>
              <w:ind w:left="115"/>
              <w:rPr>
                <w:rFonts w:ascii="宋体" w:eastAsia="宋体" w:hint="eastAsia"/>
                <w:sz w:val="18"/>
              </w:rPr>
            </w:pPr>
            <w:r>
              <w:rPr>
                <w:rFonts w:ascii="宋体" w:eastAsia="宋体" w:hint="eastAsia"/>
                <w:sz w:val="18"/>
              </w:rPr>
              <w:t>版、证券时报 </w:t>
            </w:r>
            <w:r>
              <w:rPr>
                <w:sz w:val="18"/>
              </w:rPr>
              <w:t>B385-388 </w:t>
            </w:r>
            <w:r>
              <w:rPr>
                <w:rFonts w:ascii="宋体" w:eastAsia="宋体" w:hint="eastAsia"/>
                <w:sz w:val="18"/>
              </w:rPr>
              <w:t>版、证券日报</w:t>
            </w:r>
          </w:p>
        </w:tc>
        <w:tc>
          <w:tcPr>
            <w:tcW w:w="1559" w:type="dxa"/>
            <w:tcBorders>
              <w:top w:val="single" w:sz="4" w:space="0" w:color="000000"/>
              <w:left w:val="single" w:sz="4" w:space="0" w:color="000000"/>
            </w:tcBorders>
          </w:tcPr>
          <w:p>
            <w:pPr>
              <w:pStyle w:val="TableParagraph"/>
              <w:spacing w:before="38"/>
              <w:ind w:left="94" w:right="55"/>
              <w:jc w:val="center"/>
              <w:rPr>
                <w:sz w:val="18"/>
              </w:rPr>
            </w:pPr>
            <w:r>
              <w:rPr>
                <w:sz w:val="18"/>
              </w:rPr>
              <w:t>2020 </w:t>
            </w:r>
            <w:r>
              <w:rPr>
                <w:rFonts w:ascii="宋体" w:eastAsia="宋体" w:hint="eastAsia"/>
                <w:sz w:val="18"/>
              </w:rPr>
              <w:t>年 </w:t>
            </w:r>
            <w:r>
              <w:rPr>
                <w:sz w:val="18"/>
              </w:rPr>
              <w:t>04 </w:t>
            </w:r>
            <w:r>
              <w:rPr>
                <w:rFonts w:ascii="宋体" w:eastAsia="宋体" w:hint="eastAsia"/>
                <w:sz w:val="18"/>
              </w:rPr>
              <w:t>月 </w:t>
            </w:r>
            <w:r>
              <w:rPr>
                <w:sz w:val="18"/>
              </w:rPr>
              <w:t>30</w:t>
            </w:r>
          </w:p>
          <w:p>
            <w:pPr>
              <w:pStyle w:val="TableParagraph"/>
              <w:spacing w:before="81"/>
              <w:ind w:left="39"/>
              <w:jc w:val="center"/>
              <w:rPr>
                <w:rFonts w:ascii="宋体" w:eastAsia="宋体" w:hint="eastAsia"/>
                <w:sz w:val="18"/>
              </w:rPr>
            </w:pPr>
            <w:r>
              <w:rPr>
                <w:rFonts w:ascii="宋体" w:eastAsia="宋体" w:hint="eastAsia"/>
                <w:sz w:val="18"/>
              </w:rPr>
              <w:t>日</w:t>
            </w:r>
          </w:p>
        </w:tc>
      </w:tr>
    </w:tbl>
    <w:p>
      <w:pPr>
        <w:spacing w:after="0"/>
        <w:jc w:val="center"/>
        <w:rPr>
          <w:rFonts w:ascii="宋体" w:eastAsia="宋体" w:hint="eastAsia"/>
          <w:sz w:val="18"/>
        </w:rPr>
        <w:sectPr>
          <w:headerReference w:type="default" r:id="rId51"/>
          <w:footerReference w:type="default" r:id="rId52"/>
          <w:pgSz w:w="11910" w:h="16840"/>
          <w:pgMar w:header="874" w:footer="1214" w:top="1120" w:bottom="1400" w:left="840" w:right="300"/>
          <w:pgNumType w:start="5"/>
        </w:sectPr>
      </w:pPr>
    </w:p>
    <w:p>
      <w:pPr>
        <w:pStyle w:val="BodyText"/>
        <w:rPr>
          <w:rFonts w:ascii="Times New Roman"/>
          <w:sz w:val="20"/>
        </w:rPr>
      </w:pPr>
    </w:p>
    <w:p>
      <w:pPr>
        <w:pStyle w:val="BodyText"/>
        <w:spacing w:before="9" w:after="1"/>
        <w:rPr>
          <w:rFonts w:ascii="Times New Roman"/>
          <w:sz w:val="14"/>
        </w:rPr>
      </w:pPr>
    </w:p>
    <w:tbl>
      <w:tblPr>
        <w:tblW w:w="0" w:type="auto"/>
        <w:jc w:val="left"/>
        <w:tblInd w:w="6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253"/>
        <w:gridCol w:w="3401"/>
        <w:gridCol w:w="1559"/>
      </w:tblGrid>
      <w:tr>
        <w:trPr>
          <w:trHeight w:val="314" w:hRule="atLeast"/>
        </w:trPr>
        <w:tc>
          <w:tcPr>
            <w:tcW w:w="4253" w:type="dxa"/>
            <w:tcBorders>
              <w:bottom w:val="single" w:sz="4" w:space="0" w:color="000000"/>
              <w:right w:val="single" w:sz="4" w:space="0" w:color="000000"/>
            </w:tcBorders>
          </w:tcPr>
          <w:p>
            <w:pPr>
              <w:pStyle w:val="TableParagraph"/>
              <w:rPr>
                <w:sz w:val="18"/>
              </w:rPr>
            </w:pPr>
          </w:p>
        </w:tc>
        <w:tc>
          <w:tcPr>
            <w:tcW w:w="3401" w:type="dxa"/>
            <w:tcBorders>
              <w:left w:val="single" w:sz="4" w:space="0" w:color="000000"/>
              <w:bottom w:val="single" w:sz="4" w:space="0" w:color="000000"/>
              <w:right w:val="single" w:sz="4" w:space="0" w:color="000000"/>
            </w:tcBorders>
          </w:tcPr>
          <w:p>
            <w:pPr>
              <w:pStyle w:val="TableParagraph"/>
              <w:spacing w:before="40"/>
              <w:ind w:left="115"/>
              <w:rPr>
                <w:rFonts w:ascii="宋体" w:eastAsia="宋体" w:hint="eastAsia"/>
                <w:sz w:val="18"/>
              </w:rPr>
            </w:pPr>
            <w:r>
              <w:rPr>
                <w:sz w:val="18"/>
              </w:rPr>
              <w:t>C469-474 </w:t>
            </w:r>
            <w:r>
              <w:rPr>
                <w:rFonts w:ascii="宋体" w:eastAsia="宋体" w:hint="eastAsia"/>
                <w:sz w:val="18"/>
              </w:rPr>
              <w:t>版</w:t>
            </w:r>
          </w:p>
        </w:tc>
        <w:tc>
          <w:tcPr>
            <w:tcW w:w="1559" w:type="dxa"/>
            <w:tcBorders>
              <w:left w:val="single" w:sz="4" w:space="0" w:color="000000"/>
              <w:bottom w:val="single" w:sz="4" w:space="0" w:color="000000"/>
            </w:tcBorders>
          </w:tcPr>
          <w:p>
            <w:pPr>
              <w:pStyle w:val="TableParagraph"/>
              <w:rPr>
                <w:sz w:val="18"/>
              </w:rPr>
            </w:pPr>
          </w:p>
        </w:tc>
      </w:tr>
      <w:tr>
        <w:trPr>
          <w:trHeight w:val="935" w:hRule="atLeast"/>
        </w:trPr>
        <w:tc>
          <w:tcPr>
            <w:tcW w:w="4253" w:type="dxa"/>
            <w:tcBorders>
              <w:top w:val="single" w:sz="4" w:space="0" w:color="000000"/>
              <w:bottom w:val="single" w:sz="4" w:space="0" w:color="000000"/>
              <w:right w:val="single" w:sz="4" w:space="0" w:color="000000"/>
            </w:tcBorders>
          </w:tcPr>
          <w:p>
            <w:pPr>
              <w:pStyle w:val="TableParagraph"/>
              <w:spacing w:before="10"/>
              <w:rPr>
                <w:sz w:val="16"/>
              </w:rPr>
            </w:pPr>
          </w:p>
          <w:p>
            <w:pPr>
              <w:pStyle w:val="TableParagraph"/>
              <w:spacing w:line="324" w:lineRule="auto"/>
              <w:ind w:left="105" w:right="90"/>
              <w:rPr>
                <w:rFonts w:ascii="宋体" w:eastAsia="宋体" w:hint="eastAsia"/>
                <w:sz w:val="18"/>
              </w:rPr>
            </w:pPr>
            <w:r>
              <w:rPr>
                <w:rFonts w:ascii="宋体" w:eastAsia="宋体" w:hint="eastAsia"/>
                <w:sz w:val="18"/>
              </w:rPr>
              <w:t>海尔智家股份有限公司关于修改《公司章程》的公告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Pr>
                <w:sz w:val="18"/>
              </w:rPr>
            </w:pPr>
            <w:r>
              <w:rPr>
                <w:rFonts w:ascii="宋体" w:eastAsia="宋体" w:hint="eastAsia"/>
                <w:spacing w:val="8"/>
                <w:sz w:val="18"/>
              </w:rPr>
              <w:t>中国证券报</w:t>
            </w:r>
            <w:r>
              <w:rPr>
                <w:sz w:val="18"/>
              </w:rPr>
              <w:t>B278 </w:t>
            </w:r>
            <w:r>
              <w:rPr>
                <w:rFonts w:ascii="宋体" w:eastAsia="宋体" w:hint="eastAsia"/>
                <w:spacing w:val="-20"/>
                <w:sz w:val="18"/>
              </w:rPr>
              <w:t>版、上海证券报 </w:t>
            </w:r>
            <w:r>
              <w:rPr>
                <w:sz w:val="18"/>
              </w:rPr>
              <w:t>121-123</w:t>
            </w:r>
          </w:p>
          <w:p>
            <w:pPr>
              <w:pStyle w:val="TableParagraph"/>
              <w:spacing w:before="81"/>
              <w:ind w:left="115"/>
              <w:rPr>
                <w:rFonts w:ascii="宋体" w:eastAsia="宋体" w:hint="eastAsia"/>
                <w:sz w:val="18"/>
              </w:rPr>
            </w:pPr>
            <w:r>
              <w:rPr>
                <w:rFonts w:ascii="宋体" w:eastAsia="宋体" w:hint="eastAsia"/>
                <w:sz w:val="18"/>
              </w:rPr>
              <w:t>版、证券时报 </w:t>
            </w:r>
            <w:r>
              <w:rPr>
                <w:sz w:val="18"/>
              </w:rPr>
              <w:t>B385-388 </w:t>
            </w:r>
            <w:r>
              <w:rPr>
                <w:rFonts w:ascii="宋体" w:eastAsia="宋体" w:hint="eastAsia"/>
                <w:sz w:val="18"/>
              </w:rPr>
              <w:t>版、证券日报</w:t>
            </w:r>
          </w:p>
          <w:p>
            <w:pPr>
              <w:pStyle w:val="TableParagraph"/>
              <w:spacing w:before="82"/>
              <w:ind w:left="115"/>
              <w:rPr>
                <w:rFonts w:ascii="宋体" w:eastAsia="宋体" w:hint="eastAsia"/>
                <w:sz w:val="18"/>
              </w:rPr>
            </w:pPr>
            <w:r>
              <w:rPr>
                <w:sz w:val="18"/>
              </w:rPr>
              <w:t>C469-474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10"/>
              <w:rPr>
                <w:sz w:val="16"/>
              </w:rPr>
            </w:pPr>
          </w:p>
          <w:p>
            <w:pPr>
              <w:pStyle w:val="TableParagraph"/>
              <w:ind w:left="94" w:right="55"/>
              <w:jc w:val="center"/>
              <w:rPr>
                <w:sz w:val="18"/>
              </w:rPr>
            </w:pPr>
            <w:r>
              <w:rPr>
                <w:sz w:val="18"/>
              </w:rPr>
              <w:t>2020 </w:t>
            </w:r>
            <w:r>
              <w:rPr>
                <w:rFonts w:ascii="宋体" w:eastAsia="宋体" w:hint="eastAsia"/>
                <w:sz w:val="18"/>
              </w:rPr>
              <w:t>年 </w:t>
            </w:r>
            <w:r>
              <w:rPr>
                <w:sz w:val="18"/>
              </w:rPr>
              <w:t>04 </w:t>
            </w:r>
            <w:r>
              <w:rPr>
                <w:rFonts w:ascii="宋体" w:eastAsia="宋体" w:hint="eastAsia"/>
                <w:sz w:val="18"/>
              </w:rPr>
              <w:t>月 </w:t>
            </w:r>
            <w:r>
              <w:rPr>
                <w:sz w:val="18"/>
              </w:rPr>
              <w:t>30</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935" w:hRule="atLeast"/>
        </w:trPr>
        <w:tc>
          <w:tcPr>
            <w:tcW w:w="4253" w:type="dxa"/>
            <w:tcBorders>
              <w:top w:val="single" w:sz="4" w:space="0" w:color="000000"/>
              <w:bottom w:val="single" w:sz="4" w:space="0" w:color="000000"/>
              <w:right w:val="single" w:sz="4" w:space="0" w:color="000000"/>
            </w:tcBorders>
          </w:tcPr>
          <w:p>
            <w:pPr>
              <w:pStyle w:val="TableParagraph"/>
              <w:rPr>
                <w:sz w:val="20"/>
              </w:rPr>
            </w:pPr>
          </w:p>
          <w:p>
            <w:pPr>
              <w:pStyle w:val="TableParagraph"/>
              <w:spacing w:before="120"/>
              <w:ind w:left="105"/>
              <w:rPr>
                <w:rFonts w:ascii="宋体" w:eastAsia="宋体" w:hint="eastAsia"/>
                <w:sz w:val="18"/>
              </w:rPr>
            </w:pPr>
            <w:r>
              <w:rPr>
                <w:rFonts w:ascii="宋体" w:eastAsia="宋体" w:hint="eastAsia"/>
                <w:sz w:val="18"/>
              </w:rPr>
              <w:t>海尔智家股份有限公司 </w:t>
            </w:r>
            <w:r>
              <w:rPr>
                <w:sz w:val="18"/>
              </w:rPr>
              <w:t>2019 </w:t>
            </w:r>
            <w:r>
              <w:rPr>
                <w:rFonts w:ascii="宋体" w:eastAsia="宋体" w:hint="eastAsia"/>
                <w:sz w:val="18"/>
              </w:rPr>
              <w:t>年年度股东大会通知</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Pr>
                <w:sz w:val="18"/>
              </w:rPr>
            </w:pPr>
            <w:r>
              <w:rPr>
                <w:rFonts w:ascii="宋体" w:eastAsia="宋体" w:hint="eastAsia"/>
                <w:spacing w:val="8"/>
                <w:sz w:val="18"/>
              </w:rPr>
              <w:t>中国证券报</w:t>
            </w:r>
            <w:r>
              <w:rPr>
                <w:sz w:val="18"/>
              </w:rPr>
              <w:t>B278 </w:t>
            </w:r>
            <w:r>
              <w:rPr>
                <w:rFonts w:ascii="宋体" w:eastAsia="宋体" w:hint="eastAsia"/>
                <w:spacing w:val="-20"/>
                <w:sz w:val="18"/>
              </w:rPr>
              <w:t>版、上海证券报 </w:t>
            </w:r>
            <w:r>
              <w:rPr>
                <w:sz w:val="18"/>
              </w:rPr>
              <w:t>121-123</w:t>
            </w:r>
          </w:p>
          <w:p>
            <w:pPr>
              <w:pStyle w:val="TableParagraph"/>
              <w:spacing w:before="81"/>
              <w:ind w:left="115"/>
              <w:rPr>
                <w:rFonts w:ascii="宋体" w:eastAsia="宋体" w:hint="eastAsia"/>
                <w:sz w:val="18"/>
              </w:rPr>
            </w:pPr>
            <w:r>
              <w:rPr>
                <w:rFonts w:ascii="宋体" w:eastAsia="宋体" w:hint="eastAsia"/>
                <w:sz w:val="18"/>
              </w:rPr>
              <w:t>版、证券时报 </w:t>
            </w:r>
            <w:r>
              <w:rPr>
                <w:sz w:val="18"/>
              </w:rPr>
              <w:t>B385-388 </w:t>
            </w:r>
            <w:r>
              <w:rPr>
                <w:rFonts w:ascii="宋体" w:eastAsia="宋体" w:hint="eastAsia"/>
                <w:sz w:val="18"/>
              </w:rPr>
              <w:t>版、证券日报</w:t>
            </w:r>
          </w:p>
          <w:p>
            <w:pPr>
              <w:pStyle w:val="TableParagraph"/>
              <w:spacing w:before="82"/>
              <w:ind w:left="115"/>
              <w:rPr>
                <w:rFonts w:ascii="宋体" w:eastAsia="宋体" w:hint="eastAsia"/>
                <w:sz w:val="18"/>
              </w:rPr>
            </w:pPr>
            <w:r>
              <w:rPr>
                <w:sz w:val="18"/>
              </w:rPr>
              <w:t>C469-474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10"/>
              <w:rPr>
                <w:sz w:val="16"/>
              </w:rPr>
            </w:pPr>
          </w:p>
          <w:p>
            <w:pPr>
              <w:pStyle w:val="TableParagraph"/>
              <w:ind w:left="94" w:right="55"/>
              <w:jc w:val="center"/>
              <w:rPr>
                <w:sz w:val="18"/>
              </w:rPr>
            </w:pPr>
            <w:r>
              <w:rPr>
                <w:sz w:val="18"/>
              </w:rPr>
              <w:t>2020 </w:t>
            </w:r>
            <w:r>
              <w:rPr>
                <w:rFonts w:ascii="宋体" w:eastAsia="宋体" w:hint="eastAsia"/>
                <w:sz w:val="18"/>
              </w:rPr>
              <w:t>年 </w:t>
            </w:r>
            <w:r>
              <w:rPr>
                <w:sz w:val="18"/>
              </w:rPr>
              <w:t>04 </w:t>
            </w:r>
            <w:r>
              <w:rPr>
                <w:rFonts w:ascii="宋体" w:eastAsia="宋体" w:hint="eastAsia"/>
                <w:sz w:val="18"/>
              </w:rPr>
              <w:t>月 </w:t>
            </w:r>
            <w:r>
              <w:rPr>
                <w:sz w:val="18"/>
              </w:rPr>
              <w:t>30</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623" w:hRule="atLeast"/>
        </w:trPr>
        <w:tc>
          <w:tcPr>
            <w:tcW w:w="4253" w:type="dxa"/>
            <w:tcBorders>
              <w:top w:val="single" w:sz="4" w:space="0" w:color="000000"/>
              <w:bottom w:val="single" w:sz="4" w:space="0" w:color="000000"/>
              <w:right w:val="single" w:sz="4" w:space="0" w:color="000000"/>
            </w:tcBorders>
          </w:tcPr>
          <w:p>
            <w:pPr>
              <w:pStyle w:val="TableParagraph"/>
              <w:spacing w:before="38"/>
              <w:ind w:left="105"/>
              <w:rPr>
                <w:rFonts w:ascii="宋体" w:eastAsia="宋体" w:hint="eastAsia"/>
                <w:sz w:val="18"/>
              </w:rPr>
            </w:pPr>
            <w:r>
              <w:rPr>
                <w:rFonts w:ascii="宋体" w:eastAsia="宋体" w:hint="eastAsia"/>
                <w:sz w:val="18"/>
              </w:rPr>
              <w:t>海尔智家股份有限公司关于潜在私有化海尔电器集</w:t>
            </w:r>
          </w:p>
          <w:p>
            <w:pPr>
              <w:pStyle w:val="TableParagraph"/>
              <w:spacing w:before="81"/>
              <w:ind w:left="105"/>
              <w:rPr>
                <w:rFonts w:ascii="宋体" w:eastAsia="宋体" w:hint="eastAsia"/>
                <w:sz w:val="18"/>
              </w:rPr>
            </w:pPr>
            <w:r>
              <w:rPr>
                <w:rFonts w:ascii="宋体" w:eastAsia="宋体" w:hint="eastAsia"/>
                <w:sz w:val="18"/>
              </w:rPr>
              <w:t>团有限公司进程更新的提示性公告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ight="-15"/>
              <w:rPr>
                <w:rFonts w:ascii="宋体" w:eastAsia="宋体" w:hint="eastAsia"/>
                <w:sz w:val="18"/>
              </w:rPr>
            </w:pPr>
            <w:r>
              <w:rPr>
                <w:rFonts w:ascii="宋体" w:eastAsia="宋体" w:hint="eastAsia"/>
                <w:spacing w:val="-8"/>
                <w:sz w:val="18"/>
              </w:rPr>
              <w:t>中国证券报 </w:t>
            </w:r>
            <w:r>
              <w:rPr>
                <w:sz w:val="18"/>
              </w:rPr>
              <w:t>B029</w:t>
            </w:r>
            <w:r>
              <w:rPr>
                <w:spacing w:val="1"/>
                <w:sz w:val="18"/>
              </w:rPr>
              <w:t> </w:t>
            </w:r>
            <w:r>
              <w:rPr>
                <w:rFonts w:ascii="宋体" w:eastAsia="宋体" w:hint="eastAsia"/>
                <w:spacing w:val="-18"/>
                <w:sz w:val="18"/>
              </w:rPr>
              <w:t>版、上海证券报 </w:t>
            </w:r>
            <w:r>
              <w:rPr>
                <w:sz w:val="18"/>
              </w:rPr>
              <w:t>108</w:t>
            </w:r>
            <w:r>
              <w:rPr>
                <w:spacing w:val="1"/>
                <w:sz w:val="18"/>
              </w:rPr>
              <w:t> </w:t>
            </w:r>
            <w:r>
              <w:rPr>
                <w:rFonts w:ascii="宋体" w:eastAsia="宋体" w:hint="eastAsia"/>
                <w:sz w:val="18"/>
              </w:rPr>
              <w:t>版、</w:t>
            </w:r>
          </w:p>
          <w:p>
            <w:pPr>
              <w:pStyle w:val="TableParagraph"/>
              <w:spacing w:before="81"/>
              <w:ind w:left="115"/>
              <w:rPr>
                <w:rFonts w:ascii="宋体" w:eastAsia="宋体" w:hint="eastAsia"/>
                <w:sz w:val="18"/>
              </w:rPr>
            </w:pPr>
            <w:r>
              <w:rPr>
                <w:rFonts w:ascii="宋体" w:eastAsia="宋体" w:hint="eastAsia"/>
                <w:sz w:val="18"/>
              </w:rPr>
              <w:t>证券时报 </w:t>
            </w:r>
            <w:r>
              <w:rPr>
                <w:sz w:val="18"/>
              </w:rPr>
              <w:t>B129 </w:t>
            </w:r>
            <w:r>
              <w:rPr>
                <w:rFonts w:ascii="宋体" w:eastAsia="宋体" w:hint="eastAsia"/>
                <w:sz w:val="18"/>
              </w:rPr>
              <w:t>版、证券日报 </w:t>
            </w:r>
            <w:r>
              <w:rPr>
                <w:sz w:val="18"/>
              </w:rPr>
              <w:t>C33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38"/>
              <w:ind w:left="94" w:right="55"/>
              <w:jc w:val="center"/>
              <w:rPr>
                <w:sz w:val="18"/>
              </w:rPr>
            </w:pPr>
            <w:r>
              <w:rPr>
                <w:sz w:val="18"/>
              </w:rPr>
              <w:t>2020 </w:t>
            </w:r>
            <w:r>
              <w:rPr>
                <w:rFonts w:ascii="宋体" w:eastAsia="宋体" w:hint="eastAsia"/>
                <w:sz w:val="18"/>
              </w:rPr>
              <w:t>年 </w:t>
            </w:r>
            <w:r>
              <w:rPr>
                <w:sz w:val="18"/>
              </w:rPr>
              <w:t>05 </w:t>
            </w:r>
            <w:r>
              <w:rPr>
                <w:rFonts w:ascii="宋体" w:eastAsia="宋体" w:hint="eastAsia"/>
                <w:sz w:val="18"/>
              </w:rPr>
              <w:t>月 </w:t>
            </w:r>
            <w:r>
              <w:rPr>
                <w:sz w:val="18"/>
              </w:rPr>
              <w:t>16</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625" w:hRule="atLeast"/>
        </w:trPr>
        <w:tc>
          <w:tcPr>
            <w:tcW w:w="4253" w:type="dxa"/>
            <w:tcBorders>
              <w:top w:val="single" w:sz="4" w:space="0" w:color="000000"/>
              <w:bottom w:val="single" w:sz="4" w:space="0" w:color="000000"/>
              <w:right w:val="single" w:sz="4" w:space="0" w:color="000000"/>
            </w:tcBorders>
          </w:tcPr>
          <w:p>
            <w:pPr>
              <w:pStyle w:val="TableParagraph"/>
              <w:spacing w:before="40"/>
              <w:ind w:left="105"/>
              <w:rPr>
                <w:rFonts w:ascii="宋体" w:eastAsia="宋体" w:hint="eastAsia"/>
                <w:sz w:val="18"/>
              </w:rPr>
            </w:pPr>
            <w:r>
              <w:rPr>
                <w:rFonts w:ascii="宋体" w:eastAsia="宋体" w:hint="eastAsia"/>
                <w:sz w:val="18"/>
              </w:rPr>
              <w:t>海尔智家股份有限公司 </w:t>
            </w:r>
            <w:r>
              <w:rPr>
                <w:sz w:val="18"/>
              </w:rPr>
              <w:t>2019 </w:t>
            </w:r>
            <w:r>
              <w:rPr>
                <w:rFonts w:ascii="宋体" w:eastAsia="宋体" w:hint="eastAsia"/>
                <w:sz w:val="18"/>
              </w:rPr>
              <w:t>年年度股东大会决议公</w:t>
            </w:r>
          </w:p>
          <w:p>
            <w:pPr>
              <w:pStyle w:val="TableParagraph"/>
              <w:spacing w:before="82"/>
              <w:ind w:left="105"/>
              <w:rPr>
                <w:rFonts w:ascii="宋体" w:eastAsia="宋体" w:hint="eastAsia"/>
                <w:sz w:val="18"/>
              </w:rPr>
            </w:pPr>
            <w:r>
              <w:rPr>
                <w:rFonts w:ascii="宋体" w:eastAsia="宋体" w:hint="eastAsia"/>
                <w:sz w:val="18"/>
              </w:rPr>
              <w:t>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40"/>
              <w:ind w:left="115" w:right="-15"/>
              <w:rPr>
                <w:rFonts w:ascii="宋体" w:eastAsia="宋体" w:hint="eastAsia"/>
                <w:sz w:val="18"/>
              </w:rPr>
            </w:pPr>
            <w:r>
              <w:rPr>
                <w:rFonts w:ascii="宋体" w:eastAsia="宋体" w:hint="eastAsia"/>
                <w:spacing w:val="-8"/>
                <w:sz w:val="18"/>
              </w:rPr>
              <w:t>中国证券报 </w:t>
            </w:r>
            <w:r>
              <w:rPr>
                <w:sz w:val="18"/>
              </w:rPr>
              <w:t>B053</w:t>
            </w:r>
            <w:r>
              <w:rPr>
                <w:spacing w:val="1"/>
                <w:sz w:val="18"/>
              </w:rPr>
              <w:t> </w:t>
            </w:r>
            <w:r>
              <w:rPr>
                <w:rFonts w:ascii="宋体" w:eastAsia="宋体" w:hint="eastAsia"/>
                <w:spacing w:val="-18"/>
                <w:sz w:val="18"/>
              </w:rPr>
              <w:t>版、上海证券报 </w:t>
            </w:r>
            <w:r>
              <w:rPr>
                <w:sz w:val="18"/>
              </w:rPr>
              <w:t>116</w:t>
            </w:r>
            <w:r>
              <w:rPr>
                <w:spacing w:val="1"/>
                <w:sz w:val="18"/>
              </w:rPr>
              <w:t> </w:t>
            </w:r>
            <w:r>
              <w:rPr>
                <w:rFonts w:ascii="宋体" w:eastAsia="宋体" w:hint="eastAsia"/>
                <w:sz w:val="18"/>
              </w:rPr>
              <w:t>版、</w:t>
            </w:r>
          </w:p>
          <w:p>
            <w:pPr>
              <w:pStyle w:val="TableParagraph"/>
              <w:spacing w:before="82"/>
              <w:ind w:left="115"/>
              <w:rPr>
                <w:rFonts w:ascii="宋体" w:eastAsia="宋体" w:hint="eastAsia"/>
                <w:sz w:val="18"/>
              </w:rPr>
            </w:pPr>
            <w:r>
              <w:rPr>
                <w:rFonts w:ascii="宋体" w:eastAsia="宋体" w:hint="eastAsia"/>
                <w:sz w:val="18"/>
              </w:rPr>
              <w:t>证券时报 </w:t>
            </w:r>
            <w:r>
              <w:rPr>
                <w:sz w:val="18"/>
              </w:rPr>
              <w:t>B6 </w:t>
            </w:r>
            <w:r>
              <w:rPr>
                <w:rFonts w:ascii="宋体" w:eastAsia="宋体" w:hint="eastAsia"/>
                <w:sz w:val="18"/>
              </w:rPr>
              <w:t>版、证券日报 </w:t>
            </w:r>
            <w:r>
              <w:rPr>
                <w:sz w:val="18"/>
              </w:rPr>
              <w:t>C20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40"/>
              <w:ind w:left="94" w:right="55"/>
              <w:jc w:val="center"/>
              <w:rPr>
                <w:sz w:val="18"/>
              </w:rPr>
            </w:pPr>
            <w:r>
              <w:rPr>
                <w:sz w:val="18"/>
              </w:rPr>
              <w:t>2020 </w:t>
            </w:r>
            <w:r>
              <w:rPr>
                <w:rFonts w:ascii="宋体" w:eastAsia="宋体" w:hint="eastAsia"/>
                <w:sz w:val="18"/>
              </w:rPr>
              <w:t>年 </w:t>
            </w:r>
            <w:r>
              <w:rPr>
                <w:sz w:val="18"/>
              </w:rPr>
              <w:t>06 </w:t>
            </w:r>
            <w:r>
              <w:rPr>
                <w:rFonts w:ascii="宋体" w:eastAsia="宋体" w:hint="eastAsia"/>
                <w:sz w:val="18"/>
              </w:rPr>
              <w:t>月 </w:t>
            </w:r>
            <w:r>
              <w:rPr>
                <w:sz w:val="18"/>
              </w:rPr>
              <w:t>04</w:t>
            </w:r>
          </w:p>
          <w:p>
            <w:pPr>
              <w:pStyle w:val="TableParagraph"/>
              <w:spacing w:before="82"/>
              <w:ind w:left="39"/>
              <w:jc w:val="center"/>
              <w:rPr>
                <w:rFonts w:ascii="宋体" w:eastAsia="宋体" w:hint="eastAsia"/>
                <w:sz w:val="18"/>
              </w:rPr>
            </w:pPr>
            <w:r>
              <w:rPr>
                <w:rFonts w:ascii="宋体" w:eastAsia="宋体" w:hint="eastAsia"/>
                <w:sz w:val="18"/>
              </w:rPr>
              <w:t>日</w:t>
            </w:r>
          </w:p>
        </w:tc>
      </w:tr>
      <w:tr>
        <w:trPr>
          <w:trHeight w:val="624" w:hRule="atLeast"/>
        </w:trPr>
        <w:tc>
          <w:tcPr>
            <w:tcW w:w="4253" w:type="dxa"/>
            <w:tcBorders>
              <w:top w:val="single" w:sz="4" w:space="0" w:color="000000"/>
              <w:bottom w:val="single" w:sz="4" w:space="0" w:color="000000"/>
              <w:right w:val="single" w:sz="4" w:space="0" w:color="000000"/>
            </w:tcBorders>
          </w:tcPr>
          <w:p>
            <w:pPr>
              <w:pStyle w:val="TableParagraph"/>
              <w:spacing w:before="38"/>
              <w:ind w:left="105"/>
              <w:rPr>
                <w:rFonts w:ascii="宋体" w:eastAsia="宋体" w:hint="eastAsia"/>
                <w:sz w:val="18"/>
              </w:rPr>
            </w:pPr>
            <w:r>
              <w:rPr>
                <w:rFonts w:ascii="宋体" w:eastAsia="宋体" w:hint="eastAsia"/>
                <w:sz w:val="18"/>
              </w:rPr>
              <w:t>海尔智家股份有限公司第十届董事会第八次会议决</w:t>
            </w:r>
          </w:p>
          <w:p>
            <w:pPr>
              <w:pStyle w:val="TableParagraph"/>
              <w:spacing w:before="82"/>
              <w:ind w:left="105"/>
              <w:rPr>
                <w:rFonts w:ascii="宋体" w:eastAsia="宋体" w:hint="eastAsia"/>
                <w:sz w:val="18"/>
              </w:rPr>
            </w:pPr>
            <w:r>
              <w:rPr>
                <w:rFonts w:ascii="宋体" w:eastAsia="宋体" w:hint="eastAsia"/>
                <w:sz w:val="18"/>
              </w:rPr>
              <w:t>议公告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ight="-15"/>
              <w:rPr>
                <w:rFonts w:ascii="宋体" w:eastAsia="宋体" w:hint="eastAsia"/>
                <w:sz w:val="18"/>
              </w:rPr>
            </w:pPr>
            <w:r>
              <w:rPr>
                <w:rFonts w:ascii="宋体" w:eastAsia="宋体" w:hint="eastAsia"/>
                <w:spacing w:val="-8"/>
                <w:sz w:val="18"/>
              </w:rPr>
              <w:t>中国证券报 </w:t>
            </w:r>
            <w:r>
              <w:rPr>
                <w:sz w:val="18"/>
              </w:rPr>
              <w:t>B053</w:t>
            </w:r>
            <w:r>
              <w:rPr>
                <w:spacing w:val="1"/>
                <w:sz w:val="18"/>
              </w:rPr>
              <w:t> </w:t>
            </w:r>
            <w:r>
              <w:rPr>
                <w:rFonts w:ascii="宋体" w:eastAsia="宋体" w:hint="eastAsia"/>
                <w:spacing w:val="-18"/>
                <w:sz w:val="18"/>
              </w:rPr>
              <w:t>版、上海证券报 </w:t>
            </w:r>
            <w:r>
              <w:rPr>
                <w:sz w:val="18"/>
              </w:rPr>
              <w:t>116</w:t>
            </w:r>
            <w:r>
              <w:rPr>
                <w:spacing w:val="1"/>
                <w:sz w:val="18"/>
              </w:rPr>
              <w:t> </w:t>
            </w:r>
            <w:r>
              <w:rPr>
                <w:rFonts w:ascii="宋体" w:eastAsia="宋体" w:hint="eastAsia"/>
                <w:sz w:val="18"/>
              </w:rPr>
              <w:t>版、</w:t>
            </w:r>
          </w:p>
          <w:p>
            <w:pPr>
              <w:pStyle w:val="TableParagraph"/>
              <w:spacing w:before="82"/>
              <w:ind w:left="115"/>
              <w:rPr>
                <w:rFonts w:ascii="宋体" w:eastAsia="宋体" w:hint="eastAsia"/>
                <w:sz w:val="18"/>
              </w:rPr>
            </w:pPr>
            <w:r>
              <w:rPr>
                <w:rFonts w:ascii="宋体" w:eastAsia="宋体" w:hint="eastAsia"/>
                <w:sz w:val="18"/>
              </w:rPr>
              <w:t>证券时报 </w:t>
            </w:r>
            <w:r>
              <w:rPr>
                <w:sz w:val="18"/>
              </w:rPr>
              <w:t>B6 </w:t>
            </w:r>
            <w:r>
              <w:rPr>
                <w:rFonts w:ascii="宋体" w:eastAsia="宋体" w:hint="eastAsia"/>
                <w:sz w:val="18"/>
              </w:rPr>
              <w:t>版、证券日报 </w:t>
            </w:r>
            <w:r>
              <w:rPr>
                <w:sz w:val="18"/>
              </w:rPr>
              <w:t>C20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38"/>
              <w:ind w:left="94" w:right="55"/>
              <w:jc w:val="center"/>
              <w:rPr>
                <w:sz w:val="18"/>
              </w:rPr>
            </w:pPr>
            <w:r>
              <w:rPr>
                <w:sz w:val="18"/>
              </w:rPr>
              <w:t>2020 </w:t>
            </w:r>
            <w:r>
              <w:rPr>
                <w:rFonts w:ascii="宋体" w:eastAsia="宋体" w:hint="eastAsia"/>
                <w:sz w:val="18"/>
              </w:rPr>
              <w:t>年 </w:t>
            </w:r>
            <w:r>
              <w:rPr>
                <w:sz w:val="18"/>
              </w:rPr>
              <w:t>06 </w:t>
            </w:r>
            <w:r>
              <w:rPr>
                <w:rFonts w:ascii="宋体" w:eastAsia="宋体" w:hint="eastAsia"/>
                <w:sz w:val="18"/>
              </w:rPr>
              <w:t>月 </w:t>
            </w:r>
            <w:r>
              <w:rPr>
                <w:sz w:val="18"/>
              </w:rPr>
              <w:t>04</w:t>
            </w:r>
          </w:p>
          <w:p>
            <w:pPr>
              <w:pStyle w:val="TableParagraph"/>
              <w:spacing w:before="82"/>
              <w:ind w:left="39"/>
              <w:jc w:val="center"/>
              <w:rPr>
                <w:rFonts w:ascii="宋体" w:eastAsia="宋体" w:hint="eastAsia"/>
                <w:sz w:val="18"/>
              </w:rPr>
            </w:pPr>
            <w:r>
              <w:rPr>
                <w:rFonts w:ascii="宋体" w:eastAsia="宋体" w:hint="eastAsia"/>
                <w:sz w:val="18"/>
              </w:rPr>
              <w:t>日</w:t>
            </w:r>
          </w:p>
        </w:tc>
      </w:tr>
      <w:tr>
        <w:trPr>
          <w:trHeight w:val="623" w:hRule="atLeast"/>
        </w:trPr>
        <w:tc>
          <w:tcPr>
            <w:tcW w:w="4253" w:type="dxa"/>
            <w:tcBorders>
              <w:top w:val="single" w:sz="4" w:space="0" w:color="000000"/>
              <w:bottom w:val="single" w:sz="4" w:space="0" w:color="000000"/>
              <w:right w:val="single" w:sz="4" w:space="0" w:color="000000"/>
            </w:tcBorders>
          </w:tcPr>
          <w:p>
            <w:pPr>
              <w:pStyle w:val="TableParagraph"/>
              <w:spacing w:before="38"/>
              <w:ind w:left="105"/>
              <w:rPr>
                <w:rFonts w:ascii="宋体" w:eastAsia="宋体" w:hint="eastAsia"/>
                <w:sz w:val="18"/>
              </w:rPr>
            </w:pPr>
            <w:r>
              <w:rPr>
                <w:rFonts w:ascii="宋体" w:eastAsia="宋体" w:hint="eastAsia"/>
                <w:sz w:val="18"/>
              </w:rPr>
              <w:t>海尔智家股份有限公司关于潜在私有化海尔电器集</w:t>
            </w:r>
          </w:p>
          <w:p>
            <w:pPr>
              <w:pStyle w:val="TableParagraph"/>
              <w:spacing w:before="81"/>
              <w:ind w:left="105"/>
              <w:rPr>
                <w:rFonts w:ascii="宋体" w:eastAsia="宋体" w:hint="eastAsia"/>
                <w:sz w:val="18"/>
              </w:rPr>
            </w:pPr>
            <w:r>
              <w:rPr>
                <w:rFonts w:ascii="宋体" w:eastAsia="宋体" w:hint="eastAsia"/>
                <w:sz w:val="18"/>
              </w:rPr>
              <w:t>团有限公司进程更新的提示性公告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Pr>
                <w:rFonts w:ascii="宋体" w:eastAsia="宋体" w:hint="eastAsia"/>
                <w:sz w:val="18"/>
              </w:rPr>
            </w:pPr>
            <w:r>
              <w:rPr>
                <w:rFonts w:ascii="宋体" w:eastAsia="宋体" w:hint="eastAsia"/>
                <w:spacing w:val="-8"/>
                <w:sz w:val="18"/>
              </w:rPr>
              <w:t>中国证券报 </w:t>
            </w:r>
            <w:r>
              <w:rPr>
                <w:sz w:val="18"/>
              </w:rPr>
              <w:t>B020 </w:t>
            </w:r>
            <w:r>
              <w:rPr>
                <w:rFonts w:ascii="宋体" w:eastAsia="宋体" w:hint="eastAsia"/>
                <w:spacing w:val="-7"/>
                <w:sz w:val="18"/>
              </w:rPr>
              <w:t>版、上海证券报 </w:t>
            </w:r>
            <w:r>
              <w:rPr>
                <w:sz w:val="18"/>
              </w:rPr>
              <w:t>73 </w:t>
            </w:r>
            <w:r>
              <w:rPr>
                <w:rFonts w:ascii="宋体" w:eastAsia="宋体" w:hint="eastAsia"/>
                <w:spacing w:val="-8"/>
                <w:sz w:val="18"/>
              </w:rPr>
              <w:t>版、</w:t>
            </w:r>
          </w:p>
          <w:p>
            <w:pPr>
              <w:pStyle w:val="TableParagraph"/>
              <w:spacing w:before="81"/>
              <w:ind w:left="115"/>
              <w:rPr>
                <w:rFonts w:ascii="宋体" w:eastAsia="宋体" w:hint="eastAsia"/>
                <w:sz w:val="18"/>
              </w:rPr>
            </w:pPr>
            <w:r>
              <w:rPr>
                <w:rFonts w:ascii="宋体" w:eastAsia="宋体" w:hint="eastAsia"/>
                <w:sz w:val="18"/>
              </w:rPr>
              <w:t>证券时报 </w:t>
            </w:r>
            <w:r>
              <w:rPr>
                <w:sz w:val="18"/>
              </w:rPr>
              <w:t>B083 </w:t>
            </w:r>
            <w:r>
              <w:rPr>
                <w:rFonts w:ascii="宋体" w:eastAsia="宋体" w:hint="eastAsia"/>
                <w:sz w:val="18"/>
              </w:rPr>
              <w:t>版、证券日报 </w:t>
            </w:r>
            <w:r>
              <w:rPr>
                <w:sz w:val="18"/>
              </w:rPr>
              <w:t>C66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38"/>
              <w:ind w:left="94" w:right="55"/>
              <w:jc w:val="center"/>
              <w:rPr>
                <w:sz w:val="18"/>
              </w:rPr>
            </w:pPr>
            <w:r>
              <w:rPr>
                <w:sz w:val="18"/>
              </w:rPr>
              <w:t>2020 </w:t>
            </w:r>
            <w:r>
              <w:rPr>
                <w:rFonts w:ascii="宋体" w:eastAsia="宋体" w:hint="eastAsia"/>
                <w:sz w:val="18"/>
              </w:rPr>
              <w:t>年 </w:t>
            </w:r>
            <w:r>
              <w:rPr>
                <w:sz w:val="18"/>
              </w:rPr>
              <w:t>06 </w:t>
            </w:r>
            <w:r>
              <w:rPr>
                <w:rFonts w:ascii="宋体" w:eastAsia="宋体" w:hint="eastAsia"/>
                <w:sz w:val="18"/>
              </w:rPr>
              <w:t>月 </w:t>
            </w:r>
            <w:r>
              <w:rPr>
                <w:sz w:val="18"/>
              </w:rPr>
              <w:t>17</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623" w:hRule="atLeast"/>
        </w:trPr>
        <w:tc>
          <w:tcPr>
            <w:tcW w:w="4253" w:type="dxa"/>
            <w:tcBorders>
              <w:top w:val="single" w:sz="4" w:space="0" w:color="000000"/>
              <w:bottom w:val="single" w:sz="4" w:space="0" w:color="000000"/>
              <w:right w:val="single" w:sz="4" w:space="0" w:color="000000"/>
            </w:tcBorders>
          </w:tcPr>
          <w:p>
            <w:pPr>
              <w:pStyle w:val="TableParagraph"/>
              <w:spacing w:before="38"/>
              <w:ind w:left="105"/>
              <w:rPr>
                <w:rFonts w:ascii="宋体" w:eastAsia="宋体" w:hint="eastAsia"/>
                <w:sz w:val="18"/>
              </w:rPr>
            </w:pPr>
            <w:r>
              <w:rPr>
                <w:rFonts w:ascii="宋体" w:eastAsia="宋体" w:hint="eastAsia"/>
                <w:sz w:val="18"/>
              </w:rPr>
              <w:t>海尔智家股份有限公司</w:t>
            </w:r>
            <w:r>
              <w:rPr>
                <w:sz w:val="18"/>
              </w:rPr>
              <w:t>2019 </w:t>
            </w:r>
            <w:r>
              <w:rPr>
                <w:rFonts w:ascii="宋体" w:eastAsia="宋体" w:hint="eastAsia"/>
                <w:sz w:val="18"/>
              </w:rPr>
              <w:t>年年度</w:t>
            </w:r>
            <w:r>
              <w:rPr>
                <w:sz w:val="18"/>
              </w:rPr>
              <w:t>A </w:t>
            </w:r>
            <w:r>
              <w:rPr>
                <w:rFonts w:ascii="宋体" w:eastAsia="宋体" w:hint="eastAsia"/>
                <w:sz w:val="18"/>
              </w:rPr>
              <w:t>股权益分派实</w:t>
            </w:r>
          </w:p>
          <w:p>
            <w:pPr>
              <w:pStyle w:val="TableParagraph"/>
              <w:spacing w:before="81"/>
              <w:ind w:left="105"/>
              <w:rPr>
                <w:rFonts w:ascii="宋体" w:eastAsia="宋体" w:hint="eastAsia"/>
                <w:sz w:val="18"/>
              </w:rPr>
            </w:pPr>
            <w:r>
              <w:rPr>
                <w:rFonts w:ascii="宋体" w:eastAsia="宋体" w:hint="eastAsia"/>
                <w:sz w:val="18"/>
              </w:rPr>
              <w:t>施公告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ight="-15"/>
              <w:rPr>
                <w:rFonts w:ascii="宋体" w:eastAsia="宋体" w:hint="eastAsia"/>
                <w:sz w:val="18"/>
              </w:rPr>
            </w:pPr>
            <w:r>
              <w:rPr>
                <w:rFonts w:ascii="宋体" w:eastAsia="宋体" w:hint="eastAsia"/>
                <w:spacing w:val="-8"/>
                <w:sz w:val="18"/>
              </w:rPr>
              <w:t>中国证券报 </w:t>
            </w:r>
            <w:r>
              <w:rPr>
                <w:sz w:val="18"/>
              </w:rPr>
              <w:t>B021</w:t>
            </w:r>
            <w:r>
              <w:rPr>
                <w:spacing w:val="1"/>
                <w:sz w:val="18"/>
              </w:rPr>
              <w:t> </w:t>
            </w:r>
            <w:r>
              <w:rPr>
                <w:rFonts w:ascii="宋体" w:eastAsia="宋体" w:hint="eastAsia"/>
                <w:spacing w:val="-18"/>
                <w:sz w:val="18"/>
              </w:rPr>
              <w:t>版、上海证券报 </w:t>
            </w:r>
            <w:r>
              <w:rPr>
                <w:sz w:val="18"/>
              </w:rPr>
              <w:t>161</w:t>
            </w:r>
            <w:r>
              <w:rPr>
                <w:spacing w:val="1"/>
                <w:sz w:val="18"/>
              </w:rPr>
              <w:t> </w:t>
            </w:r>
            <w:r>
              <w:rPr>
                <w:rFonts w:ascii="宋体" w:eastAsia="宋体" w:hint="eastAsia"/>
                <w:sz w:val="18"/>
              </w:rPr>
              <w:t>版、</w:t>
            </w:r>
          </w:p>
          <w:p>
            <w:pPr>
              <w:pStyle w:val="TableParagraph"/>
              <w:spacing w:before="81"/>
              <w:ind w:left="115"/>
              <w:rPr>
                <w:rFonts w:ascii="宋体" w:eastAsia="宋体" w:hint="eastAsia"/>
                <w:sz w:val="18"/>
              </w:rPr>
            </w:pPr>
            <w:r>
              <w:rPr>
                <w:rFonts w:ascii="宋体" w:eastAsia="宋体" w:hint="eastAsia"/>
                <w:sz w:val="18"/>
              </w:rPr>
              <w:t>证券时报 </w:t>
            </w:r>
            <w:r>
              <w:rPr>
                <w:sz w:val="18"/>
              </w:rPr>
              <w:t>B070 </w:t>
            </w:r>
            <w:r>
              <w:rPr>
                <w:rFonts w:ascii="宋体" w:eastAsia="宋体" w:hint="eastAsia"/>
                <w:sz w:val="18"/>
              </w:rPr>
              <w:t>版、证券日报 </w:t>
            </w:r>
            <w:r>
              <w:rPr>
                <w:sz w:val="18"/>
              </w:rPr>
              <w:t>B3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38"/>
              <w:ind w:left="94" w:right="55"/>
              <w:jc w:val="center"/>
              <w:rPr>
                <w:sz w:val="18"/>
              </w:rPr>
            </w:pPr>
            <w:r>
              <w:rPr>
                <w:sz w:val="18"/>
              </w:rPr>
              <w:t>2020 </w:t>
            </w:r>
            <w:r>
              <w:rPr>
                <w:rFonts w:ascii="宋体" w:eastAsia="宋体" w:hint="eastAsia"/>
                <w:sz w:val="18"/>
              </w:rPr>
              <w:t>年 </w:t>
            </w:r>
            <w:r>
              <w:rPr>
                <w:sz w:val="18"/>
              </w:rPr>
              <w:t>07 </w:t>
            </w:r>
            <w:r>
              <w:rPr>
                <w:rFonts w:ascii="宋体" w:eastAsia="宋体" w:hint="eastAsia"/>
                <w:sz w:val="18"/>
              </w:rPr>
              <w:t>月 </w:t>
            </w:r>
            <w:r>
              <w:rPr>
                <w:sz w:val="18"/>
              </w:rPr>
              <w:t>10</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623" w:hRule="atLeast"/>
        </w:trPr>
        <w:tc>
          <w:tcPr>
            <w:tcW w:w="4253" w:type="dxa"/>
            <w:tcBorders>
              <w:top w:val="single" w:sz="4" w:space="0" w:color="000000"/>
              <w:bottom w:val="single" w:sz="4" w:space="0" w:color="000000"/>
              <w:right w:val="single" w:sz="4" w:space="0" w:color="000000"/>
            </w:tcBorders>
          </w:tcPr>
          <w:p>
            <w:pPr>
              <w:pStyle w:val="TableParagraph"/>
              <w:spacing w:before="38"/>
              <w:ind w:left="105"/>
              <w:rPr>
                <w:rFonts w:ascii="宋体" w:eastAsia="宋体" w:hint="eastAsia"/>
                <w:sz w:val="18"/>
              </w:rPr>
            </w:pPr>
            <w:r>
              <w:rPr>
                <w:rFonts w:ascii="宋体" w:eastAsia="宋体" w:hint="eastAsia"/>
                <w:sz w:val="18"/>
              </w:rPr>
              <w:t>海尔智家股份有限公司关于债务融资工具获中国银</w:t>
            </w:r>
          </w:p>
          <w:p>
            <w:pPr>
              <w:pStyle w:val="TableParagraph"/>
              <w:spacing w:before="81"/>
              <w:ind w:left="105"/>
              <w:rPr>
                <w:rFonts w:ascii="宋体" w:eastAsia="宋体" w:hint="eastAsia"/>
                <w:sz w:val="18"/>
              </w:rPr>
            </w:pPr>
            <w:r>
              <w:rPr>
                <w:rFonts w:ascii="宋体" w:eastAsia="宋体" w:hint="eastAsia"/>
                <w:sz w:val="18"/>
              </w:rPr>
              <w:t>行间市场交易商协会核准注册的公告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ight="-15"/>
              <w:rPr>
                <w:rFonts w:ascii="宋体" w:eastAsia="宋体" w:hint="eastAsia"/>
                <w:sz w:val="18"/>
              </w:rPr>
            </w:pPr>
            <w:r>
              <w:rPr>
                <w:rFonts w:ascii="宋体" w:eastAsia="宋体" w:hint="eastAsia"/>
                <w:spacing w:val="-8"/>
                <w:sz w:val="18"/>
              </w:rPr>
              <w:t>中国证券报 </w:t>
            </w:r>
            <w:r>
              <w:rPr>
                <w:sz w:val="18"/>
              </w:rPr>
              <w:t>B005</w:t>
            </w:r>
            <w:r>
              <w:rPr>
                <w:spacing w:val="1"/>
                <w:sz w:val="18"/>
              </w:rPr>
              <w:t> </w:t>
            </w:r>
            <w:r>
              <w:rPr>
                <w:rFonts w:ascii="宋体" w:eastAsia="宋体" w:hint="eastAsia"/>
                <w:spacing w:val="-18"/>
                <w:sz w:val="18"/>
              </w:rPr>
              <w:t>版、上海证券报 </w:t>
            </w:r>
            <w:r>
              <w:rPr>
                <w:sz w:val="18"/>
              </w:rPr>
              <w:t>100</w:t>
            </w:r>
            <w:r>
              <w:rPr>
                <w:spacing w:val="1"/>
                <w:sz w:val="18"/>
              </w:rPr>
              <w:t> </w:t>
            </w:r>
            <w:r>
              <w:rPr>
                <w:rFonts w:ascii="宋体" w:eastAsia="宋体" w:hint="eastAsia"/>
                <w:sz w:val="18"/>
              </w:rPr>
              <w:t>版、</w:t>
            </w:r>
          </w:p>
          <w:p>
            <w:pPr>
              <w:pStyle w:val="TableParagraph"/>
              <w:spacing w:before="81"/>
              <w:ind w:left="115"/>
              <w:rPr>
                <w:rFonts w:ascii="宋体" w:eastAsia="宋体" w:hint="eastAsia"/>
                <w:sz w:val="18"/>
              </w:rPr>
            </w:pPr>
            <w:r>
              <w:rPr>
                <w:rFonts w:ascii="宋体" w:eastAsia="宋体" w:hint="eastAsia"/>
                <w:sz w:val="18"/>
              </w:rPr>
              <w:t>证券时报 </w:t>
            </w:r>
            <w:r>
              <w:rPr>
                <w:sz w:val="18"/>
              </w:rPr>
              <w:t>B052 </w:t>
            </w:r>
            <w:r>
              <w:rPr>
                <w:rFonts w:ascii="宋体" w:eastAsia="宋体" w:hint="eastAsia"/>
                <w:sz w:val="18"/>
              </w:rPr>
              <w:t>版、证券日报 </w:t>
            </w:r>
            <w:r>
              <w:rPr>
                <w:sz w:val="18"/>
              </w:rPr>
              <w:t>C50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38"/>
              <w:ind w:left="94" w:right="55"/>
              <w:jc w:val="center"/>
              <w:rPr>
                <w:sz w:val="18"/>
              </w:rPr>
            </w:pPr>
            <w:r>
              <w:rPr>
                <w:sz w:val="18"/>
              </w:rPr>
              <w:t>2020 </w:t>
            </w:r>
            <w:r>
              <w:rPr>
                <w:rFonts w:ascii="宋体" w:eastAsia="宋体" w:hint="eastAsia"/>
                <w:sz w:val="18"/>
              </w:rPr>
              <w:t>年 </w:t>
            </w:r>
            <w:r>
              <w:rPr>
                <w:sz w:val="18"/>
              </w:rPr>
              <w:t>07 </w:t>
            </w:r>
            <w:r>
              <w:rPr>
                <w:rFonts w:ascii="宋体" w:eastAsia="宋体" w:hint="eastAsia"/>
                <w:sz w:val="18"/>
              </w:rPr>
              <w:t>月 </w:t>
            </w:r>
            <w:r>
              <w:rPr>
                <w:sz w:val="18"/>
              </w:rPr>
              <w:t>16</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935" w:hRule="atLeast"/>
        </w:trPr>
        <w:tc>
          <w:tcPr>
            <w:tcW w:w="4253" w:type="dxa"/>
            <w:tcBorders>
              <w:top w:val="single" w:sz="4" w:space="0" w:color="000000"/>
              <w:bottom w:val="single" w:sz="4" w:space="0" w:color="000000"/>
              <w:right w:val="single" w:sz="4" w:space="0" w:color="000000"/>
            </w:tcBorders>
          </w:tcPr>
          <w:p>
            <w:pPr>
              <w:pStyle w:val="TableParagraph"/>
              <w:spacing w:line="324" w:lineRule="auto" w:before="38"/>
              <w:ind w:left="105" w:right="90"/>
              <w:rPr>
                <w:rFonts w:ascii="宋体" w:eastAsia="宋体" w:hint="eastAsia"/>
                <w:sz w:val="18"/>
              </w:rPr>
            </w:pPr>
            <w:r>
              <w:rPr>
                <w:rFonts w:ascii="宋体" w:eastAsia="宋体" w:hint="eastAsia"/>
                <w:sz w:val="18"/>
              </w:rPr>
              <w:t>海尔智家股份有限公司关于筹划重大资产重组及潜在私有化海尔电器集团有限公司进程更新的提示性</w:t>
            </w:r>
          </w:p>
          <w:p>
            <w:pPr>
              <w:pStyle w:val="TableParagraph"/>
              <w:spacing w:before="1"/>
              <w:ind w:left="105"/>
              <w:rPr>
                <w:rFonts w:ascii="宋体" w:eastAsia="宋体" w:hint="eastAsia"/>
                <w:sz w:val="18"/>
              </w:rPr>
            </w:pPr>
            <w:r>
              <w:rPr>
                <w:rFonts w:ascii="宋体" w:eastAsia="宋体" w:hint="eastAsia"/>
                <w:sz w:val="18"/>
              </w:rPr>
              <w:t>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10"/>
              <w:rPr>
                <w:sz w:val="16"/>
              </w:rPr>
            </w:pPr>
          </w:p>
          <w:p>
            <w:pPr>
              <w:pStyle w:val="TableParagraph"/>
              <w:spacing w:line="324" w:lineRule="auto"/>
              <w:ind w:left="115" w:right="-15"/>
              <w:rPr>
                <w:rFonts w:ascii="宋体" w:eastAsia="宋体" w:hint="eastAsia"/>
                <w:sz w:val="18"/>
              </w:rPr>
            </w:pPr>
            <w:r>
              <w:rPr>
                <w:rFonts w:ascii="宋体" w:eastAsia="宋体" w:hint="eastAsia"/>
                <w:spacing w:val="-8"/>
                <w:sz w:val="18"/>
              </w:rPr>
              <w:t>中国证券报 </w:t>
            </w:r>
            <w:r>
              <w:rPr>
                <w:sz w:val="18"/>
              </w:rPr>
              <w:t>B030</w:t>
            </w:r>
            <w:r>
              <w:rPr>
                <w:spacing w:val="1"/>
                <w:sz w:val="18"/>
              </w:rPr>
              <w:t> </w:t>
            </w:r>
            <w:r>
              <w:rPr>
                <w:rFonts w:ascii="宋体" w:eastAsia="宋体" w:hint="eastAsia"/>
                <w:spacing w:val="-18"/>
                <w:sz w:val="18"/>
              </w:rPr>
              <w:t>版、上海证券报 </w:t>
            </w:r>
            <w:r>
              <w:rPr>
                <w:sz w:val="18"/>
              </w:rPr>
              <w:t>100</w:t>
            </w:r>
            <w:r>
              <w:rPr>
                <w:spacing w:val="1"/>
                <w:sz w:val="18"/>
              </w:rPr>
              <w:t> </w:t>
            </w:r>
            <w:r>
              <w:rPr>
                <w:rFonts w:ascii="宋体" w:eastAsia="宋体" w:hint="eastAsia"/>
                <w:sz w:val="18"/>
              </w:rPr>
              <w:t>版、</w:t>
            </w:r>
            <w:r>
              <w:rPr>
                <w:rFonts w:ascii="宋体" w:eastAsia="宋体" w:hint="eastAsia"/>
                <w:spacing w:val="-9"/>
                <w:sz w:val="18"/>
              </w:rPr>
              <w:t>证券时报 </w:t>
            </w:r>
            <w:r>
              <w:rPr>
                <w:sz w:val="18"/>
              </w:rPr>
              <w:t>B009</w:t>
            </w:r>
            <w:r>
              <w:rPr>
                <w:spacing w:val="2"/>
                <w:sz w:val="18"/>
              </w:rPr>
              <w:t> </w:t>
            </w:r>
            <w:r>
              <w:rPr>
                <w:rFonts w:ascii="宋体" w:eastAsia="宋体" w:hint="eastAsia"/>
                <w:spacing w:val="-7"/>
                <w:sz w:val="18"/>
              </w:rPr>
              <w:t>版、证券日报 </w:t>
            </w:r>
            <w:r>
              <w:rPr>
                <w:sz w:val="18"/>
              </w:rPr>
              <w:t>C67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10"/>
              <w:rPr>
                <w:sz w:val="16"/>
              </w:rPr>
            </w:pPr>
          </w:p>
          <w:p>
            <w:pPr>
              <w:pStyle w:val="TableParagraph"/>
              <w:ind w:left="94" w:right="55"/>
              <w:jc w:val="center"/>
              <w:rPr>
                <w:sz w:val="18"/>
              </w:rPr>
            </w:pPr>
            <w:r>
              <w:rPr>
                <w:sz w:val="18"/>
              </w:rPr>
              <w:t>2020 </w:t>
            </w:r>
            <w:r>
              <w:rPr>
                <w:rFonts w:ascii="宋体" w:eastAsia="宋体" w:hint="eastAsia"/>
                <w:sz w:val="18"/>
              </w:rPr>
              <w:t>年 </w:t>
            </w:r>
            <w:r>
              <w:rPr>
                <w:sz w:val="18"/>
              </w:rPr>
              <w:t>07 </w:t>
            </w:r>
            <w:r>
              <w:rPr>
                <w:rFonts w:ascii="宋体" w:eastAsia="宋体" w:hint="eastAsia"/>
                <w:sz w:val="18"/>
              </w:rPr>
              <w:t>月 </w:t>
            </w:r>
            <w:r>
              <w:rPr>
                <w:sz w:val="18"/>
              </w:rPr>
              <w:t>17</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626" w:hRule="atLeast"/>
        </w:trPr>
        <w:tc>
          <w:tcPr>
            <w:tcW w:w="4253" w:type="dxa"/>
            <w:tcBorders>
              <w:top w:val="single" w:sz="4" w:space="0" w:color="000000"/>
              <w:bottom w:val="single" w:sz="4" w:space="0" w:color="000000"/>
              <w:right w:val="single" w:sz="4" w:space="0" w:color="000000"/>
            </w:tcBorders>
          </w:tcPr>
          <w:p>
            <w:pPr>
              <w:pStyle w:val="TableParagraph"/>
              <w:spacing w:before="40"/>
              <w:ind w:left="105"/>
              <w:rPr>
                <w:rFonts w:ascii="宋体" w:eastAsia="宋体" w:hint="eastAsia"/>
                <w:sz w:val="18"/>
              </w:rPr>
            </w:pPr>
            <w:r>
              <w:rPr>
                <w:rFonts w:ascii="宋体" w:eastAsia="宋体" w:hint="eastAsia"/>
                <w:sz w:val="18"/>
              </w:rPr>
              <w:t>海尔智家股份有限公司关于 </w:t>
            </w:r>
            <w:r>
              <w:rPr>
                <w:sz w:val="18"/>
              </w:rPr>
              <w:t>2020 </w:t>
            </w:r>
            <w:r>
              <w:rPr>
                <w:rFonts w:ascii="宋体" w:eastAsia="宋体" w:hint="eastAsia"/>
                <w:sz w:val="18"/>
              </w:rPr>
              <w:t>年度第一期超短期</w:t>
            </w:r>
          </w:p>
          <w:p>
            <w:pPr>
              <w:pStyle w:val="TableParagraph"/>
              <w:spacing w:before="82"/>
              <w:ind w:left="105"/>
              <w:rPr>
                <w:rFonts w:ascii="宋体" w:eastAsia="宋体" w:hint="eastAsia"/>
                <w:sz w:val="18"/>
              </w:rPr>
            </w:pPr>
            <w:r>
              <w:rPr>
                <w:rFonts w:ascii="宋体" w:eastAsia="宋体" w:hint="eastAsia"/>
                <w:sz w:val="18"/>
              </w:rPr>
              <w:t>融资券发行结果的公告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40"/>
              <w:ind w:left="115" w:right="-15"/>
              <w:rPr>
                <w:rFonts w:ascii="宋体" w:eastAsia="宋体" w:hint="eastAsia"/>
                <w:sz w:val="18"/>
              </w:rPr>
            </w:pPr>
            <w:r>
              <w:rPr>
                <w:rFonts w:ascii="宋体" w:eastAsia="宋体" w:hint="eastAsia"/>
                <w:spacing w:val="-8"/>
                <w:sz w:val="18"/>
              </w:rPr>
              <w:t>中国证券报 </w:t>
            </w:r>
            <w:r>
              <w:rPr>
                <w:sz w:val="18"/>
              </w:rPr>
              <w:t>B020</w:t>
            </w:r>
            <w:r>
              <w:rPr>
                <w:spacing w:val="1"/>
                <w:sz w:val="18"/>
              </w:rPr>
              <w:t> </w:t>
            </w:r>
            <w:r>
              <w:rPr>
                <w:rFonts w:ascii="宋体" w:eastAsia="宋体" w:hint="eastAsia"/>
                <w:spacing w:val="-18"/>
                <w:sz w:val="18"/>
              </w:rPr>
              <w:t>版、上海证券报 </w:t>
            </w:r>
            <w:r>
              <w:rPr>
                <w:sz w:val="18"/>
              </w:rPr>
              <w:t>100</w:t>
            </w:r>
            <w:r>
              <w:rPr>
                <w:spacing w:val="1"/>
                <w:sz w:val="18"/>
              </w:rPr>
              <w:t> </w:t>
            </w:r>
            <w:r>
              <w:rPr>
                <w:rFonts w:ascii="宋体" w:eastAsia="宋体" w:hint="eastAsia"/>
                <w:sz w:val="18"/>
              </w:rPr>
              <w:t>版、</w:t>
            </w:r>
          </w:p>
          <w:p>
            <w:pPr>
              <w:pStyle w:val="TableParagraph"/>
              <w:spacing w:before="82"/>
              <w:ind w:left="115"/>
              <w:rPr>
                <w:rFonts w:ascii="宋体" w:eastAsia="宋体" w:hint="eastAsia"/>
                <w:sz w:val="18"/>
              </w:rPr>
            </w:pPr>
            <w:r>
              <w:rPr>
                <w:rFonts w:ascii="宋体" w:eastAsia="宋体" w:hint="eastAsia"/>
                <w:sz w:val="18"/>
              </w:rPr>
              <w:t>证券时报 </w:t>
            </w:r>
            <w:r>
              <w:rPr>
                <w:sz w:val="18"/>
              </w:rPr>
              <w:t>B034 </w:t>
            </w:r>
            <w:r>
              <w:rPr>
                <w:rFonts w:ascii="宋体" w:eastAsia="宋体" w:hint="eastAsia"/>
                <w:sz w:val="18"/>
              </w:rPr>
              <w:t>版、证券日报 </w:t>
            </w:r>
            <w:r>
              <w:rPr>
                <w:sz w:val="18"/>
              </w:rPr>
              <w:t>C60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40"/>
              <w:ind w:left="94" w:right="55"/>
              <w:jc w:val="center"/>
              <w:rPr>
                <w:sz w:val="18"/>
              </w:rPr>
            </w:pPr>
            <w:r>
              <w:rPr>
                <w:sz w:val="18"/>
              </w:rPr>
              <w:t>2020 </w:t>
            </w:r>
            <w:r>
              <w:rPr>
                <w:rFonts w:ascii="宋体" w:eastAsia="宋体" w:hint="eastAsia"/>
                <w:sz w:val="18"/>
              </w:rPr>
              <w:t>年 </w:t>
            </w:r>
            <w:r>
              <w:rPr>
                <w:sz w:val="18"/>
              </w:rPr>
              <w:t>07 </w:t>
            </w:r>
            <w:r>
              <w:rPr>
                <w:rFonts w:ascii="宋体" w:eastAsia="宋体" w:hint="eastAsia"/>
                <w:sz w:val="18"/>
              </w:rPr>
              <w:t>月 </w:t>
            </w:r>
            <w:r>
              <w:rPr>
                <w:sz w:val="18"/>
              </w:rPr>
              <w:t>21</w:t>
            </w:r>
          </w:p>
          <w:p>
            <w:pPr>
              <w:pStyle w:val="TableParagraph"/>
              <w:spacing w:before="82"/>
              <w:ind w:left="39"/>
              <w:jc w:val="center"/>
              <w:rPr>
                <w:rFonts w:ascii="宋体" w:eastAsia="宋体" w:hint="eastAsia"/>
                <w:sz w:val="18"/>
              </w:rPr>
            </w:pPr>
            <w:r>
              <w:rPr>
                <w:rFonts w:ascii="宋体" w:eastAsia="宋体" w:hint="eastAsia"/>
                <w:sz w:val="18"/>
              </w:rPr>
              <w:t>日</w:t>
            </w:r>
          </w:p>
        </w:tc>
      </w:tr>
      <w:tr>
        <w:trPr>
          <w:trHeight w:val="623" w:hRule="atLeast"/>
        </w:trPr>
        <w:tc>
          <w:tcPr>
            <w:tcW w:w="4253" w:type="dxa"/>
            <w:tcBorders>
              <w:top w:val="single" w:sz="4" w:space="0" w:color="000000"/>
              <w:bottom w:val="single" w:sz="4" w:space="0" w:color="000000"/>
              <w:right w:val="single" w:sz="4" w:space="0" w:color="000000"/>
            </w:tcBorders>
          </w:tcPr>
          <w:p>
            <w:pPr>
              <w:pStyle w:val="TableParagraph"/>
              <w:spacing w:before="38"/>
              <w:ind w:left="105"/>
              <w:rPr>
                <w:rFonts w:ascii="宋体" w:eastAsia="宋体" w:hint="eastAsia"/>
                <w:sz w:val="18"/>
              </w:rPr>
            </w:pPr>
            <w:r>
              <w:rPr>
                <w:rFonts w:ascii="宋体" w:eastAsia="宋体" w:hint="eastAsia"/>
                <w:sz w:val="18"/>
              </w:rPr>
              <w:t>海尔智家股份有限公司关于转让海尔卡奥斯物联生</w:t>
            </w:r>
          </w:p>
          <w:p>
            <w:pPr>
              <w:pStyle w:val="TableParagraph"/>
              <w:spacing w:before="81"/>
              <w:ind w:left="105"/>
              <w:rPr>
                <w:rFonts w:ascii="宋体" w:eastAsia="宋体" w:hint="eastAsia"/>
                <w:sz w:val="18"/>
              </w:rPr>
            </w:pPr>
            <w:r>
              <w:rPr>
                <w:rFonts w:ascii="宋体" w:eastAsia="宋体" w:hint="eastAsia"/>
                <w:sz w:val="18"/>
              </w:rPr>
              <w:t>态科技有限公司 </w:t>
            </w:r>
            <w:r>
              <w:rPr>
                <w:sz w:val="18"/>
              </w:rPr>
              <w:t>54.50%</w:t>
            </w:r>
            <w:r>
              <w:rPr>
                <w:rFonts w:ascii="宋体" w:eastAsia="宋体" w:hint="eastAsia"/>
                <w:sz w:val="18"/>
              </w:rPr>
              <w:t>股权暨关联交易的公告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Pr>
                <w:rFonts w:ascii="宋体" w:eastAsia="宋体" w:hint="eastAsia"/>
                <w:sz w:val="18"/>
              </w:rPr>
            </w:pPr>
            <w:r>
              <w:rPr>
                <w:rFonts w:ascii="宋体" w:eastAsia="宋体" w:hint="eastAsia"/>
                <w:spacing w:val="-8"/>
                <w:sz w:val="18"/>
              </w:rPr>
              <w:t>中国证券报 </w:t>
            </w:r>
            <w:r>
              <w:rPr>
                <w:sz w:val="18"/>
              </w:rPr>
              <w:t>B051 </w:t>
            </w:r>
            <w:r>
              <w:rPr>
                <w:rFonts w:ascii="宋体" w:eastAsia="宋体" w:hint="eastAsia"/>
                <w:spacing w:val="-7"/>
                <w:sz w:val="18"/>
              </w:rPr>
              <w:t>版、上海证券报 </w:t>
            </w:r>
            <w:r>
              <w:rPr>
                <w:sz w:val="18"/>
              </w:rPr>
              <w:t>44 </w:t>
            </w:r>
            <w:r>
              <w:rPr>
                <w:rFonts w:ascii="宋体" w:eastAsia="宋体" w:hint="eastAsia"/>
                <w:spacing w:val="-8"/>
                <w:sz w:val="18"/>
              </w:rPr>
              <w:t>版、</w:t>
            </w:r>
          </w:p>
          <w:p>
            <w:pPr>
              <w:pStyle w:val="TableParagraph"/>
              <w:spacing w:before="81"/>
              <w:ind w:left="115"/>
              <w:rPr>
                <w:rFonts w:ascii="宋体" w:eastAsia="宋体" w:hint="eastAsia"/>
                <w:sz w:val="18"/>
              </w:rPr>
            </w:pPr>
            <w:r>
              <w:rPr>
                <w:rFonts w:ascii="宋体" w:eastAsia="宋体" w:hint="eastAsia"/>
                <w:sz w:val="18"/>
              </w:rPr>
              <w:t>证券时报 </w:t>
            </w:r>
            <w:r>
              <w:rPr>
                <w:sz w:val="18"/>
              </w:rPr>
              <w:t>B075 </w:t>
            </w:r>
            <w:r>
              <w:rPr>
                <w:rFonts w:ascii="宋体" w:eastAsia="宋体" w:hint="eastAsia"/>
                <w:sz w:val="18"/>
              </w:rPr>
              <w:t>版、证券日报 </w:t>
            </w:r>
            <w:r>
              <w:rPr>
                <w:sz w:val="18"/>
              </w:rPr>
              <w:t>C96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38"/>
              <w:ind w:left="94" w:right="55"/>
              <w:jc w:val="center"/>
              <w:rPr>
                <w:sz w:val="18"/>
              </w:rPr>
            </w:pPr>
            <w:r>
              <w:rPr>
                <w:sz w:val="18"/>
              </w:rPr>
              <w:t>2020 </w:t>
            </w:r>
            <w:r>
              <w:rPr>
                <w:rFonts w:ascii="宋体" w:eastAsia="宋体" w:hint="eastAsia"/>
                <w:sz w:val="18"/>
              </w:rPr>
              <w:t>年 </w:t>
            </w:r>
            <w:r>
              <w:rPr>
                <w:sz w:val="18"/>
              </w:rPr>
              <w:t>07 </w:t>
            </w:r>
            <w:r>
              <w:rPr>
                <w:rFonts w:ascii="宋体" w:eastAsia="宋体" w:hint="eastAsia"/>
                <w:sz w:val="18"/>
              </w:rPr>
              <w:t>月 </w:t>
            </w:r>
            <w:r>
              <w:rPr>
                <w:sz w:val="18"/>
              </w:rPr>
              <w:t>30</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623" w:hRule="atLeast"/>
        </w:trPr>
        <w:tc>
          <w:tcPr>
            <w:tcW w:w="4253" w:type="dxa"/>
            <w:tcBorders>
              <w:top w:val="single" w:sz="4" w:space="0" w:color="000000"/>
              <w:bottom w:val="single" w:sz="4" w:space="0" w:color="000000"/>
              <w:right w:val="single" w:sz="4" w:space="0" w:color="000000"/>
            </w:tcBorders>
          </w:tcPr>
          <w:p>
            <w:pPr>
              <w:pStyle w:val="TableParagraph"/>
              <w:spacing w:before="38"/>
              <w:ind w:left="105"/>
              <w:rPr>
                <w:rFonts w:ascii="宋体" w:eastAsia="宋体" w:hint="eastAsia"/>
                <w:sz w:val="18"/>
              </w:rPr>
            </w:pPr>
            <w:r>
              <w:rPr>
                <w:rFonts w:ascii="宋体" w:eastAsia="宋体" w:hint="eastAsia"/>
                <w:sz w:val="18"/>
              </w:rPr>
              <w:t>海尔智家股份有限公司第十届第八次监事会决议公</w:t>
            </w:r>
          </w:p>
          <w:p>
            <w:pPr>
              <w:pStyle w:val="TableParagraph"/>
              <w:spacing w:before="81"/>
              <w:ind w:left="105"/>
              <w:rPr>
                <w:rFonts w:ascii="宋体" w:eastAsia="宋体" w:hint="eastAsia"/>
                <w:sz w:val="18"/>
              </w:rPr>
            </w:pPr>
            <w:r>
              <w:rPr>
                <w:rFonts w:ascii="宋体" w:eastAsia="宋体" w:hint="eastAsia"/>
                <w:sz w:val="18"/>
              </w:rPr>
              <w:t>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Pr>
                <w:rFonts w:ascii="宋体" w:eastAsia="宋体" w:hint="eastAsia"/>
                <w:sz w:val="18"/>
              </w:rPr>
            </w:pPr>
            <w:r>
              <w:rPr>
                <w:rFonts w:ascii="宋体" w:eastAsia="宋体" w:hint="eastAsia"/>
                <w:spacing w:val="-8"/>
                <w:sz w:val="18"/>
              </w:rPr>
              <w:t>中国证券报 </w:t>
            </w:r>
            <w:r>
              <w:rPr>
                <w:sz w:val="18"/>
              </w:rPr>
              <w:t>B051 </w:t>
            </w:r>
            <w:r>
              <w:rPr>
                <w:rFonts w:ascii="宋体" w:eastAsia="宋体" w:hint="eastAsia"/>
                <w:spacing w:val="-7"/>
                <w:sz w:val="18"/>
              </w:rPr>
              <w:t>版、上海证券报 </w:t>
            </w:r>
            <w:r>
              <w:rPr>
                <w:sz w:val="18"/>
              </w:rPr>
              <w:t>44 </w:t>
            </w:r>
            <w:r>
              <w:rPr>
                <w:rFonts w:ascii="宋体" w:eastAsia="宋体" w:hint="eastAsia"/>
                <w:spacing w:val="-8"/>
                <w:sz w:val="18"/>
              </w:rPr>
              <w:t>版、</w:t>
            </w:r>
          </w:p>
          <w:p>
            <w:pPr>
              <w:pStyle w:val="TableParagraph"/>
              <w:spacing w:before="81"/>
              <w:ind w:left="115"/>
              <w:rPr>
                <w:rFonts w:ascii="宋体" w:eastAsia="宋体" w:hint="eastAsia"/>
                <w:sz w:val="18"/>
              </w:rPr>
            </w:pPr>
            <w:r>
              <w:rPr>
                <w:rFonts w:ascii="宋体" w:eastAsia="宋体" w:hint="eastAsia"/>
                <w:sz w:val="18"/>
              </w:rPr>
              <w:t>证券时报 </w:t>
            </w:r>
            <w:r>
              <w:rPr>
                <w:sz w:val="18"/>
              </w:rPr>
              <w:t>B075 </w:t>
            </w:r>
            <w:r>
              <w:rPr>
                <w:rFonts w:ascii="宋体" w:eastAsia="宋体" w:hint="eastAsia"/>
                <w:sz w:val="18"/>
              </w:rPr>
              <w:t>版、证券日报 </w:t>
            </w:r>
            <w:r>
              <w:rPr>
                <w:sz w:val="18"/>
              </w:rPr>
              <w:t>C72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38"/>
              <w:ind w:left="94" w:right="55"/>
              <w:jc w:val="center"/>
              <w:rPr>
                <w:sz w:val="18"/>
              </w:rPr>
            </w:pPr>
            <w:r>
              <w:rPr>
                <w:sz w:val="18"/>
              </w:rPr>
              <w:t>2020 </w:t>
            </w:r>
            <w:r>
              <w:rPr>
                <w:rFonts w:ascii="宋体" w:eastAsia="宋体" w:hint="eastAsia"/>
                <w:sz w:val="18"/>
              </w:rPr>
              <w:t>年 </w:t>
            </w:r>
            <w:r>
              <w:rPr>
                <w:sz w:val="18"/>
              </w:rPr>
              <w:t>07 </w:t>
            </w:r>
            <w:r>
              <w:rPr>
                <w:rFonts w:ascii="宋体" w:eastAsia="宋体" w:hint="eastAsia"/>
                <w:sz w:val="18"/>
              </w:rPr>
              <w:t>月 </w:t>
            </w:r>
            <w:r>
              <w:rPr>
                <w:sz w:val="18"/>
              </w:rPr>
              <w:t>30</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623" w:hRule="atLeast"/>
        </w:trPr>
        <w:tc>
          <w:tcPr>
            <w:tcW w:w="4253" w:type="dxa"/>
            <w:tcBorders>
              <w:top w:val="single" w:sz="4" w:space="0" w:color="000000"/>
              <w:bottom w:val="single" w:sz="4" w:space="0" w:color="000000"/>
              <w:right w:val="single" w:sz="4" w:space="0" w:color="000000"/>
            </w:tcBorders>
          </w:tcPr>
          <w:p>
            <w:pPr>
              <w:pStyle w:val="TableParagraph"/>
              <w:spacing w:before="38"/>
              <w:ind w:left="105"/>
              <w:rPr>
                <w:rFonts w:ascii="宋体" w:eastAsia="宋体" w:hint="eastAsia"/>
                <w:sz w:val="18"/>
              </w:rPr>
            </w:pPr>
            <w:r>
              <w:rPr>
                <w:rFonts w:ascii="宋体" w:eastAsia="宋体" w:hint="eastAsia"/>
                <w:sz w:val="18"/>
              </w:rPr>
              <w:t>海尔智家股份有限公司核心员工持股计划额度分配</w:t>
            </w:r>
          </w:p>
          <w:p>
            <w:pPr>
              <w:pStyle w:val="TableParagraph"/>
              <w:spacing w:before="81"/>
              <w:ind w:left="105"/>
              <w:rPr>
                <w:rFonts w:ascii="宋体" w:eastAsia="宋体" w:hint="eastAsia"/>
                <w:sz w:val="18"/>
              </w:rPr>
            </w:pPr>
            <w:r>
              <w:rPr>
                <w:rFonts w:ascii="宋体" w:eastAsia="宋体" w:hint="eastAsia"/>
                <w:sz w:val="18"/>
              </w:rPr>
              <w:t>及权益归属的公告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Pr>
                <w:rFonts w:ascii="宋体" w:eastAsia="宋体" w:hint="eastAsia"/>
                <w:sz w:val="18"/>
              </w:rPr>
            </w:pPr>
            <w:r>
              <w:rPr>
                <w:rFonts w:ascii="宋体" w:eastAsia="宋体" w:hint="eastAsia"/>
                <w:spacing w:val="-8"/>
                <w:sz w:val="18"/>
              </w:rPr>
              <w:t>中国证券报 </w:t>
            </w:r>
            <w:r>
              <w:rPr>
                <w:sz w:val="18"/>
              </w:rPr>
              <w:t>B051 </w:t>
            </w:r>
            <w:r>
              <w:rPr>
                <w:rFonts w:ascii="宋体" w:eastAsia="宋体" w:hint="eastAsia"/>
                <w:spacing w:val="-7"/>
                <w:sz w:val="18"/>
              </w:rPr>
              <w:t>版、上海证券报 </w:t>
            </w:r>
            <w:r>
              <w:rPr>
                <w:sz w:val="18"/>
              </w:rPr>
              <w:t>44 </w:t>
            </w:r>
            <w:r>
              <w:rPr>
                <w:rFonts w:ascii="宋体" w:eastAsia="宋体" w:hint="eastAsia"/>
                <w:spacing w:val="-8"/>
                <w:sz w:val="18"/>
              </w:rPr>
              <w:t>版、</w:t>
            </w:r>
          </w:p>
          <w:p>
            <w:pPr>
              <w:pStyle w:val="TableParagraph"/>
              <w:spacing w:before="81"/>
              <w:ind w:left="115"/>
              <w:rPr>
                <w:rFonts w:ascii="宋体" w:eastAsia="宋体" w:hint="eastAsia"/>
                <w:sz w:val="18"/>
              </w:rPr>
            </w:pPr>
            <w:r>
              <w:rPr>
                <w:rFonts w:ascii="宋体" w:eastAsia="宋体" w:hint="eastAsia"/>
                <w:sz w:val="18"/>
              </w:rPr>
              <w:t>证券时报 </w:t>
            </w:r>
            <w:r>
              <w:rPr>
                <w:sz w:val="18"/>
              </w:rPr>
              <w:t>B075 </w:t>
            </w:r>
            <w:r>
              <w:rPr>
                <w:rFonts w:ascii="宋体" w:eastAsia="宋体" w:hint="eastAsia"/>
                <w:sz w:val="18"/>
              </w:rPr>
              <w:t>版、证券日报 </w:t>
            </w:r>
            <w:r>
              <w:rPr>
                <w:sz w:val="18"/>
              </w:rPr>
              <w:t>C72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38"/>
              <w:ind w:left="94" w:right="55"/>
              <w:jc w:val="center"/>
              <w:rPr>
                <w:sz w:val="18"/>
              </w:rPr>
            </w:pPr>
            <w:r>
              <w:rPr>
                <w:sz w:val="18"/>
              </w:rPr>
              <w:t>2020 </w:t>
            </w:r>
            <w:r>
              <w:rPr>
                <w:rFonts w:ascii="宋体" w:eastAsia="宋体" w:hint="eastAsia"/>
                <w:sz w:val="18"/>
              </w:rPr>
              <w:t>年 </w:t>
            </w:r>
            <w:r>
              <w:rPr>
                <w:sz w:val="18"/>
              </w:rPr>
              <w:t>07 </w:t>
            </w:r>
            <w:r>
              <w:rPr>
                <w:rFonts w:ascii="宋体" w:eastAsia="宋体" w:hint="eastAsia"/>
                <w:sz w:val="18"/>
              </w:rPr>
              <w:t>月 </w:t>
            </w:r>
            <w:r>
              <w:rPr>
                <w:sz w:val="18"/>
              </w:rPr>
              <w:t>30</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623" w:hRule="atLeast"/>
        </w:trPr>
        <w:tc>
          <w:tcPr>
            <w:tcW w:w="4253" w:type="dxa"/>
            <w:tcBorders>
              <w:top w:val="single" w:sz="4" w:space="0" w:color="000000"/>
              <w:bottom w:val="single" w:sz="4" w:space="0" w:color="000000"/>
              <w:right w:val="single" w:sz="4" w:space="0" w:color="000000"/>
            </w:tcBorders>
          </w:tcPr>
          <w:p>
            <w:pPr>
              <w:pStyle w:val="TableParagraph"/>
              <w:spacing w:before="10"/>
              <w:rPr>
                <w:sz w:val="16"/>
              </w:rPr>
            </w:pPr>
          </w:p>
          <w:p>
            <w:pPr>
              <w:pStyle w:val="TableParagraph"/>
              <w:ind w:left="105"/>
              <w:rPr>
                <w:rFonts w:ascii="宋体" w:eastAsia="宋体" w:hint="eastAsia"/>
                <w:sz w:val="18"/>
              </w:rPr>
            </w:pPr>
            <w:r>
              <w:rPr>
                <w:rFonts w:ascii="宋体" w:eastAsia="宋体" w:hint="eastAsia"/>
                <w:sz w:val="18"/>
              </w:rPr>
              <w:t>海尔智家股份有限公司停牌公告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Pr>
                <w:rFonts w:ascii="宋体" w:eastAsia="宋体" w:hint="eastAsia"/>
                <w:sz w:val="18"/>
              </w:rPr>
            </w:pPr>
            <w:r>
              <w:rPr>
                <w:rFonts w:ascii="宋体" w:eastAsia="宋体" w:hint="eastAsia"/>
                <w:spacing w:val="-8"/>
                <w:sz w:val="18"/>
              </w:rPr>
              <w:t>中国证券报 </w:t>
            </w:r>
            <w:r>
              <w:rPr>
                <w:sz w:val="18"/>
              </w:rPr>
              <w:t>B078 </w:t>
            </w:r>
            <w:r>
              <w:rPr>
                <w:rFonts w:ascii="宋体" w:eastAsia="宋体" w:hint="eastAsia"/>
                <w:spacing w:val="-7"/>
                <w:sz w:val="18"/>
              </w:rPr>
              <w:t>版、上海证券报 </w:t>
            </w:r>
            <w:r>
              <w:rPr>
                <w:sz w:val="18"/>
              </w:rPr>
              <w:t>88 </w:t>
            </w:r>
            <w:r>
              <w:rPr>
                <w:rFonts w:ascii="宋体" w:eastAsia="宋体" w:hint="eastAsia"/>
                <w:spacing w:val="-8"/>
                <w:sz w:val="18"/>
              </w:rPr>
              <w:t>版、</w:t>
            </w:r>
          </w:p>
          <w:p>
            <w:pPr>
              <w:pStyle w:val="TableParagraph"/>
              <w:spacing w:before="81"/>
              <w:ind w:left="115"/>
              <w:rPr>
                <w:rFonts w:ascii="宋体" w:eastAsia="宋体" w:hint="eastAsia"/>
                <w:sz w:val="18"/>
              </w:rPr>
            </w:pPr>
            <w:r>
              <w:rPr>
                <w:rFonts w:ascii="宋体" w:eastAsia="宋体" w:hint="eastAsia"/>
                <w:sz w:val="18"/>
              </w:rPr>
              <w:t>证券时报 </w:t>
            </w:r>
            <w:r>
              <w:rPr>
                <w:sz w:val="18"/>
              </w:rPr>
              <w:t>B108 </w:t>
            </w:r>
            <w:r>
              <w:rPr>
                <w:rFonts w:ascii="宋体" w:eastAsia="宋体" w:hint="eastAsia"/>
                <w:sz w:val="18"/>
              </w:rPr>
              <w:t>版、证券日报 </w:t>
            </w:r>
            <w:r>
              <w:rPr>
                <w:sz w:val="18"/>
              </w:rPr>
              <w:t>C84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38"/>
              <w:ind w:left="94" w:right="55"/>
              <w:jc w:val="center"/>
              <w:rPr>
                <w:sz w:val="18"/>
              </w:rPr>
            </w:pPr>
            <w:r>
              <w:rPr>
                <w:sz w:val="18"/>
              </w:rPr>
              <w:t>2020 </w:t>
            </w:r>
            <w:r>
              <w:rPr>
                <w:rFonts w:ascii="宋体" w:eastAsia="宋体" w:hint="eastAsia"/>
                <w:sz w:val="18"/>
              </w:rPr>
              <w:t>年 </w:t>
            </w:r>
            <w:r>
              <w:rPr>
                <w:sz w:val="18"/>
              </w:rPr>
              <w:t>07 </w:t>
            </w:r>
            <w:r>
              <w:rPr>
                <w:rFonts w:ascii="宋体" w:eastAsia="宋体" w:hint="eastAsia"/>
                <w:sz w:val="18"/>
              </w:rPr>
              <w:t>月 </w:t>
            </w:r>
            <w:r>
              <w:rPr>
                <w:sz w:val="18"/>
              </w:rPr>
              <w:t>31</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936" w:hRule="atLeast"/>
        </w:trPr>
        <w:tc>
          <w:tcPr>
            <w:tcW w:w="4253" w:type="dxa"/>
            <w:tcBorders>
              <w:top w:val="single" w:sz="4" w:space="0" w:color="000000"/>
              <w:bottom w:val="single" w:sz="4" w:space="0" w:color="000000"/>
              <w:right w:val="single" w:sz="4" w:space="0" w:color="000000"/>
            </w:tcBorders>
          </w:tcPr>
          <w:p>
            <w:pPr>
              <w:pStyle w:val="TableParagraph"/>
              <w:spacing w:before="10"/>
              <w:rPr>
                <w:sz w:val="16"/>
              </w:rPr>
            </w:pPr>
          </w:p>
          <w:p>
            <w:pPr>
              <w:pStyle w:val="TableParagraph"/>
              <w:spacing w:line="324" w:lineRule="auto"/>
              <w:ind w:left="105" w:right="90"/>
              <w:rPr>
                <w:rFonts w:ascii="宋体" w:eastAsia="宋体" w:hint="eastAsia"/>
                <w:sz w:val="18"/>
              </w:rPr>
            </w:pPr>
            <w:r>
              <w:rPr>
                <w:rFonts w:ascii="宋体" w:eastAsia="宋体" w:hint="eastAsia"/>
                <w:sz w:val="18"/>
              </w:rPr>
              <w:t>海尔智家股份有限公司第十届董事会第十次会议决议公告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Pr>
                <w:sz w:val="18"/>
              </w:rPr>
            </w:pPr>
            <w:r>
              <w:rPr>
                <w:rFonts w:ascii="宋体" w:eastAsia="宋体" w:hint="eastAsia"/>
                <w:spacing w:val="-8"/>
                <w:sz w:val="18"/>
              </w:rPr>
              <w:t>中国证券报 </w:t>
            </w:r>
            <w:r>
              <w:rPr>
                <w:sz w:val="18"/>
              </w:rPr>
              <w:t>A08-14</w:t>
            </w:r>
            <w:r>
              <w:rPr>
                <w:spacing w:val="1"/>
                <w:sz w:val="18"/>
              </w:rPr>
              <w:t> </w:t>
            </w:r>
            <w:r>
              <w:rPr>
                <w:rFonts w:ascii="宋体" w:eastAsia="宋体" w:hint="eastAsia"/>
                <w:spacing w:val="-17"/>
                <w:sz w:val="18"/>
              </w:rPr>
              <w:t>版、上海证券报 </w:t>
            </w:r>
            <w:r>
              <w:rPr>
                <w:sz w:val="18"/>
              </w:rPr>
              <w:t>93-98</w:t>
            </w:r>
          </w:p>
          <w:p>
            <w:pPr>
              <w:pStyle w:val="TableParagraph"/>
              <w:spacing w:before="81"/>
              <w:ind w:left="115"/>
              <w:rPr>
                <w:rFonts w:ascii="宋体" w:eastAsia="宋体" w:hint="eastAsia"/>
                <w:sz w:val="18"/>
              </w:rPr>
            </w:pPr>
            <w:r>
              <w:rPr>
                <w:rFonts w:ascii="宋体" w:eastAsia="宋体" w:hint="eastAsia"/>
                <w:spacing w:val="-10"/>
                <w:sz w:val="18"/>
              </w:rPr>
              <w:t>版、证券时报 </w:t>
            </w:r>
            <w:r>
              <w:rPr>
                <w:sz w:val="18"/>
              </w:rPr>
              <w:t>B2-3/B93-97</w:t>
            </w:r>
            <w:r>
              <w:rPr>
                <w:spacing w:val="-1"/>
                <w:sz w:val="18"/>
              </w:rPr>
              <w:t> </w:t>
            </w:r>
            <w:r>
              <w:rPr>
                <w:rFonts w:ascii="宋体" w:eastAsia="宋体" w:hint="eastAsia"/>
                <w:spacing w:val="-3"/>
                <w:sz w:val="18"/>
              </w:rPr>
              <w:t>版、证券日报</w:t>
            </w:r>
          </w:p>
          <w:p>
            <w:pPr>
              <w:pStyle w:val="TableParagraph"/>
              <w:spacing w:before="82"/>
              <w:ind w:left="115"/>
              <w:rPr>
                <w:rFonts w:ascii="宋体" w:eastAsia="宋体" w:hint="eastAsia"/>
                <w:sz w:val="18"/>
              </w:rPr>
            </w:pPr>
            <w:r>
              <w:rPr>
                <w:sz w:val="18"/>
              </w:rPr>
              <w:t>C32-39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10"/>
              <w:rPr>
                <w:sz w:val="16"/>
              </w:rPr>
            </w:pPr>
          </w:p>
          <w:p>
            <w:pPr>
              <w:pStyle w:val="TableParagraph"/>
              <w:ind w:left="94" w:right="55"/>
              <w:jc w:val="center"/>
              <w:rPr>
                <w:sz w:val="18"/>
              </w:rPr>
            </w:pPr>
            <w:r>
              <w:rPr>
                <w:sz w:val="18"/>
              </w:rPr>
              <w:t>2020 </w:t>
            </w:r>
            <w:r>
              <w:rPr>
                <w:rFonts w:ascii="宋体" w:eastAsia="宋体" w:hint="eastAsia"/>
                <w:sz w:val="18"/>
              </w:rPr>
              <w:t>年 </w:t>
            </w:r>
            <w:r>
              <w:rPr>
                <w:sz w:val="18"/>
              </w:rPr>
              <w:t>08 </w:t>
            </w:r>
            <w:r>
              <w:rPr>
                <w:rFonts w:ascii="宋体" w:eastAsia="宋体" w:hint="eastAsia"/>
                <w:sz w:val="18"/>
              </w:rPr>
              <w:t>月 </w:t>
            </w:r>
            <w:r>
              <w:rPr>
                <w:sz w:val="18"/>
              </w:rPr>
              <w:t>01</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937" w:hRule="atLeast"/>
        </w:trPr>
        <w:tc>
          <w:tcPr>
            <w:tcW w:w="4253" w:type="dxa"/>
            <w:tcBorders>
              <w:top w:val="single" w:sz="4" w:space="0" w:color="000000"/>
              <w:bottom w:val="single" w:sz="4" w:space="0" w:color="000000"/>
              <w:right w:val="single" w:sz="4" w:space="0" w:color="000000"/>
            </w:tcBorders>
          </w:tcPr>
          <w:p>
            <w:pPr>
              <w:pStyle w:val="TableParagraph"/>
              <w:spacing w:before="1"/>
              <w:rPr>
                <w:sz w:val="17"/>
              </w:rPr>
            </w:pPr>
          </w:p>
          <w:p>
            <w:pPr>
              <w:pStyle w:val="TableParagraph"/>
              <w:spacing w:line="324" w:lineRule="auto"/>
              <w:ind w:left="105" w:right="90"/>
              <w:rPr>
                <w:rFonts w:ascii="宋体" w:eastAsia="宋体" w:hint="eastAsia"/>
                <w:sz w:val="18"/>
              </w:rPr>
            </w:pPr>
            <w:r>
              <w:rPr>
                <w:rFonts w:ascii="宋体" w:eastAsia="宋体" w:hint="eastAsia"/>
                <w:sz w:val="18"/>
              </w:rPr>
              <w:t>海尔智家股份有限公司第十届监事会第九次会议决议公告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40"/>
              <w:ind w:left="115"/>
              <w:rPr>
                <w:sz w:val="18"/>
              </w:rPr>
            </w:pPr>
            <w:r>
              <w:rPr>
                <w:rFonts w:ascii="宋体" w:eastAsia="宋体" w:hint="eastAsia"/>
                <w:spacing w:val="-8"/>
                <w:sz w:val="18"/>
              </w:rPr>
              <w:t>中国证券报 </w:t>
            </w:r>
            <w:r>
              <w:rPr>
                <w:sz w:val="18"/>
              </w:rPr>
              <w:t>A08-14</w:t>
            </w:r>
            <w:r>
              <w:rPr>
                <w:spacing w:val="1"/>
                <w:sz w:val="18"/>
              </w:rPr>
              <w:t> </w:t>
            </w:r>
            <w:r>
              <w:rPr>
                <w:rFonts w:ascii="宋体" w:eastAsia="宋体" w:hint="eastAsia"/>
                <w:spacing w:val="-17"/>
                <w:sz w:val="18"/>
              </w:rPr>
              <w:t>版、上海证券报 </w:t>
            </w:r>
            <w:r>
              <w:rPr>
                <w:sz w:val="18"/>
              </w:rPr>
              <w:t>93-98</w:t>
            </w:r>
          </w:p>
          <w:p>
            <w:pPr>
              <w:pStyle w:val="TableParagraph"/>
              <w:spacing w:before="82"/>
              <w:ind w:left="115"/>
              <w:rPr>
                <w:rFonts w:ascii="宋体" w:eastAsia="宋体" w:hint="eastAsia"/>
                <w:sz w:val="18"/>
              </w:rPr>
            </w:pPr>
            <w:r>
              <w:rPr>
                <w:rFonts w:ascii="宋体" w:eastAsia="宋体" w:hint="eastAsia"/>
                <w:spacing w:val="-10"/>
                <w:sz w:val="18"/>
              </w:rPr>
              <w:t>版、证券时报 </w:t>
            </w:r>
            <w:r>
              <w:rPr>
                <w:sz w:val="18"/>
              </w:rPr>
              <w:t>B2-3/B93-97</w:t>
            </w:r>
            <w:r>
              <w:rPr>
                <w:spacing w:val="-1"/>
                <w:sz w:val="18"/>
              </w:rPr>
              <w:t> </w:t>
            </w:r>
            <w:r>
              <w:rPr>
                <w:rFonts w:ascii="宋体" w:eastAsia="宋体" w:hint="eastAsia"/>
                <w:spacing w:val="-3"/>
                <w:sz w:val="18"/>
              </w:rPr>
              <w:t>版、证券日报</w:t>
            </w:r>
          </w:p>
          <w:p>
            <w:pPr>
              <w:pStyle w:val="TableParagraph"/>
              <w:spacing w:before="81"/>
              <w:ind w:left="115"/>
              <w:rPr>
                <w:rFonts w:ascii="宋体" w:eastAsia="宋体" w:hint="eastAsia"/>
                <w:sz w:val="18"/>
              </w:rPr>
            </w:pPr>
            <w:r>
              <w:rPr>
                <w:sz w:val="18"/>
              </w:rPr>
              <w:t>C32-39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1"/>
              <w:rPr>
                <w:sz w:val="17"/>
              </w:rPr>
            </w:pPr>
          </w:p>
          <w:p>
            <w:pPr>
              <w:pStyle w:val="TableParagraph"/>
              <w:ind w:left="94" w:right="55"/>
              <w:jc w:val="center"/>
              <w:rPr>
                <w:sz w:val="18"/>
              </w:rPr>
            </w:pPr>
            <w:r>
              <w:rPr>
                <w:sz w:val="18"/>
              </w:rPr>
              <w:t>2020 </w:t>
            </w:r>
            <w:r>
              <w:rPr>
                <w:rFonts w:ascii="宋体" w:eastAsia="宋体" w:hint="eastAsia"/>
                <w:sz w:val="18"/>
              </w:rPr>
              <w:t>年 </w:t>
            </w:r>
            <w:r>
              <w:rPr>
                <w:sz w:val="18"/>
              </w:rPr>
              <w:t>08 </w:t>
            </w:r>
            <w:r>
              <w:rPr>
                <w:rFonts w:ascii="宋体" w:eastAsia="宋体" w:hint="eastAsia"/>
                <w:sz w:val="18"/>
              </w:rPr>
              <w:t>月 </w:t>
            </w:r>
            <w:r>
              <w:rPr>
                <w:sz w:val="18"/>
              </w:rPr>
              <w:t>01</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935" w:hRule="atLeast"/>
        </w:trPr>
        <w:tc>
          <w:tcPr>
            <w:tcW w:w="4253" w:type="dxa"/>
            <w:tcBorders>
              <w:top w:val="single" w:sz="4" w:space="0" w:color="000000"/>
              <w:bottom w:val="single" w:sz="4" w:space="0" w:color="000000"/>
              <w:right w:val="single" w:sz="4" w:space="0" w:color="000000"/>
            </w:tcBorders>
          </w:tcPr>
          <w:p>
            <w:pPr>
              <w:pStyle w:val="TableParagraph"/>
              <w:spacing w:before="10"/>
              <w:rPr>
                <w:sz w:val="16"/>
              </w:rPr>
            </w:pPr>
          </w:p>
          <w:p>
            <w:pPr>
              <w:pStyle w:val="TableParagraph"/>
              <w:spacing w:line="324" w:lineRule="auto"/>
              <w:ind w:left="105" w:right="90"/>
              <w:rPr>
                <w:rFonts w:ascii="宋体" w:eastAsia="宋体" w:hint="eastAsia"/>
                <w:sz w:val="18"/>
              </w:rPr>
            </w:pPr>
            <w:r>
              <w:rPr>
                <w:rFonts w:ascii="宋体" w:eastAsia="宋体" w:hint="eastAsia"/>
                <w:sz w:val="18"/>
              </w:rPr>
              <w:t>海尔智家股份有限公司关于资产重组摊薄即期回报的风险提示及填补措施公告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Pr>
                <w:sz w:val="18"/>
              </w:rPr>
            </w:pPr>
            <w:r>
              <w:rPr>
                <w:rFonts w:ascii="宋体" w:eastAsia="宋体" w:hint="eastAsia"/>
                <w:spacing w:val="-8"/>
                <w:sz w:val="18"/>
              </w:rPr>
              <w:t>中国证券报 </w:t>
            </w:r>
            <w:r>
              <w:rPr>
                <w:sz w:val="18"/>
              </w:rPr>
              <w:t>A08-14</w:t>
            </w:r>
            <w:r>
              <w:rPr>
                <w:spacing w:val="1"/>
                <w:sz w:val="18"/>
              </w:rPr>
              <w:t> </w:t>
            </w:r>
            <w:r>
              <w:rPr>
                <w:rFonts w:ascii="宋体" w:eastAsia="宋体" w:hint="eastAsia"/>
                <w:spacing w:val="-17"/>
                <w:sz w:val="18"/>
              </w:rPr>
              <w:t>版、上海证券报 </w:t>
            </w:r>
            <w:r>
              <w:rPr>
                <w:sz w:val="18"/>
              </w:rPr>
              <w:t>93-98</w:t>
            </w:r>
          </w:p>
          <w:p>
            <w:pPr>
              <w:pStyle w:val="TableParagraph"/>
              <w:spacing w:before="81"/>
              <w:ind w:left="115"/>
              <w:rPr>
                <w:rFonts w:ascii="宋体" w:eastAsia="宋体" w:hint="eastAsia"/>
                <w:sz w:val="18"/>
              </w:rPr>
            </w:pPr>
            <w:r>
              <w:rPr>
                <w:rFonts w:ascii="宋体" w:eastAsia="宋体" w:hint="eastAsia"/>
                <w:spacing w:val="-10"/>
                <w:sz w:val="18"/>
              </w:rPr>
              <w:t>版、证券时报 </w:t>
            </w:r>
            <w:r>
              <w:rPr>
                <w:sz w:val="18"/>
              </w:rPr>
              <w:t>B2-3/B93-97</w:t>
            </w:r>
            <w:r>
              <w:rPr>
                <w:spacing w:val="-1"/>
                <w:sz w:val="18"/>
              </w:rPr>
              <w:t> </w:t>
            </w:r>
            <w:r>
              <w:rPr>
                <w:rFonts w:ascii="宋体" w:eastAsia="宋体" w:hint="eastAsia"/>
                <w:spacing w:val="-3"/>
                <w:sz w:val="18"/>
              </w:rPr>
              <w:t>版、证券日报</w:t>
            </w:r>
          </w:p>
          <w:p>
            <w:pPr>
              <w:pStyle w:val="TableParagraph"/>
              <w:spacing w:before="82"/>
              <w:ind w:left="115"/>
              <w:rPr>
                <w:rFonts w:ascii="宋体" w:eastAsia="宋体" w:hint="eastAsia"/>
                <w:sz w:val="18"/>
              </w:rPr>
            </w:pPr>
            <w:r>
              <w:rPr>
                <w:sz w:val="18"/>
              </w:rPr>
              <w:t>C32-39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10"/>
              <w:rPr>
                <w:sz w:val="16"/>
              </w:rPr>
            </w:pPr>
          </w:p>
          <w:p>
            <w:pPr>
              <w:pStyle w:val="TableParagraph"/>
              <w:ind w:left="94" w:right="55"/>
              <w:jc w:val="center"/>
              <w:rPr>
                <w:sz w:val="18"/>
              </w:rPr>
            </w:pPr>
            <w:r>
              <w:rPr>
                <w:sz w:val="18"/>
              </w:rPr>
              <w:t>2020 </w:t>
            </w:r>
            <w:r>
              <w:rPr>
                <w:rFonts w:ascii="宋体" w:eastAsia="宋体" w:hint="eastAsia"/>
                <w:sz w:val="18"/>
              </w:rPr>
              <w:t>年 </w:t>
            </w:r>
            <w:r>
              <w:rPr>
                <w:sz w:val="18"/>
              </w:rPr>
              <w:t>08 </w:t>
            </w:r>
            <w:r>
              <w:rPr>
                <w:rFonts w:ascii="宋体" w:eastAsia="宋体" w:hint="eastAsia"/>
                <w:sz w:val="18"/>
              </w:rPr>
              <w:t>月 </w:t>
            </w:r>
            <w:r>
              <w:rPr>
                <w:sz w:val="18"/>
              </w:rPr>
              <w:t>01</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620" w:hRule="atLeast"/>
        </w:trPr>
        <w:tc>
          <w:tcPr>
            <w:tcW w:w="4253" w:type="dxa"/>
            <w:tcBorders>
              <w:top w:val="single" w:sz="4" w:space="0" w:color="000000"/>
              <w:right w:val="single" w:sz="4" w:space="0" w:color="000000"/>
            </w:tcBorders>
          </w:tcPr>
          <w:p>
            <w:pPr>
              <w:pStyle w:val="TableParagraph"/>
              <w:spacing w:before="38"/>
              <w:ind w:left="105"/>
              <w:rPr>
                <w:rFonts w:ascii="宋体" w:eastAsia="宋体" w:hint="eastAsia"/>
                <w:sz w:val="18"/>
              </w:rPr>
            </w:pPr>
            <w:r>
              <w:rPr>
                <w:rFonts w:ascii="宋体" w:eastAsia="宋体" w:hint="eastAsia"/>
                <w:spacing w:val="-4"/>
                <w:sz w:val="18"/>
              </w:rPr>
              <w:t>海尔智家股份有限公司关于召开 </w:t>
            </w:r>
            <w:r>
              <w:rPr>
                <w:sz w:val="18"/>
              </w:rPr>
              <w:t>2020</w:t>
            </w:r>
            <w:r>
              <w:rPr>
                <w:spacing w:val="-6"/>
                <w:sz w:val="18"/>
              </w:rPr>
              <w:t> </w:t>
            </w:r>
            <w:r>
              <w:rPr>
                <w:rFonts w:ascii="宋体" w:eastAsia="宋体" w:hint="eastAsia"/>
                <w:sz w:val="18"/>
              </w:rPr>
              <w:t>年第二次临时</w:t>
            </w:r>
          </w:p>
          <w:p>
            <w:pPr>
              <w:pStyle w:val="TableParagraph"/>
              <w:spacing w:before="81"/>
              <w:ind w:left="105"/>
              <w:rPr>
                <w:rFonts w:ascii="宋体" w:eastAsia="宋体" w:hint="eastAsia"/>
                <w:sz w:val="18"/>
              </w:rPr>
            </w:pPr>
            <w:r>
              <w:rPr>
                <w:rFonts w:ascii="宋体" w:eastAsia="宋体" w:hint="eastAsia"/>
                <w:spacing w:val="-2"/>
                <w:sz w:val="18"/>
              </w:rPr>
              <w:t>股东大会、</w:t>
            </w:r>
            <w:r>
              <w:rPr>
                <w:sz w:val="18"/>
              </w:rPr>
              <w:t>2020 </w:t>
            </w:r>
            <w:r>
              <w:rPr>
                <w:rFonts w:ascii="宋体" w:eastAsia="宋体" w:hint="eastAsia"/>
                <w:spacing w:val="-10"/>
                <w:sz w:val="18"/>
              </w:rPr>
              <w:t>年第一次 </w:t>
            </w:r>
            <w:r>
              <w:rPr>
                <w:sz w:val="18"/>
              </w:rPr>
              <w:t>A</w:t>
            </w:r>
            <w:r>
              <w:rPr>
                <w:spacing w:val="-3"/>
                <w:sz w:val="18"/>
              </w:rPr>
              <w:t> </w:t>
            </w:r>
            <w:r>
              <w:rPr>
                <w:rFonts w:ascii="宋体" w:eastAsia="宋体" w:hint="eastAsia"/>
                <w:sz w:val="18"/>
              </w:rPr>
              <w:t>股类别股东大会的通知</w:t>
            </w:r>
          </w:p>
        </w:tc>
        <w:tc>
          <w:tcPr>
            <w:tcW w:w="3401" w:type="dxa"/>
            <w:tcBorders>
              <w:top w:val="single" w:sz="4" w:space="0" w:color="000000"/>
              <w:left w:val="single" w:sz="4" w:space="0" w:color="000000"/>
              <w:right w:val="single" w:sz="4" w:space="0" w:color="000000"/>
            </w:tcBorders>
          </w:tcPr>
          <w:p>
            <w:pPr>
              <w:pStyle w:val="TableParagraph"/>
              <w:spacing w:before="38"/>
              <w:ind w:left="115"/>
              <w:rPr>
                <w:sz w:val="18"/>
              </w:rPr>
            </w:pPr>
            <w:r>
              <w:rPr>
                <w:rFonts w:ascii="宋体" w:eastAsia="宋体" w:hint="eastAsia"/>
                <w:spacing w:val="-8"/>
                <w:sz w:val="18"/>
              </w:rPr>
              <w:t>中国证券报 </w:t>
            </w:r>
            <w:r>
              <w:rPr>
                <w:sz w:val="18"/>
              </w:rPr>
              <w:t>A08-14</w:t>
            </w:r>
            <w:r>
              <w:rPr>
                <w:spacing w:val="1"/>
                <w:sz w:val="18"/>
              </w:rPr>
              <w:t> </w:t>
            </w:r>
            <w:r>
              <w:rPr>
                <w:rFonts w:ascii="宋体" w:eastAsia="宋体" w:hint="eastAsia"/>
                <w:spacing w:val="-17"/>
                <w:sz w:val="18"/>
              </w:rPr>
              <w:t>版、上海证券报 </w:t>
            </w:r>
            <w:r>
              <w:rPr>
                <w:sz w:val="18"/>
              </w:rPr>
              <w:t>93-98</w:t>
            </w:r>
          </w:p>
          <w:p>
            <w:pPr>
              <w:pStyle w:val="TableParagraph"/>
              <w:spacing w:before="81"/>
              <w:ind w:left="115"/>
              <w:rPr>
                <w:rFonts w:ascii="宋体" w:eastAsia="宋体" w:hint="eastAsia"/>
                <w:sz w:val="18"/>
              </w:rPr>
            </w:pPr>
            <w:r>
              <w:rPr>
                <w:rFonts w:ascii="宋体" w:eastAsia="宋体" w:hint="eastAsia"/>
                <w:spacing w:val="-10"/>
                <w:sz w:val="18"/>
              </w:rPr>
              <w:t>版、证券时报 </w:t>
            </w:r>
            <w:r>
              <w:rPr>
                <w:sz w:val="18"/>
              </w:rPr>
              <w:t>B2-3/B93-97</w:t>
            </w:r>
            <w:r>
              <w:rPr>
                <w:spacing w:val="-1"/>
                <w:sz w:val="18"/>
              </w:rPr>
              <w:t> </w:t>
            </w:r>
            <w:r>
              <w:rPr>
                <w:rFonts w:ascii="宋体" w:eastAsia="宋体" w:hint="eastAsia"/>
                <w:spacing w:val="-3"/>
                <w:sz w:val="18"/>
              </w:rPr>
              <w:t>版、证券日报</w:t>
            </w:r>
          </w:p>
        </w:tc>
        <w:tc>
          <w:tcPr>
            <w:tcW w:w="1559" w:type="dxa"/>
            <w:tcBorders>
              <w:top w:val="single" w:sz="4" w:space="0" w:color="000000"/>
              <w:left w:val="single" w:sz="4" w:space="0" w:color="000000"/>
            </w:tcBorders>
          </w:tcPr>
          <w:p>
            <w:pPr>
              <w:pStyle w:val="TableParagraph"/>
              <w:spacing w:before="38"/>
              <w:ind w:left="94" w:right="55"/>
              <w:jc w:val="center"/>
              <w:rPr>
                <w:sz w:val="18"/>
              </w:rPr>
            </w:pPr>
            <w:r>
              <w:rPr>
                <w:sz w:val="18"/>
              </w:rPr>
              <w:t>2020 </w:t>
            </w:r>
            <w:r>
              <w:rPr>
                <w:rFonts w:ascii="宋体" w:eastAsia="宋体" w:hint="eastAsia"/>
                <w:sz w:val="18"/>
              </w:rPr>
              <w:t>年 </w:t>
            </w:r>
            <w:r>
              <w:rPr>
                <w:sz w:val="18"/>
              </w:rPr>
              <w:t>08 </w:t>
            </w:r>
            <w:r>
              <w:rPr>
                <w:rFonts w:ascii="宋体" w:eastAsia="宋体" w:hint="eastAsia"/>
                <w:sz w:val="18"/>
              </w:rPr>
              <w:t>月 </w:t>
            </w:r>
            <w:r>
              <w:rPr>
                <w:sz w:val="18"/>
              </w:rPr>
              <w:t>01</w:t>
            </w:r>
          </w:p>
          <w:p>
            <w:pPr>
              <w:pStyle w:val="TableParagraph"/>
              <w:spacing w:before="81"/>
              <w:ind w:left="39"/>
              <w:jc w:val="center"/>
              <w:rPr>
                <w:rFonts w:ascii="宋体" w:eastAsia="宋体" w:hint="eastAsia"/>
                <w:sz w:val="18"/>
              </w:rPr>
            </w:pPr>
            <w:r>
              <w:rPr>
                <w:rFonts w:ascii="宋体" w:eastAsia="宋体" w:hint="eastAsia"/>
                <w:sz w:val="18"/>
              </w:rPr>
              <w:t>日</w:t>
            </w:r>
          </w:p>
        </w:tc>
      </w:tr>
    </w:tbl>
    <w:p>
      <w:pPr>
        <w:spacing w:after="0"/>
        <w:jc w:val="center"/>
        <w:rPr>
          <w:rFonts w:ascii="宋体" w:eastAsia="宋体" w:hint="eastAsia"/>
          <w:sz w:val="18"/>
        </w:rPr>
        <w:sectPr>
          <w:pgSz w:w="11910" w:h="16840"/>
          <w:pgMar w:header="874" w:footer="1214" w:top="1120" w:bottom="1400" w:left="840" w:right="300"/>
        </w:sectPr>
      </w:pPr>
    </w:p>
    <w:p>
      <w:pPr>
        <w:pStyle w:val="BodyText"/>
        <w:rPr>
          <w:rFonts w:ascii="Times New Roman"/>
          <w:sz w:val="20"/>
        </w:rPr>
      </w:pPr>
    </w:p>
    <w:p>
      <w:pPr>
        <w:pStyle w:val="BodyText"/>
        <w:spacing w:before="9" w:after="1"/>
        <w:rPr>
          <w:rFonts w:ascii="Times New Roman"/>
          <w:sz w:val="14"/>
        </w:rPr>
      </w:pPr>
    </w:p>
    <w:tbl>
      <w:tblPr>
        <w:tblW w:w="0" w:type="auto"/>
        <w:jc w:val="left"/>
        <w:tblInd w:w="6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253"/>
        <w:gridCol w:w="3401"/>
        <w:gridCol w:w="1559"/>
      </w:tblGrid>
      <w:tr>
        <w:trPr>
          <w:trHeight w:val="314" w:hRule="atLeast"/>
        </w:trPr>
        <w:tc>
          <w:tcPr>
            <w:tcW w:w="4253" w:type="dxa"/>
            <w:tcBorders>
              <w:bottom w:val="single" w:sz="4" w:space="0" w:color="000000"/>
              <w:right w:val="single" w:sz="4" w:space="0" w:color="000000"/>
            </w:tcBorders>
          </w:tcPr>
          <w:p>
            <w:pPr>
              <w:pStyle w:val="TableParagraph"/>
              <w:rPr>
                <w:sz w:val="18"/>
              </w:rPr>
            </w:pPr>
          </w:p>
        </w:tc>
        <w:tc>
          <w:tcPr>
            <w:tcW w:w="3401" w:type="dxa"/>
            <w:tcBorders>
              <w:left w:val="single" w:sz="4" w:space="0" w:color="000000"/>
              <w:bottom w:val="single" w:sz="4" w:space="0" w:color="000000"/>
              <w:right w:val="single" w:sz="4" w:space="0" w:color="000000"/>
            </w:tcBorders>
          </w:tcPr>
          <w:p>
            <w:pPr>
              <w:pStyle w:val="TableParagraph"/>
              <w:spacing w:before="40"/>
              <w:ind w:left="115"/>
              <w:rPr>
                <w:rFonts w:ascii="宋体" w:eastAsia="宋体" w:hint="eastAsia"/>
                <w:sz w:val="18"/>
              </w:rPr>
            </w:pPr>
            <w:r>
              <w:rPr>
                <w:sz w:val="18"/>
              </w:rPr>
              <w:t>C32-39 </w:t>
            </w:r>
            <w:r>
              <w:rPr>
                <w:rFonts w:ascii="宋体" w:eastAsia="宋体" w:hint="eastAsia"/>
                <w:sz w:val="18"/>
              </w:rPr>
              <w:t>版</w:t>
            </w:r>
          </w:p>
        </w:tc>
        <w:tc>
          <w:tcPr>
            <w:tcW w:w="1559" w:type="dxa"/>
            <w:tcBorders>
              <w:left w:val="single" w:sz="4" w:space="0" w:color="000000"/>
              <w:bottom w:val="single" w:sz="4" w:space="0" w:color="000000"/>
            </w:tcBorders>
          </w:tcPr>
          <w:p>
            <w:pPr>
              <w:pStyle w:val="TableParagraph"/>
              <w:rPr>
                <w:sz w:val="18"/>
              </w:rPr>
            </w:pPr>
          </w:p>
        </w:tc>
      </w:tr>
      <w:tr>
        <w:trPr>
          <w:trHeight w:val="935" w:hRule="atLeast"/>
        </w:trPr>
        <w:tc>
          <w:tcPr>
            <w:tcW w:w="4253" w:type="dxa"/>
            <w:tcBorders>
              <w:top w:val="single" w:sz="4" w:space="0" w:color="000000"/>
              <w:bottom w:val="single" w:sz="4" w:space="0" w:color="000000"/>
              <w:right w:val="single" w:sz="4" w:space="0" w:color="000000"/>
            </w:tcBorders>
          </w:tcPr>
          <w:p>
            <w:pPr>
              <w:pStyle w:val="TableParagraph"/>
              <w:spacing w:before="10"/>
              <w:rPr>
                <w:sz w:val="16"/>
              </w:rPr>
            </w:pPr>
          </w:p>
          <w:p>
            <w:pPr>
              <w:pStyle w:val="TableParagraph"/>
              <w:spacing w:line="324" w:lineRule="auto"/>
              <w:ind w:left="105" w:right="90"/>
              <w:rPr>
                <w:rFonts w:ascii="宋体" w:eastAsia="宋体" w:hint="eastAsia"/>
                <w:sz w:val="18"/>
              </w:rPr>
            </w:pPr>
            <w:r>
              <w:rPr>
                <w:rFonts w:ascii="宋体" w:eastAsia="宋体" w:hint="eastAsia"/>
                <w:sz w:val="18"/>
              </w:rPr>
              <w:t>海尔智家股份有限公司关于修改《公司章程》的公告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Pr>
                <w:sz w:val="18"/>
              </w:rPr>
            </w:pPr>
            <w:r>
              <w:rPr>
                <w:rFonts w:ascii="宋体" w:eastAsia="宋体" w:hint="eastAsia"/>
                <w:spacing w:val="-8"/>
                <w:sz w:val="18"/>
              </w:rPr>
              <w:t>中国证券报 </w:t>
            </w:r>
            <w:r>
              <w:rPr>
                <w:sz w:val="18"/>
              </w:rPr>
              <w:t>A08-14</w:t>
            </w:r>
            <w:r>
              <w:rPr>
                <w:spacing w:val="1"/>
                <w:sz w:val="18"/>
              </w:rPr>
              <w:t> </w:t>
            </w:r>
            <w:r>
              <w:rPr>
                <w:rFonts w:ascii="宋体" w:eastAsia="宋体" w:hint="eastAsia"/>
                <w:spacing w:val="-17"/>
                <w:sz w:val="18"/>
              </w:rPr>
              <w:t>版、上海证券报 </w:t>
            </w:r>
            <w:r>
              <w:rPr>
                <w:sz w:val="18"/>
              </w:rPr>
              <w:t>93-98</w:t>
            </w:r>
          </w:p>
          <w:p>
            <w:pPr>
              <w:pStyle w:val="TableParagraph"/>
              <w:spacing w:before="81"/>
              <w:ind w:left="115"/>
              <w:rPr>
                <w:rFonts w:ascii="宋体" w:eastAsia="宋体" w:hint="eastAsia"/>
                <w:sz w:val="18"/>
              </w:rPr>
            </w:pPr>
            <w:r>
              <w:rPr>
                <w:rFonts w:ascii="宋体" w:eastAsia="宋体" w:hint="eastAsia"/>
                <w:spacing w:val="-10"/>
                <w:sz w:val="18"/>
              </w:rPr>
              <w:t>版、证券时报 </w:t>
            </w:r>
            <w:r>
              <w:rPr>
                <w:sz w:val="18"/>
              </w:rPr>
              <w:t>B2-3/B93-97</w:t>
            </w:r>
            <w:r>
              <w:rPr>
                <w:spacing w:val="-1"/>
                <w:sz w:val="18"/>
              </w:rPr>
              <w:t> </w:t>
            </w:r>
            <w:r>
              <w:rPr>
                <w:rFonts w:ascii="宋体" w:eastAsia="宋体" w:hint="eastAsia"/>
                <w:spacing w:val="-3"/>
                <w:sz w:val="18"/>
              </w:rPr>
              <w:t>版、证券日报</w:t>
            </w:r>
          </w:p>
          <w:p>
            <w:pPr>
              <w:pStyle w:val="TableParagraph"/>
              <w:spacing w:before="82"/>
              <w:ind w:left="115"/>
              <w:rPr>
                <w:rFonts w:ascii="宋体" w:eastAsia="宋体" w:hint="eastAsia"/>
                <w:sz w:val="18"/>
              </w:rPr>
            </w:pPr>
            <w:r>
              <w:rPr>
                <w:sz w:val="18"/>
              </w:rPr>
              <w:t>C32-39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10"/>
              <w:rPr>
                <w:sz w:val="16"/>
              </w:rPr>
            </w:pPr>
          </w:p>
          <w:p>
            <w:pPr>
              <w:pStyle w:val="TableParagraph"/>
              <w:ind w:left="94" w:right="55"/>
              <w:jc w:val="center"/>
              <w:rPr>
                <w:sz w:val="18"/>
              </w:rPr>
            </w:pPr>
            <w:r>
              <w:rPr>
                <w:sz w:val="18"/>
              </w:rPr>
              <w:t>2020 </w:t>
            </w:r>
            <w:r>
              <w:rPr>
                <w:rFonts w:ascii="宋体" w:eastAsia="宋体" w:hint="eastAsia"/>
                <w:sz w:val="18"/>
              </w:rPr>
              <w:t>年 </w:t>
            </w:r>
            <w:r>
              <w:rPr>
                <w:sz w:val="18"/>
              </w:rPr>
              <w:t>08 </w:t>
            </w:r>
            <w:r>
              <w:rPr>
                <w:rFonts w:ascii="宋体" w:eastAsia="宋体" w:hint="eastAsia"/>
                <w:sz w:val="18"/>
              </w:rPr>
              <w:t>月 </w:t>
            </w:r>
            <w:r>
              <w:rPr>
                <w:sz w:val="18"/>
              </w:rPr>
              <w:t>01</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935" w:hRule="atLeast"/>
        </w:trPr>
        <w:tc>
          <w:tcPr>
            <w:tcW w:w="4253" w:type="dxa"/>
            <w:tcBorders>
              <w:top w:val="single" w:sz="4" w:space="0" w:color="000000"/>
              <w:bottom w:val="single" w:sz="4" w:space="0" w:color="000000"/>
              <w:right w:val="single" w:sz="4" w:space="0" w:color="000000"/>
            </w:tcBorders>
          </w:tcPr>
          <w:p>
            <w:pPr>
              <w:pStyle w:val="TableParagraph"/>
              <w:spacing w:before="10"/>
              <w:rPr>
                <w:sz w:val="16"/>
              </w:rPr>
            </w:pPr>
          </w:p>
          <w:p>
            <w:pPr>
              <w:pStyle w:val="TableParagraph"/>
              <w:spacing w:line="324" w:lineRule="auto"/>
              <w:ind w:left="105" w:right="86"/>
              <w:rPr>
                <w:rFonts w:ascii="宋体" w:eastAsia="宋体" w:hint="eastAsia"/>
                <w:sz w:val="18"/>
              </w:rPr>
            </w:pPr>
            <w:r>
              <w:rPr>
                <w:rFonts w:ascii="宋体" w:eastAsia="宋体" w:hint="eastAsia"/>
                <w:sz w:val="18"/>
              </w:rPr>
              <w:t>海尔智家股份有限公司关于签署 </w:t>
            </w:r>
            <w:r>
              <w:rPr>
                <w:sz w:val="18"/>
              </w:rPr>
              <w:t>2020-2022 </w:t>
            </w:r>
            <w:r>
              <w:rPr>
                <w:rFonts w:ascii="宋体" w:eastAsia="宋体" w:hint="eastAsia"/>
                <w:sz w:val="18"/>
              </w:rPr>
              <w:t>年日常关联交易框架协议的公告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Pr>
                <w:sz w:val="18"/>
              </w:rPr>
            </w:pPr>
            <w:r>
              <w:rPr>
                <w:rFonts w:ascii="宋体" w:eastAsia="宋体" w:hint="eastAsia"/>
                <w:spacing w:val="-8"/>
                <w:sz w:val="18"/>
              </w:rPr>
              <w:t>中国证券报 </w:t>
            </w:r>
            <w:r>
              <w:rPr>
                <w:sz w:val="18"/>
              </w:rPr>
              <w:t>A08-14</w:t>
            </w:r>
            <w:r>
              <w:rPr>
                <w:spacing w:val="1"/>
                <w:sz w:val="18"/>
              </w:rPr>
              <w:t> </w:t>
            </w:r>
            <w:r>
              <w:rPr>
                <w:rFonts w:ascii="宋体" w:eastAsia="宋体" w:hint="eastAsia"/>
                <w:spacing w:val="-17"/>
                <w:sz w:val="18"/>
              </w:rPr>
              <w:t>版、上海证券报 </w:t>
            </w:r>
            <w:r>
              <w:rPr>
                <w:sz w:val="18"/>
              </w:rPr>
              <w:t>93-98</w:t>
            </w:r>
          </w:p>
          <w:p>
            <w:pPr>
              <w:pStyle w:val="TableParagraph"/>
              <w:spacing w:before="81"/>
              <w:ind w:left="115"/>
              <w:rPr>
                <w:rFonts w:ascii="宋体" w:eastAsia="宋体" w:hint="eastAsia"/>
                <w:sz w:val="18"/>
              </w:rPr>
            </w:pPr>
            <w:r>
              <w:rPr>
                <w:rFonts w:ascii="宋体" w:eastAsia="宋体" w:hint="eastAsia"/>
                <w:spacing w:val="-10"/>
                <w:sz w:val="18"/>
              </w:rPr>
              <w:t>版、证券时报 </w:t>
            </w:r>
            <w:r>
              <w:rPr>
                <w:sz w:val="18"/>
              </w:rPr>
              <w:t>B2-3/B93-97</w:t>
            </w:r>
            <w:r>
              <w:rPr>
                <w:spacing w:val="-1"/>
                <w:sz w:val="18"/>
              </w:rPr>
              <w:t> </w:t>
            </w:r>
            <w:r>
              <w:rPr>
                <w:rFonts w:ascii="宋体" w:eastAsia="宋体" w:hint="eastAsia"/>
                <w:spacing w:val="-3"/>
                <w:sz w:val="18"/>
              </w:rPr>
              <w:t>版、证券日报</w:t>
            </w:r>
          </w:p>
          <w:p>
            <w:pPr>
              <w:pStyle w:val="TableParagraph"/>
              <w:spacing w:before="82"/>
              <w:ind w:left="115"/>
              <w:rPr>
                <w:rFonts w:ascii="宋体" w:eastAsia="宋体" w:hint="eastAsia"/>
                <w:sz w:val="18"/>
              </w:rPr>
            </w:pPr>
            <w:r>
              <w:rPr>
                <w:sz w:val="18"/>
              </w:rPr>
              <w:t>C32-39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10"/>
              <w:rPr>
                <w:sz w:val="16"/>
              </w:rPr>
            </w:pPr>
          </w:p>
          <w:p>
            <w:pPr>
              <w:pStyle w:val="TableParagraph"/>
              <w:ind w:left="94" w:right="55"/>
              <w:jc w:val="center"/>
              <w:rPr>
                <w:sz w:val="18"/>
              </w:rPr>
            </w:pPr>
            <w:r>
              <w:rPr>
                <w:sz w:val="18"/>
              </w:rPr>
              <w:t>2020 </w:t>
            </w:r>
            <w:r>
              <w:rPr>
                <w:rFonts w:ascii="宋体" w:eastAsia="宋体" w:hint="eastAsia"/>
                <w:sz w:val="18"/>
              </w:rPr>
              <w:t>年 </w:t>
            </w:r>
            <w:r>
              <w:rPr>
                <w:sz w:val="18"/>
              </w:rPr>
              <w:t>08 </w:t>
            </w:r>
            <w:r>
              <w:rPr>
                <w:rFonts w:ascii="宋体" w:eastAsia="宋体" w:hint="eastAsia"/>
                <w:sz w:val="18"/>
              </w:rPr>
              <w:t>月 </w:t>
            </w:r>
            <w:r>
              <w:rPr>
                <w:sz w:val="18"/>
              </w:rPr>
              <w:t>01</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935" w:hRule="atLeast"/>
        </w:trPr>
        <w:tc>
          <w:tcPr>
            <w:tcW w:w="4253" w:type="dxa"/>
            <w:tcBorders>
              <w:top w:val="single" w:sz="4" w:space="0" w:color="000000"/>
              <w:bottom w:val="single" w:sz="4" w:space="0" w:color="000000"/>
              <w:right w:val="single" w:sz="4" w:space="0" w:color="000000"/>
            </w:tcBorders>
          </w:tcPr>
          <w:p>
            <w:pPr>
              <w:pStyle w:val="TableParagraph"/>
              <w:spacing w:before="10"/>
              <w:rPr>
                <w:sz w:val="16"/>
              </w:rPr>
            </w:pPr>
          </w:p>
          <w:p>
            <w:pPr>
              <w:pStyle w:val="TableParagraph"/>
              <w:spacing w:line="324" w:lineRule="auto"/>
              <w:ind w:left="105" w:right="90"/>
              <w:rPr>
                <w:rFonts w:ascii="宋体" w:eastAsia="宋体" w:hint="eastAsia"/>
                <w:sz w:val="18"/>
              </w:rPr>
            </w:pPr>
            <w:r>
              <w:rPr>
                <w:rFonts w:ascii="宋体" w:eastAsia="宋体" w:hint="eastAsia"/>
                <w:sz w:val="18"/>
              </w:rPr>
              <w:t>海尔智家股份有限公司关于公司及海尔电器集团有限公司发布联合公告的提示性公告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Pr>
                <w:sz w:val="18"/>
              </w:rPr>
            </w:pPr>
            <w:r>
              <w:rPr>
                <w:rFonts w:ascii="宋体" w:eastAsia="宋体" w:hint="eastAsia"/>
                <w:spacing w:val="-8"/>
                <w:sz w:val="18"/>
              </w:rPr>
              <w:t>中国证券报 </w:t>
            </w:r>
            <w:r>
              <w:rPr>
                <w:sz w:val="18"/>
              </w:rPr>
              <w:t>A08-14</w:t>
            </w:r>
            <w:r>
              <w:rPr>
                <w:spacing w:val="1"/>
                <w:sz w:val="18"/>
              </w:rPr>
              <w:t> </w:t>
            </w:r>
            <w:r>
              <w:rPr>
                <w:rFonts w:ascii="宋体" w:eastAsia="宋体" w:hint="eastAsia"/>
                <w:spacing w:val="-17"/>
                <w:sz w:val="18"/>
              </w:rPr>
              <w:t>版、上海证券报 </w:t>
            </w:r>
            <w:r>
              <w:rPr>
                <w:sz w:val="18"/>
              </w:rPr>
              <w:t>93-98</w:t>
            </w:r>
          </w:p>
          <w:p>
            <w:pPr>
              <w:pStyle w:val="TableParagraph"/>
              <w:spacing w:before="81"/>
              <w:ind w:left="115"/>
              <w:rPr>
                <w:rFonts w:ascii="宋体" w:eastAsia="宋体" w:hint="eastAsia"/>
                <w:sz w:val="18"/>
              </w:rPr>
            </w:pPr>
            <w:r>
              <w:rPr>
                <w:rFonts w:ascii="宋体" w:eastAsia="宋体" w:hint="eastAsia"/>
                <w:spacing w:val="-10"/>
                <w:sz w:val="18"/>
              </w:rPr>
              <w:t>版、证券时报 </w:t>
            </w:r>
            <w:r>
              <w:rPr>
                <w:sz w:val="18"/>
              </w:rPr>
              <w:t>B2-3/B93-97</w:t>
            </w:r>
            <w:r>
              <w:rPr>
                <w:spacing w:val="-1"/>
                <w:sz w:val="18"/>
              </w:rPr>
              <w:t> </w:t>
            </w:r>
            <w:r>
              <w:rPr>
                <w:rFonts w:ascii="宋体" w:eastAsia="宋体" w:hint="eastAsia"/>
                <w:spacing w:val="-3"/>
                <w:sz w:val="18"/>
              </w:rPr>
              <w:t>版、证券日报</w:t>
            </w:r>
          </w:p>
          <w:p>
            <w:pPr>
              <w:pStyle w:val="TableParagraph"/>
              <w:spacing w:before="82"/>
              <w:ind w:left="115"/>
              <w:rPr>
                <w:rFonts w:ascii="宋体" w:eastAsia="宋体" w:hint="eastAsia"/>
                <w:sz w:val="18"/>
              </w:rPr>
            </w:pPr>
            <w:r>
              <w:rPr>
                <w:sz w:val="18"/>
              </w:rPr>
              <w:t>C32-39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10"/>
              <w:rPr>
                <w:sz w:val="16"/>
              </w:rPr>
            </w:pPr>
          </w:p>
          <w:p>
            <w:pPr>
              <w:pStyle w:val="TableParagraph"/>
              <w:ind w:left="94" w:right="55"/>
              <w:jc w:val="center"/>
              <w:rPr>
                <w:sz w:val="18"/>
              </w:rPr>
            </w:pPr>
            <w:r>
              <w:rPr>
                <w:sz w:val="18"/>
              </w:rPr>
              <w:t>2020 </w:t>
            </w:r>
            <w:r>
              <w:rPr>
                <w:rFonts w:ascii="宋体" w:eastAsia="宋体" w:hint="eastAsia"/>
                <w:sz w:val="18"/>
              </w:rPr>
              <w:t>年 </w:t>
            </w:r>
            <w:r>
              <w:rPr>
                <w:sz w:val="18"/>
              </w:rPr>
              <w:t>08 </w:t>
            </w:r>
            <w:r>
              <w:rPr>
                <w:rFonts w:ascii="宋体" w:eastAsia="宋体" w:hint="eastAsia"/>
                <w:sz w:val="18"/>
              </w:rPr>
              <w:t>月 </w:t>
            </w:r>
            <w:r>
              <w:rPr>
                <w:sz w:val="18"/>
              </w:rPr>
              <w:t>01</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938" w:hRule="atLeast"/>
        </w:trPr>
        <w:tc>
          <w:tcPr>
            <w:tcW w:w="4253" w:type="dxa"/>
            <w:tcBorders>
              <w:top w:val="single" w:sz="4" w:space="0" w:color="000000"/>
              <w:bottom w:val="single" w:sz="4" w:space="0" w:color="000000"/>
              <w:right w:val="single" w:sz="4" w:space="0" w:color="000000"/>
            </w:tcBorders>
          </w:tcPr>
          <w:p>
            <w:pPr>
              <w:pStyle w:val="TableParagraph"/>
              <w:rPr>
                <w:sz w:val="18"/>
              </w:rPr>
            </w:pPr>
          </w:p>
          <w:p>
            <w:pPr>
              <w:pStyle w:val="TableParagraph"/>
              <w:spacing w:before="145"/>
              <w:ind w:left="105"/>
              <w:rPr>
                <w:rFonts w:ascii="宋体" w:eastAsia="宋体" w:hint="eastAsia"/>
                <w:sz w:val="18"/>
              </w:rPr>
            </w:pPr>
            <w:r>
              <w:rPr>
                <w:rFonts w:ascii="宋体" w:eastAsia="宋体" w:hint="eastAsia"/>
                <w:sz w:val="18"/>
              </w:rPr>
              <w:t>海尔智家股份有限公司关于股票复牌的提示性公告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40"/>
              <w:ind w:left="115"/>
              <w:rPr>
                <w:sz w:val="18"/>
              </w:rPr>
            </w:pPr>
            <w:r>
              <w:rPr>
                <w:rFonts w:ascii="宋体" w:eastAsia="宋体" w:hint="eastAsia"/>
                <w:spacing w:val="-8"/>
                <w:sz w:val="18"/>
              </w:rPr>
              <w:t>中国证券报 </w:t>
            </w:r>
            <w:r>
              <w:rPr>
                <w:sz w:val="18"/>
              </w:rPr>
              <w:t>A08-14</w:t>
            </w:r>
            <w:r>
              <w:rPr>
                <w:spacing w:val="1"/>
                <w:sz w:val="18"/>
              </w:rPr>
              <w:t> </w:t>
            </w:r>
            <w:r>
              <w:rPr>
                <w:rFonts w:ascii="宋体" w:eastAsia="宋体" w:hint="eastAsia"/>
                <w:spacing w:val="-17"/>
                <w:sz w:val="18"/>
              </w:rPr>
              <w:t>版、上海证券报 </w:t>
            </w:r>
            <w:r>
              <w:rPr>
                <w:sz w:val="18"/>
              </w:rPr>
              <w:t>93-98</w:t>
            </w:r>
          </w:p>
          <w:p>
            <w:pPr>
              <w:pStyle w:val="TableParagraph"/>
              <w:spacing w:before="82"/>
              <w:ind w:left="115"/>
              <w:rPr>
                <w:rFonts w:ascii="宋体" w:eastAsia="宋体" w:hint="eastAsia"/>
                <w:sz w:val="18"/>
              </w:rPr>
            </w:pPr>
            <w:r>
              <w:rPr>
                <w:rFonts w:ascii="宋体" w:eastAsia="宋体" w:hint="eastAsia"/>
                <w:spacing w:val="-10"/>
                <w:sz w:val="18"/>
              </w:rPr>
              <w:t>版、证券时报 </w:t>
            </w:r>
            <w:r>
              <w:rPr>
                <w:sz w:val="18"/>
              </w:rPr>
              <w:t>B2-3/B93-97</w:t>
            </w:r>
            <w:r>
              <w:rPr>
                <w:spacing w:val="-1"/>
                <w:sz w:val="18"/>
              </w:rPr>
              <w:t> </w:t>
            </w:r>
            <w:r>
              <w:rPr>
                <w:rFonts w:ascii="宋体" w:eastAsia="宋体" w:hint="eastAsia"/>
                <w:spacing w:val="-3"/>
                <w:sz w:val="18"/>
              </w:rPr>
              <w:t>版、证券日报</w:t>
            </w:r>
          </w:p>
          <w:p>
            <w:pPr>
              <w:pStyle w:val="TableParagraph"/>
              <w:spacing w:before="82"/>
              <w:ind w:left="115"/>
              <w:rPr>
                <w:rFonts w:ascii="宋体" w:eastAsia="宋体" w:hint="eastAsia"/>
                <w:sz w:val="18"/>
              </w:rPr>
            </w:pPr>
            <w:r>
              <w:rPr>
                <w:sz w:val="18"/>
              </w:rPr>
              <w:t>C32-39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1"/>
              <w:rPr>
                <w:sz w:val="17"/>
              </w:rPr>
            </w:pPr>
          </w:p>
          <w:p>
            <w:pPr>
              <w:pStyle w:val="TableParagraph"/>
              <w:ind w:left="94" w:right="55"/>
              <w:jc w:val="center"/>
              <w:rPr>
                <w:sz w:val="18"/>
              </w:rPr>
            </w:pPr>
            <w:r>
              <w:rPr>
                <w:sz w:val="18"/>
              </w:rPr>
              <w:t>2020 </w:t>
            </w:r>
            <w:r>
              <w:rPr>
                <w:rFonts w:ascii="宋体" w:eastAsia="宋体" w:hint="eastAsia"/>
                <w:sz w:val="18"/>
              </w:rPr>
              <w:t>年 </w:t>
            </w:r>
            <w:r>
              <w:rPr>
                <w:sz w:val="18"/>
              </w:rPr>
              <w:t>08 </w:t>
            </w:r>
            <w:r>
              <w:rPr>
                <w:rFonts w:ascii="宋体" w:eastAsia="宋体" w:hint="eastAsia"/>
                <w:sz w:val="18"/>
              </w:rPr>
              <w:t>月 </w:t>
            </w:r>
            <w:r>
              <w:rPr>
                <w:sz w:val="18"/>
              </w:rPr>
              <w:t>01</w:t>
            </w:r>
          </w:p>
          <w:p>
            <w:pPr>
              <w:pStyle w:val="TableParagraph"/>
              <w:spacing w:before="82"/>
              <w:ind w:left="39"/>
              <w:jc w:val="center"/>
              <w:rPr>
                <w:rFonts w:ascii="宋体" w:eastAsia="宋体" w:hint="eastAsia"/>
                <w:sz w:val="18"/>
              </w:rPr>
            </w:pPr>
            <w:r>
              <w:rPr>
                <w:rFonts w:ascii="宋体" w:eastAsia="宋体" w:hint="eastAsia"/>
                <w:sz w:val="18"/>
              </w:rPr>
              <w:t>日</w:t>
            </w:r>
          </w:p>
        </w:tc>
      </w:tr>
      <w:tr>
        <w:trPr>
          <w:trHeight w:val="935" w:hRule="atLeast"/>
        </w:trPr>
        <w:tc>
          <w:tcPr>
            <w:tcW w:w="4253" w:type="dxa"/>
            <w:tcBorders>
              <w:top w:val="single" w:sz="4" w:space="0" w:color="000000"/>
              <w:bottom w:val="single" w:sz="4" w:space="0" w:color="000000"/>
              <w:right w:val="single" w:sz="4" w:space="0" w:color="000000"/>
            </w:tcBorders>
          </w:tcPr>
          <w:p>
            <w:pPr>
              <w:pStyle w:val="TableParagraph"/>
              <w:spacing w:line="324" w:lineRule="auto" w:before="38"/>
              <w:ind w:left="105" w:right="90"/>
              <w:rPr>
                <w:rFonts w:ascii="宋体" w:eastAsia="宋体" w:hint="eastAsia"/>
                <w:sz w:val="18"/>
              </w:rPr>
            </w:pPr>
            <w:r>
              <w:rPr>
                <w:rFonts w:ascii="宋体" w:eastAsia="宋体" w:hint="eastAsia"/>
                <w:sz w:val="18"/>
              </w:rPr>
              <w:t>海尔智家股份有限公司关于关于收到上海证券交易所对公司重大资产购买暨关联交易报告书信息披露</w:t>
            </w:r>
          </w:p>
          <w:p>
            <w:pPr>
              <w:pStyle w:val="TableParagraph"/>
              <w:spacing w:before="1"/>
              <w:ind w:left="105"/>
              <w:rPr>
                <w:rFonts w:ascii="宋体" w:eastAsia="宋体" w:hint="eastAsia"/>
                <w:sz w:val="18"/>
              </w:rPr>
            </w:pPr>
            <w:r>
              <w:rPr>
                <w:rFonts w:ascii="宋体" w:eastAsia="宋体" w:hint="eastAsia"/>
                <w:sz w:val="18"/>
              </w:rPr>
              <w:t>的问询函的公告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10"/>
              <w:rPr>
                <w:sz w:val="16"/>
              </w:rPr>
            </w:pPr>
          </w:p>
          <w:p>
            <w:pPr>
              <w:pStyle w:val="TableParagraph"/>
              <w:spacing w:line="324" w:lineRule="auto"/>
              <w:ind w:left="115" w:right="-15"/>
              <w:rPr>
                <w:rFonts w:ascii="宋体" w:eastAsia="宋体" w:hint="eastAsia"/>
                <w:sz w:val="18"/>
              </w:rPr>
            </w:pPr>
            <w:r>
              <w:rPr>
                <w:rFonts w:ascii="宋体" w:eastAsia="宋体" w:hint="eastAsia"/>
                <w:spacing w:val="-8"/>
                <w:sz w:val="18"/>
              </w:rPr>
              <w:t>中国证券报 </w:t>
            </w:r>
            <w:r>
              <w:rPr>
                <w:sz w:val="18"/>
              </w:rPr>
              <w:t>B085</w:t>
            </w:r>
            <w:r>
              <w:rPr>
                <w:spacing w:val="1"/>
                <w:sz w:val="18"/>
              </w:rPr>
              <w:t> </w:t>
            </w:r>
            <w:r>
              <w:rPr>
                <w:rFonts w:ascii="宋体" w:eastAsia="宋体" w:hint="eastAsia"/>
                <w:spacing w:val="-18"/>
                <w:sz w:val="18"/>
              </w:rPr>
              <w:t>版、上海证券报 </w:t>
            </w:r>
            <w:r>
              <w:rPr>
                <w:sz w:val="18"/>
              </w:rPr>
              <w:t>108</w:t>
            </w:r>
            <w:r>
              <w:rPr>
                <w:spacing w:val="1"/>
                <w:sz w:val="18"/>
              </w:rPr>
              <w:t> </w:t>
            </w:r>
            <w:r>
              <w:rPr>
                <w:rFonts w:ascii="宋体" w:eastAsia="宋体" w:hint="eastAsia"/>
                <w:sz w:val="18"/>
              </w:rPr>
              <w:t>版、</w:t>
            </w:r>
            <w:r>
              <w:rPr>
                <w:rFonts w:ascii="宋体" w:eastAsia="宋体" w:hint="eastAsia"/>
                <w:spacing w:val="-9"/>
                <w:sz w:val="18"/>
              </w:rPr>
              <w:t>证券时报 </w:t>
            </w:r>
            <w:r>
              <w:rPr>
                <w:sz w:val="18"/>
              </w:rPr>
              <w:t>B102</w:t>
            </w:r>
            <w:r>
              <w:rPr>
                <w:spacing w:val="2"/>
                <w:sz w:val="18"/>
              </w:rPr>
              <w:t> </w:t>
            </w:r>
            <w:r>
              <w:rPr>
                <w:rFonts w:ascii="宋体" w:eastAsia="宋体" w:hint="eastAsia"/>
                <w:spacing w:val="-7"/>
                <w:sz w:val="18"/>
              </w:rPr>
              <w:t>版、证券日报 </w:t>
            </w:r>
            <w:r>
              <w:rPr>
                <w:sz w:val="18"/>
              </w:rPr>
              <w:t>A4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10"/>
              <w:rPr>
                <w:sz w:val="16"/>
              </w:rPr>
            </w:pPr>
          </w:p>
          <w:p>
            <w:pPr>
              <w:pStyle w:val="TableParagraph"/>
              <w:ind w:left="94" w:right="55"/>
              <w:jc w:val="center"/>
              <w:rPr>
                <w:sz w:val="18"/>
              </w:rPr>
            </w:pPr>
            <w:r>
              <w:rPr>
                <w:sz w:val="18"/>
              </w:rPr>
              <w:t>2020 </w:t>
            </w:r>
            <w:r>
              <w:rPr>
                <w:rFonts w:ascii="宋体" w:eastAsia="宋体" w:hint="eastAsia"/>
                <w:sz w:val="18"/>
              </w:rPr>
              <w:t>年 </w:t>
            </w:r>
            <w:r>
              <w:rPr>
                <w:sz w:val="18"/>
              </w:rPr>
              <w:t>08 </w:t>
            </w:r>
            <w:r>
              <w:rPr>
                <w:rFonts w:ascii="宋体" w:eastAsia="宋体" w:hint="eastAsia"/>
                <w:sz w:val="18"/>
              </w:rPr>
              <w:t>月 </w:t>
            </w:r>
            <w:r>
              <w:rPr>
                <w:sz w:val="18"/>
              </w:rPr>
              <w:t>15</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623" w:hRule="atLeast"/>
        </w:trPr>
        <w:tc>
          <w:tcPr>
            <w:tcW w:w="4253" w:type="dxa"/>
            <w:tcBorders>
              <w:top w:val="single" w:sz="4" w:space="0" w:color="000000"/>
              <w:bottom w:val="single" w:sz="4" w:space="0" w:color="000000"/>
              <w:right w:val="single" w:sz="4" w:space="0" w:color="000000"/>
            </w:tcBorders>
          </w:tcPr>
          <w:p>
            <w:pPr>
              <w:pStyle w:val="TableParagraph"/>
              <w:spacing w:before="38"/>
              <w:ind w:left="105"/>
              <w:rPr>
                <w:rFonts w:ascii="宋体" w:eastAsia="宋体" w:hint="eastAsia"/>
                <w:sz w:val="18"/>
              </w:rPr>
            </w:pPr>
            <w:r>
              <w:rPr>
                <w:rFonts w:ascii="宋体" w:eastAsia="宋体" w:hint="eastAsia"/>
                <w:sz w:val="18"/>
              </w:rPr>
              <w:t>海尔智家股份有限公司关于控股子公司海尔电器集</w:t>
            </w:r>
          </w:p>
          <w:p>
            <w:pPr>
              <w:pStyle w:val="TableParagraph"/>
              <w:spacing w:before="81"/>
              <w:ind w:left="105"/>
              <w:rPr>
                <w:rFonts w:ascii="宋体" w:eastAsia="宋体" w:hint="eastAsia"/>
                <w:sz w:val="18"/>
              </w:rPr>
            </w:pPr>
            <w:r>
              <w:rPr>
                <w:rFonts w:ascii="宋体" w:eastAsia="宋体" w:hint="eastAsia"/>
                <w:sz w:val="18"/>
              </w:rPr>
              <w:t>团有限公司发布 </w:t>
            </w:r>
            <w:r>
              <w:rPr>
                <w:sz w:val="18"/>
              </w:rPr>
              <w:t>2020 </w:t>
            </w:r>
            <w:r>
              <w:rPr>
                <w:rFonts w:ascii="宋体" w:eastAsia="宋体" w:hint="eastAsia"/>
                <w:sz w:val="18"/>
              </w:rPr>
              <w:t>年半年度业绩的提示性公告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ight="-15"/>
              <w:rPr>
                <w:rFonts w:ascii="宋体" w:eastAsia="宋体" w:hint="eastAsia"/>
                <w:sz w:val="18"/>
              </w:rPr>
            </w:pPr>
            <w:r>
              <w:rPr>
                <w:rFonts w:ascii="宋体" w:eastAsia="宋体" w:hint="eastAsia"/>
                <w:spacing w:val="-8"/>
                <w:sz w:val="18"/>
              </w:rPr>
              <w:t>中国证券报 </w:t>
            </w:r>
            <w:r>
              <w:rPr>
                <w:sz w:val="18"/>
              </w:rPr>
              <w:t>B012</w:t>
            </w:r>
            <w:r>
              <w:rPr>
                <w:spacing w:val="1"/>
                <w:sz w:val="18"/>
              </w:rPr>
              <w:t> </w:t>
            </w:r>
            <w:r>
              <w:rPr>
                <w:rFonts w:ascii="宋体" w:eastAsia="宋体" w:hint="eastAsia"/>
                <w:spacing w:val="-18"/>
                <w:sz w:val="18"/>
              </w:rPr>
              <w:t>版、上海证券报 </w:t>
            </w:r>
            <w:r>
              <w:rPr>
                <w:sz w:val="18"/>
              </w:rPr>
              <w:t>156</w:t>
            </w:r>
            <w:r>
              <w:rPr>
                <w:spacing w:val="1"/>
                <w:sz w:val="18"/>
              </w:rPr>
              <w:t> </w:t>
            </w:r>
            <w:r>
              <w:rPr>
                <w:rFonts w:ascii="宋体" w:eastAsia="宋体" w:hint="eastAsia"/>
                <w:sz w:val="18"/>
              </w:rPr>
              <w:t>版、</w:t>
            </w:r>
          </w:p>
          <w:p>
            <w:pPr>
              <w:pStyle w:val="TableParagraph"/>
              <w:spacing w:before="81"/>
              <w:ind w:left="115"/>
              <w:rPr>
                <w:rFonts w:ascii="宋体" w:eastAsia="宋体" w:hint="eastAsia"/>
                <w:sz w:val="18"/>
              </w:rPr>
            </w:pPr>
            <w:r>
              <w:rPr>
                <w:rFonts w:ascii="宋体" w:eastAsia="宋体" w:hint="eastAsia"/>
                <w:sz w:val="18"/>
              </w:rPr>
              <w:t>证券时报 </w:t>
            </w:r>
            <w:r>
              <w:rPr>
                <w:sz w:val="18"/>
              </w:rPr>
              <w:t>B067 </w:t>
            </w:r>
            <w:r>
              <w:rPr>
                <w:rFonts w:ascii="宋体" w:eastAsia="宋体" w:hint="eastAsia"/>
                <w:sz w:val="18"/>
              </w:rPr>
              <w:t>版、证券日报 </w:t>
            </w:r>
            <w:r>
              <w:rPr>
                <w:sz w:val="18"/>
              </w:rPr>
              <w:t>B4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38"/>
              <w:ind w:left="94" w:right="55"/>
              <w:jc w:val="center"/>
              <w:rPr>
                <w:sz w:val="18"/>
              </w:rPr>
            </w:pPr>
            <w:r>
              <w:rPr>
                <w:sz w:val="18"/>
              </w:rPr>
              <w:t>2020 </w:t>
            </w:r>
            <w:r>
              <w:rPr>
                <w:rFonts w:ascii="宋体" w:eastAsia="宋体" w:hint="eastAsia"/>
                <w:sz w:val="18"/>
              </w:rPr>
              <w:t>年 </w:t>
            </w:r>
            <w:r>
              <w:rPr>
                <w:sz w:val="18"/>
              </w:rPr>
              <w:t>08 </w:t>
            </w:r>
            <w:r>
              <w:rPr>
                <w:rFonts w:ascii="宋体" w:eastAsia="宋体" w:hint="eastAsia"/>
                <w:sz w:val="18"/>
              </w:rPr>
              <w:t>月 </w:t>
            </w:r>
            <w:r>
              <w:rPr>
                <w:sz w:val="18"/>
              </w:rPr>
              <w:t>21</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935" w:hRule="atLeast"/>
        </w:trPr>
        <w:tc>
          <w:tcPr>
            <w:tcW w:w="4253" w:type="dxa"/>
            <w:tcBorders>
              <w:top w:val="single" w:sz="4" w:space="0" w:color="000000"/>
              <w:bottom w:val="single" w:sz="4" w:space="0" w:color="000000"/>
              <w:right w:val="single" w:sz="4" w:space="0" w:color="000000"/>
            </w:tcBorders>
          </w:tcPr>
          <w:p>
            <w:pPr>
              <w:pStyle w:val="TableParagraph"/>
              <w:spacing w:before="10"/>
              <w:rPr>
                <w:sz w:val="16"/>
              </w:rPr>
            </w:pPr>
          </w:p>
          <w:p>
            <w:pPr>
              <w:pStyle w:val="TableParagraph"/>
              <w:spacing w:line="324" w:lineRule="auto"/>
              <w:ind w:left="105" w:right="90"/>
              <w:rPr>
                <w:rFonts w:ascii="宋体" w:eastAsia="宋体" w:hint="eastAsia"/>
                <w:sz w:val="18"/>
              </w:rPr>
            </w:pPr>
            <w:r>
              <w:rPr>
                <w:rFonts w:ascii="宋体" w:eastAsia="宋体" w:hint="eastAsia"/>
                <w:sz w:val="18"/>
              </w:rPr>
              <w:t>海尔智家股份有限公司第十届董事会第十一次会议决议公告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Pr>
                <w:rFonts w:ascii="宋体" w:eastAsia="宋体" w:hint="eastAsia"/>
                <w:sz w:val="18"/>
              </w:rPr>
            </w:pPr>
            <w:r>
              <w:rPr>
                <w:rFonts w:ascii="宋体" w:eastAsia="宋体" w:hint="eastAsia"/>
                <w:sz w:val="18"/>
              </w:rPr>
              <w:t>中国证券报 </w:t>
            </w:r>
            <w:r>
              <w:rPr>
                <w:sz w:val="18"/>
              </w:rPr>
              <w:t>A15-16 </w:t>
            </w:r>
            <w:r>
              <w:rPr>
                <w:rFonts w:ascii="宋体" w:eastAsia="宋体" w:hint="eastAsia"/>
                <w:sz w:val="18"/>
              </w:rPr>
              <w:t>版、上海证券报</w:t>
            </w:r>
          </w:p>
          <w:p>
            <w:pPr>
              <w:pStyle w:val="TableParagraph"/>
              <w:spacing w:line="310" w:lineRule="atLeast" w:before="2"/>
              <w:ind w:left="115" w:right="-15"/>
              <w:rPr>
                <w:rFonts w:ascii="宋体" w:eastAsia="宋体" w:hint="eastAsia"/>
                <w:sz w:val="18"/>
              </w:rPr>
            </w:pPr>
            <w:r>
              <w:rPr>
                <w:sz w:val="18"/>
              </w:rPr>
              <w:t>106-107</w:t>
            </w:r>
            <w:r>
              <w:rPr>
                <w:spacing w:val="-1"/>
                <w:sz w:val="18"/>
              </w:rPr>
              <w:t> </w:t>
            </w:r>
            <w:r>
              <w:rPr>
                <w:rFonts w:ascii="宋体" w:eastAsia="宋体" w:hint="eastAsia"/>
                <w:spacing w:val="-16"/>
                <w:sz w:val="18"/>
              </w:rPr>
              <w:t>版、证券时报 </w:t>
            </w:r>
            <w:r>
              <w:rPr>
                <w:sz w:val="18"/>
              </w:rPr>
              <w:t>B002/B137-138</w:t>
            </w:r>
            <w:r>
              <w:rPr>
                <w:spacing w:val="-1"/>
                <w:sz w:val="18"/>
              </w:rPr>
              <w:t> </w:t>
            </w:r>
            <w:r>
              <w:rPr>
                <w:rFonts w:ascii="宋体" w:eastAsia="宋体" w:hint="eastAsia"/>
                <w:sz w:val="18"/>
              </w:rPr>
              <w:t>版、</w:t>
            </w:r>
            <w:r>
              <w:rPr>
                <w:rFonts w:ascii="宋体" w:eastAsia="宋体" w:hint="eastAsia"/>
                <w:spacing w:val="-9"/>
                <w:sz w:val="18"/>
              </w:rPr>
              <w:t>证券日报 </w:t>
            </w:r>
            <w:r>
              <w:rPr>
                <w:sz w:val="18"/>
              </w:rPr>
              <w:t>C67</w:t>
            </w:r>
            <w:r>
              <w:rPr>
                <w:spacing w:val="2"/>
                <w:sz w:val="18"/>
              </w:rPr>
              <w:t>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10"/>
              <w:rPr>
                <w:sz w:val="16"/>
              </w:rPr>
            </w:pPr>
          </w:p>
          <w:p>
            <w:pPr>
              <w:pStyle w:val="TableParagraph"/>
              <w:ind w:left="94" w:right="55"/>
              <w:jc w:val="center"/>
              <w:rPr>
                <w:sz w:val="18"/>
              </w:rPr>
            </w:pPr>
            <w:r>
              <w:rPr>
                <w:sz w:val="18"/>
              </w:rPr>
              <w:t>2020 </w:t>
            </w:r>
            <w:r>
              <w:rPr>
                <w:rFonts w:ascii="宋体" w:eastAsia="宋体" w:hint="eastAsia"/>
                <w:sz w:val="18"/>
              </w:rPr>
              <w:t>年 </w:t>
            </w:r>
            <w:r>
              <w:rPr>
                <w:sz w:val="18"/>
              </w:rPr>
              <w:t>08 </w:t>
            </w:r>
            <w:r>
              <w:rPr>
                <w:rFonts w:ascii="宋体" w:eastAsia="宋体" w:hint="eastAsia"/>
                <w:sz w:val="18"/>
              </w:rPr>
              <w:t>月 </w:t>
            </w:r>
            <w:r>
              <w:rPr>
                <w:sz w:val="18"/>
              </w:rPr>
              <w:t>22</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936" w:hRule="atLeast"/>
        </w:trPr>
        <w:tc>
          <w:tcPr>
            <w:tcW w:w="4253" w:type="dxa"/>
            <w:tcBorders>
              <w:top w:val="single" w:sz="4" w:space="0" w:color="000000"/>
              <w:bottom w:val="single" w:sz="4" w:space="0" w:color="000000"/>
              <w:right w:val="single" w:sz="4" w:space="0" w:color="000000"/>
            </w:tcBorders>
          </w:tcPr>
          <w:p>
            <w:pPr>
              <w:pStyle w:val="TableParagraph"/>
              <w:spacing w:before="10"/>
              <w:rPr>
                <w:sz w:val="16"/>
              </w:rPr>
            </w:pPr>
          </w:p>
          <w:p>
            <w:pPr>
              <w:pStyle w:val="TableParagraph"/>
              <w:spacing w:line="324" w:lineRule="auto"/>
              <w:ind w:left="105" w:right="90"/>
              <w:rPr>
                <w:rFonts w:ascii="宋体" w:eastAsia="宋体" w:hint="eastAsia"/>
                <w:sz w:val="18"/>
              </w:rPr>
            </w:pPr>
            <w:r>
              <w:rPr>
                <w:rFonts w:ascii="宋体" w:eastAsia="宋体" w:hint="eastAsia"/>
                <w:sz w:val="18"/>
              </w:rPr>
              <w:t>海尔智家股份有限公司第十届监事会第十次会议决议公告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Pr>
                <w:rFonts w:ascii="宋体" w:eastAsia="宋体" w:hint="eastAsia"/>
                <w:sz w:val="18"/>
              </w:rPr>
            </w:pPr>
            <w:r>
              <w:rPr>
                <w:rFonts w:ascii="宋体" w:eastAsia="宋体" w:hint="eastAsia"/>
                <w:sz w:val="18"/>
              </w:rPr>
              <w:t>中国证券报 </w:t>
            </w:r>
            <w:r>
              <w:rPr>
                <w:sz w:val="18"/>
              </w:rPr>
              <w:t>A15-16 </w:t>
            </w:r>
            <w:r>
              <w:rPr>
                <w:rFonts w:ascii="宋体" w:eastAsia="宋体" w:hint="eastAsia"/>
                <w:sz w:val="18"/>
              </w:rPr>
              <w:t>版、上海证券报</w:t>
            </w:r>
          </w:p>
          <w:p>
            <w:pPr>
              <w:pStyle w:val="TableParagraph"/>
              <w:spacing w:line="312" w:lineRule="exact" w:before="12"/>
              <w:ind w:left="115" w:right="-15"/>
              <w:rPr>
                <w:rFonts w:ascii="宋体" w:eastAsia="宋体" w:hint="eastAsia"/>
                <w:sz w:val="18"/>
              </w:rPr>
            </w:pPr>
            <w:r>
              <w:rPr>
                <w:sz w:val="18"/>
              </w:rPr>
              <w:t>106-107</w:t>
            </w:r>
            <w:r>
              <w:rPr>
                <w:spacing w:val="-1"/>
                <w:sz w:val="18"/>
              </w:rPr>
              <w:t> </w:t>
            </w:r>
            <w:r>
              <w:rPr>
                <w:rFonts w:ascii="宋体" w:eastAsia="宋体" w:hint="eastAsia"/>
                <w:spacing w:val="-16"/>
                <w:sz w:val="18"/>
              </w:rPr>
              <w:t>版、证券时报 </w:t>
            </w:r>
            <w:r>
              <w:rPr>
                <w:sz w:val="18"/>
              </w:rPr>
              <w:t>B002/B137-138</w:t>
            </w:r>
            <w:r>
              <w:rPr>
                <w:spacing w:val="-1"/>
                <w:sz w:val="18"/>
              </w:rPr>
              <w:t> </w:t>
            </w:r>
            <w:r>
              <w:rPr>
                <w:rFonts w:ascii="宋体" w:eastAsia="宋体" w:hint="eastAsia"/>
                <w:sz w:val="18"/>
              </w:rPr>
              <w:t>版、</w:t>
            </w:r>
            <w:r>
              <w:rPr>
                <w:rFonts w:ascii="宋体" w:eastAsia="宋体" w:hint="eastAsia"/>
                <w:spacing w:val="-9"/>
                <w:sz w:val="18"/>
              </w:rPr>
              <w:t>证券日报 </w:t>
            </w:r>
            <w:r>
              <w:rPr>
                <w:sz w:val="18"/>
              </w:rPr>
              <w:t>C67</w:t>
            </w:r>
            <w:r>
              <w:rPr>
                <w:spacing w:val="2"/>
                <w:sz w:val="18"/>
              </w:rPr>
              <w:t>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10"/>
              <w:rPr>
                <w:sz w:val="16"/>
              </w:rPr>
            </w:pPr>
          </w:p>
          <w:p>
            <w:pPr>
              <w:pStyle w:val="TableParagraph"/>
              <w:ind w:left="94" w:right="55"/>
              <w:jc w:val="center"/>
              <w:rPr>
                <w:sz w:val="18"/>
              </w:rPr>
            </w:pPr>
            <w:r>
              <w:rPr>
                <w:sz w:val="18"/>
              </w:rPr>
              <w:t>2020 </w:t>
            </w:r>
            <w:r>
              <w:rPr>
                <w:rFonts w:ascii="宋体" w:eastAsia="宋体" w:hint="eastAsia"/>
                <w:sz w:val="18"/>
              </w:rPr>
              <w:t>年 </w:t>
            </w:r>
            <w:r>
              <w:rPr>
                <w:sz w:val="18"/>
              </w:rPr>
              <w:t>08 </w:t>
            </w:r>
            <w:r>
              <w:rPr>
                <w:rFonts w:ascii="宋体" w:eastAsia="宋体" w:hint="eastAsia"/>
                <w:sz w:val="18"/>
              </w:rPr>
              <w:t>月 </w:t>
            </w:r>
            <w:r>
              <w:rPr>
                <w:sz w:val="18"/>
              </w:rPr>
              <w:t>22</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935" w:hRule="atLeast"/>
        </w:trPr>
        <w:tc>
          <w:tcPr>
            <w:tcW w:w="4253" w:type="dxa"/>
            <w:tcBorders>
              <w:top w:val="single" w:sz="4" w:space="0" w:color="000000"/>
              <w:bottom w:val="single" w:sz="4" w:space="0" w:color="000000"/>
              <w:right w:val="single" w:sz="4" w:space="0" w:color="000000"/>
            </w:tcBorders>
          </w:tcPr>
          <w:p>
            <w:pPr>
              <w:pStyle w:val="TableParagraph"/>
              <w:spacing w:line="324" w:lineRule="auto" w:before="38"/>
              <w:ind w:left="105" w:right="86"/>
              <w:rPr>
                <w:rFonts w:ascii="宋体" w:eastAsia="宋体" w:hint="eastAsia"/>
                <w:sz w:val="18"/>
              </w:rPr>
            </w:pPr>
            <w:r>
              <w:rPr>
                <w:rFonts w:ascii="宋体" w:eastAsia="宋体" w:hint="eastAsia"/>
                <w:spacing w:val="-4"/>
                <w:sz w:val="18"/>
              </w:rPr>
              <w:t>海尔智家股份有限公司关于 </w:t>
            </w:r>
            <w:r>
              <w:rPr>
                <w:sz w:val="18"/>
              </w:rPr>
              <w:t>2020 </w:t>
            </w:r>
            <w:r>
              <w:rPr>
                <w:rFonts w:ascii="宋体" w:eastAsia="宋体" w:hint="eastAsia"/>
                <w:spacing w:val="-2"/>
                <w:sz w:val="18"/>
              </w:rPr>
              <w:t>年第二次临时股东</w:t>
            </w:r>
            <w:r>
              <w:rPr>
                <w:rFonts w:ascii="宋体" w:eastAsia="宋体" w:hint="eastAsia"/>
                <w:spacing w:val="-9"/>
                <w:sz w:val="18"/>
              </w:rPr>
              <w:t>大会、</w:t>
            </w:r>
            <w:r>
              <w:rPr>
                <w:sz w:val="18"/>
              </w:rPr>
              <w:t>2020 </w:t>
            </w:r>
            <w:r>
              <w:rPr>
                <w:rFonts w:ascii="宋体" w:eastAsia="宋体" w:hint="eastAsia"/>
                <w:spacing w:val="-9"/>
                <w:sz w:val="18"/>
              </w:rPr>
              <w:t>年第一次 </w:t>
            </w:r>
            <w:r>
              <w:rPr>
                <w:sz w:val="18"/>
              </w:rPr>
              <w:t>A </w:t>
            </w:r>
            <w:r>
              <w:rPr>
                <w:rFonts w:ascii="宋体" w:eastAsia="宋体" w:hint="eastAsia"/>
                <w:spacing w:val="-5"/>
                <w:sz w:val="18"/>
              </w:rPr>
              <w:t>股类别股东大会、</w:t>
            </w:r>
            <w:r>
              <w:rPr>
                <w:sz w:val="18"/>
              </w:rPr>
              <w:t>2020 </w:t>
            </w:r>
            <w:r>
              <w:rPr>
                <w:rFonts w:ascii="宋体" w:eastAsia="宋体" w:hint="eastAsia"/>
                <w:spacing w:val="-7"/>
                <w:sz w:val="18"/>
              </w:rPr>
              <w:t>年第</w:t>
            </w:r>
          </w:p>
          <w:p>
            <w:pPr>
              <w:pStyle w:val="TableParagraph"/>
              <w:spacing w:before="1"/>
              <w:ind w:left="105"/>
              <w:rPr>
                <w:rFonts w:ascii="宋体" w:eastAsia="宋体" w:hint="eastAsia"/>
                <w:sz w:val="18"/>
              </w:rPr>
            </w:pPr>
            <w:r>
              <w:rPr>
                <w:rFonts w:ascii="宋体" w:eastAsia="宋体" w:hint="eastAsia"/>
                <w:sz w:val="18"/>
              </w:rPr>
              <w:t>一次 </w:t>
            </w:r>
            <w:r>
              <w:rPr>
                <w:sz w:val="18"/>
              </w:rPr>
              <w:t>D </w:t>
            </w:r>
            <w:r>
              <w:rPr>
                <w:rFonts w:ascii="宋体" w:eastAsia="宋体" w:hint="eastAsia"/>
                <w:sz w:val="18"/>
              </w:rPr>
              <w:t>股类别股东大会增加临时提案的公告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Pr>
                <w:rFonts w:ascii="宋体" w:eastAsia="宋体" w:hint="eastAsia"/>
                <w:sz w:val="18"/>
              </w:rPr>
            </w:pPr>
            <w:r>
              <w:rPr>
                <w:rFonts w:ascii="宋体" w:eastAsia="宋体" w:hint="eastAsia"/>
                <w:sz w:val="18"/>
              </w:rPr>
              <w:t>中国证券报 </w:t>
            </w:r>
            <w:r>
              <w:rPr>
                <w:sz w:val="18"/>
              </w:rPr>
              <w:t>A15-16 </w:t>
            </w:r>
            <w:r>
              <w:rPr>
                <w:rFonts w:ascii="宋体" w:eastAsia="宋体" w:hint="eastAsia"/>
                <w:sz w:val="18"/>
              </w:rPr>
              <w:t>版、上海证券报</w:t>
            </w:r>
          </w:p>
          <w:p>
            <w:pPr>
              <w:pStyle w:val="TableParagraph"/>
              <w:spacing w:line="310" w:lineRule="atLeast" w:before="2"/>
              <w:ind w:left="115" w:right="-15"/>
              <w:rPr>
                <w:rFonts w:ascii="宋体" w:eastAsia="宋体" w:hint="eastAsia"/>
                <w:sz w:val="18"/>
              </w:rPr>
            </w:pPr>
            <w:r>
              <w:rPr>
                <w:sz w:val="18"/>
              </w:rPr>
              <w:t>106-107</w:t>
            </w:r>
            <w:r>
              <w:rPr>
                <w:spacing w:val="-1"/>
                <w:sz w:val="18"/>
              </w:rPr>
              <w:t> </w:t>
            </w:r>
            <w:r>
              <w:rPr>
                <w:rFonts w:ascii="宋体" w:eastAsia="宋体" w:hint="eastAsia"/>
                <w:spacing w:val="-16"/>
                <w:sz w:val="18"/>
              </w:rPr>
              <w:t>版、证券时报 </w:t>
            </w:r>
            <w:r>
              <w:rPr>
                <w:sz w:val="18"/>
              </w:rPr>
              <w:t>B002/B137-138</w:t>
            </w:r>
            <w:r>
              <w:rPr>
                <w:spacing w:val="-1"/>
                <w:sz w:val="18"/>
              </w:rPr>
              <w:t> </w:t>
            </w:r>
            <w:r>
              <w:rPr>
                <w:rFonts w:ascii="宋体" w:eastAsia="宋体" w:hint="eastAsia"/>
                <w:sz w:val="18"/>
              </w:rPr>
              <w:t>版、</w:t>
            </w:r>
            <w:r>
              <w:rPr>
                <w:rFonts w:ascii="宋体" w:eastAsia="宋体" w:hint="eastAsia"/>
                <w:spacing w:val="-9"/>
                <w:sz w:val="18"/>
              </w:rPr>
              <w:t>证券日报 </w:t>
            </w:r>
            <w:r>
              <w:rPr>
                <w:sz w:val="18"/>
              </w:rPr>
              <w:t>C67</w:t>
            </w:r>
            <w:r>
              <w:rPr>
                <w:spacing w:val="2"/>
                <w:sz w:val="18"/>
              </w:rPr>
              <w:t>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10"/>
              <w:rPr>
                <w:sz w:val="16"/>
              </w:rPr>
            </w:pPr>
          </w:p>
          <w:p>
            <w:pPr>
              <w:pStyle w:val="TableParagraph"/>
              <w:ind w:left="94" w:right="55"/>
              <w:jc w:val="center"/>
              <w:rPr>
                <w:sz w:val="18"/>
              </w:rPr>
            </w:pPr>
            <w:r>
              <w:rPr>
                <w:sz w:val="18"/>
              </w:rPr>
              <w:t>2020 </w:t>
            </w:r>
            <w:r>
              <w:rPr>
                <w:rFonts w:ascii="宋体" w:eastAsia="宋体" w:hint="eastAsia"/>
                <w:sz w:val="18"/>
              </w:rPr>
              <w:t>年 </w:t>
            </w:r>
            <w:r>
              <w:rPr>
                <w:sz w:val="18"/>
              </w:rPr>
              <w:t>08 </w:t>
            </w:r>
            <w:r>
              <w:rPr>
                <w:rFonts w:ascii="宋体" w:eastAsia="宋体" w:hint="eastAsia"/>
                <w:sz w:val="18"/>
              </w:rPr>
              <w:t>月 </w:t>
            </w:r>
            <w:r>
              <w:rPr>
                <w:sz w:val="18"/>
              </w:rPr>
              <w:t>22</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938" w:hRule="atLeast"/>
        </w:trPr>
        <w:tc>
          <w:tcPr>
            <w:tcW w:w="4253" w:type="dxa"/>
            <w:tcBorders>
              <w:top w:val="single" w:sz="4" w:space="0" w:color="000000"/>
              <w:bottom w:val="single" w:sz="4" w:space="0" w:color="000000"/>
              <w:right w:val="single" w:sz="4" w:space="0" w:color="000000"/>
            </w:tcBorders>
          </w:tcPr>
          <w:p>
            <w:pPr>
              <w:pStyle w:val="TableParagraph"/>
              <w:spacing w:before="40"/>
              <w:ind w:left="105"/>
              <w:rPr>
                <w:rFonts w:ascii="宋体" w:eastAsia="宋体" w:hint="eastAsia"/>
                <w:sz w:val="18"/>
              </w:rPr>
            </w:pPr>
            <w:r>
              <w:rPr>
                <w:rFonts w:ascii="宋体" w:eastAsia="宋体" w:hint="eastAsia"/>
                <w:sz w:val="18"/>
              </w:rPr>
              <w:t>海尔智家股份有限公司关于暂缓按中国企业会计准</w:t>
            </w:r>
          </w:p>
          <w:p>
            <w:pPr>
              <w:pStyle w:val="TableParagraph"/>
              <w:spacing w:line="310" w:lineRule="atLeast" w:before="2"/>
              <w:ind w:left="105" w:right="90"/>
              <w:rPr>
                <w:rFonts w:ascii="宋体" w:eastAsia="宋体" w:hint="eastAsia"/>
                <w:sz w:val="18"/>
              </w:rPr>
            </w:pPr>
            <w:r>
              <w:rPr>
                <w:rFonts w:ascii="宋体" w:eastAsia="宋体" w:hint="eastAsia"/>
                <w:sz w:val="18"/>
              </w:rPr>
              <w:t>则编制并披露标的公司审计报告及备考合并财务报告的公告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40"/>
              <w:ind w:left="115" w:right="-15"/>
              <w:rPr>
                <w:rFonts w:ascii="宋体" w:eastAsia="宋体" w:hint="eastAsia"/>
                <w:sz w:val="18"/>
              </w:rPr>
            </w:pPr>
            <w:r>
              <w:rPr>
                <w:rFonts w:ascii="宋体" w:eastAsia="宋体" w:hint="eastAsia"/>
                <w:spacing w:val="20"/>
                <w:sz w:val="18"/>
              </w:rPr>
              <w:t>中国证券报 </w:t>
            </w:r>
            <w:r>
              <w:rPr>
                <w:sz w:val="18"/>
              </w:rPr>
              <w:t>A15-16</w:t>
            </w:r>
            <w:r>
              <w:rPr>
                <w:spacing w:val="26"/>
                <w:sz w:val="18"/>
              </w:rPr>
              <w:t> </w:t>
            </w:r>
            <w:r>
              <w:rPr>
                <w:rFonts w:ascii="宋体" w:eastAsia="宋体" w:hint="eastAsia"/>
                <w:spacing w:val="24"/>
                <w:sz w:val="18"/>
              </w:rPr>
              <w:t>版、上海证券报</w:t>
            </w:r>
          </w:p>
          <w:p>
            <w:pPr>
              <w:pStyle w:val="TableParagraph"/>
              <w:spacing w:line="310" w:lineRule="atLeast" w:before="2"/>
              <w:ind w:left="115" w:right="-15"/>
              <w:rPr>
                <w:rFonts w:ascii="宋体" w:eastAsia="宋体" w:hint="eastAsia"/>
                <w:sz w:val="18"/>
              </w:rPr>
            </w:pPr>
            <w:r>
              <w:rPr>
                <w:sz w:val="18"/>
              </w:rPr>
              <w:t>106-107</w:t>
            </w:r>
            <w:r>
              <w:rPr>
                <w:spacing w:val="-1"/>
                <w:sz w:val="18"/>
              </w:rPr>
              <w:t> </w:t>
            </w:r>
            <w:r>
              <w:rPr>
                <w:rFonts w:ascii="宋体" w:eastAsia="宋体" w:hint="eastAsia"/>
                <w:spacing w:val="-16"/>
                <w:sz w:val="18"/>
              </w:rPr>
              <w:t>版、证券时报 </w:t>
            </w:r>
            <w:r>
              <w:rPr>
                <w:sz w:val="18"/>
              </w:rPr>
              <w:t>B002/B137-138</w:t>
            </w:r>
            <w:r>
              <w:rPr>
                <w:spacing w:val="-1"/>
                <w:sz w:val="18"/>
              </w:rPr>
              <w:t> </w:t>
            </w:r>
            <w:r>
              <w:rPr>
                <w:rFonts w:ascii="宋体" w:eastAsia="宋体" w:hint="eastAsia"/>
                <w:sz w:val="18"/>
              </w:rPr>
              <w:t>版、</w:t>
            </w:r>
            <w:r>
              <w:rPr>
                <w:rFonts w:ascii="宋体" w:eastAsia="宋体" w:hint="eastAsia"/>
                <w:spacing w:val="-9"/>
                <w:sz w:val="18"/>
              </w:rPr>
              <w:t>证券日报 </w:t>
            </w:r>
            <w:r>
              <w:rPr>
                <w:sz w:val="18"/>
              </w:rPr>
              <w:t>C67</w:t>
            </w:r>
            <w:r>
              <w:rPr>
                <w:spacing w:val="2"/>
                <w:sz w:val="18"/>
              </w:rPr>
              <w:t>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1"/>
              <w:rPr>
                <w:sz w:val="17"/>
              </w:rPr>
            </w:pPr>
          </w:p>
          <w:p>
            <w:pPr>
              <w:pStyle w:val="TableParagraph"/>
              <w:ind w:left="94" w:right="55"/>
              <w:jc w:val="center"/>
              <w:rPr>
                <w:sz w:val="18"/>
              </w:rPr>
            </w:pPr>
            <w:r>
              <w:rPr>
                <w:sz w:val="18"/>
              </w:rPr>
              <w:t>2020 </w:t>
            </w:r>
            <w:r>
              <w:rPr>
                <w:rFonts w:ascii="宋体" w:eastAsia="宋体" w:hint="eastAsia"/>
                <w:sz w:val="18"/>
              </w:rPr>
              <w:t>年 </w:t>
            </w:r>
            <w:r>
              <w:rPr>
                <w:sz w:val="18"/>
              </w:rPr>
              <w:t>08 </w:t>
            </w:r>
            <w:r>
              <w:rPr>
                <w:rFonts w:ascii="宋体" w:eastAsia="宋体" w:hint="eastAsia"/>
                <w:sz w:val="18"/>
              </w:rPr>
              <w:t>月 </w:t>
            </w:r>
            <w:r>
              <w:rPr>
                <w:sz w:val="18"/>
              </w:rPr>
              <w:t>22</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935" w:hRule="atLeast"/>
        </w:trPr>
        <w:tc>
          <w:tcPr>
            <w:tcW w:w="4253" w:type="dxa"/>
            <w:tcBorders>
              <w:top w:val="single" w:sz="4" w:space="0" w:color="000000"/>
              <w:bottom w:val="single" w:sz="4" w:space="0" w:color="000000"/>
              <w:right w:val="single" w:sz="4" w:space="0" w:color="000000"/>
            </w:tcBorders>
          </w:tcPr>
          <w:p>
            <w:pPr>
              <w:pStyle w:val="TableParagraph"/>
              <w:spacing w:before="10"/>
              <w:rPr>
                <w:sz w:val="16"/>
              </w:rPr>
            </w:pPr>
          </w:p>
          <w:p>
            <w:pPr>
              <w:pStyle w:val="TableParagraph"/>
              <w:spacing w:line="324" w:lineRule="auto"/>
              <w:ind w:left="105" w:right="88"/>
              <w:rPr>
                <w:rFonts w:ascii="宋体" w:eastAsia="宋体" w:hint="eastAsia"/>
                <w:sz w:val="18"/>
              </w:rPr>
            </w:pPr>
            <w:r>
              <w:rPr>
                <w:rFonts w:ascii="宋体" w:eastAsia="宋体" w:hint="eastAsia"/>
                <w:sz w:val="18"/>
              </w:rPr>
              <w:t>海尔智家股份有限公司关于延期回复上海证券交易所问询函的公告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ight="-15"/>
              <w:rPr>
                <w:rFonts w:ascii="宋体" w:eastAsia="宋体" w:hint="eastAsia"/>
                <w:sz w:val="18"/>
              </w:rPr>
            </w:pPr>
            <w:r>
              <w:rPr>
                <w:rFonts w:ascii="宋体" w:eastAsia="宋体" w:hint="eastAsia"/>
                <w:spacing w:val="20"/>
                <w:sz w:val="18"/>
              </w:rPr>
              <w:t>中国证券报 </w:t>
            </w:r>
            <w:r>
              <w:rPr>
                <w:sz w:val="18"/>
              </w:rPr>
              <w:t>A15-16</w:t>
            </w:r>
            <w:r>
              <w:rPr>
                <w:spacing w:val="26"/>
                <w:sz w:val="18"/>
              </w:rPr>
              <w:t> </w:t>
            </w:r>
            <w:r>
              <w:rPr>
                <w:rFonts w:ascii="宋体" w:eastAsia="宋体" w:hint="eastAsia"/>
                <w:spacing w:val="24"/>
                <w:sz w:val="18"/>
              </w:rPr>
              <w:t>版、上海证券报</w:t>
            </w:r>
          </w:p>
          <w:p>
            <w:pPr>
              <w:pStyle w:val="TableParagraph"/>
              <w:spacing w:line="310" w:lineRule="atLeast" w:before="2"/>
              <w:ind w:left="115" w:right="-15"/>
              <w:rPr>
                <w:rFonts w:ascii="宋体" w:eastAsia="宋体" w:hint="eastAsia"/>
                <w:sz w:val="18"/>
              </w:rPr>
            </w:pPr>
            <w:r>
              <w:rPr>
                <w:sz w:val="18"/>
              </w:rPr>
              <w:t>106-107</w:t>
            </w:r>
            <w:r>
              <w:rPr>
                <w:spacing w:val="-1"/>
                <w:sz w:val="18"/>
              </w:rPr>
              <w:t> </w:t>
            </w:r>
            <w:r>
              <w:rPr>
                <w:rFonts w:ascii="宋体" w:eastAsia="宋体" w:hint="eastAsia"/>
                <w:spacing w:val="-16"/>
                <w:sz w:val="18"/>
              </w:rPr>
              <w:t>版、证券时报 </w:t>
            </w:r>
            <w:r>
              <w:rPr>
                <w:sz w:val="18"/>
              </w:rPr>
              <w:t>B002/B137-138</w:t>
            </w:r>
            <w:r>
              <w:rPr>
                <w:spacing w:val="-1"/>
                <w:sz w:val="18"/>
              </w:rPr>
              <w:t> </w:t>
            </w:r>
            <w:r>
              <w:rPr>
                <w:rFonts w:ascii="宋体" w:eastAsia="宋体" w:hint="eastAsia"/>
                <w:sz w:val="18"/>
              </w:rPr>
              <w:t>版、</w:t>
            </w:r>
            <w:r>
              <w:rPr>
                <w:rFonts w:ascii="宋体" w:eastAsia="宋体" w:hint="eastAsia"/>
                <w:spacing w:val="-9"/>
                <w:sz w:val="18"/>
              </w:rPr>
              <w:t>证券日报 </w:t>
            </w:r>
            <w:r>
              <w:rPr>
                <w:sz w:val="18"/>
              </w:rPr>
              <w:t>C67</w:t>
            </w:r>
            <w:r>
              <w:rPr>
                <w:spacing w:val="2"/>
                <w:sz w:val="18"/>
              </w:rPr>
              <w:t>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10"/>
              <w:rPr>
                <w:sz w:val="16"/>
              </w:rPr>
            </w:pPr>
          </w:p>
          <w:p>
            <w:pPr>
              <w:pStyle w:val="TableParagraph"/>
              <w:ind w:left="94" w:right="55"/>
              <w:jc w:val="center"/>
              <w:rPr>
                <w:sz w:val="18"/>
              </w:rPr>
            </w:pPr>
            <w:r>
              <w:rPr>
                <w:sz w:val="18"/>
              </w:rPr>
              <w:t>2020 </w:t>
            </w:r>
            <w:r>
              <w:rPr>
                <w:rFonts w:ascii="宋体" w:eastAsia="宋体" w:hint="eastAsia"/>
                <w:sz w:val="18"/>
              </w:rPr>
              <w:t>年 </w:t>
            </w:r>
            <w:r>
              <w:rPr>
                <w:sz w:val="18"/>
              </w:rPr>
              <w:t>08 </w:t>
            </w:r>
            <w:r>
              <w:rPr>
                <w:rFonts w:ascii="宋体" w:eastAsia="宋体" w:hint="eastAsia"/>
                <w:sz w:val="18"/>
              </w:rPr>
              <w:t>月 </w:t>
            </w:r>
            <w:r>
              <w:rPr>
                <w:sz w:val="18"/>
              </w:rPr>
              <w:t>22</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624" w:hRule="atLeast"/>
        </w:trPr>
        <w:tc>
          <w:tcPr>
            <w:tcW w:w="4253" w:type="dxa"/>
            <w:tcBorders>
              <w:top w:val="single" w:sz="4" w:space="0" w:color="000000"/>
              <w:bottom w:val="single" w:sz="4" w:space="0" w:color="000000"/>
              <w:right w:val="single" w:sz="4" w:space="0" w:color="000000"/>
            </w:tcBorders>
          </w:tcPr>
          <w:p>
            <w:pPr>
              <w:pStyle w:val="TableParagraph"/>
              <w:spacing w:before="10"/>
              <w:rPr>
                <w:sz w:val="16"/>
              </w:rPr>
            </w:pPr>
          </w:p>
          <w:p>
            <w:pPr>
              <w:pStyle w:val="TableParagraph"/>
              <w:ind w:left="105"/>
              <w:rPr>
                <w:rFonts w:ascii="宋体" w:eastAsia="宋体" w:hint="eastAsia"/>
                <w:sz w:val="18"/>
              </w:rPr>
            </w:pPr>
            <w:r>
              <w:rPr>
                <w:rFonts w:ascii="宋体" w:eastAsia="宋体" w:hint="eastAsia"/>
                <w:sz w:val="18"/>
              </w:rPr>
              <w:t>海尔智家股份有限公司 </w:t>
            </w:r>
            <w:r>
              <w:rPr>
                <w:sz w:val="18"/>
              </w:rPr>
              <w:t>2020 </w:t>
            </w:r>
            <w:r>
              <w:rPr>
                <w:rFonts w:ascii="宋体" w:eastAsia="宋体" w:hint="eastAsia"/>
                <w:sz w:val="18"/>
              </w:rPr>
              <w:t>年半年度报告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ight="-15"/>
              <w:rPr>
                <w:rFonts w:ascii="宋体" w:eastAsia="宋体" w:hint="eastAsia"/>
                <w:sz w:val="18"/>
              </w:rPr>
            </w:pPr>
            <w:r>
              <w:rPr>
                <w:rFonts w:ascii="宋体" w:eastAsia="宋体" w:hint="eastAsia"/>
                <w:spacing w:val="-8"/>
                <w:sz w:val="18"/>
              </w:rPr>
              <w:t>中国证券报 </w:t>
            </w:r>
            <w:r>
              <w:rPr>
                <w:sz w:val="18"/>
              </w:rPr>
              <w:t>B189</w:t>
            </w:r>
            <w:r>
              <w:rPr>
                <w:spacing w:val="1"/>
                <w:sz w:val="18"/>
              </w:rPr>
              <w:t> </w:t>
            </w:r>
            <w:r>
              <w:rPr>
                <w:rFonts w:ascii="宋体" w:eastAsia="宋体" w:hint="eastAsia"/>
                <w:spacing w:val="-18"/>
                <w:sz w:val="18"/>
              </w:rPr>
              <w:t>版、上海证券报 </w:t>
            </w:r>
            <w:r>
              <w:rPr>
                <w:sz w:val="18"/>
              </w:rPr>
              <w:t>252</w:t>
            </w:r>
            <w:r>
              <w:rPr>
                <w:spacing w:val="1"/>
                <w:sz w:val="18"/>
              </w:rPr>
              <w:t> </w:t>
            </w:r>
            <w:r>
              <w:rPr>
                <w:rFonts w:ascii="宋体" w:eastAsia="宋体" w:hint="eastAsia"/>
                <w:sz w:val="18"/>
              </w:rPr>
              <w:t>版、</w:t>
            </w:r>
          </w:p>
          <w:p>
            <w:pPr>
              <w:pStyle w:val="TableParagraph"/>
              <w:spacing w:before="82"/>
              <w:ind w:left="115"/>
              <w:rPr>
                <w:rFonts w:ascii="宋体" w:eastAsia="宋体" w:hint="eastAsia"/>
                <w:sz w:val="18"/>
              </w:rPr>
            </w:pPr>
            <w:r>
              <w:rPr>
                <w:rFonts w:ascii="宋体" w:eastAsia="宋体" w:hint="eastAsia"/>
                <w:sz w:val="18"/>
              </w:rPr>
              <w:t>证券时报 </w:t>
            </w:r>
            <w:r>
              <w:rPr>
                <w:sz w:val="18"/>
              </w:rPr>
              <w:t>B251 </w:t>
            </w:r>
            <w:r>
              <w:rPr>
                <w:rFonts w:ascii="宋体" w:eastAsia="宋体" w:hint="eastAsia"/>
                <w:sz w:val="18"/>
              </w:rPr>
              <w:t>版、证券日报 </w:t>
            </w:r>
            <w:r>
              <w:rPr>
                <w:sz w:val="18"/>
              </w:rPr>
              <w:t>C129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38"/>
              <w:ind w:left="94" w:right="55"/>
              <w:jc w:val="center"/>
              <w:rPr>
                <w:sz w:val="18"/>
              </w:rPr>
            </w:pPr>
            <w:r>
              <w:rPr>
                <w:sz w:val="18"/>
              </w:rPr>
              <w:t>2020 </w:t>
            </w:r>
            <w:r>
              <w:rPr>
                <w:rFonts w:ascii="宋体" w:eastAsia="宋体" w:hint="eastAsia"/>
                <w:sz w:val="18"/>
              </w:rPr>
              <w:t>年 </w:t>
            </w:r>
            <w:r>
              <w:rPr>
                <w:sz w:val="18"/>
              </w:rPr>
              <w:t>08 </w:t>
            </w:r>
            <w:r>
              <w:rPr>
                <w:rFonts w:ascii="宋体" w:eastAsia="宋体" w:hint="eastAsia"/>
                <w:sz w:val="18"/>
              </w:rPr>
              <w:t>月 </w:t>
            </w:r>
            <w:r>
              <w:rPr>
                <w:sz w:val="18"/>
              </w:rPr>
              <w:t>29</w:t>
            </w:r>
          </w:p>
          <w:p>
            <w:pPr>
              <w:pStyle w:val="TableParagraph"/>
              <w:spacing w:before="82"/>
              <w:ind w:left="39"/>
              <w:jc w:val="center"/>
              <w:rPr>
                <w:rFonts w:ascii="宋体" w:eastAsia="宋体" w:hint="eastAsia"/>
                <w:sz w:val="18"/>
              </w:rPr>
            </w:pPr>
            <w:r>
              <w:rPr>
                <w:rFonts w:ascii="宋体" w:eastAsia="宋体" w:hint="eastAsia"/>
                <w:sz w:val="18"/>
              </w:rPr>
              <w:t>日</w:t>
            </w:r>
          </w:p>
        </w:tc>
      </w:tr>
      <w:tr>
        <w:trPr>
          <w:trHeight w:val="623" w:hRule="atLeast"/>
        </w:trPr>
        <w:tc>
          <w:tcPr>
            <w:tcW w:w="4253" w:type="dxa"/>
            <w:tcBorders>
              <w:top w:val="single" w:sz="4" w:space="0" w:color="000000"/>
              <w:bottom w:val="single" w:sz="4" w:space="0" w:color="000000"/>
              <w:right w:val="single" w:sz="4" w:space="0" w:color="000000"/>
            </w:tcBorders>
          </w:tcPr>
          <w:p>
            <w:pPr>
              <w:pStyle w:val="TableParagraph"/>
              <w:spacing w:before="38"/>
              <w:ind w:left="105"/>
              <w:rPr>
                <w:rFonts w:ascii="宋体" w:eastAsia="宋体" w:hint="eastAsia"/>
                <w:sz w:val="18"/>
              </w:rPr>
            </w:pPr>
            <w:r>
              <w:rPr>
                <w:rFonts w:ascii="宋体" w:eastAsia="宋体" w:hint="eastAsia"/>
                <w:sz w:val="18"/>
              </w:rPr>
              <w:t>海尔智家股份有限公司第十届董事会第十二次会议</w:t>
            </w:r>
          </w:p>
          <w:p>
            <w:pPr>
              <w:pStyle w:val="TableParagraph"/>
              <w:spacing w:before="81"/>
              <w:ind w:left="105"/>
              <w:rPr>
                <w:rFonts w:ascii="宋体" w:eastAsia="宋体" w:hint="eastAsia"/>
                <w:sz w:val="18"/>
              </w:rPr>
            </w:pPr>
            <w:r>
              <w:rPr>
                <w:rFonts w:ascii="宋体" w:eastAsia="宋体" w:hint="eastAsia"/>
                <w:sz w:val="18"/>
              </w:rPr>
              <w:t>决议公告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ight="-15"/>
              <w:rPr>
                <w:rFonts w:ascii="宋体" w:eastAsia="宋体" w:hint="eastAsia"/>
                <w:sz w:val="18"/>
              </w:rPr>
            </w:pPr>
            <w:r>
              <w:rPr>
                <w:rFonts w:ascii="宋体" w:eastAsia="宋体" w:hint="eastAsia"/>
                <w:spacing w:val="-8"/>
                <w:sz w:val="18"/>
              </w:rPr>
              <w:t>中国证券报 </w:t>
            </w:r>
            <w:r>
              <w:rPr>
                <w:sz w:val="18"/>
              </w:rPr>
              <w:t>B189</w:t>
            </w:r>
            <w:r>
              <w:rPr>
                <w:spacing w:val="1"/>
                <w:sz w:val="18"/>
              </w:rPr>
              <w:t> </w:t>
            </w:r>
            <w:r>
              <w:rPr>
                <w:rFonts w:ascii="宋体" w:eastAsia="宋体" w:hint="eastAsia"/>
                <w:spacing w:val="-18"/>
                <w:sz w:val="18"/>
              </w:rPr>
              <w:t>版、上海证券报 </w:t>
            </w:r>
            <w:r>
              <w:rPr>
                <w:sz w:val="18"/>
              </w:rPr>
              <w:t>252</w:t>
            </w:r>
            <w:r>
              <w:rPr>
                <w:spacing w:val="1"/>
                <w:sz w:val="18"/>
              </w:rPr>
              <w:t> </w:t>
            </w:r>
            <w:r>
              <w:rPr>
                <w:rFonts w:ascii="宋体" w:eastAsia="宋体" w:hint="eastAsia"/>
                <w:sz w:val="18"/>
              </w:rPr>
              <w:t>版、</w:t>
            </w:r>
          </w:p>
          <w:p>
            <w:pPr>
              <w:pStyle w:val="TableParagraph"/>
              <w:spacing w:before="81"/>
              <w:ind w:left="115"/>
              <w:rPr>
                <w:rFonts w:ascii="宋体" w:eastAsia="宋体" w:hint="eastAsia"/>
                <w:sz w:val="18"/>
              </w:rPr>
            </w:pPr>
            <w:r>
              <w:rPr>
                <w:rFonts w:ascii="宋体" w:eastAsia="宋体" w:hint="eastAsia"/>
                <w:sz w:val="18"/>
              </w:rPr>
              <w:t>证券时报 </w:t>
            </w:r>
            <w:r>
              <w:rPr>
                <w:sz w:val="18"/>
              </w:rPr>
              <w:t>B251 </w:t>
            </w:r>
            <w:r>
              <w:rPr>
                <w:rFonts w:ascii="宋体" w:eastAsia="宋体" w:hint="eastAsia"/>
                <w:sz w:val="18"/>
              </w:rPr>
              <w:t>版、证券日报 </w:t>
            </w:r>
            <w:r>
              <w:rPr>
                <w:sz w:val="18"/>
              </w:rPr>
              <w:t>C129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38"/>
              <w:ind w:left="94" w:right="55"/>
              <w:jc w:val="center"/>
              <w:rPr>
                <w:sz w:val="18"/>
              </w:rPr>
            </w:pPr>
            <w:r>
              <w:rPr>
                <w:sz w:val="18"/>
              </w:rPr>
              <w:t>2020 </w:t>
            </w:r>
            <w:r>
              <w:rPr>
                <w:rFonts w:ascii="宋体" w:eastAsia="宋体" w:hint="eastAsia"/>
                <w:sz w:val="18"/>
              </w:rPr>
              <w:t>年 </w:t>
            </w:r>
            <w:r>
              <w:rPr>
                <w:sz w:val="18"/>
              </w:rPr>
              <w:t>08 </w:t>
            </w:r>
            <w:r>
              <w:rPr>
                <w:rFonts w:ascii="宋体" w:eastAsia="宋体" w:hint="eastAsia"/>
                <w:sz w:val="18"/>
              </w:rPr>
              <w:t>月 </w:t>
            </w:r>
            <w:r>
              <w:rPr>
                <w:sz w:val="18"/>
              </w:rPr>
              <w:t>29</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623" w:hRule="atLeast"/>
        </w:trPr>
        <w:tc>
          <w:tcPr>
            <w:tcW w:w="4253" w:type="dxa"/>
            <w:tcBorders>
              <w:top w:val="single" w:sz="4" w:space="0" w:color="000000"/>
              <w:bottom w:val="single" w:sz="4" w:space="0" w:color="000000"/>
              <w:right w:val="single" w:sz="4" w:space="0" w:color="000000"/>
            </w:tcBorders>
          </w:tcPr>
          <w:p>
            <w:pPr>
              <w:pStyle w:val="TableParagraph"/>
              <w:spacing w:before="38"/>
              <w:ind w:left="105"/>
              <w:rPr>
                <w:rFonts w:ascii="宋体" w:eastAsia="宋体" w:hint="eastAsia"/>
                <w:sz w:val="18"/>
              </w:rPr>
            </w:pPr>
            <w:r>
              <w:rPr>
                <w:rFonts w:ascii="宋体" w:eastAsia="宋体" w:hint="eastAsia"/>
                <w:sz w:val="18"/>
              </w:rPr>
              <w:t>海尔智家股份有限公司第十届监事会第十一次会议</w:t>
            </w:r>
          </w:p>
          <w:p>
            <w:pPr>
              <w:pStyle w:val="TableParagraph"/>
              <w:spacing w:before="81"/>
              <w:ind w:left="105"/>
              <w:rPr>
                <w:rFonts w:ascii="宋体" w:eastAsia="宋体" w:hint="eastAsia"/>
                <w:sz w:val="18"/>
              </w:rPr>
            </w:pPr>
            <w:r>
              <w:rPr>
                <w:rFonts w:ascii="宋体" w:eastAsia="宋体" w:hint="eastAsia"/>
                <w:sz w:val="18"/>
              </w:rPr>
              <w:t>决议公告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ight="-15"/>
              <w:rPr>
                <w:rFonts w:ascii="宋体" w:eastAsia="宋体" w:hint="eastAsia"/>
                <w:sz w:val="18"/>
              </w:rPr>
            </w:pPr>
            <w:r>
              <w:rPr>
                <w:rFonts w:ascii="宋体" w:eastAsia="宋体" w:hint="eastAsia"/>
                <w:spacing w:val="-8"/>
                <w:sz w:val="18"/>
              </w:rPr>
              <w:t>中国证券报 </w:t>
            </w:r>
            <w:r>
              <w:rPr>
                <w:sz w:val="18"/>
              </w:rPr>
              <w:t>B189</w:t>
            </w:r>
            <w:r>
              <w:rPr>
                <w:spacing w:val="1"/>
                <w:sz w:val="18"/>
              </w:rPr>
              <w:t> </w:t>
            </w:r>
            <w:r>
              <w:rPr>
                <w:rFonts w:ascii="宋体" w:eastAsia="宋体" w:hint="eastAsia"/>
                <w:spacing w:val="-18"/>
                <w:sz w:val="18"/>
              </w:rPr>
              <w:t>版、上海证券报 </w:t>
            </w:r>
            <w:r>
              <w:rPr>
                <w:sz w:val="18"/>
              </w:rPr>
              <w:t>252</w:t>
            </w:r>
            <w:r>
              <w:rPr>
                <w:spacing w:val="1"/>
                <w:sz w:val="18"/>
              </w:rPr>
              <w:t> </w:t>
            </w:r>
            <w:r>
              <w:rPr>
                <w:rFonts w:ascii="宋体" w:eastAsia="宋体" w:hint="eastAsia"/>
                <w:sz w:val="18"/>
              </w:rPr>
              <w:t>版、</w:t>
            </w:r>
          </w:p>
          <w:p>
            <w:pPr>
              <w:pStyle w:val="TableParagraph"/>
              <w:spacing w:before="81"/>
              <w:ind w:left="115"/>
              <w:rPr>
                <w:rFonts w:ascii="宋体" w:eastAsia="宋体" w:hint="eastAsia"/>
                <w:sz w:val="18"/>
              </w:rPr>
            </w:pPr>
            <w:r>
              <w:rPr>
                <w:rFonts w:ascii="宋体" w:eastAsia="宋体" w:hint="eastAsia"/>
                <w:sz w:val="18"/>
              </w:rPr>
              <w:t>证券时报 </w:t>
            </w:r>
            <w:r>
              <w:rPr>
                <w:sz w:val="18"/>
              </w:rPr>
              <w:t>B251 </w:t>
            </w:r>
            <w:r>
              <w:rPr>
                <w:rFonts w:ascii="宋体" w:eastAsia="宋体" w:hint="eastAsia"/>
                <w:sz w:val="18"/>
              </w:rPr>
              <w:t>版、证券日报 </w:t>
            </w:r>
            <w:r>
              <w:rPr>
                <w:sz w:val="18"/>
              </w:rPr>
              <w:t>C129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38"/>
              <w:ind w:left="94" w:right="55"/>
              <w:jc w:val="center"/>
              <w:rPr>
                <w:sz w:val="18"/>
              </w:rPr>
            </w:pPr>
            <w:r>
              <w:rPr>
                <w:sz w:val="18"/>
              </w:rPr>
              <w:t>2020 </w:t>
            </w:r>
            <w:r>
              <w:rPr>
                <w:rFonts w:ascii="宋体" w:eastAsia="宋体" w:hint="eastAsia"/>
                <w:sz w:val="18"/>
              </w:rPr>
              <w:t>年 </w:t>
            </w:r>
            <w:r>
              <w:rPr>
                <w:sz w:val="18"/>
              </w:rPr>
              <w:t>08 </w:t>
            </w:r>
            <w:r>
              <w:rPr>
                <w:rFonts w:ascii="宋体" w:eastAsia="宋体" w:hint="eastAsia"/>
                <w:sz w:val="18"/>
              </w:rPr>
              <w:t>月 </w:t>
            </w:r>
            <w:r>
              <w:rPr>
                <w:sz w:val="18"/>
              </w:rPr>
              <w:t>29</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623" w:hRule="atLeast"/>
        </w:trPr>
        <w:tc>
          <w:tcPr>
            <w:tcW w:w="4253" w:type="dxa"/>
            <w:tcBorders>
              <w:top w:val="single" w:sz="4" w:space="0" w:color="000000"/>
              <w:bottom w:val="single" w:sz="4" w:space="0" w:color="000000"/>
              <w:right w:val="single" w:sz="4" w:space="0" w:color="000000"/>
            </w:tcBorders>
          </w:tcPr>
          <w:p>
            <w:pPr>
              <w:pStyle w:val="TableParagraph"/>
              <w:spacing w:before="38"/>
              <w:ind w:left="105"/>
              <w:rPr>
                <w:rFonts w:ascii="宋体" w:eastAsia="宋体" w:hint="eastAsia"/>
                <w:sz w:val="18"/>
              </w:rPr>
            </w:pPr>
            <w:r>
              <w:rPr>
                <w:rFonts w:ascii="宋体" w:eastAsia="宋体" w:hint="eastAsia"/>
                <w:sz w:val="18"/>
              </w:rPr>
              <w:t>海尔智家股份有限公司关于延期回复上海证券交易</w:t>
            </w:r>
          </w:p>
          <w:p>
            <w:pPr>
              <w:pStyle w:val="TableParagraph"/>
              <w:spacing w:before="81"/>
              <w:ind w:left="105"/>
              <w:rPr>
                <w:rFonts w:ascii="宋体" w:eastAsia="宋体" w:hint="eastAsia"/>
                <w:sz w:val="18"/>
              </w:rPr>
            </w:pPr>
            <w:r>
              <w:rPr>
                <w:rFonts w:ascii="宋体" w:eastAsia="宋体" w:hint="eastAsia"/>
                <w:sz w:val="18"/>
              </w:rPr>
              <w:t>所问询函的公告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ight="-15"/>
              <w:rPr>
                <w:rFonts w:ascii="宋体" w:eastAsia="宋体" w:hint="eastAsia"/>
                <w:sz w:val="18"/>
              </w:rPr>
            </w:pPr>
            <w:r>
              <w:rPr>
                <w:rFonts w:ascii="宋体" w:eastAsia="宋体" w:hint="eastAsia"/>
                <w:spacing w:val="-8"/>
                <w:sz w:val="18"/>
              </w:rPr>
              <w:t>中国证券报 </w:t>
            </w:r>
            <w:r>
              <w:rPr>
                <w:sz w:val="18"/>
              </w:rPr>
              <w:t>B189</w:t>
            </w:r>
            <w:r>
              <w:rPr>
                <w:spacing w:val="1"/>
                <w:sz w:val="18"/>
              </w:rPr>
              <w:t> </w:t>
            </w:r>
            <w:r>
              <w:rPr>
                <w:rFonts w:ascii="宋体" w:eastAsia="宋体" w:hint="eastAsia"/>
                <w:spacing w:val="-18"/>
                <w:sz w:val="18"/>
              </w:rPr>
              <w:t>版、上海证券报 </w:t>
            </w:r>
            <w:r>
              <w:rPr>
                <w:sz w:val="18"/>
              </w:rPr>
              <w:t>252</w:t>
            </w:r>
            <w:r>
              <w:rPr>
                <w:spacing w:val="1"/>
                <w:sz w:val="18"/>
              </w:rPr>
              <w:t> </w:t>
            </w:r>
            <w:r>
              <w:rPr>
                <w:rFonts w:ascii="宋体" w:eastAsia="宋体" w:hint="eastAsia"/>
                <w:sz w:val="18"/>
              </w:rPr>
              <w:t>版、</w:t>
            </w:r>
          </w:p>
          <w:p>
            <w:pPr>
              <w:pStyle w:val="TableParagraph"/>
              <w:spacing w:before="81"/>
              <w:ind w:left="115"/>
              <w:rPr>
                <w:rFonts w:ascii="宋体" w:eastAsia="宋体" w:hint="eastAsia"/>
                <w:sz w:val="18"/>
              </w:rPr>
            </w:pPr>
            <w:r>
              <w:rPr>
                <w:rFonts w:ascii="宋体" w:eastAsia="宋体" w:hint="eastAsia"/>
                <w:sz w:val="18"/>
              </w:rPr>
              <w:t>证券时报 </w:t>
            </w:r>
            <w:r>
              <w:rPr>
                <w:sz w:val="18"/>
              </w:rPr>
              <w:t>B251 </w:t>
            </w:r>
            <w:r>
              <w:rPr>
                <w:rFonts w:ascii="宋体" w:eastAsia="宋体" w:hint="eastAsia"/>
                <w:sz w:val="18"/>
              </w:rPr>
              <w:t>版、证券日报 </w:t>
            </w:r>
            <w:r>
              <w:rPr>
                <w:sz w:val="18"/>
              </w:rPr>
              <w:t>C129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38"/>
              <w:ind w:left="94" w:right="55"/>
              <w:jc w:val="center"/>
              <w:rPr>
                <w:sz w:val="18"/>
              </w:rPr>
            </w:pPr>
            <w:r>
              <w:rPr>
                <w:sz w:val="18"/>
              </w:rPr>
              <w:t>2020 </w:t>
            </w:r>
            <w:r>
              <w:rPr>
                <w:rFonts w:ascii="宋体" w:eastAsia="宋体" w:hint="eastAsia"/>
                <w:sz w:val="18"/>
              </w:rPr>
              <w:t>年 </w:t>
            </w:r>
            <w:r>
              <w:rPr>
                <w:sz w:val="18"/>
              </w:rPr>
              <w:t>08 </w:t>
            </w:r>
            <w:r>
              <w:rPr>
                <w:rFonts w:ascii="宋体" w:eastAsia="宋体" w:hint="eastAsia"/>
                <w:sz w:val="18"/>
              </w:rPr>
              <w:t>月 </w:t>
            </w:r>
            <w:r>
              <w:rPr>
                <w:sz w:val="18"/>
              </w:rPr>
              <w:t>29</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623" w:hRule="atLeast"/>
        </w:trPr>
        <w:tc>
          <w:tcPr>
            <w:tcW w:w="4253" w:type="dxa"/>
            <w:tcBorders>
              <w:top w:val="single" w:sz="4" w:space="0" w:color="000000"/>
              <w:right w:val="single" w:sz="4" w:space="0" w:color="000000"/>
            </w:tcBorders>
          </w:tcPr>
          <w:p>
            <w:pPr>
              <w:pStyle w:val="TableParagraph"/>
              <w:spacing w:before="40"/>
              <w:ind w:left="105"/>
              <w:rPr>
                <w:rFonts w:ascii="宋体" w:eastAsia="宋体" w:hint="eastAsia"/>
                <w:sz w:val="18"/>
              </w:rPr>
            </w:pPr>
            <w:r>
              <w:rPr>
                <w:rFonts w:ascii="宋体" w:eastAsia="宋体" w:hint="eastAsia"/>
                <w:sz w:val="18"/>
              </w:rPr>
              <w:t>海尔智家股份有限公司与海尔电器集团有限公司发</w:t>
            </w:r>
          </w:p>
          <w:p>
            <w:pPr>
              <w:pStyle w:val="TableParagraph"/>
              <w:spacing w:before="82"/>
              <w:ind w:left="105"/>
              <w:rPr>
                <w:rFonts w:ascii="宋体" w:eastAsia="宋体" w:hint="eastAsia"/>
                <w:sz w:val="18"/>
              </w:rPr>
            </w:pPr>
            <w:r>
              <w:rPr>
                <w:rFonts w:ascii="宋体" w:eastAsia="宋体" w:hint="eastAsia"/>
                <w:sz w:val="18"/>
              </w:rPr>
              <w:t>布联合公告的提示性公告</w:t>
            </w:r>
          </w:p>
        </w:tc>
        <w:tc>
          <w:tcPr>
            <w:tcW w:w="3401" w:type="dxa"/>
            <w:tcBorders>
              <w:top w:val="single" w:sz="4" w:space="0" w:color="000000"/>
              <w:left w:val="single" w:sz="4" w:space="0" w:color="000000"/>
              <w:right w:val="single" w:sz="4" w:space="0" w:color="000000"/>
            </w:tcBorders>
          </w:tcPr>
          <w:p>
            <w:pPr>
              <w:pStyle w:val="TableParagraph"/>
              <w:spacing w:before="40"/>
              <w:ind w:left="115" w:right="-15"/>
              <w:rPr>
                <w:rFonts w:ascii="宋体" w:eastAsia="宋体" w:hint="eastAsia"/>
                <w:sz w:val="18"/>
              </w:rPr>
            </w:pPr>
            <w:r>
              <w:rPr>
                <w:rFonts w:ascii="宋体" w:eastAsia="宋体" w:hint="eastAsia"/>
                <w:spacing w:val="-8"/>
                <w:sz w:val="18"/>
              </w:rPr>
              <w:t>中国证券报 </w:t>
            </w:r>
            <w:r>
              <w:rPr>
                <w:sz w:val="18"/>
              </w:rPr>
              <w:t>B189</w:t>
            </w:r>
            <w:r>
              <w:rPr>
                <w:spacing w:val="1"/>
                <w:sz w:val="18"/>
              </w:rPr>
              <w:t> </w:t>
            </w:r>
            <w:r>
              <w:rPr>
                <w:rFonts w:ascii="宋体" w:eastAsia="宋体" w:hint="eastAsia"/>
                <w:spacing w:val="-18"/>
                <w:sz w:val="18"/>
              </w:rPr>
              <w:t>版、上海证券报 </w:t>
            </w:r>
            <w:r>
              <w:rPr>
                <w:sz w:val="18"/>
              </w:rPr>
              <w:t>252</w:t>
            </w:r>
            <w:r>
              <w:rPr>
                <w:spacing w:val="1"/>
                <w:sz w:val="18"/>
              </w:rPr>
              <w:t> </w:t>
            </w:r>
            <w:r>
              <w:rPr>
                <w:rFonts w:ascii="宋体" w:eastAsia="宋体" w:hint="eastAsia"/>
                <w:sz w:val="18"/>
              </w:rPr>
              <w:t>版、</w:t>
            </w:r>
          </w:p>
          <w:p>
            <w:pPr>
              <w:pStyle w:val="TableParagraph"/>
              <w:spacing w:before="82"/>
              <w:ind w:left="115"/>
              <w:rPr>
                <w:rFonts w:ascii="宋体" w:eastAsia="宋体" w:hint="eastAsia"/>
                <w:sz w:val="18"/>
              </w:rPr>
            </w:pPr>
            <w:r>
              <w:rPr>
                <w:rFonts w:ascii="宋体" w:eastAsia="宋体" w:hint="eastAsia"/>
                <w:sz w:val="18"/>
              </w:rPr>
              <w:t>证券时报 </w:t>
            </w:r>
            <w:r>
              <w:rPr>
                <w:sz w:val="18"/>
              </w:rPr>
              <w:t>B251 </w:t>
            </w:r>
            <w:r>
              <w:rPr>
                <w:rFonts w:ascii="宋体" w:eastAsia="宋体" w:hint="eastAsia"/>
                <w:sz w:val="18"/>
              </w:rPr>
              <w:t>版、证券日报 </w:t>
            </w:r>
            <w:r>
              <w:rPr>
                <w:sz w:val="18"/>
              </w:rPr>
              <w:t>C129 </w:t>
            </w:r>
            <w:r>
              <w:rPr>
                <w:rFonts w:ascii="宋体" w:eastAsia="宋体" w:hint="eastAsia"/>
                <w:sz w:val="18"/>
              </w:rPr>
              <w:t>版</w:t>
            </w:r>
          </w:p>
        </w:tc>
        <w:tc>
          <w:tcPr>
            <w:tcW w:w="1559" w:type="dxa"/>
            <w:tcBorders>
              <w:top w:val="single" w:sz="4" w:space="0" w:color="000000"/>
              <w:left w:val="single" w:sz="4" w:space="0" w:color="000000"/>
            </w:tcBorders>
          </w:tcPr>
          <w:p>
            <w:pPr>
              <w:pStyle w:val="TableParagraph"/>
              <w:spacing w:before="40"/>
              <w:ind w:left="94" w:right="55"/>
              <w:jc w:val="center"/>
              <w:rPr>
                <w:sz w:val="18"/>
              </w:rPr>
            </w:pPr>
            <w:r>
              <w:rPr>
                <w:sz w:val="18"/>
              </w:rPr>
              <w:t>2020 </w:t>
            </w:r>
            <w:r>
              <w:rPr>
                <w:rFonts w:ascii="宋体" w:eastAsia="宋体" w:hint="eastAsia"/>
                <w:sz w:val="18"/>
              </w:rPr>
              <w:t>年 </w:t>
            </w:r>
            <w:r>
              <w:rPr>
                <w:sz w:val="18"/>
              </w:rPr>
              <w:t>08 </w:t>
            </w:r>
            <w:r>
              <w:rPr>
                <w:rFonts w:ascii="宋体" w:eastAsia="宋体" w:hint="eastAsia"/>
                <w:sz w:val="18"/>
              </w:rPr>
              <w:t>月 </w:t>
            </w:r>
            <w:r>
              <w:rPr>
                <w:sz w:val="18"/>
              </w:rPr>
              <w:t>29</w:t>
            </w:r>
          </w:p>
          <w:p>
            <w:pPr>
              <w:pStyle w:val="TableParagraph"/>
              <w:spacing w:before="82"/>
              <w:ind w:left="39"/>
              <w:jc w:val="center"/>
              <w:rPr>
                <w:rFonts w:ascii="宋体" w:eastAsia="宋体" w:hint="eastAsia"/>
                <w:sz w:val="18"/>
              </w:rPr>
            </w:pPr>
            <w:r>
              <w:rPr>
                <w:rFonts w:ascii="宋体" w:eastAsia="宋体" w:hint="eastAsia"/>
                <w:sz w:val="18"/>
              </w:rPr>
              <w:t>日</w:t>
            </w:r>
          </w:p>
        </w:tc>
      </w:tr>
    </w:tbl>
    <w:p>
      <w:pPr>
        <w:spacing w:after="0"/>
        <w:jc w:val="center"/>
        <w:rPr>
          <w:rFonts w:ascii="宋体" w:eastAsia="宋体" w:hint="eastAsia"/>
          <w:sz w:val="18"/>
        </w:rPr>
        <w:sectPr>
          <w:pgSz w:w="11910" w:h="16840"/>
          <w:pgMar w:header="874" w:footer="1214" w:top="1120" w:bottom="1400" w:left="840" w:right="300"/>
        </w:sectPr>
      </w:pPr>
    </w:p>
    <w:p>
      <w:pPr>
        <w:pStyle w:val="BodyText"/>
        <w:rPr>
          <w:rFonts w:ascii="Times New Roman"/>
          <w:sz w:val="20"/>
        </w:rPr>
      </w:pPr>
    </w:p>
    <w:p>
      <w:pPr>
        <w:pStyle w:val="BodyText"/>
        <w:spacing w:before="9" w:after="1"/>
        <w:rPr>
          <w:rFonts w:ascii="Times New Roman"/>
          <w:sz w:val="14"/>
        </w:rPr>
      </w:pPr>
    </w:p>
    <w:tbl>
      <w:tblPr>
        <w:tblW w:w="0" w:type="auto"/>
        <w:jc w:val="left"/>
        <w:tblInd w:w="6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253"/>
        <w:gridCol w:w="3401"/>
        <w:gridCol w:w="1559"/>
      </w:tblGrid>
      <w:tr>
        <w:trPr>
          <w:trHeight w:val="937" w:hRule="atLeast"/>
        </w:trPr>
        <w:tc>
          <w:tcPr>
            <w:tcW w:w="4253" w:type="dxa"/>
            <w:tcBorders>
              <w:bottom w:val="single" w:sz="4" w:space="0" w:color="000000"/>
              <w:right w:val="single" w:sz="4" w:space="0" w:color="000000"/>
            </w:tcBorders>
          </w:tcPr>
          <w:p>
            <w:pPr>
              <w:pStyle w:val="TableParagraph"/>
              <w:spacing w:before="40"/>
              <w:ind w:left="105"/>
              <w:rPr>
                <w:rFonts w:ascii="宋体" w:eastAsia="宋体" w:hint="eastAsia"/>
                <w:sz w:val="18"/>
              </w:rPr>
            </w:pPr>
            <w:r>
              <w:rPr>
                <w:rFonts w:ascii="宋体" w:eastAsia="宋体" w:hint="eastAsia"/>
                <w:sz w:val="18"/>
              </w:rPr>
              <w:t>海尔智家股份有限公司关于回复上海证券交易所</w:t>
            </w:r>
          </w:p>
          <w:p>
            <w:pPr>
              <w:pStyle w:val="TableParagraph"/>
              <w:spacing w:line="310" w:lineRule="atLeast" w:before="2"/>
              <w:ind w:left="105" w:right="90"/>
              <w:rPr>
                <w:rFonts w:ascii="宋体" w:eastAsia="宋体" w:hint="eastAsia"/>
                <w:sz w:val="18"/>
              </w:rPr>
            </w:pPr>
            <w:r>
              <w:rPr>
                <w:rFonts w:ascii="宋体" w:eastAsia="宋体" w:hint="eastAsia"/>
                <w:sz w:val="18"/>
              </w:rPr>
              <w:t>《关于对海尔智家股份有限公司重大资产购买暨关联交易报告书信息披露的问询函》的公告</w:t>
            </w:r>
          </w:p>
        </w:tc>
        <w:tc>
          <w:tcPr>
            <w:tcW w:w="3401" w:type="dxa"/>
            <w:tcBorders>
              <w:left w:val="single" w:sz="4" w:space="0" w:color="000000"/>
              <w:bottom w:val="single" w:sz="4" w:space="0" w:color="000000"/>
              <w:right w:val="single" w:sz="4" w:space="0" w:color="000000"/>
            </w:tcBorders>
          </w:tcPr>
          <w:p>
            <w:pPr>
              <w:pStyle w:val="TableParagraph"/>
              <w:spacing w:before="1"/>
              <w:rPr>
                <w:sz w:val="17"/>
              </w:rPr>
            </w:pPr>
          </w:p>
          <w:p>
            <w:pPr>
              <w:pStyle w:val="TableParagraph"/>
              <w:spacing w:line="324" w:lineRule="auto"/>
              <w:ind w:left="115" w:right="-15"/>
              <w:rPr>
                <w:rFonts w:ascii="宋体" w:eastAsia="宋体" w:hint="eastAsia"/>
                <w:sz w:val="18"/>
              </w:rPr>
            </w:pPr>
            <w:r>
              <w:rPr>
                <w:rFonts w:ascii="宋体" w:eastAsia="宋体" w:hint="eastAsia"/>
                <w:spacing w:val="-8"/>
                <w:sz w:val="18"/>
              </w:rPr>
              <w:t>中国证券报 </w:t>
            </w:r>
            <w:r>
              <w:rPr>
                <w:sz w:val="18"/>
              </w:rPr>
              <w:t>A109</w:t>
            </w:r>
            <w:r>
              <w:rPr>
                <w:spacing w:val="-1"/>
                <w:sz w:val="18"/>
              </w:rPr>
              <w:t> </w:t>
            </w:r>
            <w:r>
              <w:rPr>
                <w:rFonts w:ascii="宋体" w:eastAsia="宋体" w:hint="eastAsia"/>
                <w:spacing w:val="-19"/>
                <w:sz w:val="18"/>
              </w:rPr>
              <w:t>版、上海证券报 </w:t>
            </w:r>
            <w:r>
              <w:rPr>
                <w:sz w:val="18"/>
              </w:rPr>
              <w:t>181</w:t>
            </w:r>
            <w:r>
              <w:rPr>
                <w:spacing w:val="-1"/>
                <w:sz w:val="18"/>
              </w:rPr>
              <w:t> </w:t>
            </w:r>
            <w:r>
              <w:rPr>
                <w:rFonts w:ascii="宋体" w:eastAsia="宋体" w:hint="eastAsia"/>
                <w:sz w:val="18"/>
              </w:rPr>
              <w:t>版、</w:t>
            </w:r>
            <w:r>
              <w:rPr>
                <w:rFonts w:ascii="宋体" w:eastAsia="宋体" w:hint="eastAsia"/>
                <w:spacing w:val="-9"/>
                <w:sz w:val="18"/>
              </w:rPr>
              <w:t>证券时报 </w:t>
            </w:r>
            <w:r>
              <w:rPr>
                <w:sz w:val="18"/>
              </w:rPr>
              <w:t>B083-084</w:t>
            </w:r>
            <w:r>
              <w:rPr>
                <w:spacing w:val="1"/>
                <w:sz w:val="18"/>
              </w:rPr>
              <w:t> </w:t>
            </w:r>
            <w:r>
              <w:rPr>
                <w:rFonts w:ascii="宋体" w:eastAsia="宋体" w:hint="eastAsia"/>
                <w:spacing w:val="-9"/>
                <w:sz w:val="18"/>
              </w:rPr>
              <w:t>版、证券日报 </w:t>
            </w:r>
            <w:r>
              <w:rPr>
                <w:sz w:val="18"/>
              </w:rPr>
              <w:t>D42</w:t>
            </w:r>
            <w:r>
              <w:rPr>
                <w:spacing w:val="1"/>
                <w:sz w:val="18"/>
              </w:rPr>
              <w:t> </w:t>
            </w:r>
            <w:r>
              <w:rPr>
                <w:rFonts w:ascii="宋体" w:eastAsia="宋体" w:hint="eastAsia"/>
                <w:sz w:val="18"/>
              </w:rPr>
              <w:t>版</w:t>
            </w:r>
          </w:p>
        </w:tc>
        <w:tc>
          <w:tcPr>
            <w:tcW w:w="1559" w:type="dxa"/>
            <w:tcBorders>
              <w:left w:val="single" w:sz="4" w:space="0" w:color="000000"/>
              <w:bottom w:val="single" w:sz="4" w:space="0" w:color="000000"/>
            </w:tcBorders>
          </w:tcPr>
          <w:p>
            <w:pPr>
              <w:pStyle w:val="TableParagraph"/>
              <w:spacing w:before="1"/>
              <w:rPr>
                <w:sz w:val="17"/>
              </w:rPr>
            </w:pPr>
          </w:p>
          <w:p>
            <w:pPr>
              <w:pStyle w:val="TableParagraph"/>
              <w:ind w:left="94" w:right="55"/>
              <w:jc w:val="center"/>
              <w:rPr>
                <w:sz w:val="18"/>
              </w:rPr>
            </w:pPr>
            <w:r>
              <w:rPr>
                <w:sz w:val="18"/>
              </w:rPr>
              <w:t>2020 </w:t>
            </w:r>
            <w:r>
              <w:rPr>
                <w:rFonts w:ascii="宋体" w:eastAsia="宋体" w:hint="eastAsia"/>
                <w:sz w:val="18"/>
              </w:rPr>
              <w:t>年 </w:t>
            </w:r>
            <w:r>
              <w:rPr>
                <w:sz w:val="18"/>
              </w:rPr>
              <w:t>09 </w:t>
            </w:r>
            <w:r>
              <w:rPr>
                <w:rFonts w:ascii="宋体" w:eastAsia="宋体" w:hint="eastAsia"/>
                <w:sz w:val="18"/>
              </w:rPr>
              <w:t>月 </w:t>
            </w:r>
            <w:r>
              <w:rPr>
                <w:sz w:val="18"/>
              </w:rPr>
              <w:t>01</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623" w:hRule="atLeast"/>
        </w:trPr>
        <w:tc>
          <w:tcPr>
            <w:tcW w:w="4253" w:type="dxa"/>
            <w:tcBorders>
              <w:top w:val="single" w:sz="4" w:space="0" w:color="000000"/>
              <w:bottom w:val="single" w:sz="4" w:space="0" w:color="000000"/>
              <w:right w:val="single" w:sz="4" w:space="0" w:color="000000"/>
            </w:tcBorders>
          </w:tcPr>
          <w:p>
            <w:pPr>
              <w:pStyle w:val="TableParagraph"/>
              <w:spacing w:before="38"/>
              <w:ind w:left="105"/>
              <w:rPr>
                <w:rFonts w:ascii="宋体" w:eastAsia="宋体" w:hint="eastAsia"/>
                <w:sz w:val="18"/>
              </w:rPr>
            </w:pPr>
            <w:r>
              <w:rPr>
                <w:rFonts w:ascii="宋体" w:eastAsia="宋体" w:hint="eastAsia"/>
                <w:sz w:val="18"/>
              </w:rPr>
              <w:t>海尔智家股份有限公司关于简式权益变动报告书更</w:t>
            </w:r>
          </w:p>
          <w:p>
            <w:pPr>
              <w:pStyle w:val="TableParagraph"/>
              <w:spacing w:before="81"/>
              <w:ind w:left="105"/>
              <w:rPr>
                <w:rFonts w:ascii="宋体" w:eastAsia="宋体" w:hint="eastAsia"/>
                <w:sz w:val="18"/>
              </w:rPr>
            </w:pPr>
            <w:r>
              <w:rPr>
                <w:rFonts w:ascii="宋体" w:eastAsia="宋体" w:hint="eastAsia"/>
                <w:sz w:val="18"/>
              </w:rPr>
              <w:t>新的提示性公告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ight="-15"/>
              <w:rPr>
                <w:rFonts w:ascii="宋体" w:eastAsia="宋体" w:hint="eastAsia"/>
                <w:sz w:val="18"/>
              </w:rPr>
            </w:pPr>
            <w:r>
              <w:rPr>
                <w:rFonts w:ascii="宋体" w:eastAsia="宋体" w:hint="eastAsia"/>
                <w:spacing w:val="-8"/>
                <w:sz w:val="18"/>
              </w:rPr>
              <w:t>中国证券报 </w:t>
            </w:r>
            <w:r>
              <w:rPr>
                <w:sz w:val="18"/>
              </w:rPr>
              <w:t>A109</w:t>
            </w:r>
            <w:r>
              <w:rPr>
                <w:spacing w:val="-1"/>
                <w:sz w:val="18"/>
              </w:rPr>
              <w:t> </w:t>
            </w:r>
            <w:r>
              <w:rPr>
                <w:rFonts w:ascii="宋体" w:eastAsia="宋体" w:hint="eastAsia"/>
                <w:spacing w:val="-19"/>
                <w:sz w:val="18"/>
              </w:rPr>
              <w:t>版、上海证券报 </w:t>
            </w:r>
            <w:r>
              <w:rPr>
                <w:sz w:val="18"/>
              </w:rPr>
              <w:t>181</w:t>
            </w:r>
            <w:r>
              <w:rPr>
                <w:spacing w:val="-1"/>
                <w:sz w:val="18"/>
              </w:rPr>
              <w:t> </w:t>
            </w:r>
            <w:r>
              <w:rPr>
                <w:rFonts w:ascii="宋体" w:eastAsia="宋体" w:hint="eastAsia"/>
                <w:sz w:val="18"/>
              </w:rPr>
              <w:t>版、</w:t>
            </w:r>
          </w:p>
          <w:p>
            <w:pPr>
              <w:pStyle w:val="TableParagraph"/>
              <w:spacing w:before="81"/>
              <w:ind w:left="115"/>
              <w:rPr>
                <w:rFonts w:ascii="宋体" w:eastAsia="宋体" w:hint="eastAsia"/>
                <w:sz w:val="18"/>
              </w:rPr>
            </w:pPr>
            <w:r>
              <w:rPr>
                <w:rFonts w:ascii="宋体" w:eastAsia="宋体" w:hint="eastAsia"/>
                <w:spacing w:val="-9"/>
                <w:sz w:val="18"/>
              </w:rPr>
              <w:t>证券时报 </w:t>
            </w:r>
            <w:r>
              <w:rPr>
                <w:sz w:val="18"/>
              </w:rPr>
              <w:t>B083-084 </w:t>
            </w:r>
            <w:r>
              <w:rPr>
                <w:rFonts w:ascii="宋体" w:eastAsia="宋体" w:hint="eastAsia"/>
                <w:spacing w:val="-9"/>
                <w:sz w:val="18"/>
              </w:rPr>
              <w:t>版、证券日报 </w:t>
            </w:r>
            <w:r>
              <w:rPr>
                <w:sz w:val="18"/>
              </w:rPr>
              <w:t>D42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38"/>
              <w:ind w:left="94" w:right="55"/>
              <w:jc w:val="center"/>
              <w:rPr>
                <w:sz w:val="18"/>
              </w:rPr>
            </w:pPr>
            <w:r>
              <w:rPr>
                <w:sz w:val="18"/>
              </w:rPr>
              <w:t>2020 </w:t>
            </w:r>
            <w:r>
              <w:rPr>
                <w:rFonts w:ascii="宋体" w:eastAsia="宋体" w:hint="eastAsia"/>
                <w:sz w:val="18"/>
              </w:rPr>
              <w:t>年 </w:t>
            </w:r>
            <w:r>
              <w:rPr>
                <w:sz w:val="18"/>
              </w:rPr>
              <w:t>09 </w:t>
            </w:r>
            <w:r>
              <w:rPr>
                <w:rFonts w:ascii="宋体" w:eastAsia="宋体" w:hint="eastAsia"/>
                <w:sz w:val="18"/>
              </w:rPr>
              <w:t>月 </w:t>
            </w:r>
            <w:r>
              <w:rPr>
                <w:sz w:val="18"/>
              </w:rPr>
              <w:t>01</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623" w:hRule="atLeast"/>
        </w:trPr>
        <w:tc>
          <w:tcPr>
            <w:tcW w:w="4253" w:type="dxa"/>
            <w:tcBorders>
              <w:top w:val="single" w:sz="4" w:space="0" w:color="000000"/>
              <w:bottom w:val="single" w:sz="4" w:space="0" w:color="000000"/>
              <w:right w:val="single" w:sz="4" w:space="0" w:color="000000"/>
            </w:tcBorders>
          </w:tcPr>
          <w:p>
            <w:pPr>
              <w:pStyle w:val="TableParagraph"/>
              <w:spacing w:before="38"/>
              <w:ind w:left="105"/>
              <w:rPr>
                <w:rFonts w:ascii="宋体" w:eastAsia="宋体" w:hint="eastAsia"/>
                <w:sz w:val="18"/>
              </w:rPr>
            </w:pPr>
            <w:r>
              <w:rPr>
                <w:rFonts w:ascii="宋体" w:eastAsia="宋体" w:hint="eastAsia"/>
                <w:sz w:val="18"/>
              </w:rPr>
              <w:t>海尔智家股份有限公司关于 </w:t>
            </w:r>
            <w:r>
              <w:rPr>
                <w:sz w:val="18"/>
              </w:rPr>
              <w:t>2020 </w:t>
            </w:r>
            <w:r>
              <w:rPr>
                <w:rFonts w:ascii="宋体" w:eastAsia="宋体" w:hint="eastAsia"/>
                <w:sz w:val="18"/>
              </w:rPr>
              <w:t>年度第二期超短期</w:t>
            </w:r>
          </w:p>
          <w:p>
            <w:pPr>
              <w:pStyle w:val="TableParagraph"/>
              <w:spacing w:before="81"/>
              <w:ind w:left="105"/>
              <w:rPr>
                <w:rFonts w:ascii="宋体" w:eastAsia="宋体" w:hint="eastAsia"/>
                <w:sz w:val="18"/>
              </w:rPr>
            </w:pPr>
            <w:r>
              <w:rPr>
                <w:rFonts w:ascii="宋体" w:eastAsia="宋体" w:hint="eastAsia"/>
                <w:sz w:val="18"/>
              </w:rPr>
              <w:t>融资券发行结果的公告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ight="-15"/>
              <w:rPr>
                <w:rFonts w:ascii="宋体" w:eastAsia="宋体" w:hint="eastAsia"/>
                <w:sz w:val="18"/>
              </w:rPr>
            </w:pPr>
            <w:r>
              <w:rPr>
                <w:rFonts w:ascii="宋体" w:eastAsia="宋体" w:hint="eastAsia"/>
                <w:spacing w:val="-8"/>
                <w:sz w:val="18"/>
              </w:rPr>
              <w:t>中国证券报 </w:t>
            </w:r>
            <w:r>
              <w:rPr>
                <w:sz w:val="18"/>
              </w:rPr>
              <w:t>A109</w:t>
            </w:r>
            <w:r>
              <w:rPr>
                <w:spacing w:val="-1"/>
                <w:sz w:val="18"/>
              </w:rPr>
              <w:t> </w:t>
            </w:r>
            <w:r>
              <w:rPr>
                <w:rFonts w:ascii="宋体" w:eastAsia="宋体" w:hint="eastAsia"/>
                <w:spacing w:val="-19"/>
                <w:sz w:val="18"/>
              </w:rPr>
              <w:t>版、上海证券报 </w:t>
            </w:r>
            <w:r>
              <w:rPr>
                <w:sz w:val="18"/>
              </w:rPr>
              <w:t>181</w:t>
            </w:r>
            <w:r>
              <w:rPr>
                <w:spacing w:val="-1"/>
                <w:sz w:val="18"/>
              </w:rPr>
              <w:t> </w:t>
            </w:r>
            <w:r>
              <w:rPr>
                <w:rFonts w:ascii="宋体" w:eastAsia="宋体" w:hint="eastAsia"/>
                <w:sz w:val="18"/>
              </w:rPr>
              <w:t>版、</w:t>
            </w:r>
          </w:p>
          <w:p>
            <w:pPr>
              <w:pStyle w:val="TableParagraph"/>
              <w:spacing w:before="81"/>
              <w:ind w:left="115"/>
              <w:rPr>
                <w:rFonts w:ascii="宋体" w:eastAsia="宋体" w:hint="eastAsia"/>
                <w:sz w:val="18"/>
              </w:rPr>
            </w:pPr>
            <w:r>
              <w:rPr>
                <w:rFonts w:ascii="宋体" w:eastAsia="宋体" w:hint="eastAsia"/>
                <w:spacing w:val="-9"/>
                <w:sz w:val="18"/>
              </w:rPr>
              <w:t>证券时报 </w:t>
            </w:r>
            <w:r>
              <w:rPr>
                <w:sz w:val="18"/>
              </w:rPr>
              <w:t>B083-084 </w:t>
            </w:r>
            <w:r>
              <w:rPr>
                <w:rFonts w:ascii="宋体" w:eastAsia="宋体" w:hint="eastAsia"/>
                <w:spacing w:val="-9"/>
                <w:sz w:val="18"/>
              </w:rPr>
              <w:t>版、证券日报 </w:t>
            </w:r>
            <w:r>
              <w:rPr>
                <w:sz w:val="18"/>
              </w:rPr>
              <w:t>D42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38"/>
              <w:ind w:left="94" w:right="55"/>
              <w:jc w:val="center"/>
              <w:rPr>
                <w:sz w:val="18"/>
              </w:rPr>
            </w:pPr>
            <w:r>
              <w:rPr>
                <w:sz w:val="18"/>
              </w:rPr>
              <w:t>2020 </w:t>
            </w:r>
            <w:r>
              <w:rPr>
                <w:rFonts w:ascii="宋体" w:eastAsia="宋体" w:hint="eastAsia"/>
                <w:sz w:val="18"/>
              </w:rPr>
              <w:t>年 </w:t>
            </w:r>
            <w:r>
              <w:rPr>
                <w:sz w:val="18"/>
              </w:rPr>
              <w:t>09 </w:t>
            </w:r>
            <w:r>
              <w:rPr>
                <w:rFonts w:ascii="宋体" w:eastAsia="宋体" w:hint="eastAsia"/>
                <w:sz w:val="18"/>
              </w:rPr>
              <w:t>月 </w:t>
            </w:r>
            <w:r>
              <w:rPr>
                <w:sz w:val="18"/>
              </w:rPr>
              <w:t>01</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935" w:hRule="atLeast"/>
        </w:trPr>
        <w:tc>
          <w:tcPr>
            <w:tcW w:w="4253" w:type="dxa"/>
            <w:tcBorders>
              <w:top w:val="single" w:sz="4" w:space="0" w:color="000000"/>
              <w:bottom w:val="single" w:sz="4" w:space="0" w:color="000000"/>
              <w:right w:val="single" w:sz="4" w:space="0" w:color="000000"/>
            </w:tcBorders>
          </w:tcPr>
          <w:p>
            <w:pPr>
              <w:pStyle w:val="TableParagraph"/>
              <w:spacing w:before="38"/>
              <w:ind w:left="105"/>
              <w:rPr>
                <w:rFonts w:ascii="宋体" w:eastAsia="宋体" w:hint="eastAsia"/>
                <w:sz w:val="18"/>
              </w:rPr>
            </w:pPr>
            <w:r>
              <w:rPr>
                <w:rFonts w:ascii="宋体" w:eastAsia="宋体" w:hint="eastAsia"/>
                <w:sz w:val="18"/>
              </w:rPr>
              <w:t>海尔智家股份有限公司 </w:t>
            </w:r>
            <w:r>
              <w:rPr>
                <w:sz w:val="18"/>
              </w:rPr>
              <w:t>2020 </w:t>
            </w:r>
            <w:r>
              <w:rPr>
                <w:rFonts w:ascii="宋体" w:eastAsia="宋体" w:hint="eastAsia"/>
                <w:sz w:val="18"/>
              </w:rPr>
              <w:t>年第二次临时股东大</w:t>
            </w:r>
          </w:p>
          <w:p>
            <w:pPr>
              <w:pStyle w:val="TableParagraph"/>
              <w:spacing w:line="310" w:lineRule="atLeast" w:before="2"/>
              <w:ind w:left="105" w:right="86"/>
              <w:rPr>
                <w:rFonts w:ascii="宋体" w:eastAsia="宋体" w:hint="eastAsia"/>
                <w:sz w:val="18"/>
              </w:rPr>
            </w:pPr>
            <w:r>
              <w:rPr>
                <w:rFonts w:ascii="宋体" w:eastAsia="宋体" w:hint="eastAsia"/>
                <w:spacing w:val="-14"/>
                <w:sz w:val="18"/>
              </w:rPr>
              <w:t>会、</w:t>
            </w:r>
            <w:r>
              <w:rPr>
                <w:sz w:val="18"/>
              </w:rPr>
              <w:t>2020 </w:t>
            </w:r>
            <w:r>
              <w:rPr>
                <w:rFonts w:ascii="宋体" w:eastAsia="宋体" w:hint="eastAsia"/>
                <w:spacing w:val="-9"/>
                <w:sz w:val="18"/>
              </w:rPr>
              <w:t>年第一次 </w:t>
            </w:r>
            <w:r>
              <w:rPr>
                <w:sz w:val="18"/>
              </w:rPr>
              <w:t>A </w:t>
            </w:r>
            <w:r>
              <w:rPr>
                <w:rFonts w:ascii="宋体" w:eastAsia="宋体" w:hint="eastAsia"/>
                <w:spacing w:val="-5"/>
                <w:sz w:val="18"/>
              </w:rPr>
              <w:t>股类别股东大会、</w:t>
            </w:r>
            <w:r>
              <w:rPr>
                <w:sz w:val="18"/>
              </w:rPr>
              <w:t>2020 </w:t>
            </w:r>
            <w:r>
              <w:rPr>
                <w:rFonts w:ascii="宋体" w:eastAsia="宋体" w:hint="eastAsia"/>
                <w:spacing w:val="-5"/>
                <w:sz w:val="18"/>
              </w:rPr>
              <w:t>年第一</w:t>
            </w:r>
            <w:r>
              <w:rPr>
                <w:rFonts w:ascii="宋体" w:eastAsia="宋体" w:hint="eastAsia"/>
                <w:spacing w:val="-23"/>
                <w:sz w:val="18"/>
              </w:rPr>
              <w:t>次 </w:t>
            </w:r>
            <w:r>
              <w:rPr>
                <w:sz w:val="18"/>
              </w:rPr>
              <w:t>D </w:t>
            </w:r>
            <w:r>
              <w:rPr>
                <w:rFonts w:ascii="宋体" w:eastAsia="宋体" w:hint="eastAsia"/>
                <w:sz w:val="18"/>
              </w:rPr>
              <w:t>股类别股东大会决议公告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10"/>
              <w:rPr>
                <w:sz w:val="16"/>
              </w:rPr>
            </w:pPr>
          </w:p>
          <w:p>
            <w:pPr>
              <w:pStyle w:val="TableParagraph"/>
              <w:spacing w:line="324" w:lineRule="auto"/>
              <w:ind w:left="115" w:right="-15"/>
              <w:rPr>
                <w:rFonts w:ascii="宋体" w:eastAsia="宋体" w:hint="eastAsia"/>
                <w:sz w:val="18"/>
              </w:rPr>
            </w:pPr>
            <w:r>
              <w:rPr>
                <w:rFonts w:ascii="宋体" w:eastAsia="宋体" w:hint="eastAsia"/>
                <w:spacing w:val="-8"/>
                <w:sz w:val="18"/>
              </w:rPr>
              <w:t>中国证券报 </w:t>
            </w:r>
            <w:r>
              <w:rPr>
                <w:sz w:val="18"/>
              </w:rPr>
              <w:t>A72 </w:t>
            </w:r>
            <w:r>
              <w:rPr>
                <w:rFonts w:ascii="宋体" w:eastAsia="宋体" w:hint="eastAsia"/>
                <w:spacing w:val="-8"/>
                <w:sz w:val="18"/>
              </w:rPr>
              <w:t>版、上海证券报 </w:t>
            </w:r>
            <w:r>
              <w:rPr>
                <w:sz w:val="18"/>
              </w:rPr>
              <w:t>125</w:t>
            </w:r>
            <w:r>
              <w:rPr>
                <w:spacing w:val="1"/>
                <w:sz w:val="18"/>
              </w:rPr>
              <w:t> </w:t>
            </w:r>
            <w:r>
              <w:rPr>
                <w:rFonts w:ascii="宋体" w:eastAsia="宋体" w:hint="eastAsia"/>
                <w:sz w:val="18"/>
              </w:rPr>
              <w:t>版、</w:t>
            </w:r>
            <w:r>
              <w:rPr>
                <w:rFonts w:ascii="宋体" w:eastAsia="宋体" w:hint="eastAsia"/>
                <w:spacing w:val="-9"/>
                <w:sz w:val="18"/>
              </w:rPr>
              <w:t>证券时报 </w:t>
            </w:r>
            <w:r>
              <w:rPr>
                <w:sz w:val="18"/>
              </w:rPr>
              <w:t>B075</w:t>
            </w:r>
            <w:r>
              <w:rPr>
                <w:spacing w:val="2"/>
                <w:sz w:val="18"/>
              </w:rPr>
              <w:t> </w:t>
            </w:r>
            <w:r>
              <w:rPr>
                <w:rFonts w:ascii="宋体" w:eastAsia="宋体" w:hint="eastAsia"/>
                <w:spacing w:val="-7"/>
                <w:sz w:val="18"/>
              </w:rPr>
              <w:t>版、证券日报 </w:t>
            </w:r>
            <w:r>
              <w:rPr>
                <w:sz w:val="18"/>
              </w:rPr>
              <w:t>D34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10"/>
              <w:rPr>
                <w:sz w:val="16"/>
              </w:rPr>
            </w:pPr>
          </w:p>
          <w:p>
            <w:pPr>
              <w:pStyle w:val="TableParagraph"/>
              <w:ind w:left="94" w:right="55"/>
              <w:jc w:val="center"/>
              <w:rPr>
                <w:sz w:val="18"/>
              </w:rPr>
            </w:pPr>
            <w:r>
              <w:rPr>
                <w:sz w:val="18"/>
              </w:rPr>
              <w:t>2020 </w:t>
            </w:r>
            <w:r>
              <w:rPr>
                <w:rFonts w:ascii="宋体" w:eastAsia="宋体" w:hint="eastAsia"/>
                <w:sz w:val="18"/>
              </w:rPr>
              <w:t>年 </w:t>
            </w:r>
            <w:r>
              <w:rPr>
                <w:sz w:val="18"/>
              </w:rPr>
              <w:t>09 </w:t>
            </w:r>
            <w:r>
              <w:rPr>
                <w:rFonts w:ascii="宋体" w:eastAsia="宋体" w:hint="eastAsia"/>
                <w:sz w:val="18"/>
              </w:rPr>
              <w:t>月 </w:t>
            </w:r>
            <w:r>
              <w:rPr>
                <w:sz w:val="18"/>
              </w:rPr>
              <w:t>02</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623" w:hRule="atLeast"/>
        </w:trPr>
        <w:tc>
          <w:tcPr>
            <w:tcW w:w="4253" w:type="dxa"/>
            <w:tcBorders>
              <w:top w:val="single" w:sz="4" w:space="0" w:color="000000"/>
              <w:bottom w:val="single" w:sz="6" w:space="0" w:color="000000"/>
              <w:right w:val="single" w:sz="4" w:space="0" w:color="000000"/>
            </w:tcBorders>
          </w:tcPr>
          <w:p>
            <w:pPr>
              <w:pStyle w:val="TableParagraph"/>
              <w:spacing w:before="40"/>
              <w:ind w:left="105"/>
              <w:rPr>
                <w:rFonts w:ascii="宋体" w:eastAsia="宋体" w:hint="eastAsia"/>
                <w:sz w:val="18"/>
              </w:rPr>
            </w:pPr>
            <w:r>
              <w:rPr>
                <w:rFonts w:ascii="宋体" w:eastAsia="宋体" w:hint="eastAsia"/>
                <w:sz w:val="18"/>
              </w:rPr>
              <w:t>海尔智家股份有限公司与海尔电器集团有限公司发</w:t>
            </w:r>
          </w:p>
          <w:p>
            <w:pPr>
              <w:pStyle w:val="TableParagraph"/>
              <w:spacing w:before="82"/>
              <w:ind w:left="105"/>
              <w:rPr>
                <w:rFonts w:ascii="宋体" w:eastAsia="宋体" w:hint="eastAsia"/>
                <w:sz w:val="18"/>
              </w:rPr>
            </w:pPr>
            <w:r>
              <w:rPr>
                <w:rFonts w:ascii="宋体" w:eastAsia="宋体" w:hint="eastAsia"/>
                <w:sz w:val="18"/>
              </w:rPr>
              <w:t>布联合公告的提示性公告</w:t>
            </w:r>
          </w:p>
        </w:tc>
        <w:tc>
          <w:tcPr>
            <w:tcW w:w="3401" w:type="dxa"/>
            <w:tcBorders>
              <w:top w:val="single" w:sz="4" w:space="0" w:color="000000"/>
              <w:left w:val="single" w:sz="4" w:space="0" w:color="000000"/>
              <w:bottom w:val="single" w:sz="6" w:space="0" w:color="000000"/>
              <w:right w:val="single" w:sz="4" w:space="0" w:color="000000"/>
            </w:tcBorders>
          </w:tcPr>
          <w:p>
            <w:pPr>
              <w:pStyle w:val="TableParagraph"/>
              <w:spacing w:before="40"/>
              <w:ind w:left="115" w:right="-15"/>
              <w:rPr>
                <w:rFonts w:ascii="宋体" w:eastAsia="宋体" w:hint="eastAsia"/>
                <w:sz w:val="18"/>
              </w:rPr>
            </w:pPr>
            <w:r>
              <w:rPr>
                <w:rFonts w:ascii="宋体" w:eastAsia="宋体" w:hint="eastAsia"/>
                <w:spacing w:val="-8"/>
                <w:sz w:val="18"/>
              </w:rPr>
              <w:t>中国证券报 </w:t>
            </w:r>
            <w:r>
              <w:rPr>
                <w:sz w:val="18"/>
              </w:rPr>
              <w:t>A72 </w:t>
            </w:r>
            <w:r>
              <w:rPr>
                <w:rFonts w:ascii="宋体" w:eastAsia="宋体" w:hint="eastAsia"/>
                <w:spacing w:val="-8"/>
                <w:sz w:val="18"/>
              </w:rPr>
              <w:t>版、上海证券报 </w:t>
            </w:r>
            <w:r>
              <w:rPr>
                <w:sz w:val="18"/>
              </w:rPr>
              <w:t>125</w:t>
            </w:r>
            <w:r>
              <w:rPr>
                <w:spacing w:val="1"/>
                <w:sz w:val="18"/>
              </w:rPr>
              <w:t> </w:t>
            </w:r>
            <w:r>
              <w:rPr>
                <w:rFonts w:ascii="宋体" w:eastAsia="宋体" w:hint="eastAsia"/>
                <w:sz w:val="18"/>
              </w:rPr>
              <w:t>版、</w:t>
            </w:r>
          </w:p>
          <w:p>
            <w:pPr>
              <w:pStyle w:val="TableParagraph"/>
              <w:spacing w:before="82"/>
              <w:ind w:left="115"/>
              <w:rPr>
                <w:rFonts w:ascii="宋体" w:eastAsia="宋体" w:hint="eastAsia"/>
                <w:sz w:val="18"/>
              </w:rPr>
            </w:pPr>
            <w:r>
              <w:rPr>
                <w:rFonts w:ascii="宋体" w:eastAsia="宋体" w:hint="eastAsia"/>
                <w:sz w:val="18"/>
              </w:rPr>
              <w:t>证券时报 </w:t>
            </w:r>
            <w:r>
              <w:rPr>
                <w:sz w:val="18"/>
              </w:rPr>
              <w:t>B075 </w:t>
            </w:r>
            <w:r>
              <w:rPr>
                <w:rFonts w:ascii="宋体" w:eastAsia="宋体" w:hint="eastAsia"/>
                <w:sz w:val="18"/>
              </w:rPr>
              <w:t>版、证券日报 </w:t>
            </w:r>
            <w:r>
              <w:rPr>
                <w:sz w:val="18"/>
              </w:rPr>
              <w:t>D34 </w:t>
            </w:r>
            <w:r>
              <w:rPr>
                <w:rFonts w:ascii="宋体" w:eastAsia="宋体" w:hint="eastAsia"/>
                <w:sz w:val="18"/>
              </w:rPr>
              <w:t>版</w:t>
            </w:r>
          </w:p>
        </w:tc>
        <w:tc>
          <w:tcPr>
            <w:tcW w:w="1559" w:type="dxa"/>
            <w:tcBorders>
              <w:top w:val="single" w:sz="4" w:space="0" w:color="000000"/>
              <w:left w:val="single" w:sz="4" w:space="0" w:color="000000"/>
              <w:bottom w:val="single" w:sz="6" w:space="0" w:color="000000"/>
            </w:tcBorders>
          </w:tcPr>
          <w:p>
            <w:pPr>
              <w:pStyle w:val="TableParagraph"/>
              <w:spacing w:before="40"/>
              <w:ind w:left="94" w:right="55"/>
              <w:jc w:val="center"/>
              <w:rPr>
                <w:sz w:val="18"/>
              </w:rPr>
            </w:pPr>
            <w:r>
              <w:rPr>
                <w:sz w:val="18"/>
              </w:rPr>
              <w:t>2020 </w:t>
            </w:r>
            <w:r>
              <w:rPr>
                <w:rFonts w:ascii="宋体" w:eastAsia="宋体" w:hint="eastAsia"/>
                <w:sz w:val="18"/>
              </w:rPr>
              <w:t>年 </w:t>
            </w:r>
            <w:r>
              <w:rPr>
                <w:sz w:val="18"/>
              </w:rPr>
              <w:t>09 </w:t>
            </w:r>
            <w:r>
              <w:rPr>
                <w:rFonts w:ascii="宋体" w:eastAsia="宋体" w:hint="eastAsia"/>
                <w:sz w:val="18"/>
              </w:rPr>
              <w:t>月 </w:t>
            </w:r>
            <w:r>
              <w:rPr>
                <w:sz w:val="18"/>
              </w:rPr>
              <w:t>02</w:t>
            </w:r>
          </w:p>
          <w:p>
            <w:pPr>
              <w:pStyle w:val="TableParagraph"/>
              <w:spacing w:before="82"/>
              <w:ind w:left="39"/>
              <w:jc w:val="center"/>
              <w:rPr>
                <w:rFonts w:ascii="宋体" w:eastAsia="宋体" w:hint="eastAsia"/>
                <w:sz w:val="18"/>
              </w:rPr>
            </w:pPr>
            <w:r>
              <w:rPr>
                <w:rFonts w:ascii="宋体" w:eastAsia="宋体" w:hint="eastAsia"/>
                <w:sz w:val="18"/>
              </w:rPr>
              <w:t>日</w:t>
            </w:r>
          </w:p>
        </w:tc>
      </w:tr>
      <w:tr>
        <w:trPr>
          <w:trHeight w:val="621" w:hRule="atLeast"/>
        </w:trPr>
        <w:tc>
          <w:tcPr>
            <w:tcW w:w="4253" w:type="dxa"/>
            <w:tcBorders>
              <w:top w:val="single" w:sz="6" w:space="0" w:color="000000"/>
              <w:bottom w:val="single" w:sz="4" w:space="0" w:color="000000"/>
              <w:right w:val="single" w:sz="4" w:space="0" w:color="000000"/>
            </w:tcBorders>
          </w:tcPr>
          <w:p>
            <w:pPr>
              <w:pStyle w:val="TableParagraph"/>
              <w:spacing w:before="36"/>
              <w:ind w:left="105"/>
              <w:rPr>
                <w:rFonts w:ascii="宋体" w:eastAsia="宋体" w:hint="eastAsia"/>
                <w:sz w:val="18"/>
              </w:rPr>
            </w:pPr>
            <w:r>
              <w:rPr>
                <w:rFonts w:ascii="宋体" w:eastAsia="宋体" w:hint="eastAsia"/>
                <w:sz w:val="18"/>
              </w:rPr>
              <w:t>海尔智家股份有限公司关于收到中国证监会受理单</w:t>
            </w:r>
          </w:p>
          <w:p>
            <w:pPr>
              <w:pStyle w:val="TableParagraph"/>
              <w:spacing w:before="81"/>
              <w:ind w:left="105"/>
              <w:rPr>
                <w:rFonts w:ascii="宋体" w:eastAsia="宋体" w:hint="eastAsia"/>
                <w:sz w:val="18"/>
              </w:rPr>
            </w:pPr>
            <w:r>
              <w:rPr>
                <w:rFonts w:ascii="宋体" w:eastAsia="宋体" w:hint="eastAsia"/>
                <w:sz w:val="18"/>
              </w:rPr>
              <w:t>的公告</w:t>
            </w:r>
          </w:p>
        </w:tc>
        <w:tc>
          <w:tcPr>
            <w:tcW w:w="3401" w:type="dxa"/>
            <w:tcBorders>
              <w:top w:val="single" w:sz="6" w:space="0" w:color="000000"/>
              <w:left w:val="single" w:sz="4" w:space="0" w:color="000000"/>
              <w:bottom w:val="single" w:sz="4" w:space="0" w:color="000000"/>
              <w:right w:val="single" w:sz="4" w:space="0" w:color="000000"/>
            </w:tcBorders>
          </w:tcPr>
          <w:p>
            <w:pPr>
              <w:pStyle w:val="TableParagraph"/>
              <w:spacing w:before="36"/>
              <w:ind w:left="115"/>
              <w:rPr>
                <w:rFonts w:ascii="宋体" w:eastAsia="宋体" w:hint="eastAsia"/>
                <w:sz w:val="18"/>
              </w:rPr>
            </w:pPr>
            <w:r>
              <w:rPr>
                <w:rFonts w:ascii="宋体" w:eastAsia="宋体" w:hint="eastAsia"/>
                <w:spacing w:val="-8"/>
                <w:sz w:val="18"/>
              </w:rPr>
              <w:t>中国证券报 </w:t>
            </w:r>
            <w:r>
              <w:rPr>
                <w:sz w:val="18"/>
              </w:rPr>
              <w:t>B004 </w:t>
            </w:r>
            <w:r>
              <w:rPr>
                <w:rFonts w:ascii="宋体" w:eastAsia="宋体" w:hint="eastAsia"/>
                <w:spacing w:val="-7"/>
                <w:sz w:val="18"/>
              </w:rPr>
              <w:t>版、上海证券报 </w:t>
            </w:r>
            <w:r>
              <w:rPr>
                <w:sz w:val="18"/>
              </w:rPr>
              <w:t>97 </w:t>
            </w:r>
            <w:r>
              <w:rPr>
                <w:rFonts w:ascii="宋体" w:eastAsia="宋体" w:hint="eastAsia"/>
                <w:spacing w:val="-8"/>
                <w:sz w:val="18"/>
              </w:rPr>
              <w:t>版、</w:t>
            </w:r>
          </w:p>
          <w:p>
            <w:pPr>
              <w:pStyle w:val="TableParagraph"/>
              <w:spacing w:before="81"/>
              <w:ind w:left="115"/>
              <w:rPr>
                <w:rFonts w:ascii="宋体" w:eastAsia="宋体" w:hint="eastAsia"/>
                <w:sz w:val="18"/>
              </w:rPr>
            </w:pPr>
            <w:r>
              <w:rPr>
                <w:rFonts w:ascii="宋体" w:eastAsia="宋体" w:hint="eastAsia"/>
                <w:sz w:val="18"/>
              </w:rPr>
              <w:t>证券时报 </w:t>
            </w:r>
            <w:r>
              <w:rPr>
                <w:sz w:val="18"/>
              </w:rPr>
              <w:t>B001 </w:t>
            </w:r>
            <w:r>
              <w:rPr>
                <w:rFonts w:ascii="宋体" w:eastAsia="宋体" w:hint="eastAsia"/>
                <w:sz w:val="18"/>
              </w:rPr>
              <w:t>版、证券日报 </w:t>
            </w:r>
            <w:r>
              <w:rPr>
                <w:sz w:val="18"/>
              </w:rPr>
              <w:t>D2 </w:t>
            </w:r>
            <w:r>
              <w:rPr>
                <w:rFonts w:ascii="宋体" w:eastAsia="宋体" w:hint="eastAsia"/>
                <w:sz w:val="18"/>
              </w:rPr>
              <w:t>版</w:t>
            </w:r>
          </w:p>
        </w:tc>
        <w:tc>
          <w:tcPr>
            <w:tcW w:w="1559" w:type="dxa"/>
            <w:tcBorders>
              <w:top w:val="single" w:sz="6" w:space="0" w:color="000000"/>
              <w:left w:val="single" w:sz="4" w:space="0" w:color="000000"/>
              <w:bottom w:val="single" w:sz="4" w:space="0" w:color="000000"/>
            </w:tcBorders>
          </w:tcPr>
          <w:p>
            <w:pPr>
              <w:pStyle w:val="TableParagraph"/>
              <w:spacing w:before="36"/>
              <w:ind w:left="94" w:right="55"/>
              <w:jc w:val="center"/>
              <w:rPr>
                <w:sz w:val="18"/>
              </w:rPr>
            </w:pPr>
            <w:r>
              <w:rPr>
                <w:sz w:val="18"/>
              </w:rPr>
              <w:t>2020 </w:t>
            </w:r>
            <w:r>
              <w:rPr>
                <w:rFonts w:ascii="宋体" w:eastAsia="宋体" w:hint="eastAsia"/>
                <w:sz w:val="18"/>
              </w:rPr>
              <w:t>年 </w:t>
            </w:r>
            <w:r>
              <w:rPr>
                <w:sz w:val="18"/>
              </w:rPr>
              <w:t>09 </w:t>
            </w:r>
            <w:r>
              <w:rPr>
                <w:rFonts w:ascii="宋体" w:eastAsia="宋体" w:hint="eastAsia"/>
                <w:sz w:val="18"/>
              </w:rPr>
              <w:t>月 </w:t>
            </w:r>
            <w:r>
              <w:rPr>
                <w:sz w:val="18"/>
              </w:rPr>
              <w:t>11</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623" w:hRule="atLeast"/>
        </w:trPr>
        <w:tc>
          <w:tcPr>
            <w:tcW w:w="4253" w:type="dxa"/>
            <w:tcBorders>
              <w:top w:val="single" w:sz="4" w:space="0" w:color="000000"/>
              <w:bottom w:val="single" w:sz="4" w:space="0" w:color="000000"/>
              <w:right w:val="single" w:sz="4" w:space="0" w:color="000000"/>
            </w:tcBorders>
          </w:tcPr>
          <w:p>
            <w:pPr>
              <w:pStyle w:val="TableParagraph"/>
              <w:spacing w:before="38"/>
              <w:ind w:left="105"/>
              <w:rPr>
                <w:rFonts w:ascii="宋体" w:eastAsia="宋体" w:hint="eastAsia"/>
                <w:sz w:val="18"/>
              </w:rPr>
            </w:pPr>
            <w:r>
              <w:rPr>
                <w:rFonts w:ascii="宋体" w:eastAsia="宋体" w:hint="eastAsia"/>
                <w:sz w:val="18"/>
              </w:rPr>
              <w:t>海尔智家股份有限公司关于向香港联交所递交上市</w:t>
            </w:r>
          </w:p>
          <w:p>
            <w:pPr>
              <w:pStyle w:val="TableParagraph"/>
              <w:spacing w:before="81"/>
              <w:ind w:left="105"/>
              <w:rPr>
                <w:rFonts w:ascii="宋体" w:eastAsia="宋体" w:hint="eastAsia"/>
                <w:sz w:val="18"/>
              </w:rPr>
            </w:pPr>
            <w:r>
              <w:rPr>
                <w:rFonts w:ascii="宋体" w:eastAsia="宋体" w:hint="eastAsia"/>
                <w:sz w:val="18"/>
              </w:rPr>
              <w:t>申请并刊发申请版本资料集的公告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Pr>
                <w:rFonts w:ascii="宋体" w:eastAsia="宋体" w:hint="eastAsia"/>
                <w:sz w:val="18"/>
              </w:rPr>
            </w:pPr>
            <w:r>
              <w:rPr>
                <w:rFonts w:ascii="宋体" w:eastAsia="宋体" w:hint="eastAsia"/>
                <w:spacing w:val="-8"/>
                <w:sz w:val="18"/>
              </w:rPr>
              <w:t>中国证券报 </w:t>
            </w:r>
            <w:r>
              <w:rPr>
                <w:sz w:val="18"/>
              </w:rPr>
              <w:t>B033 </w:t>
            </w:r>
            <w:r>
              <w:rPr>
                <w:rFonts w:ascii="宋体" w:eastAsia="宋体" w:hint="eastAsia"/>
                <w:spacing w:val="-7"/>
                <w:sz w:val="18"/>
              </w:rPr>
              <w:t>版、上海证券报 </w:t>
            </w:r>
            <w:r>
              <w:rPr>
                <w:sz w:val="18"/>
              </w:rPr>
              <w:t>41 </w:t>
            </w:r>
            <w:r>
              <w:rPr>
                <w:rFonts w:ascii="宋体" w:eastAsia="宋体" w:hint="eastAsia"/>
                <w:spacing w:val="-8"/>
                <w:sz w:val="18"/>
              </w:rPr>
              <w:t>版、</w:t>
            </w:r>
          </w:p>
          <w:p>
            <w:pPr>
              <w:pStyle w:val="TableParagraph"/>
              <w:spacing w:before="81"/>
              <w:ind w:left="115"/>
              <w:rPr>
                <w:rFonts w:ascii="宋体" w:eastAsia="宋体" w:hint="eastAsia"/>
                <w:sz w:val="18"/>
              </w:rPr>
            </w:pPr>
            <w:r>
              <w:rPr>
                <w:rFonts w:ascii="宋体" w:eastAsia="宋体" w:hint="eastAsia"/>
                <w:sz w:val="18"/>
              </w:rPr>
              <w:t>证券时报 </w:t>
            </w:r>
            <w:r>
              <w:rPr>
                <w:sz w:val="18"/>
              </w:rPr>
              <w:t>B048 </w:t>
            </w:r>
            <w:r>
              <w:rPr>
                <w:rFonts w:ascii="宋体" w:eastAsia="宋体" w:hint="eastAsia"/>
                <w:sz w:val="18"/>
              </w:rPr>
              <w:t>版、证券日报 </w:t>
            </w:r>
            <w:r>
              <w:rPr>
                <w:sz w:val="18"/>
              </w:rPr>
              <w:t>C40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38"/>
              <w:ind w:left="94" w:right="55"/>
              <w:jc w:val="center"/>
              <w:rPr>
                <w:sz w:val="18"/>
              </w:rPr>
            </w:pPr>
            <w:r>
              <w:rPr>
                <w:sz w:val="18"/>
              </w:rPr>
              <w:t>2020 </w:t>
            </w:r>
            <w:r>
              <w:rPr>
                <w:rFonts w:ascii="宋体" w:eastAsia="宋体" w:hint="eastAsia"/>
                <w:sz w:val="18"/>
              </w:rPr>
              <w:t>年 </w:t>
            </w:r>
            <w:r>
              <w:rPr>
                <w:sz w:val="18"/>
              </w:rPr>
              <w:t>09 </w:t>
            </w:r>
            <w:r>
              <w:rPr>
                <w:rFonts w:ascii="宋体" w:eastAsia="宋体" w:hint="eastAsia"/>
                <w:sz w:val="18"/>
              </w:rPr>
              <w:t>月 </w:t>
            </w:r>
            <w:r>
              <w:rPr>
                <w:sz w:val="18"/>
              </w:rPr>
              <w:t>12</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623" w:hRule="atLeast"/>
        </w:trPr>
        <w:tc>
          <w:tcPr>
            <w:tcW w:w="4253" w:type="dxa"/>
            <w:tcBorders>
              <w:top w:val="single" w:sz="4" w:space="0" w:color="000000"/>
              <w:bottom w:val="single" w:sz="4" w:space="0" w:color="000000"/>
              <w:right w:val="single" w:sz="4" w:space="0" w:color="000000"/>
            </w:tcBorders>
          </w:tcPr>
          <w:p>
            <w:pPr>
              <w:pStyle w:val="TableParagraph"/>
              <w:spacing w:before="38"/>
              <w:ind w:left="105"/>
              <w:rPr>
                <w:rFonts w:ascii="宋体" w:eastAsia="宋体" w:hint="eastAsia"/>
                <w:sz w:val="18"/>
              </w:rPr>
            </w:pPr>
            <w:r>
              <w:rPr>
                <w:rFonts w:ascii="宋体" w:eastAsia="宋体" w:hint="eastAsia"/>
                <w:sz w:val="18"/>
              </w:rPr>
              <w:t>海尔智家股份有限公司关于参加投资者网上集体接</w:t>
            </w:r>
          </w:p>
          <w:p>
            <w:pPr>
              <w:pStyle w:val="TableParagraph"/>
              <w:spacing w:before="81"/>
              <w:ind w:left="105"/>
              <w:rPr>
                <w:rFonts w:ascii="宋体" w:eastAsia="宋体" w:hint="eastAsia"/>
                <w:sz w:val="18"/>
              </w:rPr>
            </w:pPr>
            <w:r>
              <w:rPr>
                <w:rFonts w:ascii="宋体" w:eastAsia="宋体" w:hint="eastAsia"/>
                <w:sz w:val="18"/>
              </w:rPr>
              <w:t>待日的公告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Pr>
                <w:rFonts w:ascii="宋体" w:eastAsia="宋体" w:hint="eastAsia"/>
                <w:sz w:val="18"/>
              </w:rPr>
            </w:pPr>
            <w:r>
              <w:rPr>
                <w:rFonts w:ascii="宋体" w:eastAsia="宋体" w:hint="eastAsia"/>
                <w:spacing w:val="-8"/>
                <w:sz w:val="18"/>
              </w:rPr>
              <w:t>中国证券报 </w:t>
            </w:r>
            <w:r>
              <w:rPr>
                <w:sz w:val="18"/>
              </w:rPr>
              <w:t>B004 </w:t>
            </w:r>
            <w:r>
              <w:rPr>
                <w:rFonts w:ascii="宋体" w:eastAsia="宋体" w:hint="eastAsia"/>
                <w:spacing w:val="-7"/>
                <w:sz w:val="18"/>
              </w:rPr>
              <w:t>版、上海证券报 </w:t>
            </w:r>
            <w:r>
              <w:rPr>
                <w:sz w:val="18"/>
              </w:rPr>
              <w:t>65 </w:t>
            </w:r>
            <w:r>
              <w:rPr>
                <w:rFonts w:ascii="宋体" w:eastAsia="宋体" w:hint="eastAsia"/>
                <w:spacing w:val="-8"/>
                <w:sz w:val="18"/>
              </w:rPr>
              <w:t>版、</w:t>
            </w:r>
          </w:p>
          <w:p>
            <w:pPr>
              <w:pStyle w:val="TableParagraph"/>
              <w:spacing w:before="81"/>
              <w:ind w:left="115"/>
              <w:rPr>
                <w:rFonts w:ascii="宋体" w:eastAsia="宋体" w:hint="eastAsia"/>
                <w:sz w:val="18"/>
              </w:rPr>
            </w:pPr>
            <w:r>
              <w:rPr>
                <w:rFonts w:ascii="宋体" w:eastAsia="宋体" w:hint="eastAsia"/>
                <w:sz w:val="18"/>
              </w:rPr>
              <w:t>证券时报 </w:t>
            </w:r>
            <w:r>
              <w:rPr>
                <w:sz w:val="18"/>
              </w:rPr>
              <w:t>B050 </w:t>
            </w:r>
            <w:r>
              <w:rPr>
                <w:rFonts w:ascii="宋体" w:eastAsia="宋体" w:hint="eastAsia"/>
                <w:sz w:val="18"/>
              </w:rPr>
              <w:t>版、证券日报 </w:t>
            </w:r>
            <w:r>
              <w:rPr>
                <w:sz w:val="18"/>
              </w:rPr>
              <w:t>D46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38"/>
              <w:ind w:left="94" w:right="55"/>
              <w:jc w:val="center"/>
              <w:rPr>
                <w:sz w:val="18"/>
              </w:rPr>
            </w:pPr>
            <w:r>
              <w:rPr>
                <w:sz w:val="18"/>
              </w:rPr>
              <w:t>2020 </w:t>
            </w:r>
            <w:r>
              <w:rPr>
                <w:rFonts w:ascii="宋体" w:eastAsia="宋体" w:hint="eastAsia"/>
                <w:sz w:val="18"/>
              </w:rPr>
              <w:t>年 </w:t>
            </w:r>
            <w:r>
              <w:rPr>
                <w:sz w:val="18"/>
              </w:rPr>
              <w:t>09 </w:t>
            </w:r>
            <w:r>
              <w:rPr>
                <w:rFonts w:ascii="宋体" w:eastAsia="宋体" w:hint="eastAsia"/>
                <w:sz w:val="18"/>
              </w:rPr>
              <w:t>月 </w:t>
            </w:r>
            <w:r>
              <w:rPr>
                <w:sz w:val="18"/>
              </w:rPr>
              <w:t>22</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623" w:hRule="atLeast"/>
        </w:trPr>
        <w:tc>
          <w:tcPr>
            <w:tcW w:w="4253" w:type="dxa"/>
            <w:tcBorders>
              <w:top w:val="single" w:sz="4" w:space="0" w:color="000000"/>
              <w:bottom w:val="single" w:sz="4" w:space="0" w:color="000000"/>
              <w:right w:val="single" w:sz="4" w:space="0" w:color="000000"/>
            </w:tcBorders>
          </w:tcPr>
          <w:p>
            <w:pPr>
              <w:pStyle w:val="TableParagraph"/>
              <w:spacing w:before="38"/>
              <w:ind w:left="105"/>
              <w:rPr>
                <w:rFonts w:ascii="宋体" w:eastAsia="宋体" w:hint="eastAsia"/>
                <w:sz w:val="18"/>
              </w:rPr>
            </w:pPr>
            <w:r>
              <w:rPr>
                <w:rFonts w:ascii="宋体" w:eastAsia="宋体" w:hint="eastAsia"/>
                <w:sz w:val="18"/>
              </w:rPr>
              <w:t>海尔智家关于公司与海尔电器集团有限公司发布联</w:t>
            </w:r>
          </w:p>
          <w:p>
            <w:pPr>
              <w:pStyle w:val="TableParagraph"/>
              <w:spacing w:before="81"/>
              <w:ind w:left="105"/>
              <w:rPr>
                <w:rFonts w:ascii="宋体" w:eastAsia="宋体" w:hint="eastAsia"/>
                <w:sz w:val="18"/>
              </w:rPr>
            </w:pPr>
            <w:r>
              <w:rPr>
                <w:rFonts w:ascii="宋体" w:eastAsia="宋体" w:hint="eastAsia"/>
                <w:sz w:val="18"/>
              </w:rPr>
              <w:t>合公告的提示性公告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Pr>
                <w:rFonts w:ascii="宋体" w:eastAsia="宋体" w:hint="eastAsia"/>
                <w:sz w:val="18"/>
              </w:rPr>
            </w:pPr>
            <w:r>
              <w:rPr>
                <w:rFonts w:ascii="宋体" w:eastAsia="宋体" w:hint="eastAsia"/>
                <w:spacing w:val="-8"/>
                <w:sz w:val="18"/>
              </w:rPr>
              <w:t>中国证券报 </w:t>
            </w:r>
            <w:r>
              <w:rPr>
                <w:sz w:val="18"/>
              </w:rPr>
              <w:t>B005 </w:t>
            </w:r>
            <w:r>
              <w:rPr>
                <w:rFonts w:ascii="宋体" w:eastAsia="宋体" w:hint="eastAsia"/>
                <w:spacing w:val="-7"/>
                <w:sz w:val="18"/>
              </w:rPr>
              <w:t>版、上海证券报 </w:t>
            </w:r>
            <w:r>
              <w:rPr>
                <w:sz w:val="18"/>
              </w:rPr>
              <w:t>65 </w:t>
            </w:r>
            <w:r>
              <w:rPr>
                <w:rFonts w:ascii="宋体" w:eastAsia="宋体" w:hint="eastAsia"/>
                <w:spacing w:val="-8"/>
                <w:sz w:val="18"/>
              </w:rPr>
              <w:t>版、</w:t>
            </w:r>
          </w:p>
          <w:p>
            <w:pPr>
              <w:pStyle w:val="TableParagraph"/>
              <w:spacing w:before="81"/>
              <w:ind w:left="115"/>
              <w:rPr>
                <w:rFonts w:ascii="宋体" w:eastAsia="宋体" w:hint="eastAsia"/>
                <w:sz w:val="18"/>
              </w:rPr>
            </w:pPr>
            <w:r>
              <w:rPr>
                <w:rFonts w:ascii="宋体" w:eastAsia="宋体" w:hint="eastAsia"/>
                <w:sz w:val="18"/>
              </w:rPr>
              <w:t>证券时报 </w:t>
            </w:r>
            <w:r>
              <w:rPr>
                <w:sz w:val="18"/>
              </w:rPr>
              <w:t>A027 </w:t>
            </w:r>
            <w:r>
              <w:rPr>
                <w:rFonts w:ascii="宋体" w:eastAsia="宋体" w:hint="eastAsia"/>
                <w:sz w:val="18"/>
              </w:rPr>
              <w:t>版、证券日报</w:t>
            </w:r>
            <w:r>
              <w:rPr>
                <w:sz w:val="18"/>
              </w:rPr>
              <w:t>D44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38"/>
              <w:ind w:left="94" w:right="55"/>
              <w:jc w:val="center"/>
              <w:rPr>
                <w:sz w:val="18"/>
              </w:rPr>
            </w:pPr>
            <w:r>
              <w:rPr>
                <w:sz w:val="18"/>
              </w:rPr>
              <w:t>2020 </w:t>
            </w:r>
            <w:r>
              <w:rPr>
                <w:rFonts w:ascii="宋体" w:eastAsia="宋体" w:hint="eastAsia"/>
                <w:sz w:val="18"/>
              </w:rPr>
              <w:t>年 </w:t>
            </w:r>
            <w:r>
              <w:rPr>
                <w:sz w:val="18"/>
              </w:rPr>
              <w:t>10 </w:t>
            </w:r>
            <w:r>
              <w:rPr>
                <w:rFonts w:ascii="宋体" w:eastAsia="宋体" w:hint="eastAsia"/>
                <w:sz w:val="18"/>
              </w:rPr>
              <w:t>月 </w:t>
            </w:r>
            <w:r>
              <w:rPr>
                <w:sz w:val="18"/>
              </w:rPr>
              <w:t>13</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623" w:hRule="atLeast"/>
        </w:trPr>
        <w:tc>
          <w:tcPr>
            <w:tcW w:w="4253" w:type="dxa"/>
            <w:tcBorders>
              <w:top w:val="single" w:sz="4" w:space="0" w:color="000000"/>
              <w:bottom w:val="single" w:sz="4" w:space="0" w:color="000000"/>
              <w:right w:val="single" w:sz="4" w:space="0" w:color="000000"/>
            </w:tcBorders>
          </w:tcPr>
          <w:p>
            <w:pPr>
              <w:pStyle w:val="TableParagraph"/>
              <w:spacing w:before="10"/>
              <w:rPr>
                <w:sz w:val="16"/>
              </w:rPr>
            </w:pPr>
          </w:p>
          <w:p>
            <w:pPr>
              <w:pStyle w:val="TableParagraph"/>
              <w:ind w:left="105"/>
              <w:rPr>
                <w:rFonts w:ascii="宋体" w:eastAsia="宋体" w:hint="eastAsia"/>
                <w:sz w:val="18"/>
              </w:rPr>
            </w:pPr>
            <w:r>
              <w:rPr>
                <w:rFonts w:ascii="宋体" w:eastAsia="宋体" w:hint="eastAsia"/>
                <w:sz w:val="18"/>
              </w:rPr>
              <w:t>海尔智家股份有限公司 </w:t>
            </w:r>
            <w:r>
              <w:rPr>
                <w:sz w:val="18"/>
              </w:rPr>
              <w:t>2020 </w:t>
            </w:r>
            <w:r>
              <w:rPr>
                <w:rFonts w:ascii="宋体" w:eastAsia="宋体" w:hint="eastAsia"/>
                <w:sz w:val="18"/>
              </w:rPr>
              <w:t>年第三季度报告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ight="-15"/>
              <w:rPr>
                <w:rFonts w:ascii="宋体" w:eastAsia="宋体" w:hint="eastAsia"/>
                <w:sz w:val="18"/>
              </w:rPr>
            </w:pPr>
            <w:r>
              <w:rPr>
                <w:rFonts w:ascii="宋体" w:eastAsia="宋体" w:hint="eastAsia"/>
                <w:spacing w:val="-8"/>
                <w:sz w:val="18"/>
              </w:rPr>
              <w:t>中国证券报 </w:t>
            </w:r>
            <w:r>
              <w:rPr>
                <w:sz w:val="18"/>
              </w:rPr>
              <w:t>B186</w:t>
            </w:r>
            <w:r>
              <w:rPr>
                <w:spacing w:val="1"/>
                <w:sz w:val="18"/>
              </w:rPr>
              <w:t> </w:t>
            </w:r>
            <w:r>
              <w:rPr>
                <w:rFonts w:ascii="宋体" w:eastAsia="宋体" w:hint="eastAsia"/>
                <w:spacing w:val="-18"/>
                <w:sz w:val="18"/>
              </w:rPr>
              <w:t>版、上海证券报 </w:t>
            </w:r>
            <w:r>
              <w:rPr>
                <w:sz w:val="18"/>
              </w:rPr>
              <w:t>132</w:t>
            </w:r>
            <w:r>
              <w:rPr>
                <w:spacing w:val="1"/>
                <w:sz w:val="18"/>
              </w:rPr>
              <w:t> </w:t>
            </w:r>
            <w:r>
              <w:rPr>
                <w:rFonts w:ascii="宋体" w:eastAsia="宋体" w:hint="eastAsia"/>
                <w:sz w:val="18"/>
              </w:rPr>
              <w:t>版、</w:t>
            </w:r>
          </w:p>
          <w:p>
            <w:pPr>
              <w:pStyle w:val="TableParagraph"/>
              <w:spacing w:before="81"/>
              <w:ind w:left="115"/>
              <w:rPr>
                <w:rFonts w:ascii="宋体" w:eastAsia="宋体" w:hint="eastAsia"/>
                <w:sz w:val="18"/>
              </w:rPr>
            </w:pPr>
            <w:r>
              <w:rPr>
                <w:rFonts w:ascii="宋体" w:eastAsia="宋体" w:hint="eastAsia"/>
                <w:sz w:val="18"/>
              </w:rPr>
              <w:t>证券时报 </w:t>
            </w:r>
            <w:r>
              <w:rPr>
                <w:sz w:val="18"/>
              </w:rPr>
              <w:t>B054 </w:t>
            </w:r>
            <w:r>
              <w:rPr>
                <w:rFonts w:ascii="宋体" w:eastAsia="宋体" w:hint="eastAsia"/>
                <w:sz w:val="18"/>
              </w:rPr>
              <w:t>版、证券日报 </w:t>
            </w:r>
            <w:r>
              <w:rPr>
                <w:sz w:val="18"/>
              </w:rPr>
              <w:t>D14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38"/>
              <w:ind w:left="94" w:right="55"/>
              <w:jc w:val="center"/>
              <w:rPr>
                <w:sz w:val="18"/>
              </w:rPr>
            </w:pPr>
            <w:r>
              <w:rPr>
                <w:sz w:val="18"/>
              </w:rPr>
              <w:t>2020 </w:t>
            </w:r>
            <w:r>
              <w:rPr>
                <w:rFonts w:ascii="宋体" w:eastAsia="宋体" w:hint="eastAsia"/>
                <w:sz w:val="18"/>
              </w:rPr>
              <w:t>年 </w:t>
            </w:r>
            <w:r>
              <w:rPr>
                <w:sz w:val="18"/>
              </w:rPr>
              <w:t>10 </w:t>
            </w:r>
            <w:r>
              <w:rPr>
                <w:rFonts w:ascii="宋体" w:eastAsia="宋体" w:hint="eastAsia"/>
                <w:sz w:val="18"/>
              </w:rPr>
              <w:t>月 </w:t>
            </w:r>
            <w:r>
              <w:rPr>
                <w:sz w:val="18"/>
              </w:rPr>
              <w:t>30</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626" w:hRule="atLeast"/>
        </w:trPr>
        <w:tc>
          <w:tcPr>
            <w:tcW w:w="4253" w:type="dxa"/>
            <w:tcBorders>
              <w:top w:val="single" w:sz="4" w:space="0" w:color="000000"/>
              <w:bottom w:val="single" w:sz="4" w:space="0" w:color="000000"/>
              <w:right w:val="single" w:sz="4" w:space="0" w:color="000000"/>
            </w:tcBorders>
          </w:tcPr>
          <w:p>
            <w:pPr>
              <w:pStyle w:val="TableParagraph"/>
              <w:spacing w:before="40"/>
              <w:ind w:left="105"/>
              <w:rPr>
                <w:rFonts w:ascii="宋体" w:eastAsia="宋体" w:hint="eastAsia"/>
                <w:sz w:val="18"/>
              </w:rPr>
            </w:pPr>
            <w:r>
              <w:rPr>
                <w:rFonts w:ascii="宋体" w:eastAsia="宋体" w:hint="eastAsia"/>
                <w:sz w:val="18"/>
              </w:rPr>
              <w:t>海尔智家股份有限公司第十届监事会第十二次会议</w:t>
            </w:r>
          </w:p>
          <w:p>
            <w:pPr>
              <w:pStyle w:val="TableParagraph"/>
              <w:spacing w:before="82"/>
              <w:ind w:left="105"/>
              <w:rPr>
                <w:rFonts w:ascii="宋体" w:eastAsia="宋体" w:hint="eastAsia"/>
                <w:sz w:val="18"/>
              </w:rPr>
            </w:pPr>
            <w:r>
              <w:rPr>
                <w:rFonts w:ascii="宋体" w:eastAsia="宋体" w:hint="eastAsia"/>
                <w:sz w:val="18"/>
              </w:rPr>
              <w:t>决议公告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40"/>
              <w:ind w:left="115" w:right="-15"/>
              <w:rPr>
                <w:rFonts w:ascii="宋体" w:eastAsia="宋体" w:hint="eastAsia"/>
                <w:sz w:val="18"/>
              </w:rPr>
            </w:pPr>
            <w:r>
              <w:rPr>
                <w:rFonts w:ascii="宋体" w:eastAsia="宋体" w:hint="eastAsia"/>
                <w:spacing w:val="-8"/>
                <w:sz w:val="18"/>
              </w:rPr>
              <w:t>中国证券报 </w:t>
            </w:r>
            <w:r>
              <w:rPr>
                <w:sz w:val="18"/>
              </w:rPr>
              <w:t>B186</w:t>
            </w:r>
            <w:r>
              <w:rPr>
                <w:spacing w:val="1"/>
                <w:sz w:val="18"/>
              </w:rPr>
              <w:t> </w:t>
            </w:r>
            <w:r>
              <w:rPr>
                <w:rFonts w:ascii="宋体" w:eastAsia="宋体" w:hint="eastAsia"/>
                <w:spacing w:val="-18"/>
                <w:sz w:val="18"/>
              </w:rPr>
              <w:t>版、上海证券报 </w:t>
            </w:r>
            <w:r>
              <w:rPr>
                <w:sz w:val="18"/>
              </w:rPr>
              <w:t>132</w:t>
            </w:r>
            <w:r>
              <w:rPr>
                <w:spacing w:val="1"/>
                <w:sz w:val="18"/>
              </w:rPr>
              <w:t> </w:t>
            </w:r>
            <w:r>
              <w:rPr>
                <w:rFonts w:ascii="宋体" w:eastAsia="宋体" w:hint="eastAsia"/>
                <w:sz w:val="18"/>
              </w:rPr>
              <w:t>版、</w:t>
            </w:r>
          </w:p>
          <w:p>
            <w:pPr>
              <w:pStyle w:val="TableParagraph"/>
              <w:spacing w:before="82"/>
              <w:ind w:left="115"/>
              <w:rPr>
                <w:rFonts w:ascii="宋体" w:eastAsia="宋体" w:hint="eastAsia"/>
                <w:sz w:val="18"/>
              </w:rPr>
            </w:pPr>
            <w:r>
              <w:rPr>
                <w:rFonts w:ascii="宋体" w:eastAsia="宋体" w:hint="eastAsia"/>
                <w:sz w:val="18"/>
              </w:rPr>
              <w:t>证券时报 </w:t>
            </w:r>
            <w:r>
              <w:rPr>
                <w:sz w:val="18"/>
              </w:rPr>
              <w:t>B054 </w:t>
            </w:r>
            <w:r>
              <w:rPr>
                <w:rFonts w:ascii="宋体" w:eastAsia="宋体" w:hint="eastAsia"/>
                <w:sz w:val="18"/>
              </w:rPr>
              <w:t>版、证券日报 </w:t>
            </w:r>
            <w:r>
              <w:rPr>
                <w:sz w:val="18"/>
              </w:rPr>
              <w:t>D14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40"/>
              <w:ind w:left="94" w:right="55"/>
              <w:jc w:val="center"/>
              <w:rPr>
                <w:sz w:val="18"/>
              </w:rPr>
            </w:pPr>
            <w:r>
              <w:rPr>
                <w:sz w:val="18"/>
              </w:rPr>
              <w:t>2020 </w:t>
            </w:r>
            <w:r>
              <w:rPr>
                <w:rFonts w:ascii="宋体" w:eastAsia="宋体" w:hint="eastAsia"/>
                <w:sz w:val="18"/>
              </w:rPr>
              <w:t>年 </w:t>
            </w:r>
            <w:r>
              <w:rPr>
                <w:sz w:val="18"/>
              </w:rPr>
              <w:t>10 </w:t>
            </w:r>
            <w:r>
              <w:rPr>
                <w:rFonts w:ascii="宋体" w:eastAsia="宋体" w:hint="eastAsia"/>
                <w:sz w:val="18"/>
              </w:rPr>
              <w:t>月 </w:t>
            </w:r>
            <w:r>
              <w:rPr>
                <w:sz w:val="18"/>
              </w:rPr>
              <w:t>30</w:t>
            </w:r>
          </w:p>
          <w:p>
            <w:pPr>
              <w:pStyle w:val="TableParagraph"/>
              <w:spacing w:before="82"/>
              <w:ind w:left="39"/>
              <w:jc w:val="center"/>
              <w:rPr>
                <w:rFonts w:ascii="宋体" w:eastAsia="宋体" w:hint="eastAsia"/>
                <w:sz w:val="18"/>
              </w:rPr>
            </w:pPr>
            <w:r>
              <w:rPr>
                <w:rFonts w:ascii="宋体" w:eastAsia="宋体" w:hint="eastAsia"/>
                <w:sz w:val="18"/>
              </w:rPr>
              <w:t>日</w:t>
            </w:r>
          </w:p>
        </w:tc>
      </w:tr>
      <w:tr>
        <w:trPr>
          <w:trHeight w:val="623" w:hRule="atLeast"/>
        </w:trPr>
        <w:tc>
          <w:tcPr>
            <w:tcW w:w="4253" w:type="dxa"/>
            <w:tcBorders>
              <w:top w:val="single" w:sz="4" w:space="0" w:color="000000"/>
              <w:bottom w:val="single" w:sz="4" w:space="0" w:color="000000"/>
              <w:right w:val="single" w:sz="4" w:space="0" w:color="000000"/>
            </w:tcBorders>
          </w:tcPr>
          <w:p>
            <w:pPr>
              <w:pStyle w:val="TableParagraph"/>
              <w:spacing w:before="38"/>
              <w:ind w:left="105"/>
              <w:rPr>
                <w:rFonts w:ascii="宋体" w:eastAsia="宋体" w:hint="eastAsia"/>
                <w:sz w:val="18"/>
              </w:rPr>
            </w:pPr>
            <w:r>
              <w:rPr>
                <w:rFonts w:ascii="宋体" w:eastAsia="宋体" w:hint="eastAsia"/>
                <w:sz w:val="18"/>
              </w:rPr>
              <w:t>海尔智家股份有限公司关于收到中国证监会批复的</w:t>
            </w:r>
          </w:p>
          <w:p>
            <w:pPr>
              <w:pStyle w:val="TableParagraph"/>
              <w:spacing w:before="81"/>
              <w:ind w:left="105"/>
              <w:rPr>
                <w:rFonts w:ascii="宋体" w:eastAsia="宋体" w:hint="eastAsia"/>
                <w:sz w:val="18"/>
              </w:rPr>
            </w:pPr>
            <w:r>
              <w:rPr>
                <w:rFonts w:ascii="宋体" w:eastAsia="宋体" w:hint="eastAsia"/>
                <w:sz w:val="18"/>
              </w:rPr>
              <w:t>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ight="-15"/>
              <w:rPr>
                <w:rFonts w:ascii="宋体" w:eastAsia="宋体" w:hint="eastAsia"/>
                <w:sz w:val="18"/>
              </w:rPr>
            </w:pPr>
            <w:r>
              <w:rPr>
                <w:rFonts w:ascii="宋体" w:eastAsia="宋体" w:hint="eastAsia"/>
                <w:spacing w:val="-8"/>
                <w:sz w:val="18"/>
              </w:rPr>
              <w:t>中国证券报 </w:t>
            </w:r>
            <w:r>
              <w:rPr>
                <w:sz w:val="18"/>
              </w:rPr>
              <w:t>B026</w:t>
            </w:r>
            <w:r>
              <w:rPr>
                <w:spacing w:val="1"/>
                <w:sz w:val="18"/>
              </w:rPr>
              <w:t> </w:t>
            </w:r>
            <w:r>
              <w:rPr>
                <w:rFonts w:ascii="宋体" w:eastAsia="宋体" w:hint="eastAsia"/>
                <w:spacing w:val="-18"/>
                <w:sz w:val="18"/>
              </w:rPr>
              <w:t>版、上海证券报 </w:t>
            </w:r>
            <w:r>
              <w:rPr>
                <w:sz w:val="18"/>
              </w:rPr>
              <w:t>196</w:t>
            </w:r>
            <w:r>
              <w:rPr>
                <w:spacing w:val="1"/>
                <w:sz w:val="18"/>
              </w:rPr>
              <w:t> </w:t>
            </w:r>
            <w:r>
              <w:rPr>
                <w:rFonts w:ascii="宋体" w:eastAsia="宋体" w:hint="eastAsia"/>
                <w:sz w:val="18"/>
              </w:rPr>
              <w:t>版、</w:t>
            </w:r>
          </w:p>
          <w:p>
            <w:pPr>
              <w:pStyle w:val="TableParagraph"/>
              <w:spacing w:before="81"/>
              <w:ind w:left="115"/>
              <w:rPr>
                <w:rFonts w:ascii="宋体" w:eastAsia="宋体" w:hint="eastAsia"/>
                <w:sz w:val="18"/>
              </w:rPr>
            </w:pPr>
            <w:r>
              <w:rPr>
                <w:rFonts w:ascii="宋体" w:eastAsia="宋体" w:hint="eastAsia"/>
                <w:sz w:val="18"/>
              </w:rPr>
              <w:t>证券时报 </w:t>
            </w:r>
            <w:r>
              <w:rPr>
                <w:sz w:val="18"/>
              </w:rPr>
              <w:t>B243 </w:t>
            </w:r>
            <w:r>
              <w:rPr>
                <w:rFonts w:ascii="宋体" w:eastAsia="宋体" w:hint="eastAsia"/>
                <w:sz w:val="18"/>
              </w:rPr>
              <w:t>版、证券日报 </w:t>
            </w:r>
            <w:r>
              <w:rPr>
                <w:sz w:val="18"/>
              </w:rPr>
              <w:t>C49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38"/>
              <w:ind w:left="94" w:right="55"/>
              <w:jc w:val="center"/>
              <w:rPr>
                <w:sz w:val="18"/>
              </w:rPr>
            </w:pPr>
            <w:r>
              <w:rPr>
                <w:sz w:val="18"/>
              </w:rPr>
              <w:t>2020 </w:t>
            </w:r>
            <w:r>
              <w:rPr>
                <w:rFonts w:ascii="宋体" w:eastAsia="宋体" w:hint="eastAsia"/>
                <w:sz w:val="18"/>
              </w:rPr>
              <w:t>年 </w:t>
            </w:r>
            <w:r>
              <w:rPr>
                <w:sz w:val="18"/>
              </w:rPr>
              <w:t>10 </w:t>
            </w:r>
            <w:r>
              <w:rPr>
                <w:rFonts w:ascii="宋体" w:eastAsia="宋体" w:hint="eastAsia"/>
                <w:sz w:val="18"/>
              </w:rPr>
              <w:t>月 </w:t>
            </w:r>
            <w:r>
              <w:rPr>
                <w:sz w:val="18"/>
              </w:rPr>
              <w:t>31</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623" w:hRule="atLeast"/>
        </w:trPr>
        <w:tc>
          <w:tcPr>
            <w:tcW w:w="4253" w:type="dxa"/>
            <w:tcBorders>
              <w:top w:val="single" w:sz="4" w:space="0" w:color="000000"/>
              <w:bottom w:val="single" w:sz="4" w:space="0" w:color="000000"/>
              <w:right w:val="single" w:sz="4" w:space="0" w:color="000000"/>
            </w:tcBorders>
          </w:tcPr>
          <w:p>
            <w:pPr>
              <w:pStyle w:val="TableParagraph"/>
              <w:spacing w:before="10"/>
              <w:rPr>
                <w:sz w:val="16"/>
              </w:rPr>
            </w:pPr>
          </w:p>
          <w:p>
            <w:pPr>
              <w:pStyle w:val="TableParagraph"/>
              <w:ind w:left="105"/>
              <w:rPr>
                <w:rFonts w:ascii="宋体" w:eastAsia="宋体" w:hint="eastAsia"/>
                <w:sz w:val="18"/>
              </w:rPr>
            </w:pPr>
            <w:r>
              <w:rPr>
                <w:rFonts w:ascii="宋体" w:eastAsia="宋体" w:hint="eastAsia"/>
                <w:sz w:val="18"/>
              </w:rPr>
              <w:t>海尔智家股份有限公司关于董事辞职的公告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Pr>
                <w:rFonts w:ascii="宋体" w:eastAsia="宋体" w:hint="eastAsia"/>
                <w:sz w:val="18"/>
              </w:rPr>
            </w:pPr>
            <w:r>
              <w:rPr>
                <w:rFonts w:ascii="宋体" w:eastAsia="宋体" w:hint="eastAsia"/>
                <w:spacing w:val="-8"/>
                <w:sz w:val="18"/>
              </w:rPr>
              <w:t>中国证券报 </w:t>
            </w:r>
            <w:r>
              <w:rPr>
                <w:sz w:val="18"/>
              </w:rPr>
              <w:t>B034 </w:t>
            </w:r>
            <w:r>
              <w:rPr>
                <w:rFonts w:ascii="宋体" w:eastAsia="宋体" w:hint="eastAsia"/>
                <w:spacing w:val="-7"/>
                <w:sz w:val="18"/>
              </w:rPr>
              <w:t>版、上海证券报 </w:t>
            </w:r>
            <w:r>
              <w:rPr>
                <w:sz w:val="18"/>
              </w:rPr>
              <w:t>44 </w:t>
            </w:r>
            <w:r>
              <w:rPr>
                <w:rFonts w:ascii="宋体" w:eastAsia="宋体" w:hint="eastAsia"/>
                <w:spacing w:val="-8"/>
                <w:sz w:val="18"/>
              </w:rPr>
              <w:t>版、</w:t>
            </w:r>
          </w:p>
          <w:p>
            <w:pPr>
              <w:pStyle w:val="TableParagraph"/>
              <w:spacing w:before="81"/>
              <w:ind w:left="115"/>
              <w:rPr>
                <w:rFonts w:ascii="宋体" w:eastAsia="宋体" w:hint="eastAsia"/>
                <w:sz w:val="18"/>
              </w:rPr>
            </w:pPr>
            <w:r>
              <w:rPr>
                <w:rFonts w:ascii="宋体" w:eastAsia="宋体" w:hint="eastAsia"/>
                <w:sz w:val="18"/>
              </w:rPr>
              <w:t>证券时报 </w:t>
            </w:r>
            <w:r>
              <w:rPr>
                <w:sz w:val="18"/>
              </w:rPr>
              <w:t>A008 </w:t>
            </w:r>
            <w:r>
              <w:rPr>
                <w:rFonts w:ascii="宋体" w:eastAsia="宋体" w:hint="eastAsia"/>
                <w:sz w:val="18"/>
              </w:rPr>
              <w:t>版、证券日报</w:t>
            </w:r>
            <w:r>
              <w:rPr>
                <w:sz w:val="18"/>
              </w:rPr>
              <w:t>D12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38"/>
              <w:ind w:left="94" w:right="55"/>
              <w:jc w:val="center"/>
              <w:rPr>
                <w:sz w:val="18"/>
              </w:rPr>
            </w:pPr>
            <w:r>
              <w:rPr>
                <w:sz w:val="18"/>
              </w:rPr>
              <w:t>2020 </w:t>
            </w:r>
            <w:r>
              <w:rPr>
                <w:rFonts w:ascii="宋体" w:eastAsia="宋体" w:hint="eastAsia"/>
                <w:sz w:val="18"/>
              </w:rPr>
              <w:t>年 </w:t>
            </w:r>
            <w:r>
              <w:rPr>
                <w:sz w:val="18"/>
              </w:rPr>
              <w:t>11 </w:t>
            </w:r>
            <w:r>
              <w:rPr>
                <w:rFonts w:ascii="宋体" w:eastAsia="宋体" w:hint="eastAsia"/>
                <w:sz w:val="18"/>
              </w:rPr>
              <w:t>月 </w:t>
            </w:r>
            <w:r>
              <w:rPr>
                <w:sz w:val="18"/>
              </w:rPr>
              <w:t>04</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623" w:hRule="atLeast"/>
        </w:trPr>
        <w:tc>
          <w:tcPr>
            <w:tcW w:w="4253" w:type="dxa"/>
            <w:tcBorders>
              <w:top w:val="single" w:sz="4" w:space="0" w:color="000000"/>
              <w:bottom w:val="single" w:sz="4" w:space="0" w:color="000000"/>
              <w:right w:val="single" w:sz="4" w:space="0" w:color="000000"/>
            </w:tcBorders>
          </w:tcPr>
          <w:p>
            <w:pPr>
              <w:pStyle w:val="TableParagraph"/>
              <w:spacing w:before="38"/>
              <w:ind w:left="105"/>
              <w:rPr>
                <w:rFonts w:ascii="宋体" w:eastAsia="宋体" w:hint="eastAsia"/>
                <w:sz w:val="18"/>
              </w:rPr>
            </w:pPr>
            <w:r>
              <w:rPr>
                <w:rFonts w:ascii="宋体" w:eastAsia="宋体" w:hint="eastAsia"/>
                <w:sz w:val="18"/>
              </w:rPr>
              <w:t>海尔智家股份有限公司第十届董事会第十四次会议</w:t>
            </w:r>
          </w:p>
          <w:p>
            <w:pPr>
              <w:pStyle w:val="TableParagraph"/>
              <w:spacing w:before="81"/>
              <w:ind w:left="105"/>
              <w:rPr>
                <w:rFonts w:ascii="宋体" w:eastAsia="宋体" w:hint="eastAsia"/>
                <w:sz w:val="18"/>
              </w:rPr>
            </w:pPr>
            <w:r>
              <w:rPr>
                <w:rFonts w:ascii="宋体" w:eastAsia="宋体" w:hint="eastAsia"/>
                <w:sz w:val="18"/>
              </w:rPr>
              <w:t>决议公告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Pr>
                <w:rFonts w:ascii="宋体" w:eastAsia="宋体" w:hint="eastAsia"/>
                <w:sz w:val="18"/>
              </w:rPr>
            </w:pPr>
            <w:r>
              <w:rPr>
                <w:rFonts w:ascii="宋体" w:eastAsia="宋体" w:hint="eastAsia"/>
                <w:spacing w:val="-8"/>
                <w:sz w:val="18"/>
              </w:rPr>
              <w:t>中国证券报 </w:t>
            </w:r>
            <w:r>
              <w:rPr>
                <w:sz w:val="18"/>
              </w:rPr>
              <w:t>B012 </w:t>
            </w:r>
            <w:r>
              <w:rPr>
                <w:rFonts w:ascii="宋体" w:eastAsia="宋体" w:hint="eastAsia"/>
                <w:spacing w:val="-7"/>
                <w:sz w:val="18"/>
              </w:rPr>
              <w:t>版、上海证券报 </w:t>
            </w:r>
            <w:r>
              <w:rPr>
                <w:sz w:val="18"/>
              </w:rPr>
              <w:t>32 </w:t>
            </w:r>
            <w:r>
              <w:rPr>
                <w:rFonts w:ascii="宋体" w:eastAsia="宋体" w:hint="eastAsia"/>
                <w:spacing w:val="-8"/>
                <w:sz w:val="18"/>
              </w:rPr>
              <w:t>版、</w:t>
            </w:r>
          </w:p>
          <w:p>
            <w:pPr>
              <w:pStyle w:val="TableParagraph"/>
              <w:spacing w:before="81"/>
              <w:ind w:left="115"/>
              <w:rPr>
                <w:rFonts w:ascii="宋体" w:eastAsia="宋体" w:hint="eastAsia"/>
                <w:sz w:val="18"/>
              </w:rPr>
            </w:pPr>
            <w:r>
              <w:rPr>
                <w:rFonts w:ascii="宋体" w:eastAsia="宋体" w:hint="eastAsia"/>
                <w:sz w:val="18"/>
              </w:rPr>
              <w:t>证券时报 </w:t>
            </w:r>
            <w:r>
              <w:rPr>
                <w:sz w:val="18"/>
              </w:rPr>
              <w:t>B092 </w:t>
            </w:r>
            <w:r>
              <w:rPr>
                <w:rFonts w:ascii="宋体" w:eastAsia="宋体" w:hint="eastAsia"/>
                <w:sz w:val="18"/>
              </w:rPr>
              <w:t>版、证券日报 </w:t>
            </w:r>
            <w:r>
              <w:rPr>
                <w:sz w:val="18"/>
              </w:rPr>
              <w:t>D9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38"/>
              <w:ind w:left="94" w:right="55"/>
              <w:jc w:val="center"/>
              <w:rPr>
                <w:sz w:val="18"/>
              </w:rPr>
            </w:pPr>
            <w:r>
              <w:rPr>
                <w:sz w:val="18"/>
              </w:rPr>
              <w:t>2020 </w:t>
            </w:r>
            <w:r>
              <w:rPr>
                <w:rFonts w:ascii="宋体" w:eastAsia="宋体" w:hint="eastAsia"/>
                <w:sz w:val="18"/>
              </w:rPr>
              <w:t>年 </w:t>
            </w:r>
            <w:r>
              <w:rPr>
                <w:sz w:val="18"/>
              </w:rPr>
              <w:t>11 </w:t>
            </w:r>
            <w:r>
              <w:rPr>
                <w:rFonts w:ascii="宋体" w:eastAsia="宋体" w:hint="eastAsia"/>
                <w:sz w:val="18"/>
              </w:rPr>
              <w:t>月 </w:t>
            </w:r>
            <w:r>
              <w:rPr>
                <w:sz w:val="18"/>
              </w:rPr>
              <w:t>10</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623" w:hRule="atLeast"/>
        </w:trPr>
        <w:tc>
          <w:tcPr>
            <w:tcW w:w="4253" w:type="dxa"/>
            <w:tcBorders>
              <w:top w:val="single" w:sz="4" w:space="0" w:color="000000"/>
              <w:bottom w:val="single" w:sz="4" w:space="0" w:color="000000"/>
              <w:right w:val="single" w:sz="4" w:space="0" w:color="000000"/>
            </w:tcBorders>
          </w:tcPr>
          <w:p>
            <w:pPr>
              <w:pStyle w:val="TableParagraph"/>
              <w:spacing w:before="38"/>
              <w:ind w:left="105"/>
              <w:rPr>
                <w:rFonts w:ascii="宋体" w:eastAsia="宋体" w:hint="eastAsia"/>
                <w:sz w:val="18"/>
              </w:rPr>
            </w:pPr>
            <w:r>
              <w:rPr>
                <w:rFonts w:ascii="宋体" w:eastAsia="宋体" w:hint="eastAsia"/>
                <w:sz w:val="18"/>
              </w:rPr>
              <w:t>海尔智家股份有限公司关于公司与海尔电器集团有</w:t>
            </w:r>
          </w:p>
          <w:p>
            <w:pPr>
              <w:pStyle w:val="TableParagraph"/>
              <w:spacing w:before="81"/>
              <w:ind w:left="105"/>
              <w:rPr>
                <w:rFonts w:ascii="宋体" w:eastAsia="宋体" w:hint="eastAsia"/>
                <w:sz w:val="18"/>
              </w:rPr>
            </w:pPr>
            <w:r>
              <w:rPr>
                <w:rFonts w:ascii="宋体" w:eastAsia="宋体" w:hint="eastAsia"/>
                <w:sz w:val="18"/>
              </w:rPr>
              <w:t>限公司发布联合公告的提示性公告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Pr>
                <w:rFonts w:ascii="宋体" w:eastAsia="宋体" w:hint="eastAsia"/>
                <w:sz w:val="18"/>
              </w:rPr>
            </w:pPr>
            <w:r>
              <w:rPr>
                <w:rFonts w:ascii="宋体" w:eastAsia="宋体" w:hint="eastAsia"/>
                <w:spacing w:val="-8"/>
                <w:sz w:val="18"/>
              </w:rPr>
              <w:t>中国证券报 </w:t>
            </w:r>
            <w:r>
              <w:rPr>
                <w:sz w:val="18"/>
              </w:rPr>
              <w:t>B063 </w:t>
            </w:r>
            <w:r>
              <w:rPr>
                <w:rFonts w:ascii="宋体" w:eastAsia="宋体" w:hint="eastAsia"/>
                <w:spacing w:val="-7"/>
                <w:sz w:val="18"/>
              </w:rPr>
              <w:t>版、上海证券报 </w:t>
            </w:r>
            <w:r>
              <w:rPr>
                <w:sz w:val="18"/>
              </w:rPr>
              <w:t>64 </w:t>
            </w:r>
            <w:r>
              <w:rPr>
                <w:rFonts w:ascii="宋体" w:eastAsia="宋体" w:hint="eastAsia"/>
                <w:spacing w:val="-8"/>
                <w:sz w:val="18"/>
              </w:rPr>
              <w:t>版、</w:t>
            </w:r>
          </w:p>
          <w:p>
            <w:pPr>
              <w:pStyle w:val="TableParagraph"/>
              <w:spacing w:before="81"/>
              <w:ind w:left="115"/>
              <w:rPr>
                <w:rFonts w:ascii="宋体" w:eastAsia="宋体" w:hint="eastAsia"/>
                <w:sz w:val="18"/>
              </w:rPr>
            </w:pPr>
            <w:r>
              <w:rPr>
                <w:rFonts w:ascii="宋体" w:eastAsia="宋体" w:hint="eastAsia"/>
                <w:sz w:val="18"/>
              </w:rPr>
              <w:t>证券时报 </w:t>
            </w:r>
            <w:r>
              <w:rPr>
                <w:sz w:val="18"/>
              </w:rPr>
              <w:t>B088 </w:t>
            </w:r>
            <w:r>
              <w:rPr>
                <w:rFonts w:ascii="宋体" w:eastAsia="宋体" w:hint="eastAsia"/>
                <w:sz w:val="18"/>
              </w:rPr>
              <w:t>版、证券日报 </w:t>
            </w:r>
            <w:r>
              <w:rPr>
                <w:sz w:val="18"/>
              </w:rPr>
              <w:t>C34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38"/>
              <w:ind w:left="94" w:right="55"/>
              <w:jc w:val="center"/>
              <w:rPr>
                <w:sz w:val="18"/>
              </w:rPr>
            </w:pPr>
            <w:r>
              <w:rPr>
                <w:sz w:val="18"/>
              </w:rPr>
              <w:t>2020 </w:t>
            </w:r>
            <w:r>
              <w:rPr>
                <w:rFonts w:ascii="宋体" w:eastAsia="宋体" w:hint="eastAsia"/>
                <w:sz w:val="18"/>
              </w:rPr>
              <w:t>年 </w:t>
            </w:r>
            <w:r>
              <w:rPr>
                <w:sz w:val="18"/>
              </w:rPr>
              <w:t>11 </w:t>
            </w:r>
            <w:r>
              <w:rPr>
                <w:rFonts w:ascii="宋体" w:eastAsia="宋体" w:hint="eastAsia"/>
                <w:sz w:val="18"/>
              </w:rPr>
              <w:t>月 </w:t>
            </w:r>
            <w:r>
              <w:rPr>
                <w:sz w:val="18"/>
              </w:rPr>
              <w:t>14</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623" w:hRule="atLeast"/>
        </w:trPr>
        <w:tc>
          <w:tcPr>
            <w:tcW w:w="4253" w:type="dxa"/>
            <w:tcBorders>
              <w:top w:val="single" w:sz="4" w:space="0" w:color="000000"/>
              <w:bottom w:val="single" w:sz="4" w:space="0" w:color="000000"/>
              <w:right w:val="single" w:sz="4" w:space="0" w:color="000000"/>
            </w:tcBorders>
          </w:tcPr>
          <w:p>
            <w:pPr>
              <w:pStyle w:val="TableParagraph"/>
              <w:spacing w:before="38"/>
              <w:ind w:left="105"/>
              <w:rPr>
                <w:rFonts w:ascii="宋体" w:eastAsia="宋体" w:hint="eastAsia"/>
                <w:sz w:val="18"/>
              </w:rPr>
            </w:pPr>
            <w:r>
              <w:rPr>
                <w:rFonts w:ascii="宋体" w:eastAsia="宋体" w:hint="eastAsia"/>
                <w:sz w:val="18"/>
              </w:rPr>
              <w:t>海尔智家股份有限公司关于刊发 </w:t>
            </w:r>
            <w:r>
              <w:rPr>
                <w:sz w:val="18"/>
              </w:rPr>
              <w:t>H </w:t>
            </w:r>
            <w:r>
              <w:rPr>
                <w:rFonts w:ascii="宋体" w:eastAsia="宋体" w:hint="eastAsia"/>
                <w:sz w:val="18"/>
              </w:rPr>
              <w:t>股上市文件及计</w:t>
            </w:r>
          </w:p>
          <w:p>
            <w:pPr>
              <w:pStyle w:val="TableParagraph"/>
              <w:spacing w:before="81"/>
              <w:ind w:left="105"/>
              <w:rPr>
                <w:rFonts w:ascii="宋体" w:eastAsia="宋体" w:hint="eastAsia"/>
                <w:sz w:val="18"/>
              </w:rPr>
            </w:pPr>
            <w:r>
              <w:rPr>
                <w:rFonts w:ascii="宋体" w:eastAsia="宋体" w:hint="eastAsia"/>
                <w:sz w:val="18"/>
              </w:rPr>
              <w:t>划文件等事宜的公告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10"/>
              <w:rPr>
                <w:sz w:val="16"/>
              </w:rPr>
            </w:pPr>
          </w:p>
          <w:p>
            <w:pPr>
              <w:pStyle w:val="TableParagraph"/>
              <w:ind w:left="115"/>
              <w:rPr>
                <w:rFonts w:ascii="宋体" w:eastAsia="宋体" w:hint="eastAsia"/>
                <w:sz w:val="18"/>
              </w:rPr>
            </w:pPr>
            <w:r>
              <w:rPr>
                <w:rFonts w:ascii="宋体" w:eastAsia="宋体" w:hint="eastAsia"/>
                <w:sz w:val="18"/>
              </w:rPr>
              <w:t>中国证券报 </w:t>
            </w:r>
            <w:r>
              <w:rPr>
                <w:sz w:val="18"/>
              </w:rPr>
              <w:t>B005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38"/>
              <w:ind w:left="94" w:right="55"/>
              <w:jc w:val="center"/>
              <w:rPr>
                <w:sz w:val="18"/>
              </w:rPr>
            </w:pPr>
            <w:r>
              <w:rPr>
                <w:sz w:val="18"/>
              </w:rPr>
              <w:t>2020 </w:t>
            </w:r>
            <w:r>
              <w:rPr>
                <w:rFonts w:ascii="宋体" w:eastAsia="宋体" w:hint="eastAsia"/>
                <w:sz w:val="18"/>
              </w:rPr>
              <w:t>年 </w:t>
            </w:r>
            <w:r>
              <w:rPr>
                <w:sz w:val="18"/>
              </w:rPr>
              <w:t>11 </w:t>
            </w:r>
            <w:r>
              <w:rPr>
                <w:rFonts w:ascii="宋体" w:eastAsia="宋体" w:hint="eastAsia"/>
                <w:sz w:val="18"/>
              </w:rPr>
              <w:t>月 </w:t>
            </w:r>
            <w:r>
              <w:rPr>
                <w:sz w:val="18"/>
              </w:rPr>
              <w:t>17</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626" w:hRule="atLeast"/>
        </w:trPr>
        <w:tc>
          <w:tcPr>
            <w:tcW w:w="4253" w:type="dxa"/>
            <w:tcBorders>
              <w:top w:val="single" w:sz="4" w:space="0" w:color="000000"/>
              <w:bottom w:val="single" w:sz="4" w:space="0" w:color="000000"/>
              <w:right w:val="single" w:sz="4" w:space="0" w:color="000000"/>
            </w:tcBorders>
          </w:tcPr>
          <w:p>
            <w:pPr>
              <w:pStyle w:val="TableParagraph"/>
              <w:spacing w:before="41"/>
              <w:ind w:left="105"/>
              <w:rPr>
                <w:rFonts w:ascii="宋体" w:eastAsia="宋体" w:hint="eastAsia"/>
                <w:sz w:val="18"/>
              </w:rPr>
            </w:pPr>
            <w:r>
              <w:rPr>
                <w:rFonts w:ascii="宋体" w:eastAsia="宋体" w:hint="eastAsia"/>
                <w:sz w:val="18"/>
              </w:rPr>
              <w:t>海尔智家股份有限公司关于核心员工持股计划之第</w:t>
            </w:r>
          </w:p>
          <w:p>
            <w:pPr>
              <w:pStyle w:val="TableParagraph"/>
              <w:spacing w:before="81"/>
              <w:ind w:left="105"/>
              <w:rPr>
                <w:rFonts w:ascii="宋体" w:eastAsia="宋体" w:hint="eastAsia"/>
                <w:sz w:val="18"/>
              </w:rPr>
            </w:pPr>
            <w:r>
              <w:rPr>
                <w:rFonts w:ascii="宋体" w:eastAsia="宋体" w:hint="eastAsia"/>
                <w:sz w:val="18"/>
              </w:rPr>
              <w:t>三期持股计划即将届满的提示性公告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41"/>
              <w:ind w:left="115"/>
              <w:rPr>
                <w:rFonts w:ascii="宋体" w:eastAsia="宋体" w:hint="eastAsia"/>
                <w:sz w:val="18"/>
              </w:rPr>
            </w:pPr>
            <w:r>
              <w:rPr>
                <w:rFonts w:ascii="宋体" w:eastAsia="宋体" w:hint="eastAsia"/>
                <w:spacing w:val="-8"/>
                <w:sz w:val="18"/>
              </w:rPr>
              <w:t>中国证券报 </w:t>
            </w:r>
            <w:r>
              <w:rPr>
                <w:sz w:val="18"/>
              </w:rPr>
              <w:t>B013 </w:t>
            </w:r>
            <w:r>
              <w:rPr>
                <w:rFonts w:ascii="宋体" w:eastAsia="宋体" w:hint="eastAsia"/>
                <w:spacing w:val="-7"/>
                <w:sz w:val="18"/>
              </w:rPr>
              <w:t>版、上海证券报 </w:t>
            </w:r>
            <w:r>
              <w:rPr>
                <w:sz w:val="18"/>
              </w:rPr>
              <w:t>76 </w:t>
            </w:r>
            <w:r>
              <w:rPr>
                <w:rFonts w:ascii="宋体" w:eastAsia="宋体" w:hint="eastAsia"/>
                <w:spacing w:val="-8"/>
                <w:sz w:val="18"/>
              </w:rPr>
              <w:t>版、</w:t>
            </w:r>
          </w:p>
          <w:p>
            <w:pPr>
              <w:pStyle w:val="TableParagraph"/>
              <w:spacing w:before="81"/>
              <w:ind w:left="115"/>
              <w:rPr>
                <w:rFonts w:ascii="宋体" w:eastAsia="宋体" w:hint="eastAsia"/>
                <w:sz w:val="18"/>
              </w:rPr>
            </w:pPr>
            <w:r>
              <w:rPr>
                <w:rFonts w:ascii="宋体" w:eastAsia="宋体" w:hint="eastAsia"/>
                <w:sz w:val="18"/>
              </w:rPr>
              <w:t>证券时报 </w:t>
            </w:r>
            <w:r>
              <w:rPr>
                <w:sz w:val="18"/>
              </w:rPr>
              <w:t>B051 </w:t>
            </w:r>
            <w:r>
              <w:rPr>
                <w:rFonts w:ascii="宋体" w:eastAsia="宋体" w:hint="eastAsia"/>
                <w:sz w:val="18"/>
              </w:rPr>
              <w:t>版、证券日报 </w:t>
            </w:r>
            <w:r>
              <w:rPr>
                <w:sz w:val="18"/>
              </w:rPr>
              <w:t>D29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41"/>
              <w:ind w:left="94" w:right="55"/>
              <w:jc w:val="center"/>
              <w:rPr>
                <w:sz w:val="18"/>
              </w:rPr>
            </w:pPr>
            <w:r>
              <w:rPr>
                <w:sz w:val="18"/>
              </w:rPr>
              <w:t>2020 </w:t>
            </w:r>
            <w:r>
              <w:rPr>
                <w:rFonts w:ascii="宋体" w:eastAsia="宋体" w:hint="eastAsia"/>
                <w:sz w:val="18"/>
              </w:rPr>
              <w:t>年 </w:t>
            </w:r>
            <w:r>
              <w:rPr>
                <w:sz w:val="18"/>
              </w:rPr>
              <w:t>12 </w:t>
            </w:r>
            <w:r>
              <w:rPr>
                <w:rFonts w:ascii="宋体" w:eastAsia="宋体" w:hint="eastAsia"/>
                <w:sz w:val="18"/>
              </w:rPr>
              <w:t>月 </w:t>
            </w:r>
            <w:r>
              <w:rPr>
                <w:sz w:val="18"/>
              </w:rPr>
              <w:t>02</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623" w:hRule="atLeast"/>
        </w:trPr>
        <w:tc>
          <w:tcPr>
            <w:tcW w:w="4253" w:type="dxa"/>
            <w:tcBorders>
              <w:top w:val="single" w:sz="4" w:space="0" w:color="000000"/>
              <w:bottom w:val="single" w:sz="4" w:space="0" w:color="000000"/>
              <w:right w:val="single" w:sz="4" w:space="0" w:color="000000"/>
            </w:tcBorders>
          </w:tcPr>
          <w:p>
            <w:pPr>
              <w:pStyle w:val="TableParagraph"/>
              <w:spacing w:before="38"/>
              <w:ind w:left="105"/>
              <w:rPr>
                <w:rFonts w:ascii="宋体" w:eastAsia="宋体" w:hint="eastAsia"/>
                <w:sz w:val="18"/>
              </w:rPr>
            </w:pPr>
            <w:r>
              <w:rPr>
                <w:rFonts w:ascii="宋体" w:eastAsia="宋体" w:hint="eastAsia"/>
                <w:sz w:val="18"/>
              </w:rPr>
              <w:t>海尔智家股份有限公司关于私有化海尔电器集团有</w:t>
            </w:r>
          </w:p>
          <w:p>
            <w:pPr>
              <w:pStyle w:val="TableParagraph"/>
              <w:spacing w:before="81"/>
              <w:ind w:left="105"/>
              <w:rPr>
                <w:rFonts w:ascii="宋体" w:eastAsia="宋体" w:hint="eastAsia"/>
                <w:sz w:val="18"/>
              </w:rPr>
            </w:pPr>
            <w:r>
              <w:rPr>
                <w:rFonts w:ascii="宋体" w:eastAsia="宋体" w:hint="eastAsia"/>
                <w:sz w:val="18"/>
              </w:rPr>
              <w:t>限公司及公司 </w:t>
            </w:r>
            <w:r>
              <w:rPr>
                <w:sz w:val="18"/>
              </w:rPr>
              <w:t>H </w:t>
            </w:r>
            <w:r>
              <w:rPr>
                <w:rFonts w:ascii="宋体" w:eastAsia="宋体" w:hint="eastAsia"/>
                <w:sz w:val="18"/>
              </w:rPr>
              <w:t>股介绍上市的进展性公告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ight="-15"/>
              <w:rPr>
                <w:rFonts w:ascii="宋体" w:eastAsia="宋体" w:hint="eastAsia"/>
                <w:sz w:val="18"/>
              </w:rPr>
            </w:pPr>
            <w:r>
              <w:rPr>
                <w:rFonts w:ascii="宋体" w:eastAsia="宋体" w:hint="eastAsia"/>
                <w:spacing w:val="-8"/>
                <w:sz w:val="18"/>
              </w:rPr>
              <w:t>中国证券报 </w:t>
            </w:r>
            <w:r>
              <w:rPr>
                <w:sz w:val="18"/>
              </w:rPr>
              <w:t>B004</w:t>
            </w:r>
            <w:r>
              <w:rPr>
                <w:spacing w:val="1"/>
                <w:sz w:val="18"/>
              </w:rPr>
              <w:t> </w:t>
            </w:r>
            <w:r>
              <w:rPr>
                <w:rFonts w:ascii="宋体" w:eastAsia="宋体" w:hint="eastAsia"/>
                <w:spacing w:val="-18"/>
                <w:sz w:val="18"/>
              </w:rPr>
              <w:t>版、上海证券报 </w:t>
            </w:r>
            <w:r>
              <w:rPr>
                <w:sz w:val="18"/>
              </w:rPr>
              <w:t>124</w:t>
            </w:r>
            <w:r>
              <w:rPr>
                <w:spacing w:val="1"/>
                <w:sz w:val="18"/>
              </w:rPr>
              <w:t> </w:t>
            </w:r>
            <w:r>
              <w:rPr>
                <w:rFonts w:ascii="宋体" w:eastAsia="宋体" w:hint="eastAsia"/>
                <w:sz w:val="18"/>
              </w:rPr>
              <w:t>版、</w:t>
            </w:r>
          </w:p>
          <w:p>
            <w:pPr>
              <w:pStyle w:val="TableParagraph"/>
              <w:spacing w:before="81"/>
              <w:ind w:left="115"/>
              <w:rPr>
                <w:rFonts w:ascii="宋体" w:eastAsia="宋体" w:hint="eastAsia"/>
                <w:sz w:val="18"/>
              </w:rPr>
            </w:pPr>
            <w:r>
              <w:rPr>
                <w:rFonts w:ascii="宋体" w:eastAsia="宋体" w:hint="eastAsia"/>
                <w:sz w:val="18"/>
              </w:rPr>
              <w:t>证券时报 </w:t>
            </w:r>
            <w:r>
              <w:rPr>
                <w:sz w:val="18"/>
              </w:rPr>
              <w:t>B077 </w:t>
            </w:r>
            <w:r>
              <w:rPr>
                <w:rFonts w:ascii="宋体" w:eastAsia="宋体" w:hint="eastAsia"/>
                <w:sz w:val="18"/>
              </w:rPr>
              <w:t>版、证券日报 </w:t>
            </w:r>
            <w:r>
              <w:rPr>
                <w:sz w:val="18"/>
              </w:rPr>
              <w:t>B3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38"/>
              <w:ind w:left="94" w:right="55"/>
              <w:jc w:val="center"/>
              <w:rPr>
                <w:sz w:val="18"/>
              </w:rPr>
            </w:pPr>
            <w:r>
              <w:rPr>
                <w:sz w:val="18"/>
              </w:rPr>
              <w:t>2020 </w:t>
            </w:r>
            <w:r>
              <w:rPr>
                <w:rFonts w:ascii="宋体" w:eastAsia="宋体" w:hint="eastAsia"/>
                <w:sz w:val="18"/>
              </w:rPr>
              <w:t>年 </w:t>
            </w:r>
            <w:r>
              <w:rPr>
                <w:sz w:val="18"/>
              </w:rPr>
              <w:t>12 </w:t>
            </w:r>
            <w:r>
              <w:rPr>
                <w:rFonts w:ascii="宋体" w:eastAsia="宋体" w:hint="eastAsia"/>
                <w:sz w:val="18"/>
              </w:rPr>
              <w:t>月 </w:t>
            </w:r>
            <w:r>
              <w:rPr>
                <w:sz w:val="18"/>
              </w:rPr>
              <w:t>10</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623" w:hRule="atLeast"/>
        </w:trPr>
        <w:tc>
          <w:tcPr>
            <w:tcW w:w="4253" w:type="dxa"/>
            <w:tcBorders>
              <w:top w:val="single" w:sz="4" w:space="0" w:color="000000"/>
              <w:bottom w:val="single" w:sz="4" w:space="0" w:color="000000"/>
              <w:right w:val="single" w:sz="4" w:space="0" w:color="000000"/>
            </w:tcBorders>
          </w:tcPr>
          <w:p>
            <w:pPr>
              <w:pStyle w:val="TableParagraph"/>
              <w:spacing w:before="38"/>
              <w:ind w:left="105"/>
              <w:rPr>
                <w:rFonts w:ascii="宋体" w:eastAsia="宋体" w:hint="eastAsia"/>
                <w:sz w:val="18"/>
              </w:rPr>
            </w:pPr>
            <w:r>
              <w:rPr>
                <w:rFonts w:ascii="宋体" w:eastAsia="宋体" w:hint="eastAsia"/>
                <w:sz w:val="18"/>
              </w:rPr>
              <w:t>海尔智家股份有限公司关于私有化海尔电器集团有</w:t>
            </w:r>
          </w:p>
          <w:p>
            <w:pPr>
              <w:pStyle w:val="TableParagraph"/>
              <w:spacing w:before="81"/>
              <w:ind w:left="105"/>
              <w:rPr>
                <w:rFonts w:ascii="宋体" w:eastAsia="宋体" w:hint="eastAsia"/>
                <w:sz w:val="18"/>
              </w:rPr>
            </w:pPr>
            <w:r>
              <w:rPr>
                <w:rFonts w:ascii="宋体" w:eastAsia="宋体" w:hint="eastAsia"/>
                <w:sz w:val="18"/>
              </w:rPr>
              <w:t>限公司及公司 </w:t>
            </w:r>
            <w:r>
              <w:rPr>
                <w:sz w:val="18"/>
              </w:rPr>
              <w:t>H </w:t>
            </w:r>
            <w:r>
              <w:rPr>
                <w:rFonts w:ascii="宋体" w:eastAsia="宋体" w:hint="eastAsia"/>
                <w:sz w:val="18"/>
              </w:rPr>
              <w:t>股介绍上市的进展性公告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Pr>
                <w:rFonts w:ascii="宋体" w:eastAsia="宋体" w:hint="eastAsia"/>
                <w:sz w:val="18"/>
              </w:rPr>
            </w:pPr>
            <w:r>
              <w:rPr>
                <w:rFonts w:ascii="宋体" w:eastAsia="宋体" w:hint="eastAsia"/>
                <w:spacing w:val="-8"/>
                <w:sz w:val="18"/>
              </w:rPr>
              <w:t>中国证券报 </w:t>
            </w:r>
            <w:r>
              <w:rPr>
                <w:sz w:val="18"/>
              </w:rPr>
              <w:t>B001 </w:t>
            </w:r>
            <w:r>
              <w:rPr>
                <w:rFonts w:ascii="宋体" w:eastAsia="宋体" w:hint="eastAsia"/>
                <w:spacing w:val="-7"/>
                <w:sz w:val="18"/>
              </w:rPr>
              <w:t>版、上海证券报 </w:t>
            </w:r>
            <w:r>
              <w:rPr>
                <w:sz w:val="18"/>
              </w:rPr>
              <w:t>76 </w:t>
            </w:r>
            <w:r>
              <w:rPr>
                <w:rFonts w:ascii="宋体" w:eastAsia="宋体" w:hint="eastAsia"/>
                <w:spacing w:val="-8"/>
                <w:sz w:val="18"/>
              </w:rPr>
              <w:t>版、</w:t>
            </w:r>
          </w:p>
          <w:p>
            <w:pPr>
              <w:pStyle w:val="TableParagraph"/>
              <w:spacing w:before="81"/>
              <w:ind w:left="115"/>
              <w:rPr>
                <w:rFonts w:ascii="宋体" w:eastAsia="宋体" w:hint="eastAsia"/>
                <w:sz w:val="18"/>
              </w:rPr>
            </w:pPr>
            <w:r>
              <w:rPr>
                <w:rFonts w:ascii="宋体" w:eastAsia="宋体" w:hint="eastAsia"/>
                <w:sz w:val="18"/>
              </w:rPr>
              <w:t>证券时报 </w:t>
            </w:r>
            <w:r>
              <w:rPr>
                <w:sz w:val="18"/>
              </w:rPr>
              <w:t>B029 </w:t>
            </w:r>
            <w:r>
              <w:rPr>
                <w:rFonts w:ascii="宋体" w:eastAsia="宋体" w:hint="eastAsia"/>
                <w:sz w:val="18"/>
              </w:rPr>
              <w:t>版、证券日报 </w:t>
            </w:r>
            <w:r>
              <w:rPr>
                <w:sz w:val="18"/>
              </w:rPr>
              <w:t>D1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38"/>
              <w:ind w:left="94" w:right="55"/>
              <w:jc w:val="center"/>
              <w:rPr>
                <w:sz w:val="18"/>
              </w:rPr>
            </w:pPr>
            <w:r>
              <w:rPr>
                <w:sz w:val="18"/>
              </w:rPr>
              <w:t>2020 </w:t>
            </w:r>
            <w:r>
              <w:rPr>
                <w:rFonts w:ascii="宋体" w:eastAsia="宋体" w:hint="eastAsia"/>
                <w:sz w:val="18"/>
              </w:rPr>
              <w:t>年 </w:t>
            </w:r>
            <w:r>
              <w:rPr>
                <w:sz w:val="18"/>
              </w:rPr>
              <w:t>12 </w:t>
            </w:r>
            <w:r>
              <w:rPr>
                <w:rFonts w:ascii="宋体" w:eastAsia="宋体" w:hint="eastAsia"/>
                <w:sz w:val="18"/>
              </w:rPr>
              <w:t>月 </w:t>
            </w:r>
            <w:r>
              <w:rPr>
                <w:sz w:val="18"/>
              </w:rPr>
              <w:t>21</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935" w:hRule="atLeast"/>
        </w:trPr>
        <w:tc>
          <w:tcPr>
            <w:tcW w:w="4253" w:type="dxa"/>
            <w:tcBorders>
              <w:top w:val="single" w:sz="4" w:space="0" w:color="000000"/>
              <w:right w:val="single" w:sz="4" w:space="0" w:color="000000"/>
            </w:tcBorders>
          </w:tcPr>
          <w:p>
            <w:pPr>
              <w:pStyle w:val="TableParagraph"/>
              <w:spacing w:before="38"/>
              <w:ind w:left="105"/>
              <w:rPr>
                <w:rFonts w:ascii="宋体" w:eastAsia="宋体" w:hint="eastAsia"/>
                <w:sz w:val="18"/>
              </w:rPr>
            </w:pPr>
            <w:r>
              <w:rPr>
                <w:rFonts w:ascii="宋体" w:eastAsia="宋体" w:hint="eastAsia"/>
                <w:sz w:val="18"/>
              </w:rPr>
              <w:t>海尔智家股份有限公司关于私有化海尔电器集团有</w:t>
            </w:r>
          </w:p>
          <w:p>
            <w:pPr>
              <w:pStyle w:val="TableParagraph"/>
              <w:spacing w:line="310" w:lineRule="atLeast" w:before="2"/>
              <w:ind w:left="105" w:right="46"/>
              <w:rPr>
                <w:rFonts w:ascii="宋体" w:eastAsia="宋体" w:hint="eastAsia"/>
                <w:sz w:val="18"/>
              </w:rPr>
            </w:pPr>
            <w:r>
              <w:rPr>
                <w:rFonts w:ascii="宋体" w:eastAsia="宋体" w:hint="eastAsia"/>
                <w:sz w:val="18"/>
              </w:rPr>
              <w:t>限公司方案生效及公司 </w:t>
            </w:r>
            <w:r>
              <w:rPr>
                <w:sz w:val="18"/>
              </w:rPr>
              <w:t>H </w:t>
            </w:r>
            <w:r>
              <w:rPr>
                <w:rFonts w:ascii="宋体" w:eastAsia="宋体" w:hint="eastAsia"/>
                <w:sz w:val="18"/>
              </w:rPr>
              <w:t>股介绍上市相关安排的公告</w:t>
            </w:r>
          </w:p>
        </w:tc>
        <w:tc>
          <w:tcPr>
            <w:tcW w:w="3401" w:type="dxa"/>
            <w:tcBorders>
              <w:top w:val="single" w:sz="4" w:space="0" w:color="000000"/>
              <w:left w:val="single" w:sz="4" w:space="0" w:color="000000"/>
              <w:right w:val="single" w:sz="4" w:space="0" w:color="000000"/>
            </w:tcBorders>
          </w:tcPr>
          <w:p>
            <w:pPr>
              <w:pStyle w:val="TableParagraph"/>
              <w:spacing w:before="10"/>
              <w:rPr>
                <w:sz w:val="16"/>
              </w:rPr>
            </w:pPr>
          </w:p>
          <w:p>
            <w:pPr>
              <w:pStyle w:val="TableParagraph"/>
              <w:spacing w:line="324" w:lineRule="auto"/>
              <w:ind w:left="115" w:right="-15"/>
              <w:rPr>
                <w:rFonts w:ascii="宋体" w:eastAsia="宋体" w:hint="eastAsia"/>
                <w:sz w:val="18"/>
              </w:rPr>
            </w:pPr>
            <w:r>
              <w:rPr>
                <w:rFonts w:ascii="宋体" w:eastAsia="宋体" w:hint="eastAsia"/>
                <w:spacing w:val="-8"/>
                <w:sz w:val="18"/>
              </w:rPr>
              <w:t>中国证券报 </w:t>
            </w:r>
            <w:r>
              <w:rPr>
                <w:sz w:val="18"/>
              </w:rPr>
              <w:t>A27 </w:t>
            </w:r>
            <w:r>
              <w:rPr>
                <w:rFonts w:ascii="宋体" w:eastAsia="宋体" w:hint="eastAsia"/>
                <w:spacing w:val="-8"/>
                <w:sz w:val="18"/>
              </w:rPr>
              <w:t>版、上海证券报 </w:t>
            </w:r>
            <w:r>
              <w:rPr>
                <w:sz w:val="18"/>
              </w:rPr>
              <w:t>116</w:t>
            </w:r>
            <w:r>
              <w:rPr>
                <w:spacing w:val="1"/>
                <w:sz w:val="18"/>
              </w:rPr>
              <w:t> </w:t>
            </w:r>
            <w:r>
              <w:rPr>
                <w:rFonts w:ascii="宋体" w:eastAsia="宋体" w:hint="eastAsia"/>
                <w:sz w:val="18"/>
              </w:rPr>
              <w:t>版、</w:t>
            </w:r>
            <w:r>
              <w:rPr>
                <w:rFonts w:ascii="宋体" w:eastAsia="宋体" w:hint="eastAsia"/>
                <w:spacing w:val="-9"/>
                <w:sz w:val="18"/>
              </w:rPr>
              <w:t>证券时报 </w:t>
            </w:r>
            <w:r>
              <w:rPr>
                <w:sz w:val="18"/>
              </w:rPr>
              <w:t>B067</w:t>
            </w:r>
            <w:r>
              <w:rPr>
                <w:spacing w:val="2"/>
                <w:sz w:val="18"/>
              </w:rPr>
              <w:t> </w:t>
            </w:r>
            <w:r>
              <w:rPr>
                <w:rFonts w:ascii="宋体" w:eastAsia="宋体" w:hint="eastAsia"/>
                <w:spacing w:val="-7"/>
                <w:sz w:val="18"/>
              </w:rPr>
              <w:t>版、证券日报 </w:t>
            </w:r>
            <w:r>
              <w:rPr>
                <w:sz w:val="18"/>
              </w:rPr>
              <w:t>D27 </w:t>
            </w:r>
            <w:r>
              <w:rPr>
                <w:rFonts w:ascii="宋体" w:eastAsia="宋体" w:hint="eastAsia"/>
                <w:sz w:val="18"/>
              </w:rPr>
              <w:t>版</w:t>
            </w:r>
          </w:p>
        </w:tc>
        <w:tc>
          <w:tcPr>
            <w:tcW w:w="1559" w:type="dxa"/>
            <w:tcBorders>
              <w:top w:val="single" w:sz="4" w:space="0" w:color="000000"/>
              <w:left w:val="single" w:sz="4" w:space="0" w:color="000000"/>
            </w:tcBorders>
          </w:tcPr>
          <w:p>
            <w:pPr>
              <w:pStyle w:val="TableParagraph"/>
              <w:spacing w:before="10"/>
              <w:rPr>
                <w:sz w:val="16"/>
              </w:rPr>
            </w:pPr>
          </w:p>
          <w:p>
            <w:pPr>
              <w:pStyle w:val="TableParagraph"/>
              <w:ind w:left="94" w:right="55"/>
              <w:jc w:val="center"/>
              <w:rPr>
                <w:sz w:val="18"/>
              </w:rPr>
            </w:pPr>
            <w:r>
              <w:rPr>
                <w:sz w:val="18"/>
              </w:rPr>
              <w:t>2020 </w:t>
            </w:r>
            <w:r>
              <w:rPr>
                <w:rFonts w:ascii="宋体" w:eastAsia="宋体" w:hint="eastAsia"/>
                <w:sz w:val="18"/>
              </w:rPr>
              <w:t>年 </w:t>
            </w:r>
            <w:r>
              <w:rPr>
                <w:sz w:val="18"/>
              </w:rPr>
              <w:t>12 </w:t>
            </w:r>
            <w:r>
              <w:rPr>
                <w:rFonts w:ascii="宋体" w:eastAsia="宋体" w:hint="eastAsia"/>
                <w:sz w:val="18"/>
              </w:rPr>
              <w:t>月 </w:t>
            </w:r>
            <w:r>
              <w:rPr>
                <w:sz w:val="18"/>
              </w:rPr>
              <w:t>23</w:t>
            </w:r>
          </w:p>
          <w:p>
            <w:pPr>
              <w:pStyle w:val="TableParagraph"/>
              <w:spacing w:before="81"/>
              <w:ind w:left="39"/>
              <w:jc w:val="center"/>
              <w:rPr>
                <w:rFonts w:ascii="宋体" w:eastAsia="宋体" w:hint="eastAsia"/>
                <w:sz w:val="18"/>
              </w:rPr>
            </w:pPr>
            <w:r>
              <w:rPr>
                <w:rFonts w:ascii="宋体" w:eastAsia="宋体" w:hint="eastAsia"/>
                <w:sz w:val="18"/>
              </w:rPr>
              <w:t>日</w:t>
            </w:r>
          </w:p>
        </w:tc>
      </w:tr>
    </w:tbl>
    <w:p>
      <w:pPr>
        <w:spacing w:after="0"/>
        <w:jc w:val="center"/>
        <w:rPr>
          <w:rFonts w:ascii="宋体" w:eastAsia="宋体" w:hint="eastAsia"/>
          <w:sz w:val="18"/>
        </w:rPr>
        <w:sectPr>
          <w:pgSz w:w="11910" w:h="16840"/>
          <w:pgMar w:header="874" w:footer="1214" w:top="1120" w:bottom="1400" w:left="840" w:right="300"/>
        </w:sectPr>
      </w:pPr>
    </w:p>
    <w:p>
      <w:pPr>
        <w:pStyle w:val="BodyText"/>
        <w:rPr>
          <w:rFonts w:ascii="Times New Roman"/>
          <w:sz w:val="20"/>
        </w:rPr>
      </w:pPr>
    </w:p>
    <w:p>
      <w:pPr>
        <w:pStyle w:val="BodyText"/>
        <w:spacing w:before="9" w:after="1"/>
        <w:rPr>
          <w:rFonts w:ascii="Times New Roman"/>
          <w:sz w:val="14"/>
        </w:rPr>
      </w:pPr>
    </w:p>
    <w:tbl>
      <w:tblPr>
        <w:tblW w:w="0" w:type="auto"/>
        <w:jc w:val="left"/>
        <w:tblInd w:w="6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253"/>
        <w:gridCol w:w="3401"/>
        <w:gridCol w:w="1559"/>
      </w:tblGrid>
      <w:tr>
        <w:trPr>
          <w:trHeight w:val="625" w:hRule="atLeast"/>
        </w:trPr>
        <w:tc>
          <w:tcPr>
            <w:tcW w:w="4253" w:type="dxa"/>
            <w:tcBorders>
              <w:bottom w:val="single" w:sz="4" w:space="0" w:color="000000"/>
              <w:right w:val="single" w:sz="4" w:space="0" w:color="000000"/>
            </w:tcBorders>
          </w:tcPr>
          <w:p>
            <w:pPr>
              <w:pStyle w:val="TableParagraph"/>
              <w:spacing w:before="40"/>
              <w:ind w:left="105" w:right="-15"/>
              <w:rPr>
                <w:rFonts w:ascii="宋体" w:eastAsia="宋体" w:hint="eastAsia"/>
                <w:sz w:val="18"/>
              </w:rPr>
            </w:pPr>
            <w:r>
              <w:rPr>
                <w:rFonts w:ascii="宋体" w:eastAsia="宋体" w:hint="eastAsia"/>
                <w:spacing w:val="-1"/>
                <w:sz w:val="18"/>
              </w:rPr>
              <w:t>海尔智家股份有限公司关于境外上市外资股</w:t>
            </w:r>
            <w:r>
              <w:rPr>
                <w:rFonts w:ascii="宋体" w:eastAsia="宋体" w:hint="eastAsia"/>
                <w:sz w:val="18"/>
              </w:rPr>
              <w:t>（</w:t>
            </w:r>
            <w:r>
              <w:rPr>
                <w:sz w:val="18"/>
              </w:rPr>
              <w:t>H</w:t>
            </w:r>
            <w:r>
              <w:rPr>
                <w:spacing w:val="-1"/>
                <w:sz w:val="18"/>
              </w:rPr>
              <w:t> </w:t>
            </w:r>
            <w:r>
              <w:rPr>
                <w:rFonts w:ascii="宋体" w:eastAsia="宋体" w:hint="eastAsia"/>
                <w:sz w:val="18"/>
              </w:rPr>
              <w:t>股）</w:t>
            </w:r>
          </w:p>
          <w:p>
            <w:pPr>
              <w:pStyle w:val="TableParagraph"/>
              <w:spacing w:before="82"/>
              <w:ind w:left="105"/>
              <w:rPr>
                <w:rFonts w:ascii="宋体" w:eastAsia="宋体" w:hint="eastAsia"/>
                <w:sz w:val="18"/>
              </w:rPr>
            </w:pPr>
            <w:r>
              <w:rPr>
                <w:rFonts w:ascii="宋体" w:eastAsia="宋体" w:hint="eastAsia"/>
                <w:sz w:val="18"/>
              </w:rPr>
              <w:t>上市暨股份变动情况的公告</w:t>
            </w:r>
          </w:p>
        </w:tc>
        <w:tc>
          <w:tcPr>
            <w:tcW w:w="3401" w:type="dxa"/>
            <w:tcBorders>
              <w:left w:val="single" w:sz="4" w:space="0" w:color="000000"/>
              <w:bottom w:val="single" w:sz="4" w:space="0" w:color="000000"/>
              <w:right w:val="single" w:sz="4" w:space="0" w:color="000000"/>
            </w:tcBorders>
          </w:tcPr>
          <w:p>
            <w:pPr>
              <w:pStyle w:val="TableParagraph"/>
              <w:spacing w:before="40"/>
              <w:ind w:left="115" w:right="-15"/>
              <w:rPr>
                <w:rFonts w:ascii="宋体" w:eastAsia="宋体" w:hint="eastAsia"/>
                <w:sz w:val="18"/>
              </w:rPr>
            </w:pPr>
            <w:r>
              <w:rPr>
                <w:rFonts w:ascii="宋体" w:eastAsia="宋体" w:hint="eastAsia"/>
                <w:spacing w:val="-8"/>
                <w:sz w:val="18"/>
              </w:rPr>
              <w:t>中国证券报 </w:t>
            </w:r>
            <w:r>
              <w:rPr>
                <w:sz w:val="18"/>
              </w:rPr>
              <w:t>A27 </w:t>
            </w:r>
            <w:r>
              <w:rPr>
                <w:rFonts w:ascii="宋体" w:eastAsia="宋体" w:hint="eastAsia"/>
                <w:spacing w:val="-8"/>
                <w:sz w:val="18"/>
              </w:rPr>
              <w:t>版、上海证券报 </w:t>
            </w:r>
            <w:r>
              <w:rPr>
                <w:sz w:val="18"/>
              </w:rPr>
              <w:t>116</w:t>
            </w:r>
            <w:r>
              <w:rPr>
                <w:spacing w:val="1"/>
                <w:sz w:val="18"/>
              </w:rPr>
              <w:t> </w:t>
            </w:r>
            <w:r>
              <w:rPr>
                <w:rFonts w:ascii="宋体" w:eastAsia="宋体" w:hint="eastAsia"/>
                <w:sz w:val="18"/>
              </w:rPr>
              <w:t>版、</w:t>
            </w:r>
          </w:p>
          <w:p>
            <w:pPr>
              <w:pStyle w:val="TableParagraph"/>
              <w:spacing w:before="82"/>
              <w:ind w:left="115"/>
              <w:rPr>
                <w:rFonts w:ascii="宋体" w:eastAsia="宋体" w:hint="eastAsia"/>
                <w:sz w:val="18"/>
              </w:rPr>
            </w:pPr>
            <w:r>
              <w:rPr>
                <w:rFonts w:ascii="宋体" w:eastAsia="宋体" w:hint="eastAsia"/>
                <w:sz w:val="18"/>
              </w:rPr>
              <w:t>证券时报 </w:t>
            </w:r>
            <w:r>
              <w:rPr>
                <w:sz w:val="18"/>
              </w:rPr>
              <w:t>B067 </w:t>
            </w:r>
            <w:r>
              <w:rPr>
                <w:rFonts w:ascii="宋体" w:eastAsia="宋体" w:hint="eastAsia"/>
                <w:sz w:val="18"/>
              </w:rPr>
              <w:t>版、证券日报 </w:t>
            </w:r>
            <w:r>
              <w:rPr>
                <w:sz w:val="18"/>
              </w:rPr>
              <w:t>D27 </w:t>
            </w:r>
            <w:r>
              <w:rPr>
                <w:rFonts w:ascii="宋体" w:eastAsia="宋体" w:hint="eastAsia"/>
                <w:sz w:val="18"/>
              </w:rPr>
              <w:t>版</w:t>
            </w:r>
          </w:p>
        </w:tc>
        <w:tc>
          <w:tcPr>
            <w:tcW w:w="1559" w:type="dxa"/>
            <w:tcBorders>
              <w:left w:val="single" w:sz="4" w:space="0" w:color="000000"/>
              <w:bottom w:val="single" w:sz="4" w:space="0" w:color="000000"/>
            </w:tcBorders>
          </w:tcPr>
          <w:p>
            <w:pPr>
              <w:pStyle w:val="TableParagraph"/>
              <w:spacing w:before="40"/>
              <w:ind w:left="94" w:right="55"/>
              <w:jc w:val="center"/>
              <w:rPr>
                <w:sz w:val="18"/>
              </w:rPr>
            </w:pPr>
            <w:r>
              <w:rPr>
                <w:sz w:val="18"/>
              </w:rPr>
              <w:t>2020 </w:t>
            </w:r>
            <w:r>
              <w:rPr>
                <w:rFonts w:ascii="宋体" w:eastAsia="宋体" w:hint="eastAsia"/>
                <w:sz w:val="18"/>
              </w:rPr>
              <w:t>年 </w:t>
            </w:r>
            <w:r>
              <w:rPr>
                <w:sz w:val="18"/>
              </w:rPr>
              <w:t>12 </w:t>
            </w:r>
            <w:r>
              <w:rPr>
                <w:rFonts w:ascii="宋体" w:eastAsia="宋体" w:hint="eastAsia"/>
                <w:sz w:val="18"/>
              </w:rPr>
              <w:t>月 </w:t>
            </w:r>
            <w:r>
              <w:rPr>
                <w:sz w:val="18"/>
              </w:rPr>
              <w:t>23</w:t>
            </w:r>
          </w:p>
          <w:p>
            <w:pPr>
              <w:pStyle w:val="TableParagraph"/>
              <w:spacing w:before="82"/>
              <w:ind w:left="39"/>
              <w:jc w:val="center"/>
              <w:rPr>
                <w:rFonts w:ascii="宋体" w:eastAsia="宋体" w:hint="eastAsia"/>
                <w:sz w:val="18"/>
              </w:rPr>
            </w:pPr>
            <w:r>
              <w:rPr>
                <w:rFonts w:ascii="宋体" w:eastAsia="宋体" w:hint="eastAsia"/>
                <w:sz w:val="18"/>
              </w:rPr>
              <w:t>日</w:t>
            </w:r>
          </w:p>
        </w:tc>
      </w:tr>
      <w:tr>
        <w:trPr>
          <w:trHeight w:val="623" w:hRule="atLeast"/>
        </w:trPr>
        <w:tc>
          <w:tcPr>
            <w:tcW w:w="4253" w:type="dxa"/>
            <w:tcBorders>
              <w:top w:val="single" w:sz="4" w:space="0" w:color="000000"/>
              <w:bottom w:val="single" w:sz="4" w:space="0" w:color="000000"/>
              <w:right w:val="single" w:sz="4" w:space="0" w:color="000000"/>
            </w:tcBorders>
          </w:tcPr>
          <w:p>
            <w:pPr>
              <w:pStyle w:val="TableParagraph"/>
              <w:spacing w:before="38"/>
              <w:ind w:left="105"/>
              <w:rPr>
                <w:rFonts w:ascii="宋体" w:eastAsia="宋体" w:hint="eastAsia"/>
                <w:sz w:val="18"/>
              </w:rPr>
            </w:pPr>
            <w:r>
              <w:rPr>
                <w:rFonts w:ascii="宋体" w:eastAsia="宋体" w:hint="eastAsia"/>
                <w:sz w:val="18"/>
              </w:rPr>
              <w:t>海尔智家股份有限公司关于变更《公司章程》的公</w:t>
            </w:r>
          </w:p>
          <w:p>
            <w:pPr>
              <w:pStyle w:val="TableParagraph"/>
              <w:spacing w:before="81"/>
              <w:ind w:left="105"/>
              <w:rPr>
                <w:rFonts w:ascii="宋体" w:eastAsia="宋体" w:hint="eastAsia"/>
                <w:sz w:val="18"/>
              </w:rPr>
            </w:pPr>
            <w:r>
              <w:rPr>
                <w:rFonts w:ascii="宋体" w:eastAsia="宋体" w:hint="eastAsia"/>
                <w:sz w:val="18"/>
              </w:rPr>
              <w:t>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right="-15"/>
              <w:rPr>
                <w:rFonts w:ascii="宋体" w:eastAsia="宋体" w:hint="eastAsia"/>
                <w:sz w:val="18"/>
              </w:rPr>
            </w:pPr>
            <w:r>
              <w:rPr>
                <w:rFonts w:ascii="宋体" w:eastAsia="宋体" w:hint="eastAsia"/>
                <w:spacing w:val="-8"/>
                <w:sz w:val="18"/>
              </w:rPr>
              <w:t>中国证券报 </w:t>
            </w:r>
            <w:r>
              <w:rPr>
                <w:sz w:val="18"/>
              </w:rPr>
              <w:t>B012</w:t>
            </w:r>
            <w:r>
              <w:rPr>
                <w:spacing w:val="1"/>
                <w:sz w:val="18"/>
              </w:rPr>
              <w:t> </w:t>
            </w:r>
            <w:r>
              <w:rPr>
                <w:rFonts w:ascii="宋体" w:eastAsia="宋体" w:hint="eastAsia"/>
                <w:spacing w:val="-18"/>
                <w:sz w:val="18"/>
              </w:rPr>
              <w:t>版、上海证券报 </w:t>
            </w:r>
            <w:r>
              <w:rPr>
                <w:sz w:val="18"/>
              </w:rPr>
              <w:t>132</w:t>
            </w:r>
            <w:r>
              <w:rPr>
                <w:spacing w:val="1"/>
                <w:sz w:val="18"/>
              </w:rPr>
              <w:t> </w:t>
            </w:r>
            <w:r>
              <w:rPr>
                <w:rFonts w:ascii="宋体" w:eastAsia="宋体" w:hint="eastAsia"/>
                <w:sz w:val="18"/>
              </w:rPr>
              <w:t>版、</w:t>
            </w:r>
          </w:p>
          <w:p>
            <w:pPr>
              <w:pStyle w:val="TableParagraph"/>
              <w:spacing w:before="81"/>
              <w:ind w:left="115"/>
              <w:rPr>
                <w:rFonts w:ascii="宋体" w:eastAsia="宋体" w:hint="eastAsia"/>
                <w:sz w:val="18"/>
              </w:rPr>
            </w:pPr>
            <w:r>
              <w:rPr>
                <w:rFonts w:ascii="宋体" w:eastAsia="宋体" w:hint="eastAsia"/>
                <w:sz w:val="18"/>
              </w:rPr>
              <w:t>证券时报 </w:t>
            </w:r>
            <w:r>
              <w:rPr>
                <w:sz w:val="18"/>
              </w:rPr>
              <w:t>B082 </w:t>
            </w:r>
            <w:r>
              <w:rPr>
                <w:rFonts w:ascii="宋体" w:eastAsia="宋体" w:hint="eastAsia"/>
                <w:sz w:val="18"/>
              </w:rPr>
              <w:t>版、证券日报 </w:t>
            </w:r>
            <w:r>
              <w:rPr>
                <w:sz w:val="18"/>
              </w:rPr>
              <w:t>D36 </w:t>
            </w:r>
            <w:r>
              <w:rPr>
                <w:rFonts w:ascii="宋体" w:eastAsia="宋体" w:hint="eastAsia"/>
                <w:sz w:val="18"/>
              </w:rPr>
              <w:t>版</w:t>
            </w:r>
          </w:p>
        </w:tc>
        <w:tc>
          <w:tcPr>
            <w:tcW w:w="1559" w:type="dxa"/>
            <w:tcBorders>
              <w:top w:val="single" w:sz="4" w:space="0" w:color="000000"/>
              <w:left w:val="single" w:sz="4" w:space="0" w:color="000000"/>
              <w:bottom w:val="single" w:sz="4" w:space="0" w:color="000000"/>
            </w:tcBorders>
          </w:tcPr>
          <w:p>
            <w:pPr>
              <w:pStyle w:val="TableParagraph"/>
              <w:spacing w:before="38"/>
              <w:ind w:left="94" w:right="55"/>
              <w:jc w:val="center"/>
              <w:rPr>
                <w:sz w:val="18"/>
              </w:rPr>
            </w:pPr>
            <w:r>
              <w:rPr>
                <w:sz w:val="18"/>
              </w:rPr>
              <w:t>2020 </w:t>
            </w:r>
            <w:r>
              <w:rPr>
                <w:rFonts w:ascii="宋体" w:eastAsia="宋体" w:hint="eastAsia"/>
                <w:sz w:val="18"/>
              </w:rPr>
              <w:t>年 </w:t>
            </w:r>
            <w:r>
              <w:rPr>
                <w:sz w:val="18"/>
              </w:rPr>
              <w:t>12 </w:t>
            </w:r>
            <w:r>
              <w:rPr>
                <w:rFonts w:ascii="宋体" w:eastAsia="宋体" w:hint="eastAsia"/>
                <w:sz w:val="18"/>
              </w:rPr>
              <w:t>月 </w:t>
            </w:r>
            <w:r>
              <w:rPr>
                <w:sz w:val="18"/>
              </w:rPr>
              <w:t>24</w:t>
            </w:r>
          </w:p>
          <w:p>
            <w:pPr>
              <w:pStyle w:val="TableParagraph"/>
              <w:spacing w:before="81"/>
              <w:ind w:left="39"/>
              <w:jc w:val="center"/>
              <w:rPr>
                <w:rFonts w:ascii="宋体" w:eastAsia="宋体" w:hint="eastAsia"/>
                <w:sz w:val="18"/>
              </w:rPr>
            </w:pPr>
            <w:r>
              <w:rPr>
                <w:rFonts w:ascii="宋体" w:eastAsia="宋体" w:hint="eastAsia"/>
                <w:sz w:val="18"/>
              </w:rPr>
              <w:t>日</w:t>
            </w:r>
          </w:p>
        </w:tc>
      </w:tr>
      <w:tr>
        <w:trPr>
          <w:trHeight w:val="623" w:hRule="atLeast"/>
        </w:trPr>
        <w:tc>
          <w:tcPr>
            <w:tcW w:w="4253" w:type="dxa"/>
            <w:tcBorders>
              <w:top w:val="single" w:sz="4" w:space="0" w:color="000000"/>
              <w:right w:val="single" w:sz="4" w:space="0" w:color="000000"/>
            </w:tcBorders>
          </w:tcPr>
          <w:p>
            <w:pPr>
              <w:pStyle w:val="TableParagraph"/>
              <w:spacing w:before="38"/>
              <w:ind w:left="105"/>
              <w:rPr>
                <w:rFonts w:ascii="宋体" w:eastAsia="宋体" w:hint="eastAsia"/>
                <w:sz w:val="18"/>
              </w:rPr>
            </w:pPr>
            <w:r>
              <w:rPr>
                <w:rFonts w:ascii="宋体" w:eastAsia="宋体" w:hint="eastAsia"/>
                <w:sz w:val="18"/>
              </w:rPr>
              <w:t>海尔智家股份有限公司关于控股股东变更名称及经</w:t>
            </w:r>
          </w:p>
          <w:p>
            <w:pPr>
              <w:pStyle w:val="TableParagraph"/>
              <w:spacing w:before="81"/>
              <w:ind w:left="105"/>
              <w:rPr>
                <w:rFonts w:ascii="宋体" w:eastAsia="宋体" w:hint="eastAsia"/>
                <w:sz w:val="18"/>
              </w:rPr>
            </w:pPr>
            <w:r>
              <w:rPr>
                <w:rFonts w:ascii="宋体" w:eastAsia="宋体" w:hint="eastAsia"/>
                <w:sz w:val="18"/>
              </w:rPr>
              <w:t>营范围的公告</w:t>
            </w:r>
          </w:p>
        </w:tc>
        <w:tc>
          <w:tcPr>
            <w:tcW w:w="3401" w:type="dxa"/>
            <w:tcBorders>
              <w:top w:val="single" w:sz="4" w:space="0" w:color="000000"/>
              <w:left w:val="single" w:sz="4" w:space="0" w:color="000000"/>
              <w:right w:val="single" w:sz="4" w:space="0" w:color="000000"/>
            </w:tcBorders>
          </w:tcPr>
          <w:p>
            <w:pPr>
              <w:pStyle w:val="TableParagraph"/>
              <w:spacing w:before="38"/>
              <w:ind w:left="115"/>
              <w:rPr>
                <w:rFonts w:ascii="宋体" w:eastAsia="宋体" w:hint="eastAsia"/>
                <w:sz w:val="18"/>
              </w:rPr>
            </w:pPr>
            <w:r>
              <w:rPr>
                <w:rFonts w:ascii="宋体" w:eastAsia="宋体" w:hint="eastAsia"/>
                <w:spacing w:val="-8"/>
                <w:sz w:val="18"/>
              </w:rPr>
              <w:t>中国证券报 </w:t>
            </w:r>
            <w:r>
              <w:rPr>
                <w:sz w:val="18"/>
              </w:rPr>
              <w:t>B004 </w:t>
            </w:r>
            <w:r>
              <w:rPr>
                <w:rFonts w:ascii="宋体" w:eastAsia="宋体" w:hint="eastAsia"/>
                <w:spacing w:val="-7"/>
                <w:sz w:val="18"/>
              </w:rPr>
              <w:t>版、上海证券报 </w:t>
            </w:r>
            <w:r>
              <w:rPr>
                <w:sz w:val="18"/>
              </w:rPr>
              <w:t>52 </w:t>
            </w:r>
            <w:r>
              <w:rPr>
                <w:rFonts w:ascii="宋体" w:eastAsia="宋体" w:hint="eastAsia"/>
                <w:spacing w:val="-8"/>
                <w:sz w:val="18"/>
              </w:rPr>
              <w:t>版、</w:t>
            </w:r>
          </w:p>
          <w:p>
            <w:pPr>
              <w:pStyle w:val="TableParagraph"/>
              <w:spacing w:before="81"/>
              <w:ind w:left="115"/>
              <w:rPr>
                <w:rFonts w:ascii="宋体" w:eastAsia="宋体" w:hint="eastAsia"/>
                <w:sz w:val="18"/>
              </w:rPr>
            </w:pPr>
            <w:r>
              <w:rPr>
                <w:rFonts w:ascii="宋体" w:eastAsia="宋体" w:hint="eastAsia"/>
                <w:sz w:val="18"/>
              </w:rPr>
              <w:t>证券时报 </w:t>
            </w:r>
            <w:r>
              <w:rPr>
                <w:sz w:val="18"/>
              </w:rPr>
              <w:t>B053 </w:t>
            </w:r>
            <w:r>
              <w:rPr>
                <w:rFonts w:ascii="宋体" w:eastAsia="宋体" w:hint="eastAsia"/>
                <w:sz w:val="18"/>
              </w:rPr>
              <w:t>版、证券日报 </w:t>
            </w:r>
            <w:r>
              <w:rPr>
                <w:sz w:val="18"/>
              </w:rPr>
              <w:t>D2 </w:t>
            </w:r>
            <w:r>
              <w:rPr>
                <w:rFonts w:ascii="宋体" w:eastAsia="宋体" w:hint="eastAsia"/>
                <w:sz w:val="18"/>
              </w:rPr>
              <w:t>版</w:t>
            </w:r>
          </w:p>
        </w:tc>
        <w:tc>
          <w:tcPr>
            <w:tcW w:w="1559" w:type="dxa"/>
            <w:tcBorders>
              <w:top w:val="single" w:sz="4" w:space="0" w:color="000000"/>
              <w:left w:val="single" w:sz="4" w:space="0" w:color="000000"/>
            </w:tcBorders>
          </w:tcPr>
          <w:p>
            <w:pPr>
              <w:pStyle w:val="TableParagraph"/>
              <w:spacing w:before="38"/>
              <w:ind w:left="94" w:right="55"/>
              <w:jc w:val="center"/>
              <w:rPr>
                <w:sz w:val="18"/>
              </w:rPr>
            </w:pPr>
            <w:r>
              <w:rPr>
                <w:sz w:val="18"/>
              </w:rPr>
              <w:t>2020 </w:t>
            </w:r>
            <w:r>
              <w:rPr>
                <w:rFonts w:ascii="宋体" w:eastAsia="宋体" w:hint="eastAsia"/>
                <w:sz w:val="18"/>
              </w:rPr>
              <w:t>年 </w:t>
            </w:r>
            <w:r>
              <w:rPr>
                <w:sz w:val="18"/>
              </w:rPr>
              <w:t>12 </w:t>
            </w:r>
            <w:r>
              <w:rPr>
                <w:rFonts w:ascii="宋体" w:eastAsia="宋体" w:hint="eastAsia"/>
                <w:sz w:val="18"/>
              </w:rPr>
              <w:t>月 </w:t>
            </w:r>
            <w:r>
              <w:rPr>
                <w:sz w:val="18"/>
              </w:rPr>
              <w:t>25</w:t>
            </w:r>
          </w:p>
          <w:p>
            <w:pPr>
              <w:pStyle w:val="TableParagraph"/>
              <w:spacing w:before="81"/>
              <w:ind w:left="39"/>
              <w:jc w:val="center"/>
              <w:rPr>
                <w:rFonts w:ascii="宋体" w:eastAsia="宋体" w:hint="eastAsia"/>
                <w:sz w:val="18"/>
              </w:rPr>
            </w:pPr>
            <w:r>
              <w:rPr>
                <w:rFonts w:ascii="宋体" w:eastAsia="宋体" w:hint="eastAsia"/>
                <w:sz w:val="18"/>
              </w:rPr>
              <w:t>日</w:t>
            </w:r>
          </w:p>
        </w:tc>
      </w:tr>
    </w:tbl>
    <w:p>
      <w:pPr>
        <w:pStyle w:val="BodyText"/>
        <w:spacing w:before="3"/>
        <w:rPr>
          <w:rFonts w:ascii="Times New Roman"/>
          <w:sz w:val="28"/>
        </w:rPr>
      </w:pPr>
    </w:p>
    <w:p>
      <w:pPr>
        <w:pStyle w:val="Heading4"/>
        <w:tabs>
          <w:tab w:pos="1809" w:val="left" w:leader="none"/>
        </w:tabs>
        <w:spacing w:line="230" w:lineRule="auto" w:before="14"/>
        <w:ind w:left="958" w:right="6431"/>
      </w:pPr>
      <w:r>
        <w:rPr/>
        <w:t>十七、积极履行社会责任</w:t>
      </w:r>
      <w:r>
        <w:rPr>
          <w:spacing w:val="-3"/>
        </w:rPr>
        <w:t>的</w:t>
      </w:r>
      <w:r>
        <w:rPr/>
        <w:t>工</w:t>
      </w:r>
      <w:r>
        <w:rPr>
          <w:spacing w:val="-3"/>
        </w:rPr>
        <w:t>作</w:t>
      </w:r>
      <w:r>
        <w:rPr/>
        <w:t>情</w:t>
      </w:r>
      <w:r>
        <w:rPr>
          <w:spacing w:val="-15"/>
        </w:rPr>
        <w:t>况</w:t>
      </w:r>
      <w:r>
        <w:rPr>
          <w:w w:val="125"/>
        </w:rPr>
        <w:t>(</w:t>
      </w:r>
      <w:r>
        <w:rPr>
          <w:w w:val="105"/>
        </w:rPr>
        <w:t>一</w:t>
      </w:r>
      <w:r>
        <w:rPr>
          <w:w w:val="125"/>
        </w:rPr>
        <w:t>)</w:t>
        <w:tab/>
      </w:r>
      <w:r>
        <w:rPr>
          <w:w w:val="105"/>
        </w:rPr>
        <w:t>上市公司扶贫工作</w:t>
      </w:r>
      <w:r>
        <w:rPr>
          <w:spacing w:val="-3"/>
          <w:w w:val="105"/>
        </w:rPr>
        <w:t>情</w:t>
      </w:r>
      <w:r>
        <w:rPr>
          <w:w w:val="105"/>
        </w:rPr>
        <w:t>况</w:t>
      </w:r>
    </w:p>
    <w:p>
      <w:pPr>
        <w:pStyle w:val="BodyText"/>
        <w:spacing w:before="60"/>
        <w:ind w:left="1382"/>
      </w:pPr>
      <w:r>
        <w:rPr>
          <w:rFonts w:ascii="Times New Roman" w:hAnsi="Times New Roman" w:eastAsia="Times New Roman"/>
        </w:rPr>
        <w:t>√</w:t>
      </w:r>
      <w:r>
        <w:rPr/>
        <w:t>适用 </w:t>
      </w:r>
      <w:r>
        <w:rPr>
          <w:rFonts w:ascii="Times New Roman" w:hAnsi="Times New Roman" w:eastAsia="Times New Roman"/>
        </w:rPr>
        <w:t>□</w:t>
      </w:r>
      <w:r>
        <w:rPr/>
        <w:t>不适用</w:t>
      </w:r>
    </w:p>
    <w:p>
      <w:pPr>
        <w:pStyle w:val="Heading4"/>
        <w:numPr>
          <w:ilvl w:val="0"/>
          <w:numId w:val="18"/>
        </w:numPr>
        <w:tabs>
          <w:tab w:pos="1382" w:val="left" w:leader="none"/>
          <w:tab w:pos="1383" w:val="left" w:leader="none"/>
        </w:tabs>
        <w:spacing w:line="240" w:lineRule="auto" w:before="34" w:after="0"/>
        <w:ind w:left="1382" w:right="0" w:hanging="425"/>
        <w:jc w:val="left"/>
      </w:pPr>
      <w:r>
        <w:rPr/>
        <w:t>精准扶贫规划</w:t>
      </w:r>
    </w:p>
    <w:p>
      <w:pPr>
        <w:pStyle w:val="BodyText"/>
        <w:spacing w:before="56"/>
        <w:ind w:left="1382"/>
      </w:pPr>
      <w:r>
        <w:rPr/>
        <w:t>√适用 □不适用</w:t>
      </w:r>
    </w:p>
    <w:p>
      <w:pPr>
        <w:pStyle w:val="BodyText"/>
        <w:spacing w:line="417" w:lineRule="auto" w:before="120"/>
        <w:ind w:left="958" w:right="973" w:firstLine="424"/>
      </w:pPr>
      <w:r>
        <w:rPr/>
        <w:t>公司按照国家精准扶贫规划和文件要求，重视扶贫工作，在股东大会对捐赠等事项的授权范围内，精准扶贫。</w:t>
      </w:r>
    </w:p>
    <w:p>
      <w:pPr>
        <w:pStyle w:val="BodyText"/>
        <w:spacing w:line="417" w:lineRule="auto"/>
        <w:ind w:left="958" w:right="968" w:firstLine="424"/>
        <w:jc w:val="both"/>
      </w:pPr>
      <w:r>
        <w:rPr>
          <w:spacing w:val="-3"/>
        </w:rPr>
        <w:t>新冠疫情发生以来，公司在第一时间行动，积极响应一线抗击疫情工作。依托公司在全球化</w:t>
      </w:r>
      <w:r>
        <w:rPr>
          <w:spacing w:val="-16"/>
        </w:rPr>
        <w:t>的布局，在资金、医疗设备、防疫物资、物联网家电、绿色物流通道等方面，连续实施多轮捐助， </w:t>
      </w:r>
      <w:r>
        <w:rPr>
          <w:spacing w:val="-7"/>
        </w:rPr>
        <w:t>积极全面支援疫区抗击疫情。</w:t>
      </w:r>
    </w:p>
    <w:p>
      <w:pPr>
        <w:pStyle w:val="BodyText"/>
        <w:spacing w:line="417" w:lineRule="auto"/>
        <w:ind w:left="958" w:right="968" w:firstLine="424"/>
        <w:jc w:val="both"/>
      </w:pPr>
      <w:r>
        <w:rPr>
          <w:spacing w:val="-3"/>
        </w:rPr>
        <w:t>此外，多年来，公司情系教育，真诚奉献，以提高贫困人口基本文化素质和贫困家庭劳动力技能为抓手，瞄准教育最薄弱领域，阻断贫困的代际传递。截止目前，公司、公司实际控制人海尔集团公司及其下属企业</w:t>
      </w:r>
      <w:r>
        <w:rPr/>
        <w:t>（</w:t>
      </w:r>
      <w:r>
        <w:rPr>
          <w:spacing w:val="-2"/>
        </w:rPr>
        <w:t>简称</w:t>
      </w:r>
      <w:r>
        <w:rPr>
          <w:rFonts w:ascii="Times New Roman" w:hAnsi="Times New Roman" w:eastAsia="Times New Roman"/>
        </w:rPr>
        <w:t>“</w:t>
      </w:r>
      <w:r>
        <w:rPr>
          <w:spacing w:val="-3"/>
        </w:rPr>
        <w:t>海尔集团</w:t>
      </w:r>
      <w:r>
        <w:rPr>
          <w:rFonts w:ascii="Times New Roman" w:hAnsi="Times New Roman" w:eastAsia="Times New Roman"/>
        </w:rPr>
        <w:t>”</w:t>
      </w:r>
      <w:r>
        <w:rPr/>
        <w:t>）</w:t>
      </w:r>
      <w:r>
        <w:rPr>
          <w:spacing w:val="-3"/>
        </w:rPr>
        <w:t>累计建设了希望小学、希望中学三百余所，覆盖全</w:t>
      </w:r>
      <w:r>
        <w:rPr>
          <w:spacing w:val="-18"/>
        </w:rPr>
        <w:t>国 </w:t>
      </w:r>
      <w:r>
        <w:rPr>
          <w:rFonts w:ascii="Times New Roman" w:hAnsi="Times New Roman" w:eastAsia="Times New Roman"/>
        </w:rPr>
        <w:t>26 </w:t>
      </w:r>
      <w:r>
        <w:rPr>
          <w:spacing w:val="-12"/>
        </w:rPr>
        <w:t>个省、直辖市、自治区，并对前述学校在各年度持续提供物资等方面的支持，有效增强贫困</w:t>
      </w:r>
      <w:r>
        <w:rPr>
          <w:spacing w:val="-6"/>
        </w:rPr>
        <w:t>地区的基础教育能力，提高教育质量；同时，公司在农业发展扶贫、农民健康扶贫等支持乡村建</w:t>
      </w:r>
      <w:r>
        <w:rPr>
          <w:spacing w:val="-4"/>
        </w:rPr>
        <w:t>设方面继续结对帮扶，助力美丽乡村建设，报告期内对新疆琼库尔克什拉克村、夏合亚迪村等进</w:t>
      </w:r>
      <w:r>
        <w:rPr>
          <w:spacing w:val="-3"/>
        </w:rPr>
        <w:t>行了资金等方面的支持。</w:t>
      </w:r>
    </w:p>
    <w:p>
      <w:pPr>
        <w:pStyle w:val="BodyText"/>
        <w:spacing w:before="6"/>
        <w:rPr>
          <w:sz w:val="17"/>
        </w:rPr>
      </w:pPr>
    </w:p>
    <w:p>
      <w:pPr>
        <w:pStyle w:val="Heading4"/>
        <w:numPr>
          <w:ilvl w:val="0"/>
          <w:numId w:val="18"/>
        </w:numPr>
        <w:tabs>
          <w:tab w:pos="1382" w:val="left" w:leader="none"/>
          <w:tab w:pos="1383" w:val="left" w:leader="none"/>
        </w:tabs>
        <w:spacing w:line="240" w:lineRule="auto" w:before="0" w:after="0"/>
        <w:ind w:left="1382" w:right="0" w:hanging="425"/>
        <w:jc w:val="left"/>
      </w:pPr>
      <w:r>
        <w:rPr/>
        <w:t>年度精准扶贫概要</w:t>
      </w:r>
    </w:p>
    <w:p>
      <w:pPr>
        <w:pStyle w:val="BodyText"/>
        <w:spacing w:before="55"/>
        <w:ind w:left="1382"/>
      </w:pPr>
      <w:r>
        <w:rPr/>
        <w:t>√适用 □不适用</w:t>
      </w:r>
    </w:p>
    <w:p>
      <w:pPr>
        <w:pStyle w:val="BodyText"/>
        <w:spacing w:line="417" w:lineRule="auto" w:before="121"/>
        <w:ind w:left="958" w:right="975" w:firstLine="424"/>
        <w:jc w:val="both"/>
      </w:pPr>
      <w:r>
        <w:rPr>
          <w:rFonts w:ascii="Times New Roman" w:eastAsia="Times New Roman"/>
        </w:rPr>
        <w:t>2020 </w:t>
      </w:r>
      <w:r>
        <w:rPr>
          <w:spacing w:val="-5"/>
        </w:rPr>
        <w:t>年，本公司用于精准扶贫的资金支出约为 </w:t>
      </w:r>
      <w:r>
        <w:rPr>
          <w:rFonts w:ascii="Times New Roman" w:eastAsia="Times New Roman"/>
        </w:rPr>
        <w:t>4,058 </w:t>
      </w:r>
      <w:r>
        <w:rPr>
          <w:spacing w:val="-3"/>
        </w:rPr>
        <w:t>万元，主要用于支援灾区抗击疫情以及农业发展扶贫、农民健康扶贫，积极响应政府号召，践行社会责任。</w:t>
      </w:r>
    </w:p>
    <w:p>
      <w:pPr>
        <w:pStyle w:val="BodyText"/>
        <w:spacing w:before="11"/>
        <w:rPr>
          <w:sz w:val="16"/>
        </w:rPr>
      </w:pPr>
    </w:p>
    <w:p>
      <w:pPr>
        <w:pStyle w:val="Heading4"/>
        <w:numPr>
          <w:ilvl w:val="0"/>
          <w:numId w:val="18"/>
        </w:numPr>
        <w:tabs>
          <w:tab w:pos="1382" w:val="left" w:leader="none"/>
          <w:tab w:pos="1383" w:val="left" w:leader="none"/>
        </w:tabs>
        <w:spacing w:line="240" w:lineRule="auto" w:before="9" w:after="0"/>
        <w:ind w:left="1382" w:right="0" w:hanging="425"/>
        <w:jc w:val="left"/>
      </w:pPr>
      <w:r>
        <w:rPr/>
        <w:t>精准扶贫成效</w:t>
      </w:r>
    </w:p>
    <w:p>
      <w:pPr>
        <w:pStyle w:val="BodyText"/>
        <w:spacing w:before="55"/>
        <w:ind w:left="958"/>
      </w:pPr>
      <w:r>
        <w:rPr/>
        <w:t>√适用 □不适用</w:t>
      </w:r>
    </w:p>
    <w:p>
      <w:pPr>
        <w:pStyle w:val="BodyText"/>
        <w:tabs>
          <w:tab w:pos="8531" w:val="left" w:leader="none"/>
        </w:tabs>
        <w:spacing w:before="43" w:after="21"/>
        <w:ind w:left="7268"/>
      </w:pPr>
      <w:r>
        <w:rPr/>
        <w:t>单位</w:t>
      </w:r>
      <w:r>
        <w:rPr>
          <w:spacing w:val="-3"/>
        </w:rPr>
        <w:t>：</w:t>
      </w:r>
      <w:r>
        <w:rPr/>
        <w:t>万元</w:t>
        <w:tab/>
      </w:r>
      <w:r>
        <w:rPr>
          <w:spacing w:val="-3"/>
        </w:rPr>
        <w:t>币</w:t>
      </w:r>
      <w:r>
        <w:rPr/>
        <w:t>种</w:t>
      </w:r>
      <w:r>
        <w:rPr>
          <w:spacing w:val="-3"/>
        </w:rPr>
        <w:t>：</w:t>
      </w:r>
      <w:r>
        <w:rPr/>
        <w:t>人</w:t>
      </w:r>
      <w:r>
        <w:rPr>
          <w:spacing w:val="-3"/>
        </w:rPr>
        <w:t>民</w:t>
      </w:r>
      <w:r>
        <w:rPr/>
        <w:t>币</w:t>
      </w:r>
    </w:p>
    <w:tbl>
      <w:tblPr>
        <w:tblW w:w="0" w:type="auto"/>
        <w:jc w:val="left"/>
        <w:tblInd w:w="86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787"/>
        <w:gridCol w:w="4263"/>
      </w:tblGrid>
      <w:tr>
        <w:trPr>
          <w:trHeight w:val="311" w:hRule="atLeast"/>
        </w:trPr>
        <w:tc>
          <w:tcPr>
            <w:tcW w:w="4787" w:type="dxa"/>
            <w:tcBorders>
              <w:bottom w:val="single" w:sz="4" w:space="0" w:color="000000"/>
              <w:right w:val="single" w:sz="4" w:space="0" w:color="000000"/>
            </w:tcBorders>
            <w:shd w:val="clear" w:color="auto" w:fill="EDEBE0"/>
          </w:tcPr>
          <w:p>
            <w:pPr>
              <w:pStyle w:val="TableParagraph"/>
              <w:tabs>
                <w:tab w:pos="651" w:val="left" w:leader="none"/>
              </w:tabs>
              <w:spacing w:before="22"/>
              <w:ind w:left="20"/>
              <w:jc w:val="center"/>
              <w:rPr>
                <w:rFonts w:ascii="宋体" w:eastAsia="宋体" w:hint="eastAsia"/>
                <w:sz w:val="21"/>
              </w:rPr>
            </w:pPr>
            <w:r>
              <w:rPr>
                <w:rFonts w:ascii="宋体" w:eastAsia="宋体" w:hint="eastAsia"/>
                <w:sz w:val="21"/>
              </w:rPr>
              <w:t>指</w:t>
              <w:tab/>
              <w:t>标</w:t>
            </w:r>
          </w:p>
        </w:tc>
        <w:tc>
          <w:tcPr>
            <w:tcW w:w="4263" w:type="dxa"/>
            <w:tcBorders>
              <w:left w:val="single" w:sz="4" w:space="0" w:color="000000"/>
              <w:bottom w:val="single" w:sz="4" w:space="0" w:color="000000"/>
            </w:tcBorders>
            <w:shd w:val="clear" w:color="auto" w:fill="EDEBE0"/>
          </w:tcPr>
          <w:p>
            <w:pPr>
              <w:pStyle w:val="TableParagraph"/>
              <w:spacing w:before="22"/>
              <w:ind w:left="1405"/>
              <w:rPr>
                <w:rFonts w:ascii="宋体" w:eastAsia="宋体" w:hint="eastAsia"/>
                <w:sz w:val="21"/>
              </w:rPr>
            </w:pPr>
            <w:r>
              <w:rPr>
                <w:rFonts w:ascii="宋体" w:eastAsia="宋体" w:hint="eastAsia"/>
                <w:sz w:val="21"/>
              </w:rPr>
              <w:t>数量及开展情况</w:t>
            </w:r>
          </w:p>
        </w:tc>
      </w:tr>
      <w:tr>
        <w:trPr>
          <w:trHeight w:val="313" w:hRule="atLeast"/>
        </w:trPr>
        <w:tc>
          <w:tcPr>
            <w:tcW w:w="9050" w:type="dxa"/>
            <w:gridSpan w:val="2"/>
            <w:tcBorders>
              <w:top w:val="single" w:sz="4" w:space="0" w:color="000000"/>
            </w:tcBorders>
          </w:tcPr>
          <w:p>
            <w:pPr>
              <w:pStyle w:val="TableParagraph"/>
              <w:spacing w:before="22"/>
              <w:ind w:left="107"/>
              <w:rPr>
                <w:rFonts w:ascii="宋体" w:eastAsia="宋体" w:hint="eastAsia"/>
                <w:sz w:val="21"/>
              </w:rPr>
            </w:pPr>
            <w:r>
              <w:rPr>
                <w:rFonts w:ascii="宋体" w:eastAsia="宋体" w:hint="eastAsia"/>
                <w:sz w:val="21"/>
              </w:rPr>
              <w:t>一、总体情况</w:t>
            </w:r>
          </w:p>
        </w:tc>
      </w:tr>
    </w:tbl>
    <w:p>
      <w:pPr>
        <w:spacing w:after="0"/>
        <w:rPr>
          <w:rFonts w:ascii="宋体" w:eastAsia="宋体" w:hint="eastAsia"/>
          <w:sz w:val="21"/>
        </w:rPr>
        <w:sectPr>
          <w:pgSz w:w="11910" w:h="16840"/>
          <w:pgMar w:header="874" w:footer="1214" w:top="1120" w:bottom="1400" w:left="840" w:right="300"/>
        </w:sectPr>
      </w:pPr>
    </w:p>
    <w:p>
      <w:pPr>
        <w:pStyle w:val="BodyText"/>
        <w:rPr>
          <w:sz w:val="20"/>
        </w:rPr>
      </w:pPr>
    </w:p>
    <w:p>
      <w:pPr>
        <w:pStyle w:val="BodyText"/>
        <w:spacing w:before="3"/>
        <w:rPr>
          <w:sz w:val="11"/>
        </w:rPr>
      </w:pPr>
    </w:p>
    <w:tbl>
      <w:tblPr>
        <w:tblW w:w="0" w:type="auto"/>
        <w:jc w:val="left"/>
        <w:tblInd w:w="86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787"/>
        <w:gridCol w:w="4263"/>
      </w:tblGrid>
      <w:tr>
        <w:trPr>
          <w:trHeight w:val="314" w:hRule="atLeast"/>
        </w:trPr>
        <w:tc>
          <w:tcPr>
            <w:tcW w:w="4787" w:type="dxa"/>
            <w:tcBorders>
              <w:bottom w:val="single" w:sz="4" w:space="0" w:color="000000"/>
              <w:right w:val="single" w:sz="4" w:space="0" w:color="000000"/>
            </w:tcBorders>
          </w:tcPr>
          <w:p>
            <w:pPr>
              <w:pStyle w:val="TableParagraph"/>
              <w:spacing w:before="25"/>
              <w:ind w:left="107"/>
              <w:rPr>
                <w:rFonts w:ascii="宋体" w:eastAsia="宋体" w:hint="eastAsia"/>
                <w:sz w:val="21"/>
              </w:rPr>
            </w:pPr>
            <w:r>
              <w:rPr>
                <w:rFonts w:ascii="宋体" w:eastAsia="宋体" w:hint="eastAsia"/>
                <w:sz w:val="21"/>
              </w:rPr>
              <w:t>其中：</w:t>
            </w:r>
            <w:r>
              <w:rPr>
                <w:sz w:val="21"/>
              </w:rPr>
              <w:t>1.</w:t>
            </w:r>
            <w:r>
              <w:rPr>
                <w:rFonts w:ascii="宋体" w:eastAsia="宋体" w:hint="eastAsia"/>
                <w:sz w:val="21"/>
              </w:rPr>
              <w:t>资金</w:t>
            </w:r>
          </w:p>
        </w:tc>
        <w:tc>
          <w:tcPr>
            <w:tcW w:w="4263" w:type="dxa"/>
            <w:tcBorders>
              <w:left w:val="single" w:sz="4" w:space="0" w:color="000000"/>
              <w:bottom w:val="single" w:sz="4" w:space="0" w:color="000000"/>
            </w:tcBorders>
          </w:tcPr>
          <w:p>
            <w:pPr>
              <w:pStyle w:val="TableParagraph"/>
              <w:spacing w:before="36"/>
              <w:ind w:right="72"/>
              <w:jc w:val="right"/>
              <w:rPr>
                <w:sz w:val="21"/>
              </w:rPr>
            </w:pPr>
            <w:r>
              <w:rPr>
                <w:sz w:val="21"/>
              </w:rPr>
              <w:t>4,058</w:t>
            </w:r>
          </w:p>
        </w:tc>
      </w:tr>
      <w:tr>
        <w:trPr>
          <w:trHeight w:val="311" w:hRule="atLeast"/>
        </w:trPr>
        <w:tc>
          <w:tcPr>
            <w:tcW w:w="9050" w:type="dxa"/>
            <w:gridSpan w:val="2"/>
            <w:tcBorders>
              <w:top w:val="single" w:sz="4" w:space="0" w:color="000000"/>
              <w:bottom w:val="single" w:sz="4" w:space="0" w:color="000000"/>
            </w:tcBorders>
          </w:tcPr>
          <w:p>
            <w:pPr>
              <w:pStyle w:val="TableParagraph"/>
              <w:spacing w:before="22"/>
              <w:ind w:left="107"/>
              <w:rPr>
                <w:rFonts w:ascii="宋体" w:eastAsia="宋体" w:hint="eastAsia"/>
                <w:sz w:val="21"/>
              </w:rPr>
            </w:pPr>
            <w:r>
              <w:rPr>
                <w:rFonts w:ascii="宋体" w:eastAsia="宋体" w:hint="eastAsia"/>
                <w:sz w:val="21"/>
              </w:rPr>
              <w:t>二、分项投入</w:t>
            </w:r>
          </w:p>
        </w:tc>
      </w:tr>
      <w:tr>
        <w:trPr>
          <w:trHeight w:val="311" w:hRule="atLeast"/>
        </w:trPr>
        <w:tc>
          <w:tcPr>
            <w:tcW w:w="9050" w:type="dxa"/>
            <w:gridSpan w:val="2"/>
            <w:tcBorders>
              <w:top w:val="single" w:sz="4" w:space="0" w:color="000000"/>
              <w:bottom w:val="single" w:sz="4" w:space="0" w:color="000000"/>
            </w:tcBorders>
          </w:tcPr>
          <w:p>
            <w:pPr>
              <w:pStyle w:val="TableParagraph"/>
              <w:spacing w:before="22"/>
              <w:ind w:left="421"/>
              <w:rPr>
                <w:rFonts w:ascii="宋体" w:eastAsia="宋体" w:hint="eastAsia"/>
                <w:sz w:val="21"/>
              </w:rPr>
            </w:pPr>
            <w:r>
              <w:rPr>
                <w:sz w:val="21"/>
              </w:rPr>
              <w:t>1.</w:t>
            </w:r>
            <w:r>
              <w:rPr>
                <w:rFonts w:ascii="宋体" w:eastAsia="宋体" w:hint="eastAsia"/>
                <w:sz w:val="21"/>
              </w:rPr>
              <w:t>教育脱贫</w:t>
            </w:r>
          </w:p>
        </w:tc>
      </w:tr>
      <w:tr>
        <w:trPr>
          <w:trHeight w:val="311" w:hRule="atLeast"/>
        </w:trPr>
        <w:tc>
          <w:tcPr>
            <w:tcW w:w="4787" w:type="dxa"/>
            <w:tcBorders>
              <w:top w:val="single" w:sz="4" w:space="0" w:color="000000"/>
              <w:bottom w:val="single" w:sz="4" w:space="0" w:color="000000"/>
              <w:right w:val="single" w:sz="4" w:space="0" w:color="000000"/>
            </w:tcBorders>
          </w:tcPr>
          <w:p>
            <w:pPr>
              <w:pStyle w:val="TableParagraph"/>
              <w:spacing w:before="22"/>
              <w:ind w:left="738"/>
              <w:rPr>
                <w:rFonts w:ascii="宋体" w:eastAsia="宋体" w:hint="eastAsia"/>
                <w:sz w:val="21"/>
              </w:rPr>
            </w:pPr>
            <w:r>
              <w:rPr>
                <w:sz w:val="21"/>
              </w:rPr>
              <w:t>1.1 </w:t>
            </w:r>
            <w:r>
              <w:rPr>
                <w:rFonts w:ascii="宋体" w:eastAsia="宋体" w:hint="eastAsia"/>
                <w:sz w:val="21"/>
              </w:rPr>
              <w:t>改善贫困地区教育资源投入金额</w:t>
            </w:r>
          </w:p>
        </w:tc>
        <w:tc>
          <w:tcPr>
            <w:tcW w:w="4263" w:type="dxa"/>
            <w:tcBorders>
              <w:top w:val="single" w:sz="4" w:space="0" w:color="000000"/>
              <w:left w:val="single" w:sz="4" w:space="0" w:color="000000"/>
              <w:bottom w:val="single" w:sz="4" w:space="0" w:color="000000"/>
            </w:tcBorders>
          </w:tcPr>
          <w:p>
            <w:pPr>
              <w:pStyle w:val="TableParagraph"/>
              <w:spacing w:before="34"/>
              <w:ind w:right="72"/>
              <w:jc w:val="right"/>
              <w:rPr>
                <w:sz w:val="21"/>
              </w:rPr>
            </w:pPr>
            <w:r>
              <w:rPr>
                <w:sz w:val="21"/>
              </w:rPr>
              <w:t>719</w:t>
            </w:r>
          </w:p>
        </w:tc>
      </w:tr>
      <w:tr>
        <w:trPr>
          <w:trHeight w:val="314" w:hRule="atLeast"/>
        </w:trPr>
        <w:tc>
          <w:tcPr>
            <w:tcW w:w="9050" w:type="dxa"/>
            <w:gridSpan w:val="2"/>
            <w:tcBorders>
              <w:top w:val="single" w:sz="4" w:space="0" w:color="000000"/>
              <w:bottom w:val="single" w:sz="4" w:space="0" w:color="000000"/>
            </w:tcBorders>
          </w:tcPr>
          <w:p>
            <w:pPr>
              <w:pStyle w:val="TableParagraph"/>
              <w:spacing w:before="25"/>
              <w:ind w:left="421"/>
              <w:rPr>
                <w:rFonts w:ascii="宋体" w:eastAsia="宋体" w:hint="eastAsia"/>
                <w:sz w:val="21"/>
              </w:rPr>
            </w:pPr>
            <w:r>
              <w:rPr>
                <w:sz w:val="21"/>
              </w:rPr>
              <w:t>2.</w:t>
            </w:r>
            <w:r>
              <w:rPr>
                <w:rFonts w:ascii="宋体" w:eastAsia="宋体" w:hint="eastAsia"/>
                <w:sz w:val="21"/>
              </w:rPr>
              <w:t>健康扶贫</w:t>
            </w:r>
          </w:p>
        </w:tc>
      </w:tr>
      <w:tr>
        <w:trPr>
          <w:trHeight w:val="311" w:hRule="atLeast"/>
        </w:trPr>
        <w:tc>
          <w:tcPr>
            <w:tcW w:w="4787" w:type="dxa"/>
            <w:tcBorders>
              <w:top w:val="single" w:sz="4" w:space="0" w:color="000000"/>
              <w:bottom w:val="single" w:sz="4" w:space="0" w:color="000000"/>
              <w:right w:val="single" w:sz="4" w:space="0" w:color="000000"/>
            </w:tcBorders>
          </w:tcPr>
          <w:p>
            <w:pPr>
              <w:pStyle w:val="TableParagraph"/>
              <w:spacing w:before="22"/>
              <w:ind w:left="107"/>
              <w:rPr>
                <w:rFonts w:ascii="宋体" w:eastAsia="宋体" w:hint="eastAsia"/>
                <w:sz w:val="21"/>
              </w:rPr>
            </w:pPr>
            <w:r>
              <w:rPr>
                <w:rFonts w:ascii="宋体" w:eastAsia="宋体" w:hint="eastAsia"/>
                <w:sz w:val="21"/>
              </w:rPr>
              <w:t>其中：</w:t>
            </w:r>
            <w:r>
              <w:rPr>
                <w:sz w:val="21"/>
              </w:rPr>
              <w:t>2.1 </w:t>
            </w:r>
            <w:r>
              <w:rPr>
                <w:rFonts w:ascii="宋体" w:eastAsia="宋体" w:hint="eastAsia"/>
                <w:sz w:val="21"/>
              </w:rPr>
              <w:t>贫困地区医疗卫生资源投入金额</w:t>
            </w:r>
          </w:p>
        </w:tc>
        <w:tc>
          <w:tcPr>
            <w:tcW w:w="4263" w:type="dxa"/>
            <w:tcBorders>
              <w:top w:val="single" w:sz="4" w:space="0" w:color="000000"/>
              <w:left w:val="single" w:sz="4" w:space="0" w:color="000000"/>
              <w:bottom w:val="single" w:sz="4" w:space="0" w:color="000000"/>
            </w:tcBorders>
          </w:tcPr>
          <w:p>
            <w:pPr>
              <w:pStyle w:val="TableParagraph"/>
              <w:spacing w:before="34"/>
              <w:ind w:right="74"/>
              <w:jc w:val="right"/>
              <w:rPr>
                <w:sz w:val="21"/>
              </w:rPr>
            </w:pPr>
            <w:r>
              <w:rPr>
                <w:sz w:val="21"/>
              </w:rPr>
              <w:t>35</w:t>
            </w:r>
          </w:p>
        </w:tc>
      </w:tr>
      <w:tr>
        <w:trPr>
          <w:trHeight w:val="311" w:hRule="atLeast"/>
        </w:trPr>
        <w:tc>
          <w:tcPr>
            <w:tcW w:w="9050" w:type="dxa"/>
            <w:gridSpan w:val="2"/>
            <w:tcBorders>
              <w:top w:val="single" w:sz="4" w:space="0" w:color="000000"/>
              <w:bottom w:val="single" w:sz="4" w:space="0" w:color="000000"/>
            </w:tcBorders>
          </w:tcPr>
          <w:p>
            <w:pPr>
              <w:pStyle w:val="TableParagraph"/>
              <w:spacing w:before="22"/>
              <w:ind w:left="421"/>
              <w:rPr>
                <w:rFonts w:ascii="宋体" w:eastAsia="宋体" w:hint="eastAsia"/>
                <w:sz w:val="21"/>
              </w:rPr>
            </w:pPr>
            <w:r>
              <w:rPr>
                <w:sz w:val="21"/>
              </w:rPr>
              <w:t>3.</w:t>
            </w:r>
            <w:r>
              <w:rPr>
                <w:rFonts w:ascii="宋体" w:eastAsia="宋体" w:hint="eastAsia"/>
                <w:sz w:val="21"/>
              </w:rPr>
              <w:t>社会扶贫</w:t>
            </w:r>
          </w:p>
        </w:tc>
      </w:tr>
      <w:tr>
        <w:trPr>
          <w:trHeight w:val="311" w:hRule="atLeast"/>
        </w:trPr>
        <w:tc>
          <w:tcPr>
            <w:tcW w:w="4787" w:type="dxa"/>
            <w:tcBorders>
              <w:top w:val="single" w:sz="4" w:space="0" w:color="000000"/>
              <w:bottom w:val="single" w:sz="4" w:space="0" w:color="000000"/>
              <w:right w:val="single" w:sz="4" w:space="0" w:color="000000"/>
            </w:tcBorders>
          </w:tcPr>
          <w:p>
            <w:pPr>
              <w:pStyle w:val="TableParagraph"/>
              <w:spacing w:before="22"/>
              <w:ind w:left="738"/>
              <w:rPr>
                <w:rFonts w:ascii="宋体" w:eastAsia="宋体" w:hint="eastAsia"/>
                <w:sz w:val="21"/>
              </w:rPr>
            </w:pPr>
            <w:r>
              <w:rPr>
                <w:sz w:val="21"/>
              </w:rPr>
              <w:t>3.2 </w:t>
            </w:r>
            <w:r>
              <w:rPr>
                <w:rFonts w:ascii="宋体" w:eastAsia="宋体" w:hint="eastAsia"/>
                <w:sz w:val="21"/>
              </w:rPr>
              <w:t>定点扶贫工作投入金额</w:t>
            </w:r>
          </w:p>
        </w:tc>
        <w:tc>
          <w:tcPr>
            <w:tcW w:w="4263" w:type="dxa"/>
            <w:tcBorders>
              <w:top w:val="single" w:sz="4" w:space="0" w:color="000000"/>
              <w:left w:val="single" w:sz="4" w:space="0" w:color="000000"/>
              <w:bottom w:val="single" w:sz="4" w:space="0" w:color="000000"/>
            </w:tcBorders>
          </w:tcPr>
          <w:p>
            <w:pPr>
              <w:pStyle w:val="TableParagraph"/>
              <w:spacing w:before="34"/>
              <w:ind w:right="74"/>
              <w:jc w:val="right"/>
              <w:rPr>
                <w:sz w:val="21"/>
              </w:rPr>
            </w:pPr>
            <w:r>
              <w:rPr>
                <w:sz w:val="21"/>
              </w:rPr>
              <w:t>34</w:t>
            </w:r>
          </w:p>
        </w:tc>
      </w:tr>
      <w:tr>
        <w:trPr>
          <w:trHeight w:val="311" w:hRule="atLeast"/>
        </w:trPr>
        <w:tc>
          <w:tcPr>
            <w:tcW w:w="4787" w:type="dxa"/>
            <w:tcBorders>
              <w:top w:val="single" w:sz="4" w:space="0" w:color="000000"/>
              <w:right w:val="single" w:sz="4" w:space="0" w:color="000000"/>
            </w:tcBorders>
          </w:tcPr>
          <w:p>
            <w:pPr>
              <w:pStyle w:val="TableParagraph"/>
              <w:spacing w:line="269" w:lineRule="exact" w:before="22"/>
              <w:ind w:left="738"/>
              <w:rPr>
                <w:rFonts w:ascii="宋体" w:eastAsia="宋体" w:hint="eastAsia"/>
                <w:sz w:val="21"/>
              </w:rPr>
            </w:pPr>
            <w:r>
              <w:rPr>
                <w:sz w:val="21"/>
              </w:rPr>
              <w:t>3.3 </w:t>
            </w:r>
            <w:r>
              <w:rPr>
                <w:rFonts w:ascii="宋体" w:eastAsia="宋体" w:hint="eastAsia"/>
                <w:sz w:val="21"/>
              </w:rPr>
              <w:t>扶贫公益基金</w:t>
            </w:r>
          </w:p>
        </w:tc>
        <w:tc>
          <w:tcPr>
            <w:tcW w:w="4263" w:type="dxa"/>
            <w:tcBorders>
              <w:top w:val="single" w:sz="4" w:space="0" w:color="000000"/>
              <w:left w:val="single" w:sz="4" w:space="0" w:color="000000"/>
            </w:tcBorders>
          </w:tcPr>
          <w:p>
            <w:pPr>
              <w:pStyle w:val="TableParagraph"/>
              <w:spacing w:before="34"/>
              <w:ind w:right="72"/>
              <w:jc w:val="right"/>
              <w:rPr>
                <w:sz w:val="21"/>
              </w:rPr>
            </w:pPr>
            <w:r>
              <w:rPr>
                <w:sz w:val="21"/>
              </w:rPr>
              <w:t>3,270</w:t>
            </w:r>
          </w:p>
        </w:tc>
      </w:tr>
    </w:tbl>
    <w:p>
      <w:pPr>
        <w:pStyle w:val="BodyText"/>
        <w:spacing w:before="11"/>
        <w:rPr>
          <w:sz w:val="24"/>
        </w:rPr>
      </w:pPr>
    </w:p>
    <w:p>
      <w:pPr>
        <w:pStyle w:val="Heading4"/>
        <w:numPr>
          <w:ilvl w:val="0"/>
          <w:numId w:val="18"/>
        </w:numPr>
        <w:tabs>
          <w:tab w:pos="1382" w:val="left" w:leader="none"/>
          <w:tab w:pos="1383" w:val="left" w:leader="none"/>
        </w:tabs>
        <w:spacing w:line="240" w:lineRule="auto" w:before="9" w:after="0"/>
        <w:ind w:left="1382" w:right="0" w:hanging="425"/>
        <w:jc w:val="left"/>
      </w:pPr>
      <w:r>
        <w:rPr/>
        <w:t>后续精准扶贫计划</w:t>
      </w:r>
    </w:p>
    <w:p>
      <w:pPr>
        <w:pStyle w:val="BodyText"/>
        <w:spacing w:before="56"/>
        <w:ind w:left="1382"/>
        <w:jc w:val="both"/>
      </w:pPr>
      <w:r>
        <w:rPr/>
        <w:t>√适用 □不适用</w:t>
      </w:r>
    </w:p>
    <w:p>
      <w:pPr>
        <w:pStyle w:val="BodyText"/>
        <w:spacing w:line="417" w:lineRule="auto" w:before="120"/>
        <w:ind w:left="958" w:right="968" w:firstLine="424"/>
        <w:jc w:val="both"/>
      </w:pPr>
      <w:r>
        <w:rPr>
          <w:spacing w:val="-3"/>
        </w:rPr>
        <w:t>本公司将会同海尔集团及各相关方，继续认真贯彻落实中央扶贫文件精神，夯实公司自身在</w:t>
      </w:r>
      <w:r>
        <w:rPr>
          <w:spacing w:val="-16"/>
        </w:rPr>
        <w:t>抗疫方面取得的成果，继续驰援疫区所需物资、服务等，会同社会各界齐心协力打赢抗疫攻坚战； </w:t>
      </w:r>
      <w:r>
        <w:rPr>
          <w:spacing w:val="-7"/>
        </w:rPr>
        <w:t>并继续致力于完善贫困地区教育水平的提高、促进乡村人才振兴、关注儿童身心健康等方面，积</w:t>
      </w:r>
      <w:r>
        <w:rPr>
          <w:spacing w:val="-5"/>
        </w:rPr>
        <w:t>极履行社会责任。</w:t>
      </w:r>
    </w:p>
    <w:p>
      <w:pPr>
        <w:pStyle w:val="BodyText"/>
        <w:spacing w:before="7"/>
        <w:rPr>
          <w:sz w:val="17"/>
        </w:rPr>
      </w:pPr>
    </w:p>
    <w:p>
      <w:pPr>
        <w:pStyle w:val="Heading4"/>
        <w:tabs>
          <w:tab w:pos="1601" w:val="left" w:leader="none"/>
        </w:tabs>
        <w:ind w:left="958"/>
      </w:pPr>
      <w:r>
        <w:rPr>
          <w:w w:val="125"/>
        </w:rPr>
        <w:t>(</w:t>
      </w:r>
      <w:r>
        <w:rPr>
          <w:w w:val="105"/>
        </w:rPr>
        <w:t>二</w:t>
      </w:r>
      <w:r>
        <w:rPr>
          <w:w w:val="125"/>
        </w:rPr>
        <w:t>)</w:t>
        <w:tab/>
      </w:r>
      <w:r>
        <w:rPr>
          <w:w w:val="105"/>
        </w:rPr>
        <w:t>社会责任工作情况</w:t>
      </w:r>
    </w:p>
    <w:p>
      <w:pPr>
        <w:pStyle w:val="BodyText"/>
        <w:spacing w:before="55"/>
        <w:ind w:left="1382"/>
        <w:jc w:val="both"/>
      </w:pPr>
      <w:r>
        <w:rPr/>
        <w:t>√适用 □不适用</w:t>
      </w:r>
    </w:p>
    <w:p>
      <w:pPr>
        <w:pStyle w:val="BodyText"/>
        <w:spacing w:before="43"/>
        <w:ind w:left="1382"/>
        <w:jc w:val="both"/>
      </w:pPr>
      <w:r>
        <w:rPr/>
        <w:t>详见与本定期报告同日披露的《海尔智家股份有限公司 </w:t>
      </w:r>
      <w:r>
        <w:rPr>
          <w:rFonts w:ascii="Times New Roman" w:eastAsia="Times New Roman"/>
        </w:rPr>
        <w:t>2020 </w:t>
      </w:r>
      <w:r>
        <w:rPr/>
        <w:t>年社会责任报告》。</w:t>
      </w:r>
    </w:p>
    <w:p>
      <w:pPr>
        <w:pStyle w:val="BodyText"/>
        <w:rPr>
          <w:sz w:val="27"/>
        </w:rPr>
      </w:pPr>
    </w:p>
    <w:p>
      <w:pPr>
        <w:pStyle w:val="Heading4"/>
        <w:tabs>
          <w:tab w:pos="1601" w:val="left" w:leader="none"/>
        </w:tabs>
        <w:spacing w:line="379" w:lineRule="exact"/>
        <w:ind w:left="958"/>
      </w:pPr>
      <w:r>
        <w:rPr>
          <w:w w:val="125"/>
        </w:rPr>
        <w:t>(</w:t>
      </w:r>
      <w:r>
        <w:rPr>
          <w:w w:val="110"/>
        </w:rPr>
        <w:t>三</w:t>
      </w:r>
      <w:r>
        <w:rPr>
          <w:w w:val="125"/>
        </w:rPr>
        <w:t>)</w:t>
        <w:tab/>
      </w:r>
      <w:r>
        <w:rPr>
          <w:w w:val="110"/>
        </w:rPr>
        <w:t>环境信息情况</w:t>
      </w:r>
    </w:p>
    <w:p>
      <w:pPr>
        <w:pStyle w:val="Heading4"/>
        <w:numPr>
          <w:ilvl w:val="0"/>
          <w:numId w:val="19"/>
        </w:numPr>
        <w:tabs>
          <w:tab w:pos="1382" w:val="left" w:leader="none"/>
          <w:tab w:pos="1383" w:val="left" w:leader="none"/>
        </w:tabs>
        <w:spacing w:line="379" w:lineRule="exact" w:before="0" w:after="0"/>
        <w:ind w:left="1382" w:right="0" w:hanging="425"/>
        <w:jc w:val="left"/>
      </w:pPr>
      <w:r>
        <w:rPr>
          <w:spacing w:val="-3"/>
        </w:rPr>
        <w:t>属于环境保护部门公布的重点排污单位的公司及其重要子公司的环保情况说明</w:t>
      </w:r>
    </w:p>
    <w:p>
      <w:pPr>
        <w:pStyle w:val="BodyText"/>
        <w:spacing w:before="55"/>
        <w:ind w:left="958"/>
      </w:pPr>
      <w:r>
        <w:rPr/>
        <w:t>√适用 □不适用</w:t>
      </w:r>
    </w:p>
    <w:p>
      <w:pPr>
        <w:pStyle w:val="Heading4"/>
        <w:numPr>
          <w:ilvl w:val="0"/>
          <w:numId w:val="20"/>
        </w:numPr>
        <w:tabs>
          <w:tab w:pos="1318" w:val="left" w:leader="none"/>
        </w:tabs>
        <w:spacing w:line="240" w:lineRule="auto" w:before="34" w:after="0"/>
        <w:ind w:left="1318" w:right="0" w:hanging="360"/>
        <w:jc w:val="left"/>
      </w:pPr>
      <w:r>
        <w:rPr/>
        <w:t>排污信息</w:t>
      </w:r>
    </w:p>
    <w:p>
      <w:pPr>
        <w:pStyle w:val="BodyText"/>
        <w:spacing w:before="55"/>
        <w:ind w:left="1382"/>
        <w:jc w:val="both"/>
      </w:pPr>
      <w:r>
        <w:rPr/>
        <w:t>√适用 □不适用</w:t>
      </w:r>
    </w:p>
    <w:p>
      <w:pPr>
        <w:pStyle w:val="BodyText"/>
        <w:spacing w:line="417" w:lineRule="auto" w:before="120"/>
        <w:ind w:left="958" w:right="968" w:firstLine="424"/>
        <w:jc w:val="both"/>
      </w:pPr>
      <w:r>
        <w:rPr>
          <w:spacing w:val="-5"/>
          <w:w w:val="100"/>
        </w:rPr>
        <w:t>本公司间接控股子公司郑州海尔空调器有限公司</w:t>
      </w:r>
      <w:r>
        <w:rPr>
          <w:spacing w:val="-3"/>
          <w:w w:val="100"/>
        </w:rPr>
        <w:t>（</w:t>
      </w:r>
      <w:r>
        <w:rPr>
          <w:w w:val="100"/>
        </w:rPr>
        <w:t>简称</w:t>
      </w:r>
      <w:r>
        <w:rPr>
          <w:rFonts w:ascii="Times New Roman" w:hAnsi="Times New Roman" w:eastAsia="Times New Roman"/>
          <w:spacing w:val="-3"/>
          <w:w w:val="100"/>
        </w:rPr>
        <w:t>“</w:t>
      </w:r>
      <w:r>
        <w:rPr>
          <w:spacing w:val="-2"/>
          <w:w w:val="100"/>
        </w:rPr>
        <w:t>郑州空调</w:t>
      </w:r>
      <w:r>
        <w:rPr>
          <w:rFonts w:ascii="Times New Roman" w:hAnsi="Times New Roman" w:eastAsia="Times New Roman"/>
          <w:spacing w:val="-3"/>
          <w:w w:val="100"/>
        </w:rPr>
        <w:t>”</w:t>
      </w:r>
      <w:r>
        <w:rPr>
          <w:spacing w:val="-106"/>
          <w:w w:val="100"/>
        </w:rPr>
        <w:t>）</w:t>
      </w:r>
      <w:r>
        <w:rPr>
          <w:spacing w:val="-8"/>
          <w:w w:val="100"/>
        </w:rPr>
        <w:t>、佛山海尔电冰柜有限公</w:t>
      </w:r>
      <w:r>
        <w:rPr>
          <w:spacing w:val="-1"/>
          <w:w w:val="100"/>
        </w:rPr>
        <w:t>司</w:t>
      </w:r>
      <w:r>
        <w:rPr>
          <w:w w:val="100"/>
        </w:rPr>
        <w:t>（</w:t>
      </w:r>
      <w:r>
        <w:rPr>
          <w:spacing w:val="1"/>
          <w:w w:val="100"/>
        </w:rPr>
        <w:t>简称</w:t>
      </w:r>
      <w:r>
        <w:rPr>
          <w:rFonts w:ascii="Times New Roman" w:hAnsi="Times New Roman" w:eastAsia="Times New Roman"/>
          <w:spacing w:val="-1"/>
          <w:w w:val="100"/>
        </w:rPr>
        <w:t>“</w:t>
      </w:r>
      <w:r>
        <w:rPr>
          <w:w w:val="100"/>
        </w:rPr>
        <w:t>佛山电冰柜</w:t>
      </w:r>
      <w:r>
        <w:rPr>
          <w:rFonts w:ascii="Times New Roman" w:hAnsi="Times New Roman" w:eastAsia="Times New Roman"/>
          <w:spacing w:val="-1"/>
          <w:w w:val="100"/>
        </w:rPr>
        <w:t>”</w:t>
      </w:r>
      <w:r>
        <w:rPr>
          <w:spacing w:val="-106"/>
          <w:w w:val="100"/>
        </w:rPr>
        <w:t>）</w:t>
      </w:r>
      <w:r>
        <w:rPr>
          <w:w w:val="100"/>
        </w:rPr>
        <w:t>、合肥海尔电冰箱有限公司（</w:t>
      </w:r>
      <w:r>
        <w:rPr>
          <w:spacing w:val="1"/>
          <w:w w:val="100"/>
        </w:rPr>
        <w:t>简称</w:t>
      </w:r>
      <w:r>
        <w:rPr>
          <w:rFonts w:ascii="Times New Roman" w:hAnsi="Times New Roman" w:eastAsia="Times New Roman"/>
          <w:spacing w:val="-1"/>
          <w:w w:val="100"/>
        </w:rPr>
        <w:t>“</w:t>
      </w:r>
      <w:r>
        <w:rPr>
          <w:w w:val="100"/>
        </w:rPr>
        <w:t>合肥冰箱</w:t>
      </w:r>
      <w:r>
        <w:rPr>
          <w:rFonts w:ascii="Times New Roman" w:hAnsi="Times New Roman" w:eastAsia="Times New Roman"/>
          <w:spacing w:val="2"/>
          <w:w w:val="100"/>
        </w:rPr>
        <w:t>”</w:t>
      </w:r>
      <w:r>
        <w:rPr>
          <w:spacing w:val="-106"/>
          <w:w w:val="100"/>
        </w:rPr>
        <w:t>）</w:t>
      </w:r>
      <w:r>
        <w:rPr>
          <w:spacing w:val="-1"/>
          <w:w w:val="100"/>
        </w:rPr>
        <w:t>、武汉海尔热水器有限公</w:t>
      </w:r>
      <w:r>
        <w:rPr>
          <w:spacing w:val="-17"/>
          <w:w w:val="100"/>
        </w:rPr>
        <w:t>司</w:t>
      </w:r>
      <w:r>
        <w:rPr>
          <w:spacing w:val="-3"/>
          <w:w w:val="100"/>
        </w:rPr>
        <w:t>（</w:t>
      </w:r>
      <w:r>
        <w:rPr>
          <w:w w:val="100"/>
        </w:rPr>
        <w:t>简称</w:t>
      </w:r>
      <w:r>
        <w:rPr>
          <w:rFonts w:ascii="Times New Roman" w:hAnsi="Times New Roman" w:eastAsia="Times New Roman"/>
          <w:spacing w:val="-3"/>
          <w:w w:val="100"/>
        </w:rPr>
        <w:t>“</w:t>
      </w:r>
      <w:r>
        <w:rPr>
          <w:spacing w:val="-3"/>
          <w:w w:val="100"/>
        </w:rPr>
        <w:t>武汉热水器</w:t>
      </w:r>
      <w:r>
        <w:rPr>
          <w:rFonts w:ascii="Times New Roman" w:hAnsi="Times New Roman" w:eastAsia="Times New Roman"/>
          <w:w w:val="100"/>
        </w:rPr>
        <w:t>”</w:t>
      </w:r>
      <w:r>
        <w:rPr>
          <w:spacing w:val="-108"/>
          <w:w w:val="100"/>
        </w:rPr>
        <w:t>）</w:t>
      </w:r>
      <w:r>
        <w:rPr>
          <w:spacing w:val="-7"/>
          <w:w w:val="100"/>
        </w:rPr>
        <w:t>，以及重庆海尔精密塑胶有限公司、重庆海尔空调器有限公司、重庆海尔</w:t>
      </w:r>
      <w:r>
        <w:rPr>
          <w:spacing w:val="-5"/>
        </w:rPr>
        <w:t>滚筒洗衣机有限公司、重庆海尔洗衣机有限公司、重庆海尔智能电子有限公司、重庆海尔热水器</w:t>
      </w:r>
      <w:r>
        <w:rPr>
          <w:spacing w:val="-4"/>
        </w:rPr>
        <w:t>有限公司</w:t>
      </w:r>
      <w:r>
        <w:rPr>
          <w:spacing w:val="-3"/>
        </w:rPr>
        <w:t>（</w:t>
      </w:r>
      <w:r>
        <w:rPr>
          <w:spacing w:val="-7"/>
        </w:rPr>
        <w:t>前述 </w:t>
      </w:r>
      <w:r>
        <w:rPr>
          <w:rFonts w:ascii="Times New Roman" w:hAnsi="Times New Roman" w:eastAsia="Times New Roman"/>
        </w:rPr>
        <w:t>6 </w:t>
      </w:r>
      <w:r>
        <w:rPr>
          <w:spacing w:val="-3"/>
        </w:rPr>
        <w:t>家位于重庆的公司合称为</w:t>
      </w:r>
      <w:r>
        <w:rPr>
          <w:rFonts w:ascii="Times New Roman" w:hAnsi="Times New Roman" w:eastAsia="Times New Roman"/>
          <w:spacing w:val="-3"/>
        </w:rPr>
        <w:t>“</w:t>
      </w:r>
      <w:r>
        <w:rPr>
          <w:spacing w:val="-3"/>
        </w:rPr>
        <w:t>重庆园区公司</w:t>
      </w:r>
      <w:r>
        <w:rPr>
          <w:rFonts w:ascii="Times New Roman" w:hAnsi="Times New Roman" w:eastAsia="Times New Roman"/>
        </w:rPr>
        <w:t>”</w:t>
      </w:r>
      <w:r>
        <w:rPr/>
        <w:t>）</w:t>
      </w:r>
      <w:r>
        <w:rPr>
          <w:spacing w:val="-3"/>
        </w:rPr>
        <w:t>属于环境保护部门公布的重点排污单位。</w:t>
      </w:r>
    </w:p>
    <w:p>
      <w:pPr>
        <w:pStyle w:val="BodyText"/>
        <w:spacing w:line="269" w:lineRule="exact"/>
        <w:ind w:left="1382"/>
      </w:pPr>
      <w:r>
        <w:rPr/>
        <w:t>主要排污信息如下：</w:t>
      </w:r>
    </w:p>
    <w:p>
      <w:pPr>
        <w:pStyle w:val="Heading4"/>
        <w:numPr>
          <w:ilvl w:val="1"/>
          <w:numId w:val="20"/>
        </w:numPr>
        <w:tabs>
          <w:tab w:pos="1915" w:val="left" w:leader="none"/>
        </w:tabs>
        <w:spacing w:line="240" w:lineRule="auto" w:before="129" w:after="0"/>
        <w:ind w:left="1914" w:right="0" w:hanging="530"/>
        <w:jc w:val="left"/>
      </w:pPr>
      <w:r>
        <w:rPr/>
        <w:t>郑州空调</w:t>
      </w:r>
    </w:p>
    <w:p>
      <w:pPr>
        <w:pStyle w:val="BodyText"/>
        <w:spacing w:before="152"/>
        <w:ind w:left="1382"/>
      </w:pPr>
      <w:r>
        <w:rPr/>
        <w:t>①主要污染物：</w:t>
      </w:r>
    </w:p>
    <w:p>
      <w:pPr>
        <w:spacing w:after="0"/>
        <w:sectPr>
          <w:headerReference w:type="default" r:id="rId53"/>
          <w:footerReference w:type="default" r:id="rId54"/>
          <w:pgSz w:w="11910" w:h="16840"/>
          <w:pgMar w:header="874" w:footer="1214" w:top="1120" w:bottom="1400" w:left="840" w:right="300"/>
        </w:sectPr>
      </w:pPr>
    </w:p>
    <w:p>
      <w:pPr>
        <w:pStyle w:val="BodyText"/>
        <w:rPr>
          <w:sz w:val="20"/>
        </w:rPr>
      </w:pPr>
    </w:p>
    <w:p>
      <w:pPr>
        <w:pStyle w:val="BodyText"/>
        <w:spacing w:before="1"/>
        <w:rPr>
          <w:sz w:val="19"/>
        </w:rPr>
      </w:pPr>
    </w:p>
    <w:p>
      <w:pPr>
        <w:pStyle w:val="BodyText"/>
        <w:spacing w:line="417" w:lineRule="auto"/>
        <w:ind w:left="958" w:right="967" w:firstLine="424"/>
        <w:jc w:val="both"/>
      </w:pPr>
      <w:r>
        <w:rPr>
          <w:spacing w:val="-5"/>
        </w:rPr>
        <w:t>污水。按照《排污许可证申请与核发技术规范水处理</w:t>
      </w:r>
      <w:r>
        <w:rPr/>
        <w:t>（</w:t>
      </w:r>
      <w:r>
        <w:rPr>
          <w:spacing w:val="-2"/>
        </w:rPr>
        <w:t>试行</w:t>
      </w:r>
      <w:r>
        <w:rPr>
          <w:spacing w:val="-8"/>
        </w:rPr>
        <w:t>）</w:t>
      </w:r>
      <w:r>
        <w:rPr>
          <w:spacing w:val="-10"/>
        </w:rPr>
        <w:t>》</w:t>
      </w:r>
      <w:r>
        <w:rPr/>
        <w:t>（</w:t>
      </w:r>
      <w:r>
        <w:rPr>
          <w:rFonts w:ascii="Times New Roman" w:eastAsia="Times New Roman"/>
        </w:rPr>
        <w:t>HJ 978-2018</w:t>
      </w:r>
      <w:r>
        <w:rPr/>
        <w:t>）</w:t>
      </w:r>
      <w:r>
        <w:rPr>
          <w:spacing w:val="-3"/>
        </w:rPr>
        <w:t>申请排污许</w:t>
      </w:r>
      <w:r>
        <w:rPr>
          <w:spacing w:val="-5"/>
        </w:rPr>
        <w:t>可证并执行，共计应检测污染物</w:t>
      </w:r>
      <w:r>
        <w:rPr/>
        <w:t>（</w:t>
      </w:r>
      <w:r>
        <w:rPr>
          <w:spacing w:val="-3"/>
        </w:rPr>
        <w:t>含特征污染物）</w:t>
      </w:r>
      <w:r>
        <w:rPr>
          <w:rFonts w:ascii="Times New Roman" w:eastAsia="Times New Roman"/>
          <w:spacing w:val="-3"/>
        </w:rPr>
        <w:t>17 </w:t>
      </w:r>
      <w:r>
        <w:rPr>
          <w:spacing w:val="-6"/>
        </w:rPr>
        <w:t>种，分别为：总镉、总铬、总汞、总铅、总</w:t>
      </w:r>
      <w:r>
        <w:rPr>
          <w:spacing w:val="-4"/>
        </w:rPr>
        <w:t>砷、六价铬、</w:t>
      </w:r>
      <w:r>
        <w:rPr>
          <w:rFonts w:ascii="Times New Roman" w:eastAsia="Times New Roman"/>
        </w:rPr>
        <w:t>COD</w:t>
      </w:r>
      <w:r>
        <w:rPr>
          <w:spacing w:val="-3"/>
        </w:rPr>
        <w:t>、氨氮、总磷、总氮、</w:t>
      </w:r>
      <w:r>
        <w:rPr>
          <w:rFonts w:ascii="Times New Roman" w:eastAsia="Times New Roman"/>
        </w:rPr>
        <w:t>PH</w:t>
      </w:r>
      <w:r>
        <w:rPr>
          <w:spacing w:val="-3"/>
        </w:rPr>
        <w:t>、悬浮物、色度、石油类、</w:t>
      </w:r>
      <w:r>
        <w:rPr>
          <w:rFonts w:ascii="Times New Roman" w:eastAsia="Times New Roman"/>
        </w:rPr>
        <w:t>BOD</w:t>
      </w:r>
      <w:r>
        <w:rPr>
          <w:spacing w:val="-2"/>
        </w:rPr>
        <w:t>、流量、温度。</w:t>
      </w:r>
    </w:p>
    <w:p>
      <w:pPr>
        <w:pStyle w:val="BodyText"/>
        <w:spacing w:line="269" w:lineRule="exact"/>
        <w:ind w:left="1382"/>
      </w:pPr>
      <w:r>
        <w:rPr/>
        <w:t>②排放方式：间接排放</w:t>
      </w:r>
    </w:p>
    <w:p>
      <w:pPr>
        <w:pStyle w:val="BodyText"/>
        <w:spacing w:before="6"/>
        <w:rPr>
          <w:sz w:val="15"/>
        </w:rPr>
      </w:pPr>
    </w:p>
    <w:p>
      <w:pPr>
        <w:pStyle w:val="BodyText"/>
        <w:spacing w:before="1"/>
        <w:ind w:left="1382"/>
      </w:pPr>
      <w:r>
        <w:rPr/>
        <w:t>③排放口数量及分布情况：</w:t>
      </w:r>
      <w:r>
        <w:rPr>
          <w:rFonts w:ascii="Times New Roman" w:hAnsi="Times New Roman" w:eastAsia="Times New Roman"/>
        </w:rPr>
        <w:t>1 </w:t>
      </w:r>
      <w:r>
        <w:rPr/>
        <w:t>个，在污水站北侧，管道排放</w:t>
      </w:r>
    </w:p>
    <w:p>
      <w:pPr>
        <w:pStyle w:val="BodyText"/>
        <w:spacing w:before="6"/>
        <w:rPr>
          <w:sz w:val="15"/>
        </w:rPr>
      </w:pPr>
    </w:p>
    <w:p>
      <w:pPr>
        <w:pStyle w:val="BodyText"/>
        <w:ind w:left="1382"/>
      </w:pPr>
      <w:r>
        <w:rPr/>
        <w:t>④排放浓度和总量、核定排放总量：</w:t>
      </w:r>
    </w:p>
    <w:p>
      <w:pPr>
        <w:pStyle w:val="BodyText"/>
        <w:spacing w:before="7"/>
        <w:rPr>
          <w:sz w:val="15"/>
        </w:rPr>
      </w:pPr>
    </w:p>
    <w:p>
      <w:pPr>
        <w:pStyle w:val="BodyText"/>
        <w:ind w:left="1382"/>
      </w:pPr>
      <w:r>
        <w:rPr/>
        <w:t>根据排污许可证，需要核定总量的污染物排放浓度和总量如下：</w:t>
      </w:r>
    </w:p>
    <w:p>
      <w:pPr>
        <w:pStyle w:val="BodyText"/>
        <w:spacing w:before="10"/>
        <w:rPr>
          <w:sz w:val="7"/>
        </w:rPr>
      </w:pPr>
    </w:p>
    <w:tbl>
      <w:tblPr>
        <w:tblW w:w="0" w:type="auto"/>
        <w:jc w:val="left"/>
        <w:tblInd w:w="127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696"/>
        <w:gridCol w:w="1431"/>
        <w:gridCol w:w="1524"/>
        <w:gridCol w:w="1412"/>
        <w:gridCol w:w="1462"/>
        <w:gridCol w:w="1700"/>
      </w:tblGrid>
      <w:tr>
        <w:trPr>
          <w:trHeight w:val="313" w:hRule="atLeast"/>
        </w:trPr>
        <w:tc>
          <w:tcPr>
            <w:tcW w:w="696" w:type="dxa"/>
            <w:tcBorders>
              <w:bottom w:val="single" w:sz="4" w:space="0" w:color="000000"/>
              <w:right w:val="single" w:sz="4" w:space="0" w:color="000000"/>
            </w:tcBorders>
            <w:shd w:val="clear" w:color="auto" w:fill="EDEBE0"/>
          </w:tcPr>
          <w:p>
            <w:pPr>
              <w:pStyle w:val="TableParagraph"/>
              <w:spacing w:before="27"/>
              <w:ind w:left="113" w:right="99"/>
              <w:jc w:val="center"/>
              <w:rPr>
                <w:rFonts w:ascii="宋体" w:eastAsia="宋体" w:hint="eastAsia"/>
                <w:sz w:val="20"/>
              </w:rPr>
            </w:pPr>
            <w:r>
              <w:rPr>
                <w:rFonts w:ascii="宋体" w:eastAsia="宋体" w:hint="eastAsia"/>
                <w:sz w:val="20"/>
              </w:rPr>
              <w:t>序号</w:t>
            </w:r>
          </w:p>
        </w:tc>
        <w:tc>
          <w:tcPr>
            <w:tcW w:w="1431" w:type="dxa"/>
            <w:tcBorders>
              <w:left w:val="single" w:sz="4" w:space="0" w:color="000000"/>
              <w:bottom w:val="single" w:sz="4" w:space="0" w:color="000000"/>
              <w:right w:val="single" w:sz="4" w:space="0" w:color="000000"/>
            </w:tcBorders>
            <w:shd w:val="clear" w:color="auto" w:fill="EDEBE0"/>
          </w:tcPr>
          <w:p>
            <w:pPr>
              <w:pStyle w:val="TableParagraph"/>
              <w:spacing w:before="27"/>
              <w:ind w:left="173" w:right="150"/>
              <w:jc w:val="center"/>
              <w:rPr>
                <w:rFonts w:ascii="宋体" w:eastAsia="宋体" w:hint="eastAsia"/>
                <w:sz w:val="20"/>
              </w:rPr>
            </w:pPr>
            <w:r>
              <w:rPr>
                <w:rFonts w:ascii="宋体" w:eastAsia="宋体" w:hint="eastAsia"/>
                <w:sz w:val="20"/>
              </w:rPr>
              <w:t>污染物名称</w:t>
            </w:r>
          </w:p>
        </w:tc>
        <w:tc>
          <w:tcPr>
            <w:tcW w:w="1524" w:type="dxa"/>
            <w:tcBorders>
              <w:left w:val="single" w:sz="4" w:space="0" w:color="000000"/>
              <w:bottom w:val="single" w:sz="4" w:space="0" w:color="000000"/>
              <w:right w:val="single" w:sz="4" w:space="0" w:color="000000"/>
            </w:tcBorders>
            <w:shd w:val="clear" w:color="auto" w:fill="EDEBE0"/>
          </w:tcPr>
          <w:p>
            <w:pPr>
              <w:pStyle w:val="TableParagraph"/>
              <w:spacing w:before="27"/>
              <w:ind w:left="371"/>
              <w:rPr>
                <w:rFonts w:ascii="宋体" w:eastAsia="宋体" w:hint="eastAsia"/>
                <w:sz w:val="20"/>
              </w:rPr>
            </w:pPr>
            <w:r>
              <w:rPr>
                <w:rFonts w:ascii="宋体" w:eastAsia="宋体" w:hint="eastAsia"/>
                <w:sz w:val="20"/>
              </w:rPr>
              <w:t>排放浓度</w:t>
            </w:r>
          </w:p>
        </w:tc>
        <w:tc>
          <w:tcPr>
            <w:tcW w:w="1412" w:type="dxa"/>
            <w:tcBorders>
              <w:left w:val="single" w:sz="4" w:space="0" w:color="000000"/>
              <w:bottom w:val="single" w:sz="4" w:space="0" w:color="000000"/>
              <w:right w:val="single" w:sz="4" w:space="0" w:color="000000"/>
            </w:tcBorders>
            <w:shd w:val="clear" w:color="auto" w:fill="EDEBE0"/>
          </w:tcPr>
          <w:p>
            <w:pPr>
              <w:pStyle w:val="TableParagraph"/>
              <w:spacing w:before="27"/>
              <w:ind w:left="290" w:right="272"/>
              <w:jc w:val="center"/>
              <w:rPr>
                <w:rFonts w:ascii="宋体" w:eastAsia="宋体" w:hint="eastAsia"/>
                <w:sz w:val="20"/>
              </w:rPr>
            </w:pPr>
            <w:r>
              <w:rPr>
                <w:rFonts w:ascii="宋体" w:eastAsia="宋体" w:hint="eastAsia"/>
                <w:sz w:val="20"/>
              </w:rPr>
              <w:t>排放总量</w:t>
            </w:r>
          </w:p>
        </w:tc>
        <w:tc>
          <w:tcPr>
            <w:tcW w:w="1462" w:type="dxa"/>
            <w:tcBorders>
              <w:left w:val="single" w:sz="4" w:space="0" w:color="000000"/>
              <w:bottom w:val="single" w:sz="4" w:space="0" w:color="000000"/>
              <w:right w:val="single" w:sz="4" w:space="0" w:color="000000"/>
            </w:tcBorders>
            <w:shd w:val="clear" w:color="auto" w:fill="EDEBE0"/>
          </w:tcPr>
          <w:p>
            <w:pPr>
              <w:pStyle w:val="TableParagraph"/>
              <w:spacing w:before="27"/>
              <w:ind w:left="119" w:right="92"/>
              <w:jc w:val="center"/>
              <w:rPr>
                <w:rFonts w:ascii="宋体" w:eastAsia="宋体" w:hint="eastAsia"/>
                <w:sz w:val="20"/>
              </w:rPr>
            </w:pPr>
            <w:r>
              <w:rPr>
                <w:rFonts w:ascii="宋体" w:eastAsia="宋体" w:hint="eastAsia"/>
                <w:sz w:val="20"/>
              </w:rPr>
              <w:t>核定排放总量</w:t>
            </w:r>
          </w:p>
        </w:tc>
        <w:tc>
          <w:tcPr>
            <w:tcW w:w="1700" w:type="dxa"/>
            <w:tcBorders>
              <w:left w:val="single" w:sz="4" w:space="0" w:color="000000"/>
              <w:bottom w:val="single" w:sz="4" w:space="0" w:color="000000"/>
            </w:tcBorders>
            <w:shd w:val="clear" w:color="auto" w:fill="EDEBE0"/>
          </w:tcPr>
          <w:p>
            <w:pPr>
              <w:pStyle w:val="TableParagraph"/>
              <w:spacing w:before="27"/>
              <w:ind w:left="205" w:right="171"/>
              <w:jc w:val="center"/>
              <w:rPr>
                <w:rFonts w:ascii="宋体" w:eastAsia="宋体" w:hint="eastAsia"/>
                <w:sz w:val="20"/>
              </w:rPr>
            </w:pPr>
            <w:r>
              <w:rPr>
                <w:rFonts w:ascii="宋体" w:eastAsia="宋体" w:hint="eastAsia"/>
                <w:sz w:val="20"/>
              </w:rPr>
              <w:t>是否超标排放</w:t>
            </w:r>
          </w:p>
        </w:tc>
      </w:tr>
      <w:tr>
        <w:trPr>
          <w:trHeight w:val="312" w:hRule="atLeast"/>
        </w:trPr>
        <w:tc>
          <w:tcPr>
            <w:tcW w:w="696" w:type="dxa"/>
            <w:tcBorders>
              <w:top w:val="single" w:sz="4" w:space="0" w:color="000000"/>
              <w:bottom w:val="single" w:sz="4" w:space="0" w:color="000000"/>
              <w:right w:val="single" w:sz="4" w:space="0" w:color="000000"/>
            </w:tcBorders>
          </w:tcPr>
          <w:p>
            <w:pPr>
              <w:pStyle w:val="TableParagraph"/>
              <w:spacing w:before="39"/>
              <w:ind w:left="17"/>
              <w:jc w:val="center"/>
              <w:rPr>
                <w:sz w:val="20"/>
              </w:rPr>
            </w:pPr>
            <w:r>
              <w:rPr>
                <w:w w:val="99"/>
                <w:sz w:val="20"/>
              </w:rPr>
              <w:t>1</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39"/>
              <w:ind w:left="175" w:right="150"/>
              <w:jc w:val="center"/>
              <w:rPr>
                <w:sz w:val="20"/>
              </w:rPr>
            </w:pPr>
            <w:r>
              <w:rPr>
                <w:sz w:val="20"/>
              </w:rPr>
              <w:t>COD</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39"/>
              <w:ind w:left="328"/>
              <w:rPr>
                <w:sz w:val="20"/>
              </w:rPr>
            </w:pPr>
            <w:r>
              <w:rPr>
                <w:sz w:val="20"/>
              </w:rPr>
              <w:t>34.80mg/L</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26"/>
              <w:ind w:left="412"/>
              <w:rPr>
                <w:rFonts w:ascii="宋体" w:eastAsia="宋体" w:hint="eastAsia"/>
                <w:sz w:val="20"/>
              </w:rPr>
            </w:pPr>
            <w:r>
              <w:rPr>
                <w:sz w:val="20"/>
              </w:rPr>
              <w:t>1.75 </w:t>
            </w:r>
            <w:r>
              <w:rPr>
                <w:rFonts w:ascii="宋体" w:eastAsia="宋体" w:hint="eastAsia"/>
                <w:sz w:val="20"/>
              </w:rPr>
              <w:t>吨</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26"/>
              <w:ind w:left="441"/>
              <w:rPr>
                <w:rFonts w:ascii="宋体" w:eastAsia="宋体" w:hint="eastAsia"/>
                <w:sz w:val="20"/>
              </w:rPr>
            </w:pPr>
            <w:r>
              <w:rPr>
                <w:sz w:val="20"/>
              </w:rPr>
              <w:t>6.25 </w:t>
            </w:r>
            <w:r>
              <w:rPr>
                <w:rFonts w:ascii="宋体" w:eastAsia="宋体" w:hint="eastAsia"/>
                <w:sz w:val="20"/>
              </w:rPr>
              <w:t>吨</w:t>
            </w:r>
          </w:p>
        </w:tc>
        <w:tc>
          <w:tcPr>
            <w:tcW w:w="1700" w:type="dxa"/>
            <w:tcBorders>
              <w:top w:val="single" w:sz="4" w:space="0" w:color="000000"/>
              <w:left w:val="single" w:sz="4" w:space="0" w:color="000000"/>
              <w:bottom w:val="single" w:sz="4" w:space="0" w:color="000000"/>
            </w:tcBorders>
          </w:tcPr>
          <w:p>
            <w:pPr>
              <w:pStyle w:val="TableParagraph"/>
              <w:spacing w:before="26"/>
              <w:ind w:left="35"/>
              <w:jc w:val="center"/>
              <w:rPr>
                <w:rFonts w:ascii="宋体" w:eastAsia="宋体" w:hint="eastAsia"/>
                <w:sz w:val="20"/>
              </w:rPr>
            </w:pPr>
            <w:r>
              <w:rPr>
                <w:rFonts w:ascii="宋体" w:eastAsia="宋体" w:hint="eastAsia"/>
                <w:w w:val="99"/>
                <w:sz w:val="20"/>
              </w:rPr>
              <w:t>否</w:t>
            </w:r>
          </w:p>
        </w:tc>
      </w:tr>
      <w:tr>
        <w:trPr>
          <w:trHeight w:val="311" w:hRule="atLeast"/>
        </w:trPr>
        <w:tc>
          <w:tcPr>
            <w:tcW w:w="696" w:type="dxa"/>
            <w:tcBorders>
              <w:top w:val="single" w:sz="4" w:space="0" w:color="000000"/>
              <w:right w:val="single" w:sz="4" w:space="0" w:color="000000"/>
            </w:tcBorders>
          </w:tcPr>
          <w:p>
            <w:pPr>
              <w:pStyle w:val="TableParagraph"/>
              <w:spacing w:before="38"/>
              <w:ind w:left="17"/>
              <w:jc w:val="center"/>
              <w:rPr>
                <w:sz w:val="20"/>
              </w:rPr>
            </w:pPr>
            <w:r>
              <w:rPr>
                <w:w w:val="99"/>
                <w:sz w:val="20"/>
              </w:rPr>
              <w:t>2</w:t>
            </w:r>
          </w:p>
        </w:tc>
        <w:tc>
          <w:tcPr>
            <w:tcW w:w="1431" w:type="dxa"/>
            <w:tcBorders>
              <w:top w:val="single" w:sz="4" w:space="0" w:color="000000"/>
              <w:left w:val="single" w:sz="4" w:space="0" w:color="000000"/>
              <w:right w:val="single" w:sz="4" w:space="0" w:color="000000"/>
            </w:tcBorders>
          </w:tcPr>
          <w:p>
            <w:pPr>
              <w:pStyle w:val="TableParagraph"/>
              <w:spacing w:before="25"/>
              <w:ind w:left="173" w:right="150"/>
              <w:jc w:val="center"/>
              <w:rPr>
                <w:rFonts w:ascii="宋体" w:eastAsia="宋体" w:hint="eastAsia"/>
                <w:sz w:val="20"/>
              </w:rPr>
            </w:pPr>
            <w:r>
              <w:rPr>
                <w:rFonts w:ascii="宋体" w:eastAsia="宋体" w:hint="eastAsia"/>
                <w:sz w:val="20"/>
              </w:rPr>
              <w:t>氨氮</w:t>
            </w:r>
          </w:p>
        </w:tc>
        <w:tc>
          <w:tcPr>
            <w:tcW w:w="1524" w:type="dxa"/>
            <w:tcBorders>
              <w:top w:val="single" w:sz="4" w:space="0" w:color="000000"/>
              <w:left w:val="single" w:sz="4" w:space="0" w:color="000000"/>
              <w:right w:val="single" w:sz="4" w:space="0" w:color="000000"/>
            </w:tcBorders>
          </w:tcPr>
          <w:p>
            <w:pPr>
              <w:pStyle w:val="TableParagraph"/>
              <w:spacing w:before="38"/>
              <w:ind w:left="379"/>
              <w:rPr>
                <w:sz w:val="20"/>
              </w:rPr>
            </w:pPr>
            <w:r>
              <w:rPr>
                <w:sz w:val="20"/>
              </w:rPr>
              <w:t>5.27mg/L</w:t>
            </w:r>
          </w:p>
        </w:tc>
        <w:tc>
          <w:tcPr>
            <w:tcW w:w="1412" w:type="dxa"/>
            <w:tcBorders>
              <w:top w:val="single" w:sz="4" w:space="0" w:color="000000"/>
              <w:left w:val="single" w:sz="4" w:space="0" w:color="000000"/>
              <w:right w:val="single" w:sz="4" w:space="0" w:color="000000"/>
            </w:tcBorders>
          </w:tcPr>
          <w:p>
            <w:pPr>
              <w:pStyle w:val="TableParagraph"/>
              <w:spacing w:before="25"/>
              <w:ind w:left="412"/>
              <w:rPr>
                <w:rFonts w:ascii="宋体" w:eastAsia="宋体" w:hint="eastAsia"/>
                <w:sz w:val="20"/>
              </w:rPr>
            </w:pPr>
            <w:r>
              <w:rPr>
                <w:sz w:val="20"/>
              </w:rPr>
              <w:t>0.27 </w:t>
            </w:r>
            <w:r>
              <w:rPr>
                <w:rFonts w:ascii="宋体" w:eastAsia="宋体" w:hint="eastAsia"/>
                <w:sz w:val="20"/>
              </w:rPr>
              <w:t>吨</w:t>
            </w:r>
          </w:p>
        </w:tc>
        <w:tc>
          <w:tcPr>
            <w:tcW w:w="1462" w:type="dxa"/>
            <w:tcBorders>
              <w:top w:val="single" w:sz="4" w:space="0" w:color="000000"/>
              <w:left w:val="single" w:sz="4" w:space="0" w:color="000000"/>
              <w:right w:val="single" w:sz="4" w:space="0" w:color="000000"/>
            </w:tcBorders>
          </w:tcPr>
          <w:p>
            <w:pPr>
              <w:pStyle w:val="TableParagraph"/>
              <w:spacing w:before="25"/>
              <w:ind w:left="441"/>
              <w:rPr>
                <w:rFonts w:ascii="宋体" w:eastAsia="宋体" w:hint="eastAsia"/>
                <w:sz w:val="20"/>
              </w:rPr>
            </w:pPr>
            <w:r>
              <w:rPr>
                <w:sz w:val="20"/>
              </w:rPr>
              <w:t>0.63 </w:t>
            </w:r>
            <w:r>
              <w:rPr>
                <w:rFonts w:ascii="宋体" w:eastAsia="宋体" w:hint="eastAsia"/>
                <w:sz w:val="20"/>
              </w:rPr>
              <w:t>吨</w:t>
            </w:r>
          </w:p>
        </w:tc>
        <w:tc>
          <w:tcPr>
            <w:tcW w:w="1700" w:type="dxa"/>
            <w:tcBorders>
              <w:top w:val="single" w:sz="4" w:space="0" w:color="000000"/>
              <w:left w:val="single" w:sz="4" w:space="0" w:color="000000"/>
            </w:tcBorders>
          </w:tcPr>
          <w:p>
            <w:pPr>
              <w:pStyle w:val="TableParagraph"/>
              <w:spacing w:before="25"/>
              <w:ind w:left="35"/>
              <w:jc w:val="center"/>
              <w:rPr>
                <w:rFonts w:ascii="宋体" w:eastAsia="宋体" w:hint="eastAsia"/>
                <w:sz w:val="20"/>
              </w:rPr>
            </w:pPr>
            <w:r>
              <w:rPr>
                <w:rFonts w:ascii="宋体" w:eastAsia="宋体" w:hint="eastAsia"/>
                <w:w w:val="99"/>
                <w:sz w:val="20"/>
              </w:rPr>
              <w:t>否</w:t>
            </w:r>
          </w:p>
        </w:tc>
      </w:tr>
    </w:tbl>
    <w:p>
      <w:pPr>
        <w:pStyle w:val="BodyText"/>
        <w:spacing w:before="25"/>
        <w:ind w:left="1382"/>
        <w:rPr>
          <w:rFonts w:ascii="Times New Roman" w:hAnsi="Times New Roman" w:eastAsia="Times New Roman"/>
        </w:rPr>
      </w:pPr>
      <w:r>
        <w:rPr/>
        <w:t>⑤执行的污染物排放标准：《污水排入城镇下水道水质标准》</w:t>
      </w:r>
      <w:r>
        <w:rPr>
          <w:rFonts w:ascii="Times New Roman" w:hAnsi="Times New Roman" w:eastAsia="Times New Roman"/>
        </w:rPr>
        <w:t>(GBT 31962-2015)</w:t>
      </w:r>
    </w:p>
    <w:p>
      <w:pPr>
        <w:pStyle w:val="Heading4"/>
        <w:numPr>
          <w:ilvl w:val="1"/>
          <w:numId w:val="20"/>
        </w:numPr>
        <w:tabs>
          <w:tab w:pos="1915" w:val="left" w:leader="none"/>
        </w:tabs>
        <w:spacing w:line="240" w:lineRule="auto" w:before="50" w:after="0"/>
        <w:ind w:left="1914" w:right="0" w:hanging="530"/>
        <w:jc w:val="left"/>
      </w:pPr>
      <w:r>
        <w:rPr/>
        <w:t>佛山电冰柜</w:t>
      </w:r>
    </w:p>
    <w:p>
      <w:pPr>
        <w:pStyle w:val="BodyText"/>
        <w:spacing w:before="151"/>
        <w:ind w:left="1382"/>
        <w:jc w:val="both"/>
      </w:pPr>
      <w:r>
        <w:rPr/>
        <w:t>① 主要污染物：</w:t>
      </w:r>
    </w:p>
    <w:p>
      <w:pPr>
        <w:pStyle w:val="BodyText"/>
        <w:spacing w:before="7"/>
        <w:rPr>
          <w:sz w:val="15"/>
        </w:rPr>
      </w:pPr>
    </w:p>
    <w:p>
      <w:pPr>
        <w:pStyle w:val="BodyText"/>
        <w:spacing w:line="417" w:lineRule="auto"/>
        <w:ind w:left="958" w:right="967" w:firstLine="424"/>
        <w:jc w:val="both"/>
      </w:pPr>
      <w:r>
        <w:rPr>
          <w:spacing w:val="-5"/>
        </w:rPr>
        <w:t>污水。按照《排污许可证申请与核发技术规范水处理</w:t>
      </w:r>
      <w:r>
        <w:rPr/>
        <w:t>（</w:t>
      </w:r>
      <w:r>
        <w:rPr>
          <w:spacing w:val="-2"/>
        </w:rPr>
        <w:t>试行</w:t>
      </w:r>
      <w:r>
        <w:rPr>
          <w:spacing w:val="-8"/>
        </w:rPr>
        <w:t>）</w:t>
      </w:r>
      <w:r>
        <w:rPr>
          <w:spacing w:val="-10"/>
        </w:rPr>
        <w:t>》</w:t>
      </w:r>
      <w:r>
        <w:rPr/>
        <w:t>（</w:t>
      </w:r>
      <w:r>
        <w:rPr>
          <w:rFonts w:ascii="Times New Roman" w:eastAsia="Times New Roman"/>
        </w:rPr>
        <w:t>HJ 978-2018</w:t>
      </w:r>
      <w:r>
        <w:rPr/>
        <w:t>）</w:t>
      </w:r>
      <w:r>
        <w:rPr>
          <w:spacing w:val="-3"/>
        </w:rPr>
        <w:t>申请排污许</w:t>
      </w:r>
      <w:r>
        <w:rPr>
          <w:spacing w:val="-7"/>
        </w:rPr>
        <w:t>可证并执行，共计应检测污染物</w:t>
      </w:r>
      <w:r>
        <w:rPr/>
        <w:t>（</w:t>
      </w:r>
      <w:r>
        <w:rPr>
          <w:spacing w:val="-3"/>
        </w:rPr>
        <w:t>含特征污染物</w:t>
      </w:r>
      <w:r>
        <w:rPr>
          <w:spacing w:val="-9"/>
        </w:rPr>
        <w:t>）</w:t>
      </w:r>
      <w:r>
        <w:rPr>
          <w:rFonts w:ascii="Times New Roman" w:eastAsia="Times New Roman"/>
          <w:spacing w:val="-9"/>
        </w:rPr>
        <w:t>6 </w:t>
      </w:r>
      <w:r>
        <w:rPr>
          <w:spacing w:val="-4"/>
        </w:rPr>
        <w:t>种，分别为： </w:t>
      </w:r>
      <w:r>
        <w:rPr>
          <w:rFonts w:ascii="Times New Roman" w:eastAsia="Times New Roman"/>
        </w:rPr>
        <w:t>COD</w:t>
      </w:r>
      <w:r>
        <w:rPr>
          <w:spacing w:val="-10"/>
        </w:rPr>
        <w:t>、氨氮、总锌、</w:t>
      </w:r>
      <w:r>
        <w:rPr>
          <w:rFonts w:ascii="Times New Roman" w:eastAsia="Times New Roman"/>
        </w:rPr>
        <w:t>PH</w:t>
      </w:r>
      <w:r>
        <w:rPr>
          <w:spacing w:val="-17"/>
        </w:rPr>
        <w:t>、</w:t>
      </w:r>
      <w:r>
        <w:rPr>
          <w:rFonts w:ascii="Times New Roman" w:eastAsia="Times New Roman"/>
        </w:rPr>
        <w:t>SS</w:t>
      </w:r>
      <w:r>
        <w:rPr/>
        <w:t>、</w:t>
      </w:r>
      <w:r>
        <w:rPr>
          <w:spacing w:val="-3"/>
        </w:rPr>
        <w:t>悬浮物、石油类。</w:t>
      </w:r>
    </w:p>
    <w:p>
      <w:pPr>
        <w:pStyle w:val="BodyText"/>
        <w:spacing w:line="269" w:lineRule="exact"/>
        <w:ind w:left="1382"/>
      </w:pPr>
      <w:r>
        <w:rPr/>
        <w:t>②排放方式：间接排放</w:t>
      </w:r>
    </w:p>
    <w:p>
      <w:pPr>
        <w:pStyle w:val="BodyText"/>
        <w:spacing w:before="7"/>
        <w:rPr>
          <w:sz w:val="15"/>
        </w:rPr>
      </w:pPr>
    </w:p>
    <w:p>
      <w:pPr>
        <w:pStyle w:val="BodyText"/>
        <w:ind w:left="1382"/>
        <w:jc w:val="both"/>
      </w:pPr>
      <w:r>
        <w:rPr/>
        <w:t>③排放口数量及分布情况：</w:t>
      </w:r>
      <w:r>
        <w:rPr>
          <w:rFonts w:ascii="Times New Roman" w:hAnsi="Times New Roman" w:eastAsia="Times New Roman"/>
        </w:rPr>
        <w:t>1 </w:t>
      </w:r>
      <w:r>
        <w:rPr/>
        <w:t>个，在佛山三水海尔园区东南间污水站南侧，管道排放</w:t>
      </w:r>
    </w:p>
    <w:p>
      <w:pPr>
        <w:pStyle w:val="BodyText"/>
        <w:spacing w:before="7"/>
        <w:rPr>
          <w:sz w:val="15"/>
        </w:rPr>
      </w:pPr>
    </w:p>
    <w:p>
      <w:pPr>
        <w:pStyle w:val="BodyText"/>
        <w:ind w:left="1382"/>
      </w:pPr>
      <w:r>
        <w:rPr/>
        <w:t>④排放浓度和总量、核定排放总量：</w:t>
      </w:r>
    </w:p>
    <w:p>
      <w:pPr>
        <w:pStyle w:val="BodyText"/>
        <w:spacing w:before="7"/>
        <w:rPr>
          <w:sz w:val="15"/>
        </w:rPr>
      </w:pPr>
    </w:p>
    <w:p>
      <w:pPr>
        <w:pStyle w:val="BodyText"/>
        <w:ind w:left="1382"/>
      </w:pPr>
      <w:r>
        <w:rPr/>
        <w:t>根据排污许可证，需要核定总量的污染物排放浓度和总量如下：</w:t>
      </w:r>
    </w:p>
    <w:p>
      <w:pPr>
        <w:pStyle w:val="BodyText"/>
        <w:spacing w:before="9"/>
        <w:rPr>
          <w:sz w:val="7"/>
        </w:rPr>
      </w:pPr>
    </w:p>
    <w:tbl>
      <w:tblPr>
        <w:tblW w:w="0" w:type="auto"/>
        <w:jc w:val="left"/>
        <w:tblInd w:w="127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28"/>
        <w:gridCol w:w="1299"/>
        <w:gridCol w:w="1524"/>
        <w:gridCol w:w="1260"/>
        <w:gridCol w:w="1612"/>
        <w:gridCol w:w="1699"/>
      </w:tblGrid>
      <w:tr>
        <w:trPr>
          <w:trHeight w:val="311" w:hRule="atLeast"/>
        </w:trPr>
        <w:tc>
          <w:tcPr>
            <w:tcW w:w="828" w:type="dxa"/>
            <w:tcBorders>
              <w:bottom w:val="single" w:sz="4" w:space="0" w:color="000000"/>
              <w:right w:val="single" w:sz="4" w:space="0" w:color="000000"/>
            </w:tcBorders>
            <w:shd w:val="clear" w:color="auto" w:fill="EDEBE0"/>
          </w:tcPr>
          <w:p>
            <w:pPr>
              <w:pStyle w:val="TableParagraph"/>
              <w:spacing w:before="22"/>
              <w:ind w:right="276"/>
              <w:jc w:val="right"/>
              <w:rPr>
                <w:rFonts w:ascii="宋体" w:eastAsia="宋体" w:hint="eastAsia"/>
                <w:sz w:val="21"/>
              </w:rPr>
            </w:pPr>
            <w:r>
              <w:rPr>
                <w:rFonts w:ascii="宋体" w:eastAsia="宋体" w:hint="eastAsia"/>
                <w:sz w:val="21"/>
              </w:rPr>
              <w:t>序号</w:t>
            </w:r>
          </w:p>
        </w:tc>
        <w:tc>
          <w:tcPr>
            <w:tcW w:w="1299" w:type="dxa"/>
            <w:tcBorders>
              <w:left w:val="single" w:sz="4" w:space="0" w:color="000000"/>
              <w:bottom w:val="single" w:sz="4" w:space="0" w:color="000000"/>
              <w:right w:val="single" w:sz="4" w:space="0" w:color="000000"/>
            </w:tcBorders>
            <w:shd w:val="clear" w:color="auto" w:fill="EDEBE0"/>
          </w:tcPr>
          <w:p>
            <w:pPr>
              <w:pStyle w:val="TableParagraph"/>
              <w:spacing w:before="22"/>
              <w:ind w:left="113" w:right="85"/>
              <w:jc w:val="center"/>
              <w:rPr>
                <w:rFonts w:ascii="宋体" w:eastAsia="宋体" w:hint="eastAsia"/>
                <w:sz w:val="21"/>
              </w:rPr>
            </w:pPr>
            <w:r>
              <w:rPr>
                <w:rFonts w:ascii="宋体" w:eastAsia="宋体" w:hint="eastAsia"/>
                <w:sz w:val="21"/>
              </w:rPr>
              <w:t>污染物名称</w:t>
            </w:r>
          </w:p>
        </w:tc>
        <w:tc>
          <w:tcPr>
            <w:tcW w:w="1524" w:type="dxa"/>
            <w:tcBorders>
              <w:left w:val="single" w:sz="4" w:space="0" w:color="000000"/>
              <w:bottom w:val="single" w:sz="4" w:space="0" w:color="000000"/>
              <w:right w:val="single" w:sz="4" w:space="0" w:color="000000"/>
            </w:tcBorders>
            <w:shd w:val="clear" w:color="auto" w:fill="EDEBE0"/>
          </w:tcPr>
          <w:p>
            <w:pPr>
              <w:pStyle w:val="TableParagraph"/>
              <w:spacing w:before="22"/>
              <w:ind w:left="331" w:right="303"/>
              <w:jc w:val="center"/>
              <w:rPr>
                <w:rFonts w:ascii="宋体" w:eastAsia="宋体" w:hint="eastAsia"/>
                <w:sz w:val="21"/>
              </w:rPr>
            </w:pPr>
            <w:r>
              <w:rPr>
                <w:rFonts w:ascii="宋体" w:eastAsia="宋体" w:hint="eastAsia"/>
                <w:sz w:val="21"/>
              </w:rPr>
              <w:t>排放浓度</w:t>
            </w:r>
          </w:p>
        </w:tc>
        <w:tc>
          <w:tcPr>
            <w:tcW w:w="1260" w:type="dxa"/>
            <w:tcBorders>
              <w:left w:val="single" w:sz="4" w:space="0" w:color="000000"/>
              <w:bottom w:val="single" w:sz="4" w:space="0" w:color="000000"/>
              <w:right w:val="single" w:sz="4" w:space="0" w:color="000000"/>
            </w:tcBorders>
            <w:shd w:val="clear" w:color="auto" w:fill="EDEBE0"/>
          </w:tcPr>
          <w:p>
            <w:pPr>
              <w:pStyle w:val="TableParagraph"/>
              <w:spacing w:before="22"/>
              <w:ind w:left="199" w:right="171"/>
              <w:jc w:val="center"/>
              <w:rPr>
                <w:rFonts w:ascii="宋体" w:eastAsia="宋体" w:hint="eastAsia"/>
                <w:sz w:val="21"/>
              </w:rPr>
            </w:pPr>
            <w:r>
              <w:rPr>
                <w:rFonts w:ascii="宋体" w:eastAsia="宋体" w:hint="eastAsia"/>
                <w:sz w:val="21"/>
              </w:rPr>
              <w:t>排放总量</w:t>
            </w:r>
          </w:p>
        </w:tc>
        <w:tc>
          <w:tcPr>
            <w:tcW w:w="1612" w:type="dxa"/>
            <w:tcBorders>
              <w:left w:val="single" w:sz="4" w:space="0" w:color="000000"/>
              <w:bottom w:val="single" w:sz="4" w:space="0" w:color="000000"/>
              <w:right w:val="single" w:sz="4" w:space="0" w:color="000000"/>
            </w:tcBorders>
            <w:shd w:val="clear" w:color="auto" w:fill="EDEBE0"/>
          </w:tcPr>
          <w:p>
            <w:pPr>
              <w:pStyle w:val="TableParagraph"/>
              <w:spacing w:before="22"/>
              <w:ind w:left="166" w:right="136"/>
              <w:jc w:val="center"/>
              <w:rPr>
                <w:rFonts w:ascii="宋体" w:eastAsia="宋体" w:hint="eastAsia"/>
                <w:sz w:val="21"/>
              </w:rPr>
            </w:pPr>
            <w:r>
              <w:rPr>
                <w:rFonts w:ascii="宋体" w:eastAsia="宋体" w:hint="eastAsia"/>
                <w:sz w:val="21"/>
              </w:rPr>
              <w:t>核定排放总量</w:t>
            </w:r>
          </w:p>
        </w:tc>
        <w:tc>
          <w:tcPr>
            <w:tcW w:w="1699" w:type="dxa"/>
            <w:tcBorders>
              <w:left w:val="single" w:sz="4" w:space="0" w:color="000000"/>
              <w:bottom w:val="single" w:sz="4" w:space="0" w:color="000000"/>
            </w:tcBorders>
            <w:shd w:val="clear" w:color="auto" w:fill="EDEBE0"/>
          </w:tcPr>
          <w:p>
            <w:pPr>
              <w:pStyle w:val="TableParagraph"/>
              <w:spacing w:before="22"/>
              <w:ind w:left="210" w:right="168"/>
              <w:jc w:val="center"/>
              <w:rPr>
                <w:rFonts w:ascii="宋体" w:eastAsia="宋体" w:hint="eastAsia"/>
                <w:sz w:val="21"/>
              </w:rPr>
            </w:pPr>
            <w:r>
              <w:rPr>
                <w:rFonts w:ascii="宋体" w:eastAsia="宋体" w:hint="eastAsia"/>
                <w:sz w:val="21"/>
              </w:rPr>
              <w:t>是否超标排放</w:t>
            </w:r>
          </w:p>
        </w:tc>
      </w:tr>
      <w:tr>
        <w:trPr>
          <w:trHeight w:val="311" w:hRule="atLeast"/>
        </w:trPr>
        <w:tc>
          <w:tcPr>
            <w:tcW w:w="828" w:type="dxa"/>
            <w:tcBorders>
              <w:top w:val="single" w:sz="4" w:space="0" w:color="000000"/>
              <w:bottom w:val="single" w:sz="4" w:space="0" w:color="000000"/>
              <w:right w:val="single" w:sz="4" w:space="0" w:color="000000"/>
            </w:tcBorders>
          </w:tcPr>
          <w:p>
            <w:pPr>
              <w:pStyle w:val="TableParagraph"/>
              <w:spacing w:before="34"/>
              <w:ind w:right="342"/>
              <w:jc w:val="right"/>
              <w:rPr>
                <w:sz w:val="21"/>
              </w:rPr>
            </w:pPr>
            <w:r>
              <w:rPr>
                <w:w w:val="100"/>
                <w:sz w:val="21"/>
              </w:rPr>
              <w:t>1</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before="34"/>
              <w:ind w:left="113" w:right="84"/>
              <w:jc w:val="center"/>
              <w:rPr>
                <w:sz w:val="21"/>
              </w:rPr>
            </w:pPr>
            <w:r>
              <w:rPr>
                <w:sz w:val="21"/>
              </w:rPr>
              <w:t>COD</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34"/>
              <w:ind w:left="280"/>
              <w:rPr>
                <w:sz w:val="21"/>
              </w:rPr>
            </w:pPr>
            <w:r>
              <w:rPr>
                <w:sz w:val="21"/>
              </w:rPr>
              <w:t>15.52 mg/L</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22"/>
              <w:ind w:left="271"/>
              <w:rPr>
                <w:rFonts w:ascii="宋体" w:eastAsia="宋体" w:hint="eastAsia"/>
                <w:sz w:val="21"/>
              </w:rPr>
            </w:pPr>
            <w:r>
              <w:rPr>
                <w:sz w:val="21"/>
              </w:rPr>
              <w:t>10.06 </w:t>
            </w:r>
            <w:r>
              <w:rPr>
                <w:rFonts w:ascii="宋体" w:eastAsia="宋体" w:hint="eastAsia"/>
                <w:sz w:val="21"/>
              </w:rPr>
              <w:t>吨</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before="34"/>
              <w:ind w:left="166" w:right="133"/>
              <w:jc w:val="center"/>
              <w:rPr>
                <w:sz w:val="21"/>
              </w:rPr>
            </w:pPr>
            <w:r>
              <w:rPr>
                <w:sz w:val="21"/>
              </w:rPr>
              <w:t>25.92t/a</w:t>
            </w:r>
          </w:p>
        </w:tc>
        <w:tc>
          <w:tcPr>
            <w:tcW w:w="1699" w:type="dxa"/>
            <w:tcBorders>
              <w:top w:val="single" w:sz="4" w:space="0" w:color="000000"/>
              <w:left w:val="single" w:sz="4" w:space="0" w:color="000000"/>
              <w:bottom w:val="single" w:sz="4" w:space="0" w:color="000000"/>
            </w:tcBorders>
          </w:tcPr>
          <w:p>
            <w:pPr>
              <w:pStyle w:val="TableParagraph"/>
              <w:spacing w:before="22"/>
              <w:ind w:left="42"/>
              <w:jc w:val="center"/>
              <w:rPr>
                <w:rFonts w:ascii="宋体" w:eastAsia="宋体" w:hint="eastAsia"/>
                <w:sz w:val="21"/>
              </w:rPr>
            </w:pPr>
            <w:r>
              <w:rPr>
                <w:rFonts w:ascii="宋体" w:eastAsia="宋体" w:hint="eastAsia"/>
                <w:w w:val="100"/>
                <w:sz w:val="21"/>
              </w:rPr>
              <w:t>否</w:t>
            </w:r>
          </w:p>
        </w:tc>
      </w:tr>
      <w:tr>
        <w:trPr>
          <w:trHeight w:val="311" w:hRule="atLeast"/>
        </w:trPr>
        <w:tc>
          <w:tcPr>
            <w:tcW w:w="828" w:type="dxa"/>
            <w:tcBorders>
              <w:top w:val="single" w:sz="4" w:space="0" w:color="000000"/>
              <w:right w:val="single" w:sz="4" w:space="0" w:color="000000"/>
            </w:tcBorders>
          </w:tcPr>
          <w:p>
            <w:pPr>
              <w:pStyle w:val="TableParagraph"/>
              <w:spacing w:before="36"/>
              <w:ind w:right="342"/>
              <w:jc w:val="right"/>
              <w:rPr>
                <w:sz w:val="21"/>
              </w:rPr>
            </w:pPr>
            <w:r>
              <w:rPr>
                <w:w w:val="100"/>
                <w:sz w:val="21"/>
              </w:rPr>
              <w:t>2</w:t>
            </w:r>
          </w:p>
        </w:tc>
        <w:tc>
          <w:tcPr>
            <w:tcW w:w="1299" w:type="dxa"/>
            <w:tcBorders>
              <w:top w:val="single" w:sz="4" w:space="0" w:color="000000"/>
              <w:left w:val="single" w:sz="4" w:space="0" w:color="000000"/>
              <w:right w:val="single" w:sz="4" w:space="0" w:color="000000"/>
            </w:tcBorders>
          </w:tcPr>
          <w:p>
            <w:pPr>
              <w:pStyle w:val="TableParagraph"/>
              <w:spacing w:line="266" w:lineRule="exact" w:before="25"/>
              <w:ind w:left="113" w:right="83"/>
              <w:jc w:val="center"/>
              <w:rPr>
                <w:rFonts w:ascii="宋体" w:eastAsia="宋体" w:hint="eastAsia"/>
                <w:sz w:val="21"/>
              </w:rPr>
            </w:pPr>
            <w:r>
              <w:rPr>
                <w:rFonts w:ascii="宋体" w:eastAsia="宋体" w:hint="eastAsia"/>
                <w:sz w:val="21"/>
              </w:rPr>
              <w:t>氨氮</w:t>
            </w:r>
          </w:p>
        </w:tc>
        <w:tc>
          <w:tcPr>
            <w:tcW w:w="1524" w:type="dxa"/>
            <w:tcBorders>
              <w:top w:val="single" w:sz="4" w:space="0" w:color="000000"/>
              <w:left w:val="single" w:sz="4" w:space="0" w:color="000000"/>
              <w:right w:val="single" w:sz="4" w:space="0" w:color="000000"/>
            </w:tcBorders>
          </w:tcPr>
          <w:p>
            <w:pPr>
              <w:pStyle w:val="TableParagraph"/>
              <w:spacing w:before="36"/>
              <w:ind w:left="331" w:right="301"/>
              <w:jc w:val="center"/>
              <w:rPr>
                <w:sz w:val="21"/>
              </w:rPr>
            </w:pPr>
            <w:r>
              <w:rPr>
                <w:sz w:val="21"/>
              </w:rPr>
              <w:t>0.46mg/L</w:t>
            </w:r>
          </w:p>
        </w:tc>
        <w:tc>
          <w:tcPr>
            <w:tcW w:w="1260" w:type="dxa"/>
            <w:tcBorders>
              <w:top w:val="single" w:sz="4" w:space="0" w:color="000000"/>
              <w:left w:val="single" w:sz="4" w:space="0" w:color="000000"/>
              <w:right w:val="single" w:sz="4" w:space="0" w:color="000000"/>
            </w:tcBorders>
          </w:tcPr>
          <w:p>
            <w:pPr>
              <w:pStyle w:val="TableParagraph"/>
              <w:spacing w:line="266" w:lineRule="exact" w:before="25"/>
              <w:ind w:left="374"/>
              <w:rPr>
                <w:rFonts w:ascii="宋体" w:eastAsia="宋体" w:hint="eastAsia"/>
                <w:sz w:val="21"/>
              </w:rPr>
            </w:pPr>
            <w:r>
              <w:rPr>
                <w:sz w:val="21"/>
              </w:rPr>
              <w:t>0.3 </w:t>
            </w:r>
            <w:r>
              <w:rPr>
                <w:rFonts w:ascii="宋体" w:eastAsia="宋体" w:hint="eastAsia"/>
                <w:sz w:val="21"/>
              </w:rPr>
              <w:t>吨</w:t>
            </w:r>
          </w:p>
        </w:tc>
        <w:tc>
          <w:tcPr>
            <w:tcW w:w="1612" w:type="dxa"/>
            <w:tcBorders>
              <w:top w:val="single" w:sz="4" w:space="0" w:color="000000"/>
              <w:left w:val="single" w:sz="4" w:space="0" w:color="000000"/>
              <w:right w:val="single" w:sz="4" w:space="0" w:color="000000"/>
            </w:tcBorders>
          </w:tcPr>
          <w:p>
            <w:pPr>
              <w:pStyle w:val="TableParagraph"/>
              <w:spacing w:before="36"/>
              <w:ind w:left="164" w:right="136"/>
              <w:jc w:val="center"/>
              <w:rPr>
                <w:sz w:val="21"/>
              </w:rPr>
            </w:pPr>
            <w:r>
              <w:rPr>
                <w:sz w:val="21"/>
              </w:rPr>
              <w:t>2.88t/a</w:t>
            </w:r>
          </w:p>
        </w:tc>
        <w:tc>
          <w:tcPr>
            <w:tcW w:w="1699" w:type="dxa"/>
            <w:tcBorders>
              <w:top w:val="single" w:sz="4" w:space="0" w:color="000000"/>
              <w:left w:val="single" w:sz="4" w:space="0" w:color="000000"/>
            </w:tcBorders>
          </w:tcPr>
          <w:p>
            <w:pPr>
              <w:pStyle w:val="TableParagraph"/>
              <w:spacing w:line="266" w:lineRule="exact" w:before="25"/>
              <w:ind w:left="42"/>
              <w:jc w:val="center"/>
              <w:rPr>
                <w:rFonts w:ascii="宋体" w:eastAsia="宋体" w:hint="eastAsia"/>
                <w:sz w:val="21"/>
              </w:rPr>
            </w:pPr>
            <w:r>
              <w:rPr>
                <w:rFonts w:ascii="宋体" w:eastAsia="宋体" w:hint="eastAsia"/>
                <w:w w:val="100"/>
                <w:sz w:val="21"/>
              </w:rPr>
              <w:t>否</w:t>
            </w:r>
          </w:p>
        </w:tc>
      </w:tr>
    </w:tbl>
    <w:p>
      <w:pPr>
        <w:pStyle w:val="BodyText"/>
        <w:spacing w:line="278" w:lineRule="auto" w:before="26"/>
        <w:ind w:left="958" w:right="968" w:firstLine="424"/>
      </w:pPr>
      <w:r>
        <w:rPr/>
        <w:t>⑤执行的污染物排放标准：广东省地方标准《水污染物排放限值》</w:t>
      </w:r>
      <w:r>
        <w:rPr>
          <w:rFonts w:ascii="Times New Roman" w:hAnsi="Times New Roman" w:eastAsia="Times New Roman"/>
        </w:rPr>
        <w:t>(DB44/26-2001)</w:t>
      </w:r>
      <w:r>
        <w:rPr/>
        <w:t>第二时段一级标准</w:t>
      </w:r>
    </w:p>
    <w:p>
      <w:pPr>
        <w:pStyle w:val="Heading4"/>
        <w:numPr>
          <w:ilvl w:val="1"/>
          <w:numId w:val="20"/>
        </w:numPr>
        <w:tabs>
          <w:tab w:pos="1915" w:val="left" w:leader="none"/>
        </w:tabs>
        <w:spacing w:line="240" w:lineRule="auto" w:before="7" w:after="0"/>
        <w:ind w:left="1914" w:right="0" w:hanging="530"/>
        <w:jc w:val="left"/>
      </w:pPr>
      <w:r>
        <w:rPr/>
        <w:t>合肥冰箱</w:t>
      </w:r>
    </w:p>
    <w:p>
      <w:pPr>
        <w:pStyle w:val="BodyText"/>
        <w:spacing w:before="152"/>
        <w:ind w:left="1459"/>
      </w:pPr>
      <w:r>
        <w:rPr/>
        <w:t>①主要污染物：</w:t>
      </w:r>
    </w:p>
    <w:p>
      <w:pPr>
        <w:pStyle w:val="BodyText"/>
        <w:spacing w:before="6"/>
        <w:rPr>
          <w:sz w:val="15"/>
        </w:rPr>
      </w:pPr>
    </w:p>
    <w:p>
      <w:pPr>
        <w:pStyle w:val="BodyText"/>
        <w:spacing w:line="417" w:lineRule="auto" w:before="1"/>
        <w:ind w:left="958" w:right="967" w:firstLine="424"/>
        <w:jc w:val="both"/>
      </w:pPr>
      <w:r>
        <w:rPr>
          <w:spacing w:val="-5"/>
        </w:rPr>
        <w:t>污水。按照《排污许可证申请与核发技术规范水处理</w:t>
      </w:r>
      <w:r>
        <w:rPr/>
        <w:t>（</w:t>
      </w:r>
      <w:r>
        <w:rPr>
          <w:spacing w:val="-2"/>
        </w:rPr>
        <w:t>试行</w:t>
      </w:r>
      <w:r>
        <w:rPr>
          <w:spacing w:val="-8"/>
        </w:rPr>
        <w:t>）</w:t>
      </w:r>
      <w:r>
        <w:rPr>
          <w:spacing w:val="-10"/>
        </w:rPr>
        <w:t>》</w:t>
      </w:r>
      <w:r>
        <w:rPr/>
        <w:t>（</w:t>
      </w:r>
      <w:r>
        <w:rPr>
          <w:rFonts w:ascii="Times New Roman" w:eastAsia="Times New Roman"/>
        </w:rPr>
        <w:t>HJ 978-2018</w:t>
      </w:r>
      <w:r>
        <w:rPr/>
        <w:t>）</w:t>
      </w:r>
      <w:r>
        <w:rPr>
          <w:spacing w:val="-3"/>
        </w:rPr>
        <w:t>申请排污许</w:t>
      </w:r>
      <w:r>
        <w:rPr>
          <w:spacing w:val="-11"/>
        </w:rPr>
        <w:t>可证并执行，共计应检测污染物</w:t>
      </w:r>
      <w:r>
        <w:rPr>
          <w:spacing w:val="-3"/>
        </w:rPr>
        <w:t>（含特征污染物</w:t>
      </w:r>
      <w:r>
        <w:rPr>
          <w:spacing w:val="-18"/>
        </w:rPr>
        <w:t>）</w:t>
      </w:r>
      <w:r>
        <w:rPr>
          <w:rFonts w:ascii="Times New Roman" w:eastAsia="Times New Roman"/>
          <w:spacing w:val="-18"/>
        </w:rPr>
        <w:t>9 </w:t>
      </w:r>
      <w:r>
        <w:rPr>
          <w:spacing w:val="-11"/>
        </w:rPr>
        <w:t>种，分别为： </w:t>
      </w:r>
      <w:r>
        <w:rPr>
          <w:rFonts w:ascii="Times New Roman" w:eastAsia="Times New Roman"/>
        </w:rPr>
        <w:t>COD</w:t>
      </w:r>
      <w:r>
        <w:rPr>
          <w:spacing w:val="-19"/>
        </w:rPr>
        <w:t>、氨氮、总磷、总氮、</w:t>
      </w:r>
      <w:r>
        <w:rPr>
          <w:rFonts w:ascii="Times New Roman" w:eastAsia="Times New Roman"/>
        </w:rPr>
        <w:t>PH</w:t>
      </w:r>
      <w:r>
        <w:rPr/>
        <w:t>、</w:t>
      </w:r>
      <w:r>
        <w:rPr>
          <w:spacing w:val="-3"/>
        </w:rPr>
        <w:t>悬浮物、流量、化学需氧量、五日生化需氧量。</w:t>
      </w:r>
    </w:p>
    <w:p>
      <w:pPr>
        <w:pStyle w:val="BodyText"/>
        <w:spacing w:line="417" w:lineRule="auto"/>
        <w:ind w:left="958" w:right="1069" w:firstLine="424"/>
        <w:jc w:val="both"/>
      </w:pPr>
      <w:r>
        <w:rPr>
          <w:spacing w:val="-5"/>
        </w:rPr>
        <w:t>废气。按照《挥发性有机无组织排放控制标准 </w:t>
      </w:r>
      <w:r>
        <w:rPr>
          <w:rFonts w:ascii="Times New Roman" w:eastAsia="Times New Roman"/>
        </w:rPr>
        <w:t>GB 37822-1-2019</w:t>
      </w:r>
      <w:r>
        <w:rPr>
          <w:spacing w:val="-3"/>
        </w:rPr>
        <w:t>》申请排污许可证并执行， 大气主要污染物种类：非甲烷总烃</w:t>
      </w:r>
    </w:p>
    <w:p>
      <w:pPr>
        <w:spacing w:after="0" w:line="417" w:lineRule="auto"/>
        <w:jc w:val="both"/>
        <w:sectPr>
          <w:headerReference w:type="default" r:id="rId55"/>
          <w:footerReference w:type="default" r:id="rId56"/>
          <w:pgSz w:w="11910" w:h="16840"/>
          <w:pgMar w:header="874" w:footer="1214" w:top="1120" w:bottom="1400" w:left="840" w:right="300"/>
          <w:pgNumType w:start="1"/>
        </w:sectPr>
      </w:pPr>
    </w:p>
    <w:p>
      <w:pPr>
        <w:pStyle w:val="BodyText"/>
        <w:rPr>
          <w:sz w:val="20"/>
        </w:rPr>
      </w:pPr>
    </w:p>
    <w:p>
      <w:pPr>
        <w:pStyle w:val="BodyText"/>
        <w:spacing w:before="1"/>
        <w:rPr>
          <w:sz w:val="19"/>
        </w:rPr>
      </w:pPr>
    </w:p>
    <w:p>
      <w:pPr>
        <w:pStyle w:val="BodyText"/>
        <w:ind w:left="1459"/>
      </w:pPr>
      <w:r>
        <w:rPr/>
        <w:t>②排放方式：连续排放</w:t>
      </w:r>
    </w:p>
    <w:p>
      <w:pPr>
        <w:pStyle w:val="BodyText"/>
        <w:spacing w:before="6"/>
        <w:rPr>
          <w:sz w:val="15"/>
        </w:rPr>
      </w:pPr>
    </w:p>
    <w:p>
      <w:pPr>
        <w:pStyle w:val="BodyText"/>
        <w:spacing w:line="417" w:lineRule="auto" w:before="1"/>
        <w:ind w:left="958" w:right="898" w:firstLine="424"/>
      </w:pPr>
      <w:r>
        <w:rPr/>
        <w:t>③排放口数量及分布情况：污水 </w:t>
      </w:r>
      <w:r>
        <w:rPr>
          <w:rFonts w:ascii="Times New Roman" w:hAnsi="Times New Roman" w:eastAsia="Times New Roman"/>
        </w:rPr>
        <w:t>1 </w:t>
      </w:r>
      <w:r>
        <w:rPr/>
        <w:t>个，在冰箱园区北门；废气 </w:t>
      </w:r>
      <w:r>
        <w:rPr>
          <w:rFonts w:ascii="Times New Roman" w:hAnsi="Times New Roman" w:eastAsia="Times New Roman"/>
        </w:rPr>
        <w:t>16 </w:t>
      </w:r>
      <w:r>
        <w:rPr/>
        <w:t>个，在冰箱 </w:t>
      </w:r>
      <w:r>
        <w:rPr>
          <w:rFonts w:ascii="Times New Roman" w:hAnsi="Times New Roman" w:eastAsia="Times New Roman"/>
        </w:rPr>
        <w:t>A </w:t>
      </w:r>
      <w:r>
        <w:rPr/>
        <w:t>座、</w:t>
      </w:r>
      <w:r>
        <w:rPr>
          <w:rFonts w:ascii="Times New Roman" w:hAnsi="Times New Roman" w:eastAsia="Times New Roman"/>
        </w:rPr>
        <w:t>B </w:t>
      </w:r>
      <w:r>
        <w:rPr/>
        <w:t>座厂房上方</w:t>
      </w:r>
    </w:p>
    <w:p>
      <w:pPr>
        <w:pStyle w:val="BodyText"/>
        <w:spacing w:line="269" w:lineRule="exact"/>
        <w:ind w:left="1385"/>
      </w:pPr>
      <w:r>
        <w:rPr/>
        <w:t>④排放浓度和排放标准：</w:t>
      </w:r>
    </w:p>
    <w:p>
      <w:pPr>
        <w:pStyle w:val="BodyText"/>
        <w:spacing w:before="6"/>
        <w:rPr>
          <w:sz w:val="15"/>
        </w:rPr>
      </w:pPr>
    </w:p>
    <w:p>
      <w:pPr>
        <w:pStyle w:val="BodyText"/>
        <w:ind w:left="1382"/>
      </w:pPr>
      <w:r>
        <w:rPr/>
        <w:t>根据排污许可证，需要核定总量的污染物排放浓度和总量如下：</w:t>
      </w:r>
    </w:p>
    <w:p>
      <w:pPr>
        <w:pStyle w:val="BodyText"/>
        <w:spacing w:before="10"/>
        <w:rPr>
          <w:sz w:val="7"/>
        </w:rPr>
      </w:pPr>
    </w:p>
    <w:tbl>
      <w:tblPr>
        <w:tblW w:w="0" w:type="auto"/>
        <w:jc w:val="left"/>
        <w:tblInd w:w="127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696"/>
        <w:gridCol w:w="1431"/>
        <w:gridCol w:w="1524"/>
        <w:gridCol w:w="1412"/>
        <w:gridCol w:w="1462"/>
        <w:gridCol w:w="1700"/>
      </w:tblGrid>
      <w:tr>
        <w:trPr>
          <w:trHeight w:val="625" w:hRule="atLeast"/>
        </w:trPr>
        <w:tc>
          <w:tcPr>
            <w:tcW w:w="696" w:type="dxa"/>
            <w:tcBorders>
              <w:bottom w:val="single" w:sz="4" w:space="0" w:color="000000"/>
              <w:right w:val="single" w:sz="4" w:space="0" w:color="000000"/>
            </w:tcBorders>
            <w:shd w:val="clear" w:color="auto" w:fill="EDEBE0"/>
          </w:tcPr>
          <w:p>
            <w:pPr>
              <w:pStyle w:val="TableParagraph"/>
              <w:spacing w:before="1"/>
              <w:rPr>
                <w:rFonts w:ascii="宋体"/>
                <w:sz w:val="14"/>
              </w:rPr>
            </w:pPr>
          </w:p>
          <w:p>
            <w:pPr>
              <w:pStyle w:val="TableParagraph"/>
              <w:ind w:left="117" w:right="99"/>
              <w:jc w:val="center"/>
              <w:rPr>
                <w:rFonts w:ascii="宋体" w:eastAsia="宋体" w:hint="eastAsia"/>
                <w:sz w:val="21"/>
              </w:rPr>
            </w:pPr>
            <w:r>
              <w:rPr>
                <w:rFonts w:ascii="宋体" w:eastAsia="宋体" w:hint="eastAsia"/>
                <w:sz w:val="21"/>
              </w:rPr>
              <w:t>序号</w:t>
            </w:r>
          </w:p>
        </w:tc>
        <w:tc>
          <w:tcPr>
            <w:tcW w:w="1431" w:type="dxa"/>
            <w:tcBorders>
              <w:left w:val="single" w:sz="4" w:space="0" w:color="000000"/>
              <w:bottom w:val="single" w:sz="4" w:space="0" w:color="000000"/>
              <w:right w:val="single" w:sz="4" w:space="0" w:color="000000"/>
            </w:tcBorders>
            <w:shd w:val="clear" w:color="auto" w:fill="EDEBE0"/>
          </w:tcPr>
          <w:p>
            <w:pPr>
              <w:pStyle w:val="TableParagraph"/>
              <w:spacing w:before="1"/>
              <w:rPr>
                <w:rFonts w:ascii="宋体"/>
                <w:sz w:val="14"/>
              </w:rPr>
            </w:pPr>
          </w:p>
          <w:p>
            <w:pPr>
              <w:pStyle w:val="TableParagraph"/>
              <w:ind w:left="180" w:right="150"/>
              <w:jc w:val="center"/>
              <w:rPr>
                <w:rFonts w:ascii="宋体" w:eastAsia="宋体" w:hint="eastAsia"/>
                <w:sz w:val="21"/>
              </w:rPr>
            </w:pPr>
            <w:r>
              <w:rPr>
                <w:rFonts w:ascii="宋体" w:eastAsia="宋体" w:hint="eastAsia"/>
                <w:sz w:val="21"/>
              </w:rPr>
              <w:t>污染物名称</w:t>
            </w:r>
          </w:p>
        </w:tc>
        <w:tc>
          <w:tcPr>
            <w:tcW w:w="1524" w:type="dxa"/>
            <w:tcBorders>
              <w:left w:val="single" w:sz="4" w:space="0" w:color="000000"/>
              <w:bottom w:val="single" w:sz="4" w:space="0" w:color="000000"/>
              <w:right w:val="single" w:sz="4" w:space="0" w:color="000000"/>
            </w:tcBorders>
            <w:shd w:val="clear" w:color="auto" w:fill="EDEBE0"/>
          </w:tcPr>
          <w:p>
            <w:pPr>
              <w:pStyle w:val="TableParagraph"/>
              <w:spacing w:before="1"/>
              <w:rPr>
                <w:rFonts w:ascii="宋体"/>
                <w:sz w:val="14"/>
              </w:rPr>
            </w:pPr>
          </w:p>
          <w:p>
            <w:pPr>
              <w:pStyle w:val="TableParagraph"/>
              <w:ind w:left="331" w:right="303"/>
              <w:jc w:val="center"/>
              <w:rPr>
                <w:rFonts w:ascii="宋体" w:eastAsia="宋体" w:hint="eastAsia"/>
                <w:sz w:val="21"/>
              </w:rPr>
            </w:pPr>
            <w:r>
              <w:rPr>
                <w:rFonts w:ascii="宋体" w:eastAsia="宋体" w:hint="eastAsia"/>
                <w:sz w:val="21"/>
              </w:rPr>
              <w:t>排放浓度</w:t>
            </w:r>
          </w:p>
        </w:tc>
        <w:tc>
          <w:tcPr>
            <w:tcW w:w="1412" w:type="dxa"/>
            <w:tcBorders>
              <w:left w:val="single" w:sz="4" w:space="0" w:color="000000"/>
              <w:bottom w:val="single" w:sz="4" w:space="0" w:color="000000"/>
              <w:right w:val="single" w:sz="4" w:space="0" w:color="000000"/>
            </w:tcBorders>
            <w:shd w:val="clear" w:color="auto" w:fill="EDEBE0"/>
          </w:tcPr>
          <w:p>
            <w:pPr>
              <w:pStyle w:val="TableParagraph"/>
              <w:spacing w:before="1"/>
              <w:rPr>
                <w:rFonts w:ascii="宋体"/>
                <w:sz w:val="14"/>
              </w:rPr>
            </w:pPr>
          </w:p>
          <w:p>
            <w:pPr>
              <w:pStyle w:val="TableParagraph"/>
              <w:ind w:right="264"/>
              <w:jc w:val="right"/>
              <w:rPr>
                <w:rFonts w:ascii="宋体" w:eastAsia="宋体" w:hint="eastAsia"/>
                <w:sz w:val="21"/>
              </w:rPr>
            </w:pPr>
            <w:r>
              <w:rPr>
                <w:rFonts w:ascii="宋体" w:eastAsia="宋体" w:hint="eastAsia"/>
                <w:sz w:val="21"/>
              </w:rPr>
              <w:t>排放总量</w:t>
            </w:r>
          </w:p>
        </w:tc>
        <w:tc>
          <w:tcPr>
            <w:tcW w:w="1462" w:type="dxa"/>
            <w:tcBorders>
              <w:left w:val="single" w:sz="4" w:space="0" w:color="000000"/>
              <w:bottom w:val="single" w:sz="4" w:space="0" w:color="000000"/>
              <w:right w:val="single" w:sz="4" w:space="0" w:color="000000"/>
            </w:tcBorders>
            <w:shd w:val="clear" w:color="auto" w:fill="EDEBE0"/>
          </w:tcPr>
          <w:p>
            <w:pPr>
              <w:pStyle w:val="TableParagraph"/>
              <w:spacing w:before="24"/>
              <w:ind w:left="119" w:right="87"/>
              <w:jc w:val="center"/>
              <w:rPr>
                <w:rFonts w:ascii="宋体" w:eastAsia="宋体" w:hint="eastAsia"/>
                <w:sz w:val="21"/>
              </w:rPr>
            </w:pPr>
            <w:r>
              <w:rPr>
                <w:rFonts w:ascii="宋体" w:eastAsia="宋体" w:hint="eastAsia"/>
                <w:sz w:val="21"/>
              </w:rPr>
              <w:t>核定排放总</w:t>
            </w:r>
          </w:p>
          <w:p>
            <w:pPr>
              <w:pStyle w:val="TableParagraph"/>
              <w:spacing w:before="43"/>
              <w:ind w:left="30"/>
              <w:jc w:val="center"/>
              <w:rPr>
                <w:rFonts w:ascii="宋体" w:eastAsia="宋体" w:hint="eastAsia"/>
                <w:sz w:val="21"/>
              </w:rPr>
            </w:pPr>
            <w:r>
              <w:rPr>
                <w:rFonts w:ascii="宋体" w:eastAsia="宋体" w:hint="eastAsia"/>
                <w:w w:val="100"/>
                <w:sz w:val="21"/>
              </w:rPr>
              <w:t>量</w:t>
            </w:r>
          </w:p>
        </w:tc>
        <w:tc>
          <w:tcPr>
            <w:tcW w:w="1700" w:type="dxa"/>
            <w:tcBorders>
              <w:left w:val="single" w:sz="4" w:space="0" w:color="000000"/>
              <w:bottom w:val="single" w:sz="4" w:space="0" w:color="000000"/>
            </w:tcBorders>
            <w:shd w:val="clear" w:color="auto" w:fill="EDEBE0"/>
          </w:tcPr>
          <w:p>
            <w:pPr>
              <w:pStyle w:val="TableParagraph"/>
              <w:spacing w:before="1"/>
              <w:rPr>
                <w:rFonts w:ascii="宋体"/>
                <w:sz w:val="14"/>
              </w:rPr>
            </w:pPr>
          </w:p>
          <w:p>
            <w:pPr>
              <w:pStyle w:val="TableParagraph"/>
              <w:ind w:left="208" w:right="171"/>
              <w:jc w:val="center"/>
              <w:rPr>
                <w:rFonts w:ascii="宋体" w:eastAsia="宋体" w:hint="eastAsia"/>
                <w:sz w:val="21"/>
              </w:rPr>
            </w:pPr>
            <w:r>
              <w:rPr>
                <w:rFonts w:ascii="宋体" w:eastAsia="宋体" w:hint="eastAsia"/>
                <w:sz w:val="21"/>
              </w:rPr>
              <w:t>是否超标排放</w:t>
            </w:r>
          </w:p>
        </w:tc>
      </w:tr>
      <w:tr>
        <w:trPr>
          <w:trHeight w:val="311" w:hRule="atLeast"/>
        </w:trPr>
        <w:tc>
          <w:tcPr>
            <w:tcW w:w="696" w:type="dxa"/>
            <w:tcBorders>
              <w:top w:val="single" w:sz="4" w:space="0" w:color="000000"/>
              <w:bottom w:val="single" w:sz="4" w:space="0" w:color="000000"/>
              <w:right w:val="single" w:sz="4" w:space="0" w:color="000000"/>
            </w:tcBorders>
          </w:tcPr>
          <w:p>
            <w:pPr>
              <w:pStyle w:val="TableParagraph"/>
              <w:spacing w:before="34"/>
              <w:ind w:left="18"/>
              <w:jc w:val="center"/>
              <w:rPr>
                <w:sz w:val="21"/>
              </w:rPr>
            </w:pPr>
            <w:r>
              <w:rPr>
                <w:w w:val="100"/>
                <w:sz w:val="21"/>
              </w:rPr>
              <w:t>1</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34"/>
              <w:ind w:left="176" w:right="150"/>
              <w:jc w:val="center"/>
              <w:rPr>
                <w:sz w:val="21"/>
              </w:rPr>
            </w:pPr>
            <w:r>
              <w:rPr>
                <w:sz w:val="21"/>
              </w:rPr>
              <w:t>COD</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34"/>
              <w:ind w:left="280"/>
              <w:rPr>
                <w:sz w:val="21"/>
              </w:rPr>
            </w:pPr>
            <w:r>
              <w:rPr>
                <w:sz w:val="21"/>
              </w:rPr>
              <w:t>103.6 mg/L</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22"/>
              <w:ind w:right="317"/>
              <w:jc w:val="right"/>
              <w:rPr>
                <w:rFonts w:ascii="宋体" w:eastAsia="宋体" w:hint="eastAsia"/>
                <w:sz w:val="21"/>
              </w:rPr>
            </w:pPr>
            <w:r>
              <w:rPr>
                <w:sz w:val="21"/>
              </w:rPr>
              <w:t>0.058 </w:t>
            </w:r>
            <w:r>
              <w:rPr>
                <w:rFonts w:ascii="宋体" w:eastAsia="宋体" w:hint="eastAsia"/>
                <w:sz w:val="21"/>
              </w:rPr>
              <w:t>吨</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22"/>
              <w:ind w:left="450"/>
              <w:rPr>
                <w:rFonts w:ascii="宋体" w:eastAsia="宋体" w:hint="eastAsia"/>
                <w:sz w:val="21"/>
              </w:rPr>
            </w:pPr>
            <w:r>
              <w:rPr>
                <w:sz w:val="21"/>
              </w:rPr>
              <w:t>165 </w:t>
            </w:r>
            <w:r>
              <w:rPr>
                <w:rFonts w:ascii="宋体" w:eastAsia="宋体" w:hint="eastAsia"/>
                <w:sz w:val="21"/>
              </w:rPr>
              <w:t>吨</w:t>
            </w:r>
          </w:p>
        </w:tc>
        <w:tc>
          <w:tcPr>
            <w:tcW w:w="1700" w:type="dxa"/>
            <w:tcBorders>
              <w:top w:val="single" w:sz="4" w:space="0" w:color="000000"/>
              <w:left w:val="single" w:sz="4" w:space="0" w:color="000000"/>
              <w:bottom w:val="single" w:sz="4" w:space="0" w:color="000000"/>
            </w:tcBorders>
          </w:tcPr>
          <w:p>
            <w:pPr>
              <w:pStyle w:val="TableParagraph"/>
              <w:spacing w:before="22"/>
              <w:ind w:left="37"/>
              <w:jc w:val="center"/>
              <w:rPr>
                <w:rFonts w:ascii="宋体" w:eastAsia="宋体" w:hint="eastAsia"/>
                <w:sz w:val="21"/>
              </w:rPr>
            </w:pPr>
            <w:r>
              <w:rPr>
                <w:rFonts w:ascii="宋体" w:eastAsia="宋体" w:hint="eastAsia"/>
                <w:w w:val="100"/>
                <w:sz w:val="21"/>
              </w:rPr>
              <w:t>否</w:t>
            </w:r>
          </w:p>
        </w:tc>
      </w:tr>
      <w:tr>
        <w:trPr>
          <w:trHeight w:val="311" w:hRule="atLeast"/>
        </w:trPr>
        <w:tc>
          <w:tcPr>
            <w:tcW w:w="696" w:type="dxa"/>
            <w:tcBorders>
              <w:top w:val="single" w:sz="4" w:space="0" w:color="000000"/>
              <w:right w:val="single" w:sz="4" w:space="0" w:color="000000"/>
            </w:tcBorders>
          </w:tcPr>
          <w:p>
            <w:pPr>
              <w:pStyle w:val="TableParagraph"/>
              <w:spacing w:before="34"/>
              <w:ind w:left="18"/>
              <w:jc w:val="center"/>
              <w:rPr>
                <w:sz w:val="21"/>
              </w:rPr>
            </w:pPr>
            <w:r>
              <w:rPr>
                <w:w w:val="100"/>
                <w:sz w:val="21"/>
              </w:rPr>
              <w:t>2</w:t>
            </w:r>
          </w:p>
        </w:tc>
        <w:tc>
          <w:tcPr>
            <w:tcW w:w="1431" w:type="dxa"/>
            <w:tcBorders>
              <w:top w:val="single" w:sz="4" w:space="0" w:color="000000"/>
              <w:left w:val="single" w:sz="4" w:space="0" w:color="000000"/>
              <w:right w:val="single" w:sz="4" w:space="0" w:color="000000"/>
            </w:tcBorders>
          </w:tcPr>
          <w:p>
            <w:pPr>
              <w:pStyle w:val="TableParagraph"/>
              <w:spacing w:line="269" w:lineRule="exact" w:before="22"/>
              <w:ind w:left="178" w:right="150"/>
              <w:jc w:val="center"/>
              <w:rPr>
                <w:rFonts w:ascii="宋体" w:eastAsia="宋体" w:hint="eastAsia"/>
                <w:sz w:val="21"/>
              </w:rPr>
            </w:pPr>
            <w:r>
              <w:rPr>
                <w:rFonts w:ascii="宋体" w:eastAsia="宋体" w:hint="eastAsia"/>
                <w:sz w:val="21"/>
              </w:rPr>
              <w:t>氨氮</w:t>
            </w:r>
          </w:p>
        </w:tc>
        <w:tc>
          <w:tcPr>
            <w:tcW w:w="1524" w:type="dxa"/>
            <w:tcBorders>
              <w:top w:val="single" w:sz="4" w:space="0" w:color="000000"/>
              <w:left w:val="single" w:sz="4" w:space="0" w:color="000000"/>
              <w:right w:val="single" w:sz="4" w:space="0" w:color="000000"/>
            </w:tcBorders>
          </w:tcPr>
          <w:p>
            <w:pPr>
              <w:pStyle w:val="TableParagraph"/>
              <w:spacing w:before="34"/>
              <w:ind w:left="331" w:right="301"/>
              <w:jc w:val="center"/>
              <w:rPr>
                <w:sz w:val="21"/>
              </w:rPr>
            </w:pPr>
            <w:r>
              <w:rPr>
                <w:sz w:val="21"/>
              </w:rPr>
              <w:t>9.31mg/L</w:t>
            </w:r>
          </w:p>
        </w:tc>
        <w:tc>
          <w:tcPr>
            <w:tcW w:w="1412" w:type="dxa"/>
            <w:tcBorders>
              <w:top w:val="single" w:sz="4" w:space="0" w:color="000000"/>
              <w:left w:val="single" w:sz="4" w:space="0" w:color="000000"/>
              <w:right w:val="single" w:sz="4" w:space="0" w:color="000000"/>
            </w:tcBorders>
          </w:tcPr>
          <w:p>
            <w:pPr>
              <w:pStyle w:val="TableParagraph"/>
              <w:spacing w:line="269" w:lineRule="exact" w:before="22"/>
              <w:ind w:right="264"/>
              <w:jc w:val="right"/>
              <w:rPr>
                <w:rFonts w:ascii="宋体" w:eastAsia="宋体" w:hint="eastAsia"/>
                <w:sz w:val="21"/>
              </w:rPr>
            </w:pPr>
            <w:r>
              <w:rPr>
                <w:sz w:val="21"/>
              </w:rPr>
              <w:t>0.0052 </w:t>
            </w:r>
            <w:r>
              <w:rPr>
                <w:rFonts w:ascii="宋体" w:eastAsia="宋体" w:hint="eastAsia"/>
                <w:sz w:val="21"/>
              </w:rPr>
              <w:t>吨</w:t>
            </w:r>
          </w:p>
        </w:tc>
        <w:tc>
          <w:tcPr>
            <w:tcW w:w="1462" w:type="dxa"/>
            <w:tcBorders>
              <w:top w:val="single" w:sz="4" w:space="0" w:color="000000"/>
              <w:left w:val="single" w:sz="4" w:space="0" w:color="000000"/>
              <w:right w:val="single" w:sz="4" w:space="0" w:color="000000"/>
            </w:tcBorders>
          </w:tcPr>
          <w:p>
            <w:pPr>
              <w:pStyle w:val="TableParagraph"/>
              <w:spacing w:line="269" w:lineRule="exact" w:before="22"/>
              <w:ind w:left="503"/>
              <w:rPr>
                <w:rFonts w:ascii="宋体" w:eastAsia="宋体" w:hint="eastAsia"/>
                <w:sz w:val="21"/>
              </w:rPr>
            </w:pPr>
            <w:r>
              <w:rPr>
                <w:sz w:val="21"/>
              </w:rPr>
              <w:t>10 </w:t>
            </w:r>
            <w:r>
              <w:rPr>
                <w:rFonts w:ascii="宋体" w:eastAsia="宋体" w:hint="eastAsia"/>
                <w:sz w:val="21"/>
              </w:rPr>
              <w:t>吨</w:t>
            </w:r>
          </w:p>
        </w:tc>
        <w:tc>
          <w:tcPr>
            <w:tcW w:w="1700" w:type="dxa"/>
            <w:tcBorders>
              <w:top w:val="single" w:sz="4" w:space="0" w:color="000000"/>
              <w:left w:val="single" w:sz="4" w:space="0" w:color="000000"/>
            </w:tcBorders>
          </w:tcPr>
          <w:p>
            <w:pPr>
              <w:pStyle w:val="TableParagraph"/>
              <w:spacing w:line="269" w:lineRule="exact" w:before="22"/>
              <w:ind w:left="37"/>
              <w:jc w:val="center"/>
              <w:rPr>
                <w:rFonts w:ascii="宋体" w:eastAsia="宋体" w:hint="eastAsia"/>
                <w:sz w:val="21"/>
              </w:rPr>
            </w:pPr>
            <w:r>
              <w:rPr>
                <w:rFonts w:ascii="宋体" w:eastAsia="宋体" w:hint="eastAsia"/>
                <w:w w:val="100"/>
                <w:sz w:val="21"/>
              </w:rPr>
              <w:t>否</w:t>
            </w:r>
          </w:p>
        </w:tc>
      </w:tr>
    </w:tbl>
    <w:p>
      <w:pPr>
        <w:pStyle w:val="BodyText"/>
        <w:spacing w:before="26"/>
        <w:ind w:right="2179"/>
        <w:jc w:val="right"/>
        <w:rPr>
          <w:rFonts w:ascii="Times New Roman" w:eastAsia="Times New Roman"/>
        </w:rPr>
      </w:pPr>
      <w:r>
        <w:rPr/>
        <w:t>执行的污染物排放标准：《污水排入城镇下水道水质标准》</w:t>
      </w:r>
      <w:r>
        <w:rPr>
          <w:rFonts w:ascii="Times New Roman" w:eastAsia="Times New Roman"/>
        </w:rPr>
        <w:t>(GBT 31962-2015)</w:t>
      </w:r>
    </w:p>
    <w:p>
      <w:pPr>
        <w:pStyle w:val="Heading4"/>
        <w:numPr>
          <w:ilvl w:val="1"/>
          <w:numId w:val="20"/>
        </w:numPr>
        <w:tabs>
          <w:tab w:pos="1915" w:val="left" w:leader="none"/>
        </w:tabs>
        <w:spacing w:line="240" w:lineRule="auto" w:before="50" w:after="0"/>
        <w:ind w:left="1914" w:right="0" w:hanging="530"/>
        <w:jc w:val="left"/>
      </w:pPr>
      <w:r>
        <w:rPr/>
        <w:t>武汉热水器</w:t>
      </w:r>
    </w:p>
    <w:p>
      <w:pPr>
        <w:pStyle w:val="BodyText"/>
        <w:spacing w:before="151"/>
        <w:ind w:left="1382"/>
      </w:pPr>
      <w:r>
        <w:rPr/>
        <w:t>①主要污染物：</w:t>
      </w:r>
    </w:p>
    <w:p>
      <w:pPr>
        <w:pStyle w:val="BodyText"/>
        <w:spacing w:before="7"/>
        <w:rPr>
          <w:sz w:val="15"/>
        </w:rPr>
      </w:pPr>
    </w:p>
    <w:p>
      <w:pPr>
        <w:pStyle w:val="BodyText"/>
        <w:spacing w:line="417" w:lineRule="auto"/>
        <w:ind w:left="958" w:right="963" w:firstLine="424"/>
        <w:jc w:val="both"/>
      </w:pPr>
      <w:r>
        <w:rPr>
          <w:spacing w:val="-5"/>
        </w:rPr>
        <w:t>污水。按照《排污许可证申请与核发技术规范水处理</w:t>
      </w:r>
      <w:r>
        <w:rPr/>
        <w:t>（</w:t>
      </w:r>
      <w:r>
        <w:rPr>
          <w:spacing w:val="-2"/>
        </w:rPr>
        <w:t>试行</w:t>
      </w:r>
      <w:r>
        <w:rPr>
          <w:spacing w:val="-8"/>
        </w:rPr>
        <w:t>）</w:t>
      </w:r>
      <w:r>
        <w:rPr>
          <w:spacing w:val="-10"/>
        </w:rPr>
        <w:t>》</w:t>
      </w:r>
      <w:r>
        <w:rPr/>
        <w:t>（</w:t>
      </w:r>
      <w:r>
        <w:rPr>
          <w:rFonts w:ascii="Times New Roman" w:eastAsia="Times New Roman"/>
        </w:rPr>
        <w:t>HJ 978-2018</w:t>
      </w:r>
      <w:r>
        <w:rPr/>
        <w:t>）</w:t>
      </w:r>
      <w:r>
        <w:rPr>
          <w:spacing w:val="-3"/>
        </w:rPr>
        <w:t>申请排污许</w:t>
      </w:r>
      <w:r>
        <w:rPr>
          <w:spacing w:val="-19"/>
          <w:w w:val="100"/>
        </w:rPr>
        <w:t>可证并执行，共计应检测污染物</w:t>
      </w:r>
      <w:r>
        <w:rPr>
          <w:spacing w:val="-3"/>
          <w:w w:val="100"/>
        </w:rPr>
        <w:t>（含特征污染物</w:t>
      </w:r>
      <w:r>
        <w:rPr>
          <w:spacing w:val="-102"/>
          <w:w w:val="100"/>
        </w:rPr>
        <w:t>）</w:t>
      </w:r>
      <w:r>
        <w:rPr>
          <w:rFonts w:ascii="Times New Roman" w:eastAsia="Times New Roman"/>
          <w:w w:val="100"/>
        </w:rPr>
        <w:t>9</w:t>
      </w:r>
      <w:r>
        <w:rPr>
          <w:rFonts w:ascii="Times New Roman" w:eastAsia="Times New Roman"/>
        </w:rPr>
        <w:t> </w:t>
      </w:r>
      <w:r>
        <w:rPr>
          <w:spacing w:val="-37"/>
          <w:w w:val="100"/>
        </w:rPr>
        <w:t>种，分别为：</w:t>
      </w:r>
      <w:r>
        <w:rPr>
          <w:rFonts w:ascii="Times New Roman" w:eastAsia="Times New Roman"/>
          <w:w w:val="100"/>
        </w:rPr>
        <w:t>C</w:t>
      </w:r>
      <w:r>
        <w:rPr>
          <w:rFonts w:ascii="Times New Roman" w:eastAsia="Times New Roman"/>
          <w:spacing w:val="-2"/>
          <w:w w:val="100"/>
        </w:rPr>
        <w:t>O</w:t>
      </w:r>
      <w:r>
        <w:rPr>
          <w:rFonts w:ascii="Times New Roman" w:eastAsia="Times New Roman"/>
          <w:spacing w:val="-1"/>
          <w:w w:val="100"/>
        </w:rPr>
        <w:t>D</w:t>
      </w:r>
      <w:r>
        <w:rPr>
          <w:spacing w:val="-32"/>
          <w:w w:val="100"/>
        </w:rPr>
        <w:t>，总锌，悬浮物</w:t>
      </w:r>
      <w:r>
        <w:rPr>
          <w:spacing w:val="-32"/>
        </w:rPr>
        <w:t> </w:t>
      </w:r>
      <w:r>
        <w:rPr>
          <w:spacing w:val="-69"/>
          <w:w w:val="100"/>
        </w:rPr>
        <w:t>，氨氮</w:t>
      </w:r>
      <w:r>
        <w:rPr>
          <w:spacing w:val="-3"/>
          <w:w w:val="100"/>
        </w:rPr>
        <w:t>（</w:t>
      </w:r>
      <w:r>
        <w:rPr>
          <w:rFonts w:ascii="Times New Roman" w:eastAsia="Times New Roman"/>
          <w:spacing w:val="-2"/>
          <w:w w:val="100"/>
        </w:rPr>
        <w:t>N</w:t>
      </w:r>
      <w:r>
        <w:rPr>
          <w:rFonts w:ascii="Times New Roman" w:eastAsia="Times New Roman"/>
          <w:w w:val="100"/>
        </w:rPr>
        <w:t>H</w:t>
      </w:r>
      <w:r>
        <w:rPr>
          <w:rFonts w:ascii="Times New Roman" w:eastAsia="Times New Roman"/>
          <w:w w:val="100"/>
        </w:rPr>
        <w:t>3</w:t>
      </w:r>
      <w:r>
        <w:rPr>
          <w:rFonts w:ascii="Times New Roman" w:eastAsia="Times New Roman"/>
          <w:spacing w:val="-4"/>
          <w:w w:val="100"/>
        </w:rPr>
        <w:t>-</w:t>
      </w:r>
      <w:r>
        <w:rPr>
          <w:rFonts w:ascii="Times New Roman" w:eastAsia="Times New Roman"/>
          <w:spacing w:val="1"/>
          <w:w w:val="100"/>
        </w:rPr>
        <w:t>N</w:t>
      </w:r>
      <w:r>
        <w:rPr>
          <w:spacing w:val="-101"/>
          <w:w w:val="100"/>
        </w:rPr>
        <w:t>），</w:t>
      </w:r>
      <w:r>
        <w:rPr>
          <w:spacing w:val="-3"/>
        </w:rPr>
        <w:t>五日生化需氧量，</w:t>
      </w:r>
      <w:r>
        <w:rPr>
          <w:rFonts w:ascii="Times New Roman" w:eastAsia="Times New Roman"/>
        </w:rPr>
        <w:t>pH </w:t>
      </w:r>
      <w:r>
        <w:rPr>
          <w:spacing w:val="-3"/>
        </w:rPr>
        <w:t>值，阴离子表面活性剂，总磷，动植物油。</w:t>
      </w:r>
    </w:p>
    <w:p>
      <w:pPr>
        <w:pStyle w:val="BodyText"/>
        <w:spacing w:line="269" w:lineRule="exact"/>
        <w:ind w:left="1382"/>
      </w:pPr>
      <w:r>
        <w:rPr/>
        <w:t>②排放方式：间接排放</w:t>
      </w:r>
    </w:p>
    <w:p>
      <w:pPr>
        <w:pStyle w:val="BodyText"/>
        <w:spacing w:before="7"/>
        <w:rPr>
          <w:sz w:val="15"/>
        </w:rPr>
      </w:pPr>
    </w:p>
    <w:p>
      <w:pPr>
        <w:pStyle w:val="BodyText"/>
        <w:ind w:left="1382"/>
      </w:pPr>
      <w:r>
        <w:rPr/>
        <w:t>③排放口数量及分布情况：</w:t>
      </w:r>
      <w:r>
        <w:rPr>
          <w:rFonts w:ascii="Times New Roman" w:hAnsi="Times New Roman" w:eastAsia="Times New Roman"/>
        </w:rPr>
        <w:t>1 </w:t>
      </w:r>
      <w:r>
        <w:rPr/>
        <w:t>个，在污水站西南侧，管道排放</w:t>
      </w:r>
    </w:p>
    <w:p>
      <w:pPr>
        <w:pStyle w:val="BodyText"/>
        <w:spacing w:before="7"/>
        <w:rPr>
          <w:sz w:val="15"/>
        </w:rPr>
      </w:pPr>
    </w:p>
    <w:p>
      <w:pPr>
        <w:pStyle w:val="BodyText"/>
        <w:ind w:left="1382"/>
      </w:pPr>
      <w:r>
        <w:rPr/>
        <w:t>④排放浓度和总量、核定排放总量：</w:t>
      </w:r>
    </w:p>
    <w:p>
      <w:pPr>
        <w:pStyle w:val="BodyText"/>
        <w:spacing w:before="7"/>
        <w:rPr>
          <w:sz w:val="15"/>
        </w:rPr>
      </w:pPr>
    </w:p>
    <w:p>
      <w:pPr>
        <w:pStyle w:val="BodyText"/>
        <w:ind w:left="1382"/>
      </w:pPr>
      <w:r>
        <w:rPr/>
        <w:t>根据排污许可证，需要核定总量的污染物排放浓度和总量如下：</w:t>
      </w:r>
    </w:p>
    <w:p>
      <w:pPr>
        <w:pStyle w:val="BodyText"/>
        <w:spacing w:before="9"/>
        <w:rPr>
          <w:sz w:val="7"/>
        </w:rPr>
      </w:pPr>
    </w:p>
    <w:tbl>
      <w:tblPr>
        <w:tblW w:w="0" w:type="auto"/>
        <w:jc w:val="left"/>
        <w:tblInd w:w="127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696"/>
        <w:gridCol w:w="1431"/>
        <w:gridCol w:w="1524"/>
        <w:gridCol w:w="1412"/>
        <w:gridCol w:w="1462"/>
        <w:gridCol w:w="1700"/>
      </w:tblGrid>
      <w:tr>
        <w:trPr>
          <w:trHeight w:val="311" w:hRule="atLeast"/>
        </w:trPr>
        <w:tc>
          <w:tcPr>
            <w:tcW w:w="696" w:type="dxa"/>
            <w:tcBorders>
              <w:bottom w:val="single" w:sz="4" w:space="0" w:color="000000"/>
              <w:right w:val="single" w:sz="4" w:space="0" w:color="000000"/>
            </w:tcBorders>
            <w:shd w:val="clear" w:color="auto" w:fill="EDEBE0"/>
          </w:tcPr>
          <w:p>
            <w:pPr>
              <w:pStyle w:val="TableParagraph"/>
              <w:spacing w:before="25"/>
              <w:ind w:left="113" w:right="99"/>
              <w:jc w:val="center"/>
              <w:rPr>
                <w:rFonts w:ascii="宋体" w:eastAsia="宋体" w:hint="eastAsia"/>
                <w:sz w:val="20"/>
              </w:rPr>
            </w:pPr>
            <w:r>
              <w:rPr>
                <w:rFonts w:ascii="宋体" w:eastAsia="宋体" w:hint="eastAsia"/>
                <w:sz w:val="20"/>
              </w:rPr>
              <w:t>序号</w:t>
            </w:r>
          </w:p>
        </w:tc>
        <w:tc>
          <w:tcPr>
            <w:tcW w:w="1431" w:type="dxa"/>
            <w:tcBorders>
              <w:left w:val="single" w:sz="4" w:space="0" w:color="000000"/>
              <w:bottom w:val="single" w:sz="4" w:space="0" w:color="000000"/>
              <w:right w:val="single" w:sz="4" w:space="0" w:color="000000"/>
            </w:tcBorders>
            <w:shd w:val="clear" w:color="auto" w:fill="EDEBE0"/>
          </w:tcPr>
          <w:p>
            <w:pPr>
              <w:pStyle w:val="TableParagraph"/>
              <w:spacing w:before="25"/>
              <w:ind w:left="173" w:right="150"/>
              <w:jc w:val="center"/>
              <w:rPr>
                <w:rFonts w:ascii="宋体" w:eastAsia="宋体" w:hint="eastAsia"/>
                <w:sz w:val="20"/>
              </w:rPr>
            </w:pPr>
            <w:r>
              <w:rPr>
                <w:rFonts w:ascii="宋体" w:eastAsia="宋体" w:hint="eastAsia"/>
                <w:sz w:val="20"/>
              </w:rPr>
              <w:t>污染物名称</w:t>
            </w:r>
          </w:p>
        </w:tc>
        <w:tc>
          <w:tcPr>
            <w:tcW w:w="1524" w:type="dxa"/>
            <w:tcBorders>
              <w:left w:val="single" w:sz="4" w:space="0" w:color="000000"/>
              <w:bottom w:val="single" w:sz="4" w:space="0" w:color="000000"/>
              <w:right w:val="single" w:sz="4" w:space="0" w:color="000000"/>
            </w:tcBorders>
            <w:shd w:val="clear" w:color="auto" w:fill="EDEBE0"/>
          </w:tcPr>
          <w:p>
            <w:pPr>
              <w:pStyle w:val="TableParagraph"/>
              <w:spacing w:before="25"/>
              <w:ind w:right="343"/>
              <w:jc w:val="right"/>
              <w:rPr>
                <w:rFonts w:ascii="宋体" w:eastAsia="宋体" w:hint="eastAsia"/>
                <w:sz w:val="20"/>
              </w:rPr>
            </w:pPr>
            <w:r>
              <w:rPr>
                <w:rFonts w:ascii="宋体" w:eastAsia="宋体" w:hint="eastAsia"/>
                <w:w w:val="95"/>
                <w:sz w:val="20"/>
              </w:rPr>
              <w:t>排放浓度</w:t>
            </w:r>
          </w:p>
        </w:tc>
        <w:tc>
          <w:tcPr>
            <w:tcW w:w="1412" w:type="dxa"/>
            <w:tcBorders>
              <w:left w:val="single" w:sz="4" w:space="0" w:color="000000"/>
              <w:bottom w:val="single" w:sz="4" w:space="0" w:color="000000"/>
              <w:right w:val="single" w:sz="4" w:space="0" w:color="000000"/>
            </w:tcBorders>
            <w:shd w:val="clear" w:color="auto" w:fill="EDEBE0"/>
          </w:tcPr>
          <w:p>
            <w:pPr>
              <w:pStyle w:val="TableParagraph"/>
              <w:spacing w:before="25"/>
              <w:ind w:left="311"/>
              <w:rPr>
                <w:rFonts w:ascii="宋体" w:eastAsia="宋体" w:hint="eastAsia"/>
                <w:sz w:val="20"/>
              </w:rPr>
            </w:pPr>
            <w:r>
              <w:rPr>
                <w:rFonts w:ascii="宋体" w:eastAsia="宋体" w:hint="eastAsia"/>
                <w:sz w:val="20"/>
              </w:rPr>
              <w:t>排放总量</w:t>
            </w:r>
          </w:p>
        </w:tc>
        <w:tc>
          <w:tcPr>
            <w:tcW w:w="1462" w:type="dxa"/>
            <w:tcBorders>
              <w:left w:val="single" w:sz="4" w:space="0" w:color="000000"/>
              <w:bottom w:val="single" w:sz="4" w:space="0" w:color="000000"/>
              <w:right w:val="single" w:sz="4" w:space="0" w:color="000000"/>
            </w:tcBorders>
            <w:shd w:val="clear" w:color="auto" w:fill="EDEBE0"/>
          </w:tcPr>
          <w:p>
            <w:pPr>
              <w:pStyle w:val="TableParagraph"/>
              <w:spacing w:before="25"/>
              <w:ind w:left="119" w:right="92"/>
              <w:jc w:val="center"/>
              <w:rPr>
                <w:rFonts w:ascii="宋体" w:eastAsia="宋体" w:hint="eastAsia"/>
                <w:sz w:val="20"/>
              </w:rPr>
            </w:pPr>
            <w:r>
              <w:rPr>
                <w:rFonts w:ascii="宋体" w:eastAsia="宋体" w:hint="eastAsia"/>
                <w:sz w:val="20"/>
              </w:rPr>
              <w:t>核定排放总量</w:t>
            </w:r>
          </w:p>
        </w:tc>
        <w:tc>
          <w:tcPr>
            <w:tcW w:w="1700" w:type="dxa"/>
            <w:tcBorders>
              <w:left w:val="single" w:sz="4" w:space="0" w:color="000000"/>
              <w:bottom w:val="single" w:sz="4" w:space="0" w:color="000000"/>
            </w:tcBorders>
            <w:shd w:val="clear" w:color="auto" w:fill="EDEBE0"/>
          </w:tcPr>
          <w:p>
            <w:pPr>
              <w:pStyle w:val="TableParagraph"/>
              <w:spacing w:before="25"/>
              <w:ind w:left="205" w:right="171"/>
              <w:jc w:val="center"/>
              <w:rPr>
                <w:rFonts w:ascii="宋体" w:eastAsia="宋体" w:hint="eastAsia"/>
                <w:sz w:val="20"/>
              </w:rPr>
            </w:pPr>
            <w:r>
              <w:rPr>
                <w:rFonts w:ascii="宋体" w:eastAsia="宋体" w:hint="eastAsia"/>
                <w:sz w:val="20"/>
              </w:rPr>
              <w:t>是否超标排放</w:t>
            </w:r>
          </w:p>
        </w:tc>
      </w:tr>
      <w:tr>
        <w:trPr>
          <w:trHeight w:val="311" w:hRule="atLeast"/>
        </w:trPr>
        <w:tc>
          <w:tcPr>
            <w:tcW w:w="696" w:type="dxa"/>
            <w:tcBorders>
              <w:top w:val="single" w:sz="4" w:space="0" w:color="000000"/>
              <w:bottom w:val="single" w:sz="4" w:space="0" w:color="000000"/>
              <w:right w:val="single" w:sz="4" w:space="0" w:color="000000"/>
            </w:tcBorders>
          </w:tcPr>
          <w:p>
            <w:pPr>
              <w:pStyle w:val="TableParagraph"/>
              <w:spacing w:before="38"/>
              <w:ind w:left="17"/>
              <w:jc w:val="center"/>
              <w:rPr>
                <w:sz w:val="20"/>
              </w:rPr>
            </w:pPr>
            <w:r>
              <w:rPr>
                <w:w w:val="99"/>
                <w:sz w:val="20"/>
              </w:rPr>
              <w:t>1</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38"/>
              <w:ind w:left="175" w:right="150"/>
              <w:jc w:val="center"/>
              <w:rPr>
                <w:sz w:val="20"/>
              </w:rPr>
            </w:pPr>
            <w:r>
              <w:rPr>
                <w:sz w:val="20"/>
              </w:rPr>
              <w:t>COD</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38"/>
              <w:ind w:right="352"/>
              <w:jc w:val="right"/>
              <w:rPr>
                <w:sz w:val="20"/>
              </w:rPr>
            </w:pPr>
            <w:r>
              <w:rPr>
                <w:sz w:val="20"/>
              </w:rPr>
              <w:t>500 mg/L</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25"/>
              <w:ind w:left="362"/>
              <w:rPr>
                <w:rFonts w:ascii="宋体" w:eastAsia="宋体" w:hint="eastAsia"/>
                <w:sz w:val="20"/>
              </w:rPr>
            </w:pPr>
            <w:r>
              <w:rPr>
                <w:sz w:val="20"/>
              </w:rPr>
              <w:t>0.751 </w:t>
            </w:r>
            <w:r>
              <w:rPr>
                <w:rFonts w:ascii="宋体" w:eastAsia="宋体" w:hint="eastAsia"/>
                <w:sz w:val="20"/>
              </w:rPr>
              <w:t>吨</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25"/>
              <w:ind w:left="119" w:right="89"/>
              <w:jc w:val="center"/>
              <w:rPr>
                <w:rFonts w:ascii="宋体" w:eastAsia="宋体" w:hint="eastAsia"/>
                <w:sz w:val="20"/>
              </w:rPr>
            </w:pPr>
            <w:r>
              <w:rPr>
                <w:sz w:val="20"/>
              </w:rPr>
              <w:t>0.751 </w:t>
            </w:r>
            <w:r>
              <w:rPr>
                <w:rFonts w:ascii="宋体" w:eastAsia="宋体" w:hint="eastAsia"/>
                <w:sz w:val="20"/>
              </w:rPr>
              <w:t>吨</w:t>
            </w:r>
          </w:p>
        </w:tc>
        <w:tc>
          <w:tcPr>
            <w:tcW w:w="1700" w:type="dxa"/>
            <w:tcBorders>
              <w:top w:val="single" w:sz="4" w:space="0" w:color="000000"/>
              <w:left w:val="single" w:sz="4" w:space="0" w:color="000000"/>
              <w:bottom w:val="single" w:sz="4" w:space="0" w:color="000000"/>
            </w:tcBorders>
          </w:tcPr>
          <w:p>
            <w:pPr>
              <w:pStyle w:val="TableParagraph"/>
              <w:spacing w:before="25"/>
              <w:ind w:left="35"/>
              <w:jc w:val="center"/>
              <w:rPr>
                <w:rFonts w:ascii="宋体" w:eastAsia="宋体" w:hint="eastAsia"/>
                <w:sz w:val="20"/>
              </w:rPr>
            </w:pPr>
            <w:r>
              <w:rPr>
                <w:rFonts w:ascii="宋体" w:eastAsia="宋体" w:hint="eastAsia"/>
                <w:w w:val="99"/>
                <w:sz w:val="20"/>
              </w:rPr>
              <w:t>否</w:t>
            </w:r>
          </w:p>
        </w:tc>
      </w:tr>
      <w:tr>
        <w:trPr>
          <w:trHeight w:val="311" w:hRule="atLeast"/>
        </w:trPr>
        <w:tc>
          <w:tcPr>
            <w:tcW w:w="696" w:type="dxa"/>
            <w:tcBorders>
              <w:top w:val="single" w:sz="4" w:space="0" w:color="000000"/>
              <w:right w:val="single" w:sz="4" w:space="0" w:color="000000"/>
            </w:tcBorders>
          </w:tcPr>
          <w:p>
            <w:pPr>
              <w:pStyle w:val="TableParagraph"/>
              <w:spacing w:before="41"/>
              <w:ind w:left="17"/>
              <w:jc w:val="center"/>
              <w:rPr>
                <w:sz w:val="20"/>
              </w:rPr>
            </w:pPr>
            <w:r>
              <w:rPr>
                <w:w w:val="99"/>
                <w:sz w:val="20"/>
              </w:rPr>
              <w:t>2</w:t>
            </w:r>
          </w:p>
        </w:tc>
        <w:tc>
          <w:tcPr>
            <w:tcW w:w="1431" w:type="dxa"/>
            <w:tcBorders>
              <w:top w:val="single" w:sz="4" w:space="0" w:color="000000"/>
              <w:left w:val="single" w:sz="4" w:space="0" w:color="000000"/>
              <w:right w:val="single" w:sz="4" w:space="0" w:color="000000"/>
            </w:tcBorders>
          </w:tcPr>
          <w:p>
            <w:pPr>
              <w:pStyle w:val="TableParagraph"/>
              <w:spacing w:before="27"/>
              <w:ind w:left="173" w:right="150"/>
              <w:jc w:val="center"/>
              <w:rPr>
                <w:rFonts w:ascii="宋体" w:eastAsia="宋体" w:hint="eastAsia"/>
                <w:sz w:val="20"/>
              </w:rPr>
            </w:pPr>
            <w:r>
              <w:rPr>
                <w:rFonts w:ascii="宋体" w:eastAsia="宋体" w:hint="eastAsia"/>
                <w:sz w:val="20"/>
              </w:rPr>
              <w:t>氨氮</w:t>
            </w:r>
          </w:p>
        </w:tc>
        <w:tc>
          <w:tcPr>
            <w:tcW w:w="1524" w:type="dxa"/>
            <w:tcBorders>
              <w:top w:val="single" w:sz="4" w:space="0" w:color="000000"/>
              <w:left w:val="single" w:sz="4" w:space="0" w:color="000000"/>
              <w:right w:val="single" w:sz="4" w:space="0" w:color="000000"/>
            </w:tcBorders>
          </w:tcPr>
          <w:p>
            <w:pPr>
              <w:pStyle w:val="TableParagraph"/>
              <w:spacing w:before="41"/>
              <w:ind w:right="400"/>
              <w:jc w:val="right"/>
              <w:rPr>
                <w:sz w:val="20"/>
              </w:rPr>
            </w:pPr>
            <w:r>
              <w:rPr>
                <w:sz w:val="20"/>
              </w:rPr>
              <w:t>45 mg/L</w:t>
            </w:r>
          </w:p>
        </w:tc>
        <w:tc>
          <w:tcPr>
            <w:tcW w:w="1412" w:type="dxa"/>
            <w:tcBorders>
              <w:top w:val="single" w:sz="4" w:space="0" w:color="000000"/>
              <w:left w:val="single" w:sz="4" w:space="0" w:color="000000"/>
              <w:right w:val="single" w:sz="4" w:space="0" w:color="000000"/>
            </w:tcBorders>
          </w:tcPr>
          <w:p>
            <w:pPr>
              <w:pStyle w:val="TableParagraph"/>
              <w:spacing w:before="27"/>
              <w:ind w:left="362"/>
              <w:rPr>
                <w:rFonts w:ascii="宋体" w:eastAsia="宋体" w:hint="eastAsia"/>
                <w:sz w:val="20"/>
              </w:rPr>
            </w:pPr>
            <w:r>
              <w:rPr>
                <w:sz w:val="20"/>
              </w:rPr>
              <w:t>0.075 </w:t>
            </w:r>
            <w:r>
              <w:rPr>
                <w:rFonts w:ascii="宋体" w:eastAsia="宋体" w:hint="eastAsia"/>
                <w:sz w:val="20"/>
              </w:rPr>
              <w:t>吨</w:t>
            </w:r>
          </w:p>
        </w:tc>
        <w:tc>
          <w:tcPr>
            <w:tcW w:w="1462" w:type="dxa"/>
            <w:tcBorders>
              <w:top w:val="single" w:sz="4" w:space="0" w:color="000000"/>
              <w:left w:val="single" w:sz="4" w:space="0" w:color="000000"/>
              <w:right w:val="single" w:sz="4" w:space="0" w:color="000000"/>
            </w:tcBorders>
          </w:tcPr>
          <w:p>
            <w:pPr>
              <w:pStyle w:val="TableParagraph"/>
              <w:spacing w:before="27"/>
              <w:ind w:left="390"/>
              <w:rPr>
                <w:rFonts w:ascii="宋体" w:eastAsia="宋体" w:hint="eastAsia"/>
                <w:sz w:val="20"/>
              </w:rPr>
            </w:pPr>
            <w:r>
              <w:rPr>
                <w:sz w:val="20"/>
              </w:rPr>
              <w:t>0.075 </w:t>
            </w:r>
            <w:r>
              <w:rPr>
                <w:rFonts w:ascii="宋体" w:eastAsia="宋体" w:hint="eastAsia"/>
                <w:sz w:val="20"/>
              </w:rPr>
              <w:t>吨</w:t>
            </w:r>
          </w:p>
        </w:tc>
        <w:tc>
          <w:tcPr>
            <w:tcW w:w="1700" w:type="dxa"/>
            <w:tcBorders>
              <w:top w:val="single" w:sz="4" w:space="0" w:color="000000"/>
              <w:left w:val="single" w:sz="4" w:space="0" w:color="000000"/>
            </w:tcBorders>
          </w:tcPr>
          <w:p>
            <w:pPr>
              <w:pStyle w:val="TableParagraph"/>
              <w:spacing w:before="27"/>
              <w:ind w:left="35"/>
              <w:jc w:val="center"/>
              <w:rPr>
                <w:rFonts w:ascii="宋体" w:eastAsia="宋体" w:hint="eastAsia"/>
                <w:sz w:val="20"/>
              </w:rPr>
            </w:pPr>
            <w:r>
              <w:rPr>
                <w:rFonts w:ascii="宋体" w:eastAsia="宋体" w:hint="eastAsia"/>
                <w:w w:val="99"/>
                <w:sz w:val="20"/>
              </w:rPr>
              <w:t>否</w:t>
            </w:r>
          </w:p>
        </w:tc>
      </w:tr>
    </w:tbl>
    <w:p>
      <w:pPr>
        <w:pStyle w:val="BodyText"/>
        <w:spacing w:before="26"/>
        <w:ind w:right="2191"/>
        <w:jc w:val="right"/>
        <w:rPr>
          <w:rFonts w:ascii="Times New Roman" w:hAnsi="Times New Roman" w:eastAsia="Times New Roman"/>
        </w:rPr>
      </w:pPr>
      <w:r>
        <w:rPr/>
        <w:t>⑤执行的污染物排放标准：《污水排入城镇下水道水质标准》</w:t>
      </w:r>
      <w:r>
        <w:rPr>
          <w:rFonts w:ascii="Times New Roman" w:hAnsi="Times New Roman" w:eastAsia="Times New Roman"/>
        </w:rPr>
        <w:t>(GBT 31962-2015)</w:t>
      </w:r>
    </w:p>
    <w:p>
      <w:pPr>
        <w:pStyle w:val="Heading4"/>
        <w:numPr>
          <w:ilvl w:val="1"/>
          <w:numId w:val="20"/>
        </w:numPr>
        <w:tabs>
          <w:tab w:pos="1915" w:val="left" w:leader="none"/>
        </w:tabs>
        <w:spacing w:line="240" w:lineRule="auto" w:before="50" w:after="0"/>
        <w:ind w:left="1914" w:right="0" w:hanging="530"/>
        <w:jc w:val="left"/>
      </w:pPr>
      <w:r>
        <w:rPr/>
        <w:t>重庆园区公司</w:t>
      </w:r>
    </w:p>
    <w:p>
      <w:pPr>
        <w:pStyle w:val="BodyText"/>
        <w:spacing w:before="151"/>
        <w:ind w:left="1382"/>
      </w:pPr>
      <w:r>
        <w:rPr/>
        <w:t>① 主要污染物：</w:t>
      </w:r>
    </w:p>
    <w:p>
      <w:pPr>
        <w:pStyle w:val="BodyText"/>
        <w:spacing w:before="7"/>
        <w:rPr>
          <w:sz w:val="15"/>
        </w:rPr>
      </w:pPr>
    </w:p>
    <w:p>
      <w:pPr>
        <w:pStyle w:val="BodyText"/>
        <w:spacing w:line="417" w:lineRule="auto"/>
        <w:ind w:left="958" w:right="867" w:firstLine="424"/>
      </w:pPr>
      <w:r>
        <w:rPr/>
        <w:t>污水。按照中国排污许可登记申报，应检测污染物（含特征污染物）</w:t>
      </w:r>
      <w:r>
        <w:rPr>
          <w:rFonts w:ascii="Times New Roman" w:eastAsia="Times New Roman"/>
        </w:rPr>
        <w:t>7 </w:t>
      </w:r>
      <w:r>
        <w:rPr/>
        <w:t>种，分别为： </w:t>
      </w:r>
      <w:r>
        <w:rPr>
          <w:rFonts w:ascii="Times New Roman" w:eastAsia="Times New Roman"/>
        </w:rPr>
        <w:t>COD</w:t>
      </w:r>
      <w:r>
        <w:rPr/>
        <w:t>、氨氮、</w:t>
      </w:r>
      <w:r>
        <w:rPr>
          <w:rFonts w:ascii="Times New Roman" w:eastAsia="Times New Roman"/>
        </w:rPr>
        <w:t>PH</w:t>
      </w:r>
      <w:r>
        <w:rPr/>
        <w:t>、悬浮物、石油类、动植物油、流量。</w:t>
      </w:r>
    </w:p>
    <w:p>
      <w:pPr>
        <w:pStyle w:val="BodyText"/>
        <w:ind w:left="1382"/>
      </w:pPr>
      <w:r>
        <w:rPr/>
        <w:t>②排放方式：间接排放</w:t>
      </w:r>
    </w:p>
    <w:p>
      <w:pPr>
        <w:pStyle w:val="BodyText"/>
        <w:spacing w:before="7"/>
        <w:rPr>
          <w:sz w:val="15"/>
        </w:rPr>
      </w:pPr>
    </w:p>
    <w:p>
      <w:pPr>
        <w:pStyle w:val="BodyText"/>
        <w:spacing w:line="417" w:lineRule="auto"/>
        <w:ind w:left="958" w:right="1025" w:firstLine="424"/>
      </w:pPr>
      <w:r>
        <w:rPr/>
        <w:t>③排放口数量及分布情况：</w:t>
      </w:r>
      <w:r>
        <w:rPr>
          <w:rFonts w:ascii="Times New Roman" w:hAnsi="Times New Roman" w:eastAsia="Times New Roman"/>
        </w:rPr>
        <w:t>3 </w:t>
      </w:r>
      <w:r>
        <w:rPr/>
        <w:t>个，一期污水站在污水站、二期污水站，公寓污水处理站，管道排放</w:t>
      </w:r>
    </w:p>
    <w:p>
      <w:pPr>
        <w:pStyle w:val="BodyText"/>
        <w:spacing w:line="269" w:lineRule="exact"/>
        <w:ind w:left="1382"/>
      </w:pPr>
      <w:r>
        <w:rPr/>
        <w:t>④排放浓度和总量、核定排放总量：</w:t>
      </w:r>
    </w:p>
    <w:p>
      <w:pPr>
        <w:pStyle w:val="BodyText"/>
        <w:spacing w:before="6"/>
        <w:rPr>
          <w:sz w:val="15"/>
        </w:rPr>
      </w:pPr>
    </w:p>
    <w:p>
      <w:pPr>
        <w:pStyle w:val="BodyText"/>
        <w:spacing w:before="1"/>
        <w:ind w:left="1382"/>
      </w:pPr>
      <w:r>
        <w:rPr/>
        <w:t>根据排污许可证，需要核定总量的污染物排放浓度和总量如下：</w:t>
      </w:r>
    </w:p>
    <w:p>
      <w:pPr>
        <w:spacing w:after="0"/>
        <w:sectPr>
          <w:pgSz w:w="11910" w:h="16840"/>
          <w:pgMar w:header="874" w:footer="1214" w:top="1120" w:bottom="1400" w:left="840" w:right="300"/>
        </w:sectPr>
      </w:pPr>
    </w:p>
    <w:p>
      <w:pPr>
        <w:pStyle w:val="BodyText"/>
        <w:rPr>
          <w:sz w:val="20"/>
        </w:rPr>
      </w:pPr>
    </w:p>
    <w:p>
      <w:pPr>
        <w:pStyle w:val="BodyText"/>
        <w:spacing w:before="3"/>
        <w:rPr>
          <w:sz w:val="11"/>
        </w:rPr>
      </w:pPr>
    </w:p>
    <w:tbl>
      <w:tblPr>
        <w:tblW w:w="0" w:type="auto"/>
        <w:jc w:val="left"/>
        <w:tblInd w:w="127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696"/>
        <w:gridCol w:w="1431"/>
        <w:gridCol w:w="1524"/>
        <w:gridCol w:w="1412"/>
        <w:gridCol w:w="1462"/>
        <w:gridCol w:w="1700"/>
      </w:tblGrid>
      <w:tr>
        <w:trPr>
          <w:trHeight w:val="625" w:hRule="atLeast"/>
        </w:trPr>
        <w:tc>
          <w:tcPr>
            <w:tcW w:w="696" w:type="dxa"/>
            <w:tcBorders>
              <w:bottom w:val="single" w:sz="4" w:space="0" w:color="000000"/>
              <w:right w:val="single" w:sz="4" w:space="0" w:color="000000"/>
            </w:tcBorders>
            <w:shd w:val="clear" w:color="auto" w:fill="EDEBE0"/>
          </w:tcPr>
          <w:p>
            <w:pPr>
              <w:pStyle w:val="TableParagraph"/>
              <w:spacing w:before="1"/>
              <w:rPr>
                <w:rFonts w:ascii="宋体"/>
                <w:sz w:val="14"/>
              </w:rPr>
            </w:pPr>
          </w:p>
          <w:p>
            <w:pPr>
              <w:pStyle w:val="TableParagraph"/>
              <w:ind w:left="117" w:right="99"/>
              <w:jc w:val="center"/>
              <w:rPr>
                <w:rFonts w:ascii="宋体" w:eastAsia="宋体" w:hint="eastAsia"/>
                <w:sz w:val="21"/>
              </w:rPr>
            </w:pPr>
            <w:r>
              <w:rPr>
                <w:rFonts w:ascii="宋体" w:eastAsia="宋体" w:hint="eastAsia"/>
                <w:sz w:val="21"/>
              </w:rPr>
              <w:t>序号</w:t>
            </w:r>
          </w:p>
        </w:tc>
        <w:tc>
          <w:tcPr>
            <w:tcW w:w="1431" w:type="dxa"/>
            <w:tcBorders>
              <w:left w:val="single" w:sz="4" w:space="0" w:color="000000"/>
              <w:bottom w:val="single" w:sz="4" w:space="0" w:color="000000"/>
              <w:right w:val="single" w:sz="4" w:space="0" w:color="000000"/>
            </w:tcBorders>
            <w:shd w:val="clear" w:color="auto" w:fill="EDEBE0"/>
          </w:tcPr>
          <w:p>
            <w:pPr>
              <w:pStyle w:val="TableParagraph"/>
              <w:spacing w:before="1"/>
              <w:rPr>
                <w:rFonts w:ascii="宋体"/>
                <w:sz w:val="14"/>
              </w:rPr>
            </w:pPr>
          </w:p>
          <w:p>
            <w:pPr>
              <w:pStyle w:val="TableParagraph"/>
              <w:ind w:left="180" w:right="150"/>
              <w:jc w:val="center"/>
              <w:rPr>
                <w:rFonts w:ascii="宋体" w:eastAsia="宋体" w:hint="eastAsia"/>
                <w:sz w:val="21"/>
              </w:rPr>
            </w:pPr>
            <w:r>
              <w:rPr>
                <w:rFonts w:ascii="宋体" w:eastAsia="宋体" w:hint="eastAsia"/>
                <w:sz w:val="21"/>
              </w:rPr>
              <w:t>污染物名称</w:t>
            </w:r>
          </w:p>
        </w:tc>
        <w:tc>
          <w:tcPr>
            <w:tcW w:w="1524" w:type="dxa"/>
            <w:tcBorders>
              <w:left w:val="single" w:sz="4" w:space="0" w:color="000000"/>
              <w:bottom w:val="single" w:sz="4" w:space="0" w:color="000000"/>
              <w:right w:val="single" w:sz="4" w:space="0" w:color="000000"/>
            </w:tcBorders>
            <w:shd w:val="clear" w:color="auto" w:fill="EDEBE0"/>
          </w:tcPr>
          <w:p>
            <w:pPr>
              <w:pStyle w:val="TableParagraph"/>
              <w:spacing w:before="1"/>
              <w:rPr>
                <w:rFonts w:ascii="宋体"/>
                <w:sz w:val="14"/>
              </w:rPr>
            </w:pPr>
          </w:p>
          <w:p>
            <w:pPr>
              <w:pStyle w:val="TableParagraph"/>
              <w:ind w:left="331" w:right="303"/>
              <w:jc w:val="center"/>
              <w:rPr>
                <w:rFonts w:ascii="宋体" w:eastAsia="宋体" w:hint="eastAsia"/>
                <w:sz w:val="21"/>
              </w:rPr>
            </w:pPr>
            <w:r>
              <w:rPr>
                <w:rFonts w:ascii="宋体" w:eastAsia="宋体" w:hint="eastAsia"/>
                <w:sz w:val="21"/>
              </w:rPr>
              <w:t>排放浓度</w:t>
            </w:r>
          </w:p>
        </w:tc>
        <w:tc>
          <w:tcPr>
            <w:tcW w:w="1412" w:type="dxa"/>
            <w:tcBorders>
              <w:left w:val="single" w:sz="4" w:space="0" w:color="000000"/>
              <w:bottom w:val="single" w:sz="4" w:space="0" w:color="000000"/>
              <w:right w:val="single" w:sz="4" w:space="0" w:color="000000"/>
            </w:tcBorders>
            <w:shd w:val="clear" w:color="auto" w:fill="EDEBE0"/>
          </w:tcPr>
          <w:p>
            <w:pPr>
              <w:pStyle w:val="TableParagraph"/>
              <w:spacing w:before="1"/>
              <w:rPr>
                <w:rFonts w:ascii="宋体"/>
                <w:sz w:val="14"/>
              </w:rPr>
            </w:pPr>
          </w:p>
          <w:p>
            <w:pPr>
              <w:pStyle w:val="TableParagraph"/>
              <w:ind w:right="264"/>
              <w:jc w:val="right"/>
              <w:rPr>
                <w:rFonts w:ascii="宋体" w:eastAsia="宋体" w:hint="eastAsia"/>
                <w:sz w:val="21"/>
              </w:rPr>
            </w:pPr>
            <w:r>
              <w:rPr>
                <w:rFonts w:ascii="宋体" w:eastAsia="宋体" w:hint="eastAsia"/>
                <w:sz w:val="21"/>
              </w:rPr>
              <w:t>排放总量</w:t>
            </w:r>
          </w:p>
        </w:tc>
        <w:tc>
          <w:tcPr>
            <w:tcW w:w="1462" w:type="dxa"/>
            <w:tcBorders>
              <w:left w:val="single" w:sz="4" w:space="0" w:color="000000"/>
              <w:bottom w:val="single" w:sz="4" w:space="0" w:color="000000"/>
              <w:right w:val="single" w:sz="4" w:space="0" w:color="000000"/>
            </w:tcBorders>
            <w:shd w:val="clear" w:color="auto" w:fill="EDEBE0"/>
          </w:tcPr>
          <w:p>
            <w:pPr>
              <w:pStyle w:val="TableParagraph"/>
              <w:spacing w:before="25"/>
              <w:ind w:left="119" w:right="87"/>
              <w:jc w:val="center"/>
              <w:rPr>
                <w:rFonts w:ascii="宋体" w:eastAsia="宋体" w:hint="eastAsia"/>
                <w:sz w:val="21"/>
              </w:rPr>
            </w:pPr>
            <w:r>
              <w:rPr>
                <w:rFonts w:ascii="宋体" w:eastAsia="宋体" w:hint="eastAsia"/>
                <w:sz w:val="21"/>
              </w:rPr>
              <w:t>核定排放总</w:t>
            </w:r>
          </w:p>
          <w:p>
            <w:pPr>
              <w:pStyle w:val="TableParagraph"/>
              <w:spacing w:before="43"/>
              <w:ind w:left="30"/>
              <w:jc w:val="center"/>
              <w:rPr>
                <w:rFonts w:ascii="宋体" w:eastAsia="宋体" w:hint="eastAsia"/>
                <w:sz w:val="21"/>
              </w:rPr>
            </w:pPr>
            <w:r>
              <w:rPr>
                <w:rFonts w:ascii="宋体" w:eastAsia="宋体" w:hint="eastAsia"/>
                <w:w w:val="100"/>
                <w:sz w:val="21"/>
              </w:rPr>
              <w:t>量</w:t>
            </w:r>
          </w:p>
        </w:tc>
        <w:tc>
          <w:tcPr>
            <w:tcW w:w="1700" w:type="dxa"/>
            <w:tcBorders>
              <w:left w:val="single" w:sz="4" w:space="0" w:color="000000"/>
              <w:bottom w:val="single" w:sz="4" w:space="0" w:color="000000"/>
            </w:tcBorders>
            <w:shd w:val="clear" w:color="auto" w:fill="EDEBE0"/>
          </w:tcPr>
          <w:p>
            <w:pPr>
              <w:pStyle w:val="TableParagraph"/>
              <w:spacing w:before="1"/>
              <w:rPr>
                <w:rFonts w:ascii="宋体"/>
                <w:sz w:val="14"/>
              </w:rPr>
            </w:pPr>
          </w:p>
          <w:p>
            <w:pPr>
              <w:pStyle w:val="TableParagraph"/>
              <w:ind w:left="208" w:right="171"/>
              <w:jc w:val="center"/>
              <w:rPr>
                <w:rFonts w:ascii="宋体" w:eastAsia="宋体" w:hint="eastAsia"/>
                <w:sz w:val="21"/>
              </w:rPr>
            </w:pPr>
            <w:r>
              <w:rPr>
                <w:rFonts w:ascii="宋体" w:eastAsia="宋体" w:hint="eastAsia"/>
                <w:sz w:val="21"/>
              </w:rPr>
              <w:t>是否超标排放</w:t>
            </w:r>
          </w:p>
        </w:tc>
      </w:tr>
      <w:tr>
        <w:trPr>
          <w:trHeight w:val="311" w:hRule="atLeast"/>
        </w:trPr>
        <w:tc>
          <w:tcPr>
            <w:tcW w:w="696" w:type="dxa"/>
            <w:tcBorders>
              <w:top w:val="single" w:sz="4" w:space="0" w:color="000000"/>
              <w:bottom w:val="single" w:sz="4" w:space="0" w:color="000000"/>
              <w:right w:val="single" w:sz="4" w:space="0" w:color="000000"/>
            </w:tcBorders>
          </w:tcPr>
          <w:p>
            <w:pPr>
              <w:pStyle w:val="TableParagraph"/>
              <w:spacing w:before="34"/>
              <w:ind w:left="18"/>
              <w:jc w:val="center"/>
              <w:rPr>
                <w:sz w:val="21"/>
              </w:rPr>
            </w:pPr>
            <w:r>
              <w:rPr>
                <w:w w:val="100"/>
                <w:sz w:val="21"/>
              </w:rPr>
              <w:t>1</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34"/>
              <w:ind w:left="176" w:right="150"/>
              <w:jc w:val="center"/>
              <w:rPr>
                <w:sz w:val="21"/>
              </w:rPr>
            </w:pPr>
            <w:r>
              <w:rPr>
                <w:sz w:val="21"/>
              </w:rPr>
              <w:t>COD</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34"/>
              <w:ind w:left="280"/>
              <w:rPr>
                <w:sz w:val="21"/>
              </w:rPr>
            </w:pPr>
            <w:r>
              <w:rPr>
                <w:sz w:val="21"/>
              </w:rPr>
              <w:t>72.88 mg/L</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22"/>
              <w:ind w:right="317"/>
              <w:jc w:val="right"/>
              <w:rPr>
                <w:rFonts w:ascii="宋体" w:eastAsia="宋体" w:hint="eastAsia"/>
                <w:sz w:val="21"/>
              </w:rPr>
            </w:pPr>
            <w:r>
              <w:rPr>
                <w:sz w:val="21"/>
              </w:rPr>
              <w:t>76.73 </w:t>
            </w:r>
            <w:r>
              <w:rPr>
                <w:rFonts w:ascii="宋体" w:eastAsia="宋体" w:hint="eastAsia"/>
                <w:sz w:val="21"/>
              </w:rPr>
              <w:t>吨</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22"/>
              <w:ind w:left="373"/>
              <w:rPr>
                <w:rFonts w:ascii="宋体" w:eastAsia="宋体" w:hint="eastAsia"/>
                <w:sz w:val="21"/>
              </w:rPr>
            </w:pPr>
            <w:r>
              <w:rPr>
                <w:sz w:val="21"/>
              </w:rPr>
              <w:t>228.1 </w:t>
            </w:r>
            <w:r>
              <w:rPr>
                <w:rFonts w:ascii="宋体" w:eastAsia="宋体" w:hint="eastAsia"/>
                <w:sz w:val="21"/>
              </w:rPr>
              <w:t>吨</w:t>
            </w:r>
          </w:p>
        </w:tc>
        <w:tc>
          <w:tcPr>
            <w:tcW w:w="1700" w:type="dxa"/>
            <w:tcBorders>
              <w:top w:val="single" w:sz="4" w:space="0" w:color="000000"/>
              <w:left w:val="single" w:sz="4" w:space="0" w:color="000000"/>
              <w:bottom w:val="single" w:sz="4" w:space="0" w:color="000000"/>
            </w:tcBorders>
          </w:tcPr>
          <w:p>
            <w:pPr>
              <w:pStyle w:val="TableParagraph"/>
              <w:spacing w:before="22"/>
              <w:ind w:left="37"/>
              <w:jc w:val="center"/>
              <w:rPr>
                <w:rFonts w:ascii="宋体" w:eastAsia="宋体" w:hint="eastAsia"/>
                <w:sz w:val="21"/>
              </w:rPr>
            </w:pPr>
            <w:r>
              <w:rPr>
                <w:rFonts w:ascii="宋体" w:eastAsia="宋体" w:hint="eastAsia"/>
                <w:w w:val="100"/>
                <w:sz w:val="21"/>
              </w:rPr>
              <w:t>否</w:t>
            </w:r>
          </w:p>
        </w:tc>
      </w:tr>
      <w:tr>
        <w:trPr>
          <w:trHeight w:val="311" w:hRule="atLeast"/>
        </w:trPr>
        <w:tc>
          <w:tcPr>
            <w:tcW w:w="696" w:type="dxa"/>
            <w:tcBorders>
              <w:top w:val="single" w:sz="4" w:space="0" w:color="000000"/>
              <w:bottom w:val="single" w:sz="4" w:space="0" w:color="000000"/>
              <w:right w:val="single" w:sz="4" w:space="0" w:color="000000"/>
            </w:tcBorders>
          </w:tcPr>
          <w:p>
            <w:pPr>
              <w:pStyle w:val="TableParagraph"/>
              <w:spacing w:before="34"/>
              <w:ind w:left="18"/>
              <w:jc w:val="center"/>
              <w:rPr>
                <w:sz w:val="21"/>
              </w:rPr>
            </w:pPr>
            <w:r>
              <w:rPr>
                <w:w w:val="100"/>
                <w:sz w:val="21"/>
              </w:rPr>
              <w:t>2</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22"/>
              <w:ind w:left="178" w:right="150"/>
              <w:jc w:val="center"/>
              <w:rPr>
                <w:rFonts w:ascii="宋体" w:eastAsia="宋体" w:hint="eastAsia"/>
                <w:sz w:val="21"/>
              </w:rPr>
            </w:pPr>
            <w:r>
              <w:rPr>
                <w:rFonts w:ascii="宋体" w:eastAsia="宋体" w:hint="eastAsia"/>
                <w:sz w:val="21"/>
              </w:rPr>
              <w:t>悬浮物</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34"/>
              <w:ind w:left="280"/>
              <w:rPr>
                <w:sz w:val="21"/>
              </w:rPr>
            </w:pPr>
            <w:r>
              <w:rPr>
                <w:sz w:val="21"/>
              </w:rPr>
              <w:t>29.54 mg/L</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22"/>
              <w:ind w:right="370"/>
              <w:jc w:val="right"/>
              <w:rPr>
                <w:rFonts w:ascii="宋体" w:eastAsia="宋体" w:hint="eastAsia"/>
                <w:sz w:val="21"/>
              </w:rPr>
            </w:pPr>
            <w:r>
              <w:rPr>
                <w:sz w:val="21"/>
              </w:rPr>
              <w:t>31.1 </w:t>
            </w:r>
            <w:r>
              <w:rPr>
                <w:rFonts w:ascii="宋体" w:eastAsia="宋体" w:hint="eastAsia"/>
                <w:sz w:val="21"/>
              </w:rPr>
              <w:t>吨</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22"/>
              <w:ind w:left="373"/>
              <w:rPr>
                <w:rFonts w:ascii="宋体" w:eastAsia="宋体" w:hint="eastAsia"/>
                <w:sz w:val="21"/>
              </w:rPr>
            </w:pPr>
            <w:r>
              <w:rPr>
                <w:sz w:val="21"/>
              </w:rPr>
              <w:t>177.2 </w:t>
            </w:r>
            <w:r>
              <w:rPr>
                <w:rFonts w:ascii="宋体" w:eastAsia="宋体" w:hint="eastAsia"/>
                <w:sz w:val="21"/>
              </w:rPr>
              <w:t>吨</w:t>
            </w:r>
          </w:p>
        </w:tc>
        <w:tc>
          <w:tcPr>
            <w:tcW w:w="1700" w:type="dxa"/>
            <w:tcBorders>
              <w:top w:val="single" w:sz="4" w:space="0" w:color="000000"/>
              <w:left w:val="single" w:sz="4" w:space="0" w:color="000000"/>
              <w:bottom w:val="single" w:sz="4" w:space="0" w:color="000000"/>
            </w:tcBorders>
          </w:tcPr>
          <w:p>
            <w:pPr>
              <w:pStyle w:val="TableParagraph"/>
              <w:spacing w:before="22"/>
              <w:ind w:left="37"/>
              <w:jc w:val="center"/>
              <w:rPr>
                <w:rFonts w:ascii="宋体" w:eastAsia="宋体" w:hint="eastAsia"/>
                <w:sz w:val="21"/>
              </w:rPr>
            </w:pPr>
            <w:r>
              <w:rPr>
                <w:rFonts w:ascii="宋体" w:eastAsia="宋体" w:hint="eastAsia"/>
                <w:w w:val="100"/>
                <w:sz w:val="21"/>
              </w:rPr>
              <w:t>否</w:t>
            </w:r>
          </w:p>
        </w:tc>
      </w:tr>
      <w:tr>
        <w:trPr>
          <w:trHeight w:val="311" w:hRule="atLeast"/>
        </w:trPr>
        <w:tc>
          <w:tcPr>
            <w:tcW w:w="696" w:type="dxa"/>
            <w:tcBorders>
              <w:top w:val="single" w:sz="4" w:space="0" w:color="000000"/>
              <w:bottom w:val="single" w:sz="4" w:space="0" w:color="000000"/>
              <w:right w:val="single" w:sz="4" w:space="0" w:color="000000"/>
            </w:tcBorders>
          </w:tcPr>
          <w:p>
            <w:pPr>
              <w:pStyle w:val="TableParagraph"/>
              <w:spacing w:before="34"/>
              <w:ind w:left="18"/>
              <w:jc w:val="center"/>
              <w:rPr>
                <w:sz w:val="21"/>
              </w:rPr>
            </w:pPr>
            <w:r>
              <w:rPr>
                <w:w w:val="100"/>
                <w:sz w:val="21"/>
              </w:rPr>
              <w:t>3</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22"/>
              <w:ind w:left="180" w:right="150"/>
              <w:jc w:val="center"/>
              <w:rPr>
                <w:rFonts w:ascii="宋体" w:eastAsia="宋体" w:hint="eastAsia"/>
                <w:sz w:val="21"/>
              </w:rPr>
            </w:pPr>
            <w:r>
              <w:rPr>
                <w:rFonts w:ascii="宋体" w:eastAsia="宋体" w:hint="eastAsia"/>
                <w:sz w:val="21"/>
              </w:rPr>
              <w:t>动植物油</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34"/>
              <w:ind w:left="331" w:right="301"/>
              <w:jc w:val="center"/>
              <w:rPr>
                <w:sz w:val="21"/>
              </w:rPr>
            </w:pPr>
            <w:r>
              <w:rPr>
                <w:sz w:val="21"/>
              </w:rPr>
              <w:t>2.55mg/L</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22"/>
              <w:ind w:right="317"/>
              <w:jc w:val="right"/>
              <w:rPr>
                <w:rFonts w:ascii="宋体" w:eastAsia="宋体" w:hint="eastAsia"/>
                <w:sz w:val="21"/>
              </w:rPr>
            </w:pPr>
            <w:r>
              <w:rPr>
                <w:sz w:val="21"/>
              </w:rPr>
              <w:t>2.683 </w:t>
            </w:r>
            <w:r>
              <w:rPr>
                <w:rFonts w:ascii="宋体" w:eastAsia="宋体" w:hint="eastAsia"/>
                <w:sz w:val="21"/>
              </w:rPr>
              <w:t>吨</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22"/>
              <w:ind w:left="119" w:right="89"/>
              <w:jc w:val="center"/>
              <w:rPr>
                <w:rFonts w:ascii="宋体" w:eastAsia="宋体" w:hint="eastAsia"/>
                <w:sz w:val="21"/>
              </w:rPr>
            </w:pPr>
            <w:r>
              <w:rPr>
                <w:sz w:val="21"/>
              </w:rPr>
              <w:t>34 </w:t>
            </w:r>
            <w:r>
              <w:rPr>
                <w:rFonts w:ascii="宋体" w:eastAsia="宋体" w:hint="eastAsia"/>
                <w:sz w:val="21"/>
              </w:rPr>
              <w:t>吨</w:t>
            </w:r>
          </w:p>
        </w:tc>
        <w:tc>
          <w:tcPr>
            <w:tcW w:w="1700" w:type="dxa"/>
            <w:tcBorders>
              <w:top w:val="single" w:sz="4" w:space="0" w:color="000000"/>
              <w:left w:val="single" w:sz="4" w:space="0" w:color="000000"/>
              <w:bottom w:val="single" w:sz="4" w:space="0" w:color="000000"/>
            </w:tcBorders>
          </w:tcPr>
          <w:p>
            <w:pPr>
              <w:pStyle w:val="TableParagraph"/>
              <w:spacing w:before="22"/>
              <w:ind w:left="37"/>
              <w:jc w:val="center"/>
              <w:rPr>
                <w:rFonts w:ascii="宋体" w:eastAsia="宋体" w:hint="eastAsia"/>
                <w:sz w:val="21"/>
              </w:rPr>
            </w:pPr>
            <w:r>
              <w:rPr>
                <w:rFonts w:ascii="宋体" w:eastAsia="宋体" w:hint="eastAsia"/>
                <w:w w:val="100"/>
                <w:sz w:val="21"/>
              </w:rPr>
              <w:t>否</w:t>
            </w:r>
          </w:p>
        </w:tc>
      </w:tr>
      <w:tr>
        <w:trPr>
          <w:trHeight w:val="311" w:hRule="atLeast"/>
        </w:trPr>
        <w:tc>
          <w:tcPr>
            <w:tcW w:w="696" w:type="dxa"/>
            <w:tcBorders>
              <w:top w:val="single" w:sz="4" w:space="0" w:color="000000"/>
              <w:right w:val="single" w:sz="4" w:space="0" w:color="000000"/>
            </w:tcBorders>
          </w:tcPr>
          <w:p>
            <w:pPr>
              <w:pStyle w:val="TableParagraph"/>
              <w:spacing w:before="36"/>
              <w:ind w:left="18"/>
              <w:jc w:val="center"/>
              <w:rPr>
                <w:sz w:val="21"/>
              </w:rPr>
            </w:pPr>
            <w:r>
              <w:rPr>
                <w:w w:val="100"/>
                <w:sz w:val="21"/>
              </w:rPr>
              <w:t>4</w:t>
            </w:r>
          </w:p>
        </w:tc>
        <w:tc>
          <w:tcPr>
            <w:tcW w:w="1431" w:type="dxa"/>
            <w:tcBorders>
              <w:top w:val="single" w:sz="4" w:space="0" w:color="000000"/>
              <w:left w:val="single" w:sz="4" w:space="0" w:color="000000"/>
              <w:right w:val="single" w:sz="4" w:space="0" w:color="000000"/>
            </w:tcBorders>
          </w:tcPr>
          <w:p>
            <w:pPr>
              <w:pStyle w:val="TableParagraph"/>
              <w:spacing w:line="266" w:lineRule="exact" w:before="25"/>
              <w:ind w:left="178" w:right="150"/>
              <w:jc w:val="center"/>
              <w:rPr>
                <w:rFonts w:ascii="宋体" w:eastAsia="宋体" w:hint="eastAsia"/>
                <w:sz w:val="21"/>
              </w:rPr>
            </w:pPr>
            <w:r>
              <w:rPr>
                <w:rFonts w:ascii="宋体" w:eastAsia="宋体" w:hint="eastAsia"/>
                <w:sz w:val="21"/>
              </w:rPr>
              <w:t>石油类</w:t>
            </w:r>
          </w:p>
        </w:tc>
        <w:tc>
          <w:tcPr>
            <w:tcW w:w="1524" w:type="dxa"/>
            <w:tcBorders>
              <w:top w:val="single" w:sz="4" w:space="0" w:color="000000"/>
              <w:left w:val="single" w:sz="4" w:space="0" w:color="000000"/>
              <w:right w:val="single" w:sz="4" w:space="0" w:color="000000"/>
            </w:tcBorders>
          </w:tcPr>
          <w:p>
            <w:pPr>
              <w:pStyle w:val="TableParagraph"/>
              <w:spacing w:before="36"/>
              <w:ind w:left="333"/>
              <w:rPr>
                <w:sz w:val="21"/>
              </w:rPr>
            </w:pPr>
            <w:r>
              <w:rPr>
                <w:sz w:val="21"/>
              </w:rPr>
              <w:t>0.51 mg/L</w:t>
            </w:r>
          </w:p>
        </w:tc>
        <w:tc>
          <w:tcPr>
            <w:tcW w:w="1412" w:type="dxa"/>
            <w:tcBorders>
              <w:top w:val="single" w:sz="4" w:space="0" w:color="000000"/>
              <w:left w:val="single" w:sz="4" w:space="0" w:color="000000"/>
              <w:right w:val="single" w:sz="4" w:space="0" w:color="000000"/>
            </w:tcBorders>
          </w:tcPr>
          <w:p>
            <w:pPr>
              <w:pStyle w:val="TableParagraph"/>
              <w:spacing w:line="266" w:lineRule="exact" w:before="25"/>
              <w:ind w:right="317"/>
              <w:jc w:val="right"/>
              <w:rPr>
                <w:rFonts w:ascii="宋体" w:eastAsia="宋体" w:hint="eastAsia"/>
                <w:sz w:val="21"/>
              </w:rPr>
            </w:pPr>
            <w:r>
              <w:rPr>
                <w:sz w:val="21"/>
              </w:rPr>
              <w:t>0.534 </w:t>
            </w:r>
            <w:r>
              <w:rPr>
                <w:rFonts w:ascii="宋体" w:eastAsia="宋体" w:hint="eastAsia"/>
                <w:sz w:val="21"/>
              </w:rPr>
              <w:t>吨</w:t>
            </w:r>
          </w:p>
        </w:tc>
        <w:tc>
          <w:tcPr>
            <w:tcW w:w="1462" w:type="dxa"/>
            <w:tcBorders>
              <w:top w:val="single" w:sz="4" w:space="0" w:color="000000"/>
              <w:left w:val="single" w:sz="4" w:space="0" w:color="000000"/>
              <w:right w:val="single" w:sz="4" w:space="0" w:color="000000"/>
            </w:tcBorders>
          </w:tcPr>
          <w:p>
            <w:pPr>
              <w:pStyle w:val="TableParagraph"/>
              <w:spacing w:line="266" w:lineRule="exact" w:before="25"/>
              <w:ind w:left="424"/>
              <w:rPr>
                <w:rFonts w:ascii="宋体" w:eastAsia="宋体" w:hint="eastAsia"/>
                <w:sz w:val="21"/>
              </w:rPr>
            </w:pPr>
            <w:r>
              <w:rPr>
                <w:sz w:val="21"/>
              </w:rPr>
              <w:t>1.32 </w:t>
            </w:r>
            <w:r>
              <w:rPr>
                <w:rFonts w:ascii="宋体" w:eastAsia="宋体" w:hint="eastAsia"/>
                <w:sz w:val="21"/>
              </w:rPr>
              <w:t>吨</w:t>
            </w:r>
          </w:p>
        </w:tc>
        <w:tc>
          <w:tcPr>
            <w:tcW w:w="1700" w:type="dxa"/>
            <w:tcBorders>
              <w:top w:val="single" w:sz="4" w:space="0" w:color="000000"/>
              <w:left w:val="single" w:sz="4" w:space="0" w:color="000000"/>
            </w:tcBorders>
          </w:tcPr>
          <w:p>
            <w:pPr>
              <w:pStyle w:val="TableParagraph"/>
              <w:spacing w:line="266" w:lineRule="exact" w:before="25"/>
              <w:ind w:left="37"/>
              <w:jc w:val="center"/>
              <w:rPr>
                <w:rFonts w:ascii="宋体" w:eastAsia="宋体" w:hint="eastAsia"/>
                <w:sz w:val="21"/>
              </w:rPr>
            </w:pPr>
            <w:r>
              <w:rPr>
                <w:rFonts w:ascii="宋体" w:eastAsia="宋体" w:hint="eastAsia"/>
                <w:w w:val="100"/>
                <w:sz w:val="21"/>
              </w:rPr>
              <w:t>否</w:t>
            </w:r>
          </w:p>
        </w:tc>
      </w:tr>
    </w:tbl>
    <w:p>
      <w:pPr>
        <w:pStyle w:val="BodyText"/>
        <w:spacing w:before="25"/>
        <w:ind w:left="1382"/>
      </w:pPr>
      <w:r>
        <w:rPr/>
        <w:t>⑤执行的污染物排放标准：《污水综合排放标准》</w:t>
      </w:r>
      <w:r>
        <w:rPr>
          <w:rFonts w:ascii="Times New Roman" w:hAnsi="Times New Roman" w:eastAsia="Times New Roman"/>
        </w:rPr>
        <w:t>(GB8978-1996)</w:t>
      </w:r>
      <w:r>
        <w:rPr/>
        <w:t>三级</w:t>
      </w:r>
    </w:p>
    <w:p>
      <w:pPr>
        <w:pStyle w:val="BodyText"/>
        <w:spacing w:before="12"/>
        <w:rPr>
          <w:sz w:val="26"/>
        </w:rPr>
      </w:pPr>
    </w:p>
    <w:p>
      <w:pPr>
        <w:pStyle w:val="Heading4"/>
        <w:numPr>
          <w:ilvl w:val="0"/>
          <w:numId w:val="20"/>
        </w:numPr>
        <w:tabs>
          <w:tab w:pos="1318" w:val="left" w:leader="none"/>
        </w:tabs>
        <w:spacing w:line="240" w:lineRule="auto" w:before="0" w:after="0"/>
        <w:ind w:left="1318" w:right="0" w:hanging="360"/>
        <w:jc w:val="left"/>
      </w:pPr>
      <w:r>
        <w:rPr>
          <w:spacing w:val="-2"/>
        </w:rPr>
        <w:t>防治污染设施的建设和运行情况</w:t>
      </w:r>
    </w:p>
    <w:p>
      <w:pPr>
        <w:pStyle w:val="BodyText"/>
        <w:spacing w:before="56"/>
        <w:ind w:left="1382"/>
        <w:jc w:val="both"/>
      </w:pPr>
      <w:r>
        <w:rPr/>
        <w:t>√适用 □不适用</w:t>
      </w:r>
    </w:p>
    <w:p>
      <w:pPr>
        <w:pStyle w:val="BodyText"/>
        <w:spacing w:line="417" w:lineRule="auto" w:before="119"/>
        <w:ind w:left="958" w:right="968" w:firstLine="424"/>
        <w:jc w:val="both"/>
      </w:pPr>
      <w:r>
        <w:rPr>
          <w:spacing w:val="-9"/>
        </w:rPr>
        <w:t>郑州空调、佛山电冰柜、武汉热水器分别建有 </w:t>
      </w:r>
      <w:r>
        <w:rPr>
          <w:rFonts w:ascii="Times New Roman" w:eastAsia="Times New Roman"/>
        </w:rPr>
        <w:t>1 </w:t>
      </w:r>
      <w:r>
        <w:rPr>
          <w:spacing w:val="-12"/>
        </w:rPr>
        <w:t>座、</w:t>
      </w:r>
      <w:r>
        <w:rPr>
          <w:rFonts w:ascii="Times New Roman" w:eastAsia="Times New Roman"/>
        </w:rPr>
        <w:t>1 </w:t>
      </w:r>
      <w:r>
        <w:rPr>
          <w:spacing w:val="-12"/>
        </w:rPr>
        <w:t>座、</w:t>
      </w:r>
      <w:r>
        <w:rPr>
          <w:rFonts w:ascii="Times New Roman" w:eastAsia="Times New Roman"/>
        </w:rPr>
        <w:t>2 </w:t>
      </w:r>
      <w:r>
        <w:rPr>
          <w:spacing w:val="-6"/>
        </w:rPr>
        <w:t>座污水处理站，设计处理能力分</w:t>
      </w:r>
      <w:r>
        <w:rPr>
          <w:spacing w:val="-21"/>
        </w:rPr>
        <w:t>别为 </w:t>
      </w:r>
      <w:r>
        <w:rPr>
          <w:rFonts w:ascii="Times New Roman" w:eastAsia="Times New Roman"/>
        </w:rPr>
        <w:t>550 </w:t>
      </w:r>
      <w:r>
        <w:rPr/>
        <w:t>吨</w:t>
      </w:r>
      <w:r>
        <w:rPr>
          <w:rFonts w:ascii="Times New Roman" w:eastAsia="Times New Roman"/>
          <w:spacing w:val="-4"/>
        </w:rPr>
        <w:t>/</w:t>
      </w:r>
      <w:r>
        <w:rPr>
          <w:spacing w:val="-2"/>
        </w:rPr>
        <w:t>天、</w:t>
      </w:r>
      <w:r>
        <w:rPr>
          <w:rFonts w:ascii="Times New Roman" w:eastAsia="Times New Roman"/>
        </w:rPr>
        <w:t>1800 </w:t>
      </w:r>
      <w:r>
        <w:rPr/>
        <w:t>吨</w:t>
      </w:r>
      <w:r>
        <w:rPr>
          <w:rFonts w:ascii="Times New Roman" w:eastAsia="Times New Roman"/>
          <w:spacing w:val="-4"/>
        </w:rPr>
        <w:t>/</w:t>
      </w:r>
      <w:r>
        <w:rPr>
          <w:spacing w:val="-2"/>
        </w:rPr>
        <w:t>天、</w:t>
      </w:r>
      <w:r>
        <w:rPr>
          <w:rFonts w:ascii="Times New Roman" w:eastAsia="Times New Roman"/>
        </w:rPr>
        <w:t>550 </w:t>
      </w:r>
      <w:r>
        <w:rPr/>
        <w:t>吨</w:t>
      </w:r>
      <w:r>
        <w:rPr>
          <w:rFonts w:ascii="Times New Roman" w:eastAsia="Times New Roman"/>
          <w:spacing w:val="-4"/>
        </w:rPr>
        <w:t>/</w:t>
      </w:r>
      <w:r>
        <w:rPr>
          <w:spacing w:val="-17"/>
        </w:rPr>
        <w:t>天及 </w:t>
      </w:r>
      <w:r>
        <w:rPr>
          <w:rFonts w:ascii="Times New Roman" w:eastAsia="Times New Roman"/>
        </w:rPr>
        <w:t>260 </w:t>
      </w:r>
      <w:r>
        <w:rPr/>
        <w:t>吨</w:t>
      </w:r>
      <w:r>
        <w:rPr>
          <w:rFonts w:ascii="Times New Roman" w:eastAsia="Times New Roman"/>
        </w:rPr>
        <w:t>/</w:t>
      </w:r>
      <w:r>
        <w:rPr>
          <w:spacing w:val="-8"/>
        </w:rPr>
        <w:t>天；重庆海尔园区建有 </w:t>
      </w:r>
      <w:r>
        <w:rPr>
          <w:rFonts w:ascii="Times New Roman" w:eastAsia="Times New Roman"/>
        </w:rPr>
        <w:t>3 </w:t>
      </w:r>
      <w:r>
        <w:rPr>
          <w:spacing w:val="-4"/>
        </w:rPr>
        <w:t>座污水处理站，负责收</w:t>
      </w:r>
    </w:p>
    <w:p>
      <w:pPr>
        <w:pStyle w:val="BodyText"/>
        <w:spacing w:before="1"/>
        <w:ind w:left="958"/>
        <w:jc w:val="both"/>
      </w:pPr>
      <w:r>
        <w:rPr/>
        <w:t>集处理重庆园区公司所产生的生产废水，污水站设计处理能力 </w:t>
      </w:r>
      <w:r>
        <w:rPr>
          <w:rFonts w:ascii="Times New Roman" w:eastAsia="Times New Roman"/>
        </w:rPr>
        <w:t>3600 </w:t>
      </w:r>
      <w:r>
        <w:rPr/>
        <w:t>吨</w:t>
      </w:r>
      <w:r>
        <w:rPr>
          <w:rFonts w:ascii="Times New Roman" w:eastAsia="Times New Roman"/>
        </w:rPr>
        <w:t>/</w:t>
      </w:r>
      <w:r>
        <w:rPr/>
        <w:t>天。所有污水处置设施的</w:t>
      </w:r>
    </w:p>
    <w:p>
      <w:pPr>
        <w:pStyle w:val="BodyText"/>
        <w:spacing w:before="6"/>
        <w:rPr>
          <w:sz w:val="15"/>
        </w:rPr>
      </w:pPr>
    </w:p>
    <w:p>
      <w:pPr>
        <w:pStyle w:val="BodyText"/>
        <w:spacing w:line="417" w:lineRule="auto"/>
        <w:ind w:left="958" w:right="970"/>
        <w:jc w:val="both"/>
      </w:pPr>
      <w:r>
        <w:rPr>
          <w:spacing w:val="-11"/>
        </w:rPr>
        <w:t>建设、维保，日常运行均按照国家及地方环境法律法规要求执行，所有外排污水数据实行 </w:t>
      </w:r>
      <w:r>
        <w:rPr>
          <w:rFonts w:ascii="Times New Roman" w:eastAsia="Times New Roman"/>
        </w:rPr>
        <w:t>24 </w:t>
      </w:r>
      <w:r>
        <w:rPr>
          <w:spacing w:val="-3"/>
        </w:rPr>
        <w:t>小时在线监控，监控数据与环保部门保持实时传输，所有设备运行正常。此外，重庆园区公司全部加装废气处置设施，所有设备运行正常，产生废气全部经过治理设施处理后达标排放，并定期组织监测。</w:t>
      </w:r>
    </w:p>
    <w:p>
      <w:pPr>
        <w:pStyle w:val="BodyText"/>
        <w:spacing w:before="8"/>
        <w:rPr>
          <w:sz w:val="17"/>
        </w:rPr>
      </w:pPr>
    </w:p>
    <w:p>
      <w:pPr>
        <w:pStyle w:val="Heading4"/>
        <w:numPr>
          <w:ilvl w:val="0"/>
          <w:numId w:val="20"/>
        </w:numPr>
        <w:tabs>
          <w:tab w:pos="1318" w:val="left" w:leader="none"/>
        </w:tabs>
        <w:spacing w:line="240" w:lineRule="auto" w:before="0" w:after="0"/>
        <w:ind w:left="1318" w:right="0" w:hanging="360"/>
        <w:jc w:val="left"/>
      </w:pPr>
      <w:r>
        <w:rPr>
          <w:spacing w:val="-3"/>
        </w:rPr>
        <w:t>建设项目环境影响评价及其他环境保护行政许可情况</w:t>
      </w:r>
    </w:p>
    <w:p>
      <w:pPr>
        <w:pStyle w:val="BodyText"/>
        <w:spacing w:before="55"/>
        <w:ind w:left="1382"/>
      </w:pPr>
      <w:r>
        <w:rPr/>
        <w:t>√适用 □不适用</w:t>
      </w:r>
    </w:p>
    <w:p>
      <w:pPr>
        <w:pStyle w:val="BodyText"/>
        <w:spacing w:line="417" w:lineRule="auto" w:before="120"/>
        <w:ind w:left="958" w:right="973" w:firstLine="424"/>
      </w:pPr>
      <w:r>
        <w:rPr/>
        <w:t>公司及下属各子公司按法律法规要求进行建设项目实施及生产，严格按照建设项目环保三同时要求办理环境影响评价手续，并通过环评验收，无未批先建等环境违法行为。</w:t>
      </w:r>
    </w:p>
    <w:p>
      <w:pPr>
        <w:pStyle w:val="BodyText"/>
        <w:spacing w:before="8"/>
        <w:rPr>
          <w:sz w:val="17"/>
        </w:rPr>
      </w:pPr>
    </w:p>
    <w:p>
      <w:pPr>
        <w:pStyle w:val="Heading4"/>
        <w:numPr>
          <w:ilvl w:val="0"/>
          <w:numId w:val="20"/>
        </w:numPr>
        <w:tabs>
          <w:tab w:pos="1318" w:val="left" w:leader="none"/>
        </w:tabs>
        <w:spacing w:line="240" w:lineRule="auto" w:before="0" w:after="0"/>
        <w:ind w:left="1318" w:right="0" w:hanging="360"/>
        <w:jc w:val="left"/>
      </w:pPr>
      <w:r>
        <w:rPr>
          <w:spacing w:val="-1"/>
        </w:rPr>
        <w:t>突发环境事件应急预案</w:t>
      </w:r>
    </w:p>
    <w:p>
      <w:pPr>
        <w:pStyle w:val="BodyText"/>
        <w:spacing w:before="55"/>
        <w:ind w:left="1382"/>
      </w:pPr>
      <w:r>
        <w:rPr/>
        <w:t>√适用 □不适用</w:t>
      </w:r>
    </w:p>
    <w:p>
      <w:pPr>
        <w:pStyle w:val="BodyText"/>
        <w:spacing w:line="417" w:lineRule="auto" w:before="120"/>
        <w:ind w:left="958" w:right="973" w:firstLine="424"/>
      </w:pPr>
      <w:r>
        <w:rPr/>
        <w:t>公司及各子公司按照法律法规要求制定《突发环境事件应急预案》并组织演练，根据演练效果对预案不断优化升级。</w:t>
      </w:r>
    </w:p>
    <w:p>
      <w:pPr>
        <w:pStyle w:val="BodyText"/>
        <w:spacing w:before="8"/>
        <w:rPr>
          <w:sz w:val="17"/>
        </w:rPr>
      </w:pPr>
    </w:p>
    <w:p>
      <w:pPr>
        <w:pStyle w:val="Heading4"/>
        <w:numPr>
          <w:ilvl w:val="0"/>
          <w:numId w:val="20"/>
        </w:numPr>
        <w:tabs>
          <w:tab w:pos="1318" w:val="left" w:leader="none"/>
        </w:tabs>
        <w:spacing w:line="240" w:lineRule="auto" w:before="0" w:after="0"/>
        <w:ind w:left="1318" w:right="0" w:hanging="360"/>
        <w:jc w:val="left"/>
      </w:pPr>
      <w:r>
        <w:rPr/>
        <w:t>环境自行监测方案</w:t>
      </w:r>
    </w:p>
    <w:p>
      <w:pPr>
        <w:pStyle w:val="BodyText"/>
        <w:spacing w:before="55"/>
        <w:ind w:left="1382"/>
        <w:jc w:val="both"/>
      </w:pPr>
      <w:r>
        <w:rPr/>
        <w:t>√适用 □不适用</w:t>
      </w:r>
    </w:p>
    <w:p>
      <w:pPr>
        <w:pStyle w:val="BodyText"/>
        <w:spacing w:line="417" w:lineRule="auto" w:before="120"/>
        <w:ind w:left="958" w:right="968" w:firstLine="424"/>
        <w:jc w:val="both"/>
      </w:pPr>
      <w:r>
        <w:rPr/>
        <w:t>公司所有污染物排放均符合国家及地方环境标准要求，污水经收集处理达标后合规排放，并通过污水自动在线监控系统实时监控，数据与海尔智慧能源系统相连。公司于 </w:t>
      </w:r>
      <w:r>
        <w:rPr>
          <w:rFonts w:ascii="Times New Roman" w:eastAsia="Times New Roman"/>
        </w:rPr>
        <w:t>2017 </w:t>
      </w:r>
      <w:r>
        <w:rPr/>
        <w:t>年 </w:t>
      </w:r>
      <w:r>
        <w:rPr>
          <w:rFonts w:ascii="Times New Roman" w:eastAsia="Times New Roman"/>
        </w:rPr>
        <w:t>3 </w:t>
      </w:r>
      <w:r>
        <w:rPr/>
        <w:t>月份对</w:t>
      </w:r>
      <w:r>
        <w:rPr>
          <w:rFonts w:ascii="Times New Roman" w:eastAsia="Times New Roman"/>
        </w:rPr>
        <w:t>ISO14001 </w:t>
      </w:r>
      <w:r>
        <w:rPr/>
        <w:t>环境管理体系进行换版认证并顺利通过，</w:t>
      </w:r>
      <w:r>
        <w:rPr>
          <w:rFonts w:ascii="Times New Roman" w:eastAsia="Times New Roman"/>
        </w:rPr>
        <w:t>2019 </w:t>
      </w:r>
      <w:r>
        <w:rPr/>
        <w:t>年 </w:t>
      </w:r>
      <w:r>
        <w:rPr>
          <w:rFonts w:ascii="Times New Roman" w:eastAsia="Times New Roman"/>
        </w:rPr>
        <w:t>3 </w:t>
      </w:r>
      <w:r>
        <w:rPr/>
        <w:t>月，由专业认证机构对 </w:t>
      </w:r>
      <w:r>
        <w:rPr>
          <w:rFonts w:ascii="Times New Roman" w:eastAsia="Times New Roman"/>
        </w:rPr>
        <w:t>2019 </w:t>
      </w:r>
      <w:r>
        <w:rPr/>
        <w:t>年度</w:t>
      </w:r>
      <w:r>
        <w:rPr>
          <w:rFonts w:ascii="Times New Roman" w:eastAsia="Times New Roman"/>
        </w:rPr>
        <w:t>ISO14001 </w:t>
      </w:r>
      <w:r>
        <w:rPr/>
        <w:t>体系运行情况进行换版后第二次监督审核，并顺利通过，运行良好。</w:t>
      </w:r>
    </w:p>
    <w:p>
      <w:pPr>
        <w:spacing w:after="0" w:line="417" w:lineRule="auto"/>
        <w:jc w:val="both"/>
        <w:sectPr>
          <w:pgSz w:w="11910" w:h="16840"/>
          <w:pgMar w:header="874" w:footer="1214" w:top="1120" w:bottom="1400" w:left="840" w:right="300"/>
        </w:sectPr>
      </w:pPr>
    </w:p>
    <w:p>
      <w:pPr>
        <w:pStyle w:val="BodyText"/>
        <w:spacing w:before="12"/>
        <w:rPr>
          <w:sz w:val="26"/>
        </w:rPr>
      </w:pPr>
    </w:p>
    <w:p>
      <w:pPr>
        <w:pStyle w:val="Heading4"/>
        <w:numPr>
          <w:ilvl w:val="0"/>
          <w:numId w:val="20"/>
        </w:numPr>
        <w:tabs>
          <w:tab w:pos="1318" w:val="left" w:leader="none"/>
        </w:tabs>
        <w:spacing w:line="240" w:lineRule="auto" w:before="9" w:after="0"/>
        <w:ind w:left="1318" w:right="0" w:hanging="360"/>
        <w:jc w:val="left"/>
      </w:pPr>
      <w:r>
        <w:rPr>
          <w:spacing w:val="-1"/>
        </w:rPr>
        <w:t>其他应当公开的环境信息</w:t>
      </w:r>
    </w:p>
    <w:p>
      <w:pPr>
        <w:pStyle w:val="BodyText"/>
        <w:spacing w:before="55"/>
        <w:ind w:left="1382"/>
      </w:pPr>
      <w:r>
        <w:rPr/>
        <w:t>□适用 √不适用</w:t>
      </w:r>
    </w:p>
    <w:p>
      <w:pPr>
        <w:pStyle w:val="BodyText"/>
        <w:rPr>
          <w:sz w:val="27"/>
        </w:rPr>
      </w:pPr>
    </w:p>
    <w:p>
      <w:pPr>
        <w:pStyle w:val="Heading4"/>
        <w:numPr>
          <w:ilvl w:val="0"/>
          <w:numId w:val="19"/>
        </w:numPr>
        <w:tabs>
          <w:tab w:pos="1382" w:val="left" w:leader="none"/>
          <w:tab w:pos="1383" w:val="left" w:leader="none"/>
        </w:tabs>
        <w:spacing w:line="240" w:lineRule="auto" w:before="0" w:after="0"/>
        <w:ind w:left="1382" w:right="0" w:hanging="425"/>
        <w:jc w:val="left"/>
      </w:pPr>
      <w:r>
        <w:rPr>
          <w:spacing w:val="-2"/>
        </w:rPr>
        <w:t>重点排污单位之外的公司的环保情况说明</w:t>
      </w:r>
    </w:p>
    <w:p>
      <w:pPr>
        <w:pStyle w:val="BodyText"/>
        <w:spacing w:before="55"/>
        <w:ind w:left="1382"/>
      </w:pPr>
      <w:r>
        <w:rPr/>
        <w:t>√适用 □不适用</w:t>
      </w:r>
    </w:p>
    <w:p>
      <w:pPr>
        <w:pStyle w:val="BodyText"/>
        <w:spacing w:line="417" w:lineRule="auto" w:before="120"/>
        <w:ind w:left="958" w:right="973" w:firstLine="424"/>
      </w:pPr>
      <w:r>
        <w:rPr/>
        <w:t>公司所有单位均按法律法规要求进行建设项目实施及生产，严格按照建设项目环保三同时原则要求办理环境影响评价手续，并通过环评验收，无未批先建等环境违法行为。</w:t>
      </w:r>
    </w:p>
    <w:p>
      <w:pPr>
        <w:pStyle w:val="BodyText"/>
        <w:spacing w:line="417" w:lineRule="auto"/>
        <w:ind w:left="958" w:right="968" w:firstLine="424"/>
        <w:jc w:val="both"/>
      </w:pPr>
      <w:r>
        <w:rPr>
          <w:spacing w:val="-3"/>
        </w:rPr>
        <w:t>公司通过行业领先的能源大数据分析系统</w:t>
      </w:r>
      <w:r>
        <w:rPr>
          <w:rFonts w:ascii="Times New Roman" w:hAnsi="Times New Roman" w:eastAsia="Times New Roman"/>
        </w:rPr>
        <w:t>——</w:t>
      </w:r>
      <w:r>
        <w:rPr>
          <w:spacing w:val="-3"/>
        </w:rPr>
        <w:t>海尔智慧能源中心，利用自动化、信息化技术和集中管理模式对全国所有工厂的水、电、气等主要能源消耗实施集中动态监控和数字化管理， </w:t>
      </w:r>
      <w:r>
        <w:rPr>
          <w:spacing w:val="-15"/>
        </w:rPr>
        <w:t>自动精准采集能源数据，并完成能耗数据的预测、分析，优化能源调度，降低单台产品生产耗能， </w:t>
      </w:r>
      <w:r>
        <w:rPr>
          <w:spacing w:val="-7"/>
        </w:rPr>
        <w:t>真正实现低碳生产。</w:t>
      </w:r>
    </w:p>
    <w:p>
      <w:pPr>
        <w:pStyle w:val="BodyText"/>
        <w:spacing w:before="7"/>
        <w:rPr>
          <w:sz w:val="17"/>
        </w:rPr>
      </w:pPr>
    </w:p>
    <w:p>
      <w:pPr>
        <w:pStyle w:val="Heading4"/>
        <w:numPr>
          <w:ilvl w:val="0"/>
          <w:numId w:val="19"/>
        </w:numPr>
        <w:tabs>
          <w:tab w:pos="1382" w:val="left" w:leader="none"/>
          <w:tab w:pos="1383" w:val="left" w:leader="none"/>
        </w:tabs>
        <w:spacing w:line="240" w:lineRule="auto" w:before="1" w:after="0"/>
        <w:ind w:left="1382" w:right="0" w:hanging="425"/>
        <w:jc w:val="left"/>
      </w:pPr>
      <w:r>
        <w:rPr>
          <w:spacing w:val="-3"/>
        </w:rPr>
        <w:t>重点排污单位之外的公司未披露环境信息的原因说明</w:t>
      </w:r>
    </w:p>
    <w:p>
      <w:pPr>
        <w:pStyle w:val="BodyText"/>
        <w:spacing w:before="55"/>
        <w:ind w:left="1382"/>
      </w:pPr>
      <w:r>
        <w:rPr/>
        <w:t>□适用 √不适用</w:t>
      </w:r>
    </w:p>
    <w:p>
      <w:pPr>
        <w:pStyle w:val="BodyText"/>
        <w:rPr>
          <w:sz w:val="20"/>
        </w:rPr>
      </w:pPr>
    </w:p>
    <w:p>
      <w:pPr>
        <w:pStyle w:val="Heading4"/>
        <w:numPr>
          <w:ilvl w:val="0"/>
          <w:numId w:val="19"/>
        </w:numPr>
        <w:tabs>
          <w:tab w:pos="1382" w:val="left" w:leader="none"/>
          <w:tab w:pos="1383" w:val="left" w:leader="none"/>
        </w:tabs>
        <w:spacing w:line="240" w:lineRule="auto" w:before="166" w:after="0"/>
        <w:ind w:left="1382" w:right="0" w:hanging="425"/>
        <w:jc w:val="left"/>
      </w:pPr>
      <w:r>
        <w:rPr>
          <w:spacing w:val="-3"/>
        </w:rPr>
        <w:t>报告期内披露环境信息内容的后续进展或变化情况的说明</w:t>
      </w:r>
    </w:p>
    <w:p>
      <w:pPr>
        <w:pStyle w:val="BodyText"/>
        <w:spacing w:before="9"/>
        <w:rPr>
          <w:rFonts w:ascii="Microsoft JhengHei"/>
          <w:b/>
          <w:sz w:val="11"/>
        </w:rPr>
      </w:pPr>
    </w:p>
    <w:p>
      <w:pPr>
        <w:pStyle w:val="BodyText"/>
        <w:ind w:left="1382"/>
      </w:pPr>
      <w:r>
        <w:rPr/>
        <w:t>√适用 □不适用</w:t>
      </w:r>
    </w:p>
    <w:p>
      <w:pPr>
        <w:pStyle w:val="BodyText"/>
        <w:spacing w:before="6"/>
        <w:rPr>
          <w:sz w:val="15"/>
        </w:rPr>
      </w:pPr>
    </w:p>
    <w:p>
      <w:pPr>
        <w:pStyle w:val="BodyText"/>
        <w:spacing w:before="1"/>
        <w:ind w:left="1382"/>
      </w:pPr>
      <w:r>
        <w:rPr/>
        <w:t>公司将继续保持并不断优化现有成果，严格按照现有环保排放标准达标排放。</w:t>
      </w:r>
    </w:p>
    <w:p>
      <w:pPr>
        <w:pStyle w:val="BodyText"/>
        <w:rPr>
          <w:sz w:val="20"/>
        </w:rPr>
      </w:pPr>
    </w:p>
    <w:p>
      <w:pPr>
        <w:pStyle w:val="Heading4"/>
        <w:tabs>
          <w:tab w:pos="1601" w:val="left" w:leader="none"/>
        </w:tabs>
        <w:spacing w:before="169"/>
        <w:ind w:left="958"/>
      </w:pPr>
      <w:r>
        <w:rPr>
          <w:w w:val="125"/>
        </w:rPr>
        <w:t>(</w:t>
      </w:r>
      <w:r>
        <w:rPr>
          <w:w w:val="110"/>
        </w:rPr>
        <w:t>四</w:t>
      </w:r>
      <w:r>
        <w:rPr>
          <w:w w:val="125"/>
        </w:rPr>
        <w:t>)</w:t>
        <w:tab/>
      </w:r>
      <w:r>
        <w:rPr>
          <w:w w:val="110"/>
        </w:rPr>
        <w:t>其他说明</w:t>
      </w:r>
    </w:p>
    <w:p>
      <w:pPr>
        <w:pStyle w:val="BodyText"/>
        <w:tabs>
          <w:tab w:pos="2225" w:val="left" w:leader="none"/>
        </w:tabs>
        <w:spacing w:before="55"/>
        <w:ind w:left="1382"/>
      </w:pPr>
      <w:r>
        <w:rPr/>
        <w:t>□适用</w:t>
        <w:tab/>
      </w:r>
      <w:r>
        <w:rPr>
          <w:spacing w:val="-3"/>
        </w:rPr>
        <w:t>√</w:t>
      </w:r>
      <w:r>
        <w:rPr/>
        <w:t>不</w:t>
      </w:r>
      <w:r>
        <w:rPr>
          <w:spacing w:val="-3"/>
        </w:rPr>
        <w:t>适</w:t>
      </w:r>
      <w:r>
        <w:rPr/>
        <w:t>用</w:t>
      </w:r>
    </w:p>
    <w:p>
      <w:pPr>
        <w:pStyle w:val="BodyText"/>
        <w:spacing w:before="12"/>
        <w:rPr>
          <w:sz w:val="26"/>
        </w:rPr>
      </w:pPr>
    </w:p>
    <w:p>
      <w:pPr>
        <w:pStyle w:val="Heading4"/>
        <w:ind w:left="958"/>
      </w:pPr>
      <w:r>
        <w:rPr/>
        <w:t>十八、可转换公司债券情况</w:t>
      </w:r>
    </w:p>
    <w:p>
      <w:pPr>
        <w:pStyle w:val="BodyText"/>
        <w:spacing w:before="55"/>
        <w:ind w:left="1382"/>
      </w:pPr>
      <w:r>
        <w:rPr/>
        <w:t>√适用 □不适用</w:t>
      </w:r>
    </w:p>
    <w:p>
      <w:pPr>
        <w:pStyle w:val="Heading4"/>
        <w:spacing w:before="34"/>
        <w:ind w:left="958"/>
      </w:pPr>
      <w:r>
        <w:rPr>
          <w:rFonts w:ascii="Calibri" w:eastAsia="Calibri"/>
        </w:rPr>
        <w:t>(</w:t>
      </w:r>
      <w:r>
        <w:rPr/>
        <w:t>一</w:t>
      </w:r>
      <w:r>
        <w:rPr>
          <w:rFonts w:ascii="Calibri" w:eastAsia="Calibri"/>
        </w:rPr>
        <w:t>) </w:t>
      </w:r>
      <w:r>
        <w:rPr/>
        <w:t>转债发行情况</w:t>
      </w:r>
    </w:p>
    <w:p>
      <w:pPr>
        <w:pStyle w:val="BodyText"/>
        <w:spacing w:before="55"/>
        <w:ind w:left="1382"/>
      </w:pPr>
      <w:r>
        <w:rPr/>
        <w:t>√适用 □不适用  </w:t>
      </w:r>
    </w:p>
    <w:p>
      <w:pPr>
        <w:pStyle w:val="BodyText"/>
        <w:spacing w:line="417" w:lineRule="auto" w:before="120"/>
        <w:ind w:left="958" w:right="968" w:firstLine="424"/>
        <w:jc w:val="both"/>
      </w:pPr>
      <w:r>
        <w:rPr>
          <w:rFonts w:ascii="Times New Roman" w:hAnsi="Times New Roman" w:eastAsia="Times New Roman"/>
        </w:rPr>
        <w:t>2020 </w:t>
      </w:r>
      <w:r>
        <w:rPr>
          <w:spacing w:val="3"/>
        </w:rPr>
        <w:t>年 </w:t>
      </w:r>
      <w:r>
        <w:rPr>
          <w:rFonts w:ascii="Times New Roman" w:hAnsi="Times New Roman" w:eastAsia="Times New Roman"/>
        </w:rPr>
        <w:t>10 </w:t>
      </w:r>
      <w:r>
        <w:rPr>
          <w:spacing w:val="2"/>
        </w:rPr>
        <w:t>月 </w:t>
      </w:r>
      <w:r>
        <w:rPr>
          <w:rFonts w:ascii="Times New Roman" w:hAnsi="Times New Roman" w:eastAsia="Times New Roman"/>
        </w:rPr>
        <w:t>27 </w:t>
      </w:r>
      <w:r>
        <w:rPr>
          <w:spacing w:val="-3"/>
        </w:rPr>
        <w:t>日，中国证监会核发《关于核准海尔智家股份有限公司发行境外 上市外</w:t>
      </w:r>
      <w:r>
        <w:rPr>
          <w:spacing w:val="-6"/>
        </w:rPr>
        <w:t>资股及可转换公司债券的批复》</w:t>
      </w:r>
      <w:r>
        <w:rPr>
          <w:spacing w:val="-3"/>
        </w:rPr>
        <w:t>（</w:t>
      </w:r>
      <w:r>
        <w:rPr>
          <w:spacing w:val="-2"/>
        </w:rPr>
        <w:t>证监许可</w:t>
      </w:r>
      <w:r>
        <w:rPr>
          <w:rFonts w:ascii="Times New Roman" w:hAnsi="Times New Roman" w:eastAsia="Times New Roman"/>
        </w:rPr>
        <w:t>[2020]2768 </w:t>
      </w:r>
      <w:r>
        <w:rPr>
          <w:spacing w:val="-3"/>
        </w:rPr>
        <w:t>号</w:t>
      </w:r>
      <w:r>
        <w:rPr>
          <w:spacing w:val="-18"/>
        </w:rPr>
        <w:t>）（</w:t>
      </w:r>
      <w:r>
        <w:rPr>
          <w:spacing w:val="-3"/>
        </w:rPr>
        <w:t>以下简称</w:t>
      </w:r>
      <w:r>
        <w:rPr>
          <w:rFonts w:ascii="Times New Roman" w:hAnsi="Times New Roman" w:eastAsia="Times New Roman"/>
        </w:rPr>
        <w:t>“</w:t>
      </w:r>
      <w:r>
        <w:rPr>
          <w:spacing w:val="-1"/>
        </w:rPr>
        <w:t>中国证 监会批复</w:t>
      </w:r>
      <w:r>
        <w:rPr>
          <w:rFonts w:ascii="Times New Roman" w:hAnsi="Times New Roman" w:eastAsia="Times New Roman"/>
          <w:spacing w:val="-14"/>
        </w:rPr>
        <w:t>”</w:t>
      </w:r>
      <w:r>
        <w:rPr>
          <w:spacing w:val="-14"/>
        </w:rPr>
        <w:t>）</w:t>
      </w:r>
      <w:r>
        <w:rPr>
          <w:spacing w:val="-7"/>
        </w:rPr>
        <w:t>，核准：（</w:t>
      </w:r>
      <w:r>
        <w:rPr>
          <w:rFonts w:ascii="Times New Roman" w:hAnsi="Times New Roman" w:eastAsia="Times New Roman"/>
          <w:spacing w:val="-7"/>
        </w:rPr>
        <w:t>1</w:t>
      </w:r>
      <w:r>
        <w:rPr>
          <w:spacing w:val="-7"/>
        </w:rPr>
        <w:t>）</w:t>
      </w:r>
      <w:r>
        <w:rPr>
          <w:spacing w:val="-4"/>
        </w:rPr>
        <w:t>海尔智家发行不超过 </w:t>
      </w:r>
      <w:r>
        <w:rPr>
          <w:rFonts w:ascii="Times New Roman" w:hAnsi="Times New Roman" w:eastAsia="Times New Roman"/>
        </w:rPr>
        <w:t>2,856,526,138 </w:t>
      </w:r>
      <w:r>
        <w:rPr/>
        <w:t>股</w:t>
      </w:r>
      <w:r>
        <w:rPr>
          <w:spacing w:val="-3"/>
        </w:rPr>
        <w:t>（</w:t>
      </w:r>
      <w:r>
        <w:rPr/>
        <w:t>含不超过 </w:t>
      </w:r>
      <w:r>
        <w:rPr>
          <w:rFonts w:ascii="Times New Roman" w:hAnsi="Times New Roman" w:eastAsia="Times New Roman"/>
        </w:rPr>
        <w:t>80 </w:t>
      </w:r>
      <w:r>
        <w:rPr>
          <w:spacing w:val="-3"/>
        </w:rPr>
        <w:t>亿港元 或等值外币可转换公司</w:t>
      </w:r>
    </w:p>
    <w:p>
      <w:pPr>
        <w:pStyle w:val="BodyText"/>
        <w:spacing w:line="417" w:lineRule="auto"/>
        <w:ind w:left="958" w:right="867"/>
      </w:pPr>
      <w:r>
        <w:rPr>
          <w:spacing w:val="-3"/>
        </w:rPr>
        <w:t>债券持有人行使转股权而增发的股份</w:t>
      </w:r>
      <w:r>
        <w:rPr/>
        <w:t>）</w:t>
      </w:r>
      <w:r>
        <w:rPr>
          <w:spacing w:val="-2"/>
        </w:rPr>
        <w:t>境外上市外资股，每股面值人民币 </w:t>
      </w:r>
      <w:r>
        <w:rPr>
          <w:rFonts w:ascii="Times New Roman" w:eastAsia="Times New Roman"/>
        </w:rPr>
        <w:t>1 </w:t>
      </w:r>
      <w:r>
        <w:rPr>
          <w:spacing w:val="-2"/>
        </w:rPr>
        <w:t>元，全部为普通股。</w:t>
      </w:r>
      <w:r>
        <w:rPr>
          <w:spacing w:val="-7"/>
        </w:rPr>
        <w:t>完成本次发行后，海尔智家可到香港联交所主板上市；</w:t>
      </w:r>
      <w:r>
        <w:rPr>
          <w:spacing w:val="-19"/>
        </w:rPr>
        <w:t>（</w:t>
      </w:r>
      <w:r>
        <w:rPr>
          <w:rFonts w:ascii="Times New Roman" w:eastAsia="Times New Roman"/>
          <w:spacing w:val="-19"/>
        </w:rPr>
        <w:t>2</w:t>
      </w:r>
      <w:r>
        <w:rPr>
          <w:spacing w:val="-19"/>
        </w:rPr>
        <w:t>）</w:t>
      </w:r>
      <w:r>
        <w:rPr>
          <w:spacing w:val="-3"/>
        </w:rPr>
        <w:t>海尔智家担保的境外全资下属公司在</w:t>
      </w:r>
      <w:r>
        <w:rPr>
          <w:spacing w:val="-8"/>
        </w:rPr>
        <w:t>境外发行不超过 </w:t>
      </w:r>
      <w:r>
        <w:rPr>
          <w:rFonts w:ascii="Times New Roman" w:eastAsia="Times New Roman"/>
        </w:rPr>
        <w:t>80 </w:t>
      </w:r>
      <w:r>
        <w:rPr>
          <w:spacing w:val="-7"/>
        </w:rPr>
        <w:t>亿港元或等值外币可转换为发行人境外上市外资股的公司债券。据此及相关各</w:t>
      </w:r>
      <w:r>
        <w:rPr>
          <w:spacing w:val="-12"/>
        </w:rPr>
        <w:t>方的批准，公司全资下属公司 </w:t>
      </w:r>
      <w:r>
        <w:rPr>
          <w:rFonts w:ascii="Times New Roman" w:eastAsia="Times New Roman"/>
        </w:rPr>
        <w:t>Harvest International Company </w:t>
      </w:r>
      <w:r>
        <w:rPr>
          <w:spacing w:val="-13"/>
        </w:rPr>
        <w:t>发行的 </w:t>
      </w:r>
      <w:r>
        <w:rPr>
          <w:rFonts w:ascii="Times New Roman" w:eastAsia="Times New Roman"/>
        </w:rPr>
        <w:t>80 </w:t>
      </w:r>
      <w:r>
        <w:rPr>
          <w:spacing w:val="-13"/>
        </w:rPr>
        <w:t>亿港元</w:t>
      </w:r>
      <w:r>
        <w:rPr/>
        <w:t>（</w:t>
      </w:r>
      <w:r>
        <w:rPr>
          <w:rFonts w:ascii="Times New Roman" w:eastAsia="Times New Roman"/>
        </w:rPr>
        <w:t>2017 </w:t>
      </w:r>
      <w:r>
        <w:rPr>
          <w:spacing w:val="-25"/>
        </w:rPr>
        <w:t>年 </w:t>
      </w:r>
      <w:r>
        <w:rPr>
          <w:rFonts w:ascii="Times New Roman" w:eastAsia="Times New Roman"/>
        </w:rPr>
        <w:t>11 </w:t>
      </w:r>
      <w:r>
        <w:rPr>
          <w:spacing w:val="-2"/>
        </w:rPr>
        <w:t>月发行</w:t>
      </w:r>
    </w:p>
    <w:p>
      <w:pPr>
        <w:spacing w:after="0" w:line="417" w:lineRule="auto"/>
        <w:sectPr>
          <w:pgSz w:w="11910" w:h="16840"/>
          <w:pgMar w:header="874" w:footer="1214" w:top="1120" w:bottom="1400" w:left="840" w:right="300"/>
        </w:sectPr>
      </w:pPr>
    </w:p>
    <w:p>
      <w:pPr>
        <w:pStyle w:val="BodyText"/>
        <w:rPr>
          <w:sz w:val="20"/>
        </w:rPr>
      </w:pPr>
    </w:p>
    <w:p>
      <w:pPr>
        <w:pStyle w:val="BodyText"/>
        <w:spacing w:before="1"/>
        <w:rPr>
          <w:sz w:val="19"/>
        </w:rPr>
      </w:pPr>
    </w:p>
    <w:p>
      <w:pPr>
        <w:pStyle w:val="BodyText"/>
        <w:ind w:left="958"/>
      </w:pPr>
      <w:r>
        <w:rPr/>
        <w:t>的 </w:t>
      </w:r>
      <w:r>
        <w:rPr>
          <w:rFonts w:ascii="Times New Roman" w:eastAsia="Times New Roman"/>
        </w:rPr>
        <w:t>80 </w:t>
      </w:r>
      <w:r>
        <w:rPr/>
        <w:t>亿港元可交换债券转换为可转换债券，实际生效的可转换债券为 </w:t>
      </w:r>
      <w:r>
        <w:rPr>
          <w:rFonts w:ascii="Times New Roman" w:eastAsia="Times New Roman"/>
        </w:rPr>
        <w:t>79.93 </w:t>
      </w:r>
      <w:r>
        <w:rPr/>
        <w:t>亿港元）可转换债券</w:t>
      </w:r>
    </w:p>
    <w:p>
      <w:pPr>
        <w:pStyle w:val="BodyText"/>
        <w:spacing w:before="6"/>
        <w:rPr>
          <w:sz w:val="15"/>
        </w:rPr>
      </w:pPr>
    </w:p>
    <w:p>
      <w:pPr>
        <w:pStyle w:val="BodyText"/>
        <w:spacing w:before="1"/>
        <w:ind w:left="958"/>
      </w:pPr>
      <w:r>
        <w:rPr/>
        <w:t>（可转换为本公司</w:t>
      </w:r>
      <w:r>
        <w:rPr>
          <w:rFonts w:ascii="Times New Roman" w:eastAsia="Times New Roman"/>
        </w:rPr>
        <w:t>H </w:t>
      </w:r>
      <w:r>
        <w:rPr/>
        <w:t>股）于 </w:t>
      </w:r>
      <w:r>
        <w:rPr>
          <w:rFonts w:ascii="Times New Roman" w:eastAsia="Times New Roman"/>
        </w:rPr>
        <w:t>2020 </w:t>
      </w:r>
      <w:r>
        <w:rPr/>
        <w:t>年 </w:t>
      </w:r>
      <w:r>
        <w:rPr>
          <w:rFonts w:ascii="Times New Roman" w:eastAsia="Times New Roman"/>
        </w:rPr>
        <w:t>12 </w:t>
      </w:r>
      <w:r>
        <w:rPr/>
        <w:t>月 </w:t>
      </w:r>
      <w:r>
        <w:rPr>
          <w:rFonts w:ascii="Times New Roman" w:eastAsia="Times New Roman"/>
        </w:rPr>
        <w:t>23 </w:t>
      </w:r>
      <w:r>
        <w:rPr/>
        <w:t>日上市。 </w:t>
      </w:r>
    </w:p>
    <w:p>
      <w:pPr>
        <w:pStyle w:val="BodyText"/>
        <w:spacing w:before="122"/>
        <w:ind w:left="958"/>
      </w:pPr>
      <w:r>
        <w:rPr>
          <w:w w:val="100"/>
        </w:rPr>
        <w:t> </w:t>
      </w:r>
    </w:p>
    <w:p>
      <w:pPr>
        <w:pStyle w:val="Heading4"/>
        <w:spacing w:before="33"/>
        <w:ind w:left="958"/>
      </w:pPr>
      <w:r>
        <w:rPr>
          <w:rFonts w:ascii="Calibri" w:eastAsia="Calibri"/>
        </w:rPr>
        <w:t>(</w:t>
      </w:r>
      <w:r>
        <w:rPr/>
        <w:t>二</w:t>
      </w:r>
      <w:r>
        <w:rPr>
          <w:rFonts w:ascii="Calibri" w:eastAsia="Calibri"/>
        </w:rPr>
        <w:t>) </w:t>
      </w:r>
      <w:r>
        <w:rPr/>
        <w:t>报告期转债持有人及担保人情况</w:t>
      </w:r>
    </w:p>
    <w:p>
      <w:pPr>
        <w:pStyle w:val="BodyText"/>
        <w:spacing w:before="55"/>
        <w:ind w:left="958"/>
      </w:pPr>
      <w:r>
        <w:rPr/>
        <w:t>√适用 □不适用  </w:t>
      </w:r>
    </w:p>
    <w:p>
      <w:pPr>
        <w:pStyle w:val="BodyText"/>
        <w:spacing w:before="43" w:after="21"/>
        <w:ind w:left="958"/>
      </w:pPr>
      <w:r>
        <w:rPr>
          <w:w w:val="100"/>
        </w:rPr>
        <w:t> </w:t>
      </w:r>
    </w:p>
    <w:tbl>
      <w:tblPr>
        <w:tblW w:w="0" w:type="auto"/>
        <w:jc w:val="left"/>
        <w:tblInd w:w="86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015"/>
        <w:gridCol w:w="2055"/>
        <w:gridCol w:w="2413"/>
        <w:gridCol w:w="1568"/>
      </w:tblGrid>
      <w:tr>
        <w:trPr>
          <w:trHeight w:val="625" w:hRule="atLeast"/>
        </w:trPr>
        <w:tc>
          <w:tcPr>
            <w:tcW w:w="3015" w:type="dxa"/>
            <w:tcBorders>
              <w:bottom w:val="single" w:sz="4" w:space="0" w:color="000000"/>
              <w:right w:val="single" w:sz="4" w:space="0" w:color="000000"/>
            </w:tcBorders>
            <w:shd w:val="clear" w:color="auto" w:fill="EDEBE0"/>
          </w:tcPr>
          <w:p>
            <w:pPr>
              <w:pStyle w:val="TableParagraph"/>
              <w:spacing w:before="24"/>
              <w:ind w:left="107"/>
              <w:rPr>
                <w:rFonts w:ascii="宋体" w:eastAsia="宋体" w:hint="eastAsia"/>
                <w:sz w:val="21"/>
              </w:rPr>
            </w:pPr>
            <w:r>
              <w:rPr>
                <w:rFonts w:ascii="宋体" w:eastAsia="宋体" w:hint="eastAsia"/>
                <w:sz w:val="21"/>
              </w:rPr>
              <w:t>可转换公司债券名称</w:t>
            </w:r>
          </w:p>
        </w:tc>
        <w:tc>
          <w:tcPr>
            <w:tcW w:w="6036" w:type="dxa"/>
            <w:gridSpan w:val="3"/>
            <w:tcBorders>
              <w:left w:val="single" w:sz="4" w:space="0" w:color="000000"/>
              <w:bottom w:val="single" w:sz="4" w:space="0" w:color="000000"/>
            </w:tcBorders>
          </w:tcPr>
          <w:p>
            <w:pPr>
              <w:pStyle w:val="TableParagraph"/>
              <w:spacing w:before="36"/>
              <w:ind w:left="117"/>
              <w:rPr>
                <w:sz w:val="21"/>
              </w:rPr>
            </w:pPr>
            <w:r>
              <w:rPr>
                <w:sz w:val="21"/>
              </w:rPr>
              <w:t>Harvest International Company HK$8,000,000,000 Zero Coupon</w:t>
            </w:r>
          </w:p>
          <w:p>
            <w:pPr>
              <w:pStyle w:val="TableParagraph"/>
              <w:spacing w:before="70"/>
              <w:ind w:left="117"/>
              <w:rPr>
                <w:sz w:val="21"/>
              </w:rPr>
            </w:pPr>
            <w:r>
              <w:rPr>
                <w:sz w:val="21"/>
              </w:rPr>
              <w:t>Guaranteed Convertible Bonds due 2022</w:t>
            </w:r>
          </w:p>
        </w:tc>
      </w:tr>
      <w:tr>
        <w:trPr>
          <w:trHeight w:val="311" w:hRule="atLeast"/>
        </w:trPr>
        <w:tc>
          <w:tcPr>
            <w:tcW w:w="3015" w:type="dxa"/>
            <w:tcBorders>
              <w:top w:val="single" w:sz="4" w:space="0" w:color="000000"/>
              <w:bottom w:val="single" w:sz="4" w:space="0" w:color="000000"/>
              <w:right w:val="single" w:sz="4" w:space="0" w:color="000000"/>
            </w:tcBorders>
            <w:shd w:val="clear" w:color="auto" w:fill="EDEBE0"/>
          </w:tcPr>
          <w:p>
            <w:pPr>
              <w:pStyle w:val="TableParagraph"/>
              <w:spacing w:before="22"/>
              <w:ind w:left="107"/>
              <w:rPr>
                <w:rFonts w:ascii="宋体" w:eastAsia="宋体" w:hint="eastAsia"/>
                <w:sz w:val="21"/>
              </w:rPr>
            </w:pPr>
            <w:r>
              <w:rPr>
                <w:rFonts w:ascii="宋体" w:eastAsia="宋体" w:hint="eastAsia"/>
                <w:sz w:val="21"/>
              </w:rPr>
              <w:t>本公司转债的担保人</w:t>
            </w:r>
          </w:p>
        </w:tc>
        <w:tc>
          <w:tcPr>
            <w:tcW w:w="6036" w:type="dxa"/>
            <w:gridSpan w:val="3"/>
            <w:tcBorders>
              <w:top w:val="single" w:sz="4" w:space="0" w:color="000000"/>
              <w:left w:val="single" w:sz="4" w:space="0" w:color="000000"/>
              <w:bottom w:val="single" w:sz="4" w:space="0" w:color="000000"/>
            </w:tcBorders>
          </w:tcPr>
          <w:p>
            <w:pPr>
              <w:pStyle w:val="TableParagraph"/>
              <w:spacing w:before="22"/>
              <w:ind w:left="117"/>
              <w:rPr>
                <w:rFonts w:ascii="宋体" w:eastAsia="宋体" w:hint="eastAsia"/>
                <w:sz w:val="21"/>
              </w:rPr>
            </w:pPr>
            <w:r>
              <w:rPr>
                <w:rFonts w:ascii="宋体" w:eastAsia="宋体" w:hint="eastAsia"/>
                <w:sz w:val="21"/>
              </w:rPr>
              <w:t>海尔智家股份有限公司</w:t>
            </w:r>
          </w:p>
        </w:tc>
      </w:tr>
      <w:tr>
        <w:trPr>
          <w:trHeight w:val="311" w:hRule="atLeast"/>
        </w:trPr>
        <w:tc>
          <w:tcPr>
            <w:tcW w:w="9051" w:type="dxa"/>
            <w:gridSpan w:val="4"/>
            <w:tcBorders>
              <w:top w:val="single" w:sz="4" w:space="0" w:color="000000"/>
              <w:bottom w:val="single" w:sz="4" w:space="0" w:color="000000"/>
            </w:tcBorders>
            <w:shd w:val="clear" w:color="auto" w:fill="EDEBE0"/>
          </w:tcPr>
          <w:p>
            <w:pPr>
              <w:pStyle w:val="TableParagraph"/>
              <w:spacing w:before="22"/>
              <w:ind w:left="107"/>
              <w:rPr>
                <w:rFonts w:ascii="宋体" w:eastAsia="宋体" w:hint="eastAsia"/>
                <w:sz w:val="21"/>
              </w:rPr>
            </w:pPr>
            <w:r>
              <w:rPr>
                <w:rFonts w:ascii="宋体" w:eastAsia="宋体" w:hint="eastAsia"/>
                <w:sz w:val="21"/>
              </w:rPr>
              <w:t>前十名转债持有人情况如下：</w:t>
            </w:r>
          </w:p>
        </w:tc>
      </w:tr>
      <w:tr>
        <w:trPr>
          <w:trHeight w:val="312" w:hRule="atLeast"/>
        </w:trPr>
        <w:tc>
          <w:tcPr>
            <w:tcW w:w="5070" w:type="dxa"/>
            <w:gridSpan w:val="2"/>
            <w:tcBorders>
              <w:top w:val="single" w:sz="4" w:space="0" w:color="000000"/>
              <w:bottom w:val="single" w:sz="4" w:space="0" w:color="000000"/>
              <w:right w:val="single" w:sz="4" w:space="0" w:color="000000"/>
            </w:tcBorders>
            <w:shd w:val="clear" w:color="auto" w:fill="EDEBE0"/>
          </w:tcPr>
          <w:p>
            <w:pPr>
              <w:pStyle w:val="TableParagraph"/>
              <w:spacing w:before="23"/>
              <w:ind w:left="1271"/>
              <w:rPr>
                <w:rFonts w:ascii="宋体" w:eastAsia="宋体" w:hint="eastAsia"/>
                <w:sz w:val="21"/>
              </w:rPr>
            </w:pPr>
            <w:r>
              <w:rPr>
                <w:rFonts w:ascii="宋体" w:eastAsia="宋体" w:hint="eastAsia"/>
                <w:sz w:val="21"/>
              </w:rPr>
              <w:t>可转换公司债券持有人名称</w:t>
            </w:r>
          </w:p>
        </w:tc>
        <w:tc>
          <w:tcPr>
            <w:tcW w:w="2413"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23"/>
              <w:ind w:left="268"/>
              <w:rPr>
                <w:rFonts w:ascii="宋体" w:eastAsia="宋体" w:hint="eastAsia"/>
                <w:sz w:val="21"/>
              </w:rPr>
            </w:pPr>
            <w:r>
              <w:rPr>
                <w:rFonts w:ascii="宋体" w:eastAsia="宋体" w:hint="eastAsia"/>
                <w:sz w:val="21"/>
              </w:rPr>
              <w:t>期末持债数量（元）</w:t>
            </w:r>
          </w:p>
        </w:tc>
        <w:tc>
          <w:tcPr>
            <w:tcW w:w="1568" w:type="dxa"/>
            <w:tcBorders>
              <w:top w:val="single" w:sz="4" w:space="0" w:color="000000"/>
              <w:left w:val="single" w:sz="4" w:space="0" w:color="000000"/>
              <w:bottom w:val="single" w:sz="4" w:space="0" w:color="000000"/>
            </w:tcBorders>
            <w:shd w:val="clear" w:color="auto" w:fill="EDEBE0"/>
          </w:tcPr>
          <w:p>
            <w:pPr>
              <w:pStyle w:val="TableParagraph"/>
              <w:spacing w:before="23"/>
              <w:ind w:left="212"/>
              <w:rPr>
                <w:sz w:val="21"/>
              </w:rPr>
            </w:pPr>
            <w:r>
              <w:rPr>
                <w:rFonts w:ascii="宋体" w:eastAsia="宋体" w:hint="eastAsia"/>
                <w:sz w:val="21"/>
              </w:rPr>
              <w:t>持有比例</w:t>
            </w:r>
            <w:r>
              <w:rPr>
                <w:sz w:val="21"/>
              </w:rPr>
              <w:t>(%)</w:t>
            </w:r>
          </w:p>
        </w:tc>
      </w:tr>
      <w:tr>
        <w:trPr>
          <w:trHeight w:val="311" w:hRule="atLeast"/>
        </w:trPr>
        <w:tc>
          <w:tcPr>
            <w:tcW w:w="5070" w:type="dxa"/>
            <w:gridSpan w:val="2"/>
            <w:tcBorders>
              <w:top w:val="single" w:sz="4" w:space="0" w:color="000000"/>
              <w:right w:val="single" w:sz="4" w:space="0" w:color="000000"/>
            </w:tcBorders>
          </w:tcPr>
          <w:p>
            <w:pPr>
              <w:pStyle w:val="TableParagraph"/>
              <w:spacing w:before="36"/>
              <w:ind w:left="107"/>
              <w:rPr>
                <w:sz w:val="21"/>
              </w:rPr>
            </w:pPr>
            <w:r>
              <w:rPr>
                <w:sz w:val="21"/>
              </w:rPr>
              <w:t>HSBC Nominees (Hong Kong) Limited</w:t>
            </w:r>
          </w:p>
        </w:tc>
        <w:tc>
          <w:tcPr>
            <w:tcW w:w="2413" w:type="dxa"/>
            <w:tcBorders>
              <w:top w:val="single" w:sz="4" w:space="0" w:color="000000"/>
              <w:left w:val="single" w:sz="4" w:space="0" w:color="000000"/>
              <w:right w:val="single" w:sz="4" w:space="0" w:color="000000"/>
            </w:tcBorders>
          </w:tcPr>
          <w:p>
            <w:pPr>
              <w:pStyle w:val="TableParagraph"/>
              <w:spacing w:before="36"/>
              <w:ind w:left="1105"/>
              <w:rPr>
                <w:sz w:val="21"/>
              </w:rPr>
            </w:pPr>
            <w:r>
              <w:rPr>
                <w:sz w:val="21"/>
              </w:rPr>
              <w:t>7,993,000,000</w:t>
            </w:r>
          </w:p>
        </w:tc>
        <w:tc>
          <w:tcPr>
            <w:tcW w:w="1568" w:type="dxa"/>
            <w:tcBorders>
              <w:top w:val="single" w:sz="4" w:space="0" w:color="000000"/>
              <w:left w:val="single" w:sz="4" w:space="0" w:color="000000"/>
            </w:tcBorders>
          </w:tcPr>
          <w:p>
            <w:pPr>
              <w:pStyle w:val="TableParagraph"/>
              <w:spacing w:before="36"/>
              <w:ind w:right="75"/>
              <w:jc w:val="right"/>
              <w:rPr>
                <w:sz w:val="21"/>
              </w:rPr>
            </w:pPr>
            <w:r>
              <w:rPr>
                <w:sz w:val="21"/>
              </w:rPr>
              <w:t>100</w:t>
            </w:r>
          </w:p>
        </w:tc>
      </w:tr>
    </w:tbl>
    <w:p>
      <w:pPr>
        <w:pStyle w:val="BodyText"/>
        <w:spacing w:line="278" w:lineRule="auto" w:before="25"/>
        <w:ind w:left="958" w:right="968" w:firstLine="424"/>
        <w:jc w:val="both"/>
      </w:pPr>
      <w:r>
        <w:rPr>
          <w:spacing w:val="-3"/>
        </w:rPr>
        <w:t>注：</w:t>
      </w:r>
      <w:r>
        <w:rPr>
          <w:spacing w:val="-5"/>
        </w:rPr>
        <w:t>（</w:t>
      </w:r>
      <w:r>
        <w:rPr>
          <w:rFonts w:ascii="Times New Roman" w:eastAsia="Times New Roman"/>
          <w:spacing w:val="-5"/>
        </w:rPr>
        <w:t>1</w:t>
      </w:r>
      <w:r>
        <w:rPr>
          <w:spacing w:val="-5"/>
        </w:rPr>
        <w:t>）</w:t>
      </w:r>
      <w:r>
        <w:rPr>
          <w:spacing w:val="-4"/>
        </w:rPr>
        <w:t>前述期末转债数量的币种为港元；</w:t>
      </w:r>
      <w:r>
        <w:rPr>
          <w:spacing w:val="-5"/>
        </w:rPr>
        <w:t>（</w:t>
      </w:r>
      <w:r>
        <w:rPr>
          <w:rFonts w:ascii="Times New Roman" w:eastAsia="Times New Roman"/>
          <w:spacing w:val="-5"/>
        </w:rPr>
        <w:t>2</w:t>
      </w:r>
      <w:r>
        <w:rPr>
          <w:spacing w:val="-5"/>
        </w:rPr>
        <w:t>）</w:t>
      </w:r>
      <w:r>
        <w:rPr>
          <w:spacing w:val="-18"/>
        </w:rPr>
        <w:t>公司 </w:t>
      </w:r>
      <w:r>
        <w:rPr>
          <w:rFonts w:ascii="Times New Roman" w:eastAsia="Times New Roman"/>
        </w:rPr>
        <w:t>H </w:t>
      </w:r>
      <w:r>
        <w:rPr>
          <w:spacing w:val="7"/>
        </w:rPr>
        <w:t>股可转债由</w:t>
      </w:r>
      <w:r>
        <w:rPr>
          <w:rFonts w:ascii="Times New Roman" w:eastAsia="Times New Roman"/>
        </w:rPr>
        <w:t>HSBC Nominees</w:t>
      </w:r>
      <w:r>
        <w:rPr>
          <w:rFonts w:ascii="Times New Roman" w:eastAsia="Times New Roman"/>
          <w:spacing w:val="2"/>
        </w:rPr>
        <w:t> (</w:t>
      </w:r>
      <w:r>
        <w:rPr>
          <w:rFonts w:ascii="Times New Roman" w:eastAsia="Times New Roman"/>
        </w:rPr>
        <w:t>Hong Kong) Limited </w:t>
      </w:r>
      <w:r>
        <w:rPr>
          <w:spacing w:val="-6"/>
        </w:rPr>
        <w:t>作为唯一法定持有人代持，不代表最终持股人。债券最终持有人信息只存于清算系</w:t>
      </w:r>
      <w:r>
        <w:rPr>
          <w:spacing w:val="-4"/>
        </w:rPr>
        <w:t>统中，没有最终持有人授权，清算系统不能向任何第三方直接提供最终债券持有人的详细名单。</w:t>
      </w:r>
    </w:p>
    <w:p>
      <w:pPr>
        <w:pStyle w:val="Heading4"/>
        <w:spacing w:before="67"/>
        <w:ind w:left="958"/>
      </w:pPr>
      <w:r>
        <w:rPr>
          <w:rFonts w:ascii="Calibri" w:eastAsia="Calibri"/>
        </w:rPr>
        <w:t>(</w:t>
      </w:r>
      <w:r>
        <w:rPr/>
        <w:t>三</w:t>
      </w:r>
      <w:r>
        <w:rPr>
          <w:rFonts w:ascii="Calibri" w:eastAsia="Calibri"/>
        </w:rPr>
        <w:t>) </w:t>
      </w:r>
      <w:r>
        <w:rPr/>
        <w:t>报告期转债变动情况</w:t>
      </w:r>
    </w:p>
    <w:p>
      <w:pPr>
        <w:pStyle w:val="BodyText"/>
        <w:spacing w:before="9"/>
        <w:rPr>
          <w:rFonts w:ascii="Microsoft JhengHei"/>
          <w:b/>
          <w:sz w:val="11"/>
        </w:rPr>
      </w:pPr>
    </w:p>
    <w:p>
      <w:pPr>
        <w:pStyle w:val="BodyText"/>
        <w:ind w:left="1382"/>
      </w:pPr>
      <w:r>
        <w:rPr/>
        <w:t>□适用 √不适用  </w:t>
      </w:r>
    </w:p>
    <w:p>
      <w:pPr>
        <w:pStyle w:val="BodyText"/>
        <w:rPr>
          <w:sz w:val="20"/>
        </w:rPr>
      </w:pPr>
    </w:p>
    <w:p>
      <w:pPr>
        <w:pStyle w:val="BodyText"/>
        <w:spacing w:before="6"/>
        <w:rPr>
          <w:sz w:val="26"/>
        </w:rPr>
      </w:pPr>
    </w:p>
    <w:p>
      <w:pPr>
        <w:pStyle w:val="BodyText"/>
        <w:spacing w:before="71"/>
        <w:ind w:left="958"/>
      </w:pPr>
      <w:r>
        <w:rPr/>
        <w:t>报告期转债累计转股情况 </w:t>
      </w:r>
    </w:p>
    <w:p>
      <w:pPr>
        <w:pStyle w:val="BodyText"/>
        <w:spacing w:before="7"/>
        <w:rPr>
          <w:sz w:val="15"/>
        </w:rPr>
      </w:pPr>
    </w:p>
    <w:p>
      <w:pPr>
        <w:pStyle w:val="BodyText"/>
        <w:spacing w:before="1"/>
        <w:ind w:left="1382"/>
      </w:pPr>
      <w:r>
        <w:rPr/>
        <w:t>□适用 √不适用  </w:t>
      </w:r>
    </w:p>
    <w:p>
      <w:pPr>
        <w:pStyle w:val="BodyText"/>
        <w:rPr>
          <w:sz w:val="20"/>
        </w:rPr>
      </w:pPr>
    </w:p>
    <w:p>
      <w:pPr>
        <w:pStyle w:val="BodyText"/>
        <w:rPr>
          <w:sz w:val="20"/>
        </w:rPr>
      </w:pPr>
    </w:p>
    <w:p>
      <w:pPr>
        <w:pStyle w:val="Heading4"/>
        <w:spacing w:before="145"/>
        <w:ind w:left="958"/>
      </w:pPr>
      <w:r>
        <w:rPr>
          <w:rFonts w:ascii="Calibri" w:eastAsia="Calibri"/>
        </w:rPr>
        <w:t>(</w:t>
      </w:r>
      <w:r>
        <w:rPr/>
        <w:t>四</w:t>
      </w:r>
      <w:r>
        <w:rPr>
          <w:rFonts w:ascii="Calibri" w:eastAsia="Calibri"/>
        </w:rPr>
        <w:t>) </w:t>
      </w:r>
      <w:r>
        <w:rPr/>
        <w:t>转股价格历次调整情况</w:t>
      </w:r>
    </w:p>
    <w:p>
      <w:pPr>
        <w:pStyle w:val="BodyText"/>
        <w:spacing w:before="8"/>
        <w:rPr>
          <w:rFonts w:ascii="Microsoft JhengHei"/>
          <w:b/>
          <w:sz w:val="11"/>
        </w:rPr>
      </w:pPr>
    </w:p>
    <w:p>
      <w:pPr>
        <w:pStyle w:val="BodyText"/>
        <w:spacing w:before="1"/>
        <w:ind w:left="1382"/>
      </w:pPr>
      <w:r>
        <w:rPr/>
        <w:t>□适用 √不适用  </w:t>
      </w:r>
    </w:p>
    <w:p>
      <w:pPr>
        <w:pStyle w:val="BodyText"/>
        <w:rPr>
          <w:sz w:val="20"/>
        </w:rPr>
      </w:pPr>
    </w:p>
    <w:p>
      <w:pPr>
        <w:pStyle w:val="Heading4"/>
        <w:spacing w:before="168"/>
        <w:ind w:left="958"/>
      </w:pPr>
      <w:r>
        <w:rPr>
          <w:rFonts w:ascii="Calibri" w:eastAsia="Calibri"/>
        </w:rPr>
        <w:t>(</w:t>
      </w:r>
      <w:r>
        <w:rPr/>
        <w:t>五</w:t>
      </w:r>
      <w:r>
        <w:rPr>
          <w:rFonts w:ascii="Calibri" w:eastAsia="Calibri"/>
        </w:rPr>
        <w:t>) </w:t>
      </w:r>
      <w:r>
        <w:rPr/>
        <w:t>公司的负债情况、资信变化情况及在未来年度还债的现金安排</w:t>
      </w:r>
    </w:p>
    <w:p>
      <w:pPr>
        <w:pStyle w:val="BodyText"/>
        <w:spacing w:before="55"/>
        <w:ind w:left="1382"/>
      </w:pPr>
      <w:r>
        <w:rPr/>
        <w:t>√适用 □不适用  </w:t>
      </w:r>
    </w:p>
    <w:p>
      <w:pPr>
        <w:pStyle w:val="BodyText"/>
        <w:spacing w:before="120"/>
        <w:ind w:left="1382"/>
      </w:pPr>
      <w:r>
        <w:rPr/>
        <w:t>报告期末，公司负债合计 </w:t>
      </w:r>
      <w:r>
        <w:rPr>
          <w:rFonts w:ascii="Times New Roman" w:eastAsia="Times New Roman"/>
        </w:rPr>
        <w:t>13,534,848.87 </w:t>
      </w:r>
      <w:r>
        <w:rPr/>
        <w:t>万元，其中流动负债 </w:t>
      </w:r>
      <w:r>
        <w:rPr>
          <w:rFonts w:ascii="Times New Roman" w:eastAsia="Times New Roman"/>
        </w:rPr>
        <w:t>10,939,285.03 </w:t>
      </w:r>
      <w:r>
        <w:rPr/>
        <w:t>万元，非流动负债</w:t>
      </w:r>
    </w:p>
    <w:p>
      <w:pPr>
        <w:pStyle w:val="BodyText"/>
        <w:spacing w:before="7"/>
        <w:rPr>
          <w:sz w:val="15"/>
        </w:rPr>
      </w:pPr>
    </w:p>
    <w:p>
      <w:pPr>
        <w:pStyle w:val="BodyText"/>
        <w:ind w:left="958"/>
      </w:pPr>
      <w:r>
        <w:rPr>
          <w:rFonts w:ascii="Times New Roman" w:eastAsia="Times New Roman"/>
        </w:rPr>
        <w:t>2,595,563.84 </w:t>
      </w:r>
      <w:r>
        <w:rPr/>
        <w:t>万元。 </w:t>
      </w:r>
    </w:p>
    <w:p>
      <w:pPr>
        <w:pStyle w:val="BodyText"/>
        <w:spacing w:before="7"/>
        <w:rPr>
          <w:sz w:val="15"/>
        </w:rPr>
      </w:pPr>
    </w:p>
    <w:p>
      <w:pPr>
        <w:pStyle w:val="BodyText"/>
        <w:spacing w:line="417" w:lineRule="auto"/>
        <w:ind w:left="958" w:right="973" w:firstLine="424"/>
      </w:pPr>
      <w:r>
        <w:rPr/>
        <w:t>公司各方面经营情况稳定，资产结构合理，资信情况良好，可为未来年度支付可转换公司债券利息、偿付债券提供稳定、充足的运营资金。 </w:t>
      </w:r>
    </w:p>
    <w:p>
      <w:pPr>
        <w:pStyle w:val="Heading4"/>
        <w:spacing w:line="300" w:lineRule="exact"/>
        <w:ind w:left="958"/>
      </w:pPr>
      <w:r>
        <w:rPr>
          <w:rFonts w:ascii="Calibri" w:eastAsia="Calibri"/>
        </w:rPr>
        <w:t>(</w:t>
      </w:r>
      <w:r>
        <w:rPr/>
        <w:t>六</w:t>
      </w:r>
      <w:r>
        <w:rPr>
          <w:rFonts w:ascii="Calibri" w:eastAsia="Calibri"/>
          <w:spacing w:val="20"/>
        </w:rPr>
        <w:t>) </w:t>
      </w:r>
      <w:r>
        <w:rPr/>
        <w:t>转债其他情况说明</w:t>
      </w:r>
    </w:p>
    <w:p>
      <w:pPr>
        <w:pStyle w:val="BodyText"/>
        <w:spacing w:before="55"/>
        <w:ind w:left="1382"/>
      </w:pPr>
      <w:r>
        <w:rPr>
          <w:spacing w:val="-2"/>
        </w:rPr>
        <w:t>□适用  √不适用</w:t>
      </w:r>
      <w:r>
        <w:rPr>
          <w:spacing w:val="-3"/>
        </w:rPr>
        <w:t> </w:t>
      </w:r>
      <w:r>
        <w:rPr/>
        <w:t> </w:t>
      </w:r>
    </w:p>
    <w:p>
      <w:pPr>
        <w:spacing w:after="0"/>
        <w:sectPr>
          <w:pgSz w:w="11910" w:h="16840"/>
          <w:pgMar w:header="874" w:footer="1214" w:top="1120" w:bottom="1400" w:left="840" w:right="300"/>
        </w:sectPr>
      </w:pPr>
    </w:p>
    <w:p>
      <w:pPr>
        <w:spacing w:before="70"/>
        <w:ind w:left="0" w:right="23" w:firstLine="0"/>
        <w:jc w:val="center"/>
        <w:rPr>
          <w:sz w:val="18"/>
        </w:rPr>
      </w:pPr>
      <w:r>
        <w:rPr/>
        <w:pict>
          <v:shape style="position:absolute;margin-left:70.559998pt;margin-top:16.579981pt;width:695.65pt;height:.1pt;mso-position-horizontal-relative:page;mso-position-vertical-relative:paragraph;z-index:-251656192;mso-wrap-distance-left:0;mso-wrap-distance-right:0" coordorigin="1411,332" coordsize="13913,0" path="m1411,332l15324,332e" filled="false" stroked="true" strokeweight=".72pt" strokecolor="#000000">
            <v:path arrowok="t"/>
            <v:stroke dashstyle="solid"/>
            <w10:wrap type="topAndBottom"/>
          </v:shape>
        </w:pict>
      </w:r>
      <w:r>
        <w:rPr>
          <w:sz w:val="18"/>
        </w:rPr>
        <w:t>海尔智家股份有限公司 </w:t>
      </w:r>
      <w:r>
        <w:rPr>
          <w:rFonts w:ascii="Times New Roman" w:eastAsia="Times New Roman"/>
          <w:sz w:val="18"/>
        </w:rPr>
        <w:t>2020 </w:t>
      </w:r>
      <w:r>
        <w:rPr>
          <w:sz w:val="18"/>
        </w:rPr>
        <w:t>年年度报告</w:t>
      </w:r>
    </w:p>
    <w:p>
      <w:pPr>
        <w:pStyle w:val="BodyText"/>
        <w:rPr>
          <w:sz w:val="20"/>
        </w:rPr>
      </w:pPr>
    </w:p>
    <w:p>
      <w:pPr>
        <w:pStyle w:val="BodyText"/>
        <w:rPr>
          <w:sz w:val="20"/>
        </w:rPr>
      </w:pPr>
    </w:p>
    <w:p>
      <w:pPr>
        <w:pStyle w:val="BodyText"/>
        <w:spacing w:before="9"/>
        <w:rPr>
          <w:sz w:val="15"/>
        </w:rPr>
      </w:pPr>
    </w:p>
    <w:p>
      <w:pPr>
        <w:pStyle w:val="Heading1"/>
        <w:tabs>
          <w:tab w:pos="1259" w:val="left" w:leader="none"/>
        </w:tabs>
        <w:ind w:right="14"/>
      </w:pPr>
      <w:bookmarkStart w:name="_bookmark6" w:id="9"/>
      <w:bookmarkEnd w:id="9"/>
      <w:r>
        <w:rPr>
          <w:b w:val="0"/>
        </w:rPr>
      </w:r>
      <w:r>
        <w:rPr/>
        <w:t>第六节</w:t>
        <w:tab/>
        <w:t>普通股股份变动及股东情况</w:t>
      </w:r>
    </w:p>
    <w:p>
      <w:pPr>
        <w:pStyle w:val="BodyText"/>
        <w:spacing w:before="10"/>
        <w:rPr>
          <w:rFonts w:ascii="Microsoft JhengHei"/>
          <w:b/>
          <w:sz w:val="24"/>
        </w:rPr>
      </w:pPr>
    </w:p>
    <w:p>
      <w:pPr>
        <w:pStyle w:val="Heading4"/>
        <w:spacing w:line="379" w:lineRule="exact" w:before="3"/>
        <w:ind w:left="240"/>
      </w:pPr>
      <w:r>
        <w:rPr/>
        <w:t>一、 普通股股本变动情况</w:t>
      </w:r>
    </w:p>
    <w:p>
      <w:pPr>
        <w:pStyle w:val="Heading4"/>
        <w:tabs>
          <w:tab w:pos="806" w:val="left" w:leader="none"/>
        </w:tabs>
        <w:spacing w:line="372" w:lineRule="exact"/>
        <w:ind w:left="240"/>
      </w:pPr>
      <w:r>
        <w:rPr>
          <w:rFonts w:ascii="Times New Roman" w:eastAsia="Times New Roman"/>
        </w:rPr>
        <w:t>(</w:t>
      </w:r>
      <w:r>
        <w:rPr/>
        <w:t>一</w:t>
      </w:r>
      <w:r>
        <w:rPr>
          <w:rFonts w:ascii="Times New Roman" w:eastAsia="Times New Roman"/>
        </w:rPr>
        <w:t>)</w:t>
        <w:tab/>
      </w:r>
      <w:r>
        <w:rPr/>
        <w:t>普通股股份变动情</w:t>
      </w:r>
      <w:r>
        <w:rPr>
          <w:spacing w:val="-3"/>
        </w:rPr>
        <w:t>况</w:t>
      </w:r>
      <w:r>
        <w:rPr/>
        <w:t>表</w:t>
      </w:r>
    </w:p>
    <w:p>
      <w:pPr>
        <w:pStyle w:val="Heading4"/>
        <w:spacing w:line="379" w:lineRule="exact"/>
        <w:ind w:left="240"/>
      </w:pPr>
      <w:r>
        <w:rPr>
          <w:rFonts w:ascii="Times New Roman" w:eastAsia="Times New Roman"/>
        </w:rPr>
        <w:t>1</w:t>
      </w:r>
      <w:r>
        <w:rPr/>
        <w:t>、 普通股股份变动情况表</w:t>
      </w:r>
    </w:p>
    <w:p>
      <w:pPr>
        <w:pStyle w:val="BodyText"/>
        <w:spacing w:before="55" w:after="20"/>
        <w:ind w:right="253"/>
        <w:jc w:val="right"/>
      </w:pPr>
      <w:r>
        <w:rPr/>
        <w:t>单位：股</w:t>
      </w:r>
    </w:p>
    <w:tbl>
      <w:tblPr>
        <w:tblW w:w="0" w:type="auto"/>
        <w:jc w:val="left"/>
        <w:tblInd w:w="1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768"/>
        <w:gridCol w:w="1423"/>
        <w:gridCol w:w="794"/>
        <w:gridCol w:w="1423"/>
        <w:gridCol w:w="684"/>
        <w:gridCol w:w="1576"/>
        <w:gridCol w:w="777"/>
        <w:gridCol w:w="1423"/>
        <w:gridCol w:w="1425"/>
        <w:gridCol w:w="791"/>
      </w:tblGrid>
      <w:tr>
        <w:trPr>
          <w:trHeight w:val="311" w:hRule="atLeast"/>
        </w:trPr>
        <w:tc>
          <w:tcPr>
            <w:tcW w:w="3768" w:type="dxa"/>
            <w:vMerge w:val="restart"/>
            <w:tcBorders>
              <w:bottom w:val="single" w:sz="4" w:space="0" w:color="000000"/>
              <w:right w:val="single" w:sz="4" w:space="0" w:color="000000"/>
            </w:tcBorders>
            <w:shd w:val="clear" w:color="auto" w:fill="F1F1F1"/>
          </w:tcPr>
          <w:p>
            <w:pPr>
              <w:pStyle w:val="TableParagraph"/>
              <w:rPr>
                <w:sz w:val="20"/>
              </w:rPr>
            </w:pPr>
          </w:p>
        </w:tc>
        <w:tc>
          <w:tcPr>
            <w:tcW w:w="2217" w:type="dxa"/>
            <w:gridSpan w:val="2"/>
            <w:tcBorders>
              <w:left w:val="single" w:sz="4" w:space="0" w:color="000000"/>
              <w:bottom w:val="single" w:sz="4" w:space="0" w:color="000000"/>
              <w:right w:val="single" w:sz="4" w:space="0" w:color="000000"/>
            </w:tcBorders>
            <w:shd w:val="clear" w:color="auto" w:fill="F1F1F1"/>
          </w:tcPr>
          <w:p>
            <w:pPr>
              <w:pStyle w:val="TableParagraph"/>
              <w:spacing w:before="22"/>
              <w:ind w:left="593"/>
              <w:rPr>
                <w:rFonts w:ascii="宋体" w:eastAsia="宋体" w:hint="eastAsia"/>
                <w:sz w:val="21"/>
              </w:rPr>
            </w:pPr>
            <w:r>
              <w:rPr>
                <w:rFonts w:ascii="宋体" w:eastAsia="宋体" w:hint="eastAsia"/>
                <w:sz w:val="21"/>
              </w:rPr>
              <w:t>本次变动前</w:t>
            </w:r>
          </w:p>
        </w:tc>
        <w:tc>
          <w:tcPr>
            <w:tcW w:w="5883" w:type="dxa"/>
            <w:gridSpan w:val="5"/>
            <w:tcBorders>
              <w:left w:val="single" w:sz="4" w:space="0" w:color="000000"/>
              <w:bottom w:val="single" w:sz="4" w:space="0" w:color="000000"/>
              <w:right w:val="single" w:sz="4" w:space="0" w:color="000000"/>
            </w:tcBorders>
            <w:shd w:val="clear" w:color="auto" w:fill="F1F1F1"/>
          </w:tcPr>
          <w:p>
            <w:pPr>
              <w:pStyle w:val="TableParagraph"/>
              <w:spacing w:before="22"/>
              <w:ind w:left="1799"/>
              <w:rPr>
                <w:rFonts w:ascii="宋体" w:eastAsia="宋体" w:hint="eastAsia"/>
                <w:sz w:val="21"/>
              </w:rPr>
            </w:pPr>
            <w:r>
              <w:rPr>
                <w:rFonts w:ascii="宋体" w:eastAsia="宋体" w:hint="eastAsia"/>
                <w:sz w:val="21"/>
              </w:rPr>
              <w:t>本次变动增减（＋，－）</w:t>
            </w:r>
          </w:p>
        </w:tc>
        <w:tc>
          <w:tcPr>
            <w:tcW w:w="2216" w:type="dxa"/>
            <w:gridSpan w:val="2"/>
            <w:tcBorders>
              <w:left w:val="single" w:sz="4" w:space="0" w:color="000000"/>
              <w:bottom w:val="single" w:sz="4" w:space="0" w:color="000000"/>
            </w:tcBorders>
            <w:shd w:val="clear" w:color="auto" w:fill="F1F1F1"/>
          </w:tcPr>
          <w:p>
            <w:pPr>
              <w:pStyle w:val="TableParagraph"/>
              <w:spacing w:before="22"/>
              <w:ind w:left="597"/>
              <w:rPr>
                <w:rFonts w:ascii="宋体" w:eastAsia="宋体" w:hint="eastAsia"/>
                <w:sz w:val="21"/>
              </w:rPr>
            </w:pPr>
            <w:r>
              <w:rPr>
                <w:rFonts w:ascii="宋体" w:eastAsia="宋体" w:hint="eastAsia"/>
                <w:sz w:val="21"/>
              </w:rPr>
              <w:t>本次变动后</w:t>
            </w:r>
          </w:p>
        </w:tc>
      </w:tr>
      <w:tr>
        <w:trPr>
          <w:trHeight w:val="623" w:hRule="atLeast"/>
        </w:trPr>
        <w:tc>
          <w:tcPr>
            <w:tcW w:w="3768" w:type="dxa"/>
            <w:vMerge/>
            <w:tcBorders>
              <w:top w:val="nil"/>
              <w:bottom w:val="single" w:sz="4" w:space="0" w:color="000000"/>
              <w:right w:val="single" w:sz="4" w:space="0" w:color="000000"/>
            </w:tcBorders>
            <w:shd w:val="clear" w:color="auto" w:fill="F1F1F1"/>
          </w:tcPr>
          <w:p>
            <w:pPr>
              <w:rPr>
                <w:sz w:val="2"/>
                <w:szCs w:val="2"/>
              </w:rPr>
            </w:pPr>
          </w:p>
        </w:tc>
        <w:tc>
          <w:tcPr>
            <w:tcW w:w="1423"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before="178"/>
              <w:ind w:left="96" w:right="63"/>
              <w:jc w:val="center"/>
              <w:rPr>
                <w:rFonts w:ascii="宋体" w:eastAsia="宋体" w:hint="eastAsia"/>
                <w:sz w:val="21"/>
              </w:rPr>
            </w:pPr>
            <w:r>
              <w:rPr>
                <w:rFonts w:ascii="宋体" w:eastAsia="宋体" w:hint="eastAsia"/>
                <w:sz w:val="21"/>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before="22"/>
              <w:ind w:left="197"/>
              <w:rPr>
                <w:rFonts w:ascii="宋体" w:eastAsia="宋体" w:hint="eastAsia"/>
                <w:sz w:val="21"/>
              </w:rPr>
            </w:pPr>
            <w:r>
              <w:rPr>
                <w:rFonts w:ascii="宋体" w:eastAsia="宋体" w:hint="eastAsia"/>
                <w:sz w:val="21"/>
              </w:rPr>
              <w:t>比例</w:t>
            </w:r>
          </w:p>
          <w:p>
            <w:pPr>
              <w:pStyle w:val="TableParagraph"/>
              <w:spacing w:before="55"/>
              <w:ind w:left="250"/>
              <w:rPr>
                <w:sz w:val="21"/>
              </w:rPr>
            </w:pPr>
            <w:r>
              <w:rPr>
                <w:sz w:val="21"/>
              </w:rPr>
              <w:t>(%)</w:t>
            </w:r>
          </w:p>
        </w:tc>
        <w:tc>
          <w:tcPr>
            <w:tcW w:w="1423"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before="178"/>
              <w:ind w:left="95" w:right="63"/>
              <w:jc w:val="center"/>
              <w:rPr>
                <w:rFonts w:ascii="宋体" w:eastAsia="宋体" w:hint="eastAsia"/>
                <w:sz w:val="21"/>
              </w:rPr>
            </w:pPr>
            <w:r>
              <w:rPr>
                <w:rFonts w:ascii="宋体" w:eastAsia="宋体" w:hint="eastAsia"/>
                <w:sz w:val="21"/>
              </w:rPr>
              <w:t>发行新股</w:t>
            </w:r>
          </w:p>
        </w:tc>
        <w:tc>
          <w:tcPr>
            <w:tcW w:w="684"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before="178"/>
              <w:ind w:left="143"/>
              <w:rPr>
                <w:rFonts w:ascii="宋体" w:eastAsia="宋体" w:hint="eastAsia"/>
                <w:sz w:val="21"/>
              </w:rPr>
            </w:pPr>
            <w:r>
              <w:rPr>
                <w:rFonts w:ascii="宋体" w:eastAsia="宋体" w:hint="eastAsia"/>
                <w:sz w:val="21"/>
              </w:rPr>
              <w:t>送股</w:t>
            </w:r>
          </w:p>
        </w:tc>
        <w:tc>
          <w:tcPr>
            <w:tcW w:w="1576"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before="178"/>
              <w:ind w:left="273"/>
              <w:rPr>
                <w:rFonts w:ascii="宋体" w:eastAsia="宋体" w:hint="eastAsia"/>
                <w:sz w:val="21"/>
              </w:rPr>
            </w:pPr>
            <w:r>
              <w:rPr>
                <w:rFonts w:ascii="宋体" w:eastAsia="宋体" w:hint="eastAsia"/>
                <w:sz w:val="21"/>
              </w:rPr>
              <w:t>公积金转股</w:t>
            </w:r>
          </w:p>
        </w:tc>
        <w:tc>
          <w:tcPr>
            <w:tcW w:w="777"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before="178"/>
              <w:ind w:left="190"/>
              <w:rPr>
                <w:rFonts w:ascii="宋体" w:eastAsia="宋体" w:hint="eastAsia"/>
                <w:sz w:val="21"/>
              </w:rPr>
            </w:pPr>
            <w:r>
              <w:rPr>
                <w:rFonts w:ascii="宋体" w:eastAsia="宋体" w:hint="eastAsia"/>
                <w:sz w:val="21"/>
              </w:rPr>
              <w:t>其他</w:t>
            </w:r>
          </w:p>
        </w:tc>
        <w:tc>
          <w:tcPr>
            <w:tcW w:w="1423"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before="178"/>
              <w:ind w:left="99" w:right="61"/>
              <w:jc w:val="center"/>
              <w:rPr>
                <w:rFonts w:ascii="宋体" w:eastAsia="宋体" w:hint="eastAsia"/>
                <w:sz w:val="21"/>
              </w:rPr>
            </w:pPr>
            <w:r>
              <w:rPr>
                <w:rFonts w:ascii="宋体" w:eastAsia="宋体" w:hint="eastAsia"/>
                <w:sz w:val="21"/>
              </w:rPr>
              <w:t>小计</w:t>
            </w:r>
          </w:p>
        </w:tc>
        <w:tc>
          <w:tcPr>
            <w:tcW w:w="1425"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before="178"/>
              <w:ind w:left="102" w:right="64"/>
              <w:jc w:val="center"/>
              <w:rPr>
                <w:rFonts w:ascii="宋体" w:eastAsia="宋体" w:hint="eastAsia"/>
                <w:sz w:val="21"/>
              </w:rPr>
            </w:pPr>
            <w:r>
              <w:rPr>
                <w:rFonts w:ascii="宋体" w:eastAsia="宋体" w:hint="eastAsia"/>
                <w:sz w:val="21"/>
              </w:rPr>
              <w:t>数量</w:t>
            </w:r>
          </w:p>
        </w:tc>
        <w:tc>
          <w:tcPr>
            <w:tcW w:w="791" w:type="dxa"/>
            <w:tcBorders>
              <w:top w:val="single" w:sz="4" w:space="0" w:color="000000"/>
              <w:left w:val="single" w:sz="4" w:space="0" w:color="000000"/>
              <w:bottom w:val="single" w:sz="4" w:space="0" w:color="000000"/>
            </w:tcBorders>
            <w:shd w:val="clear" w:color="auto" w:fill="F1F1F1"/>
          </w:tcPr>
          <w:p>
            <w:pPr>
              <w:pStyle w:val="TableParagraph"/>
              <w:spacing w:before="22"/>
              <w:ind w:left="201"/>
              <w:rPr>
                <w:rFonts w:ascii="宋体" w:eastAsia="宋体" w:hint="eastAsia"/>
                <w:sz w:val="21"/>
              </w:rPr>
            </w:pPr>
            <w:r>
              <w:rPr>
                <w:rFonts w:ascii="宋体" w:eastAsia="宋体" w:hint="eastAsia"/>
                <w:sz w:val="21"/>
              </w:rPr>
              <w:t>比例</w:t>
            </w:r>
          </w:p>
          <w:p>
            <w:pPr>
              <w:pStyle w:val="TableParagraph"/>
              <w:spacing w:before="55"/>
              <w:ind w:left="254"/>
              <w:rPr>
                <w:sz w:val="21"/>
              </w:rPr>
            </w:pPr>
            <w:r>
              <w:rPr>
                <w:sz w:val="21"/>
              </w:rPr>
              <w:t>(%)</w:t>
            </w:r>
          </w:p>
        </w:tc>
      </w:tr>
      <w:tr>
        <w:trPr>
          <w:trHeight w:val="313" w:hRule="atLeast"/>
        </w:trPr>
        <w:tc>
          <w:tcPr>
            <w:tcW w:w="3768" w:type="dxa"/>
            <w:tcBorders>
              <w:top w:val="single" w:sz="4" w:space="0" w:color="000000"/>
              <w:bottom w:val="single" w:sz="4" w:space="0" w:color="000000"/>
              <w:right w:val="single" w:sz="4" w:space="0" w:color="000000"/>
            </w:tcBorders>
          </w:tcPr>
          <w:p>
            <w:pPr>
              <w:pStyle w:val="TableParagraph"/>
              <w:spacing w:before="25"/>
              <w:ind w:left="107"/>
              <w:rPr>
                <w:rFonts w:ascii="宋体" w:eastAsia="宋体" w:hint="eastAsia"/>
                <w:sz w:val="21"/>
              </w:rPr>
            </w:pPr>
            <w:r>
              <w:rPr>
                <w:rFonts w:ascii="宋体" w:eastAsia="宋体" w:hint="eastAsia"/>
                <w:sz w:val="21"/>
              </w:rPr>
              <w:t>一、有限售条件股份</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7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7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91" w:type="dxa"/>
            <w:tcBorders>
              <w:top w:val="single" w:sz="4" w:space="0" w:color="000000"/>
              <w:left w:val="single" w:sz="4" w:space="0" w:color="000000"/>
              <w:bottom w:val="single" w:sz="4" w:space="0" w:color="000000"/>
            </w:tcBorders>
          </w:tcPr>
          <w:p>
            <w:pPr>
              <w:pStyle w:val="TableParagraph"/>
              <w:rPr>
                <w:sz w:val="20"/>
              </w:rPr>
            </w:pPr>
          </w:p>
        </w:tc>
      </w:tr>
      <w:tr>
        <w:trPr>
          <w:trHeight w:val="311" w:hRule="atLeast"/>
        </w:trPr>
        <w:tc>
          <w:tcPr>
            <w:tcW w:w="3768" w:type="dxa"/>
            <w:tcBorders>
              <w:top w:val="single" w:sz="4" w:space="0" w:color="000000"/>
              <w:bottom w:val="single" w:sz="4" w:space="0" w:color="000000"/>
              <w:right w:val="single" w:sz="4" w:space="0" w:color="000000"/>
            </w:tcBorders>
          </w:tcPr>
          <w:p>
            <w:pPr>
              <w:pStyle w:val="TableParagraph"/>
              <w:spacing w:before="22"/>
              <w:ind w:left="107"/>
              <w:rPr>
                <w:rFonts w:ascii="宋体" w:eastAsia="宋体" w:hint="eastAsia"/>
                <w:sz w:val="21"/>
              </w:rPr>
            </w:pPr>
            <w:r>
              <w:rPr>
                <w:sz w:val="21"/>
              </w:rPr>
              <w:t>1</w:t>
            </w:r>
            <w:r>
              <w:rPr>
                <w:rFonts w:ascii="宋体" w:eastAsia="宋体" w:hint="eastAsia"/>
                <w:sz w:val="21"/>
              </w:rPr>
              <w:t>、国家持股</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7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7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91" w:type="dxa"/>
            <w:tcBorders>
              <w:top w:val="single" w:sz="4" w:space="0" w:color="000000"/>
              <w:left w:val="single" w:sz="4" w:space="0" w:color="000000"/>
              <w:bottom w:val="single" w:sz="4" w:space="0" w:color="000000"/>
            </w:tcBorders>
          </w:tcPr>
          <w:p>
            <w:pPr>
              <w:pStyle w:val="TableParagraph"/>
              <w:rPr>
                <w:sz w:val="20"/>
              </w:rPr>
            </w:pPr>
          </w:p>
        </w:tc>
      </w:tr>
      <w:tr>
        <w:trPr>
          <w:trHeight w:val="311" w:hRule="atLeast"/>
        </w:trPr>
        <w:tc>
          <w:tcPr>
            <w:tcW w:w="3768" w:type="dxa"/>
            <w:tcBorders>
              <w:top w:val="single" w:sz="4" w:space="0" w:color="000000"/>
              <w:bottom w:val="single" w:sz="4" w:space="0" w:color="000000"/>
              <w:right w:val="single" w:sz="4" w:space="0" w:color="000000"/>
            </w:tcBorders>
          </w:tcPr>
          <w:p>
            <w:pPr>
              <w:pStyle w:val="TableParagraph"/>
              <w:spacing w:before="22"/>
              <w:ind w:left="107"/>
              <w:rPr>
                <w:rFonts w:ascii="宋体" w:eastAsia="宋体" w:hint="eastAsia"/>
                <w:sz w:val="21"/>
              </w:rPr>
            </w:pPr>
            <w:r>
              <w:rPr>
                <w:sz w:val="21"/>
              </w:rPr>
              <w:t>2</w:t>
            </w:r>
            <w:r>
              <w:rPr>
                <w:rFonts w:ascii="宋体" w:eastAsia="宋体" w:hint="eastAsia"/>
                <w:sz w:val="21"/>
              </w:rPr>
              <w:t>、国有法人持股</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7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7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91" w:type="dxa"/>
            <w:tcBorders>
              <w:top w:val="single" w:sz="4" w:space="0" w:color="000000"/>
              <w:left w:val="single" w:sz="4" w:space="0" w:color="000000"/>
              <w:bottom w:val="single" w:sz="4" w:space="0" w:color="000000"/>
            </w:tcBorders>
          </w:tcPr>
          <w:p>
            <w:pPr>
              <w:pStyle w:val="TableParagraph"/>
              <w:rPr>
                <w:sz w:val="20"/>
              </w:rPr>
            </w:pPr>
          </w:p>
        </w:tc>
      </w:tr>
      <w:tr>
        <w:trPr>
          <w:trHeight w:val="312" w:hRule="atLeast"/>
        </w:trPr>
        <w:tc>
          <w:tcPr>
            <w:tcW w:w="3768" w:type="dxa"/>
            <w:tcBorders>
              <w:top w:val="single" w:sz="4" w:space="0" w:color="000000"/>
              <w:bottom w:val="single" w:sz="4" w:space="0" w:color="000000"/>
              <w:right w:val="single" w:sz="4" w:space="0" w:color="000000"/>
            </w:tcBorders>
          </w:tcPr>
          <w:p>
            <w:pPr>
              <w:pStyle w:val="TableParagraph"/>
              <w:spacing w:before="23"/>
              <w:ind w:left="107"/>
              <w:rPr>
                <w:rFonts w:ascii="宋体" w:eastAsia="宋体" w:hint="eastAsia"/>
                <w:sz w:val="21"/>
              </w:rPr>
            </w:pPr>
            <w:r>
              <w:rPr>
                <w:sz w:val="21"/>
              </w:rPr>
              <w:t>3</w:t>
            </w:r>
            <w:r>
              <w:rPr>
                <w:rFonts w:ascii="宋体" w:eastAsia="宋体" w:hint="eastAsia"/>
                <w:sz w:val="21"/>
              </w:rPr>
              <w:t>、其他内资持股</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7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7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91" w:type="dxa"/>
            <w:tcBorders>
              <w:top w:val="single" w:sz="4" w:space="0" w:color="000000"/>
              <w:left w:val="single" w:sz="4" w:space="0" w:color="000000"/>
              <w:bottom w:val="single" w:sz="4" w:space="0" w:color="000000"/>
            </w:tcBorders>
          </w:tcPr>
          <w:p>
            <w:pPr>
              <w:pStyle w:val="TableParagraph"/>
              <w:rPr>
                <w:sz w:val="20"/>
              </w:rPr>
            </w:pPr>
          </w:p>
        </w:tc>
      </w:tr>
      <w:tr>
        <w:trPr>
          <w:trHeight w:val="311" w:hRule="atLeast"/>
        </w:trPr>
        <w:tc>
          <w:tcPr>
            <w:tcW w:w="3768" w:type="dxa"/>
            <w:tcBorders>
              <w:top w:val="single" w:sz="4" w:space="0" w:color="000000"/>
              <w:bottom w:val="single" w:sz="4" w:space="0" w:color="000000"/>
              <w:right w:val="single" w:sz="4" w:space="0" w:color="000000"/>
            </w:tcBorders>
          </w:tcPr>
          <w:p>
            <w:pPr>
              <w:pStyle w:val="TableParagraph"/>
              <w:spacing w:before="22"/>
              <w:ind w:left="107"/>
              <w:rPr>
                <w:rFonts w:ascii="宋体" w:eastAsia="宋体" w:hint="eastAsia"/>
                <w:sz w:val="21"/>
              </w:rPr>
            </w:pPr>
            <w:r>
              <w:rPr>
                <w:rFonts w:ascii="宋体" w:eastAsia="宋体" w:hint="eastAsia"/>
                <w:sz w:val="21"/>
              </w:rPr>
              <w:t>其中：境内非国有法人持股</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7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7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91" w:type="dxa"/>
            <w:tcBorders>
              <w:top w:val="single" w:sz="4" w:space="0" w:color="000000"/>
              <w:left w:val="single" w:sz="4" w:space="0" w:color="000000"/>
              <w:bottom w:val="single" w:sz="4" w:space="0" w:color="000000"/>
            </w:tcBorders>
          </w:tcPr>
          <w:p>
            <w:pPr>
              <w:pStyle w:val="TableParagraph"/>
              <w:rPr>
                <w:sz w:val="20"/>
              </w:rPr>
            </w:pPr>
          </w:p>
        </w:tc>
      </w:tr>
      <w:tr>
        <w:trPr>
          <w:trHeight w:val="311" w:hRule="atLeast"/>
        </w:trPr>
        <w:tc>
          <w:tcPr>
            <w:tcW w:w="3768" w:type="dxa"/>
            <w:tcBorders>
              <w:top w:val="single" w:sz="4" w:space="0" w:color="000000"/>
              <w:bottom w:val="single" w:sz="4" w:space="0" w:color="000000"/>
              <w:right w:val="single" w:sz="4" w:space="0" w:color="000000"/>
            </w:tcBorders>
          </w:tcPr>
          <w:p>
            <w:pPr>
              <w:pStyle w:val="TableParagraph"/>
              <w:spacing w:before="22"/>
              <w:ind w:left="739"/>
              <w:rPr>
                <w:rFonts w:ascii="宋体" w:eastAsia="宋体" w:hint="eastAsia"/>
                <w:sz w:val="21"/>
              </w:rPr>
            </w:pPr>
            <w:r>
              <w:rPr>
                <w:rFonts w:ascii="宋体" w:eastAsia="宋体" w:hint="eastAsia"/>
                <w:sz w:val="21"/>
              </w:rPr>
              <w:t>境内自然人持股</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7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7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91" w:type="dxa"/>
            <w:tcBorders>
              <w:top w:val="single" w:sz="4" w:space="0" w:color="000000"/>
              <w:left w:val="single" w:sz="4" w:space="0" w:color="000000"/>
              <w:bottom w:val="single" w:sz="4" w:space="0" w:color="000000"/>
            </w:tcBorders>
          </w:tcPr>
          <w:p>
            <w:pPr>
              <w:pStyle w:val="TableParagraph"/>
              <w:rPr>
                <w:sz w:val="20"/>
              </w:rPr>
            </w:pPr>
          </w:p>
        </w:tc>
      </w:tr>
      <w:tr>
        <w:trPr>
          <w:trHeight w:val="313" w:hRule="atLeast"/>
        </w:trPr>
        <w:tc>
          <w:tcPr>
            <w:tcW w:w="3768" w:type="dxa"/>
            <w:tcBorders>
              <w:top w:val="single" w:sz="4" w:space="0" w:color="000000"/>
              <w:bottom w:val="single" w:sz="4" w:space="0" w:color="000000"/>
              <w:right w:val="single" w:sz="4" w:space="0" w:color="000000"/>
            </w:tcBorders>
          </w:tcPr>
          <w:p>
            <w:pPr>
              <w:pStyle w:val="TableParagraph"/>
              <w:spacing w:before="25"/>
              <w:ind w:left="107"/>
              <w:rPr>
                <w:rFonts w:ascii="宋体" w:eastAsia="宋体" w:hint="eastAsia"/>
                <w:sz w:val="21"/>
              </w:rPr>
            </w:pPr>
            <w:r>
              <w:rPr>
                <w:sz w:val="21"/>
              </w:rPr>
              <w:t>4</w:t>
            </w:r>
            <w:r>
              <w:rPr>
                <w:rFonts w:ascii="宋体" w:eastAsia="宋体" w:hint="eastAsia"/>
                <w:sz w:val="21"/>
              </w:rPr>
              <w:t>、外资持股</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7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7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91" w:type="dxa"/>
            <w:tcBorders>
              <w:top w:val="single" w:sz="4" w:space="0" w:color="000000"/>
              <w:left w:val="single" w:sz="4" w:space="0" w:color="000000"/>
              <w:bottom w:val="single" w:sz="4" w:space="0" w:color="000000"/>
            </w:tcBorders>
          </w:tcPr>
          <w:p>
            <w:pPr>
              <w:pStyle w:val="TableParagraph"/>
              <w:rPr>
                <w:sz w:val="20"/>
              </w:rPr>
            </w:pPr>
          </w:p>
        </w:tc>
      </w:tr>
      <w:tr>
        <w:trPr>
          <w:trHeight w:val="311" w:hRule="atLeast"/>
        </w:trPr>
        <w:tc>
          <w:tcPr>
            <w:tcW w:w="3768" w:type="dxa"/>
            <w:tcBorders>
              <w:top w:val="single" w:sz="4" w:space="0" w:color="000000"/>
              <w:bottom w:val="single" w:sz="4" w:space="0" w:color="000000"/>
              <w:right w:val="single" w:sz="4" w:space="0" w:color="000000"/>
            </w:tcBorders>
          </w:tcPr>
          <w:p>
            <w:pPr>
              <w:pStyle w:val="TableParagraph"/>
              <w:spacing w:before="22"/>
              <w:ind w:left="107"/>
              <w:rPr>
                <w:rFonts w:ascii="宋体" w:eastAsia="宋体" w:hint="eastAsia"/>
                <w:sz w:val="21"/>
              </w:rPr>
            </w:pPr>
            <w:r>
              <w:rPr>
                <w:rFonts w:ascii="宋体" w:eastAsia="宋体" w:hint="eastAsia"/>
                <w:sz w:val="21"/>
              </w:rPr>
              <w:t>其中：境外法人持股</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7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7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91" w:type="dxa"/>
            <w:tcBorders>
              <w:top w:val="single" w:sz="4" w:space="0" w:color="000000"/>
              <w:left w:val="single" w:sz="4" w:space="0" w:color="000000"/>
              <w:bottom w:val="single" w:sz="4" w:space="0" w:color="000000"/>
            </w:tcBorders>
          </w:tcPr>
          <w:p>
            <w:pPr>
              <w:pStyle w:val="TableParagraph"/>
              <w:rPr>
                <w:sz w:val="20"/>
              </w:rPr>
            </w:pPr>
          </w:p>
        </w:tc>
      </w:tr>
      <w:tr>
        <w:trPr>
          <w:trHeight w:val="311" w:hRule="atLeast"/>
        </w:trPr>
        <w:tc>
          <w:tcPr>
            <w:tcW w:w="3768" w:type="dxa"/>
            <w:tcBorders>
              <w:top w:val="single" w:sz="4" w:space="0" w:color="000000"/>
              <w:bottom w:val="single" w:sz="4" w:space="0" w:color="000000"/>
              <w:right w:val="single" w:sz="4" w:space="0" w:color="000000"/>
            </w:tcBorders>
          </w:tcPr>
          <w:p>
            <w:pPr>
              <w:pStyle w:val="TableParagraph"/>
              <w:spacing w:before="22"/>
              <w:ind w:left="739"/>
              <w:rPr>
                <w:rFonts w:ascii="宋体" w:eastAsia="宋体" w:hint="eastAsia"/>
                <w:sz w:val="21"/>
              </w:rPr>
            </w:pPr>
            <w:r>
              <w:rPr>
                <w:rFonts w:ascii="宋体" w:eastAsia="宋体" w:hint="eastAsia"/>
                <w:sz w:val="21"/>
              </w:rPr>
              <w:t>境外自然人持股</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7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7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91" w:type="dxa"/>
            <w:tcBorders>
              <w:top w:val="single" w:sz="4" w:space="0" w:color="000000"/>
              <w:left w:val="single" w:sz="4" w:space="0" w:color="000000"/>
              <w:bottom w:val="single" w:sz="4" w:space="0" w:color="000000"/>
            </w:tcBorders>
          </w:tcPr>
          <w:p>
            <w:pPr>
              <w:pStyle w:val="TableParagraph"/>
              <w:rPr>
                <w:sz w:val="20"/>
              </w:rPr>
            </w:pPr>
          </w:p>
        </w:tc>
      </w:tr>
      <w:tr>
        <w:trPr>
          <w:trHeight w:val="311" w:hRule="atLeast"/>
        </w:trPr>
        <w:tc>
          <w:tcPr>
            <w:tcW w:w="3768" w:type="dxa"/>
            <w:tcBorders>
              <w:top w:val="single" w:sz="4" w:space="0" w:color="000000"/>
              <w:bottom w:val="single" w:sz="4" w:space="0" w:color="000000"/>
              <w:right w:val="single" w:sz="4" w:space="0" w:color="000000"/>
            </w:tcBorders>
          </w:tcPr>
          <w:p>
            <w:pPr>
              <w:pStyle w:val="TableParagraph"/>
              <w:spacing w:before="22"/>
              <w:ind w:left="107"/>
              <w:rPr>
                <w:rFonts w:ascii="宋体" w:eastAsia="宋体" w:hint="eastAsia"/>
                <w:sz w:val="21"/>
              </w:rPr>
            </w:pPr>
            <w:r>
              <w:rPr>
                <w:rFonts w:ascii="宋体" w:eastAsia="宋体" w:hint="eastAsia"/>
                <w:sz w:val="21"/>
              </w:rPr>
              <w:t>二、无限售条件流通股份</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34"/>
              <w:ind w:right="83"/>
              <w:jc w:val="right"/>
              <w:rPr>
                <w:sz w:val="21"/>
              </w:rPr>
            </w:pPr>
            <w:r>
              <w:rPr>
                <w:sz w:val="21"/>
              </w:rPr>
              <w:t>6,579,566,627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before="34"/>
              <w:ind w:left="99" w:right="65"/>
              <w:jc w:val="center"/>
              <w:rPr>
                <w:sz w:val="21"/>
              </w:rPr>
            </w:pPr>
            <w:r>
              <w:rPr>
                <w:sz w:val="21"/>
              </w:rPr>
              <w:t>100.00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34"/>
              <w:ind w:left="97" w:right="63"/>
              <w:jc w:val="center"/>
              <w:rPr>
                <w:sz w:val="21"/>
              </w:rPr>
            </w:pPr>
            <w:r>
              <w:rPr>
                <w:sz w:val="21"/>
              </w:rPr>
              <w:t>2,448,279,814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7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7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34"/>
              <w:ind w:left="99" w:right="61"/>
              <w:jc w:val="center"/>
              <w:rPr>
                <w:sz w:val="21"/>
              </w:rPr>
            </w:pPr>
            <w:r>
              <w:rPr>
                <w:sz w:val="21"/>
              </w:rPr>
              <w:t>2,448,279,814</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before="34"/>
              <w:ind w:left="102" w:right="64"/>
              <w:jc w:val="center"/>
              <w:rPr>
                <w:sz w:val="21"/>
              </w:rPr>
            </w:pPr>
            <w:r>
              <w:rPr>
                <w:sz w:val="21"/>
              </w:rPr>
              <w:t>9,027,846,441</w:t>
            </w:r>
          </w:p>
        </w:tc>
        <w:tc>
          <w:tcPr>
            <w:tcW w:w="791" w:type="dxa"/>
            <w:tcBorders>
              <w:top w:val="single" w:sz="4" w:space="0" w:color="000000"/>
              <w:left w:val="single" w:sz="4" w:space="0" w:color="000000"/>
              <w:bottom w:val="single" w:sz="4" w:space="0" w:color="000000"/>
            </w:tcBorders>
          </w:tcPr>
          <w:p>
            <w:pPr>
              <w:pStyle w:val="TableParagraph"/>
              <w:spacing w:before="34"/>
              <w:ind w:right="65"/>
              <w:jc w:val="right"/>
              <w:rPr>
                <w:sz w:val="21"/>
              </w:rPr>
            </w:pPr>
            <w:r>
              <w:rPr>
                <w:sz w:val="21"/>
              </w:rPr>
              <w:t>100.00</w:t>
            </w:r>
          </w:p>
        </w:tc>
      </w:tr>
      <w:tr>
        <w:trPr>
          <w:trHeight w:val="311" w:hRule="atLeast"/>
        </w:trPr>
        <w:tc>
          <w:tcPr>
            <w:tcW w:w="3768" w:type="dxa"/>
            <w:tcBorders>
              <w:top w:val="single" w:sz="4" w:space="0" w:color="000000"/>
              <w:bottom w:val="single" w:sz="4" w:space="0" w:color="000000"/>
              <w:right w:val="single" w:sz="4" w:space="0" w:color="000000"/>
            </w:tcBorders>
          </w:tcPr>
          <w:p>
            <w:pPr>
              <w:pStyle w:val="TableParagraph"/>
              <w:spacing w:before="22"/>
              <w:ind w:left="107"/>
              <w:rPr>
                <w:rFonts w:ascii="宋体" w:eastAsia="宋体" w:hint="eastAsia"/>
                <w:sz w:val="21"/>
              </w:rPr>
            </w:pPr>
            <w:r>
              <w:rPr>
                <w:sz w:val="21"/>
              </w:rPr>
              <w:t>1</w:t>
            </w:r>
            <w:r>
              <w:rPr>
                <w:rFonts w:ascii="宋体" w:eastAsia="宋体" w:hint="eastAsia"/>
                <w:sz w:val="21"/>
              </w:rPr>
              <w:t>、人民币普通股</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34"/>
              <w:ind w:right="83"/>
              <w:jc w:val="right"/>
              <w:rPr>
                <w:sz w:val="21"/>
              </w:rPr>
            </w:pPr>
            <w:r>
              <w:rPr>
                <w:sz w:val="21"/>
              </w:rPr>
              <w:t>6,308,552,654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before="34"/>
              <w:ind w:left="204" w:right="65"/>
              <w:jc w:val="center"/>
              <w:rPr>
                <w:sz w:val="21"/>
              </w:rPr>
            </w:pPr>
            <w:r>
              <w:rPr>
                <w:sz w:val="21"/>
              </w:rPr>
              <w:t>95.88</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7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7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before="34"/>
              <w:ind w:left="102" w:right="64"/>
              <w:jc w:val="center"/>
              <w:rPr>
                <w:sz w:val="21"/>
              </w:rPr>
            </w:pPr>
            <w:r>
              <w:rPr>
                <w:sz w:val="21"/>
              </w:rPr>
              <w:t>6,308,552,654</w:t>
            </w:r>
          </w:p>
        </w:tc>
        <w:tc>
          <w:tcPr>
            <w:tcW w:w="791" w:type="dxa"/>
            <w:tcBorders>
              <w:top w:val="single" w:sz="4" w:space="0" w:color="000000"/>
              <w:left w:val="single" w:sz="4" w:space="0" w:color="000000"/>
              <w:bottom w:val="single" w:sz="4" w:space="0" w:color="000000"/>
            </w:tcBorders>
          </w:tcPr>
          <w:p>
            <w:pPr>
              <w:pStyle w:val="TableParagraph"/>
              <w:spacing w:before="34"/>
              <w:ind w:right="65"/>
              <w:jc w:val="right"/>
              <w:rPr>
                <w:sz w:val="21"/>
              </w:rPr>
            </w:pPr>
            <w:r>
              <w:rPr>
                <w:sz w:val="21"/>
              </w:rPr>
              <w:t>69.88</w:t>
            </w:r>
          </w:p>
        </w:tc>
      </w:tr>
      <w:tr>
        <w:trPr>
          <w:trHeight w:val="312" w:hRule="atLeast"/>
        </w:trPr>
        <w:tc>
          <w:tcPr>
            <w:tcW w:w="3768" w:type="dxa"/>
            <w:tcBorders>
              <w:top w:val="single" w:sz="4" w:space="0" w:color="000000"/>
              <w:bottom w:val="single" w:sz="4" w:space="0" w:color="000000"/>
              <w:right w:val="single" w:sz="4" w:space="0" w:color="000000"/>
            </w:tcBorders>
          </w:tcPr>
          <w:p>
            <w:pPr>
              <w:pStyle w:val="TableParagraph"/>
              <w:spacing w:before="23"/>
              <w:ind w:left="107"/>
              <w:rPr>
                <w:rFonts w:ascii="宋体" w:eastAsia="宋体" w:hint="eastAsia"/>
                <w:sz w:val="21"/>
              </w:rPr>
            </w:pPr>
            <w:r>
              <w:rPr>
                <w:sz w:val="21"/>
              </w:rPr>
              <w:t>2</w:t>
            </w:r>
            <w:r>
              <w:rPr>
                <w:rFonts w:ascii="宋体" w:eastAsia="宋体" w:hint="eastAsia"/>
                <w:sz w:val="21"/>
              </w:rPr>
              <w:t>、境内上市的外资股</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7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7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91" w:type="dxa"/>
            <w:tcBorders>
              <w:top w:val="single" w:sz="4" w:space="0" w:color="000000"/>
              <w:left w:val="single" w:sz="4" w:space="0" w:color="000000"/>
              <w:bottom w:val="single" w:sz="4" w:space="0" w:color="000000"/>
            </w:tcBorders>
          </w:tcPr>
          <w:p>
            <w:pPr>
              <w:pStyle w:val="TableParagraph"/>
              <w:rPr>
                <w:sz w:val="20"/>
              </w:rPr>
            </w:pPr>
          </w:p>
        </w:tc>
      </w:tr>
      <w:tr>
        <w:trPr>
          <w:trHeight w:val="313" w:hRule="atLeast"/>
        </w:trPr>
        <w:tc>
          <w:tcPr>
            <w:tcW w:w="3768" w:type="dxa"/>
            <w:tcBorders>
              <w:top w:val="single" w:sz="4" w:space="0" w:color="000000"/>
              <w:bottom w:val="single" w:sz="4" w:space="0" w:color="000000"/>
              <w:right w:val="single" w:sz="4" w:space="0" w:color="000000"/>
            </w:tcBorders>
          </w:tcPr>
          <w:p>
            <w:pPr>
              <w:pStyle w:val="TableParagraph"/>
              <w:spacing w:before="25"/>
              <w:ind w:left="107"/>
              <w:rPr>
                <w:rFonts w:ascii="宋体" w:eastAsia="宋体" w:hint="eastAsia"/>
                <w:sz w:val="21"/>
              </w:rPr>
            </w:pPr>
            <w:r>
              <w:rPr>
                <w:sz w:val="21"/>
              </w:rPr>
              <w:t>3</w:t>
            </w:r>
            <w:r>
              <w:rPr>
                <w:rFonts w:ascii="宋体" w:eastAsia="宋体" w:hint="eastAsia"/>
                <w:sz w:val="21"/>
              </w:rPr>
              <w:t>、境外上市的外资股</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36"/>
              <w:ind w:right="82"/>
              <w:jc w:val="right"/>
              <w:rPr>
                <w:sz w:val="21"/>
              </w:rPr>
            </w:pPr>
            <w:r>
              <w:rPr>
                <w:sz w:val="21"/>
              </w:rPr>
              <w:t>271,013,973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before="36"/>
              <w:ind w:left="310" w:right="65"/>
              <w:jc w:val="center"/>
              <w:rPr>
                <w:sz w:val="21"/>
              </w:rPr>
            </w:pPr>
            <w:r>
              <w:rPr>
                <w:sz w:val="21"/>
              </w:rPr>
              <w:t>4.12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36"/>
              <w:ind w:left="97" w:right="63"/>
              <w:jc w:val="center"/>
              <w:rPr>
                <w:sz w:val="21"/>
              </w:rPr>
            </w:pPr>
            <w:r>
              <w:rPr>
                <w:sz w:val="21"/>
              </w:rPr>
              <w:t>2,448,279,814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7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7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36"/>
              <w:ind w:left="99" w:right="61"/>
              <w:jc w:val="center"/>
              <w:rPr>
                <w:sz w:val="21"/>
              </w:rPr>
            </w:pPr>
            <w:r>
              <w:rPr>
                <w:sz w:val="21"/>
              </w:rPr>
              <w:t>2,448,279,814</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before="36"/>
              <w:ind w:left="102" w:right="64"/>
              <w:jc w:val="center"/>
              <w:rPr>
                <w:sz w:val="21"/>
              </w:rPr>
            </w:pPr>
            <w:r>
              <w:rPr>
                <w:sz w:val="21"/>
              </w:rPr>
              <w:t>2,719,293,787</w:t>
            </w:r>
          </w:p>
        </w:tc>
        <w:tc>
          <w:tcPr>
            <w:tcW w:w="791" w:type="dxa"/>
            <w:tcBorders>
              <w:top w:val="single" w:sz="4" w:space="0" w:color="000000"/>
              <w:left w:val="single" w:sz="4" w:space="0" w:color="000000"/>
              <w:bottom w:val="single" w:sz="4" w:space="0" w:color="000000"/>
            </w:tcBorders>
          </w:tcPr>
          <w:p>
            <w:pPr>
              <w:pStyle w:val="TableParagraph"/>
              <w:spacing w:before="36"/>
              <w:ind w:right="65"/>
              <w:jc w:val="right"/>
              <w:rPr>
                <w:sz w:val="21"/>
              </w:rPr>
            </w:pPr>
            <w:r>
              <w:rPr>
                <w:sz w:val="21"/>
              </w:rPr>
              <w:t>30.12</w:t>
            </w:r>
          </w:p>
        </w:tc>
      </w:tr>
      <w:tr>
        <w:trPr>
          <w:trHeight w:val="311" w:hRule="atLeast"/>
        </w:trPr>
        <w:tc>
          <w:tcPr>
            <w:tcW w:w="3768" w:type="dxa"/>
            <w:tcBorders>
              <w:top w:val="single" w:sz="4" w:space="0" w:color="000000"/>
              <w:bottom w:val="single" w:sz="4" w:space="0" w:color="000000"/>
              <w:right w:val="single" w:sz="4" w:space="0" w:color="000000"/>
            </w:tcBorders>
          </w:tcPr>
          <w:p>
            <w:pPr>
              <w:pStyle w:val="TableParagraph"/>
              <w:spacing w:before="22"/>
              <w:ind w:left="107"/>
              <w:rPr>
                <w:rFonts w:ascii="宋体" w:eastAsia="宋体" w:hint="eastAsia"/>
                <w:sz w:val="21"/>
              </w:rPr>
            </w:pPr>
            <w:r>
              <w:rPr>
                <w:sz w:val="21"/>
              </w:rPr>
              <w:t>4</w:t>
            </w:r>
            <w:r>
              <w:rPr>
                <w:rFonts w:ascii="宋体" w:eastAsia="宋体" w:hint="eastAsia"/>
                <w:sz w:val="21"/>
              </w:rPr>
              <w:t>、其他</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7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7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91" w:type="dxa"/>
            <w:tcBorders>
              <w:top w:val="single" w:sz="4" w:space="0" w:color="000000"/>
              <w:left w:val="single" w:sz="4" w:space="0" w:color="000000"/>
              <w:bottom w:val="single" w:sz="4" w:space="0" w:color="000000"/>
            </w:tcBorders>
          </w:tcPr>
          <w:p>
            <w:pPr>
              <w:pStyle w:val="TableParagraph"/>
              <w:rPr>
                <w:sz w:val="20"/>
              </w:rPr>
            </w:pPr>
          </w:p>
        </w:tc>
      </w:tr>
      <w:tr>
        <w:trPr>
          <w:trHeight w:val="308" w:hRule="atLeast"/>
        </w:trPr>
        <w:tc>
          <w:tcPr>
            <w:tcW w:w="3768" w:type="dxa"/>
            <w:tcBorders>
              <w:top w:val="single" w:sz="4" w:space="0" w:color="000000"/>
              <w:right w:val="single" w:sz="4" w:space="0" w:color="000000"/>
            </w:tcBorders>
          </w:tcPr>
          <w:p>
            <w:pPr>
              <w:pStyle w:val="TableParagraph"/>
              <w:spacing w:line="266" w:lineRule="exact" w:before="22"/>
              <w:ind w:left="107"/>
              <w:rPr>
                <w:rFonts w:ascii="宋体" w:eastAsia="宋体" w:hint="eastAsia"/>
                <w:sz w:val="21"/>
              </w:rPr>
            </w:pPr>
            <w:r>
              <w:rPr>
                <w:rFonts w:ascii="宋体" w:eastAsia="宋体" w:hint="eastAsia"/>
                <w:sz w:val="21"/>
              </w:rPr>
              <w:t>三、普通股股份总数</w:t>
            </w:r>
          </w:p>
        </w:tc>
        <w:tc>
          <w:tcPr>
            <w:tcW w:w="1423" w:type="dxa"/>
            <w:tcBorders>
              <w:top w:val="single" w:sz="4" w:space="0" w:color="000000"/>
              <w:left w:val="single" w:sz="4" w:space="0" w:color="000000"/>
              <w:right w:val="single" w:sz="4" w:space="0" w:color="000000"/>
            </w:tcBorders>
          </w:tcPr>
          <w:p>
            <w:pPr>
              <w:pStyle w:val="TableParagraph"/>
              <w:spacing w:before="34"/>
              <w:ind w:right="83"/>
              <w:jc w:val="right"/>
              <w:rPr>
                <w:sz w:val="21"/>
              </w:rPr>
            </w:pPr>
            <w:r>
              <w:rPr>
                <w:sz w:val="21"/>
              </w:rPr>
              <w:t>6,579,566,627</w:t>
            </w:r>
          </w:p>
        </w:tc>
        <w:tc>
          <w:tcPr>
            <w:tcW w:w="794" w:type="dxa"/>
            <w:tcBorders>
              <w:top w:val="single" w:sz="4" w:space="0" w:color="000000"/>
              <w:left w:val="single" w:sz="4" w:space="0" w:color="000000"/>
              <w:right w:val="single" w:sz="4" w:space="0" w:color="000000"/>
            </w:tcBorders>
          </w:tcPr>
          <w:p>
            <w:pPr>
              <w:pStyle w:val="TableParagraph"/>
              <w:spacing w:before="34"/>
              <w:ind w:left="99" w:right="65"/>
              <w:jc w:val="center"/>
              <w:rPr>
                <w:sz w:val="21"/>
              </w:rPr>
            </w:pPr>
            <w:r>
              <w:rPr>
                <w:sz w:val="21"/>
              </w:rPr>
              <w:t>100.00</w:t>
            </w:r>
          </w:p>
        </w:tc>
        <w:tc>
          <w:tcPr>
            <w:tcW w:w="1423" w:type="dxa"/>
            <w:tcBorders>
              <w:top w:val="single" w:sz="4" w:space="0" w:color="000000"/>
              <w:left w:val="single" w:sz="4" w:space="0" w:color="000000"/>
              <w:right w:val="single" w:sz="4" w:space="0" w:color="000000"/>
            </w:tcBorders>
          </w:tcPr>
          <w:p>
            <w:pPr>
              <w:pStyle w:val="TableParagraph"/>
              <w:spacing w:before="34"/>
              <w:ind w:left="97" w:right="63"/>
              <w:jc w:val="center"/>
              <w:rPr>
                <w:sz w:val="21"/>
              </w:rPr>
            </w:pPr>
            <w:r>
              <w:rPr>
                <w:sz w:val="21"/>
              </w:rPr>
              <w:t>2,448,279,814</w:t>
            </w:r>
          </w:p>
        </w:tc>
        <w:tc>
          <w:tcPr>
            <w:tcW w:w="684" w:type="dxa"/>
            <w:tcBorders>
              <w:top w:val="single" w:sz="4" w:space="0" w:color="000000"/>
              <w:left w:val="single" w:sz="4" w:space="0" w:color="000000"/>
              <w:right w:val="single" w:sz="4" w:space="0" w:color="000000"/>
            </w:tcBorders>
          </w:tcPr>
          <w:p>
            <w:pPr>
              <w:pStyle w:val="TableParagraph"/>
              <w:rPr>
                <w:sz w:val="20"/>
              </w:rPr>
            </w:pPr>
          </w:p>
        </w:tc>
        <w:tc>
          <w:tcPr>
            <w:tcW w:w="1576" w:type="dxa"/>
            <w:tcBorders>
              <w:top w:val="single" w:sz="4" w:space="0" w:color="000000"/>
              <w:left w:val="single" w:sz="4" w:space="0" w:color="000000"/>
              <w:right w:val="single" w:sz="4" w:space="0" w:color="000000"/>
            </w:tcBorders>
          </w:tcPr>
          <w:p>
            <w:pPr>
              <w:pStyle w:val="TableParagraph"/>
              <w:rPr>
                <w:sz w:val="20"/>
              </w:rPr>
            </w:pPr>
          </w:p>
        </w:tc>
        <w:tc>
          <w:tcPr>
            <w:tcW w:w="777" w:type="dxa"/>
            <w:tcBorders>
              <w:top w:val="single" w:sz="4" w:space="0" w:color="000000"/>
              <w:left w:val="single" w:sz="4" w:space="0" w:color="000000"/>
              <w:right w:val="single" w:sz="4" w:space="0" w:color="000000"/>
            </w:tcBorders>
          </w:tcPr>
          <w:p>
            <w:pPr>
              <w:pStyle w:val="TableParagraph"/>
              <w:rPr>
                <w:sz w:val="20"/>
              </w:rPr>
            </w:pPr>
          </w:p>
        </w:tc>
        <w:tc>
          <w:tcPr>
            <w:tcW w:w="1423" w:type="dxa"/>
            <w:tcBorders>
              <w:top w:val="single" w:sz="4" w:space="0" w:color="000000"/>
              <w:left w:val="single" w:sz="4" w:space="0" w:color="000000"/>
              <w:right w:val="single" w:sz="4" w:space="0" w:color="000000"/>
            </w:tcBorders>
          </w:tcPr>
          <w:p>
            <w:pPr>
              <w:pStyle w:val="TableParagraph"/>
              <w:spacing w:before="34"/>
              <w:ind w:left="99" w:right="61"/>
              <w:jc w:val="center"/>
              <w:rPr>
                <w:sz w:val="21"/>
              </w:rPr>
            </w:pPr>
            <w:r>
              <w:rPr>
                <w:sz w:val="21"/>
              </w:rPr>
              <w:t>2,448,279,814</w:t>
            </w:r>
          </w:p>
        </w:tc>
        <w:tc>
          <w:tcPr>
            <w:tcW w:w="1425" w:type="dxa"/>
            <w:tcBorders>
              <w:top w:val="single" w:sz="4" w:space="0" w:color="000000"/>
              <w:left w:val="single" w:sz="4" w:space="0" w:color="000000"/>
              <w:right w:val="single" w:sz="4" w:space="0" w:color="000000"/>
            </w:tcBorders>
          </w:tcPr>
          <w:p>
            <w:pPr>
              <w:pStyle w:val="TableParagraph"/>
              <w:spacing w:before="34"/>
              <w:ind w:left="102" w:right="64"/>
              <w:jc w:val="center"/>
              <w:rPr>
                <w:sz w:val="21"/>
              </w:rPr>
            </w:pPr>
            <w:r>
              <w:rPr>
                <w:sz w:val="21"/>
              </w:rPr>
              <w:t>9,027,846,441</w:t>
            </w:r>
          </w:p>
        </w:tc>
        <w:tc>
          <w:tcPr>
            <w:tcW w:w="791" w:type="dxa"/>
            <w:tcBorders>
              <w:top w:val="single" w:sz="4" w:space="0" w:color="000000"/>
              <w:left w:val="single" w:sz="4" w:space="0" w:color="000000"/>
            </w:tcBorders>
          </w:tcPr>
          <w:p>
            <w:pPr>
              <w:pStyle w:val="TableParagraph"/>
              <w:spacing w:before="34"/>
              <w:ind w:right="65"/>
              <w:jc w:val="right"/>
              <w:rPr>
                <w:sz w:val="21"/>
              </w:rPr>
            </w:pPr>
            <w:r>
              <w:rPr>
                <w:sz w:val="21"/>
              </w:rPr>
              <w:t>100.00</w:t>
            </w:r>
          </w:p>
        </w:tc>
      </w:tr>
    </w:tbl>
    <w:p>
      <w:pPr>
        <w:spacing w:after="0"/>
        <w:jc w:val="right"/>
        <w:rPr>
          <w:sz w:val="21"/>
        </w:rPr>
        <w:sectPr>
          <w:headerReference w:type="default" r:id="rId57"/>
          <w:footerReference w:type="default" r:id="rId58"/>
          <w:pgSz w:w="16840" w:h="11910" w:orient="landscape"/>
          <w:pgMar w:header="0" w:footer="1214" w:top="780" w:bottom="1400" w:left="1200" w:right="1280"/>
        </w:sectPr>
      </w:pPr>
    </w:p>
    <w:p>
      <w:pPr>
        <w:pStyle w:val="BodyText"/>
        <w:spacing w:before="6"/>
        <w:rPr>
          <w:sz w:val="25"/>
        </w:rPr>
      </w:pPr>
    </w:p>
    <w:p>
      <w:pPr>
        <w:pStyle w:val="Heading4"/>
        <w:spacing w:before="9"/>
        <w:ind w:left="238"/>
      </w:pPr>
      <w:r>
        <w:rPr>
          <w:rFonts w:ascii="Times New Roman" w:eastAsia="Times New Roman"/>
        </w:rPr>
        <w:t>2</w:t>
      </w:r>
      <w:r>
        <w:rPr/>
        <w:t>、 普通股股份变动情况说明</w:t>
      </w:r>
    </w:p>
    <w:p>
      <w:pPr>
        <w:pStyle w:val="BodyText"/>
        <w:tabs>
          <w:tab w:pos="1409" w:val="left" w:leader="none"/>
        </w:tabs>
        <w:spacing w:before="55"/>
        <w:ind w:left="662"/>
      </w:pPr>
      <w:r>
        <w:rPr>
          <w:rFonts w:ascii="Times New Roman" w:hAnsi="Times New Roman" w:eastAsia="Times New Roman"/>
        </w:rPr>
        <w:t>√</w:t>
      </w:r>
      <w:r>
        <w:rPr/>
        <w:t>适用</w:t>
        <w:tab/>
      </w:r>
      <w:r>
        <w:rPr>
          <w:rFonts w:ascii="Times New Roman" w:hAnsi="Times New Roman" w:eastAsia="Times New Roman"/>
        </w:rPr>
        <w:t>□</w:t>
      </w:r>
      <w:r>
        <w:rPr>
          <w:spacing w:val="-3"/>
        </w:rPr>
        <w:t>不</w:t>
      </w:r>
      <w:r>
        <w:rPr/>
        <w:t>适用</w:t>
      </w:r>
    </w:p>
    <w:p>
      <w:pPr>
        <w:pStyle w:val="BodyText"/>
        <w:spacing w:line="417" w:lineRule="auto" w:before="120"/>
        <w:ind w:left="238" w:right="807" w:firstLine="424"/>
      </w:pPr>
      <w:r>
        <w:rPr>
          <w:spacing w:val="-8"/>
        </w:rPr>
        <w:t>报告期内，公司推出发行 </w:t>
      </w:r>
      <w:r>
        <w:rPr>
          <w:rFonts w:ascii="Times New Roman" w:eastAsia="Times New Roman"/>
        </w:rPr>
        <w:t>H </w:t>
      </w:r>
      <w:r>
        <w:rPr>
          <w:spacing w:val="-5"/>
        </w:rPr>
        <w:t>股私有化海尔电器事宜的相关方案，并于报告期内完成方案生效</w:t>
      </w:r>
      <w:r>
        <w:rPr>
          <w:spacing w:val="-4"/>
        </w:rPr>
        <w:t>的所有先决条件：</w:t>
      </w:r>
      <w:r>
        <w:rPr>
          <w:rFonts w:ascii="Times New Roman" w:eastAsia="Times New Roman"/>
        </w:rPr>
        <w:t>2020 </w:t>
      </w:r>
      <w:r>
        <w:rPr>
          <w:spacing w:val="-26"/>
        </w:rPr>
        <w:t>年 </w:t>
      </w:r>
      <w:r>
        <w:rPr>
          <w:rFonts w:ascii="Times New Roman" w:eastAsia="Times New Roman"/>
        </w:rPr>
        <w:t>12 </w:t>
      </w:r>
      <w:r>
        <w:rPr>
          <w:spacing w:val="-25"/>
        </w:rPr>
        <w:t>月 </w:t>
      </w:r>
      <w:r>
        <w:rPr>
          <w:rFonts w:ascii="Times New Roman" w:eastAsia="Times New Roman"/>
        </w:rPr>
        <w:t>23 </w:t>
      </w:r>
      <w:r>
        <w:rPr>
          <w:spacing w:val="-9"/>
        </w:rPr>
        <w:t>日，公司新发行的 </w:t>
      </w:r>
      <w:r>
        <w:rPr>
          <w:rFonts w:ascii="Times New Roman" w:eastAsia="Times New Roman"/>
        </w:rPr>
        <w:t>2,448,279,814 </w:t>
      </w:r>
      <w:r>
        <w:rPr>
          <w:spacing w:val="50"/>
        </w:rPr>
        <w:t>股</w:t>
      </w:r>
      <w:r>
        <w:rPr>
          <w:rFonts w:ascii="Times New Roman" w:eastAsia="Times New Roman"/>
        </w:rPr>
        <w:t>H </w:t>
      </w:r>
      <w:r>
        <w:rPr>
          <w:spacing w:val="-3"/>
        </w:rPr>
        <w:t>股在香港联交所上市， </w:t>
      </w:r>
      <w:r>
        <w:rPr>
          <w:spacing w:val="-6"/>
        </w:rPr>
        <w:t>前述私有化事宜完成，公司总股本由 </w:t>
      </w:r>
      <w:r>
        <w:rPr>
          <w:rFonts w:ascii="Times New Roman" w:eastAsia="Times New Roman"/>
        </w:rPr>
        <w:t>6,579,566,627 </w:t>
      </w:r>
      <w:r>
        <w:rPr>
          <w:spacing w:val="-12"/>
        </w:rPr>
        <w:t>股变更为 </w:t>
      </w:r>
      <w:r>
        <w:rPr>
          <w:rFonts w:ascii="Times New Roman" w:eastAsia="Times New Roman"/>
        </w:rPr>
        <w:t>9,027,846,441 </w:t>
      </w:r>
      <w:r>
        <w:rPr/>
        <w:t>股。</w:t>
      </w:r>
    </w:p>
    <w:p>
      <w:pPr>
        <w:pStyle w:val="Heading4"/>
        <w:spacing w:line="300" w:lineRule="exact"/>
        <w:ind w:left="238"/>
      </w:pPr>
      <w:r>
        <w:rPr>
          <w:rFonts w:ascii="Times New Roman" w:eastAsia="Times New Roman"/>
        </w:rPr>
        <w:t>3</w:t>
      </w:r>
      <w:r>
        <w:rPr/>
        <w:t>、 普通股股份变动对最近一年和最近一期每股收益、每股净资产等财务指标的影响（如有）</w:t>
      </w:r>
    </w:p>
    <w:p>
      <w:pPr>
        <w:pStyle w:val="BodyText"/>
        <w:tabs>
          <w:tab w:pos="1409" w:val="left" w:leader="none"/>
        </w:tabs>
        <w:spacing w:before="55"/>
        <w:ind w:left="662"/>
      </w:pPr>
      <w:r>
        <w:rPr>
          <w:rFonts w:ascii="Times New Roman" w:hAnsi="Times New Roman" w:eastAsia="Times New Roman"/>
        </w:rPr>
        <w:t>√</w:t>
      </w:r>
      <w:r>
        <w:rPr/>
        <w:t>适用</w:t>
        <w:tab/>
      </w:r>
      <w:r>
        <w:rPr>
          <w:rFonts w:ascii="Times New Roman" w:hAnsi="Times New Roman" w:eastAsia="Times New Roman"/>
        </w:rPr>
        <w:t>□</w:t>
      </w:r>
      <w:r>
        <w:rPr>
          <w:spacing w:val="-3"/>
        </w:rPr>
        <w:t>不</w:t>
      </w:r>
      <w:r>
        <w:rPr/>
        <w:t>适用</w:t>
      </w:r>
    </w:p>
    <w:p>
      <w:pPr>
        <w:pStyle w:val="BodyText"/>
        <w:spacing w:before="120"/>
        <w:ind w:left="662"/>
      </w:pPr>
      <w:r>
        <w:rPr>
          <w:spacing w:val="-15"/>
        </w:rPr>
        <w:t>公司 </w:t>
      </w:r>
      <w:r>
        <w:rPr>
          <w:rFonts w:ascii="Times New Roman" w:eastAsia="Times New Roman"/>
        </w:rPr>
        <w:t>2020</w:t>
      </w:r>
      <w:r>
        <w:rPr>
          <w:rFonts w:ascii="Times New Roman" w:eastAsia="Times New Roman"/>
          <w:spacing w:val="7"/>
        </w:rPr>
        <w:t> </w:t>
      </w:r>
      <w:r>
        <w:rPr>
          <w:spacing w:val="-6"/>
        </w:rPr>
        <w:t>年实现归属于母公司股东的净利润 </w:t>
      </w:r>
      <w:r>
        <w:rPr>
          <w:rFonts w:ascii="Times New Roman" w:eastAsia="Times New Roman"/>
        </w:rPr>
        <w:t>8,876,593,208.19</w:t>
      </w:r>
      <w:r>
        <w:rPr>
          <w:rFonts w:ascii="Times New Roman" w:eastAsia="Times New Roman"/>
          <w:spacing w:val="7"/>
        </w:rPr>
        <w:t> </w:t>
      </w:r>
      <w:r>
        <w:rPr>
          <w:spacing w:val="-3"/>
        </w:rPr>
        <w:t>元，报告期末归属于母公司所</w:t>
      </w:r>
    </w:p>
    <w:p>
      <w:pPr>
        <w:pStyle w:val="BodyText"/>
        <w:spacing w:before="7"/>
        <w:rPr>
          <w:sz w:val="15"/>
        </w:rPr>
      </w:pPr>
    </w:p>
    <w:p>
      <w:pPr>
        <w:pStyle w:val="BodyText"/>
        <w:ind w:left="238"/>
        <w:rPr>
          <w:rFonts w:ascii="Times New Roman" w:eastAsia="Times New Roman"/>
        </w:rPr>
      </w:pPr>
      <w:r>
        <w:rPr>
          <w:spacing w:val="-11"/>
        </w:rPr>
        <w:t>有者权益 </w:t>
      </w:r>
      <w:r>
        <w:rPr>
          <w:rFonts w:ascii="Times New Roman" w:eastAsia="Times New Roman"/>
        </w:rPr>
        <w:t>66,816,422,614.55</w:t>
      </w:r>
      <w:r>
        <w:rPr>
          <w:rFonts w:ascii="Times New Roman" w:eastAsia="Times New Roman"/>
          <w:spacing w:val="6"/>
        </w:rPr>
        <w:t> </w:t>
      </w:r>
      <w:r>
        <w:rPr>
          <w:spacing w:val="-14"/>
        </w:rPr>
        <w:t>元，以 </w:t>
      </w:r>
      <w:r>
        <w:rPr>
          <w:rFonts w:ascii="Times New Roman" w:eastAsia="Times New Roman"/>
        </w:rPr>
        <w:t>H</w:t>
      </w:r>
      <w:r>
        <w:rPr>
          <w:rFonts w:ascii="Times New Roman" w:eastAsia="Times New Roman"/>
          <w:spacing w:val="6"/>
        </w:rPr>
        <w:t> </w:t>
      </w:r>
      <w:r>
        <w:rPr>
          <w:spacing w:val="-9"/>
        </w:rPr>
        <w:t>股上市前总股本 </w:t>
      </w:r>
      <w:r>
        <w:rPr>
          <w:rFonts w:ascii="Times New Roman" w:eastAsia="Times New Roman"/>
        </w:rPr>
        <w:t>6,579,566,627</w:t>
      </w:r>
      <w:r>
        <w:rPr>
          <w:rFonts w:ascii="Times New Roman" w:eastAsia="Times New Roman"/>
          <w:spacing w:val="3"/>
        </w:rPr>
        <w:t> </w:t>
      </w:r>
      <w:r>
        <w:rPr>
          <w:spacing w:val="-7"/>
        </w:rPr>
        <w:t>股计算，对应每股收益 </w:t>
      </w:r>
      <w:r>
        <w:rPr>
          <w:rFonts w:ascii="Times New Roman" w:eastAsia="Times New Roman"/>
        </w:rPr>
        <w:t>1.349</w:t>
      </w:r>
    </w:p>
    <w:p>
      <w:pPr>
        <w:pStyle w:val="BodyText"/>
        <w:spacing w:before="4"/>
        <w:rPr>
          <w:rFonts w:ascii="Times New Roman"/>
          <w:sz w:val="17"/>
        </w:rPr>
      </w:pPr>
    </w:p>
    <w:p>
      <w:pPr>
        <w:pStyle w:val="BodyText"/>
        <w:ind w:left="238"/>
      </w:pPr>
      <w:r>
        <w:rPr/>
        <w:t>元，每股净资产 </w:t>
      </w:r>
      <w:r>
        <w:rPr>
          <w:rFonts w:ascii="Times New Roman" w:eastAsia="Times New Roman"/>
        </w:rPr>
        <w:t>10.155 </w:t>
      </w:r>
      <w:r>
        <w:rPr/>
        <w:t>元；以 </w:t>
      </w:r>
      <w:r>
        <w:rPr>
          <w:rFonts w:ascii="Times New Roman" w:eastAsia="Times New Roman"/>
        </w:rPr>
        <w:t>H </w:t>
      </w:r>
      <w:r>
        <w:rPr/>
        <w:t>股上市后总股本 </w:t>
      </w:r>
      <w:r>
        <w:rPr>
          <w:rFonts w:ascii="Times New Roman" w:eastAsia="Times New Roman"/>
        </w:rPr>
        <w:t>9,027,846,441 </w:t>
      </w:r>
      <w:r>
        <w:rPr/>
        <w:t>股计算，对应每股收益 </w:t>
      </w:r>
      <w:r>
        <w:rPr>
          <w:rFonts w:ascii="Times New Roman" w:eastAsia="Times New Roman"/>
        </w:rPr>
        <w:t>0.983 </w:t>
      </w:r>
      <w:r>
        <w:rPr/>
        <w:t>元，</w:t>
      </w:r>
    </w:p>
    <w:p>
      <w:pPr>
        <w:pStyle w:val="BodyText"/>
        <w:spacing w:before="6"/>
        <w:rPr>
          <w:sz w:val="15"/>
        </w:rPr>
      </w:pPr>
    </w:p>
    <w:p>
      <w:pPr>
        <w:pStyle w:val="BodyText"/>
        <w:spacing w:before="1"/>
        <w:ind w:left="238"/>
      </w:pPr>
      <w:r>
        <w:rPr/>
        <w:t>每股净资产 </w:t>
      </w:r>
      <w:r>
        <w:rPr>
          <w:rFonts w:ascii="Times New Roman" w:eastAsia="Times New Roman"/>
        </w:rPr>
        <w:t>7.401 </w:t>
      </w:r>
      <w:r>
        <w:rPr/>
        <w:t>元。 </w:t>
      </w:r>
    </w:p>
    <w:p>
      <w:pPr>
        <w:pStyle w:val="Heading4"/>
        <w:spacing w:before="112"/>
        <w:ind w:left="238"/>
      </w:pPr>
      <w:r>
        <w:rPr>
          <w:rFonts w:ascii="Times New Roman" w:eastAsia="Times New Roman"/>
        </w:rPr>
        <w:t>4</w:t>
      </w:r>
      <w:r>
        <w:rPr/>
        <w:t>、 公司认为必要或证券监管机构要求披露的其他内容</w:t>
      </w:r>
    </w:p>
    <w:p>
      <w:pPr>
        <w:pStyle w:val="BodyText"/>
        <w:tabs>
          <w:tab w:pos="1505" w:val="left" w:leader="none"/>
        </w:tabs>
        <w:spacing w:before="56"/>
        <w:ind w:left="662"/>
      </w:pPr>
      <w:r>
        <w:rPr/>
        <w:t>□适用</w:t>
        <w:tab/>
      </w:r>
      <w:r>
        <w:rPr>
          <w:spacing w:val="-3"/>
        </w:rPr>
        <w:t>√</w:t>
      </w:r>
      <w:r>
        <w:rPr/>
        <w:t>不</w:t>
      </w:r>
      <w:r>
        <w:rPr>
          <w:spacing w:val="-3"/>
        </w:rPr>
        <w:t>适</w:t>
      </w:r>
      <w:r>
        <w:rPr/>
        <w:t>用</w:t>
      </w:r>
    </w:p>
    <w:p>
      <w:pPr>
        <w:pStyle w:val="Heading4"/>
        <w:tabs>
          <w:tab w:pos="804" w:val="left" w:leader="none"/>
        </w:tabs>
        <w:spacing w:before="33"/>
        <w:ind w:left="238"/>
      </w:pPr>
      <w:r>
        <w:rPr>
          <w:rFonts w:ascii="Times New Roman" w:eastAsia="Times New Roman"/>
        </w:rPr>
        <w:t>(</w:t>
      </w:r>
      <w:r>
        <w:rPr/>
        <w:t>二</w:t>
      </w:r>
      <w:r>
        <w:rPr>
          <w:rFonts w:ascii="Times New Roman" w:eastAsia="Times New Roman"/>
        </w:rPr>
        <w:t>)</w:t>
        <w:tab/>
      </w:r>
      <w:r>
        <w:rPr/>
        <w:t>限售股份变动情况</w:t>
      </w:r>
    </w:p>
    <w:p>
      <w:pPr>
        <w:pStyle w:val="BodyText"/>
        <w:spacing w:before="55"/>
        <w:ind w:left="662"/>
      </w:pPr>
      <w:r>
        <w:rPr>
          <w:rFonts w:ascii="Times New Roman" w:hAnsi="Times New Roman" w:eastAsia="Times New Roman"/>
        </w:rPr>
        <w:t>□</w:t>
      </w:r>
      <w:r>
        <w:rPr/>
        <w:t>适用 </w:t>
      </w:r>
      <w:r>
        <w:rPr>
          <w:rFonts w:ascii="Times New Roman" w:hAnsi="Times New Roman" w:eastAsia="Times New Roman"/>
        </w:rPr>
        <w:t>√</w:t>
      </w:r>
      <w:r>
        <w:rPr/>
        <w:t>不适用</w:t>
      </w:r>
    </w:p>
    <w:p>
      <w:pPr>
        <w:pStyle w:val="BodyText"/>
        <w:spacing w:before="10"/>
        <w:rPr>
          <w:sz w:val="26"/>
        </w:rPr>
      </w:pPr>
    </w:p>
    <w:p>
      <w:pPr>
        <w:pStyle w:val="Heading4"/>
        <w:spacing w:line="379" w:lineRule="exact" w:before="3"/>
        <w:ind w:left="238"/>
      </w:pPr>
      <w:r>
        <w:rPr/>
        <w:t>二、 证券发行与上市情况</w:t>
      </w:r>
    </w:p>
    <w:p>
      <w:pPr>
        <w:pStyle w:val="Heading4"/>
        <w:spacing w:line="379" w:lineRule="exact"/>
        <w:ind w:left="238"/>
      </w:pPr>
      <w:r>
        <w:rPr>
          <w:w w:val="125"/>
        </w:rPr>
        <w:t>(</w:t>
      </w:r>
      <w:r>
        <w:rPr>
          <w:w w:val="105"/>
        </w:rPr>
        <w:t>一</w:t>
      </w:r>
      <w:r>
        <w:rPr>
          <w:w w:val="125"/>
        </w:rPr>
        <w:t>)</w:t>
      </w:r>
      <w:r>
        <w:rPr>
          <w:w w:val="105"/>
        </w:rPr>
        <w:t>截至报告期内证券发行情况</w:t>
      </w:r>
    </w:p>
    <w:p>
      <w:pPr>
        <w:pStyle w:val="BodyText"/>
        <w:spacing w:before="55"/>
        <w:ind w:left="662"/>
      </w:pPr>
      <w:r>
        <w:rPr>
          <w:rFonts w:ascii="Times New Roman" w:hAnsi="Times New Roman" w:eastAsia="Times New Roman"/>
        </w:rPr>
        <w:t>√</w:t>
      </w:r>
      <w:r>
        <w:rPr/>
        <w:t>适用 </w:t>
      </w:r>
      <w:r>
        <w:rPr>
          <w:rFonts w:ascii="Times New Roman" w:hAnsi="Times New Roman" w:eastAsia="Times New Roman"/>
        </w:rPr>
        <w:t>□</w:t>
      </w:r>
      <w:r>
        <w:rPr/>
        <w:t>不适用</w:t>
      </w:r>
    </w:p>
    <w:p>
      <w:pPr>
        <w:pStyle w:val="BodyText"/>
        <w:tabs>
          <w:tab w:pos="8022" w:val="left" w:leader="none"/>
        </w:tabs>
        <w:spacing w:before="43" w:after="20"/>
        <w:ind w:left="6971"/>
      </w:pPr>
      <w:r>
        <w:rPr/>
        <w:t>单位：股</w:t>
        <w:tab/>
        <w:t>币</w:t>
      </w:r>
      <w:r>
        <w:rPr>
          <w:spacing w:val="-3"/>
        </w:rPr>
        <w:t>种</w:t>
      </w:r>
      <w:r>
        <w:rPr/>
        <w:t>：</w:t>
      </w:r>
      <w:r>
        <w:rPr>
          <w:spacing w:val="-3"/>
        </w:rPr>
        <w:t>港元</w:t>
      </w:r>
    </w:p>
    <w:tbl>
      <w:tblPr>
        <w:tblW w:w="0" w:type="auto"/>
        <w:jc w:val="left"/>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572"/>
        <w:gridCol w:w="1244"/>
        <w:gridCol w:w="1150"/>
        <w:gridCol w:w="1424"/>
        <w:gridCol w:w="1119"/>
        <w:gridCol w:w="1424"/>
        <w:gridCol w:w="1119"/>
      </w:tblGrid>
      <w:tr>
        <w:trPr>
          <w:trHeight w:val="937" w:hRule="atLeast"/>
        </w:trPr>
        <w:tc>
          <w:tcPr>
            <w:tcW w:w="1572" w:type="dxa"/>
            <w:tcBorders>
              <w:bottom w:val="single" w:sz="4" w:space="0" w:color="000000"/>
              <w:right w:val="single" w:sz="4" w:space="0" w:color="000000"/>
            </w:tcBorders>
            <w:shd w:val="clear" w:color="auto" w:fill="F1F1F1"/>
          </w:tcPr>
          <w:p>
            <w:pPr>
              <w:pStyle w:val="TableParagraph"/>
              <w:spacing w:before="1"/>
              <w:rPr>
                <w:rFonts w:ascii="宋体"/>
                <w:sz w:val="14"/>
              </w:rPr>
            </w:pPr>
          </w:p>
          <w:p>
            <w:pPr>
              <w:pStyle w:val="TableParagraph"/>
              <w:spacing w:line="278" w:lineRule="auto"/>
              <w:ind w:left="258" w:right="132" w:hanging="104"/>
              <w:rPr>
                <w:rFonts w:ascii="宋体" w:eastAsia="宋体" w:hint="eastAsia"/>
                <w:sz w:val="21"/>
              </w:rPr>
            </w:pPr>
            <w:r>
              <w:rPr>
                <w:rFonts w:ascii="宋体" w:eastAsia="宋体" w:hint="eastAsia"/>
                <w:sz w:val="21"/>
              </w:rPr>
              <w:t>股票及其衍生证券的种类</w:t>
            </w:r>
          </w:p>
        </w:tc>
        <w:tc>
          <w:tcPr>
            <w:tcW w:w="1244" w:type="dxa"/>
            <w:tcBorders>
              <w:left w:val="single" w:sz="4" w:space="0" w:color="000000"/>
              <w:bottom w:val="single" w:sz="4" w:space="0" w:color="000000"/>
              <w:right w:val="single" w:sz="4" w:space="0" w:color="000000"/>
            </w:tcBorders>
            <w:shd w:val="clear" w:color="auto" w:fill="F1F1F1"/>
          </w:tcPr>
          <w:p>
            <w:pPr>
              <w:pStyle w:val="TableParagraph"/>
              <w:spacing w:before="3"/>
              <w:rPr>
                <w:rFonts w:ascii="宋体"/>
                <w:sz w:val="26"/>
              </w:rPr>
            </w:pPr>
          </w:p>
          <w:p>
            <w:pPr>
              <w:pStyle w:val="TableParagraph"/>
              <w:ind w:left="210"/>
              <w:rPr>
                <w:rFonts w:ascii="宋体" w:eastAsia="宋体" w:hint="eastAsia"/>
                <w:sz w:val="21"/>
              </w:rPr>
            </w:pPr>
            <w:r>
              <w:rPr>
                <w:rFonts w:ascii="宋体" w:eastAsia="宋体" w:hint="eastAsia"/>
                <w:sz w:val="21"/>
              </w:rPr>
              <w:t>发行日期</w:t>
            </w:r>
          </w:p>
        </w:tc>
        <w:tc>
          <w:tcPr>
            <w:tcW w:w="1150" w:type="dxa"/>
            <w:tcBorders>
              <w:left w:val="single" w:sz="4" w:space="0" w:color="000000"/>
              <w:bottom w:val="single" w:sz="4" w:space="0" w:color="000000"/>
              <w:right w:val="single" w:sz="4" w:space="0" w:color="000000"/>
            </w:tcBorders>
            <w:shd w:val="clear" w:color="auto" w:fill="F1F1F1"/>
          </w:tcPr>
          <w:p>
            <w:pPr>
              <w:pStyle w:val="TableParagraph"/>
              <w:spacing w:before="24"/>
              <w:ind w:left="162"/>
              <w:rPr>
                <w:rFonts w:ascii="宋体" w:eastAsia="宋体" w:hint="eastAsia"/>
                <w:sz w:val="21"/>
              </w:rPr>
            </w:pPr>
            <w:r>
              <w:rPr>
                <w:rFonts w:ascii="宋体" w:eastAsia="宋体" w:hint="eastAsia"/>
                <w:sz w:val="21"/>
              </w:rPr>
              <w:t>发行价格</w:t>
            </w:r>
          </w:p>
          <w:p>
            <w:pPr>
              <w:pStyle w:val="TableParagraph"/>
              <w:spacing w:line="310" w:lineRule="atLeast" w:before="2"/>
              <w:ind w:left="371" w:right="238" w:hanging="106"/>
              <w:rPr>
                <w:rFonts w:ascii="宋体" w:eastAsia="宋体" w:hint="eastAsia"/>
                <w:sz w:val="21"/>
              </w:rPr>
            </w:pPr>
            <w:r>
              <w:rPr>
                <w:rFonts w:ascii="宋体" w:eastAsia="宋体" w:hint="eastAsia"/>
                <w:sz w:val="21"/>
              </w:rPr>
              <w:t>（或利率）</w:t>
            </w:r>
          </w:p>
        </w:tc>
        <w:tc>
          <w:tcPr>
            <w:tcW w:w="1424" w:type="dxa"/>
            <w:tcBorders>
              <w:left w:val="single" w:sz="4" w:space="0" w:color="000000"/>
              <w:bottom w:val="single" w:sz="4" w:space="0" w:color="000000"/>
              <w:right w:val="single" w:sz="4" w:space="0" w:color="000000"/>
            </w:tcBorders>
            <w:shd w:val="clear" w:color="auto" w:fill="F1F1F1"/>
          </w:tcPr>
          <w:p>
            <w:pPr>
              <w:pStyle w:val="TableParagraph"/>
              <w:spacing w:before="3"/>
              <w:rPr>
                <w:rFonts w:ascii="宋体"/>
                <w:sz w:val="26"/>
              </w:rPr>
            </w:pPr>
          </w:p>
          <w:p>
            <w:pPr>
              <w:pStyle w:val="TableParagraph"/>
              <w:ind w:left="92" w:right="71"/>
              <w:jc w:val="center"/>
              <w:rPr>
                <w:rFonts w:ascii="宋体" w:eastAsia="宋体" w:hint="eastAsia"/>
                <w:sz w:val="21"/>
              </w:rPr>
            </w:pPr>
            <w:r>
              <w:rPr>
                <w:rFonts w:ascii="宋体" w:eastAsia="宋体" w:hint="eastAsia"/>
                <w:sz w:val="21"/>
              </w:rPr>
              <w:t>发行数量</w:t>
            </w:r>
          </w:p>
        </w:tc>
        <w:tc>
          <w:tcPr>
            <w:tcW w:w="1119" w:type="dxa"/>
            <w:tcBorders>
              <w:left w:val="single" w:sz="4" w:space="0" w:color="000000"/>
              <w:bottom w:val="single" w:sz="4" w:space="0" w:color="000000"/>
              <w:right w:val="single" w:sz="4" w:space="0" w:color="000000"/>
            </w:tcBorders>
            <w:shd w:val="clear" w:color="auto" w:fill="F1F1F1"/>
          </w:tcPr>
          <w:p>
            <w:pPr>
              <w:pStyle w:val="TableParagraph"/>
              <w:spacing w:before="3"/>
              <w:rPr>
                <w:rFonts w:ascii="宋体"/>
                <w:sz w:val="26"/>
              </w:rPr>
            </w:pPr>
          </w:p>
          <w:p>
            <w:pPr>
              <w:pStyle w:val="TableParagraph"/>
              <w:ind w:left="147"/>
              <w:rPr>
                <w:rFonts w:ascii="宋体" w:eastAsia="宋体" w:hint="eastAsia"/>
                <w:sz w:val="21"/>
              </w:rPr>
            </w:pPr>
            <w:r>
              <w:rPr>
                <w:rFonts w:ascii="宋体" w:eastAsia="宋体" w:hint="eastAsia"/>
                <w:sz w:val="21"/>
              </w:rPr>
              <w:t>上市日期</w:t>
            </w:r>
          </w:p>
        </w:tc>
        <w:tc>
          <w:tcPr>
            <w:tcW w:w="1424" w:type="dxa"/>
            <w:tcBorders>
              <w:left w:val="single" w:sz="4" w:space="0" w:color="000000"/>
              <w:bottom w:val="single" w:sz="4" w:space="0" w:color="000000"/>
              <w:right w:val="single" w:sz="4" w:space="0" w:color="000000"/>
            </w:tcBorders>
            <w:shd w:val="clear" w:color="auto" w:fill="F1F1F1"/>
          </w:tcPr>
          <w:p>
            <w:pPr>
              <w:pStyle w:val="TableParagraph"/>
              <w:spacing w:before="1"/>
              <w:rPr>
                <w:rFonts w:ascii="宋体"/>
                <w:sz w:val="14"/>
              </w:rPr>
            </w:pPr>
          </w:p>
          <w:p>
            <w:pPr>
              <w:pStyle w:val="TableParagraph"/>
              <w:spacing w:line="278" w:lineRule="auto"/>
              <w:ind w:left="403" w:right="165" w:hanging="212"/>
              <w:rPr>
                <w:rFonts w:ascii="宋体" w:eastAsia="宋体" w:hint="eastAsia"/>
                <w:sz w:val="21"/>
              </w:rPr>
            </w:pPr>
            <w:r>
              <w:rPr>
                <w:rFonts w:ascii="宋体" w:eastAsia="宋体" w:hint="eastAsia"/>
                <w:sz w:val="21"/>
              </w:rPr>
              <w:t>获准上市交易数量</w:t>
            </w:r>
          </w:p>
        </w:tc>
        <w:tc>
          <w:tcPr>
            <w:tcW w:w="1119" w:type="dxa"/>
            <w:tcBorders>
              <w:left w:val="single" w:sz="4" w:space="0" w:color="000000"/>
              <w:bottom w:val="single" w:sz="4" w:space="0" w:color="000000"/>
            </w:tcBorders>
            <w:shd w:val="clear" w:color="auto" w:fill="F1F1F1"/>
          </w:tcPr>
          <w:p>
            <w:pPr>
              <w:pStyle w:val="TableParagraph"/>
              <w:spacing w:before="1"/>
              <w:rPr>
                <w:rFonts w:ascii="宋体"/>
                <w:sz w:val="14"/>
              </w:rPr>
            </w:pPr>
          </w:p>
          <w:p>
            <w:pPr>
              <w:pStyle w:val="TableParagraph"/>
              <w:spacing w:line="278" w:lineRule="auto"/>
              <w:ind w:left="355" w:right="107" w:hanging="209"/>
              <w:rPr>
                <w:rFonts w:ascii="宋体" w:eastAsia="宋体" w:hint="eastAsia"/>
                <w:sz w:val="21"/>
              </w:rPr>
            </w:pPr>
            <w:r>
              <w:rPr>
                <w:rFonts w:ascii="宋体" w:eastAsia="宋体" w:hint="eastAsia"/>
                <w:sz w:val="21"/>
              </w:rPr>
              <w:t>交易终止日期</w:t>
            </w:r>
          </w:p>
        </w:tc>
      </w:tr>
      <w:tr>
        <w:trPr>
          <w:trHeight w:val="311" w:hRule="atLeast"/>
        </w:trPr>
        <w:tc>
          <w:tcPr>
            <w:tcW w:w="9052" w:type="dxa"/>
            <w:gridSpan w:val="7"/>
            <w:tcBorders>
              <w:top w:val="single" w:sz="4" w:space="0" w:color="000000"/>
              <w:bottom w:val="single" w:sz="4" w:space="0" w:color="000000"/>
            </w:tcBorders>
          </w:tcPr>
          <w:p>
            <w:pPr>
              <w:pStyle w:val="TableParagraph"/>
              <w:spacing w:before="22"/>
              <w:ind w:left="107"/>
              <w:rPr>
                <w:rFonts w:ascii="宋体" w:eastAsia="宋体" w:hint="eastAsia"/>
                <w:sz w:val="21"/>
              </w:rPr>
            </w:pPr>
            <w:r>
              <w:rPr>
                <w:rFonts w:ascii="宋体" w:eastAsia="宋体" w:hint="eastAsia"/>
                <w:sz w:val="21"/>
              </w:rPr>
              <w:t>普通股股票类</w:t>
            </w:r>
          </w:p>
        </w:tc>
      </w:tr>
      <w:tr>
        <w:trPr>
          <w:trHeight w:val="623" w:hRule="atLeast"/>
        </w:trPr>
        <w:tc>
          <w:tcPr>
            <w:tcW w:w="1572" w:type="dxa"/>
            <w:tcBorders>
              <w:top w:val="single" w:sz="4" w:space="0" w:color="000000"/>
              <w:bottom w:val="single" w:sz="4" w:space="0" w:color="000000"/>
              <w:right w:val="single" w:sz="4" w:space="0" w:color="000000"/>
            </w:tcBorders>
          </w:tcPr>
          <w:p>
            <w:pPr>
              <w:pStyle w:val="TableParagraph"/>
              <w:spacing w:before="178"/>
              <w:ind w:left="559" w:right="538"/>
              <w:jc w:val="center"/>
              <w:rPr>
                <w:rFonts w:ascii="宋体" w:eastAsia="宋体" w:hint="eastAsia"/>
                <w:sz w:val="21"/>
              </w:rPr>
            </w:pPr>
            <w:r>
              <w:rPr>
                <w:sz w:val="21"/>
              </w:rPr>
              <w:t>H </w:t>
            </w:r>
            <w:r>
              <w:rPr>
                <w:rFonts w:ascii="宋体" w:eastAsia="宋体" w:hint="eastAsia"/>
                <w:sz w:val="21"/>
              </w:rPr>
              <w:t>股</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22"/>
              <w:ind w:right="84"/>
              <w:jc w:val="right"/>
              <w:rPr>
                <w:sz w:val="21"/>
              </w:rPr>
            </w:pPr>
            <w:r>
              <w:rPr>
                <w:sz w:val="21"/>
              </w:rPr>
              <w:t>2020 </w:t>
            </w:r>
            <w:r>
              <w:rPr>
                <w:rFonts w:ascii="宋体" w:eastAsia="宋体" w:hint="eastAsia"/>
                <w:spacing w:val="-26"/>
                <w:sz w:val="21"/>
              </w:rPr>
              <w:t>年 </w:t>
            </w:r>
            <w:r>
              <w:rPr>
                <w:sz w:val="21"/>
              </w:rPr>
              <w:t>12</w:t>
            </w:r>
          </w:p>
          <w:p>
            <w:pPr>
              <w:pStyle w:val="TableParagraph"/>
              <w:spacing w:before="43"/>
              <w:ind w:right="84"/>
              <w:jc w:val="right"/>
              <w:rPr>
                <w:rFonts w:ascii="宋体" w:eastAsia="宋体" w:hint="eastAsia"/>
                <w:sz w:val="21"/>
              </w:rPr>
            </w:pPr>
            <w:r>
              <w:rPr>
                <w:rFonts w:ascii="宋体" w:eastAsia="宋体" w:hint="eastAsia"/>
                <w:spacing w:val="-26"/>
                <w:sz w:val="21"/>
              </w:rPr>
              <w:t>月 </w:t>
            </w:r>
            <w:r>
              <w:rPr>
                <w:sz w:val="21"/>
              </w:rPr>
              <w:t>23 </w:t>
            </w:r>
            <w:r>
              <w:rPr>
                <w:rFonts w:ascii="宋体" w:eastAsia="宋体" w:hint="eastAsia"/>
                <w:sz w:val="21"/>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before="190"/>
              <w:ind w:right="88"/>
              <w:jc w:val="right"/>
              <w:rPr>
                <w:sz w:val="21"/>
              </w:rPr>
            </w:pPr>
            <w:r>
              <w:rPr>
                <w:w w:val="100"/>
                <w:sz w:val="21"/>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before="190"/>
              <w:ind w:left="95" w:right="71"/>
              <w:jc w:val="center"/>
              <w:rPr>
                <w:sz w:val="21"/>
              </w:rPr>
            </w:pPr>
            <w:r>
              <w:rPr>
                <w:sz w:val="21"/>
              </w:rPr>
              <w:t>2,448,279,814</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before="22"/>
              <w:ind w:right="85"/>
              <w:jc w:val="right"/>
              <w:rPr>
                <w:sz w:val="21"/>
              </w:rPr>
            </w:pPr>
            <w:r>
              <w:rPr>
                <w:sz w:val="21"/>
              </w:rPr>
              <w:t>2020</w:t>
            </w:r>
            <w:r>
              <w:rPr>
                <w:spacing w:val="-20"/>
                <w:sz w:val="21"/>
              </w:rPr>
              <w:t> </w:t>
            </w:r>
            <w:r>
              <w:rPr>
                <w:rFonts w:ascii="宋体" w:eastAsia="宋体" w:hint="eastAsia"/>
                <w:spacing w:val="31"/>
                <w:sz w:val="21"/>
              </w:rPr>
              <w:t>年</w:t>
            </w:r>
            <w:r>
              <w:rPr>
                <w:sz w:val="21"/>
              </w:rPr>
              <w:t>12</w:t>
            </w:r>
          </w:p>
          <w:p>
            <w:pPr>
              <w:pStyle w:val="TableParagraph"/>
              <w:spacing w:before="43"/>
              <w:ind w:right="85"/>
              <w:jc w:val="right"/>
              <w:rPr>
                <w:rFonts w:ascii="宋体" w:eastAsia="宋体" w:hint="eastAsia"/>
                <w:sz w:val="21"/>
              </w:rPr>
            </w:pPr>
            <w:r>
              <w:rPr>
                <w:rFonts w:ascii="宋体" w:eastAsia="宋体" w:hint="eastAsia"/>
                <w:spacing w:val="-27"/>
                <w:sz w:val="21"/>
              </w:rPr>
              <w:t>月 </w:t>
            </w:r>
            <w:r>
              <w:rPr>
                <w:sz w:val="21"/>
              </w:rPr>
              <w:t>23 </w:t>
            </w:r>
            <w:r>
              <w:rPr>
                <w:rFonts w:ascii="宋体" w:eastAsia="宋体" w:hint="eastAsia"/>
                <w:sz w:val="21"/>
              </w:rPr>
              <w:t>日</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before="190"/>
              <w:ind w:right="86"/>
              <w:jc w:val="right"/>
              <w:rPr>
                <w:sz w:val="21"/>
              </w:rPr>
            </w:pPr>
            <w:r>
              <w:rPr>
                <w:sz w:val="21"/>
              </w:rPr>
              <w:t>2,448,279,814</w:t>
            </w:r>
          </w:p>
        </w:tc>
        <w:tc>
          <w:tcPr>
            <w:tcW w:w="1119" w:type="dxa"/>
            <w:tcBorders>
              <w:top w:val="single" w:sz="4" w:space="0" w:color="000000"/>
              <w:left w:val="single" w:sz="4" w:space="0" w:color="000000"/>
              <w:bottom w:val="single" w:sz="4" w:space="0" w:color="000000"/>
            </w:tcBorders>
          </w:tcPr>
          <w:p>
            <w:pPr>
              <w:pStyle w:val="TableParagraph"/>
              <w:spacing w:before="190"/>
              <w:ind w:right="78"/>
              <w:jc w:val="right"/>
              <w:rPr>
                <w:sz w:val="21"/>
              </w:rPr>
            </w:pPr>
            <w:r>
              <w:rPr>
                <w:w w:val="100"/>
                <w:sz w:val="21"/>
              </w:rPr>
              <w:t>/</w:t>
            </w:r>
          </w:p>
        </w:tc>
      </w:tr>
      <w:tr>
        <w:trPr>
          <w:trHeight w:val="311" w:hRule="atLeast"/>
        </w:trPr>
        <w:tc>
          <w:tcPr>
            <w:tcW w:w="9052" w:type="dxa"/>
            <w:gridSpan w:val="7"/>
            <w:tcBorders>
              <w:top w:val="single" w:sz="4" w:space="0" w:color="000000"/>
              <w:bottom w:val="single" w:sz="4" w:space="0" w:color="000000"/>
            </w:tcBorders>
          </w:tcPr>
          <w:p>
            <w:pPr>
              <w:pStyle w:val="TableParagraph"/>
              <w:spacing w:before="22"/>
              <w:ind w:left="107"/>
              <w:rPr>
                <w:rFonts w:ascii="宋体" w:eastAsia="宋体" w:hint="eastAsia"/>
                <w:sz w:val="21"/>
              </w:rPr>
            </w:pPr>
            <w:r>
              <w:rPr>
                <w:rFonts w:ascii="宋体" w:eastAsia="宋体" w:hint="eastAsia"/>
                <w:sz w:val="21"/>
              </w:rPr>
              <w:t>可转换公司债券、分离交易可转债、公司债类</w:t>
            </w:r>
          </w:p>
        </w:tc>
      </w:tr>
      <w:tr>
        <w:trPr>
          <w:trHeight w:val="626" w:hRule="atLeast"/>
        </w:trPr>
        <w:tc>
          <w:tcPr>
            <w:tcW w:w="1572" w:type="dxa"/>
            <w:tcBorders>
              <w:top w:val="single" w:sz="4" w:space="0" w:color="000000"/>
              <w:right w:val="single" w:sz="4" w:space="0" w:color="000000"/>
            </w:tcBorders>
          </w:tcPr>
          <w:p>
            <w:pPr>
              <w:pStyle w:val="TableParagraph"/>
              <w:spacing w:before="25"/>
              <w:ind w:right="84"/>
              <w:jc w:val="right"/>
              <w:rPr>
                <w:rFonts w:ascii="宋体" w:eastAsia="宋体" w:hint="eastAsia"/>
                <w:sz w:val="21"/>
              </w:rPr>
            </w:pPr>
            <w:r>
              <w:rPr>
                <w:sz w:val="21"/>
              </w:rPr>
              <w:t>H</w:t>
            </w:r>
            <w:r>
              <w:rPr>
                <w:spacing w:val="7"/>
                <w:sz w:val="21"/>
              </w:rPr>
              <w:t> </w:t>
            </w:r>
            <w:r>
              <w:rPr>
                <w:rFonts w:ascii="宋体" w:eastAsia="宋体" w:hint="eastAsia"/>
                <w:spacing w:val="-3"/>
                <w:sz w:val="21"/>
              </w:rPr>
              <w:t>股可转换公</w:t>
            </w:r>
          </w:p>
          <w:p>
            <w:pPr>
              <w:pStyle w:val="TableParagraph"/>
              <w:spacing w:line="269" w:lineRule="exact" w:before="43"/>
              <w:ind w:right="84"/>
              <w:jc w:val="right"/>
              <w:rPr>
                <w:rFonts w:ascii="宋体" w:eastAsia="宋体" w:hint="eastAsia"/>
                <w:sz w:val="21"/>
              </w:rPr>
            </w:pPr>
            <w:r>
              <w:rPr>
                <w:rFonts w:ascii="宋体" w:eastAsia="宋体" w:hint="eastAsia"/>
                <w:sz w:val="21"/>
              </w:rPr>
              <w:t>司债券</w:t>
            </w:r>
          </w:p>
        </w:tc>
        <w:tc>
          <w:tcPr>
            <w:tcW w:w="1244" w:type="dxa"/>
            <w:tcBorders>
              <w:top w:val="single" w:sz="4" w:space="0" w:color="000000"/>
              <w:left w:val="single" w:sz="4" w:space="0" w:color="000000"/>
              <w:right w:val="single" w:sz="4" w:space="0" w:color="000000"/>
            </w:tcBorders>
          </w:tcPr>
          <w:p>
            <w:pPr>
              <w:pStyle w:val="TableParagraph"/>
              <w:spacing w:before="25"/>
              <w:ind w:right="84"/>
              <w:jc w:val="right"/>
              <w:rPr>
                <w:sz w:val="21"/>
              </w:rPr>
            </w:pPr>
            <w:r>
              <w:rPr>
                <w:sz w:val="21"/>
              </w:rPr>
              <w:t>2020 </w:t>
            </w:r>
            <w:r>
              <w:rPr>
                <w:rFonts w:ascii="宋体" w:eastAsia="宋体" w:hint="eastAsia"/>
                <w:spacing w:val="-26"/>
                <w:sz w:val="21"/>
              </w:rPr>
              <w:t>年 </w:t>
            </w:r>
            <w:r>
              <w:rPr>
                <w:sz w:val="21"/>
              </w:rPr>
              <w:t>12</w:t>
            </w:r>
          </w:p>
          <w:p>
            <w:pPr>
              <w:pStyle w:val="TableParagraph"/>
              <w:spacing w:line="269" w:lineRule="exact" w:before="43"/>
              <w:ind w:right="84"/>
              <w:jc w:val="right"/>
              <w:rPr>
                <w:rFonts w:ascii="宋体" w:eastAsia="宋体" w:hint="eastAsia"/>
                <w:sz w:val="21"/>
              </w:rPr>
            </w:pPr>
            <w:r>
              <w:rPr>
                <w:rFonts w:ascii="宋体" w:eastAsia="宋体" w:hint="eastAsia"/>
                <w:spacing w:val="-26"/>
                <w:sz w:val="21"/>
              </w:rPr>
              <w:t>月 </w:t>
            </w:r>
            <w:r>
              <w:rPr>
                <w:sz w:val="21"/>
              </w:rPr>
              <w:t>23 </w:t>
            </w:r>
            <w:r>
              <w:rPr>
                <w:rFonts w:ascii="宋体" w:eastAsia="宋体" w:hint="eastAsia"/>
                <w:sz w:val="21"/>
              </w:rPr>
              <w:t>日</w:t>
            </w:r>
          </w:p>
        </w:tc>
        <w:tc>
          <w:tcPr>
            <w:tcW w:w="1150" w:type="dxa"/>
            <w:tcBorders>
              <w:top w:val="single" w:sz="4" w:space="0" w:color="000000"/>
              <w:left w:val="single" w:sz="4" w:space="0" w:color="000000"/>
              <w:right w:val="single" w:sz="4" w:space="0" w:color="000000"/>
            </w:tcBorders>
          </w:tcPr>
          <w:p>
            <w:pPr>
              <w:pStyle w:val="TableParagraph"/>
              <w:spacing w:before="192"/>
              <w:ind w:right="88"/>
              <w:jc w:val="right"/>
              <w:rPr>
                <w:sz w:val="21"/>
              </w:rPr>
            </w:pPr>
            <w:r>
              <w:rPr>
                <w:w w:val="100"/>
                <w:sz w:val="21"/>
              </w:rPr>
              <w:t>/</w:t>
            </w:r>
          </w:p>
        </w:tc>
        <w:tc>
          <w:tcPr>
            <w:tcW w:w="1424" w:type="dxa"/>
            <w:tcBorders>
              <w:top w:val="single" w:sz="4" w:space="0" w:color="000000"/>
              <w:left w:val="single" w:sz="4" w:space="0" w:color="000000"/>
              <w:right w:val="single" w:sz="4" w:space="0" w:color="000000"/>
            </w:tcBorders>
          </w:tcPr>
          <w:p>
            <w:pPr>
              <w:pStyle w:val="TableParagraph"/>
              <w:spacing w:before="192"/>
              <w:ind w:left="95" w:right="71"/>
              <w:jc w:val="center"/>
              <w:rPr>
                <w:sz w:val="21"/>
              </w:rPr>
            </w:pPr>
            <w:r>
              <w:rPr>
                <w:sz w:val="21"/>
              </w:rPr>
              <w:t>7,993,000,000</w:t>
            </w:r>
          </w:p>
        </w:tc>
        <w:tc>
          <w:tcPr>
            <w:tcW w:w="1119" w:type="dxa"/>
            <w:tcBorders>
              <w:top w:val="single" w:sz="4" w:space="0" w:color="000000"/>
              <w:left w:val="single" w:sz="4" w:space="0" w:color="000000"/>
              <w:right w:val="single" w:sz="4" w:space="0" w:color="000000"/>
            </w:tcBorders>
          </w:tcPr>
          <w:p>
            <w:pPr>
              <w:pStyle w:val="TableParagraph"/>
              <w:spacing w:before="25"/>
              <w:ind w:right="85"/>
              <w:jc w:val="right"/>
              <w:rPr>
                <w:sz w:val="21"/>
              </w:rPr>
            </w:pPr>
            <w:r>
              <w:rPr>
                <w:sz w:val="21"/>
              </w:rPr>
              <w:t>2020</w:t>
            </w:r>
            <w:r>
              <w:rPr>
                <w:spacing w:val="-20"/>
                <w:sz w:val="21"/>
              </w:rPr>
              <w:t> </w:t>
            </w:r>
            <w:r>
              <w:rPr>
                <w:rFonts w:ascii="宋体" w:eastAsia="宋体" w:hint="eastAsia"/>
                <w:spacing w:val="31"/>
                <w:sz w:val="21"/>
              </w:rPr>
              <w:t>年</w:t>
            </w:r>
            <w:r>
              <w:rPr>
                <w:sz w:val="21"/>
              </w:rPr>
              <w:t>12</w:t>
            </w:r>
          </w:p>
          <w:p>
            <w:pPr>
              <w:pStyle w:val="TableParagraph"/>
              <w:spacing w:line="269" w:lineRule="exact" w:before="43"/>
              <w:ind w:right="85"/>
              <w:jc w:val="right"/>
              <w:rPr>
                <w:rFonts w:ascii="宋体" w:eastAsia="宋体" w:hint="eastAsia"/>
                <w:sz w:val="21"/>
              </w:rPr>
            </w:pPr>
            <w:r>
              <w:rPr>
                <w:rFonts w:ascii="宋体" w:eastAsia="宋体" w:hint="eastAsia"/>
                <w:spacing w:val="-27"/>
                <w:sz w:val="21"/>
              </w:rPr>
              <w:t>月 </w:t>
            </w:r>
            <w:r>
              <w:rPr>
                <w:sz w:val="21"/>
              </w:rPr>
              <w:t>23 </w:t>
            </w:r>
            <w:r>
              <w:rPr>
                <w:rFonts w:ascii="宋体" w:eastAsia="宋体" w:hint="eastAsia"/>
                <w:sz w:val="21"/>
              </w:rPr>
              <w:t>日</w:t>
            </w:r>
          </w:p>
        </w:tc>
        <w:tc>
          <w:tcPr>
            <w:tcW w:w="1424" w:type="dxa"/>
            <w:tcBorders>
              <w:top w:val="single" w:sz="4" w:space="0" w:color="000000"/>
              <w:left w:val="single" w:sz="4" w:space="0" w:color="000000"/>
              <w:right w:val="single" w:sz="4" w:space="0" w:color="000000"/>
            </w:tcBorders>
          </w:tcPr>
          <w:p>
            <w:pPr>
              <w:pStyle w:val="TableParagraph"/>
              <w:spacing w:before="192"/>
              <w:ind w:right="86"/>
              <w:jc w:val="right"/>
              <w:rPr>
                <w:sz w:val="21"/>
              </w:rPr>
            </w:pPr>
            <w:r>
              <w:rPr>
                <w:sz w:val="21"/>
              </w:rPr>
              <w:t>7,993,000,000</w:t>
            </w:r>
          </w:p>
        </w:tc>
        <w:tc>
          <w:tcPr>
            <w:tcW w:w="1119" w:type="dxa"/>
            <w:tcBorders>
              <w:top w:val="single" w:sz="4" w:space="0" w:color="000000"/>
              <w:left w:val="single" w:sz="4" w:space="0" w:color="000000"/>
            </w:tcBorders>
          </w:tcPr>
          <w:p>
            <w:pPr>
              <w:pStyle w:val="TableParagraph"/>
              <w:spacing w:before="25"/>
              <w:ind w:right="79"/>
              <w:jc w:val="right"/>
              <w:rPr>
                <w:sz w:val="21"/>
              </w:rPr>
            </w:pPr>
            <w:r>
              <w:rPr>
                <w:sz w:val="21"/>
              </w:rPr>
              <w:t>2022</w:t>
            </w:r>
            <w:r>
              <w:rPr>
                <w:spacing w:val="-18"/>
                <w:sz w:val="21"/>
              </w:rPr>
              <w:t> </w:t>
            </w:r>
            <w:r>
              <w:rPr>
                <w:rFonts w:ascii="宋体" w:eastAsia="宋体" w:hint="eastAsia"/>
                <w:spacing w:val="31"/>
                <w:sz w:val="21"/>
              </w:rPr>
              <w:t>年</w:t>
            </w:r>
            <w:r>
              <w:rPr>
                <w:spacing w:val="-3"/>
                <w:sz w:val="21"/>
              </w:rPr>
              <w:t>11</w:t>
            </w:r>
          </w:p>
          <w:p>
            <w:pPr>
              <w:pStyle w:val="TableParagraph"/>
              <w:spacing w:line="269" w:lineRule="exact" w:before="43"/>
              <w:ind w:right="76"/>
              <w:jc w:val="right"/>
              <w:rPr>
                <w:rFonts w:ascii="宋体" w:eastAsia="宋体" w:hint="eastAsia"/>
                <w:sz w:val="21"/>
              </w:rPr>
            </w:pPr>
            <w:r>
              <w:rPr>
                <w:rFonts w:ascii="宋体" w:eastAsia="宋体" w:hint="eastAsia"/>
                <w:spacing w:val="-27"/>
                <w:sz w:val="21"/>
              </w:rPr>
              <w:t>月 </w:t>
            </w:r>
            <w:r>
              <w:rPr>
                <w:sz w:val="21"/>
              </w:rPr>
              <w:t>21 </w:t>
            </w:r>
            <w:r>
              <w:rPr>
                <w:rFonts w:ascii="宋体" w:eastAsia="宋体" w:hint="eastAsia"/>
                <w:sz w:val="21"/>
              </w:rPr>
              <w:t>日</w:t>
            </w:r>
          </w:p>
        </w:tc>
      </w:tr>
    </w:tbl>
    <w:p>
      <w:pPr>
        <w:pStyle w:val="BodyText"/>
        <w:spacing w:before="23"/>
        <w:ind w:left="238"/>
      </w:pPr>
      <w:r>
        <w:rPr>
          <w:w w:val="100"/>
        </w:rPr>
        <w:t> </w:t>
      </w:r>
    </w:p>
    <w:p>
      <w:pPr>
        <w:pStyle w:val="BodyText"/>
        <w:spacing w:before="42"/>
        <w:ind w:left="238"/>
      </w:pPr>
      <w:r>
        <w:rPr/>
        <w:t>截至报告期内证券发行情况的说明（存续期内利率不同的债券，请分别说明）：</w:t>
      </w:r>
    </w:p>
    <w:p>
      <w:pPr>
        <w:pStyle w:val="BodyText"/>
        <w:spacing w:before="43"/>
        <w:ind w:left="662"/>
        <w:jc w:val="both"/>
      </w:pPr>
      <w:r>
        <w:rPr>
          <w:rFonts w:ascii="Times New Roman" w:hAnsi="Times New Roman" w:eastAsia="Times New Roman"/>
        </w:rPr>
        <w:t>√</w:t>
      </w:r>
      <w:r>
        <w:rPr/>
        <w:t>适用 </w:t>
      </w:r>
      <w:r>
        <w:rPr>
          <w:rFonts w:ascii="Times New Roman" w:hAnsi="Times New Roman" w:eastAsia="Times New Roman"/>
        </w:rPr>
        <w:t>□</w:t>
      </w:r>
      <w:r>
        <w:rPr/>
        <w:t>不适用</w:t>
      </w:r>
    </w:p>
    <w:p>
      <w:pPr>
        <w:pStyle w:val="BodyText"/>
        <w:spacing w:line="417" w:lineRule="auto" w:before="120"/>
        <w:ind w:left="238" w:right="808" w:firstLine="424"/>
        <w:jc w:val="both"/>
      </w:pPr>
      <w:r>
        <w:rPr>
          <w:rFonts w:ascii="Times New Roman" w:hAnsi="Times New Roman" w:eastAsia="Times New Roman"/>
        </w:rPr>
        <w:t>2020 </w:t>
      </w:r>
      <w:r>
        <w:rPr>
          <w:spacing w:val="3"/>
        </w:rPr>
        <w:t>年 </w:t>
      </w:r>
      <w:r>
        <w:rPr>
          <w:rFonts w:ascii="Times New Roman" w:hAnsi="Times New Roman" w:eastAsia="Times New Roman"/>
        </w:rPr>
        <w:t>10 </w:t>
      </w:r>
      <w:r>
        <w:rPr>
          <w:spacing w:val="2"/>
        </w:rPr>
        <w:t>月 </w:t>
      </w:r>
      <w:r>
        <w:rPr>
          <w:rFonts w:ascii="Times New Roman" w:hAnsi="Times New Roman" w:eastAsia="Times New Roman"/>
        </w:rPr>
        <w:t>27 </w:t>
      </w:r>
      <w:r>
        <w:rPr>
          <w:spacing w:val="-3"/>
        </w:rPr>
        <w:t>日，中国证监会核发《关于核准海尔智家股份有限公司发行境外 上市外</w:t>
      </w:r>
      <w:r>
        <w:rPr>
          <w:spacing w:val="-6"/>
        </w:rPr>
        <w:t>资股及可转换公司债券的批复》</w:t>
      </w:r>
      <w:r>
        <w:rPr>
          <w:spacing w:val="-3"/>
        </w:rPr>
        <w:t>（</w:t>
      </w:r>
      <w:r>
        <w:rPr>
          <w:spacing w:val="-2"/>
        </w:rPr>
        <w:t>证监许可</w:t>
      </w:r>
      <w:r>
        <w:rPr>
          <w:rFonts w:ascii="Times New Roman" w:hAnsi="Times New Roman" w:eastAsia="Times New Roman"/>
        </w:rPr>
        <w:t>[2020]2768 </w:t>
      </w:r>
      <w:r>
        <w:rPr>
          <w:spacing w:val="-3"/>
        </w:rPr>
        <w:t>号</w:t>
      </w:r>
      <w:r>
        <w:rPr>
          <w:spacing w:val="-18"/>
        </w:rPr>
        <w:t>）（</w:t>
      </w:r>
      <w:r>
        <w:rPr>
          <w:spacing w:val="-3"/>
        </w:rPr>
        <w:t>以下简称</w:t>
      </w:r>
      <w:r>
        <w:rPr>
          <w:rFonts w:ascii="Times New Roman" w:hAnsi="Times New Roman" w:eastAsia="Times New Roman"/>
        </w:rPr>
        <w:t>“</w:t>
      </w:r>
      <w:r>
        <w:rPr>
          <w:spacing w:val="-1"/>
        </w:rPr>
        <w:t>中国证 监会批复</w:t>
      </w:r>
      <w:r>
        <w:rPr>
          <w:rFonts w:ascii="Times New Roman" w:hAnsi="Times New Roman" w:eastAsia="Times New Roman"/>
          <w:spacing w:val="-14"/>
        </w:rPr>
        <w:t>”</w:t>
      </w:r>
      <w:r>
        <w:rPr>
          <w:spacing w:val="-14"/>
        </w:rPr>
        <w:t>）</w:t>
      </w:r>
      <w:r>
        <w:rPr>
          <w:spacing w:val="-7"/>
        </w:rPr>
        <w:t>，核准：（</w:t>
      </w:r>
      <w:r>
        <w:rPr>
          <w:rFonts w:ascii="Times New Roman" w:hAnsi="Times New Roman" w:eastAsia="Times New Roman"/>
          <w:spacing w:val="-7"/>
        </w:rPr>
        <w:t>1</w:t>
      </w:r>
      <w:r>
        <w:rPr>
          <w:spacing w:val="-7"/>
        </w:rPr>
        <w:t>）</w:t>
      </w:r>
      <w:r>
        <w:rPr>
          <w:spacing w:val="-4"/>
        </w:rPr>
        <w:t>海尔智家发行不超过 </w:t>
      </w:r>
      <w:r>
        <w:rPr>
          <w:rFonts w:ascii="Times New Roman" w:hAnsi="Times New Roman" w:eastAsia="Times New Roman"/>
        </w:rPr>
        <w:t>2,856,526,138 </w:t>
      </w:r>
      <w:r>
        <w:rPr/>
        <w:t>股</w:t>
      </w:r>
      <w:r>
        <w:rPr>
          <w:spacing w:val="-3"/>
        </w:rPr>
        <w:t>（</w:t>
      </w:r>
      <w:r>
        <w:rPr/>
        <w:t>含不超过 </w:t>
      </w:r>
      <w:r>
        <w:rPr>
          <w:rFonts w:ascii="Times New Roman" w:hAnsi="Times New Roman" w:eastAsia="Times New Roman"/>
        </w:rPr>
        <w:t>80 </w:t>
      </w:r>
      <w:r>
        <w:rPr>
          <w:spacing w:val="-3"/>
        </w:rPr>
        <w:t>亿港元 或等值外币可转换公司</w:t>
      </w:r>
    </w:p>
    <w:p>
      <w:pPr>
        <w:spacing w:after="0" w:line="417" w:lineRule="auto"/>
        <w:jc w:val="both"/>
        <w:sectPr>
          <w:headerReference w:type="default" r:id="rId59"/>
          <w:footerReference w:type="default" r:id="rId60"/>
          <w:pgSz w:w="11910" w:h="16840"/>
          <w:pgMar w:header="874" w:footer="1214" w:top="1500" w:bottom="1400" w:left="1560" w:right="460"/>
          <w:pgNumType w:start="7"/>
        </w:sectPr>
      </w:pPr>
    </w:p>
    <w:p>
      <w:pPr>
        <w:pStyle w:val="BodyText"/>
        <w:spacing w:line="417" w:lineRule="auto" w:before="110"/>
        <w:ind w:left="238" w:right="707"/>
      </w:pPr>
      <w:r>
        <w:rPr>
          <w:spacing w:val="-3"/>
        </w:rPr>
        <w:t>债券持有人行使转股权而增发的股份</w:t>
      </w:r>
      <w:r>
        <w:rPr/>
        <w:t>）</w:t>
      </w:r>
      <w:r>
        <w:rPr>
          <w:spacing w:val="-2"/>
        </w:rPr>
        <w:t>境外上市外资股，每股面值人民币 </w:t>
      </w:r>
      <w:r>
        <w:rPr>
          <w:rFonts w:ascii="Times New Roman" w:eastAsia="Times New Roman"/>
        </w:rPr>
        <w:t>1 </w:t>
      </w:r>
      <w:r>
        <w:rPr>
          <w:spacing w:val="-2"/>
        </w:rPr>
        <w:t>元，全部为普通股。</w:t>
      </w:r>
      <w:r>
        <w:rPr>
          <w:spacing w:val="-7"/>
        </w:rPr>
        <w:t>完成本次发行后，海尔智家可到香港联交所主板上市；</w:t>
      </w:r>
      <w:r>
        <w:rPr>
          <w:spacing w:val="-19"/>
        </w:rPr>
        <w:t>（</w:t>
      </w:r>
      <w:r>
        <w:rPr>
          <w:rFonts w:ascii="Times New Roman" w:eastAsia="Times New Roman"/>
          <w:spacing w:val="-19"/>
        </w:rPr>
        <w:t>2</w:t>
      </w:r>
      <w:r>
        <w:rPr>
          <w:spacing w:val="-19"/>
        </w:rPr>
        <w:t>）</w:t>
      </w:r>
      <w:r>
        <w:rPr>
          <w:spacing w:val="-3"/>
        </w:rPr>
        <w:t>海尔智家担保的境外全资下属公司在</w:t>
      </w:r>
      <w:r>
        <w:rPr>
          <w:spacing w:val="-8"/>
        </w:rPr>
        <w:t>境外发行不超过 </w:t>
      </w:r>
      <w:r>
        <w:rPr>
          <w:rFonts w:ascii="Times New Roman" w:eastAsia="Times New Roman"/>
        </w:rPr>
        <w:t>80 </w:t>
      </w:r>
      <w:r>
        <w:rPr>
          <w:spacing w:val="-7"/>
        </w:rPr>
        <w:t>亿港元或等值外币可转换为发行人境外上市外资股的公司债券。据此及相关各</w:t>
      </w:r>
      <w:r>
        <w:rPr>
          <w:spacing w:val="-8"/>
        </w:rPr>
        <w:t>方的批准，公司及公司全资下属公司 </w:t>
      </w:r>
      <w:r>
        <w:rPr>
          <w:rFonts w:ascii="Times New Roman" w:eastAsia="Times New Roman"/>
        </w:rPr>
        <w:t>Harvest International Company </w:t>
      </w:r>
      <w:r>
        <w:rPr>
          <w:spacing w:val="-25"/>
        </w:rPr>
        <w:t>于 </w:t>
      </w:r>
      <w:r>
        <w:rPr>
          <w:rFonts w:ascii="Times New Roman" w:eastAsia="Times New Roman"/>
        </w:rPr>
        <w:t>2020 </w:t>
      </w:r>
      <w:r>
        <w:rPr>
          <w:spacing w:val="-26"/>
        </w:rPr>
        <w:t>年 </w:t>
      </w:r>
      <w:r>
        <w:rPr>
          <w:rFonts w:ascii="Times New Roman" w:eastAsia="Times New Roman"/>
        </w:rPr>
        <w:t>12 </w:t>
      </w:r>
      <w:r>
        <w:rPr>
          <w:spacing w:val="-25"/>
        </w:rPr>
        <w:t>月 </w:t>
      </w:r>
      <w:r>
        <w:rPr>
          <w:rFonts w:ascii="Times New Roman" w:eastAsia="Times New Roman"/>
        </w:rPr>
        <w:t>23 </w:t>
      </w:r>
      <w:r>
        <w:rPr>
          <w:spacing w:val="-3"/>
        </w:rPr>
        <w:t>日在香港 </w:t>
      </w:r>
      <w:r>
        <w:rPr>
          <w:spacing w:val="-9"/>
        </w:rPr>
        <w:t>联交所分别发行了 </w:t>
      </w:r>
      <w:r>
        <w:rPr>
          <w:rFonts w:ascii="Times New Roman" w:eastAsia="Times New Roman"/>
        </w:rPr>
        <w:t>2,448,279,814 </w:t>
      </w:r>
      <w:r>
        <w:rPr>
          <w:spacing w:val="50"/>
        </w:rPr>
        <w:t>股</w:t>
      </w:r>
      <w:r>
        <w:rPr>
          <w:rFonts w:ascii="Times New Roman" w:eastAsia="Times New Roman"/>
        </w:rPr>
        <w:t>H </w:t>
      </w:r>
      <w:r>
        <w:rPr>
          <w:spacing w:val="-3"/>
        </w:rPr>
        <w:t>股以及可转换债券</w:t>
      </w:r>
      <w:r>
        <w:rPr/>
        <w:t>（</w:t>
      </w:r>
      <w:r>
        <w:rPr>
          <w:rFonts w:ascii="Times New Roman" w:eastAsia="Times New Roman"/>
        </w:rPr>
        <w:t>2017 </w:t>
      </w:r>
      <w:r>
        <w:rPr>
          <w:spacing w:val="-25"/>
        </w:rPr>
        <w:t>年 </w:t>
      </w:r>
      <w:r>
        <w:rPr>
          <w:rFonts w:ascii="Times New Roman" w:eastAsia="Times New Roman"/>
        </w:rPr>
        <w:t>11 </w:t>
      </w:r>
      <w:r>
        <w:rPr>
          <w:spacing w:val="-13"/>
        </w:rPr>
        <w:t>月发行的 </w:t>
      </w:r>
      <w:r>
        <w:rPr>
          <w:rFonts w:ascii="Times New Roman" w:eastAsia="Times New Roman"/>
        </w:rPr>
        <w:t>80 </w:t>
      </w:r>
      <w:r>
        <w:rPr>
          <w:spacing w:val="-3"/>
        </w:rPr>
        <w:t>亿港元可交换</w:t>
      </w:r>
      <w:r>
        <w:rPr>
          <w:spacing w:val="-5"/>
        </w:rPr>
        <w:t>债券转换为可转换债券，实际生效的可转换债券为 </w:t>
      </w:r>
      <w:r>
        <w:rPr>
          <w:rFonts w:ascii="Times New Roman" w:eastAsia="Times New Roman"/>
        </w:rPr>
        <w:t>79.93 </w:t>
      </w:r>
      <w:r>
        <w:rPr>
          <w:spacing w:val="2"/>
        </w:rPr>
        <w:t>亿港元，可转换为公司</w:t>
      </w:r>
      <w:r>
        <w:rPr>
          <w:rFonts w:ascii="Times New Roman" w:eastAsia="Times New Roman"/>
        </w:rPr>
        <w:t>H </w:t>
      </w:r>
      <w:r>
        <w:rPr>
          <w:spacing w:val="-3"/>
        </w:rPr>
        <w:t>股</w:t>
      </w:r>
      <w:r>
        <w:rPr/>
        <w:t>）</w:t>
      </w:r>
      <w:r>
        <w:rPr>
          <w:spacing w:val="-3"/>
        </w:rPr>
        <w:t>。详情参</w:t>
      </w:r>
      <w:r>
        <w:rPr>
          <w:spacing w:val="-5"/>
        </w:rPr>
        <w:t>见本公司报告期内在香港市场披露的招股书等文件以及 </w:t>
      </w:r>
      <w:r>
        <w:rPr>
          <w:rFonts w:ascii="Times New Roman" w:eastAsia="Times New Roman"/>
        </w:rPr>
        <w:t>2020 </w:t>
      </w:r>
      <w:r>
        <w:rPr>
          <w:spacing w:val="-24"/>
        </w:rPr>
        <w:t>年 </w:t>
      </w:r>
      <w:r>
        <w:rPr>
          <w:rFonts w:ascii="Times New Roman" w:eastAsia="Times New Roman"/>
        </w:rPr>
        <w:t>12 </w:t>
      </w:r>
      <w:r>
        <w:rPr>
          <w:spacing w:val="-24"/>
        </w:rPr>
        <w:t>月 </w:t>
      </w:r>
      <w:r>
        <w:rPr>
          <w:rFonts w:ascii="Times New Roman" w:eastAsia="Times New Roman"/>
        </w:rPr>
        <w:t>26 </w:t>
      </w:r>
      <w:r>
        <w:rPr>
          <w:spacing w:val="-12"/>
        </w:rPr>
        <w:t>日披露的《重大资产购买</w:t>
      </w:r>
      <w:r>
        <w:rPr>
          <w:spacing w:val="-6"/>
        </w:rPr>
        <w:t>暨关联交易实施情况报告书》等相关文件。</w:t>
      </w:r>
    </w:p>
    <w:p>
      <w:pPr>
        <w:pStyle w:val="BodyText"/>
        <w:spacing w:before="7"/>
        <w:rPr>
          <w:sz w:val="17"/>
        </w:rPr>
      </w:pPr>
    </w:p>
    <w:p>
      <w:pPr>
        <w:pStyle w:val="Heading4"/>
        <w:ind w:left="238"/>
      </w:pPr>
      <w:r>
        <w:rPr>
          <w:w w:val="125"/>
        </w:rPr>
        <w:t>(</w:t>
      </w:r>
      <w:r>
        <w:rPr/>
        <w:t>二</w:t>
      </w:r>
      <w:r>
        <w:rPr>
          <w:w w:val="125"/>
        </w:rPr>
        <w:t>)</w:t>
      </w:r>
      <w:r>
        <w:rPr/>
        <w:t>公司普通股股份总数及股东结构变动及公司资产和负债结构的变动情况</w:t>
      </w:r>
    </w:p>
    <w:p>
      <w:pPr>
        <w:pStyle w:val="BodyText"/>
        <w:spacing w:before="55"/>
        <w:ind w:left="662"/>
        <w:jc w:val="both"/>
      </w:pPr>
      <w:r>
        <w:rPr>
          <w:rFonts w:ascii="Times New Roman" w:hAnsi="Times New Roman" w:eastAsia="Times New Roman"/>
        </w:rPr>
        <w:t>√</w:t>
      </w:r>
      <w:r>
        <w:rPr/>
        <w:t>适用 </w:t>
      </w:r>
      <w:r>
        <w:rPr>
          <w:rFonts w:ascii="Times New Roman" w:hAnsi="Times New Roman" w:eastAsia="Times New Roman"/>
        </w:rPr>
        <w:t>□</w:t>
      </w:r>
      <w:r>
        <w:rPr/>
        <w:t>不适用</w:t>
      </w:r>
    </w:p>
    <w:p>
      <w:pPr>
        <w:pStyle w:val="BodyText"/>
        <w:spacing w:line="417" w:lineRule="auto" w:before="120"/>
        <w:ind w:left="238" w:right="807" w:firstLine="424"/>
        <w:jc w:val="both"/>
      </w:pPr>
      <w:r>
        <w:rPr>
          <w:spacing w:val="-11"/>
        </w:rPr>
        <w:t>公司普通股股份总数及股东结构变动请分别参见本章节“一、普通股股本变动情况”及“三、</w:t>
      </w:r>
      <w:r>
        <w:rPr>
          <w:spacing w:val="-6"/>
        </w:rPr>
        <w:t>股东和实际控制人情况”的相关表述，该变动对公司资产负债表等中如“实收资本</w:t>
      </w:r>
      <w:r>
        <w:rPr/>
        <w:t>（</w:t>
      </w:r>
      <w:r>
        <w:rPr>
          <w:spacing w:val="-3"/>
        </w:rPr>
        <w:t>或股本</w:t>
      </w:r>
      <w:r>
        <w:rPr/>
        <w:t>）” </w:t>
      </w:r>
      <w:r>
        <w:rPr>
          <w:spacing w:val="-3"/>
        </w:rPr>
        <w:t>等科目的影响，请关注本报告“第十一节 财务报告”的相关内容。</w:t>
      </w:r>
    </w:p>
    <w:p>
      <w:pPr>
        <w:pStyle w:val="BodyText"/>
        <w:spacing w:before="7"/>
        <w:rPr>
          <w:sz w:val="17"/>
        </w:rPr>
      </w:pPr>
    </w:p>
    <w:p>
      <w:pPr>
        <w:pStyle w:val="Heading4"/>
        <w:ind w:left="238"/>
      </w:pPr>
      <w:r>
        <w:rPr>
          <w:w w:val="125"/>
        </w:rPr>
        <w:t>(</w:t>
      </w:r>
      <w:r>
        <w:rPr>
          <w:w w:val="105"/>
        </w:rPr>
        <w:t>三</w:t>
      </w:r>
      <w:r>
        <w:rPr>
          <w:w w:val="125"/>
        </w:rPr>
        <w:t>)</w:t>
      </w:r>
      <w:r>
        <w:rPr>
          <w:w w:val="105"/>
        </w:rPr>
        <w:t>现存的内部职工股情况</w:t>
      </w:r>
    </w:p>
    <w:p>
      <w:pPr>
        <w:pStyle w:val="BodyText"/>
        <w:spacing w:before="56"/>
        <w:ind w:left="662"/>
        <w:jc w:val="both"/>
      </w:pPr>
      <w:r>
        <w:rPr>
          <w:rFonts w:ascii="Times New Roman" w:hAnsi="Times New Roman" w:eastAsia="Times New Roman"/>
        </w:rPr>
        <w:t>□</w:t>
      </w:r>
      <w:r>
        <w:rPr/>
        <w:t>适用 </w:t>
      </w:r>
      <w:r>
        <w:rPr>
          <w:rFonts w:ascii="Times New Roman" w:hAnsi="Times New Roman" w:eastAsia="Times New Roman"/>
        </w:rPr>
        <w:t>√</w:t>
      </w:r>
      <w:r>
        <w:rPr/>
        <w:t>不适用</w:t>
      </w:r>
    </w:p>
    <w:p>
      <w:pPr>
        <w:pStyle w:val="Heading4"/>
        <w:spacing w:line="379" w:lineRule="exact" w:before="34"/>
        <w:ind w:left="238"/>
      </w:pPr>
      <w:r>
        <w:rPr/>
        <w:t>三、 股东和实际控制人情况</w:t>
      </w:r>
    </w:p>
    <w:p>
      <w:pPr>
        <w:pStyle w:val="Heading4"/>
        <w:spacing w:line="379" w:lineRule="exact" w:after="32"/>
        <w:ind w:left="238"/>
      </w:pPr>
      <w:r>
        <w:rPr>
          <w:rFonts w:ascii="Times New Roman" w:eastAsia="Times New Roman"/>
        </w:rPr>
        <w:t>(</w:t>
      </w:r>
      <w:r>
        <w:rPr/>
        <w:t>一</w:t>
      </w:r>
      <w:r>
        <w:rPr>
          <w:rFonts w:ascii="Times New Roman" w:eastAsia="Times New Roman"/>
        </w:rPr>
        <w:t>) </w:t>
      </w:r>
      <w:r>
        <w:rPr/>
        <w:t>股东总数</w:t>
      </w:r>
    </w:p>
    <w:tbl>
      <w:tblPr>
        <w:tblW w:w="0" w:type="auto"/>
        <w:jc w:val="left"/>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639"/>
        <w:gridCol w:w="3411"/>
      </w:tblGrid>
      <w:tr>
        <w:trPr>
          <w:trHeight w:val="313" w:hRule="atLeast"/>
        </w:trPr>
        <w:tc>
          <w:tcPr>
            <w:tcW w:w="5639" w:type="dxa"/>
            <w:tcBorders>
              <w:bottom w:val="single" w:sz="4" w:space="0" w:color="000000"/>
              <w:right w:val="single" w:sz="4" w:space="0" w:color="000000"/>
            </w:tcBorders>
            <w:shd w:val="clear" w:color="auto" w:fill="EDEBE0"/>
          </w:tcPr>
          <w:p>
            <w:pPr>
              <w:pStyle w:val="TableParagraph"/>
              <w:spacing w:before="24"/>
              <w:ind w:left="107"/>
              <w:rPr>
                <w:sz w:val="21"/>
              </w:rPr>
            </w:pPr>
            <w:r>
              <w:rPr>
                <w:rFonts w:ascii="宋体" w:eastAsia="宋体" w:hint="eastAsia"/>
                <w:sz w:val="21"/>
              </w:rPr>
              <w:t>截止报告期末普通股股东总数</w:t>
            </w:r>
            <w:r>
              <w:rPr>
                <w:sz w:val="21"/>
              </w:rPr>
              <w:t>(</w:t>
            </w:r>
            <w:r>
              <w:rPr>
                <w:rFonts w:ascii="宋体" w:eastAsia="宋体" w:hint="eastAsia"/>
                <w:sz w:val="21"/>
              </w:rPr>
              <w:t>户</w:t>
            </w:r>
            <w:r>
              <w:rPr>
                <w:sz w:val="21"/>
              </w:rPr>
              <w:t>)</w:t>
            </w:r>
          </w:p>
        </w:tc>
        <w:tc>
          <w:tcPr>
            <w:tcW w:w="3411" w:type="dxa"/>
            <w:tcBorders>
              <w:left w:val="single" w:sz="4" w:space="0" w:color="000000"/>
              <w:bottom w:val="single" w:sz="4" w:space="0" w:color="000000"/>
            </w:tcBorders>
          </w:tcPr>
          <w:p>
            <w:pPr>
              <w:pStyle w:val="TableParagraph"/>
              <w:spacing w:before="36"/>
              <w:ind w:right="77"/>
              <w:jc w:val="right"/>
              <w:rPr>
                <w:sz w:val="21"/>
              </w:rPr>
            </w:pPr>
            <w:r>
              <w:rPr>
                <w:sz w:val="21"/>
              </w:rPr>
              <w:t>160,301</w:t>
            </w:r>
          </w:p>
        </w:tc>
      </w:tr>
      <w:tr>
        <w:trPr>
          <w:trHeight w:val="311" w:hRule="atLeast"/>
        </w:trPr>
        <w:tc>
          <w:tcPr>
            <w:tcW w:w="5639" w:type="dxa"/>
            <w:tcBorders>
              <w:top w:val="single" w:sz="4" w:space="0" w:color="000000"/>
              <w:right w:val="single" w:sz="4" w:space="0" w:color="000000"/>
            </w:tcBorders>
            <w:shd w:val="clear" w:color="auto" w:fill="EDEBE0"/>
          </w:tcPr>
          <w:p>
            <w:pPr>
              <w:pStyle w:val="TableParagraph"/>
              <w:spacing w:line="269" w:lineRule="exact" w:before="22"/>
              <w:ind w:left="107"/>
              <w:rPr>
                <w:sz w:val="21"/>
              </w:rPr>
            </w:pPr>
            <w:r>
              <w:rPr>
                <w:rFonts w:ascii="宋体" w:eastAsia="宋体" w:hint="eastAsia"/>
                <w:sz w:val="21"/>
              </w:rPr>
              <w:t>年度报告披露日前上一月末的普通股股东总数</w:t>
            </w:r>
            <w:r>
              <w:rPr>
                <w:sz w:val="21"/>
              </w:rPr>
              <w:t>(</w:t>
            </w:r>
            <w:r>
              <w:rPr>
                <w:rFonts w:ascii="宋体" w:eastAsia="宋体" w:hint="eastAsia"/>
                <w:sz w:val="21"/>
              </w:rPr>
              <w:t>户</w:t>
            </w:r>
            <w:r>
              <w:rPr>
                <w:sz w:val="21"/>
              </w:rPr>
              <w:t>)</w:t>
            </w:r>
          </w:p>
        </w:tc>
        <w:tc>
          <w:tcPr>
            <w:tcW w:w="3411" w:type="dxa"/>
            <w:tcBorders>
              <w:top w:val="single" w:sz="4" w:space="0" w:color="000000"/>
              <w:left w:val="single" w:sz="4" w:space="0" w:color="000000"/>
            </w:tcBorders>
          </w:tcPr>
          <w:p>
            <w:pPr>
              <w:pStyle w:val="TableParagraph"/>
              <w:spacing w:before="34"/>
              <w:ind w:right="77"/>
              <w:jc w:val="right"/>
              <w:rPr>
                <w:sz w:val="21"/>
              </w:rPr>
            </w:pPr>
            <w:r>
              <w:rPr>
                <w:sz w:val="21"/>
              </w:rPr>
              <w:t>193,236</w:t>
            </w:r>
          </w:p>
        </w:tc>
      </w:tr>
    </w:tbl>
    <w:p>
      <w:pPr>
        <w:pStyle w:val="BodyText"/>
        <w:spacing w:before="6"/>
        <w:rPr>
          <w:rFonts w:ascii="Microsoft JhengHei"/>
          <w:b/>
          <w:sz w:val="17"/>
        </w:rPr>
      </w:pPr>
    </w:p>
    <w:p>
      <w:pPr>
        <w:pStyle w:val="Heading4"/>
        <w:spacing w:before="9"/>
        <w:ind w:left="238"/>
      </w:pPr>
      <w:r>
        <w:rPr>
          <w:rFonts w:ascii="Times New Roman" w:eastAsia="Times New Roman"/>
        </w:rPr>
        <w:t>(</w:t>
      </w:r>
      <w:r>
        <w:rPr/>
        <w:t>二</w:t>
      </w:r>
      <w:r>
        <w:rPr>
          <w:rFonts w:ascii="Times New Roman" w:eastAsia="Times New Roman"/>
        </w:rPr>
        <w:t>) </w:t>
      </w:r>
      <w:r>
        <w:rPr/>
        <w:t>截止报告期末前十名股东、前十名流通股东（或无限售条件股东）持股情况表</w:t>
      </w:r>
    </w:p>
    <w:p>
      <w:pPr>
        <w:pStyle w:val="BodyText"/>
        <w:spacing w:before="55" w:after="21"/>
        <w:ind w:right="810"/>
        <w:jc w:val="right"/>
      </w:pPr>
      <w:r>
        <w:rPr/>
        <w:t>单位</w:t>
      </w:r>
      <w:r>
        <w:rPr>
          <w:rFonts w:ascii="Times New Roman" w:eastAsia="Times New Roman"/>
        </w:rPr>
        <w:t>:</w:t>
      </w:r>
      <w:r>
        <w:rPr/>
        <w:t>股</w:t>
      </w:r>
    </w:p>
    <w:tbl>
      <w:tblPr>
        <w:tblW w:w="0" w:type="auto"/>
        <w:jc w:val="left"/>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085"/>
        <w:gridCol w:w="994"/>
        <w:gridCol w:w="1561"/>
        <w:gridCol w:w="850"/>
        <w:gridCol w:w="853"/>
        <w:gridCol w:w="708"/>
        <w:gridCol w:w="425"/>
        <w:gridCol w:w="1135"/>
      </w:tblGrid>
      <w:tr>
        <w:trPr>
          <w:trHeight w:val="311" w:hRule="atLeast"/>
        </w:trPr>
        <w:tc>
          <w:tcPr>
            <w:tcW w:w="9611" w:type="dxa"/>
            <w:gridSpan w:val="8"/>
            <w:tcBorders>
              <w:bottom w:val="single" w:sz="4" w:space="0" w:color="000000"/>
            </w:tcBorders>
            <w:shd w:val="clear" w:color="auto" w:fill="EDEBE0"/>
          </w:tcPr>
          <w:p>
            <w:pPr>
              <w:pStyle w:val="TableParagraph"/>
              <w:spacing w:before="22"/>
              <w:ind w:left="3838" w:right="3812"/>
              <w:jc w:val="center"/>
              <w:rPr>
                <w:rFonts w:ascii="宋体" w:eastAsia="宋体" w:hint="eastAsia"/>
                <w:sz w:val="21"/>
              </w:rPr>
            </w:pPr>
            <w:r>
              <w:rPr>
                <w:rFonts w:ascii="宋体" w:eastAsia="宋体" w:hint="eastAsia"/>
                <w:sz w:val="21"/>
              </w:rPr>
              <w:t>前十名股东持股情况</w:t>
            </w:r>
          </w:p>
        </w:tc>
      </w:tr>
      <w:tr>
        <w:trPr>
          <w:trHeight w:val="623" w:hRule="atLeast"/>
        </w:trPr>
        <w:tc>
          <w:tcPr>
            <w:tcW w:w="3085" w:type="dxa"/>
            <w:vMerge w:val="restart"/>
            <w:tcBorders>
              <w:top w:val="single" w:sz="4" w:space="0" w:color="000000"/>
              <w:bottom w:val="single" w:sz="4" w:space="0" w:color="000000"/>
              <w:right w:val="single" w:sz="4" w:space="0" w:color="000000"/>
            </w:tcBorders>
            <w:shd w:val="clear" w:color="auto" w:fill="EDEBE0"/>
          </w:tcPr>
          <w:p>
            <w:pPr>
              <w:pStyle w:val="TableParagraph"/>
              <w:spacing w:before="6"/>
              <w:rPr>
                <w:rFonts w:ascii="宋体"/>
                <w:sz w:val="26"/>
              </w:rPr>
            </w:pPr>
          </w:p>
          <w:p>
            <w:pPr>
              <w:pStyle w:val="TableParagraph"/>
              <w:ind w:left="1103" w:right="1086"/>
              <w:jc w:val="center"/>
              <w:rPr>
                <w:rFonts w:ascii="宋体" w:eastAsia="宋体" w:hint="eastAsia"/>
                <w:sz w:val="21"/>
              </w:rPr>
            </w:pPr>
            <w:r>
              <w:rPr>
                <w:rFonts w:ascii="宋体" w:eastAsia="宋体" w:hint="eastAsia"/>
                <w:spacing w:val="-1"/>
                <w:sz w:val="21"/>
              </w:rPr>
              <w:t>股东名称</w:t>
            </w:r>
          </w:p>
          <w:p>
            <w:pPr>
              <w:pStyle w:val="TableParagraph"/>
              <w:spacing w:before="44"/>
              <w:ind w:left="1103" w:right="1086"/>
              <w:jc w:val="center"/>
              <w:rPr>
                <w:rFonts w:ascii="宋体" w:eastAsia="宋体" w:hint="eastAsia"/>
                <w:sz w:val="21"/>
              </w:rPr>
            </w:pPr>
            <w:r>
              <w:rPr>
                <w:rFonts w:ascii="宋体" w:eastAsia="宋体" w:hint="eastAsia"/>
                <w:sz w:val="21"/>
              </w:rPr>
              <w:t>（</w:t>
            </w:r>
            <w:r>
              <w:rPr>
                <w:rFonts w:ascii="宋体" w:eastAsia="宋体" w:hint="eastAsia"/>
                <w:spacing w:val="-2"/>
                <w:sz w:val="21"/>
              </w:rPr>
              <w:t>全称</w:t>
            </w:r>
            <w:r>
              <w:rPr>
                <w:rFonts w:ascii="宋体" w:eastAsia="宋体" w:hint="eastAsia"/>
                <w:sz w:val="21"/>
              </w:rPr>
              <w:t>）</w:t>
            </w:r>
          </w:p>
        </w:tc>
        <w:tc>
          <w:tcPr>
            <w:tcW w:w="994" w:type="dxa"/>
            <w:vMerge w:val="restart"/>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6"/>
              <w:rPr>
                <w:rFonts w:ascii="宋体"/>
                <w:sz w:val="26"/>
              </w:rPr>
            </w:pPr>
          </w:p>
          <w:p>
            <w:pPr>
              <w:pStyle w:val="TableParagraph"/>
              <w:spacing w:line="278" w:lineRule="auto"/>
              <w:ind w:left="188" w:right="159"/>
              <w:rPr>
                <w:rFonts w:ascii="宋体" w:eastAsia="宋体" w:hint="eastAsia"/>
                <w:sz w:val="21"/>
              </w:rPr>
            </w:pPr>
            <w:r>
              <w:rPr>
                <w:rFonts w:ascii="宋体" w:eastAsia="宋体" w:hint="eastAsia"/>
                <w:sz w:val="21"/>
              </w:rPr>
              <w:t>报告期内增减</w:t>
            </w:r>
          </w:p>
        </w:tc>
        <w:tc>
          <w:tcPr>
            <w:tcW w:w="1561" w:type="dxa"/>
            <w:vMerge w:val="restart"/>
            <w:tcBorders>
              <w:top w:val="single" w:sz="4" w:space="0" w:color="000000"/>
              <w:left w:val="single" w:sz="4" w:space="0" w:color="000000"/>
              <w:bottom w:val="single" w:sz="4" w:space="0" w:color="000000"/>
              <w:right w:val="single" w:sz="4" w:space="0" w:color="000000"/>
            </w:tcBorders>
            <w:shd w:val="clear" w:color="auto" w:fill="EDEBE0"/>
          </w:tcPr>
          <w:p>
            <w:pPr>
              <w:pStyle w:val="TableParagraph"/>
              <w:rPr>
                <w:rFonts w:ascii="宋体"/>
                <w:sz w:val="20"/>
              </w:rPr>
            </w:pPr>
          </w:p>
          <w:p>
            <w:pPr>
              <w:pStyle w:val="TableParagraph"/>
              <w:spacing w:before="8"/>
              <w:rPr>
                <w:rFonts w:ascii="宋体"/>
                <w:sz w:val="18"/>
              </w:rPr>
            </w:pPr>
          </w:p>
          <w:p>
            <w:pPr>
              <w:pStyle w:val="TableParagraph"/>
              <w:ind w:left="154"/>
              <w:rPr>
                <w:rFonts w:ascii="宋体" w:eastAsia="宋体" w:hint="eastAsia"/>
                <w:sz w:val="21"/>
              </w:rPr>
            </w:pPr>
            <w:r>
              <w:rPr>
                <w:rFonts w:ascii="宋体" w:eastAsia="宋体" w:hint="eastAsia"/>
                <w:sz w:val="21"/>
              </w:rPr>
              <w:t>期末持股数量</w:t>
            </w:r>
          </w:p>
        </w:tc>
        <w:tc>
          <w:tcPr>
            <w:tcW w:w="850" w:type="dxa"/>
            <w:vMerge w:val="restart"/>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6"/>
              <w:rPr>
                <w:rFonts w:ascii="宋体"/>
                <w:sz w:val="26"/>
              </w:rPr>
            </w:pPr>
          </w:p>
          <w:p>
            <w:pPr>
              <w:pStyle w:val="TableParagraph"/>
              <w:ind w:left="219"/>
              <w:rPr>
                <w:rFonts w:ascii="宋体" w:eastAsia="宋体" w:hint="eastAsia"/>
                <w:sz w:val="21"/>
              </w:rPr>
            </w:pPr>
            <w:r>
              <w:rPr>
                <w:rFonts w:ascii="宋体" w:eastAsia="宋体" w:hint="eastAsia"/>
                <w:sz w:val="21"/>
              </w:rPr>
              <w:t>比例</w:t>
            </w:r>
          </w:p>
          <w:p>
            <w:pPr>
              <w:pStyle w:val="TableParagraph"/>
              <w:spacing w:before="55"/>
              <w:ind w:left="271"/>
              <w:rPr>
                <w:sz w:val="21"/>
              </w:rPr>
            </w:pPr>
            <w:r>
              <w:rPr>
                <w:sz w:val="21"/>
              </w:rPr>
              <w:t>(%)</w:t>
            </w:r>
          </w:p>
        </w:tc>
        <w:tc>
          <w:tcPr>
            <w:tcW w:w="853" w:type="dxa"/>
            <w:vMerge w:val="restart"/>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78" w:lineRule="auto" w:before="27"/>
              <w:ind w:left="117" w:right="89"/>
              <w:jc w:val="both"/>
              <w:rPr>
                <w:rFonts w:ascii="宋体" w:eastAsia="宋体" w:hint="eastAsia"/>
                <w:sz w:val="21"/>
              </w:rPr>
            </w:pPr>
            <w:r>
              <w:rPr>
                <w:rFonts w:ascii="宋体" w:eastAsia="宋体" w:hint="eastAsia"/>
                <w:spacing w:val="-6"/>
                <w:sz w:val="21"/>
              </w:rPr>
              <w:t>持有有限售条件股份</w:t>
            </w:r>
          </w:p>
          <w:p>
            <w:pPr>
              <w:pStyle w:val="TableParagraph"/>
              <w:ind w:left="223"/>
              <w:rPr>
                <w:rFonts w:ascii="宋体" w:eastAsia="宋体" w:hint="eastAsia"/>
                <w:sz w:val="21"/>
              </w:rPr>
            </w:pPr>
            <w:r>
              <w:rPr>
                <w:rFonts w:ascii="宋体" w:eastAsia="宋体" w:hint="eastAsia"/>
                <w:sz w:val="21"/>
              </w:rPr>
              <w:t>数量</w:t>
            </w:r>
          </w:p>
        </w:tc>
        <w:tc>
          <w:tcPr>
            <w:tcW w:w="1133" w:type="dxa"/>
            <w:gridSpan w:val="2"/>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22"/>
              <w:ind w:left="151"/>
              <w:rPr>
                <w:rFonts w:ascii="宋体" w:eastAsia="宋体" w:hint="eastAsia"/>
                <w:sz w:val="21"/>
              </w:rPr>
            </w:pPr>
            <w:r>
              <w:rPr>
                <w:rFonts w:ascii="宋体" w:eastAsia="宋体" w:hint="eastAsia"/>
                <w:sz w:val="21"/>
              </w:rPr>
              <w:t>质押或冻</w:t>
            </w:r>
          </w:p>
          <w:p>
            <w:pPr>
              <w:pStyle w:val="TableParagraph"/>
              <w:spacing w:before="43"/>
              <w:ind w:left="254"/>
              <w:rPr>
                <w:rFonts w:ascii="宋体" w:eastAsia="宋体" w:hint="eastAsia"/>
                <w:sz w:val="21"/>
              </w:rPr>
            </w:pPr>
            <w:r>
              <w:rPr>
                <w:rFonts w:ascii="宋体" w:eastAsia="宋体" w:hint="eastAsia"/>
                <w:sz w:val="21"/>
              </w:rPr>
              <w:t>结情况</w:t>
            </w:r>
          </w:p>
        </w:tc>
        <w:tc>
          <w:tcPr>
            <w:tcW w:w="1135" w:type="dxa"/>
            <w:vMerge w:val="restart"/>
            <w:tcBorders>
              <w:top w:val="single" w:sz="4" w:space="0" w:color="000000"/>
              <w:left w:val="single" w:sz="4" w:space="0" w:color="000000"/>
              <w:bottom w:val="single" w:sz="4" w:space="0" w:color="000000"/>
            </w:tcBorders>
            <w:shd w:val="clear" w:color="auto" w:fill="EDEBE0"/>
          </w:tcPr>
          <w:p>
            <w:pPr>
              <w:pStyle w:val="TableParagraph"/>
              <w:spacing w:before="6"/>
              <w:rPr>
                <w:rFonts w:ascii="宋体"/>
                <w:sz w:val="26"/>
              </w:rPr>
            </w:pPr>
          </w:p>
          <w:p>
            <w:pPr>
              <w:pStyle w:val="TableParagraph"/>
              <w:spacing w:line="278" w:lineRule="auto"/>
              <w:ind w:left="362" w:right="328"/>
              <w:rPr>
                <w:rFonts w:ascii="宋体" w:eastAsia="宋体" w:hint="eastAsia"/>
                <w:sz w:val="21"/>
              </w:rPr>
            </w:pPr>
            <w:r>
              <w:rPr>
                <w:rFonts w:ascii="宋体" w:eastAsia="宋体" w:hint="eastAsia"/>
                <w:sz w:val="21"/>
              </w:rPr>
              <w:t>股东性质</w:t>
            </w:r>
          </w:p>
        </w:tc>
      </w:tr>
      <w:tr>
        <w:trPr>
          <w:trHeight w:val="624" w:hRule="atLeast"/>
        </w:trPr>
        <w:tc>
          <w:tcPr>
            <w:tcW w:w="3085" w:type="dxa"/>
            <w:vMerge/>
            <w:tcBorders>
              <w:top w:val="nil"/>
              <w:bottom w:val="single" w:sz="4" w:space="0" w:color="000000"/>
              <w:right w:val="single" w:sz="4" w:space="0" w:color="000000"/>
            </w:tcBorders>
            <w:shd w:val="clear" w:color="auto" w:fill="EDEBE0"/>
          </w:tcPr>
          <w:p>
            <w:pPr>
              <w:rPr>
                <w:sz w:val="2"/>
                <w:szCs w:val="2"/>
              </w:rPr>
            </w:pPr>
          </w:p>
        </w:tc>
        <w:tc>
          <w:tcPr>
            <w:tcW w:w="994"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1561"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850"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853"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708"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23"/>
              <w:ind w:left="148"/>
              <w:rPr>
                <w:rFonts w:ascii="宋体" w:eastAsia="宋体" w:hint="eastAsia"/>
                <w:sz w:val="21"/>
              </w:rPr>
            </w:pPr>
            <w:r>
              <w:rPr>
                <w:rFonts w:ascii="宋体" w:eastAsia="宋体" w:hint="eastAsia"/>
                <w:sz w:val="21"/>
              </w:rPr>
              <w:t>股份</w:t>
            </w:r>
          </w:p>
          <w:p>
            <w:pPr>
              <w:pStyle w:val="TableParagraph"/>
              <w:spacing w:before="43"/>
              <w:ind w:left="148"/>
              <w:rPr>
                <w:rFonts w:ascii="宋体" w:eastAsia="宋体" w:hint="eastAsia"/>
                <w:sz w:val="21"/>
              </w:rPr>
            </w:pPr>
            <w:r>
              <w:rPr>
                <w:rFonts w:ascii="宋体" w:eastAsia="宋体" w:hint="eastAsia"/>
                <w:sz w:val="21"/>
              </w:rPr>
              <w:t>状态</w:t>
            </w:r>
          </w:p>
        </w:tc>
        <w:tc>
          <w:tcPr>
            <w:tcW w:w="425"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23"/>
              <w:ind w:left="112"/>
              <w:rPr>
                <w:rFonts w:ascii="宋体" w:eastAsia="宋体" w:hint="eastAsia"/>
                <w:sz w:val="21"/>
              </w:rPr>
            </w:pPr>
            <w:r>
              <w:rPr>
                <w:rFonts w:ascii="宋体" w:eastAsia="宋体" w:hint="eastAsia"/>
                <w:w w:val="100"/>
                <w:sz w:val="21"/>
              </w:rPr>
              <w:t>数</w:t>
            </w:r>
          </w:p>
          <w:p>
            <w:pPr>
              <w:pStyle w:val="TableParagraph"/>
              <w:spacing w:before="43"/>
              <w:ind w:left="112"/>
              <w:rPr>
                <w:rFonts w:ascii="宋体" w:eastAsia="宋体" w:hint="eastAsia"/>
                <w:sz w:val="21"/>
              </w:rPr>
            </w:pPr>
            <w:r>
              <w:rPr>
                <w:rFonts w:ascii="宋体" w:eastAsia="宋体" w:hint="eastAsia"/>
                <w:w w:val="100"/>
                <w:sz w:val="21"/>
              </w:rPr>
              <w:t>量</w:t>
            </w:r>
          </w:p>
        </w:tc>
        <w:tc>
          <w:tcPr>
            <w:tcW w:w="1135" w:type="dxa"/>
            <w:vMerge/>
            <w:tcBorders>
              <w:top w:val="nil"/>
              <w:left w:val="single" w:sz="4" w:space="0" w:color="000000"/>
              <w:bottom w:val="single" w:sz="4" w:space="0" w:color="000000"/>
            </w:tcBorders>
            <w:shd w:val="clear" w:color="auto" w:fill="EDEBE0"/>
          </w:tcPr>
          <w:p>
            <w:pPr>
              <w:rPr>
                <w:sz w:val="2"/>
                <w:szCs w:val="2"/>
              </w:rPr>
            </w:pPr>
          </w:p>
        </w:tc>
      </w:tr>
      <w:tr>
        <w:trPr>
          <w:trHeight w:val="626" w:hRule="atLeast"/>
        </w:trPr>
        <w:tc>
          <w:tcPr>
            <w:tcW w:w="3085" w:type="dxa"/>
            <w:tcBorders>
              <w:top w:val="single" w:sz="4" w:space="0" w:color="000000"/>
              <w:bottom w:val="single" w:sz="4" w:space="0" w:color="000000"/>
              <w:right w:val="single" w:sz="4" w:space="0" w:color="000000"/>
            </w:tcBorders>
          </w:tcPr>
          <w:p>
            <w:pPr>
              <w:pStyle w:val="TableParagraph"/>
              <w:spacing w:before="36"/>
              <w:ind w:left="107"/>
              <w:rPr>
                <w:sz w:val="21"/>
              </w:rPr>
            </w:pPr>
            <w:r>
              <w:rPr>
                <w:sz w:val="21"/>
              </w:rPr>
              <w:t>HKSCC NOMINEES LIMITED</w:t>
            </w:r>
          </w:p>
          <w:p>
            <w:pPr>
              <w:pStyle w:val="TableParagraph"/>
              <w:spacing w:before="59"/>
              <w:ind w:left="107"/>
              <w:rPr>
                <w:rFonts w:ascii="宋体" w:eastAsia="宋体" w:hint="eastAsia"/>
                <w:sz w:val="21"/>
              </w:rPr>
            </w:pPr>
            <w:r>
              <w:rPr>
                <w:rFonts w:ascii="宋体" w:eastAsia="宋体" w:hint="eastAsia"/>
                <w:sz w:val="21"/>
              </w:rPr>
              <w:t>（注）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192"/>
              <w:ind w:right="88"/>
              <w:jc w:val="right"/>
              <w:rPr>
                <w:sz w:val="21"/>
              </w:rPr>
            </w:pPr>
            <w:r>
              <w:rPr>
                <w:sz w:val="21"/>
              </w:rPr>
              <w:t>1,820,935,022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92"/>
              <w:ind w:right="88"/>
              <w:jc w:val="right"/>
              <w:rPr>
                <w:sz w:val="21"/>
              </w:rPr>
            </w:pPr>
            <w:r>
              <w:rPr>
                <w:sz w:val="21"/>
              </w:rPr>
              <w:t>20.17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1"/>
              <w:rPr>
                <w:rFonts w:ascii="宋体"/>
                <w:sz w:val="14"/>
              </w:rPr>
            </w:pPr>
          </w:p>
          <w:p>
            <w:pPr>
              <w:pStyle w:val="TableParagraph"/>
              <w:ind w:left="21"/>
              <w:jc w:val="center"/>
              <w:rPr>
                <w:rFonts w:ascii="宋体" w:eastAsia="宋体" w:hint="eastAsia"/>
                <w:sz w:val="21"/>
              </w:rPr>
            </w:pPr>
            <w:r>
              <w:rPr>
                <w:rFonts w:ascii="宋体" w:eastAsia="宋体" w:hint="eastAsia"/>
                <w:sz w:val="21"/>
              </w:rPr>
              <w:t>未知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135" w:type="dxa"/>
            <w:tcBorders>
              <w:top w:val="single" w:sz="4" w:space="0" w:color="000000"/>
              <w:left w:val="single" w:sz="4" w:space="0" w:color="000000"/>
              <w:bottom w:val="single" w:sz="4" w:space="0" w:color="000000"/>
            </w:tcBorders>
          </w:tcPr>
          <w:p>
            <w:pPr>
              <w:pStyle w:val="TableParagraph"/>
              <w:spacing w:before="1"/>
              <w:rPr>
                <w:rFonts w:ascii="宋体"/>
                <w:sz w:val="14"/>
              </w:rPr>
            </w:pPr>
          </w:p>
          <w:p>
            <w:pPr>
              <w:pStyle w:val="TableParagraph"/>
              <w:ind w:left="153"/>
              <w:rPr>
                <w:rFonts w:ascii="宋体" w:eastAsia="宋体" w:hint="eastAsia"/>
                <w:sz w:val="21"/>
              </w:rPr>
            </w:pPr>
            <w:r>
              <w:rPr>
                <w:rFonts w:ascii="宋体" w:eastAsia="宋体" w:hint="eastAsia"/>
                <w:sz w:val="21"/>
              </w:rPr>
              <w:t>境外法人</w:t>
            </w:r>
          </w:p>
        </w:tc>
      </w:tr>
      <w:tr>
        <w:trPr>
          <w:trHeight w:val="623" w:hRule="atLeast"/>
        </w:trPr>
        <w:tc>
          <w:tcPr>
            <w:tcW w:w="3085" w:type="dxa"/>
            <w:tcBorders>
              <w:top w:val="single" w:sz="4" w:space="0" w:color="000000"/>
              <w:bottom w:val="single" w:sz="4" w:space="0" w:color="000000"/>
              <w:right w:val="single" w:sz="4" w:space="0" w:color="000000"/>
            </w:tcBorders>
          </w:tcPr>
          <w:p>
            <w:pPr>
              <w:pStyle w:val="TableParagraph"/>
              <w:spacing w:before="22"/>
              <w:ind w:left="107"/>
              <w:rPr>
                <w:rFonts w:ascii="宋体" w:eastAsia="宋体" w:hint="eastAsia"/>
                <w:sz w:val="21"/>
              </w:rPr>
            </w:pPr>
            <w:r>
              <w:rPr>
                <w:rFonts w:ascii="宋体" w:eastAsia="宋体" w:hint="eastAsia"/>
                <w:sz w:val="21"/>
              </w:rPr>
              <w:t>海尔电器国际股份有限公司（现</w:t>
            </w:r>
          </w:p>
          <w:p>
            <w:pPr>
              <w:pStyle w:val="TableParagraph"/>
              <w:spacing w:before="43"/>
              <w:ind w:left="107"/>
              <w:rPr>
                <w:rFonts w:ascii="宋体" w:hAnsi="宋体" w:eastAsia="宋体" w:hint="eastAsia"/>
                <w:sz w:val="21"/>
              </w:rPr>
            </w:pPr>
            <w:r>
              <w:rPr>
                <w:rFonts w:ascii="宋体" w:hAnsi="宋体" w:eastAsia="宋体" w:hint="eastAsia"/>
                <w:sz w:val="21"/>
              </w:rPr>
              <w:t>名</w:t>
            </w:r>
            <w:r>
              <w:rPr>
                <w:sz w:val="21"/>
              </w:rPr>
              <w:t>“</w:t>
            </w:r>
            <w:r>
              <w:rPr>
                <w:rFonts w:ascii="宋体" w:hAnsi="宋体" w:eastAsia="宋体" w:hint="eastAsia"/>
                <w:sz w:val="21"/>
              </w:rPr>
              <w:t>海尔卡奥斯股份有限公司</w:t>
            </w:r>
            <w:r>
              <w:rPr>
                <w:sz w:val="21"/>
              </w:rPr>
              <w:t>”</w:t>
            </w:r>
            <w:r>
              <w:rPr>
                <w:rFonts w:ascii="宋体" w:hAnsi="宋体" w:eastAsia="宋体" w:hint="eastAsia"/>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190"/>
              <w:ind w:right="88"/>
              <w:jc w:val="right"/>
              <w:rPr>
                <w:sz w:val="21"/>
              </w:rPr>
            </w:pPr>
            <w:r>
              <w:rPr>
                <w:sz w:val="21"/>
              </w:rPr>
              <w:t>1,258,684,824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90"/>
              <w:ind w:right="88"/>
              <w:jc w:val="right"/>
              <w:rPr>
                <w:sz w:val="21"/>
              </w:rPr>
            </w:pPr>
            <w:r>
              <w:rPr>
                <w:sz w:val="21"/>
              </w:rPr>
              <w:t>13.94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178"/>
              <w:ind w:left="17"/>
              <w:jc w:val="center"/>
              <w:rPr>
                <w:rFonts w:ascii="宋体" w:eastAsia="宋体" w:hint="eastAsia"/>
                <w:sz w:val="21"/>
              </w:rPr>
            </w:pPr>
            <w:r>
              <w:rPr>
                <w:rFonts w:ascii="宋体" w:eastAsia="宋体" w:hint="eastAsia"/>
                <w:w w:val="100"/>
                <w:sz w:val="21"/>
              </w:rPr>
              <w:t>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135" w:type="dxa"/>
            <w:tcBorders>
              <w:top w:val="single" w:sz="4" w:space="0" w:color="000000"/>
              <w:left w:val="single" w:sz="4" w:space="0" w:color="000000"/>
              <w:bottom w:val="single" w:sz="4" w:space="0" w:color="000000"/>
            </w:tcBorders>
          </w:tcPr>
          <w:p>
            <w:pPr>
              <w:pStyle w:val="TableParagraph"/>
              <w:spacing w:before="22"/>
              <w:ind w:left="153"/>
              <w:rPr>
                <w:rFonts w:ascii="宋体" w:eastAsia="宋体" w:hint="eastAsia"/>
                <w:sz w:val="21"/>
              </w:rPr>
            </w:pPr>
            <w:r>
              <w:rPr>
                <w:rFonts w:ascii="宋体" w:eastAsia="宋体" w:hint="eastAsia"/>
                <w:sz w:val="21"/>
              </w:rPr>
              <w:t>境内非国</w:t>
            </w:r>
          </w:p>
          <w:p>
            <w:pPr>
              <w:pStyle w:val="TableParagraph"/>
              <w:spacing w:before="43"/>
              <w:ind w:left="256"/>
              <w:rPr>
                <w:rFonts w:ascii="宋体" w:eastAsia="宋体" w:hint="eastAsia"/>
                <w:sz w:val="21"/>
              </w:rPr>
            </w:pPr>
            <w:r>
              <w:rPr>
                <w:rFonts w:ascii="宋体" w:eastAsia="宋体" w:hint="eastAsia"/>
                <w:sz w:val="21"/>
              </w:rPr>
              <w:t>有法人</w:t>
            </w:r>
          </w:p>
        </w:tc>
      </w:tr>
      <w:tr>
        <w:trPr>
          <w:trHeight w:val="620" w:hRule="atLeast"/>
        </w:trPr>
        <w:tc>
          <w:tcPr>
            <w:tcW w:w="3085" w:type="dxa"/>
            <w:tcBorders>
              <w:top w:val="single" w:sz="4" w:space="0" w:color="000000"/>
              <w:right w:val="single" w:sz="4" w:space="0" w:color="000000"/>
            </w:tcBorders>
          </w:tcPr>
          <w:p>
            <w:pPr>
              <w:pStyle w:val="TableParagraph"/>
              <w:spacing w:before="178"/>
              <w:ind w:left="107"/>
              <w:rPr>
                <w:rFonts w:ascii="宋体" w:eastAsia="宋体" w:hint="eastAsia"/>
                <w:sz w:val="21"/>
              </w:rPr>
            </w:pPr>
            <w:r>
              <w:rPr>
                <w:rFonts w:ascii="宋体" w:eastAsia="宋体" w:hint="eastAsia"/>
                <w:sz w:val="21"/>
              </w:rPr>
              <w:t>海尔集团公司</w:t>
            </w:r>
          </w:p>
        </w:tc>
        <w:tc>
          <w:tcPr>
            <w:tcW w:w="994" w:type="dxa"/>
            <w:tcBorders>
              <w:top w:val="single" w:sz="4" w:space="0" w:color="000000"/>
              <w:left w:val="single" w:sz="4" w:space="0" w:color="000000"/>
              <w:right w:val="single" w:sz="4" w:space="0" w:color="000000"/>
            </w:tcBorders>
          </w:tcPr>
          <w:p>
            <w:pPr>
              <w:pStyle w:val="TableParagraph"/>
              <w:rPr>
                <w:sz w:val="20"/>
              </w:rPr>
            </w:pPr>
          </w:p>
        </w:tc>
        <w:tc>
          <w:tcPr>
            <w:tcW w:w="1561" w:type="dxa"/>
            <w:tcBorders>
              <w:top w:val="single" w:sz="4" w:space="0" w:color="000000"/>
              <w:left w:val="single" w:sz="4" w:space="0" w:color="000000"/>
              <w:right w:val="single" w:sz="4" w:space="0" w:color="000000"/>
            </w:tcBorders>
          </w:tcPr>
          <w:p>
            <w:pPr>
              <w:pStyle w:val="TableParagraph"/>
              <w:spacing w:before="190"/>
              <w:ind w:right="88"/>
              <w:jc w:val="right"/>
              <w:rPr>
                <w:sz w:val="21"/>
              </w:rPr>
            </w:pPr>
            <w:r>
              <w:rPr>
                <w:sz w:val="21"/>
              </w:rPr>
              <w:t>1,072,610,764</w:t>
            </w:r>
          </w:p>
        </w:tc>
        <w:tc>
          <w:tcPr>
            <w:tcW w:w="850" w:type="dxa"/>
            <w:tcBorders>
              <w:top w:val="single" w:sz="4" w:space="0" w:color="000000"/>
              <w:left w:val="single" w:sz="4" w:space="0" w:color="000000"/>
              <w:right w:val="single" w:sz="4" w:space="0" w:color="000000"/>
            </w:tcBorders>
          </w:tcPr>
          <w:p>
            <w:pPr>
              <w:pStyle w:val="TableParagraph"/>
              <w:spacing w:before="190"/>
              <w:ind w:right="88"/>
              <w:jc w:val="right"/>
              <w:rPr>
                <w:sz w:val="21"/>
              </w:rPr>
            </w:pPr>
            <w:r>
              <w:rPr>
                <w:sz w:val="21"/>
              </w:rPr>
              <w:t>11.88</w:t>
            </w:r>
          </w:p>
        </w:tc>
        <w:tc>
          <w:tcPr>
            <w:tcW w:w="853" w:type="dxa"/>
            <w:tcBorders>
              <w:top w:val="single" w:sz="4" w:space="0" w:color="000000"/>
              <w:left w:val="single" w:sz="4" w:space="0" w:color="000000"/>
              <w:right w:val="single" w:sz="4" w:space="0" w:color="000000"/>
            </w:tcBorders>
          </w:tcPr>
          <w:p>
            <w:pPr>
              <w:pStyle w:val="TableParagraph"/>
              <w:rPr>
                <w:sz w:val="20"/>
              </w:rPr>
            </w:pPr>
          </w:p>
        </w:tc>
        <w:tc>
          <w:tcPr>
            <w:tcW w:w="708" w:type="dxa"/>
            <w:tcBorders>
              <w:top w:val="single" w:sz="4" w:space="0" w:color="000000"/>
              <w:left w:val="single" w:sz="4" w:space="0" w:color="000000"/>
              <w:right w:val="single" w:sz="4" w:space="0" w:color="000000"/>
            </w:tcBorders>
          </w:tcPr>
          <w:p>
            <w:pPr>
              <w:pStyle w:val="TableParagraph"/>
              <w:spacing w:before="178"/>
              <w:ind w:left="17"/>
              <w:jc w:val="center"/>
              <w:rPr>
                <w:rFonts w:ascii="宋体" w:eastAsia="宋体" w:hint="eastAsia"/>
                <w:sz w:val="21"/>
              </w:rPr>
            </w:pPr>
            <w:r>
              <w:rPr>
                <w:rFonts w:ascii="宋体" w:eastAsia="宋体" w:hint="eastAsia"/>
                <w:w w:val="100"/>
                <w:sz w:val="21"/>
              </w:rPr>
              <w:t>无</w:t>
            </w:r>
          </w:p>
        </w:tc>
        <w:tc>
          <w:tcPr>
            <w:tcW w:w="425" w:type="dxa"/>
            <w:tcBorders>
              <w:top w:val="single" w:sz="4" w:space="0" w:color="000000"/>
              <w:left w:val="single" w:sz="4" w:space="0" w:color="000000"/>
              <w:right w:val="single" w:sz="4" w:space="0" w:color="000000"/>
            </w:tcBorders>
          </w:tcPr>
          <w:p>
            <w:pPr>
              <w:pStyle w:val="TableParagraph"/>
              <w:rPr>
                <w:sz w:val="20"/>
              </w:rPr>
            </w:pPr>
          </w:p>
        </w:tc>
        <w:tc>
          <w:tcPr>
            <w:tcW w:w="1135" w:type="dxa"/>
            <w:tcBorders>
              <w:top w:val="single" w:sz="4" w:space="0" w:color="000000"/>
              <w:left w:val="single" w:sz="4" w:space="0" w:color="000000"/>
            </w:tcBorders>
          </w:tcPr>
          <w:p>
            <w:pPr>
              <w:pStyle w:val="TableParagraph"/>
              <w:spacing w:before="22"/>
              <w:ind w:left="153"/>
              <w:rPr>
                <w:rFonts w:ascii="宋体" w:eastAsia="宋体" w:hint="eastAsia"/>
                <w:sz w:val="21"/>
              </w:rPr>
            </w:pPr>
            <w:r>
              <w:rPr>
                <w:rFonts w:ascii="宋体" w:eastAsia="宋体" w:hint="eastAsia"/>
                <w:sz w:val="21"/>
              </w:rPr>
              <w:t>境内非国</w:t>
            </w:r>
          </w:p>
          <w:p>
            <w:pPr>
              <w:pStyle w:val="TableParagraph"/>
              <w:spacing w:line="266" w:lineRule="exact" w:before="43"/>
              <w:ind w:left="256"/>
              <w:rPr>
                <w:rFonts w:ascii="宋体" w:eastAsia="宋体" w:hint="eastAsia"/>
                <w:sz w:val="21"/>
              </w:rPr>
            </w:pPr>
            <w:r>
              <w:rPr>
                <w:rFonts w:ascii="宋体" w:eastAsia="宋体" w:hint="eastAsia"/>
                <w:sz w:val="21"/>
              </w:rPr>
              <w:t>有法人</w:t>
            </w:r>
          </w:p>
        </w:tc>
      </w:tr>
    </w:tbl>
    <w:p>
      <w:pPr>
        <w:spacing w:after="0" w:line="266" w:lineRule="exact"/>
        <w:rPr>
          <w:rFonts w:ascii="宋体" w:eastAsia="宋体" w:hint="eastAsia"/>
          <w:sz w:val="21"/>
        </w:rPr>
        <w:sectPr>
          <w:pgSz w:w="11910" w:h="16840"/>
          <w:pgMar w:header="874" w:footer="1214" w:top="1500" w:bottom="1400" w:left="1560" w:right="460"/>
        </w:sectPr>
      </w:pPr>
    </w:p>
    <w:tbl>
      <w:tblPr>
        <w:tblW w:w="0" w:type="auto"/>
        <w:jc w:val="left"/>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085"/>
        <w:gridCol w:w="994"/>
        <w:gridCol w:w="142"/>
        <w:gridCol w:w="1419"/>
        <w:gridCol w:w="283"/>
        <w:gridCol w:w="566"/>
        <w:gridCol w:w="852"/>
        <w:gridCol w:w="566"/>
        <w:gridCol w:w="141"/>
        <w:gridCol w:w="424"/>
        <w:gridCol w:w="1134"/>
      </w:tblGrid>
      <w:tr>
        <w:trPr>
          <w:trHeight w:val="937" w:hRule="atLeast"/>
        </w:trPr>
        <w:tc>
          <w:tcPr>
            <w:tcW w:w="3085" w:type="dxa"/>
            <w:tcBorders>
              <w:bottom w:val="single" w:sz="4" w:space="0" w:color="000000"/>
              <w:right w:val="single" w:sz="4" w:space="0" w:color="000000"/>
            </w:tcBorders>
          </w:tcPr>
          <w:p>
            <w:pPr>
              <w:pStyle w:val="TableParagraph"/>
              <w:spacing w:line="309" w:lineRule="auto" w:before="36"/>
              <w:ind w:left="107" w:right="604"/>
              <w:rPr>
                <w:sz w:val="21"/>
              </w:rPr>
            </w:pPr>
            <w:r>
              <w:rPr>
                <w:sz w:val="21"/>
              </w:rPr>
              <w:t>HCH (HK) INVESTMENT MANAGEMENT CO.,</w:t>
            </w:r>
          </w:p>
          <w:p>
            <w:pPr>
              <w:pStyle w:val="TableParagraph"/>
              <w:spacing w:before="1"/>
              <w:ind w:left="107"/>
              <w:rPr>
                <w:sz w:val="21"/>
              </w:rPr>
            </w:pPr>
            <w:r>
              <w:rPr>
                <w:sz w:val="21"/>
              </w:rPr>
              <w:t>LIMITED</w:t>
            </w:r>
          </w:p>
        </w:tc>
        <w:tc>
          <w:tcPr>
            <w:tcW w:w="994" w:type="dxa"/>
            <w:tcBorders>
              <w:left w:val="single" w:sz="4" w:space="0" w:color="000000"/>
              <w:bottom w:val="single" w:sz="4" w:space="0" w:color="000000"/>
              <w:right w:val="single" w:sz="4" w:space="0" w:color="000000"/>
            </w:tcBorders>
          </w:tcPr>
          <w:p>
            <w:pPr>
              <w:pStyle w:val="TableParagraph"/>
              <w:rPr>
                <w:sz w:val="20"/>
              </w:rPr>
            </w:pPr>
          </w:p>
        </w:tc>
        <w:tc>
          <w:tcPr>
            <w:tcW w:w="1561" w:type="dxa"/>
            <w:gridSpan w:val="2"/>
            <w:tcBorders>
              <w:left w:val="single" w:sz="4" w:space="0" w:color="000000"/>
              <w:bottom w:val="single" w:sz="4" w:space="0" w:color="000000"/>
              <w:right w:val="single" w:sz="4" w:space="0" w:color="000000"/>
            </w:tcBorders>
          </w:tcPr>
          <w:p>
            <w:pPr>
              <w:pStyle w:val="TableParagraph"/>
              <w:spacing w:before="2"/>
              <w:rPr>
                <w:rFonts w:ascii="宋体"/>
                <w:sz w:val="27"/>
              </w:rPr>
            </w:pPr>
          </w:p>
          <w:p>
            <w:pPr>
              <w:pStyle w:val="TableParagraph"/>
              <w:ind w:left="406"/>
              <w:rPr>
                <w:sz w:val="21"/>
              </w:rPr>
            </w:pPr>
            <w:r>
              <w:rPr>
                <w:sz w:val="21"/>
              </w:rPr>
              <w:t>538,560,000</w:t>
            </w:r>
          </w:p>
        </w:tc>
        <w:tc>
          <w:tcPr>
            <w:tcW w:w="849" w:type="dxa"/>
            <w:gridSpan w:val="2"/>
            <w:tcBorders>
              <w:left w:val="single" w:sz="4" w:space="0" w:color="000000"/>
              <w:bottom w:val="single" w:sz="4" w:space="0" w:color="000000"/>
              <w:right w:val="single" w:sz="4" w:space="0" w:color="000000"/>
            </w:tcBorders>
          </w:tcPr>
          <w:p>
            <w:pPr>
              <w:pStyle w:val="TableParagraph"/>
              <w:spacing w:before="2"/>
              <w:rPr>
                <w:rFonts w:ascii="宋体"/>
                <w:sz w:val="27"/>
              </w:rPr>
            </w:pPr>
          </w:p>
          <w:p>
            <w:pPr>
              <w:pStyle w:val="TableParagraph"/>
              <w:ind w:left="379"/>
              <w:rPr>
                <w:sz w:val="21"/>
              </w:rPr>
            </w:pPr>
            <w:r>
              <w:rPr>
                <w:sz w:val="21"/>
              </w:rPr>
              <w:t>5.97</w:t>
            </w:r>
          </w:p>
        </w:tc>
        <w:tc>
          <w:tcPr>
            <w:tcW w:w="852" w:type="dxa"/>
            <w:tcBorders>
              <w:left w:val="single" w:sz="4" w:space="0" w:color="000000"/>
              <w:bottom w:val="single" w:sz="4" w:space="0" w:color="000000"/>
              <w:right w:val="single" w:sz="4" w:space="0" w:color="000000"/>
            </w:tcBorders>
          </w:tcPr>
          <w:p>
            <w:pPr>
              <w:pStyle w:val="TableParagraph"/>
              <w:rPr>
                <w:sz w:val="20"/>
              </w:rPr>
            </w:pPr>
          </w:p>
        </w:tc>
        <w:tc>
          <w:tcPr>
            <w:tcW w:w="707" w:type="dxa"/>
            <w:gridSpan w:val="2"/>
            <w:tcBorders>
              <w:left w:val="single" w:sz="4" w:space="0" w:color="000000"/>
              <w:bottom w:val="single" w:sz="4" w:space="0" w:color="000000"/>
              <w:right w:val="single" w:sz="4" w:space="0" w:color="000000"/>
            </w:tcBorders>
          </w:tcPr>
          <w:p>
            <w:pPr>
              <w:pStyle w:val="TableParagraph"/>
              <w:spacing w:before="3"/>
              <w:rPr>
                <w:rFonts w:ascii="宋体"/>
                <w:sz w:val="26"/>
              </w:rPr>
            </w:pPr>
          </w:p>
          <w:p>
            <w:pPr>
              <w:pStyle w:val="TableParagraph"/>
              <w:spacing w:before="1"/>
              <w:ind w:left="253"/>
              <w:rPr>
                <w:rFonts w:ascii="宋体" w:eastAsia="宋体" w:hint="eastAsia"/>
                <w:sz w:val="21"/>
              </w:rPr>
            </w:pPr>
            <w:r>
              <w:rPr>
                <w:rFonts w:ascii="宋体" w:eastAsia="宋体" w:hint="eastAsia"/>
                <w:w w:val="100"/>
                <w:sz w:val="21"/>
              </w:rPr>
              <w:t>无</w:t>
            </w:r>
          </w:p>
        </w:tc>
        <w:tc>
          <w:tcPr>
            <w:tcW w:w="424" w:type="dxa"/>
            <w:tcBorders>
              <w:left w:val="single" w:sz="4" w:space="0" w:color="000000"/>
              <w:bottom w:val="single" w:sz="4" w:space="0" w:color="000000"/>
              <w:right w:val="single" w:sz="4" w:space="0" w:color="000000"/>
            </w:tcBorders>
          </w:tcPr>
          <w:p>
            <w:pPr>
              <w:pStyle w:val="TableParagraph"/>
              <w:rPr>
                <w:sz w:val="20"/>
              </w:rPr>
            </w:pPr>
          </w:p>
        </w:tc>
        <w:tc>
          <w:tcPr>
            <w:tcW w:w="1134" w:type="dxa"/>
            <w:tcBorders>
              <w:left w:val="single" w:sz="4" w:space="0" w:color="000000"/>
              <w:bottom w:val="single" w:sz="4" w:space="0" w:color="000000"/>
            </w:tcBorders>
          </w:tcPr>
          <w:p>
            <w:pPr>
              <w:pStyle w:val="TableParagraph"/>
              <w:spacing w:before="3"/>
              <w:rPr>
                <w:rFonts w:ascii="宋体"/>
                <w:sz w:val="26"/>
              </w:rPr>
            </w:pPr>
          </w:p>
          <w:p>
            <w:pPr>
              <w:pStyle w:val="TableParagraph"/>
              <w:spacing w:before="1"/>
              <w:ind w:left="138" w:right="95"/>
              <w:jc w:val="center"/>
              <w:rPr>
                <w:rFonts w:ascii="宋体" w:eastAsia="宋体" w:hint="eastAsia"/>
                <w:sz w:val="21"/>
              </w:rPr>
            </w:pPr>
            <w:r>
              <w:rPr>
                <w:rFonts w:ascii="宋体" w:eastAsia="宋体" w:hint="eastAsia"/>
                <w:sz w:val="21"/>
              </w:rPr>
              <w:t>境外法人</w:t>
            </w:r>
          </w:p>
        </w:tc>
      </w:tr>
      <w:tr>
        <w:trPr>
          <w:trHeight w:val="311" w:hRule="atLeast"/>
        </w:trPr>
        <w:tc>
          <w:tcPr>
            <w:tcW w:w="3085" w:type="dxa"/>
            <w:tcBorders>
              <w:top w:val="single" w:sz="4" w:space="0" w:color="000000"/>
              <w:bottom w:val="single" w:sz="4" w:space="0" w:color="000000"/>
              <w:right w:val="single" w:sz="4" w:space="0" w:color="000000"/>
            </w:tcBorders>
          </w:tcPr>
          <w:p>
            <w:pPr>
              <w:pStyle w:val="TableParagraph"/>
              <w:spacing w:before="22"/>
              <w:ind w:left="107"/>
              <w:rPr>
                <w:rFonts w:ascii="宋体" w:eastAsia="宋体" w:hint="eastAsia"/>
                <w:sz w:val="21"/>
              </w:rPr>
            </w:pPr>
            <w:r>
              <w:rPr>
                <w:rFonts w:ascii="宋体" w:eastAsia="宋体" w:hint="eastAsia"/>
                <w:sz w:val="21"/>
              </w:rPr>
              <w:t>香港中央结算有限公司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4"/>
              <w:ind w:left="406"/>
              <w:rPr>
                <w:sz w:val="21"/>
              </w:rPr>
            </w:pPr>
            <w:r>
              <w:rPr>
                <w:sz w:val="21"/>
              </w:rPr>
              <w:t>472,115,774</w:t>
            </w:r>
          </w:p>
        </w:tc>
        <w:tc>
          <w:tcPr>
            <w:tcW w:w="8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4"/>
              <w:ind w:left="379"/>
              <w:rPr>
                <w:sz w:val="21"/>
              </w:rPr>
            </w:pPr>
            <w:r>
              <w:rPr>
                <w:sz w:val="21"/>
              </w:rPr>
              <w:t>5.23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0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253"/>
              <w:rPr>
                <w:rFonts w:ascii="宋体" w:eastAsia="宋体" w:hint="eastAsia"/>
                <w:sz w:val="21"/>
              </w:rPr>
            </w:pPr>
            <w:r>
              <w:rPr>
                <w:rFonts w:ascii="宋体" w:eastAsia="宋体" w:hint="eastAsia"/>
                <w:w w:val="100"/>
                <w:sz w:val="21"/>
              </w:rPr>
              <w:t>无</w:t>
            </w:r>
          </w:p>
        </w:tc>
        <w:tc>
          <w:tcPr>
            <w:tcW w:w="42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134" w:type="dxa"/>
            <w:tcBorders>
              <w:top w:val="single" w:sz="4" w:space="0" w:color="000000"/>
              <w:left w:val="single" w:sz="4" w:space="0" w:color="000000"/>
              <w:bottom w:val="single" w:sz="4" w:space="0" w:color="000000"/>
            </w:tcBorders>
          </w:tcPr>
          <w:p>
            <w:pPr>
              <w:pStyle w:val="TableParagraph"/>
              <w:spacing w:before="22"/>
              <w:ind w:left="135" w:right="95"/>
              <w:jc w:val="center"/>
              <w:rPr>
                <w:rFonts w:ascii="宋体" w:eastAsia="宋体" w:hint="eastAsia"/>
                <w:sz w:val="21"/>
              </w:rPr>
            </w:pPr>
            <w:r>
              <w:rPr>
                <w:rFonts w:ascii="宋体" w:eastAsia="宋体" w:hint="eastAsia"/>
                <w:sz w:val="21"/>
              </w:rPr>
              <w:t>未知</w:t>
            </w:r>
          </w:p>
        </w:tc>
      </w:tr>
      <w:tr>
        <w:trPr>
          <w:trHeight w:val="311" w:hRule="atLeast"/>
        </w:trPr>
        <w:tc>
          <w:tcPr>
            <w:tcW w:w="3085" w:type="dxa"/>
            <w:tcBorders>
              <w:top w:val="single" w:sz="4" w:space="0" w:color="000000"/>
              <w:bottom w:val="single" w:sz="4" w:space="0" w:color="000000"/>
              <w:right w:val="single" w:sz="4" w:space="0" w:color="000000"/>
            </w:tcBorders>
          </w:tcPr>
          <w:p>
            <w:pPr>
              <w:pStyle w:val="TableParagraph"/>
              <w:spacing w:before="22"/>
              <w:ind w:left="107"/>
              <w:rPr>
                <w:rFonts w:ascii="宋体" w:eastAsia="宋体" w:hint="eastAsia"/>
                <w:sz w:val="21"/>
              </w:rPr>
            </w:pPr>
            <w:r>
              <w:rPr>
                <w:rFonts w:ascii="宋体" w:eastAsia="宋体" w:hint="eastAsia"/>
                <w:sz w:val="21"/>
              </w:rPr>
              <w:t>中国证券金融股份有限公司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4"/>
              <w:ind w:left="406"/>
              <w:rPr>
                <w:sz w:val="21"/>
              </w:rPr>
            </w:pPr>
            <w:r>
              <w:rPr>
                <w:sz w:val="21"/>
              </w:rPr>
              <w:t>182,592,697</w:t>
            </w:r>
          </w:p>
        </w:tc>
        <w:tc>
          <w:tcPr>
            <w:tcW w:w="8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4"/>
              <w:ind w:left="379"/>
              <w:rPr>
                <w:sz w:val="21"/>
              </w:rPr>
            </w:pPr>
            <w:r>
              <w:rPr>
                <w:sz w:val="21"/>
              </w:rPr>
              <w:t>2.02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0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253"/>
              <w:rPr>
                <w:rFonts w:ascii="宋体" w:eastAsia="宋体" w:hint="eastAsia"/>
                <w:sz w:val="21"/>
              </w:rPr>
            </w:pPr>
            <w:r>
              <w:rPr>
                <w:rFonts w:ascii="宋体" w:eastAsia="宋体" w:hint="eastAsia"/>
                <w:w w:val="100"/>
                <w:sz w:val="21"/>
              </w:rPr>
              <w:t>无</w:t>
            </w:r>
          </w:p>
        </w:tc>
        <w:tc>
          <w:tcPr>
            <w:tcW w:w="42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134" w:type="dxa"/>
            <w:tcBorders>
              <w:top w:val="single" w:sz="4" w:space="0" w:color="000000"/>
              <w:left w:val="single" w:sz="4" w:space="0" w:color="000000"/>
              <w:bottom w:val="single" w:sz="4" w:space="0" w:color="000000"/>
            </w:tcBorders>
          </w:tcPr>
          <w:p>
            <w:pPr>
              <w:pStyle w:val="TableParagraph"/>
              <w:spacing w:before="22"/>
              <w:ind w:left="135" w:right="95"/>
              <w:jc w:val="center"/>
              <w:rPr>
                <w:rFonts w:ascii="宋体" w:eastAsia="宋体" w:hint="eastAsia"/>
                <w:sz w:val="21"/>
              </w:rPr>
            </w:pPr>
            <w:r>
              <w:rPr>
                <w:rFonts w:ascii="宋体" w:eastAsia="宋体" w:hint="eastAsia"/>
                <w:sz w:val="21"/>
              </w:rPr>
              <w:t>未知</w:t>
            </w:r>
          </w:p>
        </w:tc>
      </w:tr>
      <w:tr>
        <w:trPr>
          <w:trHeight w:val="623" w:hRule="atLeast"/>
        </w:trPr>
        <w:tc>
          <w:tcPr>
            <w:tcW w:w="3085" w:type="dxa"/>
            <w:tcBorders>
              <w:top w:val="single" w:sz="4" w:space="0" w:color="000000"/>
              <w:bottom w:val="single" w:sz="4" w:space="0" w:color="000000"/>
              <w:right w:val="single" w:sz="4" w:space="0" w:color="000000"/>
            </w:tcBorders>
          </w:tcPr>
          <w:p>
            <w:pPr>
              <w:pStyle w:val="TableParagraph"/>
              <w:spacing w:before="22"/>
              <w:ind w:left="107"/>
              <w:rPr>
                <w:rFonts w:ascii="宋体" w:eastAsia="宋体" w:hint="eastAsia"/>
                <w:sz w:val="21"/>
              </w:rPr>
            </w:pPr>
            <w:r>
              <w:rPr>
                <w:rFonts w:ascii="宋体" w:eastAsia="宋体" w:hint="eastAsia"/>
                <w:sz w:val="21"/>
              </w:rPr>
              <w:t>青岛海尔创业投资咨询有限公</w:t>
            </w:r>
          </w:p>
          <w:p>
            <w:pPr>
              <w:pStyle w:val="TableParagraph"/>
              <w:spacing w:before="43"/>
              <w:ind w:left="107"/>
              <w:rPr>
                <w:rFonts w:ascii="宋体" w:eastAsia="宋体" w:hint="eastAsia"/>
                <w:sz w:val="21"/>
              </w:rPr>
            </w:pPr>
            <w:r>
              <w:rPr>
                <w:rFonts w:ascii="宋体" w:eastAsia="宋体" w:hint="eastAsia"/>
                <w:w w:val="100"/>
                <w:sz w:val="21"/>
              </w:rPr>
              <w:t>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90"/>
              <w:ind w:left="406"/>
              <w:rPr>
                <w:sz w:val="21"/>
              </w:rPr>
            </w:pPr>
            <w:r>
              <w:rPr>
                <w:sz w:val="21"/>
              </w:rPr>
              <w:t>172,252,560</w:t>
            </w:r>
          </w:p>
        </w:tc>
        <w:tc>
          <w:tcPr>
            <w:tcW w:w="8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90"/>
              <w:ind w:left="379"/>
              <w:rPr>
                <w:sz w:val="21"/>
              </w:rPr>
            </w:pPr>
            <w:r>
              <w:rPr>
                <w:sz w:val="21"/>
              </w:rPr>
              <w:t>1.91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0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78"/>
              <w:ind w:left="253"/>
              <w:rPr>
                <w:rFonts w:ascii="宋体" w:eastAsia="宋体" w:hint="eastAsia"/>
                <w:sz w:val="21"/>
              </w:rPr>
            </w:pPr>
            <w:r>
              <w:rPr>
                <w:rFonts w:ascii="宋体" w:eastAsia="宋体" w:hint="eastAsia"/>
                <w:w w:val="100"/>
                <w:sz w:val="21"/>
              </w:rPr>
              <w:t>无</w:t>
            </w:r>
          </w:p>
        </w:tc>
        <w:tc>
          <w:tcPr>
            <w:tcW w:w="42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134" w:type="dxa"/>
            <w:tcBorders>
              <w:top w:val="single" w:sz="4" w:space="0" w:color="000000"/>
              <w:left w:val="single" w:sz="4" w:space="0" w:color="000000"/>
              <w:bottom w:val="single" w:sz="4" w:space="0" w:color="000000"/>
            </w:tcBorders>
          </w:tcPr>
          <w:p>
            <w:pPr>
              <w:pStyle w:val="TableParagraph"/>
              <w:spacing w:before="22"/>
              <w:ind w:left="157"/>
              <w:rPr>
                <w:rFonts w:ascii="宋体" w:eastAsia="宋体" w:hint="eastAsia"/>
                <w:sz w:val="21"/>
              </w:rPr>
            </w:pPr>
            <w:r>
              <w:rPr>
                <w:rFonts w:ascii="宋体" w:eastAsia="宋体" w:hint="eastAsia"/>
                <w:sz w:val="21"/>
              </w:rPr>
              <w:t>境内非国</w:t>
            </w:r>
          </w:p>
          <w:p>
            <w:pPr>
              <w:pStyle w:val="TableParagraph"/>
              <w:spacing w:before="43"/>
              <w:ind w:left="260"/>
              <w:rPr>
                <w:rFonts w:ascii="宋体" w:eastAsia="宋体" w:hint="eastAsia"/>
                <w:sz w:val="21"/>
              </w:rPr>
            </w:pPr>
            <w:r>
              <w:rPr>
                <w:rFonts w:ascii="宋体" w:eastAsia="宋体" w:hint="eastAsia"/>
                <w:sz w:val="21"/>
              </w:rPr>
              <w:t>有法人</w:t>
            </w:r>
          </w:p>
        </w:tc>
      </w:tr>
      <w:tr>
        <w:trPr>
          <w:trHeight w:val="626" w:hRule="atLeast"/>
        </w:trPr>
        <w:tc>
          <w:tcPr>
            <w:tcW w:w="3085" w:type="dxa"/>
            <w:tcBorders>
              <w:top w:val="single" w:sz="4" w:space="0" w:color="000000"/>
              <w:bottom w:val="single" w:sz="4" w:space="0" w:color="000000"/>
              <w:right w:val="single" w:sz="4" w:space="0" w:color="000000"/>
            </w:tcBorders>
          </w:tcPr>
          <w:p>
            <w:pPr>
              <w:pStyle w:val="TableParagraph"/>
              <w:spacing w:before="36"/>
              <w:ind w:left="107"/>
              <w:rPr>
                <w:sz w:val="21"/>
              </w:rPr>
            </w:pPr>
            <w:r>
              <w:rPr>
                <w:sz w:val="21"/>
              </w:rPr>
              <w:t>ALIBABA INVESTMENT</w:t>
            </w:r>
          </w:p>
          <w:p>
            <w:pPr>
              <w:pStyle w:val="TableParagraph"/>
              <w:spacing w:before="71"/>
              <w:ind w:left="107"/>
              <w:rPr>
                <w:sz w:val="21"/>
              </w:rPr>
            </w:pPr>
            <w:r>
              <w:rPr>
                <w:sz w:val="21"/>
              </w:rPr>
              <w:t>LIMITED</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92"/>
              <w:ind w:left="512"/>
              <w:rPr>
                <w:sz w:val="21"/>
              </w:rPr>
            </w:pPr>
            <w:r>
              <w:rPr>
                <w:sz w:val="21"/>
              </w:rPr>
              <w:t>83,823,993</w:t>
            </w:r>
          </w:p>
        </w:tc>
        <w:tc>
          <w:tcPr>
            <w:tcW w:w="8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92"/>
              <w:ind w:left="379"/>
              <w:rPr>
                <w:sz w:val="21"/>
              </w:rPr>
            </w:pPr>
            <w:r>
              <w:rPr>
                <w:sz w:val="21"/>
              </w:rPr>
              <w:t>0.93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0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
              <w:rPr>
                <w:rFonts w:ascii="宋体"/>
                <w:sz w:val="14"/>
              </w:rPr>
            </w:pPr>
          </w:p>
          <w:p>
            <w:pPr>
              <w:pStyle w:val="TableParagraph"/>
              <w:ind w:left="150"/>
              <w:rPr>
                <w:rFonts w:ascii="宋体" w:eastAsia="宋体" w:hint="eastAsia"/>
                <w:sz w:val="21"/>
              </w:rPr>
            </w:pPr>
            <w:r>
              <w:rPr>
                <w:rFonts w:ascii="宋体" w:eastAsia="宋体" w:hint="eastAsia"/>
                <w:sz w:val="21"/>
              </w:rPr>
              <w:t>未知</w:t>
            </w:r>
          </w:p>
        </w:tc>
        <w:tc>
          <w:tcPr>
            <w:tcW w:w="42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134" w:type="dxa"/>
            <w:tcBorders>
              <w:top w:val="single" w:sz="4" w:space="0" w:color="000000"/>
              <w:left w:val="single" w:sz="4" w:space="0" w:color="000000"/>
              <w:bottom w:val="single" w:sz="4" w:space="0" w:color="000000"/>
            </w:tcBorders>
          </w:tcPr>
          <w:p>
            <w:pPr>
              <w:pStyle w:val="TableParagraph"/>
              <w:spacing w:before="1"/>
              <w:rPr>
                <w:rFonts w:ascii="宋体"/>
                <w:sz w:val="14"/>
              </w:rPr>
            </w:pPr>
          </w:p>
          <w:p>
            <w:pPr>
              <w:pStyle w:val="TableParagraph"/>
              <w:ind w:left="138" w:right="95"/>
              <w:jc w:val="center"/>
              <w:rPr>
                <w:rFonts w:ascii="宋体" w:eastAsia="宋体" w:hint="eastAsia"/>
                <w:sz w:val="21"/>
              </w:rPr>
            </w:pPr>
            <w:r>
              <w:rPr>
                <w:rFonts w:ascii="宋体" w:eastAsia="宋体" w:hint="eastAsia"/>
                <w:sz w:val="21"/>
              </w:rPr>
              <w:t>境外法人</w:t>
            </w:r>
          </w:p>
        </w:tc>
      </w:tr>
      <w:tr>
        <w:trPr>
          <w:trHeight w:val="623" w:hRule="atLeast"/>
        </w:trPr>
        <w:tc>
          <w:tcPr>
            <w:tcW w:w="3085" w:type="dxa"/>
            <w:tcBorders>
              <w:top w:val="single" w:sz="4" w:space="0" w:color="000000"/>
              <w:bottom w:val="single" w:sz="4" w:space="0" w:color="000000"/>
              <w:right w:val="single" w:sz="4" w:space="0" w:color="000000"/>
            </w:tcBorders>
          </w:tcPr>
          <w:p>
            <w:pPr>
              <w:pStyle w:val="TableParagraph"/>
              <w:spacing w:before="34"/>
              <w:ind w:left="107"/>
              <w:rPr>
                <w:sz w:val="21"/>
              </w:rPr>
            </w:pPr>
            <w:r>
              <w:rPr>
                <w:sz w:val="21"/>
              </w:rPr>
              <w:t>CLEARSTREAM BANKING</w:t>
            </w:r>
          </w:p>
          <w:p>
            <w:pPr>
              <w:pStyle w:val="TableParagraph"/>
              <w:spacing w:before="59"/>
              <w:ind w:left="107"/>
              <w:rPr>
                <w:rFonts w:ascii="宋体" w:eastAsia="宋体" w:hint="eastAsia"/>
                <w:sz w:val="21"/>
              </w:rPr>
            </w:pPr>
            <w:r>
              <w:rPr>
                <w:sz w:val="21"/>
              </w:rPr>
              <w:t>S.A. </w:t>
            </w:r>
            <w:r>
              <w:rPr>
                <w:rFonts w:ascii="宋体" w:eastAsia="宋体" w:hint="eastAsia"/>
                <w:sz w:val="21"/>
              </w:rPr>
              <w:t>（注）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90"/>
              <w:ind w:left="512"/>
              <w:rPr>
                <w:sz w:val="21"/>
              </w:rPr>
            </w:pPr>
            <w:r>
              <w:rPr>
                <w:sz w:val="21"/>
              </w:rPr>
              <w:t>74,465,750</w:t>
            </w:r>
          </w:p>
        </w:tc>
        <w:tc>
          <w:tcPr>
            <w:tcW w:w="8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90"/>
              <w:ind w:left="379"/>
              <w:rPr>
                <w:sz w:val="21"/>
              </w:rPr>
            </w:pPr>
            <w:r>
              <w:rPr>
                <w:sz w:val="21"/>
              </w:rPr>
              <w:t>0.82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0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78"/>
              <w:ind w:left="150"/>
              <w:rPr>
                <w:rFonts w:ascii="宋体" w:eastAsia="宋体" w:hint="eastAsia"/>
                <w:sz w:val="21"/>
              </w:rPr>
            </w:pPr>
            <w:r>
              <w:rPr>
                <w:rFonts w:ascii="宋体" w:eastAsia="宋体" w:hint="eastAsia"/>
                <w:sz w:val="21"/>
              </w:rPr>
              <w:t>未知</w:t>
            </w:r>
          </w:p>
        </w:tc>
        <w:tc>
          <w:tcPr>
            <w:tcW w:w="42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134" w:type="dxa"/>
            <w:tcBorders>
              <w:top w:val="single" w:sz="4" w:space="0" w:color="000000"/>
              <w:left w:val="single" w:sz="4" w:space="0" w:color="000000"/>
              <w:bottom w:val="single" w:sz="4" w:space="0" w:color="000000"/>
            </w:tcBorders>
          </w:tcPr>
          <w:p>
            <w:pPr>
              <w:pStyle w:val="TableParagraph"/>
              <w:spacing w:before="178"/>
              <w:ind w:left="138" w:right="95"/>
              <w:jc w:val="center"/>
              <w:rPr>
                <w:rFonts w:ascii="宋体" w:eastAsia="宋体" w:hint="eastAsia"/>
                <w:sz w:val="21"/>
              </w:rPr>
            </w:pPr>
            <w:r>
              <w:rPr>
                <w:rFonts w:ascii="宋体" w:eastAsia="宋体" w:hint="eastAsia"/>
                <w:sz w:val="21"/>
              </w:rPr>
              <w:t>境外法人</w:t>
            </w:r>
          </w:p>
        </w:tc>
      </w:tr>
      <w:tr>
        <w:trPr>
          <w:trHeight w:val="624" w:hRule="atLeast"/>
        </w:trPr>
        <w:tc>
          <w:tcPr>
            <w:tcW w:w="3085" w:type="dxa"/>
            <w:tcBorders>
              <w:top w:val="single" w:sz="4" w:space="0" w:color="000000"/>
              <w:bottom w:val="single" w:sz="4" w:space="0" w:color="000000"/>
              <w:right w:val="single" w:sz="4" w:space="0" w:color="000000"/>
            </w:tcBorders>
          </w:tcPr>
          <w:p>
            <w:pPr>
              <w:pStyle w:val="TableParagraph"/>
              <w:spacing w:before="22"/>
              <w:ind w:left="107"/>
              <w:rPr>
                <w:rFonts w:ascii="宋体" w:eastAsia="宋体" w:hint="eastAsia"/>
                <w:sz w:val="21"/>
              </w:rPr>
            </w:pPr>
            <w:r>
              <w:rPr>
                <w:rFonts w:ascii="宋体" w:eastAsia="宋体" w:hint="eastAsia"/>
                <w:sz w:val="21"/>
              </w:rPr>
              <w:t>青岛海创智管理咨询企业（有限</w:t>
            </w:r>
          </w:p>
          <w:p>
            <w:pPr>
              <w:pStyle w:val="TableParagraph"/>
              <w:spacing w:before="44"/>
              <w:ind w:left="107"/>
              <w:rPr>
                <w:rFonts w:ascii="宋体" w:eastAsia="宋体" w:hint="eastAsia"/>
                <w:sz w:val="21"/>
              </w:rPr>
            </w:pPr>
            <w:r>
              <w:rPr>
                <w:rFonts w:ascii="宋体" w:eastAsia="宋体" w:hint="eastAsia"/>
                <w:sz w:val="21"/>
              </w:rPr>
              <w:t>合伙）</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90"/>
              <w:ind w:left="512"/>
              <w:rPr>
                <w:sz w:val="21"/>
              </w:rPr>
            </w:pPr>
            <w:r>
              <w:rPr>
                <w:sz w:val="21"/>
              </w:rPr>
              <w:t>73,011,000</w:t>
            </w:r>
          </w:p>
        </w:tc>
        <w:tc>
          <w:tcPr>
            <w:tcW w:w="8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90"/>
              <w:ind w:left="379"/>
              <w:rPr>
                <w:sz w:val="21"/>
              </w:rPr>
            </w:pPr>
            <w:r>
              <w:rPr>
                <w:sz w:val="21"/>
              </w:rPr>
              <w:t>0.81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0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79"/>
              <w:ind w:left="253"/>
              <w:rPr>
                <w:rFonts w:ascii="宋体" w:eastAsia="宋体" w:hint="eastAsia"/>
                <w:sz w:val="21"/>
              </w:rPr>
            </w:pPr>
            <w:r>
              <w:rPr>
                <w:rFonts w:ascii="宋体" w:eastAsia="宋体" w:hint="eastAsia"/>
                <w:w w:val="100"/>
                <w:sz w:val="21"/>
              </w:rPr>
              <w:t>无</w:t>
            </w:r>
          </w:p>
        </w:tc>
        <w:tc>
          <w:tcPr>
            <w:tcW w:w="42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134" w:type="dxa"/>
            <w:tcBorders>
              <w:top w:val="single" w:sz="4" w:space="0" w:color="000000"/>
              <w:left w:val="single" w:sz="4" w:space="0" w:color="000000"/>
              <w:bottom w:val="single" w:sz="4" w:space="0" w:color="000000"/>
            </w:tcBorders>
          </w:tcPr>
          <w:p>
            <w:pPr>
              <w:pStyle w:val="TableParagraph"/>
              <w:spacing w:before="22"/>
              <w:ind w:left="157"/>
              <w:rPr>
                <w:rFonts w:ascii="宋体" w:eastAsia="宋体" w:hint="eastAsia"/>
                <w:sz w:val="21"/>
              </w:rPr>
            </w:pPr>
            <w:r>
              <w:rPr>
                <w:rFonts w:ascii="宋体" w:eastAsia="宋体" w:hint="eastAsia"/>
                <w:sz w:val="21"/>
              </w:rPr>
              <w:t>境内非国</w:t>
            </w:r>
          </w:p>
          <w:p>
            <w:pPr>
              <w:pStyle w:val="TableParagraph"/>
              <w:spacing w:before="44"/>
              <w:ind w:left="260"/>
              <w:rPr>
                <w:rFonts w:ascii="宋体" w:eastAsia="宋体" w:hint="eastAsia"/>
                <w:sz w:val="21"/>
              </w:rPr>
            </w:pPr>
            <w:r>
              <w:rPr>
                <w:rFonts w:ascii="宋体" w:eastAsia="宋体" w:hint="eastAsia"/>
                <w:sz w:val="21"/>
              </w:rPr>
              <w:t>有法人</w:t>
            </w:r>
          </w:p>
        </w:tc>
      </w:tr>
      <w:tr>
        <w:trPr>
          <w:trHeight w:val="311" w:hRule="atLeast"/>
        </w:trPr>
        <w:tc>
          <w:tcPr>
            <w:tcW w:w="9606" w:type="dxa"/>
            <w:gridSpan w:val="11"/>
            <w:tcBorders>
              <w:top w:val="single" w:sz="4" w:space="0" w:color="000000"/>
              <w:bottom w:val="single" w:sz="4" w:space="0" w:color="000000"/>
            </w:tcBorders>
            <w:shd w:val="clear" w:color="auto" w:fill="EDEBE0"/>
          </w:tcPr>
          <w:p>
            <w:pPr>
              <w:pStyle w:val="TableParagraph"/>
              <w:spacing w:before="22"/>
              <w:ind w:left="3313" w:right="3282"/>
              <w:jc w:val="center"/>
              <w:rPr>
                <w:rFonts w:ascii="宋体" w:eastAsia="宋体" w:hint="eastAsia"/>
                <w:sz w:val="21"/>
              </w:rPr>
            </w:pPr>
            <w:r>
              <w:rPr>
                <w:rFonts w:ascii="宋体" w:eastAsia="宋体" w:hint="eastAsia"/>
                <w:sz w:val="21"/>
              </w:rPr>
              <w:t>前十名无限售条件股东持股情况</w:t>
            </w:r>
          </w:p>
        </w:tc>
      </w:tr>
      <w:tr>
        <w:trPr>
          <w:trHeight w:val="311" w:hRule="atLeast"/>
        </w:trPr>
        <w:tc>
          <w:tcPr>
            <w:tcW w:w="4221" w:type="dxa"/>
            <w:gridSpan w:val="3"/>
            <w:vMerge w:val="restart"/>
            <w:tcBorders>
              <w:top w:val="single" w:sz="4" w:space="0" w:color="000000"/>
              <w:bottom w:val="single" w:sz="4" w:space="0" w:color="000000"/>
              <w:right w:val="single" w:sz="4" w:space="0" w:color="000000"/>
            </w:tcBorders>
            <w:shd w:val="clear" w:color="auto" w:fill="EDEBE0"/>
          </w:tcPr>
          <w:p>
            <w:pPr>
              <w:pStyle w:val="TableParagraph"/>
              <w:spacing w:before="4"/>
              <w:rPr>
                <w:rFonts w:ascii="宋体"/>
                <w:sz w:val="14"/>
              </w:rPr>
            </w:pPr>
          </w:p>
          <w:p>
            <w:pPr>
              <w:pStyle w:val="TableParagraph"/>
              <w:ind w:left="1670" w:right="1651"/>
              <w:jc w:val="center"/>
              <w:rPr>
                <w:rFonts w:ascii="宋体" w:eastAsia="宋体" w:hint="eastAsia"/>
                <w:sz w:val="21"/>
              </w:rPr>
            </w:pPr>
            <w:r>
              <w:rPr>
                <w:rFonts w:ascii="宋体" w:eastAsia="宋体" w:hint="eastAsia"/>
                <w:sz w:val="21"/>
              </w:rPr>
              <w:t>股东名称</w:t>
            </w:r>
          </w:p>
        </w:tc>
        <w:tc>
          <w:tcPr>
            <w:tcW w:w="1702" w:type="dxa"/>
            <w:gridSpan w:val="2"/>
            <w:vMerge w:val="restart"/>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27"/>
              <w:ind w:left="123"/>
              <w:rPr>
                <w:rFonts w:ascii="宋体" w:eastAsia="宋体" w:hint="eastAsia"/>
                <w:sz w:val="21"/>
              </w:rPr>
            </w:pPr>
            <w:r>
              <w:rPr>
                <w:rFonts w:ascii="宋体" w:eastAsia="宋体" w:hint="eastAsia"/>
                <w:sz w:val="21"/>
              </w:rPr>
              <w:t>持有无限售条件</w:t>
            </w:r>
          </w:p>
          <w:p>
            <w:pPr>
              <w:pStyle w:val="TableParagraph"/>
              <w:spacing w:before="43"/>
              <w:ind w:left="228"/>
              <w:rPr>
                <w:rFonts w:ascii="宋体" w:eastAsia="宋体" w:hint="eastAsia"/>
                <w:sz w:val="21"/>
              </w:rPr>
            </w:pPr>
            <w:r>
              <w:rPr>
                <w:rFonts w:ascii="宋体" w:eastAsia="宋体" w:hint="eastAsia"/>
                <w:sz w:val="21"/>
              </w:rPr>
              <w:t>流通股的数量</w:t>
            </w:r>
          </w:p>
        </w:tc>
        <w:tc>
          <w:tcPr>
            <w:tcW w:w="3683" w:type="dxa"/>
            <w:gridSpan w:val="6"/>
            <w:tcBorders>
              <w:top w:val="single" w:sz="4" w:space="0" w:color="000000"/>
              <w:left w:val="single" w:sz="4" w:space="0" w:color="000000"/>
              <w:bottom w:val="single" w:sz="4" w:space="0" w:color="000000"/>
            </w:tcBorders>
            <w:shd w:val="clear" w:color="auto" w:fill="EDEBE0"/>
          </w:tcPr>
          <w:p>
            <w:pPr>
              <w:pStyle w:val="TableParagraph"/>
              <w:spacing w:before="22"/>
              <w:ind w:left="1112"/>
              <w:rPr>
                <w:rFonts w:ascii="宋体" w:eastAsia="宋体" w:hint="eastAsia"/>
                <w:sz w:val="21"/>
              </w:rPr>
            </w:pPr>
            <w:r>
              <w:rPr>
                <w:rFonts w:ascii="宋体" w:eastAsia="宋体" w:hint="eastAsia"/>
                <w:sz w:val="21"/>
              </w:rPr>
              <w:t>股份种类及数量</w:t>
            </w:r>
          </w:p>
        </w:tc>
      </w:tr>
      <w:tr>
        <w:trPr>
          <w:trHeight w:val="311" w:hRule="atLeast"/>
        </w:trPr>
        <w:tc>
          <w:tcPr>
            <w:tcW w:w="4221" w:type="dxa"/>
            <w:gridSpan w:val="3"/>
            <w:vMerge/>
            <w:tcBorders>
              <w:top w:val="nil"/>
              <w:bottom w:val="single" w:sz="4" w:space="0" w:color="000000"/>
              <w:right w:val="single" w:sz="4" w:space="0" w:color="000000"/>
            </w:tcBorders>
            <w:shd w:val="clear" w:color="auto" w:fill="EDEBE0"/>
          </w:tcPr>
          <w:p>
            <w:pPr>
              <w:rPr>
                <w:sz w:val="2"/>
                <w:szCs w:val="2"/>
              </w:rPr>
            </w:pPr>
          </w:p>
        </w:tc>
        <w:tc>
          <w:tcPr>
            <w:tcW w:w="1702" w:type="dxa"/>
            <w:gridSpan w:val="2"/>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1984" w:type="dxa"/>
            <w:gridSpan w:val="3"/>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22"/>
              <w:ind w:left="769" w:right="745"/>
              <w:jc w:val="center"/>
              <w:rPr>
                <w:rFonts w:ascii="宋体" w:eastAsia="宋体" w:hint="eastAsia"/>
                <w:sz w:val="21"/>
              </w:rPr>
            </w:pPr>
            <w:r>
              <w:rPr>
                <w:rFonts w:ascii="宋体" w:eastAsia="宋体" w:hint="eastAsia"/>
                <w:sz w:val="21"/>
              </w:rPr>
              <w:t>种类</w:t>
            </w:r>
          </w:p>
        </w:tc>
        <w:tc>
          <w:tcPr>
            <w:tcW w:w="1699" w:type="dxa"/>
            <w:gridSpan w:val="3"/>
            <w:tcBorders>
              <w:top w:val="single" w:sz="4" w:space="0" w:color="000000"/>
              <w:left w:val="single" w:sz="4" w:space="0" w:color="000000"/>
              <w:bottom w:val="single" w:sz="4" w:space="0" w:color="000000"/>
            </w:tcBorders>
            <w:shd w:val="clear" w:color="auto" w:fill="EDEBE0"/>
          </w:tcPr>
          <w:p>
            <w:pPr>
              <w:pStyle w:val="TableParagraph"/>
              <w:spacing w:before="22"/>
              <w:ind w:left="210" w:right="166"/>
              <w:jc w:val="center"/>
              <w:rPr>
                <w:rFonts w:ascii="宋体" w:eastAsia="宋体" w:hint="eastAsia"/>
                <w:sz w:val="21"/>
              </w:rPr>
            </w:pPr>
            <w:r>
              <w:rPr>
                <w:rFonts w:ascii="宋体" w:eastAsia="宋体" w:hint="eastAsia"/>
                <w:sz w:val="21"/>
              </w:rPr>
              <w:t>数量</w:t>
            </w:r>
          </w:p>
        </w:tc>
      </w:tr>
      <w:tr>
        <w:trPr>
          <w:trHeight w:val="313" w:hRule="atLeast"/>
        </w:trPr>
        <w:tc>
          <w:tcPr>
            <w:tcW w:w="4221" w:type="dxa"/>
            <w:gridSpan w:val="3"/>
            <w:tcBorders>
              <w:top w:val="single" w:sz="4" w:space="0" w:color="000000"/>
              <w:bottom w:val="single" w:sz="4" w:space="0" w:color="000000"/>
              <w:right w:val="single" w:sz="4" w:space="0" w:color="000000"/>
            </w:tcBorders>
          </w:tcPr>
          <w:p>
            <w:pPr>
              <w:pStyle w:val="TableParagraph"/>
              <w:spacing w:before="36"/>
              <w:ind w:left="107"/>
              <w:rPr>
                <w:sz w:val="21"/>
              </w:rPr>
            </w:pPr>
            <w:r>
              <w:rPr>
                <w:sz w:val="21"/>
              </w:rPr>
              <w:t>HKSCC NOMINEES LIMITED</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394"/>
              <w:rPr>
                <w:sz w:val="21"/>
              </w:rPr>
            </w:pPr>
            <w:r>
              <w:rPr>
                <w:sz w:val="21"/>
              </w:rPr>
              <w:t>1,820,935,022</w:t>
            </w:r>
          </w:p>
        </w:tc>
        <w:tc>
          <w:tcPr>
            <w:tcW w:w="198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5"/>
              <w:ind w:left="262"/>
              <w:rPr>
                <w:rFonts w:ascii="宋体" w:eastAsia="宋体" w:hint="eastAsia"/>
                <w:sz w:val="21"/>
              </w:rPr>
            </w:pPr>
            <w:r>
              <w:rPr>
                <w:rFonts w:ascii="宋体" w:eastAsia="宋体" w:hint="eastAsia"/>
                <w:sz w:val="21"/>
              </w:rPr>
              <w:t>境外上市外资股</w:t>
            </w:r>
          </w:p>
        </w:tc>
        <w:tc>
          <w:tcPr>
            <w:tcW w:w="1699" w:type="dxa"/>
            <w:gridSpan w:val="3"/>
            <w:tcBorders>
              <w:top w:val="single" w:sz="4" w:space="0" w:color="000000"/>
              <w:left w:val="single" w:sz="4" w:space="0" w:color="000000"/>
              <w:bottom w:val="single" w:sz="4" w:space="0" w:color="000000"/>
            </w:tcBorders>
          </w:tcPr>
          <w:p>
            <w:pPr>
              <w:pStyle w:val="TableParagraph"/>
              <w:spacing w:before="36"/>
              <w:ind w:left="395"/>
              <w:rPr>
                <w:sz w:val="21"/>
              </w:rPr>
            </w:pPr>
            <w:r>
              <w:rPr>
                <w:sz w:val="21"/>
              </w:rPr>
              <w:t>1,820,935,022</w:t>
            </w:r>
          </w:p>
        </w:tc>
      </w:tr>
      <w:tr>
        <w:trPr>
          <w:trHeight w:val="311" w:hRule="atLeast"/>
        </w:trPr>
        <w:tc>
          <w:tcPr>
            <w:tcW w:w="4221" w:type="dxa"/>
            <w:gridSpan w:val="3"/>
            <w:tcBorders>
              <w:top w:val="single" w:sz="4" w:space="0" w:color="000000"/>
              <w:bottom w:val="single" w:sz="4" w:space="0" w:color="000000"/>
              <w:right w:val="single" w:sz="4" w:space="0" w:color="000000"/>
            </w:tcBorders>
          </w:tcPr>
          <w:p>
            <w:pPr>
              <w:pStyle w:val="TableParagraph"/>
              <w:spacing w:before="22"/>
              <w:ind w:left="107"/>
              <w:rPr>
                <w:rFonts w:ascii="宋体" w:eastAsia="宋体" w:hint="eastAsia"/>
                <w:sz w:val="21"/>
              </w:rPr>
            </w:pPr>
            <w:r>
              <w:rPr>
                <w:rFonts w:ascii="宋体" w:eastAsia="宋体" w:hint="eastAsia"/>
                <w:sz w:val="21"/>
              </w:rPr>
              <w:t>海尔电器国际股份有限公司</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4"/>
              <w:ind w:left="394"/>
              <w:rPr>
                <w:sz w:val="21"/>
              </w:rPr>
            </w:pPr>
            <w:r>
              <w:rPr>
                <w:sz w:val="21"/>
              </w:rPr>
              <w:t>1,258,684,824</w:t>
            </w:r>
          </w:p>
        </w:tc>
        <w:tc>
          <w:tcPr>
            <w:tcW w:w="198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368"/>
              <w:rPr>
                <w:rFonts w:ascii="宋体" w:eastAsia="宋体" w:hint="eastAsia"/>
                <w:sz w:val="21"/>
              </w:rPr>
            </w:pPr>
            <w:r>
              <w:rPr>
                <w:rFonts w:ascii="宋体" w:eastAsia="宋体" w:hint="eastAsia"/>
                <w:sz w:val="21"/>
              </w:rPr>
              <w:t>人民币普通股</w:t>
            </w:r>
          </w:p>
        </w:tc>
        <w:tc>
          <w:tcPr>
            <w:tcW w:w="1699" w:type="dxa"/>
            <w:gridSpan w:val="3"/>
            <w:tcBorders>
              <w:top w:val="single" w:sz="4" w:space="0" w:color="000000"/>
              <w:left w:val="single" w:sz="4" w:space="0" w:color="000000"/>
              <w:bottom w:val="single" w:sz="4" w:space="0" w:color="000000"/>
            </w:tcBorders>
          </w:tcPr>
          <w:p>
            <w:pPr>
              <w:pStyle w:val="TableParagraph"/>
              <w:spacing w:before="34"/>
              <w:ind w:left="395"/>
              <w:rPr>
                <w:sz w:val="21"/>
              </w:rPr>
            </w:pPr>
            <w:r>
              <w:rPr>
                <w:sz w:val="21"/>
              </w:rPr>
              <w:t>1,258,684,824</w:t>
            </w:r>
          </w:p>
        </w:tc>
      </w:tr>
      <w:tr>
        <w:trPr>
          <w:trHeight w:val="311" w:hRule="atLeast"/>
        </w:trPr>
        <w:tc>
          <w:tcPr>
            <w:tcW w:w="4221" w:type="dxa"/>
            <w:gridSpan w:val="3"/>
            <w:tcBorders>
              <w:top w:val="single" w:sz="4" w:space="0" w:color="000000"/>
              <w:bottom w:val="single" w:sz="4" w:space="0" w:color="000000"/>
              <w:right w:val="single" w:sz="4" w:space="0" w:color="000000"/>
            </w:tcBorders>
          </w:tcPr>
          <w:p>
            <w:pPr>
              <w:pStyle w:val="TableParagraph"/>
              <w:spacing w:before="22"/>
              <w:ind w:left="107"/>
              <w:rPr>
                <w:rFonts w:ascii="宋体" w:eastAsia="宋体" w:hint="eastAsia"/>
                <w:sz w:val="21"/>
              </w:rPr>
            </w:pPr>
            <w:r>
              <w:rPr>
                <w:rFonts w:ascii="宋体" w:eastAsia="宋体" w:hint="eastAsia"/>
                <w:sz w:val="21"/>
              </w:rPr>
              <w:t>海尔集团公司</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4"/>
              <w:ind w:left="394"/>
              <w:rPr>
                <w:sz w:val="21"/>
              </w:rPr>
            </w:pPr>
            <w:r>
              <w:rPr>
                <w:sz w:val="21"/>
              </w:rPr>
              <w:t>1,072,610,764</w:t>
            </w:r>
          </w:p>
        </w:tc>
        <w:tc>
          <w:tcPr>
            <w:tcW w:w="198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368"/>
              <w:rPr>
                <w:rFonts w:ascii="宋体" w:eastAsia="宋体" w:hint="eastAsia"/>
                <w:sz w:val="21"/>
              </w:rPr>
            </w:pPr>
            <w:r>
              <w:rPr>
                <w:rFonts w:ascii="宋体" w:eastAsia="宋体" w:hint="eastAsia"/>
                <w:sz w:val="21"/>
              </w:rPr>
              <w:t>人民币普通股</w:t>
            </w:r>
          </w:p>
        </w:tc>
        <w:tc>
          <w:tcPr>
            <w:tcW w:w="1699" w:type="dxa"/>
            <w:gridSpan w:val="3"/>
            <w:tcBorders>
              <w:top w:val="single" w:sz="4" w:space="0" w:color="000000"/>
              <w:left w:val="single" w:sz="4" w:space="0" w:color="000000"/>
              <w:bottom w:val="single" w:sz="4" w:space="0" w:color="000000"/>
            </w:tcBorders>
          </w:tcPr>
          <w:p>
            <w:pPr>
              <w:pStyle w:val="TableParagraph"/>
              <w:spacing w:before="34"/>
              <w:ind w:left="395"/>
              <w:rPr>
                <w:sz w:val="21"/>
              </w:rPr>
            </w:pPr>
            <w:r>
              <w:rPr>
                <w:sz w:val="21"/>
              </w:rPr>
              <w:t>1,072,610,764</w:t>
            </w:r>
          </w:p>
        </w:tc>
      </w:tr>
      <w:tr>
        <w:trPr>
          <w:trHeight w:val="623" w:hRule="atLeast"/>
        </w:trPr>
        <w:tc>
          <w:tcPr>
            <w:tcW w:w="4221" w:type="dxa"/>
            <w:gridSpan w:val="3"/>
            <w:tcBorders>
              <w:top w:val="single" w:sz="4" w:space="0" w:color="000000"/>
              <w:bottom w:val="single" w:sz="4" w:space="0" w:color="000000"/>
              <w:right w:val="single" w:sz="4" w:space="0" w:color="000000"/>
            </w:tcBorders>
          </w:tcPr>
          <w:p>
            <w:pPr>
              <w:pStyle w:val="TableParagraph"/>
              <w:spacing w:before="34"/>
              <w:ind w:left="107"/>
              <w:rPr>
                <w:sz w:val="21"/>
              </w:rPr>
            </w:pPr>
            <w:r>
              <w:rPr>
                <w:sz w:val="21"/>
              </w:rPr>
              <w:t>HCH (HK) INVESTMENT MANAGEMENT</w:t>
            </w:r>
          </w:p>
          <w:p>
            <w:pPr>
              <w:pStyle w:val="TableParagraph"/>
              <w:spacing w:before="70"/>
              <w:ind w:left="107"/>
              <w:rPr>
                <w:sz w:val="21"/>
              </w:rPr>
            </w:pPr>
            <w:r>
              <w:rPr>
                <w:sz w:val="21"/>
              </w:rPr>
              <w:t>CO., LIMITED</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90"/>
              <w:ind w:left="550"/>
              <w:rPr>
                <w:sz w:val="21"/>
              </w:rPr>
            </w:pPr>
            <w:r>
              <w:rPr>
                <w:sz w:val="21"/>
              </w:rPr>
              <w:t>538,560,000</w:t>
            </w:r>
          </w:p>
        </w:tc>
        <w:tc>
          <w:tcPr>
            <w:tcW w:w="198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78"/>
              <w:ind w:left="262"/>
              <w:rPr>
                <w:rFonts w:ascii="宋体" w:eastAsia="宋体" w:hint="eastAsia"/>
                <w:sz w:val="21"/>
              </w:rPr>
            </w:pPr>
            <w:r>
              <w:rPr>
                <w:rFonts w:ascii="宋体" w:eastAsia="宋体" w:hint="eastAsia"/>
                <w:sz w:val="21"/>
              </w:rPr>
              <w:t>境外上市外资股</w:t>
            </w:r>
          </w:p>
        </w:tc>
        <w:tc>
          <w:tcPr>
            <w:tcW w:w="1699" w:type="dxa"/>
            <w:gridSpan w:val="3"/>
            <w:tcBorders>
              <w:top w:val="single" w:sz="4" w:space="0" w:color="000000"/>
              <w:left w:val="single" w:sz="4" w:space="0" w:color="000000"/>
              <w:bottom w:val="single" w:sz="4" w:space="0" w:color="000000"/>
            </w:tcBorders>
          </w:tcPr>
          <w:p>
            <w:pPr>
              <w:pStyle w:val="TableParagraph"/>
              <w:spacing w:before="190"/>
              <w:ind w:left="551"/>
              <w:rPr>
                <w:sz w:val="21"/>
              </w:rPr>
            </w:pPr>
            <w:r>
              <w:rPr>
                <w:sz w:val="21"/>
              </w:rPr>
              <w:t>538,560,000</w:t>
            </w:r>
          </w:p>
        </w:tc>
      </w:tr>
      <w:tr>
        <w:trPr>
          <w:trHeight w:val="311" w:hRule="atLeast"/>
        </w:trPr>
        <w:tc>
          <w:tcPr>
            <w:tcW w:w="4221" w:type="dxa"/>
            <w:gridSpan w:val="3"/>
            <w:tcBorders>
              <w:top w:val="single" w:sz="4" w:space="0" w:color="000000"/>
              <w:bottom w:val="single" w:sz="4" w:space="0" w:color="000000"/>
              <w:right w:val="single" w:sz="4" w:space="0" w:color="000000"/>
            </w:tcBorders>
          </w:tcPr>
          <w:p>
            <w:pPr>
              <w:pStyle w:val="TableParagraph"/>
              <w:spacing w:before="22"/>
              <w:ind w:left="107"/>
              <w:rPr>
                <w:rFonts w:ascii="宋体" w:eastAsia="宋体" w:hint="eastAsia"/>
                <w:sz w:val="21"/>
              </w:rPr>
            </w:pPr>
            <w:r>
              <w:rPr>
                <w:rFonts w:ascii="宋体" w:eastAsia="宋体" w:hint="eastAsia"/>
                <w:sz w:val="21"/>
              </w:rPr>
              <w:t>香港中央结算有限公司</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4"/>
              <w:ind w:left="550"/>
              <w:rPr>
                <w:sz w:val="21"/>
              </w:rPr>
            </w:pPr>
            <w:r>
              <w:rPr>
                <w:sz w:val="21"/>
              </w:rPr>
              <w:t>472,115,774</w:t>
            </w:r>
          </w:p>
        </w:tc>
        <w:tc>
          <w:tcPr>
            <w:tcW w:w="198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368"/>
              <w:rPr>
                <w:rFonts w:ascii="宋体" w:eastAsia="宋体" w:hint="eastAsia"/>
                <w:sz w:val="21"/>
              </w:rPr>
            </w:pPr>
            <w:r>
              <w:rPr>
                <w:rFonts w:ascii="宋体" w:eastAsia="宋体" w:hint="eastAsia"/>
                <w:sz w:val="21"/>
              </w:rPr>
              <w:t>人民币普通股</w:t>
            </w:r>
          </w:p>
        </w:tc>
        <w:tc>
          <w:tcPr>
            <w:tcW w:w="1699" w:type="dxa"/>
            <w:gridSpan w:val="3"/>
            <w:tcBorders>
              <w:top w:val="single" w:sz="4" w:space="0" w:color="000000"/>
              <w:left w:val="single" w:sz="4" w:space="0" w:color="000000"/>
              <w:bottom w:val="single" w:sz="4" w:space="0" w:color="000000"/>
            </w:tcBorders>
          </w:tcPr>
          <w:p>
            <w:pPr>
              <w:pStyle w:val="TableParagraph"/>
              <w:spacing w:before="34"/>
              <w:ind w:left="551"/>
              <w:rPr>
                <w:sz w:val="21"/>
              </w:rPr>
            </w:pPr>
            <w:r>
              <w:rPr>
                <w:sz w:val="21"/>
              </w:rPr>
              <w:t>472,115,774</w:t>
            </w:r>
          </w:p>
        </w:tc>
      </w:tr>
      <w:tr>
        <w:trPr>
          <w:trHeight w:val="311" w:hRule="atLeast"/>
        </w:trPr>
        <w:tc>
          <w:tcPr>
            <w:tcW w:w="4221" w:type="dxa"/>
            <w:gridSpan w:val="3"/>
            <w:tcBorders>
              <w:top w:val="single" w:sz="4" w:space="0" w:color="000000"/>
              <w:bottom w:val="single" w:sz="4" w:space="0" w:color="000000"/>
              <w:right w:val="single" w:sz="4" w:space="0" w:color="000000"/>
            </w:tcBorders>
          </w:tcPr>
          <w:p>
            <w:pPr>
              <w:pStyle w:val="TableParagraph"/>
              <w:spacing w:before="22"/>
              <w:ind w:left="107"/>
              <w:rPr>
                <w:rFonts w:ascii="宋体" w:eastAsia="宋体" w:hint="eastAsia"/>
                <w:sz w:val="21"/>
              </w:rPr>
            </w:pPr>
            <w:r>
              <w:rPr>
                <w:rFonts w:ascii="宋体" w:eastAsia="宋体" w:hint="eastAsia"/>
                <w:sz w:val="21"/>
              </w:rPr>
              <w:t>中国证券金融股份有限公司</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4"/>
              <w:ind w:left="550"/>
              <w:rPr>
                <w:sz w:val="21"/>
              </w:rPr>
            </w:pPr>
            <w:r>
              <w:rPr>
                <w:sz w:val="21"/>
              </w:rPr>
              <w:t>182,592,697</w:t>
            </w:r>
          </w:p>
        </w:tc>
        <w:tc>
          <w:tcPr>
            <w:tcW w:w="198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368"/>
              <w:rPr>
                <w:rFonts w:ascii="宋体" w:eastAsia="宋体" w:hint="eastAsia"/>
                <w:sz w:val="21"/>
              </w:rPr>
            </w:pPr>
            <w:r>
              <w:rPr>
                <w:rFonts w:ascii="宋体" w:eastAsia="宋体" w:hint="eastAsia"/>
                <w:sz w:val="21"/>
              </w:rPr>
              <w:t>人民币普通股</w:t>
            </w:r>
          </w:p>
        </w:tc>
        <w:tc>
          <w:tcPr>
            <w:tcW w:w="1699" w:type="dxa"/>
            <w:gridSpan w:val="3"/>
            <w:tcBorders>
              <w:top w:val="single" w:sz="4" w:space="0" w:color="000000"/>
              <w:left w:val="single" w:sz="4" w:space="0" w:color="000000"/>
              <w:bottom w:val="single" w:sz="4" w:space="0" w:color="000000"/>
            </w:tcBorders>
          </w:tcPr>
          <w:p>
            <w:pPr>
              <w:pStyle w:val="TableParagraph"/>
              <w:spacing w:before="34"/>
              <w:ind w:left="551"/>
              <w:rPr>
                <w:sz w:val="21"/>
              </w:rPr>
            </w:pPr>
            <w:r>
              <w:rPr>
                <w:sz w:val="21"/>
              </w:rPr>
              <w:t>182,592,697</w:t>
            </w:r>
          </w:p>
        </w:tc>
      </w:tr>
      <w:tr>
        <w:trPr>
          <w:trHeight w:val="314" w:hRule="atLeast"/>
        </w:trPr>
        <w:tc>
          <w:tcPr>
            <w:tcW w:w="4221" w:type="dxa"/>
            <w:gridSpan w:val="3"/>
            <w:tcBorders>
              <w:top w:val="single" w:sz="4" w:space="0" w:color="000000"/>
              <w:bottom w:val="single" w:sz="4" w:space="0" w:color="000000"/>
              <w:right w:val="single" w:sz="4" w:space="0" w:color="000000"/>
            </w:tcBorders>
          </w:tcPr>
          <w:p>
            <w:pPr>
              <w:pStyle w:val="TableParagraph"/>
              <w:spacing w:before="25"/>
              <w:ind w:left="107"/>
              <w:rPr>
                <w:rFonts w:ascii="宋体" w:eastAsia="宋体" w:hint="eastAsia"/>
                <w:sz w:val="21"/>
              </w:rPr>
            </w:pPr>
            <w:r>
              <w:rPr>
                <w:rFonts w:ascii="宋体" w:eastAsia="宋体" w:hint="eastAsia"/>
                <w:sz w:val="21"/>
              </w:rPr>
              <w:t>青岛海尔创业投资咨询有限公司</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7"/>
              <w:ind w:left="550"/>
              <w:rPr>
                <w:sz w:val="21"/>
              </w:rPr>
            </w:pPr>
            <w:r>
              <w:rPr>
                <w:sz w:val="21"/>
              </w:rPr>
              <w:t>172,252,560</w:t>
            </w:r>
          </w:p>
        </w:tc>
        <w:tc>
          <w:tcPr>
            <w:tcW w:w="198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5"/>
              <w:ind w:left="368"/>
              <w:rPr>
                <w:rFonts w:ascii="宋体" w:eastAsia="宋体" w:hint="eastAsia"/>
                <w:sz w:val="21"/>
              </w:rPr>
            </w:pPr>
            <w:r>
              <w:rPr>
                <w:rFonts w:ascii="宋体" w:eastAsia="宋体" w:hint="eastAsia"/>
                <w:sz w:val="21"/>
              </w:rPr>
              <w:t>人民币普通股</w:t>
            </w:r>
          </w:p>
        </w:tc>
        <w:tc>
          <w:tcPr>
            <w:tcW w:w="1699" w:type="dxa"/>
            <w:gridSpan w:val="3"/>
            <w:tcBorders>
              <w:top w:val="single" w:sz="4" w:space="0" w:color="000000"/>
              <w:left w:val="single" w:sz="4" w:space="0" w:color="000000"/>
              <w:bottom w:val="single" w:sz="4" w:space="0" w:color="000000"/>
            </w:tcBorders>
          </w:tcPr>
          <w:p>
            <w:pPr>
              <w:pStyle w:val="TableParagraph"/>
              <w:spacing w:before="37"/>
              <w:ind w:left="551"/>
              <w:rPr>
                <w:sz w:val="21"/>
              </w:rPr>
            </w:pPr>
            <w:r>
              <w:rPr>
                <w:sz w:val="21"/>
              </w:rPr>
              <w:t>172,252,560</w:t>
            </w:r>
          </w:p>
        </w:tc>
      </w:tr>
      <w:tr>
        <w:trPr>
          <w:trHeight w:val="311" w:hRule="atLeast"/>
        </w:trPr>
        <w:tc>
          <w:tcPr>
            <w:tcW w:w="4221" w:type="dxa"/>
            <w:gridSpan w:val="3"/>
            <w:tcBorders>
              <w:top w:val="single" w:sz="4" w:space="0" w:color="000000"/>
              <w:bottom w:val="single" w:sz="4" w:space="0" w:color="000000"/>
              <w:right w:val="single" w:sz="4" w:space="0" w:color="000000"/>
            </w:tcBorders>
          </w:tcPr>
          <w:p>
            <w:pPr>
              <w:pStyle w:val="TableParagraph"/>
              <w:spacing w:before="34"/>
              <w:ind w:left="107"/>
              <w:rPr>
                <w:sz w:val="21"/>
              </w:rPr>
            </w:pPr>
            <w:r>
              <w:rPr>
                <w:sz w:val="21"/>
              </w:rPr>
              <w:t>ALIBABA INVESTMENT LIMITED</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4"/>
              <w:ind w:left="656"/>
              <w:rPr>
                <w:sz w:val="21"/>
              </w:rPr>
            </w:pPr>
            <w:r>
              <w:rPr>
                <w:sz w:val="21"/>
              </w:rPr>
              <w:t>83,823,993</w:t>
            </w:r>
          </w:p>
        </w:tc>
        <w:tc>
          <w:tcPr>
            <w:tcW w:w="198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262"/>
              <w:rPr>
                <w:rFonts w:ascii="宋体" w:eastAsia="宋体" w:hint="eastAsia"/>
                <w:sz w:val="21"/>
              </w:rPr>
            </w:pPr>
            <w:r>
              <w:rPr>
                <w:rFonts w:ascii="宋体" w:eastAsia="宋体" w:hint="eastAsia"/>
                <w:sz w:val="21"/>
              </w:rPr>
              <w:t>境外上市外资股</w:t>
            </w:r>
          </w:p>
        </w:tc>
        <w:tc>
          <w:tcPr>
            <w:tcW w:w="1699" w:type="dxa"/>
            <w:gridSpan w:val="3"/>
            <w:tcBorders>
              <w:top w:val="single" w:sz="4" w:space="0" w:color="000000"/>
              <w:left w:val="single" w:sz="4" w:space="0" w:color="000000"/>
              <w:bottom w:val="single" w:sz="4" w:space="0" w:color="000000"/>
            </w:tcBorders>
          </w:tcPr>
          <w:p>
            <w:pPr>
              <w:pStyle w:val="TableParagraph"/>
              <w:spacing w:before="34"/>
              <w:ind w:left="657"/>
              <w:rPr>
                <w:sz w:val="21"/>
              </w:rPr>
            </w:pPr>
            <w:r>
              <w:rPr>
                <w:sz w:val="21"/>
              </w:rPr>
              <w:t>83,823,993</w:t>
            </w:r>
          </w:p>
        </w:tc>
      </w:tr>
      <w:tr>
        <w:trPr>
          <w:trHeight w:val="311" w:hRule="atLeast"/>
        </w:trPr>
        <w:tc>
          <w:tcPr>
            <w:tcW w:w="4221" w:type="dxa"/>
            <w:gridSpan w:val="3"/>
            <w:tcBorders>
              <w:top w:val="single" w:sz="4" w:space="0" w:color="000000"/>
              <w:bottom w:val="single" w:sz="4" w:space="0" w:color="000000"/>
              <w:right w:val="single" w:sz="4" w:space="0" w:color="000000"/>
            </w:tcBorders>
          </w:tcPr>
          <w:p>
            <w:pPr>
              <w:pStyle w:val="TableParagraph"/>
              <w:spacing w:before="34"/>
              <w:ind w:left="107"/>
              <w:rPr>
                <w:sz w:val="21"/>
              </w:rPr>
            </w:pPr>
            <w:r>
              <w:rPr>
                <w:sz w:val="21"/>
              </w:rPr>
              <w:t>CLEARSTREAM BANKING S.A.</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4"/>
              <w:ind w:left="656"/>
              <w:rPr>
                <w:sz w:val="21"/>
              </w:rPr>
            </w:pPr>
            <w:r>
              <w:rPr>
                <w:sz w:val="21"/>
              </w:rPr>
              <w:t>74,465,750</w:t>
            </w:r>
          </w:p>
        </w:tc>
        <w:tc>
          <w:tcPr>
            <w:tcW w:w="198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262"/>
              <w:rPr>
                <w:rFonts w:ascii="宋体" w:eastAsia="宋体" w:hint="eastAsia"/>
                <w:sz w:val="21"/>
              </w:rPr>
            </w:pPr>
            <w:r>
              <w:rPr>
                <w:rFonts w:ascii="宋体" w:eastAsia="宋体" w:hint="eastAsia"/>
                <w:sz w:val="21"/>
              </w:rPr>
              <w:t>境外上市外资股</w:t>
            </w:r>
          </w:p>
        </w:tc>
        <w:tc>
          <w:tcPr>
            <w:tcW w:w="1699" w:type="dxa"/>
            <w:gridSpan w:val="3"/>
            <w:tcBorders>
              <w:top w:val="single" w:sz="4" w:space="0" w:color="000000"/>
              <w:left w:val="single" w:sz="4" w:space="0" w:color="000000"/>
              <w:bottom w:val="single" w:sz="4" w:space="0" w:color="000000"/>
            </w:tcBorders>
          </w:tcPr>
          <w:p>
            <w:pPr>
              <w:pStyle w:val="TableParagraph"/>
              <w:spacing w:before="34"/>
              <w:ind w:left="657"/>
              <w:rPr>
                <w:sz w:val="21"/>
              </w:rPr>
            </w:pPr>
            <w:r>
              <w:rPr>
                <w:sz w:val="21"/>
              </w:rPr>
              <w:t>74,465,750</w:t>
            </w:r>
          </w:p>
        </w:tc>
      </w:tr>
      <w:tr>
        <w:trPr>
          <w:trHeight w:val="311" w:hRule="atLeast"/>
        </w:trPr>
        <w:tc>
          <w:tcPr>
            <w:tcW w:w="4221" w:type="dxa"/>
            <w:gridSpan w:val="3"/>
            <w:tcBorders>
              <w:top w:val="single" w:sz="4" w:space="0" w:color="000000"/>
              <w:bottom w:val="single" w:sz="4" w:space="0" w:color="000000"/>
              <w:right w:val="single" w:sz="4" w:space="0" w:color="000000"/>
            </w:tcBorders>
          </w:tcPr>
          <w:p>
            <w:pPr>
              <w:pStyle w:val="TableParagraph"/>
              <w:spacing w:before="22"/>
              <w:ind w:left="107"/>
              <w:rPr>
                <w:rFonts w:ascii="宋体" w:eastAsia="宋体" w:hint="eastAsia"/>
                <w:sz w:val="21"/>
              </w:rPr>
            </w:pPr>
            <w:r>
              <w:rPr>
                <w:rFonts w:ascii="宋体" w:eastAsia="宋体" w:hint="eastAsia"/>
                <w:sz w:val="21"/>
              </w:rPr>
              <w:t>青岛海创智管理咨询企业（有限合伙）</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4"/>
              <w:ind w:left="656"/>
              <w:rPr>
                <w:sz w:val="21"/>
              </w:rPr>
            </w:pPr>
            <w:r>
              <w:rPr>
                <w:sz w:val="21"/>
              </w:rPr>
              <w:t>73,011,000</w:t>
            </w:r>
          </w:p>
        </w:tc>
        <w:tc>
          <w:tcPr>
            <w:tcW w:w="198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368"/>
              <w:rPr>
                <w:rFonts w:ascii="宋体" w:eastAsia="宋体" w:hint="eastAsia"/>
                <w:sz w:val="21"/>
              </w:rPr>
            </w:pPr>
            <w:r>
              <w:rPr>
                <w:rFonts w:ascii="宋体" w:eastAsia="宋体" w:hint="eastAsia"/>
                <w:sz w:val="21"/>
              </w:rPr>
              <w:t>人民币普通股</w:t>
            </w:r>
          </w:p>
        </w:tc>
        <w:tc>
          <w:tcPr>
            <w:tcW w:w="1699" w:type="dxa"/>
            <w:gridSpan w:val="3"/>
            <w:tcBorders>
              <w:top w:val="single" w:sz="4" w:space="0" w:color="000000"/>
              <w:left w:val="single" w:sz="4" w:space="0" w:color="000000"/>
              <w:bottom w:val="single" w:sz="4" w:space="0" w:color="000000"/>
            </w:tcBorders>
          </w:tcPr>
          <w:p>
            <w:pPr>
              <w:pStyle w:val="TableParagraph"/>
              <w:spacing w:before="34"/>
              <w:ind w:left="657"/>
              <w:rPr>
                <w:sz w:val="21"/>
              </w:rPr>
            </w:pPr>
            <w:r>
              <w:rPr>
                <w:sz w:val="21"/>
              </w:rPr>
              <w:t>73,011,000</w:t>
            </w:r>
          </w:p>
        </w:tc>
      </w:tr>
      <w:tr>
        <w:trPr>
          <w:trHeight w:val="2183" w:hRule="atLeast"/>
        </w:trPr>
        <w:tc>
          <w:tcPr>
            <w:tcW w:w="4221" w:type="dxa"/>
            <w:gridSpan w:val="3"/>
            <w:tcBorders>
              <w:top w:val="single" w:sz="4" w:space="0" w:color="000000"/>
              <w:bottom w:val="single" w:sz="4" w:space="0" w:color="000000"/>
              <w:right w:val="single" w:sz="4" w:space="0" w:color="000000"/>
            </w:tcBorders>
            <w:shd w:val="clear" w:color="auto" w:fill="EDEBE0"/>
          </w:tcPr>
          <w:p>
            <w:pPr>
              <w:pStyle w:val="TableParagraph"/>
              <w:rPr>
                <w:rFonts w:ascii="宋体"/>
                <w:sz w:val="20"/>
              </w:rPr>
            </w:pPr>
          </w:p>
          <w:p>
            <w:pPr>
              <w:pStyle w:val="TableParagraph"/>
              <w:rPr>
                <w:rFonts w:ascii="宋体"/>
                <w:sz w:val="20"/>
              </w:rPr>
            </w:pPr>
          </w:p>
          <w:p>
            <w:pPr>
              <w:pStyle w:val="TableParagraph"/>
              <w:rPr>
                <w:rFonts w:ascii="宋体"/>
                <w:sz w:val="20"/>
              </w:rPr>
            </w:pPr>
          </w:p>
          <w:p>
            <w:pPr>
              <w:pStyle w:val="TableParagraph"/>
              <w:spacing w:before="10"/>
              <w:rPr>
                <w:rFonts w:ascii="宋体"/>
                <w:sz w:val="14"/>
              </w:rPr>
            </w:pPr>
          </w:p>
          <w:p>
            <w:pPr>
              <w:pStyle w:val="TableParagraph"/>
              <w:ind w:left="107"/>
              <w:rPr>
                <w:rFonts w:ascii="宋体" w:eastAsia="宋体" w:hint="eastAsia"/>
                <w:sz w:val="21"/>
              </w:rPr>
            </w:pPr>
            <w:r>
              <w:rPr>
                <w:rFonts w:ascii="宋体" w:eastAsia="宋体" w:hint="eastAsia"/>
                <w:sz w:val="21"/>
              </w:rPr>
              <w:t>上述股东关联关系或一致行动的说明</w:t>
            </w:r>
          </w:p>
        </w:tc>
        <w:tc>
          <w:tcPr>
            <w:tcW w:w="5385" w:type="dxa"/>
            <w:gridSpan w:val="8"/>
            <w:tcBorders>
              <w:top w:val="single" w:sz="4" w:space="0" w:color="000000"/>
              <w:left w:val="single" w:sz="4" w:space="0" w:color="000000"/>
              <w:bottom w:val="single" w:sz="4" w:space="0" w:color="000000"/>
            </w:tcBorders>
          </w:tcPr>
          <w:p>
            <w:pPr>
              <w:pStyle w:val="TableParagraph"/>
              <w:numPr>
                <w:ilvl w:val="0"/>
                <w:numId w:val="21"/>
              </w:numPr>
              <w:tabs>
                <w:tab w:pos="646" w:val="left" w:leader="none"/>
              </w:tabs>
              <w:spacing w:line="278" w:lineRule="auto" w:before="22" w:after="0"/>
              <w:ind w:left="116" w:right="73" w:firstLine="0"/>
              <w:jc w:val="left"/>
              <w:rPr>
                <w:rFonts w:ascii="宋体" w:hAnsi="宋体" w:eastAsia="宋体" w:hint="eastAsia"/>
                <w:sz w:val="21"/>
              </w:rPr>
            </w:pPr>
            <w:r>
              <w:rPr>
                <w:rFonts w:ascii="宋体" w:hAnsi="宋体" w:eastAsia="宋体" w:hint="eastAsia"/>
                <w:spacing w:val="-6"/>
                <w:sz w:val="21"/>
              </w:rPr>
              <w:t>海尔电器国际股份有限公司</w:t>
            </w:r>
            <w:r>
              <w:rPr>
                <w:rFonts w:ascii="宋体" w:hAnsi="宋体" w:eastAsia="宋体" w:hint="eastAsia"/>
                <w:sz w:val="21"/>
              </w:rPr>
              <w:t>（</w:t>
            </w:r>
            <w:r>
              <w:rPr>
                <w:rFonts w:ascii="宋体" w:hAnsi="宋体" w:eastAsia="宋体" w:hint="eastAsia"/>
                <w:spacing w:val="-2"/>
                <w:sz w:val="21"/>
              </w:rPr>
              <w:t>现名</w:t>
            </w:r>
            <w:r>
              <w:rPr>
                <w:spacing w:val="-3"/>
                <w:sz w:val="21"/>
              </w:rPr>
              <w:t>“</w:t>
            </w:r>
            <w:r>
              <w:rPr>
                <w:rFonts w:ascii="宋体" w:hAnsi="宋体" w:eastAsia="宋体" w:hint="eastAsia"/>
                <w:spacing w:val="-3"/>
                <w:sz w:val="21"/>
              </w:rPr>
              <w:t>海尔卡奥斯股 </w:t>
            </w:r>
            <w:r>
              <w:rPr>
                <w:rFonts w:ascii="宋体" w:hAnsi="宋体" w:eastAsia="宋体" w:hint="eastAsia"/>
                <w:spacing w:val="-4"/>
                <w:sz w:val="21"/>
              </w:rPr>
              <w:t>份有限公司</w:t>
            </w:r>
            <w:r>
              <w:rPr>
                <w:sz w:val="21"/>
              </w:rPr>
              <w:t>”</w:t>
            </w:r>
            <w:r>
              <w:rPr>
                <w:rFonts w:ascii="宋体" w:hAnsi="宋体" w:eastAsia="宋体" w:hint="eastAsia"/>
                <w:sz w:val="21"/>
              </w:rPr>
              <w:t>）</w:t>
            </w:r>
            <w:r>
              <w:rPr>
                <w:rFonts w:ascii="宋体" w:hAnsi="宋体" w:eastAsia="宋体" w:hint="eastAsia"/>
                <w:spacing w:val="-3"/>
                <w:sz w:val="21"/>
              </w:rPr>
              <w:t>是海尔集团公司的控股子公司，海尔集团</w:t>
            </w:r>
            <w:r>
              <w:rPr>
                <w:rFonts w:ascii="宋体" w:hAnsi="宋体" w:eastAsia="宋体" w:hint="eastAsia"/>
                <w:spacing w:val="-9"/>
                <w:sz w:val="21"/>
              </w:rPr>
              <w:t>公司对其持股 </w:t>
            </w:r>
            <w:r>
              <w:rPr>
                <w:sz w:val="21"/>
              </w:rPr>
              <w:t>51.20%</w:t>
            </w:r>
            <w:r>
              <w:rPr>
                <w:rFonts w:ascii="宋体" w:hAnsi="宋体" w:eastAsia="宋体" w:hint="eastAsia"/>
                <w:spacing w:val="-3"/>
                <w:sz w:val="21"/>
              </w:rPr>
              <w:t>。青岛海尔创业投资咨询有限公司、青岛海创智管理咨询企业</w:t>
            </w:r>
            <w:r>
              <w:rPr>
                <w:rFonts w:ascii="宋体" w:hAnsi="宋体" w:eastAsia="宋体" w:hint="eastAsia"/>
                <w:sz w:val="21"/>
              </w:rPr>
              <w:t>（</w:t>
            </w:r>
            <w:r>
              <w:rPr>
                <w:rFonts w:ascii="宋体" w:hAnsi="宋体" w:eastAsia="宋体" w:hint="eastAsia"/>
                <w:spacing w:val="-3"/>
                <w:sz w:val="21"/>
              </w:rPr>
              <w:t>有限合伙</w:t>
            </w:r>
            <w:r>
              <w:rPr>
                <w:rFonts w:ascii="宋体" w:hAnsi="宋体" w:eastAsia="宋体" w:hint="eastAsia"/>
                <w:sz w:val="21"/>
              </w:rPr>
              <w:t>）</w:t>
            </w:r>
            <w:r>
              <w:rPr>
                <w:rFonts w:ascii="宋体" w:hAnsi="宋体" w:eastAsia="宋体" w:hint="eastAsia"/>
                <w:spacing w:val="-3"/>
                <w:sz w:val="21"/>
              </w:rPr>
              <w:t>、</w:t>
            </w:r>
            <w:r>
              <w:rPr>
                <w:sz w:val="21"/>
              </w:rPr>
              <w:t>HCH</w:t>
            </w:r>
            <w:r>
              <w:rPr>
                <w:spacing w:val="2"/>
                <w:sz w:val="21"/>
              </w:rPr>
              <w:t> (</w:t>
            </w:r>
            <w:r>
              <w:rPr>
                <w:sz w:val="21"/>
              </w:rPr>
              <w:t>HK) INVESTMENT</w:t>
            </w:r>
            <w:r>
              <w:rPr>
                <w:spacing w:val="-3"/>
                <w:sz w:val="21"/>
              </w:rPr>
              <w:t> </w:t>
            </w:r>
            <w:r>
              <w:rPr>
                <w:sz w:val="21"/>
              </w:rPr>
              <w:t>MANAGEMENT</w:t>
            </w:r>
            <w:r>
              <w:rPr>
                <w:spacing w:val="-4"/>
                <w:sz w:val="21"/>
              </w:rPr>
              <w:t> </w:t>
            </w:r>
            <w:r>
              <w:rPr>
                <w:sz w:val="21"/>
              </w:rPr>
              <w:t>CO</w:t>
            </w:r>
            <w:r>
              <w:rPr>
                <w:spacing w:val="-1"/>
                <w:sz w:val="21"/>
              </w:rPr>
              <w:t>., </w:t>
            </w:r>
            <w:r>
              <w:rPr>
                <w:sz w:val="21"/>
              </w:rPr>
              <w:t>LIMITED</w:t>
            </w:r>
            <w:r>
              <w:rPr>
                <w:spacing w:val="1"/>
                <w:sz w:val="21"/>
              </w:rPr>
              <w:t> </w:t>
            </w:r>
            <w:r>
              <w:rPr>
                <w:rFonts w:ascii="宋体" w:hAnsi="宋体" w:eastAsia="宋体" w:hint="eastAsia"/>
                <w:spacing w:val="-2"/>
                <w:sz w:val="21"/>
              </w:rPr>
              <w:t>为海尔集</w:t>
            </w:r>
          </w:p>
          <w:p>
            <w:pPr>
              <w:pStyle w:val="TableParagraph"/>
              <w:spacing w:line="269" w:lineRule="exact"/>
              <w:ind w:left="116"/>
              <w:rPr>
                <w:rFonts w:ascii="宋体" w:eastAsia="宋体" w:hint="eastAsia"/>
                <w:sz w:val="21"/>
              </w:rPr>
            </w:pPr>
            <w:r>
              <w:rPr>
                <w:rFonts w:ascii="宋体" w:eastAsia="宋体" w:hint="eastAsia"/>
                <w:sz w:val="21"/>
              </w:rPr>
              <w:t>团公司的一致行动人；</w:t>
            </w:r>
          </w:p>
          <w:p>
            <w:pPr>
              <w:pStyle w:val="TableParagraph"/>
              <w:numPr>
                <w:ilvl w:val="0"/>
                <w:numId w:val="21"/>
              </w:numPr>
              <w:tabs>
                <w:tab w:pos="646" w:val="left" w:leader="none"/>
              </w:tabs>
              <w:spacing w:line="240" w:lineRule="auto" w:before="43" w:after="0"/>
              <w:ind w:left="645" w:right="0" w:hanging="530"/>
              <w:jc w:val="left"/>
              <w:rPr>
                <w:rFonts w:ascii="宋体" w:eastAsia="宋体" w:hint="eastAsia"/>
                <w:sz w:val="21"/>
              </w:rPr>
            </w:pPr>
            <w:r>
              <w:rPr>
                <w:rFonts w:ascii="宋体" w:eastAsia="宋体" w:hint="eastAsia"/>
                <w:spacing w:val="-3"/>
                <w:sz w:val="21"/>
              </w:rPr>
              <w:t>公司未知其他股东有关联关系。</w:t>
            </w:r>
          </w:p>
        </w:tc>
      </w:tr>
      <w:tr>
        <w:trPr>
          <w:trHeight w:val="311" w:hRule="atLeast"/>
        </w:trPr>
        <w:tc>
          <w:tcPr>
            <w:tcW w:w="4221" w:type="dxa"/>
            <w:gridSpan w:val="3"/>
            <w:tcBorders>
              <w:top w:val="single" w:sz="4" w:space="0" w:color="000000"/>
              <w:right w:val="single" w:sz="4" w:space="0" w:color="000000"/>
            </w:tcBorders>
            <w:shd w:val="clear" w:color="auto" w:fill="EDEBE0"/>
          </w:tcPr>
          <w:p>
            <w:pPr>
              <w:pStyle w:val="TableParagraph"/>
              <w:spacing w:line="269" w:lineRule="exact" w:before="23"/>
              <w:ind w:left="107"/>
              <w:rPr>
                <w:rFonts w:ascii="宋体" w:eastAsia="宋体" w:hint="eastAsia"/>
                <w:sz w:val="21"/>
              </w:rPr>
            </w:pPr>
            <w:r>
              <w:rPr>
                <w:rFonts w:ascii="宋体" w:eastAsia="宋体" w:hint="eastAsia"/>
                <w:sz w:val="21"/>
              </w:rPr>
              <w:t>表决权恢复的优先股股东及持股数量的说明</w:t>
            </w:r>
          </w:p>
        </w:tc>
        <w:tc>
          <w:tcPr>
            <w:tcW w:w="5385" w:type="dxa"/>
            <w:gridSpan w:val="8"/>
            <w:tcBorders>
              <w:top w:val="single" w:sz="4" w:space="0" w:color="000000"/>
              <w:left w:val="single" w:sz="4" w:space="0" w:color="000000"/>
            </w:tcBorders>
          </w:tcPr>
          <w:p>
            <w:pPr>
              <w:pStyle w:val="TableParagraph"/>
              <w:spacing w:line="269" w:lineRule="exact" w:before="23"/>
              <w:ind w:left="116"/>
              <w:rPr>
                <w:rFonts w:ascii="宋体" w:eastAsia="宋体" w:hint="eastAsia"/>
                <w:sz w:val="21"/>
              </w:rPr>
            </w:pPr>
            <w:r>
              <w:rPr>
                <w:rFonts w:ascii="宋体" w:eastAsia="宋体" w:hint="eastAsia"/>
                <w:sz w:val="21"/>
              </w:rPr>
              <w:t>不适用</w:t>
            </w:r>
          </w:p>
        </w:tc>
      </w:tr>
    </w:tbl>
    <w:p>
      <w:pPr>
        <w:pStyle w:val="BodyText"/>
        <w:spacing w:before="6"/>
        <w:rPr>
          <w:sz w:val="22"/>
        </w:rPr>
      </w:pPr>
    </w:p>
    <w:p>
      <w:pPr>
        <w:spacing w:before="15"/>
        <w:ind w:left="662" w:right="0" w:firstLine="0"/>
        <w:jc w:val="left"/>
        <w:rPr>
          <w:rFonts w:ascii="Microsoft JhengHei" w:eastAsia="Microsoft JhengHei" w:hint="eastAsia"/>
          <w:b/>
          <w:sz w:val="18"/>
        </w:rPr>
      </w:pPr>
      <w:r>
        <w:rPr>
          <w:rFonts w:ascii="Microsoft JhengHei" w:eastAsia="Microsoft JhengHei" w:hint="eastAsia"/>
          <w:b/>
          <w:sz w:val="18"/>
        </w:rPr>
        <w:t>注：</w:t>
      </w:r>
    </w:p>
    <w:p>
      <w:pPr>
        <w:spacing w:before="41"/>
        <w:ind w:left="660" w:right="0" w:firstLine="0"/>
        <w:jc w:val="left"/>
        <w:rPr>
          <w:sz w:val="18"/>
        </w:rPr>
      </w:pPr>
      <w:r>
        <w:rPr>
          <w:sz w:val="18"/>
        </w:rPr>
        <w:t>①</w:t>
      </w:r>
      <w:r>
        <w:rPr>
          <w:rFonts w:ascii="Times New Roman" w:hAnsi="Times New Roman" w:eastAsia="Times New Roman"/>
          <w:sz w:val="18"/>
        </w:rPr>
        <w:t>HKSCC NOMINEES LIMITED</w:t>
      </w:r>
      <w:r>
        <w:rPr>
          <w:spacing w:val="-72"/>
          <w:sz w:val="18"/>
        </w:rPr>
        <w:t>、</w:t>
      </w:r>
      <w:r>
        <w:rPr>
          <w:rFonts w:ascii="Times New Roman" w:hAnsi="Times New Roman" w:eastAsia="Times New Roman"/>
          <w:sz w:val="18"/>
        </w:rPr>
        <w:t>CLEARSTREAM BANKING S.A.</w:t>
      </w:r>
      <w:r>
        <w:rPr>
          <w:spacing w:val="-8"/>
          <w:sz w:val="18"/>
        </w:rPr>
        <w:t>分别为公司 </w:t>
      </w:r>
      <w:r>
        <w:rPr>
          <w:rFonts w:ascii="Times New Roman" w:hAnsi="Times New Roman" w:eastAsia="Times New Roman"/>
          <w:sz w:val="18"/>
        </w:rPr>
        <w:t>H </w:t>
      </w:r>
      <w:r>
        <w:rPr>
          <w:spacing w:val="-36"/>
          <w:sz w:val="18"/>
        </w:rPr>
        <w:t>股、</w:t>
      </w:r>
      <w:r>
        <w:rPr>
          <w:rFonts w:ascii="Times New Roman" w:hAnsi="Times New Roman" w:eastAsia="Times New Roman"/>
          <w:sz w:val="18"/>
        </w:rPr>
        <w:t>D </w:t>
      </w:r>
      <w:r>
        <w:rPr>
          <w:sz w:val="18"/>
        </w:rPr>
        <w:t>股股东的集合账户，</w:t>
      </w:r>
    </w:p>
    <w:p>
      <w:pPr>
        <w:spacing w:line="324" w:lineRule="auto" w:before="81"/>
        <w:ind w:left="238" w:right="810" w:firstLine="0"/>
        <w:jc w:val="both"/>
        <w:rPr>
          <w:sz w:val="18"/>
        </w:rPr>
      </w:pPr>
      <w:r>
        <w:rPr>
          <w:sz w:val="18"/>
        </w:rPr>
        <w:t>系中国香港、德国证券登记机构根据当地市场惯例及其技术设置合并后向公司提供的原始数据，不代表最终持股</w:t>
      </w:r>
      <w:r>
        <w:rPr>
          <w:spacing w:val="-10"/>
          <w:sz w:val="18"/>
        </w:rPr>
        <w:t>人。②</w:t>
      </w:r>
      <w:r>
        <w:rPr>
          <w:rFonts w:ascii="Times New Roman" w:hAnsi="Times New Roman" w:eastAsia="Times New Roman"/>
          <w:sz w:val="18"/>
        </w:rPr>
        <w:t>CLEARSTREAM BANKING S.A.</w:t>
      </w:r>
      <w:r>
        <w:rPr>
          <w:spacing w:val="-10"/>
          <w:sz w:val="18"/>
        </w:rPr>
        <w:t>账户中的 </w:t>
      </w:r>
      <w:r>
        <w:rPr>
          <w:rFonts w:ascii="Times New Roman" w:hAnsi="Times New Roman" w:eastAsia="Times New Roman"/>
          <w:sz w:val="18"/>
        </w:rPr>
        <w:t>58,135,194 </w:t>
      </w:r>
      <w:r>
        <w:rPr>
          <w:spacing w:val="-2"/>
          <w:sz w:val="18"/>
        </w:rPr>
        <w:t>股股份系由公司实际控制人海尔集团公司的一致行动</w:t>
      </w:r>
      <w:r>
        <w:rPr>
          <w:spacing w:val="-24"/>
          <w:sz w:val="18"/>
        </w:rPr>
        <w:t>人 </w:t>
      </w:r>
      <w:r>
        <w:rPr>
          <w:rFonts w:ascii="Times New Roman" w:hAnsi="Times New Roman" w:eastAsia="Times New Roman"/>
          <w:sz w:val="18"/>
        </w:rPr>
        <w:t>Haier International Co., Limited </w:t>
      </w:r>
      <w:r>
        <w:rPr>
          <w:spacing w:val="-4"/>
          <w:sz w:val="18"/>
        </w:rPr>
        <w:t>持有，占公司总股本的比例为 </w:t>
      </w:r>
      <w:r>
        <w:rPr>
          <w:rFonts w:ascii="Times New Roman" w:hAnsi="Times New Roman" w:eastAsia="Times New Roman"/>
          <w:sz w:val="18"/>
        </w:rPr>
        <w:t>0.64%</w:t>
      </w:r>
      <w:r>
        <w:rPr>
          <w:sz w:val="18"/>
        </w:rPr>
        <w:t>。</w:t>
      </w:r>
    </w:p>
    <w:p>
      <w:pPr>
        <w:pStyle w:val="BodyText"/>
        <w:spacing w:line="255" w:lineRule="exact"/>
        <w:ind w:left="238"/>
      </w:pPr>
      <w:r>
        <w:rPr>
          <w:w w:val="100"/>
        </w:rPr>
        <w:t> </w:t>
      </w:r>
    </w:p>
    <w:p>
      <w:pPr>
        <w:pStyle w:val="BodyText"/>
        <w:spacing w:before="120"/>
        <w:ind w:left="238"/>
      </w:pPr>
      <w:r>
        <w:rPr/>
        <w:t>前十名有限售条件股东持股数量及限售条件</w:t>
      </w:r>
    </w:p>
    <w:p>
      <w:pPr>
        <w:spacing w:after="0"/>
        <w:sectPr>
          <w:pgSz w:w="11910" w:h="16840"/>
          <w:pgMar w:header="874" w:footer="1214" w:top="1500" w:bottom="1400" w:left="1560" w:right="460"/>
        </w:sectPr>
      </w:pPr>
    </w:p>
    <w:p>
      <w:pPr>
        <w:pStyle w:val="BodyText"/>
        <w:spacing w:before="110"/>
        <w:ind w:left="662"/>
      </w:pPr>
      <w:r>
        <w:rPr>
          <w:rFonts w:ascii="Times New Roman" w:hAnsi="Times New Roman" w:eastAsia="Times New Roman"/>
        </w:rPr>
        <w:t>□</w:t>
      </w:r>
      <w:r>
        <w:rPr/>
        <w:t>适用 </w:t>
      </w:r>
      <w:r>
        <w:rPr>
          <w:rFonts w:ascii="Times New Roman" w:hAnsi="Times New Roman" w:eastAsia="Times New Roman"/>
        </w:rPr>
        <w:t>√</w:t>
      </w:r>
      <w:r>
        <w:rPr/>
        <w:t>不适用</w:t>
      </w:r>
    </w:p>
    <w:p>
      <w:pPr>
        <w:pStyle w:val="BodyText"/>
        <w:rPr>
          <w:sz w:val="22"/>
        </w:rPr>
      </w:pPr>
    </w:p>
    <w:p>
      <w:pPr>
        <w:pStyle w:val="BodyText"/>
        <w:spacing w:before="1"/>
        <w:rPr>
          <w:sz w:val="17"/>
        </w:rPr>
      </w:pPr>
    </w:p>
    <w:p>
      <w:pPr>
        <w:pStyle w:val="Heading4"/>
        <w:tabs>
          <w:tab w:pos="804" w:val="left" w:leader="none"/>
        </w:tabs>
        <w:spacing w:before="1"/>
        <w:ind w:left="238"/>
      </w:pPr>
      <w:r>
        <w:rPr>
          <w:rFonts w:ascii="Times New Roman" w:eastAsia="Times New Roman"/>
        </w:rPr>
        <w:t>(</w:t>
      </w:r>
      <w:r>
        <w:rPr/>
        <w:t>三</w:t>
      </w:r>
      <w:r>
        <w:rPr>
          <w:rFonts w:ascii="Times New Roman" w:eastAsia="Times New Roman"/>
        </w:rPr>
        <w:t>)</w:t>
        <w:tab/>
      </w:r>
      <w:r>
        <w:rPr/>
        <w:t>战略投资者或一般</w:t>
      </w:r>
      <w:r>
        <w:rPr>
          <w:spacing w:val="-3"/>
        </w:rPr>
        <w:t>法</w:t>
      </w:r>
      <w:r>
        <w:rPr/>
        <w:t>人</w:t>
      </w:r>
      <w:r>
        <w:rPr>
          <w:spacing w:val="-3"/>
        </w:rPr>
        <w:t>因</w:t>
      </w:r>
      <w:r>
        <w:rPr/>
        <w:t>配售新股成为前 </w:t>
      </w:r>
      <w:r>
        <w:rPr>
          <w:rFonts w:ascii="Times New Roman" w:eastAsia="Times New Roman"/>
        </w:rPr>
        <w:t>10</w:t>
      </w:r>
      <w:r>
        <w:rPr>
          <w:rFonts w:ascii="Times New Roman" w:eastAsia="Times New Roman"/>
          <w:spacing w:val="-2"/>
        </w:rPr>
        <w:t> </w:t>
      </w:r>
      <w:r>
        <w:rPr/>
        <w:t>名股东</w:t>
      </w:r>
    </w:p>
    <w:p>
      <w:pPr>
        <w:pStyle w:val="BodyText"/>
        <w:spacing w:before="8"/>
        <w:rPr>
          <w:rFonts w:ascii="Microsoft JhengHei"/>
          <w:b/>
          <w:sz w:val="11"/>
        </w:rPr>
      </w:pPr>
    </w:p>
    <w:p>
      <w:pPr>
        <w:pStyle w:val="BodyText"/>
        <w:spacing w:before="1"/>
        <w:ind w:left="662"/>
      </w:pPr>
      <w:r>
        <w:rPr>
          <w:rFonts w:ascii="Times New Roman" w:hAnsi="Times New Roman" w:eastAsia="Times New Roman"/>
        </w:rPr>
        <w:t>□</w:t>
      </w:r>
      <w:r>
        <w:rPr/>
        <w:t>适用 </w:t>
      </w:r>
      <w:r>
        <w:rPr>
          <w:rFonts w:ascii="Times New Roman" w:hAnsi="Times New Roman" w:eastAsia="Times New Roman"/>
        </w:rPr>
        <w:t>√</w:t>
      </w:r>
      <w:r>
        <w:rPr/>
        <w:t>不适用</w:t>
      </w:r>
    </w:p>
    <w:p>
      <w:pPr>
        <w:pStyle w:val="BodyText"/>
        <w:rPr>
          <w:sz w:val="22"/>
        </w:rPr>
      </w:pPr>
    </w:p>
    <w:p>
      <w:pPr>
        <w:pStyle w:val="Heading4"/>
        <w:spacing w:line="379" w:lineRule="exact" w:before="142"/>
        <w:ind w:left="238"/>
      </w:pPr>
      <w:r>
        <w:rPr/>
        <w:t>四、 控股股东及实际控制人情况</w:t>
      </w:r>
    </w:p>
    <w:p>
      <w:pPr>
        <w:pStyle w:val="Heading4"/>
        <w:spacing w:line="372" w:lineRule="exact"/>
        <w:ind w:left="238"/>
      </w:pPr>
      <w:r>
        <w:rPr>
          <w:rFonts w:ascii="Times New Roman" w:eastAsia="Times New Roman"/>
        </w:rPr>
        <w:t>(</w:t>
      </w:r>
      <w:r>
        <w:rPr/>
        <w:t>一</w:t>
      </w:r>
      <w:r>
        <w:rPr>
          <w:rFonts w:ascii="Times New Roman" w:eastAsia="Times New Roman"/>
        </w:rPr>
        <w:t>) </w:t>
      </w:r>
      <w:r>
        <w:rPr/>
        <w:t>控股股东情况</w:t>
      </w:r>
    </w:p>
    <w:p>
      <w:pPr>
        <w:pStyle w:val="Heading4"/>
        <w:numPr>
          <w:ilvl w:val="0"/>
          <w:numId w:val="22"/>
        </w:numPr>
        <w:tabs>
          <w:tab w:pos="657" w:val="left" w:leader="none"/>
          <w:tab w:pos="658" w:val="left" w:leader="none"/>
        </w:tabs>
        <w:spacing w:line="379" w:lineRule="exact" w:before="0" w:after="0"/>
        <w:ind w:left="658" w:right="0" w:hanging="420"/>
        <w:jc w:val="left"/>
      </w:pPr>
      <w:r>
        <w:rPr/>
        <w:t>法人</w:t>
      </w:r>
    </w:p>
    <w:p>
      <w:pPr>
        <w:pStyle w:val="BodyText"/>
        <w:spacing w:before="56" w:after="20"/>
        <w:ind w:left="662"/>
      </w:pPr>
      <w:r>
        <w:rPr>
          <w:rFonts w:ascii="Times New Roman" w:hAnsi="Times New Roman" w:eastAsia="Times New Roman"/>
        </w:rPr>
        <w:t>√</w:t>
      </w:r>
      <w:r>
        <w:rPr/>
        <w:t>适用 </w:t>
      </w:r>
      <w:r>
        <w:rPr>
          <w:rFonts w:ascii="Times New Roman" w:hAnsi="Times New Roman" w:eastAsia="Times New Roman"/>
        </w:rPr>
        <w:t>□</w:t>
      </w:r>
      <w:r>
        <w:rPr/>
        <w:t>不适用</w:t>
      </w:r>
    </w:p>
    <w:tbl>
      <w:tblPr>
        <w:tblW w:w="0" w:type="auto"/>
        <w:jc w:val="left"/>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660"/>
        <w:gridCol w:w="6390"/>
      </w:tblGrid>
      <w:tr>
        <w:trPr>
          <w:trHeight w:val="314" w:hRule="atLeast"/>
        </w:trPr>
        <w:tc>
          <w:tcPr>
            <w:tcW w:w="2660" w:type="dxa"/>
            <w:tcBorders>
              <w:bottom w:val="single" w:sz="4" w:space="0" w:color="000000"/>
              <w:right w:val="single" w:sz="4" w:space="0" w:color="000000"/>
            </w:tcBorders>
            <w:shd w:val="clear" w:color="auto" w:fill="EDEBE0"/>
          </w:tcPr>
          <w:p>
            <w:pPr>
              <w:pStyle w:val="TableParagraph"/>
              <w:spacing w:before="25"/>
              <w:ind w:left="107"/>
              <w:rPr>
                <w:rFonts w:ascii="宋体" w:eastAsia="宋体" w:hint="eastAsia"/>
                <w:sz w:val="21"/>
              </w:rPr>
            </w:pPr>
            <w:r>
              <w:rPr>
                <w:rFonts w:ascii="宋体" w:eastAsia="宋体" w:hint="eastAsia"/>
                <w:sz w:val="21"/>
              </w:rPr>
              <w:t>名称</w:t>
            </w:r>
          </w:p>
        </w:tc>
        <w:tc>
          <w:tcPr>
            <w:tcW w:w="6390" w:type="dxa"/>
            <w:tcBorders>
              <w:left w:val="single" w:sz="4" w:space="0" w:color="000000"/>
              <w:bottom w:val="single" w:sz="4" w:space="0" w:color="000000"/>
            </w:tcBorders>
          </w:tcPr>
          <w:p>
            <w:pPr>
              <w:pStyle w:val="TableParagraph"/>
              <w:spacing w:before="25"/>
              <w:ind w:left="117"/>
              <w:rPr>
                <w:rFonts w:ascii="宋体" w:hAnsi="宋体" w:eastAsia="宋体" w:hint="eastAsia"/>
                <w:sz w:val="21"/>
              </w:rPr>
            </w:pPr>
            <w:r>
              <w:rPr>
                <w:rFonts w:ascii="宋体" w:hAnsi="宋体" w:eastAsia="宋体" w:hint="eastAsia"/>
                <w:sz w:val="21"/>
              </w:rPr>
              <w:t>海尔卡奥斯股份有限公司（原名“海尔电器国际股份有限公司”）</w:t>
            </w:r>
          </w:p>
        </w:tc>
      </w:tr>
      <w:tr>
        <w:trPr>
          <w:trHeight w:val="311" w:hRule="atLeast"/>
        </w:trPr>
        <w:tc>
          <w:tcPr>
            <w:tcW w:w="2660" w:type="dxa"/>
            <w:tcBorders>
              <w:top w:val="single" w:sz="4" w:space="0" w:color="000000"/>
              <w:bottom w:val="single" w:sz="4" w:space="0" w:color="000000"/>
              <w:right w:val="single" w:sz="4" w:space="0" w:color="000000"/>
            </w:tcBorders>
            <w:shd w:val="clear" w:color="auto" w:fill="EDEBE0"/>
          </w:tcPr>
          <w:p>
            <w:pPr>
              <w:pStyle w:val="TableParagraph"/>
              <w:spacing w:before="22"/>
              <w:ind w:left="107"/>
              <w:rPr>
                <w:rFonts w:ascii="宋体" w:eastAsia="宋体" w:hint="eastAsia"/>
                <w:sz w:val="21"/>
              </w:rPr>
            </w:pPr>
            <w:r>
              <w:rPr>
                <w:rFonts w:ascii="宋体" w:eastAsia="宋体" w:hint="eastAsia"/>
                <w:sz w:val="21"/>
              </w:rPr>
              <w:t>单位负责人或法定代表人</w:t>
            </w:r>
          </w:p>
        </w:tc>
        <w:tc>
          <w:tcPr>
            <w:tcW w:w="6390" w:type="dxa"/>
            <w:tcBorders>
              <w:top w:val="single" w:sz="4" w:space="0" w:color="000000"/>
              <w:left w:val="single" w:sz="4" w:space="0" w:color="000000"/>
              <w:bottom w:val="single" w:sz="4" w:space="0" w:color="000000"/>
            </w:tcBorders>
          </w:tcPr>
          <w:p>
            <w:pPr>
              <w:pStyle w:val="TableParagraph"/>
              <w:spacing w:before="22"/>
              <w:ind w:right="74"/>
              <w:jc w:val="right"/>
              <w:rPr>
                <w:rFonts w:ascii="宋体" w:eastAsia="宋体" w:hint="eastAsia"/>
                <w:sz w:val="21"/>
              </w:rPr>
            </w:pPr>
            <w:r>
              <w:rPr>
                <w:rFonts w:ascii="宋体" w:eastAsia="宋体" w:hint="eastAsia"/>
                <w:sz w:val="21"/>
              </w:rPr>
              <w:t>张瑞敏</w:t>
            </w:r>
          </w:p>
        </w:tc>
      </w:tr>
      <w:tr>
        <w:trPr>
          <w:trHeight w:val="311" w:hRule="atLeast"/>
        </w:trPr>
        <w:tc>
          <w:tcPr>
            <w:tcW w:w="2660" w:type="dxa"/>
            <w:tcBorders>
              <w:top w:val="single" w:sz="4" w:space="0" w:color="000000"/>
              <w:bottom w:val="single" w:sz="4" w:space="0" w:color="000000"/>
              <w:right w:val="single" w:sz="4" w:space="0" w:color="000000"/>
            </w:tcBorders>
            <w:shd w:val="clear" w:color="auto" w:fill="EDEBE0"/>
          </w:tcPr>
          <w:p>
            <w:pPr>
              <w:pStyle w:val="TableParagraph"/>
              <w:spacing w:before="22"/>
              <w:ind w:left="107"/>
              <w:rPr>
                <w:rFonts w:ascii="宋体" w:eastAsia="宋体" w:hint="eastAsia"/>
                <w:sz w:val="21"/>
              </w:rPr>
            </w:pPr>
            <w:r>
              <w:rPr>
                <w:rFonts w:ascii="宋体" w:eastAsia="宋体" w:hint="eastAsia"/>
                <w:sz w:val="21"/>
              </w:rPr>
              <w:t>成立日期</w:t>
            </w:r>
          </w:p>
        </w:tc>
        <w:tc>
          <w:tcPr>
            <w:tcW w:w="6390" w:type="dxa"/>
            <w:tcBorders>
              <w:top w:val="single" w:sz="4" w:space="0" w:color="000000"/>
              <w:left w:val="single" w:sz="4" w:space="0" w:color="000000"/>
              <w:bottom w:val="single" w:sz="4" w:space="0" w:color="000000"/>
            </w:tcBorders>
          </w:tcPr>
          <w:p>
            <w:pPr>
              <w:pStyle w:val="TableParagraph"/>
              <w:spacing w:before="34"/>
              <w:ind w:right="77"/>
              <w:jc w:val="right"/>
              <w:rPr>
                <w:sz w:val="21"/>
              </w:rPr>
            </w:pPr>
            <w:r>
              <w:rPr>
                <w:sz w:val="21"/>
              </w:rPr>
              <w:t>1988-06-30</w:t>
            </w:r>
          </w:p>
        </w:tc>
      </w:tr>
      <w:tr>
        <w:trPr>
          <w:trHeight w:val="1871" w:hRule="atLeast"/>
        </w:trPr>
        <w:tc>
          <w:tcPr>
            <w:tcW w:w="2660" w:type="dxa"/>
            <w:tcBorders>
              <w:top w:val="single" w:sz="4" w:space="0" w:color="000000"/>
              <w:bottom w:val="single" w:sz="4" w:space="0" w:color="000000"/>
              <w:right w:val="single" w:sz="4" w:space="0" w:color="000000"/>
            </w:tcBorders>
            <w:shd w:val="clear" w:color="auto" w:fill="EDEBE0"/>
          </w:tcPr>
          <w:p>
            <w:pPr>
              <w:pStyle w:val="TableParagraph"/>
              <w:rPr>
                <w:rFonts w:ascii="宋体"/>
                <w:sz w:val="20"/>
              </w:rPr>
            </w:pPr>
          </w:p>
          <w:p>
            <w:pPr>
              <w:pStyle w:val="TableParagraph"/>
              <w:rPr>
                <w:rFonts w:ascii="宋体"/>
                <w:sz w:val="20"/>
              </w:rPr>
            </w:pPr>
          </w:p>
          <w:p>
            <w:pPr>
              <w:pStyle w:val="TableParagraph"/>
              <w:spacing w:before="8"/>
              <w:rPr>
                <w:rFonts w:ascii="宋体"/>
                <w:sz w:val="22"/>
              </w:rPr>
            </w:pPr>
          </w:p>
          <w:p>
            <w:pPr>
              <w:pStyle w:val="TableParagraph"/>
              <w:ind w:left="107"/>
              <w:rPr>
                <w:rFonts w:ascii="宋体" w:eastAsia="宋体" w:hint="eastAsia"/>
                <w:sz w:val="21"/>
              </w:rPr>
            </w:pPr>
            <w:r>
              <w:rPr>
                <w:rFonts w:ascii="宋体" w:eastAsia="宋体" w:hint="eastAsia"/>
                <w:sz w:val="21"/>
              </w:rPr>
              <w:t>主要经营业务</w:t>
            </w:r>
          </w:p>
        </w:tc>
        <w:tc>
          <w:tcPr>
            <w:tcW w:w="6390" w:type="dxa"/>
            <w:tcBorders>
              <w:top w:val="single" w:sz="4" w:space="0" w:color="000000"/>
              <w:left w:val="single" w:sz="4" w:space="0" w:color="000000"/>
              <w:bottom w:val="single" w:sz="4" w:space="0" w:color="000000"/>
            </w:tcBorders>
          </w:tcPr>
          <w:p>
            <w:pPr>
              <w:pStyle w:val="TableParagraph"/>
              <w:spacing w:line="278" w:lineRule="auto" w:before="22"/>
              <w:ind w:left="117" w:right="153"/>
              <w:jc w:val="both"/>
              <w:rPr>
                <w:rFonts w:ascii="宋体" w:eastAsia="宋体" w:hint="eastAsia"/>
                <w:sz w:val="21"/>
              </w:rPr>
            </w:pPr>
            <w:r>
              <w:rPr>
                <w:rFonts w:ascii="宋体" w:eastAsia="宋体" w:hint="eastAsia"/>
                <w:sz w:val="21"/>
              </w:rPr>
              <w:t>信息技术集成和物联网技术服务；从事工业自动化领域技术研发、技术咨询；电器、电子产品、机械产品、通讯设备及相关配件、工业自动化控制设备、计算机软硬件及辅助设备的研发与制造；进出口业务（按外经贸部核准范围经营）；批发零售：国内商业（国家禁止商品除外）；医疗行业投资；投资咨询服务；企业管理咨询。</w:t>
            </w:r>
          </w:p>
          <w:p>
            <w:pPr>
              <w:pStyle w:val="TableParagraph"/>
              <w:spacing w:line="268" w:lineRule="exact"/>
              <w:ind w:left="117"/>
              <w:rPr>
                <w:rFonts w:ascii="宋体" w:eastAsia="宋体" w:hint="eastAsia"/>
                <w:sz w:val="21"/>
              </w:rPr>
            </w:pPr>
            <w:r>
              <w:rPr>
                <w:rFonts w:ascii="宋体" w:eastAsia="宋体" w:hint="eastAsia"/>
                <w:sz w:val="21"/>
              </w:rPr>
              <w:t>（依法须经批准的项目，经相关部门批准后方可开展经营活动）</w:t>
            </w:r>
          </w:p>
        </w:tc>
      </w:tr>
      <w:tr>
        <w:trPr>
          <w:trHeight w:val="1874" w:hRule="atLeast"/>
        </w:trPr>
        <w:tc>
          <w:tcPr>
            <w:tcW w:w="2660" w:type="dxa"/>
            <w:tcBorders>
              <w:top w:val="single" w:sz="4" w:space="0" w:color="000000"/>
              <w:bottom w:val="single" w:sz="4" w:space="0" w:color="000000"/>
              <w:right w:val="single" w:sz="4" w:space="0" w:color="000000"/>
            </w:tcBorders>
            <w:shd w:val="clear" w:color="auto" w:fill="EDEBE0"/>
          </w:tcPr>
          <w:p>
            <w:pPr>
              <w:pStyle w:val="TableParagraph"/>
              <w:rPr>
                <w:rFonts w:ascii="宋体"/>
                <w:sz w:val="20"/>
              </w:rPr>
            </w:pPr>
          </w:p>
          <w:p>
            <w:pPr>
              <w:pStyle w:val="TableParagraph"/>
              <w:spacing w:before="6"/>
              <w:rPr>
                <w:rFonts w:ascii="宋体"/>
                <w:sz w:val="18"/>
              </w:rPr>
            </w:pPr>
          </w:p>
          <w:p>
            <w:pPr>
              <w:pStyle w:val="TableParagraph"/>
              <w:spacing w:line="278" w:lineRule="auto"/>
              <w:ind w:left="107" w:right="86"/>
              <w:jc w:val="both"/>
              <w:rPr>
                <w:rFonts w:ascii="宋体" w:eastAsia="宋体" w:hint="eastAsia"/>
                <w:sz w:val="21"/>
              </w:rPr>
            </w:pPr>
            <w:r>
              <w:rPr>
                <w:rFonts w:ascii="宋体" w:eastAsia="宋体" w:hint="eastAsia"/>
                <w:sz w:val="21"/>
              </w:rPr>
              <w:t>报告期内控股和参股的其他境内外上市公司的股权情况</w:t>
            </w:r>
          </w:p>
        </w:tc>
        <w:tc>
          <w:tcPr>
            <w:tcW w:w="6390" w:type="dxa"/>
            <w:tcBorders>
              <w:top w:val="single" w:sz="4" w:space="0" w:color="000000"/>
              <w:left w:val="single" w:sz="4" w:space="0" w:color="000000"/>
              <w:bottom w:val="single" w:sz="4" w:space="0" w:color="000000"/>
            </w:tcBorders>
          </w:tcPr>
          <w:p>
            <w:pPr>
              <w:pStyle w:val="TableParagraph"/>
              <w:spacing w:line="278" w:lineRule="auto" w:before="25"/>
              <w:ind w:left="117" w:right="75"/>
              <w:jc w:val="both"/>
              <w:rPr>
                <w:sz w:val="21"/>
              </w:rPr>
            </w:pPr>
            <w:r>
              <w:rPr>
                <w:rFonts w:ascii="宋体" w:hAnsi="宋体" w:eastAsia="宋体" w:hint="eastAsia"/>
                <w:spacing w:val="-1"/>
                <w:sz w:val="21"/>
              </w:rPr>
              <w:t>间接控股</w:t>
            </w:r>
            <w:r>
              <w:rPr>
                <w:sz w:val="21"/>
              </w:rPr>
              <w:t>/</w:t>
            </w:r>
            <w:r>
              <w:rPr>
                <w:rFonts w:ascii="宋体" w:hAnsi="宋体" w:eastAsia="宋体" w:hint="eastAsia"/>
                <w:spacing w:val="-3"/>
                <w:sz w:val="21"/>
              </w:rPr>
              <w:t>参股上市公司</w:t>
            </w:r>
            <w:r>
              <w:rPr>
                <w:spacing w:val="-3"/>
                <w:sz w:val="21"/>
              </w:rPr>
              <w:t>“</w:t>
            </w:r>
            <w:r>
              <w:rPr>
                <w:rFonts w:ascii="宋体" w:hAnsi="宋体" w:eastAsia="宋体" w:hint="eastAsia"/>
                <w:spacing w:val="-3"/>
                <w:sz w:val="21"/>
              </w:rPr>
              <w:t>青岛海尔生物医疗股份有限公司</w:t>
            </w:r>
            <w:r>
              <w:rPr>
                <w:sz w:val="21"/>
              </w:rPr>
              <w:t>”</w:t>
            </w:r>
            <w:r>
              <w:rPr>
                <w:rFonts w:ascii="宋体" w:hAnsi="宋体" w:eastAsia="宋体" w:hint="eastAsia"/>
                <w:sz w:val="21"/>
              </w:rPr>
              <w:t>（</w:t>
            </w:r>
            <w:r>
              <w:rPr>
                <w:rFonts w:ascii="宋体" w:hAnsi="宋体" w:eastAsia="宋体" w:hint="eastAsia"/>
                <w:spacing w:val="-2"/>
                <w:sz w:val="21"/>
              </w:rPr>
              <w:t>股票简称</w:t>
            </w:r>
            <w:r>
              <w:rPr>
                <w:spacing w:val="-2"/>
                <w:sz w:val="21"/>
              </w:rPr>
              <w:t>“</w:t>
            </w:r>
            <w:r>
              <w:rPr>
                <w:rFonts w:ascii="宋体" w:hAnsi="宋体" w:eastAsia="宋体" w:hint="eastAsia"/>
                <w:spacing w:val="-3"/>
                <w:sz w:val="21"/>
              </w:rPr>
              <w:t>海尔生物</w:t>
            </w:r>
            <w:r>
              <w:rPr>
                <w:spacing w:val="-33"/>
                <w:sz w:val="21"/>
              </w:rPr>
              <w:t>”</w:t>
            </w:r>
            <w:r>
              <w:rPr>
                <w:rFonts w:ascii="宋体" w:hAnsi="宋体" w:eastAsia="宋体" w:hint="eastAsia"/>
                <w:spacing w:val="-11"/>
                <w:sz w:val="21"/>
              </w:rPr>
              <w:t>，股票代码：</w:t>
            </w:r>
            <w:r>
              <w:rPr>
                <w:spacing w:val="-17"/>
                <w:sz w:val="21"/>
              </w:rPr>
              <w:t>688139</w:t>
            </w:r>
            <w:r>
              <w:rPr>
                <w:rFonts w:ascii="宋体" w:hAnsi="宋体" w:eastAsia="宋体" w:hint="eastAsia"/>
                <w:spacing w:val="-17"/>
                <w:sz w:val="21"/>
              </w:rPr>
              <w:t>）</w:t>
            </w:r>
            <w:r>
              <w:rPr>
                <w:rFonts w:ascii="宋体" w:hAnsi="宋体" w:eastAsia="宋体" w:hint="eastAsia"/>
                <w:spacing w:val="-14"/>
                <w:sz w:val="21"/>
              </w:rPr>
              <w:t>、盈康生命科技股份有限公司</w:t>
            </w:r>
            <w:r>
              <w:rPr>
                <w:rFonts w:ascii="宋体" w:hAnsi="宋体" w:eastAsia="宋体" w:hint="eastAsia"/>
                <w:spacing w:val="-3"/>
                <w:sz w:val="21"/>
              </w:rPr>
              <w:t>（</w:t>
            </w:r>
            <w:r>
              <w:rPr>
                <w:rFonts w:ascii="宋体" w:hAnsi="宋体" w:eastAsia="宋体" w:hint="eastAsia"/>
                <w:sz w:val="21"/>
              </w:rPr>
              <w:t>股</w:t>
            </w:r>
            <w:r>
              <w:rPr>
                <w:rFonts w:ascii="宋体" w:hAnsi="宋体" w:eastAsia="宋体" w:hint="eastAsia"/>
                <w:spacing w:val="-1"/>
                <w:sz w:val="21"/>
              </w:rPr>
              <w:t>票简称</w:t>
            </w:r>
            <w:r>
              <w:rPr>
                <w:sz w:val="21"/>
              </w:rPr>
              <w:t>“</w:t>
            </w:r>
            <w:r>
              <w:rPr>
                <w:rFonts w:ascii="宋体" w:hAnsi="宋体" w:eastAsia="宋体" w:hint="eastAsia"/>
                <w:spacing w:val="-3"/>
                <w:sz w:val="21"/>
              </w:rPr>
              <w:t>盈康生命</w:t>
            </w:r>
            <w:r>
              <w:rPr>
                <w:spacing w:val="-12"/>
                <w:sz w:val="21"/>
              </w:rPr>
              <w:t>”</w:t>
            </w:r>
            <w:r>
              <w:rPr>
                <w:rFonts w:ascii="宋体" w:hAnsi="宋体" w:eastAsia="宋体" w:hint="eastAsia"/>
                <w:spacing w:val="-6"/>
                <w:sz w:val="21"/>
              </w:rPr>
              <w:t>，股票代码：</w:t>
            </w:r>
            <w:r>
              <w:rPr>
                <w:spacing w:val="-6"/>
                <w:sz w:val="21"/>
              </w:rPr>
              <w:t>300143</w:t>
            </w:r>
            <w:r>
              <w:rPr>
                <w:rFonts w:ascii="宋体" w:hAnsi="宋体" w:eastAsia="宋体" w:hint="eastAsia"/>
                <w:spacing w:val="-6"/>
                <w:sz w:val="21"/>
              </w:rPr>
              <w:t>）</w:t>
            </w:r>
            <w:r>
              <w:rPr>
                <w:rFonts w:ascii="宋体" w:hAnsi="宋体" w:eastAsia="宋体" w:hint="eastAsia"/>
                <w:spacing w:val="-20"/>
                <w:sz w:val="21"/>
              </w:rPr>
              <w:t>、</w:t>
            </w:r>
            <w:r>
              <w:rPr>
                <w:spacing w:val="-3"/>
                <w:sz w:val="21"/>
              </w:rPr>
              <w:t>“</w:t>
            </w:r>
            <w:r>
              <w:rPr>
                <w:rFonts w:ascii="宋体" w:hAnsi="宋体" w:eastAsia="宋体" w:hint="eastAsia"/>
                <w:spacing w:val="-3"/>
                <w:sz w:val="21"/>
              </w:rPr>
              <w:t>青岛银行股份有限公司</w:t>
            </w:r>
            <w:r>
              <w:rPr>
                <w:sz w:val="21"/>
              </w:rPr>
              <w:t>”</w:t>
            </w:r>
          </w:p>
          <w:p>
            <w:pPr>
              <w:pStyle w:val="TableParagraph"/>
              <w:spacing w:line="278" w:lineRule="auto"/>
              <w:ind w:left="117" w:right="-29"/>
              <w:jc w:val="both"/>
              <w:rPr>
                <w:rFonts w:ascii="宋体" w:hAnsi="宋体" w:eastAsia="宋体" w:hint="eastAsia"/>
                <w:sz w:val="21"/>
              </w:rPr>
            </w:pPr>
            <w:r>
              <w:rPr>
                <w:rFonts w:ascii="宋体" w:hAnsi="宋体" w:eastAsia="宋体" w:hint="eastAsia"/>
                <w:sz w:val="21"/>
              </w:rPr>
              <w:t>（</w:t>
            </w:r>
            <w:r>
              <w:rPr>
                <w:rFonts w:ascii="宋体" w:hAnsi="宋体" w:eastAsia="宋体" w:hint="eastAsia"/>
                <w:spacing w:val="-3"/>
                <w:sz w:val="21"/>
              </w:rPr>
              <w:t>股票简称</w:t>
            </w:r>
            <w:r>
              <w:rPr>
                <w:sz w:val="21"/>
              </w:rPr>
              <w:t>“</w:t>
            </w:r>
            <w:r>
              <w:rPr>
                <w:rFonts w:ascii="宋体" w:hAnsi="宋体" w:eastAsia="宋体" w:hint="eastAsia"/>
                <w:spacing w:val="-3"/>
                <w:sz w:val="21"/>
              </w:rPr>
              <w:t>青岛银行</w:t>
            </w:r>
            <w:r>
              <w:rPr>
                <w:sz w:val="21"/>
              </w:rPr>
              <w:t>”</w:t>
            </w:r>
            <w:r>
              <w:rPr>
                <w:rFonts w:ascii="宋体" w:hAnsi="宋体" w:eastAsia="宋体" w:hint="eastAsia"/>
                <w:spacing w:val="-1"/>
                <w:sz w:val="21"/>
              </w:rPr>
              <w:t>，股票代码：</w:t>
            </w:r>
            <w:r>
              <w:rPr>
                <w:sz w:val="21"/>
              </w:rPr>
              <w:t>002948</w:t>
            </w:r>
            <w:r>
              <w:rPr>
                <w:rFonts w:ascii="宋体" w:hAnsi="宋体" w:eastAsia="宋体" w:hint="eastAsia"/>
                <w:spacing w:val="-3"/>
                <w:sz w:val="21"/>
              </w:rPr>
              <w:t>、</w:t>
            </w:r>
            <w:r>
              <w:rPr>
                <w:sz w:val="21"/>
              </w:rPr>
              <w:t>3866.HK</w:t>
            </w:r>
            <w:r>
              <w:rPr>
                <w:rFonts w:ascii="宋体" w:hAnsi="宋体" w:eastAsia="宋体" w:hint="eastAsia"/>
                <w:sz w:val="21"/>
              </w:rPr>
              <w:t>）、</w:t>
            </w:r>
            <w:r>
              <w:rPr>
                <w:sz w:val="21"/>
              </w:rPr>
              <w:t>“</w:t>
            </w:r>
            <w:r>
              <w:rPr>
                <w:rFonts w:ascii="宋体" w:hAnsi="宋体" w:eastAsia="宋体" w:hint="eastAsia"/>
                <w:spacing w:val="-2"/>
                <w:sz w:val="21"/>
              </w:rPr>
              <w:t>中国国</w:t>
            </w:r>
            <w:r>
              <w:rPr>
                <w:rFonts w:ascii="宋体" w:hAnsi="宋体" w:eastAsia="宋体" w:hint="eastAsia"/>
                <w:spacing w:val="-3"/>
                <w:sz w:val="21"/>
              </w:rPr>
              <w:t>际金融股份有限公司</w:t>
            </w:r>
            <w:r>
              <w:rPr>
                <w:spacing w:val="9"/>
                <w:sz w:val="21"/>
              </w:rPr>
              <w:t>” </w:t>
            </w:r>
            <w:r>
              <w:rPr>
                <w:rFonts w:ascii="宋体" w:hAnsi="宋体" w:eastAsia="宋体" w:hint="eastAsia"/>
                <w:spacing w:val="-3"/>
                <w:sz w:val="21"/>
              </w:rPr>
              <w:t>（</w:t>
            </w:r>
            <w:r>
              <w:rPr>
                <w:rFonts w:ascii="宋体" w:hAnsi="宋体" w:eastAsia="宋体" w:hint="eastAsia"/>
                <w:spacing w:val="-1"/>
                <w:sz w:val="21"/>
              </w:rPr>
              <w:t>股票简称</w:t>
            </w:r>
            <w:r>
              <w:rPr>
                <w:spacing w:val="-3"/>
                <w:sz w:val="21"/>
              </w:rPr>
              <w:t>“</w:t>
            </w:r>
            <w:r>
              <w:rPr>
                <w:rFonts w:ascii="宋体" w:hAnsi="宋体" w:eastAsia="宋体" w:hint="eastAsia"/>
                <w:spacing w:val="-2"/>
                <w:sz w:val="21"/>
              </w:rPr>
              <w:t>中金公司</w:t>
            </w:r>
            <w:r>
              <w:rPr>
                <w:sz w:val="21"/>
              </w:rPr>
              <w:t>”</w:t>
            </w:r>
            <w:r>
              <w:rPr>
                <w:rFonts w:ascii="宋体" w:hAnsi="宋体" w:eastAsia="宋体" w:hint="eastAsia"/>
                <w:spacing w:val="-3"/>
                <w:sz w:val="21"/>
              </w:rPr>
              <w:t>，股票代码：</w:t>
            </w:r>
            <w:r>
              <w:rPr>
                <w:sz w:val="21"/>
              </w:rPr>
              <w:t>601995</w:t>
            </w:r>
            <w:r>
              <w:rPr>
                <w:rFonts w:ascii="宋体" w:hAnsi="宋体" w:eastAsia="宋体" w:hint="eastAsia"/>
                <w:sz w:val="21"/>
              </w:rPr>
              <w:t>、</w:t>
            </w:r>
          </w:p>
          <w:p>
            <w:pPr>
              <w:pStyle w:val="TableParagraph"/>
              <w:spacing w:line="269" w:lineRule="exact"/>
              <w:ind w:left="117"/>
              <w:rPr>
                <w:rFonts w:ascii="宋体" w:eastAsia="宋体" w:hint="eastAsia"/>
                <w:sz w:val="21"/>
              </w:rPr>
            </w:pPr>
            <w:r>
              <w:rPr>
                <w:sz w:val="21"/>
              </w:rPr>
              <w:t>3908.HK</w:t>
            </w:r>
            <w:r>
              <w:rPr>
                <w:rFonts w:ascii="宋体" w:eastAsia="宋体" w:hint="eastAsia"/>
                <w:sz w:val="21"/>
              </w:rPr>
              <w:t>）等</w:t>
            </w:r>
          </w:p>
        </w:tc>
      </w:tr>
      <w:tr>
        <w:trPr>
          <w:trHeight w:val="308" w:hRule="atLeast"/>
        </w:trPr>
        <w:tc>
          <w:tcPr>
            <w:tcW w:w="2660" w:type="dxa"/>
            <w:tcBorders>
              <w:top w:val="single" w:sz="4" w:space="0" w:color="000000"/>
              <w:right w:val="single" w:sz="4" w:space="0" w:color="000000"/>
            </w:tcBorders>
            <w:shd w:val="clear" w:color="auto" w:fill="EDEBE0"/>
          </w:tcPr>
          <w:p>
            <w:pPr>
              <w:pStyle w:val="TableParagraph"/>
              <w:spacing w:line="266" w:lineRule="exact" w:before="22"/>
              <w:ind w:left="107"/>
              <w:rPr>
                <w:rFonts w:ascii="宋体" w:eastAsia="宋体" w:hint="eastAsia"/>
                <w:sz w:val="21"/>
              </w:rPr>
            </w:pPr>
            <w:r>
              <w:rPr>
                <w:rFonts w:ascii="宋体" w:eastAsia="宋体" w:hint="eastAsia"/>
                <w:sz w:val="21"/>
              </w:rPr>
              <w:t>其他情况说明</w:t>
            </w:r>
          </w:p>
        </w:tc>
        <w:tc>
          <w:tcPr>
            <w:tcW w:w="6390" w:type="dxa"/>
            <w:tcBorders>
              <w:top w:val="single" w:sz="4" w:space="0" w:color="000000"/>
              <w:left w:val="single" w:sz="4" w:space="0" w:color="000000"/>
            </w:tcBorders>
          </w:tcPr>
          <w:p>
            <w:pPr>
              <w:pStyle w:val="TableParagraph"/>
              <w:spacing w:line="266" w:lineRule="exact" w:before="22"/>
              <w:ind w:left="117"/>
              <w:rPr>
                <w:rFonts w:ascii="宋体" w:eastAsia="宋体" w:hint="eastAsia"/>
                <w:sz w:val="21"/>
              </w:rPr>
            </w:pPr>
            <w:r>
              <w:rPr>
                <w:rFonts w:ascii="宋体" w:eastAsia="宋体" w:hint="eastAsia"/>
                <w:w w:val="100"/>
                <w:sz w:val="21"/>
              </w:rPr>
              <w:t>无</w:t>
            </w:r>
          </w:p>
        </w:tc>
      </w:tr>
    </w:tbl>
    <w:p>
      <w:pPr>
        <w:pStyle w:val="BodyText"/>
        <w:spacing w:before="7"/>
        <w:rPr>
          <w:sz w:val="31"/>
        </w:rPr>
      </w:pPr>
    </w:p>
    <w:p>
      <w:pPr>
        <w:pStyle w:val="Heading4"/>
        <w:numPr>
          <w:ilvl w:val="0"/>
          <w:numId w:val="22"/>
        </w:numPr>
        <w:tabs>
          <w:tab w:pos="657" w:val="left" w:leader="none"/>
          <w:tab w:pos="658" w:val="left" w:leader="none"/>
        </w:tabs>
        <w:spacing w:line="240" w:lineRule="auto" w:before="0" w:after="0"/>
        <w:ind w:left="658" w:right="0" w:hanging="420"/>
        <w:jc w:val="left"/>
      </w:pPr>
      <w:r>
        <w:rPr/>
        <w:t>自然人</w:t>
      </w:r>
    </w:p>
    <w:p>
      <w:pPr>
        <w:pStyle w:val="BodyText"/>
        <w:spacing w:before="9"/>
        <w:rPr>
          <w:rFonts w:ascii="Microsoft JhengHei"/>
          <w:b/>
          <w:sz w:val="11"/>
        </w:rPr>
      </w:pPr>
    </w:p>
    <w:p>
      <w:pPr>
        <w:pStyle w:val="BodyText"/>
        <w:ind w:left="662"/>
      </w:pPr>
      <w:r>
        <w:rPr>
          <w:rFonts w:ascii="Times New Roman" w:hAnsi="Times New Roman" w:eastAsia="Times New Roman"/>
        </w:rPr>
        <w:t>□</w:t>
      </w:r>
      <w:r>
        <w:rPr/>
        <w:t>适用 </w:t>
      </w:r>
      <w:r>
        <w:rPr>
          <w:rFonts w:ascii="Times New Roman" w:hAnsi="Times New Roman" w:eastAsia="Times New Roman"/>
        </w:rPr>
        <w:t>√</w:t>
      </w:r>
      <w:r>
        <w:rPr/>
        <w:t>不适用</w:t>
      </w:r>
    </w:p>
    <w:p>
      <w:pPr>
        <w:pStyle w:val="Heading4"/>
        <w:numPr>
          <w:ilvl w:val="0"/>
          <w:numId w:val="22"/>
        </w:numPr>
        <w:tabs>
          <w:tab w:pos="657" w:val="left" w:leader="none"/>
          <w:tab w:pos="658" w:val="left" w:leader="none"/>
        </w:tabs>
        <w:spacing w:line="240" w:lineRule="auto" w:before="190" w:after="0"/>
        <w:ind w:left="658" w:right="0" w:hanging="420"/>
        <w:jc w:val="left"/>
      </w:pPr>
      <w:r>
        <w:rPr>
          <w:spacing w:val="-2"/>
        </w:rPr>
        <w:t>公司不存在控股股东情况的特别说明</w:t>
      </w:r>
    </w:p>
    <w:p>
      <w:pPr>
        <w:pStyle w:val="BodyText"/>
        <w:spacing w:before="9"/>
        <w:rPr>
          <w:rFonts w:ascii="Microsoft JhengHei"/>
          <w:b/>
          <w:sz w:val="11"/>
        </w:rPr>
      </w:pPr>
    </w:p>
    <w:p>
      <w:pPr>
        <w:pStyle w:val="BodyText"/>
        <w:tabs>
          <w:tab w:pos="1421" w:val="left" w:leader="none"/>
        </w:tabs>
        <w:ind w:left="662"/>
      </w:pPr>
      <w:r>
        <w:rPr>
          <w:rFonts w:ascii="Times New Roman" w:hAnsi="Times New Roman" w:eastAsia="Times New Roman"/>
        </w:rPr>
        <w:t>□</w:t>
      </w:r>
      <w:r>
        <w:rPr/>
        <w:t>适用</w:t>
        <w:tab/>
      </w:r>
      <w:r>
        <w:rPr>
          <w:rFonts w:ascii="Times New Roman" w:hAnsi="Times New Roman" w:eastAsia="Times New Roman"/>
        </w:rPr>
        <w:t>√</w:t>
      </w:r>
      <w:r>
        <w:rPr>
          <w:spacing w:val="-3"/>
        </w:rPr>
        <w:t>不</w:t>
      </w:r>
      <w:r>
        <w:rPr/>
        <w:t>适用</w:t>
      </w:r>
    </w:p>
    <w:p>
      <w:pPr>
        <w:pStyle w:val="Heading4"/>
        <w:numPr>
          <w:ilvl w:val="0"/>
          <w:numId w:val="22"/>
        </w:numPr>
        <w:tabs>
          <w:tab w:pos="657" w:val="left" w:leader="none"/>
          <w:tab w:pos="658" w:val="left" w:leader="none"/>
        </w:tabs>
        <w:spacing w:line="240" w:lineRule="auto" w:before="190" w:after="0"/>
        <w:ind w:left="658" w:right="0" w:hanging="420"/>
        <w:jc w:val="left"/>
      </w:pPr>
      <w:r>
        <w:rPr>
          <w:spacing w:val="-2"/>
        </w:rPr>
        <w:t>报告期内控股股东变更情况索引及日期</w:t>
      </w:r>
    </w:p>
    <w:p>
      <w:pPr>
        <w:pStyle w:val="BodyText"/>
        <w:spacing w:before="8"/>
        <w:rPr>
          <w:rFonts w:ascii="Microsoft JhengHei"/>
          <w:b/>
          <w:sz w:val="11"/>
        </w:rPr>
      </w:pPr>
    </w:p>
    <w:p>
      <w:pPr>
        <w:pStyle w:val="BodyText"/>
        <w:tabs>
          <w:tab w:pos="1421" w:val="left" w:leader="none"/>
        </w:tabs>
        <w:spacing w:before="1"/>
        <w:ind w:left="662"/>
      </w:pPr>
      <w:r>
        <w:rPr>
          <w:rFonts w:ascii="Times New Roman" w:hAnsi="Times New Roman" w:eastAsia="Times New Roman"/>
        </w:rPr>
        <w:t>□</w:t>
      </w:r>
      <w:r>
        <w:rPr/>
        <w:t>适用</w:t>
        <w:tab/>
      </w:r>
      <w:r>
        <w:rPr>
          <w:rFonts w:ascii="Times New Roman" w:hAnsi="Times New Roman" w:eastAsia="Times New Roman"/>
        </w:rPr>
        <w:t>√</w:t>
      </w:r>
      <w:r>
        <w:rPr>
          <w:spacing w:val="-3"/>
        </w:rPr>
        <w:t>不</w:t>
      </w:r>
      <w:r>
        <w:rPr/>
        <w:t>适用</w:t>
      </w:r>
    </w:p>
    <w:p>
      <w:pPr>
        <w:pStyle w:val="Heading4"/>
        <w:numPr>
          <w:ilvl w:val="0"/>
          <w:numId w:val="22"/>
        </w:numPr>
        <w:tabs>
          <w:tab w:pos="657" w:val="left" w:leader="none"/>
          <w:tab w:pos="658" w:val="left" w:leader="none"/>
        </w:tabs>
        <w:spacing w:line="240" w:lineRule="auto" w:before="189" w:after="0"/>
        <w:ind w:left="658" w:right="0" w:hanging="420"/>
        <w:jc w:val="left"/>
      </w:pPr>
      <w:r>
        <w:rPr>
          <w:spacing w:val="-3"/>
        </w:rPr>
        <w:t>公司与控股股东之间的产权及控制关系的方框图</w:t>
      </w:r>
    </w:p>
    <w:p>
      <w:pPr>
        <w:pStyle w:val="BodyText"/>
        <w:spacing w:before="9"/>
        <w:rPr>
          <w:rFonts w:ascii="Microsoft JhengHei"/>
          <w:b/>
          <w:sz w:val="11"/>
        </w:rPr>
      </w:pPr>
    </w:p>
    <w:p>
      <w:pPr>
        <w:pStyle w:val="BodyText"/>
        <w:tabs>
          <w:tab w:pos="1505" w:val="left" w:leader="none"/>
        </w:tabs>
        <w:ind w:left="662"/>
      </w:pPr>
      <w:r>
        <w:rPr/>
        <w:t>√适用</w:t>
        <w:tab/>
      </w:r>
      <w:r>
        <w:rPr>
          <w:spacing w:val="-3"/>
        </w:rPr>
        <w:t>□</w:t>
      </w:r>
      <w:r>
        <w:rPr/>
        <w:t>不</w:t>
      </w:r>
      <w:r>
        <w:rPr>
          <w:spacing w:val="-3"/>
        </w:rPr>
        <w:t>适</w:t>
      </w:r>
      <w:r>
        <w:rPr/>
        <w:t>用</w:t>
      </w:r>
    </w:p>
    <w:p>
      <w:pPr>
        <w:spacing w:after="0"/>
        <w:sectPr>
          <w:headerReference w:type="default" r:id="rId61"/>
          <w:footerReference w:type="default" r:id="rId62"/>
          <w:pgSz w:w="11910" w:h="16840"/>
          <w:pgMar w:header="874" w:footer="1214" w:top="1500" w:bottom="1400" w:left="1560" w:right="460"/>
        </w:sectPr>
      </w:pPr>
    </w:p>
    <w:p>
      <w:pPr>
        <w:pStyle w:val="BodyText"/>
        <w:spacing w:before="4"/>
        <w:rPr>
          <w:sz w:val="4"/>
        </w:rPr>
      </w:pPr>
    </w:p>
    <w:p>
      <w:pPr>
        <w:pStyle w:val="BodyText"/>
        <w:ind w:left="237"/>
        <w:rPr>
          <w:sz w:val="20"/>
        </w:rPr>
      </w:pPr>
      <w:r>
        <w:rPr>
          <w:sz w:val="20"/>
        </w:rPr>
        <w:drawing>
          <wp:inline distT="0" distB="0" distL="0" distR="0">
            <wp:extent cx="2396011" cy="2055114"/>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5" cstate="print"/>
                    <a:stretch>
                      <a:fillRect/>
                    </a:stretch>
                  </pic:blipFill>
                  <pic:spPr>
                    <a:xfrm>
                      <a:off x="0" y="0"/>
                      <a:ext cx="2396011" cy="2055114"/>
                    </a:xfrm>
                    <a:prstGeom prst="rect">
                      <a:avLst/>
                    </a:prstGeom>
                  </pic:spPr>
                </pic:pic>
              </a:graphicData>
            </a:graphic>
          </wp:inline>
        </w:drawing>
      </w:r>
      <w:r>
        <w:rPr>
          <w:sz w:val="20"/>
        </w:rPr>
      </w:r>
    </w:p>
    <w:p>
      <w:pPr>
        <w:pStyle w:val="BodyText"/>
        <w:rPr>
          <w:sz w:val="20"/>
        </w:rPr>
      </w:pPr>
    </w:p>
    <w:p>
      <w:pPr>
        <w:pStyle w:val="BodyText"/>
        <w:spacing w:before="6"/>
        <w:rPr>
          <w:sz w:val="16"/>
        </w:rPr>
      </w:pPr>
    </w:p>
    <w:p>
      <w:pPr>
        <w:pStyle w:val="Heading4"/>
        <w:spacing w:line="379" w:lineRule="exact" w:before="9"/>
        <w:ind w:left="238"/>
      </w:pPr>
      <w:r>
        <w:rPr>
          <w:rFonts w:ascii="Times New Roman" w:eastAsia="Times New Roman"/>
        </w:rPr>
        <w:t>(</w:t>
      </w:r>
      <w:r>
        <w:rPr/>
        <w:t>二</w:t>
      </w:r>
      <w:r>
        <w:rPr>
          <w:rFonts w:ascii="Times New Roman" w:eastAsia="Times New Roman"/>
        </w:rPr>
        <w:t>) </w:t>
      </w:r>
      <w:r>
        <w:rPr/>
        <w:t>实际控制人情况</w:t>
      </w:r>
    </w:p>
    <w:p>
      <w:pPr>
        <w:pStyle w:val="Heading4"/>
        <w:numPr>
          <w:ilvl w:val="0"/>
          <w:numId w:val="23"/>
        </w:numPr>
        <w:tabs>
          <w:tab w:pos="662" w:val="left" w:leader="none"/>
          <w:tab w:pos="663" w:val="left" w:leader="none"/>
        </w:tabs>
        <w:spacing w:line="379" w:lineRule="exact" w:before="0" w:after="0"/>
        <w:ind w:left="662" w:right="0" w:hanging="425"/>
        <w:jc w:val="left"/>
      </w:pPr>
      <w:r>
        <w:rPr/>
        <w:t>法人</w:t>
      </w:r>
    </w:p>
    <w:p>
      <w:pPr>
        <w:pStyle w:val="BodyText"/>
        <w:spacing w:before="55" w:after="20"/>
        <w:ind w:left="662"/>
      </w:pPr>
      <w:r>
        <w:rPr>
          <w:rFonts w:ascii="Times New Roman" w:hAnsi="Times New Roman" w:eastAsia="Times New Roman"/>
        </w:rPr>
        <w:t>√</w:t>
      </w:r>
      <w:r>
        <w:rPr/>
        <w:t>适用 </w:t>
      </w:r>
      <w:r>
        <w:rPr>
          <w:rFonts w:ascii="Times New Roman" w:hAnsi="Times New Roman" w:eastAsia="Times New Roman"/>
        </w:rPr>
        <w:t>□</w:t>
      </w:r>
      <w:r>
        <w:rPr/>
        <w:t>不适用</w:t>
      </w:r>
    </w:p>
    <w:tbl>
      <w:tblPr>
        <w:tblW w:w="0" w:type="auto"/>
        <w:jc w:val="left"/>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235"/>
        <w:gridCol w:w="6815"/>
      </w:tblGrid>
      <w:tr>
        <w:trPr>
          <w:trHeight w:val="313" w:hRule="atLeast"/>
        </w:trPr>
        <w:tc>
          <w:tcPr>
            <w:tcW w:w="2235" w:type="dxa"/>
            <w:tcBorders>
              <w:bottom w:val="single" w:sz="4" w:space="0" w:color="000000"/>
              <w:right w:val="single" w:sz="4" w:space="0" w:color="000000"/>
            </w:tcBorders>
            <w:shd w:val="clear" w:color="auto" w:fill="EDEBE0"/>
          </w:tcPr>
          <w:p>
            <w:pPr>
              <w:pStyle w:val="TableParagraph"/>
              <w:spacing w:before="24"/>
              <w:ind w:left="107"/>
              <w:rPr>
                <w:rFonts w:ascii="宋体" w:eastAsia="宋体" w:hint="eastAsia"/>
                <w:sz w:val="21"/>
              </w:rPr>
            </w:pPr>
            <w:r>
              <w:rPr>
                <w:rFonts w:ascii="宋体" w:eastAsia="宋体" w:hint="eastAsia"/>
                <w:sz w:val="21"/>
              </w:rPr>
              <w:t>名称</w:t>
            </w:r>
          </w:p>
        </w:tc>
        <w:tc>
          <w:tcPr>
            <w:tcW w:w="6815" w:type="dxa"/>
            <w:tcBorders>
              <w:left w:val="single" w:sz="4" w:space="0" w:color="000000"/>
              <w:bottom w:val="single" w:sz="4" w:space="0" w:color="000000"/>
            </w:tcBorders>
          </w:tcPr>
          <w:p>
            <w:pPr>
              <w:pStyle w:val="TableParagraph"/>
              <w:spacing w:before="24"/>
              <w:ind w:left="117"/>
              <w:rPr>
                <w:rFonts w:ascii="宋体" w:eastAsia="宋体" w:hint="eastAsia"/>
                <w:sz w:val="21"/>
              </w:rPr>
            </w:pPr>
            <w:r>
              <w:rPr>
                <w:rFonts w:ascii="宋体" w:eastAsia="宋体" w:hint="eastAsia"/>
                <w:sz w:val="21"/>
              </w:rPr>
              <w:t>海尔集团公司</w:t>
            </w:r>
          </w:p>
        </w:tc>
      </w:tr>
      <w:tr>
        <w:trPr>
          <w:trHeight w:val="623" w:hRule="atLeast"/>
        </w:trPr>
        <w:tc>
          <w:tcPr>
            <w:tcW w:w="2235" w:type="dxa"/>
            <w:tcBorders>
              <w:top w:val="single" w:sz="4" w:space="0" w:color="000000"/>
              <w:bottom w:val="single" w:sz="4" w:space="0" w:color="000000"/>
              <w:right w:val="single" w:sz="4" w:space="0" w:color="000000"/>
            </w:tcBorders>
            <w:shd w:val="clear" w:color="auto" w:fill="EDEBE0"/>
          </w:tcPr>
          <w:p>
            <w:pPr>
              <w:pStyle w:val="TableParagraph"/>
              <w:spacing w:before="22"/>
              <w:ind w:left="107"/>
              <w:rPr>
                <w:rFonts w:ascii="宋体" w:eastAsia="宋体" w:hint="eastAsia"/>
                <w:sz w:val="21"/>
              </w:rPr>
            </w:pPr>
            <w:r>
              <w:rPr>
                <w:rFonts w:ascii="宋体" w:eastAsia="宋体" w:hint="eastAsia"/>
                <w:sz w:val="21"/>
              </w:rPr>
              <w:t>单位负责人或法定代</w:t>
            </w:r>
          </w:p>
          <w:p>
            <w:pPr>
              <w:pStyle w:val="TableParagraph"/>
              <w:spacing w:before="43"/>
              <w:ind w:left="107"/>
              <w:rPr>
                <w:rFonts w:ascii="宋体" w:eastAsia="宋体" w:hint="eastAsia"/>
                <w:sz w:val="21"/>
              </w:rPr>
            </w:pPr>
            <w:r>
              <w:rPr>
                <w:rFonts w:ascii="宋体" w:eastAsia="宋体" w:hint="eastAsia"/>
                <w:sz w:val="21"/>
              </w:rPr>
              <w:t>表人</w:t>
            </w:r>
          </w:p>
        </w:tc>
        <w:tc>
          <w:tcPr>
            <w:tcW w:w="6815" w:type="dxa"/>
            <w:tcBorders>
              <w:top w:val="single" w:sz="4" w:space="0" w:color="000000"/>
              <w:left w:val="single" w:sz="4" w:space="0" w:color="000000"/>
              <w:bottom w:val="single" w:sz="4" w:space="0" w:color="000000"/>
            </w:tcBorders>
          </w:tcPr>
          <w:p>
            <w:pPr>
              <w:pStyle w:val="TableParagraph"/>
              <w:spacing w:before="178"/>
              <w:ind w:left="117"/>
              <w:rPr>
                <w:rFonts w:ascii="宋体" w:eastAsia="宋体" w:hint="eastAsia"/>
                <w:sz w:val="21"/>
              </w:rPr>
            </w:pPr>
            <w:r>
              <w:rPr>
                <w:rFonts w:ascii="宋体" w:eastAsia="宋体" w:hint="eastAsia"/>
                <w:sz w:val="21"/>
              </w:rPr>
              <w:t>张瑞敏</w:t>
            </w:r>
          </w:p>
        </w:tc>
      </w:tr>
      <w:tr>
        <w:trPr>
          <w:trHeight w:val="311" w:hRule="atLeast"/>
        </w:trPr>
        <w:tc>
          <w:tcPr>
            <w:tcW w:w="2235" w:type="dxa"/>
            <w:tcBorders>
              <w:top w:val="single" w:sz="4" w:space="0" w:color="000000"/>
              <w:bottom w:val="single" w:sz="4" w:space="0" w:color="000000"/>
              <w:right w:val="single" w:sz="4" w:space="0" w:color="000000"/>
            </w:tcBorders>
            <w:shd w:val="clear" w:color="auto" w:fill="EDEBE0"/>
          </w:tcPr>
          <w:p>
            <w:pPr>
              <w:pStyle w:val="TableParagraph"/>
              <w:spacing w:before="22"/>
              <w:ind w:left="107"/>
              <w:rPr>
                <w:rFonts w:ascii="宋体" w:eastAsia="宋体" w:hint="eastAsia"/>
                <w:sz w:val="21"/>
              </w:rPr>
            </w:pPr>
            <w:r>
              <w:rPr>
                <w:rFonts w:ascii="宋体" w:eastAsia="宋体" w:hint="eastAsia"/>
                <w:sz w:val="21"/>
              </w:rPr>
              <w:t>成立日期</w:t>
            </w:r>
          </w:p>
        </w:tc>
        <w:tc>
          <w:tcPr>
            <w:tcW w:w="6815" w:type="dxa"/>
            <w:tcBorders>
              <w:top w:val="single" w:sz="4" w:space="0" w:color="000000"/>
              <w:left w:val="single" w:sz="4" w:space="0" w:color="000000"/>
              <w:bottom w:val="single" w:sz="4" w:space="0" w:color="000000"/>
            </w:tcBorders>
          </w:tcPr>
          <w:p>
            <w:pPr>
              <w:pStyle w:val="TableParagraph"/>
              <w:spacing w:before="34"/>
              <w:ind w:left="117"/>
              <w:rPr>
                <w:sz w:val="21"/>
              </w:rPr>
            </w:pPr>
            <w:r>
              <w:rPr>
                <w:sz w:val="21"/>
              </w:rPr>
              <w:t>1980-03-24</w:t>
            </w:r>
          </w:p>
        </w:tc>
      </w:tr>
      <w:tr>
        <w:trPr>
          <w:trHeight w:val="2496" w:hRule="atLeast"/>
        </w:trPr>
        <w:tc>
          <w:tcPr>
            <w:tcW w:w="2235" w:type="dxa"/>
            <w:tcBorders>
              <w:top w:val="single" w:sz="4" w:space="0" w:color="000000"/>
              <w:bottom w:val="single" w:sz="4" w:space="0" w:color="000000"/>
              <w:right w:val="single" w:sz="4" w:space="0" w:color="000000"/>
            </w:tcBorders>
            <w:shd w:val="clear" w:color="auto" w:fill="EDEBE0"/>
          </w:tcPr>
          <w:p>
            <w:pPr>
              <w:pStyle w:val="TableParagraph"/>
              <w:rPr>
                <w:rFonts w:ascii="宋体"/>
                <w:sz w:val="20"/>
              </w:rPr>
            </w:pPr>
          </w:p>
          <w:p>
            <w:pPr>
              <w:pStyle w:val="TableParagraph"/>
              <w:rPr>
                <w:rFonts w:ascii="宋体"/>
                <w:sz w:val="20"/>
              </w:rPr>
            </w:pPr>
          </w:p>
          <w:p>
            <w:pPr>
              <w:pStyle w:val="TableParagraph"/>
              <w:rPr>
                <w:rFonts w:ascii="宋体"/>
                <w:sz w:val="20"/>
              </w:rPr>
            </w:pPr>
          </w:p>
          <w:p>
            <w:pPr>
              <w:pStyle w:val="TableParagraph"/>
              <w:rPr>
                <w:rFonts w:ascii="宋体"/>
                <w:sz w:val="27"/>
              </w:rPr>
            </w:pPr>
          </w:p>
          <w:p>
            <w:pPr>
              <w:pStyle w:val="TableParagraph"/>
              <w:ind w:left="107"/>
              <w:rPr>
                <w:rFonts w:ascii="宋体" w:eastAsia="宋体" w:hint="eastAsia"/>
                <w:sz w:val="21"/>
              </w:rPr>
            </w:pPr>
            <w:r>
              <w:rPr>
                <w:rFonts w:ascii="宋体" w:eastAsia="宋体" w:hint="eastAsia"/>
                <w:sz w:val="21"/>
              </w:rPr>
              <w:t>主要经营业务</w:t>
            </w:r>
          </w:p>
        </w:tc>
        <w:tc>
          <w:tcPr>
            <w:tcW w:w="6815" w:type="dxa"/>
            <w:tcBorders>
              <w:top w:val="single" w:sz="4" w:space="0" w:color="000000"/>
              <w:left w:val="single" w:sz="4" w:space="0" w:color="000000"/>
              <w:bottom w:val="single" w:sz="4" w:space="0" w:color="000000"/>
            </w:tcBorders>
          </w:tcPr>
          <w:p>
            <w:pPr>
              <w:pStyle w:val="TableParagraph"/>
              <w:spacing w:line="278" w:lineRule="auto" w:before="22"/>
              <w:ind w:left="117" w:right="-44"/>
              <w:rPr>
                <w:rFonts w:ascii="宋体" w:eastAsia="宋体" w:hint="eastAsia"/>
                <w:sz w:val="21"/>
              </w:rPr>
            </w:pPr>
            <w:r>
              <w:rPr>
                <w:rFonts w:ascii="宋体" w:eastAsia="宋体" w:hint="eastAsia"/>
                <w:sz w:val="21"/>
              </w:rPr>
              <w:t>技术开发、技术咨询、技术转让、技术服务（包含工业互联网等）；数 据处理；从事数字科技、智能科技、软件科技；机器人与自动化装备产 品研发、销售与售后服务；物流信息服务；智能家居产品及方案系统软 件技术研发与销售；家用电器、电子产品、通讯器材、电子计算机及配 件、普通机械、厨房用具、工业用机器人制造；国内商业（国家危禁专 </w:t>
            </w:r>
            <w:r>
              <w:rPr>
                <w:rFonts w:ascii="宋体" w:eastAsia="宋体" w:hint="eastAsia"/>
                <w:spacing w:val="-3"/>
                <w:sz w:val="21"/>
              </w:rPr>
              <w:t>营专控商品除外</w:t>
            </w:r>
            <w:r>
              <w:rPr>
                <w:rFonts w:ascii="宋体" w:eastAsia="宋体" w:hint="eastAsia"/>
                <w:spacing w:val="-5"/>
                <w:sz w:val="21"/>
              </w:rPr>
              <w:t>）</w:t>
            </w:r>
            <w:r>
              <w:rPr>
                <w:rFonts w:ascii="宋体" w:eastAsia="宋体" w:hint="eastAsia"/>
                <w:spacing w:val="-4"/>
                <w:sz w:val="21"/>
              </w:rPr>
              <w:t>批发、零售；进出口业务</w:t>
            </w:r>
            <w:r>
              <w:rPr>
                <w:rFonts w:ascii="宋体" w:eastAsia="宋体" w:hint="eastAsia"/>
                <w:spacing w:val="-3"/>
                <w:sz w:val="21"/>
              </w:rPr>
              <w:t>（详见外贸企业审定证书</w:t>
            </w:r>
            <w:r>
              <w:rPr>
                <w:rFonts w:ascii="宋体" w:eastAsia="宋体" w:hint="eastAsia"/>
                <w:sz w:val="21"/>
              </w:rPr>
              <w:t>）； </w:t>
            </w:r>
            <w:r>
              <w:rPr>
                <w:rFonts w:ascii="宋体" w:eastAsia="宋体" w:hint="eastAsia"/>
                <w:spacing w:val="-1"/>
                <w:sz w:val="21"/>
              </w:rPr>
              <w:t>经济技术咨询；技术成果的研发及转让</w:t>
            </w:r>
            <w:r>
              <w:rPr>
                <w:sz w:val="21"/>
              </w:rPr>
              <w:t>;</w:t>
            </w:r>
            <w:r>
              <w:rPr>
                <w:rFonts w:ascii="宋体" w:eastAsia="宋体" w:hint="eastAsia"/>
                <w:sz w:val="21"/>
              </w:rPr>
              <w:t>自有房屋出租。（依法须经批准</w:t>
            </w:r>
          </w:p>
          <w:p>
            <w:pPr>
              <w:pStyle w:val="TableParagraph"/>
              <w:spacing w:line="269" w:lineRule="exact"/>
              <w:ind w:left="117"/>
              <w:rPr>
                <w:rFonts w:ascii="宋体" w:eastAsia="宋体" w:hint="eastAsia"/>
                <w:sz w:val="21"/>
              </w:rPr>
            </w:pPr>
            <w:r>
              <w:rPr>
                <w:rFonts w:ascii="宋体" w:eastAsia="宋体" w:hint="eastAsia"/>
                <w:sz w:val="21"/>
              </w:rPr>
              <w:t>的项目，经相关部门批准后方可开展经营活动）</w:t>
            </w:r>
          </w:p>
        </w:tc>
      </w:tr>
      <w:tr>
        <w:trPr>
          <w:trHeight w:val="1562" w:hRule="atLeast"/>
        </w:trPr>
        <w:tc>
          <w:tcPr>
            <w:tcW w:w="2235" w:type="dxa"/>
            <w:tcBorders>
              <w:top w:val="single" w:sz="4" w:space="0" w:color="000000"/>
              <w:bottom w:val="single" w:sz="4" w:space="0" w:color="000000"/>
              <w:right w:val="single" w:sz="4" w:space="0" w:color="000000"/>
            </w:tcBorders>
            <w:shd w:val="clear" w:color="auto" w:fill="EDEBE0"/>
          </w:tcPr>
          <w:p>
            <w:pPr>
              <w:pStyle w:val="TableParagraph"/>
              <w:spacing w:before="3"/>
              <w:rPr>
                <w:rFonts w:ascii="宋体"/>
                <w:sz w:val="26"/>
              </w:rPr>
            </w:pPr>
          </w:p>
          <w:p>
            <w:pPr>
              <w:pStyle w:val="TableParagraph"/>
              <w:spacing w:line="278" w:lineRule="auto" w:before="1"/>
              <w:ind w:left="107" w:right="86"/>
              <w:jc w:val="both"/>
              <w:rPr>
                <w:rFonts w:ascii="宋体" w:eastAsia="宋体" w:hint="eastAsia"/>
                <w:sz w:val="21"/>
              </w:rPr>
            </w:pPr>
            <w:r>
              <w:rPr>
                <w:rFonts w:ascii="宋体" w:eastAsia="宋体" w:hint="eastAsia"/>
                <w:sz w:val="21"/>
              </w:rPr>
              <w:t>报告期内控股和参股的其他境内外上市公司的股权情况</w:t>
            </w:r>
          </w:p>
        </w:tc>
        <w:tc>
          <w:tcPr>
            <w:tcW w:w="6815" w:type="dxa"/>
            <w:tcBorders>
              <w:top w:val="single" w:sz="4" w:space="0" w:color="000000"/>
              <w:left w:val="single" w:sz="4" w:space="0" w:color="000000"/>
              <w:bottom w:val="single" w:sz="4" w:space="0" w:color="000000"/>
            </w:tcBorders>
          </w:tcPr>
          <w:p>
            <w:pPr>
              <w:pStyle w:val="TableParagraph"/>
              <w:spacing w:line="278" w:lineRule="auto" w:before="25"/>
              <w:ind w:left="117" w:right="72"/>
              <w:jc w:val="both"/>
              <w:rPr>
                <w:rFonts w:ascii="宋体" w:hAnsi="宋体" w:eastAsia="宋体" w:hint="eastAsia"/>
                <w:sz w:val="21"/>
              </w:rPr>
            </w:pPr>
            <w:r>
              <w:rPr>
                <w:rFonts w:ascii="宋体" w:hAnsi="宋体" w:eastAsia="宋体" w:hint="eastAsia"/>
                <w:spacing w:val="-1"/>
                <w:sz w:val="21"/>
              </w:rPr>
              <w:t>间接控股</w:t>
            </w:r>
            <w:r>
              <w:rPr>
                <w:sz w:val="21"/>
              </w:rPr>
              <w:t>/</w:t>
            </w:r>
            <w:r>
              <w:rPr>
                <w:rFonts w:ascii="宋体" w:hAnsi="宋体" w:eastAsia="宋体" w:hint="eastAsia"/>
                <w:spacing w:val="-3"/>
                <w:sz w:val="21"/>
              </w:rPr>
              <w:t>参股上市公司</w:t>
            </w:r>
            <w:r>
              <w:rPr>
                <w:spacing w:val="-3"/>
                <w:sz w:val="21"/>
              </w:rPr>
              <w:t>“</w:t>
            </w:r>
            <w:r>
              <w:rPr>
                <w:rFonts w:ascii="宋体" w:hAnsi="宋体" w:eastAsia="宋体" w:hint="eastAsia"/>
                <w:spacing w:val="-3"/>
                <w:sz w:val="21"/>
              </w:rPr>
              <w:t>青岛海尔生物医疗股份有限公司</w:t>
            </w:r>
            <w:r>
              <w:rPr>
                <w:spacing w:val="-21"/>
                <w:sz w:val="21"/>
              </w:rPr>
              <w:t>”</w:t>
            </w:r>
            <w:r>
              <w:rPr>
                <w:rFonts w:ascii="宋体" w:hAnsi="宋体" w:eastAsia="宋体" w:hint="eastAsia"/>
                <w:spacing w:val="-21"/>
                <w:sz w:val="21"/>
              </w:rPr>
              <w:t>（</w:t>
            </w:r>
            <w:r>
              <w:rPr>
                <w:rFonts w:ascii="宋体" w:hAnsi="宋体" w:eastAsia="宋体" w:hint="eastAsia"/>
                <w:spacing w:val="-3"/>
                <w:sz w:val="21"/>
              </w:rPr>
              <w:t>股票简称</w:t>
            </w:r>
            <w:r>
              <w:rPr>
                <w:sz w:val="21"/>
              </w:rPr>
              <w:t>“</w:t>
            </w:r>
            <w:r>
              <w:rPr>
                <w:rFonts w:ascii="宋体" w:hAnsi="宋体" w:eastAsia="宋体" w:hint="eastAsia"/>
                <w:sz w:val="21"/>
              </w:rPr>
              <w:t>海</w:t>
            </w:r>
            <w:r>
              <w:rPr>
                <w:rFonts w:ascii="宋体" w:hAnsi="宋体" w:eastAsia="宋体" w:hint="eastAsia"/>
                <w:spacing w:val="-2"/>
                <w:sz w:val="21"/>
              </w:rPr>
              <w:t>尔生物</w:t>
            </w:r>
            <w:r>
              <w:rPr>
                <w:spacing w:val="-1"/>
                <w:sz w:val="21"/>
              </w:rPr>
              <w:t>”</w:t>
            </w:r>
            <w:r>
              <w:rPr>
                <w:rFonts w:ascii="宋体" w:hAnsi="宋体" w:eastAsia="宋体" w:hint="eastAsia"/>
                <w:spacing w:val="-3"/>
                <w:sz w:val="21"/>
              </w:rPr>
              <w:t>，股票代码：</w:t>
            </w:r>
            <w:r>
              <w:rPr>
                <w:sz w:val="21"/>
              </w:rPr>
              <w:t>688139</w:t>
            </w:r>
            <w:r>
              <w:rPr>
                <w:rFonts w:ascii="宋体" w:hAnsi="宋体" w:eastAsia="宋体" w:hint="eastAsia"/>
                <w:sz w:val="21"/>
              </w:rPr>
              <w:t>）</w:t>
            </w:r>
            <w:r>
              <w:rPr>
                <w:rFonts w:ascii="宋体" w:hAnsi="宋体" w:eastAsia="宋体" w:hint="eastAsia"/>
                <w:spacing w:val="-3"/>
                <w:sz w:val="21"/>
              </w:rPr>
              <w:t>、盈康生命科技股份有限公司</w:t>
            </w:r>
            <w:r>
              <w:rPr>
                <w:rFonts w:ascii="宋体" w:hAnsi="宋体" w:eastAsia="宋体" w:hint="eastAsia"/>
                <w:sz w:val="21"/>
              </w:rPr>
              <w:t>（</w:t>
            </w:r>
            <w:r>
              <w:rPr>
                <w:rFonts w:ascii="宋体" w:hAnsi="宋体" w:eastAsia="宋体" w:hint="eastAsia"/>
                <w:spacing w:val="-3"/>
                <w:sz w:val="21"/>
              </w:rPr>
              <w:t>股票简称</w:t>
            </w:r>
            <w:r>
              <w:rPr>
                <w:spacing w:val="-3"/>
                <w:sz w:val="21"/>
              </w:rPr>
              <w:t>“</w:t>
            </w:r>
            <w:r>
              <w:rPr>
                <w:rFonts w:ascii="宋体" w:hAnsi="宋体" w:eastAsia="宋体" w:hint="eastAsia"/>
                <w:spacing w:val="-2"/>
                <w:sz w:val="21"/>
              </w:rPr>
              <w:t>盈康生命</w:t>
            </w:r>
            <w:r>
              <w:rPr>
                <w:spacing w:val="-10"/>
                <w:sz w:val="21"/>
              </w:rPr>
              <w:t>”</w:t>
            </w:r>
            <w:r>
              <w:rPr>
                <w:rFonts w:ascii="宋体" w:hAnsi="宋体" w:eastAsia="宋体" w:hint="eastAsia"/>
                <w:spacing w:val="-5"/>
                <w:sz w:val="21"/>
              </w:rPr>
              <w:t>，股票代码：</w:t>
            </w:r>
            <w:r>
              <w:rPr>
                <w:spacing w:val="-5"/>
                <w:sz w:val="21"/>
              </w:rPr>
              <w:t>300143</w:t>
            </w:r>
            <w:r>
              <w:rPr>
                <w:rFonts w:ascii="宋体" w:hAnsi="宋体" w:eastAsia="宋体" w:hint="eastAsia"/>
                <w:spacing w:val="-5"/>
                <w:sz w:val="21"/>
              </w:rPr>
              <w:t>）</w:t>
            </w:r>
            <w:r>
              <w:rPr>
                <w:rFonts w:ascii="宋体" w:hAnsi="宋体" w:eastAsia="宋体" w:hint="eastAsia"/>
                <w:spacing w:val="-15"/>
                <w:sz w:val="21"/>
              </w:rPr>
              <w:t>、</w:t>
            </w:r>
            <w:r>
              <w:rPr>
                <w:sz w:val="21"/>
              </w:rPr>
              <w:t>“</w:t>
            </w:r>
            <w:r>
              <w:rPr>
                <w:rFonts w:ascii="宋体" w:hAnsi="宋体" w:eastAsia="宋体" w:hint="eastAsia"/>
                <w:spacing w:val="-3"/>
                <w:sz w:val="21"/>
              </w:rPr>
              <w:t>青岛银行股份有限公司</w:t>
            </w:r>
            <w:r>
              <w:rPr>
                <w:spacing w:val="-9"/>
                <w:sz w:val="21"/>
              </w:rPr>
              <w:t>”</w:t>
            </w:r>
            <w:r>
              <w:rPr>
                <w:rFonts w:ascii="宋体" w:hAnsi="宋体" w:eastAsia="宋体" w:hint="eastAsia"/>
                <w:spacing w:val="-9"/>
                <w:sz w:val="21"/>
              </w:rPr>
              <w:t>（</w:t>
            </w:r>
            <w:r>
              <w:rPr>
                <w:rFonts w:ascii="宋体" w:hAnsi="宋体" w:eastAsia="宋体" w:hint="eastAsia"/>
                <w:spacing w:val="-3"/>
                <w:sz w:val="21"/>
              </w:rPr>
              <w:t>股票简称</w:t>
            </w:r>
            <w:r>
              <w:rPr>
                <w:spacing w:val="-3"/>
                <w:sz w:val="21"/>
              </w:rPr>
              <w:t>“</w:t>
            </w:r>
            <w:r>
              <w:rPr>
                <w:rFonts w:ascii="宋体" w:hAnsi="宋体" w:eastAsia="宋体" w:hint="eastAsia"/>
                <w:spacing w:val="-3"/>
                <w:sz w:val="21"/>
              </w:rPr>
              <w:t>青岛银行</w:t>
            </w:r>
            <w:r>
              <w:rPr>
                <w:spacing w:val="-3"/>
                <w:sz w:val="21"/>
              </w:rPr>
              <w:t>”</w:t>
            </w:r>
            <w:r>
              <w:rPr>
                <w:rFonts w:ascii="宋体" w:hAnsi="宋体" w:eastAsia="宋体" w:hint="eastAsia"/>
                <w:spacing w:val="-3"/>
                <w:sz w:val="21"/>
              </w:rPr>
              <w:t>，股票代码：</w:t>
            </w:r>
            <w:r>
              <w:rPr>
                <w:spacing w:val="-3"/>
                <w:sz w:val="21"/>
              </w:rPr>
              <w:t>002948</w:t>
            </w:r>
            <w:r>
              <w:rPr>
                <w:rFonts w:ascii="宋体" w:hAnsi="宋体" w:eastAsia="宋体" w:hint="eastAsia"/>
                <w:spacing w:val="-3"/>
                <w:sz w:val="21"/>
              </w:rPr>
              <w:t>、</w:t>
            </w:r>
            <w:r>
              <w:rPr>
                <w:spacing w:val="-3"/>
                <w:sz w:val="21"/>
              </w:rPr>
              <w:t>3866.HK</w:t>
            </w:r>
            <w:r>
              <w:rPr>
                <w:rFonts w:ascii="宋体" w:hAnsi="宋体" w:eastAsia="宋体" w:hint="eastAsia"/>
                <w:spacing w:val="-3"/>
                <w:sz w:val="21"/>
              </w:rPr>
              <w:t>）、</w:t>
            </w:r>
            <w:r>
              <w:rPr>
                <w:spacing w:val="-3"/>
                <w:sz w:val="21"/>
              </w:rPr>
              <w:t>“</w:t>
            </w:r>
            <w:r>
              <w:rPr>
                <w:rFonts w:ascii="宋体" w:hAnsi="宋体" w:eastAsia="宋体" w:hint="eastAsia"/>
                <w:spacing w:val="-3"/>
                <w:sz w:val="21"/>
              </w:rPr>
              <w:t>中国国际金融股份有限</w:t>
            </w:r>
          </w:p>
          <w:p>
            <w:pPr>
              <w:pStyle w:val="TableParagraph"/>
              <w:spacing w:line="269" w:lineRule="exact"/>
              <w:ind w:left="117"/>
              <w:jc w:val="both"/>
              <w:rPr>
                <w:rFonts w:ascii="宋体" w:hAnsi="宋体" w:eastAsia="宋体" w:hint="eastAsia"/>
                <w:sz w:val="21"/>
              </w:rPr>
            </w:pPr>
            <w:r>
              <w:rPr>
                <w:rFonts w:ascii="宋体" w:hAnsi="宋体" w:eastAsia="宋体" w:hint="eastAsia"/>
                <w:sz w:val="21"/>
              </w:rPr>
              <w:t>公司</w:t>
            </w:r>
            <w:r>
              <w:rPr>
                <w:sz w:val="21"/>
              </w:rPr>
              <w:t>” </w:t>
            </w:r>
            <w:r>
              <w:rPr>
                <w:rFonts w:ascii="宋体" w:hAnsi="宋体" w:eastAsia="宋体" w:hint="eastAsia"/>
                <w:sz w:val="21"/>
              </w:rPr>
              <w:t>（股票简称</w:t>
            </w:r>
            <w:r>
              <w:rPr>
                <w:sz w:val="21"/>
              </w:rPr>
              <w:t>“</w:t>
            </w:r>
            <w:r>
              <w:rPr>
                <w:rFonts w:ascii="宋体" w:hAnsi="宋体" w:eastAsia="宋体" w:hint="eastAsia"/>
                <w:sz w:val="21"/>
              </w:rPr>
              <w:t>中金公司</w:t>
            </w:r>
            <w:r>
              <w:rPr>
                <w:sz w:val="21"/>
              </w:rPr>
              <w:t>”</w:t>
            </w:r>
            <w:r>
              <w:rPr>
                <w:rFonts w:ascii="宋体" w:hAnsi="宋体" w:eastAsia="宋体" w:hint="eastAsia"/>
                <w:sz w:val="21"/>
              </w:rPr>
              <w:t>，股票代码：</w:t>
            </w:r>
            <w:r>
              <w:rPr>
                <w:sz w:val="21"/>
              </w:rPr>
              <w:t>601995</w:t>
            </w:r>
            <w:r>
              <w:rPr>
                <w:rFonts w:ascii="宋体" w:hAnsi="宋体" w:eastAsia="宋体" w:hint="eastAsia"/>
                <w:sz w:val="21"/>
              </w:rPr>
              <w:t>、</w:t>
            </w:r>
            <w:r>
              <w:rPr>
                <w:sz w:val="21"/>
              </w:rPr>
              <w:t>3908.HK</w:t>
            </w:r>
            <w:r>
              <w:rPr>
                <w:rFonts w:ascii="宋体" w:hAnsi="宋体" w:eastAsia="宋体" w:hint="eastAsia"/>
                <w:sz w:val="21"/>
              </w:rPr>
              <w:t>）等</w:t>
            </w:r>
          </w:p>
        </w:tc>
      </w:tr>
      <w:tr>
        <w:trPr>
          <w:trHeight w:val="308" w:hRule="atLeast"/>
        </w:trPr>
        <w:tc>
          <w:tcPr>
            <w:tcW w:w="2235" w:type="dxa"/>
            <w:tcBorders>
              <w:top w:val="single" w:sz="4" w:space="0" w:color="000000"/>
              <w:right w:val="single" w:sz="4" w:space="0" w:color="000000"/>
            </w:tcBorders>
            <w:shd w:val="clear" w:color="auto" w:fill="EDEBE0"/>
          </w:tcPr>
          <w:p>
            <w:pPr>
              <w:pStyle w:val="TableParagraph"/>
              <w:spacing w:line="266" w:lineRule="exact" w:before="22"/>
              <w:ind w:left="107"/>
              <w:rPr>
                <w:rFonts w:ascii="宋体" w:eastAsia="宋体" w:hint="eastAsia"/>
                <w:sz w:val="21"/>
              </w:rPr>
            </w:pPr>
            <w:r>
              <w:rPr>
                <w:rFonts w:ascii="宋体" w:eastAsia="宋体" w:hint="eastAsia"/>
                <w:sz w:val="21"/>
              </w:rPr>
              <w:t>其他情况说明</w:t>
            </w:r>
          </w:p>
        </w:tc>
        <w:tc>
          <w:tcPr>
            <w:tcW w:w="6815" w:type="dxa"/>
            <w:tcBorders>
              <w:top w:val="single" w:sz="4" w:space="0" w:color="000000"/>
              <w:left w:val="single" w:sz="4" w:space="0" w:color="000000"/>
            </w:tcBorders>
          </w:tcPr>
          <w:p>
            <w:pPr>
              <w:pStyle w:val="TableParagraph"/>
              <w:spacing w:line="266" w:lineRule="exact" w:before="22"/>
              <w:ind w:left="117"/>
              <w:rPr>
                <w:rFonts w:ascii="宋体" w:eastAsia="宋体" w:hint="eastAsia"/>
                <w:sz w:val="21"/>
              </w:rPr>
            </w:pPr>
            <w:r>
              <w:rPr>
                <w:rFonts w:ascii="宋体" w:eastAsia="宋体" w:hint="eastAsia"/>
                <w:w w:val="100"/>
                <w:sz w:val="21"/>
              </w:rPr>
              <w:t>无</w:t>
            </w:r>
          </w:p>
        </w:tc>
      </w:tr>
    </w:tbl>
    <w:p>
      <w:pPr>
        <w:pStyle w:val="BodyText"/>
        <w:spacing w:before="8"/>
        <w:rPr>
          <w:sz w:val="31"/>
        </w:rPr>
      </w:pPr>
    </w:p>
    <w:p>
      <w:pPr>
        <w:pStyle w:val="Heading4"/>
        <w:numPr>
          <w:ilvl w:val="0"/>
          <w:numId w:val="23"/>
        </w:numPr>
        <w:tabs>
          <w:tab w:pos="662" w:val="left" w:leader="none"/>
          <w:tab w:pos="663" w:val="left" w:leader="none"/>
        </w:tabs>
        <w:spacing w:line="240" w:lineRule="auto" w:before="0" w:after="0"/>
        <w:ind w:left="662" w:right="0" w:hanging="425"/>
        <w:jc w:val="left"/>
      </w:pPr>
      <w:r>
        <w:rPr/>
        <w:t>自然人</w:t>
      </w:r>
    </w:p>
    <w:p>
      <w:pPr>
        <w:pStyle w:val="BodyText"/>
        <w:spacing w:before="8"/>
        <w:rPr>
          <w:rFonts w:ascii="Microsoft JhengHei"/>
          <w:b/>
          <w:sz w:val="11"/>
        </w:rPr>
      </w:pPr>
    </w:p>
    <w:p>
      <w:pPr>
        <w:pStyle w:val="BodyText"/>
        <w:spacing w:before="1"/>
        <w:ind w:left="662"/>
      </w:pPr>
      <w:r>
        <w:rPr>
          <w:rFonts w:ascii="Times New Roman" w:hAnsi="Times New Roman" w:eastAsia="Times New Roman"/>
        </w:rPr>
        <w:t>□</w:t>
      </w:r>
      <w:r>
        <w:rPr/>
        <w:t>适用 </w:t>
      </w:r>
      <w:r>
        <w:rPr>
          <w:rFonts w:ascii="Times New Roman" w:hAnsi="Times New Roman" w:eastAsia="Times New Roman"/>
        </w:rPr>
        <w:t>√</w:t>
      </w:r>
      <w:r>
        <w:rPr/>
        <w:t>不适用</w:t>
      </w:r>
    </w:p>
    <w:p>
      <w:pPr>
        <w:pStyle w:val="Heading4"/>
        <w:numPr>
          <w:ilvl w:val="0"/>
          <w:numId w:val="23"/>
        </w:numPr>
        <w:tabs>
          <w:tab w:pos="662" w:val="left" w:leader="none"/>
          <w:tab w:pos="663" w:val="left" w:leader="none"/>
        </w:tabs>
        <w:spacing w:line="240" w:lineRule="auto" w:before="189" w:after="0"/>
        <w:ind w:left="662" w:right="0" w:hanging="425"/>
        <w:jc w:val="left"/>
      </w:pPr>
      <w:r>
        <w:rPr>
          <w:spacing w:val="-2"/>
        </w:rPr>
        <w:t>公司不存在实际控制人情况的特别说明</w:t>
      </w:r>
    </w:p>
    <w:p>
      <w:pPr>
        <w:pStyle w:val="BodyText"/>
        <w:spacing w:before="9"/>
        <w:rPr>
          <w:rFonts w:ascii="Microsoft JhengHei"/>
          <w:b/>
          <w:sz w:val="11"/>
        </w:rPr>
      </w:pPr>
    </w:p>
    <w:p>
      <w:pPr>
        <w:pStyle w:val="BodyText"/>
        <w:tabs>
          <w:tab w:pos="1421" w:val="left" w:leader="none"/>
        </w:tabs>
        <w:ind w:left="662"/>
      </w:pPr>
      <w:r>
        <w:rPr>
          <w:rFonts w:ascii="Times New Roman" w:hAnsi="Times New Roman" w:eastAsia="Times New Roman"/>
        </w:rPr>
        <w:t>□</w:t>
      </w:r>
      <w:r>
        <w:rPr/>
        <w:t>适用</w:t>
        <w:tab/>
      </w:r>
      <w:r>
        <w:rPr>
          <w:rFonts w:ascii="Times New Roman" w:hAnsi="Times New Roman" w:eastAsia="Times New Roman"/>
        </w:rPr>
        <w:t>√</w:t>
      </w:r>
      <w:r>
        <w:rPr>
          <w:spacing w:val="-3"/>
        </w:rPr>
        <w:t>不</w:t>
      </w:r>
      <w:r>
        <w:rPr/>
        <w:t>适用</w:t>
      </w:r>
    </w:p>
    <w:p>
      <w:pPr>
        <w:spacing w:after="0"/>
        <w:sectPr>
          <w:headerReference w:type="default" r:id="rId63"/>
          <w:footerReference w:type="default" r:id="rId64"/>
          <w:pgSz w:w="11910" w:h="16840"/>
          <w:pgMar w:header="874" w:footer="1214" w:top="1500" w:bottom="1400" w:left="1560" w:right="460"/>
          <w:pgNumType w:start="1"/>
        </w:sectPr>
      </w:pPr>
    </w:p>
    <w:p>
      <w:pPr>
        <w:pStyle w:val="Heading4"/>
        <w:numPr>
          <w:ilvl w:val="0"/>
          <w:numId w:val="23"/>
        </w:numPr>
        <w:tabs>
          <w:tab w:pos="662" w:val="left" w:leader="none"/>
          <w:tab w:pos="663" w:val="left" w:leader="none"/>
        </w:tabs>
        <w:spacing w:line="240" w:lineRule="auto" w:before="40" w:after="0"/>
        <w:ind w:left="662" w:right="0" w:hanging="425"/>
        <w:jc w:val="left"/>
      </w:pPr>
      <w:r>
        <w:rPr>
          <w:spacing w:val="-2"/>
        </w:rPr>
        <w:t>报告期内实际控制人变更情况索引及日期</w:t>
      </w:r>
    </w:p>
    <w:p>
      <w:pPr>
        <w:pStyle w:val="BodyText"/>
        <w:spacing w:before="9"/>
        <w:rPr>
          <w:rFonts w:ascii="Microsoft JhengHei"/>
          <w:b/>
          <w:sz w:val="11"/>
        </w:rPr>
      </w:pPr>
    </w:p>
    <w:p>
      <w:pPr>
        <w:pStyle w:val="BodyText"/>
        <w:tabs>
          <w:tab w:pos="1421" w:val="left" w:leader="none"/>
        </w:tabs>
        <w:ind w:left="662"/>
      </w:pPr>
      <w:r>
        <w:rPr>
          <w:rFonts w:ascii="Times New Roman" w:hAnsi="Times New Roman" w:eastAsia="Times New Roman"/>
        </w:rPr>
        <w:t>□</w:t>
      </w:r>
      <w:r>
        <w:rPr/>
        <w:t>适用</w:t>
        <w:tab/>
      </w:r>
      <w:r>
        <w:rPr>
          <w:rFonts w:ascii="Times New Roman" w:hAnsi="Times New Roman" w:eastAsia="Times New Roman"/>
        </w:rPr>
        <w:t>√</w:t>
      </w:r>
      <w:r>
        <w:rPr>
          <w:spacing w:val="-3"/>
        </w:rPr>
        <w:t>不</w:t>
      </w:r>
      <w:r>
        <w:rPr/>
        <w:t>适用</w:t>
      </w:r>
    </w:p>
    <w:p>
      <w:pPr>
        <w:pStyle w:val="Heading4"/>
        <w:numPr>
          <w:ilvl w:val="0"/>
          <w:numId w:val="23"/>
        </w:numPr>
        <w:tabs>
          <w:tab w:pos="662" w:val="left" w:leader="none"/>
          <w:tab w:pos="663" w:val="left" w:leader="none"/>
        </w:tabs>
        <w:spacing w:line="240" w:lineRule="auto" w:before="190" w:after="0"/>
        <w:ind w:left="662" w:right="0" w:hanging="425"/>
        <w:jc w:val="left"/>
      </w:pPr>
      <w:r>
        <w:rPr>
          <w:spacing w:val="-3"/>
        </w:rPr>
        <w:t>公司与实际控制人之间的产权及控制关系的方框图</w:t>
      </w:r>
    </w:p>
    <w:p>
      <w:pPr>
        <w:pStyle w:val="BodyText"/>
        <w:spacing w:before="9"/>
        <w:rPr>
          <w:rFonts w:ascii="Microsoft JhengHei"/>
          <w:b/>
          <w:sz w:val="11"/>
        </w:rPr>
      </w:pPr>
    </w:p>
    <w:p>
      <w:pPr>
        <w:pStyle w:val="BodyText"/>
        <w:tabs>
          <w:tab w:pos="1505" w:val="left" w:leader="none"/>
        </w:tabs>
        <w:ind w:left="662"/>
      </w:pPr>
      <w:r>
        <w:rPr/>
        <w:drawing>
          <wp:anchor distT="0" distB="0" distL="0" distR="0" allowOverlap="1" layoutInCell="1" locked="0" behindDoc="0" simplePos="0" relativeHeight="3">
            <wp:simplePos x="0" y="0"/>
            <wp:positionH relativeFrom="page">
              <wp:posOffset>1141475</wp:posOffset>
            </wp:positionH>
            <wp:positionV relativeFrom="paragraph">
              <wp:posOffset>255016</wp:posOffset>
            </wp:positionV>
            <wp:extent cx="5581686" cy="2531745"/>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66" cstate="print"/>
                    <a:stretch>
                      <a:fillRect/>
                    </a:stretch>
                  </pic:blipFill>
                  <pic:spPr>
                    <a:xfrm>
                      <a:off x="0" y="0"/>
                      <a:ext cx="5581686" cy="2531745"/>
                    </a:xfrm>
                    <a:prstGeom prst="rect">
                      <a:avLst/>
                    </a:prstGeom>
                  </pic:spPr>
                </pic:pic>
              </a:graphicData>
            </a:graphic>
          </wp:anchor>
        </w:drawing>
      </w:r>
      <w:r>
        <w:rPr/>
        <w:t>√适用</w:t>
        <w:tab/>
      </w:r>
      <w:r>
        <w:rPr>
          <w:spacing w:val="-3"/>
        </w:rPr>
        <w:t>□</w:t>
      </w:r>
      <w:r>
        <w:rPr/>
        <w:t>不</w:t>
      </w:r>
      <w:r>
        <w:rPr>
          <w:spacing w:val="-3"/>
        </w:rPr>
        <w:t>适</w:t>
      </w:r>
      <w:r>
        <w:rPr/>
        <w:t>用</w:t>
      </w:r>
    </w:p>
    <w:p>
      <w:pPr>
        <w:pStyle w:val="BodyText"/>
        <w:rPr>
          <w:sz w:val="20"/>
        </w:rPr>
      </w:pPr>
    </w:p>
    <w:p>
      <w:pPr>
        <w:pStyle w:val="Heading4"/>
        <w:numPr>
          <w:ilvl w:val="0"/>
          <w:numId w:val="23"/>
        </w:numPr>
        <w:tabs>
          <w:tab w:pos="662" w:val="left" w:leader="none"/>
          <w:tab w:pos="663" w:val="left" w:leader="none"/>
        </w:tabs>
        <w:spacing w:line="240" w:lineRule="auto" w:before="153" w:after="0"/>
        <w:ind w:left="662" w:right="0" w:hanging="425"/>
        <w:jc w:val="left"/>
      </w:pPr>
      <w:r>
        <w:rPr>
          <w:spacing w:val="-3"/>
        </w:rPr>
        <w:t>实际控制人通过信托或其他资产管理方式控制公司</w:t>
      </w:r>
    </w:p>
    <w:p>
      <w:pPr>
        <w:pStyle w:val="BodyText"/>
        <w:spacing w:before="9"/>
        <w:rPr>
          <w:rFonts w:ascii="Microsoft JhengHei"/>
          <w:b/>
          <w:sz w:val="11"/>
        </w:rPr>
      </w:pPr>
    </w:p>
    <w:p>
      <w:pPr>
        <w:pStyle w:val="BodyText"/>
        <w:tabs>
          <w:tab w:pos="1421" w:val="left" w:leader="none"/>
        </w:tabs>
        <w:ind w:left="662"/>
      </w:pPr>
      <w:r>
        <w:rPr>
          <w:rFonts w:ascii="Times New Roman" w:hAnsi="Times New Roman" w:eastAsia="Times New Roman"/>
        </w:rPr>
        <w:t>□</w:t>
      </w:r>
      <w:r>
        <w:rPr/>
        <w:t>适用</w:t>
        <w:tab/>
      </w:r>
      <w:r>
        <w:rPr>
          <w:rFonts w:ascii="Times New Roman" w:hAnsi="Times New Roman" w:eastAsia="Times New Roman"/>
        </w:rPr>
        <w:t>√</w:t>
      </w:r>
      <w:r>
        <w:rPr>
          <w:spacing w:val="-3"/>
        </w:rPr>
        <w:t>不</w:t>
      </w:r>
      <w:r>
        <w:rPr/>
        <w:t>适用</w:t>
      </w:r>
    </w:p>
    <w:p>
      <w:pPr>
        <w:pStyle w:val="BodyText"/>
        <w:rPr>
          <w:sz w:val="22"/>
        </w:rPr>
      </w:pPr>
    </w:p>
    <w:p>
      <w:pPr>
        <w:pStyle w:val="Heading4"/>
        <w:spacing w:before="143"/>
        <w:ind w:left="238"/>
      </w:pPr>
      <w:r>
        <w:rPr>
          <w:rFonts w:ascii="Times New Roman" w:eastAsia="Times New Roman"/>
        </w:rPr>
        <w:t>(</w:t>
      </w:r>
      <w:r>
        <w:rPr/>
        <w:t>三</w:t>
      </w:r>
      <w:r>
        <w:rPr>
          <w:rFonts w:ascii="Times New Roman" w:eastAsia="Times New Roman"/>
        </w:rPr>
        <w:t>) </w:t>
      </w:r>
      <w:r>
        <w:rPr/>
        <w:t>控股股东及实际控制人其他情况介绍</w:t>
      </w:r>
    </w:p>
    <w:p>
      <w:pPr>
        <w:pStyle w:val="BodyText"/>
        <w:tabs>
          <w:tab w:pos="1505" w:val="left" w:leader="none"/>
        </w:tabs>
        <w:spacing w:before="56"/>
        <w:ind w:left="662"/>
      </w:pPr>
      <w:r>
        <w:rPr/>
        <w:t>√适用</w:t>
        <w:tab/>
      </w:r>
      <w:r>
        <w:rPr>
          <w:spacing w:val="-3"/>
        </w:rPr>
        <w:t>□</w:t>
      </w:r>
      <w:r>
        <w:rPr/>
        <w:t>不</w:t>
      </w:r>
      <w:r>
        <w:rPr>
          <w:spacing w:val="-3"/>
        </w:rPr>
        <w:t>适</w:t>
      </w:r>
      <w:r>
        <w:rPr/>
        <w:t>用</w:t>
      </w:r>
    </w:p>
    <w:p>
      <w:pPr>
        <w:pStyle w:val="BodyText"/>
        <w:spacing w:line="417" w:lineRule="auto" w:before="119"/>
        <w:ind w:left="238" w:right="810" w:firstLine="424"/>
      </w:pPr>
      <w:r>
        <w:rPr>
          <w:spacing w:val="-11"/>
        </w:rPr>
        <w:t>海尔集团公司工商登记为股份制企业，根据青岛市国有资产管理办公室 </w:t>
      </w:r>
      <w:r>
        <w:rPr>
          <w:rFonts w:ascii="Times New Roman" w:eastAsia="Times New Roman"/>
        </w:rPr>
        <w:t>2002 </w:t>
      </w:r>
      <w:r>
        <w:rPr>
          <w:spacing w:val="-23"/>
        </w:rPr>
        <w:t>年 </w:t>
      </w:r>
      <w:r>
        <w:rPr>
          <w:rFonts w:ascii="Times New Roman" w:eastAsia="Times New Roman"/>
        </w:rPr>
        <w:t>6 </w:t>
      </w:r>
      <w:r>
        <w:rPr>
          <w:spacing w:val="-23"/>
        </w:rPr>
        <w:t>月 </w:t>
      </w:r>
      <w:r>
        <w:rPr>
          <w:rFonts w:ascii="Times New Roman" w:eastAsia="Times New Roman"/>
        </w:rPr>
        <w:t>1 </w:t>
      </w:r>
      <w:r>
        <w:rPr>
          <w:spacing w:val="-3"/>
        </w:rPr>
        <w:t>日出具的说明，认定海尔集团公司企业性质为集体所有制企业。</w:t>
      </w:r>
    </w:p>
    <w:p>
      <w:pPr>
        <w:pStyle w:val="BodyText"/>
        <w:rPr>
          <w:sz w:val="20"/>
        </w:rPr>
      </w:pPr>
    </w:p>
    <w:p>
      <w:pPr>
        <w:pStyle w:val="BodyText"/>
        <w:spacing w:before="10"/>
        <w:rPr>
          <w:sz w:val="15"/>
        </w:rPr>
      </w:pPr>
    </w:p>
    <w:p>
      <w:pPr>
        <w:pStyle w:val="Heading4"/>
        <w:ind w:left="238"/>
      </w:pPr>
      <w:r>
        <w:rPr/>
        <w:t>五、 其他持股在百分之十以上的法人股东</w:t>
      </w:r>
    </w:p>
    <w:p>
      <w:pPr>
        <w:pStyle w:val="BodyText"/>
        <w:spacing w:before="9"/>
        <w:rPr>
          <w:rFonts w:ascii="Microsoft JhengHei"/>
          <w:b/>
          <w:sz w:val="11"/>
        </w:rPr>
      </w:pPr>
    </w:p>
    <w:p>
      <w:pPr>
        <w:pStyle w:val="BodyText"/>
        <w:ind w:left="662"/>
      </w:pPr>
      <w:r>
        <w:rPr>
          <w:rFonts w:ascii="Times New Roman" w:hAnsi="Times New Roman" w:eastAsia="Times New Roman"/>
        </w:rPr>
        <w:t>□</w:t>
      </w:r>
      <w:r>
        <w:rPr/>
        <w:t>适用 </w:t>
      </w:r>
      <w:r>
        <w:rPr>
          <w:rFonts w:ascii="Times New Roman" w:hAnsi="Times New Roman" w:eastAsia="Times New Roman"/>
        </w:rPr>
        <w:t>√</w:t>
      </w:r>
      <w:r>
        <w:rPr/>
        <w:t>不适用</w:t>
      </w:r>
    </w:p>
    <w:p>
      <w:pPr>
        <w:pStyle w:val="Heading4"/>
        <w:spacing w:before="190"/>
        <w:ind w:left="238"/>
      </w:pPr>
      <w:r>
        <w:rPr/>
        <w:t>六、 股份限制减持情况说明</w:t>
      </w:r>
    </w:p>
    <w:p>
      <w:pPr>
        <w:pStyle w:val="BodyText"/>
        <w:spacing w:before="9"/>
        <w:rPr>
          <w:rFonts w:ascii="Microsoft JhengHei"/>
          <w:b/>
          <w:sz w:val="11"/>
        </w:rPr>
      </w:pPr>
    </w:p>
    <w:p>
      <w:pPr>
        <w:pStyle w:val="BodyText"/>
        <w:ind w:left="662"/>
      </w:pPr>
      <w:r>
        <w:rPr/>
        <w:t>√适用 □不适用</w:t>
      </w:r>
    </w:p>
    <w:p>
      <w:pPr>
        <w:pStyle w:val="BodyText"/>
        <w:spacing w:before="7"/>
        <w:rPr>
          <w:sz w:val="15"/>
        </w:rPr>
      </w:pPr>
    </w:p>
    <w:p>
      <w:pPr>
        <w:pStyle w:val="BodyText"/>
        <w:ind w:left="662"/>
      </w:pPr>
      <w:r>
        <w:rPr/>
        <w:t>本公司</w:t>
      </w:r>
      <w:r>
        <w:rPr>
          <w:rFonts w:ascii="Times New Roman" w:hAnsi="Times New Roman" w:eastAsia="Times New Roman"/>
        </w:rPr>
        <w:t>H </w:t>
      </w:r>
      <w:r>
        <w:rPr/>
        <w:t>股股东</w:t>
      </w:r>
      <w:r>
        <w:rPr>
          <w:rFonts w:ascii="Times New Roman" w:hAnsi="Times New Roman" w:eastAsia="Times New Roman"/>
        </w:rPr>
        <w:t>HCH (HK) INVESTMENT MANAGEMENT CO., LIMITED</w:t>
      </w:r>
      <w:r>
        <w:rPr/>
        <w:t>（简称“</w:t>
      </w:r>
      <w:r>
        <w:rPr>
          <w:rFonts w:ascii="Times New Roman" w:hAnsi="Times New Roman" w:eastAsia="Times New Roman"/>
        </w:rPr>
        <w:t>HCH</w:t>
      </w:r>
      <w:r>
        <w:rPr/>
        <w:t>”）</w:t>
      </w:r>
    </w:p>
    <w:p>
      <w:pPr>
        <w:pStyle w:val="BodyText"/>
        <w:spacing w:line="460" w:lineRule="atLeast" w:before="8"/>
        <w:ind w:left="238" w:right="808"/>
        <w:jc w:val="both"/>
      </w:pPr>
      <w:r>
        <w:rPr/>
        <w:t>承诺，</w:t>
      </w:r>
      <w:r>
        <w:rPr>
          <w:rFonts w:ascii="Times New Roman" w:hAnsi="Times New Roman" w:eastAsia="Times New Roman"/>
        </w:rPr>
        <w:t>“</w:t>
      </w:r>
      <w:r>
        <w:rPr>
          <w:spacing w:val="-3"/>
        </w:rPr>
        <w:t>自本次交易</w:t>
      </w:r>
      <w:r>
        <w:rPr/>
        <w:t>（</w:t>
      </w:r>
      <w:r>
        <w:rPr>
          <w:spacing w:val="5"/>
        </w:rPr>
        <w:t>指本公司发行</w:t>
      </w:r>
      <w:r>
        <w:rPr>
          <w:rFonts w:ascii="Times New Roman" w:hAnsi="Times New Roman" w:eastAsia="Times New Roman"/>
        </w:rPr>
        <w:t>H </w:t>
      </w:r>
      <w:r>
        <w:rPr>
          <w:spacing w:val="-3"/>
        </w:rPr>
        <w:t>股私有化海尔电器相关交易，下同</w:t>
      </w:r>
      <w:r>
        <w:rPr/>
        <w:t>）</w:t>
      </w:r>
      <w:r>
        <w:rPr>
          <w:spacing w:val="4"/>
        </w:rPr>
        <w:t>涉及的海尔智家</w:t>
      </w:r>
      <w:r>
        <w:rPr>
          <w:rFonts w:ascii="Times New Roman" w:hAnsi="Times New Roman" w:eastAsia="Times New Roman"/>
        </w:rPr>
        <w:t>H </w:t>
      </w:r>
      <w:r>
        <w:rPr/>
        <w:t>股</w:t>
      </w:r>
      <w:r>
        <w:rPr>
          <w:spacing w:val="-1"/>
        </w:rPr>
        <w:t>上市文件披露本公司持股情况当日起至海尔智家</w:t>
      </w:r>
      <w:r>
        <w:rPr>
          <w:rFonts w:ascii="Times New Roman" w:hAnsi="Times New Roman" w:eastAsia="Times New Roman"/>
        </w:rPr>
        <w:t>H </w:t>
      </w:r>
      <w:r>
        <w:rPr>
          <w:spacing w:val="-6"/>
        </w:rPr>
        <w:t>股股票在香港联合交易所买卖之日起的 </w:t>
      </w:r>
      <w:r>
        <w:rPr>
          <w:rFonts w:ascii="Times New Roman" w:hAnsi="Times New Roman" w:eastAsia="Times New Roman"/>
        </w:rPr>
        <w:t>6 </w:t>
      </w:r>
      <w:r>
        <w:rPr>
          <w:spacing w:val="-3"/>
        </w:rPr>
        <w:t>个月内，本公司不出售本公司通过本次交易取得的海尔智家</w:t>
      </w:r>
      <w:r>
        <w:rPr>
          <w:rFonts w:ascii="Times New Roman" w:hAnsi="Times New Roman" w:eastAsia="Times New Roman"/>
        </w:rPr>
        <w:t>H </w:t>
      </w:r>
      <w:r>
        <w:rPr>
          <w:spacing w:val="-6"/>
        </w:rPr>
        <w:t>股股份，或订立任何出售该等股份的协</w:t>
      </w:r>
    </w:p>
    <w:p>
      <w:pPr>
        <w:spacing w:after="0" w:line="460" w:lineRule="atLeast"/>
        <w:jc w:val="both"/>
        <w:sectPr>
          <w:pgSz w:w="11910" w:h="16840"/>
          <w:pgMar w:header="874" w:footer="1214" w:top="1500" w:bottom="1400" w:left="1560" w:right="460"/>
        </w:sectPr>
      </w:pPr>
    </w:p>
    <w:p>
      <w:pPr>
        <w:pStyle w:val="BodyText"/>
        <w:spacing w:line="417" w:lineRule="auto" w:before="110"/>
        <w:ind w:left="238" w:right="807"/>
        <w:jc w:val="both"/>
      </w:pPr>
      <w:r>
        <w:rPr>
          <w:spacing w:val="-4"/>
        </w:rPr>
        <w:t>议，或就该等股份设立任何选择权、权利、利益或产权负担；此外，在前述 </w:t>
      </w:r>
      <w:r>
        <w:rPr>
          <w:rFonts w:ascii="Times New Roman" w:hAnsi="Times New Roman" w:eastAsia="Times New Roman"/>
        </w:rPr>
        <w:t>6 </w:t>
      </w:r>
      <w:r>
        <w:rPr>
          <w:spacing w:val="-3"/>
        </w:rPr>
        <w:t>个月期限届满后的</w:t>
      </w:r>
      <w:r>
        <w:rPr>
          <w:rFonts w:ascii="Times New Roman" w:hAnsi="Times New Roman" w:eastAsia="Times New Roman"/>
          <w:spacing w:val="-3"/>
        </w:rPr>
        <w:t>6</w:t>
      </w:r>
      <w:r>
        <w:rPr>
          <w:rFonts w:ascii="Times New Roman" w:hAnsi="Times New Roman" w:eastAsia="Times New Roman"/>
          <w:spacing w:val="18"/>
        </w:rPr>
        <w:t> </w:t>
      </w:r>
      <w:r>
        <w:rPr>
          <w:spacing w:val="1"/>
        </w:rPr>
        <w:t>个月内，本公司出售海尔智家</w:t>
      </w:r>
      <w:r>
        <w:rPr>
          <w:rFonts w:ascii="Times New Roman" w:hAnsi="Times New Roman" w:eastAsia="Times New Roman"/>
        </w:rPr>
        <w:t>H </w:t>
      </w:r>
      <w:r>
        <w:rPr>
          <w:spacing w:val="-3"/>
        </w:rPr>
        <w:t>股股份、订立任何出售该等股份的协议，或就该等股份行使或执行有关选择权、权利、利益或产权负担，将不得导致海尔集团公司及其一致行动人失去海尔智家控股股东地位</w:t>
      </w:r>
      <w:r>
        <w:rPr>
          <w:rFonts w:ascii="Times New Roman" w:hAnsi="Times New Roman" w:eastAsia="Times New Roman"/>
        </w:rPr>
        <w:t>”</w:t>
      </w:r>
      <w:r>
        <w:rPr>
          <w:spacing w:val="8"/>
        </w:rPr>
        <w:t>。本公司</w:t>
      </w:r>
      <w:r>
        <w:rPr>
          <w:rFonts w:ascii="Times New Roman" w:hAnsi="Times New Roman" w:eastAsia="Times New Roman"/>
        </w:rPr>
        <w:t>H </w:t>
      </w:r>
      <w:r>
        <w:rPr>
          <w:spacing w:val="-14"/>
        </w:rPr>
        <w:t>股已于 </w:t>
      </w:r>
      <w:r>
        <w:rPr>
          <w:rFonts w:ascii="Times New Roman" w:hAnsi="Times New Roman" w:eastAsia="Times New Roman"/>
        </w:rPr>
        <w:t>2020 </w:t>
      </w:r>
      <w:r>
        <w:rPr>
          <w:spacing w:val="-25"/>
        </w:rPr>
        <w:t>年 </w:t>
      </w:r>
      <w:r>
        <w:rPr>
          <w:rFonts w:ascii="Times New Roman" w:hAnsi="Times New Roman" w:eastAsia="Times New Roman"/>
        </w:rPr>
        <w:t>12 </w:t>
      </w:r>
      <w:r>
        <w:rPr>
          <w:spacing w:val="-25"/>
        </w:rPr>
        <w:t>月 </w:t>
      </w:r>
      <w:r>
        <w:rPr>
          <w:rFonts w:ascii="Times New Roman" w:hAnsi="Times New Roman" w:eastAsia="Times New Roman"/>
        </w:rPr>
        <w:t>23 </w:t>
      </w:r>
      <w:r>
        <w:rPr>
          <w:spacing w:val="-5"/>
        </w:rPr>
        <w:t>日上市，前述承诺目前尚在承诺期内。报告期内，</w:t>
      </w:r>
      <w:r>
        <w:rPr>
          <w:rFonts w:ascii="Times New Roman" w:hAnsi="Times New Roman" w:eastAsia="Times New Roman"/>
          <w:spacing w:val="-5"/>
        </w:rPr>
        <w:t>HCH </w:t>
      </w:r>
      <w:r>
        <w:rPr>
          <w:spacing w:val="-3"/>
        </w:rPr>
        <w:t>严格履行了该承诺。</w:t>
      </w:r>
    </w:p>
    <w:p>
      <w:pPr>
        <w:spacing w:after="0" w:line="417" w:lineRule="auto"/>
        <w:jc w:val="both"/>
        <w:sectPr>
          <w:pgSz w:w="11910" w:h="16840"/>
          <w:pgMar w:header="874" w:footer="1214" w:top="1500" w:bottom="1400" w:left="1560" w:right="460"/>
        </w:sectPr>
      </w:pPr>
    </w:p>
    <w:p>
      <w:pPr>
        <w:pStyle w:val="BodyText"/>
        <w:rPr>
          <w:sz w:val="20"/>
        </w:rPr>
      </w:pPr>
    </w:p>
    <w:p>
      <w:pPr>
        <w:pStyle w:val="BodyText"/>
        <w:spacing w:before="5"/>
        <w:rPr>
          <w:sz w:val="15"/>
        </w:rPr>
      </w:pPr>
    </w:p>
    <w:p>
      <w:pPr>
        <w:pStyle w:val="Heading1"/>
        <w:tabs>
          <w:tab w:pos="4299" w:val="left" w:leader="none"/>
        </w:tabs>
        <w:ind w:left="3039"/>
        <w:jc w:val="left"/>
      </w:pPr>
      <w:bookmarkStart w:name="_bookmark7" w:id="10"/>
      <w:bookmarkEnd w:id="10"/>
      <w:r>
        <w:rPr>
          <w:b w:val="0"/>
        </w:rPr>
      </w:r>
      <w:r>
        <w:rPr/>
        <w:t>第七节</w:t>
        <w:tab/>
        <w:t>优先股相关情况</w:t>
      </w:r>
    </w:p>
    <w:p>
      <w:pPr>
        <w:pStyle w:val="BodyText"/>
        <w:spacing w:before="151"/>
        <w:ind w:left="238"/>
      </w:pPr>
      <w:r>
        <w:rPr>
          <w:rFonts w:ascii="Times New Roman" w:hAnsi="Times New Roman" w:eastAsia="Times New Roman"/>
        </w:rPr>
        <w:t>□</w:t>
      </w:r>
      <w:r>
        <w:rPr/>
        <w:t>适用 </w:t>
      </w:r>
      <w:r>
        <w:rPr>
          <w:rFonts w:ascii="Times New Roman" w:hAnsi="Times New Roman" w:eastAsia="Times New Roman"/>
        </w:rPr>
        <w:t>√</w:t>
      </w:r>
      <w:r>
        <w:rPr/>
        <w:t>不适用</w:t>
      </w:r>
    </w:p>
    <w:p>
      <w:pPr>
        <w:spacing w:after="0"/>
        <w:sectPr>
          <w:pgSz w:w="11910" w:h="16840"/>
          <w:pgMar w:header="874" w:footer="1214" w:top="1500" w:bottom="1400" w:left="1560" w:right="460"/>
        </w:sectPr>
      </w:pPr>
    </w:p>
    <w:p>
      <w:pPr>
        <w:pStyle w:val="Heading1"/>
        <w:tabs>
          <w:tab w:pos="1259" w:val="left" w:leader="none"/>
        </w:tabs>
        <w:spacing w:line="240" w:lineRule="auto" w:before="2"/>
        <w:ind w:right="34"/>
      </w:pPr>
      <w:bookmarkStart w:name="_bookmark8" w:id="11"/>
      <w:bookmarkEnd w:id="11"/>
      <w:r>
        <w:rPr>
          <w:b w:val="0"/>
        </w:rPr>
      </w:r>
      <w:r>
        <w:rPr/>
        <w:t>第八节</w:t>
        <w:tab/>
        <w:t>董事、监事、高级管理人员和员工情况</w:t>
      </w:r>
    </w:p>
    <w:p>
      <w:pPr>
        <w:pStyle w:val="BodyText"/>
        <w:spacing w:before="3"/>
        <w:rPr>
          <w:rFonts w:ascii="Microsoft JhengHei"/>
          <w:b/>
          <w:sz w:val="6"/>
        </w:rPr>
      </w:pPr>
    </w:p>
    <w:p>
      <w:pPr>
        <w:pStyle w:val="Heading4"/>
        <w:spacing w:line="359" w:lineRule="exact" w:before="3"/>
        <w:ind w:left="224"/>
      </w:pPr>
      <w:r>
        <w:rPr/>
        <w:t>一、持股变动情况及报酬情况</w:t>
      </w:r>
    </w:p>
    <w:p>
      <w:pPr>
        <w:pStyle w:val="Heading4"/>
        <w:spacing w:line="359" w:lineRule="exact"/>
        <w:ind w:left="224"/>
      </w:pPr>
      <w:r>
        <w:rPr>
          <w:rFonts w:ascii="Times New Roman" w:eastAsia="Times New Roman"/>
        </w:rPr>
        <w:t>(</w:t>
      </w:r>
      <w:r>
        <w:rPr/>
        <w:t>一</w:t>
      </w:r>
      <w:r>
        <w:rPr>
          <w:rFonts w:ascii="Times New Roman" w:eastAsia="Times New Roman"/>
        </w:rPr>
        <w:t>) </w:t>
      </w:r>
      <w:r>
        <w:rPr/>
        <w:t>现任及报告期内离任董事、监事和高级管理人员持股变动及报酬情况</w:t>
      </w:r>
    </w:p>
    <w:p>
      <w:pPr>
        <w:pStyle w:val="BodyText"/>
        <w:spacing w:before="16"/>
        <w:ind w:left="649"/>
      </w:pPr>
      <w:r>
        <w:rPr>
          <w:rFonts w:ascii="Times New Roman" w:hAnsi="Times New Roman" w:eastAsia="Times New Roman"/>
        </w:rPr>
        <w:t>√</w:t>
      </w:r>
      <w:r>
        <w:rPr/>
        <w:t>适用 </w:t>
      </w:r>
      <w:r>
        <w:rPr>
          <w:rFonts w:ascii="Times New Roman" w:hAnsi="Times New Roman" w:eastAsia="Times New Roman"/>
        </w:rPr>
        <w:t>□</w:t>
      </w:r>
      <w:r>
        <w:rPr/>
        <w:t>不适用</w:t>
      </w:r>
    </w:p>
    <w:p>
      <w:pPr>
        <w:pStyle w:val="BodyText"/>
        <w:spacing w:before="3" w:after="3"/>
        <w:ind w:left="13258"/>
      </w:pPr>
      <w:r>
        <w:rPr/>
        <w:t>单位：股</w:t>
      </w:r>
    </w:p>
    <w:tbl>
      <w:tblPr>
        <w:tblW w:w="0" w:type="auto"/>
        <w:jc w:val="left"/>
        <w:tblInd w:w="1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44"/>
        <w:gridCol w:w="1144"/>
        <w:gridCol w:w="839"/>
        <w:gridCol w:w="839"/>
        <w:gridCol w:w="1195"/>
        <w:gridCol w:w="1197"/>
        <w:gridCol w:w="1265"/>
        <w:gridCol w:w="1267"/>
        <w:gridCol w:w="1344"/>
        <w:gridCol w:w="1167"/>
        <w:gridCol w:w="1385"/>
        <w:gridCol w:w="1407"/>
      </w:tblGrid>
      <w:tr>
        <w:trPr>
          <w:trHeight w:val="1089" w:hRule="atLeast"/>
        </w:trPr>
        <w:tc>
          <w:tcPr>
            <w:tcW w:w="1044" w:type="dxa"/>
            <w:tcBorders>
              <w:bottom w:val="single" w:sz="4" w:space="0" w:color="000000"/>
              <w:right w:val="single" w:sz="4" w:space="0" w:color="000000"/>
            </w:tcBorders>
            <w:shd w:val="clear" w:color="auto" w:fill="EDEBE0"/>
          </w:tcPr>
          <w:p>
            <w:pPr>
              <w:pStyle w:val="TableParagraph"/>
              <w:rPr>
                <w:rFonts w:ascii="宋体"/>
                <w:sz w:val="20"/>
              </w:rPr>
            </w:pPr>
          </w:p>
          <w:p>
            <w:pPr>
              <w:pStyle w:val="TableParagraph"/>
              <w:spacing w:before="152"/>
              <w:ind w:left="187" w:right="166"/>
              <w:jc w:val="center"/>
              <w:rPr>
                <w:rFonts w:ascii="宋体" w:eastAsia="宋体" w:hint="eastAsia"/>
                <w:sz w:val="21"/>
              </w:rPr>
            </w:pPr>
            <w:r>
              <w:rPr>
                <w:rFonts w:ascii="宋体" w:eastAsia="宋体" w:hint="eastAsia"/>
                <w:sz w:val="21"/>
              </w:rPr>
              <w:t>姓名</w:t>
            </w:r>
          </w:p>
        </w:tc>
        <w:tc>
          <w:tcPr>
            <w:tcW w:w="1144" w:type="dxa"/>
            <w:tcBorders>
              <w:left w:val="single" w:sz="4" w:space="0" w:color="000000"/>
              <w:bottom w:val="single" w:sz="4" w:space="0" w:color="000000"/>
              <w:right w:val="single" w:sz="4" w:space="0" w:color="000000"/>
            </w:tcBorders>
            <w:shd w:val="clear" w:color="auto" w:fill="EDEBE0"/>
          </w:tcPr>
          <w:p>
            <w:pPr>
              <w:pStyle w:val="TableParagraph"/>
              <w:spacing w:before="11"/>
              <w:rPr>
                <w:rFonts w:ascii="宋体"/>
                <w:sz w:val="31"/>
              </w:rPr>
            </w:pPr>
          </w:p>
          <w:p>
            <w:pPr>
              <w:pStyle w:val="TableParagraph"/>
              <w:ind w:left="196"/>
              <w:rPr>
                <w:sz w:val="21"/>
              </w:rPr>
            </w:pPr>
            <w:r>
              <w:rPr>
                <w:rFonts w:ascii="宋体" w:eastAsia="宋体" w:hint="eastAsia"/>
                <w:sz w:val="21"/>
              </w:rPr>
              <w:t>职务</w:t>
            </w:r>
            <w:r>
              <w:rPr>
                <w:sz w:val="21"/>
              </w:rPr>
              <w:t>(</w:t>
            </w:r>
            <w:r>
              <w:rPr>
                <w:rFonts w:ascii="宋体" w:eastAsia="宋体" w:hint="eastAsia"/>
                <w:sz w:val="21"/>
              </w:rPr>
              <w:t>注</w:t>
            </w:r>
            <w:r>
              <w:rPr>
                <w:sz w:val="21"/>
              </w:rPr>
              <w:t>)</w:t>
            </w:r>
          </w:p>
        </w:tc>
        <w:tc>
          <w:tcPr>
            <w:tcW w:w="839" w:type="dxa"/>
            <w:tcBorders>
              <w:left w:val="single" w:sz="4" w:space="0" w:color="000000"/>
              <w:bottom w:val="single" w:sz="4" w:space="0" w:color="000000"/>
              <w:right w:val="single" w:sz="4" w:space="0" w:color="000000"/>
            </w:tcBorders>
            <w:shd w:val="clear" w:color="auto" w:fill="EDEBE0"/>
          </w:tcPr>
          <w:p>
            <w:pPr>
              <w:pStyle w:val="TableParagraph"/>
              <w:rPr>
                <w:rFonts w:ascii="宋体"/>
                <w:sz w:val="20"/>
              </w:rPr>
            </w:pPr>
          </w:p>
          <w:p>
            <w:pPr>
              <w:pStyle w:val="TableParagraph"/>
              <w:spacing w:before="152"/>
              <w:ind w:left="199" w:right="167"/>
              <w:jc w:val="center"/>
              <w:rPr>
                <w:rFonts w:ascii="宋体" w:eastAsia="宋体" w:hint="eastAsia"/>
                <w:sz w:val="21"/>
              </w:rPr>
            </w:pPr>
            <w:r>
              <w:rPr>
                <w:rFonts w:ascii="宋体" w:eastAsia="宋体" w:hint="eastAsia"/>
                <w:sz w:val="21"/>
              </w:rPr>
              <w:t>性别</w:t>
            </w:r>
          </w:p>
        </w:tc>
        <w:tc>
          <w:tcPr>
            <w:tcW w:w="839" w:type="dxa"/>
            <w:tcBorders>
              <w:left w:val="single" w:sz="4" w:space="0" w:color="000000"/>
              <w:bottom w:val="single" w:sz="4" w:space="0" w:color="000000"/>
              <w:right w:val="single" w:sz="4" w:space="0" w:color="000000"/>
            </w:tcBorders>
            <w:shd w:val="clear" w:color="auto" w:fill="EDEBE0"/>
          </w:tcPr>
          <w:p>
            <w:pPr>
              <w:pStyle w:val="TableParagraph"/>
              <w:rPr>
                <w:rFonts w:ascii="宋体"/>
                <w:sz w:val="20"/>
              </w:rPr>
            </w:pPr>
          </w:p>
          <w:p>
            <w:pPr>
              <w:pStyle w:val="TableParagraph"/>
              <w:spacing w:before="152"/>
              <w:ind w:left="200" w:right="166"/>
              <w:jc w:val="center"/>
              <w:rPr>
                <w:rFonts w:ascii="宋体" w:eastAsia="宋体" w:hint="eastAsia"/>
                <w:sz w:val="21"/>
              </w:rPr>
            </w:pPr>
            <w:r>
              <w:rPr>
                <w:rFonts w:ascii="宋体" w:eastAsia="宋体" w:hint="eastAsia"/>
                <w:sz w:val="21"/>
              </w:rPr>
              <w:t>年龄</w:t>
            </w:r>
          </w:p>
        </w:tc>
        <w:tc>
          <w:tcPr>
            <w:tcW w:w="1195" w:type="dxa"/>
            <w:tcBorders>
              <w:left w:val="single" w:sz="4" w:space="0" w:color="000000"/>
              <w:bottom w:val="single" w:sz="4" w:space="0" w:color="000000"/>
              <w:right w:val="single" w:sz="4" w:space="0" w:color="000000"/>
            </w:tcBorders>
            <w:shd w:val="clear" w:color="auto" w:fill="EDEBE0"/>
          </w:tcPr>
          <w:p>
            <w:pPr>
              <w:pStyle w:val="TableParagraph"/>
              <w:spacing w:before="5"/>
              <w:rPr>
                <w:rFonts w:ascii="宋体"/>
                <w:sz w:val="21"/>
              </w:rPr>
            </w:pPr>
          </w:p>
          <w:p>
            <w:pPr>
              <w:pStyle w:val="TableParagraph"/>
              <w:spacing w:line="242" w:lineRule="auto"/>
              <w:ind w:left="402" w:right="149" w:hanging="212"/>
              <w:rPr>
                <w:rFonts w:ascii="宋体" w:eastAsia="宋体" w:hint="eastAsia"/>
                <w:sz w:val="21"/>
              </w:rPr>
            </w:pPr>
            <w:r>
              <w:rPr>
                <w:rFonts w:ascii="宋体" w:eastAsia="宋体" w:hint="eastAsia"/>
                <w:sz w:val="21"/>
              </w:rPr>
              <w:t>任期起始日期</w:t>
            </w:r>
          </w:p>
        </w:tc>
        <w:tc>
          <w:tcPr>
            <w:tcW w:w="1197" w:type="dxa"/>
            <w:tcBorders>
              <w:left w:val="single" w:sz="4" w:space="0" w:color="000000"/>
              <w:bottom w:val="single" w:sz="4" w:space="0" w:color="000000"/>
              <w:right w:val="single" w:sz="4" w:space="0" w:color="000000"/>
            </w:tcBorders>
            <w:shd w:val="clear" w:color="auto" w:fill="EDEBE0"/>
          </w:tcPr>
          <w:p>
            <w:pPr>
              <w:pStyle w:val="TableParagraph"/>
              <w:spacing w:before="5"/>
              <w:rPr>
                <w:rFonts w:ascii="宋体"/>
                <w:sz w:val="21"/>
              </w:rPr>
            </w:pPr>
          </w:p>
          <w:p>
            <w:pPr>
              <w:pStyle w:val="TableParagraph"/>
              <w:spacing w:line="242" w:lineRule="auto"/>
              <w:ind w:left="402" w:right="149" w:hanging="209"/>
              <w:rPr>
                <w:rFonts w:ascii="宋体" w:eastAsia="宋体" w:hint="eastAsia"/>
                <w:sz w:val="21"/>
              </w:rPr>
            </w:pPr>
            <w:r>
              <w:rPr>
                <w:rFonts w:ascii="宋体" w:eastAsia="宋体" w:hint="eastAsia"/>
                <w:sz w:val="21"/>
              </w:rPr>
              <w:t>任期终止日期</w:t>
            </w:r>
          </w:p>
        </w:tc>
        <w:tc>
          <w:tcPr>
            <w:tcW w:w="1265" w:type="dxa"/>
            <w:tcBorders>
              <w:left w:val="single" w:sz="4" w:space="0" w:color="000000"/>
              <w:bottom w:val="single" w:sz="4" w:space="0" w:color="000000"/>
              <w:right w:val="single" w:sz="4" w:space="0" w:color="000000"/>
            </w:tcBorders>
            <w:shd w:val="clear" w:color="auto" w:fill="EDEBE0"/>
          </w:tcPr>
          <w:p>
            <w:pPr>
              <w:pStyle w:val="TableParagraph"/>
              <w:rPr>
                <w:rFonts w:ascii="宋体"/>
                <w:sz w:val="20"/>
              </w:rPr>
            </w:pPr>
          </w:p>
          <w:p>
            <w:pPr>
              <w:pStyle w:val="TableParagraph"/>
              <w:spacing w:before="152"/>
              <w:ind w:right="77"/>
              <w:jc w:val="right"/>
              <w:rPr>
                <w:rFonts w:ascii="宋体" w:eastAsia="宋体" w:hint="eastAsia"/>
                <w:sz w:val="21"/>
              </w:rPr>
            </w:pPr>
            <w:r>
              <w:rPr>
                <w:rFonts w:ascii="宋体" w:eastAsia="宋体" w:hint="eastAsia"/>
                <w:sz w:val="21"/>
              </w:rPr>
              <w:t>年初持股数</w:t>
            </w:r>
          </w:p>
        </w:tc>
        <w:tc>
          <w:tcPr>
            <w:tcW w:w="1267" w:type="dxa"/>
            <w:tcBorders>
              <w:left w:val="single" w:sz="4" w:space="0" w:color="000000"/>
              <w:bottom w:val="single" w:sz="4" w:space="0" w:color="000000"/>
              <w:right w:val="single" w:sz="4" w:space="0" w:color="000000"/>
            </w:tcBorders>
            <w:shd w:val="clear" w:color="auto" w:fill="EDEBE0"/>
          </w:tcPr>
          <w:p>
            <w:pPr>
              <w:pStyle w:val="TableParagraph"/>
              <w:rPr>
                <w:rFonts w:ascii="宋体"/>
                <w:sz w:val="20"/>
              </w:rPr>
            </w:pPr>
          </w:p>
          <w:p>
            <w:pPr>
              <w:pStyle w:val="TableParagraph"/>
              <w:spacing w:before="152"/>
              <w:ind w:right="76"/>
              <w:jc w:val="right"/>
              <w:rPr>
                <w:rFonts w:ascii="宋体" w:eastAsia="宋体" w:hint="eastAsia"/>
                <w:sz w:val="21"/>
              </w:rPr>
            </w:pPr>
            <w:r>
              <w:rPr>
                <w:rFonts w:ascii="宋体" w:eastAsia="宋体" w:hint="eastAsia"/>
                <w:sz w:val="21"/>
              </w:rPr>
              <w:t>年末持股数</w:t>
            </w:r>
          </w:p>
        </w:tc>
        <w:tc>
          <w:tcPr>
            <w:tcW w:w="1344" w:type="dxa"/>
            <w:tcBorders>
              <w:left w:val="single" w:sz="4" w:space="0" w:color="000000"/>
              <w:bottom w:val="single" w:sz="4" w:space="0" w:color="000000"/>
              <w:right w:val="single" w:sz="4" w:space="0" w:color="000000"/>
            </w:tcBorders>
            <w:shd w:val="clear" w:color="auto" w:fill="EDEBE0"/>
          </w:tcPr>
          <w:p>
            <w:pPr>
              <w:pStyle w:val="TableParagraph"/>
              <w:spacing w:before="5"/>
              <w:rPr>
                <w:rFonts w:ascii="宋体"/>
                <w:sz w:val="21"/>
              </w:rPr>
            </w:pPr>
          </w:p>
          <w:p>
            <w:pPr>
              <w:pStyle w:val="TableParagraph"/>
              <w:spacing w:line="242" w:lineRule="auto"/>
              <w:ind w:left="160" w:right="117"/>
              <w:rPr>
                <w:rFonts w:ascii="宋体" w:eastAsia="宋体" w:hint="eastAsia"/>
                <w:sz w:val="21"/>
              </w:rPr>
            </w:pPr>
            <w:r>
              <w:rPr>
                <w:rFonts w:ascii="宋体" w:eastAsia="宋体" w:hint="eastAsia"/>
                <w:sz w:val="21"/>
              </w:rPr>
              <w:t>年度内股份增减变动量</w:t>
            </w:r>
          </w:p>
        </w:tc>
        <w:tc>
          <w:tcPr>
            <w:tcW w:w="1167" w:type="dxa"/>
            <w:tcBorders>
              <w:left w:val="single" w:sz="4" w:space="0" w:color="000000"/>
              <w:bottom w:val="single" w:sz="4" w:space="0" w:color="000000"/>
              <w:right w:val="single" w:sz="4" w:space="0" w:color="000000"/>
            </w:tcBorders>
            <w:shd w:val="clear" w:color="auto" w:fill="EDEBE0"/>
          </w:tcPr>
          <w:p>
            <w:pPr>
              <w:pStyle w:val="TableParagraph"/>
              <w:spacing w:before="5"/>
              <w:rPr>
                <w:rFonts w:ascii="宋体"/>
                <w:sz w:val="21"/>
              </w:rPr>
            </w:pPr>
          </w:p>
          <w:p>
            <w:pPr>
              <w:pStyle w:val="TableParagraph"/>
              <w:spacing w:line="242" w:lineRule="auto"/>
              <w:ind w:left="388" w:right="132" w:hanging="209"/>
              <w:rPr>
                <w:rFonts w:ascii="宋体" w:eastAsia="宋体" w:hint="eastAsia"/>
                <w:sz w:val="21"/>
              </w:rPr>
            </w:pPr>
            <w:r>
              <w:rPr>
                <w:rFonts w:ascii="宋体" w:eastAsia="宋体" w:hint="eastAsia"/>
                <w:sz w:val="21"/>
              </w:rPr>
              <w:t>增减变动原因</w:t>
            </w:r>
          </w:p>
        </w:tc>
        <w:tc>
          <w:tcPr>
            <w:tcW w:w="1385" w:type="dxa"/>
            <w:tcBorders>
              <w:left w:val="single" w:sz="4" w:space="0" w:color="000000"/>
              <w:bottom w:val="single" w:sz="4" w:space="0" w:color="000000"/>
              <w:right w:val="single" w:sz="4" w:space="0" w:color="000000"/>
            </w:tcBorders>
            <w:shd w:val="clear" w:color="auto" w:fill="EDEBE0"/>
          </w:tcPr>
          <w:p>
            <w:pPr>
              <w:pStyle w:val="TableParagraph"/>
              <w:spacing w:line="242" w:lineRule="auto"/>
              <w:ind w:left="179" w:right="139"/>
              <w:jc w:val="both"/>
              <w:rPr>
                <w:rFonts w:ascii="宋体" w:eastAsia="宋体" w:hint="eastAsia"/>
                <w:sz w:val="21"/>
              </w:rPr>
            </w:pPr>
            <w:r>
              <w:rPr>
                <w:rFonts w:ascii="宋体" w:eastAsia="宋体" w:hint="eastAsia"/>
                <w:spacing w:val="-4"/>
                <w:sz w:val="21"/>
              </w:rPr>
              <w:t>报告期内从公司获得的税前报酬总</w:t>
            </w:r>
          </w:p>
          <w:p>
            <w:pPr>
              <w:pStyle w:val="TableParagraph"/>
              <w:spacing w:line="252" w:lineRule="exact" w:before="2"/>
              <w:ind w:left="179"/>
              <w:rPr>
                <w:rFonts w:ascii="宋体" w:eastAsia="宋体" w:hint="eastAsia"/>
                <w:sz w:val="21"/>
              </w:rPr>
            </w:pPr>
            <w:r>
              <w:rPr>
                <w:rFonts w:ascii="宋体" w:eastAsia="宋体" w:hint="eastAsia"/>
                <w:sz w:val="21"/>
              </w:rPr>
              <w:t>额（</w:t>
            </w:r>
            <w:r>
              <w:rPr>
                <w:rFonts w:ascii="宋体" w:eastAsia="宋体" w:hint="eastAsia"/>
                <w:spacing w:val="-2"/>
                <w:sz w:val="21"/>
              </w:rPr>
              <w:t>万元</w:t>
            </w:r>
            <w:r>
              <w:rPr>
                <w:rFonts w:ascii="宋体" w:eastAsia="宋体" w:hint="eastAsia"/>
                <w:sz w:val="21"/>
              </w:rPr>
              <w:t>）</w:t>
            </w:r>
          </w:p>
        </w:tc>
        <w:tc>
          <w:tcPr>
            <w:tcW w:w="1407" w:type="dxa"/>
            <w:tcBorders>
              <w:left w:val="single" w:sz="4" w:space="0" w:color="000000"/>
              <w:bottom w:val="single" w:sz="4" w:space="0" w:color="000000"/>
            </w:tcBorders>
            <w:shd w:val="clear" w:color="auto" w:fill="EDEBE0"/>
          </w:tcPr>
          <w:p>
            <w:pPr>
              <w:pStyle w:val="TableParagraph"/>
              <w:spacing w:line="242" w:lineRule="auto" w:before="137"/>
              <w:ind w:left="191" w:right="139"/>
              <w:jc w:val="center"/>
              <w:rPr>
                <w:rFonts w:ascii="宋体" w:eastAsia="宋体" w:hint="eastAsia"/>
                <w:sz w:val="21"/>
              </w:rPr>
            </w:pPr>
            <w:r>
              <w:rPr>
                <w:rFonts w:ascii="宋体" w:eastAsia="宋体" w:hint="eastAsia"/>
                <w:sz w:val="21"/>
              </w:rPr>
              <w:t>是否在公司关联方获取报酬</w:t>
            </w:r>
          </w:p>
        </w:tc>
      </w:tr>
      <w:tr>
        <w:trPr>
          <w:trHeight w:val="544" w:hRule="atLeast"/>
        </w:trPr>
        <w:tc>
          <w:tcPr>
            <w:tcW w:w="1044" w:type="dxa"/>
            <w:tcBorders>
              <w:top w:val="single" w:sz="4" w:space="0" w:color="000000"/>
              <w:bottom w:val="single" w:sz="4" w:space="0" w:color="000000"/>
              <w:right w:val="single" w:sz="4" w:space="0" w:color="000000"/>
            </w:tcBorders>
          </w:tcPr>
          <w:p>
            <w:pPr>
              <w:pStyle w:val="TableParagraph"/>
              <w:spacing w:before="137"/>
              <w:ind w:left="187" w:right="166"/>
              <w:jc w:val="center"/>
              <w:rPr>
                <w:rFonts w:ascii="宋体" w:eastAsia="宋体" w:hint="eastAsia"/>
                <w:sz w:val="21"/>
              </w:rPr>
            </w:pPr>
            <w:r>
              <w:rPr>
                <w:rFonts w:ascii="宋体" w:eastAsia="宋体" w:hint="eastAsia"/>
                <w:sz w:val="21"/>
              </w:rPr>
              <w:t>梁海山</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before="137"/>
              <w:ind w:left="120"/>
              <w:rPr>
                <w:rFonts w:ascii="宋体" w:eastAsia="宋体" w:hint="eastAsia"/>
                <w:sz w:val="21"/>
              </w:rPr>
            </w:pPr>
            <w:r>
              <w:rPr>
                <w:rFonts w:ascii="宋体" w:eastAsia="宋体" w:hint="eastAsia"/>
                <w:sz w:val="21"/>
              </w:rPr>
              <w:t>董事长</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before="137"/>
              <w:ind w:left="32"/>
              <w:jc w:val="center"/>
              <w:rPr>
                <w:rFonts w:ascii="宋体" w:eastAsia="宋体" w:hint="eastAsia"/>
                <w:sz w:val="21"/>
              </w:rPr>
            </w:pPr>
            <w:r>
              <w:rPr>
                <w:rFonts w:ascii="宋体" w:eastAsia="宋体" w:hint="eastAsia"/>
                <w:w w:val="100"/>
                <w:sz w:val="21"/>
              </w:rPr>
              <w:t>男</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before="144"/>
              <w:ind w:left="200" w:right="166"/>
              <w:jc w:val="center"/>
              <w:rPr>
                <w:sz w:val="21"/>
              </w:rPr>
            </w:pPr>
            <w:r>
              <w:rPr>
                <w:sz w:val="21"/>
              </w:rPr>
              <w:t>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before="1"/>
              <w:ind w:left="121"/>
              <w:rPr>
                <w:sz w:val="21"/>
              </w:rPr>
            </w:pPr>
            <w:r>
              <w:rPr>
                <w:sz w:val="21"/>
              </w:rPr>
              <w:t>2019 </w:t>
            </w:r>
            <w:r>
              <w:rPr>
                <w:rFonts w:ascii="宋体" w:eastAsia="宋体" w:hint="eastAsia"/>
                <w:sz w:val="21"/>
              </w:rPr>
              <w:t>年 </w:t>
            </w:r>
            <w:r>
              <w:rPr>
                <w:sz w:val="21"/>
              </w:rPr>
              <w:t>6</w:t>
            </w:r>
          </w:p>
          <w:p>
            <w:pPr>
              <w:pStyle w:val="TableParagraph"/>
              <w:spacing w:line="250" w:lineRule="exact" w:before="4"/>
              <w:ind w:left="121"/>
              <w:rPr>
                <w:rFonts w:ascii="宋体" w:eastAsia="宋体" w:hint="eastAsia"/>
                <w:sz w:val="21"/>
              </w:rPr>
            </w:pPr>
            <w:r>
              <w:rPr>
                <w:rFonts w:ascii="宋体" w:eastAsia="宋体" w:hint="eastAsia"/>
                <w:sz w:val="21"/>
              </w:rPr>
              <w:t>月 </w:t>
            </w:r>
            <w:r>
              <w:rPr>
                <w:sz w:val="21"/>
              </w:rPr>
              <w:t>18 </w:t>
            </w:r>
            <w:r>
              <w:rPr>
                <w:rFonts w:ascii="宋体" w:eastAsia="宋体" w:hint="eastAsia"/>
                <w:sz w:val="21"/>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before="1"/>
              <w:ind w:left="123"/>
              <w:rPr>
                <w:sz w:val="21"/>
              </w:rPr>
            </w:pPr>
            <w:r>
              <w:rPr>
                <w:sz w:val="21"/>
              </w:rPr>
              <w:t>2022 </w:t>
            </w:r>
            <w:r>
              <w:rPr>
                <w:rFonts w:ascii="宋体" w:eastAsia="宋体" w:hint="eastAsia"/>
                <w:sz w:val="21"/>
              </w:rPr>
              <w:t>年 </w:t>
            </w:r>
            <w:r>
              <w:rPr>
                <w:sz w:val="21"/>
              </w:rPr>
              <w:t>6</w:t>
            </w:r>
          </w:p>
          <w:p>
            <w:pPr>
              <w:pStyle w:val="TableParagraph"/>
              <w:spacing w:line="250" w:lineRule="exact" w:before="4"/>
              <w:ind w:left="123"/>
              <w:rPr>
                <w:rFonts w:ascii="宋体" w:eastAsia="宋体" w:hint="eastAsia"/>
                <w:sz w:val="21"/>
              </w:rPr>
            </w:pPr>
            <w:r>
              <w:rPr>
                <w:rFonts w:ascii="宋体" w:eastAsia="宋体" w:hint="eastAsia"/>
                <w:sz w:val="21"/>
              </w:rPr>
              <w:t>月 </w:t>
            </w:r>
            <w:r>
              <w:rPr>
                <w:sz w:val="21"/>
              </w:rPr>
              <w:t>17 </w:t>
            </w:r>
            <w:r>
              <w:rPr>
                <w:rFonts w:ascii="宋体" w:eastAsia="宋体" w:hint="eastAsia"/>
                <w:sz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144"/>
              <w:ind w:right="77"/>
              <w:jc w:val="right"/>
              <w:rPr>
                <w:sz w:val="21"/>
              </w:rPr>
            </w:pPr>
            <w:r>
              <w:rPr>
                <w:sz w:val="21"/>
              </w:rPr>
              <w:t>14,483,466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144"/>
              <w:ind w:right="76"/>
              <w:jc w:val="right"/>
              <w:rPr>
                <w:sz w:val="21"/>
              </w:rPr>
            </w:pPr>
            <w:r>
              <w:rPr>
                <w:sz w:val="21"/>
              </w:rPr>
              <w:t>14,923,047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before="144"/>
              <w:ind w:right="79"/>
              <w:jc w:val="right"/>
              <w:rPr>
                <w:sz w:val="21"/>
              </w:rPr>
            </w:pPr>
            <w:r>
              <w:rPr>
                <w:sz w:val="21"/>
              </w:rPr>
              <w:t>439,581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1"/>
              <w:ind w:left="124"/>
              <w:rPr>
                <w:rFonts w:ascii="宋体" w:eastAsia="宋体" w:hint="eastAsia"/>
                <w:sz w:val="21"/>
              </w:rPr>
            </w:pPr>
            <w:r>
              <w:rPr>
                <w:rFonts w:ascii="宋体" w:eastAsia="宋体" w:hint="eastAsia"/>
                <w:sz w:val="21"/>
              </w:rPr>
              <w:t>员工持股</w:t>
            </w:r>
          </w:p>
          <w:p>
            <w:pPr>
              <w:pStyle w:val="TableParagraph"/>
              <w:spacing w:line="250" w:lineRule="exact" w:before="4"/>
              <w:ind w:left="124"/>
              <w:rPr>
                <w:rFonts w:ascii="宋体" w:eastAsia="宋体" w:hint="eastAsia"/>
                <w:sz w:val="21"/>
              </w:rPr>
            </w:pPr>
            <w:r>
              <w:rPr>
                <w:rFonts w:ascii="宋体" w:eastAsia="宋体" w:hint="eastAsia"/>
                <w:sz w:val="21"/>
              </w:rPr>
              <w:t>计划授予</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144"/>
              <w:ind w:right="79"/>
              <w:jc w:val="right"/>
              <w:rPr>
                <w:sz w:val="21"/>
              </w:rPr>
            </w:pPr>
            <w:r>
              <w:rPr>
                <w:sz w:val="21"/>
              </w:rPr>
              <w:t>256</w:t>
            </w:r>
          </w:p>
        </w:tc>
        <w:tc>
          <w:tcPr>
            <w:tcW w:w="1407" w:type="dxa"/>
            <w:tcBorders>
              <w:top w:val="single" w:sz="4" w:space="0" w:color="000000"/>
              <w:left w:val="single" w:sz="4" w:space="0" w:color="000000"/>
              <w:bottom w:val="single" w:sz="4" w:space="0" w:color="000000"/>
            </w:tcBorders>
          </w:tcPr>
          <w:p>
            <w:pPr>
              <w:pStyle w:val="TableParagraph"/>
              <w:spacing w:before="137"/>
              <w:ind w:left="47"/>
              <w:jc w:val="center"/>
              <w:rPr>
                <w:rFonts w:ascii="宋体" w:eastAsia="宋体" w:hint="eastAsia"/>
                <w:sz w:val="21"/>
              </w:rPr>
            </w:pPr>
            <w:r>
              <w:rPr>
                <w:rFonts w:ascii="宋体" w:eastAsia="宋体" w:hint="eastAsia"/>
                <w:w w:val="100"/>
                <w:sz w:val="21"/>
              </w:rPr>
              <w:t>否</w:t>
            </w:r>
          </w:p>
        </w:tc>
      </w:tr>
      <w:tr>
        <w:trPr>
          <w:trHeight w:val="544" w:hRule="atLeast"/>
        </w:trPr>
        <w:tc>
          <w:tcPr>
            <w:tcW w:w="1044" w:type="dxa"/>
            <w:tcBorders>
              <w:top w:val="single" w:sz="4" w:space="0" w:color="000000"/>
              <w:bottom w:val="single" w:sz="4" w:space="0" w:color="000000"/>
              <w:right w:val="single" w:sz="4" w:space="0" w:color="000000"/>
            </w:tcBorders>
          </w:tcPr>
          <w:p>
            <w:pPr>
              <w:pStyle w:val="TableParagraph"/>
              <w:spacing w:before="137"/>
              <w:ind w:left="187" w:right="166"/>
              <w:jc w:val="center"/>
              <w:rPr>
                <w:rFonts w:ascii="宋体" w:eastAsia="宋体" w:hint="eastAsia"/>
                <w:sz w:val="21"/>
              </w:rPr>
            </w:pPr>
            <w:r>
              <w:rPr>
                <w:rFonts w:ascii="宋体" w:eastAsia="宋体" w:hint="eastAsia"/>
                <w:sz w:val="21"/>
              </w:rPr>
              <w:t>谭丽霞</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before="137"/>
              <w:ind w:left="120"/>
              <w:rPr>
                <w:rFonts w:ascii="宋体" w:eastAsia="宋体" w:hint="eastAsia"/>
                <w:sz w:val="21"/>
              </w:rPr>
            </w:pPr>
            <w:r>
              <w:rPr>
                <w:rFonts w:ascii="宋体" w:eastAsia="宋体" w:hint="eastAsia"/>
                <w:sz w:val="21"/>
              </w:rPr>
              <w:t>副董事长</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before="137"/>
              <w:ind w:left="32"/>
              <w:jc w:val="center"/>
              <w:rPr>
                <w:rFonts w:ascii="宋体" w:eastAsia="宋体" w:hint="eastAsia"/>
                <w:sz w:val="21"/>
              </w:rPr>
            </w:pPr>
            <w:r>
              <w:rPr>
                <w:rFonts w:ascii="宋体" w:eastAsia="宋体" w:hint="eastAsia"/>
                <w:w w:val="100"/>
                <w:sz w:val="21"/>
              </w:rPr>
              <w:t>女</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before="144"/>
              <w:ind w:left="200" w:right="166"/>
              <w:jc w:val="center"/>
              <w:rPr>
                <w:sz w:val="21"/>
              </w:rPr>
            </w:pPr>
            <w:r>
              <w:rPr>
                <w:sz w:val="21"/>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before="1"/>
              <w:ind w:left="121"/>
              <w:rPr>
                <w:sz w:val="21"/>
              </w:rPr>
            </w:pPr>
            <w:r>
              <w:rPr>
                <w:sz w:val="21"/>
              </w:rPr>
              <w:t>2019 </w:t>
            </w:r>
            <w:r>
              <w:rPr>
                <w:rFonts w:ascii="宋体" w:eastAsia="宋体" w:hint="eastAsia"/>
                <w:sz w:val="21"/>
              </w:rPr>
              <w:t>年 </w:t>
            </w:r>
            <w:r>
              <w:rPr>
                <w:sz w:val="21"/>
              </w:rPr>
              <w:t>6</w:t>
            </w:r>
          </w:p>
          <w:p>
            <w:pPr>
              <w:pStyle w:val="TableParagraph"/>
              <w:spacing w:line="250" w:lineRule="exact" w:before="4"/>
              <w:ind w:left="121"/>
              <w:rPr>
                <w:rFonts w:ascii="宋体" w:eastAsia="宋体" w:hint="eastAsia"/>
                <w:sz w:val="21"/>
              </w:rPr>
            </w:pPr>
            <w:r>
              <w:rPr>
                <w:rFonts w:ascii="宋体" w:eastAsia="宋体" w:hint="eastAsia"/>
                <w:sz w:val="21"/>
              </w:rPr>
              <w:t>月 </w:t>
            </w:r>
            <w:r>
              <w:rPr>
                <w:sz w:val="21"/>
              </w:rPr>
              <w:t>18 </w:t>
            </w:r>
            <w:r>
              <w:rPr>
                <w:rFonts w:ascii="宋体" w:eastAsia="宋体" w:hint="eastAsia"/>
                <w:sz w:val="21"/>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before="1"/>
              <w:ind w:left="123"/>
              <w:rPr>
                <w:sz w:val="21"/>
              </w:rPr>
            </w:pPr>
            <w:r>
              <w:rPr>
                <w:sz w:val="21"/>
              </w:rPr>
              <w:t>2022 </w:t>
            </w:r>
            <w:r>
              <w:rPr>
                <w:rFonts w:ascii="宋体" w:eastAsia="宋体" w:hint="eastAsia"/>
                <w:sz w:val="21"/>
              </w:rPr>
              <w:t>年 </w:t>
            </w:r>
            <w:r>
              <w:rPr>
                <w:sz w:val="21"/>
              </w:rPr>
              <w:t>6</w:t>
            </w:r>
          </w:p>
          <w:p>
            <w:pPr>
              <w:pStyle w:val="TableParagraph"/>
              <w:spacing w:line="250" w:lineRule="exact" w:before="4"/>
              <w:ind w:left="123"/>
              <w:rPr>
                <w:rFonts w:ascii="宋体" w:eastAsia="宋体" w:hint="eastAsia"/>
                <w:sz w:val="21"/>
              </w:rPr>
            </w:pPr>
            <w:r>
              <w:rPr>
                <w:rFonts w:ascii="宋体" w:eastAsia="宋体" w:hint="eastAsia"/>
                <w:sz w:val="21"/>
              </w:rPr>
              <w:t>月 </w:t>
            </w:r>
            <w:r>
              <w:rPr>
                <w:sz w:val="21"/>
              </w:rPr>
              <w:t>17 </w:t>
            </w:r>
            <w:r>
              <w:rPr>
                <w:rFonts w:ascii="宋体" w:eastAsia="宋体" w:hint="eastAsia"/>
                <w:sz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144"/>
              <w:ind w:right="77"/>
              <w:jc w:val="right"/>
              <w:rPr>
                <w:sz w:val="21"/>
              </w:rPr>
            </w:pPr>
            <w:r>
              <w:rPr>
                <w:sz w:val="21"/>
              </w:rPr>
              <w:t>8,136,260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144"/>
              <w:ind w:right="76"/>
              <w:jc w:val="right"/>
              <w:rPr>
                <w:sz w:val="21"/>
              </w:rPr>
            </w:pPr>
            <w:r>
              <w:rPr>
                <w:sz w:val="21"/>
              </w:rPr>
              <w:t>8,535,920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before="144"/>
              <w:ind w:right="79"/>
              <w:jc w:val="right"/>
              <w:rPr>
                <w:sz w:val="21"/>
              </w:rPr>
            </w:pPr>
            <w:r>
              <w:rPr>
                <w:sz w:val="21"/>
              </w:rPr>
              <w:t>399,660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1"/>
              <w:ind w:left="124"/>
              <w:rPr>
                <w:rFonts w:ascii="宋体" w:eastAsia="宋体" w:hint="eastAsia"/>
                <w:sz w:val="21"/>
              </w:rPr>
            </w:pPr>
            <w:r>
              <w:rPr>
                <w:rFonts w:ascii="宋体" w:eastAsia="宋体" w:hint="eastAsia"/>
                <w:sz w:val="21"/>
              </w:rPr>
              <w:t>员工持股</w:t>
            </w:r>
          </w:p>
          <w:p>
            <w:pPr>
              <w:pStyle w:val="TableParagraph"/>
              <w:spacing w:line="250" w:lineRule="exact" w:before="4"/>
              <w:ind w:left="124"/>
              <w:rPr>
                <w:rFonts w:ascii="宋体" w:eastAsia="宋体" w:hint="eastAsia"/>
                <w:sz w:val="21"/>
              </w:rPr>
            </w:pPr>
            <w:r>
              <w:rPr>
                <w:rFonts w:ascii="宋体" w:eastAsia="宋体" w:hint="eastAsia"/>
                <w:sz w:val="21"/>
              </w:rPr>
              <w:t>计划授予</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1"/>
              <w:ind w:left="122"/>
              <w:rPr>
                <w:rFonts w:ascii="宋体" w:eastAsia="宋体" w:hint="eastAsia"/>
                <w:sz w:val="21"/>
              </w:rPr>
            </w:pPr>
            <w:r>
              <w:rPr>
                <w:rFonts w:ascii="宋体" w:eastAsia="宋体" w:hint="eastAsia"/>
                <w:sz w:val="21"/>
              </w:rPr>
              <w:t>未在本单位</w:t>
            </w:r>
          </w:p>
          <w:p>
            <w:pPr>
              <w:pStyle w:val="TableParagraph"/>
              <w:spacing w:line="250" w:lineRule="exact" w:before="4"/>
              <w:ind w:left="122"/>
              <w:rPr>
                <w:rFonts w:ascii="宋体" w:eastAsia="宋体" w:hint="eastAsia"/>
                <w:sz w:val="21"/>
              </w:rPr>
            </w:pPr>
            <w:r>
              <w:rPr>
                <w:rFonts w:ascii="宋体" w:eastAsia="宋体" w:hint="eastAsia"/>
                <w:sz w:val="21"/>
              </w:rPr>
              <w:t>领取薪酬</w:t>
            </w:r>
          </w:p>
        </w:tc>
        <w:tc>
          <w:tcPr>
            <w:tcW w:w="1407" w:type="dxa"/>
            <w:tcBorders>
              <w:top w:val="single" w:sz="4" w:space="0" w:color="000000"/>
              <w:left w:val="single" w:sz="4" w:space="0" w:color="000000"/>
              <w:bottom w:val="single" w:sz="4" w:space="0" w:color="000000"/>
            </w:tcBorders>
          </w:tcPr>
          <w:p>
            <w:pPr>
              <w:pStyle w:val="TableParagraph"/>
              <w:spacing w:before="137"/>
              <w:ind w:left="47"/>
              <w:jc w:val="center"/>
              <w:rPr>
                <w:rFonts w:ascii="宋体" w:eastAsia="宋体" w:hint="eastAsia"/>
                <w:sz w:val="21"/>
              </w:rPr>
            </w:pPr>
            <w:r>
              <w:rPr>
                <w:rFonts w:ascii="宋体" w:eastAsia="宋体" w:hint="eastAsia"/>
                <w:w w:val="100"/>
                <w:sz w:val="21"/>
              </w:rPr>
              <w:t>是</w:t>
            </w:r>
          </w:p>
        </w:tc>
      </w:tr>
      <w:tr>
        <w:trPr>
          <w:trHeight w:val="544" w:hRule="atLeast"/>
        </w:trPr>
        <w:tc>
          <w:tcPr>
            <w:tcW w:w="1044" w:type="dxa"/>
            <w:tcBorders>
              <w:top w:val="single" w:sz="4" w:space="0" w:color="000000"/>
              <w:bottom w:val="single" w:sz="4" w:space="0" w:color="000000"/>
              <w:right w:val="single" w:sz="4" w:space="0" w:color="000000"/>
            </w:tcBorders>
          </w:tcPr>
          <w:p>
            <w:pPr>
              <w:pStyle w:val="TableParagraph"/>
              <w:spacing w:before="138"/>
              <w:ind w:left="187" w:right="166"/>
              <w:jc w:val="center"/>
              <w:rPr>
                <w:rFonts w:ascii="宋体" w:eastAsia="宋体" w:hint="eastAsia"/>
                <w:sz w:val="21"/>
              </w:rPr>
            </w:pPr>
            <w:r>
              <w:rPr>
                <w:rFonts w:ascii="宋体" w:eastAsia="宋体" w:hint="eastAsia"/>
                <w:sz w:val="21"/>
              </w:rPr>
              <w:t>李华刚</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before="1"/>
              <w:ind w:left="120"/>
              <w:rPr>
                <w:rFonts w:ascii="宋体" w:eastAsia="宋体" w:hint="eastAsia"/>
                <w:sz w:val="21"/>
              </w:rPr>
            </w:pPr>
            <w:r>
              <w:rPr>
                <w:rFonts w:ascii="宋体" w:eastAsia="宋体" w:hint="eastAsia"/>
                <w:sz w:val="21"/>
              </w:rPr>
              <w:t>董事、总</w:t>
            </w:r>
          </w:p>
          <w:p>
            <w:pPr>
              <w:pStyle w:val="TableParagraph"/>
              <w:spacing w:line="250" w:lineRule="exact" w:before="4"/>
              <w:ind w:left="120"/>
              <w:rPr>
                <w:rFonts w:ascii="宋体" w:eastAsia="宋体" w:hint="eastAsia"/>
                <w:sz w:val="21"/>
              </w:rPr>
            </w:pPr>
            <w:r>
              <w:rPr>
                <w:rFonts w:ascii="宋体" w:eastAsia="宋体" w:hint="eastAsia"/>
                <w:w w:val="100"/>
                <w:sz w:val="21"/>
              </w:rPr>
              <w:t>裁</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before="138"/>
              <w:ind w:left="32"/>
              <w:jc w:val="center"/>
              <w:rPr>
                <w:rFonts w:ascii="宋体" w:eastAsia="宋体" w:hint="eastAsia"/>
                <w:sz w:val="21"/>
              </w:rPr>
            </w:pPr>
            <w:r>
              <w:rPr>
                <w:rFonts w:ascii="宋体" w:eastAsia="宋体" w:hint="eastAsia"/>
                <w:w w:val="100"/>
                <w:sz w:val="21"/>
              </w:rPr>
              <w:t>男</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before="147"/>
              <w:ind w:left="200" w:right="166"/>
              <w:jc w:val="center"/>
              <w:rPr>
                <w:sz w:val="21"/>
              </w:rPr>
            </w:pPr>
            <w:r>
              <w:rPr>
                <w:sz w:val="21"/>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before="1"/>
              <w:ind w:left="121"/>
              <w:rPr>
                <w:sz w:val="21"/>
              </w:rPr>
            </w:pPr>
            <w:r>
              <w:rPr>
                <w:sz w:val="21"/>
              </w:rPr>
              <w:t>2019 </w:t>
            </w:r>
            <w:r>
              <w:rPr>
                <w:rFonts w:ascii="宋体" w:eastAsia="宋体" w:hint="eastAsia"/>
                <w:sz w:val="21"/>
              </w:rPr>
              <w:t>年 </w:t>
            </w:r>
            <w:r>
              <w:rPr>
                <w:sz w:val="21"/>
              </w:rPr>
              <w:t>6</w:t>
            </w:r>
          </w:p>
          <w:p>
            <w:pPr>
              <w:pStyle w:val="TableParagraph"/>
              <w:spacing w:line="250" w:lineRule="exact" w:before="4"/>
              <w:ind w:left="121"/>
              <w:rPr>
                <w:rFonts w:ascii="宋体" w:eastAsia="宋体" w:hint="eastAsia"/>
                <w:sz w:val="21"/>
              </w:rPr>
            </w:pPr>
            <w:r>
              <w:rPr>
                <w:rFonts w:ascii="宋体" w:eastAsia="宋体" w:hint="eastAsia"/>
                <w:sz w:val="21"/>
              </w:rPr>
              <w:t>月 </w:t>
            </w:r>
            <w:r>
              <w:rPr>
                <w:sz w:val="21"/>
              </w:rPr>
              <w:t>18 </w:t>
            </w:r>
            <w:r>
              <w:rPr>
                <w:rFonts w:ascii="宋体" w:eastAsia="宋体" w:hint="eastAsia"/>
                <w:sz w:val="21"/>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before="1"/>
              <w:ind w:left="123"/>
              <w:rPr>
                <w:sz w:val="21"/>
              </w:rPr>
            </w:pPr>
            <w:r>
              <w:rPr>
                <w:sz w:val="21"/>
              </w:rPr>
              <w:t>2022 </w:t>
            </w:r>
            <w:r>
              <w:rPr>
                <w:rFonts w:ascii="宋体" w:eastAsia="宋体" w:hint="eastAsia"/>
                <w:sz w:val="21"/>
              </w:rPr>
              <w:t>年 </w:t>
            </w:r>
            <w:r>
              <w:rPr>
                <w:sz w:val="21"/>
              </w:rPr>
              <w:t>6</w:t>
            </w:r>
          </w:p>
          <w:p>
            <w:pPr>
              <w:pStyle w:val="TableParagraph"/>
              <w:spacing w:line="250" w:lineRule="exact" w:before="4"/>
              <w:ind w:left="123"/>
              <w:rPr>
                <w:rFonts w:ascii="宋体" w:eastAsia="宋体" w:hint="eastAsia"/>
                <w:sz w:val="21"/>
              </w:rPr>
            </w:pPr>
            <w:r>
              <w:rPr>
                <w:rFonts w:ascii="宋体" w:eastAsia="宋体" w:hint="eastAsia"/>
                <w:sz w:val="21"/>
              </w:rPr>
              <w:t>月 </w:t>
            </w:r>
            <w:r>
              <w:rPr>
                <w:sz w:val="21"/>
              </w:rPr>
              <w:t>17 </w:t>
            </w:r>
            <w:r>
              <w:rPr>
                <w:rFonts w:ascii="宋体" w:eastAsia="宋体" w:hint="eastAsia"/>
                <w:sz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147"/>
              <w:ind w:right="77"/>
              <w:jc w:val="right"/>
              <w:rPr>
                <w:sz w:val="21"/>
              </w:rPr>
            </w:pPr>
            <w:r>
              <w:rPr>
                <w:sz w:val="21"/>
              </w:rPr>
              <w:t>653,306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147"/>
              <w:ind w:right="76"/>
              <w:jc w:val="right"/>
              <w:rPr>
                <w:sz w:val="21"/>
              </w:rPr>
            </w:pPr>
            <w:r>
              <w:rPr>
                <w:sz w:val="21"/>
              </w:rPr>
              <w:t>694,607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before="147"/>
              <w:ind w:right="79"/>
              <w:jc w:val="right"/>
              <w:rPr>
                <w:sz w:val="21"/>
              </w:rPr>
            </w:pPr>
            <w:r>
              <w:rPr>
                <w:sz w:val="21"/>
              </w:rPr>
              <w:t>41,301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1"/>
              <w:ind w:left="124"/>
              <w:rPr>
                <w:rFonts w:ascii="宋体" w:eastAsia="宋体" w:hint="eastAsia"/>
                <w:sz w:val="21"/>
              </w:rPr>
            </w:pPr>
            <w:r>
              <w:rPr>
                <w:rFonts w:ascii="宋体" w:eastAsia="宋体" w:hint="eastAsia"/>
                <w:sz w:val="21"/>
              </w:rPr>
              <w:t>员工持股</w:t>
            </w:r>
          </w:p>
          <w:p>
            <w:pPr>
              <w:pStyle w:val="TableParagraph"/>
              <w:spacing w:line="250" w:lineRule="exact" w:before="4"/>
              <w:ind w:left="124"/>
              <w:rPr>
                <w:rFonts w:ascii="宋体" w:eastAsia="宋体" w:hint="eastAsia"/>
                <w:sz w:val="21"/>
              </w:rPr>
            </w:pPr>
            <w:r>
              <w:rPr>
                <w:rFonts w:ascii="宋体" w:eastAsia="宋体" w:hint="eastAsia"/>
                <w:sz w:val="21"/>
              </w:rPr>
              <w:t>计划授予</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147"/>
              <w:ind w:right="79"/>
              <w:jc w:val="right"/>
              <w:rPr>
                <w:sz w:val="21"/>
              </w:rPr>
            </w:pPr>
            <w:r>
              <w:rPr>
                <w:sz w:val="21"/>
              </w:rPr>
              <w:t>180</w:t>
            </w:r>
          </w:p>
        </w:tc>
        <w:tc>
          <w:tcPr>
            <w:tcW w:w="1407" w:type="dxa"/>
            <w:tcBorders>
              <w:top w:val="single" w:sz="4" w:space="0" w:color="000000"/>
              <w:left w:val="single" w:sz="4" w:space="0" w:color="000000"/>
              <w:bottom w:val="single" w:sz="4" w:space="0" w:color="000000"/>
            </w:tcBorders>
          </w:tcPr>
          <w:p>
            <w:pPr>
              <w:pStyle w:val="TableParagraph"/>
              <w:spacing w:before="138"/>
              <w:ind w:left="47"/>
              <w:jc w:val="center"/>
              <w:rPr>
                <w:rFonts w:ascii="宋体" w:eastAsia="宋体" w:hint="eastAsia"/>
                <w:sz w:val="21"/>
              </w:rPr>
            </w:pPr>
            <w:r>
              <w:rPr>
                <w:rFonts w:ascii="宋体" w:eastAsia="宋体" w:hint="eastAsia"/>
                <w:w w:val="100"/>
                <w:sz w:val="21"/>
              </w:rPr>
              <w:t>否</w:t>
            </w:r>
          </w:p>
        </w:tc>
      </w:tr>
      <w:tr>
        <w:trPr>
          <w:trHeight w:val="544" w:hRule="atLeast"/>
        </w:trPr>
        <w:tc>
          <w:tcPr>
            <w:tcW w:w="1044" w:type="dxa"/>
            <w:tcBorders>
              <w:top w:val="single" w:sz="4" w:space="0" w:color="000000"/>
              <w:bottom w:val="single" w:sz="4" w:space="0" w:color="000000"/>
              <w:right w:val="single" w:sz="4" w:space="0" w:color="000000"/>
            </w:tcBorders>
          </w:tcPr>
          <w:p>
            <w:pPr>
              <w:pStyle w:val="TableParagraph"/>
              <w:spacing w:before="138"/>
              <w:ind w:left="187" w:right="166"/>
              <w:jc w:val="center"/>
              <w:rPr>
                <w:rFonts w:ascii="宋体" w:eastAsia="宋体" w:hint="eastAsia"/>
                <w:sz w:val="21"/>
              </w:rPr>
            </w:pPr>
            <w:r>
              <w:rPr>
                <w:rFonts w:ascii="宋体" w:eastAsia="宋体" w:hint="eastAsia"/>
                <w:sz w:val="21"/>
              </w:rPr>
              <w:t>武常岐</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before="138"/>
              <w:ind w:left="120"/>
              <w:rPr>
                <w:rFonts w:ascii="宋体" w:eastAsia="宋体" w:hint="eastAsia"/>
                <w:sz w:val="21"/>
              </w:rPr>
            </w:pPr>
            <w:r>
              <w:rPr>
                <w:rFonts w:ascii="宋体" w:eastAsia="宋体" w:hint="eastAsia"/>
                <w:sz w:val="21"/>
              </w:rPr>
              <w:t>董事</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before="138"/>
              <w:ind w:left="32"/>
              <w:jc w:val="center"/>
              <w:rPr>
                <w:rFonts w:ascii="宋体" w:eastAsia="宋体" w:hint="eastAsia"/>
                <w:sz w:val="21"/>
              </w:rPr>
            </w:pPr>
            <w:r>
              <w:rPr>
                <w:rFonts w:ascii="宋体" w:eastAsia="宋体" w:hint="eastAsia"/>
                <w:w w:val="100"/>
                <w:sz w:val="21"/>
              </w:rPr>
              <w:t>男</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before="147"/>
              <w:ind w:left="200" w:right="166"/>
              <w:jc w:val="center"/>
              <w:rPr>
                <w:sz w:val="21"/>
              </w:rPr>
            </w:pPr>
            <w:r>
              <w:rPr>
                <w:sz w:val="21"/>
              </w:rPr>
              <w:t>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before="1"/>
              <w:ind w:left="121"/>
              <w:rPr>
                <w:sz w:val="21"/>
              </w:rPr>
            </w:pPr>
            <w:r>
              <w:rPr>
                <w:sz w:val="21"/>
              </w:rPr>
              <w:t>2019 </w:t>
            </w:r>
            <w:r>
              <w:rPr>
                <w:rFonts w:ascii="宋体" w:eastAsia="宋体" w:hint="eastAsia"/>
                <w:sz w:val="21"/>
              </w:rPr>
              <w:t>年 </w:t>
            </w:r>
            <w:r>
              <w:rPr>
                <w:sz w:val="21"/>
              </w:rPr>
              <w:t>6</w:t>
            </w:r>
          </w:p>
          <w:p>
            <w:pPr>
              <w:pStyle w:val="TableParagraph"/>
              <w:spacing w:line="250" w:lineRule="exact" w:before="5"/>
              <w:ind w:left="121"/>
              <w:rPr>
                <w:rFonts w:ascii="宋体" w:eastAsia="宋体" w:hint="eastAsia"/>
                <w:sz w:val="21"/>
              </w:rPr>
            </w:pPr>
            <w:r>
              <w:rPr>
                <w:rFonts w:ascii="宋体" w:eastAsia="宋体" w:hint="eastAsia"/>
                <w:sz w:val="21"/>
              </w:rPr>
              <w:t>月 </w:t>
            </w:r>
            <w:r>
              <w:rPr>
                <w:sz w:val="21"/>
              </w:rPr>
              <w:t>18 </w:t>
            </w:r>
            <w:r>
              <w:rPr>
                <w:rFonts w:ascii="宋体" w:eastAsia="宋体" w:hint="eastAsia"/>
                <w:sz w:val="21"/>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before="1"/>
              <w:ind w:left="123"/>
              <w:rPr>
                <w:sz w:val="21"/>
              </w:rPr>
            </w:pPr>
            <w:r>
              <w:rPr>
                <w:sz w:val="21"/>
              </w:rPr>
              <w:t>2022 </w:t>
            </w:r>
            <w:r>
              <w:rPr>
                <w:rFonts w:ascii="宋体" w:eastAsia="宋体" w:hint="eastAsia"/>
                <w:sz w:val="21"/>
              </w:rPr>
              <w:t>年 </w:t>
            </w:r>
            <w:r>
              <w:rPr>
                <w:sz w:val="21"/>
              </w:rPr>
              <w:t>6</w:t>
            </w:r>
          </w:p>
          <w:p>
            <w:pPr>
              <w:pStyle w:val="TableParagraph"/>
              <w:spacing w:line="250" w:lineRule="exact" w:before="5"/>
              <w:ind w:left="123"/>
              <w:rPr>
                <w:rFonts w:ascii="宋体" w:eastAsia="宋体" w:hint="eastAsia"/>
                <w:sz w:val="21"/>
              </w:rPr>
            </w:pPr>
            <w:r>
              <w:rPr>
                <w:rFonts w:ascii="宋体" w:eastAsia="宋体" w:hint="eastAsia"/>
                <w:sz w:val="21"/>
              </w:rPr>
              <w:t>月 </w:t>
            </w:r>
            <w:r>
              <w:rPr>
                <w:sz w:val="21"/>
              </w:rPr>
              <w:t>17 </w:t>
            </w:r>
            <w:r>
              <w:rPr>
                <w:rFonts w:ascii="宋体" w:eastAsia="宋体" w:hint="eastAsia"/>
                <w:sz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147"/>
              <w:ind w:right="81"/>
              <w:jc w:val="right"/>
              <w:rPr>
                <w:sz w:val="21"/>
              </w:rPr>
            </w:pPr>
            <w:r>
              <w:rPr>
                <w:sz w:val="21"/>
              </w:rPr>
              <w:t>20</w:t>
            </w:r>
          </w:p>
        </w:tc>
        <w:tc>
          <w:tcPr>
            <w:tcW w:w="1407" w:type="dxa"/>
            <w:tcBorders>
              <w:top w:val="single" w:sz="4" w:space="0" w:color="000000"/>
              <w:left w:val="single" w:sz="4" w:space="0" w:color="000000"/>
              <w:bottom w:val="single" w:sz="4" w:space="0" w:color="000000"/>
            </w:tcBorders>
          </w:tcPr>
          <w:p>
            <w:pPr>
              <w:pStyle w:val="TableParagraph"/>
              <w:spacing w:before="138"/>
              <w:ind w:left="47"/>
              <w:jc w:val="center"/>
              <w:rPr>
                <w:rFonts w:ascii="宋体" w:eastAsia="宋体" w:hint="eastAsia"/>
                <w:sz w:val="21"/>
              </w:rPr>
            </w:pPr>
            <w:r>
              <w:rPr>
                <w:rFonts w:ascii="宋体" w:eastAsia="宋体" w:hint="eastAsia"/>
                <w:w w:val="100"/>
                <w:sz w:val="21"/>
              </w:rPr>
              <w:t>否</w:t>
            </w:r>
          </w:p>
        </w:tc>
      </w:tr>
      <w:tr>
        <w:trPr>
          <w:trHeight w:val="546" w:hRule="atLeast"/>
        </w:trPr>
        <w:tc>
          <w:tcPr>
            <w:tcW w:w="1044" w:type="dxa"/>
            <w:tcBorders>
              <w:top w:val="single" w:sz="4" w:space="0" w:color="000000"/>
              <w:bottom w:val="single" w:sz="4" w:space="0" w:color="000000"/>
              <w:right w:val="single" w:sz="4" w:space="0" w:color="000000"/>
            </w:tcBorders>
          </w:tcPr>
          <w:p>
            <w:pPr>
              <w:pStyle w:val="TableParagraph"/>
              <w:spacing w:before="137"/>
              <w:ind w:left="187" w:right="166"/>
              <w:jc w:val="center"/>
              <w:rPr>
                <w:rFonts w:ascii="宋体" w:eastAsia="宋体" w:hint="eastAsia"/>
                <w:sz w:val="21"/>
              </w:rPr>
            </w:pPr>
            <w:r>
              <w:rPr>
                <w:rFonts w:ascii="宋体" w:eastAsia="宋体" w:hint="eastAsia"/>
                <w:sz w:val="21"/>
              </w:rPr>
              <w:t>林绥</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before="137"/>
              <w:ind w:left="120"/>
              <w:rPr>
                <w:rFonts w:ascii="宋体" w:eastAsia="宋体" w:hint="eastAsia"/>
                <w:sz w:val="21"/>
              </w:rPr>
            </w:pPr>
            <w:r>
              <w:rPr>
                <w:rFonts w:ascii="宋体" w:eastAsia="宋体" w:hint="eastAsia"/>
                <w:sz w:val="21"/>
              </w:rPr>
              <w:t>董事</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before="137"/>
              <w:ind w:left="32"/>
              <w:jc w:val="center"/>
              <w:rPr>
                <w:rFonts w:ascii="宋体" w:eastAsia="宋体" w:hint="eastAsia"/>
                <w:sz w:val="21"/>
              </w:rPr>
            </w:pPr>
            <w:r>
              <w:rPr>
                <w:rFonts w:ascii="宋体" w:eastAsia="宋体" w:hint="eastAsia"/>
                <w:w w:val="100"/>
                <w:sz w:val="21"/>
              </w:rPr>
              <w:t>男</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before="147"/>
              <w:ind w:left="200" w:right="166"/>
              <w:jc w:val="center"/>
              <w:rPr>
                <w:sz w:val="21"/>
              </w:rPr>
            </w:pPr>
            <w:r>
              <w:rPr>
                <w:sz w:val="21"/>
              </w:rPr>
              <w:t>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before="3"/>
              <w:ind w:left="121"/>
              <w:rPr>
                <w:sz w:val="21"/>
              </w:rPr>
            </w:pPr>
            <w:r>
              <w:rPr>
                <w:sz w:val="21"/>
              </w:rPr>
              <w:t>2019 </w:t>
            </w:r>
            <w:r>
              <w:rPr>
                <w:rFonts w:ascii="宋体" w:eastAsia="宋体" w:hint="eastAsia"/>
                <w:sz w:val="21"/>
              </w:rPr>
              <w:t>年 </w:t>
            </w:r>
            <w:r>
              <w:rPr>
                <w:sz w:val="21"/>
              </w:rPr>
              <w:t>6</w:t>
            </w:r>
          </w:p>
          <w:p>
            <w:pPr>
              <w:pStyle w:val="TableParagraph"/>
              <w:spacing w:line="252" w:lineRule="exact" w:before="2"/>
              <w:ind w:left="121"/>
              <w:rPr>
                <w:rFonts w:ascii="宋体" w:eastAsia="宋体" w:hint="eastAsia"/>
                <w:sz w:val="21"/>
              </w:rPr>
            </w:pPr>
            <w:r>
              <w:rPr>
                <w:rFonts w:ascii="宋体" w:eastAsia="宋体" w:hint="eastAsia"/>
                <w:sz w:val="21"/>
              </w:rPr>
              <w:t>月 </w:t>
            </w:r>
            <w:r>
              <w:rPr>
                <w:sz w:val="21"/>
              </w:rPr>
              <w:t>18 </w:t>
            </w:r>
            <w:r>
              <w:rPr>
                <w:rFonts w:ascii="宋体" w:eastAsia="宋体" w:hint="eastAsia"/>
                <w:sz w:val="21"/>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before="3"/>
              <w:ind w:left="123"/>
              <w:rPr>
                <w:sz w:val="21"/>
              </w:rPr>
            </w:pPr>
            <w:r>
              <w:rPr>
                <w:sz w:val="21"/>
              </w:rPr>
              <w:t>2022 </w:t>
            </w:r>
            <w:r>
              <w:rPr>
                <w:rFonts w:ascii="宋体" w:eastAsia="宋体" w:hint="eastAsia"/>
                <w:sz w:val="21"/>
              </w:rPr>
              <w:t>年 </w:t>
            </w:r>
            <w:r>
              <w:rPr>
                <w:sz w:val="21"/>
              </w:rPr>
              <w:t>6</w:t>
            </w:r>
          </w:p>
          <w:p>
            <w:pPr>
              <w:pStyle w:val="TableParagraph"/>
              <w:spacing w:line="252" w:lineRule="exact" w:before="2"/>
              <w:ind w:left="123"/>
              <w:rPr>
                <w:rFonts w:ascii="宋体" w:eastAsia="宋体" w:hint="eastAsia"/>
                <w:sz w:val="21"/>
              </w:rPr>
            </w:pPr>
            <w:r>
              <w:rPr>
                <w:rFonts w:ascii="宋体" w:eastAsia="宋体" w:hint="eastAsia"/>
                <w:sz w:val="21"/>
              </w:rPr>
              <w:t>月 </w:t>
            </w:r>
            <w:r>
              <w:rPr>
                <w:sz w:val="21"/>
              </w:rPr>
              <w:t>17 </w:t>
            </w:r>
            <w:r>
              <w:rPr>
                <w:rFonts w:ascii="宋体" w:eastAsia="宋体" w:hint="eastAsia"/>
                <w:sz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147"/>
              <w:ind w:right="81"/>
              <w:jc w:val="right"/>
              <w:rPr>
                <w:sz w:val="21"/>
              </w:rPr>
            </w:pPr>
            <w:r>
              <w:rPr>
                <w:sz w:val="21"/>
              </w:rPr>
              <w:t>20</w:t>
            </w:r>
          </w:p>
        </w:tc>
        <w:tc>
          <w:tcPr>
            <w:tcW w:w="1407" w:type="dxa"/>
            <w:tcBorders>
              <w:top w:val="single" w:sz="4" w:space="0" w:color="000000"/>
              <w:left w:val="single" w:sz="4" w:space="0" w:color="000000"/>
              <w:bottom w:val="single" w:sz="4" w:space="0" w:color="000000"/>
            </w:tcBorders>
          </w:tcPr>
          <w:p>
            <w:pPr>
              <w:pStyle w:val="TableParagraph"/>
              <w:spacing w:before="137"/>
              <w:ind w:left="47"/>
              <w:jc w:val="center"/>
              <w:rPr>
                <w:rFonts w:ascii="宋体" w:eastAsia="宋体" w:hint="eastAsia"/>
                <w:sz w:val="21"/>
              </w:rPr>
            </w:pPr>
            <w:r>
              <w:rPr>
                <w:rFonts w:ascii="宋体" w:eastAsia="宋体" w:hint="eastAsia"/>
                <w:w w:val="100"/>
                <w:sz w:val="21"/>
              </w:rPr>
              <w:t>否</w:t>
            </w:r>
          </w:p>
        </w:tc>
      </w:tr>
      <w:tr>
        <w:trPr>
          <w:trHeight w:val="544" w:hRule="atLeast"/>
        </w:trPr>
        <w:tc>
          <w:tcPr>
            <w:tcW w:w="1044" w:type="dxa"/>
            <w:tcBorders>
              <w:top w:val="single" w:sz="4" w:space="0" w:color="000000"/>
              <w:bottom w:val="single" w:sz="4" w:space="0" w:color="000000"/>
              <w:right w:val="single" w:sz="4" w:space="0" w:color="000000"/>
            </w:tcBorders>
          </w:tcPr>
          <w:p>
            <w:pPr>
              <w:pStyle w:val="TableParagraph"/>
              <w:spacing w:before="135"/>
              <w:ind w:left="187" w:right="166"/>
              <w:jc w:val="center"/>
              <w:rPr>
                <w:rFonts w:ascii="宋体" w:eastAsia="宋体" w:hint="eastAsia"/>
                <w:sz w:val="21"/>
              </w:rPr>
            </w:pPr>
            <w:r>
              <w:rPr>
                <w:rFonts w:ascii="宋体" w:eastAsia="宋体" w:hint="eastAsia"/>
                <w:sz w:val="21"/>
              </w:rPr>
              <w:t>戴德明</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before="135"/>
              <w:ind w:left="120"/>
              <w:rPr>
                <w:rFonts w:ascii="宋体" w:eastAsia="宋体" w:hint="eastAsia"/>
                <w:sz w:val="21"/>
              </w:rPr>
            </w:pPr>
            <w:r>
              <w:rPr>
                <w:rFonts w:ascii="宋体" w:eastAsia="宋体" w:hint="eastAsia"/>
                <w:sz w:val="21"/>
              </w:rPr>
              <w:t>独立董事</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before="135"/>
              <w:ind w:left="32"/>
              <w:jc w:val="center"/>
              <w:rPr>
                <w:rFonts w:ascii="宋体" w:eastAsia="宋体" w:hint="eastAsia"/>
                <w:sz w:val="21"/>
              </w:rPr>
            </w:pPr>
            <w:r>
              <w:rPr>
                <w:rFonts w:ascii="宋体" w:eastAsia="宋体" w:hint="eastAsia"/>
                <w:w w:val="100"/>
                <w:sz w:val="21"/>
              </w:rPr>
              <w:t>男</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before="144"/>
              <w:ind w:left="200" w:right="166"/>
              <w:jc w:val="center"/>
              <w:rPr>
                <w:sz w:val="21"/>
              </w:rPr>
            </w:pPr>
            <w:r>
              <w:rPr>
                <w:sz w:val="21"/>
              </w:rPr>
              <w:t>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before="1"/>
              <w:ind w:left="121"/>
              <w:rPr>
                <w:sz w:val="21"/>
              </w:rPr>
            </w:pPr>
            <w:r>
              <w:rPr>
                <w:sz w:val="21"/>
              </w:rPr>
              <w:t>2019 </w:t>
            </w:r>
            <w:r>
              <w:rPr>
                <w:rFonts w:ascii="宋体" w:eastAsia="宋体" w:hint="eastAsia"/>
                <w:sz w:val="21"/>
              </w:rPr>
              <w:t>年 </w:t>
            </w:r>
            <w:r>
              <w:rPr>
                <w:sz w:val="21"/>
              </w:rPr>
              <w:t>6</w:t>
            </w:r>
          </w:p>
          <w:p>
            <w:pPr>
              <w:pStyle w:val="TableParagraph"/>
              <w:spacing w:line="252" w:lineRule="exact" w:before="2"/>
              <w:ind w:left="121"/>
              <w:rPr>
                <w:rFonts w:ascii="宋体" w:eastAsia="宋体" w:hint="eastAsia"/>
                <w:sz w:val="21"/>
              </w:rPr>
            </w:pPr>
            <w:r>
              <w:rPr>
                <w:rFonts w:ascii="宋体" w:eastAsia="宋体" w:hint="eastAsia"/>
                <w:sz w:val="21"/>
              </w:rPr>
              <w:t>月 </w:t>
            </w:r>
            <w:r>
              <w:rPr>
                <w:sz w:val="21"/>
              </w:rPr>
              <w:t>18 </w:t>
            </w:r>
            <w:r>
              <w:rPr>
                <w:rFonts w:ascii="宋体" w:eastAsia="宋体" w:hint="eastAsia"/>
                <w:sz w:val="21"/>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before="1"/>
              <w:ind w:left="123"/>
              <w:rPr>
                <w:sz w:val="21"/>
              </w:rPr>
            </w:pPr>
            <w:r>
              <w:rPr>
                <w:sz w:val="21"/>
              </w:rPr>
              <w:t>2021 </w:t>
            </w:r>
            <w:r>
              <w:rPr>
                <w:rFonts w:ascii="宋体" w:eastAsia="宋体" w:hint="eastAsia"/>
                <w:sz w:val="21"/>
              </w:rPr>
              <w:t>年 </w:t>
            </w:r>
            <w:r>
              <w:rPr>
                <w:sz w:val="21"/>
              </w:rPr>
              <w:t>6</w:t>
            </w:r>
          </w:p>
          <w:p>
            <w:pPr>
              <w:pStyle w:val="TableParagraph"/>
              <w:spacing w:line="252" w:lineRule="exact" w:before="2"/>
              <w:ind w:left="123"/>
              <w:rPr>
                <w:rFonts w:ascii="宋体" w:eastAsia="宋体" w:hint="eastAsia"/>
                <w:sz w:val="21"/>
              </w:rPr>
            </w:pPr>
            <w:r>
              <w:rPr>
                <w:rFonts w:ascii="宋体" w:eastAsia="宋体" w:hint="eastAsia"/>
                <w:sz w:val="21"/>
              </w:rPr>
              <w:t>月 </w:t>
            </w:r>
            <w:r>
              <w:rPr>
                <w:sz w:val="21"/>
              </w:rPr>
              <w:t>9 </w:t>
            </w:r>
            <w:r>
              <w:rPr>
                <w:rFonts w:ascii="宋体" w:eastAsia="宋体" w:hint="eastAsia"/>
                <w:sz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144"/>
              <w:ind w:right="81"/>
              <w:jc w:val="right"/>
              <w:rPr>
                <w:sz w:val="21"/>
              </w:rPr>
            </w:pPr>
            <w:r>
              <w:rPr>
                <w:sz w:val="21"/>
              </w:rPr>
              <w:t>20</w:t>
            </w:r>
          </w:p>
        </w:tc>
        <w:tc>
          <w:tcPr>
            <w:tcW w:w="1407" w:type="dxa"/>
            <w:tcBorders>
              <w:top w:val="single" w:sz="4" w:space="0" w:color="000000"/>
              <w:left w:val="single" w:sz="4" w:space="0" w:color="000000"/>
              <w:bottom w:val="single" w:sz="4" w:space="0" w:color="000000"/>
            </w:tcBorders>
          </w:tcPr>
          <w:p>
            <w:pPr>
              <w:pStyle w:val="TableParagraph"/>
              <w:spacing w:before="135"/>
              <w:ind w:left="47"/>
              <w:jc w:val="center"/>
              <w:rPr>
                <w:rFonts w:ascii="宋体" w:eastAsia="宋体" w:hint="eastAsia"/>
                <w:sz w:val="21"/>
              </w:rPr>
            </w:pPr>
            <w:r>
              <w:rPr>
                <w:rFonts w:ascii="宋体" w:eastAsia="宋体" w:hint="eastAsia"/>
                <w:w w:val="100"/>
                <w:sz w:val="21"/>
              </w:rPr>
              <w:t>否</w:t>
            </w:r>
          </w:p>
        </w:tc>
      </w:tr>
      <w:tr>
        <w:trPr>
          <w:trHeight w:val="544" w:hRule="atLeast"/>
        </w:trPr>
        <w:tc>
          <w:tcPr>
            <w:tcW w:w="1044" w:type="dxa"/>
            <w:tcBorders>
              <w:top w:val="single" w:sz="4" w:space="0" w:color="000000"/>
              <w:bottom w:val="single" w:sz="4" w:space="0" w:color="000000"/>
              <w:right w:val="single" w:sz="4" w:space="0" w:color="000000"/>
            </w:tcBorders>
          </w:tcPr>
          <w:p>
            <w:pPr>
              <w:pStyle w:val="TableParagraph"/>
              <w:spacing w:before="138"/>
              <w:ind w:left="187" w:right="166"/>
              <w:jc w:val="center"/>
              <w:rPr>
                <w:rFonts w:ascii="宋体" w:eastAsia="宋体" w:hint="eastAsia"/>
                <w:sz w:val="21"/>
              </w:rPr>
            </w:pPr>
            <w:r>
              <w:rPr>
                <w:rFonts w:ascii="宋体" w:eastAsia="宋体" w:hint="eastAsia"/>
                <w:sz w:val="21"/>
              </w:rPr>
              <w:t>钱大群</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before="138"/>
              <w:ind w:left="120"/>
              <w:rPr>
                <w:rFonts w:ascii="宋体" w:eastAsia="宋体" w:hint="eastAsia"/>
                <w:sz w:val="21"/>
              </w:rPr>
            </w:pPr>
            <w:r>
              <w:rPr>
                <w:rFonts w:ascii="宋体" w:eastAsia="宋体" w:hint="eastAsia"/>
                <w:sz w:val="21"/>
              </w:rPr>
              <w:t>独立董事</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before="138"/>
              <w:ind w:left="32"/>
              <w:jc w:val="center"/>
              <w:rPr>
                <w:rFonts w:ascii="宋体" w:eastAsia="宋体" w:hint="eastAsia"/>
                <w:sz w:val="21"/>
              </w:rPr>
            </w:pPr>
            <w:r>
              <w:rPr>
                <w:rFonts w:ascii="宋体" w:eastAsia="宋体" w:hint="eastAsia"/>
                <w:w w:val="100"/>
                <w:sz w:val="21"/>
              </w:rPr>
              <w:t>男</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before="144"/>
              <w:ind w:left="200" w:right="166"/>
              <w:jc w:val="center"/>
              <w:rPr>
                <w:sz w:val="21"/>
              </w:rPr>
            </w:pPr>
            <w:r>
              <w:rPr>
                <w:sz w:val="21"/>
              </w:rPr>
              <w:t>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before="1"/>
              <w:ind w:left="121"/>
              <w:rPr>
                <w:sz w:val="21"/>
              </w:rPr>
            </w:pPr>
            <w:r>
              <w:rPr>
                <w:sz w:val="21"/>
              </w:rPr>
              <w:t>2019 </w:t>
            </w:r>
            <w:r>
              <w:rPr>
                <w:rFonts w:ascii="宋体" w:eastAsia="宋体" w:hint="eastAsia"/>
                <w:sz w:val="21"/>
              </w:rPr>
              <w:t>年 </w:t>
            </w:r>
            <w:r>
              <w:rPr>
                <w:sz w:val="21"/>
              </w:rPr>
              <w:t>6</w:t>
            </w:r>
          </w:p>
          <w:p>
            <w:pPr>
              <w:pStyle w:val="TableParagraph"/>
              <w:spacing w:line="252" w:lineRule="exact" w:before="2"/>
              <w:ind w:left="121"/>
              <w:rPr>
                <w:rFonts w:ascii="宋体" w:eastAsia="宋体" w:hint="eastAsia"/>
                <w:sz w:val="21"/>
              </w:rPr>
            </w:pPr>
            <w:r>
              <w:rPr>
                <w:rFonts w:ascii="宋体" w:eastAsia="宋体" w:hint="eastAsia"/>
                <w:sz w:val="21"/>
              </w:rPr>
              <w:t>月 </w:t>
            </w:r>
            <w:r>
              <w:rPr>
                <w:sz w:val="21"/>
              </w:rPr>
              <w:t>18 </w:t>
            </w:r>
            <w:r>
              <w:rPr>
                <w:rFonts w:ascii="宋体" w:eastAsia="宋体" w:hint="eastAsia"/>
                <w:sz w:val="21"/>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before="1"/>
              <w:ind w:left="123"/>
              <w:rPr>
                <w:sz w:val="21"/>
              </w:rPr>
            </w:pPr>
            <w:r>
              <w:rPr>
                <w:sz w:val="21"/>
              </w:rPr>
              <w:t>2022 </w:t>
            </w:r>
            <w:r>
              <w:rPr>
                <w:rFonts w:ascii="宋体" w:eastAsia="宋体" w:hint="eastAsia"/>
                <w:sz w:val="21"/>
              </w:rPr>
              <w:t>年 </w:t>
            </w:r>
            <w:r>
              <w:rPr>
                <w:sz w:val="21"/>
              </w:rPr>
              <w:t>6</w:t>
            </w:r>
          </w:p>
          <w:p>
            <w:pPr>
              <w:pStyle w:val="TableParagraph"/>
              <w:spacing w:line="252" w:lineRule="exact" w:before="2"/>
              <w:ind w:left="123"/>
              <w:rPr>
                <w:rFonts w:ascii="宋体" w:eastAsia="宋体" w:hint="eastAsia"/>
                <w:sz w:val="21"/>
              </w:rPr>
            </w:pPr>
            <w:r>
              <w:rPr>
                <w:rFonts w:ascii="宋体" w:eastAsia="宋体" w:hint="eastAsia"/>
                <w:sz w:val="21"/>
              </w:rPr>
              <w:t>月 </w:t>
            </w:r>
            <w:r>
              <w:rPr>
                <w:sz w:val="21"/>
              </w:rPr>
              <w:t>17 </w:t>
            </w:r>
            <w:r>
              <w:rPr>
                <w:rFonts w:ascii="宋体" w:eastAsia="宋体" w:hint="eastAsia"/>
                <w:sz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144"/>
              <w:ind w:right="81"/>
              <w:jc w:val="right"/>
              <w:rPr>
                <w:sz w:val="21"/>
              </w:rPr>
            </w:pPr>
            <w:r>
              <w:rPr>
                <w:sz w:val="21"/>
              </w:rPr>
              <w:t>20</w:t>
            </w:r>
          </w:p>
        </w:tc>
        <w:tc>
          <w:tcPr>
            <w:tcW w:w="1407" w:type="dxa"/>
            <w:tcBorders>
              <w:top w:val="single" w:sz="4" w:space="0" w:color="000000"/>
              <w:left w:val="single" w:sz="4" w:space="0" w:color="000000"/>
              <w:bottom w:val="single" w:sz="4" w:space="0" w:color="000000"/>
            </w:tcBorders>
          </w:tcPr>
          <w:p>
            <w:pPr>
              <w:pStyle w:val="TableParagraph"/>
              <w:spacing w:before="138"/>
              <w:ind w:left="47"/>
              <w:jc w:val="center"/>
              <w:rPr>
                <w:rFonts w:ascii="宋体" w:eastAsia="宋体" w:hint="eastAsia"/>
                <w:sz w:val="21"/>
              </w:rPr>
            </w:pPr>
            <w:r>
              <w:rPr>
                <w:rFonts w:ascii="宋体" w:eastAsia="宋体" w:hint="eastAsia"/>
                <w:w w:val="100"/>
                <w:sz w:val="21"/>
              </w:rPr>
              <w:t>否</w:t>
            </w:r>
          </w:p>
        </w:tc>
      </w:tr>
      <w:tr>
        <w:trPr>
          <w:trHeight w:val="544" w:hRule="atLeast"/>
        </w:trPr>
        <w:tc>
          <w:tcPr>
            <w:tcW w:w="1044" w:type="dxa"/>
            <w:tcBorders>
              <w:top w:val="single" w:sz="4" w:space="0" w:color="000000"/>
              <w:bottom w:val="single" w:sz="4" w:space="0" w:color="000000"/>
              <w:right w:val="single" w:sz="4" w:space="0" w:color="000000"/>
            </w:tcBorders>
          </w:tcPr>
          <w:p>
            <w:pPr>
              <w:pStyle w:val="TableParagraph"/>
              <w:spacing w:before="138"/>
              <w:ind w:left="187" w:right="166"/>
              <w:jc w:val="center"/>
              <w:rPr>
                <w:rFonts w:ascii="宋体" w:eastAsia="宋体" w:hint="eastAsia"/>
                <w:sz w:val="21"/>
              </w:rPr>
            </w:pPr>
            <w:r>
              <w:rPr>
                <w:rFonts w:ascii="宋体" w:eastAsia="宋体" w:hint="eastAsia"/>
                <w:sz w:val="21"/>
              </w:rPr>
              <w:t>王克勤</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before="138"/>
              <w:ind w:left="120"/>
              <w:rPr>
                <w:rFonts w:ascii="宋体" w:eastAsia="宋体" w:hint="eastAsia"/>
                <w:sz w:val="21"/>
              </w:rPr>
            </w:pPr>
            <w:r>
              <w:rPr>
                <w:rFonts w:ascii="宋体" w:eastAsia="宋体" w:hint="eastAsia"/>
                <w:sz w:val="21"/>
              </w:rPr>
              <w:t>独立董事</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before="138"/>
              <w:ind w:left="32"/>
              <w:jc w:val="center"/>
              <w:rPr>
                <w:rFonts w:ascii="宋体" w:eastAsia="宋体" w:hint="eastAsia"/>
                <w:sz w:val="21"/>
              </w:rPr>
            </w:pPr>
            <w:r>
              <w:rPr>
                <w:rFonts w:ascii="宋体" w:eastAsia="宋体" w:hint="eastAsia"/>
                <w:w w:val="100"/>
                <w:sz w:val="21"/>
              </w:rPr>
              <w:t>男</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before="144"/>
              <w:ind w:left="200" w:right="166"/>
              <w:jc w:val="center"/>
              <w:rPr>
                <w:sz w:val="21"/>
              </w:rPr>
            </w:pPr>
            <w:r>
              <w:rPr>
                <w:sz w:val="21"/>
              </w:rPr>
              <w:t>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before="1"/>
              <w:ind w:left="121"/>
              <w:rPr>
                <w:sz w:val="21"/>
              </w:rPr>
            </w:pPr>
            <w:r>
              <w:rPr>
                <w:sz w:val="21"/>
              </w:rPr>
              <w:t>2020 </w:t>
            </w:r>
            <w:r>
              <w:rPr>
                <w:rFonts w:ascii="宋体" w:eastAsia="宋体" w:hint="eastAsia"/>
                <w:sz w:val="21"/>
              </w:rPr>
              <w:t>年 </w:t>
            </w:r>
            <w:r>
              <w:rPr>
                <w:sz w:val="21"/>
              </w:rPr>
              <w:t>6</w:t>
            </w:r>
          </w:p>
          <w:p>
            <w:pPr>
              <w:pStyle w:val="TableParagraph"/>
              <w:spacing w:line="252" w:lineRule="exact" w:before="2"/>
              <w:ind w:left="121"/>
              <w:rPr>
                <w:rFonts w:ascii="宋体" w:eastAsia="宋体" w:hint="eastAsia"/>
                <w:sz w:val="21"/>
              </w:rPr>
            </w:pPr>
            <w:r>
              <w:rPr>
                <w:rFonts w:ascii="宋体" w:eastAsia="宋体" w:hint="eastAsia"/>
                <w:sz w:val="21"/>
              </w:rPr>
              <w:t>月 </w:t>
            </w:r>
            <w:r>
              <w:rPr>
                <w:sz w:val="21"/>
              </w:rPr>
              <w:t>3 </w:t>
            </w:r>
            <w:r>
              <w:rPr>
                <w:rFonts w:ascii="宋体" w:eastAsia="宋体" w:hint="eastAsia"/>
                <w:sz w:val="21"/>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before="1"/>
              <w:ind w:left="123"/>
              <w:rPr>
                <w:sz w:val="21"/>
              </w:rPr>
            </w:pPr>
            <w:r>
              <w:rPr>
                <w:sz w:val="21"/>
              </w:rPr>
              <w:t>2022 </w:t>
            </w:r>
            <w:r>
              <w:rPr>
                <w:rFonts w:ascii="宋体" w:eastAsia="宋体" w:hint="eastAsia"/>
                <w:sz w:val="21"/>
              </w:rPr>
              <w:t>年 </w:t>
            </w:r>
            <w:r>
              <w:rPr>
                <w:sz w:val="21"/>
              </w:rPr>
              <w:t>6</w:t>
            </w:r>
          </w:p>
          <w:p>
            <w:pPr>
              <w:pStyle w:val="TableParagraph"/>
              <w:spacing w:line="252" w:lineRule="exact" w:before="2"/>
              <w:ind w:left="123"/>
              <w:rPr>
                <w:rFonts w:ascii="宋体" w:eastAsia="宋体" w:hint="eastAsia"/>
                <w:sz w:val="21"/>
              </w:rPr>
            </w:pPr>
            <w:r>
              <w:rPr>
                <w:rFonts w:ascii="宋体" w:eastAsia="宋体" w:hint="eastAsia"/>
                <w:sz w:val="21"/>
              </w:rPr>
              <w:t>月 </w:t>
            </w:r>
            <w:r>
              <w:rPr>
                <w:sz w:val="21"/>
              </w:rPr>
              <w:t>17 </w:t>
            </w:r>
            <w:r>
              <w:rPr>
                <w:rFonts w:ascii="宋体" w:eastAsia="宋体" w:hint="eastAsia"/>
                <w:sz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144"/>
              <w:ind w:right="79"/>
              <w:jc w:val="right"/>
              <w:rPr>
                <w:sz w:val="21"/>
              </w:rPr>
            </w:pPr>
            <w:r>
              <w:rPr>
                <w:sz w:val="21"/>
              </w:rPr>
              <w:t>7.5</w:t>
            </w:r>
          </w:p>
        </w:tc>
        <w:tc>
          <w:tcPr>
            <w:tcW w:w="1407" w:type="dxa"/>
            <w:tcBorders>
              <w:top w:val="single" w:sz="4" w:space="0" w:color="000000"/>
              <w:left w:val="single" w:sz="4" w:space="0" w:color="000000"/>
              <w:bottom w:val="single" w:sz="4" w:space="0" w:color="000000"/>
            </w:tcBorders>
          </w:tcPr>
          <w:p>
            <w:pPr>
              <w:pStyle w:val="TableParagraph"/>
              <w:spacing w:before="138"/>
              <w:ind w:left="47"/>
              <w:jc w:val="center"/>
              <w:rPr>
                <w:rFonts w:ascii="宋体" w:eastAsia="宋体" w:hint="eastAsia"/>
                <w:sz w:val="21"/>
              </w:rPr>
            </w:pPr>
            <w:r>
              <w:rPr>
                <w:rFonts w:ascii="宋体" w:eastAsia="宋体" w:hint="eastAsia"/>
                <w:w w:val="100"/>
                <w:sz w:val="21"/>
              </w:rPr>
              <w:t>否</w:t>
            </w:r>
          </w:p>
        </w:tc>
      </w:tr>
      <w:tr>
        <w:trPr>
          <w:trHeight w:val="816" w:hRule="atLeast"/>
        </w:trPr>
        <w:tc>
          <w:tcPr>
            <w:tcW w:w="1044" w:type="dxa"/>
            <w:tcBorders>
              <w:top w:val="single" w:sz="4" w:space="0" w:color="000000"/>
              <w:bottom w:val="single" w:sz="4" w:space="0" w:color="000000"/>
              <w:right w:val="single" w:sz="4" w:space="0" w:color="000000"/>
            </w:tcBorders>
          </w:tcPr>
          <w:p>
            <w:pPr>
              <w:pStyle w:val="TableParagraph"/>
              <w:spacing w:before="1"/>
              <w:ind w:left="205"/>
              <w:rPr>
                <w:rFonts w:ascii="宋体" w:eastAsia="宋体" w:hint="eastAsia"/>
                <w:sz w:val="21"/>
              </w:rPr>
            </w:pPr>
            <w:r>
              <w:rPr>
                <w:rFonts w:ascii="宋体" w:eastAsia="宋体" w:hint="eastAsia"/>
                <w:sz w:val="21"/>
              </w:rPr>
              <w:t>施天涛</w:t>
            </w:r>
          </w:p>
          <w:p>
            <w:pPr>
              <w:pStyle w:val="TableParagraph"/>
              <w:spacing w:line="270" w:lineRule="atLeast" w:before="4"/>
              <w:ind w:left="311" w:right="182" w:hanging="106"/>
              <w:rPr>
                <w:rFonts w:ascii="宋体" w:eastAsia="宋体" w:hint="eastAsia"/>
                <w:sz w:val="21"/>
              </w:rPr>
            </w:pPr>
            <w:r>
              <w:rPr>
                <w:rFonts w:ascii="宋体" w:eastAsia="宋体" w:hint="eastAsia"/>
                <w:sz w:val="21"/>
              </w:rPr>
              <w:t>（已离任）</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before="6"/>
              <w:rPr>
                <w:rFonts w:ascii="宋体"/>
                <w:sz w:val="21"/>
              </w:rPr>
            </w:pPr>
          </w:p>
          <w:p>
            <w:pPr>
              <w:pStyle w:val="TableParagraph"/>
              <w:ind w:left="120"/>
              <w:rPr>
                <w:rFonts w:ascii="宋体" w:eastAsia="宋体" w:hint="eastAsia"/>
                <w:sz w:val="21"/>
              </w:rPr>
            </w:pPr>
            <w:r>
              <w:rPr>
                <w:rFonts w:ascii="宋体" w:eastAsia="宋体" w:hint="eastAsia"/>
                <w:sz w:val="21"/>
              </w:rPr>
              <w:t>独立董事</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before="6"/>
              <w:rPr>
                <w:rFonts w:ascii="宋体"/>
                <w:sz w:val="21"/>
              </w:rPr>
            </w:pPr>
          </w:p>
          <w:p>
            <w:pPr>
              <w:pStyle w:val="TableParagraph"/>
              <w:ind w:left="32"/>
              <w:jc w:val="center"/>
              <w:rPr>
                <w:rFonts w:ascii="宋体" w:eastAsia="宋体" w:hint="eastAsia"/>
                <w:sz w:val="21"/>
              </w:rPr>
            </w:pPr>
            <w:r>
              <w:rPr>
                <w:rFonts w:ascii="宋体" w:eastAsia="宋体" w:hint="eastAsia"/>
                <w:w w:val="100"/>
                <w:sz w:val="21"/>
              </w:rPr>
              <w:t>男</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22"/>
              </w:rPr>
            </w:pPr>
          </w:p>
          <w:p>
            <w:pPr>
              <w:pStyle w:val="TableParagraph"/>
              <w:ind w:left="200" w:right="166"/>
              <w:jc w:val="center"/>
              <w:rPr>
                <w:sz w:val="21"/>
              </w:rPr>
            </w:pPr>
            <w:r>
              <w:rPr>
                <w:sz w:val="21"/>
              </w:rPr>
              <w:t>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before="138"/>
              <w:ind w:left="121"/>
              <w:rPr>
                <w:sz w:val="21"/>
              </w:rPr>
            </w:pPr>
            <w:r>
              <w:rPr>
                <w:sz w:val="21"/>
              </w:rPr>
              <w:t>2019 </w:t>
            </w:r>
            <w:r>
              <w:rPr>
                <w:rFonts w:ascii="宋体" w:eastAsia="宋体" w:hint="eastAsia"/>
                <w:sz w:val="21"/>
              </w:rPr>
              <w:t>年 </w:t>
            </w:r>
            <w:r>
              <w:rPr>
                <w:sz w:val="21"/>
              </w:rPr>
              <w:t>6</w:t>
            </w:r>
          </w:p>
          <w:p>
            <w:pPr>
              <w:pStyle w:val="TableParagraph"/>
              <w:spacing w:before="2"/>
              <w:ind w:left="121"/>
              <w:rPr>
                <w:rFonts w:ascii="宋体" w:eastAsia="宋体" w:hint="eastAsia"/>
                <w:sz w:val="21"/>
              </w:rPr>
            </w:pPr>
            <w:r>
              <w:rPr>
                <w:rFonts w:ascii="宋体" w:eastAsia="宋体" w:hint="eastAsia"/>
                <w:sz w:val="21"/>
              </w:rPr>
              <w:t>月 </w:t>
            </w:r>
            <w:r>
              <w:rPr>
                <w:sz w:val="21"/>
              </w:rPr>
              <w:t>18 </w:t>
            </w:r>
            <w:r>
              <w:rPr>
                <w:rFonts w:ascii="宋体" w:eastAsia="宋体" w:hint="eastAsia"/>
                <w:sz w:val="21"/>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before="138"/>
              <w:ind w:left="123"/>
              <w:rPr>
                <w:sz w:val="21"/>
              </w:rPr>
            </w:pPr>
            <w:r>
              <w:rPr>
                <w:sz w:val="21"/>
              </w:rPr>
              <w:t>2020 </w:t>
            </w:r>
            <w:r>
              <w:rPr>
                <w:rFonts w:ascii="宋体" w:eastAsia="宋体" w:hint="eastAsia"/>
                <w:sz w:val="21"/>
              </w:rPr>
              <w:t>年 </w:t>
            </w:r>
            <w:r>
              <w:rPr>
                <w:sz w:val="21"/>
              </w:rPr>
              <w:t>5</w:t>
            </w:r>
          </w:p>
          <w:p>
            <w:pPr>
              <w:pStyle w:val="TableParagraph"/>
              <w:spacing w:before="2"/>
              <w:ind w:left="123"/>
              <w:rPr>
                <w:rFonts w:ascii="宋体" w:eastAsia="宋体" w:hint="eastAsia"/>
                <w:sz w:val="21"/>
              </w:rPr>
            </w:pPr>
            <w:r>
              <w:rPr>
                <w:rFonts w:ascii="宋体" w:eastAsia="宋体" w:hint="eastAsia"/>
                <w:sz w:val="21"/>
              </w:rPr>
              <w:t>月 </w:t>
            </w:r>
            <w:r>
              <w:rPr>
                <w:sz w:val="21"/>
              </w:rPr>
              <w:t>19 </w:t>
            </w:r>
            <w:r>
              <w:rPr>
                <w:rFonts w:ascii="宋体" w:eastAsia="宋体" w:hint="eastAsia"/>
                <w:sz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22"/>
              </w:rPr>
            </w:pPr>
          </w:p>
          <w:p>
            <w:pPr>
              <w:pStyle w:val="TableParagraph"/>
              <w:ind w:right="79"/>
              <w:jc w:val="right"/>
              <w:rPr>
                <w:sz w:val="21"/>
              </w:rPr>
            </w:pPr>
            <w:r>
              <w:rPr>
                <w:sz w:val="21"/>
              </w:rPr>
              <w:t>13.75</w:t>
            </w:r>
          </w:p>
        </w:tc>
        <w:tc>
          <w:tcPr>
            <w:tcW w:w="1407" w:type="dxa"/>
            <w:tcBorders>
              <w:top w:val="single" w:sz="4" w:space="0" w:color="000000"/>
              <w:left w:val="single" w:sz="4" w:space="0" w:color="000000"/>
              <w:bottom w:val="single" w:sz="4" w:space="0" w:color="000000"/>
            </w:tcBorders>
          </w:tcPr>
          <w:p>
            <w:pPr>
              <w:pStyle w:val="TableParagraph"/>
              <w:spacing w:before="6"/>
              <w:rPr>
                <w:rFonts w:ascii="宋体"/>
                <w:sz w:val="21"/>
              </w:rPr>
            </w:pPr>
          </w:p>
          <w:p>
            <w:pPr>
              <w:pStyle w:val="TableParagraph"/>
              <w:ind w:left="47"/>
              <w:jc w:val="center"/>
              <w:rPr>
                <w:rFonts w:ascii="宋体" w:eastAsia="宋体" w:hint="eastAsia"/>
                <w:sz w:val="21"/>
              </w:rPr>
            </w:pPr>
            <w:r>
              <w:rPr>
                <w:rFonts w:ascii="宋体" w:eastAsia="宋体" w:hint="eastAsia"/>
                <w:w w:val="100"/>
                <w:sz w:val="21"/>
              </w:rPr>
              <w:t>否</w:t>
            </w:r>
          </w:p>
        </w:tc>
      </w:tr>
      <w:tr>
        <w:trPr>
          <w:trHeight w:val="543" w:hRule="atLeast"/>
        </w:trPr>
        <w:tc>
          <w:tcPr>
            <w:tcW w:w="1044" w:type="dxa"/>
            <w:tcBorders>
              <w:top w:val="single" w:sz="4" w:space="0" w:color="000000"/>
              <w:right w:val="single" w:sz="4" w:space="0" w:color="000000"/>
            </w:tcBorders>
          </w:tcPr>
          <w:p>
            <w:pPr>
              <w:pStyle w:val="TableParagraph"/>
              <w:spacing w:line="270" w:lineRule="atLeast" w:before="2"/>
              <w:ind w:left="205" w:right="41" w:hanging="99"/>
              <w:rPr>
                <w:rFonts w:ascii="宋体" w:eastAsia="宋体" w:hint="eastAsia"/>
                <w:sz w:val="21"/>
              </w:rPr>
            </w:pPr>
            <w:r>
              <w:rPr>
                <w:rFonts w:ascii="宋体" w:eastAsia="宋体" w:hint="eastAsia"/>
                <w:sz w:val="21"/>
              </w:rPr>
              <w:t>阎焱（已离任）</w:t>
            </w:r>
          </w:p>
        </w:tc>
        <w:tc>
          <w:tcPr>
            <w:tcW w:w="1144" w:type="dxa"/>
            <w:tcBorders>
              <w:top w:val="single" w:sz="4" w:space="0" w:color="000000"/>
              <w:left w:val="single" w:sz="4" w:space="0" w:color="000000"/>
              <w:right w:val="single" w:sz="4" w:space="0" w:color="000000"/>
            </w:tcBorders>
          </w:tcPr>
          <w:p>
            <w:pPr>
              <w:pStyle w:val="TableParagraph"/>
              <w:spacing w:before="138"/>
              <w:ind w:left="120"/>
              <w:rPr>
                <w:rFonts w:ascii="宋体" w:eastAsia="宋体" w:hint="eastAsia"/>
                <w:sz w:val="21"/>
              </w:rPr>
            </w:pPr>
            <w:r>
              <w:rPr>
                <w:rFonts w:ascii="宋体" w:eastAsia="宋体" w:hint="eastAsia"/>
                <w:sz w:val="21"/>
              </w:rPr>
              <w:t>董事</w:t>
            </w:r>
          </w:p>
        </w:tc>
        <w:tc>
          <w:tcPr>
            <w:tcW w:w="839" w:type="dxa"/>
            <w:tcBorders>
              <w:top w:val="single" w:sz="4" w:space="0" w:color="000000"/>
              <w:left w:val="single" w:sz="4" w:space="0" w:color="000000"/>
              <w:right w:val="single" w:sz="4" w:space="0" w:color="000000"/>
            </w:tcBorders>
          </w:tcPr>
          <w:p>
            <w:pPr>
              <w:pStyle w:val="TableParagraph"/>
              <w:spacing w:before="138"/>
              <w:ind w:left="32"/>
              <w:jc w:val="center"/>
              <w:rPr>
                <w:rFonts w:ascii="宋体" w:eastAsia="宋体" w:hint="eastAsia"/>
                <w:sz w:val="21"/>
              </w:rPr>
            </w:pPr>
            <w:r>
              <w:rPr>
                <w:rFonts w:ascii="宋体" w:eastAsia="宋体" w:hint="eastAsia"/>
                <w:w w:val="100"/>
                <w:sz w:val="21"/>
              </w:rPr>
              <w:t>男</w:t>
            </w:r>
          </w:p>
        </w:tc>
        <w:tc>
          <w:tcPr>
            <w:tcW w:w="839" w:type="dxa"/>
            <w:tcBorders>
              <w:top w:val="single" w:sz="4" w:space="0" w:color="000000"/>
              <w:left w:val="single" w:sz="4" w:space="0" w:color="000000"/>
              <w:right w:val="single" w:sz="4" w:space="0" w:color="000000"/>
            </w:tcBorders>
          </w:tcPr>
          <w:p>
            <w:pPr>
              <w:pStyle w:val="TableParagraph"/>
              <w:spacing w:before="147"/>
              <w:ind w:left="200" w:right="166"/>
              <w:jc w:val="center"/>
              <w:rPr>
                <w:sz w:val="21"/>
              </w:rPr>
            </w:pPr>
            <w:r>
              <w:rPr>
                <w:sz w:val="21"/>
              </w:rPr>
              <w:t>64</w:t>
            </w:r>
          </w:p>
        </w:tc>
        <w:tc>
          <w:tcPr>
            <w:tcW w:w="1195" w:type="dxa"/>
            <w:tcBorders>
              <w:top w:val="single" w:sz="4" w:space="0" w:color="000000"/>
              <w:left w:val="single" w:sz="4" w:space="0" w:color="000000"/>
              <w:right w:val="single" w:sz="4" w:space="0" w:color="000000"/>
            </w:tcBorders>
          </w:tcPr>
          <w:p>
            <w:pPr>
              <w:pStyle w:val="TableParagraph"/>
              <w:spacing w:before="3"/>
              <w:ind w:left="121"/>
              <w:rPr>
                <w:sz w:val="21"/>
              </w:rPr>
            </w:pPr>
            <w:r>
              <w:rPr>
                <w:sz w:val="21"/>
              </w:rPr>
              <w:t>2019 </w:t>
            </w:r>
            <w:r>
              <w:rPr>
                <w:rFonts w:ascii="宋体" w:eastAsia="宋体" w:hint="eastAsia"/>
                <w:sz w:val="21"/>
              </w:rPr>
              <w:t>年 </w:t>
            </w:r>
            <w:r>
              <w:rPr>
                <w:sz w:val="21"/>
              </w:rPr>
              <w:t>6</w:t>
            </w:r>
          </w:p>
          <w:p>
            <w:pPr>
              <w:pStyle w:val="TableParagraph"/>
              <w:spacing w:line="249" w:lineRule="exact" w:before="2"/>
              <w:ind w:left="121"/>
              <w:rPr>
                <w:rFonts w:ascii="宋体" w:eastAsia="宋体" w:hint="eastAsia"/>
                <w:sz w:val="21"/>
              </w:rPr>
            </w:pPr>
            <w:r>
              <w:rPr>
                <w:rFonts w:ascii="宋体" w:eastAsia="宋体" w:hint="eastAsia"/>
                <w:sz w:val="21"/>
              </w:rPr>
              <w:t>月 </w:t>
            </w:r>
            <w:r>
              <w:rPr>
                <w:sz w:val="21"/>
              </w:rPr>
              <w:t>18 </w:t>
            </w:r>
            <w:r>
              <w:rPr>
                <w:rFonts w:ascii="宋体" w:eastAsia="宋体" w:hint="eastAsia"/>
                <w:sz w:val="21"/>
              </w:rPr>
              <w:t>日</w:t>
            </w:r>
          </w:p>
        </w:tc>
        <w:tc>
          <w:tcPr>
            <w:tcW w:w="1197" w:type="dxa"/>
            <w:tcBorders>
              <w:top w:val="single" w:sz="4" w:space="0" w:color="000000"/>
              <w:left w:val="single" w:sz="4" w:space="0" w:color="000000"/>
              <w:right w:val="single" w:sz="4" w:space="0" w:color="000000"/>
            </w:tcBorders>
          </w:tcPr>
          <w:p>
            <w:pPr>
              <w:pStyle w:val="TableParagraph"/>
              <w:spacing w:before="3"/>
              <w:ind w:left="123"/>
              <w:rPr>
                <w:sz w:val="21"/>
              </w:rPr>
            </w:pPr>
            <w:r>
              <w:rPr>
                <w:sz w:val="21"/>
              </w:rPr>
              <w:t>2022 </w:t>
            </w:r>
            <w:r>
              <w:rPr>
                <w:rFonts w:ascii="宋体" w:eastAsia="宋体" w:hint="eastAsia"/>
                <w:sz w:val="21"/>
              </w:rPr>
              <w:t>年 </w:t>
            </w:r>
            <w:r>
              <w:rPr>
                <w:sz w:val="21"/>
              </w:rPr>
              <w:t>6</w:t>
            </w:r>
          </w:p>
          <w:p>
            <w:pPr>
              <w:pStyle w:val="TableParagraph"/>
              <w:spacing w:line="249" w:lineRule="exact" w:before="2"/>
              <w:ind w:left="123"/>
              <w:rPr>
                <w:rFonts w:ascii="宋体" w:eastAsia="宋体" w:hint="eastAsia"/>
                <w:sz w:val="21"/>
              </w:rPr>
            </w:pPr>
            <w:r>
              <w:rPr>
                <w:rFonts w:ascii="宋体" w:eastAsia="宋体" w:hint="eastAsia"/>
                <w:sz w:val="21"/>
              </w:rPr>
              <w:t>月 </w:t>
            </w:r>
            <w:r>
              <w:rPr>
                <w:sz w:val="21"/>
              </w:rPr>
              <w:t>17 </w:t>
            </w:r>
            <w:r>
              <w:rPr>
                <w:rFonts w:ascii="宋体" w:eastAsia="宋体" w:hint="eastAsia"/>
                <w:sz w:val="21"/>
              </w:rPr>
              <w:t>日</w:t>
            </w:r>
          </w:p>
        </w:tc>
        <w:tc>
          <w:tcPr>
            <w:tcW w:w="1265" w:type="dxa"/>
            <w:tcBorders>
              <w:top w:val="single" w:sz="4" w:space="0" w:color="000000"/>
              <w:left w:val="single" w:sz="4" w:space="0" w:color="000000"/>
              <w:right w:val="single" w:sz="4" w:space="0" w:color="000000"/>
            </w:tcBorders>
          </w:tcPr>
          <w:p>
            <w:pPr>
              <w:pStyle w:val="TableParagraph"/>
              <w:rPr>
                <w:sz w:val="20"/>
              </w:rPr>
            </w:pPr>
          </w:p>
        </w:tc>
        <w:tc>
          <w:tcPr>
            <w:tcW w:w="1267" w:type="dxa"/>
            <w:tcBorders>
              <w:top w:val="single" w:sz="4" w:space="0" w:color="000000"/>
              <w:left w:val="single" w:sz="4" w:space="0" w:color="000000"/>
              <w:right w:val="single" w:sz="4" w:space="0" w:color="000000"/>
            </w:tcBorders>
          </w:tcPr>
          <w:p>
            <w:pPr>
              <w:pStyle w:val="TableParagraph"/>
              <w:rPr>
                <w:sz w:val="20"/>
              </w:rPr>
            </w:pPr>
          </w:p>
        </w:tc>
        <w:tc>
          <w:tcPr>
            <w:tcW w:w="1344" w:type="dxa"/>
            <w:tcBorders>
              <w:top w:val="single" w:sz="4" w:space="0" w:color="000000"/>
              <w:left w:val="single" w:sz="4" w:space="0" w:color="000000"/>
              <w:right w:val="single" w:sz="4" w:space="0" w:color="000000"/>
            </w:tcBorders>
          </w:tcPr>
          <w:p>
            <w:pPr>
              <w:pStyle w:val="TableParagraph"/>
              <w:rPr>
                <w:sz w:val="20"/>
              </w:rPr>
            </w:pPr>
          </w:p>
        </w:tc>
        <w:tc>
          <w:tcPr>
            <w:tcW w:w="1167" w:type="dxa"/>
            <w:tcBorders>
              <w:top w:val="single" w:sz="4" w:space="0" w:color="000000"/>
              <w:left w:val="single" w:sz="4" w:space="0" w:color="000000"/>
              <w:right w:val="single" w:sz="4" w:space="0" w:color="000000"/>
            </w:tcBorders>
          </w:tcPr>
          <w:p>
            <w:pPr>
              <w:pStyle w:val="TableParagraph"/>
              <w:rPr>
                <w:sz w:val="20"/>
              </w:rPr>
            </w:pPr>
          </w:p>
        </w:tc>
        <w:tc>
          <w:tcPr>
            <w:tcW w:w="1385" w:type="dxa"/>
            <w:tcBorders>
              <w:top w:val="single" w:sz="4" w:space="0" w:color="000000"/>
              <w:left w:val="single" w:sz="4" w:space="0" w:color="000000"/>
              <w:right w:val="single" w:sz="4" w:space="0" w:color="000000"/>
            </w:tcBorders>
          </w:tcPr>
          <w:p>
            <w:pPr>
              <w:pStyle w:val="TableParagraph"/>
              <w:spacing w:before="147"/>
              <w:ind w:right="79"/>
              <w:jc w:val="right"/>
              <w:rPr>
                <w:sz w:val="21"/>
              </w:rPr>
            </w:pPr>
            <w:r>
              <w:rPr>
                <w:sz w:val="21"/>
              </w:rPr>
              <w:t>18.75</w:t>
            </w:r>
          </w:p>
        </w:tc>
        <w:tc>
          <w:tcPr>
            <w:tcW w:w="1407" w:type="dxa"/>
            <w:tcBorders>
              <w:top w:val="single" w:sz="4" w:space="0" w:color="000000"/>
              <w:left w:val="single" w:sz="4" w:space="0" w:color="000000"/>
            </w:tcBorders>
          </w:tcPr>
          <w:p>
            <w:pPr>
              <w:pStyle w:val="TableParagraph"/>
              <w:spacing w:before="138"/>
              <w:ind w:left="47"/>
              <w:jc w:val="center"/>
              <w:rPr>
                <w:rFonts w:ascii="宋体" w:eastAsia="宋体" w:hint="eastAsia"/>
                <w:sz w:val="21"/>
              </w:rPr>
            </w:pPr>
            <w:r>
              <w:rPr>
                <w:rFonts w:ascii="宋体" w:eastAsia="宋体" w:hint="eastAsia"/>
                <w:w w:val="100"/>
                <w:sz w:val="21"/>
              </w:rPr>
              <w:t>否</w:t>
            </w:r>
          </w:p>
        </w:tc>
      </w:tr>
    </w:tbl>
    <w:p>
      <w:pPr>
        <w:spacing w:after="0"/>
        <w:jc w:val="center"/>
        <w:rPr>
          <w:rFonts w:ascii="宋体" w:eastAsia="宋体" w:hint="eastAsia"/>
          <w:sz w:val="21"/>
        </w:rPr>
        <w:sectPr>
          <w:headerReference w:type="default" r:id="rId67"/>
          <w:footerReference w:type="default" r:id="rId68"/>
          <w:pgSz w:w="16840" w:h="11910" w:orient="landscape"/>
          <w:pgMar w:header="874" w:footer="1214" w:top="1180" w:bottom="1400" w:left="1300" w:right="1180"/>
          <w:pgNumType w:start="5"/>
        </w:sectPr>
      </w:pPr>
    </w:p>
    <w:p>
      <w:pPr>
        <w:pStyle w:val="BodyText"/>
        <w:spacing w:before="6"/>
        <w:rPr>
          <w:sz w:val="7"/>
        </w:rPr>
      </w:pPr>
    </w:p>
    <w:tbl>
      <w:tblPr>
        <w:tblW w:w="0" w:type="auto"/>
        <w:jc w:val="left"/>
        <w:tblInd w:w="1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44"/>
        <w:gridCol w:w="1144"/>
        <w:gridCol w:w="839"/>
        <w:gridCol w:w="839"/>
        <w:gridCol w:w="1195"/>
        <w:gridCol w:w="1197"/>
        <w:gridCol w:w="1265"/>
        <w:gridCol w:w="1267"/>
        <w:gridCol w:w="1344"/>
        <w:gridCol w:w="1167"/>
        <w:gridCol w:w="1385"/>
        <w:gridCol w:w="1407"/>
      </w:tblGrid>
      <w:tr>
        <w:trPr>
          <w:trHeight w:val="543" w:hRule="atLeast"/>
        </w:trPr>
        <w:tc>
          <w:tcPr>
            <w:tcW w:w="1044" w:type="dxa"/>
            <w:tcBorders>
              <w:bottom w:val="single" w:sz="4" w:space="0" w:color="000000"/>
              <w:right w:val="single" w:sz="4" w:space="0" w:color="000000"/>
            </w:tcBorders>
          </w:tcPr>
          <w:p>
            <w:pPr>
              <w:pStyle w:val="TableParagraph"/>
              <w:spacing w:before="137"/>
              <w:ind w:left="187" w:right="166"/>
              <w:jc w:val="center"/>
              <w:rPr>
                <w:rFonts w:ascii="宋体" w:eastAsia="宋体" w:hint="eastAsia"/>
                <w:sz w:val="21"/>
              </w:rPr>
            </w:pPr>
            <w:r>
              <w:rPr>
                <w:rFonts w:ascii="宋体" w:eastAsia="宋体" w:hint="eastAsia"/>
                <w:sz w:val="21"/>
              </w:rPr>
              <w:t>王培华</w:t>
            </w:r>
          </w:p>
        </w:tc>
        <w:tc>
          <w:tcPr>
            <w:tcW w:w="1144" w:type="dxa"/>
            <w:tcBorders>
              <w:left w:val="single" w:sz="4" w:space="0" w:color="000000"/>
              <w:bottom w:val="single" w:sz="4" w:space="0" w:color="000000"/>
              <w:right w:val="single" w:sz="4" w:space="0" w:color="000000"/>
            </w:tcBorders>
          </w:tcPr>
          <w:p>
            <w:pPr>
              <w:pStyle w:val="TableParagraph"/>
              <w:ind w:left="120"/>
              <w:rPr>
                <w:rFonts w:ascii="宋体" w:eastAsia="宋体" w:hint="eastAsia"/>
                <w:sz w:val="21"/>
              </w:rPr>
            </w:pPr>
            <w:r>
              <w:rPr>
                <w:rFonts w:ascii="宋体" w:eastAsia="宋体" w:hint="eastAsia"/>
                <w:sz w:val="21"/>
              </w:rPr>
              <w:t>监事会主</w:t>
            </w:r>
          </w:p>
          <w:p>
            <w:pPr>
              <w:pStyle w:val="TableParagraph"/>
              <w:spacing w:line="250" w:lineRule="exact" w:before="5"/>
              <w:ind w:left="120"/>
              <w:rPr>
                <w:rFonts w:ascii="宋体" w:eastAsia="宋体" w:hint="eastAsia"/>
                <w:sz w:val="21"/>
              </w:rPr>
            </w:pPr>
            <w:r>
              <w:rPr>
                <w:rFonts w:ascii="宋体" w:eastAsia="宋体" w:hint="eastAsia"/>
                <w:w w:val="100"/>
                <w:sz w:val="21"/>
              </w:rPr>
              <w:t>席</w:t>
            </w:r>
          </w:p>
        </w:tc>
        <w:tc>
          <w:tcPr>
            <w:tcW w:w="839" w:type="dxa"/>
            <w:tcBorders>
              <w:left w:val="single" w:sz="4" w:space="0" w:color="000000"/>
              <w:bottom w:val="single" w:sz="4" w:space="0" w:color="000000"/>
              <w:right w:val="single" w:sz="4" w:space="0" w:color="000000"/>
            </w:tcBorders>
          </w:tcPr>
          <w:p>
            <w:pPr>
              <w:pStyle w:val="TableParagraph"/>
              <w:spacing w:before="137"/>
              <w:ind w:left="32"/>
              <w:jc w:val="center"/>
              <w:rPr>
                <w:rFonts w:ascii="宋体" w:eastAsia="宋体" w:hint="eastAsia"/>
                <w:sz w:val="21"/>
              </w:rPr>
            </w:pPr>
            <w:r>
              <w:rPr>
                <w:rFonts w:ascii="宋体" w:eastAsia="宋体" w:hint="eastAsia"/>
                <w:w w:val="100"/>
                <w:sz w:val="21"/>
              </w:rPr>
              <w:t>男</w:t>
            </w:r>
          </w:p>
        </w:tc>
        <w:tc>
          <w:tcPr>
            <w:tcW w:w="839" w:type="dxa"/>
            <w:tcBorders>
              <w:left w:val="single" w:sz="4" w:space="0" w:color="000000"/>
              <w:bottom w:val="single" w:sz="4" w:space="0" w:color="000000"/>
              <w:right w:val="single" w:sz="4" w:space="0" w:color="000000"/>
            </w:tcBorders>
          </w:tcPr>
          <w:p>
            <w:pPr>
              <w:pStyle w:val="TableParagraph"/>
              <w:spacing w:before="144"/>
              <w:ind w:left="200" w:right="166"/>
              <w:jc w:val="center"/>
              <w:rPr>
                <w:sz w:val="21"/>
              </w:rPr>
            </w:pPr>
            <w:r>
              <w:rPr>
                <w:sz w:val="21"/>
              </w:rPr>
              <w:t>64</w:t>
            </w:r>
          </w:p>
        </w:tc>
        <w:tc>
          <w:tcPr>
            <w:tcW w:w="1195" w:type="dxa"/>
            <w:tcBorders>
              <w:left w:val="single" w:sz="4" w:space="0" w:color="000000"/>
              <w:bottom w:val="single" w:sz="4" w:space="0" w:color="000000"/>
              <w:right w:val="single" w:sz="4" w:space="0" w:color="000000"/>
            </w:tcBorders>
          </w:tcPr>
          <w:p>
            <w:pPr>
              <w:pStyle w:val="TableParagraph"/>
              <w:ind w:left="121"/>
              <w:rPr>
                <w:sz w:val="21"/>
              </w:rPr>
            </w:pPr>
            <w:r>
              <w:rPr>
                <w:sz w:val="21"/>
              </w:rPr>
              <w:t>2016 </w:t>
            </w:r>
            <w:r>
              <w:rPr>
                <w:rFonts w:ascii="宋体" w:eastAsia="宋体" w:hint="eastAsia"/>
                <w:sz w:val="21"/>
              </w:rPr>
              <w:t>年 </w:t>
            </w:r>
            <w:r>
              <w:rPr>
                <w:sz w:val="21"/>
              </w:rPr>
              <w:t>5</w:t>
            </w:r>
          </w:p>
          <w:p>
            <w:pPr>
              <w:pStyle w:val="TableParagraph"/>
              <w:spacing w:line="250" w:lineRule="exact" w:before="5"/>
              <w:ind w:left="121"/>
              <w:rPr>
                <w:rFonts w:ascii="宋体" w:eastAsia="宋体" w:hint="eastAsia"/>
                <w:sz w:val="21"/>
              </w:rPr>
            </w:pPr>
            <w:r>
              <w:rPr>
                <w:rFonts w:ascii="宋体" w:eastAsia="宋体" w:hint="eastAsia"/>
                <w:sz w:val="21"/>
              </w:rPr>
              <w:t>月 </w:t>
            </w:r>
            <w:r>
              <w:rPr>
                <w:sz w:val="21"/>
              </w:rPr>
              <w:t>31 </w:t>
            </w:r>
            <w:r>
              <w:rPr>
                <w:rFonts w:ascii="宋体" w:eastAsia="宋体" w:hint="eastAsia"/>
                <w:sz w:val="21"/>
              </w:rPr>
              <w:t>日</w:t>
            </w:r>
          </w:p>
        </w:tc>
        <w:tc>
          <w:tcPr>
            <w:tcW w:w="1197" w:type="dxa"/>
            <w:tcBorders>
              <w:left w:val="single" w:sz="4" w:space="0" w:color="000000"/>
              <w:bottom w:val="single" w:sz="4" w:space="0" w:color="000000"/>
              <w:right w:val="single" w:sz="4" w:space="0" w:color="000000"/>
            </w:tcBorders>
          </w:tcPr>
          <w:p>
            <w:pPr>
              <w:pStyle w:val="TableParagraph"/>
              <w:ind w:left="123"/>
              <w:rPr>
                <w:sz w:val="21"/>
              </w:rPr>
            </w:pPr>
            <w:r>
              <w:rPr>
                <w:sz w:val="21"/>
              </w:rPr>
              <w:t>2019 </w:t>
            </w:r>
            <w:r>
              <w:rPr>
                <w:rFonts w:ascii="宋体" w:eastAsia="宋体" w:hint="eastAsia"/>
                <w:sz w:val="21"/>
              </w:rPr>
              <w:t>年 </w:t>
            </w:r>
            <w:r>
              <w:rPr>
                <w:sz w:val="21"/>
              </w:rPr>
              <w:t>5</w:t>
            </w:r>
          </w:p>
          <w:p>
            <w:pPr>
              <w:pStyle w:val="TableParagraph"/>
              <w:spacing w:line="250" w:lineRule="exact" w:before="5"/>
              <w:ind w:left="123"/>
              <w:rPr>
                <w:rFonts w:ascii="宋体" w:eastAsia="宋体" w:hint="eastAsia"/>
                <w:sz w:val="21"/>
              </w:rPr>
            </w:pPr>
            <w:r>
              <w:rPr>
                <w:rFonts w:ascii="宋体" w:eastAsia="宋体" w:hint="eastAsia"/>
                <w:sz w:val="21"/>
              </w:rPr>
              <w:t>月 </w:t>
            </w:r>
            <w:r>
              <w:rPr>
                <w:sz w:val="21"/>
              </w:rPr>
              <w:t>30 </w:t>
            </w:r>
            <w:r>
              <w:rPr>
                <w:rFonts w:ascii="宋体" w:eastAsia="宋体" w:hint="eastAsia"/>
                <w:sz w:val="21"/>
              </w:rPr>
              <w:t>日</w:t>
            </w:r>
          </w:p>
        </w:tc>
        <w:tc>
          <w:tcPr>
            <w:tcW w:w="1265" w:type="dxa"/>
            <w:tcBorders>
              <w:left w:val="single" w:sz="4" w:space="0" w:color="000000"/>
              <w:bottom w:val="single" w:sz="4" w:space="0" w:color="000000"/>
              <w:right w:val="single" w:sz="4" w:space="0" w:color="000000"/>
            </w:tcBorders>
          </w:tcPr>
          <w:p>
            <w:pPr>
              <w:pStyle w:val="TableParagraph"/>
              <w:spacing w:before="144"/>
              <w:ind w:right="77"/>
              <w:jc w:val="right"/>
              <w:rPr>
                <w:sz w:val="21"/>
              </w:rPr>
            </w:pPr>
            <w:r>
              <w:rPr>
                <w:sz w:val="21"/>
              </w:rPr>
              <w:t>144,764</w:t>
            </w:r>
          </w:p>
        </w:tc>
        <w:tc>
          <w:tcPr>
            <w:tcW w:w="1267" w:type="dxa"/>
            <w:tcBorders>
              <w:left w:val="single" w:sz="4" w:space="0" w:color="000000"/>
              <w:bottom w:val="single" w:sz="4" w:space="0" w:color="000000"/>
              <w:right w:val="single" w:sz="4" w:space="0" w:color="000000"/>
            </w:tcBorders>
          </w:tcPr>
          <w:p>
            <w:pPr>
              <w:pStyle w:val="TableParagraph"/>
              <w:spacing w:before="144"/>
              <w:ind w:right="76"/>
              <w:jc w:val="right"/>
              <w:rPr>
                <w:sz w:val="21"/>
              </w:rPr>
            </w:pPr>
            <w:r>
              <w:rPr>
                <w:sz w:val="21"/>
              </w:rPr>
              <w:t>161,067</w:t>
            </w:r>
          </w:p>
        </w:tc>
        <w:tc>
          <w:tcPr>
            <w:tcW w:w="1344" w:type="dxa"/>
            <w:tcBorders>
              <w:left w:val="single" w:sz="4" w:space="0" w:color="000000"/>
              <w:bottom w:val="single" w:sz="4" w:space="0" w:color="000000"/>
              <w:right w:val="single" w:sz="4" w:space="0" w:color="000000"/>
            </w:tcBorders>
          </w:tcPr>
          <w:p>
            <w:pPr>
              <w:pStyle w:val="TableParagraph"/>
              <w:spacing w:before="144"/>
              <w:ind w:right="79"/>
              <w:jc w:val="right"/>
              <w:rPr>
                <w:sz w:val="21"/>
              </w:rPr>
            </w:pPr>
            <w:r>
              <w:rPr>
                <w:sz w:val="21"/>
              </w:rPr>
              <w:t>16,303</w:t>
            </w:r>
          </w:p>
        </w:tc>
        <w:tc>
          <w:tcPr>
            <w:tcW w:w="1167" w:type="dxa"/>
            <w:tcBorders>
              <w:left w:val="single" w:sz="4" w:space="0" w:color="000000"/>
              <w:bottom w:val="single" w:sz="4" w:space="0" w:color="000000"/>
              <w:right w:val="single" w:sz="4" w:space="0" w:color="000000"/>
            </w:tcBorders>
          </w:tcPr>
          <w:p>
            <w:pPr>
              <w:pStyle w:val="TableParagraph"/>
              <w:ind w:left="124"/>
              <w:rPr>
                <w:rFonts w:ascii="宋体" w:eastAsia="宋体" w:hint="eastAsia"/>
                <w:sz w:val="21"/>
              </w:rPr>
            </w:pPr>
            <w:r>
              <w:rPr>
                <w:rFonts w:ascii="宋体" w:eastAsia="宋体" w:hint="eastAsia"/>
                <w:sz w:val="21"/>
              </w:rPr>
              <w:t>员工持股</w:t>
            </w:r>
          </w:p>
          <w:p>
            <w:pPr>
              <w:pStyle w:val="TableParagraph"/>
              <w:spacing w:line="250" w:lineRule="exact" w:before="5"/>
              <w:ind w:left="124"/>
              <w:rPr>
                <w:rFonts w:ascii="宋体" w:eastAsia="宋体" w:hint="eastAsia"/>
                <w:sz w:val="21"/>
              </w:rPr>
            </w:pPr>
            <w:r>
              <w:rPr>
                <w:rFonts w:ascii="宋体" w:eastAsia="宋体" w:hint="eastAsia"/>
                <w:sz w:val="21"/>
              </w:rPr>
              <w:t>计划授予</w:t>
            </w:r>
          </w:p>
        </w:tc>
        <w:tc>
          <w:tcPr>
            <w:tcW w:w="1385" w:type="dxa"/>
            <w:tcBorders>
              <w:left w:val="single" w:sz="4" w:space="0" w:color="000000"/>
              <w:bottom w:val="single" w:sz="4" w:space="0" w:color="000000"/>
              <w:right w:val="single" w:sz="4" w:space="0" w:color="000000"/>
            </w:tcBorders>
          </w:tcPr>
          <w:p>
            <w:pPr>
              <w:pStyle w:val="TableParagraph"/>
              <w:ind w:left="122"/>
              <w:rPr>
                <w:rFonts w:ascii="宋体" w:eastAsia="宋体" w:hint="eastAsia"/>
                <w:sz w:val="21"/>
              </w:rPr>
            </w:pPr>
            <w:r>
              <w:rPr>
                <w:rFonts w:ascii="宋体" w:eastAsia="宋体" w:hint="eastAsia"/>
                <w:sz w:val="21"/>
              </w:rPr>
              <w:t>未在本单位</w:t>
            </w:r>
          </w:p>
          <w:p>
            <w:pPr>
              <w:pStyle w:val="TableParagraph"/>
              <w:spacing w:line="250" w:lineRule="exact" w:before="5"/>
              <w:ind w:left="122"/>
              <w:rPr>
                <w:rFonts w:ascii="宋体" w:eastAsia="宋体" w:hint="eastAsia"/>
                <w:sz w:val="21"/>
              </w:rPr>
            </w:pPr>
            <w:r>
              <w:rPr>
                <w:rFonts w:ascii="宋体" w:eastAsia="宋体" w:hint="eastAsia"/>
                <w:sz w:val="21"/>
              </w:rPr>
              <w:t>领取薪酬</w:t>
            </w:r>
          </w:p>
        </w:tc>
        <w:tc>
          <w:tcPr>
            <w:tcW w:w="1407" w:type="dxa"/>
            <w:tcBorders>
              <w:left w:val="single" w:sz="4" w:space="0" w:color="000000"/>
              <w:bottom w:val="single" w:sz="4" w:space="0" w:color="000000"/>
            </w:tcBorders>
          </w:tcPr>
          <w:p>
            <w:pPr>
              <w:pStyle w:val="TableParagraph"/>
              <w:spacing w:before="137"/>
              <w:ind w:left="47"/>
              <w:jc w:val="center"/>
              <w:rPr>
                <w:rFonts w:ascii="宋体" w:eastAsia="宋体" w:hint="eastAsia"/>
                <w:sz w:val="21"/>
              </w:rPr>
            </w:pPr>
            <w:r>
              <w:rPr>
                <w:rFonts w:ascii="宋体" w:eastAsia="宋体" w:hint="eastAsia"/>
                <w:w w:val="100"/>
                <w:sz w:val="21"/>
              </w:rPr>
              <w:t>是</w:t>
            </w:r>
          </w:p>
        </w:tc>
      </w:tr>
      <w:tr>
        <w:trPr>
          <w:trHeight w:val="544" w:hRule="atLeast"/>
        </w:trPr>
        <w:tc>
          <w:tcPr>
            <w:tcW w:w="1044" w:type="dxa"/>
            <w:tcBorders>
              <w:top w:val="single" w:sz="4" w:space="0" w:color="000000"/>
              <w:bottom w:val="single" w:sz="4" w:space="0" w:color="000000"/>
              <w:right w:val="single" w:sz="4" w:space="0" w:color="000000"/>
            </w:tcBorders>
          </w:tcPr>
          <w:p>
            <w:pPr>
              <w:pStyle w:val="TableParagraph"/>
              <w:spacing w:before="138"/>
              <w:ind w:left="187" w:right="166"/>
              <w:jc w:val="center"/>
              <w:rPr>
                <w:rFonts w:ascii="宋体" w:eastAsia="宋体" w:hint="eastAsia"/>
                <w:sz w:val="21"/>
              </w:rPr>
            </w:pPr>
            <w:r>
              <w:rPr>
                <w:rFonts w:ascii="宋体" w:eastAsia="宋体" w:hint="eastAsia"/>
                <w:sz w:val="21"/>
              </w:rPr>
              <w:t>明国庆</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before="138"/>
              <w:ind w:left="120"/>
              <w:rPr>
                <w:rFonts w:ascii="宋体" w:eastAsia="宋体" w:hint="eastAsia"/>
                <w:sz w:val="21"/>
              </w:rPr>
            </w:pPr>
            <w:r>
              <w:rPr>
                <w:rFonts w:ascii="宋体" w:eastAsia="宋体" w:hint="eastAsia"/>
                <w:sz w:val="21"/>
              </w:rPr>
              <w:t>监事</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before="138"/>
              <w:ind w:left="32"/>
              <w:jc w:val="center"/>
              <w:rPr>
                <w:rFonts w:ascii="宋体" w:eastAsia="宋体" w:hint="eastAsia"/>
                <w:sz w:val="21"/>
              </w:rPr>
            </w:pPr>
            <w:r>
              <w:rPr>
                <w:rFonts w:ascii="宋体" w:eastAsia="宋体" w:hint="eastAsia"/>
                <w:w w:val="100"/>
                <w:sz w:val="21"/>
              </w:rPr>
              <w:t>男</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before="144"/>
              <w:ind w:left="200" w:right="166"/>
              <w:jc w:val="center"/>
              <w:rPr>
                <w:sz w:val="21"/>
              </w:rPr>
            </w:pPr>
            <w:r>
              <w:rPr>
                <w:sz w:val="21"/>
              </w:rPr>
              <w:t>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before="1"/>
              <w:ind w:left="121"/>
              <w:rPr>
                <w:sz w:val="21"/>
              </w:rPr>
            </w:pPr>
            <w:r>
              <w:rPr>
                <w:sz w:val="21"/>
              </w:rPr>
              <w:t>2016 </w:t>
            </w:r>
            <w:r>
              <w:rPr>
                <w:rFonts w:ascii="宋体" w:eastAsia="宋体" w:hint="eastAsia"/>
                <w:sz w:val="21"/>
              </w:rPr>
              <w:t>年 </w:t>
            </w:r>
            <w:r>
              <w:rPr>
                <w:sz w:val="21"/>
              </w:rPr>
              <w:t>5</w:t>
            </w:r>
          </w:p>
          <w:p>
            <w:pPr>
              <w:pStyle w:val="TableParagraph"/>
              <w:spacing w:line="250" w:lineRule="exact" w:before="4"/>
              <w:ind w:left="121"/>
              <w:rPr>
                <w:rFonts w:ascii="宋体" w:eastAsia="宋体" w:hint="eastAsia"/>
                <w:sz w:val="21"/>
              </w:rPr>
            </w:pPr>
            <w:r>
              <w:rPr>
                <w:rFonts w:ascii="宋体" w:eastAsia="宋体" w:hint="eastAsia"/>
                <w:sz w:val="21"/>
              </w:rPr>
              <w:t>月 </w:t>
            </w:r>
            <w:r>
              <w:rPr>
                <w:sz w:val="21"/>
              </w:rPr>
              <w:t>31 </w:t>
            </w:r>
            <w:r>
              <w:rPr>
                <w:rFonts w:ascii="宋体" w:eastAsia="宋体" w:hint="eastAsia"/>
                <w:sz w:val="21"/>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before="1"/>
              <w:ind w:left="123"/>
              <w:rPr>
                <w:sz w:val="21"/>
              </w:rPr>
            </w:pPr>
            <w:r>
              <w:rPr>
                <w:sz w:val="21"/>
              </w:rPr>
              <w:t>2019 </w:t>
            </w:r>
            <w:r>
              <w:rPr>
                <w:rFonts w:ascii="宋体" w:eastAsia="宋体" w:hint="eastAsia"/>
                <w:sz w:val="21"/>
              </w:rPr>
              <w:t>年 </w:t>
            </w:r>
            <w:r>
              <w:rPr>
                <w:sz w:val="21"/>
              </w:rPr>
              <w:t>5</w:t>
            </w:r>
          </w:p>
          <w:p>
            <w:pPr>
              <w:pStyle w:val="TableParagraph"/>
              <w:spacing w:line="250" w:lineRule="exact" w:before="4"/>
              <w:ind w:left="123"/>
              <w:rPr>
                <w:rFonts w:ascii="宋体" w:eastAsia="宋体" w:hint="eastAsia"/>
                <w:sz w:val="21"/>
              </w:rPr>
            </w:pPr>
            <w:r>
              <w:rPr>
                <w:rFonts w:ascii="宋体" w:eastAsia="宋体" w:hint="eastAsia"/>
                <w:sz w:val="21"/>
              </w:rPr>
              <w:t>月 </w:t>
            </w:r>
            <w:r>
              <w:rPr>
                <w:sz w:val="21"/>
              </w:rPr>
              <w:t>30 </w:t>
            </w:r>
            <w:r>
              <w:rPr>
                <w:rFonts w:ascii="宋体" w:eastAsia="宋体" w:hint="eastAsia"/>
                <w:sz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144"/>
              <w:ind w:right="77"/>
              <w:jc w:val="right"/>
              <w:rPr>
                <w:sz w:val="21"/>
              </w:rPr>
            </w:pPr>
            <w:r>
              <w:rPr>
                <w:sz w:val="21"/>
              </w:rPr>
              <w:t>94,505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144"/>
              <w:ind w:right="76"/>
              <w:jc w:val="right"/>
              <w:rPr>
                <w:sz w:val="21"/>
              </w:rPr>
            </w:pPr>
            <w:r>
              <w:rPr>
                <w:sz w:val="21"/>
              </w:rPr>
              <w:t>105,511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before="144"/>
              <w:ind w:right="79"/>
              <w:jc w:val="right"/>
              <w:rPr>
                <w:sz w:val="21"/>
              </w:rPr>
            </w:pPr>
            <w:r>
              <w:rPr>
                <w:sz w:val="21"/>
              </w:rPr>
              <w:t>11,006</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1"/>
              <w:ind w:left="124"/>
              <w:rPr>
                <w:rFonts w:ascii="宋体" w:eastAsia="宋体" w:hint="eastAsia"/>
                <w:sz w:val="21"/>
              </w:rPr>
            </w:pPr>
            <w:r>
              <w:rPr>
                <w:rFonts w:ascii="宋体" w:eastAsia="宋体" w:hint="eastAsia"/>
                <w:sz w:val="21"/>
              </w:rPr>
              <w:t>员工持股</w:t>
            </w:r>
          </w:p>
          <w:p>
            <w:pPr>
              <w:pStyle w:val="TableParagraph"/>
              <w:spacing w:line="250" w:lineRule="exact" w:before="4"/>
              <w:ind w:left="124"/>
              <w:rPr>
                <w:rFonts w:ascii="宋体" w:eastAsia="宋体" w:hint="eastAsia"/>
                <w:sz w:val="21"/>
              </w:rPr>
            </w:pPr>
            <w:r>
              <w:rPr>
                <w:rFonts w:ascii="宋体" w:eastAsia="宋体" w:hint="eastAsia"/>
                <w:sz w:val="21"/>
              </w:rPr>
              <w:t>计划授予</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1"/>
              <w:ind w:left="122"/>
              <w:rPr>
                <w:rFonts w:ascii="宋体" w:eastAsia="宋体" w:hint="eastAsia"/>
                <w:sz w:val="21"/>
              </w:rPr>
            </w:pPr>
            <w:r>
              <w:rPr>
                <w:rFonts w:ascii="宋体" w:eastAsia="宋体" w:hint="eastAsia"/>
                <w:sz w:val="21"/>
              </w:rPr>
              <w:t>未在本单位</w:t>
            </w:r>
          </w:p>
          <w:p>
            <w:pPr>
              <w:pStyle w:val="TableParagraph"/>
              <w:spacing w:line="250" w:lineRule="exact" w:before="4"/>
              <w:ind w:left="122"/>
              <w:rPr>
                <w:rFonts w:ascii="宋体" w:eastAsia="宋体" w:hint="eastAsia"/>
                <w:sz w:val="21"/>
              </w:rPr>
            </w:pPr>
            <w:r>
              <w:rPr>
                <w:rFonts w:ascii="宋体" w:eastAsia="宋体" w:hint="eastAsia"/>
                <w:sz w:val="21"/>
              </w:rPr>
              <w:t>领取薪酬</w:t>
            </w:r>
          </w:p>
        </w:tc>
        <w:tc>
          <w:tcPr>
            <w:tcW w:w="1407" w:type="dxa"/>
            <w:tcBorders>
              <w:top w:val="single" w:sz="4" w:space="0" w:color="000000"/>
              <w:left w:val="single" w:sz="4" w:space="0" w:color="000000"/>
              <w:bottom w:val="single" w:sz="4" w:space="0" w:color="000000"/>
            </w:tcBorders>
          </w:tcPr>
          <w:p>
            <w:pPr>
              <w:pStyle w:val="TableParagraph"/>
              <w:spacing w:before="138"/>
              <w:ind w:left="47"/>
              <w:jc w:val="center"/>
              <w:rPr>
                <w:rFonts w:ascii="宋体" w:eastAsia="宋体" w:hint="eastAsia"/>
                <w:sz w:val="21"/>
              </w:rPr>
            </w:pPr>
            <w:r>
              <w:rPr>
                <w:rFonts w:ascii="宋体" w:eastAsia="宋体" w:hint="eastAsia"/>
                <w:w w:val="100"/>
                <w:sz w:val="21"/>
              </w:rPr>
              <w:t>是</w:t>
            </w:r>
          </w:p>
        </w:tc>
      </w:tr>
      <w:tr>
        <w:trPr>
          <w:trHeight w:val="544" w:hRule="atLeast"/>
        </w:trPr>
        <w:tc>
          <w:tcPr>
            <w:tcW w:w="1044" w:type="dxa"/>
            <w:tcBorders>
              <w:top w:val="single" w:sz="4" w:space="0" w:color="000000"/>
              <w:bottom w:val="single" w:sz="4" w:space="0" w:color="000000"/>
              <w:right w:val="single" w:sz="4" w:space="0" w:color="000000"/>
            </w:tcBorders>
          </w:tcPr>
          <w:p>
            <w:pPr>
              <w:pStyle w:val="TableParagraph"/>
              <w:spacing w:before="138"/>
              <w:ind w:left="187" w:right="166"/>
              <w:jc w:val="center"/>
              <w:rPr>
                <w:rFonts w:ascii="宋体" w:eastAsia="宋体" w:hint="eastAsia"/>
                <w:sz w:val="21"/>
              </w:rPr>
            </w:pPr>
            <w:r>
              <w:rPr>
                <w:rFonts w:ascii="宋体" w:eastAsia="宋体" w:hint="eastAsia"/>
                <w:sz w:val="21"/>
              </w:rPr>
              <w:t>于淼</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before="138"/>
              <w:ind w:left="120"/>
              <w:rPr>
                <w:rFonts w:ascii="宋体" w:eastAsia="宋体" w:hint="eastAsia"/>
                <w:sz w:val="21"/>
              </w:rPr>
            </w:pPr>
            <w:r>
              <w:rPr>
                <w:rFonts w:ascii="宋体" w:eastAsia="宋体" w:hint="eastAsia"/>
                <w:sz w:val="21"/>
              </w:rPr>
              <w:t>职工监事</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before="138"/>
              <w:ind w:left="32"/>
              <w:jc w:val="center"/>
              <w:rPr>
                <w:rFonts w:ascii="宋体" w:eastAsia="宋体" w:hint="eastAsia"/>
                <w:sz w:val="21"/>
              </w:rPr>
            </w:pPr>
            <w:r>
              <w:rPr>
                <w:rFonts w:ascii="宋体" w:eastAsia="宋体" w:hint="eastAsia"/>
                <w:w w:val="100"/>
                <w:sz w:val="21"/>
              </w:rPr>
              <w:t>男</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before="147"/>
              <w:ind w:left="200" w:right="166"/>
              <w:jc w:val="center"/>
              <w:rPr>
                <w:sz w:val="21"/>
              </w:rPr>
            </w:pPr>
            <w:r>
              <w:rPr>
                <w:sz w:val="21"/>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before="1"/>
              <w:ind w:left="121"/>
              <w:rPr>
                <w:sz w:val="21"/>
              </w:rPr>
            </w:pPr>
            <w:r>
              <w:rPr>
                <w:sz w:val="21"/>
              </w:rPr>
              <w:t>2019 </w:t>
            </w:r>
            <w:r>
              <w:rPr>
                <w:rFonts w:ascii="宋体" w:eastAsia="宋体" w:hint="eastAsia"/>
                <w:sz w:val="21"/>
              </w:rPr>
              <w:t>年 </w:t>
            </w:r>
            <w:r>
              <w:rPr>
                <w:sz w:val="21"/>
              </w:rPr>
              <w:t>1</w:t>
            </w:r>
          </w:p>
          <w:p>
            <w:pPr>
              <w:pStyle w:val="TableParagraph"/>
              <w:spacing w:line="250" w:lineRule="exact" w:before="4"/>
              <w:ind w:left="121"/>
              <w:rPr>
                <w:rFonts w:ascii="宋体" w:eastAsia="宋体" w:hint="eastAsia"/>
                <w:sz w:val="21"/>
              </w:rPr>
            </w:pPr>
            <w:r>
              <w:rPr>
                <w:rFonts w:ascii="宋体" w:eastAsia="宋体" w:hint="eastAsia"/>
                <w:sz w:val="21"/>
              </w:rPr>
              <w:t>月 </w:t>
            </w:r>
            <w:r>
              <w:rPr>
                <w:sz w:val="21"/>
              </w:rPr>
              <w:t>8 </w:t>
            </w:r>
            <w:r>
              <w:rPr>
                <w:rFonts w:ascii="宋体" w:eastAsia="宋体" w:hint="eastAsia"/>
                <w:sz w:val="21"/>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before="1"/>
              <w:ind w:left="123"/>
              <w:rPr>
                <w:sz w:val="21"/>
              </w:rPr>
            </w:pPr>
            <w:r>
              <w:rPr>
                <w:sz w:val="21"/>
              </w:rPr>
              <w:t>2019 </w:t>
            </w:r>
            <w:r>
              <w:rPr>
                <w:rFonts w:ascii="宋体" w:eastAsia="宋体" w:hint="eastAsia"/>
                <w:sz w:val="21"/>
              </w:rPr>
              <w:t>年 </w:t>
            </w:r>
            <w:r>
              <w:rPr>
                <w:sz w:val="21"/>
              </w:rPr>
              <w:t>5</w:t>
            </w:r>
          </w:p>
          <w:p>
            <w:pPr>
              <w:pStyle w:val="TableParagraph"/>
              <w:spacing w:line="250" w:lineRule="exact" w:before="4"/>
              <w:ind w:left="123"/>
              <w:rPr>
                <w:rFonts w:ascii="宋体" w:eastAsia="宋体" w:hint="eastAsia"/>
                <w:sz w:val="21"/>
              </w:rPr>
            </w:pPr>
            <w:r>
              <w:rPr>
                <w:rFonts w:ascii="宋体" w:eastAsia="宋体" w:hint="eastAsia"/>
                <w:sz w:val="21"/>
              </w:rPr>
              <w:t>月 </w:t>
            </w:r>
            <w:r>
              <w:rPr>
                <w:sz w:val="21"/>
              </w:rPr>
              <w:t>30 </w:t>
            </w:r>
            <w:r>
              <w:rPr>
                <w:rFonts w:ascii="宋体" w:eastAsia="宋体" w:hint="eastAsia"/>
                <w:sz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147"/>
              <w:ind w:right="79"/>
              <w:jc w:val="right"/>
              <w:rPr>
                <w:sz w:val="21"/>
              </w:rPr>
            </w:pPr>
            <w:r>
              <w:rPr>
                <w:sz w:val="21"/>
              </w:rPr>
              <w:t>28.3</w:t>
            </w:r>
          </w:p>
        </w:tc>
        <w:tc>
          <w:tcPr>
            <w:tcW w:w="1407" w:type="dxa"/>
            <w:tcBorders>
              <w:top w:val="single" w:sz="4" w:space="0" w:color="000000"/>
              <w:left w:val="single" w:sz="4" w:space="0" w:color="000000"/>
              <w:bottom w:val="single" w:sz="4" w:space="0" w:color="000000"/>
            </w:tcBorders>
          </w:tcPr>
          <w:p>
            <w:pPr>
              <w:pStyle w:val="TableParagraph"/>
              <w:spacing w:before="138"/>
              <w:ind w:left="47"/>
              <w:jc w:val="center"/>
              <w:rPr>
                <w:rFonts w:ascii="宋体" w:eastAsia="宋体" w:hint="eastAsia"/>
                <w:sz w:val="21"/>
              </w:rPr>
            </w:pPr>
            <w:r>
              <w:rPr>
                <w:rFonts w:ascii="宋体" w:eastAsia="宋体" w:hint="eastAsia"/>
                <w:w w:val="100"/>
                <w:sz w:val="21"/>
              </w:rPr>
              <w:t>否</w:t>
            </w:r>
          </w:p>
        </w:tc>
      </w:tr>
      <w:tr>
        <w:trPr>
          <w:trHeight w:val="818" w:hRule="atLeast"/>
        </w:trPr>
        <w:tc>
          <w:tcPr>
            <w:tcW w:w="1044" w:type="dxa"/>
            <w:tcBorders>
              <w:top w:val="single" w:sz="4" w:space="0" w:color="000000"/>
              <w:bottom w:val="single" w:sz="4" w:space="0" w:color="000000"/>
              <w:right w:val="single" w:sz="4" w:space="0" w:color="000000"/>
            </w:tcBorders>
          </w:tcPr>
          <w:p>
            <w:pPr>
              <w:pStyle w:val="TableParagraph"/>
              <w:spacing w:before="5"/>
              <w:rPr>
                <w:rFonts w:ascii="宋体"/>
                <w:sz w:val="21"/>
              </w:rPr>
            </w:pPr>
          </w:p>
          <w:p>
            <w:pPr>
              <w:pStyle w:val="TableParagraph"/>
              <w:ind w:left="187" w:right="166"/>
              <w:jc w:val="center"/>
              <w:rPr>
                <w:rFonts w:ascii="宋体" w:eastAsia="宋体" w:hint="eastAsia"/>
                <w:sz w:val="21"/>
              </w:rPr>
            </w:pPr>
            <w:r>
              <w:rPr>
                <w:rFonts w:ascii="宋体" w:eastAsia="宋体" w:hint="eastAsia"/>
                <w:sz w:val="21"/>
              </w:rPr>
              <w:t>宫伟</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before="2"/>
              <w:ind w:left="120" w:right="56"/>
              <w:jc w:val="both"/>
              <w:rPr>
                <w:rFonts w:ascii="宋体" w:eastAsia="宋体" w:hint="eastAsia"/>
                <w:sz w:val="21"/>
              </w:rPr>
            </w:pPr>
            <w:r>
              <w:rPr>
                <w:rFonts w:ascii="宋体" w:eastAsia="宋体" w:hint="eastAsia"/>
                <w:sz w:val="21"/>
              </w:rPr>
              <w:t>财 务 总监、副总裁</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before="5"/>
              <w:rPr>
                <w:rFonts w:ascii="宋体"/>
                <w:sz w:val="21"/>
              </w:rPr>
            </w:pPr>
          </w:p>
          <w:p>
            <w:pPr>
              <w:pStyle w:val="TableParagraph"/>
              <w:ind w:left="32"/>
              <w:jc w:val="center"/>
              <w:rPr>
                <w:rFonts w:ascii="宋体" w:eastAsia="宋体" w:hint="eastAsia"/>
                <w:sz w:val="21"/>
              </w:rPr>
            </w:pPr>
            <w:r>
              <w:rPr>
                <w:rFonts w:ascii="宋体" w:eastAsia="宋体" w:hint="eastAsia"/>
                <w:w w:val="100"/>
                <w:sz w:val="21"/>
              </w:rPr>
              <w:t>男</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before="12"/>
              <w:rPr>
                <w:rFonts w:ascii="宋体"/>
                <w:sz w:val="21"/>
              </w:rPr>
            </w:pPr>
          </w:p>
          <w:p>
            <w:pPr>
              <w:pStyle w:val="TableParagraph"/>
              <w:ind w:left="200" w:right="166"/>
              <w:jc w:val="center"/>
              <w:rPr>
                <w:sz w:val="21"/>
              </w:rPr>
            </w:pPr>
            <w:r>
              <w:rPr>
                <w:sz w:val="21"/>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before="138"/>
              <w:ind w:left="121"/>
              <w:rPr>
                <w:sz w:val="21"/>
              </w:rPr>
            </w:pPr>
            <w:r>
              <w:rPr>
                <w:sz w:val="21"/>
              </w:rPr>
              <w:t>2016 </w:t>
            </w:r>
            <w:r>
              <w:rPr>
                <w:rFonts w:ascii="宋体" w:eastAsia="宋体" w:hint="eastAsia"/>
                <w:sz w:val="21"/>
              </w:rPr>
              <w:t>年 </w:t>
            </w:r>
            <w:r>
              <w:rPr>
                <w:sz w:val="21"/>
              </w:rPr>
              <w:t>5</w:t>
            </w:r>
          </w:p>
          <w:p>
            <w:pPr>
              <w:pStyle w:val="TableParagraph"/>
              <w:spacing w:before="4"/>
              <w:ind w:left="121"/>
              <w:rPr>
                <w:rFonts w:ascii="宋体" w:eastAsia="宋体" w:hint="eastAsia"/>
                <w:sz w:val="21"/>
              </w:rPr>
            </w:pPr>
            <w:r>
              <w:rPr>
                <w:rFonts w:ascii="宋体" w:eastAsia="宋体" w:hint="eastAsia"/>
                <w:sz w:val="21"/>
              </w:rPr>
              <w:t>月 </w:t>
            </w:r>
            <w:r>
              <w:rPr>
                <w:sz w:val="21"/>
              </w:rPr>
              <w:t>31 </w:t>
            </w:r>
            <w:r>
              <w:rPr>
                <w:rFonts w:ascii="宋体" w:eastAsia="宋体" w:hint="eastAsia"/>
                <w:sz w:val="21"/>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before="138"/>
              <w:ind w:left="123"/>
              <w:rPr>
                <w:sz w:val="21"/>
              </w:rPr>
            </w:pPr>
            <w:r>
              <w:rPr>
                <w:sz w:val="21"/>
              </w:rPr>
              <w:t>2019 </w:t>
            </w:r>
            <w:r>
              <w:rPr>
                <w:rFonts w:ascii="宋体" w:eastAsia="宋体" w:hint="eastAsia"/>
                <w:sz w:val="21"/>
              </w:rPr>
              <w:t>年 </w:t>
            </w:r>
            <w:r>
              <w:rPr>
                <w:sz w:val="21"/>
              </w:rPr>
              <w:t>5</w:t>
            </w:r>
          </w:p>
          <w:p>
            <w:pPr>
              <w:pStyle w:val="TableParagraph"/>
              <w:spacing w:before="4"/>
              <w:ind w:left="123"/>
              <w:rPr>
                <w:rFonts w:ascii="宋体" w:eastAsia="宋体" w:hint="eastAsia"/>
                <w:sz w:val="21"/>
              </w:rPr>
            </w:pPr>
            <w:r>
              <w:rPr>
                <w:rFonts w:ascii="宋体" w:eastAsia="宋体" w:hint="eastAsia"/>
                <w:sz w:val="21"/>
              </w:rPr>
              <w:t>月 </w:t>
            </w:r>
            <w:r>
              <w:rPr>
                <w:sz w:val="21"/>
              </w:rPr>
              <w:t>30 </w:t>
            </w:r>
            <w:r>
              <w:rPr>
                <w:rFonts w:ascii="宋体" w:eastAsia="宋体" w:hint="eastAsia"/>
                <w:sz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12"/>
              <w:rPr>
                <w:rFonts w:ascii="宋体"/>
                <w:sz w:val="21"/>
              </w:rPr>
            </w:pPr>
          </w:p>
          <w:p>
            <w:pPr>
              <w:pStyle w:val="TableParagraph"/>
              <w:ind w:right="77"/>
              <w:jc w:val="right"/>
              <w:rPr>
                <w:sz w:val="21"/>
              </w:rPr>
            </w:pPr>
            <w:r>
              <w:rPr>
                <w:sz w:val="21"/>
              </w:rPr>
              <w:t>1,671,903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12"/>
              <w:rPr>
                <w:rFonts w:ascii="宋体"/>
                <w:sz w:val="21"/>
              </w:rPr>
            </w:pPr>
          </w:p>
          <w:p>
            <w:pPr>
              <w:pStyle w:val="TableParagraph"/>
              <w:ind w:right="76"/>
              <w:jc w:val="right"/>
              <w:rPr>
                <w:sz w:val="21"/>
              </w:rPr>
            </w:pPr>
            <w:r>
              <w:rPr>
                <w:sz w:val="21"/>
              </w:rPr>
              <w:t>1,724,315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before="12"/>
              <w:rPr>
                <w:rFonts w:ascii="宋体"/>
                <w:sz w:val="21"/>
              </w:rPr>
            </w:pPr>
          </w:p>
          <w:p>
            <w:pPr>
              <w:pStyle w:val="TableParagraph"/>
              <w:ind w:right="79"/>
              <w:jc w:val="right"/>
              <w:rPr>
                <w:sz w:val="21"/>
              </w:rPr>
            </w:pPr>
            <w:r>
              <w:rPr>
                <w:sz w:val="21"/>
              </w:rPr>
              <w:t>52,412</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38"/>
              <w:ind w:left="124" w:right="41"/>
              <w:rPr>
                <w:rFonts w:ascii="宋体" w:eastAsia="宋体" w:hint="eastAsia"/>
                <w:sz w:val="21"/>
              </w:rPr>
            </w:pPr>
            <w:r>
              <w:rPr>
                <w:rFonts w:ascii="宋体" w:eastAsia="宋体" w:hint="eastAsia"/>
                <w:sz w:val="21"/>
              </w:rPr>
              <w:t>员工持股计划授予</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12"/>
              <w:rPr>
                <w:rFonts w:ascii="宋体"/>
                <w:sz w:val="21"/>
              </w:rPr>
            </w:pPr>
          </w:p>
          <w:p>
            <w:pPr>
              <w:pStyle w:val="TableParagraph"/>
              <w:ind w:right="81"/>
              <w:jc w:val="right"/>
              <w:rPr>
                <w:sz w:val="21"/>
              </w:rPr>
            </w:pPr>
            <w:r>
              <w:rPr>
                <w:sz w:val="21"/>
              </w:rPr>
              <w:t>88</w:t>
            </w:r>
          </w:p>
        </w:tc>
        <w:tc>
          <w:tcPr>
            <w:tcW w:w="1407" w:type="dxa"/>
            <w:tcBorders>
              <w:top w:val="single" w:sz="4" w:space="0" w:color="000000"/>
              <w:left w:val="single" w:sz="4" w:space="0" w:color="000000"/>
              <w:bottom w:val="single" w:sz="4" w:space="0" w:color="000000"/>
            </w:tcBorders>
          </w:tcPr>
          <w:p>
            <w:pPr>
              <w:pStyle w:val="TableParagraph"/>
              <w:spacing w:before="5"/>
              <w:rPr>
                <w:rFonts w:ascii="宋体"/>
                <w:sz w:val="21"/>
              </w:rPr>
            </w:pPr>
          </w:p>
          <w:p>
            <w:pPr>
              <w:pStyle w:val="TableParagraph"/>
              <w:ind w:left="47"/>
              <w:jc w:val="center"/>
              <w:rPr>
                <w:rFonts w:ascii="宋体" w:eastAsia="宋体" w:hint="eastAsia"/>
                <w:sz w:val="21"/>
              </w:rPr>
            </w:pPr>
            <w:r>
              <w:rPr>
                <w:rFonts w:ascii="宋体" w:eastAsia="宋体" w:hint="eastAsia"/>
                <w:w w:val="100"/>
                <w:sz w:val="21"/>
              </w:rPr>
              <w:t>否</w:t>
            </w:r>
          </w:p>
        </w:tc>
      </w:tr>
      <w:tr>
        <w:trPr>
          <w:trHeight w:val="544" w:hRule="atLeast"/>
        </w:trPr>
        <w:tc>
          <w:tcPr>
            <w:tcW w:w="1044" w:type="dxa"/>
            <w:tcBorders>
              <w:top w:val="single" w:sz="4" w:space="0" w:color="000000"/>
              <w:bottom w:val="single" w:sz="4" w:space="0" w:color="000000"/>
              <w:right w:val="single" w:sz="4" w:space="0" w:color="000000"/>
            </w:tcBorders>
          </w:tcPr>
          <w:p>
            <w:pPr>
              <w:pStyle w:val="TableParagraph"/>
              <w:spacing w:before="138"/>
              <w:ind w:left="187" w:right="166"/>
              <w:jc w:val="center"/>
              <w:rPr>
                <w:rFonts w:ascii="宋体" w:eastAsia="宋体" w:hint="eastAsia"/>
                <w:sz w:val="21"/>
              </w:rPr>
            </w:pPr>
            <w:r>
              <w:rPr>
                <w:rFonts w:ascii="宋体" w:eastAsia="宋体" w:hint="eastAsia"/>
                <w:sz w:val="21"/>
              </w:rPr>
              <w:t>明国珍</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before="1"/>
              <w:ind w:left="120"/>
              <w:rPr>
                <w:rFonts w:ascii="宋体" w:eastAsia="宋体" w:hint="eastAsia"/>
                <w:sz w:val="21"/>
              </w:rPr>
            </w:pPr>
            <w:r>
              <w:rPr>
                <w:rFonts w:ascii="宋体" w:eastAsia="宋体" w:hint="eastAsia"/>
                <w:sz w:val="21"/>
              </w:rPr>
              <w:t>董事会秘</w:t>
            </w:r>
          </w:p>
          <w:p>
            <w:pPr>
              <w:pStyle w:val="TableParagraph"/>
              <w:spacing w:line="250" w:lineRule="exact" w:before="4"/>
              <w:ind w:left="120"/>
              <w:rPr>
                <w:rFonts w:ascii="宋体" w:eastAsia="宋体" w:hint="eastAsia"/>
                <w:sz w:val="21"/>
              </w:rPr>
            </w:pPr>
            <w:r>
              <w:rPr>
                <w:rFonts w:ascii="宋体" w:eastAsia="宋体" w:hint="eastAsia"/>
                <w:w w:val="100"/>
                <w:sz w:val="21"/>
              </w:rPr>
              <w:t>书</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before="138"/>
              <w:ind w:left="32"/>
              <w:jc w:val="center"/>
              <w:rPr>
                <w:rFonts w:ascii="宋体" w:eastAsia="宋体" w:hint="eastAsia"/>
                <w:sz w:val="21"/>
              </w:rPr>
            </w:pPr>
            <w:r>
              <w:rPr>
                <w:rFonts w:ascii="宋体" w:eastAsia="宋体" w:hint="eastAsia"/>
                <w:w w:val="100"/>
                <w:sz w:val="21"/>
              </w:rPr>
              <w:t>女</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before="144"/>
              <w:ind w:left="200" w:right="166"/>
              <w:jc w:val="center"/>
              <w:rPr>
                <w:sz w:val="21"/>
              </w:rPr>
            </w:pPr>
            <w:r>
              <w:rPr>
                <w:sz w:val="21"/>
              </w:rPr>
              <w:t>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before="1"/>
              <w:ind w:left="121"/>
              <w:rPr>
                <w:sz w:val="21"/>
              </w:rPr>
            </w:pPr>
            <w:r>
              <w:rPr>
                <w:sz w:val="21"/>
              </w:rPr>
              <w:t>2016 </w:t>
            </w:r>
            <w:r>
              <w:rPr>
                <w:rFonts w:ascii="宋体" w:eastAsia="宋体" w:hint="eastAsia"/>
                <w:sz w:val="21"/>
              </w:rPr>
              <w:t>年 </w:t>
            </w:r>
            <w:r>
              <w:rPr>
                <w:sz w:val="21"/>
              </w:rPr>
              <w:t>5</w:t>
            </w:r>
          </w:p>
          <w:p>
            <w:pPr>
              <w:pStyle w:val="TableParagraph"/>
              <w:spacing w:line="250" w:lineRule="exact" w:before="4"/>
              <w:ind w:left="121"/>
              <w:rPr>
                <w:rFonts w:ascii="宋体" w:eastAsia="宋体" w:hint="eastAsia"/>
                <w:sz w:val="21"/>
              </w:rPr>
            </w:pPr>
            <w:r>
              <w:rPr>
                <w:rFonts w:ascii="宋体" w:eastAsia="宋体" w:hint="eastAsia"/>
                <w:sz w:val="21"/>
              </w:rPr>
              <w:t>月 </w:t>
            </w:r>
            <w:r>
              <w:rPr>
                <w:sz w:val="21"/>
              </w:rPr>
              <w:t>31 </w:t>
            </w:r>
            <w:r>
              <w:rPr>
                <w:rFonts w:ascii="宋体" w:eastAsia="宋体" w:hint="eastAsia"/>
                <w:sz w:val="21"/>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before="1"/>
              <w:ind w:left="123"/>
              <w:rPr>
                <w:sz w:val="21"/>
              </w:rPr>
            </w:pPr>
            <w:r>
              <w:rPr>
                <w:sz w:val="21"/>
              </w:rPr>
              <w:t>2019 </w:t>
            </w:r>
            <w:r>
              <w:rPr>
                <w:rFonts w:ascii="宋体" w:eastAsia="宋体" w:hint="eastAsia"/>
                <w:sz w:val="21"/>
              </w:rPr>
              <w:t>年 </w:t>
            </w:r>
            <w:r>
              <w:rPr>
                <w:sz w:val="21"/>
              </w:rPr>
              <w:t>5</w:t>
            </w:r>
          </w:p>
          <w:p>
            <w:pPr>
              <w:pStyle w:val="TableParagraph"/>
              <w:spacing w:line="250" w:lineRule="exact" w:before="4"/>
              <w:ind w:left="123"/>
              <w:rPr>
                <w:rFonts w:ascii="宋体" w:eastAsia="宋体" w:hint="eastAsia"/>
                <w:sz w:val="21"/>
              </w:rPr>
            </w:pPr>
            <w:r>
              <w:rPr>
                <w:rFonts w:ascii="宋体" w:eastAsia="宋体" w:hint="eastAsia"/>
                <w:sz w:val="21"/>
              </w:rPr>
              <w:t>月 </w:t>
            </w:r>
            <w:r>
              <w:rPr>
                <w:sz w:val="21"/>
              </w:rPr>
              <w:t>30 </w:t>
            </w:r>
            <w:r>
              <w:rPr>
                <w:rFonts w:ascii="宋体" w:eastAsia="宋体" w:hint="eastAsia"/>
                <w:sz w:val="21"/>
              </w:rPr>
              <w:t>日</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144"/>
              <w:ind w:right="77"/>
              <w:jc w:val="right"/>
              <w:rPr>
                <w:sz w:val="21"/>
              </w:rPr>
            </w:pPr>
            <w:r>
              <w:rPr>
                <w:sz w:val="21"/>
              </w:rPr>
              <w:t>1,240,515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144"/>
              <w:ind w:right="76"/>
              <w:jc w:val="right"/>
              <w:rPr>
                <w:sz w:val="21"/>
              </w:rPr>
            </w:pPr>
            <w:r>
              <w:rPr>
                <w:sz w:val="21"/>
              </w:rPr>
              <w:t>1,275,295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before="144"/>
              <w:ind w:right="79"/>
              <w:jc w:val="right"/>
              <w:rPr>
                <w:sz w:val="21"/>
              </w:rPr>
            </w:pPr>
            <w:r>
              <w:rPr>
                <w:sz w:val="21"/>
              </w:rPr>
              <w:t>34,780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1"/>
              <w:ind w:left="124"/>
              <w:rPr>
                <w:rFonts w:ascii="宋体" w:eastAsia="宋体" w:hint="eastAsia"/>
                <w:sz w:val="21"/>
              </w:rPr>
            </w:pPr>
            <w:r>
              <w:rPr>
                <w:rFonts w:ascii="宋体" w:eastAsia="宋体" w:hint="eastAsia"/>
                <w:sz w:val="21"/>
              </w:rPr>
              <w:t>员工持股</w:t>
            </w:r>
          </w:p>
          <w:p>
            <w:pPr>
              <w:pStyle w:val="TableParagraph"/>
              <w:spacing w:line="250" w:lineRule="exact" w:before="4"/>
              <w:ind w:left="124"/>
              <w:rPr>
                <w:rFonts w:ascii="宋体" w:eastAsia="宋体" w:hint="eastAsia"/>
                <w:sz w:val="21"/>
              </w:rPr>
            </w:pPr>
            <w:r>
              <w:rPr>
                <w:rFonts w:ascii="宋体" w:eastAsia="宋体" w:hint="eastAsia"/>
                <w:sz w:val="21"/>
              </w:rPr>
              <w:t>计划授予</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144"/>
              <w:ind w:right="81"/>
              <w:jc w:val="right"/>
              <w:rPr>
                <w:sz w:val="21"/>
              </w:rPr>
            </w:pPr>
            <w:r>
              <w:rPr>
                <w:sz w:val="21"/>
              </w:rPr>
              <w:t>60</w:t>
            </w:r>
          </w:p>
        </w:tc>
        <w:tc>
          <w:tcPr>
            <w:tcW w:w="1407" w:type="dxa"/>
            <w:tcBorders>
              <w:top w:val="single" w:sz="4" w:space="0" w:color="000000"/>
              <w:left w:val="single" w:sz="4" w:space="0" w:color="000000"/>
              <w:bottom w:val="single" w:sz="4" w:space="0" w:color="000000"/>
            </w:tcBorders>
          </w:tcPr>
          <w:p>
            <w:pPr>
              <w:pStyle w:val="TableParagraph"/>
              <w:spacing w:before="138"/>
              <w:ind w:left="47"/>
              <w:jc w:val="center"/>
              <w:rPr>
                <w:rFonts w:ascii="宋体" w:eastAsia="宋体" w:hint="eastAsia"/>
                <w:sz w:val="21"/>
              </w:rPr>
            </w:pPr>
            <w:r>
              <w:rPr>
                <w:rFonts w:ascii="宋体" w:eastAsia="宋体" w:hint="eastAsia"/>
                <w:w w:val="100"/>
                <w:sz w:val="21"/>
              </w:rPr>
              <w:t>否</w:t>
            </w:r>
          </w:p>
        </w:tc>
      </w:tr>
      <w:tr>
        <w:trPr>
          <w:trHeight w:val="270" w:hRule="atLeast"/>
        </w:trPr>
        <w:tc>
          <w:tcPr>
            <w:tcW w:w="1044" w:type="dxa"/>
            <w:tcBorders>
              <w:top w:val="single" w:sz="4" w:space="0" w:color="000000"/>
              <w:right w:val="single" w:sz="4" w:space="0" w:color="000000"/>
            </w:tcBorders>
          </w:tcPr>
          <w:p>
            <w:pPr>
              <w:pStyle w:val="TableParagraph"/>
              <w:spacing w:line="249" w:lineRule="exact" w:before="1"/>
              <w:ind w:left="187" w:right="166"/>
              <w:jc w:val="center"/>
              <w:rPr>
                <w:rFonts w:ascii="宋体" w:eastAsia="宋体" w:hint="eastAsia"/>
                <w:sz w:val="21"/>
              </w:rPr>
            </w:pPr>
            <w:r>
              <w:rPr>
                <w:rFonts w:ascii="宋体" w:eastAsia="宋体" w:hint="eastAsia"/>
                <w:sz w:val="21"/>
              </w:rPr>
              <w:t>合计</w:t>
            </w:r>
          </w:p>
        </w:tc>
        <w:tc>
          <w:tcPr>
            <w:tcW w:w="1144" w:type="dxa"/>
            <w:tcBorders>
              <w:top w:val="single" w:sz="4" w:space="0" w:color="000000"/>
              <w:left w:val="single" w:sz="4" w:space="0" w:color="000000"/>
              <w:right w:val="single" w:sz="4" w:space="0" w:color="000000"/>
            </w:tcBorders>
          </w:tcPr>
          <w:p>
            <w:pPr>
              <w:pStyle w:val="TableParagraph"/>
              <w:spacing w:line="235" w:lineRule="exact"/>
              <w:ind w:left="33"/>
              <w:jc w:val="center"/>
              <w:rPr>
                <w:sz w:val="21"/>
              </w:rPr>
            </w:pPr>
            <w:r>
              <w:rPr>
                <w:w w:val="100"/>
                <w:sz w:val="21"/>
              </w:rPr>
              <w:t>/</w:t>
            </w:r>
          </w:p>
        </w:tc>
        <w:tc>
          <w:tcPr>
            <w:tcW w:w="839" w:type="dxa"/>
            <w:tcBorders>
              <w:top w:val="single" w:sz="4" w:space="0" w:color="000000"/>
              <w:left w:val="single" w:sz="4" w:space="0" w:color="000000"/>
              <w:right w:val="single" w:sz="4" w:space="0" w:color="000000"/>
            </w:tcBorders>
          </w:tcPr>
          <w:p>
            <w:pPr>
              <w:pStyle w:val="TableParagraph"/>
              <w:spacing w:line="235" w:lineRule="exact"/>
              <w:ind w:left="33"/>
              <w:jc w:val="center"/>
              <w:rPr>
                <w:sz w:val="21"/>
              </w:rPr>
            </w:pPr>
            <w:r>
              <w:rPr>
                <w:w w:val="100"/>
                <w:sz w:val="21"/>
              </w:rPr>
              <w:t>/</w:t>
            </w:r>
          </w:p>
        </w:tc>
        <w:tc>
          <w:tcPr>
            <w:tcW w:w="839" w:type="dxa"/>
            <w:tcBorders>
              <w:top w:val="single" w:sz="4" w:space="0" w:color="000000"/>
              <w:left w:val="single" w:sz="4" w:space="0" w:color="000000"/>
              <w:right w:val="single" w:sz="4" w:space="0" w:color="000000"/>
            </w:tcBorders>
          </w:tcPr>
          <w:p>
            <w:pPr>
              <w:pStyle w:val="TableParagraph"/>
              <w:spacing w:line="235" w:lineRule="exact"/>
              <w:ind w:left="35"/>
              <w:jc w:val="center"/>
              <w:rPr>
                <w:sz w:val="21"/>
              </w:rPr>
            </w:pPr>
            <w:r>
              <w:rPr>
                <w:w w:val="100"/>
                <w:sz w:val="21"/>
              </w:rPr>
              <w:t>/</w:t>
            </w:r>
          </w:p>
        </w:tc>
        <w:tc>
          <w:tcPr>
            <w:tcW w:w="1195" w:type="dxa"/>
            <w:tcBorders>
              <w:top w:val="single" w:sz="4" w:space="0" w:color="000000"/>
              <w:left w:val="single" w:sz="4" w:space="0" w:color="000000"/>
              <w:right w:val="single" w:sz="4" w:space="0" w:color="000000"/>
            </w:tcBorders>
          </w:tcPr>
          <w:p>
            <w:pPr>
              <w:pStyle w:val="TableParagraph"/>
              <w:spacing w:line="235" w:lineRule="exact"/>
              <w:ind w:left="37"/>
              <w:jc w:val="center"/>
              <w:rPr>
                <w:sz w:val="21"/>
              </w:rPr>
            </w:pPr>
            <w:r>
              <w:rPr>
                <w:w w:val="100"/>
                <w:sz w:val="21"/>
              </w:rPr>
              <w:t>/</w:t>
            </w:r>
          </w:p>
        </w:tc>
        <w:tc>
          <w:tcPr>
            <w:tcW w:w="1197" w:type="dxa"/>
            <w:tcBorders>
              <w:top w:val="single" w:sz="4" w:space="0" w:color="000000"/>
              <w:left w:val="single" w:sz="4" w:space="0" w:color="000000"/>
              <w:right w:val="single" w:sz="4" w:space="0" w:color="000000"/>
            </w:tcBorders>
          </w:tcPr>
          <w:p>
            <w:pPr>
              <w:pStyle w:val="TableParagraph"/>
              <w:spacing w:line="235" w:lineRule="exact"/>
              <w:ind w:left="40"/>
              <w:jc w:val="center"/>
              <w:rPr>
                <w:sz w:val="21"/>
              </w:rPr>
            </w:pPr>
            <w:r>
              <w:rPr>
                <w:w w:val="100"/>
                <w:sz w:val="21"/>
              </w:rPr>
              <w:t>/</w:t>
            </w:r>
          </w:p>
        </w:tc>
        <w:tc>
          <w:tcPr>
            <w:tcW w:w="1265" w:type="dxa"/>
            <w:tcBorders>
              <w:top w:val="single" w:sz="4" w:space="0" w:color="000000"/>
              <w:left w:val="single" w:sz="4" w:space="0" w:color="000000"/>
              <w:right w:val="single" w:sz="4" w:space="0" w:color="000000"/>
            </w:tcBorders>
          </w:tcPr>
          <w:p>
            <w:pPr>
              <w:pStyle w:val="TableParagraph"/>
              <w:spacing w:line="240" w:lineRule="exact" w:before="10"/>
              <w:ind w:right="77"/>
              <w:jc w:val="right"/>
              <w:rPr>
                <w:sz w:val="21"/>
              </w:rPr>
            </w:pPr>
            <w:r>
              <w:rPr>
                <w:sz w:val="21"/>
              </w:rPr>
              <w:t>26,424,719</w:t>
            </w:r>
          </w:p>
        </w:tc>
        <w:tc>
          <w:tcPr>
            <w:tcW w:w="1267" w:type="dxa"/>
            <w:tcBorders>
              <w:top w:val="single" w:sz="4" w:space="0" w:color="000000"/>
              <w:left w:val="single" w:sz="4" w:space="0" w:color="000000"/>
              <w:right w:val="single" w:sz="4" w:space="0" w:color="000000"/>
            </w:tcBorders>
          </w:tcPr>
          <w:p>
            <w:pPr>
              <w:pStyle w:val="TableParagraph"/>
              <w:spacing w:line="240" w:lineRule="exact" w:before="10"/>
              <w:ind w:right="76"/>
              <w:jc w:val="right"/>
              <w:rPr>
                <w:sz w:val="21"/>
              </w:rPr>
            </w:pPr>
            <w:r>
              <w:rPr>
                <w:sz w:val="21"/>
              </w:rPr>
              <w:t>27,419,762</w:t>
            </w:r>
          </w:p>
        </w:tc>
        <w:tc>
          <w:tcPr>
            <w:tcW w:w="1344" w:type="dxa"/>
            <w:tcBorders>
              <w:top w:val="single" w:sz="4" w:space="0" w:color="000000"/>
              <w:left w:val="single" w:sz="4" w:space="0" w:color="000000"/>
              <w:right w:val="single" w:sz="4" w:space="0" w:color="000000"/>
            </w:tcBorders>
          </w:tcPr>
          <w:p>
            <w:pPr>
              <w:pStyle w:val="TableParagraph"/>
              <w:spacing w:line="240" w:lineRule="exact" w:before="10"/>
              <w:ind w:right="79"/>
              <w:jc w:val="right"/>
              <w:rPr>
                <w:sz w:val="21"/>
              </w:rPr>
            </w:pPr>
            <w:r>
              <w:rPr>
                <w:sz w:val="21"/>
              </w:rPr>
              <w:t>995,043</w:t>
            </w:r>
          </w:p>
        </w:tc>
        <w:tc>
          <w:tcPr>
            <w:tcW w:w="1167" w:type="dxa"/>
            <w:tcBorders>
              <w:top w:val="single" w:sz="4" w:space="0" w:color="000000"/>
              <w:left w:val="single" w:sz="4" w:space="0" w:color="000000"/>
              <w:right w:val="single" w:sz="4" w:space="0" w:color="000000"/>
            </w:tcBorders>
          </w:tcPr>
          <w:p>
            <w:pPr>
              <w:pStyle w:val="TableParagraph"/>
              <w:spacing w:line="235" w:lineRule="exact"/>
              <w:ind w:left="44"/>
              <w:jc w:val="center"/>
              <w:rPr>
                <w:sz w:val="21"/>
              </w:rPr>
            </w:pPr>
            <w:r>
              <w:rPr>
                <w:w w:val="100"/>
                <w:sz w:val="21"/>
              </w:rPr>
              <w:t>/</w:t>
            </w:r>
          </w:p>
        </w:tc>
        <w:tc>
          <w:tcPr>
            <w:tcW w:w="1385" w:type="dxa"/>
            <w:tcBorders>
              <w:top w:val="single" w:sz="4" w:space="0" w:color="000000"/>
              <w:left w:val="single" w:sz="4" w:space="0" w:color="000000"/>
              <w:right w:val="single" w:sz="4" w:space="0" w:color="000000"/>
            </w:tcBorders>
          </w:tcPr>
          <w:p>
            <w:pPr>
              <w:pStyle w:val="TableParagraph"/>
              <w:spacing w:line="235" w:lineRule="exact"/>
              <w:ind w:right="79"/>
              <w:jc w:val="right"/>
              <w:rPr>
                <w:sz w:val="21"/>
              </w:rPr>
            </w:pPr>
            <w:r>
              <w:rPr>
                <w:sz w:val="21"/>
              </w:rPr>
              <w:t>732.3</w:t>
            </w:r>
          </w:p>
        </w:tc>
        <w:tc>
          <w:tcPr>
            <w:tcW w:w="1407" w:type="dxa"/>
            <w:tcBorders>
              <w:top w:val="single" w:sz="4" w:space="0" w:color="000000"/>
              <w:left w:val="single" w:sz="4" w:space="0" w:color="000000"/>
            </w:tcBorders>
          </w:tcPr>
          <w:p>
            <w:pPr>
              <w:pStyle w:val="TableParagraph"/>
              <w:spacing w:line="235" w:lineRule="exact"/>
              <w:ind w:left="48"/>
              <w:jc w:val="center"/>
              <w:rPr>
                <w:sz w:val="21"/>
              </w:rPr>
            </w:pPr>
            <w:r>
              <w:rPr>
                <w:w w:val="100"/>
                <w:sz w:val="21"/>
              </w:rPr>
              <w:t>/</w:t>
            </w:r>
          </w:p>
        </w:tc>
      </w:tr>
    </w:tbl>
    <w:p>
      <w:pPr>
        <w:pStyle w:val="BodyText"/>
        <w:spacing w:before="4"/>
        <w:ind w:left="649"/>
      </w:pPr>
      <w:r>
        <w:rPr/>
        <w:t>注：以上股份均指</w:t>
      </w:r>
      <w:r>
        <w:rPr>
          <w:rFonts w:ascii="Times New Roman" w:eastAsia="Times New Roman"/>
        </w:rPr>
        <w:t>A </w:t>
      </w:r>
      <w:r>
        <w:rPr/>
        <w:t>股。除上表内容外，董事、总裁李华刚期末持有公司</w:t>
      </w:r>
      <w:r>
        <w:rPr>
          <w:rFonts w:ascii="Times New Roman" w:eastAsia="Times New Roman"/>
        </w:rPr>
        <w:t>H </w:t>
      </w:r>
      <w:r>
        <w:rPr/>
        <w:t>股共计 </w:t>
      </w:r>
      <w:r>
        <w:rPr>
          <w:rFonts w:ascii="Times New Roman" w:eastAsia="Times New Roman"/>
        </w:rPr>
        <w:t>812,145 </w:t>
      </w:r>
      <w:r>
        <w:rPr/>
        <w:t>股。</w:t>
      </w:r>
    </w:p>
    <w:p>
      <w:pPr>
        <w:pStyle w:val="BodyText"/>
        <w:rPr>
          <w:sz w:val="19"/>
        </w:rPr>
      </w:pPr>
    </w:p>
    <w:tbl>
      <w:tblPr>
        <w:tblW w:w="0" w:type="auto"/>
        <w:jc w:val="left"/>
        <w:tblInd w:w="1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85"/>
        <w:gridCol w:w="12705"/>
      </w:tblGrid>
      <w:tr>
        <w:trPr>
          <w:trHeight w:val="272" w:hRule="atLeast"/>
        </w:trPr>
        <w:tc>
          <w:tcPr>
            <w:tcW w:w="1385" w:type="dxa"/>
            <w:tcBorders>
              <w:bottom w:val="single" w:sz="4" w:space="0" w:color="000000"/>
              <w:right w:val="single" w:sz="4" w:space="0" w:color="000000"/>
            </w:tcBorders>
            <w:shd w:val="clear" w:color="auto" w:fill="EDEBE0"/>
          </w:tcPr>
          <w:p>
            <w:pPr>
              <w:pStyle w:val="TableParagraph"/>
              <w:spacing w:line="250" w:lineRule="exact" w:before="3"/>
              <w:ind w:left="358" w:right="337"/>
              <w:jc w:val="center"/>
              <w:rPr>
                <w:rFonts w:ascii="宋体" w:eastAsia="宋体" w:hint="eastAsia"/>
                <w:sz w:val="21"/>
              </w:rPr>
            </w:pPr>
            <w:r>
              <w:rPr>
                <w:rFonts w:ascii="宋体" w:eastAsia="宋体" w:hint="eastAsia"/>
                <w:sz w:val="21"/>
              </w:rPr>
              <w:t>姓名</w:t>
            </w:r>
          </w:p>
        </w:tc>
        <w:tc>
          <w:tcPr>
            <w:tcW w:w="12705" w:type="dxa"/>
            <w:tcBorders>
              <w:left w:val="single" w:sz="4" w:space="0" w:color="000000"/>
              <w:bottom w:val="single" w:sz="4" w:space="0" w:color="000000"/>
            </w:tcBorders>
            <w:shd w:val="clear" w:color="auto" w:fill="EDEBE0"/>
          </w:tcPr>
          <w:p>
            <w:pPr>
              <w:pStyle w:val="TableParagraph"/>
              <w:spacing w:line="250" w:lineRule="exact" w:before="3"/>
              <w:ind w:left="64" w:right="23"/>
              <w:jc w:val="center"/>
              <w:rPr>
                <w:rFonts w:ascii="宋体" w:eastAsia="宋体" w:hint="eastAsia"/>
                <w:sz w:val="21"/>
              </w:rPr>
            </w:pPr>
            <w:r>
              <w:rPr>
                <w:rFonts w:ascii="宋体" w:eastAsia="宋体" w:hint="eastAsia"/>
                <w:sz w:val="21"/>
              </w:rPr>
              <w:t>主要工作经历</w:t>
            </w:r>
          </w:p>
        </w:tc>
      </w:tr>
      <w:tr>
        <w:trPr>
          <w:trHeight w:val="1089" w:hRule="atLeast"/>
        </w:trPr>
        <w:tc>
          <w:tcPr>
            <w:tcW w:w="1385" w:type="dxa"/>
            <w:tcBorders>
              <w:top w:val="single" w:sz="4" w:space="0" w:color="000000"/>
              <w:bottom w:val="single" w:sz="4" w:space="0" w:color="000000"/>
              <w:right w:val="single" w:sz="4" w:space="0" w:color="000000"/>
            </w:tcBorders>
          </w:tcPr>
          <w:p>
            <w:pPr>
              <w:pStyle w:val="TableParagraph"/>
              <w:rPr>
                <w:rFonts w:ascii="宋体"/>
                <w:sz w:val="20"/>
              </w:rPr>
            </w:pPr>
          </w:p>
          <w:p>
            <w:pPr>
              <w:pStyle w:val="TableParagraph"/>
              <w:spacing w:before="155"/>
              <w:ind w:left="358" w:right="337"/>
              <w:jc w:val="center"/>
              <w:rPr>
                <w:rFonts w:ascii="宋体" w:eastAsia="宋体" w:hint="eastAsia"/>
                <w:sz w:val="21"/>
              </w:rPr>
            </w:pPr>
            <w:r>
              <w:rPr>
                <w:rFonts w:ascii="宋体" w:eastAsia="宋体" w:hint="eastAsia"/>
                <w:sz w:val="21"/>
              </w:rPr>
              <w:t>梁海山</w:t>
            </w:r>
          </w:p>
        </w:tc>
        <w:tc>
          <w:tcPr>
            <w:tcW w:w="12705" w:type="dxa"/>
            <w:tcBorders>
              <w:top w:val="single" w:sz="4" w:space="0" w:color="000000"/>
              <w:left w:val="single" w:sz="4" w:space="0" w:color="000000"/>
              <w:bottom w:val="single" w:sz="4" w:space="0" w:color="000000"/>
            </w:tcBorders>
          </w:tcPr>
          <w:p>
            <w:pPr>
              <w:pStyle w:val="TableParagraph"/>
              <w:spacing w:line="242" w:lineRule="auto" w:before="1"/>
              <w:ind w:left="117" w:right="71"/>
              <w:jc w:val="both"/>
              <w:rPr>
                <w:rFonts w:ascii="宋体" w:eastAsia="宋体" w:hint="eastAsia"/>
                <w:sz w:val="21"/>
              </w:rPr>
            </w:pPr>
            <w:r>
              <w:rPr>
                <w:rFonts w:ascii="宋体" w:eastAsia="宋体" w:hint="eastAsia"/>
                <w:spacing w:val="-8"/>
                <w:sz w:val="21"/>
              </w:rPr>
              <w:t>男，生于 </w:t>
            </w:r>
            <w:r>
              <w:rPr>
                <w:sz w:val="21"/>
              </w:rPr>
              <w:t>1966 </w:t>
            </w:r>
            <w:r>
              <w:rPr>
                <w:rFonts w:ascii="宋体" w:eastAsia="宋体" w:hint="eastAsia"/>
                <w:spacing w:val="-3"/>
                <w:sz w:val="21"/>
              </w:rPr>
              <w:t>年。高级工程师。历任青岛海尔电冰箱股份有限公司质量部部长、青岛海尔空调器有限总公司总经理、海尔集团高级副总裁、海尔集团轮值总裁、海尔智家股份有限公司董事长兼总经理。现任海尔集团董事局副主席、海尔智家股份有限公司第十届董事会董事长等职务。近年荣获全国五一劳动奖章、全国轻工业企业信息化优秀领导奖、十大中国战略性新兴产业领军人物奖、中国家电科技进</w:t>
            </w:r>
          </w:p>
          <w:p>
            <w:pPr>
              <w:pStyle w:val="TableParagraph"/>
              <w:spacing w:line="250" w:lineRule="exact" w:before="3"/>
              <w:ind w:left="117"/>
              <w:jc w:val="both"/>
              <w:rPr>
                <w:rFonts w:ascii="宋体" w:eastAsia="宋体" w:hint="eastAsia"/>
                <w:sz w:val="21"/>
              </w:rPr>
            </w:pPr>
            <w:r>
              <w:rPr>
                <w:rFonts w:ascii="宋体" w:eastAsia="宋体" w:hint="eastAsia"/>
                <w:sz w:val="21"/>
              </w:rPr>
              <w:t>步奖、中国轻工业联合会科学技术进步一等奖、</w:t>
            </w:r>
            <w:r>
              <w:rPr>
                <w:sz w:val="21"/>
              </w:rPr>
              <w:t>2017 </w:t>
            </w:r>
            <w:r>
              <w:rPr>
                <w:rFonts w:ascii="宋体" w:eastAsia="宋体" w:hint="eastAsia"/>
                <w:sz w:val="21"/>
              </w:rPr>
              <w:t>年福布斯中国上市公司最佳</w:t>
            </w:r>
            <w:r>
              <w:rPr>
                <w:sz w:val="21"/>
              </w:rPr>
              <w:t>CEO</w:t>
            </w:r>
            <w:r>
              <w:rPr>
                <w:rFonts w:ascii="宋体" w:eastAsia="宋体" w:hint="eastAsia"/>
                <w:sz w:val="21"/>
              </w:rPr>
              <w:t>、</w:t>
            </w:r>
            <w:r>
              <w:rPr>
                <w:sz w:val="21"/>
              </w:rPr>
              <w:t>2017 </w:t>
            </w:r>
            <w:r>
              <w:rPr>
                <w:rFonts w:ascii="宋体" w:eastAsia="宋体" w:hint="eastAsia"/>
                <w:sz w:val="21"/>
              </w:rPr>
              <w:t>年山东省泰山产业领军人才等。</w:t>
            </w:r>
          </w:p>
        </w:tc>
      </w:tr>
      <w:tr>
        <w:trPr>
          <w:trHeight w:val="1089" w:hRule="atLeast"/>
        </w:trPr>
        <w:tc>
          <w:tcPr>
            <w:tcW w:w="1385" w:type="dxa"/>
            <w:tcBorders>
              <w:top w:val="single" w:sz="4" w:space="0" w:color="000000"/>
              <w:bottom w:val="single" w:sz="4" w:space="0" w:color="000000"/>
              <w:right w:val="single" w:sz="4" w:space="0" w:color="000000"/>
            </w:tcBorders>
          </w:tcPr>
          <w:p>
            <w:pPr>
              <w:pStyle w:val="TableParagraph"/>
              <w:rPr>
                <w:rFonts w:ascii="宋体"/>
                <w:sz w:val="20"/>
              </w:rPr>
            </w:pPr>
          </w:p>
          <w:p>
            <w:pPr>
              <w:pStyle w:val="TableParagraph"/>
              <w:spacing w:before="155"/>
              <w:ind w:left="358" w:right="337"/>
              <w:jc w:val="center"/>
              <w:rPr>
                <w:rFonts w:ascii="宋体" w:eastAsia="宋体" w:hint="eastAsia"/>
                <w:sz w:val="21"/>
              </w:rPr>
            </w:pPr>
            <w:r>
              <w:rPr>
                <w:rFonts w:ascii="宋体" w:eastAsia="宋体" w:hint="eastAsia"/>
                <w:sz w:val="21"/>
              </w:rPr>
              <w:t>谭丽霞</w:t>
            </w:r>
          </w:p>
        </w:tc>
        <w:tc>
          <w:tcPr>
            <w:tcW w:w="12705" w:type="dxa"/>
            <w:tcBorders>
              <w:top w:val="single" w:sz="4" w:space="0" w:color="000000"/>
              <w:left w:val="single" w:sz="4" w:space="0" w:color="000000"/>
              <w:bottom w:val="single" w:sz="4" w:space="0" w:color="000000"/>
            </w:tcBorders>
          </w:tcPr>
          <w:p>
            <w:pPr>
              <w:pStyle w:val="TableParagraph"/>
              <w:spacing w:line="242" w:lineRule="auto" w:before="3"/>
              <w:ind w:left="117" w:right="68"/>
              <w:jc w:val="both"/>
              <w:rPr>
                <w:rFonts w:ascii="宋体" w:hAnsi="宋体" w:eastAsia="宋体" w:hint="eastAsia"/>
                <w:sz w:val="21"/>
              </w:rPr>
            </w:pPr>
            <w:r>
              <w:rPr>
                <w:rFonts w:ascii="宋体" w:hAnsi="宋体" w:eastAsia="宋体" w:hint="eastAsia"/>
                <w:spacing w:val="-8"/>
                <w:sz w:val="21"/>
              </w:rPr>
              <w:t>女，生于 </w:t>
            </w:r>
            <w:r>
              <w:rPr>
                <w:sz w:val="21"/>
              </w:rPr>
              <w:t>1970 </w:t>
            </w:r>
            <w:r>
              <w:rPr>
                <w:rFonts w:ascii="宋体" w:hAnsi="宋体" w:eastAsia="宋体" w:hint="eastAsia"/>
                <w:spacing w:val="-3"/>
                <w:sz w:val="21"/>
              </w:rPr>
              <w:t>年。历任海尔空调电子进出口公司处长助理、总经理助理，海尔集团海外推进本部综合部部长、副本部长、本部长，海尔</w:t>
            </w:r>
            <w:r>
              <w:rPr>
                <w:rFonts w:ascii="宋体" w:hAnsi="宋体" w:eastAsia="宋体" w:hint="eastAsia"/>
                <w:sz w:val="21"/>
              </w:rPr>
              <w:t>集团财务管理部本部长，海尔集团 </w:t>
            </w:r>
            <w:r>
              <w:rPr>
                <w:sz w:val="21"/>
              </w:rPr>
              <w:t>CFO</w:t>
            </w:r>
            <w:r>
              <w:rPr>
                <w:rFonts w:ascii="宋体" w:hAnsi="宋体" w:eastAsia="宋体" w:hint="eastAsia"/>
                <w:spacing w:val="-3"/>
                <w:sz w:val="21"/>
              </w:rPr>
              <w:t>，现任海尔集团执行副总裁、海尔金控董事长、海尔智家股份有限公司第十届董事会副董事长等</w:t>
            </w:r>
            <w:r>
              <w:rPr>
                <w:rFonts w:ascii="宋体" w:hAnsi="宋体" w:eastAsia="宋体" w:hint="eastAsia"/>
                <w:spacing w:val="-5"/>
                <w:sz w:val="21"/>
              </w:rPr>
              <w:t>职，近年先后荣获山东省劳模、全国优秀企业家、全国</w:t>
            </w:r>
            <w:r>
              <w:rPr>
                <w:spacing w:val="-3"/>
                <w:sz w:val="21"/>
              </w:rPr>
              <w:t>“</w:t>
            </w:r>
            <w:r>
              <w:rPr>
                <w:rFonts w:ascii="宋体" w:hAnsi="宋体" w:eastAsia="宋体" w:hint="eastAsia"/>
                <w:sz w:val="21"/>
              </w:rPr>
              <w:t>三八</w:t>
            </w:r>
            <w:r>
              <w:rPr>
                <w:spacing w:val="-3"/>
                <w:sz w:val="21"/>
              </w:rPr>
              <w:t>”</w:t>
            </w:r>
            <w:r>
              <w:rPr>
                <w:rFonts w:ascii="宋体" w:hAnsi="宋体" w:eastAsia="宋体" w:hint="eastAsia"/>
                <w:spacing w:val="2"/>
                <w:sz w:val="21"/>
              </w:rPr>
              <w:t>红旗手标兵、中国</w:t>
            </w:r>
            <w:r>
              <w:rPr>
                <w:sz w:val="21"/>
              </w:rPr>
              <w:t>CFO </w:t>
            </w:r>
            <w:r>
              <w:rPr>
                <w:rFonts w:ascii="宋体" w:hAnsi="宋体" w:eastAsia="宋体" w:hint="eastAsia"/>
                <w:spacing w:val="-5"/>
                <w:sz w:val="21"/>
              </w:rPr>
              <w:t>年度人物、中国十大经济女性年度人物、中国十大</w:t>
            </w:r>
          </w:p>
          <w:p>
            <w:pPr>
              <w:pStyle w:val="TableParagraph"/>
              <w:spacing w:line="250" w:lineRule="exact" w:before="1"/>
              <w:ind w:left="117"/>
              <w:rPr>
                <w:rFonts w:ascii="宋体" w:eastAsia="宋体" w:hint="eastAsia"/>
                <w:sz w:val="21"/>
              </w:rPr>
            </w:pPr>
            <w:r>
              <w:rPr>
                <w:rFonts w:ascii="宋体" w:eastAsia="宋体" w:hint="eastAsia"/>
                <w:sz w:val="21"/>
              </w:rPr>
              <w:t>品牌女性等称号</w:t>
            </w:r>
            <w:r>
              <w:rPr>
                <w:sz w:val="21"/>
              </w:rPr>
              <w:t>,</w:t>
            </w:r>
            <w:r>
              <w:rPr>
                <w:rFonts w:ascii="宋体" w:eastAsia="宋体" w:hint="eastAsia"/>
                <w:sz w:val="21"/>
              </w:rPr>
              <w:t>全国妇联第十二届常委、中国女企业家协会副会长。</w:t>
            </w:r>
          </w:p>
        </w:tc>
      </w:tr>
      <w:tr>
        <w:trPr>
          <w:trHeight w:val="1363" w:hRule="atLeast"/>
        </w:trPr>
        <w:tc>
          <w:tcPr>
            <w:tcW w:w="1385" w:type="dxa"/>
            <w:tcBorders>
              <w:top w:val="single" w:sz="4" w:space="0" w:color="000000"/>
              <w:bottom w:val="single" w:sz="4" w:space="0" w:color="000000"/>
              <w:right w:val="single" w:sz="4" w:space="0" w:color="000000"/>
            </w:tcBorders>
          </w:tcPr>
          <w:p>
            <w:pPr>
              <w:pStyle w:val="TableParagraph"/>
              <w:rPr>
                <w:rFonts w:ascii="宋体"/>
                <w:sz w:val="20"/>
              </w:rPr>
            </w:pPr>
          </w:p>
          <w:p>
            <w:pPr>
              <w:pStyle w:val="TableParagraph"/>
              <w:spacing w:before="10"/>
              <w:rPr>
                <w:rFonts w:ascii="宋体"/>
                <w:sz w:val="22"/>
              </w:rPr>
            </w:pPr>
          </w:p>
          <w:p>
            <w:pPr>
              <w:pStyle w:val="TableParagraph"/>
              <w:ind w:left="358" w:right="337"/>
              <w:jc w:val="center"/>
              <w:rPr>
                <w:rFonts w:ascii="宋体" w:eastAsia="宋体" w:hint="eastAsia"/>
                <w:sz w:val="21"/>
              </w:rPr>
            </w:pPr>
            <w:r>
              <w:rPr>
                <w:rFonts w:ascii="宋体" w:eastAsia="宋体" w:hint="eastAsia"/>
                <w:sz w:val="21"/>
              </w:rPr>
              <w:t>李华刚</w:t>
            </w:r>
          </w:p>
        </w:tc>
        <w:tc>
          <w:tcPr>
            <w:tcW w:w="12705" w:type="dxa"/>
            <w:tcBorders>
              <w:top w:val="single" w:sz="4" w:space="0" w:color="000000"/>
              <w:left w:val="single" w:sz="4" w:space="0" w:color="000000"/>
              <w:bottom w:val="single" w:sz="4" w:space="0" w:color="000000"/>
            </w:tcBorders>
          </w:tcPr>
          <w:p>
            <w:pPr>
              <w:pStyle w:val="TableParagraph"/>
              <w:spacing w:line="242" w:lineRule="auto" w:before="3"/>
              <w:ind w:left="117" w:right="52"/>
              <w:jc w:val="both"/>
              <w:rPr>
                <w:rFonts w:ascii="宋体" w:eastAsia="宋体" w:hint="eastAsia"/>
                <w:sz w:val="21"/>
              </w:rPr>
            </w:pPr>
            <w:r>
              <w:rPr>
                <w:rFonts w:ascii="宋体" w:eastAsia="宋体" w:hint="eastAsia"/>
                <w:spacing w:val="-4"/>
                <w:sz w:val="21"/>
              </w:rPr>
              <w:t>男，生于 </w:t>
            </w:r>
            <w:r>
              <w:rPr>
                <w:sz w:val="21"/>
              </w:rPr>
              <w:t>1969 </w:t>
            </w:r>
            <w:r>
              <w:rPr>
                <w:rFonts w:ascii="宋体" w:eastAsia="宋体" w:hint="eastAsia"/>
                <w:spacing w:val="-2"/>
                <w:sz w:val="21"/>
              </w:rPr>
              <w:t>年。</w:t>
            </w:r>
            <w:r>
              <w:rPr>
                <w:sz w:val="21"/>
              </w:rPr>
              <w:t>1991 </w:t>
            </w:r>
            <w:r>
              <w:rPr>
                <w:rFonts w:ascii="宋体" w:eastAsia="宋体" w:hint="eastAsia"/>
                <w:spacing w:val="-3"/>
                <w:sz w:val="21"/>
              </w:rPr>
              <w:t>年毕业于华中理工大学，并获经济学学士学位，</w:t>
            </w:r>
            <w:r>
              <w:rPr>
                <w:sz w:val="21"/>
              </w:rPr>
              <w:t>2014 </w:t>
            </w:r>
            <w:r>
              <w:rPr>
                <w:rFonts w:ascii="宋体" w:eastAsia="宋体" w:hint="eastAsia"/>
                <w:spacing w:val="-3"/>
                <w:sz w:val="21"/>
              </w:rPr>
              <w:t>年毕业于中欧国际工商学院，并获高层管理人员工商管理</w:t>
            </w:r>
            <w:r>
              <w:rPr>
                <w:spacing w:val="-3"/>
                <w:sz w:val="21"/>
              </w:rPr>
              <w:t>(EMBA)</w:t>
            </w:r>
            <w:r>
              <w:rPr>
                <w:rFonts w:ascii="宋体" w:eastAsia="宋体" w:hint="eastAsia"/>
                <w:spacing w:val="-4"/>
                <w:sz w:val="21"/>
              </w:rPr>
              <w:t>硕士学位。曾任公司控股子公司海尔电器集团有限公司首席营运官、执行董事等职，现任海尔智家股份有限公司董事、总经理、中国区首席市场官等职。李先生大力推动品牌升级及渠道优化战略，令公司线上业务及线下业务收益增长，提升产品的品牌形象，并建立无缝且运作良好的全渠道体系。李华刚先生致力于海尔智家体验云平台的搭建，实现线上线下一体化经营，提升企业运营效率及创造</w:t>
            </w:r>
          </w:p>
          <w:p>
            <w:pPr>
              <w:pStyle w:val="TableParagraph"/>
              <w:spacing w:line="250" w:lineRule="exact" w:before="3"/>
              <w:ind w:left="117"/>
              <w:rPr>
                <w:rFonts w:ascii="宋体" w:eastAsia="宋体" w:hint="eastAsia"/>
                <w:sz w:val="21"/>
              </w:rPr>
            </w:pPr>
            <w:r>
              <w:rPr>
                <w:rFonts w:ascii="宋体" w:eastAsia="宋体" w:hint="eastAsia"/>
                <w:sz w:val="21"/>
              </w:rPr>
              <w:t>用户差异化体验，为用户提供智慧家庭的一站式全场景生态无缝体验。</w:t>
            </w:r>
          </w:p>
        </w:tc>
      </w:tr>
      <w:tr>
        <w:trPr>
          <w:trHeight w:val="815" w:hRule="atLeast"/>
        </w:trPr>
        <w:tc>
          <w:tcPr>
            <w:tcW w:w="1385" w:type="dxa"/>
            <w:tcBorders>
              <w:top w:val="single" w:sz="4" w:space="0" w:color="000000"/>
              <w:right w:val="single" w:sz="4" w:space="0" w:color="000000"/>
            </w:tcBorders>
          </w:tcPr>
          <w:p>
            <w:pPr>
              <w:pStyle w:val="TableParagraph"/>
              <w:spacing w:before="5"/>
              <w:rPr>
                <w:rFonts w:ascii="宋体"/>
                <w:sz w:val="21"/>
              </w:rPr>
            </w:pPr>
          </w:p>
          <w:p>
            <w:pPr>
              <w:pStyle w:val="TableParagraph"/>
              <w:ind w:left="358" w:right="337"/>
              <w:jc w:val="center"/>
              <w:rPr>
                <w:rFonts w:ascii="宋体" w:eastAsia="宋体" w:hint="eastAsia"/>
                <w:sz w:val="21"/>
              </w:rPr>
            </w:pPr>
            <w:r>
              <w:rPr>
                <w:rFonts w:ascii="宋体" w:eastAsia="宋体" w:hint="eastAsia"/>
                <w:sz w:val="21"/>
              </w:rPr>
              <w:t>武常岐</w:t>
            </w:r>
          </w:p>
        </w:tc>
        <w:tc>
          <w:tcPr>
            <w:tcW w:w="12705" w:type="dxa"/>
            <w:tcBorders>
              <w:top w:val="single" w:sz="4" w:space="0" w:color="000000"/>
              <w:left w:val="single" w:sz="4" w:space="0" w:color="000000"/>
            </w:tcBorders>
          </w:tcPr>
          <w:p>
            <w:pPr>
              <w:pStyle w:val="TableParagraph"/>
              <w:spacing w:before="1"/>
              <w:ind w:left="117"/>
              <w:rPr>
                <w:rFonts w:ascii="宋体" w:eastAsia="宋体" w:hint="eastAsia"/>
                <w:sz w:val="21"/>
              </w:rPr>
            </w:pPr>
            <w:r>
              <w:rPr>
                <w:rFonts w:ascii="宋体" w:eastAsia="宋体" w:hint="eastAsia"/>
                <w:spacing w:val="-4"/>
                <w:sz w:val="21"/>
              </w:rPr>
              <w:t>男，生于 </w:t>
            </w:r>
            <w:r>
              <w:rPr>
                <w:sz w:val="21"/>
              </w:rPr>
              <w:t>1955</w:t>
            </w:r>
            <w:r>
              <w:rPr>
                <w:spacing w:val="39"/>
                <w:sz w:val="21"/>
              </w:rPr>
              <w:t> </w:t>
            </w:r>
            <w:r>
              <w:rPr>
                <w:rFonts w:ascii="宋体" w:eastAsia="宋体" w:hint="eastAsia"/>
                <w:spacing w:val="-3"/>
                <w:sz w:val="21"/>
              </w:rPr>
              <w:t>年。北京大学光华管理学院战略管理学教授，博士生导师。</w:t>
            </w:r>
            <w:r>
              <w:rPr>
                <w:sz w:val="21"/>
              </w:rPr>
              <w:t>1982</w:t>
            </w:r>
            <w:r>
              <w:rPr>
                <w:spacing w:val="39"/>
                <w:sz w:val="21"/>
              </w:rPr>
              <w:t> </w:t>
            </w:r>
            <w:r>
              <w:rPr>
                <w:rFonts w:ascii="宋体" w:eastAsia="宋体" w:hint="eastAsia"/>
                <w:spacing w:val="-3"/>
                <w:sz w:val="21"/>
              </w:rPr>
              <w:t>年毕业于山东大学，获经济学学士学位，</w:t>
            </w:r>
            <w:r>
              <w:rPr>
                <w:sz w:val="21"/>
              </w:rPr>
              <w:t>1990</w:t>
            </w:r>
            <w:r>
              <w:rPr>
                <w:spacing w:val="36"/>
                <w:sz w:val="21"/>
              </w:rPr>
              <w:t> </w:t>
            </w:r>
            <w:r>
              <w:rPr>
                <w:rFonts w:ascii="宋体" w:eastAsia="宋体" w:hint="eastAsia"/>
                <w:spacing w:val="-1"/>
                <w:sz w:val="21"/>
              </w:rPr>
              <w:t>年毕业于</w:t>
            </w:r>
          </w:p>
          <w:p>
            <w:pPr>
              <w:pStyle w:val="TableParagraph"/>
              <w:spacing w:line="270" w:lineRule="atLeast" w:before="3"/>
              <w:ind w:left="117" w:right="74"/>
              <w:rPr>
                <w:rFonts w:ascii="宋体" w:eastAsia="宋体" w:hint="eastAsia"/>
                <w:sz w:val="21"/>
              </w:rPr>
            </w:pPr>
            <w:r>
              <w:rPr>
                <w:rFonts w:ascii="宋体" w:eastAsia="宋体" w:hint="eastAsia"/>
                <w:spacing w:val="-1"/>
                <w:sz w:val="21"/>
              </w:rPr>
              <w:t>比利时鲁汶大学，先后获工商管理硕士学位及应用经济学博士学位。曾任香港科技大学商学院经济学系助理教授、副教授，北京大学光</w:t>
            </w:r>
            <w:r>
              <w:rPr>
                <w:rFonts w:ascii="宋体" w:eastAsia="宋体" w:hint="eastAsia"/>
                <w:spacing w:val="-3"/>
                <w:sz w:val="21"/>
              </w:rPr>
              <w:t>华管理学院战略管理系教授及系主任，北京大学光华管理学院副院长、</w:t>
            </w:r>
            <w:r>
              <w:rPr>
                <w:sz w:val="21"/>
              </w:rPr>
              <w:t>EMBA</w:t>
            </w:r>
            <w:r>
              <w:rPr>
                <w:spacing w:val="4"/>
                <w:sz w:val="21"/>
              </w:rPr>
              <w:t>   </w:t>
            </w:r>
            <w:r>
              <w:rPr>
                <w:rFonts w:ascii="宋体" w:eastAsia="宋体" w:hint="eastAsia"/>
                <w:spacing w:val="-3"/>
                <w:sz w:val="21"/>
              </w:rPr>
              <w:t>学位项目中心主任等职务。现任北京大学国家高新技术产</w:t>
            </w:r>
          </w:p>
        </w:tc>
      </w:tr>
    </w:tbl>
    <w:p>
      <w:pPr>
        <w:spacing w:after="0" w:line="270" w:lineRule="atLeast"/>
        <w:rPr>
          <w:rFonts w:ascii="宋体" w:eastAsia="宋体" w:hint="eastAsia"/>
          <w:sz w:val="21"/>
        </w:rPr>
        <w:sectPr>
          <w:pgSz w:w="16840" w:h="11910" w:orient="landscape"/>
          <w:pgMar w:header="874" w:footer="1214" w:top="1180" w:bottom="1400" w:left="1300" w:right="1180"/>
        </w:sectPr>
      </w:pPr>
    </w:p>
    <w:p>
      <w:pPr>
        <w:pStyle w:val="BodyText"/>
        <w:spacing w:before="4"/>
        <w:rPr>
          <w:rFonts w:ascii="Times New Roman"/>
          <w:sz w:val="8"/>
        </w:rPr>
      </w:pPr>
    </w:p>
    <w:tbl>
      <w:tblPr>
        <w:tblW w:w="0" w:type="auto"/>
        <w:jc w:val="left"/>
        <w:tblInd w:w="1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85"/>
        <w:gridCol w:w="12705"/>
      </w:tblGrid>
      <w:tr>
        <w:trPr>
          <w:trHeight w:val="272" w:hRule="atLeast"/>
        </w:trPr>
        <w:tc>
          <w:tcPr>
            <w:tcW w:w="1385" w:type="dxa"/>
            <w:tcBorders>
              <w:bottom w:val="single" w:sz="4" w:space="0" w:color="000000"/>
              <w:right w:val="single" w:sz="4" w:space="0" w:color="000000"/>
            </w:tcBorders>
          </w:tcPr>
          <w:p>
            <w:pPr>
              <w:pStyle w:val="TableParagraph"/>
              <w:rPr>
                <w:sz w:val="20"/>
              </w:rPr>
            </w:pPr>
          </w:p>
        </w:tc>
        <w:tc>
          <w:tcPr>
            <w:tcW w:w="12705" w:type="dxa"/>
            <w:tcBorders>
              <w:left w:val="single" w:sz="4" w:space="0" w:color="000000"/>
              <w:bottom w:val="single" w:sz="4" w:space="0" w:color="000000"/>
            </w:tcBorders>
          </w:tcPr>
          <w:p>
            <w:pPr>
              <w:pStyle w:val="TableParagraph"/>
              <w:spacing w:line="252" w:lineRule="exact"/>
              <w:ind w:left="127" w:right="23"/>
              <w:jc w:val="center"/>
              <w:rPr>
                <w:rFonts w:ascii="宋体" w:eastAsia="宋体" w:hint="eastAsia"/>
                <w:sz w:val="21"/>
              </w:rPr>
            </w:pPr>
            <w:r>
              <w:rPr>
                <w:rFonts w:ascii="宋体" w:eastAsia="宋体" w:hint="eastAsia"/>
                <w:sz w:val="21"/>
              </w:rPr>
              <w:t>业开发区发展战略研究院院长</w:t>
            </w:r>
            <w:r>
              <w:rPr>
                <w:sz w:val="21"/>
              </w:rPr>
              <w:t>, </w:t>
            </w:r>
            <w:r>
              <w:rPr>
                <w:rFonts w:ascii="宋体" w:eastAsia="宋体" w:hint="eastAsia"/>
                <w:sz w:val="21"/>
              </w:rPr>
              <w:t>北京大学光华领导力研究中心主任、山东大学管理学院院长，海尔智家股份有限公司第十届董事会董事。</w:t>
            </w:r>
          </w:p>
        </w:tc>
      </w:tr>
      <w:tr>
        <w:trPr>
          <w:trHeight w:val="1905" w:hRule="atLeast"/>
        </w:trPr>
        <w:tc>
          <w:tcPr>
            <w:tcW w:w="1385" w:type="dxa"/>
            <w:tcBorders>
              <w:top w:val="single" w:sz="4" w:space="0" w:color="000000"/>
              <w:bottom w:val="single" w:sz="4" w:space="0" w:color="000000"/>
              <w:right w:val="single" w:sz="4" w:space="0" w:color="000000"/>
            </w:tcBorders>
          </w:tcPr>
          <w:p>
            <w:pPr>
              <w:pStyle w:val="TableParagraph"/>
              <w:rPr>
                <w:sz w:val="20"/>
              </w:rPr>
            </w:pPr>
          </w:p>
          <w:p>
            <w:pPr>
              <w:pStyle w:val="TableParagraph"/>
              <w:rPr>
                <w:sz w:val="20"/>
              </w:rPr>
            </w:pPr>
          </w:p>
          <w:p>
            <w:pPr>
              <w:pStyle w:val="TableParagraph"/>
              <w:rPr>
                <w:sz w:val="20"/>
              </w:rPr>
            </w:pPr>
          </w:p>
          <w:p>
            <w:pPr>
              <w:pStyle w:val="TableParagraph"/>
              <w:spacing w:before="127"/>
              <w:ind w:left="358" w:right="337"/>
              <w:jc w:val="center"/>
              <w:rPr>
                <w:rFonts w:ascii="宋体" w:eastAsia="宋体" w:hint="eastAsia"/>
                <w:sz w:val="21"/>
              </w:rPr>
            </w:pPr>
            <w:r>
              <w:rPr>
                <w:rFonts w:ascii="宋体" w:eastAsia="宋体" w:hint="eastAsia"/>
                <w:sz w:val="21"/>
              </w:rPr>
              <w:t>林绥</w:t>
            </w:r>
          </w:p>
        </w:tc>
        <w:tc>
          <w:tcPr>
            <w:tcW w:w="12705" w:type="dxa"/>
            <w:tcBorders>
              <w:top w:val="single" w:sz="4" w:space="0" w:color="000000"/>
              <w:left w:val="single" w:sz="4" w:space="0" w:color="000000"/>
              <w:bottom w:val="single" w:sz="4" w:space="0" w:color="000000"/>
            </w:tcBorders>
          </w:tcPr>
          <w:p>
            <w:pPr>
              <w:pStyle w:val="TableParagraph"/>
              <w:spacing w:line="242" w:lineRule="auto" w:before="1"/>
              <w:ind w:left="117" w:right="-44"/>
              <w:rPr>
                <w:rFonts w:ascii="宋体" w:eastAsia="宋体" w:hint="eastAsia"/>
                <w:sz w:val="21"/>
              </w:rPr>
            </w:pPr>
            <w:r>
              <w:rPr>
                <w:rFonts w:ascii="宋体" w:eastAsia="宋体" w:hint="eastAsia"/>
                <w:color w:val="25282A"/>
                <w:spacing w:val="-12"/>
                <w:sz w:val="21"/>
              </w:rPr>
              <w:t>男，生于 </w:t>
            </w:r>
            <w:r>
              <w:rPr>
                <w:color w:val="25282A"/>
                <w:sz w:val="21"/>
              </w:rPr>
              <w:t>1956</w:t>
            </w:r>
            <w:r>
              <w:rPr>
                <w:color w:val="25282A"/>
                <w:spacing w:val="6"/>
                <w:sz w:val="21"/>
              </w:rPr>
              <w:t> </w:t>
            </w:r>
            <w:r>
              <w:rPr>
                <w:rFonts w:ascii="宋体" w:eastAsia="宋体" w:hint="eastAsia"/>
                <w:color w:val="25282A"/>
                <w:spacing w:val="-3"/>
                <w:sz w:val="21"/>
              </w:rPr>
              <w:t>年。曾为德勤中国的合伙人（</w:t>
            </w:r>
            <w:r>
              <w:rPr>
                <w:rFonts w:ascii="宋体" w:eastAsia="宋体" w:hint="eastAsia"/>
                <w:color w:val="25282A"/>
                <w:spacing w:val="-24"/>
                <w:sz w:val="21"/>
              </w:rPr>
              <w:t>于 </w:t>
            </w:r>
            <w:r>
              <w:rPr>
                <w:color w:val="25282A"/>
                <w:sz w:val="21"/>
              </w:rPr>
              <w:t>2019</w:t>
            </w:r>
            <w:r>
              <w:rPr>
                <w:color w:val="25282A"/>
                <w:spacing w:val="3"/>
                <w:sz w:val="21"/>
              </w:rPr>
              <w:t> </w:t>
            </w:r>
            <w:r>
              <w:rPr>
                <w:rFonts w:ascii="宋体" w:eastAsia="宋体" w:hint="eastAsia"/>
                <w:color w:val="25282A"/>
                <w:spacing w:val="-24"/>
                <w:sz w:val="21"/>
              </w:rPr>
              <w:t>年 </w:t>
            </w:r>
            <w:r>
              <w:rPr>
                <w:color w:val="25282A"/>
                <w:sz w:val="21"/>
              </w:rPr>
              <w:t>5</w:t>
            </w:r>
            <w:r>
              <w:rPr>
                <w:color w:val="25282A"/>
                <w:spacing w:val="3"/>
                <w:sz w:val="21"/>
              </w:rPr>
              <w:t> </w:t>
            </w:r>
            <w:r>
              <w:rPr>
                <w:rFonts w:ascii="宋体" w:eastAsia="宋体" w:hint="eastAsia"/>
                <w:color w:val="25282A"/>
                <w:spacing w:val="-24"/>
                <w:sz w:val="21"/>
              </w:rPr>
              <w:t>月 </w:t>
            </w:r>
            <w:r>
              <w:rPr>
                <w:color w:val="25282A"/>
                <w:sz w:val="21"/>
              </w:rPr>
              <w:t>31</w:t>
            </w:r>
            <w:r>
              <w:rPr>
                <w:color w:val="25282A"/>
                <w:spacing w:val="2"/>
                <w:sz w:val="21"/>
              </w:rPr>
              <w:t> </w:t>
            </w:r>
            <w:r>
              <w:rPr>
                <w:rFonts w:ascii="宋体" w:eastAsia="宋体" w:hint="eastAsia"/>
                <w:color w:val="25282A"/>
                <w:spacing w:val="-3"/>
                <w:sz w:val="21"/>
              </w:rPr>
              <w:t>日从德勤中国退休）。在美国和中国从事国际税务咨询工作近三十年，曾</w:t>
            </w:r>
            <w:r>
              <w:rPr>
                <w:rFonts w:ascii="宋体" w:eastAsia="宋体" w:hint="eastAsia"/>
                <w:color w:val="25282A"/>
                <w:spacing w:val="-5"/>
                <w:sz w:val="21"/>
              </w:rPr>
              <w:t>参与众多中国国际化企业的跨国投资交易、并购重组、上市、融资项目、供应链税务优化、内部税务风险控制等多方面的专业税务咨询， 在企业上市相关的重组、收购、股权安排、税务会计及业务转型等方面有着丰富的经验。近年来，主要从事企业财务和税务管理数字化 </w:t>
            </w:r>
            <w:r>
              <w:rPr>
                <w:rFonts w:ascii="宋体" w:eastAsia="宋体" w:hint="eastAsia"/>
                <w:color w:val="25282A"/>
                <w:spacing w:val="-6"/>
                <w:sz w:val="21"/>
              </w:rPr>
              <w:t>转型的咨询工作。</w:t>
            </w:r>
            <w:r>
              <w:rPr>
                <w:color w:val="25282A"/>
                <w:sz w:val="21"/>
              </w:rPr>
              <w:t>1989</w:t>
            </w:r>
            <w:r>
              <w:rPr>
                <w:color w:val="25282A"/>
                <w:spacing w:val="8"/>
                <w:sz w:val="21"/>
              </w:rPr>
              <w:t> </w:t>
            </w:r>
            <w:r>
              <w:rPr>
                <w:rFonts w:ascii="宋体" w:eastAsia="宋体" w:hint="eastAsia"/>
                <w:color w:val="25282A"/>
                <w:spacing w:val="-4"/>
                <w:sz w:val="21"/>
              </w:rPr>
              <w:t>年赴美留学分获工商管理硕士和税法硕士。</w:t>
            </w:r>
            <w:r>
              <w:rPr>
                <w:color w:val="25282A"/>
                <w:sz w:val="21"/>
              </w:rPr>
              <w:t>1993</w:t>
            </w:r>
            <w:r>
              <w:rPr>
                <w:color w:val="25282A"/>
                <w:spacing w:val="12"/>
                <w:sz w:val="21"/>
              </w:rPr>
              <w:t> </w:t>
            </w:r>
            <w:r>
              <w:rPr>
                <w:rFonts w:ascii="宋体" w:eastAsia="宋体" w:hint="eastAsia"/>
                <w:color w:val="25282A"/>
                <w:spacing w:val="-4"/>
                <w:sz w:val="21"/>
              </w:rPr>
              <w:t>年加入德勤美国，</w:t>
            </w:r>
            <w:r>
              <w:rPr>
                <w:color w:val="25282A"/>
                <w:spacing w:val="-4"/>
                <w:sz w:val="21"/>
              </w:rPr>
              <w:t>2002</w:t>
            </w:r>
            <w:r>
              <w:rPr>
                <w:color w:val="25282A"/>
                <w:spacing w:val="8"/>
                <w:sz w:val="21"/>
              </w:rPr>
              <w:t> </w:t>
            </w:r>
            <w:r>
              <w:rPr>
                <w:rFonts w:ascii="宋体" w:eastAsia="宋体" w:hint="eastAsia"/>
                <w:color w:val="25282A"/>
                <w:spacing w:val="-3"/>
                <w:sz w:val="21"/>
              </w:rPr>
              <w:t>年被派</w:t>
            </w:r>
            <w:r>
              <w:rPr>
                <w:rFonts w:ascii="宋体" w:eastAsia="宋体" w:hint="eastAsia"/>
                <w:spacing w:val="-5"/>
                <w:sz w:val="21"/>
              </w:rPr>
              <w:t>往德勤中国工作。是美国注册会计师。在归国前被中国科技部聘为国家高科技发展火炬计划海外学者咨询委员会成员和联合国中国发展项目专家。目前应邀担任中欧国际 商学院和上海国家会计学院外聘教师、复旦大学和上海财经大学兼职硕士生导师，大企业税收研究所顾问委员会副主任，上海财税法学</w:t>
            </w:r>
          </w:p>
          <w:p>
            <w:pPr>
              <w:pStyle w:val="TableParagraph"/>
              <w:spacing w:line="250" w:lineRule="exact" w:before="4"/>
              <w:ind w:left="117"/>
              <w:rPr>
                <w:rFonts w:ascii="宋体" w:eastAsia="宋体" w:hint="eastAsia"/>
                <w:sz w:val="21"/>
              </w:rPr>
            </w:pPr>
            <w:r>
              <w:rPr>
                <w:rFonts w:ascii="宋体" w:eastAsia="宋体" w:hint="eastAsia"/>
                <w:sz w:val="21"/>
              </w:rPr>
              <w:t>研究会理事，</w:t>
            </w:r>
            <w:r>
              <w:rPr>
                <w:rFonts w:ascii="宋体" w:eastAsia="宋体" w:hint="eastAsia"/>
                <w:color w:val="25282A"/>
                <w:sz w:val="21"/>
              </w:rPr>
              <w:t>海尔智家股份有限公司第十届董事会董事。</w:t>
            </w:r>
          </w:p>
        </w:tc>
      </w:tr>
      <w:tr>
        <w:trPr>
          <w:trHeight w:val="545" w:hRule="atLeast"/>
        </w:trPr>
        <w:tc>
          <w:tcPr>
            <w:tcW w:w="1385" w:type="dxa"/>
            <w:tcBorders>
              <w:top w:val="single" w:sz="4" w:space="0" w:color="000000"/>
              <w:bottom w:val="single" w:sz="4" w:space="0" w:color="000000"/>
              <w:right w:val="single" w:sz="4" w:space="0" w:color="000000"/>
            </w:tcBorders>
          </w:tcPr>
          <w:p>
            <w:pPr>
              <w:pStyle w:val="TableParagraph"/>
              <w:spacing w:before="138"/>
              <w:ind w:left="358" w:right="337"/>
              <w:jc w:val="center"/>
              <w:rPr>
                <w:rFonts w:ascii="宋体" w:eastAsia="宋体" w:hint="eastAsia"/>
                <w:sz w:val="21"/>
              </w:rPr>
            </w:pPr>
            <w:r>
              <w:rPr>
                <w:rFonts w:ascii="宋体" w:eastAsia="宋体" w:hint="eastAsia"/>
                <w:sz w:val="21"/>
              </w:rPr>
              <w:t>戴德明</w:t>
            </w:r>
          </w:p>
        </w:tc>
        <w:tc>
          <w:tcPr>
            <w:tcW w:w="12705" w:type="dxa"/>
            <w:tcBorders>
              <w:top w:val="single" w:sz="4" w:space="0" w:color="000000"/>
              <w:left w:val="single" w:sz="4" w:space="0" w:color="000000"/>
              <w:bottom w:val="single" w:sz="4" w:space="0" w:color="000000"/>
            </w:tcBorders>
          </w:tcPr>
          <w:p>
            <w:pPr>
              <w:pStyle w:val="TableParagraph"/>
              <w:spacing w:before="1"/>
              <w:ind w:left="117"/>
              <w:rPr>
                <w:rFonts w:ascii="宋体" w:eastAsia="宋体" w:hint="eastAsia"/>
                <w:sz w:val="21"/>
              </w:rPr>
            </w:pPr>
            <w:r>
              <w:rPr>
                <w:rFonts w:ascii="宋体" w:eastAsia="宋体" w:hint="eastAsia"/>
                <w:sz w:val="21"/>
              </w:rPr>
              <w:t>男，生于 </w:t>
            </w:r>
            <w:r>
              <w:rPr>
                <w:sz w:val="21"/>
              </w:rPr>
              <w:t>1962 </w:t>
            </w:r>
            <w:r>
              <w:rPr>
                <w:rFonts w:ascii="宋体" w:eastAsia="宋体" w:hint="eastAsia"/>
                <w:sz w:val="21"/>
              </w:rPr>
              <w:t>年，中国人民大学商学院会计系教授、博士生导师，兼任中国会计学会副会长等职，海尔智家第十届董事会独立董事。曾</w:t>
            </w:r>
          </w:p>
          <w:p>
            <w:pPr>
              <w:pStyle w:val="TableParagraph"/>
              <w:spacing w:line="250" w:lineRule="exact" w:before="5"/>
              <w:ind w:left="117"/>
              <w:rPr>
                <w:rFonts w:ascii="宋体" w:eastAsia="宋体" w:hint="eastAsia"/>
                <w:sz w:val="21"/>
              </w:rPr>
            </w:pPr>
            <w:r>
              <w:rPr>
                <w:rFonts w:ascii="宋体" w:eastAsia="宋体" w:hint="eastAsia"/>
                <w:sz w:val="21"/>
              </w:rPr>
              <w:t>担任北京首都开发股份有限公司独立董事。</w:t>
            </w:r>
          </w:p>
        </w:tc>
      </w:tr>
      <w:tr>
        <w:trPr>
          <w:trHeight w:val="544" w:hRule="atLeast"/>
        </w:trPr>
        <w:tc>
          <w:tcPr>
            <w:tcW w:w="1385" w:type="dxa"/>
            <w:tcBorders>
              <w:top w:val="single" w:sz="4" w:space="0" w:color="000000"/>
              <w:bottom w:val="single" w:sz="4" w:space="0" w:color="000000"/>
              <w:right w:val="single" w:sz="4" w:space="0" w:color="000000"/>
            </w:tcBorders>
          </w:tcPr>
          <w:p>
            <w:pPr>
              <w:pStyle w:val="TableParagraph"/>
              <w:spacing w:before="137"/>
              <w:ind w:left="358" w:right="337"/>
              <w:jc w:val="center"/>
              <w:rPr>
                <w:rFonts w:ascii="宋体" w:eastAsia="宋体" w:hint="eastAsia"/>
                <w:sz w:val="21"/>
              </w:rPr>
            </w:pPr>
            <w:r>
              <w:rPr>
                <w:rFonts w:ascii="宋体" w:eastAsia="宋体" w:hint="eastAsia"/>
                <w:sz w:val="21"/>
              </w:rPr>
              <w:t>钱大群</w:t>
            </w:r>
          </w:p>
        </w:tc>
        <w:tc>
          <w:tcPr>
            <w:tcW w:w="12705" w:type="dxa"/>
            <w:tcBorders>
              <w:top w:val="single" w:sz="4" w:space="0" w:color="000000"/>
              <w:left w:val="single" w:sz="4" w:space="0" w:color="000000"/>
              <w:bottom w:val="single" w:sz="4" w:space="0" w:color="000000"/>
            </w:tcBorders>
          </w:tcPr>
          <w:p>
            <w:pPr>
              <w:pStyle w:val="TableParagraph"/>
              <w:spacing w:before="1"/>
              <w:ind w:left="117"/>
              <w:rPr>
                <w:rFonts w:ascii="宋体" w:eastAsia="宋体" w:hint="eastAsia"/>
                <w:sz w:val="21"/>
              </w:rPr>
            </w:pPr>
            <w:r>
              <w:rPr>
                <w:rFonts w:ascii="宋体" w:eastAsia="宋体" w:hint="eastAsia"/>
                <w:spacing w:val="-12"/>
                <w:sz w:val="21"/>
              </w:rPr>
              <w:t>男，生于 </w:t>
            </w:r>
            <w:r>
              <w:rPr>
                <w:sz w:val="21"/>
              </w:rPr>
              <w:t>1953 </w:t>
            </w:r>
            <w:r>
              <w:rPr>
                <w:rFonts w:ascii="宋体" w:eastAsia="宋体" w:hint="eastAsia"/>
                <w:spacing w:val="-11"/>
                <w:sz w:val="21"/>
              </w:rPr>
              <w:t>年。曾任 </w:t>
            </w:r>
            <w:r>
              <w:rPr>
                <w:sz w:val="21"/>
              </w:rPr>
              <w:t>IBM </w:t>
            </w:r>
            <w:r>
              <w:rPr>
                <w:rFonts w:ascii="宋体" w:eastAsia="宋体" w:hint="eastAsia"/>
                <w:spacing w:val="-3"/>
                <w:sz w:val="21"/>
              </w:rPr>
              <w:t>大中华区董事长、</w:t>
            </w:r>
            <w:r>
              <w:rPr>
                <w:sz w:val="21"/>
              </w:rPr>
              <w:t>IBM </w:t>
            </w:r>
            <w:r>
              <w:rPr>
                <w:rFonts w:ascii="宋体" w:eastAsia="宋体" w:hint="eastAsia"/>
                <w:spacing w:val="-7"/>
                <w:sz w:val="21"/>
              </w:rPr>
              <w:t>公司大中华区首席执行总裁兼 </w:t>
            </w:r>
            <w:r>
              <w:rPr>
                <w:sz w:val="21"/>
              </w:rPr>
              <w:t>CEO </w:t>
            </w:r>
            <w:r>
              <w:rPr>
                <w:rFonts w:ascii="宋体" w:eastAsia="宋体" w:hint="eastAsia"/>
                <w:spacing w:val="-4"/>
                <w:sz w:val="21"/>
              </w:rPr>
              <w:t>等。毕业于台湾淡江大学数学系，曾于美国哈佛</w:t>
            </w:r>
          </w:p>
          <w:p>
            <w:pPr>
              <w:pStyle w:val="TableParagraph"/>
              <w:spacing w:line="250" w:lineRule="exact" w:before="4"/>
              <w:ind w:left="117"/>
              <w:rPr>
                <w:rFonts w:ascii="宋体" w:eastAsia="宋体" w:hint="eastAsia"/>
                <w:sz w:val="21"/>
              </w:rPr>
            </w:pPr>
            <w:r>
              <w:rPr>
                <w:rFonts w:ascii="宋体" w:eastAsia="宋体" w:hint="eastAsia"/>
                <w:sz w:val="21"/>
              </w:rPr>
              <w:t>大学企管研究所高级管理课程、</w:t>
            </w:r>
            <w:r>
              <w:rPr>
                <w:sz w:val="21"/>
              </w:rPr>
              <w:t>IBM </w:t>
            </w:r>
            <w:r>
              <w:rPr>
                <w:rFonts w:ascii="宋体" w:eastAsia="宋体" w:hint="eastAsia"/>
                <w:sz w:val="21"/>
              </w:rPr>
              <w:t>全球高阶经理人课程进修，现任海尔智家股份有限公司第十届董事会独立董事。</w:t>
            </w:r>
          </w:p>
        </w:tc>
      </w:tr>
      <w:tr>
        <w:trPr>
          <w:trHeight w:val="1089" w:hRule="atLeast"/>
        </w:trPr>
        <w:tc>
          <w:tcPr>
            <w:tcW w:w="1385" w:type="dxa"/>
            <w:tcBorders>
              <w:top w:val="single" w:sz="4" w:space="0" w:color="000000"/>
              <w:bottom w:val="single" w:sz="4" w:space="0" w:color="000000"/>
              <w:right w:val="single" w:sz="4" w:space="0" w:color="000000"/>
            </w:tcBorders>
          </w:tcPr>
          <w:p>
            <w:pPr>
              <w:pStyle w:val="TableParagraph"/>
              <w:rPr>
                <w:sz w:val="20"/>
              </w:rPr>
            </w:pPr>
          </w:p>
          <w:p>
            <w:pPr>
              <w:pStyle w:val="TableParagraph"/>
              <w:spacing w:before="8"/>
              <w:rPr>
                <w:sz w:val="15"/>
              </w:rPr>
            </w:pPr>
          </w:p>
          <w:p>
            <w:pPr>
              <w:pStyle w:val="TableParagraph"/>
              <w:spacing w:before="1"/>
              <w:ind w:left="358" w:right="337"/>
              <w:jc w:val="center"/>
              <w:rPr>
                <w:rFonts w:ascii="宋体" w:eastAsia="宋体" w:hint="eastAsia"/>
                <w:sz w:val="21"/>
              </w:rPr>
            </w:pPr>
            <w:r>
              <w:rPr>
                <w:rFonts w:ascii="宋体" w:eastAsia="宋体" w:hint="eastAsia"/>
                <w:sz w:val="21"/>
              </w:rPr>
              <w:t>王克勤</w:t>
            </w:r>
          </w:p>
        </w:tc>
        <w:tc>
          <w:tcPr>
            <w:tcW w:w="12705" w:type="dxa"/>
            <w:tcBorders>
              <w:top w:val="single" w:sz="4" w:space="0" w:color="000000"/>
              <w:left w:val="single" w:sz="4" w:space="0" w:color="000000"/>
              <w:bottom w:val="single" w:sz="4" w:space="0" w:color="000000"/>
            </w:tcBorders>
          </w:tcPr>
          <w:p>
            <w:pPr>
              <w:pStyle w:val="TableParagraph"/>
              <w:spacing w:before="3"/>
              <w:ind w:left="117"/>
              <w:rPr>
                <w:rFonts w:ascii="宋体" w:eastAsia="宋体" w:hint="eastAsia"/>
                <w:sz w:val="21"/>
              </w:rPr>
            </w:pPr>
            <w:r>
              <w:rPr>
                <w:rFonts w:ascii="宋体" w:eastAsia="宋体" w:hint="eastAsia"/>
                <w:spacing w:val="-11"/>
                <w:sz w:val="21"/>
              </w:rPr>
              <w:t>男，生于 </w:t>
            </w:r>
            <w:r>
              <w:rPr>
                <w:sz w:val="21"/>
              </w:rPr>
              <w:t>1956</w:t>
            </w:r>
            <w:r>
              <w:rPr>
                <w:spacing w:val="10"/>
                <w:sz w:val="21"/>
              </w:rPr>
              <w:t> </w:t>
            </w:r>
            <w:r>
              <w:rPr>
                <w:rFonts w:ascii="宋体" w:eastAsia="宋体" w:hint="eastAsia"/>
                <w:spacing w:val="-5"/>
                <w:sz w:val="21"/>
              </w:rPr>
              <w:t>年。香港大学社会科学学士，在德勤中国拥有超过 </w:t>
            </w:r>
            <w:r>
              <w:rPr>
                <w:sz w:val="21"/>
              </w:rPr>
              <w:t>36</w:t>
            </w:r>
            <w:r>
              <w:rPr>
                <w:spacing w:val="10"/>
                <w:sz w:val="21"/>
              </w:rPr>
              <w:t> </w:t>
            </w:r>
            <w:r>
              <w:rPr>
                <w:rFonts w:ascii="宋体" w:eastAsia="宋体" w:hint="eastAsia"/>
                <w:spacing w:val="-6"/>
                <w:sz w:val="21"/>
              </w:rPr>
              <w:t>年审计、鉴证和管理经验，并于 </w:t>
            </w:r>
            <w:r>
              <w:rPr>
                <w:sz w:val="21"/>
              </w:rPr>
              <w:t>1992</w:t>
            </w:r>
            <w:r>
              <w:rPr>
                <w:spacing w:val="10"/>
                <w:sz w:val="21"/>
              </w:rPr>
              <w:t> </w:t>
            </w:r>
            <w:r>
              <w:rPr>
                <w:rFonts w:ascii="宋体" w:eastAsia="宋体" w:hint="eastAsia"/>
                <w:spacing w:val="-3"/>
                <w:sz w:val="21"/>
              </w:rPr>
              <w:t>年起成为德勤中国合伙人，在</w:t>
            </w:r>
          </w:p>
          <w:p>
            <w:pPr>
              <w:pStyle w:val="TableParagraph"/>
              <w:spacing w:line="244" w:lineRule="auto" w:before="2"/>
              <w:ind w:left="117" w:right="69"/>
              <w:rPr>
                <w:rFonts w:ascii="宋体" w:eastAsia="宋体" w:hint="eastAsia"/>
                <w:sz w:val="21"/>
              </w:rPr>
            </w:pPr>
            <w:r>
              <w:rPr>
                <w:sz w:val="21"/>
              </w:rPr>
              <w:t>2000</w:t>
            </w:r>
            <w:r>
              <w:rPr>
                <w:spacing w:val="13"/>
                <w:sz w:val="21"/>
              </w:rPr>
              <w:t> </w:t>
            </w:r>
            <w:r>
              <w:rPr>
                <w:rFonts w:ascii="宋体" w:eastAsia="宋体" w:hint="eastAsia"/>
                <w:spacing w:val="-14"/>
                <w:sz w:val="21"/>
              </w:rPr>
              <w:t>年至 </w:t>
            </w:r>
            <w:r>
              <w:rPr>
                <w:sz w:val="21"/>
              </w:rPr>
              <w:t>2008</w:t>
            </w:r>
            <w:r>
              <w:rPr>
                <w:spacing w:val="13"/>
                <w:sz w:val="21"/>
              </w:rPr>
              <w:t> </w:t>
            </w:r>
            <w:r>
              <w:rPr>
                <w:rFonts w:ascii="宋体" w:eastAsia="宋体" w:hint="eastAsia"/>
                <w:spacing w:val="-6"/>
                <w:sz w:val="21"/>
              </w:rPr>
              <w:t>年担任德勤中国董事会成员。在 </w:t>
            </w:r>
            <w:r>
              <w:rPr>
                <w:sz w:val="21"/>
              </w:rPr>
              <w:t>2017</w:t>
            </w:r>
            <w:r>
              <w:rPr>
                <w:spacing w:val="13"/>
                <w:sz w:val="21"/>
              </w:rPr>
              <w:t> </w:t>
            </w:r>
            <w:r>
              <w:rPr>
                <w:rFonts w:ascii="宋体" w:eastAsia="宋体" w:hint="eastAsia"/>
                <w:spacing w:val="-18"/>
                <w:sz w:val="21"/>
              </w:rPr>
              <w:t>年 </w:t>
            </w:r>
            <w:r>
              <w:rPr>
                <w:sz w:val="21"/>
              </w:rPr>
              <w:t>5</w:t>
            </w:r>
            <w:r>
              <w:rPr>
                <w:spacing w:val="14"/>
                <w:sz w:val="21"/>
              </w:rPr>
              <w:t> </w:t>
            </w:r>
            <w:r>
              <w:rPr>
                <w:rFonts w:ascii="宋体" w:eastAsia="宋体" w:hint="eastAsia"/>
                <w:spacing w:val="-3"/>
                <w:sz w:val="21"/>
              </w:rPr>
              <w:t>月退休前，王先生为德勤中国全国审计及鉴证主管合伙人。王先生为香港会计</w:t>
            </w:r>
            <w:r>
              <w:rPr>
                <w:rFonts w:ascii="宋体" w:eastAsia="宋体" w:hint="eastAsia"/>
                <w:sz w:val="21"/>
              </w:rPr>
              <w:t>师公会会员，同时为特许公认会计师公会、特许管理会计师公会以及特许秘书及行政人员公会会员。现任裕元工业</w:t>
            </w:r>
            <w:r>
              <w:rPr>
                <w:rFonts w:ascii="宋体" w:eastAsia="宋体" w:hint="eastAsia"/>
                <w:spacing w:val="4"/>
                <w:sz w:val="21"/>
              </w:rPr>
              <w:t>（集团</w:t>
            </w:r>
            <w:r>
              <w:rPr>
                <w:rFonts w:ascii="宋体" w:eastAsia="宋体" w:hint="eastAsia"/>
                <w:sz w:val="21"/>
              </w:rPr>
              <w:t>）</w:t>
            </w:r>
            <w:r>
              <w:rPr>
                <w:rFonts w:ascii="宋体" w:eastAsia="宋体" w:hint="eastAsia"/>
                <w:spacing w:val="2"/>
                <w:sz w:val="21"/>
              </w:rPr>
              <w:t>有限公司</w:t>
            </w:r>
          </w:p>
          <w:p>
            <w:pPr>
              <w:pStyle w:val="TableParagraph"/>
              <w:spacing w:line="246" w:lineRule="exact"/>
              <w:ind w:left="117"/>
              <w:rPr>
                <w:rFonts w:ascii="宋体" w:eastAsia="宋体" w:hint="eastAsia"/>
                <w:sz w:val="21"/>
              </w:rPr>
            </w:pPr>
            <w:r>
              <w:rPr>
                <w:rFonts w:ascii="宋体" w:eastAsia="宋体" w:hint="eastAsia"/>
                <w:sz w:val="21"/>
              </w:rPr>
              <w:t>（</w:t>
            </w:r>
            <w:r>
              <w:rPr>
                <w:sz w:val="21"/>
              </w:rPr>
              <w:t>551HK</w:t>
            </w:r>
            <w:r>
              <w:rPr>
                <w:rFonts w:ascii="宋体" w:eastAsia="宋体" w:hint="eastAsia"/>
                <w:sz w:val="21"/>
              </w:rPr>
              <w:t>）、龙记（百慕达）集团有限公司（</w:t>
            </w:r>
            <w:r>
              <w:rPr>
                <w:sz w:val="21"/>
              </w:rPr>
              <w:t>255HK</w:t>
            </w:r>
            <w:r>
              <w:rPr>
                <w:rFonts w:ascii="宋体" w:eastAsia="宋体" w:hint="eastAsia"/>
                <w:sz w:val="21"/>
              </w:rPr>
              <w:t>）及浙江苍南仪表集团股份有限公司（</w:t>
            </w:r>
            <w:r>
              <w:rPr>
                <w:sz w:val="21"/>
              </w:rPr>
              <w:t>1743HK</w:t>
            </w:r>
            <w:r>
              <w:rPr>
                <w:rFonts w:ascii="宋体" w:eastAsia="宋体" w:hint="eastAsia"/>
                <w:sz w:val="21"/>
              </w:rPr>
              <w:t>）之独立非执行董事。</w:t>
            </w:r>
          </w:p>
        </w:tc>
      </w:tr>
      <w:tr>
        <w:trPr>
          <w:trHeight w:val="546" w:hRule="atLeast"/>
        </w:trPr>
        <w:tc>
          <w:tcPr>
            <w:tcW w:w="1385" w:type="dxa"/>
            <w:tcBorders>
              <w:top w:val="single" w:sz="4" w:space="0" w:color="000000"/>
              <w:bottom w:val="single" w:sz="4" w:space="0" w:color="000000"/>
              <w:right w:val="single" w:sz="4" w:space="0" w:color="000000"/>
            </w:tcBorders>
          </w:tcPr>
          <w:p>
            <w:pPr>
              <w:pStyle w:val="TableParagraph"/>
              <w:spacing w:line="270" w:lineRule="atLeast" w:before="2"/>
              <w:ind w:left="482" w:right="84" w:hanging="375"/>
              <w:rPr>
                <w:rFonts w:ascii="宋体" w:eastAsia="宋体" w:hint="eastAsia"/>
                <w:sz w:val="21"/>
              </w:rPr>
            </w:pPr>
            <w:r>
              <w:rPr>
                <w:rFonts w:ascii="宋体" w:eastAsia="宋体" w:hint="eastAsia"/>
                <w:spacing w:val="-32"/>
                <w:sz w:val="21"/>
              </w:rPr>
              <w:t>施天涛</w:t>
            </w:r>
            <w:r>
              <w:rPr>
                <w:rFonts w:ascii="宋体" w:eastAsia="宋体" w:hint="eastAsia"/>
                <w:spacing w:val="-3"/>
                <w:sz w:val="21"/>
              </w:rPr>
              <w:t>（</w:t>
            </w:r>
            <w:r>
              <w:rPr>
                <w:rFonts w:ascii="宋体" w:eastAsia="宋体" w:hint="eastAsia"/>
                <w:spacing w:val="-9"/>
                <w:sz w:val="21"/>
              </w:rPr>
              <w:t>已离</w:t>
            </w:r>
            <w:r>
              <w:rPr>
                <w:rFonts w:ascii="宋体" w:eastAsia="宋体" w:hint="eastAsia"/>
                <w:sz w:val="21"/>
              </w:rPr>
              <w:t>任）</w:t>
            </w:r>
          </w:p>
        </w:tc>
        <w:tc>
          <w:tcPr>
            <w:tcW w:w="12705" w:type="dxa"/>
            <w:tcBorders>
              <w:top w:val="single" w:sz="4" w:space="0" w:color="000000"/>
              <w:left w:val="single" w:sz="4" w:space="0" w:color="000000"/>
              <w:bottom w:val="single" w:sz="4" w:space="0" w:color="000000"/>
            </w:tcBorders>
          </w:tcPr>
          <w:p>
            <w:pPr>
              <w:pStyle w:val="TableParagraph"/>
              <w:spacing w:line="270" w:lineRule="atLeast" w:before="2"/>
              <w:ind w:left="117" w:right="71"/>
              <w:rPr>
                <w:rFonts w:ascii="宋体" w:eastAsia="宋体" w:hint="eastAsia"/>
                <w:sz w:val="21"/>
              </w:rPr>
            </w:pPr>
            <w:r>
              <w:rPr>
                <w:rFonts w:ascii="宋体" w:eastAsia="宋体" w:hint="eastAsia"/>
                <w:spacing w:val="-8"/>
                <w:sz w:val="21"/>
              </w:rPr>
              <w:t>男，生于 </w:t>
            </w:r>
            <w:r>
              <w:rPr>
                <w:sz w:val="21"/>
              </w:rPr>
              <w:t>1962 </w:t>
            </w:r>
            <w:r>
              <w:rPr>
                <w:rFonts w:ascii="宋体" w:eastAsia="宋体" w:hint="eastAsia"/>
                <w:spacing w:val="-4"/>
                <w:sz w:val="21"/>
              </w:rPr>
              <w:t>年。现任清华大学法学院教授、博士生导师，清华大学法学院金融与法律研究中心主任，兼任中国证券法学研究会常务副</w:t>
            </w:r>
            <w:r>
              <w:rPr>
                <w:rFonts w:ascii="宋体" w:eastAsia="宋体" w:hint="eastAsia"/>
                <w:spacing w:val="-3"/>
                <w:sz w:val="21"/>
              </w:rPr>
              <w:t>会长、中国国际经济贸易仲裁委员会仲裁员、最高人民法院案例指导委员会委员等。曾任海尔智家第十届董事会独立董事。</w:t>
            </w:r>
          </w:p>
        </w:tc>
      </w:tr>
      <w:tr>
        <w:trPr>
          <w:trHeight w:val="1360" w:hRule="atLeast"/>
        </w:trPr>
        <w:tc>
          <w:tcPr>
            <w:tcW w:w="1385" w:type="dxa"/>
            <w:tcBorders>
              <w:top w:val="single" w:sz="4" w:space="0" w:color="000000"/>
              <w:bottom w:val="single" w:sz="4" w:space="0" w:color="000000"/>
              <w:right w:val="single" w:sz="4" w:space="0" w:color="000000"/>
            </w:tcBorders>
          </w:tcPr>
          <w:p>
            <w:pPr>
              <w:pStyle w:val="TableParagraph"/>
              <w:rPr>
                <w:sz w:val="20"/>
              </w:rPr>
            </w:pPr>
          </w:p>
          <w:p>
            <w:pPr>
              <w:pStyle w:val="TableParagraph"/>
              <w:spacing w:line="242" w:lineRule="auto" w:before="179"/>
              <w:ind w:left="482" w:right="144" w:hanging="318"/>
              <w:rPr>
                <w:rFonts w:ascii="宋体" w:eastAsia="宋体" w:hint="eastAsia"/>
                <w:sz w:val="21"/>
              </w:rPr>
            </w:pPr>
            <w:r>
              <w:rPr>
                <w:rFonts w:ascii="宋体" w:eastAsia="宋体" w:hint="eastAsia"/>
                <w:sz w:val="21"/>
              </w:rPr>
              <w:t>阎焱（已离任）</w:t>
            </w:r>
          </w:p>
        </w:tc>
        <w:tc>
          <w:tcPr>
            <w:tcW w:w="12705" w:type="dxa"/>
            <w:tcBorders>
              <w:top w:val="single" w:sz="4" w:space="0" w:color="000000"/>
              <w:left w:val="single" w:sz="4" w:space="0" w:color="000000"/>
              <w:bottom w:val="single" w:sz="4" w:space="0" w:color="000000"/>
            </w:tcBorders>
          </w:tcPr>
          <w:p>
            <w:pPr>
              <w:pStyle w:val="TableParagraph"/>
              <w:spacing w:line="242" w:lineRule="auto" w:before="1"/>
              <w:ind w:left="117" w:right="-44"/>
              <w:jc w:val="both"/>
              <w:rPr>
                <w:rFonts w:ascii="宋体" w:eastAsia="宋体" w:hint="eastAsia"/>
                <w:sz w:val="21"/>
              </w:rPr>
            </w:pPr>
            <w:r>
              <w:rPr>
                <w:rFonts w:ascii="宋体" w:eastAsia="宋体" w:hint="eastAsia"/>
                <w:spacing w:val="-15"/>
                <w:sz w:val="21"/>
              </w:rPr>
              <w:t>男，生于 </w:t>
            </w:r>
            <w:r>
              <w:rPr>
                <w:sz w:val="21"/>
              </w:rPr>
              <w:t>1957 </w:t>
            </w:r>
            <w:r>
              <w:rPr>
                <w:rFonts w:ascii="宋体" w:eastAsia="宋体" w:hint="eastAsia"/>
                <w:spacing w:val="-9"/>
                <w:sz w:val="21"/>
              </w:rPr>
              <w:t>年。现为赛富亚洲投资基金的创始管理合伙人。在创办赛富之前，阎先生曾于 </w:t>
            </w:r>
            <w:r>
              <w:rPr>
                <w:sz w:val="21"/>
              </w:rPr>
              <w:t>1994 </w:t>
            </w:r>
            <w:r>
              <w:rPr>
                <w:rFonts w:ascii="宋体" w:eastAsia="宋体" w:hint="eastAsia"/>
                <w:spacing w:val="-24"/>
                <w:sz w:val="21"/>
              </w:rPr>
              <w:t>至 </w:t>
            </w:r>
            <w:r>
              <w:rPr>
                <w:sz w:val="21"/>
              </w:rPr>
              <w:t>2001 </w:t>
            </w:r>
            <w:r>
              <w:rPr>
                <w:rFonts w:ascii="宋体" w:eastAsia="宋体" w:hint="eastAsia"/>
                <w:spacing w:val="-18"/>
                <w:sz w:val="21"/>
              </w:rPr>
              <w:t>年任 </w:t>
            </w:r>
            <w:r>
              <w:rPr>
                <w:sz w:val="21"/>
              </w:rPr>
              <w:t>AIG </w:t>
            </w:r>
            <w:r>
              <w:rPr>
                <w:rFonts w:ascii="宋体" w:eastAsia="宋体" w:hint="eastAsia"/>
                <w:spacing w:val="-3"/>
                <w:sz w:val="21"/>
              </w:rPr>
              <w:t>亚洲基础设施投资基金董事总经理及香港办主任。</w:t>
            </w:r>
            <w:r>
              <w:rPr>
                <w:sz w:val="21"/>
              </w:rPr>
              <w:t>1989 </w:t>
            </w:r>
            <w:r>
              <w:rPr>
                <w:rFonts w:ascii="宋体" w:eastAsia="宋体" w:hint="eastAsia"/>
                <w:spacing w:val="-14"/>
                <w:sz w:val="21"/>
              </w:rPr>
              <w:t>至 </w:t>
            </w:r>
            <w:r>
              <w:rPr>
                <w:sz w:val="21"/>
              </w:rPr>
              <w:t>1994 </w:t>
            </w:r>
            <w:r>
              <w:rPr>
                <w:rFonts w:ascii="宋体" w:eastAsia="宋体" w:hint="eastAsia"/>
                <w:spacing w:val="-4"/>
                <w:sz w:val="21"/>
              </w:rPr>
              <w:t>年间， 他先后在华盛顿世界银行总部担任经济学家、美国著名的智库哈德逊研究所担任研究</w:t>
            </w:r>
            <w:r>
              <w:rPr>
                <w:rFonts w:ascii="宋体" w:eastAsia="宋体" w:hint="eastAsia"/>
                <w:spacing w:val="-15"/>
                <w:sz w:val="21"/>
              </w:rPr>
              <w:t>员和于 </w:t>
            </w:r>
            <w:r>
              <w:rPr>
                <w:sz w:val="21"/>
              </w:rPr>
              <w:t>Sprint International Corporation </w:t>
            </w:r>
            <w:r>
              <w:rPr>
                <w:rFonts w:ascii="宋体" w:eastAsia="宋体" w:hint="eastAsia"/>
                <w:spacing w:val="-6"/>
                <w:sz w:val="21"/>
              </w:rPr>
              <w:t>担任亚太区战略规划及业务发展董事。阎先生于 </w:t>
            </w:r>
            <w:r>
              <w:rPr>
                <w:sz w:val="21"/>
              </w:rPr>
              <w:t>1982 </w:t>
            </w:r>
            <w:r>
              <w:rPr>
                <w:rFonts w:ascii="宋体" w:eastAsia="宋体" w:hint="eastAsia"/>
                <w:spacing w:val="-3"/>
                <w:sz w:val="21"/>
              </w:rPr>
              <w:t>年从南京航空学院取得工程学学士学位，于</w:t>
            </w:r>
            <w:r>
              <w:rPr>
                <w:spacing w:val="-3"/>
                <w:sz w:val="21"/>
              </w:rPr>
              <w:t>1984 </w:t>
            </w:r>
            <w:r>
              <w:rPr>
                <w:rFonts w:ascii="宋体" w:eastAsia="宋体" w:hint="eastAsia"/>
                <w:spacing w:val="-17"/>
                <w:sz w:val="21"/>
              </w:rPr>
              <w:t>年至 </w:t>
            </w:r>
            <w:r>
              <w:rPr>
                <w:sz w:val="21"/>
              </w:rPr>
              <w:t>1986 </w:t>
            </w:r>
            <w:r>
              <w:rPr>
                <w:rFonts w:ascii="宋体" w:eastAsia="宋体" w:hint="eastAsia"/>
                <w:spacing w:val="-13"/>
                <w:sz w:val="21"/>
              </w:rPr>
              <w:t>年在北京大学学习社会学硕士学位。他于 </w:t>
            </w:r>
            <w:r>
              <w:rPr>
                <w:sz w:val="21"/>
              </w:rPr>
              <w:t>1986-1989 </w:t>
            </w:r>
            <w:r>
              <w:rPr>
                <w:rFonts w:ascii="宋体" w:eastAsia="宋体" w:hint="eastAsia"/>
                <w:spacing w:val="-6"/>
                <w:sz w:val="21"/>
              </w:rPr>
              <w:t>年在普林斯顿大学学习博士学位并于 </w:t>
            </w:r>
            <w:r>
              <w:rPr>
                <w:sz w:val="21"/>
              </w:rPr>
              <w:t>1989 </w:t>
            </w:r>
            <w:r>
              <w:rPr>
                <w:rFonts w:ascii="宋体" w:eastAsia="宋体" w:hint="eastAsia"/>
                <w:spacing w:val="-3"/>
                <w:sz w:val="21"/>
              </w:rPr>
              <w:t>年取得国际经济硕士学位。</w:t>
            </w:r>
          </w:p>
          <w:p>
            <w:pPr>
              <w:pStyle w:val="TableParagraph"/>
              <w:spacing w:line="250" w:lineRule="exact" w:before="3"/>
              <w:ind w:left="117"/>
              <w:jc w:val="both"/>
              <w:rPr>
                <w:rFonts w:ascii="宋体" w:eastAsia="宋体" w:hint="eastAsia"/>
                <w:sz w:val="21"/>
              </w:rPr>
            </w:pPr>
            <w:r>
              <w:rPr>
                <w:rFonts w:ascii="宋体" w:eastAsia="宋体" w:hint="eastAsia"/>
                <w:sz w:val="21"/>
              </w:rPr>
              <w:t>他亦于 </w:t>
            </w:r>
            <w:r>
              <w:rPr>
                <w:sz w:val="21"/>
              </w:rPr>
              <w:t>1995 </w:t>
            </w:r>
            <w:r>
              <w:rPr>
                <w:rFonts w:ascii="宋体" w:eastAsia="宋体" w:hint="eastAsia"/>
                <w:sz w:val="21"/>
              </w:rPr>
              <w:t>年在沃顿商学院学习过高级金融和会记课程。</w:t>
            </w:r>
          </w:p>
        </w:tc>
      </w:tr>
      <w:tr>
        <w:trPr>
          <w:trHeight w:val="544" w:hRule="atLeast"/>
        </w:trPr>
        <w:tc>
          <w:tcPr>
            <w:tcW w:w="1385" w:type="dxa"/>
            <w:tcBorders>
              <w:top w:val="single" w:sz="4" w:space="0" w:color="000000"/>
              <w:bottom w:val="single" w:sz="4" w:space="0" w:color="000000"/>
              <w:right w:val="single" w:sz="4" w:space="0" w:color="000000"/>
            </w:tcBorders>
          </w:tcPr>
          <w:p>
            <w:pPr>
              <w:pStyle w:val="TableParagraph"/>
              <w:spacing w:before="138"/>
              <w:ind w:left="358" w:right="337"/>
              <w:jc w:val="center"/>
              <w:rPr>
                <w:rFonts w:ascii="宋体" w:eastAsia="宋体" w:hint="eastAsia"/>
                <w:sz w:val="21"/>
              </w:rPr>
            </w:pPr>
            <w:r>
              <w:rPr>
                <w:rFonts w:ascii="宋体" w:eastAsia="宋体" w:hint="eastAsia"/>
                <w:sz w:val="21"/>
              </w:rPr>
              <w:t>王培华</w:t>
            </w:r>
          </w:p>
        </w:tc>
        <w:tc>
          <w:tcPr>
            <w:tcW w:w="12705" w:type="dxa"/>
            <w:tcBorders>
              <w:top w:val="single" w:sz="4" w:space="0" w:color="000000"/>
              <w:left w:val="single" w:sz="4" w:space="0" w:color="000000"/>
              <w:bottom w:val="single" w:sz="4" w:space="0" w:color="000000"/>
            </w:tcBorders>
          </w:tcPr>
          <w:p>
            <w:pPr>
              <w:pStyle w:val="TableParagraph"/>
              <w:spacing w:before="1"/>
              <w:ind w:left="117"/>
              <w:rPr>
                <w:rFonts w:ascii="宋体" w:eastAsia="宋体" w:hint="eastAsia"/>
                <w:sz w:val="21"/>
              </w:rPr>
            </w:pPr>
            <w:r>
              <w:rPr>
                <w:rFonts w:ascii="宋体" w:eastAsia="宋体" w:hint="eastAsia"/>
                <w:sz w:val="21"/>
              </w:rPr>
              <w:t>男，生于 </w:t>
            </w:r>
            <w:r>
              <w:rPr>
                <w:sz w:val="21"/>
              </w:rPr>
              <w:t>1957 </w:t>
            </w:r>
            <w:r>
              <w:rPr>
                <w:rFonts w:ascii="宋体" w:eastAsia="宋体" w:hint="eastAsia"/>
                <w:sz w:val="21"/>
              </w:rPr>
              <w:t>年。高级政工师。曾任海尔集团空调本部、洗衣机本部、海尔集团冷柜电热本部党委副书记、海尔集团技术装备本部工会</w:t>
            </w:r>
          </w:p>
          <w:p>
            <w:pPr>
              <w:pStyle w:val="TableParagraph"/>
              <w:spacing w:line="250" w:lineRule="exact" w:before="4"/>
              <w:ind w:left="117"/>
              <w:rPr>
                <w:rFonts w:ascii="宋体" w:eastAsia="宋体" w:hint="eastAsia"/>
                <w:sz w:val="21"/>
              </w:rPr>
            </w:pPr>
            <w:r>
              <w:rPr>
                <w:rFonts w:ascii="宋体" w:eastAsia="宋体" w:hint="eastAsia"/>
                <w:sz w:val="21"/>
              </w:rPr>
              <w:t>主席、集团纪委副书记等职，现任海尔集团组织部长、海尔智家股份有限公司第十届监事会主席。</w:t>
            </w:r>
          </w:p>
        </w:tc>
      </w:tr>
      <w:tr>
        <w:trPr>
          <w:trHeight w:val="818" w:hRule="atLeast"/>
        </w:trPr>
        <w:tc>
          <w:tcPr>
            <w:tcW w:w="1385" w:type="dxa"/>
            <w:tcBorders>
              <w:top w:val="single" w:sz="4" w:space="0" w:color="000000"/>
              <w:bottom w:val="single" w:sz="4" w:space="0" w:color="000000"/>
              <w:right w:val="single" w:sz="4" w:space="0" w:color="000000"/>
            </w:tcBorders>
          </w:tcPr>
          <w:p>
            <w:pPr>
              <w:pStyle w:val="TableParagraph"/>
              <w:spacing w:before="10"/>
              <w:rPr>
                <w:sz w:val="23"/>
              </w:rPr>
            </w:pPr>
          </w:p>
          <w:p>
            <w:pPr>
              <w:pStyle w:val="TableParagraph"/>
              <w:ind w:left="358" w:right="337"/>
              <w:jc w:val="center"/>
              <w:rPr>
                <w:rFonts w:ascii="宋体" w:eastAsia="宋体" w:hint="eastAsia"/>
                <w:sz w:val="21"/>
              </w:rPr>
            </w:pPr>
            <w:r>
              <w:rPr>
                <w:rFonts w:ascii="宋体" w:eastAsia="宋体" w:hint="eastAsia"/>
                <w:sz w:val="21"/>
              </w:rPr>
              <w:t>明国庆</w:t>
            </w:r>
          </w:p>
        </w:tc>
        <w:tc>
          <w:tcPr>
            <w:tcW w:w="12705" w:type="dxa"/>
            <w:tcBorders>
              <w:top w:val="single" w:sz="4" w:space="0" w:color="000000"/>
              <w:left w:val="single" w:sz="4" w:space="0" w:color="000000"/>
              <w:bottom w:val="single" w:sz="4" w:space="0" w:color="000000"/>
            </w:tcBorders>
          </w:tcPr>
          <w:p>
            <w:pPr>
              <w:pStyle w:val="TableParagraph"/>
              <w:spacing w:before="1"/>
              <w:ind w:left="117"/>
              <w:rPr>
                <w:rFonts w:ascii="宋体" w:eastAsia="宋体" w:hint="eastAsia"/>
                <w:sz w:val="21"/>
              </w:rPr>
            </w:pPr>
            <w:r>
              <w:rPr>
                <w:rFonts w:ascii="宋体" w:eastAsia="宋体" w:hint="eastAsia"/>
                <w:sz w:val="21"/>
              </w:rPr>
              <w:t>男，生于 </w:t>
            </w:r>
            <w:r>
              <w:rPr>
                <w:sz w:val="21"/>
              </w:rPr>
              <w:t>1960 </w:t>
            </w:r>
            <w:r>
              <w:rPr>
                <w:rFonts w:ascii="宋体" w:eastAsia="宋体" w:hint="eastAsia"/>
                <w:sz w:val="21"/>
              </w:rPr>
              <w:t>年。高级政工师，曾任青岛电冰箱总厂纪委副书记、青岛海尔运输公司党支部书记兼副经理、青岛海尔股份有限公司综合</w:t>
            </w:r>
          </w:p>
          <w:p>
            <w:pPr>
              <w:pStyle w:val="TableParagraph"/>
              <w:spacing w:line="270" w:lineRule="atLeast" w:before="3"/>
              <w:ind w:left="117" w:right="69"/>
              <w:rPr>
                <w:rFonts w:ascii="宋体" w:eastAsia="宋体" w:hint="eastAsia"/>
                <w:sz w:val="21"/>
              </w:rPr>
            </w:pPr>
            <w:r>
              <w:rPr>
                <w:rFonts w:ascii="宋体" w:eastAsia="宋体" w:hint="eastAsia"/>
                <w:spacing w:val="-8"/>
                <w:sz w:val="21"/>
              </w:rPr>
              <w:t>部部长、海尔冰箱产品本部党委副书记、纪委书记、工会主席。现任海尔集团工会主席</w:t>
            </w:r>
            <w:r>
              <w:rPr>
                <w:sz w:val="21"/>
              </w:rPr>
              <w:t>(2020 </w:t>
            </w:r>
            <w:r>
              <w:rPr>
                <w:rFonts w:ascii="宋体" w:eastAsia="宋体" w:hint="eastAsia"/>
                <w:spacing w:val="-3"/>
                <w:sz w:val="21"/>
              </w:rPr>
              <w:t>年底退休</w:t>
            </w:r>
            <w:r>
              <w:rPr>
                <w:sz w:val="21"/>
              </w:rPr>
              <w:t>)</w:t>
            </w:r>
            <w:r>
              <w:rPr>
                <w:rFonts w:ascii="宋体" w:eastAsia="宋体" w:hint="eastAsia"/>
                <w:spacing w:val="-5"/>
                <w:sz w:val="21"/>
              </w:rPr>
              <w:t>、海尔智家股份有限公司第十届监</w:t>
            </w:r>
            <w:r>
              <w:rPr>
                <w:rFonts w:ascii="宋体" w:eastAsia="宋体" w:hint="eastAsia"/>
                <w:spacing w:val="-4"/>
                <w:sz w:val="21"/>
              </w:rPr>
              <w:t>事会监事。</w:t>
            </w:r>
          </w:p>
        </w:tc>
      </w:tr>
      <w:tr>
        <w:trPr>
          <w:trHeight w:val="544" w:hRule="atLeast"/>
        </w:trPr>
        <w:tc>
          <w:tcPr>
            <w:tcW w:w="1385" w:type="dxa"/>
            <w:tcBorders>
              <w:top w:val="single" w:sz="4" w:space="0" w:color="000000"/>
              <w:bottom w:val="single" w:sz="4" w:space="0" w:color="000000"/>
              <w:right w:val="single" w:sz="4" w:space="0" w:color="000000"/>
            </w:tcBorders>
          </w:tcPr>
          <w:p>
            <w:pPr>
              <w:pStyle w:val="TableParagraph"/>
              <w:spacing w:before="137"/>
              <w:ind w:left="358" w:right="337"/>
              <w:jc w:val="center"/>
              <w:rPr>
                <w:rFonts w:ascii="宋体" w:eastAsia="宋体" w:hint="eastAsia"/>
                <w:sz w:val="21"/>
              </w:rPr>
            </w:pPr>
            <w:r>
              <w:rPr>
                <w:rFonts w:ascii="宋体" w:eastAsia="宋体" w:hint="eastAsia"/>
                <w:sz w:val="21"/>
              </w:rPr>
              <w:t>于淼</w:t>
            </w:r>
          </w:p>
        </w:tc>
        <w:tc>
          <w:tcPr>
            <w:tcW w:w="12705" w:type="dxa"/>
            <w:tcBorders>
              <w:top w:val="single" w:sz="4" w:space="0" w:color="000000"/>
              <w:left w:val="single" w:sz="4" w:space="0" w:color="000000"/>
              <w:bottom w:val="single" w:sz="4" w:space="0" w:color="000000"/>
            </w:tcBorders>
          </w:tcPr>
          <w:p>
            <w:pPr>
              <w:pStyle w:val="TableParagraph"/>
              <w:spacing w:before="1"/>
              <w:ind w:left="117"/>
              <w:rPr>
                <w:rFonts w:ascii="宋体" w:eastAsia="宋体" w:hint="eastAsia"/>
                <w:sz w:val="21"/>
              </w:rPr>
            </w:pPr>
            <w:r>
              <w:rPr>
                <w:rFonts w:ascii="宋体" w:eastAsia="宋体" w:hint="eastAsia"/>
                <w:spacing w:val="-11"/>
                <w:sz w:val="21"/>
              </w:rPr>
              <w:t>男，汉族，生于 </w:t>
            </w:r>
            <w:r>
              <w:rPr>
                <w:sz w:val="21"/>
              </w:rPr>
              <w:t>1982 </w:t>
            </w:r>
            <w:r>
              <w:rPr>
                <w:rFonts w:ascii="宋体" w:eastAsia="宋体" w:hint="eastAsia"/>
                <w:spacing w:val="-7"/>
                <w:sz w:val="21"/>
              </w:rPr>
              <w:t>年，中国国籍，硕士学历。</w:t>
            </w:r>
            <w:r>
              <w:rPr>
                <w:sz w:val="21"/>
              </w:rPr>
              <w:t>2012 </w:t>
            </w:r>
            <w:r>
              <w:rPr>
                <w:rFonts w:ascii="宋体" w:eastAsia="宋体" w:hint="eastAsia"/>
                <w:spacing w:val="-22"/>
                <w:sz w:val="21"/>
              </w:rPr>
              <w:t>年 </w:t>
            </w:r>
            <w:r>
              <w:rPr>
                <w:sz w:val="21"/>
              </w:rPr>
              <w:t>4 </w:t>
            </w:r>
            <w:r>
              <w:rPr>
                <w:rFonts w:ascii="宋体" w:eastAsia="宋体" w:hint="eastAsia"/>
                <w:spacing w:val="-4"/>
                <w:sz w:val="21"/>
              </w:rPr>
              <w:t>月至今任海尔智家股份有限公司法务经理，海尔智家股份有限公司第十届监事</w:t>
            </w:r>
          </w:p>
          <w:p>
            <w:pPr>
              <w:pStyle w:val="TableParagraph"/>
              <w:spacing w:line="252" w:lineRule="exact" w:before="2"/>
              <w:ind w:left="117"/>
              <w:rPr>
                <w:rFonts w:ascii="宋体" w:eastAsia="宋体" w:hint="eastAsia"/>
                <w:sz w:val="21"/>
              </w:rPr>
            </w:pPr>
            <w:r>
              <w:rPr>
                <w:rFonts w:ascii="宋体" w:eastAsia="宋体" w:hint="eastAsia"/>
                <w:sz w:val="21"/>
              </w:rPr>
              <w:t>会职工监事。</w:t>
            </w:r>
          </w:p>
        </w:tc>
      </w:tr>
      <w:tr>
        <w:trPr>
          <w:trHeight w:val="270" w:hRule="atLeast"/>
        </w:trPr>
        <w:tc>
          <w:tcPr>
            <w:tcW w:w="1385" w:type="dxa"/>
            <w:tcBorders>
              <w:top w:val="single" w:sz="4" w:space="0" w:color="000000"/>
              <w:right w:val="single" w:sz="4" w:space="0" w:color="000000"/>
            </w:tcBorders>
          </w:tcPr>
          <w:p>
            <w:pPr>
              <w:pStyle w:val="TableParagraph"/>
              <w:spacing w:line="249" w:lineRule="exact" w:before="1"/>
              <w:ind w:left="358" w:right="337"/>
              <w:jc w:val="center"/>
              <w:rPr>
                <w:rFonts w:ascii="宋体" w:eastAsia="宋体" w:hint="eastAsia"/>
                <w:sz w:val="21"/>
              </w:rPr>
            </w:pPr>
            <w:r>
              <w:rPr>
                <w:rFonts w:ascii="宋体" w:eastAsia="宋体" w:hint="eastAsia"/>
                <w:sz w:val="21"/>
              </w:rPr>
              <w:t>宫伟</w:t>
            </w:r>
          </w:p>
        </w:tc>
        <w:tc>
          <w:tcPr>
            <w:tcW w:w="12705" w:type="dxa"/>
            <w:tcBorders>
              <w:top w:val="single" w:sz="4" w:space="0" w:color="000000"/>
              <w:left w:val="single" w:sz="4" w:space="0" w:color="000000"/>
            </w:tcBorders>
          </w:tcPr>
          <w:p>
            <w:pPr>
              <w:pStyle w:val="TableParagraph"/>
              <w:spacing w:line="249" w:lineRule="exact" w:before="1"/>
              <w:ind w:left="69" w:right="23"/>
              <w:jc w:val="center"/>
              <w:rPr>
                <w:rFonts w:ascii="宋体" w:eastAsia="宋体" w:hint="eastAsia"/>
                <w:sz w:val="21"/>
              </w:rPr>
            </w:pPr>
            <w:r>
              <w:rPr>
                <w:rFonts w:ascii="宋体" w:eastAsia="宋体" w:hint="eastAsia"/>
                <w:sz w:val="21"/>
              </w:rPr>
              <w:t>男，生于 </w:t>
            </w:r>
            <w:r>
              <w:rPr>
                <w:sz w:val="21"/>
              </w:rPr>
              <w:t>1973 </w:t>
            </w:r>
            <w:r>
              <w:rPr>
                <w:rFonts w:ascii="宋体" w:eastAsia="宋体" w:hint="eastAsia"/>
                <w:sz w:val="21"/>
              </w:rPr>
              <w:t>年。于 </w:t>
            </w:r>
            <w:r>
              <w:rPr>
                <w:sz w:val="21"/>
              </w:rPr>
              <w:t>2011 </w:t>
            </w:r>
            <w:r>
              <w:rPr>
                <w:rFonts w:ascii="宋体" w:eastAsia="宋体" w:hint="eastAsia"/>
                <w:sz w:val="21"/>
              </w:rPr>
              <w:t>年毕业于对外经济贸易大学，获得高级管理人员工商管理学硕士学位。宫伟先生曾任海尔智家股份有限公司</w:t>
            </w:r>
          </w:p>
        </w:tc>
      </w:tr>
    </w:tbl>
    <w:p>
      <w:pPr>
        <w:spacing w:after="0" w:line="249" w:lineRule="exact"/>
        <w:jc w:val="center"/>
        <w:rPr>
          <w:rFonts w:ascii="宋体" w:eastAsia="宋体" w:hint="eastAsia"/>
          <w:sz w:val="21"/>
        </w:rPr>
        <w:sectPr>
          <w:pgSz w:w="16840" w:h="11910" w:orient="landscape"/>
          <w:pgMar w:header="874" w:footer="1214" w:top="1180" w:bottom="1400" w:left="1300" w:right="1180"/>
        </w:sectPr>
      </w:pPr>
    </w:p>
    <w:p>
      <w:pPr>
        <w:pStyle w:val="BodyText"/>
        <w:spacing w:before="4"/>
        <w:rPr>
          <w:rFonts w:ascii="Times New Roman"/>
          <w:sz w:val="8"/>
        </w:rPr>
      </w:pPr>
    </w:p>
    <w:tbl>
      <w:tblPr>
        <w:tblW w:w="0" w:type="auto"/>
        <w:jc w:val="left"/>
        <w:tblInd w:w="1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85"/>
        <w:gridCol w:w="12705"/>
      </w:tblGrid>
      <w:tr>
        <w:trPr>
          <w:trHeight w:val="817" w:hRule="atLeast"/>
        </w:trPr>
        <w:tc>
          <w:tcPr>
            <w:tcW w:w="1385" w:type="dxa"/>
            <w:tcBorders>
              <w:bottom w:val="single" w:sz="4" w:space="0" w:color="000000"/>
              <w:right w:val="single" w:sz="4" w:space="0" w:color="000000"/>
            </w:tcBorders>
          </w:tcPr>
          <w:p>
            <w:pPr>
              <w:pStyle w:val="TableParagraph"/>
              <w:rPr>
                <w:sz w:val="20"/>
              </w:rPr>
            </w:pPr>
          </w:p>
        </w:tc>
        <w:tc>
          <w:tcPr>
            <w:tcW w:w="12705" w:type="dxa"/>
            <w:tcBorders>
              <w:left w:val="single" w:sz="4" w:space="0" w:color="000000"/>
              <w:bottom w:val="single" w:sz="4" w:space="0" w:color="000000"/>
            </w:tcBorders>
          </w:tcPr>
          <w:p>
            <w:pPr>
              <w:pStyle w:val="TableParagraph"/>
              <w:ind w:left="117"/>
              <w:rPr>
                <w:rFonts w:ascii="宋体" w:eastAsia="宋体" w:hint="eastAsia"/>
                <w:sz w:val="21"/>
              </w:rPr>
            </w:pPr>
            <w:r>
              <w:rPr>
                <w:rFonts w:ascii="宋体" w:eastAsia="宋体" w:hint="eastAsia"/>
                <w:sz w:val="21"/>
              </w:rPr>
              <w:t>财务经理、海尔集团高级财务经理、高级财务分析师、海尔洗衣机本部财务总监、海尔空调本部财务总监、海尔白电集团财务总监，现</w:t>
            </w:r>
          </w:p>
          <w:p>
            <w:pPr>
              <w:pStyle w:val="TableParagraph"/>
              <w:spacing w:line="270" w:lineRule="atLeast" w:before="4"/>
              <w:ind w:left="117" w:right="74"/>
              <w:rPr>
                <w:rFonts w:ascii="宋体" w:eastAsia="宋体" w:hint="eastAsia"/>
                <w:sz w:val="21"/>
              </w:rPr>
            </w:pPr>
            <w:r>
              <w:rPr>
                <w:rFonts w:ascii="宋体" w:eastAsia="宋体" w:hint="eastAsia"/>
                <w:sz w:val="21"/>
              </w:rPr>
              <w:t>任公司副总经理、财务总监，具有丰富的财务管理经验。宫伟先生获青岛市青年岗位能手、山东省优秀会计工作者、全国优秀会计工作者等荣誉称号，荣获《新理财杂志》评选的 </w:t>
            </w:r>
            <w:r>
              <w:rPr>
                <w:sz w:val="21"/>
              </w:rPr>
              <w:t>2011 </w:t>
            </w:r>
            <w:r>
              <w:rPr>
                <w:rFonts w:ascii="宋体" w:eastAsia="宋体" w:hint="eastAsia"/>
                <w:sz w:val="21"/>
              </w:rPr>
              <w:t>年中国</w:t>
            </w:r>
            <w:r>
              <w:rPr>
                <w:sz w:val="21"/>
              </w:rPr>
              <w:t>CFO </w:t>
            </w:r>
            <w:r>
              <w:rPr>
                <w:rFonts w:ascii="宋体" w:eastAsia="宋体" w:hint="eastAsia"/>
                <w:sz w:val="21"/>
              </w:rPr>
              <w:t>十大年度人物，</w:t>
            </w:r>
            <w:r>
              <w:rPr>
                <w:sz w:val="21"/>
              </w:rPr>
              <w:t>2020 </w:t>
            </w:r>
            <w:r>
              <w:rPr>
                <w:rFonts w:ascii="宋体" w:eastAsia="宋体" w:hint="eastAsia"/>
                <w:sz w:val="21"/>
              </w:rPr>
              <w:t>中国国际财务领袖年度人物等荣誉。</w:t>
            </w:r>
          </w:p>
        </w:tc>
      </w:tr>
      <w:tr>
        <w:trPr>
          <w:trHeight w:val="1086" w:hRule="atLeast"/>
        </w:trPr>
        <w:tc>
          <w:tcPr>
            <w:tcW w:w="1385" w:type="dxa"/>
            <w:tcBorders>
              <w:top w:val="single" w:sz="4" w:space="0" w:color="000000"/>
              <w:right w:val="single" w:sz="4" w:space="0" w:color="000000"/>
            </w:tcBorders>
          </w:tcPr>
          <w:p>
            <w:pPr>
              <w:pStyle w:val="TableParagraph"/>
              <w:rPr>
                <w:sz w:val="20"/>
              </w:rPr>
            </w:pPr>
          </w:p>
          <w:p>
            <w:pPr>
              <w:pStyle w:val="TableParagraph"/>
              <w:spacing w:before="179"/>
              <w:ind w:left="376"/>
              <w:rPr>
                <w:rFonts w:ascii="宋体" w:eastAsia="宋体" w:hint="eastAsia"/>
                <w:sz w:val="21"/>
              </w:rPr>
            </w:pPr>
            <w:r>
              <w:rPr>
                <w:rFonts w:ascii="宋体" w:eastAsia="宋体" w:hint="eastAsia"/>
                <w:sz w:val="21"/>
              </w:rPr>
              <w:t>明国珍</w:t>
            </w:r>
          </w:p>
        </w:tc>
        <w:tc>
          <w:tcPr>
            <w:tcW w:w="12705" w:type="dxa"/>
            <w:tcBorders>
              <w:top w:val="single" w:sz="4" w:space="0" w:color="000000"/>
              <w:left w:val="single" w:sz="4" w:space="0" w:color="000000"/>
            </w:tcBorders>
          </w:tcPr>
          <w:p>
            <w:pPr>
              <w:pStyle w:val="TableParagraph"/>
              <w:spacing w:line="242" w:lineRule="auto" w:before="1"/>
              <w:ind w:left="117" w:right="68"/>
              <w:jc w:val="both"/>
              <w:rPr>
                <w:rFonts w:ascii="宋体" w:eastAsia="宋体" w:hint="eastAsia"/>
                <w:sz w:val="21"/>
              </w:rPr>
            </w:pPr>
            <w:r>
              <w:rPr>
                <w:rFonts w:ascii="宋体" w:eastAsia="宋体" w:hint="eastAsia"/>
                <w:spacing w:val="-11"/>
                <w:sz w:val="21"/>
              </w:rPr>
              <w:t>女，生于 </w:t>
            </w:r>
            <w:r>
              <w:rPr>
                <w:sz w:val="21"/>
              </w:rPr>
              <w:t>1964 </w:t>
            </w:r>
            <w:r>
              <w:rPr>
                <w:rFonts w:ascii="宋体" w:eastAsia="宋体" w:hint="eastAsia"/>
                <w:spacing w:val="-6"/>
                <w:sz w:val="21"/>
              </w:rPr>
              <w:t>年。</w:t>
            </w:r>
            <w:r>
              <w:rPr>
                <w:sz w:val="21"/>
              </w:rPr>
              <w:t>1986 </w:t>
            </w:r>
            <w:r>
              <w:rPr>
                <w:rFonts w:ascii="宋体" w:eastAsia="宋体" w:hint="eastAsia"/>
                <w:spacing w:val="-8"/>
                <w:sz w:val="21"/>
              </w:rPr>
              <w:t>年毕业于西南财经大学，经济学硕士、高级经济师。曾任中国金融学院投资系讲师、投资经济教研室副主任；中国光大国际信托投资公司资金部业务员、总经理办公室副主任、主任、经营管理部总经理兼人事部总经理、公司总经理助理，光大国际投资咨询公司常务副总；中国证券业协会分析师专业委员会办公室主任，协会资格管理部副主任，协会执业标准委员会副主任。现任海</w:t>
            </w:r>
          </w:p>
          <w:p>
            <w:pPr>
              <w:pStyle w:val="TableParagraph"/>
              <w:spacing w:line="249" w:lineRule="exact"/>
              <w:ind w:left="117"/>
              <w:rPr>
                <w:rFonts w:ascii="宋体" w:eastAsia="宋体" w:hint="eastAsia"/>
                <w:sz w:val="21"/>
              </w:rPr>
            </w:pPr>
            <w:r>
              <w:rPr>
                <w:rFonts w:ascii="宋体" w:eastAsia="宋体" w:hint="eastAsia"/>
                <w:sz w:val="21"/>
              </w:rPr>
              <w:t>尔智家股份有限公司董事会秘书。</w:t>
            </w:r>
          </w:p>
        </w:tc>
      </w:tr>
    </w:tbl>
    <w:p>
      <w:pPr>
        <w:pStyle w:val="BodyText"/>
        <w:spacing w:before="4"/>
        <w:ind w:left="224"/>
      </w:pPr>
      <w:r>
        <w:rPr>
          <w:w w:val="100"/>
        </w:rPr>
        <w:t> </w:t>
      </w:r>
    </w:p>
    <w:p>
      <w:pPr>
        <w:pStyle w:val="BodyText"/>
        <w:spacing w:before="4"/>
        <w:ind w:left="224"/>
      </w:pPr>
      <w:r>
        <w:rPr/>
        <w:t>其它情况说明</w:t>
      </w:r>
    </w:p>
    <w:p>
      <w:pPr>
        <w:pStyle w:val="BodyText"/>
        <w:spacing w:before="140"/>
        <w:ind w:left="649"/>
      </w:pPr>
      <w:r>
        <w:rPr/>
        <w:t>□适用 √不适用</w:t>
      </w:r>
    </w:p>
    <w:p>
      <w:pPr>
        <w:pStyle w:val="BodyText"/>
        <w:rPr>
          <w:sz w:val="20"/>
        </w:rPr>
      </w:pPr>
    </w:p>
    <w:p>
      <w:pPr>
        <w:pStyle w:val="BodyText"/>
        <w:spacing w:before="5"/>
        <w:rPr>
          <w:sz w:val="18"/>
        </w:rPr>
      </w:pPr>
    </w:p>
    <w:p>
      <w:pPr>
        <w:pStyle w:val="Heading4"/>
        <w:ind w:left="224"/>
      </w:pPr>
      <w:r>
        <w:rPr>
          <w:rFonts w:ascii="Times New Roman" w:eastAsia="Times New Roman"/>
        </w:rPr>
        <w:t>(</w:t>
      </w:r>
      <w:r>
        <w:rPr/>
        <w:t>二</w:t>
      </w:r>
      <w:r>
        <w:rPr>
          <w:rFonts w:ascii="Times New Roman" w:eastAsia="Times New Roman"/>
        </w:rPr>
        <w:t>) </w:t>
      </w:r>
      <w:r>
        <w:rPr/>
        <w:t>董事、高级管理人员报告期内被授予的股权激励情况</w:t>
      </w:r>
    </w:p>
    <w:p>
      <w:pPr>
        <w:pStyle w:val="BodyText"/>
        <w:spacing w:before="151"/>
        <w:ind w:left="649"/>
      </w:pPr>
      <w:r>
        <w:rPr>
          <w:rFonts w:ascii="Times New Roman" w:hAnsi="Times New Roman" w:eastAsia="Times New Roman"/>
        </w:rPr>
        <w:t>□</w:t>
      </w:r>
      <w:r>
        <w:rPr/>
        <w:t>适用 </w:t>
      </w:r>
      <w:r>
        <w:rPr>
          <w:rFonts w:ascii="Times New Roman" w:hAnsi="Times New Roman" w:eastAsia="Times New Roman"/>
        </w:rPr>
        <w:t>√</w:t>
      </w:r>
      <w:r>
        <w:rPr/>
        <w:t>不适用</w:t>
      </w:r>
    </w:p>
    <w:p>
      <w:pPr>
        <w:pStyle w:val="BodyText"/>
        <w:spacing w:before="1"/>
        <w:rPr>
          <w:sz w:val="29"/>
        </w:rPr>
      </w:pPr>
    </w:p>
    <w:p>
      <w:pPr>
        <w:pStyle w:val="Heading4"/>
        <w:spacing w:line="360" w:lineRule="exact"/>
        <w:ind w:left="224"/>
      </w:pPr>
      <w:r>
        <w:rPr/>
        <w:t>二、现任及报告期内离任董事、监事和高级管理人员的任职情况</w:t>
      </w:r>
    </w:p>
    <w:p>
      <w:pPr>
        <w:pStyle w:val="Heading4"/>
        <w:spacing w:line="360" w:lineRule="exact"/>
        <w:ind w:left="224"/>
      </w:pPr>
      <w:r>
        <w:rPr>
          <w:rFonts w:ascii="Times New Roman" w:eastAsia="Times New Roman"/>
        </w:rPr>
        <w:t>(</w:t>
      </w:r>
      <w:r>
        <w:rPr/>
        <w:t>一</w:t>
      </w:r>
      <w:r>
        <w:rPr>
          <w:rFonts w:ascii="Times New Roman" w:eastAsia="Times New Roman"/>
        </w:rPr>
        <w:t>) </w:t>
      </w:r>
      <w:r>
        <w:rPr/>
        <w:t>在股东单位任职情况</w:t>
      </w:r>
    </w:p>
    <w:p>
      <w:pPr>
        <w:pStyle w:val="BodyText"/>
        <w:spacing w:before="151"/>
        <w:ind w:left="649"/>
      </w:pPr>
      <w:r>
        <w:rPr>
          <w:rFonts w:ascii="Times New Roman" w:hAnsi="Times New Roman" w:eastAsia="Times New Roman"/>
        </w:rPr>
        <w:t>√</w:t>
      </w:r>
      <w:r>
        <w:rPr/>
        <w:t>适用 </w:t>
      </w:r>
      <w:r>
        <w:rPr>
          <w:rFonts w:ascii="Times New Roman" w:hAnsi="Times New Roman" w:eastAsia="Times New Roman"/>
        </w:rPr>
        <w:t>□</w:t>
      </w:r>
      <w:r>
        <w:rPr/>
        <w:t>不适用</w:t>
      </w:r>
    </w:p>
    <w:p>
      <w:pPr>
        <w:pStyle w:val="BodyText"/>
        <w:spacing w:before="9"/>
        <w:rPr>
          <w:sz w:val="10"/>
        </w:rPr>
      </w:pPr>
    </w:p>
    <w:tbl>
      <w:tblPr>
        <w:tblW w:w="0" w:type="auto"/>
        <w:jc w:val="left"/>
        <w:tblInd w:w="1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804"/>
        <w:gridCol w:w="3685"/>
        <w:gridCol w:w="2835"/>
        <w:gridCol w:w="2391"/>
        <w:gridCol w:w="2376"/>
      </w:tblGrid>
      <w:tr>
        <w:trPr>
          <w:trHeight w:val="272" w:hRule="atLeast"/>
        </w:trPr>
        <w:tc>
          <w:tcPr>
            <w:tcW w:w="2804" w:type="dxa"/>
            <w:tcBorders>
              <w:bottom w:val="single" w:sz="4" w:space="0" w:color="000000"/>
              <w:right w:val="single" w:sz="4" w:space="0" w:color="000000"/>
            </w:tcBorders>
            <w:shd w:val="clear" w:color="auto" w:fill="EDEBE0"/>
          </w:tcPr>
          <w:p>
            <w:pPr>
              <w:pStyle w:val="TableParagraph"/>
              <w:spacing w:line="252" w:lineRule="exact"/>
              <w:ind w:left="770"/>
              <w:rPr>
                <w:rFonts w:ascii="宋体" w:eastAsia="宋体" w:hint="eastAsia"/>
                <w:sz w:val="21"/>
              </w:rPr>
            </w:pPr>
            <w:r>
              <w:rPr>
                <w:rFonts w:ascii="宋体" w:eastAsia="宋体" w:hint="eastAsia"/>
                <w:sz w:val="21"/>
              </w:rPr>
              <w:t>任职人员姓名</w:t>
            </w:r>
          </w:p>
        </w:tc>
        <w:tc>
          <w:tcPr>
            <w:tcW w:w="3685" w:type="dxa"/>
            <w:tcBorders>
              <w:left w:val="single" w:sz="4" w:space="0" w:color="000000"/>
              <w:bottom w:val="single" w:sz="4" w:space="0" w:color="000000"/>
              <w:right w:val="single" w:sz="4" w:space="0" w:color="000000"/>
            </w:tcBorders>
            <w:shd w:val="clear" w:color="auto" w:fill="EDEBE0"/>
          </w:tcPr>
          <w:p>
            <w:pPr>
              <w:pStyle w:val="TableParagraph"/>
              <w:spacing w:line="252" w:lineRule="exact"/>
              <w:ind w:left="1221"/>
              <w:rPr>
                <w:rFonts w:ascii="宋体" w:eastAsia="宋体" w:hint="eastAsia"/>
                <w:sz w:val="21"/>
              </w:rPr>
            </w:pPr>
            <w:r>
              <w:rPr>
                <w:rFonts w:ascii="宋体" w:eastAsia="宋体" w:hint="eastAsia"/>
                <w:sz w:val="21"/>
              </w:rPr>
              <w:t>股东单位名称</w:t>
            </w:r>
          </w:p>
        </w:tc>
        <w:tc>
          <w:tcPr>
            <w:tcW w:w="2835" w:type="dxa"/>
            <w:tcBorders>
              <w:left w:val="single" w:sz="4" w:space="0" w:color="000000"/>
              <w:bottom w:val="single" w:sz="4" w:space="0" w:color="000000"/>
              <w:right w:val="single" w:sz="4" w:space="0" w:color="000000"/>
            </w:tcBorders>
            <w:shd w:val="clear" w:color="auto" w:fill="EDEBE0"/>
          </w:tcPr>
          <w:p>
            <w:pPr>
              <w:pStyle w:val="TableParagraph"/>
              <w:spacing w:line="252" w:lineRule="exact"/>
              <w:ind w:left="375"/>
              <w:rPr>
                <w:rFonts w:ascii="宋体" w:eastAsia="宋体" w:hint="eastAsia"/>
                <w:sz w:val="21"/>
              </w:rPr>
            </w:pPr>
            <w:r>
              <w:rPr>
                <w:rFonts w:ascii="宋体" w:eastAsia="宋体" w:hint="eastAsia"/>
                <w:sz w:val="21"/>
              </w:rPr>
              <w:t>在股东单位担任的职务</w:t>
            </w:r>
          </w:p>
        </w:tc>
        <w:tc>
          <w:tcPr>
            <w:tcW w:w="2391" w:type="dxa"/>
            <w:tcBorders>
              <w:left w:val="single" w:sz="4" w:space="0" w:color="000000"/>
              <w:bottom w:val="single" w:sz="4" w:space="0" w:color="000000"/>
              <w:right w:val="single" w:sz="4" w:space="0" w:color="000000"/>
            </w:tcBorders>
            <w:shd w:val="clear" w:color="auto" w:fill="EDEBE0"/>
          </w:tcPr>
          <w:p>
            <w:pPr>
              <w:pStyle w:val="TableParagraph"/>
              <w:spacing w:line="252" w:lineRule="exact"/>
              <w:ind w:left="574"/>
              <w:rPr>
                <w:rFonts w:ascii="宋体" w:eastAsia="宋体" w:hint="eastAsia"/>
                <w:sz w:val="21"/>
              </w:rPr>
            </w:pPr>
            <w:r>
              <w:rPr>
                <w:rFonts w:ascii="宋体" w:eastAsia="宋体" w:hint="eastAsia"/>
                <w:sz w:val="21"/>
              </w:rPr>
              <w:t>任期起始日期</w:t>
            </w:r>
          </w:p>
        </w:tc>
        <w:tc>
          <w:tcPr>
            <w:tcW w:w="2376" w:type="dxa"/>
            <w:tcBorders>
              <w:left w:val="single" w:sz="4" w:space="0" w:color="000000"/>
              <w:bottom w:val="single" w:sz="4" w:space="0" w:color="000000"/>
            </w:tcBorders>
            <w:shd w:val="clear" w:color="auto" w:fill="EDEBE0"/>
          </w:tcPr>
          <w:p>
            <w:pPr>
              <w:pStyle w:val="TableParagraph"/>
              <w:spacing w:line="252" w:lineRule="exact"/>
              <w:ind w:left="565"/>
              <w:rPr>
                <w:rFonts w:ascii="宋体" w:eastAsia="宋体" w:hint="eastAsia"/>
                <w:sz w:val="21"/>
              </w:rPr>
            </w:pPr>
            <w:r>
              <w:rPr>
                <w:rFonts w:ascii="宋体" w:eastAsia="宋体" w:hint="eastAsia"/>
                <w:sz w:val="21"/>
              </w:rPr>
              <w:t>任期终止日期</w:t>
            </w:r>
          </w:p>
        </w:tc>
      </w:tr>
      <w:tr>
        <w:trPr>
          <w:trHeight w:val="273" w:hRule="atLeast"/>
        </w:trPr>
        <w:tc>
          <w:tcPr>
            <w:tcW w:w="2804"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梁海山</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海尔卡奥斯股份有限公司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6"/>
              <w:rPr>
                <w:rFonts w:ascii="宋体" w:eastAsia="宋体" w:hint="eastAsia"/>
                <w:sz w:val="21"/>
              </w:rPr>
            </w:pPr>
            <w:r>
              <w:rPr>
                <w:rFonts w:ascii="宋体" w:eastAsia="宋体" w:hint="eastAsia"/>
                <w:sz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8"/>
              <w:rPr>
                <w:rFonts w:ascii="宋体" w:eastAsia="宋体" w:hint="eastAsia"/>
                <w:sz w:val="21"/>
              </w:rPr>
            </w:pPr>
            <w:r>
              <w:rPr>
                <w:sz w:val="21"/>
              </w:rPr>
              <w:t>1997 </w:t>
            </w:r>
            <w:r>
              <w:rPr>
                <w:rFonts w:ascii="宋体" w:eastAsia="宋体" w:hint="eastAsia"/>
                <w:sz w:val="21"/>
              </w:rPr>
              <w:t>年 </w:t>
            </w:r>
            <w:r>
              <w:rPr>
                <w:sz w:val="21"/>
              </w:rPr>
              <w:t>11 </w:t>
            </w:r>
            <w:r>
              <w:rPr>
                <w:rFonts w:ascii="宋体" w:eastAsia="宋体" w:hint="eastAsia"/>
                <w:sz w:val="21"/>
              </w:rPr>
              <w:t>月</w:t>
            </w:r>
          </w:p>
        </w:tc>
        <w:tc>
          <w:tcPr>
            <w:tcW w:w="2376"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2804"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梁海山</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rFonts w:ascii="宋体" w:eastAsia="宋体" w:hint="eastAsia"/>
                <w:sz w:val="21"/>
              </w:rPr>
            </w:pPr>
            <w:r>
              <w:rPr>
                <w:rFonts w:ascii="宋体" w:eastAsia="宋体" w:hint="eastAsia"/>
                <w:sz w:val="21"/>
              </w:rPr>
              <w:t>海尔集团公司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6"/>
              <w:rPr>
                <w:rFonts w:ascii="宋体" w:eastAsia="宋体" w:hint="eastAsia"/>
                <w:sz w:val="21"/>
              </w:rPr>
            </w:pPr>
            <w:r>
              <w:rPr>
                <w:rFonts w:ascii="宋体" w:eastAsia="宋体" w:hint="eastAsia"/>
                <w:sz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376"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2804"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谭丽霞</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海尔卡奥斯股份有限公司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6"/>
              <w:rPr>
                <w:rFonts w:ascii="宋体" w:eastAsia="宋体" w:hint="eastAsia"/>
                <w:sz w:val="21"/>
              </w:rPr>
            </w:pPr>
            <w:r>
              <w:rPr>
                <w:rFonts w:ascii="宋体" w:eastAsia="宋体" w:hint="eastAsia"/>
                <w:sz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8"/>
              <w:rPr>
                <w:rFonts w:ascii="宋体" w:eastAsia="宋体" w:hint="eastAsia"/>
                <w:sz w:val="21"/>
              </w:rPr>
            </w:pPr>
            <w:r>
              <w:rPr>
                <w:sz w:val="21"/>
              </w:rPr>
              <w:t>2014 </w:t>
            </w:r>
            <w:r>
              <w:rPr>
                <w:rFonts w:ascii="宋体" w:eastAsia="宋体" w:hint="eastAsia"/>
                <w:sz w:val="21"/>
              </w:rPr>
              <w:t>年 </w:t>
            </w:r>
            <w:r>
              <w:rPr>
                <w:sz w:val="21"/>
              </w:rPr>
              <w:t>9 </w:t>
            </w:r>
            <w:r>
              <w:rPr>
                <w:rFonts w:ascii="宋体" w:eastAsia="宋体" w:hint="eastAsia"/>
                <w:sz w:val="21"/>
              </w:rPr>
              <w:t>月</w:t>
            </w:r>
          </w:p>
        </w:tc>
        <w:tc>
          <w:tcPr>
            <w:tcW w:w="2376"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2804"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谭丽霞</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海尔集团公司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6"/>
              <w:rPr>
                <w:rFonts w:ascii="宋体" w:eastAsia="宋体" w:hint="eastAsia"/>
                <w:sz w:val="21"/>
              </w:rPr>
            </w:pPr>
            <w:r>
              <w:rPr>
                <w:rFonts w:ascii="宋体" w:eastAsia="宋体" w:hint="eastAsia"/>
                <w:sz w:val="21"/>
              </w:rPr>
              <w:t>董事、执行副总裁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8"/>
              <w:rPr>
                <w:rFonts w:ascii="宋体" w:eastAsia="宋体" w:hint="eastAsia"/>
                <w:sz w:val="21"/>
              </w:rPr>
            </w:pPr>
            <w:r>
              <w:rPr>
                <w:sz w:val="21"/>
              </w:rPr>
              <w:t>2016 </w:t>
            </w:r>
            <w:r>
              <w:rPr>
                <w:rFonts w:ascii="宋体" w:eastAsia="宋体" w:hint="eastAsia"/>
                <w:sz w:val="21"/>
              </w:rPr>
              <w:t>年 </w:t>
            </w:r>
            <w:r>
              <w:rPr>
                <w:sz w:val="21"/>
              </w:rPr>
              <w:t>2 </w:t>
            </w:r>
            <w:r>
              <w:rPr>
                <w:rFonts w:ascii="宋体" w:eastAsia="宋体" w:hint="eastAsia"/>
                <w:sz w:val="21"/>
              </w:rPr>
              <w:t>月</w:t>
            </w:r>
          </w:p>
        </w:tc>
        <w:tc>
          <w:tcPr>
            <w:tcW w:w="2376" w:type="dxa"/>
            <w:tcBorders>
              <w:top w:val="single" w:sz="4" w:space="0" w:color="000000"/>
              <w:left w:val="single" w:sz="4" w:space="0" w:color="000000"/>
              <w:bottom w:val="single" w:sz="4" w:space="0" w:color="000000"/>
            </w:tcBorders>
          </w:tcPr>
          <w:p>
            <w:pPr>
              <w:pStyle w:val="TableParagraph"/>
              <w:rPr>
                <w:sz w:val="20"/>
              </w:rPr>
            </w:pPr>
          </w:p>
        </w:tc>
      </w:tr>
      <w:tr>
        <w:trPr>
          <w:trHeight w:val="271" w:hRule="atLeast"/>
        </w:trPr>
        <w:tc>
          <w:tcPr>
            <w:tcW w:w="2804"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王培华</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rFonts w:ascii="宋体" w:eastAsia="宋体" w:hint="eastAsia"/>
                <w:sz w:val="21"/>
              </w:rPr>
            </w:pPr>
            <w:r>
              <w:rPr>
                <w:rFonts w:ascii="宋体" w:eastAsia="宋体" w:hint="eastAsia"/>
                <w:sz w:val="21"/>
              </w:rPr>
              <w:t>海尔集团公司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6"/>
              <w:rPr>
                <w:rFonts w:ascii="宋体" w:eastAsia="宋体" w:hint="eastAsia"/>
                <w:sz w:val="21"/>
              </w:rPr>
            </w:pPr>
            <w:r>
              <w:rPr>
                <w:rFonts w:ascii="宋体" w:eastAsia="宋体" w:hint="eastAsia"/>
                <w:sz w:val="21"/>
              </w:rPr>
              <w:t>组织部长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376"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2804"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明国庆</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海尔集团公司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6"/>
              <w:rPr>
                <w:rFonts w:ascii="宋体" w:eastAsia="宋体" w:hint="eastAsia"/>
                <w:sz w:val="21"/>
              </w:rPr>
            </w:pPr>
            <w:r>
              <w:rPr>
                <w:rFonts w:ascii="宋体" w:eastAsia="宋体" w:hint="eastAsia"/>
                <w:sz w:val="21"/>
              </w:rPr>
              <w:t>工会主席</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376"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2804"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李华刚</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rFonts w:ascii="宋体" w:eastAsia="宋体" w:hint="eastAsia"/>
                <w:sz w:val="21"/>
              </w:rPr>
            </w:pPr>
            <w:r>
              <w:rPr>
                <w:rFonts w:ascii="宋体" w:eastAsia="宋体" w:hint="eastAsia"/>
                <w:sz w:val="21"/>
              </w:rPr>
              <w:t>海尔卡奥斯股份有限公司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6"/>
              <w:rPr>
                <w:rFonts w:ascii="宋体" w:eastAsia="宋体" w:hint="eastAsia"/>
                <w:sz w:val="21"/>
              </w:rPr>
            </w:pPr>
            <w:r>
              <w:rPr>
                <w:rFonts w:ascii="宋体" w:eastAsia="宋体" w:hint="eastAsia"/>
                <w:sz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376" w:type="dxa"/>
            <w:tcBorders>
              <w:top w:val="single" w:sz="4" w:space="0" w:color="000000"/>
              <w:left w:val="single" w:sz="4" w:space="0" w:color="000000"/>
              <w:bottom w:val="single" w:sz="4" w:space="0" w:color="000000"/>
            </w:tcBorders>
          </w:tcPr>
          <w:p>
            <w:pPr>
              <w:pStyle w:val="TableParagraph"/>
              <w:rPr>
                <w:sz w:val="20"/>
              </w:rPr>
            </w:pPr>
          </w:p>
        </w:tc>
      </w:tr>
      <w:tr>
        <w:trPr>
          <w:trHeight w:val="275" w:hRule="atLeast"/>
        </w:trPr>
        <w:tc>
          <w:tcPr>
            <w:tcW w:w="2804" w:type="dxa"/>
            <w:tcBorders>
              <w:top w:val="single" w:sz="4" w:space="0" w:color="000000"/>
              <w:right w:val="single" w:sz="4" w:space="0" w:color="000000"/>
            </w:tcBorders>
            <w:shd w:val="clear" w:color="auto" w:fill="EDEBE0"/>
          </w:tcPr>
          <w:p>
            <w:pPr>
              <w:pStyle w:val="TableParagraph"/>
              <w:spacing w:line="252" w:lineRule="exact" w:before="3"/>
              <w:ind w:left="107"/>
              <w:rPr>
                <w:rFonts w:ascii="宋体" w:eastAsia="宋体" w:hint="eastAsia"/>
                <w:sz w:val="21"/>
              </w:rPr>
            </w:pPr>
            <w:r>
              <w:rPr>
                <w:rFonts w:ascii="宋体" w:eastAsia="宋体" w:hint="eastAsia"/>
                <w:sz w:val="21"/>
              </w:rPr>
              <w:t>在股东单位任职情况的说明</w:t>
            </w:r>
          </w:p>
        </w:tc>
        <w:tc>
          <w:tcPr>
            <w:tcW w:w="11287" w:type="dxa"/>
            <w:gridSpan w:val="4"/>
            <w:tcBorders>
              <w:top w:val="single" w:sz="4" w:space="0" w:color="000000"/>
              <w:left w:val="single" w:sz="4" w:space="0" w:color="000000"/>
            </w:tcBorders>
          </w:tcPr>
          <w:p>
            <w:pPr>
              <w:pStyle w:val="TableParagraph"/>
              <w:spacing w:line="252" w:lineRule="exact" w:before="3"/>
              <w:ind w:left="117"/>
              <w:rPr>
                <w:rFonts w:ascii="宋体" w:eastAsia="宋体" w:hint="eastAsia"/>
                <w:sz w:val="21"/>
              </w:rPr>
            </w:pPr>
            <w:r>
              <w:rPr>
                <w:rFonts w:ascii="宋体" w:eastAsia="宋体" w:hint="eastAsia"/>
                <w:w w:val="100"/>
                <w:sz w:val="21"/>
              </w:rPr>
              <w:t>无</w:t>
            </w:r>
          </w:p>
        </w:tc>
      </w:tr>
    </w:tbl>
    <w:p>
      <w:pPr>
        <w:pStyle w:val="BodyText"/>
        <w:spacing w:before="1"/>
        <w:ind w:left="224"/>
      </w:pPr>
      <w:r>
        <w:rPr>
          <w:w w:val="100"/>
        </w:rPr>
        <w:t> </w:t>
      </w:r>
    </w:p>
    <w:p>
      <w:pPr>
        <w:spacing w:after="0"/>
        <w:sectPr>
          <w:pgSz w:w="16840" w:h="11910" w:orient="landscape"/>
          <w:pgMar w:header="874" w:footer="1214" w:top="1180" w:bottom="1400" w:left="1300" w:right="1180"/>
        </w:sectPr>
      </w:pPr>
    </w:p>
    <w:p>
      <w:pPr>
        <w:pStyle w:val="BodyText"/>
        <w:spacing w:before="12"/>
        <w:rPr>
          <w:sz w:val="24"/>
        </w:rPr>
      </w:pPr>
    </w:p>
    <w:p>
      <w:pPr>
        <w:pStyle w:val="Heading4"/>
        <w:spacing w:before="9"/>
        <w:ind w:left="0" w:right="11582"/>
        <w:jc w:val="center"/>
      </w:pPr>
      <w:r>
        <w:rPr>
          <w:rFonts w:ascii="Times New Roman" w:eastAsia="Times New Roman"/>
        </w:rPr>
        <w:t>(</w:t>
      </w:r>
      <w:r>
        <w:rPr/>
        <w:t>二</w:t>
      </w:r>
      <w:r>
        <w:rPr>
          <w:rFonts w:ascii="Times New Roman" w:eastAsia="Times New Roman"/>
        </w:rPr>
        <w:t>) </w:t>
      </w:r>
      <w:r>
        <w:rPr/>
        <w:t>在其他单位任职情况</w:t>
      </w:r>
    </w:p>
    <w:p>
      <w:pPr>
        <w:pStyle w:val="BodyText"/>
        <w:spacing w:before="151"/>
        <w:ind w:right="11658"/>
        <w:jc w:val="center"/>
      </w:pPr>
      <w:r>
        <w:rPr>
          <w:rFonts w:ascii="Times New Roman" w:hAnsi="Times New Roman" w:eastAsia="Times New Roman"/>
        </w:rPr>
        <w:t>√</w:t>
      </w:r>
      <w:r>
        <w:rPr/>
        <w:t>适用 </w:t>
      </w:r>
      <w:r>
        <w:rPr>
          <w:rFonts w:ascii="Times New Roman" w:hAnsi="Times New Roman" w:eastAsia="Times New Roman"/>
        </w:rPr>
        <w:t>□</w:t>
      </w:r>
      <w:r>
        <w:rPr/>
        <w:t>不适用</w:t>
      </w:r>
    </w:p>
    <w:p>
      <w:pPr>
        <w:pStyle w:val="BodyText"/>
        <w:spacing w:before="12"/>
        <w:rPr>
          <w:sz w:val="10"/>
        </w:rPr>
      </w:pPr>
    </w:p>
    <w:tbl>
      <w:tblPr>
        <w:tblW w:w="0" w:type="auto"/>
        <w:jc w:val="left"/>
        <w:tblInd w:w="1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10"/>
        <w:gridCol w:w="4537"/>
        <w:gridCol w:w="2127"/>
        <w:gridCol w:w="2551"/>
        <w:gridCol w:w="2127"/>
      </w:tblGrid>
      <w:tr>
        <w:trPr>
          <w:trHeight w:val="544" w:hRule="atLeast"/>
        </w:trPr>
        <w:tc>
          <w:tcPr>
            <w:tcW w:w="1810" w:type="dxa"/>
            <w:tcBorders>
              <w:bottom w:val="single" w:sz="4" w:space="0" w:color="000000"/>
              <w:right w:val="single" w:sz="4" w:space="0" w:color="000000"/>
            </w:tcBorders>
            <w:shd w:val="clear" w:color="auto" w:fill="EDEBE0"/>
          </w:tcPr>
          <w:p>
            <w:pPr>
              <w:pStyle w:val="TableParagraph"/>
              <w:spacing w:before="137"/>
              <w:ind w:left="254" w:right="236"/>
              <w:jc w:val="center"/>
              <w:rPr>
                <w:rFonts w:ascii="宋体" w:eastAsia="宋体" w:hint="eastAsia"/>
                <w:sz w:val="21"/>
              </w:rPr>
            </w:pPr>
            <w:r>
              <w:rPr>
                <w:rFonts w:ascii="宋体" w:eastAsia="宋体" w:hint="eastAsia"/>
                <w:sz w:val="21"/>
              </w:rPr>
              <w:t>任职人员姓名</w:t>
            </w:r>
          </w:p>
        </w:tc>
        <w:tc>
          <w:tcPr>
            <w:tcW w:w="4537" w:type="dxa"/>
            <w:tcBorders>
              <w:left w:val="single" w:sz="4" w:space="0" w:color="000000"/>
              <w:bottom w:val="single" w:sz="4" w:space="0" w:color="000000"/>
              <w:right w:val="single" w:sz="4" w:space="0" w:color="000000"/>
            </w:tcBorders>
            <w:shd w:val="clear" w:color="auto" w:fill="EDEBE0"/>
          </w:tcPr>
          <w:p>
            <w:pPr>
              <w:pStyle w:val="TableParagraph"/>
              <w:spacing w:before="137"/>
              <w:ind w:left="1627" w:right="1600"/>
              <w:jc w:val="center"/>
              <w:rPr>
                <w:rFonts w:ascii="宋体" w:eastAsia="宋体" w:hint="eastAsia"/>
                <w:sz w:val="21"/>
              </w:rPr>
            </w:pPr>
            <w:r>
              <w:rPr>
                <w:rFonts w:ascii="宋体" w:eastAsia="宋体" w:hint="eastAsia"/>
                <w:sz w:val="21"/>
              </w:rPr>
              <w:t>其他单位名称</w:t>
            </w:r>
          </w:p>
        </w:tc>
        <w:tc>
          <w:tcPr>
            <w:tcW w:w="2127" w:type="dxa"/>
            <w:tcBorders>
              <w:left w:val="single" w:sz="4" w:space="0" w:color="000000"/>
              <w:bottom w:val="single" w:sz="4" w:space="0" w:color="000000"/>
              <w:right w:val="single" w:sz="4" w:space="0" w:color="000000"/>
            </w:tcBorders>
            <w:shd w:val="clear" w:color="auto" w:fill="EDEBE0"/>
          </w:tcPr>
          <w:p>
            <w:pPr>
              <w:pStyle w:val="TableParagraph"/>
              <w:ind w:left="108" w:right="78"/>
              <w:jc w:val="center"/>
              <w:rPr>
                <w:rFonts w:ascii="宋体" w:eastAsia="宋体" w:hint="eastAsia"/>
                <w:sz w:val="21"/>
              </w:rPr>
            </w:pPr>
            <w:r>
              <w:rPr>
                <w:rFonts w:ascii="宋体" w:eastAsia="宋体" w:hint="eastAsia"/>
                <w:sz w:val="21"/>
              </w:rPr>
              <w:t>在其他单位担任的职</w:t>
            </w:r>
          </w:p>
          <w:p>
            <w:pPr>
              <w:pStyle w:val="TableParagraph"/>
              <w:spacing w:line="250" w:lineRule="exact" w:before="5"/>
              <w:ind w:left="27"/>
              <w:jc w:val="center"/>
              <w:rPr>
                <w:rFonts w:ascii="宋体" w:eastAsia="宋体" w:hint="eastAsia"/>
                <w:sz w:val="21"/>
              </w:rPr>
            </w:pPr>
            <w:r>
              <w:rPr>
                <w:rFonts w:ascii="宋体" w:eastAsia="宋体" w:hint="eastAsia"/>
                <w:w w:val="100"/>
                <w:sz w:val="21"/>
              </w:rPr>
              <w:t>务</w:t>
            </w:r>
          </w:p>
        </w:tc>
        <w:tc>
          <w:tcPr>
            <w:tcW w:w="2551" w:type="dxa"/>
            <w:tcBorders>
              <w:left w:val="single" w:sz="4" w:space="0" w:color="000000"/>
              <w:bottom w:val="single" w:sz="4" w:space="0" w:color="000000"/>
              <w:right w:val="single" w:sz="4" w:space="0" w:color="000000"/>
            </w:tcBorders>
            <w:shd w:val="clear" w:color="auto" w:fill="EDEBE0"/>
          </w:tcPr>
          <w:p>
            <w:pPr>
              <w:pStyle w:val="TableParagraph"/>
              <w:spacing w:before="137"/>
              <w:ind w:left="654"/>
              <w:rPr>
                <w:rFonts w:ascii="宋体" w:eastAsia="宋体" w:hint="eastAsia"/>
                <w:sz w:val="21"/>
              </w:rPr>
            </w:pPr>
            <w:r>
              <w:rPr>
                <w:rFonts w:ascii="宋体" w:eastAsia="宋体" w:hint="eastAsia"/>
                <w:sz w:val="21"/>
              </w:rPr>
              <w:t>任期起始日期</w:t>
            </w:r>
          </w:p>
        </w:tc>
        <w:tc>
          <w:tcPr>
            <w:tcW w:w="2127" w:type="dxa"/>
            <w:tcBorders>
              <w:left w:val="single" w:sz="4" w:space="0" w:color="000000"/>
              <w:bottom w:val="single" w:sz="4" w:space="0" w:color="000000"/>
            </w:tcBorders>
            <w:shd w:val="clear" w:color="auto" w:fill="EDEBE0"/>
          </w:tcPr>
          <w:p>
            <w:pPr>
              <w:pStyle w:val="TableParagraph"/>
              <w:spacing w:before="137"/>
              <w:ind w:left="441"/>
              <w:rPr>
                <w:rFonts w:ascii="宋体" w:eastAsia="宋体" w:hint="eastAsia"/>
                <w:sz w:val="21"/>
              </w:rPr>
            </w:pPr>
            <w:r>
              <w:rPr>
                <w:rFonts w:ascii="宋体" w:eastAsia="宋体" w:hint="eastAsia"/>
                <w:sz w:val="21"/>
              </w:rPr>
              <w:t>任期终止日期</w:t>
            </w:r>
          </w:p>
        </w:tc>
      </w:tr>
      <w:tr>
        <w:trPr>
          <w:trHeight w:val="273" w:hRule="atLeast"/>
        </w:trPr>
        <w:tc>
          <w:tcPr>
            <w:tcW w:w="1810" w:type="dxa"/>
            <w:tcBorders>
              <w:top w:val="single" w:sz="4" w:space="0" w:color="000000"/>
              <w:bottom w:val="single" w:sz="4" w:space="0" w:color="000000"/>
              <w:right w:val="single" w:sz="4" w:space="0" w:color="000000"/>
            </w:tcBorders>
          </w:tcPr>
          <w:p>
            <w:pPr>
              <w:pStyle w:val="TableParagraph"/>
              <w:spacing w:line="252" w:lineRule="exact" w:before="1"/>
              <w:ind w:left="254" w:right="235"/>
              <w:jc w:val="center"/>
              <w:rPr>
                <w:rFonts w:ascii="宋体" w:eastAsia="宋体" w:hint="eastAsia"/>
                <w:sz w:val="21"/>
              </w:rPr>
            </w:pPr>
            <w:r>
              <w:rPr>
                <w:rFonts w:ascii="宋体" w:eastAsia="宋体" w:hint="eastAsia"/>
                <w:sz w:val="21"/>
              </w:rPr>
              <w:t>梁海山</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海尔集团财务有限责任公司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董事</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27"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1810" w:type="dxa"/>
            <w:tcBorders>
              <w:top w:val="single" w:sz="4" w:space="0" w:color="000000"/>
              <w:bottom w:val="single" w:sz="4" w:space="0" w:color="000000"/>
              <w:right w:val="single" w:sz="4" w:space="0" w:color="000000"/>
            </w:tcBorders>
          </w:tcPr>
          <w:p>
            <w:pPr>
              <w:pStyle w:val="TableParagraph"/>
              <w:spacing w:line="250" w:lineRule="exact" w:before="1"/>
              <w:ind w:left="254" w:right="235"/>
              <w:jc w:val="center"/>
              <w:rPr>
                <w:rFonts w:ascii="宋体" w:eastAsia="宋体" w:hint="eastAsia"/>
                <w:sz w:val="21"/>
              </w:rPr>
            </w:pPr>
            <w:r>
              <w:rPr>
                <w:rFonts w:ascii="宋体" w:eastAsia="宋体" w:hint="eastAsia"/>
                <w:sz w:val="21"/>
              </w:rPr>
              <w:t>梁海山</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rFonts w:ascii="宋体" w:eastAsia="宋体" w:hint="eastAsia"/>
                <w:sz w:val="21"/>
              </w:rPr>
            </w:pPr>
            <w:r>
              <w:rPr>
                <w:rFonts w:ascii="宋体" w:eastAsia="宋体" w:hint="eastAsia"/>
                <w:sz w:val="21"/>
              </w:rPr>
              <w:t>海尔集团（青岛）金融控股有限公司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rFonts w:ascii="宋体" w:eastAsia="宋体" w:hint="eastAsia"/>
                <w:sz w:val="21"/>
              </w:rPr>
            </w:pPr>
            <w:r>
              <w:rPr>
                <w:rFonts w:ascii="宋体" w:eastAsia="宋体" w:hint="eastAsia"/>
                <w:sz w:val="21"/>
              </w:rPr>
              <w:t>董事</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27"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1810" w:type="dxa"/>
            <w:tcBorders>
              <w:top w:val="single" w:sz="4" w:space="0" w:color="000000"/>
              <w:bottom w:val="single" w:sz="4" w:space="0" w:color="000000"/>
              <w:right w:val="single" w:sz="4" w:space="0" w:color="000000"/>
            </w:tcBorders>
          </w:tcPr>
          <w:p>
            <w:pPr>
              <w:pStyle w:val="TableParagraph"/>
              <w:spacing w:line="250" w:lineRule="exact" w:before="4"/>
              <w:ind w:left="254" w:right="235"/>
              <w:jc w:val="center"/>
              <w:rPr>
                <w:rFonts w:ascii="宋体" w:eastAsia="宋体" w:hint="eastAsia"/>
                <w:sz w:val="21"/>
              </w:rPr>
            </w:pPr>
            <w:r>
              <w:rPr>
                <w:rFonts w:ascii="宋体" w:eastAsia="宋体" w:hint="eastAsia"/>
                <w:sz w:val="21"/>
              </w:rPr>
              <w:t>梁海山</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4"/>
              <w:ind w:left="117"/>
              <w:rPr>
                <w:rFonts w:ascii="宋体" w:eastAsia="宋体" w:hint="eastAsia"/>
                <w:sz w:val="21"/>
              </w:rPr>
            </w:pPr>
            <w:r>
              <w:rPr>
                <w:rFonts w:ascii="宋体" w:eastAsia="宋体" w:hint="eastAsia"/>
                <w:sz w:val="21"/>
              </w:rPr>
              <w:t>青岛海尔多媒体有限公司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4"/>
              <w:ind w:left="117"/>
              <w:rPr>
                <w:rFonts w:ascii="宋体" w:eastAsia="宋体" w:hint="eastAsia"/>
                <w:sz w:val="21"/>
              </w:rPr>
            </w:pPr>
            <w:r>
              <w:rPr>
                <w:rFonts w:ascii="宋体" w:eastAsia="宋体" w:hint="eastAsia"/>
                <w:sz w:val="21"/>
              </w:rPr>
              <w:t>董事长</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27"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1810" w:type="dxa"/>
            <w:tcBorders>
              <w:top w:val="single" w:sz="4" w:space="0" w:color="000000"/>
              <w:bottom w:val="single" w:sz="4" w:space="0" w:color="000000"/>
              <w:right w:val="single" w:sz="4" w:space="0" w:color="000000"/>
            </w:tcBorders>
          </w:tcPr>
          <w:p>
            <w:pPr>
              <w:pStyle w:val="TableParagraph"/>
              <w:spacing w:line="252" w:lineRule="exact" w:before="1"/>
              <w:ind w:left="254" w:right="235"/>
              <w:jc w:val="center"/>
              <w:rPr>
                <w:rFonts w:ascii="宋体" w:eastAsia="宋体" w:hint="eastAsia"/>
                <w:sz w:val="21"/>
              </w:rPr>
            </w:pPr>
            <w:r>
              <w:rPr>
                <w:rFonts w:ascii="宋体" w:eastAsia="宋体" w:hint="eastAsia"/>
                <w:sz w:val="21"/>
              </w:rPr>
              <w:t>谭丽霞</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海尔集团财务有限责任公司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监事</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27"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1810" w:type="dxa"/>
            <w:tcBorders>
              <w:top w:val="single" w:sz="4" w:space="0" w:color="000000"/>
              <w:bottom w:val="single" w:sz="4" w:space="0" w:color="000000"/>
              <w:right w:val="single" w:sz="4" w:space="0" w:color="000000"/>
            </w:tcBorders>
          </w:tcPr>
          <w:p>
            <w:pPr>
              <w:pStyle w:val="TableParagraph"/>
              <w:spacing w:line="250" w:lineRule="exact" w:before="1"/>
              <w:ind w:left="254" w:right="235"/>
              <w:jc w:val="center"/>
              <w:rPr>
                <w:rFonts w:ascii="宋体" w:eastAsia="宋体" w:hint="eastAsia"/>
                <w:sz w:val="21"/>
              </w:rPr>
            </w:pPr>
            <w:r>
              <w:rPr>
                <w:rFonts w:ascii="宋体" w:eastAsia="宋体" w:hint="eastAsia"/>
                <w:sz w:val="21"/>
              </w:rPr>
              <w:t>谭丽霞</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rFonts w:ascii="宋体" w:eastAsia="宋体" w:hint="eastAsia"/>
                <w:sz w:val="21"/>
              </w:rPr>
            </w:pPr>
            <w:r>
              <w:rPr>
                <w:rFonts w:ascii="宋体" w:eastAsia="宋体" w:hint="eastAsia"/>
                <w:sz w:val="21"/>
              </w:rPr>
              <w:t>海尔集团（青岛）金融控股有限公司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rFonts w:ascii="宋体" w:eastAsia="宋体" w:hint="eastAsia"/>
                <w:sz w:val="21"/>
              </w:rPr>
            </w:pPr>
            <w:r>
              <w:rPr>
                <w:rFonts w:ascii="宋体" w:eastAsia="宋体" w:hint="eastAsia"/>
                <w:sz w:val="21"/>
              </w:rPr>
              <w:t>法定代表人、董事</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6"/>
              <w:rPr>
                <w:rFonts w:ascii="宋体" w:eastAsia="宋体" w:hint="eastAsia"/>
                <w:sz w:val="21"/>
              </w:rPr>
            </w:pPr>
            <w:r>
              <w:rPr>
                <w:sz w:val="21"/>
              </w:rPr>
              <w:t>2014 </w:t>
            </w:r>
            <w:r>
              <w:rPr>
                <w:rFonts w:ascii="宋体" w:eastAsia="宋体" w:hint="eastAsia"/>
                <w:sz w:val="21"/>
              </w:rPr>
              <w:t>年 </w:t>
            </w:r>
            <w:r>
              <w:rPr>
                <w:sz w:val="21"/>
              </w:rPr>
              <w:t>7 </w:t>
            </w:r>
            <w:r>
              <w:rPr>
                <w:rFonts w:ascii="宋体" w:eastAsia="宋体" w:hint="eastAsia"/>
                <w:sz w:val="21"/>
              </w:rPr>
              <w:t>月</w:t>
            </w:r>
          </w:p>
        </w:tc>
        <w:tc>
          <w:tcPr>
            <w:tcW w:w="2127"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1810" w:type="dxa"/>
            <w:tcBorders>
              <w:top w:val="single" w:sz="4" w:space="0" w:color="000000"/>
              <w:bottom w:val="single" w:sz="4" w:space="0" w:color="000000"/>
              <w:right w:val="single" w:sz="4" w:space="0" w:color="000000"/>
            </w:tcBorders>
          </w:tcPr>
          <w:p>
            <w:pPr>
              <w:pStyle w:val="TableParagraph"/>
              <w:spacing w:line="250" w:lineRule="exact" w:before="3"/>
              <w:ind w:left="254" w:right="235"/>
              <w:jc w:val="center"/>
              <w:rPr>
                <w:rFonts w:ascii="宋体" w:eastAsia="宋体" w:hint="eastAsia"/>
                <w:sz w:val="21"/>
              </w:rPr>
            </w:pPr>
            <w:r>
              <w:rPr>
                <w:rFonts w:ascii="宋体" w:eastAsia="宋体" w:hint="eastAsia"/>
                <w:sz w:val="21"/>
              </w:rPr>
              <w:t>谭丽霞</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left="117"/>
              <w:rPr>
                <w:rFonts w:ascii="宋体" w:eastAsia="宋体" w:hint="eastAsia"/>
                <w:sz w:val="21"/>
              </w:rPr>
            </w:pPr>
            <w:r>
              <w:rPr>
                <w:rFonts w:ascii="宋体" w:eastAsia="宋体" w:hint="eastAsia"/>
                <w:sz w:val="21"/>
              </w:rPr>
              <w:t>青岛银行股份有限公司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left="117"/>
              <w:rPr>
                <w:rFonts w:ascii="宋体" w:eastAsia="宋体" w:hint="eastAsia"/>
                <w:sz w:val="21"/>
              </w:rPr>
            </w:pPr>
            <w:r>
              <w:rPr>
                <w:rFonts w:ascii="宋体" w:eastAsia="宋体" w:hint="eastAsia"/>
                <w:sz w:val="21"/>
              </w:rPr>
              <w:t>非执行董事</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left="116"/>
              <w:rPr>
                <w:rFonts w:ascii="宋体" w:eastAsia="宋体" w:hint="eastAsia"/>
                <w:sz w:val="21"/>
              </w:rPr>
            </w:pPr>
            <w:r>
              <w:rPr>
                <w:sz w:val="21"/>
              </w:rPr>
              <w:t>2012 </w:t>
            </w:r>
            <w:r>
              <w:rPr>
                <w:rFonts w:ascii="宋体" w:eastAsia="宋体" w:hint="eastAsia"/>
                <w:sz w:val="21"/>
              </w:rPr>
              <w:t>年 </w:t>
            </w:r>
            <w:r>
              <w:rPr>
                <w:sz w:val="21"/>
              </w:rPr>
              <w:t>4 </w:t>
            </w:r>
            <w:r>
              <w:rPr>
                <w:rFonts w:ascii="宋体" w:eastAsia="宋体" w:hint="eastAsia"/>
                <w:sz w:val="21"/>
              </w:rPr>
              <w:t>月</w:t>
            </w:r>
          </w:p>
        </w:tc>
        <w:tc>
          <w:tcPr>
            <w:tcW w:w="2127" w:type="dxa"/>
            <w:tcBorders>
              <w:top w:val="single" w:sz="4" w:space="0" w:color="000000"/>
              <w:left w:val="single" w:sz="4" w:space="0" w:color="000000"/>
              <w:bottom w:val="single" w:sz="4" w:space="0" w:color="000000"/>
            </w:tcBorders>
          </w:tcPr>
          <w:p>
            <w:pPr>
              <w:pStyle w:val="TableParagraph"/>
              <w:spacing w:line="250" w:lineRule="exact" w:before="3"/>
              <w:ind w:left="117"/>
              <w:rPr>
                <w:rFonts w:ascii="宋体" w:eastAsia="宋体" w:hint="eastAsia"/>
                <w:sz w:val="21"/>
              </w:rPr>
            </w:pPr>
            <w:r>
              <w:rPr>
                <w:sz w:val="21"/>
              </w:rPr>
              <w:t>2021 </w:t>
            </w:r>
            <w:r>
              <w:rPr>
                <w:rFonts w:ascii="宋体" w:eastAsia="宋体" w:hint="eastAsia"/>
                <w:sz w:val="21"/>
              </w:rPr>
              <w:t>年 </w:t>
            </w:r>
            <w:r>
              <w:rPr>
                <w:sz w:val="21"/>
              </w:rPr>
              <w:t>5 </w:t>
            </w:r>
            <w:r>
              <w:rPr>
                <w:rFonts w:ascii="宋体" w:eastAsia="宋体" w:hint="eastAsia"/>
                <w:sz w:val="21"/>
              </w:rPr>
              <w:t>月</w:t>
            </w:r>
          </w:p>
        </w:tc>
      </w:tr>
      <w:tr>
        <w:trPr>
          <w:trHeight w:val="273" w:hRule="atLeast"/>
        </w:trPr>
        <w:tc>
          <w:tcPr>
            <w:tcW w:w="1810" w:type="dxa"/>
            <w:tcBorders>
              <w:top w:val="single" w:sz="4" w:space="0" w:color="000000"/>
              <w:bottom w:val="single" w:sz="4" w:space="0" w:color="000000"/>
              <w:right w:val="single" w:sz="4" w:space="0" w:color="000000"/>
            </w:tcBorders>
          </w:tcPr>
          <w:p>
            <w:pPr>
              <w:pStyle w:val="TableParagraph"/>
              <w:spacing w:line="252" w:lineRule="exact" w:before="1"/>
              <w:ind w:left="254" w:right="235"/>
              <w:jc w:val="center"/>
              <w:rPr>
                <w:rFonts w:ascii="宋体" w:eastAsia="宋体" w:hint="eastAsia"/>
                <w:sz w:val="21"/>
              </w:rPr>
            </w:pPr>
            <w:r>
              <w:rPr>
                <w:rFonts w:ascii="宋体" w:eastAsia="宋体" w:hint="eastAsia"/>
                <w:sz w:val="21"/>
              </w:rPr>
              <w:t>谭丽霞</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万链（重庆）物联网科技有限公司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董事长</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6"/>
              <w:rPr>
                <w:rFonts w:ascii="宋体" w:eastAsia="宋体" w:hint="eastAsia"/>
                <w:sz w:val="21"/>
              </w:rPr>
            </w:pPr>
            <w:r>
              <w:rPr>
                <w:sz w:val="21"/>
              </w:rPr>
              <w:t>2018 </w:t>
            </w:r>
            <w:r>
              <w:rPr>
                <w:rFonts w:ascii="宋体" w:eastAsia="宋体" w:hint="eastAsia"/>
                <w:sz w:val="21"/>
              </w:rPr>
              <w:t>年 </w:t>
            </w:r>
            <w:r>
              <w:rPr>
                <w:sz w:val="21"/>
              </w:rPr>
              <w:t>5 </w:t>
            </w:r>
            <w:r>
              <w:rPr>
                <w:rFonts w:ascii="宋体" w:eastAsia="宋体" w:hint="eastAsia"/>
                <w:sz w:val="21"/>
              </w:rPr>
              <w:t>月</w:t>
            </w:r>
          </w:p>
        </w:tc>
        <w:tc>
          <w:tcPr>
            <w:tcW w:w="2127"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1810" w:type="dxa"/>
            <w:tcBorders>
              <w:top w:val="single" w:sz="4" w:space="0" w:color="000000"/>
              <w:bottom w:val="single" w:sz="4" w:space="0" w:color="000000"/>
              <w:right w:val="single" w:sz="4" w:space="0" w:color="000000"/>
            </w:tcBorders>
          </w:tcPr>
          <w:p>
            <w:pPr>
              <w:pStyle w:val="TableParagraph"/>
              <w:spacing w:line="250" w:lineRule="exact" w:before="1"/>
              <w:ind w:left="254" w:right="235"/>
              <w:jc w:val="center"/>
              <w:rPr>
                <w:rFonts w:ascii="宋体" w:eastAsia="宋体" w:hint="eastAsia"/>
                <w:sz w:val="21"/>
              </w:rPr>
            </w:pPr>
            <w:r>
              <w:rPr>
                <w:rFonts w:ascii="宋体" w:eastAsia="宋体" w:hint="eastAsia"/>
                <w:sz w:val="21"/>
              </w:rPr>
              <w:t>谭丽霞</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rFonts w:ascii="宋体" w:eastAsia="宋体" w:hint="eastAsia"/>
                <w:sz w:val="21"/>
              </w:rPr>
            </w:pPr>
            <w:r>
              <w:rPr>
                <w:rFonts w:ascii="宋体" w:eastAsia="宋体" w:hint="eastAsia"/>
                <w:sz w:val="21"/>
              </w:rPr>
              <w:t>盈康生命科技股份有限公司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rFonts w:ascii="宋体" w:eastAsia="宋体" w:hint="eastAsia"/>
                <w:sz w:val="21"/>
              </w:rPr>
            </w:pPr>
            <w:r>
              <w:rPr>
                <w:rFonts w:ascii="宋体" w:eastAsia="宋体" w:hint="eastAsia"/>
                <w:sz w:val="21"/>
              </w:rPr>
              <w:t>董事长</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6"/>
              <w:rPr>
                <w:rFonts w:ascii="宋体" w:eastAsia="宋体" w:hint="eastAsia"/>
                <w:sz w:val="21"/>
              </w:rPr>
            </w:pPr>
            <w:r>
              <w:rPr>
                <w:sz w:val="21"/>
              </w:rPr>
              <w:t>2019 </w:t>
            </w:r>
            <w:r>
              <w:rPr>
                <w:rFonts w:ascii="宋体" w:eastAsia="宋体" w:hint="eastAsia"/>
                <w:sz w:val="21"/>
              </w:rPr>
              <w:t>年 </w:t>
            </w:r>
            <w:r>
              <w:rPr>
                <w:sz w:val="21"/>
              </w:rPr>
              <w:t>5 </w:t>
            </w:r>
            <w:r>
              <w:rPr>
                <w:rFonts w:ascii="宋体" w:eastAsia="宋体" w:hint="eastAsia"/>
                <w:sz w:val="21"/>
              </w:rPr>
              <w:t>月 </w:t>
            </w:r>
            <w:r>
              <w:rPr>
                <w:sz w:val="21"/>
              </w:rPr>
              <w:t>16 </w:t>
            </w:r>
            <w:r>
              <w:rPr>
                <w:rFonts w:ascii="宋体" w:eastAsia="宋体" w:hint="eastAsia"/>
                <w:sz w:val="21"/>
              </w:rPr>
              <w:t>日</w:t>
            </w:r>
          </w:p>
        </w:tc>
        <w:tc>
          <w:tcPr>
            <w:tcW w:w="2127"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1810" w:type="dxa"/>
            <w:tcBorders>
              <w:top w:val="single" w:sz="4" w:space="0" w:color="000000"/>
              <w:bottom w:val="single" w:sz="4" w:space="0" w:color="000000"/>
              <w:right w:val="single" w:sz="4" w:space="0" w:color="000000"/>
            </w:tcBorders>
          </w:tcPr>
          <w:p>
            <w:pPr>
              <w:pStyle w:val="TableParagraph"/>
              <w:spacing w:line="252" w:lineRule="exact" w:before="1"/>
              <w:ind w:left="254" w:right="235"/>
              <w:jc w:val="center"/>
              <w:rPr>
                <w:rFonts w:ascii="宋体" w:eastAsia="宋体" w:hint="eastAsia"/>
                <w:sz w:val="21"/>
              </w:rPr>
            </w:pPr>
            <w:r>
              <w:rPr>
                <w:rFonts w:ascii="宋体" w:eastAsia="宋体" w:hint="eastAsia"/>
                <w:sz w:val="21"/>
              </w:rPr>
              <w:t>谭丽霞</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青岛海尔生物医疗股份有限公司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董事长</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6"/>
              <w:rPr>
                <w:rFonts w:ascii="宋体" w:eastAsia="宋体" w:hint="eastAsia"/>
                <w:sz w:val="21"/>
              </w:rPr>
            </w:pPr>
            <w:r>
              <w:rPr>
                <w:sz w:val="21"/>
              </w:rPr>
              <w:t>2018 </w:t>
            </w:r>
            <w:r>
              <w:rPr>
                <w:rFonts w:ascii="宋体" w:eastAsia="宋体" w:hint="eastAsia"/>
                <w:sz w:val="21"/>
              </w:rPr>
              <w:t>年 </w:t>
            </w:r>
            <w:r>
              <w:rPr>
                <w:sz w:val="21"/>
              </w:rPr>
              <w:t>7 </w:t>
            </w:r>
            <w:r>
              <w:rPr>
                <w:rFonts w:ascii="宋体" w:eastAsia="宋体" w:hint="eastAsia"/>
                <w:sz w:val="21"/>
              </w:rPr>
              <w:t>月</w:t>
            </w:r>
          </w:p>
        </w:tc>
        <w:tc>
          <w:tcPr>
            <w:tcW w:w="2127"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1810" w:type="dxa"/>
            <w:tcBorders>
              <w:top w:val="single" w:sz="4" w:space="0" w:color="000000"/>
              <w:bottom w:val="single" w:sz="4" w:space="0" w:color="000000"/>
              <w:right w:val="single" w:sz="4" w:space="0" w:color="000000"/>
            </w:tcBorders>
          </w:tcPr>
          <w:p>
            <w:pPr>
              <w:pStyle w:val="TableParagraph"/>
              <w:spacing w:line="252" w:lineRule="exact" w:before="1"/>
              <w:ind w:left="254" w:right="235"/>
              <w:jc w:val="center"/>
              <w:rPr>
                <w:rFonts w:ascii="宋体" w:eastAsia="宋体" w:hint="eastAsia"/>
                <w:sz w:val="21"/>
              </w:rPr>
            </w:pPr>
            <w:r>
              <w:rPr>
                <w:rFonts w:ascii="宋体" w:eastAsia="宋体" w:hint="eastAsia"/>
                <w:sz w:val="21"/>
              </w:rPr>
              <w:t>李华刚</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青岛海尔文化产业发展有限公司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董事</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27"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1810" w:type="dxa"/>
            <w:tcBorders>
              <w:top w:val="single" w:sz="4" w:space="0" w:color="000000"/>
              <w:bottom w:val="single" w:sz="4" w:space="0" w:color="000000"/>
              <w:right w:val="single" w:sz="4" w:space="0" w:color="000000"/>
            </w:tcBorders>
          </w:tcPr>
          <w:p>
            <w:pPr>
              <w:pStyle w:val="TableParagraph"/>
              <w:spacing w:line="250" w:lineRule="exact" w:before="1"/>
              <w:ind w:left="254" w:right="235"/>
              <w:jc w:val="center"/>
              <w:rPr>
                <w:rFonts w:ascii="宋体" w:eastAsia="宋体" w:hint="eastAsia"/>
                <w:sz w:val="21"/>
              </w:rPr>
            </w:pPr>
            <w:r>
              <w:rPr>
                <w:rFonts w:ascii="宋体" w:eastAsia="宋体" w:hint="eastAsia"/>
                <w:sz w:val="21"/>
              </w:rPr>
              <w:t>戴德明</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rFonts w:ascii="宋体" w:eastAsia="宋体" w:hint="eastAsia"/>
                <w:sz w:val="21"/>
              </w:rPr>
            </w:pPr>
            <w:r>
              <w:rPr>
                <w:rFonts w:ascii="宋体" w:eastAsia="宋体" w:hint="eastAsia"/>
                <w:sz w:val="21"/>
              </w:rPr>
              <w:t>浙商银行股份有限公司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rFonts w:ascii="宋体" w:eastAsia="宋体" w:hint="eastAsia"/>
                <w:sz w:val="21"/>
              </w:rPr>
            </w:pPr>
            <w:r>
              <w:rPr>
                <w:rFonts w:ascii="宋体" w:eastAsia="宋体" w:hint="eastAsia"/>
                <w:sz w:val="21"/>
              </w:rPr>
              <w:t>独立非执行董事</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6"/>
              <w:rPr>
                <w:rFonts w:ascii="宋体" w:eastAsia="宋体" w:hint="eastAsia"/>
                <w:sz w:val="21"/>
              </w:rPr>
            </w:pPr>
            <w:r>
              <w:rPr>
                <w:sz w:val="21"/>
              </w:rPr>
              <w:t>2015 </w:t>
            </w:r>
            <w:r>
              <w:rPr>
                <w:rFonts w:ascii="宋体" w:eastAsia="宋体" w:hint="eastAsia"/>
                <w:sz w:val="21"/>
              </w:rPr>
              <w:t>年 </w:t>
            </w:r>
            <w:r>
              <w:rPr>
                <w:sz w:val="21"/>
              </w:rPr>
              <w:t>3 </w:t>
            </w:r>
            <w:r>
              <w:rPr>
                <w:rFonts w:ascii="宋体" w:eastAsia="宋体" w:hint="eastAsia"/>
                <w:sz w:val="21"/>
              </w:rPr>
              <w:t>月</w:t>
            </w:r>
          </w:p>
        </w:tc>
        <w:tc>
          <w:tcPr>
            <w:tcW w:w="2127"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1810" w:type="dxa"/>
            <w:tcBorders>
              <w:top w:val="single" w:sz="4" w:space="0" w:color="000000"/>
              <w:bottom w:val="single" w:sz="4" w:space="0" w:color="000000"/>
              <w:right w:val="single" w:sz="4" w:space="0" w:color="000000"/>
            </w:tcBorders>
          </w:tcPr>
          <w:p>
            <w:pPr>
              <w:pStyle w:val="TableParagraph"/>
              <w:spacing w:line="252" w:lineRule="exact" w:before="1"/>
              <w:ind w:left="254" w:right="235"/>
              <w:jc w:val="center"/>
              <w:rPr>
                <w:rFonts w:ascii="宋体" w:eastAsia="宋体" w:hint="eastAsia"/>
                <w:sz w:val="21"/>
              </w:rPr>
            </w:pPr>
            <w:r>
              <w:rPr>
                <w:rFonts w:ascii="宋体" w:eastAsia="宋体" w:hint="eastAsia"/>
                <w:sz w:val="21"/>
              </w:rPr>
              <w:t>戴德明</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中银航空租赁有限公司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独立非执行董事</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6"/>
              <w:rPr>
                <w:rFonts w:ascii="宋体" w:eastAsia="宋体" w:hint="eastAsia"/>
                <w:sz w:val="21"/>
              </w:rPr>
            </w:pPr>
            <w:r>
              <w:rPr>
                <w:sz w:val="21"/>
              </w:rPr>
              <w:t>2016 </w:t>
            </w:r>
            <w:r>
              <w:rPr>
                <w:rFonts w:ascii="宋体" w:eastAsia="宋体" w:hint="eastAsia"/>
                <w:sz w:val="21"/>
              </w:rPr>
              <w:t>年 </w:t>
            </w:r>
            <w:r>
              <w:rPr>
                <w:sz w:val="21"/>
              </w:rPr>
              <w:t>5 </w:t>
            </w:r>
            <w:r>
              <w:rPr>
                <w:rFonts w:ascii="宋体" w:eastAsia="宋体" w:hint="eastAsia"/>
                <w:sz w:val="21"/>
              </w:rPr>
              <w:t>月</w:t>
            </w:r>
          </w:p>
        </w:tc>
        <w:tc>
          <w:tcPr>
            <w:tcW w:w="2127"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1810" w:type="dxa"/>
            <w:tcBorders>
              <w:top w:val="single" w:sz="4" w:space="0" w:color="000000"/>
              <w:bottom w:val="single" w:sz="4" w:space="0" w:color="000000"/>
              <w:right w:val="single" w:sz="4" w:space="0" w:color="000000"/>
            </w:tcBorders>
          </w:tcPr>
          <w:p>
            <w:pPr>
              <w:pStyle w:val="TableParagraph"/>
              <w:spacing w:line="252" w:lineRule="exact" w:before="1"/>
              <w:ind w:left="254" w:right="235"/>
              <w:jc w:val="center"/>
              <w:rPr>
                <w:rFonts w:ascii="宋体" w:eastAsia="宋体" w:hint="eastAsia"/>
                <w:sz w:val="21"/>
              </w:rPr>
            </w:pPr>
            <w:r>
              <w:rPr>
                <w:rFonts w:ascii="宋体" w:eastAsia="宋体" w:hint="eastAsia"/>
                <w:sz w:val="21"/>
              </w:rPr>
              <w:t>戴德明</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中信建投证券股份有限公司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独立非执行董事</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6"/>
              <w:rPr>
                <w:rFonts w:ascii="宋体" w:eastAsia="宋体" w:hint="eastAsia"/>
                <w:sz w:val="21"/>
              </w:rPr>
            </w:pPr>
            <w:r>
              <w:rPr>
                <w:sz w:val="21"/>
              </w:rPr>
              <w:t>2016 </w:t>
            </w:r>
            <w:r>
              <w:rPr>
                <w:rFonts w:ascii="宋体" w:eastAsia="宋体" w:hint="eastAsia"/>
                <w:sz w:val="21"/>
              </w:rPr>
              <w:t>年 </w:t>
            </w:r>
            <w:r>
              <w:rPr>
                <w:sz w:val="21"/>
              </w:rPr>
              <w:t>8 </w:t>
            </w:r>
            <w:r>
              <w:rPr>
                <w:rFonts w:ascii="宋体" w:eastAsia="宋体" w:hint="eastAsia"/>
                <w:sz w:val="21"/>
              </w:rPr>
              <w:t>月</w:t>
            </w:r>
          </w:p>
        </w:tc>
        <w:tc>
          <w:tcPr>
            <w:tcW w:w="2127"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1810" w:type="dxa"/>
            <w:tcBorders>
              <w:top w:val="single" w:sz="4" w:space="0" w:color="000000"/>
              <w:bottom w:val="single" w:sz="4" w:space="0" w:color="000000"/>
              <w:right w:val="single" w:sz="4" w:space="0" w:color="000000"/>
            </w:tcBorders>
          </w:tcPr>
          <w:p>
            <w:pPr>
              <w:pStyle w:val="TableParagraph"/>
              <w:spacing w:line="250" w:lineRule="exact" w:before="1"/>
              <w:ind w:left="254" w:right="235"/>
              <w:jc w:val="center"/>
              <w:rPr>
                <w:rFonts w:ascii="宋体" w:eastAsia="宋体" w:hint="eastAsia"/>
                <w:sz w:val="21"/>
              </w:rPr>
            </w:pPr>
            <w:r>
              <w:rPr>
                <w:rFonts w:ascii="宋体" w:eastAsia="宋体" w:hint="eastAsia"/>
                <w:sz w:val="21"/>
              </w:rPr>
              <w:t>戴德明</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rFonts w:ascii="宋体" w:eastAsia="宋体" w:hint="eastAsia"/>
                <w:sz w:val="21"/>
              </w:rPr>
            </w:pPr>
            <w:r>
              <w:rPr>
                <w:rFonts w:ascii="宋体" w:eastAsia="宋体" w:hint="eastAsia"/>
                <w:sz w:val="21"/>
              </w:rPr>
              <w:t>中国电力建设股份有限公司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rFonts w:ascii="宋体" w:eastAsia="宋体" w:hint="eastAsia"/>
                <w:sz w:val="21"/>
              </w:rPr>
            </w:pPr>
            <w:r>
              <w:rPr>
                <w:rFonts w:ascii="宋体" w:eastAsia="宋体" w:hint="eastAsia"/>
                <w:sz w:val="21"/>
              </w:rPr>
              <w:t>独立非执行董事</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6"/>
              <w:rPr>
                <w:rFonts w:ascii="宋体" w:eastAsia="宋体" w:hint="eastAsia"/>
                <w:sz w:val="21"/>
              </w:rPr>
            </w:pPr>
            <w:r>
              <w:rPr>
                <w:sz w:val="21"/>
              </w:rPr>
              <w:t>2018 </w:t>
            </w:r>
            <w:r>
              <w:rPr>
                <w:rFonts w:ascii="宋体" w:eastAsia="宋体" w:hint="eastAsia"/>
                <w:sz w:val="21"/>
              </w:rPr>
              <w:t>年 </w:t>
            </w:r>
            <w:r>
              <w:rPr>
                <w:sz w:val="21"/>
              </w:rPr>
              <w:t>3 </w:t>
            </w:r>
            <w:r>
              <w:rPr>
                <w:rFonts w:ascii="宋体" w:eastAsia="宋体" w:hint="eastAsia"/>
                <w:sz w:val="21"/>
              </w:rPr>
              <w:t>月</w:t>
            </w:r>
          </w:p>
        </w:tc>
        <w:tc>
          <w:tcPr>
            <w:tcW w:w="2127"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1810" w:type="dxa"/>
            <w:tcBorders>
              <w:top w:val="single" w:sz="4" w:space="0" w:color="000000"/>
              <w:bottom w:val="single" w:sz="4" w:space="0" w:color="000000"/>
              <w:right w:val="single" w:sz="4" w:space="0" w:color="000000"/>
            </w:tcBorders>
          </w:tcPr>
          <w:p>
            <w:pPr>
              <w:pStyle w:val="TableParagraph"/>
              <w:spacing w:line="252" w:lineRule="exact" w:before="1"/>
              <w:ind w:left="254" w:right="235"/>
              <w:jc w:val="center"/>
              <w:rPr>
                <w:rFonts w:ascii="宋体" w:eastAsia="宋体" w:hint="eastAsia"/>
                <w:sz w:val="21"/>
              </w:rPr>
            </w:pPr>
            <w:r>
              <w:rPr>
                <w:rFonts w:ascii="宋体" w:eastAsia="宋体" w:hint="eastAsia"/>
                <w:sz w:val="21"/>
              </w:rPr>
              <w:t>戴德明</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中国保利发展股份有限公司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独立非执行董事</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6"/>
              <w:rPr>
                <w:rFonts w:ascii="宋体" w:eastAsia="宋体" w:hint="eastAsia"/>
                <w:sz w:val="21"/>
              </w:rPr>
            </w:pPr>
            <w:r>
              <w:rPr>
                <w:sz w:val="21"/>
              </w:rPr>
              <w:t>2018 </w:t>
            </w:r>
            <w:r>
              <w:rPr>
                <w:rFonts w:ascii="宋体" w:eastAsia="宋体" w:hint="eastAsia"/>
                <w:sz w:val="21"/>
              </w:rPr>
              <w:t>年 </w:t>
            </w:r>
            <w:r>
              <w:rPr>
                <w:sz w:val="21"/>
              </w:rPr>
              <w:t>9 </w:t>
            </w:r>
            <w:r>
              <w:rPr>
                <w:rFonts w:ascii="宋体" w:eastAsia="宋体" w:hint="eastAsia"/>
                <w:sz w:val="21"/>
              </w:rPr>
              <w:t>月</w:t>
            </w:r>
          </w:p>
        </w:tc>
        <w:tc>
          <w:tcPr>
            <w:tcW w:w="2127"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1810" w:type="dxa"/>
            <w:tcBorders>
              <w:top w:val="single" w:sz="4" w:space="0" w:color="000000"/>
              <w:bottom w:val="single" w:sz="4" w:space="0" w:color="000000"/>
              <w:right w:val="single" w:sz="4" w:space="0" w:color="000000"/>
            </w:tcBorders>
          </w:tcPr>
          <w:p>
            <w:pPr>
              <w:pStyle w:val="TableParagraph"/>
              <w:spacing w:line="250" w:lineRule="exact" w:before="1"/>
              <w:ind w:left="254" w:right="235"/>
              <w:jc w:val="center"/>
              <w:rPr>
                <w:rFonts w:ascii="宋体" w:eastAsia="宋体" w:hint="eastAsia"/>
                <w:sz w:val="21"/>
              </w:rPr>
            </w:pPr>
            <w:r>
              <w:rPr>
                <w:rFonts w:ascii="宋体" w:eastAsia="宋体" w:hint="eastAsia"/>
                <w:sz w:val="21"/>
              </w:rPr>
              <w:t>王克勤</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rFonts w:ascii="宋体" w:eastAsia="宋体" w:hint="eastAsia"/>
                <w:sz w:val="21"/>
              </w:rPr>
            </w:pPr>
            <w:r>
              <w:rPr>
                <w:rFonts w:ascii="宋体" w:eastAsia="宋体" w:hint="eastAsia"/>
                <w:sz w:val="21"/>
              </w:rPr>
              <w:t>裕元工业（集团）有限公司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rFonts w:ascii="宋体" w:eastAsia="宋体" w:hint="eastAsia"/>
                <w:sz w:val="21"/>
              </w:rPr>
            </w:pPr>
            <w:r>
              <w:rPr>
                <w:rFonts w:ascii="宋体" w:eastAsia="宋体" w:hint="eastAsia"/>
                <w:sz w:val="21"/>
              </w:rPr>
              <w:t>独立董事</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6"/>
              <w:rPr>
                <w:rFonts w:ascii="宋体" w:eastAsia="宋体" w:hint="eastAsia"/>
                <w:sz w:val="21"/>
              </w:rPr>
            </w:pPr>
            <w:r>
              <w:rPr>
                <w:sz w:val="21"/>
              </w:rPr>
              <w:t>2018 </w:t>
            </w:r>
            <w:r>
              <w:rPr>
                <w:rFonts w:ascii="宋体" w:eastAsia="宋体" w:hint="eastAsia"/>
                <w:sz w:val="21"/>
              </w:rPr>
              <w:t>年 </w:t>
            </w:r>
            <w:r>
              <w:rPr>
                <w:sz w:val="21"/>
              </w:rPr>
              <w:t>6 </w:t>
            </w:r>
            <w:r>
              <w:rPr>
                <w:rFonts w:ascii="宋体" w:eastAsia="宋体" w:hint="eastAsia"/>
                <w:sz w:val="21"/>
              </w:rPr>
              <w:t>月</w:t>
            </w:r>
          </w:p>
        </w:tc>
        <w:tc>
          <w:tcPr>
            <w:tcW w:w="2127"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1810" w:type="dxa"/>
            <w:tcBorders>
              <w:top w:val="single" w:sz="4" w:space="0" w:color="000000"/>
              <w:bottom w:val="single" w:sz="4" w:space="0" w:color="000000"/>
              <w:right w:val="single" w:sz="4" w:space="0" w:color="000000"/>
            </w:tcBorders>
          </w:tcPr>
          <w:p>
            <w:pPr>
              <w:pStyle w:val="TableParagraph"/>
              <w:spacing w:line="250" w:lineRule="exact" w:before="3"/>
              <w:ind w:left="254" w:right="235"/>
              <w:jc w:val="center"/>
              <w:rPr>
                <w:rFonts w:ascii="宋体" w:eastAsia="宋体" w:hint="eastAsia"/>
                <w:sz w:val="21"/>
              </w:rPr>
            </w:pPr>
            <w:r>
              <w:rPr>
                <w:rFonts w:ascii="宋体" w:eastAsia="宋体" w:hint="eastAsia"/>
                <w:sz w:val="21"/>
              </w:rPr>
              <w:t>王克勤</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left="117"/>
              <w:rPr>
                <w:rFonts w:ascii="宋体" w:eastAsia="宋体" w:hint="eastAsia"/>
                <w:sz w:val="21"/>
              </w:rPr>
            </w:pPr>
            <w:r>
              <w:rPr>
                <w:rFonts w:ascii="宋体" w:eastAsia="宋体" w:hint="eastAsia"/>
                <w:sz w:val="21"/>
              </w:rPr>
              <w:t>龙记（百慕达）集团有限公司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left="117"/>
              <w:rPr>
                <w:rFonts w:ascii="宋体" w:eastAsia="宋体" w:hint="eastAsia"/>
                <w:sz w:val="21"/>
              </w:rPr>
            </w:pPr>
            <w:r>
              <w:rPr>
                <w:rFonts w:ascii="宋体" w:eastAsia="宋体" w:hint="eastAsia"/>
                <w:sz w:val="21"/>
              </w:rPr>
              <w:t>独立董事</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left="116"/>
              <w:rPr>
                <w:rFonts w:ascii="宋体" w:eastAsia="宋体" w:hint="eastAsia"/>
                <w:sz w:val="21"/>
              </w:rPr>
            </w:pPr>
            <w:r>
              <w:rPr>
                <w:sz w:val="21"/>
              </w:rPr>
              <w:t>2018 </w:t>
            </w:r>
            <w:r>
              <w:rPr>
                <w:rFonts w:ascii="宋体" w:eastAsia="宋体" w:hint="eastAsia"/>
                <w:sz w:val="21"/>
              </w:rPr>
              <w:t>年 </w:t>
            </w:r>
            <w:r>
              <w:rPr>
                <w:sz w:val="21"/>
              </w:rPr>
              <w:t>6 </w:t>
            </w:r>
            <w:r>
              <w:rPr>
                <w:rFonts w:ascii="宋体" w:eastAsia="宋体" w:hint="eastAsia"/>
                <w:sz w:val="21"/>
              </w:rPr>
              <w:t>月</w:t>
            </w:r>
          </w:p>
        </w:tc>
        <w:tc>
          <w:tcPr>
            <w:tcW w:w="2127"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1810" w:type="dxa"/>
            <w:tcBorders>
              <w:top w:val="single" w:sz="4" w:space="0" w:color="000000"/>
              <w:bottom w:val="single" w:sz="4" w:space="0" w:color="000000"/>
              <w:right w:val="single" w:sz="4" w:space="0" w:color="000000"/>
            </w:tcBorders>
          </w:tcPr>
          <w:p>
            <w:pPr>
              <w:pStyle w:val="TableParagraph"/>
              <w:spacing w:line="252" w:lineRule="exact" w:before="1"/>
              <w:ind w:left="254" w:right="235"/>
              <w:jc w:val="center"/>
              <w:rPr>
                <w:rFonts w:ascii="宋体" w:eastAsia="宋体" w:hint="eastAsia"/>
                <w:sz w:val="21"/>
              </w:rPr>
            </w:pPr>
            <w:r>
              <w:rPr>
                <w:rFonts w:ascii="宋体" w:eastAsia="宋体" w:hint="eastAsia"/>
                <w:sz w:val="21"/>
              </w:rPr>
              <w:t>王克勤</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浙江苍南仪表集团股份有限公司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独立董事</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6"/>
              <w:rPr>
                <w:rFonts w:ascii="宋体" w:eastAsia="宋体" w:hint="eastAsia"/>
                <w:sz w:val="21"/>
              </w:rPr>
            </w:pPr>
            <w:r>
              <w:rPr>
                <w:sz w:val="21"/>
              </w:rPr>
              <w:t>2018 </w:t>
            </w:r>
            <w:r>
              <w:rPr>
                <w:rFonts w:ascii="宋体" w:eastAsia="宋体" w:hint="eastAsia"/>
                <w:sz w:val="21"/>
              </w:rPr>
              <w:t>年 </w:t>
            </w:r>
            <w:r>
              <w:rPr>
                <w:sz w:val="21"/>
              </w:rPr>
              <w:t>6 </w:t>
            </w:r>
            <w:r>
              <w:rPr>
                <w:rFonts w:ascii="宋体" w:eastAsia="宋体" w:hint="eastAsia"/>
                <w:sz w:val="21"/>
              </w:rPr>
              <w:t>月</w:t>
            </w:r>
          </w:p>
        </w:tc>
        <w:tc>
          <w:tcPr>
            <w:tcW w:w="2127"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1810" w:type="dxa"/>
            <w:tcBorders>
              <w:top w:val="single" w:sz="4" w:space="0" w:color="000000"/>
              <w:bottom w:val="single" w:sz="4" w:space="0" w:color="000000"/>
              <w:right w:val="single" w:sz="4" w:space="0" w:color="000000"/>
            </w:tcBorders>
          </w:tcPr>
          <w:p>
            <w:pPr>
              <w:pStyle w:val="TableParagraph"/>
              <w:spacing w:line="250" w:lineRule="exact" w:before="1"/>
              <w:ind w:left="254" w:right="235"/>
              <w:jc w:val="center"/>
              <w:rPr>
                <w:rFonts w:ascii="宋体" w:eastAsia="宋体" w:hint="eastAsia"/>
                <w:sz w:val="21"/>
              </w:rPr>
            </w:pPr>
            <w:r>
              <w:rPr>
                <w:rFonts w:ascii="宋体" w:eastAsia="宋体" w:hint="eastAsia"/>
                <w:sz w:val="21"/>
              </w:rPr>
              <w:t>王克勤</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rFonts w:ascii="宋体" w:eastAsia="宋体" w:hint="eastAsia"/>
                <w:sz w:val="21"/>
              </w:rPr>
            </w:pPr>
            <w:r>
              <w:rPr>
                <w:rFonts w:ascii="宋体" w:eastAsia="宋体" w:hint="eastAsia"/>
                <w:sz w:val="21"/>
              </w:rPr>
              <w:t>广州汽车集团股份有限公司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rFonts w:ascii="宋体" w:eastAsia="宋体" w:hint="eastAsia"/>
                <w:sz w:val="21"/>
              </w:rPr>
            </w:pPr>
            <w:r>
              <w:rPr>
                <w:rFonts w:ascii="宋体" w:eastAsia="宋体" w:hint="eastAsia"/>
                <w:sz w:val="21"/>
              </w:rPr>
              <w:t>独立董事</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6"/>
              <w:rPr>
                <w:rFonts w:ascii="宋体" w:eastAsia="宋体" w:hint="eastAsia"/>
                <w:sz w:val="21"/>
              </w:rPr>
            </w:pPr>
            <w:r>
              <w:rPr>
                <w:sz w:val="21"/>
              </w:rPr>
              <w:t>2020 </w:t>
            </w:r>
            <w:r>
              <w:rPr>
                <w:rFonts w:ascii="宋体" w:eastAsia="宋体" w:hint="eastAsia"/>
                <w:sz w:val="21"/>
              </w:rPr>
              <w:t>年 </w:t>
            </w:r>
            <w:r>
              <w:rPr>
                <w:sz w:val="21"/>
              </w:rPr>
              <w:t>5 </w:t>
            </w:r>
            <w:r>
              <w:rPr>
                <w:rFonts w:ascii="宋体" w:eastAsia="宋体" w:hint="eastAsia"/>
                <w:sz w:val="21"/>
              </w:rPr>
              <w:t>月</w:t>
            </w:r>
          </w:p>
        </w:tc>
        <w:tc>
          <w:tcPr>
            <w:tcW w:w="2127"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1810" w:type="dxa"/>
            <w:tcBorders>
              <w:top w:val="single" w:sz="4" w:space="0" w:color="000000"/>
              <w:bottom w:val="single" w:sz="4" w:space="0" w:color="000000"/>
              <w:right w:val="single" w:sz="4" w:space="0" w:color="000000"/>
            </w:tcBorders>
          </w:tcPr>
          <w:p>
            <w:pPr>
              <w:pStyle w:val="TableParagraph"/>
              <w:spacing w:line="250" w:lineRule="exact" w:before="3"/>
              <w:ind w:left="254" w:right="235"/>
              <w:jc w:val="center"/>
              <w:rPr>
                <w:rFonts w:ascii="宋体" w:eastAsia="宋体" w:hint="eastAsia"/>
                <w:sz w:val="21"/>
              </w:rPr>
            </w:pPr>
            <w:r>
              <w:rPr>
                <w:rFonts w:ascii="宋体" w:eastAsia="宋体" w:hint="eastAsia"/>
                <w:sz w:val="21"/>
              </w:rPr>
              <w:t>武常岐</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left="117"/>
              <w:rPr>
                <w:rFonts w:ascii="宋体" w:eastAsia="宋体" w:hint="eastAsia"/>
                <w:sz w:val="21"/>
              </w:rPr>
            </w:pPr>
            <w:r>
              <w:rPr>
                <w:rFonts w:ascii="宋体" w:eastAsia="宋体" w:hint="eastAsia"/>
                <w:sz w:val="21"/>
              </w:rPr>
              <w:t>北京大学</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left="117"/>
              <w:rPr>
                <w:rFonts w:ascii="宋体" w:eastAsia="宋体" w:hint="eastAsia"/>
                <w:sz w:val="21"/>
              </w:rPr>
            </w:pPr>
            <w:r>
              <w:rPr>
                <w:rFonts w:ascii="宋体" w:eastAsia="宋体" w:hint="eastAsia"/>
                <w:sz w:val="21"/>
              </w:rPr>
              <w:t>教授</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27"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1810" w:type="dxa"/>
            <w:tcBorders>
              <w:top w:val="single" w:sz="4" w:space="0" w:color="000000"/>
              <w:bottom w:val="single" w:sz="4" w:space="0" w:color="000000"/>
              <w:right w:val="single" w:sz="4" w:space="0" w:color="000000"/>
            </w:tcBorders>
          </w:tcPr>
          <w:p>
            <w:pPr>
              <w:pStyle w:val="TableParagraph"/>
              <w:spacing w:line="252" w:lineRule="exact" w:before="1"/>
              <w:ind w:left="254" w:right="235"/>
              <w:jc w:val="center"/>
              <w:rPr>
                <w:rFonts w:ascii="宋体" w:eastAsia="宋体" w:hint="eastAsia"/>
                <w:sz w:val="21"/>
              </w:rPr>
            </w:pPr>
            <w:r>
              <w:rPr>
                <w:rFonts w:ascii="宋体" w:eastAsia="宋体" w:hint="eastAsia"/>
                <w:sz w:val="21"/>
              </w:rPr>
              <w:t>武常岐</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华夏银行股份有限公司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监事</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6"/>
              <w:rPr>
                <w:rFonts w:ascii="宋体" w:eastAsia="宋体" w:hint="eastAsia"/>
                <w:sz w:val="21"/>
              </w:rPr>
            </w:pPr>
            <w:r>
              <w:rPr>
                <w:sz w:val="21"/>
              </w:rPr>
              <w:t>2015 </w:t>
            </w:r>
            <w:r>
              <w:rPr>
                <w:rFonts w:ascii="宋体" w:eastAsia="宋体" w:hint="eastAsia"/>
                <w:sz w:val="21"/>
              </w:rPr>
              <w:t>年 </w:t>
            </w:r>
            <w:r>
              <w:rPr>
                <w:sz w:val="21"/>
              </w:rPr>
              <w:t>5 </w:t>
            </w:r>
            <w:r>
              <w:rPr>
                <w:rFonts w:ascii="宋体" w:eastAsia="宋体" w:hint="eastAsia"/>
                <w:sz w:val="21"/>
              </w:rPr>
              <w:t>月 </w:t>
            </w:r>
            <w:r>
              <w:rPr>
                <w:sz w:val="21"/>
              </w:rPr>
              <w:t>12 </w:t>
            </w:r>
            <w:r>
              <w:rPr>
                <w:rFonts w:ascii="宋体" w:eastAsia="宋体" w:hint="eastAsia"/>
                <w:sz w:val="21"/>
              </w:rPr>
              <w:t>日</w:t>
            </w:r>
          </w:p>
        </w:tc>
        <w:tc>
          <w:tcPr>
            <w:tcW w:w="2127" w:type="dxa"/>
            <w:tcBorders>
              <w:top w:val="single" w:sz="4" w:space="0" w:color="000000"/>
              <w:left w:val="single" w:sz="4" w:space="0" w:color="000000"/>
              <w:bottom w:val="single" w:sz="4" w:space="0" w:color="000000"/>
            </w:tcBorders>
          </w:tcPr>
          <w:p>
            <w:pPr>
              <w:pStyle w:val="TableParagraph"/>
              <w:spacing w:line="252" w:lineRule="exact" w:before="1"/>
              <w:ind w:left="117"/>
              <w:rPr>
                <w:rFonts w:ascii="宋体" w:eastAsia="宋体" w:hint="eastAsia"/>
                <w:sz w:val="21"/>
              </w:rPr>
            </w:pPr>
            <w:r>
              <w:rPr>
                <w:sz w:val="21"/>
              </w:rPr>
              <w:t>2021 </w:t>
            </w:r>
            <w:r>
              <w:rPr>
                <w:rFonts w:ascii="宋体" w:eastAsia="宋体" w:hint="eastAsia"/>
                <w:sz w:val="21"/>
              </w:rPr>
              <w:t>年 </w:t>
            </w:r>
            <w:r>
              <w:rPr>
                <w:sz w:val="21"/>
              </w:rPr>
              <w:t>5 </w:t>
            </w:r>
            <w:r>
              <w:rPr>
                <w:rFonts w:ascii="宋体" w:eastAsia="宋体" w:hint="eastAsia"/>
                <w:sz w:val="21"/>
              </w:rPr>
              <w:t>月 </w:t>
            </w:r>
            <w:r>
              <w:rPr>
                <w:sz w:val="21"/>
              </w:rPr>
              <w:t>12 </w:t>
            </w:r>
            <w:r>
              <w:rPr>
                <w:rFonts w:ascii="宋体" w:eastAsia="宋体" w:hint="eastAsia"/>
                <w:sz w:val="21"/>
              </w:rPr>
              <w:t>日</w:t>
            </w:r>
          </w:p>
        </w:tc>
      </w:tr>
      <w:tr>
        <w:trPr>
          <w:trHeight w:val="270" w:hRule="atLeast"/>
        </w:trPr>
        <w:tc>
          <w:tcPr>
            <w:tcW w:w="1810" w:type="dxa"/>
            <w:tcBorders>
              <w:top w:val="single" w:sz="4" w:space="0" w:color="000000"/>
              <w:bottom w:val="single" w:sz="4" w:space="0" w:color="000000"/>
              <w:right w:val="single" w:sz="4" w:space="0" w:color="000000"/>
            </w:tcBorders>
          </w:tcPr>
          <w:p>
            <w:pPr>
              <w:pStyle w:val="TableParagraph"/>
              <w:spacing w:line="250" w:lineRule="exact" w:before="1"/>
              <w:ind w:left="254" w:right="235"/>
              <w:jc w:val="center"/>
              <w:rPr>
                <w:rFonts w:ascii="宋体" w:eastAsia="宋体" w:hint="eastAsia"/>
                <w:sz w:val="21"/>
              </w:rPr>
            </w:pPr>
            <w:r>
              <w:rPr>
                <w:rFonts w:ascii="宋体" w:eastAsia="宋体" w:hint="eastAsia"/>
                <w:sz w:val="21"/>
              </w:rPr>
              <w:t>武常岐</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rFonts w:ascii="宋体" w:eastAsia="宋体" w:hint="eastAsia"/>
                <w:sz w:val="21"/>
              </w:rPr>
            </w:pPr>
            <w:r>
              <w:rPr>
                <w:rFonts w:ascii="宋体" w:eastAsia="宋体" w:hint="eastAsia"/>
                <w:sz w:val="21"/>
              </w:rPr>
              <w:t>亿嘉和科技股份有限公司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rFonts w:ascii="宋体" w:eastAsia="宋体" w:hint="eastAsia"/>
                <w:sz w:val="21"/>
              </w:rPr>
            </w:pPr>
            <w:r>
              <w:rPr>
                <w:rFonts w:ascii="宋体" w:eastAsia="宋体" w:hint="eastAsia"/>
                <w:sz w:val="21"/>
              </w:rPr>
              <w:t>独立董事</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6"/>
              <w:rPr>
                <w:rFonts w:ascii="宋体" w:eastAsia="宋体" w:hint="eastAsia"/>
                <w:sz w:val="21"/>
              </w:rPr>
            </w:pPr>
            <w:r>
              <w:rPr>
                <w:sz w:val="21"/>
              </w:rPr>
              <w:t>2018 </w:t>
            </w:r>
            <w:r>
              <w:rPr>
                <w:rFonts w:ascii="宋体" w:eastAsia="宋体" w:hint="eastAsia"/>
                <w:sz w:val="21"/>
              </w:rPr>
              <w:t>年 </w:t>
            </w:r>
            <w:r>
              <w:rPr>
                <w:sz w:val="21"/>
              </w:rPr>
              <w:t>8 </w:t>
            </w:r>
            <w:r>
              <w:rPr>
                <w:rFonts w:ascii="宋体" w:eastAsia="宋体" w:hint="eastAsia"/>
                <w:sz w:val="21"/>
              </w:rPr>
              <w:t>月 </w:t>
            </w:r>
            <w:r>
              <w:rPr>
                <w:sz w:val="21"/>
              </w:rPr>
              <w:t>24 </w:t>
            </w:r>
            <w:r>
              <w:rPr>
                <w:rFonts w:ascii="宋体" w:eastAsia="宋体" w:hint="eastAsia"/>
                <w:sz w:val="21"/>
              </w:rPr>
              <w:t>日</w:t>
            </w:r>
          </w:p>
        </w:tc>
        <w:tc>
          <w:tcPr>
            <w:tcW w:w="2127" w:type="dxa"/>
            <w:tcBorders>
              <w:top w:val="single" w:sz="4" w:space="0" w:color="000000"/>
              <w:left w:val="single" w:sz="4" w:space="0" w:color="000000"/>
              <w:bottom w:val="single" w:sz="4" w:space="0" w:color="000000"/>
            </w:tcBorders>
          </w:tcPr>
          <w:p>
            <w:pPr>
              <w:pStyle w:val="TableParagraph"/>
              <w:spacing w:line="250" w:lineRule="exact" w:before="1"/>
              <w:ind w:left="117"/>
              <w:rPr>
                <w:rFonts w:ascii="宋体" w:eastAsia="宋体" w:hint="eastAsia"/>
                <w:sz w:val="21"/>
              </w:rPr>
            </w:pPr>
            <w:r>
              <w:rPr>
                <w:sz w:val="21"/>
              </w:rPr>
              <w:t>2021 </w:t>
            </w:r>
            <w:r>
              <w:rPr>
                <w:rFonts w:ascii="宋体" w:eastAsia="宋体" w:hint="eastAsia"/>
                <w:sz w:val="21"/>
              </w:rPr>
              <w:t>年 </w:t>
            </w:r>
            <w:r>
              <w:rPr>
                <w:sz w:val="21"/>
              </w:rPr>
              <w:t>8 </w:t>
            </w:r>
            <w:r>
              <w:rPr>
                <w:rFonts w:ascii="宋体" w:eastAsia="宋体" w:hint="eastAsia"/>
                <w:sz w:val="21"/>
              </w:rPr>
              <w:t>月 </w:t>
            </w:r>
            <w:r>
              <w:rPr>
                <w:sz w:val="21"/>
              </w:rPr>
              <w:t>24 </w:t>
            </w:r>
            <w:r>
              <w:rPr>
                <w:rFonts w:ascii="宋体" w:eastAsia="宋体" w:hint="eastAsia"/>
                <w:sz w:val="21"/>
              </w:rPr>
              <w:t>日</w:t>
            </w:r>
          </w:p>
        </w:tc>
      </w:tr>
      <w:tr>
        <w:trPr>
          <w:trHeight w:val="273" w:hRule="atLeast"/>
        </w:trPr>
        <w:tc>
          <w:tcPr>
            <w:tcW w:w="1810" w:type="dxa"/>
            <w:tcBorders>
              <w:top w:val="single" w:sz="4" w:space="0" w:color="000000"/>
              <w:bottom w:val="single" w:sz="4" w:space="0" w:color="000000"/>
              <w:right w:val="single" w:sz="4" w:space="0" w:color="000000"/>
            </w:tcBorders>
          </w:tcPr>
          <w:p>
            <w:pPr>
              <w:pStyle w:val="TableParagraph"/>
              <w:spacing w:line="252" w:lineRule="exact" w:before="1"/>
              <w:ind w:left="254" w:right="235"/>
              <w:jc w:val="center"/>
              <w:rPr>
                <w:rFonts w:ascii="宋体" w:eastAsia="宋体" w:hint="eastAsia"/>
                <w:sz w:val="21"/>
              </w:rPr>
            </w:pPr>
            <w:r>
              <w:rPr>
                <w:rFonts w:ascii="宋体" w:eastAsia="宋体" w:hint="eastAsia"/>
                <w:sz w:val="21"/>
              </w:rPr>
              <w:t>武常岐</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山东大学</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管理学院院长</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6"/>
              <w:rPr>
                <w:rFonts w:ascii="宋体" w:eastAsia="宋体" w:hint="eastAsia"/>
                <w:sz w:val="21"/>
              </w:rPr>
            </w:pPr>
            <w:r>
              <w:rPr>
                <w:sz w:val="21"/>
              </w:rPr>
              <w:t>2019 </w:t>
            </w:r>
            <w:r>
              <w:rPr>
                <w:rFonts w:ascii="宋体" w:eastAsia="宋体" w:hint="eastAsia"/>
                <w:sz w:val="21"/>
              </w:rPr>
              <w:t>年 </w:t>
            </w:r>
            <w:r>
              <w:rPr>
                <w:sz w:val="21"/>
              </w:rPr>
              <w:t>10 </w:t>
            </w:r>
            <w:r>
              <w:rPr>
                <w:rFonts w:ascii="宋体" w:eastAsia="宋体" w:hint="eastAsia"/>
                <w:sz w:val="21"/>
              </w:rPr>
              <w:t>月</w:t>
            </w:r>
          </w:p>
        </w:tc>
        <w:tc>
          <w:tcPr>
            <w:tcW w:w="2127"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1810" w:type="dxa"/>
            <w:tcBorders>
              <w:top w:val="single" w:sz="4" w:space="0" w:color="000000"/>
              <w:right w:val="single" w:sz="4" w:space="0" w:color="000000"/>
            </w:tcBorders>
          </w:tcPr>
          <w:p>
            <w:pPr>
              <w:pStyle w:val="TableParagraph"/>
              <w:spacing w:line="249" w:lineRule="exact" w:before="1"/>
              <w:ind w:left="254" w:right="235"/>
              <w:jc w:val="center"/>
              <w:rPr>
                <w:rFonts w:ascii="宋体" w:eastAsia="宋体" w:hint="eastAsia"/>
                <w:sz w:val="21"/>
              </w:rPr>
            </w:pPr>
            <w:r>
              <w:rPr>
                <w:rFonts w:ascii="宋体" w:eastAsia="宋体" w:hint="eastAsia"/>
                <w:sz w:val="21"/>
              </w:rPr>
              <w:t>施天涛</w:t>
            </w:r>
          </w:p>
        </w:tc>
        <w:tc>
          <w:tcPr>
            <w:tcW w:w="4537" w:type="dxa"/>
            <w:tcBorders>
              <w:top w:val="single" w:sz="4" w:space="0" w:color="000000"/>
              <w:left w:val="single" w:sz="4" w:space="0" w:color="000000"/>
              <w:right w:val="single" w:sz="4" w:space="0" w:color="000000"/>
            </w:tcBorders>
          </w:tcPr>
          <w:p>
            <w:pPr>
              <w:pStyle w:val="TableParagraph"/>
              <w:spacing w:line="249" w:lineRule="exact" w:before="1"/>
              <w:ind w:left="117"/>
              <w:rPr>
                <w:rFonts w:ascii="宋体" w:eastAsia="宋体" w:hint="eastAsia"/>
                <w:sz w:val="21"/>
              </w:rPr>
            </w:pPr>
            <w:r>
              <w:rPr>
                <w:rFonts w:ascii="宋体" w:eastAsia="宋体" w:hint="eastAsia"/>
                <w:sz w:val="21"/>
              </w:rPr>
              <w:t>清华大学</w:t>
            </w:r>
          </w:p>
        </w:tc>
        <w:tc>
          <w:tcPr>
            <w:tcW w:w="2127" w:type="dxa"/>
            <w:tcBorders>
              <w:top w:val="single" w:sz="4" w:space="0" w:color="000000"/>
              <w:left w:val="single" w:sz="4" w:space="0" w:color="000000"/>
              <w:right w:val="single" w:sz="4" w:space="0" w:color="000000"/>
            </w:tcBorders>
          </w:tcPr>
          <w:p>
            <w:pPr>
              <w:pStyle w:val="TableParagraph"/>
              <w:spacing w:line="249" w:lineRule="exact" w:before="1"/>
              <w:ind w:left="117"/>
              <w:rPr>
                <w:rFonts w:ascii="宋体" w:eastAsia="宋体" w:hint="eastAsia"/>
                <w:sz w:val="21"/>
              </w:rPr>
            </w:pPr>
            <w:r>
              <w:rPr>
                <w:rFonts w:ascii="宋体" w:eastAsia="宋体" w:hint="eastAsia"/>
                <w:sz w:val="21"/>
              </w:rPr>
              <w:t>教授</w:t>
            </w:r>
          </w:p>
        </w:tc>
        <w:tc>
          <w:tcPr>
            <w:tcW w:w="2551" w:type="dxa"/>
            <w:tcBorders>
              <w:top w:val="single" w:sz="4" w:space="0" w:color="000000"/>
              <w:left w:val="single" w:sz="4" w:space="0" w:color="000000"/>
              <w:right w:val="single" w:sz="4" w:space="0" w:color="000000"/>
            </w:tcBorders>
          </w:tcPr>
          <w:p>
            <w:pPr>
              <w:pStyle w:val="TableParagraph"/>
              <w:spacing w:line="249" w:lineRule="exact" w:before="1"/>
              <w:ind w:left="116"/>
              <w:rPr>
                <w:rFonts w:ascii="宋体" w:eastAsia="宋体" w:hint="eastAsia"/>
                <w:sz w:val="21"/>
              </w:rPr>
            </w:pPr>
            <w:r>
              <w:rPr>
                <w:sz w:val="21"/>
              </w:rPr>
              <w:t>2000 </w:t>
            </w:r>
            <w:r>
              <w:rPr>
                <w:rFonts w:ascii="宋体" w:eastAsia="宋体" w:hint="eastAsia"/>
                <w:sz w:val="21"/>
              </w:rPr>
              <w:t>年</w:t>
            </w:r>
          </w:p>
        </w:tc>
        <w:tc>
          <w:tcPr>
            <w:tcW w:w="2127" w:type="dxa"/>
            <w:tcBorders>
              <w:top w:val="single" w:sz="4" w:space="0" w:color="000000"/>
              <w:left w:val="single" w:sz="4" w:space="0" w:color="000000"/>
            </w:tcBorders>
          </w:tcPr>
          <w:p>
            <w:pPr>
              <w:pStyle w:val="TableParagraph"/>
              <w:rPr>
                <w:sz w:val="20"/>
              </w:rPr>
            </w:pPr>
          </w:p>
        </w:tc>
      </w:tr>
    </w:tbl>
    <w:p>
      <w:pPr>
        <w:spacing w:after="0"/>
        <w:rPr>
          <w:sz w:val="20"/>
        </w:rPr>
        <w:sectPr>
          <w:pgSz w:w="16840" w:h="11910" w:orient="landscape"/>
          <w:pgMar w:header="874" w:footer="1214" w:top="1180" w:bottom="1400" w:left="1300" w:right="1180"/>
        </w:sectPr>
      </w:pPr>
    </w:p>
    <w:p>
      <w:pPr>
        <w:pStyle w:val="BodyText"/>
        <w:spacing w:before="6"/>
        <w:rPr>
          <w:sz w:val="7"/>
        </w:rPr>
      </w:pPr>
    </w:p>
    <w:tbl>
      <w:tblPr>
        <w:tblW w:w="0" w:type="auto"/>
        <w:jc w:val="left"/>
        <w:tblInd w:w="1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10"/>
        <w:gridCol w:w="4537"/>
        <w:gridCol w:w="2127"/>
        <w:gridCol w:w="2551"/>
        <w:gridCol w:w="2127"/>
      </w:tblGrid>
      <w:tr>
        <w:trPr>
          <w:trHeight w:val="272" w:hRule="atLeast"/>
        </w:trPr>
        <w:tc>
          <w:tcPr>
            <w:tcW w:w="1810" w:type="dxa"/>
            <w:tcBorders>
              <w:bottom w:val="single" w:sz="4" w:space="0" w:color="000000"/>
              <w:right w:val="single" w:sz="4" w:space="0" w:color="000000"/>
            </w:tcBorders>
          </w:tcPr>
          <w:p>
            <w:pPr>
              <w:pStyle w:val="TableParagraph"/>
              <w:spacing w:line="252" w:lineRule="exact"/>
              <w:ind w:left="254" w:right="235"/>
              <w:jc w:val="center"/>
              <w:rPr>
                <w:rFonts w:ascii="宋体" w:eastAsia="宋体" w:hint="eastAsia"/>
                <w:sz w:val="21"/>
              </w:rPr>
            </w:pPr>
            <w:r>
              <w:rPr>
                <w:rFonts w:ascii="宋体" w:eastAsia="宋体" w:hint="eastAsia"/>
                <w:sz w:val="21"/>
              </w:rPr>
              <w:t>施天涛</w:t>
            </w:r>
          </w:p>
        </w:tc>
        <w:tc>
          <w:tcPr>
            <w:tcW w:w="4537" w:type="dxa"/>
            <w:tcBorders>
              <w:left w:val="single" w:sz="4" w:space="0" w:color="000000"/>
              <w:bottom w:val="single" w:sz="4" w:space="0" w:color="000000"/>
              <w:right w:val="single" w:sz="4" w:space="0" w:color="000000"/>
            </w:tcBorders>
          </w:tcPr>
          <w:p>
            <w:pPr>
              <w:pStyle w:val="TableParagraph"/>
              <w:spacing w:line="252" w:lineRule="exact"/>
              <w:ind w:left="117"/>
              <w:rPr>
                <w:rFonts w:ascii="宋体" w:eastAsia="宋体" w:hint="eastAsia"/>
                <w:sz w:val="21"/>
              </w:rPr>
            </w:pPr>
            <w:r>
              <w:rPr>
                <w:rFonts w:ascii="宋体" w:eastAsia="宋体" w:hint="eastAsia"/>
                <w:sz w:val="21"/>
              </w:rPr>
              <w:t>家家悦集团股份有限公司</w:t>
            </w:r>
          </w:p>
        </w:tc>
        <w:tc>
          <w:tcPr>
            <w:tcW w:w="2127" w:type="dxa"/>
            <w:tcBorders>
              <w:left w:val="single" w:sz="4" w:space="0" w:color="000000"/>
              <w:bottom w:val="single" w:sz="4" w:space="0" w:color="000000"/>
              <w:right w:val="single" w:sz="4" w:space="0" w:color="000000"/>
            </w:tcBorders>
          </w:tcPr>
          <w:p>
            <w:pPr>
              <w:pStyle w:val="TableParagraph"/>
              <w:spacing w:line="252" w:lineRule="exact"/>
              <w:ind w:left="117"/>
              <w:rPr>
                <w:rFonts w:ascii="宋体" w:eastAsia="宋体" w:hint="eastAsia"/>
                <w:sz w:val="21"/>
              </w:rPr>
            </w:pPr>
            <w:r>
              <w:rPr>
                <w:rFonts w:ascii="宋体" w:eastAsia="宋体" w:hint="eastAsia"/>
                <w:sz w:val="21"/>
              </w:rPr>
              <w:t>独立董事</w:t>
            </w:r>
          </w:p>
        </w:tc>
        <w:tc>
          <w:tcPr>
            <w:tcW w:w="2551" w:type="dxa"/>
            <w:tcBorders>
              <w:left w:val="single" w:sz="4" w:space="0" w:color="000000"/>
              <w:bottom w:val="single" w:sz="4" w:space="0" w:color="000000"/>
              <w:right w:val="single" w:sz="4" w:space="0" w:color="000000"/>
            </w:tcBorders>
          </w:tcPr>
          <w:p>
            <w:pPr>
              <w:pStyle w:val="TableParagraph"/>
              <w:rPr>
                <w:sz w:val="20"/>
              </w:rPr>
            </w:pPr>
          </w:p>
        </w:tc>
        <w:tc>
          <w:tcPr>
            <w:tcW w:w="2127" w:type="dxa"/>
            <w:tcBorders>
              <w:left w:val="single" w:sz="4" w:space="0" w:color="000000"/>
              <w:bottom w:val="single" w:sz="4" w:space="0" w:color="000000"/>
            </w:tcBorders>
          </w:tcPr>
          <w:p>
            <w:pPr>
              <w:pStyle w:val="TableParagraph"/>
              <w:rPr>
                <w:sz w:val="20"/>
              </w:rPr>
            </w:pPr>
          </w:p>
        </w:tc>
      </w:tr>
      <w:tr>
        <w:trPr>
          <w:trHeight w:val="270" w:hRule="atLeast"/>
        </w:trPr>
        <w:tc>
          <w:tcPr>
            <w:tcW w:w="1810" w:type="dxa"/>
            <w:tcBorders>
              <w:top w:val="single" w:sz="4" w:space="0" w:color="000000"/>
              <w:bottom w:val="single" w:sz="4" w:space="0" w:color="000000"/>
              <w:right w:val="single" w:sz="4" w:space="0" w:color="000000"/>
            </w:tcBorders>
          </w:tcPr>
          <w:p>
            <w:pPr>
              <w:pStyle w:val="TableParagraph"/>
              <w:spacing w:line="250" w:lineRule="exact" w:before="1"/>
              <w:ind w:left="254" w:right="235"/>
              <w:jc w:val="center"/>
              <w:rPr>
                <w:rFonts w:ascii="宋体" w:eastAsia="宋体" w:hint="eastAsia"/>
                <w:sz w:val="21"/>
              </w:rPr>
            </w:pPr>
            <w:r>
              <w:rPr>
                <w:rFonts w:ascii="宋体" w:eastAsia="宋体" w:hint="eastAsia"/>
                <w:sz w:val="21"/>
              </w:rPr>
              <w:t>施天涛</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rFonts w:ascii="宋体" w:eastAsia="宋体" w:hint="eastAsia"/>
                <w:sz w:val="21"/>
              </w:rPr>
            </w:pPr>
            <w:r>
              <w:rPr>
                <w:rFonts w:ascii="宋体" w:eastAsia="宋体" w:hint="eastAsia"/>
                <w:sz w:val="21"/>
              </w:rPr>
              <w:t>北京正和恒基滨水生态环境治理股份有限公司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rFonts w:ascii="宋体" w:eastAsia="宋体" w:hint="eastAsia"/>
                <w:sz w:val="21"/>
              </w:rPr>
            </w:pPr>
            <w:r>
              <w:rPr>
                <w:rFonts w:ascii="宋体" w:eastAsia="宋体" w:hint="eastAsia"/>
                <w:sz w:val="21"/>
              </w:rPr>
              <w:t>独立董事</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27"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1810" w:type="dxa"/>
            <w:tcBorders>
              <w:top w:val="single" w:sz="4" w:space="0" w:color="000000"/>
              <w:bottom w:val="single" w:sz="4" w:space="0" w:color="000000"/>
              <w:right w:val="single" w:sz="4" w:space="0" w:color="000000"/>
            </w:tcBorders>
          </w:tcPr>
          <w:p>
            <w:pPr>
              <w:pStyle w:val="TableParagraph"/>
              <w:spacing w:line="252" w:lineRule="exact" w:before="1"/>
              <w:ind w:left="254" w:right="235"/>
              <w:jc w:val="center"/>
              <w:rPr>
                <w:rFonts w:ascii="宋体" w:eastAsia="宋体" w:hint="eastAsia"/>
                <w:sz w:val="21"/>
              </w:rPr>
            </w:pPr>
            <w:r>
              <w:rPr>
                <w:rFonts w:ascii="宋体" w:eastAsia="宋体" w:hint="eastAsia"/>
                <w:sz w:val="21"/>
              </w:rPr>
              <w:t>施天涛</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融通基金管理有限责任公司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独立董事</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27"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1810" w:type="dxa"/>
            <w:tcBorders>
              <w:top w:val="single" w:sz="4" w:space="0" w:color="000000"/>
              <w:bottom w:val="single" w:sz="4" w:space="0" w:color="000000"/>
              <w:right w:val="single" w:sz="4" w:space="0" w:color="000000"/>
            </w:tcBorders>
          </w:tcPr>
          <w:p>
            <w:pPr>
              <w:pStyle w:val="TableParagraph"/>
              <w:spacing w:line="252" w:lineRule="exact" w:before="1"/>
              <w:ind w:left="254" w:right="235"/>
              <w:jc w:val="center"/>
              <w:rPr>
                <w:rFonts w:ascii="宋体" w:eastAsia="宋体" w:hint="eastAsia"/>
                <w:sz w:val="21"/>
              </w:rPr>
            </w:pPr>
            <w:r>
              <w:rPr>
                <w:rFonts w:ascii="宋体" w:eastAsia="宋体" w:hint="eastAsia"/>
                <w:sz w:val="21"/>
              </w:rPr>
              <w:t>阎 焱</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赛富亚洲投资基金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首席合伙人</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6"/>
              <w:rPr>
                <w:rFonts w:ascii="宋体" w:eastAsia="宋体" w:hint="eastAsia"/>
                <w:sz w:val="21"/>
              </w:rPr>
            </w:pPr>
            <w:r>
              <w:rPr>
                <w:sz w:val="21"/>
              </w:rPr>
              <w:t>2001 </w:t>
            </w:r>
            <w:r>
              <w:rPr>
                <w:rFonts w:ascii="宋体" w:eastAsia="宋体" w:hint="eastAsia"/>
                <w:sz w:val="21"/>
              </w:rPr>
              <w:t>年 </w:t>
            </w:r>
            <w:r>
              <w:rPr>
                <w:sz w:val="21"/>
              </w:rPr>
              <w:t>10 </w:t>
            </w:r>
            <w:r>
              <w:rPr>
                <w:rFonts w:ascii="宋体" w:eastAsia="宋体" w:hint="eastAsia"/>
                <w:sz w:val="21"/>
              </w:rPr>
              <w:t>月</w:t>
            </w:r>
          </w:p>
        </w:tc>
        <w:tc>
          <w:tcPr>
            <w:tcW w:w="2127" w:type="dxa"/>
            <w:tcBorders>
              <w:top w:val="single" w:sz="4" w:space="0" w:color="000000"/>
              <w:left w:val="single" w:sz="4" w:space="0" w:color="000000"/>
              <w:bottom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至今</w:t>
            </w:r>
          </w:p>
        </w:tc>
      </w:tr>
      <w:tr>
        <w:trPr>
          <w:trHeight w:val="270" w:hRule="atLeast"/>
        </w:trPr>
        <w:tc>
          <w:tcPr>
            <w:tcW w:w="1810" w:type="dxa"/>
            <w:tcBorders>
              <w:top w:val="single" w:sz="4" w:space="0" w:color="000000"/>
              <w:bottom w:val="single" w:sz="4" w:space="0" w:color="000000"/>
              <w:right w:val="single" w:sz="4" w:space="0" w:color="000000"/>
            </w:tcBorders>
          </w:tcPr>
          <w:p>
            <w:pPr>
              <w:pStyle w:val="TableParagraph"/>
              <w:spacing w:line="250" w:lineRule="exact" w:before="1"/>
              <w:ind w:left="254" w:right="235"/>
              <w:jc w:val="center"/>
              <w:rPr>
                <w:rFonts w:ascii="宋体" w:eastAsia="宋体" w:hint="eastAsia"/>
                <w:sz w:val="21"/>
              </w:rPr>
            </w:pPr>
            <w:r>
              <w:rPr>
                <w:rFonts w:ascii="宋体" w:eastAsia="宋体" w:hint="eastAsia"/>
                <w:sz w:val="21"/>
              </w:rPr>
              <w:t>阎 焱</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rFonts w:ascii="宋体" w:eastAsia="宋体" w:hint="eastAsia"/>
                <w:sz w:val="21"/>
              </w:rPr>
            </w:pPr>
            <w:r>
              <w:rPr>
                <w:rFonts w:ascii="宋体" w:eastAsia="宋体" w:hint="eastAsia"/>
                <w:sz w:val="21"/>
              </w:rPr>
              <w:t>华润置地有限公司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rFonts w:ascii="宋体" w:eastAsia="宋体" w:hint="eastAsia"/>
                <w:sz w:val="21"/>
              </w:rPr>
            </w:pPr>
            <w:r>
              <w:rPr>
                <w:rFonts w:ascii="宋体" w:eastAsia="宋体" w:hint="eastAsia"/>
                <w:sz w:val="21"/>
              </w:rPr>
              <w:t>独立非执行董事</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6"/>
              <w:rPr>
                <w:rFonts w:ascii="宋体" w:eastAsia="宋体" w:hint="eastAsia"/>
                <w:sz w:val="21"/>
              </w:rPr>
            </w:pPr>
            <w:r>
              <w:rPr>
                <w:sz w:val="21"/>
              </w:rPr>
              <w:t>2006 </w:t>
            </w:r>
            <w:r>
              <w:rPr>
                <w:rFonts w:ascii="宋体" w:eastAsia="宋体" w:hint="eastAsia"/>
                <w:sz w:val="21"/>
              </w:rPr>
              <w:t>年 </w:t>
            </w:r>
            <w:r>
              <w:rPr>
                <w:sz w:val="21"/>
              </w:rPr>
              <w:t>7 </w:t>
            </w:r>
            <w:r>
              <w:rPr>
                <w:rFonts w:ascii="宋体" w:eastAsia="宋体" w:hint="eastAsia"/>
                <w:sz w:val="21"/>
              </w:rPr>
              <w:t>月</w:t>
            </w:r>
          </w:p>
        </w:tc>
        <w:tc>
          <w:tcPr>
            <w:tcW w:w="2127" w:type="dxa"/>
            <w:tcBorders>
              <w:top w:val="single" w:sz="4" w:space="0" w:color="000000"/>
              <w:left w:val="single" w:sz="4" w:space="0" w:color="000000"/>
              <w:bottom w:val="single" w:sz="4" w:space="0" w:color="000000"/>
            </w:tcBorders>
          </w:tcPr>
          <w:p>
            <w:pPr>
              <w:pStyle w:val="TableParagraph"/>
              <w:spacing w:line="250" w:lineRule="exact" w:before="1"/>
              <w:ind w:left="117"/>
              <w:rPr>
                <w:rFonts w:ascii="宋体" w:eastAsia="宋体" w:hint="eastAsia"/>
                <w:sz w:val="21"/>
              </w:rPr>
            </w:pPr>
            <w:r>
              <w:rPr>
                <w:rFonts w:ascii="宋体" w:eastAsia="宋体" w:hint="eastAsia"/>
                <w:sz w:val="21"/>
              </w:rPr>
              <w:t>至今</w:t>
            </w:r>
          </w:p>
        </w:tc>
      </w:tr>
      <w:tr>
        <w:trPr>
          <w:trHeight w:val="273" w:hRule="atLeast"/>
        </w:trPr>
        <w:tc>
          <w:tcPr>
            <w:tcW w:w="1810" w:type="dxa"/>
            <w:tcBorders>
              <w:top w:val="single" w:sz="4" w:space="0" w:color="000000"/>
              <w:bottom w:val="single" w:sz="4" w:space="0" w:color="000000"/>
              <w:right w:val="single" w:sz="4" w:space="0" w:color="000000"/>
            </w:tcBorders>
          </w:tcPr>
          <w:p>
            <w:pPr>
              <w:pStyle w:val="TableParagraph"/>
              <w:spacing w:line="252" w:lineRule="exact" w:before="1"/>
              <w:ind w:left="254" w:right="235"/>
              <w:jc w:val="center"/>
              <w:rPr>
                <w:rFonts w:ascii="宋体" w:eastAsia="宋体" w:hint="eastAsia"/>
                <w:sz w:val="21"/>
              </w:rPr>
            </w:pPr>
            <w:r>
              <w:rPr>
                <w:rFonts w:ascii="宋体" w:eastAsia="宋体" w:hint="eastAsia"/>
                <w:sz w:val="21"/>
              </w:rPr>
              <w:t>阎 焱</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国电科技环保集团股份有限公司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非执行董事</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6"/>
              <w:rPr>
                <w:rFonts w:ascii="宋体" w:eastAsia="宋体" w:hint="eastAsia"/>
                <w:sz w:val="21"/>
              </w:rPr>
            </w:pPr>
            <w:r>
              <w:rPr>
                <w:sz w:val="21"/>
              </w:rPr>
              <w:t>2012 </w:t>
            </w:r>
            <w:r>
              <w:rPr>
                <w:rFonts w:ascii="宋体" w:eastAsia="宋体" w:hint="eastAsia"/>
                <w:sz w:val="21"/>
              </w:rPr>
              <w:t>年 </w:t>
            </w:r>
            <w:r>
              <w:rPr>
                <w:sz w:val="21"/>
              </w:rPr>
              <w:t>6 </w:t>
            </w:r>
            <w:r>
              <w:rPr>
                <w:rFonts w:ascii="宋体" w:eastAsia="宋体" w:hint="eastAsia"/>
                <w:sz w:val="21"/>
              </w:rPr>
              <w:t>月</w:t>
            </w:r>
          </w:p>
        </w:tc>
        <w:tc>
          <w:tcPr>
            <w:tcW w:w="2127" w:type="dxa"/>
            <w:tcBorders>
              <w:top w:val="single" w:sz="4" w:space="0" w:color="000000"/>
              <w:left w:val="single" w:sz="4" w:space="0" w:color="000000"/>
              <w:bottom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至今</w:t>
            </w:r>
          </w:p>
        </w:tc>
      </w:tr>
      <w:tr>
        <w:trPr>
          <w:trHeight w:val="273" w:hRule="atLeast"/>
        </w:trPr>
        <w:tc>
          <w:tcPr>
            <w:tcW w:w="1810" w:type="dxa"/>
            <w:tcBorders>
              <w:top w:val="single" w:sz="4" w:space="0" w:color="000000"/>
              <w:bottom w:val="single" w:sz="4" w:space="0" w:color="000000"/>
              <w:right w:val="single" w:sz="4" w:space="0" w:color="000000"/>
            </w:tcBorders>
          </w:tcPr>
          <w:p>
            <w:pPr>
              <w:pStyle w:val="TableParagraph"/>
              <w:spacing w:line="252" w:lineRule="exact" w:before="1"/>
              <w:ind w:left="254" w:right="235"/>
              <w:jc w:val="center"/>
              <w:rPr>
                <w:rFonts w:ascii="宋体" w:eastAsia="宋体" w:hint="eastAsia"/>
                <w:sz w:val="21"/>
              </w:rPr>
            </w:pPr>
            <w:r>
              <w:rPr>
                <w:rFonts w:ascii="宋体" w:eastAsia="宋体" w:hint="eastAsia"/>
                <w:sz w:val="21"/>
              </w:rPr>
              <w:t>阎 焱</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北京蓝色光标数据科技股份有限公司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独立董事</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6"/>
              <w:rPr>
                <w:rFonts w:ascii="宋体" w:eastAsia="宋体" w:hint="eastAsia"/>
                <w:sz w:val="21"/>
              </w:rPr>
            </w:pPr>
            <w:r>
              <w:rPr>
                <w:sz w:val="21"/>
              </w:rPr>
              <w:t>2014 </w:t>
            </w:r>
            <w:r>
              <w:rPr>
                <w:rFonts w:ascii="宋体" w:eastAsia="宋体" w:hint="eastAsia"/>
                <w:sz w:val="21"/>
              </w:rPr>
              <w:t>年 </w:t>
            </w:r>
            <w:r>
              <w:rPr>
                <w:sz w:val="21"/>
              </w:rPr>
              <w:t>3 </w:t>
            </w:r>
            <w:r>
              <w:rPr>
                <w:rFonts w:ascii="宋体" w:eastAsia="宋体" w:hint="eastAsia"/>
                <w:sz w:val="21"/>
              </w:rPr>
              <w:t>月</w:t>
            </w:r>
          </w:p>
        </w:tc>
        <w:tc>
          <w:tcPr>
            <w:tcW w:w="2127" w:type="dxa"/>
            <w:tcBorders>
              <w:top w:val="single" w:sz="4" w:space="0" w:color="000000"/>
              <w:left w:val="single" w:sz="4" w:space="0" w:color="000000"/>
              <w:bottom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至今</w:t>
            </w:r>
          </w:p>
        </w:tc>
      </w:tr>
      <w:tr>
        <w:trPr>
          <w:trHeight w:val="270" w:hRule="atLeast"/>
        </w:trPr>
        <w:tc>
          <w:tcPr>
            <w:tcW w:w="1810" w:type="dxa"/>
            <w:tcBorders>
              <w:top w:val="single" w:sz="4" w:space="0" w:color="000000"/>
              <w:bottom w:val="single" w:sz="4" w:space="0" w:color="000000"/>
              <w:right w:val="single" w:sz="4" w:space="0" w:color="000000"/>
            </w:tcBorders>
          </w:tcPr>
          <w:p>
            <w:pPr>
              <w:pStyle w:val="TableParagraph"/>
              <w:spacing w:line="250" w:lineRule="exact" w:before="1"/>
              <w:ind w:left="254" w:right="235"/>
              <w:jc w:val="center"/>
              <w:rPr>
                <w:rFonts w:ascii="宋体" w:eastAsia="宋体" w:hint="eastAsia"/>
                <w:sz w:val="21"/>
              </w:rPr>
            </w:pPr>
            <w:r>
              <w:rPr>
                <w:rFonts w:ascii="宋体" w:eastAsia="宋体" w:hint="eastAsia"/>
                <w:sz w:val="21"/>
              </w:rPr>
              <w:t>阎 焱</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rFonts w:ascii="宋体" w:eastAsia="宋体" w:hint="eastAsia"/>
                <w:sz w:val="21"/>
              </w:rPr>
            </w:pPr>
            <w:r>
              <w:rPr>
                <w:sz w:val="21"/>
              </w:rPr>
              <w:t>TCL </w:t>
            </w:r>
            <w:r>
              <w:rPr>
                <w:rFonts w:ascii="宋体" w:eastAsia="宋体" w:hint="eastAsia"/>
                <w:sz w:val="21"/>
              </w:rPr>
              <w:t>集团股份有限公司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rFonts w:ascii="宋体" w:eastAsia="宋体" w:hint="eastAsia"/>
                <w:sz w:val="21"/>
              </w:rPr>
            </w:pPr>
            <w:r>
              <w:rPr>
                <w:rFonts w:ascii="宋体" w:eastAsia="宋体" w:hint="eastAsia"/>
                <w:sz w:val="21"/>
              </w:rPr>
              <w:t>独立董事</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6"/>
              <w:rPr>
                <w:rFonts w:ascii="宋体" w:eastAsia="宋体" w:hint="eastAsia"/>
                <w:sz w:val="21"/>
              </w:rPr>
            </w:pPr>
            <w:r>
              <w:rPr>
                <w:sz w:val="21"/>
              </w:rPr>
              <w:t>2015 </w:t>
            </w:r>
            <w:r>
              <w:rPr>
                <w:rFonts w:ascii="宋体" w:eastAsia="宋体" w:hint="eastAsia"/>
                <w:sz w:val="21"/>
              </w:rPr>
              <w:t>年 </w:t>
            </w:r>
            <w:r>
              <w:rPr>
                <w:sz w:val="21"/>
              </w:rPr>
              <w:t>3 </w:t>
            </w:r>
            <w:r>
              <w:rPr>
                <w:rFonts w:ascii="宋体" w:eastAsia="宋体" w:hint="eastAsia"/>
                <w:sz w:val="21"/>
              </w:rPr>
              <w:t>月</w:t>
            </w:r>
          </w:p>
        </w:tc>
        <w:tc>
          <w:tcPr>
            <w:tcW w:w="2127" w:type="dxa"/>
            <w:tcBorders>
              <w:top w:val="single" w:sz="4" w:space="0" w:color="000000"/>
              <w:left w:val="single" w:sz="4" w:space="0" w:color="000000"/>
              <w:bottom w:val="single" w:sz="4" w:space="0" w:color="000000"/>
            </w:tcBorders>
          </w:tcPr>
          <w:p>
            <w:pPr>
              <w:pStyle w:val="TableParagraph"/>
              <w:spacing w:line="250" w:lineRule="exact" w:before="1"/>
              <w:ind w:left="117"/>
              <w:rPr>
                <w:rFonts w:ascii="宋体" w:eastAsia="宋体" w:hint="eastAsia"/>
                <w:sz w:val="21"/>
              </w:rPr>
            </w:pPr>
            <w:r>
              <w:rPr>
                <w:rFonts w:ascii="宋体" w:eastAsia="宋体" w:hint="eastAsia"/>
                <w:sz w:val="21"/>
              </w:rPr>
              <w:t>至今</w:t>
            </w:r>
          </w:p>
        </w:tc>
      </w:tr>
      <w:tr>
        <w:trPr>
          <w:trHeight w:val="273" w:hRule="atLeast"/>
        </w:trPr>
        <w:tc>
          <w:tcPr>
            <w:tcW w:w="1810" w:type="dxa"/>
            <w:tcBorders>
              <w:top w:val="single" w:sz="4" w:space="0" w:color="000000"/>
              <w:bottom w:val="single" w:sz="4" w:space="0" w:color="000000"/>
              <w:right w:val="single" w:sz="4" w:space="0" w:color="000000"/>
            </w:tcBorders>
          </w:tcPr>
          <w:p>
            <w:pPr>
              <w:pStyle w:val="TableParagraph"/>
              <w:spacing w:line="253" w:lineRule="exact" w:before="1"/>
              <w:ind w:left="254" w:right="235"/>
              <w:jc w:val="center"/>
              <w:rPr>
                <w:rFonts w:ascii="宋体" w:eastAsia="宋体" w:hint="eastAsia"/>
                <w:sz w:val="21"/>
              </w:rPr>
            </w:pPr>
            <w:r>
              <w:rPr>
                <w:rFonts w:ascii="宋体" w:eastAsia="宋体" w:hint="eastAsia"/>
                <w:sz w:val="21"/>
              </w:rPr>
              <w:t>阎 焱</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before="10"/>
              <w:ind w:left="117"/>
              <w:rPr>
                <w:sz w:val="21"/>
              </w:rPr>
            </w:pPr>
            <w:r>
              <w:rPr>
                <w:sz w:val="21"/>
              </w:rPr>
              <w:t>ATA Inc.</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before="1"/>
              <w:ind w:left="117"/>
              <w:rPr>
                <w:rFonts w:ascii="宋体" w:eastAsia="宋体" w:hint="eastAsia"/>
                <w:sz w:val="21"/>
              </w:rPr>
            </w:pPr>
            <w:r>
              <w:rPr>
                <w:rFonts w:ascii="宋体" w:eastAsia="宋体" w:hint="eastAsia"/>
                <w:sz w:val="21"/>
              </w:rPr>
              <w:t>董事</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before="1"/>
              <w:ind w:left="116"/>
              <w:rPr>
                <w:rFonts w:ascii="宋体" w:eastAsia="宋体" w:hint="eastAsia"/>
                <w:sz w:val="21"/>
              </w:rPr>
            </w:pPr>
            <w:r>
              <w:rPr>
                <w:sz w:val="21"/>
              </w:rPr>
              <w:t>2005 </w:t>
            </w:r>
            <w:r>
              <w:rPr>
                <w:rFonts w:ascii="宋体" w:eastAsia="宋体" w:hint="eastAsia"/>
                <w:sz w:val="21"/>
              </w:rPr>
              <w:t>年 </w:t>
            </w:r>
            <w:r>
              <w:rPr>
                <w:sz w:val="21"/>
              </w:rPr>
              <w:t>3 </w:t>
            </w:r>
            <w:r>
              <w:rPr>
                <w:rFonts w:ascii="宋体" w:eastAsia="宋体" w:hint="eastAsia"/>
                <w:sz w:val="21"/>
              </w:rPr>
              <w:t>月</w:t>
            </w:r>
          </w:p>
        </w:tc>
        <w:tc>
          <w:tcPr>
            <w:tcW w:w="2127" w:type="dxa"/>
            <w:tcBorders>
              <w:top w:val="single" w:sz="4" w:space="0" w:color="000000"/>
              <w:left w:val="single" w:sz="4" w:space="0" w:color="000000"/>
              <w:bottom w:val="single" w:sz="4" w:space="0" w:color="000000"/>
            </w:tcBorders>
          </w:tcPr>
          <w:p>
            <w:pPr>
              <w:pStyle w:val="TableParagraph"/>
              <w:spacing w:line="253" w:lineRule="exact" w:before="1"/>
              <w:ind w:left="117"/>
              <w:rPr>
                <w:rFonts w:ascii="宋体" w:eastAsia="宋体" w:hint="eastAsia"/>
                <w:sz w:val="21"/>
              </w:rPr>
            </w:pPr>
            <w:r>
              <w:rPr>
                <w:rFonts w:ascii="宋体" w:eastAsia="宋体" w:hint="eastAsia"/>
                <w:sz w:val="21"/>
              </w:rPr>
              <w:t>至今</w:t>
            </w:r>
          </w:p>
        </w:tc>
      </w:tr>
      <w:tr>
        <w:trPr>
          <w:trHeight w:val="270" w:hRule="atLeast"/>
        </w:trPr>
        <w:tc>
          <w:tcPr>
            <w:tcW w:w="1810" w:type="dxa"/>
            <w:tcBorders>
              <w:top w:val="single" w:sz="4" w:space="0" w:color="000000"/>
              <w:bottom w:val="single" w:sz="4" w:space="0" w:color="000000"/>
              <w:right w:val="single" w:sz="4" w:space="0" w:color="000000"/>
            </w:tcBorders>
          </w:tcPr>
          <w:p>
            <w:pPr>
              <w:pStyle w:val="TableParagraph"/>
              <w:spacing w:line="250" w:lineRule="exact" w:before="1"/>
              <w:ind w:left="254" w:right="235"/>
              <w:jc w:val="center"/>
              <w:rPr>
                <w:rFonts w:ascii="宋体" w:eastAsia="宋体" w:hint="eastAsia"/>
                <w:sz w:val="21"/>
              </w:rPr>
            </w:pPr>
            <w:r>
              <w:rPr>
                <w:rFonts w:ascii="宋体" w:eastAsia="宋体" w:hint="eastAsia"/>
                <w:sz w:val="21"/>
              </w:rPr>
              <w:t>阎 焱</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rFonts w:ascii="宋体" w:eastAsia="宋体" w:hint="eastAsia"/>
                <w:sz w:val="21"/>
              </w:rPr>
            </w:pPr>
            <w:r>
              <w:rPr>
                <w:rFonts w:ascii="宋体" w:eastAsia="宋体" w:hint="eastAsia"/>
                <w:sz w:val="21"/>
              </w:rPr>
              <w:t>上海威尔泰工业自动化股份有限公司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rFonts w:ascii="宋体" w:eastAsia="宋体" w:hint="eastAsia"/>
                <w:sz w:val="21"/>
              </w:rPr>
            </w:pPr>
            <w:r>
              <w:rPr>
                <w:rFonts w:ascii="宋体" w:eastAsia="宋体" w:hint="eastAsia"/>
                <w:sz w:val="21"/>
              </w:rPr>
              <w:t>董事</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6"/>
              <w:rPr>
                <w:rFonts w:ascii="宋体" w:eastAsia="宋体" w:hint="eastAsia"/>
                <w:sz w:val="21"/>
              </w:rPr>
            </w:pPr>
            <w:r>
              <w:rPr>
                <w:sz w:val="21"/>
              </w:rPr>
              <w:t>2019 </w:t>
            </w:r>
            <w:r>
              <w:rPr>
                <w:rFonts w:ascii="宋体" w:eastAsia="宋体" w:hint="eastAsia"/>
                <w:sz w:val="21"/>
              </w:rPr>
              <w:t>年 </w:t>
            </w:r>
            <w:r>
              <w:rPr>
                <w:sz w:val="21"/>
              </w:rPr>
              <w:t>6 </w:t>
            </w:r>
            <w:r>
              <w:rPr>
                <w:rFonts w:ascii="宋体" w:eastAsia="宋体" w:hint="eastAsia"/>
                <w:sz w:val="21"/>
              </w:rPr>
              <w:t>月</w:t>
            </w:r>
          </w:p>
        </w:tc>
        <w:tc>
          <w:tcPr>
            <w:tcW w:w="2127" w:type="dxa"/>
            <w:tcBorders>
              <w:top w:val="single" w:sz="4" w:space="0" w:color="000000"/>
              <w:left w:val="single" w:sz="4" w:space="0" w:color="000000"/>
              <w:bottom w:val="single" w:sz="4" w:space="0" w:color="000000"/>
            </w:tcBorders>
          </w:tcPr>
          <w:p>
            <w:pPr>
              <w:pStyle w:val="TableParagraph"/>
              <w:spacing w:line="250" w:lineRule="exact" w:before="1"/>
              <w:ind w:left="117"/>
              <w:rPr>
                <w:rFonts w:ascii="宋体" w:eastAsia="宋体" w:hint="eastAsia"/>
                <w:sz w:val="21"/>
              </w:rPr>
            </w:pPr>
            <w:r>
              <w:rPr>
                <w:rFonts w:ascii="宋体" w:eastAsia="宋体" w:hint="eastAsia"/>
                <w:sz w:val="21"/>
              </w:rPr>
              <w:t>至今</w:t>
            </w:r>
          </w:p>
        </w:tc>
      </w:tr>
      <w:tr>
        <w:trPr>
          <w:trHeight w:val="273" w:hRule="atLeast"/>
        </w:trPr>
        <w:tc>
          <w:tcPr>
            <w:tcW w:w="1810" w:type="dxa"/>
            <w:tcBorders>
              <w:top w:val="single" w:sz="4" w:space="0" w:color="000000"/>
              <w:bottom w:val="single" w:sz="4" w:space="0" w:color="000000"/>
              <w:right w:val="single" w:sz="4" w:space="0" w:color="000000"/>
            </w:tcBorders>
          </w:tcPr>
          <w:p>
            <w:pPr>
              <w:pStyle w:val="TableParagraph"/>
              <w:spacing w:line="250" w:lineRule="exact" w:before="3"/>
              <w:ind w:left="254" w:right="235"/>
              <w:jc w:val="center"/>
              <w:rPr>
                <w:rFonts w:ascii="宋体" w:eastAsia="宋体" w:hint="eastAsia"/>
                <w:sz w:val="21"/>
              </w:rPr>
            </w:pPr>
            <w:r>
              <w:rPr>
                <w:rFonts w:ascii="宋体" w:eastAsia="宋体" w:hint="eastAsia"/>
                <w:sz w:val="21"/>
              </w:rPr>
              <w:t>阎 焱</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before="10"/>
              <w:ind w:left="117"/>
              <w:rPr>
                <w:sz w:val="21"/>
              </w:rPr>
            </w:pPr>
            <w:r>
              <w:rPr>
                <w:sz w:val="21"/>
              </w:rPr>
              <w:t>360 Finance, Inc</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left="117"/>
              <w:rPr>
                <w:rFonts w:ascii="宋体" w:eastAsia="宋体" w:hint="eastAsia"/>
                <w:sz w:val="21"/>
              </w:rPr>
            </w:pPr>
            <w:r>
              <w:rPr>
                <w:rFonts w:ascii="宋体" w:eastAsia="宋体" w:hint="eastAsia"/>
                <w:sz w:val="21"/>
              </w:rPr>
              <w:t>独立董事</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left="116"/>
              <w:rPr>
                <w:rFonts w:ascii="宋体" w:eastAsia="宋体" w:hint="eastAsia"/>
                <w:sz w:val="21"/>
              </w:rPr>
            </w:pPr>
            <w:r>
              <w:rPr>
                <w:sz w:val="21"/>
              </w:rPr>
              <w:t>2019 </w:t>
            </w:r>
            <w:r>
              <w:rPr>
                <w:rFonts w:ascii="宋体" w:eastAsia="宋体" w:hint="eastAsia"/>
                <w:sz w:val="21"/>
              </w:rPr>
              <w:t>年 </w:t>
            </w:r>
            <w:r>
              <w:rPr>
                <w:sz w:val="21"/>
              </w:rPr>
              <w:t>10 </w:t>
            </w:r>
            <w:r>
              <w:rPr>
                <w:rFonts w:ascii="宋体" w:eastAsia="宋体" w:hint="eastAsia"/>
                <w:sz w:val="21"/>
              </w:rPr>
              <w:t>月</w:t>
            </w:r>
          </w:p>
        </w:tc>
        <w:tc>
          <w:tcPr>
            <w:tcW w:w="2127" w:type="dxa"/>
            <w:tcBorders>
              <w:top w:val="single" w:sz="4" w:space="0" w:color="000000"/>
              <w:left w:val="single" w:sz="4" w:space="0" w:color="000000"/>
              <w:bottom w:val="single" w:sz="4" w:space="0" w:color="000000"/>
            </w:tcBorders>
          </w:tcPr>
          <w:p>
            <w:pPr>
              <w:pStyle w:val="TableParagraph"/>
              <w:spacing w:line="250" w:lineRule="exact" w:before="3"/>
              <w:ind w:left="117"/>
              <w:rPr>
                <w:rFonts w:ascii="宋体" w:eastAsia="宋体" w:hint="eastAsia"/>
                <w:sz w:val="21"/>
              </w:rPr>
            </w:pPr>
            <w:r>
              <w:rPr>
                <w:rFonts w:ascii="宋体" w:eastAsia="宋体" w:hint="eastAsia"/>
                <w:sz w:val="21"/>
              </w:rPr>
              <w:t>至今</w:t>
            </w:r>
          </w:p>
        </w:tc>
      </w:tr>
      <w:tr>
        <w:trPr>
          <w:trHeight w:val="273" w:hRule="atLeast"/>
        </w:trPr>
        <w:tc>
          <w:tcPr>
            <w:tcW w:w="1810" w:type="dxa"/>
            <w:tcBorders>
              <w:top w:val="single" w:sz="4" w:space="0" w:color="000000"/>
              <w:bottom w:val="single" w:sz="4" w:space="0" w:color="000000"/>
              <w:right w:val="single" w:sz="4" w:space="0" w:color="000000"/>
            </w:tcBorders>
          </w:tcPr>
          <w:p>
            <w:pPr>
              <w:pStyle w:val="TableParagraph"/>
              <w:spacing w:line="252" w:lineRule="exact" w:before="1"/>
              <w:ind w:left="254" w:right="235"/>
              <w:jc w:val="center"/>
              <w:rPr>
                <w:rFonts w:ascii="宋体" w:eastAsia="宋体" w:hint="eastAsia"/>
                <w:sz w:val="21"/>
              </w:rPr>
            </w:pPr>
            <w:r>
              <w:rPr>
                <w:rFonts w:ascii="宋体" w:eastAsia="宋体" w:hint="eastAsia"/>
                <w:sz w:val="21"/>
              </w:rPr>
              <w:t>阎 焱</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深圳光峰科技股份有限公司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董事</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6"/>
              <w:rPr>
                <w:rFonts w:ascii="宋体" w:eastAsia="宋体" w:hint="eastAsia"/>
                <w:sz w:val="21"/>
              </w:rPr>
            </w:pPr>
            <w:r>
              <w:rPr>
                <w:sz w:val="21"/>
              </w:rPr>
              <w:t>2019 </w:t>
            </w:r>
            <w:r>
              <w:rPr>
                <w:rFonts w:ascii="宋体" w:eastAsia="宋体" w:hint="eastAsia"/>
                <w:sz w:val="21"/>
              </w:rPr>
              <w:t>年 </w:t>
            </w:r>
            <w:r>
              <w:rPr>
                <w:sz w:val="21"/>
              </w:rPr>
              <w:t>6 </w:t>
            </w:r>
            <w:r>
              <w:rPr>
                <w:rFonts w:ascii="宋体" w:eastAsia="宋体" w:hint="eastAsia"/>
                <w:sz w:val="21"/>
              </w:rPr>
              <w:t>月</w:t>
            </w:r>
          </w:p>
        </w:tc>
        <w:tc>
          <w:tcPr>
            <w:tcW w:w="2127" w:type="dxa"/>
            <w:tcBorders>
              <w:top w:val="single" w:sz="4" w:space="0" w:color="000000"/>
              <w:left w:val="single" w:sz="4" w:space="0" w:color="000000"/>
              <w:bottom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至今</w:t>
            </w:r>
          </w:p>
        </w:tc>
      </w:tr>
      <w:tr>
        <w:trPr>
          <w:trHeight w:val="270" w:hRule="atLeast"/>
        </w:trPr>
        <w:tc>
          <w:tcPr>
            <w:tcW w:w="1810" w:type="dxa"/>
            <w:tcBorders>
              <w:top w:val="single" w:sz="4" w:space="0" w:color="000000"/>
              <w:bottom w:val="single" w:sz="4" w:space="0" w:color="000000"/>
              <w:right w:val="single" w:sz="4" w:space="0" w:color="000000"/>
            </w:tcBorders>
          </w:tcPr>
          <w:p>
            <w:pPr>
              <w:pStyle w:val="TableParagraph"/>
              <w:spacing w:line="250" w:lineRule="exact" w:before="1"/>
              <w:ind w:left="254" w:right="235"/>
              <w:jc w:val="center"/>
              <w:rPr>
                <w:rFonts w:ascii="宋体" w:eastAsia="宋体" w:hint="eastAsia"/>
                <w:sz w:val="21"/>
              </w:rPr>
            </w:pPr>
            <w:r>
              <w:rPr>
                <w:rFonts w:ascii="宋体" w:eastAsia="宋体" w:hint="eastAsia"/>
                <w:sz w:val="21"/>
              </w:rPr>
              <w:t>明国珍</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rFonts w:ascii="宋体" w:eastAsia="宋体" w:hint="eastAsia"/>
                <w:sz w:val="21"/>
              </w:rPr>
            </w:pPr>
            <w:r>
              <w:rPr>
                <w:rFonts w:ascii="宋体" w:eastAsia="宋体" w:hint="eastAsia"/>
                <w:sz w:val="21"/>
              </w:rPr>
              <w:t>青岛华侨实业股份有限公司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rFonts w:ascii="宋体" w:eastAsia="宋体" w:hint="eastAsia"/>
                <w:sz w:val="21"/>
              </w:rPr>
            </w:pPr>
            <w:r>
              <w:rPr>
                <w:rFonts w:ascii="宋体" w:eastAsia="宋体" w:hint="eastAsia"/>
                <w:sz w:val="21"/>
              </w:rPr>
              <w:t>董事</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6"/>
              <w:rPr>
                <w:rFonts w:ascii="宋体" w:eastAsia="宋体" w:hint="eastAsia"/>
                <w:sz w:val="21"/>
              </w:rPr>
            </w:pPr>
            <w:r>
              <w:rPr>
                <w:sz w:val="21"/>
              </w:rPr>
              <w:t>2008 </w:t>
            </w:r>
            <w:r>
              <w:rPr>
                <w:rFonts w:ascii="宋体" w:eastAsia="宋体" w:hint="eastAsia"/>
                <w:sz w:val="21"/>
              </w:rPr>
              <w:t>年 </w:t>
            </w:r>
            <w:r>
              <w:rPr>
                <w:sz w:val="21"/>
              </w:rPr>
              <w:t>7 </w:t>
            </w:r>
            <w:r>
              <w:rPr>
                <w:rFonts w:ascii="宋体" w:eastAsia="宋体" w:hint="eastAsia"/>
                <w:sz w:val="21"/>
              </w:rPr>
              <w:t>月</w:t>
            </w:r>
          </w:p>
        </w:tc>
        <w:tc>
          <w:tcPr>
            <w:tcW w:w="2127" w:type="dxa"/>
            <w:tcBorders>
              <w:top w:val="single" w:sz="4" w:space="0" w:color="000000"/>
              <w:left w:val="single" w:sz="4" w:space="0" w:color="000000"/>
              <w:bottom w:val="single" w:sz="4" w:space="0" w:color="000000"/>
            </w:tcBorders>
          </w:tcPr>
          <w:p>
            <w:pPr>
              <w:pStyle w:val="TableParagraph"/>
              <w:rPr>
                <w:sz w:val="20"/>
              </w:rPr>
            </w:pPr>
          </w:p>
        </w:tc>
      </w:tr>
      <w:tr>
        <w:trPr>
          <w:trHeight w:val="546" w:hRule="atLeast"/>
        </w:trPr>
        <w:tc>
          <w:tcPr>
            <w:tcW w:w="1810" w:type="dxa"/>
            <w:tcBorders>
              <w:top w:val="single" w:sz="4" w:space="0" w:color="000000"/>
              <w:right w:val="single" w:sz="4" w:space="0" w:color="000000"/>
            </w:tcBorders>
            <w:shd w:val="clear" w:color="auto" w:fill="EDEBE0"/>
          </w:tcPr>
          <w:p>
            <w:pPr>
              <w:pStyle w:val="TableParagraph"/>
              <w:spacing w:line="270" w:lineRule="atLeast" w:before="2"/>
              <w:ind w:left="107" w:right="85"/>
              <w:rPr>
                <w:rFonts w:ascii="宋体" w:eastAsia="宋体" w:hint="eastAsia"/>
                <w:sz w:val="21"/>
              </w:rPr>
            </w:pPr>
            <w:r>
              <w:rPr>
                <w:rFonts w:ascii="宋体" w:eastAsia="宋体" w:hint="eastAsia"/>
                <w:sz w:val="21"/>
              </w:rPr>
              <w:t>在其他单位任职情况的说明</w:t>
            </w:r>
          </w:p>
        </w:tc>
        <w:tc>
          <w:tcPr>
            <w:tcW w:w="11342" w:type="dxa"/>
            <w:gridSpan w:val="4"/>
            <w:tcBorders>
              <w:top w:val="single" w:sz="4" w:space="0" w:color="000000"/>
              <w:left w:val="single" w:sz="4" w:space="0" w:color="000000"/>
            </w:tcBorders>
          </w:tcPr>
          <w:p>
            <w:pPr>
              <w:pStyle w:val="TableParagraph"/>
              <w:spacing w:before="138"/>
              <w:ind w:left="117"/>
              <w:rPr>
                <w:rFonts w:ascii="宋体" w:eastAsia="宋体" w:hint="eastAsia"/>
                <w:sz w:val="21"/>
              </w:rPr>
            </w:pPr>
            <w:r>
              <w:rPr>
                <w:rFonts w:ascii="宋体" w:eastAsia="宋体" w:hint="eastAsia"/>
                <w:w w:val="100"/>
                <w:sz w:val="21"/>
              </w:rPr>
              <w:t>无</w:t>
            </w:r>
          </w:p>
        </w:tc>
      </w:tr>
    </w:tbl>
    <w:p>
      <w:pPr>
        <w:pStyle w:val="BodyText"/>
        <w:spacing w:before="2"/>
        <w:rPr>
          <w:sz w:val="18"/>
        </w:rPr>
      </w:pPr>
    </w:p>
    <w:p>
      <w:pPr>
        <w:pStyle w:val="Heading4"/>
        <w:spacing w:before="2"/>
        <w:ind w:left="224"/>
      </w:pPr>
      <w:r>
        <w:rPr/>
        <w:t>三、董事、监事、高级管理人员报酬情况</w:t>
      </w:r>
    </w:p>
    <w:p>
      <w:pPr>
        <w:pStyle w:val="BodyText"/>
        <w:spacing w:before="152"/>
        <w:ind w:left="649"/>
      </w:pPr>
      <w:r>
        <w:rPr>
          <w:rFonts w:ascii="Times New Roman" w:hAnsi="Times New Roman" w:eastAsia="Times New Roman"/>
        </w:rPr>
        <w:t>√</w:t>
      </w:r>
      <w:r>
        <w:rPr/>
        <w:t>适用 </w:t>
      </w:r>
      <w:r>
        <w:rPr>
          <w:rFonts w:ascii="Times New Roman" w:hAnsi="Times New Roman" w:eastAsia="Times New Roman"/>
        </w:rPr>
        <w:t>□</w:t>
      </w:r>
      <w:r>
        <w:rPr/>
        <w:t>不适用</w:t>
      </w:r>
    </w:p>
    <w:p>
      <w:pPr>
        <w:pStyle w:val="BodyText"/>
        <w:spacing w:before="9"/>
        <w:rPr>
          <w:sz w:val="10"/>
        </w:rPr>
      </w:pPr>
    </w:p>
    <w:tbl>
      <w:tblPr>
        <w:tblW w:w="0" w:type="auto"/>
        <w:jc w:val="left"/>
        <w:tblInd w:w="1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362"/>
        <w:gridCol w:w="9728"/>
      </w:tblGrid>
      <w:tr>
        <w:trPr>
          <w:trHeight w:val="1088" w:hRule="atLeast"/>
        </w:trPr>
        <w:tc>
          <w:tcPr>
            <w:tcW w:w="4362" w:type="dxa"/>
            <w:tcBorders>
              <w:bottom w:val="single" w:sz="4" w:space="0" w:color="000000"/>
              <w:right w:val="single" w:sz="4" w:space="0" w:color="000000"/>
            </w:tcBorders>
            <w:shd w:val="clear" w:color="auto" w:fill="EDEBE0"/>
          </w:tcPr>
          <w:p>
            <w:pPr>
              <w:pStyle w:val="TableParagraph"/>
              <w:rPr>
                <w:rFonts w:ascii="宋体"/>
                <w:sz w:val="20"/>
              </w:rPr>
            </w:pPr>
          </w:p>
          <w:p>
            <w:pPr>
              <w:pStyle w:val="TableParagraph"/>
              <w:spacing w:before="154"/>
              <w:ind w:left="107"/>
              <w:rPr>
                <w:rFonts w:ascii="宋体" w:eastAsia="宋体" w:hint="eastAsia"/>
                <w:sz w:val="21"/>
              </w:rPr>
            </w:pPr>
            <w:r>
              <w:rPr>
                <w:rFonts w:ascii="宋体" w:eastAsia="宋体" w:hint="eastAsia"/>
                <w:sz w:val="21"/>
              </w:rPr>
              <w:t>董事、监事、高级管理人员报酬的决策程序</w:t>
            </w:r>
          </w:p>
        </w:tc>
        <w:tc>
          <w:tcPr>
            <w:tcW w:w="9728" w:type="dxa"/>
            <w:tcBorders>
              <w:left w:val="single" w:sz="4" w:space="0" w:color="000000"/>
              <w:bottom w:val="single" w:sz="4" w:space="0" w:color="000000"/>
            </w:tcBorders>
          </w:tcPr>
          <w:p>
            <w:pPr>
              <w:pStyle w:val="TableParagraph"/>
              <w:spacing w:line="242" w:lineRule="auto" w:before="3"/>
              <w:ind w:left="117" w:right="76"/>
              <w:jc w:val="both"/>
              <w:rPr>
                <w:rFonts w:ascii="宋体" w:eastAsia="宋体" w:hint="eastAsia"/>
                <w:sz w:val="21"/>
              </w:rPr>
            </w:pPr>
            <w:r>
              <w:rPr>
                <w:rFonts w:ascii="宋体" w:eastAsia="宋体" w:hint="eastAsia"/>
                <w:sz w:val="21"/>
              </w:rPr>
              <w:t>公司对董事、监事及高级管理人员报酬的决策程序是建立平台、明确标准、沟通协商、客观决策。由公司薪酬委员会制定报酬标准、调整原则和考核兑现原则，报董事会审议通过，形成制度平台；根据用户付薪原则，按照链群合约、人单合一记分卡、纵横匹配表及共赢增值表等评价结果来确定其当年的实际</w:t>
            </w:r>
          </w:p>
          <w:p>
            <w:pPr>
              <w:pStyle w:val="TableParagraph"/>
              <w:spacing w:line="250" w:lineRule="exact"/>
              <w:ind w:left="117"/>
              <w:rPr>
                <w:rFonts w:ascii="宋体" w:eastAsia="宋体" w:hint="eastAsia"/>
                <w:sz w:val="21"/>
              </w:rPr>
            </w:pPr>
            <w:r>
              <w:rPr>
                <w:rFonts w:ascii="宋体" w:eastAsia="宋体" w:hint="eastAsia"/>
                <w:sz w:val="21"/>
              </w:rPr>
              <w:t>报酬情况。</w:t>
            </w:r>
          </w:p>
        </w:tc>
      </w:tr>
      <w:tr>
        <w:trPr>
          <w:trHeight w:val="1908" w:hRule="atLeast"/>
        </w:trPr>
        <w:tc>
          <w:tcPr>
            <w:tcW w:w="4362" w:type="dxa"/>
            <w:tcBorders>
              <w:top w:val="single" w:sz="4" w:space="0" w:color="000000"/>
              <w:bottom w:val="single" w:sz="4" w:space="0" w:color="000000"/>
              <w:right w:val="single" w:sz="4" w:space="0" w:color="000000"/>
            </w:tcBorders>
            <w:shd w:val="clear" w:color="auto" w:fill="EDEBE0"/>
          </w:tcPr>
          <w:p>
            <w:pPr>
              <w:pStyle w:val="TableParagraph"/>
              <w:rPr>
                <w:rFonts w:ascii="宋体"/>
                <w:sz w:val="20"/>
              </w:rPr>
            </w:pPr>
          </w:p>
          <w:p>
            <w:pPr>
              <w:pStyle w:val="TableParagraph"/>
              <w:rPr>
                <w:rFonts w:ascii="宋体"/>
                <w:sz w:val="20"/>
              </w:rPr>
            </w:pPr>
          </w:p>
          <w:p>
            <w:pPr>
              <w:pStyle w:val="TableParagraph"/>
              <w:spacing w:before="12"/>
              <w:rPr>
                <w:rFonts w:ascii="宋体"/>
                <w:sz w:val="23"/>
              </w:rPr>
            </w:pPr>
          </w:p>
          <w:p>
            <w:pPr>
              <w:pStyle w:val="TableParagraph"/>
              <w:spacing w:before="1"/>
              <w:ind w:left="107"/>
              <w:rPr>
                <w:rFonts w:ascii="宋体" w:eastAsia="宋体" w:hint="eastAsia"/>
                <w:sz w:val="21"/>
              </w:rPr>
            </w:pPr>
            <w:r>
              <w:rPr>
                <w:rFonts w:ascii="宋体" w:eastAsia="宋体" w:hint="eastAsia"/>
                <w:sz w:val="21"/>
              </w:rPr>
              <w:t>董事、监事、高级管理人员报酬确定依据</w:t>
            </w:r>
          </w:p>
        </w:tc>
        <w:tc>
          <w:tcPr>
            <w:tcW w:w="9728" w:type="dxa"/>
            <w:tcBorders>
              <w:top w:val="single" w:sz="4" w:space="0" w:color="000000"/>
              <w:left w:val="single" w:sz="4" w:space="0" w:color="000000"/>
              <w:bottom w:val="single" w:sz="4" w:space="0" w:color="000000"/>
            </w:tcBorders>
          </w:tcPr>
          <w:p>
            <w:pPr>
              <w:pStyle w:val="TableParagraph"/>
              <w:spacing w:line="242" w:lineRule="auto" w:before="3"/>
              <w:ind w:left="117" w:right="30"/>
              <w:jc w:val="both"/>
              <w:rPr>
                <w:rFonts w:ascii="宋体" w:hAnsi="宋体" w:eastAsia="宋体" w:hint="eastAsia"/>
                <w:sz w:val="21"/>
              </w:rPr>
            </w:pPr>
            <w:r>
              <w:rPr>
                <w:rFonts w:ascii="宋体" w:hAnsi="宋体" w:eastAsia="宋体" w:hint="eastAsia"/>
                <w:spacing w:val="-10"/>
                <w:sz w:val="21"/>
              </w:rPr>
              <w:t>本公司 </w:t>
            </w:r>
            <w:r>
              <w:rPr>
                <w:sz w:val="21"/>
              </w:rPr>
              <w:t>2020 </w:t>
            </w:r>
            <w:r>
              <w:rPr>
                <w:rFonts w:ascii="宋体" w:hAnsi="宋体" w:eastAsia="宋体" w:hint="eastAsia"/>
                <w:spacing w:val="-4"/>
                <w:sz w:val="21"/>
              </w:rPr>
              <w:t>年度管理人员的薪酬体系体现链群合约、高增值高分享，与共赢增值表、人单合一记分卡、</w:t>
            </w:r>
            <w:r>
              <w:rPr>
                <w:rFonts w:ascii="宋体" w:hAnsi="宋体" w:eastAsia="宋体" w:hint="eastAsia"/>
                <w:spacing w:val="-3"/>
                <w:sz w:val="21"/>
              </w:rPr>
              <w:t>等挂钩，人单合一记分卡纵向体现战略承接、链群合约，与链群</w:t>
            </w:r>
            <w:r>
              <w:rPr>
                <w:sz w:val="21"/>
              </w:rPr>
              <w:t>/</w:t>
            </w:r>
            <w:r>
              <w:rPr>
                <w:rFonts w:ascii="宋体" w:hAnsi="宋体" w:eastAsia="宋体" w:hint="eastAsia"/>
                <w:spacing w:val="-3"/>
                <w:sz w:val="21"/>
              </w:rPr>
              <w:t>小微升级引爆、平台引领挂钩；横向体</w:t>
            </w:r>
            <w:r>
              <w:rPr>
                <w:rFonts w:ascii="宋体" w:hAnsi="宋体" w:eastAsia="宋体" w:hint="eastAsia"/>
                <w:spacing w:val="-8"/>
                <w:sz w:val="21"/>
              </w:rPr>
              <w:t>现市场竞争力全球引领、生态成果；导向从</w:t>
            </w:r>
            <w:r>
              <w:rPr>
                <w:sz w:val="21"/>
              </w:rPr>
              <w:t>“</w:t>
            </w:r>
            <w:r>
              <w:rPr>
                <w:rFonts w:ascii="宋体" w:hAnsi="宋体" w:eastAsia="宋体" w:hint="eastAsia"/>
                <w:spacing w:val="-3"/>
                <w:sz w:val="21"/>
              </w:rPr>
              <w:t>高端品牌</w:t>
            </w:r>
            <w:r>
              <w:rPr>
                <w:sz w:val="21"/>
              </w:rPr>
              <w:t>”</w:t>
            </w:r>
            <w:r>
              <w:rPr>
                <w:rFonts w:ascii="宋体" w:hAnsi="宋体" w:eastAsia="宋体" w:hint="eastAsia"/>
                <w:sz w:val="21"/>
              </w:rPr>
              <w:t>到</w:t>
            </w:r>
            <w:r>
              <w:rPr>
                <w:spacing w:val="-3"/>
                <w:sz w:val="21"/>
              </w:rPr>
              <w:t>“</w:t>
            </w:r>
            <w:r>
              <w:rPr>
                <w:rFonts w:ascii="宋体" w:hAnsi="宋体" w:eastAsia="宋体" w:hint="eastAsia"/>
                <w:spacing w:val="-2"/>
                <w:sz w:val="21"/>
              </w:rPr>
              <w:t>场景品牌</w:t>
            </w:r>
            <w:r>
              <w:rPr>
                <w:spacing w:val="-3"/>
                <w:sz w:val="21"/>
              </w:rPr>
              <w:t>”</w:t>
            </w:r>
            <w:r>
              <w:rPr>
                <w:rFonts w:ascii="宋体" w:hAnsi="宋体" w:eastAsia="宋体" w:hint="eastAsia"/>
                <w:sz w:val="21"/>
              </w:rPr>
              <w:t>到</w:t>
            </w:r>
            <w:r>
              <w:rPr>
                <w:spacing w:val="-3"/>
                <w:sz w:val="21"/>
              </w:rPr>
              <w:t>“</w:t>
            </w:r>
            <w:r>
              <w:rPr>
                <w:rFonts w:ascii="宋体" w:hAnsi="宋体" w:eastAsia="宋体" w:hint="eastAsia"/>
                <w:spacing w:val="-2"/>
                <w:sz w:val="21"/>
              </w:rPr>
              <w:t>生态品牌</w:t>
            </w:r>
            <w:r>
              <w:rPr>
                <w:spacing w:val="-3"/>
                <w:sz w:val="21"/>
              </w:rPr>
              <w:t>”</w:t>
            </w:r>
            <w:r>
              <w:rPr>
                <w:rFonts w:ascii="宋体" w:hAnsi="宋体" w:eastAsia="宋体" w:hint="eastAsia"/>
                <w:spacing w:val="-7"/>
                <w:sz w:val="21"/>
              </w:rPr>
              <w:t>的升级引领。公司第十</w:t>
            </w:r>
            <w:r>
              <w:rPr>
                <w:rFonts w:ascii="宋体" w:hAnsi="宋体" w:eastAsia="宋体" w:hint="eastAsia"/>
                <w:spacing w:val="-8"/>
                <w:sz w:val="21"/>
              </w:rPr>
              <w:t>届董事会董事津贴最高为税前合计人民币 </w:t>
            </w:r>
            <w:r>
              <w:rPr>
                <w:sz w:val="21"/>
              </w:rPr>
              <w:t>20 </w:t>
            </w:r>
            <w:r>
              <w:rPr>
                <w:rFonts w:ascii="宋体" w:hAnsi="宋体" w:eastAsia="宋体" w:hint="eastAsia"/>
                <w:sz w:val="21"/>
              </w:rPr>
              <w:t>万元</w:t>
            </w:r>
            <w:r>
              <w:rPr>
                <w:spacing w:val="-4"/>
                <w:sz w:val="21"/>
              </w:rPr>
              <w:t>/</w:t>
            </w:r>
            <w:r>
              <w:rPr>
                <w:rFonts w:ascii="宋体" w:hAnsi="宋体" w:eastAsia="宋体" w:hint="eastAsia"/>
                <w:spacing w:val="-11"/>
                <w:sz w:val="21"/>
              </w:rPr>
              <w:t>年，其中固定津贴为 </w:t>
            </w:r>
            <w:r>
              <w:rPr>
                <w:sz w:val="21"/>
              </w:rPr>
              <w:t>15 </w:t>
            </w:r>
            <w:r>
              <w:rPr>
                <w:rFonts w:ascii="宋体" w:hAnsi="宋体" w:eastAsia="宋体" w:hint="eastAsia"/>
                <w:spacing w:val="-2"/>
                <w:sz w:val="21"/>
              </w:rPr>
              <w:t>万元</w:t>
            </w:r>
            <w:r>
              <w:rPr>
                <w:sz w:val="21"/>
              </w:rPr>
              <w:t>/</w:t>
            </w:r>
            <w:r>
              <w:rPr>
                <w:rFonts w:ascii="宋体" w:hAnsi="宋体" w:eastAsia="宋体" w:hint="eastAsia"/>
                <w:spacing w:val="-12"/>
                <w:sz w:val="21"/>
              </w:rPr>
              <w:t>年，绩效津贴最高为 </w:t>
            </w:r>
            <w:r>
              <w:rPr>
                <w:sz w:val="21"/>
              </w:rPr>
              <w:t>5 </w:t>
            </w:r>
            <w:r>
              <w:rPr>
                <w:rFonts w:ascii="宋体" w:hAnsi="宋体" w:eastAsia="宋体" w:hint="eastAsia"/>
                <w:sz w:val="21"/>
              </w:rPr>
              <w:t>万元</w:t>
            </w:r>
            <w:r>
              <w:rPr>
                <w:sz w:val="21"/>
              </w:rPr>
              <w:t>/</w:t>
            </w:r>
            <w:r>
              <w:rPr>
                <w:rFonts w:ascii="宋体" w:hAnsi="宋体" w:eastAsia="宋体" w:hint="eastAsia"/>
                <w:spacing w:val="-3"/>
                <w:sz w:val="21"/>
              </w:rPr>
              <w:t>年，绩效津贴具体金额将根据董事对公司董事会决策的贡献、对董事会提案和建议的有效性、董事会参与度、历次董事会出勤率等因素综合考量确定。董事出席公司董事会和股东大会的差旅费以及按《公</w:t>
            </w:r>
          </w:p>
          <w:p>
            <w:pPr>
              <w:pStyle w:val="TableParagraph"/>
              <w:spacing w:line="252" w:lineRule="exact" w:before="2"/>
              <w:ind w:left="117"/>
              <w:rPr>
                <w:rFonts w:ascii="宋体" w:eastAsia="宋体" w:hint="eastAsia"/>
                <w:sz w:val="21"/>
              </w:rPr>
            </w:pPr>
            <w:r>
              <w:rPr>
                <w:rFonts w:ascii="宋体" w:eastAsia="宋体" w:hint="eastAsia"/>
                <w:sz w:val="21"/>
              </w:rPr>
              <w:t>司章程》行使职权所需费用，可在公司据实报销。</w:t>
            </w:r>
          </w:p>
        </w:tc>
      </w:tr>
      <w:tr>
        <w:trPr>
          <w:trHeight w:val="270" w:hRule="atLeast"/>
        </w:trPr>
        <w:tc>
          <w:tcPr>
            <w:tcW w:w="4362" w:type="dxa"/>
            <w:tcBorders>
              <w:top w:val="single" w:sz="4" w:space="0" w:color="000000"/>
              <w:right w:val="single" w:sz="4" w:space="0" w:color="000000"/>
            </w:tcBorders>
            <w:shd w:val="clear" w:color="auto" w:fill="EDEBE0"/>
          </w:tcPr>
          <w:p>
            <w:pPr>
              <w:pStyle w:val="TableParagraph"/>
              <w:spacing w:line="249" w:lineRule="exact" w:before="1"/>
              <w:ind w:left="107"/>
              <w:rPr>
                <w:rFonts w:ascii="宋体" w:eastAsia="宋体" w:hint="eastAsia"/>
                <w:sz w:val="21"/>
              </w:rPr>
            </w:pPr>
            <w:r>
              <w:rPr>
                <w:rFonts w:ascii="宋体" w:eastAsia="宋体" w:hint="eastAsia"/>
                <w:sz w:val="21"/>
              </w:rPr>
              <w:t>董事、监事和高级管理人员报酬的实际支付情</w:t>
            </w:r>
          </w:p>
        </w:tc>
        <w:tc>
          <w:tcPr>
            <w:tcW w:w="9728" w:type="dxa"/>
            <w:tcBorders>
              <w:top w:val="single" w:sz="4" w:space="0" w:color="000000"/>
              <w:left w:val="single" w:sz="4" w:space="0" w:color="000000"/>
            </w:tcBorders>
          </w:tcPr>
          <w:p>
            <w:pPr>
              <w:pStyle w:val="TableParagraph"/>
              <w:spacing w:line="249" w:lineRule="exact" w:before="1"/>
              <w:ind w:left="117"/>
              <w:rPr>
                <w:rFonts w:ascii="宋体" w:eastAsia="宋体" w:hint="eastAsia"/>
                <w:sz w:val="21"/>
              </w:rPr>
            </w:pPr>
            <w:r>
              <w:rPr>
                <w:rFonts w:ascii="宋体" w:eastAsia="宋体" w:hint="eastAsia"/>
                <w:sz w:val="21"/>
              </w:rPr>
              <w:t>均已按规定支付。</w:t>
            </w:r>
          </w:p>
        </w:tc>
      </w:tr>
    </w:tbl>
    <w:p>
      <w:pPr>
        <w:spacing w:after="0" w:line="249" w:lineRule="exact"/>
        <w:rPr>
          <w:rFonts w:ascii="宋体" w:eastAsia="宋体" w:hint="eastAsia"/>
          <w:sz w:val="21"/>
        </w:rPr>
        <w:sectPr>
          <w:headerReference w:type="default" r:id="rId69"/>
          <w:footerReference w:type="default" r:id="rId70"/>
          <w:pgSz w:w="16840" w:h="11910" w:orient="landscape"/>
          <w:pgMar w:header="874" w:footer="1214" w:top="1180" w:bottom="1400" w:left="1300" w:right="1180"/>
        </w:sectPr>
      </w:pPr>
    </w:p>
    <w:p>
      <w:pPr>
        <w:pStyle w:val="BodyText"/>
        <w:spacing w:before="6"/>
        <w:rPr>
          <w:sz w:val="7"/>
        </w:rPr>
      </w:pPr>
    </w:p>
    <w:tbl>
      <w:tblPr>
        <w:tblW w:w="0" w:type="auto"/>
        <w:jc w:val="left"/>
        <w:tblInd w:w="1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362"/>
        <w:gridCol w:w="9728"/>
      </w:tblGrid>
      <w:tr>
        <w:trPr>
          <w:trHeight w:val="272" w:hRule="atLeast"/>
        </w:trPr>
        <w:tc>
          <w:tcPr>
            <w:tcW w:w="4362" w:type="dxa"/>
            <w:tcBorders>
              <w:bottom w:val="single" w:sz="4" w:space="0" w:color="000000"/>
              <w:right w:val="single" w:sz="4" w:space="0" w:color="000000"/>
            </w:tcBorders>
            <w:shd w:val="clear" w:color="auto" w:fill="EDEBE0"/>
          </w:tcPr>
          <w:p>
            <w:pPr>
              <w:pStyle w:val="TableParagraph"/>
              <w:spacing w:line="252" w:lineRule="exact"/>
              <w:ind w:left="107"/>
              <w:rPr>
                <w:rFonts w:ascii="宋体" w:eastAsia="宋体" w:hint="eastAsia"/>
                <w:sz w:val="21"/>
              </w:rPr>
            </w:pPr>
            <w:r>
              <w:rPr>
                <w:rFonts w:ascii="宋体" w:eastAsia="宋体" w:hint="eastAsia"/>
                <w:w w:val="100"/>
                <w:sz w:val="21"/>
              </w:rPr>
              <w:t>况</w:t>
            </w:r>
          </w:p>
        </w:tc>
        <w:tc>
          <w:tcPr>
            <w:tcW w:w="9728" w:type="dxa"/>
            <w:tcBorders>
              <w:left w:val="single" w:sz="4" w:space="0" w:color="000000"/>
              <w:bottom w:val="single" w:sz="4" w:space="0" w:color="000000"/>
            </w:tcBorders>
          </w:tcPr>
          <w:p>
            <w:pPr>
              <w:pStyle w:val="TableParagraph"/>
              <w:rPr>
                <w:sz w:val="20"/>
              </w:rPr>
            </w:pPr>
          </w:p>
        </w:tc>
      </w:tr>
      <w:tr>
        <w:trPr>
          <w:trHeight w:val="541" w:hRule="atLeast"/>
        </w:trPr>
        <w:tc>
          <w:tcPr>
            <w:tcW w:w="4362" w:type="dxa"/>
            <w:tcBorders>
              <w:top w:val="single" w:sz="4" w:space="0" w:color="000000"/>
              <w:right w:val="single" w:sz="4" w:space="0" w:color="000000"/>
            </w:tcBorders>
            <w:shd w:val="clear" w:color="auto" w:fill="EDEBE0"/>
          </w:tcPr>
          <w:p>
            <w:pPr>
              <w:pStyle w:val="TableParagraph"/>
              <w:spacing w:before="1"/>
              <w:ind w:left="107"/>
              <w:rPr>
                <w:rFonts w:ascii="宋体" w:eastAsia="宋体" w:hint="eastAsia"/>
                <w:sz w:val="21"/>
              </w:rPr>
            </w:pPr>
            <w:r>
              <w:rPr>
                <w:rFonts w:ascii="宋体" w:eastAsia="宋体" w:hint="eastAsia"/>
                <w:sz w:val="21"/>
              </w:rPr>
              <w:t>报告期末全体董事、监事和高级管理人员实际</w:t>
            </w:r>
          </w:p>
          <w:p>
            <w:pPr>
              <w:pStyle w:val="TableParagraph"/>
              <w:spacing w:line="249" w:lineRule="exact" w:before="2"/>
              <w:ind w:left="107"/>
              <w:rPr>
                <w:rFonts w:ascii="宋体" w:eastAsia="宋体" w:hint="eastAsia"/>
                <w:sz w:val="21"/>
              </w:rPr>
            </w:pPr>
            <w:r>
              <w:rPr>
                <w:rFonts w:ascii="宋体" w:eastAsia="宋体" w:hint="eastAsia"/>
                <w:sz w:val="21"/>
              </w:rPr>
              <w:t>获得的报酬合计</w:t>
            </w:r>
          </w:p>
        </w:tc>
        <w:tc>
          <w:tcPr>
            <w:tcW w:w="9728" w:type="dxa"/>
            <w:tcBorders>
              <w:top w:val="single" w:sz="4" w:space="0" w:color="000000"/>
              <w:left w:val="single" w:sz="4" w:space="0" w:color="000000"/>
            </w:tcBorders>
          </w:tcPr>
          <w:p>
            <w:pPr>
              <w:pStyle w:val="TableParagraph"/>
              <w:spacing w:before="138"/>
              <w:ind w:left="117"/>
              <w:rPr>
                <w:rFonts w:ascii="宋体" w:eastAsia="宋体" w:hint="eastAsia"/>
                <w:sz w:val="21"/>
              </w:rPr>
            </w:pPr>
            <w:r>
              <w:rPr>
                <w:sz w:val="21"/>
              </w:rPr>
              <w:t>732.3 </w:t>
            </w:r>
            <w:r>
              <w:rPr>
                <w:rFonts w:ascii="宋体" w:eastAsia="宋体" w:hint="eastAsia"/>
                <w:sz w:val="21"/>
              </w:rPr>
              <w:t>万元</w:t>
            </w:r>
          </w:p>
        </w:tc>
      </w:tr>
    </w:tbl>
    <w:p>
      <w:pPr>
        <w:pStyle w:val="BodyText"/>
        <w:spacing w:before="4"/>
        <w:rPr>
          <w:sz w:val="18"/>
        </w:rPr>
      </w:pPr>
    </w:p>
    <w:p>
      <w:pPr>
        <w:pStyle w:val="Heading4"/>
        <w:spacing w:before="3"/>
        <w:ind w:left="224"/>
      </w:pPr>
      <w:r>
        <w:rPr/>
        <w:t>四、公司董事、监事、高级管理人员变动情况</w:t>
      </w:r>
    </w:p>
    <w:p>
      <w:pPr>
        <w:pStyle w:val="BodyText"/>
        <w:spacing w:before="151"/>
        <w:ind w:left="649"/>
      </w:pPr>
      <w:r>
        <w:rPr>
          <w:rFonts w:ascii="Times New Roman" w:hAnsi="Times New Roman" w:eastAsia="Times New Roman"/>
        </w:rPr>
        <w:t>√</w:t>
      </w:r>
      <w:r>
        <w:rPr/>
        <w:t>适用 </w:t>
      </w:r>
      <w:r>
        <w:rPr>
          <w:rFonts w:ascii="Times New Roman" w:hAnsi="Times New Roman" w:eastAsia="Times New Roman"/>
        </w:rPr>
        <w:t>□</w:t>
      </w:r>
      <w:r>
        <w:rPr/>
        <w:t>不适用</w:t>
      </w:r>
    </w:p>
    <w:p>
      <w:pPr>
        <w:pStyle w:val="BodyText"/>
        <w:spacing w:before="9"/>
        <w:rPr>
          <w:sz w:val="10"/>
        </w:rPr>
      </w:pPr>
    </w:p>
    <w:tbl>
      <w:tblPr>
        <w:tblW w:w="0" w:type="auto"/>
        <w:jc w:val="left"/>
        <w:tblInd w:w="1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524"/>
        <w:gridCol w:w="3522"/>
        <w:gridCol w:w="3524"/>
        <w:gridCol w:w="3522"/>
      </w:tblGrid>
      <w:tr>
        <w:trPr>
          <w:trHeight w:val="272" w:hRule="atLeast"/>
        </w:trPr>
        <w:tc>
          <w:tcPr>
            <w:tcW w:w="3524" w:type="dxa"/>
            <w:tcBorders>
              <w:bottom w:val="single" w:sz="4" w:space="0" w:color="000000"/>
              <w:right w:val="single" w:sz="4" w:space="0" w:color="000000"/>
            </w:tcBorders>
            <w:shd w:val="clear" w:color="auto" w:fill="EDEBE0"/>
          </w:tcPr>
          <w:p>
            <w:pPr>
              <w:pStyle w:val="TableParagraph"/>
              <w:spacing w:line="250" w:lineRule="exact" w:before="3"/>
              <w:ind w:left="1531" w:right="1513"/>
              <w:jc w:val="center"/>
              <w:rPr>
                <w:rFonts w:ascii="宋体" w:eastAsia="宋体" w:hint="eastAsia"/>
                <w:sz w:val="21"/>
              </w:rPr>
            </w:pPr>
            <w:r>
              <w:rPr>
                <w:rFonts w:ascii="宋体" w:eastAsia="宋体" w:hint="eastAsia"/>
                <w:sz w:val="21"/>
              </w:rPr>
              <w:t>姓名</w:t>
            </w:r>
          </w:p>
        </w:tc>
        <w:tc>
          <w:tcPr>
            <w:tcW w:w="3522" w:type="dxa"/>
            <w:tcBorders>
              <w:left w:val="single" w:sz="4" w:space="0" w:color="000000"/>
              <w:bottom w:val="single" w:sz="4" w:space="0" w:color="000000"/>
              <w:right w:val="single" w:sz="4" w:space="0" w:color="000000"/>
            </w:tcBorders>
            <w:shd w:val="clear" w:color="auto" w:fill="EDEBE0"/>
          </w:tcPr>
          <w:p>
            <w:pPr>
              <w:pStyle w:val="TableParagraph"/>
              <w:spacing w:line="250" w:lineRule="exact" w:before="3"/>
              <w:ind w:left="1227" w:right="1195"/>
              <w:jc w:val="center"/>
              <w:rPr>
                <w:rFonts w:ascii="宋体" w:eastAsia="宋体" w:hint="eastAsia"/>
                <w:sz w:val="21"/>
              </w:rPr>
            </w:pPr>
            <w:r>
              <w:rPr>
                <w:rFonts w:ascii="宋体" w:eastAsia="宋体" w:hint="eastAsia"/>
                <w:sz w:val="21"/>
              </w:rPr>
              <w:t>担任的职务</w:t>
            </w:r>
          </w:p>
        </w:tc>
        <w:tc>
          <w:tcPr>
            <w:tcW w:w="3524" w:type="dxa"/>
            <w:tcBorders>
              <w:left w:val="single" w:sz="4" w:space="0" w:color="000000"/>
              <w:bottom w:val="single" w:sz="4" w:space="0" w:color="000000"/>
              <w:right w:val="single" w:sz="4" w:space="0" w:color="000000"/>
            </w:tcBorders>
            <w:shd w:val="clear" w:color="auto" w:fill="EDEBE0"/>
          </w:tcPr>
          <w:p>
            <w:pPr>
              <w:pStyle w:val="TableParagraph"/>
              <w:spacing w:line="250" w:lineRule="exact" w:before="3"/>
              <w:ind w:left="1331" w:right="1302"/>
              <w:jc w:val="center"/>
              <w:rPr>
                <w:rFonts w:ascii="宋体" w:eastAsia="宋体" w:hint="eastAsia"/>
                <w:sz w:val="21"/>
              </w:rPr>
            </w:pPr>
            <w:r>
              <w:rPr>
                <w:rFonts w:ascii="宋体" w:eastAsia="宋体" w:hint="eastAsia"/>
                <w:sz w:val="21"/>
              </w:rPr>
              <w:t>变动情形</w:t>
            </w:r>
          </w:p>
        </w:tc>
        <w:tc>
          <w:tcPr>
            <w:tcW w:w="3522" w:type="dxa"/>
            <w:tcBorders>
              <w:left w:val="single" w:sz="4" w:space="0" w:color="000000"/>
              <w:bottom w:val="single" w:sz="4" w:space="0" w:color="000000"/>
            </w:tcBorders>
            <w:shd w:val="clear" w:color="auto" w:fill="EDEBE0"/>
          </w:tcPr>
          <w:p>
            <w:pPr>
              <w:pStyle w:val="TableParagraph"/>
              <w:spacing w:line="250" w:lineRule="exact" w:before="3"/>
              <w:ind w:left="1331" w:right="1291"/>
              <w:jc w:val="center"/>
              <w:rPr>
                <w:rFonts w:ascii="宋体" w:eastAsia="宋体" w:hint="eastAsia"/>
                <w:sz w:val="21"/>
              </w:rPr>
            </w:pPr>
            <w:r>
              <w:rPr>
                <w:rFonts w:ascii="宋体" w:eastAsia="宋体" w:hint="eastAsia"/>
                <w:sz w:val="21"/>
              </w:rPr>
              <w:t>变动原因</w:t>
            </w:r>
          </w:p>
        </w:tc>
      </w:tr>
      <w:tr>
        <w:trPr>
          <w:trHeight w:val="273" w:hRule="atLeast"/>
        </w:trPr>
        <w:tc>
          <w:tcPr>
            <w:tcW w:w="3524"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阎焱</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6"/>
              <w:rPr>
                <w:rFonts w:ascii="宋体" w:eastAsia="宋体" w:hint="eastAsia"/>
                <w:sz w:val="21"/>
              </w:rPr>
            </w:pPr>
            <w:r>
              <w:rPr>
                <w:rFonts w:ascii="宋体" w:eastAsia="宋体" w:hint="eastAsia"/>
                <w:sz w:val="21"/>
              </w:rPr>
              <w:t>离任</w:t>
            </w:r>
          </w:p>
        </w:tc>
        <w:tc>
          <w:tcPr>
            <w:tcW w:w="3522" w:type="dxa"/>
            <w:tcBorders>
              <w:top w:val="single" w:sz="4" w:space="0" w:color="000000"/>
              <w:left w:val="single" w:sz="4" w:space="0" w:color="000000"/>
              <w:bottom w:val="single" w:sz="4" w:space="0" w:color="000000"/>
            </w:tcBorders>
          </w:tcPr>
          <w:p>
            <w:pPr>
              <w:pStyle w:val="TableParagraph"/>
              <w:spacing w:line="252" w:lineRule="exact" w:before="1"/>
              <w:ind w:left="116"/>
              <w:rPr>
                <w:rFonts w:ascii="宋体" w:eastAsia="宋体" w:hint="eastAsia"/>
                <w:sz w:val="21"/>
              </w:rPr>
            </w:pPr>
            <w:r>
              <w:rPr>
                <w:rFonts w:ascii="宋体" w:eastAsia="宋体" w:hint="eastAsia"/>
                <w:sz w:val="21"/>
              </w:rPr>
              <w:t>因个人原因辞职</w:t>
            </w:r>
          </w:p>
        </w:tc>
      </w:tr>
      <w:tr>
        <w:trPr>
          <w:trHeight w:val="273" w:hRule="atLeast"/>
        </w:trPr>
        <w:tc>
          <w:tcPr>
            <w:tcW w:w="3524"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施天涛</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6"/>
              <w:rPr>
                <w:rFonts w:ascii="宋体" w:eastAsia="宋体" w:hint="eastAsia"/>
                <w:sz w:val="21"/>
              </w:rPr>
            </w:pPr>
            <w:r>
              <w:rPr>
                <w:rFonts w:ascii="宋体" w:eastAsia="宋体" w:hint="eastAsia"/>
                <w:sz w:val="21"/>
              </w:rPr>
              <w:t>离任</w:t>
            </w:r>
          </w:p>
        </w:tc>
        <w:tc>
          <w:tcPr>
            <w:tcW w:w="3522" w:type="dxa"/>
            <w:tcBorders>
              <w:top w:val="single" w:sz="4" w:space="0" w:color="000000"/>
              <w:left w:val="single" w:sz="4" w:space="0" w:color="000000"/>
              <w:bottom w:val="single" w:sz="4" w:space="0" w:color="000000"/>
            </w:tcBorders>
          </w:tcPr>
          <w:p>
            <w:pPr>
              <w:pStyle w:val="TableParagraph"/>
              <w:spacing w:line="252" w:lineRule="exact" w:before="1"/>
              <w:ind w:left="116"/>
              <w:rPr>
                <w:rFonts w:ascii="宋体" w:eastAsia="宋体" w:hint="eastAsia"/>
                <w:sz w:val="21"/>
              </w:rPr>
            </w:pPr>
            <w:r>
              <w:rPr>
                <w:rFonts w:ascii="宋体" w:eastAsia="宋体" w:hint="eastAsia"/>
                <w:sz w:val="21"/>
              </w:rPr>
              <w:t>六年任职到期离任</w:t>
            </w:r>
          </w:p>
        </w:tc>
      </w:tr>
      <w:tr>
        <w:trPr>
          <w:trHeight w:val="270" w:hRule="atLeast"/>
        </w:trPr>
        <w:tc>
          <w:tcPr>
            <w:tcW w:w="3524" w:type="dxa"/>
            <w:tcBorders>
              <w:top w:val="single" w:sz="4" w:space="0" w:color="000000"/>
              <w:right w:val="single" w:sz="4" w:space="0" w:color="000000"/>
            </w:tcBorders>
          </w:tcPr>
          <w:p>
            <w:pPr>
              <w:pStyle w:val="TableParagraph"/>
              <w:spacing w:line="249" w:lineRule="exact" w:before="1"/>
              <w:ind w:left="107"/>
              <w:rPr>
                <w:rFonts w:ascii="宋体" w:eastAsia="宋体" w:hint="eastAsia"/>
                <w:sz w:val="21"/>
              </w:rPr>
            </w:pPr>
            <w:r>
              <w:rPr>
                <w:rFonts w:ascii="宋体" w:eastAsia="宋体" w:hint="eastAsia"/>
                <w:sz w:val="21"/>
              </w:rPr>
              <w:t>王克勤</w:t>
            </w:r>
          </w:p>
        </w:tc>
        <w:tc>
          <w:tcPr>
            <w:tcW w:w="3522" w:type="dxa"/>
            <w:tcBorders>
              <w:top w:val="single" w:sz="4" w:space="0" w:color="000000"/>
              <w:left w:val="single" w:sz="4" w:space="0" w:color="000000"/>
              <w:right w:val="single" w:sz="4" w:space="0" w:color="000000"/>
            </w:tcBorders>
          </w:tcPr>
          <w:p>
            <w:pPr>
              <w:pStyle w:val="TableParagraph"/>
              <w:spacing w:line="249" w:lineRule="exact" w:before="1"/>
              <w:ind w:left="117"/>
              <w:rPr>
                <w:rFonts w:ascii="宋体" w:eastAsia="宋体" w:hint="eastAsia"/>
                <w:sz w:val="21"/>
              </w:rPr>
            </w:pPr>
            <w:r>
              <w:rPr>
                <w:rFonts w:ascii="宋体" w:eastAsia="宋体" w:hint="eastAsia"/>
                <w:sz w:val="21"/>
              </w:rPr>
              <w:t>独立董事</w:t>
            </w:r>
          </w:p>
        </w:tc>
        <w:tc>
          <w:tcPr>
            <w:tcW w:w="3524" w:type="dxa"/>
            <w:tcBorders>
              <w:top w:val="single" w:sz="4" w:space="0" w:color="000000"/>
              <w:left w:val="single" w:sz="4" w:space="0" w:color="000000"/>
              <w:right w:val="single" w:sz="4" w:space="0" w:color="000000"/>
            </w:tcBorders>
          </w:tcPr>
          <w:p>
            <w:pPr>
              <w:pStyle w:val="TableParagraph"/>
              <w:spacing w:line="249" w:lineRule="exact" w:before="1"/>
              <w:ind w:left="116"/>
              <w:rPr>
                <w:rFonts w:ascii="宋体" w:eastAsia="宋体" w:hint="eastAsia"/>
                <w:sz w:val="21"/>
              </w:rPr>
            </w:pPr>
            <w:r>
              <w:rPr>
                <w:rFonts w:ascii="宋体" w:eastAsia="宋体" w:hint="eastAsia"/>
                <w:sz w:val="21"/>
              </w:rPr>
              <w:t>选举</w:t>
            </w:r>
          </w:p>
        </w:tc>
        <w:tc>
          <w:tcPr>
            <w:tcW w:w="3522" w:type="dxa"/>
            <w:tcBorders>
              <w:top w:val="single" w:sz="4" w:space="0" w:color="000000"/>
              <w:left w:val="single" w:sz="4" w:space="0" w:color="000000"/>
            </w:tcBorders>
          </w:tcPr>
          <w:p>
            <w:pPr>
              <w:pStyle w:val="TableParagraph"/>
              <w:spacing w:line="249" w:lineRule="exact" w:before="1"/>
              <w:ind w:left="116"/>
              <w:rPr>
                <w:rFonts w:ascii="宋体" w:eastAsia="宋体" w:hint="eastAsia"/>
                <w:sz w:val="21"/>
              </w:rPr>
            </w:pPr>
            <w:r>
              <w:rPr>
                <w:rFonts w:ascii="宋体" w:eastAsia="宋体" w:hint="eastAsia"/>
                <w:sz w:val="21"/>
              </w:rPr>
              <w:t>新选任</w:t>
            </w:r>
          </w:p>
        </w:tc>
      </w:tr>
    </w:tbl>
    <w:p>
      <w:pPr>
        <w:pStyle w:val="BodyText"/>
        <w:spacing w:line="265" w:lineRule="exact" w:before="3"/>
        <w:ind w:left="224"/>
      </w:pPr>
      <w:r>
        <w:rPr>
          <w:w w:val="100"/>
        </w:rPr>
        <w:t> </w:t>
      </w:r>
    </w:p>
    <w:p>
      <w:pPr>
        <w:pStyle w:val="Heading4"/>
        <w:spacing w:line="383" w:lineRule="exact"/>
        <w:ind w:left="224"/>
      </w:pPr>
      <w:r>
        <w:rPr/>
        <w:t>五、近三年受证券监管机构处罚的情况说明</w:t>
      </w:r>
    </w:p>
    <w:p>
      <w:pPr>
        <w:pStyle w:val="BodyText"/>
        <w:spacing w:before="151"/>
        <w:ind w:left="649"/>
      </w:pPr>
      <w:r>
        <w:rPr>
          <w:rFonts w:ascii="Times New Roman" w:hAnsi="Times New Roman" w:eastAsia="Times New Roman"/>
        </w:rPr>
        <w:t>□</w:t>
      </w:r>
      <w:r>
        <w:rPr/>
        <w:t>适用 </w:t>
      </w:r>
      <w:r>
        <w:rPr>
          <w:rFonts w:ascii="Times New Roman" w:hAnsi="Times New Roman" w:eastAsia="Times New Roman"/>
        </w:rPr>
        <w:t>√</w:t>
      </w:r>
      <w:r>
        <w:rPr/>
        <w:t>不适用</w:t>
      </w:r>
    </w:p>
    <w:p>
      <w:pPr>
        <w:spacing w:after="0"/>
        <w:sectPr>
          <w:headerReference w:type="default" r:id="rId71"/>
          <w:footerReference w:type="default" r:id="rId72"/>
          <w:pgSz w:w="16840" w:h="11910" w:orient="landscape"/>
          <w:pgMar w:header="874" w:footer="1214" w:top="1180" w:bottom="1400" w:left="1300" w:right="1180"/>
        </w:sectPr>
      </w:pPr>
    </w:p>
    <w:p>
      <w:pPr>
        <w:pStyle w:val="BodyText"/>
        <w:spacing w:before="4"/>
        <w:rPr>
          <w:sz w:val="23"/>
        </w:rPr>
      </w:pPr>
    </w:p>
    <w:p>
      <w:pPr>
        <w:pStyle w:val="Heading4"/>
        <w:spacing w:line="360" w:lineRule="exact" w:before="3"/>
        <w:ind w:left="238"/>
      </w:pPr>
      <w:r>
        <w:rPr/>
        <w:t>六、母公司和主要子公司的员工情况</w:t>
      </w:r>
    </w:p>
    <w:p>
      <w:pPr>
        <w:pStyle w:val="Heading4"/>
        <w:spacing w:line="360" w:lineRule="exact" w:after="13"/>
        <w:ind w:left="238"/>
      </w:pPr>
      <w:r>
        <w:rPr>
          <w:rFonts w:ascii="Times New Roman" w:eastAsia="Times New Roman"/>
        </w:rPr>
        <w:t>(</w:t>
      </w:r>
      <w:r>
        <w:rPr/>
        <w:t>一</w:t>
      </w:r>
      <w:r>
        <w:rPr>
          <w:rFonts w:ascii="Times New Roman" w:eastAsia="Times New Roman"/>
        </w:rPr>
        <w:t>) </w:t>
      </w:r>
      <w:r>
        <w:rPr/>
        <w:t>员工情况</w:t>
      </w:r>
    </w:p>
    <w:tbl>
      <w:tblPr>
        <w:tblW w:w="0" w:type="auto"/>
        <w:jc w:val="left"/>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070"/>
        <w:gridCol w:w="3980"/>
      </w:tblGrid>
      <w:tr>
        <w:trPr>
          <w:trHeight w:val="272" w:hRule="atLeast"/>
        </w:trPr>
        <w:tc>
          <w:tcPr>
            <w:tcW w:w="5070" w:type="dxa"/>
            <w:tcBorders>
              <w:bottom w:val="single" w:sz="4" w:space="0" w:color="000000"/>
              <w:right w:val="single" w:sz="4" w:space="0" w:color="000000"/>
            </w:tcBorders>
            <w:shd w:val="clear" w:color="auto" w:fill="EDEBE0"/>
          </w:tcPr>
          <w:p>
            <w:pPr>
              <w:pStyle w:val="TableParagraph"/>
              <w:spacing w:line="252" w:lineRule="exact"/>
              <w:ind w:left="107"/>
              <w:rPr>
                <w:rFonts w:ascii="宋体" w:eastAsia="宋体" w:hint="eastAsia"/>
                <w:sz w:val="21"/>
              </w:rPr>
            </w:pPr>
            <w:r>
              <w:rPr>
                <w:rFonts w:ascii="宋体" w:eastAsia="宋体" w:hint="eastAsia"/>
                <w:sz w:val="21"/>
              </w:rPr>
              <w:t>母公司在职员工的数量</w:t>
            </w:r>
          </w:p>
        </w:tc>
        <w:tc>
          <w:tcPr>
            <w:tcW w:w="3980" w:type="dxa"/>
            <w:tcBorders>
              <w:left w:val="single" w:sz="4" w:space="0" w:color="000000"/>
              <w:bottom w:val="single" w:sz="4" w:space="0" w:color="000000"/>
            </w:tcBorders>
          </w:tcPr>
          <w:p>
            <w:pPr>
              <w:pStyle w:val="TableParagraph"/>
              <w:spacing w:before="9"/>
              <w:ind w:right="74"/>
              <w:jc w:val="right"/>
              <w:rPr>
                <w:sz w:val="21"/>
              </w:rPr>
            </w:pPr>
            <w:r>
              <w:rPr>
                <w:sz w:val="21"/>
              </w:rPr>
              <w:t>3,265</w:t>
            </w:r>
          </w:p>
        </w:tc>
      </w:tr>
      <w:tr>
        <w:trPr>
          <w:trHeight w:val="273" w:hRule="atLeast"/>
        </w:trPr>
        <w:tc>
          <w:tcPr>
            <w:tcW w:w="5070" w:type="dxa"/>
            <w:tcBorders>
              <w:top w:val="single" w:sz="4" w:space="0" w:color="000000"/>
              <w:bottom w:val="single" w:sz="4" w:space="0" w:color="000000"/>
              <w:right w:val="single" w:sz="4" w:space="0" w:color="000000"/>
            </w:tcBorders>
            <w:shd w:val="clear" w:color="auto" w:fill="EDEBE0"/>
          </w:tcPr>
          <w:p>
            <w:pPr>
              <w:pStyle w:val="TableParagraph"/>
              <w:spacing w:line="252" w:lineRule="exact" w:before="1"/>
              <w:ind w:left="107"/>
              <w:rPr>
                <w:rFonts w:ascii="宋体" w:eastAsia="宋体" w:hint="eastAsia"/>
                <w:sz w:val="21"/>
              </w:rPr>
            </w:pPr>
            <w:r>
              <w:rPr>
                <w:rFonts w:ascii="宋体" w:eastAsia="宋体" w:hint="eastAsia"/>
                <w:sz w:val="21"/>
              </w:rPr>
              <w:t>主要子公司在职员工的数量</w:t>
            </w:r>
          </w:p>
        </w:tc>
        <w:tc>
          <w:tcPr>
            <w:tcW w:w="3980"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96,034</w:t>
            </w:r>
          </w:p>
        </w:tc>
      </w:tr>
      <w:tr>
        <w:trPr>
          <w:trHeight w:val="270" w:hRule="atLeast"/>
        </w:trPr>
        <w:tc>
          <w:tcPr>
            <w:tcW w:w="5070" w:type="dxa"/>
            <w:tcBorders>
              <w:top w:val="single" w:sz="4" w:space="0" w:color="000000"/>
              <w:bottom w:val="single" w:sz="4" w:space="0" w:color="000000"/>
              <w:right w:val="single" w:sz="4" w:space="0" w:color="000000"/>
            </w:tcBorders>
            <w:shd w:val="clear" w:color="auto" w:fill="EDEBE0"/>
          </w:tcPr>
          <w:p>
            <w:pPr>
              <w:pStyle w:val="TableParagraph"/>
              <w:spacing w:line="250" w:lineRule="exact" w:before="1"/>
              <w:ind w:left="107"/>
              <w:rPr>
                <w:rFonts w:ascii="宋体" w:eastAsia="宋体" w:hint="eastAsia"/>
                <w:sz w:val="21"/>
              </w:rPr>
            </w:pPr>
            <w:r>
              <w:rPr>
                <w:rFonts w:ascii="宋体" w:eastAsia="宋体" w:hint="eastAsia"/>
                <w:sz w:val="21"/>
              </w:rPr>
              <w:t>在职员工的数量合计</w:t>
            </w:r>
          </w:p>
        </w:tc>
        <w:tc>
          <w:tcPr>
            <w:tcW w:w="3980" w:type="dxa"/>
            <w:tcBorders>
              <w:top w:val="single" w:sz="4" w:space="0" w:color="000000"/>
              <w:left w:val="single" w:sz="4" w:space="0" w:color="000000"/>
              <w:bottom w:val="single" w:sz="4" w:space="0" w:color="000000"/>
            </w:tcBorders>
          </w:tcPr>
          <w:p>
            <w:pPr>
              <w:pStyle w:val="TableParagraph"/>
              <w:spacing w:before="7"/>
              <w:ind w:right="74"/>
              <w:jc w:val="right"/>
              <w:rPr>
                <w:sz w:val="21"/>
              </w:rPr>
            </w:pPr>
            <w:r>
              <w:rPr>
                <w:sz w:val="21"/>
              </w:rPr>
              <w:t>99,299</w:t>
            </w:r>
          </w:p>
        </w:tc>
      </w:tr>
      <w:tr>
        <w:trPr>
          <w:trHeight w:val="273" w:hRule="atLeast"/>
        </w:trPr>
        <w:tc>
          <w:tcPr>
            <w:tcW w:w="5070" w:type="dxa"/>
            <w:tcBorders>
              <w:top w:val="single" w:sz="4" w:space="0" w:color="000000"/>
              <w:bottom w:val="single" w:sz="4" w:space="0" w:color="000000"/>
              <w:right w:val="single" w:sz="4" w:space="0" w:color="000000"/>
            </w:tcBorders>
            <w:shd w:val="clear" w:color="auto" w:fill="EDEBE0"/>
          </w:tcPr>
          <w:p>
            <w:pPr>
              <w:pStyle w:val="TableParagraph"/>
              <w:spacing w:line="252" w:lineRule="exact" w:before="1"/>
              <w:ind w:left="107"/>
              <w:rPr>
                <w:rFonts w:ascii="宋体" w:eastAsia="宋体" w:hint="eastAsia"/>
                <w:sz w:val="21"/>
              </w:rPr>
            </w:pPr>
            <w:r>
              <w:rPr>
                <w:rFonts w:ascii="宋体" w:eastAsia="宋体" w:hint="eastAsia"/>
                <w:sz w:val="21"/>
              </w:rPr>
              <w:t>母公司及主要子公司需承担费用的离退休职工人数</w:t>
            </w:r>
          </w:p>
        </w:tc>
        <w:tc>
          <w:tcPr>
            <w:tcW w:w="3980" w:type="dxa"/>
            <w:tcBorders>
              <w:top w:val="single" w:sz="4" w:space="0" w:color="000000"/>
              <w:left w:val="single" w:sz="4" w:space="0" w:color="000000"/>
              <w:bottom w:val="single" w:sz="4" w:space="0" w:color="000000"/>
            </w:tcBorders>
          </w:tcPr>
          <w:p>
            <w:pPr>
              <w:pStyle w:val="TableParagraph"/>
              <w:spacing w:before="10"/>
              <w:ind w:right="77"/>
              <w:jc w:val="right"/>
              <w:rPr>
                <w:sz w:val="21"/>
              </w:rPr>
            </w:pPr>
            <w:r>
              <w:rPr>
                <w:w w:val="100"/>
                <w:sz w:val="21"/>
              </w:rPr>
              <w:t>0</w:t>
            </w:r>
          </w:p>
        </w:tc>
      </w:tr>
      <w:tr>
        <w:trPr>
          <w:trHeight w:val="273" w:hRule="atLeast"/>
        </w:trPr>
        <w:tc>
          <w:tcPr>
            <w:tcW w:w="9050" w:type="dxa"/>
            <w:gridSpan w:val="2"/>
            <w:tcBorders>
              <w:top w:val="single" w:sz="4" w:space="0" w:color="000000"/>
              <w:bottom w:val="single" w:sz="4" w:space="0" w:color="000000"/>
            </w:tcBorders>
            <w:shd w:val="clear" w:color="auto" w:fill="EDEBE0"/>
          </w:tcPr>
          <w:p>
            <w:pPr>
              <w:pStyle w:val="TableParagraph"/>
              <w:spacing w:line="252" w:lineRule="exact" w:before="1"/>
              <w:ind w:left="4085" w:right="4055"/>
              <w:jc w:val="center"/>
              <w:rPr>
                <w:rFonts w:ascii="宋体" w:eastAsia="宋体" w:hint="eastAsia"/>
                <w:sz w:val="21"/>
              </w:rPr>
            </w:pPr>
            <w:r>
              <w:rPr>
                <w:rFonts w:ascii="宋体" w:eastAsia="宋体" w:hint="eastAsia"/>
                <w:sz w:val="21"/>
              </w:rPr>
              <w:t>专业构成</w:t>
            </w:r>
          </w:p>
        </w:tc>
      </w:tr>
      <w:tr>
        <w:trPr>
          <w:trHeight w:val="270" w:hRule="atLeast"/>
        </w:trPr>
        <w:tc>
          <w:tcPr>
            <w:tcW w:w="5070" w:type="dxa"/>
            <w:tcBorders>
              <w:top w:val="single" w:sz="4" w:space="0" w:color="000000"/>
              <w:bottom w:val="single" w:sz="4" w:space="0" w:color="000000"/>
              <w:right w:val="single" w:sz="4" w:space="0" w:color="000000"/>
            </w:tcBorders>
            <w:shd w:val="clear" w:color="auto" w:fill="EDEBE0"/>
          </w:tcPr>
          <w:p>
            <w:pPr>
              <w:pStyle w:val="TableParagraph"/>
              <w:spacing w:line="250" w:lineRule="exact" w:before="1"/>
              <w:ind w:left="1244" w:right="1227"/>
              <w:jc w:val="center"/>
              <w:rPr>
                <w:rFonts w:ascii="宋体" w:eastAsia="宋体" w:hint="eastAsia"/>
                <w:sz w:val="21"/>
              </w:rPr>
            </w:pPr>
            <w:r>
              <w:rPr>
                <w:rFonts w:ascii="宋体" w:eastAsia="宋体" w:hint="eastAsia"/>
                <w:sz w:val="21"/>
              </w:rPr>
              <w:t>专业构成类别</w:t>
            </w:r>
          </w:p>
        </w:tc>
        <w:tc>
          <w:tcPr>
            <w:tcW w:w="3980" w:type="dxa"/>
            <w:tcBorders>
              <w:top w:val="single" w:sz="4" w:space="0" w:color="000000"/>
              <w:left w:val="single" w:sz="4" w:space="0" w:color="000000"/>
              <w:bottom w:val="single" w:sz="4" w:space="0" w:color="000000"/>
            </w:tcBorders>
            <w:shd w:val="clear" w:color="auto" w:fill="EDEBE0"/>
          </w:tcPr>
          <w:p>
            <w:pPr>
              <w:pStyle w:val="TableParagraph"/>
              <w:spacing w:line="250" w:lineRule="exact" w:before="1"/>
              <w:ind w:left="1348" w:right="1311"/>
              <w:jc w:val="center"/>
              <w:rPr>
                <w:rFonts w:ascii="宋体" w:eastAsia="宋体" w:hint="eastAsia"/>
                <w:sz w:val="21"/>
              </w:rPr>
            </w:pPr>
            <w:r>
              <w:rPr>
                <w:rFonts w:ascii="宋体" w:eastAsia="宋体" w:hint="eastAsia"/>
                <w:sz w:val="21"/>
              </w:rPr>
              <w:t>专业构成人数</w:t>
            </w:r>
          </w:p>
        </w:tc>
      </w:tr>
      <w:tr>
        <w:trPr>
          <w:trHeight w:val="273" w:hRule="atLeast"/>
        </w:trPr>
        <w:tc>
          <w:tcPr>
            <w:tcW w:w="5070"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生产人员</w:t>
            </w:r>
          </w:p>
        </w:tc>
        <w:tc>
          <w:tcPr>
            <w:tcW w:w="3980"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58,444</w:t>
            </w:r>
          </w:p>
        </w:tc>
      </w:tr>
      <w:tr>
        <w:trPr>
          <w:trHeight w:val="270" w:hRule="atLeast"/>
        </w:trPr>
        <w:tc>
          <w:tcPr>
            <w:tcW w:w="5070"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销售人员</w:t>
            </w:r>
          </w:p>
        </w:tc>
        <w:tc>
          <w:tcPr>
            <w:tcW w:w="3980" w:type="dxa"/>
            <w:tcBorders>
              <w:top w:val="single" w:sz="4" w:space="0" w:color="000000"/>
              <w:left w:val="single" w:sz="4" w:space="0" w:color="000000"/>
              <w:bottom w:val="single" w:sz="4" w:space="0" w:color="000000"/>
            </w:tcBorders>
          </w:tcPr>
          <w:p>
            <w:pPr>
              <w:pStyle w:val="TableParagraph"/>
              <w:spacing w:before="7"/>
              <w:ind w:right="74"/>
              <w:jc w:val="right"/>
              <w:rPr>
                <w:sz w:val="21"/>
              </w:rPr>
            </w:pPr>
            <w:r>
              <w:rPr>
                <w:sz w:val="21"/>
              </w:rPr>
              <w:t>18,754</w:t>
            </w:r>
          </w:p>
        </w:tc>
      </w:tr>
      <w:tr>
        <w:trPr>
          <w:trHeight w:val="273" w:hRule="atLeast"/>
        </w:trPr>
        <w:tc>
          <w:tcPr>
            <w:tcW w:w="5070" w:type="dxa"/>
            <w:tcBorders>
              <w:top w:val="single" w:sz="4" w:space="0" w:color="000000"/>
              <w:bottom w:val="single" w:sz="4" w:space="0" w:color="000000"/>
              <w:right w:val="single" w:sz="4" w:space="0" w:color="000000"/>
            </w:tcBorders>
          </w:tcPr>
          <w:p>
            <w:pPr>
              <w:pStyle w:val="TableParagraph"/>
              <w:spacing w:line="250" w:lineRule="exact" w:before="3"/>
              <w:ind w:left="107"/>
              <w:rPr>
                <w:rFonts w:ascii="宋体" w:eastAsia="宋体" w:hint="eastAsia"/>
                <w:sz w:val="21"/>
              </w:rPr>
            </w:pPr>
            <w:r>
              <w:rPr>
                <w:rFonts w:ascii="宋体" w:eastAsia="宋体" w:hint="eastAsia"/>
                <w:sz w:val="21"/>
              </w:rPr>
              <w:t>技术人员</w:t>
            </w:r>
          </w:p>
        </w:tc>
        <w:tc>
          <w:tcPr>
            <w:tcW w:w="3980"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18,014</w:t>
            </w:r>
          </w:p>
        </w:tc>
      </w:tr>
      <w:tr>
        <w:trPr>
          <w:trHeight w:val="273" w:hRule="atLeast"/>
        </w:trPr>
        <w:tc>
          <w:tcPr>
            <w:tcW w:w="5070"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财务人员</w:t>
            </w:r>
          </w:p>
        </w:tc>
        <w:tc>
          <w:tcPr>
            <w:tcW w:w="3980"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1,647</w:t>
            </w:r>
          </w:p>
        </w:tc>
      </w:tr>
      <w:tr>
        <w:trPr>
          <w:trHeight w:val="271" w:hRule="atLeast"/>
        </w:trPr>
        <w:tc>
          <w:tcPr>
            <w:tcW w:w="5070"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行政人员</w:t>
            </w:r>
          </w:p>
        </w:tc>
        <w:tc>
          <w:tcPr>
            <w:tcW w:w="3980" w:type="dxa"/>
            <w:tcBorders>
              <w:top w:val="single" w:sz="4" w:space="0" w:color="000000"/>
              <w:left w:val="single" w:sz="4" w:space="0" w:color="000000"/>
              <w:bottom w:val="single" w:sz="4" w:space="0" w:color="000000"/>
            </w:tcBorders>
          </w:tcPr>
          <w:p>
            <w:pPr>
              <w:pStyle w:val="TableParagraph"/>
              <w:spacing w:before="8"/>
              <w:ind w:right="74"/>
              <w:jc w:val="right"/>
              <w:rPr>
                <w:sz w:val="21"/>
              </w:rPr>
            </w:pPr>
            <w:r>
              <w:rPr>
                <w:sz w:val="21"/>
              </w:rPr>
              <w:t>2,440</w:t>
            </w:r>
          </w:p>
        </w:tc>
      </w:tr>
      <w:tr>
        <w:trPr>
          <w:trHeight w:val="273" w:hRule="atLeast"/>
        </w:trPr>
        <w:tc>
          <w:tcPr>
            <w:tcW w:w="5070" w:type="dxa"/>
            <w:tcBorders>
              <w:top w:val="single" w:sz="4" w:space="0" w:color="000000"/>
              <w:bottom w:val="single" w:sz="4" w:space="0" w:color="000000"/>
              <w:right w:val="single" w:sz="4" w:space="0" w:color="000000"/>
            </w:tcBorders>
          </w:tcPr>
          <w:p>
            <w:pPr>
              <w:pStyle w:val="TableParagraph"/>
              <w:spacing w:line="250" w:lineRule="exact" w:before="3"/>
              <w:ind w:left="1245" w:right="1227"/>
              <w:jc w:val="center"/>
              <w:rPr>
                <w:rFonts w:ascii="宋体" w:eastAsia="宋体" w:hint="eastAsia"/>
                <w:sz w:val="21"/>
              </w:rPr>
            </w:pPr>
            <w:r>
              <w:rPr>
                <w:rFonts w:ascii="宋体" w:eastAsia="宋体" w:hint="eastAsia"/>
                <w:sz w:val="21"/>
              </w:rPr>
              <w:t>合计</w:t>
            </w:r>
          </w:p>
        </w:tc>
        <w:tc>
          <w:tcPr>
            <w:tcW w:w="3980"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99,299</w:t>
            </w:r>
          </w:p>
        </w:tc>
      </w:tr>
      <w:tr>
        <w:trPr>
          <w:trHeight w:val="273" w:hRule="atLeast"/>
        </w:trPr>
        <w:tc>
          <w:tcPr>
            <w:tcW w:w="9050" w:type="dxa"/>
            <w:gridSpan w:val="2"/>
            <w:tcBorders>
              <w:top w:val="single" w:sz="4" w:space="0" w:color="000000"/>
              <w:bottom w:val="single" w:sz="4" w:space="0" w:color="000000"/>
            </w:tcBorders>
            <w:shd w:val="clear" w:color="auto" w:fill="EDEBE0"/>
          </w:tcPr>
          <w:p>
            <w:pPr>
              <w:pStyle w:val="TableParagraph"/>
              <w:spacing w:line="252" w:lineRule="exact" w:before="1"/>
              <w:ind w:left="4085" w:right="4055"/>
              <w:jc w:val="center"/>
              <w:rPr>
                <w:rFonts w:ascii="宋体" w:eastAsia="宋体" w:hint="eastAsia"/>
                <w:sz w:val="21"/>
              </w:rPr>
            </w:pPr>
            <w:r>
              <w:rPr>
                <w:rFonts w:ascii="宋体" w:eastAsia="宋体" w:hint="eastAsia"/>
                <w:sz w:val="21"/>
              </w:rPr>
              <w:t>教育程度</w:t>
            </w:r>
          </w:p>
        </w:tc>
      </w:tr>
      <w:tr>
        <w:trPr>
          <w:trHeight w:val="270" w:hRule="atLeast"/>
        </w:trPr>
        <w:tc>
          <w:tcPr>
            <w:tcW w:w="5070" w:type="dxa"/>
            <w:tcBorders>
              <w:top w:val="single" w:sz="4" w:space="0" w:color="000000"/>
              <w:bottom w:val="single" w:sz="4" w:space="0" w:color="000000"/>
              <w:right w:val="single" w:sz="4" w:space="0" w:color="000000"/>
            </w:tcBorders>
            <w:shd w:val="clear" w:color="auto" w:fill="EDEBE0"/>
          </w:tcPr>
          <w:p>
            <w:pPr>
              <w:pStyle w:val="TableParagraph"/>
              <w:spacing w:line="250" w:lineRule="exact" w:before="1"/>
              <w:ind w:left="1244" w:right="1227"/>
              <w:jc w:val="center"/>
              <w:rPr>
                <w:rFonts w:ascii="宋体" w:eastAsia="宋体" w:hint="eastAsia"/>
                <w:sz w:val="21"/>
              </w:rPr>
            </w:pPr>
            <w:r>
              <w:rPr>
                <w:rFonts w:ascii="宋体" w:eastAsia="宋体" w:hint="eastAsia"/>
                <w:sz w:val="21"/>
              </w:rPr>
              <w:t>教育程度类别</w:t>
            </w:r>
          </w:p>
        </w:tc>
        <w:tc>
          <w:tcPr>
            <w:tcW w:w="3980" w:type="dxa"/>
            <w:tcBorders>
              <w:top w:val="single" w:sz="4" w:space="0" w:color="000000"/>
              <w:left w:val="single" w:sz="4" w:space="0" w:color="000000"/>
              <w:bottom w:val="single" w:sz="4" w:space="0" w:color="000000"/>
            </w:tcBorders>
            <w:shd w:val="clear" w:color="auto" w:fill="EDEBE0"/>
          </w:tcPr>
          <w:p>
            <w:pPr>
              <w:pStyle w:val="TableParagraph"/>
              <w:spacing w:line="250" w:lineRule="exact" w:before="1"/>
              <w:ind w:left="1348" w:right="1309"/>
              <w:jc w:val="center"/>
              <w:rPr>
                <w:rFonts w:ascii="宋体" w:eastAsia="宋体" w:hint="eastAsia"/>
                <w:sz w:val="21"/>
              </w:rPr>
            </w:pPr>
            <w:r>
              <w:rPr>
                <w:rFonts w:ascii="宋体" w:eastAsia="宋体" w:hint="eastAsia"/>
                <w:sz w:val="21"/>
              </w:rPr>
              <w:t>数量（人）</w:t>
            </w:r>
          </w:p>
        </w:tc>
      </w:tr>
      <w:tr>
        <w:trPr>
          <w:trHeight w:val="273" w:hRule="atLeast"/>
        </w:trPr>
        <w:tc>
          <w:tcPr>
            <w:tcW w:w="5070"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本科及以上</w:t>
            </w:r>
          </w:p>
        </w:tc>
        <w:tc>
          <w:tcPr>
            <w:tcW w:w="3980"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26,874</w:t>
            </w:r>
          </w:p>
        </w:tc>
      </w:tr>
      <w:tr>
        <w:trPr>
          <w:trHeight w:val="273" w:hRule="atLeast"/>
        </w:trPr>
        <w:tc>
          <w:tcPr>
            <w:tcW w:w="5070"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专科</w:t>
            </w:r>
          </w:p>
        </w:tc>
        <w:tc>
          <w:tcPr>
            <w:tcW w:w="3980"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26,963</w:t>
            </w:r>
          </w:p>
        </w:tc>
      </w:tr>
      <w:tr>
        <w:trPr>
          <w:trHeight w:val="270" w:hRule="atLeast"/>
        </w:trPr>
        <w:tc>
          <w:tcPr>
            <w:tcW w:w="5070"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中专及以下</w:t>
            </w:r>
          </w:p>
        </w:tc>
        <w:tc>
          <w:tcPr>
            <w:tcW w:w="3980" w:type="dxa"/>
            <w:tcBorders>
              <w:top w:val="single" w:sz="4" w:space="0" w:color="000000"/>
              <w:left w:val="single" w:sz="4" w:space="0" w:color="000000"/>
              <w:bottom w:val="single" w:sz="4" w:space="0" w:color="000000"/>
            </w:tcBorders>
          </w:tcPr>
          <w:p>
            <w:pPr>
              <w:pStyle w:val="TableParagraph"/>
              <w:spacing w:before="7"/>
              <w:ind w:right="74"/>
              <w:jc w:val="right"/>
              <w:rPr>
                <w:sz w:val="21"/>
              </w:rPr>
            </w:pPr>
            <w:r>
              <w:rPr>
                <w:sz w:val="21"/>
              </w:rPr>
              <w:t>45,462</w:t>
            </w:r>
          </w:p>
        </w:tc>
      </w:tr>
      <w:tr>
        <w:trPr>
          <w:trHeight w:val="270" w:hRule="atLeast"/>
        </w:trPr>
        <w:tc>
          <w:tcPr>
            <w:tcW w:w="5070" w:type="dxa"/>
            <w:tcBorders>
              <w:top w:val="single" w:sz="4" w:space="0" w:color="000000"/>
              <w:right w:val="single" w:sz="4" w:space="0" w:color="000000"/>
            </w:tcBorders>
          </w:tcPr>
          <w:p>
            <w:pPr>
              <w:pStyle w:val="TableParagraph"/>
              <w:spacing w:line="249" w:lineRule="exact" w:before="1"/>
              <w:ind w:left="1245" w:right="1227"/>
              <w:jc w:val="center"/>
              <w:rPr>
                <w:rFonts w:ascii="宋体" w:eastAsia="宋体" w:hint="eastAsia"/>
                <w:sz w:val="21"/>
              </w:rPr>
            </w:pPr>
            <w:r>
              <w:rPr>
                <w:rFonts w:ascii="宋体" w:eastAsia="宋体" w:hint="eastAsia"/>
                <w:sz w:val="21"/>
              </w:rPr>
              <w:t>合计</w:t>
            </w:r>
          </w:p>
        </w:tc>
        <w:tc>
          <w:tcPr>
            <w:tcW w:w="3980" w:type="dxa"/>
            <w:tcBorders>
              <w:top w:val="single" w:sz="4" w:space="0" w:color="000000"/>
              <w:left w:val="single" w:sz="4" w:space="0" w:color="000000"/>
            </w:tcBorders>
          </w:tcPr>
          <w:p>
            <w:pPr>
              <w:pStyle w:val="TableParagraph"/>
              <w:spacing w:line="240" w:lineRule="exact" w:before="10"/>
              <w:ind w:right="74"/>
              <w:jc w:val="right"/>
              <w:rPr>
                <w:sz w:val="21"/>
              </w:rPr>
            </w:pPr>
            <w:r>
              <w:rPr>
                <w:sz w:val="21"/>
              </w:rPr>
              <w:t>99,299</w:t>
            </w:r>
          </w:p>
        </w:tc>
      </w:tr>
    </w:tbl>
    <w:p>
      <w:pPr>
        <w:pStyle w:val="BodyText"/>
        <w:spacing w:line="244" w:lineRule="auto" w:before="3"/>
        <w:ind w:left="238" w:right="308" w:firstLine="424"/>
        <w:jc w:val="both"/>
      </w:pPr>
      <w:r>
        <w:rPr>
          <w:spacing w:val="-4"/>
        </w:rPr>
        <w:t>注：中国区通过四个重构、六个上平台，实现市场组织优化 </w:t>
      </w:r>
      <w:r>
        <w:rPr>
          <w:rFonts w:ascii="Times New Roman" w:eastAsia="Times New Roman"/>
        </w:rPr>
        <w:t>23%</w:t>
      </w:r>
      <w:r>
        <w:rPr>
          <w:spacing w:val="-3"/>
        </w:rPr>
        <w:t>；期内，进一步强化海外市</w:t>
      </w:r>
      <w:r>
        <w:rPr>
          <w:spacing w:val="-7"/>
        </w:rPr>
        <w:t>场的建设，市场组织同比增长 </w:t>
      </w:r>
      <w:r>
        <w:rPr>
          <w:rFonts w:ascii="Times New Roman" w:eastAsia="Times New Roman"/>
        </w:rPr>
        <w:t>49%</w:t>
      </w:r>
      <w:r>
        <w:rPr/>
        <w:t>。</w:t>
      </w:r>
    </w:p>
    <w:p>
      <w:pPr>
        <w:pStyle w:val="Heading4"/>
        <w:spacing w:line="373" w:lineRule="exact"/>
        <w:ind w:left="238"/>
      </w:pPr>
      <w:r>
        <w:rPr>
          <w:rFonts w:ascii="Times New Roman" w:eastAsia="Times New Roman"/>
        </w:rPr>
        <w:t>(</w:t>
      </w:r>
      <w:r>
        <w:rPr/>
        <w:t>二</w:t>
      </w:r>
      <w:r>
        <w:rPr>
          <w:rFonts w:ascii="Times New Roman" w:eastAsia="Times New Roman"/>
        </w:rPr>
        <w:t>) </w:t>
      </w:r>
      <w:r>
        <w:rPr/>
        <w:t>薪酬政策</w:t>
      </w:r>
    </w:p>
    <w:p>
      <w:pPr>
        <w:pStyle w:val="BodyText"/>
        <w:spacing w:before="154"/>
        <w:ind w:left="662"/>
        <w:jc w:val="both"/>
      </w:pPr>
      <w:r>
        <w:rPr/>
        <w:t>√适用 □不适用</w:t>
      </w:r>
    </w:p>
    <w:p>
      <w:pPr>
        <w:pStyle w:val="BodyText"/>
        <w:spacing w:line="364" w:lineRule="auto" w:before="139"/>
        <w:ind w:left="238" w:right="307" w:firstLine="424"/>
        <w:jc w:val="both"/>
      </w:pPr>
      <w:r>
        <w:rPr>
          <w:spacing w:val="-3"/>
        </w:rPr>
        <w:t>公司实行基于价值创造的用户付薪人单酬整体薪酬体系，以用户体验增值为检验，源于海尔</w:t>
      </w:r>
      <w:r>
        <w:rPr>
          <w:spacing w:val="-8"/>
        </w:rPr>
        <w:t>战略损益表，基于链群合约、人单合一记分卡、共赢增值表等对创造用户价值、链群</w:t>
      </w:r>
      <w:r>
        <w:rPr>
          <w:rFonts w:ascii="Times New Roman" w:eastAsia="Times New Roman"/>
        </w:rPr>
        <w:t>/</w:t>
      </w:r>
      <w:r>
        <w:rPr>
          <w:spacing w:val="-3"/>
        </w:rPr>
        <w:t>小微引爆升级、引领目标的预算执行、生态成果、持续优化等方面进行考核，这一激励机制导向用户付薪、人人创客、共赢共享，导向创造生态价值，实现物联网生态品牌引领。</w:t>
      </w:r>
    </w:p>
    <w:p>
      <w:pPr>
        <w:pStyle w:val="BodyText"/>
        <w:spacing w:before="11"/>
        <w:rPr>
          <w:sz w:val="17"/>
        </w:rPr>
      </w:pPr>
    </w:p>
    <w:p>
      <w:pPr>
        <w:pStyle w:val="Heading4"/>
        <w:spacing w:before="1"/>
        <w:ind w:left="238"/>
      </w:pPr>
      <w:r>
        <w:rPr>
          <w:rFonts w:ascii="Times New Roman" w:eastAsia="Times New Roman"/>
        </w:rPr>
        <w:t>(</w:t>
      </w:r>
      <w:r>
        <w:rPr/>
        <w:t>三</w:t>
      </w:r>
      <w:r>
        <w:rPr>
          <w:rFonts w:ascii="Times New Roman" w:eastAsia="Times New Roman"/>
        </w:rPr>
        <w:t>) </w:t>
      </w:r>
      <w:r>
        <w:rPr/>
        <w:t>培训计划</w:t>
      </w:r>
    </w:p>
    <w:p>
      <w:pPr>
        <w:pStyle w:val="BodyText"/>
        <w:spacing w:before="151"/>
        <w:ind w:left="662"/>
        <w:jc w:val="both"/>
      </w:pPr>
      <w:r>
        <w:rPr/>
        <w:t>√适用 □不适用</w:t>
      </w:r>
    </w:p>
    <w:p>
      <w:pPr>
        <w:pStyle w:val="BodyText"/>
        <w:spacing w:before="141"/>
        <w:ind w:left="662"/>
      </w:pPr>
      <w:r>
        <w:rPr/>
        <w:t>详见与本报告同日披露的《海尔智家股份有限公司 </w:t>
      </w:r>
      <w:r>
        <w:rPr>
          <w:rFonts w:ascii="Times New Roman" w:eastAsia="Times New Roman"/>
        </w:rPr>
        <w:t>2020 </w:t>
      </w:r>
      <w:r>
        <w:rPr/>
        <w:t>年社会责任报告》的相关内容。</w:t>
      </w:r>
    </w:p>
    <w:p>
      <w:pPr>
        <w:pStyle w:val="BodyText"/>
        <w:spacing w:before="1"/>
        <w:rPr>
          <w:sz w:val="29"/>
        </w:rPr>
      </w:pPr>
    </w:p>
    <w:p>
      <w:pPr>
        <w:pStyle w:val="Heading4"/>
        <w:ind w:left="238"/>
      </w:pPr>
      <w:r>
        <w:rPr>
          <w:rFonts w:ascii="Times New Roman" w:eastAsia="Times New Roman"/>
        </w:rPr>
        <w:t>(</w:t>
      </w:r>
      <w:r>
        <w:rPr/>
        <w:t>四</w:t>
      </w:r>
      <w:r>
        <w:rPr>
          <w:rFonts w:ascii="Times New Roman" w:eastAsia="Times New Roman"/>
        </w:rPr>
        <w:t>) </w:t>
      </w:r>
      <w:r>
        <w:rPr/>
        <w:t>劳务外包情况</w:t>
      </w:r>
    </w:p>
    <w:p>
      <w:pPr>
        <w:pStyle w:val="BodyText"/>
        <w:spacing w:before="151"/>
        <w:ind w:left="662"/>
      </w:pPr>
      <w:r>
        <w:rPr>
          <w:rFonts w:ascii="Times New Roman" w:hAnsi="Times New Roman" w:eastAsia="Times New Roman"/>
        </w:rPr>
        <w:t>□</w:t>
      </w:r>
      <w:r>
        <w:rPr/>
        <w:t>适用 </w:t>
      </w:r>
      <w:r>
        <w:rPr>
          <w:rFonts w:ascii="Times New Roman" w:hAnsi="Times New Roman" w:eastAsia="Times New Roman"/>
        </w:rPr>
        <w:t>√</w:t>
      </w:r>
      <w:r>
        <w:rPr/>
        <w:t>不适用</w:t>
      </w:r>
    </w:p>
    <w:p>
      <w:pPr>
        <w:pStyle w:val="Heading4"/>
        <w:spacing w:before="130"/>
        <w:ind w:left="238"/>
      </w:pPr>
      <w:r>
        <w:rPr/>
        <w:t>七、其他</w:t>
      </w:r>
    </w:p>
    <w:p>
      <w:pPr>
        <w:pStyle w:val="BodyText"/>
        <w:tabs>
          <w:tab w:pos="1421" w:val="left" w:leader="none"/>
        </w:tabs>
        <w:spacing w:before="14"/>
        <w:ind w:left="662"/>
      </w:pPr>
      <w:r>
        <w:rPr>
          <w:rFonts w:ascii="Times New Roman" w:hAnsi="Times New Roman" w:eastAsia="Times New Roman"/>
        </w:rPr>
        <w:t>□</w:t>
      </w:r>
      <w:r>
        <w:rPr/>
        <w:t>适用</w:t>
        <w:tab/>
      </w:r>
      <w:r>
        <w:rPr>
          <w:rFonts w:ascii="Times New Roman" w:hAnsi="Times New Roman" w:eastAsia="Times New Roman"/>
        </w:rPr>
        <w:t>√</w:t>
      </w:r>
      <w:r>
        <w:rPr>
          <w:spacing w:val="-3"/>
        </w:rPr>
        <w:t>不</w:t>
      </w:r>
      <w:r>
        <w:rPr/>
        <w:t>适用</w:t>
      </w:r>
    </w:p>
    <w:p>
      <w:pPr>
        <w:spacing w:after="0"/>
        <w:sectPr>
          <w:headerReference w:type="default" r:id="rId73"/>
          <w:footerReference w:type="default" r:id="rId74"/>
          <w:pgSz w:w="11910" w:h="16840"/>
          <w:pgMar w:header="872" w:footer="1214" w:top="1440" w:bottom="1400" w:left="1560" w:right="960"/>
          <w:pgNumType w:start="2"/>
        </w:sectPr>
      </w:pPr>
    </w:p>
    <w:p>
      <w:pPr>
        <w:pStyle w:val="BodyText"/>
        <w:spacing w:before="3"/>
        <w:rPr>
          <w:sz w:val="19"/>
        </w:rPr>
      </w:pPr>
    </w:p>
    <w:p>
      <w:pPr>
        <w:pStyle w:val="Heading1"/>
        <w:tabs>
          <w:tab w:pos="1259" w:val="left" w:leader="none"/>
        </w:tabs>
        <w:ind w:right="75"/>
      </w:pPr>
      <w:bookmarkStart w:name="_bookmark9" w:id="12"/>
      <w:bookmarkEnd w:id="12"/>
      <w:r>
        <w:rPr>
          <w:b w:val="0"/>
        </w:rPr>
      </w:r>
      <w:r>
        <w:rPr/>
        <w:t>第九节</w:t>
        <w:tab/>
        <w:t>公司治理</w:t>
      </w:r>
    </w:p>
    <w:p>
      <w:pPr>
        <w:pStyle w:val="BodyText"/>
        <w:spacing w:before="3"/>
        <w:rPr>
          <w:rFonts w:ascii="Microsoft JhengHei"/>
          <w:b/>
          <w:sz w:val="6"/>
        </w:rPr>
      </w:pPr>
    </w:p>
    <w:p>
      <w:pPr>
        <w:pStyle w:val="Heading4"/>
        <w:spacing w:before="2"/>
        <w:ind w:left="238"/>
      </w:pPr>
      <w:r>
        <w:rPr/>
        <w:t>一、 公司治理相关情况说明</w:t>
      </w:r>
    </w:p>
    <w:p>
      <w:pPr>
        <w:pStyle w:val="BodyText"/>
        <w:spacing w:before="151"/>
        <w:ind w:left="662"/>
        <w:jc w:val="both"/>
      </w:pPr>
      <w:r>
        <w:rPr>
          <w:rFonts w:ascii="Times New Roman" w:hAnsi="Times New Roman" w:eastAsia="Times New Roman"/>
        </w:rPr>
        <w:t>√</w:t>
      </w:r>
      <w:r>
        <w:rPr/>
        <w:t>适用 </w:t>
      </w:r>
      <w:r>
        <w:rPr>
          <w:rFonts w:ascii="Times New Roman" w:hAnsi="Times New Roman" w:eastAsia="Times New Roman"/>
        </w:rPr>
        <w:t>□</w:t>
      </w:r>
      <w:r>
        <w:rPr/>
        <w:t>不适用</w:t>
      </w:r>
    </w:p>
    <w:p>
      <w:pPr>
        <w:pStyle w:val="BodyText"/>
        <w:spacing w:line="364" w:lineRule="auto" w:before="139"/>
        <w:ind w:left="238" w:right="308" w:firstLine="424"/>
        <w:jc w:val="both"/>
      </w:pPr>
      <w:r>
        <w:rPr>
          <w:spacing w:val="-3"/>
        </w:rPr>
        <w:t>报告期内，公司严格按照《公司法》、《证券法》、《上市公司治理准则》以及相关法律法规的规定，完善公司法人治理结构、规范公司运作、健全信息披露制度，加强与投资者的沟通， 提升公司治理水平。公司治理架构方面，股东大会、董事会和经营层规范运作，切实保障了公司和股东的合法权益，各位董事勤勉尽职履行董事职责，各专业委员会在其各自实施细则的规范下行使职责，使董事会的工作更加高效、科学；独立董事恪尽职守，独立履行职责，对重大事项发表独立意见，充分维护了公司的整体利益及广大中小投资者的合法权益。信息披露方面，严格履行内幕信息知情人备案管理制度，做好重大事项的内幕信息管理，杜绝内幕知情人利用公司内幕信息买卖公司股票的行为；加大对年报信息披露责任人的问责力度，提高年报信息披露的质量和透明度。重视信息披露工作，严格按照法律、法规的要求，真实、准确、完整、及时地披露有关信息，并确保所有股东有平等的机会获取信息。投资者关系管理方面，按照《投资者关系管理制度》等的指引，由公司董秘办整合业务、财务等资源，通过举办推介会、业绩发布会、网上交流</w:t>
      </w:r>
      <w:r>
        <w:rPr>
          <w:spacing w:val="-14"/>
        </w:rPr>
        <w:t>会等形式，实现与投资者的多层次、多形式、主动全面的接触；同时通过面对面会谈、电子邮件、</w:t>
      </w:r>
      <w:r>
        <w:rPr>
          <w:spacing w:val="1"/>
        </w:rPr>
        <w:t>电话、传真、上证</w:t>
      </w:r>
      <w:r>
        <w:rPr>
          <w:rFonts w:ascii="Times New Roman" w:eastAsia="Times New Roman"/>
        </w:rPr>
        <w:t>E </w:t>
      </w:r>
      <w:r>
        <w:rPr>
          <w:spacing w:val="-5"/>
        </w:rPr>
        <w:t>互动等多种形式，及时回答投资者的问题，用多种方式加强与投资者的互动</w:t>
      </w:r>
      <w:r>
        <w:rPr>
          <w:spacing w:val="-4"/>
        </w:rPr>
        <w:t>交流，充分尊重和维护广大投资者的利益，努力构建企业、员工与投资者等各方和谐共赢的良好</w:t>
      </w:r>
      <w:r>
        <w:rPr>
          <w:spacing w:val="-3"/>
        </w:rPr>
        <w:t>局面。公司治理结构完善，与中国证监会有关文件的要求不存在差异。</w:t>
      </w:r>
    </w:p>
    <w:p>
      <w:pPr>
        <w:pStyle w:val="ListParagraph"/>
        <w:numPr>
          <w:ilvl w:val="1"/>
          <w:numId w:val="23"/>
        </w:numPr>
        <w:tabs>
          <w:tab w:pos="1192" w:val="left" w:leader="none"/>
        </w:tabs>
        <w:spacing w:line="265" w:lineRule="exact" w:before="0" w:after="0"/>
        <w:ind w:left="1191" w:right="0" w:hanging="530"/>
        <w:jc w:val="left"/>
        <w:rPr>
          <w:sz w:val="21"/>
        </w:rPr>
      </w:pPr>
      <w:r>
        <w:rPr>
          <w:spacing w:val="-3"/>
          <w:sz w:val="21"/>
        </w:rPr>
        <w:t>关于股东与股东大会：</w:t>
      </w:r>
    </w:p>
    <w:p>
      <w:pPr>
        <w:pStyle w:val="BodyText"/>
        <w:spacing w:line="364" w:lineRule="auto" w:before="139"/>
        <w:ind w:left="238" w:right="313" w:firstLine="424"/>
        <w:jc w:val="both"/>
      </w:pPr>
      <w:r>
        <w:rPr/>
        <w:t>公司能够确保所有股东，特别是中小股东享有平等地位，确保所有股东能够充分行使自己的权利；报告期内，公司股东大会的召集、召开程序符合《公司章程》、《公司股东大会规则》等的要求，股东对会议的参与度较高，有效的保障了股东充分行使表决权；并聘请有证券从业资格的律师出席股东大会进行见证；提案审议符合法定程序，能够确保中小股东的话语权。</w:t>
      </w:r>
    </w:p>
    <w:p>
      <w:pPr>
        <w:pStyle w:val="ListParagraph"/>
        <w:numPr>
          <w:ilvl w:val="1"/>
          <w:numId w:val="23"/>
        </w:numPr>
        <w:tabs>
          <w:tab w:pos="1192" w:val="left" w:leader="none"/>
        </w:tabs>
        <w:spacing w:line="268" w:lineRule="exact" w:before="0" w:after="0"/>
        <w:ind w:left="1191" w:right="0" w:hanging="530"/>
        <w:jc w:val="left"/>
        <w:rPr>
          <w:sz w:val="21"/>
        </w:rPr>
      </w:pPr>
      <w:r>
        <w:rPr>
          <w:spacing w:val="-3"/>
          <w:sz w:val="21"/>
        </w:rPr>
        <w:t>关于控股股东与上市公司的关系：</w:t>
      </w:r>
    </w:p>
    <w:p>
      <w:pPr>
        <w:pStyle w:val="BodyText"/>
        <w:spacing w:line="364" w:lineRule="auto" w:before="139"/>
        <w:ind w:left="238" w:right="313" w:firstLine="424"/>
        <w:jc w:val="both"/>
      </w:pPr>
      <w:r>
        <w:rPr/>
        <w:t>控股股东行为规范，没有超越股东大会直接或间接干预公司的决策和经营活动；公司与控股股东在人员、资产、财务、机构和业务方面做到独立，公司董事会、监事会和内部机构能够独立运作。公司在《公司章程》、《关联交易公允决策制度》、《关于规范与关联方资金往来的管理制度》、《与海尔集团财务有限责任公司关联交易的风险控制制度》、《关于在海尔集团财务有限责任公司存款风险的应急处置预案》中对规范关联交易及规范关联资金往来等作出了具体的规定，保障投资者的利益。日常关联交易经年度股东大会审议通过后，在执行过程中设定专门的审核流程，由专门的部门对关联交易的定价依据、业务协议制定的合理性等进行监督审核，规范关联交易执行，公司内控及内控审计等也会重点核查关联交易的合规性，以保护中小股东和非关联</w:t>
      </w:r>
    </w:p>
    <w:p>
      <w:pPr>
        <w:spacing w:after="0" w:line="364" w:lineRule="auto"/>
        <w:jc w:val="both"/>
        <w:sectPr>
          <w:pgSz w:w="11910" w:h="16840"/>
          <w:pgMar w:header="872" w:footer="1214" w:top="1440" w:bottom="1400" w:left="1560" w:right="960"/>
        </w:sectPr>
      </w:pPr>
    </w:p>
    <w:p>
      <w:pPr>
        <w:pStyle w:val="BodyText"/>
        <w:spacing w:line="367" w:lineRule="auto" w:before="68"/>
        <w:ind w:left="238" w:right="317"/>
      </w:pPr>
      <w:r>
        <w:rPr/>
        <w:t>股东的利益。报告期内，公司自主采购平台自行采购的力度及范围匹配业务情况，公司采购功能不断强化，进一步优化关联交易。</w:t>
      </w:r>
    </w:p>
    <w:p>
      <w:pPr>
        <w:pStyle w:val="ListParagraph"/>
        <w:numPr>
          <w:ilvl w:val="1"/>
          <w:numId w:val="23"/>
        </w:numPr>
        <w:tabs>
          <w:tab w:pos="1192" w:val="left" w:leader="none"/>
        </w:tabs>
        <w:spacing w:line="265" w:lineRule="exact" w:before="0" w:after="0"/>
        <w:ind w:left="1191" w:right="0" w:hanging="530"/>
        <w:jc w:val="left"/>
        <w:rPr>
          <w:sz w:val="21"/>
        </w:rPr>
      </w:pPr>
      <w:r>
        <w:rPr>
          <w:spacing w:val="-3"/>
          <w:sz w:val="21"/>
        </w:rPr>
        <w:t>关于董事与董事会：</w:t>
      </w:r>
    </w:p>
    <w:p>
      <w:pPr>
        <w:pStyle w:val="BodyText"/>
        <w:spacing w:line="364" w:lineRule="auto" w:before="139"/>
        <w:ind w:left="238" w:right="308" w:firstLine="424"/>
        <w:jc w:val="both"/>
      </w:pPr>
      <w:r>
        <w:rPr>
          <w:spacing w:val="-3"/>
        </w:rPr>
        <w:t>报告期内，公司董事会运作规范，能够继续较好的履行《公司章程》及相关法律法规赋予的职能，落实股东大会相关决策。公司董事会的人数和人员构成符合法律、法规的要求，各位董事能够以认真负责、勤勉诚信的态度出席董事会和股东大会，维护公司利益。报告期内，公司外部</w:t>
      </w:r>
      <w:r>
        <w:rPr>
          <w:spacing w:val="-11"/>
        </w:rPr>
        <w:t>董事人数共 </w:t>
      </w:r>
      <w:r>
        <w:rPr>
          <w:rFonts w:ascii="Times New Roman" w:hAnsi="Times New Roman" w:eastAsia="Times New Roman"/>
        </w:rPr>
        <w:t>5 </w:t>
      </w:r>
      <w:r>
        <w:rPr>
          <w:spacing w:val="-3"/>
        </w:rPr>
        <w:t>人（</w:t>
      </w:r>
      <w:r>
        <w:rPr>
          <w:spacing w:val="-23"/>
        </w:rPr>
        <w:t>含 </w:t>
      </w:r>
      <w:r>
        <w:rPr>
          <w:rFonts w:ascii="Times New Roman" w:hAnsi="Times New Roman" w:eastAsia="Times New Roman"/>
        </w:rPr>
        <w:t>3 </w:t>
      </w:r>
      <w:r>
        <w:rPr>
          <w:spacing w:val="-3"/>
        </w:rPr>
        <w:t>名独立董事</w:t>
      </w:r>
      <w:r>
        <w:rPr/>
        <w:t>）</w:t>
      </w:r>
      <w:r>
        <w:rPr>
          <w:spacing w:val="-3"/>
        </w:rPr>
        <w:t>，占公司董事总人数</w:t>
      </w:r>
      <w:r>
        <w:rPr/>
        <w:t>（</w:t>
      </w:r>
      <w:r>
        <w:rPr>
          <w:rFonts w:ascii="Times New Roman" w:hAnsi="Times New Roman" w:eastAsia="Times New Roman"/>
        </w:rPr>
        <w:t>8 </w:t>
      </w:r>
      <w:r>
        <w:rPr/>
        <w:t>人</w:t>
      </w:r>
      <w:r>
        <w:rPr>
          <w:spacing w:val="-3"/>
        </w:rPr>
        <w:t>）的比重较大，继续保持开放的</w:t>
      </w:r>
      <w:r>
        <w:rPr>
          <w:spacing w:val="-16"/>
        </w:rPr>
        <w:t>董事会结构，更好的为公司引入“智”资源，且公司独立董事在董事会下设的提名、薪酬与考核、</w:t>
      </w:r>
      <w:r>
        <w:rPr>
          <w:spacing w:val="-7"/>
        </w:rPr>
        <w:t>审计委员会均担任主任委员，很好的履行了职责，符合《上市公司治理准则》等的要求。</w:t>
      </w:r>
    </w:p>
    <w:p>
      <w:pPr>
        <w:pStyle w:val="BodyText"/>
        <w:spacing w:line="364" w:lineRule="auto"/>
        <w:ind w:left="238" w:right="312" w:firstLine="499"/>
        <w:jc w:val="both"/>
      </w:pPr>
      <w:r>
        <w:rPr>
          <w:spacing w:val="-10"/>
        </w:rPr>
        <w:t>报告期内，各董事、独立董事能够严格按照《公司章程》、《董事会议事规则》、《独立董</w:t>
      </w:r>
      <w:r>
        <w:rPr>
          <w:spacing w:val="-5"/>
        </w:rPr>
        <w:t>事制度》以及相关法律法规的要求认真履行职责，各专业委员会也能严格按照其实施细则规范运</w:t>
      </w:r>
      <w:r>
        <w:rPr>
          <w:spacing w:val="-4"/>
        </w:rPr>
        <w:t>作。报告期内，公司董事会审议推进员工持股计划、定期报告等相关事项，推进公司进一步整合</w:t>
      </w:r>
      <w:r>
        <w:rPr>
          <w:spacing w:val="-3"/>
        </w:rPr>
        <w:t>资源，更好的落实发展战略。</w:t>
      </w:r>
    </w:p>
    <w:p>
      <w:pPr>
        <w:pStyle w:val="ListParagraph"/>
        <w:numPr>
          <w:ilvl w:val="1"/>
          <w:numId w:val="23"/>
        </w:numPr>
        <w:tabs>
          <w:tab w:pos="1267" w:val="left" w:leader="none"/>
        </w:tabs>
        <w:spacing w:line="268" w:lineRule="exact" w:before="0" w:after="0"/>
        <w:ind w:left="1266" w:right="0" w:hanging="530"/>
        <w:jc w:val="left"/>
        <w:rPr>
          <w:sz w:val="21"/>
        </w:rPr>
      </w:pPr>
      <w:r>
        <w:rPr>
          <w:spacing w:val="-3"/>
          <w:sz w:val="21"/>
        </w:rPr>
        <w:t>关于监事和监事会：</w:t>
      </w:r>
    </w:p>
    <w:p>
      <w:pPr>
        <w:pStyle w:val="BodyText"/>
        <w:spacing w:line="367" w:lineRule="auto" w:before="136"/>
        <w:ind w:left="238" w:right="313" w:firstLine="424"/>
      </w:pPr>
      <w:r>
        <w:rPr/>
        <w:t>报告期内，公司监事会运作规范，能够继续较好的履行《公司章程》及相关法律法规赋予的职能。公司监事会的人数和人员构成符合法律、法规的要求。报告期内，公司监事能够严格按照</w:t>
      </w:r>
    </w:p>
    <w:p>
      <w:pPr>
        <w:pStyle w:val="BodyText"/>
        <w:spacing w:line="364" w:lineRule="auto"/>
        <w:ind w:left="238" w:right="317"/>
        <w:jc w:val="both"/>
      </w:pPr>
      <w:r>
        <w:rPr/>
        <w:t>《公司章程》、《监事会议事规则》以及相关法律法规的要求，认真履行自己的职责，本着对公司及股东负责的原则，对公司财务以及公司董事、公司经理和其他高级管理人员履行职责的合法合规性进行监督。</w:t>
      </w:r>
    </w:p>
    <w:p>
      <w:pPr>
        <w:pStyle w:val="ListParagraph"/>
        <w:numPr>
          <w:ilvl w:val="1"/>
          <w:numId w:val="23"/>
        </w:numPr>
        <w:tabs>
          <w:tab w:pos="1192" w:val="left" w:leader="none"/>
        </w:tabs>
        <w:spacing w:line="267" w:lineRule="exact" w:before="0" w:after="0"/>
        <w:ind w:left="1191" w:right="0" w:hanging="530"/>
        <w:jc w:val="left"/>
        <w:rPr>
          <w:sz w:val="21"/>
        </w:rPr>
      </w:pPr>
      <w:r>
        <w:rPr>
          <w:spacing w:val="-3"/>
          <w:sz w:val="21"/>
        </w:rPr>
        <w:t>关于绩效评价与激励约束机制：</w:t>
      </w:r>
    </w:p>
    <w:p>
      <w:pPr>
        <w:pStyle w:val="BodyText"/>
        <w:spacing w:line="364" w:lineRule="auto" w:before="136"/>
        <w:ind w:left="238" w:right="308" w:firstLine="424"/>
        <w:jc w:val="both"/>
      </w:pPr>
      <w:r>
        <w:rPr>
          <w:spacing w:val="-3"/>
        </w:rPr>
        <w:t>根据公司章程规定，由董事会聘任或者解聘公司总裁、董事会秘书；根据总裁的提名，聘任</w:t>
      </w:r>
      <w:r>
        <w:rPr>
          <w:spacing w:val="-14"/>
        </w:rPr>
        <w:t>或者解聘公司副总裁、财务负责人等高级管理人员，并决定其报酬事项和奖惩事项。董事、监事、</w:t>
      </w:r>
      <w:r>
        <w:rPr>
          <w:spacing w:val="-7"/>
        </w:rPr>
        <w:t>高级管理人员的绩效评价由公司人力资源部进行日常考核与测评，年末由薪酬考核委员会进行考</w:t>
      </w:r>
      <w:r>
        <w:rPr>
          <w:spacing w:val="-5"/>
        </w:rPr>
        <w:t>核评定，确定其报酬情况。</w:t>
      </w:r>
    </w:p>
    <w:p>
      <w:pPr>
        <w:pStyle w:val="BodyText"/>
        <w:spacing w:line="364" w:lineRule="auto"/>
        <w:ind w:left="238" w:right="313" w:firstLine="424"/>
        <w:jc w:val="both"/>
      </w:pPr>
      <w:r>
        <w:rPr/>
        <w:t>报告期内，公司推进了员工持股计划的归属等，进一步健全了公司激励、约束机制，及股东与经营管理层之间的利益共享、风险共担机制，有利于增强公司的竞争实力，促进公司持续健康发展。</w:t>
      </w:r>
    </w:p>
    <w:p>
      <w:pPr>
        <w:pStyle w:val="ListParagraph"/>
        <w:numPr>
          <w:ilvl w:val="1"/>
          <w:numId w:val="23"/>
        </w:numPr>
        <w:tabs>
          <w:tab w:pos="1192" w:val="left" w:leader="none"/>
        </w:tabs>
        <w:spacing w:line="267" w:lineRule="exact" w:before="0" w:after="0"/>
        <w:ind w:left="1191" w:right="0" w:hanging="530"/>
        <w:jc w:val="left"/>
        <w:rPr>
          <w:sz w:val="21"/>
        </w:rPr>
      </w:pPr>
      <w:r>
        <w:rPr>
          <w:spacing w:val="-3"/>
          <w:sz w:val="21"/>
        </w:rPr>
        <w:t>关于利益相关者：</w:t>
      </w:r>
    </w:p>
    <w:p>
      <w:pPr>
        <w:pStyle w:val="BodyText"/>
        <w:spacing w:line="364" w:lineRule="auto" w:before="138"/>
        <w:ind w:left="238" w:right="313" w:firstLine="424"/>
        <w:jc w:val="both"/>
      </w:pPr>
      <w:r>
        <w:rPr/>
        <w:t>公司能够充分尊重和维护供应商、渠道商、银行及其他债权人、职工、消费者等其他利益相关者的合法权益，积极参与所在区域的公益事业，注重环境保护，认真履行应尽的社会责任，通过良好的沟通，积极的合作，共同推动公司持续、健康地发展（详见与本报告同日披露的《海尔智家股份有限公司 </w:t>
      </w:r>
      <w:r>
        <w:rPr>
          <w:rFonts w:ascii="Times New Roman" w:eastAsia="Times New Roman"/>
        </w:rPr>
        <w:t>2020 </w:t>
      </w:r>
      <w:r>
        <w:rPr/>
        <w:t>年社会责任报告》中的相关内容）。</w:t>
      </w:r>
    </w:p>
    <w:p>
      <w:pPr>
        <w:pStyle w:val="ListParagraph"/>
        <w:numPr>
          <w:ilvl w:val="1"/>
          <w:numId w:val="23"/>
        </w:numPr>
        <w:tabs>
          <w:tab w:pos="1192" w:val="left" w:leader="none"/>
        </w:tabs>
        <w:spacing w:line="268" w:lineRule="exact" w:before="0" w:after="0"/>
        <w:ind w:left="1191" w:right="0" w:hanging="530"/>
        <w:jc w:val="left"/>
        <w:rPr>
          <w:sz w:val="21"/>
        </w:rPr>
      </w:pPr>
      <w:r>
        <w:rPr>
          <w:spacing w:val="-3"/>
          <w:sz w:val="21"/>
        </w:rPr>
        <w:t>关于信息披露与透明度：</w:t>
      </w:r>
    </w:p>
    <w:p>
      <w:pPr>
        <w:spacing w:after="0" w:line="268" w:lineRule="exact"/>
        <w:jc w:val="left"/>
        <w:rPr>
          <w:sz w:val="21"/>
        </w:rPr>
        <w:sectPr>
          <w:pgSz w:w="11910" w:h="16840"/>
          <w:pgMar w:header="872" w:footer="1214" w:top="1440" w:bottom="1400" w:left="1560" w:right="960"/>
        </w:sectPr>
      </w:pPr>
    </w:p>
    <w:p>
      <w:pPr>
        <w:pStyle w:val="BodyText"/>
        <w:spacing w:line="364" w:lineRule="auto" w:before="68"/>
        <w:ind w:left="238" w:right="308" w:firstLine="424"/>
        <w:jc w:val="both"/>
      </w:pPr>
      <w:r>
        <w:rPr>
          <w:spacing w:val="-3"/>
        </w:rPr>
        <w:t>报告期内，公司严格按照《公司章程》、《信息披露管理办法》等法律法规和《公司信息披露管理制度》、《年度报告工作制度及规程》、《投资者关系管理制度》等的要求，积极完成信息披露，主动与监管部门及投资者等进行沟通，真实、准确、完整的披露相关信息，并指定《上海证券报》、《中国证券报》、《证券时报》、《证券日报》为公司信息披露的报纸，能够确保</w:t>
      </w:r>
      <w:r>
        <w:rPr>
          <w:spacing w:val="-13"/>
        </w:rPr>
        <w:t>所有股东有平等的机会获得信息。公司指定董事会秘书负责信息披露工作、接待股东来访和咨询， </w:t>
      </w:r>
      <w:r>
        <w:rPr>
          <w:spacing w:val="-6"/>
        </w:rPr>
        <w:t>同时通过定期报告后举办电话交流会以及不定期举办现场、网络沟通会的方式，拓宽投资者了解</w:t>
      </w:r>
      <w:r>
        <w:rPr>
          <w:spacing w:val="-4"/>
        </w:rPr>
        <w:t>公司的渠道。对于重大关联交易，均严格按照《公司章程》、《关联交易公允决策制度》等的要</w:t>
      </w:r>
      <w:r>
        <w:rPr>
          <w:spacing w:val="-11"/>
        </w:rPr>
        <w:t>求履行必要的审议程序并进行充分披露，维护投资者利益。报告期内，公司严格按照已建立的《内</w:t>
      </w:r>
      <w:r>
        <w:rPr>
          <w:spacing w:val="-6"/>
        </w:rPr>
        <w:t>幕信息知情人登记制度》、《年报信息披露重大差错责任追究制度》和《外部信息使用人管理制</w:t>
      </w:r>
      <w:r>
        <w:rPr>
          <w:spacing w:val="-4"/>
        </w:rPr>
        <w:t>度》的相关规定执行，进一步完善了信息披露工作的保密流程，确保信息披露的公平公正。</w:t>
      </w:r>
    </w:p>
    <w:p>
      <w:pPr>
        <w:pStyle w:val="BodyText"/>
        <w:spacing w:line="268" w:lineRule="exact"/>
        <w:ind w:left="662"/>
        <w:jc w:val="both"/>
      </w:pPr>
      <w:r>
        <w:rPr/>
        <w:t>（</w:t>
      </w:r>
      <w:r>
        <w:rPr>
          <w:rFonts w:ascii="Times New Roman" w:eastAsia="Times New Roman"/>
        </w:rPr>
        <w:t>8</w:t>
      </w:r>
      <w:r>
        <w:rPr/>
        <w:t>）</w:t>
      </w:r>
      <w:r>
        <w:rPr>
          <w:rFonts w:ascii="Times New Roman" w:eastAsia="Times New Roman"/>
        </w:rPr>
        <w:t>2020 </w:t>
      </w:r>
      <w:r>
        <w:rPr/>
        <w:t>年公司治理专项活动开展情况：</w:t>
      </w:r>
    </w:p>
    <w:p>
      <w:pPr>
        <w:pStyle w:val="BodyText"/>
        <w:spacing w:line="364" w:lineRule="auto" w:before="139"/>
        <w:ind w:left="238" w:right="312" w:firstLine="424"/>
        <w:jc w:val="both"/>
      </w:pPr>
      <w:r>
        <w:rPr>
          <w:spacing w:val="-3"/>
        </w:rPr>
        <w:t>报告期内，公司继续深入推进</w:t>
      </w:r>
      <w:r>
        <w:rPr>
          <w:rFonts w:ascii="Times New Roman" w:eastAsia="Times New Roman"/>
          <w:spacing w:val="-3"/>
        </w:rPr>
        <w:t>"</w:t>
      </w:r>
      <w:r>
        <w:rPr>
          <w:spacing w:val="-3"/>
        </w:rPr>
        <w:t>解决同业竞争、减少关联交易</w:t>
      </w:r>
      <w:r>
        <w:rPr>
          <w:rFonts w:ascii="Times New Roman" w:eastAsia="Times New Roman"/>
          <w:spacing w:val="-3"/>
        </w:rPr>
        <w:t>"</w:t>
      </w:r>
      <w:r>
        <w:rPr>
          <w:spacing w:val="-3"/>
        </w:rPr>
        <w:t>相关工作，保持公司优化治理成果。</w:t>
      </w:r>
      <w:r>
        <w:rPr>
          <w:rFonts w:ascii="Times New Roman" w:eastAsia="Times New Roman"/>
        </w:rPr>
        <w:t>2020 </w:t>
      </w:r>
      <w:r>
        <w:rPr>
          <w:spacing w:val="-6"/>
        </w:rPr>
        <w:t>年度，公司采购类关联交易额 </w:t>
      </w:r>
      <w:r>
        <w:rPr>
          <w:rFonts w:ascii="Times New Roman" w:eastAsia="Times New Roman"/>
        </w:rPr>
        <w:t>228 </w:t>
      </w:r>
      <w:r>
        <w:rPr>
          <w:spacing w:val="-7"/>
        </w:rPr>
        <w:t>亿元，占同类交易的比例 </w:t>
      </w:r>
      <w:r>
        <w:rPr>
          <w:rFonts w:ascii="Times New Roman" w:eastAsia="Times New Roman"/>
          <w:spacing w:val="-3"/>
        </w:rPr>
        <w:t>11.9%</w:t>
      </w:r>
      <w:r>
        <w:rPr>
          <w:spacing w:val="-3"/>
        </w:rPr>
        <w:t>，同比维稳；销售</w:t>
      </w:r>
      <w:r>
        <w:rPr>
          <w:spacing w:val="-9"/>
        </w:rPr>
        <w:t>类关联交易额 </w:t>
      </w:r>
      <w:r>
        <w:rPr>
          <w:rFonts w:ascii="Times New Roman" w:eastAsia="Times New Roman"/>
        </w:rPr>
        <w:t>28 </w:t>
      </w:r>
      <w:r>
        <w:rPr>
          <w:spacing w:val="-7"/>
        </w:rPr>
        <w:t>亿元，占同类交易的比例 </w:t>
      </w:r>
      <w:r>
        <w:rPr>
          <w:rFonts w:ascii="Times New Roman" w:eastAsia="Times New Roman"/>
        </w:rPr>
        <w:t>1.3%</w:t>
      </w:r>
      <w:r>
        <w:rPr>
          <w:spacing w:val="-3"/>
        </w:rPr>
        <w:t>，同比维稳。关联交易保持了前期的优化效果， 公司将继续推进关联交易的不断优化</w:t>
      </w:r>
      <w:r>
        <w:rPr/>
        <w:t>（</w:t>
      </w:r>
      <w:r>
        <w:rPr>
          <w:spacing w:val="-3"/>
        </w:rPr>
        <w:t>此处关联交易系指公司与按照中国、德国、中国香港证券交易所股票上市规则等规定确定的关联方之间发生的交易，因此其范围及关联交易金额等可能较审计报告中根据《企业会计准则》等确定的关联方范围有差异</w:t>
      </w:r>
      <w:r>
        <w:rPr/>
        <w:t>）。</w:t>
      </w:r>
    </w:p>
    <w:p>
      <w:pPr>
        <w:pStyle w:val="BodyText"/>
        <w:spacing w:line="364" w:lineRule="auto"/>
        <w:ind w:left="238" w:right="313" w:firstLine="424"/>
        <w:jc w:val="both"/>
      </w:pPr>
      <w:r>
        <w:rPr/>
        <w:t>通过继续深入开展治理活动、加强公司基础制度建设，公司进一步改善了公司治理结构、提升了公司治理水平。公司利用各种机会强化学习，进一步加强上市公司董事、监事、高级管理人员对上市公司规范治理的意识，提高规范治理能力，不断改进和完善公司治理水平，维护中小股东利益，保障和促进公司健康、稳步、可持续发展。 </w:t>
      </w:r>
    </w:p>
    <w:p>
      <w:pPr>
        <w:pStyle w:val="BodyText"/>
        <w:spacing w:before="7"/>
        <w:rPr>
          <w:sz w:val="18"/>
        </w:rPr>
      </w:pPr>
    </w:p>
    <w:p>
      <w:pPr>
        <w:pStyle w:val="BodyText"/>
        <w:ind w:left="238"/>
      </w:pPr>
      <w:r>
        <w:rPr/>
        <w:t>公司治理与中国证监会相关规定的要求是否存在重大差异；如有重大差异，应当说明原因</w:t>
      </w:r>
    </w:p>
    <w:p>
      <w:pPr>
        <w:spacing w:line="571" w:lineRule="auto" w:before="139"/>
        <w:ind w:left="238" w:right="7032" w:firstLine="424"/>
        <w:jc w:val="left"/>
        <w:rPr>
          <w:rFonts w:ascii="Microsoft JhengHei" w:hAnsi="Microsoft JhengHei" w:eastAsia="Microsoft JhengHei" w:hint="eastAsia"/>
          <w:b/>
          <w:sz w:val="21"/>
        </w:rPr>
      </w:pPr>
      <w:r>
        <w:rPr/>
        <w:pict>
          <v:shape style="position:absolute;margin-left:83.783997pt;margin-top:58.970009pt;width:454.65pt;height:167.35pt;mso-position-horizontal-relative:page;mso-position-vertical-relative:paragraph;z-index:251662336"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12"/>
                    <w:gridCol w:w="1767"/>
                    <w:gridCol w:w="3119"/>
                    <w:gridCol w:w="1853"/>
                  </w:tblGrid>
                  <w:tr>
                    <w:trPr>
                      <w:trHeight w:val="546" w:hRule="atLeast"/>
                    </w:trPr>
                    <w:tc>
                      <w:tcPr>
                        <w:tcW w:w="2312" w:type="dxa"/>
                        <w:tcBorders>
                          <w:bottom w:val="single" w:sz="4" w:space="0" w:color="000000"/>
                          <w:right w:val="single" w:sz="4" w:space="0" w:color="000000"/>
                        </w:tcBorders>
                        <w:shd w:val="clear" w:color="auto" w:fill="EDEBE0"/>
                      </w:tcPr>
                      <w:p>
                        <w:pPr>
                          <w:pStyle w:val="TableParagraph"/>
                          <w:spacing w:before="137"/>
                          <w:ind w:left="733"/>
                          <w:rPr>
                            <w:rFonts w:ascii="宋体" w:eastAsia="宋体" w:hint="eastAsia"/>
                            <w:sz w:val="21"/>
                          </w:rPr>
                        </w:pPr>
                        <w:r>
                          <w:rPr>
                            <w:rFonts w:ascii="宋体" w:eastAsia="宋体" w:hint="eastAsia"/>
                            <w:sz w:val="21"/>
                          </w:rPr>
                          <w:t>会议届次</w:t>
                        </w:r>
                      </w:p>
                    </w:tc>
                    <w:tc>
                      <w:tcPr>
                        <w:tcW w:w="1767" w:type="dxa"/>
                        <w:tcBorders>
                          <w:left w:val="single" w:sz="4" w:space="0" w:color="000000"/>
                          <w:bottom w:val="single" w:sz="4" w:space="0" w:color="000000"/>
                          <w:right w:val="single" w:sz="4" w:space="0" w:color="000000"/>
                        </w:tcBorders>
                        <w:shd w:val="clear" w:color="auto" w:fill="EDEBE0"/>
                      </w:tcPr>
                      <w:p>
                        <w:pPr>
                          <w:pStyle w:val="TableParagraph"/>
                          <w:spacing w:before="137"/>
                          <w:ind w:left="42" w:right="17"/>
                          <w:jc w:val="center"/>
                          <w:rPr>
                            <w:rFonts w:ascii="宋体" w:eastAsia="宋体" w:hint="eastAsia"/>
                            <w:sz w:val="21"/>
                          </w:rPr>
                        </w:pPr>
                        <w:r>
                          <w:rPr>
                            <w:rFonts w:ascii="宋体" w:eastAsia="宋体" w:hint="eastAsia"/>
                            <w:sz w:val="21"/>
                          </w:rPr>
                          <w:t>召开日期</w:t>
                        </w:r>
                      </w:p>
                    </w:tc>
                    <w:tc>
                      <w:tcPr>
                        <w:tcW w:w="3119" w:type="dxa"/>
                        <w:tcBorders>
                          <w:left w:val="single" w:sz="4" w:space="0" w:color="000000"/>
                          <w:bottom w:val="single" w:sz="4" w:space="0" w:color="000000"/>
                          <w:right w:val="single" w:sz="4" w:space="0" w:color="000000"/>
                        </w:tcBorders>
                        <w:shd w:val="clear" w:color="auto" w:fill="EDEBE0"/>
                      </w:tcPr>
                      <w:p>
                        <w:pPr>
                          <w:pStyle w:val="TableParagraph"/>
                          <w:spacing w:line="270" w:lineRule="atLeast" w:before="2"/>
                          <w:ind w:left="1460" w:right="172" w:hanging="1261"/>
                          <w:rPr>
                            <w:rFonts w:ascii="宋体" w:eastAsia="宋体" w:hint="eastAsia"/>
                            <w:sz w:val="21"/>
                          </w:rPr>
                        </w:pPr>
                        <w:r>
                          <w:rPr>
                            <w:rFonts w:ascii="宋体" w:eastAsia="宋体" w:hint="eastAsia"/>
                            <w:sz w:val="21"/>
                          </w:rPr>
                          <w:t>决议刊登的指定网站的查询索引</w:t>
                        </w:r>
                      </w:p>
                    </w:tc>
                    <w:tc>
                      <w:tcPr>
                        <w:tcW w:w="1853" w:type="dxa"/>
                        <w:tcBorders>
                          <w:left w:val="single" w:sz="4" w:space="0" w:color="000000"/>
                          <w:bottom w:val="single" w:sz="4" w:space="0" w:color="000000"/>
                        </w:tcBorders>
                        <w:shd w:val="clear" w:color="auto" w:fill="EDEBE0"/>
                      </w:tcPr>
                      <w:p>
                        <w:pPr>
                          <w:pStyle w:val="TableParagraph"/>
                          <w:spacing w:line="270" w:lineRule="atLeast" w:before="2"/>
                          <w:ind w:left="723" w:right="159" w:hanging="526"/>
                          <w:rPr>
                            <w:rFonts w:ascii="宋体" w:eastAsia="宋体" w:hint="eastAsia"/>
                            <w:sz w:val="21"/>
                          </w:rPr>
                        </w:pPr>
                        <w:r>
                          <w:rPr>
                            <w:rFonts w:ascii="宋体" w:eastAsia="宋体" w:hint="eastAsia"/>
                            <w:sz w:val="21"/>
                          </w:rPr>
                          <w:t>决议刊登的披露日期</w:t>
                        </w:r>
                      </w:p>
                    </w:tc>
                  </w:tr>
                  <w:tr>
                    <w:trPr>
                      <w:trHeight w:val="1361" w:hRule="atLeast"/>
                    </w:trPr>
                    <w:tc>
                      <w:tcPr>
                        <w:tcW w:w="2312" w:type="dxa"/>
                        <w:tcBorders>
                          <w:top w:val="single" w:sz="4" w:space="0" w:color="000000"/>
                          <w:bottom w:val="single" w:sz="4" w:space="0" w:color="000000"/>
                          <w:right w:val="single" w:sz="4" w:space="0" w:color="000000"/>
                        </w:tcBorders>
                      </w:tcPr>
                      <w:p>
                        <w:pPr>
                          <w:pStyle w:val="TableParagraph"/>
                          <w:spacing w:before="5"/>
                          <w:rPr>
                            <w:rFonts w:ascii="Microsoft JhengHei"/>
                            <w:b/>
                            <w:sz w:val="22"/>
                          </w:rPr>
                        </w:pPr>
                      </w:p>
                      <w:p>
                        <w:pPr>
                          <w:pStyle w:val="TableParagraph"/>
                          <w:spacing w:line="242" w:lineRule="auto"/>
                          <w:ind w:left="107" w:right="86"/>
                          <w:rPr>
                            <w:rFonts w:ascii="宋体" w:eastAsia="宋体" w:hint="eastAsia"/>
                            <w:sz w:val="21"/>
                          </w:rPr>
                        </w:pPr>
                        <w:r>
                          <w:rPr>
                            <w:sz w:val="21"/>
                          </w:rPr>
                          <w:t>2020 </w:t>
                        </w:r>
                        <w:r>
                          <w:rPr>
                            <w:rFonts w:ascii="宋体" w:eastAsia="宋体" w:hint="eastAsia"/>
                            <w:sz w:val="21"/>
                          </w:rPr>
                          <w:t>年第一次临时股东大会</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before="13"/>
                          <w:rPr>
                            <w:rFonts w:ascii="Microsoft JhengHei"/>
                            <w:b/>
                            <w:sz w:val="29"/>
                          </w:rPr>
                        </w:pPr>
                      </w:p>
                      <w:p>
                        <w:pPr>
                          <w:pStyle w:val="TableParagraph"/>
                          <w:ind w:left="42" w:right="17"/>
                          <w:jc w:val="center"/>
                          <w:rPr>
                            <w:rFonts w:ascii="宋体" w:eastAsia="宋体" w:hint="eastAsia"/>
                            <w:sz w:val="21"/>
                          </w:rPr>
                        </w:pPr>
                        <w:r>
                          <w:rPr>
                            <w:sz w:val="21"/>
                          </w:rPr>
                          <w:t>2020 </w:t>
                        </w:r>
                        <w:r>
                          <w:rPr>
                            <w:rFonts w:ascii="宋体" w:eastAsia="宋体" w:hint="eastAsia"/>
                            <w:spacing w:val="36"/>
                            <w:sz w:val="21"/>
                          </w:rPr>
                          <w:t>年</w:t>
                        </w:r>
                        <w:r>
                          <w:rPr>
                            <w:sz w:val="21"/>
                          </w:rPr>
                          <w:t>3 </w:t>
                        </w:r>
                        <w:r>
                          <w:rPr>
                            <w:rFonts w:ascii="宋体" w:eastAsia="宋体" w:hint="eastAsia"/>
                            <w:spacing w:val="-33"/>
                            <w:sz w:val="21"/>
                          </w:rPr>
                          <w:t>月 </w:t>
                        </w:r>
                        <w:r>
                          <w:rPr>
                            <w:sz w:val="21"/>
                          </w:rPr>
                          <w:t>31 </w:t>
                        </w:r>
                        <w:r>
                          <w:rPr>
                            <w:rFonts w:ascii="宋体" w:eastAsia="宋体" w:hint="eastAsia"/>
                            <w:sz w:val="21"/>
                          </w:rPr>
                          <w:t>日</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before="1"/>
                          <w:ind w:left="114"/>
                          <w:rPr>
                            <w:rFonts w:ascii="宋体" w:eastAsia="宋体" w:hint="eastAsia"/>
                            <w:sz w:val="21"/>
                          </w:rPr>
                        </w:pPr>
                        <w:r>
                          <w:rPr>
                            <w:rFonts w:ascii="宋体" w:eastAsia="宋体" w:hint="eastAsia"/>
                            <w:spacing w:val="30"/>
                            <w:sz w:val="21"/>
                          </w:rPr>
                          <w:t>详见公司刊登在上交所网站</w:t>
                        </w:r>
                      </w:p>
                      <w:p>
                        <w:pPr>
                          <w:pStyle w:val="TableParagraph"/>
                          <w:spacing w:line="242" w:lineRule="auto" w:before="2"/>
                          <w:ind w:left="114" w:right="86"/>
                          <w:jc w:val="both"/>
                          <w:rPr>
                            <w:rFonts w:ascii="宋体" w:eastAsia="宋体" w:hint="eastAsia"/>
                            <w:sz w:val="21"/>
                          </w:rPr>
                        </w:pPr>
                        <w:r>
                          <w:rPr>
                            <w:rFonts w:ascii="宋体" w:eastAsia="宋体" w:hint="eastAsia"/>
                            <w:sz w:val="21"/>
                          </w:rPr>
                          <w:t>（</w:t>
                        </w:r>
                        <w:hyperlink r:id="rId14">
                          <w:r>
                            <w:rPr>
                              <w:sz w:val="21"/>
                            </w:rPr>
                            <w:t>www.sse.com.cn</w:t>
                          </w:r>
                        </w:hyperlink>
                        <w:r>
                          <w:rPr>
                            <w:rFonts w:ascii="宋体" w:eastAsia="宋体" w:hint="eastAsia"/>
                            <w:sz w:val="21"/>
                          </w:rPr>
                          <w:t>）</w:t>
                        </w:r>
                        <w:r>
                          <w:rPr>
                            <w:rFonts w:ascii="宋体" w:eastAsia="宋体" w:hint="eastAsia"/>
                            <w:spacing w:val="-3"/>
                            <w:sz w:val="21"/>
                          </w:rPr>
                          <w:t>及四大证券</w:t>
                        </w:r>
                        <w:r>
                          <w:rPr>
                            <w:rFonts w:ascii="宋体" w:eastAsia="宋体" w:hint="eastAsia"/>
                            <w:spacing w:val="-8"/>
                            <w:sz w:val="21"/>
                          </w:rPr>
                          <w:t>报上的《海尔智家股份有限公司</w:t>
                        </w:r>
                        <w:r>
                          <w:rPr>
                            <w:sz w:val="21"/>
                          </w:rPr>
                          <w:t>2020</w:t>
                        </w:r>
                        <w:r>
                          <w:rPr>
                            <w:spacing w:val="9"/>
                            <w:sz w:val="21"/>
                          </w:rPr>
                          <w:t>  </w:t>
                        </w:r>
                        <w:r>
                          <w:rPr>
                            <w:rFonts w:ascii="宋体" w:eastAsia="宋体" w:hint="eastAsia"/>
                            <w:spacing w:val="3"/>
                            <w:sz w:val="21"/>
                          </w:rPr>
                          <w:t>年第一次临时股东大会决</w:t>
                        </w:r>
                      </w:p>
                      <w:p>
                        <w:pPr>
                          <w:pStyle w:val="TableParagraph"/>
                          <w:spacing w:line="250" w:lineRule="exact" w:before="4"/>
                          <w:ind w:left="114"/>
                          <w:jc w:val="both"/>
                          <w:rPr>
                            <w:rFonts w:ascii="宋体" w:eastAsia="宋体" w:hint="eastAsia"/>
                            <w:sz w:val="21"/>
                          </w:rPr>
                        </w:pPr>
                        <w:r>
                          <w:rPr>
                            <w:rFonts w:ascii="宋体" w:eastAsia="宋体" w:hint="eastAsia"/>
                            <w:sz w:val="21"/>
                          </w:rPr>
                          <w:t>议公告》（临 </w:t>
                        </w:r>
                        <w:r>
                          <w:rPr>
                            <w:sz w:val="21"/>
                          </w:rPr>
                          <w:t>2020-010</w:t>
                        </w:r>
                        <w:r>
                          <w:rPr>
                            <w:rFonts w:ascii="宋体" w:eastAsia="宋体" w:hint="eastAsia"/>
                            <w:sz w:val="21"/>
                          </w:rPr>
                          <w:t>）。</w:t>
                        </w:r>
                      </w:p>
                    </w:tc>
                    <w:tc>
                      <w:tcPr>
                        <w:tcW w:w="1853" w:type="dxa"/>
                        <w:tcBorders>
                          <w:top w:val="single" w:sz="4" w:space="0" w:color="000000"/>
                          <w:left w:val="single" w:sz="4" w:space="0" w:color="000000"/>
                          <w:bottom w:val="single" w:sz="4" w:space="0" w:color="000000"/>
                        </w:tcBorders>
                      </w:tcPr>
                      <w:p>
                        <w:pPr>
                          <w:pStyle w:val="TableParagraph"/>
                          <w:spacing w:before="13"/>
                          <w:rPr>
                            <w:rFonts w:ascii="Microsoft JhengHei"/>
                            <w:b/>
                            <w:sz w:val="29"/>
                          </w:rPr>
                        </w:pPr>
                      </w:p>
                      <w:p>
                        <w:pPr>
                          <w:pStyle w:val="TableParagraph"/>
                          <w:ind w:right="75"/>
                          <w:jc w:val="right"/>
                          <w:rPr>
                            <w:rFonts w:ascii="宋体" w:eastAsia="宋体" w:hint="eastAsia"/>
                            <w:sz w:val="21"/>
                          </w:rPr>
                        </w:pPr>
                        <w:r>
                          <w:rPr>
                            <w:sz w:val="21"/>
                          </w:rPr>
                          <w:t>2020 </w:t>
                        </w:r>
                        <w:r>
                          <w:rPr>
                            <w:rFonts w:ascii="宋体" w:eastAsia="宋体" w:hint="eastAsia"/>
                            <w:sz w:val="21"/>
                          </w:rPr>
                          <w:t>年 </w:t>
                        </w:r>
                        <w:r>
                          <w:rPr>
                            <w:sz w:val="21"/>
                          </w:rPr>
                          <w:t>4 </w:t>
                        </w:r>
                        <w:r>
                          <w:rPr>
                            <w:rFonts w:ascii="宋体" w:eastAsia="宋体" w:hint="eastAsia"/>
                            <w:sz w:val="21"/>
                          </w:rPr>
                          <w:t>月 </w:t>
                        </w:r>
                        <w:r>
                          <w:rPr>
                            <w:sz w:val="21"/>
                          </w:rPr>
                          <w:t>1 </w:t>
                        </w:r>
                        <w:r>
                          <w:rPr>
                            <w:rFonts w:ascii="宋体" w:eastAsia="宋体" w:hint="eastAsia"/>
                            <w:sz w:val="21"/>
                          </w:rPr>
                          <w:t>日</w:t>
                        </w:r>
                      </w:p>
                    </w:tc>
                  </w:tr>
                  <w:tr>
                    <w:trPr>
                      <w:trHeight w:val="1359" w:hRule="atLeast"/>
                    </w:trPr>
                    <w:tc>
                      <w:tcPr>
                        <w:tcW w:w="2312" w:type="dxa"/>
                        <w:tcBorders>
                          <w:top w:val="single" w:sz="4" w:space="0" w:color="000000"/>
                          <w:right w:val="single" w:sz="4" w:space="0" w:color="000000"/>
                        </w:tcBorders>
                      </w:tcPr>
                      <w:p>
                        <w:pPr>
                          <w:pStyle w:val="TableParagraph"/>
                          <w:spacing w:before="12"/>
                          <w:rPr>
                            <w:rFonts w:ascii="Microsoft JhengHei"/>
                            <w:b/>
                            <w:sz w:val="29"/>
                          </w:rPr>
                        </w:pPr>
                      </w:p>
                      <w:p>
                        <w:pPr>
                          <w:pStyle w:val="TableParagraph"/>
                          <w:ind w:left="107"/>
                          <w:rPr>
                            <w:rFonts w:ascii="宋体" w:eastAsia="宋体" w:hint="eastAsia"/>
                            <w:sz w:val="21"/>
                          </w:rPr>
                        </w:pPr>
                        <w:r>
                          <w:rPr>
                            <w:sz w:val="21"/>
                          </w:rPr>
                          <w:t>2019 </w:t>
                        </w:r>
                        <w:r>
                          <w:rPr>
                            <w:rFonts w:ascii="宋体" w:eastAsia="宋体" w:hint="eastAsia"/>
                            <w:sz w:val="21"/>
                          </w:rPr>
                          <w:t>年年度股东大会</w:t>
                        </w:r>
                      </w:p>
                    </w:tc>
                    <w:tc>
                      <w:tcPr>
                        <w:tcW w:w="1767" w:type="dxa"/>
                        <w:tcBorders>
                          <w:top w:val="single" w:sz="4" w:space="0" w:color="000000"/>
                          <w:left w:val="single" w:sz="4" w:space="0" w:color="000000"/>
                          <w:right w:val="single" w:sz="4" w:space="0" w:color="000000"/>
                        </w:tcBorders>
                      </w:tcPr>
                      <w:p>
                        <w:pPr>
                          <w:pStyle w:val="TableParagraph"/>
                          <w:spacing w:before="12"/>
                          <w:rPr>
                            <w:rFonts w:ascii="Microsoft JhengHei"/>
                            <w:b/>
                            <w:sz w:val="29"/>
                          </w:rPr>
                        </w:pPr>
                      </w:p>
                      <w:p>
                        <w:pPr>
                          <w:pStyle w:val="TableParagraph"/>
                          <w:ind w:left="71" w:right="17"/>
                          <w:jc w:val="center"/>
                          <w:rPr>
                            <w:rFonts w:ascii="宋体" w:eastAsia="宋体" w:hint="eastAsia"/>
                            <w:sz w:val="21"/>
                          </w:rPr>
                        </w:pPr>
                        <w:r>
                          <w:rPr>
                            <w:sz w:val="21"/>
                          </w:rPr>
                          <w:t>2020 </w:t>
                        </w:r>
                        <w:r>
                          <w:rPr>
                            <w:rFonts w:ascii="宋体" w:eastAsia="宋体" w:hint="eastAsia"/>
                            <w:sz w:val="21"/>
                          </w:rPr>
                          <w:t>年 </w:t>
                        </w:r>
                        <w:r>
                          <w:rPr>
                            <w:sz w:val="21"/>
                          </w:rPr>
                          <w:t>6 </w:t>
                        </w:r>
                        <w:r>
                          <w:rPr>
                            <w:rFonts w:ascii="宋体" w:eastAsia="宋体" w:hint="eastAsia"/>
                            <w:sz w:val="21"/>
                          </w:rPr>
                          <w:t>月 </w:t>
                        </w:r>
                        <w:r>
                          <w:rPr>
                            <w:sz w:val="21"/>
                          </w:rPr>
                          <w:t>3 </w:t>
                        </w:r>
                        <w:r>
                          <w:rPr>
                            <w:rFonts w:ascii="宋体" w:eastAsia="宋体" w:hint="eastAsia"/>
                            <w:sz w:val="21"/>
                          </w:rPr>
                          <w:t>日</w:t>
                        </w:r>
                      </w:p>
                    </w:tc>
                    <w:tc>
                      <w:tcPr>
                        <w:tcW w:w="3119" w:type="dxa"/>
                        <w:tcBorders>
                          <w:top w:val="single" w:sz="4" w:space="0" w:color="000000"/>
                          <w:left w:val="single" w:sz="4" w:space="0" w:color="000000"/>
                          <w:right w:val="single" w:sz="4" w:space="0" w:color="000000"/>
                        </w:tcBorders>
                      </w:tcPr>
                      <w:p>
                        <w:pPr>
                          <w:pStyle w:val="TableParagraph"/>
                          <w:spacing w:before="1"/>
                          <w:ind w:left="114"/>
                          <w:rPr>
                            <w:rFonts w:ascii="宋体" w:eastAsia="宋体" w:hint="eastAsia"/>
                            <w:sz w:val="21"/>
                          </w:rPr>
                        </w:pPr>
                        <w:r>
                          <w:rPr>
                            <w:rFonts w:ascii="宋体" w:eastAsia="宋体" w:hint="eastAsia"/>
                            <w:sz w:val="21"/>
                          </w:rPr>
                          <w:t>详见公司刊登在上交所网站</w:t>
                        </w:r>
                      </w:p>
                      <w:p>
                        <w:pPr>
                          <w:pStyle w:val="TableParagraph"/>
                          <w:spacing w:line="242" w:lineRule="auto" w:before="4"/>
                          <w:ind w:left="114" w:right="1"/>
                          <w:jc w:val="both"/>
                          <w:rPr>
                            <w:rFonts w:ascii="宋体" w:eastAsia="宋体" w:hint="eastAsia"/>
                            <w:sz w:val="21"/>
                          </w:rPr>
                        </w:pPr>
                        <w:r>
                          <w:rPr>
                            <w:rFonts w:ascii="宋体" w:eastAsia="宋体" w:hint="eastAsia"/>
                            <w:sz w:val="21"/>
                          </w:rPr>
                          <w:t>（</w:t>
                        </w:r>
                        <w:hyperlink r:id="rId14">
                          <w:r>
                            <w:rPr>
                              <w:sz w:val="21"/>
                            </w:rPr>
                            <w:t>www.sse.com.cn</w:t>
                          </w:r>
                        </w:hyperlink>
                        <w:r>
                          <w:rPr>
                            <w:rFonts w:ascii="宋体" w:eastAsia="宋体" w:hint="eastAsia"/>
                            <w:sz w:val="21"/>
                          </w:rPr>
                          <w:t>）及四大证券报上的《海尔智家股份有限公司</w:t>
                        </w:r>
                        <w:r>
                          <w:rPr>
                            <w:sz w:val="21"/>
                          </w:rPr>
                          <w:t>2019 </w:t>
                        </w:r>
                        <w:r>
                          <w:rPr>
                            <w:rFonts w:ascii="宋体" w:eastAsia="宋体" w:hint="eastAsia"/>
                            <w:sz w:val="21"/>
                          </w:rPr>
                          <w:t>年年度股东大会决议公告》</w:t>
                        </w:r>
                      </w:p>
                      <w:p>
                        <w:pPr>
                          <w:pStyle w:val="TableParagraph"/>
                          <w:spacing w:line="249" w:lineRule="exact" w:before="1"/>
                          <w:ind w:left="114"/>
                          <w:jc w:val="both"/>
                          <w:rPr>
                            <w:rFonts w:ascii="宋体" w:eastAsia="宋体" w:hint="eastAsia"/>
                            <w:sz w:val="21"/>
                          </w:rPr>
                        </w:pPr>
                        <w:r>
                          <w:rPr>
                            <w:rFonts w:ascii="宋体" w:eastAsia="宋体" w:hint="eastAsia"/>
                            <w:sz w:val="21"/>
                          </w:rPr>
                          <w:t>（临 </w:t>
                        </w:r>
                        <w:r>
                          <w:rPr>
                            <w:sz w:val="21"/>
                          </w:rPr>
                          <w:t>2020-029</w:t>
                        </w:r>
                        <w:r>
                          <w:rPr>
                            <w:rFonts w:ascii="宋体" w:eastAsia="宋体" w:hint="eastAsia"/>
                            <w:sz w:val="21"/>
                          </w:rPr>
                          <w:t>）。</w:t>
                        </w:r>
                      </w:p>
                    </w:tc>
                    <w:tc>
                      <w:tcPr>
                        <w:tcW w:w="1853" w:type="dxa"/>
                        <w:tcBorders>
                          <w:top w:val="single" w:sz="4" w:space="0" w:color="000000"/>
                          <w:left w:val="single" w:sz="4" w:space="0" w:color="000000"/>
                        </w:tcBorders>
                      </w:tcPr>
                      <w:p>
                        <w:pPr>
                          <w:pStyle w:val="TableParagraph"/>
                          <w:spacing w:before="12"/>
                          <w:rPr>
                            <w:rFonts w:ascii="Microsoft JhengHei"/>
                            <w:b/>
                            <w:sz w:val="29"/>
                          </w:rPr>
                        </w:pPr>
                      </w:p>
                      <w:p>
                        <w:pPr>
                          <w:pStyle w:val="TableParagraph"/>
                          <w:ind w:right="75"/>
                          <w:jc w:val="right"/>
                          <w:rPr>
                            <w:rFonts w:ascii="宋体" w:eastAsia="宋体" w:hint="eastAsia"/>
                            <w:sz w:val="21"/>
                          </w:rPr>
                        </w:pPr>
                        <w:r>
                          <w:rPr>
                            <w:sz w:val="21"/>
                          </w:rPr>
                          <w:t>2020 </w:t>
                        </w:r>
                        <w:r>
                          <w:rPr>
                            <w:rFonts w:ascii="宋体" w:eastAsia="宋体" w:hint="eastAsia"/>
                            <w:sz w:val="21"/>
                          </w:rPr>
                          <w:t>年 </w:t>
                        </w:r>
                        <w:r>
                          <w:rPr>
                            <w:sz w:val="21"/>
                          </w:rPr>
                          <w:t>6 </w:t>
                        </w:r>
                        <w:r>
                          <w:rPr>
                            <w:rFonts w:ascii="宋体" w:eastAsia="宋体" w:hint="eastAsia"/>
                            <w:sz w:val="21"/>
                          </w:rPr>
                          <w:t>月 </w:t>
                        </w:r>
                        <w:r>
                          <w:rPr>
                            <w:sz w:val="21"/>
                          </w:rPr>
                          <w:t>4 </w:t>
                        </w:r>
                        <w:r>
                          <w:rPr>
                            <w:rFonts w:ascii="宋体" w:eastAsia="宋体" w:hint="eastAsia"/>
                            <w:sz w:val="21"/>
                          </w:rPr>
                          <w:t>日</w:t>
                        </w:r>
                      </w:p>
                    </w:tc>
                  </w:tr>
                </w:tbl>
                <w:p>
                  <w:pPr>
                    <w:pStyle w:val="BodyText"/>
                  </w:pPr>
                </w:p>
              </w:txbxContent>
            </v:textbox>
            <w10:wrap type="none"/>
          </v:shape>
        </w:pict>
      </w:r>
      <w:r>
        <w:rPr>
          <w:rFonts w:ascii="Times New Roman" w:hAnsi="Times New Roman" w:eastAsia="Times New Roman"/>
          <w:sz w:val="21"/>
        </w:rPr>
        <w:t>□</w:t>
      </w:r>
      <w:r>
        <w:rPr>
          <w:sz w:val="21"/>
        </w:rPr>
        <w:t>适用 </w:t>
      </w:r>
      <w:r>
        <w:rPr>
          <w:rFonts w:ascii="Times New Roman" w:hAnsi="Times New Roman" w:eastAsia="Times New Roman"/>
          <w:sz w:val="21"/>
        </w:rPr>
        <w:t>√</w:t>
      </w:r>
      <w:r>
        <w:rPr>
          <w:sz w:val="21"/>
        </w:rPr>
        <w:t>不适用</w:t>
      </w:r>
      <w:r>
        <w:rPr>
          <w:rFonts w:ascii="Microsoft JhengHei" w:hAnsi="Microsoft JhengHei" w:eastAsia="Microsoft JhengHei" w:hint="eastAsia"/>
          <w:b/>
          <w:sz w:val="21"/>
        </w:rPr>
        <w:t>二、 股东大会情况简介</w:t>
      </w:r>
    </w:p>
    <w:p>
      <w:pPr>
        <w:spacing w:after="0" w:line="571" w:lineRule="auto"/>
        <w:jc w:val="left"/>
        <w:rPr>
          <w:rFonts w:ascii="Microsoft JhengHei" w:hAnsi="Microsoft JhengHei" w:eastAsia="Microsoft JhengHei" w:hint="eastAsia"/>
          <w:sz w:val="21"/>
        </w:rPr>
        <w:sectPr>
          <w:pgSz w:w="11910" w:h="16840"/>
          <w:pgMar w:header="872" w:footer="1214" w:top="1440" w:bottom="1400" w:left="1560" w:right="960"/>
        </w:sectPr>
      </w:pPr>
    </w:p>
    <w:p>
      <w:pPr>
        <w:pStyle w:val="BodyText"/>
        <w:spacing w:before="11"/>
        <w:rPr>
          <w:rFonts w:ascii="Microsoft JhengHei"/>
          <w:b/>
          <w:sz w:val="3"/>
        </w:rPr>
      </w:pPr>
    </w:p>
    <w:tbl>
      <w:tblPr>
        <w:tblW w:w="0" w:type="auto"/>
        <w:jc w:val="left"/>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12"/>
        <w:gridCol w:w="1767"/>
        <w:gridCol w:w="3119"/>
        <w:gridCol w:w="1853"/>
      </w:tblGrid>
      <w:tr>
        <w:trPr>
          <w:trHeight w:val="536" w:hRule="atLeast"/>
        </w:trPr>
        <w:tc>
          <w:tcPr>
            <w:tcW w:w="2312" w:type="dxa"/>
            <w:tcBorders>
              <w:bottom w:val="single" w:sz="4" w:space="0" w:color="000000"/>
              <w:right w:val="single" w:sz="4" w:space="0" w:color="000000"/>
            </w:tcBorders>
          </w:tcPr>
          <w:p>
            <w:pPr>
              <w:pStyle w:val="TableParagraph"/>
              <w:spacing w:line="270" w:lineRule="atLeast" w:before="2"/>
              <w:ind w:left="107" w:right="86"/>
              <w:rPr>
                <w:rFonts w:ascii="宋体" w:eastAsia="宋体" w:hint="eastAsia"/>
                <w:sz w:val="21"/>
              </w:rPr>
            </w:pPr>
            <w:r>
              <w:rPr>
                <w:sz w:val="21"/>
              </w:rPr>
              <w:t>2020 </w:t>
            </w:r>
            <w:r>
              <w:rPr>
                <w:rFonts w:ascii="宋体" w:eastAsia="宋体" w:hint="eastAsia"/>
                <w:sz w:val="21"/>
              </w:rPr>
              <w:t>年第二次临时股东大会</w:t>
            </w:r>
          </w:p>
        </w:tc>
        <w:tc>
          <w:tcPr>
            <w:tcW w:w="1767" w:type="dxa"/>
            <w:vMerge w:val="restart"/>
            <w:tcBorders>
              <w:left w:val="single" w:sz="4" w:space="0" w:color="000000"/>
              <w:right w:val="single" w:sz="4" w:space="0" w:color="000000"/>
            </w:tcBorders>
          </w:tcPr>
          <w:p>
            <w:pPr>
              <w:pStyle w:val="TableParagraph"/>
              <w:rPr>
                <w:rFonts w:ascii="Microsoft JhengHei"/>
                <w:b/>
                <w:sz w:val="22"/>
              </w:rPr>
            </w:pPr>
          </w:p>
          <w:p>
            <w:pPr>
              <w:pStyle w:val="TableParagraph"/>
              <w:spacing w:before="9"/>
              <w:rPr>
                <w:rFonts w:ascii="Microsoft JhengHei"/>
                <w:b/>
                <w:sz w:val="30"/>
              </w:rPr>
            </w:pPr>
          </w:p>
          <w:p>
            <w:pPr>
              <w:pStyle w:val="TableParagraph"/>
              <w:ind w:left="143"/>
              <w:rPr>
                <w:rFonts w:ascii="宋体" w:eastAsia="宋体" w:hint="eastAsia"/>
                <w:sz w:val="21"/>
              </w:rPr>
            </w:pPr>
            <w:r>
              <w:rPr>
                <w:sz w:val="21"/>
              </w:rPr>
              <w:t>2020 </w:t>
            </w:r>
            <w:r>
              <w:rPr>
                <w:rFonts w:ascii="宋体" w:eastAsia="宋体" w:hint="eastAsia"/>
                <w:spacing w:val="-26"/>
                <w:sz w:val="21"/>
              </w:rPr>
              <w:t>年 </w:t>
            </w:r>
            <w:r>
              <w:rPr>
                <w:sz w:val="21"/>
              </w:rPr>
              <w:t>9 </w:t>
            </w:r>
            <w:r>
              <w:rPr>
                <w:rFonts w:ascii="宋体" w:eastAsia="宋体" w:hint="eastAsia"/>
                <w:spacing w:val="-26"/>
                <w:sz w:val="21"/>
              </w:rPr>
              <w:t>月 </w:t>
            </w:r>
            <w:r>
              <w:rPr>
                <w:sz w:val="21"/>
              </w:rPr>
              <w:t>1 </w:t>
            </w:r>
            <w:r>
              <w:rPr>
                <w:rFonts w:ascii="宋体" w:eastAsia="宋体" w:hint="eastAsia"/>
                <w:sz w:val="21"/>
              </w:rPr>
              <w:t>日</w:t>
            </w:r>
          </w:p>
        </w:tc>
        <w:tc>
          <w:tcPr>
            <w:tcW w:w="3119" w:type="dxa"/>
            <w:vMerge w:val="restart"/>
            <w:tcBorders>
              <w:left w:val="single" w:sz="4" w:space="0" w:color="000000"/>
              <w:right w:val="single" w:sz="4" w:space="0" w:color="000000"/>
            </w:tcBorders>
          </w:tcPr>
          <w:p>
            <w:pPr>
              <w:pStyle w:val="TableParagraph"/>
              <w:spacing w:before="12"/>
              <w:ind w:left="114"/>
              <w:rPr>
                <w:rFonts w:ascii="宋体" w:eastAsia="宋体" w:hint="eastAsia"/>
                <w:sz w:val="21"/>
              </w:rPr>
            </w:pPr>
            <w:r>
              <w:rPr>
                <w:rFonts w:ascii="宋体" w:eastAsia="宋体" w:hint="eastAsia"/>
                <w:spacing w:val="30"/>
                <w:sz w:val="21"/>
              </w:rPr>
              <w:t>详见公司刊登在上交所网站</w:t>
            </w:r>
          </w:p>
          <w:p>
            <w:pPr>
              <w:pStyle w:val="TableParagraph"/>
              <w:spacing w:line="242" w:lineRule="auto" w:before="5"/>
              <w:ind w:left="114" w:right="86"/>
              <w:jc w:val="both"/>
              <w:rPr>
                <w:rFonts w:ascii="宋体" w:eastAsia="宋体" w:hint="eastAsia"/>
                <w:sz w:val="21"/>
              </w:rPr>
            </w:pPr>
            <w:r>
              <w:rPr>
                <w:rFonts w:ascii="宋体" w:eastAsia="宋体" w:hint="eastAsia"/>
                <w:sz w:val="21"/>
              </w:rPr>
              <w:t>（</w:t>
            </w:r>
            <w:hyperlink r:id="rId14">
              <w:r>
                <w:rPr>
                  <w:sz w:val="21"/>
                </w:rPr>
                <w:t>www.sse.com.cn</w:t>
              </w:r>
            </w:hyperlink>
            <w:r>
              <w:rPr>
                <w:rFonts w:ascii="宋体" w:eastAsia="宋体" w:hint="eastAsia"/>
                <w:sz w:val="21"/>
              </w:rPr>
              <w:t>）</w:t>
            </w:r>
            <w:r>
              <w:rPr>
                <w:rFonts w:ascii="宋体" w:eastAsia="宋体" w:hint="eastAsia"/>
                <w:spacing w:val="-3"/>
                <w:sz w:val="21"/>
              </w:rPr>
              <w:t>及四大证券</w:t>
            </w:r>
            <w:r>
              <w:rPr>
                <w:rFonts w:ascii="宋体" w:eastAsia="宋体" w:hint="eastAsia"/>
                <w:spacing w:val="-8"/>
                <w:sz w:val="21"/>
              </w:rPr>
              <w:t>报上的《海尔智家股份有限公司</w:t>
            </w:r>
            <w:r>
              <w:rPr>
                <w:sz w:val="21"/>
              </w:rPr>
              <w:t>2020</w:t>
            </w:r>
            <w:r>
              <w:rPr>
                <w:spacing w:val="9"/>
                <w:sz w:val="21"/>
              </w:rPr>
              <w:t>  </w:t>
            </w:r>
            <w:r>
              <w:rPr>
                <w:rFonts w:ascii="宋体" w:eastAsia="宋体" w:hint="eastAsia"/>
                <w:spacing w:val="3"/>
                <w:sz w:val="21"/>
              </w:rPr>
              <w:t>年第二次临时股东大会、</w:t>
            </w:r>
          </w:p>
          <w:p>
            <w:pPr>
              <w:pStyle w:val="TableParagraph"/>
              <w:spacing w:line="242" w:lineRule="auto" w:before="1"/>
              <w:ind w:left="114" w:right="85"/>
              <w:jc w:val="both"/>
              <w:rPr>
                <w:rFonts w:ascii="宋体" w:eastAsia="宋体" w:hint="eastAsia"/>
                <w:sz w:val="21"/>
              </w:rPr>
            </w:pPr>
            <w:r>
              <w:rPr>
                <w:sz w:val="21"/>
              </w:rPr>
              <w:t>2020</w:t>
            </w:r>
            <w:r>
              <w:rPr>
                <w:spacing w:val="28"/>
                <w:sz w:val="21"/>
              </w:rPr>
              <w:t> </w:t>
            </w:r>
            <w:r>
              <w:rPr>
                <w:rFonts w:ascii="宋体" w:eastAsia="宋体" w:hint="eastAsia"/>
                <w:spacing w:val="-8"/>
                <w:sz w:val="21"/>
              </w:rPr>
              <w:t>年第一次 </w:t>
            </w:r>
            <w:r>
              <w:rPr>
                <w:sz w:val="21"/>
              </w:rPr>
              <w:t>A</w:t>
            </w:r>
            <w:r>
              <w:rPr>
                <w:spacing w:val="28"/>
                <w:sz w:val="21"/>
              </w:rPr>
              <w:t> </w:t>
            </w:r>
            <w:r>
              <w:rPr>
                <w:rFonts w:ascii="宋体" w:eastAsia="宋体" w:hint="eastAsia"/>
                <w:spacing w:val="-5"/>
                <w:sz w:val="21"/>
              </w:rPr>
              <w:t>股类别股东大</w:t>
            </w:r>
            <w:r>
              <w:rPr>
                <w:rFonts w:ascii="宋体" w:eastAsia="宋体" w:hint="eastAsia"/>
                <w:sz w:val="21"/>
              </w:rPr>
              <w:t>会、</w:t>
            </w:r>
            <w:r>
              <w:rPr>
                <w:sz w:val="21"/>
              </w:rPr>
              <w:t>2020</w:t>
            </w:r>
            <w:r>
              <w:rPr>
                <w:spacing w:val="27"/>
                <w:sz w:val="21"/>
              </w:rPr>
              <w:t> </w:t>
            </w:r>
            <w:r>
              <w:rPr>
                <w:rFonts w:ascii="宋体" w:eastAsia="宋体" w:hint="eastAsia"/>
                <w:spacing w:val="-8"/>
                <w:sz w:val="21"/>
              </w:rPr>
              <w:t>年第一次 </w:t>
            </w:r>
            <w:r>
              <w:rPr>
                <w:sz w:val="21"/>
              </w:rPr>
              <w:t>D</w:t>
            </w:r>
            <w:r>
              <w:rPr>
                <w:spacing w:val="27"/>
                <w:sz w:val="21"/>
              </w:rPr>
              <w:t> </w:t>
            </w:r>
            <w:r>
              <w:rPr>
                <w:rFonts w:ascii="宋体" w:eastAsia="宋体" w:hint="eastAsia"/>
                <w:spacing w:val="-5"/>
                <w:sz w:val="21"/>
              </w:rPr>
              <w:t>股类别股</w:t>
            </w:r>
            <w:r>
              <w:rPr>
                <w:rFonts w:ascii="宋体" w:eastAsia="宋体" w:hint="eastAsia"/>
                <w:spacing w:val="-13"/>
                <w:sz w:val="21"/>
              </w:rPr>
              <w:t>东 大 会 决 议 公 告 》 </w:t>
            </w:r>
            <w:r>
              <w:rPr>
                <w:rFonts w:ascii="宋体" w:eastAsia="宋体" w:hint="eastAsia"/>
                <w:sz w:val="21"/>
              </w:rPr>
              <w:t>（</w:t>
            </w:r>
            <w:r>
              <w:rPr>
                <w:rFonts w:ascii="宋体" w:eastAsia="宋体" w:hint="eastAsia"/>
                <w:spacing w:val="-8"/>
                <w:sz w:val="21"/>
              </w:rPr>
              <w:t> 临</w:t>
            </w:r>
          </w:p>
          <w:p>
            <w:pPr>
              <w:pStyle w:val="TableParagraph"/>
              <w:spacing w:line="261" w:lineRule="exact" w:before="1"/>
              <w:ind w:left="114"/>
              <w:rPr>
                <w:rFonts w:ascii="宋体" w:eastAsia="宋体" w:hint="eastAsia"/>
                <w:sz w:val="21"/>
              </w:rPr>
            </w:pPr>
            <w:r>
              <w:rPr>
                <w:sz w:val="21"/>
              </w:rPr>
              <w:t>2020-062</w:t>
            </w:r>
            <w:r>
              <w:rPr>
                <w:rFonts w:ascii="宋体" w:eastAsia="宋体" w:hint="eastAsia"/>
                <w:sz w:val="21"/>
              </w:rPr>
              <w:t>）。</w:t>
            </w:r>
          </w:p>
        </w:tc>
        <w:tc>
          <w:tcPr>
            <w:tcW w:w="1853" w:type="dxa"/>
            <w:vMerge w:val="restart"/>
            <w:tcBorders>
              <w:left w:val="single" w:sz="4" w:space="0" w:color="000000"/>
            </w:tcBorders>
          </w:tcPr>
          <w:p>
            <w:pPr>
              <w:pStyle w:val="TableParagraph"/>
              <w:rPr>
                <w:rFonts w:ascii="Microsoft JhengHei"/>
                <w:b/>
                <w:sz w:val="22"/>
              </w:rPr>
            </w:pPr>
          </w:p>
          <w:p>
            <w:pPr>
              <w:pStyle w:val="TableParagraph"/>
              <w:spacing w:before="9"/>
              <w:rPr>
                <w:rFonts w:ascii="Microsoft JhengHei"/>
                <w:b/>
                <w:sz w:val="30"/>
              </w:rPr>
            </w:pPr>
          </w:p>
          <w:p>
            <w:pPr>
              <w:pStyle w:val="TableParagraph"/>
              <w:ind w:left="231"/>
              <w:rPr>
                <w:rFonts w:ascii="宋体" w:eastAsia="宋体" w:hint="eastAsia"/>
                <w:sz w:val="21"/>
              </w:rPr>
            </w:pPr>
            <w:r>
              <w:rPr>
                <w:sz w:val="21"/>
              </w:rPr>
              <w:t>2020 </w:t>
            </w:r>
            <w:r>
              <w:rPr>
                <w:rFonts w:ascii="宋体" w:eastAsia="宋体" w:hint="eastAsia"/>
                <w:spacing w:val="-26"/>
                <w:sz w:val="21"/>
              </w:rPr>
              <w:t>年 </w:t>
            </w:r>
            <w:r>
              <w:rPr>
                <w:sz w:val="21"/>
              </w:rPr>
              <w:t>9 </w:t>
            </w:r>
            <w:r>
              <w:rPr>
                <w:rFonts w:ascii="宋体" w:eastAsia="宋体" w:hint="eastAsia"/>
                <w:spacing w:val="-26"/>
                <w:sz w:val="21"/>
              </w:rPr>
              <w:t>月 </w:t>
            </w:r>
            <w:r>
              <w:rPr>
                <w:sz w:val="21"/>
              </w:rPr>
              <w:t>2 </w:t>
            </w:r>
            <w:r>
              <w:rPr>
                <w:rFonts w:ascii="宋体" w:eastAsia="宋体" w:hint="eastAsia"/>
                <w:sz w:val="21"/>
              </w:rPr>
              <w:t>日</w:t>
            </w:r>
          </w:p>
        </w:tc>
      </w:tr>
      <w:tr>
        <w:trPr>
          <w:trHeight w:val="790" w:hRule="atLeast"/>
        </w:trPr>
        <w:tc>
          <w:tcPr>
            <w:tcW w:w="2312" w:type="dxa"/>
            <w:tcBorders>
              <w:top w:val="single" w:sz="4" w:space="0" w:color="000000"/>
              <w:bottom w:val="single" w:sz="4" w:space="0" w:color="000000"/>
              <w:right w:val="single" w:sz="4" w:space="0" w:color="000000"/>
            </w:tcBorders>
          </w:tcPr>
          <w:p>
            <w:pPr>
              <w:pStyle w:val="TableParagraph"/>
              <w:spacing w:line="255" w:lineRule="exact"/>
              <w:ind w:left="107"/>
              <w:rPr>
                <w:rFonts w:ascii="宋体" w:eastAsia="宋体" w:hint="eastAsia"/>
                <w:sz w:val="21"/>
              </w:rPr>
            </w:pPr>
            <w:r>
              <w:rPr>
                <w:rFonts w:ascii="宋体" w:eastAsia="宋体" w:hint="eastAsia"/>
                <w:sz w:val="21"/>
              </w:rPr>
              <w:t>海尔智家股份有限公</w:t>
            </w:r>
          </w:p>
          <w:p>
            <w:pPr>
              <w:pStyle w:val="TableParagraph"/>
              <w:spacing w:line="270" w:lineRule="atLeast" w:before="3"/>
              <w:ind w:left="107" w:right="21"/>
              <w:rPr>
                <w:rFonts w:ascii="宋体" w:eastAsia="宋体" w:hint="eastAsia"/>
                <w:sz w:val="21"/>
              </w:rPr>
            </w:pPr>
            <w:r>
              <w:rPr>
                <w:rFonts w:ascii="宋体" w:eastAsia="宋体" w:hint="eastAsia"/>
                <w:sz w:val="21"/>
              </w:rPr>
              <w:t>司 </w:t>
            </w:r>
            <w:r>
              <w:rPr>
                <w:sz w:val="21"/>
              </w:rPr>
              <w:t>2020 </w:t>
            </w:r>
            <w:r>
              <w:rPr>
                <w:rFonts w:ascii="宋体" w:eastAsia="宋体" w:hint="eastAsia"/>
                <w:sz w:val="21"/>
              </w:rPr>
              <w:t>年第一次 </w:t>
            </w:r>
            <w:r>
              <w:rPr>
                <w:sz w:val="21"/>
              </w:rPr>
              <w:t>A </w:t>
            </w:r>
            <w:r>
              <w:rPr>
                <w:rFonts w:ascii="宋体" w:eastAsia="宋体" w:hint="eastAsia"/>
                <w:sz w:val="21"/>
              </w:rPr>
              <w:t>股类别股东大会</w:t>
            </w:r>
          </w:p>
        </w:tc>
        <w:tc>
          <w:tcPr>
            <w:tcW w:w="1767" w:type="dxa"/>
            <w:vMerge/>
            <w:tcBorders>
              <w:top w:val="nil"/>
              <w:left w:val="single" w:sz="4" w:space="0" w:color="000000"/>
              <w:right w:val="single" w:sz="4" w:space="0" w:color="000000"/>
            </w:tcBorders>
          </w:tcPr>
          <w:p>
            <w:pPr>
              <w:rPr>
                <w:sz w:val="2"/>
                <w:szCs w:val="2"/>
              </w:rPr>
            </w:pPr>
          </w:p>
        </w:tc>
        <w:tc>
          <w:tcPr>
            <w:tcW w:w="3119" w:type="dxa"/>
            <w:vMerge/>
            <w:tcBorders>
              <w:top w:val="nil"/>
              <w:left w:val="single" w:sz="4" w:space="0" w:color="000000"/>
              <w:right w:val="single" w:sz="4" w:space="0" w:color="000000"/>
            </w:tcBorders>
          </w:tcPr>
          <w:p>
            <w:pPr>
              <w:rPr>
                <w:sz w:val="2"/>
                <w:szCs w:val="2"/>
              </w:rPr>
            </w:pPr>
          </w:p>
        </w:tc>
        <w:tc>
          <w:tcPr>
            <w:tcW w:w="1853" w:type="dxa"/>
            <w:vMerge/>
            <w:tcBorders>
              <w:top w:val="nil"/>
              <w:left w:val="single" w:sz="4" w:space="0" w:color="000000"/>
            </w:tcBorders>
          </w:tcPr>
          <w:p>
            <w:pPr>
              <w:rPr>
                <w:sz w:val="2"/>
                <w:szCs w:val="2"/>
              </w:rPr>
            </w:pPr>
          </w:p>
        </w:tc>
      </w:tr>
      <w:tr>
        <w:trPr>
          <w:trHeight w:val="800" w:hRule="atLeast"/>
        </w:trPr>
        <w:tc>
          <w:tcPr>
            <w:tcW w:w="2312" w:type="dxa"/>
            <w:tcBorders>
              <w:top w:val="single" w:sz="4" w:space="0" w:color="000000"/>
              <w:right w:val="single" w:sz="4" w:space="0" w:color="000000"/>
            </w:tcBorders>
          </w:tcPr>
          <w:p>
            <w:pPr>
              <w:pStyle w:val="TableParagraph"/>
              <w:spacing w:line="255" w:lineRule="exact"/>
              <w:ind w:left="107"/>
              <w:rPr>
                <w:rFonts w:ascii="宋体" w:eastAsia="宋体" w:hint="eastAsia"/>
                <w:sz w:val="21"/>
              </w:rPr>
            </w:pPr>
            <w:r>
              <w:rPr>
                <w:rFonts w:ascii="宋体" w:eastAsia="宋体" w:hint="eastAsia"/>
                <w:spacing w:val="20"/>
                <w:sz w:val="21"/>
              </w:rPr>
              <w:t>海尔智家股份有限公</w:t>
            </w:r>
          </w:p>
          <w:p>
            <w:pPr>
              <w:pStyle w:val="TableParagraph"/>
              <w:spacing w:before="2"/>
              <w:ind w:left="107"/>
              <w:rPr>
                <w:rFonts w:ascii="宋体" w:eastAsia="宋体" w:hint="eastAsia"/>
                <w:sz w:val="21"/>
              </w:rPr>
            </w:pPr>
            <w:r>
              <w:rPr>
                <w:rFonts w:ascii="宋体" w:eastAsia="宋体" w:hint="eastAsia"/>
                <w:spacing w:val="-20"/>
                <w:sz w:val="21"/>
              </w:rPr>
              <w:t>司 </w:t>
            </w:r>
            <w:r>
              <w:rPr>
                <w:sz w:val="21"/>
              </w:rPr>
              <w:t>2020</w:t>
            </w:r>
            <w:r>
              <w:rPr>
                <w:spacing w:val="15"/>
                <w:sz w:val="21"/>
              </w:rPr>
              <w:t> </w:t>
            </w:r>
            <w:r>
              <w:rPr>
                <w:rFonts w:ascii="宋体" w:eastAsia="宋体" w:hint="eastAsia"/>
                <w:spacing w:val="-10"/>
                <w:sz w:val="21"/>
              </w:rPr>
              <w:t>年第一次 </w:t>
            </w:r>
            <w:r>
              <w:rPr>
                <w:sz w:val="21"/>
              </w:rPr>
              <w:t>D</w:t>
            </w:r>
            <w:r>
              <w:rPr>
                <w:spacing w:val="16"/>
                <w:sz w:val="21"/>
              </w:rPr>
              <w:t> </w:t>
            </w:r>
            <w:r>
              <w:rPr>
                <w:rFonts w:ascii="宋体" w:eastAsia="宋体" w:hint="eastAsia"/>
                <w:sz w:val="21"/>
              </w:rPr>
              <w:t>股</w:t>
            </w:r>
          </w:p>
          <w:p>
            <w:pPr>
              <w:pStyle w:val="TableParagraph"/>
              <w:spacing w:line="249" w:lineRule="exact" w:before="4"/>
              <w:ind w:left="107"/>
              <w:rPr>
                <w:rFonts w:ascii="宋体" w:eastAsia="宋体" w:hint="eastAsia"/>
                <w:sz w:val="21"/>
              </w:rPr>
            </w:pPr>
            <w:r>
              <w:rPr>
                <w:rFonts w:ascii="宋体" w:eastAsia="宋体" w:hint="eastAsia"/>
                <w:sz w:val="21"/>
              </w:rPr>
              <w:t>类别股东大会</w:t>
            </w:r>
          </w:p>
        </w:tc>
        <w:tc>
          <w:tcPr>
            <w:tcW w:w="1767" w:type="dxa"/>
            <w:vMerge/>
            <w:tcBorders>
              <w:top w:val="nil"/>
              <w:left w:val="single" w:sz="4" w:space="0" w:color="000000"/>
              <w:right w:val="single" w:sz="4" w:space="0" w:color="000000"/>
            </w:tcBorders>
          </w:tcPr>
          <w:p>
            <w:pPr>
              <w:rPr>
                <w:sz w:val="2"/>
                <w:szCs w:val="2"/>
              </w:rPr>
            </w:pPr>
          </w:p>
        </w:tc>
        <w:tc>
          <w:tcPr>
            <w:tcW w:w="3119" w:type="dxa"/>
            <w:vMerge/>
            <w:tcBorders>
              <w:top w:val="nil"/>
              <w:left w:val="single" w:sz="4" w:space="0" w:color="000000"/>
              <w:right w:val="single" w:sz="4" w:space="0" w:color="000000"/>
            </w:tcBorders>
          </w:tcPr>
          <w:p>
            <w:pPr>
              <w:rPr>
                <w:sz w:val="2"/>
                <w:szCs w:val="2"/>
              </w:rPr>
            </w:pPr>
          </w:p>
        </w:tc>
        <w:tc>
          <w:tcPr>
            <w:tcW w:w="1853" w:type="dxa"/>
            <w:vMerge/>
            <w:tcBorders>
              <w:top w:val="nil"/>
              <w:left w:val="single" w:sz="4" w:space="0" w:color="000000"/>
            </w:tcBorders>
          </w:tcPr>
          <w:p>
            <w:pPr>
              <w:rPr>
                <w:sz w:val="2"/>
                <w:szCs w:val="2"/>
              </w:rPr>
            </w:pPr>
          </w:p>
        </w:tc>
      </w:tr>
    </w:tbl>
    <w:p>
      <w:pPr>
        <w:pStyle w:val="BodyText"/>
        <w:spacing w:before="7"/>
        <w:rPr>
          <w:rFonts w:ascii="Microsoft JhengHei"/>
          <w:b/>
          <w:sz w:val="9"/>
        </w:rPr>
      </w:pPr>
    </w:p>
    <w:p>
      <w:pPr>
        <w:pStyle w:val="BodyText"/>
        <w:spacing w:before="72"/>
        <w:ind w:left="238"/>
      </w:pPr>
      <w:r>
        <w:rPr/>
        <w:t>股东大会情况说明</w:t>
      </w:r>
    </w:p>
    <w:p>
      <w:pPr>
        <w:pStyle w:val="BodyText"/>
        <w:spacing w:before="139"/>
        <w:ind w:left="662"/>
      </w:pPr>
      <w:r>
        <w:rPr>
          <w:rFonts w:ascii="Times New Roman" w:hAnsi="Times New Roman" w:eastAsia="Times New Roman"/>
        </w:rPr>
        <w:t>√</w:t>
      </w:r>
      <w:r>
        <w:rPr/>
        <w:t>适用 </w:t>
      </w:r>
      <w:r>
        <w:rPr>
          <w:rFonts w:ascii="Times New Roman" w:hAnsi="Times New Roman" w:eastAsia="Times New Roman"/>
        </w:rPr>
        <w:t>□</w:t>
      </w:r>
      <w:r>
        <w:rPr/>
        <w:t>不适用</w:t>
      </w:r>
    </w:p>
    <w:p>
      <w:pPr>
        <w:pStyle w:val="ListParagraph"/>
        <w:numPr>
          <w:ilvl w:val="0"/>
          <w:numId w:val="24"/>
        </w:numPr>
        <w:tabs>
          <w:tab w:pos="1192" w:val="left" w:leader="none"/>
        </w:tabs>
        <w:spacing w:line="240" w:lineRule="auto" w:before="72" w:after="0"/>
        <w:ind w:left="1191" w:right="0" w:hanging="530"/>
        <w:jc w:val="left"/>
        <w:rPr>
          <w:sz w:val="19"/>
        </w:rPr>
      </w:pPr>
      <w:r>
        <w:rPr>
          <w:rFonts w:ascii="Microsoft JhengHei" w:eastAsia="Microsoft JhengHei" w:hint="eastAsia"/>
          <w:b/>
          <w:spacing w:val="1"/>
          <w:sz w:val="21"/>
        </w:rPr>
        <w:t>公司 </w:t>
      </w:r>
      <w:r>
        <w:rPr>
          <w:rFonts w:ascii="Times New Roman" w:eastAsia="Times New Roman"/>
          <w:b/>
          <w:sz w:val="21"/>
        </w:rPr>
        <w:t>2020</w:t>
      </w:r>
      <w:r>
        <w:rPr>
          <w:rFonts w:ascii="Times New Roman" w:eastAsia="Times New Roman"/>
          <w:b/>
          <w:spacing w:val="1"/>
          <w:sz w:val="21"/>
        </w:rPr>
        <w:t> </w:t>
      </w:r>
      <w:r>
        <w:rPr>
          <w:rFonts w:ascii="Microsoft JhengHei" w:eastAsia="Microsoft JhengHei" w:hint="eastAsia"/>
          <w:b/>
          <w:sz w:val="21"/>
        </w:rPr>
        <w:t>年第一次临时股东大会</w:t>
      </w:r>
      <w:r>
        <w:rPr>
          <w:spacing w:val="-4"/>
          <w:sz w:val="21"/>
        </w:rPr>
        <w:t>以现场投票与网络投票相结合的方式召开。本次股东</w:t>
      </w:r>
    </w:p>
    <w:p>
      <w:pPr>
        <w:pStyle w:val="BodyText"/>
        <w:spacing w:before="91"/>
        <w:ind w:left="238"/>
      </w:pPr>
      <w:r>
        <w:rPr/>
        <w:t>大会于 </w:t>
      </w:r>
      <w:r>
        <w:rPr>
          <w:rFonts w:ascii="Times New Roman" w:eastAsia="Times New Roman"/>
        </w:rPr>
        <w:t>2020 </w:t>
      </w:r>
      <w:r>
        <w:rPr/>
        <w:t>年 </w:t>
      </w:r>
      <w:r>
        <w:rPr>
          <w:rFonts w:ascii="Times New Roman" w:eastAsia="Times New Roman"/>
        </w:rPr>
        <w:t>3 </w:t>
      </w:r>
      <w:r>
        <w:rPr/>
        <w:t>月 </w:t>
      </w:r>
      <w:r>
        <w:rPr>
          <w:rFonts w:ascii="Times New Roman" w:eastAsia="Times New Roman"/>
        </w:rPr>
        <w:t>31 </w:t>
      </w:r>
      <w:r>
        <w:rPr/>
        <w:t>日下午在青岛市海尔路 </w:t>
      </w:r>
      <w:r>
        <w:rPr>
          <w:rFonts w:ascii="Times New Roman" w:eastAsia="Times New Roman"/>
        </w:rPr>
        <w:t>1 </w:t>
      </w:r>
      <w:r>
        <w:rPr/>
        <w:t>号海尔信息产业园海尔大学</w:t>
      </w:r>
      <w:r>
        <w:rPr>
          <w:rFonts w:ascii="Times New Roman" w:eastAsia="Times New Roman"/>
        </w:rPr>
        <w:t>A108 </w:t>
      </w:r>
      <w:r>
        <w:rPr/>
        <w:t>室召开，审议</w:t>
      </w:r>
    </w:p>
    <w:p>
      <w:pPr>
        <w:pStyle w:val="BodyText"/>
        <w:spacing w:line="364" w:lineRule="auto" w:before="139"/>
        <w:ind w:left="238" w:right="204"/>
      </w:pPr>
      <w:r>
        <w:rPr>
          <w:spacing w:val="-5"/>
        </w:rPr>
        <w:t>修改公司章程等相关议案。公司总股本 </w:t>
      </w:r>
      <w:r>
        <w:rPr>
          <w:rFonts w:ascii="Times New Roman" w:eastAsia="Times New Roman"/>
        </w:rPr>
        <w:t>6,579,566,627 </w:t>
      </w:r>
      <w:r>
        <w:rPr>
          <w:spacing w:val="-2"/>
        </w:rPr>
        <w:t>股，出席会议的股东及股东代表共 </w:t>
      </w:r>
      <w:r>
        <w:rPr>
          <w:rFonts w:ascii="Times New Roman" w:eastAsia="Times New Roman"/>
        </w:rPr>
        <w:t>314 </w:t>
      </w:r>
      <w:r>
        <w:rPr/>
        <w:t>人， </w:t>
      </w:r>
      <w:r>
        <w:rPr>
          <w:spacing w:val="-9"/>
        </w:rPr>
        <w:t>合计持股 </w:t>
      </w:r>
      <w:r>
        <w:rPr>
          <w:rFonts w:ascii="Times New Roman" w:eastAsia="Times New Roman"/>
        </w:rPr>
        <w:t>3,718,197,212 </w:t>
      </w:r>
      <w:r>
        <w:rPr>
          <w:spacing w:val="-6"/>
        </w:rPr>
        <w:t>股，占公司有表决权总股份的 </w:t>
      </w:r>
      <w:r>
        <w:rPr>
          <w:rFonts w:ascii="Times New Roman" w:eastAsia="Times New Roman"/>
        </w:rPr>
        <w:t>56.51%</w:t>
      </w:r>
      <w:r>
        <w:rPr>
          <w:spacing w:val="-3"/>
        </w:rPr>
        <w:t>。参加本次股东大会的还有公司董事、监事、高级管理人员及公司聘请的律师。本次股东大会由公司董事会召集，董事长梁海山先生</w:t>
      </w:r>
      <w:r>
        <w:rPr>
          <w:spacing w:val="-8"/>
        </w:rPr>
        <w:t>主持。公司在任董事 </w:t>
      </w:r>
      <w:r>
        <w:rPr>
          <w:rFonts w:ascii="Times New Roman" w:eastAsia="Times New Roman"/>
        </w:rPr>
        <w:t>9 </w:t>
      </w:r>
      <w:r>
        <w:rPr>
          <w:spacing w:val="-10"/>
        </w:rPr>
        <w:t>名，出席 </w:t>
      </w:r>
      <w:r>
        <w:rPr>
          <w:rFonts w:ascii="Times New Roman" w:eastAsia="Times New Roman"/>
        </w:rPr>
        <w:t>1 </w:t>
      </w:r>
      <w:r>
        <w:rPr>
          <w:spacing w:val="-3"/>
        </w:rPr>
        <w:t>名，董事谭丽霞、李华刚、武常岐、阎焱、林绥、钱大群、</w:t>
      </w:r>
    </w:p>
    <w:p>
      <w:pPr>
        <w:pStyle w:val="BodyText"/>
        <w:spacing w:line="364" w:lineRule="auto"/>
        <w:ind w:left="238" w:right="320"/>
      </w:pPr>
      <w:r>
        <w:rPr>
          <w:spacing w:val="-5"/>
        </w:rPr>
        <w:t>戴德明、施天涛因事未能出席此次会议；在任监事 </w:t>
      </w:r>
      <w:r>
        <w:rPr>
          <w:rFonts w:ascii="Times New Roman" w:eastAsia="Times New Roman"/>
        </w:rPr>
        <w:t>3 </w:t>
      </w:r>
      <w:r>
        <w:rPr>
          <w:spacing w:val="-11"/>
        </w:rPr>
        <w:t>名，出席 </w:t>
      </w:r>
      <w:r>
        <w:rPr>
          <w:rFonts w:ascii="Times New Roman" w:eastAsia="Times New Roman"/>
        </w:rPr>
        <w:t>3 </w:t>
      </w:r>
      <w:r>
        <w:rPr>
          <w:spacing w:val="-3"/>
        </w:rPr>
        <w:t>名。公司董事会秘书出席了本次股东大会，公司的其他高级管理人员列席了本次股东大会。</w:t>
      </w:r>
    </w:p>
    <w:p>
      <w:pPr>
        <w:pStyle w:val="ListParagraph"/>
        <w:numPr>
          <w:ilvl w:val="0"/>
          <w:numId w:val="24"/>
        </w:numPr>
        <w:tabs>
          <w:tab w:pos="1192" w:val="left" w:leader="none"/>
        </w:tabs>
        <w:spacing w:line="315" w:lineRule="exact" w:before="0" w:after="0"/>
        <w:ind w:left="1191" w:right="308" w:hanging="1192"/>
        <w:jc w:val="right"/>
        <w:rPr>
          <w:sz w:val="19"/>
        </w:rPr>
      </w:pPr>
      <w:r>
        <w:rPr>
          <w:rFonts w:ascii="Microsoft JhengHei" w:eastAsia="Microsoft JhengHei" w:hint="eastAsia"/>
          <w:b/>
          <w:spacing w:val="7"/>
          <w:sz w:val="21"/>
        </w:rPr>
        <w:t>公司 </w:t>
      </w:r>
      <w:r>
        <w:rPr>
          <w:rFonts w:ascii="Times New Roman" w:eastAsia="Times New Roman"/>
          <w:b/>
          <w:sz w:val="21"/>
        </w:rPr>
        <w:t>2019</w:t>
      </w:r>
      <w:r>
        <w:rPr>
          <w:rFonts w:ascii="Times New Roman" w:eastAsia="Times New Roman"/>
          <w:b/>
          <w:spacing w:val="17"/>
          <w:sz w:val="21"/>
        </w:rPr>
        <w:t> </w:t>
      </w:r>
      <w:r>
        <w:rPr>
          <w:rFonts w:ascii="Microsoft JhengHei" w:eastAsia="Microsoft JhengHei" w:hint="eastAsia"/>
          <w:b/>
          <w:sz w:val="21"/>
        </w:rPr>
        <w:t>年年度股东大会</w:t>
      </w:r>
      <w:r>
        <w:rPr>
          <w:spacing w:val="-3"/>
          <w:sz w:val="21"/>
        </w:rPr>
        <w:t>以现场投票与网络投票相结合的方式召开。本次股东大会于</w:t>
      </w:r>
    </w:p>
    <w:p>
      <w:pPr>
        <w:pStyle w:val="BodyText"/>
        <w:spacing w:before="92"/>
        <w:ind w:right="339"/>
        <w:jc w:val="right"/>
      </w:pPr>
      <w:r>
        <w:rPr>
          <w:rFonts w:ascii="Times New Roman" w:eastAsia="Times New Roman"/>
        </w:rPr>
        <w:t>2020</w:t>
      </w:r>
      <w:r>
        <w:rPr>
          <w:rFonts w:ascii="Times New Roman" w:eastAsia="Times New Roman"/>
          <w:spacing w:val="1"/>
        </w:rPr>
        <w:t> </w:t>
      </w:r>
      <w:r>
        <w:rPr>
          <w:spacing w:val="-24"/>
        </w:rPr>
        <w:t>年 </w:t>
      </w:r>
      <w:r>
        <w:rPr>
          <w:rFonts w:ascii="Times New Roman" w:eastAsia="Times New Roman"/>
        </w:rPr>
        <w:t>6</w:t>
      </w:r>
      <w:r>
        <w:rPr>
          <w:rFonts w:ascii="Times New Roman" w:eastAsia="Times New Roman"/>
          <w:spacing w:val="2"/>
        </w:rPr>
        <w:t> </w:t>
      </w:r>
      <w:r>
        <w:rPr>
          <w:spacing w:val="-24"/>
        </w:rPr>
        <w:t>月 </w:t>
      </w:r>
      <w:r>
        <w:rPr>
          <w:rFonts w:ascii="Times New Roman" w:eastAsia="Times New Roman"/>
        </w:rPr>
        <w:t>3</w:t>
      </w:r>
      <w:r>
        <w:rPr>
          <w:rFonts w:ascii="Times New Roman" w:eastAsia="Times New Roman"/>
          <w:spacing w:val="2"/>
        </w:rPr>
        <w:t> </w:t>
      </w:r>
      <w:r>
        <w:rPr>
          <w:spacing w:val="-7"/>
        </w:rPr>
        <w:t>日下午在青岛市海尔路 </w:t>
      </w:r>
      <w:r>
        <w:rPr>
          <w:rFonts w:ascii="Times New Roman" w:eastAsia="Times New Roman"/>
        </w:rPr>
        <w:t>1</w:t>
      </w:r>
      <w:r>
        <w:rPr>
          <w:rFonts w:ascii="Times New Roman" w:eastAsia="Times New Roman"/>
          <w:spacing w:val="5"/>
        </w:rPr>
        <w:t> </w:t>
      </w:r>
      <w:r>
        <w:rPr>
          <w:spacing w:val="-7"/>
        </w:rPr>
        <w:t>号海尔信息产业园海尔大学 </w:t>
      </w:r>
      <w:r>
        <w:rPr>
          <w:rFonts w:ascii="Times New Roman" w:eastAsia="Times New Roman"/>
        </w:rPr>
        <w:t>B101</w:t>
      </w:r>
      <w:r>
        <w:rPr>
          <w:rFonts w:ascii="Times New Roman" w:eastAsia="Times New Roman"/>
          <w:spacing w:val="3"/>
        </w:rPr>
        <w:t> </w:t>
      </w:r>
      <w:r>
        <w:rPr>
          <w:spacing w:val="-3"/>
        </w:rPr>
        <w:t>室召开，审议公司年度</w:t>
      </w:r>
    </w:p>
    <w:p>
      <w:pPr>
        <w:pStyle w:val="BodyText"/>
        <w:spacing w:before="140"/>
        <w:ind w:left="238"/>
      </w:pPr>
      <w:r>
        <w:rPr>
          <w:spacing w:val="-8"/>
        </w:rPr>
        <w:t>报告等相关议案。公司总股本 </w:t>
      </w:r>
      <w:r>
        <w:rPr>
          <w:rFonts w:ascii="Times New Roman" w:eastAsia="Times New Roman"/>
        </w:rPr>
        <w:t>6,579,566,627</w:t>
      </w:r>
      <w:r>
        <w:rPr>
          <w:rFonts w:ascii="Times New Roman" w:eastAsia="Times New Roman"/>
          <w:spacing w:val="7"/>
        </w:rPr>
        <w:t> </w:t>
      </w:r>
      <w:r>
        <w:rPr>
          <w:spacing w:val="-8"/>
        </w:rPr>
        <w:t>股，出席会议的股东及股东代表共 </w:t>
      </w:r>
      <w:r>
        <w:rPr>
          <w:rFonts w:ascii="Times New Roman" w:eastAsia="Times New Roman"/>
        </w:rPr>
        <w:t>517</w:t>
      </w:r>
      <w:r>
        <w:rPr>
          <w:rFonts w:ascii="Times New Roman" w:eastAsia="Times New Roman"/>
          <w:spacing w:val="7"/>
        </w:rPr>
        <w:t> </w:t>
      </w:r>
      <w:r>
        <w:rPr>
          <w:spacing w:val="-5"/>
        </w:rPr>
        <w:t>人，合计持股</w:t>
      </w:r>
    </w:p>
    <w:p>
      <w:pPr>
        <w:pStyle w:val="BodyText"/>
        <w:spacing w:line="364" w:lineRule="auto" w:before="139"/>
        <w:ind w:left="238" w:right="210"/>
      </w:pPr>
      <w:r>
        <w:rPr>
          <w:rFonts w:ascii="Times New Roman" w:eastAsia="Times New Roman"/>
        </w:rPr>
        <w:t>4,144,404,424</w:t>
      </w:r>
      <w:r>
        <w:rPr>
          <w:rFonts w:ascii="Times New Roman" w:eastAsia="Times New Roman"/>
          <w:spacing w:val="24"/>
        </w:rPr>
        <w:t> </w:t>
      </w:r>
      <w:r>
        <w:rPr>
          <w:spacing w:val="-5"/>
        </w:rPr>
        <w:t>股，占公司有表决权总股份的 </w:t>
      </w:r>
      <w:r>
        <w:rPr>
          <w:rFonts w:ascii="Times New Roman" w:eastAsia="Times New Roman"/>
        </w:rPr>
        <w:t>62.99%</w:t>
      </w:r>
      <w:r>
        <w:rPr/>
        <w:t>。参加本次股东大会的还有公司董事、监事、</w:t>
      </w:r>
      <w:r>
        <w:rPr>
          <w:spacing w:val="-3"/>
        </w:rPr>
        <w:t>高级管理人员及公司聘请的律师。本次股东大会由公司董事会召集，董事长梁海山先生主持。公</w:t>
      </w:r>
      <w:r>
        <w:rPr>
          <w:spacing w:val="-10"/>
        </w:rPr>
        <w:t>司在任董事 </w:t>
      </w:r>
      <w:r>
        <w:rPr>
          <w:rFonts w:ascii="Times New Roman" w:eastAsia="Times New Roman"/>
        </w:rPr>
        <w:t>9</w:t>
      </w:r>
      <w:r>
        <w:rPr>
          <w:rFonts w:ascii="Times New Roman" w:eastAsia="Times New Roman"/>
          <w:spacing w:val="8"/>
        </w:rPr>
        <w:t> </w:t>
      </w:r>
      <w:r>
        <w:rPr>
          <w:spacing w:val="-18"/>
        </w:rPr>
        <w:t>名，出席 </w:t>
      </w:r>
      <w:r>
        <w:rPr>
          <w:rFonts w:ascii="Times New Roman" w:eastAsia="Times New Roman"/>
        </w:rPr>
        <w:t>4</w:t>
      </w:r>
      <w:r>
        <w:rPr>
          <w:rFonts w:ascii="Times New Roman" w:eastAsia="Times New Roman"/>
          <w:spacing w:val="5"/>
        </w:rPr>
        <w:t> </w:t>
      </w:r>
      <w:r>
        <w:rPr>
          <w:spacing w:val="-16"/>
        </w:rPr>
        <w:t>名，董事施天涛、钱大群、武常岐、林绥、阎焱因事未能出席此次会议；</w:t>
      </w:r>
    </w:p>
    <w:p>
      <w:pPr>
        <w:pStyle w:val="BodyText"/>
        <w:spacing w:line="364" w:lineRule="auto"/>
        <w:ind w:left="238" w:right="317"/>
      </w:pPr>
      <w:r>
        <w:rPr>
          <w:spacing w:val="-10"/>
        </w:rPr>
        <w:t>在任监事 </w:t>
      </w:r>
      <w:r>
        <w:rPr>
          <w:rFonts w:ascii="Times New Roman" w:eastAsia="Times New Roman"/>
        </w:rPr>
        <w:t>3 </w:t>
      </w:r>
      <w:r>
        <w:rPr>
          <w:spacing w:val="-11"/>
        </w:rPr>
        <w:t>名，出席 </w:t>
      </w:r>
      <w:r>
        <w:rPr>
          <w:rFonts w:ascii="Times New Roman" w:eastAsia="Times New Roman"/>
        </w:rPr>
        <w:t>3 </w:t>
      </w:r>
      <w:r>
        <w:rPr>
          <w:spacing w:val="-3"/>
        </w:rPr>
        <w:t>名。公司董事会秘书出席了本次股东大会，公司的其他高级管理人员列席了本次股东大会。</w:t>
      </w:r>
    </w:p>
    <w:p>
      <w:pPr>
        <w:pStyle w:val="Heading4"/>
        <w:numPr>
          <w:ilvl w:val="0"/>
          <w:numId w:val="24"/>
        </w:numPr>
        <w:tabs>
          <w:tab w:pos="1195" w:val="left" w:leader="none"/>
        </w:tabs>
        <w:spacing w:line="315" w:lineRule="exact" w:before="0" w:after="0"/>
        <w:ind w:left="1194" w:right="0" w:hanging="530"/>
        <w:jc w:val="left"/>
        <w:rPr>
          <w:sz w:val="19"/>
        </w:rPr>
      </w:pPr>
      <w:r>
        <w:rPr/>
        <w:t>公司 </w:t>
      </w:r>
      <w:r>
        <w:rPr>
          <w:rFonts w:ascii="Times New Roman" w:eastAsia="Times New Roman"/>
        </w:rPr>
        <w:t>2020 </w:t>
      </w:r>
      <w:r>
        <w:rPr>
          <w:spacing w:val="-1"/>
        </w:rPr>
        <w:t>年第二次临时股东大会、</w:t>
      </w:r>
      <w:r>
        <w:rPr>
          <w:rFonts w:ascii="Times New Roman" w:eastAsia="Times New Roman"/>
        </w:rPr>
        <w:t>2020</w:t>
      </w:r>
      <w:r>
        <w:rPr>
          <w:rFonts w:ascii="Times New Roman" w:eastAsia="Times New Roman"/>
          <w:spacing w:val="1"/>
        </w:rPr>
        <w:t> </w:t>
      </w:r>
      <w:r>
        <w:rPr/>
        <w:t>年第一次 </w:t>
      </w:r>
      <w:r>
        <w:rPr>
          <w:rFonts w:ascii="Times New Roman" w:eastAsia="Times New Roman"/>
        </w:rPr>
        <w:t>A</w:t>
      </w:r>
      <w:r>
        <w:rPr>
          <w:rFonts w:ascii="Times New Roman" w:eastAsia="Times New Roman"/>
          <w:spacing w:val="2"/>
        </w:rPr>
        <w:t> </w:t>
      </w:r>
      <w:r>
        <w:rPr/>
        <w:t>股类别股东大会、</w:t>
      </w:r>
      <w:r>
        <w:rPr>
          <w:rFonts w:ascii="Times New Roman" w:eastAsia="Times New Roman"/>
        </w:rPr>
        <w:t>2020 </w:t>
      </w:r>
      <w:r>
        <w:rPr/>
        <w:t>年第一次</w:t>
      </w:r>
    </w:p>
    <w:p>
      <w:pPr>
        <w:pStyle w:val="BodyText"/>
        <w:spacing w:line="297" w:lineRule="auto" w:before="21"/>
        <w:ind w:left="238" w:right="310"/>
      </w:pPr>
      <w:r>
        <w:rPr>
          <w:rFonts w:ascii="Times New Roman" w:eastAsia="Times New Roman"/>
          <w:b/>
        </w:rPr>
        <w:t>D </w:t>
      </w:r>
      <w:r>
        <w:rPr>
          <w:rFonts w:ascii="Microsoft JhengHei" w:eastAsia="Microsoft JhengHei" w:hint="eastAsia"/>
          <w:b/>
        </w:rPr>
        <w:t>股类别股东大会</w:t>
      </w:r>
      <w:r>
        <w:rPr>
          <w:spacing w:val="-10"/>
        </w:rPr>
        <w:t>以现场投票与网络投票相结合的方式召开。前述股东大会于 </w:t>
      </w:r>
      <w:r>
        <w:rPr>
          <w:rFonts w:ascii="Times New Roman" w:eastAsia="Times New Roman"/>
        </w:rPr>
        <w:t>2020 </w:t>
      </w:r>
      <w:r>
        <w:rPr>
          <w:spacing w:val="-25"/>
        </w:rPr>
        <w:t>年 </w:t>
      </w:r>
      <w:r>
        <w:rPr>
          <w:rFonts w:ascii="Times New Roman" w:eastAsia="Times New Roman"/>
        </w:rPr>
        <w:t>9 </w:t>
      </w:r>
      <w:r>
        <w:rPr>
          <w:spacing w:val="-25"/>
        </w:rPr>
        <w:t>月 </w:t>
      </w:r>
      <w:r>
        <w:rPr>
          <w:rFonts w:ascii="Times New Roman" w:eastAsia="Times New Roman"/>
        </w:rPr>
        <w:t>1 </w:t>
      </w:r>
      <w:r>
        <w:rPr>
          <w:spacing w:val="-3"/>
        </w:rPr>
        <w:t>日下</w:t>
      </w:r>
      <w:r>
        <w:rPr>
          <w:spacing w:val="-8"/>
        </w:rPr>
        <w:t>午在青岛市海尔路 </w:t>
      </w:r>
      <w:r>
        <w:rPr>
          <w:rFonts w:ascii="Times New Roman" w:eastAsia="Times New Roman"/>
        </w:rPr>
        <w:t>1 </w:t>
      </w:r>
      <w:r>
        <w:rPr>
          <w:spacing w:val="1"/>
        </w:rPr>
        <w:t>号海尔信息产业园海尔大学</w:t>
      </w:r>
      <w:r>
        <w:rPr>
          <w:rFonts w:ascii="Times New Roman" w:eastAsia="Times New Roman"/>
        </w:rPr>
        <w:t>B101 </w:t>
      </w:r>
      <w:r>
        <w:rPr>
          <w:spacing w:val="-3"/>
        </w:rPr>
        <w:t>室依次召开，审议公司重大资产重组事项</w:t>
      </w:r>
    </w:p>
    <w:p>
      <w:pPr>
        <w:pStyle w:val="BodyText"/>
        <w:spacing w:before="76"/>
        <w:ind w:left="238"/>
      </w:pPr>
      <w:r>
        <w:rPr/>
        <w:t>相关议案。公司总股本 </w:t>
      </w:r>
      <w:r>
        <w:rPr>
          <w:rFonts w:ascii="Times New Roman" w:eastAsia="Times New Roman"/>
        </w:rPr>
        <w:t>6,579,566,627 </w:t>
      </w:r>
      <w:r>
        <w:rPr/>
        <w:t>股，出席会议的股东及股东代表共 </w:t>
      </w:r>
      <w:r>
        <w:rPr>
          <w:rFonts w:ascii="Times New Roman" w:eastAsia="Times New Roman"/>
        </w:rPr>
        <w:t>827 </w:t>
      </w:r>
      <w:r>
        <w:rPr/>
        <w:t>人，合计持股</w:t>
      </w:r>
    </w:p>
    <w:p>
      <w:pPr>
        <w:pStyle w:val="BodyText"/>
        <w:spacing w:line="364" w:lineRule="auto" w:before="139"/>
        <w:ind w:left="238" w:right="210"/>
      </w:pPr>
      <w:r>
        <w:rPr>
          <w:rFonts w:ascii="Times New Roman" w:eastAsia="Times New Roman"/>
        </w:rPr>
        <w:t>4,408,418,171 </w:t>
      </w:r>
      <w:r>
        <w:rPr>
          <w:spacing w:val="-5"/>
        </w:rPr>
        <w:t>股，占公司有表决权总股份的 </w:t>
      </w:r>
      <w:r>
        <w:rPr>
          <w:rFonts w:ascii="Times New Roman" w:eastAsia="Times New Roman"/>
        </w:rPr>
        <w:t>67.00%</w:t>
      </w:r>
      <w:r>
        <w:rPr/>
        <w:t>。参加本次股东大会的还有公司董事、监事、</w:t>
      </w:r>
      <w:r>
        <w:rPr>
          <w:spacing w:val="-3"/>
        </w:rPr>
        <w:t>高级管理人员及公司聘请的律师。本次股东大会由公司董事会召集，董事长梁海山先生主持。公</w:t>
      </w:r>
      <w:r>
        <w:rPr>
          <w:spacing w:val="-11"/>
        </w:rPr>
        <w:t>司在任董事 </w:t>
      </w:r>
      <w:r>
        <w:rPr>
          <w:rFonts w:ascii="Times New Roman" w:eastAsia="Times New Roman"/>
        </w:rPr>
        <w:t>9 </w:t>
      </w:r>
      <w:r>
        <w:rPr>
          <w:spacing w:val="-12"/>
        </w:rPr>
        <w:t>名，出席 </w:t>
      </w:r>
      <w:r>
        <w:rPr>
          <w:rFonts w:ascii="Times New Roman" w:eastAsia="Times New Roman"/>
        </w:rPr>
        <w:t>1 </w:t>
      </w:r>
      <w:r>
        <w:rPr>
          <w:spacing w:val="-3"/>
        </w:rPr>
        <w:t>名，董事谭丽霞、李华刚、武常岐、阎焱、林绥、戴德明、钱大群、王</w:t>
      </w:r>
    </w:p>
    <w:p>
      <w:pPr>
        <w:pStyle w:val="BodyText"/>
        <w:spacing w:line="364" w:lineRule="auto"/>
        <w:ind w:left="238" w:right="319"/>
      </w:pPr>
      <w:r>
        <w:rPr>
          <w:spacing w:val="-6"/>
        </w:rPr>
        <w:t>克勤因事未能出席此次会议；在任监事 </w:t>
      </w:r>
      <w:r>
        <w:rPr>
          <w:rFonts w:ascii="Times New Roman" w:eastAsia="Times New Roman"/>
        </w:rPr>
        <w:t>3 </w:t>
      </w:r>
      <w:r>
        <w:rPr>
          <w:spacing w:val="-12"/>
        </w:rPr>
        <w:t>名，出席 </w:t>
      </w:r>
      <w:r>
        <w:rPr>
          <w:rFonts w:ascii="Times New Roman" w:eastAsia="Times New Roman"/>
        </w:rPr>
        <w:t>3 </w:t>
      </w:r>
      <w:r>
        <w:rPr>
          <w:spacing w:val="-3"/>
        </w:rPr>
        <w:t>名。公司董事会秘书出席了本次股东大会， 公司的其他高级管理人员列席了本次股东大会。</w:t>
      </w:r>
    </w:p>
    <w:p>
      <w:pPr>
        <w:spacing w:after="0" w:line="364" w:lineRule="auto"/>
        <w:sectPr>
          <w:pgSz w:w="11910" w:h="16840"/>
          <w:pgMar w:header="872" w:footer="1214" w:top="1440" w:bottom="1400" w:left="1560" w:right="960"/>
        </w:sectPr>
      </w:pPr>
    </w:p>
    <w:p>
      <w:pPr>
        <w:pStyle w:val="Heading4"/>
        <w:spacing w:line="359" w:lineRule="exact"/>
        <w:ind w:left="238"/>
      </w:pPr>
      <w:r>
        <w:rPr/>
        <w:t>三、 董事履行职责情况</w:t>
      </w:r>
    </w:p>
    <w:p>
      <w:pPr>
        <w:pStyle w:val="Heading4"/>
        <w:spacing w:line="360" w:lineRule="exact" w:after="13"/>
        <w:ind w:left="238"/>
      </w:pPr>
      <w:r>
        <w:rPr>
          <w:rFonts w:ascii="Times New Roman" w:eastAsia="Times New Roman"/>
        </w:rPr>
        <w:t>(</w:t>
      </w:r>
      <w:r>
        <w:rPr/>
        <w:t>一</w:t>
      </w:r>
      <w:r>
        <w:rPr>
          <w:rFonts w:ascii="Times New Roman" w:eastAsia="Times New Roman"/>
          <w:spacing w:val="19"/>
        </w:rPr>
        <w:t>) </w:t>
      </w:r>
      <w:r>
        <w:rPr>
          <w:spacing w:val="-2"/>
        </w:rPr>
        <w:t>董事参加董事会和股东大会的情况</w:t>
      </w:r>
    </w:p>
    <w:tbl>
      <w:tblPr>
        <w:tblW w:w="0" w:type="auto"/>
        <w:jc w:val="left"/>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63" w:hRule="atLeast"/>
        </w:trPr>
        <w:tc>
          <w:tcPr>
            <w:tcW w:w="979" w:type="dxa"/>
            <w:vMerge w:val="restart"/>
            <w:tcBorders>
              <w:bottom w:val="single" w:sz="4" w:space="0" w:color="000000"/>
              <w:right w:val="single" w:sz="4" w:space="0" w:color="000000"/>
            </w:tcBorders>
            <w:shd w:val="clear" w:color="auto" w:fill="EDEBE0"/>
          </w:tcPr>
          <w:p>
            <w:pPr>
              <w:pStyle w:val="TableParagraph"/>
              <w:spacing w:before="2"/>
              <w:rPr>
                <w:rFonts w:ascii="Microsoft JhengHei"/>
                <w:b/>
                <w:sz w:val="23"/>
              </w:rPr>
            </w:pPr>
          </w:p>
          <w:p>
            <w:pPr>
              <w:pStyle w:val="TableParagraph"/>
              <w:spacing w:line="242" w:lineRule="auto"/>
              <w:ind w:left="277" w:right="256"/>
              <w:rPr>
                <w:rFonts w:ascii="宋体" w:eastAsia="宋体" w:hint="eastAsia"/>
                <w:sz w:val="21"/>
              </w:rPr>
            </w:pPr>
            <w:r>
              <w:rPr>
                <w:rFonts w:ascii="宋体" w:eastAsia="宋体" w:hint="eastAsia"/>
                <w:sz w:val="21"/>
              </w:rPr>
              <w:t>董事姓名</w:t>
            </w:r>
          </w:p>
        </w:tc>
        <w:tc>
          <w:tcPr>
            <w:tcW w:w="847" w:type="dxa"/>
            <w:vMerge w:val="restart"/>
            <w:tcBorders>
              <w:left w:val="single" w:sz="4" w:space="0" w:color="000000"/>
              <w:bottom w:val="single" w:sz="4" w:space="0" w:color="000000"/>
              <w:right w:val="single" w:sz="4" w:space="0" w:color="000000"/>
            </w:tcBorders>
            <w:shd w:val="clear" w:color="auto" w:fill="EDEBE0"/>
          </w:tcPr>
          <w:p>
            <w:pPr>
              <w:pStyle w:val="TableParagraph"/>
              <w:spacing w:before="2"/>
              <w:rPr>
                <w:rFonts w:ascii="Microsoft JhengHei"/>
                <w:b/>
                <w:sz w:val="23"/>
              </w:rPr>
            </w:pPr>
          </w:p>
          <w:p>
            <w:pPr>
              <w:pStyle w:val="TableParagraph"/>
              <w:spacing w:line="242" w:lineRule="auto"/>
              <w:ind w:left="117" w:right="83"/>
              <w:rPr>
                <w:rFonts w:ascii="宋体" w:eastAsia="宋体" w:hint="eastAsia"/>
                <w:sz w:val="21"/>
              </w:rPr>
            </w:pPr>
            <w:r>
              <w:rPr>
                <w:rFonts w:ascii="宋体" w:eastAsia="宋体" w:hint="eastAsia"/>
                <w:sz w:val="21"/>
              </w:rPr>
              <w:t>是否独立董事</w:t>
            </w:r>
          </w:p>
        </w:tc>
        <w:tc>
          <w:tcPr>
            <w:tcW w:w="5964" w:type="dxa"/>
            <w:gridSpan w:val="6"/>
            <w:tcBorders>
              <w:left w:val="single" w:sz="4" w:space="0" w:color="000000"/>
              <w:bottom w:val="single" w:sz="4" w:space="0" w:color="000000"/>
              <w:right w:val="single" w:sz="4" w:space="0" w:color="000000"/>
            </w:tcBorders>
            <w:shd w:val="clear" w:color="auto" w:fill="EDEBE0"/>
          </w:tcPr>
          <w:p>
            <w:pPr>
              <w:pStyle w:val="TableParagraph"/>
              <w:spacing w:before="147"/>
              <w:ind w:left="2236" w:right="2208"/>
              <w:jc w:val="center"/>
              <w:rPr>
                <w:rFonts w:ascii="宋体" w:eastAsia="宋体" w:hint="eastAsia"/>
                <w:sz w:val="21"/>
              </w:rPr>
            </w:pPr>
            <w:r>
              <w:rPr>
                <w:rFonts w:ascii="宋体" w:eastAsia="宋体" w:hint="eastAsia"/>
                <w:sz w:val="21"/>
              </w:rPr>
              <w:t>参加董事会情况</w:t>
            </w:r>
          </w:p>
        </w:tc>
        <w:tc>
          <w:tcPr>
            <w:tcW w:w="1260" w:type="dxa"/>
            <w:tcBorders>
              <w:left w:val="single" w:sz="4" w:space="0" w:color="000000"/>
              <w:bottom w:val="single" w:sz="4" w:space="0" w:color="000000"/>
            </w:tcBorders>
            <w:shd w:val="clear" w:color="auto" w:fill="EDEBE0"/>
          </w:tcPr>
          <w:p>
            <w:pPr>
              <w:pStyle w:val="TableParagraph"/>
              <w:spacing w:line="270" w:lineRule="atLeast" w:before="9"/>
              <w:ind w:left="217" w:right="177"/>
              <w:rPr>
                <w:rFonts w:ascii="宋体" w:eastAsia="宋体" w:hint="eastAsia"/>
                <w:sz w:val="21"/>
              </w:rPr>
            </w:pPr>
            <w:r>
              <w:rPr>
                <w:rFonts w:ascii="宋体" w:eastAsia="宋体" w:hint="eastAsia"/>
                <w:sz w:val="21"/>
              </w:rPr>
              <w:t>参加股东大会情况</w:t>
            </w:r>
          </w:p>
        </w:tc>
      </w:tr>
      <w:tr>
        <w:trPr>
          <w:trHeight w:val="815" w:hRule="atLeast"/>
        </w:trPr>
        <w:tc>
          <w:tcPr>
            <w:tcW w:w="979" w:type="dxa"/>
            <w:vMerge/>
            <w:tcBorders>
              <w:top w:val="nil"/>
              <w:bottom w:val="single" w:sz="4" w:space="0" w:color="000000"/>
              <w:right w:val="single" w:sz="4" w:space="0" w:color="000000"/>
            </w:tcBorders>
            <w:shd w:val="clear" w:color="auto" w:fill="EDEBE0"/>
          </w:tcPr>
          <w:p>
            <w:pPr>
              <w:rPr>
                <w:sz w:val="2"/>
                <w:szCs w:val="2"/>
              </w:rPr>
            </w:pPr>
          </w:p>
        </w:tc>
        <w:tc>
          <w:tcPr>
            <w:tcW w:w="847"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1100"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42" w:lineRule="auto" w:before="1"/>
              <w:ind w:left="139" w:right="106"/>
              <w:jc w:val="center"/>
              <w:rPr>
                <w:rFonts w:ascii="宋体" w:eastAsia="宋体" w:hint="eastAsia"/>
                <w:sz w:val="21"/>
              </w:rPr>
            </w:pPr>
            <w:r>
              <w:rPr>
                <w:rFonts w:ascii="宋体" w:eastAsia="宋体" w:hint="eastAsia"/>
                <w:sz w:val="21"/>
              </w:rPr>
              <w:t>本年应参加董事会</w:t>
            </w:r>
          </w:p>
          <w:p>
            <w:pPr>
              <w:pStyle w:val="TableParagraph"/>
              <w:spacing w:line="250" w:lineRule="exact" w:before="1"/>
              <w:ind w:left="135" w:right="106"/>
              <w:jc w:val="center"/>
              <w:rPr>
                <w:rFonts w:ascii="宋体" w:eastAsia="宋体" w:hint="eastAsia"/>
                <w:sz w:val="21"/>
              </w:rPr>
            </w:pPr>
            <w:r>
              <w:rPr>
                <w:rFonts w:ascii="宋体" w:eastAsia="宋体" w:hint="eastAsia"/>
                <w:sz w:val="21"/>
              </w:rPr>
              <w:t>次数</w:t>
            </w:r>
          </w:p>
        </w:tc>
        <w:tc>
          <w:tcPr>
            <w:tcW w:w="852"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42" w:lineRule="auto" w:before="137"/>
              <w:ind w:left="119" w:right="86"/>
              <w:rPr>
                <w:rFonts w:ascii="宋体" w:eastAsia="宋体" w:hint="eastAsia"/>
                <w:sz w:val="21"/>
              </w:rPr>
            </w:pPr>
            <w:r>
              <w:rPr>
                <w:rFonts w:ascii="宋体" w:eastAsia="宋体" w:hint="eastAsia"/>
                <w:sz w:val="21"/>
              </w:rPr>
              <w:t>亲自出席次数</w:t>
            </w:r>
          </w:p>
        </w:tc>
        <w:tc>
          <w:tcPr>
            <w:tcW w:w="970"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42" w:lineRule="auto" w:before="1"/>
              <w:ind w:left="177" w:right="146"/>
              <w:rPr>
                <w:rFonts w:ascii="宋体" w:eastAsia="宋体" w:hint="eastAsia"/>
                <w:sz w:val="21"/>
              </w:rPr>
            </w:pPr>
            <w:r>
              <w:rPr>
                <w:rFonts w:ascii="宋体" w:eastAsia="宋体" w:hint="eastAsia"/>
                <w:spacing w:val="-6"/>
                <w:sz w:val="21"/>
              </w:rPr>
              <w:t>以通讯方式参</w:t>
            </w:r>
          </w:p>
          <w:p>
            <w:pPr>
              <w:pStyle w:val="TableParagraph"/>
              <w:spacing w:line="250" w:lineRule="exact" w:before="1"/>
              <w:ind w:left="177"/>
              <w:rPr>
                <w:rFonts w:ascii="宋体" w:eastAsia="宋体" w:hint="eastAsia"/>
                <w:sz w:val="21"/>
              </w:rPr>
            </w:pPr>
            <w:r>
              <w:rPr>
                <w:rFonts w:ascii="宋体" w:eastAsia="宋体" w:hint="eastAsia"/>
                <w:sz w:val="21"/>
              </w:rPr>
              <w:t>加次数</w:t>
            </w:r>
          </w:p>
        </w:tc>
        <w:tc>
          <w:tcPr>
            <w:tcW w:w="905"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42" w:lineRule="auto" w:before="137"/>
              <w:ind w:left="143" w:right="115"/>
              <w:rPr>
                <w:rFonts w:ascii="宋体" w:eastAsia="宋体" w:hint="eastAsia"/>
                <w:sz w:val="21"/>
              </w:rPr>
            </w:pPr>
            <w:r>
              <w:rPr>
                <w:rFonts w:ascii="宋体" w:eastAsia="宋体" w:hint="eastAsia"/>
                <w:sz w:val="21"/>
              </w:rPr>
              <w:t>委托出席次数</w:t>
            </w:r>
          </w:p>
        </w:tc>
        <w:tc>
          <w:tcPr>
            <w:tcW w:w="845"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42" w:lineRule="auto" w:before="137"/>
              <w:ind w:left="218" w:right="192"/>
              <w:rPr>
                <w:rFonts w:ascii="宋体" w:eastAsia="宋体" w:hint="eastAsia"/>
                <w:sz w:val="21"/>
              </w:rPr>
            </w:pPr>
            <w:r>
              <w:rPr>
                <w:rFonts w:ascii="宋体" w:eastAsia="宋体" w:hint="eastAsia"/>
                <w:sz w:val="21"/>
              </w:rPr>
              <w:t>缺席次数</w:t>
            </w:r>
          </w:p>
        </w:tc>
        <w:tc>
          <w:tcPr>
            <w:tcW w:w="1292"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42" w:lineRule="auto" w:before="1"/>
              <w:ind w:left="126" w:right="99"/>
              <w:jc w:val="center"/>
              <w:rPr>
                <w:rFonts w:ascii="宋体" w:eastAsia="宋体" w:hint="eastAsia"/>
                <w:sz w:val="21"/>
              </w:rPr>
            </w:pPr>
            <w:r>
              <w:rPr>
                <w:rFonts w:ascii="宋体" w:eastAsia="宋体" w:hint="eastAsia"/>
                <w:sz w:val="21"/>
              </w:rPr>
              <w:t>是否连续两次未亲自参</w:t>
            </w:r>
          </w:p>
          <w:p>
            <w:pPr>
              <w:pStyle w:val="TableParagraph"/>
              <w:spacing w:line="250" w:lineRule="exact" w:before="1"/>
              <w:ind w:left="121" w:right="99"/>
              <w:jc w:val="center"/>
              <w:rPr>
                <w:rFonts w:ascii="宋体" w:eastAsia="宋体" w:hint="eastAsia"/>
                <w:sz w:val="21"/>
              </w:rPr>
            </w:pPr>
            <w:r>
              <w:rPr>
                <w:rFonts w:ascii="宋体" w:eastAsia="宋体" w:hint="eastAsia"/>
                <w:sz w:val="21"/>
              </w:rPr>
              <w:t>加会议</w:t>
            </w:r>
          </w:p>
        </w:tc>
        <w:tc>
          <w:tcPr>
            <w:tcW w:w="1260" w:type="dxa"/>
            <w:tcBorders>
              <w:top w:val="single" w:sz="4" w:space="0" w:color="000000"/>
              <w:left w:val="single" w:sz="4" w:space="0" w:color="000000"/>
              <w:bottom w:val="single" w:sz="4" w:space="0" w:color="000000"/>
            </w:tcBorders>
            <w:shd w:val="clear" w:color="auto" w:fill="EDEBE0"/>
          </w:tcPr>
          <w:p>
            <w:pPr>
              <w:pStyle w:val="TableParagraph"/>
              <w:spacing w:line="242" w:lineRule="auto" w:before="1"/>
              <w:ind w:left="217" w:right="177"/>
              <w:jc w:val="center"/>
              <w:rPr>
                <w:rFonts w:ascii="宋体" w:eastAsia="宋体" w:hint="eastAsia"/>
                <w:sz w:val="21"/>
              </w:rPr>
            </w:pPr>
            <w:r>
              <w:rPr>
                <w:rFonts w:ascii="宋体" w:eastAsia="宋体" w:hint="eastAsia"/>
                <w:sz w:val="21"/>
              </w:rPr>
              <w:t>出席股东大会的次</w:t>
            </w:r>
          </w:p>
          <w:p>
            <w:pPr>
              <w:pStyle w:val="TableParagraph"/>
              <w:spacing w:line="250" w:lineRule="exact" w:before="1"/>
              <w:ind w:left="35"/>
              <w:jc w:val="center"/>
              <w:rPr>
                <w:rFonts w:ascii="宋体" w:eastAsia="宋体" w:hint="eastAsia"/>
                <w:sz w:val="21"/>
              </w:rPr>
            </w:pPr>
            <w:r>
              <w:rPr>
                <w:rFonts w:ascii="宋体" w:eastAsia="宋体" w:hint="eastAsia"/>
                <w:w w:val="100"/>
                <w:sz w:val="21"/>
              </w:rPr>
              <w:t>数</w:t>
            </w:r>
          </w:p>
        </w:tc>
      </w:tr>
      <w:tr>
        <w:trPr>
          <w:trHeight w:val="273" w:hRule="atLeast"/>
        </w:trPr>
        <w:tc>
          <w:tcPr>
            <w:tcW w:w="979" w:type="dxa"/>
            <w:tcBorders>
              <w:top w:val="single" w:sz="4" w:space="0" w:color="000000"/>
              <w:bottom w:val="single" w:sz="4" w:space="0" w:color="000000"/>
              <w:right w:val="single" w:sz="4" w:space="0" w:color="000000"/>
            </w:tcBorders>
          </w:tcPr>
          <w:p>
            <w:pPr>
              <w:pStyle w:val="TableParagraph"/>
              <w:spacing w:line="252" w:lineRule="exact" w:before="1"/>
              <w:ind w:left="154" w:right="135"/>
              <w:jc w:val="center"/>
              <w:rPr>
                <w:rFonts w:ascii="宋体" w:eastAsia="宋体" w:hint="eastAsia"/>
                <w:sz w:val="21"/>
              </w:rPr>
            </w:pPr>
            <w:r>
              <w:rPr>
                <w:rFonts w:ascii="宋体" w:eastAsia="宋体" w:hint="eastAsia"/>
                <w:sz w:val="21"/>
              </w:rPr>
              <w:t>梁海山</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26"/>
              <w:jc w:val="center"/>
              <w:rPr>
                <w:rFonts w:ascii="宋体" w:eastAsia="宋体" w:hint="eastAsia"/>
                <w:sz w:val="21"/>
              </w:rPr>
            </w:pPr>
            <w:r>
              <w:rPr>
                <w:rFonts w:ascii="宋体" w:eastAsia="宋体" w:hint="eastAsia"/>
                <w:w w:val="100"/>
                <w:sz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before="10"/>
              <w:ind w:left="507"/>
              <w:rPr>
                <w:sz w:val="21"/>
              </w:rPr>
            </w:pPr>
            <w:r>
              <w:rPr>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10"/>
              <w:ind w:left="26"/>
              <w:jc w:val="center"/>
              <w:rPr>
                <w:sz w:val="21"/>
              </w:rPr>
            </w:pPr>
            <w:r>
              <w:rPr>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10"/>
              <w:ind w:right="413"/>
              <w:jc w:val="right"/>
              <w:rPr>
                <w:sz w:val="21"/>
              </w:rPr>
            </w:pPr>
            <w:r>
              <w:rPr>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before="10"/>
              <w:ind w:left="21"/>
              <w:jc w:val="center"/>
              <w:rPr>
                <w:sz w:val="21"/>
              </w:rPr>
            </w:pPr>
            <w:r>
              <w:rPr>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0"/>
              <w:ind w:left="23"/>
              <w:jc w:val="center"/>
              <w:rPr>
                <w:sz w:val="21"/>
              </w:rPr>
            </w:pPr>
            <w:r>
              <w:rPr>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right="522"/>
              <w:jc w:val="right"/>
              <w:rPr>
                <w:rFonts w:ascii="宋体" w:eastAsia="宋体" w:hint="eastAsia"/>
                <w:sz w:val="21"/>
              </w:rPr>
            </w:pPr>
            <w:r>
              <w:rPr>
                <w:rFonts w:ascii="宋体" w:eastAsia="宋体" w:hint="eastAsia"/>
                <w:w w:val="100"/>
                <w:sz w:val="21"/>
              </w:rPr>
              <w:t>否</w:t>
            </w:r>
          </w:p>
        </w:tc>
        <w:tc>
          <w:tcPr>
            <w:tcW w:w="1260" w:type="dxa"/>
            <w:tcBorders>
              <w:top w:val="single" w:sz="4" w:space="0" w:color="000000"/>
              <w:left w:val="single" w:sz="4" w:space="0" w:color="000000"/>
              <w:bottom w:val="single" w:sz="4" w:space="0" w:color="000000"/>
            </w:tcBorders>
          </w:tcPr>
          <w:p>
            <w:pPr>
              <w:pStyle w:val="TableParagraph"/>
              <w:spacing w:before="10"/>
              <w:ind w:right="547"/>
              <w:jc w:val="right"/>
              <w:rPr>
                <w:sz w:val="21"/>
              </w:rPr>
            </w:pPr>
            <w:r>
              <w:rPr>
                <w:w w:val="100"/>
                <w:sz w:val="21"/>
              </w:rPr>
              <w:t>5</w:t>
            </w:r>
          </w:p>
        </w:tc>
      </w:tr>
      <w:tr>
        <w:trPr>
          <w:trHeight w:val="273" w:hRule="atLeast"/>
        </w:trPr>
        <w:tc>
          <w:tcPr>
            <w:tcW w:w="979" w:type="dxa"/>
            <w:tcBorders>
              <w:top w:val="single" w:sz="4" w:space="0" w:color="000000"/>
              <w:bottom w:val="single" w:sz="4" w:space="0" w:color="000000"/>
              <w:right w:val="single" w:sz="4" w:space="0" w:color="000000"/>
            </w:tcBorders>
          </w:tcPr>
          <w:p>
            <w:pPr>
              <w:pStyle w:val="TableParagraph"/>
              <w:spacing w:line="252" w:lineRule="exact" w:before="1"/>
              <w:ind w:left="154" w:right="135"/>
              <w:jc w:val="center"/>
              <w:rPr>
                <w:rFonts w:ascii="宋体" w:eastAsia="宋体" w:hint="eastAsia"/>
                <w:sz w:val="21"/>
              </w:rPr>
            </w:pPr>
            <w:r>
              <w:rPr>
                <w:rFonts w:ascii="宋体" w:eastAsia="宋体" w:hint="eastAsia"/>
                <w:sz w:val="21"/>
              </w:rPr>
              <w:t>谭丽霞</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26"/>
              <w:jc w:val="center"/>
              <w:rPr>
                <w:rFonts w:ascii="宋体" w:eastAsia="宋体" w:hint="eastAsia"/>
                <w:sz w:val="21"/>
              </w:rPr>
            </w:pPr>
            <w:r>
              <w:rPr>
                <w:rFonts w:ascii="宋体" w:eastAsia="宋体" w:hint="eastAsia"/>
                <w:w w:val="100"/>
                <w:sz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before="7"/>
              <w:ind w:left="507"/>
              <w:rPr>
                <w:sz w:val="21"/>
              </w:rPr>
            </w:pPr>
            <w:r>
              <w:rPr>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7"/>
              <w:ind w:left="26"/>
              <w:jc w:val="center"/>
              <w:rPr>
                <w:sz w:val="21"/>
              </w:rPr>
            </w:pPr>
            <w:r>
              <w:rPr>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7"/>
              <w:ind w:right="413"/>
              <w:jc w:val="right"/>
              <w:rPr>
                <w:sz w:val="21"/>
              </w:rPr>
            </w:pPr>
            <w:r>
              <w:rPr>
                <w:w w:val="100"/>
                <w:sz w:val="21"/>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before="7"/>
              <w:ind w:left="21"/>
              <w:jc w:val="center"/>
              <w:rPr>
                <w:sz w:val="21"/>
              </w:rPr>
            </w:pPr>
            <w:r>
              <w:rPr>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7"/>
              <w:ind w:left="23"/>
              <w:jc w:val="center"/>
              <w:rPr>
                <w:sz w:val="21"/>
              </w:rPr>
            </w:pPr>
            <w:r>
              <w:rPr>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right="522"/>
              <w:jc w:val="right"/>
              <w:rPr>
                <w:rFonts w:ascii="宋体" w:eastAsia="宋体" w:hint="eastAsia"/>
                <w:sz w:val="21"/>
              </w:rPr>
            </w:pPr>
            <w:r>
              <w:rPr>
                <w:rFonts w:ascii="宋体" w:eastAsia="宋体" w:hint="eastAsia"/>
                <w:w w:val="100"/>
                <w:sz w:val="21"/>
              </w:rPr>
              <w:t>否</w:t>
            </w:r>
          </w:p>
        </w:tc>
        <w:tc>
          <w:tcPr>
            <w:tcW w:w="1260" w:type="dxa"/>
            <w:tcBorders>
              <w:top w:val="single" w:sz="4" w:space="0" w:color="000000"/>
              <w:left w:val="single" w:sz="4" w:space="0" w:color="000000"/>
              <w:bottom w:val="single" w:sz="4" w:space="0" w:color="000000"/>
            </w:tcBorders>
          </w:tcPr>
          <w:p>
            <w:pPr>
              <w:pStyle w:val="TableParagraph"/>
              <w:spacing w:before="7"/>
              <w:ind w:right="547"/>
              <w:jc w:val="right"/>
              <w:rPr>
                <w:sz w:val="21"/>
              </w:rPr>
            </w:pPr>
            <w:r>
              <w:rPr>
                <w:w w:val="100"/>
                <w:sz w:val="21"/>
              </w:rPr>
              <w:t>1</w:t>
            </w:r>
          </w:p>
        </w:tc>
      </w:tr>
      <w:tr>
        <w:trPr>
          <w:trHeight w:val="270" w:hRule="atLeast"/>
        </w:trPr>
        <w:tc>
          <w:tcPr>
            <w:tcW w:w="979" w:type="dxa"/>
            <w:tcBorders>
              <w:top w:val="single" w:sz="4" w:space="0" w:color="000000"/>
              <w:bottom w:val="single" w:sz="4" w:space="0" w:color="000000"/>
              <w:right w:val="single" w:sz="4" w:space="0" w:color="000000"/>
            </w:tcBorders>
          </w:tcPr>
          <w:p>
            <w:pPr>
              <w:pStyle w:val="TableParagraph"/>
              <w:spacing w:line="250" w:lineRule="exact" w:before="1"/>
              <w:ind w:left="154" w:right="135"/>
              <w:jc w:val="center"/>
              <w:rPr>
                <w:rFonts w:ascii="宋体" w:eastAsia="宋体" w:hint="eastAsia"/>
                <w:sz w:val="21"/>
              </w:rPr>
            </w:pPr>
            <w:r>
              <w:rPr>
                <w:rFonts w:ascii="宋体" w:eastAsia="宋体" w:hint="eastAsia"/>
                <w:sz w:val="21"/>
              </w:rPr>
              <w:t>李华刚</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26"/>
              <w:jc w:val="center"/>
              <w:rPr>
                <w:rFonts w:ascii="宋体" w:eastAsia="宋体" w:hint="eastAsia"/>
                <w:sz w:val="21"/>
              </w:rPr>
            </w:pPr>
            <w:r>
              <w:rPr>
                <w:rFonts w:ascii="宋体" w:eastAsia="宋体" w:hint="eastAsia"/>
                <w:w w:val="100"/>
                <w:sz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before="7"/>
              <w:ind w:left="507"/>
              <w:rPr>
                <w:sz w:val="21"/>
              </w:rPr>
            </w:pPr>
            <w:r>
              <w:rPr>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7"/>
              <w:ind w:left="26"/>
              <w:jc w:val="center"/>
              <w:rPr>
                <w:sz w:val="21"/>
              </w:rPr>
            </w:pPr>
            <w:r>
              <w:rPr>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7"/>
              <w:ind w:right="413"/>
              <w:jc w:val="right"/>
              <w:rPr>
                <w:sz w:val="21"/>
              </w:rPr>
            </w:pPr>
            <w:r>
              <w:rPr>
                <w:w w:val="100"/>
                <w:sz w:val="21"/>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before="7"/>
              <w:ind w:left="21"/>
              <w:jc w:val="center"/>
              <w:rPr>
                <w:sz w:val="21"/>
              </w:rPr>
            </w:pPr>
            <w:r>
              <w:rPr>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7"/>
              <w:ind w:left="23"/>
              <w:jc w:val="center"/>
              <w:rPr>
                <w:sz w:val="21"/>
              </w:rPr>
            </w:pPr>
            <w:r>
              <w:rPr>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right="522"/>
              <w:jc w:val="right"/>
              <w:rPr>
                <w:rFonts w:ascii="宋体" w:eastAsia="宋体" w:hint="eastAsia"/>
                <w:sz w:val="21"/>
              </w:rPr>
            </w:pPr>
            <w:r>
              <w:rPr>
                <w:rFonts w:ascii="宋体" w:eastAsia="宋体" w:hint="eastAsia"/>
                <w:w w:val="100"/>
                <w:sz w:val="21"/>
              </w:rPr>
              <w:t>否</w:t>
            </w:r>
          </w:p>
        </w:tc>
        <w:tc>
          <w:tcPr>
            <w:tcW w:w="1260" w:type="dxa"/>
            <w:tcBorders>
              <w:top w:val="single" w:sz="4" w:space="0" w:color="000000"/>
              <w:left w:val="single" w:sz="4" w:space="0" w:color="000000"/>
              <w:bottom w:val="single" w:sz="4" w:space="0" w:color="000000"/>
            </w:tcBorders>
          </w:tcPr>
          <w:p>
            <w:pPr>
              <w:pStyle w:val="TableParagraph"/>
              <w:spacing w:before="7"/>
              <w:ind w:right="547"/>
              <w:jc w:val="right"/>
              <w:rPr>
                <w:sz w:val="21"/>
              </w:rPr>
            </w:pPr>
            <w:r>
              <w:rPr>
                <w:w w:val="100"/>
                <w:sz w:val="21"/>
              </w:rPr>
              <w:t>1</w:t>
            </w:r>
          </w:p>
        </w:tc>
      </w:tr>
      <w:tr>
        <w:trPr>
          <w:trHeight w:val="273" w:hRule="atLeast"/>
        </w:trPr>
        <w:tc>
          <w:tcPr>
            <w:tcW w:w="979" w:type="dxa"/>
            <w:tcBorders>
              <w:top w:val="single" w:sz="4" w:space="0" w:color="000000"/>
              <w:bottom w:val="single" w:sz="4" w:space="0" w:color="000000"/>
              <w:right w:val="single" w:sz="4" w:space="0" w:color="000000"/>
            </w:tcBorders>
          </w:tcPr>
          <w:p>
            <w:pPr>
              <w:pStyle w:val="TableParagraph"/>
              <w:spacing w:line="252" w:lineRule="exact" w:before="1"/>
              <w:ind w:left="154" w:right="135"/>
              <w:jc w:val="center"/>
              <w:rPr>
                <w:rFonts w:ascii="宋体" w:eastAsia="宋体" w:hint="eastAsia"/>
                <w:sz w:val="21"/>
              </w:rPr>
            </w:pPr>
            <w:r>
              <w:rPr>
                <w:rFonts w:ascii="宋体" w:eastAsia="宋体" w:hint="eastAsia"/>
                <w:sz w:val="21"/>
              </w:rPr>
              <w:t>武常岐</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26"/>
              <w:jc w:val="center"/>
              <w:rPr>
                <w:rFonts w:ascii="宋体" w:eastAsia="宋体" w:hint="eastAsia"/>
                <w:sz w:val="21"/>
              </w:rPr>
            </w:pPr>
            <w:r>
              <w:rPr>
                <w:rFonts w:ascii="宋体" w:eastAsia="宋体" w:hint="eastAsia"/>
                <w:w w:val="100"/>
                <w:sz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before="10"/>
              <w:ind w:left="507"/>
              <w:rPr>
                <w:sz w:val="21"/>
              </w:rPr>
            </w:pPr>
            <w:r>
              <w:rPr>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10"/>
              <w:ind w:left="26"/>
              <w:jc w:val="center"/>
              <w:rPr>
                <w:sz w:val="21"/>
              </w:rPr>
            </w:pPr>
            <w:r>
              <w:rPr>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10"/>
              <w:ind w:right="413"/>
              <w:jc w:val="right"/>
              <w:rPr>
                <w:sz w:val="21"/>
              </w:rPr>
            </w:pPr>
            <w:r>
              <w:rPr>
                <w:w w:val="100"/>
                <w:sz w:val="21"/>
              </w:rPr>
              <w:t>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before="10"/>
              <w:ind w:left="21"/>
              <w:jc w:val="center"/>
              <w:rPr>
                <w:sz w:val="21"/>
              </w:rPr>
            </w:pPr>
            <w:r>
              <w:rPr>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0"/>
              <w:ind w:left="23"/>
              <w:jc w:val="center"/>
              <w:rPr>
                <w:sz w:val="21"/>
              </w:rPr>
            </w:pPr>
            <w:r>
              <w:rPr>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right="522"/>
              <w:jc w:val="right"/>
              <w:rPr>
                <w:rFonts w:ascii="宋体" w:eastAsia="宋体" w:hint="eastAsia"/>
                <w:sz w:val="21"/>
              </w:rPr>
            </w:pPr>
            <w:r>
              <w:rPr>
                <w:rFonts w:ascii="宋体" w:eastAsia="宋体" w:hint="eastAsia"/>
                <w:w w:val="100"/>
                <w:sz w:val="21"/>
              </w:rPr>
              <w:t>否</w:t>
            </w:r>
          </w:p>
        </w:tc>
        <w:tc>
          <w:tcPr>
            <w:tcW w:w="1260" w:type="dxa"/>
            <w:tcBorders>
              <w:top w:val="single" w:sz="4" w:space="0" w:color="000000"/>
              <w:left w:val="single" w:sz="4" w:space="0" w:color="000000"/>
              <w:bottom w:val="single" w:sz="4" w:space="0" w:color="000000"/>
            </w:tcBorders>
          </w:tcPr>
          <w:p>
            <w:pPr>
              <w:pStyle w:val="TableParagraph"/>
              <w:spacing w:before="10"/>
              <w:ind w:right="547"/>
              <w:jc w:val="right"/>
              <w:rPr>
                <w:sz w:val="21"/>
              </w:rPr>
            </w:pPr>
            <w:r>
              <w:rPr>
                <w:w w:val="100"/>
                <w:sz w:val="21"/>
              </w:rPr>
              <w:t>0</w:t>
            </w:r>
          </w:p>
        </w:tc>
      </w:tr>
      <w:tr>
        <w:trPr>
          <w:trHeight w:val="270" w:hRule="atLeast"/>
        </w:trPr>
        <w:tc>
          <w:tcPr>
            <w:tcW w:w="979" w:type="dxa"/>
            <w:tcBorders>
              <w:top w:val="single" w:sz="4" w:space="0" w:color="000000"/>
              <w:bottom w:val="single" w:sz="4" w:space="0" w:color="000000"/>
              <w:right w:val="single" w:sz="4" w:space="0" w:color="000000"/>
            </w:tcBorders>
          </w:tcPr>
          <w:p>
            <w:pPr>
              <w:pStyle w:val="TableParagraph"/>
              <w:spacing w:line="250" w:lineRule="exact" w:before="1"/>
              <w:ind w:left="154" w:right="135"/>
              <w:jc w:val="center"/>
              <w:rPr>
                <w:rFonts w:ascii="宋体" w:eastAsia="宋体" w:hint="eastAsia"/>
                <w:sz w:val="21"/>
              </w:rPr>
            </w:pPr>
            <w:r>
              <w:rPr>
                <w:rFonts w:ascii="宋体" w:eastAsia="宋体" w:hint="eastAsia"/>
                <w:sz w:val="21"/>
              </w:rPr>
              <w:t>戴德明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26"/>
              <w:jc w:val="center"/>
              <w:rPr>
                <w:rFonts w:ascii="宋体" w:eastAsia="宋体" w:hint="eastAsia"/>
                <w:sz w:val="21"/>
              </w:rPr>
            </w:pPr>
            <w:r>
              <w:rPr>
                <w:rFonts w:ascii="宋体" w:eastAsia="宋体" w:hint="eastAsia"/>
                <w:w w:val="100"/>
                <w:sz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before="7"/>
              <w:ind w:left="507"/>
              <w:rPr>
                <w:sz w:val="21"/>
              </w:rPr>
            </w:pPr>
            <w:r>
              <w:rPr>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7"/>
              <w:ind w:left="26"/>
              <w:jc w:val="center"/>
              <w:rPr>
                <w:sz w:val="21"/>
              </w:rPr>
            </w:pPr>
            <w:r>
              <w:rPr>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7"/>
              <w:ind w:right="413"/>
              <w:jc w:val="right"/>
              <w:rPr>
                <w:sz w:val="21"/>
              </w:rPr>
            </w:pPr>
            <w:r>
              <w:rPr>
                <w:w w:val="100"/>
                <w:sz w:val="21"/>
              </w:rPr>
              <w:t>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before="7"/>
              <w:ind w:left="21"/>
              <w:jc w:val="center"/>
              <w:rPr>
                <w:sz w:val="21"/>
              </w:rPr>
            </w:pPr>
            <w:r>
              <w:rPr>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7"/>
              <w:ind w:left="23"/>
              <w:jc w:val="center"/>
              <w:rPr>
                <w:sz w:val="21"/>
              </w:rPr>
            </w:pPr>
            <w:r>
              <w:rPr>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right="522"/>
              <w:jc w:val="right"/>
              <w:rPr>
                <w:rFonts w:ascii="宋体" w:eastAsia="宋体" w:hint="eastAsia"/>
                <w:sz w:val="21"/>
              </w:rPr>
            </w:pPr>
            <w:r>
              <w:rPr>
                <w:rFonts w:ascii="宋体" w:eastAsia="宋体" w:hint="eastAsia"/>
                <w:w w:val="100"/>
                <w:sz w:val="21"/>
              </w:rPr>
              <w:t>否</w:t>
            </w:r>
          </w:p>
        </w:tc>
        <w:tc>
          <w:tcPr>
            <w:tcW w:w="1260" w:type="dxa"/>
            <w:tcBorders>
              <w:top w:val="single" w:sz="4" w:space="0" w:color="000000"/>
              <w:left w:val="single" w:sz="4" w:space="0" w:color="000000"/>
              <w:bottom w:val="single" w:sz="4" w:space="0" w:color="000000"/>
            </w:tcBorders>
          </w:tcPr>
          <w:p>
            <w:pPr>
              <w:pStyle w:val="TableParagraph"/>
              <w:spacing w:before="7"/>
              <w:ind w:right="547"/>
              <w:jc w:val="right"/>
              <w:rPr>
                <w:sz w:val="21"/>
              </w:rPr>
            </w:pPr>
            <w:r>
              <w:rPr>
                <w:w w:val="100"/>
                <w:sz w:val="21"/>
              </w:rPr>
              <w:t>1</w:t>
            </w:r>
          </w:p>
        </w:tc>
      </w:tr>
      <w:tr>
        <w:trPr>
          <w:trHeight w:val="273" w:hRule="atLeast"/>
        </w:trPr>
        <w:tc>
          <w:tcPr>
            <w:tcW w:w="979" w:type="dxa"/>
            <w:tcBorders>
              <w:top w:val="single" w:sz="4" w:space="0" w:color="000000"/>
              <w:bottom w:val="single" w:sz="4" w:space="0" w:color="000000"/>
              <w:right w:val="single" w:sz="4" w:space="0" w:color="000000"/>
            </w:tcBorders>
          </w:tcPr>
          <w:p>
            <w:pPr>
              <w:pStyle w:val="TableParagraph"/>
              <w:spacing w:line="250" w:lineRule="exact" w:before="3"/>
              <w:ind w:left="154" w:right="135"/>
              <w:jc w:val="center"/>
              <w:rPr>
                <w:rFonts w:ascii="宋体" w:eastAsia="宋体" w:hint="eastAsia"/>
                <w:sz w:val="21"/>
              </w:rPr>
            </w:pPr>
            <w:r>
              <w:rPr>
                <w:rFonts w:ascii="宋体" w:eastAsia="宋体" w:hint="eastAsia"/>
                <w:sz w:val="21"/>
              </w:rPr>
              <w:t>施天涛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left="26"/>
              <w:jc w:val="center"/>
              <w:rPr>
                <w:rFonts w:ascii="宋体" w:eastAsia="宋体" w:hint="eastAsia"/>
                <w:sz w:val="21"/>
              </w:rPr>
            </w:pPr>
            <w:r>
              <w:rPr>
                <w:rFonts w:ascii="宋体" w:eastAsia="宋体" w:hint="eastAsia"/>
                <w:w w:val="100"/>
                <w:sz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before="10"/>
              <w:ind w:left="507"/>
              <w:rPr>
                <w:sz w:val="21"/>
              </w:rPr>
            </w:pPr>
            <w:r>
              <w:rPr>
                <w:w w:val="100"/>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10"/>
              <w:ind w:left="26"/>
              <w:jc w:val="center"/>
              <w:rPr>
                <w:sz w:val="21"/>
              </w:rPr>
            </w:pPr>
            <w:r>
              <w:rPr>
                <w:w w:val="100"/>
                <w:sz w:val="21"/>
              </w:rPr>
              <w:t>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10"/>
              <w:ind w:right="413"/>
              <w:jc w:val="right"/>
              <w:rPr>
                <w:sz w:val="21"/>
              </w:rPr>
            </w:pPr>
            <w:r>
              <w:rPr>
                <w:w w:val="100"/>
                <w:sz w:val="21"/>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before="10"/>
              <w:ind w:left="21"/>
              <w:jc w:val="center"/>
              <w:rPr>
                <w:sz w:val="21"/>
              </w:rPr>
            </w:pPr>
            <w:r>
              <w:rPr>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0"/>
              <w:ind w:left="23"/>
              <w:jc w:val="center"/>
              <w:rPr>
                <w:sz w:val="21"/>
              </w:rPr>
            </w:pPr>
            <w:r>
              <w:rPr>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right="522"/>
              <w:jc w:val="right"/>
              <w:rPr>
                <w:rFonts w:ascii="宋体" w:eastAsia="宋体" w:hint="eastAsia"/>
                <w:sz w:val="21"/>
              </w:rPr>
            </w:pPr>
            <w:r>
              <w:rPr>
                <w:rFonts w:ascii="宋体" w:eastAsia="宋体" w:hint="eastAsia"/>
                <w:w w:val="100"/>
                <w:sz w:val="21"/>
              </w:rPr>
              <w:t>否</w:t>
            </w:r>
          </w:p>
        </w:tc>
        <w:tc>
          <w:tcPr>
            <w:tcW w:w="1260" w:type="dxa"/>
            <w:tcBorders>
              <w:top w:val="single" w:sz="4" w:space="0" w:color="000000"/>
              <w:left w:val="single" w:sz="4" w:space="0" w:color="000000"/>
              <w:bottom w:val="single" w:sz="4" w:space="0" w:color="000000"/>
            </w:tcBorders>
          </w:tcPr>
          <w:p>
            <w:pPr>
              <w:pStyle w:val="TableParagraph"/>
              <w:spacing w:before="10"/>
              <w:ind w:right="547"/>
              <w:jc w:val="right"/>
              <w:rPr>
                <w:sz w:val="21"/>
              </w:rPr>
            </w:pPr>
            <w:r>
              <w:rPr>
                <w:w w:val="100"/>
                <w:sz w:val="21"/>
              </w:rPr>
              <w:t>0</w:t>
            </w:r>
          </w:p>
        </w:tc>
      </w:tr>
      <w:tr>
        <w:trPr>
          <w:trHeight w:val="273" w:hRule="atLeast"/>
        </w:trPr>
        <w:tc>
          <w:tcPr>
            <w:tcW w:w="979" w:type="dxa"/>
            <w:tcBorders>
              <w:top w:val="single" w:sz="4" w:space="0" w:color="000000"/>
              <w:bottom w:val="single" w:sz="4" w:space="0" w:color="000000"/>
              <w:right w:val="single" w:sz="4" w:space="0" w:color="000000"/>
            </w:tcBorders>
          </w:tcPr>
          <w:p>
            <w:pPr>
              <w:pStyle w:val="TableParagraph"/>
              <w:spacing w:line="252" w:lineRule="exact" w:before="1"/>
              <w:ind w:left="153" w:right="135"/>
              <w:jc w:val="center"/>
              <w:rPr>
                <w:rFonts w:ascii="宋体" w:eastAsia="宋体" w:hint="eastAsia"/>
                <w:sz w:val="21"/>
              </w:rPr>
            </w:pPr>
            <w:r>
              <w:rPr>
                <w:rFonts w:ascii="宋体" w:eastAsia="宋体" w:hint="eastAsia"/>
                <w:sz w:val="21"/>
              </w:rPr>
              <w:t>林 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26"/>
              <w:jc w:val="center"/>
              <w:rPr>
                <w:rFonts w:ascii="宋体" w:eastAsia="宋体" w:hint="eastAsia"/>
                <w:sz w:val="21"/>
              </w:rPr>
            </w:pPr>
            <w:r>
              <w:rPr>
                <w:rFonts w:ascii="宋体" w:eastAsia="宋体" w:hint="eastAsia"/>
                <w:w w:val="100"/>
                <w:sz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before="10"/>
              <w:ind w:left="507"/>
              <w:rPr>
                <w:sz w:val="21"/>
              </w:rPr>
            </w:pPr>
            <w:r>
              <w:rPr>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10"/>
              <w:ind w:left="26"/>
              <w:jc w:val="center"/>
              <w:rPr>
                <w:sz w:val="21"/>
              </w:rPr>
            </w:pPr>
            <w:r>
              <w:rPr>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10"/>
              <w:ind w:right="413"/>
              <w:jc w:val="right"/>
              <w:rPr>
                <w:sz w:val="21"/>
              </w:rPr>
            </w:pPr>
            <w:r>
              <w:rPr>
                <w:w w:val="100"/>
                <w:sz w:val="21"/>
              </w:rPr>
              <w:t>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before="10"/>
              <w:ind w:left="21"/>
              <w:jc w:val="center"/>
              <w:rPr>
                <w:sz w:val="21"/>
              </w:rPr>
            </w:pPr>
            <w:r>
              <w:rPr>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0"/>
              <w:ind w:left="23"/>
              <w:jc w:val="center"/>
              <w:rPr>
                <w:sz w:val="21"/>
              </w:rPr>
            </w:pPr>
            <w:r>
              <w:rPr>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right="522"/>
              <w:jc w:val="right"/>
              <w:rPr>
                <w:rFonts w:ascii="宋体" w:eastAsia="宋体" w:hint="eastAsia"/>
                <w:sz w:val="21"/>
              </w:rPr>
            </w:pPr>
            <w:r>
              <w:rPr>
                <w:rFonts w:ascii="宋体" w:eastAsia="宋体" w:hint="eastAsia"/>
                <w:w w:val="100"/>
                <w:sz w:val="21"/>
              </w:rPr>
              <w:t>否</w:t>
            </w:r>
          </w:p>
        </w:tc>
        <w:tc>
          <w:tcPr>
            <w:tcW w:w="1260" w:type="dxa"/>
            <w:tcBorders>
              <w:top w:val="single" w:sz="4" w:space="0" w:color="000000"/>
              <w:left w:val="single" w:sz="4" w:space="0" w:color="000000"/>
              <w:bottom w:val="single" w:sz="4" w:space="0" w:color="000000"/>
            </w:tcBorders>
          </w:tcPr>
          <w:p>
            <w:pPr>
              <w:pStyle w:val="TableParagraph"/>
              <w:spacing w:before="10"/>
              <w:ind w:right="547"/>
              <w:jc w:val="right"/>
              <w:rPr>
                <w:sz w:val="21"/>
              </w:rPr>
            </w:pPr>
            <w:r>
              <w:rPr>
                <w:w w:val="100"/>
                <w:sz w:val="21"/>
              </w:rPr>
              <w:t>0</w:t>
            </w:r>
          </w:p>
        </w:tc>
      </w:tr>
      <w:tr>
        <w:trPr>
          <w:trHeight w:val="270" w:hRule="atLeast"/>
        </w:trPr>
        <w:tc>
          <w:tcPr>
            <w:tcW w:w="979" w:type="dxa"/>
            <w:tcBorders>
              <w:top w:val="single" w:sz="4" w:space="0" w:color="000000"/>
              <w:bottom w:val="single" w:sz="4" w:space="0" w:color="000000"/>
              <w:right w:val="single" w:sz="4" w:space="0" w:color="000000"/>
            </w:tcBorders>
          </w:tcPr>
          <w:p>
            <w:pPr>
              <w:pStyle w:val="TableParagraph"/>
              <w:spacing w:line="250" w:lineRule="exact" w:before="1"/>
              <w:ind w:left="154" w:right="135"/>
              <w:jc w:val="center"/>
              <w:rPr>
                <w:rFonts w:ascii="宋体" w:eastAsia="宋体" w:hint="eastAsia"/>
                <w:sz w:val="21"/>
              </w:rPr>
            </w:pPr>
            <w:r>
              <w:rPr>
                <w:rFonts w:ascii="宋体" w:eastAsia="宋体" w:hint="eastAsia"/>
                <w:sz w:val="21"/>
              </w:rPr>
              <w:t>钱大群</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26"/>
              <w:jc w:val="center"/>
              <w:rPr>
                <w:rFonts w:ascii="宋体" w:eastAsia="宋体" w:hint="eastAsia"/>
                <w:sz w:val="21"/>
              </w:rPr>
            </w:pPr>
            <w:r>
              <w:rPr>
                <w:rFonts w:ascii="宋体" w:eastAsia="宋体" w:hint="eastAsia"/>
                <w:w w:val="100"/>
                <w:sz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before="7"/>
              <w:ind w:left="507"/>
              <w:rPr>
                <w:sz w:val="21"/>
              </w:rPr>
            </w:pPr>
            <w:r>
              <w:rPr>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7"/>
              <w:ind w:left="26"/>
              <w:jc w:val="center"/>
              <w:rPr>
                <w:sz w:val="21"/>
              </w:rPr>
            </w:pPr>
            <w:r>
              <w:rPr>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7"/>
              <w:ind w:right="413"/>
              <w:jc w:val="right"/>
              <w:rPr>
                <w:sz w:val="21"/>
              </w:rPr>
            </w:pPr>
            <w:r>
              <w:rPr>
                <w:w w:val="100"/>
                <w:sz w:val="21"/>
              </w:rPr>
              <w:t>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before="7"/>
              <w:ind w:left="21"/>
              <w:jc w:val="center"/>
              <w:rPr>
                <w:sz w:val="21"/>
              </w:rPr>
            </w:pPr>
            <w:r>
              <w:rPr>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7"/>
              <w:ind w:left="23"/>
              <w:jc w:val="center"/>
              <w:rPr>
                <w:sz w:val="21"/>
              </w:rPr>
            </w:pPr>
            <w:r>
              <w:rPr>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right="522"/>
              <w:jc w:val="right"/>
              <w:rPr>
                <w:rFonts w:ascii="宋体" w:eastAsia="宋体" w:hint="eastAsia"/>
                <w:sz w:val="21"/>
              </w:rPr>
            </w:pPr>
            <w:r>
              <w:rPr>
                <w:rFonts w:ascii="宋体" w:eastAsia="宋体" w:hint="eastAsia"/>
                <w:w w:val="100"/>
                <w:sz w:val="21"/>
              </w:rPr>
              <w:t>否</w:t>
            </w:r>
          </w:p>
        </w:tc>
        <w:tc>
          <w:tcPr>
            <w:tcW w:w="1260" w:type="dxa"/>
            <w:tcBorders>
              <w:top w:val="single" w:sz="4" w:space="0" w:color="000000"/>
              <w:left w:val="single" w:sz="4" w:space="0" w:color="000000"/>
              <w:bottom w:val="single" w:sz="4" w:space="0" w:color="000000"/>
            </w:tcBorders>
          </w:tcPr>
          <w:p>
            <w:pPr>
              <w:pStyle w:val="TableParagraph"/>
              <w:spacing w:before="7"/>
              <w:ind w:right="547"/>
              <w:jc w:val="right"/>
              <w:rPr>
                <w:sz w:val="21"/>
              </w:rPr>
            </w:pPr>
            <w:r>
              <w:rPr>
                <w:w w:val="100"/>
                <w:sz w:val="21"/>
              </w:rPr>
              <w:t>0</w:t>
            </w:r>
          </w:p>
        </w:tc>
      </w:tr>
      <w:tr>
        <w:trPr>
          <w:trHeight w:val="273" w:hRule="atLeast"/>
        </w:trPr>
        <w:tc>
          <w:tcPr>
            <w:tcW w:w="979" w:type="dxa"/>
            <w:tcBorders>
              <w:top w:val="single" w:sz="4" w:space="0" w:color="000000"/>
              <w:bottom w:val="single" w:sz="4" w:space="0" w:color="000000"/>
              <w:right w:val="single" w:sz="4" w:space="0" w:color="000000"/>
            </w:tcBorders>
          </w:tcPr>
          <w:p>
            <w:pPr>
              <w:pStyle w:val="TableParagraph"/>
              <w:spacing w:line="250" w:lineRule="exact" w:before="3"/>
              <w:ind w:left="153" w:right="135"/>
              <w:jc w:val="center"/>
              <w:rPr>
                <w:rFonts w:ascii="宋体" w:eastAsia="宋体" w:hint="eastAsia"/>
                <w:sz w:val="21"/>
              </w:rPr>
            </w:pPr>
            <w:r>
              <w:rPr>
                <w:rFonts w:ascii="宋体" w:eastAsia="宋体" w:hint="eastAsia"/>
                <w:sz w:val="21"/>
              </w:rPr>
              <w:t>阎 焱</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left="26"/>
              <w:jc w:val="center"/>
              <w:rPr>
                <w:rFonts w:ascii="宋体" w:eastAsia="宋体" w:hint="eastAsia"/>
                <w:sz w:val="21"/>
              </w:rPr>
            </w:pPr>
            <w:r>
              <w:rPr>
                <w:rFonts w:ascii="宋体" w:eastAsia="宋体" w:hint="eastAsia"/>
                <w:w w:val="100"/>
                <w:sz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before="10"/>
              <w:ind w:left="507"/>
              <w:rPr>
                <w:sz w:val="21"/>
              </w:rPr>
            </w:pPr>
            <w:r>
              <w:rPr>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10"/>
              <w:ind w:left="26"/>
              <w:jc w:val="center"/>
              <w:rPr>
                <w:sz w:val="21"/>
              </w:rPr>
            </w:pPr>
            <w:r>
              <w:rPr>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10"/>
              <w:ind w:right="413"/>
              <w:jc w:val="right"/>
              <w:rPr>
                <w:sz w:val="21"/>
              </w:rPr>
            </w:pPr>
            <w:r>
              <w:rPr>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before="10"/>
              <w:ind w:left="21"/>
              <w:jc w:val="center"/>
              <w:rPr>
                <w:sz w:val="21"/>
              </w:rPr>
            </w:pPr>
            <w:r>
              <w:rPr>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0"/>
              <w:ind w:left="23"/>
              <w:jc w:val="center"/>
              <w:rPr>
                <w:sz w:val="21"/>
              </w:rPr>
            </w:pPr>
            <w:r>
              <w:rPr>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right="522"/>
              <w:jc w:val="right"/>
              <w:rPr>
                <w:rFonts w:ascii="宋体" w:eastAsia="宋体" w:hint="eastAsia"/>
                <w:sz w:val="21"/>
              </w:rPr>
            </w:pPr>
            <w:r>
              <w:rPr>
                <w:rFonts w:ascii="宋体" w:eastAsia="宋体" w:hint="eastAsia"/>
                <w:w w:val="100"/>
                <w:sz w:val="21"/>
              </w:rPr>
              <w:t>否</w:t>
            </w:r>
          </w:p>
        </w:tc>
        <w:tc>
          <w:tcPr>
            <w:tcW w:w="1260" w:type="dxa"/>
            <w:tcBorders>
              <w:top w:val="single" w:sz="4" w:space="0" w:color="000000"/>
              <w:left w:val="single" w:sz="4" w:space="0" w:color="000000"/>
              <w:bottom w:val="single" w:sz="4" w:space="0" w:color="000000"/>
            </w:tcBorders>
          </w:tcPr>
          <w:p>
            <w:pPr>
              <w:pStyle w:val="TableParagraph"/>
              <w:spacing w:before="10"/>
              <w:ind w:right="547"/>
              <w:jc w:val="right"/>
              <w:rPr>
                <w:sz w:val="21"/>
              </w:rPr>
            </w:pPr>
            <w:r>
              <w:rPr>
                <w:w w:val="100"/>
                <w:sz w:val="21"/>
              </w:rPr>
              <w:t>0</w:t>
            </w:r>
          </w:p>
        </w:tc>
      </w:tr>
      <w:tr>
        <w:trPr>
          <w:trHeight w:val="270" w:hRule="atLeast"/>
        </w:trPr>
        <w:tc>
          <w:tcPr>
            <w:tcW w:w="979" w:type="dxa"/>
            <w:tcBorders>
              <w:top w:val="single" w:sz="4" w:space="0" w:color="000000"/>
              <w:right w:val="single" w:sz="4" w:space="0" w:color="000000"/>
            </w:tcBorders>
          </w:tcPr>
          <w:p>
            <w:pPr>
              <w:pStyle w:val="TableParagraph"/>
              <w:spacing w:line="249" w:lineRule="exact" w:before="1"/>
              <w:ind w:left="154" w:right="135"/>
              <w:jc w:val="center"/>
              <w:rPr>
                <w:rFonts w:ascii="宋体" w:eastAsia="宋体" w:hint="eastAsia"/>
                <w:sz w:val="21"/>
              </w:rPr>
            </w:pPr>
            <w:r>
              <w:rPr>
                <w:rFonts w:ascii="宋体" w:eastAsia="宋体" w:hint="eastAsia"/>
                <w:sz w:val="21"/>
              </w:rPr>
              <w:t>王克勤</w:t>
            </w:r>
          </w:p>
        </w:tc>
        <w:tc>
          <w:tcPr>
            <w:tcW w:w="847" w:type="dxa"/>
            <w:tcBorders>
              <w:top w:val="single" w:sz="4" w:space="0" w:color="000000"/>
              <w:left w:val="single" w:sz="4" w:space="0" w:color="000000"/>
              <w:right w:val="single" w:sz="4" w:space="0" w:color="000000"/>
            </w:tcBorders>
          </w:tcPr>
          <w:p>
            <w:pPr>
              <w:pStyle w:val="TableParagraph"/>
              <w:spacing w:line="249" w:lineRule="exact" w:before="1"/>
              <w:ind w:left="26"/>
              <w:jc w:val="center"/>
              <w:rPr>
                <w:rFonts w:ascii="宋体" w:eastAsia="宋体" w:hint="eastAsia"/>
                <w:sz w:val="21"/>
              </w:rPr>
            </w:pPr>
            <w:r>
              <w:rPr>
                <w:rFonts w:ascii="宋体" w:eastAsia="宋体" w:hint="eastAsia"/>
                <w:w w:val="100"/>
                <w:sz w:val="21"/>
              </w:rPr>
              <w:t>是</w:t>
            </w:r>
          </w:p>
        </w:tc>
        <w:tc>
          <w:tcPr>
            <w:tcW w:w="1100" w:type="dxa"/>
            <w:tcBorders>
              <w:top w:val="single" w:sz="4" w:space="0" w:color="000000"/>
              <w:left w:val="single" w:sz="4" w:space="0" w:color="000000"/>
              <w:right w:val="single" w:sz="4" w:space="0" w:color="000000"/>
            </w:tcBorders>
          </w:tcPr>
          <w:p>
            <w:pPr>
              <w:pStyle w:val="TableParagraph"/>
              <w:spacing w:line="240" w:lineRule="exact" w:before="10"/>
              <w:ind w:left="507"/>
              <w:rPr>
                <w:sz w:val="21"/>
              </w:rPr>
            </w:pPr>
            <w:r>
              <w:rPr>
                <w:w w:val="100"/>
                <w:sz w:val="21"/>
              </w:rPr>
              <w:t>7</w:t>
            </w:r>
          </w:p>
        </w:tc>
        <w:tc>
          <w:tcPr>
            <w:tcW w:w="852" w:type="dxa"/>
            <w:tcBorders>
              <w:top w:val="single" w:sz="4" w:space="0" w:color="000000"/>
              <w:left w:val="single" w:sz="4" w:space="0" w:color="000000"/>
              <w:right w:val="single" w:sz="4" w:space="0" w:color="000000"/>
            </w:tcBorders>
          </w:tcPr>
          <w:p>
            <w:pPr>
              <w:pStyle w:val="TableParagraph"/>
              <w:spacing w:line="240" w:lineRule="exact" w:before="10"/>
              <w:ind w:left="26"/>
              <w:jc w:val="center"/>
              <w:rPr>
                <w:sz w:val="21"/>
              </w:rPr>
            </w:pPr>
            <w:r>
              <w:rPr>
                <w:w w:val="100"/>
                <w:sz w:val="21"/>
              </w:rPr>
              <w:t>7</w:t>
            </w:r>
          </w:p>
        </w:tc>
        <w:tc>
          <w:tcPr>
            <w:tcW w:w="970" w:type="dxa"/>
            <w:tcBorders>
              <w:top w:val="single" w:sz="4" w:space="0" w:color="000000"/>
              <w:left w:val="single" w:sz="4" w:space="0" w:color="000000"/>
              <w:right w:val="single" w:sz="4" w:space="0" w:color="000000"/>
            </w:tcBorders>
          </w:tcPr>
          <w:p>
            <w:pPr>
              <w:pStyle w:val="TableParagraph"/>
              <w:spacing w:line="240" w:lineRule="exact" w:before="10"/>
              <w:ind w:right="413"/>
              <w:jc w:val="right"/>
              <w:rPr>
                <w:sz w:val="21"/>
              </w:rPr>
            </w:pPr>
            <w:r>
              <w:rPr>
                <w:w w:val="100"/>
                <w:sz w:val="21"/>
              </w:rPr>
              <w:t>7</w:t>
            </w:r>
          </w:p>
        </w:tc>
        <w:tc>
          <w:tcPr>
            <w:tcW w:w="905" w:type="dxa"/>
            <w:tcBorders>
              <w:top w:val="single" w:sz="4" w:space="0" w:color="000000"/>
              <w:left w:val="single" w:sz="4" w:space="0" w:color="000000"/>
              <w:right w:val="single" w:sz="4" w:space="0" w:color="000000"/>
            </w:tcBorders>
          </w:tcPr>
          <w:p>
            <w:pPr>
              <w:pStyle w:val="TableParagraph"/>
              <w:spacing w:line="240" w:lineRule="exact" w:before="10"/>
              <w:ind w:left="21"/>
              <w:jc w:val="center"/>
              <w:rPr>
                <w:sz w:val="21"/>
              </w:rPr>
            </w:pPr>
            <w:r>
              <w:rPr>
                <w:w w:val="100"/>
                <w:sz w:val="21"/>
              </w:rPr>
              <w:t>0</w:t>
            </w:r>
          </w:p>
        </w:tc>
        <w:tc>
          <w:tcPr>
            <w:tcW w:w="845" w:type="dxa"/>
            <w:tcBorders>
              <w:top w:val="single" w:sz="4" w:space="0" w:color="000000"/>
              <w:left w:val="single" w:sz="4" w:space="0" w:color="000000"/>
              <w:right w:val="single" w:sz="4" w:space="0" w:color="000000"/>
            </w:tcBorders>
          </w:tcPr>
          <w:p>
            <w:pPr>
              <w:pStyle w:val="TableParagraph"/>
              <w:spacing w:line="240" w:lineRule="exact" w:before="10"/>
              <w:ind w:left="23"/>
              <w:jc w:val="center"/>
              <w:rPr>
                <w:sz w:val="21"/>
              </w:rPr>
            </w:pPr>
            <w:r>
              <w:rPr>
                <w:w w:val="100"/>
                <w:sz w:val="21"/>
              </w:rPr>
              <w:t>0</w:t>
            </w:r>
          </w:p>
        </w:tc>
        <w:tc>
          <w:tcPr>
            <w:tcW w:w="1292" w:type="dxa"/>
            <w:tcBorders>
              <w:top w:val="single" w:sz="4" w:space="0" w:color="000000"/>
              <w:left w:val="single" w:sz="4" w:space="0" w:color="000000"/>
              <w:right w:val="single" w:sz="4" w:space="0" w:color="000000"/>
            </w:tcBorders>
          </w:tcPr>
          <w:p>
            <w:pPr>
              <w:pStyle w:val="TableParagraph"/>
              <w:spacing w:line="249" w:lineRule="exact" w:before="1"/>
              <w:ind w:right="522"/>
              <w:jc w:val="right"/>
              <w:rPr>
                <w:rFonts w:ascii="宋体" w:eastAsia="宋体" w:hint="eastAsia"/>
                <w:sz w:val="21"/>
              </w:rPr>
            </w:pPr>
            <w:r>
              <w:rPr>
                <w:rFonts w:ascii="宋体" w:eastAsia="宋体" w:hint="eastAsia"/>
                <w:w w:val="100"/>
                <w:sz w:val="21"/>
              </w:rPr>
              <w:t>否</w:t>
            </w:r>
          </w:p>
        </w:tc>
        <w:tc>
          <w:tcPr>
            <w:tcW w:w="1260" w:type="dxa"/>
            <w:tcBorders>
              <w:top w:val="single" w:sz="4" w:space="0" w:color="000000"/>
              <w:left w:val="single" w:sz="4" w:space="0" w:color="000000"/>
            </w:tcBorders>
          </w:tcPr>
          <w:p>
            <w:pPr>
              <w:pStyle w:val="TableParagraph"/>
              <w:spacing w:line="240" w:lineRule="exact" w:before="10"/>
              <w:ind w:right="547"/>
              <w:jc w:val="right"/>
              <w:rPr>
                <w:sz w:val="21"/>
              </w:rPr>
            </w:pPr>
            <w:r>
              <w:rPr>
                <w:w w:val="100"/>
                <w:sz w:val="21"/>
              </w:rPr>
              <w:t>0</w:t>
            </w:r>
          </w:p>
        </w:tc>
      </w:tr>
    </w:tbl>
    <w:p>
      <w:pPr>
        <w:pStyle w:val="BodyText"/>
        <w:spacing w:before="6"/>
        <w:rPr>
          <w:rFonts w:ascii="Microsoft JhengHei"/>
          <w:b/>
          <w:sz w:val="13"/>
        </w:rPr>
      </w:pPr>
    </w:p>
    <w:p>
      <w:pPr>
        <w:pStyle w:val="BodyText"/>
        <w:spacing w:before="1"/>
        <w:ind w:left="238"/>
      </w:pPr>
      <w:r>
        <w:rPr>
          <w:spacing w:val="-3"/>
        </w:rPr>
        <w:t>连续两次未亲自出席董事会会议的说明</w:t>
      </w:r>
    </w:p>
    <w:p>
      <w:pPr>
        <w:pStyle w:val="BodyText"/>
        <w:spacing w:before="139"/>
        <w:ind w:left="662"/>
      </w:pPr>
      <w:r>
        <w:rPr>
          <w:rFonts w:ascii="Times New Roman" w:hAnsi="Times New Roman" w:eastAsia="Times New Roman"/>
        </w:rPr>
        <w:t>□</w:t>
      </w:r>
      <w:r>
        <w:rPr/>
        <w:t>适用 </w:t>
      </w:r>
      <w:r>
        <w:rPr>
          <w:rFonts w:ascii="Times New Roman" w:hAnsi="Times New Roman" w:eastAsia="Times New Roman"/>
        </w:rPr>
        <w:t>√</w:t>
      </w:r>
      <w:r>
        <w:rPr/>
        <w:t>不适用</w:t>
      </w:r>
    </w:p>
    <w:p>
      <w:pPr>
        <w:pStyle w:val="BodyText"/>
        <w:spacing w:before="8"/>
        <w:rPr>
          <w:sz w:val="29"/>
        </w:rPr>
      </w:pPr>
    </w:p>
    <w:tbl>
      <w:tblPr>
        <w:tblW w:w="0" w:type="auto"/>
        <w:jc w:val="left"/>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525"/>
        <w:gridCol w:w="4525"/>
      </w:tblGrid>
      <w:tr>
        <w:trPr>
          <w:trHeight w:val="272" w:hRule="atLeast"/>
        </w:trPr>
        <w:tc>
          <w:tcPr>
            <w:tcW w:w="4525" w:type="dxa"/>
            <w:tcBorders>
              <w:bottom w:val="single" w:sz="4" w:space="0" w:color="000000"/>
              <w:right w:val="single" w:sz="4" w:space="0" w:color="000000"/>
            </w:tcBorders>
            <w:shd w:val="clear" w:color="auto" w:fill="EDEBE0"/>
          </w:tcPr>
          <w:p>
            <w:pPr>
              <w:pStyle w:val="TableParagraph"/>
              <w:spacing w:line="252" w:lineRule="exact"/>
              <w:ind w:left="107"/>
              <w:rPr>
                <w:rFonts w:ascii="宋体" w:eastAsia="宋体" w:hint="eastAsia"/>
                <w:sz w:val="21"/>
              </w:rPr>
            </w:pPr>
            <w:r>
              <w:rPr>
                <w:rFonts w:ascii="宋体" w:eastAsia="宋体" w:hint="eastAsia"/>
                <w:sz w:val="21"/>
              </w:rPr>
              <w:t>年内召开董事会会议次数</w:t>
            </w:r>
          </w:p>
        </w:tc>
        <w:tc>
          <w:tcPr>
            <w:tcW w:w="4525" w:type="dxa"/>
            <w:tcBorders>
              <w:left w:val="single" w:sz="4" w:space="0" w:color="000000"/>
              <w:bottom w:val="single" w:sz="4" w:space="0" w:color="000000"/>
            </w:tcBorders>
          </w:tcPr>
          <w:p>
            <w:pPr>
              <w:pStyle w:val="TableParagraph"/>
              <w:spacing w:before="9"/>
              <w:ind w:left="117"/>
              <w:rPr>
                <w:sz w:val="21"/>
              </w:rPr>
            </w:pPr>
            <w:r>
              <w:rPr>
                <w:w w:val="100"/>
                <w:sz w:val="21"/>
              </w:rPr>
              <w:t>9</w:t>
            </w:r>
          </w:p>
        </w:tc>
      </w:tr>
      <w:tr>
        <w:trPr>
          <w:trHeight w:val="270" w:hRule="atLeast"/>
        </w:trPr>
        <w:tc>
          <w:tcPr>
            <w:tcW w:w="4525" w:type="dxa"/>
            <w:tcBorders>
              <w:top w:val="single" w:sz="4" w:space="0" w:color="000000"/>
              <w:bottom w:val="single" w:sz="4" w:space="0" w:color="000000"/>
              <w:right w:val="single" w:sz="4" w:space="0" w:color="000000"/>
            </w:tcBorders>
            <w:shd w:val="clear" w:color="auto" w:fill="EDEBE0"/>
          </w:tcPr>
          <w:p>
            <w:pPr>
              <w:pStyle w:val="TableParagraph"/>
              <w:spacing w:line="250" w:lineRule="exact" w:before="1"/>
              <w:ind w:left="107"/>
              <w:rPr>
                <w:rFonts w:ascii="宋体" w:eastAsia="宋体" w:hint="eastAsia"/>
                <w:sz w:val="21"/>
              </w:rPr>
            </w:pPr>
            <w:r>
              <w:rPr>
                <w:rFonts w:ascii="宋体" w:eastAsia="宋体" w:hint="eastAsia"/>
                <w:sz w:val="21"/>
              </w:rPr>
              <w:t>其中：现场会议次数</w:t>
            </w:r>
          </w:p>
        </w:tc>
        <w:tc>
          <w:tcPr>
            <w:tcW w:w="4525" w:type="dxa"/>
            <w:tcBorders>
              <w:top w:val="single" w:sz="4" w:space="0" w:color="000000"/>
              <w:left w:val="single" w:sz="4" w:space="0" w:color="000000"/>
              <w:bottom w:val="single" w:sz="4" w:space="0" w:color="000000"/>
            </w:tcBorders>
          </w:tcPr>
          <w:p>
            <w:pPr>
              <w:pStyle w:val="TableParagraph"/>
              <w:spacing w:before="7"/>
              <w:ind w:left="117"/>
              <w:rPr>
                <w:sz w:val="21"/>
              </w:rPr>
            </w:pPr>
            <w:r>
              <w:rPr>
                <w:w w:val="100"/>
                <w:sz w:val="21"/>
              </w:rPr>
              <w:t>0</w:t>
            </w:r>
          </w:p>
        </w:tc>
      </w:tr>
      <w:tr>
        <w:trPr>
          <w:trHeight w:val="273" w:hRule="atLeast"/>
        </w:trPr>
        <w:tc>
          <w:tcPr>
            <w:tcW w:w="4525" w:type="dxa"/>
            <w:tcBorders>
              <w:top w:val="single" w:sz="4" w:space="0" w:color="000000"/>
              <w:bottom w:val="single" w:sz="4" w:space="0" w:color="000000"/>
              <w:right w:val="single" w:sz="4" w:space="0" w:color="000000"/>
            </w:tcBorders>
            <w:shd w:val="clear" w:color="auto" w:fill="EDEBE0"/>
          </w:tcPr>
          <w:p>
            <w:pPr>
              <w:pStyle w:val="TableParagraph"/>
              <w:spacing w:line="250" w:lineRule="exact" w:before="3"/>
              <w:ind w:left="107"/>
              <w:rPr>
                <w:rFonts w:ascii="宋体" w:eastAsia="宋体" w:hint="eastAsia"/>
                <w:sz w:val="21"/>
              </w:rPr>
            </w:pPr>
            <w:r>
              <w:rPr>
                <w:rFonts w:ascii="宋体" w:eastAsia="宋体" w:hint="eastAsia"/>
                <w:sz w:val="21"/>
              </w:rPr>
              <w:t>通讯方式召开会议次数</w:t>
            </w:r>
          </w:p>
        </w:tc>
        <w:tc>
          <w:tcPr>
            <w:tcW w:w="4525" w:type="dxa"/>
            <w:tcBorders>
              <w:top w:val="single" w:sz="4" w:space="0" w:color="000000"/>
              <w:left w:val="single" w:sz="4" w:space="0" w:color="000000"/>
              <w:bottom w:val="single" w:sz="4" w:space="0" w:color="000000"/>
            </w:tcBorders>
          </w:tcPr>
          <w:p>
            <w:pPr>
              <w:pStyle w:val="TableParagraph"/>
              <w:spacing w:before="10"/>
              <w:ind w:left="117"/>
              <w:rPr>
                <w:sz w:val="21"/>
              </w:rPr>
            </w:pPr>
            <w:r>
              <w:rPr>
                <w:w w:val="100"/>
                <w:sz w:val="21"/>
              </w:rPr>
              <w:t>1</w:t>
            </w:r>
          </w:p>
        </w:tc>
      </w:tr>
      <w:tr>
        <w:trPr>
          <w:trHeight w:val="270" w:hRule="atLeast"/>
        </w:trPr>
        <w:tc>
          <w:tcPr>
            <w:tcW w:w="4525" w:type="dxa"/>
            <w:tcBorders>
              <w:top w:val="single" w:sz="4" w:space="0" w:color="000000"/>
              <w:right w:val="single" w:sz="4" w:space="0" w:color="000000"/>
            </w:tcBorders>
            <w:shd w:val="clear" w:color="auto" w:fill="EDEBE0"/>
          </w:tcPr>
          <w:p>
            <w:pPr>
              <w:pStyle w:val="TableParagraph"/>
              <w:spacing w:line="250" w:lineRule="exact" w:before="1"/>
              <w:ind w:left="107"/>
              <w:rPr>
                <w:rFonts w:ascii="宋体" w:eastAsia="宋体" w:hint="eastAsia"/>
                <w:sz w:val="21"/>
              </w:rPr>
            </w:pPr>
            <w:r>
              <w:rPr>
                <w:rFonts w:ascii="宋体" w:eastAsia="宋体" w:hint="eastAsia"/>
                <w:sz w:val="21"/>
              </w:rPr>
              <w:t>现场结合通讯方式召开会议次数</w:t>
            </w:r>
          </w:p>
        </w:tc>
        <w:tc>
          <w:tcPr>
            <w:tcW w:w="4525" w:type="dxa"/>
            <w:tcBorders>
              <w:top w:val="single" w:sz="4" w:space="0" w:color="000000"/>
              <w:left w:val="single" w:sz="4" w:space="0" w:color="000000"/>
            </w:tcBorders>
          </w:tcPr>
          <w:p>
            <w:pPr>
              <w:pStyle w:val="TableParagraph"/>
              <w:spacing w:line="241" w:lineRule="exact" w:before="10"/>
              <w:ind w:left="117"/>
              <w:rPr>
                <w:sz w:val="21"/>
              </w:rPr>
            </w:pPr>
            <w:r>
              <w:rPr>
                <w:w w:val="100"/>
                <w:sz w:val="21"/>
              </w:rPr>
              <w:t>8</w:t>
            </w:r>
          </w:p>
        </w:tc>
      </w:tr>
    </w:tbl>
    <w:p>
      <w:pPr>
        <w:pStyle w:val="BodyText"/>
        <w:spacing w:before="9"/>
        <w:rPr>
          <w:sz w:val="17"/>
        </w:rPr>
      </w:pPr>
    </w:p>
    <w:p>
      <w:pPr>
        <w:pStyle w:val="Heading4"/>
        <w:spacing w:before="10"/>
        <w:ind w:left="238"/>
      </w:pPr>
      <w:r>
        <w:rPr>
          <w:rFonts w:ascii="Times New Roman" w:eastAsia="Times New Roman"/>
        </w:rPr>
        <w:t>(</w:t>
      </w:r>
      <w:r>
        <w:rPr/>
        <w:t>二</w:t>
      </w:r>
      <w:r>
        <w:rPr>
          <w:rFonts w:ascii="Times New Roman" w:eastAsia="Times New Roman"/>
        </w:rPr>
        <w:t>) </w:t>
      </w:r>
      <w:r>
        <w:rPr/>
        <w:t>独立董事对公司有关事项提出异议的情况</w:t>
      </w:r>
    </w:p>
    <w:p>
      <w:pPr>
        <w:pStyle w:val="BodyText"/>
        <w:spacing w:before="151"/>
        <w:ind w:left="662"/>
        <w:jc w:val="both"/>
      </w:pPr>
      <w:r>
        <w:rPr>
          <w:rFonts w:ascii="Times New Roman" w:hAnsi="Times New Roman" w:eastAsia="Times New Roman"/>
        </w:rPr>
        <w:t>□</w:t>
      </w:r>
      <w:r>
        <w:rPr/>
        <w:t>适用 </w:t>
      </w:r>
      <w:r>
        <w:rPr>
          <w:rFonts w:ascii="Times New Roman" w:hAnsi="Times New Roman" w:eastAsia="Times New Roman"/>
        </w:rPr>
        <w:t>√</w:t>
      </w:r>
      <w:r>
        <w:rPr/>
        <w:t>不适用</w:t>
      </w:r>
    </w:p>
    <w:p>
      <w:pPr>
        <w:pStyle w:val="BodyText"/>
        <w:rPr>
          <w:sz w:val="22"/>
        </w:rPr>
      </w:pPr>
    </w:p>
    <w:p>
      <w:pPr>
        <w:pStyle w:val="BodyText"/>
        <w:spacing w:before="5"/>
        <w:rPr>
          <w:sz w:val="16"/>
        </w:rPr>
      </w:pPr>
    </w:p>
    <w:p>
      <w:pPr>
        <w:pStyle w:val="Heading4"/>
        <w:ind w:left="238"/>
      </w:pPr>
      <w:r>
        <w:rPr>
          <w:rFonts w:ascii="Times New Roman" w:eastAsia="Times New Roman"/>
        </w:rPr>
        <w:t>(</w:t>
      </w:r>
      <w:r>
        <w:rPr/>
        <w:t>三</w:t>
      </w:r>
      <w:r>
        <w:rPr>
          <w:rFonts w:ascii="Times New Roman" w:eastAsia="Times New Roman"/>
        </w:rPr>
        <w:t>) </w:t>
      </w:r>
      <w:r>
        <w:rPr/>
        <w:t>其他</w:t>
      </w:r>
    </w:p>
    <w:p>
      <w:pPr>
        <w:pStyle w:val="BodyText"/>
        <w:spacing w:before="151"/>
        <w:ind w:left="662"/>
        <w:jc w:val="both"/>
      </w:pPr>
      <w:r>
        <w:rPr/>
        <w:t>□适用 </w:t>
      </w:r>
      <w:r>
        <w:rPr>
          <w:rFonts w:ascii="Times New Roman" w:hAnsi="Times New Roman" w:eastAsia="Times New Roman"/>
        </w:rPr>
        <w:t>√</w:t>
      </w:r>
      <w:r>
        <w:rPr/>
        <w:t>不适用</w:t>
      </w:r>
    </w:p>
    <w:p>
      <w:pPr>
        <w:pStyle w:val="BodyText"/>
        <w:rPr>
          <w:sz w:val="29"/>
        </w:rPr>
      </w:pPr>
    </w:p>
    <w:p>
      <w:pPr>
        <w:pStyle w:val="Heading4"/>
        <w:spacing w:line="254" w:lineRule="auto"/>
        <w:ind w:left="662" w:right="212" w:hanging="425"/>
      </w:pPr>
      <w:r>
        <w:rPr>
          <w:spacing w:val="-8"/>
        </w:rPr>
        <w:t>四、 董事会下设专门委员会在报告期内履行职责时所提出的重要意见和建议，存在异议事项的， </w:t>
      </w:r>
      <w:r>
        <w:rPr/>
        <w:t>应当披露具体情况</w:t>
      </w:r>
    </w:p>
    <w:p>
      <w:pPr>
        <w:pStyle w:val="BodyText"/>
        <w:spacing w:before="130"/>
        <w:ind w:left="662"/>
        <w:jc w:val="both"/>
      </w:pPr>
      <w:r>
        <w:rPr>
          <w:rFonts w:ascii="Times New Roman" w:hAnsi="Times New Roman" w:eastAsia="Times New Roman"/>
        </w:rPr>
        <w:t>√</w:t>
      </w:r>
      <w:r>
        <w:rPr/>
        <w:t>适用 </w:t>
      </w:r>
      <w:r>
        <w:rPr>
          <w:rFonts w:ascii="Times New Roman" w:hAnsi="Times New Roman" w:eastAsia="Times New Roman"/>
        </w:rPr>
        <w:t>□</w:t>
      </w:r>
      <w:r>
        <w:rPr/>
        <w:t>不适用</w:t>
      </w:r>
    </w:p>
    <w:p>
      <w:pPr>
        <w:pStyle w:val="ListParagraph"/>
        <w:numPr>
          <w:ilvl w:val="0"/>
          <w:numId w:val="25"/>
        </w:numPr>
        <w:tabs>
          <w:tab w:pos="1139" w:val="left" w:leader="none"/>
        </w:tabs>
        <w:spacing w:line="364" w:lineRule="auto" w:before="139" w:after="0"/>
        <w:ind w:left="238" w:right="307" w:firstLine="371"/>
        <w:jc w:val="both"/>
        <w:rPr>
          <w:rFonts w:ascii="Times New Roman" w:eastAsia="Times New Roman"/>
          <w:sz w:val="21"/>
        </w:rPr>
      </w:pPr>
      <w:r>
        <w:rPr>
          <w:spacing w:val="-3"/>
          <w:sz w:val="21"/>
        </w:rPr>
        <w:t>审计委员会：报告期内，公司共召开</w:t>
      </w:r>
      <w:r>
        <w:rPr>
          <w:rFonts w:ascii="Times New Roman" w:eastAsia="Times New Roman"/>
          <w:sz w:val="21"/>
        </w:rPr>
        <w:t>8</w:t>
      </w:r>
      <w:r>
        <w:rPr>
          <w:spacing w:val="-3"/>
          <w:sz w:val="21"/>
        </w:rPr>
        <w:t>次审计委员会。对年度报告审计有关工作进行了事前、事中、事后三次审议并做了相关安排，审计委员会认为公司出具的</w:t>
      </w:r>
      <w:r>
        <w:rPr>
          <w:rFonts w:ascii="Times New Roman" w:eastAsia="Times New Roman"/>
          <w:sz w:val="21"/>
        </w:rPr>
        <w:t>2019</w:t>
      </w:r>
      <w:r>
        <w:rPr>
          <w:spacing w:val="-3"/>
          <w:sz w:val="21"/>
        </w:rPr>
        <w:t>年度财务会计报表</w:t>
      </w:r>
      <w:r>
        <w:rPr>
          <w:spacing w:val="-16"/>
          <w:sz w:val="21"/>
        </w:rPr>
        <w:t>符合《企业会计准则》要求，真实、公允地反映了公司截止</w:t>
      </w:r>
      <w:r>
        <w:rPr>
          <w:rFonts w:ascii="Times New Roman" w:eastAsia="Times New Roman"/>
          <w:sz w:val="21"/>
        </w:rPr>
        <w:t>2019</w:t>
      </w:r>
      <w:r>
        <w:rPr>
          <w:spacing w:val="-3"/>
          <w:sz w:val="21"/>
        </w:rPr>
        <w:t>年</w:t>
      </w:r>
      <w:r>
        <w:rPr>
          <w:rFonts w:ascii="Times New Roman" w:eastAsia="Times New Roman"/>
          <w:sz w:val="21"/>
        </w:rPr>
        <w:t>12</w:t>
      </w:r>
      <w:r>
        <w:rPr>
          <w:spacing w:val="-3"/>
          <w:sz w:val="21"/>
        </w:rPr>
        <w:t>月</w:t>
      </w:r>
      <w:r>
        <w:rPr>
          <w:rFonts w:ascii="Times New Roman" w:eastAsia="Times New Roman"/>
          <w:sz w:val="21"/>
        </w:rPr>
        <w:t>31</w:t>
      </w:r>
      <w:r>
        <w:rPr>
          <w:spacing w:val="-3"/>
          <w:sz w:val="21"/>
        </w:rPr>
        <w:t>日的资产负债情况和</w:t>
      </w:r>
      <w:r>
        <w:rPr>
          <w:rFonts w:ascii="Times New Roman" w:eastAsia="Times New Roman"/>
          <w:sz w:val="21"/>
        </w:rPr>
        <w:t>2019 </w:t>
      </w:r>
      <w:r>
        <w:rPr>
          <w:spacing w:val="-3"/>
          <w:sz w:val="21"/>
        </w:rPr>
        <w:t>年度的经营业绩以及现金流量情况。不存在尚未解决的重大会计、审计分歧；不存在影响公司经营的重大风险事项，公司经营稳健，具备持续经营能力。其他各次会议对年度关联交易预算、内</w:t>
      </w:r>
      <w:r>
        <w:rPr>
          <w:spacing w:val="-17"/>
          <w:sz w:val="21"/>
        </w:rPr>
        <w:t>控自我评价报告、利润分配方案、聘任会计师事务所事项、转让子公司股权涉及关联交易以及</w:t>
      </w:r>
      <w:r>
        <w:rPr>
          <w:rFonts w:ascii="Times New Roman" w:eastAsia="Times New Roman"/>
          <w:sz w:val="21"/>
        </w:rPr>
        <w:t>2020</w:t>
      </w:r>
    </w:p>
    <w:p>
      <w:pPr>
        <w:spacing w:after="0" w:line="364" w:lineRule="auto"/>
        <w:jc w:val="both"/>
        <w:rPr>
          <w:rFonts w:ascii="Times New Roman" w:eastAsia="Times New Roman"/>
          <w:sz w:val="21"/>
        </w:rPr>
        <w:sectPr>
          <w:pgSz w:w="11910" w:h="16840"/>
          <w:pgMar w:header="872" w:footer="1214" w:top="1440" w:bottom="1400" w:left="1560" w:right="960"/>
        </w:sectPr>
      </w:pPr>
    </w:p>
    <w:p>
      <w:pPr>
        <w:pStyle w:val="BodyText"/>
        <w:spacing w:line="367" w:lineRule="auto" w:before="68"/>
        <w:ind w:left="238" w:right="308"/>
      </w:pPr>
      <w:r>
        <w:rPr>
          <w:spacing w:val="-1"/>
        </w:rPr>
        <w:t>年一季报</w:t>
      </w:r>
      <w:r>
        <w:rPr>
          <w:rFonts w:ascii="Times New Roman" w:eastAsia="Times New Roman"/>
        </w:rPr>
        <w:t>/</w:t>
      </w:r>
      <w:r>
        <w:rPr>
          <w:spacing w:val="-2"/>
        </w:rPr>
        <w:t>半年报</w:t>
      </w:r>
      <w:r>
        <w:rPr>
          <w:rFonts w:ascii="Times New Roman" w:eastAsia="Times New Roman"/>
        </w:rPr>
        <w:t>/</w:t>
      </w:r>
      <w:r>
        <w:rPr>
          <w:spacing w:val="-12"/>
        </w:rPr>
        <w:t>三季报等事项进行了审议。审计委员会同意上述议案并将相关议案提交董事会审议。</w:t>
      </w:r>
    </w:p>
    <w:p>
      <w:pPr>
        <w:pStyle w:val="ListParagraph"/>
        <w:numPr>
          <w:ilvl w:val="0"/>
          <w:numId w:val="25"/>
        </w:numPr>
        <w:tabs>
          <w:tab w:pos="1139" w:val="left" w:leader="none"/>
        </w:tabs>
        <w:spacing w:line="364" w:lineRule="auto" w:before="0" w:after="0"/>
        <w:ind w:left="238" w:right="317" w:firstLine="371"/>
        <w:jc w:val="both"/>
        <w:rPr>
          <w:sz w:val="21"/>
        </w:rPr>
      </w:pPr>
      <w:r>
        <w:rPr>
          <w:spacing w:val="-3"/>
          <w:sz w:val="21"/>
        </w:rPr>
        <w:t>薪酬与考核委员会：报告期内，公司共召开</w:t>
      </w:r>
      <w:r>
        <w:rPr>
          <w:rFonts w:ascii="Times New Roman" w:eastAsia="Times New Roman"/>
          <w:spacing w:val="-3"/>
          <w:sz w:val="21"/>
        </w:rPr>
        <w:t>2</w:t>
      </w:r>
      <w:r>
        <w:rPr>
          <w:spacing w:val="-3"/>
          <w:sz w:val="21"/>
        </w:rPr>
        <w:t>次薪酬与考核委员会，对核心员工持股计划之第二期期持股计划延期、董监高年度薪酬方案等进行了审议。薪酬委员会认为，延期事项符合法规及持股计划方案规定；公司董事和高级管理人员在公司领取的薪酬严格按照公司考核制度进行考核、兑现，公司所披露的薪酬与实际情况相符。薪酬与考核委员会同意上述议案并将相关议案提交董事会审议。</w:t>
      </w:r>
    </w:p>
    <w:p>
      <w:pPr>
        <w:pStyle w:val="ListParagraph"/>
        <w:numPr>
          <w:ilvl w:val="0"/>
          <w:numId w:val="25"/>
        </w:numPr>
        <w:tabs>
          <w:tab w:pos="1139" w:val="left" w:leader="none"/>
        </w:tabs>
        <w:spacing w:line="364" w:lineRule="auto" w:before="0" w:after="0"/>
        <w:ind w:left="238" w:right="308" w:firstLine="371"/>
        <w:jc w:val="both"/>
        <w:rPr>
          <w:sz w:val="21"/>
        </w:rPr>
      </w:pPr>
      <w:r>
        <w:rPr>
          <w:spacing w:val="-3"/>
          <w:sz w:val="21"/>
        </w:rPr>
        <w:t>提名委员会：报告期内，公司召开</w:t>
      </w:r>
      <w:r>
        <w:rPr>
          <w:rFonts w:ascii="Times New Roman" w:eastAsia="Times New Roman"/>
          <w:spacing w:val="-3"/>
          <w:sz w:val="21"/>
        </w:rPr>
        <w:t>1</w:t>
      </w:r>
      <w:r>
        <w:rPr>
          <w:spacing w:val="-3"/>
          <w:sz w:val="21"/>
        </w:rPr>
        <w:t>次提名委员会。对改选独立董事、董监高年度履职情况进行了总结。提名委员会认为，独立董事候选人不存在法律规定的不得担任公司独立董事的</w:t>
      </w:r>
      <w:r>
        <w:rPr>
          <w:spacing w:val="-15"/>
          <w:sz w:val="21"/>
        </w:rPr>
        <w:t>情形，任职资格符合担任上市公司独立董董事的条件，能够胜任所聘岗位职责的要求；公司董事、</w:t>
      </w:r>
      <w:r>
        <w:rPr>
          <w:spacing w:val="-7"/>
          <w:sz w:val="21"/>
        </w:rPr>
        <w:t>监事、高级管理人员均依照法律、法规、《公司章程》的规定诚实勤勉尽责，维护了公司股东的</w:t>
      </w:r>
      <w:r>
        <w:rPr>
          <w:spacing w:val="-5"/>
          <w:sz w:val="21"/>
        </w:rPr>
        <w:t>利益。提名委员会同意上述议案并将相关议案提交董事会审议。</w:t>
      </w:r>
    </w:p>
    <w:p>
      <w:pPr>
        <w:pStyle w:val="ListParagraph"/>
        <w:numPr>
          <w:ilvl w:val="0"/>
          <w:numId w:val="25"/>
        </w:numPr>
        <w:tabs>
          <w:tab w:pos="1139" w:val="left" w:leader="none"/>
        </w:tabs>
        <w:spacing w:line="364" w:lineRule="auto" w:before="0" w:after="0"/>
        <w:ind w:left="238" w:right="308" w:firstLine="371"/>
        <w:jc w:val="both"/>
        <w:rPr>
          <w:sz w:val="21"/>
        </w:rPr>
      </w:pPr>
      <w:r>
        <w:rPr>
          <w:spacing w:val="-11"/>
          <w:sz w:val="21"/>
        </w:rPr>
        <w:t>战略委员会：报告期内，公司共召开</w:t>
      </w:r>
      <w:r>
        <w:rPr>
          <w:rFonts w:ascii="Times New Roman" w:eastAsia="Times New Roman"/>
          <w:spacing w:val="-3"/>
          <w:sz w:val="21"/>
        </w:rPr>
        <w:t>3</w:t>
      </w:r>
      <w:r>
        <w:rPr>
          <w:spacing w:val="-8"/>
          <w:sz w:val="21"/>
        </w:rPr>
        <w:t>次战略委员会。审议通过了私有化海尔电器事宜 </w:t>
      </w:r>
      <w:r>
        <w:rPr>
          <w:spacing w:val="-6"/>
          <w:sz w:val="21"/>
        </w:rPr>
        <w:t>、未来三年股东回报规划、年度履职情况等事宜。战略委员会认为，本次私有化事宜有利于公司</w:t>
      </w:r>
      <w:r>
        <w:rPr>
          <w:spacing w:val="-5"/>
          <w:sz w:val="21"/>
        </w:rPr>
        <w:t>的可持续发展，符合公司长期发展战略，符合公司全体股东的长远利益，对公司的持续经营能力</w:t>
      </w:r>
      <w:r>
        <w:rPr>
          <w:spacing w:val="-4"/>
          <w:sz w:val="21"/>
        </w:rPr>
        <w:t>、损益及资产状况无不良影响。战略委员会同意上述议案并将相关议案提交董事会审议。</w:t>
      </w:r>
    </w:p>
    <w:p>
      <w:pPr>
        <w:pStyle w:val="BodyText"/>
        <w:spacing w:before="2"/>
        <w:rPr>
          <w:sz w:val="17"/>
        </w:rPr>
      </w:pPr>
    </w:p>
    <w:p>
      <w:pPr>
        <w:pStyle w:val="Heading4"/>
        <w:ind w:left="238"/>
      </w:pPr>
      <w:r>
        <w:rPr/>
        <w:t>五、 监事会发现公司存在风险的说明</w:t>
      </w:r>
    </w:p>
    <w:p>
      <w:pPr>
        <w:pStyle w:val="BodyText"/>
        <w:spacing w:before="154"/>
        <w:ind w:left="662"/>
      </w:pPr>
      <w:r>
        <w:rPr>
          <w:rFonts w:ascii="Times New Roman" w:hAnsi="Times New Roman" w:eastAsia="Times New Roman"/>
        </w:rPr>
        <w:t>□</w:t>
      </w:r>
      <w:r>
        <w:rPr/>
        <w:t>适用 </w:t>
      </w:r>
      <w:r>
        <w:rPr>
          <w:rFonts w:ascii="Times New Roman" w:hAnsi="Times New Roman" w:eastAsia="Times New Roman"/>
        </w:rPr>
        <w:t>√</w:t>
      </w:r>
      <w:r>
        <w:rPr/>
        <w:t>不适用</w:t>
      </w:r>
    </w:p>
    <w:p>
      <w:pPr>
        <w:pStyle w:val="BodyText"/>
        <w:spacing w:before="1"/>
        <w:rPr>
          <w:sz w:val="29"/>
        </w:rPr>
      </w:pPr>
    </w:p>
    <w:p>
      <w:pPr>
        <w:pStyle w:val="Heading4"/>
        <w:spacing w:line="254" w:lineRule="auto"/>
        <w:ind w:left="662" w:right="311" w:hanging="425"/>
      </w:pPr>
      <w:r>
        <w:rPr>
          <w:spacing w:val="-8"/>
        </w:rPr>
        <w:t>六、 公司就其与控股股东在业务、人员、资产、机构、财务等方面存在的不能保证独立性、不能保持自主经营能力的情况说明</w:t>
      </w:r>
    </w:p>
    <w:p>
      <w:pPr>
        <w:pStyle w:val="BodyText"/>
        <w:tabs>
          <w:tab w:pos="1421" w:val="left" w:leader="none"/>
        </w:tabs>
        <w:spacing w:before="126"/>
        <w:ind w:left="662"/>
      </w:pPr>
      <w:r>
        <w:rPr>
          <w:rFonts w:ascii="Times New Roman" w:hAnsi="Times New Roman" w:eastAsia="Times New Roman"/>
        </w:rPr>
        <w:t>□</w:t>
      </w:r>
      <w:r>
        <w:rPr/>
        <w:t>适用</w:t>
        <w:tab/>
      </w:r>
      <w:r>
        <w:rPr>
          <w:rFonts w:ascii="Times New Roman" w:hAnsi="Times New Roman" w:eastAsia="Times New Roman"/>
        </w:rPr>
        <w:t>√</w:t>
      </w:r>
      <w:r>
        <w:rPr>
          <w:spacing w:val="-3"/>
        </w:rPr>
        <w:t>不</w:t>
      </w:r>
      <w:r>
        <w:rPr/>
        <w:t>适用</w:t>
      </w:r>
    </w:p>
    <w:p>
      <w:pPr>
        <w:pStyle w:val="BodyText"/>
        <w:rPr>
          <w:sz w:val="22"/>
        </w:rPr>
      </w:pPr>
    </w:p>
    <w:p>
      <w:pPr>
        <w:pStyle w:val="BodyText"/>
        <w:spacing w:before="2"/>
        <w:rPr>
          <w:sz w:val="17"/>
        </w:rPr>
      </w:pPr>
    </w:p>
    <w:p>
      <w:pPr>
        <w:pStyle w:val="BodyText"/>
        <w:ind w:left="238"/>
      </w:pPr>
      <w:r>
        <w:rPr/>
        <w:t>存在同业竞争的，公司相应的解决措施、工作进度及后续工作计划</w:t>
      </w:r>
    </w:p>
    <w:p>
      <w:pPr>
        <w:pStyle w:val="BodyText"/>
        <w:tabs>
          <w:tab w:pos="1505" w:val="left" w:leader="none"/>
        </w:tabs>
        <w:spacing w:before="139"/>
        <w:ind w:left="662"/>
      </w:pPr>
      <w:r>
        <w:rPr/>
        <w:t>□适用</w:t>
        <w:tab/>
      </w:r>
      <w:r>
        <w:rPr>
          <w:spacing w:val="-3"/>
        </w:rPr>
        <w:t>√</w:t>
      </w:r>
      <w:r>
        <w:rPr/>
        <w:t>不</w:t>
      </w:r>
      <w:r>
        <w:rPr>
          <w:spacing w:val="-3"/>
        </w:rPr>
        <w:t>适</w:t>
      </w:r>
      <w:r>
        <w:rPr/>
        <w:t>用</w:t>
      </w:r>
    </w:p>
    <w:p>
      <w:pPr>
        <w:pStyle w:val="BodyText"/>
        <w:spacing w:before="1"/>
        <w:rPr>
          <w:sz w:val="29"/>
        </w:rPr>
      </w:pPr>
    </w:p>
    <w:p>
      <w:pPr>
        <w:pStyle w:val="Heading4"/>
        <w:ind w:left="238"/>
      </w:pPr>
      <w:r>
        <w:rPr/>
        <w:t>七、 报告期内对高级管理人员的考评机制，以及激励机制的建立、实施情况</w:t>
      </w:r>
    </w:p>
    <w:p>
      <w:pPr>
        <w:pStyle w:val="BodyText"/>
        <w:tabs>
          <w:tab w:pos="1505" w:val="left" w:leader="none"/>
        </w:tabs>
        <w:spacing w:before="151"/>
        <w:ind w:left="662"/>
      </w:pPr>
      <w:r>
        <w:rPr/>
        <w:t>√适用</w:t>
        <w:tab/>
      </w:r>
      <w:r>
        <w:rPr>
          <w:spacing w:val="-3"/>
        </w:rPr>
        <w:t>□</w:t>
      </w:r>
      <w:r>
        <w:rPr/>
        <w:t>不</w:t>
      </w:r>
      <w:r>
        <w:rPr>
          <w:spacing w:val="-3"/>
        </w:rPr>
        <w:t>适</w:t>
      </w:r>
      <w:r>
        <w:rPr/>
        <w:t>用</w:t>
      </w:r>
    </w:p>
    <w:p>
      <w:pPr>
        <w:pStyle w:val="BodyText"/>
        <w:spacing w:line="364" w:lineRule="auto" w:before="142"/>
        <w:ind w:left="238" w:right="207" w:firstLine="499"/>
      </w:pPr>
      <w:r>
        <w:rPr>
          <w:spacing w:val="-13"/>
        </w:rPr>
        <w:t>本公司 </w:t>
      </w:r>
      <w:r>
        <w:rPr>
          <w:rFonts w:ascii="Times New Roman" w:hAnsi="Times New Roman" w:eastAsia="Times New Roman"/>
        </w:rPr>
        <w:t>2020 </w:t>
      </w:r>
      <w:r>
        <w:rPr>
          <w:spacing w:val="-3"/>
        </w:rPr>
        <w:t>年度管理人员的薪酬体系体现链群合约、高增值高分享，与共赢增值表、人单合一记分卡、等挂钩，工人单合一记分卡纵向体现战略承接、链群合约，与链群</w:t>
      </w:r>
      <w:r>
        <w:rPr>
          <w:rFonts w:ascii="Times New Roman" w:hAnsi="Times New Roman" w:eastAsia="Times New Roman"/>
        </w:rPr>
        <w:t>/</w:t>
      </w:r>
      <w:r>
        <w:rPr/>
        <w:t>小微升级引爆、</w:t>
      </w:r>
      <w:r>
        <w:rPr>
          <w:spacing w:val="-3"/>
        </w:rPr>
        <w:t>平台引领挂钩；横向体现市场竞争力全球引领、生态成果；导向从“高端品牌”到“场景品牌” </w:t>
      </w:r>
      <w:r>
        <w:rPr>
          <w:spacing w:val="-4"/>
        </w:rPr>
        <w:t>到“生态品牌”的升级引领薪酬竞争力根据</w:t>
      </w:r>
      <w:r>
        <w:rPr>
          <w:rFonts w:ascii="Times New Roman" w:hAnsi="Times New Roman" w:eastAsia="Times New Roman"/>
          <w:spacing w:val="-3"/>
        </w:rPr>
        <w:t>“</w:t>
      </w:r>
      <w:r>
        <w:rPr>
          <w:spacing w:val="-3"/>
        </w:rPr>
        <w:t>战略承接</w:t>
      </w:r>
      <w:r>
        <w:rPr>
          <w:rFonts w:ascii="Times New Roman" w:hAnsi="Times New Roman" w:eastAsia="Times New Roman"/>
        </w:rPr>
        <w:t>”</w:t>
      </w:r>
      <w:r>
        <w:rPr>
          <w:spacing w:val="-8"/>
        </w:rPr>
        <w:t>、</w:t>
      </w:r>
      <w:r>
        <w:rPr>
          <w:rFonts w:ascii="Times New Roman" w:hAnsi="Times New Roman" w:eastAsia="Times New Roman"/>
          <w:spacing w:val="-3"/>
        </w:rPr>
        <w:t>“</w:t>
      </w:r>
      <w:r>
        <w:rPr>
          <w:spacing w:val="-3"/>
        </w:rPr>
        <w:t>市场引领目标竞争力</w:t>
      </w:r>
      <w:r>
        <w:rPr>
          <w:rFonts w:ascii="Times New Roman" w:hAnsi="Times New Roman" w:eastAsia="Times New Roman"/>
        </w:rPr>
        <w:t>”</w:t>
      </w:r>
      <w:r>
        <w:rPr>
          <w:spacing w:val="-8"/>
        </w:rPr>
        <w:t>、</w:t>
      </w:r>
      <w:r>
        <w:rPr>
          <w:rFonts w:ascii="Times New Roman" w:hAnsi="Times New Roman" w:eastAsia="Times New Roman"/>
          <w:spacing w:val="-3"/>
        </w:rPr>
        <w:t>“</w:t>
      </w:r>
      <w:r>
        <w:rPr>
          <w:spacing w:val="-4"/>
        </w:rPr>
        <w:t>小微引爆、平台引领</w:t>
      </w:r>
      <w:r>
        <w:rPr>
          <w:rFonts w:ascii="Times New Roman" w:hAnsi="Times New Roman" w:eastAsia="Times New Roman"/>
          <w:spacing w:val="-12"/>
        </w:rPr>
        <w:t>”</w:t>
      </w:r>
      <w:r>
        <w:rPr>
          <w:spacing w:val="-9"/>
        </w:rPr>
        <w:t>“生态成果”等要素确定。高级管理人员接受全年绩效的年度评价，此评定是决定绩效奖</w:t>
      </w:r>
    </w:p>
    <w:p>
      <w:pPr>
        <w:spacing w:after="0" w:line="364" w:lineRule="auto"/>
        <w:sectPr>
          <w:pgSz w:w="11910" w:h="16840"/>
          <w:pgMar w:header="872" w:footer="1214" w:top="1440" w:bottom="1400" w:left="1560" w:right="960"/>
        </w:sectPr>
      </w:pPr>
    </w:p>
    <w:p>
      <w:pPr>
        <w:pStyle w:val="BodyText"/>
        <w:spacing w:line="364" w:lineRule="auto" w:before="68"/>
        <w:ind w:left="238" w:right="317"/>
        <w:jc w:val="both"/>
      </w:pPr>
      <w:r>
        <w:rPr/>
        <w:t>金和发展的关键因素。公司的用户付薪人单酬整体薪酬体系一方面使管理层的薪酬激励形成丰富的组合，导向创造用户价值，创造生态价值；另一方面也使管理层的薪酬机制更为灵活，为管理层的创新提供了动力，体现人的价值最大化。</w:t>
      </w:r>
    </w:p>
    <w:p>
      <w:pPr>
        <w:pStyle w:val="BodyText"/>
        <w:spacing w:line="364" w:lineRule="auto"/>
        <w:ind w:left="238" w:right="307" w:firstLine="424"/>
      </w:pPr>
      <w:r>
        <w:rPr>
          <w:spacing w:val="-3"/>
        </w:rPr>
        <w:t>同时，公司通过核心员工持股计划等措施的实施，进一步完善公司的薪酬激励体系，健全公</w:t>
      </w:r>
      <w:r>
        <w:rPr>
          <w:spacing w:val="-16"/>
        </w:rPr>
        <w:t>司激励、约束机制，以用户付薪为原则，建立公司与经营管理层之间的利益共享、风险共担机制。</w:t>
      </w:r>
    </w:p>
    <w:p>
      <w:pPr>
        <w:pStyle w:val="BodyText"/>
        <w:rPr>
          <w:sz w:val="18"/>
        </w:rPr>
      </w:pPr>
    </w:p>
    <w:p>
      <w:pPr>
        <w:pStyle w:val="Heading4"/>
        <w:ind w:left="238"/>
      </w:pPr>
      <w:r>
        <w:rPr/>
        <w:t>八、 是否披露内部控制自我评价报告</w:t>
      </w:r>
    </w:p>
    <w:p>
      <w:pPr>
        <w:pStyle w:val="BodyText"/>
        <w:spacing w:before="151"/>
        <w:ind w:left="662"/>
      </w:pPr>
      <w:r>
        <w:rPr>
          <w:rFonts w:ascii="Times New Roman" w:hAnsi="Times New Roman" w:eastAsia="Times New Roman"/>
        </w:rPr>
        <w:t>√</w:t>
      </w:r>
      <w:r>
        <w:rPr/>
        <w:t>适用 </w:t>
      </w:r>
      <w:r>
        <w:rPr>
          <w:rFonts w:ascii="Times New Roman" w:hAnsi="Times New Roman" w:eastAsia="Times New Roman"/>
        </w:rPr>
        <w:t>□</w:t>
      </w:r>
      <w:r>
        <w:rPr/>
        <w:t>不适用</w:t>
      </w:r>
    </w:p>
    <w:p>
      <w:pPr>
        <w:pStyle w:val="BodyText"/>
        <w:spacing w:before="142"/>
        <w:ind w:left="662"/>
      </w:pPr>
      <w:r>
        <w:rPr/>
        <w:t>详见与本定期报告同日披露的《海尔智家股份有限公司 </w:t>
      </w:r>
      <w:r>
        <w:rPr>
          <w:rFonts w:ascii="Times New Roman" w:eastAsia="Times New Roman"/>
        </w:rPr>
        <w:t>2020 </w:t>
      </w:r>
      <w:r>
        <w:rPr/>
        <w:t>年度内部控制评价报告》。</w:t>
      </w:r>
    </w:p>
    <w:p>
      <w:pPr>
        <w:pStyle w:val="BodyText"/>
        <w:rPr>
          <w:sz w:val="22"/>
        </w:rPr>
      </w:pPr>
    </w:p>
    <w:p>
      <w:pPr>
        <w:pStyle w:val="BodyText"/>
        <w:spacing w:before="2"/>
        <w:rPr>
          <w:sz w:val="17"/>
        </w:rPr>
      </w:pPr>
    </w:p>
    <w:p>
      <w:pPr>
        <w:pStyle w:val="BodyText"/>
        <w:ind w:right="5122"/>
        <w:jc w:val="center"/>
      </w:pPr>
      <w:r>
        <w:rPr/>
        <w:t>报告期内部控制存在重大缺陷情况的说明</w:t>
      </w:r>
    </w:p>
    <w:p>
      <w:pPr>
        <w:pStyle w:val="BodyText"/>
        <w:spacing w:before="139"/>
        <w:ind w:left="662"/>
      </w:pPr>
      <w:r>
        <w:rPr>
          <w:rFonts w:ascii="Times New Roman" w:hAnsi="Times New Roman" w:eastAsia="Times New Roman"/>
        </w:rPr>
        <w:t>□</w:t>
      </w:r>
      <w:r>
        <w:rPr/>
        <w:t>适用 </w:t>
      </w:r>
      <w:r>
        <w:rPr>
          <w:rFonts w:ascii="Times New Roman" w:hAnsi="Times New Roman" w:eastAsia="Times New Roman"/>
        </w:rPr>
        <w:t>√</w:t>
      </w:r>
      <w:r>
        <w:rPr/>
        <w:t>不适用</w:t>
      </w:r>
    </w:p>
    <w:p>
      <w:pPr>
        <w:pStyle w:val="BodyText"/>
        <w:rPr>
          <w:sz w:val="29"/>
        </w:rPr>
      </w:pPr>
    </w:p>
    <w:p>
      <w:pPr>
        <w:pStyle w:val="Heading4"/>
        <w:ind w:left="238"/>
      </w:pPr>
      <w:r>
        <w:rPr/>
        <w:t>九、 内部控制审计报告的相关情况说明</w:t>
      </w:r>
    </w:p>
    <w:p>
      <w:pPr>
        <w:pStyle w:val="BodyText"/>
        <w:tabs>
          <w:tab w:pos="1409" w:val="left" w:leader="none"/>
        </w:tabs>
        <w:spacing w:before="152"/>
        <w:ind w:left="662"/>
      </w:pPr>
      <w:r>
        <w:rPr>
          <w:rFonts w:ascii="Times New Roman" w:hAnsi="Times New Roman" w:eastAsia="Times New Roman"/>
        </w:rPr>
        <w:t>√</w:t>
      </w:r>
      <w:r>
        <w:rPr/>
        <w:t>适用</w:t>
        <w:tab/>
      </w:r>
      <w:r>
        <w:rPr>
          <w:rFonts w:ascii="Times New Roman" w:hAnsi="Times New Roman" w:eastAsia="Times New Roman"/>
        </w:rPr>
        <w:t>□</w:t>
      </w:r>
      <w:r>
        <w:rPr>
          <w:spacing w:val="-3"/>
        </w:rPr>
        <w:t>不</w:t>
      </w:r>
      <w:r>
        <w:rPr/>
        <w:t>适用</w:t>
      </w:r>
    </w:p>
    <w:p>
      <w:pPr>
        <w:pStyle w:val="BodyText"/>
        <w:spacing w:line="364" w:lineRule="auto" w:before="139"/>
        <w:ind w:left="238" w:right="313" w:firstLine="424"/>
      </w:pPr>
      <w:r>
        <w:rPr/>
        <w:t>公司聘请的和信会计师事务所（特殊普通合伙）已对公司财务报告相关内部控制的有效性进行了审计，出具了标准无保留意见的内部控制审计报告（和信审字（</w:t>
      </w:r>
      <w:r>
        <w:rPr>
          <w:rFonts w:ascii="Times New Roman" w:eastAsia="Times New Roman"/>
        </w:rPr>
        <w:t>2021</w:t>
      </w:r>
      <w:r>
        <w:rPr/>
        <w:t>）第 </w:t>
      </w:r>
      <w:r>
        <w:rPr>
          <w:rFonts w:ascii="Times New Roman" w:eastAsia="Times New Roman"/>
        </w:rPr>
        <w:t>000175 </w:t>
      </w:r>
      <w:r>
        <w:rPr/>
        <w:t>号）。</w:t>
      </w:r>
    </w:p>
    <w:p>
      <w:pPr>
        <w:pStyle w:val="BodyText"/>
        <w:ind w:left="662"/>
      </w:pPr>
      <w:r>
        <w:rPr/>
        <w:t>《海尔智家股份有限公司内部控制审计报告》与本报告同日刊登在上海证券交易所网站</w:t>
      </w:r>
    </w:p>
    <w:p>
      <w:pPr>
        <w:pStyle w:val="BodyText"/>
        <w:spacing w:before="139"/>
        <w:ind w:left="238"/>
      </w:pPr>
      <w:r>
        <w:rPr/>
        <w:t>（</w:t>
      </w:r>
      <w:hyperlink r:id="rId14">
        <w:r>
          <w:rPr>
            <w:rFonts w:ascii="Times New Roman" w:eastAsia="Times New Roman"/>
          </w:rPr>
          <w:t>www.sse.com.cn</w:t>
        </w:r>
      </w:hyperlink>
      <w:r>
        <w:rPr/>
        <w:t>）。</w:t>
      </w:r>
    </w:p>
    <w:p>
      <w:pPr>
        <w:pStyle w:val="BodyText"/>
        <w:spacing w:before="139"/>
        <w:ind w:right="5113"/>
        <w:jc w:val="center"/>
      </w:pPr>
      <w:r>
        <w:rPr/>
        <w:t>是否披露内部控制审计报告：是</w:t>
      </w:r>
    </w:p>
    <w:p>
      <w:pPr>
        <w:pStyle w:val="BodyText"/>
        <w:spacing w:before="139"/>
        <w:ind w:left="662"/>
      </w:pPr>
      <w:r>
        <w:rPr/>
        <w:t>内部控制审计报告意见类型：标准的无保留意见</w:t>
      </w:r>
    </w:p>
    <w:p>
      <w:pPr>
        <w:pStyle w:val="BodyText"/>
        <w:rPr>
          <w:sz w:val="29"/>
        </w:rPr>
      </w:pPr>
    </w:p>
    <w:p>
      <w:pPr>
        <w:pStyle w:val="Heading4"/>
        <w:spacing w:before="1"/>
        <w:ind w:left="238"/>
      </w:pPr>
      <w:r>
        <w:rPr/>
        <w:t>十、 其他</w:t>
      </w:r>
    </w:p>
    <w:p>
      <w:pPr>
        <w:pStyle w:val="BodyText"/>
        <w:tabs>
          <w:tab w:pos="1421" w:val="left" w:leader="none"/>
        </w:tabs>
        <w:spacing w:before="16"/>
        <w:ind w:left="662"/>
      </w:pPr>
      <w:r>
        <w:rPr>
          <w:rFonts w:ascii="Times New Roman" w:hAnsi="Times New Roman" w:eastAsia="Times New Roman"/>
        </w:rPr>
        <w:t>□</w:t>
      </w:r>
      <w:r>
        <w:rPr/>
        <w:t>适用</w:t>
        <w:tab/>
      </w:r>
      <w:r>
        <w:rPr>
          <w:rFonts w:ascii="Times New Roman" w:hAnsi="Times New Roman" w:eastAsia="Times New Roman"/>
        </w:rPr>
        <w:t>√</w:t>
      </w:r>
      <w:r>
        <w:rPr>
          <w:spacing w:val="-3"/>
        </w:rPr>
        <w:t>不</w:t>
      </w:r>
      <w:r>
        <w:rPr/>
        <w:t>适用</w:t>
      </w:r>
    </w:p>
    <w:p>
      <w:pPr>
        <w:spacing w:after="0"/>
        <w:sectPr>
          <w:pgSz w:w="11910" w:h="16840"/>
          <w:pgMar w:header="872" w:footer="1214" w:top="1440" w:bottom="1400" w:left="1560" w:right="960"/>
        </w:sectPr>
      </w:pPr>
    </w:p>
    <w:p>
      <w:pPr>
        <w:pStyle w:val="BodyText"/>
        <w:spacing w:before="12"/>
        <w:rPr>
          <w:sz w:val="23"/>
        </w:rPr>
      </w:pPr>
    </w:p>
    <w:p>
      <w:pPr>
        <w:pStyle w:val="Heading1"/>
        <w:tabs>
          <w:tab w:pos="1259" w:val="left" w:leader="none"/>
        </w:tabs>
        <w:ind w:right="75"/>
      </w:pPr>
      <w:bookmarkStart w:name="_bookmark10" w:id="13"/>
      <w:bookmarkEnd w:id="13"/>
      <w:r>
        <w:rPr>
          <w:b w:val="0"/>
        </w:rPr>
      </w:r>
      <w:r>
        <w:rPr/>
        <w:t>第十节</w:t>
        <w:tab/>
        <w:t>公司债券相关情况</w:t>
      </w:r>
    </w:p>
    <w:p>
      <w:pPr>
        <w:pStyle w:val="BodyText"/>
        <w:spacing w:before="3"/>
        <w:rPr>
          <w:rFonts w:ascii="Microsoft JhengHei"/>
          <w:b/>
          <w:sz w:val="6"/>
        </w:rPr>
      </w:pPr>
    </w:p>
    <w:p>
      <w:pPr>
        <w:spacing w:line="235" w:lineRule="auto" w:before="76"/>
        <w:ind w:left="238" w:right="7034" w:firstLine="424"/>
        <w:jc w:val="left"/>
        <w:rPr>
          <w:rFonts w:ascii="Microsoft JhengHei" w:hAnsi="Microsoft JhengHei" w:eastAsia="Microsoft JhengHei" w:hint="eastAsia"/>
          <w:b/>
          <w:sz w:val="21"/>
        </w:rPr>
      </w:pPr>
      <w:r>
        <w:rPr>
          <w:sz w:val="21"/>
        </w:rPr>
        <w:t>√适用 □不适用</w:t>
      </w:r>
      <w:r>
        <w:rPr>
          <w:rFonts w:ascii="Microsoft JhengHei" w:hAnsi="Microsoft JhengHei" w:eastAsia="Microsoft JhengHei" w:hint="eastAsia"/>
          <w:b/>
          <w:sz w:val="21"/>
        </w:rPr>
        <w:t>一、公司债券基本情况</w:t>
      </w:r>
    </w:p>
    <w:p>
      <w:pPr>
        <w:pStyle w:val="BodyText"/>
        <w:spacing w:before="18"/>
        <w:ind w:right="207"/>
        <w:jc w:val="right"/>
      </w:pPr>
      <w:r>
        <w:rPr/>
        <w:t>单位:元 币种:港元 </w:t>
      </w:r>
    </w:p>
    <w:tbl>
      <w:tblPr>
        <w:tblW w:w="0" w:type="auto"/>
        <w:jc w:val="left"/>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793"/>
        <w:gridCol w:w="423"/>
        <w:gridCol w:w="1507"/>
        <w:gridCol w:w="919"/>
        <w:gridCol w:w="1135"/>
        <w:gridCol w:w="1277"/>
        <w:gridCol w:w="853"/>
        <w:gridCol w:w="723"/>
        <w:gridCol w:w="421"/>
      </w:tblGrid>
      <w:tr>
        <w:trPr>
          <w:trHeight w:val="1091" w:hRule="atLeast"/>
        </w:trPr>
        <w:tc>
          <w:tcPr>
            <w:tcW w:w="1793" w:type="dxa"/>
            <w:tcBorders>
              <w:bottom w:val="single" w:sz="4" w:space="0" w:color="000000"/>
              <w:right w:val="single" w:sz="4" w:space="0" w:color="000000"/>
            </w:tcBorders>
            <w:shd w:val="clear" w:color="auto" w:fill="EDEBE0"/>
          </w:tcPr>
          <w:p>
            <w:pPr>
              <w:pStyle w:val="TableParagraph"/>
              <w:rPr>
                <w:rFonts w:ascii="宋体"/>
                <w:sz w:val="20"/>
              </w:rPr>
            </w:pPr>
          </w:p>
          <w:p>
            <w:pPr>
              <w:pStyle w:val="TableParagraph"/>
              <w:spacing w:before="154"/>
              <w:ind w:left="474"/>
              <w:rPr>
                <w:rFonts w:ascii="宋体" w:eastAsia="宋体" w:hint="eastAsia"/>
                <w:sz w:val="21"/>
              </w:rPr>
            </w:pPr>
            <w:r>
              <w:rPr>
                <w:rFonts w:ascii="宋体" w:eastAsia="宋体" w:hint="eastAsia"/>
                <w:sz w:val="21"/>
              </w:rPr>
              <w:t>债券名称</w:t>
            </w:r>
          </w:p>
        </w:tc>
        <w:tc>
          <w:tcPr>
            <w:tcW w:w="423" w:type="dxa"/>
            <w:tcBorders>
              <w:left w:val="single" w:sz="4" w:space="0" w:color="000000"/>
              <w:bottom w:val="single" w:sz="4" w:space="0" w:color="000000"/>
              <w:right w:val="single" w:sz="4" w:space="0" w:color="000000"/>
            </w:tcBorders>
            <w:shd w:val="clear" w:color="auto" w:fill="EDEBE0"/>
          </w:tcPr>
          <w:p>
            <w:pPr>
              <w:pStyle w:val="TableParagraph"/>
              <w:spacing w:before="5"/>
              <w:rPr>
                <w:rFonts w:ascii="宋体"/>
                <w:sz w:val="21"/>
              </w:rPr>
            </w:pPr>
          </w:p>
          <w:p>
            <w:pPr>
              <w:pStyle w:val="TableParagraph"/>
              <w:spacing w:line="244" w:lineRule="auto"/>
              <w:ind w:left="117" w:right="82"/>
              <w:rPr>
                <w:rFonts w:ascii="宋体" w:eastAsia="宋体" w:hint="eastAsia"/>
                <w:sz w:val="21"/>
              </w:rPr>
            </w:pPr>
            <w:r>
              <w:rPr>
                <w:rFonts w:ascii="宋体" w:eastAsia="宋体" w:hint="eastAsia"/>
                <w:sz w:val="21"/>
              </w:rPr>
              <w:t>简称</w:t>
            </w:r>
          </w:p>
        </w:tc>
        <w:tc>
          <w:tcPr>
            <w:tcW w:w="1507" w:type="dxa"/>
            <w:tcBorders>
              <w:left w:val="single" w:sz="4" w:space="0" w:color="000000"/>
              <w:bottom w:val="single" w:sz="4" w:space="0" w:color="000000"/>
              <w:right w:val="single" w:sz="4" w:space="0" w:color="000000"/>
            </w:tcBorders>
            <w:shd w:val="clear" w:color="auto" w:fill="EDEBE0"/>
          </w:tcPr>
          <w:p>
            <w:pPr>
              <w:pStyle w:val="TableParagraph"/>
              <w:rPr>
                <w:rFonts w:ascii="宋体"/>
                <w:sz w:val="20"/>
              </w:rPr>
            </w:pPr>
          </w:p>
          <w:p>
            <w:pPr>
              <w:pStyle w:val="TableParagraph"/>
              <w:spacing w:before="154"/>
              <w:ind w:left="532" w:right="504"/>
              <w:jc w:val="center"/>
              <w:rPr>
                <w:rFonts w:ascii="宋体" w:eastAsia="宋体" w:hint="eastAsia"/>
                <w:sz w:val="21"/>
              </w:rPr>
            </w:pPr>
            <w:r>
              <w:rPr>
                <w:rFonts w:ascii="宋体" w:eastAsia="宋体" w:hint="eastAsia"/>
                <w:sz w:val="21"/>
              </w:rPr>
              <w:t>代码</w:t>
            </w:r>
          </w:p>
        </w:tc>
        <w:tc>
          <w:tcPr>
            <w:tcW w:w="919" w:type="dxa"/>
            <w:tcBorders>
              <w:left w:val="single" w:sz="4" w:space="0" w:color="000000"/>
              <w:bottom w:val="single" w:sz="4" w:space="0" w:color="000000"/>
              <w:right w:val="single" w:sz="4" w:space="0" w:color="000000"/>
            </w:tcBorders>
            <w:shd w:val="clear" w:color="auto" w:fill="EDEBE0"/>
          </w:tcPr>
          <w:p>
            <w:pPr>
              <w:pStyle w:val="TableParagraph"/>
              <w:rPr>
                <w:rFonts w:ascii="宋体"/>
                <w:sz w:val="20"/>
              </w:rPr>
            </w:pPr>
          </w:p>
          <w:p>
            <w:pPr>
              <w:pStyle w:val="TableParagraph"/>
              <w:spacing w:before="154"/>
              <w:ind w:left="153"/>
              <w:rPr>
                <w:rFonts w:ascii="宋体" w:eastAsia="宋体" w:hint="eastAsia"/>
                <w:sz w:val="21"/>
              </w:rPr>
            </w:pPr>
            <w:r>
              <w:rPr>
                <w:rFonts w:ascii="宋体" w:eastAsia="宋体" w:hint="eastAsia"/>
                <w:sz w:val="21"/>
              </w:rPr>
              <w:t>发行日</w:t>
            </w:r>
          </w:p>
        </w:tc>
        <w:tc>
          <w:tcPr>
            <w:tcW w:w="1135" w:type="dxa"/>
            <w:tcBorders>
              <w:left w:val="single" w:sz="4" w:space="0" w:color="000000"/>
              <w:bottom w:val="single" w:sz="4" w:space="0" w:color="000000"/>
              <w:right w:val="single" w:sz="4" w:space="0" w:color="000000"/>
            </w:tcBorders>
            <w:shd w:val="clear" w:color="auto" w:fill="EDEBE0"/>
          </w:tcPr>
          <w:p>
            <w:pPr>
              <w:pStyle w:val="TableParagraph"/>
              <w:rPr>
                <w:rFonts w:ascii="宋体"/>
                <w:sz w:val="20"/>
              </w:rPr>
            </w:pPr>
          </w:p>
          <w:p>
            <w:pPr>
              <w:pStyle w:val="TableParagraph"/>
              <w:spacing w:before="154"/>
              <w:ind w:left="259"/>
              <w:rPr>
                <w:rFonts w:ascii="宋体" w:eastAsia="宋体" w:hint="eastAsia"/>
                <w:sz w:val="21"/>
              </w:rPr>
            </w:pPr>
            <w:r>
              <w:rPr>
                <w:rFonts w:ascii="宋体" w:eastAsia="宋体" w:hint="eastAsia"/>
                <w:sz w:val="21"/>
              </w:rPr>
              <w:t>到期日</w:t>
            </w:r>
          </w:p>
        </w:tc>
        <w:tc>
          <w:tcPr>
            <w:tcW w:w="1277" w:type="dxa"/>
            <w:tcBorders>
              <w:left w:val="single" w:sz="4" w:space="0" w:color="000000"/>
              <w:bottom w:val="single" w:sz="4" w:space="0" w:color="000000"/>
              <w:right w:val="single" w:sz="4" w:space="0" w:color="000000"/>
            </w:tcBorders>
            <w:shd w:val="clear" w:color="auto" w:fill="EDEBE0"/>
          </w:tcPr>
          <w:p>
            <w:pPr>
              <w:pStyle w:val="TableParagraph"/>
              <w:rPr>
                <w:rFonts w:ascii="宋体"/>
                <w:sz w:val="20"/>
              </w:rPr>
            </w:pPr>
          </w:p>
          <w:p>
            <w:pPr>
              <w:pStyle w:val="TableParagraph"/>
              <w:spacing w:before="154"/>
              <w:ind w:left="226"/>
              <w:rPr>
                <w:rFonts w:ascii="宋体" w:eastAsia="宋体" w:hint="eastAsia"/>
                <w:sz w:val="21"/>
              </w:rPr>
            </w:pPr>
            <w:r>
              <w:rPr>
                <w:rFonts w:ascii="宋体" w:eastAsia="宋体" w:hint="eastAsia"/>
                <w:sz w:val="21"/>
              </w:rPr>
              <w:t>债券余额</w:t>
            </w:r>
          </w:p>
        </w:tc>
        <w:tc>
          <w:tcPr>
            <w:tcW w:w="853" w:type="dxa"/>
            <w:tcBorders>
              <w:left w:val="single" w:sz="4" w:space="0" w:color="000000"/>
              <w:bottom w:val="single" w:sz="4" w:space="0" w:color="000000"/>
              <w:right w:val="single" w:sz="4" w:space="0" w:color="000000"/>
            </w:tcBorders>
            <w:shd w:val="clear" w:color="auto" w:fill="EDEBE0"/>
          </w:tcPr>
          <w:p>
            <w:pPr>
              <w:pStyle w:val="TableParagraph"/>
              <w:spacing w:before="5"/>
              <w:rPr>
                <w:rFonts w:ascii="宋体"/>
                <w:sz w:val="21"/>
              </w:rPr>
            </w:pPr>
          </w:p>
          <w:p>
            <w:pPr>
              <w:pStyle w:val="TableParagraph"/>
              <w:ind w:left="226"/>
              <w:rPr>
                <w:rFonts w:ascii="宋体" w:eastAsia="宋体" w:hint="eastAsia"/>
                <w:sz w:val="21"/>
              </w:rPr>
            </w:pPr>
            <w:r>
              <w:rPr>
                <w:rFonts w:ascii="宋体" w:eastAsia="宋体" w:hint="eastAsia"/>
                <w:sz w:val="21"/>
              </w:rPr>
              <w:t>利率</w:t>
            </w:r>
          </w:p>
          <w:p>
            <w:pPr>
              <w:pStyle w:val="TableParagraph"/>
              <w:spacing w:before="4"/>
              <w:ind w:left="137"/>
              <w:rPr>
                <w:rFonts w:ascii="宋体" w:eastAsia="宋体" w:hint="eastAsia"/>
                <w:sz w:val="21"/>
              </w:rPr>
            </w:pPr>
            <w:r>
              <w:rPr>
                <w:rFonts w:ascii="宋体" w:eastAsia="宋体" w:hint="eastAsia"/>
                <w:sz w:val="21"/>
              </w:rPr>
              <w:t>（</w:t>
            </w:r>
            <w:r>
              <w:rPr>
                <w:sz w:val="21"/>
              </w:rPr>
              <w:t>%</w:t>
            </w:r>
            <w:r>
              <w:rPr>
                <w:rFonts w:ascii="宋体" w:eastAsia="宋体" w:hint="eastAsia"/>
                <w:sz w:val="21"/>
              </w:rPr>
              <w:t>）</w:t>
            </w:r>
          </w:p>
        </w:tc>
        <w:tc>
          <w:tcPr>
            <w:tcW w:w="723" w:type="dxa"/>
            <w:tcBorders>
              <w:left w:val="single" w:sz="4" w:space="0" w:color="000000"/>
              <w:bottom w:val="single" w:sz="4" w:space="0" w:color="000000"/>
              <w:right w:val="single" w:sz="4" w:space="0" w:color="000000"/>
            </w:tcBorders>
            <w:shd w:val="clear" w:color="auto" w:fill="EDEBE0"/>
          </w:tcPr>
          <w:p>
            <w:pPr>
              <w:pStyle w:val="TableParagraph"/>
              <w:spacing w:line="242" w:lineRule="auto" w:before="139"/>
              <w:ind w:left="160" w:right="127"/>
              <w:jc w:val="both"/>
              <w:rPr>
                <w:rFonts w:ascii="宋体" w:eastAsia="宋体" w:hint="eastAsia"/>
                <w:sz w:val="21"/>
              </w:rPr>
            </w:pPr>
            <w:r>
              <w:rPr>
                <w:rFonts w:ascii="宋体" w:eastAsia="宋体" w:hint="eastAsia"/>
                <w:sz w:val="21"/>
              </w:rPr>
              <w:t>还本付息方式</w:t>
            </w:r>
          </w:p>
        </w:tc>
        <w:tc>
          <w:tcPr>
            <w:tcW w:w="421" w:type="dxa"/>
            <w:tcBorders>
              <w:left w:val="single" w:sz="4" w:space="0" w:color="000000"/>
              <w:bottom w:val="single" w:sz="4" w:space="0" w:color="000000"/>
            </w:tcBorders>
            <w:shd w:val="clear" w:color="auto" w:fill="EDEBE0"/>
          </w:tcPr>
          <w:p>
            <w:pPr>
              <w:pStyle w:val="TableParagraph"/>
              <w:spacing w:line="242" w:lineRule="auto" w:before="3"/>
              <w:ind w:left="114" w:right="73"/>
              <w:jc w:val="both"/>
              <w:rPr>
                <w:rFonts w:ascii="宋体" w:eastAsia="宋体" w:hint="eastAsia"/>
                <w:sz w:val="21"/>
              </w:rPr>
            </w:pPr>
            <w:r>
              <w:rPr>
                <w:rFonts w:ascii="宋体" w:eastAsia="宋体" w:hint="eastAsia"/>
                <w:sz w:val="21"/>
              </w:rPr>
              <w:t>交易场</w:t>
            </w:r>
          </w:p>
          <w:p>
            <w:pPr>
              <w:pStyle w:val="TableParagraph"/>
              <w:spacing w:line="252" w:lineRule="exact"/>
              <w:ind w:left="114"/>
              <w:rPr>
                <w:rFonts w:ascii="宋体" w:eastAsia="宋体" w:hint="eastAsia"/>
                <w:sz w:val="21"/>
              </w:rPr>
            </w:pPr>
            <w:r>
              <w:rPr>
                <w:rFonts w:ascii="宋体" w:eastAsia="宋体" w:hint="eastAsia"/>
                <w:w w:val="100"/>
                <w:sz w:val="21"/>
              </w:rPr>
              <w:t>所</w:t>
            </w:r>
          </w:p>
        </w:tc>
      </w:tr>
      <w:tr>
        <w:trPr>
          <w:trHeight w:val="1929" w:hRule="atLeast"/>
        </w:trPr>
        <w:tc>
          <w:tcPr>
            <w:tcW w:w="1793" w:type="dxa"/>
            <w:tcBorders>
              <w:top w:val="single" w:sz="4" w:space="0" w:color="000000"/>
              <w:right w:val="single" w:sz="4" w:space="0" w:color="000000"/>
            </w:tcBorders>
          </w:tcPr>
          <w:p>
            <w:pPr>
              <w:pStyle w:val="TableParagraph"/>
              <w:ind w:left="107" w:right="135"/>
              <w:rPr>
                <w:sz w:val="21"/>
              </w:rPr>
            </w:pPr>
            <w:r>
              <w:rPr>
                <w:sz w:val="21"/>
              </w:rPr>
              <w:t>Harvest International Company HK$8,000,000,00</w:t>
            </w:r>
          </w:p>
          <w:p>
            <w:pPr>
              <w:pStyle w:val="TableParagraph"/>
              <w:ind w:left="107" w:right="374"/>
              <w:rPr>
                <w:sz w:val="21"/>
              </w:rPr>
            </w:pPr>
            <w:r>
              <w:rPr>
                <w:sz w:val="21"/>
              </w:rPr>
              <w:t>0 Zero Coupon Guaranteed</w:t>
            </w:r>
          </w:p>
          <w:p>
            <w:pPr>
              <w:pStyle w:val="TableParagraph"/>
              <w:spacing w:line="240" w:lineRule="exact"/>
              <w:ind w:left="107" w:right="281"/>
              <w:rPr>
                <w:sz w:val="21"/>
              </w:rPr>
            </w:pPr>
            <w:r>
              <w:rPr>
                <w:sz w:val="21"/>
              </w:rPr>
              <w:t>Convertible Bonds due 2022</w:t>
            </w:r>
          </w:p>
        </w:tc>
        <w:tc>
          <w:tcPr>
            <w:tcW w:w="423" w:type="dxa"/>
            <w:tcBorders>
              <w:top w:val="single" w:sz="4" w:space="0" w:color="000000"/>
              <w:left w:val="single" w:sz="4" w:space="0" w:color="000000"/>
              <w:right w:val="single" w:sz="4" w:space="0" w:color="000000"/>
            </w:tcBorders>
          </w:tcPr>
          <w:p>
            <w:pPr>
              <w:pStyle w:val="TableParagraph"/>
              <w:spacing w:line="235" w:lineRule="exact"/>
              <w:ind w:left="117"/>
              <w:rPr>
                <w:sz w:val="21"/>
              </w:rPr>
            </w:pPr>
            <w:r>
              <w:rPr>
                <w:w w:val="100"/>
                <w:sz w:val="21"/>
              </w:rPr>
              <w:t>/</w:t>
            </w:r>
          </w:p>
        </w:tc>
        <w:tc>
          <w:tcPr>
            <w:tcW w:w="1507" w:type="dxa"/>
            <w:tcBorders>
              <w:top w:val="single" w:sz="4" w:space="0" w:color="000000"/>
              <w:left w:val="single" w:sz="4" w:space="0" w:color="000000"/>
              <w:right w:val="single" w:sz="4" w:space="0" w:color="000000"/>
            </w:tcBorders>
          </w:tcPr>
          <w:p>
            <w:pPr>
              <w:pStyle w:val="TableParagraph"/>
              <w:rPr>
                <w:rFonts w:ascii="宋体"/>
                <w:sz w:val="22"/>
              </w:rPr>
            </w:pPr>
          </w:p>
          <w:p>
            <w:pPr>
              <w:pStyle w:val="TableParagraph"/>
              <w:spacing w:before="8"/>
              <w:rPr>
                <w:rFonts w:ascii="宋体"/>
                <w:sz w:val="24"/>
              </w:rPr>
            </w:pPr>
          </w:p>
          <w:p>
            <w:pPr>
              <w:pStyle w:val="TableParagraph"/>
              <w:ind w:left="117" w:right="146"/>
              <w:rPr>
                <w:sz w:val="21"/>
              </w:rPr>
            </w:pPr>
            <w:r>
              <w:rPr>
                <w:sz w:val="21"/>
              </w:rPr>
              <w:t>ISIN XS171679664 1</w:t>
            </w:r>
          </w:p>
        </w:tc>
        <w:tc>
          <w:tcPr>
            <w:tcW w:w="919" w:type="dxa"/>
            <w:tcBorders>
              <w:top w:val="single" w:sz="4" w:space="0" w:color="000000"/>
              <w:left w:val="single" w:sz="4" w:space="0" w:color="000000"/>
              <w:right w:val="single" w:sz="4" w:space="0" w:color="000000"/>
            </w:tcBorders>
          </w:tcPr>
          <w:p>
            <w:pPr>
              <w:pStyle w:val="TableParagraph"/>
              <w:rPr>
                <w:rFonts w:ascii="宋体"/>
                <w:sz w:val="22"/>
              </w:rPr>
            </w:pPr>
          </w:p>
          <w:p>
            <w:pPr>
              <w:pStyle w:val="TableParagraph"/>
              <w:rPr>
                <w:rFonts w:ascii="宋体"/>
                <w:sz w:val="22"/>
              </w:rPr>
            </w:pPr>
          </w:p>
          <w:p>
            <w:pPr>
              <w:pStyle w:val="TableParagraph"/>
              <w:spacing w:line="241" w:lineRule="exact" w:before="155"/>
              <w:ind w:left="117"/>
              <w:rPr>
                <w:sz w:val="21"/>
              </w:rPr>
            </w:pPr>
            <w:r>
              <w:rPr>
                <w:sz w:val="21"/>
              </w:rPr>
              <w:t>2020.12</w:t>
            </w:r>
          </w:p>
          <w:p>
            <w:pPr>
              <w:pStyle w:val="TableParagraph"/>
              <w:spacing w:line="241" w:lineRule="exact"/>
              <w:ind w:left="117"/>
              <w:rPr>
                <w:sz w:val="21"/>
              </w:rPr>
            </w:pPr>
            <w:r>
              <w:rPr>
                <w:sz w:val="21"/>
              </w:rPr>
              <w:t>.23</w:t>
            </w:r>
          </w:p>
        </w:tc>
        <w:tc>
          <w:tcPr>
            <w:tcW w:w="1135" w:type="dxa"/>
            <w:tcBorders>
              <w:top w:val="single" w:sz="4" w:space="0" w:color="000000"/>
              <w:left w:val="single" w:sz="4" w:space="0" w:color="000000"/>
              <w:right w:val="single" w:sz="4" w:space="0" w:color="000000"/>
            </w:tcBorders>
          </w:tcPr>
          <w:p>
            <w:pPr>
              <w:pStyle w:val="TableParagraph"/>
              <w:rPr>
                <w:rFonts w:ascii="宋体"/>
                <w:sz w:val="22"/>
              </w:rPr>
            </w:pPr>
          </w:p>
          <w:p>
            <w:pPr>
              <w:pStyle w:val="TableParagraph"/>
              <w:rPr>
                <w:rFonts w:ascii="宋体"/>
                <w:sz w:val="22"/>
              </w:rPr>
            </w:pPr>
          </w:p>
          <w:p>
            <w:pPr>
              <w:pStyle w:val="TableParagraph"/>
              <w:spacing w:line="241" w:lineRule="exact" w:before="155"/>
              <w:ind w:left="115"/>
              <w:rPr>
                <w:sz w:val="21"/>
              </w:rPr>
            </w:pPr>
            <w:r>
              <w:rPr>
                <w:sz w:val="21"/>
              </w:rPr>
              <w:t>2022.11.2</w:t>
            </w:r>
          </w:p>
          <w:p>
            <w:pPr>
              <w:pStyle w:val="TableParagraph"/>
              <w:spacing w:line="241" w:lineRule="exact"/>
              <w:ind w:left="115"/>
              <w:rPr>
                <w:sz w:val="21"/>
              </w:rPr>
            </w:pPr>
            <w:r>
              <w:rPr>
                <w:w w:val="100"/>
                <w:sz w:val="21"/>
              </w:rPr>
              <w:t>3</w:t>
            </w:r>
          </w:p>
        </w:tc>
        <w:tc>
          <w:tcPr>
            <w:tcW w:w="1277" w:type="dxa"/>
            <w:tcBorders>
              <w:top w:val="single" w:sz="4" w:space="0" w:color="000000"/>
              <w:left w:val="single" w:sz="4" w:space="0" w:color="000000"/>
              <w:right w:val="single" w:sz="4" w:space="0" w:color="000000"/>
            </w:tcBorders>
          </w:tcPr>
          <w:p>
            <w:pPr>
              <w:pStyle w:val="TableParagraph"/>
              <w:rPr>
                <w:rFonts w:ascii="宋体"/>
                <w:sz w:val="22"/>
              </w:rPr>
            </w:pPr>
          </w:p>
          <w:p>
            <w:pPr>
              <w:pStyle w:val="TableParagraph"/>
              <w:rPr>
                <w:rFonts w:ascii="宋体"/>
                <w:sz w:val="22"/>
              </w:rPr>
            </w:pPr>
          </w:p>
          <w:p>
            <w:pPr>
              <w:pStyle w:val="TableParagraph"/>
              <w:spacing w:line="241" w:lineRule="exact" w:before="155"/>
              <w:ind w:right="83"/>
              <w:jc w:val="right"/>
              <w:rPr>
                <w:sz w:val="21"/>
              </w:rPr>
            </w:pPr>
            <w:r>
              <w:rPr>
                <w:spacing w:val="-1"/>
                <w:sz w:val="21"/>
              </w:rPr>
              <w:t>7,993,000,0</w:t>
            </w:r>
          </w:p>
          <w:p>
            <w:pPr>
              <w:pStyle w:val="TableParagraph"/>
              <w:spacing w:line="241" w:lineRule="exact"/>
              <w:ind w:right="86"/>
              <w:jc w:val="right"/>
              <w:rPr>
                <w:sz w:val="21"/>
              </w:rPr>
            </w:pPr>
            <w:r>
              <w:rPr>
                <w:sz w:val="21"/>
              </w:rPr>
              <w:t>00</w:t>
            </w:r>
          </w:p>
        </w:tc>
        <w:tc>
          <w:tcPr>
            <w:tcW w:w="853" w:type="dxa"/>
            <w:tcBorders>
              <w:top w:val="single" w:sz="4" w:space="0" w:color="000000"/>
              <w:left w:val="single" w:sz="4" w:space="0" w:color="000000"/>
              <w:right w:val="single" w:sz="4" w:space="0" w:color="000000"/>
            </w:tcBorders>
          </w:tcPr>
          <w:p>
            <w:pPr>
              <w:pStyle w:val="TableParagraph"/>
              <w:rPr>
                <w:rFonts w:ascii="宋体"/>
                <w:sz w:val="22"/>
              </w:rPr>
            </w:pPr>
          </w:p>
          <w:p>
            <w:pPr>
              <w:pStyle w:val="TableParagraph"/>
              <w:rPr>
                <w:rFonts w:ascii="宋体"/>
                <w:sz w:val="22"/>
              </w:rPr>
            </w:pPr>
          </w:p>
          <w:p>
            <w:pPr>
              <w:pStyle w:val="TableParagraph"/>
              <w:spacing w:before="5"/>
              <w:rPr>
                <w:rFonts w:ascii="宋体"/>
                <w:sz w:val="21"/>
              </w:rPr>
            </w:pPr>
          </w:p>
          <w:p>
            <w:pPr>
              <w:pStyle w:val="TableParagraph"/>
              <w:spacing w:before="1"/>
              <w:ind w:left="387"/>
              <w:rPr>
                <w:sz w:val="21"/>
              </w:rPr>
            </w:pPr>
            <w:r>
              <w:rPr>
                <w:sz w:val="21"/>
              </w:rPr>
              <w:t>5.11</w:t>
            </w:r>
          </w:p>
        </w:tc>
        <w:tc>
          <w:tcPr>
            <w:tcW w:w="723" w:type="dxa"/>
            <w:tcBorders>
              <w:top w:val="single" w:sz="4" w:space="0" w:color="000000"/>
              <w:left w:val="single" w:sz="4" w:space="0" w:color="000000"/>
              <w:right w:val="single" w:sz="4" w:space="0" w:color="000000"/>
            </w:tcBorders>
          </w:tcPr>
          <w:p>
            <w:pPr>
              <w:pStyle w:val="TableParagraph"/>
              <w:spacing w:before="4"/>
              <w:rPr>
                <w:rFonts w:ascii="宋体"/>
                <w:sz w:val="22"/>
              </w:rPr>
            </w:pPr>
          </w:p>
          <w:p>
            <w:pPr>
              <w:pStyle w:val="TableParagraph"/>
              <w:spacing w:line="242" w:lineRule="auto"/>
              <w:ind w:left="117"/>
              <w:jc w:val="both"/>
              <w:rPr>
                <w:rFonts w:ascii="宋体" w:eastAsia="宋体" w:hint="eastAsia"/>
                <w:sz w:val="21"/>
              </w:rPr>
            </w:pPr>
            <w:r>
              <w:rPr>
                <w:rFonts w:ascii="宋体" w:eastAsia="宋体" w:hint="eastAsia"/>
                <w:sz w:val="21"/>
              </w:rPr>
              <w:t>到期一次性还本付息</w:t>
            </w:r>
          </w:p>
        </w:tc>
        <w:tc>
          <w:tcPr>
            <w:tcW w:w="421" w:type="dxa"/>
            <w:tcBorders>
              <w:top w:val="single" w:sz="4" w:space="0" w:color="000000"/>
              <w:left w:val="single" w:sz="4" w:space="0" w:color="000000"/>
            </w:tcBorders>
          </w:tcPr>
          <w:p>
            <w:pPr>
              <w:pStyle w:val="TableParagraph"/>
              <w:spacing w:before="4"/>
              <w:rPr>
                <w:rFonts w:ascii="宋体"/>
                <w:sz w:val="22"/>
              </w:rPr>
            </w:pPr>
          </w:p>
          <w:p>
            <w:pPr>
              <w:pStyle w:val="TableParagraph"/>
              <w:spacing w:line="242" w:lineRule="auto"/>
              <w:ind w:left="114" w:right="73"/>
              <w:jc w:val="both"/>
              <w:rPr>
                <w:rFonts w:ascii="宋体" w:eastAsia="宋体" w:hint="eastAsia"/>
                <w:sz w:val="21"/>
              </w:rPr>
            </w:pPr>
            <w:r>
              <w:rPr>
                <w:rFonts w:ascii="宋体" w:eastAsia="宋体" w:hint="eastAsia"/>
                <w:sz w:val="21"/>
              </w:rPr>
              <w:t>香港交易所</w:t>
            </w:r>
          </w:p>
        </w:tc>
      </w:tr>
    </w:tbl>
    <w:p>
      <w:pPr>
        <w:pStyle w:val="BodyText"/>
        <w:spacing w:before="3"/>
        <w:ind w:left="238"/>
      </w:pPr>
      <w:r>
        <w:rPr>
          <w:w w:val="100"/>
        </w:rPr>
        <w:t> </w:t>
      </w:r>
    </w:p>
    <w:p>
      <w:pPr>
        <w:pStyle w:val="BodyText"/>
        <w:spacing w:before="5"/>
        <w:ind w:left="238"/>
      </w:pPr>
      <w:r>
        <w:rPr>
          <w:spacing w:val="-3"/>
        </w:rPr>
        <w:t>公司债券付息兑付情况</w:t>
      </w:r>
    </w:p>
    <w:p>
      <w:pPr>
        <w:pStyle w:val="BodyText"/>
        <w:spacing w:before="139"/>
        <w:ind w:left="662"/>
      </w:pPr>
      <w:r>
        <w:rPr>
          <w:spacing w:val="-2"/>
        </w:rPr>
        <w:t>√适用  □不适用 </w:t>
      </w:r>
    </w:p>
    <w:p>
      <w:pPr>
        <w:pStyle w:val="BodyText"/>
        <w:spacing w:line="367" w:lineRule="auto" w:before="139"/>
        <w:ind w:left="238" w:right="207" w:firstLine="424"/>
      </w:pPr>
      <w:r>
        <w:rPr>
          <w:spacing w:val="-3"/>
        </w:rPr>
        <w:t>报告期内，尚在存续期内的上述由本公司子公司</w:t>
      </w:r>
      <w:r>
        <w:rPr>
          <w:rFonts w:ascii="Times New Roman" w:hAnsi="Times New Roman" w:eastAsia="Times New Roman"/>
        </w:rPr>
        <w:t>Harvest International Company </w:t>
      </w:r>
      <w:r>
        <w:rPr>
          <w:spacing w:val="-2"/>
        </w:rPr>
        <w:t>发行的可转换</w:t>
      </w:r>
      <w:r>
        <w:rPr>
          <w:spacing w:val="-39"/>
        </w:rPr>
        <w:t>债券</w:t>
      </w:r>
      <w:r>
        <w:rPr/>
        <w:t>（</w:t>
      </w:r>
      <w:r>
        <w:rPr>
          <w:spacing w:val="-26"/>
        </w:rPr>
        <w:t>简称“</w:t>
      </w:r>
      <w:r>
        <w:rPr>
          <w:rFonts w:ascii="Times New Roman" w:hAnsi="Times New Roman" w:eastAsia="Times New Roman"/>
        </w:rPr>
        <w:t>H </w:t>
      </w:r>
      <w:r>
        <w:rPr>
          <w:spacing w:val="-18"/>
        </w:rPr>
        <w:t>股可转债”</w:t>
      </w:r>
      <w:r>
        <w:rPr>
          <w:spacing w:val="-76"/>
        </w:rPr>
        <w:t>）</w:t>
      </w:r>
      <w:r>
        <w:rPr>
          <w:spacing w:val="-12"/>
        </w:rPr>
        <w:t>采取到期还本付息的方式，到期一次性偿还债券剩余面额的 </w:t>
      </w:r>
      <w:r>
        <w:rPr>
          <w:rFonts w:ascii="Times New Roman" w:hAnsi="Times New Roman" w:eastAsia="Times New Roman"/>
        </w:rPr>
        <w:t>105.11%</w:t>
      </w:r>
      <w:r>
        <w:rPr>
          <w:spacing w:val="-5"/>
        </w:rPr>
        <w:t>。</w:t>
      </w:r>
      <w:r>
        <w:rPr/>
        <w:t> </w:t>
      </w:r>
    </w:p>
    <w:p>
      <w:pPr>
        <w:pStyle w:val="BodyText"/>
        <w:spacing w:before="4"/>
        <w:rPr>
          <w:sz w:val="18"/>
        </w:rPr>
      </w:pPr>
    </w:p>
    <w:p>
      <w:pPr>
        <w:pStyle w:val="BodyText"/>
        <w:ind w:left="238"/>
      </w:pPr>
      <w:r>
        <w:rPr/>
        <w:t>公司债券其他情况的说明</w:t>
      </w:r>
    </w:p>
    <w:p>
      <w:pPr>
        <w:pStyle w:val="BodyText"/>
        <w:spacing w:before="142"/>
        <w:ind w:left="662"/>
      </w:pPr>
      <w:r>
        <w:rPr/>
        <w:t>√适用 □不适用 </w:t>
      </w:r>
    </w:p>
    <w:p>
      <w:pPr>
        <w:pStyle w:val="BodyText"/>
        <w:spacing w:line="364" w:lineRule="auto" w:before="139"/>
        <w:ind w:left="238" w:right="307" w:firstLine="424"/>
        <w:jc w:val="both"/>
        <w:rPr>
          <w:rFonts w:ascii="Times New Roman" w:hAnsi="Times New Roman" w:eastAsia="Times New Roman"/>
        </w:rPr>
      </w:pPr>
      <w:r>
        <w:rPr>
          <w:rFonts w:ascii="Times New Roman" w:hAnsi="Times New Roman" w:eastAsia="Times New Roman"/>
        </w:rPr>
        <w:t>2017</w:t>
      </w:r>
      <w:r>
        <w:rPr>
          <w:rFonts w:ascii="Times New Roman" w:hAnsi="Times New Roman" w:eastAsia="Times New Roman"/>
          <w:spacing w:val="7"/>
        </w:rPr>
        <w:t> </w:t>
      </w:r>
      <w:r>
        <w:rPr>
          <w:spacing w:val="-25"/>
        </w:rPr>
        <w:t>年 </w:t>
      </w:r>
      <w:r>
        <w:rPr>
          <w:rFonts w:ascii="Times New Roman" w:hAnsi="Times New Roman" w:eastAsia="Times New Roman"/>
        </w:rPr>
        <w:t>11</w:t>
      </w:r>
      <w:r>
        <w:rPr>
          <w:rFonts w:ascii="Times New Roman" w:hAnsi="Times New Roman" w:eastAsia="Times New Roman"/>
          <w:spacing w:val="2"/>
        </w:rPr>
        <w:t> </w:t>
      </w:r>
      <w:r>
        <w:rPr>
          <w:spacing w:val="-25"/>
        </w:rPr>
        <w:t>月 </w:t>
      </w:r>
      <w:r>
        <w:rPr>
          <w:rFonts w:ascii="Times New Roman" w:hAnsi="Times New Roman" w:eastAsia="Times New Roman"/>
        </w:rPr>
        <w:t>23</w:t>
      </w:r>
      <w:r>
        <w:rPr>
          <w:rFonts w:ascii="Times New Roman" w:hAnsi="Times New Roman" w:eastAsia="Times New Roman"/>
          <w:spacing w:val="5"/>
        </w:rPr>
        <w:t> </w:t>
      </w:r>
      <w:r>
        <w:rPr>
          <w:spacing w:val="-12"/>
        </w:rPr>
        <w:t>日，公司 </w:t>
      </w:r>
      <w:r>
        <w:rPr>
          <w:rFonts w:ascii="Times New Roman" w:hAnsi="Times New Roman" w:eastAsia="Times New Roman"/>
        </w:rPr>
        <w:t>2017</w:t>
      </w:r>
      <w:r>
        <w:rPr>
          <w:rFonts w:ascii="Times New Roman" w:hAnsi="Times New Roman" w:eastAsia="Times New Roman"/>
          <w:spacing w:val="4"/>
        </w:rPr>
        <w:t> </w:t>
      </w:r>
      <w:r>
        <w:rPr>
          <w:spacing w:val="-3"/>
        </w:rPr>
        <w:t>年度第一次临时股东大会审议通过了《青岛海尔股份有限公司关于公开发行可转换公司债券方案的议案》</w:t>
      </w:r>
      <w:r>
        <w:rPr/>
        <w:t>（</w:t>
      </w:r>
      <w:r>
        <w:rPr>
          <w:spacing w:val="-2"/>
        </w:rPr>
        <w:t>简称“</w:t>
      </w:r>
      <w:r>
        <w:rPr>
          <w:rFonts w:ascii="Times New Roman" w:hAnsi="Times New Roman" w:eastAsia="Times New Roman"/>
        </w:rPr>
        <w:t>A</w:t>
      </w:r>
      <w:r>
        <w:rPr>
          <w:rFonts w:ascii="Times New Roman" w:hAnsi="Times New Roman" w:eastAsia="Times New Roman"/>
          <w:spacing w:val="26"/>
        </w:rPr>
        <w:t> </w:t>
      </w:r>
      <w:r>
        <w:rPr>
          <w:spacing w:val="-3"/>
        </w:rPr>
        <w:t>股可转债”</w:t>
      </w:r>
      <w:r>
        <w:rPr/>
        <w:t>）</w:t>
      </w:r>
      <w:r>
        <w:rPr>
          <w:spacing w:val="-3"/>
        </w:rPr>
        <w:t>。根据该次股东大会的决</w:t>
      </w:r>
      <w:r>
        <w:rPr>
          <w:spacing w:val="-9"/>
        </w:rPr>
        <w:t>议及中国证监会等的审批文件，公司于</w:t>
      </w:r>
      <w:r>
        <w:rPr>
          <w:rFonts w:ascii="Times New Roman" w:hAnsi="Times New Roman" w:eastAsia="Times New Roman"/>
        </w:rPr>
        <w:t>2018</w:t>
      </w:r>
      <w:r>
        <w:rPr>
          <w:rFonts w:ascii="Times New Roman" w:hAnsi="Times New Roman" w:eastAsia="Times New Roman"/>
          <w:spacing w:val="-1"/>
        </w:rPr>
        <w:t> </w:t>
      </w:r>
      <w:r>
        <w:rPr>
          <w:spacing w:val="33"/>
        </w:rPr>
        <w:t>年</w:t>
      </w:r>
      <w:r>
        <w:rPr>
          <w:rFonts w:ascii="Times New Roman" w:hAnsi="Times New Roman" w:eastAsia="Times New Roman"/>
        </w:rPr>
        <w:t>12</w:t>
      </w:r>
      <w:r>
        <w:rPr>
          <w:rFonts w:ascii="Times New Roman" w:hAnsi="Times New Roman" w:eastAsia="Times New Roman"/>
          <w:spacing w:val="4"/>
        </w:rPr>
        <w:t> </w:t>
      </w:r>
      <w:r>
        <w:rPr>
          <w:spacing w:val="-9"/>
        </w:rPr>
        <w:t>月完成可转换公司债券的发行，共计发行</w:t>
      </w:r>
      <w:r>
        <w:rPr>
          <w:rFonts w:ascii="Times New Roman" w:hAnsi="Times New Roman" w:eastAsia="Times New Roman"/>
        </w:rPr>
        <w:t>300,749</w:t>
      </w:r>
    </w:p>
    <w:p>
      <w:pPr>
        <w:pStyle w:val="BodyText"/>
        <w:spacing w:line="266" w:lineRule="exact"/>
        <w:ind w:left="238"/>
        <w:jc w:val="both"/>
      </w:pPr>
      <w:r>
        <w:rPr>
          <w:spacing w:val="-8"/>
        </w:rPr>
        <w:t>万元。该债券已于 </w:t>
      </w:r>
      <w:r>
        <w:rPr>
          <w:rFonts w:ascii="Times New Roman" w:hAnsi="Times New Roman" w:eastAsia="Times New Roman"/>
        </w:rPr>
        <w:t>2019</w:t>
      </w:r>
      <w:r>
        <w:rPr>
          <w:rFonts w:ascii="Times New Roman" w:hAnsi="Times New Roman" w:eastAsia="Times New Roman"/>
          <w:spacing w:val="4"/>
        </w:rPr>
        <w:t> </w:t>
      </w:r>
      <w:r>
        <w:rPr>
          <w:spacing w:val="-24"/>
        </w:rPr>
        <w:t>年 </w:t>
      </w:r>
      <w:r>
        <w:rPr>
          <w:rFonts w:ascii="Times New Roman" w:hAnsi="Times New Roman" w:eastAsia="Times New Roman"/>
        </w:rPr>
        <w:t>1</w:t>
      </w:r>
      <w:r>
        <w:rPr>
          <w:rFonts w:ascii="Times New Roman" w:hAnsi="Times New Roman" w:eastAsia="Times New Roman"/>
          <w:spacing w:val="3"/>
        </w:rPr>
        <w:t> </w:t>
      </w:r>
      <w:r>
        <w:rPr>
          <w:spacing w:val="-24"/>
        </w:rPr>
        <w:t>月 </w:t>
      </w:r>
      <w:r>
        <w:rPr>
          <w:rFonts w:ascii="Times New Roman" w:hAnsi="Times New Roman" w:eastAsia="Times New Roman"/>
        </w:rPr>
        <w:t>18</w:t>
      </w:r>
      <w:r>
        <w:rPr>
          <w:rFonts w:ascii="Times New Roman" w:hAnsi="Times New Roman" w:eastAsia="Times New Roman"/>
          <w:spacing w:val="3"/>
        </w:rPr>
        <w:t> </w:t>
      </w:r>
      <w:r>
        <w:rPr>
          <w:spacing w:val="-3"/>
        </w:rPr>
        <w:t>日上市，上市简称</w:t>
      </w:r>
      <w:r>
        <w:rPr>
          <w:rFonts w:ascii="Times New Roman" w:hAnsi="Times New Roman" w:eastAsia="Times New Roman"/>
        </w:rPr>
        <w:t>“</w:t>
      </w:r>
      <w:r>
        <w:rPr>
          <w:spacing w:val="-3"/>
        </w:rPr>
        <w:t>海尔转债</w:t>
      </w:r>
      <w:r>
        <w:rPr>
          <w:rFonts w:ascii="Times New Roman" w:hAnsi="Times New Roman" w:eastAsia="Times New Roman"/>
          <w:spacing w:val="-3"/>
        </w:rPr>
        <w:t>”</w:t>
      </w:r>
      <w:r>
        <w:rPr>
          <w:spacing w:val="-11"/>
        </w:rPr>
        <w:t>，债券代码 </w:t>
      </w:r>
      <w:r>
        <w:rPr>
          <w:rFonts w:ascii="Times New Roman" w:hAnsi="Times New Roman" w:eastAsia="Times New Roman"/>
        </w:rPr>
        <w:t>110049</w:t>
      </w:r>
      <w:r>
        <w:rPr>
          <w:spacing w:val="-3"/>
        </w:rPr>
        <w:t>。内容详见公</w:t>
      </w:r>
    </w:p>
    <w:p>
      <w:pPr>
        <w:pStyle w:val="BodyText"/>
        <w:spacing w:before="141"/>
        <w:ind w:left="238"/>
      </w:pPr>
      <w:r>
        <w:rPr>
          <w:spacing w:val="-16"/>
        </w:rPr>
        <w:t>司于 </w:t>
      </w:r>
      <w:r>
        <w:rPr>
          <w:rFonts w:ascii="Times New Roman" w:eastAsia="Times New Roman"/>
        </w:rPr>
        <w:t>2018</w:t>
      </w:r>
      <w:r>
        <w:rPr>
          <w:rFonts w:ascii="Times New Roman" w:eastAsia="Times New Roman"/>
          <w:spacing w:val="2"/>
        </w:rPr>
        <w:t> </w:t>
      </w:r>
      <w:r>
        <w:rPr>
          <w:spacing w:val="-24"/>
        </w:rPr>
        <w:t>年 </w:t>
      </w:r>
      <w:r>
        <w:rPr>
          <w:rFonts w:ascii="Times New Roman" w:eastAsia="Times New Roman"/>
        </w:rPr>
        <w:t>12</w:t>
      </w:r>
      <w:r>
        <w:rPr>
          <w:rFonts w:ascii="Times New Roman" w:eastAsia="Times New Roman"/>
          <w:spacing w:val="3"/>
        </w:rPr>
        <w:t> </w:t>
      </w:r>
      <w:r>
        <w:rPr>
          <w:spacing w:val="-24"/>
        </w:rPr>
        <w:t>月 </w:t>
      </w:r>
      <w:r>
        <w:rPr>
          <w:rFonts w:ascii="Times New Roman" w:eastAsia="Times New Roman"/>
        </w:rPr>
        <w:t>14</w:t>
      </w:r>
      <w:r>
        <w:rPr>
          <w:rFonts w:ascii="Times New Roman" w:eastAsia="Times New Roman"/>
          <w:spacing w:val="6"/>
        </w:rPr>
        <w:t> </w:t>
      </w:r>
      <w:r>
        <w:rPr>
          <w:spacing w:val="-1"/>
        </w:rPr>
        <w:t>日披露的《青岛海尔股份有限公司公开发行</w:t>
      </w:r>
      <w:r>
        <w:rPr>
          <w:rFonts w:ascii="Times New Roman" w:eastAsia="Times New Roman"/>
        </w:rPr>
        <w:t>A</w:t>
      </w:r>
      <w:r>
        <w:rPr>
          <w:rFonts w:ascii="Times New Roman" w:eastAsia="Times New Roman"/>
          <w:spacing w:val="5"/>
        </w:rPr>
        <w:t> </w:t>
      </w:r>
      <w:r>
        <w:rPr>
          <w:spacing w:val="-3"/>
        </w:rPr>
        <w:t>股可转换公司债券募集说明</w:t>
      </w:r>
    </w:p>
    <w:p>
      <w:pPr>
        <w:pStyle w:val="BodyText"/>
        <w:spacing w:before="139"/>
        <w:ind w:left="238"/>
      </w:pPr>
      <w:r>
        <w:rPr>
          <w:spacing w:val="-1"/>
        </w:rPr>
        <w:t>书》、</w:t>
      </w:r>
      <w:r>
        <w:rPr>
          <w:rFonts w:ascii="Times New Roman" w:eastAsia="Times New Roman"/>
        </w:rPr>
        <w:t>2019</w:t>
      </w:r>
      <w:r>
        <w:rPr>
          <w:rFonts w:ascii="Times New Roman" w:eastAsia="Times New Roman"/>
          <w:spacing w:val="8"/>
        </w:rPr>
        <w:t> </w:t>
      </w:r>
      <w:r>
        <w:rPr>
          <w:spacing w:val="-24"/>
        </w:rPr>
        <w:t>年 </w:t>
      </w:r>
      <w:r>
        <w:rPr>
          <w:rFonts w:ascii="Times New Roman" w:eastAsia="Times New Roman"/>
        </w:rPr>
        <w:t>1</w:t>
      </w:r>
      <w:r>
        <w:rPr>
          <w:rFonts w:ascii="Times New Roman" w:eastAsia="Times New Roman"/>
          <w:spacing w:val="9"/>
        </w:rPr>
        <w:t> </w:t>
      </w:r>
      <w:r>
        <w:rPr>
          <w:spacing w:val="-23"/>
        </w:rPr>
        <w:t>月 </w:t>
      </w:r>
      <w:r>
        <w:rPr>
          <w:rFonts w:ascii="Times New Roman" w:eastAsia="Times New Roman"/>
        </w:rPr>
        <w:t>16</w:t>
      </w:r>
      <w:r>
        <w:rPr>
          <w:rFonts w:ascii="Times New Roman" w:eastAsia="Times New Roman"/>
          <w:spacing w:val="9"/>
        </w:rPr>
        <w:t> </w:t>
      </w:r>
      <w:r>
        <w:rPr>
          <w:spacing w:val="-3"/>
        </w:rPr>
        <w:t>日披露的《青岛海尔股份有限公司可转换公司债券上市公告书》等相关文</w:t>
      </w:r>
    </w:p>
    <w:p>
      <w:pPr>
        <w:pStyle w:val="BodyText"/>
        <w:spacing w:before="139"/>
        <w:ind w:left="238"/>
      </w:pPr>
      <w:r>
        <w:rPr/>
        <w:t>件。因 </w:t>
      </w:r>
      <w:r>
        <w:rPr>
          <w:rFonts w:ascii="Times New Roman" w:eastAsia="Times New Roman"/>
        </w:rPr>
        <w:t>2019 </w:t>
      </w:r>
      <w:r>
        <w:rPr/>
        <w:t>年度可转债达到赎回条件，经公司董事会审议通过后，决定行使赎回权，因此公司对</w:t>
      </w:r>
    </w:p>
    <w:p>
      <w:pPr>
        <w:pStyle w:val="BodyText"/>
        <w:spacing w:line="367" w:lineRule="auto" w:before="140"/>
        <w:ind w:left="238" w:right="308"/>
      </w:pPr>
      <w:r>
        <w:rPr>
          <w:spacing w:val="-10"/>
        </w:rPr>
        <w:t>截止赎回登记日登记在册的可转债余额全额赎回。赎回后，公司可转债已于 </w:t>
      </w:r>
      <w:r>
        <w:rPr>
          <w:rFonts w:ascii="Times New Roman" w:eastAsia="Times New Roman"/>
        </w:rPr>
        <w:t>2019 </w:t>
      </w:r>
      <w:r>
        <w:rPr>
          <w:spacing w:val="-24"/>
        </w:rPr>
        <w:t>年 </w:t>
      </w:r>
      <w:r>
        <w:rPr>
          <w:rFonts w:ascii="Times New Roman" w:eastAsia="Times New Roman"/>
        </w:rPr>
        <w:t>12 </w:t>
      </w:r>
      <w:r>
        <w:rPr>
          <w:spacing w:val="-23"/>
        </w:rPr>
        <w:t>月 </w:t>
      </w:r>
      <w:r>
        <w:rPr>
          <w:rFonts w:ascii="Times New Roman" w:eastAsia="Times New Roman"/>
        </w:rPr>
        <w:t>17 </w:t>
      </w:r>
      <w:r>
        <w:rPr/>
        <w:t>日退</w:t>
      </w:r>
      <w:r>
        <w:rPr>
          <w:spacing w:val="11"/>
        </w:rPr>
        <w:t>市，目前</w:t>
      </w:r>
      <w:r>
        <w:rPr>
          <w:rFonts w:ascii="Times New Roman" w:eastAsia="Times New Roman"/>
        </w:rPr>
        <w:t>A </w:t>
      </w:r>
      <w:r>
        <w:rPr>
          <w:spacing w:val="-3"/>
        </w:rPr>
        <w:t>股可转债已不再存续，但该债券发行募集的资金尚未使用完毕。</w:t>
      </w:r>
    </w:p>
    <w:p>
      <w:pPr>
        <w:pStyle w:val="BodyText"/>
        <w:spacing w:line="261" w:lineRule="exact"/>
        <w:ind w:left="238"/>
      </w:pPr>
      <w:r>
        <w:rPr>
          <w:w w:val="100"/>
        </w:rPr>
        <w:t> </w:t>
      </w:r>
    </w:p>
    <w:p>
      <w:pPr>
        <w:pStyle w:val="Heading4"/>
        <w:spacing w:line="383" w:lineRule="exact"/>
        <w:ind w:left="238"/>
      </w:pPr>
      <w:r>
        <w:rPr/>
        <w:t>二、公司债券受托管理联系人、联系方式及资信评级机构联系方式</w:t>
      </w:r>
    </w:p>
    <w:p>
      <w:pPr>
        <w:pStyle w:val="BodyText"/>
        <w:spacing w:before="16"/>
        <w:rPr>
          <w:rFonts w:ascii="Microsoft JhengHei"/>
          <w:b/>
          <w:sz w:val="13"/>
        </w:rPr>
      </w:pPr>
    </w:p>
    <w:tbl>
      <w:tblPr>
        <w:tblW w:w="0" w:type="auto"/>
        <w:jc w:val="left"/>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60"/>
        <w:gridCol w:w="1136"/>
        <w:gridCol w:w="6954"/>
      </w:tblGrid>
      <w:tr>
        <w:trPr>
          <w:trHeight w:val="262" w:hRule="atLeast"/>
        </w:trPr>
        <w:tc>
          <w:tcPr>
            <w:tcW w:w="960" w:type="dxa"/>
            <w:vMerge w:val="restart"/>
            <w:tcBorders>
              <w:right w:val="single" w:sz="4" w:space="0" w:color="000000"/>
            </w:tcBorders>
            <w:shd w:val="clear" w:color="auto" w:fill="EDEBE0"/>
          </w:tcPr>
          <w:p>
            <w:pPr>
              <w:pStyle w:val="TableParagraph"/>
              <w:spacing w:line="242" w:lineRule="auto" w:before="3"/>
              <w:ind w:left="162" w:right="141"/>
              <w:jc w:val="center"/>
              <w:rPr>
                <w:rFonts w:ascii="宋体" w:eastAsia="宋体" w:hint="eastAsia"/>
                <w:sz w:val="21"/>
              </w:rPr>
            </w:pPr>
            <w:r>
              <w:rPr>
                <w:rFonts w:ascii="宋体" w:eastAsia="宋体" w:hint="eastAsia"/>
                <w:sz w:val="21"/>
              </w:rPr>
              <w:t>债券受托管理</w:t>
            </w:r>
          </w:p>
          <w:p>
            <w:pPr>
              <w:pStyle w:val="TableParagraph"/>
              <w:spacing w:line="249" w:lineRule="exact" w:before="1"/>
              <w:ind w:left="18"/>
              <w:jc w:val="center"/>
              <w:rPr>
                <w:rFonts w:ascii="宋体" w:eastAsia="宋体" w:hint="eastAsia"/>
                <w:sz w:val="21"/>
              </w:rPr>
            </w:pPr>
            <w:r>
              <w:rPr>
                <w:rFonts w:ascii="宋体" w:eastAsia="宋体" w:hint="eastAsia"/>
                <w:w w:val="100"/>
                <w:sz w:val="21"/>
              </w:rPr>
              <w:t>人</w:t>
            </w:r>
          </w:p>
        </w:tc>
        <w:tc>
          <w:tcPr>
            <w:tcW w:w="1136" w:type="dxa"/>
            <w:tcBorders>
              <w:left w:val="single" w:sz="4" w:space="0" w:color="000000"/>
              <w:bottom w:val="single" w:sz="4" w:space="0" w:color="000000"/>
              <w:right w:val="single" w:sz="4" w:space="0" w:color="000000"/>
            </w:tcBorders>
            <w:shd w:val="clear" w:color="auto" w:fill="EDEBE0"/>
          </w:tcPr>
          <w:p>
            <w:pPr>
              <w:pStyle w:val="TableParagraph"/>
              <w:spacing w:line="240" w:lineRule="exact" w:before="3"/>
              <w:ind w:left="114"/>
              <w:rPr>
                <w:rFonts w:ascii="宋体" w:eastAsia="宋体" w:hint="eastAsia"/>
                <w:sz w:val="21"/>
              </w:rPr>
            </w:pPr>
            <w:r>
              <w:rPr>
                <w:rFonts w:ascii="宋体" w:eastAsia="宋体" w:hint="eastAsia"/>
                <w:sz w:val="21"/>
              </w:rPr>
              <w:t>名称</w:t>
            </w:r>
          </w:p>
        </w:tc>
        <w:tc>
          <w:tcPr>
            <w:tcW w:w="6954" w:type="dxa"/>
            <w:tcBorders>
              <w:left w:val="single" w:sz="4" w:space="0" w:color="000000"/>
              <w:bottom w:val="single" w:sz="4" w:space="0" w:color="000000"/>
            </w:tcBorders>
          </w:tcPr>
          <w:p>
            <w:pPr>
              <w:pStyle w:val="TableParagraph"/>
              <w:spacing w:line="233" w:lineRule="exact" w:before="9"/>
              <w:ind w:left="114"/>
              <w:rPr>
                <w:sz w:val="21"/>
              </w:rPr>
            </w:pPr>
            <w:r>
              <w:rPr>
                <w:sz w:val="21"/>
              </w:rPr>
              <w:t>The Hongkong and Shanghai Banking Corporation Limited</w:t>
            </w:r>
          </w:p>
        </w:tc>
      </w:tr>
      <w:tr>
        <w:trPr>
          <w:trHeight w:val="524" w:hRule="atLeast"/>
        </w:trPr>
        <w:tc>
          <w:tcPr>
            <w:tcW w:w="960" w:type="dxa"/>
            <w:vMerge/>
            <w:tcBorders>
              <w:top w:val="nil"/>
              <w:right w:val="single" w:sz="4" w:space="0" w:color="000000"/>
            </w:tcBorders>
            <w:shd w:val="clear" w:color="auto" w:fill="EDEBE0"/>
          </w:tcPr>
          <w:p>
            <w:pPr>
              <w:rPr>
                <w:sz w:val="2"/>
                <w:szCs w:val="2"/>
              </w:rPr>
            </w:pPr>
          </w:p>
        </w:tc>
        <w:tc>
          <w:tcPr>
            <w:tcW w:w="1136" w:type="dxa"/>
            <w:tcBorders>
              <w:top w:val="single" w:sz="4" w:space="0" w:color="000000"/>
              <w:left w:val="single" w:sz="4" w:space="0" w:color="000000"/>
              <w:right w:val="single" w:sz="4" w:space="0" w:color="000000"/>
            </w:tcBorders>
            <w:shd w:val="clear" w:color="auto" w:fill="EDEBE0"/>
          </w:tcPr>
          <w:p>
            <w:pPr>
              <w:pStyle w:val="TableParagraph"/>
              <w:spacing w:before="123"/>
              <w:ind w:left="114"/>
              <w:rPr>
                <w:rFonts w:ascii="宋体" w:eastAsia="宋体" w:hint="eastAsia"/>
                <w:sz w:val="21"/>
              </w:rPr>
            </w:pPr>
            <w:r>
              <w:rPr>
                <w:rFonts w:ascii="宋体" w:eastAsia="宋体" w:hint="eastAsia"/>
                <w:sz w:val="21"/>
              </w:rPr>
              <w:t>办公地址</w:t>
            </w:r>
          </w:p>
        </w:tc>
        <w:tc>
          <w:tcPr>
            <w:tcW w:w="6954" w:type="dxa"/>
            <w:tcBorders>
              <w:top w:val="single" w:sz="4" w:space="0" w:color="000000"/>
              <w:left w:val="single" w:sz="4" w:space="0" w:color="000000"/>
            </w:tcBorders>
          </w:tcPr>
          <w:p>
            <w:pPr>
              <w:pStyle w:val="TableParagraph"/>
              <w:spacing w:before="132"/>
              <w:ind w:left="114"/>
              <w:rPr>
                <w:sz w:val="21"/>
              </w:rPr>
            </w:pPr>
            <w:r>
              <w:rPr>
                <w:sz w:val="21"/>
              </w:rPr>
              <w:t>L24 HSBC Main Building, 1 Queen's Road Central, Hong Kong</w:t>
            </w:r>
          </w:p>
        </w:tc>
      </w:tr>
    </w:tbl>
    <w:p>
      <w:pPr>
        <w:pStyle w:val="BodyText"/>
        <w:spacing w:before="3"/>
        <w:ind w:left="238"/>
      </w:pPr>
      <w:r>
        <w:rPr>
          <w:w w:val="100"/>
        </w:rPr>
        <w:t> </w:t>
      </w:r>
    </w:p>
    <w:p>
      <w:pPr>
        <w:spacing w:after="0"/>
        <w:sectPr>
          <w:headerReference w:type="default" r:id="rId75"/>
          <w:footerReference w:type="default" r:id="rId76"/>
          <w:pgSz w:w="11910" w:h="16840"/>
          <w:pgMar w:header="872" w:footer="1214" w:top="1440" w:bottom="1400" w:left="1560" w:right="960"/>
        </w:sectPr>
      </w:pPr>
    </w:p>
    <w:p>
      <w:pPr>
        <w:pStyle w:val="BodyText"/>
        <w:spacing w:before="68"/>
        <w:ind w:left="238"/>
      </w:pPr>
      <w:r>
        <w:rPr/>
        <w:t>其他说明： </w:t>
      </w:r>
    </w:p>
    <w:p>
      <w:pPr>
        <w:pStyle w:val="BodyText"/>
        <w:spacing w:before="5"/>
        <w:ind w:left="662"/>
      </w:pPr>
      <w:r>
        <w:rPr/>
        <w:t>□适用 √不适用  </w:t>
      </w:r>
    </w:p>
    <w:p>
      <w:pPr>
        <w:pStyle w:val="BodyText"/>
        <w:spacing w:line="267" w:lineRule="exact" w:before="2"/>
        <w:ind w:left="238"/>
      </w:pPr>
      <w:r>
        <w:rPr>
          <w:w w:val="100"/>
        </w:rPr>
        <w:t> </w:t>
      </w:r>
    </w:p>
    <w:p>
      <w:pPr>
        <w:pStyle w:val="Heading4"/>
        <w:spacing w:line="384" w:lineRule="exact"/>
        <w:ind w:left="238"/>
      </w:pPr>
      <w:r>
        <w:rPr/>
        <w:t>三、公司债券募集资金使用情况</w:t>
      </w:r>
    </w:p>
    <w:p>
      <w:pPr>
        <w:pStyle w:val="BodyText"/>
        <w:spacing w:before="151"/>
        <w:ind w:left="662"/>
      </w:pPr>
      <w:r>
        <w:rPr/>
        <w:t>√适用 □不适用 </w:t>
      </w:r>
    </w:p>
    <w:p>
      <w:pPr>
        <w:pStyle w:val="BodyText"/>
        <w:spacing w:line="364" w:lineRule="auto" w:before="139"/>
        <w:ind w:left="238" w:right="308" w:firstLine="424"/>
        <w:jc w:val="both"/>
      </w:pPr>
      <w:r>
        <w:rPr>
          <w:rFonts w:ascii="Times New Roman" w:eastAsia="Times New Roman"/>
        </w:rPr>
        <w:t>H </w:t>
      </w:r>
      <w:r>
        <w:rPr>
          <w:spacing w:val="-7"/>
        </w:rPr>
        <w:t>股可转债系由公司子公司 </w:t>
      </w:r>
      <w:r>
        <w:rPr>
          <w:rFonts w:ascii="Times New Roman" w:eastAsia="Times New Roman"/>
        </w:rPr>
        <w:t>Harvest International Company </w:t>
      </w:r>
      <w:r>
        <w:rPr>
          <w:spacing w:val="-26"/>
        </w:rPr>
        <w:t>于 </w:t>
      </w:r>
      <w:r>
        <w:rPr>
          <w:rFonts w:ascii="Times New Roman" w:eastAsia="Times New Roman"/>
        </w:rPr>
        <w:t>2017 </w:t>
      </w:r>
      <w:r>
        <w:rPr>
          <w:spacing w:val="-26"/>
        </w:rPr>
        <w:t>年 </w:t>
      </w:r>
      <w:r>
        <w:rPr>
          <w:rFonts w:ascii="Times New Roman" w:eastAsia="Times New Roman"/>
          <w:spacing w:val="-4"/>
        </w:rPr>
        <w:t>11 </w:t>
      </w:r>
      <w:r>
        <w:rPr>
          <w:spacing w:val="-3"/>
        </w:rPr>
        <w:t>月发行完成的可交换债券转换而成，债券发行的募集资金用于偿还公司境外债务等，均已按方案约定使用。资金用途</w:t>
      </w:r>
      <w:r>
        <w:rPr>
          <w:spacing w:val="-8"/>
        </w:rPr>
        <w:t>等详情请参见公司于 </w:t>
      </w:r>
      <w:r>
        <w:rPr>
          <w:rFonts w:ascii="Times New Roman" w:eastAsia="Times New Roman"/>
        </w:rPr>
        <w:t>2017 </w:t>
      </w:r>
      <w:r>
        <w:rPr>
          <w:spacing w:val="-24"/>
        </w:rPr>
        <w:t>年 </w:t>
      </w:r>
      <w:r>
        <w:rPr>
          <w:rFonts w:ascii="Times New Roman" w:eastAsia="Times New Roman"/>
          <w:spacing w:val="-4"/>
        </w:rPr>
        <w:t>11 </w:t>
      </w:r>
      <w:r>
        <w:rPr>
          <w:spacing w:val="-23"/>
        </w:rPr>
        <w:t>月 </w:t>
      </w:r>
      <w:r>
        <w:rPr>
          <w:rFonts w:ascii="Times New Roman" w:eastAsia="Times New Roman"/>
        </w:rPr>
        <w:t>8 </w:t>
      </w:r>
      <w:r>
        <w:rPr>
          <w:spacing w:val="-3"/>
        </w:rPr>
        <w:t>日披露的《青岛海尔股份有限公司关于境外全资子公司发行</w:t>
      </w:r>
      <w:r>
        <w:rPr>
          <w:spacing w:val="-13"/>
          <w:w w:val="100"/>
        </w:rPr>
        <w:t>可交换公司债券的公告》</w:t>
      </w:r>
      <w:r>
        <w:rPr>
          <w:spacing w:val="-3"/>
          <w:w w:val="100"/>
        </w:rPr>
        <w:t>（</w:t>
      </w:r>
      <w:r>
        <w:rPr>
          <w:w w:val="100"/>
        </w:rPr>
        <w:t>临</w:t>
      </w:r>
      <w:r>
        <w:rPr>
          <w:spacing w:val="-53"/>
        </w:rPr>
        <w:t> </w:t>
      </w:r>
      <w:r>
        <w:rPr>
          <w:rFonts w:ascii="Times New Roman" w:eastAsia="Times New Roman"/>
          <w:w w:val="100"/>
        </w:rPr>
        <w:t>20</w:t>
      </w:r>
      <w:r>
        <w:rPr>
          <w:rFonts w:ascii="Times New Roman" w:eastAsia="Times New Roman"/>
          <w:spacing w:val="-3"/>
          <w:w w:val="100"/>
        </w:rPr>
        <w:t>1</w:t>
      </w:r>
      <w:r>
        <w:rPr>
          <w:rFonts w:ascii="Times New Roman" w:eastAsia="Times New Roman"/>
          <w:spacing w:val="-1"/>
          <w:w w:val="100"/>
        </w:rPr>
        <w:t>7</w:t>
      </w:r>
      <w:r>
        <w:rPr>
          <w:rFonts w:ascii="Times New Roman" w:eastAsia="Times New Roman"/>
          <w:spacing w:val="-4"/>
          <w:w w:val="100"/>
        </w:rPr>
        <w:t>-</w:t>
      </w:r>
      <w:r>
        <w:rPr>
          <w:rFonts w:ascii="Times New Roman" w:eastAsia="Times New Roman"/>
          <w:w w:val="100"/>
        </w:rPr>
        <w:t>041</w:t>
      </w:r>
      <w:r>
        <w:rPr>
          <w:spacing w:val="-106"/>
          <w:w w:val="100"/>
        </w:rPr>
        <w:t>）。</w:t>
      </w:r>
    </w:p>
    <w:p>
      <w:pPr>
        <w:pStyle w:val="BodyText"/>
        <w:spacing w:line="364" w:lineRule="auto"/>
        <w:ind w:left="238" w:right="317" w:firstLine="424"/>
      </w:pPr>
      <w:r>
        <w:rPr>
          <w:rFonts w:ascii="Times New Roman" w:eastAsia="Times New Roman"/>
        </w:rPr>
        <w:t>A</w:t>
      </w:r>
      <w:r>
        <w:rPr>
          <w:rFonts w:ascii="Times New Roman" w:eastAsia="Times New Roman"/>
          <w:spacing w:val="3"/>
        </w:rPr>
        <w:t> </w:t>
      </w:r>
      <w:r>
        <w:rPr>
          <w:spacing w:val="-8"/>
        </w:rPr>
        <w:t>股可转债募集资金截至 </w:t>
      </w:r>
      <w:r>
        <w:rPr>
          <w:rFonts w:ascii="Times New Roman" w:eastAsia="Times New Roman"/>
        </w:rPr>
        <w:t>2020</w:t>
      </w:r>
      <w:r>
        <w:rPr>
          <w:rFonts w:ascii="Times New Roman" w:eastAsia="Times New Roman"/>
          <w:spacing w:val="-1"/>
        </w:rPr>
        <w:t> </w:t>
      </w:r>
      <w:r>
        <w:rPr>
          <w:spacing w:val="-25"/>
        </w:rPr>
        <w:t>年 </w:t>
      </w:r>
      <w:r>
        <w:rPr>
          <w:rFonts w:ascii="Times New Roman" w:eastAsia="Times New Roman"/>
        </w:rPr>
        <w:t>12</w:t>
      </w:r>
      <w:r>
        <w:rPr>
          <w:rFonts w:ascii="Times New Roman" w:eastAsia="Times New Roman"/>
          <w:spacing w:val="-1"/>
        </w:rPr>
        <w:t> </w:t>
      </w:r>
      <w:r>
        <w:rPr>
          <w:spacing w:val="-25"/>
        </w:rPr>
        <w:t>月 </w:t>
      </w:r>
      <w:r>
        <w:rPr>
          <w:rFonts w:ascii="Times New Roman" w:eastAsia="Times New Roman"/>
        </w:rPr>
        <w:t>31</w:t>
      </w:r>
      <w:r>
        <w:rPr>
          <w:rFonts w:ascii="Times New Roman" w:eastAsia="Times New Roman"/>
          <w:spacing w:val="2"/>
        </w:rPr>
        <w:t> </w:t>
      </w:r>
      <w:r>
        <w:rPr>
          <w:spacing w:val="-8"/>
        </w:rPr>
        <w:t>日，募集资金已使用 </w:t>
      </w:r>
      <w:r>
        <w:rPr>
          <w:rFonts w:ascii="Times New Roman" w:eastAsia="Times New Roman"/>
        </w:rPr>
        <w:t>239,757 </w:t>
      </w:r>
      <w:r>
        <w:rPr>
          <w:spacing w:val="-11"/>
        </w:rPr>
        <w:t>万元，余额 </w:t>
      </w:r>
      <w:r>
        <w:rPr>
          <w:rFonts w:ascii="Times New Roman" w:eastAsia="Times New Roman"/>
        </w:rPr>
        <w:t>63,320 </w:t>
      </w:r>
      <w:r>
        <w:rPr/>
        <w:t>万元</w:t>
      </w:r>
      <w:r>
        <w:rPr>
          <w:spacing w:val="-3"/>
        </w:rPr>
        <w:t>（账户余额包括公司购买理财产品产生的收益、活期存款利息、汇兑损益及尚未投入的募集资金</w:t>
      </w:r>
      <w:r>
        <w:rPr>
          <w:spacing w:val="-109"/>
        </w:rPr>
        <w:t>）</w:t>
      </w:r>
      <w:r>
        <w:rPr>
          <w:spacing w:val="-5"/>
        </w:rPr>
        <w:t>。具体使用情况参见与本报告同日披露的《海尔智家股份有限公司 </w:t>
      </w:r>
      <w:r>
        <w:rPr>
          <w:rFonts w:ascii="Times New Roman" w:eastAsia="Times New Roman"/>
        </w:rPr>
        <w:t>2020</w:t>
      </w:r>
      <w:r>
        <w:rPr>
          <w:rFonts w:ascii="Times New Roman" w:eastAsia="Times New Roman"/>
          <w:spacing w:val="17"/>
        </w:rPr>
        <w:t> </w:t>
      </w:r>
      <w:r>
        <w:rPr>
          <w:spacing w:val="-3"/>
        </w:rPr>
        <w:t>年度募集资金存放</w:t>
      </w:r>
      <w:r>
        <w:rPr>
          <w:spacing w:val="-11"/>
        </w:rPr>
        <w:t>和实际使用情况专项审核报告》。</w:t>
      </w:r>
    </w:p>
    <w:p>
      <w:pPr>
        <w:pStyle w:val="BodyText"/>
        <w:rPr>
          <w:sz w:val="18"/>
        </w:rPr>
      </w:pPr>
    </w:p>
    <w:p>
      <w:pPr>
        <w:pStyle w:val="Heading4"/>
        <w:ind w:left="238"/>
      </w:pPr>
      <w:r>
        <w:rPr>
          <w:spacing w:val="-1"/>
        </w:rPr>
        <w:t>四、公司债券评级情况</w:t>
      </w:r>
    </w:p>
    <w:p>
      <w:pPr>
        <w:pStyle w:val="BodyText"/>
        <w:spacing w:before="151"/>
        <w:ind w:left="662"/>
      </w:pPr>
      <w:r>
        <w:rPr>
          <w:spacing w:val="-2"/>
        </w:rPr>
        <w:t>□适用  √不适用</w:t>
      </w:r>
      <w:r>
        <w:rPr>
          <w:spacing w:val="-3"/>
        </w:rPr>
        <w:t> </w:t>
      </w:r>
      <w:r>
        <w:rPr/>
        <w:t> </w:t>
      </w:r>
    </w:p>
    <w:p>
      <w:pPr>
        <w:pStyle w:val="BodyText"/>
        <w:rPr>
          <w:sz w:val="20"/>
        </w:rPr>
      </w:pPr>
    </w:p>
    <w:p>
      <w:pPr>
        <w:pStyle w:val="BodyText"/>
        <w:spacing w:before="10"/>
      </w:pPr>
    </w:p>
    <w:p>
      <w:pPr>
        <w:pStyle w:val="Heading4"/>
        <w:spacing w:before="3"/>
        <w:ind w:left="238"/>
      </w:pPr>
      <w:r>
        <w:rPr/>
        <w:t>五、报告期内公司债券增信机制、偿债计划及其他相关情况</w:t>
      </w:r>
    </w:p>
    <w:p>
      <w:pPr>
        <w:pStyle w:val="BodyText"/>
        <w:spacing w:before="151"/>
        <w:ind w:left="662"/>
      </w:pPr>
      <w:r>
        <w:rPr/>
        <w:t>□适用 √不适用  </w:t>
      </w:r>
    </w:p>
    <w:p>
      <w:pPr>
        <w:pStyle w:val="BodyText"/>
        <w:rPr>
          <w:sz w:val="20"/>
        </w:rPr>
      </w:pPr>
    </w:p>
    <w:p>
      <w:pPr>
        <w:pStyle w:val="BodyText"/>
        <w:rPr>
          <w:sz w:val="22"/>
        </w:rPr>
      </w:pPr>
    </w:p>
    <w:p>
      <w:pPr>
        <w:pStyle w:val="Heading4"/>
        <w:spacing w:before="2"/>
        <w:ind w:left="238"/>
      </w:pPr>
      <w:r>
        <w:rPr/>
        <w:t>六、公司债券持有人会议召开情况</w:t>
      </w:r>
    </w:p>
    <w:p>
      <w:pPr>
        <w:pStyle w:val="BodyText"/>
        <w:spacing w:before="151"/>
        <w:ind w:left="662"/>
      </w:pPr>
      <w:r>
        <w:rPr/>
        <w:t>□适用 √不适用  </w:t>
      </w:r>
    </w:p>
    <w:p>
      <w:pPr>
        <w:pStyle w:val="BodyText"/>
        <w:rPr>
          <w:sz w:val="20"/>
        </w:rPr>
      </w:pPr>
    </w:p>
    <w:p>
      <w:pPr>
        <w:pStyle w:val="BodyText"/>
        <w:rPr>
          <w:sz w:val="22"/>
        </w:rPr>
      </w:pPr>
    </w:p>
    <w:p>
      <w:pPr>
        <w:pStyle w:val="Heading4"/>
        <w:spacing w:before="2"/>
        <w:ind w:left="238"/>
      </w:pPr>
      <w:r>
        <w:rPr/>
        <w:t>七、公司债券受托管理人履职情况</w:t>
      </w:r>
    </w:p>
    <w:p>
      <w:pPr>
        <w:pStyle w:val="BodyText"/>
        <w:spacing w:before="151"/>
        <w:ind w:left="662"/>
      </w:pPr>
      <w:r>
        <w:rPr/>
        <w:t>□适用 √不适用  </w:t>
      </w:r>
    </w:p>
    <w:p>
      <w:pPr>
        <w:pStyle w:val="BodyText"/>
        <w:rPr>
          <w:sz w:val="20"/>
        </w:rPr>
      </w:pPr>
    </w:p>
    <w:p>
      <w:pPr>
        <w:pStyle w:val="BodyText"/>
        <w:spacing w:before="9"/>
        <w:rPr>
          <w:sz w:val="17"/>
        </w:rPr>
      </w:pPr>
    </w:p>
    <w:p>
      <w:pPr>
        <w:pStyle w:val="Heading4"/>
        <w:spacing w:before="9"/>
        <w:ind w:left="238"/>
      </w:pPr>
      <w:r>
        <w:rPr/>
        <w:t>八、截至报告期末公司近 </w:t>
      </w:r>
      <w:r>
        <w:rPr>
          <w:rFonts w:ascii="Times New Roman" w:eastAsia="Times New Roman"/>
        </w:rPr>
        <w:t>2 </w:t>
      </w:r>
      <w:r>
        <w:rPr/>
        <w:t>年的会计数据和财务指标</w:t>
      </w:r>
    </w:p>
    <w:p>
      <w:pPr>
        <w:pStyle w:val="BodyText"/>
        <w:spacing w:before="15"/>
        <w:ind w:left="662"/>
      </w:pPr>
      <w:r>
        <w:rPr/>
        <w:t>√适用 □不适用  </w:t>
      </w:r>
    </w:p>
    <w:p>
      <w:pPr>
        <w:pStyle w:val="BodyText"/>
        <w:spacing w:before="5"/>
        <w:ind w:left="6971"/>
      </w:pPr>
      <w:r>
        <w:rPr/>
        <w:t>单位:元 币种:人民币 </w:t>
      </w:r>
    </w:p>
    <w:tbl>
      <w:tblPr>
        <w:tblW w:w="0" w:type="auto"/>
        <w:jc w:val="left"/>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284"/>
        <w:gridCol w:w="1791"/>
        <w:gridCol w:w="1791"/>
        <w:gridCol w:w="2185"/>
      </w:tblGrid>
      <w:tr>
        <w:trPr>
          <w:trHeight w:val="546" w:hRule="atLeast"/>
        </w:trPr>
        <w:tc>
          <w:tcPr>
            <w:tcW w:w="3284" w:type="dxa"/>
            <w:tcBorders>
              <w:bottom w:val="single" w:sz="4" w:space="0" w:color="000000"/>
              <w:right w:val="single" w:sz="4" w:space="0" w:color="000000"/>
            </w:tcBorders>
            <w:shd w:val="clear" w:color="auto" w:fill="EDEBE0"/>
          </w:tcPr>
          <w:p>
            <w:pPr>
              <w:pStyle w:val="TableParagraph"/>
              <w:spacing w:before="139"/>
              <w:ind w:left="1202" w:right="1182"/>
              <w:jc w:val="center"/>
              <w:rPr>
                <w:rFonts w:ascii="宋体" w:eastAsia="宋体" w:hint="eastAsia"/>
                <w:sz w:val="21"/>
              </w:rPr>
            </w:pPr>
            <w:r>
              <w:rPr>
                <w:rFonts w:ascii="宋体" w:eastAsia="宋体" w:hint="eastAsia"/>
                <w:sz w:val="21"/>
              </w:rPr>
              <w:t>主要指标</w:t>
            </w:r>
          </w:p>
        </w:tc>
        <w:tc>
          <w:tcPr>
            <w:tcW w:w="1791" w:type="dxa"/>
            <w:tcBorders>
              <w:left w:val="single" w:sz="4" w:space="0" w:color="000000"/>
              <w:bottom w:val="single" w:sz="4" w:space="0" w:color="000000"/>
              <w:right w:val="single" w:sz="4" w:space="0" w:color="000000"/>
            </w:tcBorders>
            <w:shd w:val="clear" w:color="auto" w:fill="EDEBE0"/>
          </w:tcPr>
          <w:p>
            <w:pPr>
              <w:pStyle w:val="TableParagraph"/>
              <w:spacing w:before="139"/>
              <w:ind w:left="563"/>
              <w:rPr>
                <w:rFonts w:ascii="宋体" w:eastAsia="宋体" w:hint="eastAsia"/>
                <w:sz w:val="21"/>
              </w:rPr>
            </w:pPr>
            <w:r>
              <w:rPr>
                <w:sz w:val="21"/>
              </w:rPr>
              <w:t>2020 </w:t>
            </w:r>
            <w:r>
              <w:rPr>
                <w:rFonts w:ascii="宋体" w:eastAsia="宋体" w:hint="eastAsia"/>
                <w:sz w:val="21"/>
              </w:rPr>
              <w:t>年</w:t>
            </w:r>
          </w:p>
        </w:tc>
        <w:tc>
          <w:tcPr>
            <w:tcW w:w="1791" w:type="dxa"/>
            <w:tcBorders>
              <w:left w:val="single" w:sz="4" w:space="0" w:color="000000"/>
              <w:bottom w:val="single" w:sz="4" w:space="0" w:color="000000"/>
              <w:right w:val="single" w:sz="4" w:space="0" w:color="000000"/>
            </w:tcBorders>
            <w:shd w:val="clear" w:color="auto" w:fill="EDEBE0"/>
          </w:tcPr>
          <w:p>
            <w:pPr>
              <w:pStyle w:val="TableParagraph"/>
              <w:spacing w:before="139"/>
              <w:ind w:left="563"/>
              <w:rPr>
                <w:rFonts w:ascii="宋体" w:eastAsia="宋体" w:hint="eastAsia"/>
                <w:sz w:val="21"/>
              </w:rPr>
            </w:pPr>
            <w:r>
              <w:rPr>
                <w:sz w:val="21"/>
              </w:rPr>
              <w:t>2019 </w:t>
            </w:r>
            <w:r>
              <w:rPr>
                <w:rFonts w:ascii="宋体" w:eastAsia="宋体" w:hint="eastAsia"/>
                <w:sz w:val="21"/>
              </w:rPr>
              <w:t>年</w:t>
            </w:r>
          </w:p>
        </w:tc>
        <w:tc>
          <w:tcPr>
            <w:tcW w:w="2185" w:type="dxa"/>
            <w:tcBorders>
              <w:left w:val="single" w:sz="4" w:space="0" w:color="000000"/>
              <w:bottom w:val="single" w:sz="4" w:space="0" w:color="000000"/>
            </w:tcBorders>
            <w:shd w:val="clear" w:color="auto" w:fill="EDEBE0"/>
          </w:tcPr>
          <w:p>
            <w:pPr>
              <w:pStyle w:val="TableParagraph"/>
              <w:spacing w:before="3"/>
              <w:ind w:left="136" w:right="98"/>
              <w:jc w:val="center"/>
              <w:rPr>
                <w:rFonts w:ascii="宋体" w:eastAsia="宋体" w:hint="eastAsia"/>
                <w:sz w:val="21"/>
              </w:rPr>
            </w:pPr>
            <w:r>
              <w:rPr>
                <w:rFonts w:ascii="宋体" w:eastAsia="宋体" w:hint="eastAsia"/>
                <w:sz w:val="21"/>
              </w:rPr>
              <w:t>本期比上年同期增减</w:t>
            </w:r>
          </w:p>
          <w:p>
            <w:pPr>
              <w:pStyle w:val="TableParagraph"/>
              <w:spacing w:line="252" w:lineRule="exact" w:before="2"/>
              <w:ind w:left="136" w:right="97"/>
              <w:jc w:val="center"/>
              <w:rPr>
                <w:rFonts w:ascii="宋体" w:eastAsia="宋体" w:hint="eastAsia"/>
                <w:sz w:val="21"/>
              </w:rPr>
            </w:pPr>
            <w:r>
              <w:rPr>
                <w:rFonts w:ascii="宋体" w:eastAsia="宋体" w:hint="eastAsia"/>
                <w:sz w:val="21"/>
              </w:rPr>
              <w:t>（</w:t>
            </w:r>
            <w:r>
              <w:rPr>
                <w:sz w:val="21"/>
              </w:rPr>
              <w:t>%</w:t>
            </w:r>
            <w:r>
              <w:rPr>
                <w:rFonts w:ascii="宋体" w:eastAsia="宋体" w:hint="eastAsia"/>
                <w:sz w:val="21"/>
              </w:rPr>
              <w:t>）</w:t>
            </w:r>
          </w:p>
        </w:tc>
      </w:tr>
      <w:tr>
        <w:trPr>
          <w:trHeight w:val="270" w:hRule="atLeast"/>
        </w:trPr>
        <w:tc>
          <w:tcPr>
            <w:tcW w:w="3284"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息税折旧摊销前利润</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before="7"/>
              <w:ind w:right="84"/>
              <w:jc w:val="right"/>
              <w:rPr>
                <w:sz w:val="21"/>
              </w:rPr>
            </w:pPr>
            <w:r>
              <w:rPr>
                <w:sz w:val="21"/>
              </w:rPr>
              <w:t>19,967,111,801.70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before="7"/>
              <w:ind w:right="85"/>
              <w:jc w:val="right"/>
              <w:rPr>
                <w:sz w:val="21"/>
              </w:rPr>
            </w:pPr>
            <w:r>
              <w:rPr>
                <w:sz w:val="21"/>
              </w:rPr>
              <w:t>21,042,832,181.06</w:t>
            </w:r>
          </w:p>
        </w:tc>
        <w:tc>
          <w:tcPr>
            <w:tcW w:w="2185" w:type="dxa"/>
            <w:tcBorders>
              <w:top w:val="single" w:sz="4" w:space="0" w:color="000000"/>
              <w:left w:val="single" w:sz="4" w:space="0" w:color="000000"/>
              <w:bottom w:val="single" w:sz="4" w:space="0" w:color="000000"/>
            </w:tcBorders>
          </w:tcPr>
          <w:p>
            <w:pPr>
              <w:pStyle w:val="TableParagraph"/>
              <w:spacing w:before="7"/>
              <w:ind w:right="78"/>
              <w:jc w:val="right"/>
              <w:rPr>
                <w:sz w:val="21"/>
              </w:rPr>
            </w:pPr>
            <w:r>
              <w:rPr>
                <w:sz w:val="21"/>
              </w:rPr>
              <w:t>-5.11</w:t>
            </w:r>
          </w:p>
        </w:tc>
      </w:tr>
      <w:tr>
        <w:trPr>
          <w:trHeight w:val="273" w:hRule="atLeast"/>
        </w:trPr>
        <w:tc>
          <w:tcPr>
            <w:tcW w:w="3284" w:type="dxa"/>
            <w:tcBorders>
              <w:top w:val="single" w:sz="4" w:space="0" w:color="000000"/>
              <w:bottom w:val="single" w:sz="4" w:space="0" w:color="000000"/>
              <w:right w:val="single" w:sz="4" w:space="0" w:color="000000"/>
            </w:tcBorders>
          </w:tcPr>
          <w:p>
            <w:pPr>
              <w:pStyle w:val="TableParagraph"/>
              <w:spacing w:line="250" w:lineRule="exact" w:before="3"/>
              <w:ind w:left="107"/>
              <w:rPr>
                <w:rFonts w:ascii="宋体" w:eastAsia="宋体" w:hint="eastAsia"/>
                <w:sz w:val="21"/>
              </w:rPr>
            </w:pPr>
            <w:r>
              <w:rPr>
                <w:rFonts w:ascii="宋体" w:eastAsia="宋体" w:hint="eastAsia"/>
                <w:sz w:val="21"/>
              </w:rPr>
              <w:t>流动比率</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1.04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1.05</w:t>
            </w:r>
          </w:p>
        </w:tc>
        <w:tc>
          <w:tcPr>
            <w:tcW w:w="2185" w:type="dxa"/>
            <w:tcBorders>
              <w:top w:val="single" w:sz="4" w:space="0" w:color="000000"/>
              <w:left w:val="single" w:sz="4" w:space="0" w:color="000000"/>
              <w:bottom w:val="single" w:sz="4" w:space="0" w:color="000000"/>
            </w:tcBorders>
          </w:tcPr>
          <w:p>
            <w:pPr>
              <w:pStyle w:val="TableParagraph"/>
              <w:spacing w:before="10"/>
              <w:ind w:right="78"/>
              <w:jc w:val="right"/>
              <w:rPr>
                <w:sz w:val="21"/>
              </w:rPr>
            </w:pPr>
            <w:r>
              <w:rPr>
                <w:sz w:val="21"/>
              </w:rPr>
              <w:t>-0.54</w:t>
            </w:r>
          </w:p>
        </w:tc>
      </w:tr>
      <w:tr>
        <w:trPr>
          <w:trHeight w:val="273" w:hRule="atLeast"/>
        </w:trPr>
        <w:tc>
          <w:tcPr>
            <w:tcW w:w="3284"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速动比率</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0.78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0.76</w:t>
            </w:r>
          </w:p>
        </w:tc>
        <w:tc>
          <w:tcPr>
            <w:tcW w:w="2185" w:type="dxa"/>
            <w:tcBorders>
              <w:top w:val="single" w:sz="4" w:space="0" w:color="000000"/>
              <w:left w:val="single" w:sz="4" w:space="0" w:color="000000"/>
              <w:bottom w:val="single" w:sz="4" w:space="0" w:color="000000"/>
            </w:tcBorders>
          </w:tcPr>
          <w:p>
            <w:pPr>
              <w:pStyle w:val="TableParagraph"/>
              <w:spacing w:before="10"/>
              <w:ind w:right="75"/>
              <w:jc w:val="right"/>
              <w:rPr>
                <w:sz w:val="21"/>
              </w:rPr>
            </w:pPr>
            <w:r>
              <w:rPr>
                <w:sz w:val="21"/>
              </w:rPr>
              <w:t>2.00</w:t>
            </w:r>
          </w:p>
        </w:tc>
      </w:tr>
      <w:tr>
        <w:trPr>
          <w:trHeight w:val="270" w:hRule="atLeast"/>
        </w:trPr>
        <w:tc>
          <w:tcPr>
            <w:tcW w:w="3284"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资产负债率（</w:t>
            </w:r>
            <w:r>
              <w:rPr>
                <w:sz w:val="21"/>
              </w:rPr>
              <w:t>%</w:t>
            </w:r>
            <w:r>
              <w:rPr>
                <w:rFonts w:ascii="宋体" w:eastAsia="宋体" w:hint="eastAsia"/>
                <w:sz w:val="21"/>
              </w:rPr>
              <w:t>）</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before="7"/>
              <w:ind w:right="85"/>
              <w:jc w:val="right"/>
              <w:rPr>
                <w:sz w:val="21"/>
              </w:rPr>
            </w:pPr>
            <w:r>
              <w:rPr>
                <w:sz w:val="21"/>
              </w:rPr>
              <w:t>66.52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before="7"/>
              <w:ind w:right="85"/>
              <w:jc w:val="right"/>
              <w:rPr>
                <w:sz w:val="21"/>
              </w:rPr>
            </w:pPr>
            <w:r>
              <w:rPr>
                <w:sz w:val="21"/>
              </w:rPr>
              <w:t>65.33</w:t>
            </w:r>
          </w:p>
        </w:tc>
        <w:tc>
          <w:tcPr>
            <w:tcW w:w="2185" w:type="dxa"/>
            <w:tcBorders>
              <w:top w:val="single" w:sz="4" w:space="0" w:color="000000"/>
              <w:left w:val="single" w:sz="4" w:space="0" w:color="000000"/>
              <w:bottom w:val="single" w:sz="4" w:space="0" w:color="000000"/>
            </w:tcBorders>
          </w:tcPr>
          <w:p>
            <w:pPr>
              <w:pStyle w:val="TableParagraph"/>
              <w:spacing w:before="7"/>
              <w:ind w:right="75"/>
              <w:jc w:val="right"/>
              <w:rPr>
                <w:sz w:val="21"/>
              </w:rPr>
            </w:pPr>
            <w:r>
              <w:rPr>
                <w:sz w:val="21"/>
              </w:rPr>
              <w:t>1.83</w:t>
            </w:r>
          </w:p>
        </w:tc>
      </w:tr>
      <w:tr>
        <w:trPr>
          <w:trHeight w:val="273" w:hRule="atLeast"/>
        </w:trPr>
        <w:tc>
          <w:tcPr>
            <w:tcW w:w="3284" w:type="dxa"/>
            <w:tcBorders>
              <w:top w:val="single" w:sz="4" w:space="0" w:color="000000"/>
              <w:bottom w:val="single" w:sz="4" w:space="0" w:color="000000"/>
              <w:right w:val="single" w:sz="4" w:space="0" w:color="000000"/>
            </w:tcBorders>
          </w:tcPr>
          <w:p>
            <w:pPr>
              <w:pStyle w:val="TableParagraph"/>
              <w:spacing w:line="250" w:lineRule="exact" w:before="3"/>
              <w:ind w:left="107"/>
              <w:rPr>
                <w:rFonts w:ascii="宋体" w:eastAsia="宋体" w:hint="eastAsia"/>
                <w:sz w:val="21"/>
              </w:rPr>
            </w:pPr>
            <w:r>
              <w:rPr>
                <w:sz w:val="21"/>
              </w:rPr>
              <w:t>EBITDA </w:t>
            </w:r>
            <w:r>
              <w:rPr>
                <w:rFonts w:ascii="宋体" w:eastAsia="宋体" w:hint="eastAsia"/>
                <w:sz w:val="21"/>
              </w:rPr>
              <w:t>全部债务比</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31.80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33.53</w:t>
            </w:r>
          </w:p>
        </w:tc>
        <w:tc>
          <w:tcPr>
            <w:tcW w:w="2185" w:type="dxa"/>
            <w:tcBorders>
              <w:top w:val="single" w:sz="4" w:space="0" w:color="000000"/>
              <w:left w:val="single" w:sz="4" w:space="0" w:color="000000"/>
              <w:bottom w:val="single" w:sz="4" w:space="0" w:color="000000"/>
            </w:tcBorders>
          </w:tcPr>
          <w:p>
            <w:pPr>
              <w:pStyle w:val="TableParagraph"/>
              <w:spacing w:before="10"/>
              <w:ind w:right="78"/>
              <w:jc w:val="right"/>
              <w:rPr>
                <w:sz w:val="21"/>
              </w:rPr>
            </w:pPr>
            <w:r>
              <w:rPr>
                <w:sz w:val="21"/>
              </w:rPr>
              <w:t>-5.16</w:t>
            </w:r>
          </w:p>
        </w:tc>
      </w:tr>
      <w:tr>
        <w:trPr>
          <w:trHeight w:val="270" w:hRule="atLeast"/>
        </w:trPr>
        <w:tc>
          <w:tcPr>
            <w:tcW w:w="3284" w:type="dxa"/>
            <w:tcBorders>
              <w:top w:val="single" w:sz="4" w:space="0" w:color="000000"/>
              <w:right w:val="single" w:sz="4" w:space="0" w:color="000000"/>
            </w:tcBorders>
          </w:tcPr>
          <w:p>
            <w:pPr>
              <w:pStyle w:val="TableParagraph"/>
              <w:spacing w:line="249" w:lineRule="exact" w:before="1"/>
              <w:ind w:left="107"/>
              <w:rPr>
                <w:rFonts w:ascii="宋体" w:eastAsia="宋体" w:hint="eastAsia"/>
                <w:sz w:val="21"/>
              </w:rPr>
            </w:pPr>
            <w:r>
              <w:rPr>
                <w:rFonts w:ascii="宋体" w:eastAsia="宋体" w:hint="eastAsia"/>
                <w:sz w:val="21"/>
              </w:rPr>
              <w:t>利息保障倍数</w:t>
            </w:r>
          </w:p>
        </w:tc>
        <w:tc>
          <w:tcPr>
            <w:tcW w:w="1791" w:type="dxa"/>
            <w:tcBorders>
              <w:top w:val="single" w:sz="4" w:space="0" w:color="000000"/>
              <w:left w:val="single" w:sz="4" w:space="0" w:color="000000"/>
              <w:right w:val="single" w:sz="4" w:space="0" w:color="000000"/>
            </w:tcBorders>
          </w:tcPr>
          <w:p>
            <w:pPr>
              <w:pStyle w:val="TableParagraph"/>
              <w:spacing w:line="240" w:lineRule="exact" w:before="10"/>
              <w:ind w:right="85"/>
              <w:jc w:val="right"/>
              <w:rPr>
                <w:sz w:val="21"/>
              </w:rPr>
            </w:pPr>
            <w:r>
              <w:rPr>
                <w:sz w:val="21"/>
              </w:rPr>
              <w:t>11.21</w:t>
            </w:r>
          </w:p>
        </w:tc>
        <w:tc>
          <w:tcPr>
            <w:tcW w:w="1791" w:type="dxa"/>
            <w:tcBorders>
              <w:top w:val="single" w:sz="4" w:space="0" w:color="000000"/>
              <w:left w:val="single" w:sz="4" w:space="0" w:color="000000"/>
              <w:right w:val="single" w:sz="4" w:space="0" w:color="000000"/>
            </w:tcBorders>
          </w:tcPr>
          <w:p>
            <w:pPr>
              <w:pStyle w:val="TableParagraph"/>
              <w:spacing w:line="240" w:lineRule="exact" w:before="10"/>
              <w:ind w:right="85"/>
              <w:jc w:val="right"/>
              <w:rPr>
                <w:sz w:val="21"/>
              </w:rPr>
            </w:pPr>
            <w:r>
              <w:rPr>
                <w:sz w:val="21"/>
              </w:rPr>
              <w:t>9.37</w:t>
            </w:r>
          </w:p>
        </w:tc>
        <w:tc>
          <w:tcPr>
            <w:tcW w:w="2185" w:type="dxa"/>
            <w:tcBorders>
              <w:top w:val="single" w:sz="4" w:space="0" w:color="000000"/>
              <w:left w:val="single" w:sz="4" w:space="0" w:color="000000"/>
            </w:tcBorders>
          </w:tcPr>
          <w:p>
            <w:pPr>
              <w:pStyle w:val="TableParagraph"/>
              <w:spacing w:line="240" w:lineRule="exact" w:before="10"/>
              <w:ind w:right="75"/>
              <w:jc w:val="right"/>
              <w:rPr>
                <w:sz w:val="21"/>
              </w:rPr>
            </w:pPr>
            <w:r>
              <w:rPr>
                <w:sz w:val="21"/>
              </w:rPr>
              <w:t>19.62</w:t>
            </w:r>
          </w:p>
        </w:tc>
      </w:tr>
    </w:tbl>
    <w:p>
      <w:pPr>
        <w:spacing w:after="0" w:line="240" w:lineRule="exact"/>
        <w:jc w:val="right"/>
        <w:rPr>
          <w:sz w:val="21"/>
        </w:rPr>
        <w:sectPr>
          <w:headerReference w:type="default" r:id="rId77"/>
          <w:footerReference w:type="default" r:id="rId78"/>
          <w:pgSz w:w="11910" w:h="16840"/>
          <w:pgMar w:header="872" w:footer="1213" w:top="1440" w:bottom="1400" w:left="1560" w:right="960"/>
          <w:pgNumType w:start="1"/>
        </w:sectPr>
      </w:pPr>
    </w:p>
    <w:p>
      <w:pPr>
        <w:pStyle w:val="BodyText"/>
        <w:spacing w:before="2"/>
        <w:rPr>
          <w:sz w:val="5"/>
        </w:rPr>
      </w:pPr>
    </w:p>
    <w:tbl>
      <w:tblPr>
        <w:tblW w:w="0" w:type="auto"/>
        <w:jc w:val="left"/>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284"/>
        <w:gridCol w:w="1791"/>
        <w:gridCol w:w="1791"/>
        <w:gridCol w:w="2185"/>
      </w:tblGrid>
      <w:tr>
        <w:trPr>
          <w:trHeight w:val="273" w:hRule="atLeast"/>
        </w:trPr>
        <w:tc>
          <w:tcPr>
            <w:tcW w:w="3284" w:type="dxa"/>
            <w:tcBorders>
              <w:bottom w:val="single" w:sz="4" w:space="0" w:color="000000"/>
              <w:right w:val="single" w:sz="4" w:space="0" w:color="000000"/>
            </w:tcBorders>
          </w:tcPr>
          <w:p>
            <w:pPr>
              <w:pStyle w:val="TableParagraph"/>
              <w:spacing w:line="250" w:lineRule="exact" w:before="3"/>
              <w:ind w:left="107"/>
              <w:rPr>
                <w:rFonts w:ascii="宋体" w:eastAsia="宋体" w:hint="eastAsia"/>
                <w:sz w:val="21"/>
              </w:rPr>
            </w:pPr>
            <w:r>
              <w:rPr>
                <w:rFonts w:ascii="宋体" w:eastAsia="宋体" w:hint="eastAsia"/>
                <w:sz w:val="21"/>
              </w:rPr>
              <w:t>现金利息保障倍数</w:t>
            </w:r>
          </w:p>
        </w:tc>
        <w:tc>
          <w:tcPr>
            <w:tcW w:w="1791" w:type="dxa"/>
            <w:tcBorders>
              <w:left w:val="single" w:sz="4" w:space="0" w:color="000000"/>
              <w:bottom w:val="single" w:sz="4" w:space="0" w:color="000000"/>
              <w:right w:val="single" w:sz="4" w:space="0" w:color="000000"/>
            </w:tcBorders>
          </w:tcPr>
          <w:p>
            <w:pPr>
              <w:pStyle w:val="TableParagraph"/>
              <w:spacing w:before="9"/>
              <w:ind w:right="85"/>
              <w:jc w:val="right"/>
              <w:rPr>
                <w:sz w:val="21"/>
              </w:rPr>
            </w:pPr>
            <w:r>
              <w:rPr>
                <w:sz w:val="21"/>
              </w:rPr>
              <w:t>13.26</w:t>
            </w:r>
          </w:p>
        </w:tc>
        <w:tc>
          <w:tcPr>
            <w:tcW w:w="1791" w:type="dxa"/>
            <w:tcBorders>
              <w:left w:val="single" w:sz="4" w:space="0" w:color="000000"/>
              <w:bottom w:val="single" w:sz="4" w:space="0" w:color="000000"/>
              <w:right w:val="single" w:sz="4" w:space="0" w:color="000000"/>
            </w:tcBorders>
          </w:tcPr>
          <w:p>
            <w:pPr>
              <w:pStyle w:val="TableParagraph"/>
              <w:spacing w:before="9"/>
              <w:ind w:right="85"/>
              <w:jc w:val="right"/>
              <w:rPr>
                <w:sz w:val="21"/>
              </w:rPr>
            </w:pPr>
            <w:r>
              <w:rPr>
                <w:sz w:val="21"/>
              </w:rPr>
              <w:t>8.63</w:t>
            </w:r>
          </w:p>
        </w:tc>
        <w:tc>
          <w:tcPr>
            <w:tcW w:w="2185" w:type="dxa"/>
            <w:tcBorders>
              <w:left w:val="single" w:sz="4" w:space="0" w:color="000000"/>
              <w:bottom w:val="single" w:sz="4" w:space="0" w:color="000000"/>
            </w:tcBorders>
          </w:tcPr>
          <w:p>
            <w:pPr>
              <w:pStyle w:val="TableParagraph"/>
              <w:spacing w:before="9"/>
              <w:ind w:right="75"/>
              <w:jc w:val="right"/>
              <w:rPr>
                <w:sz w:val="21"/>
              </w:rPr>
            </w:pPr>
            <w:r>
              <w:rPr>
                <w:sz w:val="21"/>
              </w:rPr>
              <w:t>53.61</w:t>
            </w:r>
          </w:p>
        </w:tc>
      </w:tr>
      <w:tr>
        <w:trPr>
          <w:trHeight w:val="275" w:hRule="atLeast"/>
        </w:trPr>
        <w:tc>
          <w:tcPr>
            <w:tcW w:w="3284" w:type="dxa"/>
            <w:tcBorders>
              <w:top w:val="single" w:sz="4" w:space="0" w:color="000000"/>
              <w:right w:val="single" w:sz="4" w:space="0" w:color="000000"/>
            </w:tcBorders>
          </w:tcPr>
          <w:p>
            <w:pPr>
              <w:pStyle w:val="TableParagraph"/>
              <w:spacing w:line="252" w:lineRule="exact" w:before="3"/>
              <w:ind w:left="107"/>
              <w:rPr>
                <w:rFonts w:ascii="宋体" w:eastAsia="宋体" w:hint="eastAsia"/>
                <w:sz w:val="21"/>
              </w:rPr>
            </w:pPr>
            <w:r>
              <w:rPr>
                <w:sz w:val="21"/>
              </w:rPr>
              <w:t>EBITDA </w:t>
            </w:r>
            <w:r>
              <w:rPr>
                <w:rFonts w:ascii="宋体" w:eastAsia="宋体" w:hint="eastAsia"/>
                <w:sz w:val="21"/>
              </w:rPr>
              <w:t>利息保障倍数</w:t>
            </w:r>
          </w:p>
        </w:tc>
        <w:tc>
          <w:tcPr>
            <w:tcW w:w="1791" w:type="dxa"/>
            <w:tcBorders>
              <w:top w:val="single" w:sz="4" w:space="0" w:color="000000"/>
              <w:left w:val="single" w:sz="4" w:space="0" w:color="000000"/>
              <w:right w:val="single" w:sz="4" w:space="0" w:color="000000"/>
            </w:tcBorders>
          </w:tcPr>
          <w:p>
            <w:pPr>
              <w:pStyle w:val="TableParagraph"/>
              <w:spacing w:before="12"/>
              <w:ind w:right="85"/>
              <w:jc w:val="right"/>
              <w:rPr>
                <w:sz w:val="21"/>
              </w:rPr>
            </w:pPr>
            <w:r>
              <w:rPr>
                <w:sz w:val="21"/>
              </w:rPr>
              <w:t>15.05</w:t>
            </w:r>
          </w:p>
        </w:tc>
        <w:tc>
          <w:tcPr>
            <w:tcW w:w="1791" w:type="dxa"/>
            <w:tcBorders>
              <w:top w:val="single" w:sz="4" w:space="0" w:color="000000"/>
              <w:left w:val="single" w:sz="4" w:space="0" w:color="000000"/>
              <w:right w:val="single" w:sz="4" w:space="0" w:color="000000"/>
            </w:tcBorders>
          </w:tcPr>
          <w:p>
            <w:pPr>
              <w:pStyle w:val="TableParagraph"/>
              <w:spacing w:before="12"/>
              <w:ind w:right="85"/>
              <w:jc w:val="right"/>
              <w:rPr>
                <w:sz w:val="21"/>
              </w:rPr>
            </w:pPr>
            <w:r>
              <w:rPr>
                <w:sz w:val="21"/>
              </w:rPr>
              <w:t>12.04</w:t>
            </w:r>
          </w:p>
        </w:tc>
        <w:tc>
          <w:tcPr>
            <w:tcW w:w="2185" w:type="dxa"/>
            <w:tcBorders>
              <w:top w:val="single" w:sz="4" w:space="0" w:color="000000"/>
              <w:left w:val="single" w:sz="4" w:space="0" w:color="000000"/>
            </w:tcBorders>
          </w:tcPr>
          <w:p>
            <w:pPr>
              <w:pStyle w:val="TableParagraph"/>
              <w:spacing w:before="12"/>
              <w:ind w:right="75"/>
              <w:jc w:val="right"/>
              <w:rPr>
                <w:sz w:val="21"/>
              </w:rPr>
            </w:pPr>
            <w:r>
              <w:rPr>
                <w:sz w:val="21"/>
              </w:rPr>
              <w:t>24.92</w:t>
            </w:r>
          </w:p>
        </w:tc>
      </w:tr>
    </w:tbl>
    <w:p>
      <w:pPr>
        <w:pStyle w:val="BodyText"/>
        <w:spacing w:line="265" w:lineRule="exact" w:before="4"/>
        <w:ind w:left="238"/>
      </w:pPr>
      <w:r>
        <w:rPr>
          <w:w w:val="100"/>
        </w:rPr>
        <w:t> </w:t>
      </w:r>
    </w:p>
    <w:p>
      <w:pPr>
        <w:pStyle w:val="Heading4"/>
        <w:spacing w:line="383" w:lineRule="exact"/>
        <w:ind w:left="238"/>
      </w:pPr>
      <w:r>
        <w:rPr/>
        <w:t>九、公司其他债券和债务融资工具的付息兑付情况</w:t>
      </w:r>
    </w:p>
    <w:p>
      <w:pPr>
        <w:pStyle w:val="BodyText"/>
        <w:spacing w:before="151"/>
        <w:ind w:left="662"/>
      </w:pPr>
      <w:r>
        <w:rPr/>
        <w:t>√适用 □不适用  </w:t>
      </w:r>
    </w:p>
    <w:p>
      <w:pPr>
        <w:pStyle w:val="BodyText"/>
        <w:spacing w:before="142"/>
        <w:ind w:left="662"/>
      </w:pPr>
      <w:r>
        <w:rPr/>
        <w:t>本次</w:t>
      </w:r>
      <w:r>
        <w:rPr>
          <w:rFonts w:ascii="Times New Roman" w:eastAsia="Times New Roman"/>
        </w:rPr>
        <w:t>H </w:t>
      </w:r>
      <w:r>
        <w:rPr/>
        <w:t>股可转债采取到期还本付息的方式，到期一次性偿还债券剩余面额的 </w:t>
      </w:r>
      <w:r>
        <w:rPr>
          <w:rFonts w:ascii="Times New Roman" w:eastAsia="Times New Roman"/>
        </w:rPr>
        <w:t>105.11%</w:t>
      </w:r>
      <w:r>
        <w:rPr/>
        <w:t>。 </w:t>
      </w:r>
    </w:p>
    <w:p>
      <w:pPr>
        <w:pStyle w:val="BodyText"/>
        <w:rPr>
          <w:sz w:val="20"/>
        </w:rPr>
      </w:pPr>
    </w:p>
    <w:p>
      <w:pPr>
        <w:pStyle w:val="Heading4"/>
        <w:spacing w:before="144"/>
        <w:ind w:left="238"/>
      </w:pPr>
      <w:r>
        <w:rPr/>
        <w:t>十、公司报告期内的银行授信情况</w:t>
      </w:r>
    </w:p>
    <w:p>
      <w:pPr>
        <w:pStyle w:val="BodyText"/>
        <w:spacing w:before="151"/>
        <w:ind w:left="662"/>
      </w:pPr>
      <w:r>
        <w:rPr/>
        <w:t>√适用 □不适用  </w:t>
      </w:r>
    </w:p>
    <w:p>
      <w:pPr>
        <w:pStyle w:val="BodyText"/>
        <w:spacing w:before="142"/>
        <w:ind w:left="662"/>
      </w:pPr>
      <w:r>
        <w:rPr/>
        <w:t>公司报告期内银行授信共 </w:t>
      </w:r>
      <w:r>
        <w:rPr>
          <w:rFonts w:ascii="Times New Roman" w:eastAsia="Times New Roman"/>
        </w:rPr>
        <w:t>13,072,797 </w:t>
      </w:r>
      <w:r>
        <w:rPr/>
        <w:t>万元。 </w:t>
      </w:r>
    </w:p>
    <w:p>
      <w:pPr>
        <w:pStyle w:val="BodyText"/>
        <w:rPr>
          <w:sz w:val="20"/>
        </w:rPr>
      </w:pPr>
    </w:p>
    <w:p>
      <w:pPr>
        <w:pStyle w:val="Heading4"/>
        <w:spacing w:before="145"/>
        <w:ind w:left="238"/>
      </w:pPr>
      <w:r>
        <w:rPr/>
        <w:t>十一、公司报告期内执行公司债券募集说明书相关约定或承诺的情况</w:t>
      </w:r>
    </w:p>
    <w:p>
      <w:pPr>
        <w:pStyle w:val="BodyText"/>
        <w:spacing w:before="17"/>
        <w:ind w:left="662"/>
      </w:pPr>
      <w:r>
        <w:rPr/>
        <w:t>√适用 □不适用  </w:t>
      </w:r>
    </w:p>
    <w:p>
      <w:pPr>
        <w:pStyle w:val="BodyText"/>
        <w:spacing w:line="367" w:lineRule="auto" w:before="2"/>
        <w:ind w:left="238" w:right="327" w:firstLine="424"/>
      </w:pPr>
      <w:r>
        <w:rPr>
          <w:rFonts w:ascii="Times New Roman" w:eastAsia="Times New Roman"/>
        </w:rPr>
        <w:t>H </w:t>
      </w:r>
      <w:r>
        <w:rPr/>
        <w:t>股可转债资金均已使用完毕。</w:t>
      </w:r>
      <w:r>
        <w:rPr>
          <w:rFonts w:ascii="Times New Roman" w:eastAsia="Times New Roman"/>
        </w:rPr>
        <w:t>A </w:t>
      </w:r>
      <w:r>
        <w:rPr/>
        <w:t>股可转债相关项目使用募集资金情况等参见与本公告同日披露的《海尔智家股份有限公司 </w:t>
      </w:r>
      <w:r>
        <w:rPr>
          <w:rFonts w:ascii="Times New Roman" w:eastAsia="Times New Roman"/>
        </w:rPr>
        <w:t>2020 </w:t>
      </w:r>
      <w:r>
        <w:rPr/>
        <w:t>年度募集资金存放和实际使用情况专项审核报告》。 </w:t>
      </w:r>
    </w:p>
    <w:p>
      <w:pPr>
        <w:pStyle w:val="BodyText"/>
        <w:spacing w:line="261" w:lineRule="exact"/>
        <w:ind w:left="238"/>
      </w:pPr>
      <w:r>
        <w:rPr>
          <w:w w:val="100"/>
        </w:rPr>
        <w:t> </w:t>
      </w:r>
    </w:p>
    <w:p>
      <w:pPr>
        <w:pStyle w:val="Heading4"/>
        <w:spacing w:line="383" w:lineRule="exact"/>
        <w:ind w:left="238"/>
      </w:pPr>
      <w:r>
        <w:rPr/>
        <w:t>十二、公司发生的重大事项及对公司经营情况和偿债能力的影响</w:t>
      </w:r>
    </w:p>
    <w:p>
      <w:pPr>
        <w:pStyle w:val="BodyText"/>
        <w:spacing w:before="17"/>
        <w:ind w:left="662"/>
      </w:pPr>
      <w:r>
        <w:rPr/>
        <w:t>□适用 √不适用  </w:t>
      </w:r>
    </w:p>
    <w:p>
      <w:pPr>
        <w:spacing w:after="0"/>
        <w:sectPr>
          <w:pgSz w:w="11910" w:h="16840"/>
          <w:pgMar w:header="872" w:footer="1213" w:top="1440" w:bottom="1400" w:left="1560" w:right="960"/>
        </w:sectPr>
      </w:pPr>
    </w:p>
    <w:p>
      <w:pPr>
        <w:pStyle w:val="BodyText"/>
        <w:rPr>
          <w:sz w:val="20"/>
        </w:rPr>
      </w:pPr>
    </w:p>
    <w:p>
      <w:pPr>
        <w:pStyle w:val="Heading1"/>
        <w:spacing w:line="240" w:lineRule="auto" w:before="137"/>
        <w:ind w:right="75"/>
      </w:pPr>
      <w:bookmarkStart w:name="_bookmark11" w:id="14"/>
      <w:bookmarkEnd w:id="14"/>
      <w:r>
        <w:rPr>
          <w:b w:val="0"/>
        </w:rPr>
      </w:r>
      <w:r>
        <w:rPr/>
        <w:t>第十一节  财务报告</w:t>
      </w:r>
    </w:p>
    <w:p>
      <w:pPr>
        <w:pStyle w:val="BodyText"/>
        <w:spacing w:before="3"/>
        <w:rPr>
          <w:rFonts w:ascii="Microsoft JhengHei"/>
          <w:b/>
          <w:sz w:val="6"/>
        </w:rPr>
      </w:pPr>
    </w:p>
    <w:p>
      <w:pPr>
        <w:pStyle w:val="Heading4"/>
        <w:spacing w:before="2"/>
        <w:ind w:left="238"/>
      </w:pPr>
      <w:r>
        <w:rPr/>
        <w:t>一、 审计报告</w:t>
      </w:r>
    </w:p>
    <w:p>
      <w:pPr>
        <w:pStyle w:val="BodyText"/>
        <w:spacing w:line="235" w:lineRule="exact" w:before="17"/>
        <w:ind w:left="662"/>
      </w:pPr>
      <w:r>
        <w:rPr>
          <w:rFonts w:ascii="Times New Roman" w:hAnsi="Times New Roman" w:eastAsia="Times New Roman"/>
        </w:rPr>
        <w:t>√</w:t>
      </w:r>
      <w:r>
        <w:rPr/>
        <w:t>适用 </w:t>
      </w:r>
      <w:r>
        <w:rPr>
          <w:rFonts w:ascii="Times New Roman" w:hAnsi="Times New Roman" w:eastAsia="Times New Roman"/>
        </w:rPr>
        <w:t>□</w:t>
      </w:r>
      <w:r>
        <w:rPr/>
        <w:t>不适用</w:t>
      </w:r>
    </w:p>
    <w:p>
      <w:pPr>
        <w:pStyle w:val="Heading4"/>
        <w:spacing w:line="353" w:lineRule="exact"/>
        <w:ind w:left="77" w:right="75"/>
        <w:jc w:val="center"/>
      </w:pPr>
      <w:r>
        <w:rPr/>
        <w:t>审  计  报  告</w:t>
      </w:r>
      <w:r>
        <w:rPr>
          <w:w w:val="201"/>
        </w:rPr>
        <w:t> </w:t>
      </w:r>
    </w:p>
    <w:p>
      <w:pPr>
        <w:pStyle w:val="BodyText"/>
        <w:spacing w:before="18"/>
        <w:rPr>
          <w:rFonts w:ascii="Microsoft JhengHei"/>
          <w:b/>
          <w:sz w:val="7"/>
        </w:rPr>
      </w:pPr>
    </w:p>
    <w:p>
      <w:pPr>
        <w:spacing w:before="21"/>
        <w:ind w:left="0" w:right="312" w:firstLine="0"/>
        <w:jc w:val="right"/>
        <w:rPr>
          <w:rFonts w:ascii="Microsoft JhengHei" w:eastAsia="Microsoft JhengHei" w:hint="eastAsia"/>
          <w:b/>
          <w:sz w:val="18"/>
        </w:rPr>
      </w:pPr>
      <w:r>
        <w:rPr>
          <w:rFonts w:ascii="Microsoft JhengHei" w:eastAsia="Microsoft JhengHei" w:hint="eastAsia"/>
          <w:b/>
          <w:sz w:val="18"/>
        </w:rPr>
        <w:t>和信审字</w:t>
      </w:r>
      <w:r>
        <w:rPr>
          <w:rFonts w:ascii="Times New Roman" w:eastAsia="Times New Roman"/>
          <w:b/>
          <w:sz w:val="18"/>
        </w:rPr>
        <w:t>(2021)</w:t>
      </w:r>
      <w:r>
        <w:rPr>
          <w:rFonts w:ascii="Microsoft JhengHei" w:eastAsia="Microsoft JhengHei" w:hint="eastAsia"/>
          <w:b/>
          <w:sz w:val="18"/>
        </w:rPr>
        <w:t>第 </w:t>
      </w:r>
      <w:r>
        <w:rPr>
          <w:rFonts w:ascii="Times New Roman" w:eastAsia="Times New Roman"/>
          <w:b/>
          <w:sz w:val="18"/>
        </w:rPr>
        <w:t>000176 </w:t>
      </w:r>
      <w:r>
        <w:rPr>
          <w:rFonts w:ascii="Microsoft JhengHei" w:eastAsia="Microsoft JhengHei" w:hint="eastAsia"/>
          <w:b/>
          <w:sz w:val="18"/>
        </w:rPr>
        <w:t>号</w:t>
      </w:r>
    </w:p>
    <w:p>
      <w:pPr>
        <w:pStyle w:val="BodyText"/>
        <w:spacing w:before="10"/>
        <w:rPr>
          <w:rFonts w:ascii="Microsoft JhengHei"/>
          <w:b/>
          <w:sz w:val="20"/>
        </w:rPr>
      </w:pPr>
    </w:p>
    <w:p>
      <w:pPr>
        <w:pStyle w:val="Heading4"/>
        <w:spacing w:line="254" w:lineRule="auto"/>
        <w:ind w:left="660" w:right="5982" w:hanging="423"/>
      </w:pPr>
      <w:r>
        <w:rPr/>
        <w:t>海尔智家股份有限公司全体股东： 一、审计意见</w:t>
      </w:r>
    </w:p>
    <w:p>
      <w:pPr>
        <w:pStyle w:val="BodyText"/>
        <w:spacing w:before="67"/>
        <w:ind w:left="751"/>
        <w:jc w:val="both"/>
      </w:pPr>
      <w:r>
        <w:rPr/>
        <w:t>我们审计了海尔智家股份有限公司（以下简称</w:t>
      </w:r>
      <w:r>
        <w:rPr>
          <w:rFonts w:ascii="Times New Roman" w:hAnsi="Times New Roman" w:eastAsia="Times New Roman"/>
        </w:rPr>
        <w:t>“</w:t>
      </w:r>
      <w:r>
        <w:rPr/>
        <w:t>海尔智家公司</w:t>
      </w:r>
      <w:r>
        <w:rPr>
          <w:rFonts w:ascii="Times New Roman" w:hAnsi="Times New Roman" w:eastAsia="Times New Roman"/>
        </w:rPr>
        <w:t>”</w:t>
      </w:r>
      <w:r>
        <w:rPr/>
        <w:t>）的财务报表，包括 </w:t>
      </w:r>
      <w:r>
        <w:rPr>
          <w:rFonts w:ascii="Times New Roman" w:hAnsi="Times New Roman" w:eastAsia="Times New Roman"/>
        </w:rPr>
        <w:t>2020 </w:t>
      </w:r>
      <w:r>
        <w:rPr/>
        <w:t>年</w:t>
      </w:r>
    </w:p>
    <w:p>
      <w:pPr>
        <w:pStyle w:val="BodyText"/>
        <w:spacing w:line="367" w:lineRule="auto" w:before="139"/>
        <w:ind w:left="238" w:right="320"/>
        <w:jc w:val="both"/>
      </w:pPr>
      <w:r>
        <w:rPr>
          <w:rFonts w:ascii="Times New Roman" w:eastAsia="Times New Roman"/>
        </w:rPr>
        <w:t>12 </w:t>
      </w:r>
      <w:r>
        <w:rPr>
          <w:spacing w:val="-22"/>
        </w:rPr>
        <w:t>月 </w:t>
      </w:r>
      <w:r>
        <w:rPr>
          <w:rFonts w:ascii="Times New Roman" w:eastAsia="Times New Roman"/>
        </w:rPr>
        <w:t>31</w:t>
      </w:r>
      <w:bookmarkStart w:name="OLE_LINK1" w:id="15"/>
      <w:bookmarkEnd w:id="15"/>
      <w:r>
        <w:rPr>
          <w:rFonts w:ascii="Times New Roman" w:eastAsia="Times New Roman"/>
        </w:rPr>
        <w:t> </w:t>
      </w:r>
      <w:r>
        <w:rPr>
          <w:spacing w:val="-3"/>
        </w:rPr>
        <w:t>日的合并及公司资产负债表，</w:t>
      </w:r>
      <w:r>
        <w:rPr>
          <w:rFonts w:ascii="Times New Roman" w:eastAsia="Times New Roman"/>
        </w:rPr>
        <w:t>2020 </w:t>
      </w:r>
      <w:r>
        <w:rPr>
          <w:spacing w:val="-3"/>
        </w:rPr>
        <w:t>年度的合并及公司利润表、合并及公司现金流量表、合并及公司股东权益变动表以及相关财务报表附注。</w:t>
      </w:r>
    </w:p>
    <w:p>
      <w:pPr>
        <w:pStyle w:val="BodyText"/>
        <w:spacing w:line="364" w:lineRule="auto"/>
        <w:ind w:left="238" w:right="322" w:firstLine="415"/>
        <w:jc w:val="both"/>
      </w:pPr>
      <w:r>
        <w:rPr>
          <w:spacing w:val="-3"/>
        </w:rPr>
        <w:t>我们认为，后附的财务报表在所有重大方面按照企业会计准则的规定编制，公允反映了海尔</w:t>
      </w:r>
      <w:r>
        <w:rPr>
          <w:spacing w:val="-13"/>
        </w:rPr>
        <w:t>智家公司 </w:t>
      </w:r>
      <w:r>
        <w:rPr>
          <w:rFonts w:ascii="Times New Roman" w:eastAsia="Times New Roman"/>
        </w:rPr>
        <w:t>2020 </w:t>
      </w:r>
      <w:r>
        <w:rPr>
          <w:spacing w:val="-25"/>
        </w:rPr>
        <w:t>年 </w:t>
      </w:r>
      <w:r>
        <w:rPr>
          <w:rFonts w:ascii="Times New Roman" w:eastAsia="Times New Roman"/>
        </w:rPr>
        <w:t>12 </w:t>
      </w:r>
      <w:r>
        <w:rPr>
          <w:spacing w:val="-24"/>
        </w:rPr>
        <w:t>月 </w:t>
      </w:r>
      <w:r>
        <w:rPr>
          <w:rFonts w:ascii="Times New Roman" w:eastAsia="Times New Roman"/>
        </w:rPr>
        <w:t>31 </w:t>
      </w:r>
      <w:r>
        <w:rPr>
          <w:spacing w:val="-7"/>
        </w:rPr>
        <w:t>日合并及公司的财务状况以及 </w:t>
      </w:r>
      <w:r>
        <w:rPr>
          <w:rFonts w:ascii="Times New Roman" w:eastAsia="Times New Roman"/>
        </w:rPr>
        <w:t>2020 </w:t>
      </w:r>
      <w:r>
        <w:rPr>
          <w:spacing w:val="-3"/>
        </w:rPr>
        <w:t>年度合并及公司的经营成果和现金流量。</w:t>
      </w:r>
    </w:p>
    <w:p>
      <w:pPr>
        <w:pStyle w:val="Heading4"/>
        <w:spacing w:line="314" w:lineRule="exact"/>
        <w:ind w:left="660"/>
      </w:pPr>
      <w:r>
        <w:rPr/>
        <w:t>二、形成审计意见的基础</w:t>
      </w:r>
    </w:p>
    <w:p>
      <w:pPr>
        <w:pStyle w:val="BodyText"/>
        <w:spacing w:line="364" w:lineRule="auto" w:before="89"/>
        <w:ind w:left="238" w:right="99" w:firstLine="513"/>
      </w:pPr>
      <w:r>
        <w:rPr>
          <w:spacing w:val="-3"/>
        </w:rPr>
        <w:t>我们按照中国注册会计师审计准则的规定执行了审计工作。审计报告的</w:t>
      </w:r>
      <w:r>
        <w:rPr>
          <w:rFonts w:ascii="Times New Roman" w:hAnsi="Times New Roman" w:eastAsia="Times New Roman"/>
        </w:rPr>
        <w:t>“</w:t>
      </w:r>
      <w:r>
        <w:rPr>
          <w:spacing w:val="-3"/>
        </w:rPr>
        <w:t>注册会计师对财务 报表审计的责任</w:t>
      </w:r>
      <w:r>
        <w:rPr>
          <w:rFonts w:ascii="Times New Roman" w:hAnsi="Times New Roman" w:eastAsia="Times New Roman"/>
        </w:rPr>
        <w:t>”</w:t>
      </w:r>
      <w:r>
        <w:rPr>
          <w:spacing w:val="-7"/>
        </w:rPr>
        <w:t>部分进一步阐述了我们在这些准则下的责任。按照中国注册会计师职业道德守则， </w:t>
      </w:r>
      <w:r>
        <w:rPr>
          <w:spacing w:val="-5"/>
        </w:rPr>
        <w:t>我们独立于海尔智家公司，并履行了职业道德方面的其他责任。我们相信，我们获取的审计证据 </w:t>
      </w:r>
      <w:r>
        <w:rPr>
          <w:spacing w:val="-4"/>
        </w:rPr>
        <w:t>是充分、适当的，为发表审计意见提供了基础。</w:t>
      </w:r>
    </w:p>
    <w:p>
      <w:pPr>
        <w:pStyle w:val="Heading4"/>
        <w:spacing w:line="316" w:lineRule="exact"/>
        <w:ind w:left="660"/>
      </w:pPr>
      <w:r>
        <w:rPr/>
        <w:t>三、关键审计事项</w:t>
      </w:r>
    </w:p>
    <w:p>
      <w:pPr>
        <w:pStyle w:val="BodyText"/>
        <w:spacing w:line="364" w:lineRule="auto" w:before="91"/>
        <w:ind w:left="238" w:right="308" w:firstLine="513"/>
        <w:jc w:val="both"/>
      </w:pPr>
      <w:r>
        <w:rPr>
          <w:spacing w:val="-7"/>
        </w:rPr>
        <w:t>关键审计事项是我们根据职业判断，认为对本期财务报表审计最为重要的事项。这些事项的</w:t>
      </w:r>
      <w:r>
        <w:rPr>
          <w:spacing w:val="-5"/>
        </w:rPr>
        <w:t>应对以对财务报表整体进行审计并形成审计意见为背景，我们不对这些事项单独发表意见。我们</w:t>
      </w:r>
      <w:r>
        <w:rPr>
          <w:spacing w:val="-4"/>
        </w:rPr>
        <w:t>确定下列事项是需要在审计报告中沟通的关键审计事项：</w:t>
      </w:r>
    </w:p>
    <w:tbl>
      <w:tblPr>
        <w:tblW w:w="0" w:type="auto"/>
        <w:jc w:val="left"/>
        <w:tblInd w:w="24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691"/>
        <w:gridCol w:w="4254"/>
      </w:tblGrid>
      <w:tr>
        <w:trPr>
          <w:trHeight w:val="272" w:hRule="atLeast"/>
        </w:trPr>
        <w:tc>
          <w:tcPr>
            <w:tcW w:w="4691" w:type="dxa"/>
            <w:tcBorders>
              <w:bottom w:val="single" w:sz="4" w:space="0" w:color="000000"/>
              <w:right w:val="single" w:sz="4" w:space="0" w:color="000000"/>
            </w:tcBorders>
            <w:shd w:val="clear" w:color="auto" w:fill="EDEBE0"/>
          </w:tcPr>
          <w:p>
            <w:pPr>
              <w:pStyle w:val="TableParagraph"/>
              <w:spacing w:line="253" w:lineRule="exact"/>
              <w:ind w:left="1694" w:right="1677"/>
              <w:jc w:val="center"/>
              <w:rPr>
                <w:rFonts w:ascii="宋体" w:eastAsia="宋体" w:hint="eastAsia"/>
                <w:sz w:val="21"/>
              </w:rPr>
            </w:pPr>
            <w:r>
              <w:rPr>
                <w:rFonts w:ascii="宋体" w:eastAsia="宋体" w:hint="eastAsia"/>
                <w:sz w:val="21"/>
              </w:rPr>
              <w:t>关键审计事项</w:t>
            </w:r>
          </w:p>
        </w:tc>
        <w:tc>
          <w:tcPr>
            <w:tcW w:w="4254" w:type="dxa"/>
            <w:tcBorders>
              <w:left w:val="single" w:sz="4" w:space="0" w:color="000000"/>
              <w:bottom w:val="single" w:sz="4" w:space="0" w:color="000000"/>
            </w:tcBorders>
            <w:shd w:val="clear" w:color="auto" w:fill="EDEBE0"/>
          </w:tcPr>
          <w:p>
            <w:pPr>
              <w:pStyle w:val="TableParagraph"/>
              <w:spacing w:line="253" w:lineRule="exact"/>
              <w:ind w:left="1485" w:right="1449"/>
              <w:jc w:val="center"/>
              <w:rPr>
                <w:rFonts w:ascii="宋体" w:eastAsia="宋体" w:hint="eastAsia"/>
                <w:sz w:val="21"/>
              </w:rPr>
            </w:pPr>
            <w:r>
              <w:rPr>
                <w:rFonts w:ascii="宋体" w:eastAsia="宋体" w:hint="eastAsia"/>
                <w:sz w:val="21"/>
              </w:rPr>
              <w:t>审计中的应对</w:t>
            </w:r>
          </w:p>
        </w:tc>
      </w:tr>
      <w:tr>
        <w:trPr>
          <w:trHeight w:val="506" w:hRule="atLeast"/>
        </w:trPr>
        <w:tc>
          <w:tcPr>
            <w:tcW w:w="8945" w:type="dxa"/>
            <w:gridSpan w:val="2"/>
            <w:tcBorders>
              <w:top w:val="single" w:sz="4" w:space="0" w:color="000000"/>
              <w:bottom w:val="single" w:sz="4" w:space="0" w:color="000000"/>
            </w:tcBorders>
          </w:tcPr>
          <w:p>
            <w:pPr>
              <w:pStyle w:val="TableParagraph"/>
              <w:spacing w:before="45"/>
              <w:ind w:left="105"/>
              <w:rPr>
                <w:rFonts w:ascii="Microsoft JhengHei" w:eastAsia="Microsoft JhengHei" w:hint="eastAsia"/>
                <w:b/>
                <w:sz w:val="21"/>
              </w:rPr>
            </w:pPr>
            <w:r>
              <w:rPr>
                <w:rFonts w:ascii="Microsoft JhengHei" w:eastAsia="Microsoft JhengHei" w:hint="eastAsia"/>
                <w:b/>
                <w:sz w:val="21"/>
              </w:rPr>
              <w:t>（一）商誉及使用寿命不确定无形资产的减值准备</w:t>
            </w:r>
          </w:p>
        </w:tc>
      </w:tr>
      <w:tr>
        <w:trPr>
          <w:trHeight w:val="2994" w:hRule="atLeast"/>
        </w:trPr>
        <w:tc>
          <w:tcPr>
            <w:tcW w:w="4691" w:type="dxa"/>
            <w:tcBorders>
              <w:top w:val="single" w:sz="4" w:space="0" w:color="000000"/>
              <w:right w:val="single" w:sz="4" w:space="0" w:color="000000"/>
            </w:tcBorders>
          </w:tcPr>
          <w:p>
            <w:pPr>
              <w:pStyle w:val="TableParagraph"/>
              <w:spacing w:line="242" w:lineRule="auto"/>
              <w:ind w:left="105" w:right="202" w:firstLine="419"/>
              <w:rPr>
                <w:rFonts w:ascii="宋体" w:eastAsia="宋体" w:hint="eastAsia"/>
                <w:sz w:val="21"/>
              </w:rPr>
            </w:pPr>
            <w:r>
              <w:rPr>
                <w:rFonts w:ascii="宋体" w:eastAsia="宋体" w:hint="eastAsia"/>
                <w:spacing w:val="-3"/>
                <w:sz w:val="21"/>
              </w:rPr>
              <w:t>参见财务报表附注五</w:t>
            </w:r>
            <w:r>
              <w:rPr>
                <w:sz w:val="21"/>
              </w:rPr>
              <w:t>.28 </w:t>
            </w:r>
            <w:r>
              <w:rPr>
                <w:rFonts w:ascii="宋体" w:eastAsia="宋体" w:hint="eastAsia"/>
                <w:spacing w:val="-5"/>
                <w:sz w:val="21"/>
              </w:rPr>
              <w:t>其他重要会计政策</w:t>
            </w:r>
            <w:r>
              <w:rPr>
                <w:rFonts w:ascii="宋体" w:eastAsia="宋体" w:hint="eastAsia"/>
                <w:spacing w:val="-3"/>
                <w:sz w:val="21"/>
              </w:rPr>
              <w:t>和会计估计与附注五</w:t>
            </w:r>
            <w:r>
              <w:rPr>
                <w:sz w:val="21"/>
              </w:rPr>
              <w:t>.19</w:t>
            </w:r>
            <w:r>
              <w:rPr>
                <w:spacing w:val="52"/>
                <w:sz w:val="21"/>
              </w:rPr>
              <w:t> </w:t>
            </w:r>
            <w:r>
              <w:rPr>
                <w:rFonts w:ascii="宋体" w:eastAsia="宋体" w:hint="eastAsia"/>
                <w:spacing w:val="-2"/>
                <w:sz w:val="21"/>
              </w:rPr>
              <w:t>长期资产减值</w:t>
            </w:r>
          </w:p>
          <w:p>
            <w:pPr>
              <w:pStyle w:val="TableParagraph"/>
              <w:ind w:left="524"/>
              <w:rPr>
                <w:rFonts w:ascii="宋体" w:eastAsia="宋体" w:hint="eastAsia"/>
                <w:sz w:val="21"/>
              </w:rPr>
            </w:pPr>
            <w:r>
              <w:rPr>
                <w:rFonts w:ascii="宋体" w:eastAsia="宋体" w:hint="eastAsia"/>
                <w:spacing w:val="-17"/>
                <w:sz w:val="21"/>
              </w:rPr>
              <w:t>截止 </w:t>
            </w:r>
            <w:r>
              <w:rPr>
                <w:sz w:val="21"/>
              </w:rPr>
              <w:t>2020 </w:t>
            </w:r>
            <w:r>
              <w:rPr>
                <w:rFonts w:ascii="宋体" w:eastAsia="宋体" w:hint="eastAsia"/>
                <w:spacing w:val="-26"/>
                <w:sz w:val="21"/>
              </w:rPr>
              <w:t>年 </w:t>
            </w:r>
            <w:r>
              <w:rPr>
                <w:sz w:val="21"/>
              </w:rPr>
              <w:t>12 </w:t>
            </w:r>
            <w:r>
              <w:rPr>
                <w:rFonts w:ascii="宋体" w:eastAsia="宋体" w:hint="eastAsia"/>
                <w:spacing w:val="-26"/>
                <w:sz w:val="21"/>
              </w:rPr>
              <w:t>月 </w:t>
            </w:r>
            <w:r>
              <w:rPr>
                <w:sz w:val="21"/>
              </w:rPr>
              <w:t>31 </w:t>
            </w:r>
            <w:r>
              <w:rPr>
                <w:rFonts w:ascii="宋体" w:eastAsia="宋体" w:hint="eastAsia"/>
                <w:spacing w:val="-8"/>
                <w:sz w:val="21"/>
              </w:rPr>
              <w:t>日，商誉的账面价值为</w:t>
            </w:r>
          </w:p>
          <w:p>
            <w:pPr>
              <w:pStyle w:val="TableParagraph"/>
              <w:spacing w:line="242" w:lineRule="auto" w:before="1"/>
              <w:ind w:left="105" w:right="85"/>
              <w:jc w:val="both"/>
              <w:rPr>
                <w:rFonts w:ascii="宋体" w:eastAsia="宋体" w:hint="eastAsia"/>
                <w:sz w:val="21"/>
              </w:rPr>
            </w:pPr>
            <w:r>
              <w:rPr>
                <w:sz w:val="21"/>
              </w:rPr>
              <w:t>225.18 </w:t>
            </w:r>
            <w:r>
              <w:rPr>
                <w:rFonts w:ascii="宋体" w:eastAsia="宋体" w:hint="eastAsia"/>
                <w:spacing w:val="-3"/>
                <w:sz w:val="21"/>
              </w:rPr>
              <w:t>亿元，使用寿命不确定无形资产的账面价</w:t>
            </w:r>
            <w:r>
              <w:rPr>
                <w:rFonts w:ascii="宋体" w:eastAsia="宋体" w:hint="eastAsia"/>
                <w:spacing w:val="-24"/>
                <w:sz w:val="21"/>
              </w:rPr>
              <w:t>值 </w:t>
            </w:r>
            <w:r>
              <w:rPr>
                <w:sz w:val="21"/>
              </w:rPr>
              <w:t>27.13 </w:t>
            </w:r>
            <w:r>
              <w:rPr>
                <w:rFonts w:ascii="宋体" w:eastAsia="宋体" w:hint="eastAsia"/>
                <w:spacing w:val="-12"/>
                <w:sz w:val="21"/>
              </w:rPr>
              <w:t>亿。无对应的资产减值准备。长期资产减</w:t>
            </w:r>
            <w:r>
              <w:rPr>
                <w:rFonts w:ascii="宋体" w:eastAsia="宋体" w:hint="eastAsia"/>
                <w:spacing w:val="-3"/>
                <w:sz w:val="21"/>
              </w:rPr>
              <w:t>值准备计提是否充分对财务报表影响较大。</w:t>
            </w:r>
          </w:p>
          <w:p>
            <w:pPr>
              <w:pStyle w:val="TableParagraph"/>
              <w:spacing w:line="242" w:lineRule="auto" w:before="3"/>
              <w:ind w:left="105" w:right="149" w:firstLine="419"/>
              <w:rPr>
                <w:rFonts w:ascii="宋体" w:eastAsia="宋体" w:hint="eastAsia"/>
                <w:sz w:val="21"/>
              </w:rPr>
            </w:pPr>
            <w:r>
              <w:rPr>
                <w:rFonts w:ascii="宋体" w:eastAsia="宋体" w:hint="eastAsia"/>
                <w:sz w:val="21"/>
              </w:rPr>
              <w:t>管理层确定资产组的使用价值时做出了重大判断，如：收入增长率、毛利率、折现率等。</w:t>
            </w:r>
          </w:p>
          <w:p>
            <w:pPr>
              <w:pStyle w:val="TableParagraph"/>
              <w:spacing w:line="242" w:lineRule="auto" w:before="1"/>
              <w:ind w:left="105" w:right="149" w:firstLine="419"/>
              <w:rPr>
                <w:rFonts w:ascii="宋体" w:eastAsia="宋体" w:hint="eastAsia"/>
                <w:sz w:val="21"/>
              </w:rPr>
            </w:pPr>
            <w:r>
              <w:rPr>
                <w:rFonts w:ascii="宋体" w:eastAsia="宋体" w:hint="eastAsia"/>
                <w:spacing w:val="-4"/>
                <w:sz w:val="21"/>
              </w:rPr>
              <w:t>鉴于商誉及使用寿命不确定无形资产的金额重大，且管理层需要做出重大判断，我们将商誉</w:t>
            </w:r>
          </w:p>
          <w:p>
            <w:pPr>
              <w:pStyle w:val="TableParagraph"/>
              <w:spacing w:line="253" w:lineRule="exact" w:before="1"/>
              <w:ind w:left="105"/>
              <w:rPr>
                <w:rFonts w:ascii="宋体" w:eastAsia="宋体" w:hint="eastAsia"/>
                <w:sz w:val="21"/>
              </w:rPr>
            </w:pPr>
            <w:r>
              <w:rPr>
                <w:rFonts w:ascii="宋体" w:eastAsia="宋体" w:hint="eastAsia"/>
                <w:spacing w:val="-3"/>
                <w:sz w:val="21"/>
              </w:rPr>
              <w:t>及使用寿命不确定无形资产的减值准备确定为关</w:t>
            </w:r>
          </w:p>
        </w:tc>
        <w:tc>
          <w:tcPr>
            <w:tcW w:w="4254" w:type="dxa"/>
            <w:tcBorders>
              <w:top w:val="single" w:sz="4" w:space="0" w:color="000000"/>
              <w:left w:val="single" w:sz="4" w:space="0" w:color="000000"/>
            </w:tcBorders>
          </w:tcPr>
          <w:p>
            <w:pPr>
              <w:pStyle w:val="TableParagraph"/>
              <w:spacing w:line="242" w:lineRule="auto"/>
              <w:ind w:left="116" w:right="120" w:firstLine="420"/>
              <w:rPr>
                <w:rFonts w:ascii="宋体" w:eastAsia="宋体" w:hint="eastAsia"/>
                <w:sz w:val="21"/>
              </w:rPr>
            </w:pPr>
            <w:r>
              <w:rPr>
                <w:rFonts w:ascii="宋体" w:eastAsia="宋体" w:hint="eastAsia"/>
                <w:sz w:val="21"/>
              </w:rPr>
              <w:t>我们针对商誉及使用寿命不确定无形资产减值准备主要实施了如下审计程序：</w:t>
            </w:r>
          </w:p>
          <w:p>
            <w:pPr>
              <w:pStyle w:val="TableParagraph"/>
              <w:numPr>
                <w:ilvl w:val="0"/>
                <w:numId w:val="26"/>
              </w:numPr>
              <w:tabs>
                <w:tab w:pos="1066" w:val="left" w:leader="none"/>
              </w:tabs>
              <w:spacing w:line="242" w:lineRule="auto" w:before="0" w:after="0"/>
              <w:ind w:left="116" w:right="75" w:firstLine="420"/>
              <w:jc w:val="both"/>
              <w:rPr>
                <w:rFonts w:ascii="宋体" w:eastAsia="宋体" w:hint="eastAsia"/>
                <w:sz w:val="21"/>
              </w:rPr>
            </w:pPr>
            <w:r>
              <w:rPr>
                <w:rFonts w:ascii="宋体" w:eastAsia="宋体" w:hint="eastAsia"/>
                <w:spacing w:val="-3"/>
                <w:sz w:val="21"/>
              </w:rPr>
              <w:t>将相关资产组本年度的实际经营</w:t>
            </w:r>
            <w:r>
              <w:rPr>
                <w:rFonts w:ascii="宋体" w:eastAsia="宋体" w:hint="eastAsia"/>
                <w:spacing w:val="-4"/>
                <w:sz w:val="21"/>
              </w:rPr>
              <w:t>成果与以前年度相应的预测数据进行了比较</w:t>
            </w:r>
            <w:r>
              <w:rPr>
                <w:rFonts w:ascii="宋体" w:eastAsia="宋体" w:hint="eastAsia"/>
                <w:spacing w:val="-3"/>
                <w:sz w:val="21"/>
              </w:rPr>
              <w:t>，以评价管理层对现金流量的预测是否可靠</w:t>
            </w:r>
            <w:r>
              <w:rPr>
                <w:rFonts w:ascii="宋体" w:eastAsia="宋体" w:hint="eastAsia"/>
                <w:sz w:val="21"/>
              </w:rPr>
              <w:t>；</w:t>
            </w:r>
          </w:p>
          <w:p>
            <w:pPr>
              <w:pStyle w:val="TableParagraph"/>
              <w:numPr>
                <w:ilvl w:val="0"/>
                <w:numId w:val="26"/>
              </w:numPr>
              <w:tabs>
                <w:tab w:pos="1066" w:val="left" w:leader="none"/>
              </w:tabs>
              <w:spacing w:line="244" w:lineRule="auto" w:before="0" w:after="0"/>
              <w:ind w:left="116" w:right="120" w:firstLine="420"/>
              <w:jc w:val="left"/>
              <w:rPr>
                <w:rFonts w:ascii="宋体" w:eastAsia="宋体" w:hint="eastAsia"/>
                <w:sz w:val="21"/>
              </w:rPr>
            </w:pPr>
            <w:r>
              <w:rPr>
                <w:rFonts w:ascii="宋体" w:eastAsia="宋体" w:hint="eastAsia"/>
                <w:spacing w:val="-3"/>
                <w:sz w:val="21"/>
              </w:rPr>
              <w:t>将现金流预测的输入值与历史数</w:t>
            </w:r>
            <w:r>
              <w:rPr>
                <w:rFonts w:ascii="宋体" w:eastAsia="宋体" w:hint="eastAsia"/>
                <w:spacing w:val="-4"/>
                <w:sz w:val="21"/>
              </w:rPr>
              <w:t>据，经审批的预算及运营计划进行了比对；</w:t>
            </w:r>
          </w:p>
          <w:p>
            <w:pPr>
              <w:pStyle w:val="TableParagraph"/>
              <w:numPr>
                <w:ilvl w:val="0"/>
                <w:numId w:val="26"/>
              </w:numPr>
              <w:tabs>
                <w:tab w:pos="1066" w:val="left" w:leader="none"/>
              </w:tabs>
              <w:spacing w:line="244" w:lineRule="auto" w:before="0" w:after="0"/>
              <w:ind w:left="116" w:right="75" w:firstLine="420"/>
              <w:jc w:val="left"/>
              <w:rPr>
                <w:rFonts w:ascii="宋体" w:eastAsia="宋体" w:hint="eastAsia"/>
                <w:sz w:val="21"/>
              </w:rPr>
            </w:pPr>
            <w:r>
              <w:rPr>
                <w:rFonts w:ascii="宋体" w:eastAsia="宋体" w:hint="eastAsia"/>
                <w:spacing w:val="-3"/>
                <w:sz w:val="21"/>
              </w:rPr>
              <w:t>测试了现金流量折现模型的计算准确性；</w:t>
            </w:r>
          </w:p>
          <w:p>
            <w:pPr>
              <w:pStyle w:val="TableParagraph"/>
              <w:numPr>
                <w:ilvl w:val="0"/>
                <w:numId w:val="26"/>
              </w:numPr>
              <w:tabs>
                <w:tab w:pos="529" w:val="left" w:leader="none"/>
              </w:tabs>
              <w:spacing w:line="265" w:lineRule="exact" w:before="0" w:after="0"/>
              <w:ind w:left="1065" w:right="75" w:hanging="1066"/>
              <w:jc w:val="right"/>
              <w:rPr>
                <w:rFonts w:ascii="宋体" w:eastAsia="宋体" w:hint="eastAsia"/>
                <w:sz w:val="21"/>
              </w:rPr>
            </w:pPr>
            <w:r>
              <w:rPr>
                <w:rFonts w:ascii="宋体" w:eastAsia="宋体" w:hint="eastAsia"/>
                <w:spacing w:val="-3"/>
                <w:sz w:val="21"/>
              </w:rPr>
              <w:t>评估了折现现金流量模型中的折</w:t>
            </w:r>
            <w:r>
              <w:rPr>
                <w:rFonts w:ascii="宋体" w:eastAsia="宋体" w:hint="eastAsia"/>
                <w:sz w:val="21"/>
              </w:rPr>
              <w:t>现</w:t>
            </w:r>
          </w:p>
          <w:p>
            <w:pPr>
              <w:pStyle w:val="TableParagraph"/>
              <w:spacing w:line="253" w:lineRule="exact"/>
              <w:ind w:right="120"/>
              <w:jc w:val="right"/>
              <w:rPr>
                <w:rFonts w:ascii="宋体" w:eastAsia="宋体" w:hint="eastAsia"/>
                <w:sz w:val="21"/>
              </w:rPr>
            </w:pPr>
            <w:r>
              <w:rPr>
                <w:rFonts w:ascii="宋体" w:eastAsia="宋体" w:hint="eastAsia"/>
                <w:sz w:val="21"/>
              </w:rPr>
              <w:t>率和永续增长率等参数的适当性。该评估是</w:t>
            </w:r>
          </w:p>
        </w:tc>
      </w:tr>
    </w:tbl>
    <w:p>
      <w:pPr>
        <w:spacing w:after="0" w:line="253" w:lineRule="exact"/>
        <w:jc w:val="right"/>
        <w:rPr>
          <w:rFonts w:ascii="宋体" w:eastAsia="宋体" w:hint="eastAsia"/>
          <w:sz w:val="21"/>
        </w:rPr>
        <w:sectPr>
          <w:pgSz w:w="11910" w:h="16840"/>
          <w:pgMar w:header="872" w:footer="1213" w:top="1440" w:bottom="1400" w:left="1560" w:right="960"/>
        </w:sectPr>
      </w:pPr>
    </w:p>
    <w:p>
      <w:pPr>
        <w:pStyle w:val="BodyText"/>
        <w:spacing w:before="2"/>
        <w:rPr>
          <w:sz w:val="5"/>
        </w:rPr>
      </w:pPr>
    </w:p>
    <w:tbl>
      <w:tblPr>
        <w:tblW w:w="0" w:type="auto"/>
        <w:jc w:val="left"/>
        <w:tblInd w:w="24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691"/>
        <w:gridCol w:w="4254"/>
      </w:tblGrid>
      <w:tr>
        <w:trPr>
          <w:trHeight w:val="558" w:hRule="atLeast"/>
        </w:trPr>
        <w:tc>
          <w:tcPr>
            <w:tcW w:w="4691" w:type="dxa"/>
            <w:tcBorders>
              <w:bottom w:val="single" w:sz="4" w:space="0" w:color="000000"/>
              <w:right w:val="single" w:sz="4" w:space="0" w:color="000000"/>
            </w:tcBorders>
          </w:tcPr>
          <w:p>
            <w:pPr>
              <w:pStyle w:val="TableParagraph"/>
              <w:spacing w:before="3"/>
              <w:ind w:left="105"/>
              <w:rPr>
                <w:rFonts w:ascii="宋体" w:eastAsia="宋体" w:hint="eastAsia"/>
                <w:sz w:val="21"/>
              </w:rPr>
            </w:pPr>
            <w:r>
              <w:rPr>
                <w:rFonts w:ascii="宋体" w:eastAsia="宋体" w:hint="eastAsia"/>
                <w:sz w:val="21"/>
              </w:rPr>
              <w:t>键审计事项。</w:t>
            </w:r>
          </w:p>
        </w:tc>
        <w:tc>
          <w:tcPr>
            <w:tcW w:w="4254" w:type="dxa"/>
            <w:tcBorders>
              <w:left w:val="single" w:sz="4" w:space="0" w:color="000000"/>
              <w:bottom w:val="single" w:sz="4" w:space="0" w:color="000000"/>
            </w:tcBorders>
          </w:tcPr>
          <w:p>
            <w:pPr>
              <w:pStyle w:val="TableParagraph"/>
              <w:spacing w:before="3"/>
              <w:ind w:left="116"/>
              <w:rPr>
                <w:rFonts w:ascii="宋体" w:eastAsia="宋体" w:hint="eastAsia"/>
                <w:sz w:val="21"/>
              </w:rPr>
            </w:pPr>
            <w:r>
              <w:rPr>
                <w:rFonts w:ascii="宋体" w:eastAsia="宋体" w:hint="eastAsia"/>
                <w:sz w:val="21"/>
              </w:rPr>
              <w:t>基于我们对公司业务和所处行业的了解。</w:t>
            </w:r>
          </w:p>
        </w:tc>
      </w:tr>
      <w:tr>
        <w:trPr>
          <w:trHeight w:val="299" w:hRule="atLeast"/>
        </w:trPr>
        <w:tc>
          <w:tcPr>
            <w:tcW w:w="8945" w:type="dxa"/>
            <w:gridSpan w:val="2"/>
            <w:tcBorders>
              <w:top w:val="single" w:sz="4" w:space="0" w:color="000000"/>
              <w:bottom w:val="single" w:sz="4" w:space="0" w:color="000000"/>
            </w:tcBorders>
          </w:tcPr>
          <w:p>
            <w:pPr>
              <w:pStyle w:val="TableParagraph"/>
              <w:spacing w:line="280" w:lineRule="exact"/>
              <w:ind w:left="105"/>
              <w:rPr>
                <w:rFonts w:ascii="Microsoft JhengHei" w:eastAsia="Microsoft JhengHei" w:hint="eastAsia"/>
                <w:b/>
                <w:sz w:val="21"/>
              </w:rPr>
            </w:pPr>
            <w:r>
              <w:rPr>
                <w:rFonts w:ascii="Microsoft JhengHei" w:eastAsia="Microsoft JhengHei" w:hint="eastAsia"/>
                <w:b/>
                <w:sz w:val="21"/>
              </w:rPr>
              <w:t>（二）存货跌价准备</w:t>
            </w:r>
          </w:p>
        </w:tc>
      </w:tr>
      <w:tr>
        <w:trPr>
          <w:trHeight w:val="1356" w:hRule="atLeast"/>
        </w:trPr>
        <w:tc>
          <w:tcPr>
            <w:tcW w:w="4691" w:type="dxa"/>
            <w:tcBorders>
              <w:top w:val="single" w:sz="4" w:space="0" w:color="000000"/>
              <w:bottom w:val="nil"/>
              <w:right w:val="single" w:sz="4" w:space="0" w:color="000000"/>
            </w:tcBorders>
          </w:tcPr>
          <w:p>
            <w:pPr>
              <w:pStyle w:val="TableParagraph"/>
              <w:spacing w:before="1"/>
              <w:ind w:left="524"/>
              <w:jc w:val="both"/>
              <w:rPr>
                <w:rFonts w:ascii="宋体" w:eastAsia="宋体" w:hint="eastAsia"/>
                <w:sz w:val="21"/>
              </w:rPr>
            </w:pPr>
            <w:r>
              <w:rPr>
                <w:rFonts w:ascii="宋体" w:eastAsia="宋体" w:hint="eastAsia"/>
                <w:spacing w:val="-3"/>
                <w:sz w:val="21"/>
              </w:rPr>
              <w:t>参见财务报表附注七</w:t>
            </w:r>
            <w:r>
              <w:rPr>
                <w:sz w:val="21"/>
              </w:rPr>
              <w:t>.8</w:t>
            </w:r>
            <w:r>
              <w:rPr>
                <w:spacing w:val="51"/>
                <w:sz w:val="21"/>
              </w:rPr>
              <w:t> </w:t>
            </w:r>
            <w:r>
              <w:rPr>
                <w:rFonts w:ascii="宋体" w:eastAsia="宋体" w:hint="eastAsia"/>
                <w:spacing w:val="-3"/>
                <w:sz w:val="21"/>
              </w:rPr>
              <w:t>存货</w:t>
            </w:r>
          </w:p>
          <w:p>
            <w:pPr>
              <w:pStyle w:val="TableParagraph"/>
              <w:spacing w:line="242" w:lineRule="auto" w:before="4"/>
              <w:ind w:left="105" w:right="-29" w:firstLine="419"/>
              <w:jc w:val="both"/>
              <w:rPr>
                <w:rFonts w:ascii="宋体" w:eastAsia="宋体" w:hint="eastAsia"/>
                <w:sz w:val="21"/>
              </w:rPr>
            </w:pPr>
            <w:r>
              <w:rPr>
                <w:rFonts w:ascii="宋体" w:eastAsia="宋体" w:hint="eastAsia"/>
                <w:spacing w:val="-3"/>
                <w:sz w:val="21"/>
              </w:rPr>
              <w:t>公司存货按照成本与可变现净值孰低计量。 截至</w:t>
            </w:r>
            <w:r>
              <w:rPr>
                <w:spacing w:val="-3"/>
                <w:sz w:val="21"/>
              </w:rPr>
              <w:t>2020</w:t>
            </w:r>
            <w:r>
              <w:rPr>
                <w:rFonts w:ascii="宋体" w:eastAsia="宋体" w:hint="eastAsia"/>
                <w:spacing w:val="-3"/>
                <w:sz w:val="21"/>
              </w:rPr>
              <w:t>年</w:t>
            </w:r>
            <w:r>
              <w:rPr>
                <w:sz w:val="21"/>
              </w:rPr>
              <w:t>12</w:t>
            </w:r>
            <w:r>
              <w:rPr>
                <w:rFonts w:ascii="宋体" w:eastAsia="宋体" w:hint="eastAsia"/>
                <w:spacing w:val="-3"/>
                <w:sz w:val="21"/>
              </w:rPr>
              <w:t>月</w:t>
            </w:r>
            <w:r>
              <w:rPr>
                <w:sz w:val="21"/>
              </w:rPr>
              <w:t>31</w:t>
            </w:r>
            <w:r>
              <w:rPr>
                <w:rFonts w:ascii="宋体" w:eastAsia="宋体" w:hint="eastAsia"/>
                <w:spacing w:val="-10"/>
                <w:sz w:val="21"/>
              </w:rPr>
              <w:t>日，存货余额为</w:t>
            </w:r>
            <w:r>
              <w:rPr>
                <w:sz w:val="21"/>
              </w:rPr>
              <w:t>307.36</w:t>
            </w:r>
            <w:r>
              <w:rPr>
                <w:rFonts w:ascii="宋体" w:eastAsia="宋体" w:hint="eastAsia"/>
                <w:spacing w:val="-14"/>
                <w:sz w:val="21"/>
              </w:rPr>
              <w:t>亿元，存</w:t>
            </w:r>
            <w:r>
              <w:rPr>
                <w:rFonts w:ascii="宋体" w:eastAsia="宋体" w:hint="eastAsia"/>
                <w:spacing w:val="-3"/>
                <w:sz w:val="21"/>
              </w:rPr>
              <w:t>货跌价准备为</w:t>
            </w:r>
            <w:r>
              <w:rPr>
                <w:sz w:val="21"/>
              </w:rPr>
              <w:t>12.89</w:t>
            </w:r>
            <w:r>
              <w:rPr>
                <w:rFonts w:ascii="宋体" w:eastAsia="宋体" w:hint="eastAsia"/>
                <w:spacing w:val="-7"/>
                <w:sz w:val="21"/>
              </w:rPr>
              <w:t>亿元，账面价值为</w:t>
            </w:r>
            <w:r>
              <w:rPr>
                <w:sz w:val="21"/>
              </w:rPr>
              <w:t>294.47</w:t>
            </w:r>
            <w:r>
              <w:rPr>
                <w:rFonts w:ascii="宋体" w:eastAsia="宋体" w:hint="eastAsia"/>
                <w:spacing w:val="-2"/>
                <w:sz w:val="21"/>
              </w:rPr>
              <w:t>亿元，</w:t>
            </w:r>
          </w:p>
          <w:p>
            <w:pPr>
              <w:pStyle w:val="TableParagraph"/>
              <w:spacing w:line="246" w:lineRule="exact" w:before="1"/>
              <w:ind w:left="105"/>
              <w:rPr>
                <w:rFonts w:ascii="宋体" w:eastAsia="宋体" w:hint="eastAsia"/>
                <w:sz w:val="21"/>
              </w:rPr>
            </w:pPr>
            <w:r>
              <w:rPr>
                <w:rFonts w:ascii="宋体" w:eastAsia="宋体" w:hint="eastAsia"/>
                <w:sz w:val="21"/>
              </w:rPr>
              <w:t>存货跌价准备计提是否充分准确对财务报表影响</w:t>
            </w:r>
          </w:p>
        </w:tc>
        <w:tc>
          <w:tcPr>
            <w:tcW w:w="4254" w:type="dxa"/>
            <w:vMerge w:val="restart"/>
            <w:tcBorders>
              <w:top w:val="single" w:sz="4" w:space="0" w:color="000000"/>
              <w:left w:val="single" w:sz="4" w:space="0" w:color="000000"/>
              <w:bottom w:val="single" w:sz="4" w:space="0" w:color="000000"/>
            </w:tcBorders>
          </w:tcPr>
          <w:p>
            <w:pPr>
              <w:pStyle w:val="TableParagraph"/>
              <w:spacing w:before="5"/>
              <w:rPr>
                <w:rFonts w:ascii="宋体"/>
                <w:sz w:val="21"/>
              </w:rPr>
            </w:pPr>
          </w:p>
          <w:p>
            <w:pPr>
              <w:pStyle w:val="TableParagraph"/>
              <w:spacing w:line="242" w:lineRule="auto"/>
              <w:ind w:left="116" w:right="120" w:firstLine="420"/>
              <w:rPr>
                <w:rFonts w:ascii="宋体" w:eastAsia="宋体" w:hint="eastAsia"/>
                <w:sz w:val="21"/>
              </w:rPr>
            </w:pPr>
            <w:r>
              <w:rPr>
                <w:rFonts w:ascii="宋体" w:eastAsia="宋体" w:hint="eastAsia"/>
                <w:sz w:val="21"/>
              </w:rPr>
              <w:t>我们针对存货跌价准备主要实施了如下审计程序：</w:t>
            </w:r>
          </w:p>
          <w:p>
            <w:pPr>
              <w:pStyle w:val="TableParagraph"/>
              <w:numPr>
                <w:ilvl w:val="0"/>
                <w:numId w:val="27"/>
              </w:numPr>
              <w:tabs>
                <w:tab w:pos="646" w:val="left" w:leader="none"/>
              </w:tabs>
              <w:spacing w:line="242" w:lineRule="auto" w:before="2" w:after="0"/>
              <w:ind w:left="116" w:right="75" w:firstLine="0"/>
              <w:jc w:val="both"/>
              <w:rPr>
                <w:rFonts w:ascii="宋体" w:eastAsia="宋体" w:hint="eastAsia"/>
                <w:sz w:val="21"/>
              </w:rPr>
            </w:pPr>
            <w:r>
              <w:rPr>
                <w:rFonts w:ascii="宋体" w:eastAsia="宋体" w:hint="eastAsia"/>
                <w:spacing w:val="-5"/>
                <w:sz w:val="21"/>
              </w:rPr>
              <w:t>获取了公司存货跌价准备的计算表， </w:t>
            </w:r>
            <w:r>
              <w:rPr>
                <w:rFonts w:ascii="宋体" w:eastAsia="宋体" w:hint="eastAsia"/>
                <w:spacing w:val="-4"/>
                <w:sz w:val="21"/>
              </w:rPr>
              <w:t>抽取部分型号产品比较其在该表中记载的状</w:t>
            </w:r>
            <w:r>
              <w:rPr>
                <w:rFonts w:ascii="宋体" w:eastAsia="宋体" w:hint="eastAsia"/>
                <w:spacing w:val="-3"/>
                <w:sz w:val="21"/>
              </w:rPr>
              <w:t>况和库龄与通过监盘获知的情况是否相符；</w:t>
            </w:r>
          </w:p>
          <w:p>
            <w:pPr>
              <w:pStyle w:val="TableParagraph"/>
              <w:numPr>
                <w:ilvl w:val="0"/>
                <w:numId w:val="27"/>
              </w:numPr>
              <w:tabs>
                <w:tab w:pos="646" w:val="left" w:leader="none"/>
              </w:tabs>
              <w:spacing w:line="244" w:lineRule="auto" w:before="0" w:after="0"/>
              <w:ind w:left="116" w:right="75" w:firstLine="0"/>
              <w:jc w:val="left"/>
              <w:rPr>
                <w:rFonts w:ascii="宋体" w:eastAsia="宋体" w:hint="eastAsia"/>
                <w:sz w:val="21"/>
              </w:rPr>
            </w:pPr>
            <w:r>
              <w:rPr>
                <w:rFonts w:ascii="宋体" w:eastAsia="宋体" w:hint="eastAsia"/>
                <w:spacing w:val="-3"/>
                <w:sz w:val="21"/>
              </w:rPr>
              <w:t>将管理层估计的主要参数与历史数据</w:t>
            </w:r>
            <w:r>
              <w:rPr>
                <w:rFonts w:ascii="宋体" w:eastAsia="宋体" w:hint="eastAsia"/>
                <w:spacing w:val="-4"/>
                <w:sz w:val="21"/>
              </w:rPr>
              <w:t>进行比对，并评估其适当性；</w:t>
            </w:r>
          </w:p>
          <w:p>
            <w:pPr>
              <w:pStyle w:val="TableParagraph"/>
              <w:numPr>
                <w:ilvl w:val="0"/>
                <w:numId w:val="27"/>
              </w:numPr>
              <w:tabs>
                <w:tab w:pos="646" w:val="left" w:leader="none"/>
              </w:tabs>
              <w:spacing w:line="242" w:lineRule="auto" w:before="0" w:after="0"/>
              <w:ind w:left="116" w:right="17" w:firstLine="0"/>
              <w:jc w:val="left"/>
              <w:rPr>
                <w:rFonts w:ascii="宋体" w:eastAsia="宋体" w:hint="eastAsia"/>
                <w:sz w:val="21"/>
              </w:rPr>
            </w:pPr>
            <w:r>
              <w:rPr>
                <w:rFonts w:ascii="宋体" w:eastAsia="宋体" w:hint="eastAsia"/>
                <w:spacing w:val="-4"/>
                <w:sz w:val="21"/>
              </w:rPr>
              <w:t>对管理层估计的预计售价进行了评估， </w:t>
            </w:r>
            <w:r>
              <w:rPr>
                <w:rFonts w:ascii="宋体" w:eastAsia="宋体" w:hint="eastAsia"/>
                <w:spacing w:val="-3"/>
                <w:sz w:val="21"/>
              </w:rPr>
              <w:t>并抽取部分存货与资产负债表日后的实际售价进行了核对；</w:t>
            </w:r>
          </w:p>
          <w:p>
            <w:pPr>
              <w:pStyle w:val="TableParagraph"/>
              <w:numPr>
                <w:ilvl w:val="0"/>
                <w:numId w:val="27"/>
              </w:numPr>
              <w:tabs>
                <w:tab w:pos="646" w:val="left" w:leader="none"/>
              </w:tabs>
              <w:spacing w:line="242" w:lineRule="auto" w:before="0" w:after="0"/>
              <w:ind w:left="116" w:right="75" w:firstLine="0"/>
              <w:jc w:val="left"/>
              <w:rPr>
                <w:rFonts w:ascii="宋体" w:eastAsia="宋体" w:hint="eastAsia"/>
                <w:sz w:val="21"/>
              </w:rPr>
            </w:pPr>
            <w:r>
              <w:rPr>
                <w:rFonts w:ascii="宋体" w:eastAsia="宋体" w:hint="eastAsia"/>
                <w:spacing w:val="-3"/>
                <w:sz w:val="21"/>
              </w:rPr>
              <w:t>对管理层估计的销售费用和相关税费</w:t>
            </w:r>
            <w:r>
              <w:rPr>
                <w:rFonts w:ascii="宋体" w:eastAsia="宋体" w:hint="eastAsia"/>
                <w:spacing w:val="-4"/>
                <w:sz w:val="21"/>
              </w:rPr>
              <w:t>率进行了评估，并与实际发生额进行了核对</w:t>
            </w:r>
            <w:r>
              <w:rPr>
                <w:rFonts w:ascii="宋体" w:eastAsia="宋体" w:hint="eastAsia"/>
                <w:sz w:val="21"/>
              </w:rPr>
              <w:t>。</w:t>
            </w:r>
          </w:p>
        </w:tc>
      </w:tr>
      <w:tr>
        <w:trPr>
          <w:trHeight w:val="534" w:hRule="atLeast"/>
        </w:trPr>
        <w:tc>
          <w:tcPr>
            <w:tcW w:w="4691" w:type="dxa"/>
            <w:tcBorders>
              <w:top w:val="nil"/>
              <w:bottom w:val="nil"/>
              <w:right w:val="single" w:sz="4" w:space="0" w:color="000000"/>
            </w:tcBorders>
          </w:tcPr>
          <w:p>
            <w:pPr>
              <w:pStyle w:val="TableParagraph"/>
              <w:spacing w:line="267" w:lineRule="exact"/>
              <w:ind w:left="105"/>
              <w:rPr>
                <w:rFonts w:ascii="宋体" w:eastAsia="宋体" w:hint="eastAsia"/>
                <w:sz w:val="21"/>
              </w:rPr>
            </w:pPr>
            <w:r>
              <w:rPr>
                <w:rFonts w:ascii="宋体" w:eastAsia="宋体" w:hint="eastAsia"/>
                <w:sz w:val="21"/>
              </w:rPr>
              <w:t>较大。</w:t>
            </w:r>
          </w:p>
          <w:p>
            <w:pPr>
              <w:pStyle w:val="TableParagraph"/>
              <w:spacing w:line="246" w:lineRule="exact" w:before="2"/>
              <w:ind w:left="524"/>
              <w:rPr>
                <w:rFonts w:ascii="宋体" w:eastAsia="宋体" w:hint="eastAsia"/>
                <w:sz w:val="21"/>
              </w:rPr>
            </w:pPr>
            <w:r>
              <w:rPr>
                <w:rFonts w:ascii="宋体" w:eastAsia="宋体" w:hint="eastAsia"/>
                <w:sz w:val="21"/>
              </w:rPr>
              <w:t>公司以存货的估计售价减去估计的销售费用</w:t>
            </w:r>
          </w:p>
        </w:tc>
        <w:tc>
          <w:tcPr>
            <w:tcW w:w="4254" w:type="dxa"/>
            <w:vMerge/>
            <w:tcBorders>
              <w:top w:val="nil"/>
              <w:left w:val="single" w:sz="4" w:space="0" w:color="000000"/>
              <w:bottom w:val="single" w:sz="4" w:space="0" w:color="000000"/>
            </w:tcBorders>
          </w:tcPr>
          <w:p>
            <w:pPr>
              <w:rPr>
                <w:sz w:val="2"/>
                <w:szCs w:val="2"/>
              </w:rPr>
            </w:pPr>
          </w:p>
        </w:tc>
      </w:tr>
      <w:tr>
        <w:trPr>
          <w:trHeight w:val="534" w:hRule="atLeast"/>
        </w:trPr>
        <w:tc>
          <w:tcPr>
            <w:tcW w:w="4691" w:type="dxa"/>
            <w:tcBorders>
              <w:top w:val="nil"/>
              <w:bottom w:val="nil"/>
              <w:right w:val="single" w:sz="4" w:space="0" w:color="000000"/>
            </w:tcBorders>
          </w:tcPr>
          <w:p>
            <w:pPr>
              <w:pStyle w:val="TableParagraph"/>
              <w:spacing w:line="267" w:lineRule="exact"/>
              <w:ind w:left="105"/>
              <w:rPr>
                <w:rFonts w:ascii="宋体" w:eastAsia="宋体" w:hint="eastAsia"/>
                <w:sz w:val="21"/>
              </w:rPr>
            </w:pPr>
            <w:r>
              <w:rPr>
                <w:rFonts w:ascii="宋体" w:eastAsia="宋体" w:hint="eastAsia"/>
                <w:sz w:val="21"/>
              </w:rPr>
              <w:t>和相关税费后的金额确定可变现净值。</w:t>
            </w:r>
          </w:p>
          <w:p>
            <w:pPr>
              <w:pStyle w:val="TableParagraph"/>
              <w:spacing w:line="246" w:lineRule="exact" w:before="2"/>
              <w:ind w:left="524"/>
              <w:rPr>
                <w:rFonts w:ascii="宋体" w:eastAsia="宋体" w:hint="eastAsia"/>
                <w:sz w:val="21"/>
              </w:rPr>
            </w:pPr>
            <w:r>
              <w:rPr>
                <w:rFonts w:ascii="宋体" w:eastAsia="宋体" w:hint="eastAsia"/>
                <w:sz w:val="21"/>
              </w:rPr>
              <w:t>管理层以存货的状态估计其预计售价，在估</w:t>
            </w:r>
          </w:p>
        </w:tc>
        <w:tc>
          <w:tcPr>
            <w:tcW w:w="4254" w:type="dxa"/>
            <w:vMerge/>
            <w:tcBorders>
              <w:top w:val="nil"/>
              <w:left w:val="single" w:sz="4" w:space="0" w:color="000000"/>
              <w:bottom w:val="single" w:sz="4" w:space="0" w:color="000000"/>
            </w:tcBorders>
          </w:tcPr>
          <w:p>
            <w:pPr>
              <w:rPr>
                <w:sz w:val="2"/>
                <w:szCs w:val="2"/>
              </w:rPr>
            </w:pPr>
          </w:p>
        </w:tc>
      </w:tr>
      <w:tr>
        <w:trPr>
          <w:trHeight w:val="262" w:hRule="atLeast"/>
        </w:trPr>
        <w:tc>
          <w:tcPr>
            <w:tcW w:w="4691" w:type="dxa"/>
            <w:tcBorders>
              <w:top w:val="nil"/>
              <w:bottom w:val="nil"/>
              <w:right w:val="single" w:sz="4" w:space="0" w:color="000000"/>
            </w:tcBorders>
          </w:tcPr>
          <w:p>
            <w:pPr>
              <w:pStyle w:val="TableParagraph"/>
              <w:spacing w:line="243" w:lineRule="exact"/>
              <w:ind w:left="105"/>
              <w:rPr>
                <w:rFonts w:ascii="宋体" w:eastAsia="宋体" w:hint="eastAsia"/>
                <w:sz w:val="21"/>
              </w:rPr>
            </w:pPr>
            <w:r>
              <w:rPr>
                <w:rFonts w:ascii="宋体" w:eastAsia="宋体" w:hint="eastAsia"/>
                <w:sz w:val="21"/>
              </w:rPr>
              <w:t>计过程中管理层需要运用重大判断，如：存货状</w:t>
            </w:r>
          </w:p>
        </w:tc>
        <w:tc>
          <w:tcPr>
            <w:tcW w:w="4254" w:type="dxa"/>
            <w:vMerge/>
            <w:tcBorders>
              <w:top w:val="nil"/>
              <w:left w:val="single" w:sz="4" w:space="0" w:color="000000"/>
              <w:bottom w:val="single" w:sz="4" w:space="0" w:color="000000"/>
            </w:tcBorders>
          </w:tcPr>
          <w:p>
            <w:pPr>
              <w:rPr>
                <w:sz w:val="2"/>
                <w:szCs w:val="2"/>
              </w:rPr>
            </w:pPr>
          </w:p>
        </w:tc>
      </w:tr>
      <w:tr>
        <w:trPr>
          <w:trHeight w:val="262" w:hRule="atLeast"/>
        </w:trPr>
        <w:tc>
          <w:tcPr>
            <w:tcW w:w="4691" w:type="dxa"/>
            <w:tcBorders>
              <w:top w:val="nil"/>
              <w:bottom w:val="nil"/>
              <w:right w:val="single" w:sz="4" w:space="0" w:color="000000"/>
            </w:tcBorders>
          </w:tcPr>
          <w:p>
            <w:pPr>
              <w:pStyle w:val="TableParagraph"/>
              <w:spacing w:line="243" w:lineRule="exact"/>
              <w:ind w:left="105"/>
              <w:rPr>
                <w:rFonts w:ascii="宋体" w:eastAsia="宋体" w:hint="eastAsia"/>
                <w:sz w:val="21"/>
              </w:rPr>
            </w:pPr>
            <w:r>
              <w:rPr>
                <w:rFonts w:ascii="宋体" w:eastAsia="宋体" w:hint="eastAsia"/>
                <w:sz w:val="21"/>
              </w:rPr>
              <w:t>态、修复率、折价率等。</w:t>
            </w:r>
          </w:p>
        </w:tc>
        <w:tc>
          <w:tcPr>
            <w:tcW w:w="4254" w:type="dxa"/>
            <w:vMerge/>
            <w:tcBorders>
              <w:top w:val="nil"/>
              <w:left w:val="single" w:sz="4" w:space="0" w:color="000000"/>
              <w:bottom w:val="single" w:sz="4" w:space="0" w:color="000000"/>
            </w:tcBorders>
          </w:tcPr>
          <w:p>
            <w:pPr>
              <w:rPr>
                <w:sz w:val="2"/>
                <w:szCs w:val="2"/>
              </w:rPr>
            </w:pPr>
          </w:p>
        </w:tc>
      </w:tr>
      <w:tr>
        <w:trPr>
          <w:trHeight w:val="534" w:hRule="atLeast"/>
        </w:trPr>
        <w:tc>
          <w:tcPr>
            <w:tcW w:w="4691" w:type="dxa"/>
            <w:tcBorders>
              <w:top w:val="nil"/>
              <w:bottom w:val="nil"/>
              <w:right w:val="single" w:sz="4" w:space="0" w:color="000000"/>
            </w:tcBorders>
          </w:tcPr>
          <w:p>
            <w:pPr>
              <w:pStyle w:val="TableParagraph"/>
              <w:spacing w:line="267" w:lineRule="exact"/>
              <w:ind w:right="149"/>
              <w:jc w:val="right"/>
              <w:rPr>
                <w:rFonts w:ascii="宋体" w:eastAsia="宋体" w:hint="eastAsia"/>
                <w:sz w:val="21"/>
              </w:rPr>
            </w:pPr>
            <w:r>
              <w:rPr>
                <w:rFonts w:ascii="宋体" w:eastAsia="宋体" w:hint="eastAsia"/>
                <w:spacing w:val="-3"/>
                <w:sz w:val="21"/>
              </w:rPr>
              <w:t>鉴于存货的金额重大，且管理层需要做出重</w:t>
            </w:r>
          </w:p>
          <w:p>
            <w:pPr>
              <w:pStyle w:val="TableParagraph"/>
              <w:spacing w:line="246" w:lineRule="exact" w:before="2"/>
              <w:ind w:right="149"/>
              <w:jc w:val="right"/>
              <w:rPr>
                <w:rFonts w:ascii="宋体" w:eastAsia="宋体" w:hint="eastAsia"/>
                <w:sz w:val="21"/>
              </w:rPr>
            </w:pPr>
            <w:r>
              <w:rPr>
                <w:rFonts w:ascii="宋体" w:eastAsia="宋体" w:hint="eastAsia"/>
                <w:spacing w:val="-3"/>
                <w:sz w:val="21"/>
              </w:rPr>
              <w:t>大判断，因此我们将存货跌价准备作为关键审计</w:t>
            </w:r>
          </w:p>
        </w:tc>
        <w:tc>
          <w:tcPr>
            <w:tcW w:w="4254" w:type="dxa"/>
            <w:vMerge/>
            <w:tcBorders>
              <w:top w:val="nil"/>
              <w:left w:val="single" w:sz="4" w:space="0" w:color="000000"/>
              <w:bottom w:val="single" w:sz="4" w:space="0" w:color="000000"/>
            </w:tcBorders>
          </w:tcPr>
          <w:p>
            <w:pPr>
              <w:rPr>
                <w:sz w:val="2"/>
                <w:szCs w:val="2"/>
              </w:rPr>
            </w:pPr>
          </w:p>
        </w:tc>
      </w:tr>
      <w:tr>
        <w:trPr>
          <w:trHeight w:val="267" w:hRule="atLeast"/>
        </w:trPr>
        <w:tc>
          <w:tcPr>
            <w:tcW w:w="4691" w:type="dxa"/>
            <w:tcBorders>
              <w:top w:val="nil"/>
              <w:bottom w:val="single" w:sz="4" w:space="0" w:color="000000"/>
              <w:right w:val="single" w:sz="4" w:space="0" w:color="000000"/>
            </w:tcBorders>
          </w:tcPr>
          <w:p>
            <w:pPr>
              <w:pStyle w:val="TableParagraph"/>
              <w:spacing w:line="247" w:lineRule="exact"/>
              <w:ind w:left="105"/>
              <w:rPr>
                <w:rFonts w:ascii="宋体" w:eastAsia="宋体" w:hint="eastAsia"/>
                <w:sz w:val="21"/>
              </w:rPr>
            </w:pPr>
            <w:r>
              <w:rPr>
                <w:rFonts w:ascii="宋体" w:eastAsia="宋体" w:hint="eastAsia"/>
                <w:sz w:val="21"/>
              </w:rPr>
              <w:t>事项。</w:t>
            </w:r>
          </w:p>
        </w:tc>
        <w:tc>
          <w:tcPr>
            <w:tcW w:w="4254" w:type="dxa"/>
            <w:vMerge/>
            <w:tcBorders>
              <w:top w:val="nil"/>
              <w:left w:val="single" w:sz="4" w:space="0" w:color="000000"/>
              <w:bottom w:val="single" w:sz="4" w:space="0" w:color="000000"/>
            </w:tcBorders>
          </w:tcPr>
          <w:p>
            <w:pPr>
              <w:rPr>
                <w:sz w:val="2"/>
                <w:szCs w:val="2"/>
              </w:rPr>
            </w:pPr>
          </w:p>
        </w:tc>
      </w:tr>
      <w:tr>
        <w:trPr>
          <w:trHeight w:val="299" w:hRule="atLeast"/>
        </w:trPr>
        <w:tc>
          <w:tcPr>
            <w:tcW w:w="8945" w:type="dxa"/>
            <w:gridSpan w:val="2"/>
            <w:tcBorders>
              <w:top w:val="single" w:sz="4" w:space="0" w:color="000000"/>
              <w:bottom w:val="single" w:sz="4" w:space="0" w:color="000000"/>
            </w:tcBorders>
          </w:tcPr>
          <w:p>
            <w:pPr>
              <w:pStyle w:val="TableParagraph"/>
              <w:spacing w:line="280" w:lineRule="exact"/>
              <w:ind w:left="105"/>
              <w:rPr>
                <w:rFonts w:ascii="Microsoft JhengHei" w:eastAsia="Microsoft JhengHei" w:hint="eastAsia"/>
                <w:b/>
                <w:sz w:val="21"/>
              </w:rPr>
            </w:pPr>
            <w:r>
              <w:rPr>
                <w:rFonts w:ascii="Microsoft JhengHei" w:eastAsia="Microsoft JhengHei" w:hint="eastAsia"/>
                <w:b/>
                <w:sz w:val="21"/>
              </w:rPr>
              <w:t>（三）产品质量保证</w:t>
            </w:r>
          </w:p>
        </w:tc>
      </w:tr>
      <w:tr>
        <w:trPr>
          <w:trHeight w:val="1891" w:hRule="atLeast"/>
        </w:trPr>
        <w:tc>
          <w:tcPr>
            <w:tcW w:w="4691" w:type="dxa"/>
            <w:tcBorders>
              <w:top w:val="single" w:sz="4" w:space="0" w:color="000000"/>
              <w:bottom w:val="nil"/>
              <w:right w:val="single" w:sz="4" w:space="0" w:color="000000"/>
            </w:tcBorders>
          </w:tcPr>
          <w:p>
            <w:pPr>
              <w:pStyle w:val="TableParagraph"/>
              <w:spacing w:line="244" w:lineRule="auto" w:before="1"/>
              <w:ind w:left="105" w:right="202" w:firstLine="419"/>
              <w:jc w:val="both"/>
              <w:rPr>
                <w:rFonts w:ascii="宋体" w:eastAsia="宋体" w:hint="eastAsia"/>
                <w:sz w:val="21"/>
              </w:rPr>
            </w:pPr>
            <w:r>
              <w:rPr>
                <w:rFonts w:ascii="宋体" w:eastAsia="宋体" w:hint="eastAsia"/>
                <w:spacing w:val="-3"/>
                <w:sz w:val="21"/>
              </w:rPr>
              <w:t>参见财务报表附注七</w:t>
            </w:r>
            <w:r>
              <w:rPr>
                <w:sz w:val="21"/>
              </w:rPr>
              <w:t>.33 </w:t>
            </w:r>
            <w:r>
              <w:rPr>
                <w:rFonts w:ascii="宋体" w:eastAsia="宋体" w:hint="eastAsia"/>
                <w:spacing w:val="-5"/>
                <w:sz w:val="21"/>
              </w:rPr>
              <w:t>一年内到期的非流</w:t>
            </w:r>
            <w:r>
              <w:rPr>
                <w:rFonts w:ascii="宋体" w:eastAsia="宋体" w:hint="eastAsia"/>
                <w:spacing w:val="-3"/>
                <w:sz w:val="21"/>
              </w:rPr>
              <w:t>动负债及附注七</w:t>
            </w:r>
            <w:r>
              <w:rPr>
                <w:sz w:val="21"/>
              </w:rPr>
              <w:t>.40</w:t>
            </w:r>
            <w:r>
              <w:rPr>
                <w:spacing w:val="51"/>
                <w:sz w:val="21"/>
              </w:rPr>
              <w:t> </w:t>
            </w:r>
            <w:r>
              <w:rPr>
                <w:rFonts w:ascii="宋体" w:eastAsia="宋体" w:hint="eastAsia"/>
                <w:spacing w:val="-2"/>
                <w:sz w:val="21"/>
              </w:rPr>
              <w:t>预计负债</w:t>
            </w:r>
          </w:p>
          <w:p>
            <w:pPr>
              <w:pStyle w:val="TableParagraph"/>
              <w:spacing w:line="242" w:lineRule="auto"/>
              <w:ind w:left="105" w:right="99" w:firstLine="419"/>
              <w:jc w:val="both"/>
              <w:rPr>
                <w:rFonts w:ascii="宋体" w:eastAsia="宋体" w:hint="eastAsia"/>
                <w:sz w:val="21"/>
              </w:rPr>
            </w:pPr>
            <w:r>
              <w:rPr>
                <w:rFonts w:ascii="宋体" w:eastAsia="宋体" w:hint="eastAsia"/>
                <w:sz w:val="21"/>
              </w:rPr>
              <w:t>公司预计负债主要为针对产品质量保证产生的现时义务。截至</w:t>
            </w:r>
            <w:r>
              <w:rPr>
                <w:sz w:val="21"/>
              </w:rPr>
              <w:t>2020</w:t>
            </w:r>
            <w:r>
              <w:rPr>
                <w:rFonts w:ascii="宋体" w:eastAsia="宋体" w:hint="eastAsia"/>
                <w:sz w:val="21"/>
              </w:rPr>
              <w:t>年</w:t>
            </w:r>
            <w:r>
              <w:rPr>
                <w:sz w:val="21"/>
              </w:rPr>
              <w:t>12</w:t>
            </w:r>
            <w:r>
              <w:rPr>
                <w:rFonts w:ascii="宋体" w:eastAsia="宋体" w:hint="eastAsia"/>
                <w:sz w:val="21"/>
              </w:rPr>
              <w:t>月</w:t>
            </w:r>
            <w:r>
              <w:rPr>
                <w:sz w:val="21"/>
              </w:rPr>
              <w:t>31</w:t>
            </w:r>
            <w:r>
              <w:rPr>
                <w:rFonts w:ascii="宋体" w:eastAsia="宋体" w:hint="eastAsia"/>
                <w:sz w:val="21"/>
              </w:rPr>
              <w:t>日，预计负债及一年内到期非流动负债中与产品质量保证相关的</w:t>
            </w:r>
          </w:p>
          <w:p>
            <w:pPr>
              <w:pStyle w:val="TableParagraph"/>
              <w:spacing w:line="270" w:lineRule="atLeast"/>
              <w:ind w:left="105" w:right="99"/>
              <w:rPr>
                <w:rFonts w:ascii="宋体" w:eastAsia="宋体" w:hint="eastAsia"/>
                <w:sz w:val="21"/>
              </w:rPr>
            </w:pPr>
            <w:r>
              <w:rPr>
                <w:rFonts w:ascii="宋体" w:eastAsia="宋体" w:hint="eastAsia"/>
                <w:sz w:val="21"/>
              </w:rPr>
              <w:t>余额为</w:t>
            </w:r>
            <w:r>
              <w:rPr>
                <w:sz w:val="21"/>
              </w:rPr>
              <w:t>29.11</w:t>
            </w:r>
            <w:r>
              <w:rPr>
                <w:rFonts w:ascii="宋体" w:eastAsia="宋体" w:hint="eastAsia"/>
                <w:sz w:val="21"/>
              </w:rPr>
              <w:t>亿元，预计负债计提是否充分准确对财务报表影响较大。</w:t>
            </w:r>
          </w:p>
        </w:tc>
        <w:tc>
          <w:tcPr>
            <w:tcW w:w="4254" w:type="dxa"/>
            <w:vMerge w:val="restart"/>
            <w:tcBorders>
              <w:top w:val="single" w:sz="4" w:space="0" w:color="000000"/>
              <w:left w:val="single" w:sz="4" w:space="0" w:color="000000"/>
            </w:tcBorders>
          </w:tcPr>
          <w:p>
            <w:pPr>
              <w:pStyle w:val="TableParagraph"/>
              <w:rPr>
                <w:rFonts w:ascii="宋体"/>
                <w:sz w:val="20"/>
              </w:rPr>
            </w:pPr>
          </w:p>
          <w:p>
            <w:pPr>
              <w:pStyle w:val="TableParagraph"/>
              <w:rPr>
                <w:rFonts w:ascii="宋体"/>
                <w:sz w:val="20"/>
              </w:rPr>
            </w:pPr>
          </w:p>
          <w:p>
            <w:pPr>
              <w:pStyle w:val="TableParagraph"/>
              <w:rPr>
                <w:rFonts w:ascii="宋体"/>
                <w:sz w:val="20"/>
              </w:rPr>
            </w:pPr>
          </w:p>
          <w:p>
            <w:pPr>
              <w:pStyle w:val="TableParagraph"/>
              <w:spacing w:before="1"/>
              <w:rPr>
                <w:rFonts w:ascii="宋体"/>
                <w:sz w:val="25"/>
              </w:rPr>
            </w:pPr>
          </w:p>
          <w:p>
            <w:pPr>
              <w:pStyle w:val="TableParagraph"/>
              <w:spacing w:line="244" w:lineRule="auto"/>
              <w:ind w:left="116" w:right="120" w:firstLine="420"/>
              <w:rPr>
                <w:rFonts w:ascii="宋体" w:eastAsia="宋体" w:hint="eastAsia"/>
                <w:sz w:val="21"/>
              </w:rPr>
            </w:pPr>
            <w:r>
              <w:rPr>
                <w:rFonts w:ascii="宋体" w:eastAsia="宋体" w:hint="eastAsia"/>
                <w:sz w:val="21"/>
              </w:rPr>
              <w:t>我们针对预计负债主要实施了如下审计程序：</w:t>
            </w:r>
          </w:p>
          <w:p>
            <w:pPr>
              <w:pStyle w:val="TableParagraph"/>
              <w:numPr>
                <w:ilvl w:val="0"/>
                <w:numId w:val="28"/>
              </w:numPr>
              <w:tabs>
                <w:tab w:pos="646" w:val="left" w:leader="none"/>
              </w:tabs>
              <w:spacing w:line="265" w:lineRule="exact" w:before="0" w:after="0"/>
              <w:ind w:left="645" w:right="0" w:hanging="530"/>
              <w:jc w:val="left"/>
              <w:rPr>
                <w:rFonts w:ascii="宋体" w:eastAsia="宋体" w:hint="eastAsia"/>
                <w:sz w:val="21"/>
              </w:rPr>
            </w:pPr>
            <w:r>
              <w:rPr>
                <w:rFonts w:ascii="宋体" w:eastAsia="宋体" w:hint="eastAsia"/>
                <w:spacing w:val="-3"/>
                <w:sz w:val="21"/>
              </w:rPr>
              <w:t>获取管理层预计负债的计算表；</w:t>
            </w:r>
          </w:p>
          <w:p>
            <w:pPr>
              <w:pStyle w:val="TableParagraph"/>
              <w:numPr>
                <w:ilvl w:val="0"/>
                <w:numId w:val="28"/>
              </w:numPr>
              <w:tabs>
                <w:tab w:pos="646" w:val="left" w:leader="none"/>
              </w:tabs>
              <w:spacing w:line="242" w:lineRule="auto" w:before="5" w:after="0"/>
              <w:ind w:left="116" w:right="75" w:firstLine="0"/>
              <w:jc w:val="left"/>
              <w:rPr>
                <w:rFonts w:ascii="宋体" w:eastAsia="宋体" w:hint="eastAsia"/>
                <w:sz w:val="21"/>
              </w:rPr>
            </w:pPr>
            <w:r>
              <w:rPr>
                <w:rFonts w:ascii="宋体" w:eastAsia="宋体" w:hint="eastAsia"/>
                <w:spacing w:val="-3"/>
                <w:sz w:val="21"/>
              </w:rPr>
              <w:t>将管理层估计的主要参数与历史数据</w:t>
            </w:r>
            <w:r>
              <w:rPr>
                <w:rFonts w:ascii="宋体" w:eastAsia="宋体" w:hint="eastAsia"/>
                <w:spacing w:val="-4"/>
                <w:sz w:val="21"/>
              </w:rPr>
              <w:t>进行了比对；</w:t>
            </w:r>
          </w:p>
          <w:p>
            <w:pPr>
              <w:pStyle w:val="TableParagraph"/>
              <w:numPr>
                <w:ilvl w:val="0"/>
                <w:numId w:val="28"/>
              </w:numPr>
              <w:tabs>
                <w:tab w:pos="646" w:val="left" w:leader="none"/>
              </w:tabs>
              <w:spacing w:line="240" w:lineRule="auto" w:before="1" w:after="0"/>
              <w:ind w:left="645" w:right="0" w:hanging="530"/>
              <w:jc w:val="left"/>
              <w:rPr>
                <w:rFonts w:ascii="宋体" w:eastAsia="宋体" w:hint="eastAsia"/>
                <w:sz w:val="21"/>
              </w:rPr>
            </w:pPr>
            <w:r>
              <w:rPr>
                <w:rFonts w:ascii="宋体" w:eastAsia="宋体" w:hint="eastAsia"/>
                <w:spacing w:val="-3"/>
                <w:sz w:val="21"/>
              </w:rPr>
              <w:t>测试了预计负债计算的准确性；</w:t>
            </w:r>
          </w:p>
          <w:p>
            <w:pPr>
              <w:pStyle w:val="TableParagraph"/>
              <w:numPr>
                <w:ilvl w:val="0"/>
                <w:numId w:val="28"/>
              </w:numPr>
              <w:tabs>
                <w:tab w:pos="646" w:val="left" w:leader="none"/>
              </w:tabs>
              <w:spacing w:line="244" w:lineRule="auto" w:before="3" w:after="0"/>
              <w:ind w:left="116" w:right="75" w:firstLine="0"/>
              <w:jc w:val="left"/>
              <w:rPr>
                <w:rFonts w:ascii="宋体" w:eastAsia="宋体" w:hint="eastAsia"/>
                <w:sz w:val="21"/>
              </w:rPr>
            </w:pPr>
            <w:r>
              <w:rPr>
                <w:rFonts w:ascii="宋体" w:eastAsia="宋体" w:hint="eastAsia"/>
                <w:spacing w:val="-3"/>
                <w:sz w:val="21"/>
              </w:rPr>
              <w:t>将预计负债计算结果与企业实际经营</w:t>
            </w:r>
            <w:r>
              <w:rPr>
                <w:rFonts w:ascii="宋体" w:eastAsia="宋体" w:hint="eastAsia"/>
                <w:spacing w:val="-4"/>
                <w:sz w:val="21"/>
              </w:rPr>
              <w:t>情况进行对比分析；</w:t>
            </w:r>
          </w:p>
        </w:tc>
      </w:tr>
      <w:tr>
        <w:trPr>
          <w:trHeight w:val="228" w:hRule="atLeast"/>
        </w:trPr>
        <w:tc>
          <w:tcPr>
            <w:tcW w:w="4691" w:type="dxa"/>
            <w:tcBorders>
              <w:top w:val="nil"/>
              <w:bottom w:val="nil"/>
              <w:right w:val="single" w:sz="4" w:space="0" w:color="000000"/>
            </w:tcBorders>
          </w:tcPr>
          <w:p>
            <w:pPr>
              <w:pStyle w:val="TableParagraph"/>
              <w:spacing w:line="209" w:lineRule="exact"/>
              <w:ind w:left="524"/>
              <w:rPr>
                <w:rFonts w:ascii="宋体" w:eastAsia="宋体" w:hint="eastAsia"/>
                <w:sz w:val="21"/>
              </w:rPr>
            </w:pPr>
            <w:r>
              <w:rPr>
                <w:rFonts w:ascii="宋体" w:eastAsia="宋体" w:hint="eastAsia"/>
                <w:sz w:val="21"/>
              </w:rPr>
              <w:t>公司产品质量保证所确认的预计负债金额以</w:t>
            </w:r>
          </w:p>
        </w:tc>
        <w:tc>
          <w:tcPr>
            <w:tcW w:w="4254" w:type="dxa"/>
            <w:vMerge/>
            <w:tcBorders>
              <w:top w:val="nil"/>
              <w:left w:val="single" w:sz="4" w:space="0" w:color="000000"/>
            </w:tcBorders>
          </w:tcPr>
          <w:p>
            <w:pPr>
              <w:rPr>
                <w:sz w:val="2"/>
                <w:szCs w:val="2"/>
              </w:rPr>
            </w:pPr>
          </w:p>
        </w:tc>
      </w:tr>
      <w:tr>
        <w:trPr>
          <w:trHeight w:val="242" w:hRule="atLeast"/>
        </w:trPr>
        <w:tc>
          <w:tcPr>
            <w:tcW w:w="4691" w:type="dxa"/>
            <w:tcBorders>
              <w:top w:val="nil"/>
              <w:bottom w:val="nil"/>
              <w:right w:val="single" w:sz="4" w:space="0" w:color="000000"/>
            </w:tcBorders>
          </w:tcPr>
          <w:p>
            <w:pPr>
              <w:pStyle w:val="TableParagraph"/>
              <w:spacing w:line="223" w:lineRule="exact"/>
              <w:ind w:left="105"/>
              <w:rPr>
                <w:rFonts w:ascii="宋体" w:eastAsia="宋体" w:hint="eastAsia"/>
                <w:sz w:val="21"/>
              </w:rPr>
            </w:pPr>
            <w:r>
              <w:rPr>
                <w:rFonts w:ascii="宋体" w:eastAsia="宋体" w:hint="eastAsia"/>
                <w:sz w:val="21"/>
              </w:rPr>
              <w:t>按照履行相关现时义务所需支出的最佳估计数进</w:t>
            </w:r>
          </w:p>
        </w:tc>
        <w:tc>
          <w:tcPr>
            <w:tcW w:w="4254" w:type="dxa"/>
            <w:vMerge/>
            <w:tcBorders>
              <w:top w:val="nil"/>
              <w:left w:val="single" w:sz="4" w:space="0" w:color="000000"/>
            </w:tcBorders>
          </w:tcPr>
          <w:p>
            <w:pPr>
              <w:rPr>
                <w:sz w:val="2"/>
                <w:szCs w:val="2"/>
              </w:rPr>
            </w:pPr>
          </w:p>
        </w:tc>
      </w:tr>
      <w:tr>
        <w:trPr>
          <w:trHeight w:val="514" w:hRule="atLeast"/>
        </w:trPr>
        <w:tc>
          <w:tcPr>
            <w:tcW w:w="4691" w:type="dxa"/>
            <w:tcBorders>
              <w:top w:val="nil"/>
              <w:bottom w:val="nil"/>
              <w:right w:val="single" w:sz="4" w:space="0" w:color="000000"/>
            </w:tcBorders>
          </w:tcPr>
          <w:p>
            <w:pPr>
              <w:pStyle w:val="TableParagraph"/>
              <w:spacing w:line="257" w:lineRule="exact"/>
              <w:ind w:left="105"/>
              <w:rPr>
                <w:rFonts w:ascii="宋体" w:eastAsia="宋体" w:hint="eastAsia"/>
                <w:sz w:val="21"/>
              </w:rPr>
            </w:pPr>
            <w:r>
              <w:rPr>
                <w:rFonts w:ascii="宋体" w:eastAsia="宋体" w:hint="eastAsia"/>
                <w:sz w:val="21"/>
              </w:rPr>
              <w:t>行计量。</w:t>
            </w:r>
          </w:p>
          <w:p>
            <w:pPr>
              <w:pStyle w:val="TableParagraph"/>
              <w:spacing w:line="236" w:lineRule="exact" w:before="2"/>
              <w:ind w:left="524"/>
              <w:rPr>
                <w:rFonts w:ascii="宋体" w:eastAsia="宋体" w:hint="eastAsia"/>
                <w:sz w:val="21"/>
              </w:rPr>
            </w:pPr>
            <w:r>
              <w:rPr>
                <w:rFonts w:ascii="宋体" w:eastAsia="宋体" w:hint="eastAsia"/>
                <w:sz w:val="21"/>
              </w:rPr>
              <w:t>管理层计算产品质量保证时根据历史经验做</w:t>
            </w:r>
          </w:p>
        </w:tc>
        <w:tc>
          <w:tcPr>
            <w:tcW w:w="4254" w:type="dxa"/>
            <w:vMerge/>
            <w:tcBorders>
              <w:top w:val="nil"/>
              <w:left w:val="single" w:sz="4" w:space="0" w:color="000000"/>
            </w:tcBorders>
          </w:tcPr>
          <w:p>
            <w:pPr>
              <w:rPr>
                <w:sz w:val="2"/>
                <w:szCs w:val="2"/>
              </w:rPr>
            </w:pPr>
          </w:p>
        </w:tc>
      </w:tr>
      <w:tr>
        <w:trPr>
          <w:trHeight w:val="514" w:hRule="atLeast"/>
        </w:trPr>
        <w:tc>
          <w:tcPr>
            <w:tcW w:w="4691" w:type="dxa"/>
            <w:tcBorders>
              <w:top w:val="nil"/>
              <w:bottom w:val="nil"/>
              <w:right w:val="single" w:sz="4" w:space="0" w:color="000000"/>
            </w:tcBorders>
          </w:tcPr>
          <w:p>
            <w:pPr>
              <w:pStyle w:val="TableParagraph"/>
              <w:spacing w:line="257" w:lineRule="exact"/>
              <w:ind w:left="105"/>
              <w:rPr>
                <w:rFonts w:ascii="宋体" w:eastAsia="宋体" w:hint="eastAsia"/>
                <w:sz w:val="21"/>
              </w:rPr>
            </w:pPr>
            <w:r>
              <w:rPr>
                <w:rFonts w:ascii="宋体" w:eastAsia="宋体" w:hint="eastAsia"/>
                <w:sz w:val="21"/>
              </w:rPr>
              <w:t>出了重大判断，如：退换率、返修率、拆废损失</w:t>
            </w:r>
          </w:p>
          <w:p>
            <w:pPr>
              <w:pStyle w:val="TableParagraph"/>
              <w:spacing w:line="236" w:lineRule="exact" w:before="2"/>
              <w:ind w:left="105"/>
              <w:rPr>
                <w:rFonts w:ascii="宋体" w:eastAsia="宋体" w:hint="eastAsia"/>
                <w:sz w:val="21"/>
              </w:rPr>
            </w:pPr>
            <w:r>
              <w:rPr>
                <w:rFonts w:ascii="宋体" w:eastAsia="宋体" w:hint="eastAsia"/>
                <w:sz w:val="21"/>
              </w:rPr>
              <w:t>等。</w:t>
            </w:r>
          </w:p>
        </w:tc>
        <w:tc>
          <w:tcPr>
            <w:tcW w:w="4254" w:type="dxa"/>
            <w:vMerge/>
            <w:tcBorders>
              <w:top w:val="nil"/>
              <w:left w:val="single" w:sz="4" w:space="0" w:color="000000"/>
            </w:tcBorders>
          </w:tcPr>
          <w:p>
            <w:pPr>
              <w:rPr>
                <w:sz w:val="2"/>
                <w:szCs w:val="2"/>
              </w:rPr>
            </w:pPr>
          </w:p>
        </w:tc>
      </w:tr>
      <w:tr>
        <w:trPr>
          <w:trHeight w:val="801" w:hRule="atLeast"/>
        </w:trPr>
        <w:tc>
          <w:tcPr>
            <w:tcW w:w="4691" w:type="dxa"/>
            <w:tcBorders>
              <w:top w:val="nil"/>
              <w:right w:val="single" w:sz="4" w:space="0" w:color="000000"/>
            </w:tcBorders>
          </w:tcPr>
          <w:p>
            <w:pPr>
              <w:pStyle w:val="TableParagraph"/>
              <w:spacing w:line="242" w:lineRule="auto"/>
              <w:ind w:left="105" w:right="149" w:firstLine="419"/>
              <w:rPr>
                <w:rFonts w:ascii="宋体" w:eastAsia="宋体" w:hint="eastAsia"/>
                <w:sz w:val="21"/>
              </w:rPr>
            </w:pPr>
            <w:r>
              <w:rPr>
                <w:rFonts w:ascii="宋体" w:eastAsia="宋体" w:hint="eastAsia"/>
                <w:sz w:val="21"/>
              </w:rPr>
              <w:t>鉴于预计负债金额较大，且管理层需要做出重大判断，因此我们将预计负债作为关键审计事</w:t>
            </w:r>
          </w:p>
          <w:p>
            <w:pPr>
              <w:pStyle w:val="TableParagraph"/>
              <w:spacing w:line="251" w:lineRule="exact"/>
              <w:ind w:left="105"/>
              <w:rPr>
                <w:rFonts w:ascii="宋体" w:eastAsia="宋体" w:hint="eastAsia"/>
                <w:sz w:val="21"/>
              </w:rPr>
            </w:pPr>
            <w:r>
              <w:rPr>
                <w:rFonts w:ascii="宋体" w:eastAsia="宋体" w:hint="eastAsia"/>
                <w:sz w:val="21"/>
              </w:rPr>
              <w:t>项。</w:t>
            </w:r>
          </w:p>
        </w:tc>
        <w:tc>
          <w:tcPr>
            <w:tcW w:w="4254" w:type="dxa"/>
            <w:vMerge/>
            <w:tcBorders>
              <w:top w:val="nil"/>
              <w:left w:val="single" w:sz="4" w:space="0" w:color="000000"/>
            </w:tcBorders>
          </w:tcPr>
          <w:p>
            <w:pPr>
              <w:rPr>
                <w:sz w:val="2"/>
                <w:szCs w:val="2"/>
              </w:rPr>
            </w:pPr>
          </w:p>
        </w:tc>
      </w:tr>
    </w:tbl>
    <w:p>
      <w:pPr>
        <w:pStyle w:val="Heading4"/>
        <w:spacing w:line="319" w:lineRule="exact"/>
        <w:ind w:left="660"/>
      </w:pPr>
      <w:r>
        <w:rPr/>
        <w:t>四、其他信息</w:t>
      </w:r>
    </w:p>
    <w:p>
      <w:pPr>
        <w:pStyle w:val="BodyText"/>
        <w:spacing w:before="93"/>
        <w:ind w:left="751"/>
      </w:pPr>
      <w:r>
        <w:rPr/>
        <w:t>海尔智家公司管理层（以下简称</w:t>
      </w:r>
      <w:r>
        <w:rPr>
          <w:rFonts w:ascii="Times New Roman" w:hAnsi="Times New Roman" w:eastAsia="Times New Roman"/>
        </w:rPr>
        <w:t>“</w:t>
      </w:r>
      <w:r>
        <w:rPr/>
        <w:t>管理层</w:t>
      </w:r>
      <w:r>
        <w:rPr>
          <w:rFonts w:ascii="Times New Roman" w:hAnsi="Times New Roman" w:eastAsia="Times New Roman"/>
        </w:rPr>
        <w:t>”</w:t>
      </w:r>
      <w:r>
        <w:rPr/>
        <w:t>）对其他信息负责。其他信息包括海尔智家公司</w:t>
      </w:r>
    </w:p>
    <w:p>
      <w:pPr>
        <w:pStyle w:val="BodyText"/>
        <w:spacing w:before="139"/>
        <w:ind w:left="238"/>
      </w:pPr>
      <w:r>
        <w:rPr>
          <w:rFonts w:ascii="Times New Roman" w:eastAsia="Times New Roman"/>
        </w:rPr>
        <w:t>2020 </w:t>
      </w:r>
      <w:r>
        <w:rPr/>
        <w:t>年年度报告中涵盖的信息，但不包括财务报表和我们的审计报告。</w:t>
      </w:r>
    </w:p>
    <w:p>
      <w:pPr>
        <w:pStyle w:val="BodyText"/>
        <w:spacing w:line="364" w:lineRule="auto" w:before="139"/>
        <w:ind w:left="238" w:right="308" w:firstLine="513"/>
      </w:pPr>
      <w:r>
        <w:rPr>
          <w:spacing w:val="-7"/>
        </w:rPr>
        <w:t>我们对财务报表发表的审计意见不涵盖其他信息，我们也不对其他信息发表任何形式的鉴证结论。</w:t>
      </w:r>
    </w:p>
    <w:p>
      <w:pPr>
        <w:pStyle w:val="BodyText"/>
        <w:spacing w:line="364" w:lineRule="auto" w:before="1"/>
        <w:ind w:left="238" w:right="308" w:firstLine="513"/>
      </w:pPr>
      <w:r>
        <w:rPr>
          <w:spacing w:val="-7"/>
        </w:rPr>
        <w:t>结合我们对财务报表的审计，我们的责任是阅读其他信息，在此过程中，考虑其他信息是否</w:t>
      </w:r>
      <w:r>
        <w:rPr>
          <w:spacing w:val="-5"/>
        </w:rPr>
        <w:t>与财务报表或我们在审计过程中了解到的情况存在重大不一致或者似乎存在重大错报。</w:t>
      </w:r>
    </w:p>
    <w:p>
      <w:pPr>
        <w:pStyle w:val="BodyText"/>
        <w:spacing w:line="364" w:lineRule="auto"/>
        <w:ind w:left="238" w:right="310" w:firstLine="513"/>
      </w:pPr>
      <w:r>
        <w:rPr>
          <w:spacing w:val="-8"/>
        </w:rPr>
        <w:t>基于我们已执行的工作，如果我们确定其他信息存在重大错报，我们应当报告该事实。在这</w:t>
      </w:r>
      <w:r>
        <w:rPr>
          <w:spacing w:val="-5"/>
        </w:rPr>
        <w:t>方面，我们无任何事项需要报告。</w:t>
      </w:r>
    </w:p>
    <w:p>
      <w:pPr>
        <w:pStyle w:val="Heading4"/>
        <w:spacing w:line="315" w:lineRule="exact"/>
        <w:ind w:left="660"/>
      </w:pPr>
      <w:r>
        <w:rPr/>
        <w:t>五、管理层和治理层对财务报表的责任</w:t>
      </w:r>
    </w:p>
    <w:p>
      <w:pPr>
        <w:spacing w:after="0" w:line="315" w:lineRule="exact"/>
        <w:sectPr>
          <w:pgSz w:w="11910" w:h="16840"/>
          <w:pgMar w:header="872" w:footer="1213" w:top="1440" w:bottom="1400" w:left="1560" w:right="960"/>
        </w:sectPr>
      </w:pPr>
    </w:p>
    <w:p>
      <w:pPr>
        <w:pStyle w:val="BodyText"/>
        <w:spacing w:line="367" w:lineRule="auto" w:before="68"/>
        <w:ind w:left="238" w:right="308" w:firstLine="513"/>
      </w:pPr>
      <w:r>
        <w:rPr>
          <w:spacing w:val="-7"/>
        </w:rPr>
        <w:t>管理层负责按照企业会计准则的规定编制财务报表，使其实现公允反映，并设计、执行和维</w:t>
      </w:r>
      <w:r>
        <w:rPr>
          <w:spacing w:val="-5"/>
        </w:rPr>
        <w:t>护必要的内部控制，以使财务报表不存在由于舞弊或错误导致的重大错报。</w:t>
      </w:r>
    </w:p>
    <w:p>
      <w:pPr>
        <w:pStyle w:val="BodyText"/>
        <w:spacing w:line="364" w:lineRule="auto"/>
        <w:ind w:left="238" w:right="308" w:firstLine="513"/>
        <w:jc w:val="both"/>
      </w:pPr>
      <w:r>
        <w:rPr>
          <w:spacing w:val="-10"/>
        </w:rPr>
        <w:t>在编制财务报表时，管理层负责评估海尔智家公司的持续经营能力，披露与持续经营相关的事项</w:t>
      </w:r>
      <w:r>
        <w:rPr>
          <w:spacing w:val="-3"/>
        </w:rPr>
        <w:t>（</w:t>
      </w:r>
      <w:r>
        <w:rPr>
          <w:spacing w:val="-2"/>
        </w:rPr>
        <w:t>如适用</w:t>
      </w:r>
      <w:r>
        <w:rPr/>
        <w:t>）</w:t>
      </w:r>
      <w:r>
        <w:rPr>
          <w:spacing w:val="-3"/>
        </w:rPr>
        <w:t>，并运用持续经营假设，除非管理层计划清算海尔智家公司、终止运营或别无其他现实的选择。</w:t>
      </w:r>
    </w:p>
    <w:p>
      <w:pPr>
        <w:spacing w:line="304" w:lineRule="auto" w:before="0"/>
        <w:ind w:left="660" w:right="4218" w:firstLine="91"/>
        <w:jc w:val="left"/>
        <w:rPr>
          <w:rFonts w:ascii="Microsoft JhengHei" w:eastAsia="Microsoft JhengHei" w:hint="eastAsia"/>
          <w:b/>
          <w:sz w:val="21"/>
        </w:rPr>
      </w:pPr>
      <w:r>
        <w:rPr>
          <w:sz w:val="21"/>
        </w:rPr>
        <w:t>治理层负责监督海尔智家公司的财务报告过程。</w:t>
      </w:r>
      <w:r>
        <w:rPr>
          <w:rFonts w:ascii="Microsoft JhengHei" w:eastAsia="Microsoft JhengHei" w:hint="eastAsia"/>
          <w:b/>
          <w:sz w:val="21"/>
        </w:rPr>
        <w:t>六、注册会计师对财务报表审计的责任</w:t>
      </w:r>
    </w:p>
    <w:p>
      <w:pPr>
        <w:pStyle w:val="BodyText"/>
        <w:spacing w:line="255" w:lineRule="exact"/>
        <w:ind w:left="751"/>
      </w:pPr>
      <w:r>
        <w:rPr/>
        <w:t>我们的目标是对财务报表整体是否不存在由于舞弊或错误导致的重大错报获取合理保证，并</w:t>
      </w:r>
    </w:p>
    <w:p>
      <w:pPr>
        <w:pStyle w:val="BodyText"/>
        <w:spacing w:line="364" w:lineRule="auto" w:before="131"/>
        <w:ind w:left="238" w:right="317"/>
        <w:jc w:val="both"/>
      </w:pPr>
      <w:r>
        <w:rPr/>
        <w:t>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w:t>
      </w:r>
    </w:p>
    <w:p>
      <w:pPr>
        <w:pStyle w:val="BodyText"/>
        <w:spacing w:line="364" w:lineRule="auto"/>
        <w:ind w:left="238" w:right="308" w:firstLine="513"/>
      </w:pPr>
      <w:r>
        <w:rPr>
          <w:spacing w:val="-7"/>
        </w:rPr>
        <w:t>在按照审计准则执行审计工作的过程中，我们运用职业判断，并保持职业怀疑。同时，我们</w:t>
      </w:r>
      <w:r>
        <w:rPr>
          <w:spacing w:val="-5"/>
        </w:rPr>
        <w:t>也执行以下工作：</w:t>
      </w:r>
    </w:p>
    <w:p>
      <w:pPr>
        <w:pStyle w:val="BodyText"/>
        <w:spacing w:line="364" w:lineRule="auto"/>
        <w:ind w:left="238" w:right="308" w:firstLine="513"/>
        <w:jc w:val="both"/>
      </w:pPr>
      <w:r>
        <w:rPr/>
        <w:t>（一</w:t>
      </w:r>
      <w:r>
        <w:rPr>
          <w:spacing w:val="-44"/>
        </w:rPr>
        <w:t>）</w:t>
      </w:r>
      <w:r>
        <w:rPr>
          <w:spacing w:val="-5"/>
        </w:rPr>
        <w:t>识别和评估由于舞弊或错误导致的财务报表重大错报风险，设计和实施审计程序以应</w:t>
      </w:r>
      <w:r>
        <w:rPr>
          <w:spacing w:val="-17"/>
        </w:rPr>
        <w:t>对这些风险，并获取充分、适当的审计证据，作为发表审计意见的基础。由于舞弊可能涉及串通、</w:t>
      </w:r>
      <w:r>
        <w:rPr>
          <w:spacing w:val="-7"/>
        </w:rPr>
        <w:t>伪造、故意遗漏、虚假陈述或凌驾于内部控制之上，未能发现由于舞弊导致的重大错报的风险高</w:t>
      </w:r>
      <w:r>
        <w:rPr>
          <w:spacing w:val="-5"/>
        </w:rPr>
        <w:t>于未能发现由于错误导致的重大错报的风险。</w:t>
      </w:r>
    </w:p>
    <w:p>
      <w:pPr>
        <w:pStyle w:val="BodyText"/>
        <w:spacing w:line="268" w:lineRule="exact"/>
        <w:ind w:left="658"/>
      </w:pPr>
      <w:r>
        <w:rPr/>
        <w:t>（二）了解与审计相关的内部控制，以设计恰当的审计程序。</w:t>
      </w:r>
    </w:p>
    <w:p>
      <w:pPr>
        <w:pStyle w:val="BodyText"/>
        <w:spacing w:before="138"/>
        <w:ind w:left="658"/>
      </w:pPr>
      <w:r>
        <w:rPr/>
        <w:t>（三）评价管理层选用会计政策的恰当性和作出会计估计及相关披露的合理性。</w:t>
      </w:r>
    </w:p>
    <w:p>
      <w:pPr>
        <w:pStyle w:val="BodyText"/>
        <w:spacing w:line="364" w:lineRule="auto" w:before="139"/>
        <w:ind w:left="238" w:right="317" w:firstLine="419"/>
        <w:jc w:val="both"/>
      </w:pPr>
      <w:r>
        <w:rPr/>
        <w:t>（四）对管理层使用持续经营假设的恰当性得出结论。同时，根据获取的审计证据，就可能导致对海尔智家公司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海尔智家公司不能持续经营。</w:t>
      </w:r>
    </w:p>
    <w:p>
      <w:pPr>
        <w:pStyle w:val="BodyText"/>
        <w:spacing w:line="364" w:lineRule="auto"/>
        <w:ind w:left="238" w:right="317" w:firstLine="419"/>
      </w:pPr>
      <w:r>
        <w:rPr/>
        <w:t>（五）评价财务报表的总体列报、结构和内容，并评价财务报表是否公允反映相关交易和事项。</w:t>
      </w:r>
    </w:p>
    <w:p>
      <w:pPr>
        <w:pStyle w:val="BodyText"/>
        <w:spacing w:line="364" w:lineRule="auto"/>
        <w:ind w:left="238" w:right="317" w:firstLine="419"/>
      </w:pPr>
      <w:r>
        <w:rPr/>
        <w:t>（六）就海尔智家公司中实体或业务活动的财务信息获取充分、适当的审计证据，以对合并财务报表发表审计意见。我们负责指导、监督和执行集团审计，并对审计意见承担全部责任。</w:t>
      </w:r>
    </w:p>
    <w:p>
      <w:pPr>
        <w:pStyle w:val="BodyText"/>
        <w:spacing w:line="367" w:lineRule="auto"/>
        <w:ind w:left="238" w:right="317" w:firstLine="419"/>
      </w:pPr>
      <w:r>
        <w:rPr/>
        <w:t>我们与治理层就计划的审计范围、时间安排和重大审计发现等事项进行沟通，包括沟通我们在审计中识别出的值得关注的内部控制缺陷。</w:t>
      </w:r>
    </w:p>
    <w:p>
      <w:pPr>
        <w:pStyle w:val="BodyText"/>
        <w:spacing w:line="364" w:lineRule="auto"/>
        <w:ind w:left="238" w:right="317" w:firstLine="419"/>
      </w:pPr>
      <w:r>
        <w:rPr/>
        <w:t>我们还就已遵守与独立性相关的职业道德要求向治理层提供声明，并与治理层沟通可能被合理认为影响我们独立性的所有关系和其他事项，以及相关的防范措施（如适用）。</w:t>
      </w:r>
    </w:p>
    <w:p>
      <w:pPr>
        <w:pStyle w:val="BodyText"/>
        <w:spacing w:line="364" w:lineRule="auto"/>
        <w:ind w:left="238" w:right="317" w:firstLine="419"/>
      </w:pPr>
      <w:r>
        <w:rPr/>
        <w:t>从与治理层沟通过的事项中，我们确定哪些事项对本期财务报表审计最为重要，因而构成关键审计事项。我们在审计报告中描述这些事项，除非法律法规禁止公开披露这些事项，或在极少</w:t>
      </w:r>
    </w:p>
    <w:p>
      <w:pPr>
        <w:spacing w:after="0" w:line="364" w:lineRule="auto"/>
        <w:sectPr>
          <w:pgSz w:w="11910" w:h="16840"/>
          <w:pgMar w:header="872" w:footer="1213" w:top="1440" w:bottom="1400" w:left="1560" w:right="960"/>
        </w:sectPr>
      </w:pPr>
    </w:p>
    <w:p>
      <w:pPr>
        <w:pStyle w:val="BodyText"/>
        <w:spacing w:line="367" w:lineRule="auto" w:before="68"/>
        <w:ind w:left="238" w:right="317"/>
      </w:pPr>
      <w:r>
        <w:rPr/>
        <w:t>数情形下，如果合理预期在审计报告中沟通某事项造成的负面后果超过在公众利益方面产生的益处，我们确定不应在审计报告中沟通该事项。</w:t>
      </w:r>
    </w:p>
    <w:p>
      <w:pPr>
        <w:pStyle w:val="BodyText"/>
        <w:rPr>
          <w:sz w:val="20"/>
        </w:rPr>
      </w:pPr>
    </w:p>
    <w:p>
      <w:pPr>
        <w:pStyle w:val="BodyText"/>
        <w:rPr>
          <w:sz w:val="20"/>
        </w:rPr>
      </w:pPr>
    </w:p>
    <w:p>
      <w:pPr>
        <w:pStyle w:val="BodyText"/>
        <w:spacing w:before="2"/>
        <w:rPr>
          <w:sz w:val="16"/>
        </w:rPr>
      </w:pPr>
    </w:p>
    <w:p>
      <w:pPr>
        <w:pStyle w:val="BodyText"/>
        <w:tabs>
          <w:tab w:pos="3677" w:val="left" w:leader="none"/>
        </w:tabs>
        <w:spacing w:before="1"/>
        <w:ind w:right="3020"/>
        <w:jc w:val="right"/>
      </w:pPr>
      <w:r>
        <w:rPr/>
        <w:t>和信</w:t>
      </w:r>
      <w:r>
        <w:rPr>
          <w:spacing w:val="-3"/>
        </w:rPr>
        <w:t>会</w:t>
      </w:r>
      <w:r>
        <w:rPr/>
        <w:t>计</w:t>
      </w:r>
      <w:r>
        <w:rPr>
          <w:spacing w:val="-3"/>
        </w:rPr>
        <w:t>师</w:t>
      </w:r>
      <w:r>
        <w:rPr/>
        <w:t>事</w:t>
      </w:r>
      <w:r>
        <w:rPr>
          <w:spacing w:val="-3"/>
        </w:rPr>
        <w:t>务</w:t>
      </w:r>
      <w:r>
        <w:rPr/>
        <w:t>所</w:t>
      </w:r>
      <w:r>
        <w:rPr>
          <w:spacing w:val="-3"/>
        </w:rPr>
        <w:t>（</w:t>
      </w:r>
      <w:r>
        <w:rPr/>
        <w:t>特</w:t>
      </w:r>
      <w:r>
        <w:rPr>
          <w:spacing w:val="-3"/>
        </w:rPr>
        <w:t>殊</w:t>
      </w:r>
      <w:r>
        <w:rPr/>
        <w:t>普通</w:t>
      </w:r>
      <w:r>
        <w:rPr>
          <w:spacing w:val="-3"/>
        </w:rPr>
        <w:t>合</w:t>
      </w:r>
      <w:r>
        <w:rPr/>
        <w:t>伙）</w:t>
        <w:tab/>
        <w:t>中</w:t>
      </w:r>
      <w:r>
        <w:rPr>
          <w:spacing w:val="-3"/>
        </w:rPr>
        <w:t>国</w:t>
      </w:r>
      <w:r>
        <w:rPr/>
        <w:t>注</w:t>
      </w:r>
      <w:r>
        <w:rPr>
          <w:spacing w:val="-3"/>
        </w:rPr>
        <w:t>册会</w:t>
      </w:r>
      <w:r>
        <w:rPr/>
        <w:t>计师</w:t>
      </w:r>
      <w:r>
        <w:rPr>
          <w:rFonts w:ascii="Times New Roman" w:eastAsia="Times New Roman"/>
        </w:rPr>
        <w:t>: </w:t>
      </w:r>
      <w:r>
        <w:rPr>
          <w:spacing w:val="-10"/>
        </w:rPr>
        <w:t>赵波</w:t>
      </w:r>
    </w:p>
    <w:p>
      <w:pPr>
        <w:pStyle w:val="BodyText"/>
        <w:spacing w:before="139"/>
        <w:ind w:left="931" w:right="75"/>
        <w:jc w:val="center"/>
      </w:pPr>
      <w:r>
        <w:rPr/>
        <w:t>（项目合伙人）</w:t>
      </w:r>
    </w:p>
    <w:p>
      <w:pPr>
        <w:pStyle w:val="BodyText"/>
        <w:rPr>
          <w:sz w:val="20"/>
        </w:rPr>
      </w:pPr>
    </w:p>
    <w:p>
      <w:pPr>
        <w:pStyle w:val="BodyText"/>
        <w:spacing w:before="1"/>
        <w:rPr>
          <w:sz w:val="19"/>
        </w:rPr>
      </w:pPr>
    </w:p>
    <w:p>
      <w:pPr>
        <w:pStyle w:val="BodyText"/>
        <w:tabs>
          <w:tab w:pos="3298" w:val="left" w:leader="none"/>
        </w:tabs>
        <w:ind w:right="3087"/>
        <w:jc w:val="right"/>
      </w:pPr>
      <w:r>
        <w:rPr>
          <w:spacing w:val="-10"/>
        </w:rPr>
        <w:t>中</w:t>
      </w:r>
      <w:r>
        <w:rPr>
          <w:spacing w:val="-6"/>
        </w:rPr>
        <w:t>国</w:t>
      </w:r>
      <w:r>
        <w:rPr>
          <w:rFonts w:ascii="Times New Roman" w:hAnsi="Times New Roman" w:eastAsia="Times New Roman"/>
          <w:spacing w:val="-10"/>
        </w:rPr>
        <w:t>·</w:t>
      </w:r>
      <w:r>
        <w:rPr>
          <w:spacing w:val="-10"/>
        </w:rPr>
        <w:t>济</w:t>
      </w:r>
      <w:r>
        <w:rPr/>
        <w:t>南</w:t>
        <w:tab/>
      </w:r>
      <w:r>
        <w:rPr>
          <w:spacing w:val="-1"/>
        </w:rPr>
        <w:t>中国</w:t>
      </w:r>
      <w:r>
        <w:rPr/>
        <w:t>注</w:t>
      </w:r>
      <w:r>
        <w:rPr>
          <w:spacing w:val="-3"/>
        </w:rPr>
        <w:t>册</w:t>
      </w:r>
      <w:r>
        <w:rPr/>
        <w:t>会</w:t>
      </w:r>
      <w:r>
        <w:rPr>
          <w:spacing w:val="-3"/>
        </w:rPr>
        <w:t>计</w:t>
      </w:r>
      <w:r>
        <w:rPr/>
        <w:t>师</w:t>
      </w:r>
      <w:r>
        <w:rPr>
          <w:rFonts w:ascii="Times New Roman" w:hAnsi="Times New Roman" w:eastAsia="Times New Roman"/>
        </w:rPr>
        <w:t>:</w:t>
      </w:r>
      <w:r>
        <w:rPr/>
        <w:t>王琳</w:t>
      </w:r>
    </w:p>
    <w:p>
      <w:pPr>
        <w:pStyle w:val="BodyText"/>
        <w:rPr>
          <w:sz w:val="22"/>
        </w:rPr>
      </w:pPr>
    </w:p>
    <w:p>
      <w:pPr>
        <w:pStyle w:val="BodyText"/>
        <w:spacing w:before="2"/>
        <w:rPr>
          <w:sz w:val="17"/>
        </w:rPr>
      </w:pPr>
    </w:p>
    <w:p>
      <w:pPr>
        <w:pStyle w:val="BodyText"/>
        <w:ind w:right="305"/>
        <w:jc w:val="right"/>
      </w:pPr>
      <w:r>
        <w:rPr>
          <w:rFonts w:ascii="Times New Roman" w:eastAsia="Times New Roman"/>
        </w:rPr>
        <w:t>2021 </w:t>
      </w:r>
      <w:r>
        <w:rPr/>
        <w:t>年 </w:t>
      </w:r>
      <w:r>
        <w:rPr>
          <w:rFonts w:ascii="Times New Roman" w:eastAsia="Times New Roman"/>
        </w:rPr>
        <w:t>3 </w:t>
      </w:r>
      <w:r>
        <w:rPr/>
        <w:t>月 </w:t>
      </w:r>
      <w:r>
        <w:rPr>
          <w:rFonts w:ascii="Times New Roman" w:eastAsia="Times New Roman"/>
        </w:rPr>
        <w:t>30 </w:t>
      </w:r>
      <w:r>
        <w:rPr/>
        <w:t>日</w:t>
      </w:r>
    </w:p>
    <w:p>
      <w:pPr>
        <w:spacing w:after="0"/>
        <w:jc w:val="right"/>
        <w:sectPr>
          <w:pgSz w:w="11910" w:h="16840"/>
          <w:pgMar w:header="872" w:footer="1213" w:top="1440" w:bottom="1400" w:left="1560" w:right="960"/>
        </w:sectPr>
      </w:pPr>
    </w:p>
    <w:p>
      <w:pPr>
        <w:pStyle w:val="Heading4"/>
        <w:spacing w:line="385" w:lineRule="exact"/>
        <w:ind w:left="238"/>
      </w:pPr>
      <w:r>
        <w:rPr/>
        <w:t>二、 财务报表</w:t>
      </w:r>
    </w:p>
    <w:p>
      <w:pPr>
        <w:pStyle w:val="BodyText"/>
        <w:rPr>
          <w:rFonts w:ascii="Microsoft JhengHei"/>
          <w:b/>
          <w:sz w:val="20"/>
        </w:rPr>
      </w:pPr>
    </w:p>
    <w:p>
      <w:pPr>
        <w:pStyle w:val="BodyText"/>
        <w:spacing w:before="15"/>
        <w:rPr>
          <w:rFonts w:ascii="Microsoft JhengHei"/>
          <w:b/>
          <w:sz w:val="13"/>
        </w:rPr>
      </w:pPr>
    </w:p>
    <w:p>
      <w:pPr>
        <w:pStyle w:val="BodyText"/>
        <w:ind w:left="238"/>
      </w:pPr>
      <w:r>
        <w:rPr/>
        <w:t>编制单位</w:t>
      </w:r>
      <w:r>
        <w:rPr>
          <w:rFonts w:ascii="Times New Roman" w:eastAsia="Times New Roman"/>
        </w:rPr>
        <w:t>: </w:t>
      </w:r>
      <w:r>
        <w:rPr/>
        <w:t>海尔智家股份有限公司</w:t>
      </w:r>
    </w:p>
    <w:p>
      <w:pPr>
        <w:pStyle w:val="BodyText"/>
        <w:spacing w:before="12"/>
        <w:rPr>
          <w:sz w:val="25"/>
        </w:rPr>
      </w:pPr>
      <w:r>
        <w:rPr/>
        <w:br w:type="column"/>
      </w:r>
      <w:r>
        <w:rPr>
          <w:sz w:val="25"/>
        </w:rPr>
      </w:r>
    </w:p>
    <w:p>
      <w:pPr>
        <w:pStyle w:val="Heading4"/>
        <w:ind w:left="216" w:right="21"/>
        <w:jc w:val="center"/>
      </w:pPr>
      <w:r>
        <w:rPr/>
        <w:t>合并资产负债表</w:t>
      </w:r>
    </w:p>
    <w:p>
      <w:pPr>
        <w:pStyle w:val="BodyText"/>
        <w:spacing w:before="15"/>
        <w:ind w:left="219" w:right="21"/>
        <w:jc w:val="center"/>
      </w:pPr>
      <w:r>
        <w:rPr>
          <w:rFonts w:ascii="Times New Roman" w:eastAsia="Times New Roman"/>
        </w:rPr>
        <w:t>2020 </w:t>
      </w:r>
      <w:r>
        <w:rPr>
          <w:spacing w:val="-26"/>
        </w:rPr>
        <w:t>年 </w:t>
      </w:r>
      <w:r>
        <w:rPr>
          <w:rFonts w:ascii="Times New Roman" w:eastAsia="Times New Roman"/>
        </w:rPr>
        <w:t>12 </w:t>
      </w:r>
      <w:r>
        <w:rPr>
          <w:spacing w:val="-26"/>
        </w:rPr>
        <w:t>月 </w:t>
      </w:r>
      <w:r>
        <w:rPr>
          <w:rFonts w:ascii="Times New Roman" w:eastAsia="Times New Roman"/>
        </w:rPr>
        <w:t>31 </w:t>
      </w:r>
      <w:r>
        <w:rPr/>
        <w:t>日</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tabs>
          <w:tab w:pos="1138" w:val="left" w:leader="none"/>
        </w:tabs>
        <w:spacing w:before="150"/>
        <w:ind w:left="238"/>
      </w:pPr>
      <w:r>
        <w:rPr/>
        <w:t>单位</w:t>
      </w:r>
      <w:r>
        <w:rPr>
          <w:rFonts w:ascii="Times New Roman" w:eastAsia="Times New Roman"/>
        </w:rPr>
        <w:t>:</w:t>
      </w:r>
      <w:r>
        <w:rPr/>
        <w:t>元</w:t>
        <w:tab/>
      </w:r>
      <w:r>
        <w:rPr>
          <w:spacing w:val="-3"/>
        </w:rPr>
        <w:t>币</w:t>
      </w:r>
      <w:r>
        <w:rPr/>
        <w:t>种</w:t>
      </w:r>
      <w:r>
        <w:rPr>
          <w:rFonts w:ascii="Times New Roman" w:eastAsia="Times New Roman"/>
        </w:rPr>
        <w:t>:</w:t>
      </w:r>
      <w:r>
        <w:rPr/>
        <w:t>人</w:t>
      </w:r>
      <w:r>
        <w:rPr>
          <w:spacing w:val="-3"/>
        </w:rPr>
        <w:t>民</w:t>
      </w:r>
      <w:r>
        <w:rPr/>
        <w:t>币</w:t>
      </w:r>
    </w:p>
    <w:p>
      <w:pPr>
        <w:spacing w:after="0"/>
        <w:sectPr>
          <w:pgSz w:w="11910" w:h="16840"/>
          <w:pgMar w:header="872" w:footer="1213" w:top="1440" w:bottom="1400" w:left="1560" w:right="960"/>
          <w:cols w:num="3" w:equalWidth="0">
            <w:col w:w="3384" w:space="166"/>
            <w:col w:w="2014" w:space="1262"/>
            <w:col w:w="2564"/>
          </w:cols>
        </w:sectPr>
      </w:pPr>
    </w:p>
    <w:tbl>
      <w:tblPr>
        <w:tblW w:w="0" w:type="auto"/>
        <w:jc w:val="left"/>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795"/>
        <w:gridCol w:w="939"/>
        <w:gridCol w:w="1896"/>
        <w:gridCol w:w="2410"/>
      </w:tblGrid>
      <w:tr>
        <w:trPr>
          <w:trHeight w:val="272" w:hRule="atLeast"/>
        </w:trPr>
        <w:tc>
          <w:tcPr>
            <w:tcW w:w="3795" w:type="dxa"/>
            <w:tcBorders>
              <w:bottom w:val="single" w:sz="4" w:space="0" w:color="000000"/>
              <w:right w:val="single" w:sz="4" w:space="0" w:color="000000"/>
            </w:tcBorders>
            <w:shd w:val="clear" w:color="auto" w:fill="EDEBE0"/>
          </w:tcPr>
          <w:p>
            <w:pPr>
              <w:pStyle w:val="TableParagraph"/>
              <w:spacing w:line="253" w:lineRule="exact"/>
              <w:ind w:left="1665" w:right="1650"/>
              <w:jc w:val="center"/>
              <w:rPr>
                <w:rFonts w:ascii="Microsoft JhengHei" w:eastAsia="Microsoft JhengHei" w:hint="eastAsia"/>
                <w:b/>
                <w:sz w:val="21"/>
              </w:rPr>
            </w:pPr>
            <w:r>
              <w:rPr>
                <w:rFonts w:ascii="Microsoft JhengHei" w:eastAsia="Microsoft JhengHei" w:hint="eastAsia"/>
                <w:b/>
                <w:sz w:val="21"/>
              </w:rPr>
              <w:t>项目</w:t>
            </w:r>
          </w:p>
        </w:tc>
        <w:tc>
          <w:tcPr>
            <w:tcW w:w="939" w:type="dxa"/>
            <w:tcBorders>
              <w:left w:val="single" w:sz="4" w:space="0" w:color="000000"/>
              <w:bottom w:val="single" w:sz="4" w:space="0" w:color="000000"/>
              <w:right w:val="single" w:sz="4" w:space="0" w:color="000000"/>
            </w:tcBorders>
            <w:shd w:val="clear" w:color="auto" w:fill="EDEBE0"/>
          </w:tcPr>
          <w:p>
            <w:pPr>
              <w:pStyle w:val="TableParagraph"/>
              <w:spacing w:line="253" w:lineRule="exact"/>
              <w:ind w:left="266"/>
              <w:rPr>
                <w:rFonts w:ascii="Microsoft JhengHei" w:eastAsia="Microsoft JhengHei" w:hint="eastAsia"/>
                <w:b/>
                <w:sz w:val="21"/>
              </w:rPr>
            </w:pPr>
            <w:r>
              <w:rPr>
                <w:rFonts w:ascii="Microsoft JhengHei" w:eastAsia="Microsoft JhengHei" w:hint="eastAsia"/>
                <w:b/>
                <w:sz w:val="21"/>
              </w:rPr>
              <w:t>附注</w:t>
            </w:r>
          </w:p>
        </w:tc>
        <w:tc>
          <w:tcPr>
            <w:tcW w:w="1896" w:type="dxa"/>
            <w:tcBorders>
              <w:left w:val="single" w:sz="4" w:space="0" w:color="000000"/>
              <w:bottom w:val="single" w:sz="4" w:space="0" w:color="000000"/>
              <w:right w:val="single" w:sz="4" w:space="0" w:color="000000"/>
            </w:tcBorders>
            <w:shd w:val="clear" w:color="auto" w:fill="EDEBE0"/>
          </w:tcPr>
          <w:p>
            <w:pPr>
              <w:pStyle w:val="TableParagraph"/>
              <w:spacing w:line="253" w:lineRule="exact"/>
              <w:ind w:right="89"/>
              <w:jc w:val="right"/>
              <w:rPr>
                <w:rFonts w:ascii="Microsoft JhengHei" w:eastAsia="Microsoft JhengHei" w:hint="eastAsia"/>
                <w:b/>
                <w:sz w:val="21"/>
              </w:rPr>
            </w:pPr>
            <w:r>
              <w:rPr>
                <w:b/>
                <w:sz w:val="21"/>
              </w:rPr>
              <w:t>2020 </w:t>
            </w:r>
            <w:r>
              <w:rPr>
                <w:rFonts w:ascii="Microsoft JhengHei" w:eastAsia="Microsoft JhengHei" w:hint="eastAsia"/>
                <w:b/>
                <w:sz w:val="21"/>
              </w:rPr>
              <w:t>年 </w:t>
            </w:r>
            <w:r>
              <w:rPr>
                <w:b/>
                <w:sz w:val="21"/>
              </w:rPr>
              <w:t>12 </w:t>
            </w:r>
            <w:r>
              <w:rPr>
                <w:rFonts w:ascii="Microsoft JhengHei" w:eastAsia="Microsoft JhengHei" w:hint="eastAsia"/>
                <w:b/>
                <w:sz w:val="21"/>
              </w:rPr>
              <w:t>月 </w:t>
            </w:r>
            <w:r>
              <w:rPr>
                <w:b/>
                <w:sz w:val="21"/>
              </w:rPr>
              <w:t>31 </w:t>
            </w:r>
            <w:r>
              <w:rPr>
                <w:rFonts w:ascii="Microsoft JhengHei" w:eastAsia="Microsoft JhengHei" w:hint="eastAsia"/>
                <w:b/>
                <w:sz w:val="21"/>
              </w:rPr>
              <w:t>日</w:t>
            </w:r>
          </w:p>
        </w:tc>
        <w:tc>
          <w:tcPr>
            <w:tcW w:w="2410" w:type="dxa"/>
            <w:tcBorders>
              <w:left w:val="single" w:sz="4" w:space="0" w:color="000000"/>
              <w:bottom w:val="single" w:sz="4" w:space="0" w:color="000000"/>
            </w:tcBorders>
            <w:shd w:val="clear" w:color="auto" w:fill="EDEBE0"/>
          </w:tcPr>
          <w:p>
            <w:pPr>
              <w:pStyle w:val="TableParagraph"/>
              <w:spacing w:line="253" w:lineRule="exact"/>
              <w:ind w:left="342"/>
              <w:rPr>
                <w:rFonts w:ascii="Microsoft JhengHei" w:eastAsia="Microsoft JhengHei" w:hint="eastAsia"/>
                <w:b/>
                <w:sz w:val="21"/>
              </w:rPr>
            </w:pPr>
            <w:r>
              <w:rPr>
                <w:b/>
                <w:sz w:val="21"/>
              </w:rPr>
              <w:t>2019 </w:t>
            </w:r>
            <w:r>
              <w:rPr>
                <w:rFonts w:ascii="Microsoft JhengHei" w:eastAsia="Microsoft JhengHei" w:hint="eastAsia"/>
                <w:b/>
                <w:sz w:val="21"/>
              </w:rPr>
              <w:t>年 </w:t>
            </w:r>
            <w:r>
              <w:rPr>
                <w:b/>
                <w:sz w:val="21"/>
              </w:rPr>
              <w:t>12 </w:t>
            </w:r>
            <w:r>
              <w:rPr>
                <w:rFonts w:ascii="Microsoft JhengHei" w:eastAsia="Microsoft JhengHei" w:hint="eastAsia"/>
                <w:b/>
                <w:sz w:val="21"/>
              </w:rPr>
              <w:t>月 </w:t>
            </w:r>
            <w:r>
              <w:rPr>
                <w:b/>
                <w:sz w:val="21"/>
              </w:rPr>
              <w:t>31 </w:t>
            </w:r>
            <w:r>
              <w:rPr>
                <w:rFonts w:ascii="Microsoft JhengHei" w:eastAsia="Microsoft JhengHei" w:hint="eastAsia"/>
                <w:b/>
                <w:sz w:val="21"/>
              </w:rPr>
              <w:t>日</w:t>
            </w: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1" w:lineRule="exact"/>
              <w:ind w:left="107"/>
              <w:rPr>
                <w:rFonts w:ascii="Microsoft JhengHei" w:eastAsia="Microsoft JhengHei" w:hint="eastAsia"/>
                <w:b/>
                <w:sz w:val="21"/>
              </w:rPr>
            </w:pPr>
            <w:r>
              <w:rPr>
                <w:rFonts w:ascii="Microsoft JhengHei" w:eastAsia="Microsoft JhengHei" w:hint="eastAsia"/>
                <w:b/>
                <w:sz w:val="21"/>
              </w:rPr>
              <w:t>流动资产：</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0"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3"/>
              <w:ind w:left="318"/>
              <w:rPr>
                <w:rFonts w:ascii="宋体" w:eastAsia="宋体" w:hint="eastAsia"/>
                <w:sz w:val="21"/>
              </w:rPr>
            </w:pPr>
            <w:r>
              <w:rPr>
                <w:rFonts w:ascii="宋体" w:eastAsia="宋体" w:hint="eastAsia"/>
                <w:sz w:val="21"/>
              </w:rPr>
              <w:t>货币资金</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left="117"/>
              <w:rPr>
                <w:sz w:val="21"/>
              </w:rPr>
            </w:pPr>
            <w:r>
              <w:rPr>
                <w:rFonts w:ascii="宋体" w:eastAsia="宋体" w:hint="eastAsia"/>
                <w:sz w:val="21"/>
              </w:rPr>
              <w:t>七、</w:t>
            </w:r>
            <w:r>
              <w:rPr>
                <w:sz w:val="21"/>
              </w:rPr>
              <w:t>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86"/>
              <w:jc w:val="right"/>
              <w:rPr>
                <w:sz w:val="21"/>
              </w:rPr>
            </w:pPr>
            <w:r>
              <w:rPr>
                <w:sz w:val="21"/>
              </w:rPr>
              <w:t>46,461,329,426.91</w:t>
            </w:r>
          </w:p>
        </w:tc>
        <w:tc>
          <w:tcPr>
            <w:tcW w:w="2410" w:type="dxa"/>
            <w:tcBorders>
              <w:top w:val="single" w:sz="4" w:space="0" w:color="000000"/>
              <w:left w:val="single" w:sz="4" w:space="0" w:color="000000"/>
              <w:bottom w:val="single" w:sz="4" w:space="0" w:color="000000"/>
            </w:tcBorders>
          </w:tcPr>
          <w:p>
            <w:pPr>
              <w:pStyle w:val="TableParagraph"/>
              <w:spacing w:line="237" w:lineRule="exact"/>
              <w:ind w:right="76"/>
              <w:jc w:val="right"/>
              <w:rPr>
                <w:sz w:val="21"/>
              </w:rPr>
            </w:pPr>
            <w:r>
              <w:rPr>
                <w:sz w:val="21"/>
              </w:rPr>
              <w:t>36,178,815,683.25</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结算备付金</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0"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拆出资金</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0"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3"/>
              <w:ind w:left="318"/>
              <w:rPr>
                <w:rFonts w:ascii="宋体" w:eastAsia="宋体" w:hint="eastAsia"/>
                <w:sz w:val="21"/>
              </w:rPr>
            </w:pPr>
            <w:r>
              <w:rPr>
                <w:rFonts w:ascii="宋体" w:eastAsia="宋体" w:hint="eastAsia"/>
                <w:sz w:val="21"/>
              </w:rPr>
              <w:t>交易性金融资产</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left="117"/>
              <w:rPr>
                <w:sz w:val="21"/>
              </w:rPr>
            </w:pPr>
            <w:r>
              <w:rPr>
                <w:rFonts w:ascii="宋体" w:eastAsia="宋体" w:hint="eastAsia"/>
                <w:sz w:val="21"/>
              </w:rPr>
              <w:t>七、</w:t>
            </w:r>
            <w:r>
              <w:rPr>
                <w:sz w:val="21"/>
              </w:rPr>
              <w:t>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86"/>
              <w:jc w:val="right"/>
              <w:rPr>
                <w:sz w:val="21"/>
              </w:rPr>
            </w:pPr>
            <w:r>
              <w:rPr>
                <w:sz w:val="21"/>
              </w:rPr>
              <w:t>2,165,192,497.83</w:t>
            </w:r>
          </w:p>
        </w:tc>
        <w:tc>
          <w:tcPr>
            <w:tcW w:w="2410" w:type="dxa"/>
            <w:tcBorders>
              <w:top w:val="single" w:sz="4" w:space="0" w:color="000000"/>
              <w:left w:val="single" w:sz="4" w:space="0" w:color="000000"/>
              <w:bottom w:val="single" w:sz="4" w:space="0" w:color="000000"/>
            </w:tcBorders>
          </w:tcPr>
          <w:p>
            <w:pPr>
              <w:pStyle w:val="TableParagraph"/>
              <w:spacing w:line="237" w:lineRule="exact"/>
              <w:ind w:right="76"/>
              <w:jc w:val="right"/>
              <w:rPr>
                <w:sz w:val="21"/>
              </w:rPr>
            </w:pPr>
            <w:r>
              <w:rPr>
                <w:sz w:val="21"/>
              </w:rPr>
              <w:t>308,135,007.05</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衍生金融资产</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sz w:val="21"/>
              </w:rPr>
            </w:pPr>
            <w:r>
              <w:rPr>
                <w:rFonts w:ascii="宋体" w:eastAsia="宋体" w:hint="eastAsia"/>
                <w:sz w:val="21"/>
              </w:rPr>
              <w:t>七、</w:t>
            </w:r>
            <w:r>
              <w:rPr>
                <w:sz w:val="21"/>
              </w:rPr>
              <w:t>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6"/>
              <w:jc w:val="right"/>
              <w:rPr>
                <w:sz w:val="21"/>
              </w:rPr>
            </w:pPr>
            <w:r>
              <w:rPr>
                <w:sz w:val="21"/>
              </w:rPr>
              <w:t>77,839,006.63</w:t>
            </w:r>
          </w:p>
        </w:tc>
        <w:tc>
          <w:tcPr>
            <w:tcW w:w="2410"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19,158,132.45</w:t>
            </w: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应收票据</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sz w:val="21"/>
              </w:rPr>
            </w:pPr>
            <w:r>
              <w:rPr>
                <w:rFonts w:ascii="宋体" w:eastAsia="宋体" w:hint="eastAsia"/>
                <w:sz w:val="21"/>
              </w:rPr>
              <w:t>七、</w:t>
            </w:r>
            <w:r>
              <w:rPr>
                <w:sz w:val="21"/>
              </w:rPr>
              <w:t>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6"/>
              <w:jc w:val="right"/>
              <w:rPr>
                <w:sz w:val="21"/>
              </w:rPr>
            </w:pPr>
            <w:r>
              <w:rPr>
                <w:sz w:val="21"/>
              </w:rPr>
              <w:t>14,136,349,754.34</w:t>
            </w:r>
          </w:p>
        </w:tc>
        <w:tc>
          <w:tcPr>
            <w:tcW w:w="2410"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13,951,419,893.96</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应收账款</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sz w:val="21"/>
              </w:rPr>
            </w:pPr>
            <w:r>
              <w:rPr>
                <w:rFonts w:ascii="宋体" w:eastAsia="宋体" w:hint="eastAsia"/>
                <w:sz w:val="21"/>
              </w:rPr>
              <w:t>七、</w:t>
            </w:r>
            <w:r>
              <w:rPr>
                <w:sz w:val="21"/>
              </w:rPr>
              <w:t>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6"/>
              <w:jc w:val="right"/>
              <w:rPr>
                <w:sz w:val="21"/>
              </w:rPr>
            </w:pPr>
            <w:r>
              <w:rPr>
                <w:sz w:val="21"/>
              </w:rPr>
              <w:t>15,930,024,286.67</w:t>
            </w:r>
          </w:p>
        </w:tc>
        <w:tc>
          <w:tcPr>
            <w:tcW w:w="2410"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11,015,871,060.09</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应收款项融资</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0"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预付款项</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sz w:val="21"/>
              </w:rPr>
            </w:pPr>
            <w:r>
              <w:rPr>
                <w:rFonts w:ascii="宋体" w:eastAsia="宋体" w:hint="eastAsia"/>
                <w:sz w:val="21"/>
              </w:rPr>
              <w:t>七、</w:t>
            </w:r>
            <w:r>
              <w:rPr>
                <w:sz w:val="21"/>
              </w:rPr>
              <w:t>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6"/>
              <w:jc w:val="right"/>
              <w:rPr>
                <w:sz w:val="21"/>
              </w:rPr>
            </w:pPr>
            <w:r>
              <w:rPr>
                <w:sz w:val="21"/>
              </w:rPr>
              <w:t>765,427,571.70</w:t>
            </w:r>
          </w:p>
        </w:tc>
        <w:tc>
          <w:tcPr>
            <w:tcW w:w="2410"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1,272,921,546.72</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应收保费</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0"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应收分保账款</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0"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3"/>
              <w:ind w:left="318"/>
              <w:rPr>
                <w:rFonts w:ascii="宋体" w:eastAsia="宋体" w:hint="eastAsia"/>
                <w:sz w:val="21"/>
              </w:rPr>
            </w:pPr>
            <w:r>
              <w:rPr>
                <w:rFonts w:ascii="宋体" w:eastAsia="宋体" w:hint="eastAsia"/>
                <w:sz w:val="21"/>
              </w:rPr>
              <w:t>应收分保合同准备金</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0"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其他应收款</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sz w:val="21"/>
              </w:rPr>
            </w:pPr>
            <w:r>
              <w:rPr>
                <w:rFonts w:ascii="宋体" w:eastAsia="宋体" w:hint="eastAsia"/>
                <w:sz w:val="21"/>
              </w:rPr>
              <w:t>七、</w:t>
            </w:r>
            <w:r>
              <w:rPr>
                <w:sz w:val="21"/>
              </w:rPr>
              <w:t>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6"/>
              <w:jc w:val="right"/>
              <w:rPr>
                <w:sz w:val="21"/>
              </w:rPr>
            </w:pPr>
            <w:r>
              <w:rPr>
                <w:sz w:val="21"/>
              </w:rPr>
              <w:t>1,717,152,945.65</w:t>
            </w:r>
          </w:p>
        </w:tc>
        <w:tc>
          <w:tcPr>
            <w:tcW w:w="2410"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2,163,517,802.50</w:t>
            </w: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其中：应收利息</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before="7"/>
              <w:ind w:right="86"/>
              <w:jc w:val="right"/>
              <w:rPr>
                <w:sz w:val="21"/>
              </w:rPr>
            </w:pPr>
            <w:r>
              <w:rPr>
                <w:sz w:val="21"/>
              </w:rPr>
              <w:t>322,473,254.91</w:t>
            </w:r>
          </w:p>
        </w:tc>
        <w:tc>
          <w:tcPr>
            <w:tcW w:w="2410" w:type="dxa"/>
            <w:tcBorders>
              <w:top w:val="single" w:sz="4" w:space="0" w:color="000000"/>
              <w:left w:val="single" w:sz="4" w:space="0" w:color="000000"/>
              <w:bottom w:val="single" w:sz="4" w:space="0" w:color="000000"/>
            </w:tcBorders>
          </w:tcPr>
          <w:p>
            <w:pPr>
              <w:pStyle w:val="TableParagraph"/>
              <w:spacing w:before="7"/>
              <w:ind w:right="76"/>
              <w:jc w:val="right"/>
              <w:rPr>
                <w:sz w:val="21"/>
              </w:rPr>
            </w:pPr>
            <w:r>
              <w:rPr>
                <w:sz w:val="21"/>
              </w:rPr>
              <w:t>273,009,954.80</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3"/>
              <w:ind w:left="947"/>
              <w:rPr>
                <w:rFonts w:ascii="宋体" w:eastAsia="宋体" w:hint="eastAsia"/>
                <w:sz w:val="21"/>
              </w:rPr>
            </w:pPr>
            <w:r>
              <w:rPr>
                <w:rFonts w:ascii="宋体" w:eastAsia="宋体" w:hint="eastAsia"/>
                <w:sz w:val="21"/>
              </w:rPr>
              <w:t>应收股利</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before="10"/>
              <w:ind w:right="86"/>
              <w:jc w:val="right"/>
              <w:rPr>
                <w:sz w:val="21"/>
              </w:rPr>
            </w:pPr>
            <w:r>
              <w:rPr>
                <w:sz w:val="21"/>
              </w:rPr>
              <w:t>4,915,409.42</w:t>
            </w:r>
          </w:p>
        </w:tc>
        <w:tc>
          <w:tcPr>
            <w:tcW w:w="2410" w:type="dxa"/>
            <w:tcBorders>
              <w:top w:val="single" w:sz="4" w:space="0" w:color="000000"/>
              <w:left w:val="single" w:sz="4" w:space="0" w:color="000000"/>
              <w:bottom w:val="single" w:sz="4" w:space="0" w:color="000000"/>
            </w:tcBorders>
          </w:tcPr>
          <w:p>
            <w:pPr>
              <w:pStyle w:val="TableParagraph"/>
              <w:spacing w:before="10"/>
              <w:ind w:right="76"/>
              <w:jc w:val="right"/>
              <w:rPr>
                <w:sz w:val="21"/>
              </w:rPr>
            </w:pPr>
            <w:r>
              <w:rPr>
                <w:sz w:val="21"/>
              </w:rPr>
              <w:t>4,524,472.84</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买入返售金融资产</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0"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存货</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sz w:val="21"/>
              </w:rPr>
            </w:pPr>
            <w:r>
              <w:rPr>
                <w:rFonts w:ascii="宋体" w:eastAsia="宋体" w:hint="eastAsia"/>
                <w:sz w:val="21"/>
              </w:rPr>
              <w:t>七、</w:t>
            </w:r>
            <w:r>
              <w:rPr>
                <w:sz w:val="21"/>
              </w:rPr>
              <w:t>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6"/>
              <w:jc w:val="right"/>
              <w:rPr>
                <w:sz w:val="21"/>
              </w:rPr>
            </w:pPr>
            <w:r>
              <w:rPr>
                <w:sz w:val="21"/>
              </w:rPr>
              <w:t>29,446,973,404.75</w:t>
            </w:r>
          </w:p>
        </w:tc>
        <w:tc>
          <w:tcPr>
            <w:tcW w:w="2410"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28,228,600,971.61</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3"/>
              <w:ind w:left="318"/>
              <w:rPr>
                <w:rFonts w:ascii="宋体" w:eastAsia="宋体" w:hint="eastAsia"/>
                <w:sz w:val="21"/>
              </w:rPr>
            </w:pPr>
            <w:r>
              <w:rPr>
                <w:rFonts w:ascii="宋体" w:eastAsia="宋体" w:hint="eastAsia"/>
                <w:sz w:val="21"/>
              </w:rPr>
              <w:t>合同资产</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left="117"/>
              <w:rPr>
                <w:sz w:val="21"/>
              </w:rPr>
            </w:pPr>
            <w:r>
              <w:rPr>
                <w:rFonts w:ascii="宋体" w:eastAsia="宋体" w:hint="eastAsia"/>
                <w:sz w:val="21"/>
              </w:rPr>
              <w:t>七、</w:t>
            </w:r>
            <w:r>
              <w:rPr>
                <w:sz w:val="21"/>
              </w:rPr>
              <w:t>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86"/>
              <w:jc w:val="right"/>
              <w:rPr>
                <w:sz w:val="21"/>
              </w:rPr>
            </w:pPr>
            <w:r>
              <w:rPr>
                <w:sz w:val="21"/>
              </w:rPr>
              <w:t>263,412,927.58</w:t>
            </w:r>
          </w:p>
        </w:tc>
        <w:tc>
          <w:tcPr>
            <w:tcW w:w="2410" w:type="dxa"/>
            <w:tcBorders>
              <w:top w:val="single" w:sz="4" w:space="0" w:color="000000"/>
              <w:left w:val="single" w:sz="4" w:space="0" w:color="000000"/>
              <w:bottom w:val="single" w:sz="4" w:space="0" w:color="000000"/>
            </w:tcBorders>
          </w:tcPr>
          <w:p>
            <w:pPr>
              <w:pStyle w:val="TableParagraph"/>
              <w:spacing w:line="237" w:lineRule="exact"/>
              <w:ind w:right="76"/>
              <w:jc w:val="right"/>
              <w:rPr>
                <w:sz w:val="21"/>
              </w:rPr>
            </w:pPr>
            <w:r>
              <w:rPr>
                <w:sz w:val="21"/>
              </w:rPr>
              <w:t>422,738,398.42</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3" w:lineRule="exact" w:before="1"/>
              <w:ind w:left="318"/>
              <w:rPr>
                <w:rFonts w:ascii="宋体" w:eastAsia="宋体" w:hint="eastAsia"/>
                <w:sz w:val="21"/>
              </w:rPr>
            </w:pPr>
            <w:r>
              <w:rPr>
                <w:rFonts w:ascii="宋体" w:eastAsia="宋体" w:hint="eastAsia"/>
                <w:sz w:val="21"/>
              </w:rPr>
              <w:t>持有待售资产</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0"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一年内到期的非流动资产</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0"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其他流动资产</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sz w:val="21"/>
              </w:rPr>
            </w:pPr>
            <w:r>
              <w:rPr>
                <w:rFonts w:ascii="宋体" w:eastAsia="宋体" w:hint="eastAsia"/>
                <w:sz w:val="21"/>
              </w:rPr>
              <w:t>七、</w:t>
            </w:r>
            <w:r>
              <w:rPr>
                <w:sz w:val="21"/>
              </w:rPr>
              <w:t>10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6"/>
              <w:jc w:val="right"/>
              <w:rPr>
                <w:sz w:val="21"/>
              </w:rPr>
            </w:pPr>
            <w:r>
              <w:rPr>
                <w:sz w:val="21"/>
              </w:rPr>
              <w:t>3,283,888,900.58</w:t>
            </w:r>
          </w:p>
        </w:tc>
        <w:tc>
          <w:tcPr>
            <w:tcW w:w="2410"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6,985,966,115.46</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527"/>
              <w:rPr>
                <w:rFonts w:ascii="宋体" w:eastAsia="宋体" w:hint="eastAsia"/>
                <w:sz w:val="21"/>
              </w:rPr>
            </w:pPr>
            <w:r>
              <w:rPr>
                <w:rFonts w:ascii="宋体" w:eastAsia="宋体" w:hint="eastAsia"/>
                <w:sz w:val="21"/>
              </w:rPr>
              <w:t>流动资产合计</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7"/>
              <w:rPr>
                <w:rFonts w:ascii="宋体"/>
                <w:sz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6"/>
              <w:jc w:val="right"/>
              <w:rPr>
                <w:sz w:val="21"/>
              </w:rPr>
            </w:pPr>
            <w:r>
              <w:rPr>
                <w:sz w:val="21"/>
              </w:rPr>
              <w:t>114,247,590,722.64</w:t>
            </w:r>
          </w:p>
        </w:tc>
        <w:tc>
          <w:tcPr>
            <w:tcW w:w="2410"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100,547,144,611.51</w:t>
            </w: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1" w:lineRule="exact"/>
              <w:ind w:left="107"/>
              <w:rPr>
                <w:rFonts w:ascii="Microsoft JhengHei" w:eastAsia="Microsoft JhengHei" w:hint="eastAsia"/>
                <w:b/>
                <w:sz w:val="21"/>
              </w:rPr>
            </w:pPr>
            <w:r>
              <w:rPr>
                <w:rFonts w:ascii="Microsoft JhengHei" w:eastAsia="Microsoft JhengHei" w:hint="eastAsia"/>
                <w:b/>
                <w:sz w:val="21"/>
              </w:rPr>
              <w:t>非流动资产：</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0"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发放贷款和垫款</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0"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债权投资</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0"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其他债权投资</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0"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长期应收款</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6"/>
              <w:jc w:val="right"/>
              <w:rPr>
                <w:sz w:val="21"/>
              </w:rPr>
            </w:pPr>
            <w:r>
              <w:rPr>
                <w:sz w:val="21"/>
              </w:rPr>
              <w:t>330,588,978.97</w:t>
            </w:r>
          </w:p>
        </w:tc>
        <w:tc>
          <w:tcPr>
            <w:tcW w:w="2410"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307,588,203.00</w:t>
            </w: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长期股权投资</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sz w:val="21"/>
              </w:rPr>
            </w:pPr>
            <w:r>
              <w:rPr>
                <w:rFonts w:ascii="宋体" w:eastAsia="宋体" w:hint="eastAsia"/>
                <w:sz w:val="21"/>
              </w:rPr>
              <w:t>七、</w:t>
            </w:r>
            <w:r>
              <w:rPr>
                <w:sz w:val="21"/>
              </w:rPr>
              <w:t>11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6"/>
              <w:jc w:val="right"/>
              <w:rPr>
                <w:sz w:val="21"/>
              </w:rPr>
            </w:pPr>
            <w:r>
              <w:rPr>
                <w:sz w:val="21"/>
              </w:rPr>
              <w:t>21,567,658,450.89</w:t>
            </w:r>
          </w:p>
        </w:tc>
        <w:tc>
          <w:tcPr>
            <w:tcW w:w="2410"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20,460,763,915.68</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3"/>
              <w:ind w:left="318"/>
              <w:rPr>
                <w:rFonts w:ascii="宋体" w:eastAsia="宋体" w:hint="eastAsia"/>
                <w:sz w:val="21"/>
              </w:rPr>
            </w:pPr>
            <w:r>
              <w:rPr>
                <w:rFonts w:ascii="宋体" w:eastAsia="宋体" w:hint="eastAsia"/>
                <w:sz w:val="21"/>
              </w:rPr>
              <w:t>其他权益工具投资</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left="117"/>
              <w:rPr>
                <w:sz w:val="21"/>
              </w:rPr>
            </w:pPr>
            <w:r>
              <w:rPr>
                <w:rFonts w:ascii="宋体" w:eastAsia="宋体" w:hint="eastAsia"/>
                <w:sz w:val="21"/>
              </w:rPr>
              <w:t>七、</w:t>
            </w:r>
            <w:r>
              <w:rPr>
                <w:sz w:val="21"/>
              </w:rPr>
              <w:t>12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86"/>
              <w:jc w:val="right"/>
              <w:rPr>
                <w:sz w:val="21"/>
              </w:rPr>
            </w:pPr>
            <w:r>
              <w:rPr>
                <w:sz w:val="21"/>
              </w:rPr>
              <w:t>2,659,125,265.54</w:t>
            </w:r>
          </w:p>
        </w:tc>
        <w:tc>
          <w:tcPr>
            <w:tcW w:w="2410" w:type="dxa"/>
            <w:tcBorders>
              <w:top w:val="single" w:sz="4" w:space="0" w:color="000000"/>
              <w:left w:val="single" w:sz="4" w:space="0" w:color="000000"/>
              <w:bottom w:val="single" w:sz="4" w:space="0" w:color="000000"/>
            </w:tcBorders>
          </w:tcPr>
          <w:p>
            <w:pPr>
              <w:pStyle w:val="TableParagraph"/>
              <w:spacing w:line="237" w:lineRule="exact"/>
              <w:ind w:right="76"/>
              <w:jc w:val="right"/>
              <w:rPr>
                <w:sz w:val="21"/>
              </w:rPr>
            </w:pPr>
            <w:r>
              <w:rPr>
                <w:sz w:val="21"/>
              </w:rPr>
              <w:t>1,395,959,878.92</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其他非流动金融资产</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sz w:val="21"/>
              </w:rPr>
            </w:pPr>
            <w:r>
              <w:rPr>
                <w:rFonts w:ascii="宋体" w:eastAsia="宋体" w:hint="eastAsia"/>
                <w:sz w:val="21"/>
              </w:rPr>
              <w:t>七、</w:t>
            </w:r>
            <w:r>
              <w:rPr>
                <w:sz w:val="21"/>
              </w:rPr>
              <w:t>13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0" w:type="dxa"/>
            <w:tcBorders>
              <w:top w:val="single" w:sz="4" w:space="0" w:color="000000"/>
              <w:left w:val="single" w:sz="4" w:space="0" w:color="000000"/>
              <w:bottom w:val="single" w:sz="4" w:space="0" w:color="000000"/>
            </w:tcBorders>
          </w:tcPr>
          <w:p>
            <w:pPr>
              <w:pStyle w:val="TableParagraph"/>
              <w:spacing w:before="14"/>
              <w:ind w:right="79"/>
              <w:jc w:val="right"/>
              <w:rPr>
                <w:sz w:val="20"/>
              </w:rPr>
            </w:pPr>
            <w:r>
              <w:rPr>
                <w:w w:val="95"/>
                <w:sz w:val="20"/>
              </w:rPr>
              <w:t>294,547,364.47</w:t>
            </w: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投资性房地产</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sz w:val="21"/>
              </w:rPr>
            </w:pPr>
            <w:r>
              <w:rPr>
                <w:rFonts w:ascii="宋体" w:eastAsia="宋体" w:hint="eastAsia"/>
                <w:sz w:val="21"/>
              </w:rPr>
              <w:t>七、</w:t>
            </w:r>
            <w:r>
              <w:rPr>
                <w:sz w:val="21"/>
              </w:rPr>
              <w:t>14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6"/>
              <w:jc w:val="right"/>
              <w:rPr>
                <w:sz w:val="21"/>
              </w:rPr>
            </w:pPr>
            <w:r>
              <w:rPr>
                <w:sz w:val="21"/>
              </w:rPr>
              <w:t>28,387,002.81</w:t>
            </w:r>
          </w:p>
        </w:tc>
        <w:tc>
          <w:tcPr>
            <w:tcW w:w="2410"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29,402,691.38</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4"/>
              <w:ind w:left="318"/>
              <w:rPr>
                <w:rFonts w:ascii="宋体" w:eastAsia="宋体" w:hint="eastAsia"/>
                <w:sz w:val="21"/>
              </w:rPr>
            </w:pPr>
            <w:r>
              <w:rPr>
                <w:rFonts w:ascii="宋体" w:eastAsia="宋体" w:hint="eastAsia"/>
                <w:sz w:val="21"/>
              </w:rPr>
              <w:t>固定资产</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4"/>
              <w:ind w:left="117"/>
              <w:rPr>
                <w:sz w:val="21"/>
              </w:rPr>
            </w:pPr>
            <w:r>
              <w:rPr>
                <w:rFonts w:ascii="宋体" w:eastAsia="宋体" w:hint="eastAsia"/>
                <w:sz w:val="21"/>
              </w:rPr>
              <w:t>七、</w:t>
            </w:r>
            <w:r>
              <w:rPr>
                <w:sz w:val="21"/>
              </w:rPr>
              <w:t>15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86"/>
              <w:jc w:val="right"/>
              <w:rPr>
                <w:sz w:val="21"/>
              </w:rPr>
            </w:pPr>
            <w:r>
              <w:rPr>
                <w:sz w:val="21"/>
              </w:rPr>
              <w:t>20,895,504,722.21</w:t>
            </w:r>
          </w:p>
        </w:tc>
        <w:tc>
          <w:tcPr>
            <w:tcW w:w="2410" w:type="dxa"/>
            <w:tcBorders>
              <w:top w:val="single" w:sz="4" w:space="0" w:color="000000"/>
              <w:left w:val="single" w:sz="4" w:space="0" w:color="000000"/>
              <w:bottom w:val="single" w:sz="4" w:space="0" w:color="000000"/>
            </w:tcBorders>
          </w:tcPr>
          <w:p>
            <w:pPr>
              <w:pStyle w:val="TableParagraph"/>
              <w:spacing w:line="238" w:lineRule="exact"/>
              <w:ind w:right="76"/>
              <w:jc w:val="right"/>
              <w:rPr>
                <w:sz w:val="21"/>
              </w:rPr>
            </w:pPr>
            <w:r>
              <w:rPr>
                <w:sz w:val="21"/>
              </w:rPr>
              <w:t>21,180,057,212.01</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在建工程</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sz w:val="21"/>
              </w:rPr>
            </w:pPr>
            <w:r>
              <w:rPr>
                <w:rFonts w:ascii="宋体" w:eastAsia="宋体" w:hint="eastAsia"/>
                <w:sz w:val="21"/>
              </w:rPr>
              <w:t>七、</w:t>
            </w:r>
            <w:r>
              <w:rPr>
                <w:sz w:val="21"/>
              </w:rPr>
              <w:t>16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6"/>
              <w:jc w:val="right"/>
              <w:rPr>
                <w:sz w:val="21"/>
              </w:rPr>
            </w:pPr>
            <w:r>
              <w:rPr>
                <w:sz w:val="21"/>
              </w:rPr>
              <w:t>3,596,902,447.07</w:t>
            </w:r>
          </w:p>
        </w:tc>
        <w:tc>
          <w:tcPr>
            <w:tcW w:w="2410"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2,391,364,659.97</w:t>
            </w: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生产性生物资产</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0"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油气资产</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0"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使用权资产</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sz w:val="21"/>
              </w:rPr>
            </w:pPr>
            <w:r>
              <w:rPr>
                <w:rFonts w:ascii="宋体" w:eastAsia="宋体" w:hint="eastAsia"/>
                <w:sz w:val="21"/>
              </w:rPr>
              <w:t>七、</w:t>
            </w:r>
            <w:r>
              <w:rPr>
                <w:sz w:val="21"/>
              </w:rPr>
              <w:t>17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6"/>
              <w:jc w:val="right"/>
              <w:rPr>
                <w:sz w:val="21"/>
              </w:rPr>
            </w:pPr>
            <w:r>
              <w:rPr>
                <w:sz w:val="21"/>
              </w:rPr>
              <w:t>2,839,858,259.27</w:t>
            </w:r>
          </w:p>
        </w:tc>
        <w:tc>
          <w:tcPr>
            <w:tcW w:w="2410"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2,755,066,601.59</w:t>
            </w: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无形资产</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sz w:val="21"/>
              </w:rPr>
            </w:pPr>
            <w:r>
              <w:rPr>
                <w:rFonts w:ascii="宋体" w:eastAsia="宋体" w:hint="eastAsia"/>
                <w:sz w:val="21"/>
              </w:rPr>
              <w:t>七、</w:t>
            </w:r>
            <w:r>
              <w:rPr>
                <w:sz w:val="21"/>
              </w:rPr>
              <w:t>18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6"/>
              <w:jc w:val="right"/>
              <w:rPr>
                <w:sz w:val="21"/>
              </w:rPr>
            </w:pPr>
            <w:r>
              <w:rPr>
                <w:sz w:val="21"/>
              </w:rPr>
              <w:t>10,017,867,645.93</w:t>
            </w:r>
          </w:p>
        </w:tc>
        <w:tc>
          <w:tcPr>
            <w:tcW w:w="2410"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10,687,071,783.07</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开发支出</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sz w:val="21"/>
              </w:rPr>
            </w:pPr>
            <w:r>
              <w:rPr>
                <w:rFonts w:ascii="宋体" w:eastAsia="宋体" w:hint="eastAsia"/>
                <w:sz w:val="21"/>
              </w:rPr>
              <w:t>七、</w:t>
            </w:r>
            <w:r>
              <w:rPr>
                <w:sz w:val="21"/>
              </w:rPr>
              <w:t>19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6"/>
              <w:jc w:val="right"/>
              <w:rPr>
                <w:sz w:val="21"/>
              </w:rPr>
            </w:pPr>
            <w:r>
              <w:rPr>
                <w:sz w:val="21"/>
              </w:rPr>
              <w:t>167,746,724.13</w:t>
            </w:r>
          </w:p>
        </w:tc>
        <w:tc>
          <w:tcPr>
            <w:tcW w:w="2410"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193,285,777.10</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商誉</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sz w:val="21"/>
              </w:rPr>
            </w:pPr>
            <w:r>
              <w:rPr>
                <w:rFonts w:ascii="宋体" w:eastAsia="宋体" w:hint="eastAsia"/>
                <w:sz w:val="21"/>
              </w:rPr>
              <w:t>七、</w:t>
            </w:r>
            <w:r>
              <w:rPr>
                <w:sz w:val="21"/>
              </w:rPr>
              <w:t>20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6"/>
              <w:jc w:val="right"/>
              <w:rPr>
                <w:sz w:val="21"/>
              </w:rPr>
            </w:pPr>
            <w:r>
              <w:rPr>
                <w:sz w:val="21"/>
              </w:rPr>
              <w:t>22,518,460,337.64</w:t>
            </w:r>
          </w:p>
        </w:tc>
        <w:tc>
          <w:tcPr>
            <w:tcW w:w="2410"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23,351,729,813.35</w:t>
            </w: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长期待摊费用</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sz w:val="21"/>
              </w:rPr>
            </w:pPr>
            <w:r>
              <w:rPr>
                <w:rFonts w:ascii="宋体" w:eastAsia="宋体" w:hint="eastAsia"/>
                <w:sz w:val="21"/>
              </w:rPr>
              <w:t>七、</w:t>
            </w:r>
            <w:r>
              <w:rPr>
                <w:sz w:val="21"/>
              </w:rPr>
              <w:t>21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6"/>
              <w:jc w:val="right"/>
              <w:rPr>
                <w:sz w:val="21"/>
              </w:rPr>
            </w:pPr>
            <w:r>
              <w:rPr>
                <w:sz w:val="21"/>
              </w:rPr>
              <w:t>455,742,504.13</w:t>
            </w:r>
          </w:p>
        </w:tc>
        <w:tc>
          <w:tcPr>
            <w:tcW w:w="2410"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437,586,912.58</w:t>
            </w:r>
          </w:p>
        </w:tc>
      </w:tr>
      <w:tr>
        <w:trPr>
          <w:trHeight w:val="270" w:hRule="atLeast"/>
        </w:trPr>
        <w:tc>
          <w:tcPr>
            <w:tcW w:w="3795" w:type="dxa"/>
            <w:tcBorders>
              <w:top w:val="single" w:sz="4" w:space="0" w:color="000000"/>
              <w:right w:val="single" w:sz="4" w:space="0" w:color="000000"/>
            </w:tcBorders>
          </w:tcPr>
          <w:p>
            <w:pPr>
              <w:pStyle w:val="TableParagraph"/>
              <w:spacing w:line="249" w:lineRule="exact" w:before="1"/>
              <w:ind w:left="318"/>
              <w:rPr>
                <w:rFonts w:ascii="宋体" w:eastAsia="宋体" w:hint="eastAsia"/>
                <w:sz w:val="21"/>
              </w:rPr>
            </w:pPr>
            <w:r>
              <w:rPr>
                <w:rFonts w:ascii="宋体" w:eastAsia="宋体" w:hint="eastAsia"/>
                <w:sz w:val="21"/>
              </w:rPr>
              <w:t>递延所得税资产</w:t>
            </w:r>
          </w:p>
        </w:tc>
        <w:tc>
          <w:tcPr>
            <w:tcW w:w="939" w:type="dxa"/>
            <w:tcBorders>
              <w:top w:val="single" w:sz="4" w:space="0" w:color="000000"/>
              <w:left w:val="single" w:sz="4" w:space="0" w:color="000000"/>
              <w:right w:val="single" w:sz="4" w:space="0" w:color="000000"/>
            </w:tcBorders>
          </w:tcPr>
          <w:p>
            <w:pPr>
              <w:pStyle w:val="TableParagraph"/>
              <w:spacing w:line="249" w:lineRule="exact" w:before="1"/>
              <w:ind w:left="117"/>
              <w:rPr>
                <w:sz w:val="21"/>
              </w:rPr>
            </w:pPr>
            <w:r>
              <w:rPr>
                <w:rFonts w:ascii="宋体" w:eastAsia="宋体" w:hint="eastAsia"/>
                <w:sz w:val="21"/>
              </w:rPr>
              <w:t>七、</w:t>
            </w:r>
            <w:r>
              <w:rPr>
                <w:sz w:val="21"/>
              </w:rPr>
              <w:t>22</w:t>
            </w:r>
          </w:p>
        </w:tc>
        <w:tc>
          <w:tcPr>
            <w:tcW w:w="1896" w:type="dxa"/>
            <w:tcBorders>
              <w:top w:val="single" w:sz="4" w:space="0" w:color="000000"/>
              <w:left w:val="single" w:sz="4" w:space="0" w:color="000000"/>
              <w:right w:val="single" w:sz="4" w:space="0" w:color="000000"/>
            </w:tcBorders>
          </w:tcPr>
          <w:p>
            <w:pPr>
              <w:pStyle w:val="TableParagraph"/>
              <w:spacing w:line="235" w:lineRule="exact"/>
              <w:ind w:right="86"/>
              <w:jc w:val="right"/>
              <w:rPr>
                <w:sz w:val="21"/>
              </w:rPr>
            </w:pPr>
            <w:r>
              <w:rPr>
                <w:sz w:val="21"/>
              </w:rPr>
              <w:t>2,208,301,258.25</w:t>
            </w:r>
          </w:p>
        </w:tc>
        <w:tc>
          <w:tcPr>
            <w:tcW w:w="2410" w:type="dxa"/>
            <w:tcBorders>
              <w:top w:val="single" w:sz="4" w:space="0" w:color="000000"/>
              <w:left w:val="single" w:sz="4" w:space="0" w:color="000000"/>
            </w:tcBorders>
          </w:tcPr>
          <w:p>
            <w:pPr>
              <w:pStyle w:val="TableParagraph"/>
              <w:spacing w:line="235" w:lineRule="exact"/>
              <w:ind w:right="76"/>
              <w:jc w:val="right"/>
              <w:rPr>
                <w:sz w:val="21"/>
              </w:rPr>
            </w:pPr>
            <w:r>
              <w:rPr>
                <w:sz w:val="21"/>
              </w:rPr>
              <w:t>1,578,901,892.73</w:t>
            </w:r>
          </w:p>
        </w:tc>
      </w:tr>
    </w:tbl>
    <w:p>
      <w:pPr>
        <w:spacing w:after="0" w:line="235" w:lineRule="exact"/>
        <w:jc w:val="right"/>
        <w:rPr>
          <w:sz w:val="21"/>
        </w:rPr>
        <w:sectPr>
          <w:type w:val="continuous"/>
          <w:pgSz w:w="11910" w:h="16840"/>
          <w:pgMar w:top="1360" w:bottom="1400" w:left="1560" w:right="960"/>
        </w:sectPr>
      </w:pPr>
    </w:p>
    <w:p>
      <w:pPr>
        <w:pStyle w:val="BodyText"/>
        <w:spacing w:before="9"/>
        <w:rPr>
          <w:rFonts w:ascii="Times New Roman"/>
          <w:sz w:val="5"/>
        </w:rPr>
      </w:pPr>
    </w:p>
    <w:tbl>
      <w:tblPr>
        <w:tblW w:w="0" w:type="auto"/>
        <w:jc w:val="left"/>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795"/>
        <w:gridCol w:w="939"/>
        <w:gridCol w:w="1896"/>
        <w:gridCol w:w="2410"/>
      </w:tblGrid>
      <w:tr>
        <w:trPr>
          <w:trHeight w:val="273" w:hRule="atLeast"/>
        </w:trPr>
        <w:tc>
          <w:tcPr>
            <w:tcW w:w="3795" w:type="dxa"/>
            <w:tcBorders>
              <w:bottom w:val="single" w:sz="4" w:space="0" w:color="000000"/>
              <w:right w:val="single" w:sz="4" w:space="0" w:color="000000"/>
            </w:tcBorders>
          </w:tcPr>
          <w:p>
            <w:pPr>
              <w:pStyle w:val="TableParagraph"/>
              <w:spacing w:line="250" w:lineRule="exact" w:before="3"/>
              <w:ind w:left="318"/>
              <w:rPr>
                <w:rFonts w:ascii="宋体" w:eastAsia="宋体" w:hint="eastAsia"/>
                <w:sz w:val="21"/>
              </w:rPr>
            </w:pPr>
            <w:r>
              <w:rPr>
                <w:rFonts w:ascii="宋体" w:eastAsia="宋体" w:hint="eastAsia"/>
                <w:sz w:val="21"/>
              </w:rPr>
              <w:t>其他非流动资产</w:t>
            </w:r>
          </w:p>
        </w:tc>
        <w:tc>
          <w:tcPr>
            <w:tcW w:w="939" w:type="dxa"/>
            <w:tcBorders>
              <w:left w:val="single" w:sz="4" w:space="0" w:color="000000"/>
              <w:bottom w:val="single" w:sz="4" w:space="0" w:color="000000"/>
              <w:right w:val="single" w:sz="4" w:space="0" w:color="000000"/>
            </w:tcBorders>
          </w:tcPr>
          <w:p>
            <w:pPr>
              <w:pStyle w:val="TableParagraph"/>
              <w:spacing w:line="250" w:lineRule="exact" w:before="3"/>
              <w:ind w:left="117"/>
              <w:rPr>
                <w:sz w:val="21"/>
              </w:rPr>
            </w:pPr>
            <w:r>
              <w:rPr>
                <w:rFonts w:ascii="宋体" w:eastAsia="宋体" w:hint="eastAsia"/>
                <w:sz w:val="21"/>
              </w:rPr>
              <w:t>七、</w:t>
            </w:r>
            <w:r>
              <w:rPr>
                <w:sz w:val="21"/>
              </w:rPr>
              <w:t>23</w:t>
            </w:r>
          </w:p>
        </w:tc>
        <w:tc>
          <w:tcPr>
            <w:tcW w:w="1896" w:type="dxa"/>
            <w:tcBorders>
              <w:left w:val="single" w:sz="4" w:space="0" w:color="000000"/>
              <w:bottom w:val="single" w:sz="4" w:space="0" w:color="000000"/>
              <w:right w:val="single" w:sz="4" w:space="0" w:color="000000"/>
            </w:tcBorders>
          </w:tcPr>
          <w:p>
            <w:pPr>
              <w:pStyle w:val="TableParagraph"/>
              <w:spacing w:line="237" w:lineRule="exact"/>
              <w:ind w:right="86"/>
              <w:jc w:val="right"/>
              <w:rPr>
                <w:sz w:val="21"/>
              </w:rPr>
            </w:pPr>
            <w:r>
              <w:rPr>
                <w:sz w:val="21"/>
              </w:rPr>
              <w:t>1,925,761,560.17</w:t>
            </w:r>
          </w:p>
        </w:tc>
        <w:tc>
          <w:tcPr>
            <w:tcW w:w="2410" w:type="dxa"/>
            <w:tcBorders>
              <w:left w:val="single" w:sz="4" w:space="0" w:color="000000"/>
              <w:bottom w:val="single" w:sz="4" w:space="0" w:color="000000"/>
            </w:tcBorders>
          </w:tcPr>
          <w:p>
            <w:pPr>
              <w:pStyle w:val="TableParagraph"/>
              <w:spacing w:line="237" w:lineRule="exact"/>
              <w:ind w:right="76"/>
              <w:jc w:val="right"/>
              <w:rPr>
                <w:sz w:val="21"/>
              </w:rPr>
            </w:pPr>
            <w:r>
              <w:rPr>
                <w:sz w:val="21"/>
              </w:rPr>
              <w:t>1,843,764,965.81</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3"/>
              <w:ind w:left="527"/>
              <w:rPr>
                <w:rFonts w:ascii="宋体" w:eastAsia="宋体" w:hint="eastAsia"/>
                <w:sz w:val="21"/>
              </w:rPr>
            </w:pPr>
            <w:r>
              <w:rPr>
                <w:rFonts w:ascii="宋体" w:eastAsia="宋体" w:hint="eastAsia"/>
                <w:sz w:val="21"/>
              </w:rPr>
              <w:t>非流动资产合计</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17"/>
              <w:rPr>
                <w:rFonts w:ascii="宋体"/>
                <w:sz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86"/>
              <w:jc w:val="right"/>
              <w:rPr>
                <w:sz w:val="21"/>
              </w:rPr>
            </w:pPr>
            <w:r>
              <w:rPr>
                <w:sz w:val="21"/>
              </w:rPr>
              <w:t>89,211,905,157.01</w:t>
            </w:r>
          </w:p>
        </w:tc>
        <w:tc>
          <w:tcPr>
            <w:tcW w:w="2410" w:type="dxa"/>
            <w:tcBorders>
              <w:top w:val="single" w:sz="4" w:space="0" w:color="000000"/>
              <w:left w:val="single" w:sz="4" w:space="0" w:color="000000"/>
              <w:bottom w:val="single" w:sz="4" w:space="0" w:color="000000"/>
            </w:tcBorders>
          </w:tcPr>
          <w:p>
            <w:pPr>
              <w:pStyle w:val="TableParagraph"/>
              <w:spacing w:line="237" w:lineRule="exact"/>
              <w:ind w:right="76"/>
              <w:jc w:val="right"/>
              <w:rPr>
                <w:sz w:val="21"/>
              </w:rPr>
            </w:pPr>
            <w:r>
              <w:rPr>
                <w:sz w:val="21"/>
              </w:rPr>
              <w:t>86,907,091,671.66</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738"/>
              <w:rPr>
                <w:rFonts w:ascii="宋体" w:eastAsia="宋体" w:hint="eastAsia"/>
                <w:sz w:val="21"/>
              </w:rPr>
            </w:pPr>
            <w:r>
              <w:rPr>
                <w:rFonts w:ascii="宋体" w:eastAsia="宋体" w:hint="eastAsia"/>
                <w:sz w:val="21"/>
              </w:rPr>
              <w:t>资产总计</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7"/>
              <w:rPr>
                <w:rFonts w:ascii="宋体"/>
                <w:sz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6"/>
              <w:jc w:val="right"/>
              <w:rPr>
                <w:sz w:val="21"/>
              </w:rPr>
            </w:pPr>
            <w:r>
              <w:rPr>
                <w:sz w:val="21"/>
              </w:rPr>
              <w:t>203,459,495,879.65</w:t>
            </w:r>
          </w:p>
        </w:tc>
        <w:tc>
          <w:tcPr>
            <w:tcW w:w="2410"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187,454,236,283.17</w:t>
            </w: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1" w:lineRule="exact"/>
              <w:ind w:left="107"/>
              <w:rPr>
                <w:rFonts w:ascii="Microsoft JhengHei" w:eastAsia="Microsoft JhengHei" w:hint="eastAsia"/>
                <w:b/>
                <w:sz w:val="21"/>
              </w:rPr>
            </w:pPr>
            <w:r>
              <w:rPr>
                <w:rFonts w:ascii="Microsoft JhengHei" w:eastAsia="Microsoft JhengHei" w:hint="eastAsia"/>
                <w:b/>
                <w:sz w:val="21"/>
              </w:rPr>
              <w:t>流动负债：</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0"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短期借款</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sz w:val="21"/>
              </w:rPr>
            </w:pPr>
            <w:r>
              <w:rPr>
                <w:rFonts w:ascii="宋体" w:eastAsia="宋体" w:hint="eastAsia"/>
                <w:sz w:val="21"/>
              </w:rPr>
              <w:t>七、</w:t>
            </w:r>
            <w:r>
              <w:rPr>
                <w:sz w:val="21"/>
              </w:rPr>
              <w:t>24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6"/>
              <w:jc w:val="right"/>
              <w:rPr>
                <w:sz w:val="21"/>
              </w:rPr>
            </w:pPr>
            <w:r>
              <w:rPr>
                <w:sz w:val="21"/>
              </w:rPr>
              <w:t>7,687,908,165.88</w:t>
            </w:r>
          </w:p>
        </w:tc>
        <w:tc>
          <w:tcPr>
            <w:tcW w:w="2410"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8,585,049,237.18</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向中央银行借款</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0"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拆入资金</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0"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交易性金融负债</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sz w:val="21"/>
              </w:rPr>
            </w:pPr>
            <w:r>
              <w:rPr>
                <w:rFonts w:ascii="宋体" w:eastAsia="宋体" w:hint="eastAsia"/>
                <w:sz w:val="21"/>
              </w:rPr>
              <w:t>七、</w:t>
            </w:r>
            <w:r>
              <w:rPr>
                <w:sz w:val="21"/>
              </w:rPr>
              <w:t>25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6"/>
              <w:jc w:val="right"/>
              <w:rPr>
                <w:sz w:val="21"/>
              </w:rPr>
            </w:pPr>
            <w:r>
              <w:rPr>
                <w:sz w:val="21"/>
              </w:rPr>
              <w:t>26,952,508.66</w:t>
            </w:r>
          </w:p>
        </w:tc>
        <w:tc>
          <w:tcPr>
            <w:tcW w:w="2410"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42,799,173.35</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衍生金融负债</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sz w:val="21"/>
              </w:rPr>
            </w:pPr>
            <w:r>
              <w:rPr>
                <w:rFonts w:ascii="宋体" w:eastAsia="宋体" w:hint="eastAsia"/>
                <w:sz w:val="21"/>
              </w:rPr>
              <w:t>七、</w:t>
            </w:r>
            <w:r>
              <w:rPr>
                <w:sz w:val="21"/>
              </w:rPr>
              <w:t>26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6"/>
              <w:jc w:val="right"/>
              <w:rPr>
                <w:sz w:val="21"/>
              </w:rPr>
            </w:pPr>
            <w:r>
              <w:rPr>
                <w:sz w:val="21"/>
              </w:rPr>
              <w:t>239,582,532.90</w:t>
            </w:r>
          </w:p>
        </w:tc>
        <w:tc>
          <w:tcPr>
            <w:tcW w:w="2410"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99,548,853.97</w:t>
            </w: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应付票据</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sz w:val="21"/>
              </w:rPr>
            </w:pPr>
            <w:r>
              <w:rPr>
                <w:rFonts w:ascii="宋体" w:eastAsia="宋体" w:hint="eastAsia"/>
                <w:sz w:val="21"/>
              </w:rPr>
              <w:t>七、</w:t>
            </w:r>
            <w:r>
              <w:rPr>
                <w:sz w:val="21"/>
              </w:rPr>
              <w:t>27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6"/>
              <w:jc w:val="right"/>
              <w:rPr>
                <w:sz w:val="21"/>
              </w:rPr>
            </w:pPr>
            <w:r>
              <w:rPr>
                <w:sz w:val="21"/>
              </w:rPr>
              <w:t>21,236,057,053.67</w:t>
            </w:r>
          </w:p>
        </w:tc>
        <w:tc>
          <w:tcPr>
            <w:tcW w:w="2410"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19,308,538,776.92</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应付账款</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sz w:val="21"/>
              </w:rPr>
            </w:pPr>
            <w:r>
              <w:rPr>
                <w:rFonts w:ascii="宋体" w:eastAsia="宋体" w:hint="eastAsia"/>
                <w:sz w:val="21"/>
              </w:rPr>
              <w:t>七、</w:t>
            </w:r>
            <w:r>
              <w:rPr>
                <w:sz w:val="21"/>
              </w:rPr>
              <w:t>28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6"/>
              <w:jc w:val="right"/>
              <w:rPr>
                <w:sz w:val="21"/>
              </w:rPr>
            </w:pPr>
            <w:r>
              <w:rPr>
                <w:sz w:val="21"/>
              </w:rPr>
              <w:t>36,302,971,944.48</w:t>
            </w:r>
          </w:p>
        </w:tc>
        <w:tc>
          <w:tcPr>
            <w:tcW w:w="2410"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33,750,567,046.28</w:t>
            </w: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预收款项</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0"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3"/>
              <w:ind w:left="318"/>
              <w:rPr>
                <w:rFonts w:ascii="宋体" w:eastAsia="宋体" w:hint="eastAsia"/>
                <w:sz w:val="21"/>
              </w:rPr>
            </w:pPr>
            <w:r>
              <w:rPr>
                <w:rFonts w:ascii="宋体" w:eastAsia="宋体" w:hint="eastAsia"/>
                <w:sz w:val="21"/>
              </w:rPr>
              <w:t>合同负债</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left="117"/>
              <w:rPr>
                <w:sz w:val="21"/>
              </w:rPr>
            </w:pPr>
            <w:r>
              <w:rPr>
                <w:rFonts w:ascii="宋体" w:eastAsia="宋体" w:hint="eastAsia"/>
                <w:sz w:val="21"/>
              </w:rPr>
              <w:t>七、</w:t>
            </w:r>
            <w:r>
              <w:rPr>
                <w:sz w:val="21"/>
              </w:rPr>
              <w:t>29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86"/>
              <w:jc w:val="right"/>
              <w:rPr>
                <w:sz w:val="21"/>
              </w:rPr>
            </w:pPr>
            <w:r>
              <w:rPr>
                <w:sz w:val="21"/>
              </w:rPr>
              <w:t>7,048,637,659.48</w:t>
            </w:r>
          </w:p>
        </w:tc>
        <w:tc>
          <w:tcPr>
            <w:tcW w:w="2410" w:type="dxa"/>
            <w:tcBorders>
              <w:top w:val="single" w:sz="4" w:space="0" w:color="000000"/>
              <w:left w:val="single" w:sz="4" w:space="0" w:color="000000"/>
              <w:bottom w:val="single" w:sz="4" w:space="0" w:color="000000"/>
            </w:tcBorders>
          </w:tcPr>
          <w:p>
            <w:pPr>
              <w:pStyle w:val="TableParagraph"/>
              <w:spacing w:line="237" w:lineRule="exact"/>
              <w:ind w:right="76"/>
              <w:jc w:val="right"/>
              <w:rPr>
                <w:sz w:val="21"/>
              </w:rPr>
            </w:pPr>
            <w:r>
              <w:rPr>
                <w:sz w:val="21"/>
              </w:rPr>
              <w:t>5,583,008,412.49</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卖出回购金融资产款</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0"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吸收存款及同业存放</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0"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3"/>
              <w:ind w:left="318"/>
              <w:rPr>
                <w:rFonts w:ascii="宋体" w:eastAsia="宋体" w:hint="eastAsia"/>
                <w:sz w:val="21"/>
              </w:rPr>
            </w:pPr>
            <w:r>
              <w:rPr>
                <w:rFonts w:ascii="宋体" w:eastAsia="宋体" w:hint="eastAsia"/>
                <w:sz w:val="21"/>
              </w:rPr>
              <w:t>代理买卖证券款</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0"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代理承销证券款</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0"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应付职工薪酬</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sz w:val="21"/>
              </w:rPr>
            </w:pPr>
            <w:r>
              <w:rPr>
                <w:rFonts w:ascii="宋体" w:eastAsia="宋体" w:hint="eastAsia"/>
                <w:sz w:val="21"/>
              </w:rPr>
              <w:t>七、</w:t>
            </w:r>
            <w:r>
              <w:rPr>
                <w:sz w:val="21"/>
              </w:rPr>
              <w:t>30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6"/>
              <w:jc w:val="right"/>
              <w:rPr>
                <w:sz w:val="21"/>
              </w:rPr>
            </w:pPr>
            <w:r>
              <w:rPr>
                <w:sz w:val="21"/>
              </w:rPr>
              <w:t>3,760,099,978.82</w:t>
            </w:r>
          </w:p>
        </w:tc>
        <w:tc>
          <w:tcPr>
            <w:tcW w:w="2410"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3,155,572,417.30</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应交税费</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sz w:val="21"/>
              </w:rPr>
            </w:pPr>
            <w:r>
              <w:rPr>
                <w:rFonts w:ascii="宋体" w:eastAsia="宋体" w:hint="eastAsia"/>
                <w:sz w:val="21"/>
              </w:rPr>
              <w:t>七、</w:t>
            </w:r>
            <w:r>
              <w:rPr>
                <w:sz w:val="21"/>
              </w:rPr>
              <w:t>31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6"/>
              <w:jc w:val="right"/>
              <w:rPr>
                <w:sz w:val="21"/>
              </w:rPr>
            </w:pPr>
            <w:r>
              <w:rPr>
                <w:sz w:val="21"/>
              </w:rPr>
              <w:t>2,399,705,460.12</w:t>
            </w:r>
          </w:p>
        </w:tc>
        <w:tc>
          <w:tcPr>
            <w:tcW w:w="2410"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2,117,056,381.04</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其他应付款</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sz w:val="21"/>
              </w:rPr>
            </w:pPr>
            <w:r>
              <w:rPr>
                <w:rFonts w:ascii="宋体" w:eastAsia="宋体" w:hint="eastAsia"/>
                <w:sz w:val="21"/>
              </w:rPr>
              <w:t>七、</w:t>
            </w:r>
            <w:r>
              <w:rPr>
                <w:sz w:val="21"/>
              </w:rPr>
              <w:t>32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6"/>
              <w:jc w:val="right"/>
              <w:rPr>
                <w:sz w:val="21"/>
              </w:rPr>
            </w:pPr>
            <w:r>
              <w:rPr>
                <w:sz w:val="21"/>
              </w:rPr>
              <w:t>17,056,156,167.28</w:t>
            </w:r>
          </w:p>
        </w:tc>
        <w:tc>
          <w:tcPr>
            <w:tcW w:w="2410"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15,156,392,521.82</w:t>
            </w: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其中：应付利息</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0"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947"/>
              <w:rPr>
                <w:rFonts w:ascii="宋体" w:eastAsia="宋体" w:hint="eastAsia"/>
                <w:sz w:val="21"/>
              </w:rPr>
            </w:pPr>
            <w:r>
              <w:rPr>
                <w:rFonts w:ascii="宋体" w:eastAsia="宋体" w:hint="eastAsia"/>
                <w:sz w:val="21"/>
              </w:rPr>
              <w:t>应付股利</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0"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应付手续费及佣金</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0"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应付分保账款</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0"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持有待售负债</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0"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一年内到期的非流动负债</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sz w:val="21"/>
              </w:rPr>
            </w:pPr>
            <w:r>
              <w:rPr>
                <w:rFonts w:ascii="宋体" w:eastAsia="宋体" w:hint="eastAsia"/>
                <w:sz w:val="21"/>
              </w:rPr>
              <w:t>七、</w:t>
            </w:r>
            <w:r>
              <w:rPr>
                <w:sz w:val="21"/>
              </w:rPr>
              <w:t>33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6"/>
              <w:jc w:val="right"/>
              <w:rPr>
                <w:sz w:val="21"/>
              </w:rPr>
            </w:pPr>
            <w:r>
              <w:rPr>
                <w:sz w:val="21"/>
              </w:rPr>
              <w:t>7,522,724,913.40</w:t>
            </w:r>
          </w:p>
        </w:tc>
        <w:tc>
          <w:tcPr>
            <w:tcW w:w="2410"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7,317,138,918.02</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3"/>
              <w:ind w:left="318"/>
              <w:rPr>
                <w:rFonts w:ascii="宋体" w:eastAsia="宋体" w:hint="eastAsia"/>
                <w:sz w:val="21"/>
              </w:rPr>
            </w:pPr>
            <w:r>
              <w:rPr>
                <w:rFonts w:ascii="宋体" w:eastAsia="宋体" w:hint="eastAsia"/>
                <w:sz w:val="21"/>
              </w:rPr>
              <w:t>其他流动负债</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left="117"/>
              <w:rPr>
                <w:sz w:val="21"/>
              </w:rPr>
            </w:pPr>
            <w:r>
              <w:rPr>
                <w:rFonts w:ascii="宋体" w:eastAsia="宋体" w:hint="eastAsia"/>
                <w:sz w:val="21"/>
              </w:rPr>
              <w:t>七、</w:t>
            </w:r>
            <w:r>
              <w:rPr>
                <w:sz w:val="21"/>
              </w:rPr>
              <w:t>34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86"/>
              <w:jc w:val="right"/>
              <w:rPr>
                <w:sz w:val="21"/>
              </w:rPr>
            </w:pPr>
            <w:r>
              <w:rPr>
                <w:sz w:val="21"/>
              </w:rPr>
              <w:t>6,112,053,944.63</w:t>
            </w:r>
          </w:p>
        </w:tc>
        <w:tc>
          <w:tcPr>
            <w:tcW w:w="2410" w:type="dxa"/>
            <w:tcBorders>
              <w:top w:val="single" w:sz="4" w:space="0" w:color="000000"/>
              <w:left w:val="single" w:sz="4" w:space="0" w:color="000000"/>
              <w:bottom w:val="single" w:sz="4" w:space="0" w:color="000000"/>
            </w:tcBorders>
          </w:tcPr>
          <w:p>
            <w:pPr>
              <w:pStyle w:val="TableParagraph"/>
              <w:spacing w:line="238" w:lineRule="exact"/>
              <w:ind w:right="76"/>
              <w:jc w:val="right"/>
              <w:rPr>
                <w:sz w:val="21"/>
              </w:rPr>
            </w:pPr>
            <w:r>
              <w:rPr>
                <w:sz w:val="21"/>
              </w:rPr>
              <w:t>494,065,707.54</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527"/>
              <w:rPr>
                <w:rFonts w:ascii="宋体" w:eastAsia="宋体" w:hint="eastAsia"/>
                <w:sz w:val="21"/>
              </w:rPr>
            </w:pPr>
            <w:r>
              <w:rPr>
                <w:rFonts w:ascii="宋体" w:eastAsia="宋体" w:hint="eastAsia"/>
                <w:sz w:val="21"/>
              </w:rPr>
              <w:t>流动负债合计</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6"/>
              <w:jc w:val="right"/>
              <w:rPr>
                <w:sz w:val="21"/>
              </w:rPr>
            </w:pPr>
            <w:r>
              <w:rPr>
                <w:sz w:val="21"/>
              </w:rPr>
              <w:t>109,392,850,329.32</w:t>
            </w:r>
          </w:p>
        </w:tc>
        <w:tc>
          <w:tcPr>
            <w:tcW w:w="2410"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95,609,737,445.91</w:t>
            </w: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1" w:lineRule="exact"/>
              <w:ind w:left="107"/>
              <w:rPr>
                <w:rFonts w:ascii="Microsoft JhengHei" w:eastAsia="Microsoft JhengHei" w:hint="eastAsia"/>
                <w:b/>
                <w:sz w:val="21"/>
              </w:rPr>
            </w:pPr>
            <w:r>
              <w:rPr>
                <w:rFonts w:ascii="Microsoft JhengHei" w:eastAsia="Microsoft JhengHei" w:hint="eastAsia"/>
                <w:b/>
                <w:sz w:val="21"/>
              </w:rPr>
              <w:t>非流动负债：</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0"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3"/>
              <w:ind w:left="318"/>
              <w:rPr>
                <w:rFonts w:ascii="宋体" w:eastAsia="宋体" w:hint="eastAsia"/>
                <w:sz w:val="21"/>
              </w:rPr>
            </w:pPr>
            <w:r>
              <w:rPr>
                <w:rFonts w:ascii="宋体" w:eastAsia="宋体" w:hint="eastAsia"/>
                <w:sz w:val="21"/>
              </w:rPr>
              <w:t>保险合同准备金</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0"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长期借款</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sz w:val="21"/>
              </w:rPr>
            </w:pPr>
            <w:r>
              <w:rPr>
                <w:rFonts w:ascii="宋体" w:eastAsia="宋体" w:hint="eastAsia"/>
                <w:sz w:val="21"/>
              </w:rPr>
              <w:t>七、</w:t>
            </w:r>
            <w:r>
              <w:rPr>
                <w:sz w:val="21"/>
              </w:rPr>
              <w:t>35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6"/>
              <w:jc w:val="right"/>
              <w:rPr>
                <w:sz w:val="21"/>
              </w:rPr>
            </w:pPr>
            <w:r>
              <w:rPr>
                <w:sz w:val="21"/>
              </w:rPr>
              <w:t>11,821,416,259.81</w:t>
            </w:r>
          </w:p>
        </w:tc>
        <w:tc>
          <w:tcPr>
            <w:tcW w:w="2410"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13,276,452,935.56</w:t>
            </w: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应付债券</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sz w:val="21"/>
              </w:rPr>
            </w:pPr>
            <w:r>
              <w:rPr>
                <w:rFonts w:ascii="宋体" w:eastAsia="宋体" w:hint="eastAsia"/>
                <w:sz w:val="21"/>
              </w:rPr>
              <w:t>七、</w:t>
            </w:r>
            <w:r>
              <w:rPr>
                <w:sz w:val="21"/>
              </w:rPr>
              <w:t>36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6"/>
              <w:jc w:val="right"/>
              <w:rPr>
                <w:sz w:val="21"/>
              </w:rPr>
            </w:pPr>
            <w:r>
              <w:rPr>
                <w:sz w:val="21"/>
              </w:rPr>
              <w:t>6,713,501,050.27</w:t>
            </w:r>
          </w:p>
        </w:tc>
        <w:tc>
          <w:tcPr>
            <w:tcW w:w="2410"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7,004,585,761.43</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3"/>
              <w:ind w:left="318"/>
              <w:rPr>
                <w:rFonts w:ascii="宋体" w:eastAsia="宋体" w:hint="eastAsia"/>
                <w:sz w:val="21"/>
              </w:rPr>
            </w:pPr>
            <w:r>
              <w:rPr>
                <w:rFonts w:ascii="宋体" w:eastAsia="宋体" w:hint="eastAsia"/>
                <w:sz w:val="21"/>
              </w:rPr>
              <w:t>其中：优先股</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0"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947"/>
              <w:rPr>
                <w:rFonts w:ascii="宋体" w:eastAsia="宋体" w:hint="eastAsia"/>
                <w:sz w:val="21"/>
              </w:rPr>
            </w:pPr>
            <w:r>
              <w:rPr>
                <w:rFonts w:ascii="宋体" w:eastAsia="宋体" w:hint="eastAsia"/>
                <w:sz w:val="21"/>
              </w:rPr>
              <w:t>永续债</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0"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租赁负债</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sz w:val="21"/>
              </w:rPr>
            </w:pPr>
            <w:r>
              <w:rPr>
                <w:rFonts w:ascii="宋体" w:eastAsia="宋体" w:hint="eastAsia"/>
                <w:sz w:val="21"/>
              </w:rPr>
              <w:t>七、</w:t>
            </w:r>
            <w:r>
              <w:rPr>
                <w:sz w:val="21"/>
              </w:rPr>
              <w:t>37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6"/>
              <w:jc w:val="right"/>
              <w:rPr>
                <w:sz w:val="21"/>
              </w:rPr>
            </w:pPr>
            <w:r>
              <w:rPr>
                <w:sz w:val="21"/>
              </w:rPr>
              <w:t>2,072,702,352.68</w:t>
            </w:r>
          </w:p>
        </w:tc>
        <w:tc>
          <w:tcPr>
            <w:tcW w:w="2410"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1,980,271,767.35</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长期应付款</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sz w:val="21"/>
              </w:rPr>
            </w:pPr>
            <w:r>
              <w:rPr>
                <w:rFonts w:ascii="宋体" w:eastAsia="宋体" w:hint="eastAsia"/>
                <w:sz w:val="21"/>
              </w:rPr>
              <w:t>七、</w:t>
            </w:r>
            <w:r>
              <w:rPr>
                <w:sz w:val="21"/>
              </w:rPr>
              <w:t>38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6"/>
              <w:jc w:val="right"/>
              <w:rPr>
                <w:sz w:val="21"/>
              </w:rPr>
            </w:pPr>
            <w:r>
              <w:rPr>
                <w:sz w:val="21"/>
              </w:rPr>
              <w:t>98,203,261.27</w:t>
            </w:r>
          </w:p>
        </w:tc>
        <w:tc>
          <w:tcPr>
            <w:tcW w:w="2410"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142,342,718.45</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长期应付职工薪酬</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sz w:val="21"/>
              </w:rPr>
            </w:pPr>
            <w:r>
              <w:rPr>
                <w:rFonts w:ascii="宋体" w:eastAsia="宋体" w:hint="eastAsia"/>
                <w:sz w:val="21"/>
              </w:rPr>
              <w:t>七、</w:t>
            </w:r>
            <w:r>
              <w:rPr>
                <w:sz w:val="21"/>
              </w:rPr>
              <w:t>39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6"/>
              <w:jc w:val="right"/>
              <w:rPr>
                <w:sz w:val="21"/>
              </w:rPr>
            </w:pPr>
            <w:r>
              <w:rPr>
                <w:sz w:val="21"/>
              </w:rPr>
              <w:t>1,245,775,024.35</w:t>
            </w:r>
          </w:p>
        </w:tc>
        <w:tc>
          <w:tcPr>
            <w:tcW w:w="2410"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1,122,350,237.36</w:t>
            </w: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预计负债</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sz w:val="21"/>
              </w:rPr>
            </w:pPr>
            <w:r>
              <w:rPr>
                <w:rFonts w:ascii="宋体" w:eastAsia="宋体" w:hint="eastAsia"/>
                <w:sz w:val="21"/>
              </w:rPr>
              <w:t>七、</w:t>
            </w:r>
            <w:r>
              <w:rPr>
                <w:sz w:val="21"/>
              </w:rPr>
              <w:t>40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6"/>
              <w:jc w:val="right"/>
              <w:rPr>
                <w:sz w:val="21"/>
              </w:rPr>
            </w:pPr>
            <w:r>
              <w:rPr>
                <w:sz w:val="21"/>
              </w:rPr>
              <w:t>1,442,844,036.73</w:t>
            </w:r>
          </w:p>
        </w:tc>
        <w:tc>
          <w:tcPr>
            <w:tcW w:w="2410"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1,398,877,746.33</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递延收益</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sz w:val="21"/>
              </w:rPr>
            </w:pPr>
            <w:r>
              <w:rPr>
                <w:rFonts w:ascii="宋体" w:eastAsia="宋体" w:hint="eastAsia"/>
                <w:sz w:val="21"/>
              </w:rPr>
              <w:t>七、</w:t>
            </w:r>
            <w:r>
              <w:rPr>
                <w:sz w:val="21"/>
              </w:rPr>
              <w:t>41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6"/>
              <w:jc w:val="right"/>
              <w:rPr>
                <w:sz w:val="21"/>
              </w:rPr>
            </w:pPr>
            <w:r>
              <w:rPr>
                <w:sz w:val="21"/>
              </w:rPr>
              <w:t>633,761,669.48</w:t>
            </w:r>
          </w:p>
        </w:tc>
        <w:tc>
          <w:tcPr>
            <w:tcW w:w="2410"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705,272,617.10</w:t>
            </w: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递延所得税负债</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sz w:val="21"/>
              </w:rPr>
            </w:pPr>
            <w:r>
              <w:rPr>
                <w:rFonts w:ascii="宋体" w:eastAsia="宋体" w:hint="eastAsia"/>
                <w:sz w:val="21"/>
              </w:rPr>
              <w:t>七、</w:t>
            </w:r>
            <w:r>
              <w:rPr>
                <w:sz w:val="21"/>
              </w:rPr>
              <w:t>22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6"/>
              <w:jc w:val="right"/>
              <w:rPr>
                <w:sz w:val="21"/>
              </w:rPr>
            </w:pPr>
            <w:r>
              <w:rPr>
                <w:sz w:val="21"/>
              </w:rPr>
              <w:t>1,900,401,265.97</w:t>
            </w:r>
          </w:p>
        </w:tc>
        <w:tc>
          <w:tcPr>
            <w:tcW w:w="2410"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1,154,413,295.72</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3"/>
              <w:ind w:left="318"/>
              <w:rPr>
                <w:rFonts w:ascii="宋体" w:eastAsia="宋体" w:hint="eastAsia"/>
                <w:sz w:val="21"/>
              </w:rPr>
            </w:pPr>
            <w:r>
              <w:rPr>
                <w:rFonts w:ascii="宋体" w:eastAsia="宋体" w:hint="eastAsia"/>
                <w:sz w:val="21"/>
              </w:rPr>
              <w:t>其他非流动负债</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left="117"/>
              <w:rPr>
                <w:sz w:val="21"/>
              </w:rPr>
            </w:pPr>
            <w:r>
              <w:rPr>
                <w:rFonts w:ascii="宋体" w:eastAsia="宋体" w:hint="eastAsia"/>
                <w:sz w:val="21"/>
              </w:rPr>
              <w:t>七、</w:t>
            </w:r>
            <w:r>
              <w:rPr>
                <w:sz w:val="21"/>
              </w:rPr>
              <w:t>42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86"/>
              <w:jc w:val="right"/>
              <w:rPr>
                <w:sz w:val="21"/>
              </w:rPr>
            </w:pPr>
            <w:r>
              <w:rPr>
                <w:sz w:val="21"/>
              </w:rPr>
              <w:t>27,033,458.13</w:t>
            </w:r>
          </w:p>
        </w:tc>
        <w:tc>
          <w:tcPr>
            <w:tcW w:w="2410" w:type="dxa"/>
            <w:tcBorders>
              <w:top w:val="single" w:sz="4" w:space="0" w:color="000000"/>
              <w:left w:val="single" w:sz="4" w:space="0" w:color="000000"/>
              <w:bottom w:val="single" w:sz="4" w:space="0" w:color="000000"/>
            </w:tcBorders>
          </w:tcPr>
          <w:p>
            <w:pPr>
              <w:pStyle w:val="TableParagraph"/>
              <w:spacing w:line="237" w:lineRule="exact"/>
              <w:ind w:right="76"/>
              <w:jc w:val="right"/>
              <w:rPr>
                <w:sz w:val="21"/>
              </w:rPr>
            </w:pPr>
            <w:r>
              <w:rPr>
                <w:sz w:val="21"/>
              </w:rPr>
              <w:t>70,071,490.03</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527"/>
              <w:rPr>
                <w:rFonts w:ascii="宋体" w:eastAsia="宋体" w:hint="eastAsia"/>
                <w:sz w:val="21"/>
              </w:rPr>
            </w:pPr>
            <w:r>
              <w:rPr>
                <w:rFonts w:ascii="宋体" w:eastAsia="宋体" w:hint="eastAsia"/>
                <w:sz w:val="21"/>
              </w:rPr>
              <w:t>非流动负债合计</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7"/>
              <w:rPr>
                <w:rFonts w:ascii="宋体"/>
                <w:sz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6"/>
              <w:jc w:val="right"/>
              <w:rPr>
                <w:sz w:val="21"/>
              </w:rPr>
            </w:pPr>
            <w:r>
              <w:rPr>
                <w:sz w:val="21"/>
              </w:rPr>
              <w:t>25,955,638,378.69</w:t>
            </w:r>
          </w:p>
        </w:tc>
        <w:tc>
          <w:tcPr>
            <w:tcW w:w="2410"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26,854,638,569.33</w:t>
            </w: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738"/>
              <w:rPr>
                <w:rFonts w:ascii="宋体" w:eastAsia="宋体" w:hint="eastAsia"/>
                <w:sz w:val="21"/>
              </w:rPr>
            </w:pPr>
            <w:r>
              <w:rPr>
                <w:rFonts w:ascii="宋体" w:eastAsia="宋体" w:hint="eastAsia"/>
                <w:sz w:val="21"/>
              </w:rPr>
              <w:t>负债合计</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7"/>
              <w:rPr>
                <w:rFonts w:ascii="宋体"/>
                <w:sz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6"/>
              <w:jc w:val="right"/>
              <w:rPr>
                <w:sz w:val="21"/>
              </w:rPr>
            </w:pPr>
            <w:r>
              <w:rPr>
                <w:sz w:val="21"/>
              </w:rPr>
              <w:t>135,348,488,708.01</w:t>
            </w:r>
          </w:p>
        </w:tc>
        <w:tc>
          <w:tcPr>
            <w:tcW w:w="2410"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122,464,376,015.24</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3" w:lineRule="exact"/>
              <w:ind w:left="107"/>
              <w:rPr>
                <w:rFonts w:ascii="Microsoft JhengHei" w:eastAsia="Microsoft JhengHei" w:hint="eastAsia"/>
                <w:b/>
                <w:sz w:val="21"/>
              </w:rPr>
            </w:pPr>
            <w:r>
              <w:rPr>
                <w:rFonts w:ascii="Microsoft JhengHei" w:eastAsia="Microsoft JhengHei" w:hint="eastAsia"/>
                <w:b/>
                <w:sz w:val="21"/>
              </w:rPr>
              <w:t>所有者权益（或股东权益）：</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0"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实收资本（或股本）</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sz w:val="21"/>
              </w:rPr>
            </w:pPr>
            <w:r>
              <w:rPr>
                <w:rFonts w:ascii="宋体" w:eastAsia="宋体" w:hint="eastAsia"/>
                <w:sz w:val="21"/>
              </w:rPr>
              <w:t>七、</w:t>
            </w:r>
            <w:r>
              <w:rPr>
                <w:sz w:val="21"/>
              </w:rPr>
              <w:t>43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6"/>
              <w:jc w:val="right"/>
              <w:rPr>
                <w:sz w:val="21"/>
              </w:rPr>
            </w:pPr>
            <w:r>
              <w:rPr>
                <w:sz w:val="21"/>
              </w:rPr>
              <w:t>9,027,846,441.00</w:t>
            </w:r>
          </w:p>
        </w:tc>
        <w:tc>
          <w:tcPr>
            <w:tcW w:w="2410"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6,579,566,627.00</w:t>
            </w: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其他权益工具</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sz w:val="21"/>
              </w:rPr>
            </w:pPr>
            <w:r>
              <w:rPr>
                <w:rFonts w:ascii="宋体" w:eastAsia="宋体" w:hint="eastAsia"/>
                <w:sz w:val="21"/>
              </w:rPr>
              <w:t>七、</w:t>
            </w:r>
            <w:r>
              <w:rPr>
                <w:sz w:val="21"/>
              </w:rPr>
              <w:t>44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6"/>
              <w:jc w:val="right"/>
              <w:rPr>
                <w:sz w:val="21"/>
              </w:rPr>
            </w:pPr>
            <w:r>
              <w:rPr>
                <w:sz w:val="21"/>
              </w:rPr>
              <w:t>2,364,195,333.79</w:t>
            </w:r>
          </w:p>
        </w:tc>
        <w:tc>
          <w:tcPr>
            <w:tcW w:w="2410"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431,424,524.07</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3"/>
              <w:ind w:left="318"/>
              <w:rPr>
                <w:rFonts w:ascii="宋体" w:eastAsia="宋体" w:hint="eastAsia"/>
                <w:sz w:val="21"/>
              </w:rPr>
            </w:pPr>
            <w:r>
              <w:rPr>
                <w:rFonts w:ascii="宋体" w:eastAsia="宋体" w:hint="eastAsia"/>
                <w:sz w:val="21"/>
              </w:rPr>
              <w:t>其中：优先股</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0"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5" w:type="dxa"/>
            <w:tcBorders>
              <w:top w:val="single" w:sz="4" w:space="0" w:color="000000"/>
              <w:right w:val="single" w:sz="4" w:space="0" w:color="000000"/>
            </w:tcBorders>
          </w:tcPr>
          <w:p>
            <w:pPr>
              <w:pStyle w:val="TableParagraph"/>
              <w:spacing w:line="249" w:lineRule="exact" w:before="1"/>
              <w:ind w:left="947"/>
              <w:rPr>
                <w:rFonts w:ascii="宋体" w:eastAsia="宋体" w:hint="eastAsia"/>
                <w:sz w:val="21"/>
              </w:rPr>
            </w:pPr>
            <w:r>
              <w:rPr>
                <w:rFonts w:ascii="宋体" w:eastAsia="宋体" w:hint="eastAsia"/>
                <w:sz w:val="21"/>
              </w:rPr>
              <w:t>永续债</w:t>
            </w:r>
          </w:p>
        </w:tc>
        <w:tc>
          <w:tcPr>
            <w:tcW w:w="939" w:type="dxa"/>
            <w:tcBorders>
              <w:top w:val="single" w:sz="4" w:space="0" w:color="000000"/>
              <w:left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right w:val="single" w:sz="4" w:space="0" w:color="000000"/>
            </w:tcBorders>
          </w:tcPr>
          <w:p>
            <w:pPr>
              <w:pStyle w:val="TableParagraph"/>
              <w:rPr>
                <w:sz w:val="20"/>
              </w:rPr>
            </w:pPr>
          </w:p>
        </w:tc>
        <w:tc>
          <w:tcPr>
            <w:tcW w:w="2410" w:type="dxa"/>
            <w:tcBorders>
              <w:top w:val="single" w:sz="4" w:space="0" w:color="000000"/>
              <w:left w:val="single" w:sz="4" w:space="0" w:color="000000"/>
            </w:tcBorders>
          </w:tcPr>
          <w:p>
            <w:pPr>
              <w:pStyle w:val="TableParagraph"/>
              <w:rPr>
                <w:sz w:val="20"/>
              </w:rPr>
            </w:pPr>
          </w:p>
        </w:tc>
      </w:tr>
    </w:tbl>
    <w:p>
      <w:pPr>
        <w:spacing w:after="0"/>
        <w:rPr>
          <w:sz w:val="20"/>
        </w:rPr>
        <w:sectPr>
          <w:pgSz w:w="11910" w:h="16840"/>
          <w:pgMar w:header="872" w:footer="1213" w:top="1440" w:bottom="1400" w:left="1560" w:right="960"/>
        </w:sectPr>
      </w:pPr>
    </w:p>
    <w:p>
      <w:pPr>
        <w:pStyle w:val="BodyText"/>
        <w:spacing w:before="9"/>
        <w:rPr>
          <w:rFonts w:ascii="Times New Roman"/>
          <w:sz w:val="5"/>
        </w:rPr>
      </w:pPr>
    </w:p>
    <w:tbl>
      <w:tblPr>
        <w:tblW w:w="0" w:type="auto"/>
        <w:jc w:val="left"/>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795"/>
        <w:gridCol w:w="939"/>
        <w:gridCol w:w="1896"/>
        <w:gridCol w:w="2410"/>
      </w:tblGrid>
      <w:tr>
        <w:trPr>
          <w:trHeight w:val="273" w:hRule="atLeast"/>
        </w:trPr>
        <w:tc>
          <w:tcPr>
            <w:tcW w:w="3795" w:type="dxa"/>
            <w:tcBorders>
              <w:bottom w:val="single" w:sz="4" w:space="0" w:color="000000"/>
              <w:right w:val="single" w:sz="4" w:space="0" w:color="000000"/>
            </w:tcBorders>
          </w:tcPr>
          <w:p>
            <w:pPr>
              <w:pStyle w:val="TableParagraph"/>
              <w:spacing w:line="250" w:lineRule="exact" w:before="3"/>
              <w:ind w:left="318"/>
              <w:rPr>
                <w:rFonts w:ascii="宋体" w:eastAsia="宋体" w:hint="eastAsia"/>
                <w:sz w:val="21"/>
              </w:rPr>
            </w:pPr>
            <w:r>
              <w:rPr>
                <w:rFonts w:ascii="宋体" w:eastAsia="宋体" w:hint="eastAsia"/>
                <w:sz w:val="21"/>
              </w:rPr>
              <w:t>资本公积</w:t>
            </w:r>
          </w:p>
        </w:tc>
        <w:tc>
          <w:tcPr>
            <w:tcW w:w="939" w:type="dxa"/>
            <w:tcBorders>
              <w:left w:val="single" w:sz="4" w:space="0" w:color="000000"/>
              <w:bottom w:val="single" w:sz="4" w:space="0" w:color="000000"/>
              <w:right w:val="single" w:sz="4" w:space="0" w:color="000000"/>
            </w:tcBorders>
          </w:tcPr>
          <w:p>
            <w:pPr>
              <w:pStyle w:val="TableParagraph"/>
              <w:spacing w:line="250" w:lineRule="exact" w:before="3"/>
              <w:ind w:left="117"/>
              <w:rPr>
                <w:sz w:val="21"/>
              </w:rPr>
            </w:pPr>
            <w:r>
              <w:rPr>
                <w:rFonts w:ascii="宋体" w:eastAsia="宋体" w:hint="eastAsia"/>
                <w:sz w:val="21"/>
              </w:rPr>
              <w:t>七、</w:t>
            </w:r>
            <w:r>
              <w:rPr>
                <w:sz w:val="21"/>
              </w:rPr>
              <w:t>45</w:t>
            </w:r>
          </w:p>
        </w:tc>
        <w:tc>
          <w:tcPr>
            <w:tcW w:w="1896" w:type="dxa"/>
            <w:tcBorders>
              <w:left w:val="single" w:sz="4" w:space="0" w:color="000000"/>
              <w:bottom w:val="single" w:sz="4" w:space="0" w:color="000000"/>
              <w:right w:val="single" w:sz="4" w:space="0" w:color="000000"/>
            </w:tcBorders>
          </w:tcPr>
          <w:p>
            <w:pPr>
              <w:pStyle w:val="TableParagraph"/>
              <w:spacing w:before="9"/>
              <w:ind w:right="86"/>
              <w:jc w:val="right"/>
              <w:rPr>
                <w:sz w:val="21"/>
              </w:rPr>
            </w:pPr>
            <w:r>
              <w:rPr>
                <w:sz w:val="21"/>
              </w:rPr>
              <w:t>15,009,027,407.40</w:t>
            </w:r>
          </w:p>
        </w:tc>
        <w:tc>
          <w:tcPr>
            <w:tcW w:w="2410" w:type="dxa"/>
            <w:tcBorders>
              <w:left w:val="single" w:sz="4" w:space="0" w:color="000000"/>
              <w:bottom w:val="single" w:sz="4" w:space="0" w:color="000000"/>
            </w:tcBorders>
          </w:tcPr>
          <w:p>
            <w:pPr>
              <w:pStyle w:val="TableParagraph"/>
              <w:spacing w:before="9"/>
              <w:ind w:right="76"/>
              <w:jc w:val="right"/>
              <w:rPr>
                <w:sz w:val="21"/>
              </w:rPr>
            </w:pPr>
            <w:r>
              <w:rPr>
                <w:sz w:val="21"/>
              </w:rPr>
              <w:t>4,435,890,845.47</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3"/>
              <w:ind w:left="318"/>
              <w:rPr>
                <w:rFonts w:ascii="宋体" w:eastAsia="宋体" w:hint="eastAsia"/>
                <w:sz w:val="21"/>
              </w:rPr>
            </w:pPr>
            <w:r>
              <w:rPr>
                <w:rFonts w:ascii="宋体" w:eastAsia="宋体" w:hint="eastAsia"/>
                <w:sz w:val="21"/>
              </w:rPr>
              <w:t>减：库存股</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before="14"/>
              <w:ind w:right="89"/>
              <w:jc w:val="right"/>
              <w:rPr>
                <w:sz w:val="20"/>
              </w:rPr>
            </w:pPr>
            <w:r>
              <w:rPr>
                <w:w w:val="95"/>
                <w:sz w:val="20"/>
              </w:rPr>
              <w:t>28,896,550.65</w:t>
            </w:r>
          </w:p>
        </w:tc>
        <w:tc>
          <w:tcPr>
            <w:tcW w:w="2410"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其他综合收益</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sz w:val="21"/>
              </w:rPr>
            </w:pPr>
            <w:r>
              <w:rPr>
                <w:rFonts w:ascii="宋体" w:eastAsia="宋体" w:hint="eastAsia"/>
                <w:sz w:val="21"/>
              </w:rPr>
              <w:t>七、</w:t>
            </w:r>
            <w:r>
              <w:rPr>
                <w:sz w:val="21"/>
              </w:rPr>
              <w:t>46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before="10"/>
              <w:ind w:right="86"/>
              <w:jc w:val="right"/>
              <w:rPr>
                <w:sz w:val="21"/>
              </w:rPr>
            </w:pPr>
            <w:r>
              <w:rPr>
                <w:sz w:val="21"/>
              </w:rPr>
              <w:t>-1,046,216,729.06</w:t>
            </w:r>
          </w:p>
        </w:tc>
        <w:tc>
          <w:tcPr>
            <w:tcW w:w="2410" w:type="dxa"/>
            <w:tcBorders>
              <w:top w:val="single" w:sz="4" w:space="0" w:color="000000"/>
              <w:left w:val="single" w:sz="4" w:space="0" w:color="000000"/>
              <w:bottom w:val="single" w:sz="4" w:space="0" w:color="000000"/>
            </w:tcBorders>
          </w:tcPr>
          <w:p>
            <w:pPr>
              <w:pStyle w:val="TableParagraph"/>
              <w:spacing w:before="10"/>
              <w:ind w:right="76"/>
              <w:jc w:val="right"/>
              <w:rPr>
                <w:sz w:val="21"/>
              </w:rPr>
            </w:pPr>
            <w:r>
              <w:rPr>
                <w:sz w:val="21"/>
              </w:rPr>
              <w:t>1,317,988,619.66</w:t>
            </w: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专项储备</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0"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盈余公积</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sz w:val="21"/>
              </w:rPr>
            </w:pPr>
            <w:r>
              <w:rPr>
                <w:rFonts w:ascii="宋体" w:eastAsia="宋体" w:hint="eastAsia"/>
                <w:sz w:val="21"/>
              </w:rPr>
              <w:t>七、</w:t>
            </w:r>
            <w:r>
              <w:rPr>
                <w:sz w:val="21"/>
              </w:rPr>
              <w:t>47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before="10"/>
              <w:ind w:right="86"/>
              <w:jc w:val="right"/>
              <w:rPr>
                <w:sz w:val="21"/>
              </w:rPr>
            </w:pPr>
            <w:r>
              <w:rPr>
                <w:sz w:val="21"/>
              </w:rPr>
              <w:t>3,045,334,539.60</w:t>
            </w:r>
          </w:p>
        </w:tc>
        <w:tc>
          <w:tcPr>
            <w:tcW w:w="2410" w:type="dxa"/>
            <w:tcBorders>
              <w:top w:val="single" w:sz="4" w:space="0" w:color="000000"/>
              <w:left w:val="single" w:sz="4" w:space="0" w:color="000000"/>
              <w:bottom w:val="single" w:sz="4" w:space="0" w:color="000000"/>
            </w:tcBorders>
          </w:tcPr>
          <w:p>
            <w:pPr>
              <w:pStyle w:val="TableParagraph"/>
              <w:spacing w:before="10"/>
              <w:ind w:right="76"/>
              <w:jc w:val="right"/>
              <w:rPr>
                <w:sz w:val="21"/>
              </w:rPr>
            </w:pPr>
            <w:r>
              <w:rPr>
                <w:sz w:val="21"/>
              </w:rPr>
              <w:t>2,655,327,405.46</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一般风险准备</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0"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未分配利润</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sz w:val="21"/>
              </w:rPr>
            </w:pPr>
            <w:r>
              <w:rPr>
                <w:rFonts w:ascii="宋体" w:eastAsia="宋体" w:hint="eastAsia"/>
                <w:sz w:val="21"/>
              </w:rPr>
              <w:t>七、</w:t>
            </w:r>
            <w:r>
              <w:rPr>
                <w:sz w:val="21"/>
              </w:rPr>
              <w:t>48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before="7"/>
              <w:ind w:right="86"/>
              <w:jc w:val="right"/>
              <w:rPr>
                <w:sz w:val="21"/>
              </w:rPr>
            </w:pPr>
            <w:r>
              <w:rPr>
                <w:sz w:val="21"/>
              </w:rPr>
              <w:t>38,445,132,172.47</w:t>
            </w:r>
          </w:p>
        </w:tc>
        <w:tc>
          <w:tcPr>
            <w:tcW w:w="2410" w:type="dxa"/>
            <w:tcBorders>
              <w:top w:val="single" w:sz="4" w:space="0" w:color="000000"/>
              <w:left w:val="single" w:sz="4" w:space="0" w:color="000000"/>
              <w:bottom w:val="single" w:sz="4" w:space="0" w:color="000000"/>
            </w:tcBorders>
          </w:tcPr>
          <w:p>
            <w:pPr>
              <w:pStyle w:val="TableParagraph"/>
              <w:spacing w:before="7"/>
              <w:ind w:right="76"/>
              <w:jc w:val="right"/>
              <w:rPr>
                <w:sz w:val="21"/>
              </w:rPr>
            </w:pPr>
            <w:r>
              <w:rPr>
                <w:sz w:val="21"/>
              </w:rPr>
              <w:t>32,468,121,744.26</w:t>
            </w:r>
          </w:p>
        </w:tc>
      </w:tr>
      <w:tr>
        <w:trPr>
          <w:trHeight w:val="544" w:hRule="atLeast"/>
        </w:trPr>
        <w:tc>
          <w:tcPr>
            <w:tcW w:w="3795" w:type="dxa"/>
            <w:tcBorders>
              <w:top w:val="single" w:sz="4" w:space="0" w:color="000000"/>
              <w:bottom w:val="single" w:sz="4" w:space="0" w:color="000000"/>
              <w:right w:val="single" w:sz="4" w:space="0" w:color="000000"/>
            </w:tcBorders>
          </w:tcPr>
          <w:p>
            <w:pPr>
              <w:pStyle w:val="TableParagraph"/>
              <w:spacing w:before="1"/>
              <w:ind w:left="318"/>
              <w:rPr>
                <w:rFonts w:ascii="宋体" w:eastAsia="宋体" w:hint="eastAsia"/>
                <w:sz w:val="21"/>
              </w:rPr>
            </w:pPr>
            <w:r>
              <w:rPr>
                <w:rFonts w:ascii="宋体" w:eastAsia="宋体" w:hint="eastAsia"/>
                <w:sz w:val="21"/>
              </w:rPr>
              <w:t>归属于母公司所有者权益（或股东权</w:t>
            </w:r>
          </w:p>
          <w:p>
            <w:pPr>
              <w:pStyle w:val="TableParagraph"/>
              <w:spacing w:line="250" w:lineRule="exact" w:before="4"/>
              <w:ind w:left="107"/>
              <w:rPr>
                <w:rFonts w:ascii="宋体" w:eastAsia="宋体" w:hint="eastAsia"/>
                <w:sz w:val="21"/>
              </w:rPr>
            </w:pPr>
            <w:r>
              <w:rPr>
                <w:rFonts w:ascii="宋体" w:eastAsia="宋体" w:hint="eastAsia"/>
                <w:sz w:val="21"/>
              </w:rPr>
              <w:t>益）合计</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before="147"/>
              <w:ind w:right="86"/>
              <w:jc w:val="right"/>
              <w:rPr>
                <w:sz w:val="21"/>
              </w:rPr>
            </w:pPr>
            <w:r>
              <w:rPr>
                <w:sz w:val="21"/>
              </w:rPr>
              <w:t>66,816,422,614.55</w:t>
            </w:r>
          </w:p>
        </w:tc>
        <w:tc>
          <w:tcPr>
            <w:tcW w:w="2410" w:type="dxa"/>
            <w:tcBorders>
              <w:top w:val="single" w:sz="4" w:space="0" w:color="000000"/>
              <w:left w:val="single" w:sz="4" w:space="0" w:color="000000"/>
              <w:bottom w:val="single" w:sz="4" w:space="0" w:color="000000"/>
            </w:tcBorders>
          </w:tcPr>
          <w:p>
            <w:pPr>
              <w:pStyle w:val="TableParagraph"/>
              <w:spacing w:before="147"/>
              <w:ind w:right="76"/>
              <w:jc w:val="right"/>
              <w:rPr>
                <w:sz w:val="21"/>
              </w:rPr>
            </w:pPr>
            <w:r>
              <w:rPr>
                <w:sz w:val="21"/>
              </w:rPr>
              <w:t>47,888,319,765.92</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3"/>
              <w:ind w:left="318"/>
              <w:rPr>
                <w:rFonts w:ascii="宋体" w:eastAsia="宋体" w:hint="eastAsia"/>
                <w:sz w:val="21"/>
              </w:rPr>
            </w:pPr>
            <w:r>
              <w:rPr>
                <w:rFonts w:ascii="宋体" w:eastAsia="宋体" w:hint="eastAsia"/>
                <w:sz w:val="21"/>
              </w:rPr>
              <w:t>少数股东权益</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before="10"/>
              <w:ind w:right="86"/>
              <w:jc w:val="right"/>
              <w:rPr>
                <w:sz w:val="21"/>
              </w:rPr>
            </w:pPr>
            <w:r>
              <w:rPr>
                <w:sz w:val="21"/>
              </w:rPr>
              <w:t>1,294,584,557.09</w:t>
            </w:r>
          </w:p>
        </w:tc>
        <w:tc>
          <w:tcPr>
            <w:tcW w:w="2410" w:type="dxa"/>
            <w:tcBorders>
              <w:top w:val="single" w:sz="4" w:space="0" w:color="000000"/>
              <w:left w:val="single" w:sz="4" w:space="0" w:color="000000"/>
              <w:bottom w:val="single" w:sz="4" w:space="0" w:color="000000"/>
            </w:tcBorders>
          </w:tcPr>
          <w:p>
            <w:pPr>
              <w:pStyle w:val="TableParagraph"/>
              <w:spacing w:before="10"/>
              <w:ind w:right="76"/>
              <w:jc w:val="right"/>
              <w:rPr>
                <w:sz w:val="21"/>
              </w:rPr>
            </w:pPr>
            <w:r>
              <w:rPr>
                <w:sz w:val="21"/>
              </w:rPr>
              <w:t>17,101,540,502.01</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527"/>
              <w:rPr>
                <w:rFonts w:ascii="宋体" w:eastAsia="宋体" w:hint="eastAsia"/>
                <w:sz w:val="21"/>
              </w:rPr>
            </w:pPr>
            <w:r>
              <w:rPr>
                <w:rFonts w:ascii="宋体" w:eastAsia="宋体" w:hint="eastAsia"/>
                <w:sz w:val="21"/>
              </w:rPr>
              <w:t>所有者权益（或股东权益）合计</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before="10"/>
              <w:ind w:right="86"/>
              <w:jc w:val="right"/>
              <w:rPr>
                <w:sz w:val="21"/>
              </w:rPr>
            </w:pPr>
            <w:r>
              <w:rPr>
                <w:sz w:val="21"/>
              </w:rPr>
              <w:t>68,111,007,171.64</w:t>
            </w:r>
          </w:p>
        </w:tc>
        <w:tc>
          <w:tcPr>
            <w:tcW w:w="2410" w:type="dxa"/>
            <w:tcBorders>
              <w:top w:val="single" w:sz="4" w:space="0" w:color="000000"/>
              <w:left w:val="single" w:sz="4" w:space="0" w:color="000000"/>
              <w:bottom w:val="single" w:sz="4" w:space="0" w:color="000000"/>
            </w:tcBorders>
          </w:tcPr>
          <w:p>
            <w:pPr>
              <w:pStyle w:val="TableParagraph"/>
              <w:spacing w:before="10"/>
              <w:ind w:right="76"/>
              <w:jc w:val="right"/>
              <w:rPr>
                <w:sz w:val="21"/>
              </w:rPr>
            </w:pPr>
            <w:r>
              <w:rPr>
                <w:sz w:val="21"/>
              </w:rPr>
              <w:t>64,989,860,267.93</w:t>
            </w:r>
          </w:p>
        </w:tc>
      </w:tr>
      <w:tr>
        <w:trPr>
          <w:trHeight w:val="541" w:hRule="atLeast"/>
        </w:trPr>
        <w:tc>
          <w:tcPr>
            <w:tcW w:w="3795" w:type="dxa"/>
            <w:tcBorders>
              <w:top w:val="single" w:sz="4" w:space="0" w:color="000000"/>
              <w:right w:val="single" w:sz="4" w:space="0" w:color="000000"/>
            </w:tcBorders>
          </w:tcPr>
          <w:p>
            <w:pPr>
              <w:pStyle w:val="TableParagraph"/>
              <w:spacing w:before="1"/>
              <w:ind w:left="738" w:right="-29"/>
              <w:rPr>
                <w:rFonts w:ascii="宋体" w:eastAsia="宋体" w:hint="eastAsia"/>
                <w:sz w:val="21"/>
              </w:rPr>
            </w:pPr>
            <w:r>
              <w:rPr>
                <w:rFonts w:ascii="宋体" w:eastAsia="宋体" w:hint="eastAsia"/>
                <w:spacing w:val="-15"/>
                <w:sz w:val="21"/>
              </w:rPr>
              <w:t>负债和所有者权益</w:t>
            </w:r>
            <w:r>
              <w:rPr>
                <w:rFonts w:ascii="宋体" w:eastAsia="宋体" w:hint="eastAsia"/>
                <w:sz w:val="21"/>
              </w:rPr>
              <w:t>（</w:t>
            </w:r>
            <w:r>
              <w:rPr>
                <w:rFonts w:ascii="宋体" w:eastAsia="宋体" w:hint="eastAsia"/>
                <w:spacing w:val="-3"/>
                <w:sz w:val="21"/>
              </w:rPr>
              <w:t>或股东权益</w:t>
            </w:r>
            <w:r>
              <w:rPr>
                <w:rFonts w:ascii="宋体" w:eastAsia="宋体" w:hint="eastAsia"/>
                <w:sz w:val="21"/>
              </w:rPr>
              <w:t>）</w:t>
            </w:r>
          </w:p>
          <w:p>
            <w:pPr>
              <w:pStyle w:val="TableParagraph"/>
              <w:spacing w:line="249" w:lineRule="exact" w:before="2"/>
              <w:ind w:left="107"/>
              <w:rPr>
                <w:rFonts w:ascii="宋体" w:eastAsia="宋体" w:hint="eastAsia"/>
                <w:sz w:val="21"/>
              </w:rPr>
            </w:pPr>
            <w:r>
              <w:rPr>
                <w:rFonts w:ascii="宋体" w:eastAsia="宋体" w:hint="eastAsia"/>
                <w:sz w:val="21"/>
              </w:rPr>
              <w:t>总计</w:t>
            </w:r>
          </w:p>
        </w:tc>
        <w:tc>
          <w:tcPr>
            <w:tcW w:w="939" w:type="dxa"/>
            <w:tcBorders>
              <w:top w:val="single" w:sz="4" w:space="0" w:color="000000"/>
              <w:left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right w:val="single" w:sz="4" w:space="0" w:color="000000"/>
            </w:tcBorders>
          </w:tcPr>
          <w:p>
            <w:pPr>
              <w:pStyle w:val="TableParagraph"/>
              <w:spacing w:before="144"/>
              <w:ind w:right="86"/>
              <w:jc w:val="right"/>
              <w:rPr>
                <w:sz w:val="21"/>
              </w:rPr>
            </w:pPr>
            <w:r>
              <w:rPr>
                <w:sz w:val="21"/>
              </w:rPr>
              <w:t>203,459,495,879.65</w:t>
            </w:r>
          </w:p>
        </w:tc>
        <w:tc>
          <w:tcPr>
            <w:tcW w:w="2410" w:type="dxa"/>
            <w:tcBorders>
              <w:top w:val="single" w:sz="4" w:space="0" w:color="000000"/>
              <w:left w:val="single" w:sz="4" w:space="0" w:color="000000"/>
            </w:tcBorders>
          </w:tcPr>
          <w:p>
            <w:pPr>
              <w:pStyle w:val="TableParagraph"/>
              <w:spacing w:before="144"/>
              <w:ind w:right="76"/>
              <w:jc w:val="right"/>
              <w:rPr>
                <w:sz w:val="21"/>
              </w:rPr>
            </w:pPr>
            <w:r>
              <w:rPr>
                <w:sz w:val="21"/>
              </w:rPr>
              <w:t>187,454,236,283.17</w:t>
            </w:r>
          </w:p>
        </w:tc>
      </w:tr>
    </w:tbl>
    <w:p>
      <w:pPr>
        <w:pStyle w:val="BodyText"/>
        <w:spacing w:before="11"/>
        <w:rPr>
          <w:rFonts w:ascii="Times New Roman"/>
          <w:sz w:val="17"/>
        </w:rPr>
      </w:pPr>
    </w:p>
    <w:p>
      <w:pPr>
        <w:pStyle w:val="BodyText"/>
        <w:tabs>
          <w:tab w:pos="3365" w:val="left" w:leader="none"/>
          <w:tab w:pos="6517" w:val="left" w:leader="none"/>
        </w:tabs>
        <w:spacing w:before="72"/>
        <w:ind w:left="845"/>
      </w:pPr>
      <w:r>
        <w:rPr/>
        <w:t>法定</w:t>
      </w:r>
      <w:r>
        <w:rPr>
          <w:spacing w:val="-3"/>
        </w:rPr>
        <w:t>代</w:t>
      </w:r>
      <w:r>
        <w:rPr/>
        <w:t>表</w:t>
      </w:r>
      <w:r>
        <w:rPr>
          <w:spacing w:val="-3"/>
        </w:rPr>
        <w:t>人</w:t>
      </w:r>
      <w:r>
        <w:rPr/>
        <w:t>：</w:t>
      </w:r>
      <w:r>
        <w:rPr>
          <w:spacing w:val="-3"/>
        </w:rPr>
        <w:t>梁</w:t>
      </w:r>
      <w:r>
        <w:rPr/>
        <w:t>海山</w:t>
        <w:tab/>
        <w:t>主</w:t>
      </w:r>
      <w:r>
        <w:rPr>
          <w:spacing w:val="-3"/>
        </w:rPr>
        <w:t>管</w:t>
      </w:r>
      <w:r>
        <w:rPr/>
        <w:t>会</w:t>
      </w:r>
      <w:r>
        <w:rPr>
          <w:spacing w:val="-3"/>
        </w:rPr>
        <w:t>计</w:t>
      </w:r>
      <w:r>
        <w:rPr/>
        <w:t>工</w:t>
      </w:r>
      <w:r>
        <w:rPr>
          <w:spacing w:val="-3"/>
        </w:rPr>
        <w:t>作</w:t>
      </w:r>
      <w:r>
        <w:rPr/>
        <w:t>负</w:t>
      </w:r>
      <w:r>
        <w:rPr>
          <w:spacing w:val="-3"/>
        </w:rPr>
        <w:t>责</w:t>
      </w:r>
      <w:r>
        <w:rPr/>
        <w:t>人</w:t>
      </w:r>
      <w:r>
        <w:rPr>
          <w:spacing w:val="-3"/>
        </w:rPr>
        <w:t>：宫</w:t>
      </w:r>
      <w:r>
        <w:rPr/>
        <w:t>伟</w:t>
        <w:tab/>
      </w:r>
      <w:r>
        <w:rPr>
          <w:spacing w:val="-3"/>
        </w:rPr>
        <w:t>会</w:t>
      </w:r>
      <w:r>
        <w:rPr/>
        <w:t>计</w:t>
      </w:r>
      <w:r>
        <w:rPr>
          <w:spacing w:val="-3"/>
        </w:rPr>
        <w:t>机</w:t>
      </w:r>
      <w:r>
        <w:rPr/>
        <w:t>构</w:t>
      </w:r>
      <w:r>
        <w:rPr>
          <w:spacing w:val="-3"/>
        </w:rPr>
        <w:t>负</w:t>
      </w:r>
      <w:r>
        <w:rPr/>
        <w:t>责</w:t>
      </w:r>
      <w:r>
        <w:rPr>
          <w:spacing w:val="-3"/>
        </w:rPr>
        <w:t>人</w:t>
      </w:r>
      <w:r>
        <w:rPr/>
        <w:t>：应珂</w:t>
      </w:r>
    </w:p>
    <w:p>
      <w:pPr>
        <w:pStyle w:val="BodyText"/>
        <w:spacing w:before="2"/>
        <w:rPr>
          <w:sz w:val="18"/>
        </w:rPr>
      </w:pPr>
    </w:p>
    <w:p>
      <w:pPr>
        <w:spacing w:after="0"/>
        <w:rPr>
          <w:sz w:val="18"/>
        </w:rPr>
        <w:sectPr>
          <w:pgSz w:w="11910" w:h="16840"/>
          <w:pgMar w:header="872" w:footer="1213" w:top="1440" w:bottom="1400" w:left="1560" w:right="960"/>
        </w:sectPr>
      </w:pPr>
    </w:p>
    <w:p>
      <w:pPr>
        <w:pStyle w:val="BodyText"/>
        <w:rPr>
          <w:sz w:val="22"/>
        </w:rPr>
      </w:pPr>
    </w:p>
    <w:p>
      <w:pPr>
        <w:pStyle w:val="BodyText"/>
        <w:spacing w:before="10"/>
        <w:rPr>
          <w:sz w:val="30"/>
        </w:rPr>
      </w:pPr>
    </w:p>
    <w:p>
      <w:pPr>
        <w:pStyle w:val="BodyText"/>
        <w:ind w:left="238"/>
      </w:pPr>
      <w:r>
        <w:rPr/>
        <w:t>编制单位</w:t>
      </w:r>
      <w:r>
        <w:rPr>
          <w:rFonts w:ascii="Times New Roman" w:eastAsia="Times New Roman"/>
        </w:rPr>
        <w:t>:</w:t>
      </w:r>
      <w:r>
        <w:rPr/>
        <w:t>海尔智家股份有限公司</w:t>
      </w:r>
    </w:p>
    <w:p>
      <w:pPr>
        <w:pStyle w:val="Heading4"/>
        <w:spacing w:before="2"/>
        <w:ind w:left="259"/>
      </w:pPr>
      <w:r>
        <w:rPr>
          <w:b w:val="0"/>
        </w:rPr>
        <w:br w:type="column"/>
      </w:r>
      <w:r>
        <w:rPr/>
        <w:t>母公司资产负债表</w:t>
      </w:r>
    </w:p>
    <w:p>
      <w:pPr>
        <w:pStyle w:val="BodyText"/>
        <w:spacing w:before="14"/>
        <w:ind w:left="238"/>
      </w:pPr>
      <w:r>
        <w:rPr>
          <w:rFonts w:ascii="Times New Roman" w:eastAsia="Times New Roman"/>
        </w:rPr>
        <w:t>2020</w:t>
      </w:r>
      <w:r>
        <w:rPr>
          <w:rFonts w:ascii="Times New Roman" w:eastAsia="Times New Roman"/>
          <w:spacing w:val="-2"/>
        </w:rPr>
        <w:t> </w:t>
      </w:r>
      <w:r>
        <w:rPr>
          <w:spacing w:val="-26"/>
        </w:rPr>
        <w:t>年 </w:t>
      </w:r>
      <w:r>
        <w:rPr>
          <w:rFonts w:ascii="Times New Roman" w:eastAsia="Times New Roman"/>
        </w:rPr>
        <w:t>12</w:t>
      </w:r>
      <w:r>
        <w:rPr>
          <w:rFonts w:ascii="Times New Roman" w:eastAsia="Times New Roman"/>
          <w:spacing w:val="-1"/>
        </w:rPr>
        <w:t> </w:t>
      </w:r>
      <w:r>
        <w:rPr>
          <w:spacing w:val="-26"/>
        </w:rPr>
        <w:t>月 </w:t>
      </w:r>
      <w:r>
        <w:rPr>
          <w:rFonts w:ascii="Times New Roman" w:eastAsia="Times New Roman"/>
        </w:rPr>
        <w:t>31</w:t>
      </w:r>
      <w:r>
        <w:rPr>
          <w:rFonts w:ascii="Times New Roman" w:eastAsia="Times New Roman"/>
          <w:spacing w:val="1"/>
        </w:rPr>
        <w:t> </w:t>
      </w:r>
      <w:r>
        <w:rPr/>
        <w:t>日</w:t>
      </w:r>
    </w:p>
    <w:p>
      <w:pPr>
        <w:pStyle w:val="BodyText"/>
        <w:rPr>
          <w:sz w:val="22"/>
        </w:rPr>
      </w:pPr>
      <w:r>
        <w:rPr/>
        <w:br w:type="column"/>
      </w:r>
      <w:r>
        <w:rPr>
          <w:sz w:val="22"/>
        </w:rPr>
      </w:r>
    </w:p>
    <w:p>
      <w:pPr>
        <w:pStyle w:val="BodyText"/>
        <w:rPr>
          <w:sz w:val="22"/>
        </w:rPr>
      </w:pPr>
    </w:p>
    <w:p>
      <w:pPr>
        <w:pStyle w:val="BodyText"/>
        <w:spacing w:before="12"/>
        <w:rPr>
          <w:sz w:val="29"/>
        </w:rPr>
      </w:pPr>
    </w:p>
    <w:p>
      <w:pPr>
        <w:pStyle w:val="BodyText"/>
        <w:tabs>
          <w:tab w:pos="1138" w:val="left" w:leader="none"/>
        </w:tabs>
        <w:ind w:left="238"/>
      </w:pPr>
      <w:r>
        <w:rPr/>
        <w:t>单位</w:t>
      </w:r>
      <w:r>
        <w:rPr>
          <w:rFonts w:ascii="Times New Roman" w:eastAsia="Times New Roman"/>
        </w:rPr>
        <w:t>:</w:t>
      </w:r>
      <w:r>
        <w:rPr/>
        <w:t>元</w:t>
        <w:tab/>
      </w:r>
      <w:r>
        <w:rPr>
          <w:spacing w:val="-3"/>
        </w:rPr>
        <w:t>币</w:t>
      </w:r>
      <w:r>
        <w:rPr/>
        <w:t>种</w:t>
      </w:r>
      <w:r>
        <w:rPr>
          <w:rFonts w:ascii="Times New Roman" w:eastAsia="Times New Roman"/>
        </w:rPr>
        <w:t>:</w:t>
      </w:r>
      <w:r>
        <w:rPr/>
        <w:t>人</w:t>
      </w:r>
      <w:r>
        <w:rPr>
          <w:spacing w:val="-3"/>
        </w:rPr>
        <w:t>民</w:t>
      </w:r>
      <w:r>
        <w:rPr/>
        <w:t>币</w:t>
      </w:r>
    </w:p>
    <w:p>
      <w:pPr>
        <w:spacing w:after="0"/>
        <w:sectPr>
          <w:type w:val="continuous"/>
          <w:pgSz w:w="11910" w:h="16840"/>
          <w:pgMar w:top="1360" w:bottom="1400" w:left="1560" w:right="960"/>
          <w:cols w:num="3" w:equalWidth="0">
            <w:col w:w="3281" w:space="269"/>
            <w:col w:w="2014" w:space="1262"/>
            <w:col w:w="2564"/>
          </w:cols>
        </w:sectPr>
      </w:pPr>
    </w:p>
    <w:tbl>
      <w:tblPr>
        <w:tblW w:w="0" w:type="auto"/>
        <w:jc w:val="left"/>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795"/>
        <w:gridCol w:w="992"/>
        <w:gridCol w:w="1844"/>
        <w:gridCol w:w="2411"/>
      </w:tblGrid>
      <w:tr>
        <w:trPr>
          <w:trHeight w:val="544" w:hRule="atLeast"/>
        </w:trPr>
        <w:tc>
          <w:tcPr>
            <w:tcW w:w="3795" w:type="dxa"/>
            <w:tcBorders>
              <w:bottom w:val="single" w:sz="4" w:space="0" w:color="000000"/>
              <w:right w:val="single" w:sz="4" w:space="0" w:color="000000"/>
            </w:tcBorders>
            <w:shd w:val="clear" w:color="auto" w:fill="EDEBE0"/>
          </w:tcPr>
          <w:p>
            <w:pPr>
              <w:pStyle w:val="TableParagraph"/>
              <w:spacing w:before="68"/>
              <w:ind w:left="1665" w:right="1650"/>
              <w:jc w:val="center"/>
              <w:rPr>
                <w:rFonts w:ascii="Microsoft JhengHei" w:eastAsia="Microsoft JhengHei" w:hint="eastAsia"/>
                <w:b/>
                <w:sz w:val="21"/>
              </w:rPr>
            </w:pPr>
            <w:r>
              <w:rPr>
                <w:rFonts w:ascii="Microsoft JhengHei" w:eastAsia="Microsoft JhengHei" w:hint="eastAsia"/>
                <w:b/>
                <w:sz w:val="21"/>
              </w:rPr>
              <w:t>项目</w:t>
            </w:r>
          </w:p>
        </w:tc>
        <w:tc>
          <w:tcPr>
            <w:tcW w:w="992" w:type="dxa"/>
            <w:tcBorders>
              <w:left w:val="single" w:sz="4" w:space="0" w:color="000000"/>
              <w:bottom w:val="single" w:sz="4" w:space="0" w:color="000000"/>
              <w:right w:val="single" w:sz="4" w:space="0" w:color="000000"/>
            </w:tcBorders>
            <w:shd w:val="clear" w:color="auto" w:fill="EDEBE0"/>
          </w:tcPr>
          <w:p>
            <w:pPr>
              <w:pStyle w:val="TableParagraph"/>
              <w:spacing w:before="68"/>
              <w:ind w:left="99" w:right="74"/>
              <w:jc w:val="center"/>
              <w:rPr>
                <w:rFonts w:ascii="Microsoft JhengHei" w:eastAsia="Microsoft JhengHei" w:hint="eastAsia"/>
                <w:b/>
                <w:sz w:val="21"/>
              </w:rPr>
            </w:pPr>
            <w:r>
              <w:rPr>
                <w:rFonts w:ascii="Microsoft JhengHei" w:eastAsia="Microsoft JhengHei" w:hint="eastAsia"/>
                <w:b/>
                <w:sz w:val="21"/>
              </w:rPr>
              <w:t>附注</w:t>
            </w:r>
          </w:p>
        </w:tc>
        <w:tc>
          <w:tcPr>
            <w:tcW w:w="1844" w:type="dxa"/>
            <w:tcBorders>
              <w:left w:val="single" w:sz="4" w:space="0" w:color="000000"/>
              <w:bottom w:val="single" w:sz="4" w:space="0" w:color="000000"/>
              <w:right w:val="single" w:sz="4" w:space="0" w:color="000000"/>
            </w:tcBorders>
            <w:shd w:val="clear" w:color="auto" w:fill="EDEBE0"/>
          </w:tcPr>
          <w:p>
            <w:pPr>
              <w:pStyle w:val="TableParagraph"/>
              <w:spacing w:line="261" w:lineRule="exact"/>
              <w:ind w:left="41" w:right="12"/>
              <w:jc w:val="center"/>
              <w:rPr>
                <w:b/>
                <w:sz w:val="21"/>
              </w:rPr>
            </w:pPr>
            <w:r>
              <w:rPr>
                <w:b/>
                <w:sz w:val="21"/>
              </w:rPr>
              <w:t>2020 </w:t>
            </w:r>
            <w:r>
              <w:rPr>
                <w:rFonts w:ascii="Microsoft JhengHei" w:eastAsia="Microsoft JhengHei" w:hint="eastAsia"/>
                <w:b/>
                <w:sz w:val="21"/>
              </w:rPr>
              <w:t>年 </w:t>
            </w:r>
            <w:r>
              <w:rPr>
                <w:b/>
                <w:sz w:val="21"/>
              </w:rPr>
              <w:t>12 </w:t>
            </w:r>
            <w:r>
              <w:rPr>
                <w:rFonts w:ascii="Microsoft JhengHei" w:eastAsia="Microsoft JhengHei" w:hint="eastAsia"/>
                <w:b/>
                <w:sz w:val="21"/>
              </w:rPr>
              <w:t>月 </w:t>
            </w:r>
            <w:r>
              <w:rPr>
                <w:b/>
                <w:sz w:val="21"/>
              </w:rPr>
              <w:t>31</w:t>
            </w:r>
          </w:p>
          <w:p>
            <w:pPr>
              <w:pStyle w:val="TableParagraph"/>
              <w:spacing w:line="263" w:lineRule="exact"/>
              <w:ind w:left="27"/>
              <w:jc w:val="center"/>
              <w:rPr>
                <w:rFonts w:ascii="Microsoft JhengHei" w:eastAsia="Microsoft JhengHei" w:hint="eastAsia"/>
                <w:b/>
                <w:sz w:val="21"/>
              </w:rPr>
            </w:pPr>
            <w:r>
              <w:rPr>
                <w:rFonts w:ascii="Microsoft JhengHei" w:eastAsia="Microsoft JhengHei" w:hint="eastAsia"/>
                <w:b/>
                <w:w w:val="100"/>
                <w:sz w:val="21"/>
              </w:rPr>
              <w:t>日</w:t>
            </w:r>
          </w:p>
        </w:tc>
        <w:tc>
          <w:tcPr>
            <w:tcW w:w="2411" w:type="dxa"/>
            <w:tcBorders>
              <w:left w:val="single" w:sz="4" w:space="0" w:color="000000"/>
              <w:bottom w:val="single" w:sz="4" w:space="0" w:color="000000"/>
            </w:tcBorders>
            <w:shd w:val="clear" w:color="auto" w:fill="EDEBE0"/>
          </w:tcPr>
          <w:p>
            <w:pPr>
              <w:pStyle w:val="TableParagraph"/>
              <w:spacing w:before="68"/>
              <w:ind w:left="341"/>
              <w:rPr>
                <w:rFonts w:ascii="Microsoft JhengHei" w:eastAsia="Microsoft JhengHei" w:hint="eastAsia"/>
                <w:b/>
                <w:sz w:val="21"/>
              </w:rPr>
            </w:pPr>
            <w:r>
              <w:rPr>
                <w:b/>
                <w:sz w:val="21"/>
              </w:rPr>
              <w:t>2019 </w:t>
            </w:r>
            <w:r>
              <w:rPr>
                <w:rFonts w:ascii="Microsoft JhengHei" w:eastAsia="Microsoft JhengHei" w:hint="eastAsia"/>
                <w:b/>
                <w:sz w:val="21"/>
              </w:rPr>
              <w:t>年 </w:t>
            </w:r>
            <w:r>
              <w:rPr>
                <w:b/>
                <w:sz w:val="21"/>
              </w:rPr>
              <w:t>12 </w:t>
            </w:r>
            <w:r>
              <w:rPr>
                <w:rFonts w:ascii="Microsoft JhengHei" w:eastAsia="Microsoft JhengHei" w:hint="eastAsia"/>
                <w:b/>
                <w:sz w:val="21"/>
              </w:rPr>
              <w:t>月 </w:t>
            </w:r>
            <w:r>
              <w:rPr>
                <w:b/>
                <w:sz w:val="21"/>
              </w:rPr>
              <w:t>31 </w:t>
            </w:r>
            <w:r>
              <w:rPr>
                <w:rFonts w:ascii="Microsoft JhengHei" w:eastAsia="Microsoft JhengHei" w:hint="eastAsia"/>
                <w:b/>
                <w:sz w:val="21"/>
              </w:rPr>
              <w:t>日</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3" w:lineRule="exact"/>
              <w:ind w:left="107"/>
              <w:rPr>
                <w:rFonts w:ascii="Microsoft JhengHei" w:eastAsia="Microsoft JhengHei" w:hint="eastAsia"/>
                <w:b/>
                <w:sz w:val="21"/>
              </w:rPr>
            </w:pPr>
            <w:r>
              <w:rPr>
                <w:rFonts w:ascii="Microsoft JhengHei" w:eastAsia="Microsoft JhengHei" w:hint="eastAsia"/>
                <w:b/>
                <w:sz w:val="21"/>
              </w:rPr>
              <w:t>流动资产：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货币资金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5"/>
              <w:jc w:val="right"/>
              <w:rPr>
                <w:sz w:val="21"/>
              </w:rPr>
            </w:pPr>
            <w:r>
              <w:rPr>
                <w:sz w:val="21"/>
              </w:rPr>
              <w:t>8,286,549,909.64</w:t>
            </w:r>
          </w:p>
        </w:tc>
        <w:tc>
          <w:tcPr>
            <w:tcW w:w="2411" w:type="dxa"/>
            <w:tcBorders>
              <w:top w:val="single" w:sz="4" w:space="0" w:color="000000"/>
              <w:left w:val="single" w:sz="4" w:space="0" w:color="000000"/>
              <w:bottom w:val="single" w:sz="4" w:space="0" w:color="000000"/>
            </w:tcBorders>
          </w:tcPr>
          <w:p>
            <w:pPr>
              <w:pStyle w:val="TableParagraph"/>
              <w:spacing w:line="235" w:lineRule="exact"/>
              <w:ind w:right="78"/>
              <w:jc w:val="right"/>
              <w:rPr>
                <w:sz w:val="21"/>
              </w:rPr>
            </w:pPr>
            <w:r>
              <w:rPr>
                <w:sz w:val="21"/>
              </w:rPr>
              <w:t>5,624,406,816.79</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3"/>
              <w:ind w:left="318"/>
              <w:rPr>
                <w:rFonts w:ascii="宋体" w:eastAsia="宋体" w:hint="eastAsia"/>
                <w:sz w:val="21"/>
              </w:rPr>
            </w:pPr>
            <w:r>
              <w:rPr>
                <w:rFonts w:ascii="宋体" w:eastAsia="宋体" w:hint="eastAsia"/>
                <w:sz w:val="21"/>
              </w:rPr>
              <w:t>交易性金融资产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3" w:lineRule="exact" w:before="1"/>
              <w:ind w:left="318"/>
              <w:rPr>
                <w:rFonts w:ascii="宋体" w:eastAsia="宋体" w:hint="eastAsia"/>
                <w:sz w:val="21"/>
              </w:rPr>
            </w:pPr>
            <w:r>
              <w:rPr>
                <w:rFonts w:ascii="宋体" w:eastAsia="宋体" w:hint="eastAsia"/>
                <w:sz w:val="21"/>
              </w:rPr>
              <w:t>衍生金融资产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应收票据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3"/>
              <w:ind w:left="318"/>
              <w:rPr>
                <w:rFonts w:ascii="宋体" w:eastAsia="宋体" w:hint="eastAsia"/>
                <w:sz w:val="21"/>
              </w:rPr>
            </w:pPr>
            <w:r>
              <w:rPr>
                <w:rFonts w:ascii="宋体" w:eastAsia="宋体" w:hint="eastAsia"/>
                <w:sz w:val="21"/>
              </w:rPr>
              <w:t>应收账款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left="93" w:right="101"/>
              <w:jc w:val="center"/>
              <w:rPr>
                <w:sz w:val="21"/>
              </w:rPr>
            </w:pPr>
            <w:r>
              <w:rPr>
                <w:rFonts w:ascii="宋体" w:eastAsia="宋体" w:hint="eastAsia"/>
                <w:sz w:val="21"/>
              </w:rPr>
              <w:t>十八、</w:t>
            </w:r>
            <w:r>
              <w:rPr>
                <w:sz w:val="21"/>
              </w:rPr>
              <w:t>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85"/>
              <w:jc w:val="right"/>
              <w:rPr>
                <w:sz w:val="21"/>
              </w:rPr>
            </w:pPr>
            <w:r>
              <w:rPr>
                <w:sz w:val="21"/>
              </w:rPr>
              <w:t>5,491,536,070.42</w:t>
            </w:r>
          </w:p>
        </w:tc>
        <w:tc>
          <w:tcPr>
            <w:tcW w:w="2411" w:type="dxa"/>
            <w:tcBorders>
              <w:top w:val="single" w:sz="4" w:space="0" w:color="000000"/>
              <w:left w:val="single" w:sz="4" w:space="0" w:color="000000"/>
              <w:bottom w:val="single" w:sz="4" w:space="0" w:color="000000"/>
            </w:tcBorders>
          </w:tcPr>
          <w:p>
            <w:pPr>
              <w:pStyle w:val="TableParagraph"/>
              <w:spacing w:line="237" w:lineRule="exact"/>
              <w:ind w:right="78"/>
              <w:jc w:val="right"/>
              <w:rPr>
                <w:sz w:val="21"/>
              </w:rPr>
            </w:pPr>
            <w:r>
              <w:rPr>
                <w:sz w:val="21"/>
              </w:rPr>
              <w:t>1,182,234,481.49</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应收款项融资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预付款项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5"/>
              <w:jc w:val="right"/>
              <w:rPr>
                <w:sz w:val="21"/>
              </w:rPr>
            </w:pPr>
            <w:r>
              <w:rPr>
                <w:sz w:val="21"/>
              </w:rPr>
              <w:t>295,050,991.15</w:t>
            </w:r>
          </w:p>
        </w:tc>
        <w:tc>
          <w:tcPr>
            <w:tcW w:w="2411" w:type="dxa"/>
            <w:tcBorders>
              <w:top w:val="single" w:sz="4" w:space="0" w:color="000000"/>
              <w:left w:val="single" w:sz="4" w:space="0" w:color="000000"/>
              <w:bottom w:val="single" w:sz="4" w:space="0" w:color="000000"/>
            </w:tcBorders>
          </w:tcPr>
          <w:p>
            <w:pPr>
              <w:pStyle w:val="TableParagraph"/>
              <w:spacing w:line="235" w:lineRule="exact"/>
              <w:ind w:right="78"/>
              <w:jc w:val="right"/>
              <w:rPr>
                <w:sz w:val="21"/>
              </w:rPr>
            </w:pPr>
            <w:r>
              <w:rPr>
                <w:sz w:val="21"/>
              </w:rPr>
              <w:t>30,749,459.11</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3"/>
              <w:ind w:left="318"/>
              <w:rPr>
                <w:rFonts w:ascii="宋体" w:eastAsia="宋体" w:hint="eastAsia"/>
                <w:sz w:val="21"/>
              </w:rPr>
            </w:pPr>
            <w:r>
              <w:rPr>
                <w:rFonts w:ascii="宋体" w:eastAsia="宋体" w:hint="eastAsia"/>
                <w:sz w:val="21"/>
              </w:rPr>
              <w:t>其他应收款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left="93" w:right="101"/>
              <w:jc w:val="center"/>
              <w:rPr>
                <w:sz w:val="21"/>
              </w:rPr>
            </w:pPr>
            <w:r>
              <w:rPr>
                <w:rFonts w:ascii="宋体" w:eastAsia="宋体" w:hint="eastAsia"/>
                <w:sz w:val="21"/>
              </w:rPr>
              <w:t>十八、</w:t>
            </w:r>
            <w:r>
              <w:rPr>
                <w:sz w:val="21"/>
              </w:rPr>
              <w:t>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85"/>
              <w:jc w:val="right"/>
              <w:rPr>
                <w:sz w:val="21"/>
              </w:rPr>
            </w:pPr>
            <w:r>
              <w:rPr>
                <w:sz w:val="21"/>
              </w:rPr>
              <w:t>3,906,373,387.61</w:t>
            </w:r>
          </w:p>
        </w:tc>
        <w:tc>
          <w:tcPr>
            <w:tcW w:w="2411" w:type="dxa"/>
            <w:tcBorders>
              <w:top w:val="single" w:sz="4" w:space="0" w:color="000000"/>
              <w:left w:val="single" w:sz="4" w:space="0" w:color="000000"/>
              <w:bottom w:val="single" w:sz="4" w:space="0" w:color="000000"/>
            </w:tcBorders>
          </w:tcPr>
          <w:p>
            <w:pPr>
              <w:pStyle w:val="TableParagraph"/>
              <w:spacing w:line="237" w:lineRule="exact"/>
              <w:ind w:right="78"/>
              <w:jc w:val="right"/>
              <w:rPr>
                <w:sz w:val="21"/>
              </w:rPr>
            </w:pPr>
            <w:r>
              <w:rPr>
                <w:sz w:val="21"/>
              </w:rPr>
              <w:t>5,885,752,905.74</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其中：应收利息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38,582,434.11</w:t>
            </w:r>
          </w:p>
        </w:tc>
        <w:tc>
          <w:tcPr>
            <w:tcW w:w="2411" w:type="dxa"/>
            <w:tcBorders>
              <w:top w:val="single" w:sz="4" w:space="0" w:color="000000"/>
              <w:left w:val="single" w:sz="4" w:space="0" w:color="000000"/>
              <w:bottom w:val="single" w:sz="4" w:space="0" w:color="000000"/>
            </w:tcBorders>
          </w:tcPr>
          <w:p>
            <w:pPr>
              <w:pStyle w:val="TableParagraph"/>
              <w:spacing w:before="10"/>
              <w:ind w:right="78"/>
              <w:jc w:val="right"/>
              <w:rPr>
                <w:sz w:val="21"/>
              </w:rPr>
            </w:pPr>
            <w:r>
              <w:rPr>
                <w:sz w:val="21"/>
              </w:rPr>
              <w:t>16,753,860.49</w:t>
            </w: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947"/>
              <w:rPr>
                <w:rFonts w:ascii="宋体" w:eastAsia="宋体" w:hint="eastAsia"/>
                <w:sz w:val="21"/>
              </w:rPr>
            </w:pPr>
            <w:r>
              <w:rPr>
                <w:rFonts w:ascii="宋体" w:eastAsia="宋体" w:hint="eastAsia"/>
                <w:sz w:val="21"/>
              </w:rPr>
              <w:t>应收股利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bottom w:val="single" w:sz="4" w:space="0" w:color="000000"/>
            </w:tcBorders>
          </w:tcPr>
          <w:p>
            <w:pPr>
              <w:pStyle w:val="TableParagraph"/>
              <w:spacing w:before="7"/>
              <w:ind w:right="78"/>
              <w:jc w:val="right"/>
              <w:rPr>
                <w:sz w:val="21"/>
              </w:rPr>
            </w:pPr>
            <w:r>
              <w:rPr>
                <w:sz w:val="21"/>
              </w:rPr>
              <w:t>3,836,055,151.41</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存货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5"/>
              <w:jc w:val="right"/>
              <w:rPr>
                <w:sz w:val="21"/>
              </w:rPr>
            </w:pPr>
            <w:r>
              <w:rPr>
                <w:sz w:val="21"/>
              </w:rPr>
              <w:t>73,974,562.87</w:t>
            </w:r>
          </w:p>
        </w:tc>
        <w:tc>
          <w:tcPr>
            <w:tcW w:w="2411" w:type="dxa"/>
            <w:tcBorders>
              <w:top w:val="single" w:sz="4" w:space="0" w:color="000000"/>
              <w:left w:val="single" w:sz="4" w:space="0" w:color="000000"/>
              <w:bottom w:val="single" w:sz="4" w:space="0" w:color="000000"/>
            </w:tcBorders>
          </w:tcPr>
          <w:p>
            <w:pPr>
              <w:pStyle w:val="TableParagraph"/>
              <w:spacing w:line="235" w:lineRule="exact"/>
              <w:ind w:right="78"/>
              <w:jc w:val="right"/>
              <w:rPr>
                <w:sz w:val="21"/>
              </w:rPr>
            </w:pPr>
            <w:r>
              <w:rPr>
                <w:sz w:val="21"/>
              </w:rPr>
              <w:t>233,688,207.38</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合同资产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持有待售资产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一年内到期的非流动资产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其他流动资产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5"/>
              <w:jc w:val="right"/>
              <w:rPr>
                <w:sz w:val="21"/>
              </w:rPr>
            </w:pPr>
            <w:r>
              <w:rPr>
                <w:sz w:val="21"/>
              </w:rPr>
              <w:t>459,309,301.58</w:t>
            </w:r>
          </w:p>
        </w:tc>
        <w:tc>
          <w:tcPr>
            <w:tcW w:w="2411" w:type="dxa"/>
            <w:tcBorders>
              <w:top w:val="single" w:sz="4" w:space="0" w:color="000000"/>
              <w:left w:val="single" w:sz="4" w:space="0" w:color="000000"/>
              <w:bottom w:val="single" w:sz="4" w:space="0" w:color="000000"/>
            </w:tcBorders>
          </w:tcPr>
          <w:p>
            <w:pPr>
              <w:pStyle w:val="TableParagraph"/>
              <w:spacing w:line="235" w:lineRule="exact"/>
              <w:ind w:right="78"/>
              <w:jc w:val="right"/>
              <w:rPr>
                <w:sz w:val="21"/>
              </w:rPr>
            </w:pPr>
            <w:r>
              <w:rPr>
                <w:sz w:val="21"/>
              </w:rPr>
              <w:t>705,958,670.28</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4"/>
              <w:ind w:left="527"/>
              <w:rPr>
                <w:rFonts w:ascii="宋体" w:eastAsia="宋体" w:hint="eastAsia"/>
                <w:sz w:val="21"/>
              </w:rPr>
            </w:pPr>
            <w:r>
              <w:rPr>
                <w:rFonts w:ascii="宋体" w:eastAsia="宋体" w:hint="eastAsia"/>
                <w:sz w:val="21"/>
              </w:rPr>
              <w:t>流动资产合计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85"/>
              <w:jc w:val="right"/>
              <w:rPr>
                <w:sz w:val="21"/>
              </w:rPr>
            </w:pPr>
            <w:r>
              <w:rPr>
                <w:sz w:val="21"/>
              </w:rPr>
              <w:t>18,512,794,223.27</w:t>
            </w:r>
          </w:p>
        </w:tc>
        <w:tc>
          <w:tcPr>
            <w:tcW w:w="2411" w:type="dxa"/>
            <w:tcBorders>
              <w:top w:val="single" w:sz="4" w:space="0" w:color="000000"/>
              <w:left w:val="single" w:sz="4" w:space="0" w:color="000000"/>
              <w:bottom w:val="single" w:sz="4" w:space="0" w:color="000000"/>
            </w:tcBorders>
          </w:tcPr>
          <w:p>
            <w:pPr>
              <w:pStyle w:val="TableParagraph"/>
              <w:spacing w:line="238" w:lineRule="exact"/>
              <w:ind w:right="78"/>
              <w:jc w:val="right"/>
              <w:rPr>
                <w:sz w:val="21"/>
              </w:rPr>
            </w:pPr>
            <w:r>
              <w:rPr>
                <w:sz w:val="21"/>
              </w:rPr>
              <w:t>13,662,790,540.79</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3" w:lineRule="exact"/>
              <w:ind w:left="107"/>
              <w:rPr>
                <w:rFonts w:ascii="Microsoft JhengHei" w:eastAsia="Microsoft JhengHei" w:hint="eastAsia"/>
                <w:b/>
                <w:sz w:val="21"/>
              </w:rPr>
            </w:pPr>
            <w:r>
              <w:rPr>
                <w:rFonts w:ascii="Microsoft JhengHei" w:eastAsia="Microsoft JhengHei" w:hint="eastAsia"/>
                <w:b/>
                <w:sz w:val="21"/>
              </w:rPr>
              <w:t>非流动资产：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债权投资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3"/>
              <w:ind w:left="318"/>
              <w:rPr>
                <w:rFonts w:ascii="宋体" w:eastAsia="宋体" w:hint="eastAsia"/>
                <w:sz w:val="21"/>
              </w:rPr>
            </w:pPr>
            <w:r>
              <w:rPr>
                <w:rFonts w:ascii="宋体" w:eastAsia="宋体" w:hint="eastAsia"/>
                <w:sz w:val="21"/>
              </w:rPr>
              <w:t>其他债权投资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长期应收款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长期股权投资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93" w:right="101"/>
              <w:jc w:val="center"/>
              <w:rPr>
                <w:sz w:val="21"/>
              </w:rPr>
            </w:pPr>
            <w:r>
              <w:rPr>
                <w:rFonts w:ascii="宋体" w:eastAsia="宋体" w:hint="eastAsia"/>
                <w:sz w:val="21"/>
              </w:rPr>
              <w:t>十八、</w:t>
            </w:r>
            <w:r>
              <w:rPr>
                <w:sz w:val="21"/>
              </w:rPr>
              <w:t>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5"/>
              <w:jc w:val="right"/>
              <w:rPr>
                <w:sz w:val="21"/>
              </w:rPr>
            </w:pPr>
            <w:r>
              <w:rPr>
                <w:sz w:val="21"/>
              </w:rPr>
              <w:t>52,290,227,070.21</w:t>
            </w:r>
          </w:p>
        </w:tc>
        <w:tc>
          <w:tcPr>
            <w:tcW w:w="2411" w:type="dxa"/>
            <w:tcBorders>
              <w:top w:val="single" w:sz="4" w:space="0" w:color="000000"/>
              <w:left w:val="single" w:sz="4" w:space="0" w:color="000000"/>
              <w:bottom w:val="single" w:sz="4" w:space="0" w:color="000000"/>
            </w:tcBorders>
          </w:tcPr>
          <w:p>
            <w:pPr>
              <w:pStyle w:val="TableParagraph"/>
              <w:spacing w:line="235" w:lineRule="exact"/>
              <w:ind w:right="78"/>
              <w:jc w:val="right"/>
              <w:rPr>
                <w:sz w:val="21"/>
              </w:rPr>
            </w:pPr>
            <w:r>
              <w:rPr>
                <w:sz w:val="21"/>
              </w:rPr>
              <w:t>35,566,480,370.20</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3"/>
              <w:ind w:left="318"/>
              <w:rPr>
                <w:rFonts w:ascii="宋体" w:eastAsia="宋体" w:hint="eastAsia"/>
                <w:sz w:val="21"/>
              </w:rPr>
            </w:pPr>
            <w:r>
              <w:rPr>
                <w:rFonts w:ascii="宋体" w:eastAsia="宋体" w:hint="eastAsia"/>
                <w:sz w:val="21"/>
              </w:rPr>
              <w:t>其他权益工具投资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85"/>
              <w:jc w:val="right"/>
              <w:rPr>
                <w:sz w:val="21"/>
              </w:rPr>
            </w:pPr>
            <w:r>
              <w:rPr>
                <w:sz w:val="21"/>
              </w:rPr>
              <w:t>804,334,894.58</w:t>
            </w:r>
          </w:p>
        </w:tc>
        <w:tc>
          <w:tcPr>
            <w:tcW w:w="2411" w:type="dxa"/>
            <w:tcBorders>
              <w:top w:val="single" w:sz="4" w:space="0" w:color="000000"/>
              <w:left w:val="single" w:sz="4" w:space="0" w:color="000000"/>
              <w:bottom w:val="single" w:sz="4" w:space="0" w:color="000000"/>
            </w:tcBorders>
          </w:tcPr>
          <w:p>
            <w:pPr>
              <w:pStyle w:val="TableParagraph"/>
              <w:spacing w:line="237" w:lineRule="exact"/>
              <w:ind w:right="78"/>
              <w:jc w:val="right"/>
              <w:rPr>
                <w:sz w:val="21"/>
              </w:rPr>
            </w:pPr>
            <w:r>
              <w:rPr>
                <w:sz w:val="21"/>
              </w:rPr>
              <w:t>5,147,131.28</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其他非流动金融资产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投资性房地产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5" w:type="dxa"/>
            <w:tcBorders>
              <w:top w:val="single" w:sz="4" w:space="0" w:color="000000"/>
              <w:right w:val="single" w:sz="4" w:space="0" w:color="000000"/>
            </w:tcBorders>
          </w:tcPr>
          <w:p>
            <w:pPr>
              <w:pStyle w:val="TableParagraph"/>
              <w:spacing w:line="249" w:lineRule="exact" w:before="1"/>
              <w:ind w:left="318"/>
              <w:rPr>
                <w:rFonts w:ascii="宋体" w:eastAsia="宋体" w:hint="eastAsia"/>
                <w:sz w:val="21"/>
              </w:rPr>
            </w:pPr>
            <w:r>
              <w:rPr>
                <w:rFonts w:ascii="宋体" w:eastAsia="宋体" w:hint="eastAsia"/>
                <w:sz w:val="21"/>
              </w:rPr>
              <w:t>固定资产</w:t>
            </w:r>
          </w:p>
        </w:tc>
        <w:tc>
          <w:tcPr>
            <w:tcW w:w="992" w:type="dxa"/>
            <w:tcBorders>
              <w:top w:val="single" w:sz="4" w:space="0" w:color="000000"/>
              <w:left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right w:val="single" w:sz="4" w:space="0" w:color="000000"/>
            </w:tcBorders>
          </w:tcPr>
          <w:p>
            <w:pPr>
              <w:pStyle w:val="TableParagraph"/>
              <w:spacing w:line="235" w:lineRule="exact"/>
              <w:ind w:right="85"/>
              <w:jc w:val="right"/>
              <w:rPr>
                <w:sz w:val="21"/>
              </w:rPr>
            </w:pPr>
            <w:r>
              <w:rPr>
                <w:sz w:val="21"/>
              </w:rPr>
              <w:t>196,529,502.16</w:t>
            </w:r>
          </w:p>
        </w:tc>
        <w:tc>
          <w:tcPr>
            <w:tcW w:w="2411" w:type="dxa"/>
            <w:tcBorders>
              <w:top w:val="single" w:sz="4" w:space="0" w:color="000000"/>
              <w:left w:val="single" w:sz="4" w:space="0" w:color="000000"/>
            </w:tcBorders>
          </w:tcPr>
          <w:p>
            <w:pPr>
              <w:pStyle w:val="TableParagraph"/>
              <w:spacing w:line="235" w:lineRule="exact"/>
              <w:ind w:right="78"/>
              <w:jc w:val="right"/>
              <w:rPr>
                <w:sz w:val="21"/>
              </w:rPr>
            </w:pPr>
            <w:r>
              <w:rPr>
                <w:sz w:val="21"/>
              </w:rPr>
              <w:t>180,807,176.98</w:t>
            </w:r>
          </w:p>
        </w:tc>
      </w:tr>
    </w:tbl>
    <w:p>
      <w:pPr>
        <w:spacing w:after="0" w:line="235" w:lineRule="exact"/>
        <w:jc w:val="right"/>
        <w:rPr>
          <w:sz w:val="21"/>
        </w:rPr>
        <w:sectPr>
          <w:type w:val="continuous"/>
          <w:pgSz w:w="11910" w:h="16840"/>
          <w:pgMar w:top="1360" w:bottom="1400" w:left="1560" w:right="960"/>
        </w:sectPr>
      </w:pPr>
    </w:p>
    <w:p>
      <w:pPr>
        <w:pStyle w:val="BodyText"/>
        <w:spacing w:before="9"/>
        <w:rPr>
          <w:rFonts w:ascii="Times New Roman"/>
          <w:sz w:val="5"/>
        </w:rPr>
      </w:pPr>
    </w:p>
    <w:tbl>
      <w:tblPr>
        <w:tblW w:w="0" w:type="auto"/>
        <w:jc w:val="left"/>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795"/>
        <w:gridCol w:w="992"/>
        <w:gridCol w:w="1844"/>
        <w:gridCol w:w="2411"/>
      </w:tblGrid>
      <w:tr>
        <w:trPr>
          <w:trHeight w:val="273" w:hRule="atLeast"/>
        </w:trPr>
        <w:tc>
          <w:tcPr>
            <w:tcW w:w="3795" w:type="dxa"/>
            <w:tcBorders>
              <w:bottom w:val="single" w:sz="4" w:space="0" w:color="000000"/>
              <w:right w:val="single" w:sz="4" w:space="0" w:color="000000"/>
            </w:tcBorders>
          </w:tcPr>
          <w:p>
            <w:pPr>
              <w:pStyle w:val="TableParagraph"/>
              <w:spacing w:line="250" w:lineRule="exact" w:before="3"/>
              <w:ind w:left="318"/>
              <w:rPr>
                <w:rFonts w:ascii="宋体" w:eastAsia="宋体" w:hint="eastAsia"/>
                <w:sz w:val="21"/>
              </w:rPr>
            </w:pPr>
            <w:r>
              <w:rPr>
                <w:rFonts w:ascii="宋体" w:eastAsia="宋体" w:hint="eastAsia"/>
                <w:sz w:val="21"/>
              </w:rPr>
              <w:t>在建工程</w:t>
            </w:r>
          </w:p>
        </w:tc>
        <w:tc>
          <w:tcPr>
            <w:tcW w:w="992" w:type="dxa"/>
            <w:tcBorders>
              <w:left w:val="single" w:sz="4" w:space="0" w:color="000000"/>
              <w:bottom w:val="single" w:sz="4" w:space="0" w:color="000000"/>
              <w:right w:val="single" w:sz="4" w:space="0" w:color="000000"/>
            </w:tcBorders>
          </w:tcPr>
          <w:p>
            <w:pPr>
              <w:pStyle w:val="TableParagraph"/>
              <w:rPr>
                <w:sz w:val="20"/>
              </w:rPr>
            </w:pPr>
          </w:p>
        </w:tc>
        <w:tc>
          <w:tcPr>
            <w:tcW w:w="1844" w:type="dxa"/>
            <w:tcBorders>
              <w:left w:val="single" w:sz="4" w:space="0" w:color="000000"/>
              <w:bottom w:val="single" w:sz="4" w:space="0" w:color="000000"/>
              <w:right w:val="single" w:sz="4" w:space="0" w:color="000000"/>
            </w:tcBorders>
          </w:tcPr>
          <w:p>
            <w:pPr>
              <w:pStyle w:val="TableParagraph"/>
              <w:spacing w:line="237" w:lineRule="exact"/>
              <w:ind w:right="85"/>
              <w:jc w:val="right"/>
              <w:rPr>
                <w:sz w:val="21"/>
              </w:rPr>
            </w:pPr>
            <w:r>
              <w:rPr>
                <w:sz w:val="21"/>
              </w:rPr>
              <w:t>8,319,418.36</w:t>
            </w:r>
          </w:p>
        </w:tc>
        <w:tc>
          <w:tcPr>
            <w:tcW w:w="2411" w:type="dxa"/>
            <w:tcBorders>
              <w:left w:val="single" w:sz="4" w:space="0" w:color="000000"/>
              <w:bottom w:val="single" w:sz="4" w:space="0" w:color="000000"/>
            </w:tcBorders>
          </w:tcPr>
          <w:p>
            <w:pPr>
              <w:pStyle w:val="TableParagraph"/>
              <w:spacing w:line="237" w:lineRule="exact"/>
              <w:ind w:right="78"/>
              <w:jc w:val="right"/>
              <w:rPr>
                <w:sz w:val="21"/>
              </w:rPr>
            </w:pPr>
            <w:r>
              <w:rPr>
                <w:sz w:val="21"/>
              </w:rPr>
              <w:t>65,367,920.02</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3"/>
              <w:ind w:left="318"/>
              <w:rPr>
                <w:rFonts w:ascii="宋体" w:eastAsia="宋体" w:hint="eastAsia"/>
                <w:sz w:val="21"/>
              </w:rPr>
            </w:pPr>
            <w:r>
              <w:rPr>
                <w:rFonts w:ascii="宋体" w:eastAsia="宋体" w:hint="eastAsia"/>
                <w:sz w:val="21"/>
              </w:rPr>
              <w:t>生产性生物资产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油气资产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使用权资产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5"/>
              <w:jc w:val="right"/>
              <w:rPr>
                <w:sz w:val="21"/>
              </w:rPr>
            </w:pPr>
            <w:r>
              <w:rPr>
                <w:sz w:val="21"/>
              </w:rPr>
              <w:t>2,076,376.95</w:t>
            </w: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无形资产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5"/>
              <w:jc w:val="right"/>
              <w:rPr>
                <w:sz w:val="21"/>
              </w:rPr>
            </w:pPr>
            <w:r>
              <w:rPr>
                <w:sz w:val="21"/>
              </w:rPr>
              <w:t>62,103,457.66</w:t>
            </w:r>
          </w:p>
        </w:tc>
        <w:tc>
          <w:tcPr>
            <w:tcW w:w="2411" w:type="dxa"/>
            <w:tcBorders>
              <w:top w:val="single" w:sz="4" w:space="0" w:color="000000"/>
              <w:left w:val="single" w:sz="4" w:space="0" w:color="000000"/>
              <w:bottom w:val="single" w:sz="4" w:space="0" w:color="000000"/>
            </w:tcBorders>
          </w:tcPr>
          <w:p>
            <w:pPr>
              <w:pStyle w:val="TableParagraph"/>
              <w:spacing w:line="235" w:lineRule="exact"/>
              <w:ind w:right="78"/>
              <w:jc w:val="right"/>
              <w:rPr>
                <w:sz w:val="21"/>
              </w:rPr>
            </w:pPr>
            <w:r>
              <w:rPr>
                <w:sz w:val="21"/>
              </w:rPr>
              <w:t>15,779,108.14</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开发支出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商誉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长期待摊费用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5"/>
              <w:jc w:val="right"/>
              <w:rPr>
                <w:sz w:val="21"/>
              </w:rPr>
            </w:pPr>
            <w:r>
              <w:rPr>
                <w:sz w:val="21"/>
              </w:rPr>
              <w:t>4,208,602.97</w:t>
            </w:r>
          </w:p>
        </w:tc>
        <w:tc>
          <w:tcPr>
            <w:tcW w:w="2411" w:type="dxa"/>
            <w:tcBorders>
              <w:top w:val="single" w:sz="4" w:space="0" w:color="000000"/>
              <w:left w:val="single" w:sz="4" w:space="0" w:color="000000"/>
              <w:bottom w:val="single" w:sz="4" w:space="0" w:color="000000"/>
            </w:tcBorders>
          </w:tcPr>
          <w:p>
            <w:pPr>
              <w:pStyle w:val="TableParagraph"/>
              <w:spacing w:line="235" w:lineRule="exact"/>
              <w:ind w:right="78"/>
              <w:jc w:val="right"/>
              <w:rPr>
                <w:sz w:val="21"/>
              </w:rPr>
            </w:pPr>
            <w:r>
              <w:rPr>
                <w:sz w:val="21"/>
              </w:rPr>
              <w:t>5,405,209.80</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递延所得税资产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5"/>
              <w:jc w:val="right"/>
              <w:rPr>
                <w:sz w:val="21"/>
              </w:rPr>
            </w:pPr>
            <w:r>
              <w:rPr>
                <w:sz w:val="21"/>
              </w:rPr>
              <w:t>154,335,216.49</w:t>
            </w:r>
          </w:p>
        </w:tc>
        <w:tc>
          <w:tcPr>
            <w:tcW w:w="2411" w:type="dxa"/>
            <w:tcBorders>
              <w:top w:val="single" w:sz="4" w:space="0" w:color="000000"/>
              <w:left w:val="single" w:sz="4" w:space="0" w:color="000000"/>
              <w:bottom w:val="single" w:sz="4" w:space="0" w:color="000000"/>
            </w:tcBorders>
          </w:tcPr>
          <w:p>
            <w:pPr>
              <w:pStyle w:val="TableParagraph"/>
              <w:spacing w:line="235" w:lineRule="exact"/>
              <w:ind w:right="78"/>
              <w:jc w:val="right"/>
              <w:rPr>
                <w:sz w:val="21"/>
              </w:rPr>
            </w:pPr>
            <w:r>
              <w:rPr>
                <w:sz w:val="21"/>
              </w:rPr>
              <w:t>97,384,845.46</w:t>
            </w: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其他非流动资产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5"/>
              <w:jc w:val="right"/>
              <w:rPr>
                <w:sz w:val="21"/>
              </w:rPr>
            </w:pPr>
            <w:r>
              <w:rPr>
                <w:sz w:val="21"/>
              </w:rPr>
              <w:t>26,894,836.99</w:t>
            </w:r>
          </w:p>
        </w:tc>
        <w:tc>
          <w:tcPr>
            <w:tcW w:w="2411" w:type="dxa"/>
            <w:tcBorders>
              <w:top w:val="single" w:sz="4" w:space="0" w:color="000000"/>
              <w:left w:val="single" w:sz="4" w:space="0" w:color="000000"/>
              <w:bottom w:val="single" w:sz="4" w:space="0" w:color="000000"/>
            </w:tcBorders>
          </w:tcPr>
          <w:p>
            <w:pPr>
              <w:pStyle w:val="TableParagraph"/>
              <w:spacing w:line="235" w:lineRule="exact"/>
              <w:ind w:right="78"/>
              <w:jc w:val="right"/>
              <w:rPr>
                <w:sz w:val="21"/>
              </w:rPr>
            </w:pPr>
            <w:r>
              <w:rPr>
                <w:sz w:val="21"/>
              </w:rPr>
              <w:t>3,792,624.04</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527"/>
              <w:rPr>
                <w:rFonts w:ascii="宋体" w:eastAsia="宋体" w:hint="eastAsia"/>
                <w:sz w:val="21"/>
              </w:rPr>
            </w:pPr>
            <w:r>
              <w:rPr>
                <w:rFonts w:ascii="宋体" w:eastAsia="宋体" w:hint="eastAsia"/>
                <w:sz w:val="21"/>
              </w:rPr>
              <w:t>非流动资产合计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5"/>
              <w:jc w:val="right"/>
              <w:rPr>
                <w:sz w:val="21"/>
              </w:rPr>
            </w:pPr>
            <w:r>
              <w:rPr>
                <w:sz w:val="21"/>
              </w:rPr>
              <w:t>53,549,029,376.37</w:t>
            </w:r>
          </w:p>
        </w:tc>
        <w:tc>
          <w:tcPr>
            <w:tcW w:w="2411" w:type="dxa"/>
            <w:tcBorders>
              <w:top w:val="single" w:sz="4" w:space="0" w:color="000000"/>
              <w:left w:val="single" w:sz="4" w:space="0" w:color="000000"/>
              <w:bottom w:val="single" w:sz="4" w:space="0" w:color="000000"/>
            </w:tcBorders>
          </w:tcPr>
          <w:p>
            <w:pPr>
              <w:pStyle w:val="TableParagraph"/>
              <w:spacing w:line="235" w:lineRule="exact"/>
              <w:ind w:right="78"/>
              <w:jc w:val="right"/>
              <w:rPr>
                <w:sz w:val="21"/>
              </w:rPr>
            </w:pPr>
            <w:r>
              <w:rPr>
                <w:sz w:val="21"/>
              </w:rPr>
              <w:t>35,940,164,385.92</w:t>
            </w: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738"/>
              <w:rPr>
                <w:rFonts w:ascii="宋体" w:eastAsia="宋体" w:hint="eastAsia"/>
                <w:sz w:val="21"/>
              </w:rPr>
            </w:pPr>
            <w:r>
              <w:rPr>
                <w:rFonts w:ascii="宋体" w:eastAsia="宋体" w:hint="eastAsia"/>
                <w:sz w:val="21"/>
              </w:rPr>
              <w:t>资产总计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5"/>
              <w:jc w:val="right"/>
              <w:rPr>
                <w:sz w:val="21"/>
              </w:rPr>
            </w:pPr>
            <w:r>
              <w:rPr>
                <w:sz w:val="21"/>
              </w:rPr>
              <w:t>72,061,823,599.64</w:t>
            </w:r>
          </w:p>
        </w:tc>
        <w:tc>
          <w:tcPr>
            <w:tcW w:w="2411" w:type="dxa"/>
            <w:tcBorders>
              <w:top w:val="single" w:sz="4" w:space="0" w:color="000000"/>
              <w:left w:val="single" w:sz="4" w:space="0" w:color="000000"/>
              <w:bottom w:val="single" w:sz="4" w:space="0" w:color="000000"/>
            </w:tcBorders>
          </w:tcPr>
          <w:p>
            <w:pPr>
              <w:pStyle w:val="TableParagraph"/>
              <w:spacing w:line="235" w:lineRule="exact"/>
              <w:ind w:right="78"/>
              <w:jc w:val="right"/>
              <w:rPr>
                <w:sz w:val="21"/>
              </w:rPr>
            </w:pPr>
            <w:r>
              <w:rPr>
                <w:sz w:val="21"/>
              </w:rPr>
              <w:t>49,602,954,926.71</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3" w:lineRule="exact"/>
              <w:ind w:left="107"/>
              <w:rPr>
                <w:rFonts w:ascii="Microsoft JhengHei" w:eastAsia="Microsoft JhengHei" w:hint="eastAsia"/>
                <w:b/>
                <w:sz w:val="21"/>
              </w:rPr>
            </w:pPr>
            <w:r>
              <w:rPr>
                <w:rFonts w:ascii="Microsoft JhengHei" w:eastAsia="Microsoft JhengHei" w:hint="eastAsia"/>
                <w:b/>
                <w:sz w:val="21"/>
              </w:rPr>
              <w:t>流动负债：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短期借款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交易性金融负债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3"/>
              <w:ind w:left="318"/>
              <w:rPr>
                <w:rFonts w:ascii="宋体" w:eastAsia="宋体" w:hint="eastAsia"/>
                <w:sz w:val="21"/>
              </w:rPr>
            </w:pPr>
            <w:r>
              <w:rPr>
                <w:rFonts w:ascii="宋体" w:eastAsia="宋体" w:hint="eastAsia"/>
                <w:sz w:val="21"/>
              </w:rPr>
              <w:t>衍生金融负债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应付票据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应付账款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5"/>
              <w:jc w:val="right"/>
              <w:rPr>
                <w:sz w:val="21"/>
              </w:rPr>
            </w:pPr>
            <w:r>
              <w:rPr>
                <w:sz w:val="21"/>
              </w:rPr>
              <w:t>248,172,640.78</w:t>
            </w:r>
          </w:p>
        </w:tc>
        <w:tc>
          <w:tcPr>
            <w:tcW w:w="2411" w:type="dxa"/>
            <w:tcBorders>
              <w:top w:val="single" w:sz="4" w:space="0" w:color="000000"/>
              <w:left w:val="single" w:sz="4" w:space="0" w:color="000000"/>
              <w:bottom w:val="single" w:sz="4" w:space="0" w:color="000000"/>
            </w:tcBorders>
          </w:tcPr>
          <w:p>
            <w:pPr>
              <w:pStyle w:val="TableParagraph"/>
              <w:spacing w:line="235" w:lineRule="exact"/>
              <w:ind w:right="78"/>
              <w:jc w:val="right"/>
              <w:rPr>
                <w:sz w:val="21"/>
              </w:rPr>
            </w:pPr>
            <w:r>
              <w:rPr>
                <w:sz w:val="21"/>
              </w:rPr>
              <w:t>3,412,291,778.06</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预收款项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合同负债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5"/>
              <w:jc w:val="right"/>
              <w:rPr>
                <w:sz w:val="21"/>
              </w:rPr>
            </w:pPr>
            <w:r>
              <w:rPr>
                <w:sz w:val="21"/>
              </w:rPr>
              <w:t>8,716,599.17</w:t>
            </w:r>
          </w:p>
        </w:tc>
        <w:tc>
          <w:tcPr>
            <w:tcW w:w="2411" w:type="dxa"/>
            <w:tcBorders>
              <w:top w:val="single" w:sz="4" w:space="0" w:color="000000"/>
              <w:left w:val="single" w:sz="4" w:space="0" w:color="000000"/>
              <w:bottom w:val="single" w:sz="4" w:space="0" w:color="000000"/>
            </w:tcBorders>
          </w:tcPr>
          <w:p>
            <w:pPr>
              <w:pStyle w:val="TableParagraph"/>
              <w:spacing w:line="235" w:lineRule="exact"/>
              <w:ind w:right="78"/>
              <w:jc w:val="right"/>
              <w:rPr>
                <w:sz w:val="21"/>
              </w:rPr>
            </w:pPr>
            <w:r>
              <w:rPr>
                <w:sz w:val="21"/>
              </w:rPr>
              <w:t>16,562,259.31</w:t>
            </w: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应付职工薪酬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5"/>
              <w:jc w:val="right"/>
              <w:rPr>
                <w:sz w:val="21"/>
              </w:rPr>
            </w:pPr>
            <w:r>
              <w:rPr>
                <w:sz w:val="21"/>
              </w:rPr>
              <w:t>86,872,482.44</w:t>
            </w:r>
          </w:p>
        </w:tc>
        <w:tc>
          <w:tcPr>
            <w:tcW w:w="2411" w:type="dxa"/>
            <w:tcBorders>
              <w:top w:val="single" w:sz="4" w:space="0" w:color="000000"/>
              <w:left w:val="single" w:sz="4" w:space="0" w:color="000000"/>
              <w:bottom w:val="single" w:sz="4" w:space="0" w:color="000000"/>
            </w:tcBorders>
          </w:tcPr>
          <w:p>
            <w:pPr>
              <w:pStyle w:val="TableParagraph"/>
              <w:spacing w:line="235" w:lineRule="exact"/>
              <w:ind w:right="78"/>
              <w:jc w:val="right"/>
              <w:rPr>
                <w:sz w:val="21"/>
              </w:rPr>
            </w:pPr>
            <w:r>
              <w:rPr>
                <w:sz w:val="21"/>
              </w:rPr>
              <w:t>76,513,196.33</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应交税费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5"/>
              <w:jc w:val="right"/>
              <w:rPr>
                <w:sz w:val="21"/>
              </w:rPr>
            </w:pPr>
            <w:r>
              <w:rPr>
                <w:sz w:val="21"/>
              </w:rPr>
              <w:t>55,756,358.98</w:t>
            </w:r>
          </w:p>
        </w:tc>
        <w:tc>
          <w:tcPr>
            <w:tcW w:w="2411" w:type="dxa"/>
            <w:tcBorders>
              <w:top w:val="single" w:sz="4" w:space="0" w:color="000000"/>
              <w:left w:val="single" w:sz="4" w:space="0" w:color="000000"/>
              <w:bottom w:val="single" w:sz="4" w:space="0" w:color="000000"/>
            </w:tcBorders>
          </w:tcPr>
          <w:p>
            <w:pPr>
              <w:pStyle w:val="TableParagraph"/>
              <w:spacing w:line="235" w:lineRule="exact"/>
              <w:ind w:right="78"/>
              <w:jc w:val="right"/>
              <w:rPr>
                <w:sz w:val="21"/>
              </w:rPr>
            </w:pPr>
            <w:r>
              <w:rPr>
                <w:sz w:val="21"/>
              </w:rPr>
              <w:t>86,856,453.32</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其他应付款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5"/>
              <w:jc w:val="right"/>
              <w:rPr>
                <w:sz w:val="21"/>
              </w:rPr>
            </w:pPr>
            <w:r>
              <w:rPr>
                <w:sz w:val="21"/>
              </w:rPr>
              <w:t>29,642,219,320.03</w:t>
            </w:r>
          </w:p>
        </w:tc>
        <w:tc>
          <w:tcPr>
            <w:tcW w:w="2411" w:type="dxa"/>
            <w:tcBorders>
              <w:top w:val="single" w:sz="4" w:space="0" w:color="000000"/>
              <w:left w:val="single" w:sz="4" w:space="0" w:color="000000"/>
              <w:bottom w:val="single" w:sz="4" w:space="0" w:color="000000"/>
            </w:tcBorders>
          </w:tcPr>
          <w:p>
            <w:pPr>
              <w:pStyle w:val="TableParagraph"/>
              <w:spacing w:line="235" w:lineRule="exact"/>
              <w:ind w:right="78"/>
              <w:jc w:val="right"/>
              <w:rPr>
                <w:sz w:val="21"/>
              </w:rPr>
            </w:pPr>
            <w:r>
              <w:rPr>
                <w:sz w:val="21"/>
              </w:rPr>
              <w:t>26,900,844,668.74</w:t>
            </w: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其中：应付利息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947"/>
              <w:rPr>
                <w:rFonts w:ascii="宋体" w:eastAsia="宋体" w:hint="eastAsia"/>
                <w:sz w:val="21"/>
              </w:rPr>
            </w:pPr>
            <w:r>
              <w:rPr>
                <w:rFonts w:ascii="宋体" w:eastAsia="宋体" w:hint="eastAsia"/>
                <w:sz w:val="21"/>
              </w:rPr>
              <w:t>应付股利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持有待售负债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3"/>
              <w:ind w:left="318"/>
              <w:rPr>
                <w:rFonts w:ascii="宋体" w:eastAsia="宋体" w:hint="eastAsia"/>
                <w:sz w:val="21"/>
              </w:rPr>
            </w:pPr>
            <w:r>
              <w:rPr>
                <w:rFonts w:ascii="宋体" w:eastAsia="宋体" w:hint="eastAsia"/>
                <w:sz w:val="21"/>
              </w:rPr>
              <w:t>一年内到期的非流动负债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85"/>
              <w:jc w:val="right"/>
              <w:rPr>
                <w:sz w:val="21"/>
              </w:rPr>
            </w:pPr>
            <w:r>
              <w:rPr>
                <w:sz w:val="21"/>
              </w:rPr>
              <w:t>20,840,106.80</w:t>
            </w: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其他流动负债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5"/>
              <w:jc w:val="right"/>
              <w:rPr>
                <w:sz w:val="21"/>
              </w:rPr>
            </w:pPr>
            <w:r>
              <w:rPr>
                <w:sz w:val="21"/>
              </w:rPr>
              <w:t>5,538,254,928.01</w:t>
            </w:r>
          </w:p>
        </w:tc>
        <w:tc>
          <w:tcPr>
            <w:tcW w:w="2411" w:type="dxa"/>
            <w:tcBorders>
              <w:top w:val="single" w:sz="4" w:space="0" w:color="000000"/>
              <w:left w:val="single" w:sz="4" w:space="0" w:color="000000"/>
              <w:bottom w:val="single" w:sz="4" w:space="0" w:color="000000"/>
            </w:tcBorders>
          </w:tcPr>
          <w:p>
            <w:pPr>
              <w:pStyle w:val="TableParagraph"/>
              <w:spacing w:line="235" w:lineRule="exact"/>
              <w:ind w:right="78"/>
              <w:jc w:val="right"/>
              <w:rPr>
                <w:sz w:val="21"/>
              </w:rPr>
            </w:pPr>
            <w:r>
              <w:rPr>
                <w:sz w:val="21"/>
              </w:rPr>
              <w:t>2,149,745.37</w:t>
            </w: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527"/>
              <w:rPr>
                <w:rFonts w:ascii="宋体" w:eastAsia="宋体" w:hint="eastAsia"/>
                <w:sz w:val="21"/>
              </w:rPr>
            </w:pPr>
            <w:r>
              <w:rPr>
                <w:rFonts w:ascii="宋体" w:eastAsia="宋体" w:hint="eastAsia"/>
                <w:sz w:val="21"/>
              </w:rPr>
              <w:t>流动负债合计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5"/>
              <w:jc w:val="right"/>
              <w:rPr>
                <w:sz w:val="21"/>
              </w:rPr>
            </w:pPr>
            <w:r>
              <w:rPr>
                <w:sz w:val="21"/>
              </w:rPr>
              <w:t>35,600,832,436.21</w:t>
            </w:r>
          </w:p>
        </w:tc>
        <w:tc>
          <w:tcPr>
            <w:tcW w:w="2411" w:type="dxa"/>
            <w:tcBorders>
              <w:top w:val="single" w:sz="4" w:space="0" w:color="000000"/>
              <w:left w:val="single" w:sz="4" w:space="0" w:color="000000"/>
              <w:bottom w:val="single" w:sz="4" w:space="0" w:color="000000"/>
            </w:tcBorders>
          </w:tcPr>
          <w:p>
            <w:pPr>
              <w:pStyle w:val="TableParagraph"/>
              <w:spacing w:line="235" w:lineRule="exact"/>
              <w:ind w:right="78"/>
              <w:jc w:val="right"/>
              <w:rPr>
                <w:sz w:val="21"/>
              </w:rPr>
            </w:pPr>
            <w:r>
              <w:rPr>
                <w:sz w:val="21"/>
              </w:rPr>
              <w:t>30,495,218,101.13</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3" w:lineRule="exact"/>
              <w:ind w:left="107"/>
              <w:rPr>
                <w:rFonts w:ascii="Microsoft JhengHei" w:eastAsia="Microsoft JhengHei" w:hint="eastAsia"/>
                <w:b/>
                <w:sz w:val="21"/>
              </w:rPr>
            </w:pPr>
            <w:r>
              <w:rPr>
                <w:rFonts w:ascii="Microsoft JhengHei" w:eastAsia="Microsoft JhengHei" w:hint="eastAsia"/>
                <w:b/>
                <w:sz w:val="21"/>
              </w:rPr>
              <w:t>非流动负债：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长期借款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应付债券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3"/>
              <w:ind w:left="318"/>
              <w:rPr>
                <w:rFonts w:ascii="宋体" w:eastAsia="宋体" w:hint="eastAsia"/>
                <w:sz w:val="21"/>
              </w:rPr>
            </w:pPr>
            <w:r>
              <w:rPr>
                <w:rFonts w:ascii="宋体" w:eastAsia="宋体" w:hint="eastAsia"/>
                <w:sz w:val="21"/>
              </w:rPr>
              <w:t>其中：优先股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947"/>
              <w:rPr>
                <w:rFonts w:ascii="宋体" w:eastAsia="宋体" w:hint="eastAsia"/>
                <w:sz w:val="21"/>
              </w:rPr>
            </w:pPr>
            <w:r>
              <w:rPr>
                <w:rFonts w:ascii="宋体" w:eastAsia="宋体" w:hint="eastAsia"/>
                <w:sz w:val="21"/>
              </w:rPr>
              <w:t>永续债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租赁负债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5"/>
              <w:jc w:val="right"/>
              <w:rPr>
                <w:sz w:val="21"/>
              </w:rPr>
            </w:pPr>
            <w:r>
              <w:rPr>
                <w:sz w:val="21"/>
              </w:rPr>
              <w:t>877,995.63</w:t>
            </w: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长期应付款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bottom w:val="single" w:sz="4" w:space="0" w:color="000000"/>
            </w:tcBorders>
          </w:tcPr>
          <w:p>
            <w:pPr>
              <w:pStyle w:val="TableParagraph"/>
              <w:spacing w:line="235" w:lineRule="exact"/>
              <w:ind w:right="78"/>
              <w:jc w:val="right"/>
              <w:rPr>
                <w:sz w:val="21"/>
              </w:rPr>
            </w:pPr>
            <w:r>
              <w:rPr>
                <w:sz w:val="21"/>
              </w:rPr>
              <w:t>20,000,000.00</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长期应付职工薪酬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预计负债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递延收益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5"/>
              <w:jc w:val="right"/>
              <w:rPr>
                <w:sz w:val="21"/>
              </w:rPr>
            </w:pPr>
            <w:r>
              <w:rPr>
                <w:sz w:val="21"/>
              </w:rPr>
              <w:t>24,250,000.00</w:t>
            </w:r>
          </w:p>
        </w:tc>
        <w:tc>
          <w:tcPr>
            <w:tcW w:w="2411" w:type="dxa"/>
            <w:tcBorders>
              <w:top w:val="single" w:sz="4" w:space="0" w:color="000000"/>
              <w:left w:val="single" w:sz="4" w:space="0" w:color="000000"/>
              <w:bottom w:val="single" w:sz="4" w:space="0" w:color="000000"/>
            </w:tcBorders>
          </w:tcPr>
          <w:p>
            <w:pPr>
              <w:pStyle w:val="TableParagraph"/>
              <w:spacing w:line="235" w:lineRule="exact"/>
              <w:ind w:right="78"/>
              <w:jc w:val="right"/>
              <w:rPr>
                <w:sz w:val="21"/>
              </w:rPr>
            </w:pPr>
            <w:r>
              <w:rPr>
                <w:sz w:val="21"/>
              </w:rPr>
              <w:t>59,820,000.00</w:t>
            </w: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递延所得税负债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5"/>
              <w:jc w:val="right"/>
              <w:rPr>
                <w:sz w:val="21"/>
              </w:rPr>
            </w:pPr>
            <w:r>
              <w:rPr>
                <w:sz w:val="21"/>
              </w:rPr>
              <w:t>219,544,771.62</w:t>
            </w:r>
          </w:p>
        </w:tc>
        <w:tc>
          <w:tcPr>
            <w:tcW w:w="2411" w:type="dxa"/>
            <w:tcBorders>
              <w:top w:val="single" w:sz="4" w:space="0" w:color="000000"/>
              <w:left w:val="single" w:sz="4" w:space="0" w:color="000000"/>
              <w:bottom w:val="single" w:sz="4" w:space="0" w:color="000000"/>
            </w:tcBorders>
          </w:tcPr>
          <w:p>
            <w:pPr>
              <w:pStyle w:val="TableParagraph"/>
              <w:spacing w:line="235" w:lineRule="exact"/>
              <w:ind w:right="78"/>
              <w:jc w:val="right"/>
              <w:rPr>
                <w:sz w:val="21"/>
              </w:rPr>
            </w:pPr>
            <w:r>
              <w:rPr>
                <w:sz w:val="21"/>
              </w:rPr>
              <w:t>43,325,120.18</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3"/>
              <w:ind w:left="318"/>
              <w:rPr>
                <w:rFonts w:ascii="宋体" w:eastAsia="宋体" w:hint="eastAsia"/>
                <w:sz w:val="21"/>
              </w:rPr>
            </w:pPr>
            <w:r>
              <w:rPr>
                <w:rFonts w:ascii="宋体" w:eastAsia="宋体" w:hint="eastAsia"/>
                <w:sz w:val="21"/>
              </w:rPr>
              <w:t>其他非流动负债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527"/>
              <w:rPr>
                <w:rFonts w:ascii="宋体" w:eastAsia="宋体" w:hint="eastAsia"/>
                <w:sz w:val="21"/>
              </w:rPr>
            </w:pPr>
            <w:r>
              <w:rPr>
                <w:rFonts w:ascii="宋体" w:eastAsia="宋体" w:hint="eastAsia"/>
                <w:sz w:val="21"/>
              </w:rPr>
              <w:t>非流动负债合计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5"/>
              <w:jc w:val="right"/>
              <w:rPr>
                <w:sz w:val="21"/>
              </w:rPr>
            </w:pPr>
            <w:r>
              <w:rPr>
                <w:sz w:val="21"/>
              </w:rPr>
              <w:t>244,672,767.25</w:t>
            </w:r>
          </w:p>
        </w:tc>
        <w:tc>
          <w:tcPr>
            <w:tcW w:w="2411" w:type="dxa"/>
            <w:tcBorders>
              <w:top w:val="single" w:sz="4" w:space="0" w:color="000000"/>
              <w:left w:val="single" w:sz="4" w:space="0" w:color="000000"/>
              <w:bottom w:val="single" w:sz="4" w:space="0" w:color="000000"/>
            </w:tcBorders>
          </w:tcPr>
          <w:p>
            <w:pPr>
              <w:pStyle w:val="TableParagraph"/>
              <w:spacing w:line="235" w:lineRule="exact"/>
              <w:ind w:right="78"/>
              <w:jc w:val="right"/>
              <w:rPr>
                <w:sz w:val="21"/>
              </w:rPr>
            </w:pPr>
            <w:r>
              <w:rPr>
                <w:sz w:val="21"/>
              </w:rPr>
              <w:t>123,145,120.18</w:t>
            </w: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738"/>
              <w:rPr>
                <w:rFonts w:ascii="宋体" w:eastAsia="宋体" w:hint="eastAsia"/>
                <w:sz w:val="21"/>
              </w:rPr>
            </w:pPr>
            <w:r>
              <w:rPr>
                <w:rFonts w:ascii="宋体" w:eastAsia="宋体" w:hint="eastAsia"/>
                <w:sz w:val="21"/>
              </w:rPr>
              <w:t>负债合计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5"/>
              <w:jc w:val="right"/>
              <w:rPr>
                <w:sz w:val="21"/>
              </w:rPr>
            </w:pPr>
            <w:r>
              <w:rPr>
                <w:sz w:val="21"/>
              </w:rPr>
              <w:t>35,845,505,203.46</w:t>
            </w:r>
          </w:p>
        </w:tc>
        <w:tc>
          <w:tcPr>
            <w:tcW w:w="2411" w:type="dxa"/>
            <w:tcBorders>
              <w:top w:val="single" w:sz="4" w:space="0" w:color="000000"/>
              <w:left w:val="single" w:sz="4" w:space="0" w:color="000000"/>
              <w:bottom w:val="single" w:sz="4" w:space="0" w:color="000000"/>
            </w:tcBorders>
          </w:tcPr>
          <w:p>
            <w:pPr>
              <w:pStyle w:val="TableParagraph"/>
              <w:spacing w:line="235" w:lineRule="exact"/>
              <w:ind w:right="78"/>
              <w:jc w:val="right"/>
              <w:rPr>
                <w:sz w:val="21"/>
              </w:rPr>
            </w:pPr>
            <w:r>
              <w:rPr>
                <w:sz w:val="21"/>
              </w:rPr>
              <w:t>30,618,363,221.31</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3" w:lineRule="exact"/>
              <w:ind w:left="107"/>
              <w:rPr>
                <w:rFonts w:ascii="Microsoft JhengHei" w:eastAsia="Microsoft JhengHei" w:hint="eastAsia"/>
                <w:b/>
                <w:sz w:val="21"/>
              </w:rPr>
            </w:pPr>
            <w:r>
              <w:rPr>
                <w:rFonts w:ascii="Microsoft JhengHei" w:eastAsia="Microsoft JhengHei" w:hint="eastAsia"/>
                <w:b/>
                <w:sz w:val="21"/>
              </w:rPr>
              <w:t>所有者权益（或股东权益）：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实收资本（或股本）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5"/>
              <w:jc w:val="right"/>
              <w:rPr>
                <w:sz w:val="21"/>
              </w:rPr>
            </w:pPr>
            <w:r>
              <w:rPr>
                <w:sz w:val="21"/>
              </w:rPr>
              <w:t>9,027,846,441.00</w:t>
            </w:r>
          </w:p>
        </w:tc>
        <w:tc>
          <w:tcPr>
            <w:tcW w:w="2411" w:type="dxa"/>
            <w:tcBorders>
              <w:top w:val="single" w:sz="4" w:space="0" w:color="000000"/>
              <w:left w:val="single" w:sz="4" w:space="0" w:color="000000"/>
              <w:bottom w:val="single" w:sz="4" w:space="0" w:color="000000"/>
            </w:tcBorders>
          </w:tcPr>
          <w:p>
            <w:pPr>
              <w:pStyle w:val="TableParagraph"/>
              <w:spacing w:line="235" w:lineRule="exact"/>
              <w:ind w:right="78"/>
              <w:jc w:val="right"/>
              <w:rPr>
                <w:sz w:val="21"/>
              </w:rPr>
            </w:pPr>
            <w:r>
              <w:rPr>
                <w:sz w:val="21"/>
              </w:rPr>
              <w:t>6,579,566,627.00</w:t>
            </w: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其他权益工具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3"/>
              <w:ind w:left="318"/>
              <w:rPr>
                <w:rFonts w:ascii="宋体" w:eastAsia="宋体" w:hint="eastAsia"/>
                <w:sz w:val="21"/>
              </w:rPr>
            </w:pPr>
            <w:r>
              <w:rPr>
                <w:rFonts w:ascii="宋体" w:eastAsia="宋体" w:hint="eastAsia"/>
                <w:sz w:val="21"/>
              </w:rPr>
              <w:t>其中：优先股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5" w:type="dxa"/>
            <w:tcBorders>
              <w:top w:val="single" w:sz="4" w:space="0" w:color="000000"/>
              <w:right w:val="single" w:sz="4" w:space="0" w:color="000000"/>
            </w:tcBorders>
          </w:tcPr>
          <w:p>
            <w:pPr>
              <w:pStyle w:val="TableParagraph"/>
              <w:spacing w:line="249" w:lineRule="exact" w:before="1"/>
              <w:ind w:left="947"/>
              <w:rPr>
                <w:rFonts w:ascii="宋体" w:eastAsia="宋体" w:hint="eastAsia"/>
                <w:sz w:val="21"/>
              </w:rPr>
            </w:pPr>
            <w:r>
              <w:rPr>
                <w:rFonts w:ascii="宋体" w:eastAsia="宋体" w:hint="eastAsia"/>
                <w:sz w:val="21"/>
              </w:rPr>
              <w:t>永续债</w:t>
            </w:r>
          </w:p>
        </w:tc>
        <w:tc>
          <w:tcPr>
            <w:tcW w:w="992" w:type="dxa"/>
            <w:tcBorders>
              <w:top w:val="single" w:sz="4" w:space="0" w:color="000000"/>
              <w:left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tcBorders>
          </w:tcPr>
          <w:p>
            <w:pPr>
              <w:pStyle w:val="TableParagraph"/>
              <w:rPr>
                <w:sz w:val="20"/>
              </w:rPr>
            </w:pPr>
          </w:p>
        </w:tc>
      </w:tr>
    </w:tbl>
    <w:p>
      <w:pPr>
        <w:spacing w:after="0"/>
        <w:rPr>
          <w:sz w:val="20"/>
        </w:rPr>
        <w:sectPr>
          <w:headerReference w:type="default" r:id="rId79"/>
          <w:footerReference w:type="default" r:id="rId80"/>
          <w:pgSz w:w="11910" w:h="16840"/>
          <w:pgMar w:header="876" w:footer="1184" w:top="1440" w:bottom="1380" w:left="1560" w:right="960"/>
          <w:pgNumType w:start="110"/>
        </w:sectPr>
      </w:pPr>
    </w:p>
    <w:p>
      <w:pPr>
        <w:pStyle w:val="BodyText"/>
        <w:spacing w:before="9"/>
        <w:rPr>
          <w:rFonts w:ascii="Times New Roman"/>
          <w:sz w:val="5"/>
        </w:rPr>
      </w:pPr>
    </w:p>
    <w:tbl>
      <w:tblPr>
        <w:tblW w:w="0" w:type="auto"/>
        <w:jc w:val="left"/>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795"/>
        <w:gridCol w:w="992"/>
        <w:gridCol w:w="1844"/>
        <w:gridCol w:w="2411"/>
      </w:tblGrid>
      <w:tr>
        <w:trPr>
          <w:trHeight w:val="273" w:hRule="atLeast"/>
        </w:trPr>
        <w:tc>
          <w:tcPr>
            <w:tcW w:w="3795" w:type="dxa"/>
            <w:tcBorders>
              <w:bottom w:val="single" w:sz="4" w:space="0" w:color="000000"/>
              <w:right w:val="single" w:sz="4" w:space="0" w:color="000000"/>
            </w:tcBorders>
          </w:tcPr>
          <w:p>
            <w:pPr>
              <w:pStyle w:val="TableParagraph"/>
              <w:spacing w:line="250" w:lineRule="exact" w:before="3"/>
              <w:ind w:left="318"/>
              <w:rPr>
                <w:rFonts w:ascii="宋体" w:eastAsia="宋体" w:hint="eastAsia"/>
                <w:sz w:val="21"/>
              </w:rPr>
            </w:pPr>
            <w:r>
              <w:rPr>
                <w:rFonts w:ascii="宋体" w:eastAsia="宋体" w:hint="eastAsia"/>
                <w:sz w:val="21"/>
              </w:rPr>
              <w:t>资本公积</w:t>
            </w:r>
          </w:p>
        </w:tc>
        <w:tc>
          <w:tcPr>
            <w:tcW w:w="992" w:type="dxa"/>
            <w:tcBorders>
              <w:left w:val="single" w:sz="4" w:space="0" w:color="000000"/>
              <w:bottom w:val="single" w:sz="4" w:space="0" w:color="000000"/>
              <w:right w:val="single" w:sz="4" w:space="0" w:color="000000"/>
            </w:tcBorders>
          </w:tcPr>
          <w:p>
            <w:pPr>
              <w:pStyle w:val="TableParagraph"/>
              <w:rPr>
                <w:sz w:val="20"/>
              </w:rPr>
            </w:pPr>
          </w:p>
        </w:tc>
        <w:tc>
          <w:tcPr>
            <w:tcW w:w="1844" w:type="dxa"/>
            <w:tcBorders>
              <w:left w:val="single" w:sz="4" w:space="0" w:color="000000"/>
              <w:bottom w:val="single" w:sz="4" w:space="0" w:color="000000"/>
              <w:right w:val="single" w:sz="4" w:space="0" w:color="000000"/>
            </w:tcBorders>
          </w:tcPr>
          <w:p>
            <w:pPr>
              <w:pStyle w:val="TableParagraph"/>
              <w:spacing w:line="237" w:lineRule="exact"/>
              <w:ind w:right="85"/>
              <w:jc w:val="right"/>
              <w:rPr>
                <w:sz w:val="21"/>
              </w:rPr>
            </w:pPr>
            <w:r>
              <w:rPr>
                <w:sz w:val="21"/>
              </w:rPr>
              <w:t>20,408,352,380.95</w:t>
            </w:r>
          </w:p>
        </w:tc>
        <w:tc>
          <w:tcPr>
            <w:tcW w:w="2411" w:type="dxa"/>
            <w:tcBorders>
              <w:left w:val="single" w:sz="4" w:space="0" w:color="000000"/>
              <w:bottom w:val="single" w:sz="4" w:space="0" w:color="000000"/>
            </w:tcBorders>
          </w:tcPr>
          <w:p>
            <w:pPr>
              <w:pStyle w:val="TableParagraph"/>
              <w:spacing w:line="237" w:lineRule="exact"/>
              <w:ind w:right="78"/>
              <w:jc w:val="right"/>
              <w:rPr>
                <w:sz w:val="21"/>
              </w:rPr>
            </w:pPr>
            <w:r>
              <w:rPr>
                <w:sz w:val="21"/>
              </w:rPr>
              <w:t>7,036,531,178.83</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3"/>
              <w:ind w:left="318"/>
              <w:rPr>
                <w:rFonts w:ascii="宋体" w:eastAsia="宋体" w:hint="eastAsia"/>
                <w:sz w:val="21"/>
              </w:rPr>
            </w:pPr>
            <w:r>
              <w:rPr>
                <w:rFonts w:ascii="宋体" w:eastAsia="宋体" w:hint="eastAsia"/>
                <w:sz w:val="21"/>
              </w:rPr>
              <w:t>减：库存股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其他综合收益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5"/>
              <w:jc w:val="right"/>
              <w:rPr>
                <w:sz w:val="21"/>
              </w:rPr>
            </w:pPr>
            <w:r>
              <w:rPr>
                <w:sz w:val="21"/>
              </w:rPr>
              <w:t>-10,030,704.15</w:t>
            </w:r>
          </w:p>
        </w:tc>
        <w:tc>
          <w:tcPr>
            <w:tcW w:w="2411" w:type="dxa"/>
            <w:tcBorders>
              <w:top w:val="single" w:sz="4" w:space="0" w:color="000000"/>
              <w:left w:val="single" w:sz="4" w:space="0" w:color="000000"/>
              <w:bottom w:val="single" w:sz="4" w:space="0" w:color="000000"/>
            </w:tcBorders>
          </w:tcPr>
          <w:p>
            <w:pPr>
              <w:pStyle w:val="TableParagraph"/>
              <w:spacing w:line="235" w:lineRule="exact"/>
              <w:ind w:right="78"/>
              <w:jc w:val="right"/>
              <w:rPr>
                <w:sz w:val="21"/>
              </w:rPr>
            </w:pPr>
            <w:r>
              <w:rPr>
                <w:sz w:val="21"/>
              </w:rPr>
              <w:t>11,077,477.45</w:t>
            </w: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专项储备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411"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盈余公积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2,440,188,314.15</w:t>
            </w:r>
          </w:p>
        </w:tc>
        <w:tc>
          <w:tcPr>
            <w:tcW w:w="2411" w:type="dxa"/>
            <w:tcBorders>
              <w:top w:val="single" w:sz="4" w:space="0" w:color="000000"/>
              <w:left w:val="single" w:sz="4" w:space="0" w:color="000000"/>
              <w:bottom w:val="single" w:sz="4" w:space="0" w:color="000000"/>
            </w:tcBorders>
          </w:tcPr>
          <w:p>
            <w:pPr>
              <w:pStyle w:val="TableParagraph"/>
              <w:spacing w:before="10"/>
              <w:ind w:right="78"/>
              <w:jc w:val="right"/>
              <w:rPr>
                <w:sz w:val="21"/>
              </w:rPr>
            </w:pPr>
            <w:r>
              <w:rPr>
                <w:sz w:val="21"/>
              </w:rPr>
              <w:t>2,050,181,180.01</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未分配利润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4,349,961,964.23</w:t>
            </w:r>
          </w:p>
        </w:tc>
        <w:tc>
          <w:tcPr>
            <w:tcW w:w="2411" w:type="dxa"/>
            <w:tcBorders>
              <w:top w:val="single" w:sz="4" w:space="0" w:color="000000"/>
              <w:left w:val="single" w:sz="4" w:space="0" w:color="000000"/>
              <w:bottom w:val="single" w:sz="4" w:space="0" w:color="000000"/>
            </w:tcBorders>
          </w:tcPr>
          <w:p>
            <w:pPr>
              <w:pStyle w:val="TableParagraph"/>
              <w:spacing w:before="10"/>
              <w:ind w:right="78"/>
              <w:jc w:val="right"/>
              <w:rPr>
                <w:sz w:val="21"/>
              </w:rPr>
            </w:pPr>
            <w:r>
              <w:rPr>
                <w:sz w:val="21"/>
              </w:rPr>
              <w:t>3,307,235,242.11</w:t>
            </w: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527"/>
              <w:rPr>
                <w:rFonts w:ascii="宋体" w:eastAsia="宋体" w:hint="eastAsia"/>
                <w:sz w:val="21"/>
              </w:rPr>
            </w:pPr>
            <w:r>
              <w:rPr>
                <w:rFonts w:ascii="宋体" w:eastAsia="宋体" w:hint="eastAsia"/>
                <w:sz w:val="21"/>
              </w:rPr>
              <w:t>所有者权益（或股东权益）合计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before="7"/>
              <w:ind w:right="85"/>
              <w:jc w:val="right"/>
              <w:rPr>
                <w:sz w:val="21"/>
              </w:rPr>
            </w:pPr>
            <w:r>
              <w:rPr>
                <w:sz w:val="21"/>
              </w:rPr>
              <w:t>36,216,318,396.18</w:t>
            </w:r>
          </w:p>
        </w:tc>
        <w:tc>
          <w:tcPr>
            <w:tcW w:w="2411" w:type="dxa"/>
            <w:tcBorders>
              <w:top w:val="single" w:sz="4" w:space="0" w:color="000000"/>
              <w:left w:val="single" w:sz="4" w:space="0" w:color="000000"/>
              <w:bottom w:val="single" w:sz="4" w:space="0" w:color="000000"/>
            </w:tcBorders>
          </w:tcPr>
          <w:p>
            <w:pPr>
              <w:pStyle w:val="TableParagraph"/>
              <w:spacing w:before="7"/>
              <w:ind w:right="78"/>
              <w:jc w:val="right"/>
              <w:rPr>
                <w:sz w:val="21"/>
              </w:rPr>
            </w:pPr>
            <w:r>
              <w:rPr>
                <w:sz w:val="21"/>
              </w:rPr>
              <w:t>18,984,591,705.40</w:t>
            </w:r>
          </w:p>
        </w:tc>
      </w:tr>
      <w:tr>
        <w:trPr>
          <w:trHeight w:val="544" w:hRule="atLeast"/>
        </w:trPr>
        <w:tc>
          <w:tcPr>
            <w:tcW w:w="3795" w:type="dxa"/>
            <w:tcBorders>
              <w:top w:val="single" w:sz="4" w:space="0" w:color="000000"/>
              <w:right w:val="single" w:sz="4" w:space="0" w:color="000000"/>
            </w:tcBorders>
          </w:tcPr>
          <w:p>
            <w:pPr>
              <w:pStyle w:val="TableParagraph"/>
              <w:spacing w:before="1"/>
              <w:ind w:left="738" w:right="-29"/>
              <w:rPr>
                <w:rFonts w:ascii="宋体" w:eastAsia="宋体" w:hint="eastAsia"/>
                <w:sz w:val="21"/>
              </w:rPr>
            </w:pPr>
            <w:r>
              <w:rPr>
                <w:rFonts w:ascii="宋体" w:eastAsia="宋体" w:hint="eastAsia"/>
                <w:spacing w:val="-15"/>
                <w:sz w:val="21"/>
              </w:rPr>
              <w:t>负债和所有者权益</w:t>
            </w:r>
            <w:r>
              <w:rPr>
                <w:rFonts w:ascii="宋体" w:eastAsia="宋体" w:hint="eastAsia"/>
                <w:sz w:val="21"/>
              </w:rPr>
              <w:t>（</w:t>
            </w:r>
            <w:r>
              <w:rPr>
                <w:rFonts w:ascii="宋体" w:eastAsia="宋体" w:hint="eastAsia"/>
                <w:spacing w:val="-3"/>
                <w:sz w:val="21"/>
              </w:rPr>
              <w:t>或股东权益</w:t>
            </w:r>
            <w:r>
              <w:rPr>
                <w:rFonts w:ascii="宋体" w:eastAsia="宋体" w:hint="eastAsia"/>
                <w:sz w:val="21"/>
              </w:rPr>
              <w:t>）</w:t>
            </w:r>
          </w:p>
          <w:p>
            <w:pPr>
              <w:pStyle w:val="TableParagraph"/>
              <w:spacing w:line="249" w:lineRule="exact" w:before="4"/>
              <w:ind w:left="107"/>
              <w:rPr>
                <w:rFonts w:ascii="宋体" w:eastAsia="宋体" w:hint="eastAsia"/>
                <w:sz w:val="21"/>
              </w:rPr>
            </w:pPr>
            <w:r>
              <w:rPr>
                <w:rFonts w:ascii="宋体" w:eastAsia="宋体" w:hint="eastAsia"/>
                <w:sz w:val="21"/>
              </w:rPr>
              <w:t>总计</w:t>
            </w:r>
          </w:p>
        </w:tc>
        <w:tc>
          <w:tcPr>
            <w:tcW w:w="992" w:type="dxa"/>
            <w:tcBorders>
              <w:top w:val="single" w:sz="4" w:space="0" w:color="000000"/>
              <w:left w:val="single" w:sz="4" w:space="0" w:color="000000"/>
              <w:right w:val="single" w:sz="4" w:space="0" w:color="000000"/>
            </w:tcBorders>
          </w:tcPr>
          <w:p>
            <w:pPr>
              <w:pStyle w:val="TableParagraph"/>
              <w:rPr>
                <w:sz w:val="20"/>
              </w:rPr>
            </w:pPr>
          </w:p>
        </w:tc>
        <w:tc>
          <w:tcPr>
            <w:tcW w:w="1844" w:type="dxa"/>
            <w:tcBorders>
              <w:top w:val="single" w:sz="4" w:space="0" w:color="000000"/>
              <w:left w:val="single" w:sz="4" w:space="0" w:color="000000"/>
              <w:right w:val="single" w:sz="4" w:space="0" w:color="000000"/>
            </w:tcBorders>
          </w:tcPr>
          <w:p>
            <w:pPr>
              <w:pStyle w:val="TableParagraph"/>
              <w:spacing w:before="147"/>
              <w:ind w:right="85"/>
              <w:jc w:val="right"/>
              <w:rPr>
                <w:sz w:val="21"/>
              </w:rPr>
            </w:pPr>
            <w:r>
              <w:rPr>
                <w:sz w:val="21"/>
              </w:rPr>
              <w:t>72,061,823,599.64</w:t>
            </w:r>
          </w:p>
        </w:tc>
        <w:tc>
          <w:tcPr>
            <w:tcW w:w="2411" w:type="dxa"/>
            <w:tcBorders>
              <w:top w:val="single" w:sz="4" w:space="0" w:color="000000"/>
              <w:left w:val="single" w:sz="4" w:space="0" w:color="000000"/>
            </w:tcBorders>
          </w:tcPr>
          <w:p>
            <w:pPr>
              <w:pStyle w:val="TableParagraph"/>
              <w:spacing w:before="147"/>
              <w:ind w:right="78"/>
              <w:jc w:val="right"/>
              <w:rPr>
                <w:sz w:val="21"/>
              </w:rPr>
            </w:pPr>
            <w:r>
              <w:rPr>
                <w:sz w:val="21"/>
              </w:rPr>
              <w:t>49,602,954,926.71</w:t>
            </w:r>
          </w:p>
        </w:tc>
      </w:tr>
    </w:tbl>
    <w:p>
      <w:pPr>
        <w:pStyle w:val="BodyText"/>
        <w:spacing w:before="8"/>
        <w:rPr>
          <w:rFonts w:ascii="Times New Roman"/>
          <w:sz w:val="17"/>
        </w:rPr>
      </w:pPr>
    </w:p>
    <w:p>
      <w:pPr>
        <w:pStyle w:val="BodyText"/>
        <w:tabs>
          <w:tab w:pos="3365" w:val="left" w:leader="none"/>
          <w:tab w:pos="6517" w:val="left" w:leader="none"/>
        </w:tabs>
        <w:spacing w:before="72"/>
        <w:ind w:left="845"/>
      </w:pPr>
      <w:r>
        <w:rPr/>
        <w:t>法定</w:t>
      </w:r>
      <w:r>
        <w:rPr>
          <w:spacing w:val="-3"/>
        </w:rPr>
        <w:t>代</w:t>
      </w:r>
      <w:r>
        <w:rPr/>
        <w:t>表</w:t>
      </w:r>
      <w:r>
        <w:rPr>
          <w:spacing w:val="-3"/>
        </w:rPr>
        <w:t>人</w:t>
      </w:r>
      <w:r>
        <w:rPr/>
        <w:t>：</w:t>
      </w:r>
      <w:r>
        <w:rPr>
          <w:spacing w:val="-3"/>
        </w:rPr>
        <w:t>梁</w:t>
      </w:r>
      <w:r>
        <w:rPr/>
        <w:t>海山</w:t>
        <w:tab/>
        <w:t>主</w:t>
      </w:r>
      <w:r>
        <w:rPr>
          <w:spacing w:val="-3"/>
        </w:rPr>
        <w:t>管</w:t>
      </w:r>
      <w:r>
        <w:rPr/>
        <w:t>会</w:t>
      </w:r>
      <w:r>
        <w:rPr>
          <w:spacing w:val="-3"/>
        </w:rPr>
        <w:t>计</w:t>
      </w:r>
      <w:r>
        <w:rPr/>
        <w:t>工</w:t>
      </w:r>
      <w:r>
        <w:rPr>
          <w:spacing w:val="-3"/>
        </w:rPr>
        <w:t>作</w:t>
      </w:r>
      <w:r>
        <w:rPr/>
        <w:t>负</w:t>
      </w:r>
      <w:r>
        <w:rPr>
          <w:spacing w:val="-3"/>
        </w:rPr>
        <w:t>责</w:t>
      </w:r>
      <w:r>
        <w:rPr/>
        <w:t>人</w:t>
      </w:r>
      <w:r>
        <w:rPr>
          <w:spacing w:val="-3"/>
        </w:rPr>
        <w:t>：宫</w:t>
      </w:r>
      <w:r>
        <w:rPr/>
        <w:t>伟</w:t>
        <w:tab/>
      </w:r>
      <w:r>
        <w:rPr>
          <w:spacing w:val="-3"/>
        </w:rPr>
        <w:t>会</w:t>
      </w:r>
      <w:r>
        <w:rPr/>
        <w:t>计</w:t>
      </w:r>
      <w:r>
        <w:rPr>
          <w:spacing w:val="-3"/>
        </w:rPr>
        <w:t>机</w:t>
      </w:r>
      <w:r>
        <w:rPr/>
        <w:t>构</w:t>
      </w:r>
      <w:r>
        <w:rPr>
          <w:spacing w:val="-3"/>
        </w:rPr>
        <w:t>负</w:t>
      </w:r>
      <w:r>
        <w:rPr/>
        <w:t>责</w:t>
      </w:r>
      <w:r>
        <w:rPr>
          <w:spacing w:val="-3"/>
        </w:rPr>
        <w:t>人</w:t>
      </w:r>
      <w:r>
        <w:rPr/>
        <w:t>：应珂</w:t>
      </w:r>
    </w:p>
    <w:p>
      <w:pPr>
        <w:pStyle w:val="BodyText"/>
        <w:rPr>
          <w:sz w:val="20"/>
        </w:rPr>
      </w:pPr>
    </w:p>
    <w:p>
      <w:pPr>
        <w:pStyle w:val="BodyText"/>
        <w:spacing w:before="1"/>
        <w:rPr>
          <w:sz w:val="17"/>
        </w:rPr>
      </w:pPr>
    </w:p>
    <w:p>
      <w:pPr>
        <w:pStyle w:val="Heading4"/>
        <w:spacing w:before="3"/>
        <w:ind w:left="0" w:right="75"/>
        <w:jc w:val="center"/>
      </w:pPr>
      <w:r>
        <w:rPr/>
        <w:t>合并利润表</w:t>
      </w:r>
    </w:p>
    <w:p>
      <w:pPr>
        <w:pStyle w:val="BodyText"/>
        <w:spacing w:before="16"/>
        <w:ind w:right="72"/>
        <w:jc w:val="center"/>
      </w:pPr>
      <w:r>
        <w:rPr>
          <w:rFonts w:ascii="Times New Roman" w:hAnsi="Times New Roman" w:eastAsia="Times New Roman"/>
        </w:rPr>
        <w:t>2020 </w:t>
      </w:r>
      <w:r>
        <w:rPr/>
        <w:t>年 </w:t>
      </w:r>
      <w:r>
        <w:rPr>
          <w:rFonts w:ascii="Times New Roman" w:hAnsi="Times New Roman" w:eastAsia="Times New Roman"/>
        </w:rPr>
        <w:t>1—12 </w:t>
      </w:r>
      <w:r>
        <w:rPr/>
        <w:t>月</w:t>
      </w:r>
    </w:p>
    <w:p>
      <w:pPr>
        <w:pStyle w:val="BodyText"/>
        <w:tabs>
          <w:tab w:pos="900" w:val="left" w:leader="none"/>
        </w:tabs>
        <w:spacing w:before="3"/>
        <w:ind w:right="310"/>
        <w:jc w:val="right"/>
      </w:pPr>
      <w:r>
        <w:rPr/>
        <w:t>单位</w:t>
      </w:r>
      <w:r>
        <w:rPr>
          <w:rFonts w:ascii="Times New Roman" w:eastAsia="Times New Roman"/>
        </w:rPr>
        <w:t>:</w:t>
      </w:r>
      <w:r>
        <w:rPr/>
        <w:t>元</w:t>
        <w:tab/>
      </w:r>
      <w:r>
        <w:rPr>
          <w:spacing w:val="-3"/>
        </w:rPr>
        <w:t>币</w:t>
      </w:r>
      <w:r>
        <w:rPr>
          <w:spacing w:val="-1"/>
        </w:rPr>
        <w:t>种</w:t>
      </w:r>
      <w:r>
        <w:rPr>
          <w:rFonts w:ascii="Times New Roman" w:eastAsia="Times New Roman"/>
          <w:spacing w:val="-1"/>
        </w:rPr>
        <w:t>:</w:t>
      </w:r>
      <w:r>
        <w:rPr/>
        <w:t>人</w:t>
      </w:r>
      <w:r>
        <w:rPr>
          <w:spacing w:val="-3"/>
        </w:rPr>
        <w:t>民</w:t>
      </w:r>
      <w:r>
        <w:rPr/>
        <w:t>币</w:t>
      </w:r>
    </w:p>
    <w:tbl>
      <w:tblPr>
        <w:tblW w:w="0" w:type="auto"/>
        <w:jc w:val="left"/>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793"/>
        <w:gridCol w:w="1045"/>
        <w:gridCol w:w="2108"/>
        <w:gridCol w:w="2106"/>
      </w:tblGrid>
      <w:tr>
        <w:trPr>
          <w:trHeight w:val="272" w:hRule="atLeast"/>
        </w:trPr>
        <w:tc>
          <w:tcPr>
            <w:tcW w:w="3793" w:type="dxa"/>
            <w:tcBorders>
              <w:bottom w:val="single" w:sz="4" w:space="0" w:color="000000"/>
              <w:right w:val="single" w:sz="4" w:space="0" w:color="000000"/>
            </w:tcBorders>
            <w:shd w:val="clear" w:color="auto" w:fill="EDEBE0"/>
          </w:tcPr>
          <w:p>
            <w:pPr>
              <w:pStyle w:val="TableParagraph"/>
              <w:spacing w:line="253" w:lineRule="exact"/>
              <w:ind w:left="1350" w:right="1373"/>
              <w:jc w:val="center"/>
              <w:rPr>
                <w:rFonts w:ascii="Microsoft JhengHei" w:eastAsia="Microsoft JhengHei" w:hint="eastAsia"/>
                <w:b/>
                <w:sz w:val="21"/>
              </w:rPr>
            </w:pPr>
            <w:r>
              <w:rPr>
                <w:rFonts w:ascii="Microsoft JhengHei" w:eastAsia="Microsoft JhengHei" w:hint="eastAsia"/>
                <w:b/>
                <w:sz w:val="21"/>
              </w:rPr>
              <w:t>项目</w:t>
            </w:r>
          </w:p>
        </w:tc>
        <w:tc>
          <w:tcPr>
            <w:tcW w:w="1045" w:type="dxa"/>
            <w:tcBorders>
              <w:left w:val="single" w:sz="4" w:space="0" w:color="000000"/>
              <w:bottom w:val="single" w:sz="4" w:space="0" w:color="000000"/>
              <w:right w:val="single" w:sz="4" w:space="0" w:color="000000"/>
            </w:tcBorders>
            <w:shd w:val="clear" w:color="auto" w:fill="EDEBE0"/>
          </w:tcPr>
          <w:p>
            <w:pPr>
              <w:pStyle w:val="TableParagraph"/>
              <w:spacing w:line="253" w:lineRule="exact"/>
              <w:ind w:right="292"/>
              <w:jc w:val="right"/>
              <w:rPr>
                <w:rFonts w:ascii="Microsoft JhengHei" w:eastAsia="Microsoft JhengHei" w:hint="eastAsia"/>
                <w:b/>
                <w:sz w:val="21"/>
              </w:rPr>
            </w:pPr>
            <w:r>
              <w:rPr>
                <w:rFonts w:ascii="Microsoft JhengHei" w:eastAsia="Microsoft JhengHei" w:hint="eastAsia"/>
                <w:b/>
                <w:sz w:val="21"/>
              </w:rPr>
              <w:t>附注</w:t>
            </w:r>
          </w:p>
        </w:tc>
        <w:tc>
          <w:tcPr>
            <w:tcW w:w="2108" w:type="dxa"/>
            <w:tcBorders>
              <w:left w:val="single" w:sz="4" w:space="0" w:color="000000"/>
              <w:bottom w:val="single" w:sz="4" w:space="0" w:color="000000"/>
              <w:right w:val="single" w:sz="4" w:space="0" w:color="000000"/>
            </w:tcBorders>
            <w:shd w:val="clear" w:color="auto" w:fill="EDEBE0"/>
          </w:tcPr>
          <w:p>
            <w:pPr>
              <w:pStyle w:val="TableParagraph"/>
              <w:spacing w:line="253" w:lineRule="exact"/>
              <w:ind w:left="613"/>
              <w:rPr>
                <w:rFonts w:ascii="Microsoft JhengHei" w:eastAsia="Microsoft JhengHei" w:hint="eastAsia"/>
                <w:b/>
                <w:sz w:val="21"/>
              </w:rPr>
            </w:pPr>
            <w:r>
              <w:rPr>
                <w:b/>
                <w:sz w:val="21"/>
              </w:rPr>
              <w:t>2020 </w:t>
            </w:r>
            <w:r>
              <w:rPr>
                <w:rFonts w:ascii="Microsoft JhengHei" w:eastAsia="Microsoft JhengHei" w:hint="eastAsia"/>
                <w:b/>
                <w:sz w:val="21"/>
              </w:rPr>
              <w:t>年度</w:t>
            </w:r>
          </w:p>
        </w:tc>
        <w:tc>
          <w:tcPr>
            <w:tcW w:w="2106" w:type="dxa"/>
            <w:tcBorders>
              <w:left w:val="single" w:sz="4" w:space="0" w:color="000000"/>
              <w:bottom w:val="single" w:sz="4" w:space="0" w:color="000000"/>
            </w:tcBorders>
            <w:shd w:val="clear" w:color="auto" w:fill="EDEBE0"/>
          </w:tcPr>
          <w:p>
            <w:pPr>
              <w:pStyle w:val="TableParagraph"/>
              <w:spacing w:line="253" w:lineRule="exact"/>
              <w:ind w:left="612"/>
              <w:rPr>
                <w:rFonts w:ascii="Microsoft JhengHei" w:eastAsia="Microsoft JhengHei" w:hint="eastAsia"/>
                <w:b/>
                <w:sz w:val="21"/>
              </w:rPr>
            </w:pPr>
            <w:r>
              <w:rPr>
                <w:b/>
                <w:sz w:val="21"/>
              </w:rPr>
              <w:t>2019 </w:t>
            </w:r>
            <w:r>
              <w:rPr>
                <w:rFonts w:ascii="Microsoft JhengHei" w:eastAsia="Microsoft JhengHei" w:hint="eastAsia"/>
                <w:b/>
                <w:sz w:val="21"/>
              </w:rPr>
              <w:t>年度</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3"/>
              <w:ind w:left="107"/>
              <w:rPr>
                <w:rFonts w:ascii="宋体" w:eastAsia="宋体" w:hint="eastAsia"/>
                <w:sz w:val="21"/>
              </w:rPr>
            </w:pPr>
            <w:r>
              <w:rPr>
                <w:rFonts w:ascii="宋体" w:eastAsia="宋体" w:hint="eastAsia"/>
                <w:sz w:val="21"/>
              </w:rPr>
              <w:t>一、营业总收入</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right="282"/>
              <w:jc w:val="right"/>
              <w:rPr>
                <w:sz w:val="21"/>
              </w:rPr>
            </w:pPr>
            <w:r>
              <w:rPr>
                <w:rFonts w:ascii="宋体" w:eastAsia="宋体" w:hint="eastAsia"/>
                <w:sz w:val="21"/>
              </w:rPr>
              <w:t>七、</w:t>
            </w:r>
            <w:r>
              <w:rPr>
                <w:sz w:val="21"/>
              </w:rPr>
              <w:t>49</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209,725,821,099.44</w:t>
            </w:r>
          </w:p>
        </w:tc>
        <w:tc>
          <w:tcPr>
            <w:tcW w:w="2106" w:type="dxa"/>
            <w:tcBorders>
              <w:top w:val="single" w:sz="4" w:space="0" w:color="000000"/>
              <w:left w:val="single" w:sz="4" w:space="0" w:color="000000"/>
              <w:bottom w:val="single" w:sz="4" w:space="0" w:color="000000"/>
            </w:tcBorders>
          </w:tcPr>
          <w:p>
            <w:pPr>
              <w:pStyle w:val="TableParagraph"/>
              <w:spacing w:before="10"/>
              <w:ind w:right="76"/>
              <w:jc w:val="right"/>
              <w:rPr>
                <w:sz w:val="21"/>
              </w:rPr>
            </w:pPr>
            <w:r>
              <w:rPr>
                <w:sz w:val="21"/>
              </w:rPr>
              <w:t>200,761,983,256.57</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其中：营业收入</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209,725,821,099.44</w:t>
            </w:r>
          </w:p>
        </w:tc>
        <w:tc>
          <w:tcPr>
            <w:tcW w:w="2106" w:type="dxa"/>
            <w:tcBorders>
              <w:top w:val="single" w:sz="4" w:space="0" w:color="000000"/>
              <w:left w:val="single" w:sz="4" w:space="0" w:color="000000"/>
              <w:bottom w:val="single" w:sz="4" w:space="0" w:color="000000"/>
            </w:tcBorders>
          </w:tcPr>
          <w:p>
            <w:pPr>
              <w:pStyle w:val="TableParagraph"/>
              <w:spacing w:before="10"/>
              <w:ind w:right="76"/>
              <w:jc w:val="right"/>
              <w:rPr>
                <w:sz w:val="21"/>
              </w:rPr>
            </w:pPr>
            <w:r>
              <w:rPr>
                <w:sz w:val="21"/>
              </w:rPr>
              <w:t>200,761,983,256.57</w:t>
            </w:r>
          </w:p>
        </w:tc>
      </w:tr>
      <w:tr>
        <w:trPr>
          <w:trHeight w:val="270"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1"/>
              <w:ind w:left="738"/>
              <w:rPr>
                <w:rFonts w:ascii="宋体" w:eastAsia="宋体" w:hint="eastAsia"/>
                <w:sz w:val="21"/>
              </w:rPr>
            </w:pPr>
            <w:r>
              <w:rPr>
                <w:rFonts w:ascii="宋体" w:eastAsia="宋体" w:hint="eastAsia"/>
                <w:sz w:val="21"/>
              </w:rPr>
              <w:t>利息收入</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6"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3"/>
              <w:ind w:left="738"/>
              <w:rPr>
                <w:rFonts w:ascii="宋体" w:eastAsia="宋体" w:hint="eastAsia"/>
                <w:sz w:val="21"/>
              </w:rPr>
            </w:pPr>
            <w:r>
              <w:rPr>
                <w:rFonts w:ascii="宋体" w:eastAsia="宋体" w:hint="eastAsia"/>
                <w:sz w:val="21"/>
              </w:rPr>
              <w:t>已赚保费</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6"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738"/>
              <w:rPr>
                <w:rFonts w:ascii="宋体" w:eastAsia="宋体" w:hint="eastAsia"/>
                <w:sz w:val="21"/>
              </w:rPr>
            </w:pPr>
            <w:r>
              <w:rPr>
                <w:rFonts w:ascii="宋体" w:eastAsia="宋体" w:hint="eastAsia"/>
                <w:sz w:val="21"/>
              </w:rPr>
              <w:t>手续费及佣金收入</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6"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二、营业总成本</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before="7"/>
              <w:ind w:right="85"/>
              <w:jc w:val="right"/>
              <w:rPr>
                <w:sz w:val="21"/>
              </w:rPr>
            </w:pPr>
            <w:r>
              <w:rPr>
                <w:sz w:val="21"/>
              </w:rPr>
              <w:t>199,886,424,033.65</w:t>
            </w:r>
          </w:p>
        </w:tc>
        <w:tc>
          <w:tcPr>
            <w:tcW w:w="2106" w:type="dxa"/>
            <w:tcBorders>
              <w:top w:val="single" w:sz="4" w:space="0" w:color="000000"/>
              <w:left w:val="single" w:sz="4" w:space="0" w:color="000000"/>
              <w:bottom w:val="single" w:sz="4" w:space="0" w:color="000000"/>
            </w:tcBorders>
          </w:tcPr>
          <w:p>
            <w:pPr>
              <w:pStyle w:val="TableParagraph"/>
              <w:spacing w:before="7"/>
              <w:ind w:right="76"/>
              <w:jc w:val="right"/>
              <w:rPr>
                <w:sz w:val="21"/>
              </w:rPr>
            </w:pPr>
            <w:r>
              <w:rPr>
                <w:sz w:val="21"/>
              </w:rPr>
              <w:t>192,625,787,459.73</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其中：营业成本</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right="282"/>
              <w:jc w:val="right"/>
              <w:rPr>
                <w:sz w:val="21"/>
              </w:rPr>
            </w:pPr>
            <w:r>
              <w:rPr>
                <w:rFonts w:ascii="宋体" w:eastAsia="宋体" w:hint="eastAsia"/>
                <w:sz w:val="21"/>
              </w:rPr>
              <w:t>七、</w:t>
            </w:r>
            <w:r>
              <w:rPr>
                <w:sz w:val="21"/>
              </w:rPr>
              <w:t>49</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147,475,181,245.03</w:t>
            </w:r>
          </w:p>
        </w:tc>
        <w:tc>
          <w:tcPr>
            <w:tcW w:w="2106" w:type="dxa"/>
            <w:tcBorders>
              <w:top w:val="single" w:sz="4" w:space="0" w:color="000000"/>
              <w:left w:val="single" w:sz="4" w:space="0" w:color="000000"/>
              <w:bottom w:val="single" w:sz="4" w:space="0" w:color="000000"/>
            </w:tcBorders>
          </w:tcPr>
          <w:p>
            <w:pPr>
              <w:pStyle w:val="TableParagraph"/>
              <w:spacing w:before="10"/>
              <w:ind w:right="76"/>
              <w:jc w:val="right"/>
              <w:rPr>
                <w:sz w:val="21"/>
              </w:rPr>
            </w:pPr>
            <w:r>
              <w:rPr>
                <w:sz w:val="21"/>
              </w:rPr>
              <w:t>140,868,398,722.26</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738"/>
              <w:rPr>
                <w:rFonts w:ascii="宋体" w:eastAsia="宋体" w:hint="eastAsia"/>
                <w:sz w:val="21"/>
              </w:rPr>
            </w:pPr>
            <w:r>
              <w:rPr>
                <w:rFonts w:ascii="宋体" w:eastAsia="宋体" w:hint="eastAsia"/>
                <w:sz w:val="21"/>
              </w:rPr>
              <w:t>利息支出</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6" w:type="dxa"/>
            <w:tcBorders>
              <w:top w:val="single" w:sz="4" w:space="0" w:color="000000"/>
              <w:left w:val="single" w:sz="4" w:space="0" w:color="000000"/>
              <w:bottom w:val="single" w:sz="4" w:space="0" w:color="000000"/>
            </w:tcBorders>
          </w:tcPr>
          <w:p>
            <w:pPr>
              <w:pStyle w:val="TableParagraph"/>
              <w:rPr>
                <w:sz w:val="20"/>
              </w:rPr>
            </w:pPr>
          </w:p>
        </w:tc>
      </w:tr>
      <w:tr>
        <w:trPr>
          <w:trHeight w:val="271"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1"/>
              <w:ind w:left="738"/>
              <w:rPr>
                <w:rFonts w:ascii="宋体" w:eastAsia="宋体" w:hint="eastAsia"/>
                <w:sz w:val="21"/>
              </w:rPr>
            </w:pPr>
            <w:r>
              <w:rPr>
                <w:rFonts w:ascii="宋体" w:eastAsia="宋体" w:hint="eastAsia"/>
                <w:sz w:val="21"/>
              </w:rPr>
              <w:t>手续费及佣金支出</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6"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738"/>
              <w:rPr>
                <w:rFonts w:ascii="宋体" w:eastAsia="宋体" w:hint="eastAsia"/>
                <w:sz w:val="21"/>
              </w:rPr>
            </w:pPr>
            <w:r>
              <w:rPr>
                <w:rFonts w:ascii="宋体" w:eastAsia="宋体" w:hint="eastAsia"/>
                <w:sz w:val="21"/>
              </w:rPr>
              <w:t>退保金</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6"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738"/>
              <w:rPr>
                <w:rFonts w:ascii="宋体" w:eastAsia="宋体" w:hint="eastAsia"/>
                <w:sz w:val="21"/>
              </w:rPr>
            </w:pPr>
            <w:r>
              <w:rPr>
                <w:rFonts w:ascii="宋体" w:eastAsia="宋体" w:hint="eastAsia"/>
                <w:sz w:val="21"/>
              </w:rPr>
              <w:t>赔付支出净额</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6"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1"/>
              <w:ind w:left="738"/>
              <w:rPr>
                <w:rFonts w:ascii="宋体" w:eastAsia="宋体" w:hint="eastAsia"/>
                <w:sz w:val="21"/>
              </w:rPr>
            </w:pPr>
            <w:r>
              <w:rPr>
                <w:rFonts w:ascii="宋体" w:eastAsia="宋体" w:hint="eastAsia"/>
                <w:sz w:val="21"/>
              </w:rPr>
              <w:t>提取保险责任准备金净额</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6"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738"/>
              <w:rPr>
                <w:rFonts w:ascii="宋体" w:eastAsia="宋体" w:hint="eastAsia"/>
                <w:sz w:val="21"/>
              </w:rPr>
            </w:pPr>
            <w:r>
              <w:rPr>
                <w:rFonts w:ascii="宋体" w:eastAsia="宋体" w:hint="eastAsia"/>
                <w:sz w:val="21"/>
              </w:rPr>
              <w:t>保单红利支出</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6"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1"/>
              <w:ind w:left="738"/>
              <w:rPr>
                <w:rFonts w:ascii="宋体" w:eastAsia="宋体" w:hint="eastAsia"/>
                <w:sz w:val="21"/>
              </w:rPr>
            </w:pPr>
            <w:r>
              <w:rPr>
                <w:rFonts w:ascii="宋体" w:eastAsia="宋体" w:hint="eastAsia"/>
                <w:sz w:val="21"/>
              </w:rPr>
              <w:t>分保费用</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6"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3"/>
              <w:ind w:left="738"/>
              <w:rPr>
                <w:rFonts w:ascii="宋体" w:eastAsia="宋体" w:hint="eastAsia"/>
                <w:sz w:val="21"/>
              </w:rPr>
            </w:pPr>
            <w:r>
              <w:rPr>
                <w:rFonts w:ascii="宋体" w:eastAsia="宋体" w:hint="eastAsia"/>
                <w:sz w:val="21"/>
              </w:rPr>
              <w:t>税金及附加</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right="282"/>
              <w:jc w:val="right"/>
              <w:rPr>
                <w:sz w:val="21"/>
              </w:rPr>
            </w:pPr>
            <w:r>
              <w:rPr>
                <w:rFonts w:ascii="宋体" w:eastAsia="宋体" w:hint="eastAsia"/>
                <w:sz w:val="21"/>
              </w:rPr>
              <w:t>七、</w:t>
            </w:r>
            <w:r>
              <w:rPr>
                <w:sz w:val="21"/>
              </w:rPr>
              <w:t>50</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660,506,917.33</w:t>
            </w:r>
          </w:p>
        </w:tc>
        <w:tc>
          <w:tcPr>
            <w:tcW w:w="2106" w:type="dxa"/>
            <w:tcBorders>
              <w:top w:val="single" w:sz="4" w:space="0" w:color="000000"/>
              <w:left w:val="single" w:sz="4" w:space="0" w:color="000000"/>
              <w:bottom w:val="single" w:sz="4" w:space="0" w:color="000000"/>
            </w:tcBorders>
          </w:tcPr>
          <w:p>
            <w:pPr>
              <w:pStyle w:val="TableParagraph"/>
              <w:spacing w:before="10"/>
              <w:ind w:right="76"/>
              <w:jc w:val="right"/>
              <w:rPr>
                <w:sz w:val="21"/>
              </w:rPr>
            </w:pPr>
            <w:r>
              <w:rPr>
                <w:sz w:val="21"/>
              </w:rPr>
              <w:t>802,045,039.88</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738"/>
              <w:rPr>
                <w:rFonts w:ascii="宋体" w:eastAsia="宋体" w:hint="eastAsia"/>
                <w:sz w:val="21"/>
              </w:rPr>
            </w:pPr>
            <w:r>
              <w:rPr>
                <w:rFonts w:ascii="宋体" w:eastAsia="宋体" w:hint="eastAsia"/>
                <w:sz w:val="21"/>
              </w:rPr>
              <w:t>销售费用</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right="282"/>
              <w:jc w:val="right"/>
              <w:rPr>
                <w:sz w:val="21"/>
              </w:rPr>
            </w:pPr>
            <w:r>
              <w:rPr>
                <w:rFonts w:ascii="宋体" w:eastAsia="宋体" w:hint="eastAsia"/>
                <w:sz w:val="21"/>
              </w:rPr>
              <w:t>七、</w:t>
            </w:r>
            <w:r>
              <w:rPr>
                <w:sz w:val="21"/>
              </w:rPr>
              <w:t>51</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33,641,711,147.72</w:t>
            </w:r>
          </w:p>
        </w:tc>
        <w:tc>
          <w:tcPr>
            <w:tcW w:w="2106" w:type="dxa"/>
            <w:tcBorders>
              <w:top w:val="single" w:sz="4" w:space="0" w:color="000000"/>
              <w:left w:val="single" w:sz="4" w:space="0" w:color="000000"/>
              <w:bottom w:val="single" w:sz="4" w:space="0" w:color="000000"/>
            </w:tcBorders>
          </w:tcPr>
          <w:p>
            <w:pPr>
              <w:pStyle w:val="TableParagraph"/>
              <w:spacing w:before="10"/>
              <w:ind w:right="76"/>
              <w:jc w:val="right"/>
              <w:rPr>
                <w:sz w:val="21"/>
              </w:rPr>
            </w:pPr>
            <w:r>
              <w:rPr>
                <w:sz w:val="21"/>
              </w:rPr>
              <w:t>33,682,126,291.31</w:t>
            </w:r>
          </w:p>
        </w:tc>
      </w:tr>
      <w:tr>
        <w:trPr>
          <w:trHeight w:val="270"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1"/>
              <w:ind w:left="738"/>
              <w:rPr>
                <w:rFonts w:ascii="宋体" w:eastAsia="宋体" w:hint="eastAsia"/>
                <w:sz w:val="21"/>
              </w:rPr>
            </w:pPr>
            <w:r>
              <w:rPr>
                <w:rFonts w:ascii="宋体" w:eastAsia="宋体" w:hint="eastAsia"/>
                <w:sz w:val="21"/>
              </w:rPr>
              <w:t>管理费用</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right="282"/>
              <w:jc w:val="right"/>
              <w:rPr>
                <w:sz w:val="21"/>
              </w:rPr>
            </w:pPr>
            <w:r>
              <w:rPr>
                <w:rFonts w:ascii="宋体" w:eastAsia="宋体" w:hint="eastAsia"/>
                <w:sz w:val="21"/>
              </w:rPr>
              <w:t>七、</w:t>
            </w:r>
            <w:r>
              <w:rPr>
                <w:sz w:val="21"/>
              </w:rPr>
              <w:t>52</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before="7"/>
              <w:ind w:right="85"/>
              <w:jc w:val="right"/>
              <w:rPr>
                <w:sz w:val="21"/>
              </w:rPr>
            </w:pPr>
            <w:r>
              <w:rPr>
                <w:sz w:val="21"/>
              </w:rPr>
              <w:t>10,052,645,415.72</w:t>
            </w:r>
          </w:p>
        </w:tc>
        <w:tc>
          <w:tcPr>
            <w:tcW w:w="2106" w:type="dxa"/>
            <w:tcBorders>
              <w:top w:val="single" w:sz="4" w:space="0" w:color="000000"/>
              <w:left w:val="single" w:sz="4" w:space="0" w:color="000000"/>
              <w:bottom w:val="single" w:sz="4" w:space="0" w:color="000000"/>
            </w:tcBorders>
          </w:tcPr>
          <w:p>
            <w:pPr>
              <w:pStyle w:val="TableParagraph"/>
              <w:spacing w:before="7"/>
              <w:ind w:right="76"/>
              <w:jc w:val="right"/>
              <w:rPr>
                <w:sz w:val="21"/>
              </w:rPr>
            </w:pPr>
            <w:r>
              <w:rPr>
                <w:sz w:val="21"/>
              </w:rPr>
              <w:t>10,113,263,329.25</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3"/>
              <w:ind w:left="738"/>
              <w:rPr>
                <w:rFonts w:ascii="宋体" w:eastAsia="宋体" w:hint="eastAsia"/>
                <w:sz w:val="21"/>
              </w:rPr>
            </w:pPr>
            <w:r>
              <w:rPr>
                <w:rFonts w:ascii="宋体" w:eastAsia="宋体" w:hint="eastAsia"/>
                <w:sz w:val="21"/>
              </w:rPr>
              <w:t>研发费用</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right="282"/>
              <w:jc w:val="right"/>
              <w:rPr>
                <w:sz w:val="21"/>
              </w:rPr>
            </w:pPr>
            <w:r>
              <w:rPr>
                <w:rFonts w:ascii="宋体" w:eastAsia="宋体" w:hint="eastAsia"/>
                <w:sz w:val="21"/>
              </w:rPr>
              <w:t>七、</w:t>
            </w:r>
            <w:r>
              <w:rPr>
                <w:sz w:val="21"/>
              </w:rPr>
              <w:t>53</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6,860,161,572.42</w:t>
            </w:r>
          </w:p>
        </w:tc>
        <w:tc>
          <w:tcPr>
            <w:tcW w:w="2106" w:type="dxa"/>
            <w:tcBorders>
              <w:top w:val="single" w:sz="4" w:space="0" w:color="000000"/>
              <w:left w:val="single" w:sz="4" w:space="0" w:color="000000"/>
              <w:bottom w:val="single" w:sz="4" w:space="0" w:color="000000"/>
            </w:tcBorders>
          </w:tcPr>
          <w:p>
            <w:pPr>
              <w:pStyle w:val="TableParagraph"/>
              <w:spacing w:before="10"/>
              <w:ind w:right="76"/>
              <w:jc w:val="right"/>
              <w:rPr>
                <w:sz w:val="21"/>
              </w:rPr>
            </w:pPr>
            <w:r>
              <w:rPr>
                <w:sz w:val="21"/>
              </w:rPr>
              <w:t>6,266,936,518.17</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738"/>
              <w:rPr>
                <w:rFonts w:ascii="宋体" w:eastAsia="宋体" w:hint="eastAsia"/>
                <w:sz w:val="21"/>
              </w:rPr>
            </w:pPr>
            <w:r>
              <w:rPr>
                <w:rFonts w:ascii="宋体" w:eastAsia="宋体" w:hint="eastAsia"/>
                <w:sz w:val="21"/>
              </w:rPr>
              <w:t>财务费用</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right="282"/>
              <w:jc w:val="right"/>
              <w:rPr>
                <w:sz w:val="21"/>
              </w:rPr>
            </w:pPr>
            <w:r>
              <w:rPr>
                <w:rFonts w:ascii="宋体" w:eastAsia="宋体" w:hint="eastAsia"/>
                <w:sz w:val="21"/>
              </w:rPr>
              <w:t>七、</w:t>
            </w:r>
            <w:r>
              <w:rPr>
                <w:sz w:val="21"/>
              </w:rPr>
              <w:t>54</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1,196,217,735.43</w:t>
            </w:r>
          </w:p>
        </w:tc>
        <w:tc>
          <w:tcPr>
            <w:tcW w:w="2106" w:type="dxa"/>
            <w:tcBorders>
              <w:top w:val="single" w:sz="4" w:space="0" w:color="000000"/>
              <w:left w:val="single" w:sz="4" w:space="0" w:color="000000"/>
              <w:bottom w:val="single" w:sz="4" w:space="0" w:color="000000"/>
            </w:tcBorders>
          </w:tcPr>
          <w:p>
            <w:pPr>
              <w:pStyle w:val="TableParagraph"/>
              <w:spacing w:before="10"/>
              <w:ind w:right="76"/>
              <w:jc w:val="right"/>
              <w:rPr>
                <w:sz w:val="21"/>
              </w:rPr>
            </w:pPr>
            <w:r>
              <w:rPr>
                <w:sz w:val="21"/>
              </w:rPr>
              <w:t>893,017,558.86</w:t>
            </w:r>
          </w:p>
        </w:tc>
      </w:tr>
      <w:tr>
        <w:trPr>
          <w:trHeight w:val="270"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1"/>
              <w:ind w:left="738"/>
              <w:rPr>
                <w:rFonts w:ascii="宋体" w:eastAsia="宋体" w:hint="eastAsia"/>
                <w:sz w:val="21"/>
              </w:rPr>
            </w:pPr>
            <w:r>
              <w:rPr>
                <w:rFonts w:ascii="宋体" w:eastAsia="宋体" w:hint="eastAsia"/>
                <w:sz w:val="21"/>
              </w:rPr>
              <w:t>其中：利息费用</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before="7"/>
              <w:ind w:right="85"/>
              <w:jc w:val="right"/>
              <w:rPr>
                <w:sz w:val="21"/>
              </w:rPr>
            </w:pPr>
            <w:r>
              <w:rPr>
                <w:sz w:val="21"/>
              </w:rPr>
              <w:t>1,327,091,393.08</w:t>
            </w:r>
          </w:p>
        </w:tc>
        <w:tc>
          <w:tcPr>
            <w:tcW w:w="2106" w:type="dxa"/>
            <w:tcBorders>
              <w:top w:val="single" w:sz="4" w:space="0" w:color="000000"/>
              <w:left w:val="single" w:sz="4" w:space="0" w:color="000000"/>
              <w:bottom w:val="single" w:sz="4" w:space="0" w:color="000000"/>
            </w:tcBorders>
          </w:tcPr>
          <w:p>
            <w:pPr>
              <w:pStyle w:val="TableParagraph"/>
              <w:spacing w:before="7"/>
              <w:ind w:right="76"/>
              <w:jc w:val="right"/>
              <w:rPr>
                <w:sz w:val="21"/>
              </w:rPr>
            </w:pPr>
            <w:r>
              <w:rPr>
                <w:sz w:val="21"/>
              </w:rPr>
              <w:t>1,747,107,740.65</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1350" w:right="1543"/>
              <w:jc w:val="center"/>
              <w:rPr>
                <w:rFonts w:ascii="宋体" w:eastAsia="宋体" w:hint="eastAsia"/>
                <w:sz w:val="21"/>
              </w:rPr>
            </w:pPr>
            <w:r>
              <w:rPr>
                <w:rFonts w:ascii="宋体" w:eastAsia="宋体" w:hint="eastAsia"/>
                <w:sz w:val="21"/>
              </w:rPr>
              <w:t>利息收入</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486,179,773.00</w:t>
            </w:r>
          </w:p>
        </w:tc>
        <w:tc>
          <w:tcPr>
            <w:tcW w:w="2106" w:type="dxa"/>
            <w:tcBorders>
              <w:top w:val="single" w:sz="4" w:space="0" w:color="000000"/>
              <w:left w:val="single" w:sz="4" w:space="0" w:color="000000"/>
              <w:bottom w:val="single" w:sz="4" w:space="0" w:color="000000"/>
            </w:tcBorders>
          </w:tcPr>
          <w:p>
            <w:pPr>
              <w:pStyle w:val="TableParagraph"/>
              <w:spacing w:before="10"/>
              <w:ind w:right="76"/>
              <w:jc w:val="right"/>
              <w:rPr>
                <w:sz w:val="21"/>
              </w:rPr>
            </w:pPr>
            <w:r>
              <w:rPr>
                <w:sz w:val="21"/>
              </w:rPr>
              <w:t>550,224,661.04</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加：其他收益</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right="282"/>
              <w:jc w:val="right"/>
              <w:rPr>
                <w:sz w:val="21"/>
              </w:rPr>
            </w:pPr>
            <w:r>
              <w:rPr>
                <w:rFonts w:ascii="宋体" w:eastAsia="宋体" w:hint="eastAsia"/>
                <w:sz w:val="21"/>
              </w:rPr>
              <w:t>七、</w:t>
            </w:r>
            <w:r>
              <w:rPr>
                <w:sz w:val="21"/>
              </w:rPr>
              <w:t>55</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1,150,647,821.03</w:t>
            </w:r>
          </w:p>
        </w:tc>
        <w:tc>
          <w:tcPr>
            <w:tcW w:w="2106" w:type="dxa"/>
            <w:tcBorders>
              <w:top w:val="single" w:sz="4" w:space="0" w:color="000000"/>
              <w:left w:val="single" w:sz="4" w:space="0" w:color="000000"/>
              <w:bottom w:val="single" w:sz="4" w:space="0" w:color="000000"/>
            </w:tcBorders>
          </w:tcPr>
          <w:p>
            <w:pPr>
              <w:pStyle w:val="TableParagraph"/>
              <w:spacing w:before="10"/>
              <w:ind w:right="76"/>
              <w:jc w:val="right"/>
              <w:rPr>
                <w:sz w:val="21"/>
              </w:rPr>
            </w:pPr>
            <w:r>
              <w:rPr>
                <w:sz w:val="21"/>
              </w:rPr>
              <w:t>1,282,213,029.53</w:t>
            </w:r>
          </w:p>
        </w:tc>
      </w:tr>
      <w:tr>
        <w:trPr>
          <w:trHeight w:val="270"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1"/>
              <w:ind w:right="111"/>
              <w:jc w:val="right"/>
              <w:rPr>
                <w:rFonts w:ascii="宋体" w:hAnsi="宋体" w:eastAsia="宋体" w:hint="eastAsia"/>
                <w:sz w:val="21"/>
              </w:rPr>
            </w:pPr>
            <w:r>
              <w:rPr>
                <w:rFonts w:ascii="宋体" w:hAnsi="宋体" w:eastAsia="宋体" w:hint="eastAsia"/>
                <w:sz w:val="21"/>
              </w:rPr>
              <w:t>投资收益（损失以</w:t>
            </w:r>
            <w:r>
              <w:rPr>
                <w:sz w:val="21"/>
              </w:rPr>
              <w:t>“</w:t>
            </w:r>
            <w:r>
              <w:rPr>
                <w:rFonts w:ascii="宋体" w:hAnsi="宋体" w:eastAsia="宋体" w:hint="eastAsia"/>
                <w:sz w:val="21"/>
              </w:rPr>
              <w:t>－</w:t>
            </w:r>
            <w:r>
              <w:rPr>
                <w:sz w:val="21"/>
              </w:rPr>
              <w:t>”</w:t>
            </w:r>
            <w:r>
              <w:rPr>
                <w:rFonts w:ascii="宋体" w:hAnsi="宋体" w:eastAsia="宋体" w:hint="eastAsia"/>
                <w:sz w:val="21"/>
              </w:rPr>
              <w:t>号填列）</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right="282"/>
              <w:jc w:val="right"/>
              <w:rPr>
                <w:sz w:val="21"/>
              </w:rPr>
            </w:pPr>
            <w:r>
              <w:rPr>
                <w:rFonts w:ascii="宋体" w:eastAsia="宋体" w:hint="eastAsia"/>
                <w:sz w:val="21"/>
              </w:rPr>
              <w:t>七、</w:t>
            </w:r>
            <w:r>
              <w:rPr>
                <w:sz w:val="21"/>
              </w:rPr>
              <w:t>56</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before="7"/>
              <w:ind w:right="85"/>
              <w:jc w:val="right"/>
              <w:rPr>
                <w:sz w:val="21"/>
              </w:rPr>
            </w:pPr>
            <w:r>
              <w:rPr>
                <w:sz w:val="21"/>
              </w:rPr>
              <w:t>4,060,104,212.78</w:t>
            </w:r>
          </w:p>
        </w:tc>
        <w:tc>
          <w:tcPr>
            <w:tcW w:w="2106" w:type="dxa"/>
            <w:tcBorders>
              <w:top w:val="single" w:sz="4" w:space="0" w:color="000000"/>
              <w:left w:val="single" w:sz="4" w:space="0" w:color="000000"/>
              <w:bottom w:val="single" w:sz="4" w:space="0" w:color="000000"/>
            </w:tcBorders>
          </w:tcPr>
          <w:p>
            <w:pPr>
              <w:pStyle w:val="TableParagraph"/>
              <w:spacing w:before="7"/>
              <w:ind w:right="76"/>
              <w:jc w:val="right"/>
              <w:rPr>
                <w:sz w:val="21"/>
              </w:rPr>
            </w:pPr>
            <w:r>
              <w:rPr>
                <w:sz w:val="21"/>
              </w:rPr>
              <w:t>5,479,539,484.34</w:t>
            </w:r>
          </w:p>
        </w:tc>
      </w:tr>
      <w:tr>
        <w:trPr>
          <w:trHeight w:val="544" w:hRule="atLeast"/>
        </w:trPr>
        <w:tc>
          <w:tcPr>
            <w:tcW w:w="3793" w:type="dxa"/>
            <w:tcBorders>
              <w:top w:val="single" w:sz="4" w:space="0" w:color="000000"/>
              <w:bottom w:val="single" w:sz="4" w:space="0" w:color="000000"/>
              <w:right w:val="single" w:sz="4" w:space="0" w:color="000000"/>
            </w:tcBorders>
          </w:tcPr>
          <w:p>
            <w:pPr>
              <w:pStyle w:val="TableParagraph"/>
              <w:spacing w:before="1"/>
              <w:ind w:left="738"/>
              <w:rPr>
                <w:rFonts w:ascii="宋体" w:eastAsia="宋体" w:hint="eastAsia"/>
                <w:sz w:val="21"/>
              </w:rPr>
            </w:pPr>
            <w:r>
              <w:rPr>
                <w:rFonts w:ascii="宋体" w:eastAsia="宋体" w:hint="eastAsia"/>
                <w:sz w:val="21"/>
              </w:rPr>
              <w:t>其中：对联营企业和合营企业的</w:t>
            </w:r>
          </w:p>
          <w:p>
            <w:pPr>
              <w:pStyle w:val="TableParagraph"/>
              <w:spacing w:line="250" w:lineRule="exact" w:before="4"/>
              <w:ind w:left="107"/>
              <w:rPr>
                <w:rFonts w:ascii="宋体" w:eastAsia="宋体" w:hint="eastAsia"/>
                <w:sz w:val="21"/>
              </w:rPr>
            </w:pPr>
            <w:r>
              <w:rPr>
                <w:rFonts w:ascii="宋体" w:eastAsia="宋体" w:hint="eastAsia"/>
                <w:sz w:val="21"/>
              </w:rPr>
              <w:t>投资收益</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6" w:type="dxa"/>
            <w:tcBorders>
              <w:top w:val="single" w:sz="4" w:space="0" w:color="000000"/>
              <w:left w:val="single" w:sz="4" w:space="0" w:color="000000"/>
              <w:bottom w:val="single" w:sz="4" w:space="0" w:color="000000"/>
            </w:tcBorders>
          </w:tcPr>
          <w:p>
            <w:pPr>
              <w:pStyle w:val="TableParagraph"/>
              <w:rPr>
                <w:sz w:val="20"/>
              </w:rPr>
            </w:pPr>
          </w:p>
        </w:tc>
      </w:tr>
      <w:tr>
        <w:trPr>
          <w:trHeight w:val="544" w:hRule="atLeast"/>
        </w:trPr>
        <w:tc>
          <w:tcPr>
            <w:tcW w:w="3793" w:type="dxa"/>
            <w:tcBorders>
              <w:top w:val="single" w:sz="4" w:space="0" w:color="000000"/>
              <w:bottom w:val="single" w:sz="4" w:space="0" w:color="000000"/>
              <w:right w:val="single" w:sz="4" w:space="0" w:color="000000"/>
            </w:tcBorders>
          </w:tcPr>
          <w:p>
            <w:pPr>
              <w:pStyle w:val="TableParagraph"/>
              <w:spacing w:line="270" w:lineRule="atLeast" w:before="2"/>
              <w:ind w:left="107" w:right="195" w:firstLine="1154"/>
              <w:rPr>
                <w:rFonts w:ascii="宋体" w:eastAsia="宋体" w:hint="eastAsia"/>
                <w:sz w:val="21"/>
              </w:rPr>
            </w:pPr>
            <w:r>
              <w:rPr>
                <w:rFonts w:ascii="宋体" w:eastAsia="宋体" w:hint="eastAsia"/>
                <w:sz w:val="21"/>
              </w:rPr>
              <w:t>以摊余成本计量的金融资产终止确认收益</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6"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3"/>
              <w:ind w:right="111"/>
              <w:jc w:val="right"/>
              <w:rPr>
                <w:rFonts w:ascii="宋体" w:hAnsi="宋体" w:eastAsia="宋体" w:hint="eastAsia"/>
                <w:sz w:val="21"/>
              </w:rPr>
            </w:pPr>
            <w:r>
              <w:rPr>
                <w:rFonts w:ascii="宋体" w:hAnsi="宋体" w:eastAsia="宋体" w:hint="eastAsia"/>
                <w:sz w:val="21"/>
              </w:rPr>
              <w:t>汇兑收益（损失以</w:t>
            </w:r>
            <w:r>
              <w:rPr>
                <w:sz w:val="21"/>
              </w:rPr>
              <w:t>“</w:t>
            </w:r>
            <w:r>
              <w:rPr>
                <w:rFonts w:ascii="宋体" w:hAnsi="宋体" w:eastAsia="宋体" w:hint="eastAsia"/>
                <w:sz w:val="21"/>
              </w:rPr>
              <w:t>－</w:t>
            </w:r>
            <w:r>
              <w:rPr>
                <w:sz w:val="21"/>
              </w:rPr>
              <w:t>”</w:t>
            </w:r>
            <w:r>
              <w:rPr>
                <w:rFonts w:ascii="宋体" w:hAnsi="宋体" w:eastAsia="宋体" w:hint="eastAsia"/>
                <w:sz w:val="21"/>
              </w:rPr>
              <w:t>号填列）</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6" w:type="dxa"/>
            <w:tcBorders>
              <w:top w:val="single" w:sz="4" w:space="0" w:color="000000"/>
              <w:left w:val="single" w:sz="4" w:space="0" w:color="000000"/>
              <w:bottom w:val="single" w:sz="4" w:space="0" w:color="000000"/>
            </w:tcBorders>
          </w:tcPr>
          <w:p>
            <w:pPr>
              <w:pStyle w:val="TableParagraph"/>
              <w:rPr>
                <w:sz w:val="20"/>
              </w:rPr>
            </w:pPr>
          </w:p>
        </w:tc>
      </w:tr>
      <w:tr>
        <w:trPr>
          <w:trHeight w:val="544" w:hRule="atLeast"/>
        </w:trPr>
        <w:tc>
          <w:tcPr>
            <w:tcW w:w="3793" w:type="dxa"/>
            <w:tcBorders>
              <w:top w:val="single" w:sz="4" w:space="0" w:color="000000"/>
              <w:bottom w:val="single" w:sz="4" w:space="0" w:color="000000"/>
              <w:right w:val="single" w:sz="4" w:space="0" w:color="000000"/>
            </w:tcBorders>
          </w:tcPr>
          <w:p>
            <w:pPr>
              <w:pStyle w:val="TableParagraph"/>
              <w:spacing w:before="1"/>
              <w:ind w:left="738"/>
              <w:rPr>
                <w:rFonts w:ascii="宋体" w:hAnsi="宋体" w:eastAsia="宋体" w:hint="eastAsia"/>
                <w:sz w:val="21"/>
              </w:rPr>
            </w:pPr>
            <w:r>
              <w:rPr>
                <w:rFonts w:ascii="宋体" w:hAnsi="宋体" w:eastAsia="宋体" w:hint="eastAsia"/>
                <w:sz w:val="21"/>
              </w:rPr>
              <w:t>净敞口套期收益（损失以</w:t>
            </w:r>
            <w:r>
              <w:rPr>
                <w:sz w:val="21"/>
              </w:rPr>
              <w:t>“-”</w:t>
            </w:r>
            <w:r>
              <w:rPr>
                <w:rFonts w:ascii="宋体" w:hAnsi="宋体" w:eastAsia="宋体" w:hint="eastAsia"/>
                <w:sz w:val="21"/>
              </w:rPr>
              <w:t>号填</w:t>
            </w:r>
          </w:p>
          <w:p>
            <w:pPr>
              <w:pStyle w:val="TableParagraph"/>
              <w:spacing w:line="250" w:lineRule="exact" w:before="4"/>
              <w:ind w:left="107"/>
              <w:rPr>
                <w:rFonts w:ascii="宋体" w:eastAsia="宋体" w:hint="eastAsia"/>
                <w:sz w:val="21"/>
              </w:rPr>
            </w:pPr>
            <w:r>
              <w:rPr>
                <w:rFonts w:ascii="宋体" w:eastAsia="宋体" w:hint="eastAsia"/>
                <w:sz w:val="21"/>
              </w:rPr>
              <w:t>列）</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6"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3" w:type="dxa"/>
            <w:tcBorders>
              <w:top w:val="single" w:sz="4" w:space="0" w:color="000000"/>
              <w:right w:val="single" w:sz="4" w:space="0" w:color="000000"/>
            </w:tcBorders>
          </w:tcPr>
          <w:p>
            <w:pPr>
              <w:pStyle w:val="TableParagraph"/>
              <w:spacing w:line="249" w:lineRule="exact" w:before="1"/>
              <w:ind w:right="110"/>
              <w:jc w:val="right"/>
              <w:rPr>
                <w:sz w:val="21"/>
              </w:rPr>
            </w:pPr>
            <w:r>
              <w:rPr>
                <w:rFonts w:ascii="宋体" w:hAnsi="宋体" w:eastAsia="宋体" w:hint="eastAsia"/>
                <w:sz w:val="21"/>
              </w:rPr>
              <w:t>公允价值变动收益（损失以</w:t>
            </w:r>
            <w:r>
              <w:rPr>
                <w:sz w:val="21"/>
              </w:rPr>
              <w:t>“</w:t>
            </w:r>
            <w:r>
              <w:rPr>
                <w:rFonts w:ascii="宋体" w:hAnsi="宋体" w:eastAsia="宋体" w:hint="eastAsia"/>
                <w:sz w:val="21"/>
              </w:rPr>
              <w:t>－</w:t>
            </w:r>
            <w:r>
              <w:rPr>
                <w:sz w:val="21"/>
              </w:rPr>
              <w:t>”</w:t>
            </w:r>
          </w:p>
        </w:tc>
        <w:tc>
          <w:tcPr>
            <w:tcW w:w="1045" w:type="dxa"/>
            <w:tcBorders>
              <w:top w:val="single" w:sz="4" w:space="0" w:color="000000"/>
              <w:left w:val="single" w:sz="4" w:space="0" w:color="000000"/>
              <w:right w:val="single" w:sz="4" w:space="0" w:color="000000"/>
            </w:tcBorders>
          </w:tcPr>
          <w:p>
            <w:pPr>
              <w:pStyle w:val="TableParagraph"/>
              <w:spacing w:line="249" w:lineRule="exact" w:before="1"/>
              <w:ind w:right="282"/>
              <w:jc w:val="right"/>
              <w:rPr>
                <w:sz w:val="21"/>
              </w:rPr>
            </w:pPr>
            <w:r>
              <w:rPr>
                <w:rFonts w:ascii="宋体" w:eastAsia="宋体" w:hint="eastAsia"/>
                <w:sz w:val="21"/>
              </w:rPr>
              <w:t>七、</w:t>
            </w:r>
            <w:r>
              <w:rPr>
                <w:sz w:val="21"/>
              </w:rPr>
              <w:t>57</w:t>
            </w:r>
          </w:p>
        </w:tc>
        <w:tc>
          <w:tcPr>
            <w:tcW w:w="2108" w:type="dxa"/>
            <w:tcBorders>
              <w:top w:val="single" w:sz="4" w:space="0" w:color="000000"/>
              <w:left w:val="single" w:sz="4" w:space="0" w:color="000000"/>
              <w:right w:val="single" w:sz="4" w:space="0" w:color="000000"/>
            </w:tcBorders>
          </w:tcPr>
          <w:p>
            <w:pPr>
              <w:pStyle w:val="TableParagraph"/>
              <w:spacing w:line="240" w:lineRule="exact" w:before="10"/>
              <w:ind w:right="85"/>
              <w:jc w:val="right"/>
              <w:rPr>
                <w:sz w:val="21"/>
              </w:rPr>
            </w:pPr>
            <w:r>
              <w:rPr>
                <w:sz w:val="21"/>
              </w:rPr>
              <w:t>62,629,747.80</w:t>
            </w:r>
          </w:p>
        </w:tc>
        <w:tc>
          <w:tcPr>
            <w:tcW w:w="2106" w:type="dxa"/>
            <w:tcBorders>
              <w:top w:val="single" w:sz="4" w:space="0" w:color="000000"/>
              <w:left w:val="single" w:sz="4" w:space="0" w:color="000000"/>
            </w:tcBorders>
          </w:tcPr>
          <w:p>
            <w:pPr>
              <w:pStyle w:val="TableParagraph"/>
              <w:spacing w:line="240" w:lineRule="exact" w:before="10"/>
              <w:ind w:right="76"/>
              <w:jc w:val="right"/>
              <w:rPr>
                <w:sz w:val="21"/>
              </w:rPr>
            </w:pPr>
            <w:r>
              <w:rPr>
                <w:sz w:val="21"/>
              </w:rPr>
              <w:t>76,716,967.53</w:t>
            </w:r>
          </w:p>
        </w:tc>
      </w:tr>
    </w:tbl>
    <w:p>
      <w:pPr>
        <w:spacing w:after="0" w:line="240" w:lineRule="exact"/>
        <w:jc w:val="right"/>
        <w:rPr>
          <w:sz w:val="21"/>
        </w:rPr>
        <w:sectPr>
          <w:pgSz w:w="11910" w:h="16840"/>
          <w:pgMar w:header="876" w:footer="1184" w:top="1440" w:bottom="1400" w:left="1560" w:right="960"/>
        </w:sectPr>
      </w:pPr>
    </w:p>
    <w:p>
      <w:pPr>
        <w:pStyle w:val="BodyText"/>
        <w:spacing w:before="9"/>
        <w:rPr>
          <w:rFonts w:ascii="Times New Roman"/>
          <w:sz w:val="5"/>
        </w:rPr>
      </w:pPr>
    </w:p>
    <w:tbl>
      <w:tblPr>
        <w:tblW w:w="0" w:type="auto"/>
        <w:jc w:val="left"/>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793"/>
        <w:gridCol w:w="1045"/>
        <w:gridCol w:w="2108"/>
        <w:gridCol w:w="2106"/>
      </w:tblGrid>
      <w:tr>
        <w:trPr>
          <w:trHeight w:val="273" w:hRule="atLeast"/>
        </w:trPr>
        <w:tc>
          <w:tcPr>
            <w:tcW w:w="3793" w:type="dxa"/>
            <w:tcBorders>
              <w:bottom w:val="single" w:sz="4" w:space="0" w:color="000000"/>
              <w:right w:val="single" w:sz="4" w:space="0" w:color="000000"/>
            </w:tcBorders>
          </w:tcPr>
          <w:p>
            <w:pPr>
              <w:pStyle w:val="TableParagraph"/>
              <w:spacing w:line="250" w:lineRule="exact" w:before="3"/>
              <w:ind w:left="107"/>
              <w:rPr>
                <w:rFonts w:ascii="宋体" w:eastAsia="宋体" w:hint="eastAsia"/>
                <w:sz w:val="21"/>
              </w:rPr>
            </w:pPr>
            <w:r>
              <w:rPr>
                <w:rFonts w:ascii="宋体" w:eastAsia="宋体" w:hint="eastAsia"/>
                <w:sz w:val="21"/>
              </w:rPr>
              <w:t>号填列）</w:t>
            </w:r>
          </w:p>
        </w:tc>
        <w:tc>
          <w:tcPr>
            <w:tcW w:w="1045" w:type="dxa"/>
            <w:tcBorders>
              <w:left w:val="single" w:sz="4" w:space="0" w:color="000000"/>
              <w:bottom w:val="single" w:sz="4" w:space="0" w:color="000000"/>
              <w:right w:val="single" w:sz="4" w:space="0" w:color="000000"/>
            </w:tcBorders>
          </w:tcPr>
          <w:p>
            <w:pPr>
              <w:pStyle w:val="TableParagraph"/>
              <w:rPr>
                <w:sz w:val="20"/>
              </w:rPr>
            </w:pPr>
          </w:p>
        </w:tc>
        <w:tc>
          <w:tcPr>
            <w:tcW w:w="2108" w:type="dxa"/>
            <w:tcBorders>
              <w:left w:val="single" w:sz="4" w:space="0" w:color="000000"/>
              <w:bottom w:val="single" w:sz="4" w:space="0" w:color="000000"/>
              <w:right w:val="single" w:sz="4" w:space="0" w:color="000000"/>
            </w:tcBorders>
          </w:tcPr>
          <w:p>
            <w:pPr>
              <w:pStyle w:val="TableParagraph"/>
              <w:rPr>
                <w:sz w:val="20"/>
              </w:rPr>
            </w:pPr>
          </w:p>
        </w:tc>
        <w:tc>
          <w:tcPr>
            <w:tcW w:w="2106" w:type="dxa"/>
            <w:tcBorders>
              <w:left w:val="single" w:sz="4" w:space="0" w:color="000000"/>
              <w:bottom w:val="single" w:sz="4" w:space="0" w:color="000000"/>
            </w:tcBorders>
          </w:tcPr>
          <w:p>
            <w:pPr>
              <w:pStyle w:val="TableParagraph"/>
              <w:rPr>
                <w:sz w:val="20"/>
              </w:rPr>
            </w:pPr>
          </w:p>
        </w:tc>
      </w:tr>
      <w:tr>
        <w:trPr>
          <w:trHeight w:val="546" w:hRule="atLeast"/>
        </w:trPr>
        <w:tc>
          <w:tcPr>
            <w:tcW w:w="3793" w:type="dxa"/>
            <w:tcBorders>
              <w:top w:val="single" w:sz="4" w:space="0" w:color="000000"/>
              <w:bottom w:val="single" w:sz="4" w:space="0" w:color="000000"/>
              <w:right w:val="single" w:sz="4" w:space="0" w:color="000000"/>
            </w:tcBorders>
          </w:tcPr>
          <w:p>
            <w:pPr>
              <w:pStyle w:val="TableParagraph"/>
              <w:spacing w:before="3"/>
              <w:ind w:left="738"/>
              <w:rPr>
                <w:rFonts w:ascii="宋体" w:hAnsi="宋体" w:eastAsia="宋体" w:hint="eastAsia"/>
                <w:sz w:val="21"/>
              </w:rPr>
            </w:pPr>
            <w:r>
              <w:rPr>
                <w:rFonts w:ascii="宋体" w:hAnsi="宋体" w:eastAsia="宋体" w:hint="eastAsia"/>
                <w:sz w:val="21"/>
              </w:rPr>
              <w:t>信用减值损失（损失以</w:t>
            </w:r>
            <w:r>
              <w:rPr>
                <w:sz w:val="21"/>
              </w:rPr>
              <w:t>“-”</w:t>
            </w:r>
            <w:r>
              <w:rPr>
                <w:rFonts w:ascii="宋体" w:hAnsi="宋体" w:eastAsia="宋体" w:hint="eastAsia"/>
                <w:sz w:val="21"/>
              </w:rPr>
              <w:t>号填</w:t>
            </w:r>
          </w:p>
          <w:p>
            <w:pPr>
              <w:pStyle w:val="TableParagraph"/>
              <w:spacing w:line="252" w:lineRule="exact" w:before="2"/>
              <w:ind w:left="107"/>
              <w:rPr>
                <w:rFonts w:ascii="宋体" w:eastAsia="宋体" w:hint="eastAsia"/>
                <w:sz w:val="21"/>
              </w:rPr>
            </w:pPr>
            <w:r>
              <w:rPr>
                <w:rFonts w:ascii="宋体" w:eastAsia="宋体" w:hint="eastAsia"/>
                <w:sz w:val="21"/>
              </w:rPr>
              <w:t>列）</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before="137"/>
              <w:ind w:left="116"/>
              <w:rPr>
                <w:sz w:val="21"/>
              </w:rPr>
            </w:pPr>
            <w:r>
              <w:rPr>
                <w:rFonts w:ascii="宋体" w:eastAsia="宋体" w:hint="eastAsia"/>
                <w:sz w:val="21"/>
              </w:rPr>
              <w:t>七、</w:t>
            </w:r>
            <w:r>
              <w:rPr>
                <w:sz w:val="21"/>
              </w:rPr>
              <w:t>58</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before="147"/>
              <w:ind w:right="86"/>
              <w:jc w:val="right"/>
              <w:rPr>
                <w:sz w:val="21"/>
              </w:rPr>
            </w:pPr>
            <w:r>
              <w:rPr>
                <w:sz w:val="21"/>
              </w:rPr>
              <w:t>-166,380,605.76</w:t>
            </w:r>
          </w:p>
        </w:tc>
        <w:tc>
          <w:tcPr>
            <w:tcW w:w="2106" w:type="dxa"/>
            <w:tcBorders>
              <w:top w:val="single" w:sz="4" w:space="0" w:color="000000"/>
              <w:left w:val="single" w:sz="4" w:space="0" w:color="000000"/>
              <w:bottom w:val="single" w:sz="4" w:space="0" w:color="000000"/>
            </w:tcBorders>
          </w:tcPr>
          <w:p>
            <w:pPr>
              <w:pStyle w:val="TableParagraph"/>
              <w:spacing w:before="147"/>
              <w:ind w:right="76"/>
              <w:jc w:val="right"/>
              <w:rPr>
                <w:sz w:val="21"/>
              </w:rPr>
            </w:pPr>
            <w:r>
              <w:rPr>
                <w:sz w:val="21"/>
              </w:rPr>
              <w:t>-150,370,315.60</w:t>
            </w:r>
          </w:p>
        </w:tc>
      </w:tr>
      <w:tr>
        <w:trPr>
          <w:trHeight w:val="544" w:hRule="atLeast"/>
        </w:trPr>
        <w:tc>
          <w:tcPr>
            <w:tcW w:w="3793" w:type="dxa"/>
            <w:tcBorders>
              <w:top w:val="single" w:sz="4" w:space="0" w:color="000000"/>
              <w:bottom w:val="single" w:sz="4" w:space="0" w:color="000000"/>
              <w:right w:val="single" w:sz="4" w:space="0" w:color="000000"/>
            </w:tcBorders>
          </w:tcPr>
          <w:p>
            <w:pPr>
              <w:pStyle w:val="TableParagraph"/>
              <w:spacing w:before="1"/>
              <w:ind w:left="738"/>
              <w:rPr>
                <w:rFonts w:ascii="宋体" w:hAnsi="宋体" w:eastAsia="宋体" w:hint="eastAsia"/>
                <w:sz w:val="21"/>
              </w:rPr>
            </w:pPr>
            <w:r>
              <w:rPr>
                <w:rFonts w:ascii="宋体" w:hAnsi="宋体" w:eastAsia="宋体" w:hint="eastAsia"/>
                <w:sz w:val="21"/>
              </w:rPr>
              <w:t>资产减值损失（损失以</w:t>
            </w:r>
            <w:r>
              <w:rPr>
                <w:sz w:val="21"/>
              </w:rPr>
              <w:t>“-”</w:t>
            </w:r>
            <w:r>
              <w:rPr>
                <w:rFonts w:ascii="宋体" w:hAnsi="宋体" w:eastAsia="宋体" w:hint="eastAsia"/>
                <w:sz w:val="21"/>
              </w:rPr>
              <w:t>号填</w:t>
            </w:r>
          </w:p>
          <w:p>
            <w:pPr>
              <w:pStyle w:val="TableParagraph"/>
              <w:spacing w:line="252" w:lineRule="exact" w:before="2"/>
              <w:ind w:left="107"/>
              <w:rPr>
                <w:rFonts w:ascii="宋体" w:eastAsia="宋体" w:hint="eastAsia"/>
                <w:sz w:val="21"/>
              </w:rPr>
            </w:pPr>
            <w:r>
              <w:rPr>
                <w:rFonts w:ascii="宋体" w:eastAsia="宋体" w:hint="eastAsia"/>
                <w:sz w:val="21"/>
              </w:rPr>
              <w:t>列）</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before="135"/>
              <w:ind w:left="116"/>
              <w:rPr>
                <w:sz w:val="21"/>
              </w:rPr>
            </w:pPr>
            <w:r>
              <w:rPr>
                <w:rFonts w:ascii="宋体" w:eastAsia="宋体" w:hint="eastAsia"/>
                <w:sz w:val="21"/>
              </w:rPr>
              <w:t>七、</w:t>
            </w:r>
            <w:r>
              <w:rPr>
                <w:sz w:val="21"/>
              </w:rPr>
              <w:t>59</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before="144"/>
              <w:ind w:right="86"/>
              <w:jc w:val="right"/>
              <w:rPr>
                <w:sz w:val="21"/>
              </w:rPr>
            </w:pPr>
            <w:r>
              <w:rPr>
                <w:sz w:val="21"/>
              </w:rPr>
              <w:t>-1,335,630,451.94</w:t>
            </w:r>
          </w:p>
        </w:tc>
        <w:tc>
          <w:tcPr>
            <w:tcW w:w="2106" w:type="dxa"/>
            <w:tcBorders>
              <w:top w:val="single" w:sz="4" w:space="0" w:color="000000"/>
              <w:left w:val="single" w:sz="4" w:space="0" w:color="000000"/>
              <w:bottom w:val="single" w:sz="4" w:space="0" w:color="000000"/>
            </w:tcBorders>
          </w:tcPr>
          <w:p>
            <w:pPr>
              <w:pStyle w:val="TableParagraph"/>
              <w:spacing w:before="144"/>
              <w:ind w:right="76"/>
              <w:jc w:val="right"/>
              <w:rPr>
                <w:sz w:val="21"/>
              </w:rPr>
            </w:pPr>
            <w:r>
              <w:rPr>
                <w:sz w:val="21"/>
              </w:rPr>
              <w:t>-860,578,700.61</w:t>
            </w:r>
          </w:p>
        </w:tc>
      </w:tr>
      <w:tr>
        <w:trPr>
          <w:trHeight w:val="544" w:hRule="atLeast"/>
        </w:trPr>
        <w:tc>
          <w:tcPr>
            <w:tcW w:w="3793" w:type="dxa"/>
            <w:tcBorders>
              <w:top w:val="single" w:sz="4" w:space="0" w:color="000000"/>
              <w:bottom w:val="single" w:sz="4" w:space="0" w:color="000000"/>
              <w:right w:val="single" w:sz="4" w:space="0" w:color="000000"/>
            </w:tcBorders>
          </w:tcPr>
          <w:p>
            <w:pPr>
              <w:pStyle w:val="TableParagraph"/>
              <w:spacing w:before="1"/>
              <w:ind w:left="738"/>
              <w:rPr>
                <w:rFonts w:ascii="宋体" w:hAnsi="宋体" w:eastAsia="宋体" w:hint="eastAsia"/>
                <w:sz w:val="21"/>
              </w:rPr>
            </w:pPr>
            <w:r>
              <w:rPr>
                <w:rFonts w:ascii="宋体" w:hAnsi="宋体" w:eastAsia="宋体" w:hint="eastAsia"/>
                <w:sz w:val="21"/>
              </w:rPr>
              <w:t>资产处置收益（损失以</w:t>
            </w:r>
            <w:r>
              <w:rPr>
                <w:sz w:val="21"/>
              </w:rPr>
              <w:t>“</w:t>
            </w:r>
            <w:r>
              <w:rPr>
                <w:rFonts w:ascii="宋体" w:hAnsi="宋体" w:eastAsia="宋体" w:hint="eastAsia"/>
                <w:sz w:val="21"/>
              </w:rPr>
              <w:t>－</w:t>
            </w:r>
            <w:r>
              <w:rPr>
                <w:sz w:val="21"/>
              </w:rPr>
              <w:t>”</w:t>
            </w:r>
            <w:r>
              <w:rPr>
                <w:rFonts w:ascii="宋体" w:hAnsi="宋体" w:eastAsia="宋体" w:hint="eastAsia"/>
                <w:sz w:val="21"/>
              </w:rPr>
              <w:t>号填</w:t>
            </w:r>
          </w:p>
          <w:p>
            <w:pPr>
              <w:pStyle w:val="TableParagraph"/>
              <w:spacing w:line="252" w:lineRule="exact" w:before="2"/>
              <w:ind w:left="107"/>
              <w:rPr>
                <w:rFonts w:ascii="宋体" w:eastAsia="宋体" w:hint="eastAsia"/>
                <w:sz w:val="21"/>
              </w:rPr>
            </w:pPr>
            <w:r>
              <w:rPr>
                <w:rFonts w:ascii="宋体" w:eastAsia="宋体" w:hint="eastAsia"/>
                <w:sz w:val="21"/>
              </w:rPr>
              <w:t>列）</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before="137"/>
              <w:ind w:left="116"/>
              <w:rPr>
                <w:sz w:val="21"/>
              </w:rPr>
            </w:pPr>
            <w:r>
              <w:rPr>
                <w:rFonts w:ascii="宋体" w:eastAsia="宋体" w:hint="eastAsia"/>
                <w:sz w:val="21"/>
              </w:rPr>
              <w:t>七、</w:t>
            </w:r>
            <w:r>
              <w:rPr>
                <w:sz w:val="21"/>
              </w:rPr>
              <w:t>60</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before="144"/>
              <w:ind w:right="86"/>
              <w:jc w:val="right"/>
              <w:rPr>
                <w:sz w:val="21"/>
              </w:rPr>
            </w:pPr>
            <w:r>
              <w:rPr>
                <w:sz w:val="21"/>
              </w:rPr>
              <w:t>-12,812,837.06</w:t>
            </w:r>
          </w:p>
        </w:tc>
        <w:tc>
          <w:tcPr>
            <w:tcW w:w="2106" w:type="dxa"/>
            <w:tcBorders>
              <w:top w:val="single" w:sz="4" w:space="0" w:color="000000"/>
              <w:left w:val="single" w:sz="4" w:space="0" w:color="000000"/>
              <w:bottom w:val="single" w:sz="4" w:space="0" w:color="000000"/>
            </w:tcBorders>
          </w:tcPr>
          <w:p>
            <w:pPr>
              <w:pStyle w:val="TableParagraph"/>
              <w:spacing w:before="144"/>
              <w:ind w:right="76"/>
              <w:jc w:val="right"/>
              <w:rPr>
                <w:sz w:val="21"/>
              </w:rPr>
            </w:pPr>
            <w:r>
              <w:rPr>
                <w:sz w:val="21"/>
              </w:rPr>
              <w:t>485,727,628.01</w:t>
            </w:r>
          </w:p>
        </w:tc>
      </w:tr>
      <w:tr>
        <w:trPr>
          <w:trHeight w:val="270"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hAnsi="宋体" w:eastAsia="宋体" w:hint="eastAsia"/>
                <w:sz w:val="21"/>
              </w:rPr>
            </w:pPr>
            <w:r>
              <w:rPr>
                <w:rFonts w:ascii="宋体" w:hAnsi="宋体" w:eastAsia="宋体" w:hint="eastAsia"/>
                <w:sz w:val="21"/>
              </w:rPr>
              <w:t>三、营业利润（亏损以</w:t>
            </w:r>
            <w:r>
              <w:rPr>
                <w:sz w:val="21"/>
              </w:rPr>
              <w:t>“</w:t>
            </w:r>
            <w:r>
              <w:rPr>
                <w:rFonts w:ascii="宋体" w:hAnsi="宋体" w:eastAsia="宋体" w:hint="eastAsia"/>
                <w:sz w:val="21"/>
              </w:rPr>
              <w:t>－</w:t>
            </w:r>
            <w:r>
              <w:rPr>
                <w:sz w:val="21"/>
              </w:rPr>
              <w:t>”</w:t>
            </w:r>
            <w:r>
              <w:rPr>
                <w:rFonts w:ascii="宋体" w:hAnsi="宋体" w:eastAsia="宋体" w:hint="eastAsia"/>
                <w:sz w:val="21"/>
              </w:rPr>
              <w:t>号填列）</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before="7"/>
              <w:ind w:right="85"/>
              <w:jc w:val="right"/>
              <w:rPr>
                <w:sz w:val="21"/>
              </w:rPr>
            </w:pPr>
            <w:r>
              <w:rPr>
                <w:sz w:val="21"/>
              </w:rPr>
              <w:t>13,597,954,952.64</w:t>
            </w:r>
          </w:p>
        </w:tc>
        <w:tc>
          <w:tcPr>
            <w:tcW w:w="2106" w:type="dxa"/>
            <w:tcBorders>
              <w:top w:val="single" w:sz="4" w:space="0" w:color="000000"/>
              <w:left w:val="single" w:sz="4" w:space="0" w:color="000000"/>
              <w:bottom w:val="single" w:sz="4" w:space="0" w:color="000000"/>
            </w:tcBorders>
          </w:tcPr>
          <w:p>
            <w:pPr>
              <w:pStyle w:val="TableParagraph"/>
              <w:spacing w:before="7"/>
              <w:ind w:right="76"/>
              <w:jc w:val="right"/>
              <w:rPr>
                <w:sz w:val="21"/>
              </w:rPr>
            </w:pPr>
            <w:r>
              <w:rPr>
                <w:sz w:val="21"/>
              </w:rPr>
              <w:t>14,449,443,890.04</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3"/>
              <w:ind w:left="318"/>
              <w:rPr>
                <w:rFonts w:ascii="宋体" w:eastAsia="宋体" w:hint="eastAsia"/>
                <w:sz w:val="21"/>
              </w:rPr>
            </w:pPr>
            <w:r>
              <w:rPr>
                <w:rFonts w:ascii="宋体" w:eastAsia="宋体" w:hint="eastAsia"/>
                <w:sz w:val="21"/>
              </w:rPr>
              <w:t>加：营业外收入</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left="116"/>
              <w:rPr>
                <w:sz w:val="21"/>
              </w:rPr>
            </w:pPr>
            <w:r>
              <w:rPr>
                <w:rFonts w:ascii="宋体" w:eastAsia="宋体" w:hint="eastAsia"/>
                <w:sz w:val="21"/>
              </w:rPr>
              <w:t>七、</w:t>
            </w:r>
            <w:r>
              <w:rPr>
                <w:sz w:val="21"/>
              </w:rPr>
              <w:t>61</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197,444,051.06</w:t>
            </w:r>
          </w:p>
        </w:tc>
        <w:tc>
          <w:tcPr>
            <w:tcW w:w="2106" w:type="dxa"/>
            <w:tcBorders>
              <w:top w:val="single" w:sz="4" w:space="0" w:color="000000"/>
              <w:left w:val="single" w:sz="4" w:space="0" w:color="000000"/>
              <w:bottom w:val="single" w:sz="4" w:space="0" w:color="000000"/>
            </w:tcBorders>
          </w:tcPr>
          <w:p>
            <w:pPr>
              <w:pStyle w:val="TableParagraph"/>
              <w:spacing w:before="10"/>
              <w:ind w:right="76"/>
              <w:jc w:val="right"/>
              <w:rPr>
                <w:sz w:val="21"/>
              </w:rPr>
            </w:pPr>
            <w:r>
              <w:rPr>
                <w:sz w:val="21"/>
              </w:rPr>
              <w:t>390,971,548.74</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减：营业外支出</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6"/>
              <w:rPr>
                <w:sz w:val="21"/>
              </w:rPr>
            </w:pPr>
            <w:r>
              <w:rPr>
                <w:rFonts w:ascii="宋体" w:eastAsia="宋体" w:hint="eastAsia"/>
                <w:sz w:val="21"/>
              </w:rPr>
              <w:t>七、</w:t>
            </w:r>
            <w:r>
              <w:rPr>
                <w:sz w:val="21"/>
              </w:rPr>
              <w:t>62</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240,918,538.91</w:t>
            </w:r>
          </w:p>
        </w:tc>
        <w:tc>
          <w:tcPr>
            <w:tcW w:w="2106" w:type="dxa"/>
            <w:tcBorders>
              <w:top w:val="single" w:sz="4" w:space="0" w:color="000000"/>
              <w:left w:val="single" w:sz="4" w:space="0" w:color="000000"/>
              <w:bottom w:val="single" w:sz="4" w:space="0" w:color="000000"/>
            </w:tcBorders>
          </w:tcPr>
          <w:p>
            <w:pPr>
              <w:pStyle w:val="TableParagraph"/>
              <w:spacing w:before="10"/>
              <w:ind w:right="76"/>
              <w:jc w:val="right"/>
              <w:rPr>
                <w:sz w:val="21"/>
              </w:rPr>
            </w:pPr>
            <w:r>
              <w:rPr>
                <w:sz w:val="21"/>
              </w:rPr>
              <w:t>209,806,640.82</w:t>
            </w:r>
          </w:p>
        </w:tc>
      </w:tr>
      <w:tr>
        <w:trPr>
          <w:trHeight w:val="270"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1"/>
              <w:ind w:left="107" w:right="-29"/>
              <w:rPr>
                <w:rFonts w:ascii="宋体" w:hAnsi="宋体" w:eastAsia="宋体" w:hint="eastAsia"/>
                <w:sz w:val="21"/>
              </w:rPr>
            </w:pPr>
            <w:r>
              <w:rPr>
                <w:rFonts w:ascii="宋体" w:hAnsi="宋体" w:eastAsia="宋体" w:hint="eastAsia"/>
                <w:spacing w:val="-15"/>
                <w:sz w:val="21"/>
              </w:rPr>
              <w:t>四、利润总额</w:t>
            </w:r>
            <w:r>
              <w:rPr>
                <w:rFonts w:ascii="宋体" w:hAnsi="宋体" w:eastAsia="宋体" w:hint="eastAsia"/>
                <w:spacing w:val="-3"/>
                <w:sz w:val="21"/>
              </w:rPr>
              <w:t>（亏损总额以</w:t>
            </w:r>
            <w:r>
              <w:rPr>
                <w:sz w:val="21"/>
              </w:rPr>
              <w:t>“</w:t>
            </w:r>
            <w:r>
              <w:rPr>
                <w:rFonts w:ascii="宋体" w:hAnsi="宋体" w:eastAsia="宋体" w:hint="eastAsia"/>
                <w:sz w:val="21"/>
              </w:rPr>
              <w:t>－</w:t>
            </w:r>
            <w:r>
              <w:rPr>
                <w:sz w:val="21"/>
              </w:rPr>
              <w:t>”</w:t>
            </w:r>
            <w:r>
              <w:rPr>
                <w:rFonts w:ascii="宋体" w:hAnsi="宋体" w:eastAsia="宋体" w:hint="eastAsia"/>
                <w:spacing w:val="-3"/>
                <w:sz w:val="21"/>
              </w:rPr>
              <w:t>号填列</w:t>
            </w:r>
            <w:r>
              <w:rPr>
                <w:rFonts w:ascii="宋体" w:hAnsi="宋体" w:eastAsia="宋体" w:hint="eastAsia"/>
                <w:sz w:val="21"/>
              </w:rPr>
              <w:t>）</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before="7"/>
              <w:ind w:right="85"/>
              <w:jc w:val="right"/>
              <w:rPr>
                <w:sz w:val="21"/>
              </w:rPr>
            </w:pPr>
            <w:r>
              <w:rPr>
                <w:sz w:val="21"/>
              </w:rPr>
              <w:t>13,554,480,464.79</w:t>
            </w:r>
          </w:p>
        </w:tc>
        <w:tc>
          <w:tcPr>
            <w:tcW w:w="2106" w:type="dxa"/>
            <w:tcBorders>
              <w:top w:val="single" w:sz="4" w:space="0" w:color="000000"/>
              <w:left w:val="single" w:sz="4" w:space="0" w:color="000000"/>
              <w:bottom w:val="single" w:sz="4" w:space="0" w:color="000000"/>
            </w:tcBorders>
          </w:tcPr>
          <w:p>
            <w:pPr>
              <w:pStyle w:val="TableParagraph"/>
              <w:spacing w:before="7"/>
              <w:ind w:right="76"/>
              <w:jc w:val="right"/>
              <w:rPr>
                <w:sz w:val="21"/>
              </w:rPr>
            </w:pPr>
            <w:r>
              <w:rPr>
                <w:sz w:val="21"/>
              </w:rPr>
              <w:t>14,630,608,797.96</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减：所得税费用</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6"/>
              <w:rPr>
                <w:sz w:val="21"/>
              </w:rPr>
            </w:pPr>
            <w:r>
              <w:rPr>
                <w:rFonts w:ascii="宋体" w:eastAsia="宋体" w:hint="eastAsia"/>
                <w:sz w:val="21"/>
              </w:rPr>
              <w:t>七、</w:t>
            </w:r>
            <w:r>
              <w:rPr>
                <w:sz w:val="21"/>
              </w:rPr>
              <w:t>63</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2,231,864,187.51</w:t>
            </w:r>
          </w:p>
        </w:tc>
        <w:tc>
          <w:tcPr>
            <w:tcW w:w="2106" w:type="dxa"/>
            <w:tcBorders>
              <w:top w:val="single" w:sz="4" w:space="0" w:color="000000"/>
              <w:left w:val="single" w:sz="4" w:space="0" w:color="000000"/>
              <w:bottom w:val="single" w:sz="4" w:space="0" w:color="000000"/>
            </w:tcBorders>
          </w:tcPr>
          <w:p>
            <w:pPr>
              <w:pStyle w:val="TableParagraph"/>
              <w:spacing w:before="10"/>
              <w:ind w:right="76"/>
              <w:jc w:val="right"/>
              <w:rPr>
                <w:sz w:val="21"/>
              </w:rPr>
            </w:pPr>
            <w:r>
              <w:rPr>
                <w:sz w:val="21"/>
              </w:rPr>
              <w:t>2,296,216,280.86</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hAnsi="宋体" w:eastAsia="宋体" w:hint="eastAsia"/>
                <w:sz w:val="21"/>
              </w:rPr>
            </w:pPr>
            <w:r>
              <w:rPr>
                <w:rFonts w:ascii="宋体" w:hAnsi="宋体" w:eastAsia="宋体" w:hint="eastAsia"/>
                <w:sz w:val="21"/>
              </w:rPr>
              <w:t>七、净利润（净亏损以</w:t>
            </w:r>
            <w:r>
              <w:rPr>
                <w:sz w:val="21"/>
              </w:rPr>
              <w:t>“</w:t>
            </w:r>
            <w:r>
              <w:rPr>
                <w:rFonts w:ascii="宋体" w:hAnsi="宋体" w:eastAsia="宋体" w:hint="eastAsia"/>
                <w:sz w:val="21"/>
              </w:rPr>
              <w:t>－</w:t>
            </w:r>
            <w:r>
              <w:rPr>
                <w:sz w:val="21"/>
              </w:rPr>
              <w:t>”</w:t>
            </w:r>
            <w:r>
              <w:rPr>
                <w:rFonts w:ascii="宋体" w:hAnsi="宋体" w:eastAsia="宋体" w:hint="eastAsia"/>
                <w:sz w:val="21"/>
              </w:rPr>
              <w:t>号填列）</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11,322,616,277.28</w:t>
            </w:r>
          </w:p>
        </w:tc>
        <w:tc>
          <w:tcPr>
            <w:tcW w:w="2106" w:type="dxa"/>
            <w:tcBorders>
              <w:top w:val="single" w:sz="4" w:space="0" w:color="000000"/>
              <w:left w:val="single" w:sz="4" w:space="0" w:color="000000"/>
              <w:bottom w:val="single" w:sz="4" w:space="0" w:color="000000"/>
            </w:tcBorders>
          </w:tcPr>
          <w:p>
            <w:pPr>
              <w:pStyle w:val="TableParagraph"/>
              <w:spacing w:before="10"/>
              <w:ind w:right="76"/>
              <w:jc w:val="right"/>
              <w:rPr>
                <w:sz w:val="21"/>
              </w:rPr>
            </w:pPr>
            <w:r>
              <w:rPr>
                <w:sz w:val="21"/>
              </w:rPr>
              <w:t>12,334,392,517.10</w:t>
            </w:r>
          </w:p>
        </w:tc>
      </w:tr>
      <w:tr>
        <w:trPr>
          <w:trHeight w:val="271" w:hRule="atLeast"/>
        </w:trPr>
        <w:tc>
          <w:tcPr>
            <w:tcW w:w="9052" w:type="dxa"/>
            <w:gridSpan w:val="4"/>
            <w:tcBorders>
              <w:top w:val="single" w:sz="4" w:space="0" w:color="000000"/>
              <w:bottom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（一）按经营持续性分类</w:t>
            </w:r>
          </w:p>
        </w:tc>
      </w:tr>
      <w:tr>
        <w:trPr>
          <w:trHeight w:val="544" w:hRule="atLeast"/>
        </w:trPr>
        <w:tc>
          <w:tcPr>
            <w:tcW w:w="3793" w:type="dxa"/>
            <w:tcBorders>
              <w:top w:val="single" w:sz="4" w:space="0" w:color="000000"/>
              <w:bottom w:val="single" w:sz="4" w:space="0" w:color="000000"/>
              <w:right w:val="single" w:sz="4" w:space="0" w:color="000000"/>
            </w:tcBorders>
          </w:tcPr>
          <w:p>
            <w:pPr>
              <w:pStyle w:val="TableParagraph"/>
              <w:spacing w:before="1"/>
              <w:ind w:left="527"/>
              <w:rPr>
                <w:sz w:val="21"/>
              </w:rPr>
            </w:pPr>
            <w:r>
              <w:rPr>
                <w:sz w:val="21"/>
              </w:rPr>
              <w:t>1.</w:t>
            </w:r>
            <w:r>
              <w:rPr>
                <w:rFonts w:ascii="宋体" w:hAnsi="宋体" w:eastAsia="宋体" w:hint="eastAsia"/>
                <w:sz w:val="21"/>
              </w:rPr>
              <w:t>持续经营净利润（净亏损以</w:t>
            </w:r>
            <w:r>
              <w:rPr>
                <w:sz w:val="21"/>
              </w:rPr>
              <w:t>“</w:t>
            </w:r>
            <w:r>
              <w:rPr>
                <w:rFonts w:ascii="宋体" w:hAnsi="宋体" w:eastAsia="宋体" w:hint="eastAsia"/>
                <w:sz w:val="21"/>
              </w:rPr>
              <w:t>－</w:t>
            </w:r>
            <w:r>
              <w:rPr>
                <w:sz w:val="21"/>
              </w:rPr>
              <w:t>”</w:t>
            </w:r>
          </w:p>
          <w:p>
            <w:pPr>
              <w:pStyle w:val="TableParagraph"/>
              <w:spacing w:line="250" w:lineRule="exact" w:before="4"/>
              <w:ind w:left="107"/>
              <w:rPr>
                <w:rFonts w:ascii="宋体" w:eastAsia="宋体" w:hint="eastAsia"/>
                <w:sz w:val="21"/>
              </w:rPr>
            </w:pPr>
            <w:r>
              <w:rPr>
                <w:rFonts w:ascii="宋体" w:eastAsia="宋体" w:hint="eastAsia"/>
                <w:sz w:val="21"/>
              </w:rPr>
              <w:t>号填列）</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before="147"/>
              <w:ind w:right="85"/>
              <w:jc w:val="right"/>
              <w:rPr>
                <w:sz w:val="21"/>
              </w:rPr>
            </w:pPr>
            <w:r>
              <w:rPr>
                <w:sz w:val="21"/>
              </w:rPr>
              <w:t>11,322,616,277.28</w:t>
            </w:r>
          </w:p>
        </w:tc>
        <w:tc>
          <w:tcPr>
            <w:tcW w:w="2106" w:type="dxa"/>
            <w:tcBorders>
              <w:top w:val="single" w:sz="4" w:space="0" w:color="000000"/>
              <w:left w:val="single" w:sz="4" w:space="0" w:color="000000"/>
              <w:bottom w:val="single" w:sz="4" w:space="0" w:color="000000"/>
            </w:tcBorders>
          </w:tcPr>
          <w:p>
            <w:pPr>
              <w:pStyle w:val="TableParagraph"/>
              <w:spacing w:before="147"/>
              <w:ind w:right="76"/>
              <w:jc w:val="right"/>
              <w:rPr>
                <w:sz w:val="21"/>
              </w:rPr>
            </w:pPr>
            <w:r>
              <w:rPr>
                <w:sz w:val="21"/>
              </w:rPr>
              <w:t>9,021,527,220.76</w:t>
            </w:r>
          </w:p>
        </w:tc>
      </w:tr>
      <w:tr>
        <w:trPr>
          <w:trHeight w:val="544" w:hRule="atLeast"/>
        </w:trPr>
        <w:tc>
          <w:tcPr>
            <w:tcW w:w="3793" w:type="dxa"/>
            <w:tcBorders>
              <w:top w:val="single" w:sz="4" w:space="0" w:color="000000"/>
              <w:bottom w:val="single" w:sz="4" w:space="0" w:color="000000"/>
              <w:right w:val="single" w:sz="4" w:space="0" w:color="000000"/>
            </w:tcBorders>
          </w:tcPr>
          <w:p>
            <w:pPr>
              <w:pStyle w:val="TableParagraph"/>
              <w:spacing w:before="3"/>
              <w:ind w:left="527"/>
              <w:rPr>
                <w:sz w:val="21"/>
              </w:rPr>
            </w:pPr>
            <w:r>
              <w:rPr>
                <w:sz w:val="21"/>
              </w:rPr>
              <w:t>2.</w:t>
            </w:r>
            <w:r>
              <w:rPr>
                <w:rFonts w:ascii="宋体" w:hAnsi="宋体" w:eastAsia="宋体" w:hint="eastAsia"/>
                <w:sz w:val="21"/>
              </w:rPr>
              <w:t>终止经营净利润（净亏损以</w:t>
            </w:r>
            <w:r>
              <w:rPr>
                <w:sz w:val="21"/>
              </w:rPr>
              <w:t>“</w:t>
            </w:r>
            <w:r>
              <w:rPr>
                <w:rFonts w:ascii="宋体" w:hAnsi="宋体" w:eastAsia="宋体" w:hint="eastAsia"/>
                <w:sz w:val="21"/>
              </w:rPr>
              <w:t>－</w:t>
            </w:r>
            <w:r>
              <w:rPr>
                <w:sz w:val="21"/>
              </w:rPr>
              <w:t>”</w:t>
            </w:r>
          </w:p>
          <w:p>
            <w:pPr>
              <w:pStyle w:val="TableParagraph"/>
              <w:spacing w:line="250" w:lineRule="exact" w:before="2"/>
              <w:ind w:left="107"/>
              <w:rPr>
                <w:rFonts w:ascii="宋体" w:eastAsia="宋体" w:hint="eastAsia"/>
                <w:sz w:val="21"/>
              </w:rPr>
            </w:pPr>
            <w:r>
              <w:rPr>
                <w:rFonts w:ascii="宋体" w:eastAsia="宋体" w:hint="eastAsia"/>
                <w:sz w:val="21"/>
              </w:rPr>
              <w:t>号填列）</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6" w:type="dxa"/>
            <w:tcBorders>
              <w:top w:val="single" w:sz="4" w:space="0" w:color="000000"/>
              <w:left w:val="single" w:sz="4" w:space="0" w:color="000000"/>
              <w:bottom w:val="single" w:sz="4" w:space="0" w:color="000000"/>
            </w:tcBorders>
          </w:tcPr>
          <w:p>
            <w:pPr>
              <w:pStyle w:val="TableParagraph"/>
              <w:spacing w:before="151"/>
              <w:ind w:right="80"/>
              <w:jc w:val="right"/>
              <w:rPr>
                <w:sz w:val="20"/>
              </w:rPr>
            </w:pPr>
            <w:r>
              <w:rPr>
                <w:sz w:val="20"/>
              </w:rPr>
              <w:t>3,312,865,296.34</w:t>
            </w:r>
          </w:p>
        </w:tc>
      </w:tr>
      <w:tr>
        <w:trPr>
          <w:trHeight w:val="273" w:hRule="atLeast"/>
        </w:trPr>
        <w:tc>
          <w:tcPr>
            <w:tcW w:w="9052" w:type="dxa"/>
            <w:gridSpan w:val="4"/>
            <w:tcBorders>
              <w:top w:val="single" w:sz="4" w:space="0" w:color="000000"/>
              <w:bottom w:val="single" w:sz="4" w:space="0" w:color="000000"/>
            </w:tcBorders>
          </w:tcPr>
          <w:p>
            <w:pPr>
              <w:pStyle w:val="TableParagraph"/>
              <w:spacing w:line="250" w:lineRule="exact" w:before="3"/>
              <w:ind w:left="107"/>
              <w:rPr>
                <w:rFonts w:ascii="宋体" w:eastAsia="宋体" w:hint="eastAsia"/>
                <w:sz w:val="21"/>
              </w:rPr>
            </w:pPr>
            <w:r>
              <w:rPr>
                <w:rFonts w:ascii="宋体" w:eastAsia="宋体" w:hint="eastAsia"/>
                <w:sz w:val="21"/>
              </w:rPr>
              <w:t>（二）按所有权归属分类</w:t>
            </w:r>
          </w:p>
        </w:tc>
      </w:tr>
      <w:tr>
        <w:trPr>
          <w:trHeight w:val="544" w:hRule="atLeast"/>
        </w:trPr>
        <w:tc>
          <w:tcPr>
            <w:tcW w:w="3793" w:type="dxa"/>
            <w:tcBorders>
              <w:top w:val="single" w:sz="4" w:space="0" w:color="000000"/>
              <w:bottom w:val="single" w:sz="4" w:space="0" w:color="000000"/>
              <w:right w:val="single" w:sz="4" w:space="0" w:color="000000"/>
            </w:tcBorders>
          </w:tcPr>
          <w:p>
            <w:pPr>
              <w:pStyle w:val="TableParagraph"/>
              <w:spacing w:before="1"/>
              <w:ind w:left="527"/>
              <w:rPr>
                <w:rFonts w:ascii="宋体" w:eastAsia="宋体" w:hint="eastAsia"/>
                <w:sz w:val="21"/>
              </w:rPr>
            </w:pPr>
            <w:r>
              <w:rPr>
                <w:sz w:val="21"/>
              </w:rPr>
              <w:t>1.</w:t>
            </w:r>
            <w:r>
              <w:rPr>
                <w:rFonts w:ascii="宋体" w:eastAsia="宋体" w:hint="eastAsia"/>
                <w:sz w:val="21"/>
              </w:rPr>
              <w:t>归属于母公司股东的净利润（净</w:t>
            </w:r>
          </w:p>
          <w:p>
            <w:pPr>
              <w:pStyle w:val="TableParagraph"/>
              <w:spacing w:line="250" w:lineRule="exact" w:before="4"/>
              <w:ind w:left="107"/>
              <w:rPr>
                <w:rFonts w:ascii="宋体" w:hAnsi="宋体" w:eastAsia="宋体" w:hint="eastAsia"/>
                <w:sz w:val="21"/>
              </w:rPr>
            </w:pPr>
            <w:r>
              <w:rPr>
                <w:rFonts w:ascii="宋体" w:hAnsi="宋体" w:eastAsia="宋体" w:hint="eastAsia"/>
                <w:sz w:val="21"/>
              </w:rPr>
              <w:t>亏损以</w:t>
            </w:r>
            <w:r>
              <w:rPr>
                <w:sz w:val="21"/>
              </w:rPr>
              <w:t>“-”</w:t>
            </w:r>
            <w:r>
              <w:rPr>
                <w:rFonts w:ascii="宋体" w:hAnsi="宋体" w:eastAsia="宋体" w:hint="eastAsia"/>
                <w:sz w:val="21"/>
              </w:rPr>
              <w:t>号填列）</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before="144"/>
              <w:ind w:right="85"/>
              <w:jc w:val="right"/>
              <w:rPr>
                <w:sz w:val="21"/>
              </w:rPr>
            </w:pPr>
            <w:r>
              <w:rPr>
                <w:sz w:val="21"/>
              </w:rPr>
              <w:t>8,876,593,208.19</w:t>
            </w:r>
          </w:p>
        </w:tc>
        <w:tc>
          <w:tcPr>
            <w:tcW w:w="2106" w:type="dxa"/>
            <w:tcBorders>
              <w:top w:val="single" w:sz="4" w:space="0" w:color="000000"/>
              <w:left w:val="single" w:sz="4" w:space="0" w:color="000000"/>
              <w:bottom w:val="single" w:sz="4" w:space="0" w:color="000000"/>
            </w:tcBorders>
          </w:tcPr>
          <w:p>
            <w:pPr>
              <w:pStyle w:val="TableParagraph"/>
              <w:spacing w:before="144"/>
              <w:ind w:right="76"/>
              <w:jc w:val="right"/>
              <w:rPr>
                <w:sz w:val="21"/>
              </w:rPr>
            </w:pPr>
            <w:r>
              <w:rPr>
                <w:sz w:val="21"/>
              </w:rPr>
              <w:t>8,206,247,105.96</w:t>
            </w:r>
          </w:p>
        </w:tc>
      </w:tr>
      <w:tr>
        <w:trPr>
          <w:trHeight w:val="544" w:hRule="atLeast"/>
        </w:trPr>
        <w:tc>
          <w:tcPr>
            <w:tcW w:w="3793" w:type="dxa"/>
            <w:tcBorders>
              <w:top w:val="single" w:sz="4" w:space="0" w:color="000000"/>
              <w:bottom w:val="single" w:sz="4" w:space="0" w:color="000000"/>
              <w:right w:val="single" w:sz="4" w:space="0" w:color="000000"/>
            </w:tcBorders>
          </w:tcPr>
          <w:p>
            <w:pPr>
              <w:pStyle w:val="TableParagraph"/>
              <w:spacing w:before="1"/>
              <w:ind w:left="527"/>
              <w:rPr>
                <w:rFonts w:ascii="宋体" w:hAnsi="宋体" w:eastAsia="宋体" w:hint="eastAsia"/>
                <w:sz w:val="21"/>
              </w:rPr>
            </w:pPr>
            <w:r>
              <w:rPr>
                <w:sz w:val="21"/>
              </w:rPr>
              <w:t>2.</w:t>
            </w:r>
            <w:r>
              <w:rPr>
                <w:rFonts w:ascii="宋体" w:hAnsi="宋体" w:eastAsia="宋体" w:hint="eastAsia"/>
                <w:sz w:val="21"/>
              </w:rPr>
              <w:t>少数股东损益（净亏损以</w:t>
            </w:r>
            <w:r>
              <w:rPr>
                <w:sz w:val="21"/>
              </w:rPr>
              <w:t>“-”</w:t>
            </w:r>
            <w:r>
              <w:rPr>
                <w:rFonts w:ascii="宋体" w:hAnsi="宋体" w:eastAsia="宋体" w:hint="eastAsia"/>
                <w:sz w:val="21"/>
              </w:rPr>
              <w:t>号填</w:t>
            </w:r>
          </w:p>
          <w:p>
            <w:pPr>
              <w:pStyle w:val="TableParagraph"/>
              <w:spacing w:line="250" w:lineRule="exact" w:before="4"/>
              <w:ind w:left="107"/>
              <w:rPr>
                <w:rFonts w:ascii="宋体" w:eastAsia="宋体" w:hint="eastAsia"/>
                <w:sz w:val="21"/>
              </w:rPr>
            </w:pPr>
            <w:r>
              <w:rPr>
                <w:rFonts w:ascii="宋体" w:eastAsia="宋体" w:hint="eastAsia"/>
                <w:sz w:val="21"/>
              </w:rPr>
              <w:t>列）</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before="147"/>
              <w:ind w:right="85"/>
              <w:jc w:val="right"/>
              <w:rPr>
                <w:sz w:val="21"/>
              </w:rPr>
            </w:pPr>
            <w:r>
              <w:rPr>
                <w:sz w:val="21"/>
              </w:rPr>
              <w:t>2,446,023,069.09</w:t>
            </w:r>
          </w:p>
        </w:tc>
        <w:tc>
          <w:tcPr>
            <w:tcW w:w="2106" w:type="dxa"/>
            <w:tcBorders>
              <w:top w:val="single" w:sz="4" w:space="0" w:color="000000"/>
              <w:left w:val="single" w:sz="4" w:space="0" w:color="000000"/>
              <w:bottom w:val="single" w:sz="4" w:space="0" w:color="000000"/>
            </w:tcBorders>
          </w:tcPr>
          <w:p>
            <w:pPr>
              <w:pStyle w:val="TableParagraph"/>
              <w:spacing w:before="147"/>
              <w:ind w:right="76"/>
              <w:jc w:val="right"/>
              <w:rPr>
                <w:sz w:val="21"/>
              </w:rPr>
            </w:pPr>
            <w:r>
              <w:rPr>
                <w:sz w:val="21"/>
              </w:rPr>
              <w:t>4,128,145,411.14</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3"/>
              <w:ind w:left="107"/>
              <w:rPr>
                <w:rFonts w:ascii="宋体" w:eastAsia="宋体" w:hint="eastAsia"/>
                <w:sz w:val="21"/>
              </w:rPr>
            </w:pPr>
            <w:r>
              <w:rPr>
                <w:rFonts w:ascii="宋体" w:eastAsia="宋体" w:hint="eastAsia"/>
                <w:sz w:val="21"/>
              </w:rPr>
              <w:t>六、其他综合收益的税后净额</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left="116"/>
              <w:rPr>
                <w:sz w:val="21"/>
              </w:rPr>
            </w:pPr>
            <w:r>
              <w:rPr>
                <w:rFonts w:ascii="宋体" w:eastAsia="宋体" w:hint="eastAsia"/>
                <w:sz w:val="21"/>
              </w:rPr>
              <w:t>七、</w:t>
            </w:r>
            <w:r>
              <w:rPr>
                <w:sz w:val="21"/>
              </w:rPr>
              <w:t>64</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before="10"/>
              <w:ind w:right="86"/>
              <w:jc w:val="right"/>
              <w:rPr>
                <w:sz w:val="21"/>
              </w:rPr>
            </w:pPr>
            <w:r>
              <w:rPr>
                <w:sz w:val="21"/>
              </w:rPr>
              <w:t>-2,576,197,838.54</w:t>
            </w:r>
          </w:p>
        </w:tc>
        <w:tc>
          <w:tcPr>
            <w:tcW w:w="2106" w:type="dxa"/>
            <w:tcBorders>
              <w:top w:val="single" w:sz="4" w:space="0" w:color="000000"/>
              <w:left w:val="single" w:sz="4" w:space="0" w:color="000000"/>
              <w:bottom w:val="single" w:sz="4" w:space="0" w:color="000000"/>
            </w:tcBorders>
          </w:tcPr>
          <w:p>
            <w:pPr>
              <w:pStyle w:val="TableParagraph"/>
              <w:spacing w:before="10"/>
              <w:ind w:right="76"/>
              <w:jc w:val="right"/>
              <w:rPr>
                <w:sz w:val="21"/>
              </w:rPr>
            </w:pPr>
            <w:r>
              <w:rPr>
                <w:sz w:val="21"/>
              </w:rPr>
              <w:t>569,276,732.12</w:t>
            </w:r>
          </w:p>
        </w:tc>
      </w:tr>
      <w:tr>
        <w:trPr>
          <w:trHeight w:val="544" w:hRule="atLeast"/>
        </w:trPr>
        <w:tc>
          <w:tcPr>
            <w:tcW w:w="3793" w:type="dxa"/>
            <w:tcBorders>
              <w:top w:val="single" w:sz="4" w:space="0" w:color="000000"/>
              <w:bottom w:val="single" w:sz="4" w:space="0" w:color="000000"/>
              <w:right w:val="single" w:sz="4" w:space="0" w:color="000000"/>
            </w:tcBorders>
          </w:tcPr>
          <w:p>
            <w:pPr>
              <w:pStyle w:val="TableParagraph"/>
              <w:spacing w:before="1"/>
              <w:ind w:left="318"/>
              <w:rPr>
                <w:rFonts w:ascii="宋体" w:eastAsia="宋体" w:hint="eastAsia"/>
                <w:sz w:val="21"/>
              </w:rPr>
            </w:pPr>
            <w:r>
              <w:rPr>
                <w:rFonts w:ascii="宋体" w:eastAsia="宋体" w:hint="eastAsia"/>
                <w:sz w:val="21"/>
              </w:rPr>
              <w:t>（一）归属母公司所有者的其他综合</w:t>
            </w:r>
          </w:p>
          <w:p>
            <w:pPr>
              <w:pStyle w:val="TableParagraph"/>
              <w:spacing w:line="250" w:lineRule="exact" w:before="4"/>
              <w:ind w:left="107"/>
              <w:rPr>
                <w:rFonts w:ascii="宋体" w:eastAsia="宋体" w:hint="eastAsia"/>
                <w:sz w:val="21"/>
              </w:rPr>
            </w:pPr>
            <w:r>
              <w:rPr>
                <w:rFonts w:ascii="宋体" w:eastAsia="宋体" w:hint="eastAsia"/>
                <w:sz w:val="21"/>
              </w:rPr>
              <w:t>收益的税后净额</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6"/>
              <w:rPr>
                <w:rFonts w:ascii="宋体"/>
                <w:sz w:val="21"/>
              </w:rPr>
            </w:pPr>
            <w:r>
              <w:rPr>
                <w:rFonts w:ascii="宋体"/>
                <w:w w:val="100"/>
                <w:sz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before="144"/>
              <w:ind w:right="86"/>
              <w:jc w:val="right"/>
              <w:rPr>
                <w:sz w:val="21"/>
              </w:rPr>
            </w:pPr>
            <w:r>
              <w:rPr>
                <w:sz w:val="21"/>
              </w:rPr>
              <w:t>-2,537,334,822.50</w:t>
            </w:r>
          </w:p>
        </w:tc>
        <w:tc>
          <w:tcPr>
            <w:tcW w:w="2106" w:type="dxa"/>
            <w:tcBorders>
              <w:top w:val="single" w:sz="4" w:space="0" w:color="000000"/>
              <w:left w:val="single" w:sz="4" w:space="0" w:color="000000"/>
              <w:bottom w:val="single" w:sz="4" w:space="0" w:color="000000"/>
            </w:tcBorders>
          </w:tcPr>
          <w:p>
            <w:pPr>
              <w:pStyle w:val="TableParagraph"/>
              <w:spacing w:before="144"/>
              <w:ind w:right="76"/>
              <w:jc w:val="right"/>
              <w:rPr>
                <w:sz w:val="21"/>
              </w:rPr>
            </w:pPr>
            <w:r>
              <w:rPr>
                <w:sz w:val="21"/>
              </w:rPr>
              <w:t>545,356,272.31</w:t>
            </w:r>
          </w:p>
        </w:tc>
      </w:tr>
      <w:tr>
        <w:trPr>
          <w:trHeight w:val="544" w:hRule="atLeast"/>
        </w:trPr>
        <w:tc>
          <w:tcPr>
            <w:tcW w:w="3793" w:type="dxa"/>
            <w:tcBorders>
              <w:top w:val="single" w:sz="4" w:space="0" w:color="000000"/>
              <w:bottom w:val="single" w:sz="4" w:space="0" w:color="000000"/>
              <w:right w:val="single" w:sz="4" w:space="0" w:color="000000"/>
            </w:tcBorders>
          </w:tcPr>
          <w:p>
            <w:pPr>
              <w:pStyle w:val="TableParagraph"/>
              <w:spacing w:before="1"/>
              <w:ind w:left="527"/>
              <w:rPr>
                <w:rFonts w:ascii="宋体" w:eastAsia="宋体" w:hint="eastAsia"/>
                <w:sz w:val="21"/>
              </w:rPr>
            </w:pPr>
            <w:r>
              <w:rPr>
                <w:w w:val="100"/>
                <w:sz w:val="21"/>
              </w:rPr>
              <w:t>1</w:t>
            </w:r>
            <w:r>
              <w:rPr>
                <w:rFonts w:ascii="宋体" w:eastAsia="宋体" w:hint="eastAsia"/>
                <w:spacing w:val="-12"/>
                <w:w w:val="100"/>
                <w:sz w:val="21"/>
              </w:rPr>
              <w:t>．不能重分类进损益的其他综合收</w:t>
            </w:r>
          </w:p>
          <w:p>
            <w:pPr>
              <w:pStyle w:val="TableParagraph"/>
              <w:spacing w:line="250" w:lineRule="exact" w:before="5"/>
              <w:ind w:left="107"/>
              <w:rPr>
                <w:rFonts w:ascii="宋体" w:eastAsia="宋体" w:hint="eastAsia"/>
                <w:sz w:val="21"/>
              </w:rPr>
            </w:pPr>
            <w:r>
              <w:rPr>
                <w:rFonts w:ascii="宋体" w:eastAsia="宋体" w:hint="eastAsia"/>
                <w:w w:val="100"/>
                <w:sz w:val="21"/>
              </w:rPr>
              <w:t>益</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before="145"/>
              <w:ind w:right="86"/>
              <w:jc w:val="right"/>
              <w:rPr>
                <w:sz w:val="21"/>
              </w:rPr>
            </w:pPr>
            <w:r>
              <w:rPr>
                <w:sz w:val="21"/>
              </w:rPr>
              <w:t>-73,070,215.55</w:t>
            </w:r>
          </w:p>
        </w:tc>
        <w:tc>
          <w:tcPr>
            <w:tcW w:w="2106" w:type="dxa"/>
            <w:tcBorders>
              <w:top w:val="single" w:sz="4" w:space="0" w:color="000000"/>
              <w:left w:val="single" w:sz="4" w:space="0" w:color="000000"/>
              <w:bottom w:val="single" w:sz="4" w:space="0" w:color="000000"/>
            </w:tcBorders>
          </w:tcPr>
          <w:p>
            <w:pPr>
              <w:pStyle w:val="TableParagraph"/>
              <w:spacing w:before="145"/>
              <w:ind w:right="76"/>
              <w:jc w:val="right"/>
              <w:rPr>
                <w:sz w:val="21"/>
              </w:rPr>
            </w:pPr>
            <w:r>
              <w:rPr>
                <w:sz w:val="21"/>
              </w:rPr>
              <w:t>-12,605,115.57</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w:t>
            </w:r>
            <w:r>
              <w:rPr>
                <w:sz w:val="21"/>
              </w:rPr>
              <w:t>1</w:t>
            </w:r>
            <w:r>
              <w:rPr>
                <w:rFonts w:ascii="宋体" w:eastAsia="宋体" w:hint="eastAsia"/>
                <w:sz w:val="21"/>
              </w:rPr>
              <w:t>）重新计量设定受益计划变动额</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before="10"/>
              <w:ind w:right="86"/>
              <w:jc w:val="right"/>
              <w:rPr>
                <w:sz w:val="21"/>
              </w:rPr>
            </w:pPr>
            <w:r>
              <w:rPr>
                <w:sz w:val="21"/>
              </w:rPr>
              <w:t>-23,030,495.09</w:t>
            </w:r>
          </w:p>
        </w:tc>
        <w:tc>
          <w:tcPr>
            <w:tcW w:w="2106" w:type="dxa"/>
            <w:tcBorders>
              <w:top w:val="single" w:sz="4" w:space="0" w:color="000000"/>
              <w:left w:val="single" w:sz="4" w:space="0" w:color="000000"/>
              <w:bottom w:val="single" w:sz="4" w:space="0" w:color="000000"/>
            </w:tcBorders>
          </w:tcPr>
          <w:p>
            <w:pPr>
              <w:pStyle w:val="TableParagraph"/>
              <w:spacing w:before="10"/>
              <w:ind w:right="76"/>
              <w:jc w:val="right"/>
              <w:rPr>
                <w:sz w:val="21"/>
              </w:rPr>
            </w:pPr>
            <w:r>
              <w:rPr>
                <w:sz w:val="21"/>
              </w:rPr>
              <w:t>-9,515,689.78</w:t>
            </w:r>
          </w:p>
        </w:tc>
      </w:tr>
      <w:tr>
        <w:trPr>
          <w:trHeight w:val="544" w:hRule="atLeast"/>
        </w:trPr>
        <w:tc>
          <w:tcPr>
            <w:tcW w:w="3793" w:type="dxa"/>
            <w:tcBorders>
              <w:top w:val="single" w:sz="4" w:space="0" w:color="000000"/>
              <w:bottom w:val="single" w:sz="4" w:space="0" w:color="000000"/>
              <w:right w:val="single" w:sz="4" w:space="0" w:color="000000"/>
            </w:tcBorders>
          </w:tcPr>
          <w:p>
            <w:pPr>
              <w:pStyle w:val="TableParagraph"/>
              <w:spacing w:before="1"/>
              <w:ind w:left="318"/>
              <w:rPr>
                <w:rFonts w:ascii="宋体" w:eastAsia="宋体" w:hint="eastAsia"/>
                <w:sz w:val="21"/>
              </w:rPr>
            </w:pPr>
            <w:r>
              <w:rPr>
                <w:rFonts w:ascii="宋体" w:eastAsia="宋体" w:hint="eastAsia"/>
                <w:w w:val="100"/>
                <w:sz w:val="21"/>
              </w:rPr>
              <w:t>（</w:t>
            </w:r>
            <w:r>
              <w:rPr>
                <w:w w:val="100"/>
                <w:sz w:val="21"/>
              </w:rPr>
              <w:t>2</w:t>
            </w:r>
            <w:r>
              <w:rPr>
                <w:rFonts w:ascii="宋体" w:eastAsia="宋体" w:hint="eastAsia"/>
                <w:spacing w:val="-101"/>
                <w:w w:val="100"/>
                <w:sz w:val="21"/>
              </w:rPr>
              <w:t>）</w:t>
            </w:r>
            <w:r>
              <w:rPr>
                <w:rFonts w:ascii="宋体" w:eastAsia="宋体" w:hint="eastAsia"/>
                <w:spacing w:val="-3"/>
                <w:w w:val="100"/>
                <w:sz w:val="21"/>
              </w:rPr>
              <w:t>权益法下不能转损益的其他综合</w:t>
            </w:r>
          </w:p>
          <w:p>
            <w:pPr>
              <w:pStyle w:val="TableParagraph"/>
              <w:spacing w:line="250" w:lineRule="exact" w:before="4"/>
              <w:ind w:left="107"/>
              <w:rPr>
                <w:rFonts w:ascii="宋体" w:eastAsia="宋体" w:hint="eastAsia"/>
                <w:sz w:val="21"/>
              </w:rPr>
            </w:pPr>
            <w:r>
              <w:rPr>
                <w:rFonts w:ascii="宋体" w:eastAsia="宋体" w:hint="eastAsia"/>
                <w:sz w:val="21"/>
              </w:rPr>
              <w:t>收益</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6"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w w:val="100"/>
                <w:sz w:val="21"/>
              </w:rPr>
              <w:t>（</w:t>
            </w:r>
            <w:r>
              <w:rPr>
                <w:w w:val="100"/>
                <w:sz w:val="21"/>
              </w:rPr>
              <w:t>3</w:t>
            </w:r>
            <w:r>
              <w:rPr>
                <w:rFonts w:ascii="宋体" w:eastAsia="宋体" w:hint="eastAsia"/>
                <w:spacing w:val="-101"/>
                <w:w w:val="100"/>
                <w:sz w:val="21"/>
              </w:rPr>
              <w:t>）</w:t>
            </w:r>
            <w:r>
              <w:rPr>
                <w:rFonts w:ascii="宋体" w:eastAsia="宋体" w:hint="eastAsia"/>
                <w:spacing w:val="-3"/>
                <w:w w:val="100"/>
                <w:sz w:val="21"/>
              </w:rPr>
              <w:t>其他权益工具投资公允价值变动</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before="10"/>
              <w:ind w:right="86"/>
              <w:jc w:val="right"/>
              <w:rPr>
                <w:sz w:val="21"/>
              </w:rPr>
            </w:pPr>
            <w:r>
              <w:rPr>
                <w:sz w:val="21"/>
              </w:rPr>
              <w:t>-50,039,720.46</w:t>
            </w:r>
          </w:p>
        </w:tc>
        <w:tc>
          <w:tcPr>
            <w:tcW w:w="2106" w:type="dxa"/>
            <w:tcBorders>
              <w:top w:val="single" w:sz="4" w:space="0" w:color="000000"/>
              <w:left w:val="single" w:sz="4" w:space="0" w:color="000000"/>
              <w:bottom w:val="single" w:sz="4" w:space="0" w:color="000000"/>
            </w:tcBorders>
          </w:tcPr>
          <w:p>
            <w:pPr>
              <w:pStyle w:val="TableParagraph"/>
              <w:spacing w:before="10"/>
              <w:ind w:right="76"/>
              <w:jc w:val="right"/>
              <w:rPr>
                <w:sz w:val="21"/>
              </w:rPr>
            </w:pPr>
            <w:r>
              <w:rPr>
                <w:sz w:val="21"/>
              </w:rPr>
              <w:t>-3,089,425.79</w:t>
            </w:r>
          </w:p>
        </w:tc>
      </w:tr>
      <w:tr>
        <w:trPr>
          <w:trHeight w:val="270"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w w:val="100"/>
                <w:sz w:val="21"/>
              </w:rPr>
              <w:t>（</w:t>
            </w:r>
            <w:r>
              <w:rPr>
                <w:w w:val="100"/>
                <w:sz w:val="21"/>
              </w:rPr>
              <w:t>4</w:t>
            </w:r>
            <w:r>
              <w:rPr>
                <w:rFonts w:ascii="宋体" w:eastAsia="宋体" w:hint="eastAsia"/>
                <w:spacing w:val="-101"/>
                <w:w w:val="100"/>
                <w:sz w:val="21"/>
              </w:rPr>
              <w:t>）</w:t>
            </w:r>
            <w:r>
              <w:rPr>
                <w:rFonts w:ascii="宋体" w:eastAsia="宋体" w:hint="eastAsia"/>
                <w:spacing w:val="-3"/>
                <w:w w:val="100"/>
                <w:sz w:val="21"/>
              </w:rPr>
              <w:t>企业自身信用风险公允价值变动</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6"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527"/>
              <w:rPr>
                <w:rFonts w:ascii="宋体" w:eastAsia="宋体" w:hint="eastAsia"/>
                <w:sz w:val="21"/>
              </w:rPr>
            </w:pPr>
            <w:r>
              <w:rPr>
                <w:w w:val="100"/>
                <w:sz w:val="21"/>
              </w:rPr>
              <w:t>2</w:t>
            </w:r>
            <w:r>
              <w:rPr>
                <w:rFonts w:ascii="宋体" w:eastAsia="宋体" w:hint="eastAsia"/>
                <w:spacing w:val="-12"/>
                <w:w w:val="100"/>
                <w:sz w:val="21"/>
              </w:rPr>
              <w:t>．将重分类进损益的其他综合收益</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before="10"/>
              <w:ind w:right="86"/>
              <w:jc w:val="right"/>
              <w:rPr>
                <w:sz w:val="21"/>
              </w:rPr>
            </w:pPr>
            <w:r>
              <w:rPr>
                <w:sz w:val="21"/>
              </w:rPr>
              <w:t>-2,464,264,606.95</w:t>
            </w:r>
          </w:p>
        </w:tc>
        <w:tc>
          <w:tcPr>
            <w:tcW w:w="2106" w:type="dxa"/>
            <w:tcBorders>
              <w:top w:val="single" w:sz="4" w:space="0" w:color="000000"/>
              <w:left w:val="single" w:sz="4" w:space="0" w:color="000000"/>
              <w:bottom w:val="single" w:sz="4" w:space="0" w:color="000000"/>
            </w:tcBorders>
          </w:tcPr>
          <w:p>
            <w:pPr>
              <w:pStyle w:val="TableParagraph"/>
              <w:spacing w:before="10"/>
              <w:ind w:right="76"/>
              <w:jc w:val="right"/>
              <w:rPr>
                <w:sz w:val="21"/>
              </w:rPr>
            </w:pPr>
            <w:r>
              <w:rPr>
                <w:sz w:val="21"/>
              </w:rPr>
              <w:t>557,961,387.88</w:t>
            </w:r>
          </w:p>
        </w:tc>
      </w:tr>
      <w:tr>
        <w:trPr>
          <w:trHeight w:val="544" w:hRule="atLeast"/>
        </w:trPr>
        <w:tc>
          <w:tcPr>
            <w:tcW w:w="3793" w:type="dxa"/>
            <w:tcBorders>
              <w:top w:val="single" w:sz="4" w:space="0" w:color="000000"/>
              <w:bottom w:val="single" w:sz="4" w:space="0" w:color="000000"/>
              <w:right w:val="single" w:sz="4" w:space="0" w:color="000000"/>
            </w:tcBorders>
          </w:tcPr>
          <w:p>
            <w:pPr>
              <w:pStyle w:val="TableParagraph"/>
              <w:spacing w:before="1"/>
              <w:ind w:left="318"/>
              <w:rPr>
                <w:rFonts w:ascii="宋体" w:eastAsia="宋体" w:hint="eastAsia"/>
                <w:sz w:val="21"/>
              </w:rPr>
            </w:pPr>
            <w:r>
              <w:rPr>
                <w:rFonts w:ascii="宋体" w:eastAsia="宋体" w:hint="eastAsia"/>
                <w:w w:val="100"/>
                <w:sz w:val="21"/>
              </w:rPr>
              <w:t>（</w:t>
            </w:r>
            <w:r>
              <w:rPr>
                <w:w w:val="100"/>
                <w:sz w:val="21"/>
              </w:rPr>
              <w:t>1</w:t>
            </w:r>
            <w:r>
              <w:rPr>
                <w:rFonts w:ascii="宋体" w:eastAsia="宋体" w:hint="eastAsia"/>
                <w:spacing w:val="-101"/>
                <w:w w:val="100"/>
                <w:sz w:val="21"/>
              </w:rPr>
              <w:t>）</w:t>
            </w:r>
            <w:r>
              <w:rPr>
                <w:rFonts w:ascii="宋体" w:eastAsia="宋体" w:hint="eastAsia"/>
                <w:spacing w:val="-3"/>
                <w:w w:val="100"/>
                <w:sz w:val="21"/>
              </w:rPr>
              <w:t>权益法下可转损益的其他综合收</w:t>
            </w:r>
          </w:p>
          <w:p>
            <w:pPr>
              <w:pStyle w:val="TableParagraph"/>
              <w:spacing w:line="250" w:lineRule="exact" w:before="4"/>
              <w:ind w:left="107"/>
              <w:rPr>
                <w:rFonts w:ascii="宋体" w:eastAsia="宋体" w:hint="eastAsia"/>
                <w:sz w:val="21"/>
              </w:rPr>
            </w:pPr>
            <w:r>
              <w:rPr>
                <w:rFonts w:ascii="宋体" w:eastAsia="宋体" w:hint="eastAsia"/>
                <w:w w:val="100"/>
                <w:sz w:val="21"/>
              </w:rPr>
              <w:t>益</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before="144"/>
              <w:ind w:right="86"/>
              <w:jc w:val="right"/>
              <w:rPr>
                <w:sz w:val="21"/>
              </w:rPr>
            </w:pPr>
            <w:r>
              <w:rPr>
                <w:sz w:val="21"/>
              </w:rPr>
              <w:t>-368,885,317.13</w:t>
            </w:r>
          </w:p>
        </w:tc>
        <w:tc>
          <w:tcPr>
            <w:tcW w:w="2106" w:type="dxa"/>
            <w:tcBorders>
              <w:top w:val="single" w:sz="4" w:space="0" w:color="000000"/>
              <w:left w:val="single" w:sz="4" w:space="0" w:color="000000"/>
              <w:bottom w:val="single" w:sz="4" w:space="0" w:color="000000"/>
            </w:tcBorders>
          </w:tcPr>
          <w:p>
            <w:pPr>
              <w:pStyle w:val="TableParagraph"/>
              <w:spacing w:before="144"/>
              <w:ind w:right="76"/>
              <w:jc w:val="right"/>
              <w:rPr>
                <w:sz w:val="21"/>
              </w:rPr>
            </w:pPr>
            <w:r>
              <w:rPr>
                <w:sz w:val="21"/>
              </w:rPr>
              <w:t>83,635,935.11</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w:t>
            </w:r>
            <w:r>
              <w:rPr>
                <w:sz w:val="21"/>
              </w:rPr>
              <w:t>2</w:t>
            </w:r>
            <w:r>
              <w:rPr>
                <w:rFonts w:ascii="宋体" w:eastAsia="宋体" w:hint="eastAsia"/>
                <w:sz w:val="21"/>
              </w:rPr>
              <w:t>）其他债权投资公允价值变动</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6" w:type="dxa"/>
            <w:tcBorders>
              <w:top w:val="single" w:sz="4" w:space="0" w:color="000000"/>
              <w:left w:val="single" w:sz="4" w:space="0" w:color="000000"/>
              <w:bottom w:val="single" w:sz="4" w:space="0" w:color="000000"/>
            </w:tcBorders>
          </w:tcPr>
          <w:p>
            <w:pPr>
              <w:pStyle w:val="TableParagraph"/>
              <w:rPr>
                <w:sz w:val="20"/>
              </w:rPr>
            </w:pPr>
          </w:p>
        </w:tc>
      </w:tr>
      <w:tr>
        <w:trPr>
          <w:trHeight w:val="544" w:hRule="atLeast"/>
        </w:trPr>
        <w:tc>
          <w:tcPr>
            <w:tcW w:w="3793" w:type="dxa"/>
            <w:tcBorders>
              <w:top w:val="single" w:sz="4" w:space="0" w:color="000000"/>
              <w:bottom w:val="single" w:sz="4" w:space="0" w:color="000000"/>
              <w:right w:val="single" w:sz="4" w:space="0" w:color="000000"/>
            </w:tcBorders>
          </w:tcPr>
          <w:p>
            <w:pPr>
              <w:pStyle w:val="TableParagraph"/>
              <w:spacing w:before="1"/>
              <w:ind w:left="318"/>
              <w:rPr>
                <w:rFonts w:ascii="宋体" w:eastAsia="宋体" w:hint="eastAsia"/>
                <w:sz w:val="21"/>
              </w:rPr>
            </w:pPr>
            <w:r>
              <w:rPr>
                <w:rFonts w:ascii="宋体" w:eastAsia="宋体" w:hint="eastAsia"/>
                <w:w w:val="100"/>
                <w:sz w:val="21"/>
              </w:rPr>
              <w:t>（</w:t>
            </w:r>
            <w:r>
              <w:rPr>
                <w:w w:val="100"/>
                <w:sz w:val="21"/>
              </w:rPr>
              <w:t>3</w:t>
            </w:r>
            <w:r>
              <w:rPr>
                <w:rFonts w:ascii="宋体" w:eastAsia="宋体" w:hint="eastAsia"/>
                <w:spacing w:val="-101"/>
                <w:w w:val="100"/>
                <w:sz w:val="21"/>
              </w:rPr>
              <w:t>）</w:t>
            </w:r>
            <w:r>
              <w:rPr>
                <w:rFonts w:ascii="宋体" w:eastAsia="宋体" w:hint="eastAsia"/>
                <w:spacing w:val="-3"/>
                <w:w w:val="100"/>
                <w:sz w:val="21"/>
              </w:rPr>
              <w:t>金融资产重分类计入其他综合收</w:t>
            </w:r>
          </w:p>
          <w:p>
            <w:pPr>
              <w:pStyle w:val="TableParagraph"/>
              <w:spacing w:line="252" w:lineRule="exact" w:before="2"/>
              <w:ind w:left="107"/>
              <w:rPr>
                <w:rFonts w:ascii="宋体" w:eastAsia="宋体" w:hint="eastAsia"/>
                <w:sz w:val="21"/>
              </w:rPr>
            </w:pPr>
            <w:r>
              <w:rPr>
                <w:rFonts w:ascii="宋体" w:eastAsia="宋体" w:hint="eastAsia"/>
                <w:sz w:val="21"/>
              </w:rPr>
              <w:t>益的金额</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6" w:type="dxa"/>
            <w:tcBorders>
              <w:top w:val="single" w:sz="4" w:space="0" w:color="000000"/>
              <w:left w:val="single" w:sz="4" w:space="0" w:color="000000"/>
              <w:bottom w:val="single" w:sz="4" w:space="0" w:color="000000"/>
            </w:tcBorders>
          </w:tcPr>
          <w:p>
            <w:pPr>
              <w:pStyle w:val="TableParagraph"/>
              <w:rPr>
                <w:sz w:val="20"/>
              </w:rPr>
            </w:pPr>
          </w:p>
        </w:tc>
      </w:tr>
      <w:tr>
        <w:trPr>
          <w:trHeight w:val="271"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w:t>
            </w:r>
            <w:r>
              <w:rPr>
                <w:sz w:val="21"/>
              </w:rPr>
              <w:t>4</w:t>
            </w:r>
            <w:r>
              <w:rPr>
                <w:rFonts w:ascii="宋体" w:eastAsia="宋体" w:hint="eastAsia"/>
                <w:sz w:val="21"/>
              </w:rPr>
              <w:t>）其他债权投资信用减值准备</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6"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3"/>
              <w:ind w:left="318"/>
              <w:rPr>
                <w:rFonts w:ascii="宋体" w:eastAsia="宋体" w:hint="eastAsia"/>
                <w:sz w:val="21"/>
              </w:rPr>
            </w:pPr>
            <w:r>
              <w:rPr>
                <w:rFonts w:ascii="宋体" w:eastAsia="宋体" w:hint="eastAsia"/>
                <w:sz w:val="21"/>
              </w:rPr>
              <w:t>（</w:t>
            </w:r>
            <w:r>
              <w:rPr>
                <w:sz w:val="21"/>
              </w:rPr>
              <w:t>5</w:t>
            </w:r>
            <w:r>
              <w:rPr>
                <w:rFonts w:ascii="宋体" w:eastAsia="宋体" w:hint="eastAsia"/>
                <w:sz w:val="21"/>
              </w:rPr>
              <w:t>）现金流量套期储备</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before="10"/>
              <w:ind w:right="86"/>
              <w:jc w:val="right"/>
              <w:rPr>
                <w:sz w:val="21"/>
              </w:rPr>
            </w:pPr>
            <w:r>
              <w:rPr>
                <w:sz w:val="21"/>
              </w:rPr>
              <w:t>-104,122,543.00</w:t>
            </w:r>
          </w:p>
        </w:tc>
        <w:tc>
          <w:tcPr>
            <w:tcW w:w="2106" w:type="dxa"/>
            <w:tcBorders>
              <w:top w:val="single" w:sz="4" w:space="0" w:color="000000"/>
              <w:left w:val="single" w:sz="4" w:space="0" w:color="000000"/>
              <w:bottom w:val="single" w:sz="4" w:space="0" w:color="000000"/>
            </w:tcBorders>
          </w:tcPr>
          <w:p>
            <w:pPr>
              <w:pStyle w:val="TableParagraph"/>
              <w:spacing w:before="10"/>
              <w:ind w:right="76"/>
              <w:jc w:val="right"/>
              <w:rPr>
                <w:sz w:val="21"/>
              </w:rPr>
            </w:pPr>
            <w:r>
              <w:rPr>
                <w:sz w:val="21"/>
              </w:rPr>
              <w:t>-36,169,378.90</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w:t>
            </w:r>
            <w:r>
              <w:rPr>
                <w:sz w:val="21"/>
              </w:rPr>
              <w:t>6</w:t>
            </w:r>
            <w:r>
              <w:rPr>
                <w:rFonts w:ascii="宋体" w:eastAsia="宋体" w:hint="eastAsia"/>
                <w:sz w:val="21"/>
              </w:rPr>
              <w:t>）外币财务报表折算差额</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before="10"/>
              <w:ind w:right="86"/>
              <w:jc w:val="right"/>
              <w:rPr>
                <w:sz w:val="21"/>
              </w:rPr>
            </w:pPr>
            <w:r>
              <w:rPr>
                <w:sz w:val="21"/>
              </w:rPr>
              <w:t>-1,991,256,746.82</w:t>
            </w:r>
          </w:p>
        </w:tc>
        <w:tc>
          <w:tcPr>
            <w:tcW w:w="2106" w:type="dxa"/>
            <w:tcBorders>
              <w:top w:val="single" w:sz="4" w:space="0" w:color="000000"/>
              <w:left w:val="single" w:sz="4" w:space="0" w:color="000000"/>
              <w:bottom w:val="single" w:sz="4" w:space="0" w:color="000000"/>
            </w:tcBorders>
          </w:tcPr>
          <w:p>
            <w:pPr>
              <w:pStyle w:val="TableParagraph"/>
              <w:spacing w:before="10"/>
              <w:ind w:right="76"/>
              <w:jc w:val="right"/>
              <w:rPr>
                <w:sz w:val="21"/>
              </w:rPr>
            </w:pPr>
            <w:r>
              <w:rPr>
                <w:sz w:val="21"/>
              </w:rPr>
              <w:t>510,494,831.67</w:t>
            </w:r>
          </w:p>
        </w:tc>
      </w:tr>
      <w:tr>
        <w:trPr>
          <w:trHeight w:val="270"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w:t>
            </w:r>
            <w:r>
              <w:rPr>
                <w:sz w:val="21"/>
              </w:rPr>
              <w:t>7</w:t>
            </w:r>
            <w:r>
              <w:rPr>
                <w:rFonts w:ascii="宋体" w:eastAsia="宋体" w:hint="eastAsia"/>
                <w:sz w:val="21"/>
              </w:rPr>
              <w:t>）其他</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6" w:type="dxa"/>
            <w:tcBorders>
              <w:top w:val="single" w:sz="4" w:space="0" w:color="000000"/>
              <w:left w:val="single" w:sz="4" w:space="0" w:color="000000"/>
              <w:bottom w:val="single" w:sz="4" w:space="0" w:color="000000"/>
            </w:tcBorders>
          </w:tcPr>
          <w:p>
            <w:pPr>
              <w:pStyle w:val="TableParagraph"/>
              <w:rPr>
                <w:sz w:val="20"/>
              </w:rPr>
            </w:pPr>
          </w:p>
        </w:tc>
      </w:tr>
      <w:tr>
        <w:trPr>
          <w:trHeight w:val="546" w:hRule="atLeast"/>
        </w:trPr>
        <w:tc>
          <w:tcPr>
            <w:tcW w:w="3793" w:type="dxa"/>
            <w:tcBorders>
              <w:top w:val="single" w:sz="4" w:space="0" w:color="000000"/>
              <w:bottom w:val="single" w:sz="4" w:space="0" w:color="000000"/>
              <w:right w:val="single" w:sz="4" w:space="0" w:color="000000"/>
            </w:tcBorders>
          </w:tcPr>
          <w:p>
            <w:pPr>
              <w:pStyle w:val="TableParagraph"/>
              <w:spacing w:line="270" w:lineRule="atLeast" w:before="2"/>
              <w:ind w:left="107" w:right="87" w:firstLine="211"/>
              <w:rPr>
                <w:rFonts w:ascii="宋体" w:eastAsia="宋体" w:hint="eastAsia"/>
                <w:sz w:val="21"/>
              </w:rPr>
            </w:pPr>
            <w:r>
              <w:rPr>
                <w:rFonts w:ascii="宋体" w:eastAsia="宋体" w:hint="eastAsia"/>
                <w:sz w:val="21"/>
              </w:rPr>
              <w:t>（二）归属于少数股东的其他综合收益的税后净额</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before="147"/>
              <w:ind w:right="86"/>
              <w:jc w:val="right"/>
              <w:rPr>
                <w:sz w:val="21"/>
              </w:rPr>
            </w:pPr>
            <w:r>
              <w:rPr>
                <w:sz w:val="21"/>
              </w:rPr>
              <w:t>-38,863,016.04</w:t>
            </w:r>
          </w:p>
        </w:tc>
        <w:tc>
          <w:tcPr>
            <w:tcW w:w="2106" w:type="dxa"/>
            <w:tcBorders>
              <w:top w:val="single" w:sz="4" w:space="0" w:color="000000"/>
              <w:left w:val="single" w:sz="4" w:space="0" w:color="000000"/>
              <w:bottom w:val="single" w:sz="4" w:space="0" w:color="000000"/>
            </w:tcBorders>
          </w:tcPr>
          <w:p>
            <w:pPr>
              <w:pStyle w:val="TableParagraph"/>
              <w:spacing w:before="147"/>
              <w:ind w:right="76"/>
              <w:jc w:val="right"/>
              <w:rPr>
                <w:sz w:val="21"/>
              </w:rPr>
            </w:pPr>
            <w:r>
              <w:rPr>
                <w:sz w:val="21"/>
              </w:rPr>
              <w:t>23,920,459.81</w:t>
            </w:r>
          </w:p>
        </w:tc>
      </w:tr>
      <w:tr>
        <w:trPr>
          <w:trHeight w:val="270"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七、综合收益总额</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before="7"/>
              <w:ind w:right="85"/>
              <w:jc w:val="right"/>
              <w:rPr>
                <w:sz w:val="21"/>
              </w:rPr>
            </w:pPr>
            <w:r>
              <w:rPr>
                <w:sz w:val="21"/>
              </w:rPr>
              <w:t>8,746,418,438.74</w:t>
            </w:r>
          </w:p>
        </w:tc>
        <w:tc>
          <w:tcPr>
            <w:tcW w:w="2106" w:type="dxa"/>
            <w:tcBorders>
              <w:top w:val="single" w:sz="4" w:space="0" w:color="000000"/>
              <w:left w:val="single" w:sz="4" w:space="0" w:color="000000"/>
              <w:bottom w:val="single" w:sz="4" w:space="0" w:color="000000"/>
            </w:tcBorders>
          </w:tcPr>
          <w:p>
            <w:pPr>
              <w:pStyle w:val="TableParagraph"/>
              <w:spacing w:before="7"/>
              <w:ind w:right="76"/>
              <w:jc w:val="right"/>
              <w:rPr>
                <w:sz w:val="21"/>
              </w:rPr>
            </w:pPr>
            <w:r>
              <w:rPr>
                <w:sz w:val="21"/>
              </w:rPr>
              <w:t>12,903,669,249.22</w:t>
            </w:r>
          </w:p>
        </w:tc>
      </w:tr>
      <w:tr>
        <w:trPr>
          <w:trHeight w:val="544" w:hRule="atLeast"/>
        </w:trPr>
        <w:tc>
          <w:tcPr>
            <w:tcW w:w="3793" w:type="dxa"/>
            <w:tcBorders>
              <w:top w:val="single" w:sz="4" w:space="0" w:color="000000"/>
              <w:bottom w:val="single" w:sz="4" w:space="0" w:color="000000"/>
              <w:right w:val="single" w:sz="4" w:space="0" w:color="000000"/>
            </w:tcBorders>
          </w:tcPr>
          <w:p>
            <w:pPr>
              <w:pStyle w:val="TableParagraph"/>
              <w:spacing w:before="1"/>
              <w:ind w:left="318"/>
              <w:rPr>
                <w:rFonts w:ascii="宋体" w:eastAsia="宋体" w:hint="eastAsia"/>
                <w:sz w:val="21"/>
              </w:rPr>
            </w:pPr>
            <w:r>
              <w:rPr>
                <w:rFonts w:ascii="宋体" w:eastAsia="宋体" w:hint="eastAsia"/>
                <w:sz w:val="21"/>
              </w:rPr>
              <w:t>（一）归属于母公司所有者的综合收</w:t>
            </w:r>
          </w:p>
          <w:p>
            <w:pPr>
              <w:pStyle w:val="TableParagraph"/>
              <w:spacing w:line="250" w:lineRule="exact" w:before="4"/>
              <w:ind w:left="107"/>
              <w:rPr>
                <w:rFonts w:ascii="宋体" w:eastAsia="宋体" w:hint="eastAsia"/>
                <w:sz w:val="21"/>
              </w:rPr>
            </w:pPr>
            <w:r>
              <w:rPr>
                <w:rFonts w:ascii="宋体" w:eastAsia="宋体" w:hint="eastAsia"/>
                <w:sz w:val="21"/>
              </w:rPr>
              <w:t>益总额</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before="147"/>
              <w:ind w:right="85"/>
              <w:jc w:val="right"/>
              <w:rPr>
                <w:sz w:val="21"/>
              </w:rPr>
            </w:pPr>
            <w:r>
              <w:rPr>
                <w:sz w:val="21"/>
              </w:rPr>
              <w:t>6,339,258,385.69</w:t>
            </w:r>
          </w:p>
        </w:tc>
        <w:tc>
          <w:tcPr>
            <w:tcW w:w="2106" w:type="dxa"/>
            <w:tcBorders>
              <w:top w:val="single" w:sz="4" w:space="0" w:color="000000"/>
              <w:left w:val="single" w:sz="4" w:space="0" w:color="000000"/>
              <w:bottom w:val="single" w:sz="4" w:space="0" w:color="000000"/>
            </w:tcBorders>
          </w:tcPr>
          <w:p>
            <w:pPr>
              <w:pStyle w:val="TableParagraph"/>
              <w:spacing w:before="147"/>
              <w:ind w:right="76"/>
              <w:jc w:val="right"/>
              <w:rPr>
                <w:sz w:val="21"/>
              </w:rPr>
            </w:pPr>
            <w:r>
              <w:rPr>
                <w:sz w:val="21"/>
              </w:rPr>
              <w:t>8,751,603,378.27</w:t>
            </w:r>
          </w:p>
        </w:tc>
      </w:tr>
      <w:tr>
        <w:trPr>
          <w:trHeight w:val="270" w:hRule="atLeast"/>
        </w:trPr>
        <w:tc>
          <w:tcPr>
            <w:tcW w:w="3793" w:type="dxa"/>
            <w:tcBorders>
              <w:top w:val="single" w:sz="4" w:space="0" w:color="000000"/>
              <w:right w:val="single" w:sz="4" w:space="0" w:color="000000"/>
            </w:tcBorders>
          </w:tcPr>
          <w:p>
            <w:pPr>
              <w:pStyle w:val="TableParagraph"/>
              <w:spacing w:line="249" w:lineRule="exact" w:before="1"/>
              <w:ind w:left="318"/>
              <w:rPr>
                <w:rFonts w:ascii="宋体" w:eastAsia="宋体" w:hint="eastAsia"/>
                <w:sz w:val="21"/>
              </w:rPr>
            </w:pPr>
            <w:r>
              <w:rPr>
                <w:rFonts w:ascii="宋体" w:eastAsia="宋体" w:hint="eastAsia"/>
                <w:sz w:val="21"/>
              </w:rPr>
              <w:t>（二）归属于少数股东的综合收益总</w:t>
            </w:r>
          </w:p>
        </w:tc>
        <w:tc>
          <w:tcPr>
            <w:tcW w:w="1045" w:type="dxa"/>
            <w:tcBorders>
              <w:top w:val="single" w:sz="4" w:space="0" w:color="000000"/>
              <w:left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right w:val="single" w:sz="4" w:space="0" w:color="000000"/>
            </w:tcBorders>
          </w:tcPr>
          <w:p>
            <w:pPr>
              <w:pStyle w:val="TableParagraph"/>
              <w:spacing w:line="240" w:lineRule="exact" w:before="10"/>
              <w:ind w:right="85"/>
              <w:jc w:val="right"/>
              <w:rPr>
                <w:sz w:val="21"/>
              </w:rPr>
            </w:pPr>
            <w:r>
              <w:rPr>
                <w:sz w:val="21"/>
              </w:rPr>
              <w:t>2,407,160,053.05</w:t>
            </w:r>
          </w:p>
        </w:tc>
        <w:tc>
          <w:tcPr>
            <w:tcW w:w="2106" w:type="dxa"/>
            <w:tcBorders>
              <w:top w:val="single" w:sz="4" w:space="0" w:color="000000"/>
              <w:left w:val="single" w:sz="4" w:space="0" w:color="000000"/>
            </w:tcBorders>
          </w:tcPr>
          <w:p>
            <w:pPr>
              <w:pStyle w:val="TableParagraph"/>
              <w:spacing w:line="240" w:lineRule="exact" w:before="10"/>
              <w:ind w:right="76"/>
              <w:jc w:val="right"/>
              <w:rPr>
                <w:sz w:val="21"/>
              </w:rPr>
            </w:pPr>
            <w:r>
              <w:rPr>
                <w:sz w:val="21"/>
              </w:rPr>
              <w:t>4,152,065,870.95</w:t>
            </w:r>
          </w:p>
        </w:tc>
      </w:tr>
    </w:tbl>
    <w:p>
      <w:pPr>
        <w:spacing w:after="0" w:line="240" w:lineRule="exact"/>
        <w:jc w:val="right"/>
        <w:rPr>
          <w:sz w:val="21"/>
        </w:rPr>
        <w:sectPr>
          <w:pgSz w:w="11910" w:h="16840"/>
          <w:pgMar w:header="876" w:footer="1184" w:top="1440" w:bottom="1400" w:left="1560" w:right="960"/>
        </w:sectPr>
      </w:pPr>
    </w:p>
    <w:p>
      <w:pPr>
        <w:pStyle w:val="BodyText"/>
        <w:spacing w:before="9"/>
        <w:rPr>
          <w:rFonts w:ascii="Times New Roman"/>
          <w:sz w:val="5"/>
        </w:rPr>
      </w:pPr>
    </w:p>
    <w:tbl>
      <w:tblPr>
        <w:tblW w:w="0" w:type="auto"/>
        <w:jc w:val="left"/>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793"/>
        <w:gridCol w:w="1045"/>
        <w:gridCol w:w="2108"/>
        <w:gridCol w:w="2106"/>
      </w:tblGrid>
      <w:tr>
        <w:trPr>
          <w:trHeight w:val="273" w:hRule="atLeast"/>
        </w:trPr>
        <w:tc>
          <w:tcPr>
            <w:tcW w:w="3793" w:type="dxa"/>
            <w:tcBorders>
              <w:bottom w:val="single" w:sz="4" w:space="0" w:color="000000"/>
              <w:right w:val="single" w:sz="4" w:space="0" w:color="000000"/>
            </w:tcBorders>
          </w:tcPr>
          <w:p>
            <w:pPr>
              <w:pStyle w:val="TableParagraph"/>
              <w:spacing w:line="250" w:lineRule="exact" w:before="3"/>
              <w:ind w:left="107"/>
              <w:rPr>
                <w:rFonts w:ascii="宋体" w:eastAsia="宋体" w:hint="eastAsia"/>
                <w:sz w:val="21"/>
              </w:rPr>
            </w:pPr>
            <w:r>
              <w:rPr>
                <w:rFonts w:ascii="宋体" w:eastAsia="宋体" w:hint="eastAsia"/>
                <w:w w:val="100"/>
                <w:sz w:val="21"/>
              </w:rPr>
              <w:t>额</w:t>
            </w:r>
          </w:p>
        </w:tc>
        <w:tc>
          <w:tcPr>
            <w:tcW w:w="1045" w:type="dxa"/>
            <w:tcBorders>
              <w:left w:val="single" w:sz="4" w:space="0" w:color="000000"/>
              <w:bottom w:val="single" w:sz="4" w:space="0" w:color="000000"/>
              <w:right w:val="single" w:sz="4" w:space="0" w:color="000000"/>
            </w:tcBorders>
          </w:tcPr>
          <w:p>
            <w:pPr>
              <w:pStyle w:val="TableParagraph"/>
              <w:rPr>
                <w:sz w:val="20"/>
              </w:rPr>
            </w:pPr>
          </w:p>
        </w:tc>
        <w:tc>
          <w:tcPr>
            <w:tcW w:w="2108" w:type="dxa"/>
            <w:tcBorders>
              <w:left w:val="single" w:sz="4" w:space="0" w:color="000000"/>
              <w:bottom w:val="single" w:sz="4" w:space="0" w:color="000000"/>
              <w:right w:val="single" w:sz="4" w:space="0" w:color="000000"/>
            </w:tcBorders>
          </w:tcPr>
          <w:p>
            <w:pPr>
              <w:pStyle w:val="TableParagraph"/>
              <w:rPr>
                <w:sz w:val="20"/>
              </w:rPr>
            </w:pPr>
          </w:p>
        </w:tc>
        <w:tc>
          <w:tcPr>
            <w:tcW w:w="2106" w:type="dxa"/>
            <w:tcBorders>
              <w:left w:val="single" w:sz="4" w:space="0" w:color="000000"/>
              <w:bottom w:val="single" w:sz="4" w:space="0" w:color="000000"/>
            </w:tcBorders>
          </w:tcPr>
          <w:p>
            <w:pPr>
              <w:pStyle w:val="TableParagraph"/>
              <w:rPr>
                <w:sz w:val="20"/>
              </w:rPr>
            </w:pP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3"/>
              <w:ind w:left="107"/>
              <w:rPr>
                <w:rFonts w:ascii="宋体" w:eastAsia="宋体" w:hint="eastAsia"/>
                <w:sz w:val="21"/>
              </w:rPr>
            </w:pPr>
            <w:r>
              <w:rPr>
                <w:rFonts w:ascii="宋体" w:eastAsia="宋体" w:hint="eastAsia"/>
                <w:sz w:val="21"/>
              </w:rPr>
              <w:t>八、每股收益：</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06"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right="943"/>
              <w:jc w:val="right"/>
              <w:rPr>
                <w:sz w:val="21"/>
              </w:rPr>
            </w:pPr>
            <w:r>
              <w:rPr>
                <w:rFonts w:ascii="宋体" w:eastAsia="宋体" w:hint="eastAsia"/>
                <w:sz w:val="21"/>
              </w:rPr>
              <w:t>（一）基本每股收益</w:t>
            </w:r>
            <w:r>
              <w:rPr>
                <w:sz w:val="21"/>
              </w:rPr>
              <w:t>(</w:t>
            </w:r>
            <w:r>
              <w:rPr>
                <w:rFonts w:ascii="宋体" w:eastAsia="宋体" w:hint="eastAsia"/>
                <w:sz w:val="21"/>
              </w:rPr>
              <w:t>元</w:t>
            </w:r>
            <w:r>
              <w:rPr>
                <w:sz w:val="21"/>
              </w:rPr>
              <w:t>/</w:t>
            </w:r>
            <w:r>
              <w:rPr>
                <w:rFonts w:ascii="宋体" w:eastAsia="宋体" w:hint="eastAsia"/>
                <w:sz w:val="21"/>
              </w:rPr>
              <w:t>股</w:t>
            </w:r>
            <w:r>
              <w:rPr>
                <w:sz w:val="21"/>
              </w:rPr>
              <w:t>)</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6"/>
              <w:rPr>
                <w:sz w:val="21"/>
              </w:rPr>
            </w:pPr>
            <w:r>
              <w:rPr>
                <w:rFonts w:ascii="宋体" w:eastAsia="宋体" w:hint="eastAsia"/>
                <w:sz w:val="21"/>
              </w:rPr>
              <w:t>十八、</w:t>
            </w:r>
            <w:r>
              <w:rPr>
                <w:sz w:val="21"/>
              </w:rPr>
              <w:t>1</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before="10"/>
              <w:ind w:right="86"/>
              <w:jc w:val="right"/>
              <w:rPr>
                <w:sz w:val="21"/>
              </w:rPr>
            </w:pPr>
            <w:r>
              <w:rPr>
                <w:sz w:val="21"/>
              </w:rPr>
              <w:t>1.337</w:t>
            </w:r>
          </w:p>
        </w:tc>
        <w:tc>
          <w:tcPr>
            <w:tcW w:w="2106" w:type="dxa"/>
            <w:tcBorders>
              <w:top w:val="single" w:sz="4" w:space="0" w:color="000000"/>
              <w:left w:val="single" w:sz="4" w:space="0" w:color="000000"/>
              <w:bottom w:val="single" w:sz="4" w:space="0" w:color="000000"/>
            </w:tcBorders>
          </w:tcPr>
          <w:p>
            <w:pPr>
              <w:pStyle w:val="TableParagraph"/>
              <w:spacing w:before="10"/>
              <w:ind w:right="76"/>
              <w:jc w:val="right"/>
              <w:rPr>
                <w:sz w:val="21"/>
              </w:rPr>
            </w:pPr>
            <w:r>
              <w:rPr>
                <w:sz w:val="21"/>
              </w:rPr>
              <w:t>1.286</w:t>
            </w:r>
          </w:p>
        </w:tc>
      </w:tr>
      <w:tr>
        <w:trPr>
          <w:trHeight w:val="270" w:hRule="atLeast"/>
        </w:trPr>
        <w:tc>
          <w:tcPr>
            <w:tcW w:w="3793" w:type="dxa"/>
            <w:tcBorders>
              <w:top w:val="single" w:sz="4" w:space="0" w:color="000000"/>
              <w:right w:val="single" w:sz="4" w:space="0" w:color="000000"/>
            </w:tcBorders>
          </w:tcPr>
          <w:p>
            <w:pPr>
              <w:pStyle w:val="TableParagraph"/>
              <w:spacing w:line="249" w:lineRule="exact" w:before="1"/>
              <w:ind w:right="943"/>
              <w:jc w:val="right"/>
              <w:rPr>
                <w:sz w:val="21"/>
              </w:rPr>
            </w:pPr>
            <w:r>
              <w:rPr>
                <w:rFonts w:ascii="宋体" w:eastAsia="宋体" w:hint="eastAsia"/>
                <w:sz w:val="21"/>
              </w:rPr>
              <w:t>（二）稀释每股收益</w:t>
            </w:r>
            <w:r>
              <w:rPr>
                <w:sz w:val="21"/>
              </w:rPr>
              <w:t>(</w:t>
            </w:r>
            <w:r>
              <w:rPr>
                <w:rFonts w:ascii="宋体" w:eastAsia="宋体" w:hint="eastAsia"/>
                <w:sz w:val="21"/>
              </w:rPr>
              <w:t>元</w:t>
            </w:r>
            <w:r>
              <w:rPr>
                <w:sz w:val="21"/>
              </w:rPr>
              <w:t>/</w:t>
            </w:r>
            <w:r>
              <w:rPr>
                <w:rFonts w:ascii="宋体" w:eastAsia="宋体" w:hint="eastAsia"/>
                <w:sz w:val="21"/>
              </w:rPr>
              <w:t>股</w:t>
            </w:r>
            <w:r>
              <w:rPr>
                <w:sz w:val="21"/>
              </w:rPr>
              <w:t>)</w:t>
            </w:r>
          </w:p>
        </w:tc>
        <w:tc>
          <w:tcPr>
            <w:tcW w:w="1045" w:type="dxa"/>
            <w:tcBorders>
              <w:top w:val="single" w:sz="4" w:space="0" w:color="000000"/>
              <w:left w:val="single" w:sz="4" w:space="0" w:color="000000"/>
              <w:right w:val="single" w:sz="4" w:space="0" w:color="000000"/>
            </w:tcBorders>
          </w:tcPr>
          <w:p>
            <w:pPr>
              <w:pStyle w:val="TableParagraph"/>
              <w:spacing w:line="249" w:lineRule="exact" w:before="1"/>
              <w:ind w:left="116"/>
              <w:rPr>
                <w:sz w:val="21"/>
              </w:rPr>
            </w:pPr>
            <w:r>
              <w:rPr>
                <w:rFonts w:ascii="宋体" w:eastAsia="宋体" w:hint="eastAsia"/>
                <w:sz w:val="21"/>
              </w:rPr>
              <w:t>十八、</w:t>
            </w:r>
            <w:r>
              <w:rPr>
                <w:sz w:val="21"/>
              </w:rPr>
              <w:t>1</w:t>
            </w:r>
          </w:p>
        </w:tc>
        <w:tc>
          <w:tcPr>
            <w:tcW w:w="2108" w:type="dxa"/>
            <w:tcBorders>
              <w:top w:val="single" w:sz="4" w:space="0" w:color="000000"/>
              <w:left w:val="single" w:sz="4" w:space="0" w:color="000000"/>
              <w:right w:val="single" w:sz="4" w:space="0" w:color="000000"/>
            </w:tcBorders>
          </w:tcPr>
          <w:p>
            <w:pPr>
              <w:pStyle w:val="TableParagraph"/>
              <w:spacing w:before="7"/>
              <w:ind w:right="86"/>
              <w:jc w:val="right"/>
              <w:rPr>
                <w:sz w:val="21"/>
              </w:rPr>
            </w:pPr>
            <w:r>
              <w:rPr>
                <w:sz w:val="21"/>
              </w:rPr>
              <w:t>1.306</w:t>
            </w:r>
          </w:p>
        </w:tc>
        <w:tc>
          <w:tcPr>
            <w:tcW w:w="2106" w:type="dxa"/>
            <w:tcBorders>
              <w:top w:val="single" w:sz="4" w:space="0" w:color="000000"/>
              <w:left w:val="single" w:sz="4" w:space="0" w:color="000000"/>
            </w:tcBorders>
          </w:tcPr>
          <w:p>
            <w:pPr>
              <w:pStyle w:val="TableParagraph"/>
              <w:spacing w:before="7"/>
              <w:ind w:right="76"/>
              <w:jc w:val="right"/>
              <w:rPr>
                <w:sz w:val="21"/>
              </w:rPr>
            </w:pPr>
            <w:r>
              <w:rPr>
                <w:sz w:val="21"/>
              </w:rPr>
              <w:t>1.191</w:t>
            </w:r>
          </w:p>
        </w:tc>
      </w:tr>
    </w:tbl>
    <w:p>
      <w:pPr>
        <w:pStyle w:val="BodyText"/>
        <w:spacing w:before="8"/>
        <w:rPr>
          <w:rFonts w:ascii="Times New Roman"/>
          <w:sz w:val="17"/>
        </w:rPr>
      </w:pPr>
    </w:p>
    <w:p>
      <w:pPr>
        <w:pStyle w:val="BodyText"/>
        <w:tabs>
          <w:tab w:pos="3288" w:val="left" w:leader="none"/>
          <w:tab w:pos="6440" w:val="left" w:leader="none"/>
        </w:tabs>
        <w:spacing w:before="72"/>
        <w:ind w:left="768"/>
      </w:pPr>
      <w:r>
        <w:rPr/>
        <w:t>法定</w:t>
      </w:r>
      <w:r>
        <w:rPr>
          <w:spacing w:val="-3"/>
        </w:rPr>
        <w:t>代</w:t>
      </w:r>
      <w:r>
        <w:rPr/>
        <w:t>表</w:t>
      </w:r>
      <w:r>
        <w:rPr>
          <w:spacing w:val="-3"/>
        </w:rPr>
        <w:t>人</w:t>
      </w:r>
      <w:r>
        <w:rPr/>
        <w:t>：</w:t>
      </w:r>
      <w:r>
        <w:rPr>
          <w:spacing w:val="-3"/>
        </w:rPr>
        <w:t>梁</w:t>
      </w:r>
      <w:r>
        <w:rPr/>
        <w:t>海山</w:t>
        <w:tab/>
        <w:t>主</w:t>
      </w:r>
      <w:r>
        <w:rPr>
          <w:spacing w:val="-3"/>
        </w:rPr>
        <w:t>管</w:t>
      </w:r>
      <w:r>
        <w:rPr/>
        <w:t>会</w:t>
      </w:r>
      <w:r>
        <w:rPr>
          <w:spacing w:val="-3"/>
        </w:rPr>
        <w:t>计</w:t>
      </w:r>
      <w:r>
        <w:rPr/>
        <w:t>工</w:t>
      </w:r>
      <w:r>
        <w:rPr>
          <w:spacing w:val="-3"/>
        </w:rPr>
        <w:t>作</w:t>
      </w:r>
      <w:r>
        <w:rPr/>
        <w:t>负</w:t>
      </w:r>
      <w:r>
        <w:rPr>
          <w:spacing w:val="-3"/>
        </w:rPr>
        <w:t>责</w:t>
      </w:r>
      <w:r>
        <w:rPr/>
        <w:t>人</w:t>
      </w:r>
      <w:r>
        <w:rPr>
          <w:spacing w:val="-3"/>
        </w:rPr>
        <w:t>：宫</w:t>
      </w:r>
      <w:r>
        <w:rPr/>
        <w:t>伟</w:t>
        <w:tab/>
      </w:r>
      <w:r>
        <w:rPr>
          <w:spacing w:val="-3"/>
        </w:rPr>
        <w:t>会</w:t>
      </w:r>
      <w:r>
        <w:rPr/>
        <w:t>计</w:t>
      </w:r>
      <w:r>
        <w:rPr>
          <w:spacing w:val="-3"/>
        </w:rPr>
        <w:t>机</w:t>
      </w:r>
      <w:r>
        <w:rPr/>
        <w:t>构</w:t>
      </w:r>
      <w:r>
        <w:rPr>
          <w:spacing w:val="-3"/>
        </w:rPr>
        <w:t>负</w:t>
      </w:r>
      <w:r>
        <w:rPr/>
        <w:t>责</w:t>
      </w:r>
      <w:r>
        <w:rPr>
          <w:spacing w:val="-3"/>
        </w:rPr>
        <w:t>人</w:t>
      </w:r>
      <w:r>
        <w:rPr/>
        <w:t>：应珂</w:t>
      </w:r>
    </w:p>
    <w:p>
      <w:pPr>
        <w:pStyle w:val="BodyText"/>
        <w:spacing w:before="2"/>
        <w:rPr>
          <w:sz w:val="18"/>
        </w:rPr>
      </w:pPr>
    </w:p>
    <w:p>
      <w:pPr>
        <w:pStyle w:val="Heading4"/>
        <w:spacing w:before="2"/>
        <w:ind w:left="0" w:right="75"/>
        <w:jc w:val="center"/>
      </w:pPr>
      <w:r>
        <w:rPr/>
        <w:t>母公司利润表</w:t>
      </w:r>
    </w:p>
    <w:p>
      <w:pPr>
        <w:pStyle w:val="BodyText"/>
        <w:spacing w:before="17"/>
        <w:ind w:right="72"/>
        <w:jc w:val="center"/>
      </w:pPr>
      <w:r>
        <w:rPr>
          <w:rFonts w:ascii="Times New Roman" w:hAnsi="Times New Roman" w:eastAsia="Times New Roman"/>
        </w:rPr>
        <w:t>2020 </w:t>
      </w:r>
      <w:r>
        <w:rPr/>
        <w:t>年 </w:t>
      </w:r>
      <w:r>
        <w:rPr>
          <w:rFonts w:ascii="Times New Roman" w:hAnsi="Times New Roman" w:eastAsia="Times New Roman"/>
        </w:rPr>
        <w:t>1—12 </w:t>
      </w:r>
      <w:r>
        <w:rPr/>
        <w:t>月</w:t>
      </w:r>
    </w:p>
    <w:p>
      <w:pPr>
        <w:pStyle w:val="BodyText"/>
        <w:tabs>
          <w:tab w:pos="900" w:val="left" w:leader="none"/>
        </w:tabs>
        <w:spacing w:before="2" w:after="4"/>
        <w:ind w:right="310"/>
        <w:jc w:val="right"/>
      </w:pPr>
      <w:r>
        <w:rPr/>
        <w:t>单位</w:t>
      </w:r>
      <w:r>
        <w:rPr>
          <w:rFonts w:ascii="Times New Roman" w:eastAsia="Times New Roman"/>
        </w:rPr>
        <w:t>:</w:t>
      </w:r>
      <w:r>
        <w:rPr/>
        <w:t>元</w:t>
        <w:tab/>
      </w:r>
      <w:r>
        <w:rPr>
          <w:spacing w:val="-3"/>
        </w:rPr>
        <w:t>币</w:t>
      </w:r>
      <w:r>
        <w:rPr>
          <w:spacing w:val="-1"/>
        </w:rPr>
        <w:t>种</w:t>
      </w:r>
      <w:r>
        <w:rPr>
          <w:rFonts w:ascii="Times New Roman" w:eastAsia="Times New Roman"/>
          <w:spacing w:val="-1"/>
        </w:rPr>
        <w:t>:</w:t>
      </w:r>
      <w:r>
        <w:rPr/>
        <w:t>人</w:t>
      </w:r>
      <w:r>
        <w:rPr>
          <w:spacing w:val="-3"/>
        </w:rPr>
        <w:t>民</w:t>
      </w:r>
      <w:r>
        <w:rPr/>
        <w:t>币</w:t>
      </w:r>
    </w:p>
    <w:tbl>
      <w:tblPr>
        <w:tblW w:w="0" w:type="auto"/>
        <w:jc w:val="left"/>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793"/>
        <w:gridCol w:w="997"/>
        <w:gridCol w:w="2247"/>
        <w:gridCol w:w="2015"/>
      </w:tblGrid>
      <w:tr>
        <w:trPr>
          <w:trHeight w:val="272" w:hRule="atLeast"/>
        </w:trPr>
        <w:tc>
          <w:tcPr>
            <w:tcW w:w="3793" w:type="dxa"/>
            <w:tcBorders>
              <w:bottom w:val="single" w:sz="4" w:space="0" w:color="000000"/>
              <w:right w:val="single" w:sz="4" w:space="0" w:color="000000"/>
            </w:tcBorders>
            <w:shd w:val="clear" w:color="auto" w:fill="EDEBE0"/>
          </w:tcPr>
          <w:p>
            <w:pPr>
              <w:pStyle w:val="TableParagraph"/>
              <w:spacing w:line="253" w:lineRule="exact"/>
              <w:ind w:left="1350" w:right="1373"/>
              <w:jc w:val="center"/>
              <w:rPr>
                <w:rFonts w:ascii="Microsoft JhengHei" w:eastAsia="Microsoft JhengHei" w:hint="eastAsia"/>
                <w:b/>
                <w:sz w:val="21"/>
              </w:rPr>
            </w:pPr>
            <w:r>
              <w:rPr>
                <w:rFonts w:ascii="Microsoft JhengHei" w:eastAsia="Microsoft JhengHei" w:hint="eastAsia"/>
                <w:b/>
                <w:sz w:val="21"/>
              </w:rPr>
              <w:t>项目</w:t>
            </w:r>
          </w:p>
        </w:tc>
        <w:tc>
          <w:tcPr>
            <w:tcW w:w="997" w:type="dxa"/>
            <w:tcBorders>
              <w:left w:val="single" w:sz="4" w:space="0" w:color="000000"/>
              <w:bottom w:val="single" w:sz="4" w:space="0" w:color="000000"/>
              <w:right w:val="single" w:sz="4" w:space="0" w:color="000000"/>
            </w:tcBorders>
            <w:shd w:val="clear" w:color="auto" w:fill="EDEBE0"/>
          </w:tcPr>
          <w:p>
            <w:pPr>
              <w:pStyle w:val="TableParagraph"/>
              <w:spacing w:line="253" w:lineRule="exact"/>
              <w:ind w:left="294"/>
              <w:rPr>
                <w:rFonts w:ascii="Microsoft JhengHei" w:eastAsia="Microsoft JhengHei" w:hint="eastAsia"/>
                <w:b/>
                <w:sz w:val="21"/>
              </w:rPr>
            </w:pPr>
            <w:r>
              <w:rPr>
                <w:rFonts w:ascii="Microsoft JhengHei" w:eastAsia="Microsoft JhengHei" w:hint="eastAsia"/>
                <w:b/>
                <w:sz w:val="21"/>
              </w:rPr>
              <w:t>附注</w:t>
            </w:r>
          </w:p>
        </w:tc>
        <w:tc>
          <w:tcPr>
            <w:tcW w:w="2247" w:type="dxa"/>
            <w:tcBorders>
              <w:left w:val="single" w:sz="4" w:space="0" w:color="000000"/>
              <w:bottom w:val="single" w:sz="4" w:space="0" w:color="000000"/>
              <w:right w:val="single" w:sz="4" w:space="0" w:color="000000"/>
            </w:tcBorders>
            <w:shd w:val="clear" w:color="auto" w:fill="EDEBE0"/>
          </w:tcPr>
          <w:p>
            <w:pPr>
              <w:pStyle w:val="TableParagraph"/>
              <w:spacing w:line="253" w:lineRule="exact"/>
              <w:ind w:left="682"/>
              <w:rPr>
                <w:rFonts w:ascii="Microsoft JhengHei" w:eastAsia="Microsoft JhengHei" w:hint="eastAsia"/>
                <w:b/>
                <w:sz w:val="21"/>
              </w:rPr>
            </w:pPr>
            <w:r>
              <w:rPr>
                <w:b/>
                <w:sz w:val="21"/>
              </w:rPr>
              <w:t>2020 </w:t>
            </w:r>
            <w:r>
              <w:rPr>
                <w:rFonts w:ascii="Microsoft JhengHei" w:eastAsia="Microsoft JhengHei" w:hint="eastAsia"/>
                <w:b/>
                <w:sz w:val="21"/>
              </w:rPr>
              <w:t>年度</w:t>
            </w:r>
          </w:p>
        </w:tc>
        <w:tc>
          <w:tcPr>
            <w:tcW w:w="2015" w:type="dxa"/>
            <w:tcBorders>
              <w:left w:val="single" w:sz="4" w:space="0" w:color="000000"/>
              <w:bottom w:val="single" w:sz="4" w:space="0" w:color="000000"/>
            </w:tcBorders>
            <w:shd w:val="clear" w:color="auto" w:fill="EDEBE0"/>
          </w:tcPr>
          <w:p>
            <w:pPr>
              <w:pStyle w:val="TableParagraph"/>
              <w:spacing w:line="253" w:lineRule="exact"/>
              <w:ind w:left="567"/>
              <w:rPr>
                <w:rFonts w:ascii="Microsoft JhengHei" w:eastAsia="Microsoft JhengHei" w:hint="eastAsia"/>
                <w:b/>
                <w:sz w:val="21"/>
              </w:rPr>
            </w:pPr>
            <w:r>
              <w:rPr>
                <w:b/>
                <w:sz w:val="21"/>
              </w:rPr>
              <w:t>2019 </w:t>
            </w:r>
            <w:r>
              <w:rPr>
                <w:rFonts w:ascii="Microsoft JhengHei" w:eastAsia="Microsoft JhengHei" w:hint="eastAsia"/>
                <w:b/>
                <w:sz w:val="21"/>
              </w:rPr>
              <w:t>年度</w:t>
            </w:r>
          </w:p>
        </w:tc>
      </w:tr>
      <w:tr>
        <w:trPr>
          <w:trHeight w:val="270"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1"/>
              <w:ind w:left="88"/>
              <w:rPr>
                <w:rFonts w:ascii="宋体" w:eastAsia="宋体" w:hint="eastAsia"/>
                <w:sz w:val="21"/>
              </w:rPr>
            </w:pPr>
            <w:r>
              <w:rPr>
                <w:rFonts w:ascii="宋体" w:eastAsia="宋体" w:hint="eastAsia"/>
                <w:sz w:val="21"/>
              </w:rPr>
              <w:t>一、营业收入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6"/>
              <w:rPr>
                <w:sz w:val="21"/>
              </w:rPr>
            </w:pPr>
            <w:r>
              <w:rPr>
                <w:rFonts w:ascii="宋体" w:eastAsia="宋体" w:hint="eastAsia"/>
                <w:sz w:val="21"/>
              </w:rPr>
              <w:t>十八、</w:t>
            </w:r>
            <w:r>
              <w:rPr>
                <w:sz w:val="21"/>
              </w:rPr>
              <w:t>4</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before="7"/>
              <w:ind w:right="85"/>
              <w:jc w:val="right"/>
              <w:rPr>
                <w:sz w:val="21"/>
              </w:rPr>
            </w:pPr>
            <w:r>
              <w:rPr>
                <w:sz w:val="21"/>
              </w:rPr>
              <w:t>7,367,641,013.39</w:t>
            </w:r>
          </w:p>
        </w:tc>
        <w:tc>
          <w:tcPr>
            <w:tcW w:w="2015" w:type="dxa"/>
            <w:tcBorders>
              <w:top w:val="single" w:sz="4" w:space="0" w:color="000000"/>
              <w:left w:val="single" w:sz="4" w:space="0" w:color="000000"/>
              <w:bottom w:val="single" w:sz="4" w:space="0" w:color="000000"/>
            </w:tcBorders>
          </w:tcPr>
          <w:p>
            <w:pPr>
              <w:pStyle w:val="TableParagraph"/>
              <w:spacing w:before="7"/>
              <w:ind w:right="76"/>
              <w:jc w:val="right"/>
              <w:rPr>
                <w:sz w:val="21"/>
              </w:rPr>
            </w:pPr>
            <w:r>
              <w:rPr>
                <w:sz w:val="21"/>
              </w:rPr>
              <w:t>6,637,855,488.62</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3"/>
              <w:ind w:left="318"/>
              <w:rPr>
                <w:rFonts w:ascii="宋体" w:eastAsia="宋体" w:hint="eastAsia"/>
                <w:sz w:val="21"/>
              </w:rPr>
            </w:pPr>
            <w:r>
              <w:rPr>
                <w:rFonts w:ascii="宋体" w:eastAsia="宋体" w:hint="eastAsia"/>
                <w:sz w:val="21"/>
              </w:rPr>
              <w:t>减：营业成本</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left="116"/>
              <w:rPr>
                <w:sz w:val="21"/>
              </w:rPr>
            </w:pPr>
            <w:r>
              <w:rPr>
                <w:rFonts w:ascii="宋体" w:eastAsia="宋体" w:hint="eastAsia"/>
                <w:sz w:val="21"/>
              </w:rPr>
              <w:t>十八、</w:t>
            </w:r>
            <w:r>
              <w:rPr>
                <w:sz w:val="21"/>
              </w:rPr>
              <w:t>4</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6,067,653,816.35</w:t>
            </w:r>
          </w:p>
        </w:tc>
        <w:tc>
          <w:tcPr>
            <w:tcW w:w="2015" w:type="dxa"/>
            <w:tcBorders>
              <w:top w:val="single" w:sz="4" w:space="0" w:color="000000"/>
              <w:left w:val="single" w:sz="4" w:space="0" w:color="000000"/>
              <w:bottom w:val="single" w:sz="4" w:space="0" w:color="000000"/>
            </w:tcBorders>
          </w:tcPr>
          <w:p>
            <w:pPr>
              <w:pStyle w:val="TableParagraph"/>
              <w:spacing w:before="10"/>
              <w:ind w:right="76"/>
              <w:jc w:val="right"/>
              <w:rPr>
                <w:sz w:val="21"/>
              </w:rPr>
            </w:pPr>
            <w:r>
              <w:rPr>
                <w:sz w:val="21"/>
              </w:rPr>
              <w:t>5,160,746,140.20</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738"/>
              <w:rPr>
                <w:rFonts w:ascii="宋体" w:eastAsia="宋体" w:hint="eastAsia"/>
                <w:sz w:val="21"/>
              </w:rPr>
            </w:pPr>
            <w:r>
              <w:rPr>
                <w:rFonts w:ascii="宋体" w:eastAsia="宋体" w:hint="eastAsia"/>
                <w:sz w:val="21"/>
              </w:rPr>
              <w:t>税金及附加</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16"/>
              <w:rPr>
                <w:rFonts w:ascii="宋体"/>
                <w:sz w:val="21"/>
              </w:rPr>
            </w:pPr>
            <w:r>
              <w:rPr>
                <w:rFonts w:ascii="宋体"/>
                <w:w w:val="100"/>
                <w:sz w:val="21"/>
              </w:rPr>
              <w:t> </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25,848,932.07</w:t>
            </w:r>
          </w:p>
        </w:tc>
        <w:tc>
          <w:tcPr>
            <w:tcW w:w="2015" w:type="dxa"/>
            <w:tcBorders>
              <w:top w:val="single" w:sz="4" w:space="0" w:color="000000"/>
              <w:left w:val="single" w:sz="4" w:space="0" w:color="000000"/>
              <w:bottom w:val="single" w:sz="4" w:space="0" w:color="000000"/>
            </w:tcBorders>
          </w:tcPr>
          <w:p>
            <w:pPr>
              <w:pStyle w:val="TableParagraph"/>
              <w:spacing w:before="10"/>
              <w:ind w:right="76"/>
              <w:jc w:val="right"/>
              <w:rPr>
                <w:sz w:val="21"/>
              </w:rPr>
            </w:pPr>
            <w:r>
              <w:rPr>
                <w:sz w:val="21"/>
              </w:rPr>
              <w:t>20,131,277.44</w:t>
            </w:r>
          </w:p>
        </w:tc>
      </w:tr>
      <w:tr>
        <w:trPr>
          <w:trHeight w:val="270"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1"/>
              <w:ind w:left="738"/>
              <w:rPr>
                <w:rFonts w:ascii="宋体" w:eastAsia="宋体" w:hint="eastAsia"/>
                <w:sz w:val="21"/>
              </w:rPr>
            </w:pPr>
            <w:r>
              <w:rPr>
                <w:rFonts w:ascii="宋体" w:eastAsia="宋体" w:hint="eastAsia"/>
                <w:sz w:val="21"/>
              </w:rPr>
              <w:t>销售费用</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16"/>
              <w:rPr>
                <w:rFonts w:ascii="宋体"/>
                <w:sz w:val="21"/>
              </w:rPr>
            </w:pPr>
            <w:r>
              <w:rPr>
                <w:rFonts w:ascii="宋体"/>
                <w:w w:val="100"/>
                <w:sz w:val="21"/>
              </w:rPr>
              <w:t> </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before="7"/>
              <w:ind w:right="85"/>
              <w:jc w:val="right"/>
              <w:rPr>
                <w:sz w:val="21"/>
              </w:rPr>
            </w:pPr>
            <w:r>
              <w:rPr>
                <w:sz w:val="21"/>
              </w:rPr>
              <w:t>395,396,033.18</w:t>
            </w:r>
          </w:p>
        </w:tc>
        <w:tc>
          <w:tcPr>
            <w:tcW w:w="2015" w:type="dxa"/>
            <w:tcBorders>
              <w:top w:val="single" w:sz="4" w:space="0" w:color="000000"/>
              <w:left w:val="single" w:sz="4" w:space="0" w:color="000000"/>
              <w:bottom w:val="single" w:sz="4" w:space="0" w:color="000000"/>
            </w:tcBorders>
          </w:tcPr>
          <w:p>
            <w:pPr>
              <w:pStyle w:val="TableParagraph"/>
              <w:spacing w:before="7"/>
              <w:ind w:right="76"/>
              <w:jc w:val="right"/>
              <w:rPr>
                <w:sz w:val="21"/>
              </w:rPr>
            </w:pPr>
            <w:r>
              <w:rPr>
                <w:sz w:val="21"/>
              </w:rPr>
              <w:t>387,604,103.39</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3"/>
              <w:ind w:left="738"/>
              <w:rPr>
                <w:rFonts w:ascii="宋体" w:eastAsia="宋体" w:hint="eastAsia"/>
                <w:sz w:val="21"/>
              </w:rPr>
            </w:pPr>
            <w:r>
              <w:rPr>
                <w:rFonts w:ascii="宋体" w:eastAsia="宋体" w:hint="eastAsia"/>
                <w:sz w:val="21"/>
              </w:rPr>
              <w:t>管理费用</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16"/>
              <w:rPr>
                <w:rFonts w:ascii="宋体"/>
                <w:sz w:val="21"/>
              </w:rPr>
            </w:pPr>
            <w:r>
              <w:rPr>
                <w:rFonts w:ascii="宋体"/>
                <w:w w:val="100"/>
                <w:sz w:val="21"/>
              </w:rPr>
              <w:t> </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308,014,697.80</w:t>
            </w:r>
          </w:p>
        </w:tc>
        <w:tc>
          <w:tcPr>
            <w:tcW w:w="2015" w:type="dxa"/>
            <w:tcBorders>
              <w:top w:val="single" w:sz="4" w:space="0" w:color="000000"/>
              <w:left w:val="single" w:sz="4" w:space="0" w:color="000000"/>
              <w:bottom w:val="single" w:sz="4" w:space="0" w:color="000000"/>
            </w:tcBorders>
          </w:tcPr>
          <w:p>
            <w:pPr>
              <w:pStyle w:val="TableParagraph"/>
              <w:spacing w:before="10"/>
              <w:ind w:right="76"/>
              <w:jc w:val="right"/>
              <w:rPr>
                <w:sz w:val="21"/>
              </w:rPr>
            </w:pPr>
            <w:r>
              <w:rPr>
                <w:sz w:val="21"/>
              </w:rPr>
              <w:t>498,482,577.37</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738"/>
              <w:rPr>
                <w:rFonts w:ascii="宋体" w:eastAsia="宋体" w:hint="eastAsia"/>
                <w:sz w:val="21"/>
              </w:rPr>
            </w:pPr>
            <w:r>
              <w:rPr>
                <w:rFonts w:ascii="宋体" w:eastAsia="宋体" w:hint="eastAsia"/>
                <w:sz w:val="21"/>
              </w:rPr>
              <w:t>研发费用</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16"/>
              <w:rPr>
                <w:rFonts w:ascii="宋体"/>
                <w:sz w:val="21"/>
              </w:rPr>
            </w:pPr>
            <w:r>
              <w:rPr>
                <w:rFonts w:ascii="宋体"/>
                <w:w w:val="100"/>
                <w:sz w:val="21"/>
              </w:rPr>
              <w:t> </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301,514,824.27</w:t>
            </w:r>
          </w:p>
        </w:tc>
        <w:tc>
          <w:tcPr>
            <w:tcW w:w="2015" w:type="dxa"/>
            <w:tcBorders>
              <w:top w:val="single" w:sz="4" w:space="0" w:color="000000"/>
              <w:left w:val="single" w:sz="4" w:space="0" w:color="000000"/>
              <w:bottom w:val="single" w:sz="4" w:space="0" w:color="000000"/>
            </w:tcBorders>
          </w:tcPr>
          <w:p>
            <w:pPr>
              <w:pStyle w:val="TableParagraph"/>
              <w:spacing w:before="10"/>
              <w:ind w:right="76"/>
              <w:jc w:val="right"/>
              <w:rPr>
                <w:sz w:val="21"/>
              </w:rPr>
            </w:pPr>
            <w:r>
              <w:rPr>
                <w:sz w:val="21"/>
              </w:rPr>
              <w:t>319,939,911.68</w:t>
            </w:r>
          </w:p>
        </w:tc>
      </w:tr>
      <w:tr>
        <w:trPr>
          <w:trHeight w:val="270"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1"/>
              <w:ind w:left="738"/>
              <w:rPr>
                <w:rFonts w:ascii="宋体" w:eastAsia="宋体" w:hint="eastAsia"/>
                <w:sz w:val="21"/>
              </w:rPr>
            </w:pPr>
            <w:r>
              <w:rPr>
                <w:rFonts w:ascii="宋体" w:eastAsia="宋体" w:hint="eastAsia"/>
                <w:sz w:val="21"/>
              </w:rPr>
              <w:t>财务费用</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16"/>
              <w:rPr>
                <w:rFonts w:ascii="宋体"/>
                <w:sz w:val="21"/>
              </w:rPr>
            </w:pPr>
            <w:r>
              <w:rPr>
                <w:rFonts w:ascii="宋体"/>
                <w:w w:val="100"/>
                <w:sz w:val="21"/>
              </w:rPr>
              <w:t> </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before="7"/>
              <w:ind w:right="85"/>
              <w:jc w:val="right"/>
              <w:rPr>
                <w:sz w:val="21"/>
              </w:rPr>
            </w:pPr>
            <w:r>
              <w:rPr>
                <w:sz w:val="21"/>
              </w:rPr>
              <w:t>40,412,640.04</w:t>
            </w:r>
          </w:p>
        </w:tc>
        <w:tc>
          <w:tcPr>
            <w:tcW w:w="2015" w:type="dxa"/>
            <w:tcBorders>
              <w:top w:val="single" w:sz="4" w:space="0" w:color="000000"/>
              <w:left w:val="single" w:sz="4" w:space="0" w:color="000000"/>
              <w:bottom w:val="single" w:sz="4" w:space="0" w:color="000000"/>
            </w:tcBorders>
          </w:tcPr>
          <w:p>
            <w:pPr>
              <w:pStyle w:val="TableParagraph"/>
              <w:spacing w:before="7"/>
              <w:ind w:right="76"/>
              <w:jc w:val="right"/>
              <w:rPr>
                <w:sz w:val="21"/>
              </w:rPr>
            </w:pPr>
            <w:r>
              <w:rPr>
                <w:sz w:val="21"/>
              </w:rPr>
              <w:t>122,106,293.64</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738"/>
              <w:rPr>
                <w:rFonts w:ascii="宋体" w:eastAsia="宋体" w:hint="eastAsia"/>
                <w:sz w:val="21"/>
              </w:rPr>
            </w:pPr>
            <w:r>
              <w:rPr>
                <w:rFonts w:ascii="宋体" w:eastAsia="宋体" w:hint="eastAsia"/>
                <w:sz w:val="21"/>
              </w:rPr>
              <w:t>其中：利息费用</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16"/>
              <w:rPr>
                <w:rFonts w:ascii="宋体"/>
                <w:sz w:val="21"/>
              </w:rPr>
            </w:pPr>
            <w:r>
              <w:rPr>
                <w:rFonts w:ascii="宋体"/>
                <w:w w:val="100"/>
                <w:sz w:val="21"/>
              </w:rPr>
              <w:t> </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96,677,861.04</w:t>
            </w:r>
          </w:p>
        </w:tc>
        <w:tc>
          <w:tcPr>
            <w:tcW w:w="2015" w:type="dxa"/>
            <w:tcBorders>
              <w:top w:val="single" w:sz="4" w:space="0" w:color="000000"/>
              <w:left w:val="single" w:sz="4" w:space="0" w:color="000000"/>
              <w:bottom w:val="single" w:sz="4" w:space="0" w:color="000000"/>
            </w:tcBorders>
          </w:tcPr>
          <w:p>
            <w:pPr>
              <w:pStyle w:val="TableParagraph"/>
              <w:spacing w:before="10"/>
              <w:ind w:right="76"/>
              <w:jc w:val="right"/>
              <w:rPr>
                <w:sz w:val="21"/>
              </w:rPr>
            </w:pPr>
            <w:r>
              <w:rPr>
                <w:sz w:val="21"/>
              </w:rPr>
              <w:t>166,897,467.02</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1350" w:right="1543"/>
              <w:jc w:val="center"/>
              <w:rPr>
                <w:rFonts w:ascii="宋体" w:eastAsia="宋体" w:hint="eastAsia"/>
                <w:sz w:val="21"/>
              </w:rPr>
            </w:pPr>
            <w:r>
              <w:rPr>
                <w:rFonts w:ascii="宋体" w:eastAsia="宋体" w:hint="eastAsia"/>
                <w:sz w:val="21"/>
              </w:rPr>
              <w:t>利息收入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16"/>
              <w:rPr>
                <w:rFonts w:ascii="宋体"/>
                <w:sz w:val="21"/>
              </w:rPr>
            </w:pPr>
            <w:r>
              <w:rPr>
                <w:rFonts w:ascii="宋体"/>
                <w:w w:val="100"/>
                <w:sz w:val="21"/>
              </w:rPr>
              <w:t> </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60,291,871.74</w:t>
            </w:r>
          </w:p>
        </w:tc>
        <w:tc>
          <w:tcPr>
            <w:tcW w:w="2015" w:type="dxa"/>
            <w:tcBorders>
              <w:top w:val="single" w:sz="4" w:space="0" w:color="000000"/>
              <w:left w:val="single" w:sz="4" w:space="0" w:color="000000"/>
              <w:bottom w:val="single" w:sz="4" w:space="0" w:color="000000"/>
            </w:tcBorders>
          </w:tcPr>
          <w:p>
            <w:pPr>
              <w:pStyle w:val="TableParagraph"/>
              <w:spacing w:before="10"/>
              <w:ind w:right="76"/>
              <w:jc w:val="right"/>
              <w:rPr>
                <w:sz w:val="21"/>
              </w:rPr>
            </w:pPr>
            <w:r>
              <w:rPr>
                <w:sz w:val="21"/>
              </w:rPr>
              <w:t>45,009,504.16</w:t>
            </w:r>
          </w:p>
        </w:tc>
      </w:tr>
      <w:tr>
        <w:trPr>
          <w:trHeight w:val="270"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加：其他收益</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16"/>
              <w:rPr>
                <w:rFonts w:ascii="宋体"/>
                <w:sz w:val="21"/>
              </w:rPr>
            </w:pPr>
            <w:r>
              <w:rPr>
                <w:rFonts w:ascii="宋体"/>
                <w:w w:val="100"/>
                <w:sz w:val="21"/>
              </w:rPr>
              <w:t> </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before="7"/>
              <w:ind w:right="85"/>
              <w:jc w:val="right"/>
              <w:rPr>
                <w:sz w:val="21"/>
              </w:rPr>
            </w:pPr>
            <w:r>
              <w:rPr>
                <w:sz w:val="21"/>
              </w:rPr>
              <w:t>57,446,351.54</w:t>
            </w:r>
          </w:p>
        </w:tc>
        <w:tc>
          <w:tcPr>
            <w:tcW w:w="2015" w:type="dxa"/>
            <w:tcBorders>
              <w:top w:val="single" w:sz="4" w:space="0" w:color="000000"/>
              <w:left w:val="single" w:sz="4" w:space="0" w:color="000000"/>
              <w:bottom w:val="single" w:sz="4" w:space="0" w:color="000000"/>
            </w:tcBorders>
          </w:tcPr>
          <w:p>
            <w:pPr>
              <w:pStyle w:val="TableParagraph"/>
              <w:spacing w:before="7"/>
              <w:ind w:right="76"/>
              <w:jc w:val="right"/>
              <w:rPr>
                <w:sz w:val="21"/>
              </w:rPr>
            </w:pPr>
            <w:r>
              <w:rPr>
                <w:sz w:val="21"/>
              </w:rPr>
              <w:t>94,265,388.14</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738"/>
              <w:rPr>
                <w:rFonts w:ascii="宋体" w:hAnsi="宋体" w:eastAsia="宋体" w:hint="eastAsia"/>
                <w:sz w:val="21"/>
              </w:rPr>
            </w:pPr>
            <w:r>
              <w:rPr>
                <w:rFonts w:ascii="宋体" w:hAnsi="宋体" w:eastAsia="宋体" w:hint="eastAsia"/>
                <w:sz w:val="21"/>
              </w:rPr>
              <w:t>投资收益（损失以</w:t>
            </w:r>
            <w:r>
              <w:rPr>
                <w:sz w:val="21"/>
              </w:rPr>
              <w:t>“</w:t>
            </w:r>
            <w:r>
              <w:rPr>
                <w:rFonts w:ascii="宋体" w:hAnsi="宋体" w:eastAsia="宋体" w:hint="eastAsia"/>
                <w:sz w:val="21"/>
              </w:rPr>
              <w:t>－</w:t>
            </w:r>
            <w:r>
              <w:rPr>
                <w:sz w:val="21"/>
              </w:rPr>
              <w:t>”</w:t>
            </w:r>
            <w:r>
              <w:rPr>
                <w:rFonts w:ascii="宋体" w:hAnsi="宋体" w:eastAsia="宋体" w:hint="eastAsia"/>
                <w:sz w:val="21"/>
              </w:rPr>
              <w:t>号填列）</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6"/>
              <w:rPr>
                <w:sz w:val="21"/>
              </w:rPr>
            </w:pPr>
            <w:r>
              <w:rPr>
                <w:rFonts w:ascii="宋体" w:eastAsia="宋体" w:hint="eastAsia"/>
                <w:sz w:val="21"/>
              </w:rPr>
              <w:t>十八、</w:t>
            </w:r>
            <w:r>
              <w:rPr>
                <w:sz w:val="21"/>
              </w:rPr>
              <w:t>5</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4,283,510,237.79</w:t>
            </w:r>
          </w:p>
        </w:tc>
        <w:tc>
          <w:tcPr>
            <w:tcW w:w="2015" w:type="dxa"/>
            <w:tcBorders>
              <w:top w:val="single" w:sz="4" w:space="0" w:color="000000"/>
              <w:left w:val="single" w:sz="4" w:space="0" w:color="000000"/>
              <w:bottom w:val="single" w:sz="4" w:space="0" w:color="000000"/>
            </w:tcBorders>
          </w:tcPr>
          <w:p>
            <w:pPr>
              <w:pStyle w:val="TableParagraph"/>
              <w:spacing w:before="10"/>
              <w:ind w:right="76"/>
              <w:jc w:val="right"/>
              <w:rPr>
                <w:sz w:val="21"/>
              </w:rPr>
            </w:pPr>
            <w:r>
              <w:rPr>
                <w:sz w:val="21"/>
              </w:rPr>
              <w:t>3,536,864,902.60</w:t>
            </w:r>
          </w:p>
        </w:tc>
      </w:tr>
      <w:tr>
        <w:trPr>
          <w:trHeight w:val="544" w:hRule="atLeast"/>
        </w:trPr>
        <w:tc>
          <w:tcPr>
            <w:tcW w:w="3793" w:type="dxa"/>
            <w:tcBorders>
              <w:top w:val="single" w:sz="4" w:space="0" w:color="000000"/>
              <w:bottom w:val="single" w:sz="4" w:space="0" w:color="000000"/>
              <w:right w:val="single" w:sz="4" w:space="0" w:color="000000"/>
            </w:tcBorders>
          </w:tcPr>
          <w:p>
            <w:pPr>
              <w:pStyle w:val="TableParagraph"/>
              <w:spacing w:before="1"/>
              <w:ind w:left="738"/>
              <w:rPr>
                <w:rFonts w:ascii="宋体" w:eastAsia="宋体" w:hint="eastAsia"/>
                <w:sz w:val="21"/>
              </w:rPr>
            </w:pPr>
            <w:r>
              <w:rPr>
                <w:rFonts w:ascii="宋体" w:eastAsia="宋体" w:hint="eastAsia"/>
                <w:sz w:val="21"/>
              </w:rPr>
              <w:t>其中：对联营企业和合营企业的</w:t>
            </w:r>
          </w:p>
          <w:p>
            <w:pPr>
              <w:pStyle w:val="TableParagraph"/>
              <w:spacing w:line="250" w:lineRule="exact" w:before="4"/>
              <w:ind w:left="107"/>
              <w:rPr>
                <w:rFonts w:ascii="宋体" w:eastAsia="宋体" w:hint="eastAsia"/>
                <w:sz w:val="21"/>
              </w:rPr>
            </w:pPr>
            <w:r>
              <w:rPr>
                <w:rFonts w:ascii="宋体" w:eastAsia="宋体" w:hint="eastAsia"/>
                <w:sz w:val="21"/>
              </w:rPr>
              <w:t>投资收益</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15" w:type="dxa"/>
            <w:tcBorders>
              <w:top w:val="single" w:sz="4" w:space="0" w:color="000000"/>
              <w:left w:val="single" w:sz="4" w:space="0" w:color="000000"/>
              <w:bottom w:val="single" w:sz="4" w:space="0" w:color="000000"/>
            </w:tcBorders>
          </w:tcPr>
          <w:p>
            <w:pPr>
              <w:pStyle w:val="TableParagraph"/>
              <w:rPr>
                <w:sz w:val="20"/>
              </w:rPr>
            </w:pPr>
          </w:p>
        </w:tc>
      </w:tr>
      <w:tr>
        <w:trPr>
          <w:trHeight w:val="544" w:hRule="atLeast"/>
        </w:trPr>
        <w:tc>
          <w:tcPr>
            <w:tcW w:w="3793" w:type="dxa"/>
            <w:tcBorders>
              <w:top w:val="single" w:sz="4" w:space="0" w:color="000000"/>
              <w:bottom w:val="single" w:sz="4" w:space="0" w:color="000000"/>
              <w:right w:val="single" w:sz="4" w:space="0" w:color="000000"/>
            </w:tcBorders>
          </w:tcPr>
          <w:p>
            <w:pPr>
              <w:pStyle w:val="TableParagraph"/>
              <w:spacing w:before="1"/>
              <w:ind w:left="1261"/>
              <w:rPr>
                <w:rFonts w:ascii="宋体" w:eastAsia="宋体" w:hint="eastAsia"/>
                <w:sz w:val="21"/>
              </w:rPr>
            </w:pPr>
            <w:r>
              <w:rPr>
                <w:rFonts w:ascii="宋体" w:eastAsia="宋体" w:hint="eastAsia"/>
                <w:sz w:val="21"/>
              </w:rPr>
              <w:t>以摊余成本计量的金融资</w:t>
            </w:r>
          </w:p>
          <w:p>
            <w:pPr>
              <w:pStyle w:val="TableParagraph"/>
              <w:spacing w:line="250" w:lineRule="exact" w:before="4"/>
              <w:ind w:left="107"/>
              <w:rPr>
                <w:rFonts w:ascii="宋体" w:eastAsia="宋体" w:hint="eastAsia"/>
                <w:sz w:val="21"/>
              </w:rPr>
            </w:pPr>
            <w:r>
              <w:rPr>
                <w:rFonts w:ascii="宋体" w:eastAsia="宋体" w:hint="eastAsia"/>
                <w:sz w:val="21"/>
              </w:rPr>
              <w:t>产终止确认收益</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15" w:type="dxa"/>
            <w:tcBorders>
              <w:top w:val="single" w:sz="4" w:space="0" w:color="000000"/>
              <w:left w:val="single" w:sz="4" w:space="0" w:color="000000"/>
              <w:bottom w:val="single" w:sz="4" w:space="0" w:color="000000"/>
            </w:tcBorders>
          </w:tcPr>
          <w:p>
            <w:pPr>
              <w:pStyle w:val="TableParagraph"/>
              <w:rPr>
                <w:sz w:val="20"/>
              </w:rPr>
            </w:pPr>
          </w:p>
        </w:tc>
      </w:tr>
      <w:tr>
        <w:trPr>
          <w:trHeight w:val="544" w:hRule="atLeast"/>
        </w:trPr>
        <w:tc>
          <w:tcPr>
            <w:tcW w:w="3793" w:type="dxa"/>
            <w:tcBorders>
              <w:top w:val="single" w:sz="4" w:space="0" w:color="000000"/>
              <w:bottom w:val="single" w:sz="4" w:space="0" w:color="000000"/>
              <w:right w:val="single" w:sz="4" w:space="0" w:color="000000"/>
            </w:tcBorders>
          </w:tcPr>
          <w:p>
            <w:pPr>
              <w:pStyle w:val="TableParagraph"/>
              <w:spacing w:before="1"/>
              <w:ind w:left="738"/>
              <w:rPr>
                <w:rFonts w:ascii="宋体" w:hAnsi="宋体" w:eastAsia="宋体" w:hint="eastAsia"/>
                <w:sz w:val="21"/>
              </w:rPr>
            </w:pPr>
            <w:r>
              <w:rPr>
                <w:rFonts w:ascii="宋体" w:hAnsi="宋体" w:eastAsia="宋体" w:hint="eastAsia"/>
                <w:sz w:val="21"/>
              </w:rPr>
              <w:t>净敞口套期收益（损失以</w:t>
            </w:r>
            <w:r>
              <w:rPr>
                <w:sz w:val="21"/>
              </w:rPr>
              <w:t>“-”</w:t>
            </w:r>
            <w:r>
              <w:rPr>
                <w:rFonts w:ascii="宋体" w:hAnsi="宋体" w:eastAsia="宋体" w:hint="eastAsia"/>
                <w:sz w:val="21"/>
              </w:rPr>
              <w:t>号填</w:t>
            </w:r>
          </w:p>
          <w:p>
            <w:pPr>
              <w:pStyle w:val="TableParagraph"/>
              <w:spacing w:line="250" w:lineRule="exact" w:before="4"/>
              <w:ind w:left="107"/>
              <w:rPr>
                <w:rFonts w:ascii="宋体" w:eastAsia="宋体" w:hint="eastAsia"/>
                <w:sz w:val="21"/>
              </w:rPr>
            </w:pPr>
            <w:r>
              <w:rPr>
                <w:rFonts w:ascii="宋体" w:eastAsia="宋体" w:hint="eastAsia"/>
                <w:sz w:val="21"/>
              </w:rPr>
              <w:t>列）</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15" w:type="dxa"/>
            <w:tcBorders>
              <w:top w:val="single" w:sz="4" w:space="0" w:color="000000"/>
              <w:left w:val="single" w:sz="4" w:space="0" w:color="000000"/>
              <w:bottom w:val="single" w:sz="4" w:space="0" w:color="000000"/>
            </w:tcBorders>
          </w:tcPr>
          <w:p>
            <w:pPr>
              <w:pStyle w:val="TableParagraph"/>
              <w:rPr>
                <w:sz w:val="20"/>
              </w:rPr>
            </w:pPr>
          </w:p>
        </w:tc>
      </w:tr>
      <w:tr>
        <w:trPr>
          <w:trHeight w:val="544" w:hRule="atLeast"/>
        </w:trPr>
        <w:tc>
          <w:tcPr>
            <w:tcW w:w="3793" w:type="dxa"/>
            <w:tcBorders>
              <w:top w:val="single" w:sz="4" w:space="0" w:color="000000"/>
              <w:bottom w:val="single" w:sz="4" w:space="0" w:color="000000"/>
              <w:right w:val="single" w:sz="4" w:space="0" w:color="000000"/>
            </w:tcBorders>
          </w:tcPr>
          <w:p>
            <w:pPr>
              <w:pStyle w:val="TableParagraph"/>
              <w:spacing w:before="1"/>
              <w:ind w:left="738"/>
              <w:rPr>
                <w:sz w:val="21"/>
              </w:rPr>
            </w:pPr>
            <w:r>
              <w:rPr>
                <w:rFonts w:ascii="宋体" w:hAnsi="宋体" w:eastAsia="宋体" w:hint="eastAsia"/>
                <w:sz w:val="21"/>
              </w:rPr>
              <w:t>公允价值变动收益（损失以</w:t>
            </w:r>
            <w:r>
              <w:rPr>
                <w:sz w:val="21"/>
              </w:rPr>
              <w:t>“</w:t>
            </w:r>
            <w:r>
              <w:rPr>
                <w:rFonts w:ascii="宋体" w:hAnsi="宋体" w:eastAsia="宋体" w:hint="eastAsia"/>
                <w:sz w:val="21"/>
              </w:rPr>
              <w:t>－</w:t>
            </w:r>
            <w:r>
              <w:rPr>
                <w:sz w:val="21"/>
              </w:rPr>
              <w:t>”</w:t>
            </w:r>
          </w:p>
          <w:p>
            <w:pPr>
              <w:pStyle w:val="TableParagraph"/>
              <w:spacing w:line="250" w:lineRule="exact" w:before="4"/>
              <w:ind w:left="107"/>
              <w:rPr>
                <w:rFonts w:ascii="宋体" w:eastAsia="宋体" w:hint="eastAsia"/>
                <w:sz w:val="21"/>
              </w:rPr>
            </w:pPr>
            <w:r>
              <w:rPr>
                <w:rFonts w:ascii="宋体" w:eastAsia="宋体" w:hint="eastAsia"/>
                <w:sz w:val="21"/>
              </w:rPr>
              <w:t>号填列）</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15" w:type="dxa"/>
            <w:tcBorders>
              <w:top w:val="single" w:sz="4" w:space="0" w:color="000000"/>
              <w:left w:val="single" w:sz="4" w:space="0" w:color="000000"/>
              <w:bottom w:val="single" w:sz="4" w:space="0" w:color="000000"/>
            </w:tcBorders>
          </w:tcPr>
          <w:p>
            <w:pPr>
              <w:pStyle w:val="TableParagraph"/>
              <w:rPr>
                <w:sz w:val="20"/>
              </w:rPr>
            </w:pPr>
          </w:p>
        </w:tc>
      </w:tr>
      <w:tr>
        <w:trPr>
          <w:trHeight w:val="544" w:hRule="atLeast"/>
        </w:trPr>
        <w:tc>
          <w:tcPr>
            <w:tcW w:w="3793" w:type="dxa"/>
            <w:tcBorders>
              <w:top w:val="single" w:sz="4" w:space="0" w:color="000000"/>
              <w:bottom w:val="single" w:sz="4" w:space="0" w:color="000000"/>
              <w:right w:val="single" w:sz="4" w:space="0" w:color="000000"/>
            </w:tcBorders>
          </w:tcPr>
          <w:p>
            <w:pPr>
              <w:pStyle w:val="TableParagraph"/>
              <w:spacing w:before="3"/>
              <w:ind w:left="738"/>
              <w:rPr>
                <w:rFonts w:ascii="宋体" w:hAnsi="宋体" w:eastAsia="宋体" w:hint="eastAsia"/>
                <w:sz w:val="21"/>
              </w:rPr>
            </w:pPr>
            <w:r>
              <w:rPr>
                <w:rFonts w:ascii="宋体" w:hAnsi="宋体" w:eastAsia="宋体" w:hint="eastAsia"/>
                <w:sz w:val="21"/>
              </w:rPr>
              <w:t>信用减值损失（损失以</w:t>
            </w:r>
            <w:r>
              <w:rPr>
                <w:sz w:val="21"/>
              </w:rPr>
              <w:t>“-”</w:t>
            </w:r>
            <w:r>
              <w:rPr>
                <w:rFonts w:ascii="宋体" w:hAnsi="宋体" w:eastAsia="宋体" w:hint="eastAsia"/>
                <w:sz w:val="21"/>
              </w:rPr>
              <w:t>号填</w:t>
            </w:r>
          </w:p>
          <w:p>
            <w:pPr>
              <w:pStyle w:val="TableParagraph"/>
              <w:spacing w:line="250" w:lineRule="exact" w:before="2"/>
              <w:ind w:left="107"/>
              <w:rPr>
                <w:rFonts w:ascii="宋体" w:eastAsia="宋体" w:hint="eastAsia"/>
                <w:sz w:val="21"/>
              </w:rPr>
            </w:pPr>
            <w:r>
              <w:rPr>
                <w:rFonts w:ascii="宋体" w:eastAsia="宋体" w:hint="eastAsia"/>
                <w:sz w:val="21"/>
              </w:rPr>
              <w:t>列）</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before="147"/>
              <w:ind w:right="85"/>
              <w:jc w:val="right"/>
              <w:rPr>
                <w:sz w:val="21"/>
              </w:rPr>
            </w:pPr>
            <w:r>
              <w:rPr>
                <w:sz w:val="21"/>
              </w:rPr>
              <w:t>363,022.59</w:t>
            </w:r>
          </w:p>
        </w:tc>
        <w:tc>
          <w:tcPr>
            <w:tcW w:w="2015" w:type="dxa"/>
            <w:tcBorders>
              <w:top w:val="single" w:sz="4" w:space="0" w:color="000000"/>
              <w:left w:val="single" w:sz="4" w:space="0" w:color="000000"/>
              <w:bottom w:val="single" w:sz="4" w:space="0" w:color="000000"/>
            </w:tcBorders>
          </w:tcPr>
          <w:p>
            <w:pPr>
              <w:pStyle w:val="TableParagraph"/>
              <w:spacing w:before="147"/>
              <w:ind w:right="76"/>
              <w:jc w:val="right"/>
              <w:rPr>
                <w:sz w:val="21"/>
              </w:rPr>
            </w:pPr>
            <w:r>
              <w:rPr>
                <w:sz w:val="21"/>
              </w:rPr>
              <w:t>383,369.58</w:t>
            </w:r>
          </w:p>
        </w:tc>
      </w:tr>
      <w:tr>
        <w:trPr>
          <w:trHeight w:val="546" w:hRule="atLeast"/>
        </w:trPr>
        <w:tc>
          <w:tcPr>
            <w:tcW w:w="3793" w:type="dxa"/>
            <w:tcBorders>
              <w:top w:val="single" w:sz="4" w:space="0" w:color="000000"/>
              <w:bottom w:val="single" w:sz="4" w:space="0" w:color="000000"/>
              <w:right w:val="single" w:sz="4" w:space="0" w:color="000000"/>
            </w:tcBorders>
          </w:tcPr>
          <w:p>
            <w:pPr>
              <w:pStyle w:val="TableParagraph"/>
              <w:spacing w:before="3"/>
              <w:ind w:left="738"/>
              <w:rPr>
                <w:rFonts w:ascii="宋体" w:hAnsi="宋体" w:eastAsia="宋体" w:hint="eastAsia"/>
                <w:sz w:val="21"/>
              </w:rPr>
            </w:pPr>
            <w:r>
              <w:rPr>
                <w:rFonts w:ascii="宋体" w:hAnsi="宋体" w:eastAsia="宋体" w:hint="eastAsia"/>
                <w:sz w:val="21"/>
              </w:rPr>
              <w:t>资产减值损失（损失以</w:t>
            </w:r>
            <w:r>
              <w:rPr>
                <w:sz w:val="21"/>
              </w:rPr>
              <w:t>“-”</w:t>
            </w:r>
            <w:r>
              <w:rPr>
                <w:rFonts w:ascii="宋体" w:hAnsi="宋体" w:eastAsia="宋体" w:hint="eastAsia"/>
                <w:sz w:val="21"/>
              </w:rPr>
              <w:t>号填</w:t>
            </w:r>
          </w:p>
          <w:p>
            <w:pPr>
              <w:pStyle w:val="TableParagraph"/>
              <w:spacing w:line="252" w:lineRule="exact" w:before="2"/>
              <w:ind w:left="107"/>
              <w:rPr>
                <w:rFonts w:ascii="宋体" w:eastAsia="宋体" w:hint="eastAsia"/>
                <w:sz w:val="21"/>
              </w:rPr>
            </w:pPr>
            <w:r>
              <w:rPr>
                <w:rFonts w:ascii="宋体" w:eastAsia="宋体" w:hint="eastAsia"/>
                <w:sz w:val="21"/>
              </w:rPr>
              <w:t>列）</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before="147"/>
              <w:ind w:right="85"/>
              <w:jc w:val="right"/>
              <w:rPr>
                <w:sz w:val="21"/>
              </w:rPr>
            </w:pPr>
            <w:r>
              <w:rPr>
                <w:sz w:val="21"/>
              </w:rPr>
              <w:t>-41,019,305.94</w:t>
            </w:r>
          </w:p>
        </w:tc>
        <w:tc>
          <w:tcPr>
            <w:tcW w:w="2015" w:type="dxa"/>
            <w:tcBorders>
              <w:top w:val="single" w:sz="4" w:space="0" w:color="000000"/>
              <w:left w:val="single" w:sz="4" w:space="0" w:color="000000"/>
              <w:bottom w:val="single" w:sz="4" w:space="0" w:color="000000"/>
            </w:tcBorders>
          </w:tcPr>
          <w:p>
            <w:pPr>
              <w:pStyle w:val="TableParagraph"/>
              <w:spacing w:before="147"/>
              <w:ind w:right="76"/>
              <w:jc w:val="right"/>
              <w:rPr>
                <w:sz w:val="21"/>
              </w:rPr>
            </w:pPr>
            <w:r>
              <w:rPr>
                <w:sz w:val="21"/>
              </w:rPr>
              <w:t>-51,400,268.37</w:t>
            </w:r>
          </w:p>
        </w:tc>
      </w:tr>
      <w:tr>
        <w:trPr>
          <w:trHeight w:val="544" w:hRule="atLeast"/>
        </w:trPr>
        <w:tc>
          <w:tcPr>
            <w:tcW w:w="3793" w:type="dxa"/>
            <w:tcBorders>
              <w:top w:val="single" w:sz="4" w:space="0" w:color="000000"/>
              <w:bottom w:val="single" w:sz="4" w:space="0" w:color="000000"/>
              <w:right w:val="single" w:sz="4" w:space="0" w:color="000000"/>
            </w:tcBorders>
          </w:tcPr>
          <w:p>
            <w:pPr>
              <w:pStyle w:val="TableParagraph"/>
              <w:spacing w:before="1"/>
              <w:ind w:left="738"/>
              <w:rPr>
                <w:rFonts w:ascii="宋体" w:hAnsi="宋体" w:eastAsia="宋体" w:hint="eastAsia"/>
                <w:sz w:val="21"/>
              </w:rPr>
            </w:pPr>
            <w:r>
              <w:rPr>
                <w:rFonts w:ascii="宋体" w:hAnsi="宋体" w:eastAsia="宋体" w:hint="eastAsia"/>
                <w:sz w:val="21"/>
              </w:rPr>
              <w:t>资产处置收益（损失以</w:t>
            </w:r>
            <w:r>
              <w:rPr>
                <w:sz w:val="21"/>
              </w:rPr>
              <w:t>“</w:t>
            </w:r>
            <w:r>
              <w:rPr>
                <w:rFonts w:ascii="宋体" w:hAnsi="宋体" w:eastAsia="宋体" w:hint="eastAsia"/>
                <w:sz w:val="21"/>
              </w:rPr>
              <w:t>－</w:t>
            </w:r>
            <w:r>
              <w:rPr>
                <w:sz w:val="21"/>
              </w:rPr>
              <w:t>”</w:t>
            </w:r>
            <w:r>
              <w:rPr>
                <w:rFonts w:ascii="宋体" w:hAnsi="宋体" w:eastAsia="宋体" w:hint="eastAsia"/>
                <w:sz w:val="21"/>
              </w:rPr>
              <w:t>号填</w:t>
            </w:r>
          </w:p>
          <w:p>
            <w:pPr>
              <w:pStyle w:val="TableParagraph"/>
              <w:spacing w:line="252" w:lineRule="exact" w:before="2"/>
              <w:ind w:left="107"/>
              <w:rPr>
                <w:rFonts w:ascii="宋体" w:eastAsia="宋体" w:hint="eastAsia"/>
                <w:sz w:val="21"/>
              </w:rPr>
            </w:pPr>
            <w:r>
              <w:rPr>
                <w:rFonts w:ascii="宋体" w:eastAsia="宋体" w:hint="eastAsia"/>
                <w:sz w:val="21"/>
              </w:rPr>
              <w:t>列）</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15" w:type="dxa"/>
            <w:tcBorders>
              <w:top w:val="single" w:sz="4" w:space="0" w:color="000000"/>
              <w:left w:val="single" w:sz="4" w:space="0" w:color="000000"/>
              <w:bottom w:val="single" w:sz="4" w:space="0" w:color="000000"/>
            </w:tcBorders>
          </w:tcPr>
          <w:p>
            <w:pPr>
              <w:pStyle w:val="TableParagraph"/>
              <w:spacing w:before="144"/>
              <w:ind w:right="76"/>
              <w:jc w:val="right"/>
              <w:rPr>
                <w:sz w:val="21"/>
              </w:rPr>
            </w:pPr>
            <w:r>
              <w:rPr>
                <w:sz w:val="21"/>
              </w:rPr>
              <w:t>61,268.03</w:t>
            </w:r>
          </w:p>
        </w:tc>
      </w:tr>
      <w:tr>
        <w:trPr>
          <w:trHeight w:val="270"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1"/>
              <w:ind w:left="88"/>
              <w:rPr>
                <w:rFonts w:ascii="宋体" w:hAnsi="宋体" w:eastAsia="宋体" w:hint="eastAsia"/>
                <w:sz w:val="21"/>
              </w:rPr>
            </w:pPr>
            <w:r>
              <w:rPr>
                <w:rFonts w:ascii="宋体" w:hAnsi="宋体" w:eastAsia="宋体" w:hint="eastAsia"/>
                <w:sz w:val="21"/>
              </w:rPr>
              <w:t>二、营业利润（亏损以</w:t>
            </w:r>
            <w:r>
              <w:rPr>
                <w:sz w:val="21"/>
              </w:rPr>
              <w:t>“</w:t>
            </w:r>
            <w:r>
              <w:rPr>
                <w:rFonts w:ascii="宋体" w:hAnsi="宋体" w:eastAsia="宋体" w:hint="eastAsia"/>
                <w:sz w:val="21"/>
              </w:rPr>
              <w:t>－</w:t>
            </w:r>
            <w:r>
              <w:rPr>
                <w:sz w:val="21"/>
              </w:rPr>
              <w:t>”</w:t>
            </w:r>
            <w:r>
              <w:rPr>
                <w:rFonts w:ascii="宋体" w:hAnsi="宋体" w:eastAsia="宋体" w:hint="eastAsia"/>
                <w:sz w:val="21"/>
              </w:rPr>
              <w:t>号填列）</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before="7"/>
              <w:ind w:right="85"/>
              <w:jc w:val="right"/>
              <w:rPr>
                <w:sz w:val="21"/>
              </w:rPr>
            </w:pPr>
            <w:r>
              <w:rPr>
                <w:sz w:val="21"/>
              </w:rPr>
              <w:t>4,529,100,375.66</w:t>
            </w:r>
          </w:p>
        </w:tc>
        <w:tc>
          <w:tcPr>
            <w:tcW w:w="2015" w:type="dxa"/>
            <w:tcBorders>
              <w:top w:val="single" w:sz="4" w:space="0" w:color="000000"/>
              <w:left w:val="single" w:sz="4" w:space="0" w:color="000000"/>
              <w:bottom w:val="single" w:sz="4" w:space="0" w:color="000000"/>
            </w:tcBorders>
          </w:tcPr>
          <w:p>
            <w:pPr>
              <w:pStyle w:val="TableParagraph"/>
              <w:spacing w:before="7"/>
              <w:ind w:right="76"/>
              <w:jc w:val="right"/>
              <w:rPr>
                <w:sz w:val="21"/>
              </w:rPr>
            </w:pPr>
            <w:r>
              <w:rPr>
                <w:sz w:val="21"/>
              </w:rPr>
              <w:t>3,709,019,844.88</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3"/>
              <w:ind w:left="318"/>
              <w:rPr>
                <w:rFonts w:ascii="宋体" w:eastAsia="宋体" w:hint="eastAsia"/>
                <w:sz w:val="21"/>
              </w:rPr>
            </w:pPr>
            <w:r>
              <w:rPr>
                <w:rFonts w:ascii="宋体" w:eastAsia="宋体" w:hint="eastAsia"/>
                <w:sz w:val="21"/>
              </w:rPr>
              <w:t>加：营业外收入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816,497.38</w:t>
            </w:r>
          </w:p>
        </w:tc>
        <w:tc>
          <w:tcPr>
            <w:tcW w:w="2015" w:type="dxa"/>
            <w:tcBorders>
              <w:top w:val="single" w:sz="4" w:space="0" w:color="000000"/>
              <w:left w:val="single" w:sz="4" w:space="0" w:color="000000"/>
              <w:bottom w:val="single" w:sz="4" w:space="0" w:color="000000"/>
            </w:tcBorders>
          </w:tcPr>
          <w:p>
            <w:pPr>
              <w:pStyle w:val="TableParagraph"/>
              <w:spacing w:before="10"/>
              <w:ind w:right="76"/>
              <w:jc w:val="right"/>
              <w:rPr>
                <w:sz w:val="21"/>
              </w:rPr>
            </w:pPr>
            <w:r>
              <w:rPr>
                <w:sz w:val="21"/>
              </w:rPr>
              <w:t>9,474,684.80</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减：营业外支出</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1,544,188.81</w:t>
            </w:r>
          </w:p>
        </w:tc>
        <w:tc>
          <w:tcPr>
            <w:tcW w:w="2015" w:type="dxa"/>
            <w:tcBorders>
              <w:top w:val="single" w:sz="4" w:space="0" w:color="000000"/>
              <w:left w:val="single" w:sz="4" w:space="0" w:color="000000"/>
              <w:bottom w:val="single" w:sz="4" w:space="0" w:color="000000"/>
            </w:tcBorders>
          </w:tcPr>
          <w:p>
            <w:pPr>
              <w:pStyle w:val="TableParagraph"/>
              <w:spacing w:before="10"/>
              <w:ind w:right="76"/>
              <w:jc w:val="right"/>
              <w:rPr>
                <w:sz w:val="21"/>
              </w:rPr>
            </w:pPr>
            <w:r>
              <w:rPr>
                <w:sz w:val="21"/>
              </w:rPr>
              <w:t>3,019,024.42</w:t>
            </w:r>
          </w:p>
        </w:tc>
      </w:tr>
      <w:tr>
        <w:trPr>
          <w:trHeight w:val="270"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1"/>
              <w:ind w:left="88" w:right="-29"/>
              <w:rPr>
                <w:rFonts w:ascii="宋体" w:hAnsi="宋体" w:eastAsia="宋体" w:hint="eastAsia"/>
                <w:sz w:val="21"/>
              </w:rPr>
            </w:pPr>
            <w:r>
              <w:rPr>
                <w:rFonts w:ascii="宋体" w:hAnsi="宋体" w:eastAsia="宋体" w:hint="eastAsia"/>
                <w:spacing w:val="-12"/>
                <w:sz w:val="21"/>
              </w:rPr>
              <w:t>三、利润总额</w:t>
            </w:r>
            <w:r>
              <w:rPr>
                <w:rFonts w:ascii="宋体" w:hAnsi="宋体" w:eastAsia="宋体" w:hint="eastAsia"/>
                <w:sz w:val="21"/>
              </w:rPr>
              <w:t>（</w:t>
            </w:r>
            <w:r>
              <w:rPr>
                <w:rFonts w:ascii="宋体" w:hAnsi="宋体" w:eastAsia="宋体" w:hint="eastAsia"/>
                <w:spacing w:val="-3"/>
                <w:sz w:val="21"/>
              </w:rPr>
              <w:t>亏损总额以</w:t>
            </w:r>
            <w:r>
              <w:rPr>
                <w:sz w:val="21"/>
              </w:rPr>
              <w:t>“</w:t>
            </w:r>
            <w:r>
              <w:rPr>
                <w:rFonts w:ascii="宋体" w:hAnsi="宋体" w:eastAsia="宋体" w:hint="eastAsia"/>
                <w:sz w:val="21"/>
              </w:rPr>
              <w:t>－</w:t>
            </w:r>
            <w:r>
              <w:rPr>
                <w:sz w:val="21"/>
              </w:rPr>
              <w:t>”</w:t>
            </w:r>
            <w:r>
              <w:rPr>
                <w:rFonts w:ascii="宋体" w:hAnsi="宋体" w:eastAsia="宋体" w:hint="eastAsia"/>
                <w:spacing w:val="-2"/>
                <w:sz w:val="21"/>
              </w:rPr>
              <w:t>号填列</w:t>
            </w:r>
            <w:r>
              <w:rPr>
                <w:rFonts w:ascii="宋体" w:hAnsi="宋体" w:eastAsia="宋体" w:hint="eastAsia"/>
                <w:sz w:val="21"/>
              </w:rPr>
              <w:t>）</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before="7"/>
              <w:ind w:right="85"/>
              <w:jc w:val="right"/>
              <w:rPr>
                <w:sz w:val="21"/>
              </w:rPr>
            </w:pPr>
            <w:r>
              <w:rPr>
                <w:sz w:val="21"/>
              </w:rPr>
              <w:t>4,528,372,684.23</w:t>
            </w:r>
          </w:p>
        </w:tc>
        <w:tc>
          <w:tcPr>
            <w:tcW w:w="2015" w:type="dxa"/>
            <w:tcBorders>
              <w:top w:val="single" w:sz="4" w:space="0" w:color="000000"/>
              <w:left w:val="single" w:sz="4" w:space="0" w:color="000000"/>
              <w:bottom w:val="single" w:sz="4" w:space="0" w:color="000000"/>
            </w:tcBorders>
          </w:tcPr>
          <w:p>
            <w:pPr>
              <w:pStyle w:val="TableParagraph"/>
              <w:spacing w:before="7"/>
              <w:ind w:right="76"/>
              <w:jc w:val="right"/>
              <w:rPr>
                <w:sz w:val="21"/>
              </w:rPr>
            </w:pPr>
            <w:r>
              <w:rPr>
                <w:sz w:val="21"/>
              </w:rPr>
              <w:t>3,715,475,505.26</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508"/>
              <w:rPr>
                <w:rFonts w:ascii="宋体" w:eastAsia="宋体" w:hint="eastAsia"/>
                <w:sz w:val="21"/>
              </w:rPr>
            </w:pPr>
            <w:r>
              <w:rPr>
                <w:rFonts w:ascii="宋体" w:eastAsia="宋体" w:hint="eastAsia"/>
                <w:sz w:val="21"/>
              </w:rPr>
              <w:t>减：所得税费用</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628,301,342.84</w:t>
            </w:r>
          </w:p>
        </w:tc>
        <w:tc>
          <w:tcPr>
            <w:tcW w:w="2015" w:type="dxa"/>
            <w:tcBorders>
              <w:top w:val="single" w:sz="4" w:space="0" w:color="000000"/>
              <w:left w:val="single" w:sz="4" w:space="0" w:color="000000"/>
              <w:bottom w:val="single" w:sz="4" w:space="0" w:color="000000"/>
            </w:tcBorders>
          </w:tcPr>
          <w:p>
            <w:pPr>
              <w:pStyle w:val="TableParagraph"/>
              <w:spacing w:before="10"/>
              <w:ind w:right="76"/>
              <w:jc w:val="right"/>
              <w:rPr>
                <w:sz w:val="21"/>
              </w:rPr>
            </w:pPr>
            <w:r>
              <w:rPr>
                <w:sz w:val="21"/>
              </w:rPr>
              <w:t>45,214,621.71</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88"/>
              <w:rPr>
                <w:rFonts w:ascii="宋体" w:hAnsi="宋体" w:eastAsia="宋体" w:hint="eastAsia"/>
                <w:sz w:val="21"/>
              </w:rPr>
            </w:pPr>
            <w:r>
              <w:rPr>
                <w:rFonts w:ascii="宋体" w:hAnsi="宋体" w:eastAsia="宋体" w:hint="eastAsia"/>
                <w:sz w:val="21"/>
              </w:rPr>
              <w:t>四、净利润（净亏损以</w:t>
            </w:r>
            <w:r>
              <w:rPr>
                <w:sz w:val="21"/>
              </w:rPr>
              <w:t>“</w:t>
            </w:r>
            <w:r>
              <w:rPr>
                <w:rFonts w:ascii="宋体" w:hAnsi="宋体" w:eastAsia="宋体" w:hint="eastAsia"/>
                <w:sz w:val="21"/>
              </w:rPr>
              <w:t>－</w:t>
            </w:r>
            <w:r>
              <w:rPr>
                <w:sz w:val="21"/>
              </w:rPr>
              <w:t>”</w:t>
            </w:r>
            <w:r>
              <w:rPr>
                <w:rFonts w:ascii="宋体" w:hAnsi="宋体" w:eastAsia="宋体" w:hint="eastAsia"/>
                <w:sz w:val="21"/>
              </w:rPr>
              <w:t>号填列）</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3,900,071,341.39</w:t>
            </w:r>
          </w:p>
        </w:tc>
        <w:tc>
          <w:tcPr>
            <w:tcW w:w="2015" w:type="dxa"/>
            <w:tcBorders>
              <w:top w:val="single" w:sz="4" w:space="0" w:color="000000"/>
              <w:left w:val="single" w:sz="4" w:space="0" w:color="000000"/>
              <w:bottom w:val="single" w:sz="4" w:space="0" w:color="000000"/>
            </w:tcBorders>
          </w:tcPr>
          <w:p>
            <w:pPr>
              <w:pStyle w:val="TableParagraph"/>
              <w:spacing w:before="10"/>
              <w:ind w:right="76"/>
              <w:jc w:val="right"/>
              <w:rPr>
                <w:sz w:val="21"/>
              </w:rPr>
            </w:pPr>
            <w:r>
              <w:rPr>
                <w:sz w:val="21"/>
              </w:rPr>
              <w:t>3,670,260,883.55</w:t>
            </w:r>
          </w:p>
        </w:tc>
      </w:tr>
      <w:tr>
        <w:trPr>
          <w:trHeight w:val="544" w:hRule="atLeast"/>
        </w:trPr>
        <w:tc>
          <w:tcPr>
            <w:tcW w:w="3793" w:type="dxa"/>
            <w:tcBorders>
              <w:top w:val="single" w:sz="4" w:space="0" w:color="000000"/>
              <w:bottom w:val="single" w:sz="4" w:space="0" w:color="000000"/>
              <w:right w:val="single" w:sz="4" w:space="0" w:color="000000"/>
            </w:tcBorders>
          </w:tcPr>
          <w:p>
            <w:pPr>
              <w:pStyle w:val="TableParagraph"/>
              <w:spacing w:before="1"/>
              <w:ind w:left="335"/>
              <w:rPr>
                <w:sz w:val="21"/>
              </w:rPr>
            </w:pPr>
            <w:r>
              <w:rPr>
                <w:rFonts w:ascii="宋体" w:hAnsi="宋体" w:eastAsia="宋体" w:hint="eastAsia"/>
                <w:sz w:val="21"/>
              </w:rPr>
              <w:t>（一</w:t>
            </w:r>
            <w:r>
              <w:rPr>
                <w:rFonts w:ascii="宋体" w:hAnsi="宋体" w:eastAsia="宋体" w:hint="eastAsia"/>
                <w:spacing w:val="-101"/>
                <w:sz w:val="21"/>
              </w:rPr>
              <w:t>）</w:t>
            </w:r>
            <w:r>
              <w:rPr>
                <w:rFonts w:ascii="宋体" w:hAnsi="宋体" w:eastAsia="宋体" w:hint="eastAsia"/>
                <w:spacing w:val="-17"/>
                <w:sz w:val="21"/>
              </w:rPr>
              <w:t>持续经营净利润</w:t>
            </w:r>
            <w:r>
              <w:rPr>
                <w:rFonts w:ascii="宋体" w:hAnsi="宋体" w:eastAsia="宋体" w:hint="eastAsia"/>
                <w:spacing w:val="-3"/>
                <w:sz w:val="21"/>
              </w:rPr>
              <w:t>（净亏损以</w:t>
            </w:r>
            <w:r>
              <w:rPr>
                <w:sz w:val="21"/>
              </w:rPr>
              <w:t>“</w:t>
            </w:r>
            <w:r>
              <w:rPr>
                <w:rFonts w:ascii="宋体" w:hAnsi="宋体" w:eastAsia="宋体" w:hint="eastAsia"/>
                <w:sz w:val="21"/>
              </w:rPr>
              <w:t>－</w:t>
            </w:r>
            <w:r>
              <w:rPr>
                <w:sz w:val="21"/>
              </w:rPr>
              <w:t>”</w:t>
            </w:r>
          </w:p>
          <w:p>
            <w:pPr>
              <w:pStyle w:val="TableParagraph"/>
              <w:spacing w:line="252" w:lineRule="exact" w:before="2"/>
              <w:ind w:left="107"/>
              <w:rPr>
                <w:rFonts w:ascii="宋体" w:eastAsia="宋体" w:hint="eastAsia"/>
                <w:sz w:val="21"/>
              </w:rPr>
            </w:pPr>
            <w:r>
              <w:rPr>
                <w:rFonts w:ascii="宋体" w:eastAsia="宋体" w:hint="eastAsia"/>
                <w:sz w:val="21"/>
              </w:rPr>
              <w:t>号填列）</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before="144"/>
              <w:ind w:right="85"/>
              <w:jc w:val="right"/>
              <w:rPr>
                <w:sz w:val="21"/>
              </w:rPr>
            </w:pPr>
            <w:r>
              <w:rPr>
                <w:sz w:val="21"/>
              </w:rPr>
              <w:t>3,900,071,341.39</w:t>
            </w:r>
          </w:p>
        </w:tc>
        <w:tc>
          <w:tcPr>
            <w:tcW w:w="2015" w:type="dxa"/>
            <w:tcBorders>
              <w:top w:val="single" w:sz="4" w:space="0" w:color="000000"/>
              <w:left w:val="single" w:sz="4" w:space="0" w:color="000000"/>
              <w:bottom w:val="single" w:sz="4" w:space="0" w:color="000000"/>
            </w:tcBorders>
          </w:tcPr>
          <w:p>
            <w:pPr>
              <w:pStyle w:val="TableParagraph"/>
              <w:spacing w:before="144"/>
              <w:ind w:right="76"/>
              <w:jc w:val="right"/>
              <w:rPr>
                <w:sz w:val="21"/>
              </w:rPr>
            </w:pPr>
            <w:r>
              <w:rPr>
                <w:sz w:val="21"/>
              </w:rPr>
              <w:t>3,670,260,883.55</w:t>
            </w:r>
          </w:p>
        </w:tc>
      </w:tr>
      <w:tr>
        <w:trPr>
          <w:trHeight w:val="544" w:hRule="atLeast"/>
        </w:trPr>
        <w:tc>
          <w:tcPr>
            <w:tcW w:w="3793" w:type="dxa"/>
            <w:tcBorders>
              <w:top w:val="single" w:sz="4" w:space="0" w:color="000000"/>
              <w:bottom w:val="single" w:sz="4" w:space="0" w:color="000000"/>
              <w:right w:val="single" w:sz="4" w:space="0" w:color="000000"/>
            </w:tcBorders>
          </w:tcPr>
          <w:p>
            <w:pPr>
              <w:pStyle w:val="TableParagraph"/>
              <w:spacing w:before="1"/>
              <w:ind w:left="335"/>
              <w:rPr>
                <w:sz w:val="21"/>
              </w:rPr>
            </w:pPr>
            <w:r>
              <w:rPr>
                <w:rFonts w:ascii="宋体" w:hAnsi="宋体" w:eastAsia="宋体" w:hint="eastAsia"/>
                <w:sz w:val="21"/>
              </w:rPr>
              <w:t>（二</w:t>
            </w:r>
            <w:r>
              <w:rPr>
                <w:rFonts w:ascii="宋体" w:hAnsi="宋体" w:eastAsia="宋体" w:hint="eastAsia"/>
                <w:spacing w:val="-101"/>
                <w:sz w:val="21"/>
              </w:rPr>
              <w:t>）</w:t>
            </w:r>
            <w:r>
              <w:rPr>
                <w:rFonts w:ascii="宋体" w:hAnsi="宋体" w:eastAsia="宋体" w:hint="eastAsia"/>
                <w:spacing w:val="-17"/>
                <w:sz w:val="21"/>
              </w:rPr>
              <w:t>终止经营净利润</w:t>
            </w:r>
            <w:r>
              <w:rPr>
                <w:rFonts w:ascii="宋体" w:hAnsi="宋体" w:eastAsia="宋体" w:hint="eastAsia"/>
                <w:spacing w:val="-3"/>
                <w:sz w:val="21"/>
              </w:rPr>
              <w:t>（净亏损以</w:t>
            </w:r>
            <w:r>
              <w:rPr>
                <w:sz w:val="21"/>
              </w:rPr>
              <w:t>“</w:t>
            </w:r>
            <w:r>
              <w:rPr>
                <w:rFonts w:ascii="宋体" w:hAnsi="宋体" w:eastAsia="宋体" w:hint="eastAsia"/>
                <w:sz w:val="21"/>
              </w:rPr>
              <w:t>－</w:t>
            </w:r>
            <w:r>
              <w:rPr>
                <w:sz w:val="21"/>
              </w:rPr>
              <w:t>”</w:t>
            </w:r>
          </w:p>
          <w:p>
            <w:pPr>
              <w:pStyle w:val="TableParagraph"/>
              <w:spacing w:line="252" w:lineRule="exact" w:before="2"/>
              <w:ind w:left="107"/>
              <w:rPr>
                <w:rFonts w:ascii="宋体" w:eastAsia="宋体" w:hint="eastAsia"/>
                <w:sz w:val="21"/>
              </w:rPr>
            </w:pPr>
            <w:r>
              <w:rPr>
                <w:rFonts w:ascii="宋体" w:eastAsia="宋体" w:hint="eastAsia"/>
                <w:sz w:val="21"/>
              </w:rPr>
              <w:t>号填列）</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15"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1"/>
              <w:ind w:left="66"/>
              <w:rPr>
                <w:rFonts w:ascii="宋体" w:eastAsia="宋体" w:hint="eastAsia"/>
                <w:sz w:val="21"/>
              </w:rPr>
            </w:pPr>
            <w:r>
              <w:rPr>
                <w:rFonts w:ascii="宋体" w:eastAsia="宋体" w:hint="eastAsia"/>
                <w:sz w:val="21"/>
              </w:rPr>
              <w:t>七、其他综合收益的税后净额</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before="7"/>
              <w:ind w:right="85"/>
              <w:jc w:val="right"/>
              <w:rPr>
                <w:sz w:val="21"/>
              </w:rPr>
            </w:pPr>
            <w:r>
              <w:rPr>
                <w:sz w:val="21"/>
              </w:rPr>
              <w:t>-21,108,181.60</w:t>
            </w:r>
          </w:p>
        </w:tc>
        <w:tc>
          <w:tcPr>
            <w:tcW w:w="2015" w:type="dxa"/>
            <w:tcBorders>
              <w:top w:val="single" w:sz="4" w:space="0" w:color="000000"/>
              <w:left w:val="single" w:sz="4" w:space="0" w:color="000000"/>
              <w:bottom w:val="single" w:sz="4" w:space="0" w:color="000000"/>
            </w:tcBorders>
          </w:tcPr>
          <w:p>
            <w:pPr>
              <w:pStyle w:val="TableParagraph"/>
              <w:spacing w:before="7"/>
              <w:ind w:right="76"/>
              <w:jc w:val="right"/>
              <w:rPr>
                <w:sz w:val="21"/>
              </w:rPr>
            </w:pPr>
            <w:r>
              <w:rPr>
                <w:sz w:val="21"/>
              </w:rPr>
              <w:t>3,286,132.98</w:t>
            </w:r>
          </w:p>
        </w:tc>
      </w:tr>
      <w:tr>
        <w:trPr>
          <w:trHeight w:val="543" w:hRule="atLeast"/>
        </w:trPr>
        <w:tc>
          <w:tcPr>
            <w:tcW w:w="3793" w:type="dxa"/>
            <w:tcBorders>
              <w:top w:val="single" w:sz="4" w:space="0" w:color="000000"/>
              <w:right w:val="single" w:sz="4" w:space="0" w:color="000000"/>
            </w:tcBorders>
          </w:tcPr>
          <w:p>
            <w:pPr>
              <w:pStyle w:val="TableParagraph"/>
              <w:spacing w:line="270" w:lineRule="atLeast" w:before="2"/>
              <w:ind w:left="107" w:right="87" w:firstLine="211"/>
              <w:rPr>
                <w:rFonts w:ascii="宋体" w:eastAsia="宋体" w:hint="eastAsia"/>
                <w:sz w:val="21"/>
              </w:rPr>
            </w:pPr>
            <w:r>
              <w:rPr>
                <w:rFonts w:ascii="宋体" w:eastAsia="宋体" w:hint="eastAsia"/>
                <w:sz w:val="21"/>
              </w:rPr>
              <w:t>（一）不能重分类进损益的其他综合收益</w:t>
            </w:r>
          </w:p>
        </w:tc>
        <w:tc>
          <w:tcPr>
            <w:tcW w:w="997" w:type="dxa"/>
            <w:tcBorders>
              <w:top w:val="single" w:sz="4" w:space="0" w:color="000000"/>
              <w:left w:val="single" w:sz="4" w:space="0" w:color="000000"/>
              <w:right w:val="single" w:sz="4" w:space="0" w:color="000000"/>
            </w:tcBorders>
          </w:tcPr>
          <w:p>
            <w:pPr>
              <w:pStyle w:val="TableParagraph"/>
              <w:rPr>
                <w:sz w:val="20"/>
              </w:rPr>
            </w:pPr>
          </w:p>
        </w:tc>
        <w:tc>
          <w:tcPr>
            <w:tcW w:w="2247" w:type="dxa"/>
            <w:tcBorders>
              <w:top w:val="single" w:sz="4" w:space="0" w:color="000000"/>
              <w:left w:val="single" w:sz="4" w:space="0" w:color="000000"/>
              <w:right w:val="single" w:sz="4" w:space="0" w:color="000000"/>
            </w:tcBorders>
          </w:tcPr>
          <w:p>
            <w:pPr>
              <w:pStyle w:val="TableParagraph"/>
              <w:spacing w:before="147"/>
              <w:ind w:right="85"/>
              <w:jc w:val="right"/>
              <w:rPr>
                <w:sz w:val="21"/>
              </w:rPr>
            </w:pPr>
            <w:r>
              <w:rPr>
                <w:sz w:val="21"/>
              </w:rPr>
              <w:t>-954,819.46</w:t>
            </w:r>
          </w:p>
        </w:tc>
        <w:tc>
          <w:tcPr>
            <w:tcW w:w="2015" w:type="dxa"/>
            <w:tcBorders>
              <w:top w:val="single" w:sz="4" w:space="0" w:color="000000"/>
              <w:left w:val="single" w:sz="4" w:space="0" w:color="000000"/>
            </w:tcBorders>
          </w:tcPr>
          <w:p>
            <w:pPr>
              <w:pStyle w:val="TableParagraph"/>
              <w:spacing w:before="147"/>
              <w:ind w:right="76"/>
              <w:jc w:val="right"/>
              <w:rPr>
                <w:sz w:val="21"/>
              </w:rPr>
            </w:pPr>
            <w:r>
              <w:rPr>
                <w:sz w:val="21"/>
              </w:rPr>
              <w:t>-98,047.20</w:t>
            </w:r>
          </w:p>
        </w:tc>
      </w:tr>
    </w:tbl>
    <w:p>
      <w:pPr>
        <w:spacing w:after="0"/>
        <w:jc w:val="right"/>
        <w:rPr>
          <w:sz w:val="21"/>
        </w:rPr>
        <w:sectPr>
          <w:pgSz w:w="11910" w:h="16840"/>
          <w:pgMar w:header="876" w:footer="1184" w:top="1440" w:bottom="1380" w:left="1560" w:right="960"/>
        </w:sectPr>
      </w:pPr>
    </w:p>
    <w:p>
      <w:pPr>
        <w:pStyle w:val="BodyText"/>
        <w:spacing w:before="2"/>
        <w:rPr>
          <w:sz w:val="5"/>
        </w:rPr>
      </w:pPr>
    </w:p>
    <w:tbl>
      <w:tblPr>
        <w:tblW w:w="0" w:type="auto"/>
        <w:jc w:val="left"/>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793"/>
        <w:gridCol w:w="997"/>
        <w:gridCol w:w="2247"/>
        <w:gridCol w:w="2015"/>
      </w:tblGrid>
      <w:tr>
        <w:trPr>
          <w:trHeight w:val="273" w:hRule="atLeast"/>
        </w:trPr>
        <w:tc>
          <w:tcPr>
            <w:tcW w:w="3793" w:type="dxa"/>
            <w:tcBorders>
              <w:bottom w:val="single" w:sz="4" w:space="0" w:color="000000"/>
              <w:right w:val="single" w:sz="4" w:space="0" w:color="000000"/>
            </w:tcBorders>
          </w:tcPr>
          <w:p>
            <w:pPr>
              <w:pStyle w:val="TableParagraph"/>
              <w:spacing w:line="250" w:lineRule="exact" w:before="3"/>
              <w:ind w:left="527"/>
              <w:rPr>
                <w:rFonts w:ascii="宋体" w:eastAsia="宋体" w:hint="eastAsia"/>
                <w:sz w:val="21"/>
              </w:rPr>
            </w:pPr>
            <w:r>
              <w:rPr>
                <w:sz w:val="21"/>
              </w:rPr>
              <w:t>1.</w:t>
            </w:r>
            <w:r>
              <w:rPr>
                <w:rFonts w:ascii="宋体" w:eastAsia="宋体" w:hint="eastAsia"/>
                <w:sz w:val="21"/>
              </w:rPr>
              <w:t>重新计量设定受益计划变动额</w:t>
            </w:r>
          </w:p>
        </w:tc>
        <w:tc>
          <w:tcPr>
            <w:tcW w:w="997" w:type="dxa"/>
            <w:tcBorders>
              <w:left w:val="single" w:sz="4" w:space="0" w:color="000000"/>
              <w:bottom w:val="single" w:sz="4" w:space="0" w:color="000000"/>
              <w:right w:val="single" w:sz="4" w:space="0" w:color="000000"/>
            </w:tcBorders>
          </w:tcPr>
          <w:p>
            <w:pPr>
              <w:pStyle w:val="TableParagraph"/>
              <w:rPr>
                <w:sz w:val="20"/>
              </w:rPr>
            </w:pPr>
          </w:p>
        </w:tc>
        <w:tc>
          <w:tcPr>
            <w:tcW w:w="2247" w:type="dxa"/>
            <w:tcBorders>
              <w:left w:val="single" w:sz="4" w:space="0" w:color="000000"/>
              <w:bottom w:val="single" w:sz="4" w:space="0" w:color="000000"/>
              <w:right w:val="single" w:sz="4" w:space="0" w:color="000000"/>
            </w:tcBorders>
          </w:tcPr>
          <w:p>
            <w:pPr>
              <w:pStyle w:val="TableParagraph"/>
              <w:rPr>
                <w:sz w:val="20"/>
              </w:rPr>
            </w:pPr>
          </w:p>
        </w:tc>
        <w:tc>
          <w:tcPr>
            <w:tcW w:w="2015" w:type="dxa"/>
            <w:tcBorders>
              <w:left w:val="single" w:sz="4" w:space="0" w:color="000000"/>
              <w:bottom w:val="single" w:sz="4" w:space="0" w:color="000000"/>
            </w:tcBorders>
          </w:tcPr>
          <w:p>
            <w:pPr>
              <w:pStyle w:val="TableParagraph"/>
              <w:rPr>
                <w:sz w:val="20"/>
              </w:rPr>
            </w:pPr>
          </w:p>
        </w:tc>
      </w:tr>
      <w:tr>
        <w:trPr>
          <w:trHeight w:val="546" w:hRule="atLeast"/>
        </w:trPr>
        <w:tc>
          <w:tcPr>
            <w:tcW w:w="3793" w:type="dxa"/>
            <w:tcBorders>
              <w:top w:val="single" w:sz="4" w:space="0" w:color="000000"/>
              <w:bottom w:val="single" w:sz="4" w:space="0" w:color="000000"/>
              <w:right w:val="single" w:sz="4" w:space="0" w:color="000000"/>
            </w:tcBorders>
          </w:tcPr>
          <w:p>
            <w:pPr>
              <w:pStyle w:val="TableParagraph"/>
              <w:spacing w:line="270" w:lineRule="atLeast" w:before="2"/>
              <w:ind w:left="107" w:right="142" w:firstLine="419"/>
              <w:rPr>
                <w:rFonts w:ascii="宋体" w:eastAsia="宋体" w:hint="eastAsia"/>
                <w:sz w:val="21"/>
              </w:rPr>
            </w:pPr>
            <w:r>
              <w:rPr>
                <w:sz w:val="21"/>
              </w:rPr>
              <w:t>2.</w:t>
            </w:r>
            <w:r>
              <w:rPr>
                <w:rFonts w:ascii="宋体" w:eastAsia="宋体" w:hint="eastAsia"/>
                <w:sz w:val="21"/>
              </w:rPr>
              <w:t>权益法下不能转损益的其他综合收益</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15"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1"/>
              <w:ind w:right="142"/>
              <w:jc w:val="right"/>
              <w:rPr>
                <w:rFonts w:ascii="宋体" w:eastAsia="宋体" w:hint="eastAsia"/>
                <w:sz w:val="21"/>
              </w:rPr>
            </w:pPr>
            <w:r>
              <w:rPr>
                <w:sz w:val="21"/>
              </w:rPr>
              <w:t>3.</w:t>
            </w:r>
            <w:r>
              <w:rPr>
                <w:rFonts w:ascii="宋体" w:eastAsia="宋体" w:hint="eastAsia"/>
                <w:sz w:val="21"/>
              </w:rPr>
              <w:t>其他权益工具投资公允价值变动</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before="7"/>
              <w:ind w:right="85"/>
              <w:jc w:val="right"/>
              <w:rPr>
                <w:sz w:val="21"/>
              </w:rPr>
            </w:pPr>
            <w:r>
              <w:rPr>
                <w:sz w:val="21"/>
              </w:rPr>
              <w:t>-954,819.46</w:t>
            </w:r>
          </w:p>
        </w:tc>
        <w:tc>
          <w:tcPr>
            <w:tcW w:w="2015" w:type="dxa"/>
            <w:tcBorders>
              <w:top w:val="single" w:sz="4" w:space="0" w:color="000000"/>
              <w:left w:val="single" w:sz="4" w:space="0" w:color="000000"/>
              <w:bottom w:val="single" w:sz="4" w:space="0" w:color="000000"/>
            </w:tcBorders>
          </w:tcPr>
          <w:p>
            <w:pPr>
              <w:pStyle w:val="TableParagraph"/>
              <w:spacing w:before="7"/>
              <w:ind w:right="76"/>
              <w:jc w:val="right"/>
              <w:rPr>
                <w:sz w:val="21"/>
              </w:rPr>
            </w:pPr>
            <w:r>
              <w:rPr>
                <w:sz w:val="21"/>
              </w:rPr>
              <w:t>-98,047.20</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right="142"/>
              <w:jc w:val="right"/>
              <w:rPr>
                <w:rFonts w:ascii="宋体" w:eastAsia="宋体" w:hint="eastAsia"/>
                <w:sz w:val="21"/>
              </w:rPr>
            </w:pPr>
            <w:r>
              <w:rPr>
                <w:sz w:val="21"/>
              </w:rPr>
              <w:t>4.</w:t>
            </w:r>
            <w:r>
              <w:rPr>
                <w:rFonts w:ascii="宋体" w:eastAsia="宋体" w:hint="eastAsia"/>
                <w:sz w:val="21"/>
              </w:rPr>
              <w:t>企业自身信用风险公允价值变动</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15" w:type="dxa"/>
            <w:tcBorders>
              <w:top w:val="single" w:sz="4" w:space="0" w:color="000000"/>
              <w:left w:val="single" w:sz="4" w:space="0" w:color="000000"/>
              <w:bottom w:val="single" w:sz="4" w:space="0" w:color="000000"/>
            </w:tcBorders>
          </w:tcPr>
          <w:p>
            <w:pPr>
              <w:pStyle w:val="TableParagraph"/>
              <w:rPr>
                <w:sz w:val="20"/>
              </w:rPr>
            </w:pPr>
          </w:p>
        </w:tc>
      </w:tr>
      <w:tr>
        <w:trPr>
          <w:trHeight w:val="544" w:hRule="atLeast"/>
        </w:trPr>
        <w:tc>
          <w:tcPr>
            <w:tcW w:w="3793" w:type="dxa"/>
            <w:tcBorders>
              <w:top w:val="single" w:sz="4" w:space="0" w:color="000000"/>
              <w:bottom w:val="single" w:sz="4" w:space="0" w:color="000000"/>
              <w:right w:val="single" w:sz="4" w:space="0" w:color="000000"/>
            </w:tcBorders>
          </w:tcPr>
          <w:p>
            <w:pPr>
              <w:pStyle w:val="TableParagraph"/>
              <w:spacing w:before="1"/>
              <w:ind w:left="318"/>
              <w:rPr>
                <w:rFonts w:ascii="宋体" w:eastAsia="宋体" w:hint="eastAsia"/>
                <w:sz w:val="21"/>
              </w:rPr>
            </w:pPr>
            <w:r>
              <w:rPr>
                <w:rFonts w:ascii="宋体" w:eastAsia="宋体" w:hint="eastAsia"/>
                <w:sz w:val="21"/>
              </w:rPr>
              <w:t>（二）将重分类进损益的其他综合收</w:t>
            </w:r>
          </w:p>
          <w:p>
            <w:pPr>
              <w:pStyle w:val="TableParagraph"/>
              <w:spacing w:line="252" w:lineRule="exact" w:before="2"/>
              <w:ind w:left="107"/>
              <w:rPr>
                <w:rFonts w:ascii="宋体" w:eastAsia="宋体" w:hint="eastAsia"/>
                <w:sz w:val="21"/>
              </w:rPr>
            </w:pPr>
            <w:r>
              <w:rPr>
                <w:rFonts w:ascii="宋体" w:eastAsia="宋体" w:hint="eastAsia"/>
                <w:w w:val="100"/>
                <w:sz w:val="21"/>
              </w:rPr>
              <w:t>益</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before="144"/>
              <w:ind w:right="85"/>
              <w:jc w:val="right"/>
              <w:rPr>
                <w:sz w:val="21"/>
              </w:rPr>
            </w:pPr>
            <w:r>
              <w:rPr>
                <w:sz w:val="21"/>
              </w:rPr>
              <w:t>-20,153,362.14</w:t>
            </w:r>
          </w:p>
        </w:tc>
        <w:tc>
          <w:tcPr>
            <w:tcW w:w="2015" w:type="dxa"/>
            <w:tcBorders>
              <w:top w:val="single" w:sz="4" w:space="0" w:color="000000"/>
              <w:left w:val="single" w:sz="4" w:space="0" w:color="000000"/>
              <w:bottom w:val="single" w:sz="4" w:space="0" w:color="000000"/>
            </w:tcBorders>
          </w:tcPr>
          <w:p>
            <w:pPr>
              <w:pStyle w:val="TableParagraph"/>
              <w:spacing w:before="144"/>
              <w:ind w:right="76"/>
              <w:jc w:val="right"/>
              <w:rPr>
                <w:sz w:val="21"/>
              </w:rPr>
            </w:pPr>
            <w:r>
              <w:rPr>
                <w:sz w:val="21"/>
              </w:rPr>
              <w:t>3,384,180.18</w:t>
            </w:r>
          </w:p>
        </w:tc>
      </w:tr>
      <w:tr>
        <w:trPr>
          <w:trHeight w:val="544" w:hRule="atLeast"/>
        </w:trPr>
        <w:tc>
          <w:tcPr>
            <w:tcW w:w="3793" w:type="dxa"/>
            <w:tcBorders>
              <w:top w:val="single" w:sz="4" w:space="0" w:color="000000"/>
              <w:bottom w:val="single" w:sz="4" w:space="0" w:color="000000"/>
              <w:right w:val="single" w:sz="4" w:space="0" w:color="000000"/>
            </w:tcBorders>
          </w:tcPr>
          <w:p>
            <w:pPr>
              <w:pStyle w:val="TableParagraph"/>
              <w:spacing w:before="1"/>
              <w:ind w:left="527"/>
              <w:rPr>
                <w:rFonts w:ascii="宋体" w:eastAsia="宋体" w:hint="eastAsia"/>
                <w:sz w:val="21"/>
              </w:rPr>
            </w:pPr>
            <w:r>
              <w:rPr>
                <w:sz w:val="21"/>
              </w:rPr>
              <w:t>1.</w:t>
            </w:r>
            <w:r>
              <w:rPr>
                <w:rFonts w:ascii="宋体" w:eastAsia="宋体" w:hint="eastAsia"/>
                <w:sz w:val="21"/>
              </w:rPr>
              <w:t>权益法下可转损益的其他综合收</w:t>
            </w:r>
          </w:p>
          <w:p>
            <w:pPr>
              <w:pStyle w:val="TableParagraph"/>
              <w:spacing w:line="250" w:lineRule="exact" w:before="4"/>
              <w:ind w:left="107"/>
              <w:rPr>
                <w:rFonts w:ascii="宋体" w:eastAsia="宋体" w:hint="eastAsia"/>
                <w:sz w:val="21"/>
              </w:rPr>
            </w:pPr>
            <w:r>
              <w:rPr>
                <w:rFonts w:ascii="宋体" w:eastAsia="宋体" w:hint="eastAsia"/>
                <w:w w:val="100"/>
                <w:sz w:val="21"/>
              </w:rPr>
              <w:t>益</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before="144"/>
              <w:ind w:right="85"/>
              <w:jc w:val="right"/>
              <w:rPr>
                <w:sz w:val="21"/>
              </w:rPr>
            </w:pPr>
            <w:r>
              <w:rPr>
                <w:sz w:val="21"/>
              </w:rPr>
              <w:t>-20,153,362.14</w:t>
            </w:r>
          </w:p>
        </w:tc>
        <w:tc>
          <w:tcPr>
            <w:tcW w:w="2015" w:type="dxa"/>
            <w:tcBorders>
              <w:top w:val="single" w:sz="4" w:space="0" w:color="000000"/>
              <w:left w:val="single" w:sz="4" w:space="0" w:color="000000"/>
              <w:bottom w:val="single" w:sz="4" w:space="0" w:color="000000"/>
            </w:tcBorders>
          </w:tcPr>
          <w:p>
            <w:pPr>
              <w:pStyle w:val="TableParagraph"/>
              <w:spacing w:before="144"/>
              <w:ind w:right="76"/>
              <w:jc w:val="right"/>
              <w:rPr>
                <w:sz w:val="21"/>
              </w:rPr>
            </w:pPr>
            <w:r>
              <w:rPr>
                <w:sz w:val="21"/>
              </w:rPr>
              <w:t>3,384,180.18</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527"/>
              <w:rPr>
                <w:rFonts w:ascii="宋体" w:eastAsia="宋体" w:hint="eastAsia"/>
                <w:sz w:val="21"/>
              </w:rPr>
            </w:pPr>
            <w:r>
              <w:rPr>
                <w:sz w:val="21"/>
              </w:rPr>
              <w:t>2.</w:t>
            </w:r>
            <w:r>
              <w:rPr>
                <w:rFonts w:ascii="宋体" w:eastAsia="宋体" w:hint="eastAsia"/>
                <w:sz w:val="21"/>
              </w:rPr>
              <w:t>其他债权投资公允价值变动</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15" w:type="dxa"/>
            <w:tcBorders>
              <w:top w:val="single" w:sz="4" w:space="0" w:color="000000"/>
              <w:left w:val="single" w:sz="4" w:space="0" w:color="000000"/>
              <w:bottom w:val="single" w:sz="4" w:space="0" w:color="000000"/>
            </w:tcBorders>
          </w:tcPr>
          <w:p>
            <w:pPr>
              <w:pStyle w:val="TableParagraph"/>
              <w:rPr>
                <w:sz w:val="20"/>
              </w:rPr>
            </w:pPr>
          </w:p>
        </w:tc>
      </w:tr>
      <w:tr>
        <w:trPr>
          <w:trHeight w:val="544" w:hRule="atLeast"/>
        </w:trPr>
        <w:tc>
          <w:tcPr>
            <w:tcW w:w="3793" w:type="dxa"/>
            <w:tcBorders>
              <w:top w:val="single" w:sz="4" w:space="0" w:color="000000"/>
              <w:bottom w:val="single" w:sz="4" w:space="0" w:color="000000"/>
              <w:right w:val="single" w:sz="4" w:space="0" w:color="000000"/>
            </w:tcBorders>
          </w:tcPr>
          <w:p>
            <w:pPr>
              <w:pStyle w:val="TableParagraph"/>
              <w:spacing w:before="1"/>
              <w:ind w:left="527"/>
              <w:rPr>
                <w:rFonts w:ascii="宋体" w:eastAsia="宋体" w:hint="eastAsia"/>
                <w:sz w:val="21"/>
              </w:rPr>
            </w:pPr>
            <w:r>
              <w:rPr>
                <w:sz w:val="21"/>
              </w:rPr>
              <w:t>3.</w:t>
            </w:r>
            <w:r>
              <w:rPr>
                <w:rFonts w:ascii="宋体" w:eastAsia="宋体" w:hint="eastAsia"/>
                <w:sz w:val="21"/>
              </w:rPr>
              <w:t>金融资产重分类计入其他综合收</w:t>
            </w:r>
          </w:p>
          <w:p>
            <w:pPr>
              <w:pStyle w:val="TableParagraph"/>
              <w:spacing w:line="252" w:lineRule="exact" w:before="2"/>
              <w:ind w:left="107"/>
              <w:rPr>
                <w:rFonts w:ascii="宋体" w:eastAsia="宋体" w:hint="eastAsia"/>
                <w:sz w:val="21"/>
              </w:rPr>
            </w:pPr>
            <w:r>
              <w:rPr>
                <w:rFonts w:ascii="宋体" w:eastAsia="宋体" w:hint="eastAsia"/>
                <w:sz w:val="21"/>
              </w:rPr>
              <w:t>益的金额</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15"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1"/>
              <w:ind w:left="527"/>
              <w:rPr>
                <w:rFonts w:ascii="宋体" w:eastAsia="宋体" w:hint="eastAsia"/>
                <w:sz w:val="21"/>
              </w:rPr>
            </w:pPr>
            <w:r>
              <w:rPr>
                <w:sz w:val="21"/>
              </w:rPr>
              <w:t>4.</w:t>
            </w:r>
            <w:r>
              <w:rPr>
                <w:rFonts w:ascii="宋体" w:eastAsia="宋体" w:hint="eastAsia"/>
                <w:sz w:val="21"/>
              </w:rPr>
              <w:t>其他债权投资信用减值准备</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15"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4"/>
              <w:ind w:left="527"/>
              <w:rPr>
                <w:rFonts w:ascii="宋体" w:eastAsia="宋体" w:hint="eastAsia"/>
                <w:sz w:val="21"/>
              </w:rPr>
            </w:pPr>
            <w:r>
              <w:rPr>
                <w:sz w:val="21"/>
              </w:rPr>
              <w:t>5.</w:t>
            </w:r>
            <w:r>
              <w:rPr>
                <w:rFonts w:ascii="宋体" w:eastAsia="宋体" w:hint="eastAsia"/>
                <w:sz w:val="21"/>
              </w:rPr>
              <w:t>现金流量套期储备</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15"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527"/>
              <w:rPr>
                <w:rFonts w:ascii="宋体" w:eastAsia="宋体" w:hint="eastAsia"/>
                <w:sz w:val="21"/>
              </w:rPr>
            </w:pPr>
            <w:r>
              <w:rPr>
                <w:sz w:val="21"/>
              </w:rPr>
              <w:t>6.</w:t>
            </w:r>
            <w:r>
              <w:rPr>
                <w:rFonts w:ascii="宋体" w:eastAsia="宋体" w:hint="eastAsia"/>
                <w:sz w:val="21"/>
              </w:rPr>
              <w:t>外币财务报表折算差额</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15"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1"/>
              <w:ind w:left="527"/>
              <w:rPr>
                <w:rFonts w:ascii="宋体" w:eastAsia="宋体" w:hint="eastAsia"/>
                <w:sz w:val="21"/>
              </w:rPr>
            </w:pPr>
            <w:r>
              <w:rPr>
                <w:sz w:val="21"/>
              </w:rPr>
              <w:t>7.</w:t>
            </w:r>
            <w:r>
              <w:rPr>
                <w:rFonts w:ascii="宋体" w:eastAsia="宋体" w:hint="eastAsia"/>
                <w:sz w:val="21"/>
              </w:rPr>
              <w:t>其他</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15"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3"/>
              <w:ind w:left="88"/>
              <w:rPr>
                <w:rFonts w:ascii="宋体" w:eastAsia="宋体" w:hint="eastAsia"/>
                <w:sz w:val="21"/>
              </w:rPr>
            </w:pPr>
            <w:r>
              <w:rPr>
                <w:rFonts w:ascii="宋体" w:eastAsia="宋体" w:hint="eastAsia"/>
                <w:sz w:val="21"/>
              </w:rPr>
              <w:t>六、综合收益总额</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3,878,963,159.79</w:t>
            </w:r>
          </w:p>
        </w:tc>
        <w:tc>
          <w:tcPr>
            <w:tcW w:w="2015" w:type="dxa"/>
            <w:tcBorders>
              <w:top w:val="single" w:sz="4" w:space="0" w:color="000000"/>
              <w:left w:val="single" w:sz="4" w:space="0" w:color="000000"/>
              <w:bottom w:val="single" w:sz="4" w:space="0" w:color="000000"/>
            </w:tcBorders>
          </w:tcPr>
          <w:p>
            <w:pPr>
              <w:pStyle w:val="TableParagraph"/>
              <w:spacing w:before="10"/>
              <w:ind w:right="76"/>
              <w:jc w:val="right"/>
              <w:rPr>
                <w:sz w:val="21"/>
              </w:rPr>
            </w:pPr>
            <w:r>
              <w:rPr>
                <w:sz w:val="21"/>
              </w:rPr>
              <w:t>3,673,547,016.53</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66"/>
              <w:rPr>
                <w:rFonts w:ascii="宋体" w:eastAsia="宋体" w:hint="eastAsia"/>
                <w:sz w:val="21"/>
              </w:rPr>
            </w:pPr>
            <w:r>
              <w:rPr>
                <w:rFonts w:ascii="宋体" w:eastAsia="宋体" w:hint="eastAsia"/>
                <w:sz w:val="21"/>
              </w:rPr>
              <w:t>七、每股收益：</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15"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1"/>
              <w:ind w:left="508"/>
              <w:rPr>
                <w:sz w:val="21"/>
              </w:rPr>
            </w:pPr>
            <w:r>
              <w:rPr>
                <w:rFonts w:ascii="宋体" w:eastAsia="宋体" w:hint="eastAsia"/>
                <w:sz w:val="21"/>
              </w:rPr>
              <w:t>（一）基本每股收益</w:t>
            </w:r>
            <w:r>
              <w:rPr>
                <w:sz w:val="21"/>
              </w:rPr>
              <w:t>(</w:t>
            </w:r>
            <w:r>
              <w:rPr>
                <w:rFonts w:ascii="宋体" w:eastAsia="宋体" w:hint="eastAsia"/>
                <w:sz w:val="21"/>
              </w:rPr>
              <w:t>元</w:t>
            </w:r>
            <w:r>
              <w:rPr>
                <w:sz w:val="21"/>
              </w:rPr>
              <w:t>/</w:t>
            </w:r>
            <w:r>
              <w:rPr>
                <w:rFonts w:ascii="宋体" w:eastAsia="宋体" w:hint="eastAsia"/>
                <w:sz w:val="21"/>
              </w:rPr>
              <w:t>股</w:t>
            </w:r>
            <w:r>
              <w:rPr>
                <w:sz w:val="21"/>
              </w:rPr>
              <w:t>)</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15"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3" w:type="dxa"/>
            <w:tcBorders>
              <w:top w:val="single" w:sz="4" w:space="0" w:color="000000"/>
              <w:right w:val="single" w:sz="4" w:space="0" w:color="000000"/>
            </w:tcBorders>
          </w:tcPr>
          <w:p>
            <w:pPr>
              <w:pStyle w:val="TableParagraph"/>
              <w:spacing w:line="249" w:lineRule="exact" w:before="1"/>
              <w:ind w:left="508"/>
              <w:rPr>
                <w:sz w:val="21"/>
              </w:rPr>
            </w:pPr>
            <w:r>
              <w:rPr>
                <w:rFonts w:ascii="宋体" w:eastAsia="宋体" w:hint="eastAsia"/>
                <w:sz w:val="21"/>
              </w:rPr>
              <w:t>（二）稀释每股收益</w:t>
            </w:r>
            <w:r>
              <w:rPr>
                <w:sz w:val="21"/>
              </w:rPr>
              <w:t>(</w:t>
            </w:r>
            <w:r>
              <w:rPr>
                <w:rFonts w:ascii="宋体" w:eastAsia="宋体" w:hint="eastAsia"/>
                <w:sz w:val="21"/>
              </w:rPr>
              <w:t>元</w:t>
            </w:r>
            <w:r>
              <w:rPr>
                <w:sz w:val="21"/>
              </w:rPr>
              <w:t>/</w:t>
            </w:r>
            <w:r>
              <w:rPr>
                <w:rFonts w:ascii="宋体" w:eastAsia="宋体" w:hint="eastAsia"/>
                <w:sz w:val="21"/>
              </w:rPr>
              <w:t>股</w:t>
            </w:r>
            <w:r>
              <w:rPr>
                <w:sz w:val="21"/>
              </w:rPr>
              <w:t>)</w:t>
            </w:r>
          </w:p>
        </w:tc>
        <w:tc>
          <w:tcPr>
            <w:tcW w:w="997" w:type="dxa"/>
            <w:tcBorders>
              <w:top w:val="single" w:sz="4" w:space="0" w:color="000000"/>
              <w:left w:val="single" w:sz="4" w:space="0" w:color="000000"/>
              <w:right w:val="single" w:sz="4" w:space="0" w:color="000000"/>
            </w:tcBorders>
          </w:tcPr>
          <w:p>
            <w:pPr>
              <w:pStyle w:val="TableParagraph"/>
              <w:rPr>
                <w:sz w:val="20"/>
              </w:rPr>
            </w:pPr>
          </w:p>
        </w:tc>
        <w:tc>
          <w:tcPr>
            <w:tcW w:w="2247" w:type="dxa"/>
            <w:tcBorders>
              <w:top w:val="single" w:sz="4" w:space="0" w:color="000000"/>
              <w:left w:val="single" w:sz="4" w:space="0" w:color="000000"/>
              <w:right w:val="single" w:sz="4" w:space="0" w:color="000000"/>
            </w:tcBorders>
          </w:tcPr>
          <w:p>
            <w:pPr>
              <w:pStyle w:val="TableParagraph"/>
              <w:rPr>
                <w:sz w:val="20"/>
              </w:rPr>
            </w:pPr>
          </w:p>
        </w:tc>
        <w:tc>
          <w:tcPr>
            <w:tcW w:w="2015" w:type="dxa"/>
            <w:tcBorders>
              <w:top w:val="single" w:sz="4" w:space="0" w:color="000000"/>
              <w:left w:val="single" w:sz="4" w:space="0" w:color="000000"/>
            </w:tcBorders>
          </w:tcPr>
          <w:p>
            <w:pPr>
              <w:pStyle w:val="TableParagraph"/>
              <w:rPr>
                <w:sz w:val="20"/>
              </w:rPr>
            </w:pPr>
          </w:p>
        </w:tc>
      </w:tr>
    </w:tbl>
    <w:p>
      <w:pPr>
        <w:pStyle w:val="BodyText"/>
        <w:spacing w:before="1"/>
        <w:rPr>
          <w:sz w:val="16"/>
        </w:rPr>
      </w:pPr>
    </w:p>
    <w:p>
      <w:pPr>
        <w:pStyle w:val="BodyText"/>
        <w:tabs>
          <w:tab w:pos="3365" w:val="left" w:leader="none"/>
          <w:tab w:pos="6517" w:val="left" w:leader="none"/>
        </w:tabs>
        <w:spacing w:before="72"/>
        <w:ind w:left="845"/>
      </w:pPr>
      <w:r>
        <w:rPr/>
        <w:t>法定</w:t>
      </w:r>
      <w:r>
        <w:rPr>
          <w:spacing w:val="-3"/>
        </w:rPr>
        <w:t>代</w:t>
      </w:r>
      <w:r>
        <w:rPr/>
        <w:t>表</w:t>
      </w:r>
      <w:r>
        <w:rPr>
          <w:spacing w:val="-3"/>
        </w:rPr>
        <w:t>人</w:t>
      </w:r>
      <w:r>
        <w:rPr/>
        <w:t>：</w:t>
      </w:r>
      <w:r>
        <w:rPr>
          <w:spacing w:val="-3"/>
        </w:rPr>
        <w:t>梁</w:t>
      </w:r>
      <w:r>
        <w:rPr/>
        <w:t>海山</w:t>
        <w:tab/>
        <w:t>主</w:t>
      </w:r>
      <w:r>
        <w:rPr>
          <w:spacing w:val="-3"/>
        </w:rPr>
        <w:t>管</w:t>
      </w:r>
      <w:r>
        <w:rPr/>
        <w:t>会</w:t>
      </w:r>
      <w:r>
        <w:rPr>
          <w:spacing w:val="-3"/>
        </w:rPr>
        <w:t>计</w:t>
      </w:r>
      <w:r>
        <w:rPr/>
        <w:t>工</w:t>
      </w:r>
      <w:r>
        <w:rPr>
          <w:spacing w:val="-3"/>
        </w:rPr>
        <w:t>作</w:t>
      </w:r>
      <w:r>
        <w:rPr/>
        <w:t>负</w:t>
      </w:r>
      <w:r>
        <w:rPr>
          <w:spacing w:val="-3"/>
        </w:rPr>
        <w:t>责</w:t>
      </w:r>
      <w:r>
        <w:rPr/>
        <w:t>人</w:t>
      </w:r>
      <w:r>
        <w:rPr>
          <w:spacing w:val="-3"/>
        </w:rPr>
        <w:t>：宫</w:t>
      </w:r>
      <w:r>
        <w:rPr/>
        <w:t>伟</w:t>
        <w:tab/>
      </w:r>
      <w:r>
        <w:rPr>
          <w:spacing w:val="-3"/>
        </w:rPr>
        <w:t>会</w:t>
      </w:r>
      <w:r>
        <w:rPr/>
        <w:t>计</w:t>
      </w:r>
      <w:r>
        <w:rPr>
          <w:spacing w:val="-3"/>
        </w:rPr>
        <w:t>机</w:t>
      </w:r>
      <w:r>
        <w:rPr/>
        <w:t>构</w:t>
      </w:r>
      <w:r>
        <w:rPr>
          <w:spacing w:val="-3"/>
        </w:rPr>
        <w:t>负</w:t>
      </w:r>
      <w:r>
        <w:rPr/>
        <w:t>责</w:t>
      </w:r>
      <w:r>
        <w:rPr>
          <w:spacing w:val="-3"/>
        </w:rPr>
        <w:t>人</w:t>
      </w:r>
      <w:r>
        <w:rPr/>
        <w:t>：应珂</w:t>
      </w:r>
    </w:p>
    <w:p>
      <w:pPr>
        <w:pStyle w:val="BodyText"/>
        <w:spacing w:before="6"/>
        <w:rPr>
          <w:sz w:val="13"/>
        </w:rPr>
      </w:pPr>
    </w:p>
    <w:p>
      <w:pPr>
        <w:pStyle w:val="Heading4"/>
        <w:spacing w:line="363" w:lineRule="exact" w:before="2"/>
        <w:ind w:left="0" w:right="75"/>
        <w:jc w:val="center"/>
      </w:pPr>
      <w:r>
        <w:rPr/>
        <w:t>合并现金流量表</w:t>
      </w:r>
    </w:p>
    <w:p>
      <w:pPr>
        <w:pStyle w:val="BodyText"/>
        <w:spacing w:line="246" w:lineRule="exact"/>
        <w:ind w:right="72"/>
        <w:jc w:val="center"/>
      </w:pPr>
      <w:r>
        <w:rPr>
          <w:rFonts w:ascii="Times New Roman" w:hAnsi="Times New Roman" w:eastAsia="Times New Roman"/>
        </w:rPr>
        <w:t>2020 </w:t>
      </w:r>
      <w:r>
        <w:rPr>
          <w:spacing w:val="-27"/>
        </w:rPr>
        <w:t>年 </w:t>
      </w:r>
      <w:r>
        <w:rPr>
          <w:rFonts w:ascii="Times New Roman" w:hAnsi="Times New Roman" w:eastAsia="Times New Roman"/>
        </w:rPr>
        <w:t>1—12 </w:t>
      </w:r>
      <w:r>
        <w:rPr/>
        <w:t>月</w:t>
      </w:r>
    </w:p>
    <w:p>
      <w:pPr>
        <w:pStyle w:val="BodyText"/>
        <w:tabs>
          <w:tab w:pos="1051" w:val="left" w:leader="none"/>
        </w:tabs>
        <w:spacing w:before="5"/>
        <w:ind w:right="310"/>
        <w:jc w:val="right"/>
      </w:pPr>
      <w:r>
        <w:rPr/>
        <w:t>单位：元</w:t>
        <w:tab/>
      </w:r>
      <w:r>
        <w:rPr>
          <w:spacing w:val="-1"/>
        </w:rPr>
        <w:t>币</w:t>
      </w:r>
      <w:r>
        <w:rPr>
          <w:spacing w:val="-3"/>
        </w:rPr>
        <w:t>种</w:t>
      </w:r>
      <w:r>
        <w:rPr/>
        <w:t>：</w:t>
      </w:r>
      <w:r>
        <w:rPr>
          <w:spacing w:val="-3"/>
        </w:rPr>
        <w:t>人</w:t>
      </w:r>
      <w:r>
        <w:rPr/>
        <w:t>民币</w:t>
      </w:r>
    </w:p>
    <w:tbl>
      <w:tblPr>
        <w:tblW w:w="0" w:type="auto"/>
        <w:jc w:val="left"/>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793"/>
        <w:gridCol w:w="918"/>
        <w:gridCol w:w="2175"/>
        <w:gridCol w:w="2166"/>
      </w:tblGrid>
      <w:tr>
        <w:trPr>
          <w:trHeight w:val="273" w:hRule="atLeast"/>
        </w:trPr>
        <w:tc>
          <w:tcPr>
            <w:tcW w:w="3793" w:type="dxa"/>
            <w:tcBorders>
              <w:bottom w:val="single" w:sz="4" w:space="0" w:color="000000"/>
              <w:right w:val="single" w:sz="4" w:space="0" w:color="000000"/>
            </w:tcBorders>
            <w:shd w:val="clear" w:color="auto" w:fill="EDEBE0"/>
          </w:tcPr>
          <w:p>
            <w:pPr>
              <w:pStyle w:val="TableParagraph"/>
              <w:spacing w:line="253" w:lineRule="exact"/>
              <w:ind w:left="1350" w:right="1333"/>
              <w:jc w:val="center"/>
              <w:rPr>
                <w:rFonts w:ascii="Microsoft JhengHei" w:eastAsia="Microsoft JhengHei" w:hint="eastAsia"/>
                <w:b/>
                <w:sz w:val="21"/>
              </w:rPr>
            </w:pPr>
            <w:r>
              <w:rPr>
                <w:rFonts w:ascii="Microsoft JhengHei" w:eastAsia="Microsoft JhengHei" w:hint="eastAsia"/>
                <w:b/>
                <w:sz w:val="21"/>
              </w:rPr>
              <w:t>项目</w:t>
            </w:r>
          </w:p>
        </w:tc>
        <w:tc>
          <w:tcPr>
            <w:tcW w:w="918" w:type="dxa"/>
            <w:tcBorders>
              <w:left w:val="single" w:sz="4" w:space="0" w:color="000000"/>
              <w:bottom w:val="single" w:sz="4" w:space="0" w:color="000000"/>
              <w:right w:val="single" w:sz="4" w:space="0" w:color="000000"/>
            </w:tcBorders>
            <w:shd w:val="clear" w:color="auto" w:fill="EDEBE0"/>
          </w:tcPr>
          <w:p>
            <w:pPr>
              <w:pStyle w:val="TableParagraph"/>
              <w:spacing w:line="253" w:lineRule="exact"/>
              <w:ind w:left="256"/>
              <w:rPr>
                <w:rFonts w:ascii="Microsoft JhengHei" w:eastAsia="Microsoft JhengHei" w:hint="eastAsia"/>
                <w:b/>
                <w:sz w:val="21"/>
              </w:rPr>
            </w:pPr>
            <w:r>
              <w:rPr>
                <w:rFonts w:ascii="Microsoft JhengHei" w:eastAsia="Microsoft JhengHei" w:hint="eastAsia"/>
                <w:b/>
                <w:sz w:val="21"/>
              </w:rPr>
              <w:t>附注</w:t>
            </w:r>
          </w:p>
        </w:tc>
        <w:tc>
          <w:tcPr>
            <w:tcW w:w="2175" w:type="dxa"/>
            <w:tcBorders>
              <w:left w:val="single" w:sz="4" w:space="0" w:color="000000"/>
              <w:bottom w:val="single" w:sz="4" w:space="0" w:color="000000"/>
              <w:right w:val="single" w:sz="4" w:space="0" w:color="000000"/>
            </w:tcBorders>
            <w:shd w:val="clear" w:color="auto" w:fill="EDEBE0"/>
          </w:tcPr>
          <w:p>
            <w:pPr>
              <w:pStyle w:val="TableParagraph"/>
              <w:spacing w:line="253" w:lineRule="exact"/>
              <w:ind w:left="672"/>
              <w:rPr>
                <w:rFonts w:ascii="Microsoft JhengHei" w:eastAsia="Microsoft JhengHei" w:hint="eastAsia"/>
                <w:b/>
                <w:sz w:val="21"/>
              </w:rPr>
            </w:pPr>
            <w:r>
              <w:rPr>
                <w:b/>
                <w:sz w:val="21"/>
              </w:rPr>
              <w:t>2020</w:t>
            </w:r>
            <w:r>
              <w:rPr>
                <w:rFonts w:ascii="Microsoft JhengHei" w:eastAsia="Microsoft JhengHei" w:hint="eastAsia"/>
                <w:b/>
                <w:sz w:val="21"/>
              </w:rPr>
              <w:t>年度</w:t>
            </w:r>
          </w:p>
        </w:tc>
        <w:tc>
          <w:tcPr>
            <w:tcW w:w="2166" w:type="dxa"/>
            <w:tcBorders>
              <w:left w:val="single" w:sz="4" w:space="0" w:color="000000"/>
              <w:bottom w:val="single" w:sz="4" w:space="0" w:color="000000"/>
            </w:tcBorders>
            <w:shd w:val="clear" w:color="auto" w:fill="EDEBE0"/>
          </w:tcPr>
          <w:p>
            <w:pPr>
              <w:pStyle w:val="TableParagraph"/>
              <w:spacing w:line="253" w:lineRule="exact"/>
              <w:ind w:left="670"/>
              <w:rPr>
                <w:rFonts w:ascii="Microsoft JhengHei" w:eastAsia="Microsoft JhengHei" w:hint="eastAsia"/>
                <w:b/>
                <w:sz w:val="21"/>
              </w:rPr>
            </w:pPr>
            <w:r>
              <w:rPr>
                <w:b/>
                <w:sz w:val="21"/>
              </w:rPr>
              <w:t>2019</w:t>
            </w:r>
            <w:r>
              <w:rPr>
                <w:rFonts w:ascii="Microsoft JhengHei" w:eastAsia="Microsoft JhengHei" w:hint="eastAsia"/>
                <w:b/>
                <w:sz w:val="21"/>
              </w:rPr>
              <w:t>年度</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3" w:lineRule="exact"/>
              <w:ind w:left="107"/>
              <w:rPr>
                <w:rFonts w:ascii="Microsoft JhengHei" w:eastAsia="Microsoft JhengHei" w:hint="eastAsia"/>
                <w:b/>
                <w:sz w:val="21"/>
              </w:rPr>
            </w:pPr>
            <w:r>
              <w:rPr>
                <w:rFonts w:ascii="Microsoft JhengHei" w:eastAsia="Microsoft JhengHei" w:hint="eastAsia"/>
                <w:b/>
                <w:sz w:val="21"/>
              </w:rPr>
              <w:t>一、经营活动产生的现金流量：</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66"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销售商品、提供劳务收到的现金</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207,933,660,841.94</w:t>
            </w:r>
          </w:p>
        </w:tc>
        <w:tc>
          <w:tcPr>
            <w:tcW w:w="2166"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204,152,920,970.07</w:t>
            </w:r>
          </w:p>
        </w:tc>
      </w:tr>
      <w:tr>
        <w:trPr>
          <w:trHeight w:val="270"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1"/>
              <w:ind w:right="298"/>
              <w:jc w:val="right"/>
              <w:rPr>
                <w:rFonts w:ascii="宋体" w:eastAsia="宋体" w:hint="eastAsia"/>
                <w:sz w:val="21"/>
              </w:rPr>
            </w:pPr>
            <w:r>
              <w:rPr>
                <w:rFonts w:ascii="宋体" w:eastAsia="宋体" w:hint="eastAsia"/>
                <w:sz w:val="21"/>
              </w:rPr>
              <w:t>客户存款和同业存放款项净增加额</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66"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3"/>
              <w:ind w:left="318"/>
              <w:rPr>
                <w:rFonts w:ascii="宋体" w:eastAsia="宋体" w:hint="eastAsia"/>
                <w:sz w:val="21"/>
              </w:rPr>
            </w:pPr>
            <w:r>
              <w:rPr>
                <w:rFonts w:ascii="宋体" w:eastAsia="宋体" w:hint="eastAsia"/>
                <w:sz w:val="21"/>
              </w:rPr>
              <w:t>向中央银行借款净增加额</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66"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right="298"/>
              <w:jc w:val="right"/>
              <w:rPr>
                <w:rFonts w:ascii="宋体" w:eastAsia="宋体" w:hint="eastAsia"/>
                <w:sz w:val="21"/>
              </w:rPr>
            </w:pPr>
            <w:r>
              <w:rPr>
                <w:rFonts w:ascii="宋体" w:eastAsia="宋体" w:hint="eastAsia"/>
                <w:sz w:val="21"/>
              </w:rPr>
              <w:t>向其他金融机构拆入资金净增加额</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66"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收到原保险合同保费取得的现金</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66"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收到再保业务现金净额</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66"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保户储金及投资款净增加额</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66"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收取利息、手续费及佣金的现金</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66"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拆入资金净增加额</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66"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回购业务资金净增加额</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66"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3"/>
              <w:ind w:left="318"/>
              <w:rPr>
                <w:rFonts w:ascii="宋体" w:eastAsia="宋体" w:hint="eastAsia"/>
                <w:sz w:val="21"/>
              </w:rPr>
            </w:pPr>
            <w:r>
              <w:rPr>
                <w:rFonts w:ascii="宋体" w:eastAsia="宋体" w:hint="eastAsia"/>
                <w:sz w:val="21"/>
              </w:rPr>
              <w:t>代理买卖证券收到的现金净额</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66"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收到的税费返还</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16"/>
              <w:rPr>
                <w:rFonts w:ascii="宋体"/>
                <w:sz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1,028,615,379.56</w:t>
            </w:r>
          </w:p>
        </w:tc>
        <w:tc>
          <w:tcPr>
            <w:tcW w:w="2166"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898,183,873.66</w:t>
            </w:r>
          </w:p>
        </w:tc>
      </w:tr>
      <w:tr>
        <w:trPr>
          <w:trHeight w:val="270"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收到其他与经营活动有关的现金</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6"/>
              <w:rPr>
                <w:sz w:val="21"/>
              </w:rPr>
            </w:pPr>
            <w:r>
              <w:rPr>
                <w:rFonts w:ascii="宋体" w:eastAsia="宋体" w:hint="eastAsia"/>
                <w:sz w:val="21"/>
              </w:rPr>
              <w:t>七、</w:t>
            </w:r>
            <w:r>
              <w:rPr>
                <w:sz w:val="21"/>
              </w:rPr>
              <w:t>65</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7"/>
              <w:ind w:right="85"/>
              <w:jc w:val="right"/>
              <w:rPr>
                <w:sz w:val="21"/>
              </w:rPr>
            </w:pPr>
            <w:r>
              <w:rPr>
                <w:sz w:val="21"/>
              </w:rPr>
              <w:t>1,538,344,487.10</w:t>
            </w:r>
          </w:p>
        </w:tc>
        <w:tc>
          <w:tcPr>
            <w:tcW w:w="2166" w:type="dxa"/>
            <w:tcBorders>
              <w:top w:val="single" w:sz="4" w:space="0" w:color="000000"/>
              <w:left w:val="single" w:sz="4" w:space="0" w:color="000000"/>
              <w:bottom w:val="single" w:sz="4" w:space="0" w:color="000000"/>
            </w:tcBorders>
          </w:tcPr>
          <w:p>
            <w:pPr>
              <w:pStyle w:val="TableParagraph"/>
              <w:spacing w:before="7"/>
              <w:ind w:right="74"/>
              <w:jc w:val="right"/>
              <w:rPr>
                <w:sz w:val="21"/>
              </w:rPr>
            </w:pPr>
            <w:r>
              <w:rPr>
                <w:sz w:val="21"/>
              </w:rPr>
              <w:t>2,134,070,599.27</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3"/>
              <w:ind w:left="527"/>
              <w:rPr>
                <w:rFonts w:ascii="宋体" w:eastAsia="宋体" w:hint="eastAsia"/>
                <w:sz w:val="21"/>
              </w:rPr>
            </w:pPr>
            <w:r>
              <w:rPr>
                <w:rFonts w:ascii="宋体" w:eastAsia="宋体" w:hint="eastAsia"/>
                <w:sz w:val="21"/>
              </w:rPr>
              <w:t>经营活动现金流入小计</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16"/>
              <w:rPr>
                <w:rFonts w:ascii="宋体"/>
                <w:sz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210,500,620,708.60</w:t>
            </w:r>
          </w:p>
        </w:tc>
        <w:tc>
          <w:tcPr>
            <w:tcW w:w="2166"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207,185,175,443.00</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购买商品、接受劳务支付的现金</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16"/>
              <w:rPr>
                <w:rFonts w:ascii="宋体"/>
                <w:sz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141,706,941,807.74</w:t>
            </w:r>
          </w:p>
        </w:tc>
        <w:tc>
          <w:tcPr>
            <w:tcW w:w="2166"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141,035,818,536.96</w:t>
            </w:r>
          </w:p>
        </w:tc>
      </w:tr>
      <w:tr>
        <w:trPr>
          <w:trHeight w:val="270"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客户贷款及垫款净增加额</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66"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3"/>
              <w:ind w:right="298"/>
              <w:jc w:val="right"/>
              <w:rPr>
                <w:rFonts w:ascii="宋体" w:eastAsia="宋体" w:hint="eastAsia"/>
                <w:sz w:val="21"/>
              </w:rPr>
            </w:pPr>
            <w:r>
              <w:rPr>
                <w:rFonts w:ascii="宋体" w:eastAsia="宋体" w:hint="eastAsia"/>
                <w:sz w:val="21"/>
              </w:rPr>
              <w:t>存放中央银行和同业款项净增加额</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66"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支付原保险合同赔付款项的现金</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66"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拆出资金净增加额</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66"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支付利息、手续费及佣金的现金</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66"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3" w:type="dxa"/>
            <w:tcBorders>
              <w:top w:val="single" w:sz="4" w:space="0" w:color="000000"/>
              <w:right w:val="single" w:sz="4" w:space="0" w:color="000000"/>
            </w:tcBorders>
          </w:tcPr>
          <w:p>
            <w:pPr>
              <w:pStyle w:val="TableParagraph"/>
              <w:spacing w:line="249" w:lineRule="exact" w:before="1"/>
              <w:ind w:left="318"/>
              <w:rPr>
                <w:rFonts w:ascii="宋体" w:eastAsia="宋体" w:hint="eastAsia"/>
                <w:sz w:val="21"/>
              </w:rPr>
            </w:pPr>
            <w:r>
              <w:rPr>
                <w:rFonts w:ascii="宋体" w:eastAsia="宋体" w:hint="eastAsia"/>
                <w:sz w:val="21"/>
              </w:rPr>
              <w:t>支付保单红利的现金</w:t>
            </w:r>
          </w:p>
        </w:tc>
        <w:tc>
          <w:tcPr>
            <w:tcW w:w="918" w:type="dxa"/>
            <w:tcBorders>
              <w:top w:val="single" w:sz="4" w:space="0" w:color="000000"/>
              <w:left w:val="single" w:sz="4" w:space="0" w:color="000000"/>
              <w:right w:val="single" w:sz="4" w:space="0" w:color="000000"/>
            </w:tcBorders>
          </w:tcPr>
          <w:p>
            <w:pPr>
              <w:pStyle w:val="TableParagraph"/>
              <w:rPr>
                <w:sz w:val="20"/>
              </w:rPr>
            </w:pPr>
          </w:p>
        </w:tc>
        <w:tc>
          <w:tcPr>
            <w:tcW w:w="2175" w:type="dxa"/>
            <w:tcBorders>
              <w:top w:val="single" w:sz="4" w:space="0" w:color="000000"/>
              <w:left w:val="single" w:sz="4" w:space="0" w:color="000000"/>
              <w:right w:val="single" w:sz="4" w:space="0" w:color="000000"/>
            </w:tcBorders>
          </w:tcPr>
          <w:p>
            <w:pPr>
              <w:pStyle w:val="TableParagraph"/>
              <w:rPr>
                <w:sz w:val="20"/>
              </w:rPr>
            </w:pPr>
          </w:p>
        </w:tc>
        <w:tc>
          <w:tcPr>
            <w:tcW w:w="2166" w:type="dxa"/>
            <w:tcBorders>
              <w:top w:val="single" w:sz="4" w:space="0" w:color="000000"/>
              <w:left w:val="single" w:sz="4" w:space="0" w:color="000000"/>
            </w:tcBorders>
          </w:tcPr>
          <w:p>
            <w:pPr>
              <w:pStyle w:val="TableParagraph"/>
              <w:rPr>
                <w:sz w:val="20"/>
              </w:rPr>
            </w:pPr>
          </w:p>
        </w:tc>
      </w:tr>
    </w:tbl>
    <w:p>
      <w:pPr>
        <w:spacing w:after="0"/>
        <w:rPr>
          <w:sz w:val="20"/>
        </w:rPr>
        <w:sectPr>
          <w:pgSz w:w="11910" w:h="16840"/>
          <w:pgMar w:header="876" w:footer="1184" w:top="1440" w:bottom="1400" w:left="1560" w:right="960"/>
        </w:sectPr>
      </w:pPr>
    </w:p>
    <w:p>
      <w:pPr>
        <w:pStyle w:val="BodyText"/>
        <w:spacing w:before="2"/>
        <w:rPr>
          <w:sz w:val="5"/>
        </w:rPr>
      </w:pPr>
    </w:p>
    <w:tbl>
      <w:tblPr>
        <w:tblW w:w="0" w:type="auto"/>
        <w:jc w:val="left"/>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793"/>
        <w:gridCol w:w="918"/>
        <w:gridCol w:w="2175"/>
        <w:gridCol w:w="2166"/>
      </w:tblGrid>
      <w:tr>
        <w:trPr>
          <w:trHeight w:val="273" w:hRule="atLeast"/>
        </w:trPr>
        <w:tc>
          <w:tcPr>
            <w:tcW w:w="3793" w:type="dxa"/>
            <w:tcBorders>
              <w:bottom w:val="single" w:sz="4" w:space="0" w:color="000000"/>
              <w:right w:val="single" w:sz="4" w:space="0" w:color="000000"/>
            </w:tcBorders>
          </w:tcPr>
          <w:p>
            <w:pPr>
              <w:pStyle w:val="TableParagraph"/>
              <w:spacing w:line="250" w:lineRule="exact" w:before="3"/>
              <w:ind w:left="318"/>
              <w:rPr>
                <w:rFonts w:ascii="宋体" w:eastAsia="宋体" w:hint="eastAsia"/>
                <w:sz w:val="21"/>
              </w:rPr>
            </w:pPr>
            <w:r>
              <w:rPr>
                <w:rFonts w:ascii="宋体" w:eastAsia="宋体" w:hint="eastAsia"/>
                <w:sz w:val="21"/>
              </w:rPr>
              <w:t>支付给职工及为职工支付的现金</w:t>
            </w:r>
          </w:p>
        </w:tc>
        <w:tc>
          <w:tcPr>
            <w:tcW w:w="918" w:type="dxa"/>
            <w:tcBorders>
              <w:left w:val="single" w:sz="4" w:space="0" w:color="000000"/>
              <w:bottom w:val="single" w:sz="4" w:space="0" w:color="000000"/>
              <w:right w:val="single" w:sz="4" w:space="0" w:color="000000"/>
            </w:tcBorders>
          </w:tcPr>
          <w:p>
            <w:pPr>
              <w:pStyle w:val="TableParagraph"/>
              <w:spacing w:line="253" w:lineRule="exact"/>
              <w:ind w:left="116"/>
              <w:rPr>
                <w:rFonts w:ascii="宋体"/>
                <w:sz w:val="21"/>
              </w:rPr>
            </w:pPr>
            <w:r>
              <w:rPr>
                <w:rFonts w:ascii="宋体"/>
                <w:w w:val="100"/>
                <w:sz w:val="21"/>
              </w:rPr>
              <w:t> </w:t>
            </w:r>
          </w:p>
        </w:tc>
        <w:tc>
          <w:tcPr>
            <w:tcW w:w="2175" w:type="dxa"/>
            <w:tcBorders>
              <w:left w:val="single" w:sz="4" w:space="0" w:color="000000"/>
              <w:bottom w:val="single" w:sz="4" w:space="0" w:color="000000"/>
              <w:right w:val="single" w:sz="4" w:space="0" w:color="000000"/>
            </w:tcBorders>
          </w:tcPr>
          <w:p>
            <w:pPr>
              <w:pStyle w:val="TableParagraph"/>
              <w:spacing w:before="9"/>
              <w:ind w:right="85"/>
              <w:jc w:val="right"/>
              <w:rPr>
                <w:sz w:val="21"/>
              </w:rPr>
            </w:pPr>
            <w:r>
              <w:rPr>
                <w:sz w:val="21"/>
              </w:rPr>
              <w:t>22,084,658,004.57</w:t>
            </w:r>
          </w:p>
        </w:tc>
        <w:tc>
          <w:tcPr>
            <w:tcW w:w="2166" w:type="dxa"/>
            <w:tcBorders>
              <w:left w:val="single" w:sz="4" w:space="0" w:color="000000"/>
              <w:bottom w:val="single" w:sz="4" w:space="0" w:color="000000"/>
            </w:tcBorders>
          </w:tcPr>
          <w:p>
            <w:pPr>
              <w:pStyle w:val="TableParagraph"/>
              <w:spacing w:before="9"/>
              <w:ind w:right="74"/>
              <w:jc w:val="right"/>
              <w:rPr>
                <w:sz w:val="21"/>
              </w:rPr>
            </w:pPr>
            <w:r>
              <w:rPr>
                <w:sz w:val="21"/>
              </w:rPr>
              <w:t>22,281,126,153.50</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3"/>
              <w:ind w:left="318"/>
              <w:rPr>
                <w:rFonts w:ascii="宋体" w:eastAsia="宋体" w:hint="eastAsia"/>
                <w:sz w:val="21"/>
              </w:rPr>
            </w:pPr>
            <w:r>
              <w:rPr>
                <w:rFonts w:ascii="宋体" w:eastAsia="宋体" w:hint="eastAsia"/>
                <w:sz w:val="21"/>
              </w:rPr>
              <w:t>支付的各项税费</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16"/>
              <w:rPr>
                <w:rFonts w:ascii="宋体"/>
                <w:sz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8,018,680,088.18</w:t>
            </w:r>
          </w:p>
        </w:tc>
        <w:tc>
          <w:tcPr>
            <w:tcW w:w="2166"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8,909,484,821.52</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支付其他与经营活动有关的现金</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6"/>
              <w:rPr>
                <w:sz w:val="21"/>
              </w:rPr>
            </w:pPr>
            <w:r>
              <w:rPr>
                <w:rFonts w:ascii="宋体" w:eastAsia="宋体" w:hint="eastAsia"/>
                <w:sz w:val="21"/>
              </w:rPr>
              <w:t>七、</w:t>
            </w:r>
            <w:r>
              <w:rPr>
                <w:sz w:val="21"/>
              </w:rPr>
              <w:t>66</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21,091,229,092.60</w:t>
            </w:r>
          </w:p>
        </w:tc>
        <w:tc>
          <w:tcPr>
            <w:tcW w:w="2166"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19,876,114,988.29</w:t>
            </w:r>
          </w:p>
        </w:tc>
      </w:tr>
      <w:tr>
        <w:trPr>
          <w:trHeight w:val="270"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1"/>
              <w:ind w:left="527"/>
              <w:rPr>
                <w:rFonts w:ascii="宋体" w:eastAsia="宋体" w:hint="eastAsia"/>
                <w:sz w:val="21"/>
              </w:rPr>
            </w:pPr>
            <w:r>
              <w:rPr>
                <w:rFonts w:ascii="宋体" w:eastAsia="宋体" w:hint="eastAsia"/>
                <w:sz w:val="21"/>
              </w:rPr>
              <w:t>经营活动现金流出小计</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16"/>
              <w:rPr>
                <w:rFonts w:ascii="宋体"/>
                <w:sz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7"/>
              <w:ind w:right="85"/>
              <w:jc w:val="right"/>
              <w:rPr>
                <w:sz w:val="21"/>
              </w:rPr>
            </w:pPr>
            <w:r>
              <w:rPr>
                <w:sz w:val="21"/>
              </w:rPr>
              <w:t>192,901,508,993.09</w:t>
            </w:r>
          </w:p>
        </w:tc>
        <w:tc>
          <w:tcPr>
            <w:tcW w:w="2166" w:type="dxa"/>
            <w:tcBorders>
              <w:top w:val="single" w:sz="4" w:space="0" w:color="000000"/>
              <w:left w:val="single" w:sz="4" w:space="0" w:color="000000"/>
              <w:bottom w:val="single" w:sz="4" w:space="0" w:color="000000"/>
            </w:tcBorders>
          </w:tcPr>
          <w:p>
            <w:pPr>
              <w:pStyle w:val="TableParagraph"/>
              <w:spacing w:before="7"/>
              <w:ind w:right="74"/>
              <w:jc w:val="right"/>
              <w:rPr>
                <w:sz w:val="21"/>
              </w:rPr>
            </w:pPr>
            <w:r>
              <w:rPr>
                <w:sz w:val="21"/>
              </w:rPr>
              <w:t>192,102,544,500.27</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right="298"/>
              <w:jc w:val="right"/>
              <w:rPr>
                <w:rFonts w:ascii="宋体" w:eastAsia="宋体" w:hint="eastAsia"/>
                <w:sz w:val="21"/>
              </w:rPr>
            </w:pPr>
            <w:r>
              <w:rPr>
                <w:rFonts w:ascii="宋体" w:eastAsia="宋体" w:hint="eastAsia"/>
                <w:sz w:val="21"/>
              </w:rPr>
              <w:t>经营活动产生的现金流量净额</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6"/>
              <w:rPr>
                <w:sz w:val="21"/>
              </w:rPr>
            </w:pPr>
            <w:r>
              <w:rPr>
                <w:rFonts w:ascii="宋体" w:eastAsia="宋体" w:hint="eastAsia"/>
                <w:sz w:val="21"/>
              </w:rPr>
              <w:t>七、</w:t>
            </w:r>
            <w:r>
              <w:rPr>
                <w:sz w:val="21"/>
              </w:rPr>
              <w:t>69</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17,599,111,715.51</w:t>
            </w:r>
          </w:p>
        </w:tc>
        <w:tc>
          <w:tcPr>
            <w:tcW w:w="2166"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15,082,630,942.73</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3" w:lineRule="exact"/>
              <w:ind w:left="107"/>
              <w:rPr>
                <w:rFonts w:ascii="Microsoft JhengHei" w:eastAsia="Microsoft JhengHei" w:hint="eastAsia"/>
                <w:b/>
                <w:sz w:val="21"/>
              </w:rPr>
            </w:pPr>
            <w:r>
              <w:rPr>
                <w:rFonts w:ascii="Microsoft JhengHei" w:eastAsia="Microsoft JhengHei" w:hint="eastAsia"/>
                <w:b/>
                <w:sz w:val="21"/>
              </w:rPr>
              <w:t>二、投资活动产生的现金流量：</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66"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收回投资收到的现金</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7"/>
              <w:ind w:right="85"/>
              <w:jc w:val="right"/>
              <w:rPr>
                <w:sz w:val="21"/>
              </w:rPr>
            </w:pPr>
            <w:r>
              <w:rPr>
                <w:sz w:val="21"/>
              </w:rPr>
              <w:t>7,645,625,690.38</w:t>
            </w:r>
          </w:p>
        </w:tc>
        <w:tc>
          <w:tcPr>
            <w:tcW w:w="2166" w:type="dxa"/>
            <w:tcBorders>
              <w:top w:val="single" w:sz="4" w:space="0" w:color="000000"/>
              <w:left w:val="single" w:sz="4" w:space="0" w:color="000000"/>
              <w:bottom w:val="single" w:sz="4" w:space="0" w:color="000000"/>
            </w:tcBorders>
          </w:tcPr>
          <w:p>
            <w:pPr>
              <w:pStyle w:val="TableParagraph"/>
              <w:spacing w:before="7"/>
              <w:ind w:right="74"/>
              <w:jc w:val="right"/>
              <w:rPr>
                <w:sz w:val="21"/>
              </w:rPr>
            </w:pPr>
            <w:r>
              <w:rPr>
                <w:sz w:val="21"/>
              </w:rPr>
              <w:t>1,922,506,706.23</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取得投资收益收到的现金</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616,767,534.63</w:t>
            </w:r>
          </w:p>
        </w:tc>
        <w:tc>
          <w:tcPr>
            <w:tcW w:w="2166"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587,572,407.11</w:t>
            </w:r>
          </w:p>
        </w:tc>
      </w:tr>
      <w:tr>
        <w:trPr>
          <w:trHeight w:val="544" w:hRule="atLeast"/>
        </w:trPr>
        <w:tc>
          <w:tcPr>
            <w:tcW w:w="3793" w:type="dxa"/>
            <w:tcBorders>
              <w:top w:val="single" w:sz="4" w:space="0" w:color="000000"/>
              <w:bottom w:val="single" w:sz="4" w:space="0" w:color="000000"/>
              <w:right w:val="single" w:sz="4" w:space="0" w:color="000000"/>
            </w:tcBorders>
          </w:tcPr>
          <w:p>
            <w:pPr>
              <w:pStyle w:val="TableParagraph"/>
              <w:spacing w:before="1"/>
              <w:ind w:left="318"/>
              <w:rPr>
                <w:rFonts w:ascii="宋体" w:eastAsia="宋体" w:hint="eastAsia"/>
                <w:sz w:val="21"/>
              </w:rPr>
            </w:pPr>
            <w:r>
              <w:rPr>
                <w:rFonts w:ascii="宋体" w:eastAsia="宋体" w:hint="eastAsia"/>
                <w:sz w:val="21"/>
              </w:rPr>
              <w:t>处置固定资产、无形资产和其他长期</w:t>
            </w:r>
          </w:p>
          <w:p>
            <w:pPr>
              <w:pStyle w:val="TableParagraph"/>
              <w:spacing w:line="250" w:lineRule="exact" w:before="4"/>
              <w:ind w:left="107"/>
              <w:rPr>
                <w:rFonts w:ascii="宋体" w:eastAsia="宋体" w:hint="eastAsia"/>
                <w:sz w:val="21"/>
              </w:rPr>
            </w:pPr>
            <w:r>
              <w:rPr>
                <w:rFonts w:ascii="宋体" w:eastAsia="宋体" w:hint="eastAsia"/>
                <w:sz w:val="21"/>
              </w:rPr>
              <w:t>资产收回的现金净额</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44"/>
              <w:ind w:right="85"/>
              <w:jc w:val="right"/>
              <w:rPr>
                <w:sz w:val="21"/>
              </w:rPr>
            </w:pPr>
            <w:r>
              <w:rPr>
                <w:sz w:val="21"/>
              </w:rPr>
              <w:t>324,276,028.59</w:t>
            </w:r>
          </w:p>
        </w:tc>
        <w:tc>
          <w:tcPr>
            <w:tcW w:w="2166" w:type="dxa"/>
            <w:tcBorders>
              <w:top w:val="single" w:sz="4" w:space="0" w:color="000000"/>
              <w:left w:val="single" w:sz="4" w:space="0" w:color="000000"/>
              <w:bottom w:val="single" w:sz="4" w:space="0" w:color="000000"/>
            </w:tcBorders>
          </w:tcPr>
          <w:p>
            <w:pPr>
              <w:pStyle w:val="TableParagraph"/>
              <w:spacing w:before="144"/>
              <w:ind w:right="74"/>
              <w:jc w:val="right"/>
              <w:rPr>
                <w:sz w:val="21"/>
              </w:rPr>
            </w:pPr>
            <w:r>
              <w:rPr>
                <w:sz w:val="21"/>
              </w:rPr>
              <w:t>261,126,967.93</w:t>
            </w:r>
          </w:p>
        </w:tc>
      </w:tr>
      <w:tr>
        <w:trPr>
          <w:trHeight w:val="544" w:hRule="atLeast"/>
        </w:trPr>
        <w:tc>
          <w:tcPr>
            <w:tcW w:w="3793" w:type="dxa"/>
            <w:tcBorders>
              <w:top w:val="single" w:sz="4" w:space="0" w:color="000000"/>
              <w:bottom w:val="single" w:sz="4" w:space="0" w:color="000000"/>
              <w:right w:val="single" w:sz="4" w:space="0" w:color="000000"/>
            </w:tcBorders>
          </w:tcPr>
          <w:p>
            <w:pPr>
              <w:pStyle w:val="TableParagraph"/>
              <w:spacing w:before="1"/>
              <w:ind w:left="318"/>
              <w:rPr>
                <w:rFonts w:ascii="宋体" w:eastAsia="宋体" w:hint="eastAsia"/>
                <w:sz w:val="21"/>
              </w:rPr>
            </w:pPr>
            <w:r>
              <w:rPr>
                <w:rFonts w:ascii="宋体" w:eastAsia="宋体" w:hint="eastAsia"/>
                <w:sz w:val="21"/>
              </w:rPr>
              <w:t>处置子公司及其他营业单位收到的现</w:t>
            </w:r>
          </w:p>
          <w:p>
            <w:pPr>
              <w:pStyle w:val="TableParagraph"/>
              <w:spacing w:line="250" w:lineRule="exact" w:before="4"/>
              <w:ind w:left="107"/>
              <w:rPr>
                <w:rFonts w:ascii="宋体" w:eastAsia="宋体" w:hint="eastAsia"/>
                <w:sz w:val="21"/>
              </w:rPr>
            </w:pPr>
            <w:r>
              <w:rPr>
                <w:rFonts w:ascii="宋体" w:eastAsia="宋体" w:hint="eastAsia"/>
                <w:sz w:val="21"/>
              </w:rPr>
              <w:t>金净额</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44"/>
              <w:ind w:right="85"/>
              <w:jc w:val="right"/>
              <w:rPr>
                <w:sz w:val="21"/>
              </w:rPr>
            </w:pPr>
            <w:r>
              <w:rPr>
                <w:sz w:val="21"/>
              </w:rPr>
              <w:t>861,212,858.63</w:t>
            </w:r>
          </w:p>
        </w:tc>
        <w:tc>
          <w:tcPr>
            <w:tcW w:w="2166"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收到其他与投资活动有关的现金</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6"/>
              <w:rPr>
                <w:sz w:val="21"/>
              </w:rPr>
            </w:pPr>
            <w:r>
              <w:rPr>
                <w:rFonts w:ascii="宋体" w:eastAsia="宋体" w:hint="eastAsia"/>
                <w:sz w:val="21"/>
              </w:rPr>
              <w:t>七、</w:t>
            </w:r>
            <w:r>
              <w:rPr>
                <w:sz w:val="21"/>
              </w:rPr>
              <w:t>67</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187,717,849.30</w:t>
            </w:r>
          </w:p>
        </w:tc>
        <w:tc>
          <w:tcPr>
            <w:tcW w:w="2166"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4,628,544.73</w:t>
            </w:r>
          </w:p>
        </w:tc>
      </w:tr>
      <w:tr>
        <w:trPr>
          <w:trHeight w:val="271"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1"/>
              <w:ind w:left="527"/>
              <w:rPr>
                <w:rFonts w:ascii="宋体" w:eastAsia="宋体" w:hint="eastAsia"/>
                <w:sz w:val="21"/>
              </w:rPr>
            </w:pPr>
            <w:r>
              <w:rPr>
                <w:rFonts w:ascii="宋体" w:eastAsia="宋体" w:hint="eastAsia"/>
                <w:sz w:val="21"/>
              </w:rPr>
              <w:t>投资活动现金流入小计</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16"/>
              <w:rPr>
                <w:rFonts w:ascii="宋体"/>
                <w:sz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8"/>
              <w:ind w:right="85"/>
              <w:jc w:val="right"/>
              <w:rPr>
                <w:sz w:val="21"/>
              </w:rPr>
            </w:pPr>
            <w:r>
              <w:rPr>
                <w:sz w:val="21"/>
              </w:rPr>
              <w:t>9,635,599,961.53</w:t>
            </w:r>
          </w:p>
        </w:tc>
        <w:tc>
          <w:tcPr>
            <w:tcW w:w="2166" w:type="dxa"/>
            <w:tcBorders>
              <w:top w:val="single" w:sz="4" w:space="0" w:color="000000"/>
              <w:left w:val="single" w:sz="4" w:space="0" w:color="000000"/>
              <w:bottom w:val="single" w:sz="4" w:space="0" w:color="000000"/>
            </w:tcBorders>
          </w:tcPr>
          <w:p>
            <w:pPr>
              <w:pStyle w:val="TableParagraph"/>
              <w:spacing w:before="8"/>
              <w:ind w:right="74"/>
              <w:jc w:val="right"/>
              <w:rPr>
                <w:sz w:val="21"/>
              </w:rPr>
            </w:pPr>
            <w:r>
              <w:rPr>
                <w:sz w:val="21"/>
              </w:rPr>
              <w:t>2,775,834,626.00</w:t>
            </w:r>
          </w:p>
        </w:tc>
      </w:tr>
      <w:tr>
        <w:trPr>
          <w:trHeight w:val="546" w:hRule="atLeast"/>
        </w:trPr>
        <w:tc>
          <w:tcPr>
            <w:tcW w:w="3793" w:type="dxa"/>
            <w:tcBorders>
              <w:top w:val="single" w:sz="4" w:space="0" w:color="000000"/>
              <w:bottom w:val="single" w:sz="4" w:space="0" w:color="000000"/>
              <w:right w:val="single" w:sz="4" w:space="0" w:color="000000"/>
            </w:tcBorders>
          </w:tcPr>
          <w:p>
            <w:pPr>
              <w:pStyle w:val="TableParagraph"/>
              <w:spacing w:line="270" w:lineRule="atLeast" w:before="2"/>
              <w:ind w:left="107" w:right="87" w:firstLine="211"/>
              <w:rPr>
                <w:rFonts w:ascii="宋体" w:eastAsia="宋体" w:hint="eastAsia"/>
                <w:sz w:val="21"/>
              </w:rPr>
            </w:pPr>
            <w:r>
              <w:rPr>
                <w:rFonts w:ascii="宋体" w:eastAsia="宋体" w:hint="eastAsia"/>
                <w:sz w:val="21"/>
              </w:rPr>
              <w:t>购建固定资产、无形资产和其他长期资产支付的现金</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47"/>
              <w:ind w:right="85"/>
              <w:jc w:val="right"/>
              <w:rPr>
                <w:sz w:val="21"/>
              </w:rPr>
            </w:pPr>
            <w:r>
              <w:rPr>
                <w:sz w:val="21"/>
              </w:rPr>
              <w:t>7,773,724,013.64</w:t>
            </w:r>
          </w:p>
        </w:tc>
        <w:tc>
          <w:tcPr>
            <w:tcW w:w="2166" w:type="dxa"/>
            <w:tcBorders>
              <w:top w:val="single" w:sz="4" w:space="0" w:color="000000"/>
              <w:left w:val="single" w:sz="4" w:space="0" w:color="000000"/>
              <w:bottom w:val="single" w:sz="4" w:space="0" w:color="000000"/>
            </w:tcBorders>
          </w:tcPr>
          <w:p>
            <w:pPr>
              <w:pStyle w:val="TableParagraph"/>
              <w:spacing w:before="147"/>
              <w:ind w:right="74"/>
              <w:jc w:val="right"/>
              <w:rPr>
                <w:sz w:val="21"/>
              </w:rPr>
            </w:pPr>
            <w:r>
              <w:rPr>
                <w:sz w:val="21"/>
              </w:rPr>
              <w:t>6,194,093,049.63</w:t>
            </w:r>
          </w:p>
        </w:tc>
      </w:tr>
      <w:tr>
        <w:trPr>
          <w:trHeight w:val="270"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投资支付的现金</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7"/>
              <w:ind w:right="85"/>
              <w:jc w:val="right"/>
              <w:rPr>
                <w:sz w:val="21"/>
              </w:rPr>
            </w:pPr>
            <w:r>
              <w:rPr>
                <w:sz w:val="21"/>
              </w:rPr>
              <w:t>6,816,360,337.69</w:t>
            </w:r>
          </w:p>
        </w:tc>
        <w:tc>
          <w:tcPr>
            <w:tcW w:w="2166" w:type="dxa"/>
            <w:tcBorders>
              <w:top w:val="single" w:sz="4" w:space="0" w:color="000000"/>
              <w:left w:val="single" w:sz="4" w:space="0" w:color="000000"/>
              <w:bottom w:val="single" w:sz="4" w:space="0" w:color="000000"/>
            </w:tcBorders>
          </w:tcPr>
          <w:p>
            <w:pPr>
              <w:pStyle w:val="TableParagraph"/>
              <w:spacing w:before="7"/>
              <w:ind w:right="74"/>
              <w:jc w:val="right"/>
              <w:rPr>
                <w:sz w:val="21"/>
              </w:rPr>
            </w:pPr>
            <w:r>
              <w:rPr>
                <w:sz w:val="21"/>
              </w:rPr>
              <w:t>3,891,482,546.25</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质押贷款净增加额</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66" w:type="dxa"/>
            <w:tcBorders>
              <w:top w:val="single" w:sz="4" w:space="0" w:color="000000"/>
              <w:left w:val="single" w:sz="4" w:space="0" w:color="000000"/>
              <w:bottom w:val="single" w:sz="4" w:space="0" w:color="000000"/>
            </w:tcBorders>
          </w:tcPr>
          <w:p>
            <w:pPr>
              <w:pStyle w:val="TableParagraph"/>
              <w:rPr>
                <w:sz w:val="20"/>
              </w:rPr>
            </w:pPr>
          </w:p>
        </w:tc>
      </w:tr>
      <w:tr>
        <w:trPr>
          <w:trHeight w:val="544" w:hRule="atLeast"/>
        </w:trPr>
        <w:tc>
          <w:tcPr>
            <w:tcW w:w="3793" w:type="dxa"/>
            <w:tcBorders>
              <w:top w:val="single" w:sz="4" w:space="0" w:color="000000"/>
              <w:bottom w:val="single" w:sz="4" w:space="0" w:color="000000"/>
              <w:right w:val="single" w:sz="4" w:space="0" w:color="000000"/>
            </w:tcBorders>
          </w:tcPr>
          <w:p>
            <w:pPr>
              <w:pStyle w:val="TableParagraph"/>
              <w:spacing w:before="1"/>
              <w:ind w:left="318"/>
              <w:rPr>
                <w:rFonts w:ascii="宋体" w:eastAsia="宋体" w:hint="eastAsia"/>
                <w:sz w:val="21"/>
              </w:rPr>
            </w:pPr>
            <w:r>
              <w:rPr>
                <w:rFonts w:ascii="宋体" w:eastAsia="宋体" w:hint="eastAsia"/>
                <w:sz w:val="21"/>
              </w:rPr>
              <w:t>取得子公司及其他营业单位支付的现</w:t>
            </w:r>
          </w:p>
          <w:p>
            <w:pPr>
              <w:pStyle w:val="TableParagraph"/>
              <w:spacing w:line="252" w:lineRule="exact" w:before="2"/>
              <w:ind w:left="107"/>
              <w:rPr>
                <w:rFonts w:ascii="宋体" w:eastAsia="宋体" w:hint="eastAsia"/>
                <w:sz w:val="21"/>
              </w:rPr>
            </w:pPr>
            <w:r>
              <w:rPr>
                <w:rFonts w:ascii="宋体" w:eastAsia="宋体" w:hint="eastAsia"/>
                <w:sz w:val="21"/>
              </w:rPr>
              <w:t>金净额</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44"/>
              <w:ind w:right="85"/>
              <w:jc w:val="right"/>
              <w:rPr>
                <w:sz w:val="21"/>
              </w:rPr>
            </w:pPr>
            <w:r>
              <w:rPr>
                <w:sz w:val="21"/>
              </w:rPr>
              <w:t>309,348,956.95</w:t>
            </w:r>
          </w:p>
        </w:tc>
        <w:tc>
          <w:tcPr>
            <w:tcW w:w="2166" w:type="dxa"/>
            <w:tcBorders>
              <w:top w:val="single" w:sz="4" w:space="0" w:color="000000"/>
              <w:left w:val="single" w:sz="4" w:space="0" w:color="000000"/>
              <w:bottom w:val="single" w:sz="4" w:space="0" w:color="000000"/>
            </w:tcBorders>
          </w:tcPr>
          <w:p>
            <w:pPr>
              <w:pStyle w:val="TableParagraph"/>
              <w:spacing w:before="144"/>
              <w:ind w:right="74"/>
              <w:jc w:val="right"/>
              <w:rPr>
                <w:sz w:val="21"/>
              </w:rPr>
            </w:pPr>
            <w:r>
              <w:rPr>
                <w:sz w:val="21"/>
              </w:rPr>
              <w:t>2,700,119,610.58</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支付其他与投资活动有关的现金</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6"/>
              <w:rPr>
                <w:sz w:val="21"/>
              </w:rPr>
            </w:pPr>
            <w:r>
              <w:rPr>
                <w:rFonts w:ascii="宋体" w:eastAsia="宋体" w:hint="eastAsia"/>
                <w:sz w:val="21"/>
              </w:rPr>
              <w:t>七、</w:t>
            </w:r>
            <w:r>
              <w:rPr>
                <w:sz w:val="21"/>
              </w:rPr>
              <w:t>68</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
              <w:ind w:right="86"/>
              <w:jc w:val="right"/>
              <w:rPr>
                <w:sz w:val="21"/>
              </w:rPr>
            </w:pPr>
            <w:r>
              <w:rPr>
                <w:sz w:val="21"/>
              </w:rPr>
              <w:t>317,462.62</w:t>
            </w:r>
          </w:p>
        </w:tc>
        <w:tc>
          <w:tcPr>
            <w:tcW w:w="2166"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951,722,560.75</w:t>
            </w:r>
          </w:p>
        </w:tc>
      </w:tr>
      <w:tr>
        <w:trPr>
          <w:trHeight w:val="270"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1"/>
              <w:ind w:left="527"/>
              <w:rPr>
                <w:rFonts w:ascii="宋体" w:eastAsia="宋体" w:hint="eastAsia"/>
                <w:sz w:val="21"/>
              </w:rPr>
            </w:pPr>
            <w:r>
              <w:rPr>
                <w:rFonts w:ascii="宋体" w:eastAsia="宋体" w:hint="eastAsia"/>
                <w:sz w:val="21"/>
              </w:rPr>
              <w:t>投资活动现金流出小计</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16"/>
              <w:rPr>
                <w:rFonts w:ascii="宋体"/>
                <w:sz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7"/>
              <w:ind w:right="85"/>
              <w:jc w:val="right"/>
              <w:rPr>
                <w:sz w:val="21"/>
              </w:rPr>
            </w:pPr>
            <w:r>
              <w:rPr>
                <w:sz w:val="21"/>
              </w:rPr>
              <w:t>14,899,750,770.90</w:t>
            </w:r>
          </w:p>
        </w:tc>
        <w:tc>
          <w:tcPr>
            <w:tcW w:w="2166" w:type="dxa"/>
            <w:tcBorders>
              <w:top w:val="single" w:sz="4" w:space="0" w:color="000000"/>
              <w:left w:val="single" w:sz="4" w:space="0" w:color="000000"/>
              <w:bottom w:val="single" w:sz="4" w:space="0" w:color="000000"/>
            </w:tcBorders>
          </w:tcPr>
          <w:p>
            <w:pPr>
              <w:pStyle w:val="TableParagraph"/>
              <w:spacing w:before="7"/>
              <w:ind w:right="74"/>
              <w:jc w:val="right"/>
              <w:rPr>
                <w:sz w:val="21"/>
              </w:rPr>
            </w:pPr>
            <w:r>
              <w:rPr>
                <w:sz w:val="21"/>
              </w:rPr>
              <w:t>13,737,417,767.21</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right="298"/>
              <w:jc w:val="right"/>
              <w:rPr>
                <w:rFonts w:ascii="宋体" w:eastAsia="宋体" w:hint="eastAsia"/>
                <w:sz w:val="21"/>
              </w:rPr>
            </w:pPr>
            <w:r>
              <w:rPr>
                <w:rFonts w:ascii="宋体" w:eastAsia="宋体" w:hint="eastAsia"/>
                <w:sz w:val="21"/>
              </w:rPr>
              <w:t>投资活动产生的现金流量净额</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16"/>
              <w:rPr>
                <w:rFonts w:ascii="宋体"/>
                <w:sz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
              <w:ind w:right="86"/>
              <w:jc w:val="right"/>
              <w:rPr>
                <w:sz w:val="21"/>
              </w:rPr>
            </w:pPr>
            <w:r>
              <w:rPr>
                <w:sz w:val="21"/>
              </w:rPr>
              <w:t>-5,264,150,809.37</w:t>
            </w:r>
          </w:p>
        </w:tc>
        <w:tc>
          <w:tcPr>
            <w:tcW w:w="2166"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-10,961,583,141.21</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3" w:lineRule="exact"/>
              <w:ind w:left="107"/>
              <w:rPr>
                <w:rFonts w:ascii="Microsoft JhengHei" w:eastAsia="Microsoft JhengHei" w:hint="eastAsia"/>
                <w:b/>
                <w:sz w:val="21"/>
              </w:rPr>
            </w:pPr>
            <w:r>
              <w:rPr>
                <w:rFonts w:ascii="Microsoft JhengHei" w:eastAsia="Microsoft JhengHei" w:hint="eastAsia"/>
                <w:b/>
                <w:sz w:val="21"/>
              </w:rPr>
              <w:t>三、筹资活动产生的现金流量：</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66"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吸收投资收到的现金</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7"/>
              <w:ind w:right="85"/>
              <w:jc w:val="right"/>
              <w:rPr>
                <w:sz w:val="21"/>
              </w:rPr>
            </w:pPr>
            <w:r>
              <w:rPr>
                <w:sz w:val="21"/>
              </w:rPr>
              <w:t>1,331,296,569.70</w:t>
            </w:r>
          </w:p>
        </w:tc>
        <w:tc>
          <w:tcPr>
            <w:tcW w:w="2166" w:type="dxa"/>
            <w:tcBorders>
              <w:top w:val="single" w:sz="4" w:space="0" w:color="000000"/>
              <w:left w:val="single" w:sz="4" w:space="0" w:color="000000"/>
              <w:bottom w:val="single" w:sz="4" w:space="0" w:color="000000"/>
            </w:tcBorders>
          </w:tcPr>
          <w:p>
            <w:pPr>
              <w:pStyle w:val="TableParagraph"/>
              <w:spacing w:before="7"/>
              <w:ind w:right="74"/>
              <w:jc w:val="right"/>
              <w:rPr>
                <w:sz w:val="21"/>
              </w:rPr>
            </w:pPr>
            <w:r>
              <w:rPr>
                <w:sz w:val="21"/>
              </w:rPr>
              <w:t>440,579,441.68</w:t>
            </w:r>
          </w:p>
        </w:tc>
      </w:tr>
      <w:tr>
        <w:trPr>
          <w:trHeight w:val="544" w:hRule="atLeast"/>
        </w:trPr>
        <w:tc>
          <w:tcPr>
            <w:tcW w:w="3793" w:type="dxa"/>
            <w:tcBorders>
              <w:top w:val="single" w:sz="4" w:space="0" w:color="000000"/>
              <w:bottom w:val="single" w:sz="4" w:space="0" w:color="000000"/>
              <w:right w:val="single" w:sz="4" w:space="0" w:color="000000"/>
            </w:tcBorders>
          </w:tcPr>
          <w:p>
            <w:pPr>
              <w:pStyle w:val="TableParagraph"/>
              <w:spacing w:before="1"/>
              <w:ind w:left="318"/>
              <w:rPr>
                <w:rFonts w:ascii="宋体" w:eastAsia="宋体" w:hint="eastAsia"/>
                <w:sz w:val="21"/>
              </w:rPr>
            </w:pPr>
            <w:r>
              <w:rPr>
                <w:rFonts w:ascii="宋体" w:eastAsia="宋体" w:hint="eastAsia"/>
                <w:sz w:val="21"/>
              </w:rPr>
              <w:t>其中：子公司吸收少数股东投资收到</w:t>
            </w:r>
          </w:p>
          <w:p>
            <w:pPr>
              <w:pStyle w:val="TableParagraph"/>
              <w:spacing w:line="250" w:lineRule="exact" w:before="5"/>
              <w:ind w:left="107"/>
              <w:rPr>
                <w:rFonts w:ascii="宋体" w:eastAsia="宋体" w:hint="eastAsia"/>
                <w:sz w:val="21"/>
              </w:rPr>
            </w:pPr>
            <w:r>
              <w:rPr>
                <w:rFonts w:ascii="宋体" w:eastAsia="宋体" w:hint="eastAsia"/>
                <w:sz w:val="21"/>
              </w:rPr>
              <w:t>的现金</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66"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取得借款收到的现金</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28,732,212,245.36</w:t>
            </w:r>
          </w:p>
        </w:tc>
        <w:tc>
          <w:tcPr>
            <w:tcW w:w="2166"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18,468,949,110.20</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收到其他与筹资活动有关的现金</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6"/>
              <w:rPr>
                <w:sz w:val="21"/>
              </w:rPr>
            </w:pPr>
            <w:r>
              <w:rPr>
                <w:rFonts w:ascii="宋体" w:eastAsia="宋体" w:hint="eastAsia"/>
                <w:sz w:val="21"/>
              </w:rPr>
              <w:t>七、</w:t>
            </w:r>
            <w:r>
              <w:rPr>
                <w:sz w:val="21"/>
              </w:rPr>
              <w:t>69</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14,082,437.17</w:t>
            </w:r>
          </w:p>
        </w:tc>
        <w:tc>
          <w:tcPr>
            <w:tcW w:w="2166"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2,751,630.60</w:t>
            </w:r>
          </w:p>
        </w:tc>
      </w:tr>
      <w:tr>
        <w:trPr>
          <w:trHeight w:val="270"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1"/>
              <w:ind w:left="527"/>
              <w:rPr>
                <w:rFonts w:ascii="宋体" w:eastAsia="宋体" w:hint="eastAsia"/>
                <w:sz w:val="21"/>
              </w:rPr>
            </w:pPr>
            <w:r>
              <w:rPr>
                <w:rFonts w:ascii="宋体" w:eastAsia="宋体" w:hint="eastAsia"/>
                <w:sz w:val="21"/>
              </w:rPr>
              <w:t>筹资活动现金流入小计</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16"/>
              <w:rPr>
                <w:rFonts w:ascii="宋体"/>
                <w:sz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7"/>
              <w:ind w:right="85"/>
              <w:jc w:val="right"/>
              <w:rPr>
                <w:sz w:val="21"/>
              </w:rPr>
            </w:pPr>
            <w:r>
              <w:rPr>
                <w:sz w:val="21"/>
              </w:rPr>
              <w:t>30,077,591,252.23</w:t>
            </w:r>
          </w:p>
        </w:tc>
        <w:tc>
          <w:tcPr>
            <w:tcW w:w="2166" w:type="dxa"/>
            <w:tcBorders>
              <w:top w:val="single" w:sz="4" w:space="0" w:color="000000"/>
              <w:left w:val="single" w:sz="4" w:space="0" w:color="000000"/>
              <w:bottom w:val="single" w:sz="4" w:space="0" w:color="000000"/>
            </w:tcBorders>
          </w:tcPr>
          <w:p>
            <w:pPr>
              <w:pStyle w:val="TableParagraph"/>
              <w:spacing w:before="7"/>
              <w:ind w:right="74"/>
              <w:jc w:val="right"/>
              <w:rPr>
                <w:sz w:val="21"/>
              </w:rPr>
            </w:pPr>
            <w:r>
              <w:rPr>
                <w:sz w:val="21"/>
              </w:rPr>
              <w:t>18,912,280,182.48</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偿还债务支付的现金</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16"/>
              <w:rPr>
                <w:rFonts w:ascii="宋体"/>
                <w:sz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23,508,653,041.48</w:t>
            </w:r>
          </w:p>
        </w:tc>
        <w:tc>
          <w:tcPr>
            <w:tcW w:w="2166"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19,027,731,485.58</w:t>
            </w:r>
          </w:p>
        </w:tc>
      </w:tr>
      <w:tr>
        <w:trPr>
          <w:trHeight w:val="544" w:hRule="atLeast"/>
        </w:trPr>
        <w:tc>
          <w:tcPr>
            <w:tcW w:w="3793" w:type="dxa"/>
            <w:tcBorders>
              <w:top w:val="single" w:sz="4" w:space="0" w:color="000000"/>
              <w:bottom w:val="single" w:sz="4" w:space="0" w:color="000000"/>
              <w:right w:val="single" w:sz="4" w:space="0" w:color="000000"/>
            </w:tcBorders>
          </w:tcPr>
          <w:p>
            <w:pPr>
              <w:pStyle w:val="TableParagraph"/>
              <w:spacing w:before="1"/>
              <w:ind w:left="318"/>
              <w:rPr>
                <w:rFonts w:ascii="宋体" w:eastAsia="宋体" w:hint="eastAsia"/>
                <w:sz w:val="21"/>
              </w:rPr>
            </w:pPr>
            <w:r>
              <w:rPr>
                <w:rFonts w:ascii="宋体" w:eastAsia="宋体" w:hint="eastAsia"/>
                <w:sz w:val="21"/>
              </w:rPr>
              <w:t>分配股利、利润或偿付利息支付的现</w:t>
            </w:r>
          </w:p>
          <w:p>
            <w:pPr>
              <w:pStyle w:val="TableParagraph"/>
              <w:spacing w:line="250" w:lineRule="exact" w:before="4"/>
              <w:ind w:left="107"/>
              <w:rPr>
                <w:rFonts w:ascii="宋体" w:eastAsia="宋体" w:hint="eastAsia"/>
                <w:sz w:val="21"/>
              </w:rPr>
            </w:pPr>
            <w:r>
              <w:rPr>
                <w:rFonts w:ascii="宋体" w:eastAsia="宋体" w:hint="eastAsia"/>
                <w:w w:val="100"/>
                <w:sz w:val="21"/>
              </w:rPr>
              <w:t>金</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before="130"/>
              <w:ind w:left="116"/>
              <w:rPr>
                <w:rFonts w:ascii="宋体"/>
                <w:sz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44"/>
              <w:ind w:right="85"/>
              <w:jc w:val="right"/>
              <w:rPr>
                <w:sz w:val="21"/>
              </w:rPr>
            </w:pPr>
            <w:r>
              <w:rPr>
                <w:sz w:val="21"/>
              </w:rPr>
              <w:t>4,290,278,773.42</w:t>
            </w:r>
          </w:p>
        </w:tc>
        <w:tc>
          <w:tcPr>
            <w:tcW w:w="2166" w:type="dxa"/>
            <w:tcBorders>
              <w:top w:val="single" w:sz="4" w:space="0" w:color="000000"/>
              <w:left w:val="single" w:sz="4" w:space="0" w:color="000000"/>
              <w:bottom w:val="single" w:sz="4" w:space="0" w:color="000000"/>
            </w:tcBorders>
          </w:tcPr>
          <w:p>
            <w:pPr>
              <w:pStyle w:val="TableParagraph"/>
              <w:spacing w:before="144"/>
              <w:ind w:right="74"/>
              <w:jc w:val="right"/>
              <w:rPr>
                <w:sz w:val="21"/>
              </w:rPr>
            </w:pPr>
            <w:r>
              <w:rPr>
                <w:sz w:val="21"/>
              </w:rPr>
              <w:t>4,204,473,167.16</w:t>
            </w:r>
          </w:p>
        </w:tc>
      </w:tr>
      <w:tr>
        <w:trPr>
          <w:trHeight w:val="544" w:hRule="atLeast"/>
        </w:trPr>
        <w:tc>
          <w:tcPr>
            <w:tcW w:w="3793" w:type="dxa"/>
            <w:tcBorders>
              <w:top w:val="single" w:sz="4" w:space="0" w:color="000000"/>
              <w:bottom w:val="single" w:sz="4" w:space="0" w:color="000000"/>
              <w:right w:val="single" w:sz="4" w:space="0" w:color="000000"/>
            </w:tcBorders>
          </w:tcPr>
          <w:p>
            <w:pPr>
              <w:pStyle w:val="TableParagraph"/>
              <w:spacing w:before="1"/>
              <w:ind w:left="318" w:right="-29"/>
              <w:rPr>
                <w:rFonts w:ascii="宋体" w:eastAsia="宋体" w:hint="eastAsia"/>
                <w:sz w:val="21"/>
              </w:rPr>
            </w:pPr>
            <w:r>
              <w:rPr>
                <w:rFonts w:ascii="宋体" w:eastAsia="宋体" w:hint="eastAsia"/>
                <w:spacing w:val="-12"/>
                <w:sz w:val="21"/>
              </w:rPr>
              <w:t>其中：子公司支付给少数股东的股利、</w:t>
            </w:r>
          </w:p>
          <w:p>
            <w:pPr>
              <w:pStyle w:val="TableParagraph"/>
              <w:spacing w:line="250" w:lineRule="exact" w:before="4"/>
              <w:ind w:left="107"/>
              <w:rPr>
                <w:rFonts w:ascii="宋体" w:eastAsia="宋体" w:hint="eastAsia"/>
                <w:sz w:val="21"/>
              </w:rPr>
            </w:pPr>
            <w:r>
              <w:rPr>
                <w:rFonts w:ascii="宋体" w:eastAsia="宋体" w:hint="eastAsia"/>
                <w:sz w:val="21"/>
              </w:rPr>
              <w:t>利润</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66"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支付其他与筹资活动有关的现金</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6"/>
              <w:rPr>
                <w:sz w:val="21"/>
              </w:rPr>
            </w:pPr>
            <w:r>
              <w:rPr>
                <w:rFonts w:ascii="宋体" w:eastAsia="宋体" w:hint="eastAsia"/>
                <w:sz w:val="21"/>
              </w:rPr>
              <w:t>七、</w:t>
            </w:r>
            <w:r>
              <w:rPr>
                <w:sz w:val="21"/>
              </w:rPr>
              <w:t>70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3,304,582,534.88</w:t>
            </w:r>
          </w:p>
        </w:tc>
        <w:tc>
          <w:tcPr>
            <w:tcW w:w="2166"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1,693,038,756.15</w:t>
            </w:r>
          </w:p>
        </w:tc>
      </w:tr>
      <w:tr>
        <w:trPr>
          <w:trHeight w:val="270"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1"/>
              <w:ind w:left="527"/>
              <w:rPr>
                <w:rFonts w:ascii="宋体" w:eastAsia="宋体" w:hint="eastAsia"/>
                <w:sz w:val="21"/>
              </w:rPr>
            </w:pPr>
            <w:r>
              <w:rPr>
                <w:rFonts w:ascii="宋体" w:eastAsia="宋体" w:hint="eastAsia"/>
                <w:sz w:val="21"/>
              </w:rPr>
              <w:t>筹资活动现金流出小计</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16"/>
              <w:rPr>
                <w:rFonts w:ascii="宋体"/>
                <w:sz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7"/>
              <w:ind w:right="85"/>
              <w:jc w:val="right"/>
              <w:rPr>
                <w:sz w:val="21"/>
              </w:rPr>
            </w:pPr>
            <w:r>
              <w:rPr>
                <w:sz w:val="21"/>
              </w:rPr>
              <w:t>31,103,514,349.78</w:t>
            </w:r>
          </w:p>
        </w:tc>
        <w:tc>
          <w:tcPr>
            <w:tcW w:w="2166" w:type="dxa"/>
            <w:tcBorders>
              <w:top w:val="single" w:sz="4" w:space="0" w:color="000000"/>
              <w:left w:val="single" w:sz="4" w:space="0" w:color="000000"/>
              <w:bottom w:val="single" w:sz="4" w:space="0" w:color="000000"/>
            </w:tcBorders>
          </w:tcPr>
          <w:p>
            <w:pPr>
              <w:pStyle w:val="TableParagraph"/>
              <w:spacing w:before="7"/>
              <w:ind w:right="74"/>
              <w:jc w:val="right"/>
              <w:rPr>
                <w:sz w:val="21"/>
              </w:rPr>
            </w:pPr>
            <w:r>
              <w:rPr>
                <w:sz w:val="21"/>
              </w:rPr>
              <w:t>24,925,243,408.89</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3"/>
              <w:ind w:right="298"/>
              <w:jc w:val="right"/>
              <w:rPr>
                <w:rFonts w:ascii="宋体" w:eastAsia="宋体" w:hint="eastAsia"/>
                <w:sz w:val="21"/>
              </w:rPr>
            </w:pPr>
            <w:r>
              <w:rPr>
                <w:rFonts w:ascii="宋体" w:eastAsia="宋体" w:hint="eastAsia"/>
                <w:sz w:val="21"/>
              </w:rPr>
              <w:t>筹资活动产生的现金流量净额</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16"/>
              <w:rPr>
                <w:rFonts w:ascii="宋体"/>
                <w:sz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
              <w:ind w:right="86"/>
              <w:jc w:val="right"/>
              <w:rPr>
                <w:sz w:val="21"/>
              </w:rPr>
            </w:pPr>
            <w:r>
              <w:rPr>
                <w:sz w:val="21"/>
              </w:rPr>
              <w:t>-1,025,923,097.55</w:t>
            </w:r>
          </w:p>
        </w:tc>
        <w:tc>
          <w:tcPr>
            <w:tcW w:w="2166"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-6,012,963,226.41</w:t>
            </w:r>
          </w:p>
        </w:tc>
      </w:tr>
      <w:tr>
        <w:trPr>
          <w:trHeight w:val="544" w:hRule="atLeast"/>
        </w:trPr>
        <w:tc>
          <w:tcPr>
            <w:tcW w:w="3793" w:type="dxa"/>
            <w:tcBorders>
              <w:top w:val="single" w:sz="4" w:space="0" w:color="000000"/>
              <w:bottom w:val="single" w:sz="4" w:space="0" w:color="000000"/>
              <w:right w:val="single" w:sz="4" w:space="0" w:color="000000"/>
            </w:tcBorders>
          </w:tcPr>
          <w:p>
            <w:pPr>
              <w:pStyle w:val="TableParagraph"/>
              <w:spacing w:line="262" w:lineRule="exact"/>
              <w:ind w:left="107"/>
              <w:rPr>
                <w:rFonts w:ascii="Microsoft JhengHei" w:eastAsia="Microsoft JhengHei" w:hint="eastAsia"/>
                <w:b/>
                <w:sz w:val="21"/>
              </w:rPr>
            </w:pPr>
            <w:r>
              <w:rPr>
                <w:rFonts w:ascii="Microsoft JhengHei" w:eastAsia="Microsoft JhengHei" w:hint="eastAsia"/>
                <w:b/>
                <w:sz w:val="21"/>
              </w:rPr>
              <w:t>四、汇率变动对现金及现金等价物的影</w:t>
            </w:r>
          </w:p>
          <w:p>
            <w:pPr>
              <w:pStyle w:val="TableParagraph"/>
              <w:spacing w:line="263" w:lineRule="exact"/>
              <w:ind w:left="107"/>
              <w:rPr>
                <w:rFonts w:ascii="Microsoft JhengHei" w:eastAsia="Microsoft JhengHei" w:hint="eastAsia"/>
                <w:b/>
                <w:sz w:val="21"/>
              </w:rPr>
            </w:pPr>
            <w:r>
              <w:rPr>
                <w:rFonts w:ascii="Microsoft JhengHei" w:eastAsia="Microsoft JhengHei" w:hint="eastAsia"/>
                <w:b/>
                <w:w w:val="100"/>
                <w:sz w:val="21"/>
              </w:rPr>
              <w:t>响</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before="131"/>
              <w:ind w:left="116"/>
              <w:rPr>
                <w:rFonts w:ascii="宋体"/>
                <w:sz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45"/>
              <w:ind w:right="86"/>
              <w:jc w:val="right"/>
              <w:rPr>
                <w:sz w:val="21"/>
              </w:rPr>
            </w:pPr>
            <w:r>
              <w:rPr>
                <w:sz w:val="21"/>
              </w:rPr>
              <w:t>-636,852,569.96</w:t>
            </w:r>
          </w:p>
        </w:tc>
        <w:tc>
          <w:tcPr>
            <w:tcW w:w="2166" w:type="dxa"/>
            <w:tcBorders>
              <w:top w:val="single" w:sz="4" w:space="0" w:color="000000"/>
              <w:left w:val="single" w:sz="4" w:space="0" w:color="000000"/>
              <w:bottom w:val="single" w:sz="4" w:space="0" w:color="000000"/>
            </w:tcBorders>
          </w:tcPr>
          <w:p>
            <w:pPr>
              <w:pStyle w:val="TableParagraph"/>
              <w:spacing w:before="145"/>
              <w:ind w:right="74"/>
              <w:jc w:val="right"/>
              <w:rPr>
                <w:sz w:val="21"/>
              </w:rPr>
            </w:pPr>
            <w:r>
              <w:rPr>
                <w:sz w:val="21"/>
              </w:rPr>
              <w:t>293,937,069.64</w:t>
            </w:r>
          </w:p>
        </w:tc>
      </w:tr>
      <w:tr>
        <w:trPr>
          <w:trHeight w:val="273" w:hRule="atLeast"/>
        </w:trPr>
        <w:tc>
          <w:tcPr>
            <w:tcW w:w="3793" w:type="dxa"/>
            <w:tcBorders>
              <w:top w:val="single" w:sz="4" w:space="0" w:color="000000"/>
              <w:bottom w:val="single" w:sz="4" w:space="0" w:color="000000"/>
              <w:right w:val="single" w:sz="4" w:space="0" w:color="000000"/>
            </w:tcBorders>
          </w:tcPr>
          <w:p>
            <w:pPr>
              <w:pStyle w:val="TableParagraph"/>
              <w:spacing w:line="253" w:lineRule="exact"/>
              <w:ind w:left="107"/>
              <w:rPr>
                <w:rFonts w:ascii="Microsoft JhengHei" w:eastAsia="Microsoft JhengHei" w:hint="eastAsia"/>
                <w:b/>
                <w:sz w:val="21"/>
              </w:rPr>
            </w:pPr>
            <w:r>
              <w:rPr>
                <w:rFonts w:ascii="Microsoft JhengHei" w:eastAsia="Microsoft JhengHei" w:hint="eastAsia"/>
                <w:b/>
                <w:sz w:val="21"/>
              </w:rPr>
              <w:t>七、现金及现金等价物净增加额</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16"/>
              <w:rPr>
                <w:rFonts w:ascii="宋体"/>
                <w:sz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10,672,185,238.63</w:t>
            </w:r>
          </w:p>
        </w:tc>
        <w:tc>
          <w:tcPr>
            <w:tcW w:w="2166"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-1,597,978,355.25</w:t>
            </w:r>
          </w:p>
        </w:tc>
      </w:tr>
      <w:tr>
        <w:trPr>
          <w:trHeight w:val="270" w:hRule="atLeast"/>
        </w:trPr>
        <w:tc>
          <w:tcPr>
            <w:tcW w:w="3793"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加：期初现金及现金等价物余额</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6"/>
              <w:rPr>
                <w:sz w:val="21"/>
              </w:rPr>
            </w:pPr>
            <w:r>
              <w:rPr>
                <w:rFonts w:ascii="宋体" w:eastAsia="宋体" w:hint="eastAsia"/>
                <w:sz w:val="21"/>
              </w:rPr>
              <w:t>七、</w:t>
            </w:r>
            <w:r>
              <w:rPr>
                <w:sz w:val="21"/>
              </w:rPr>
              <w:t>71</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7"/>
              <w:ind w:right="85"/>
              <w:jc w:val="right"/>
              <w:rPr>
                <w:sz w:val="21"/>
              </w:rPr>
            </w:pPr>
            <w:r>
              <w:rPr>
                <w:sz w:val="21"/>
              </w:rPr>
              <w:t>34,962,947,399.85</w:t>
            </w:r>
          </w:p>
        </w:tc>
        <w:tc>
          <w:tcPr>
            <w:tcW w:w="2166" w:type="dxa"/>
            <w:tcBorders>
              <w:top w:val="single" w:sz="4" w:space="0" w:color="000000"/>
              <w:left w:val="single" w:sz="4" w:space="0" w:color="000000"/>
              <w:bottom w:val="single" w:sz="4" w:space="0" w:color="000000"/>
            </w:tcBorders>
          </w:tcPr>
          <w:p>
            <w:pPr>
              <w:pStyle w:val="TableParagraph"/>
              <w:spacing w:before="7"/>
              <w:ind w:right="74"/>
              <w:jc w:val="right"/>
              <w:rPr>
                <w:sz w:val="21"/>
              </w:rPr>
            </w:pPr>
            <w:r>
              <w:rPr>
                <w:sz w:val="21"/>
              </w:rPr>
              <w:t>36,560,925,755.10</w:t>
            </w:r>
          </w:p>
        </w:tc>
      </w:tr>
      <w:tr>
        <w:trPr>
          <w:trHeight w:val="272" w:hRule="atLeast"/>
        </w:trPr>
        <w:tc>
          <w:tcPr>
            <w:tcW w:w="3793" w:type="dxa"/>
            <w:tcBorders>
              <w:top w:val="single" w:sz="4" w:space="0" w:color="000000"/>
              <w:right w:val="single" w:sz="4" w:space="0" w:color="000000"/>
            </w:tcBorders>
          </w:tcPr>
          <w:p>
            <w:pPr>
              <w:pStyle w:val="TableParagraph"/>
              <w:spacing w:line="253" w:lineRule="exact"/>
              <w:ind w:left="107"/>
              <w:rPr>
                <w:rFonts w:ascii="Microsoft JhengHei" w:eastAsia="Microsoft JhengHei" w:hint="eastAsia"/>
                <w:b/>
                <w:sz w:val="21"/>
              </w:rPr>
            </w:pPr>
            <w:r>
              <w:rPr>
                <w:rFonts w:ascii="Microsoft JhengHei" w:eastAsia="Microsoft JhengHei" w:hint="eastAsia"/>
                <w:b/>
                <w:sz w:val="21"/>
              </w:rPr>
              <w:t>六、期末现金及现金等价物余额</w:t>
            </w:r>
          </w:p>
        </w:tc>
        <w:tc>
          <w:tcPr>
            <w:tcW w:w="918" w:type="dxa"/>
            <w:tcBorders>
              <w:top w:val="single" w:sz="4" w:space="0" w:color="000000"/>
              <w:left w:val="single" w:sz="4" w:space="0" w:color="000000"/>
              <w:right w:val="single" w:sz="4" w:space="0" w:color="000000"/>
            </w:tcBorders>
          </w:tcPr>
          <w:p>
            <w:pPr>
              <w:pStyle w:val="TableParagraph"/>
              <w:spacing w:line="249" w:lineRule="exact" w:before="3"/>
              <w:ind w:left="116"/>
              <w:rPr>
                <w:sz w:val="21"/>
              </w:rPr>
            </w:pPr>
            <w:r>
              <w:rPr>
                <w:rFonts w:ascii="宋体" w:eastAsia="宋体" w:hint="eastAsia"/>
                <w:sz w:val="21"/>
              </w:rPr>
              <w:t>七、</w:t>
            </w:r>
            <w:r>
              <w:rPr>
                <w:sz w:val="21"/>
              </w:rPr>
              <w:t>71</w:t>
            </w:r>
          </w:p>
        </w:tc>
        <w:tc>
          <w:tcPr>
            <w:tcW w:w="2175" w:type="dxa"/>
            <w:tcBorders>
              <w:top w:val="single" w:sz="4" w:space="0" w:color="000000"/>
              <w:left w:val="single" w:sz="4" w:space="0" w:color="000000"/>
              <w:right w:val="single" w:sz="4" w:space="0" w:color="000000"/>
            </w:tcBorders>
          </w:tcPr>
          <w:p>
            <w:pPr>
              <w:pStyle w:val="TableParagraph"/>
              <w:spacing w:before="10"/>
              <w:ind w:right="85"/>
              <w:jc w:val="right"/>
              <w:rPr>
                <w:sz w:val="21"/>
              </w:rPr>
            </w:pPr>
            <w:r>
              <w:rPr>
                <w:sz w:val="21"/>
              </w:rPr>
              <w:t>45,635,132,638.48</w:t>
            </w:r>
          </w:p>
        </w:tc>
        <w:tc>
          <w:tcPr>
            <w:tcW w:w="2166" w:type="dxa"/>
            <w:tcBorders>
              <w:top w:val="single" w:sz="4" w:space="0" w:color="000000"/>
              <w:left w:val="single" w:sz="4" w:space="0" w:color="000000"/>
            </w:tcBorders>
          </w:tcPr>
          <w:p>
            <w:pPr>
              <w:pStyle w:val="TableParagraph"/>
              <w:spacing w:before="10"/>
              <w:ind w:right="74"/>
              <w:jc w:val="right"/>
              <w:rPr>
                <w:sz w:val="21"/>
              </w:rPr>
            </w:pPr>
            <w:r>
              <w:rPr>
                <w:sz w:val="21"/>
              </w:rPr>
              <w:t>34,962,947,399.85</w:t>
            </w:r>
          </w:p>
        </w:tc>
      </w:tr>
    </w:tbl>
    <w:p>
      <w:pPr>
        <w:pStyle w:val="BodyText"/>
        <w:spacing w:before="12"/>
        <w:rPr>
          <w:sz w:val="15"/>
        </w:rPr>
      </w:pPr>
    </w:p>
    <w:p>
      <w:pPr>
        <w:pStyle w:val="BodyText"/>
        <w:tabs>
          <w:tab w:pos="2520" w:val="left" w:leader="none"/>
          <w:tab w:pos="5672" w:val="left" w:leader="none"/>
        </w:tabs>
        <w:spacing w:before="71"/>
        <w:ind w:right="96"/>
        <w:jc w:val="center"/>
      </w:pPr>
      <w:r>
        <w:rPr/>
        <w:t>法定</w:t>
      </w:r>
      <w:r>
        <w:rPr>
          <w:spacing w:val="-3"/>
        </w:rPr>
        <w:t>代</w:t>
      </w:r>
      <w:r>
        <w:rPr/>
        <w:t>表</w:t>
      </w:r>
      <w:r>
        <w:rPr>
          <w:spacing w:val="-3"/>
        </w:rPr>
        <w:t>人</w:t>
      </w:r>
      <w:r>
        <w:rPr/>
        <w:t>：</w:t>
      </w:r>
      <w:r>
        <w:rPr>
          <w:spacing w:val="-3"/>
        </w:rPr>
        <w:t>梁</w:t>
      </w:r>
      <w:r>
        <w:rPr/>
        <w:t>海山</w:t>
        <w:tab/>
        <w:t>主</w:t>
      </w:r>
      <w:r>
        <w:rPr>
          <w:spacing w:val="-3"/>
        </w:rPr>
        <w:t>管</w:t>
      </w:r>
      <w:r>
        <w:rPr/>
        <w:t>会</w:t>
      </w:r>
      <w:r>
        <w:rPr>
          <w:spacing w:val="-3"/>
        </w:rPr>
        <w:t>计</w:t>
      </w:r>
      <w:r>
        <w:rPr/>
        <w:t>工</w:t>
      </w:r>
      <w:r>
        <w:rPr>
          <w:spacing w:val="-3"/>
        </w:rPr>
        <w:t>作</w:t>
      </w:r>
      <w:r>
        <w:rPr/>
        <w:t>负</w:t>
      </w:r>
      <w:r>
        <w:rPr>
          <w:spacing w:val="-3"/>
        </w:rPr>
        <w:t>责</w:t>
      </w:r>
      <w:r>
        <w:rPr/>
        <w:t>人</w:t>
      </w:r>
      <w:r>
        <w:rPr>
          <w:spacing w:val="-3"/>
        </w:rPr>
        <w:t>：宫</w:t>
      </w:r>
      <w:r>
        <w:rPr/>
        <w:t>伟</w:t>
        <w:tab/>
      </w:r>
      <w:r>
        <w:rPr>
          <w:spacing w:val="-3"/>
        </w:rPr>
        <w:t>会</w:t>
      </w:r>
      <w:r>
        <w:rPr/>
        <w:t>计</w:t>
      </w:r>
      <w:r>
        <w:rPr>
          <w:spacing w:val="-3"/>
        </w:rPr>
        <w:t>机</w:t>
      </w:r>
      <w:r>
        <w:rPr/>
        <w:t>构</w:t>
      </w:r>
      <w:r>
        <w:rPr>
          <w:spacing w:val="-3"/>
        </w:rPr>
        <w:t>负</w:t>
      </w:r>
      <w:r>
        <w:rPr/>
        <w:t>责</w:t>
      </w:r>
      <w:r>
        <w:rPr>
          <w:spacing w:val="-3"/>
        </w:rPr>
        <w:t>人</w:t>
      </w:r>
      <w:r>
        <w:rPr/>
        <w:t>：应珂</w:t>
      </w:r>
    </w:p>
    <w:p>
      <w:pPr>
        <w:pStyle w:val="BodyText"/>
        <w:rPr>
          <w:sz w:val="20"/>
        </w:rPr>
      </w:pPr>
    </w:p>
    <w:p>
      <w:pPr>
        <w:pStyle w:val="Heading4"/>
        <w:spacing w:line="363" w:lineRule="exact" w:before="162"/>
        <w:ind w:left="0" w:right="75"/>
        <w:jc w:val="center"/>
      </w:pPr>
      <w:r>
        <w:rPr/>
        <w:t>母公司现金流量表</w:t>
      </w:r>
    </w:p>
    <w:p>
      <w:pPr>
        <w:pStyle w:val="BodyText"/>
        <w:spacing w:line="246" w:lineRule="exact"/>
        <w:ind w:right="72"/>
        <w:jc w:val="center"/>
      </w:pPr>
      <w:r>
        <w:rPr>
          <w:rFonts w:ascii="Times New Roman" w:hAnsi="Times New Roman" w:eastAsia="Times New Roman"/>
        </w:rPr>
        <w:t>2020 </w:t>
      </w:r>
      <w:r>
        <w:rPr>
          <w:spacing w:val="-27"/>
        </w:rPr>
        <w:t>年 </w:t>
      </w:r>
      <w:r>
        <w:rPr>
          <w:rFonts w:ascii="Times New Roman" w:hAnsi="Times New Roman" w:eastAsia="Times New Roman"/>
        </w:rPr>
        <w:t>1—12 </w:t>
      </w:r>
      <w:r>
        <w:rPr/>
        <w:t>月</w:t>
      </w:r>
    </w:p>
    <w:p>
      <w:pPr>
        <w:spacing w:after="0" w:line="246" w:lineRule="exact"/>
        <w:jc w:val="center"/>
        <w:sectPr>
          <w:pgSz w:w="11910" w:h="16840"/>
          <w:pgMar w:header="876" w:footer="1184" w:top="1440" w:bottom="1400" w:left="1560" w:right="960"/>
        </w:sectPr>
      </w:pPr>
    </w:p>
    <w:p>
      <w:pPr>
        <w:pStyle w:val="BodyText"/>
        <w:tabs>
          <w:tab w:pos="900" w:val="left" w:leader="none"/>
        </w:tabs>
        <w:spacing w:before="68" w:after="4"/>
        <w:ind w:right="310"/>
        <w:jc w:val="right"/>
      </w:pPr>
      <w:r>
        <w:rPr/>
        <w:t>单位</w:t>
      </w:r>
      <w:r>
        <w:rPr>
          <w:rFonts w:ascii="Times New Roman" w:eastAsia="Times New Roman"/>
        </w:rPr>
        <w:t>:</w:t>
      </w:r>
      <w:r>
        <w:rPr/>
        <w:t>元</w:t>
        <w:tab/>
      </w:r>
      <w:r>
        <w:rPr>
          <w:spacing w:val="-3"/>
        </w:rPr>
        <w:t>币</w:t>
      </w:r>
      <w:r>
        <w:rPr>
          <w:spacing w:val="-1"/>
        </w:rPr>
        <w:t>种</w:t>
      </w:r>
      <w:r>
        <w:rPr>
          <w:rFonts w:ascii="Times New Roman" w:eastAsia="Times New Roman"/>
          <w:spacing w:val="-1"/>
        </w:rPr>
        <w:t>:</w:t>
      </w:r>
      <w:r>
        <w:rPr/>
        <w:t>人</w:t>
      </w:r>
      <w:r>
        <w:rPr>
          <w:spacing w:val="-3"/>
        </w:rPr>
        <w:t>民</w:t>
      </w:r>
      <w:r>
        <w:rPr/>
        <w:t>币</w:t>
      </w:r>
    </w:p>
    <w:tbl>
      <w:tblPr>
        <w:tblW w:w="0" w:type="auto"/>
        <w:jc w:val="left"/>
        <w:tblInd w:w="1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795"/>
        <w:gridCol w:w="920"/>
        <w:gridCol w:w="2172"/>
        <w:gridCol w:w="2163"/>
      </w:tblGrid>
      <w:tr>
        <w:trPr>
          <w:trHeight w:val="272" w:hRule="atLeast"/>
        </w:trPr>
        <w:tc>
          <w:tcPr>
            <w:tcW w:w="3795" w:type="dxa"/>
            <w:tcBorders>
              <w:bottom w:val="single" w:sz="4" w:space="0" w:color="000000"/>
              <w:right w:val="single" w:sz="4" w:space="0" w:color="000000"/>
            </w:tcBorders>
            <w:shd w:val="clear" w:color="auto" w:fill="EDEBE0"/>
          </w:tcPr>
          <w:p>
            <w:pPr>
              <w:pStyle w:val="TableParagraph"/>
              <w:spacing w:line="253" w:lineRule="exact"/>
              <w:ind w:left="1665" w:right="1650"/>
              <w:jc w:val="center"/>
              <w:rPr>
                <w:rFonts w:ascii="Microsoft JhengHei" w:eastAsia="Microsoft JhengHei" w:hint="eastAsia"/>
                <w:b/>
                <w:sz w:val="21"/>
              </w:rPr>
            </w:pPr>
            <w:r>
              <w:rPr>
                <w:rFonts w:ascii="Microsoft JhengHei" w:eastAsia="Microsoft JhengHei" w:hint="eastAsia"/>
                <w:b/>
                <w:sz w:val="21"/>
              </w:rPr>
              <w:t>项目</w:t>
            </w:r>
          </w:p>
        </w:tc>
        <w:tc>
          <w:tcPr>
            <w:tcW w:w="920" w:type="dxa"/>
            <w:tcBorders>
              <w:left w:val="single" w:sz="4" w:space="0" w:color="000000"/>
              <w:bottom w:val="single" w:sz="4" w:space="0" w:color="000000"/>
              <w:right w:val="single" w:sz="4" w:space="0" w:color="000000"/>
            </w:tcBorders>
            <w:shd w:val="clear" w:color="auto" w:fill="EDEBE0"/>
          </w:tcPr>
          <w:p>
            <w:pPr>
              <w:pStyle w:val="TableParagraph"/>
              <w:spacing w:line="253" w:lineRule="exact"/>
              <w:ind w:left="256"/>
              <w:rPr>
                <w:rFonts w:ascii="Microsoft JhengHei" w:eastAsia="Microsoft JhengHei" w:hint="eastAsia"/>
                <w:b/>
                <w:sz w:val="21"/>
              </w:rPr>
            </w:pPr>
            <w:r>
              <w:rPr>
                <w:rFonts w:ascii="Microsoft JhengHei" w:eastAsia="Microsoft JhengHei" w:hint="eastAsia"/>
                <w:b/>
                <w:sz w:val="21"/>
              </w:rPr>
              <w:t>附注</w:t>
            </w:r>
          </w:p>
        </w:tc>
        <w:tc>
          <w:tcPr>
            <w:tcW w:w="2172" w:type="dxa"/>
            <w:tcBorders>
              <w:left w:val="single" w:sz="4" w:space="0" w:color="000000"/>
              <w:bottom w:val="single" w:sz="4" w:space="0" w:color="000000"/>
              <w:right w:val="single" w:sz="4" w:space="0" w:color="000000"/>
            </w:tcBorders>
            <w:shd w:val="clear" w:color="auto" w:fill="EDEBE0"/>
          </w:tcPr>
          <w:p>
            <w:pPr>
              <w:pStyle w:val="TableParagraph"/>
              <w:spacing w:line="253" w:lineRule="exact"/>
              <w:ind w:left="673"/>
              <w:rPr>
                <w:rFonts w:ascii="Microsoft JhengHei" w:eastAsia="Microsoft JhengHei" w:hint="eastAsia"/>
                <w:b/>
                <w:sz w:val="21"/>
              </w:rPr>
            </w:pPr>
            <w:r>
              <w:rPr>
                <w:b/>
                <w:sz w:val="21"/>
              </w:rPr>
              <w:t>2020</w:t>
            </w:r>
            <w:r>
              <w:rPr>
                <w:rFonts w:ascii="Microsoft JhengHei" w:eastAsia="Microsoft JhengHei" w:hint="eastAsia"/>
                <w:b/>
                <w:sz w:val="21"/>
              </w:rPr>
              <w:t>年度</w:t>
            </w:r>
          </w:p>
        </w:tc>
        <w:tc>
          <w:tcPr>
            <w:tcW w:w="2163" w:type="dxa"/>
            <w:tcBorders>
              <w:left w:val="single" w:sz="4" w:space="0" w:color="000000"/>
              <w:bottom w:val="single" w:sz="4" w:space="0" w:color="000000"/>
            </w:tcBorders>
            <w:shd w:val="clear" w:color="auto" w:fill="EDEBE0"/>
          </w:tcPr>
          <w:p>
            <w:pPr>
              <w:pStyle w:val="TableParagraph"/>
              <w:spacing w:line="253" w:lineRule="exact"/>
              <w:ind w:left="669"/>
              <w:rPr>
                <w:rFonts w:ascii="Microsoft JhengHei" w:eastAsia="Microsoft JhengHei" w:hint="eastAsia"/>
                <w:b/>
                <w:sz w:val="21"/>
              </w:rPr>
            </w:pPr>
            <w:r>
              <w:rPr>
                <w:b/>
                <w:sz w:val="21"/>
              </w:rPr>
              <w:t>2019</w:t>
            </w:r>
            <w:r>
              <w:rPr>
                <w:rFonts w:ascii="Microsoft JhengHei" w:eastAsia="Microsoft JhengHei" w:hint="eastAsia"/>
                <w:b/>
                <w:sz w:val="21"/>
              </w:rPr>
              <w:t>年度</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3" w:lineRule="exact"/>
              <w:ind w:left="107"/>
              <w:rPr>
                <w:rFonts w:ascii="Microsoft JhengHei" w:eastAsia="Microsoft JhengHei" w:hint="eastAsia"/>
                <w:b/>
                <w:sz w:val="21"/>
              </w:rPr>
            </w:pPr>
            <w:r>
              <w:rPr>
                <w:rFonts w:ascii="Microsoft JhengHei" w:eastAsia="Microsoft JhengHei" w:hint="eastAsia"/>
                <w:b/>
                <w:sz w:val="21"/>
              </w:rPr>
              <w:t>一、经营活动产生的现金流量：</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63"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销售商品、提供劳务收到的现金</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before="7"/>
              <w:ind w:right="84"/>
              <w:jc w:val="right"/>
              <w:rPr>
                <w:sz w:val="21"/>
              </w:rPr>
            </w:pPr>
            <w:r>
              <w:rPr>
                <w:sz w:val="21"/>
              </w:rPr>
              <w:t>3,603,881,541.71</w:t>
            </w:r>
          </w:p>
        </w:tc>
        <w:tc>
          <w:tcPr>
            <w:tcW w:w="2163" w:type="dxa"/>
            <w:tcBorders>
              <w:top w:val="single" w:sz="4" w:space="0" w:color="000000"/>
              <w:left w:val="single" w:sz="4" w:space="0" w:color="000000"/>
              <w:bottom w:val="single" w:sz="4" w:space="0" w:color="000000"/>
            </w:tcBorders>
          </w:tcPr>
          <w:p>
            <w:pPr>
              <w:pStyle w:val="TableParagraph"/>
              <w:spacing w:before="7"/>
              <w:ind w:right="74"/>
              <w:jc w:val="right"/>
              <w:rPr>
                <w:sz w:val="21"/>
              </w:rPr>
            </w:pPr>
            <w:r>
              <w:rPr>
                <w:sz w:val="21"/>
              </w:rPr>
              <w:t>1,740,547,441.74</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收到的税费返还</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before="10"/>
              <w:ind w:right="84"/>
              <w:jc w:val="right"/>
              <w:rPr>
                <w:sz w:val="21"/>
              </w:rPr>
            </w:pPr>
            <w:r>
              <w:rPr>
                <w:sz w:val="21"/>
              </w:rPr>
              <w:t>24,537,663.34</w:t>
            </w:r>
          </w:p>
        </w:tc>
        <w:tc>
          <w:tcPr>
            <w:tcW w:w="2163"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10,340,498.97</w:t>
            </w: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收到其他与经营活动有关的现金</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before="7"/>
              <w:ind w:right="84"/>
              <w:jc w:val="right"/>
              <w:rPr>
                <w:sz w:val="21"/>
              </w:rPr>
            </w:pPr>
            <w:r>
              <w:rPr>
                <w:sz w:val="21"/>
              </w:rPr>
              <w:t>75,205,449.89</w:t>
            </w:r>
          </w:p>
        </w:tc>
        <w:tc>
          <w:tcPr>
            <w:tcW w:w="2163" w:type="dxa"/>
            <w:tcBorders>
              <w:top w:val="single" w:sz="4" w:space="0" w:color="000000"/>
              <w:left w:val="single" w:sz="4" w:space="0" w:color="000000"/>
              <w:bottom w:val="single" w:sz="4" w:space="0" w:color="000000"/>
            </w:tcBorders>
          </w:tcPr>
          <w:p>
            <w:pPr>
              <w:pStyle w:val="TableParagraph"/>
              <w:spacing w:before="7"/>
              <w:ind w:right="74"/>
              <w:jc w:val="right"/>
              <w:rPr>
                <w:sz w:val="21"/>
              </w:rPr>
            </w:pPr>
            <w:r>
              <w:rPr>
                <w:sz w:val="21"/>
              </w:rPr>
              <w:t>152,431,584.44</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3"/>
              <w:ind w:left="527"/>
              <w:rPr>
                <w:rFonts w:ascii="宋体" w:eastAsia="宋体" w:hint="eastAsia"/>
                <w:sz w:val="21"/>
              </w:rPr>
            </w:pPr>
            <w:r>
              <w:rPr>
                <w:rFonts w:ascii="宋体" w:eastAsia="宋体" w:hint="eastAsia"/>
                <w:sz w:val="21"/>
              </w:rPr>
              <w:t>经营活动现金流入小计</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before="10"/>
              <w:ind w:right="84"/>
              <w:jc w:val="right"/>
              <w:rPr>
                <w:sz w:val="21"/>
              </w:rPr>
            </w:pPr>
            <w:r>
              <w:rPr>
                <w:sz w:val="21"/>
              </w:rPr>
              <w:t>3,703,624,654.94</w:t>
            </w:r>
          </w:p>
        </w:tc>
        <w:tc>
          <w:tcPr>
            <w:tcW w:w="2163"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1,903,319,525.15</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购买商品、接受劳务支付的现金</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before="10"/>
              <w:ind w:right="84"/>
              <w:jc w:val="right"/>
              <w:rPr>
                <w:sz w:val="21"/>
              </w:rPr>
            </w:pPr>
            <w:r>
              <w:rPr>
                <w:sz w:val="21"/>
              </w:rPr>
              <w:t>10,101,283,560.88</w:t>
            </w:r>
          </w:p>
        </w:tc>
        <w:tc>
          <w:tcPr>
            <w:tcW w:w="2163"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619,607,241.38</w:t>
            </w: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支付给职工及为职工支付的现金</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before="7"/>
              <w:ind w:right="84"/>
              <w:jc w:val="right"/>
              <w:rPr>
                <w:sz w:val="21"/>
              </w:rPr>
            </w:pPr>
            <w:r>
              <w:rPr>
                <w:sz w:val="21"/>
              </w:rPr>
              <w:t>515,906,240.68</w:t>
            </w:r>
          </w:p>
        </w:tc>
        <w:tc>
          <w:tcPr>
            <w:tcW w:w="2163" w:type="dxa"/>
            <w:tcBorders>
              <w:top w:val="single" w:sz="4" w:space="0" w:color="000000"/>
              <w:left w:val="single" w:sz="4" w:space="0" w:color="000000"/>
              <w:bottom w:val="single" w:sz="4" w:space="0" w:color="000000"/>
            </w:tcBorders>
          </w:tcPr>
          <w:p>
            <w:pPr>
              <w:pStyle w:val="TableParagraph"/>
              <w:spacing w:before="7"/>
              <w:ind w:right="74"/>
              <w:jc w:val="right"/>
              <w:rPr>
                <w:sz w:val="21"/>
              </w:rPr>
            </w:pPr>
            <w:r>
              <w:rPr>
                <w:sz w:val="21"/>
              </w:rPr>
              <w:t>734,773,203.47</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3"/>
              <w:ind w:left="318"/>
              <w:rPr>
                <w:rFonts w:ascii="宋体" w:eastAsia="宋体" w:hint="eastAsia"/>
                <w:sz w:val="21"/>
              </w:rPr>
            </w:pPr>
            <w:r>
              <w:rPr>
                <w:rFonts w:ascii="宋体" w:eastAsia="宋体" w:hint="eastAsia"/>
                <w:sz w:val="21"/>
              </w:rPr>
              <w:t>支付的各项税费</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before="10"/>
              <w:ind w:right="84"/>
              <w:jc w:val="right"/>
              <w:rPr>
                <w:sz w:val="21"/>
              </w:rPr>
            </w:pPr>
            <w:r>
              <w:rPr>
                <w:sz w:val="21"/>
              </w:rPr>
              <w:t>235,780,589.82</w:t>
            </w:r>
          </w:p>
        </w:tc>
        <w:tc>
          <w:tcPr>
            <w:tcW w:w="2163"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170,125,689.18</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支付其他与经营活动有关的现金</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before="10"/>
              <w:ind w:right="84"/>
              <w:jc w:val="right"/>
              <w:rPr>
                <w:sz w:val="21"/>
              </w:rPr>
            </w:pPr>
            <w:r>
              <w:rPr>
                <w:sz w:val="21"/>
              </w:rPr>
              <w:t>141,423,832.28</w:t>
            </w:r>
          </w:p>
        </w:tc>
        <w:tc>
          <w:tcPr>
            <w:tcW w:w="2163"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235,966,622.43</w:t>
            </w: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527"/>
              <w:rPr>
                <w:rFonts w:ascii="宋体" w:eastAsia="宋体" w:hint="eastAsia"/>
                <w:sz w:val="21"/>
              </w:rPr>
            </w:pPr>
            <w:r>
              <w:rPr>
                <w:rFonts w:ascii="宋体" w:eastAsia="宋体" w:hint="eastAsia"/>
                <w:sz w:val="21"/>
              </w:rPr>
              <w:t>经营活动现金流出小计</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before="7"/>
              <w:ind w:right="84"/>
              <w:jc w:val="right"/>
              <w:rPr>
                <w:sz w:val="21"/>
              </w:rPr>
            </w:pPr>
            <w:r>
              <w:rPr>
                <w:sz w:val="21"/>
              </w:rPr>
              <w:t>10,994,394,223.66</w:t>
            </w:r>
          </w:p>
        </w:tc>
        <w:tc>
          <w:tcPr>
            <w:tcW w:w="2163" w:type="dxa"/>
            <w:tcBorders>
              <w:top w:val="single" w:sz="4" w:space="0" w:color="000000"/>
              <w:left w:val="single" w:sz="4" w:space="0" w:color="000000"/>
              <w:bottom w:val="single" w:sz="4" w:space="0" w:color="000000"/>
            </w:tcBorders>
          </w:tcPr>
          <w:p>
            <w:pPr>
              <w:pStyle w:val="TableParagraph"/>
              <w:spacing w:before="7"/>
              <w:ind w:right="74"/>
              <w:jc w:val="right"/>
              <w:rPr>
                <w:sz w:val="21"/>
              </w:rPr>
            </w:pPr>
            <w:r>
              <w:rPr>
                <w:sz w:val="21"/>
              </w:rPr>
              <w:t>1,760,472,756.46</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经营活动产生的现金流量净额</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before="10"/>
              <w:ind w:right="84"/>
              <w:jc w:val="right"/>
              <w:rPr>
                <w:sz w:val="21"/>
              </w:rPr>
            </w:pPr>
            <w:r>
              <w:rPr>
                <w:sz w:val="21"/>
              </w:rPr>
              <w:t>-7,290,769,568.72</w:t>
            </w:r>
          </w:p>
        </w:tc>
        <w:tc>
          <w:tcPr>
            <w:tcW w:w="2163"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142,846,768.69</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4" w:lineRule="exact"/>
              <w:ind w:left="107"/>
              <w:rPr>
                <w:rFonts w:ascii="Microsoft JhengHei" w:eastAsia="Microsoft JhengHei" w:hint="eastAsia"/>
                <w:b/>
                <w:sz w:val="21"/>
              </w:rPr>
            </w:pPr>
            <w:r>
              <w:rPr>
                <w:rFonts w:ascii="Microsoft JhengHei" w:eastAsia="Microsoft JhengHei" w:hint="eastAsia"/>
                <w:b/>
                <w:sz w:val="21"/>
              </w:rPr>
              <w:t>二、投资活动产生的现金流量：</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63"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收回投资收到的现金</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before="7"/>
              <w:ind w:right="84"/>
              <w:jc w:val="right"/>
              <w:rPr>
                <w:sz w:val="21"/>
              </w:rPr>
            </w:pPr>
            <w:r>
              <w:rPr>
                <w:sz w:val="21"/>
              </w:rPr>
              <w:t>4,234,131,825.64</w:t>
            </w:r>
          </w:p>
        </w:tc>
        <w:tc>
          <w:tcPr>
            <w:tcW w:w="2163" w:type="dxa"/>
            <w:tcBorders>
              <w:top w:val="single" w:sz="4" w:space="0" w:color="000000"/>
              <w:left w:val="single" w:sz="4" w:space="0" w:color="000000"/>
              <w:bottom w:val="single" w:sz="4" w:space="0" w:color="000000"/>
            </w:tcBorders>
          </w:tcPr>
          <w:p>
            <w:pPr>
              <w:pStyle w:val="TableParagraph"/>
              <w:spacing w:before="7"/>
              <w:ind w:right="74"/>
              <w:jc w:val="right"/>
              <w:rPr>
                <w:sz w:val="21"/>
              </w:rPr>
            </w:pPr>
            <w:r>
              <w:rPr>
                <w:sz w:val="21"/>
              </w:rPr>
              <w:t>1,800,977,000.00</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取得投资收益收到的现金</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before="10"/>
              <w:ind w:right="84"/>
              <w:jc w:val="right"/>
              <w:rPr>
                <w:sz w:val="21"/>
              </w:rPr>
            </w:pPr>
            <w:r>
              <w:rPr>
                <w:sz w:val="21"/>
              </w:rPr>
              <w:t>4,203,101,788.48</w:t>
            </w:r>
          </w:p>
        </w:tc>
        <w:tc>
          <w:tcPr>
            <w:tcW w:w="2163"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1,533,550,644.96</w:t>
            </w:r>
          </w:p>
        </w:tc>
      </w:tr>
      <w:tr>
        <w:trPr>
          <w:trHeight w:val="544" w:hRule="atLeast"/>
        </w:trPr>
        <w:tc>
          <w:tcPr>
            <w:tcW w:w="3795" w:type="dxa"/>
            <w:tcBorders>
              <w:top w:val="single" w:sz="4" w:space="0" w:color="000000"/>
              <w:bottom w:val="single" w:sz="4" w:space="0" w:color="000000"/>
              <w:right w:val="single" w:sz="4" w:space="0" w:color="000000"/>
            </w:tcBorders>
          </w:tcPr>
          <w:p>
            <w:pPr>
              <w:pStyle w:val="TableParagraph"/>
              <w:spacing w:before="1"/>
              <w:ind w:left="318"/>
              <w:rPr>
                <w:rFonts w:ascii="宋体" w:eastAsia="宋体" w:hint="eastAsia"/>
                <w:sz w:val="21"/>
              </w:rPr>
            </w:pPr>
            <w:r>
              <w:rPr>
                <w:rFonts w:ascii="宋体" w:eastAsia="宋体" w:hint="eastAsia"/>
                <w:sz w:val="21"/>
              </w:rPr>
              <w:t>处置固定资产、无形资产和其他长期</w:t>
            </w:r>
          </w:p>
          <w:p>
            <w:pPr>
              <w:pStyle w:val="TableParagraph"/>
              <w:spacing w:line="250" w:lineRule="exact" w:before="4"/>
              <w:ind w:left="107"/>
              <w:rPr>
                <w:rFonts w:ascii="宋体" w:eastAsia="宋体" w:hint="eastAsia"/>
                <w:sz w:val="21"/>
              </w:rPr>
            </w:pPr>
            <w:r>
              <w:rPr>
                <w:rFonts w:ascii="宋体" w:eastAsia="宋体" w:hint="eastAsia"/>
                <w:sz w:val="21"/>
              </w:rPr>
              <w:t>资产收回的现金净额</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63" w:type="dxa"/>
            <w:tcBorders>
              <w:top w:val="single" w:sz="4" w:space="0" w:color="000000"/>
              <w:left w:val="single" w:sz="4" w:space="0" w:color="000000"/>
              <w:bottom w:val="single" w:sz="4" w:space="0" w:color="000000"/>
            </w:tcBorders>
          </w:tcPr>
          <w:p>
            <w:pPr>
              <w:pStyle w:val="TableParagraph"/>
              <w:rPr>
                <w:sz w:val="20"/>
              </w:rPr>
            </w:pPr>
          </w:p>
        </w:tc>
      </w:tr>
      <w:tr>
        <w:trPr>
          <w:trHeight w:val="544" w:hRule="atLeast"/>
        </w:trPr>
        <w:tc>
          <w:tcPr>
            <w:tcW w:w="3795" w:type="dxa"/>
            <w:tcBorders>
              <w:top w:val="single" w:sz="4" w:space="0" w:color="000000"/>
              <w:bottom w:val="single" w:sz="4" w:space="0" w:color="000000"/>
              <w:right w:val="single" w:sz="4" w:space="0" w:color="000000"/>
            </w:tcBorders>
          </w:tcPr>
          <w:p>
            <w:pPr>
              <w:pStyle w:val="TableParagraph"/>
              <w:spacing w:before="1"/>
              <w:ind w:left="318"/>
              <w:rPr>
                <w:rFonts w:ascii="宋体" w:eastAsia="宋体" w:hint="eastAsia"/>
                <w:sz w:val="21"/>
              </w:rPr>
            </w:pPr>
            <w:r>
              <w:rPr>
                <w:rFonts w:ascii="宋体" w:eastAsia="宋体" w:hint="eastAsia"/>
                <w:sz w:val="21"/>
              </w:rPr>
              <w:t>处置子公司及其他营业单位收到的现</w:t>
            </w:r>
          </w:p>
          <w:p>
            <w:pPr>
              <w:pStyle w:val="TableParagraph"/>
              <w:spacing w:line="250" w:lineRule="exact" w:before="4"/>
              <w:ind w:left="107"/>
              <w:rPr>
                <w:rFonts w:ascii="宋体" w:eastAsia="宋体" w:hint="eastAsia"/>
                <w:sz w:val="21"/>
              </w:rPr>
            </w:pPr>
            <w:r>
              <w:rPr>
                <w:rFonts w:ascii="宋体" w:eastAsia="宋体" w:hint="eastAsia"/>
                <w:sz w:val="21"/>
              </w:rPr>
              <w:t>金净额</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63"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收到其他与投资活动有关的现金</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63"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527"/>
              <w:rPr>
                <w:rFonts w:ascii="宋体" w:eastAsia="宋体" w:hint="eastAsia"/>
                <w:sz w:val="21"/>
              </w:rPr>
            </w:pPr>
            <w:r>
              <w:rPr>
                <w:rFonts w:ascii="宋体" w:eastAsia="宋体" w:hint="eastAsia"/>
                <w:sz w:val="21"/>
              </w:rPr>
              <w:t>投资活动现金流入小计</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before="7"/>
              <w:ind w:right="84"/>
              <w:jc w:val="right"/>
              <w:rPr>
                <w:sz w:val="21"/>
              </w:rPr>
            </w:pPr>
            <w:r>
              <w:rPr>
                <w:sz w:val="21"/>
              </w:rPr>
              <w:t>8,437,233,614.12</w:t>
            </w:r>
          </w:p>
        </w:tc>
        <w:tc>
          <w:tcPr>
            <w:tcW w:w="2163" w:type="dxa"/>
            <w:tcBorders>
              <w:top w:val="single" w:sz="4" w:space="0" w:color="000000"/>
              <w:left w:val="single" w:sz="4" w:space="0" w:color="000000"/>
              <w:bottom w:val="single" w:sz="4" w:space="0" w:color="000000"/>
            </w:tcBorders>
          </w:tcPr>
          <w:p>
            <w:pPr>
              <w:pStyle w:val="TableParagraph"/>
              <w:spacing w:before="7"/>
              <w:ind w:right="74"/>
              <w:jc w:val="right"/>
              <w:rPr>
                <w:sz w:val="21"/>
              </w:rPr>
            </w:pPr>
            <w:r>
              <w:rPr>
                <w:sz w:val="21"/>
              </w:rPr>
              <w:t>3,334,527,644.96</w:t>
            </w:r>
          </w:p>
        </w:tc>
      </w:tr>
      <w:tr>
        <w:trPr>
          <w:trHeight w:val="546" w:hRule="atLeast"/>
        </w:trPr>
        <w:tc>
          <w:tcPr>
            <w:tcW w:w="3795" w:type="dxa"/>
            <w:tcBorders>
              <w:top w:val="single" w:sz="4" w:space="0" w:color="000000"/>
              <w:bottom w:val="single" w:sz="4" w:space="0" w:color="000000"/>
              <w:right w:val="single" w:sz="4" w:space="0" w:color="000000"/>
            </w:tcBorders>
          </w:tcPr>
          <w:p>
            <w:pPr>
              <w:pStyle w:val="TableParagraph"/>
              <w:spacing w:line="270" w:lineRule="atLeast" w:before="2"/>
              <w:ind w:left="107" w:right="89" w:firstLine="211"/>
              <w:rPr>
                <w:rFonts w:ascii="宋体" w:eastAsia="宋体" w:hint="eastAsia"/>
                <w:sz w:val="21"/>
              </w:rPr>
            </w:pPr>
            <w:r>
              <w:rPr>
                <w:rFonts w:ascii="宋体" w:eastAsia="宋体" w:hint="eastAsia"/>
                <w:sz w:val="21"/>
              </w:rPr>
              <w:t>购建固定资产、无形资产和其他长期资产支付的现金</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before="147"/>
              <w:ind w:right="84"/>
              <w:jc w:val="right"/>
              <w:rPr>
                <w:sz w:val="21"/>
              </w:rPr>
            </w:pPr>
            <w:r>
              <w:rPr>
                <w:sz w:val="21"/>
              </w:rPr>
              <w:t>107,123,777.09</w:t>
            </w:r>
          </w:p>
        </w:tc>
        <w:tc>
          <w:tcPr>
            <w:tcW w:w="2163" w:type="dxa"/>
            <w:tcBorders>
              <w:top w:val="single" w:sz="4" w:space="0" w:color="000000"/>
              <w:left w:val="single" w:sz="4" w:space="0" w:color="000000"/>
              <w:bottom w:val="single" w:sz="4" w:space="0" w:color="000000"/>
            </w:tcBorders>
          </w:tcPr>
          <w:p>
            <w:pPr>
              <w:pStyle w:val="TableParagraph"/>
              <w:spacing w:before="147"/>
              <w:ind w:right="74"/>
              <w:jc w:val="right"/>
              <w:rPr>
                <w:sz w:val="21"/>
              </w:rPr>
            </w:pPr>
            <w:r>
              <w:rPr>
                <w:sz w:val="21"/>
              </w:rPr>
              <w:t>38,846,142.08</w:t>
            </w: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投资支付的现金</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before="7"/>
              <w:ind w:right="84"/>
              <w:jc w:val="right"/>
              <w:rPr>
                <w:sz w:val="21"/>
              </w:rPr>
            </w:pPr>
            <w:r>
              <w:rPr>
                <w:sz w:val="21"/>
              </w:rPr>
              <w:t>2,159,770,900.00</w:t>
            </w:r>
          </w:p>
        </w:tc>
        <w:tc>
          <w:tcPr>
            <w:tcW w:w="2163" w:type="dxa"/>
            <w:tcBorders>
              <w:top w:val="single" w:sz="4" w:space="0" w:color="000000"/>
              <w:left w:val="single" w:sz="4" w:space="0" w:color="000000"/>
              <w:bottom w:val="single" w:sz="4" w:space="0" w:color="000000"/>
            </w:tcBorders>
          </w:tcPr>
          <w:p>
            <w:pPr>
              <w:pStyle w:val="TableParagraph"/>
              <w:spacing w:before="7"/>
              <w:ind w:right="74"/>
              <w:jc w:val="right"/>
              <w:rPr>
                <w:sz w:val="21"/>
              </w:rPr>
            </w:pPr>
            <w:r>
              <w:rPr>
                <w:sz w:val="21"/>
              </w:rPr>
              <w:t>4,122,089,854.72</w:t>
            </w:r>
          </w:p>
        </w:tc>
      </w:tr>
      <w:tr>
        <w:trPr>
          <w:trHeight w:val="544" w:hRule="atLeast"/>
        </w:trPr>
        <w:tc>
          <w:tcPr>
            <w:tcW w:w="3795" w:type="dxa"/>
            <w:tcBorders>
              <w:top w:val="single" w:sz="4" w:space="0" w:color="000000"/>
              <w:bottom w:val="single" w:sz="4" w:space="0" w:color="000000"/>
              <w:right w:val="single" w:sz="4" w:space="0" w:color="000000"/>
            </w:tcBorders>
          </w:tcPr>
          <w:p>
            <w:pPr>
              <w:pStyle w:val="TableParagraph"/>
              <w:spacing w:before="1"/>
              <w:ind w:left="318"/>
              <w:rPr>
                <w:rFonts w:ascii="宋体" w:eastAsia="宋体" w:hint="eastAsia"/>
                <w:sz w:val="21"/>
              </w:rPr>
            </w:pPr>
            <w:r>
              <w:rPr>
                <w:rFonts w:ascii="宋体" w:eastAsia="宋体" w:hint="eastAsia"/>
                <w:sz w:val="21"/>
              </w:rPr>
              <w:t>取得子公司及其他营业单位支付的现</w:t>
            </w:r>
          </w:p>
          <w:p>
            <w:pPr>
              <w:pStyle w:val="TableParagraph"/>
              <w:spacing w:line="250" w:lineRule="exact" w:before="5"/>
              <w:ind w:left="107"/>
              <w:rPr>
                <w:rFonts w:ascii="宋体" w:eastAsia="宋体" w:hint="eastAsia"/>
                <w:sz w:val="21"/>
              </w:rPr>
            </w:pPr>
            <w:r>
              <w:rPr>
                <w:rFonts w:ascii="宋体" w:eastAsia="宋体" w:hint="eastAsia"/>
                <w:sz w:val="21"/>
              </w:rPr>
              <w:t>金净额</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63"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支付其他与投资活动有关的现金</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before="10"/>
              <w:ind w:right="84"/>
              <w:jc w:val="right"/>
              <w:rPr>
                <w:sz w:val="21"/>
              </w:rPr>
            </w:pPr>
            <w:r>
              <w:rPr>
                <w:sz w:val="21"/>
              </w:rPr>
              <w:t>217,500,000.00</w:t>
            </w:r>
          </w:p>
        </w:tc>
        <w:tc>
          <w:tcPr>
            <w:tcW w:w="2163"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320,291,379.00</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527"/>
              <w:rPr>
                <w:rFonts w:ascii="宋体" w:eastAsia="宋体" w:hint="eastAsia"/>
                <w:sz w:val="21"/>
              </w:rPr>
            </w:pPr>
            <w:r>
              <w:rPr>
                <w:rFonts w:ascii="宋体" w:eastAsia="宋体" w:hint="eastAsia"/>
                <w:sz w:val="21"/>
              </w:rPr>
              <w:t>投资活动现金流出小计</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before="10"/>
              <w:ind w:right="84"/>
              <w:jc w:val="right"/>
              <w:rPr>
                <w:sz w:val="21"/>
              </w:rPr>
            </w:pPr>
            <w:r>
              <w:rPr>
                <w:sz w:val="21"/>
              </w:rPr>
              <w:t>2,484,394,677.09</w:t>
            </w:r>
          </w:p>
        </w:tc>
        <w:tc>
          <w:tcPr>
            <w:tcW w:w="2163"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4,481,227,375.80</w:t>
            </w: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right="300"/>
              <w:jc w:val="right"/>
              <w:rPr>
                <w:rFonts w:ascii="宋体" w:eastAsia="宋体" w:hint="eastAsia"/>
                <w:sz w:val="21"/>
              </w:rPr>
            </w:pPr>
            <w:r>
              <w:rPr>
                <w:rFonts w:ascii="宋体" w:eastAsia="宋体" w:hint="eastAsia"/>
                <w:sz w:val="21"/>
              </w:rPr>
              <w:t>投资活动产生的现金流量净额</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before="7"/>
              <w:ind w:right="84"/>
              <w:jc w:val="right"/>
              <w:rPr>
                <w:sz w:val="21"/>
              </w:rPr>
            </w:pPr>
            <w:r>
              <w:rPr>
                <w:sz w:val="21"/>
              </w:rPr>
              <w:t>5,952,838,937.03</w:t>
            </w:r>
          </w:p>
        </w:tc>
        <w:tc>
          <w:tcPr>
            <w:tcW w:w="2163" w:type="dxa"/>
            <w:tcBorders>
              <w:top w:val="single" w:sz="4" w:space="0" w:color="000000"/>
              <w:left w:val="single" w:sz="4" w:space="0" w:color="000000"/>
              <w:bottom w:val="single" w:sz="4" w:space="0" w:color="000000"/>
            </w:tcBorders>
          </w:tcPr>
          <w:p>
            <w:pPr>
              <w:pStyle w:val="TableParagraph"/>
              <w:spacing w:before="7"/>
              <w:ind w:right="74"/>
              <w:jc w:val="right"/>
              <w:rPr>
                <w:sz w:val="21"/>
              </w:rPr>
            </w:pPr>
            <w:r>
              <w:rPr>
                <w:sz w:val="21"/>
              </w:rPr>
              <w:t>-1,146,699,730.84</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3" w:lineRule="exact"/>
              <w:ind w:left="107"/>
              <w:rPr>
                <w:rFonts w:ascii="Microsoft JhengHei" w:eastAsia="Microsoft JhengHei" w:hint="eastAsia"/>
                <w:b/>
                <w:sz w:val="21"/>
              </w:rPr>
            </w:pPr>
            <w:r>
              <w:rPr>
                <w:rFonts w:ascii="Microsoft JhengHei" w:eastAsia="Microsoft JhengHei" w:hint="eastAsia"/>
                <w:b/>
                <w:sz w:val="21"/>
              </w:rPr>
              <w:t>三、筹资活动产生的现金流量：</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63"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吸收投资收到的现金</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63"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318"/>
              <w:rPr>
                <w:rFonts w:ascii="宋体" w:eastAsia="宋体" w:hint="eastAsia"/>
                <w:sz w:val="21"/>
              </w:rPr>
            </w:pPr>
            <w:r>
              <w:rPr>
                <w:rFonts w:ascii="宋体" w:eastAsia="宋体" w:hint="eastAsia"/>
                <w:sz w:val="21"/>
              </w:rPr>
              <w:t>取得借款收到的现金</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before="12"/>
              <w:ind w:right="88"/>
              <w:jc w:val="right"/>
              <w:rPr>
                <w:sz w:val="20"/>
              </w:rPr>
            </w:pPr>
            <w:r>
              <w:rPr>
                <w:w w:val="95"/>
                <w:sz w:val="20"/>
              </w:rPr>
              <w:t>10,000,000,000.00</w:t>
            </w:r>
          </w:p>
        </w:tc>
        <w:tc>
          <w:tcPr>
            <w:tcW w:w="2163"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收到其他与筹资活动有关的现金</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before="10"/>
              <w:ind w:right="84"/>
              <w:jc w:val="right"/>
              <w:rPr>
                <w:sz w:val="21"/>
              </w:rPr>
            </w:pPr>
            <w:r>
              <w:rPr>
                <w:sz w:val="21"/>
              </w:rPr>
              <w:t>1,071,070,663.49</w:t>
            </w:r>
          </w:p>
        </w:tc>
        <w:tc>
          <w:tcPr>
            <w:tcW w:w="2163"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3,585,075,242.08</w:t>
            </w: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527"/>
              <w:rPr>
                <w:rFonts w:ascii="宋体" w:eastAsia="宋体" w:hint="eastAsia"/>
                <w:sz w:val="21"/>
              </w:rPr>
            </w:pPr>
            <w:r>
              <w:rPr>
                <w:rFonts w:ascii="宋体" w:eastAsia="宋体" w:hint="eastAsia"/>
                <w:sz w:val="21"/>
              </w:rPr>
              <w:t>筹资活动现金流入小计</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before="7"/>
              <w:ind w:right="84"/>
              <w:jc w:val="right"/>
              <w:rPr>
                <w:sz w:val="21"/>
              </w:rPr>
            </w:pPr>
            <w:r>
              <w:rPr>
                <w:sz w:val="21"/>
              </w:rPr>
              <w:t>11,071,070,663.49</w:t>
            </w:r>
          </w:p>
        </w:tc>
        <w:tc>
          <w:tcPr>
            <w:tcW w:w="2163" w:type="dxa"/>
            <w:tcBorders>
              <w:top w:val="single" w:sz="4" w:space="0" w:color="000000"/>
              <w:left w:val="single" w:sz="4" w:space="0" w:color="000000"/>
              <w:bottom w:val="single" w:sz="4" w:space="0" w:color="000000"/>
            </w:tcBorders>
          </w:tcPr>
          <w:p>
            <w:pPr>
              <w:pStyle w:val="TableParagraph"/>
              <w:spacing w:before="7"/>
              <w:ind w:right="74"/>
              <w:jc w:val="right"/>
              <w:rPr>
                <w:sz w:val="21"/>
              </w:rPr>
            </w:pPr>
            <w:r>
              <w:rPr>
                <w:sz w:val="21"/>
              </w:rPr>
              <w:t>3,585,075,242.08</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3"/>
              <w:ind w:left="318"/>
              <w:rPr>
                <w:rFonts w:ascii="宋体" w:eastAsia="宋体" w:hint="eastAsia"/>
                <w:sz w:val="21"/>
              </w:rPr>
            </w:pPr>
            <w:r>
              <w:rPr>
                <w:rFonts w:ascii="宋体" w:eastAsia="宋体" w:hint="eastAsia"/>
                <w:sz w:val="21"/>
              </w:rPr>
              <w:t>偿还债务支付的现金</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before="10"/>
              <w:ind w:right="84"/>
              <w:jc w:val="right"/>
              <w:rPr>
                <w:sz w:val="21"/>
              </w:rPr>
            </w:pPr>
            <w:r>
              <w:rPr>
                <w:sz w:val="21"/>
              </w:rPr>
              <w:t>4,500,000,000.00</w:t>
            </w:r>
          </w:p>
        </w:tc>
        <w:tc>
          <w:tcPr>
            <w:tcW w:w="2163"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1,509,142,243.50</w:t>
            </w:r>
          </w:p>
        </w:tc>
      </w:tr>
      <w:tr>
        <w:trPr>
          <w:trHeight w:val="544" w:hRule="atLeast"/>
        </w:trPr>
        <w:tc>
          <w:tcPr>
            <w:tcW w:w="3795" w:type="dxa"/>
            <w:tcBorders>
              <w:top w:val="single" w:sz="4" w:space="0" w:color="000000"/>
              <w:bottom w:val="single" w:sz="4" w:space="0" w:color="000000"/>
              <w:right w:val="single" w:sz="4" w:space="0" w:color="000000"/>
            </w:tcBorders>
          </w:tcPr>
          <w:p>
            <w:pPr>
              <w:pStyle w:val="TableParagraph"/>
              <w:spacing w:before="1"/>
              <w:ind w:left="318"/>
              <w:rPr>
                <w:rFonts w:ascii="宋体" w:eastAsia="宋体" w:hint="eastAsia"/>
                <w:sz w:val="21"/>
              </w:rPr>
            </w:pPr>
            <w:r>
              <w:rPr>
                <w:rFonts w:ascii="宋体" w:eastAsia="宋体" w:hint="eastAsia"/>
                <w:sz w:val="21"/>
              </w:rPr>
              <w:t>分配股利、利润或偿付利息支付的现</w:t>
            </w:r>
          </w:p>
          <w:p>
            <w:pPr>
              <w:pStyle w:val="TableParagraph"/>
              <w:spacing w:line="250" w:lineRule="exact" w:before="4"/>
              <w:ind w:left="107"/>
              <w:rPr>
                <w:rFonts w:ascii="宋体" w:eastAsia="宋体" w:hint="eastAsia"/>
                <w:sz w:val="21"/>
              </w:rPr>
            </w:pPr>
            <w:r>
              <w:rPr>
                <w:rFonts w:ascii="宋体" w:eastAsia="宋体" w:hint="eastAsia"/>
                <w:w w:val="100"/>
                <w:sz w:val="21"/>
              </w:rPr>
              <w:t>金</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before="144"/>
              <w:ind w:right="84"/>
              <w:jc w:val="right"/>
              <w:rPr>
                <w:sz w:val="21"/>
              </w:rPr>
            </w:pPr>
            <w:r>
              <w:rPr>
                <w:sz w:val="21"/>
              </w:rPr>
              <w:t>2,528,459,679.57</w:t>
            </w:r>
          </w:p>
        </w:tc>
        <w:tc>
          <w:tcPr>
            <w:tcW w:w="2163" w:type="dxa"/>
            <w:tcBorders>
              <w:top w:val="single" w:sz="4" w:space="0" w:color="000000"/>
              <w:left w:val="single" w:sz="4" w:space="0" w:color="000000"/>
              <w:bottom w:val="single" w:sz="4" w:space="0" w:color="000000"/>
            </w:tcBorders>
          </w:tcPr>
          <w:p>
            <w:pPr>
              <w:pStyle w:val="TableParagraph"/>
              <w:spacing w:before="144"/>
              <w:ind w:right="74"/>
              <w:jc w:val="right"/>
              <w:rPr>
                <w:sz w:val="21"/>
              </w:rPr>
            </w:pPr>
            <w:r>
              <w:rPr>
                <w:sz w:val="21"/>
              </w:rPr>
              <w:t>2,506,226,703.49</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3" w:lineRule="exact" w:before="1"/>
              <w:ind w:left="318"/>
              <w:rPr>
                <w:rFonts w:ascii="宋体" w:eastAsia="宋体" w:hint="eastAsia"/>
                <w:sz w:val="21"/>
              </w:rPr>
            </w:pPr>
            <w:r>
              <w:rPr>
                <w:rFonts w:ascii="宋体" w:eastAsia="宋体" w:hint="eastAsia"/>
                <w:sz w:val="21"/>
              </w:rPr>
              <w:t>支付其他与筹资活动有关的现金</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before="10"/>
              <w:ind w:right="84"/>
              <w:jc w:val="right"/>
              <w:rPr>
                <w:sz w:val="21"/>
              </w:rPr>
            </w:pPr>
            <w:r>
              <w:rPr>
                <w:sz w:val="21"/>
              </w:rPr>
              <w:t>42,665,759.89</w:t>
            </w:r>
          </w:p>
        </w:tc>
        <w:tc>
          <w:tcPr>
            <w:tcW w:w="2163"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8,547,229.30</w:t>
            </w:r>
          </w:p>
        </w:tc>
      </w:tr>
      <w:tr>
        <w:trPr>
          <w:trHeight w:val="270"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1"/>
              <w:ind w:left="527"/>
              <w:rPr>
                <w:rFonts w:ascii="宋体" w:eastAsia="宋体" w:hint="eastAsia"/>
                <w:sz w:val="21"/>
              </w:rPr>
            </w:pPr>
            <w:r>
              <w:rPr>
                <w:rFonts w:ascii="宋体" w:eastAsia="宋体" w:hint="eastAsia"/>
                <w:sz w:val="21"/>
              </w:rPr>
              <w:t>筹资活动现金流出小计</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before="7"/>
              <w:ind w:right="84"/>
              <w:jc w:val="right"/>
              <w:rPr>
                <w:sz w:val="21"/>
              </w:rPr>
            </w:pPr>
            <w:r>
              <w:rPr>
                <w:sz w:val="21"/>
              </w:rPr>
              <w:t>7,071,125,439.46</w:t>
            </w:r>
          </w:p>
        </w:tc>
        <w:tc>
          <w:tcPr>
            <w:tcW w:w="2163" w:type="dxa"/>
            <w:tcBorders>
              <w:top w:val="single" w:sz="4" w:space="0" w:color="000000"/>
              <w:left w:val="single" w:sz="4" w:space="0" w:color="000000"/>
              <w:bottom w:val="single" w:sz="4" w:space="0" w:color="000000"/>
            </w:tcBorders>
          </w:tcPr>
          <w:p>
            <w:pPr>
              <w:pStyle w:val="TableParagraph"/>
              <w:spacing w:before="7"/>
              <w:ind w:right="74"/>
              <w:jc w:val="right"/>
              <w:rPr>
                <w:sz w:val="21"/>
              </w:rPr>
            </w:pPr>
            <w:r>
              <w:rPr>
                <w:sz w:val="21"/>
              </w:rPr>
              <w:t>4,023,916,176.29</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0" w:lineRule="exact" w:before="3"/>
              <w:ind w:right="300"/>
              <w:jc w:val="right"/>
              <w:rPr>
                <w:rFonts w:ascii="宋体" w:eastAsia="宋体" w:hint="eastAsia"/>
                <w:sz w:val="21"/>
              </w:rPr>
            </w:pPr>
            <w:r>
              <w:rPr>
                <w:rFonts w:ascii="宋体" w:eastAsia="宋体" w:hint="eastAsia"/>
                <w:sz w:val="21"/>
              </w:rPr>
              <w:t>筹资活动产生的现金流量净额</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before="10"/>
              <w:ind w:right="84"/>
              <w:jc w:val="right"/>
              <w:rPr>
                <w:sz w:val="21"/>
              </w:rPr>
            </w:pPr>
            <w:r>
              <w:rPr>
                <w:sz w:val="21"/>
              </w:rPr>
              <w:t>3,999,945,224.03</w:t>
            </w:r>
          </w:p>
        </w:tc>
        <w:tc>
          <w:tcPr>
            <w:tcW w:w="2163"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-438,840,934.21</w:t>
            </w:r>
          </w:p>
        </w:tc>
      </w:tr>
      <w:tr>
        <w:trPr>
          <w:trHeight w:val="544" w:hRule="atLeast"/>
        </w:trPr>
        <w:tc>
          <w:tcPr>
            <w:tcW w:w="3795" w:type="dxa"/>
            <w:tcBorders>
              <w:top w:val="single" w:sz="4" w:space="0" w:color="000000"/>
              <w:bottom w:val="single" w:sz="4" w:space="0" w:color="000000"/>
              <w:right w:val="single" w:sz="4" w:space="0" w:color="000000"/>
            </w:tcBorders>
          </w:tcPr>
          <w:p>
            <w:pPr>
              <w:pStyle w:val="TableParagraph"/>
              <w:spacing w:line="262" w:lineRule="exact"/>
              <w:ind w:left="107"/>
              <w:rPr>
                <w:rFonts w:ascii="Microsoft JhengHei" w:eastAsia="Microsoft JhengHei" w:hint="eastAsia"/>
                <w:b/>
                <w:sz w:val="21"/>
              </w:rPr>
            </w:pPr>
            <w:r>
              <w:rPr>
                <w:rFonts w:ascii="Microsoft JhengHei" w:eastAsia="Microsoft JhengHei" w:hint="eastAsia"/>
                <w:b/>
                <w:sz w:val="21"/>
              </w:rPr>
              <w:t>四、汇率变动对现金及现金等价物的影</w:t>
            </w:r>
          </w:p>
          <w:p>
            <w:pPr>
              <w:pStyle w:val="TableParagraph"/>
              <w:spacing w:line="263" w:lineRule="exact"/>
              <w:ind w:left="107"/>
              <w:rPr>
                <w:rFonts w:ascii="Microsoft JhengHei" w:eastAsia="Microsoft JhengHei" w:hint="eastAsia"/>
                <w:b/>
                <w:sz w:val="21"/>
              </w:rPr>
            </w:pPr>
            <w:r>
              <w:rPr>
                <w:rFonts w:ascii="Microsoft JhengHei" w:eastAsia="Microsoft JhengHei" w:hint="eastAsia"/>
                <w:b/>
                <w:w w:val="100"/>
                <w:sz w:val="21"/>
              </w:rPr>
              <w:t>响</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before="144"/>
              <w:ind w:right="84"/>
              <w:jc w:val="right"/>
              <w:rPr>
                <w:sz w:val="21"/>
              </w:rPr>
            </w:pPr>
            <w:r>
              <w:rPr>
                <w:sz w:val="21"/>
              </w:rPr>
              <w:t>128,500.51</w:t>
            </w:r>
          </w:p>
        </w:tc>
        <w:tc>
          <w:tcPr>
            <w:tcW w:w="2163" w:type="dxa"/>
            <w:tcBorders>
              <w:top w:val="single" w:sz="4" w:space="0" w:color="000000"/>
              <w:left w:val="single" w:sz="4" w:space="0" w:color="000000"/>
              <w:bottom w:val="single" w:sz="4" w:space="0" w:color="000000"/>
            </w:tcBorders>
          </w:tcPr>
          <w:p>
            <w:pPr>
              <w:pStyle w:val="TableParagraph"/>
              <w:spacing w:before="144"/>
              <w:ind w:right="74"/>
              <w:jc w:val="right"/>
              <w:rPr>
                <w:sz w:val="21"/>
              </w:rPr>
            </w:pPr>
            <w:r>
              <w:rPr>
                <w:sz w:val="21"/>
              </w:rPr>
              <w:t>-1,798,861.81</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3" w:lineRule="exact"/>
              <w:ind w:left="107"/>
              <w:rPr>
                <w:rFonts w:ascii="Microsoft JhengHei" w:eastAsia="Microsoft JhengHei" w:hint="eastAsia"/>
                <w:b/>
                <w:sz w:val="21"/>
              </w:rPr>
            </w:pPr>
            <w:r>
              <w:rPr>
                <w:rFonts w:ascii="Microsoft JhengHei" w:eastAsia="Microsoft JhengHei" w:hint="eastAsia"/>
                <w:b/>
                <w:sz w:val="21"/>
              </w:rPr>
              <w:t>七、现金及现金等价物净增加额</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before="10"/>
              <w:ind w:right="84"/>
              <w:jc w:val="right"/>
              <w:rPr>
                <w:sz w:val="21"/>
              </w:rPr>
            </w:pPr>
            <w:r>
              <w:rPr>
                <w:sz w:val="21"/>
              </w:rPr>
              <w:t>2,662,143,092.85</w:t>
            </w:r>
          </w:p>
        </w:tc>
        <w:tc>
          <w:tcPr>
            <w:tcW w:w="2163"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-1,444,492,758.17</w:t>
            </w:r>
          </w:p>
        </w:tc>
      </w:tr>
      <w:tr>
        <w:trPr>
          <w:trHeight w:val="273" w:hRule="atLeast"/>
        </w:trPr>
        <w:tc>
          <w:tcPr>
            <w:tcW w:w="3795" w:type="dxa"/>
            <w:tcBorders>
              <w:top w:val="single" w:sz="4" w:space="0" w:color="000000"/>
              <w:bottom w:val="single" w:sz="4" w:space="0" w:color="000000"/>
              <w:right w:val="single" w:sz="4" w:space="0" w:color="000000"/>
            </w:tcBorders>
          </w:tcPr>
          <w:p>
            <w:pPr>
              <w:pStyle w:val="TableParagraph"/>
              <w:spacing w:line="252" w:lineRule="exact" w:before="1"/>
              <w:ind w:left="318"/>
              <w:rPr>
                <w:rFonts w:ascii="宋体" w:eastAsia="宋体" w:hint="eastAsia"/>
                <w:sz w:val="21"/>
              </w:rPr>
            </w:pPr>
            <w:r>
              <w:rPr>
                <w:rFonts w:ascii="宋体" w:eastAsia="宋体" w:hint="eastAsia"/>
                <w:sz w:val="21"/>
              </w:rPr>
              <w:t>加：期初现金及现金等价物余额</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before="7"/>
              <w:ind w:right="84"/>
              <w:jc w:val="right"/>
              <w:rPr>
                <w:sz w:val="21"/>
              </w:rPr>
            </w:pPr>
            <w:r>
              <w:rPr>
                <w:sz w:val="21"/>
              </w:rPr>
              <w:t>5,624,406,816.79</w:t>
            </w:r>
          </w:p>
        </w:tc>
        <w:tc>
          <w:tcPr>
            <w:tcW w:w="2163" w:type="dxa"/>
            <w:tcBorders>
              <w:top w:val="single" w:sz="4" w:space="0" w:color="000000"/>
              <w:left w:val="single" w:sz="4" w:space="0" w:color="000000"/>
              <w:bottom w:val="single" w:sz="4" w:space="0" w:color="000000"/>
            </w:tcBorders>
          </w:tcPr>
          <w:p>
            <w:pPr>
              <w:pStyle w:val="TableParagraph"/>
              <w:spacing w:before="7"/>
              <w:ind w:right="74"/>
              <w:jc w:val="right"/>
              <w:rPr>
                <w:sz w:val="21"/>
              </w:rPr>
            </w:pPr>
            <w:r>
              <w:rPr>
                <w:sz w:val="21"/>
              </w:rPr>
              <w:t>7,068,899,574.96</w:t>
            </w:r>
          </w:p>
        </w:tc>
      </w:tr>
      <w:tr>
        <w:trPr>
          <w:trHeight w:val="270" w:hRule="atLeast"/>
        </w:trPr>
        <w:tc>
          <w:tcPr>
            <w:tcW w:w="3795" w:type="dxa"/>
            <w:tcBorders>
              <w:top w:val="single" w:sz="4" w:space="0" w:color="000000"/>
              <w:right w:val="single" w:sz="4" w:space="0" w:color="000000"/>
            </w:tcBorders>
          </w:tcPr>
          <w:p>
            <w:pPr>
              <w:pStyle w:val="TableParagraph"/>
              <w:spacing w:line="250" w:lineRule="exact"/>
              <w:ind w:left="107"/>
              <w:rPr>
                <w:rFonts w:ascii="Microsoft JhengHei" w:eastAsia="Microsoft JhengHei" w:hint="eastAsia"/>
                <w:b/>
                <w:sz w:val="21"/>
              </w:rPr>
            </w:pPr>
            <w:r>
              <w:rPr>
                <w:rFonts w:ascii="Microsoft JhengHei" w:eastAsia="Microsoft JhengHei" w:hint="eastAsia"/>
                <w:b/>
                <w:sz w:val="21"/>
              </w:rPr>
              <w:t>六、期末现金及现金等价物余额</w:t>
            </w:r>
          </w:p>
        </w:tc>
        <w:tc>
          <w:tcPr>
            <w:tcW w:w="920" w:type="dxa"/>
            <w:tcBorders>
              <w:top w:val="single" w:sz="4" w:space="0" w:color="000000"/>
              <w:left w:val="single" w:sz="4" w:space="0" w:color="000000"/>
              <w:right w:val="single" w:sz="4" w:space="0" w:color="000000"/>
            </w:tcBorders>
          </w:tcPr>
          <w:p>
            <w:pPr>
              <w:pStyle w:val="TableParagraph"/>
              <w:rPr>
                <w:sz w:val="20"/>
              </w:rPr>
            </w:pPr>
          </w:p>
        </w:tc>
        <w:tc>
          <w:tcPr>
            <w:tcW w:w="2172" w:type="dxa"/>
            <w:tcBorders>
              <w:top w:val="single" w:sz="4" w:space="0" w:color="000000"/>
              <w:left w:val="single" w:sz="4" w:space="0" w:color="000000"/>
              <w:right w:val="single" w:sz="4" w:space="0" w:color="000000"/>
            </w:tcBorders>
          </w:tcPr>
          <w:p>
            <w:pPr>
              <w:pStyle w:val="TableParagraph"/>
              <w:spacing w:before="7"/>
              <w:ind w:right="84"/>
              <w:jc w:val="right"/>
              <w:rPr>
                <w:sz w:val="21"/>
              </w:rPr>
            </w:pPr>
            <w:r>
              <w:rPr>
                <w:sz w:val="21"/>
              </w:rPr>
              <w:t>8,286,549,909.64</w:t>
            </w:r>
          </w:p>
        </w:tc>
        <w:tc>
          <w:tcPr>
            <w:tcW w:w="2163" w:type="dxa"/>
            <w:tcBorders>
              <w:top w:val="single" w:sz="4" w:space="0" w:color="000000"/>
              <w:left w:val="single" w:sz="4" w:space="0" w:color="000000"/>
            </w:tcBorders>
          </w:tcPr>
          <w:p>
            <w:pPr>
              <w:pStyle w:val="TableParagraph"/>
              <w:spacing w:before="7"/>
              <w:ind w:right="74"/>
              <w:jc w:val="right"/>
              <w:rPr>
                <w:sz w:val="21"/>
              </w:rPr>
            </w:pPr>
            <w:r>
              <w:rPr>
                <w:sz w:val="21"/>
              </w:rPr>
              <w:t>5,624,406,816.79</w:t>
            </w:r>
          </w:p>
        </w:tc>
      </w:tr>
    </w:tbl>
    <w:p>
      <w:pPr>
        <w:pStyle w:val="BodyText"/>
        <w:spacing w:before="5"/>
      </w:pPr>
    </w:p>
    <w:p>
      <w:pPr>
        <w:pStyle w:val="BodyText"/>
        <w:tabs>
          <w:tab w:pos="3310" w:val="left" w:leader="none"/>
          <w:tab w:pos="6464" w:val="left" w:leader="none"/>
        </w:tabs>
        <w:ind w:left="895"/>
      </w:pPr>
      <w:r>
        <w:rPr/>
        <w:t>法定</w:t>
      </w:r>
      <w:r>
        <w:rPr>
          <w:spacing w:val="-3"/>
        </w:rPr>
        <w:t>代</w:t>
      </w:r>
      <w:r>
        <w:rPr/>
        <w:t>表</w:t>
      </w:r>
      <w:r>
        <w:rPr>
          <w:spacing w:val="-3"/>
        </w:rPr>
        <w:t>人</w:t>
      </w:r>
      <w:r>
        <w:rPr/>
        <w:t>：</w:t>
      </w:r>
      <w:r>
        <w:rPr>
          <w:spacing w:val="-3"/>
        </w:rPr>
        <w:t>梁</w:t>
      </w:r>
      <w:r>
        <w:rPr/>
        <w:t>海山</w:t>
        <w:tab/>
        <w:t>主管</w:t>
      </w:r>
      <w:r>
        <w:rPr>
          <w:spacing w:val="-3"/>
        </w:rPr>
        <w:t>会</w:t>
      </w:r>
      <w:r>
        <w:rPr/>
        <w:t>计</w:t>
      </w:r>
      <w:r>
        <w:rPr>
          <w:spacing w:val="-3"/>
        </w:rPr>
        <w:t>工</w:t>
      </w:r>
      <w:r>
        <w:rPr/>
        <w:t>作</w:t>
      </w:r>
      <w:r>
        <w:rPr>
          <w:spacing w:val="-3"/>
        </w:rPr>
        <w:t>负</w:t>
      </w:r>
      <w:r>
        <w:rPr/>
        <w:t>责</w:t>
      </w:r>
      <w:r>
        <w:rPr>
          <w:spacing w:val="-3"/>
        </w:rPr>
        <w:t>人</w:t>
      </w:r>
      <w:r>
        <w:rPr/>
        <w:t>：</w:t>
      </w:r>
      <w:r>
        <w:rPr>
          <w:spacing w:val="-3"/>
        </w:rPr>
        <w:t>宫</w:t>
      </w:r>
      <w:r>
        <w:rPr/>
        <w:t>伟</w:t>
        <w:tab/>
      </w:r>
      <w:r>
        <w:rPr>
          <w:spacing w:val="-3"/>
        </w:rPr>
        <w:t>会</w:t>
      </w:r>
      <w:r>
        <w:rPr/>
        <w:t>计</w:t>
      </w:r>
      <w:r>
        <w:rPr>
          <w:spacing w:val="-3"/>
        </w:rPr>
        <w:t>机</w:t>
      </w:r>
      <w:r>
        <w:rPr/>
        <w:t>构</w:t>
      </w:r>
      <w:r>
        <w:rPr>
          <w:spacing w:val="-3"/>
        </w:rPr>
        <w:t>负</w:t>
      </w:r>
      <w:r>
        <w:rPr/>
        <w:t>责</w:t>
      </w:r>
      <w:r>
        <w:rPr>
          <w:spacing w:val="-3"/>
        </w:rPr>
        <w:t>人</w:t>
      </w:r>
      <w:r>
        <w:rPr/>
        <w:t>：应珂</w:t>
      </w:r>
    </w:p>
    <w:p>
      <w:pPr>
        <w:spacing w:after="0"/>
        <w:sectPr>
          <w:pgSz w:w="11910" w:h="16840"/>
          <w:pgMar w:header="876" w:footer="1184" w:top="1440" w:bottom="1400" w:left="1560" w:right="960"/>
        </w:sectPr>
      </w:pPr>
    </w:p>
    <w:p>
      <w:pPr>
        <w:pStyle w:val="BodyText"/>
        <w:spacing w:before="10"/>
        <w:rPr>
          <w:sz w:val="20"/>
        </w:rPr>
      </w:pPr>
    </w:p>
    <w:p>
      <w:pPr>
        <w:pStyle w:val="Heading4"/>
        <w:spacing w:line="365" w:lineRule="exact" w:before="2"/>
        <w:ind w:left="7156" w:right="6354"/>
        <w:jc w:val="center"/>
      </w:pPr>
      <w:r>
        <w:rPr/>
        <w:t>合并所有者权益变动表</w:t>
      </w:r>
    </w:p>
    <w:p>
      <w:pPr>
        <w:pStyle w:val="BodyText"/>
        <w:spacing w:line="247" w:lineRule="exact"/>
        <w:ind w:left="7156" w:right="6354"/>
        <w:jc w:val="center"/>
      </w:pPr>
      <w:r>
        <w:rPr>
          <w:rFonts w:ascii="Times New Roman" w:hAnsi="Times New Roman" w:eastAsia="Times New Roman"/>
        </w:rPr>
        <w:t>2020 </w:t>
      </w:r>
      <w:r>
        <w:rPr/>
        <w:t>年 </w:t>
      </w:r>
      <w:r>
        <w:rPr>
          <w:rFonts w:ascii="Times New Roman" w:hAnsi="Times New Roman" w:eastAsia="Times New Roman"/>
        </w:rPr>
        <w:t>1—12 </w:t>
      </w:r>
      <w:r>
        <w:rPr/>
        <w:t>月</w:t>
      </w:r>
    </w:p>
    <w:p>
      <w:pPr>
        <w:pStyle w:val="BodyText"/>
        <w:tabs>
          <w:tab w:pos="899" w:val="left" w:leader="none"/>
        </w:tabs>
        <w:spacing w:before="2" w:after="4"/>
        <w:ind w:right="575"/>
        <w:jc w:val="right"/>
      </w:pPr>
      <w:r>
        <w:rPr/>
        <w:t>单位</w:t>
      </w:r>
      <w:r>
        <w:rPr>
          <w:rFonts w:ascii="Times New Roman" w:eastAsia="Times New Roman"/>
        </w:rPr>
        <w:t>:</w:t>
      </w:r>
      <w:r>
        <w:rPr/>
        <w:t>元</w:t>
        <w:tab/>
      </w:r>
      <w:r>
        <w:rPr>
          <w:spacing w:val="-3"/>
        </w:rPr>
        <w:t>币</w:t>
      </w:r>
      <w:r>
        <w:rPr>
          <w:spacing w:val="-1"/>
        </w:rPr>
        <w:t>种</w:t>
      </w:r>
      <w:r>
        <w:rPr>
          <w:rFonts w:ascii="Times New Roman" w:eastAsia="Times New Roman"/>
          <w:spacing w:val="-1"/>
        </w:rPr>
        <w:t>:</w:t>
      </w:r>
      <w:r>
        <w:rPr/>
        <w:t>人</w:t>
      </w:r>
      <w:r>
        <w:rPr>
          <w:spacing w:val="-3"/>
        </w:rPr>
        <w:t>民</w:t>
      </w:r>
      <w:r>
        <w:rPr/>
        <w:t>币</w:t>
      </w:r>
    </w:p>
    <w:tbl>
      <w:tblPr>
        <w:tblW w:w="0" w:type="auto"/>
        <w:jc w:val="left"/>
        <w:tblInd w:w="14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52"/>
        <w:gridCol w:w="1133"/>
        <w:gridCol w:w="569"/>
        <w:gridCol w:w="567"/>
        <w:gridCol w:w="1136"/>
        <w:gridCol w:w="1278"/>
        <w:gridCol w:w="989"/>
        <w:gridCol w:w="1135"/>
        <w:gridCol w:w="571"/>
        <w:gridCol w:w="1135"/>
        <w:gridCol w:w="847"/>
        <w:gridCol w:w="1272"/>
        <w:gridCol w:w="430"/>
        <w:gridCol w:w="1278"/>
        <w:gridCol w:w="1136"/>
        <w:gridCol w:w="1273"/>
      </w:tblGrid>
      <w:tr>
        <w:trPr>
          <w:trHeight w:val="239" w:hRule="atLeast"/>
        </w:trPr>
        <w:tc>
          <w:tcPr>
            <w:tcW w:w="852" w:type="dxa"/>
            <w:vMerge w:val="restart"/>
            <w:tcBorders>
              <w:bottom w:val="single" w:sz="4" w:space="0" w:color="000000"/>
              <w:right w:val="single" w:sz="4" w:space="0" w:color="000000"/>
            </w:tcBorders>
            <w:shd w:val="clear" w:color="auto" w:fill="EDEBE0"/>
          </w:tcPr>
          <w:p>
            <w:pPr>
              <w:pStyle w:val="TableParagraph"/>
              <w:rPr>
                <w:rFonts w:ascii="宋体"/>
                <w:sz w:val="14"/>
              </w:rPr>
            </w:pPr>
          </w:p>
          <w:p>
            <w:pPr>
              <w:pStyle w:val="TableParagraph"/>
              <w:rPr>
                <w:rFonts w:ascii="宋体"/>
                <w:sz w:val="14"/>
              </w:rPr>
            </w:pPr>
          </w:p>
          <w:p>
            <w:pPr>
              <w:pStyle w:val="TableParagraph"/>
              <w:rPr>
                <w:rFonts w:ascii="宋体"/>
                <w:sz w:val="14"/>
              </w:rPr>
            </w:pPr>
          </w:p>
          <w:p>
            <w:pPr>
              <w:pStyle w:val="TableParagraph"/>
              <w:spacing w:before="3"/>
              <w:rPr>
                <w:rFonts w:ascii="宋体"/>
                <w:sz w:val="16"/>
              </w:rPr>
            </w:pPr>
          </w:p>
          <w:p>
            <w:pPr>
              <w:pStyle w:val="TableParagraph"/>
              <w:spacing w:before="1"/>
              <w:ind w:left="277"/>
              <w:rPr>
                <w:rFonts w:ascii="宋体" w:eastAsia="宋体" w:hint="eastAsia"/>
                <w:sz w:val="15"/>
              </w:rPr>
            </w:pPr>
            <w:r>
              <w:rPr>
                <w:rFonts w:ascii="宋体" w:eastAsia="宋体" w:hint="eastAsia"/>
                <w:sz w:val="15"/>
              </w:rPr>
              <w:t>项目</w:t>
            </w:r>
          </w:p>
        </w:tc>
        <w:tc>
          <w:tcPr>
            <w:tcW w:w="14749" w:type="dxa"/>
            <w:gridSpan w:val="15"/>
            <w:tcBorders>
              <w:left w:val="single" w:sz="4" w:space="0" w:color="000000"/>
              <w:bottom w:val="single" w:sz="4" w:space="0" w:color="000000"/>
            </w:tcBorders>
            <w:shd w:val="clear" w:color="auto" w:fill="EDEBE0"/>
          </w:tcPr>
          <w:p>
            <w:pPr>
              <w:pStyle w:val="TableParagraph"/>
              <w:spacing w:line="173" w:lineRule="exact" w:before="46"/>
              <w:ind w:left="7882" w:right="6169"/>
              <w:jc w:val="center"/>
              <w:rPr>
                <w:rFonts w:ascii="宋体" w:eastAsia="宋体" w:hint="eastAsia"/>
                <w:sz w:val="15"/>
              </w:rPr>
            </w:pPr>
            <w:r>
              <w:rPr>
                <w:sz w:val="15"/>
              </w:rPr>
              <w:t>2020 </w:t>
            </w:r>
            <w:r>
              <w:rPr>
                <w:rFonts w:ascii="宋体" w:eastAsia="宋体" w:hint="eastAsia"/>
                <w:sz w:val="15"/>
              </w:rPr>
              <w:t>年度</w:t>
            </w:r>
          </w:p>
        </w:tc>
      </w:tr>
      <w:tr>
        <w:trPr>
          <w:trHeight w:val="539" w:hRule="atLeast"/>
        </w:trPr>
        <w:tc>
          <w:tcPr>
            <w:tcW w:w="852" w:type="dxa"/>
            <w:vMerge/>
            <w:tcBorders>
              <w:top w:val="nil"/>
              <w:bottom w:val="single" w:sz="4" w:space="0" w:color="000000"/>
              <w:right w:val="single" w:sz="4" w:space="0" w:color="000000"/>
            </w:tcBorders>
            <w:shd w:val="clear" w:color="auto" w:fill="EDEBE0"/>
          </w:tcPr>
          <w:p>
            <w:pPr>
              <w:rPr>
                <w:sz w:val="2"/>
                <w:szCs w:val="2"/>
              </w:rPr>
            </w:pPr>
          </w:p>
        </w:tc>
        <w:tc>
          <w:tcPr>
            <w:tcW w:w="12340" w:type="dxa"/>
            <w:gridSpan w:val="13"/>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7"/>
              <w:rPr>
                <w:rFonts w:ascii="宋体"/>
                <w:sz w:val="13"/>
              </w:rPr>
            </w:pPr>
          </w:p>
          <w:p>
            <w:pPr>
              <w:pStyle w:val="TableParagraph"/>
              <w:ind w:left="5336" w:right="5303"/>
              <w:jc w:val="center"/>
              <w:rPr>
                <w:rFonts w:ascii="宋体" w:eastAsia="宋体" w:hint="eastAsia"/>
                <w:sz w:val="15"/>
              </w:rPr>
            </w:pPr>
            <w:r>
              <w:rPr>
                <w:rFonts w:ascii="宋体" w:eastAsia="宋体" w:hint="eastAsia"/>
                <w:sz w:val="15"/>
              </w:rPr>
              <w:t>归属于母公司所有者权益</w:t>
            </w:r>
          </w:p>
        </w:tc>
        <w:tc>
          <w:tcPr>
            <w:tcW w:w="1136" w:type="dxa"/>
            <w:vMerge w:val="restart"/>
            <w:tcBorders>
              <w:top w:val="single" w:sz="4" w:space="0" w:color="000000"/>
              <w:left w:val="single" w:sz="4" w:space="0" w:color="000000"/>
              <w:bottom w:val="single" w:sz="4" w:space="0" w:color="000000"/>
              <w:right w:val="single" w:sz="4" w:space="0" w:color="000000"/>
            </w:tcBorders>
            <w:shd w:val="clear" w:color="auto" w:fill="EDEBE0"/>
          </w:tcPr>
          <w:p>
            <w:pPr>
              <w:pStyle w:val="TableParagraph"/>
              <w:rPr>
                <w:rFonts w:ascii="宋体"/>
                <w:sz w:val="14"/>
              </w:rPr>
            </w:pPr>
          </w:p>
          <w:p>
            <w:pPr>
              <w:pStyle w:val="TableParagraph"/>
              <w:rPr>
                <w:rFonts w:ascii="宋体"/>
                <w:sz w:val="14"/>
              </w:rPr>
            </w:pPr>
          </w:p>
          <w:p>
            <w:pPr>
              <w:pStyle w:val="TableParagraph"/>
              <w:spacing w:before="11"/>
              <w:rPr>
                <w:rFonts w:ascii="宋体"/>
                <w:sz w:val="18"/>
              </w:rPr>
            </w:pPr>
          </w:p>
          <w:p>
            <w:pPr>
              <w:pStyle w:val="TableParagraph"/>
              <w:ind w:left="125"/>
              <w:rPr>
                <w:rFonts w:ascii="宋体" w:eastAsia="宋体" w:hint="eastAsia"/>
                <w:sz w:val="15"/>
              </w:rPr>
            </w:pPr>
            <w:r>
              <w:rPr>
                <w:rFonts w:ascii="宋体" w:eastAsia="宋体" w:hint="eastAsia"/>
                <w:sz w:val="15"/>
              </w:rPr>
              <w:t>少数股东权益</w:t>
            </w:r>
          </w:p>
        </w:tc>
        <w:tc>
          <w:tcPr>
            <w:tcW w:w="1273" w:type="dxa"/>
            <w:vMerge w:val="restart"/>
            <w:tcBorders>
              <w:top w:val="single" w:sz="4" w:space="0" w:color="000000"/>
              <w:left w:val="single" w:sz="4" w:space="0" w:color="000000"/>
              <w:bottom w:val="single" w:sz="4" w:space="0" w:color="000000"/>
            </w:tcBorders>
            <w:shd w:val="clear" w:color="auto" w:fill="EDEBE0"/>
          </w:tcPr>
          <w:p>
            <w:pPr>
              <w:pStyle w:val="TableParagraph"/>
              <w:rPr>
                <w:rFonts w:ascii="宋体"/>
                <w:sz w:val="14"/>
              </w:rPr>
            </w:pPr>
          </w:p>
          <w:p>
            <w:pPr>
              <w:pStyle w:val="TableParagraph"/>
              <w:rPr>
                <w:rFonts w:ascii="宋体"/>
                <w:sz w:val="14"/>
              </w:rPr>
            </w:pPr>
          </w:p>
          <w:p>
            <w:pPr>
              <w:pStyle w:val="TableParagraph"/>
              <w:spacing w:before="11"/>
              <w:rPr>
                <w:rFonts w:ascii="宋体"/>
                <w:sz w:val="18"/>
              </w:rPr>
            </w:pPr>
          </w:p>
          <w:p>
            <w:pPr>
              <w:pStyle w:val="TableParagraph"/>
              <w:ind w:left="117"/>
              <w:rPr>
                <w:rFonts w:ascii="宋体" w:eastAsia="宋体" w:hint="eastAsia"/>
                <w:sz w:val="15"/>
              </w:rPr>
            </w:pPr>
            <w:r>
              <w:rPr>
                <w:rFonts w:ascii="宋体" w:eastAsia="宋体" w:hint="eastAsia"/>
                <w:sz w:val="15"/>
              </w:rPr>
              <w:t>所有者权益合计</w:t>
            </w:r>
          </w:p>
        </w:tc>
      </w:tr>
      <w:tr>
        <w:trPr>
          <w:trHeight w:val="352" w:hRule="atLeast"/>
        </w:trPr>
        <w:tc>
          <w:tcPr>
            <w:tcW w:w="852" w:type="dxa"/>
            <w:vMerge/>
            <w:tcBorders>
              <w:top w:val="nil"/>
              <w:bottom w:val="single" w:sz="4" w:space="0" w:color="000000"/>
              <w:right w:val="single" w:sz="4" w:space="0" w:color="000000"/>
            </w:tcBorders>
            <w:shd w:val="clear" w:color="auto" w:fill="EDEBE0"/>
          </w:tcPr>
          <w:p>
            <w:pPr>
              <w:rPr>
                <w:sz w:val="2"/>
                <w:szCs w:val="2"/>
              </w:rPr>
            </w:pPr>
          </w:p>
        </w:tc>
        <w:tc>
          <w:tcPr>
            <w:tcW w:w="1133" w:type="dxa"/>
            <w:vMerge w:val="restart"/>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11"/>
              <w:rPr>
                <w:rFonts w:ascii="宋体"/>
                <w:sz w:val="17"/>
              </w:rPr>
            </w:pPr>
          </w:p>
          <w:p>
            <w:pPr>
              <w:pStyle w:val="TableParagraph"/>
              <w:spacing w:line="300" w:lineRule="auto"/>
              <w:ind w:left="403" w:right="141" w:hanging="226"/>
              <w:rPr>
                <w:sz w:val="15"/>
              </w:rPr>
            </w:pPr>
            <w:r>
              <w:rPr>
                <w:rFonts w:ascii="宋体" w:eastAsia="宋体" w:hint="eastAsia"/>
                <w:sz w:val="15"/>
              </w:rPr>
              <w:t>实收资本</w:t>
            </w:r>
            <w:r>
              <w:rPr>
                <w:sz w:val="15"/>
              </w:rPr>
              <w:t>(</w:t>
            </w:r>
            <w:r>
              <w:rPr>
                <w:rFonts w:ascii="宋体" w:eastAsia="宋体" w:hint="eastAsia"/>
                <w:sz w:val="15"/>
              </w:rPr>
              <w:t>或股本</w:t>
            </w:r>
            <w:r>
              <w:rPr>
                <w:sz w:val="15"/>
              </w:rPr>
              <w:t>)</w:t>
            </w:r>
          </w:p>
        </w:tc>
        <w:tc>
          <w:tcPr>
            <w:tcW w:w="2272" w:type="dxa"/>
            <w:gridSpan w:val="3"/>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104"/>
              <w:ind w:left="693"/>
              <w:rPr>
                <w:rFonts w:ascii="宋体" w:eastAsia="宋体" w:hint="eastAsia"/>
                <w:sz w:val="15"/>
              </w:rPr>
            </w:pPr>
            <w:r>
              <w:rPr>
                <w:rFonts w:ascii="宋体" w:eastAsia="宋体" w:hint="eastAsia"/>
                <w:sz w:val="15"/>
              </w:rPr>
              <w:t>其他权益工具</w:t>
            </w:r>
          </w:p>
        </w:tc>
        <w:tc>
          <w:tcPr>
            <w:tcW w:w="1278" w:type="dxa"/>
            <w:vMerge w:val="restart"/>
            <w:tcBorders>
              <w:top w:val="single" w:sz="4" w:space="0" w:color="000000"/>
              <w:left w:val="single" w:sz="4" w:space="0" w:color="000000"/>
              <w:bottom w:val="single" w:sz="4" w:space="0" w:color="000000"/>
              <w:right w:val="single" w:sz="4" w:space="0" w:color="000000"/>
            </w:tcBorders>
            <w:shd w:val="clear" w:color="auto" w:fill="EDEBE0"/>
          </w:tcPr>
          <w:p>
            <w:pPr>
              <w:pStyle w:val="TableParagraph"/>
              <w:rPr>
                <w:rFonts w:ascii="宋体"/>
                <w:sz w:val="14"/>
              </w:rPr>
            </w:pPr>
          </w:p>
          <w:p>
            <w:pPr>
              <w:pStyle w:val="TableParagraph"/>
              <w:spacing w:before="3"/>
              <w:rPr>
                <w:rFonts w:ascii="宋体"/>
                <w:sz w:val="13"/>
              </w:rPr>
            </w:pPr>
          </w:p>
          <w:p>
            <w:pPr>
              <w:pStyle w:val="TableParagraph"/>
              <w:ind w:left="348"/>
              <w:rPr>
                <w:rFonts w:ascii="宋体" w:eastAsia="宋体" w:hint="eastAsia"/>
                <w:sz w:val="15"/>
              </w:rPr>
            </w:pPr>
            <w:r>
              <w:rPr>
                <w:rFonts w:ascii="宋体" w:eastAsia="宋体" w:hint="eastAsia"/>
                <w:sz w:val="15"/>
              </w:rPr>
              <w:t>资本公积</w:t>
            </w:r>
          </w:p>
        </w:tc>
        <w:tc>
          <w:tcPr>
            <w:tcW w:w="989" w:type="dxa"/>
            <w:vMerge w:val="restart"/>
            <w:tcBorders>
              <w:top w:val="single" w:sz="4" w:space="0" w:color="000000"/>
              <w:left w:val="single" w:sz="4" w:space="0" w:color="000000"/>
              <w:bottom w:val="single" w:sz="4" w:space="0" w:color="000000"/>
              <w:right w:val="single" w:sz="4" w:space="0" w:color="000000"/>
            </w:tcBorders>
            <w:shd w:val="clear" w:color="auto" w:fill="EDEBE0"/>
          </w:tcPr>
          <w:p>
            <w:pPr>
              <w:pStyle w:val="TableParagraph"/>
              <w:rPr>
                <w:rFonts w:ascii="宋体"/>
                <w:sz w:val="14"/>
              </w:rPr>
            </w:pPr>
          </w:p>
          <w:p>
            <w:pPr>
              <w:pStyle w:val="TableParagraph"/>
              <w:spacing w:before="3"/>
              <w:rPr>
                <w:rFonts w:ascii="宋体"/>
                <w:sz w:val="13"/>
              </w:rPr>
            </w:pPr>
          </w:p>
          <w:p>
            <w:pPr>
              <w:pStyle w:val="TableParagraph"/>
              <w:ind w:left="125"/>
              <w:rPr>
                <w:rFonts w:ascii="宋体" w:eastAsia="宋体" w:hint="eastAsia"/>
                <w:sz w:val="15"/>
              </w:rPr>
            </w:pPr>
            <w:r>
              <w:rPr>
                <w:rFonts w:ascii="宋体" w:eastAsia="宋体" w:hint="eastAsia"/>
                <w:sz w:val="15"/>
              </w:rPr>
              <w:t>减：库存股</w:t>
            </w:r>
          </w:p>
        </w:tc>
        <w:tc>
          <w:tcPr>
            <w:tcW w:w="1135" w:type="dxa"/>
            <w:vMerge w:val="restart"/>
            <w:tcBorders>
              <w:top w:val="single" w:sz="4" w:space="0" w:color="000000"/>
              <w:left w:val="single" w:sz="4" w:space="0" w:color="000000"/>
              <w:bottom w:val="single" w:sz="4" w:space="0" w:color="000000"/>
              <w:right w:val="single" w:sz="4" w:space="0" w:color="000000"/>
            </w:tcBorders>
            <w:shd w:val="clear" w:color="auto" w:fill="EDEBE0"/>
          </w:tcPr>
          <w:p>
            <w:pPr>
              <w:pStyle w:val="TableParagraph"/>
              <w:rPr>
                <w:rFonts w:ascii="宋体"/>
                <w:sz w:val="14"/>
              </w:rPr>
            </w:pPr>
          </w:p>
          <w:p>
            <w:pPr>
              <w:pStyle w:val="TableParagraph"/>
              <w:spacing w:before="3"/>
              <w:rPr>
                <w:rFonts w:ascii="宋体"/>
                <w:sz w:val="13"/>
              </w:rPr>
            </w:pPr>
          </w:p>
          <w:p>
            <w:pPr>
              <w:pStyle w:val="TableParagraph"/>
              <w:ind w:left="124"/>
              <w:rPr>
                <w:rFonts w:ascii="宋体" w:eastAsia="宋体" w:hint="eastAsia"/>
                <w:sz w:val="15"/>
              </w:rPr>
            </w:pPr>
            <w:r>
              <w:rPr>
                <w:rFonts w:ascii="宋体" w:eastAsia="宋体" w:hint="eastAsia"/>
                <w:sz w:val="15"/>
              </w:rPr>
              <w:t>其他综合收益</w:t>
            </w:r>
          </w:p>
        </w:tc>
        <w:tc>
          <w:tcPr>
            <w:tcW w:w="571" w:type="dxa"/>
            <w:vMerge w:val="restart"/>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11"/>
              <w:rPr>
                <w:rFonts w:ascii="宋体"/>
                <w:sz w:val="17"/>
              </w:rPr>
            </w:pPr>
          </w:p>
          <w:p>
            <w:pPr>
              <w:pStyle w:val="TableParagraph"/>
              <w:spacing w:line="300" w:lineRule="auto"/>
              <w:ind w:left="141" w:right="114"/>
              <w:rPr>
                <w:rFonts w:ascii="宋体" w:eastAsia="宋体" w:hint="eastAsia"/>
                <w:sz w:val="15"/>
              </w:rPr>
            </w:pPr>
            <w:r>
              <w:rPr>
                <w:rFonts w:ascii="宋体" w:eastAsia="宋体" w:hint="eastAsia"/>
                <w:sz w:val="15"/>
              </w:rPr>
              <w:t>专项储备</w:t>
            </w:r>
          </w:p>
        </w:tc>
        <w:tc>
          <w:tcPr>
            <w:tcW w:w="1135" w:type="dxa"/>
            <w:vMerge w:val="restart"/>
            <w:tcBorders>
              <w:top w:val="single" w:sz="4" w:space="0" w:color="000000"/>
              <w:left w:val="single" w:sz="4" w:space="0" w:color="000000"/>
              <w:bottom w:val="single" w:sz="4" w:space="0" w:color="000000"/>
              <w:right w:val="single" w:sz="4" w:space="0" w:color="000000"/>
            </w:tcBorders>
            <w:shd w:val="clear" w:color="auto" w:fill="EDEBE0"/>
          </w:tcPr>
          <w:p>
            <w:pPr>
              <w:pStyle w:val="TableParagraph"/>
              <w:rPr>
                <w:rFonts w:ascii="宋体"/>
                <w:sz w:val="14"/>
              </w:rPr>
            </w:pPr>
          </w:p>
          <w:p>
            <w:pPr>
              <w:pStyle w:val="TableParagraph"/>
              <w:spacing w:before="3"/>
              <w:rPr>
                <w:rFonts w:ascii="宋体"/>
                <w:sz w:val="13"/>
              </w:rPr>
            </w:pPr>
          </w:p>
          <w:p>
            <w:pPr>
              <w:pStyle w:val="TableParagraph"/>
              <w:ind w:left="273"/>
              <w:rPr>
                <w:rFonts w:ascii="宋体" w:eastAsia="宋体" w:hint="eastAsia"/>
                <w:sz w:val="15"/>
              </w:rPr>
            </w:pPr>
            <w:r>
              <w:rPr>
                <w:rFonts w:ascii="宋体" w:eastAsia="宋体" w:hint="eastAsia"/>
                <w:sz w:val="15"/>
              </w:rPr>
              <w:t>盈余公积</w:t>
            </w:r>
          </w:p>
        </w:tc>
        <w:tc>
          <w:tcPr>
            <w:tcW w:w="847" w:type="dxa"/>
            <w:vMerge w:val="restart"/>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11"/>
              <w:rPr>
                <w:rFonts w:ascii="宋体"/>
                <w:sz w:val="17"/>
              </w:rPr>
            </w:pPr>
          </w:p>
          <w:p>
            <w:pPr>
              <w:pStyle w:val="TableParagraph"/>
              <w:spacing w:line="300" w:lineRule="auto"/>
              <w:ind w:left="281" w:right="102" w:hanging="152"/>
              <w:rPr>
                <w:rFonts w:ascii="宋体" w:eastAsia="宋体" w:hint="eastAsia"/>
                <w:sz w:val="15"/>
              </w:rPr>
            </w:pPr>
            <w:r>
              <w:rPr>
                <w:rFonts w:ascii="宋体" w:eastAsia="宋体" w:hint="eastAsia"/>
                <w:sz w:val="15"/>
              </w:rPr>
              <w:t>一般风险准备</w:t>
            </w:r>
          </w:p>
        </w:tc>
        <w:tc>
          <w:tcPr>
            <w:tcW w:w="1272" w:type="dxa"/>
            <w:vMerge w:val="restart"/>
            <w:tcBorders>
              <w:top w:val="single" w:sz="4" w:space="0" w:color="000000"/>
              <w:left w:val="single" w:sz="4" w:space="0" w:color="000000"/>
              <w:bottom w:val="single" w:sz="4" w:space="0" w:color="000000"/>
              <w:right w:val="single" w:sz="4" w:space="0" w:color="000000"/>
            </w:tcBorders>
            <w:shd w:val="clear" w:color="auto" w:fill="EDEBE0"/>
          </w:tcPr>
          <w:p>
            <w:pPr>
              <w:pStyle w:val="TableParagraph"/>
              <w:rPr>
                <w:rFonts w:ascii="宋体"/>
                <w:sz w:val="14"/>
              </w:rPr>
            </w:pPr>
          </w:p>
          <w:p>
            <w:pPr>
              <w:pStyle w:val="TableParagraph"/>
              <w:spacing w:before="3"/>
              <w:rPr>
                <w:rFonts w:ascii="宋体"/>
                <w:sz w:val="13"/>
              </w:rPr>
            </w:pPr>
          </w:p>
          <w:p>
            <w:pPr>
              <w:pStyle w:val="TableParagraph"/>
              <w:ind w:left="267"/>
              <w:rPr>
                <w:rFonts w:ascii="宋体" w:eastAsia="宋体" w:hint="eastAsia"/>
                <w:sz w:val="15"/>
              </w:rPr>
            </w:pPr>
            <w:r>
              <w:rPr>
                <w:rFonts w:ascii="宋体" w:eastAsia="宋体" w:hint="eastAsia"/>
                <w:sz w:val="15"/>
              </w:rPr>
              <w:t>未分配利润</w:t>
            </w:r>
          </w:p>
        </w:tc>
        <w:tc>
          <w:tcPr>
            <w:tcW w:w="430" w:type="dxa"/>
            <w:vMerge w:val="restart"/>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11"/>
              <w:rPr>
                <w:rFonts w:ascii="宋体"/>
                <w:sz w:val="17"/>
              </w:rPr>
            </w:pPr>
          </w:p>
          <w:p>
            <w:pPr>
              <w:pStyle w:val="TableParagraph"/>
              <w:spacing w:line="242" w:lineRule="auto"/>
              <w:ind w:left="147" w:right="119"/>
              <w:rPr>
                <w:rFonts w:ascii="宋体" w:eastAsia="宋体" w:hint="eastAsia"/>
                <w:sz w:val="15"/>
              </w:rPr>
            </w:pPr>
            <w:r>
              <w:rPr>
                <w:rFonts w:ascii="宋体" w:eastAsia="宋体" w:hint="eastAsia"/>
                <w:sz w:val="15"/>
              </w:rPr>
              <w:t>其他</w:t>
            </w:r>
          </w:p>
        </w:tc>
        <w:tc>
          <w:tcPr>
            <w:tcW w:w="1278" w:type="dxa"/>
            <w:vMerge w:val="restart"/>
            <w:tcBorders>
              <w:top w:val="single" w:sz="4" w:space="0" w:color="000000"/>
              <w:left w:val="single" w:sz="4" w:space="0" w:color="000000"/>
              <w:bottom w:val="single" w:sz="4" w:space="0" w:color="000000"/>
              <w:right w:val="single" w:sz="4" w:space="0" w:color="000000"/>
            </w:tcBorders>
            <w:shd w:val="clear" w:color="auto" w:fill="EDEBE0"/>
          </w:tcPr>
          <w:p>
            <w:pPr>
              <w:pStyle w:val="TableParagraph"/>
              <w:rPr>
                <w:rFonts w:ascii="宋体"/>
                <w:sz w:val="14"/>
              </w:rPr>
            </w:pPr>
          </w:p>
          <w:p>
            <w:pPr>
              <w:pStyle w:val="TableParagraph"/>
              <w:spacing w:before="4"/>
              <w:rPr>
                <w:rFonts w:ascii="宋体"/>
                <w:sz w:val="11"/>
              </w:rPr>
            </w:pPr>
          </w:p>
          <w:p>
            <w:pPr>
              <w:pStyle w:val="TableParagraph"/>
              <w:ind w:left="479" w:right="449"/>
              <w:jc w:val="center"/>
              <w:rPr>
                <w:rFonts w:ascii="宋体" w:eastAsia="宋体" w:hint="eastAsia"/>
                <w:sz w:val="15"/>
              </w:rPr>
            </w:pPr>
            <w:r>
              <w:rPr>
                <w:rFonts w:ascii="宋体" w:eastAsia="宋体" w:hint="eastAsia"/>
                <w:sz w:val="15"/>
              </w:rPr>
              <w:t>小计</w:t>
            </w:r>
          </w:p>
        </w:tc>
        <w:tc>
          <w:tcPr>
            <w:tcW w:w="1136"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1273" w:type="dxa"/>
            <w:vMerge/>
            <w:tcBorders>
              <w:top w:val="nil"/>
              <w:left w:val="single" w:sz="4" w:space="0" w:color="000000"/>
              <w:bottom w:val="single" w:sz="4" w:space="0" w:color="000000"/>
            </w:tcBorders>
            <w:shd w:val="clear" w:color="auto" w:fill="EDEBE0"/>
          </w:tcPr>
          <w:p>
            <w:pPr>
              <w:rPr>
                <w:sz w:val="2"/>
                <w:szCs w:val="2"/>
              </w:rPr>
            </w:pPr>
          </w:p>
        </w:tc>
      </w:tr>
      <w:tr>
        <w:trPr>
          <w:trHeight w:val="480" w:hRule="atLeast"/>
        </w:trPr>
        <w:tc>
          <w:tcPr>
            <w:tcW w:w="852" w:type="dxa"/>
            <w:vMerge/>
            <w:tcBorders>
              <w:top w:val="nil"/>
              <w:bottom w:val="single" w:sz="4" w:space="0" w:color="000000"/>
              <w:right w:val="single" w:sz="4" w:space="0" w:color="000000"/>
            </w:tcBorders>
            <w:shd w:val="clear" w:color="auto" w:fill="EDEBE0"/>
          </w:tcPr>
          <w:p>
            <w:pPr>
              <w:rPr>
                <w:sz w:val="2"/>
                <w:szCs w:val="2"/>
              </w:rPr>
            </w:pPr>
          </w:p>
        </w:tc>
        <w:tc>
          <w:tcPr>
            <w:tcW w:w="1133"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569"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40" w:lineRule="exact" w:before="4"/>
              <w:ind w:left="218" w:right="110" w:hanging="75"/>
              <w:rPr>
                <w:rFonts w:ascii="宋体" w:eastAsia="宋体" w:hint="eastAsia"/>
                <w:sz w:val="15"/>
              </w:rPr>
            </w:pPr>
            <w:r>
              <w:rPr>
                <w:rFonts w:ascii="宋体" w:eastAsia="宋体" w:hint="eastAsia"/>
                <w:sz w:val="15"/>
              </w:rPr>
              <w:t>优先股</w:t>
            </w:r>
          </w:p>
        </w:tc>
        <w:tc>
          <w:tcPr>
            <w:tcW w:w="567"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40" w:lineRule="exact" w:before="4"/>
              <w:ind w:left="218" w:right="108" w:hanging="75"/>
              <w:rPr>
                <w:rFonts w:ascii="宋体" w:eastAsia="宋体" w:hint="eastAsia"/>
                <w:sz w:val="15"/>
              </w:rPr>
            </w:pPr>
            <w:r>
              <w:rPr>
                <w:rFonts w:ascii="宋体" w:eastAsia="宋体" w:hint="eastAsia"/>
                <w:sz w:val="15"/>
              </w:rPr>
              <w:t>永续债</w:t>
            </w:r>
          </w:p>
        </w:tc>
        <w:tc>
          <w:tcPr>
            <w:tcW w:w="1136"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rPr>
                <w:rFonts w:ascii="宋体"/>
                <w:sz w:val="13"/>
              </w:rPr>
            </w:pPr>
          </w:p>
          <w:p>
            <w:pPr>
              <w:pStyle w:val="TableParagraph"/>
              <w:ind w:left="86" w:right="52"/>
              <w:jc w:val="center"/>
              <w:rPr>
                <w:rFonts w:ascii="宋体" w:eastAsia="宋体" w:hint="eastAsia"/>
                <w:sz w:val="15"/>
              </w:rPr>
            </w:pPr>
            <w:r>
              <w:rPr>
                <w:rFonts w:ascii="宋体" w:eastAsia="宋体" w:hint="eastAsia"/>
                <w:sz w:val="15"/>
              </w:rPr>
              <w:t>其他</w:t>
            </w:r>
          </w:p>
        </w:tc>
        <w:tc>
          <w:tcPr>
            <w:tcW w:w="1278"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989"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1135"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571"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1135"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847"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1272"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430"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1278"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1136"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1273" w:type="dxa"/>
            <w:vMerge/>
            <w:tcBorders>
              <w:top w:val="nil"/>
              <w:left w:val="single" w:sz="4" w:space="0" w:color="000000"/>
              <w:bottom w:val="single" w:sz="4" w:space="0" w:color="000000"/>
            </w:tcBorders>
            <w:shd w:val="clear" w:color="auto" w:fill="EDEBE0"/>
          </w:tcPr>
          <w:p>
            <w:pPr>
              <w:rPr>
                <w:sz w:val="2"/>
                <w:szCs w:val="2"/>
              </w:rPr>
            </w:pPr>
          </w:p>
        </w:tc>
      </w:tr>
      <w:tr>
        <w:trPr>
          <w:trHeight w:val="386" w:hRule="atLeast"/>
        </w:trPr>
        <w:tc>
          <w:tcPr>
            <w:tcW w:w="852" w:type="dxa"/>
            <w:tcBorders>
              <w:top w:val="single" w:sz="4" w:space="0" w:color="000000"/>
              <w:bottom w:val="single" w:sz="4" w:space="0" w:color="000000"/>
              <w:right w:val="single" w:sz="4" w:space="0" w:color="000000"/>
            </w:tcBorders>
          </w:tcPr>
          <w:p>
            <w:pPr>
              <w:pStyle w:val="TableParagraph"/>
              <w:spacing w:line="192" w:lineRule="exact"/>
              <w:ind w:left="109"/>
              <w:rPr>
                <w:rFonts w:ascii="宋体" w:eastAsia="宋体" w:hint="eastAsia"/>
                <w:sz w:val="15"/>
              </w:rPr>
            </w:pPr>
            <w:r>
              <w:rPr>
                <w:rFonts w:ascii="宋体" w:eastAsia="宋体" w:hint="eastAsia"/>
                <w:spacing w:val="-1"/>
                <w:sz w:val="15"/>
              </w:rPr>
              <w:t>一、上年</w:t>
            </w:r>
          </w:p>
          <w:p>
            <w:pPr>
              <w:pStyle w:val="TableParagraph"/>
              <w:spacing w:line="173" w:lineRule="exact" w:before="2"/>
              <w:ind w:left="109"/>
              <w:rPr>
                <w:rFonts w:ascii="宋体" w:eastAsia="宋体" w:hint="eastAsia"/>
                <w:sz w:val="15"/>
              </w:rPr>
            </w:pPr>
            <w:r>
              <w:rPr>
                <w:rFonts w:ascii="宋体" w:eastAsia="宋体" w:hint="eastAsia"/>
                <w:spacing w:val="-1"/>
                <w:sz w:val="15"/>
              </w:rPr>
              <w:t>年末余额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100"/>
              <w:ind w:right="-29"/>
              <w:jc w:val="right"/>
              <w:rPr>
                <w:sz w:val="15"/>
              </w:rPr>
            </w:pPr>
            <w:r>
              <w:rPr>
                <w:sz w:val="15"/>
              </w:rPr>
              <w:t>6,579,566,627.00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00"/>
              <w:ind w:right="-29"/>
              <w:jc w:val="right"/>
              <w:rPr>
                <w:sz w:val="15"/>
              </w:rPr>
            </w:pPr>
            <w:r>
              <w:rPr>
                <w:sz w:val="15"/>
              </w:rPr>
              <w:t>431,424,524.07</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before="100"/>
              <w:ind w:right="-29"/>
              <w:jc w:val="right"/>
              <w:rPr>
                <w:sz w:val="15"/>
              </w:rPr>
            </w:pPr>
            <w:r>
              <w:rPr>
                <w:sz w:val="15"/>
              </w:rPr>
              <w:t>4,435,890,845.47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before="100"/>
              <w:ind w:right="-29"/>
              <w:jc w:val="right"/>
              <w:rPr>
                <w:sz w:val="15"/>
              </w:rPr>
            </w:pPr>
            <w:r>
              <w:rPr>
                <w:sz w:val="15"/>
              </w:rPr>
              <w:t>1,317,988,619.66</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before="100"/>
              <w:ind w:right="-15"/>
              <w:jc w:val="right"/>
              <w:rPr>
                <w:sz w:val="15"/>
              </w:rPr>
            </w:pPr>
            <w:r>
              <w:rPr>
                <w:sz w:val="15"/>
              </w:rPr>
              <w:t>2,655,327,405.46</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100"/>
              <w:ind w:right="-29"/>
              <w:jc w:val="right"/>
              <w:rPr>
                <w:sz w:val="15"/>
              </w:rPr>
            </w:pPr>
            <w:r>
              <w:rPr>
                <w:sz w:val="15"/>
              </w:rPr>
              <w:t>32,468,121,744.26</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before="100"/>
              <w:ind w:right="-29"/>
              <w:jc w:val="right"/>
              <w:rPr>
                <w:sz w:val="15"/>
              </w:rPr>
            </w:pPr>
            <w:r>
              <w:rPr>
                <w:sz w:val="15"/>
              </w:rPr>
              <w:t>47,888,319,765.92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00"/>
              <w:ind w:left="12" w:right="-15"/>
              <w:jc w:val="center"/>
              <w:rPr>
                <w:sz w:val="15"/>
              </w:rPr>
            </w:pPr>
            <w:r>
              <w:rPr>
                <w:spacing w:val="-1"/>
                <w:sz w:val="15"/>
              </w:rPr>
              <w:t>17,101,540,502.01</w:t>
            </w:r>
          </w:p>
        </w:tc>
        <w:tc>
          <w:tcPr>
            <w:tcW w:w="1273" w:type="dxa"/>
            <w:tcBorders>
              <w:top w:val="single" w:sz="4" w:space="0" w:color="000000"/>
              <w:left w:val="single" w:sz="4" w:space="0" w:color="000000"/>
              <w:bottom w:val="single" w:sz="4" w:space="0" w:color="000000"/>
            </w:tcBorders>
          </w:tcPr>
          <w:p>
            <w:pPr>
              <w:pStyle w:val="TableParagraph"/>
              <w:spacing w:before="100"/>
              <w:ind w:right="-29"/>
              <w:jc w:val="right"/>
              <w:rPr>
                <w:sz w:val="15"/>
              </w:rPr>
            </w:pPr>
            <w:r>
              <w:rPr>
                <w:sz w:val="15"/>
              </w:rPr>
              <w:t>64,989,860,267.93</w:t>
            </w:r>
          </w:p>
        </w:tc>
      </w:tr>
      <w:tr>
        <w:trPr>
          <w:trHeight w:val="388" w:hRule="atLeast"/>
        </w:trPr>
        <w:tc>
          <w:tcPr>
            <w:tcW w:w="852" w:type="dxa"/>
            <w:tcBorders>
              <w:top w:val="single" w:sz="4" w:space="0" w:color="000000"/>
              <w:bottom w:val="single" w:sz="4" w:space="0" w:color="000000"/>
              <w:right w:val="single" w:sz="4" w:space="0" w:color="000000"/>
            </w:tcBorders>
          </w:tcPr>
          <w:p>
            <w:pPr>
              <w:pStyle w:val="TableParagraph"/>
              <w:spacing w:before="1"/>
              <w:ind w:left="109"/>
              <w:rPr>
                <w:rFonts w:ascii="宋体" w:eastAsia="宋体" w:hint="eastAsia"/>
                <w:sz w:val="15"/>
              </w:rPr>
            </w:pPr>
            <w:r>
              <w:rPr>
                <w:rFonts w:ascii="宋体" w:eastAsia="宋体" w:hint="eastAsia"/>
                <w:spacing w:val="-1"/>
                <w:sz w:val="15"/>
              </w:rPr>
              <w:t>加：会计</w:t>
            </w:r>
          </w:p>
          <w:p>
            <w:pPr>
              <w:pStyle w:val="TableParagraph"/>
              <w:spacing w:line="173" w:lineRule="exact" w:before="2"/>
              <w:ind w:left="109"/>
              <w:rPr>
                <w:rFonts w:ascii="宋体" w:eastAsia="宋体" w:hint="eastAsia"/>
                <w:sz w:val="15"/>
              </w:rPr>
            </w:pPr>
            <w:r>
              <w:rPr>
                <w:rFonts w:ascii="宋体" w:eastAsia="宋体" w:hint="eastAsia"/>
                <w:spacing w:val="-1"/>
                <w:sz w:val="15"/>
              </w:rPr>
              <w:t>政策变更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3" w:type="dxa"/>
            <w:tcBorders>
              <w:top w:val="single" w:sz="4" w:space="0" w:color="000000"/>
              <w:left w:val="single" w:sz="4" w:space="0" w:color="000000"/>
              <w:bottom w:val="single" w:sz="4" w:space="0" w:color="000000"/>
            </w:tcBorders>
          </w:tcPr>
          <w:p>
            <w:pPr>
              <w:pStyle w:val="TableParagraph"/>
              <w:rPr>
                <w:sz w:val="14"/>
              </w:rPr>
            </w:pPr>
          </w:p>
        </w:tc>
      </w:tr>
      <w:tr>
        <w:trPr>
          <w:trHeight w:val="388" w:hRule="atLeast"/>
        </w:trPr>
        <w:tc>
          <w:tcPr>
            <w:tcW w:w="852" w:type="dxa"/>
            <w:tcBorders>
              <w:top w:val="single" w:sz="4" w:space="0" w:color="000000"/>
              <w:bottom w:val="single" w:sz="4" w:space="0" w:color="000000"/>
              <w:right w:val="single" w:sz="4" w:space="0" w:color="000000"/>
            </w:tcBorders>
          </w:tcPr>
          <w:p>
            <w:pPr>
              <w:pStyle w:val="TableParagraph"/>
              <w:spacing w:before="1"/>
              <w:ind w:right="117"/>
              <w:jc w:val="right"/>
              <w:rPr>
                <w:rFonts w:ascii="宋体" w:eastAsia="宋体" w:hint="eastAsia"/>
                <w:sz w:val="15"/>
              </w:rPr>
            </w:pPr>
            <w:r>
              <w:rPr>
                <w:rFonts w:ascii="宋体" w:eastAsia="宋体" w:hint="eastAsia"/>
                <w:sz w:val="15"/>
              </w:rPr>
              <w:t>前期</w:t>
            </w:r>
          </w:p>
          <w:p>
            <w:pPr>
              <w:pStyle w:val="TableParagraph"/>
              <w:spacing w:line="173" w:lineRule="exact" w:before="2"/>
              <w:ind w:right="117"/>
              <w:jc w:val="right"/>
              <w:rPr>
                <w:rFonts w:ascii="宋体" w:eastAsia="宋体" w:hint="eastAsia"/>
                <w:sz w:val="15"/>
              </w:rPr>
            </w:pPr>
            <w:r>
              <w:rPr>
                <w:rFonts w:ascii="宋体" w:eastAsia="宋体" w:hint="eastAsia"/>
                <w:spacing w:val="-1"/>
                <w:sz w:val="15"/>
              </w:rPr>
              <w:t>差错更正</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3" w:type="dxa"/>
            <w:tcBorders>
              <w:top w:val="single" w:sz="4" w:space="0" w:color="000000"/>
              <w:left w:val="single" w:sz="4" w:space="0" w:color="000000"/>
              <w:bottom w:val="single" w:sz="4" w:space="0" w:color="000000"/>
            </w:tcBorders>
          </w:tcPr>
          <w:p>
            <w:pPr>
              <w:pStyle w:val="TableParagraph"/>
              <w:rPr>
                <w:sz w:val="14"/>
              </w:rPr>
            </w:pPr>
          </w:p>
        </w:tc>
      </w:tr>
      <w:tr>
        <w:trPr>
          <w:trHeight w:val="585" w:hRule="atLeast"/>
        </w:trPr>
        <w:tc>
          <w:tcPr>
            <w:tcW w:w="852" w:type="dxa"/>
            <w:tcBorders>
              <w:top w:val="single" w:sz="4" w:space="0" w:color="000000"/>
              <w:bottom w:val="single" w:sz="4" w:space="0" w:color="000000"/>
              <w:right w:val="single" w:sz="4" w:space="0" w:color="000000"/>
            </w:tcBorders>
          </w:tcPr>
          <w:p>
            <w:pPr>
              <w:pStyle w:val="TableParagraph"/>
              <w:spacing w:line="242" w:lineRule="auto" w:before="1"/>
              <w:ind w:left="109" w:right="117" w:firstLine="300"/>
              <w:rPr>
                <w:rFonts w:ascii="宋体" w:eastAsia="宋体" w:hint="eastAsia"/>
                <w:sz w:val="15"/>
              </w:rPr>
            </w:pPr>
            <w:r>
              <w:rPr>
                <w:rFonts w:ascii="宋体" w:eastAsia="宋体" w:hint="eastAsia"/>
                <w:sz w:val="15"/>
              </w:rPr>
              <w:t>同一控制下企</w:t>
            </w:r>
          </w:p>
          <w:p>
            <w:pPr>
              <w:pStyle w:val="TableParagraph"/>
              <w:spacing w:line="175" w:lineRule="exact"/>
              <w:ind w:left="109"/>
              <w:rPr>
                <w:rFonts w:ascii="宋体" w:eastAsia="宋体" w:hint="eastAsia"/>
                <w:sz w:val="15"/>
              </w:rPr>
            </w:pPr>
            <w:r>
              <w:rPr>
                <w:rFonts w:ascii="宋体" w:eastAsia="宋体" w:hint="eastAsia"/>
                <w:sz w:val="15"/>
              </w:rPr>
              <w:t>业合并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3" w:type="dxa"/>
            <w:tcBorders>
              <w:top w:val="single" w:sz="4" w:space="0" w:color="000000"/>
              <w:left w:val="single" w:sz="4" w:space="0" w:color="000000"/>
              <w:bottom w:val="single" w:sz="4" w:space="0" w:color="000000"/>
            </w:tcBorders>
          </w:tcPr>
          <w:p>
            <w:pPr>
              <w:pStyle w:val="TableParagraph"/>
              <w:rPr>
                <w:sz w:val="14"/>
              </w:rPr>
            </w:pPr>
          </w:p>
        </w:tc>
      </w:tr>
      <w:tr>
        <w:trPr>
          <w:trHeight w:val="193" w:hRule="atLeast"/>
        </w:trPr>
        <w:tc>
          <w:tcPr>
            <w:tcW w:w="852" w:type="dxa"/>
            <w:tcBorders>
              <w:top w:val="single" w:sz="4" w:space="0" w:color="000000"/>
              <w:bottom w:val="single" w:sz="4" w:space="0" w:color="000000"/>
              <w:right w:val="single" w:sz="4" w:space="0" w:color="000000"/>
            </w:tcBorders>
          </w:tcPr>
          <w:p>
            <w:pPr>
              <w:pStyle w:val="TableParagraph"/>
              <w:spacing w:line="173" w:lineRule="exact" w:before="1"/>
              <w:ind w:left="409"/>
              <w:rPr>
                <w:rFonts w:ascii="宋体" w:eastAsia="宋体" w:hint="eastAsia"/>
                <w:sz w:val="15"/>
              </w:rPr>
            </w:pPr>
            <w:r>
              <w:rPr>
                <w:rFonts w:ascii="宋体" w:eastAsia="宋体" w:hint="eastAsia"/>
                <w:sz w:val="15"/>
              </w:rPr>
              <w:t>其他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273" w:type="dxa"/>
            <w:tcBorders>
              <w:top w:val="single" w:sz="4" w:space="0" w:color="000000"/>
              <w:left w:val="single" w:sz="4" w:space="0" w:color="000000"/>
              <w:bottom w:val="single" w:sz="4" w:space="0" w:color="000000"/>
            </w:tcBorders>
          </w:tcPr>
          <w:p>
            <w:pPr>
              <w:pStyle w:val="TableParagraph"/>
              <w:rPr>
                <w:sz w:val="12"/>
              </w:rPr>
            </w:pPr>
          </w:p>
        </w:tc>
      </w:tr>
      <w:tr>
        <w:trPr>
          <w:trHeight w:val="388" w:hRule="atLeast"/>
        </w:trPr>
        <w:tc>
          <w:tcPr>
            <w:tcW w:w="852" w:type="dxa"/>
            <w:tcBorders>
              <w:top w:val="single" w:sz="4" w:space="0" w:color="000000"/>
              <w:bottom w:val="single" w:sz="4" w:space="0" w:color="000000"/>
              <w:right w:val="single" w:sz="4" w:space="0" w:color="000000"/>
            </w:tcBorders>
          </w:tcPr>
          <w:p>
            <w:pPr>
              <w:pStyle w:val="TableParagraph"/>
              <w:spacing w:before="1"/>
              <w:ind w:left="109"/>
              <w:rPr>
                <w:rFonts w:ascii="宋体" w:eastAsia="宋体" w:hint="eastAsia"/>
                <w:sz w:val="15"/>
              </w:rPr>
            </w:pPr>
            <w:r>
              <w:rPr>
                <w:rFonts w:ascii="宋体" w:eastAsia="宋体" w:hint="eastAsia"/>
                <w:spacing w:val="-1"/>
                <w:sz w:val="15"/>
              </w:rPr>
              <w:t>二、本年</w:t>
            </w:r>
          </w:p>
          <w:p>
            <w:pPr>
              <w:pStyle w:val="TableParagraph"/>
              <w:spacing w:line="173" w:lineRule="exact" w:before="2"/>
              <w:ind w:left="109"/>
              <w:rPr>
                <w:rFonts w:ascii="宋体" w:eastAsia="宋体" w:hint="eastAsia"/>
                <w:sz w:val="15"/>
              </w:rPr>
            </w:pPr>
            <w:r>
              <w:rPr>
                <w:rFonts w:ascii="宋体" w:eastAsia="宋体" w:hint="eastAsia"/>
                <w:spacing w:val="-1"/>
                <w:sz w:val="15"/>
              </w:rPr>
              <w:t>期初余额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102"/>
              <w:ind w:right="-29"/>
              <w:jc w:val="right"/>
              <w:rPr>
                <w:sz w:val="15"/>
              </w:rPr>
            </w:pPr>
            <w:r>
              <w:rPr>
                <w:sz w:val="15"/>
              </w:rPr>
              <w:t>6,579,566,627.00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02"/>
              <w:ind w:right="-29"/>
              <w:jc w:val="right"/>
              <w:rPr>
                <w:sz w:val="15"/>
              </w:rPr>
            </w:pPr>
            <w:r>
              <w:rPr>
                <w:sz w:val="15"/>
              </w:rPr>
              <w:t>431,424,524.07</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before="102"/>
              <w:ind w:right="-29"/>
              <w:jc w:val="right"/>
              <w:rPr>
                <w:sz w:val="15"/>
              </w:rPr>
            </w:pPr>
            <w:r>
              <w:rPr>
                <w:sz w:val="15"/>
              </w:rPr>
              <w:t>4,435,890,845.47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before="102"/>
              <w:ind w:right="-29"/>
              <w:jc w:val="right"/>
              <w:rPr>
                <w:sz w:val="15"/>
              </w:rPr>
            </w:pPr>
            <w:r>
              <w:rPr>
                <w:sz w:val="15"/>
              </w:rPr>
              <w:t>1,317,988,619.66</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before="102"/>
              <w:ind w:right="-15"/>
              <w:jc w:val="right"/>
              <w:rPr>
                <w:sz w:val="15"/>
              </w:rPr>
            </w:pPr>
            <w:r>
              <w:rPr>
                <w:sz w:val="15"/>
              </w:rPr>
              <w:t>2,655,327,405.46</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102"/>
              <w:ind w:right="-29"/>
              <w:jc w:val="right"/>
              <w:rPr>
                <w:sz w:val="15"/>
              </w:rPr>
            </w:pPr>
            <w:r>
              <w:rPr>
                <w:sz w:val="15"/>
              </w:rPr>
              <w:t>32,468,121,744.26</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before="102"/>
              <w:ind w:right="-29"/>
              <w:jc w:val="right"/>
              <w:rPr>
                <w:sz w:val="15"/>
              </w:rPr>
            </w:pPr>
            <w:r>
              <w:rPr>
                <w:sz w:val="15"/>
              </w:rPr>
              <w:t>47,888,319,765.92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02"/>
              <w:ind w:left="12" w:right="-15"/>
              <w:jc w:val="center"/>
              <w:rPr>
                <w:sz w:val="15"/>
              </w:rPr>
            </w:pPr>
            <w:r>
              <w:rPr>
                <w:spacing w:val="-1"/>
                <w:sz w:val="15"/>
              </w:rPr>
              <w:t>17,101,540,502.01</w:t>
            </w:r>
          </w:p>
        </w:tc>
        <w:tc>
          <w:tcPr>
            <w:tcW w:w="1273" w:type="dxa"/>
            <w:tcBorders>
              <w:top w:val="single" w:sz="4" w:space="0" w:color="000000"/>
              <w:left w:val="single" w:sz="4" w:space="0" w:color="000000"/>
              <w:bottom w:val="single" w:sz="4" w:space="0" w:color="000000"/>
            </w:tcBorders>
          </w:tcPr>
          <w:p>
            <w:pPr>
              <w:pStyle w:val="TableParagraph"/>
              <w:spacing w:before="102"/>
              <w:ind w:right="-29"/>
              <w:jc w:val="right"/>
              <w:rPr>
                <w:sz w:val="15"/>
              </w:rPr>
            </w:pPr>
            <w:r>
              <w:rPr>
                <w:sz w:val="15"/>
              </w:rPr>
              <w:t>64,989,860,267.93</w:t>
            </w:r>
          </w:p>
        </w:tc>
      </w:tr>
      <w:tr>
        <w:trPr>
          <w:trHeight w:val="971" w:hRule="atLeast"/>
        </w:trPr>
        <w:tc>
          <w:tcPr>
            <w:tcW w:w="852" w:type="dxa"/>
            <w:tcBorders>
              <w:top w:val="single" w:sz="4" w:space="0" w:color="000000"/>
              <w:bottom w:val="single" w:sz="4" w:space="0" w:color="000000"/>
              <w:right w:val="single" w:sz="4" w:space="0" w:color="000000"/>
            </w:tcBorders>
          </w:tcPr>
          <w:p>
            <w:pPr>
              <w:pStyle w:val="TableParagraph"/>
              <w:spacing w:line="242" w:lineRule="auto" w:before="1"/>
              <w:ind w:left="109" w:right="117"/>
              <w:jc w:val="both"/>
              <w:rPr>
                <w:sz w:val="15"/>
              </w:rPr>
            </w:pPr>
            <w:r>
              <w:rPr>
                <w:rFonts w:ascii="宋体" w:hAnsi="宋体" w:eastAsia="宋体" w:hint="eastAsia"/>
                <w:spacing w:val="-5"/>
                <w:sz w:val="15"/>
              </w:rPr>
              <w:t>三、本期增减变动</w:t>
            </w:r>
            <w:r>
              <w:rPr>
                <w:rFonts w:ascii="宋体" w:hAnsi="宋体" w:eastAsia="宋体" w:hint="eastAsia"/>
                <w:sz w:val="15"/>
              </w:rPr>
              <w:t>金额</w:t>
            </w:r>
            <w:r>
              <w:rPr>
                <w:rFonts w:ascii="宋体" w:hAnsi="宋体" w:eastAsia="宋体" w:hint="eastAsia"/>
                <w:spacing w:val="-3"/>
                <w:sz w:val="15"/>
              </w:rPr>
              <w:t>（</w:t>
            </w:r>
            <w:r>
              <w:rPr>
                <w:rFonts w:ascii="宋体" w:hAnsi="宋体" w:eastAsia="宋体" w:hint="eastAsia"/>
                <w:spacing w:val="-16"/>
                <w:sz w:val="15"/>
              </w:rPr>
              <w:t>减</w:t>
            </w:r>
            <w:r>
              <w:rPr>
                <w:rFonts w:ascii="宋体" w:hAnsi="宋体" w:eastAsia="宋体" w:hint="eastAsia"/>
                <w:spacing w:val="-1"/>
                <w:sz w:val="15"/>
              </w:rPr>
              <w:t>少以</w:t>
            </w:r>
            <w:r>
              <w:rPr>
                <w:spacing w:val="-1"/>
                <w:sz w:val="15"/>
              </w:rPr>
              <w:t>“</w:t>
            </w:r>
            <w:r>
              <w:rPr>
                <w:rFonts w:ascii="宋体" w:hAnsi="宋体" w:eastAsia="宋体" w:hint="eastAsia"/>
                <w:spacing w:val="-1"/>
                <w:sz w:val="15"/>
              </w:rPr>
              <w:t>－</w:t>
            </w:r>
            <w:r>
              <w:rPr>
                <w:spacing w:val="-1"/>
                <w:sz w:val="15"/>
              </w:rPr>
              <w:t>”</w:t>
            </w:r>
          </w:p>
          <w:p>
            <w:pPr>
              <w:pStyle w:val="TableParagraph"/>
              <w:spacing w:line="173" w:lineRule="exact" w:before="1"/>
              <w:ind w:left="109"/>
              <w:rPr>
                <w:rFonts w:ascii="宋体" w:eastAsia="宋体" w:hint="eastAsia"/>
                <w:sz w:val="15"/>
              </w:rPr>
            </w:pPr>
            <w:r>
              <w:rPr>
                <w:rFonts w:ascii="宋体" w:eastAsia="宋体" w:hint="eastAsia"/>
                <w:spacing w:val="-1"/>
                <w:sz w:val="15"/>
              </w:rPr>
              <w:t>号填列</w:t>
            </w:r>
            <w:r>
              <w:rPr>
                <w:rFonts w:ascii="宋体" w:eastAsia="宋体" w:hint="eastAsia"/>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16"/>
              </w:rPr>
            </w:pPr>
          </w:p>
          <w:p>
            <w:pPr>
              <w:pStyle w:val="TableParagraph"/>
              <w:spacing w:before="10"/>
              <w:rPr>
                <w:rFonts w:ascii="宋体"/>
                <w:sz w:val="14"/>
              </w:rPr>
            </w:pPr>
          </w:p>
          <w:p>
            <w:pPr>
              <w:pStyle w:val="TableParagraph"/>
              <w:ind w:right="-29"/>
              <w:jc w:val="right"/>
              <w:rPr>
                <w:sz w:val="15"/>
              </w:rPr>
            </w:pPr>
            <w:r>
              <w:rPr>
                <w:sz w:val="15"/>
              </w:rPr>
              <w:t>2,448,279,814.00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16"/>
              </w:rPr>
            </w:pPr>
          </w:p>
          <w:p>
            <w:pPr>
              <w:pStyle w:val="TableParagraph"/>
              <w:spacing w:before="10"/>
              <w:rPr>
                <w:rFonts w:ascii="宋体"/>
                <w:sz w:val="14"/>
              </w:rPr>
            </w:pPr>
          </w:p>
          <w:p>
            <w:pPr>
              <w:pStyle w:val="TableParagraph"/>
              <w:ind w:right="-29"/>
              <w:jc w:val="right"/>
              <w:rPr>
                <w:sz w:val="15"/>
              </w:rPr>
            </w:pPr>
            <w:r>
              <w:rPr>
                <w:sz w:val="15"/>
              </w:rPr>
              <w:t>1,932,770,809.72</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16"/>
              </w:rPr>
            </w:pPr>
          </w:p>
          <w:p>
            <w:pPr>
              <w:pStyle w:val="TableParagraph"/>
              <w:spacing w:before="10"/>
              <w:rPr>
                <w:rFonts w:ascii="宋体"/>
                <w:sz w:val="14"/>
              </w:rPr>
            </w:pPr>
          </w:p>
          <w:p>
            <w:pPr>
              <w:pStyle w:val="TableParagraph"/>
              <w:ind w:right="-29"/>
              <w:jc w:val="right"/>
              <w:rPr>
                <w:sz w:val="15"/>
              </w:rPr>
            </w:pPr>
            <w:r>
              <w:rPr>
                <w:sz w:val="15"/>
              </w:rPr>
              <w:t>10,573,136,561.93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16"/>
              </w:rPr>
            </w:pPr>
          </w:p>
          <w:p>
            <w:pPr>
              <w:pStyle w:val="TableParagraph"/>
              <w:spacing w:before="10"/>
              <w:rPr>
                <w:rFonts w:ascii="宋体"/>
                <w:sz w:val="14"/>
              </w:rPr>
            </w:pPr>
          </w:p>
          <w:p>
            <w:pPr>
              <w:pStyle w:val="TableParagraph"/>
              <w:ind w:right="-29"/>
              <w:jc w:val="right"/>
              <w:rPr>
                <w:sz w:val="15"/>
              </w:rPr>
            </w:pPr>
            <w:r>
              <w:rPr>
                <w:sz w:val="15"/>
              </w:rPr>
              <w:t>28,896,550.65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16"/>
              </w:rPr>
            </w:pPr>
          </w:p>
          <w:p>
            <w:pPr>
              <w:pStyle w:val="TableParagraph"/>
              <w:spacing w:before="10"/>
              <w:rPr>
                <w:rFonts w:ascii="宋体"/>
                <w:sz w:val="14"/>
              </w:rPr>
            </w:pPr>
          </w:p>
          <w:p>
            <w:pPr>
              <w:pStyle w:val="TableParagraph"/>
              <w:ind w:right="-29"/>
              <w:jc w:val="right"/>
              <w:rPr>
                <w:sz w:val="15"/>
              </w:rPr>
            </w:pPr>
            <w:r>
              <w:rPr>
                <w:sz w:val="15"/>
              </w:rPr>
              <w:t>-2,364,205,348.72</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16"/>
              </w:rPr>
            </w:pPr>
          </w:p>
          <w:p>
            <w:pPr>
              <w:pStyle w:val="TableParagraph"/>
              <w:spacing w:before="10"/>
              <w:rPr>
                <w:rFonts w:ascii="宋体"/>
                <w:sz w:val="14"/>
              </w:rPr>
            </w:pPr>
          </w:p>
          <w:p>
            <w:pPr>
              <w:pStyle w:val="TableParagraph"/>
              <w:ind w:right="-15"/>
              <w:jc w:val="right"/>
              <w:rPr>
                <w:sz w:val="15"/>
              </w:rPr>
            </w:pPr>
            <w:r>
              <w:rPr>
                <w:sz w:val="15"/>
              </w:rPr>
              <w:t>390,007,134.14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16"/>
              </w:rPr>
            </w:pPr>
          </w:p>
          <w:p>
            <w:pPr>
              <w:pStyle w:val="TableParagraph"/>
              <w:spacing w:before="10"/>
              <w:rPr>
                <w:rFonts w:ascii="宋体"/>
                <w:sz w:val="14"/>
              </w:rPr>
            </w:pPr>
          </w:p>
          <w:p>
            <w:pPr>
              <w:pStyle w:val="TableParagraph"/>
              <w:ind w:right="-29"/>
              <w:jc w:val="right"/>
              <w:rPr>
                <w:sz w:val="15"/>
              </w:rPr>
            </w:pPr>
            <w:r>
              <w:rPr>
                <w:sz w:val="15"/>
              </w:rPr>
              <w:t>5,977,010,428.21</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16"/>
              </w:rPr>
            </w:pPr>
          </w:p>
          <w:p>
            <w:pPr>
              <w:pStyle w:val="TableParagraph"/>
              <w:spacing w:before="10"/>
              <w:rPr>
                <w:rFonts w:ascii="宋体"/>
                <w:sz w:val="14"/>
              </w:rPr>
            </w:pPr>
          </w:p>
          <w:p>
            <w:pPr>
              <w:pStyle w:val="TableParagraph"/>
              <w:ind w:right="-29"/>
              <w:jc w:val="right"/>
              <w:rPr>
                <w:sz w:val="15"/>
              </w:rPr>
            </w:pPr>
            <w:r>
              <w:rPr>
                <w:sz w:val="15"/>
              </w:rPr>
              <w:t>18,928,102,848.63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16"/>
              </w:rPr>
            </w:pPr>
          </w:p>
          <w:p>
            <w:pPr>
              <w:pStyle w:val="TableParagraph"/>
              <w:spacing w:before="103"/>
              <w:ind w:right="-15"/>
              <w:jc w:val="right"/>
              <w:rPr>
                <w:sz w:val="15"/>
              </w:rPr>
            </w:pPr>
            <w:r>
              <w:rPr>
                <w:sz w:val="15"/>
              </w:rPr>
              <w:t>-15,806,955,944.9</w:t>
            </w:r>
          </w:p>
          <w:p>
            <w:pPr>
              <w:pStyle w:val="TableParagraph"/>
              <w:spacing w:before="1"/>
              <w:ind w:right="-15"/>
              <w:jc w:val="right"/>
              <w:rPr>
                <w:sz w:val="15"/>
              </w:rPr>
            </w:pPr>
            <w:r>
              <w:rPr>
                <w:w w:val="100"/>
                <w:sz w:val="15"/>
              </w:rPr>
              <w:t>2</w:t>
            </w:r>
          </w:p>
        </w:tc>
        <w:tc>
          <w:tcPr>
            <w:tcW w:w="1273" w:type="dxa"/>
            <w:tcBorders>
              <w:top w:val="single" w:sz="4" w:space="0" w:color="000000"/>
              <w:left w:val="single" w:sz="4" w:space="0" w:color="000000"/>
              <w:bottom w:val="single" w:sz="4" w:space="0" w:color="000000"/>
            </w:tcBorders>
          </w:tcPr>
          <w:p>
            <w:pPr>
              <w:pStyle w:val="TableParagraph"/>
              <w:rPr>
                <w:rFonts w:ascii="宋体"/>
                <w:sz w:val="16"/>
              </w:rPr>
            </w:pPr>
          </w:p>
          <w:p>
            <w:pPr>
              <w:pStyle w:val="TableParagraph"/>
              <w:spacing w:before="10"/>
              <w:rPr>
                <w:rFonts w:ascii="宋体"/>
                <w:sz w:val="14"/>
              </w:rPr>
            </w:pPr>
          </w:p>
          <w:p>
            <w:pPr>
              <w:pStyle w:val="TableParagraph"/>
              <w:ind w:right="-29"/>
              <w:jc w:val="right"/>
              <w:rPr>
                <w:sz w:val="15"/>
              </w:rPr>
            </w:pPr>
            <w:r>
              <w:rPr>
                <w:sz w:val="15"/>
              </w:rPr>
              <w:t>3,121,146,903.71</w:t>
            </w:r>
          </w:p>
        </w:tc>
      </w:tr>
      <w:tr>
        <w:trPr>
          <w:trHeight w:val="585" w:hRule="atLeast"/>
        </w:trPr>
        <w:tc>
          <w:tcPr>
            <w:tcW w:w="852" w:type="dxa"/>
            <w:tcBorders>
              <w:top w:val="single" w:sz="4" w:space="0" w:color="000000"/>
              <w:bottom w:val="single" w:sz="4" w:space="0" w:color="000000"/>
              <w:right w:val="single" w:sz="4" w:space="0" w:color="000000"/>
            </w:tcBorders>
          </w:tcPr>
          <w:p>
            <w:pPr>
              <w:pStyle w:val="TableParagraph"/>
              <w:spacing w:line="190" w:lineRule="atLeast" w:before="3"/>
              <w:ind w:left="109" w:right="117"/>
              <w:jc w:val="both"/>
              <w:rPr>
                <w:rFonts w:ascii="宋体" w:eastAsia="宋体" w:hint="eastAsia"/>
                <w:sz w:val="15"/>
              </w:rPr>
            </w:pPr>
            <w:r>
              <w:rPr>
                <w:rFonts w:ascii="宋体" w:eastAsia="宋体" w:hint="eastAsia"/>
                <w:sz w:val="15"/>
              </w:rPr>
              <w:t>（一）综合收益总额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before="8"/>
              <w:rPr>
                <w:rFonts w:ascii="宋体"/>
                <w:sz w:val="15"/>
              </w:rPr>
            </w:pPr>
          </w:p>
          <w:p>
            <w:pPr>
              <w:pStyle w:val="TableParagraph"/>
              <w:ind w:right="-29"/>
              <w:jc w:val="right"/>
              <w:rPr>
                <w:sz w:val="15"/>
              </w:rPr>
            </w:pPr>
            <w:r>
              <w:rPr>
                <w:sz w:val="15"/>
              </w:rPr>
              <w:t>-2,537,334,822.50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8"/>
              <w:rPr>
                <w:rFonts w:ascii="宋体"/>
                <w:sz w:val="15"/>
              </w:rPr>
            </w:pPr>
          </w:p>
          <w:p>
            <w:pPr>
              <w:pStyle w:val="TableParagraph"/>
              <w:ind w:right="-29"/>
              <w:jc w:val="right"/>
              <w:rPr>
                <w:sz w:val="15"/>
              </w:rPr>
            </w:pPr>
            <w:r>
              <w:rPr>
                <w:sz w:val="15"/>
              </w:rPr>
              <w:t>8,876,593,208.19</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before="8"/>
              <w:rPr>
                <w:rFonts w:ascii="宋体"/>
                <w:sz w:val="15"/>
              </w:rPr>
            </w:pPr>
          </w:p>
          <w:p>
            <w:pPr>
              <w:pStyle w:val="TableParagraph"/>
              <w:ind w:right="-29"/>
              <w:jc w:val="right"/>
              <w:rPr>
                <w:sz w:val="15"/>
              </w:rPr>
            </w:pPr>
            <w:r>
              <w:rPr>
                <w:sz w:val="15"/>
              </w:rPr>
              <w:t>6,339,258,385.69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8"/>
              <w:rPr>
                <w:rFonts w:ascii="宋体"/>
                <w:sz w:val="15"/>
              </w:rPr>
            </w:pPr>
          </w:p>
          <w:p>
            <w:pPr>
              <w:pStyle w:val="TableParagraph"/>
              <w:ind w:left="86" w:right="-15"/>
              <w:jc w:val="center"/>
              <w:rPr>
                <w:sz w:val="15"/>
              </w:rPr>
            </w:pPr>
            <w:r>
              <w:rPr>
                <w:spacing w:val="-1"/>
                <w:sz w:val="15"/>
              </w:rPr>
              <w:t>2,407,160,053.05</w:t>
            </w:r>
          </w:p>
        </w:tc>
        <w:tc>
          <w:tcPr>
            <w:tcW w:w="1273" w:type="dxa"/>
            <w:tcBorders>
              <w:top w:val="single" w:sz="4" w:space="0" w:color="000000"/>
              <w:left w:val="single" w:sz="4" w:space="0" w:color="000000"/>
              <w:bottom w:val="single" w:sz="4" w:space="0" w:color="000000"/>
            </w:tcBorders>
          </w:tcPr>
          <w:p>
            <w:pPr>
              <w:pStyle w:val="TableParagraph"/>
              <w:spacing w:before="8"/>
              <w:rPr>
                <w:rFonts w:ascii="宋体"/>
                <w:sz w:val="15"/>
              </w:rPr>
            </w:pPr>
          </w:p>
          <w:p>
            <w:pPr>
              <w:pStyle w:val="TableParagraph"/>
              <w:ind w:right="-29"/>
              <w:jc w:val="right"/>
              <w:rPr>
                <w:sz w:val="15"/>
              </w:rPr>
            </w:pPr>
            <w:r>
              <w:rPr>
                <w:sz w:val="15"/>
              </w:rPr>
              <w:t>8,746,418,438.74</w:t>
            </w:r>
          </w:p>
        </w:tc>
      </w:tr>
      <w:tr>
        <w:trPr>
          <w:trHeight w:val="777" w:hRule="atLeast"/>
        </w:trPr>
        <w:tc>
          <w:tcPr>
            <w:tcW w:w="852" w:type="dxa"/>
            <w:tcBorders>
              <w:top w:val="single" w:sz="4" w:space="0" w:color="000000"/>
              <w:bottom w:val="single" w:sz="4" w:space="0" w:color="000000"/>
              <w:right w:val="single" w:sz="4" w:space="0" w:color="000000"/>
            </w:tcBorders>
          </w:tcPr>
          <w:p>
            <w:pPr>
              <w:pStyle w:val="TableParagraph"/>
              <w:spacing w:line="242" w:lineRule="auto" w:before="1"/>
              <w:ind w:left="109" w:right="117"/>
              <w:jc w:val="both"/>
              <w:rPr>
                <w:rFonts w:ascii="宋体" w:eastAsia="宋体" w:hint="eastAsia"/>
                <w:sz w:val="15"/>
              </w:rPr>
            </w:pPr>
            <w:r>
              <w:rPr>
                <w:rFonts w:ascii="宋体" w:eastAsia="宋体" w:hint="eastAsia"/>
                <w:sz w:val="15"/>
              </w:rPr>
              <w:t>（二）所有者投入和减少资</w:t>
            </w:r>
          </w:p>
          <w:p>
            <w:pPr>
              <w:pStyle w:val="TableParagraph"/>
              <w:spacing w:line="173" w:lineRule="exact" w:before="1"/>
              <w:ind w:left="109"/>
              <w:rPr>
                <w:rFonts w:ascii="宋体" w:eastAsia="宋体" w:hint="eastAsia"/>
                <w:sz w:val="15"/>
              </w:rPr>
            </w:pPr>
            <w:r>
              <w:rPr>
                <w:rFonts w:ascii="宋体" w:eastAsia="宋体" w:hint="eastAsia"/>
                <w:w w:val="100"/>
                <w:sz w:val="15"/>
              </w:rPr>
              <w:t>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1"/>
              <w:rPr>
                <w:rFonts w:ascii="宋体"/>
                <w:sz w:val="23"/>
              </w:rPr>
            </w:pPr>
          </w:p>
          <w:p>
            <w:pPr>
              <w:pStyle w:val="TableParagraph"/>
              <w:spacing w:before="1"/>
              <w:ind w:right="-29"/>
              <w:jc w:val="right"/>
              <w:rPr>
                <w:sz w:val="15"/>
              </w:rPr>
            </w:pPr>
            <w:r>
              <w:rPr>
                <w:sz w:val="15"/>
              </w:rPr>
              <w:t>2,448,279,814.00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
              <w:rPr>
                <w:rFonts w:ascii="宋体"/>
                <w:sz w:val="23"/>
              </w:rPr>
            </w:pPr>
          </w:p>
          <w:p>
            <w:pPr>
              <w:pStyle w:val="TableParagraph"/>
              <w:spacing w:before="1"/>
              <w:ind w:right="-29"/>
              <w:jc w:val="right"/>
              <w:rPr>
                <w:sz w:val="15"/>
              </w:rPr>
            </w:pPr>
            <w:r>
              <w:rPr>
                <w:sz w:val="15"/>
              </w:rPr>
              <w:t>1,932,770,809.72</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before="1"/>
              <w:rPr>
                <w:rFonts w:ascii="宋体"/>
                <w:sz w:val="23"/>
              </w:rPr>
            </w:pPr>
          </w:p>
          <w:p>
            <w:pPr>
              <w:pStyle w:val="TableParagraph"/>
              <w:spacing w:before="1"/>
              <w:ind w:right="-29"/>
              <w:jc w:val="right"/>
              <w:rPr>
                <w:sz w:val="15"/>
              </w:rPr>
            </w:pPr>
            <w:r>
              <w:rPr>
                <w:sz w:val="15"/>
              </w:rPr>
              <w:t>10,732,277,435.61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1"/>
              <w:rPr>
                <w:rFonts w:ascii="宋体"/>
                <w:sz w:val="23"/>
              </w:rPr>
            </w:pPr>
          </w:p>
          <w:p>
            <w:pPr>
              <w:pStyle w:val="TableParagraph"/>
              <w:spacing w:before="1"/>
              <w:ind w:right="-29"/>
              <w:jc w:val="right"/>
              <w:rPr>
                <w:sz w:val="15"/>
              </w:rPr>
            </w:pPr>
            <w:r>
              <w:rPr>
                <w:sz w:val="15"/>
              </w:rPr>
              <w:t>28,896,550.65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before="1"/>
              <w:rPr>
                <w:rFonts w:ascii="宋体"/>
                <w:sz w:val="23"/>
              </w:rPr>
            </w:pPr>
          </w:p>
          <w:p>
            <w:pPr>
              <w:pStyle w:val="TableParagraph"/>
              <w:spacing w:before="1"/>
              <w:ind w:right="-29"/>
              <w:jc w:val="right"/>
              <w:rPr>
                <w:sz w:val="15"/>
              </w:rPr>
            </w:pPr>
            <w:r>
              <w:rPr>
                <w:sz w:val="15"/>
              </w:rPr>
              <w:t>13,988,600.10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before="1"/>
              <w:rPr>
                <w:rFonts w:ascii="宋体"/>
                <w:sz w:val="23"/>
              </w:rPr>
            </w:pPr>
          </w:p>
          <w:p>
            <w:pPr>
              <w:pStyle w:val="TableParagraph"/>
              <w:spacing w:before="1"/>
              <w:ind w:right="-29"/>
              <w:jc w:val="right"/>
              <w:rPr>
                <w:sz w:val="15"/>
              </w:rPr>
            </w:pPr>
            <w:r>
              <w:rPr>
                <w:sz w:val="15"/>
              </w:rPr>
              <w:t>15,098,420,108.78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5"/>
              <w:rPr>
                <w:rFonts w:ascii="宋体"/>
                <w:sz w:val="16"/>
              </w:rPr>
            </w:pPr>
          </w:p>
          <w:p>
            <w:pPr>
              <w:pStyle w:val="TableParagraph"/>
              <w:ind w:right="-15"/>
              <w:jc w:val="right"/>
              <w:rPr>
                <w:sz w:val="15"/>
              </w:rPr>
            </w:pPr>
            <w:r>
              <w:rPr>
                <w:sz w:val="15"/>
              </w:rPr>
              <w:t>-17,488,531,204.7</w:t>
            </w:r>
          </w:p>
          <w:p>
            <w:pPr>
              <w:pStyle w:val="TableParagraph"/>
              <w:ind w:right="-15"/>
              <w:jc w:val="right"/>
              <w:rPr>
                <w:sz w:val="15"/>
              </w:rPr>
            </w:pPr>
            <w:r>
              <w:rPr>
                <w:w w:val="100"/>
                <w:sz w:val="15"/>
              </w:rPr>
              <w:t>2</w:t>
            </w:r>
          </w:p>
        </w:tc>
        <w:tc>
          <w:tcPr>
            <w:tcW w:w="1273" w:type="dxa"/>
            <w:tcBorders>
              <w:top w:val="single" w:sz="4" w:space="0" w:color="000000"/>
              <w:left w:val="single" w:sz="4" w:space="0" w:color="000000"/>
              <w:bottom w:val="single" w:sz="4" w:space="0" w:color="000000"/>
            </w:tcBorders>
          </w:tcPr>
          <w:p>
            <w:pPr>
              <w:pStyle w:val="TableParagraph"/>
              <w:spacing w:before="1"/>
              <w:rPr>
                <w:rFonts w:ascii="宋体"/>
                <w:sz w:val="23"/>
              </w:rPr>
            </w:pPr>
          </w:p>
          <w:p>
            <w:pPr>
              <w:pStyle w:val="TableParagraph"/>
              <w:spacing w:before="1"/>
              <w:ind w:right="-29"/>
              <w:jc w:val="right"/>
              <w:rPr>
                <w:sz w:val="15"/>
              </w:rPr>
            </w:pPr>
            <w:r>
              <w:rPr>
                <w:sz w:val="15"/>
              </w:rPr>
              <w:t>-2,390,111,095.94</w:t>
            </w:r>
          </w:p>
        </w:tc>
      </w:tr>
      <w:tr>
        <w:trPr>
          <w:trHeight w:val="585" w:hRule="atLeast"/>
        </w:trPr>
        <w:tc>
          <w:tcPr>
            <w:tcW w:w="852" w:type="dxa"/>
            <w:tcBorders>
              <w:top w:val="single" w:sz="4" w:space="0" w:color="000000"/>
              <w:bottom w:val="single" w:sz="4" w:space="0" w:color="000000"/>
              <w:right w:val="single" w:sz="4" w:space="0" w:color="000000"/>
            </w:tcBorders>
          </w:tcPr>
          <w:p>
            <w:pPr>
              <w:pStyle w:val="TableParagraph"/>
              <w:spacing w:line="242" w:lineRule="auto" w:before="1"/>
              <w:ind w:left="109" w:right="24"/>
              <w:rPr>
                <w:rFonts w:ascii="宋体" w:eastAsia="宋体" w:hint="eastAsia"/>
                <w:sz w:val="15"/>
              </w:rPr>
            </w:pPr>
            <w:r>
              <w:rPr>
                <w:sz w:val="15"/>
              </w:rPr>
              <w:t>1</w:t>
            </w:r>
            <w:r>
              <w:rPr>
                <w:rFonts w:ascii="宋体" w:eastAsia="宋体" w:hint="eastAsia"/>
                <w:sz w:val="15"/>
              </w:rPr>
              <w:t>．所有者投入的普</w:t>
            </w:r>
          </w:p>
          <w:p>
            <w:pPr>
              <w:pStyle w:val="TableParagraph"/>
              <w:spacing w:line="175" w:lineRule="exact" w:before="1"/>
              <w:ind w:left="109"/>
              <w:rPr>
                <w:rFonts w:ascii="宋体" w:eastAsia="宋体" w:hint="eastAsia"/>
                <w:sz w:val="15"/>
              </w:rPr>
            </w:pPr>
            <w:r>
              <w:rPr>
                <w:rFonts w:ascii="宋体" w:eastAsia="宋体" w:hint="eastAsia"/>
                <w:sz w:val="15"/>
              </w:rPr>
              <w:t>通股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8"/>
              <w:rPr>
                <w:rFonts w:ascii="宋体"/>
                <w:sz w:val="15"/>
              </w:rPr>
            </w:pPr>
          </w:p>
          <w:p>
            <w:pPr>
              <w:pStyle w:val="TableParagraph"/>
              <w:spacing w:before="1"/>
              <w:ind w:right="-29"/>
              <w:jc w:val="right"/>
              <w:rPr>
                <w:sz w:val="15"/>
              </w:rPr>
            </w:pPr>
            <w:r>
              <w:rPr>
                <w:sz w:val="15"/>
              </w:rPr>
              <w:t>2,448,279,814.00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before="8"/>
              <w:rPr>
                <w:rFonts w:ascii="宋体"/>
                <w:sz w:val="15"/>
              </w:rPr>
            </w:pPr>
          </w:p>
          <w:p>
            <w:pPr>
              <w:pStyle w:val="TableParagraph"/>
              <w:spacing w:before="1"/>
              <w:ind w:right="-29"/>
              <w:jc w:val="right"/>
              <w:rPr>
                <w:sz w:val="15"/>
              </w:rPr>
            </w:pPr>
            <w:r>
              <w:rPr>
                <w:sz w:val="15"/>
              </w:rPr>
              <w:t>12,696,003,281.09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8"/>
              <w:rPr>
                <w:rFonts w:ascii="宋体"/>
                <w:sz w:val="15"/>
              </w:rPr>
            </w:pPr>
          </w:p>
          <w:p>
            <w:pPr>
              <w:pStyle w:val="TableParagraph"/>
              <w:spacing w:before="1"/>
              <w:ind w:right="-29"/>
              <w:jc w:val="right"/>
              <w:rPr>
                <w:sz w:val="15"/>
              </w:rPr>
            </w:pPr>
            <w:r>
              <w:rPr>
                <w:sz w:val="15"/>
              </w:rPr>
              <w:t>28,896,550.65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before="8"/>
              <w:rPr>
                <w:rFonts w:ascii="宋体"/>
                <w:sz w:val="15"/>
              </w:rPr>
            </w:pPr>
          </w:p>
          <w:p>
            <w:pPr>
              <w:pStyle w:val="TableParagraph"/>
              <w:spacing w:before="1"/>
              <w:ind w:right="-29"/>
              <w:jc w:val="right"/>
              <w:rPr>
                <w:sz w:val="15"/>
              </w:rPr>
            </w:pPr>
            <w:r>
              <w:rPr>
                <w:sz w:val="15"/>
              </w:rPr>
              <w:t>15,115,386,544.44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14"/>
              <w:ind w:right="-15"/>
              <w:jc w:val="right"/>
              <w:rPr>
                <w:sz w:val="15"/>
              </w:rPr>
            </w:pPr>
            <w:r>
              <w:rPr>
                <w:sz w:val="15"/>
              </w:rPr>
              <w:t>-17,488,531,204.7</w:t>
            </w:r>
          </w:p>
          <w:p>
            <w:pPr>
              <w:pStyle w:val="TableParagraph"/>
              <w:spacing w:before="1"/>
              <w:ind w:right="-15"/>
              <w:jc w:val="right"/>
              <w:rPr>
                <w:sz w:val="15"/>
              </w:rPr>
            </w:pPr>
            <w:r>
              <w:rPr>
                <w:w w:val="100"/>
                <w:sz w:val="15"/>
              </w:rPr>
              <w:t>2</w:t>
            </w:r>
          </w:p>
        </w:tc>
        <w:tc>
          <w:tcPr>
            <w:tcW w:w="1273" w:type="dxa"/>
            <w:tcBorders>
              <w:top w:val="single" w:sz="4" w:space="0" w:color="000000"/>
              <w:left w:val="single" w:sz="4" w:space="0" w:color="000000"/>
              <w:bottom w:val="single" w:sz="4" w:space="0" w:color="000000"/>
            </w:tcBorders>
          </w:tcPr>
          <w:p>
            <w:pPr>
              <w:pStyle w:val="TableParagraph"/>
              <w:spacing w:before="8"/>
              <w:rPr>
                <w:rFonts w:ascii="宋体"/>
                <w:sz w:val="15"/>
              </w:rPr>
            </w:pPr>
          </w:p>
          <w:p>
            <w:pPr>
              <w:pStyle w:val="TableParagraph"/>
              <w:spacing w:before="1"/>
              <w:ind w:right="-29"/>
              <w:jc w:val="right"/>
              <w:rPr>
                <w:sz w:val="15"/>
              </w:rPr>
            </w:pPr>
            <w:r>
              <w:rPr>
                <w:sz w:val="15"/>
              </w:rPr>
              <w:t>-2,373,144,660.28</w:t>
            </w:r>
          </w:p>
        </w:tc>
      </w:tr>
      <w:tr>
        <w:trPr>
          <w:trHeight w:val="579" w:hRule="atLeast"/>
        </w:trPr>
        <w:tc>
          <w:tcPr>
            <w:tcW w:w="852" w:type="dxa"/>
            <w:tcBorders>
              <w:top w:val="single" w:sz="4" w:space="0" w:color="000000"/>
              <w:right w:val="single" w:sz="4" w:space="0" w:color="000000"/>
            </w:tcBorders>
          </w:tcPr>
          <w:p>
            <w:pPr>
              <w:pStyle w:val="TableParagraph"/>
              <w:spacing w:before="1"/>
              <w:ind w:left="109"/>
              <w:rPr>
                <w:rFonts w:ascii="宋体" w:eastAsia="宋体" w:hint="eastAsia"/>
                <w:sz w:val="15"/>
              </w:rPr>
            </w:pPr>
            <w:r>
              <w:rPr>
                <w:sz w:val="15"/>
              </w:rPr>
              <w:t>2</w:t>
            </w:r>
            <w:r>
              <w:rPr>
                <w:rFonts w:ascii="宋体" w:eastAsia="宋体" w:hint="eastAsia"/>
                <w:sz w:val="15"/>
              </w:rPr>
              <w:t>．其他权</w:t>
            </w:r>
          </w:p>
          <w:p>
            <w:pPr>
              <w:pStyle w:val="TableParagraph"/>
              <w:spacing w:line="190" w:lineRule="atLeast" w:before="2"/>
              <w:ind w:left="109" w:right="117"/>
              <w:rPr>
                <w:rFonts w:ascii="宋体" w:eastAsia="宋体" w:hint="eastAsia"/>
                <w:sz w:val="15"/>
              </w:rPr>
            </w:pPr>
            <w:r>
              <w:rPr>
                <w:rFonts w:ascii="宋体" w:eastAsia="宋体" w:hint="eastAsia"/>
                <w:sz w:val="15"/>
              </w:rPr>
              <w:t>益工具持有者投入</w:t>
            </w:r>
          </w:p>
        </w:tc>
        <w:tc>
          <w:tcPr>
            <w:tcW w:w="1133" w:type="dxa"/>
            <w:tcBorders>
              <w:top w:val="single" w:sz="4" w:space="0" w:color="000000"/>
              <w:left w:val="single" w:sz="4" w:space="0" w:color="000000"/>
              <w:right w:val="single" w:sz="4" w:space="0" w:color="000000"/>
            </w:tcBorders>
          </w:tcPr>
          <w:p>
            <w:pPr>
              <w:pStyle w:val="TableParagraph"/>
              <w:rPr>
                <w:sz w:val="14"/>
              </w:rPr>
            </w:pPr>
          </w:p>
        </w:tc>
        <w:tc>
          <w:tcPr>
            <w:tcW w:w="569" w:type="dxa"/>
            <w:tcBorders>
              <w:top w:val="single" w:sz="4" w:space="0" w:color="000000"/>
              <w:left w:val="single" w:sz="4" w:space="0" w:color="000000"/>
              <w:right w:val="single" w:sz="4" w:space="0" w:color="000000"/>
            </w:tcBorders>
          </w:tcPr>
          <w:p>
            <w:pPr>
              <w:pStyle w:val="TableParagraph"/>
              <w:rPr>
                <w:sz w:val="14"/>
              </w:rPr>
            </w:pPr>
          </w:p>
        </w:tc>
        <w:tc>
          <w:tcPr>
            <w:tcW w:w="567" w:type="dxa"/>
            <w:tcBorders>
              <w:top w:val="single" w:sz="4" w:space="0" w:color="000000"/>
              <w:left w:val="single" w:sz="4" w:space="0" w:color="000000"/>
              <w:right w:val="single" w:sz="4" w:space="0" w:color="000000"/>
            </w:tcBorders>
          </w:tcPr>
          <w:p>
            <w:pPr>
              <w:pStyle w:val="TableParagraph"/>
              <w:rPr>
                <w:sz w:val="14"/>
              </w:rPr>
            </w:pPr>
          </w:p>
        </w:tc>
        <w:tc>
          <w:tcPr>
            <w:tcW w:w="1136" w:type="dxa"/>
            <w:tcBorders>
              <w:top w:val="single" w:sz="4" w:space="0" w:color="000000"/>
              <w:left w:val="single" w:sz="4" w:space="0" w:color="000000"/>
              <w:right w:val="single" w:sz="4" w:space="0" w:color="000000"/>
            </w:tcBorders>
          </w:tcPr>
          <w:p>
            <w:pPr>
              <w:pStyle w:val="TableParagraph"/>
              <w:spacing w:before="5"/>
              <w:rPr>
                <w:rFonts w:ascii="宋体"/>
                <w:sz w:val="15"/>
              </w:rPr>
            </w:pPr>
          </w:p>
          <w:p>
            <w:pPr>
              <w:pStyle w:val="TableParagraph"/>
              <w:spacing w:before="1"/>
              <w:ind w:right="-29"/>
              <w:jc w:val="right"/>
              <w:rPr>
                <w:sz w:val="15"/>
              </w:rPr>
            </w:pPr>
            <w:r>
              <w:rPr>
                <w:sz w:val="15"/>
              </w:rPr>
              <w:t>1,932,770,809.72</w:t>
            </w:r>
          </w:p>
        </w:tc>
        <w:tc>
          <w:tcPr>
            <w:tcW w:w="1278" w:type="dxa"/>
            <w:tcBorders>
              <w:top w:val="single" w:sz="4" w:space="0" w:color="000000"/>
              <w:left w:val="single" w:sz="4" w:space="0" w:color="000000"/>
              <w:right w:val="single" w:sz="4" w:space="0" w:color="000000"/>
            </w:tcBorders>
          </w:tcPr>
          <w:p>
            <w:pPr>
              <w:pStyle w:val="TableParagraph"/>
              <w:spacing w:before="5"/>
              <w:rPr>
                <w:rFonts w:ascii="宋体"/>
                <w:sz w:val="15"/>
              </w:rPr>
            </w:pPr>
          </w:p>
          <w:p>
            <w:pPr>
              <w:pStyle w:val="TableParagraph"/>
              <w:spacing w:before="1"/>
              <w:ind w:right="-29"/>
              <w:jc w:val="right"/>
              <w:rPr>
                <w:sz w:val="15"/>
              </w:rPr>
            </w:pPr>
            <w:r>
              <w:rPr>
                <w:sz w:val="15"/>
              </w:rPr>
              <w:t>-1,936,586,159.16</w:t>
            </w:r>
          </w:p>
        </w:tc>
        <w:tc>
          <w:tcPr>
            <w:tcW w:w="989" w:type="dxa"/>
            <w:tcBorders>
              <w:top w:val="single" w:sz="4" w:space="0" w:color="000000"/>
              <w:left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right w:val="single" w:sz="4" w:space="0" w:color="000000"/>
            </w:tcBorders>
          </w:tcPr>
          <w:p>
            <w:pPr>
              <w:pStyle w:val="TableParagraph"/>
              <w:rPr>
                <w:sz w:val="14"/>
              </w:rPr>
            </w:pPr>
          </w:p>
        </w:tc>
        <w:tc>
          <w:tcPr>
            <w:tcW w:w="847" w:type="dxa"/>
            <w:tcBorders>
              <w:top w:val="single" w:sz="4" w:space="0" w:color="000000"/>
              <w:left w:val="single" w:sz="4" w:space="0" w:color="000000"/>
              <w:right w:val="single" w:sz="4" w:space="0" w:color="000000"/>
            </w:tcBorders>
          </w:tcPr>
          <w:p>
            <w:pPr>
              <w:pStyle w:val="TableParagraph"/>
              <w:rPr>
                <w:sz w:val="14"/>
              </w:rPr>
            </w:pPr>
          </w:p>
        </w:tc>
        <w:tc>
          <w:tcPr>
            <w:tcW w:w="1272" w:type="dxa"/>
            <w:tcBorders>
              <w:top w:val="single" w:sz="4" w:space="0" w:color="000000"/>
              <w:left w:val="single" w:sz="4" w:space="0" w:color="000000"/>
              <w:right w:val="single" w:sz="4" w:space="0" w:color="000000"/>
            </w:tcBorders>
          </w:tcPr>
          <w:p>
            <w:pPr>
              <w:pStyle w:val="TableParagraph"/>
              <w:rPr>
                <w:sz w:val="14"/>
              </w:rPr>
            </w:pPr>
          </w:p>
        </w:tc>
        <w:tc>
          <w:tcPr>
            <w:tcW w:w="430" w:type="dxa"/>
            <w:tcBorders>
              <w:top w:val="single" w:sz="4" w:space="0" w:color="000000"/>
              <w:left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right w:val="single" w:sz="4" w:space="0" w:color="000000"/>
            </w:tcBorders>
          </w:tcPr>
          <w:p>
            <w:pPr>
              <w:pStyle w:val="TableParagraph"/>
              <w:spacing w:before="5"/>
              <w:rPr>
                <w:rFonts w:ascii="宋体"/>
                <w:sz w:val="15"/>
              </w:rPr>
            </w:pPr>
          </w:p>
          <w:p>
            <w:pPr>
              <w:pStyle w:val="TableParagraph"/>
              <w:spacing w:before="1"/>
              <w:ind w:right="-29"/>
              <w:jc w:val="right"/>
              <w:rPr>
                <w:sz w:val="15"/>
              </w:rPr>
            </w:pPr>
            <w:r>
              <w:rPr>
                <w:sz w:val="15"/>
              </w:rPr>
              <w:t>-3,815,349.44</w:t>
            </w:r>
          </w:p>
        </w:tc>
        <w:tc>
          <w:tcPr>
            <w:tcW w:w="1136" w:type="dxa"/>
            <w:tcBorders>
              <w:top w:val="single" w:sz="4" w:space="0" w:color="000000"/>
              <w:left w:val="single" w:sz="4" w:space="0" w:color="000000"/>
              <w:right w:val="single" w:sz="4" w:space="0" w:color="000000"/>
            </w:tcBorders>
          </w:tcPr>
          <w:p>
            <w:pPr>
              <w:pStyle w:val="TableParagraph"/>
              <w:rPr>
                <w:sz w:val="14"/>
              </w:rPr>
            </w:pPr>
          </w:p>
        </w:tc>
        <w:tc>
          <w:tcPr>
            <w:tcW w:w="1273" w:type="dxa"/>
            <w:tcBorders>
              <w:top w:val="single" w:sz="4" w:space="0" w:color="000000"/>
              <w:left w:val="single" w:sz="4" w:space="0" w:color="000000"/>
            </w:tcBorders>
          </w:tcPr>
          <w:p>
            <w:pPr>
              <w:pStyle w:val="TableParagraph"/>
              <w:spacing w:before="5"/>
              <w:rPr>
                <w:rFonts w:ascii="宋体"/>
                <w:sz w:val="15"/>
              </w:rPr>
            </w:pPr>
          </w:p>
          <w:p>
            <w:pPr>
              <w:pStyle w:val="TableParagraph"/>
              <w:spacing w:before="1"/>
              <w:ind w:right="-29"/>
              <w:jc w:val="right"/>
              <w:rPr>
                <w:sz w:val="15"/>
              </w:rPr>
            </w:pPr>
            <w:r>
              <w:rPr>
                <w:sz w:val="15"/>
              </w:rPr>
              <w:t>-3,815,349.44</w:t>
            </w:r>
          </w:p>
        </w:tc>
      </w:tr>
    </w:tbl>
    <w:p>
      <w:pPr>
        <w:spacing w:after="0"/>
        <w:jc w:val="right"/>
        <w:rPr>
          <w:sz w:val="15"/>
        </w:rPr>
        <w:sectPr>
          <w:headerReference w:type="default" r:id="rId81"/>
          <w:footerReference w:type="default" r:id="rId82"/>
          <w:pgSz w:w="16840" w:h="11910" w:orient="landscape"/>
          <w:pgMar w:header="876" w:footer="1214" w:top="1180" w:bottom="1400" w:left="120" w:right="860"/>
          <w:pgNumType w:start="117"/>
        </w:sectPr>
      </w:pPr>
    </w:p>
    <w:p>
      <w:pPr>
        <w:pStyle w:val="BodyText"/>
        <w:spacing w:before="4"/>
        <w:rPr>
          <w:rFonts w:ascii="Times New Roman"/>
          <w:sz w:val="8"/>
        </w:rPr>
      </w:pPr>
    </w:p>
    <w:tbl>
      <w:tblPr>
        <w:tblW w:w="0" w:type="auto"/>
        <w:jc w:val="left"/>
        <w:tblInd w:w="14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52"/>
        <w:gridCol w:w="1133"/>
        <w:gridCol w:w="569"/>
        <w:gridCol w:w="567"/>
        <w:gridCol w:w="1136"/>
        <w:gridCol w:w="1278"/>
        <w:gridCol w:w="989"/>
        <w:gridCol w:w="1135"/>
        <w:gridCol w:w="571"/>
        <w:gridCol w:w="1135"/>
        <w:gridCol w:w="847"/>
        <w:gridCol w:w="1272"/>
        <w:gridCol w:w="430"/>
        <w:gridCol w:w="1278"/>
        <w:gridCol w:w="1136"/>
        <w:gridCol w:w="1273"/>
      </w:tblGrid>
      <w:tr>
        <w:trPr>
          <w:trHeight w:val="193" w:hRule="atLeast"/>
        </w:trPr>
        <w:tc>
          <w:tcPr>
            <w:tcW w:w="852" w:type="dxa"/>
            <w:tcBorders>
              <w:bottom w:val="single" w:sz="4" w:space="0" w:color="000000"/>
              <w:right w:val="single" w:sz="4" w:space="0" w:color="000000"/>
            </w:tcBorders>
          </w:tcPr>
          <w:p>
            <w:pPr>
              <w:pStyle w:val="TableParagraph"/>
              <w:spacing w:line="173" w:lineRule="exact"/>
              <w:ind w:left="109"/>
              <w:rPr>
                <w:rFonts w:ascii="宋体" w:eastAsia="宋体" w:hint="eastAsia"/>
                <w:sz w:val="15"/>
              </w:rPr>
            </w:pPr>
            <w:r>
              <w:rPr>
                <w:rFonts w:ascii="宋体" w:eastAsia="宋体" w:hint="eastAsia"/>
                <w:sz w:val="15"/>
              </w:rPr>
              <w:t>资本</w:t>
            </w:r>
          </w:p>
        </w:tc>
        <w:tc>
          <w:tcPr>
            <w:tcW w:w="1133" w:type="dxa"/>
            <w:tcBorders>
              <w:left w:val="single" w:sz="4" w:space="0" w:color="000000"/>
              <w:bottom w:val="single" w:sz="4" w:space="0" w:color="000000"/>
              <w:right w:val="single" w:sz="4" w:space="0" w:color="000000"/>
            </w:tcBorders>
          </w:tcPr>
          <w:p>
            <w:pPr>
              <w:pStyle w:val="TableParagraph"/>
              <w:rPr>
                <w:sz w:val="12"/>
              </w:rPr>
            </w:pPr>
          </w:p>
        </w:tc>
        <w:tc>
          <w:tcPr>
            <w:tcW w:w="569" w:type="dxa"/>
            <w:tcBorders>
              <w:left w:val="single" w:sz="4" w:space="0" w:color="000000"/>
              <w:bottom w:val="single" w:sz="4" w:space="0" w:color="000000"/>
              <w:right w:val="single" w:sz="4" w:space="0" w:color="000000"/>
            </w:tcBorders>
          </w:tcPr>
          <w:p>
            <w:pPr>
              <w:pStyle w:val="TableParagraph"/>
              <w:rPr>
                <w:sz w:val="12"/>
              </w:rPr>
            </w:pPr>
          </w:p>
        </w:tc>
        <w:tc>
          <w:tcPr>
            <w:tcW w:w="567" w:type="dxa"/>
            <w:tcBorders>
              <w:left w:val="single" w:sz="4" w:space="0" w:color="000000"/>
              <w:bottom w:val="single" w:sz="4" w:space="0" w:color="000000"/>
              <w:right w:val="single" w:sz="4" w:space="0" w:color="000000"/>
            </w:tcBorders>
          </w:tcPr>
          <w:p>
            <w:pPr>
              <w:pStyle w:val="TableParagraph"/>
              <w:rPr>
                <w:sz w:val="12"/>
              </w:rPr>
            </w:pPr>
          </w:p>
        </w:tc>
        <w:tc>
          <w:tcPr>
            <w:tcW w:w="1136" w:type="dxa"/>
            <w:tcBorders>
              <w:left w:val="single" w:sz="4" w:space="0" w:color="000000"/>
              <w:bottom w:val="single" w:sz="4" w:space="0" w:color="000000"/>
              <w:right w:val="single" w:sz="4" w:space="0" w:color="000000"/>
            </w:tcBorders>
          </w:tcPr>
          <w:p>
            <w:pPr>
              <w:pStyle w:val="TableParagraph"/>
              <w:rPr>
                <w:sz w:val="12"/>
              </w:rPr>
            </w:pPr>
          </w:p>
        </w:tc>
        <w:tc>
          <w:tcPr>
            <w:tcW w:w="1278" w:type="dxa"/>
            <w:tcBorders>
              <w:left w:val="single" w:sz="4" w:space="0" w:color="000000"/>
              <w:bottom w:val="single" w:sz="4" w:space="0" w:color="000000"/>
              <w:right w:val="single" w:sz="4" w:space="0" w:color="000000"/>
            </w:tcBorders>
          </w:tcPr>
          <w:p>
            <w:pPr>
              <w:pStyle w:val="TableParagraph"/>
              <w:rPr>
                <w:sz w:val="12"/>
              </w:rPr>
            </w:pPr>
          </w:p>
        </w:tc>
        <w:tc>
          <w:tcPr>
            <w:tcW w:w="989" w:type="dxa"/>
            <w:tcBorders>
              <w:left w:val="single" w:sz="4" w:space="0" w:color="000000"/>
              <w:bottom w:val="single" w:sz="4" w:space="0" w:color="000000"/>
              <w:right w:val="single" w:sz="4" w:space="0" w:color="000000"/>
            </w:tcBorders>
          </w:tcPr>
          <w:p>
            <w:pPr>
              <w:pStyle w:val="TableParagraph"/>
              <w:rPr>
                <w:sz w:val="12"/>
              </w:rPr>
            </w:pPr>
          </w:p>
        </w:tc>
        <w:tc>
          <w:tcPr>
            <w:tcW w:w="1135" w:type="dxa"/>
            <w:tcBorders>
              <w:left w:val="single" w:sz="4" w:space="0" w:color="000000"/>
              <w:bottom w:val="single" w:sz="4" w:space="0" w:color="000000"/>
              <w:right w:val="single" w:sz="4" w:space="0" w:color="000000"/>
            </w:tcBorders>
          </w:tcPr>
          <w:p>
            <w:pPr>
              <w:pStyle w:val="TableParagraph"/>
              <w:rPr>
                <w:sz w:val="12"/>
              </w:rPr>
            </w:pPr>
          </w:p>
        </w:tc>
        <w:tc>
          <w:tcPr>
            <w:tcW w:w="571" w:type="dxa"/>
            <w:tcBorders>
              <w:left w:val="single" w:sz="4" w:space="0" w:color="000000"/>
              <w:bottom w:val="single" w:sz="4" w:space="0" w:color="000000"/>
              <w:right w:val="single" w:sz="4" w:space="0" w:color="000000"/>
            </w:tcBorders>
          </w:tcPr>
          <w:p>
            <w:pPr>
              <w:pStyle w:val="TableParagraph"/>
              <w:rPr>
                <w:sz w:val="12"/>
              </w:rPr>
            </w:pPr>
          </w:p>
        </w:tc>
        <w:tc>
          <w:tcPr>
            <w:tcW w:w="1135" w:type="dxa"/>
            <w:tcBorders>
              <w:left w:val="single" w:sz="4" w:space="0" w:color="000000"/>
              <w:bottom w:val="single" w:sz="4" w:space="0" w:color="000000"/>
              <w:right w:val="single" w:sz="4" w:space="0" w:color="000000"/>
            </w:tcBorders>
          </w:tcPr>
          <w:p>
            <w:pPr>
              <w:pStyle w:val="TableParagraph"/>
              <w:rPr>
                <w:sz w:val="12"/>
              </w:rPr>
            </w:pPr>
          </w:p>
        </w:tc>
        <w:tc>
          <w:tcPr>
            <w:tcW w:w="847" w:type="dxa"/>
            <w:tcBorders>
              <w:left w:val="single" w:sz="4" w:space="0" w:color="000000"/>
              <w:bottom w:val="single" w:sz="4" w:space="0" w:color="000000"/>
              <w:right w:val="single" w:sz="4" w:space="0" w:color="000000"/>
            </w:tcBorders>
          </w:tcPr>
          <w:p>
            <w:pPr>
              <w:pStyle w:val="TableParagraph"/>
              <w:rPr>
                <w:sz w:val="12"/>
              </w:rPr>
            </w:pPr>
          </w:p>
        </w:tc>
        <w:tc>
          <w:tcPr>
            <w:tcW w:w="1272" w:type="dxa"/>
            <w:tcBorders>
              <w:left w:val="single" w:sz="4" w:space="0" w:color="000000"/>
              <w:bottom w:val="single" w:sz="4" w:space="0" w:color="000000"/>
              <w:right w:val="single" w:sz="4" w:space="0" w:color="000000"/>
            </w:tcBorders>
          </w:tcPr>
          <w:p>
            <w:pPr>
              <w:pStyle w:val="TableParagraph"/>
              <w:rPr>
                <w:sz w:val="12"/>
              </w:rPr>
            </w:pPr>
          </w:p>
        </w:tc>
        <w:tc>
          <w:tcPr>
            <w:tcW w:w="430" w:type="dxa"/>
            <w:tcBorders>
              <w:left w:val="single" w:sz="4" w:space="0" w:color="000000"/>
              <w:bottom w:val="single" w:sz="4" w:space="0" w:color="000000"/>
              <w:right w:val="single" w:sz="4" w:space="0" w:color="000000"/>
            </w:tcBorders>
          </w:tcPr>
          <w:p>
            <w:pPr>
              <w:pStyle w:val="TableParagraph"/>
              <w:rPr>
                <w:sz w:val="12"/>
              </w:rPr>
            </w:pPr>
          </w:p>
        </w:tc>
        <w:tc>
          <w:tcPr>
            <w:tcW w:w="1278" w:type="dxa"/>
            <w:tcBorders>
              <w:left w:val="single" w:sz="4" w:space="0" w:color="000000"/>
              <w:bottom w:val="single" w:sz="4" w:space="0" w:color="000000"/>
              <w:right w:val="single" w:sz="4" w:space="0" w:color="000000"/>
            </w:tcBorders>
          </w:tcPr>
          <w:p>
            <w:pPr>
              <w:pStyle w:val="TableParagraph"/>
              <w:rPr>
                <w:sz w:val="12"/>
              </w:rPr>
            </w:pPr>
          </w:p>
        </w:tc>
        <w:tc>
          <w:tcPr>
            <w:tcW w:w="1136" w:type="dxa"/>
            <w:tcBorders>
              <w:left w:val="single" w:sz="4" w:space="0" w:color="000000"/>
              <w:bottom w:val="single" w:sz="4" w:space="0" w:color="000000"/>
              <w:right w:val="single" w:sz="4" w:space="0" w:color="000000"/>
            </w:tcBorders>
          </w:tcPr>
          <w:p>
            <w:pPr>
              <w:pStyle w:val="TableParagraph"/>
              <w:rPr>
                <w:sz w:val="12"/>
              </w:rPr>
            </w:pPr>
          </w:p>
        </w:tc>
        <w:tc>
          <w:tcPr>
            <w:tcW w:w="1273" w:type="dxa"/>
            <w:tcBorders>
              <w:left w:val="single" w:sz="4" w:space="0" w:color="000000"/>
              <w:bottom w:val="single" w:sz="4" w:space="0" w:color="000000"/>
            </w:tcBorders>
          </w:tcPr>
          <w:p>
            <w:pPr>
              <w:pStyle w:val="TableParagraph"/>
              <w:rPr>
                <w:sz w:val="12"/>
              </w:rPr>
            </w:pPr>
          </w:p>
        </w:tc>
      </w:tr>
      <w:tr>
        <w:trPr>
          <w:trHeight w:val="779" w:hRule="atLeast"/>
        </w:trPr>
        <w:tc>
          <w:tcPr>
            <w:tcW w:w="852" w:type="dxa"/>
            <w:tcBorders>
              <w:top w:val="single" w:sz="4" w:space="0" w:color="000000"/>
              <w:bottom w:val="single" w:sz="4" w:space="0" w:color="000000"/>
              <w:right w:val="single" w:sz="4" w:space="0" w:color="000000"/>
            </w:tcBorders>
          </w:tcPr>
          <w:p>
            <w:pPr>
              <w:pStyle w:val="TableParagraph"/>
              <w:spacing w:line="242" w:lineRule="auto" w:before="1"/>
              <w:ind w:left="109" w:right="81"/>
              <w:jc w:val="both"/>
              <w:rPr>
                <w:rFonts w:ascii="宋体" w:eastAsia="宋体" w:hint="eastAsia"/>
                <w:sz w:val="15"/>
              </w:rPr>
            </w:pPr>
            <w:r>
              <w:rPr>
                <w:spacing w:val="-20"/>
                <w:sz w:val="15"/>
              </w:rPr>
              <w:t>3</w:t>
            </w:r>
            <w:r>
              <w:rPr>
                <w:rFonts w:ascii="宋体" w:eastAsia="宋体" w:hint="eastAsia"/>
                <w:spacing w:val="-10"/>
                <w:sz w:val="15"/>
              </w:rPr>
              <w:t>．股份支</w:t>
            </w:r>
            <w:r>
              <w:rPr>
                <w:rFonts w:ascii="宋体" w:eastAsia="宋体" w:hint="eastAsia"/>
                <w:spacing w:val="-1"/>
                <w:sz w:val="15"/>
              </w:rPr>
              <w:t>付计入所</w:t>
            </w:r>
            <w:r>
              <w:rPr>
                <w:rFonts w:ascii="宋体" w:eastAsia="宋体" w:hint="eastAsia"/>
                <w:spacing w:val="-2"/>
                <w:sz w:val="15"/>
              </w:rPr>
              <w:t>有者权益</w:t>
            </w:r>
          </w:p>
          <w:p>
            <w:pPr>
              <w:pStyle w:val="TableParagraph"/>
              <w:spacing w:line="173" w:lineRule="exact" w:before="3"/>
              <w:ind w:left="109"/>
              <w:rPr>
                <w:rFonts w:ascii="宋体" w:eastAsia="宋体" w:hint="eastAsia"/>
                <w:sz w:val="15"/>
              </w:rPr>
            </w:pPr>
            <w:r>
              <w:rPr>
                <w:rFonts w:ascii="宋体" w:eastAsia="宋体" w:hint="eastAsia"/>
                <w:sz w:val="15"/>
              </w:rPr>
              <w:t>的金额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3" w:type="dxa"/>
            <w:tcBorders>
              <w:top w:val="single" w:sz="4" w:space="0" w:color="000000"/>
              <w:left w:val="single" w:sz="4" w:space="0" w:color="000000"/>
              <w:bottom w:val="single" w:sz="4" w:space="0" w:color="000000"/>
            </w:tcBorders>
          </w:tcPr>
          <w:p>
            <w:pPr>
              <w:pStyle w:val="TableParagraph"/>
              <w:rPr>
                <w:sz w:val="14"/>
              </w:rPr>
            </w:pPr>
          </w:p>
        </w:tc>
      </w:tr>
      <w:tr>
        <w:trPr>
          <w:trHeight w:val="193" w:hRule="atLeast"/>
        </w:trPr>
        <w:tc>
          <w:tcPr>
            <w:tcW w:w="852" w:type="dxa"/>
            <w:tcBorders>
              <w:top w:val="single" w:sz="4" w:space="0" w:color="000000"/>
              <w:bottom w:val="single" w:sz="4" w:space="0" w:color="000000"/>
              <w:right w:val="single" w:sz="4" w:space="0" w:color="000000"/>
            </w:tcBorders>
          </w:tcPr>
          <w:p>
            <w:pPr>
              <w:pStyle w:val="TableParagraph"/>
              <w:spacing w:line="173" w:lineRule="exact" w:before="1"/>
              <w:ind w:left="109"/>
              <w:rPr>
                <w:rFonts w:ascii="宋体" w:eastAsia="宋体" w:hint="eastAsia"/>
                <w:sz w:val="15"/>
              </w:rPr>
            </w:pPr>
            <w:r>
              <w:rPr>
                <w:sz w:val="15"/>
              </w:rPr>
              <w:t>4</w:t>
            </w:r>
            <w:r>
              <w:rPr>
                <w:rFonts w:ascii="宋体" w:eastAsia="宋体" w:hint="eastAsia"/>
                <w:sz w:val="15"/>
              </w:rPr>
              <w:t>．其他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before="3"/>
              <w:ind w:left="370" w:right="-29"/>
              <w:rPr>
                <w:sz w:val="15"/>
              </w:rPr>
            </w:pPr>
            <w:r>
              <w:rPr>
                <w:sz w:val="15"/>
              </w:rPr>
              <w:t>-27,139,686.32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before="3"/>
              <w:ind w:left="280" w:right="-29"/>
              <w:rPr>
                <w:sz w:val="15"/>
              </w:rPr>
            </w:pPr>
            <w:r>
              <w:rPr>
                <w:spacing w:val="-1"/>
                <w:sz w:val="15"/>
              </w:rPr>
              <w:t>13,988,600.10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before="3"/>
              <w:ind w:right="-29"/>
              <w:jc w:val="right"/>
              <w:rPr>
                <w:sz w:val="15"/>
              </w:rPr>
            </w:pPr>
            <w:r>
              <w:rPr>
                <w:sz w:val="15"/>
              </w:rPr>
              <w:t>-13,151,086.22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273" w:type="dxa"/>
            <w:tcBorders>
              <w:top w:val="single" w:sz="4" w:space="0" w:color="000000"/>
              <w:left w:val="single" w:sz="4" w:space="0" w:color="000000"/>
              <w:bottom w:val="single" w:sz="4" w:space="0" w:color="000000"/>
            </w:tcBorders>
          </w:tcPr>
          <w:p>
            <w:pPr>
              <w:pStyle w:val="TableParagraph"/>
              <w:spacing w:line="170" w:lineRule="exact" w:before="3"/>
              <w:ind w:right="-29"/>
              <w:jc w:val="right"/>
              <w:rPr>
                <w:sz w:val="15"/>
              </w:rPr>
            </w:pPr>
            <w:r>
              <w:rPr>
                <w:sz w:val="15"/>
              </w:rPr>
              <w:t>-13,151,086.22</w:t>
            </w:r>
          </w:p>
        </w:tc>
      </w:tr>
      <w:tr>
        <w:trPr>
          <w:trHeight w:val="388" w:hRule="atLeast"/>
        </w:trPr>
        <w:tc>
          <w:tcPr>
            <w:tcW w:w="852" w:type="dxa"/>
            <w:tcBorders>
              <w:top w:val="single" w:sz="4" w:space="0" w:color="000000"/>
              <w:bottom w:val="single" w:sz="4" w:space="0" w:color="000000"/>
              <w:right w:val="single" w:sz="4" w:space="0" w:color="000000"/>
            </w:tcBorders>
          </w:tcPr>
          <w:p>
            <w:pPr>
              <w:pStyle w:val="TableParagraph"/>
              <w:spacing w:before="1"/>
              <w:ind w:left="109"/>
              <w:rPr>
                <w:rFonts w:ascii="宋体" w:eastAsia="宋体" w:hint="eastAsia"/>
                <w:sz w:val="15"/>
              </w:rPr>
            </w:pPr>
            <w:r>
              <w:rPr>
                <w:rFonts w:ascii="宋体" w:eastAsia="宋体" w:hint="eastAsia"/>
                <w:sz w:val="15"/>
              </w:rPr>
              <w:t>（三）利</w:t>
            </w:r>
          </w:p>
          <w:p>
            <w:pPr>
              <w:pStyle w:val="TableParagraph"/>
              <w:spacing w:line="173" w:lineRule="exact" w:before="2"/>
              <w:ind w:left="109"/>
              <w:rPr>
                <w:rFonts w:ascii="宋体" w:eastAsia="宋体" w:hint="eastAsia"/>
                <w:sz w:val="15"/>
              </w:rPr>
            </w:pPr>
            <w:r>
              <w:rPr>
                <w:rFonts w:ascii="宋体" w:eastAsia="宋体" w:hint="eastAsia"/>
                <w:sz w:val="15"/>
              </w:rPr>
              <w:t>润分配</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before="102"/>
              <w:ind w:right="-15"/>
              <w:jc w:val="right"/>
              <w:rPr>
                <w:sz w:val="15"/>
              </w:rPr>
            </w:pPr>
            <w:r>
              <w:rPr>
                <w:sz w:val="15"/>
              </w:rPr>
              <w:t>390,007,134.14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102"/>
              <w:ind w:right="-29"/>
              <w:jc w:val="right"/>
              <w:rPr>
                <w:sz w:val="15"/>
              </w:rPr>
            </w:pPr>
            <w:r>
              <w:rPr>
                <w:sz w:val="15"/>
              </w:rPr>
              <w:t>-2,857,344,619.27</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before="102"/>
              <w:ind w:right="-29"/>
              <w:jc w:val="right"/>
              <w:rPr>
                <w:sz w:val="15"/>
              </w:rPr>
            </w:pPr>
            <w:r>
              <w:rPr>
                <w:sz w:val="15"/>
              </w:rPr>
              <w:t>-2,467,337,485.13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02"/>
              <w:ind w:right="-15"/>
              <w:jc w:val="right"/>
              <w:rPr>
                <w:sz w:val="15"/>
              </w:rPr>
            </w:pPr>
            <w:r>
              <w:rPr>
                <w:sz w:val="15"/>
              </w:rPr>
              <w:t>-725,584,793.25</w:t>
            </w:r>
          </w:p>
        </w:tc>
        <w:tc>
          <w:tcPr>
            <w:tcW w:w="1273" w:type="dxa"/>
            <w:tcBorders>
              <w:top w:val="single" w:sz="4" w:space="0" w:color="000000"/>
              <w:left w:val="single" w:sz="4" w:space="0" w:color="000000"/>
              <w:bottom w:val="single" w:sz="4" w:space="0" w:color="000000"/>
            </w:tcBorders>
          </w:tcPr>
          <w:p>
            <w:pPr>
              <w:pStyle w:val="TableParagraph"/>
              <w:spacing w:before="102"/>
              <w:ind w:right="-29"/>
              <w:jc w:val="right"/>
              <w:rPr>
                <w:sz w:val="15"/>
              </w:rPr>
            </w:pPr>
            <w:r>
              <w:rPr>
                <w:sz w:val="15"/>
              </w:rPr>
              <w:t>-3,192,922,278.38</w:t>
            </w:r>
          </w:p>
        </w:tc>
      </w:tr>
      <w:tr>
        <w:trPr>
          <w:trHeight w:val="388" w:hRule="atLeast"/>
        </w:trPr>
        <w:tc>
          <w:tcPr>
            <w:tcW w:w="852" w:type="dxa"/>
            <w:tcBorders>
              <w:top w:val="single" w:sz="4" w:space="0" w:color="000000"/>
              <w:bottom w:val="single" w:sz="4" w:space="0" w:color="000000"/>
              <w:right w:val="single" w:sz="4" w:space="0" w:color="000000"/>
            </w:tcBorders>
          </w:tcPr>
          <w:p>
            <w:pPr>
              <w:pStyle w:val="TableParagraph"/>
              <w:spacing w:before="1"/>
              <w:ind w:left="109"/>
              <w:rPr>
                <w:rFonts w:ascii="宋体" w:eastAsia="宋体" w:hint="eastAsia"/>
                <w:sz w:val="15"/>
              </w:rPr>
            </w:pPr>
            <w:r>
              <w:rPr>
                <w:sz w:val="15"/>
              </w:rPr>
              <w:t>1</w:t>
            </w:r>
            <w:r>
              <w:rPr>
                <w:rFonts w:ascii="宋体" w:eastAsia="宋体" w:hint="eastAsia"/>
                <w:sz w:val="15"/>
              </w:rPr>
              <w:t>．提取盈</w:t>
            </w:r>
          </w:p>
          <w:p>
            <w:pPr>
              <w:pStyle w:val="TableParagraph"/>
              <w:spacing w:line="173" w:lineRule="exact" w:before="2"/>
              <w:ind w:left="109"/>
              <w:rPr>
                <w:rFonts w:ascii="宋体" w:eastAsia="宋体" w:hint="eastAsia"/>
                <w:sz w:val="15"/>
              </w:rPr>
            </w:pPr>
            <w:r>
              <w:rPr>
                <w:rFonts w:ascii="宋体" w:eastAsia="宋体" w:hint="eastAsia"/>
                <w:sz w:val="15"/>
              </w:rPr>
              <w:t>余公积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before="102"/>
              <w:ind w:right="-15"/>
              <w:jc w:val="right"/>
              <w:rPr>
                <w:sz w:val="15"/>
              </w:rPr>
            </w:pPr>
            <w:r>
              <w:rPr>
                <w:sz w:val="15"/>
              </w:rPr>
              <w:t>390,007,134.14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102"/>
              <w:ind w:right="-29"/>
              <w:jc w:val="right"/>
              <w:rPr>
                <w:sz w:val="15"/>
              </w:rPr>
            </w:pPr>
            <w:r>
              <w:rPr>
                <w:sz w:val="15"/>
              </w:rPr>
              <w:t>-390,007,134.14</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3" w:type="dxa"/>
            <w:tcBorders>
              <w:top w:val="single" w:sz="4" w:space="0" w:color="000000"/>
              <w:left w:val="single" w:sz="4" w:space="0" w:color="000000"/>
              <w:bottom w:val="single" w:sz="4" w:space="0" w:color="000000"/>
            </w:tcBorders>
          </w:tcPr>
          <w:p>
            <w:pPr>
              <w:pStyle w:val="TableParagraph"/>
              <w:rPr>
                <w:sz w:val="14"/>
              </w:rPr>
            </w:pPr>
          </w:p>
        </w:tc>
      </w:tr>
      <w:tr>
        <w:trPr>
          <w:trHeight w:val="585" w:hRule="atLeast"/>
        </w:trPr>
        <w:tc>
          <w:tcPr>
            <w:tcW w:w="852" w:type="dxa"/>
            <w:tcBorders>
              <w:top w:val="single" w:sz="4" w:space="0" w:color="000000"/>
              <w:bottom w:val="single" w:sz="4" w:space="0" w:color="000000"/>
              <w:right w:val="single" w:sz="4" w:space="0" w:color="000000"/>
            </w:tcBorders>
          </w:tcPr>
          <w:p>
            <w:pPr>
              <w:pStyle w:val="TableParagraph"/>
              <w:spacing w:line="242" w:lineRule="auto" w:before="3"/>
              <w:ind w:left="109" w:right="24"/>
              <w:rPr>
                <w:rFonts w:ascii="宋体" w:eastAsia="宋体" w:hint="eastAsia"/>
                <w:sz w:val="15"/>
              </w:rPr>
            </w:pPr>
            <w:r>
              <w:rPr>
                <w:sz w:val="15"/>
              </w:rPr>
              <w:t>2</w:t>
            </w:r>
            <w:r>
              <w:rPr>
                <w:rFonts w:ascii="宋体" w:eastAsia="宋体" w:hint="eastAsia"/>
                <w:sz w:val="15"/>
              </w:rPr>
              <w:t>．提取一般风险准</w:t>
            </w:r>
          </w:p>
          <w:p>
            <w:pPr>
              <w:pStyle w:val="TableParagraph"/>
              <w:spacing w:line="173" w:lineRule="exact" w:before="1"/>
              <w:ind w:left="109"/>
              <w:rPr>
                <w:rFonts w:ascii="宋体" w:eastAsia="宋体" w:hint="eastAsia"/>
                <w:sz w:val="15"/>
              </w:rPr>
            </w:pPr>
            <w:r>
              <w:rPr>
                <w:rFonts w:ascii="宋体" w:eastAsia="宋体" w:hint="eastAsia"/>
                <w:w w:val="100"/>
                <w:sz w:val="15"/>
              </w:rPr>
              <w:t>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3" w:type="dxa"/>
            <w:tcBorders>
              <w:top w:val="single" w:sz="4" w:space="0" w:color="000000"/>
              <w:left w:val="single" w:sz="4" w:space="0" w:color="000000"/>
              <w:bottom w:val="single" w:sz="4" w:space="0" w:color="000000"/>
            </w:tcBorders>
          </w:tcPr>
          <w:p>
            <w:pPr>
              <w:pStyle w:val="TableParagraph"/>
              <w:rPr>
                <w:sz w:val="14"/>
              </w:rPr>
            </w:pPr>
          </w:p>
        </w:tc>
      </w:tr>
      <w:tr>
        <w:trPr>
          <w:trHeight w:val="777" w:hRule="atLeast"/>
        </w:trPr>
        <w:tc>
          <w:tcPr>
            <w:tcW w:w="852" w:type="dxa"/>
            <w:tcBorders>
              <w:top w:val="single" w:sz="4" w:space="0" w:color="000000"/>
              <w:bottom w:val="single" w:sz="4" w:space="0" w:color="000000"/>
              <w:right w:val="single" w:sz="4" w:space="0" w:color="000000"/>
            </w:tcBorders>
          </w:tcPr>
          <w:p>
            <w:pPr>
              <w:pStyle w:val="TableParagraph"/>
              <w:spacing w:line="242" w:lineRule="auto" w:before="1"/>
              <w:ind w:left="109" w:right="81"/>
              <w:jc w:val="both"/>
              <w:rPr>
                <w:rFonts w:ascii="宋体" w:eastAsia="宋体" w:hint="eastAsia"/>
                <w:sz w:val="15"/>
              </w:rPr>
            </w:pPr>
            <w:r>
              <w:rPr>
                <w:spacing w:val="-20"/>
                <w:sz w:val="15"/>
              </w:rPr>
              <w:t>3</w:t>
            </w:r>
            <w:r>
              <w:rPr>
                <w:rFonts w:ascii="宋体" w:eastAsia="宋体" w:hint="eastAsia"/>
                <w:spacing w:val="-10"/>
                <w:sz w:val="15"/>
              </w:rPr>
              <w:t>．对所有</w:t>
            </w:r>
            <w:r>
              <w:rPr>
                <w:rFonts w:ascii="宋体" w:eastAsia="宋体" w:hint="eastAsia"/>
                <w:sz w:val="15"/>
              </w:rPr>
              <w:t>者（</w:t>
            </w:r>
            <w:r>
              <w:rPr>
                <w:rFonts w:ascii="宋体" w:eastAsia="宋体" w:hint="eastAsia"/>
                <w:spacing w:val="-2"/>
                <w:sz w:val="15"/>
              </w:rPr>
              <w:t>或股东）的分</w:t>
            </w:r>
          </w:p>
          <w:p>
            <w:pPr>
              <w:pStyle w:val="TableParagraph"/>
              <w:spacing w:line="173" w:lineRule="exact" w:before="1"/>
              <w:ind w:left="109"/>
              <w:rPr>
                <w:rFonts w:ascii="宋体" w:eastAsia="宋体" w:hint="eastAsia"/>
                <w:sz w:val="15"/>
              </w:rPr>
            </w:pPr>
            <w:r>
              <w:rPr>
                <w:rFonts w:ascii="宋体" w:eastAsia="宋体" w:hint="eastAsia"/>
                <w:w w:val="100"/>
                <w:sz w:val="15"/>
              </w:rPr>
              <w:t>配</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rPr>
                <w:sz w:val="16"/>
              </w:rPr>
            </w:pPr>
          </w:p>
          <w:p>
            <w:pPr>
              <w:pStyle w:val="TableParagraph"/>
              <w:spacing w:before="112"/>
              <w:ind w:right="-29"/>
              <w:jc w:val="right"/>
              <w:rPr>
                <w:sz w:val="15"/>
              </w:rPr>
            </w:pPr>
            <w:r>
              <w:rPr>
                <w:sz w:val="15"/>
              </w:rPr>
              <w:t>-2,467,337,485.13</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6"/>
              </w:rPr>
            </w:pPr>
          </w:p>
          <w:p>
            <w:pPr>
              <w:pStyle w:val="TableParagraph"/>
              <w:spacing w:before="112"/>
              <w:ind w:right="-29"/>
              <w:jc w:val="right"/>
              <w:rPr>
                <w:sz w:val="15"/>
              </w:rPr>
            </w:pPr>
            <w:r>
              <w:rPr>
                <w:sz w:val="15"/>
              </w:rPr>
              <w:t>-2,467,337,485.13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6"/>
              </w:rPr>
            </w:pPr>
          </w:p>
          <w:p>
            <w:pPr>
              <w:pStyle w:val="TableParagraph"/>
              <w:spacing w:before="112"/>
              <w:ind w:right="-15"/>
              <w:jc w:val="right"/>
              <w:rPr>
                <w:sz w:val="15"/>
              </w:rPr>
            </w:pPr>
            <w:r>
              <w:rPr>
                <w:sz w:val="15"/>
              </w:rPr>
              <w:t>-725,584,793.25</w:t>
            </w:r>
          </w:p>
        </w:tc>
        <w:tc>
          <w:tcPr>
            <w:tcW w:w="1273" w:type="dxa"/>
            <w:tcBorders>
              <w:top w:val="single" w:sz="4" w:space="0" w:color="000000"/>
              <w:left w:val="single" w:sz="4" w:space="0" w:color="000000"/>
              <w:bottom w:val="single" w:sz="4" w:space="0" w:color="000000"/>
            </w:tcBorders>
          </w:tcPr>
          <w:p>
            <w:pPr>
              <w:pStyle w:val="TableParagraph"/>
              <w:rPr>
                <w:sz w:val="16"/>
              </w:rPr>
            </w:pPr>
          </w:p>
          <w:p>
            <w:pPr>
              <w:pStyle w:val="TableParagraph"/>
              <w:spacing w:before="112"/>
              <w:ind w:right="-29"/>
              <w:jc w:val="right"/>
              <w:rPr>
                <w:sz w:val="15"/>
              </w:rPr>
            </w:pPr>
            <w:r>
              <w:rPr>
                <w:sz w:val="15"/>
              </w:rPr>
              <w:t>-3,192,922,278.38</w:t>
            </w:r>
          </w:p>
        </w:tc>
      </w:tr>
      <w:tr>
        <w:trPr>
          <w:trHeight w:val="193" w:hRule="atLeast"/>
        </w:trPr>
        <w:tc>
          <w:tcPr>
            <w:tcW w:w="852" w:type="dxa"/>
            <w:tcBorders>
              <w:top w:val="single" w:sz="4" w:space="0" w:color="000000"/>
              <w:bottom w:val="single" w:sz="4" w:space="0" w:color="000000"/>
              <w:right w:val="single" w:sz="4" w:space="0" w:color="000000"/>
            </w:tcBorders>
          </w:tcPr>
          <w:p>
            <w:pPr>
              <w:pStyle w:val="TableParagraph"/>
              <w:spacing w:line="173" w:lineRule="exact" w:before="1"/>
              <w:ind w:left="109"/>
              <w:rPr>
                <w:rFonts w:ascii="宋体" w:eastAsia="宋体" w:hint="eastAsia"/>
                <w:sz w:val="15"/>
              </w:rPr>
            </w:pPr>
            <w:r>
              <w:rPr>
                <w:sz w:val="15"/>
              </w:rPr>
              <w:t>4</w:t>
            </w:r>
            <w:r>
              <w:rPr>
                <w:rFonts w:ascii="宋体" w:eastAsia="宋体" w:hint="eastAsia"/>
                <w:sz w:val="15"/>
              </w:rPr>
              <w:t>．其他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273" w:type="dxa"/>
            <w:tcBorders>
              <w:top w:val="single" w:sz="4" w:space="0" w:color="000000"/>
              <w:left w:val="single" w:sz="4" w:space="0" w:color="000000"/>
              <w:bottom w:val="single" w:sz="4" w:space="0" w:color="000000"/>
            </w:tcBorders>
          </w:tcPr>
          <w:p>
            <w:pPr>
              <w:pStyle w:val="TableParagraph"/>
              <w:rPr>
                <w:sz w:val="12"/>
              </w:rPr>
            </w:pPr>
          </w:p>
        </w:tc>
      </w:tr>
      <w:tr>
        <w:trPr>
          <w:trHeight w:val="585" w:hRule="atLeast"/>
        </w:trPr>
        <w:tc>
          <w:tcPr>
            <w:tcW w:w="852" w:type="dxa"/>
            <w:tcBorders>
              <w:top w:val="single" w:sz="4" w:space="0" w:color="000000"/>
              <w:bottom w:val="single" w:sz="4" w:space="0" w:color="000000"/>
              <w:right w:val="single" w:sz="4" w:space="0" w:color="000000"/>
            </w:tcBorders>
          </w:tcPr>
          <w:p>
            <w:pPr>
              <w:pStyle w:val="TableParagraph"/>
              <w:spacing w:before="1"/>
              <w:ind w:left="109"/>
              <w:rPr>
                <w:rFonts w:ascii="宋体" w:eastAsia="宋体" w:hint="eastAsia"/>
                <w:sz w:val="15"/>
              </w:rPr>
            </w:pPr>
            <w:r>
              <w:rPr>
                <w:rFonts w:ascii="宋体" w:eastAsia="宋体" w:hint="eastAsia"/>
                <w:sz w:val="15"/>
              </w:rPr>
              <w:t>（四</w:t>
            </w:r>
            <w:r>
              <w:rPr>
                <w:rFonts w:ascii="宋体" w:eastAsia="宋体" w:hint="eastAsia"/>
                <w:spacing w:val="-3"/>
                <w:sz w:val="15"/>
              </w:rPr>
              <w:t>）</w:t>
            </w:r>
            <w:r>
              <w:rPr>
                <w:rFonts w:ascii="宋体" w:eastAsia="宋体" w:hint="eastAsia"/>
                <w:sz w:val="15"/>
              </w:rPr>
              <w:t>所</w:t>
            </w:r>
          </w:p>
          <w:p>
            <w:pPr>
              <w:pStyle w:val="TableParagraph"/>
              <w:spacing w:line="190" w:lineRule="atLeast" w:before="4"/>
              <w:ind w:left="109" w:right="117"/>
              <w:rPr>
                <w:rFonts w:ascii="宋体" w:eastAsia="宋体" w:hint="eastAsia"/>
                <w:sz w:val="15"/>
              </w:rPr>
            </w:pPr>
            <w:r>
              <w:rPr>
                <w:rFonts w:ascii="宋体" w:eastAsia="宋体" w:hint="eastAsia"/>
                <w:spacing w:val="-5"/>
                <w:sz w:val="15"/>
              </w:rPr>
              <w:t>有者权益内部结转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3" w:type="dxa"/>
            <w:tcBorders>
              <w:top w:val="single" w:sz="4" w:space="0" w:color="000000"/>
              <w:left w:val="single" w:sz="4" w:space="0" w:color="000000"/>
              <w:bottom w:val="single" w:sz="4" w:space="0" w:color="000000"/>
            </w:tcBorders>
          </w:tcPr>
          <w:p>
            <w:pPr>
              <w:pStyle w:val="TableParagraph"/>
              <w:rPr>
                <w:sz w:val="14"/>
              </w:rPr>
            </w:pPr>
          </w:p>
        </w:tc>
      </w:tr>
      <w:tr>
        <w:trPr>
          <w:trHeight w:val="777" w:hRule="atLeast"/>
        </w:trPr>
        <w:tc>
          <w:tcPr>
            <w:tcW w:w="852" w:type="dxa"/>
            <w:tcBorders>
              <w:top w:val="single" w:sz="4" w:space="0" w:color="000000"/>
              <w:bottom w:val="single" w:sz="4" w:space="0" w:color="000000"/>
              <w:right w:val="single" w:sz="4" w:space="0" w:color="000000"/>
            </w:tcBorders>
          </w:tcPr>
          <w:p>
            <w:pPr>
              <w:pStyle w:val="TableParagraph"/>
              <w:spacing w:line="242" w:lineRule="auto" w:before="1"/>
              <w:ind w:left="109" w:right="81"/>
              <w:jc w:val="both"/>
              <w:rPr>
                <w:rFonts w:ascii="宋体" w:eastAsia="宋体" w:hint="eastAsia"/>
                <w:sz w:val="15"/>
              </w:rPr>
            </w:pPr>
            <w:r>
              <w:rPr>
                <w:spacing w:val="-20"/>
                <w:sz w:val="15"/>
              </w:rPr>
              <w:t>1</w:t>
            </w:r>
            <w:r>
              <w:rPr>
                <w:rFonts w:ascii="宋体" w:eastAsia="宋体" w:hint="eastAsia"/>
                <w:spacing w:val="-10"/>
                <w:sz w:val="15"/>
              </w:rPr>
              <w:t>．资本公</w:t>
            </w:r>
            <w:r>
              <w:rPr>
                <w:rFonts w:ascii="宋体" w:eastAsia="宋体" w:hint="eastAsia"/>
                <w:spacing w:val="-1"/>
                <w:sz w:val="15"/>
              </w:rPr>
              <w:t>积转增资本（</w:t>
            </w:r>
            <w:r>
              <w:rPr>
                <w:rFonts w:ascii="宋体" w:eastAsia="宋体" w:hint="eastAsia"/>
                <w:spacing w:val="-2"/>
                <w:sz w:val="15"/>
              </w:rPr>
              <w:t>或股</w:t>
            </w:r>
          </w:p>
          <w:p>
            <w:pPr>
              <w:pStyle w:val="TableParagraph"/>
              <w:spacing w:line="173" w:lineRule="exact" w:before="1"/>
              <w:ind w:left="109"/>
              <w:rPr>
                <w:rFonts w:ascii="宋体" w:eastAsia="宋体" w:hint="eastAsia"/>
                <w:sz w:val="15"/>
              </w:rPr>
            </w:pPr>
            <w:r>
              <w:rPr>
                <w:rFonts w:ascii="宋体" w:eastAsia="宋体" w:hint="eastAsia"/>
                <w:sz w:val="15"/>
              </w:rPr>
              <w:t>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3" w:type="dxa"/>
            <w:tcBorders>
              <w:top w:val="single" w:sz="4" w:space="0" w:color="000000"/>
              <w:left w:val="single" w:sz="4" w:space="0" w:color="000000"/>
              <w:bottom w:val="single" w:sz="4" w:space="0" w:color="000000"/>
            </w:tcBorders>
          </w:tcPr>
          <w:p>
            <w:pPr>
              <w:pStyle w:val="TableParagraph"/>
              <w:rPr>
                <w:sz w:val="14"/>
              </w:rPr>
            </w:pPr>
          </w:p>
        </w:tc>
      </w:tr>
      <w:tr>
        <w:trPr>
          <w:trHeight w:val="777" w:hRule="atLeast"/>
        </w:trPr>
        <w:tc>
          <w:tcPr>
            <w:tcW w:w="852" w:type="dxa"/>
            <w:tcBorders>
              <w:top w:val="single" w:sz="4" w:space="0" w:color="000000"/>
              <w:bottom w:val="single" w:sz="4" w:space="0" w:color="000000"/>
              <w:right w:val="single" w:sz="4" w:space="0" w:color="000000"/>
            </w:tcBorders>
          </w:tcPr>
          <w:p>
            <w:pPr>
              <w:pStyle w:val="TableParagraph"/>
              <w:spacing w:line="242" w:lineRule="auto" w:before="1"/>
              <w:ind w:left="109" w:right="81"/>
              <w:jc w:val="both"/>
              <w:rPr>
                <w:rFonts w:ascii="宋体" w:eastAsia="宋体" w:hint="eastAsia"/>
                <w:sz w:val="15"/>
              </w:rPr>
            </w:pPr>
            <w:r>
              <w:rPr>
                <w:spacing w:val="-20"/>
                <w:sz w:val="15"/>
              </w:rPr>
              <w:t>2</w:t>
            </w:r>
            <w:r>
              <w:rPr>
                <w:rFonts w:ascii="宋体" w:eastAsia="宋体" w:hint="eastAsia"/>
                <w:spacing w:val="-10"/>
                <w:sz w:val="15"/>
              </w:rPr>
              <w:t>．盈余公</w:t>
            </w:r>
            <w:r>
              <w:rPr>
                <w:rFonts w:ascii="宋体" w:eastAsia="宋体" w:hint="eastAsia"/>
                <w:spacing w:val="-1"/>
                <w:sz w:val="15"/>
              </w:rPr>
              <w:t>积转增资本（</w:t>
            </w:r>
            <w:r>
              <w:rPr>
                <w:rFonts w:ascii="宋体" w:eastAsia="宋体" w:hint="eastAsia"/>
                <w:spacing w:val="-2"/>
                <w:sz w:val="15"/>
              </w:rPr>
              <w:t>或股</w:t>
            </w:r>
          </w:p>
          <w:p>
            <w:pPr>
              <w:pStyle w:val="TableParagraph"/>
              <w:spacing w:line="173" w:lineRule="exact" w:before="1"/>
              <w:ind w:left="109"/>
              <w:rPr>
                <w:rFonts w:ascii="宋体" w:eastAsia="宋体" w:hint="eastAsia"/>
                <w:sz w:val="15"/>
              </w:rPr>
            </w:pPr>
            <w:r>
              <w:rPr>
                <w:rFonts w:ascii="宋体" w:eastAsia="宋体" w:hint="eastAsia"/>
                <w:sz w:val="15"/>
              </w:rPr>
              <w:t>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3" w:type="dxa"/>
            <w:tcBorders>
              <w:top w:val="single" w:sz="4" w:space="0" w:color="000000"/>
              <w:left w:val="single" w:sz="4" w:space="0" w:color="000000"/>
              <w:bottom w:val="single" w:sz="4" w:space="0" w:color="000000"/>
            </w:tcBorders>
          </w:tcPr>
          <w:p>
            <w:pPr>
              <w:pStyle w:val="TableParagraph"/>
              <w:rPr>
                <w:sz w:val="14"/>
              </w:rPr>
            </w:pPr>
          </w:p>
        </w:tc>
      </w:tr>
      <w:tr>
        <w:trPr>
          <w:trHeight w:val="585" w:hRule="atLeast"/>
        </w:trPr>
        <w:tc>
          <w:tcPr>
            <w:tcW w:w="852" w:type="dxa"/>
            <w:tcBorders>
              <w:top w:val="single" w:sz="4" w:space="0" w:color="000000"/>
              <w:bottom w:val="single" w:sz="4" w:space="0" w:color="000000"/>
              <w:right w:val="single" w:sz="4" w:space="0" w:color="000000"/>
            </w:tcBorders>
          </w:tcPr>
          <w:p>
            <w:pPr>
              <w:pStyle w:val="TableParagraph"/>
              <w:spacing w:line="190" w:lineRule="atLeast" w:before="3"/>
              <w:ind w:left="109" w:right="81"/>
              <w:jc w:val="both"/>
              <w:rPr>
                <w:rFonts w:ascii="宋体" w:eastAsia="宋体" w:hint="eastAsia"/>
                <w:sz w:val="15"/>
              </w:rPr>
            </w:pPr>
            <w:r>
              <w:rPr>
                <w:spacing w:val="-20"/>
                <w:sz w:val="15"/>
              </w:rPr>
              <w:t>3</w:t>
            </w:r>
            <w:r>
              <w:rPr>
                <w:rFonts w:ascii="宋体" w:eastAsia="宋体" w:hint="eastAsia"/>
                <w:spacing w:val="-10"/>
                <w:sz w:val="15"/>
              </w:rPr>
              <w:t>．盈余公</w:t>
            </w:r>
            <w:r>
              <w:rPr>
                <w:rFonts w:ascii="宋体" w:eastAsia="宋体" w:hint="eastAsia"/>
                <w:spacing w:val="-1"/>
                <w:sz w:val="15"/>
              </w:rPr>
              <w:t>积弥补亏损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3" w:type="dxa"/>
            <w:tcBorders>
              <w:top w:val="single" w:sz="4" w:space="0" w:color="000000"/>
              <w:left w:val="single" w:sz="4" w:space="0" w:color="000000"/>
              <w:bottom w:val="single" w:sz="4" w:space="0" w:color="000000"/>
            </w:tcBorders>
          </w:tcPr>
          <w:p>
            <w:pPr>
              <w:pStyle w:val="TableParagraph"/>
              <w:rPr>
                <w:sz w:val="14"/>
              </w:rPr>
            </w:pPr>
          </w:p>
        </w:tc>
      </w:tr>
      <w:tr>
        <w:trPr>
          <w:trHeight w:val="777" w:hRule="atLeast"/>
        </w:trPr>
        <w:tc>
          <w:tcPr>
            <w:tcW w:w="852" w:type="dxa"/>
            <w:tcBorders>
              <w:top w:val="single" w:sz="4" w:space="0" w:color="000000"/>
              <w:bottom w:val="single" w:sz="4" w:space="0" w:color="000000"/>
              <w:right w:val="single" w:sz="4" w:space="0" w:color="000000"/>
            </w:tcBorders>
          </w:tcPr>
          <w:p>
            <w:pPr>
              <w:pStyle w:val="TableParagraph"/>
              <w:spacing w:line="242" w:lineRule="auto" w:before="1"/>
              <w:ind w:left="109" w:right="81"/>
              <w:jc w:val="both"/>
              <w:rPr>
                <w:rFonts w:ascii="宋体" w:eastAsia="宋体" w:hint="eastAsia"/>
                <w:sz w:val="15"/>
              </w:rPr>
            </w:pPr>
            <w:r>
              <w:rPr>
                <w:spacing w:val="-20"/>
                <w:sz w:val="15"/>
              </w:rPr>
              <w:t>4</w:t>
            </w:r>
            <w:r>
              <w:rPr>
                <w:rFonts w:ascii="宋体" w:eastAsia="宋体" w:hint="eastAsia"/>
                <w:spacing w:val="-10"/>
                <w:sz w:val="15"/>
              </w:rPr>
              <w:t>．设定受</w:t>
            </w:r>
            <w:r>
              <w:rPr>
                <w:rFonts w:ascii="宋体" w:eastAsia="宋体" w:hint="eastAsia"/>
                <w:spacing w:val="-1"/>
                <w:sz w:val="15"/>
              </w:rPr>
              <w:t>益计划变</w:t>
            </w:r>
            <w:r>
              <w:rPr>
                <w:rFonts w:ascii="宋体" w:eastAsia="宋体" w:hint="eastAsia"/>
                <w:spacing w:val="-2"/>
                <w:sz w:val="15"/>
              </w:rPr>
              <w:t>动额结转</w:t>
            </w:r>
          </w:p>
          <w:p>
            <w:pPr>
              <w:pStyle w:val="TableParagraph"/>
              <w:spacing w:line="173" w:lineRule="exact" w:before="1"/>
              <w:ind w:left="109"/>
              <w:rPr>
                <w:rFonts w:ascii="宋体" w:eastAsia="宋体" w:hint="eastAsia"/>
                <w:sz w:val="15"/>
              </w:rPr>
            </w:pPr>
            <w:r>
              <w:rPr>
                <w:rFonts w:ascii="宋体" w:eastAsia="宋体" w:hint="eastAsia"/>
                <w:spacing w:val="-1"/>
                <w:sz w:val="15"/>
              </w:rPr>
              <w:t>留存收益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3" w:type="dxa"/>
            <w:tcBorders>
              <w:top w:val="single" w:sz="4" w:space="0" w:color="000000"/>
              <w:left w:val="single" w:sz="4" w:space="0" w:color="000000"/>
              <w:bottom w:val="single" w:sz="4" w:space="0" w:color="000000"/>
            </w:tcBorders>
          </w:tcPr>
          <w:p>
            <w:pPr>
              <w:pStyle w:val="TableParagraph"/>
              <w:rPr>
                <w:sz w:val="14"/>
              </w:rPr>
            </w:pPr>
          </w:p>
        </w:tc>
      </w:tr>
      <w:tr>
        <w:trPr>
          <w:trHeight w:val="780" w:hRule="atLeast"/>
        </w:trPr>
        <w:tc>
          <w:tcPr>
            <w:tcW w:w="852" w:type="dxa"/>
            <w:tcBorders>
              <w:top w:val="single" w:sz="4" w:space="0" w:color="000000"/>
              <w:bottom w:val="single" w:sz="4" w:space="0" w:color="000000"/>
              <w:right w:val="single" w:sz="4" w:space="0" w:color="000000"/>
            </w:tcBorders>
          </w:tcPr>
          <w:p>
            <w:pPr>
              <w:pStyle w:val="TableParagraph"/>
              <w:spacing w:line="242" w:lineRule="auto" w:before="1"/>
              <w:ind w:left="109" w:right="81"/>
              <w:jc w:val="both"/>
              <w:rPr>
                <w:rFonts w:ascii="宋体" w:eastAsia="宋体" w:hint="eastAsia"/>
                <w:sz w:val="15"/>
              </w:rPr>
            </w:pPr>
            <w:r>
              <w:rPr>
                <w:spacing w:val="-20"/>
                <w:sz w:val="15"/>
              </w:rPr>
              <w:t>5</w:t>
            </w:r>
            <w:r>
              <w:rPr>
                <w:rFonts w:ascii="宋体" w:eastAsia="宋体" w:hint="eastAsia"/>
                <w:spacing w:val="-10"/>
                <w:sz w:val="15"/>
              </w:rPr>
              <w:t>．其他综</w:t>
            </w:r>
            <w:r>
              <w:rPr>
                <w:rFonts w:ascii="宋体" w:eastAsia="宋体" w:hint="eastAsia"/>
                <w:spacing w:val="-1"/>
                <w:sz w:val="15"/>
              </w:rPr>
              <w:t>合收益结</w:t>
            </w:r>
            <w:r>
              <w:rPr>
                <w:rFonts w:ascii="宋体" w:eastAsia="宋体" w:hint="eastAsia"/>
                <w:spacing w:val="-2"/>
                <w:sz w:val="15"/>
              </w:rPr>
              <w:t>转留存收</w:t>
            </w:r>
          </w:p>
          <w:p>
            <w:pPr>
              <w:pStyle w:val="TableParagraph"/>
              <w:spacing w:line="175" w:lineRule="exact" w:before="1"/>
              <w:ind w:left="109"/>
              <w:rPr>
                <w:rFonts w:ascii="宋体" w:eastAsia="宋体" w:hint="eastAsia"/>
                <w:sz w:val="15"/>
              </w:rPr>
            </w:pPr>
            <w:r>
              <w:rPr>
                <w:rFonts w:ascii="宋体" w:eastAsia="宋体" w:hint="eastAsia"/>
                <w:w w:val="100"/>
                <w:sz w:val="15"/>
              </w:rPr>
              <w:t>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3" w:type="dxa"/>
            <w:tcBorders>
              <w:top w:val="single" w:sz="4" w:space="0" w:color="000000"/>
              <w:left w:val="single" w:sz="4" w:space="0" w:color="000000"/>
              <w:bottom w:val="single" w:sz="4" w:space="0" w:color="000000"/>
            </w:tcBorders>
          </w:tcPr>
          <w:p>
            <w:pPr>
              <w:pStyle w:val="TableParagraph"/>
              <w:rPr>
                <w:sz w:val="14"/>
              </w:rPr>
            </w:pPr>
          </w:p>
        </w:tc>
      </w:tr>
      <w:tr>
        <w:trPr>
          <w:trHeight w:val="193" w:hRule="atLeast"/>
        </w:trPr>
        <w:tc>
          <w:tcPr>
            <w:tcW w:w="852" w:type="dxa"/>
            <w:tcBorders>
              <w:top w:val="single" w:sz="4" w:space="0" w:color="000000"/>
              <w:bottom w:val="single" w:sz="4" w:space="0" w:color="000000"/>
              <w:right w:val="single" w:sz="4" w:space="0" w:color="000000"/>
            </w:tcBorders>
          </w:tcPr>
          <w:p>
            <w:pPr>
              <w:pStyle w:val="TableParagraph"/>
              <w:spacing w:line="173" w:lineRule="exact" w:before="1"/>
              <w:ind w:left="109"/>
              <w:rPr>
                <w:rFonts w:ascii="宋体" w:eastAsia="宋体" w:hint="eastAsia"/>
                <w:sz w:val="15"/>
              </w:rPr>
            </w:pPr>
            <w:r>
              <w:rPr>
                <w:sz w:val="15"/>
              </w:rPr>
              <w:t>6</w:t>
            </w:r>
            <w:r>
              <w:rPr>
                <w:rFonts w:ascii="宋体" w:eastAsia="宋体" w:hint="eastAsia"/>
                <w:sz w:val="15"/>
              </w:rPr>
              <w:t>．其他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273" w:type="dxa"/>
            <w:tcBorders>
              <w:top w:val="single" w:sz="4" w:space="0" w:color="000000"/>
              <w:left w:val="single" w:sz="4" w:space="0" w:color="000000"/>
              <w:bottom w:val="single" w:sz="4" w:space="0" w:color="000000"/>
            </w:tcBorders>
          </w:tcPr>
          <w:p>
            <w:pPr>
              <w:pStyle w:val="TableParagraph"/>
              <w:rPr>
                <w:sz w:val="12"/>
              </w:rPr>
            </w:pPr>
          </w:p>
        </w:tc>
      </w:tr>
      <w:tr>
        <w:trPr>
          <w:trHeight w:val="388" w:hRule="atLeast"/>
        </w:trPr>
        <w:tc>
          <w:tcPr>
            <w:tcW w:w="852" w:type="dxa"/>
            <w:tcBorders>
              <w:top w:val="single" w:sz="4" w:space="0" w:color="000000"/>
              <w:bottom w:val="single" w:sz="4" w:space="0" w:color="000000"/>
              <w:right w:val="single" w:sz="4" w:space="0" w:color="000000"/>
            </w:tcBorders>
          </w:tcPr>
          <w:p>
            <w:pPr>
              <w:pStyle w:val="TableParagraph"/>
              <w:spacing w:before="1"/>
              <w:ind w:left="109"/>
              <w:rPr>
                <w:rFonts w:ascii="宋体" w:eastAsia="宋体" w:hint="eastAsia"/>
                <w:sz w:val="15"/>
              </w:rPr>
            </w:pPr>
            <w:r>
              <w:rPr>
                <w:rFonts w:ascii="宋体" w:eastAsia="宋体" w:hint="eastAsia"/>
                <w:sz w:val="15"/>
              </w:rPr>
              <w:t>（七）专</w:t>
            </w:r>
          </w:p>
          <w:p>
            <w:pPr>
              <w:pStyle w:val="TableParagraph"/>
              <w:spacing w:line="173" w:lineRule="exact" w:before="2"/>
              <w:ind w:left="109"/>
              <w:rPr>
                <w:rFonts w:ascii="宋体" w:eastAsia="宋体" w:hint="eastAsia"/>
                <w:sz w:val="15"/>
              </w:rPr>
            </w:pPr>
            <w:r>
              <w:rPr>
                <w:rFonts w:ascii="宋体" w:eastAsia="宋体" w:hint="eastAsia"/>
                <w:sz w:val="15"/>
              </w:rPr>
              <w:t>项储备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3" w:type="dxa"/>
            <w:tcBorders>
              <w:top w:val="single" w:sz="4" w:space="0" w:color="000000"/>
              <w:left w:val="single" w:sz="4" w:space="0" w:color="000000"/>
              <w:bottom w:val="single" w:sz="4" w:space="0" w:color="000000"/>
            </w:tcBorders>
          </w:tcPr>
          <w:p>
            <w:pPr>
              <w:pStyle w:val="TableParagraph"/>
              <w:rPr>
                <w:sz w:val="14"/>
              </w:rPr>
            </w:pPr>
          </w:p>
        </w:tc>
      </w:tr>
      <w:tr>
        <w:trPr>
          <w:trHeight w:val="193" w:hRule="atLeast"/>
        </w:trPr>
        <w:tc>
          <w:tcPr>
            <w:tcW w:w="852" w:type="dxa"/>
            <w:tcBorders>
              <w:top w:val="single" w:sz="4" w:space="0" w:color="000000"/>
              <w:right w:val="single" w:sz="4" w:space="0" w:color="000000"/>
            </w:tcBorders>
          </w:tcPr>
          <w:p>
            <w:pPr>
              <w:pStyle w:val="TableParagraph"/>
              <w:spacing w:line="173" w:lineRule="exact" w:before="1"/>
              <w:ind w:left="109"/>
              <w:rPr>
                <w:rFonts w:ascii="宋体" w:eastAsia="宋体" w:hint="eastAsia"/>
                <w:sz w:val="15"/>
              </w:rPr>
            </w:pPr>
            <w:r>
              <w:rPr>
                <w:sz w:val="15"/>
              </w:rPr>
              <w:t>1</w:t>
            </w:r>
            <w:r>
              <w:rPr>
                <w:rFonts w:ascii="宋体" w:eastAsia="宋体" w:hint="eastAsia"/>
                <w:sz w:val="15"/>
              </w:rPr>
              <w:t>．本期提</w:t>
            </w:r>
          </w:p>
        </w:tc>
        <w:tc>
          <w:tcPr>
            <w:tcW w:w="1133" w:type="dxa"/>
            <w:tcBorders>
              <w:top w:val="single" w:sz="4" w:space="0" w:color="000000"/>
              <w:left w:val="single" w:sz="4" w:space="0" w:color="000000"/>
              <w:right w:val="single" w:sz="4" w:space="0" w:color="000000"/>
            </w:tcBorders>
          </w:tcPr>
          <w:p>
            <w:pPr>
              <w:pStyle w:val="TableParagraph"/>
              <w:rPr>
                <w:sz w:val="12"/>
              </w:rPr>
            </w:pPr>
          </w:p>
        </w:tc>
        <w:tc>
          <w:tcPr>
            <w:tcW w:w="569" w:type="dxa"/>
            <w:tcBorders>
              <w:top w:val="single" w:sz="4" w:space="0" w:color="000000"/>
              <w:left w:val="single" w:sz="4" w:space="0" w:color="000000"/>
              <w:right w:val="single" w:sz="4" w:space="0" w:color="000000"/>
            </w:tcBorders>
          </w:tcPr>
          <w:p>
            <w:pPr>
              <w:pStyle w:val="TableParagraph"/>
              <w:rPr>
                <w:sz w:val="12"/>
              </w:rPr>
            </w:pPr>
          </w:p>
        </w:tc>
        <w:tc>
          <w:tcPr>
            <w:tcW w:w="567" w:type="dxa"/>
            <w:tcBorders>
              <w:top w:val="single" w:sz="4" w:space="0" w:color="000000"/>
              <w:left w:val="single" w:sz="4" w:space="0" w:color="000000"/>
              <w:right w:val="single" w:sz="4" w:space="0" w:color="000000"/>
            </w:tcBorders>
          </w:tcPr>
          <w:p>
            <w:pPr>
              <w:pStyle w:val="TableParagraph"/>
              <w:rPr>
                <w:sz w:val="12"/>
              </w:rPr>
            </w:pPr>
          </w:p>
        </w:tc>
        <w:tc>
          <w:tcPr>
            <w:tcW w:w="1136" w:type="dxa"/>
            <w:tcBorders>
              <w:top w:val="single" w:sz="4" w:space="0" w:color="000000"/>
              <w:left w:val="single" w:sz="4" w:space="0" w:color="000000"/>
              <w:right w:val="single" w:sz="4" w:space="0" w:color="000000"/>
            </w:tcBorders>
          </w:tcPr>
          <w:p>
            <w:pPr>
              <w:pStyle w:val="TableParagraph"/>
              <w:rPr>
                <w:sz w:val="12"/>
              </w:rPr>
            </w:pPr>
          </w:p>
        </w:tc>
        <w:tc>
          <w:tcPr>
            <w:tcW w:w="1278" w:type="dxa"/>
            <w:tcBorders>
              <w:top w:val="single" w:sz="4" w:space="0" w:color="000000"/>
              <w:left w:val="single" w:sz="4" w:space="0" w:color="000000"/>
              <w:right w:val="single" w:sz="4" w:space="0" w:color="000000"/>
            </w:tcBorders>
          </w:tcPr>
          <w:p>
            <w:pPr>
              <w:pStyle w:val="TableParagraph"/>
              <w:rPr>
                <w:sz w:val="12"/>
              </w:rPr>
            </w:pPr>
          </w:p>
        </w:tc>
        <w:tc>
          <w:tcPr>
            <w:tcW w:w="989" w:type="dxa"/>
            <w:tcBorders>
              <w:top w:val="single" w:sz="4" w:space="0" w:color="000000"/>
              <w:left w:val="single" w:sz="4" w:space="0" w:color="000000"/>
              <w:right w:val="single" w:sz="4" w:space="0" w:color="000000"/>
            </w:tcBorders>
          </w:tcPr>
          <w:p>
            <w:pPr>
              <w:pStyle w:val="TableParagraph"/>
              <w:rPr>
                <w:sz w:val="12"/>
              </w:rPr>
            </w:pPr>
          </w:p>
        </w:tc>
        <w:tc>
          <w:tcPr>
            <w:tcW w:w="1135" w:type="dxa"/>
            <w:tcBorders>
              <w:top w:val="single" w:sz="4" w:space="0" w:color="000000"/>
              <w:left w:val="single" w:sz="4" w:space="0" w:color="000000"/>
              <w:right w:val="single" w:sz="4" w:space="0" w:color="000000"/>
            </w:tcBorders>
          </w:tcPr>
          <w:p>
            <w:pPr>
              <w:pStyle w:val="TableParagraph"/>
              <w:rPr>
                <w:sz w:val="12"/>
              </w:rPr>
            </w:pPr>
          </w:p>
        </w:tc>
        <w:tc>
          <w:tcPr>
            <w:tcW w:w="571" w:type="dxa"/>
            <w:tcBorders>
              <w:top w:val="single" w:sz="4" w:space="0" w:color="000000"/>
              <w:left w:val="single" w:sz="4" w:space="0" w:color="000000"/>
              <w:right w:val="single" w:sz="4" w:space="0" w:color="000000"/>
            </w:tcBorders>
          </w:tcPr>
          <w:p>
            <w:pPr>
              <w:pStyle w:val="TableParagraph"/>
              <w:rPr>
                <w:sz w:val="12"/>
              </w:rPr>
            </w:pPr>
          </w:p>
        </w:tc>
        <w:tc>
          <w:tcPr>
            <w:tcW w:w="1135" w:type="dxa"/>
            <w:tcBorders>
              <w:top w:val="single" w:sz="4" w:space="0" w:color="000000"/>
              <w:left w:val="single" w:sz="4" w:space="0" w:color="000000"/>
              <w:right w:val="single" w:sz="4" w:space="0" w:color="000000"/>
            </w:tcBorders>
          </w:tcPr>
          <w:p>
            <w:pPr>
              <w:pStyle w:val="TableParagraph"/>
              <w:rPr>
                <w:sz w:val="12"/>
              </w:rPr>
            </w:pPr>
          </w:p>
        </w:tc>
        <w:tc>
          <w:tcPr>
            <w:tcW w:w="847" w:type="dxa"/>
            <w:tcBorders>
              <w:top w:val="single" w:sz="4" w:space="0" w:color="000000"/>
              <w:left w:val="single" w:sz="4" w:space="0" w:color="000000"/>
              <w:right w:val="single" w:sz="4" w:space="0" w:color="000000"/>
            </w:tcBorders>
          </w:tcPr>
          <w:p>
            <w:pPr>
              <w:pStyle w:val="TableParagraph"/>
              <w:rPr>
                <w:sz w:val="12"/>
              </w:rPr>
            </w:pPr>
          </w:p>
        </w:tc>
        <w:tc>
          <w:tcPr>
            <w:tcW w:w="1272" w:type="dxa"/>
            <w:tcBorders>
              <w:top w:val="single" w:sz="4" w:space="0" w:color="000000"/>
              <w:left w:val="single" w:sz="4" w:space="0" w:color="000000"/>
              <w:right w:val="single" w:sz="4" w:space="0" w:color="000000"/>
            </w:tcBorders>
          </w:tcPr>
          <w:p>
            <w:pPr>
              <w:pStyle w:val="TableParagraph"/>
              <w:rPr>
                <w:sz w:val="12"/>
              </w:rPr>
            </w:pPr>
          </w:p>
        </w:tc>
        <w:tc>
          <w:tcPr>
            <w:tcW w:w="430" w:type="dxa"/>
            <w:tcBorders>
              <w:top w:val="single" w:sz="4" w:space="0" w:color="000000"/>
              <w:left w:val="single" w:sz="4" w:space="0" w:color="000000"/>
              <w:right w:val="single" w:sz="4" w:space="0" w:color="000000"/>
            </w:tcBorders>
          </w:tcPr>
          <w:p>
            <w:pPr>
              <w:pStyle w:val="TableParagraph"/>
              <w:rPr>
                <w:sz w:val="12"/>
              </w:rPr>
            </w:pPr>
          </w:p>
        </w:tc>
        <w:tc>
          <w:tcPr>
            <w:tcW w:w="1278" w:type="dxa"/>
            <w:tcBorders>
              <w:top w:val="single" w:sz="4" w:space="0" w:color="000000"/>
              <w:left w:val="single" w:sz="4" w:space="0" w:color="000000"/>
              <w:right w:val="single" w:sz="4" w:space="0" w:color="000000"/>
            </w:tcBorders>
          </w:tcPr>
          <w:p>
            <w:pPr>
              <w:pStyle w:val="TableParagraph"/>
              <w:rPr>
                <w:sz w:val="12"/>
              </w:rPr>
            </w:pPr>
          </w:p>
        </w:tc>
        <w:tc>
          <w:tcPr>
            <w:tcW w:w="1136" w:type="dxa"/>
            <w:tcBorders>
              <w:top w:val="single" w:sz="4" w:space="0" w:color="000000"/>
              <w:left w:val="single" w:sz="4" w:space="0" w:color="000000"/>
              <w:right w:val="single" w:sz="4" w:space="0" w:color="000000"/>
            </w:tcBorders>
          </w:tcPr>
          <w:p>
            <w:pPr>
              <w:pStyle w:val="TableParagraph"/>
              <w:rPr>
                <w:sz w:val="12"/>
              </w:rPr>
            </w:pPr>
          </w:p>
        </w:tc>
        <w:tc>
          <w:tcPr>
            <w:tcW w:w="1273" w:type="dxa"/>
            <w:tcBorders>
              <w:top w:val="single" w:sz="4" w:space="0" w:color="000000"/>
              <w:left w:val="single" w:sz="4" w:space="0" w:color="000000"/>
            </w:tcBorders>
          </w:tcPr>
          <w:p>
            <w:pPr>
              <w:pStyle w:val="TableParagraph"/>
              <w:rPr>
                <w:sz w:val="12"/>
              </w:rPr>
            </w:pPr>
          </w:p>
        </w:tc>
      </w:tr>
    </w:tbl>
    <w:p>
      <w:pPr>
        <w:spacing w:after="0"/>
        <w:rPr>
          <w:sz w:val="12"/>
        </w:rPr>
        <w:sectPr>
          <w:pgSz w:w="16840" w:h="11910" w:orient="landscape"/>
          <w:pgMar w:header="876" w:footer="1214" w:top="1180" w:bottom="1400" w:left="120" w:right="860"/>
        </w:sectPr>
      </w:pPr>
    </w:p>
    <w:p>
      <w:pPr>
        <w:pStyle w:val="BodyText"/>
        <w:spacing w:before="4"/>
        <w:rPr>
          <w:rFonts w:ascii="Times New Roman"/>
          <w:sz w:val="8"/>
        </w:rPr>
      </w:pPr>
    </w:p>
    <w:tbl>
      <w:tblPr>
        <w:tblW w:w="0" w:type="auto"/>
        <w:jc w:val="left"/>
        <w:tblInd w:w="14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52"/>
        <w:gridCol w:w="1133"/>
        <w:gridCol w:w="569"/>
        <w:gridCol w:w="567"/>
        <w:gridCol w:w="1136"/>
        <w:gridCol w:w="1278"/>
        <w:gridCol w:w="989"/>
        <w:gridCol w:w="1135"/>
        <w:gridCol w:w="571"/>
        <w:gridCol w:w="1135"/>
        <w:gridCol w:w="847"/>
        <w:gridCol w:w="1272"/>
        <w:gridCol w:w="430"/>
        <w:gridCol w:w="1278"/>
        <w:gridCol w:w="1136"/>
        <w:gridCol w:w="1273"/>
      </w:tblGrid>
      <w:tr>
        <w:trPr>
          <w:trHeight w:val="193" w:hRule="atLeast"/>
        </w:trPr>
        <w:tc>
          <w:tcPr>
            <w:tcW w:w="852" w:type="dxa"/>
            <w:tcBorders>
              <w:bottom w:val="single" w:sz="4" w:space="0" w:color="000000"/>
              <w:right w:val="single" w:sz="4" w:space="0" w:color="000000"/>
            </w:tcBorders>
          </w:tcPr>
          <w:p>
            <w:pPr>
              <w:pStyle w:val="TableParagraph"/>
              <w:spacing w:line="173" w:lineRule="exact"/>
              <w:ind w:left="109"/>
              <w:rPr>
                <w:rFonts w:ascii="宋体" w:eastAsia="宋体" w:hint="eastAsia"/>
                <w:sz w:val="15"/>
              </w:rPr>
            </w:pPr>
            <w:r>
              <w:rPr>
                <w:rFonts w:ascii="宋体" w:eastAsia="宋体" w:hint="eastAsia"/>
                <w:w w:val="100"/>
                <w:sz w:val="15"/>
              </w:rPr>
              <w:t>取</w:t>
            </w:r>
          </w:p>
        </w:tc>
        <w:tc>
          <w:tcPr>
            <w:tcW w:w="1133" w:type="dxa"/>
            <w:tcBorders>
              <w:left w:val="single" w:sz="4" w:space="0" w:color="000000"/>
              <w:bottom w:val="single" w:sz="4" w:space="0" w:color="000000"/>
              <w:right w:val="single" w:sz="4" w:space="0" w:color="000000"/>
            </w:tcBorders>
          </w:tcPr>
          <w:p>
            <w:pPr>
              <w:pStyle w:val="TableParagraph"/>
              <w:rPr>
                <w:sz w:val="12"/>
              </w:rPr>
            </w:pPr>
          </w:p>
        </w:tc>
        <w:tc>
          <w:tcPr>
            <w:tcW w:w="569" w:type="dxa"/>
            <w:tcBorders>
              <w:left w:val="single" w:sz="4" w:space="0" w:color="000000"/>
              <w:bottom w:val="single" w:sz="4" w:space="0" w:color="000000"/>
              <w:right w:val="single" w:sz="4" w:space="0" w:color="000000"/>
            </w:tcBorders>
          </w:tcPr>
          <w:p>
            <w:pPr>
              <w:pStyle w:val="TableParagraph"/>
              <w:rPr>
                <w:sz w:val="12"/>
              </w:rPr>
            </w:pPr>
          </w:p>
        </w:tc>
        <w:tc>
          <w:tcPr>
            <w:tcW w:w="567" w:type="dxa"/>
            <w:tcBorders>
              <w:left w:val="single" w:sz="4" w:space="0" w:color="000000"/>
              <w:bottom w:val="single" w:sz="4" w:space="0" w:color="000000"/>
              <w:right w:val="single" w:sz="4" w:space="0" w:color="000000"/>
            </w:tcBorders>
          </w:tcPr>
          <w:p>
            <w:pPr>
              <w:pStyle w:val="TableParagraph"/>
              <w:rPr>
                <w:sz w:val="12"/>
              </w:rPr>
            </w:pPr>
          </w:p>
        </w:tc>
        <w:tc>
          <w:tcPr>
            <w:tcW w:w="1136" w:type="dxa"/>
            <w:tcBorders>
              <w:left w:val="single" w:sz="4" w:space="0" w:color="000000"/>
              <w:bottom w:val="single" w:sz="4" w:space="0" w:color="000000"/>
              <w:right w:val="single" w:sz="4" w:space="0" w:color="000000"/>
            </w:tcBorders>
          </w:tcPr>
          <w:p>
            <w:pPr>
              <w:pStyle w:val="TableParagraph"/>
              <w:rPr>
                <w:sz w:val="12"/>
              </w:rPr>
            </w:pPr>
          </w:p>
        </w:tc>
        <w:tc>
          <w:tcPr>
            <w:tcW w:w="1278" w:type="dxa"/>
            <w:tcBorders>
              <w:left w:val="single" w:sz="4" w:space="0" w:color="000000"/>
              <w:bottom w:val="single" w:sz="4" w:space="0" w:color="000000"/>
              <w:right w:val="single" w:sz="4" w:space="0" w:color="000000"/>
            </w:tcBorders>
          </w:tcPr>
          <w:p>
            <w:pPr>
              <w:pStyle w:val="TableParagraph"/>
              <w:rPr>
                <w:sz w:val="12"/>
              </w:rPr>
            </w:pPr>
          </w:p>
        </w:tc>
        <w:tc>
          <w:tcPr>
            <w:tcW w:w="989" w:type="dxa"/>
            <w:tcBorders>
              <w:left w:val="single" w:sz="4" w:space="0" w:color="000000"/>
              <w:bottom w:val="single" w:sz="4" w:space="0" w:color="000000"/>
              <w:right w:val="single" w:sz="4" w:space="0" w:color="000000"/>
            </w:tcBorders>
          </w:tcPr>
          <w:p>
            <w:pPr>
              <w:pStyle w:val="TableParagraph"/>
              <w:rPr>
                <w:sz w:val="12"/>
              </w:rPr>
            </w:pPr>
          </w:p>
        </w:tc>
        <w:tc>
          <w:tcPr>
            <w:tcW w:w="1135" w:type="dxa"/>
            <w:tcBorders>
              <w:left w:val="single" w:sz="4" w:space="0" w:color="000000"/>
              <w:bottom w:val="single" w:sz="4" w:space="0" w:color="000000"/>
              <w:right w:val="single" w:sz="4" w:space="0" w:color="000000"/>
            </w:tcBorders>
          </w:tcPr>
          <w:p>
            <w:pPr>
              <w:pStyle w:val="TableParagraph"/>
              <w:rPr>
                <w:sz w:val="12"/>
              </w:rPr>
            </w:pPr>
          </w:p>
        </w:tc>
        <w:tc>
          <w:tcPr>
            <w:tcW w:w="571" w:type="dxa"/>
            <w:tcBorders>
              <w:left w:val="single" w:sz="4" w:space="0" w:color="000000"/>
              <w:bottom w:val="single" w:sz="4" w:space="0" w:color="000000"/>
              <w:right w:val="single" w:sz="4" w:space="0" w:color="000000"/>
            </w:tcBorders>
          </w:tcPr>
          <w:p>
            <w:pPr>
              <w:pStyle w:val="TableParagraph"/>
              <w:rPr>
                <w:sz w:val="12"/>
              </w:rPr>
            </w:pPr>
          </w:p>
        </w:tc>
        <w:tc>
          <w:tcPr>
            <w:tcW w:w="1135" w:type="dxa"/>
            <w:tcBorders>
              <w:left w:val="single" w:sz="4" w:space="0" w:color="000000"/>
              <w:bottom w:val="single" w:sz="4" w:space="0" w:color="000000"/>
              <w:right w:val="single" w:sz="4" w:space="0" w:color="000000"/>
            </w:tcBorders>
          </w:tcPr>
          <w:p>
            <w:pPr>
              <w:pStyle w:val="TableParagraph"/>
              <w:rPr>
                <w:sz w:val="12"/>
              </w:rPr>
            </w:pPr>
          </w:p>
        </w:tc>
        <w:tc>
          <w:tcPr>
            <w:tcW w:w="847" w:type="dxa"/>
            <w:tcBorders>
              <w:left w:val="single" w:sz="4" w:space="0" w:color="000000"/>
              <w:bottom w:val="single" w:sz="4" w:space="0" w:color="000000"/>
              <w:right w:val="single" w:sz="4" w:space="0" w:color="000000"/>
            </w:tcBorders>
          </w:tcPr>
          <w:p>
            <w:pPr>
              <w:pStyle w:val="TableParagraph"/>
              <w:rPr>
                <w:sz w:val="12"/>
              </w:rPr>
            </w:pPr>
          </w:p>
        </w:tc>
        <w:tc>
          <w:tcPr>
            <w:tcW w:w="1272" w:type="dxa"/>
            <w:tcBorders>
              <w:left w:val="single" w:sz="4" w:space="0" w:color="000000"/>
              <w:bottom w:val="single" w:sz="4" w:space="0" w:color="000000"/>
              <w:right w:val="single" w:sz="4" w:space="0" w:color="000000"/>
            </w:tcBorders>
          </w:tcPr>
          <w:p>
            <w:pPr>
              <w:pStyle w:val="TableParagraph"/>
              <w:rPr>
                <w:sz w:val="12"/>
              </w:rPr>
            </w:pPr>
          </w:p>
        </w:tc>
        <w:tc>
          <w:tcPr>
            <w:tcW w:w="430" w:type="dxa"/>
            <w:tcBorders>
              <w:left w:val="single" w:sz="4" w:space="0" w:color="000000"/>
              <w:bottom w:val="single" w:sz="4" w:space="0" w:color="000000"/>
              <w:right w:val="single" w:sz="4" w:space="0" w:color="000000"/>
            </w:tcBorders>
          </w:tcPr>
          <w:p>
            <w:pPr>
              <w:pStyle w:val="TableParagraph"/>
              <w:rPr>
                <w:sz w:val="12"/>
              </w:rPr>
            </w:pPr>
          </w:p>
        </w:tc>
        <w:tc>
          <w:tcPr>
            <w:tcW w:w="1278" w:type="dxa"/>
            <w:tcBorders>
              <w:left w:val="single" w:sz="4" w:space="0" w:color="000000"/>
              <w:bottom w:val="single" w:sz="4" w:space="0" w:color="000000"/>
              <w:right w:val="single" w:sz="4" w:space="0" w:color="000000"/>
            </w:tcBorders>
          </w:tcPr>
          <w:p>
            <w:pPr>
              <w:pStyle w:val="TableParagraph"/>
              <w:rPr>
                <w:sz w:val="12"/>
              </w:rPr>
            </w:pPr>
          </w:p>
        </w:tc>
        <w:tc>
          <w:tcPr>
            <w:tcW w:w="1136" w:type="dxa"/>
            <w:tcBorders>
              <w:left w:val="single" w:sz="4" w:space="0" w:color="000000"/>
              <w:bottom w:val="single" w:sz="4" w:space="0" w:color="000000"/>
              <w:right w:val="single" w:sz="4" w:space="0" w:color="000000"/>
            </w:tcBorders>
          </w:tcPr>
          <w:p>
            <w:pPr>
              <w:pStyle w:val="TableParagraph"/>
              <w:rPr>
                <w:sz w:val="12"/>
              </w:rPr>
            </w:pPr>
          </w:p>
        </w:tc>
        <w:tc>
          <w:tcPr>
            <w:tcW w:w="1273" w:type="dxa"/>
            <w:tcBorders>
              <w:left w:val="single" w:sz="4" w:space="0" w:color="000000"/>
              <w:bottom w:val="single" w:sz="4" w:space="0" w:color="000000"/>
            </w:tcBorders>
          </w:tcPr>
          <w:p>
            <w:pPr>
              <w:pStyle w:val="TableParagraph"/>
              <w:rPr>
                <w:sz w:val="12"/>
              </w:rPr>
            </w:pPr>
          </w:p>
        </w:tc>
      </w:tr>
      <w:tr>
        <w:trPr>
          <w:trHeight w:val="388" w:hRule="atLeast"/>
        </w:trPr>
        <w:tc>
          <w:tcPr>
            <w:tcW w:w="852" w:type="dxa"/>
            <w:tcBorders>
              <w:top w:val="single" w:sz="4" w:space="0" w:color="000000"/>
              <w:bottom w:val="single" w:sz="4" w:space="0" w:color="000000"/>
              <w:right w:val="single" w:sz="4" w:space="0" w:color="000000"/>
            </w:tcBorders>
          </w:tcPr>
          <w:p>
            <w:pPr>
              <w:pStyle w:val="TableParagraph"/>
              <w:spacing w:before="1"/>
              <w:ind w:left="109"/>
              <w:rPr>
                <w:rFonts w:ascii="宋体" w:eastAsia="宋体" w:hint="eastAsia"/>
                <w:sz w:val="15"/>
              </w:rPr>
            </w:pPr>
            <w:r>
              <w:rPr>
                <w:sz w:val="15"/>
              </w:rPr>
              <w:t>2</w:t>
            </w:r>
            <w:r>
              <w:rPr>
                <w:rFonts w:ascii="宋体" w:eastAsia="宋体" w:hint="eastAsia"/>
                <w:sz w:val="15"/>
              </w:rPr>
              <w:t>．本期使</w:t>
            </w:r>
          </w:p>
          <w:p>
            <w:pPr>
              <w:pStyle w:val="TableParagraph"/>
              <w:spacing w:line="173" w:lineRule="exact" w:before="2"/>
              <w:ind w:left="109"/>
              <w:rPr>
                <w:rFonts w:ascii="宋体" w:eastAsia="宋体" w:hint="eastAsia"/>
                <w:sz w:val="15"/>
              </w:rPr>
            </w:pPr>
            <w:r>
              <w:rPr>
                <w:rFonts w:ascii="宋体" w:eastAsia="宋体" w:hint="eastAsia"/>
                <w:w w:val="100"/>
                <w:sz w:val="15"/>
              </w:rPr>
              <w:t>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4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3" w:type="dxa"/>
            <w:tcBorders>
              <w:top w:val="single" w:sz="4" w:space="0" w:color="000000"/>
              <w:left w:val="single" w:sz="4" w:space="0" w:color="000000"/>
              <w:bottom w:val="single" w:sz="4" w:space="0" w:color="000000"/>
            </w:tcBorders>
          </w:tcPr>
          <w:p>
            <w:pPr>
              <w:pStyle w:val="TableParagraph"/>
              <w:rPr>
                <w:sz w:val="14"/>
              </w:rPr>
            </w:pPr>
          </w:p>
        </w:tc>
      </w:tr>
      <w:tr>
        <w:trPr>
          <w:trHeight w:val="390" w:hRule="atLeast"/>
        </w:trPr>
        <w:tc>
          <w:tcPr>
            <w:tcW w:w="852" w:type="dxa"/>
            <w:tcBorders>
              <w:top w:val="single" w:sz="4" w:space="0" w:color="000000"/>
              <w:bottom w:val="single" w:sz="4" w:space="0" w:color="000000"/>
              <w:right w:val="single" w:sz="4" w:space="0" w:color="000000"/>
            </w:tcBorders>
          </w:tcPr>
          <w:p>
            <w:pPr>
              <w:pStyle w:val="TableParagraph"/>
              <w:spacing w:line="190" w:lineRule="atLeast" w:before="3"/>
              <w:ind w:left="109" w:right="117"/>
              <w:rPr>
                <w:rFonts w:ascii="宋体" w:eastAsia="宋体" w:hint="eastAsia"/>
                <w:sz w:val="15"/>
              </w:rPr>
            </w:pPr>
            <w:r>
              <w:rPr>
                <w:rFonts w:ascii="宋体" w:eastAsia="宋体" w:hint="eastAsia"/>
                <w:sz w:val="15"/>
              </w:rPr>
              <w:t>（六）其他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before="104"/>
              <w:ind w:right="-29"/>
              <w:jc w:val="right"/>
              <w:rPr>
                <w:sz w:val="15"/>
              </w:rPr>
            </w:pPr>
            <w:r>
              <w:rPr>
                <w:sz w:val="15"/>
              </w:rPr>
              <w:t>-159,140,873.68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before="104"/>
              <w:ind w:right="-29"/>
              <w:jc w:val="right"/>
              <w:rPr>
                <w:sz w:val="15"/>
              </w:rPr>
            </w:pPr>
            <w:r>
              <w:rPr>
                <w:sz w:val="15"/>
              </w:rPr>
              <w:t>159,140,873.68</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104"/>
              <w:ind w:right="-29"/>
              <w:jc w:val="right"/>
              <w:rPr>
                <w:sz w:val="15"/>
              </w:rPr>
            </w:pPr>
            <w:r>
              <w:rPr>
                <w:sz w:val="15"/>
              </w:rPr>
              <w:t>-42,238,160.71</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before="104"/>
              <w:ind w:right="-29"/>
              <w:jc w:val="right"/>
              <w:rPr>
                <w:sz w:val="15"/>
              </w:rPr>
            </w:pPr>
            <w:r>
              <w:rPr>
                <w:sz w:val="15"/>
              </w:rPr>
              <w:t>-42,238,160.71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3" w:type="dxa"/>
            <w:tcBorders>
              <w:top w:val="single" w:sz="4" w:space="0" w:color="000000"/>
              <w:left w:val="single" w:sz="4" w:space="0" w:color="000000"/>
              <w:bottom w:val="single" w:sz="4" w:space="0" w:color="000000"/>
            </w:tcBorders>
          </w:tcPr>
          <w:p>
            <w:pPr>
              <w:pStyle w:val="TableParagraph"/>
              <w:spacing w:before="104"/>
              <w:ind w:right="-29"/>
              <w:jc w:val="right"/>
              <w:rPr>
                <w:sz w:val="15"/>
              </w:rPr>
            </w:pPr>
            <w:r>
              <w:rPr>
                <w:sz w:val="15"/>
              </w:rPr>
              <w:t>-42,238,160.71</w:t>
            </w:r>
          </w:p>
        </w:tc>
      </w:tr>
      <w:tr>
        <w:trPr>
          <w:trHeight w:val="387" w:hRule="atLeast"/>
        </w:trPr>
        <w:tc>
          <w:tcPr>
            <w:tcW w:w="852" w:type="dxa"/>
            <w:tcBorders>
              <w:top w:val="single" w:sz="4" w:space="0" w:color="000000"/>
              <w:right w:val="single" w:sz="4" w:space="0" w:color="000000"/>
            </w:tcBorders>
          </w:tcPr>
          <w:p>
            <w:pPr>
              <w:pStyle w:val="TableParagraph"/>
              <w:spacing w:before="1"/>
              <w:ind w:left="109"/>
              <w:rPr>
                <w:rFonts w:ascii="宋体" w:eastAsia="宋体" w:hint="eastAsia"/>
                <w:sz w:val="15"/>
              </w:rPr>
            </w:pPr>
            <w:r>
              <w:rPr>
                <w:rFonts w:ascii="宋体" w:eastAsia="宋体" w:hint="eastAsia"/>
                <w:spacing w:val="-1"/>
                <w:sz w:val="15"/>
              </w:rPr>
              <w:t>四、本期</w:t>
            </w:r>
          </w:p>
          <w:p>
            <w:pPr>
              <w:pStyle w:val="TableParagraph"/>
              <w:spacing w:line="173" w:lineRule="exact" w:before="2"/>
              <w:ind w:left="109"/>
              <w:rPr>
                <w:rFonts w:ascii="宋体" w:eastAsia="宋体" w:hint="eastAsia"/>
                <w:sz w:val="15"/>
              </w:rPr>
            </w:pPr>
            <w:r>
              <w:rPr>
                <w:rFonts w:ascii="宋体" w:eastAsia="宋体" w:hint="eastAsia"/>
                <w:spacing w:val="-1"/>
                <w:sz w:val="15"/>
              </w:rPr>
              <w:t>期末余额</w:t>
            </w:r>
          </w:p>
        </w:tc>
        <w:tc>
          <w:tcPr>
            <w:tcW w:w="1133" w:type="dxa"/>
            <w:tcBorders>
              <w:top w:val="single" w:sz="4" w:space="0" w:color="000000"/>
              <w:left w:val="single" w:sz="4" w:space="0" w:color="000000"/>
              <w:right w:val="single" w:sz="4" w:space="0" w:color="000000"/>
            </w:tcBorders>
          </w:tcPr>
          <w:p>
            <w:pPr>
              <w:pStyle w:val="TableParagraph"/>
              <w:spacing w:before="102"/>
              <w:ind w:left="90" w:right="-29"/>
              <w:rPr>
                <w:sz w:val="15"/>
              </w:rPr>
            </w:pPr>
            <w:r>
              <w:rPr>
                <w:spacing w:val="-1"/>
                <w:sz w:val="15"/>
              </w:rPr>
              <w:t>9,027,846,441.00</w:t>
            </w:r>
          </w:p>
        </w:tc>
        <w:tc>
          <w:tcPr>
            <w:tcW w:w="569" w:type="dxa"/>
            <w:tcBorders>
              <w:top w:val="single" w:sz="4" w:space="0" w:color="000000"/>
              <w:left w:val="single" w:sz="4" w:space="0" w:color="000000"/>
              <w:right w:val="single" w:sz="4" w:space="0" w:color="000000"/>
            </w:tcBorders>
          </w:tcPr>
          <w:p>
            <w:pPr>
              <w:pStyle w:val="TableParagraph"/>
              <w:rPr>
                <w:sz w:val="14"/>
              </w:rPr>
            </w:pPr>
          </w:p>
        </w:tc>
        <w:tc>
          <w:tcPr>
            <w:tcW w:w="567" w:type="dxa"/>
            <w:tcBorders>
              <w:top w:val="single" w:sz="4" w:space="0" w:color="000000"/>
              <w:left w:val="single" w:sz="4" w:space="0" w:color="000000"/>
              <w:right w:val="single" w:sz="4" w:space="0" w:color="000000"/>
            </w:tcBorders>
          </w:tcPr>
          <w:p>
            <w:pPr>
              <w:pStyle w:val="TableParagraph"/>
              <w:rPr>
                <w:sz w:val="14"/>
              </w:rPr>
            </w:pPr>
          </w:p>
        </w:tc>
        <w:tc>
          <w:tcPr>
            <w:tcW w:w="1136" w:type="dxa"/>
            <w:tcBorders>
              <w:top w:val="single" w:sz="4" w:space="0" w:color="000000"/>
              <w:left w:val="single" w:sz="4" w:space="0" w:color="000000"/>
              <w:right w:val="single" w:sz="4" w:space="0" w:color="000000"/>
            </w:tcBorders>
          </w:tcPr>
          <w:p>
            <w:pPr>
              <w:pStyle w:val="TableParagraph"/>
              <w:spacing w:before="102"/>
              <w:ind w:left="92" w:right="-29"/>
              <w:rPr>
                <w:sz w:val="15"/>
              </w:rPr>
            </w:pPr>
            <w:r>
              <w:rPr>
                <w:spacing w:val="-1"/>
                <w:sz w:val="15"/>
              </w:rPr>
              <w:t>2,364,195,333.79</w:t>
            </w:r>
          </w:p>
        </w:tc>
        <w:tc>
          <w:tcPr>
            <w:tcW w:w="1278" w:type="dxa"/>
            <w:tcBorders>
              <w:top w:val="single" w:sz="4" w:space="0" w:color="000000"/>
              <w:left w:val="single" w:sz="4" w:space="0" w:color="000000"/>
              <w:right w:val="single" w:sz="4" w:space="0" w:color="000000"/>
            </w:tcBorders>
          </w:tcPr>
          <w:p>
            <w:pPr>
              <w:pStyle w:val="TableParagraph"/>
              <w:spacing w:before="102"/>
              <w:ind w:right="-29"/>
              <w:jc w:val="right"/>
              <w:rPr>
                <w:sz w:val="15"/>
              </w:rPr>
            </w:pPr>
            <w:r>
              <w:rPr>
                <w:sz w:val="15"/>
              </w:rPr>
              <w:t>15,009,027,407.40</w:t>
            </w:r>
          </w:p>
        </w:tc>
        <w:tc>
          <w:tcPr>
            <w:tcW w:w="989" w:type="dxa"/>
            <w:tcBorders>
              <w:top w:val="single" w:sz="4" w:space="0" w:color="000000"/>
              <w:left w:val="single" w:sz="4" w:space="0" w:color="000000"/>
              <w:right w:val="single" w:sz="4" w:space="0" w:color="000000"/>
            </w:tcBorders>
          </w:tcPr>
          <w:p>
            <w:pPr>
              <w:pStyle w:val="TableParagraph"/>
              <w:spacing w:before="102"/>
              <w:ind w:left="134" w:right="-29"/>
              <w:rPr>
                <w:sz w:val="15"/>
              </w:rPr>
            </w:pPr>
            <w:r>
              <w:rPr>
                <w:spacing w:val="-1"/>
                <w:sz w:val="15"/>
              </w:rPr>
              <w:t>28,896,550.65</w:t>
            </w:r>
          </w:p>
        </w:tc>
        <w:tc>
          <w:tcPr>
            <w:tcW w:w="1135" w:type="dxa"/>
            <w:tcBorders>
              <w:top w:val="single" w:sz="4" w:space="0" w:color="000000"/>
              <w:left w:val="single" w:sz="4" w:space="0" w:color="000000"/>
              <w:right w:val="single" w:sz="4" w:space="0" w:color="000000"/>
            </w:tcBorders>
          </w:tcPr>
          <w:p>
            <w:pPr>
              <w:pStyle w:val="TableParagraph"/>
              <w:spacing w:before="102"/>
              <w:ind w:right="-29"/>
              <w:jc w:val="right"/>
              <w:rPr>
                <w:sz w:val="15"/>
              </w:rPr>
            </w:pPr>
            <w:r>
              <w:rPr>
                <w:sz w:val="15"/>
              </w:rPr>
              <w:t>-1,046,216,729.06</w:t>
            </w:r>
          </w:p>
        </w:tc>
        <w:tc>
          <w:tcPr>
            <w:tcW w:w="571" w:type="dxa"/>
            <w:tcBorders>
              <w:top w:val="single" w:sz="4" w:space="0" w:color="000000"/>
              <w:left w:val="single" w:sz="4" w:space="0" w:color="000000"/>
              <w:right w:val="single" w:sz="4" w:space="0" w:color="000000"/>
            </w:tcBorders>
          </w:tcPr>
          <w:p>
            <w:pPr>
              <w:pStyle w:val="TableParagraph"/>
              <w:rPr>
                <w:sz w:val="14"/>
              </w:rPr>
            </w:pPr>
          </w:p>
        </w:tc>
        <w:tc>
          <w:tcPr>
            <w:tcW w:w="1135" w:type="dxa"/>
            <w:tcBorders>
              <w:top w:val="single" w:sz="4" w:space="0" w:color="000000"/>
              <w:left w:val="single" w:sz="4" w:space="0" w:color="000000"/>
              <w:right w:val="single" w:sz="4" w:space="0" w:color="000000"/>
            </w:tcBorders>
          </w:tcPr>
          <w:p>
            <w:pPr>
              <w:pStyle w:val="TableParagraph"/>
              <w:spacing w:before="102"/>
              <w:ind w:left="86" w:right="-15"/>
              <w:rPr>
                <w:sz w:val="15"/>
              </w:rPr>
            </w:pPr>
            <w:r>
              <w:rPr>
                <w:spacing w:val="-1"/>
                <w:sz w:val="15"/>
              </w:rPr>
              <w:t>3,045,334,539.60</w:t>
            </w:r>
          </w:p>
        </w:tc>
        <w:tc>
          <w:tcPr>
            <w:tcW w:w="847" w:type="dxa"/>
            <w:tcBorders>
              <w:top w:val="single" w:sz="4" w:space="0" w:color="000000"/>
              <w:left w:val="single" w:sz="4" w:space="0" w:color="000000"/>
              <w:right w:val="single" w:sz="4" w:space="0" w:color="000000"/>
            </w:tcBorders>
          </w:tcPr>
          <w:p>
            <w:pPr>
              <w:pStyle w:val="TableParagraph"/>
              <w:rPr>
                <w:sz w:val="14"/>
              </w:rPr>
            </w:pPr>
          </w:p>
        </w:tc>
        <w:tc>
          <w:tcPr>
            <w:tcW w:w="1272" w:type="dxa"/>
            <w:tcBorders>
              <w:top w:val="single" w:sz="4" w:space="0" w:color="000000"/>
              <w:left w:val="single" w:sz="4" w:space="0" w:color="000000"/>
              <w:right w:val="single" w:sz="4" w:space="0" w:color="000000"/>
            </w:tcBorders>
          </w:tcPr>
          <w:p>
            <w:pPr>
              <w:pStyle w:val="TableParagraph"/>
              <w:spacing w:before="102"/>
              <w:ind w:right="-29"/>
              <w:jc w:val="right"/>
              <w:rPr>
                <w:sz w:val="15"/>
              </w:rPr>
            </w:pPr>
            <w:r>
              <w:rPr>
                <w:sz w:val="15"/>
              </w:rPr>
              <w:t>38,445,132,172.47</w:t>
            </w:r>
          </w:p>
        </w:tc>
        <w:tc>
          <w:tcPr>
            <w:tcW w:w="430" w:type="dxa"/>
            <w:tcBorders>
              <w:top w:val="single" w:sz="4" w:space="0" w:color="000000"/>
              <w:left w:val="single" w:sz="4" w:space="0" w:color="000000"/>
              <w:right w:val="single" w:sz="4" w:space="0" w:color="000000"/>
            </w:tcBorders>
          </w:tcPr>
          <w:p>
            <w:pPr>
              <w:pStyle w:val="TableParagraph"/>
              <w:rPr>
                <w:sz w:val="14"/>
              </w:rPr>
            </w:pPr>
          </w:p>
        </w:tc>
        <w:tc>
          <w:tcPr>
            <w:tcW w:w="1278" w:type="dxa"/>
            <w:tcBorders>
              <w:top w:val="single" w:sz="4" w:space="0" w:color="000000"/>
              <w:left w:val="single" w:sz="4" w:space="0" w:color="000000"/>
              <w:right w:val="single" w:sz="4" w:space="0" w:color="000000"/>
            </w:tcBorders>
          </w:tcPr>
          <w:p>
            <w:pPr>
              <w:pStyle w:val="TableParagraph"/>
              <w:spacing w:before="102"/>
              <w:ind w:right="-29"/>
              <w:jc w:val="right"/>
              <w:rPr>
                <w:sz w:val="15"/>
              </w:rPr>
            </w:pPr>
            <w:r>
              <w:rPr>
                <w:sz w:val="15"/>
              </w:rPr>
              <w:t>66,816,422,614.55</w:t>
            </w:r>
          </w:p>
        </w:tc>
        <w:tc>
          <w:tcPr>
            <w:tcW w:w="1136" w:type="dxa"/>
            <w:tcBorders>
              <w:top w:val="single" w:sz="4" w:space="0" w:color="000000"/>
              <w:left w:val="single" w:sz="4" w:space="0" w:color="000000"/>
              <w:right w:val="single" w:sz="4" w:space="0" w:color="000000"/>
            </w:tcBorders>
          </w:tcPr>
          <w:p>
            <w:pPr>
              <w:pStyle w:val="TableParagraph"/>
              <w:spacing w:before="102"/>
              <w:ind w:left="86" w:right="-15"/>
              <w:rPr>
                <w:sz w:val="15"/>
              </w:rPr>
            </w:pPr>
            <w:r>
              <w:rPr>
                <w:spacing w:val="-1"/>
                <w:sz w:val="15"/>
              </w:rPr>
              <w:t>1,294,584,557.09</w:t>
            </w:r>
          </w:p>
        </w:tc>
        <w:tc>
          <w:tcPr>
            <w:tcW w:w="1273" w:type="dxa"/>
            <w:tcBorders>
              <w:top w:val="single" w:sz="4" w:space="0" w:color="000000"/>
              <w:left w:val="single" w:sz="4" w:space="0" w:color="000000"/>
            </w:tcBorders>
          </w:tcPr>
          <w:p>
            <w:pPr>
              <w:pStyle w:val="TableParagraph"/>
              <w:spacing w:before="102"/>
              <w:ind w:right="-29"/>
              <w:jc w:val="right"/>
              <w:rPr>
                <w:sz w:val="15"/>
              </w:rPr>
            </w:pPr>
            <w:r>
              <w:rPr>
                <w:sz w:val="15"/>
              </w:rPr>
              <w:t>68,111,007,171.64</w:t>
            </w:r>
          </w:p>
        </w:tc>
      </w:tr>
    </w:tbl>
    <w:p>
      <w:pPr>
        <w:pStyle w:val="BodyText"/>
        <w:spacing w:before="4"/>
        <w:ind w:left="1404"/>
      </w:pPr>
      <w:r>
        <w:rPr>
          <w:w w:val="100"/>
        </w:rPr>
        <w:t> </w:t>
      </w:r>
    </w:p>
    <w:p>
      <w:pPr>
        <w:pStyle w:val="BodyText"/>
        <w:rPr>
          <w:sz w:val="19"/>
        </w:rPr>
      </w:pPr>
    </w:p>
    <w:tbl>
      <w:tblPr>
        <w:tblW w:w="0" w:type="auto"/>
        <w:jc w:val="left"/>
        <w:tblInd w:w="14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47"/>
        <w:gridCol w:w="1135"/>
        <w:gridCol w:w="571"/>
        <w:gridCol w:w="569"/>
        <w:gridCol w:w="1140"/>
        <w:gridCol w:w="1280"/>
        <w:gridCol w:w="991"/>
        <w:gridCol w:w="1130"/>
        <w:gridCol w:w="571"/>
        <w:gridCol w:w="1126"/>
        <w:gridCol w:w="852"/>
        <w:gridCol w:w="1274"/>
        <w:gridCol w:w="398"/>
        <w:gridCol w:w="1303"/>
        <w:gridCol w:w="1130"/>
        <w:gridCol w:w="1276"/>
      </w:tblGrid>
      <w:tr>
        <w:trPr>
          <w:trHeight w:val="239" w:hRule="atLeast"/>
        </w:trPr>
        <w:tc>
          <w:tcPr>
            <w:tcW w:w="847" w:type="dxa"/>
            <w:vMerge w:val="restart"/>
            <w:tcBorders>
              <w:bottom w:val="single" w:sz="4" w:space="0" w:color="000000"/>
              <w:right w:val="single" w:sz="4" w:space="0" w:color="000000"/>
            </w:tcBorders>
            <w:shd w:val="clear" w:color="auto" w:fill="EDEBE0"/>
          </w:tcPr>
          <w:p>
            <w:pPr>
              <w:pStyle w:val="TableParagraph"/>
              <w:rPr>
                <w:rFonts w:ascii="宋体"/>
                <w:sz w:val="14"/>
              </w:rPr>
            </w:pPr>
          </w:p>
          <w:p>
            <w:pPr>
              <w:pStyle w:val="TableParagraph"/>
              <w:rPr>
                <w:rFonts w:ascii="宋体"/>
                <w:sz w:val="14"/>
              </w:rPr>
            </w:pPr>
          </w:p>
          <w:p>
            <w:pPr>
              <w:pStyle w:val="TableParagraph"/>
              <w:rPr>
                <w:rFonts w:ascii="宋体"/>
                <w:sz w:val="14"/>
              </w:rPr>
            </w:pPr>
          </w:p>
          <w:p>
            <w:pPr>
              <w:pStyle w:val="TableParagraph"/>
              <w:spacing w:before="3"/>
              <w:rPr>
                <w:rFonts w:ascii="宋体"/>
                <w:sz w:val="11"/>
              </w:rPr>
            </w:pPr>
          </w:p>
          <w:p>
            <w:pPr>
              <w:pStyle w:val="TableParagraph"/>
              <w:ind w:left="275"/>
              <w:rPr>
                <w:rFonts w:ascii="宋体" w:eastAsia="宋体" w:hint="eastAsia"/>
                <w:sz w:val="15"/>
              </w:rPr>
            </w:pPr>
            <w:r>
              <w:rPr>
                <w:rFonts w:ascii="宋体" w:eastAsia="宋体" w:hint="eastAsia"/>
                <w:sz w:val="15"/>
              </w:rPr>
              <w:t>项目</w:t>
            </w:r>
          </w:p>
        </w:tc>
        <w:tc>
          <w:tcPr>
            <w:tcW w:w="14746" w:type="dxa"/>
            <w:gridSpan w:val="15"/>
            <w:tcBorders>
              <w:left w:val="single" w:sz="4" w:space="0" w:color="000000"/>
              <w:bottom w:val="single" w:sz="4" w:space="0" w:color="000000"/>
            </w:tcBorders>
            <w:shd w:val="clear" w:color="auto" w:fill="EDEBE0"/>
          </w:tcPr>
          <w:p>
            <w:pPr>
              <w:pStyle w:val="TableParagraph"/>
              <w:spacing w:line="173" w:lineRule="exact" w:before="46"/>
              <w:ind w:left="7884" w:right="6163"/>
              <w:jc w:val="center"/>
              <w:rPr>
                <w:rFonts w:ascii="宋体" w:eastAsia="宋体" w:hint="eastAsia"/>
                <w:sz w:val="15"/>
              </w:rPr>
            </w:pPr>
            <w:r>
              <w:rPr>
                <w:sz w:val="15"/>
              </w:rPr>
              <w:t>2019 </w:t>
            </w:r>
            <w:r>
              <w:rPr>
                <w:rFonts w:ascii="宋体" w:eastAsia="宋体" w:hint="eastAsia"/>
                <w:sz w:val="15"/>
              </w:rPr>
              <w:t>年度</w:t>
            </w:r>
          </w:p>
        </w:tc>
      </w:tr>
      <w:tr>
        <w:trPr>
          <w:trHeight w:val="472" w:hRule="atLeast"/>
        </w:trPr>
        <w:tc>
          <w:tcPr>
            <w:tcW w:w="847" w:type="dxa"/>
            <w:vMerge/>
            <w:tcBorders>
              <w:top w:val="nil"/>
              <w:bottom w:val="single" w:sz="4" w:space="0" w:color="000000"/>
              <w:right w:val="single" w:sz="4" w:space="0" w:color="000000"/>
            </w:tcBorders>
            <w:shd w:val="clear" w:color="auto" w:fill="EDEBE0"/>
          </w:tcPr>
          <w:p>
            <w:pPr>
              <w:rPr>
                <w:sz w:val="2"/>
                <w:szCs w:val="2"/>
              </w:rPr>
            </w:pPr>
          </w:p>
        </w:tc>
        <w:tc>
          <w:tcPr>
            <w:tcW w:w="12340" w:type="dxa"/>
            <w:gridSpan w:val="13"/>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12"/>
              <w:rPr>
                <w:rFonts w:ascii="宋体"/>
                <w:sz w:val="10"/>
              </w:rPr>
            </w:pPr>
          </w:p>
          <w:p>
            <w:pPr>
              <w:pStyle w:val="TableParagraph"/>
              <w:ind w:left="5336" w:right="5302"/>
              <w:jc w:val="center"/>
              <w:rPr>
                <w:rFonts w:ascii="宋体" w:eastAsia="宋体" w:hint="eastAsia"/>
                <w:sz w:val="15"/>
              </w:rPr>
            </w:pPr>
            <w:r>
              <w:rPr>
                <w:rFonts w:ascii="宋体" w:eastAsia="宋体" w:hint="eastAsia"/>
                <w:sz w:val="15"/>
              </w:rPr>
              <w:t>归属于母公司所有者权益</w:t>
            </w:r>
          </w:p>
        </w:tc>
        <w:tc>
          <w:tcPr>
            <w:tcW w:w="1130" w:type="dxa"/>
            <w:vMerge w:val="restart"/>
            <w:tcBorders>
              <w:top w:val="single" w:sz="4" w:space="0" w:color="000000"/>
              <w:left w:val="single" w:sz="4" w:space="0" w:color="000000"/>
              <w:bottom w:val="single" w:sz="4" w:space="0" w:color="000000"/>
              <w:right w:val="single" w:sz="4" w:space="0" w:color="000000"/>
            </w:tcBorders>
            <w:shd w:val="clear" w:color="auto" w:fill="EDEBE0"/>
          </w:tcPr>
          <w:p>
            <w:pPr>
              <w:pStyle w:val="TableParagraph"/>
              <w:rPr>
                <w:rFonts w:ascii="宋体"/>
                <w:sz w:val="14"/>
              </w:rPr>
            </w:pPr>
          </w:p>
          <w:p>
            <w:pPr>
              <w:pStyle w:val="TableParagraph"/>
              <w:rPr>
                <w:rFonts w:ascii="宋体"/>
                <w:sz w:val="14"/>
              </w:rPr>
            </w:pPr>
          </w:p>
          <w:p>
            <w:pPr>
              <w:pStyle w:val="TableParagraph"/>
              <w:spacing w:before="11"/>
              <w:rPr>
                <w:rFonts w:ascii="宋体"/>
                <w:sz w:val="13"/>
              </w:rPr>
            </w:pPr>
          </w:p>
          <w:p>
            <w:pPr>
              <w:pStyle w:val="TableParagraph"/>
              <w:ind w:left="127"/>
              <w:rPr>
                <w:rFonts w:ascii="宋体" w:eastAsia="宋体" w:hint="eastAsia"/>
                <w:sz w:val="15"/>
              </w:rPr>
            </w:pPr>
            <w:r>
              <w:rPr>
                <w:rFonts w:ascii="宋体" w:eastAsia="宋体" w:hint="eastAsia"/>
                <w:sz w:val="15"/>
              </w:rPr>
              <w:t>少数股东权益</w:t>
            </w:r>
          </w:p>
        </w:tc>
        <w:tc>
          <w:tcPr>
            <w:tcW w:w="1276" w:type="dxa"/>
            <w:vMerge w:val="restart"/>
            <w:tcBorders>
              <w:top w:val="single" w:sz="4" w:space="0" w:color="000000"/>
              <w:left w:val="single" w:sz="4" w:space="0" w:color="000000"/>
              <w:bottom w:val="single" w:sz="4" w:space="0" w:color="000000"/>
            </w:tcBorders>
            <w:shd w:val="clear" w:color="auto" w:fill="EDEBE0"/>
          </w:tcPr>
          <w:p>
            <w:pPr>
              <w:pStyle w:val="TableParagraph"/>
              <w:rPr>
                <w:rFonts w:ascii="宋体"/>
                <w:sz w:val="14"/>
              </w:rPr>
            </w:pPr>
          </w:p>
          <w:p>
            <w:pPr>
              <w:pStyle w:val="TableParagraph"/>
              <w:rPr>
                <w:rFonts w:ascii="宋体"/>
                <w:sz w:val="14"/>
              </w:rPr>
            </w:pPr>
          </w:p>
          <w:p>
            <w:pPr>
              <w:pStyle w:val="TableParagraph"/>
              <w:spacing w:before="11"/>
              <w:rPr>
                <w:rFonts w:ascii="宋体"/>
                <w:sz w:val="13"/>
              </w:rPr>
            </w:pPr>
          </w:p>
          <w:p>
            <w:pPr>
              <w:pStyle w:val="TableParagraph"/>
              <w:ind w:left="127"/>
              <w:rPr>
                <w:rFonts w:ascii="宋体" w:eastAsia="宋体" w:hint="eastAsia"/>
                <w:sz w:val="15"/>
              </w:rPr>
            </w:pPr>
            <w:r>
              <w:rPr>
                <w:rFonts w:ascii="宋体" w:eastAsia="宋体" w:hint="eastAsia"/>
                <w:sz w:val="15"/>
              </w:rPr>
              <w:t>所有者权益合计</w:t>
            </w:r>
          </w:p>
        </w:tc>
      </w:tr>
      <w:tr>
        <w:trPr>
          <w:trHeight w:val="381" w:hRule="atLeast"/>
        </w:trPr>
        <w:tc>
          <w:tcPr>
            <w:tcW w:w="847" w:type="dxa"/>
            <w:vMerge/>
            <w:tcBorders>
              <w:top w:val="nil"/>
              <w:bottom w:val="single" w:sz="4" w:space="0" w:color="000000"/>
              <w:right w:val="single" w:sz="4" w:space="0" w:color="000000"/>
            </w:tcBorders>
            <w:shd w:val="clear" w:color="auto" w:fill="EDEBE0"/>
          </w:tcPr>
          <w:p>
            <w:pPr>
              <w:rPr>
                <w:sz w:val="2"/>
                <w:szCs w:val="2"/>
              </w:rPr>
            </w:pPr>
          </w:p>
        </w:tc>
        <w:tc>
          <w:tcPr>
            <w:tcW w:w="1135" w:type="dxa"/>
            <w:vMerge w:val="restart"/>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5"/>
              <w:rPr>
                <w:rFonts w:ascii="宋体"/>
                <w:sz w:val="15"/>
              </w:rPr>
            </w:pPr>
          </w:p>
          <w:p>
            <w:pPr>
              <w:pStyle w:val="TableParagraph"/>
              <w:spacing w:line="300" w:lineRule="auto"/>
              <w:ind w:left="403" w:right="102" w:hanging="262"/>
              <w:rPr>
                <w:sz w:val="15"/>
              </w:rPr>
            </w:pPr>
            <w:r>
              <w:rPr>
                <w:rFonts w:ascii="宋体" w:eastAsia="宋体" w:hint="eastAsia"/>
                <w:sz w:val="15"/>
              </w:rPr>
              <w:t>实收资本 </w:t>
            </w:r>
            <w:r>
              <w:rPr>
                <w:sz w:val="15"/>
              </w:rPr>
              <w:t>(</w:t>
            </w:r>
            <w:r>
              <w:rPr>
                <w:rFonts w:ascii="宋体" w:eastAsia="宋体" w:hint="eastAsia"/>
                <w:sz w:val="15"/>
              </w:rPr>
              <w:t>或股本</w:t>
            </w:r>
            <w:r>
              <w:rPr>
                <w:sz w:val="15"/>
              </w:rPr>
              <w:t>)</w:t>
            </w:r>
          </w:p>
        </w:tc>
        <w:tc>
          <w:tcPr>
            <w:tcW w:w="2280" w:type="dxa"/>
            <w:gridSpan w:val="3"/>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118"/>
              <w:ind w:left="701"/>
              <w:rPr>
                <w:rFonts w:ascii="宋体" w:eastAsia="宋体" w:hint="eastAsia"/>
                <w:sz w:val="15"/>
              </w:rPr>
            </w:pPr>
            <w:r>
              <w:rPr>
                <w:rFonts w:ascii="宋体" w:eastAsia="宋体" w:hint="eastAsia"/>
                <w:sz w:val="15"/>
              </w:rPr>
              <w:t>其他权益工具</w:t>
            </w:r>
          </w:p>
        </w:tc>
        <w:tc>
          <w:tcPr>
            <w:tcW w:w="1280" w:type="dxa"/>
            <w:vMerge w:val="restart"/>
            <w:tcBorders>
              <w:top w:val="single" w:sz="4" w:space="0" w:color="000000"/>
              <w:left w:val="single" w:sz="4" w:space="0" w:color="000000"/>
              <w:bottom w:val="single" w:sz="4" w:space="0" w:color="000000"/>
              <w:right w:val="single" w:sz="4" w:space="0" w:color="000000"/>
            </w:tcBorders>
            <w:shd w:val="clear" w:color="auto" w:fill="EDEBE0"/>
          </w:tcPr>
          <w:p>
            <w:pPr>
              <w:pStyle w:val="TableParagraph"/>
              <w:rPr>
                <w:rFonts w:ascii="宋体"/>
                <w:sz w:val="14"/>
              </w:rPr>
            </w:pPr>
          </w:p>
          <w:p>
            <w:pPr>
              <w:pStyle w:val="TableParagraph"/>
              <w:spacing w:before="10"/>
              <w:rPr>
                <w:rFonts w:ascii="宋体"/>
                <w:sz w:val="10"/>
              </w:rPr>
            </w:pPr>
          </w:p>
          <w:p>
            <w:pPr>
              <w:pStyle w:val="TableParagraph"/>
              <w:ind w:left="350"/>
              <w:rPr>
                <w:rFonts w:ascii="宋体" w:eastAsia="宋体" w:hint="eastAsia"/>
                <w:sz w:val="15"/>
              </w:rPr>
            </w:pPr>
            <w:r>
              <w:rPr>
                <w:rFonts w:ascii="宋体" w:eastAsia="宋体" w:hint="eastAsia"/>
                <w:sz w:val="15"/>
              </w:rPr>
              <w:t>资本公积</w:t>
            </w:r>
          </w:p>
        </w:tc>
        <w:tc>
          <w:tcPr>
            <w:tcW w:w="991" w:type="dxa"/>
            <w:vMerge w:val="restart"/>
            <w:tcBorders>
              <w:top w:val="single" w:sz="4" w:space="0" w:color="000000"/>
              <w:left w:val="single" w:sz="4" w:space="0" w:color="000000"/>
              <w:bottom w:val="single" w:sz="4" w:space="0" w:color="000000"/>
              <w:right w:val="single" w:sz="4" w:space="0" w:color="000000"/>
            </w:tcBorders>
            <w:shd w:val="clear" w:color="auto" w:fill="EDEBE0"/>
          </w:tcPr>
          <w:p>
            <w:pPr>
              <w:pStyle w:val="TableParagraph"/>
              <w:rPr>
                <w:rFonts w:ascii="宋体"/>
                <w:sz w:val="14"/>
              </w:rPr>
            </w:pPr>
          </w:p>
          <w:p>
            <w:pPr>
              <w:pStyle w:val="TableParagraph"/>
              <w:spacing w:before="10"/>
              <w:rPr>
                <w:rFonts w:ascii="宋体"/>
                <w:sz w:val="10"/>
              </w:rPr>
            </w:pPr>
          </w:p>
          <w:p>
            <w:pPr>
              <w:pStyle w:val="TableParagraph"/>
              <w:ind w:left="130"/>
              <w:rPr>
                <w:rFonts w:ascii="宋体" w:eastAsia="宋体" w:hint="eastAsia"/>
                <w:sz w:val="15"/>
              </w:rPr>
            </w:pPr>
            <w:r>
              <w:rPr>
                <w:rFonts w:ascii="宋体" w:eastAsia="宋体" w:hint="eastAsia"/>
                <w:sz w:val="15"/>
              </w:rPr>
              <w:t>减：库存股</w:t>
            </w:r>
          </w:p>
        </w:tc>
        <w:tc>
          <w:tcPr>
            <w:tcW w:w="1130" w:type="dxa"/>
            <w:vMerge w:val="restart"/>
            <w:tcBorders>
              <w:top w:val="single" w:sz="4" w:space="0" w:color="000000"/>
              <w:left w:val="single" w:sz="4" w:space="0" w:color="000000"/>
              <w:bottom w:val="single" w:sz="4" w:space="0" w:color="000000"/>
              <w:right w:val="single" w:sz="4" w:space="0" w:color="000000"/>
            </w:tcBorders>
            <w:shd w:val="clear" w:color="auto" w:fill="EDEBE0"/>
          </w:tcPr>
          <w:p>
            <w:pPr>
              <w:pStyle w:val="TableParagraph"/>
              <w:rPr>
                <w:rFonts w:ascii="宋体"/>
                <w:sz w:val="14"/>
              </w:rPr>
            </w:pPr>
          </w:p>
          <w:p>
            <w:pPr>
              <w:pStyle w:val="TableParagraph"/>
              <w:spacing w:before="10"/>
              <w:rPr>
                <w:rFonts w:ascii="宋体"/>
                <w:sz w:val="10"/>
              </w:rPr>
            </w:pPr>
          </w:p>
          <w:p>
            <w:pPr>
              <w:pStyle w:val="TableParagraph"/>
              <w:ind w:left="125"/>
              <w:rPr>
                <w:rFonts w:ascii="宋体" w:eastAsia="宋体" w:hint="eastAsia"/>
                <w:sz w:val="15"/>
              </w:rPr>
            </w:pPr>
            <w:r>
              <w:rPr>
                <w:rFonts w:ascii="宋体" w:eastAsia="宋体" w:hint="eastAsia"/>
                <w:sz w:val="15"/>
              </w:rPr>
              <w:t>其他综合收益</w:t>
            </w:r>
          </w:p>
        </w:tc>
        <w:tc>
          <w:tcPr>
            <w:tcW w:w="571" w:type="dxa"/>
            <w:vMerge w:val="restart"/>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5"/>
              <w:rPr>
                <w:rFonts w:ascii="宋体"/>
                <w:sz w:val="15"/>
              </w:rPr>
            </w:pPr>
          </w:p>
          <w:p>
            <w:pPr>
              <w:pStyle w:val="TableParagraph"/>
              <w:spacing w:line="300" w:lineRule="auto"/>
              <w:ind w:left="145" w:right="111"/>
              <w:rPr>
                <w:rFonts w:ascii="宋体" w:eastAsia="宋体" w:hint="eastAsia"/>
                <w:sz w:val="15"/>
              </w:rPr>
            </w:pPr>
            <w:r>
              <w:rPr>
                <w:rFonts w:ascii="宋体" w:eastAsia="宋体" w:hint="eastAsia"/>
                <w:sz w:val="15"/>
              </w:rPr>
              <w:t>专项储备</w:t>
            </w:r>
          </w:p>
        </w:tc>
        <w:tc>
          <w:tcPr>
            <w:tcW w:w="1126" w:type="dxa"/>
            <w:vMerge w:val="restart"/>
            <w:tcBorders>
              <w:top w:val="single" w:sz="4" w:space="0" w:color="000000"/>
              <w:left w:val="single" w:sz="4" w:space="0" w:color="000000"/>
              <w:bottom w:val="single" w:sz="4" w:space="0" w:color="000000"/>
              <w:right w:val="single" w:sz="4" w:space="0" w:color="000000"/>
            </w:tcBorders>
            <w:shd w:val="clear" w:color="auto" w:fill="EDEBE0"/>
          </w:tcPr>
          <w:p>
            <w:pPr>
              <w:pStyle w:val="TableParagraph"/>
              <w:rPr>
                <w:rFonts w:ascii="宋体"/>
                <w:sz w:val="14"/>
              </w:rPr>
            </w:pPr>
          </w:p>
          <w:p>
            <w:pPr>
              <w:pStyle w:val="TableParagraph"/>
              <w:spacing w:before="10"/>
              <w:rPr>
                <w:rFonts w:ascii="宋体"/>
                <w:sz w:val="10"/>
              </w:rPr>
            </w:pPr>
          </w:p>
          <w:p>
            <w:pPr>
              <w:pStyle w:val="TableParagraph"/>
              <w:ind w:left="272"/>
              <w:rPr>
                <w:rFonts w:ascii="宋体" w:eastAsia="宋体" w:hint="eastAsia"/>
                <w:sz w:val="15"/>
              </w:rPr>
            </w:pPr>
            <w:r>
              <w:rPr>
                <w:rFonts w:ascii="宋体" w:eastAsia="宋体" w:hint="eastAsia"/>
                <w:sz w:val="15"/>
              </w:rPr>
              <w:t>盈余公积</w:t>
            </w:r>
          </w:p>
        </w:tc>
        <w:tc>
          <w:tcPr>
            <w:tcW w:w="852" w:type="dxa"/>
            <w:vMerge w:val="restart"/>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5"/>
              <w:rPr>
                <w:rFonts w:ascii="宋体"/>
                <w:sz w:val="15"/>
              </w:rPr>
            </w:pPr>
          </w:p>
          <w:p>
            <w:pPr>
              <w:pStyle w:val="TableParagraph"/>
              <w:spacing w:line="300" w:lineRule="auto"/>
              <w:ind w:left="286" w:right="102" w:hanging="152"/>
              <w:rPr>
                <w:rFonts w:ascii="宋体" w:eastAsia="宋体" w:hint="eastAsia"/>
                <w:sz w:val="15"/>
              </w:rPr>
            </w:pPr>
            <w:r>
              <w:rPr>
                <w:rFonts w:ascii="宋体" w:eastAsia="宋体" w:hint="eastAsia"/>
                <w:sz w:val="15"/>
              </w:rPr>
              <w:t>一般风险准备</w:t>
            </w:r>
          </w:p>
        </w:tc>
        <w:tc>
          <w:tcPr>
            <w:tcW w:w="1274" w:type="dxa"/>
            <w:vMerge w:val="restart"/>
            <w:tcBorders>
              <w:top w:val="single" w:sz="4" w:space="0" w:color="000000"/>
              <w:left w:val="single" w:sz="4" w:space="0" w:color="000000"/>
              <w:bottom w:val="single" w:sz="4" w:space="0" w:color="000000"/>
              <w:right w:val="single" w:sz="4" w:space="0" w:color="000000"/>
            </w:tcBorders>
            <w:shd w:val="clear" w:color="auto" w:fill="EDEBE0"/>
          </w:tcPr>
          <w:p>
            <w:pPr>
              <w:pStyle w:val="TableParagraph"/>
              <w:rPr>
                <w:rFonts w:ascii="宋体"/>
                <w:sz w:val="14"/>
              </w:rPr>
            </w:pPr>
          </w:p>
          <w:p>
            <w:pPr>
              <w:pStyle w:val="TableParagraph"/>
              <w:spacing w:before="10"/>
              <w:rPr>
                <w:rFonts w:ascii="宋体"/>
                <w:sz w:val="10"/>
              </w:rPr>
            </w:pPr>
          </w:p>
          <w:p>
            <w:pPr>
              <w:pStyle w:val="TableParagraph"/>
              <w:ind w:left="272"/>
              <w:rPr>
                <w:rFonts w:ascii="宋体" w:eastAsia="宋体" w:hint="eastAsia"/>
                <w:sz w:val="15"/>
              </w:rPr>
            </w:pPr>
            <w:r>
              <w:rPr>
                <w:rFonts w:ascii="宋体" w:eastAsia="宋体" w:hint="eastAsia"/>
                <w:sz w:val="15"/>
              </w:rPr>
              <w:t>未分配利润</w:t>
            </w:r>
          </w:p>
        </w:tc>
        <w:tc>
          <w:tcPr>
            <w:tcW w:w="398" w:type="dxa"/>
            <w:vMerge w:val="restart"/>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5"/>
              <w:rPr>
                <w:rFonts w:ascii="宋体"/>
                <w:sz w:val="15"/>
              </w:rPr>
            </w:pPr>
          </w:p>
          <w:p>
            <w:pPr>
              <w:pStyle w:val="TableParagraph"/>
              <w:spacing w:line="242" w:lineRule="auto"/>
              <w:ind w:left="135" w:right="98"/>
              <w:rPr>
                <w:rFonts w:ascii="宋体" w:eastAsia="宋体" w:hint="eastAsia"/>
                <w:sz w:val="15"/>
              </w:rPr>
            </w:pPr>
            <w:r>
              <w:rPr>
                <w:rFonts w:ascii="宋体" w:eastAsia="宋体" w:hint="eastAsia"/>
                <w:sz w:val="15"/>
              </w:rPr>
              <w:t>其他</w:t>
            </w:r>
          </w:p>
        </w:tc>
        <w:tc>
          <w:tcPr>
            <w:tcW w:w="1303" w:type="dxa"/>
            <w:vMerge w:val="restart"/>
            <w:tcBorders>
              <w:top w:val="single" w:sz="4" w:space="0" w:color="000000"/>
              <w:left w:val="single" w:sz="4" w:space="0" w:color="000000"/>
              <w:bottom w:val="single" w:sz="4" w:space="0" w:color="000000"/>
              <w:right w:val="single" w:sz="4" w:space="0" w:color="000000"/>
            </w:tcBorders>
            <w:shd w:val="clear" w:color="auto" w:fill="EDEBE0"/>
          </w:tcPr>
          <w:p>
            <w:pPr>
              <w:pStyle w:val="TableParagraph"/>
              <w:rPr>
                <w:rFonts w:ascii="宋体"/>
                <w:sz w:val="14"/>
              </w:rPr>
            </w:pPr>
          </w:p>
          <w:p>
            <w:pPr>
              <w:pStyle w:val="TableParagraph"/>
              <w:spacing w:before="114"/>
              <w:ind w:left="97" w:right="60"/>
              <w:jc w:val="center"/>
              <w:rPr>
                <w:rFonts w:ascii="宋体" w:eastAsia="宋体" w:hint="eastAsia"/>
                <w:sz w:val="15"/>
              </w:rPr>
            </w:pPr>
            <w:r>
              <w:rPr>
                <w:rFonts w:ascii="宋体" w:eastAsia="宋体" w:hint="eastAsia"/>
                <w:sz w:val="15"/>
              </w:rPr>
              <w:t>小计</w:t>
            </w:r>
          </w:p>
        </w:tc>
        <w:tc>
          <w:tcPr>
            <w:tcW w:w="1130"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1276" w:type="dxa"/>
            <w:vMerge/>
            <w:tcBorders>
              <w:top w:val="nil"/>
              <w:left w:val="single" w:sz="4" w:space="0" w:color="000000"/>
              <w:bottom w:val="single" w:sz="4" w:space="0" w:color="000000"/>
            </w:tcBorders>
            <w:shd w:val="clear" w:color="auto" w:fill="EDEBE0"/>
          </w:tcPr>
          <w:p>
            <w:pPr>
              <w:rPr>
                <w:sz w:val="2"/>
                <w:szCs w:val="2"/>
              </w:rPr>
            </w:pPr>
          </w:p>
        </w:tc>
      </w:tr>
      <w:tr>
        <w:trPr>
          <w:trHeight w:val="390" w:hRule="atLeast"/>
        </w:trPr>
        <w:tc>
          <w:tcPr>
            <w:tcW w:w="847" w:type="dxa"/>
            <w:vMerge/>
            <w:tcBorders>
              <w:top w:val="nil"/>
              <w:bottom w:val="single" w:sz="4" w:space="0" w:color="000000"/>
              <w:right w:val="single" w:sz="4" w:space="0" w:color="000000"/>
            </w:tcBorders>
            <w:shd w:val="clear" w:color="auto" w:fill="EDEBE0"/>
          </w:tcPr>
          <w:p>
            <w:pPr>
              <w:rPr>
                <w:sz w:val="2"/>
                <w:szCs w:val="2"/>
              </w:rPr>
            </w:pPr>
          </w:p>
        </w:tc>
        <w:tc>
          <w:tcPr>
            <w:tcW w:w="1135"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571"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1"/>
              <w:ind w:left="128" w:right="93"/>
              <w:jc w:val="center"/>
              <w:rPr>
                <w:rFonts w:ascii="宋体" w:eastAsia="宋体" w:hint="eastAsia"/>
                <w:sz w:val="15"/>
              </w:rPr>
            </w:pPr>
            <w:r>
              <w:rPr>
                <w:rFonts w:ascii="宋体" w:eastAsia="宋体" w:hint="eastAsia"/>
                <w:sz w:val="15"/>
              </w:rPr>
              <w:t>优先</w:t>
            </w:r>
          </w:p>
          <w:p>
            <w:pPr>
              <w:pStyle w:val="TableParagraph"/>
              <w:spacing w:line="173" w:lineRule="exact" w:before="4"/>
              <w:ind w:left="33"/>
              <w:jc w:val="center"/>
              <w:rPr>
                <w:rFonts w:ascii="宋体" w:eastAsia="宋体" w:hint="eastAsia"/>
                <w:sz w:val="15"/>
              </w:rPr>
            </w:pPr>
            <w:r>
              <w:rPr>
                <w:rFonts w:ascii="宋体" w:eastAsia="宋体" w:hint="eastAsia"/>
                <w:w w:val="100"/>
                <w:sz w:val="15"/>
              </w:rPr>
              <w:t>股</w:t>
            </w:r>
          </w:p>
        </w:tc>
        <w:tc>
          <w:tcPr>
            <w:tcW w:w="569"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1"/>
              <w:ind w:left="147"/>
              <w:rPr>
                <w:rFonts w:ascii="宋体" w:eastAsia="宋体" w:hint="eastAsia"/>
                <w:sz w:val="15"/>
              </w:rPr>
            </w:pPr>
            <w:r>
              <w:rPr>
                <w:rFonts w:ascii="宋体" w:eastAsia="宋体" w:hint="eastAsia"/>
                <w:sz w:val="15"/>
              </w:rPr>
              <w:t>永续</w:t>
            </w:r>
          </w:p>
          <w:p>
            <w:pPr>
              <w:pStyle w:val="TableParagraph"/>
              <w:spacing w:line="173" w:lineRule="exact" w:before="4"/>
              <w:ind w:left="221"/>
              <w:rPr>
                <w:rFonts w:ascii="宋体" w:eastAsia="宋体" w:hint="eastAsia"/>
                <w:sz w:val="15"/>
              </w:rPr>
            </w:pPr>
            <w:r>
              <w:rPr>
                <w:rFonts w:ascii="宋体" w:eastAsia="宋体" w:hint="eastAsia"/>
                <w:w w:val="100"/>
                <w:sz w:val="15"/>
              </w:rPr>
              <w:t>债</w:t>
            </w:r>
          </w:p>
        </w:tc>
        <w:tc>
          <w:tcPr>
            <w:tcW w:w="1140"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99"/>
              <w:ind w:left="411" w:right="379"/>
              <w:jc w:val="center"/>
              <w:rPr>
                <w:rFonts w:ascii="宋体" w:eastAsia="宋体" w:hint="eastAsia"/>
                <w:sz w:val="15"/>
              </w:rPr>
            </w:pPr>
            <w:r>
              <w:rPr>
                <w:rFonts w:ascii="宋体" w:eastAsia="宋体" w:hint="eastAsia"/>
                <w:sz w:val="15"/>
              </w:rPr>
              <w:t>其他</w:t>
            </w:r>
          </w:p>
        </w:tc>
        <w:tc>
          <w:tcPr>
            <w:tcW w:w="1280"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991"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1130"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571"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1126"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852"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1274"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398"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1303"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1130"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1276" w:type="dxa"/>
            <w:vMerge/>
            <w:tcBorders>
              <w:top w:val="nil"/>
              <w:left w:val="single" w:sz="4" w:space="0" w:color="000000"/>
              <w:bottom w:val="single" w:sz="4" w:space="0" w:color="000000"/>
            </w:tcBorders>
            <w:shd w:val="clear" w:color="auto" w:fill="EDEBE0"/>
          </w:tcPr>
          <w:p>
            <w:pPr>
              <w:rPr>
                <w:sz w:val="2"/>
                <w:szCs w:val="2"/>
              </w:rPr>
            </w:pPr>
          </w:p>
        </w:tc>
      </w:tr>
      <w:tr>
        <w:trPr>
          <w:trHeight w:val="388" w:hRule="atLeast"/>
        </w:trPr>
        <w:tc>
          <w:tcPr>
            <w:tcW w:w="847" w:type="dxa"/>
            <w:tcBorders>
              <w:top w:val="single" w:sz="4" w:space="0" w:color="000000"/>
              <w:bottom w:val="single" w:sz="4" w:space="0" w:color="000000"/>
              <w:right w:val="single" w:sz="4" w:space="0" w:color="000000"/>
            </w:tcBorders>
          </w:tcPr>
          <w:p>
            <w:pPr>
              <w:pStyle w:val="TableParagraph"/>
              <w:spacing w:before="1"/>
              <w:ind w:left="109"/>
              <w:rPr>
                <w:rFonts w:ascii="宋体" w:eastAsia="宋体" w:hint="eastAsia"/>
                <w:sz w:val="15"/>
              </w:rPr>
            </w:pPr>
            <w:r>
              <w:rPr>
                <w:rFonts w:ascii="宋体" w:eastAsia="宋体" w:hint="eastAsia"/>
                <w:spacing w:val="-1"/>
                <w:sz w:val="15"/>
              </w:rPr>
              <w:t>一、上年</w:t>
            </w:r>
          </w:p>
          <w:p>
            <w:pPr>
              <w:pStyle w:val="TableParagraph"/>
              <w:spacing w:line="173" w:lineRule="exact" w:before="2"/>
              <w:ind w:left="109"/>
              <w:rPr>
                <w:rFonts w:ascii="宋体" w:eastAsia="宋体" w:hint="eastAsia"/>
                <w:sz w:val="15"/>
              </w:rPr>
            </w:pPr>
            <w:r>
              <w:rPr>
                <w:rFonts w:ascii="宋体" w:eastAsia="宋体" w:hint="eastAsia"/>
                <w:spacing w:val="-1"/>
                <w:sz w:val="15"/>
              </w:rPr>
              <w:t>年末余额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before="102"/>
              <w:ind w:right="-29"/>
              <w:jc w:val="right"/>
              <w:rPr>
                <w:sz w:val="15"/>
              </w:rPr>
            </w:pPr>
            <w:r>
              <w:rPr>
                <w:sz w:val="15"/>
              </w:rPr>
              <w:t>6,368,416,700.00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102"/>
              <w:ind w:right="-15"/>
              <w:jc w:val="right"/>
              <w:rPr>
                <w:sz w:val="15"/>
              </w:rPr>
            </w:pPr>
            <w:r>
              <w:rPr>
                <w:sz w:val="15"/>
              </w:rPr>
              <w:t>904,485,788.71</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before="102"/>
              <w:ind w:right="-15"/>
              <w:jc w:val="right"/>
              <w:rPr>
                <w:sz w:val="15"/>
              </w:rPr>
            </w:pPr>
            <w:r>
              <w:rPr>
                <w:sz w:val="15"/>
              </w:rPr>
              <w:t>2,208,773,474.57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before="102"/>
              <w:ind w:right="-15"/>
              <w:jc w:val="right"/>
              <w:rPr>
                <w:sz w:val="15"/>
              </w:rPr>
            </w:pPr>
            <w:r>
              <w:rPr>
                <w:sz w:val="15"/>
              </w:rPr>
              <w:t>772,632,347.35</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before="102"/>
              <w:ind w:right="-29"/>
              <w:jc w:val="right"/>
              <w:rPr>
                <w:sz w:val="15"/>
              </w:rPr>
            </w:pPr>
            <w:r>
              <w:rPr>
                <w:sz w:val="15"/>
              </w:rPr>
              <w:t>2,288,301,317.10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13"/>
              </w:rPr>
            </w:pPr>
          </w:p>
          <w:p>
            <w:pPr>
              <w:pStyle w:val="TableParagraph"/>
              <w:ind w:right="157"/>
              <w:jc w:val="right"/>
              <w:rPr>
                <w:sz w:val="15"/>
              </w:rPr>
            </w:pPr>
            <w:r>
              <w:rPr>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102"/>
              <w:ind w:right="-29"/>
              <w:jc w:val="right"/>
              <w:rPr>
                <w:sz w:val="15"/>
              </w:rPr>
            </w:pPr>
            <w:r>
              <w:rPr>
                <w:sz w:val="15"/>
              </w:rPr>
              <w:t>26,859,741,163.95</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before="102"/>
              <w:ind w:right="-29"/>
              <w:jc w:val="right"/>
              <w:rPr>
                <w:sz w:val="15"/>
              </w:rPr>
            </w:pPr>
            <w:r>
              <w:rPr>
                <w:sz w:val="15"/>
              </w:rPr>
              <w:t>39,402,350,791.68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before="102"/>
              <w:ind w:right="-29"/>
              <w:jc w:val="right"/>
              <w:rPr>
                <w:sz w:val="15"/>
              </w:rPr>
            </w:pPr>
            <w:r>
              <w:rPr>
                <w:sz w:val="15"/>
              </w:rPr>
              <w:t>15,727,928,145.82</w:t>
            </w:r>
          </w:p>
        </w:tc>
        <w:tc>
          <w:tcPr>
            <w:tcW w:w="1276" w:type="dxa"/>
            <w:tcBorders>
              <w:top w:val="single" w:sz="4" w:space="0" w:color="000000"/>
              <w:left w:val="single" w:sz="4" w:space="0" w:color="000000"/>
              <w:bottom w:val="single" w:sz="4" w:space="0" w:color="000000"/>
            </w:tcBorders>
          </w:tcPr>
          <w:p>
            <w:pPr>
              <w:pStyle w:val="TableParagraph"/>
              <w:spacing w:before="102"/>
              <w:ind w:right="-44"/>
              <w:jc w:val="right"/>
              <w:rPr>
                <w:sz w:val="15"/>
              </w:rPr>
            </w:pPr>
            <w:r>
              <w:rPr>
                <w:sz w:val="15"/>
              </w:rPr>
              <w:t>55,130,278,937.50</w:t>
            </w:r>
          </w:p>
        </w:tc>
      </w:tr>
      <w:tr>
        <w:trPr>
          <w:trHeight w:val="388" w:hRule="atLeast"/>
        </w:trPr>
        <w:tc>
          <w:tcPr>
            <w:tcW w:w="847" w:type="dxa"/>
            <w:tcBorders>
              <w:top w:val="single" w:sz="4" w:space="0" w:color="000000"/>
              <w:bottom w:val="single" w:sz="4" w:space="0" w:color="000000"/>
              <w:right w:val="single" w:sz="4" w:space="0" w:color="000000"/>
            </w:tcBorders>
          </w:tcPr>
          <w:p>
            <w:pPr>
              <w:pStyle w:val="TableParagraph"/>
              <w:spacing w:before="1"/>
              <w:ind w:left="109"/>
              <w:rPr>
                <w:rFonts w:ascii="宋体" w:eastAsia="宋体" w:hint="eastAsia"/>
                <w:sz w:val="15"/>
              </w:rPr>
            </w:pPr>
            <w:r>
              <w:rPr>
                <w:rFonts w:ascii="宋体" w:eastAsia="宋体" w:hint="eastAsia"/>
                <w:spacing w:val="-1"/>
                <w:sz w:val="15"/>
              </w:rPr>
              <w:t>加：会计</w:t>
            </w:r>
          </w:p>
          <w:p>
            <w:pPr>
              <w:pStyle w:val="TableParagraph"/>
              <w:spacing w:line="173" w:lineRule="exact" w:before="2"/>
              <w:ind w:left="109"/>
              <w:rPr>
                <w:rFonts w:ascii="宋体" w:eastAsia="宋体" w:hint="eastAsia"/>
                <w:sz w:val="15"/>
              </w:rPr>
            </w:pPr>
            <w:r>
              <w:rPr>
                <w:rFonts w:ascii="宋体" w:eastAsia="宋体" w:hint="eastAsia"/>
                <w:spacing w:val="-1"/>
                <w:sz w:val="15"/>
              </w:rPr>
              <w:t>政策变更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39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6" w:type="dxa"/>
            <w:tcBorders>
              <w:top w:val="single" w:sz="4" w:space="0" w:color="000000"/>
              <w:left w:val="single" w:sz="4" w:space="0" w:color="000000"/>
              <w:bottom w:val="single" w:sz="4" w:space="0" w:color="000000"/>
            </w:tcBorders>
          </w:tcPr>
          <w:p>
            <w:pPr>
              <w:pStyle w:val="TableParagraph"/>
              <w:spacing w:before="9"/>
              <w:rPr>
                <w:rFonts w:ascii="宋体"/>
                <w:sz w:val="14"/>
              </w:rPr>
            </w:pPr>
          </w:p>
          <w:p>
            <w:pPr>
              <w:pStyle w:val="TableParagraph"/>
              <w:ind w:right="38"/>
              <w:jc w:val="right"/>
              <w:rPr>
                <w:sz w:val="15"/>
              </w:rPr>
            </w:pPr>
            <w:r>
              <w:rPr>
                <w:w w:val="100"/>
                <w:sz w:val="15"/>
              </w:rPr>
              <w:t>-</w:t>
            </w:r>
          </w:p>
        </w:tc>
      </w:tr>
      <w:tr>
        <w:trPr>
          <w:trHeight w:val="388" w:hRule="atLeast"/>
        </w:trPr>
        <w:tc>
          <w:tcPr>
            <w:tcW w:w="847" w:type="dxa"/>
            <w:tcBorders>
              <w:top w:val="single" w:sz="4" w:space="0" w:color="000000"/>
              <w:bottom w:val="single" w:sz="4" w:space="0" w:color="000000"/>
              <w:right w:val="single" w:sz="4" w:space="0" w:color="000000"/>
            </w:tcBorders>
          </w:tcPr>
          <w:p>
            <w:pPr>
              <w:pStyle w:val="TableParagraph"/>
              <w:spacing w:before="1"/>
              <w:ind w:right="112"/>
              <w:jc w:val="right"/>
              <w:rPr>
                <w:rFonts w:ascii="宋体" w:eastAsia="宋体" w:hint="eastAsia"/>
                <w:sz w:val="15"/>
              </w:rPr>
            </w:pPr>
            <w:r>
              <w:rPr>
                <w:rFonts w:ascii="宋体" w:eastAsia="宋体" w:hint="eastAsia"/>
                <w:sz w:val="15"/>
              </w:rPr>
              <w:t>前期</w:t>
            </w:r>
          </w:p>
          <w:p>
            <w:pPr>
              <w:pStyle w:val="TableParagraph"/>
              <w:spacing w:line="173" w:lineRule="exact" w:before="2"/>
              <w:ind w:right="112"/>
              <w:jc w:val="right"/>
              <w:rPr>
                <w:rFonts w:ascii="宋体" w:eastAsia="宋体" w:hint="eastAsia"/>
                <w:sz w:val="15"/>
              </w:rPr>
            </w:pPr>
            <w:r>
              <w:rPr>
                <w:rFonts w:ascii="宋体" w:eastAsia="宋体" w:hint="eastAsia"/>
                <w:spacing w:val="-1"/>
                <w:sz w:val="15"/>
              </w:rPr>
              <w:t>差错更正</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39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6" w:type="dxa"/>
            <w:tcBorders>
              <w:top w:val="single" w:sz="4" w:space="0" w:color="000000"/>
              <w:left w:val="single" w:sz="4" w:space="0" w:color="000000"/>
              <w:bottom w:val="single" w:sz="4" w:space="0" w:color="000000"/>
            </w:tcBorders>
          </w:tcPr>
          <w:p>
            <w:pPr>
              <w:pStyle w:val="TableParagraph"/>
              <w:spacing w:before="9"/>
              <w:rPr>
                <w:rFonts w:ascii="宋体"/>
                <w:sz w:val="14"/>
              </w:rPr>
            </w:pPr>
          </w:p>
          <w:p>
            <w:pPr>
              <w:pStyle w:val="TableParagraph"/>
              <w:ind w:right="38"/>
              <w:jc w:val="right"/>
              <w:rPr>
                <w:sz w:val="15"/>
              </w:rPr>
            </w:pPr>
            <w:r>
              <w:rPr>
                <w:w w:val="100"/>
                <w:sz w:val="15"/>
              </w:rPr>
              <w:t>-</w:t>
            </w:r>
          </w:p>
        </w:tc>
      </w:tr>
      <w:tr>
        <w:trPr>
          <w:trHeight w:val="585" w:hRule="atLeast"/>
        </w:trPr>
        <w:tc>
          <w:tcPr>
            <w:tcW w:w="847" w:type="dxa"/>
            <w:tcBorders>
              <w:top w:val="single" w:sz="4" w:space="0" w:color="000000"/>
              <w:bottom w:val="single" w:sz="4" w:space="0" w:color="000000"/>
              <w:right w:val="single" w:sz="4" w:space="0" w:color="000000"/>
            </w:tcBorders>
          </w:tcPr>
          <w:p>
            <w:pPr>
              <w:pStyle w:val="TableParagraph"/>
              <w:spacing w:before="3"/>
              <w:ind w:left="109" w:firstLine="300"/>
              <w:rPr>
                <w:rFonts w:ascii="宋体" w:eastAsia="宋体" w:hint="eastAsia"/>
                <w:sz w:val="15"/>
              </w:rPr>
            </w:pPr>
            <w:r>
              <w:rPr>
                <w:rFonts w:ascii="宋体" w:eastAsia="宋体" w:hint="eastAsia"/>
                <w:sz w:val="15"/>
              </w:rPr>
              <w:t>同一</w:t>
            </w:r>
          </w:p>
          <w:p>
            <w:pPr>
              <w:pStyle w:val="TableParagraph"/>
              <w:spacing w:line="190" w:lineRule="atLeast" w:before="3"/>
              <w:ind w:left="109" w:right="112"/>
              <w:rPr>
                <w:rFonts w:ascii="宋体" w:eastAsia="宋体" w:hint="eastAsia"/>
                <w:sz w:val="15"/>
              </w:rPr>
            </w:pPr>
            <w:r>
              <w:rPr>
                <w:rFonts w:ascii="宋体" w:eastAsia="宋体" w:hint="eastAsia"/>
                <w:sz w:val="15"/>
              </w:rPr>
              <w:t>控制下企业合并</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before="8"/>
              <w:rPr>
                <w:rFonts w:ascii="宋体"/>
                <w:sz w:val="15"/>
              </w:rPr>
            </w:pPr>
          </w:p>
          <w:p>
            <w:pPr>
              <w:pStyle w:val="TableParagraph"/>
              <w:ind w:right="-15"/>
              <w:jc w:val="right"/>
              <w:rPr>
                <w:sz w:val="15"/>
              </w:rPr>
            </w:pPr>
            <w:r>
              <w:rPr>
                <w:sz w:val="15"/>
              </w:rPr>
              <w:t>242,893,583.08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8"/>
              <w:rPr>
                <w:rFonts w:ascii="宋体"/>
                <w:sz w:val="15"/>
              </w:rPr>
            </w:pPr>
          </w:p>
          <w:p>
            <w:pPr>
              <w:pStyle w:val="TableParagraph"/>
              <w:ind w:right="-29"/>
              <w:jc w:val="right"/>
              <w:rPr>
                <w:sz w:val="15"/>
              </w:rPr>
            </w:pPr>
            <w:r>
              <w:rPr>
                <w:sz w:val="15"/>
              </w:rPr>
              <w:t>97,501,518.66</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before="8"/>
              <w:rPr>
                <w:rFonts w:ascii="宋体"/>
                <w:sz w:val="15"/>
              </w:rPr>
            </w:pPr>
          </w:p>
          <w:p>
            <w:pPr>
              <w:pStyle w:val="TableParagraph"/>
              <w:ind w:right="-29"/>
              <w:jc w:val="right"/>
              <w:rPr>
                <w:sz w:val="15"/>
              </w:rPr>
            </w:pPr>
            <w:r>
              <w:rPr>
                <w:sz w:val="15"/>
              </w:rPr>
              <w:t>340,395,101.74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before="8"/>
              <w:rPr>
                <w:rFonts w:ascii="宋体"/>
                <w:sz w:val="15"/>
              </w:rPr>
            </w:pPr>
          </w:p>
          <w:p>
            <w:pPr>
              <w:pStyle w:val="TableParagraph"/>
              <w:ind w:right="-29"/>
              <w:jc w:val="right"/>
              <w:rPr>
                <w:sz w:val="15"/>
              </w:rPr>
            </w:pPr>
            <w:r>
              <w:rPr>
                <w:sz w:val="15"/>
              </w:rPr>
              <w:t>337,173,479.67</w:t>
            </w:r>
          </w:p>
        </w:tc>
        <w:tc>
          <w:tcPr>
            <w:tcW w:w="1276" w:type="dxa"/>
            <w:tcBorders>
              <w:top w:val="single" w:sz="4" w:space="0" w:color="000000"/>
              <w:left w:val="single" w:sz="4" w:space="0" w:color="000000"/>
              <w:bottom w:val="single" w:sz="4" w:space="0" w:color="000000"/>
            </w:tcBorders>
          </w:tcPr>
          <w:p>
            <w:pPr>
              <w:pStyle w:val="TableParagraph"/>
              <w:spacing w:before="8"/>
              <w:rPr>
                <w:rFonts w:ascii="宋体"/>
                <w:sz w:val="15"/>
              </w:rPr>
            </w:pPr>
          </w:p>
          <w:p>
            <w:pPr>
              <w:pStyle w:val="TableParagraph"/>
              <w:ind w:right="-44"/>
              <w:jc w:val="right"/>
              <w:rPr>
                <w:sz w:val="15"/>
              </w:rPr>
            </w:pPr>
            <w:r>
              <w:rPr>
                <w:sz w:val="15"/>
              </w:rPr>
              <w:t>677,568,581.41</w:t>
            </w:r>
          </w:p>
        </w:tc>
      </w:tr>
      <w:tr>
        <w:trPr>
          <w:trHeight w:val="345" w:hRule="atLeast"/>
        </w:trPr>
        <w:tc>
          <w:tcPr>
            <w:tcW w:w="847" w:type="dxa"/>
            <w:tcBorders>
              <w:top w:val="single" w:sz="4" w:space="0" w:color="000000"/>
              <w:bottom w:val="single" w:sz="4" w:space="0" w:color="000000"/>
              <w:right w:val="single" w:sz="4" w:space="0" w:color="000000"/>
            </w:tcBorders>
          </w:tcPr>
          <w:p>
            <w:pPr>
              <w:pStyle w:val="TableParagraph"/>
              <w:spacing w:before="1"/>
              <w:ind w:right="112"/>
              <w:jc w:val="right"/>
              <w:rPr>
                <w:rFonts w:ascii="宋体" w:eastAsia="宋体" w:hint="eastAsia"/>
                <w:sz w:val="15"/>
              </w:rPr>
            </w:pPr>
            <w:r>
              <w:rPr>
                <w:rFonts w:ascii="宋体" w:eastAsia="宋体" w:hint="eastAsia"/>
                <w:sz w:val="15"/>
              </w:rPr>
              <w:t>其他</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39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6" w:type="dxa"/>
            <w:tcBorders>
              <w:top w:val="single" w:sz="4" w:space="0" w:color="000000"/>
              <w:left w:val="single" w:sz="4" w:space="0" w:color="000000"/>
              <w:bottom w:val="single" w:sz="4" w:space="0" w:color="000000"/>
            </w:tcBorders>
          </w:tcPr>
          <w:p>
            <w:pPr>
              <w:pStyle w:val="TableParagraph"/>
              <w:rPr>
                <w:rFonts w:ascii="宋体"/>
                <w:sz w:val="13"/>
              </w:rPr>
            </w:pPr>
          </w:p>
          <w:p>
            <w:pPr>
              <w:pStyle w:val="TableParagraph"/>
              <w:spacing w:line="158" w:lineRule="exact"/>
              <w:ind w:right="38"/>
              <w:jc w:val="right"/>
              <w:rPr>
                <w:sz w:val="15"/>
              </w:rPr>
            </w:pPr>
            <w:r>
              <w:rPr>
                <w:w w:val="100"/>
                <w:sz w:val="15"/>
              </w:rPr>
              <w:t>-</w:t>
            </w:r>
          </w:p>
        </w:tc>
      </w:tr>
      <w:tr>
        <w:trPr>
          <w:trHeight w:val="388" w:hRule="atLeast"/>
        </w:trPr>
        <w:tc>
          <w:tcPr>
            <w:tcW w:w="847" w:type="dxa"/>
            <w:tcBorders>
              <w:top w:val="single" w:sz="4" w:space="0" w:color="000000"/>
              <w:bottom w:val="single" w:sz="4" w:space="0" w:color="000000"/>
              <w:right w:val="single" w:sz="4" w:space="0" w:color="000000"/>
            </w:tcBorders>
          </w:tcPr>
          <w:p>
            <w:pPr>
              <w:pStyle w:val="TableParagraph"/>
              <w:spacing w:before="1"/>
              <w:ind w:left="109"/>
              <w:rPr>
                <w:rFonts w:ascii="宋体" w:eastAsia="宋体" w:hint="eastAsia"/>
                <w:sz w:val="15"/>
              </w:rPr>
            </w:pPr>
            <w:r>
              <w:rPr>
                <w:rFonts w:ascii="宋体" w:eastAsia="宋体" w:hint="eastAsia"/>
                <w:spacing w:val="-1"/>
                <w:sz w:val="15"/>
              </w:rPr>
              <w:t>二、本年</w:t>
            </w:r>
          </w:p>
          <w:p>
            <w:pPr>
              <w:pStyle w:val="TableParagraph"/>
              <w:spacing w:line="173" w:lineRule="exact" w:before="2"/>
              <w:ind w:left="109"/>
              <w:rPr>
                <w:rFonts w:ascii="宋体" w:eastAsia="宋体" w:hint="eastAsia"/>
                <w:sz w:val="15"/>
              </w:rPr>
            </w:pPr>
            <w:r>
              <w:rPr>
                <w:rFonts w:ascii="宋体" w:eastAsia="宋体" w:hint="eastAsia"/>
                <w:spacing w:val="-1"/>
                <w:sz w:val="15"/>
              </w:rPr>
              <w:t>期初余额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before="102"/>
              <w:ind w:right="-29"/>
              <w:jc w:val="right"/>
              <w:rPr>
                <w:sz w:val="15"/>
              </w:rPr>
            </w:pPr>
            <w:r>
              <w:rPr>
                <w:sz w:val="15"/>
              </w:rPr>
              <w:t>6,368,416,700.00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102"/>
              <w:ind w:right="-15"/>
              <w:jc w:val="right"/>
              <w:rPr>
                <w:sz w:val="15"/>
              </w:rPr>
            </w:pPr>
            <w:r>
              <w:rPr>
                <w:sz w:val="15"/>
              </w:rPr>
              <w:t>904,485,788.71</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before="102"/>
              <w:ind w:right="-15"/>
              <w:jc w:val="right"/>
              <w:rPr>
                <w:sz w:val="15"/>
              </w:rPr>
            </w:pPr>
            <w:r>
              <w:rPr>
                <w:sz w:val="15"/>
              </w:rPr>
              <w:t>2,451,667,057.65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before="102"/>
              <w:ind w:right="-15"/>
              <w:jc w:val="right"/>
              <w:rPr>
                <w:sz w:val="15"/>
              </w:rPr>
            </w:pPr>
            <w:r>
              <w:rPr>
                <w:sz w:val="15"/>
              </w:rPr>
              <w:t>772,632,347.35</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before="102"/>
              <w:ind w:right="-29"/>
              <w:jc w:val="right"/>
              <w:rPr>
                <w:sz w:val="15"/>
              </w:rPr>
            </w:pPr>
            <w:r>
              <w:rPr>
                <w:sz w:val="15"/>
              </w:rPr>
              <w:t>2,288,301,317.10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13"/>
              </w:rPr>
            </w:pPr>
          </w:p>
          <w:p>
            <w:pPr>
              <w:pStyle w:val="TableParagraph"/>
              <w:ind w:right="157"/>
              <w:jc w:val="right"/>
              <w:rPr>
                <w:sz w:val="15"/>
              </w:rPr>
            </w:pPr>
            <w:r>
              <w:rPr>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102"/>
              <w:ind w:right="-29"/>
              <w:jc w:val="right"/>
              <w:rPr>
                <w:sz w:val="15"/>
              </w:rPr>
            </w:pPr>
            <w:r>
              <w:rPr>
                <w:sz w:val="15"/>
              </w:rPr>
              <w:t>26,957,242,682.61</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before="102"/>
              <w:ind w:right="-29"/>
              <w:jc w:val="right"/>
              <w:rPr>
                <w:sz w:val="15"/>
              </w:rPr>
            </w:pPr>
            <w:r>
              <w:rPr>
                <w:sz w:val="15"/>
              </w:rPr>
              <w:t>39,742,745,893.42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before="102"/>
              <w:ind w:right="-29"/>
              <w:jc w:val="right"/>
              <w:rPr>
                <w:sz w:val="15"/>
              </w:rPr>
            </w:pPr>
            <w:r>
              <w:rPr>
                <w:sz w:val="15"/>
              </w:rPr>
              <w:t>16,065,101,625.49</w:t>
            </w:r>
          </w:p>
        </w:tc>
        <w:tc>
          <w:tcPr>
            <w:tcW w:w="1276" w:type="dxa"/>
            <w:tcBorders>
              <w:top w:val="single" w:sz="4" w:space="0" w:color="000000"/>
              <w:left w:val="single" w:sz="4" w:space="0" w:color="000000"/>
              <w:bottom w:val="single" w:sz="4" w:space="0" w:color="000000"/>
            </w:tcBorders>
          </w:tcPr>
          <w:p>
            <w:pPr>
              <w:pStyle w:val="TableParagraph"/>
              <w:spacing w:before="102"/>
              <w:ind w:right="-44"/>
              <w:jc w:val="right"/>
              <w:rPr>
                <w:sz w:val="15"/>
              </w:rPr>
            </w:pPr>
            <w:r>
              <w:rPr>
                <w:sz w:val="15"/>
              </w:rPr>
              <w:t>55,807,847,518.91</w:t>
            </w:r>
          </w:p>
        </w:tc>
      </w:tr>
      <w:tr>
        <w:trPr>
          <w:trHeight w:val="971" w:hRule="atLeast"/>
        </w:trPr>
        <w:tc>
          <w:tcPr>
            <w:tcW w:w="847" w:type="dxa"/>
            <w:tcBorders>
              <w:top w:val="single" w:sz="4" w:space="0" w:color="000000"/>
              <w:bottom w:val="single" w:sz="4" w:space="0" w:color="000000"/>
              <w:right w:val="single" w:sz="4" w:space="0" w:color="000000"/>
            </w:tcBorders>
          </w:tcPr>
          <w:p>
            <w:pPr>
              <w:pStyle w:val="TableParagraph"/>
              <w:spacing w:line="242" w:lineRule="auto" w:before="1"/>
              <w:ind w:left="109" w:right="112"/>
              <w:jc w:val="both"/>
              <w:rPr>
                <w:sz w:val="15"/>
              </w:rPr>
            </w:pPr>
            <w:r>
              <w:rPr>
                <w:rFonts w:ascii="宋体" w:hAnsi="宋体" w:eastAsia="宋体" w:hint="eastAsia"/>
                <w:spacing w:val="-5"/>
                <w:sz w:val="15"/>
              </w:rPr>
              <w:t>三、本期增减变动</w:t>
            </w:r>
            <w:r>
              <w:rPr>
                <w:rFonts w:ascii="宋体" w:hAnsi="宋体" w:eastAsia="宋体" w:hint="eastAsia"/>
                <w:sz w:val="15"/>
              </w:rPr>
              <w:t>金额</w:t>
            </w:r>
            <w:r>
              <w:rPr>
                <w:rFonts w:ascii="宋体" w:hAnsi="宋体" w:eastAsia="宋体" w:hint="eastAsia"/>
                <w:spacing w:val="-3"/>
                <w:sz w:val="15"/>
              </w:rPr>
              <w:t>（</w:t>
            </w:r>
            <w:r>
              <w:rPr>
                <w:rFonts w:ascii="宋体" w:hAnsi="宋体" w:eastAsia="宋体" w:hint="eastAsia"/>
                <w:spacing w:val="-16"/>
                <w:sz w:val="15"/>
              </w:rPr>
              <w:t>减</w:t>
            </w:r>
            <w:r>
              <w:rPr>
                <w:rFonts w:ascii="宋体" w:hAnsi="宋体" w:eastAsia="宋体" w:hint="eastAsia"/>
                <w:spacing w:val="-1"/>
                <w:sz w:val="15"/>
              </w:rPr>
              <w:t>少以</w:t>
            </w:r>
            <w:r>
              <w:rPr>
                <w:spacing w:val="-1"/>
                <w:sz w:val="15"/>
              </w:rPr>
              <w:t>“</w:t>
            </w:r>
            <w:r>
              <w:rPr>
                <w:rFonts w:ascii="宋体" w:hAnsi="宋体" w:eastAsia="宋体" w:hint="eastAsia"/>
                <w:spacing w:val="-1"/>
                <w:sz w:val="15"/>
              </w:rPr>
              <w:t>－</w:t>
            </w:r>
            <w:r>
              <w:rPr>
                <w:spacing w:val="-1"/>
                <w:sz w:val="15"/>
              </w:rPr>
              <w:t>”</w:t>
            </w:r>
          </w:p>
          <w:p>
            <w:pPr>
              <w:pStyle w:val="TableParagraph"/>
              <w:spacing w:line="173" w:lineRule="exact" w:before="1"/>
              <w:ind w:left="109"/>
              <w:rPr>
                <w:rFonts w:ascii="宋体" w:eastAsia="宋体" w:hint="eastAsia"/>
                <w:sz w:val="15"/>
              </w:rPr>
            </w:pPr>
            <w:r>
              <w:rPr>
                <w:rFonts w:ascii="宋体" w:eastAsia="宋体" w:hint="eastAsia"/>
                <w:spacing w:val="-1"/>
                <w:sz w:val="15"/>
              </w:rPr>
              <w:t>号填列</w:t>
            </w:r>
            <w:r>
              <w:rPr>
                <w:rFonts w:ascii="宋体" w:eastAsia="宋体" w:hint="eastAsia"/>
                <w:sz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16"/>
              </w:rPr>
            </w:pPr>
          </w:p>
          <w:p>
            <w:pPr>
              <w:pStyle w:val="TableParagraph"/>
              <w:spacing w:before="10"/>
              <w:rPr>
                <w:rFonts w:ascii="宋体"/>
                <w:sz w:val="14"/>
              </w:rPr>
            </w:pPr>
          </w:p>
          <w:p>
            <w:pPr>
              <w:pStyle w:val="TableParagraph"/>
              <w:ind w:right="-29"/>
              <w:jc w:val="right"/>
              <w:rPr>
                <w:sz w:val="15"/>
              </w:rPr>
            </w:pPr>
            <w:r>
              <w:rPr>
                <w:sz w:val="15"/>
              </w:rPr>
              <w:t>211,149,927.00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16"/>
              </w:rPr>
            </w:pPr>
          </w:p>
          <w:p>
            <w:pPr>
              <w:pStyle w:val="TableParagraph"/>
              <w:spacing w:before="10"/>
              <w:rPr>
                <w:rFonts w:ascii="宋体"/>
                <w:sz w:val="14"/>
              </w:rPr>
            </w:pPr>
          </w:p>
          <w:p>
            <w:pPr>
              <w:pStyle w:val="TableParagraph"/>
              <w:ind w:right="-15"/>
              <w:jc w:val="right"/>
              <w:rPr>
                <w:sz w:val="15"/>
              </w:rPr>
            </w:pPr>
            <w:r>
              <w:rPr>
                <w:sz w:val="15"/>
              </w:rPr>
              <w:t>-473,061,264.64</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16"/>
              </w:rPr>
            </w:pPr>
          </w:p>
          <w:p>
            <w:pPr>
              <w:pStyle w:val="TableParagraph"/>
              <w:spacing w:before="10"/>
              <w:rPr>
                <w:rFonts w:ascii="宋体"/>
                <w:sz w:val="14"/>
              </w:rPr>
            </w:pPr>
          </w:p>
          <w:p>
            <w:pPr>
              <w:pStyle w:val="TableParagraph"/>
              <w:ind w:right="-15"/>
              <w:jc w:val="right"/>
              <w:rPr>
                <w:sz w:val="15"/>
              </w:rPr>
            </w:pPr>
            <w:r>
              <w:rPr>
                <w:sz w:val="15"/>
              </w:rPr>
              <w:t>1,984,223,787.82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16"/>
              </w:rPr>
            </w:pPr>
          </w:p>
          <w:p>
            <w:pPr>
              <w:pStyle w:val="TableParagraph"/>
              <w:spacing w:before="10"/>
              <w:rPr>
                <w:rFonts w:ascii="宋体"/>
                <w:sz w:val="14"/>
              </w:rPr>
            </w:pPr>
          </w:p>
          <w:p>
            <w:pPr>
              <w:pStyle w:val="TableParagraph"/>
              <w:ind w:right="-15"/>
              <w:jc w:val="right"/>
              <w:rPr>
                <w:sz w:val="15"/>
              </w:rPr>
            </w:pPr>
            <w:r>
              <w:rPr>
                <w:sz w:val="15"/>
              </w:rPr>
              <w:t>545,356,272.31</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16"/>
              </w:rPr>
            </w:pPr>
          </w:p>
          <w:p>
            <w:pPr>
              <w:pStyle w:val="TableParagraph"/>
              <w:spacing w:before="10"/>
              <w:rPr>
                <w:rFonts w:ascii="宋体"/>
                <w:sz w:val="14"/>
              </w:rPr>
            </w:pPr>
          </w:p>
          <w:p>
            <w:pPr>
              <w:pStyle w:val="TableParagraph"/>
              <w:ind w:right="-29"/>
              <w:jc w:val="right"/>
              <w:rPr>
                <w:sz w:val="15"/>
              </w:rPr>
            </w:pPr>
            <w:r>
              <w:rPr>
                <w:sz w:val="15"/>
              </w:rPr>
              <w:t>367,026,088.36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13"/>
              </w:rPr>
            </w:pPr>
          </w:p>
          <w:p>
            <w:pPr>
              <w:pStyle w:val="TableParagraph"/>
              <w:ind w:right="157"/>
              <w:jc w:val="right"/>
              <w:rPr>
                <w:sz w:val="15"/>
              </w:rPr>
            </w:pPr>
            <w:r>
              <w:rPr>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16"/>
              </w:rPr>
            </w:pPr>
          </w:p>
          <w:p>
            <w:pPr>
              <w:pStyle w:val="TableParagraph"/>
              <w:spacing w:before="10"/>
              <w:rPr>
                <w:rFonts w:ascii="宋体"/>
                <w:sz w:val="14"/>
              </w:rPr>
            </w:pPr>
          </w:p>
          <w:p>
            <w:pPr>
              <w:pStyle w:val="TableParagraph"/>
              <w:ind w:right="-29"/>
              <w:jc w:val="right"/>
              <w:rPr>
                <w:sz w:val="15"/>
              </w:rPr>
            </w:pPr>
            <w:r>
              <w:rPr>
                <w:sz w:val="15"/>
              </w:rPr>
              <w:t>5,510,879,061.65</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16"/>
              </w:rPr>
            </w:pPr>
          </w:p>
          <w:p>
            <w:pPr>
              <w:pStyle w:val="TableParagraph"/>
              <w:spacing w:before="10"/>
              <w:rPr>
                <w:rFonts w:ascii="宋体"/>
                <w:sz w:val="14"/>
              </w:rPr>
            </w:pPr>
          </w:p>
          <w:p>
            <w:pPr>
              <w:pStyle w:val="TableParagraph"/>
              <w:ind w:right="-29"/>
              <w:jc w:val="right"/>
              <w:rPr>
                <w:sz w:val="15"/>
              </w:rPr>
            </w:pPr>
            <w:r>
              <w:rPr>
                <w:sz w:val="15"/>
              </w:rPr>
              <w:t>8,145,573,872.50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16"/>
              </w:rPr>
            </w:pPr>
          </w:p>
          <w:p>
            <w:pPr>
              <w:pStyle w:val="TableParagraph"/>
              <w:spacing w:before="10"/>
              <w:rPr>
                <w:rFonts w:ascii="宋体"/>
                <w:sz w:val="14"/>
              </w:rPr>
            </w:pPr>
          </w:p>
          <w:p>
            <w:pPr>
              <w:pStyle w:val="TableParagraph"/>
              <w:ind w:right="-29"/>
              <w:jc w:val="right"/>
              <w:rPr>
                <w:sz w:val="15"/>
              </w:rPr>
            </w:pPr>
            <w:r>
              <w:rPr>
                <w:sz w:val="15"/>
              </w:rPr>
              <w:t>1,036,438,876.52</w:t>
            </w:r>
          </w:p>
        </w:tc>
        <w:tc>
          <w:tcPr>
            <w:tcW w:w="1276" w:type="dxa"/>
            <w:tcBorders>
              <w:top w:val="single" w:sz="4" w:space="0" w:color="000000"/>
              <w:left w:val="single" w:sz="4" w:space="0" w:color="000000"/>
              <w:bottom w:val="single" w:sz="4" w:space="0" w:color="000000"/>
            </w:tcBorders>
          </w:tcPr>
          <w:p>
            <w:pPr>
              <w:pStyle w:val="TableParagraph"/>
              <w:rPr>
                <w:rFonts w:ascii="宋体"/>
                <w:sz w:val="16"/>
              </w:rPr>
            </w:pPr>
          </w:p>
          <w:p>
            <w:pPr>
              <w:pStyle w:val="TableParagraph"/>
              <w:spacing w:before="10"/>
              <w:rPr>
                <w:rFonts w:ascii="宋体"/>
                <w:sz w:val="14"/>
              </w:rPr>
            </w:pPr>
          </w:p>
          <w:p>
            <w:pPr>
              <w:pStyle w:val="TableParagraph"/>
              <w:ind w:right="-44"/>
              <w:jc w:val="right"/>
              <w:rPr>
                <w:sz w:val="15"/>
              </w:rPr>
            </w:pPr>
            <w:r>
              <w:rPr>
                <w:sz w:val="15"/>
              </w:rPr>
              <w:t>9,182,012,749.02</w:t>
            </w:r>
          </w:p>
        </w:tc>
      </w:tr>
      <w:tr>
        <w:trPr>
          <w:trHeight w:val="585" w:hRule="atLeast"/>
        </w:trPr>
        <w:tc>
          <w:tcPr>
            <w:tcW w:w="847" w:type="dxa"/>
            <w:tcBorders>
              <w:top w:val="single" w:sz="4" w:space="0" w:color="000000"/>
              <w:bottom w:val="single" w:sz="4" w:space="0" w:color="000000"/>
              <w:right w:val="single" w:sz="4" w:space="0" w:color="000000"/>
            </w:tcBorders>
          </w:tcPr>
          <w:p>
            <w:pPr>
              <w:pStyle w:val="TableParagraph"/>
              <w:spacing w:line="242" w:lineRule="auto" w:before="3"/>
              <w:ind w:left="109" w:right="112"/>
              <w:rPr>
                <w:rFonts w:ascii="宋体" w:eastAsia="宋体" w:hint="eastAsia"/>
                <w:sz w:val="15"/>
              </w:rPr>
            </w:pPr>
            <w:r>
              <w:rPr>
                <w:rFonts w:ascii="宋体" w:eastAsia="宋体" w:hint="eastAsia"/>
                <w:sz w:val="15"/>
              </w:rPr>
              <w:t>（一）综合收益总</w:t>
            </w:r>
          </w:p>
          <w:p>
            <w:pPr>
              <w:pStyle w:val="TableParagraph"/>
              <w:spacing w:line="173" w:lineRule="exact" w:before="1"/>
              <w:ind w:left="109"/>
              <w:rPr>
                <w:rFonts w:ascii="宋体" w:eastAsia="宋体" w:hint="eastAsia"/>
                <w:sz w:val="15"/>
              </w:rPr>
            </w:pPr>
            <w:r>
              <w:rPr>
                <w:rFonts w:ascii="宋体" w:eastAsia="宋体" w:hint="eastAsia"/>
                <w:w w:val="100"/>
                <w:sz w:val="15"/>
              </w:rPr>
              <w:t>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before="8"/>
              <w:rPr>
                <w:rFonts w:ascii="宋体"/>
                <w:sz w:val="15"/>
              </w:rPr>
            </w:pPr>
          </w:p>
          <w:p>
            <w:pPr>
              <w:pStyle w:val="TableParagraph"/>
              <w:ind w:right="-15"/>
              <w:jc w:val="right"/>
              <w:rPr>
                <w:sz w:val="15"/>
              </w:rPr>
            </w:pPr>
            <w:r>
              <w:rPr>
                <w:sz w:val="15"/>
              </w:rPr>
              <w:t>545,356,272.31</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8"/>
              <w:rPr>
                <w:rFonts w:ascii="宋体"/>
                <w:sz w:val="15"/>
              </w:rPr>
            </w:pPr>
          </w:p>
          <w:p>
            <w:pPr>
              <w:pStyle w:val="TableParagraph"/>
              <w:ind w:right="-29"/>
              <w:jc w:val="right"/>
              <w:rPr>
                <w:sz w:val="15"/>
              </w:rPr>
            </w:pPr>
            <w:r>
              <w:rPr>
                <w:sz w:val="15"/>
              </w:rPr>
              <w:t>8,206,247,105.96</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before="8"/>
              <w:rPr>
                <w:rFonts w:ascii="宋体"/>
                <w:sz w:val="15"/>
              </w:rPr>
            </w:pPr>
          </w:p>
          <w:p>
            <w:pPr>
              <w:pStyle w:val="TableParagraph"/>
              <w:ind w:right="-29"/>
              <w:jc w:val="right"/>
              <w:rPr>
                <w:sz w:val="15"/>
              </w:rPr>
            </w:pPr>
            <w:r>
              <w:rPr>
                <w:sz w:val="15"/>
              </w:rPr>
              <w:t>8,751,603,378.27</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before="8"/>
              <w:rPr>
                <w:rFonts w:ascii="宋体"/>
                <w:sz w:val="15"/>
              </w:rPr>
            </w:pPr>
          </w:p>
          <w:p>
            <w:pPr>
              <w:pStyle w:val="TableParagraph"/>
              <w:ind w:right="-29"/>
              <w:jc w:val="right"/>
              <w:rPr>
                <w:sz w:val="15"/>
              </w:rPr>
            </w:pPr>
            <w:r>
              <w:rPr>
                <w:sz w:val="15"/>
              </w:rPr>
              <w:t>4,152,065,870.95</w:t>
            </w:r>
          </w:p>
        </w:tc>
        <w:tc>
          <w:tcPr>
            <w:tcW w:w="1276" w:type="dxa"/>
            <w:tcBorders>
              <w:top w:val="single" w:sz="4" w:space="0" w:color="000000"/>
              <w:left w:val="single" w:sz="4" w:space="0" w:color="000000"/>
              <w:bottom w:val="single" w:sz="4" w:space="0" w:color="000000"/>
            </w:tcBorders>
          </w:tcPr>
          <w:p>
            <w:pPr>
              <w:pStyle w:val="TableParagraph"/>
              <w:spacing w:before="8"/>
              <w:rPr>
                <w:rFonts w:ascii="宋体"/>
                <w:sz w:val="15"/>
              </w:rPr>
            </w:pPr>
          </w:p>
          <w:p>
            <w:pPr>
              <w:pStyle w:val="TableParagraph"/>
              <w:ind w:right="-44"/>
              <w:jc w:val="right"/>
              <w:rPr>
                <w:sz w:val="15"/>
              </w:rPr>
            </w:pPr>
            <w:r>
              <w:rPr>
                <w:sz w:val="15"/>
              </w:rPr>
              <w:t>12,903,669,249.22</w:t>
            </w:r>
          </w:p>
        </w:tc>
      </w:tr>
      <w:tr>
        <w:trPr>
          <w:trHeight w:val="777" w:hRule="atLeast"/>
        </w:trPr>
        <w:tc>
          <w:tcPr>
            <w:tcW w:w="847" w:type="dxa"/>
            <w:tcBorders>
              <w:top w:val="single" w:sz="4" w:space="0" w:color="000000"/>
              <w:bottom w:val="single" w:sz="4" w:space="0" w:color="000000"/>
              <w:right w:val="single" w:sz="4" w:space="0" w:color="000000"/>
            </w:tcBorders>
          </w:tcPr>
          <w:p>
            <w:pPr>
              <w:pStyle w:val="TableParagraph"/>
              <w:spacing w:line="242" w:lineRule="auto" w:before="1"/>
              <w:ind w:left="109" w:right="112"/>
              <w:jc w:val="both"/>
              <w:rPr>
                <w:rFonts w:ascii="宋体" w:eastAsia="宋体" w:hint="eastAsia"/>
                <w:sz w:val="15"/>
              </w:rPr>
            </w:pPr>
            <w:r>
              <w:rPr>
                <w:rFonts w:ascii="宋体" w:eastAsia="宋体" w:hint="eastAsia"/>
                <w:sz w:val="15"/>
              </w:rPr>
              <w:t>（二）所有者投入和减少资</w:t>
            </w:r>
          </w:p>
          <w:p>
            <w:pPr>
              <w:pStyle w:val="TableParagraph"/>
              <w:spacing w:line="173" w:lineRule="exact" w:before="1"/>
              <w:ind w:left="109"/>
              <w:rPr>
                <w:rFonts w:ascii="宋体" w:eastAsia="宋体" w:hint="eastAsia"/>
                <w:sz w:val="15"/>
              </w:rPr>
            </w:pPr>
            <w:r>
              <w:rPr>
                <w:rFonts w:ascii="宋体" w:eastAsia="宋体" w:hint="eastAsia"/>
                <w:w w:val="100"/>
                <w:sz w:val="15"/>
              </w:rPr>
              <w:t>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before="1"/>
              <w:rPr>
                <w:rFonts w:ascii="宋体"/>
                <w:sz w:val="23"/>
              </w:rPr>
            </w:pPr>
          </w:p>
          <w:p>
            <w:pPr>
              <w:pStyle w:val="TableParagraph"/>
              <w:spacing w:before="1"/>
              <w:ind w:right="-29"/>
              <w:jc w:val="right"/>
              <w:rPr>
                <w:sz w:val="15"/>
              </w:rPr>
            </w:pPr>
            <w:r>
              <w:rPr>
                <w:sz w:val="15"/>
              </w:rPr>
              <w:t>211,149,927.00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1"/>
              <w:rPr>
                <w:rFonts w:ascii="宋体"/>
                <w:sz w:val="23"/>
              </w:rPr>
            </w:pPr>
          </w:p>
          <w:p>
            <w:pPr>
              <w:pStyle w:val="TableParagraph"/>
              <w:spacing w:before="1"/>
              <w:ind w:right="-15"/>
              <w:jc w:val="right"/>
              <w:rPr>
                <w:sz w:val="15"/>
              </w:rPr>
            </w:pPr>
            <w:r>
              <w:rPr>
                <w:sz w:val="15"/>
              </w:rPr>
              <w:t>-473,061,264.64</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before="1"/>
              <w:rPr>
                <w:rFonts w:ascii="宋体"/>
                <w:sz w:val="23"/>
              </w:rPr>
            </w:pPr>
          </w:p>
          <w:p>
            <w:pPr>
              <w:pStyle w:val="TableParagraph"/>
              <w:spacing w:before="1"/>
              <w:ind w:right="-15"/>
              <w:jc w:val="right"/>
              <w:rPr>
                <w:sz w:val="15"/>
              </w:rPr>
            </w:pPr>
            <w:r>
              <w:rPr>
                <w:sz w:val="15"/>
              </w:rPr>
              <w:t>1,984,223,787.82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16"/>
              </w:rPr>
            </w:pPr>
          </w:p>
          <w:p>
            <w:pPr>
              <w:pStyle w:val="TableParagraph"/>
              <w:spacing w:before="11"/>
              <w:rPr>
                <w:rFonts w:ascii="宋体"/>
                <w:sz w:val="13"/>
              </w:rPr>
            </w:pPr>
          </w:p>
          <w:p>
            <w:pPr>
              <w:pStyle w:val="TableParagraph"/>
              <w:ind w:right="56"/>
              <w:jc w:val="right"/>
              <w:rPr>
                <w:sz w:val="15"/>
              </w:rPr>
            </w:pPr>
            <w:r>
              <w:rPr>
                <w:w w:val="100"/>
                <w:sz w:val="15"/>
              </w:rPr>
              <w:t>-</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16"/>
              </w:rPr>
            </w:pPr>
          </w:p>
          <w:p>
            <w:pPr>
              <w:pStyle w:val="TableParagraph"/>
              <w:spacing w:before="11"/>
              <w:rPr>
                <w:rFonts w:ascii="宋体"/>
                <w:sz w:val="13"/>
              </w:rPr>
            </w:pPr>
          </w:p>
          <w:p>
            <w:pPr>
              <w:pStyle w:val="TableParagraph"/>
              <w:ind w:right="51"/>
              <w:jc w:val="right"/>
              <w:rPr>
                <w:sz w:val="15"/>
              </w:rPr>
            </w:pPr>
            <w:r>
              <w:rPr>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13"/>
              </w:rPr>
            </w:pPr>
          </w:p>
          <w:p>
            <w:pPr>
              <w:pStyle w:val="TableParagraph"/>
              <w:ind w:right="157"/>
              <w:jc w:val="right"/>
              <w:rPr>
                <w:sz w:val="15"/>
              </w:rPr>
            </w:pPr>
            <w:r>
              <w:rPr>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16"/>
              </w:rPr>
            </w:pPr>
          </w:p>
          <w:p>
            <w:pPr>
              <w:pStyle w:val="TableParagraph"/>
              <w:spacing w:before="11"/>
              <w:rPr>
                <w:rFonts w:ascii="宋体"/>
                <w:sz w:val="13"/>
              </w:rPr>
            </w:pPr>
          </w:p>
          <w:p>
            <w:pPr>
              <w:pStyle w:val="TableParagraph"/>
              <w:ind w:right="51"/>
              <w:jc w:val="right"/>
              <w:rPr>
                <w:sz w:val="15"/>
              </w:rPr>
            </w:pPr>
            <w:r>
              <w:rPr>
                <w:w w:val="100"/>
                <w:sz w:val="15"/>
              </w:rPr>
              <w:t>-</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before="1"/>
              <w:rPr>
                <w:rFonts w:ascii="宋体"/>
                <w:sz w:val="23"/>
              </w:rPr>
            </w:pPr>
          </w:p>
          <w:p>
            <w:pPr>
              <w:pStyle w:val="TableParagraph"/>
              <w:spacing w:before="1"/>
              <w:ind w:right="-29"/>
              <w:jc w:val="right"/>
              <w:rPr>
                <w:sz w:val="15"/>
              </w:rPr>
            </w:pPr>
            <w:r>
              <w:rPr>
                <w:sz w:val="15"/>
              </w:rPr>
              <w:t>1,722,312,450.18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before="1"/>
              <w:rPr>
                <w:rFonts w:ascii="宋体"/>
                <w:sz w:val="23"/>
              </w:rPr>
            </w:pPr>
          </w:p>
          <w:p>
            <w:pPr>
              <w:pStyle w:val="TableParagraph"/>
              <w:spacing w:before="1"/>
              <w:ind w:right="-29"/>
              <w:jc w:val="right"/>
              <w:rPr>
                <w:sz w:val="15"/>
              </w:rPr>
            </w:pPr>
            <w:r>
              <w:rPr>
                <w:sz w:val="15"/>
              </w:rPr>
              <w:t>-2,522,706,368.51</w:t>
            </w:r>
          </w:p>
        </w:tc>
        <w:tc>
          <w:tcPr>
            <w:tcW w:w="1276" w:type="dxa"/>
            <w:tcBorders>
              <w:top w:val="single" w:sz="4" w:space="0" w:color="000000"/>
              <w:left w:val="single" w:sz="4" w:space="0" w:color="000000"/>
              <w:bottom w:val="single" w:sz="4" w:space="0" w:color="000000"/>
            </w:tcBorders>
          </w:tcPr>
          <w:p>
            <w:pPr>
              <w:pStyle w:val="TableParagraph"/>
              <w:spacing w:before="1"/>
              <w:rPr>
                <w:rFonts w:ascii="宋体"/>
                <w:sz w:val="23"/>
              </w:rPr>
            </w:pPr>
          </w:p>
          <w:p>
            <w:pPr>
              <w:pStyle w:val="TableParagraph"/>
              <w:spacing w:before="1"/>
              <w:ind w:right="-44"/>
              <w:jc w:val="right"/>
              <w:rPr>
                <w:sz w:val="15"/>
              </w:rPr>
            </w:pPr>
            <w:r>
              <w:rPr>
                <w:sz w:val="15"/>
              </w:rPr>
              <w:t>-800,393,918.33</w:t>
            </w:r>
          </w:p>
        </w:tc>
      </w:tr>
      <w:tr>
        <w:trPr>
          <w:trHeight w:val="342" w:hRule="atLeast"/>
        </w:trPr>
        <w:tc>
          <w:tcPr>
            <w:tcW w:w="847" w:type="dxa"/>
            <w:tcBorders>
              <w:top w:val="single" w:sz="4" w:space="0" w:color="000000"/>
              <w:right w:val="single" w:sz="4" w:space="0" w:color="000000"/>
            </w:tcBorders>
          </w:tcPr>
          <w:p>
            <w:pPr>
              <w:pStyle w:val="TableParagraph"/>
              <w:spacing w:before="1"/>
              <w:ind w:right="81"/>
              <w:jc w:val="right"/>
              <w:rPr>
                <w:rFonts w:ascii="宋体" w:eastAsia="宋体" w:hint="eastAsia"/>
                <w:sz w:val="15"/>
              </w:rPr>
            </w:pPr>
            <w:r>
              <w:rPr>
                <w:sz w:val="15"/>
              </w:rPr>
              <w:t>1</w:t>
            </w:r>
            <w:r>
              <w:rPr>
                <w:rFonts w:ascii="宋体" w:eastAsia="宋体" w:hint="eastAsia"/>
                <w:sz w:val="15"/>
              </w:rPr>
              <w:t>．所有者</w:t>
            </w:r>
          </w:p>
        </w:tc>
        <w:tc>
          <w:tcPr>
            <w:tcW w:w="1135" w:type="dxa"/>
            <w:tcBorders>
              <w:top w:val="single" w:sz="4" w:space="0" w:color="000000"/>
              <w:left w:val="single" w:sz="4" w:space="0" w:color="000000"/>
              <w:right w:val="single" w:sz="4" w:space="0" w:color="000000"/>
            </w:tcBorders>
          </w:tcPr>
          <w:p>
            <w:pPr>
              <w:pStyle w:val="TableParagraph"/>
              <w:spacing w:before="80"/>
              <w:ind w:right="-29"/>
              <w:jc w:val="right"/>
              <w:rPr>
                <w:sz w:val="15"/>
              </w:rPr>
            </w:pPr>
            <w:r>
              <w:rPr>
                <w:sz w:val="15"/>
              </w:rPr>
              <w:t>211,149,927.00</w:t>
            </w:r>
          </w:p>
        </w:tc>
        <w:tc>
          <w:tcPr>
            <w:tcW w:w="571" w:type="dxa"/>
            <w:tcBorders>
              <w:top w:val="single" w:sz="4" w:space="0" w:color="000000"/>
              <w:left w:val="single" w:sz="4" w:space="0" w:color="000000"/>
              <w:right w:val="single" w:sz="4" w:space="0" w:color="000000"/>
            </w:tcBorders>
          </w:tcPr>
          <w:p>
            <w:pPr>
              <w:pStyle w:val="TableParagraph"/>
              <w:rPr>
                <w:sz w:val="14"/>
              </w:rPr>
            </w:pPr>
          </w:p>
        </w:tc>
        <w:tc>
          <w:tcPr>
            <w:tcW w:w="569" w:type="dxa"/>
            <w:tcBorders>
              <w:top w:val="single" w:sz="4" w:space="0" w:color="000000"/>
              <w:left w:val="single" w:sz="4" w:space="0" w:color="000000"/>
              <w:right w:val="single" w:sz="4" w:space="0" w:color="000000"/>
            </w:tcBorders>
          </w:tcPr>
          <w:p>
            <w:pPr>
              <w:pStyle w:val="TableParagraph"/>
              <w:rPr>
                <w:sz w:val="14"/>
              </w:rPr>
            </w:pPr>
          </w:p>
        </w:tc>
        <w:tc>
          <w:tcPr>
            <w:tcW w:w="1140" w:type="dxa"/>
            <w:tcBorders>
              <w:top w:val="single" w:sz="4" w:space="0" w:color="000000"/>
              <w:left w:val="single" w:sz="4" w:space="0" w:color="000000"/>
              <w:right w:val="single" w:sz="4" w:space="0" w:color="000000"/>
            </w:tcBorders>
          </w:tcPr>
          <w:p>
            <w:pPr>
              <w:pStyle w:val="TableParagraph"/>
              <w:spacing w:before="80"/>
              <w:ind w:right="-15"/>
              <w:jc w:val="right"/>
              <w:rPr>
                <w:sz w:val="15"/>
              </w:rPr>
            </w:pPr>
            <w:r>
              <w:rPr>
                <w:sz w:val="15"/>
              </w:rPr>
              <w:t>-473,061,264.64</w:t>
            </w:r>
          </w:p>
        </w:tc>
        <w:tc>
          <w:tcPr>
            <w:tcW w:w="1280" w:type="dxa"/>
            <w:tcBorders>
              <w:top w:val="single" w:sz="4" w:space="0" w:color="000000"/>
              <w:left w:val="single" w:sz="4" w:space="0" w:color="000000"/>
              <w:right w:val="single" w:sz="4" w:space="0" w:color="000000"/>
            </w:tcBorders>
          </w:tcPr>
          <w:p>
            <w:pPr>
              <w:pStyle w:val="TableParagraph"/>
              <w:spacing w:before="80"/>
              <w:ind w:right="-15"/>
              <w:jc w:val="right"/>
              <w:rPr>
                <w:sz w:val="15"/>
              </w:rPr>
            </w:pPr>
            <w:r>
              <w:rPr>
                <w:sz w:val="15"/>
              </w:rPr>
              <w:t>2,033,725,374.42</w:t>
            </w:r>
          </w:p>
        </w:tc>
        <w:tc>
          <w:tcPr>
            <w:tcW w:w="991" w:type="dxa"/>
            <w:tcBorders>
              <w:top w:val="single" w:sz="4" w:space="0" w:color="000000"/>
              <w:left w:val="single" w:sz="4" w:space="0" w:color="000000"/>
              <w:right w:val="single" w:sz="4" w:space="0" w:color="000000"/>
            </w:tcBorders>
          </w:tcPr>
          <w:p>
            <w:pPr>
              <w:pStyle w:val="TableParagraph"/>
              <w:rPr>
                <w:sz w:val="14"/>
              </w:rPr>
            </w:pPr>
          </w:p>
        </w:tc>
        <w:tc>
          <w:tcPr>
            <w:tcW w:w="1130" w:type="dxa"/>
            <w:tcBorders>
              <w:top w:val="single" w:sz="4" w:space="0" w:color="000000"/>
              <w:left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right w:val="single" w:sz="4" w:space="0" w:color="000000"/>
            </w:tcBorders>
          </w:tcPr>
          <w:p>
            <w:pPr>
              <w:pStyle w:val="TableParagraph"/>
              <w:rPr>
                <w:sz w:val="14"/>
              </w:rPr>
            </w:pPr>
          </w:p>
        </w:tc>
        <w:tc>
          <w:tcPr>
            <w:tcW w:w="1126" w:type="dxa"/>
            <w:tcBorders>
              <w:top w:val="single" w:sz="4" w:space="0" w:color="000000"/>
              <w:left w:val="single" w:sz="4" w:space="0" w:color="000000"/>
              <w:right w:val="single" w:sz="4" w:space="0" w:color="000000"/>
            </w:tcBorders>
          </w:tcPr>
          <w:p>
            <w:pPr>
              <w:pStyle w:val="TableParagraph"/>
              <w:rPr>
                <w:sz w:val="14"/>
              </w:rPr>
            </w:pPr>
          </w:p>
        </w:tc>
        <w:tc>
          <w:tcPr>
            <w:tcW w:w="852" w:type="dxa"/>
            <w:tcBorders>
              <w:top w:val="single" w:sz="4" w:space="0" w:color="000000"/>
              <w:left w:val="single" w:sz="4" w:space="0" w:color="000000"/>
              <w:right w:val="single" w:sz="4" w:space="0" w:color="000000"/>
            </w:tcBorders>
          </w:tcPr>
          <w:p>
            <w:pPr>
              <w:pStyle w:val="TableParagraph"/>
              <w:rPr>
                <w:rFonts w:ascii="宋体"/>
                <w:sz w:val="13"/>
              </w:rPr>
            </w:pPr>
          </w:p>
          <w:p>
            <w:pPr>
              <w:pStyle w:val="TableParagraph"/>
              <w:spacing w:line="155" w:lineRule="exact"/>
              <w:ind w:right="157"/>
              <w:jc w:val="right"/>
              <w:rPr>
                <w:sz w:val="15"/>
              </w:rPr>
            </w:pPr>
            <w:r>
              <w:rPr>
                <w:w w:val="100"/>
                <w:sz w:val="15"/>
              </w:rPr>
              <w:t>-</w:t>
            </w:r>
          </w:p>
        </w:tc>
        <w:tc>
          <w:tcPr>
            <w:tcW w:w="1274" w:type="dxa"/>
            <w:tcBorders>
              <w:top w:val="single" w:sz="4" w:space="0" w:color="000000"/>
              <w:left w:val="single" w:sz="4" w:space="0" w:color="000000"/>
              <w:right w:val="single" w:sz="4" w:space="0" w:color="000000"/>
            </w:tcBorders>
          </w:tcPr>
          <w:p>
            <w:pPr>
              <w:pStyle w:val="TableParagraph"/>
              <w:rPr>
                <w:sz w:val="14"/>
              </w:rPr>
            </w:pPr>
          </w:p>
        </w:tc>
        <w:tc>
          <w:tcPr>
            <w:tcW w:w="398" w:type="dxa"/>
            <w:tcBorders>
              <w:top w:val="single" w:sz="4" w:space="0" w:color="000000"/>
              <w:left w:val="single" w:sz="4" w:space="0" w:color="000000"/>
              <w:right w:val="single" w:sz="4" w:space="0" w:color="000000"/>
            </w:tcBorders>
          </w:tcPr>
          <w:p>
            <w:pPr>
              <w:pStyle w:val="TableParagraph"/>
              <w:rPr>
                <w:sz w:val="14"/>
              </w:rPr>
            </w:pPr>
          </w:p>
        </w:tc>
        <w:tc>
          <w:tcPr>
            <w:tcW w:w="1303" w:type="dxa"/>
            <w:tcBorders>
              <w:top w:val="single" w:sz="4" w:space="0" w:color="000000"/>
              <w:left w:val="single" w:sz="4" w:space="0" w:color="000000"/>
              <w:right w:val="single" w:sz="4" w:space="0" w:color="000000"/>
            </w:tcBorders>
          </w:tcPr>
          <w:p>
            <w:pPr>
              <w:pStyle w:val="TableParagraph"/>
              <w:spacing w:before="80"/>
              <w:ind w:right="-29"/>
              <w:jc w:val="right"/>
              <w:rPr>
                <w:sz w:val="15"/>
              </w:rPr>
            </w:pPr>
            <w:r>
              <w:rPr>
                <w:sz w:val="15"/>
              </w:rPr>
              <w:t>1,771,814,036.78</w:t>
            </w:r>
          </w:p>
        </w:tc>
        <w:tc>
          <w:tcPr>
            <w:tcW w:w="1130" w:type="dxa"/>
            <w:tcBorders>
              <w:top w:val="single" w:sz="4" w:space="0" w:color="000000"/>
              <w:left w:val="single" w:sz="4" w:space="0" w:color="000000"/>
              <w:right w:val="single" w:sz="4" w:space="0" w:color="000000"/>
            </w:tcBorders>
          </w:tcPr>
          <w:p>
            <w:pPr>
              <w:pStyle w:val="TableParagraph"/>
              <w:spacing w:before="80"/>
              <w:ind w:right="-29"/>
              <w:jc w:val="right"/>
              <w:rPr>
                <w:sz w:val="15"/>
              </w:rPr>
            </w:pPr>
            <w:r>
              <w:rPr>
                <w:sz w:val="15"/>
              </w:rPr>
              <w:t>-2,522,706,368.51</w:t>
            </w:r>
          </w:p>
        </w:tc>
        <w:tc>
          <w:tcPr>
            <w:tcW w:w="1276" w:type="dxa"/>
            <w:tcBorders>
              <w:top w:val="single" w:sz="4" w:space="0" w:color="000000"/>
              <w:left w:val="single" w:sz="4" w:space="0" w:color="000000"/>
            </w:tcBorders>
          </w:tcPr>
          <w:p>
            <w:pPr>
              <w:pStyle w:val="TableParagraph"/>
              <w:spacing w:before="80"/>
              <w:ind w:right="-44"/>
              <w:jc w:val="right"/>
              <w:rPr>
                <w:sz w:val="15"/>
              </w:rPr>
            </w:pPr>
            <w:r>
              <w:rPr>
                <w:sz w:val="15"/>
              </w:rPr>
              <w:t>-750,892,331.73</w:t>
            </w:r>
          </w:p>
        </w:tc>
      </w:tr>
    </w:tbl>
    <w:p>
      <w:pPr>
        <w:spacing w:after="0"/>
        <w:jc w:val="right"/>
        <w:rPr>
          <w:sz w:val="15"/>
        </w:rPr>
        <w:sectPr>
          <w:pgSz w:w="16840" w:h="11910" w:orient="landscape"/>
          <w:pgMar w:header="876" w:footer="1214" w:top="1180" w:bottom="1400" w:left="120" w:right="860"/>
        </w:sectPr>
      </w:pPr>
    </w:p>
    <w:p>
      <w:pPr>
        <w:pStyle w:val="BodyText"/>
        <w:spacing w:before="4"/>
        <w:rPr>
          <w:rFonts w:ascii="Times New Roman"/>
          <w:sz w:val="8"/>
        </w:rPr>
      </w:pPr>
    </w:p>
    <w:tbl>
      <w:tblPr>
        <w:tblW w:w="0" w:type="auto"/>
        <w:jc w:val="left"/>
        <w:tblInd w:w="14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47"/>
        <w:gridCol w:w="1135"/>
        <w:gridCol w:w="571"/>
        <w:gridCol w:w="569"/>
        <w:gridCol w:w="1140"/>
        <w:gridCol w:w="1280"/>
        <w:gridCol w:w="991"/>
        <w:gridCol w:w="1130"/>
        <w:gridCol w:w="571"/>
        <w:gridCol w:w="1126"/>
        <w:gridCol w:w="852"/>
        <w:gridCol w:w="1274"/>
        <w:gridCol w:w="398"/>
        <w:gridCol w:w="1303"/>
        <w:gridCol w:w="1130"/>
        <w:gridCol w:w="1276"/>
      </w:tblGrid>
      <w:tr>
        <w:trPr>
          <w:trHeight w:val="387" w:hRule="atLeast"/>
        </w:trPr>
        <w:tc>
          <w:tcPr>
            <w:tcW w:w="847" w:type="dxa"/>
            <w:tcBorders>
              <w:bottom w:val="single" w:sz="4" w:space="0" w:color="000000"/>
              <w:right w:val="single" w:sz="4" w:space="0" w:color="000000"/>
            </w:tcBorders>
          </w:tcPr>
          <w:p>
            <w:pPr>
              <w:pStyle w:val="TableParagraph"/>
              <w:ind w:left="109"/>
              <w:rPr>
                <w:rFonts w:ascii="宋体" w:eastAsia="宋体" w:hint="eastAsia"/>
                <w:sz w:val="15"/>
              </w:rPr>
            </w:pPr>
            <w:r>
              <w:rPr>
                <w:rFonts w:ascii="宋体" w:eastAsia="宋体" w:hint="eastAsia"/>
                <w:sz w:val="15"/>
              </w:rPr>
              <w:t>投入的普</w:t>
            </w:r>
          </w:p>
          <w:p>
            <w:pPr>
              <w:pStyle w:val="TableParagraph"/>
              <w:spacing w:line="173" w:lineRule="exact" w:before="3"/>
              <w:ind w:left="109"/>
              <w:rPr>
                <w:rFonts w:ascii="宋体" w:eastAsia="宋体" w:hint="eastAsia"/>
                <w:sz w:val="15"/>
              </w:rPr>
            </w:pPr>
            <w:r>
              <w:rPr>
                <w:rFonts w:ascii="宋体" w:eastAsia="宋体" w:hint="eastAsia"/>
                <w:sz w:val="15"/>
              </w:rPr>
              <w:t>通股</w:t>
            </w:r>
          </w:p>
        </w:tc>
        <w:tc>
          <w:tcPr>
            <w:tcW w:w="1135" w:type="dxa"/>
            <w:tcBorders>
              <w:left w:val="single" w:sz="4" w:space="0" w:color="000000"/>
              <w:bottom w:val="single" w:sz="4" w:space="0" w:color="000000"/>
              <w:right w:val="single" w:sz="4" w:space="0" w:color="000000"/>
            </w:tcBorders>
          </w:tcPr>
          <w:p>
            <w:pPr>
              <w:pStyle w:val="TableParagraph"/>
              <w:rPr>
                <w:sz w:val="14"/>
              </w:rPr>
            </w:pPr>
          </w:p>
        </w:tc>
        <w:tc>
          <w:tcPr>
            <w:tcW w:w="571" w:type="dxa"/>
            <w:tcBorders>
              <w:left w:val="single" w:sz="4" w:space="0" w:color="000000"/>
              <w:bottom w:val="single" w:sz="4" w:space="0" w:color="000000"/>
              <w:right w:val="single" w:sz="4" w:space="0" w:color="000000"/>
            </w:tcBorders>
          </w:tcPr>
          <w:p>
            <w:pPr>
              <w:pStyle w:val="TableParagraph"/>
              <w:rPr>
                <w:sz w:val="14"/>
              </w:rPr>
            </w:pPr>
          </w:p>
        </w:tc>
        <w:tc>
          <w:tcPr>
            <w:tcW w:w="569" w:type="dxa"/>
            <w:tcBorders>
              <w:left w:val="single" w:sz="4" w:space="0" w:color="000000"/>
              <w:bottom w:val="single" w:sz="4" w:space="0" w:color="000000"/>
              <w:right w:val="single" w:sz="4" w:space="0" w:color="000000"/>
            </w:tcBorders>
          </w:tcPr>
          <w:p>
            <w:pPr>
              <w:pStyle w:val="TableParagraph"/>
              <w:rPr>
                <w:sz w:val="14"/>
              </w:rPr>
            </w:pPr>
          </w:p>
        </w:tc>
        <w:tc>
          <w:tcPr>
            <w:tcW w:w="1140" w:type="dxa"/>
            <w:tcBorders>
              <w:left w:val="single" w:sz="4" w:space="0" w:color="000000"/>
              <w:bottom w:val="single" w:sz="4" w:space="0" w:color="000000"/>
              <w:right w:val="single" w:sz="4" w:space="0" w:color="000000"/>
            </w:tcBorders>
          </w:tcPr>
          <w:p>
            <w:pPr>
              <w:pStyle w:val="TableParagraph"/>
              <w:rPr>
                <w:sz w:val="14"/>
              </w:rPr>
            </w:pPr>
          </w:p>
        </w:tc>
        <w:tc>
          <w:tcPr>
            <w:tcW w:w="1280" w:type="dxa"/>
            <w:tcBorders>
              <w:left w:val="single" w:sz="4" w:space="0" w:color="000000"/>
              <w:bottom w:val="single" w:sz="4" w:space="0" w:color="000000"/>
              <w:right w:val="single" w:sz="4" w:space="0" w:color="000000"/>
            </w:tcBorders>
          </w:tcPr>
          <w:p>
            <w:pPr>
              <w:pStyle w:val="TableParagraph"/>
              <w:rPr>
                <w:sz w:val="14"/>
              </w:rPr>
            </w:pPr>
          </w:p>
        </w:tc>
        <w:tc>
          <w:tcPr>
            <w:tcW w:w="991" w:type="dxa"/>
            <w:tcBorders>
              <w:left w:val="single" w:sz="4" w:space="0" w:color="000000"/>
              <w:bottom w:val="single" w:sz="4" w:space="0" w:color="000000"/>
              <w:right w:val="single" w:sz="4" w:space="0" w:color="000000"/>
            </w:tcBorders>
          </w:tcPr>
          <w:p>
            <w:pPr>
              <w:pStyle w:val="TableParagraph"/>
              <w:rPr>
                <w:sz w:val="14"/>
              </w:rPr>
            </w:pPr>
          </w:p>
        </w:tc>
        <w:tc>
          <w:tcPr>
            <w:tcW w:w="1130" w:type="dxa"/>
            <w:tcBorders>
              <w:left w:val="single" w:sz="4" w:space="0" w:color="000000"/>
              <w:bottom w:val="single" w:sz="4" w:space="0" w:color="000000"/>
              <w:right w:val="single" w:sz="4" w:space="0" w:color="000000"/>
            </w:tcBorders>
          </w:tcPr>
          <w:p>
            <w:pPr>
              <w:pStyle w:val="TableParagraph"/>
              <w:rPr>
                <w:sz w:val="14"/>
              </w:rPr>
            </w:pPr>
          </w:p>
        </w:tc>
        <w:tc>
          <w:tcPr>
            <w:tcW w:w="571" w:type="dxa"/>
            <w:tcBorders>
              <w:left w:val="single" w:sz="4" w:space="0" w:color="000000"/>
              <w:bottom w:val="single" w:sz="4" w:space="0" w:color="000000"/>
              <w:right w:val="single" w:sz="4" w:space="0" w:color="000000"/>
            </w:tcBorders>
          </w:tcPr>
          <w:p>
            <w:pPr>
              <w:pStyle w:val="TableParagraph"/>
              <w:rPr>
                <w:sz w:val="14"/>
              </w:rPr>
            </w:pPr>
          </w:p>
        </w:tc>
        <w:tc>
          <w:tcPr>
            <w:tcW w:w="1126" w:type="dxa"/>
            <w:tcBorders>
              <w:left w:val="single" w:sz="4" w:space="0" w:color="000000"/>
              <w:bottom w:val="single" w:sz="4" w:space="0" w:color="000000"/>
              <w:right w:val="single" w:sz="4" w:space="0" w:color="000000"/>
            </w:tcBorders>
          </w:tcPr>
          <w:p>
            <w:pPr>
              <w:pStyle w:val="TableParagraph"/>
              <w:rPr>
                <w:sz w:val="14"/>
              </w:rPr>
            </w:pPr>
          </w:p>
        </w:tc>
        <w:tc>
          <w:tcPr>
            <w:tcW w:w="852" w:type="dxa"/>
            <w:tcBorders>
              <w:left w:val="single" w:sz="4" w:space="0" w:color="000000"/>
              <w:bottom w:val="single" w:sz="4" w:space="0" w:color="000000"/>
              <w:right w:val="single" w:sz="4" w:space="0" w:color="000000"/>
            </w:tcBorders>
          </w:tcPr>
          <w:p>
            <w:pPr>
              <w:pStyle w:val="TableParagraph"/>
              <w:rPr>
                <w:sz w:val="14"/>
              </w:rPr>
            </w:pPr>
          </w:p>
        </w:tc>
        <w:tc>
          <w:tcPr>
            <w:tcW w:w="1274" w:type="dxa"/>
            <w:tcBorders>
              <w:left w:val="single" w:sz="4" w:space="0" w:color="000000"/>
              <w:bottom w:val="single" w:sz="4" w:space="0" w:color="000000"/>
              <w:right w:val="single" w:sz="4" w:space="0" w:color="000000"/>
            </w:tcBorders>
          </w:tcPr>
          <w:p>
            <w:pPr>
              <w:pStyle w:val="TableParagraph"/>
              <w:rPr>
                <w:sz w:val="14"/>
              </w:rPr>
            </w:pPr>
          </w:p>
        </w:tc>
        <w:tc>
          <w:tcPr>
            <w:tcW w:w="398" w:type="dxa"/>
            <w:tcBorders>
              <w:left w:val="single" w:sz="4" w:space="0" w:color="000000"/>
              <w:bottom w:val="single" w:sz="4" w:space="0" w:color="000000"/>
              <w:right w:val="single" w:sz="4" w:space="0" w:color="000000"/>
            </w:tcBorders>
          </w:tcPr>
          <w:p>
            <w:pPr>
              <w:pStyle w:val="TableParagraph"/>
              <w:rPr>
                <w:sz w:val="14"/>
              </w:rPr>
            </w:pPr>
          </w:p>
        </w:tc>
        <w:tc>
          <w:tcPr>
            <w:tcW w:w="1303" w:type="dxa"/>
            <w:tcBorders>
              <w:left w:val="single" w:sz="4" w:space="0" w:color="000000"/>
              <w:bottom w:val="single" w:sz="4" w:space="0" w:color="000000"/>
              <w:right w:val="single" w:sz="4" w:space="0" w:color="000000"/>
            </w:tcBorders>
          </w:tcPr>
          <w:p>
            <w:pPr>
              <w:pStyle w:val="TableParagraph"/>
              <w:rPr>
                <w:sz w:val="14"/>
              </w:rPr>
            </w:pPr>
          </w:p>
        </w:tc>
        <w:tc>
          <w:tcPr>
            <w:tcW w:w="1130" w:type="dxa"/>
            <w:tcBorders>
              <w:left w:val="single" w:sz="4" w:space="0" w:color="000000"/>
              <w:bottom w:val="single" w:sz="4" w:space="0" w:color="000000"/>
              <w:right w:val="single" w:sz="4" w:space="0" w:color="000000"/>
            </w:tcBorders>
          </w:tcPr>
          <w:p>
            <w:pPr>
              <w:pStyle w:val="TableParagraph"/>
              <w:rPr>
                <w:sz w:val="14"/>
              </w:rPr>
            </w:pPr>
          </w:p>
        </w:tc>
        <w:tc>
          <w:tcPr>
            <w:tcW w:w="1276" w:type="dxa"/>
            <w:tcBorders>
              <w:left w:val="single" w:sz="4" w:space="0" w:color="000000"/>
              <w:bottom w:val="single" w:sz="4" w:space="0" w:color="000000"/>
            </w:tcBorders>
          </w:tcPr>
          <w:p>
            <w:pPr>
              <w:pStyle w:val="TableParagraph"/>
              <w:rPr>
                <w:sz w:val="14"/>
              </w:rPr>
            </w:pPr>
          </w:p>
        </w:tc>
      </w:tr>
      <w:tr>
        <w:trPr>
          <w:trHeight w:val="779" w:hRule="atLeast"/>
        </w:trPr>
        <w:tc>
          <w:tcPr>
            <w:tcW w:w="847" w:type="dxa"/>
            <w:tcBorders>
              <w:top w:val="single" w:sz="4" w:space="0" w:color="000000"/>
              <w:bottom w:val="single" w:sz="4" w:space="0" w:color="000000"/>
              <w:right w:val="single" w:sz="4" w:space="0" w:color="000000"/>
            </w:tcBorders>
          </w:tcPr>
          <w:p>
            <w:pPr>
              <w:pStyle w:val="TableParagraph"/>
              <w:spacing w:line="244" w:lineRule="auto" w:before="1"/>
              <w:ind w:left="109" w:right="81"/>
              <w:jc w:val="both"/>
              <w:rPr>
                <w:rFonts w:ascii="宋体" w:eastAsia="宋体" w:hint="eastAsia"/>
                <w:sz w:val="15"/>
              </w:rPr>
            </w:pPr>
            <w:r>
              <w:rPr>
                <w:spacing w:val="-23"/>
                <w:sz w:val="15"/>
              </w:rPr>
              <w:t>2</w:t>
            </w:r>
            <w:r>
              <w:rPr>
                <w:rFonts w:ascii="宋体" w:eastAsia="宋体" w:hint="eastAsia"/>
                <w:spacing w:val="-11"/>
                <w:sz w:val="15"/>
              </w:rPr>
              <w:t>．其他权</w:t>
            </w:r>
            <w:r>
              <w:rPr>
                <w:rFonts w:ascii="宋体" w:eastAsia="宋体" w:hint="eastAsia"/>
                <w:spacing w:val="-1"/>
                <w:sz w:val="15"/>
              </w:rPr>
              <w:t>益工具持</w:t>
            </w:r>
            <w:r>
              <w:rPr>
                <w:rFonts w:ascii="宋体" w:eastAsia="宋体" w:hint="eastAsia"/>
                <w:spacing w:val="-2"/>
                <w:sz w:val="15"/>
              </w:rPr>
              <w:t>有者投入</w:t>
            </w:r>
          </w:p>
          <w:p>
            <w:pPr>
              <w:pStyle w:val="TableParagraph"/>
              <w:spacing w:line="171" w:lineRule="exact"/>
              <w:ind w:left="109"/>
              <w:rPr>
                <w:rFonts w:ascii="宋体" w:eastAsia="宋体" w:hint="eastAsia"/>
                <w:sz w:val="15"/>
              </w:rPr>
            </w:pPr>
            <w:r>
              <w:rPr>
                <w:rFonts w:ascii="宋体" w:eastAsia="宋体" w:hint="eastAsia"/>
                <w:sz w:val="15"/>
              </w:rPr>
              <w:t>资本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39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rPr>
                <w:sz w:val="16"/>
              </w:rPr>
            </w:pPr>
          </w:p>
          <w:p>
            <w:pPr>
              <w:pStyle w:val="TableParagraph"/>
              <w:spacing w:before="5"/>
              <w:rPr>
                <w:sz w:val="17"/>
              </w:rPr>
            </w:pPr>
          </w:p>
          <w:p>
            <w:pPr>
              <w:pStyle w:val="TableParagraph"/>
              <w:spacing w:before="1"/>
              <w:ind w:right="49"/>
              <w:jc w:val="right"/>
              <w:rPr>
                <w:sz w:val="15"/>
              </w:rPr>
            </w:pPr>
            <w:r>
              <w:rPr>
                <w:w w:val="100"/>
                <w:sz w:val="15"/>
              </w:rPr>
              <w:t>-</w:t>
            </w:r>
          </w:p>
        </w:tc>
        <w:tc>
          <w:tcPr>
            <w:tcW w:w="1276" w:type="dxa"/>
            <w:tcBorders>
              <w:top w:val="single" w:sz="4" w:space="0" w:color="000000"/>
              <w:left w:val="single" w:sz="4" w:space="0" w:color="000000"/>
              <w:bottom w:val="single" w:sz="4" w:space="0" w:color="000000"/>
            </w:tcBorders>
          </w:tcPr>
          <w:p>
            <w:pPr>
              <w:pStyle w:val="TableParagraph"/>
              <w:rPr>
                <w:sz w:val="16"/>
              </w:rPr>
            </w:pPr>
          </w:p>
          <w:p>
            <w:pPr>
              <w:pStyle w:val="TableParagraph"/>
              <w:spacing w:before="5"/>
              <w:rPr>
                <w:sz w:val="17"/>
              </w:rPr>
            </w:pPr>
          </w:p>
          <w:p>
            <w:pPr>
              <w:pStyle w:val="TableParagraph"/>
              <w:spacing w:before="1"/>
              <w:ind w:right="38"/>
              <w:jc w:val="right"/>
              <w:rPr>
                <w:sz w:val="15"/>
              </w:rPr>
            </w:pPr>
            <w:r>
              <w:rPr>
                <w:w w:val="100"/>
                <w:sz w:val="15"/>
              </w:rPr>
              <w:t>-</w:t>
            </w:r>
          </w:p>
        </w:tc>
      </w:tr>
      <w:tr>
        <w:trPr>
          <w:trHeight w:val="777" w:hRule="atLeast"/>
        </w:trPr>
        <w:tc>
          <w:tcPr>
            <w:tcW w:w="847" w:type="dxa"/>
            <w:tcBorders>
              <w:top w:val="single" w:sz="4" w:space="0" w:color="000000"/>
              <w:bottom w:val="single" w:sz="4" w:space="0" w:color="000000"/>
              <w:right w:val="single" w:sz="4" w:space="0" w:color="000000"/>
            </w:tcBorders>
          </w:tcPr>
          <w:p>
            <w:pPr>
              <w:pStyle w:val="TableParagraph"/>
              <w:spacing w:line="242" w:lineRule="auto" w:before="1"/>
              <w:ind w:left="109" w:right="81"/>
              <w:jc w:val="both"/>
              <w:rPr>
                <w:rFonts w:ascii="宋体" w:eastAsia="宋体" w:hint="eastAsia"/>
                <w:sz w:val="15"/>
              </w:rPr>
            </w:pPr>
            <w:r>
              <w:rPr>
                <w:spacing w:val="-23"/>
                <w:sz w:val="15"/>
              </w:rPr>
              <w:t>3</w:t>
            </w:r>
            <w:r>
              <w:rPr>
                <w:rFonts w:ascii="宋体" w:eastAsia="宋体" w:hint="eastAsia"/>
                <w:spacing w:val="-11"/>
                <w:sz w:val="15"/>
              </w:rPr>
              <w:t>．股份支</w:t>
            </w:r>
            <w:r>
              <w:rPr>
                <w:rFonts w:ascii="宋体" w:eastAsia="宋体" w:hint="eastAsia"/>
                <w:spacing w:val="-1"/>
                <w:sz w:val="15"/>
              </w:rPr>
              <w:t>付计入所</w:t>
            </w:r>
            <w:r>
              <w:rPr>
                <w:rFonts w:ascii="宋体" w:eastAsia="宋体" w:hint="eastAsia"/>
                <w:spacing w:val="-2"/>
                <w:sz w:val="15"/>
              </w:rPr>
              <w:t>有者权益</w:t>
            </w:r>
          </w:p>
          <w:p>
            <w:pPr>
              <w:pStyle w:val="TableParagraph"/>
              <w:spacing w:line="173" w:lineRule="exact" w:before="1"/>
              <w:ind w:left="109"/>
              <w:rPr>
                <w:rFonts w:ascii="宋体" w:eastAsia="宋体" w:hint="eastAsia"/>
                <w:sz w:val="15"/>
              </w:rPr>
            </w:pPr>
            <w:r>
              <w:rPr>
                <w:rFonts w:ascii="宋体" w:eastAsia="宋体" w:hint="eastAsia"/>
                <w:sz w:val="15"/>
              </w:rPr>
              <w:t>的金额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39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6" w:type="dxa"/>
            <w:tcBorders>
              <w:top w:val="single" w:sz="4" w:space="0" w:color="000000"/>
              <w:left w:val="single" w:sz="4" w:space="0" w:color="000000"/>
              <w:bottom w:val="single" w:sz="4" w:space="0" w:color="000000"/>
            </w:tcBorders>
          </w:tcPr>
          <w:p>
            <w:pPr>
              <w:pStyle w:val="TableParagraph"/>
              <w:rPr>
                <w:sz w:val="16"/>
              </w:rPr>
            </w:pPr>
          </w:p>
          <w:p>
            <w:pPr>
              <w:pStyle w:val="TableParagraph"/>
              <w:spacing w:before="3"/>
              <w:rPr>
                <w:sz w:val="17"/>
              </w:rPr>
            </w:pPr>
          </w:p>
          <w:p>
            <w:pPr>
              <w:pStyle w:val="TableParagraph"/>
              <w:ind w:right="38"/>
              <w:jc w:val="right"/>
              <w:rPr>
                <w:sz w:val="15"/>
              </w:rPr>
            </w:pPr>
            <w:r>
              <w:rPr>
                <w:w w:val="100"/>
                <w:sz w:val="15"/>
              </w:rPr>
              <w:t>-</w:t>
            </w:r>
          </w:p>
        </w:tc>
      </w:tr>
      <w:tr>
        <w:trPr>
          <w:trHeight w:val="193" w:hRule="atLeast"/>
        </w:trPr>
        <w:tc>
          <w:tcPr>
            <w:tcW w:w="847" w:type="dxa"/>
            <w:tcBorders>
              <w:top w:val="single" w:sz="4" w:space="0" w:color="000000"/>
              <w:bottom w:val="single" w:sz="4" w:space="0" w:color="000000"/>
              <w:right w:val="single" w:sz="4" w:space="0" w:color="000000"/>
            </w:tcBorders>
          </w:tcPr>
          <w:p>
            <w:pPr>
              <w:pStyle w:val="TableParagraph"/>
              <w:spacing w:line="173" w:lineRule="exact" w:before="1"/>
              <w:ind w:left="109"/>
              <w:rPr>
                <w:rFonts w:ascii="宋体" w:eastAsia="宋体" w:hint="eastAsia"/>
                <w:sz w:val="15"/>
              </w:rPr>
            </w:pPr>
            <w:r>
              <w:rPr>
                <w:sz w:val="15"/>
              </w:rPr>
              <w:t>4</w:t>
            </w:r>
            <w:r>
              <w:rPr>
                <w:rFonts w:ascii="宋体" w:eastAsia="宋体" w:hint="eastAsia"/>
                <w:sz w:val="15"/>
              </w:rPr>
              <w:t>．其他</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6"/>
              <w:ind w:left="365" w:right="-15"/>
              <w:rPr>
                <w:sz w:val="15"/>
              </w:rPr>
            </w:pPr>
            <w:r>
              <w:rPr>
                <w:spacing w:val="-1"/>
                <w:sz w:val="15"/>
              </w:rPr>
              <w:t>-49,501,586.60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398"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6"/>
              <w:ind w:right="-29"/>
              <w:jc w:val="right"/>
              <w:rPr>
                <w:sz w:val="15"/>
              </w:rPr>
            </w:pPr>
            <w:r>
              <w:rPr>
                <w:sz w:val="15"/>
              </w:rPr>
              <w:t>-49,501,586.60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rPr>
                <w:sz w:val="12"/>
              </w:rPr>
            </w:pPr>
          </w:p>
        </w:tc>
        <w:tc>
          <w:tcPr>
            <w:tcW w:w="1276" w:type="dxa"/>
            <w:tcBorders>
              <w:top w:val="single" w:sz="4" w:space="0" w:color="000000"/>
              <w:left w:val="single" w:sz="4" w:space="0" w:color="000000"/>
              <w:bottom w:val="single" w:sz="4" w:space="0" w:color="000000"/>
            </w:tcBorders>
          </w:tcPr>
          <w:p>
            <w:pPr>
              <w:pStyle w:val="TableParagraph"/>
              <w:spacing w:line="168" w:lineRule="exact" w:before="6"/>
              <w:ind w:right="-44"/>
              <w:jc w:val="right"/>
              <w:rPr>
                <w:sz w:val="15"/>
              </w:rPr>
            </w:pPr>
            <w:r>
              <w:rPr>
                <w:sz w:val="15"/>
              </w:rPr>
              <w:t>-49,501,586.60</w:t>
            </w:r>
          </w:p>
        </w:tc>
      </w:tr>
      <w:tr>
        <w:trPr>
          <w:trHeight w:val="391" w:hRule="atLeast"/>
        </w:trPr>
        <w:tc>
          <w:tcPr>
            <w:tcW w:w="847" w:type="dxa"/>
            <w:tcBorders>
              <w:top w:val="single" w:sz="4" w:space="0" w:color="000000"/>
              <w:bottom w:val="single" w:sz="4" w:space="0" w:color="000000"/>
              <w:right w:val="single" w:sz="4" w:space="0" w:color="000000"/>
            </w:tcBorders>
          </w:tcPr>
          <w:p>
            <w:pPr>
              <w:pStyle w:val="TableParagraph"/>
              <w:spacing w:before="1"/>
              <w:ind w:left="109"/>
              <w:rPr>
                <w:rFonts w:ascii="宋体" w:eastAsia="宋体" w:hint="eastAsia"/>
                <w:sz w:val="15"/>
              </w:rPr>
            </w:pPr>
            <w:r>
              <w:rPr>
                <w:rFonts w:ascii="宋体" w:eastAsia="宋体" w:hint="eastAsia"/>
                <w:sz w:val="15"/>
              </w:rPr>
              <w:t>（三）利</w:t>
            </w:r>
          </w:p>
          <w:p>
            <w:pPr>
              <w:pStyle w:val="TableParagraph"/>
              <w:spacing w:line="175" w:lineRule="exact" w:before="3"/>
              <w:ind w:left="109"/>
              <w:rPr>
                <w:rFonts w:ascii="宋体" w:eastAsia="宋体" w:hint="eastAsia"/>
                <w:sz w:val="15"/>
              </w:rPr>
            </w:pPr>
            <w:r>
              <w:rPr>
                <w:rFonts w:ascii="宋体" w:eastAsia="宋体" w:hint="eastAsia"/>
                <w:sz w:val="15"/>
              </w:rPr>
              <w:t>润分配</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before="5"/>
              <w:rPr>
                <w:sz w:val="16"/>
              </w:rPr>
            </w:pPr>
          </w:p>
          <w:p>
            <w:pPr>
              <w:pStyle w:val="TableParagraph"/>
              <w:ind w:right="56"/>
              <w:jc w:val="right"/>
              <w:rPr>
                <w:sz w:val="15"/>
              </w:rPr>
            </w:pPr>
            <w:r>
              <w:rPr>
                <w:w w:val="100"/>
                <w:sz w:val="15"/>
              </w:rPr>
              <w:t>-</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before="104"/>
              <w:ind w:right="-29"/>
              <w:jc w:val="right"/>
              <w:rPr>
                <w:sz w:val="15"/>
              </w:rPr>
            </w:pPr>
            <w:r>
              <w:rPr>
                <w:sz w:val="15"/>
              </w:rPr>
              <w:t>367,026,088.36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6"/>
              <w:rPr>
                <w:sz w:val="14"/>
              </w:rPr>
            </w:pPr>
          </w:p>
          <w:p>
            <w:pPr>
              <w:pStyle w:val="TableParagraph"/>
              <w:ind w:right="157"/>
              <w:jc w:val="right"/>
              <w:rPr>
                <w:sz w:val="15"/>
              </w:rPr>
            </w:pPr>
            <w:r>
              <w:rPr>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104"/>
              <w:ind w:right="-29"/>
              <w:jc w:val="right"/>
              <w:rPr>
                <w:sz w:val="15"/>
              </w:rPr>
            </w:pPr>
            <w:r>
              <w:rPr>
                <w:sz w:val="15"/>
              </w:rPr>
              <w:t>-2,602,360,649.09</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before="104"/>
              <w:ind w:right="-29"/>
              <w:jc w:val="right"/>
              <w:rPr>
                <w:sz w:val="15"/>
              </w:rPr>
            </w:pPr>
            <w:r>
              <w:rPr>
                <w:sz w:val="15"/>
              </w:rPr>
              <w:t>-2,235,334,560.73</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before="104"/>
              <w:ind w:right="-29"/>
              <w:jc w:val="right"/>
              <w:rPr>
                <w:sz w:val="15"/>
              </w:rPr>
            </w:pPr>
            <w:r>
              <w:rPr>
                <w:sz w:val="15"/>
              </w:rPr>
              <w:t>-578,699,909.63</w:t>
            </w:r>
          </w:p>
        </w:tc>
        <w:tc>
          <w:tcPr>
            <w:tcW w:w="1276" w:type="dxa"/>
            <w:tcBorders>
              <w:top w:val="single" w:sz="4" w:space="0" w:color="000000"/>
              <w:left w:val="single" w:sz="4" w:space="0" w:color="000000"/>
              <w:bottom w:val="single" w:sz="4" w:space="0" w:color="000000"/>
            </w:tcBorders>
          </w:tcPr>
          <w:p>
            <w:pPr>
              <w:pStyle w:val="TableParagraph"/>
              <w:spacing w:before="104"/>
              <w:ind w:right="-44"/>
              <w:jc w:val="right"/>
              <w:rPr>
                <w:sz w:val="15"/>
              </w:rPr>
            </w:pPr>
            <w:r>
              <w:rPr>
                <w:sz w:val="15"/>
              </w:rPr>
              <w:t>-2,814,034,470.36</w:t>
            </w:r>
          </w:p>
        </w:tc>
      </w:tr>
      <w:tr>
        <w:trPr>
          <w:trHeight w:val="388" w:hRule="atLeast"/>
        </w:trPr>
        <w:tc>
          <w:tcPr>
            <w:tcW w:w="847" w:type="dxa"/>
            <w:tcBorders>
              <w:top w:val="single" w:sz="4" w:space="0" w:color="000000"/>
              <w:bottom w:val="single" w:sz="4" w:space="0" w:color="000000"/>
              <w:right w:val="single" w:sz="4" w:space="0" w:color="000000"/>
            </w:tcBorders>
          </w:tcPr>
          <w:p>
            <w:pPr>
              <w:pStyle w:val="TableParagraph"/>
              <w:spacing w:before="1"/>
              <w:ind w:left="109"/>
              <w:rPr>
                <w:rFonts w:ascii="宋体" w:eastAsia="宋体" w:hint="eastAsia"/>
                <w:sz w:val="15"/>
              </w:rPr>
            </w:pPr>
            <w:r>
              <w:rPr>
                <w:sz w:val="15"/>
              </w:rPr>
              <w:t>1</w:t>
            </w:r>
            <w:r>
              <w:rPr>
                <w:rFonts w:ascii="宋体" w:eastAsia="宋体" w:hint="eastAsia"/>
                <w:sz w:val="15"/>
              </w:rPr>
              <w:t>．提取盈</w:t>
            </w:r>
          </w:p>
          <w:p>
            <w:pPr>
              <w:pStyle w:val="TableParagraph"/>
              <w:spacing w:line="173" w:lineRule="exact" w:before="2"/>
              <w:ind w:left="109"/>
              <w:rPr>
                <w:rFonts w:ascii="宋体" w:eastAsia="宋体" w:hint="eastAsia"/>
                <w:sz w:val="15"/>
              </w:rPr>
            </w:pPr>
            <w:r>
              <w:rPr>
                <w:rFonts w:ascii="宋体" w:eastAsia="宋体" w:hint="eastAsia"/>
                <w:sz w:val="15"/>
              </w:rPr>
              <w:t>余公积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before="102"/>
              <w:ind w:right="-29"/>
              <w:jc w:val="right"/>
              <w:rPr>
                <w:sz w:val="15"/>
              </w:rPr>
            </w:pPr>
            <w:r>
              <w:rPr>
                <w:sz w:val="15"/>
              </w:rPr>
              <w:t>367,026,088.36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102"/>
              <w:ind w:right="-29"/>
              <w:jc w:val="right"/>
              <w:rPr>
                <w:sz w:val="15"/>
              </w:rPr>
            </w:pPr>
            <w:r>
              <w:rPr>
                <w:sz w:val="15"/>
              </w:rPr>
              <w:t>-367,026,088.36</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6" w:type="dxa"/>
            <w:tcBorders>
              <w:top w:val="single" w:sz="4" w:space="0" w:color="000000"/>
              <w:left w:val="single" w:sz="4" w:space="0" w:color="000000"/>
              <w:bottom w:val="single" w:sz="4" w:space="0" w:color="000000"/>
            </w:tcBorders>
          </w:tcPr>
          <w:p>
            <w:pPr>
              <w:pStyle w:val="TableParagraph"/>
              <w:spacing w:before="4"/>
              <w:rPr>
                <w:sz w:val="16"/>
              </w:rPr>
            </w:pPr>
          </w:p>
          <w:p>
            <w:pPr>
              <w:pStyle w:val="TableParagraph"/>
              <w:ind w:right="38"/>
              <w:jc w:val="right"/>
              <w:rPr>
                <w:sz w:val="15"/>
              </w:rPr>
            </w:pPr>
            <w:r>
              <w:rPr>
                <w:w w:val="100"/>
                <w:sz w:val="15"/>
              </w:rPr>
              <w:t>-</w:t>
            </w:r>
          </w:p>
        </w:tc>
      </w:tr>
      <w:tr>
        <w:trPr>
          <w:trHeight w:val="582" w:hRule="atLeast"/>
        </w:trPr>
        <w:tc>
          <w:tcPr>
            <w:tcW w:w="847" w:type="dxa"/>
            <w:tcBorders>
              <w:top w:val="single" w:sz="4" w:space="0" w:color="000000"/>
              <w:bottom w:val="single" w:sz="4" w:space="0" w:color="000000"/>
              <w:right w:val="single" w:sz="4" w:space="0" w:color="000000"/>
            </w:tcBorders>
          </w:tcPr>
          <w:p>
            <w:pPr>
              <w:pStyle w:val="TableParagraph"/>
              <w:spacing w:line="242" w:lineRule="auto" w:before="1"/>
              <w:ind w:left="109" w:right="22"/>
              <w:rPr>
                <w:rFonts w:ascii="宋体" w:eastAsia="宋体" w:hint="eastAsia"/>
                <w:sz w:val="15"/>
              </w:rPr>
            </w:pPr>
            <w:r>
              <w:rPr>
                <w:sz w:val="15"/>
              </w:rPr>
              <w:t>2</w:t>
            </w:r>
            <w:r>
              <w:rPr>
                <w:rFonts w:ascii="宋体" w:eastAsia="宋体" w:hint="eastAsia"/>
                <w:sz w:val="15"/>
              </w:rPr>
              <w:t>．提取一般风险准</w:t>
            </w:r>
          </w:p>
          <w:p>
            <w:pPr>
              <w:pStyle w:val="TableParagraph"/>
              <w:spacing w:line="173" w:lineRule="exact"/>
              <w:ind w:left="109"/>
              <w:rPr>
                <w:rFonts w:ascii="宋体" w:eastAsia="宋体" w:hint="eastAsia"/>
                <w:sz w:val="15"/>
              </w:rPr>
            </w:pPr>
            <w:r>
              <w:rPr>
                <w:rFonts w:ascii="宋体" w:eastAsia="宋体" w:hint="eastAsia"/>
                <w:w w:val="100"/>
                <w:sz w:val="15"/>
              </w:rPr>
              <w:t>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5"/>
              <w:rPr>
                <w:sz w:val="14"/>
              </w:rPr>
            </w:pPr>
          </w:p>
          <w:p>
            <w:pPr>
              <w:pStyle w:val="TableParagraph"/>
              <w:spacing w:before="1"/>
              <w:ind w:right="157"/>
              <w:jc w:val="right"/>
              <w:rPr>
                <w:sz w:val="15"/>
              </w:rPr>
            </w:pPr>
            <w:r>
              <w:rPr>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39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6" w:type="dxa"/>
            <w:tcBorders>
              <w:top w:val="single" w:sz="4" w:space="0" w:color="000000"/>
              <w:left w:val="single" w:sz="4" w:space="0" w:color="000000"/>
              <w:bottom w:val="single" w:sz="4" w:space="0" w:color="000000"/>
            </w:tcBorders>
          </w:tcPr>
          <w:p>
            <w:pPr>
              <w:pStyle w:val="TableParagraph"/>
              <w:rPr>
                <w:sz w:val="16"/>
              </w:rPr>
            </w:pPr>
          </w:p>
          <w:p>
            <w:pPr>
              <w:pStyle w:val="TableParagraph"/>
              <w:spacing w:before="103"/>
              <w:ind w:right="38"/>
              <w:jc w:val="right"/>
              <w:rPr>
                <w:sz w:val="15"/>
              </w:rPr>
            </w:pPr>
            <w:r>
              <w:rPr>
                <w:w w:val="100"/>
                <w:sz w:val="15"/>
              </w:rPr>
              <w:t>-</w:t>
            </w:r>
          </w:p>
        </w:tc>
      </w:tr>
      <w:tr>
        <w:trPr>
          <w:trHeight w:val="779" w:hRule="atLeast"/>
        </w:trPr>
        <w:tc>
          <w:tcPr>
            <w:tcW w:w="847" w:type="dxa"/>
            <w:tcBorders>
              <w:top w:val="single" w:sz="4" w:space="0" w:color="000000"/>
              <w:bottom w:val="single" w:sz="4" w:space="0" w:color="000000"/>
              <w:right w:val="single" w:sz="4" w:space="0" w:color="000000"/>
            </w:tcBorders>
          </w:tcPr>
          <w:p>
            <w:pPr>
              <w:pStyle w:val="TableParagraph"/>
              <w:spacing w:line="242" w:lineRule="auto" w:before="1"/>
              <w:ind w:left="109" w:right="81"/>
              <w:jc w:val="both"/>
              <w:rPr>
                <w:rFonts w:ascii="宋体" w:eastAsia="宋体" w:hint="eastAsia"/>
                <w:sz w:val="15"/>
              </w:rPr>
            </w:pPr>
            <w:r>
              <w:rPr>
                <w:spacing w:val="-23"/>
                <w:sz w:val="15"/>
              </w:rPr>
              <w:t>3</w:t>
            </w:r>
            <w:r>
              <w:rPr>
                <w:rFonts w:ascii="宋体" w:eastAsia="宋体" w:hint="eastAsia"/>
                <w:spacing w:val="-11"/>
                <w:sz w:val="15"/>
              </w:rPr>
              <w:t>．对所有</w:t>
            </w:r>
            <w:r>
              <w:rPr>
                <w:rFonts w:ascii="宋体" w:eastAsia="宋体" w:hint="eastAsia"/>
                <w:sz w:val="15"/>
              </w:rPr>
              <w:t>者（</w:t>
            </w:r>
            <w:r>
              <w:rPr>
                <w:rFonts w:ascii="宋体" w:eastAsia="宋体" w:hint="eastAsia"/>
                <w:spacing w:val="-2"/>
                <w:sz w:val="15"/>
              </w:rPr>
              <w:t>或股东）的分</w:t>
            </w:r>
          </w:p>
          <w:p>
            <w:pPr>
              <w:pStyle w:val="TableParagraph"/>
              <w:spacing w:line="175" w:lineRule="exact" w:before="1"/>
              <w:ind w:left="109"/>
              <w:rPr>
                <w:rFonts w:ascii="宋体" w:eastAsia="宋体" w:hint="eastAsia"/>
                <w:sz w:val="15"/>
              </w:rPr>
            </w:pPr>
            <w:r>
              <w:rPr>
                <w:rFonts w:ascii="宋体" w:eastAsia="宋体" w:hint="eastAsia"/>
                <w:w w:val="100"/>
                <w:sz w:val="15"/>
              </w:rPr>
              <w:t>配</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rPr>
                <w:sz w:val="16"/>
              </w:rPr>
            </w:pPr>
          </w:p>
          <w:p>
            <w:pPr>
              <w:pStyle w:val="TableParagraph"/>
              <w:spacing w:before="112"/>
              <w:ind w:right="-29"/>
              <w:jc w:val="right"/>
              <w:rPr>
                <w:sz w:val="15"/>
              </w:rPr>
            </w:pPr>
            <w:r>
              <w:rPr>
                <w:sz w:val="15"/>
              </w:rPr>
              <w:t>-2,235,334,560.73</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rPr>
                <w:sz w:val="16"/>
              </w:rPr>
            </w:pPr>
          </w:p>
          <w:p>
            <w:pPr>
              <w:pStyle w:val="TableParagraph"/>
              <w:spacing w:before="112"/>
              <w:ind w:right="-29"/>
              <w:jc w:val="right"/>
              <w:rPr>
                <w:sz w:val="15"/>
              </w:rPr>
            </w:pPr>
            <w:r>
              <w:rPr>
                <w:sz w:val="15"/>
              </w:rPr>
              <w:t>-2,235,334,560.73</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rPr>
                <w:sz w:val="16"/>
              </w:rPr>
            </w:pPr>
          </w:p>
          <w:p>
            <w:pPr>
              <w:pStyle w:val="TableParagraph"/>
              <w:spacing w:before="112"/>
              <w:ind w:right="-29"/>
              <w:jc w:val="right"/>
              <w:rPr>
                <w:sz w:val="15"/>
              </w:rPr>
            </w:pPr>
            <w:r>
              <w:rPr>
                <w:sz w:val="15"/>
              </w:rPr>
              <w:t>-578,699,909.63</w:t>
            </w:r>
          </w:p>
        </w:tc>
        <w:tc>
          <w:tcPr>
            <w:tcW w:w="1276" w:type="dxa"/>
            <w:tcBorders>
              <w:top w:val="single" w:sz="4" w:space="0" w:color="000000"/>
              <w:left w:val="single" w:sz="4" w:space="0" w:color="000000"/>
              <w:bottom w:val="single" w:sz="4" w:space="0" w:color="000000"/>
            </w:tcBorders>
          </w:tcPr>
          <w:p>
            <w:pPr>
              <w:pStyle w:val="TableParagraph"/>
              <w:rPr>
                <w:sz w:val="16"/>
              </w:rPr>
            </w:pPr>
          </w:p>
          <w:p>
            <w:pPr>
              <w:pStyle w:val="TableParagraph"/>
              <w:spacing w:before="112"/>
              <w:ind w:right="-44"/>
              <w:jc w:val="right"/>
              <w:rPr>
                <w:sz w:val="15"/>
              </w:rPr>
            </w:pPr>
            <w:r>
              <w:rPr>
                <w:sz w:val="15"/>
              </w:rPr>
              <w:t>-2,814,034,470.36</w:t>
            </w:r>
          </w:p>
        </w:tc>
      </w:tr>
      <w:tr>
        <w:trPr>
          <w:trHeight w:val="342" w:hRule="atLeast"/>
        </w:trPr>
        <w:tc>
          <w:tcPr>
            <w:tcW w:w="847" w:type="dxa"/>
            <w:tcBorders>
              <w:top w:val="single" w:sz="4" w:space="0" w:color="000000"/>
              <w:bottom w:val="single" w:sz="4" w:space="0" w:color="000000"/>
              <w:right w:val="single" w:sz="4" w:space="0" w:color="000000"/>
            </w:tcBorders>
          </w:tcPr>
          <w:p>
            <w:pPr>
              <w:pStyle w:val="TableParagraph"/>
              <w:spacing w:before="1"/>
              <w:ind w:left="109"/>
              <w:rPr>
                <w:rFonts w:ascii="宋体" w:eastAsia="宋体" w:hint="eastAsia"/>
                <w:sz w:val="15"/>
              </w:rPr>
            </w:pPr>
            <w:r>
              <w:rPr>
                <w:sz w:val="15"/>
              </w:rPr>
              <w:t>4</w:t>
            </w:r>
            <w:r>
              <w:rPr>
                <w:rFonts w:ascii="宋体" w:eastAsia="宋体" w:hint="eastAsia"/>
                <w:sz w:val="15"/>
              </w:rPr>
              <w:t>．其他</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39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6" w:type="dxa"/>
            <w:tcBorders>
              <w:top w:val="single" w:sz="4" w:space="0" w:color="000000"/>
              <w:left w:val="single" w:sz="4" w:space="0" w:color="000000"/>
              <w:bottom w:val="single" w:sz="4" w:space="0" w:color="000000"/>
            </w:tcBorders>
          </w:tcPr>
          <w:p>
            <w:pPr>
              <w:pStyle w:val="TableParagraph"/>
              <w:spacing w:before="5"/>
              <w:rPr>
                <w:sz w:val="14"/>
              </w:rPr>
            </w:pPr>
          </w:p>
          <w:p>
            <w:pPr>
              <w:pStyle w:val="TableParagraph"/>
              <w:spacing w:line="156" w:lineRule="exact" w:before="1"/>
              <w:ind w:right="38"/>
              <w:jc w:val="right"/>
              <w:rPr>
                <w:sz w:val="15"/>
              </w:rPr>
            </w:pPr>
            <w:r>
              <w:rPr>
                <w:w w:val="100"/>
                <w:sz w:val="15"/>
              </w:rPr>
              <w:t>-</w:t>
            </w:r>
          </w:p>
        </w:tc>
      </w:tr>
      <w:tr>
        <w:trPr>
          <w:trHeight w:val="585" w:hRule="atLeast"/>
        </w:trPr>
        <w:tc>
          <w:tcPr>
            <w:tcW w:w="847" w:type="dxa"/>
            <w:tcBorders>
              <w:top w:val="single" w:sz="4" w:space="0" w:color="000000"/>
              <w:bottom w:val="single" w:sz="4" w:space="0" w:color="000000"/>
              <w:right w:val="single" w:sz="4" w:space="0" w:color="000000"/>
            </w:tcBorders>
          </w:tcPr>
          <w:p>
            <w:pPr>
              <w:pStyle w:val="TableParagraph"/>
              <w:spacing w:before="3"/>
              <w:ind w:left="109"/>
              <w:rPr>
                <w:rFonts w:ascii="宋体" w:eastAsia="宋体" w:hint="eastAsia"/>
                <w:sz w:val="15"/>
              </w:rPr>
            </w:pPr>
            <w:r>
              <w:rPr>
                <w:rFonts w:ascii="宋体" w:eastAsia="宋体" w:hint="eastAsia"/>
                <w:sz w:val="15"/>
              </w:rPr>
              <w:t>（四</w:t>
            </w:r>
            <w:r>
              <w:rPr>
                <w:rFonts w:ascii="宋体" w:eastAsia="宋体" w:hint="eastAsia"/>
                <w:spacing w:val="-3"/>
                <w:sz w:val="15"/>
              </w:rPr>
              <w:t>）</w:t>
            </w:r>
            <w:r>
              <w:rPr>
                <w:rFonts w:ascii="宋体" w:eastAsia="宋体" w:hint="eastAsia"/>
                <w:sz w:val="15"/>
              </w:rPr>
              <w:t>所</w:t>
            </w:r>
          </w:p>
          <w:p>
            <w:pPr>
              <w:pStyle w:val="TableParagraph"/>
              <w:spacing w:line="190" w:lineRule="atLeast" w:before="3"/>
              <w:ind w:left="109" w:right="112"/>
              <w:rPr>
                <w:rFonts w:ascii="宋体" w:eastAsia="宋体" w:hint="eastAsia"/>
                <w:sz w:val="15"/>
              </w:rPr>
            </w:pPr>
            <w:r>
              <w:rPr>
                <w:rFonts w:ascii="宋体" w:eastAsia="宋体" w:hint="eastAsia"/>
                <w:spacing w:val="-5"/>
                <w:sz w:val="15"/>
              </w:rPr>
              <w:t>有者权益内部结转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rPr>
                <w:sz w:val="16"/>
              </w:rPr>
            </w:pPr>
          </w:p>
          <w:p>
            <w:pPr>
              <w:pStyle w:val="TableParagraph"/>
              <w:spacing w:before="103"/>
              <w:ind w:right="51"/>
              <w:jc w:val="right"/>
              <w:rPr>
                <w:sz w:val="15"/>
              </w:rPr>
            </w:pPr>
            <w:r>
              <w:rPr>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6"/>
              <w:rPr>
                <w:sz w:val="14"/>
              </w:rPr>
            </w:pPr>
          </w:p>
          <w:p>
            <w:pPr>
              <w:pStyle w:val="TableParagraph"/>
              <w:ind w:right="157"/>
              <w:jc w:val="right"/>
              <w:rPr>
                <w:sz w:val="15"/>
              </w:rPr>
            </w:pPr>
            <w:r>
              <w:rPr>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rPr>
                <w:sz w:val="16"/>
              </w:rPr>
            </w:pPr>
          </w:p>
          <w:p>
            <w:pPr>
              <w:pStyle w:val="TableParagraph"/>
              <w:spacing w:before="103"/>
              <w:ind w:right="51"/>
              <w:jc w:val="right"/>
              <w:rPr>
                <w:sz w:val="15"/>
              </w:rPr>
            </w:pPr>
            <w:r>
              <w:rPr>
                <w:w w:val="100"/>
                <w:sz w:val="15"/>
              </w:rPr>
              <w:t>-</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rPr>
                <w:sz w:val="16"/>
              </w:rPr>
            </w:pPr>
          </w:p>
          <w:p>
            <w:pPr>
              <w:pStyle w:val="TableParagraph"/>
              <w:spacing w:before="103"/>
              <w:ind w:right="49"/>
              <w:jc w:val="right"/>
              <w:rPr>
                <w:sz w:val="15"/>
              </w:rPr>
            </w:pPr>
            <w:r>
              <w:rPr>
                <w:w w:val="100"/>
                <w:sz w:val="15"/>
              </w:rPr>
              <w:t>-</w:t>
            </w:r>
          </w:p>
        </w:tc>
        <w:tc>
          <w:tcPr>
            <w:tcW w:w="1276" w:type="dxa"/>
            <w:tcBorders>
              <w:top w:val="single" w:sz="4" w:space="0" w:color="000000"/>
              <w:left w:val="single" w:sz="4" w:space="0" w:color="000000"/>
              <w:bottom w:val="single" w:sz="4" w:space="0" w:color="000000"/>
            </w:tcBorders>
          </w:tcPr>
          <w:p>
            <w:pPr>
              <w:pStyle w:val="TableParagraph"/>
              <w:rPr>
                <w:sz w:val="16"/>
              </w:rPr>
            </w:pPr>
          </w:p>
          <w:p>
            <w:pPr>
              <w:pStyle w:val="TableParagraph"/>
              <w:spacing w:before="103"/>
              <w:ind w:right="38"/>
              <w:jc w:val="right"/>
              <w:rPr>
                <w:sz w:val="15"/>
              </w:rPr>
            </w:pPr>
            <w:r>
              <w:rPr>
                <w:w w:val="100"/>
                <w:sz w:val="15"/>
              </w:rPr>
              <w:t>-</w:t>
            </w:r>
          </w:p>
        </w:tc>
      </w:tr>
      <w:tr>
        <w:trPr>
          <w:trHeight w:val="777" w:hRule="atLeast"/>
        </w:trPr>
        <w:tc>
          <w:tcPr>
            <w:tcW w:w="847" w:type="dxa"/>
            <w:tcBorders>
              <w:top w:val="single" w:sz="4" w:space="0" w:color="000000"/>
              <w:bottom w:val="single" w:sz="4" w:space="0" w:color="000000"/>
              <w:right w:val="single" w:sz="4" w:space="0" w:color="000000"/>
            </w:tcBorders>
          </w:tcPr>
          <w:p>
            <w:pPr>
              <w:pStyle w:val="TableParagraph"/>
              <w:spacing w:line="242" w:lineRule="auto" w:before="1"/>
              <w:ind w:left="109" w:right="81"/>
              <w:jc w:val="both"/>
              <w:rPr>
                <w:rFonts w:ascii="宋体" w:eastAsia="宋体" w:hint="eastAsia"/>
                <w:sz w:val="15"/>
              </w:rPr>
            </w:pPr>
            <w:r>
              <w:rPr>
                <w:spacing w:val="-23"/>
                <w:sz w:val="15"/>
              </w:rPr>
              <w:t>1</w:t>
            </w:r>
            <w:r>
              <w:rPr>
                <w:rFonts w:ascii="宋体" w:eastAsia="宋体" w:hint="eastAsia"/>
                <w:spacing w:val="-11"/>
                <w:sz w:val="15"/>
              </w:rPr>
              <w:t>．资本公</w:t>
            </w:r>
            <w:r>
              <w:rPr>
                <w:rFonts w:ascii="宋体" w:eastAsia="宋体" w:hint="eastAsia"/>
                <w:spacing w:val="-1"/>
                <w:sz w:val="15"/>
              </w:rPr>
              <w:t>积转增资本（</w:t>
            </w:r>
            <w:r>
              <w:rPr>
                <w:rFonts w:ascii="宋体" w:eastAsia="宋体" w:hint="eastAsia"/>
                <w:spacing w:val="-2"/>
                <w:sz w:val="15"/>
              </w:rPr>
              <w:t>或股</w:t>
            </w:r>
          </w:p>
          <w:p>
            <w:pPr>
              <w:pStyle w:val="TableParagraph"/>
              <w:spacing w:line="173" w:lineRule="exact" w:before="1"/>
              <w:ind w:left="109"/>
              <w:rPr>
                <w:rFonts w:ascii="宋体" w:eastAsia="宋体" w:hint="eastAsia"/>
                <w:sz w:val="15"/>
              </w:rPr>
            </w:pPr>
            <w:r>
              <w:rPr>
                <w:rFonts w:ascii="宋体" w:eastAsia="宋体" w:hint="eastAsia"/>
                <w:sz w:val="15"/>
              </w:rPr>
              <w:t>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39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6" w:type="dxa"/>
            <w:tcBorders>
              <w:top w:val="single" w:sz="4" w:space="0" w:color="000000"/>
              <w:left w:val="single" w:sz="4" w:space="0" w:color="000000"/>
              <w:bottom w:val="single" w:sz="4" w:space="0" w:color="000000"/>
            </w:tcBorders>
          </w:tcPr>
          <w:p>
            <w:pPr>
              <w:pStyle w:val="TableParagraph"/>
              <w:rPr>
                <w:sz w:val="16"/>
              </w:rPr>
            </w:pPr>
          </w:p>
          <w:p>
            <w:pPr>
              <w:pStyle w:val="TableParagraph"/>
              <w:spacing w:before="3"/>
              <w:rPr>
                <w:sz w:val="17"/>
              </w:rPr>
            </w:pPr>
          </w:p>
          <w:p>
            <w:pPr>
              <w:pStyle w:val="TableParagraph"/>
              <w:ind w:right="38"/>
              <w:jc w:val="right"/>
              <w:rPr>
                <w:sz w:val="15"/>
              </w:rPr>
            </w:pPr>
            <w:r>
              <w:rPr>
                <w:w w:val="100"/>
                <w:sz w:val="15"/>
              </w:rPr>
              <w:t>-</w:t>
            </w:r>
          </w:p>
        </w:tc>
      </w:tr>
      <w:tr>
        <w:trPr>
          <w:trHeight w:val="779" w:hRule="atLeast"/>
        </w:trPr>
        <w:tc>
          <w:tcPr>
            <w:tcW w:w="847" w:type="dxa"/>
            <w:tcBorders>
              <w:top w:val="single" w:sz="4" w:space="0" w:color="000000"/>
              <w:bottom w:val="single" w:sz="4" w:space="0" w:color="000000"/>
              <w:right w:val="single" w:sz="4" w:space="0" w:color="000000"/>
            </w:tcBorders>
          </w:tcPr>
          <w:p>
            <w:pPr>
              <w:pStyle w:val="TableParagraph"/>
              <w:spacing w:line="242" w:lineRule="auto" w:before="1"/>
              <w:ind w:left="109" w:right="81"/>
              <w:jc w:val="both"/>
              <w:rPr>
                <w:rFonts w:ascii="宋体" w:eastAsia="宋体" w:hint="eastAsia"/>
                <w:sz w:val="15"/>
              </w:rPr>
            </w:pPr>
            <w:r>
              <w:rPr>
                <w:spacing w:val="-23"/>
                <w:sz w:val="15"/>
              </w:rPr>
              <w:t>2</w:t>
            </w:r>
            <w:r>
              <w:rPr>
                <w:rFonts w:ascii="宋体" w:eastAsia="宋体" w:hint="eastAsia"/>
                <w:spacing w:val="-11"/>
                <w:sz w:val="15"/>
              </w:rPr>
              <w:t>．盈余公</w:t>
            </w:r>
            <w:r>
              <w:rPr>
                <w:rFonts w:ascii="宋体" w:eastAsia="宋体" w:hint="eastAsia"/>
                <w:spacing w:val="-1"/>
                <w:sz w:val="15"/>
              </w:rPr>
              <w:t>积转增资本（</w:t>
            </w:r>
            <w:r>
              <w:rPr>
                <w:rFonts w:ascii="宋体" w:eastAsia="宋体" w:hint="eastAsia"/>
                <w:spacing w:val="-2"/>
                <w:sz w:val="15"/>
              </w:rPr>
              <w:t>或股</w:t>
            </w:r>
          </w:p>
          <w:p>
            <w:pPr>
              <w:pStyle w:val="TableParagraph"/>
              <w:spacing w:line="175" w:lineRule="exact" w:before="1"/>
              <w:ind w:left="109"/>
              <w:rPr>
                <w:rFonts w:ascii="宋体" w:eastAsia="宋体" w:hint="eastAsia"/>
                <w:sz w:val="15"/>
              </w:rPr>
            </w:pPr>
            <w:r>
              <w:rPr>
                <w:rFonts w:ascii="宋体" w:eastAsia="宋体" w:hint="eastAsia"/>
                <w:sz w:val="15"/>
              </w:rPr>
              <w:t>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39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6" w:type="dxa"/>
            <w:tcBorders>
              <w:top w:val="single" w:sz="4" w:space="0" w:color="000000"/>
              <w:left w:val="single" w:sz="4" w:space="0" w:color="000000"/>
              <w:bottom w:val="single" w:sz="4" w:space="0" w:color="000000"/>
            </w:tcBorders>
          </w:tcPr>
          <w:p>
            <w:pPr>
              <w:pStyle w:val="TableParagraph"/>
              <w:rPr>
                <w:sz w:val="16"/>
              </w:rPr>
            </w:pPr>
          </w:p>
          <w:p>
            <w:pPr>
              <w:pStyle w:val="TableParagraph"/>
              <w:spacing w:before="3"/>
              <w:rPr>
                <w:sz w:val="17"/>
              </w:rPr>
            </w:pPr>
          </w:p>
          <w:p>
            <w:pPr>
              <w:pStyle w:val="TableParagraph"/>
              <w:ind w:right="38"/>
              <w:jc w:val="right"/>
              <w:rPr>
                <w:sz w:val="15"/>
              </w:rPr>
            </w:pPr>
            <w:r>
              <w:rPr>
                <w:w w:val="100"/>
                <w:sz w:val="15"/>
              </w:rPr>
              <w:t>-</w:t>
            </w:r>
          </w:p>
        </w:tc>
      </w:tr>
      <w:tr>
        <w:trPr>
          <w:trHeight w:val="582" w:hRule="atLeast"/>
        </w:trPr>
        <w:tc>
          <w:tcPr>
            <w:tcW w:w="847" w:type="dxa"/>
            <w:tcBorders>
              <w:top w:val="single" w:sz="4" w:space="0" w:color="000000"/>
              <w:bottom w:val="single" w:sz="4" w:space="0" w:color="000000"/>
              <w:right w:val="single" w:sz="4" w:space="0" w:color="000000"/>
            </w:tcBorders>
          </w:tcPr>
          <w:p>
            <w:pPr>
              <w:pStyle w:val="TableParagraph"/>
              <w:spacing w:line="242" w:lineRule="auto" w:before="1"/>
              <w:ind w:left="109" w:right="22"/>
              <w:rPr>
                <w:rFonts w:ascii="宋体" w:eastAsia="宋体" w:hint="eastAsia"/>
                <w:sz w:val="15"/>
              </w:rPr>
            </w:pPr>
            <w:r>
              <w:rPr>
                <w:sz w:val="15"/>
              </w:rPr>
              <w:t>3</w:t>
            </w:r>
            <w:r>
              <w:rPr>
                <w:rFonts w:ascii="宋体" w:eastAsia="宋体" w:hint="eastAsia"/>
                <w:sz w:val="15"/>
              </w:rPr>
              <w:t>．盈余公积弥补亏</w:t>
            </w:r>
          </w:p>
          <w:p>
            <w:pPr>
              <w:pStyle w:val="TableParagraph"/>
              <w:spacing w:line="173" w:lineRule="exact"/>
              <w:ind w:left="109"/>
              <w:rPr>
                <w:rFonts w:ascii="宋体" w:eastAsia="宋体" w:hint="eastAsia"/>
                <w:sz w:val="15"/>
              </w:rPr>
            </w:pPr>
            <w:r>
              <w:rPr>
                <w:rFonts w:ascii="宋体" w:eastAsia="宋体" w:hint="eastAsia"/>
                <w:w w:val="100"/>
                <w:sz w:val="15"/>
              </w:rPr>
              <w:t>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rPr>
                <w:sz w:val="16"/>
              </w:rPr>
            </w:pPr>
          </w:p>
          <w:p>
            <w:pPr>
              <w:pStyle w:val="TableParagraph"/>
              <w:spacing w:before="100"/>
              <w:ind w:right="51"/>
              <w:jc w:val="right"/>
              <w:rPr>
                <w:sz w:val="15"/>
              </w:rPr>
            </w:pPr>
            <w:r>
              <w:rPr>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39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6" w:type="dxa"/>
            <w:tcBorders>
              <w:top w:val="single" w:sz="4" w:space="0" w:color="000000"/>
              <w:left w:val="single" w:sz="4" w:space="0" w:color="000000"/>
              <w:bottom w:val="single" w:sz="4" w:space="0" w:color="000000"/>
            </w:tcBorders>
          </w:tcPr>
          <w:p>
            <w:pPr>
              <w:pStyle w:val="TableParagraph"/>
              <w:rPr>
                <w:sz w:val="16"/>
              </w:rPr>
            </w:pPr>
          </w:p>
          <w:p>
            <w:pPr>
              <w:pStyle w:val="TableParagraph"/>
              <w:spacing w:before="100"/>
              <w:ind w:right="38"/>
              <w:jc w:val="right"/>
              <w:rPr>
                <w:sz w:val="15"/>
              </w:rPr>
            </w:pPr>
            <w:r>
              <w:rPr>
                <w:w w:val="100"/>
                <w:sz w:val="15"/>
              </w:rPr>
              <w:t>-</w:t>
            </w:r>
          </w:p>
        </w:tc>
      </w:tr>
      <w:tr>
        <w:trPr>
          <w:trHeight w:val="777" w:hRule="atLeast"/>
        </w:trPr>
        <w:tc>
          <w:tcPr>
            <w:tcW w:w="847" w:type="dxa"/>
            <w:tcBorders>
              <w:top w:val="single" w:sz="4" w:space="0" w:color="000000"/>
              <w:bottom w:val="single" w:sz="4" w:space="0" w:color="000000"/>
              <w:right w:val="single" w:sz="4" w:space="0" w:color="000000"/>
            </w:tcBorders>
          </w:tcPr>
          <w:p>
            <w:pPr>
              <w:pStyle w:val="TableParagraph"/>
              <w:spacing w:line="242" w:lineRule="auto" w:before="1"/>
              <w:ind w:left="109" w:right="81"/>
              <w:jc w:val="both"/>
              <w:rPr>
                <w:rFonts w:ascii="宋体" w:eastAsia="宋体" w:hint="eastAsia"/>
                <w:sz w:val="15"/>
              </w:rPr>
            </w:pPr>
            <w:r>
              <w:rPr>
                <w:spacing w:val="-23"/>
                <w:sz w:val="15"/>
              </w:rPr>
              <w:t>4</w:t>
            </w:r>
            <w:r>
              <w:rPr>
                <w:rFonts w:ascii="宋体" w:eastAsia="宋体" w:hint="eastAsia"/>
                <w:spacing w:val="-11"/>
                <w:sz w:val="15"/>
              </w:rPr>
              <w:t>．设定受</w:t>
            </w:r>
            <w:r>
              <w:rPr>
                <w:rFonts w:ascii="宋体" w:eastAsia="宋体" w:hint="eastAsia"/>
                <w:spacing w:val="-1"/>
                <w:sz w:val="15"/>
              </w:rPr>
              <w:t>益计划变</w:t>
            </w:r>
            <w:r>
              <w:rPr>
                <w:rFonts w:ascii="宋体" w:eastAsia="宋体" w:hint="eastAsia"/>
                <w:spacing w:val="-2"/>
                <w:sz w:val="15"/>
              </w:rPr>
              <w:t>动额结转</w:t>
            </w:r>
          </w:p>
          <w:p>
            <w:pPr>
              <w:pStyle w:val="TableParagraph"/>
              <w:spacing w:line="173" w:lineRule="exact" w:before="1"/>
              <w:ind w:left="109"/>
              <w:rPr>
                <w:rFonts w:ascii="宋体" w:eastAsia="宋体" w:hint="eastAsia"/>
                <w:sz w:val="15"/>
              </w:rPr>
            </w:pPr>
            <w:r>
              <w:rPr>
                <w:rFonts w:ascii="宋体" w:eastAsia="宋体" w:hint="eastAsia"/>
                <w:spacing w:val="-1"/>
                <w:sz w:val="15"/>
              </w:rPr>
              <w:t>留存收益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rPr>
                <w:sz w:val="16"/>
              </w:rPr>
            </w:pPr>
          </w:p>
          <w:p>
            <w:pPr>
              <w:pStyle w:val="TableParagraph"/>
              <w:spacing w:before="4"/>
              <w:rPr>
                <w:sz w:val="17"/>
              </w:rPr>
            </w:pPr>
          </w:p>
          <w:p>
            <w:pPr>
              <w:pStyle w:val="TableParagraph"/>
              <w:ind w:right="51"/>
              <w:jc w:val="right"/>
              <w:rPr>
                <w:sz w:val="15"/>
              </w:rPr>
            </w:pPr>
            <w:r>
              <w:rPr>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398"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rPr>
                <w:sz w:val="14"/>
              </w:rPr>
            </w:pPr>
          </w:p>
        </w:tc>
        <w:tc>
          <w:tcPr>
            <w:tcW w:w="1276" w:type="dxa"/>
            <w:tcBorders>
              <w:top w:val="single" w:sz="4" w:space="0" w:color="000000"/>
              <w:left w:val="single" w:sz="4" w:space="0" w:color="000000"/>
              <w:bottom w:val="single" w:sz="4" w:space="0" w:color="000000"/>
            </w:tcBorders>
          </w:tcPr>
          <w:p>
            <w:pPr>
              <w:pStyle w:val="TableParagraph"/>
              <w:rPr>
                <w:sz w:val="16"/>
              </w:rPr>
            </w:pPr>
          </w:p>
          <w:p>
            <w:pPr>
              <w:pStyle w:val="TableParagraph"/>
              <w:spacing w:before="4"/>
              <w:rPr>
                <w:sz w:val="17"/>
              </w:rPr>
            </w:pPr>
          </w:p>
          <w:p>
            <w:pPr>
              <w:pStyle w:val="TableParagraph"/>
              <w:ind w:right="38"/>
              <w:jc w:val="right"/>
              <w:rPr>
                <w:sz w:val="15"/>
              </w:rPr>
            </w:pPr>
            <w:r>
              <w:rPr>
                <w:w w:val="100"/>
                <w:sz w:val="15"/>
              </w:rPr>
              <w:t>-</w:t>
            </w:r>
          </w:p>
        </w:tc>
      </w:tr>
      <w:tr>
        <w:trPr>
          <w:trHeight w:val="387" w:hRule="atLeast"/>
        </w:trPr>
        <w:tc>
          <w:tcPr>
            <w:tcW w:w="847" w:type="dxa"/>
            <w:tcBorders>
              <w:top w:val="single" w:sz="4" w:space="0" w:color="000000"/>
              <w:right w:val="single" w:sz="4" w:space="0" w:color="000000"/>
            </w:tcBorders>
          </w:tcPr>
          <w:p>
            <w:pPr>
              <w:pStyle w:val="TableParagraph"/>
              <w:spacing w:before="1"/>
              <w:ind w:left="109"/>
              <w:rPr>
                <w:rFonts w:ascii="宋体" w:eastAsia="宋体" w:hint="eastAsia"/>
                <w:sz w:val="15"/>
              </w:rPr>
            </w:pPr>
            <w:r>
              <w:rPr>
                <w:spacing w:val="-23"/>
                <w:sz w:val="15"/>
              </w:rPr>
              <w:t>5</w:t>
            </w:r>
            <w:r>
              <w:rPr>
                <w:rFonts w:ascii="宋体" w:eastAsia="宋体" w:hint="eastAsia"/>
                <w:spacing w:val="-7"/>
                <w:sz w:val="15"/>
              </w:rPr>
              <w:t>．其他综</w:t>
            </w:r>
          </w:p>
          <w:p>
            <w:pPr>
              <w:pStyle w:val="TableParagraph"/>
              <w:spacing w:line="173" w:lineRule="exact" w:before="2"/>
              <w:ind w:left="109"/>
              <w:rPr>
                <w:rFonts w:ascii="宋体" w:eastAsia="宋体" w:hint="eastAsia"/>
                <w:sz w:val="15"/>
              </w:rPr>
            </w:pPr>
            <w:r>
              <w:rPr>
                <w:rFonts w:ascii="宋体" w:eastAsia="宋体" w:hint="eastAsia"/>
                <w:spacing w:val="-1"/>
                <w:sz w:val="15"/>
              </w:rPr>
              <w:t>合收益结</w:t>
            </w:r>
          </w:p>
        </w:tc>
        <w:tc>
          <w:tcPr>
            <w:tcW w:w="1135" w:type="dxa"/>
            <w:tcBorders>
              <w:top w:val="single" w:sz="4" w:space="0" w:color="000000"/>
              <w:left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right w:val="single" w:sz="4" w:space="0" w:color="000000"/>
            </w:tcBorders>
          </w:tcPr>
          <w:p>
            <w:pPr>
              <w:pStyle w:val="TableParagraph"/>
              <w:rPr>
                <w:sz w:val="14"/>
              </w:rPr>
            </w:pPr>
          </w:p>
        </w:tc>
        <w:tc>
          <w:tcPr>
            <w:tcW w:w="569" w:type="dxa"/>
            <w:tcBorders>
              <w:top w:val="single" w:sz="4" w:space="0" w:color="000000"/>
              <w:left w:val="single" w:sz="4" w:space="0" w:color="000000"/>
              <w:right w:val="single" w:sz="4" w:space="0" w:color="000000"/>
            </w:tcBorders>
          </w:tcPr>
          <w:p>
            <w:pPr>
              <w:pStyle w:val="TableParagraph"/>
              <w:rPr>
                <w:sz w:val="14"/>
              </w:rPr>
            </w:pPr>
          </w:p>
        </w:tc>
        <w:tc>
          <w:tcPr>
            <w:tcW w:w="1140" w:type="dxa"/>
            <w:tcBorders>
              <w:top w:val="single" w:sz="4" w:space="0" w:color="000000"/>
              <w:left w:val="single" w:sz="4" w:space="0" w:color="000000"/>
              <w:right w:val="single" w:sz="4" w:space="0" w:color="000000"/>
            </w:tcBorders>
          </w:tcPr>
          <w:p>
            <w:pPr>
              <w:pStyle w:val="TableParagraph"/>
              <w:rPr>
                <w:sz w:val="14"/>
              </w:rPr>
            </w:pPr>
          </w:p>
        </w:tc>
        <w:tc>
          <w:tcPr>
            <w:tcW w:w="1280" w:type="dxa"/>
            <w:tcBorders>
              <w:top w:val="single" w:sz="4" w:space="0" w:color="000000"/>
              <w:left w:val="single" w:sz="4" w:space="0" w:color="000000"/>
              <w:right w:val="single" w:sz="4" w:space="0" w:color="000000"/>
            </w:tcBorders>
          </w:tcPr>
          <w:p>
            <w:pPr>
              <w:pStyle w:val="TableParagraph"/>
              <w:rPr>
                <w:sz w:val="14"/>
              </w:rPr>
            </w:pPr>
          </w:p>
        </w:tc>
        <w:tc>
          <w:tcPr>
            <w:tcW w:w="991" w:type="dxa"/>
            <w:tcBorders>
              <w:top w:val="single" w:sz="4" w:space="0" w:color="000000"/>
              <w:left w:val="single" w:sz="4" w:space="0" w:color="000000"/>
              <w:right w:val="single" w:sz="4" w:space="0" w:color="000000"/>
            </w:tcBorders>
          </w:tcPr>
          <w:p>
            <w:pPr>
              <w:pStyle w:val="TableParagraph"/>
              <w:rPr>
                <w:sz w:val="14"/>
              </w:rPr>
            </w:pPr>
          </w:p>
        </w:tc>
        <w:tc>
          <w:tcPr>
            <w:tcW w:w="1130" w:type="dxa"/>
            <w:tcBorders>
              <w:top w:val="single" w:sz="4" w:space="0" w:color="000000"/>
              <w:left w:val="single" w:sz="4" w:space="0" w:color="000000"/>
              <w:right w:val="single" w:sz="4" w:space="0" w:color="000000"/>
            </w:tcBorders>
          </w:tcPr>
          <w:p>
            <w:pPr>
              <w:pStyle w:val="TableParagraph"/>
              <w:rPr>
                <w:sz w:val="14"/>
              </w:rPr>
            </w:pPr>
          </w:p>
        </w:tc>
        <w:tc>
          <w:tcPr>
            <w:tcW w:w="571" w:type="dxa"/>
            <w:tcBorders>
              <w:top w:val="single" w:sz="4" w:space="0" w:color="000000"/>
              <w:left w:val="single" w:sz="4" w:space="0" w:color="000000"/>
              <w:right w:val="single" w:sz="4" w:space="0" w:color="000000"/>
            </w:tcBorders>
          </w:tcPr>
          <w:p>
            <w:pPr>
              <w:pStyle w:val="TableParagraph"/>
              <w:rPr>
                <w:sz w:val="14"/>
              </w:rPr>
            </w:pPr>
          </w:p>
        </w:tc>
        <w:tc>
          <w:tcPr>
            <w:tcW w:w="1126" w:type="dxa"/>
            <w:tcBorders>
              <w:top w:val="single" w:sz="4" w:space="0" w:color="000000"/>
              <w:left w:val="single" w:sz="4" w:space="0" w:color="000000"/>
              <w:right w:val="single" w:sz="4" w:space="0" w:color="000000"/>
            </w:tcBorders>
          </w:tcPr>
          <w:p>
            <w:pPr>
              <w:pStyle w:val="TableParagraph"/>
              <w:spacing w:before="4"/>
              <w:rPr>
                <w:sz w:val="16"/>
              </w:rPr>
            </w:pPr>
          </w:p>
          <w:p>
            <w:pPr>
              <w:pStyle w:val="TableParagraph"/>
              <w:ind w:right="51"/>
              <w:jc w:val="right"/>
              <w:rPr>
                <w:sz w:val="15"/>
              </w:rPr>
            </w:pPr>
            <w:r>
              <w:rPr>
                <w:w w:val="100"/>
                <w:sz w:val="15"/>
              </w:rPr>
              <w:t>-</w:t>
            </w:r>
          </w:p>
        </w:tc>
        <w:tc>
          <w:tcPr>
            <w:tcW w:w="852" w:type="dxa"/>
            <w:tcBorders>
              <w:top w:val="single" w:sz="4" w:space="0" w:color="000000"/>
              <w:left w:val="single" w:sz="4" w:space="0" w:color="000000"/>
              <w:right w:val="single" w:sz="4" w:space="0" w:color="000000"/>
            </w:tcBorders>
          </w:tcPr>
          <w:p>
            <w:pPr>
              <w:pStyle w:val="TableParagraph"/>
              <w:rPr>
                <w:sz w:val="14"/>
              </w:rPr>
            </w:pPr>
          </w:p>
        </w:tc>
        <w:tc>
          <w:tcPr>
            <w:tcW w:w="1274" w:type="dxa"/>
            <w:tcBorders>
              <w:top w:val="single" w:sz="4" w:space="0" w:color="000000"/>
              <w:left w:val="single" w:sz="4" w:space="0" w:color="000000"/>
              <w:right w:val="single" w:sz="4" w:space="0" w:color="000000"/>
            </w:tcBorders>
          </w:tcPr>
          <w:p>
            <w:pPr>
              <w:pStyle w:val="TableParagraph"/>
              <w:rPr>
                <w:sz w:val="14"/>
              </w:rPr>
            </w:pPr>
          </w:p>
        </w:tc>
        <w:tc>
          <w:tcPr>
            <w:tcW w:w="398" w:type="dxa"/>
            <w:tcBorders>
              <w:top w:val="single" w:sz="4" w:space="0" w:color="000000"/>
              <w:left w:val="single" w:sz="4" w:space="0" w:color="000000"/>
              <w:right w:val="single" w:sz="4" w:space="0" w:color="000000"/>
            </w:tcBorders>
          </w:tcPr>
          <w:p>
            <w:pPr>
              <w:pStyle w:val="TableParagraph"/>
              <w:rPr>
                <w:sz w:val="14"/>
              </w:rPr>
            </w:pPr>
          </w:p>
        </w:tc>
        <w:tc>
          <w:tcPr>
            <w:tcW w:w="1303" w:type="dxa"/>
            <w:tcBorders>
              <w:top w:val="single" w:sz="4" w:space="0" w:color="000000"/>
              <w:left w:val="single" w:sz="4" w:space="0" w:color="000000"/>
              <w:right w:val="single" w:sz="4" w:space="0" w:color="000000"/>
            </w:tcBorders>
          </w:tcPr>
          <w:p>
            <w:pPr>
              <w:pStyle w:val="TableParagraph"/>
              <w:rPr>
                <w:sz w:val="14"/>
              </w:rPr>
            </w:pPr>
          </w:p>
        </w:tc>
        <w:tc>
          <w:tcPr>
            <w:tcW w:w="1130" w:type="dxa"/>
            <w:tcBorders>
              <w:top w:val="single" w:sz="4" w:space="0" w:color="000000"/>
              <w:left w:val="single" w:sz="4" w:space="0" w:color="000000"/>
              <w:right w:val="single" w:sz="4" w:space="0" w:color="000000"/>
            </w:tcBorders>
          </w:tcPr>
          <w:p>
            <w:pPr>
              <w:pStyle w:val="TableParagraph"/>
              <w:rPr>
                <w:sz w:val="14"/>
              </w:rPr>
            </w:pPr>
          </w:p>
        </w:tc>
        <w:tc>
          <w:tcPr>
            <w:tcW w:w="1276" w:type="dxa"/>
            <w:tcBorders>
              <w:top w:val="single" w:sz="4" w:space="0" w:color="000000"/>
              <w:left w:val="single" w:sz="4" w:space="0" w:color="000000"/>
            </w:tcBorders>
          </w:tcPr>
          <w:p>
            <w:pPr>
              <w:pStyle w:val="TableParagraph"/>
              <w:spacing w:before="4"/>
              <w:rPr>
                <w:sz w:val="16"/>
              </w:rPr>
            </w:pPr>
          </w:p>
          <w:p>
            <w:pPr>
              <w:pStyle w:val="TableParagraph"/>
              <w:ind w:right="38"/>
              <w:jc w:val="right"/>
              <w:rPr>
                <w:sz w:val="15"/>
              </w:rPr>
            </w:pPr>
            <w:r>
              <w:rPr>
                <w:w w:val="100"/>
                <w:sz w:val="15"/>
              </w:rPr>
              <w:t>-</w:t>
            </w:r>
          </w:p>
        </w:tc>
      </w:tr>
    </w:tbl>
    <w:p>
      <w:pPr>
        <w:spacing w:after="0"/>
        <w:jc w:val="right"/>
        <w:rPr>
          <w:sz w:val="15"/>
        </w:rPr>
        <w:sectPr>
          <w:headerReference w:type="default" r:id="rId83"/>
          <w:footerReference w:type="default" r:id="rId84"/>
          <w:pgSz w:w="16840" w:h="11910" w:orient="landscape"/>
          <w:pgMar w:header="876" w:footer="1214" w:top="1180" w:bottom="1400" w:left="120" w:right="860"/>
        </w:sectPr>
      </w:pPr>
    </w:p>
    <w:p>
      <w:pPr>
        <w:pStyle w:val="BodyText"/>
        <w:spacing w:before="4"/>
        <w:rPr>
          <w:rFonts w:ascii="Times New Roman"/>
          <w:sz w:val="8"/>
        </w:rPr>
      </w:pPr>
    </w:p>
    <w:tbl>
      <w:tblPr>
        <w:tblW w:w="0" w:type="auto"/>
        <w:jc w:val="left"/>
        <w:tblInd w:w="14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47"/>
        <w:gridCol w:w="1135"/>
        <w:gridCol w:w="571"/>
        <w:gridCol w:w="569"/>
        <w:gridCol w:w="1140"/>
        <w:gridCol w:w="1280"/>
        <w:gridCol w:w="991"/>
        <w:gridCol w:w="1130"/>
        <w:gridCol w:w="571"/>
        <w:gridCol w:w="1126"/>
        <w:gridCol w:w="852"/>
        <w:gridCol w:w="1274"/>
        <w:gridCol w:w="398"/>
        <w:gridCol w:w="1303"/>
        <w:gridCol w:w="1130"/>
        <w:gridCol w:w="1276"/>
      </w:tblGrid>
      <w:tr>
        <w:trPr>
          <w:trHeight w:val="387" w:hRule="atLeast"/>
        </w:trPr>
        <w:tc>
          <w:tcPr>
            <w:tcW w:w="847" w:type="dxa"/>
            <w:tcBorders>
              <w:bottom w:val="single" w:sz="4" w:space="0" w:color="000000"/>
              <w:right w:val="single" w:sz="4" w:space="0" w:color="000000"/>
            </w:tcBorders>
          </w:tcPr>
          <w:p>
            <w:pPr>
              <w:pStyle w:val="TableParagraph"/>
              <w:ind w:left="109"/>
              <w:rPr>
                <w:rFonts w:ascii="宋体" w:eastAsia="宋体" w:hint="eastAsia"/>
                <w:sz w:val="15"/>
              </w:rPr>
            </w:pPr>
            <w:r>
              <w:rPr>
                <w:rFonts w:ascii="宋体" w:eastAsia="宋体" w:hint="eastAsia"/>
                <w:sz w:val="15"/>
              </w:rPr>
              <w:t>转留存收</w:t>
            </w:r>
          </w:p>
          <w:p>
            <w:pPr>
              <w:pStyle w:val="TableParagraph"/>
              <w:spacing w:line="173" w:lineRule="exact" w:before="3"/>
              <w:ind w:left="109"/>
              <w:rPr>
                <w:rFonts w:ascii="宋体" w:eastAsia="宋体" w:hint="eastAsia"/>
                <w:sz w:val="15"/>
              </w:rPr>
            </w:pPr>
            <w:r>
              <w:rPr>
                <w:rFonts w:ascii="宋体" w:eastAsia="宋体" w:hint="eastAsia"/>
                <w:w w:val="100"/>
                <w:sz w:val="15"/>
              </w:rPr>
              <w:t>益</w:t>
            </w:r>
          </w:p>
        </w:tc>
        <w:tc>
          <w:tcPr>
            <w:tcW w:w="1135" w:type="dxa"/>
            <w:tcBorders>
              <w:left w:val="single" w:sz="4" w:space="0" w:color="000000"/>
              <w:bottom w:val="single" w:sz="4" w:space="0" w:color="000000"/>
              <w:right w:val="single" w:sz="4" w:space="0" w:color="000000"/>
            </w:tcBorders>
          </w:tcPr>
          <w:p>
            <w:pPr>
              <w:pStyle w:val="TableParagraph"/>
              <w:rPr>
                <w:sz w:val="16"/>
              </w:rPr>
            </w:pPr>
          </w:p>
        </w:tc>
        <w:tc>
          <w:tcPr>
            <w:tcW w:w="571" w:type="dxa"/>
            <w:tcBorders>
              <w:left w:val="single" w:sz="4" w:space="0" w:color="000000"/>
              <w:bottom w:val="single" w:sz="4" w:space="0" w:color="000000"/>
              <w:right w:val="single" w:sz="4" w:space="0" w:color="000000"/>
            </w:tcBorders>
          </w:tcPr>
          <w:p>
            <w:pPr>
              <w:pStyle w:val="TableParagraph"/>
              <w:rPr>
                <w:sz w:val="16"/>
              </w:rPr>
            </w:pPr>
          </w:p>
        </w:tc>
        <w:tc>
          <w:tcPr>
            <w:tcW w:w="569" w:type="dxa"/>
            <w:tcBorders>
              <w:left w:val="single" w:sz="4" w:space="0" w:color="000000"/>
              <w:bottom w:val="single" w:sz="4" w:space="0" w:color="000000"/>
              <w:right w:val="single" w:sz="4" w:space="0" w:color="000000"/>
            </w:tcBorders>
          </w:tcPr>
          <w:p>
            <w:pPr>
              <w:pStyle w:val="TableParagraph"/>
              <w:rPr>
                <w:sz w:val="16"/>
              </w:rPr>
            </w:pPr>
          </w:p>
        </w:tc>
        <w:tc>
          <w:tcPr>
            <w:tcW w:w="1140" w:type="dxa"/>
            <w:tcBorders>
              <w:left w:val="single" w:sz="4" w:space="0" w:color="000000"/>
              <w:bottom w:val="single" w:sz="4" w:space="0" w:color="000000"/>
              <w:right w:val="single" w:sz="4" w:space="0" w:color="000000"/>
            </w:tcBorders>
          </w:tcPr>
          <w:p>
            <w:pPr>
              <w:pStyle w:val="TableParagraph"/>
              <w:rPr>
                <w:sz w:val="16"/>
              </w:rPr>
            </w:pPr>
          </w:p>
        </w:tc>
        <w:tc>
          <w:tcPr>
            <w:tcW w:w="1280" w:type="dxa"/>
            <w:tcBorders>
              <w:left w:val="single" w:sz="4" w:space="0" w:color="000000"/>
              <w:bottom w:val="single" w:sz="4" w:space="0" w:color="000000"/>
              <w:right w:val="single" w:sz="4" w:space="0" w:color="000000"/>
            </w:tcBorders>
          </w:tcPr>
          <w:p>
            <w:pPr>
              <w:pStyle w:val="TableParagraph"/>
              <w:rPr>
                <w:sz w:val="16"/>
              </w:rPr>
            </w:pPr>
          </w:p>
        </w:tc>
        <w:tc>
          <w:tcPr>
            <w:tcW w:w="991" w:type="dxa"/>
            <w:tcBorders>
              <w:left w:val="single" w:sz="4" w:space="0" w:color="000000"/>
              <w:bottom w:val="single" w:sz="4" w:space="0" w:color="000000"/>
              <w:right w:val="single" w:sz="4" w:space="0" w:color="000000"/>
            </w:tcBorders>
          </w:tcPr>
          <w:p>
            <w:pPr>
              <w:pStyle w:val="TableParagraph"/>
              <w:rPr>
                <w:sz w:val="16"/>
              </w:rPr>
            </w:pPr>
          </w:p>
        </w:tc>
        <w:tc>
          <w:tcPr>
            <w:tcW w:w="1130" w:type="dxa"/>
            <w:tcBorders>
              <w:left w:val="single" w:sz="4" w:space="0" w:color="000000"/>
              <w:bottom w:val="single" w:sz="4" w:space="0" w:color="000000"/>
              <w:right w:val="single" w:sz="4" w:space="0" w:color="000000"/>
            </w:tcBorders>
          </w:tcPr>
          <w:p>
            <w:pPr>
              <w:pStyle w:val="TableParagraph"/>
              <w:rPr>
                <w:sz w:val="16"/>
              </w:rPr>
            </w:pPr>
          </w:p>
        </w:tc>
        <w:tc>
          <w:tcPr>
            <w:tcW w:w="571" w:type="dxa"/>
            <w:tcBorders>
              <w:left w:val="single" w:sz="4" w:space="0" w:color="000000"/>
              <w:bottom w:val="single" w:sz="4" w:space="0" w:color="000000"/>
              <w:right w:val="single" w:sz="4" w:space="0" w:color="000000"/>
            </w:tcBorders>
          </w:tcPr>
          <w:p>
            <w:pPr>
              <w:pStyle w:val="TableParagraph"/>
              <w:rPr>
                <w:sz w:val="16"/>
              </w:rPr>
            </w:pPr>
          </w:p>
        </w:tc>
        <w:tc>
          <w:tcPr>
            <w:tcW w:w="1126" w:type="dxa"/>
            <w:tcBorders>
              <w:left w:val="single" w:sz="4" w:space="0" w:color="000000"/>
              <w:bottom w:val="single" w:sz="4" w:space="0" w:color="000000"/>
              <w:right w:val="single" w:sz="4" w:space="0" w:color="000000"/>
            </w:tcBorders>
          </w:tcPr>
          <w:p>
            <w:pPr>
              <w:pStyle w:val="TableParagraph"/>
              <w:rPr>
                <w:sz w:val="16"/>
              </w:rPr>
            </w:pPr>
          </w:p>
        </w:tc>
        <w:tc>
          <w:tcPr>
            <w:tcW w:w="852" w:type="dxa"/>
            <w:tcBorders>
              <w:left w:val="single" w:sz="4" w:space="0" w:color="000000"/>
              <w:bottom w:val="single" w:sz="4" w:space="0" w:color="000000"/>
              <w:right w:val="single" w:sz="4" w:space="0" w:color="000000"/>
            </w:tcBorders>
          </w:tcPr>
          <w:p>
            <w:pPr>
              <w:pStyle w:val="TableParagraph"/>
              <w:rPr>
                <w:sz w:val="16"/>
              </w:rPr>
            </w:pPr>
          </w:p>
        </w:tc>
        <w:tc>
          <w:tcPr>
            <w:tcW w:w="1274" w:type="dxa"/>
            <w:tcBorders>
              <w:left w:val="single" w:sz="4" w:space="0" w:color="000000"/>
              <w:bottom w:val="single" w:sz="4" w:space="0" w:color="000000"/>
              <w:right w:val="single" w:sz="4" w:space="0" w:color="000000"/>
            </w:tcBorders>
          </w:tcPr>
          <w:p>
            <w:pPr>
              <w:pStyle w:val="TableParagraph"/>
              <w:rPr>
                <w:sz w:val="16"/>
              </w:rPr>
            </w:pPr>
          </w:p>
        </w:tc>
        <w:tc>
          <w:tcPr>
            <w:tcW w:w="398" w:type="dxa"/>
            <w:tcBorders>
              <w:left w:val="single" w:sz="4" w:space="0" w:color="000000"/>
              <w:bottom w:val="single" w:sz="4" w:space="0" w:color="000000"/>
              <w:right w:val="single" w:sz="4" w:space="0" w:color="000000"/>
            </w:tcBorders>
          </w:tcPr>
          <w:p>
            <w:pPr>
              <w:pStyle w:val="TableParagraph"/>
              <w:rPr>
                <w:sz w:val="16"/>
              </w:rPr>
            </w:pPr>
          </w:p>
        </w:tc>
        <w:tc>
          <w:tcPr>
            <w:tcW w:w="1303" w:type="dxa"/>
            <w:tcBorders>
              <w:left w:val="single" w:sz="4" w:space="0" w:color="000000"/>
              <w:bottom w:val="single" w:sz="4" w:space="0" w:color="000000"/>
              <w:right w:val="single" w:sz="4" w:space="0" w:color="000000"/>
            </w:tcBorders>
          </w:tcPr>
          <w:p>
            <w:pPr>
              <w:pStyle w:val="TableParagraph"/>
              <w:rPr>
                <w:sz w:val="16"/>
              </w:rPr>
            </w:pPr>
          </w:p>
        </w:tc>
        <w:tc>
          <w:tcPr>
            <w:tcW w:w="1130" w:type="dxa"/>
            <w:tcBorders>
              <w:left w:val="single" w:sz="4" w:space="0" w:color="000000"/>
              <w:bottom w:val="single" w:sz="4" w:space="0" w:color="000000"/>
              <w:right w:val="single" w:sz="4" w:space="0" w:color="000000"/>
            </w:tcBorders>
          </w:tcPr>
          <w:p>
            <w:pPr>
              <w:pStyle w:val="TableParagraph"/>
              <w:rPr>
                <w:sz w:val="16"/>
              </w:rPr>
            </w:pPr>
          </w:p>
        </w:tc>
        <w:tc>
          <w:tcPr>
            <w:tcW w:w="1276" w:type="dxa"/>
            <w:tcBorders>
              <w:left w:val="single" w:sz="4" w:space="0" w:color="000000"/>
              <w:bottom w:val="single" w:sz="4" w:space="0" w:color="000000"/>
            </w:tcBorders>
          </w:tcPr>
          <w:p>
            <w:pPr>
              <w:pStyle w:val="TableParagraph"/>
              <w:rPr>
                <w:sz w:val="16"/>
              </w:rPr>
            </w:pPr>
          </w:p>
        </w:tc>
      </w:tr>
      <w:tr>
        <w:trPr>
          <w:trHeight w:val="345" w:hRule="atLeast"/>
        </w:trPr>
        <w:tc>
          <w:tcPr>
            <w:tcW w:w="847" w:type="dxa"/>
            <w:tcBorders>
              <w:top w:val="single" w:sz="4" w:space="0" w:color="000000"/>
              <w:bottom w:val="single" w:sz="4" w:space="0" w:color="000000"/>
              <w:right w:val="single" w:sz="4" w:space="0" w:color="000000"/>
            </w:tcBorders>
          </w:tcPr>
          <w:p>
            <w:pPr>
              <w:pStyle w:val="TableParagraph"/>
              <w:spacing w:before="1"/>
              <w:ind w:left="109"/>
              <w:rPr>
                <w:rFonts w:ascii="宋体" w:eastAsia="宋体" w:hint="eastAsia"/>
                <w:sz w:val="15"/>
              </w:rPr>
            </w:pPr>
            <w:r>
              <w:rPr>
                <w:sz w:val="15"/>
              </w:rPr>
              <w:t>6</w:t>
            </w:r>
            <w:r>
              <w:rPr>
                <w:rFonts w:ascii="宋体" w:eastAsia="宋体" w:hint="eastAsia"/>
                <w:sz w:val="15"/>
              </w:rPr>
              <w:t>．其他</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39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tcBorders>
          </w:tcPr>
          <w:p>
            <w:pPr>
              <w:pStyle w:val="TableParagraph"/>
              <w:spacing w:before="5"/>
              <w:rPr>
                <w:sz w:val="14"/>
              </w:rPr>
            </w:pPr>
          </w:p>
          <w:p>
            <w:pPr>
              <w:pStyle w:val="TableParagraph"/>
              <w:spacing w:line="158" w:lineRule="exact" w:before="1"/>
              <w:ind w:right="38"/>
              <w:jc w:val="right"/>
              <w:rPr>
                <w:sz w:val="15"/>
              </w:rPr>
            </w:pPr>
            <w:r>
              <w:rPr>
                <w:w w:val="100"/>
                <w:sz w:val="15"/>
              </w:rPr>
              <w:t>-</w:t>
            </w:r>
          </w:p>
        </w:tc>
      </w:tr>
      <w:tr>
        <w:trPr>
          <w:trHeight w:val="517" w:hRule="atLeast"/>
        </w:trPr>
        <w:tc>
          <w:tcPr>
            <w:tcW w:w="847" w:type="dxa"/>
            <w:tcBorders>
              <w:top w:val="single" w:sz="4" w:space="0" w:color="000000"/>
              <w:bottom w:val="single" w:sz="4" w:space="0" w:color="000000"/>
              <w:right w:val="single" w:sz="4" w:space="0" w:color="000000"/>
            </w:tcBorders>
          </w:tcPr>
          <w:p>
            <w:pPr>
              <w:pStyle w:val="TableParagraph"/>
              <w:spacing w:line="242" w:lineRule="auto" w:before="1"/>
              <w:ind w:left="109" w:right="115"/>
              <w:rPr>
                <w:rFonts w:ascii="宋体" w:eastAsia="宋体" w:hint="eastAsia"/>
                <w:sz w:val="15"/>
              </w:rPr>
            </w:pPr>
            <w:r>
              <w:rPr>
                <w:rFonts w:ascii="宋体" w:eastAsia="宋体" w:hint="eastAsia"/>
                <w:sz w:val="15"/>
              </w:rPr>
              <w:t>（七）专项储备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22"/>
              </w:rPr>
            </w:pPr>
          </w:p>
          <w:p>
            <w:pPr>
              <w:pStyle w:val="TableParagraph"/>
              <w:ind w:right="47"/>
              <w:jc w:val="right"/>
              <w:rPr>
                <w:sz w:val="15"/>
              </w:rPr>
            </w:pPr>
            <w:r>
              <w:rPr>
                <w:w w:val="100"/>
                <w:sz w:val="15"/>
              </w:rPr>
              <w:t>-</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before="5"/>
              <w:rPr>
                <w:sz w:val="14"/>
              </w:rPr>
            </w:pPr>
          </w:p>
          <w:p>
            <w:pPr>
              <w:pStyle w:val="TableParagraph"/>
              <w:spacing w:before="1"/>
              <w:ind w:left="353"/>
              <w:rPr>
                <w:sz w:val="15"/>
              </w:rPr>
            </w:pPr>
            <w:r>
              <w:rPr>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before="5"/>
              <w:rPr>
                <w:sz w:val="14"/>
              </w:rPr>
            </w:pPr>
          </w:p>
          <w:p>
            <w:pPr>
              <w:pStyle w:val="TableParagraph"/>
              <w:spacing w:before="1"/>
              <w:ind w:left="351"/>
              <w:rPr>
                <w:sz w:val="15"/>
              </w:rPr>
            </w:pPr>
            <w:r>
              <w:rPr>
                <w:w w:val="100"/>
                <w:sz w:val="15"/>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rPr>
                <w:sz w:val="22"/>
              </w:rPr>
            </w:pPr>
          </w:p>
          <w:p>
            <w:pPr>
              <w:pStyle w:val="TableParagraph"/>
              <w:ind w:right="57"/>
              <w:jc w:val="right"/>
              <w:rPr>
                <w:sz w:val="15"/>
              </w:rPr>
            </w:pPr>
            <w:r>
              <w:rPr>
                <w:w w:val="100"/>
                <w:sz w:val="15"/>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rPr>
                <w:sz w:val="22"/>
              </w:rPr>
            </w:pPr>
          </w:p>
          <w:p>
            <w:pPr>
              <w:pStyle w:val="TableParagraph"/>
              <w:ind w:right="62"/>
              <w:jc w:val="right"/>
              <w:rPr>
                <w:sz w:val="15"/>
              </w:rPr>
            </w:pPr>
            <w:r>
              <w:rPr>
                <w:w w:val="100"/>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rPr>
                <w:sz w:val="16"/>
              </w:rPr>
            </w:pPr>
          </w:p>
          <w:p>
            <w:pPr>
              <w:pStyle w:val="TableParagraph"/>
              <w:spacing w:before="6"/>
              <w:rPr>
                <w:sz w:val="13"/>
              </w:rPr>
            </w:pPr>
          </w:p>
          <w:p>
            <w:pPr>
              <w:pStyle w:val="TableParagraph"/>
              <w:spacing w:line="158" w:lineRule="exact"/>
              <w:ind w:right="160"/>
              <w:jc w:val="right"/>
              <w:rPr>
                <w:sz w:val="15"/>
              </w:rPr>
            </w:pPr>
            <w:r>
              <w:rPr>
                <w:w w:val="100"/>
                <w:sz w:val="15"/>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rPr>
                <w:sz w:val="22"/>
              </w:rPr>
            </w:pPr>
          </w:p>
          <w:p>
            <w:pPr>
              <w:pStyle w:val="TableParagraph"/>
              <w:ind w:right="56"/>
              <w:jc w:val="right"/>
              <w:rPr>
                <w:sz w:val="15"/>
              </w:rPr>
            </w:pPr>
            <w:r>
              <w:rPr>
                <w:w w:val="100"/>
                <w:sz w:val="15"/>
              </w:rPr>
              <w:t>-</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rPr>
                <w:sz w:val="22"/>
              </w:rPr>
            </w:pPr>
          </w:p>
          <w:p>
            <w:pPr>
              <w:pStyle w:val="TableParagraph"/>
              <w:ind w:right="51"/>
              <w:jc w:val="right"/>
              <w:rPr>
                <w:sz w:val="15"/>
              </w:rPr>
            </w:pPr>
            <w:r>
              <w:rPr>
                <w:w w:val="100"/>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5"/>
              <w:rPr>
                <w:sz w:val="14"/>
              </w:rPr>
            </w:pPr>
          </w:p>
          <w:p>
            <w:pPr>
              <w:pStyle w:val="TableParagraph"/>
              <w:spacing w:before="1"/>
              <w:ind w:right="157"/>
              <w:jc w:val="right"/>
              <w:rPr>
                <w:sz w:val="15"/>
              </w:rPr>
            </w:pPr>
            <w:r>
              <w:rPr>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rPr>
                <w:sz w:val="22"/>
              </w:rPr>
            </w:pPr>
          </w:p>
          <w:p>
            <w:pPr>
              <w:pStyle w:val="TableParagraph"/>
              <w:ind w:right="51"/>
              <w:jc w:val="right"/>
              <w:rPr>
                <w:sz w:val="15"/>
              </w:rPr>
            </w:pPr>
            <w:r>
              <w:rPr>
                <w:w w:val="100"/>
                <w:sz w:val="15"/>
              </w:rPr>
              <w:t>-</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rPr>
                <w:sz w:val="22"/>
              </w:rPr>
            </w:pPr>
          </w:p>
          <w:p>
            <w:pPr>
              <w:pStyle w:val="TableParagraph"/>
              <w:ind w:right="49"/>
              <w:jc w:val="right"/>
              <w:rPr>
                <w:sz w:val="15"/>
              </w:rPr>
            </w:pPr>
            <w:r>
              <w:rPr>
                <w:w w:val="100"/>
                <w:sz w:val="15"/>
              </w:rPr>
              <w:t>-</w:t>
            </w:r>
          </w:p>
        </w:tc>
        <w:tc>
          <w:tcPr>
            <w:tcW w:w="1276" w:type="dxa"/>
            <w:tcBorders>
              <w:top w:val="single" w:sz="4" w:space="0" w:color="000000"/>
              <w:left w:val="single" w:sz="4" w:space="0" w:color="000000"/>
              <w:bottom w:val="single" w:sz="4" w:space="0" w:color="000000"/>
            </w:tcBorders>
          </w:tcPr>
          <w:p>
            <w:pPr>
              <w:pStyle w:val="TableParagraph"/>
              <w:rPr>
                <w:sz w:val="22"/>
              </w:rPr>
            </w:pPr>
          </w:p>
          <w:p>
            <w:pPr>
              <w:pStyle w:val="TableParagraph"/>
              <w:ind w:right="38"/>
              <w:jc w:val="right"/>
              <w:rPr>
                <w:sz w:val="15"/>
              </w:rPr>
            </w:pPr>
            <w:r>
              <w:rPr>
                <w:w w:val="100"/>
                <w:sz w:val="15"/>
              </w:rPr>
              <w:t>-</w:t>
            </w:r>
          </w:p>
        </w:tc>
      </w:tr>
      <w:tr>
        <w:trPr>
          <w:trHeight w:val="388" w:hRule="atLeast"/>
        </w:trPr>
        <w:tc>
          <w:tcPr>
            <w:tcW w:w="847" w:type="dxa"/>
            <w:tcBorders>
              <w:top w:val="single" w:sz="4" w:space="0" w:color="000000"/>
              <w:bottom w:val="single" w:sz="4" w:space="0" w:color="000000"/>
              <w:right w:val="single" w:sz="4" w:space="0" w:color="000000"/>
            </w:tcBorders>
          </w:tcPr>
          <w:p>
            <w:pPr>
              <w:pStyle w:val="TableParagraph"/>
              <w:spacing w:before="1"/>
              <w:ind w:left="109"/>
              <w:rPr>
                <w:rFonts w:ascii="宋体" w:eastAsia="宋体" w:hint="eastAsia"/>
                <w:sz w:val="15"/>
              </w:rPr>
            </w:pPr>
            <w:r>
              <w:rPr>
                <w:sz w:val="15"/>
              </w:rPr>
              <w:t>1</w:t>
            </w:r>
            <w:r>
              <w:rPr>
                <w:rFonts w:ascii="宋体" w:eastAsia="宋体" w:hint="eastAsia"/>
                <w:sz w:val="15"/>
              </w:rPr>
              <w:t>．本期提</w:t>
            </w:r>
          </w:p>
          <w:p>
            <w:pPr>
              <w:pStyle w:val="TableParagraph"/>
              <w:spacing w:line="173" w:lineRule="exact" w:before="2"/>
              <w:ind w:left="109"/>
              <w:rPr>
                <w:rFonts w:ascii="宋体" w:eastAsia="宋体" w:hint="eastAsia"/>
                <w:sz w:val="15"/>
              </w:rPr>
            </w:pPr>
            <w:r>
              <w:rPr>
                <w:rFonts w:ascii="宋体" w:eastAsia="宋体" w:hint="eastAsia"/>
                <w:w w:val="100"/>
                <w:sz w:val="15"/>
              </w:rPr>
              <w:t>取</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39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tcBorders>
          </w:tcPr>
          <w:p>
            <w:pPr>
              <w:pStyle w:val="TableParagraph"/>
              <w:spacing w:before="4"/>
              <w:rPr>
                <w:sz w:val="16"/>
              </w:rPr>
            </w:pPr>
          </w:p>
          <w:p>
            <w:pPr>
              <w:pStyle w:val="TableParagraph"/>
              <w:ind w:right="38"/>
              <w:jc w:val="right"/>
              <w:rPr>
                <w:sz w:val="15"/>
              </w:rPr>
            </w:pPr>
            <w:r>
              <w:rPr>
                <w:w w:val="100"/>
                <w:sz w:val="15"/>
              </w:rPr>
              <w:t>-</w:t>
            </w:r>
          </w:p>
        </w:tc>
      </w:tr>
      <w:tr>
        <w:trPr>
          <w:trHeight w:val="390" w:hRule="atLeast"/>
        </w:trPr>
        <w:tc>
          <w:tcPr>
            <w:tcW w:w="847" w:type="dxa"/>
            <w:tcBorders>
              <w:top w:val="single" w:sz="4" w:space="0" w:color="000000"/>
              <w:bottom w:val="single" w:sz="4" w:space="0" w:color="000000"/>
              <w:right w:val="single" w:sz="4" w:space="0" w:color="000000"/>
            </w:tcBorders>
          </w:tcPr>
          <w:p>
            <w:pPr>
              <w:pStyle w:val="TableParagraph"/>
              <w:spacing w:before="1"/>
              <w:ind w:left="109"/>
              <w:rPr>
                <w:rFonts w:ascii="宋体" w:eastAsia="宋体" w:hint="eastAsia"/>
                <w:sz w:val="15"/>
              </w:rPr>
            </w:pPr>
            <w:r>
              <w:rPr>
                <w:sz w:val="15"/>
              </w:rPr>
              <w:t>2</w:t>
            </w:r>
            <w:r>
              <w:rPr>
                <w:rFonts w:ascii="宋体" w:eastAsia="宋体" w:hint="eastAsia"/>
                <w:sz w:val="15"/>
              </w:rPr>
              <w:t>．本期使</w:t>
            </w:r>
          </w:p>
          <w:p>
            <w:pPr>
              <w:pStyle w:val="TableParagraph"/>
              <w:spacing w:line="175" w:lineRule="exact" w:before="2"/>
              <w:ind w:left="109"/>
              <w:rPr>
                <w:rFonts w:ascii="宋体" w:eastAsia="宋体" w:hint="eastAsia"/>
                <w:sz w:val="15"/>
              </w:rPr>
            </w:pPr>
            <w:r>
              <w:rPr>
                <w:rFonts w:ascii="宋体" w:eastAsia="宋体" w:hint="eastAsia"/>
                <w:w w:val="100"/>
                <w:sz w:val="15"/>
              </w:rPr>
              <w:t>用</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39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tcBorders>
          </w:tcPr>
          <w:p>
            <w:pPr>
              <w:pStyle w:val="TableParagraph"/>
              <w:spacing w:before="4"/>
              <w:rPr>
                <w:sz w:val="16"/>
              </w:rPr>
            </w:pPr>
          </w:p>
          <w:p>
            <w:pPr>
              <w:pStyle w:val="TableParagraph"/>
              <w:ind w:right="38"/>
              <w:jc w:val="right"/>
              <w:rPr>
                <w:sz w:val="15"/>
              </w:rPr>
            </w:pPr>
            <w:r>
              <w:rPr>
                <w:w w:val="100"/>
                <w:sz w:val="15"/>
              </w:rPr>
              <w:t>-</w:t>
            </w:r>
          </w:p>
        </w:tc>
      </w:tr>
      <w:tr>
        <w:trPr>
          <w:trHeight w:val="386" w:hRule="atLeast"/>
        </w:trPr>
        <w:tc>
          <w:tcPr>
            <w:tcW w:w="847" w:type="dxa"/>
            <w:tcBorders>
              <w:top w:val="single" w:sz="4" w:space="0" w:color="000000"/>
              <w:bottom w:val="single" w:sz="6" w:space="0" w:color="000000"/>
              <w:right w:val="single" w:sz="4" w:space="0" w:color="000000"/>
            </w:tcBorders>
          </w:tcPr>
          <w:p>
            <w:pPr>
              <w:pStyle w:val="TableParagraph"/>
              <w:spacing w:before="1"/>
              <w:ind w:left="109"/>
              <w:rPr>
                <w:rFonts w:ascii="宋体" w:eastAsia="宋体" w:hint="eastAsia"/>
                <w:sz w:val="15"/>
              </w:rPr>
            </w:pPr>
            <w:r>
              <w:rPr>
                <w:rFonts w:ascii="宋体" w:eastAsia="宋体" w:hint="eastAsia"/>
                <w:sz w:val="15"/>
              </w:rPr>
              <w:t>（六）其</w:t>
            </w:r>
          </w:p>
          <w:p>
            <w:pPr>
              <w:pStyle w:val="TableParagraph"/>
              <w:spacing w:line="171" w:lineRule="exact" w:before="2"/>
              <w:ind w:left="109"/>
              <w:rPr>
                <w:rFonts w:ascii="宋体" w:eastAsia="宋体" w:hint="eastAsia"/>
                <w:sz w:val="15"/>
              </w:rPr>
            </w:pPr>
            <w:r>
              <w:rPr>
                <w:rFonts w:ascii="宋体" w:eastAsia="宋体" w:hint="eastAsia"/>
                <w:w w:val="100"/>
                <w:sz w:val="15"/>
              </w:rPr>
              <w:t>他</w:t>
            </w:r>
          </w:p>
        </w:tc>
        <w:tc>
          <w:tcPr>
            <w:tcW w:w="1135" w:type="dxa"/>
            <w:tcBorders>
              <w:top w:val="single" w:sz="4" w:space="0" w:color="000000"/>
              <w:left w:val="single" w:sz="4" w:space="0" w:color="000000"/>
              <w:bottom w:val="single" w:sz="6" w:space="0" w:color="000000"/>
              <w:right w:val="single" w:sz="4" w:space="0" w:color="000000"/>
            </w:tcBorders>
          </w:tcPr>
          <w:p>
            <w:pPr>
              <w:pStyle w:val="TableParagraph"/>
              <w:rPr>
                <w:sz w:val="16"/>
              </w:rPr>
            </w:pPr>
          </w:p>
        </w:tc>
        <w:tc>
          <w:tcPr>
            <w:tcW w:w="571" w:type="dxa"/>
            <w:tcBorders>
              <w:top w:val="single" w:sz="4" w:space="0" w:color="000000"/>
              <w:left w:val="single" w:sz="4" w:space="0" w:color="000000"/>
              <w:bottom w:val="single" w:sz="6" w:space="0" w:color="000000"/>
              <w:right w:val="single" w:sz="4" w:space="0" w:color="000000"/>
            </w:tcBorders>
          </w:tcPr>
          <w:p>
            <w:pPr>
              <w:pStyle w:val="TableParagraph"/>
              <w:rPr>
                <w:sz w:val="16"/>
              </w:rPr>
            </w:pPr>
          </w:p>
        </w:tc>
        <w:tc>
          <w:tcPr>
            <w:tcW w:w="569" w:type="dxa"/>
            <w:tcBorders>
              <w:top w:val="single" w:sz="4" w:space="0" w:color="000000"/>
              <w:left w:val="single" w:sz="4" w:space="0" w:color="000000"/>
              <w:bottom w:val="single" w:sz="6" w:space="0" w:color="000000"/>
              <w:right w:val="single" w:sz="4" w:space="0" w:color="000000"/>
            </w:tcBorders>
          </w:tcPr>
          <w:p>
            <w:pPr>
              <w:pStyle w:val="TableParagraph"/>
              <w:rPr>
                <w:sz w:val="16"/>
              </w:rPr>
            </w:pPr>
          </w:p>
        </w:tc>
        <w:tc>
          <w:tcPr>
            <w:tcW w:w="1140" w:type="dxa"/>
            <w:tcBorders>
              <w:top w:val="single" w:sz="4" w:space="0" w:color="000000"/>
              <w:left w:val="single" w:sz="4" w:space="0" w:color="000000"/>
              <w:bottom w:val="single" w:sz="6" w:space="0" w:color="000000"/>
              <w:right w:val="single" w:sz="4" w:space="0" w:color="000000"/>
            </w:tcBorders>
          </w:tcPr>
          <w:p>
            <w:pPr>
              <w:pStyle w:val="TableParagraph"/>
              <w:rPr>
                <w:sz w:val="16"/>
              </w:rPr>
            </w:pPr>
          </w:p>
        </w:tc>
        <w:tc>
          <w:tcPr>
            <w:tcW w:w="1280" w:type="dxa"/>
            <w:tcBorders>
              <w:top w:val="single" w:sz="4" w:space="0" w:color="000000"/>
              <w:left w:val="single" w:sz="4" w:space="0" w:color="000000"/>
              <w:bottom w:val="single" w:sz="6" w:space="0" w:color="000000"/>
              <w:right w:val="single" w:sz="4" w:space="0" w:color="000000"/>
            </w:tcBorders>
          </w:tcPr>
          <w:p>
            <w:pPr>
              <w:pStyle w:val="TableParagraph"/>
              <w:rPr>
                <w:sz w:val="16"/>
              </w:rPr>
            </w:pPr>
          </w:p>
        </w:tc>
        <w:tc>
          <w:tcPr>
            <w:tcW w:w="991" w:type="dxa"/>
            <w:tcBorders>
              <w:top w:val="single" w:sz="4" w:space="0" w:color="000000"/>
              <w:left w:val="single" w:sz="4" w:space="0" w:color="000000"/>
              <w:bottom w:val="single" w:sz="6" w:space="0" w:color="000000"/>
              <w:right w:val="single" w:sz="4" w:space="0" w:color="000000"/>
            </w:tcBorders>
          </w:tcPr>
          <w:p>
            <w:pPr>
              <w:pStyle w:val="TableParagraph"/>
              <w:rPr>
                <w:sz w:val="16"/>
              </w:rPr>
            </w:pPr>
          </w:p>
        </w:tc>
        <w:tc>
          <w:tcPr>
            <w:tcW w:w="1130" w:type="dxa"/>
            <w:tcBorders>
              <w:top w:val="single" w:sz="4" w:space="0" w:color="000000"/>
              <w:left w:val="single" w:sz="4" w:space="0" w:color="000000"/>
              <w:bottom w:val="single" w:sz="6" w:space="0" w:color="000000"/>
              <w:right w:val="single" w:sz="4" w:space="0" w:color="000000"/>
            </w:tcBorders>
          </w:tcPr>
          <w:p>
            <w:pPr>
              <w:pStyle w:val="TableParagraph"/>
              <w:rPr>
                <w:sz w:val="16"/>
              </w:rPr>
            </w:pPr>
          </w:p>
        </w:tc>
        <w:tc>
          <w:tcPr>
            <w:tcW w:w="571" w:type="dxa"/>
            <w:tcBorders>
              <w:top w:val="single" w:sz="4" w:space="0" w:color="000000"/>
              <w:left w:val="single" w:sz="4" w:space="0" w:color="000000"/>
              <w:bottom w:val="single" w:sz="6" w:space="0" w:color="000000"/>
              <w:right w:val="single" w:sz="4" w:space="0" w:color="000000"/>
            </w:tcBorders>
          </w:tcPr>
          <w:p>
            <w:pPr>
              <w:pStyle w:val="TableParagraph"/>
              <w:rPr>
                <w:sz w:val="16"/>
              </w:rPr>
            </w:pPr>
          </w:p>
        </w:tc>
        <w:tc>
          <w:tcPr>
            <w:tcW w:w="1126" w:type="dxa"/>
            <w:tcBorders>
              <w:top w:val="single" w:sz="4" w:space="0" w:color="000000"/>
              <w:left w:val="single" w:sz="4" w:space="0" w:color="000000"/>
              <w:bottom w:val="single" w:sz="6" w:space="0" w:color="000000"/>
              <w:right w:val="single" w:sz="4" w:space="0" w:color="000000"/>
            </w:tcBorders>
          </w:tcPr>
          <w:p>
            <w:pPr>
              <w:pStyle w:val="TableParagraph"/>
              <w:rPr>
                <w:sz w:val="16"/>
              </w:rPr>
            </w:pPr>
          </w:p>
        </w:tc>
        <w:tc>
          <w:tcPr>
            <w:tcW w:w="852" w:type="dxa"/>
            <w:tcBorders>
              <w:top w:val="single" w:sz="4" w:space="0" w:color="000000"/>
              <w:left w:val="single" w:sz="4" w:space="0" w:color="000000"/>
              <w:bottom w:val="single" w:sz="6" w:space="0" w:color="000000"/>
              <w:right w:val="single" w:sz="4" w:space="0" w:color="000000"/>
            </w:tcBorders>
          </w:tcPr>
          <w:p>
            <w:pPr>
              <w:pStyle w:val="TableParagraph"/>
              <w:rPr>
                <w:sz w:val="16"/>
              </w:rPr>
            </w:pPr>
          </w:p>
        </w:tc>
        <w:tc>
          <w:tcPr>
            <w:tcW w:w="1274" w:type="dxa"/>
            <w:tcBorders>
              <w:top w:val="single" w:sz="4" w:space="0" w:color="000000"/>
              <w:left w:val="single" w:sz="4" w:space="0" w:color="000000"/>
              <w:bottom w:val="single" w:sz="6" w:space="0" w:color="000000"/>
              <w:right w:val="single" w:sz="4" w:space="0" w:color="000000"/>
            </w:tcBorders>
          </w:tcPr>
          <w:p>
            <w:pPr>
              <w:pStyle w:val="TableParagraph"/>
              <w:spacing w:before="102"/>
              <w:ind w:right="-29"/>
              <w:jc w:val="right"/>
              <w:rPr>
                <w:sz w:val="15"/>
              </w:rPr>
            </w:pPr>
            <w:r>
              <w:rPr>
                <w:sz w:val="15"/>
              </w:rPr>
              <w:t>-93,007,395.22</w:t>
            </w:r>
          </w:p>
        </w:tc>
        <w:tc>
          <w:tcPr>
            <w:tcW w:w="398" w:type="dxa"/>
            <w:tcBorders>
              <w:top w:val="single" w:sz="4" w:space="0" w:color="000000"/>
              <w:left w:val="single" w:sz="4" w:space="0" w:color="000000"/>
              <w:bottom w:val="single" w:sz="6" w:space="0" w:color="000000"/>
              <w:right w:val="single" w:sz="4" w:space="0" w:color="000000"/>
            </w:tcBorders>
          </w:tcPr>
          <w:p>
            <w:pPr>
              <w:pStyle w:val="TableParagraph"/>
              <w:rPr>
                <w:sz w:val="16"/>
              </w:rPr>
            </w:pPr>
          </w:p>
        </w:tc>
        <w:tc>
          <w:tcPr>
            <w:tcW w:w="1303" w:type="dxa"/>
            <w:tcBorders>
              <w:top w:val="single" w:sz="4" w:space="0" w:color="000000"/>
              <w:left w:val="single" w:sz="4" w:space="0" w:color="000000"/>
              <w:bottom w:val="single" w:sz="6" w:space="0" w:color="000000"/>
              <w:right w:val="single" w:sz="4" w:space="0" w:color="000000"/>
            </w:tcBorders>
          </w:tcPr>
          <w:p>
            <w:pPr>
              <w:pStyle w:val="TableParagraph"/>
              <w:spacing w:before="102"/>
              <w:ind w:right="-29"/>
              <w:jc w:val="right"/>
              <w:rPr>
                <w:sz w:val="15"/>
              </w:rPr>
            </w:pPr>
            <w:r>
              <w:rPr>
                <w:sz w:val="15"/>
              </w:rPr>
              <w:t>-93,007,395.22</w:t>
            </w:r>
          </w:p>
        </w:tc>
        <w:tc>
          <w:tcPr>
            <w:tcW w:w="1130" w:type="dxa"/>
            <w:tcBorders>
              <w:top w:val="single" w:sz="4" w:space="0" w:color="000000"/>
              <w:left w:val="single" w:sz="4" w:space="0" w:color="000000"/>
              <w:bottom w:val="single" w:sz="6" w:space="0" w:color="000000"/>
              <w:right w:val="single" w:sz="4" w:space="0" w:color="000000"/>
            </w:tcBorders>
          </w:tcPr>
          <w:p>
            <w:pPr>
              <w:pStyle w:val="TableParagraph"/>
              <w:spacing w:before="102"/>
              <w:ind w:right="-29"/>
              <w:jc w:val="right"/>
              <w:rPr>
                <w:sz w:val="15"/>
              </w:rPr>
            </w:pPr>
            <w:r>
              <w:rPr>
                <w:sz w:val="15"/>
              </w:rPr>
              <w:t>-14,220,716.29</w:t>
            </w:r>
          </w:p>
        </w:tc>
        <w:tc>
          <w:tcPr>
            <w:tcW w:w="1276" w:type="dxa"/>
            <w:tcBorders>
              <w:top w:val="single" w:sz="4" w:space="0" w:color="000000"/>
              <w:left w:val="single" w:sz="4" w:space="0" w:color="000000"/>
              <w:bottom w:val="single" w:sz="6" w:space="0" w:color="000000"/>
            </w:tcBorders>
          </w:tcPr>
          <w:p>
            <w:pPr>
              <w:pStyle w:val="TableParagraph"/>
              <w:spacing w:before="102"/>
              <w:ind w:right="-44"/>
              <w:jc w:val="right"/>
              <w:rPr>
                <w:sz w:val="15"/>
              </w:rPr>
            </w:pPr>
            <w:r>
              <w:rPr>
                <w:sz w:val="15"/>
              </w:rPr>
              <w:t>-107,228,111.51</w:t>
            </w:r>
          </w:p>
        </w:tc>
      </w:tr>
      <w:tr>
        <w:trPr>
          <w:trHeight w:val="385" w:hRule="atLeast"/>
        </w:trPr>
        <w:tc>
          <w:tcPr>
            <w:tcW w:w="847" w:type="dxa"/>
            <w:tcBorders>
              <w:top w:val="single" w:sz="6" w:space="0" w:color="000000"/>
              <w:right w:val="single" w:sz="4" w:space="0" w:color="000000"/>
            </w:tcBorders>
          </w:tcPr>
          <w:p>
            <w:pPr>
              <w:pStyle w:val="TableParagraph"/>
              <w:spacing w:line="191" w:lineRule="exact"/>
              <w:ind w:left="109"/>
              <w:rPr>
                <w:rFonts w:ascii="宋体" w:eastAsia="宋体" w:hint="eastAsia"/>
                <w:sz w:val="15"/>
              </w:rPr>
            </w:pPr>
            <w:r>
              <w:rPr>
                <w:rFonts w:ascii="宋体" w:eastAsia="宋体" w:hint="eastAsia"/>
                <w:spacing w:val="-1"/>
                <w:sz w:val="15"/>
              </w:rPr>
              <w:t>四、本期</w:t>
            </w:r>
          </w:p>
          <w:p>
            <w:pPr>
              <w:pStyle w:val="TableParagraph"/>
              <w:spacing w:line="173" w:lineRule="exact" w:before="2"/>
              <w:ind w:left="109"/>
              <w:rPr>
                <w:rFonts w:ascii="宋体" w:eastAsia="宋体" w:hint="eastAsia"/>
                <w:sz w:val="15"/>
              </w:rPr>
            </w:pPr>
            <w:r>
              <w:rPr>
                <w:rFonts w:ascii="宋体" w:eastAsia="宋体" w:hint="eastAsia"/>
                <w:spacing w:val="-1"/>
                <w:sz w:val="15"/>
              </w:rPr>
              <w:t>期末余额</w:t>
            </w:r>
          </w:p>
        </w:tc>
        <w:tc>
          <w:tcPr>
            <w:tcW w:w="1135" w:type="dxa"/>
            <w:tcBorders>
              <w:top w:val="single" w:sz="6" w:space="0" w:color="000000"/>
              <w:left w:val="single" w:sz="4" w:space="0" w:color="000000"/>
              <w:right w:val="single" w:sz="4" w:space="0" w:color="000000"/>
            </w:tcBorders>
          </w:tcPr>
          <w:p>
            <w:pPr>
              <w:pStyle w:val="TableParagraph"/>
              <w:spacing w:before="100"/>
              <w:ind w:right="-29"/>
              <w:jc w:val="right"/>
              <w:rPr>
                <w:sz w:val="15"/>
              </w:rPr>
            </w:pPr>
            <w:r>
              <w:rPr>
                <w:sz w:val="15"/>
              </w:rPr>
              <w:t>6,579,566,627.00</w:t>
            </w:r>
          </w:p>
        </w:tc>
        <w:tc>
          <w:tcPr>
            <w:tcW w:w="571" w:type="dxa"/>
            <w:tcBorders>
              <w:top w:val="single" w:sz="6" w:space="0" w:color="000000"/>
              <w:left w:val="single" w:sz="4" w:space="0" w:color="000000"/>
              <w:right w:val="single" w:sz="4" w:space="0" w:color="000000"/>
            </w:tcBorders>
          </w:tcPr>
          <w:p>
            <w:pPr>
              <w:pStyle w:val="TableParagraph"/>
              <w:rPr>
                <w:sz w:val="16"/>
              </w:rPr>
            </w:pPr>
          </w:p>
        </w:tc>
        <w:tc>
          <w:tcPr>
            <w:tcW w:w="569" w:type="dxa"/>
            <w:tcBorders>
              <w:top w:val="single" w:sz="6" w:space="0" w:color="000000"/>
              <w:left w:val="single" w:sz="4" w:space="0" w:color="000000"/>
              <w:right w:val="single" w:sz="4" w:space="0" w:color="000000"/>
            </w:tcBorders>
          </w:tcPr>
          <w:p>
            <w:pPr>
              <w:pStyle w:val="TableParagraph"/>
              <w:rPr>
                <w:sz w:val="16"/>
              </w:rPr>
            </w:pPr>
          </w:p>
        </w:tc>
        <w:tc>
          <w:tcPr>
            <w:tcW w:w="1140" w:type="dxa"/>
            <w:tcBorders>
              <w:top w:val="single" w:sz="6" w:space="0" w:color="000000"/>
              <w:left w:val="single" w:sz="4" w:space="0" w:color="000000"/>
              <w:right w:val="single" w:sz="4" w:space="0" w:color="000000"/>
            </w:tcBorders>
          </w:tcPr>
          <w:p>
            <w:pPr>
              <w:pStyle w:val="TableParagraph"/>
              <w:spacing w:before="100"/>
              <w:ind w:right="-15"/>
              <w:jc w:val="right"/>
              <w:rPr>
                <w:sz w:val="15"/>
              </w:rPr>
            </w:pPr>
            <w:r>
              <w:rPr>
                <w:sz w:val="15"/>
              </w:rPr>
              <w:t>431,424,524.07</w:t>
            </w:r>
          </w:p>
        </w:tc>
        <w:tc>
          <w:tcPr>
            <w:tcW w:w="1280" w:type="dxa"/>
            <w:tcBorders>
              <w:top w:val="single" w:sz="6" w:space="0" w:color="000000"/>
              <w:left w:val="single" w:sz="4" w:space="0" w:color="000000"/>
              <w:right w:val="single" w:sz="4" w:space="0" w:color="000000"/>
            </w:tcBorders>
          </w:tcPr>
          <w:p>
            <w:pPr>
              <w:pStyle w:val="TableParagraph"/>
              <w:spacing w:before="100"/>
              <w:ind w:right="-15"/>
              <w:jc w:val="right"/>
              <w:rPr>
                <w:sz w:val="15"/>
              </w:rPr>
            </w:pPr>
            <w:r>
              <w:rPr>
                <w:sz w:val="15"/>
              </w:rPr>
              <w:t>4,435,890,845.47</w:t>
            </w:r>
          </w:p>
        </w:tc>
        <w:tc>
          <w:tcPr>
            <w:tcW w:w="991" w:type="dxa"/>
            <w:tcBorders>
              <w:top w:val="single" w:sz="6" w:space="0" w:color="000000"/>
              <w:left w:val="single" w:sz="4" w:space="0" w:color="000000"/>
              <w:right w:val="single" w:sz="4" w:space="0" w:color="000000"/>
            </w:tcBorders>
          </w:tcPr>
          <w:p>
            <w:pPr>
              <w:pStyle w:val="TableParagraph"/>
              <w:rPr>
                <w:sz w:val="16"/>
              </w:rPr>
            </w:pPr>
          </w:p>
        </w:tc>
        <w:tc>
          <w:tcPr>
            <w:tcW w:w="1130" w:type="dxa"/>
            <w:tcBorders>
              <w:top w:val="single" w:sz="6" w:space="0" w:color="000000"/>
              <w:left w:val="single" w:sz="4" w:space="0" w:color="000000"/>
              <w:right w:val="single" w:sz="4" w:space="0" w:color="000000"/>
            </w:tcBorders>
          </w:tcPr>
          <w:p>
            <w:pPr>
              <w:pStyle w:val="TableParagraph"/>
              <w:spacing w:before="100"/>
              <w:ind w:right="-15"/>
              <w:jc w:val="right"/>
              <w:rPr>
                <w:sz w:val="15"/>
              </w:rPr>
            </w:pPr>
            <w:r>
              <w:rPr>
                <w:sz w:val="15"/>
              </w:rPr>
              <w:t>1,317,988,619.66</w:t>
            </w:r>
          </w:p>
        </w:tc>
        <w:tc>
          <w:tcPr>
            <w:tcW w:w="571" w:type="dxa"/>
            <w:tcBorders>
              <w:top w:val="single" w:sz="6" w:space="0" w:color="000000"/>
              <w:left w:val="single" w:sz="4" w:space="0" w:color="000000"/>
              <w:right w:val="single" w:sz="4" w:space="0" w:color="000000"/>
            </w:tcBorders>
          </w:tcPr>
          <w:p>
            <w:pPr>
              <w:pStyle w:val="TableParagraph"/>
              <w:rPr>
                <w:sz w:val="16"/>
              </w:rPr>
            </w:pPr>
          </w:p>
        </w:tc>
        <w:tc>
          <w:tcPr>
            <w:tcW w:w="1126" w:type="dxa"/>
            <w:tcBorders>
              <w:top w:val="single" w:sz="6" w:space="0" w:color="000000"/>
              <w:left w:val="single" w:sz="4" w:space="0" w:color="000000"/>
              <w:right w:val="single" w:sz="4" w:space="0" w:color="000000"/>
            </w:tcBorders>
          </w:tcPr>
          <w:p>
            <w:pPr>
              <w:pStyle w:val="TableParagraph"/>
              <w:spacing w:before="100"/>
              <w:ind w:right="-29"/>
              <w:jc w:val="right"/>
              <w:rPr>
                <w:sz w:val="15"/>
              </w:rPr>
            </w:pPr>
            <w:r>
              <w:rPr>
                <w:sz w:val="15"/>
              </w:rPr>
              <w:t>2,655,327,405.46</w:t>
            </w:r>
          </w:p>
        </w:tc>
        <w:tc>
          <w:tcPr>
            <w:tcW w:w="852" w:type="dxa"/>
            <w:tcBorders>
              <w:top w:val="single" w:sz="6" w:space="0" w:color="000000"/>
              <w:left w:val="single" w:sz="4" w:space="0" w:color="000000"/>
              <w:right w:val="single" w:sz="4" w:space="0" w:color="000000"/>
            </w:tcBorders>
          </w:tcPr>
          <w:p>
            <w:pPr>
              <w:pStyle w:val="TableParagraph"/>
              <w:spacing w:before="3"/>
              <w:rPr>
                <w:sz w:val="14"/>
              </w:rPr>
            </w:pPr>
          </w:p>
          <w:p>
            <w:pPr>
              <w:pStyle w:val="TableParagraph"/>
              <w:ind w:right="157"/>
              <w:jc w:val="right"/>
              <w:rPr>
                <w:sz w:val="15"/>
              </w:rPr>
            </w:pPr>
            <w:r>
              <w:rPr>
                <w:w w:val="100"/>
                <w:sz w:val="15"/>
              </w:rPr>
              <w:t>-</w:t>
            </w:r>
          </w:p>
        </w:tc>
        <w:tc>
          <w:tcPr>
            <w:tcW w:w="1274" w:type="dxa"/>
            <w:tcBorders>
              <w:top w:val="single" w:sz="6" w:space="0" w:color="000000"/>
              <w:left w:val="single" w:sz="4" w:space="0" w:color="000000"/>
              <w:right w:val="single" w:sz="4" w:space="0" w:color="000000"/>
            </w:tcBorders>
          </w:tcPr>
          <w:p>
            <w:pPr>
              <w:pStyle w:val="TableParagraph"/>
              <w:spacing w:before="100"/>
              <w:ind w:right="-29"/>
              <w:jc w:val="right"/>
              <w:rPr>
                <w:sz w:val="15"/>
              </w:rPr>
            </w:pPr>
            <w:r>
              <w:rPr>
                <w:sz w:val="15"/>
              </w:rPr>
              <w:t>32,468,121,744.26</w:t>
            </w:r>
          </w:p>
        </w:tc>
        <w:tc>
          <w:tcPr>
            <w:tcW w:w="398" w:type="dxa"/>
            <w:tcBorders>
              <w:top w:val="single" w:sz="6" w:space="0" w:color="000000"/>
              <w:left w:val="single" w:sz="4" w:space="0" w:color="000000"/>
              <w:right w:val="single" w:sz="4" w:space="0" w:color="000000"/>
            </w:tcBorders>
          </w:tcPr>
          <w:p>
            <w:pPr>
              <w:pStyle w:val="TableParagraph"/>
              <w:rPr>
                <w:sz w:val="16"/>
              </w:rPr>
            </w:pPr>
          </w:p>
        </w:tc>
        <w:tc>
          <w:tcPr>
            <w:tcW w:w="1303" w:type="dxa"/>
            <w:tcBorders>
              <w:top w:val="single" w:sz="6" w:space="0" w:color="000000"/>
              <w:left w:val="single" w:sz="4" w:space="0" w:color="000000"/>
              <w:right w:val="single" w:sz="4" w:space="0" w:color="000000"/>
            </w:tcBorders>
          </w:tcPr>
          <w:p>
            <w:pPr>
              <w:pStyle w:val="TableParagraph"/>
              <w:spacing w:before="100"/>
              <w:ind w:right="-29"/>
              <w:jc w:val="right"/>
              <w:rPr>
                <w:sz w:val="15"/>
              </w:rPr>
            </w:pPr>
            <w:r>
              <w:rPr>
                <w:sz w:val="15"/>
              </w:rPr>
              <w:t>47,888,319,765.92</w:t>
            </w:r>
          </w:p>
        </w:tc>
        <w:tc>
          <w:tcPr>
            <w:tcW w:w="1130" w:type="dxa"/>
            <w:tcBorders>
              <w:top w:val="single" w:sz="6" w:space="0" w:color="000000"/>
              <w:left w:val="single" w:sz="4" w:space="0" w:color="000000"/>
              <w:right w:val="single" w:sz="4" w:space="0" w:color="000000"/>
            </w:tcBorders>
          </w:tcPr>
          <w:p>
            <w:pPr>
              <w:pStyle w:val="TableParagraph"/>
              <w:spacing w:before="100"/>
              <w:ind w:right="-29"/>
              <w:jc w:val="right"/>
              <w:rPr>
                <w:sz w:val="15"/>
              </w:rPr>
            </w:pPr>
            <w:r>
              <w:rPr>
                <w:sz w:val="15"/>
              </w:rPr>
              <w:t>17,101,540,502.01</w:t>
            </w:r>
          </w:p>
        </w:tc>
        <w:tc>
          <w:tcPr>
            <w:tcW w:w="1276" w:type="dxa"/>
            <w:tcBorders>
              <w:top w:val="single" w:sz="6" w:space="0" w:color="000000"/>
              <w:left w:val="single" w:sz="4" w:space="0" w:color="000000"/>
            </w:tcBorders>
          </w:tcPr>
          <w:p>
            <w:pPr>
              <w:pStyle w:val="TableParagraph"/>
              <w:spacing w:before="100"/>
              <w:ind w:right="-44"/>
              <w:jc w:val="right"/>
              <w:rPr>
                <w:sz w:val="15"/>
              </w:rPr>
            </w:pPr>
            <w:r>
              <w:rPr>
                <w:sz w:val="15"/>
              </w:rPr>
              <w:t>64,989,860,267.93</w:t>
            </w:r>
          </w:p>
        </w:tc>
      </w:tr>
    </w:tbl>
    <w:p>
      <w:pPr>
        <w:pStyle w:val="BodyText"/>
        <w:spacing w:before="8"/>
        <w:rPr>
          <w:rFonts w:ascii="Times New Roman"/>
          <w:sz w:val="17"/>
        </w:rPr>
      </w:pPr>
    </w:p>
    <w:p>
      <w:pPr>
        <w:pStyle w:val="BodyText"/>
        <w:tabs>
          <w:tab w:pos="6975" w:val="left" w:leader="none"/>
          <w:tab w:pos="10652" w:val="left" w:leader="none"/>
        </w:tabs>
        <w:spacing w:before="72"/>
        <w:ind w:left="3929"/>
      </w:pPr>
      <w:r>
        <w:rPr/>
        <w:t>法定</w:t>
      </w:r>
      <w:r>
        <w:rPr>
          <w:spacing w:val="-3"/>
        </w:rPr>
        <w:t>代</w:t>
      </w:r>
      <w:r>
        <w:rPr/>
        <w:t>表</w:t>
      </w:r>
      <w:r>
        <w:rPr>
          <w:spacing w:val="-3"/>
        </w:rPr>
        <w:t>人</w:t>
      </w:r>
      <w:r>
        <w:rPr/>
        <w:t>：</w:t>
      </w:r>
      <w:r>
        <w:rPr>
          <w:spacing w:val="-3"/>
        </w:rPr>
        <w:t>梁</w:t>
      </w:r>
      <w:r>
        <w:rPr/>
        <w:t>海山</w:t>
        <w:tab/>
        <w:t>主</w:t>
      </w:r>
      <w:r>
        <w:rPr>
          <w:spacing w:val="-3"/>
        </w:rPr>
        <w:t>管</w:t>
      </w:r>
      <w:r>
        <w:rPr/>
        <w:t>会</w:t>
      </w:r>
      <w:r>
        <w:rPr>
          <w:spacing w:val="-3"/>
        </w:rPr>
        <w:t>计</w:t>
      </w:r>
      <w:r>
        <w:rPr/>
        <w:t>工</w:t>
      </w:r>
      <w:r>
        <w:rPr>
          <w:spacing w:val="-3"/>
        </w:rPr>
        <w:t>作</w:t>
      </w:r>
      <w:r>
        <w:rPr/>
        <w:t>负</w:t>
      </w:r>
      <w:r>
        <w:rPr>
          <w:spacing w:val="-3"/>
        </w:rPr>
        <w:t>责</w:t>
      </w:r>
      <w:r>
        <w:rPr/>
        <w:t>人：</w:t>
      </w:r>
      <w:r>
        <w:rPr>
          <w:spacing w:val="-3"/>
        </w:rPr>
        <w:t>宫</w:t>
      </w:r>
      <w:r>
        <w:rPr/>
        <w:t>伟</w:t>
        <w:tab/>
      </w:r>
      <w:r>
        <w:rPr>
          <w:spacing w:val="-3"/>
        </w:rPr>
        <w:t>会计</w:t>
      </w:r>
      <w:r>
        <w:rPr/>
        <w:t>机构</w:t>
      </w:r>
      <w:r>
        <w:rPr>
          <w:spacing w:val="-3"/>
        </w:rPr>
        <w:t>负</w:t>
      </w:r>
      <w:r>
        <w:rPr/>
        <w:t>责</w:t>
      </w:r>
      <w:r>
        <w:rPr>
          <w:spacing w:val="-3"/>
        </w:rPr>
        <w:t>人</w:t>
      </w:r>
      <w:r>
        <w:rPr/>
        <w:t>：</w:t>
      </w:r>
      <w:r>
        <w:rPr>
          <w:spacing w:val="-3"/>
        </w:rPr>
        <w:t>应珂</w:t>
      </w:r>
    </w:p>
    <w:p>
      <w:pPr>
        <w:pStyle w:val="BodyText"/>
        <w:spacing w:before="6"/>
        <w:rPr>
          <w:sz w:val="13"/>
        </w:rPr>
      </w:pPr>
    </w:p>
    <w:p>
      <w:pPr>
        <w:pStyle w:val="Heading4"/>
        <w:spacing w:line="365" w:lineRule="exact" w:before="2"/>
        <w:ind w:left="7156" w:right="6354"/>
        <w:jc w:val="center"/>
      </w:pPr>
      <w:r>
        <w:rPr/>
        <w:t>母公司所有者权益变动表</w:t>
      </w:r>
    </w:p>
    <w:p>
      <w:pPr>
        <w:pStyle w:val="BodyText"/>
        <w:spacing w:line="247" w:lineRule="exact"/>
        <w:ind w:left="7156" w:right="6354"/>
        <w:jc w:val="center"/>
      </w:pPr>
      <w:r>
        <w:rPr>
          <w:rFonts w:ascii="Times New Roman" w:hAnsi="Times New Roman" w:eastAsia="Times New Roman"/>
        </w:rPr>
        <w:t>2020 </w:t>
      </w:r>
      <w:r>
        <w:rPr/>
        <w:t>年 </w:t>
      </w:r>
      <w:r>
        <w:rPr>
          <w:rFonts w:ascii="Times New Roman" w:hAnsi="Times New Roman" w:eastAsia="Times New Roman"/>
        </w:rPr>
        <w:t>1—12 </w:t>
      </w:r>
      <w:r>
        <w:rPr/>
        <w:t>月</w:t>
      </w:r>
    </w:p>
    <w:p>
      <w:pPr>
        <w:pStyle w:val="BodyText"/>
        <w:tabs>
          <w:tab w:pos="899" w:val="left" w:leader="none"/>
        </w:tabs>
        <w:spacing w:before="2" w:after="4"/>
        <w:ind w:right="575"/>
        <w:jc w:val="right"/>
      </w:pPr>
      <w:r>
        <w:rPr/>
        <w:t>单位</w:t>
      </w:r>
      <w:r>
        <w:rPr>
          <w:rFonts w:ascii="Times New Roman" w:eastAsia="Times New Roman"/>
        </w:rPr>
        <w:t>:</w:t>
      </w:r>
      <w:r>
        <w:rPr/>
        <w:t>元</w:t>
        <w:tab/>
      </w:r>
      <w:r>
        <w:rPr>
          <w:spacing w:val="-3"/>
        </w:rPr>
        <w:t>币</w:t>
      </w:r>
      <w:r>
        <w:rPr>
          <w:spacing w:val="-1"/>
        </w:rPr>
        <w:t>种</w:t>
      </w:r>
      <w:r>
        <w:rPr>
          <w:rFonts w:ascii="Times New Roman" w:eastAsia="Times New Roman"/>
          <w:spacing w:val="-1"/>
        </w:rPr>
        <w:t>:</w:t>
      </w:r>
      <w:r>
        <w:rPr/>
        <w:t>人</w:t>
      </w:r>
      <w:r>
        <w:rPr>
          <w:spacing w:val="-3"/>
        </w:rPr>
        <w:t>民</w:t>
      </w:r>
      <w:r>
        <w:rPr/>
        <w:t>币</w:t>
      </w:r>
    </w:p>
    <w:tbl>
      <w:tblPr>
        <w:tblW w:w="0" w:type="auto"/>
        <w:jc w:val="left"/>
        <w:tblInd w:w="14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672"/>
        <w:gridCol w:w="1433"/>
        <w:gridCol w:w="708"/>
        <w:gridCol w:w="708"/>
        <w:gridCol w:w="1135"/>
        <w:gridCol w:w="1419"/>
        <w:gridCol w:w="708"/>
        <w:gridCol w:w="1133"/>
        <w:gridCol w:w="711"/>
        <w:gridCol w:w="1276"/>
        <w:gridCol w:w="1278"/>
        <w:gridCol w:w="1417"/>
      </w:tblGrid>
      <w:tr>
        <w:trPr>
          <w:trHeight w:val="232" w:hRule="atLeast"/>
        </w:trPr>
        <w:tc>
          <w:tcPr>
            <w:tcW w:w="3672" w:type="dxa"/>
            <w:vMerge w:val="restart"/>
            <w:tcBorders>
              <w:bottom w:val="single" w:sz="4" w:space="0" w:color="000000"/>
              <w:right w:val="single" w:sz="4" w:space="0" w:color="000000"/>
            </w:tcBorders>
            <w:shd w:val="clear" w:color="auto" w:fill="EDEBE0"/>
          </w:tcPr>
          <w:p>
            <w:pPr>
              <w:pStyle w:val="TableParagraph"/>
              <w:rPr>
                <w:rFonts w:ascii="宋体"/>
                <w:sz w:val="18"/>
              </w:rPr>
            </w:pPr>
          </w:p>
          <w:p>
            <w:pPr>
              <w:pStyle w:val="TableParagraph"/>
              <w:spacing w:before="3"/>
              <w:rPr>
                <w:rFonts w:ascii="宋体"/>
                <w:sz w:val="13"/>
              </w:rPr>
            </w:pPr>
          </w:p>
          <w:p>
            <w:pPr>
              <w:pStyle w:val="TableParagraph"/>
              <w:ind w:left="1635" w:right="1616"/>
              <w:jc w:val="center"/>
              <w:rPr>
                <w:rFonts w:ascii="宋体" w:eastAsia="宋体" w:hint="eastAsia"/>
                <w:sz w:val="18"/>
              </w:rPr>
            </w:pPr>
            <w:r>
              <w:rPr>
                <w:rFonts w:ascii="宋体" w:eastAsia="宋体" w:hint="eastAsia"/>
                <w:sz w:val="18"/>
              </w:rPr>
              <w:t>项目</w:t>
            </w:r>
          </w:p>
        </w:tc>
        <w:tc>
          <w:tcPr>
            <w:tcW w:w="11926" w:type="dxa"/>
            <w:gridSpan w:val="11"/>
            <w:tcBorders>
              <w:left w:val="single" w:sz="4" w:space="0" w:color="000000"/>
              <w:bottom w:val="single" w:sz="4" w:space="0" w:color="000000"/>
            </w:tcBorders>
            <w:shd w:val="clear" w:color="auto" w:fill="EDEBE0"/>
          </w:tcPr>
          <w:p>
            <w:pPr>
              <w:pStyle w:val="TableParagraph"/>
              <w:spacing w:line="212" w:lineRule="exact"/>
              <w:ind w:left="5616" w:right="5484"/>
              <w:jc w:val="center"/>
              <w:rPr>
                <w:rFonts w:ascii="宋体" w:eastAsia="宋体" w:hint="eastAsia"/>
                <w:sz w:val="18"/>
              </w:rPr>
            </w:pPr>
            <w:r>
              <w:rPr>
                <w:sz w:val="18"/>
              </w:rPr>
              <w:t>2020 </w:t>
            </w:r>
            <w:r>
              <w:rPr>
                <w:rFonts w:ascii="宋体" w:eastAsia="宋体" w:hint="eastAsia"/>
                <w:sz w:val="18"/>
              </w:rPr>
              <w:t>年度</w:t>
            </w:r>
          </w:p>
        </w:tc>
      </w:tr>
      <w:tr>
        <w:trPr>
          <w:trHeight w:val="316" w:hRule="atLeast"/>
        </w:trPr>
        <w:tc>
          <w:tcPr>
            <w:tcW w:w="3672" w:type="dxa"/>
            <w:vMerge/>
            <w:tcBorders>
              <w:top w:val="nil"/>
              <w:bottom w:val="single" w:sz="4" w:space="0" w:color="000000"/>
              <w:right w:val="single" w:sz="4" w:space="0" w:color="000000"/>
            </w:tcBorders>
            <w:shd w:val="clear" w:color="auto" w:fill="EDEBE0"/>
          </w:tcPr>
          <w:p>
            <w:pPr>
              <w:rPr>
                <w:sz w:val="2"/>
                <w:szCs w:val="2"/>
              </w:rPr>
            </w:pPr>
          </w:p>
        </w:tc>
        <w:tc>
          <w:tcPr>
            <w:tcW w:w="1433" w:type="dxa"/>
            <w:vMerge w:val="restart"/>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42" w:lineRule="auto" w:before="163"/>
              <w:ind w:left="516" w:right="170" w:hanging="317"/>
              <w:rPr>
                <w:sz w:val="18"/>
              </w:rPr>
            </w:pPr>
            <w:r>
              <w:rPr>
                <w:rFonts w:ascii="宋体" w:eastAsia="宋体" w:hint="eastAsia"/>
                <w:sz w:val="18"/>
              </w:rPr>
              <w:t>实收资本 </w:t>
            </w:r>
            <w:r>
              <w:rPr>
                <w:sz w:val="18"/>
              </w:rPr>
              <w:t>(</w:t>
            </w:r>
            <w:r>
              <w:rPr>
                <w:rFonts w:ascii="宋体" w:eastAsia="宋体" w:hint="eastAsia"/>
                <w:sz w:val="18"/>
              </w:rPr>
              <w:t>或股本</w:t>
            </w:r>
            <w:r>
              <w:rPr>
                <w:sz w:val="18"/>
              </w:rPr>
              <w:t>)</w:t>
            </w:r>
          </w:p>
        </w:tc>
        <w:tc>
          <w:tcPr>
            <w:tcW w:w="2551" w:type="dxa"/>
            <w:gridSpan w:val="3"/>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41"/>
              <w:ind w:left="744"/>
              <w:rPr>
                <w:rFonts w:ascii="宋体" w:eastAsia="宋体" w:hint="eastAsia"/>
                <w:sz w:val="18"/>
              </w:rPr>
            </w:pPr>
            <w:r>
              <w:rPr>
                <w:rFonts w:ascii="宋体" w:eastAsia="宋体" w:hint="eastAsia"/>
                <w:sz w:val="18"/>
              </w:rPr>
              <w:t>其他权益工具</w:t>
            </w:r>
          </w:p>
        </w:tc>
        <w:tc>
          <w:tcPr>
            <w:tcW w:w="1419" w:type="dxa"/>
            <w:vMerge w:val="restart"/>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11"/>
              <w:rPr>
                <w:rFonts w:ascii="宋体"/>
                <w:sz w:val="21"/>
              </w:rPr>
            </w:pPr>
          </w:p>
          <w:p>
            <w:pPr>
              <w:pStyle w:val="TableParagraph"/>
              <w:spacing w:before="1"/>
              <w:ind w:left="358"/>
              <w:rPr>
                <w:rFonts w:ascii="宋体" w:eastAsia="宋体" w:hint="eastAsia"/>
                <w:sz w:val="18"/>
              </w:rPr>
            </w:pPr>
            <w:r>
              <w:rPr>
                <w:rFonts w:ascii="宋体" w:eastAsia="宋体" w:hint="eastAsia"/>
                <w:sz w:val="18"/>
              </w:rPr>
              <w:t>资本公积</w:t>
            </w:r>
          </w:p>
        </w:tc>
        <w:tc>
          <w:tcPr>
            <w:tcW w:w="708" w:type="dxa"/>
            <w:vMerge w:val="restart"/>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9"/>
              <w:rPr>
                <w:rFonts w:ascii="宋体"/>
                <w:sz w:val="12"/>
              </w:rPr>
            </w:pPr>
          </w:p>
          <w:p>
            <w:pPr>
              <w:pStyle w:val="TableParagraph"/>
              <w:spacing w:line="242" w:lineRule="auto"/>
              <w:ind w:left="183" w:right="22" w:hanging="65"/>
              <w:rPr>
                <w:rFonts w:ascii="宋体" w:eastAsia="宋体" w:hint="eastAsia"/>
                <w:sz w:val="18"/>
              </w:rPr>
            </w:pPr>
            <w:r>
              <w:rPr>
                <w:rFonts w:ascii="宋体" w:eastAsia="宋体" w:hint="eastAsia"/>
                <w:sz w:val="18"/>
              </w:rPr>
              <w:t>减：库存股</w:t>
            </w:r>
          </w:p>
        </w:tc>
        <w:tc>
          <w:tcPr>
            <w:tcW w:w="1133" w:type="dxa"/>
            <w:vMerge w:val="restart"/>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9"/>
              <w:rPr>
                <w:rFonts w:ascii="宋体"/>
                <w:sz w:val="12"/>
              </w:rPr>
            </w:pPr>
          </w:p>
          <w:p>
            <w:pPr>
              <w:pStyle w:val="TableParagraph"/>
              <w:spacing w:line="242" w:lineRule="auto"/>
              <w:ind w:left="485" w:right="95" w:hanging="360"/>
              <w:rPr>
                <w:rFonts w:ascii="宋体" w:eastAsia="宋体" w:hint="eastAsia"/>
                <w:sz w:val="18"/>
              </w:rPr>
            </w:pPr>
            <w:r>
              <w:rPr>
                <w:rFonts w:ascii="宋体" w:eastAsia="宋体" w:hint="eastAsia"/>
                <w:sz w:val="18"/>
              </w:rPr>
              <w:t>其他综合收益</w:t>
            </w:r>
          </w:p>
        </w:tc>
        <w:tc>
          <w:tcPr>
            <w:tcW w:w="711" w:type="dxa"/>
            <w:vMerge w:val="restart"/>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9"/>
              <w:rPr>
                <w:rFonts w:ascii="宋体"/>
                <w:sz w:val="12"/>
              </w:rPr>
            </w:pPr>
          </w:p>
          <w:p>
            <w:pPr>
              <w:pStyle w:val="TableParagraph"/>
              <w:spacing w:line="242" w:lineRule="auto"/>
              <w:ind w:left="185" w:right="153"/>
              <w:rPr>
                <w:rFonts w:ascii="宋体" w:eastAsia="宋体" w:hint="eastAsia"/>
                <w:sz w:val="18"/>
              </w:rPr>
            </w:pPr>
            <w:r>
              <w:rPr>
                <w:rFonts w:ascii="宋体" w:eastAsia="宋体" w:hint="eastAsia"/>
                <w:sz w:val="18"/>
              </w:rPr>
              <w:t>专项储备</w:t>
            </w:r>
          </w:p>
        </w:tc>
        <w:tc>
          <w:tcPr>
            <w:tcW w:w="1276" w:type="dxa"/>
            <w:vMerge w:val="restart"/>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11"/>
              <w:rPr>
                <w:rFonts w:ascii="宋体"/>
                <w:sz w:val="21"/>
              </w:rPr>
            </w:pPr>
          </w:p>
          <w:p>
            <w:pPr>
              <w:pStyle w:val="TableParagraph"/>
              <w:spacing w:before="1"/>
              <w:ind w:left="287"/>
              <w:rPr>
                <w:rFonts w:ascii="宋体" w:eastAsia="宋体" w:hint="eastAsia"/>
                <w:sz w:val="18"/>
              </w:rPr>
            </w:pPr>
            <w:r>
              <w:rPr>
                <w:rFonts w:ascii="宋体" w:eastAsia="宋体" w:hint="eastAsia"/>
                <w:sz w:val="18"/>
              </w:rPr>
              <w:t>盈余公积</w:t>
            </w:r>
          </w:p>
        </w:tc>
        <w:tc>
          <w:tcPr>
            <w:tcW w:w="1278" w:type="dxa"/>
            <w:vMerge w:val="restart"/>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11"/>
              <w:rPr>
                <w:rFonts w:ascii="宋体"/>
                <w:sz w:val="21"/>
              </w:rPr>
            </w:pPr>
          </w:p>
          <w:p>
            <w:pPr>
              <w:pStyle w:val="TableParagraph"/>
              <w:spacing w:before="1"/>
              <w:ind w:left="198"/>
              <w:rPr>
                <w:rFonts w:ascii="宋体" w:eastAsia="宋体" w:hint="eastAsia"/>
                <w:sz w:val="18"/>
              </w:rPr>
            </w:pPr>
            <w:r>
              <w:rPr>
                <w:rFonts w:ascii="宋体" w:eastAsia="宋体" w:hint="eastAsia"/>
                <w:sz w:val="18"/>
              </w:rPr>
              <w:t>未分配利润</w:t>
            </w:r>
          </w:p>
        </w:tc>
        <w:tc>
          <w:tcPr>
            <w:tcW w:w="1417" w:type="dxa"/>
            <w:vMerge w:val="restart"/>
            <w:tcBorders>
              <w:top w:val="single" w:sz="4" w:space="0" w:color="000000"/>
              <w:left w:val="single" w:sz="4" w:space="0" w:color="000000"/>
              <w:bottom w:val="single" w:sz="4" w:space="0" w:color="000000"/>
            </w:tcBorders>
            <w:shd w:val="clear" w:color="auto" w:fill="EDEBE0"/>
          </w:tcPr>
          <w:p>
            <w:pPr>
              <w:pStyle w:val="TableParagraph"/>
              <w:spacing w:before="9"/>
              <w:rPr>
                <w:rFonts w:ascii="宋体"/>
                <w:sz w:val="12"/>
              </w:rPr>
            </w:pPr>
          </w:p>
          <w:p>
            <w:pPr>
              <w:pStyle w:val="TableParagraph"/>
              <w:spacing w:line="242" w:lineRule="auto"/>
              <w:ind w:left="624" w:right="139" w:hanging="449"/>
              <w:rPr>
                <w:rFonts w:ascii="宋体" w:eastAsia="宋体" w:hint="eastAsia"/>
                <w:sz w:val="18"/>
              </w:rPr>
            </w:pPr>
            <w:r>
              <w:rPr>
                <w:rFonts w:ascii="宋体" w:eastAsia="宋体" w:hint="eastAsia"/>
                <w:sz w:val="18"/>
              </w:rPr>
              <w:t>所有者权益合计</w:t>
            </w:r>
          </w:p>
        </w:tc>
      </w:tr>
      <w:tr>
        <w:trPr>
          <w:trHeight w:val="465" w:hRule="atLeast"/>
        </w:trPr>
        <w:tc>
          <w:tcPr>
            <w:tcW w:w="3672" w:type="dxa"/>
            <w:vMerge/>
            <w:tcBorders>
              <w:top w:val="nil"/>
              <w:bottom w:val="single" w:sz="4" w:space="0" w:color="000000"/>
              <w:right w:val="single" w:sz="4" w:space="0" w:color="000000"/>
            </w:tcBorders>
            <w:shd w:val="clear" w:color="auto" w:fill="EDEBE0"/>
          </w:tcPr>
          <w:p>
            <w:pPr>
              <w:rPr>
                <w:sz w:val="2"/>
                <w:szCs w:val="2"/>
              </w:rPr>
            </w:pPr>
          </w:p>
        </w:tc>
        <w:tc>
          <w:tcPr>
            <w:tcW w:w="1433"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708"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30" w:lineRule="exact"/>
              <w:ind w:left="28"/>
              <w:jc w:val="center"/>
              <w:rPr>
                <w:rFonts w:ascii="宋体" w:eastAsia="宋体" w:hint="eastAsia"/>
                <w:sz w:val="18"/>
              </w:rPr>
            </w:pPr>
            <w:r>
              <w:rPr>
                <w:rFonts w:ascii="宋体" w:eastAsia="宋体" w:hint="eastAsia"/>
                <w:sz w:val="18"/>
              </w:rPr>
              <w:t>优先</w:t>
            </w:r>
          </w:p>
          <w:p>
            <w:pPr>
              <w:pStyle w:val="TableParagraph"/>
              <w:spacing w:line="213" w:lineRule="exact" w:before="2"/>
              <w:ind w:left="30"/>
              <w:jc w:val="center"/>
              <w:rPr>
                <w:rFonts w:ascii="宋体" w:eastAsia="宋体" w:hint="eastAsia"/>
                <w:sz w:val="18"/>
              </w:rPr>
            </w:pPr>
            <w:r>
              <w:rPr>
                <w:rFonts w:ascii="宋体" w:eastAsia="宋体" w:hint="eastAsia"/>
                <w:sz w:val="18"/>
              </w:rPr>
              <w:t>股</w:t>
            </w:r>
          </w:p>
        </w:tc>
        <w:tc>
          <w:tcPr>
            <w:tcW w:w="708"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30" w:lineRule="exact"/>
              <w:ind w:left="28"/>
              <w:jc w:val="center"/>
              <w:rPr>
                <w:rFonts w:ascii="宋体" w:eastAsia="宋体" w:hint="eastAsia"/>
                <w:sz w:val="18"/>
              </w:rPr>
            </w:pPr>
            <w:r>
              <w:rPr>
                <w:rFonts w:ascii="宋体" w:eastAsia="宋体" w:hint="eastAsia"/>
                <w:sz w:val="18"/>
              </w:rPr>
              <w:t>永续</w:t>
            </w:r>
          </w:p>
          <w:p>
            <w:pPr>
              <w:pStyle w:val="TableParagraph"/>
              <w:spacing w:line="213" w:lineRule="exact" w:before="2"/>
              <w:ind w:left="30"/>
              <w:jc w:val="center"/>
              <w:rPr>
                <w:rFonts w:ascii="宋体" w:eastAsia="宋体" w:hint="eastAsia"/>
                <w:sz w:val="18"/>
              </w:rPr>
            </w:pPr>
            <w:r>
              <w:rPr>
                <w:rFonts w:ascii="宋体" w:eastAsia="宋体" w:hint="eastAsia"/>
                <w:sz w:val="18"/>
              </w:rPr>
              <w:t>债</w:t>
            </w:r>
          </w:p>
        </w:tc>
        <w:tc>
          <w:tcPr>
            <w:tcW w:w="1135"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117"/>
              <w:ind w:left="399"/>
              <w:rPr>
                <w:rFonts w:ascii="宋体" w:eastAsia="宋体" w:hint="eastAsia"/>
                <w:sz w:val="18"/>
              </w:rPr>
            </w:pPr>
            <w:r>
              <w:rPr>
                <w:rFonts w:ascii="宋体" w:eastAsia="宋体" w:hint="eastAsia"/>
                <w:sz w:val="18"/>
              </w:rPr>
              <w:t>其他</w:t>
            </w:r>
          </w:p>
        </w:tc>
        <w:tc>
          <w:tcPr>
            <w:tcW w:w="1419"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708"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1133"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711"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1276"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1278"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1417" w:type="dxa"/>
            <w:vMerge/>
            <w:tcBorders>
              <w:top w:val="nil"/>
              <w:left w:val="single" w:sz="4" w:space="0" w:color="000000"/>
              <w:bottom w:val="single" w:sz="4" w:space="0" w:color="000000"/>
            </w:tcBorders>
            <w:shd w:val="clear" w:color="auto" w:fill="EDEBE0"/>
          </w:tcPr>
          <w:p>
            <w:pPr>
              <w:rPr>
                <w:sz w:val="2"/>
                <w:szCs w:val="2"/>
              </w:rPr>
            </w:pPr>
          </w:p>
        </w:tc>
      </w:tr>
      <w:tr>
        <w:trPr>
          <w:trHeight w:val="234" w:hRule="atLeast"/>
        </w:trPr>
        <w:tc>
          <w:tcPr>
            <w:tcW w:w="3672" w:type="dxa"/>
            <w:tcBorders>
              <w:top w:val="single" w:sz="4" w:space="0" w:color="000000"/>
              <w:bottom w:val="single" w:sz="4" w:space="0" w:color="000000"/>
              <w:right w:val="single" w:sz="4" w:space="0" w:color="000000"/>
            </w:tcBorders>
          </w:tcPr>
          <w:p>
            <w:pPr>
              <w:pStyle w:val="TableParagraph"/>
              <w:spacing w:line="213" w:lineRule="exact" w:before="2"/>
              <w:ind w:left="109"/>
              <w:rPr>
                <w:rFonts w:ascii="宋体" w:eastAsia="宋体" w:hint="eastAsia"/>
                <w:sz w:val="18"/>
              </w:rPr>
            </w:pPr>
            <w:r>
              <w:rPr>
                <w:rFonts w:ascii="宋体" w:eastAsia="宋体" w:hint="eastAsia"/>
                <w:sz w:val="18"/>
              </w:rPr>
              <w:t>一、上年年末余额</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9"/>
              <w:ind w:right="-29"/>
              <w:jc w:val="right"/>
              <w:rPr>
                <w:sz w:val="18"/>
              </w:rPr>
            </w:pPr>
            <w:r>
              <w:rPr>
                <w:sz w:val="18"/>
              </w:rPr>
              <w:t>6,579,566,627.00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9"/>
              <w:ind w:left="166" w:right="-29"/>
              <w:jc w:val="center"/>
              <w:rPr>
                <w:sz w:val="18"/>
              </w:rPr>
            </w:pPr>
            <w:r>
              <w:rPr>
                <w:sz w:val="18"/>
              </w:rPr>
              <w:t>7,036,531,178.83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9"/>
              <w:ind w:right="-29"/>
              <w:jc w:val="right"/>
              <w:rPr>
                <w:sz w:val="18"/>
              </w:rPr>
            </w:pPr>
            <w:r>
              <w:rPr>
                <w:sz w:val="18"/>
              </w:rPr>
              <w:t>11,077,477.45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9"/>
              <w:ind w:right="-29"/>
              <w:jc w:val="right"/>
              <w:rPr>
                <w:sz w:val="18"/>
              </w:rPr>
            </w:pPr>
            <w:r>
              <w:rPr>
                <w:sz w:val="18"/>
              </w:rPr>
              <w:t>2,050,181,180.01</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9"/>
              <w:ind w:right="-29"/>
              <w:jc w:val="right"/>
              <w:rPr>
                <w:sz w:val="18"/>
              </w:rPr>
            </w:pPr>
            <w:r>
              <w:rPr>
                <w:sz w:val="18"/>
              </w:rPr>
              <w:t>3,307,235,242.11</w:t>
            </w:r>
          </w:p>
        </w:tc>
        <w:tc>
          <w:tcPr>
            <w:tcW w:w="1417" w:type="dxa"/>
            <w:tcBorders>
              <w:top w:val="single" w:sz="4" w:space="0" w:color="000000"/>
              <w:left w:val="single" w:sz="4" w:space="0" w:color="000000"/>
              <w:bottom w:val="single" w:sz="4" w:space="0" w:color="000000"/>
            </w:tcBorders>
          </w:tcPr>
          <w:p>
            <w:pPr>
              <w:pStyle w:val="TableParagraph"/>
              <w:spacing w:line="205" w:lineRule="exact" w:before="9"/>
              <w:ind w:right="-29"/>
              <w:jc w:val="right"/>
              <w:rPr>
                <w:sz w:val="18"/>
              </w:rPr>
            </w:pPr>
            <w:r>
              <w:rPr>
                <w:sz w:val="18"/>
              </w:rPr>
              <w:t>18,984,591,705.40</w:t>
            </w:r>
          </w:p>
        </w:tc>
      </w:tr>
      <w:tr>
        <w:trPr>
          <w:trHeight w:val="232" w:hRule="atLeast"/>
        </w:trPr>
        <w:tc>
          <w:tcPr>
            <w:tcW w:w="3672" w:type="dxa"/>
            <w:tcBorders>
              <w:top w:val="single" w:sz="4" w:space="0" w:color="000000"/>
              <w:bottom w:val="single" w:sz="4" w:space="0" w:color="000000"/>
              <w:right w:val="single" w:sz="4" w:space="0" w:color="000000"/>
            </w:tcBorders>
          </w:tcPr>
          <w:p>
            <w:pPr>
              <w:pStyle w:val="TableParagraph"/>
              <w:spacing w:line="212" w:lineRule="exact"/>
              <w:ind w:left="109"/>
              <w:rPr>
                <w:rFonts w:ascii="宋体" w:eastAsia="宋体" w:hint="eastAsia"/>
                <w:sz w:val="18"/>
              </w:rPr>
            </w:pPr>
            <w:r>
              <w:rPr>
                <w:rFonts w:ascii="宋体" w:eastAsia="宋体" w:hint="eastAsia"/>
                <w:sz w:val="18"/>
              </w:rPr>
              <w:t>加：会计政策变更</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7" w:type="dxa"/>
            <w:tcBorders>
              <w:top w:val="single" w:sz="4" w:space="0" w:color="000000"/>
              <w:left w:val="single" w:sz="4" w:space="0" w:color="000000"/>
              <w:bottom w:val="single" w:sz="4" w:space="0" w:color="000000"/>
            </w:tcBorders>
          </w:tcPr>
          <w:p>
            <w:pPr>
              <w:pStyle w:val="TableParagraph"/>
              <w:rPr>
                <w:sz w:val="16"/>
              </w:rPr>
            </w:pPr>
          </w:p>
        </w:tc>
      </w:tr>
      <w:tr>
        <w:trPr>
          <w:trHeight w:val="234" w:hRule="atLeast"/>
        </w:trPr>
        <w:tc>
          <w:tcPr>
            <w:tcW w:w="3672" w:type="dxa"/>
            <w:tcBorders>
              <w:top w:val="single" w:sz="4" w:space="0" w:color="000000"/>
              <w:bottom w:val="single" w:sz="4" w:space="0" w:color="000000"/>
              <w:right w:val="single" w:sz="4" w:space="0" w:color="000000"/>
            </w:tcBorders>
          </w:tcPr>
          <w:p>
            <w:pPr>
              <w:pStyle w:val="TableParagraph"/>
              <w:spacing w:line="215" w:lineRule="exact"/>
              <w:ind w:left="469"/>
              <w:rPr>
                <w:rFonts w:ascii="宋体" w:eastAsia="宋体" w:hint="eastAsia"/>
                <w:sz w:val="18"/>
              </w:rPr>
            </w:pPr>
            <w:r>
              <w:rPr>
                <w:rFonts w:ascii="宋体" w:eastAsia="宋体" w:hint="eastAsia"/>
                <w:sz w:val="18"/>
              </w:rPr>
              <w:t>前期差错更正</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7" w:type="dxa"/>
            <w:tcBorders>
              <w:top w:val="single" w:sz="4" w:space="0" w:color="000000"/>
              <w:left w:val="single" w:sz="4" w:space="0" w:color="000000"/>
              <w:bottom w:val="single" w:sz="4" w:space="0" w:color="000000"/>
            </w:tcBorders>
          </w:tcPr>
          <w:p>
            <w:pPr>
              <w:pStyle w:val="TableParagraph"/>
              <w:rPr>
                <w:sz w:val="16"/>
              </w:rPr>
            </w:pPr>
          </w:p>
        </w:tc>
      </w:tr>
      <w:tr>
        <w:trPr>
          <w:trHeight w:val="232" w:hRule="atLeast"/>
        </w:trPr>
        <w:tc>
          <w:tcPr>
            <w:tcW w:w="3672" w:type="dxa"/>
            <w:tcBorders>
              <w:top w:val="single" w:sz="4" w:space="0" w:color="000000"/>
              <w:bottom w:val="single" w:sz="4" w:space="0" w:color="000000"/>
              <w:right w:val="single" w:sz="4" w:space="0" w:color="000000"/>
            </w:tcBorders>
          </w:tcPr>
          <w:p>
            <w:pPr>
              <w:pStyle w:val="TableParagraph"/>
              <w:spacing w:line="212" w:lineRule="exact"/>
              <w:ind w:left="469"/>
              <w:rPr>
                <w:rFonts w:ascii="宋体" w:eastAsia="宋体" w:hint="eastAsia"/>
                <w:sz w:val="18"/>
              </w:rPr>
            </w:pPr>
            <w:r>
              <w:rPr>
                <w:rFonts w:ascii="宋体" w:eastAsia="宋体" w:hint="eastAsia"/>
                <w:sz w:val="18"/>
              </w:rPr>
              <w:t>其他</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7" w:type="dxa"/>
            <w:tcBorders>
              <w:top w:val="single" w:sz="4" w:space="0" w:color="000000"/>
              <w:left w:val="single" w:sz="4" w:space="0" w:color="000000"/>
              <w:bottom w:val="single" w:sz="4" w:space="0" w:color="000000"/>
            </w:tcBorders>
          </w:tcPr>
          <w:p>
            <w:pPr>
              <w:pStyle w:val="TableParagraph"/>
              <w:rPr>
                <w:sz w:val="16"/>
              </w:rPr>
            </w:pPr>
          </w:p>
        </w:tc>
      </w:tr>
      <w:tr>
        <w:trPr>
          <w:trHeight w:val="234" w:hRule="atLeast"/>
        </w:trPr>
        <w:tc>
          <w:tcPr>
            <w:tcW w:w="3672" w:type="dxa"/>
            <w:tcBorders>
              <w:top w:val="single" w:sz="4" w:space="0" w:color="000000"/>
              <w:bottom w:val="single" w:sz="4" w:space="0" w:color="000000"/>
              <w:right w:val="single" w:sz="4" w:space="0" w:color="000000"/>
            </w:tcBorders>
          </w:tcPr>
          <w:p>
            <w:pPr>
              <w:pStyle w:val="TableParagraph"/>
              <w:spacing w:line="215" w:lineRule="exact"/>
              <w:ind w:left="109"/>
              <w:rPr>
                <w:rFonts w:ascii="宋体" w:eastAsia="宋体" w:hint="eastAsia"/>
                <w:sz w:val="18"/>
              </w:rPr>
            </w:pPr>
            <w:r>
              <w:rPr>
                <w:rFonts w:ascii="宋体" w:eastAsia="宋体" w:hint="eastAsia"/>
                <w:sz w:val="18"/>
              </w:rPr>
              <w:t>二、本年期初余额</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9"/>
              <w:ind w:right="-29"/>
              <w:jc w:val="right"/>
              <w:rPr>
                <w:sz w:val="18"/>
              </w:rPr>
            </w:pPr>
            <w:r>
              <w:rPr>
                <w:sz w:val="18"/>
              </w:rPr>
              <w:t>6,579,566,627.00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9"/>
              <w:ind w:left="166" w:right="-29"/>
              <w:jc w:val="center"/>
              <w:rPr>
                <w:sz w:val="18"/>
              </w:rPr>
            </w:pPr>
            <w:r>
              <w:rPr>
                <w:sz w:val="18"/>
              </w:rPr>
              <w:t>7,036,531,178.83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9"/>
              <w:ind w:right="-29"/>
              <w:jc w:val="right"/>
              <w:rPr>
                <w:sz w:val="18"/>
              </w:rPr>
            </w:pPr>
            <w:r>
              <w:rPr>
                <w:sz w:val="18"/>
              </w:rPr>
              <w:t>11,077,477.45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9"/>
              <w:ind w:right="-29"/>
              <w:jc w:val="right"/>
              <w:rPr>
                <w:sz w:val="18"/>
              </w:rPr>
            </w:pPr>
            <w:r>
              <w:rPr>
                <w:sz w:val="18"/>
              </w:rPr>
              <w:t>2,050,181,180.01</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9"/>
              <w:ind w:right="-29"/>
              <w:jc w:val="right"/>
              <w:rPr>
                <w:sz w:val="18"/>
              </w:rPr>
            </w:pPr>
            <w:r>
              <w:rPr>
                <w:sz w:val="18"/>
              </w:rPr>
              <w:t>3,307,235,242.11</w:t>
            </w:r>
          </w:p>
        </w:tc>
        <w:tc>
          <w:tcPr>
            <w:tcW w:w="1417" w:type="dxa"/>
            <w:tcBorders>
              <w:top w:val="single" w:sz="4" w:space="0" w:color="000000"/>
              <w:left w:val="single" w:sz="4" w:space="0" w:color="000000"/>
              <w:bottom w:val="single" w:sz="4" w:space="0" w:color="000000"/>
            </w:tcBorders>
          </w:tcPr>
          <w:p>
            <w:pPr>
              <w:pStyle w:val="TableParagraph"/>
              <w:spacing w:line="205" w:lineRule="exact" w:before="9"/>
              <w:ind w:right="-29"/>
              <w:jc w:val="right"/>
              <w:rPr>
                <w:sz w:val="18"/>
              </w:rPr>
            </w:pPr>
            <w:r>
              <w:rPr>
                <w:sz w:val="18"/>
              </w:rPr>
              <w:t>18,984,591,705.40</w:t>
            </w:r>
          </w:p>
        </w:tc>
      </w:tr>
      <w:tr>
        <w:trPr>
          <w:trHeight w:val="232" w:hRule="atLeast"/>
        </w:trPr>
        <w:tc>
          <w:tcPr>
            <w:tcW w:w="3672" w:type="dxa"/>
            <w:tcBorders>
              <w:top w:val="single" w:sz="4" w:space="0" w:color="000000"/>
              <w:bottom w:val="single" w:sz="4" w:space="0" w:color="000000"/>
              <w:right w:val="single" w:sz="4" w:space="0" w:color="000000"/>
            </w:tcBorders>
          </w:tcPr>
          <w:p>
            <w:pPr>
              <w:pStyle w:val="TableParagraph"/>
              <w:spacing w:line="212" w:lineRule="exact"/>
              <w:ind w:left="109" w:right="-15"/>
              <w:rPr>
                <w:rFonts w:ascii="宋体" w:hAnsi="宋体" w:eastAsia="宋体" w:hint="eastAsia"/>
                <w:sz w:val="18"/>
              </w:rPr>
            </w:pPr>
            <w:r>
              <w:rPr>
                <w:rFonts w:ascii="宋体" w:hAnsi="宋体" w:eastAsia="宋体" w:hint="eastAsia"/>
                <w:spacing w:val="-6"/>
                <w:sz w:val="18"/>
              </w:rPr>
              <w:t>三、本期增减变动金额</w:t>
            </w:r>
            <w:r>
              <w:rPr>
                <w:rFonts w:ascii="宋体" w:hAnsi="宋体" w:eastAsia="宋体" w:hint="eastAsia"/>
                <w:sz w:val="18"/>
              </w:rPr>
              <w:t>（</w:t>
            </w:r>
            <w:r>
              <w:rPr>
                <w:rFonts w:ascii="宋体" w:hAnsi="宋体" w:eastAsia="宋体" w:hint="eastAsia"/>
                <w:spacing w:val="-2"/>
                <w:sz w:val="18"/>
              </w:rPr>
              <w:t>减少以</w:t>
            </w:r>
            <w:r>
              <w:rPr>
                <w:sz w:val="18"/>
              </w:rPr>
              <w:t>“</w:t>
            </w:r>
            <w:r>
              <w:rPr>
                <w:rFonts w:ascii="宋体" w:hAnsi="宋体" w:eastAsia="宋体" w:hint="eastAsia"/>
                <w:sz w:val="18"/>
              </w:rPr>
              <w:t>－</w:t>
            </w:r>
            <w:r>
              <w:rPr>
                <w:sz w:val="18"/>
              </w:rPr>
              <w:t>”</w:t>
            </w:r>
            <w:r>
              <w:rPr>
                <w:rFonts w:ascii="宋体" w:hAnsi="宋体" w:eastAsia="宋体" w:hint="eastAsia"/>
                <w:sz w:val="18"/>
              </w:rPr>
              <w:t>号填列）</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7"/>
              <w:ind w:right="-29"/>
              <w:jc w:val="right"/>
              <w:rPr>
                <w:sz w:val="18"/>
              </w:rPr>
            </w:pPr>
            <w:r>
              <w:rPr>
                <w:sz w:val="18"/>
              </w:rPr>
              <w:t>2,448,279,814.00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7"/>
              <w:ind w:left="75" w:right="-29"/>
              <w:jc w:val="center"/>
              <w:rPr>
                <w:sz w:val="18"/>
              </w:rPr>
            </w:pPr>
            <w:r>
              <w:rPr>
                <w:sz w:val="18"/>
              </w:rPr>
              <w:t>13,371,821,202.12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7"/>
              <w:ind w:right="-29"/>
              <w:jc w:val="right"/>
              <w:rPr>
                <w:sz w:val="18"/>
              </w:rPr>
            </w:pPr>
            <w:r>
              <w:rPr>
                <w:sz w:val="18"/>
              </w:rPr>
              <w:t>-21,108,181.60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7"/>
              <w:ind w:right="-29"/>
              <w:jc w:val="right"/>
              <w:rPr>
                <w:sz w:val="18"/>
              </w:rPr>
            </w:pPr>
            <w:r>
              <w:rPr>
                <w:sz w:val="18"/>
              </w:rPr>
              <w:t>390,007,134.14</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7"/>
              <w:ind w:right="-29"/>
              <w:jc w:val="right"/>
              <w:rPr>
                <w:sz w:val="18"/>
              </w:rPr>
            </w:pPr>
            <w:r>
              <w:rPr>
                <w:sz w:val="18"/>
              </w:rPr>
              <w:t>1,042,726,722.12</w:t>
            </w:r>
          </w:p>
        </w:tc>
        <w:tc>
          <w:tcPr>
            <w:tcW w:w="1417" w:type="dxa"/>
            <w:tcBorders>
              <w:top w:val="single" w:sz="4" w:space="0" w:color="000000"/>
              <w:left w:val="single" w:sz="4" w:space="0" w:color="000000"/>
              <w:bottom w:val="single" w:sz="4" w:space="0" w:color="000000"/>
            </w:tcBorders>
          </w:tcPr>
          <w:p>
            <w:pPr>
              <w:pStyle w:val="TableParagraph"/>
              <w:spacing w:line="205" w:lineRule="exact" w:before="7"/>
              <w:ind w:right="-29"/>
              <w:jc w:val="right"/>
              <w:rPr>
                <w:sz w:val="18"/>
              </w:rPr>
            </w:pPr>
            <w:r>
              <w:rPr>
                <w:sz w:val="18"/>
              </w:rPr>
              <w:t>17,231,726,690.78</w:t>
            </w:r>
          </w:p>
        </w:tc>
      </w:tr>
      <w:tr>
        <w:trPr>
          <w:trHeight w:val="232" w:hRule="atLeast"/>
        </w:trPr>
        <w:tc>
          <w:tcPr>
            <w:tcW w:w="3672" w:type="dxa"/>
            <w:tcBorders>
              <w:top w:val="single" w:sz="4" w:space="0" w:color="000000"/>
              <w:bottom w:val="single" w:sz="4" w:space="0" w:color="000000"/>
              <w:right w:val="single" w:sz="4" w:space="0" w:color="000000"/>
            </w:tcBorders>
          </w:tcPr>
          <w:p>
            <w:pPr>
              <w:pStyle w:val="TableParagraph"/>
              <w:spacing w:line="212" w:lineRule="exact"/>
              <w:ind w:left="109"/>
              <w:rPr>
                <w:rFonts w:ascii="宋体" w:eastAsia="宋体" w:hint="eastAsia"/>
                <w:sz w:val="18"/>
              </w:rPr>
            </w:pPr>
            <w:r>
              <w:rPr>
                <w:rFonts w:ascii="宋体" w:eastAsia="宋体" w:hint="eastAsia"/>
                <w:sz w:val="18"/>
              </w:rPr>
              <w:t>（一）综合收益总额</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before="9"/>
              <w:ind w:right="-29"/>
              <w:jc w:val="right"/>
              <w:rPr>
                <w:sz w:val="18"/>
              </w:rPr>
            </w:pPr>
            <w:r>
              <w:rPr>
                <w:sz w:val="18"/>
              </w:rPr>
              <w:t>-21,108,181.60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before="9"/>
              <w:ind w:right="-29"/>
              <w:jc w:val="right"/>
              <w:rPr>
                <w:sz w:val="18"/>
              </w:rPr>
            </w:pPr>
            <w:r>
              <w:rPr>
                <w:sz w:val="18"/>
              </w:rPr>
              <w:t>3,900,071,341.39</w:t>
            </w:r>
          </w:p>
        </w:tc>
        <w:tc>
          <w:tcPr>
            <w:tcW w:w="1417" w:type="dxa"/>
            <w:tcBorders>
              <w:top w:val="single" w:sz="4" w:space="0" w:color="000000"/>
              <w:left w:val="single" w:sz="4" w:space="0" w:color="000000"/>
              <w:bottom w:val="single" w:sz="4" w:space="0" w:color="000000"/>
            </w:tcBorders>
          </w:tcPr>
          <w:p>
            <w:pPr>
              <w:pStyle w:val="TableParagraph"/>
              <w:spacing w:line="203" w:lineRule="exact" w:before="9"/>
              <w:ind w:right="-29"/>
              <w:jc w:val="right"/>
              <w:rPr>
                <w:sz w:val="18"/>
              </w:rPr>
            </w:pPr>
            <w:r>
              <w:rPr>
                <w:sz w:val="18"/>
              </w:rPr>
              <w:t>3,878,963,159.79</w:t>
            </w:r>
          </w:p>
        </w:tc>
      </w:tr>
      <w:tr>
        <w:trPr>
          <w:trHeight w:val="235" w:hRule="atLeast"/>
        </w:trPr>
        <w:tc>
          <w:tcPr>
            <w:tcW w:w="3672" w:type="dxa"/>
            <w:tcBorders>
              <w:top w:val="single" w:sz="4" w:space="0" w:color="000000"/>
              <w:bottom w:val="single" w:sz="4" w:space="0" w:color="000000"/>
              <w:right w:val="single" w:sz="4" w:space="0" w:color="000000"/>
            </w:tcBorders>
          </w:tcPr>
          <w:p>
            <w:pPr>
              <w:pStyle w:val="TableParagraph"/>
              <w:spacing w:line="213" w:lineRule="exact" w:before="2"/>
              <w:ind w:left="109"/>
              <w:rPr>
                <w:rFonts w:ascii="宋体" w:eastAsia="宋体" w:hint="eastAsia"/>
                <w:sz w:val="18"/>
              </w:rPr>
            </w:pPr>
            <w:r>
              <w:rPr>
                <w:rFonts w:ascii="宋体" w:eastAsia="宋体" w:hint="eastAsia"/>
                <w:sz w:val="18"/>
              </w:rPr>
              <w:t>（二）所有者投入和减少资本</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9"/>
              <w:ind w:right="-29"/>
              <w:jc w:val="right"/>
              <w:rPr>
                <w:sz w:val="18"/>
              </w:rPr>
            </w:pPr>
            <w:r>
              <w:rPr>
                <w:sz w:val="18"/>
              </w:rPr>
              <w:t>2,448,279,814.00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9"/>
              <w:ind w:left="75" w:right="-29"/>
              <w:jc w:val="center"/>
              <w:rPr>
                <w:sz w:val="18"/>
              </w:rPr>
            </w:pPr>
            <w:r>
              <w:rPr>
                <w:sz w:val="18"/>
              </w:rPr>
              <w:t>13,371,821,202.12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7" w:type="dxa"/>
            <w:tcBorders>
              <w:top w:val="single" w:sz="4" w:space="0" w:color="000000"/>
              <w:left w:val="single" w:sz="4" w:space="0" w:color="000000"/>
              <w:bottom w:val="single" w:sz="4" w:space="0" w:color="000000"/>
            </w:tcBorders>
          </w:tcPr>
          <w:p>
            <w:pPr>
              <w:pStyle w:val="TableParagraph"/>
              <w:spacing w:line="206" w:lineRule="exact" w:before="9"/>
              <w:ind w:right="-29"/>
              <w:jc w:val="right"/>
              <w:rPr>
                <w:sz w:val="18"/>
              </w:rPr>
            </w:pPr>
            <w:r>
              <w:rPr>
                <w:sz w:val="18"/>
              </w:rPr>
              <w:t>15,820,101,016.12</w:t>
            </w:r>
          </w:p>
        </w:tc>
      </w:tr>
      <w:tr>
        <w:trPr>
          <w:trHeight w:val="232" w:hRule="atLeast"/>
        </w:trPr>
        <w:tc>
          <w:tcPr>
            <w:tcW w:w="3672" w:type="dxa"/>
            <w:tcBorders>
              <w:top w:val="single" w:sz="4" w:space="0" w:color="000000"/>
              <w:bottom w:val="single" w:sz="4" w:space="0" w:color="000000"/>
              <w:right w:val="single" w:sz="4" w:space="0" w:color="000000"/>
            </w:tcBorders>
          </w:tcPr>
          <w:p>
            <w:pPr>
              <w:pStyle w:val="TableParagraph"/>
              <w:spacing w:line="212" w:lineRule="exact"/>
              <w:ind w:left="109"/>
              <w:rPr>
                <w:rFonts w:ascii="宋体" w:eastAsia="宋体" w:hint="eastAsia"/>
                <w:sz w:val="18"/>
              </w:rPr>
            </w:pPr>
            <w:r>
              <w:rPr>
                <w:sz w:val="18"/>
              </w:rPr>
              <w:t>1</w:t>
            </w:r>
            <w:r>
              <w:rPr>
                <w:rFonts w:ascii="宋体" w:eastAsia="宋体" w:hint="eastAsia"/>
                <w:sz w:val="18"/>
              </w:rPr>
              <w:t>．所有者投入的普通股</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before="9"/>
              <w:ind w:right="-29"/>
              <w:jc w:val="right"/>
              <w:rPr>
                <w:sz w:val="18"/>
              </w:rPr>
            </w:pPr>
            <w:r>
              <w:rPr>
                <w:sz w:val="18"/>
              </w:rPr>
              <w:t>2,448,279,814.00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before="9"/>
              <w:ind w:left="75" w:right="-29"/>
              <w:jc w:val="center"/>
              <w:rPr>
                <w:sz w:val="18"/>
              </w:rPr>
            </w:pPr>
            <w:r>
              <w:rPr>
                <w:sz w:val="18"/>
              </w:rPr>
              <w:t>13,371,821,202.12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7" w:type="dxa"/>
            <w:tcBorders>
              <w:top w:val="single" w:sz="4" w:space="0" w:color="000000"/>
              <w:left w:val="single" w:sz="4" w:space="0" w:color="000000"/>
              <w:bottom w:val="single" w:sz="4" w:space="0" w:color="000000"/>
            </w:tcBorders>
          </w:tcPr>
          <w:p>
            <w:pPr>
              <w:pStyle w:val="TableParagraph"/>
              <w:spacing w:line="203" w:lineRule="exact" w:before="9"/>
              <w:ind w:right="-29"/>
              <w:jc w:val="right"/>
              <w:rPr>
                <w:sz w:val="18"/>
              </w:rPr>
            </w:pPr>
            <w:r>
              <w:rPr>
                <w:sz w:val="18"/>
              </w:rPr>
              <w:t>15,820,101,016.12</w:t>
            </w:r>
          </w:p>
        </w:tc>
      </w:tr>
      <w:tr>
        <w:trPr>
          <w:trHeight w:val="234" w:hRule="atLeast"/>
        </w:trPr>
        <w:tc>
          <w:tcPr>
            <w:tcW w:w="3672" w:type="dxa"/>
            <w:tcBorders>
              <w:top w:val="single" w:sz="4" w:space="0" w:color="000000"/>
              <w:bottom w:val="single" w:sz="4" w:space="0" w:color="000000"/>
              <w:right w:val="single" w:sz="4" w:space="0" w:color="000000"/>
            </w:tcBorders>
          </w:tcPr>
          <w:p>
            <w:pPr>
              <w:pStyle w:val="TableParagraph"/>
              <w:spacing w:line="215" w:lineRule="exact"/>
              <w:ind w:left="109"/>
              <w:rPr>
                <w:rFonts w:ascii="宋体" w:eastAsia="宋体" w:hint="eastAsia"/>
                <w:sz w:val="18"/>
              </w:rPr>
            </w:pPr>
            <w:r>
              <w:rPr>
                <w:sz w:val="18"/>
              </w:rPr>
              <w:t>2</w:t>
            </w:r>
            <w:r>
              <w:rPr>
                <w:rFonts w:ascii="宋体" w:eastAsia="宋体" w:hint="eastAsia"/>
                <w:sz w:val="18"/>
              </w:rPr>
              <w:t>．其他权益工具持有者投入资本</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7" w:type="dxa"/>
            <w:tcBorders>
              <w:top w:val="single" w:sz="4" w:space="0" w:color="000000"/>
              <w:left w:val="single" w:sz="4" w:space="0" w:color="000000"/>
              <w:bottom w:val="single" w:sz="4" w:space="0" w:color="000000"/>
            </w:tcBorders>
          </w:tcPr>
          <w:p>
            <w:pPr>
              <w:pStyle w:val="TableParagraph"/>
              <w:rPr>
                <w:sz w:val="16"/>
              </w:rPr>
            </w:pPr>
          </w:p>
        </w:tc>
      </w:tr>
      <w:tr>
        <w:trPr>
          <w:trHeight w:val="232" w:hRule="atLeast"/>
        </w:trPr>
        <w:tc>
          <w:tcPr>
            <w:tcW w:w="3672" w:type="dxa"/>
            <w:tcBorders>
              <w:top w:val="single" w:sz="4" w:space="0" w:color="000000"/>
              <w:bottom w:val="single" w:sz="4" w:space="0" w:color="000000"/>
              <w:right w:val="single" w:sz="4" w:space="0" w:color="000000"/>
            </w:tcBorders>
          </w:tcPr>
          <w:p>
            <w:pPr>
              <w:pStyle w:val="TableParagraph"/>
              <w:spacing w:line="212" w:lineRule="exact"/>
              <w:ind w:left="109"/>
              <w:rPr>
                <w:rFonts w:ascii="宋体" w:eastAsia="宋体" w:hint="eastAsia"/>
                <w:sz w:val="18"/>
              </w:rPr>
            </w:pPr>
            <w:r>
              <w:rPr>
                <w:sz w:val="18"/>
              </w:rPr>
              <w:t>3</w:t>
            </w:r>
            <w:r>
              <w:rPr>
                <w:rFonts w:ascii="宋体" w:eastAsia="宋体" w:hint="eastAsia"/>
                <w:sz w:val="18"/>
              </w:rPr>
              <w:t>．股份支付计入所有者权益的金额</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7" w:type="dxa"/>
            <w:tcBorders>
              <w:top w:val="single" w:sz="4" w:space="0" w:color="000000"/>
              <w:left w:val="single" w:sz="4" w:space="0" w:color="000000"/>
              <w:bottom w:val="single" w:sz="4" w:space="0" w:color="000000"/>
            </w:tcBorders>
          </w:tcPr>
          <w:p>
            <w:pPr>
              <w:pStyle w:val="TableParagraph"/>
              <w:rPr>
                <w:sz w:val="16"/>
              </w:rPr>
            </w:pPr>
          </w:p>
        </w:tc>
      </w:tr>
      <w:tr>
        <w:trPr>
          <w:trHeight w:val="234" w:hRule="atLeast"/>
        </w:trPr>
        <w:tc>
          <w:tcPr>
            <w:tcW w:w="3672" w:type="dxa"/>
            <w:tcBorders>
              <w:top w:val="single" w:sz="4" w:space="0" w:color="000000"/>
              <w:bottom w:val="single" w:sz="4" w:space="0" w:color="000000"/>
              <w:right w:val="single" w:sz="4" w:space="0" w:color="000000"/>
            </w:tcBorders>
          </w:tcPr>
          <w:p>
            <w:pPr>
              <w:pStyle w:val="TableParagraph"/>
              <w:spacing w:line="215" w:lineRule="exact"/>
              <w:ind w:left="109"/>
              <w:rPr>
                <w:rFonts w:ascii="宋体" w:eastAsia="宋体" w:hint="eastAsia"/>
                <w:sz w:val="18"/>
              </w:rPr>
            </w:pPr>
            <w:r>
              <w:rPr>
                <w:sz w:val="18"/>
              </w:rPr>
              <w:t>4</w:t>
            </w:r>
            <w:r>
              <w:rPr>
                <w:rFonts w:ascii="宋体" w:eastAsia="宋体" w:hint="eastAsia"/>
                <w:sz w:val="18"/>
              </w:rPr>
              <w:t>．其他</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7" w:type="dxa"/>
            <w:tcBorders>
              <w:top w:val="single" w:sz="4" w:space="0" w:color="000000"/>
              <w:left w:val="single" w:sz="4" w:space="0" w:color="000000"/>
              <w:bottom w:val="single" w:sz="4" w:space="0" w:color="000000"/>
            </w:tcBorders>
          </w:tcPr>
          <w:p>
            <w:pPr>
              <w:pStyle w:val="TableParagraph"/>
              <w:rPr>
                <w:sz w:val="16"/>
              </w:rPr>
            </w:pPr>
          </w:p>
        </w:tc>
      </w:tr>
      <w:tr>
        <w:trPr>
          <w:trHeight w:val="231" w:hRule="atLeast"/>
        </w:trPr>
        <w:tc>
          <w:tcPr>
            <w:tcW w:w="3672" w:type="dxa"/>
            <w:tcBorders>
              <w:top w:val="single" w:sz="4" w:space="0" w:color="000000"/>
              <w:right w:val="single" w:sz="4" w:space="0" w:color="000000"/>
            </w:tcBorders>
          </w:tcPr>
          <w:p>
            <w:pPr>
              <w:pStyle w:val="TableParagraph"/>
              <w:spacing w:line="212" w:lineRule="exact"/>
              <w:ind w:left="109"/>
              <w:rPr>
                <w:rFonts w:ascii="宋体" w:eastAsia="宋体" w:hint="eastAsia"/>
                <w:sz w:val="18"/>
              </w:rPr>
            </w:pPr>
            <w:r>
              <w:rPr>
                <w:rFonts w:ascii="宋体" w:eastAsia="宋体" w:hint="eastAsia"/>
                <w:sz w:val="18"/>
              </w:rPr>
              <w:t>（三）利润分配</w:t>
            </w:r>
          </w:p>
        </w:tc>
        <w:tc>
          <w:tcPr>
            <w:tcW w:w="1433" w:type="dxa"/>
            <w:tcBorders>
              <w:top w:val="single" w:sz="4" w:space="0" w:color="000000"/>
              <w:left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right w:val="single" w:sz="4" w:space="0" w:color="000000"/>
            </w:tcBorders>
          </w:tcPr>
          <w:p>
            <w:pPr>
              <w:pStyle w:val="TableParagraph"/>
              <w:rPr>
                <w:sz w:val="16"/>
              </w:rPr>
            </w:pPr>
          </w:p>
        </w:tc>
        <w:tc>
          <w:tcPr>
            <w:tcW w:w="1135" w:type="dxa"/>
            <w:tcBorders>
              <w:top w:val="single" w:sz="4" w:space="0" w:color="000000"/>
              <w:left w:val="single" w:sz="4" w:space="0" w:color="000000"/>
              <w:right w:val="single" w:sz="4" w:space="0" w:color="000000"/>
            </w:tcBorders>
          </w:tcPr>
          <w:p>
            <w:pPr>
              <w:pStyle w:val="TableParagraph"/>
              <w:rPr>
                <w:sz w:val="16"/>
              </w:rPr>
            </w:pPr>
          </w:p>
        </w:tc>
        <w:tc>
          <w:tcPr>
            <w:tcW w:w="1419" w:type="dxa"/>
            <w:tcBorders>
              <w:top w:val="single" w:sz="4" w:space="0" w:color="000000"/>
              <w:left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right w:val="single" w:sz="4" w:space="0" w:color="000000"/>
            </w:tcBorders>
          </w:tcPr>
          <w:p>
            <w:pPr>
              <w:pStyle w:val="TableParagraph"/>
              <w:spacing w:line="205" w:lineRule="exact" w:before="7"/>
              <w:ind w:right="-29"/>
              <w:jc w:val="right"/>
              <w:rPr>
                <w:sz w:val="18"/>
              </w:rPr>
            </w:pPr>
            <w:r>
              <w:rPr>
                <w:sz w:val="18"/>
              </w:rPr>
              <w:t>390,007,134.14</w:t>
            </w:r>
          </w:p>
        </w:tc>
        <w:tc>
          <w:tcPr>
            <w:tcW w:w="1278" w:type="dxa"/>
            <w:tcBorders>
              <w:top w:val="single" w:sz="4" w:space="0" w:color="000000"/>
              <w:left w:val="single" w:sz="4" w:space="0" w:color="000000"/>
              <w:right w:val="single" w:sz="4" w:space="0" w:color="000000"/>
            </w:tcBorders>
          </w:tcPr>
          <w:p>
            <w:pPr>
              <w:pStyle w:val="TableParagraph"/>
              <w:spacing w:line="205" w:lineRule="exact" w:before="7"/>
              <w:ind w:right="-29"/>
              <w:jc w:val="right"/>
              <w:rPr>
                <w:sz w:val="18"/>
              </w:rPr>
            </w:pPr>
            <w:r>
              <w:rPr>
                <w:sz w:val="18"/>
              </w:rPr>
              <w:t>-2,857,344,619.2</w:t>
            </w:r>
          </w:p>
        </w:tc>
        <w:tc>
          <w:tcPr>
            <w:tcW w:w="1417" w:type="dxa"/>
            <w:tcBorders>
              <w:top w:val="single" w:sz="4" w:space="0" w:color="000000"/>
              <w:left w:val="single" w:sz="4" w:space="0" w:color="000000"/>
            </w:tcBorders>
          </w:tcPr>
          <w:p>
            <w:pPr>
              <w:pStyle w:val="TableParagraph"/>
              <w:spacing w:line="205" w:lineRule="exact" w:before="7"/>
              <w:ind w:right="-29"/>
              <w:jc w:val="right"/>
              <w:rPr>
                <w:sz w:val="18"/>
              </w:rPr>
            </w:pPr>
            <w:r>
              <w:rPr>
                <w:sz w:val="18"/>
              </w:rPr>
              <w:t>-2,467,337,485.13</w:t>
            </w:r>
          </w:p>
        </w:tc>
      </w:tr>
    </w:tbl>
    <w:p>
      <w:pPr>
        <w:spacing w:after="0" w:line="205" w:lineRule="exact"/>
        <w:jc w:val="right"/>
        <w:rPr>
          <w:sz w:val="18"/>
        </w:rPr>
        <w:sectPr>
          <w:headerReference w:type="default" r:id="rId85"/>
          <w:footerReference w:type="default" r:id="rId86"/>
          <w:pgSz w:w="16840" w:h="11910" w:orient="landscape"/>
          <w:pgMar w:header="876" w:footer="1214" w:top="1180" w:bottom="1400" w:left="120" w:right="860"/>
          <w:pgNumType w:start="1"/>
        </w:sectPr>
      </w:pPr>
    </w:p>
    <w:p>
      <w:pPr>
        <w:pStyle w:val="BodyText"/>
        <w:spacing w:before="6"/>
        <w:rPr>
          <w:sz w:val="7"/>
        </w:rPr>
      </w:pPr>
    </w:p>
    <w:tbl>
      <w:tblPr>
        <w:tblW w:w="0" w:type="auto"/>
        <w:jc w:val="left"/>
        <w:tblInd w:w="14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672"/>
        <w:gridCol w:w="1433"/>
        <w:gridCol w:w="708"/>
        <w:gridCol w:w="708"/>
        <w:gridCol w:w="1135"/>
        <w:gridCol w:w="1419"/>
        <w:gridCol w:w="708"/>
        <w:gridCol w:w="1133"/>
        <w:gridCol w:w="711"/>
        <w:gridCol w:w="1276"/>
        <w:gridCol w:w="1278"/>
        <w:gridCol w:w="1417"/>
      </w:tblGrid>
      <w:tr>
        <w:trPr>
          <w:trHeight w:val="205" w:hRule="atLeast"/>
        </w:trPr>
        <w:tc>
          <w:tcPr>
            <w:tcW w:w="3672" w:type="dxa"/>
            <w:tcBorders>
              <w:bottom w:val="single" w:sz="4" w:space="0" w:color="000000"/>
              <w:right w:val="single" w:sz="4" w:space="0" w:color="000000"/>
            </w:tcBorders>
          </w:tcPr>
          <w:p>
            <w:pPr>
              <w:pStyle w:val="TableParagraph"/>
              <w:rPr>
                <w:sz w:val="14"/>
              </w:rPr>
            </w:pPr>
          </w:p>
        </w:tc>
        <w:tc>
          <w:tcPr>
            <w:tcW w:w="1433" w:type="dxa"/>
            <w:tcBorders>
              <w:left w:val="single" w:sz="4" w:space="0" w:color="000000"/>
              <w:bottom w:val="single" w:sz="4" w:space="0" w:color="000000"/>
              <w:right w:val="single" w:sz="4" w:space="0" w:color="000000"/>
            </w:tcBorders>
          </w:tcPr>
          <w:p>
            <w:pPr>
              <w:pStyle w:val="TableParagraph"/>
              <w:rPr>
                <w:sz w:val="14"/>
              </w:rPr>
            </w:pPr>
          </w:p>
        </w:tc>
        <w:tc>
          <w:tcPr>
            <w:tcW w:w="708" w:type="dxa"/>
            <w:tcBorders>
              <w:left w:val="single" w:sz="4" w:space="0" w:color="000000"/>
              <w:bottom w:val="single" w:sz="4" w:space="0" w:color="000000"/>
              <w:right w:val="single" w:sz="4" w:space="0" w:color="000000"/>
            </w:tcBorders>
          </w:tcPr>
          <w:p>
            <w:pPr>
              <w:pStyle w:val="TableParagraph"/>
              <w:rPr>
                <w:sz w:val="14"/>
              </w:rPr>
            </w:pPr>
          </w:p>
        </w:tc>
        <w:tc>
          <w:tcPr>
            <w:tcW w:w="708" w:type="dxa"/>
            <w:tcBorders>
              <w:left w:val="single" w:sz="4" w:space="0" w:color="000000"/>
              <w:bottom w:val="single" w:sz="4" w:space="0" w:color="000000"/>
              <w:right w:val="single" w:sz="4" w:space="0" w:color="000000"/>
            </w:tcBorders>
          </w:tcPr>
          <w:p>
            <w:pPr>
              <w:pStyle w:val="TableParagraph"/>
              <w:rPr>
                <w:sz w:val="14"/>
              </w:rPr>
            </w:pPr>
          </w:p>
        </w:tc>
        <w:tc>
          <w:tcPr>
            <w:tcW w:w="1135" w:type="dxa"/>
            <w:tcBorders>
              <w:left w:val="single" w:sz="4" w:space="0" w:color="000000"/>
              <w:bottom w:val="single" w:sz="4" w:space="0" w:color="000000"/>
              <w:right w:val="single" w:sz="4" w:space="0" w:color="000000"/>
            </w:tcBorders>
          </w:tcPr>
          <w:p>
            <w:pPr>
              <w:pStyle w:val="TableParagraph"/>
              <w:rPr>
                <w:sz w:val="14"/>
              </w:rPr>
            </w:pPr>
          </w:p>
        </w:tc>
        <w:tc>
          <w:tcPr>
            <w:tcW w:w="1419" w:type="dxa"/>
            <w:tcBorders>
              <w:left w:val="single" w:sz="4" w:space="0" w:color="000000"/>
              <w:bottom w:val="single" w:sz="4" w:space="0" w:color="000000"/>
              <w:right w:val="single" w:sz="4" w:space="0" w:color="000000"/>
            </w:tcBorders>
          </w:tcPr>
          <w:p>
            <w:pPr>
              <w:pStyle w:val="TableParagraph"/>
              <w:rPr>
                <w:sz w:val="14"/>
              </w:rPr>
            </w:pPr>
          </w:p>
        </w:tc>
        <w:tc>
          <w:tcPr>
            <w:tcW w:w="708" w:type="dxa"/>
            <w:tcBorders>
              <w:left w:val="single" w:sz="4" w:space="0" w:color="000000"/>
              <w:bottom w:val="single" w:sz="4" w:space="0" w:color="000000"/>
              <w:right w:val="single" w:sz="4" w:space="0" w:color="000000"/>
            </w:tcBorders>
          </w:tcPr>
          <w:p>
            <w:pPr>
              <w:pStyle w:val="TableParagraph"/>
              <w:rPr>
                <w:sz w:val="14"/>
              </w:rPr>
            </w:pPr>
          </w:p>
        </w:tc>
        <w:tc>
          <w:tcPr>
            <w:tcW w:w="1133" w:type="dxa"/>
            <w:tcBorders>
              <w:left w:val="single" w:sz="4" w:space="0" w:color="000000"/>
              <w:bottom w:val="single" w:sz="4" w:space="0" w:color="000000"/>
              <w:right w:val="single" w:sz="4" w:space="0" w:color="000000"/>
            </w:tcBorders>
          </w:tcPr>
          <w:p>
            <w:pPr>
              <w:pStyle w:val="TableParagraph"/>
              <w:rPr>
                <w:sz w:val="14"/>
              </w:rPr>
            </w:pPr>
          </w:p>
        </w:tc>
        <w:tc>
          <w:tcPr>
            <w:tcW w:w="711" w:type="dxa"/>
            <w:tcBorders>
              <w:left w:val="single" w:sz="4" w:space="0" w:color="000000"/>
              <w:bottom w:val="single" w:sz="4" w:space="0" w:color="000000"/>
              <w:right w:val="single" w:sz="4" w:space="0" w:color="000000"/>
            </w:tcBorders>
          </w:tcPr>
          <w:p>
            <w:pPr>
              <w:pStyle w:val="TableParagraph"/>
              <w:rPr>
                <w:sz w:val="14"/>
              </w:rPr>
            </w:pPr>
          </w:p>
        </w:tc>
        <w:tc>
          <w:tcPr>
            <w:tcW w:w="1276" w:type="dxa"/>
            <w:tcBorders>
              <w:left w:val="single" w:sz="4" w:space="0" w:color="000000"/>
              <w:bottom w:val="single" w:sz="4" w:space="0" w:color="000000"/>
              <w:right w:val="single" w:sz="4" w:space="0" w:color="000000"/>
            </w:tcBorders>
          </w:tcPr>
          <w:p>
            <w:pPr>
              <w:pStyle w:val="TableParagraph"/>
              <w:rPr>
                <w:sz w:val="14"/>
              </w:rPr>
            </w:pPr>
          </w:p>
        </w:tc>
        <w:tc>
          <w:tcPr>
            <w:tcW w:w="1278" w:type="dxa"/>
            <w:tcBorders>
              <w:left w:val="single" w:sz="4" w:space="0" w:color="000000"/>
              <w:bottom w:val="single" w:sz="4" w:space="0" w:color="000000"/>
              <w:right w:val="single" w:sz="4" w:space="0" w:color="000000"/>
            </w:tcBorders>
          </w:tcPr>
          <w:p>
            <w:pPr>
              <w:pStyle w:val="TableParagraph"/>
              <w:spacing w:line="186" w:lineRule="exact"/>
              <w:ind w:right="-29"/>
              <w:jc w:val="right"/>
              <w:rPr>
                <w:sz w:val="18"/>
              </w:rPr>
            </w:pPr>
            <w:r>
              <w:rPr>
                <w:sz w:val="18"/>
              </w:rPr>
              <w:t>7</w:t>
            </w:r>
          </w:p>
        </w:tc>
        <w:tc>
          <w:tcPr>
            <w:tcW w:w="1417" w:type="dxa"/>
            <w:tcBorders>
              <w:left w:val="single" w:sz="4" w:space="0" w:color="000000"/>
              <w:bottom w:val="single" w:sz="4" w:space="0" w:color="000000"/>
            </w:tcBorders>
          </w:tcPr>
          <w:p>
            <w:pPr>
              <w:pStyle w:val="TableParagraph"/>
              <w:rPr>
                <w:sz w:val="14"/>
              </w:rPr>
            </w:pPr>
          </w:p>
        </w:tc>
      </w:tr>
      <w:tr>
        <w:trPr>
          <w:trHeight w:val="234" w:hRule="atLeast"/>
        </w:trPr>
        <w:tc>
          <w:tcPr>
            <w:tcW w:w="3672" w:type="dxa"/>
            <w:tcBorders>
              <w:top w:val="single" w:sz="4" w:space="0" w:color="000000"/>
              <w:bottom w:val="single" w:sz="4" w:space="0" w:color="000000"/>
              <w:right w:val="single" w:sz="4" w:space="0" w:color="000000"/>
            </w:tcBorders>
          </w:tcPr>
          <w:p>
            <w:pPr>
              <w:pStyle w:val="TableParagraph"/>
              <w:spacing w:line="213" w:lineRule="exact" w:before="2"/>
              <w:ind w:left="109"/>
              <w:rPr>
                <w:rFonts w:ascii="宋体" w:eastAsia="宋体" w:hint="eastAsia"/>
                <w:sz w:val="18"/>
              </w:rPr>
            </w:pPr>
            <w:r>
              <w:rPr>
                <w:sz w:val="18"/>
              </w:rPr>
              <w:t>1</w:t>
            </w:r>
            <w:r>
              <w:rPr>
                <w:rFonts w:ascii="宋体" w:eastAsia="宋体" w:hint="eastAsia"/>
                <w:sz w:val="18"/>
              </w:rPr>
              <w:t>．提取盈余公积</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9"/>
              <w:ind w:right="-29"/>
              <w:jc w:val="right"/>
              <w:rPr>
                <w:sz w:val="18"/>
              </w:rPr>
            </w:pPr>
            <w:r>
              <w:rPr>
                <w:sz w:val="18"/>
              </w:rPr>
              <w:t>390,007,134.14</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9"/>
              <w:ind w:right="-29"/>
              <w:jc w:val="right"/>
              <w:rPr>
                <w:sz w:val="18"/>
              </w:rPr>
            </w:pPr>
            <w:r>
              <w:rPr>
                <w:sz w:val="18"/>
              </w:rPr>
              <w:t>-390,007,134.14</w:t>
            </w:r>
          </w:p>
        </w:tc>
        <w:tc>
          <w:tcPr>
            <w:tcW w:w="1417" w:type="dxa"/>
            <w:tcBorders>
              <w:top w:val="single" w:sz="4" w:space="0" w:color="000000"/>
              <w:left w:val="single" w:sz="4" w:space="0" w:color="000000"/>
              <w:bottom w:val="single" w:sz="4" w:space="0" w:color="000000"/>
            </w:tcBorders>
          </w:tcPr>
          <w:p>
            <w:pPr>
              <w:pStyle w:val="TableParagraph"/>
              <w:rPr>
                <w:sz w:val="16"/>
              </w:rPr>
            </w:pPr>
          </w:p>
        </w:tc>
      </w:tr>
      <w:tr>
        <w:trPr>
          <w:trHeight w:val="412" w:hRule="atLeast"/>
        </w:trPr>
        <w:tc>
          <w:tcPr>
            <w:tcW w:w="3672" w:type="dxa"/>
            <w:tcBorders>
              <w:top w:val="single" w:sz="4" w:space="0" w:color="000000"/>
              <w:bottom w:val="single" w:sz="4" w:space="0" w:color="000000"/>
              <w:right w:val="single" w:sz="4" w:space="0" w:color="000000"/>
            </w:tcBorders>
          </w:tcPr>
          <w:p>
            <w:pPr>
              <w:pStyle w:val="TableParagraph"/>
              <w:spacing w:line="230" w:lineRule="exact"/>
              <w:ind w:left="109"/>
              <w:rPr>
                <w:rFonts w:ascii="宋体" w:eastAsia="宋体" w:hint="eastAsia"/>
                <w:sz w:val="18"/>
              </w:rPr>
            </w:pPr>
            <w:r>
              <w:rPr>
                <w:sz w:val="18"/>
              </w:rPr>
              <w:t>2</w:t>
            </w:r>
            <w:r>
              <w:rPr>
                <w:rFonts w:ascii="宋体" w:eastAsia="宋体" w:hint="eastAsia"/>
                <w:sz w:val="18"/>
              </w:rPr>
              <w:t>．对所有者（或股东）的分配</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9"/>
              <w:jc w:val="right"/>
              <w:rPr>
                <w:sz w:val="18"/>
              </w:rPr>
            </w:pPr>
            <w:r>
              <w:rPr>
                <w:sz w:val="18"/>
              </w:rPr>
              <w:t>-2,467,337,485.1</w:t>
            </w:r>
          </w:p>
          <w:p>
            <w:pPr>
              <w:pStyle w:val="TableParagraph"/>
              <w:spacing w:line="191" w:lineRule="exact"/>
              <w:ind w:right="-29"/>
              <w:jc w:val="right"/>
              <w:rPr>
                <w:sz w:val="18"/>
              </w:rPr>
            </w:pPr>
            <w:r>
              <w:rPr>
                <w:sz w:val="18"/>
              </w:rPr>
              <w:t>3</w:t>
            </w:r>
          </w:p>
        </w:tc>
        <w:tc>
          <w:tcPr>
            <w:tcW w:w="1417" w:type="dxa"/>
            <w:tcBorders>
              <w:top w:val="single" w:sz="4" w:space="0" w:color="000000"/>
              <w:left w:val="single" w:sz="4" w:space="0" w:color="000000"/>
              <w:bottom w:val="single" w:sz="4" w:space="0" w:color="000000"/>
            </w:tcBorders>
          </w:tcPr>
          <w:p>
            <w:pPr>
              <w:pStyle w:val="TableParagraph"/>
              <w:spacing w:before="98"/>
              <w:ind w:right="-29"/>
              <w:jc w:val="right"/>
              <w:rPr>
                <w:sz w:val="18"/>
              </w:rPr>
            </w:pPr>
            <w:r>
              <w:rPr>
                <w:sz w:val="18"/>
              </w:rPr>
              <w:t>-2,467,337,485.13</w:t>
            </w:r>
          </w:p>
        </w:tc>
      </w:tr>
      <w:tr>
        <w:trPr>
          <w:trHeight w:val="234" w:hRule="atLeast"/>
        </w:trPr>
        <w:tc>
          <w:tcPr>
            <w:tcW w:w="3672" w:type="dxa"/>
            <w:tcBorders>
              <w:top w:val="single" w:sz="4" w:space="0" w:color="000000"/>
              <w:bottom w:val="single" w:sz="4" w:space="0" w:color="000000"/>
              <w:right w:val="single" w:sz="4" w:space="0" w:color="000000"/>
            </w:tcBorders>
          </w:tcPr>
          <w:p>
            <w:pPr>
              <w:pStyle w:val="TableParagraph"/>
              <w:spacing w:line="213" w:lineRule="exact" w:before="2"/>
              <w:ind w:left="109"/>
              <w:rPr>
                <w:rFonts w:ascii="宋体" w:eastAsia="宋体" w:hint="eastAsia"/>
                <w:sz w:val="18"/>
              </w:rPr>
            </w:pPr>
            <w:r>
              <w:rPr>
                <w:sz w:val="18"/>
              </w:rPr>
              <w:t>3</w:t>
            </w:r>
            <w:r>
              <w:rPr>
                <w:rFonts w:ascii="宋体" w:eastAsia="宋体" w:hint="eastAsia"/>
                <w:sz w:val="18"/>
              </w:rPr>
              <w:t>．其他</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7" w:type="dxa"/>
            <w:tcBorders>
              <w:top w:val="single" w:sz="4" w:space="0" w:color="000000"/>
              <w:left w:val="single" w:sz="4" w:space="0" w:color="000000"/>
              <w:bottom w:val="single" w:sz="4" w:space="0" w:color="000000"/>
            </w:tcBorders>
          </w:tcPr>
          <w:p>
            <w:pPr>
              <w:pStyle w:val="TableParagraph"/>
              <w:rPr>
                <w:sz w:val="16"/>
              </w:rPr>
            </w:pPr>
          </w:p>
        </w:tc>
      </w:tr>
      <w:tr>
        <w:trPr>
          <w:trHeight w:val="232" w:hRule="atLeast"/>
        </w:trPr>
        <w:tc>
          <w:tcPr>
            <w:tcW w:w="3672" w:type="dxa"/>
            <w:tcBorders>
              <w:top w:val="single" w:sz="4" w:space="0" w:color="000000"/>
              <w:bottom w:val="single" w:sz="4" w:space="0" w:color="000000"/>
              <w:right w:val="single" w:sz="4" w:space="0" w:color="000000"/>
            </w:tcBorders>
          </w:tcPr>
          <w:p>
            <w:pPr>
              <w:pStyle w:val="TableParagraph"/>
              <w:spacing w:line="212" w:lineRule="exact"/>
              <w:ind w:left="109"/>
              <w:rPr>
                <w:rFonts w:ascii="宋体" w:eastAsia="宋体" w:hint="eastAsia"/>
                <w:sz w:val="18"/>
              </w:rPr>
            </w:pPr>
            <w:r>
              <w:rPr>
                <w:rFonts w:ascii="宋体" w:eastAsia="宋体" w:hint="eastAsia"/>
                <w:sz w:val="18"/>
              </w:rPr>
              <w:t>（四）所有者权益内部结转</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7" w:type="dxa"/>
            <w:tcBorders>
              <w:top w:val="single" w:sz="4" w:space="0" w:color="000000"/>
              <w:left w:val="single" w:sz="4" w:space="0" w:color="000000"/>
              <w:bottom w:val="single" w:sz="4" w:space="0" w:color="000000"/>
            </w:tcBorders>
          </w:tcPr>
          <w:p>
            <w:pPr>
              <w:pStyle w:val="TableParagraph"/>
              <w:rPr>
                <w:sz w:val="16"/>
              </w:rPr>
            </w:pPr>
          </w:p>
        </w:tc>
      </w:tr>
      <w:tr>
        <w:trPr>
          <w:trHeight w:val="234" w:hRule="atLeast"/>
        </w:trPr>
        <w:tc>
          <w:tcPr>
            <w:tcW w:w="3672" w:type="dxa"/>
            <w:tcBorders>
              <w:top w:val="single" w:sz="4" w:space="0" w:color="000000"/>
              <w:bottom w:val="single" w:sz="4" w:space="0" w:color="000000"/>
              <w:right w:val="single" w:sz="4" w:space="0" w:color="000000"/>
            </w:tcBorders>
          </w:tcPr>
          <w:p>
            <w:pPr>
              <w:pStyle w:val="TableParagraph"/>
              <w:spacing w:line="213" w:lineRule="exact" w:before="2"/>
              <w:ind w:left="109"/>
              <w:rPr>
                <w:rFonts w:ascii="宋体" w:eastAsia="宋体" w:hint="eastAsia"/>
                <w:sz w:val="18"/>
              </w:rPr>
            </w:pPr>
            <w:r>
              <w:rPr>
                <w:sz w:val="18"/>
              </w:rPr>
              <w:t>1</w:t>
            </w:r>
            <w:r>
              <w:rPr>
                <w:rFonts w:ascii="宋体" w:eastAsia="宋体" w:hint="eastAsia"/>
                <w:sz w:val="18"/>
              </w:rPr>
              <w:t>．资本公积转增资本（或股本）</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7" w:type="dxa"/>
            <w:tcBorders>
              <w:top w:val="single" w:sz="4" w:space="0" w:color="000000"/>
              <w:left w:val="single" w:sz="4" w:space="0" w:color="000000"/>
              <w:bottom w:val="single" w:sz="4" w:space="0" w:color="000000"/>
            </w:tcBorders>
          </w:tcPr>
          <w:p>
            <w:pPr>
              <w:pStyle w:val="TableParagraph"/>
              <w:rPr>
                <w:sz w:val="16"/>
              </w:rPr>
            </w:pPr>
          </w:p>
        </w:tc>
      </w:tr>
      <w:tr>
        <w:trPr>
          <w:trHeight w:val="232" w:hRule="atLeast"/>
        </w:trPr>
        <w:tc>
          <w:tcPr>
            <w:tcW w:w="3672" w:type="dxa"/>
            <w:tcBorders>
              <w:top w:val="single" w:sz="4" w:space="0" w:color="000000"/>
              <w:bottom w:val="single" w:sz="4" w:space="0" w:color="000000"/>
              <w:right w:val="single" w:sz="4" w:space="0" w:color="000000"/>
            </w:tcBorders>
          </w:tcPr>
          <w:p>
            <w:pPr>
              <w:pStyle w:val="TableParagraph"/>
              <w:spacing w:line="212" w:lineRule="exact"/>
              <w:ind w:left="109"/>
              <w:rPr>
                <w:rFonts w:ascii="宋体" w:eastAsia="宋体" w:hint="eastAsia"/>
                <w:sz w:val="18"/>
              </w:rPr>
            </w:pPr>
            <w:r>
              <w:rPr>
                <w:sz w:val="18"/>
              </w:rPr>
              <w:t>2</w:t>
            </w:r>
            <w:r>
              <w:rPr>
                <w:rFonts w:ascii="宋体" w:eastAsia="宋体" w:hint="eastAsia"/>
                <w:sz w:val="18"/>
              </w:rPr>
              <w:t>．盈余公积转增资本（或股本）</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7" w:type="dxa"/>
            <w:tcBorders>
              <w:top w:val="single" w:sz="4" w:space="0" w:color="000000"/>
              <w:left w:val="single" w:sz="4" w:space="0" w:color="000000"/>
              <w:bottom w:val="single" w:sz="4" w:space="0" w:color="000000"/>
            </w:tcBorders>
          </w:tcPr>
          <w:p>
            <w:pPr>
              <w:pStyle w:val="TableParagraph"/>
              <w:rPr>
                <w:sz w:val="16"/>
              </w:rPr>
            </w:pPr>
          </w:p>
        </w:tc>
      </w:tr>
      <w:tr>
        <w:trPr>
          <w:trHeight w:val="234" w:hRule="atLeast"/>
        </w:trPr>
        <w:tc>
          <w:tcPr>
            <w:tcW w:w="3672" w:type="dxa"/>
            <w:tcBorders>
              <w:top w:val="single" w:sz="4" w:space="0" w:color="000000"/>
              <w:bottom w:val="single" w:sz="4" w:space="0" w:color="000000"/>
              <w:right w:val="single" w:sz="4" w:space="0" w:color="000000"/>
            </w:tcBorders>
          </w:tcPr>
          <w:p>
            <w:pPr>
              <w:pStyle w:val="TableParagraph"/>
              <w:spacing w:line="215" w:lineRule="exact"/>
              <w:ind w:left="109"/>
              <w:rPr>
                <w:rFonts w:ascii="宋体" w:eastAsia="宋体" w:hint="eastAsia"/>
                <w:sz w:val="18"/>
              </w:rPr>
            </w:pPr>
            <w:r>
              <w:rPr>
                <w:sz w:val="18"/>
              </w:rPr>
              <w:t>3</w:t>
            </w:r>
            <w:r>
              <w:rPr>
                <w:rFonts w:ascii="宋体" w:eastAsia="宋体" w:hint="eastAsia"/>
                <w:sz w:val="18"/>
              </w:rPr>
              <w:t>．盈余公积弥补亏损</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7" w:type="dxa"/>
            <w:tcBorders>
              <w:top w:val="single" w:sz="4" w:space="0" w:color="000000"/>
              <w:left w:val="single" w:sz="4" w:space="0" w:color="000000"/>
              <w:bottom w:val="single" w:sz="4" w:space="0" w:color="000000"/>
            </w:tcBorders>
          </w:tcPr>
          <w:p>
            <w:pPr>
              <w:pStyle w:val="TableParagraph"/>
              <w:rPr>
                <w:sz w:val="16"/>
              </w:rPr>
            </w:pPr>
          </w:p>
        </w:tc>
      </w:tr>
      <w:tr>
        <w:trPr>
          <w:trHeight w:val="232" w:hRule="atLeast"/>
        </w:trPr>
        <w:tc>
          <w:tcPr>
            <w:tcW w:w="3672" w:type="dxa"/>
            <w:tcBorders>
              <w:top w:val="single" w:sz="4" w:space="0" w:color="000000"/>
              <w:bottom w:val="single" w:sz="4" w:space="0" w:color="000000"/>
              <w:right w:val="single" w:sz="4" w:space="0" w:color="000000"/>
            </w:tcBorders>
          </w:tcPr>
          <w:p>
            <w:pPr>
              <w:pStyle w:val="TableParagraph"/>
              <w:spacing w:line="212" w:lineRule="exact"/>
              <w:ind w:left="109"/>
              <w:rPr>
                <w:rFonts w:ascii="宋体" w:eastAsia="宋体" w:hint="eastAsia"/>
                <w:sz w:val="18"/>
              </w:rPr>
            </w:pPr>
            <w:r>
              <w:rPr>
                <w:sz w:val="18"/>
              </w:rPr>
              <w:t>4</w:t>
            </w:r>
            <w:r>
              <w:rPr>
                <w:rFonts w:ascii="宋体" w:eastAsia="宋体" w:hint="eastAsia"/>
                <w:sz w:val="18"/>
              </w:rPr>
              <w:t>．设定受益计划变动额结转留存收益</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7" w:type="dxa"/>
            <w:tcBorders>
              <w:top w:val="single" w:sz="4" w:space="0" w:color="000000"/>
              <w:left w:val="single" w:sz="4" w:space="0" w:color="000000"/>
              <w:bottom w:val="single" w:sz="4" w:space="0" w:color="000000"/>
            </w:tcBorders>
          </w:tcPr>
          <w:p>
            <w:pPr>
              <w:pStyle w:val="TableParagraph"/>
              <w:rPr>
                <w:sz w:val="16"/>
              </w:rPr>
            </w:pPr>
          </w:p>
        </w:tc>
      </w:tr>
      <w:tr>
        <w:trPr>
          <w:trHeight w:val="235" w:hRule="atLeast"/>
        </w:trPr>
        <w:tc>
          <w:tcPr>
            <w:tcW w:w="3672" w:type="dxa"/>
            <w:tcBorders>
              <w:top w:val="single" w:sz="4" w:space="0" w:color="000000"/>
              <w:bottom w:val="single" w:sz="4" w:space="0" w:color="000000"/>
              <w:right w:val="single" w:sz="4" w:space="0" w:color="000000"/>
            </w:tcBorders>
          </w:tcPr>
          <w:p>
            <w:pPr>
              <w:pStyle w:val="TableParagraph"/>
              <w:spacing w:line="215" w:lineRule="exact"/>
              <w:ind w:left="109"/>
              <w:rPr>
                <w:rFonts w:ascii="宋体" w:eastAsia="宋体" w:hint="eastAsia"/>
                <w:sz w:val="18"/>
              </w:rPr>
            </w:pPr>
            <w:r>
              <w:rPr>
                <w:sz w:val="18"/>
              </w:rPr>
              <w:t>5</w:t>
            </w:r>
            <w:r>
              <w:rPr>
                <w:rFonts w:ascii="宋体" w:eastAsia="宋体" w:hint="eastAsia"/>
                <w:sz w:val="18"/>
              </w:rPr>
              <w:t>．其他综合收益结转留存收益</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7" w:type="dxa"/>
            <w:tcBorders>
              <w:top w:val="single" w:sz="4" w:space="0" w:color="000000"/>
              <w:left w:val="single" w:sz="4" w:space="0" w:color="000000"/>
              <w:bottom w:val="single" w:sz="4" w:space="0" w:color="000000"/>
            </w:tcBorders>
          </w:tcPr>
          <w:p>
            <w:pPr>
              <w:pStyle w:val="TableParagraph"/>
              <w:rPr>
                <w:sz w:val="16"/>
              </w:rPr>
            </w:pPr>
          </w:p>
        </w:tc>
      </w:tr>
      <w:tr>
        <w:trPr>
          <w:trHeight w:val="232" w:hRule="atLeast"/>
        </w:trPr>
        <w:tc>
          <w:tcPr>
            <w:tcW w:w="3672" w:type="dxa"/>
            <w:tcBorders>
              <w:top w:val="single" w:sz="4" w:space="0" w:color="000000"/>
              <w:bottom w:val="single" w:sz="4" w:space="0" w:color="000000"/>
              <w:right w:val="single" w:sz="4" w:space="0" w:color="000000"/>
            </w:tcBorders>
          </w:tcPr>
          <w:p>
            <w:pPr>
              <w:pStyle w:val="TableParagraph"/>
              <w:spacing w:line="212" w:lineRule="exact"/>
              <w:ind w:left="109"/>
              <w:rPr>
                <w:rFonts w:ascii="宋体" w:eastAsia="宋体" w:hint="eastAsia"/>
                <w:sz w:val="18"/>
              </w:rPr>
            </w:pPr>
            <w:r>
              <w:rPr>
                <w:sz w:val="18"/>
              </w:rPr>
              <w:t>6</w:t>
            </w:r>
            <w:r>
              <w:rPr>
                <w:rFonts w:ascii="宋体" w:eastAsia="宋体" w:hint="eastAsia"/>
                <w:sz w:val="18"/>
              </w:rPr>
              <w:t>．其他</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7" w:type="dxa"/>
            <w:tcBorders>
              <w:top w:val="single" w:sz="4" w:space="0" w:color="000000"/>
              <w:left w:val="single" w:sz="4" w:space="0" w:color="000000"/>
              <w:bottom w:val="single" w:sz="4" w:space="0" w:color="000000"/>
            </w:tcBorders>
          </w:tcPr>
          <w:p>
            <w:pPr>
              <w:pStyle w:val="TableParagraph"/>
              <w:rPr>
                <w:sz w:val="16"/>
              </w:rPr>
            </w:pPr>
          </w:p>
        </w:tc>
      </w:tr>
      <w:tr>
        <w:trPr>
          <w:trHeight w:val="232" w:hRule="atLeast"/>
        </w:trPr>
        <w:tc>
          <w:tcPr>
            <w:tcW w:w="3672" w:type="dxa"/>
            <w:tcBorders>
              <w:top w:val="single" w:sz="4" w:space="0" w:color="000000"/>
              <w:bottom w:val="single" w:sz="4" w:space="0" w:color="000000"/>
              <w:right w:val="single" w:sz="4" w:space="0" w:color="000000"/>
            </w:tcBorders>
          </w:tcPr>
          <w:p>
            <w:pPr>
              <w:pStyle w:val="TableParagraph"/>
              <w:spacing w:line="212" w:lineRule="exact"/>
              <w:ind w:left="109"/>
              <w:rPr>
                <w:rFonts w:ascii="宋体" w:eastAsia="宋体" w:hint="eastAsia"/>
                <w:sz w:val="18"/>
              </w:rPr>
            </w:pPr>
            <w:r>
              <w:rPr>
                <w:rFonts w:ascii="宋体" w:eastAsia="宋体" w:hint="eastAsia"/>
                <w:sz w:val="18"/>
              </w:rPr>
              <w:t>（七）专项储备</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7" w:type="dxa"/>
            <w:tcBorders>
              <w:top w:val="single" w:sz="4" w:space="0" w:color="000000"/>
              <w:left w:val="single" w:sz="4" w:space="0" w:color="000000"/>
              <w:bottom w:val="single" w:sz="4" w:space="0" w:color="000000"/>
            </w:tcBorders>
          </w:tcPr>
          <w:p>
            <w:pPr>
              <w:pStyle w:val="TableParagraph"/>
              <w:rPr>
                <w:sz w:val="16"/>
              </w:rPr>
            </w:pPr>
          </w:p>
        </w:tc>
      </w:tr>
      <w:tr>
        <w:trPr>
          <w:trHeight w:val="234" w:hRule="atLeast"/>
        </w:trPr>
        <w:tc>
          <w:tcPr>
            <w:tcW w:w="3672" w:type="dxa"/>
            <w:tcBorders>
              <w:top w:val="single" w:sz="4" w:space="0" w:color="000000"/>
              <w:bottom w:val="single" w:sz="4" w:space="0" w:color="000000"/>
              <w:right w:val="single" w:sz="4" w:space="0" w:color="000000"/>
            </w:tcBorders>
          </w:tcPr>
          <w:p>
            <w:pPr>
              <w:pStyle w:val="TableParagraph"/>
              <w:spacing w:line="213" w:lineRule="exact" w:before="2"/>
              <w:ind w:left="109"/>
              <w:rPr>
                <w:rFonts w:ascii="宋体" w:eastAsia="宋体" w:hint="eastAsia"/>
                <w:sz w:val="18"/>
              </w:rPr>
            </w:pPr>
            <w:r>
              <w:rPr>
                <w:sz w:val="18"/>
              </w:rPr>
              <w:t>1</w:t>
            </w:r>
            <w:r>
              <w:rPr>
                <w:rFonts w:ascii="宋体" w:eastAsia="宋体" w:hint="eastAsia"/>
                <w:sz w:val="18"/>
              </w:rPr>
              <w:t>．本期提取</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7" w:type="dxa"/>
            <w:tcBorders>
              <w:top w:val="single" w:sz="4" w:space="0" w:color="000000"/>
              <w:left w:val="single" w:sz="4" w:space="0" w:color="000000"/>
              <w:bottom w:val="single" w:sz="4" w:space="0" w:color="000000"/>
            </w:tcBorders>
          </w:tcPr>
          <w:p>
            <w:pPr>
              <w:pStyle w:val="TableParagraph"/>
              <w:rPr>
                <w:sz w:val="16"/>
              </w:rPr>
            </w:pPr>
          </w:p>
        </w:tc>
      </w:tr>
      <w:tr>
        <w:trPr>
          <w:trHeight w:val="232" w:hRule="atLeast"/>
        </w:trPr>
        <w:tc>
          <w:tcPr>
            <w:tcW w:w="3672" w:type="dxa"/>
            <w:tcBorders>
              <w:top w:val="single" w:sz="4" w:space="0" w:color="000000"/>
              <w:bottom w:val="single" w:sz="4" w:space="0" w:color="000000"/>
              <w:right w:val="single" w:sz="4" w:space="0" w:color="000000"/>
            </w:tcBorders>
          </w:tcPr>
          <w:p>
            <w:pPr>
              <w:pStyle w:val="TableParagraph"/>
              <w:spacing w:line="212" w:lineRule="exact"/>
              <w:ind w:left="109"/>
              <w:rPr>
                <w:rFonts w:ascii="宋体" w:eastAsia="宋体" w:hint="eastAsia"/>
                <w:sz w:val="18"/>
              </w:rPr>
            </w:pPr>
            <w:r>
              <w:rPr>
                <w:sz w:val="18"/>
              </w:rPr>
              <w:t>2</w:t>
            </w:r>
            <w:r>
              <w:rPr>
                <w:rFonts w:ascii="宋体" w:eastAsia="宋体" w:hint="eastAsia"/>
                <w:sz w:val="18"/>
              </w:rPr>
              <w:t>．本期使用</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7" w:type="dxa"/>
            <w:tcBorders>
              <w:top w:val="single" w:sz="4" w:space="0" w:color="000000"/>
              <w:left w:val="single" w:sz="4" w:space="0" w:color="000000"/>
              <w:bottom w:val="single" w:sz="4" w:space="0" w:color="000000"/>
            </w:tcBorders>
          </w:tcPr>
          <w:p>
            <w:pPr>
              <w:pStyle w:val="TableParagraph"/>
              <w:rPr>
                <w:sz w:val="16"/>
              </w:rPr>
            </w:pPr>
          </w:p>
        </w:tc>
      </w:tr>
      <w:tr>
        <w:trPr>
          <w:trHeight w:val="234" w:hRule="atLeast"/>
        </w:trPr>
        <w:tc>
          <w:tcPr>
            <w:tcW w:w="3672" w:type="dxa"/>
            <w:tcBorders>
              <w:top w:val="single" w:sz="4" w:space="0" w:color="000000"/>
              <w:bottom w:val="single" w:sz="4" w:space="0" w:color="000000"/>
              <w:right w:val="single" w:sz="4" w:space="0" w:color="000000"/>
            </w:tcBorders>
          </w:tcPr>
          <w:p>
            <w:pPr>
              <w:pStyle w:val="TableParagraph"/>
              <w:spacing w:line="215" w:lineRule="exact"/>
              <w:ind w:left="109"/>
              <w:rPr>
                <w:rFonts w:ascii="宋体" w:eastAsia="宋体" w:hint="eastAsia"/>
                <w:sz w:val="18"/>
              </w:rPr>
            </w:pPr>
            <w:r>
              <w:rPr>
                <w:rFonts w:ascii="宋体" w:eastAsia="宋体" w:hint="eastAsia"/>
                <w:sz w:val="18"/>
              </w:rPr>
              <w:t>（六）其他</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7" w:type="dxa"/>
            <w:tcBorders>
              <w:top w:val="single" w:sz="4" w:space="0" w:color="000000"/>
              <w:left w:val="single" w:sz="4" w:space="0" w:color="000000"/>
              <w:bottom w:val="single" w:sz="4" w:space="0" w:color="000000"/>
            </w:tcBorders>
          </w:tcPr>
          <w:p>
            <w:pPr>
              <w:pStyle w:val="TableParagraph"/>
              <w:rPr>
                <w:sz w:val="16"/>
              </w:rPr>
            </w:pPr>
          </w:p>
        </w:tc>
      </w:tr>
      <w:tr>
        <w:trPr>
          <w:trHeight w:val="232" w:hRule="atLeast"/>
        </w:trPr>
        <w:tc>
          <w:tcPr>
            <w:tcW w:w="3672" w:type="dxa"/>
            <w:tcBorders>
              <w:top w:val="single" w:sz="4" w:space="0" w:color="000000"/>
              <w:right w:val="single" w:sz="4" w:space="0" w:color="000000"/>
            </w:tcBorders>
          </w:tcPr>
          <w:p>
            <w:pPr>
              <w:pStyle w:val="TableParagraph"/>
              <w:spacing w:line="212" w:lineRule="exact"/>
              <w:ind w:left="109"/>
              <w:rPr>
                <w:rFonts w:ascii="宋体" w:eastAsia="宋体" w:hint="eastAsia"/>
                <w:sz w:val="18"/>
              </w:rPr>
            </w:pPr>
            <w:r>
              <w:rPr>
                <w:rFonts w:ascii="宋体" w:eastAsia="宋体" w:hint="eastAsia"/>
                <w:sz w:val="18"/>
              </w:rPr>
              <w:t>四、本期期末余额</w:t>
            </w:r>
          </w:p>
        </w:tc>
        <w:tc>
          <w:tcPr>
            <w:tcW w:w="1433" w:type="dxa"/>
            <w:tcBorders>
              <w:top w:val="single" w:sz="4" w:space="0" w:color="000000"/>
              <w:left w:val="single" w:sz="4" w:space="0" w:color="000000"/>
              <w:right w:val="single" w:sz="4" w:space="0" w:color="000000"/>
            </w:tcBorders>
          </w:tcPr>
          <w:p>
            <w:pPr>
              <w:pStyle w:val="TableParagraph"/>
              <w:spacing w:line="205" w:lineRule="exact" w:before="7"/>
              <w:ind w:left="182" w:right="-29"/>
              <w:rPr>
                <w:sz w:val="18"/>
              </w:rPr>
            </w:pPr>
            <w:r>
              <w:rPr>
                <w:sz w:val="18"/>
              </w:rPr>
              <w:t>9,027,846,441.00</w:t>
            </w:r>
          </w:p>
        </w:tc>
        <w:tc>
          <w:tcPr>
            <w:tcW w:w="708" w:type="dxa"/>
            <w:tcBorders>
              <w:top w:val="single" w:sz="4" w:space="0" w:color="000000"/>
              <w:left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right w:val="single" w:sz="4" w:space="0" w:color="000000"/>
            </w:tcBorders>
          </w:tcPr>
          <w:p>
            <w:pPr>
              <w:pStyle w:val="TableParagraph"/>
              <w:rPr>
                <w:sz w:val="16"/>
              </w:rPr>
            </w:pPr>
          </w:p>
        </w:tc>
        <w:tc>
          <w:tcPr>
            <w:tcW w:w="1135" w:type="dxa"/>
            <w:tcBorders>
              <w:top w:val="single" w:sz="4" w:space="0" w:color="000000"/>
              <w:left w:val="single" w:sz="4" w:space="0" w:color="000000"/>
              <w:right w:val="single" w:sz="4" w:space="0" w:color="000000"/>
            </w:tcBorders>
          </w:tcPr>
          <w:p>
            <w:pPr>
              <w:pStyle w:val="TableParagraph"/>
              <w:rPr>
                <w:sz w:val="16"/>
              </w:rPr>
            </w:pPr>
          </w:p>
        </w:tc>
        <w:tc>
          <w:tcPr>
            <w:tcW w:w="1419" w:type="dxa"/>
            <w:tcBorders>
              <w:top w:val="single" w:sz="4" w:space="0" w:color="000000"/>
              <w:left w:val="single" w:sz="4" w:space="0" w:color="000000"/>
              <w:right w:val="single" w:sz="4" w:space="0" w:color="000000"/>
            </w:tcBorders>
          </w:tcPr>
          <w:p>
            <w:pPr>
              <w:pStyle w:val="TableParagraph"/>
              <w:spacing w:line="205" w:lineRule="exact" w:before="7"/>
              <w:ind w:left="75" w:right="-29"/>
              <w:rPr>
                <w:sz w:val="18"/>
              </w:rPr>
            </w:pPr>
            <w:r>
              <w:rPr>
                <w:sz w:val="18"/>
              </w:rPr>
              <w:t>20,408,352,380.95</w:t>
            </w:r>
          </w:p>
        </w:tc>
        <w:tc>
          <w:tcPr>
            <w:tcW w:w="708" w:type="dxa"/>
            <w:tcBorders>
              <w:top w:val="single" w:sz="4" w:space="0" w:color="000000"/>
              <w:left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right w:val="single" w:sz="4" w:space="0" w:color="000000"/>
            </w:tcBorders>
          </w:tcPr>
          <w:p>
            <w:pPr>
              <w:pStyle w:val="TableParagraph"/>
              <w:spacing w:line="205" w:lineRule="exact" w:before="7"/>
              <w:ind w:left="48" w:right="-29"/>
              <w:rPr>
                <w:sz w:val="18"/>
              </w:rPr>
            </w:pPr>
            <w:r>
              <w:rPr>
                <w:sz w:val="18"/>
              </w:rPr>
              <w:t>-10,030,704.15</w:t>
            </w:r>
          </w:p>
        </w:tc>
        <w:tc>
          <w:tcPr>
            <w:tcW w:w="711" w:type="dxa"/>
            <w:tcBorders>
              <w:top w:val="single" w:sz="4" w:space="0" w:color="000000"/>
              <w:left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right w:val="single" w:sz="4" w:space="0" w:color="000000"/>
            </w:tcBorders>
          </w:tcPr>
          <w:p>
            <w:pPr>
              <w:pStyle w:val="TableParagraph"/>
              <w:spacing w:line="205" w:lineRule="exact" w:before="7"/>
              <w:ind w:right="-29"/>
              <w:jc w:val="right"/>
              <w:rPr>
                <w:sz w:val="18"/>
              </w:rPr>
            </w:pPr>
            <w:r>
              <w:rPr>
                <w:sz w:val="18"/>
              </w:rPr>
              <w:t>2,440,188,314.15</w:t>
            </w:r>
          </w:p>
        </w:tc>
        <w:tc>
          <w:tcPr>
            <w:tcW w:w="1278" w:type="dxa"/>
            <w:tcBorders>
              <w:top w:val="single" w:sz="4" w:space="0" w:color="000000"/>
              <w:left w:val="single" w:sz="4" w:space="0" w:color="000000"/>
              <w:right w:val="single" w:sz="4" w:space="0" w:color="000000"/>
            </w:tcBorders>
          </w:tcPr>
          <w:p>
            <w:pPr>
              <w:pStyle w:val="TableParagraph"/>
              <w:spacing w:line="205" w:lineRule="exact" w:before="7"/>
              <w:ind w:right="-29"/>
              <w:jc w:val="right"/>
              <w:rPr>
                <w:sz w:val="18"/>
              </w:rPr>
            </w:pPr>
            <w:r>
              <w:rPr>
                <w:sz w:val="18"/>
              </w:rPr>
              <w:t>4,349,961,964.23</w:t>
            </w:r>
          </w:p>
        </w:tc>
        <w:tc>
          <w:tcPr>
            <w:tcW w:w="1417" w:type="dxa"/>
            <w:tcBorders>
              <w:top w:val="single" w:sz="4" w:space="0" w:color="000000"/>
              <w:left w:val="single" w:sz="4" w:space="0" w:color="000000"/>
            </w:tcBorders>
          </w:tcPr>
          <w:p>
            <w:pPr>
              <w:pStyle w:val="TableParagraph"/>
              <w:spacing w:line="205" w:lineRule="exact" w:before="7"/>
              <w:ind w:right="-29"/>
              <w:jc w:val="right"/>
              <w:rPr>
                <w:sz w:val="18"/>
              </w:rPr>
            </w:pPr>
            <w:r>
              <w:rPr>
                <w:sz w:val="18"/>
              </w:rPr>
              <w:t>36,216,318,396.18</w:t>
            </w:r>
          </w:p>
        </w:tc>
      </w:tr>
    </w:tbl>
    <w:p>
      <w:pPr>
        <w:pStyle w:val="BodyText"/>
        <w:tabs>
          <w:tab w:pos="12493" w:val="left" w:leader="none"/>
        </w:tabs>
        <w:spacing w:before="4"/>
        <w:ind w:left="1404"/>
      </w:pPr>
      <w:r>
        <w:rPr>
          <w:w w:val="100"/>
        </w:rPr>
        <w:t> </w:t>
      </w:r>
      <w:r>
        <w:rPr/>
        <w:tab/>
      </w:r>
      <w:r>
        <w:rPr>
          <w:w w:val="100"/>
        </w:rPr>
        <w:t> </w:t>
      </w:r>
    </w:p>
    <w:p>
      <w:pPr>
        <w:pStyle w:val="BodyText"/>
        <w:rPr>
          <w:sz w:val="19"/>
        </w:rPr>
      </w:pPr>
    </w:p>
    <w:tbl>
      <w:tblPr>
        <w:tblW w:w="0" w:type="auto"/>
        <w:jc w:val="left"/>
        <w:tblInd w:w="14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672"/>
        <w:gridCol w:w="1433"/>
        <w:gridCol w:w="708"/>
        <w:gridCol w:w="708"/>
        <w:gridCol w:w="1277"/>
        <w:gridCol w:w="1277"/>
        <w:gridCol w:w="708"/>
        <w:gridCol w:w="1133"/>
        <w:gridCol w:w="711"/>
        <w:gridCol w:w="1276"/>
        <w:gridCol w:w="1278"/>
        <w:gridCol w:w="1417"/>
      </w:tblGrid>
      <w:tr>
        <w:trPr>
          <w:trHeight w:val="231" w:hRule="atLeast"/>
        </w:trPr>
        <w:tc>
          <w:tcPr>
            <w:tcW w:w="3672" w:type="dxa"/>
            <w:vMerge w:val="restart"/>
            <w:tcBorders>
              <w:bottom w:val="single" w:sz="4" w:space="0" w:color="000000"/>
              <w:right w:val="single" w:sz="4" w:space="0" w:color="000000"/>
            </w:tcBorders>
            <w:shd w:val="clear" w:color="auto" w:fill="EDEBE0"/>
          </w:tcPr>
          <w:p>
            <w:pPr>
              <w:pStyle w:val="TableParagraph"/>
              <w:rPr>
                <w:rFonts w:ascii="宋体"/>
                <w:sz w:val="18"/>
              </w:rPr>
            </w:pPr>
          </w:p>
          <w:p>
            <w:pPr>
              <w:pStyle w:val="TableParagraph"/>
              <w:spacing w:before="3"/>
              <w:rPr>
                <w:rFonts w:ascii="宋体"/>
                <w:sz w:val="13"/>
              </w:rPr>
            </w:pPr>
          </w:p>
          <w:p>
            <w:pPr>
              <w:pStyle w:val="TableParagraph"/>
              <w:ind w:left="1635" w:right="1616"/>
              <w:jc w:val="center"/>
              <w:rPr>
                <w:rFonts w:ascii="宋体" w:eastAsia="宋体" w:hint="eastAsia"/>
                <w:sz w:val="18"/>
              </w:rPr>
            </w:pPr>
            <w:r>
              <w:rPr>
                <w:rFonts w:ascii="宋体" w:eastAsia="宋体" w:hint="eastAsia"/>
                <w:sz w:val="18"/>
              </w:rPr>
              <w:t>项目</w:t>
            </w:r>
          </w:p>
        </w:tc>
        <w:tc>
          <w:tcPr>
            <w:tcW w:w="11926" w:type="dxa"/>
            <w:gridSpan w:val="11"/>
            <w:tcBorders>
              <w:left w:val="single" w:sz="4" w:space="0" w:color="000000"/>
              <w:bottom w:val="single" w:sz="4" w:space="0" w:color="000000"/>
            </w:tcBorders>
            <w:shd w:val="clear" w:color="auto" w:fill="EDEBE0"/>
          </w:tcPr>
          <w:p>
            <w:pPr>
              <w:pStyle w:val="TableParagraph"/>
              <w:spacing w:line="212" w:lineRule="exact"/>
              <w:ind w:left="5616" w:right="5484"/>
              <w:jc w:val="center"/>
              <w:rPr>
                <w:rFonts w:ascii="宋体" w:eastAsia="宋体" w:hint="eastAsia"/>
                <w:sz w:val="18"/>
              </w:rPr>
            </w:pPr>
            <w:r>
              <w:rPr>
                <w:sz w:val="18"/>
              </w:rPr>
              <w:t>2019 </w:t>
            </w:r>
            <w:r>
              <w:rPr>
                <w:rFonts w:ascii="宋体" w:eastAsia="宋体" w:hint="eastAsia"/>
                <w:sz w:val="18"/>
              </w:rPr>
              <w:t>年度</w:t>
            </w:r>
          </w:p>
        </w:tc>
      </w:tr>
      <w:tr>
        <w:trPr>
          <w:trHeight w:val="316" w:hRule="atLeast"/>
        </w:trPr>
        <w:tc>
          <w:tcPr>
            <w:tcW w:w="3672" w:type="dxa"/>
            <w:vMerge/>
            <w:tcBorders>
              <w:top w:val="nil"/>
              <w:bottom w:val="single" w:sz="4" w:space="0" w:color="000000"/>
              <w:right w:val="single" w:sz="4" w:space="0" w:color="000000"/>
            </w:tcBorders>
            <w:shd w:val="clear" w:color="auto" w:fill="EDEBE0"/>
          </w:tcPr>
          <w:p>
            <w:pPr>
              <w:rPr>
                <w:sz w:val="2"/>
                <w:szCs w:val="2"/>
              </w:rPr>
            </w:pPr>
          </w:p>
        </w:tc>
        <w:tc>
          <w:tcPr>
            <w:tcW w:w="1433" w:type="dxa"/>
            <w:vMerge w:val="restart"/>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44" w:lineRule="auto" w:before="163"/>
              <w:ind w:left="516" w:right="170" w:hanging="317"/>
              <w:rPr>
                <w:sz w:val="18"/>
              </w:rPr>
            </w:pPr>
            <w:r>
              <w:rPr>
                <w:rFonts w:ascii="宋体" w:eastAsia="宋体" w:hint="eastAsia"/>
                <w:sz w:val="18"/>
              </w:rPr>
              <w:t>实收资本 </w:t>
            </w:r>
            <w:r>
              <w:rPr>
                <w:sz w:val="18"/>
              </w:rPr>
              <w:t>(</w:t>
            </w:r>
            <w:r>
              <w:rPr>
                <w:rFonts w:ascii="宋体" w:eastAsia="宋体" w:hint="eastAsia"/>
                <w:sz w:val="18"/>
              </w:rPr>
              <w:t>或股本</w:t>
            </w:r>
            <w:r>
              <w:rPr>
                <w:sz w:val="18"/>
              </w:rPr>
              <w:t>)</w:t>
            </w:r>
          </w:p>
        </w:tc>
        <w:tc>
          <w:tcPr>
            <w:tcW w:w="2693" w:type="dxa"/>
            <w:gridSpan w:val="3"/>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43"/>
              <w:ind w:left="816"/>
              <w:rPr>
                <w:rFonts w:ascii="宋体" w:eastAsia="宋体" w:hint="eastAsia"/>
                <w:sz w:val="18"/>
              </w:rPr>
            </w:pPr>
            <w:r>
              <w:rPr>
                <w:rFonts w:ascii="宋体" w:eastAsia="宋体" w:hint="eastAsia"/>
                <w:sz w:val="18"/>
              </w:rPr>
              <w:t>其他权益工具</w:t>
            </w:r>
          </w:p>
        </w:tc>
        <w:tc>
          <w:tcPr>
            <w:tcW w:w="1277" w:type="dxa"/>
            <w:vMerge w:val="restart"/>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11"/>
              <w:rPr>
                <w:rFonts w:ascii="宋体"/>
                <w:sz w:val="21"/>
              </w:rPr>
            </w:pPr>
          </w:p>
          <w:p>
            <w:pPr>
              <w:pStyle w:val="TableParagraph"/>
              <w:spacing w:before="1"/>
              <w:ind w:left="288"/>
              <w:rPr>
                <w:rFonts w:ascii="宋体" w:eastAsia="宋体" w:hint="eastAsia"/>
                <w:sz w:val="18"/>
              </w:rPr>
            </w:pPr>
            <w:r>
              <w:rPr>
                <w:rFonts w:ascii="宋体" w:eastAsia="宋体" w:hint="eastAsia"/>
                <w:sz w:val="18"/>
              </w:rPr>
              <w:t>资本公积</w:t>
            </w:r>
          </w:p>
        </w:tc>
        <w:tc>
          <w:tcPr>
            <w:tcW w:w="708" w:type="dxa"/>
            <w:vMerge w:val="restart"/>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9"/>
              <w:rPr>
                <w:rFonts w:ascii="宋体"/>
                <w:sz w:val="12"/>
              </w:rPr>
            </w:pPr>
          </w:p>
          <w:p>
            <w:pPr>
              <w:pStyle w:val="TableParagraph"/>
              <w:spacing w:line="244" w:lineRule="auto"/>
              <w:ind w:left="183" w:right="22" w:hanging="65"/>
              <w:rPr>
                <w:rFonts w:ascii="宋体" w:eastAsia="宋体" w:hint="eastAsia"/>
                <w:sz w:val="18"/>
              </w:rPr>
            </w:pPr>
            <w:r>
              <w:rPr>
                <w:rFonts w:ascii="宋体" w:eastAsia="宋体" w:hint="eastAsia"/>
                <w:sz w:val="18"/>
              </w:rPr>
              <w:t>减：库存股</w:t>
            </w:r>
          </w:p>
        </w:tc>
        <w:tc>
          <w:tcPr>
            <w:tcW w:w="1133" w:type="dxa"/>
            <w:vMerge w:val="restart"/>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9"/>
              <w:rPr>
                <w:rFonts w:ascii="宋体"/>
                <w:sz w:val="12"/>
              </w:rPr>
            </w:pPr>
          </w:p>
          <w:p>
            <w:pPr>
              <w:pStyle w:val="TableParagraph"/>
              <w:spacing w:line="244" w:lineRule="auto"/>
              <w:ind w:left="485" w:right="95" w:hanging="360"/>
              <w:rPr>
                <w:rFonts w:ascii="宋体" w:eastAsia="宋体" w:hint="eastAsia"/>
                <w:sz w:val="18"/>
              </w:rPr>
            </w:pPr>
            <w:r>
              <w:rPr>
                <w:rFonts w:ascii="宋体" w:eastAsia="宋体" w:hint="eastAsia"/>
                <w:sz w:val="18"/>
              </w:rPr>
              <w:t>其他综合收益</w:t>
            </w:r>
          </w:p>
        </w:tc>
        <w:tc>
          <w:tcPr>
            <w:tcW w:w="711" w:type="dxa"/>
            <w:vMerge w:val="restart"/>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9"/>
              <w:rPr>
                <w:rFonts w:ascii="宋体"/>
                <w:sz w:val="12"/>
              </w:rPr>
            </w:pPr>
          </w:p>
          <w:p>
            <w:pPr>
              <w:pStyle w:val="TableParagraph"/>
              <w:spacing w:line="244" w:lineRule="auto"/>
              <w:ind w:left="185" w:right="153"/>
              <w:rPr>
                <w:rFonts w:ascii="宋体" w:eastAsia="宋体" w:hint="eastAsia"/>
                <w:sz w:val="18"/>
              </w:rPr>
            </w:pPr>
            <w:r>
              <w:rPr>
                <w:rFonts w:ascii="宋体" w:eastAsia="宋体" w:hint="eastAsia"/>
                <w:sz w:val="18"/>
              </w:rPr>
              <w:t>专项储备</w:t>
            </w:r>
          </w:p>
        </w:tc>
        <w:tc>
          <w:tcPr>
            <w:tcW w:w="1276" w:type="dxa"/>
            <w:vMerge w:val="restart"/>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11"/>
              <w:rPr>
                <w:rFonts w:ascii="宋体"/>
                <w:sz w:val="21"/>
              </w:rPr>
            </w:pPr>
          </w:p>
          <w:p>
            <w:pPr>
              <w:pStyle w:val="TableParagraph"/>
              <w:spacing w:before="1"/>
              <w:ind w:left="287"/>
              <w:rPr>
                <w:rFonts w:ascii="宋体" w:eastAsia="宋体" w:hint="eastAsia"/>
                <w:sz w:val="18"/>
              </w:rPr>
            </w:pPr>
            <w:r>
              <w:rPr>
                <w:rFonts w:ascii="宋体" w:eastAsia="宋体" w:hint="eastAsia"/>
                <w:sz w:val="18"/>
              </w:rPr>
              <w:t>盈余公积</w:t>
            </w:r>
          </w:p>
        </w:tc>
        <w:tc>
          <w:tcPr>
            <w:tcW w:w="1278" w:type="dxa"/>
            <w:vMerge w:val="restart"/>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11"/>
              <w:rPr>
                <w:rFonts w:ascii="宋体"/>
                <w:sz w:val="21"/>
              </w:rPr>
            </w:pPr>
          </w:p>
          <w:p>
            <w:pPr>
              <w:pStyle w:val="TableParagraph"/>
              <w:spacing w:before="1"/>
              <w:ind w:left="198"/>
              <w:rPr>
                <w:rFonts w:ascii="宋体" w:eastAsia="宋体" w:hint="eastAsia"/>
                <w:sz w:val="18"/>
              </w:rPr>
            </w:pPr>
            <w:r>
              <w:rPr>
                <w:rFonts w:ascii="宋体" w:eastAsia="宋体" w:hint="eastAsia"/>
                <w:sz w:val="18"/>
              </w:rPr>
              <w:t>未分配利润</w:t>
            </w:r>
          </w:p>
        </w:tc>
        <w:tc>
          <w:tcPr>
            <w:tcW w:w="1417" w:type="dxa"/>
            <w:vMerge w:val="restart"/>
            <w:tcBorders>
              <w:top w:val="single" w:sz="4" w:space="0" w:color="000000"/>
              <w:left w:val="single" w:sz="4" w:space="0" w:color="000000"/>
              <w:bottom w:val="single" w:sz="4" w:space="0" w:color="000000"/>
            </w:tcBorders>
            <w:shd w:val="clear" w:color="auto" w:fill="EDEBE0"/>
          </w:tcPr>
          <w:p>
            <w:pPr>
              <w:pStyle w:val="TableParagraph"/>
              <w:spacing w:before="9"/>
              <w:rPr>
                <w:rFonts w:ascii="宋体"/>
                <w:sz w:val="12"/>
              </w:rPr>
            </w:pPr>
          </w:p>
          <w:p>
            <w:pPr>
              <w:pStyle w:val="TableParagraph"/>
              <w:spacing w:line="244" w:lineRule="auto"/>
              <w:ind w:left="624" w:right="139" w:hanging="449"/>
              <w:rPr>
                <w:rFonts w:ascii="宋体" w:eastAsia="宋体" w:hint="eastAsia"/>
                <w:sz w:val="18"/>
              </w:rPr>
            </w:pPr>
            <w:r>
              <w:rPr>
                <w:rFonts w:ascii="宋体" w:eastAsia="宋体" w:hint="eastAsia"/>
                <w:sz w:val="18"/>
              </w:rPr>
              <w:t>所有者权益合计</w:t>
            </w:r>
          </w:p>
        </w:tc>
      </w:tr>
      <w:tr>
        <w:trPr>
          <w:trHeight w:val="467" w:hRule="atLeast"/>
        </w:trPr>
        <w:tc>
          <w:tcPr>
            <w:tcW w:w="3672" w:type="dxa"/>
            <w:vMerge/>
            <w:tcBorders>
              <w:top w:val="nil"/>
              <w:bottom w:val="single" w:sz="4" w:space="0" w:color="000000"/>
              <w:right w:val="single" w:sz="4" w:space="0" w:color="000000"/>
            </w:tcBorders>
            <w:shd w:val="clear" w:color="auto" w:fill="EDEBE0"/>
          </w:tcPr>
          <w:p>
            <w:pPr>
              <w:rPr>
                <w:sz w:val="2"/>
                <w:szCs w:val="2"/>
              </w:rPr>
            </w:pPr>
          </w:p>
        </w:tc>
        <w:tc>
          <w:tcPr>
            <w:tcW w:w="1433"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708"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30" w:lineRule="exact"/>
              <w:ind w:left="28"/>
              <w:jc w:val="center"/>
              <w:rPr>
                <w:rFonts w:ascii="宋体" w:eastAsia="宋体" w:hint="eastAsia"/>
                <w:sz w:val="18"/>
              </w:rPr>
            </w:pPr>
            <w:r>
              <w:rPr>
                <w:rFonts w:ascii="宋体" w:eastAsia="宋体" w:hint="eastAsia"/>
                <w:sz w:val="18"/>
              </w:rPr>
              <w:t>优先</w:t>
            </w:r>
          </w:p>
          <w:p>
            <w:pPr>
              <w:pStyle w:val="TableParagraph"/>
              <w:spacing w:line="215" w:lineRule="exact" w:before="2"/>
              <w:ind w:left="30"/>
              <w:jc w:val="center"/>
              <w:rPr>
                <w:rFonts w:ascii="宋体" w:eastAsia="宋体" w:hint="eastAsia"/>
                <w:sz w:val="18"/>
              </w:rPr>
            </w:pPr>
            <w:r>
              <w:rPr>
                <w:rFonts w:ascii="宋体" w:eastAsia="宋体" w:hint="eastAsia"/>
                <w:sz w:val="18"/>
              </w:rPr>
              <w:t>股</w:t>
            </w:r>
          </w:p>
        </w:tc>
        <w:tc>
          <w:tcPr>
            <w:tcW w:w="708"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line="230" w:lineRule="exact"/>
              <w:ind w:left="28"/>
              <w:jc w:val="center"/>
              <w:rPr>
                <w:rFonts w:ascii="宋体" w:eastAsia="宋体" w:hint="eastAsia"/>
                <w:sz w:val="18"/>
              </w:rPr>
            </w:pPr>
            <w:r>
              <w:rPr>
                <w:rFonts w:ascii="宋体" w:eastAsia="宋体" w:hint="eastAsia"/>
                <w:sz w:val="18"/>
              </w:rPr>
              <w:t>永续</w:t>
            </w:r>
          </w:p>
          <w:p>
            <w:pPr>
              <w:pStyle w:val="TableParagraph"/>
              <w:spacing w:line="215" w:lineRule="exact" w:before="2"/>
              <w:ind w:left="30"/>
              <w:jc w:val="center"/>
              <w:rPr>
                <w:rFonts w:ascii="宋体" w:eastAsia="宋体" w:hint="eastAsia"/>
                <w:sz w:val="18"/>
              </w:rPr>
            </w:pPr>
            <w:r>
              <w:rPr>
                <w:rFonts w:ascii="宋体" w:eastAsia="宋体" w:hint="eastAsia"/>
                <w:sz w:val="18"/>
              </w:rPr>
              <w:t>债</w:t>
            </w:r>
          </w:p>
        </w:tc>
        <w:tc>
          <w:tcPr>
            <w:tcW w:w="1277" w:type="dxa"/>
            <w:tcBorders>
              <w:top w:val="single" w:sz="4" w:space="0" w:color="000000"/>
              <w:left w:val="single" w:sz="4" w:space="0" w:color="000000"/>
              <w:bottom w:val="single" w:sz="4" w:space="0" w:color="000000"/>
              <w:right w:val="single" w:sz="4" w:space="0" w:color="000000"/>
            </w:tcBorders>
            <w:shd w:val="clear" w:color="auto" w:fill="EDEBE0"/>
          </w:tcPr>
          <w:p>
            <w:pPr>
              <w:pStyle w:val="TableParagraph"/>
              <w:spacing w:before="117"/>
              <w:ind w:left="175" w:right="140"/>
              <w:jc w:val="center"/>
              <w:rPr>
                <w:rFonts w:ascii="宋体" w:eastAsia="宋体" w:hint="eastAsia"/>
                <w:sz w:val="18"/>
              </w:rPr>
            </w:pPr>
            <w:r>
              <w:rPr>
                <w:rFonts w:ascii="宋体" w:eastAsia="宋体" w:hint="eastAsia"/>
                <w:sz w:val="18"/>
              </w:rPr>
              <w:t>其他</w:t>
            </w:r>
          </w:p>
        </w:tc>
        <w:tc>
          <w:tcPr>
            <w:tcW w:w="1277"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708"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1133"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711"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1276"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1278" w:type="dxa"/>
            <w:vMerge/>
            <w:tcBorders>
              <w:top w:val="nil"/>
              <w:left w:val="single" w:sz="4" w:space="0" w:color="000000"/>
              <w:bottom w:val="single" w:sz="4" w:space="0" w:color="000000"/>
              <w:right w:val="single" w:sz="4" w:space="0" w:color="000000"/>
            </w:tcBorders>
            <w:shd w:val="clear" w:color="auto" w:fill="EDEBE0"/>
          </w:tcPr>
          <w:p>
            <w:pPr>
              <w:rPr>
                <w:sz w:val="2"/>
                <w:szCs w:val="2"/>
              </w:rPr>
            </w:pPr>
          </w:p>
        </w:tc>
        <w:tc>
          <w:tcPr>
            <w:tcW w:w="1417" w:type="dxa"/>
            <w:vMerge/>
            <w:tcBorders>
              <w:top w:val="nil"/>
              <w:left w:val="single" w:sz="4" w:space="0" w:color="000000"/>
              <w:bottom w:val="single" w:sz="4" w:space="0" w:color="000000"/>
            </w:tcBorders>
            <w:shd w:val="clear" w:color="auto" w:fill="EDEBE0"/>
          </w:tcPr>
          <w:p>
            <w:pPr>
              <w:rPr>
                <w:sz w:val="2"/>
                <w:szCs w:val="2"/>
              </w:rPr>
            </w:pPr>
          </w:p>
        </w:tc>
      </w:tr>
      <w:tr>
        <w:trPr>
          <w:trHeight w:val="232" w:hRule="atLeast"/>
        </w:trPr>
        <w:tc>
          <w:tcPr>
            <w:tcW w:w="3672" w:type="dxa"/>
            <w:tcBorders>
              <w:top w:val="single" w:sz="4" w:space="0" w:color="000000"/>
              <w:bottom w:val="single" w:sz="4" w:space="0" w:color="000000"/>
              <w:right w:val="single" w:sz="4" w:space="0" w:color="000000"/>
            </w:tcBorders>
          </w:tcPr>
          <w:p>
            <w:pPr>
              <w:pStyle w:val="TableParagraph"/>
              <w:spacing w:line="212" w:lineRule="exact"/>
              <w:ind w:left="109"/>
              <w:rPr>
                <w:rFonts w:ascii="宋体" w:eastAsia="宋体" w:hint="eastAsia"/>
                <w:sz w:val="18"/>
              </w:rPr>
            </w:pPr>
            <w:r>
              <w:rPr>
                <w:rFonts w:ascii="宋体" w:eastAsia="宋体" w:hint="eastAsia"/>
                <w:sz w:val="18"/>
              </w:rPr>
              <w:t>一、上年年末余额</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7"/>
              <w:ind w:right="-29"/>
              <w:jc w:val="right"/>
              <w:rPr>
                <w:sz w:val="18"/>
              </w:rPr>
            </w:pPr>
            <w:r>
              <w:rPr>
                <w:sz w:val="18"/>
              </w:rPr>
              <w:t>6,368,416,700.00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7"/>
              <w:ind w:right="-29"/>
              <w:jc w:val="right"/>
              <w:rPr>
                <w:sz w:val="18"/>
              </w:rPr>
            </w:pPr>
            <w:r>
              <w:rPr>
                <w:sz w:val="18"/>
              </w:rPr>
              <w:t>473,061,264.64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7"/>
              <w:ind w:left="24" w:right="-29"/>
              <w:rPr>
                <w:sz w:val="18"/>
              </w:rPr>
            </w:pPr>
            <w:r>
              <w:rPr>
                <w:sz w:val="18"/>
              </w:rPr>
              <w:t>4,182,825,672.98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7"/>
              <w:ind w:right="-29"/>
              <w:jc w:val="right"/>
              <w:rPr>
                <w:sz w:val="18"/>
              </w:rPr>
            </w:pPr>
            <w:r>
              <w:rPr>
                <w:sz w:val="18"/>
              </w:rPr>
              <w:t>7,791,344.47</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7"/>
              <w:ind w:right="-29"/>
              <w:jc w:val="right"/>
              <w:rPr>
                <w:sz w:val="18"/>
              </w:rPr>
            </w:pPr>
            <w:r>
              <w:rPr>
                <w:sz w:val="18"/>
              </w:rPr>
              <w:t>1,683,155,091.65</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7"/>
              <w:ind w:right="-29"/>
              <w:jc w:val="right"/>
              <w:rPr>
                <w:sz w:val="18"/>
              </w:rPr>
            </w:pPr>
            <w:r>
              <w:rPr>
                <w:sz w:val="18"/>
              </w:rPr>
              <w:t>2,239,335,007.65</w:t>
            </w:r>
          </w:p>
        </w:tc>
        <w:tc>
          <w:tcPr>
            <w:tcW w:w="1417" w:type="dxa"/>
            <w:tcBorders>
              <w:top w:val="single" w:sz="4" w:space="0" w:color="000000"/>
              <w:left w:val="single" w:sz="4" w:space="0" w:color="000000"/>
              <w:bottom w:val="single" w:sz="4" w:space="0" w:color="000000"/>
            </w:tcBorders>
          </w:tcPr>
          <w:p>
            <w:pPr>
              <w:pStyle w:val="TableParagraph"/>
              <w:spacing w:line="205" w:lineRule="exact" w:before="7"/>
              <w:ind w:right="-29"/>
              <w:jc w:val="right"/>
              <w:rPr>
                <w:sz w:val="18"/>
              </w:rPr>
            </w:pPr>
            <w:r>
              <w:rPr>
                <w:sz w:val="18"/>
              </w:rPr>
              <w:t>14,954,585,081.39</w:t>
            </w:r>
          </w:p>
        </w:tc>
      </w:tr>
      <w:tr>
        <w:trPr>
          <w:trHeight w:val="232" w:hRule="atLeast"/>
        </w:trPr>
        <w:tc>
          <w:tcPr>
            <w:tcW w:w="3672" w:type="dxa"/>
            <w:tcBorders>
              <w:top w:val="single" w:sz="4" w:space="0" w:color="000000"/>
              <w:bottom w:val="single" w:sz="4" w:space="0" w:color="000000"/>
              <w:right w:val="single" w:sz="4" w:space="0" w:color="000000"/>
            </w:tcBorders>
          </w:tcPr>
          <w:p>
            <w:pPr>
              <w:pStyle w:val="TableParagraph"/>
              <w:spacing w:line="212" w:lineRule="exact"/>
              <w:ind w:left="109"/>
              <w:rPr>
                <w:rFonts w:ascii="宋体" w:eastAsia="宋体" w:hint="eastAsia"/>
                <w:sz w:val="18"/>
              </w:rPr>
            </w:pPr>
            <w:r>
              <w:rPr>
                <w:rFonts w:ascii="宋体" w:eastAsia="宋体" w:hint="eastAsia"/>
                <w:sz w:val="18"/>
              </w:rPr>
              <w:t>加：会计政策变更</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7" w:type="dxa"/>
            <w:tcBorders>
              <w:top w:val="single" w:sz="4" w:space="0" w:color="000000"/>
              <w:left w:val="single" w:sz="4" w:space="0" w:color="000000"/>
              <w:bottom w:val="single" w:sz="4" w:space="0" w:color="000000"/>
            </w:tcBorders>
          </w:tcPr>
          <w:p>
            <w:pPr>
              <w:pStyle w:val="TableParagraph"/>
              <w:rPr>
                <w:sz w:val="16"/>
              </w:rPr>
            </w:pPr>
          </w:p>
        </w:tc>
      </w:tr>
      <w:tr>
        <w:trPr>
          <w:trHeight w:val="234" w:hRule="atLeast"/>
        </w:trPr>
        <w:tc>
          <w:tcPr>
            <w:tcW w:w="3672" w:type="dxa"/>
            <w:tcBorders>
              <w:top w:val="single" w:sz="4" w:space="0" w:color="000000"/>
              <w:bottom w:val="single" w:sz="4" w:space="0" w:color="000000"/>
              <w:right w:val="single" w:sz="4" w:space="0" w:color="000000"/>
            </w:tcBorders>
          </w:tcPr>
          <w:p>
            <w:pPr>
              <w:pStyle w:val="TableParagraph"/>
              <w:spacing w:line="213" w:lineRule="exact" w:before="2"/>
              <w:ind w:left="469"/>
              <w:rPr>
                <w:rFonts w:ascii="宋体" w:eastAsia="宋体" w:hint="eastAsia"/>
                <w:sz w:val="18"/>
              </w:rPr>
            </w:pPr>
            <w:r>
              <w:rPr>
                <w:rFonts w:ascii="宋体" w:eastAsia="宋体" w:hint="eastAsia"/>
                <w:sz w:val="18"/>
              </w:rPr>
              <w:t>前期差错更正</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7" w:type="dxa"/>
            <w:tcBorders>
              <w:top w:val="single" w:sz="4" w:space="0" w:color="000000"/>
              <w:left w:val="single" w:sz="4" w:space="0" w:color="000000"/>
              <w:bottom w:val="single" w:sz="4" w:space="0" w:color="000000"/>
            </w:tcBorders>
          </w:tcPr>
          <w:p>
            <w:pPr>
              <w:pStyle w:val="TableParagraph"/>
              <w:rPr>
                <w:sz w:val="16"/>
              </w:rPr>
            </w:pPr>
          </w:p>
        </w:tc>
      </w:tr>
      <w:tr>
        <w:trPr>
          <w:trHeight w:val="232" w:hRule="atLeast"/>
        </w:trPr>
        <w:tc>
          <w:tcPr>
            <w:tcW w:w="3672" w:type="dxa"/>
            <w:tcBorders>
              <w:top w:val="single" w:sz="4" w:space="0" w:color="000000"/>
              <w:bottom w:val="single" w:sz="4" w:space="0" w:color="000000"/>
              <w:right w:val="single" w:sz="4" w:space="0" w:color="000000"/>
            </w:tcBorders>
          </w:tcPr>
          <w:p>
            <w:pPr>
              <w:pStyle w:val="TableParagraph"/>
              <w:spacing w:line="212" w:lineRule="exact"/>
              <w:ind w:left="469"/>
              <w:rPr>
                <w:rFonts w:ascii="宋体" w:eastAsia="宋体" w:hint="eastAsia"/>
                <w:sz w:val="18"/>
              </w:rPr>
            </w:pPr>
            <w:r>
              <w:rPr>
                <w:rFonts w:ascii="宋体" w:eastAsia="宋体" w:hint="eastAsia"/>
                <w:sz w:val="18"/>
              </w:rPr>
              <w:t>其他</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7" w:type="dxa"/>
            <w:tcBorders>
              <w:top w:val="single" w:sz="4" w:space="0" w:color="000000"/>
              <w:left w:val="single" w:sz="4" w:space="0" w:color="000000"/>
              <w:bottom w:val="single" w:sz="4" w:space="0" w:color="000000"/>
            </w:tcBorders>
          </w:tcPr>
          <w:p>
            <w:pPr>
              <w:pStyle w:val="TableParagraph"/>
              <w:rPr>
                <w:sz w:val="16"/>
              </w:rPr>
            </w:pPr>
          </w:p>
        </w:tc>
      </w:tr>
      <w:tr>
        <w:trPr>
          <w:trHeight w:val="234" w:hRule="atLeast"/>
        </w:trPr>
        <w:tc>
          <w:tcPr>
            <w:tcW w:w="3672" w:type="dxa"/>
            <w:tcBorders>
              <w:top w:val="single" w:sz="4" w:space="0" w:color="000000"/>
              <w:bottom w:val="single" w:sz="4" w:space="0" w:color="000000"/>
              <w:right w:val="single" w:sz="4" w:space="0" w:color="000000"/>
            </w:tcBorders>
          </w:tcPr>
          <w:p>
            <w:pPr>
              <w:pStyle w:val="TableParagraph"/>
              <w:spacing w:line="215" w:lineRule="exact"/>
              <w:ind w:left="109"/>
              <w:rPr>
                <w:rFonts w:ascii="宋体" w:eastAsia="宋体" w:hint="eastAsia"/>
                <w:sz w:val="18"/>
              </w:rPr>
            </w:pPr>
            <w:r>
              <w:rPr>
                <w:rFonts w:ascii="宋体" w:eastAsia="宋体" w:hint="eastAsia"/>
                <w:sz w:val="18"/>
              </w:rPr>
              <w:t>二、本年期初余额</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9"/>
              <w:ind w:right="-29"/>
              <w:jc w:val="right"/>
              <w:rPr>
                <w:sz w:val="18"/>
              </w:rPr>
            </w:pPr>
            <w:r>
              <w:rPr>
                <w:sz w:val="18"/>
              </w:rPr>
              <w:t>6,368,416,700.00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9"/>
              <w:ind w:right="-29"/>
              <w:jc w:val="right"/>
              <w:rPr>
                <w:sz w:val="18"/>
              </w:rPr>
            </w:pPr>
            <w:r>
              <w:rPr>
                <w:sz w:val="18"/>
              </w:rPr>
              <w:t>473,061,264.64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9"/>
              <w:ind w:left="24" w:right="-29"/>
              <w:rPr>
                <w:sz w:val="18"/>
              </w:rPr>
            </w:pPr>
            <w:r>
              <w:rPr>
                <w:sz w:val="18"/>
              </w:rPr>
              <w:t>4,182,825,672.98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9"/>
              <w:ind w:right="-29"/>
              <w:jc w:val="right"/>
              <w:rPr>
                <w:sz w:val="18"/>
              </w:rPr>
            </w:pPr>
            <w:r>
              <w:rPr>
                <w:sz w:val="18"/>
              </w:rPr>
              <w:t>7,791,344.47</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9"/>
              <w:ind w:right="-29"/>
              <w:jc w:val="right"/>
              <w:rPr>
                <w:sz w:val="18"/>
              </w:rPr>
            </w:pPr>
            <w:r>
              <w:rPr>
                <w:sz w:val="18"/>
              </w:rPr>
              <w:t>1,683,155,091.65</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9"/>
              <w:ind w:right="-29"/>
              <w:jc w:val="right"/>
              <w:rPr>
                <w:sz w:val="18"/>
              </w:rPr>
            </w:pPr>
            <w:r>
              <w:rPr>
                <w:sz w:val="18"/>
              </w:rPr>
              <w:t>2,239,335,007.65</w:t>
            </w:r>
          </w:p>
        </w:tc>
        <w:tc>
          <w:tcPr>
            <w:tcW w:w="1417" w:type="dxa"/>
            <w:tcBorders>
              <w:top w:val="single" w:sz="4" w:space="0" w:color="000000"/>
              <w:left w:val="single" w:sz="4" w:space="0" w:color="000000"/>
              <w:bottom w:val="single" w:sz="4" w:space="0" w:color="000000"/>
            </w:tcBorders>
          </w:tcPr>
          <w:p>
            <w:pPr>
              <w:pStyle w:val="TableParagraph"/>
              <w:spacing w:line="205" w:lineRule="exact" w:before="9"/>
              <w:ind w:right="-29"/>
              <w:jc w:val="right"/>
              <w:rPr>
                <w:sz w:val="18"/>
              </w:rPr>
            </w:pPr>
            <w:r>
              <w:rPr>
                <w:sz w:val="18"/>
              </w:rPr>
              <w:t>14,954,585,081.39</w:t>
            </w:r>
          </w:p>
        </w:tc>
      </w:tr>
      <w:tr>
        <w:trPr>
          <w:trHeight w:val="232" w:hRule="atLeast"/>
        </w:trPr>
        <w:tc>
          <w:tcPr>
            <w:tcW w:w="3672" w:type="dxa"/>
            <w:tcBorders>
              <w:top w:val="single" w:sz="4" w:space="0" w:color="000000"/>
              <w:bottom w:val="single" w:sz="4" w:space="0" w:color="000000"/>
              <w:right w:val="single" w:sz="4" w:space="0" w:color="000000"/>
            </w:tcBorders>
          </w:tcPr>
          <w:p>
            <w:pPr>
              <w:pStyle w:val="TableParagraph"/>
              <w:spacing w:line="212" w:lineRule="exact"/>
              <w:ind w:left="109" w:right="-15"/>
              <w:rPr>
                <w:rFonts w:ascii="宋体" w:hAnsi="宋体" w:eastAsia="宋体" w:hint="eastAsia"/>
                <w:sz w:val="18"/>
              </w:rPr>
            </w:pPr>
            <w:r>
              <w:rPr>
                <w:rFonts w:ascii="宋体" w:hAnsi="宋体" w:eastAsia="宋体" w:hint="eastAsia"/>
                <w:spacing w:val="-6"/>
                <w:sz w:val="18"/>
              </w:rPr>
              <w:t>三、本期增减变动金额</w:t>
            </w:r>
            <w:r>
              <w:rPr>
                <w:rFonts w:ascii="宋体" w:hAnsi="宋体" w:eastAsia="宋体" w:hint="eastAsia"/>
                <w:sz w:val="18"/>
              </w:rPr>
              <w:t>（</w:t>
            </w:r>
            <w:r>
              <w:rPr>
                <w:rFonts w:ascii="宋体" w:hAnsi="宋体" w:eastAsia="宋体" w:hint="eastAsia"/>
                <w:spacing w:val="-2"/>
                <w:sz w:val="18"/>
              </w:rPr>
              <w:t>减少以</w:t>
            </w:r>
            <w:r>
              <w:rPr>
                <w:sz w:val="18"/>
              </w:rPr>
              <w:t>“</w:t>
            </w:r>
            <w:r>
              <w:rPr>
                <w:rFonts w:ascii="宋体" w:hAnsi="宋体" w:eastAsia="宋体" w:hint="eastAsia"/>
                <w:sz w:val="18"/>
              </w:rPr>
              <w:t>－</w:t>
            </w:r>
            <w:r>
              <w:rPr>
                <w:sz w:val="18"/>
              </w:rPr>
              <w:t>”</w:t>
            </w:r>
            <w:r>
              <w:rPr>
                <w:rFonts w:ascii="宋体" w:hAnsi="宋体" w:eastAsia="宋体" w:hint="eastAsia"/>
                <w:sz w:val="18"/>
              </w:rPr>
              <w:t>号填列）</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7"/>
              <w:ind w:right="-29"/>
              <w:jc w:val="right"/>
              <w:rPr>
                <w:sz w:val="18"/>
              </w:rPr>
            </w:pPr>
            <w:r>
              <w:rPr>
                <w:sz w:val="18"/>
              </w:rPr>
              <w:t>211,149,927.00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7"/>
              <w:ind w:right="-29"/>
              <w:jc w:val="right"/>
              <w:rPr>
                <w:sz w:val="18"/>
              </w:rPr>
            </w:pPr>
            <w:r>
              <w:rPr>
                <w:sz w:val="18"/>
              </w:rPr>
              <w:t>-473,061,264.64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7"/>
              <w:ind w:left="24" w:right="-29"/>
              <w:rPr>
                <w:sz w:val="18"/>
              </w:rPr>
            </w:pPr>
            <w:r>
              <w:rPr>
                <w:sz w:val="18"/>
              </w:rPr>
              <w:t>2,853,705,505.85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7"/>
              <w:ind w:right="-29"/>
              <w:jc w:val="right"/>
              <w:rPr>
                <w:sz w:val="18"/>
              </w:rPr>
            </w:pPr>
            <w:r>
              <w:rPr>
                <w:sz w:val="18"/>
              </w:rPr>
              <w:t>3,286,132.98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7"/>
              <w:ind w:right="-29"/>
              <w:jc w:val="right"/>
              <w:rPr>
                <w:sz w:val="18"/>
              </w:rPr>
            </w:pPr>
            <w:r>
              <w:rPr>
                <w:sz w:val="18"/>
              </w:rPr>
              <w:t>367,026,088.36</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7"/>
              <w:ind w:right="-29"/>
              <w:jc w:val="right"/>
              <w:rPr>
                <w:sz w:val="18"/>
              </w:rPr>
            </w:pPr>
            <w:r>
              <w:rPr>
                <w:sz w:val="18"/>
              </w:rPr>
              <w:t>1,067,900,234.46</w:t>
            </w:r>
          </w:p>
        </w:tc>
        <w:tc>
          <w:tcPr>
            <w:tcW w:w="1417" w:type="dxa"/>
            <w:tcBorders>
              <w:top w:val="single" w:sz="4" w:space="0" w:color="000000"/>
              <w:left w:val="single" w:sz="4" w:space="0" w:color="000000"/>
              <w:bottom w:val="single" w:sz="4" w:space="0" w:color="000000"/>
            </w:tcBorders>
          </w:tcPr>
          <w:p>
            <w:pPr>
              <w:pStyle w:val="TableParagraph"/>
              <w:spacing w:line="205" w:lineRule="exact" w:before="7"/>
              <w:ind w:right="-29"/>
              <w:jc w:val="right"/>
              <w:rPr>
                <w:sz w:val="18"/>
              </w:rPr>
            </w:pPr>
            <w:r>
              <w:rPr>
                <w:sz w:val="18"/>
              </w:rPr>
              <w:t>4,030,006,624.01</w:t>
            </w:r>
          </w:p>
        </w:tc>
      </w:tr>
      <w:tr>
        <w:trPr>
          <w:trHeight w:val="234" w:hRule="atLeast"/>
        </w:trPr>
        <w:tc>
          <w:tcPr>
            <w:tcW w:w="3672" w:type="dxa"/>
            <w:tcBorders>
              <w:top w:val="single" w:sz="4" w:space="0" w:color="000000"/>
              <w:bottom w:val="single" w:sz="4" w:space="0" w:color="000000"/>
              <w:right w:val="single" w:sz="4" w:space="0" w:color="000000"/>
            </w:tcBorders>
          </w:tcPr>
          <w:p>
            <w:pPr>
              <w:pStyle w:val="TableParagraph"/>
              <w:spacing w:line="215" w:lineRule="exact"/>
              <w:ind w:left="109"/>
              <w:rPr>
                <w:rFonts w:ascii="宋体" w:eastAsia="宋体" w:hint="eastAsia"/>
                <w:sz w:val="18"/>
              </w:rPr>
            </w:pPr>
            <w:r>
              <w:rPr>
                <w:rFonts w:ascii="宋体" w:eastAsia="宋体" w:hint="eastAsia"/>
                <w:sz w:val="18"/>
              </w:rPr>
              <w:t>（一）综合收益总额</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9"/>
              <w:ind w:right="-29"/>
              <w:jc w:val="right"/>
              <w:rPr>
                <w:sz w:val="18"/>
              </w:rPr>
            </w:pPr>
            <w:r>
              <w:rPr>
                <w:sz w:val="18"/>
              </w:rPr>
              <w:t>3,286,132.98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9"/>
              <w:ind w:right="-29"/>
              <w:jc w:val="right"/>
              <w:rPr>
                <w:sz w:val="18"/>
              </w:rPr>
            </w:pPr>
            <w:r>
              <w:rPr>
                <w:sz w:val="18"/>
              </w:rPr>
              <w:t>3,670,260,883.55</w:t>
            </w:r>
          </w:p>
        </w:tc>
        <w:tc>
          <w:tcPr>
            <w:tcW w:w="1417" w:type="dxa"/>
            <w:tcBorders>
              <w:top w:val="single" w:sz="4" w:space="0" w:color="000000"/>
              <w:left w:val="single" w:sz="4" w:space="0" w:color="000000"/>
              <w:bottom w:val="single" w:sz="4" w:space="0" w:color="000000"/>
            </w:tcBorders>
          </w:tcPr>
          <w:p>
            <w:pPr>
              <w:pStyle w:val="TableParagraph"/>
              <w:spacing w:line="205" w:lineRule="exact" w:before="9"/>
              <w:ind w:right="-29"/>
              <w:jc w:val="right"/>
              <w:rPr>
                <w:sz w:val="18"/>
              </w:rPr>
            </w:pPr>
            <w:r>
              <w:rPr>
                <w:sz w:val="18"/>
              </w:rPr>
              <w:t>3,673,547,016.53</w:t>
            </w:r>
          </w:p>
        </w:tc>
      </w:tr>
      <w:tr>
        <w:trPr>
          <w:trHeight w:val="232" w:hRule="atLeast"/>
        </w:trPr>
        <w:tc>
          <w:tcPr>
            <w:tcW w:w="3672" w:type="dxa"/>
            <w:tcBorders>
              <w:top w:val="single" w:sz="4" w:space="0" w:color="000000"/>
              <w:bottom w:val="single" w:sz="4" w:space="0" w:color="000000"/>
              <w:right w:val="single" w:sz="4" w:space="0" w:color="000000"/>
            </w:tcBorders>
          </w:tcPr>
          <w:p>
            <w:pPr>
              <w:pStyle w:val="TableParagraph"/>
              <w:spacing w:line="213" w:lineRule="exact"/>
              <w:ind w:left="109"/>
              <w:rPr>
                <w:rFonts w:ascii="宋体" w:eastAsia="宋体" w:hint="eastAsia"/>
                <w:sz w:val="18"/>
              </w:rPr>
            </w:pPr>
            <w:r>
              <w:rPr>
                <w:rFonts w:ascii="宋体" w:eastAsia="宋体" w:hint="eastAsia"/>
                <w:sz w:val="18"/>
              </w:rPr>
              <w:t>（二）所有者投入和减少资本</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7"/>
              <w:ind w:right="-29"/>
              <w:jc w:val="right"/>
              <w:rPr>
                <w:sz w:val="18"/>
              </w:rPr>
            </w:pPr>
            <w:r>
              <w:rPr>
                <w:sz w:val="18"/>
              </w:rPr>
              <w:t>211,149,927.00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7"/>
              <w:ind w:right="-29"/>
              <w:jc w:val="right"/>
              <w:rPr>
                <w:sz w:val="18"/>
              </w:rPr>
            </w:pPr>
            <w:r>
              <w:rPr>
                <w:sz w:val="18"/>
              </w:rPr>
              <w:t>-473,061,264.64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7"/>
              <w:ind w:left="24" w:right="-29"/>
              <w:rPr>
                <w:sz w:val="18"/>
              </w:rPr>
            </w:pPr>
            <w:r>
              <w:rPr>
                <w:sz w:val="18"/>
              </w:rPr>
              <w:t>2,889,898,684.61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7" w:type="dxa"/>
            <w:tcBorders>
              <w:top w:val="single" w:sz="4" w:space="0" w:color="000000"/>
              <w:left w:val="single" w:sz="4" w:space="0" w:color="000000"/>
              <w:bottom w:val="single" w:sz="4" w:space="0" w:color="000000"/>
            </w:tcBorders>
          </w:tcPr>
          <w:p>
            <w:pPr>
              <w:pStyle w:val="TableParagraph"/>
              <w:spacing w:line="205" w:lineRule="exact" w:before="7"/>
              <w:ind w:right="-29"/>
              <w:jc w:val="right"/>
              <w:rPr>
                <w:sz w:val="18"/>
              </w:rPr>
            </w:pPr>
            <w:r>
              <w:rPr>
                <w:sz w:val="18"/>
              </w:rPr>
              <w:t>2,627,987,346.97</w:t>
            </w:r>
          </w:p>
        </w:tc>
      </w:tr>
      <w:tr>
        <w:trPr>
          <w:trHeight w:val="232" w:hRule="atLeast"/>
        </w:trPr>
        <w:tc>
          <w:tcPr>
            <w:tcW w:w="3672" w:type="dxa"/>
            <w:tcBorders>
              <w:top w:val="single" w:sz="4" w:space="0" w:color="000000"/>
              <w:bottom w:val="single" w:sz="4" w:space="0" w:color="000000"/>
              <w:right w:val="single" w:sz="4" w:space="0" w:color="000000"/>
            </w:tcBorders>
          </w:tcPr>
          <w:p>
            <w:pPr>
              <w:pStyle w:val="TableParagraph"/>
              <w:spacing w:line="212" w:lineRule="exact"/>
              <w:ind w:left="109"/>
              <w:rPr>
                <w:rFonts w:ascii="宋体" w:eastAsia="宋体" w:hint="eastAsia"/>
                <w:sz w:val="18"/>
              </w:rPr>
            </w:pPr>
            <w:r>
              <w:rPr>
                <w:sz w:val="18"/>
              </w:rPr>
              <w:t>1</w:t>
            </w:r>
            <w:r>
              <w:rPr>
                <w:rFonts w:ascii="宋体" w:eastAsia="宋体" w:hint="eastAsia"/>
                <w:sz w:val="18"/>
              </w:rPr>
              <w:t>．所有者投入的普通股</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before="9"/>
              <w:ind w:right="-29"/>
              <w:jc w:val="right"/>
              <w:rPr>
                <w:sz w:val="18"/>
              </w:rPr>
            </w:pPr>
            <w:r>
              <w:rPr>
                <w:sz w:val="18"/>
              </w:rPr>
              <w:t>211,149,927.00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before="9"/>
              <w:ind w:right="-29"/>
              <w:jc w:val="right"/>
              <w:rPr>
                <w:sz w:val="18"/>
              </w:rPr>
            </w:pPr>
            <w:r>
              <w:rPr>
                <w:sz w:val="18"/>
              </w:rPr>
              <w:t>-473,061,264.64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before="9"/>
              <w:ind w:left="24" w:right="-29"/>
              <w:rPr>
                <w:sz w:val="18"/>
              </w:rPr>
            </w:pPr>
            <w:r>
              <w:rPr>
                <w:sz w:val="18"/>
              </w:rPr>
              <w:t>2,889,898,684.61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7" w:type="dxa"/>
            <w:tcBorders>
              <w:top w:val="single" w:sz="4" w:space="0" w:color="000000"/>
              <w:left w:val="single" w:sz="4" w:space="0" w:color="000000"/>
              <w:bottom w:val="single" w:sz="4" w:space="0" w:color="000000"/>
            </w:tcBorders>
          </w:tcPr>
          <w:p>
            <w:pPr>
              <w:pStyle w:val="TableParagraph"/>
              <w:spacing w:line="203" w:lineRule="exact" w:before="9"/>
              <w:ind w:right="-29"/>
              <w:jc w:val="right"/>
              <w:rPr>
                <w:sz w:val="18"/>
              </w:rPr>
            </w:pPr>
            <w:r>
              <w:rPr>
                <w:sz w:val="18"/>
              </w:rPr>
              <w:t>2,627,987,346.97</w:t>
            </w:r>
          </w:p>
        </w:tc>
      </w:tr>
      <w:tr>
        <w:trPr>
          <w:trHeight w:val="234" w:hRule="atLeast"/>
        </w:trPr>
        <w:tc>
          <w:tcPr>
            <w:tcW w:w="3672" w:type="dxa"/>
            <w:tcBorders>
              <w:top w:val="single" w:sz="4" w:space="0" w:color="000000"/>
              <w:bottom w:val="single" w:sz="4" w:space="0" w:color="000000"/>
              <w:right w:val="single" w:sz="4" w:space="0" w:color="000000"/>
            </w:tcBorders>
          </w:tcPr>
          <w:p>
            <w:pPr>
              <w:pStyle w:val="TableParagraph"/>
              <w:spacing w:line="213" w:lineRule="exact" w:before="2"/>
              <w:ind w:left="109"/>
              <w:rPr>
                <w:rFonts w:ascii="宋体" w:eastAsia="宋体" w:hint="eastAsia"/>
                <w:sz w:val="18"/>
              </w:rPr>
            </w:pPr>
            <w:r>
              <w:rPr>
                <w:sz w:val="18"/>
              </w:rPr>
              <w:t>2</w:t>
            </w:r>
            <w:r>
              <w:rPr>
                <w:rFonts w:ascii="宋体" w:eastAsia="宋体" w:hint="eastAsia"/>
                <w:sz w:val="18"/>
              </w:rPr>
              <w:t>．其他权益工具持有者投入资本</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7" w:type="dxa"/>
            <w:tcBorders>
              <w:top w:val="single" w:sz="4" w:space="0" w:color="000000"/>
              <w:left w:val="single" w:sz="4" w:space="0" w:color="000000"/>
              <w:bottom w:val="single" w:sz="4" w:space="0" w:color="000000"/>
            </w:tcBorders>
          </w:tcPr>
          <w:p>
            <w:pPr>
              <w:pStyle w:val="TableParagraph"/>
              <w:rPr>
                <w:sz w:val="16"/>
              </w:rPr>
            </w:pPr>
          </w:p>
        </w:tc>
      </w:tr>
      <w:tr>
        <w:trPr>
          <w:trHeight w:val="232" w:hRule="atLeast"/>
        </w:trPr>
        <w:tc>
          <w:tcPr>
            <w:tcW w:w="3672" w:type="dxa"/>
            <w:tcBorders>
              <w:top w:val="single" w:sz="4" w:space="0" w:color="000000"/>
              <w:bottom w:val="single" w:sz="4" w:space="0" w:color="000000"/>
              <w:right w:val="single" w:sz="4" w:space="0" w:color="000000"/>
            </w:tcBorders>
          </w:tcPr>
          <w:p>
            <w:pPr>
              <w:pStyle w:val="TableParagraph"/>
              <w:spacing w:line="212" w:lineRule="exact"/>
              <w:ind w:left="109"/>
              <w:rPr>
                <w:rFonts w:ascii="宋体" w:eastAsia="宋体" w:hint="eastAsia"/>
                <w:sz w:val="18"/>
              </w:rPr>
            </w:pPr>
            <w:r>
              <w:rPr>
                <w:sz w:val="18"/>
              </w:rPr>
              <w:t>3</w:t>
            </w:r>
            <w:r>
              <w:rPr>
                <w:rFonts w:ascii="宋体" w:eastAsia="宋体" w:hint="eastAsia"/>
                <w:sz w:val="18"/>
              </w:rPr>
              <w:t>．股份支付计入所有者权益的金额</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7" w:type="dxa"/>
            <w:tcBorders>
              <w:top w:val="single" w:sz="4" w:space="0" w:color="000000"/>
              <w:left w:val="single" w:sz="4" w:space="0" w:color="000000"/>
              <w:bottom w:val="single" w:sz="4" w:space="0" w:color="000000"/>
            </w:tcBorders>
          </w:tcPr>
          <w:p>
            <w:pPr>
              <w:pStyle w:val="TableParagraph"/>
              <w:rPr>
                <w:sz w:val="16"/>
              </w:rPr>
            </w:pPr>
          </w:p>
        </w:tc>
      </w:tr>
      <w:tr>
        <w:trPr>
          <w:trHeight w:val="232" w:hRule="atLeast"/>
        </w:trPr>
        <w:tc>
          <w:tcPr>
            <w:tcW w:w="3672" w:type="dxa"/>
            <w:tcBorders>
              <w:top w:val="single" w:sz="4" w:space="0" w:color="000000"/>
              <w:right w:val="single" w:sz="4" w:space="0" w:color="000000"/>
            </w:tcBorders>
          </w:tcPr>
          <w:p>
            <w:pPr>
              <w:pStyle w:val="TableParagraph"/>
              <w:spacing w:line="210" w:lineRule="exact" w:before="2"/>
              <w:ind w:left="109"/>
              <w:rPr>
                <w:rFonts w:ascii="宋体" w:eastAsia="宋体" w:hint="eastAsia"/>
                <w:sz w:val="18"/>
              </w:rPr>
            </w:pPr>
            <w:r>
              <w:rPr>
                <w:sz w:val="18"/>
              </w:rPr>
              <w:t>4</w:t>
            </w:r>
            <w:r>
              <w:rPr>
                <w:rFonts w:ascii="宋体" w:eastAsia="宋体" w:hint="eastAsia"/>
                <w:sz w:val="18"/>
              </w:rPr>
              <w:t>．其他</w:t>
            </w:r>
          </w:p>
        </w:tc>
        <w:tc>
          <w:tcPr>
            <w:tcW w:w="1433" w:type="dxa"/>
            <w:tcBorders>
              <w:top w:val="single" w:sz="4" w:space="0" w:color="000000"/>
              <w:left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right w:val="single" w:sz="4" w:space="0" w:color="000000"/>
            </w:tcBorders>
          </w:tcPr>
          <w:p>
            <w:pPr>
              <w:pStyle w:val="TableParagraph"/>
              <w:rPr>
                <w:sz w:val="16"/>
              </w:rPr>
            </w:pPr>
          </w:p>
        </w:tc>
        <w:tc>
          <w:tcPr>
            <w:tcW w:w="1278" w:type="dxa"/>
            <w:tcBorders>
              <w:top w:val="single" w:sz="4" w:space="0" w:color="000000"/>
              <w:left w:val="single" w:sz="4" w:space="0" w:color="000000"/>
              <w:right w:val="single" w:sz="4" w:space="0" w:color="000000"/>
            </w:tcBorders>
          </w:tcPr>
          <w:p>
            <w:pPr>
              <w:pStyle w:val="TableParagraph"/>
              <w:rPr>
                <w:sz w:val="16"/>
              </w:rPr>
            </w:pPr>
          </w:p>
        </w:tc>
        <w:tc>
          <w:tcPr>
            <w:tcW w:w="1417" w:type="dxa"/>
            <w:tcBorders>
              <w:top w:val="single" w:sz="4" w:space="0" w:color="000000"/>
              <w:left w:val="single" w:sz="4" w:space="0" w:color="000000"/>
            </w:tcBorders>
          </w:tcPr>
          <w:p>
            <w:pPr>
              <w:pStyle w:val="TableParagraph"/>
              <w:rPr>
                <w:sz w:val="16"/>
              </w:rPr>
            </w:pPr>
          </w:p>
        </w:tc>
      </w:tr>
    </w:tbl>
    <w:p>
      <w:pPr>
        <w:spacing w:after="0"/>
        <w:rPr>
          <w:sz w:val="16"/>
        </w:rPr>
        <w:sectPr>
          <w:pgSz w:w="16840" w:h="11910" w:orient="landscape"/>
          <w:pgMar w:header="876" w:footer="1214" w:top="1180" w:bottom="1400" w:left="120" w:right="860"/>
        </w:sectPr>
      </w:pPr>
    </w:p>
    <w:p>
      <w:pPr>
        <w:pStyle w:val="BodyText"/>
        <w:spacing w:before="6"/>
        <w:rPr>
          <w:sz w:val="7"/>
        </w:rPr>
      </w:pPr>
    </w:p>
    <w:tbl>
      <w:tblPr>
        <w:tblW w:w="0" w:type="auto"/>
        <w:jc w:val="left"/>
        <w:tblInd w:w="14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672"/>
        <w:gridCol w:w="1433"/>
        <w:gridCol w:w="708"/>
        <w:gridCol w:w="708"/>
        <w:gridCol w:w="1277"/>
        <w:gridCol w:w="1277"/>
        <w:gridCol w:w="708"/>
        <w:gridCol w:w="1133"/>
        <w:gridCol w:w="711"/>
        <w:gridCol w:w="1276"/>
        <w:gridCol w:w="1278"/>
        <w:gridCol w:w="1417"/>
      </w:tblGrid>
      <w:tr>
        <w:trPr>
          <w:trHeight w:val="414" w:hRule="atLeast"/>
        </w:trPr>
        <w:tc>
          <w:tcPr>
            <w:tcW w:w="3672" w:type="dxa"/>
            <w:tcBorders>
              <w:bottom w:val="single" w:sz="4" w:space="0" w:color="000000"/>
              <w:right w:val="single" w:sz="4" w:space="0" w:color="000000"/>
            </w:tcBorders>
          </w:tcPr>
          <w:p>
            <w:pPr>
              <w:pStyle w:val="TableParagraph"/>
              <w:spacing w:line="230" w:lineRule="exact"/>
              <w:ind w:left="109"/>
              <w:rPr>
                <w:rFonts w:ascii="宋体" w:eastAsia="宋体" w:hint="eastAsia"/>
                <w:sz w:val="18"/>
              </w:rPr>
            </w:pPr>
            <w:r>
              <w:rPr>
                <w:rFonts w:ascii="宋体" w:eastAsia="宋体" w:hint="eastAsia"/>
                <w:sz w:val="18"/>
              </w:rPr>
              <w:t>（三）利润分配</w:t>
            </w:r>
          </w:p>
        </w:tc>
        <w:tc>
          <w:tcPr>
            <w:tcW w:w="1433" w:type="dxa"/>
            <w:tcBorders>
              <w:left w:val="single" w:sz="4" w:space="0" w:color="000000"/>
              <w:bottom w:val="single" w:sz="4" w:space="0" w:color="000000"/>
              <w:right w:val="single" w:sz="4" w:space="0" w:color="000000"/>
            </w:tcBorders>
          </w:tcPr>
          <w:p>
            <w:pPr>
              <w:pStyle w:val="TableParagraph"/>
              <w:rPr>
                <w:sz w:val="18"/>
              </w:rPr>
            </w:pPr>
          </w:p>
        </w:tc>
        <w:tc>
          <w:tcPr>
            <w:tcW w:w="708" w:type="dxa"/>
            <w:tcBorders>
              <w:left w:val="single" w:sz="4" w:space="0" w:color="000000"/>
              <w:bottom w:val="single" w:sz="4" w:space="0" w:color="000000"/>
              <w:right w:val="single" w:sz="4" w:space="0" w:color="000000"/>
            </w:tcBorders>
          </w:tcPr>
          <w:p>
            <w:pPr>
              <w:pStyle w:val="TableParagraph"/>
              <w:rPr>
                <w:sz w:val="18"/>
              </w:rPr>
            </w:pPr>
          </w:p>
        </w:tc>
        <w:tc>
          <w:tcPr>
            <w:tcW w:w="708" w:type="dxa"/>
            <w:tcBorders>
              <w:left w:val="single" w:sz="4" w:space="0" w:color="000000"/>
              <w:bottom w:val="single" w:sz="4" w:space="0" w:color="000000"/>
              <w:right w:val="single" w:sz="4" w:space="0" w:color="000000"/>
            </w:tcBorders>
          </w:tcPr>
          <w:p>
            <w:pPr>
              <w:pStyle w:val="TableParagraph"/>
              <w:rPr>
                <w:sz w:val="18"/>
              </w:rPr>
            </w:pPr>
          </w:p>
        </w:tc>
        <w:tc>
          <w:tcPr>
            <w:tcW w:w="1277" w:type="dxa"/>
            <w:tcBorders>
              <w:left w:val="single" w:sz="4" w:space="0" w:color="000000"/>
              <w:bottom w:val="single" w:sz="4" w:space="0" w:color="000000"/>
              <w:right w:val="single" w:sz="4" w:space="0" w:color="000000"/>
            </w:tcBorders>
          </w:tcPr>
          <w:p>
            <w:pPr>
              <w:pStyle w:val="TableParagraph"/>
              <w:rPr>
                <w:sz w:val="18"/>
              </w:rPr>
            </w:pPr>
          </w:p>
        </w:tc>
        <w:tc>
          <w:tcPr>
            <w:tcW w:w="1277" w:type="dxa"/>
            <w:tcBorders>
              <w:left w:val="single" w:sz="4" w:space="0" w:color="000000"/>
              <w:bottom w:val="single" w:sz="4" w:space="0" w:color="000000"/>
              <w:right w:val="single" w:sz="4" w:space="0" w:color="000000"/>
            </w:tcBorders>
          </w:tcPr>
          <w:p>
            <w:pPr>
              <w:pStyle w:val="TableParagraph"/>
              <w:rPr>
                <w:sz w:val="18"/>
              </w:rPr>
            </w:pPr>
          </w:p>
        </w:tc>
        <w:tc>
          <w:tcPr>
            <w:tcW w:w="708" w:type="dxa"/>
            <w:tcBorders>
              <w:left w:val="single" w:sz="4" w:space="0" w:color="000000"/>
              <w:bottom w:val="single" w:sz="4" w:space="0" w:color="000000"/>
              <w:right w:val="single" w:sz="4" w:space="0" w:color="000000"/>
            </w:tcBorders>
          </w:tcPr>
          <w:p>
            <w:pPr>
              <w:pStyle w:val="TableParagraph"/>
              <w:rPr>
                <w:sz w:val="18"/>
              </w:rPr>
            </w:pPr>
          </w:p>
        </w:tc>
        <w:tc>
          <w:tcPr>
            <w:tcW w:w="1133" w:type="dxa"/>
            <w:tcBorders>
              <w:left w:val="single" w:sz="4" w:space="0" w:color="000000"/>
              <w:bottom w:val="single" w:sz="4" w:space="0" w:color="000000"/>
              <w:right w:val="single" w:sz="4" w:space="0" w:color="000000"/>
            </w:tcBorders>
          </w:tcPr>
          <w:p>
            <w:pPr>
              <w:pStyle w:val="TableParagraph"/>
              <w:rPr>
                <w:sz w:val="18"/>
              </w:rPr>
            </w:pPr>
          </w:p>
        </w:tc>
        <w:tc>
          <w:tcPr>
            <w:tcW w:w="711" w:type="dxa"/>
            <w:tcBorders>
              <w:left w:val="single" w:sz="4" w:space="0" w:color="000000"/>
              <w:bottom w:val="single" w:sz="4" w:space="0" w:color="000000"/>
              <w:right w:val="single" w:sz="4" w:space="0" w:color="000000"/>
            </w:tcBorders>
          </w:tcPr>
          <w:p>
            <w:pPr>
              <w:pStyle w:val="TableParagraph"/>
              <w:rPr>
                <w:sz w:val="18"/>
              </w:rPr>
            </w:pPr>
          </w:p>
        </w:tc>
        <w:tc>
          <w:tcPr>
            <w:tcW w:w="1276" w:type="dxa"/>
            <w:tcBorders>
              <w:left w:val="single" w:sz="4" w:space="0" w:color="000000"/>
              <w:bottom w:val="single" w:sz="4" w:space="0" w:color="000000"/>
              <w:right w:val="single" w:sz="4" w:space="0" w:color="000000"/>
            </w:tcBorders>
          </w:tcPr>
          <w:p>
            <w:pPr>
              <w:pStyle w:val="TableParagraph"/>
              <w:spacing w:before="97"/>
              <w:ind w:right="-29"/>
              <w:jc w:val="right"/>
              <w:rPr>
                <w:sz w:val="18"/>
              </w:rPr>
            </w:pPr>
            <w:r>
              <w:rPr>
                <w:sz w:val="18"/>
              </w:rPr>
              <w:t>367,026,088.36</w:t>
            </w:r>
          </w:p>
        </w:tc>
        <w:tc>
          <w:tcPr>
            <w:tcW w:w="1278" w:type="dxa"/>
            <w:tcBorders>
              <w:left w:val="single" w:sz="4" w:space="0" w:color="000000"/>
              <w:bottom w:val="single" w:sz="4" w:space="0" w:color="000000"/>
              <w:right w:val="single" w:sz="4" w:space="0" w:color="000000"/>
            </w:tcBorders>
          </w:tcPr>
          <w:p>
            <w:pPr>
              <w:pStyle w:val="TableParagraph"/>
              <w:spacing w:line="201" w:lineRule="exact"/>
              <w:ind w:right="-29"/>
              <w:jc w:val="right"/>
              <w:rPr>
                <w:sz w:val="18"/>
              </w:rPr>
            </w:pPr>
            <w:r>
              <w:rPr>
                <w:sz w:val="18"/>
              </w:rPr>
              <w:t>-2,602,360,649.0</w:t>
            </w:r>
          </w:p>
          <w:p>
            <w:pPr>
              <w:pStyle w:val="TableParagraph"/>
              <w:spacing w:line="193" w:lineRule="exact"/>
              <w:ind w:right="-29"/>
              <w:jc w:val="right"/>
              <w:rPr>
                <w:sz w:val="18"/>
              </w:rPr>
            </w:pPr>
            <w:r>
              <w:rPr>
                <w:sz w:val="18"/>
              </w:rPr>
              <w:t>9</w:t>
            </w:r>
          </w:p>
        </w:tc>
        <w:tc>
          <w:tcPr>
            <w:tcW w:w="1417" w:type="dxa"/>
            <w:tcBorders>
              <w:left w:val="single" w:sz="4" w:space="0" w:color="000000"/>
              <w:bottom w:val="single" w:sz="4" w:space="0" w:color="000000"/>
            </w:tcBorders>
          </w:tcPr>
          <w:p>
            <w:pPr>
              <w:pStyle w:val="TableParagraph"/>
              <w:spacing w:before="97"/>
              <w:ind w:right="-29"/>
              <w:jc w:val="right"/>
              <w:rPr>
                <w:sz w:val="18"/>
              </w:rPr>
            </w:pPr>
            <w:r>
              <w:rPr>
                <w:sz w:val="18"/>
              </w:rPr>
              <w:t>-2,235,334,560.73</w:t>
            </w:r>
          </w:p>
        </w:tc>
      </w:tr>
      <w:tr>
        <w:trPr>
          <w:trHeight w:val="232" w:hRule="atLeast"/>
        </w:trPr>
        <w:tc>
          <w:tcPr>
            <w:tcW w:w="3672" w:type="dxa"/>
            <w:tcBorders>
              <w:top w:val="single" w:sz="4" w:space="0" w:color="000000"/>
              <w:bottom w:val="single" w:sz="4" w:space="0" w:color="000000"/>
              <w:right w:val="single" w:sz="4" w:space="0" w:color="000000"/>
            </w:tcBorders>
          </w:tcPr>
          <w:p>
            <w:pPr>
              <w:pStyle w:val="TableParagraph"/>
              <w:spacing w:line="212" w:lineRule="exact"/>
              <w:ind w:left="109"/>
              <w:rPr>
                <w:rFonts w:ascii="宋体" w:eastAsia="宋体" w:hint="eastAsia"/>
                <w:sz w:val="18"/>
              </w:rPr>
            </w:pPr>
            <w:r>
              <w:rPr>
                <w:sz w:val="18"/>
              </w:rPr>
              <w:t>1</w:t>
            </w:r>
            <w:r>
              <w:rPr>
                <w:rFonts w:ascii="宋体" w:eastAsia="宋体" w:hint="eastAsia"/>
                <w:sz w:val="18"/>
              </w:rPr>
              <w:t>．提取盈余公积</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7"/>
              <w:ind w:right="-29"/>
              <w:jc w:val="right"/>
              <w:rPr>
                <w:sz w:val="18"/>
              </w:rPr>
            </w:pPr>
            <w:r>
              <w:rPr>
                <w:sz w:val="18"/>
              </w:rPr>
              <w:t>367,026,088.36</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7"/>
              <w:ind w:right="-29"/>
              <w:jc w:val="right"/>
              <w:rPr>
                <w:sz w:val="18"/>
              </w:rPr>
            </w:pPr>
            <w:r>
              <w:rPr>
                <w:sz w:val="18"/>
              </w:rPr>
              <w:t>-367,026,088.36</w:t>
            </w:r>
          </w:p>
        </w:tc>
        <w:tc>
          <w:tcPr>
            <w:tcW w:w="1417" w:type="dxa"/>
            <w:tcBorders>
              <w:top w:val="single" w:sz="4" w:space="0" w:color="000000"/>
              <w:left w:val="single" w:sz="4" w:space="0" w:color="000000"/>
              <w:bottom w:val="single" w:sz="4" w:space="0" w:color="000000"/>
            </w:tcBorders>
          </w:tcPr>
          <w:p>
            <w:pPr>
              <w:pStyle w:val="TableParagraph"/>
              <w:rPr>
                <w:sz w:val="16"/>
              </w:rPr>
            </w:pPr>
          </w:p>
        </w:tc>
      </w:tr>
      <w:tr>
        <w:trPr>
          <w:trHeight w:val="414" w:hRule="atLeast"/>
        </w:trPr>
        <w:tc>
          <w:tcPr>
            <w:tcW w:w="3672" w:type="dxa"/>
            <w:tcBorders>
              <w:top w:val="single" w:sz="4" w:space="0" w:color="000000"/>
              <w:bottom w:val="single" w:sz="4" w:space="0" w:color="000000"/>
              <w:right w:val="single" w:sz="4" w:space="0" w:color="000000"/>
            </w:tcBorders>
          </w:tcPr>
          <w:p>
            <w:pPr>
              <w:pStyle w:val="TableParagraph"/>
              <w:spacing w:line="230" w:lineRule="exact"/>
              <w:ind w:left="109"/>
              <w:rPr>
                <w:rFonts w:ascii="宋体" w:eastAsia="宋体" w:hint="eastAsia"/>
                <w:sz w:val="18"/>
              </w:rPr>
            </w:pPr>
            <w:r>
              <w:rPr>
                <w:sz w:val="18"/>
              </w:rPr>
              <w:t>2</w:t>
            </w:r>
            <w:r>
              <w:rPr>
                <w:rFonts w:ascii="宋体" w:eastAsia="宋体" w:hint="eastAsia"/>
                <w:sz w:val="18"/>
              </w:rPr>
              <w:t>．对所有者（或股东）的分配</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9"/>
              <w:jc w:val="right"/>
              <w:rPr>
                <w:sz w:val="18"/>
              </w:rPr>
            </w:pPr>
            <w:r>
              <w:rPr>
                <w:sz w:val="18"/>
              </w:rPr>
              <w:t>-2,235,334,560.7</w:t>
            </w:r>
          </w:p>
          <w:p>
            <w:pPr>
              <w:pStyle w:val="TableParagraph"/>
              <w:spacing w:line="193" w:lineRule="exact"/>
              <w:ind w:right="-29"/>
              <w:jc w:val="right"/>
              <w:rPr>
                <w:sz w:val="18"/>
              </w:rPr>
            </w:pPr>
            <w:r>
              <w:rPr>
                <w:sz w:val="18"/>
              </w:rPr>
              <w:t>3</w:t>
            </w:r>
          </w:p>
        </w:tc>
        <w:tc>
          <w:tcPr>
            <w:tcW w:w="1417" w:type="dxa"/>
            <w:tcBorders>
              <w:top w:val="single" w:sz="4" w:space="0" w:color="000000"/>
              <w:left w:val="single" w:sz="4" w:space="0" w:color="000000"/>
              <w:bottom w:val="single" w:sz="4" w:space="0" w:color="000000"/>
            </w:tcBorders>
          </w:tcPr>
          <w:p>
            <w:pPr>
              <w:pStyle w:val="TableParagraph"/>
              <w:spacing w:before="98"/>
              <w:ind w:right="-29"/>
              <w:jc w:val="right"/>
              <w:rPr>
                <w:sz w:val="18"/>
              </w:rPr>
            </w:pPr>
            <w:r>
              <w:rPr>
                <w:sz w:val="18"/>
              </w:rPr>
              <w:t>-2,235,334,560.73</w:t>
            </w:r>
          </w:p>
        </w:tc>
      </w:tr>
      <w:tr>
        <w:trPr>
          <w:trHeight w:val="232" w:hRule="atLeast"/>
        </w:trPr>
        <w:tc>
          <w:tcPr>
            <w:tcW w:w="3672" w:type="dxa"/>
            <w:tcBorders>
              <w:top w:val="single" w:sz="4" w:space="0" w:color="000000"/>
              <w:bottom w:val="single" w:sz="4" w:space="0" w:color="000000"/>
              <w:right w:val="single" w:sz="4" w:space="0" w:color="000000"/>
            </w:tcBorders>
          </w:tcPr>
          <w:p>
            <w:pPr>
              <w:pStyle w:val="TableParagraph"/>
              <w:spacing w:line="212" w:lineRule="exact"/>
              <w:ind w:left="109"/>
              <w:rPr>
                <w:rFonts w:ascii="宋体" w:eastAsia="宋体" w:hint="eastAsia"/>
                <w:sz w:val="18"/>
              </w:rPr>
            </w:pPr>
            <w:r>
              <w:rPr>
                <w:sz w:val="18"/>
              </w:rPr>
              <w:t>3</w:t>
            </w:r>
            <w:r>
              <w:rPr>
                <w:rFonts w:ascii="宋体" w:eastAsia="宋体" w:hint="eastAsia"/>
                <w:sz w:val="18"/>
              </w:rPr>
              <w:t>．其他</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7" w:type="dxa"/>
            <w:tcBorders>
              <w:top w:val="single" w:sz="4" w:space="0" w:color="000000"/>
              <w:left w:val="single" w:sz="4" w:space="0" w:color="000000"/>
              <w:bottom w:val="single" w:sz="4" w:space="0" w:color="000000"/>
            </w:tcBorders>
          </w:tcPr>
          <w:p>
            <w:pPr>
              <w:pStyle w:val="TableParagraph"/>
              <w:rPr>
                <w:sz w:val="16"/>
              </w:rPr>
            </w:pPr>
          </w:p>
        </w:tc>
      </w:tr>
      <w:tr>
        <w:trPr>
          <w:trHeight w:val="234" w:hRule="atLeast"/>
        </w:trPr>
        <w:tc>
          <w:tcPr>
            <w:tcW w:w="3672" w:type="dxa"/>
            <w:tcBorders>
              <w:top w:val="single" w:sz="4" w:space="0" w:color="000000"/>
              <w:bottom w:val="single" w:sz="4" w:space="0" w:color="000000"/>
              <w:right w:val="single" w:sz="4" w:space="0" w:color="000000"/>
            </w:tcBorders>
          </w:tcPr>
          <w:p>
            <w:pPr>
              <w:pStyle w:val="TableParagraph"/>
              <w:spacing w:line="215" w:lineRule="exact"/>
              <w:ind w:left="109"/>
              <w:rPr>
                <w:rFonts w:ascii="宋体" w:eastAsia="宋体" w:hint="eastAsia"/>
                <w:sz w:val="18"/>
              </w:rPr>
            </w:pPr>
            <w:r>
              <w:rPr>
                <w:rFonts w:ascii="宋体" w:eastAsia="宋体" w:hint="eastAsia"/>
                <w:sz w:val="18"/>
              </w:rPr>
              <w:t>（四）所有者权益内部结转</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7" w:type="dxa"/>
            <w:tcBorders>
              <w:top w:val="single" w:sz="4" w:space="0" w:color="000000"/>
              <w:left w:val="single" w:sz="4" w:space="0" w:color="000000"/>
              <w:bottom w:val="single" w:sz="4" w:space="0" w:color="000000"/>
            </w:tcBorders>
          </w:tcPr>
          <w:p>
            <w:pPr>
              <w:pStyle w:val="TableParagraph"/>
              <w:rPr>
                <w:sz w:val="16"/>
              </w:rPr>
            </w:pPr>
          </w:p>
        </w:tc>
      </w:tr>
      <w:tr>
        <w:trPr>
          <w:trHeight w:val="232" w:hRule="atLeast"/>
        </w:trPr>
        <w:tc>
          <w:tcPr>
            <w:tcW w:w="3672" w:type="dxa"/>
            <w:tcBorders>
              <w:top w:val="single" w:sz="4" w:space="0" w:color="000000"/>
              <w:bottom w:val="single" w:sz="4" w:space="0" w:color="000000"/>
              <w:right w:val="single" w:sz="4" w:space="0" w:color="000000"/>
            </w:tcBorders>
          </w:tcPr>
          <w:p>
            <w:pPr>
              <w:pStyle w:val="TableParagraph"/>
              <w:spacing w:line="212" w:lineRule="exact"/>
              <w:ind w:left="109"/>
              <w:rPr>
                <w:rFonts w:ascii="宋体" w:eastAsia="宋体" w:hint="eastAsia"/>
                <w:sz w:val="18"/>
              </w:rPr>
            </w:pPr>
            <w:r>
              <w:rPr>
                <w:sz w:val="18"/>
              </w:rPr>
              <w:t>1</w:t>
            </w:r>
            <w:r>
              <w:rPr>
                <w:rFonts w:ascii="宋体" w:eastAsia="宋体" w:hint="eastAsia"/>
                <w:sz w:val="18"/>
              </w:rPr>
              <w:t>．资本公积转增资本（或股本）</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7" w:type="dxa"/>
            <w:tcBorders>
              <w:top w:val="single" w:sz="4" w:space="0" w:color="000000"/>
              <w:left w:val="single" w:sz="4" w:space="0" w:color="000000"/>
              <w:bottom w:val="single" w:sz="4" w:space="0" w:color="000000"/>
            </w:tcBorders>
          </w:tcPr>
          <w:p>
            <w:pPr>
              <w:pStyle w:val="TableParagraph"/>
              <w:rPr>
                <w:sz w:val="16"/>
              </w:rPr>
            </w:pPr>
          </w:p>
        </w:tc>
      </w:tr>
      <w:tr>
        <w:trPr>
          <w:trHeight w:val="232" w:hRule="atLeast"/>
        </w:trPr>
        <w:tc>
          <w:tcPr>
            <w:tcW w:w="3672" w:type="dxa"/>
            <w:tcBorders>
              <w:top w:val="single" w:sz="4" w:space="0" w:color="000000"/>
              <w:bottom w:val="single" w:sz="4" w:space="0" w:color="000000"/>
              <w:right w:val="single" w:sz="4" w:space="0" w:color="000000"/>
            </w:tcBorders>
          </w:tcPr>
          <w:p>
            <w:pPr>
              <w:pStyle w:val="TableParagraph"/>
              <w:spacing w:line="212" w:lineRule="exact"/>
              <w:ind w:left="109"/>
              <w:rPr>
                <w:rFonts w:ascii="宋体" w:eastAsia="宋体" w:hint="eastAsia"/>
                <w:sz w:val="18"/>
              </w:rPr>
            </w:pPr>
            <w:r>
              <w:rPr>
                <w:sz w:val="18"/>
              </w:rPr>
              <w:t>2</w:t>
            </w:r>
            <w:r>
              <w:rPr>
                <w:rFonts w:ascii="宋体" w:eastAsia="宋体" w:hint="eastAsia"/>
                <w:sz w:val="18"/>
              </w:rPr>
              <w:t>．盈余公积转增资本（或股本）</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7" w:type="dxa"/>
            <w:tcBorders>
              <w:top w:val="single" w:sz="4" w:space="0" w:color="000000"/>
              <w:left w:val="single" w:sz="4" w:space="0" w:color="000000"/>
              <w:bottom w:val="single" w:sz="4" w:space="0" w:color="000000"/>
            </w:tcBorders>
          </w:tcPr>
          <w:p>
            <w:pPr>
              <w:pStyle w:val="TableParagraph"/>
              <w:rPr>
                <w:sz w:val="16"/>
              </w:rPr>
            </w:pPr>
          </w:p>
        </w:tc>
      </w:tr>
      <w:tr>
        <w:trPr>
          <w:trHeight w:val="234" w:hRule="atLeast"/>
        </w:trPr>
        <w:tc>
          <w:tcPr>
            <w:tcW w:w="3672" w:type="dxa"/>
            <w:tcBorders>
              <w:top w:val="single" w:sz="4" w:space="0" w:color="000000"/>
              <w:bottom w:val="single" w:sz="4" w:space="0" w:color="000000"/>
              <w:right w:val="single" w:sz="4" w:space="0" w:color="000000"/>
            </w:tcBorders>
          </w:tcPr>
          <w:p>
            <w:pPr>
              <w:pStyle w:val="TableParagraph"/>
              <w:spacing w:line="213" w:lineRule="exact" w:before="2"/>
              <w:ind w:left="109"/>
              <w:rPr>
                <w:rFonts w:ascii="宋体" w:eastAsia="宋体" w:hint="eastAsia"/>
                <w:sz w:val="18"/>
              </w:rPr>
            </w:pPr>
            <w:r>
              <w:rPr>
                <w:sz w:val="18"/>
              </w:rPr>
              <w:t>3</w:t>
            </w:r>
            <w:r>
              <w:rPr>
                <w:rFonts w:ascii="宋体" w:eastAsia="宋体" w:hint="eastAsia"/>
                <w:sz w:val="18"/>
              </w:rPr>
              <w:t>．盈余公积弥补亏损</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7" w:type="dxa"/>
            <w:tcBorders>
              <w:top w:val="single" w:sz="4" w:space="0" w:color="000000"/>
              <w:left w:val="single" w:sz="4" w:space="0" w:color="000000"/>
              <w:bottom w:val="single" w:sz="4" w:space="0" w:color="000000"/>
            </w:tcBorders>
          </w:tcPr>
          <w:p>
            <w:pPr>
              <w:pStyle w:val="TableParagraph"/>
              <w:rPr>
                <w:sz w:val="16"/>
              </w:rPr>
            </w:pPr>
          </w:p>
        </w:tc>
      </w:tr>
      <w:tr>
        <w:trPr>
          <w:trHeight w:val="232" w:hRule="atLeast"/>
        </w:trPr>
        <w:tc>
          <w:tcPr>
            <w:tcW w:w="3672" w:type="dxa"/>
            <w:tcBorders>
              <w:top w:val="single" w:sz="4" w:space="0" w:color="000000"/>
              <w:bottom w:val="single" w:sz="4" w:space="0" w:color="000000"/>
              <w:right w:val="single" w:sz="4" w:space="0" w:color="000000"/>
            </w:tcBorders>
          </w:tcPr>
          <w:p>
            <w:pPr>
              <w:pStyle w:val="TableParagraph"/>
              <w:spacing w:line="213" w:lineRule="exact"/>
              <w:ind w:left="109"/>
              <w:rPr>
                <w:rFonts w:ascii="宋体" w:eastAsia="宋体" w:hint="eastAsia"/>
                <w:sz w:val="18"/>
              </w:rPr>
            </w:pPr>
            <w:r>
              <w:rPr>
                <w:sz w:val="18"/>
              </w:rPr>
              <w:t>4</w:t>
            </w:r>
            <w:r>
              <w:rPr>
                <w:rFonts w:ascii="宋体" w:eastAsia="宋体" w:hint="eastAsia"/>
                <w:sz w:val="18"/>
              </w:rPr>
              <w:t>．设定受益计划变动额结转留存收益</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7" w:type="dxa"/>
            <w:tcBorders>
              <w:top w:val="single" w:sz="4" w:space="0" w:color="000000"/>
              <w:left w:val="single" w:sz="4" w:space="0" w:color="000000"/>
              <w:bottom w:val="single" w:sz="4" w:space="0" w:color="000000"/>
            </w:tcBorders>
          </w:tcPr>
          <w:p>
            <w:pPr>
              <w:pStyle w:val="TableParagraph"/>
              <w:rPr>
                <w:sz w:val="16"/>
              </w:rPr>
            </w:pPr>
          </w:p>
        </w:tc>
      </w:tr>
      <w:tr>
        <w:trPr>
          <w:trHeight w:val="234" w:hRule="atLeast"/>
        </w:trPr>
        <w:tc>
          <w:tcPr>
            <w:tcW w:w="3672" w:type="dxa"/>
            <w:tcBorders>
              <w:top w:val="single" w:sz="4" w:space="0" w:color="000000"/>
              <w:bottom w:val="single" w:sz="4" w:space="0" w:color="000000"/>
              <w:right w:val="single" w:sz="4" w:space="0" w:color="000000"/>
            </w:tcBorders>
          </w:tcPr>
          <w:p>
            <w:pPr>
              <w:pStyle w:val="TableParagraph"/>
              <w:spacing w:line="215" w:lineRule="exact"/>
              <w:ind w:left="109"/>
              <w:rPr>
                <w:rFonts w:ascii="宋体" w:eastAsia="宋体" w:hint="eastAsia"/>
                <w:sz w:val="18"/>
              </w:rPr>
            </w:pPr>
            <w:r>
              <w:rPr>
                <w:sz w:val="18"/>
              </w:rPr>
              <w:t>5</w:t>
            </w:r>
            <w:r>
              <w:rPr>
                <w:rFonts w:ascii="宋体" w:eastAsia="宋体" w:hint="eastAsia"/>
                <w:sz w:val="18"/>
              </w:rPr>
              <w:t>．其他综合收益结转留存收益</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7" w:type="dxa"/>
            <w:tcBorders>
              <w:top w:val="single" w:sz="4" w:space="0" w:color="000000"/>
              <w:left w:val="single" w:sz="4" w:space="0" w:color="000000"/>
              <w:bottom w:val="single" w:sz="4" w:space="0" w:color="000000"/>
            </w:tcBorders>
          </w:tcPr>
          <w:p>
            <w:pPr>
              <w:pStyle w:val="TableParagraph"/>
              <w:rPr>
                <w:sz w:val="16"/>
              </w:rPr>
            </w:pPr>
          </w:p>
        </w:tc>
      </w:tr>
      <w:tr>
        <w:trPr>
          <w:trHeight w:val="232" w:hRule="atLeast"/>
        </w:trPr>
        <w:tc>
          <w:tcPr>
            <w:tcW w:w="3672" w:type="dxa"/>
            <w:tcBorders>
              <w:top w:val="single" w:sz="4" w:space="0" w:color="000000"/>
              <w:bottom w:val="single" w:sz="4" w:space="0" w:color="000000"/>
              <w:right w:val="single" w:sz="4" w:space="0" w:color="000000"/>
            </w:tcBorders>
          </w:tcPr>
          <w:p>
            <w:pPr>
              <w:pStyle w:val="TableParagraph"/>
              <w:spacing w:line="212" w:lineRule="exact"/>
              <w:ind w:left="109"/>
              <w:rPr>
                <w:rFonts w:ascii="宋体" w:eastAsia="宋体" w:hint="eastAsia"/>
                <w:sz w:val="18"/>
              </w:rPr>
            </w:pPr>
            <w:r>
              <w:rPr>
                <w:sz w:val="18"/>
              </w:rPr>
              <w:t>6</w:t>
            </w:r>
            <w:r>
              <w:rPr>
                <w:rFonts w:ascii="宋体" w:eastAsia="宋体" w:hint="eastAsia"/>
                <w:sz w:val="18"/>
              </w:rPr>
              <w:t>．其他</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7" w:type="dxa"/>
            <w:tcBorders>
              <w:top w:val="single" w:sz="4" w:space="0" w:color="000000"/>
              <w:left w:val="single" w:sz="4" w:space="0" w:color="000000"/>
              <w:bottom w:val="single" w:sz="4" w:space="0" w:color="000000"/>
            </w:tcBorders>
          </w:tcPr>
          <w:p>
            <w:pPr>
              <w:pStyle w:val="TableParagraph"/>
              <w:rPr>
                <w:sz w:val="16"/>
              </w:rPr>
            </w:pPr>
          </w:p>
        </w:tc>
      </w:tr>
      <w:tr>
        <w:trPr>
          <w:trHeight w:val="234" w:hRule="atLeast"/>
        </w:trPr>
        <w:tc>
          <w:tcPr>
            <w:tcW w:w="3672" w:type="dxa"/>
            <w:tcBorders>
              <w:top w:val="single" w:sz="4" w:space="0" w:color="000000"/>
              <w:bottom w:val="single" w:sz="4" w:space="0" w:color="000000"/>
              <w:right w:val="single" w:sz="4" w:space="0" w:color="000000"/>
            </w:tcBorders>
          </w:tcPr>
          <w:p>
            <w:pPr>
              <w:pStyle w:val="TableParagraph"/>
              <w:spacing w:line="215" w:lineRule="exact"/>
              <w:ind w:left="109"/>
              <w:rPr>
                <w:rFonts w:ascii="宋体" w:eastAsia="宋体" w:hint="eastAsia"/>
                <w:sz w:val="18"/>
              </w:rPr>
            </w:pPr>
            <w:r>
              <w:rPr>
                <w:rFonts w:ascii="宋体" w:eastAsia="宋体" w:hint="eastAsia"/>
                <w:sz w:val="18"/>
              </w:rPr>
              <w:t>（七）专项储备</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7" w:type="dxa"/>
            <w:tcBorders>
              <w:top w:val="single" w:sz="4" w:space="0" w:color="000000"/>
              <w:left w:val="single" w:sz="4" w:space="0" w:color="000000"/>
              <w:bottom w:val="single" w:sz="4" w:space="0" w:color="000000"/>
            </w:tcBorders>
          </w:tcPr>
          <w:p>
            <w:pPr>
              <w:pStyle w:val="TableParagraph"/>
              <w:rPr>
                <w:sz w:val="16"/>
              </w:rPr>
            </w:pPr>
          </w:p>
        </w:tc>
      </w:tr>
      <w:tr>
        <w:trPr>
          <w:trHeight w:val="232" w:hRule="atLeast"/>
        </w:trPr>
        <w:tc>
          <w:tcPr>
            <w:tcW w:w="3672" w:type="dxa"/>
            <w:tcBorders>
              <w:top w:val="single" w:sz="4" w:space="0" w:color="000000"/>
              <w:bottom w:val="single" w:sz="4" w:space="0" w:color="000000"/>
              <w:right w:val="single" w:sz="4" w:space="0" w:color="000000"/>
            </w:tcBorders>
          </w:tcPr>
          <w:p>
            <w:pPr>
              <w:pStyle w:val="TableParagraph"/>
              <w:spacing w:line="212" w:lineRule="exact"/>
              <w:ind w:left="109"/>
              <w:rPr>
                <w:rFonts w:ascii="宋体" w:eastAsia="宋体" w:hint="eastAsia"/>
                <w:sz w:val="18"/>
              </w:rPr>
            </w:pPr>
            <w:r>
              <w:rPr>
                <w:sz w:val="18"/>
              </w:rPr>
              <w:t>1</w:t>
            </w:r>
            <w:r>
              <w:rPr>
                <w:rFonts w:ascii="宋体" w:eastAsia="宋体" w:hint="eastAsia"/>
                <w:sz w:val="18"/>
              </w:rPr>
              <w:t>．本期提取</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7" w:type="dxa"/>
            <w:tcBorders>
              <w:top w:val="single" w:sz="4" w:space="0" w:color="000000"/>
              <w:left w:val="single" w:sz="4" w:space="0" w:color="000000"/>
              <w:bottom w:val="single" w:sz="4" w:space="0" w:color="000000"/>
            </w:tcBorders>
          </w:tcPr>
          <w:p>
            <w:pPr>
              <w:pStyle w:val="TableParagraph"/>
              <w:rPr>
                <w:sz w:val="16"/>
              </w:rPr>
            </w:pPr>
          </w:p>
        </w:tc>
      </w:tr>
      <w:tr>
        <w:trPr>
          <w:trHeight w:val="232" w:hRule="atLeast"/>
        </w:trPr>
        <w:tc>
          <w:tcPr>
            <w:tcW w:w="3672" w:type="dxa"/>
            <w:tcBorders>
              <w:top w:val="single" w:sz="4" w:space="0" w:color="000000"/>
              <w:bottom w:val="single" w:sz="4" w:space="0" w:color="000000"/>
              <w:right w:val="single" w:sz="4" w:space="0" w:color="000000"/>
            </w:tcBorders>
          </w:tcPr>
          <w:p>
            <w:pPr>
              <w:pStyle w:val="TableParagraph"/>
              <w:spacing w:line="212" w:lineRule="exact"/>
              <w:ind w:left="109"/>
              <w:rPr>
                <w:rFonts w:ascii="宋体" w:eastAsia="宋体" w:hint="eastAsia"/>
                <w:sz w:val="18"/>
              </w:rPr>
            </w:pPr>
            <w:r>
              <w:rPr>
                <w:sz w:val="18"/>
              </w:rPr>
              <w:t>2</w:t>
            </w:r>
            <w:r>
              <w:rPr>
                <w:rFonts w:ascii="宋体" w:eastAsia="宋体" w:hint="eastAsia"/>
                <w:sz w:val="18"/>
              </w:rPr>
              <w:t>．本期使用</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7" w:type="dxa"/>
            <w:tcBorders>
              <w:top w:val="single" w:sz="4" w:space="0" w:color="000000"/>
              <w:left w:val="single" w:sz="4" w:space="0" w:color="000000"/>
              <w:bottom w:val="single" w:sz="4" w:space="0" w:color="000000"/>
            </w:tcBorders>
          </w:tcPr>
          <w:p>
            <w:pPr>
              <w:pStyle w:val="TableParagraph"/>
              <w:rPr>
                <w:sz w:val="16"/>
              </w:rPr>
            </w:pPr>
          </w:p>
        </w:tc>
      </w:tr>
      <w:tr>
        <w:trPr>
          <w:trHeight w:val="234" w:hRule="atLeast"/>
        </w:trPr>
        <w:tc>
          <w:tcPr>
            <w:tcW w:w="3672" w:type="dxa"/>
            <w:tcBorders>
              <w:top w:val="single" w:sz="4" w:space="0" w:color="000000"/>
              <w:bottom w:val="single" w:sz="4" w:space="0" w:color="000000"/>
              <w:right w:val="single" w:sz="4" w:space="0" w:color="000000"/>
            </w:tcBorders>
          </w:tcPr>
          <w:p>
            <w:pPr>
              <w:pStyle w:val="TableParagraph"/>
              <w:spacing w:line="213" w:lineRule="exact" w:before="2"/>
              <w:ind w:left="109"/>
              <w:rPr>
                <w:rFonts w:ascii="宋体" w:eastAsia="宋体" w:hint="eastAsia"/>
                <w:sz w:val="18"/>
              </w:rPr>
            </w:pPr>
            <w:r>
              <w:rPr>
                <w:rFonts w:ascii="宋体" w:eastAsia="宋体" w:hint="eastAsia"/>
                <w:sz w:val="18"/>
              </w:rPr>
              <w:t>（六）其他</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9"/>
              <w:ind w:right="-29"/>
              <w:jc w:val="right"/>
              <w:rPr>
                <w:sz w:val="18"/>
              </w:rPr>
            </w:pPr>
            <w:r>
              <w:rPr>
                <w:sz w:val="18"/>
              </w:rPr>
              <w:t>-36,193,178.76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17" w:type="dxa"/>
            <w:tcBorders>
              <w:top w:val="single" w:sz="4" w:space="0" w:color="000000"/>
              <w:left w:val="single" w:sz="4" w:space="0" w:color="000000"/>
              <w:bottom w:val="single" w:sz="4" w:space="0" w:color="000000"/>
            </w:tcBorders>
          </w:tcPr>
          <w:p>
            <w:pPr>
              <w:pStyle w:val="TableParagraph"/>
              <w:spacing w:line="205" w:lineRule="exact" w:before="9"/>
              <w:ind w:right="-29"/>
              <w:jc w:val="right"/>
              <w:rPr>
                <w:sz w:val="18"/>
              </w:rPr>
            </w:pPr>
            <w:r>
              <w:rPr>
                <w:sz w:val="18"/>
              </w:rPr>
              <w:t>-36,193,178.76</w:t>
            </w:r>
          </w:p>
        </w:tc>
      </w:tr>
      <w:tr>
        <w:trPr>
          <w:trHeight w:val="231" w:hRule="atLeast"/>
        </w:trPr>
        <w:tc>
          <w:tcPr>
            <w:tcW w:w="3672" w:type="dxa"/>
            <w:tcBorders>
              <w:top w:val="single" w:sz="4" w:space="0" w:color="000000"/>
              <w:right w:val="single" w:sz="4" w:space="0" w:color="000000"/>
            </w:tcBorders>
          </w:tcPr>
          <w:p>
            <w:pPr>
              <w:pStyle w:val="TableParagraph"/>
              <w:spacing w:line="212" w:lineRule="exact"/>
              <w:ind w:left="109"/>
              <w:rPr>
                <w:rFonts w:ascii="宋体" w:eastAsia="宋体" w:hint="eastAsia"/>
                <w:sz w:val="18"/>
              </w:rPr>
            </w:pPr>
            <w:r>
              <w:rPr>
                <w:rFonts w:ascii="宋体" w:eastAsia="宋体" w:hint="eastAsia"/>
                <w:sz w:val="18"/>
              </w:rPr>
              <w:t>四、本期期末余额</w:t>
            </w:r>
          </w:p>
        </w:tc>
        <w:tc>
          <w:tcPr>
            <w:tcW w:w="1433" w:type="dxa"/>
            <w:tcBorders>
              <w:top w:val="single" w:sz="4" w:space="0" w:color="000000"/>
              <w:left w:val="single" w:sz="4" w:space="0" w:color="000000"/>
              <w:right w:val="single" w:sz="4" w:space="0" w:color="000000"/>
            </w:tcBorders>
          </w:tcPr>
          <w:p>
            <w:pPr>
              <w:pStyle w:val="TableParagraph"/>
              <w:spacing w:line="203" w:lineRule="exact" w:before="9"/>
              <w:ind w:left="182" w:right="-29"/>
              <w:rPr>
                <w:sz w:val="18"/>
              </w:rPr>
            </w:pPr>
            <w:r>
              <w:rPr>
                <w:sz w:val="18"/>
              </w:rPr>
              <w:t>6,579,566,627.00</w:t>
            </w:r>
          </w:p>
        </w:tc>
        <w:tc>
          <w:tcPr>
            <w:tcW w:w="708" w:type="dxa"/>
            <w:tcBorders>
              <w:top w:val="single" w:sz="4" w:space="0" w:color="000000"/>
              <w:left w:val="single" w:sz="4" w:space="0" w:color="000000"/>
              <w:right w:val="single" w:sz="4" w:space="0" w:color="000000"/>
            </w:tcBorders>
          </w:tcPr>
          <w:p>
            <w:pPr>
              <w:pStyle w:val="TableParagraph"/>
              <w:rPr>
                <w:sz w:val="16"/>
              </w:rPr>
            </w:pPr>
          </w:p>
        </w:tc>
        <w:tc>
          <w:tcPr>
            <w:tcW w:w="708" w:type="dxa"/>
            <w:tcBorders>
              <w:top w:val="single" w:sz="4" w:space="0" w:color="000000"/>
              <w:left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right w:val="single" w:sz="4" w:space="0" w:color="000000"/>
            </w:tcBorders>
          </w:tcPr>
          <w:p>
            <w:pPr>
              <w:pStyle w:val="TableParagraph"/>
              <w:rPr>
                <w:sz w:val="16"/>
              </w:rPr>
            </w:pPr>
          </w:p>
        </w:tc>
        <w:tc>
          <w:tcPr>
            <w:tcW w:w="1277" w:type="dxa"/>
            <w:tcBorders>
              <w:top w:val="single" w:sz="4" w:space="0" w:color="000000"/>
              <w:left w:val="single" w:sz="4" w:space="0" w:color="000000"/>
              <w:right w:val="single" w:sz="4" w:space="0" w:color="000000"/>
            </w:tcBorders>
          </w:tcPr>
          <w:p>
            <w:pPr>
              <w:pStyle w:val="TableParagraph"/>
              <w:spacing w:line="203" w:lineRule="exact" w:before="9"/>
              <w:ind w:right="-29"/>
              <w:jc w:val="right"/>
              <w:rPr>
                <w:sz w:val="18"/>
              </w:rPr>
            </w:pPr>
            <w:r>
              <w:rPr>
                <w:sz w:val="18"/>
              </w:rPr>
              <w:t>7,036,531,178.83</w:t>
            </w:r>
          </w:p>
        </w:tc>
        <w:tc>
          <w:tcPr>
            <w:tcW w:w="708" w:type="dxa"/>
            <w:tcBorders>
              <w:top w:val="single" w:sz="4" w:space="0" w:color="000000"/>
              <w:left w:val="single" w:sz="4" w:space="0" w:color="000000"/>
              <w:right w:val="single" w:sz="4" w:space="0" w:color="000000"/>
            </w:tcBorders>
          </w:tcPr>
          <w:p>
            <w:pPr>
              <w:pStyle w:val="TableParagraph"/>
              <w:rPr>
                <w:sz w:val="16"/>
              </w:rPr>
            </w:pPr>
          </w:p>
        </w:tc>
        <w:tc>
          <w:tcPr>
            <w:tcW w:w="1133" w:type="dxa"/>
            <w:tcBorders>
              <w:top w:val="single" w:sz="4" w:space="0" w:color="000000"/>
              <w:left w:val="single" w:sz="4" w:space="0" w:color="000000"/>
              <w:right w:val="single" w:sz="4" w:space="0" w:color="000000"/>
            </w:tcBorders>
          </w:tcPr>
          <w:p>
            <w:pPr>
              <w:pStyle w:val="TableParagraph"/>
              <w:spacing w:line="203" w:lineRule="exact" w:before="9"/>
              <w:ind w:left="108" w:right="-29"/>
              <w:rPr>
                <w:sz w:val="18"/>
              </w:rPr>
            </w:pPr>
            <w:r>
              <w:rPr>
                <w:sz w:val="18"/>
              </w:rPr>
              <w:t>11,077,477.45</w:t>
            </w:r>
          </w:p>
        </w:tc>
        <w:tc>
          <w:tcPr>
            <w:tcW w:w="711" w:type="dxa"/>
            <w:tcBorders>
              <w:top w:val="single" w:sz="4" w:space="0" w:color="000000"/>
              <w:left w:val="single" w:sz="4" w:space="0" w:color="000000"/>
              <w:right w:val="single" w:sz="4" w:space="0" w:color="000000"/>
            </w:tcBorders>
          </w:tcPr>
          <w:p>
            <w:pPr>
              <w:pStyle w:val="TableParagraph"/>
              <w:rPr>
                <w:sz w:val="16"/>
              </w:rPr>
            </w:pPr>
          </w:p>
        </w:tc>
        <w:tc>
          <w:tcPr>
            <w:tcW w:w="1276" w:type="dxa"/>
            <w:tcBorders>
              <w:top w:val="single" w:sz="4" w:space="0" w:color="000000"/>
              <w:left w:val="single" w:sz="4" w:space="0" w:color="000000"/>
              <w:right w:val="single" w:sz="4" w:space="0" w:color="000000"/>
            </w:tcBorders>
          </w:tcPr>
          <w:p>
            <w:pPr>
              <w:pStyle w:val="TableParagraph"/>
              <w:spacing w:line="203" w:lineRule="exact" w:before="9"/>
              <w:ind w:right="-29"/>
              <w:jc w:val="right"/>
              <w:rPr>
                <w:sz w:val="18"/>
              </w:rPr>
            </w:pPr>
            <w:r>
              <w:rPr>
                <w:sz w:val="18"/>
              </w:rPr>
              <w:t>2,050,181,180.01</w:t>
            </w:r>
          </w:p>
        </w:tc>
        <w:tc>
          <w:tcPr>
            <w:tcW w:w="1278" w:type="dxa"/>
            <w:tcBorders>
              <w:top w:val="single" w:sz="4" w:space="0" w:color="000000"/>
              <w:left w:val="single" w:sz="4" w:space="0" w:color="000000"/>
              <w:right w:val="single" w:sz="4" w:space="0" w:color="000000"/>
            </w:tcBorders>
          </w:tcPr>
          <w:p>
            <w:pPr>
              <w:pStyle w:val="TableParagraph"/>
              <w:spacing w:line="203" w:lineRule="exact" w:before="9"/>
              <w:ind w:right="-29"/>
              <w:jc w:val="right"/>
              <w:rPr>
                <w:sz w:val="18"/>
              </w:rPr>
            </w:pPr>
            <w:r>
              <w:rPr>
                <w:sz w:val="18"/>
              </w:rPr>
              <w:t>3,307,235,242.11</w:t>
            </w:r>
          </w:p>
        </w:tc>
        <w:tc>
          <w:tcPr>
            <w:tcW w:w="1417" w:type="dxa"/>
            <w:tcBorders>
              <w:top w:val="single" w:sz="4" w:space="0" w:color="000000"/>
              <w:left w:val="single" w:sz="4" w:space="0" w:color="000000"/>
            </w:tcBorders>
          </w:tcPr>
          <w:p>
            <w:pPr>
              <w:pStyle w:val="TableParagraph"/>
              <w:spacing w:line="203" w:lineRule="exact" w:before="9"/>
              <w:ind w:right="-29"/>
              <w:jc w:val="right"/>
              <w:rPr>
                <w:sz w:val="18"/>
              </w:rPr>
            </w:pPr>
            <w:r>
              <w:rPr>
                <w:sz w:val="18"/>
              </w:rPr>
              <w:t>18,984,591,705.40</w:t>
            </w:r>
          </w:p>
        </w:tc>
      </w:tr>
    </w:tbl>
    <w:p>
      <w:pPr>
        <w:pStyle w:val="BodyText"/>
        <w:spacing w:before="11"/>
        <w:rPr>
          <w:sz w:val="15"/>
        </w:rPr>
      </w:pPr>
    </w:p>
    <w:p>
      <w:pPr>
        <w:pStyle w:val="BodyText"/>
        <w:tabs>
          <w:tab w:pos="6975" w:val="left" w:leader="none"/>
          <w:tab w:pos="10652" w:val="left" w:leader="none"/>
        </w:tabs>
        <w:spacing w:before="72"/>
        <w:ind w:left="3929"/>
      </w:pPr>
      <w:r>
        <w:rPr/>
        <w:t>法定</w:t>
      </w:r>
      <w:r>
        <w:rPr>
          <w:spacing w:val="-3"/>
        </w:rPr>
        <w:t>代</w:t>
      </w:r>
      <w:r>
        <w:rPr/>
        <w:t>表</w:t>
      </w:r>
      <w:r>
        <w:rPr>
          <w:spacing w:val="-3"/>
        </w:rPr>
        <w:t>人</w:t>
      </w:r>
      <w:r>
        <w:rPr/>
        <w:t>：</w:t>
      </w:r>
      <w:r>
        <w:rPr>
          <w:spacing w:val="-3"/>
        </w:rPr>
        <w:t>梁</w:t>
      </w:r>
      <w:r>
        <w:rPr/>
        <w:t>海山</w:t>
        <w:tab/>
        <w:t>主</w:t>
      </w:r>
      <w:r>
        <w:rPr>
          <w:spacing w:val="-3"/>
        </w:rPr>
        <w:t>管</w:t>
      </w:r>
      <w:r>
        <w:rPr/>
        <w:t>会</w:t>
      </w:r>
      <w:r>
        <w:rPr>
          <w:spacing w:val="-3"/>
        </w:rPr>
        <w:t>计</w:t>
      </w:r>
      <w:r>
        <w:rPr/>
        <w:t>工</w:t>
      </w:r>
      <w:r>
        <w:rPr>
          <w:spacing w:val="-3"/>
        </w:rPr>
        <w:t>作</w:t>
      </w:r>
      <w:r>
        <w:rPr/>
        <w:t>负</w:t>
      </w:r>
      <w:r>
        <w:rPr>
          <w:spacing w:val="-3"/>
        </w:rPr>
        <w:t>责</w:t>
      </w:r>
      <w:r>
        <w:rPr/>
        <w:t>人：</w:t>
      </w:r>
      <w:r>
        <w:rPr>
          <w:spacing w:val="-3"/>
        </w:rPr>
        <w:t>宫</w:t>
      </w:r>
      <w:r>
        <w:rPr/>
        <w:t>伟</w:t>
        <w:tab/>
      </w:r>
      <w:r>
        <w:rPr>
          <w:spacing w:val="-3"/>
        </w:rPr>
        <w:t>会计</w:t>
      </w:r>
      <w:r>
        <w:rPr/>
        <w:t>机构</w:t>
      </w:r>
      <w:r>
        <w:rPr>
          <w:spacing w:val="-3"/>
        </w:rPr>
        <w:t>负</w:t>
      </w:r>
      <w:r>
        <w:rPr/>
        <w:t>责</w:t>
      </w:r>
      <w:r>
        <w:rPr>
          <w:spacing w:val="-3"/>
        </w:rPr>
        <w:t>人</w:t>
      </w:r>
      <w:r>
        <w:rPr/>
        <w:t>：</w:t>
      </w:r>
      <w:r>
        <w:rPr>
          <w:spacing w:val="-3"/>
        </w:rPr>
        <w:t>应珂</w:t>
      </w:r>
    </w:p>
    <w:p>
      <w:pPr>
        <w:spacing w:after="0"/>
        <w:sectPr>
          <w:pgSz w:w="16840" w:h="11910" w:orient="landscape"/>
          <w:pgMar w:header="876" w:footer="1214" w:top="1180" w:bottom="1400" w:left="120" w:right="860"/>
        </w:sectPr>
      </w:pPr>
    </w:p>
    <w:p>
      <w:pPr>
        <w:pStyle w:val="Heading4"/>
        <w:spacing w:line="360" w:lineRule="exact" w:before="59"/>
      </w:pPr>
      <w:r>
        <w:rPr/>
        <w:t>三、 公司基本情况</w:t>
      </w:r>
    </w:p>
    <w:p>
      <w:pPr>
        <w:pStyle w:val="Heading4"/>
        <w:numPr>
          <w:ilvl w:val="0"/>
          <w:numId w:val="29"/>
        </w:numPr>
        <w:tabs>
          <w:tab w:pos="1957" w:val="left" w:leader="none"/>
          <w:tab w:pos="1958" w:val="left" w:leader="none"/>
        </w:tabs>
        <w:spacing w:line="360" w:lineRule="exact" w:before="0" w:after="0"/>
        <w:ind w:left="1958" w:right="0" w:hanging="420"/>
        <w:jc w:val="left"/>
      </w:pPr>
      <w:r>
        <w:rPr/>
        <w:t>公司概况</w:t>
      </w:r>
    </w:p>
    <w:p>
      <w:pPr>
        <w:pStyle w:val="BodyText"/>
        <w:tabs>
          <w:tab w:pos="2805" w:val="left" w:leader="none"/>
        </w:tabs>
        <w:spacing w:before="14"/>
        <w:ind w:left="1962"/>
      </w:pPr>
      <w:r>
        <w:rPr/>
        <w:t>√适用</w:t>
        <w:tab/>
      </w:r>
      <w:r>
        <w:rPr>
          <w:spacing w:val="-3"/>
        </w:rPr>
        <w:t>□</w:t>
      </w:r>
      <w:r>
        <w:rPr/>
        <w:t>不</w:t>
      </w:r>
      <w:r>
        <w:rPr>
          <w:spacing w:val="-3"/>
        </w:rPr>
        <w:t>适</w:t>
      </w:r>
      <w:r>
        <w:rPr/>
        <w:t>用</w:t>
      </w:r>
    </w:p>
    <w:p>
      <w:pPr>
        <w:pStyle w:val="BodyText"/>
        <w:spacing w:line="364" w:lineRule="auto" w:before="5"/>
        <w:ind w:left="1538" w:right="1162" w:firstLine="419"/>
      </w:pPr>
      <w:r>
        <w:rPr>
          <w:spacing w:val="-13"/>
        </w:rPr>
        <w:t>海尔智家股份有限公司</w:t>
      </w:r>
      <w:r>
        <w:rPr>
          <w:spacing w:val="-3"/>
        </w:rPr>
        <w:t>（以下简称本公司或公司</w:t>
      </w:r>
      <w:r>
        <w:rPr>
          <w:spacing w:val="-99"/>
        </w:rPr>
        <w:t>）</w:t>
      </w:r>
      <w:r>
        <w:rPr>
          <w:spacing w:val="-3"/>
        </w:rPr>
        <w:t>的前身是成立于</w:t>
      </w:r>
      <w:r>
        <w:rPr>
          <w:rFonts w:ascii="Times New Roman" w:eastAsia="Times New Roman"/>
        </w:rPr>
        <w:t>1984</w:t>
      </w:r>
      <w:r>
        <w:rPr>
          <w:spacing w:val="-3"/>
        </w:rPr>
        <w:t>年的青岛电冰箱总厂。经中国人民银行青岛市分行</w:t>
      </w:r>
      <w:r>
        <w:rPr>
          <w:rFonts w:ascii="Times New Roman" w:eastAsia="Times New Roman"/>
        </w:rPr>
        <w:t>1989</w:t>
      </w:r>
      <w:r>
        <w:rPr/>
        <w:t>年</w:t>
      </w:r>
      <w:r>
        <w:rPr>
          <w:rFonts w:ascii="Times New Roman" w:eastAsia="Times New Roman"/>
        </w:rPr>
        <w:t>12</w:t>
      </w:r>
      <w:r>
        <w:rPr/>
        <w:t>月</w:t>
      </w:r>
      <w:r>
        <w:rPr>
          <w:rFonts w:ascii="Times New Roman" w:eastAsia="Times New Roman"/>
        </w:rPr>
        <w:t>16</w:t>
      </w:r>
      <w:r>
        <w:rPr>
          <w:spacing w:val="-4"/>
        </w:rPr>
        <w:t>日批准募股，</w:t>
      </w:r>
      <w:r>
        <w:rPr>
          <w:rFonts w:ascii="Times New Roman" w:eastAsia="Times New Roman"/>
          <w:spacing w:val="-6"/>
        </w:rPr>
        <w:t>1989</w:t>
      </w:r>
      <w:r>
        <w:rPr/>
        <w:t>年</w:t>
      </w:r>
      <w:r>
        <w:rPr>
          <w:rFonts w:ascii="Times New Roman" w:eastAsia="Times New Roman"/>
        </w:rPr>
        <w:t>3</w:t>
      </w:r>
      <w:r>
        <w:rPr>
          <w:spacing w:val="-3"/>
        </w:rPr>
        <w:t>月</w:t>
      </w:r>
      <w:r>
        <w:rPr>
          <w:rFonts w:ascii="Times New Roman" w:eastAsia="Times New Roman"/>
        </w:rPr>
        <w:t>24</w:t>
      </w:r>
      <w:r>
        <w:rPr>
          <w:spacing w:val="-3"/>
        </w:rPr>
        <w:t>日经青体改</w:t>
      </w:r>
      <w:r>
        <w:rPr>
          <w:rFonts w:ascii="Times New Roman" w:eastAsia="Times New Roman"/>
        </w:rPr>
        <w:t>[1989]3</w:t>
      </w:r>
      <w:r>
        <w:rPr>
          <w:spacing w:val="-3"/>
        </w:rPr>
        <w:t>号文批准， 在对原青岛电冰箱总厂改组的基础上，以定向募集资金</w:t>
      </w:r>
      <w:r>
        <w:rPr>
          <w:rFonts w:ascii="Times New Roman" w:eastAsia="Times New Roman"/>
        </w:rPr>
        <w:t>1.5</w:t>
      </w:r>
      <w:r>
        <w:rPr>
          <w:spacing w:val="-3"/>
        </w:rPr>
        <w:t>亿元方式设立股份有限公司。</w:t>
      </w:r>
      <w:r>
        <w:rPr>
          <w:rFonts w:ascii="Times New Roman" w:eastAsia="Times New Roman"/>
        </w:rPr>
        <w:t>1993</w:t>
      </w:r>
      <w:r>
        <w:rPr/>
        <w:t>年</w:t>
      </w:r>
      <w:r>
        <w:rPr>
          <w:rFonts w:ascii="Times New Roman" w:eastAsia="Times New Roman"/>
        </w:rPr>
        <w:t>3 </w:t>
      </w:r>
      <w:r>
        <w:rPr/>
        <w:t>月和</w:t>
      </w:r>
      <w:r>
        <w:rPr>
          <w:rFonts w:ascii="Times New Roman" w:eastAsia="Times New Roman"/>
          <w:spacing w:val="-3"/>
        </w:rPr>
        <w:t>9</w:t>
      </w:r>
      <w:r>
        <w:rPr>
          <w:spacing w:val="-5"/>
        </w:rPr>
        <w:t>月，经青岛市股份制试点工作领导小组青股领字</w:t>
      </w:r>
      <w:r>
        <w:rPr>
          <w:rFonts w:ascii="Times New Roman" w:eastAsia="Times New Roman"/>
        </w:rPr>
        <w:t>[1993]2</w:t>
      </w:r>
      <w:r>
        <w:rPr>
          <w:spacing w:val="-2"/>
        </w:rPr>
        <w:t>号文和</w:t>
      </w:r>
      <w:r>
        <w:rPr>
          <w:rFonts w:ascii="Times New Roman" w:eastAsia="Times New Roman"/>
          <w:spacing w:val="-3"/>
        </w:rPr>
        <w:t>9</w:t>
      </w:r>
      <w:r>
        <w:rPr>
          <w:spacing w:val="-5"/>
        </w:rPr>
        <w:t>号文批准，由定向募集公司转为社会募集公司，并增发社会公众股</w:t>
      </w:r>
      <w:r>
        <w:rPr>
          <w:rFonts w:ascii="Times New Roman" w:eastAsia="Times New Roman"/>
        </w:rPr>
        <w:t>5,000</w:t>
      </w:r>
      <w:r>
        <w:rPr>
          <w:spacing w:val="-5"/>
        </w:rPr>
        <w:t>万股，于</w:t>
      </w:r>
      <w:r>
        <w:rPr>
          <w:rFonts w:ascii="Times New Roman" w:eastAsia="Times New Roman"/>
        </w:rPr>
        <w:t>1993</w:t>
      </w:r>
      <w:r>
        <w:rPr/>
        <w:t>年</w:t>
      </w:r>
      <w:r>
        <w:rPr>
          <w:rFonts w:ascii="Times New Roman" w:eastAsia="Times New Roman"/>
        </w:rPr>
        <w:t>11</w:t>
      </w:r>
      <w:r>
        <w:rPr>
          <w:spacing w:val="-4"/>
        </w:rPr>
        <w:t>月在上海证券交易所上市。</w:t>
      </w:r>
      <w:r>
        <w:rPr>
          <w:rFonts w:ascii="Times New Roman" w:eastAsia="Times New Roman"/>
        </w:rPr>
        <w:t>2018</w:t>
      </w:r>
      <w:r>
        <w:rPr/>
        <w:t>年</w:t>
      </w:r>
      <w:r>
        <w:rPr>
          <w:rFonts w:ascii="Times New Roman" w:eastAsia="Times New Roman"/>
        </w:rPr>
        <w:t>10</w:t>
      </w:r>
      <w:r>
        <w:rPr>
          <w:spacing w:val="-7"/>
        </w:rPr>
        <w:t>月，本公司发行之</w:t>
      </w:r>
      <w:r>
        <w:rPr>
          <w:rFonts w:ascii="Times New Roman" w:eastAsia="Times New Roman"/>
        </w:rPr>
        <w:t>D</w:t>
      </w:r>
      <w:r>
        <w:rPr>
          <w:spacing w:val="-5"/>
        </w:rPr>
        <w:t>股在中欧国际交易所股份有限公司上市。</w:t>
      </w:r>
      <w:r>
        <w:rPr>
          <w:rFonts w:ascii="Times New Roman" w:eastAsia="Times New Roman"/>
        </w:rPr>
        <w:t>2020</w:t>
      </w:r>
      <w:r>
        <w:rPr/>
        <w:t>年</w:t>
      </w:r>
      <w:r>
        <w:rPr>
          <w:rFonts w:ascii="Times New Roman" w:eastAsia="Times New Roman"/>
        </w:rPr>
        <w:t>12</w:t>
      </w:r>
      <w:r>
        <w:rPr>
          <w:spacing w:val="-7"/>
        </w:rPr>
        <w:t>月，本公司发行之</w:t>
      </w:r>
      <w:r>
        <w:rPr>
          <w:rFonts w:ascii="Times New Roman" w:eastAsia="Times New Roman"/>
        </w:rPr>
        <w:t>H</w:t>
      </w:r>
      <w:r>
        <w:rPr>
          <w:spacing w:val="-3"/>
        </w:rPr>
        <w:t>股以介绍方式在香港联合交易所有限公司上市。</w:t>
      </w:r>
    </w:p>
    <w:p>
      <w:pPr>
        <w:pStyle w:val="BodyText"/>
        <w:spacing w:line="367" w:lineRule="auto"/>
        <w:ind w:left="1538" w:right="1277" w:firstLine="419"/>
      </w:pPr>
      <w:r>
        <w:rPr/>
        <w:t>本公司的注册地为山东省青岛市崂山区海尔工业园，总部办公地址为山东省青岛市崂山区海尔工业园。</w:t>
      </w:r>
    </w:p>
    <w:p>
      <w:pPr>
        <w:pStyle w:val="BodyText"/>
        <w:spacing w:line="364" w:lineRule="auto"/>
        <w:ind w:left="1538" w:right="1277" w:firstLine="419"/>
      </w:pPr>
      <w:r>
        <w:rPr/>
        <w:t>本公司主要从事电冰箱、空调器、电冰柜、洗衣机、热水器、洗碗机、燃气灶等家电及其相关产品生产经营研发，以及商业流通业务。</w:t>
      </w:r>
    </w:p>
    <w:p>
      <w:pPr>
        <w:pStyle w:val="BodyText"/>
        <w:spacing w:line="267" w:lineRule="exact"/>
        <w:ind w:left="1958"/>
      </w:pPr>
      <w:r>
        <w:rPr/>
        <w:t>本公司的最终控制母公司为海尔集团公司。</w:t>
      </w:r>
    </w:p>
    <w:p>
      <w:pPr>
        <w:pStyle w:val="BodyText"/>
        <w:spacing w:before="130"/>
        <w:ind w:left="1958"/>
      </w:pPr>
      <w:r>
        <w:rPr/>
        <w:t>本财务报表由本公司董事会于</w:t>
      </w:r>
      <w:r>
        <w:rPr>
          <w:rFonts w:ascii="Times New Roman" w:eastAsia="Times New Roman"/>
        </w:rPr>
        <w:t>2021</w:t>
      </w:r>
      <w:r>
        <w:rPr/>
        <w:t>年</w:t>
      </w:r>
      <w:r>
        <w:rPr>
          <w:rFonts w:ascii="Times New Roman" w:eastAsia="Times New Roman"/>
        </w:rPr>
        <w:t>3</w:t>
      </w:r>
      <w:r>
        <w:rPr/>
        <w:t>月</w:t>
      </w:r>
      <w:r>
        <w:rPr>
          <w:rFonts w:ascii="Times New Roman" w:eastAsia="Times New Roman"/>
        </w:rPr>
        <w:t>30</w:t>
      </w:r>
      <w:r>
        <w:rPr/>
        <w:t>日批准报出。</w:t>
      </w:r>
    </w:p>
    <w:p>
      <w:pPr>
        <w:pStyle w:val="BodyText"/>
        <w:rPr>
          <w:sz w:val="29"/>
        </w:rPr>
      </w:pPr>
    </w:p>
    <w:p>
      <w:pPr>
        <w:pStyle w:val="Heading4"/>
        <w:numPr>
          <w:ilvl w:val="0"/>
          <w:numId w:val="29"/>
        </w:numPr>
        <w:tabs>
          <w:tab w:pos="1957" w:val="left" w:leader="none"/>
          <w:tab w:pos="1958" w:val="left" w:leader="none"/>
        </w:tabs>
        <w:spacing w:line="240" w:lineRule="auto" w:before="1" w:after="0"/>
        <w:ind w:left="1958" w:right="0" w:hanging="420"/>
        <w:jc w:val="left"/>
      </w:pPr>
      <w:r>
        <w:rPr/>
        <w:t>合并财务报表范围</w:t>
      </w:r>
    </w:p>
    <w:p>
      <w:pPr>
        <w:pStyle w:val="BodyText"/>
        <w:tabs>
          <w:tab w:pos="2805" w:val="left" w:leader="none"/>
        </w:tabs>
        <w:spacing w:before="16"/>
        <w:ind w:left="1962"/>
      </w:pPr>
      <w:r>
        <w:rPr/>
        <w:t>√适用</w:t>
        <w:tab/>
      </w:r>
      <w:r>
        <w:rPr>
          <w:spacing w:val="-3"/>
        </w:rPr>
        <w:t>□</w:t>
      </w:r>
      <w:r>
        <w:rPr/>
        <w:t>不</w:t>
      </w:r>
      <w:r>
        <w:rPr>
          <w:spacing w:val="-3"/>
        </w:rPr>
        <w:t>适</w:t>
      </w:r>
      <w:r>
        <w:rPr/>
        <w:t>用</w:t>
      </w:r>
    </w:p>
    <w:p>
      <w:pPr>
        <w:pStyle w:val="BodyText"/>
        <w:spacing w:line="244" w:lineRule="auto" w:before="3"/>
        <w:ind w:left="1538" w:right="1214" w:firstLine="424"/>
      </w:pPr>
      <w:r>
        <w:rPr/>
        <w:t>本期合并财务报表范围变化情况详见本附注</w:t>
      </w:r>
      <w:r>
        <w:rPr>
          <w:rFonts w:ascii="Times New Roman" w:hAnsi="Times New Roman" w:eastAsia="Times New Roman"/>
        </w:rPr>
        <w:t>“</w:t>
      </w:r>
      <w:r>
        <w:rPr/>
        <w:t>八、合并范围的变更</w:t>
      </w:r>
      <w:r>
        <w:rPr>
          <w:rFonts w:ascii="Times New Roman" w:hAnsi="Times New Roman" w:eastAsia="Times New Roman"/>
        </w:rPr>
        <w:t>”</w:t>
      </w:r>
      <w:r>
        <w:rPr/>
        <w:t>和</w:t>
      </w:r>
      <w:r>
        <w:rPr>
          <w:rFonts w:ascii="Times New Roman" w:hAnsi="Times New Roman" w:eastAsia="Times New Roman"/>
        </w:rPr>
        <w:t>“</w:t>
      </w:r>
      <w:r>
        <w:rPr/>
        <w:t>九、在其他主体中的权益</w:t>
      </w:r>
      <w:r>
        <w:rPr>
          <w:rFonts w:ascii="Times New Roman" w:hAnsi="Times New Roman" w:eastAsia="Times New Roman"/>
        </w:rPr>
        <w:t>”</w:t>
      </w:r>
      <w:r>
        <w:rPr/>
        <w:t>。</w:t>
      </w:r>
    </w:p>
    <w:p>
      <w:pPr>
        <w:pStyle w:val="BodyText"/>
        <w:spacing w:before="11"/>
        <w:rPr>
          <w:sz w:val="17"/>
        </w:rPr>
      </w:pPr>
    </w:p>
    <w:p>
      <w:pPr>
        <w:pStyle w:val="Heading4"/>
        <w:spacing w:line="359" w:lineRule="exact"/>
      </w:pPr>
      <w:r>
        <w:rPr/>
        <w:t>四、 财务报表的编制基础</w:t>
      </w:r>
    </w:p>
    <w:p>
      <w:pPr>
        <w:pStyle w:val="Heading4"/>
        <w:numPr>
          <w:ilvl w:val="0"/>
          <w:numId w:val="30"/>
        </w:numPr>
        <w:tabs>
          <w:tab w:pos="1962" w:val="left" w:leader="none"/>
          <w:tab w:pos="1963" w:val="left" w:leader="none"/>
        </w:tabs>
        <w:spacing w:line="359" w:lineRule="exact" w:before="0" w:after="0"/>
        <w:ind w:left="1962" w:right="0" w:hanging="425"/>
        <w:jc w:val="left"/>
      </w:pPr>
      <w:r>
        <w:rPr/>
        <w:t>编制基础</w:t>
      </w:r>
    </w:p>
    <w:p>
      <w:pPr>
        <w:pStyle w:val="BodyText"/>
        <w:spacing w:line="364" w:lineRule="auto" w:before="17"/>
        <w:ind w:left="1538" w:right="1268" w:firstLine="419"/>
      </w:pPr>
      <w:r>
        <w:rPr>
          <w:spacing w:val="-3"/>
        </w:rPr>
        <w:t>本公司财务报表以持续经营为基础，根据实际发生的交易和事项，按照财政部颁布的《企业会计准则</w:t>
      </w:r>
      <w:r>
        <w:rPr>
          <w:rFonts w:ascii="Times New Roman" w:hAnsi="Times New Roman" w:eastAsia="Times New Roman"/>
          <w:spacing w:val="-4"/>
        </w:rPr>
        <w:t>-</w:t>
      </w:r>
      <w:r>
        <w:rPr>
          <w:spacing w:val="-9"/>
        </w:rPr>
        <w:t>基本准则》、具体会计准则和其后颁布的企业会计准则应用指南、企业会计准则解释及</w:t>
      </w:r>
      <w:r>
        <w:rPr>
          <w:spacing w:val="-5"/>
        </w:rPr>
        <w:t>其他相关规定</w:t>
      </w:r>
      <w:r>
        <w:rPr>
          <w:spacing w:val="-3"/>
        </w:rPr>
        <w:t>（以下简称</w:t>
      </w:r>
      <w:r>
        <w:rPr>
          <w:rFonts w:ascii="Times New Roman" w:hAnsi="Times New Roman" w:eastAsia="Times New Roman"/>
          <w:spacing w:val="-3"/>
        </w:rPr>
        <w:t>“</w:t>
      </w:r>
      <w:r>
        <w:rPr>
          <w:spacing w:val="-2"/>
        </w:rPr>
        <w:t>企业会计准则</w:t>
      </w:r>
      <w:r>
        <w:rPr>
          <w:rFonts w:ascii="Times New Roman" w:hAnsi="Times New Roman" w:eastAsia="Times New Roman"/>
        </w:rPr>
        <w:t>”</w:t>
      </w:r>
      <w:r>
        <w:rPr/>
        <w:t>）</w:t>
      </w:r>
      <w:r>
        <w:rPr>
          <w:spacing w:val="-3"/>
        </w:rPr>
        <w:t>以及中国证券监督管理委员会《公开发行证券的公司信息披露编报规则第</w:t>
      </w:r>
      <w:r>
        <w:rPr>
          <w:rFonts w:ascii="Times New Roman" w:hAnsi="Times New Roman" w:eastAsia="Times New Roman"/>
        </w:rPr>
        <w:t>15</w:t>
      </w:r>
      <w:r>
        <w:rPr>
          <w:spacing w:val="-3"/>
        </w:rPr>
        <w:t>号</w:t>
      </w:r>
      <w:r>
        <w:rPr>
          <w:rFonts w:ascii="Times New Roman" w:hAnsi="Times New Roman" w:eastAsia="Times New Roman"/>
        </w:rPr>
        <w:t>——</w:t>
      </w:r>
      <w:r>
        <w:rPr>
          <w:spacing w:val="-3"/>
        </w:rPr>
        <w:t>财务报告的一般规定》</w:t>
      </w:r>
      <w:r>
        <w:rPr>
          <w:rFonts w:ascii="Times New Roman" w:hAnsi="Times New Roman" w:eastAsia="Times New Roman"/>
        </w:rPr>
        <w:t>(2014</w:t>
      </w:r>
      <w:r>
        <w:rPr>
          <w:spacing w:val="-2"/>
        </w:rPr>
        <w:t>年修订</w:t>
      </w:r>
      <w:r>
        <w:rPr>
          <w:rFonts w:ascii="Times New Roman" w:hAnsi="Times New Roman" w:eastAsia="Times New Roman"/>
        </w:rPr>
        <w:t>)</w:t>
      </w:r>
      <w:r>
        <w:rPr>
          <w:spacing w:val="-3"/>
        </w:rPr>
        <w:t>的披露规定，并基于以下所述重要会计政策、会计估计进行编制。</w:t>
      </w:r>
    </w:p>
    <w:p>
      <w:pPr>
        <w:pStyle w:val="BodyText"/>
        <w:spacing w:before="5"/>
        <w:rPr>
          <w:sz w:val="27"/>
        </w:rPr>
      </w:pPr>
    </w:p>
    <w:p>
      <w:pPr>
        <w:pStyle w:val="Heading4"/>
        <w:numPr>
          <w:ilvl w:val="0"/>
          <w:numId w:val="30"/>
        </w:numPr>
        <w:tabs>
          <w:tab w:pos="1962" w:val="left" w:leader="none"/>
          <w:tab w:pos="1963" w:val="left" w:leader="none"/>
        </w:tabs>
        <w:spacing w:line="240" w:lineRule="auto" w:before="0" w:after="0"/>
        <w:ind w:left="1962" w:right="0" w:hanging="425"/>
        <w:jc w:val="left"/>
      </w:pPr>
      <w:r>
        <w:rPr/>
        <w:t>持续经营</w:t>
      </w:r>
    </w:p>
    <w:p>
      <w:pPr>
        <w:pStyle w:val="BodyText"/>
        <w:tabs>
          <w:tab w:pos="2805" w:val="left" w:leader="none"/>
        </w:tabs>
        <w:spacing w:before="151"/>
        <w:ind w:left="1962"/>
      </w:pPr>
      <w:r>
        <w:rPr/>
        <w:t>√适用</w:t>
        <w:tab/>
      </w:r>
      <w:r>
        <w:rPr>
          <w:spacing w:val="-3"/>
        </w:rPr>
        <w:t>□</w:t>
      </w:r>
      <w:r>
        <w:rPr/>
        <w:t>不</w:t>
      </w:r>
      <w:r>
        <w:rPr>
          <w:spacing w:val="-3"/>
        </w:rPr>
        <w:t>适</w:t>
      </w:r>
      <w:r>
        <w:rPr/>
        <w:t>用</w:t>
      </w:r>
    </w:p>
    <w:p>
      <w:pPr>
        <w:pStyle w:val="BodyText"/>
        <w:spacing w:before="139"/>
        <w:ind w:left="1958"/>
      </w:pPr>
      <w:r>
        <w:rPr/>
        <w:t>公司自本报告期末至少</w:t>
      </w:r>
      <w:r>
        <w:rPr>
          <w:rFonts w:ascii="Times New Roman" w:eastAsia="Times New Roman"/>
        </w:rPr>
        <w:t>12</w:t>
      </w:r>
      <w:r>
        <w:rPr/>
        <w:t>个月内具备持续经营能力，无影响持续经营能力的重大事项。</w:t>
      </w:r>
    </w:p>
    <w:p>
      <w:pPr>
        <w:pStyle w:val="BodyText"/>
        <w:rPr>
          <w:sz w:val="22"/>
        </w:rPr>
      </w:pPr>
    </w:p>
    <w:p>
      <w:pPr>
        <w:pStyle w:val="BodyText"/>
        <w:spacing w:before="5"/>
        <w:rPr>
          <w:sz w:val="16"/>
        </w:rPr>
      </w:pPr>
    </w:p>
    <w:p>
      <w:pPr>
        <w:spacing w:line="336" w:lineRule="auto" w:before="0"/>
        <w:ind w:left="1538" w:right="7100" w:firstLine="0"/>
        <w:jc w:val="left"/>
        <w:rPr>
          <w:sz w:val="21"/>
        </w:rPr>
      </w:pPr>
      <w:r>
        <w:rPr>
          <w:rFonts w:ascii="Microsoft JhengHei" w:eastAsia="Microsoft JhengHei" w:hint="eastAsia"/>
          <w:b/>
          <w:sz w:val="21"/>
        </w:rPr>
        <w:t>五、 重要会计政策及会计估计</w:t>
      </w:r>
      <w:r>
        <w:rPr>
          <w:sz w:val="21"/>
        </w:rPr>
        <w:t>具体会计政策和会计估计提示：</w:t>
      </w:r>
    </w:p>
    <w:p>
      <w:pPr>
        <w:spacing w:after="0" w:line="336" w:lineRule="auto"/>
        <w:jc w:val="left"/>
        <w:rPr>
          <w:sz w:val="21"/>
        </w:rPr>
        <w:sectPr>
          <w:headerReference w:type="default" r:id="rId87"/>
          <w:footerReference w:type="default" r:id="rId88"/>
          <w:pgSz w:w="11910" w:h="16840"/>
          <w:pgMar w:header="876" w:footer="1208" w:top="1440" w:bottom="1400" w:left="260" w:right="0"/>
          <w:pgNumType w:start="4"/>
        </w:sectPr>
      </w:pPr>
    </w:p>
    <w:p>
      <w:pPr>
        <w:pStyle w:val="BodyText"/>
        <w:spacing w:before="68"/>
        <w:ind w:left="1538"/>
      </w:pPr>
      <w:r>
        <w:rPr/>
        <w:t>√适用 □不适用</w:t>
      </w:r>
    </w:p>
    <w:p>
      <w:pPr>
        <w:pStyle w:val="BodyText"/>
        <w:spacing w:line="364" w:lineRule="auto" w:before="142"/>
        <w:ind w:left="1538" w:right="1273" w:firstLine="424"/>
      </w:pPr>
      <w:r>
        <w:rPr/>
        <w:t>本公司根据生产经营特点确定具体会计政策和会计估计，主要体现在应收款项坏账准备的计提方法</w:t>
      </w:r>
      <w:r>
        <w:rPr>
          <w:rFonts w:ascii="Times New Roman" w:eastAsia="Times New Roman"/>
        </w:rPr>
        <w:t>(</w:t>
      </w:r>
      <w:r>
        <w:rPr/>
        <w:t>附注五、</w:t>
      </w:r>
      <w:r>
        <w:rPr>
          <w:rFonts w:ascii="Times New Roman" w:eastAsia="Times New Roman"/>
        </w:rPr>
        <w:t>10)</w:t>
      </w:r>
      <w:r>
        <w:rPr/>
        <w:t>；存货的计价方法</w:t>
      </w:r>
      <w:r>
        <w:rPr>
          <w:rFonts w:ascii="Times New Roman" w:eastAsia="Times New Roman"/>
        </w:rPr>
        <w:t>(</w:t>
      </w:r>
      <w:r>
        <w:rPr/>
        <w:t>附注五、</w:t>
      </w:r>
      <w:r>
        <w:rPr>
          <w:rFonts w:ascii="Times New Roman" w:eastAsia="Times New Roman"/>
        </w:rPr>
        <w:t>11)</w:t>
      </w:r>
      <w:r>
        <w:rPr/>
        <w:t>；投资性房地产折旧和摊销</w:t>
      </w:r>
      <w:r>
        <w:rPr>
          <w:rFonts w:ascii="Times New Roman" w:eastAsia="Times New Roman"/>
        </w:rPr>
        <w:t>(</w:t>
      </w:r>
      <w:r>
        <w:rPr/>
        <w:t>附注五、</w:t>
      </w:r>
      <w:r>
        <w:rPr>
          <w:rFonts w:ascii="Times New Roman" w:eastAsia="Times New Roman"/>
        </w:rPr>
        <w:t>13)</w:t>
      </w:r>
      <w:r>
        <w:rPr/>
        <w:t>；固定资产折旧</w:t>
      </w:r>
      <w:r>
        <w:rPr>
          <w:rFonts w:ascii="Times New Roman" w:eastAsia="Times New Roman"/>
        </w:rPr>
        <w:t>(</w:t>
      </w:r>
      <w:r>
        <w:rPr/>
        <w:t>附注五、</w:t>
      </w:r>
      <w:r>
        <w:rPr>
          <w:rFonts w:ascii="Times New Roman" w:eastAsia="Times New Roman"/>
        </w:rPr>
        <w:t>14)</w:t>
      </w:r>
      <w:r>
        <w:rPr/>
        <w:t>；无形资产摊销</w:t>
      </w:r>
      <w:r>
        <w:rPr>
          <w:rFonts w:ascii="Times New Roman" w:eastAsia="Times New Roman"/>
        </w:rPr>
        <w:t>(</w:t>
      </w:r>
      <w:r>
        <w:rPr/>
        <w:t>附注五、</w:t>
      </w:r>
      <w:r>
        <w:rPr>
          <w:rFonts w:ascii="Times New Roman" w:eastAsia="Times New Roman"/>
        </w:rPr>
        <w:t>18)</w:t>
      </w:r>
      <w:r>
        <w:rPr/>
        <w:t>；长期资产发生减值的判断标准</w:t>
      </w:r>
      <w:r>
        <w:rPr>
          <w:rFonts w:ascii="Times New Roman" w:eastAsia="Times New Roman"/>
        </w:rPr>
        <w:t>(</w:t>
      </w:r>
      <w:r>
        <w:rPr/>
        <w:t>附注五、</w:t>
      </w:r>
      <w:r>
        <w:rPr>
          <w:rFonts w:ascii="Times New Roman" w:eastAsia="Times New Roman"/>
        </w:rPr>
        <w:t>19)</w:t>
      </w:r>
      <w:r>
        <w:rPr/>
        <w:t>；收入的确认时点</w:t>
      </w:r>
      <w:r>
        <w:rPr>
          <w:rFonts w:ascii="Times New Roman" w:eastAsia="Times New Roman"/>
        </w:rPr>
        <w:t>(</w:t>
      </w:r>
      <w:r>
        <w:rPr/>
        <w:t>附注五、</w:t>
      </w:r>
      <w:r>
        <w:rPr>
          <w:rFonts w:ascii="Times New Roman" w:eastAsia="Times New Roman"/>
        </w:rPr>
        <w:t>25)</w:t>
      </w:r>
      <w:r>
        <w:rPr/>
        <w:t>等。</w:t>
      </w:r>
    </w:p>
    <w:p>
      <w:pPr>
        <w:pStyle w:val="BodyText"/>
        <w:spacing w:before="11"/>
        <w:rPr>
          <w:sz w:val="17"/>
        </w:rPr>
      </w:pPr>
    </w:p>
    <w:p>
      <w:pPr>
        <w:pStyle w:val="Heading4"/>
        <w:numPr>
          <w:ilvl w:val="0"/>
          <w:numId w:val="31"/>
        </w:numPr>
        <w:tabs>
          <w:tab w:pos="1962" w:val="left" w:leader="none"/>
          <w:tab w:pos="1963" w:val="left" w:leader="none"/>
        </w:tabs>
        <w:spacing w:line="240" w:lineRule="auto" w:before="0" w:after="0"/>
        <w:ind w:left="1962" w:right="0" w:hanging="425"/>
        <w:jc w:val="left"/>
      </w:pPr>
      <w:r>
        <w:rPr>
          <w:spacing w:val="-1"/>
        </w:rPr>
        <w:t>遵循企业会计准则的声明</w:t>
      </w:r>
    </w:p>
    <w:p>
      <w:pPr>
        <w:pStyle w:val="BodyText"/>
        <w:spacing w:before="151"/>
        <w:ind w:left="1962"/>
        <w:rPr>
          <w:rFonts w:ascii="Times New Roman" w:eastAsia="Times New Roman"/>
        </w:rPr>
      </w:pPr>
      <w:r>
        <w:rPr/>
        <w:t>本公司所编制的财务报表符合企业会计准则的要求，真实、完整地反映了本公司 </w:t>
      </w:r>
      <w:r>
        <w:rPr>
          <w:rFonts w:ascii="Times New Roman" w:eastAsia="Times New Roman"/>
        </w:rPr>
        <w:t>2020 </w:t>
      </w:r>
      <w:r>
        <w:rPr/>
        <w:t>年 </w:t>
      </w:r>
      <w:r>
        <w:rPr>
          <w:rFonts w:ascii="Times New Roman" w:eastAsia="Times New Roman"/>
        </w:rPr>
        <w:t>12</w:t>
      </w:r>
    </w:p>
    <w:p>
      <w:pPr>
        <w:pStyle w:val="BodyText"/>
        <w:spacing w:before="142"/>
        <w:ind w:left="1538"/>
      </w:pPr>
      <w:r>
        <w:rPr/>
        <w:t>月 </w:t>
      </w:r>
      <w:r>
        <w:rPr>
          <w:rFonts w:ascii="Times New Roman" w:eastAsia="Times New Roman"/>
        </w:rPr>
        <w:t>31 </w:t>
      </w:r>
      <w:r>
        <w:rPr/>
        <w:t>日的财务状况、</w:t>
      </w:r>
      <w:r>
        <w:rPr>
          <w:rFonts w:ascii="Times New Roman" w:eastAsia="Times New Roman"/>
        </w:rPr>
        <w:t>2020 </w:t>
      </w:r>
      <w:r>
        <w:rPr/>
        <w:t>年的经营成果和现金流量等相关信息。</w:t>
      </w:r>
    </w:p>
    <w:p>
      <w:pPr>
        <w:pStyle w:val="BodyText"/>
        <w:rPr>
          <w:sz w:val="22"/>
        </w:rPr>
      </w:pPr>
    </w:p>
    <w:p>
      <w:pPr>
        <w:pStyle w:val="BodyText"/>
        <w:spacing w:before="5"/>
        <w:rPr>
          <w:sz w:val="16"/>
        </w:rPr>
      </w:pPr>
    </w:p>
    <w:p>
      <w:pPr>
        <w:pStyle w:val="Heading4"/>
        <w:numPr>
          <w:ilvl w:val="0"/>
          <w:numId w:val="31"/>
        </w:numPr>
        <w:tabs>
          <w:tab w:pos="1962" w:val="left" w:leader="none"/>
          <w:tab w:pos="1963" w:val="left" w:leader="none"/>
        </w:tabs>
        <w:spacing w:line="240" w:lineRule="auto" w:before="0" w:after="0"/>
        <w:ind w:left="1962" w:right="0" w:hanging="425"/>
        <w:jc w:val="left"/>
      </w:pPr>
      <w:r>
        <w:rPr/>
        <w:t>会计期间</w:t>
      </w:r>
    </w:p>
    <w:p>
      <w:pPr>
        <w:pStyle w:val="BodyText"/>
        <w:spacing w:before="151"/>
        <w:ind w:left="1962"/>
      </w:pPr>
      <w:r>
        <w:rPr/>
        <w:t>本公司会计年度自公历 </w:t>
      </w:r>
      <w:r>
        <w:rPr>
          <w:rFonts w:ascii="Times New Roman" w:eastAsia="Times New Roman"/>
        </w:rPr>
        <w:t>1 </w:t>
      </w:r>
      <w:r>
        <w:rPr/>
        <w:t>月 </w:t>
      </w:r>
      <w:r>
        <w:rPr>
          <w:rFonts w:ascii="Times New Roman" w:eastAsia="Times New Roman"/>
        </w:rPr>
        <w:t>1 </w:t>
      </w:r>
      <w:r>
        <w:rPr/>
        <w:t>日起至 </w:t>
      </w:r>
      <w:r>
        <w:rPr>
          <w:rFonts w:ascii="Times New Roman" w:eastAsia="Times New Roman"/>
        </w:rPr>
        <w:t>12 </w:t>
      </w:r>
      <w:r>
        <w:rPr/>
        <w:t>月 </w:t>
      </w:r>
      <w:r>
        <w:rPr>
          <w:rFonts w:ascii="Times New Roman" w:eastAsia="Times New Roman"/>
        </w:rPr>
        <w:t>31 </w:t>
      </w:r>
      <w:r>
        <w:rPr/>
        <w:t>日止。</w:t>
      </w:r>
    </w:p>
    <w:p>
      <w:pPr>
        <w:pStyle w:val="BodyText"/>
        <w:rPr>
          <w:sz w:val="22"/>
        </w:rPr>
      </w:pPr>
    </w:p>
    <w:p>
      <w:pPr>
        <w:pStyle w:val="BodyText"/>
        <w:spacing w:before="5"/>
        <w:rPr>
          <w:sz w:val="16"/>
        </w:rPr>
      </w:pPr>
    </w:p>
    <w:p>
      <w:pPr>
        <w:pStyle w:val="Heading4"/>
        <w:numPr>
          <w:ilvl w:val="0"/>
          <w:numId w:val="31"/>
        </w:numPr>
        <w:tabs>
          <w:tab w:pos="1962" w:val="left" w:leader="none"/>
          <w:tab w:pos="1963" w:val="left" w:leader="none"/>
        </w:tabs>
        <w:spacing w:line="240" w:lineRule="auto" w:before="1" w:after="0"/>
        <w:ind w:left="1962" w:right="0" w:hanging="425"/>
        <w:jc w:val="left"/>
      </w:pPr>
      <w:r>
        <w:rPr/>
        <w:t>营业周期</w:t>
      </w:r>
    </w:p>
    <w:p>
      <w:pPr>
        <w:pStyle w:val="BodyText"/>
        <w:tabs>
          <w:tab w:pos="2805" w:val="left" w:leader="none"/>
        </w:tabs>
        <w:spacing w:before="151"/>
        <w:ind w:left="1962"/>
      </w:pPr>
      <w:r>
        <w:rPr/>
        <w:t>√适用</w:t>
        <w:tab/>
      </w:r>
      <w:r>
        <w:rPr>
          <w:spacing w:val="-3"/>
        </w:rPr>
        <w:t>□</w:t>
      </w:r>
      <w:r>
        <w:rPr/>
        <w:t>不</w:t>
      </w:r>
      <w:r>
        <w:rPr>
          <w:spacing w:val="-3"/>
        </w:rPr>
        <w:t>适</w:t>
      </w:r>
      <w:r>
        <w:rPr/>
        <w:t>用</w:t>
      </w:r>
    </w:p>
    <w:p>
      <w:pPr>
        <w:pStyle w:val="BodyText"/>
        <w:spacing w:before="139"/>
        <w:ind w:left="1962"/>
      </w:pPr>
      <w:r>
        <w:rPr/>
        <w:t>本公司以 </w:t>
      </w:r>
      <w:r>
        <w:rPr>
          <w:rFonts w:ascii="Times New Roman" w:eastAsia="Times New Roman"/>
        </w:rPr>
        <w:t>12 </w:t>
      </w:r>
      <w:r>
        <w:rPr/>
        <w:t>个月作为一个营业周期，并以其作为资产和负债的流动性划分标准。</w:t>
      </w:r>
    </w:p>
    <w:p>
      <w:pPr>
        <w:pStyle w:val="BodyText"/>
        <w:rPr>
          <w:sz w:val="22"/>
        </w:rPr>
      </w:pPr>
    </w:p>
    <w:p>
      <w:pPr>
        <w:pStyle w:val="BodyText"/>
        <w:spacing w:before="7"/>
        <w:rPr>
          <w:sz w:val="16"/>
        </w:rPr>
      </w:pPr>
    </w:p>
    <w:p>
      <w:pPr>
        <w:pStyle w:val="Heading4"/>
        <w:numPr>
          <w:ilvl w:val="0"/>
          <w:numId w:val="31"/>
        </w:numPr>
        <w:tabs>
          <w:tab w:pos="1962" w:val="left" w:leader="none"/>
          <w:tab w:pos="1963" w:val="left" w:leader="none"/>
        </w:tabs>
        <w:spacing w:line="240" w:lineRule="auto" w:before="0" w:after="0"/>
        <w:ind w:left="1962" w:right="0" w:hanging="425"/>
        <w:jc w:val="left"/>
      </w:pPr>
      <w:r>
        <w:rPr/>
        <w:t>记账本位币</w:t>
      </w:r>
    </w:p>
    <w:p>
      <w:pPr>
        <w:pStyle w:val="BodyText"/>
        <w:spacing w:before="152"/>
        <w:ind w:left="1962"/>
      </w:pPr>
      <w:r>
        <w:rPr/>
        <w:t>本公司的记账本位币为人民币。</w:t>
      </w:r>
    </w:p>
    <w:p>
      <w:pPr>
        <w:pStyle w:val="BodyText"/>
        <w:rPr>
          <w:sz w:val="20"/>
        </w:rPr>
      </w:pPr>
    </w:p>
    <w:p>
      <w:pPr>
        <w:pStyle w:val="BodyText"/>
        <w:spacing w:before="5"/>
        <w:rPr>
          <w:sz w:val="18"/>
        </w:rPr>
      </w:pPr>
    </w:p>
    <w:p>
      <w:pPr>
        <w:pStyle w:val="Heading4"/>
        <w:numPr>
          <w:ilvl w:val="0"/>
          <w:numId w:val="31"/>
        </w:numPr>
        <w:tabs>
          <w:tab w:pos="1962" w:val="left" w:leader="none"/>
          <w:tab w:pos="1963" w:val="left" w:leader="none"/>
        </w:tabs>
        <w:spacing w:line="240" w:lineRule="auto" w:before="0" w:after="0"/>
        <w:ind w:left="1962" w:right="0" w:hanging="425"/>
        <w:jc w:val="left"/>
      </w:pPr>
      <w:r>
        <w:rPr>
          <w:spacing w:val="-3"/>
        </w:rPr>
        <w:t>同一控制下和非同一控制下企业合并的会计处理方法</w:t>
      </w:r>
    </w:p>
    <w:p>
      <w:pPr>
        <w:pStyle w:val="BodyText"/>
        <w:tabs>
          <w:tab w:pos="2805" w:val="left" w:leader="none"/>
        </w:tabs>
        <w:spacing w:before="151"/>
        <w:ind w:left="1962"/>
      </w:pPr>
      <w:r>
        <w:rPr/>
        <w:t>√适用</w:t>
        <w:tab/>
      </w:r>
      <w:r>
        <w:rPr>
          <w:spacing w:val="-3"/>
        </w:rPr>
        <w:t>□</w:t>
      </w:r>
      <w:r>
        <w:rPr/>
        <w:t>不</w:t>
      </w:r>
      <w:r>
        <w:rPr>
          <w:spacing w:val="-3"/>
        </w:rPr>
        <w:t>适</w:t>
      </w:r>
      <w:r>
        <w:rPr/>
        <w:t>用</w:t>
      </w:r>
    </w:p>
    <w:p>
      <w:pPr>
        <w:pStyle w:val="BodyText"/>
        <w:spacing w:line="367" w:lineRule="auto" w:before="139"/>
        <w:ind w:left="1538" w:right="1337" w:firstLine="359"/>
      </w:pPr>
      <w:r>
        <w:rPr/>
        <w:t>企业合并，是指将两个或两个以上单独的企业合并形成一个报告主体的交易或事项。企业合并分为同一控制下企业合并和非同一控制下企业合并。</w:t>
      </w:r>
    </w:p>
    <w:p>
      <w:pPr>
        <w:pStyle w:val="ListParagraph"/>
        <w:numPr>
          <w:ilvl w:val="1"/>
          <w:numId w:val="31"/>
        </w:numPr>
        <w:tabs>
          <w:tab w:pos="2427" w:val="left" w:leader="none"/>
        </w:tabs>
        <w:spacing w:line="240" w:lineRule="auto" w:before="168" w:after="0"/>
        <w:ind w:left="2427" w:right="0" w:hanging="529"/>
        <w:jc w:val="left"/>
        <w:rPr>
          <w:sz w:val="19"/>
        </w:rPr>
      </w:pPr>
      <w:r>
        <w:rPr>
          <w:spacing w:val="-3"/>
          <w:sz w:val="21"/>
        </w:rPr>
        <w:t>同一控制下的企业合并</w:t>
      </w:r>
    </w:p>
    <w:p>
      <w:pPr>
        <w:pStyle w:val="BodyText"/>
        <w:spacing w:before="6"/>
        <w:rPr>
          <w:sz w:val="16"/>
        </w:rPr>
      </w:pPr>
    </w:p>
    <w:p>
      <w:pPr>
        <w:pStyle w:val="BodyText"/>
        <w:spacing w:line="427" w:lineRule="auto"/>
        <w:ind w:left="1538" w:right="1277" w:firstLine="359"/>
        <w:jc w:val="both"/>
      </w:pPr>
      <w:r>
        <w:rPr/>
        <w:t>参与合并的企业在合并前后均受同一方或相同的多方最终控制且该控制并非暂时性的，为同一控制下的企业合并。同一控制下的企业合并，在合并日取得对其他参与合并企业控制权的一方为合并方，参与合并的其他企业为被合并方。合并日，是指合并方实际取得对被合并方控制权的日期。</w:t>
      </w:r>
    </w:p>
    <w:p>
      <w:pPr>
        <w:pStyle w:val="BodyText"/>
        <w:spacing w:line="427" w:lineRule="auto" w:before="5"/>
        <w:ind w:left="1538" w:right="1277" w:firstLine="359"/>
      </w:pPr>
      <w:r>
        <w:rPr/>
        <w:t>同一控制下企业合并形成的长期股权投资合并方以支付现金、转让非现金资产或承担债务方式作为合并对价的，本公司在合并日按照所取得的被合并方在最终控制方合并财务报表中的净资</w:t>
      </w:r>
    </w:p>
    <w:p>
      <w:pPr>
        <w:spacing w:after="0" w:line="427" w:lineRule="auto"/>
        <w:sectPr>
          <w:pgSz w:w="11910" w:h="16840"/>
          <w:pgMar w:header="876" w:footer="1208" w:top="1440" w:bottom="1400" w:left="260" w:right="0"/>
        </w:sectPr>
      </w:pPr>
    </w:p>
    <w:p>
      <w:pPr>
        <w:pStyle w:val="BodyText"/>
        <w:spacing w:before="3"/>
        <w:rPr>
          <w:sz w:val="13"/>
        </w:rPr>
      </w:pPr>
    </w:p>
    <w:p>
      <w:pPr>
        <w:pStyle w:val="BodyText"/>
        <w:spacing w:line="427" w:lineRule="auto" w:before="72"/>
        <w:ind w:left="1538" w:right="1277"/>
        <w:jc w:val="both"/>
      </w:pPr>
      <w:r>
        <w:rPr/>
        <w:t>产的账面价值的份额作为长期股权投资的初始投资成本。被合并方在合并日的净资产账面价值为负数的，长期股权投资成本按零确定。如果被合并方在被合并以前，是最终控制方通过非同一控制下的企业合并所控制的，则合并方长期股权投资的初始投资成本包含了相关的商誉金额。长期股权投资的初始投资成本与支付的现金、转让的非现金资产及所承担债务账面价值之间的差额， 应当调整资本公积（资本溢价或股本溢价）；资本公积（资本溢价或股本溢价）的余额不足冲减的，依次冲减盈余公积和未分配利润。合并方以发行权益性工具作为合并对价的，按发行股份的面值总额作为股本，长期股权投资的初始投资成本与所发行股份面值总额之间的差额，调整资本公积（资本溢价或股本溢价）；资本公积（资本溢价或股本溢价）不足冲减的，依次冲减盈余公积和未分配利润。</w:t>
      </w:r>
    </w:p>
    <w:p>
      <w:pPr>
        <w:pStyle w:val="BodyText"/>
        <w:spacing w:line="427" w:lineRule="auto" w:before="10"/>
        <w:ind w:left="1538" w:right="1277" w:firstLine="359"/>
        <w:jc w:val="both"/>
      </w:pPr>
      <w:r>
        <w:rPr/>
        <w:t>合并方发生的审计、法律服务、评估咨询等中介费用以及其他相关管理费用，于发生时计入当期损益。与发行权益性工具作为合并对价直接相关的交易费用，冲减资本公积（股本溢价）， 资本公积（股本溢价）不足冲减的，依次冲减盈余公积和未分配利润。与发行债务性工具作为合并对价直接相关的交易费用，计入债务性工具的初始确认金额。</w:t>
      </w:r>
    </w:p>
    <w:p>
      <w:pPr>
        <w:pStyle w:val="BodyText"/>
        <w:spacing w:line="427" w:lineRule="auto" w:before="4"/>
        <w:ind w:left="1538" w:right="1277" w:firstLine="359"/>
        <w:jc w:val="both"/>
      </w:pPr>
      <w:r>
        <w:rPr>
          <w:spacing w:val="-3"/>
        </w:rPr>
        <w:t>通过多次交易分步实现同一控制下企业合并，属于</w:t>
      </w:r>
      <w:r>
        <w:rPr>
          <w:rFonts w:ascii="Times New Roman" w:hAnsi="Times New Roman" w:eastAsia="Times New Roman"/>
          <w:spacing w:val="-3"/>
        </w:rPr>
        <w:t>“</w:t>
      </w:r>
      <w:r>
        <w:rPr>
          <w:spacing w:val="-2"/>
        </w:rPr>
        <w:t>一揽子交易</w:t>
      </w:r>
      <w:r>
        <w:rPr>
          <w:rFonts w:ascii="Times New Roman" w:hAnsi="Times New Roman" w:eastAsia="Times New Roman"/>
        </w:rPr>
        <w:t>”</w:t>
      </w:r>
      <w:r>
        <w:rPr>
          <w:spacing w:val="-3"/>
        </w:rPr>
        <w:t>的，合并方应当将各项交易作为一项取得控制权的交易进行会计处理。不属于</w:t>
      </w:r>
      <w:r>
        <w:rPr>
          <w:rFonts w:ascii="Times New Roman" w:hAnsi="Times New Roman" w:eastAsia="Times New Roman"/>
          <w:spacing w:val="-3"/>
        </w:rPr>
        <w:t>“</w:t>
      </w:r>
      <w:r>
        <w:rPr>
          <w:spacing w:val="-2"/>
        </w:rPr>
        <w:t>一揽子交易</w:t>
      </w:r>
      <w:r>
        <w:rPr>
          <w:rFonts w:ascii="Times New Roman" w:hAnsi="Times New Roman" w:eastAsia="Times New Roman"/>
        </w:rPr>
        <w:t>”</w:t>
      </w:r>
      <w:r>
        <w:rPr>
          <w:spacing w:val="-3"/>
        </w:rPr>
        <w:t>的，在母公司财务报表中，以合并日持股比例计算的合并日应享有被合并方账面所有者权益份额作为该项投资的初始投资成本， 初始投资成本与其原长期股权投资账面价值加上合并日取得进一步股份新支付对价的账面价值之和的差额，调整资本公积</w:t>
      </w:r>
      <w:r>
        <w:rPr/>
        <w:t>（</w:t>
      </w:r>
      <w:r>
        <w:rPr>
          <w:spacing w:val="-3"/>
        </w:rPr>
        <w:t>股本溢价</w:t>
      </w:r>
      <w:r>
        <w:rPr/>
        <w:t>）</w:t>
      </w:r>
      <w:r>
        <w:rPr>
          <w:spacing w:val="-3"/>
        </w:rPr>
        <w:t>，资本公积不足冲减的，冲减留存收益。</w:t>
      </w:r>
    </w:p>
    <w:p>
      <w:pPr>
        <w:pStyle w:val="BodyText"/>
        <w:spacing w:line="427" w:lineRule="auto" w:before="6"/>
        <w:ind w:left="1538" w:right="1277" w:firstLine="359"/>
        <w:jc w:val="both"/>
      </w:pPr>
      <w:r>
        <w:rPr/>
        <w:t>在合并财务报表中，合并方在达到合并之前持有的长期股权投资，在取得日与合并方与被合并方向处于同一最终控制之日孰晚日与合并日之间已确认有关损益、其他综合收益和其他所有者权益变动，应分别冲减比较报表期间的期初留存收益或当期损益。</w:t>
      </w:r>
    </w:p>
    <w:p>
      <w:pPr>
        <w:pStyle w:val="ListParagraph"/>
        <w:numPr>
          <w:ilvl w:val="1"/>
          <w:numId w:val="31"/>
        </w:numPr>
        <w:tabs>
          <w:tab w:pos="2427" w:val="left" w:leader="none"/>
        </w:tabs>
        <w:spacing w:line="240" w:lineRule="auto" w:before="3" w:after="0"/>
        <w:ind w:left="2427" w:right="0" w:hanging="529"/>
        <w:jc w:val="left"/>
        <w:rPr>
          <w:sz w:val="19"/>
        </w:rPr>
      </w:pPr>
      <w:r>
        <w:rPr>
          <w:spacing w:val="-3"/>
          <w:sz w:val="21"/>
        </w:rPr>
        <w:t>非同一控制下的企业合并</w:t>
      </w:r>
    </w:p>
    <w:p>
      <w:pPr>
        <w:pStyle w:val="BodyText"/>
        <w:spacing w:before="6"/>
        <w:rPr>
          <w:sz w:val="16"/>
        </w:rPr>
      </w:pPr>
    </w:p>
    <w:p>
      <w:pPr>
        <w:pStyle w:val="BodyText"/>
        <w:spacing w:line="429" w:lineRule="auto"/>
        <w:ind w:left="1538" w:right="1277" w:firstLine="359"/>
        <w:jc w:val="both"/>
      </w:pPr>
      <w:r>
        <w:rPr/>
        <w:t>参与合并的各方在合并前后不受同一方或相同的多方最终控制的，为非同一控制下的企业合并。非同一控制下的企业合并，在购买日取得对其他参与合并企业控制权的一方为购买方，参与合并的其他企业为被购买方。购买日，是指购买方实际取得对被购买方控制权的日期。</w:t>
      </w:r>
    </w:p>
    <w:p>
      <w:pPr>
        <w:pStyle w:val="BodyText"/>
        <w:spacing w:line="427" w:lineRule="auto"/>
        <w:ind w:left="1538" w:right="1277" w:firstLine="359"/>
        <w:jc w:val="both"/>
      </w:pPr>
      <w:r>
        <w:rPr/>
        <w:t>对于非同一控制下的企业合并，合并成本为购买方在购买日为取得对被购买方的控制权而付出的资产、发生或承担的负债以及发行的权益性证券的公允价值之和。购买方为企业合并发生的审计、法律服务、评估咨询等中介费用以及其他相关管理费用，应于发生时计入当期损益。购买</w:t>
      </w:r>
    </w:p>
    <w:p>
      <w:pPr>
        <w:spacing w:after="0" w:line="427" w:lineRule="auto"/>
        <w:jc w:val="both"/>
        <w:sectPr>
          <w:pgSz w:w="11910" w:h="16840"/>
          <w:pgMar w:header="876" w:footer="1208" w:top="1440" w:bottom="1400" w:left="260" w:right="0"/>
        </w:sectPr>
      </w:pPr>
    </w:p>
    <w:p>
      <w:pPr>
        <w:pStyle w:val="BodyText"/>
        <w:spacing w:before="3"/>
        <w:rPr>
          <w:sz w:val="13"/>
        </w:rPr>
      </w:pPr>
    </w:p>
    <w:p>
      <w:pPr>
        <w:pStyle w:val="BodyText"/>
        <w:spacing w:line="427" w:lineRule="auto" w:before="72"/>
        <w:ind w:left="1538" w:right="1277"/>
      </w:pPr>
      <w:r>
        <w:rPr>
          <w:spacing w:val="-3"/>
        </w:rPr>
        <w:t>方作为合并对价发行的权益性工具或债务性工具的交易费用，应当计入权益性工具或债务性工具</w:t>
      </w:r>
      <w:r>
        <w:rPr>
          <w:spacing w:val="-4"/>
        </w:rPr>
        <w:t>的初始确认金额。所涉及的或有对价按其在购买日的公允价值计入合并成本，购买日后 </w:t>
      </w:r>
      <w:r>
        <w:rPr>
          <w:rFonts w:ascii="Times New Roman" w:eastAsia="Times New Roman"/>
        </w:rPr>
        <w:t>12 </w:t>
      </w:r>
      <w:r>
        <w:rPr/>
        <w:t>个月</w:t>
      </w:r>
      <w:r>
        <w:rPr>
          <w:spacing w:val="-3"/>
        </w:rPr>
        <w:t>内出现对购买日已存在情况的新的或进一步证据而需要调整或有对价的，相应调整合并商誉。</w:t>
      </w:r>
    </w:p>
    <w:p>
      <w:pPr>
        <w:pStyle w:val="BodyText"/>
        <w:spacing w:line="427" w:lineRule="auto" w:before="3"/>
        <w:ind w:left="1538" w:right="1277" w:firstLine="359"/>
        <w:jc w:val="both"/>
      </w:pPr>
      <w:r>
        <w:rPr/>
        <w:t>购买方发生的合并成本及在合并中取得的可辨认净资产按购买日的公允价值计量。合并成本大于合并中取得的被购买方于购买日可辨认净资产公允价值份额的差额，确认为商誉。合并成本小于合并中取得的被购买方可辨认净资产公允价值份额的，首先对取得的被购买方各项可辨认资产、负债及或有负债的公允价值以及合并成本的计量进行复核，复核后合并成本仍小于合并中取得的被购买方可辨认净资产公允价值份额的，其差额计入当期损益。</w:t>
      </w:r>
    </w:p>
    <w:p>
      <w:pPr>
        <w:pStyle w:val="BodyText"/>
        <w:spacing w:line="427" w:lineRule="auto" w:before="6"/>
        <w:ind w:left="1538" w:right="1337" w:firstLine="359"/>
      </w:pPr>
      <w:r>
        <w:rPr>
          <w:spacing w:val="-3"/>
        </w:rPr>
        <w:t>通过多次交易分步实现非同一控制下企业合并的，在母公司个别财务报表中，以购买日之前所持被购买方的股权投资的账面价值与购买日新增投资成本之和，作为该项投资的初始投资成 本。</w:t>
      </w:r>
    </w:p>
    <w:p>
      <w:pPr>
        <w:pStyle w:val="BodyText"/>
        <w:spacing w:line="427" w:lineRule="auto" w:before="3"/>
        <w:ind w:left="1538" w:right="1277" w:firstLine="359"/>
        <w:jc w:val="both"/>
      </w:pPr>
      <w:r>
        <w:rPr/>
        <w:t>在合并财务报表中，对于购买日之前持有的被购买方的股权，按照该股权在购买日的公允价值进行重新计量，公允价值与其账面价值的差额计入当期投资收益；购买日之前持有的被购买方的股权涉及其他综合收益的，与其相关的其他综合收益应当转为购买日所属当期投资收益，不能重分类计入当期损益的其他综合收益除外。</w:t>
      </w:r>
    </w:p>
    <w:p>
      <w:pPr>
        <w:pStyle w:val="BodyText"/>
        <w:spacing w:line="427" w:lineRule="auto" w:before="5"/>
        <w:ind w:left="1538" w:right="1277" w:firstLine="359"/>
        <w:jc w:val="both"/>
      </w:pPr>
      <w:r>
        <w:rPr/>
        <w:t>本公司以购买日之前所持被购买方的股权于购买日的公允价值与购买日新购入股权所支付对价的公允价值之和作为合并成本，与购买方取得的按购买日持股比例计算应享有的被购买方可辨认净资产于购买日的公允价值的份额比较，确定购买日应予确认的商誉或应计入合并当期损益的金额。</w:t>
      </w:r>
    </w:p>
    <w:p>
      <w:pPr>
        <w:pStyle w:val="Heading4"/>
        <w:numPr>
          <w:ilvl w:val="0"/>
          <w:numId w:val="31"/>
        </w:numPr>
        <w:tabs>
          <w:tab w:pos="1962" w:val="left" w:leader="none"/>
          <w:tab w:pos="1963" w:val="left" w:leader="none"/>
        </w:tabs>
        <w:spacing w:line="240" w:lineRule="auto" w:before="64" w:after="0"/>
        <w:ind w:left="1962" w:right="0" w:hanging="425"/>
        <w:jc w:val="left"/>
      </w:pPr>
      <w:r>
        <w:rPr>
          <w:spacing w:val="-1"/>
        </w:rPr>
        <w:t>合并财务报表的编制方法</w:t>
      </w:r>
    </w:p>
    <w:p>
      <w:pPr>
        <w:pStyle w:val="BodyText"/>
        <w:tabs>
          <w:tab w:pos="2805" w:val="left" w:leader="none"/>
        </w:tabs>
        <w:spacing w:before="17"/>
        <w:ind w:left="1962"/>
      </w:pPr>
      <w:r>
        <w:rPr/>
        <w:t>√适用</w:t>
        <w:tab/>
      </w:r>
      <w:r>
        <w:rPr>
          <w:spacing w:val="-3"/>
        </w:rPr>
        <w:t>□</w:t>
      </w:r>
      <w:r>
        <w:rPr/>
        <w:t>不</w:t>
      </w:r>
      <w:r>
        <w:rPr>
          <w:spacing w:val="-3"/>
        </w:rPr>
        <w:t>适</w:t>
      </w:r>
      <w:r>
        <w:rPr/>
        <w:t>用</w:t>
      </w:r>
    </w:p>
    <w:p>
      <w:pPr>
        <w:pStyle w:val="ListParagraph"/>
        <w:numPr>
          <w:ilvl w:val="0"/>
          <w:numId w:val="32"/>
        </w:numPr>
        <w:tabs>
          <w:tab w:pos="2427" w:val="left" w:leader="none"/>
        </w:tabs>
        <w:spacing w:line="240" w:lineRule="auto" w:before="175" w:after="0"/>
        <w:ind w:left="2427" w:right="0" w:hanging="529"/>
        <w:jc w:val="left"/>
        <w:rPr>
          <w:sz w:val="21"/>
        </w:rPr>
      </w:pPr>
      <w:r>
        <w:rPr>
          <w:spacing w:val="-3"/>
          <w:sz w:val="21"/>
        </w:rPr>
        <w:t>合并财务报表范围</w:t>
      </w:r>
    </w:p>
    <w:p>
      <w:pPr>
        <w:pStyle w:val="BodyText"/>
        <w:spacing w:before="6"/>
        <w:rPr>
          <w:sz w:val="16"/>
        </w:rPr>
      </w:pPr>
    </w:p>
    <w:p>
      <w:pPr>
        <w:pStyle w:val="BodyText"/>
        <w:spacing w:line="429" w:lineRule="auto"/>
        <w:ind w:left="1538" w:right="1337" w:firstLine="359"/>
      </w:pPr>
      <w:r>
        <w:rPr/>
        <w:t>本公司将全部子公司（包括本公司所控制的单独主体）纳入合并财务报表范围，包括被本公司控制的企业、被投资单位中可分割的部分以及结构化主体。</w:t>
      </w:r>
    </w:p>
    <w:p>
      <w:pPr>
        <w:pStyle w:val="ListParagraph"/>
        <w:numPr>
          <w:ilvl w:val="0"/>
          <w:numId w:val="32"/>
        </w:numPr>
        <w:tabs>
          <w:tab w:pos="2427" w:val="left" w:leader="none"/>
        </w:tabs>
        <w:spacing w:line="266" w:lineRule="exact" w:before="0" w:after="0"/>
        <w:ind w:left="2427" w:right="0" w:hanging="529"/>
        <w:jc w:val="left"/>
        <w:rPr>
          <w:sz w:val="21"/>
        </w:rPr>
      </w:pPr>
      <w:r>
        <w:rPr>
          <w:spacing w:val="-3"/>
          <w:sz w:val="21"/>
        </w:rPr>
        <w:t>统一母子公司的会计政策、统一母子公司的资产负债表日及会计期间</w:t>
      </w:r>
    </w:p>
    <w:p>
      <w:pPr>
        <w:pStyle w:val="BodyText"/>
        <w:spacing w:before="6"/>
        <w:rPr>
          <w:sz w:val="16"/>
        </w:rPr>
      </w:pPr>
    </w:p>
    <w:p>
      <w:pPr>
        <w:pStyle w:val="BodyText"/>
        <w:spacing w:line="427" w:lineRule="auto"/>
        <w:ind w:left="1538" w:right="1337" w:firstLine="359"/>
      </w:pPr>
      <w:r>
        <w:rPr/>
        <w:t>子公司与本公司采用的会计政策或会计期间不一致的，在编制合并财务报表时，按照本公司的会计政策或会计期间对子公司财务报表进行必要的调整。</w:t>
      </w:r>
    </w:p>
    <w:p>
      <w:pPr>
        <w:pStyle w:val="ListParagraph"/>
        <w:numPr>
          <w:ilvl w:val="0"/>
          <w:numId w:val="32"/>
        </w:numPr>
        <w:tabs>
          <w:tab w:pos="2427" w:val="left" w:leader="none"/>
        </w:tabs>
        <w:spacing w:line="240" w:lineRule="auto" w:before="2" w:after="0"/>
        <w:ind w:left="2427" w:right="0" w:hanging="529"/>
        <w:jc w:val="left"/>
        <w:rPr>
          <w:sz w:val="21"/>
        </w:rPr>
      </w:pPr>
      <w:r>
        <w:rPr>
          <w:spacing w:val="-3"/>
          <w:sz w:val="21"/>
        </w:rPr>
        <w:t>合并财务报表抵销事项</w:t>
      </w:r>
    </w:p>
    <w:p>
      <w:pPr>
        <w:spacing w:after="0" w:line="240" w:lineRule="auto"/>
        <w:jc w:val="left"/>
        <w:rPr>
          <w:sz w:val="21"/>
        </w:rPr>
        <w:sectPr>
          <w:pgSz w:w="11910" w:h="16840"/>
          <w:pgMar w:header="876" w:footer="1208" w:top="1440" w:bottom="1400" w:left="260" w:right="0"/>
        </w:sectPr>
      </w:pPr>
    </w:p>
    <w:p>
      <w:pPr>
        <w:pStyle w:val="BodyText"/>
        <w:spacing w:before="3"/>
        <w:rPr>
          <w:sz w:val="13"/>
        </w:rPr>
      </w:pPr>
    </w:p>
    <w:p>
      <w:pPr>
        <w:pStyle w:val="BodyText"/>
        <w:spacing w:line="427" w:lineRule="auto" w:before="72"/>
        <w:ind w:left="1538" w:right="1277" w:firstLine="359"/>
        <w:jc w:val="both"/>
      </w:pPr>
      <w:r>
        <w:rPr>
          <w:spacing w:val="-3"/>
        </w:rPr>
        <w:t>合并财务报表以母公司和子公司的资产负债表为基础，已抵销了母公司与子公司、子公司相互之间发生的内部交易。子公司所有者权益中不属于母公司的份额，作为少数股东权益，在合并资产负债表中所有者权益项目下以</w:t>
      </w:r>
      <w:r>
        <w:rPr>
          <w:rFonts w:ascii="Times New Roman" w:hAnsi="Times New Roman" w:eastAsia="Times New Roman"/>
          <w:spacing w:val="-3"/>
        </w:rPr>
        <w:t>“</w:t>
      </w:r>
      <w:r>
        <w:rPr>
          <w:spacing w:val="-3"/>
        </w:rPr>
        <w:t>少数股东权益</w:t>
      </w:r>
      <w:r>
        <w:rPr>
          <w:rFonts w:ascii="Times New Roman" w:hAnsi="Times New Roman" w:eastAsia="Times New Roman"/>
          <w:spacing w:val="-3"/>
        </w:rPr>
        <w:t>”</w:t>
      </w:r>
      <w:r>
        <w:rPr>
          <w:spacing w:val="-1"/>
        </w:rPr>
        <w:t>项目列示。</w:t>
      </w:r>
    </w:p>
    <w:p>
      <w:pPr>
        <w:pStyle w:val="BodyText"/>
        <w:spacing w:line="427" w:lineRule="auto" w:before="3"/>
        <w:ind w:left="1538" w:right="1337" w:firstLine="359"/>
      </w:pPr>
      <w:r>
        <w:rPr>
          <w:spacing w:val="-3"/>
        </w:rPr>
        <w:t>子公司持有母公司的长期股权投资，视为企业集团的库存股，作为所有者权益的减项，在合并资产负债表中所有者权益项目下以</w:t>
      </w:r>
      <w:r>
        <w:rPr>
          <w:rFonts w:ascii="Times New Roman" w:hAnsi="Times New Roman" w:eastAsia="Times New Roman"/>
        </w:rPr>
        <w:t>“</w:t>
      </w:r>
      <w:r>
        <w:rPr>
          <w:spacing w:val="-3"/>
        </w:rPr>
        <w:t>减：库存股</w:t>
      </w:r>
      <w:r>
        <w:rPr>
          <w:rFonts w:ascii="Times New Roman" w:hAnsi="Times New Roman" w:eastAsia="Times New Roman"/>
          <w:spacing w:val="-3"/>
        </w:rPr>
        <w:t>”</w:t>
      </w:r>
      <w:r>
        <w:rPr>
          <w:spacing w:val="-1"/>
        </w:rPr>
        <w:t>项目列示。</w:t>
      </w:r>
    </w:p>
    <w:p>
      <w:pPr>
        <w:pStyle w:val="ListParagraph"/>
        <w:numPr>
          <w:ilvl w:val="0"/>
          <w:numId w:val="32"/>
        </w:numPr>
        <w:tabs>
          <w:tab w:pos="2427" w:val="left" w:leader="none"/>
        </w:tabs>
        <w:spacing w:line="240" w:lineRule="auto" w:before="2" w:after="0"/>
        <w:ind w:left="2427" w:right="0" w:hanging="529"/>
        <w:jc w:val="left"/>
        <w:rPr>
          <w:sz w:val="21"/>
        </w:rPr>
      </w:pPr>
      <w:r>
        <w:rPr>
          <w:spacing w:val="-3"/>
          <w:sz w:val="21"/>
        </w:rPr>
        <w:t>合并取得子公司会计处理</w:t>
      </w:r>
    </w:p>
    <w:p>
      <w:pPr>
        <w:pStyle w:val="BodyText"/>
        <w:spacing w:before="6"/>
        <w:rPr>
          <w:sz w:val="16"/>
        </w:rPr>
      </w:pPr>
    </w:p>
    <w:p>
      <w:pPr>
        <w:pStyle w:val="BodyText"/>
        <w:spacing w:line="427" w:lineRule="auto"/>
        <w:ind w:left="1538" w:right="1277" w:firstLine="359"/>
        <w:jc w:val="both"/>
      </w:pPr>
      <w:r>
        <w:rPr/>
        <w:t>对于同一控制下企业合并取得的子公司，视同该企业合并于自最终控制方开始实施控制时已经发生，从合并当期的期初起将其资产、负债、经营成果和现金流量纳入合并财务报表；对于非同一控制下企业合并取得的子公司，在编制合并财务报表时，以购买日可辨认净资产公允价值为基础对其个别财务报表进行调整。</w:t>
      </w:r>
    </w:p>
    <w:p>
      <w:pPr>
        <w:pStyle w:val="Heading4"/>
        <w:numPr>
          <w:ilvl w:val="0"/>
          <w:numId w:val="31"/>
        </w:numPr>
        <w:tabs>
          <w:tab w:pos="1962" w:val="left" w:leader="none"/>
          <w:tab w:pos="1963" w:val="left" w:leader="none"/>
        </w:tabs>
        <w:spacing w:line="240" w:lineRule="auto" w:before="65" w:after="0"/>
        <w:ind w:left="1962" w:right="0" w:hanging="425"/>
        <w:jc w:val="left"/>
      </w:pPr>
      <w:r>
        <w:rPr>
          <w:spacing w:val="-2"/>
        </w:rPr>
        <w:t>合营安排分类及共同经营会计处理方法</w:t>
      </w:r>
    </w:p>
    <w:p>
      <w:pPr>
        <w:pStyle w:val="BodyText"/>
        <w:tabs>
          <w:tab w:pos="2805" w:val="left" w:leader="none"/>
        </w:tabs>
        <w:spacing w:before="17"/>
        <w:ind w:left="1962"/>
      </w:pPr>
      <w:r>
        <w:rPr/>
        <w:t>√适用</w:t>
        <w:tab/>
      </w:r>
      <w:r>
        <w:rPr>
          <w:spacing w:val="-3"/>
        </w:rPr>
        <w:t>□</w:t>
      </w:r>
      <w:r>
        <w:rPr/>
        <w:t>不</w:t>
      </w:r>
      <w:r>
        <w:rPr>
          <w:spacing w:val="-3"/>
        </w:rPr>
        <w:t>适</w:t>
      </w:r>
      <w:r>
        <w:rPr/>
        <w:t>用</w:t>
      </w:r>
    </w:p>
    <w:p>
      <w:pPr>
        <w:pStyle w:val="BodyText"/>
        <w:spacing w:line="364" w:lineRule="auto" w:before="2"/>
        <w:ind w:left="1538" w:right="1273" w:firstLine="424"/>
      </w:pPr>
      <w:r>
        <w:rPr/>
        <w:t>合营安排，是指一项由两个或两个以上的参与方共同控制的安排。本公司根据在合营安排中享有的权利和承担的义务，将合营安排分为共同经营和合营企业。</w:t>
      </w:r>
    </w:p>
    <w:p>
      <w:pPr>
        <w:pStyle w:val="BodyText"/>
        <w:spacing w:line="364" w:lineRule="auto"/>
        <w:ind w:left="1538" w:right="1268" w:firstLine="424"/>
        <w:jc w:val="both"/>
      </w:pPr>
      <w:r>
        <w:rPr>
          <w:spacing w:val="-14"/>
        </w:rPr>
        <w:t>当本公司是合营安排的合营方，享有该安排相关资产且承担该安排相关负债时，为共同经营。</w:t>
      </w:r>
      <w:r>
        <w:rPr>
          <w:spacing w:val="-7"/>
        </w:rPr>
        <w:t>本公司确认与共同经营中利益份额相关的下列项目，并按照相关企业会计准则的规定进行会计处理：</w:t>
      </w:r>
    </w:p>
    <w:p>
      <w:pPr>
        <w:pStyle w:val="BodyText"/>
        <w:spacing w:line="364" w:lineRule="auto"/>
        <w:ind w:left="1538" w:right="1268" w:firstLine="424"/>
        <w:jc w:val="both"/>
      </w:pPr>
      <w:r>
        <w:rPr/>
        <w:t>（</w:t>
      </w:r>
      <w:r>
        <w:rPr>
          <w:rFonts w:ascii="Times New Roman" w:eastAsia="Times New Roman"/>
        </w:rPr>
        <w:t>1</w:t>
      </w:r>
      <w:r>
        <w:rPr/>
        <w:t>）</w:t>
      </w:r>
      <w:r>
        <w:rPr>
          <w:spacing w:val="-3"/>
        </w:rPr>
        <w:t>确认本公司单独所持有的资产，以及按本公司份额确认共同持有的资产</w:t>
      </w:r>
      <w:r>
        <w:rPr/>
        <w:t>；（</w:t>
      </w:r>
      <w:r>
        <w:rPr>
          <w:rFonts w:ascii="Times New Roman" w:eastAsia="Times New Roman"/>
        </w:rPr>
        <w:t>2</w:t>
      </w:r>
      <w:r>
        <w:rPr/>
        <w:t>）</w:t>
      </w:r>
      <w:r>
        <w:rPr>
          <w:spacing w:val="-2"/>
        </w:rPr>
        <w:t>确认本</w:t>
      </w:r>
      <w:r>
        <w:rPr>
          <w:spacing w:val="-7"/>
        </w:rPr>
        <w:t>公司单独所承担的负债，以及按本公司份额确认共同承担的负债；</w:t>
      </w:r>
      <w:r>
        <w:rPr>
          <w:spacing w:val="-19"/>
        </w:rPr>
        <w:t>（</w:t>
      </w:r>
      <w:r>
        <w:rPr>
          <w:rFonts w:ascii="Times New Roman" w:eastAsia="Times New Roman"/>
          <w:spacing w:val="-19"/>
        </w:rPr>
        <w:t>3</w:t>
      </w:r>
      <w:r>
        <w:rPr>
          <w:spacing w:val="-19"/>
        </w:rPr>
        <w:t>）</w:t>
      </w:r>
      <w:r>
        <w:rPr>
          <w:spacing w:val="-3"/>
        </w:rPr>
        <w:t>确认出售本公司享有的共</w:t>
      </w:r>
      <w:r>
        <w:rPr>
          <w:spacing w:val="-5"/>
        </w:rPr>
        <w:t>同经营产出份额所产生的收入；</w:t>
      </w:r>
      <w:r>
        <w:rPr>
          <w:spacing w:val="-31"/>
        </w:rPr>
        <w:t>（</w:t>
      </w:r>
      <w:r>
        <w:rPr>
          <w:rFonts w:ascii="Times New Roman" w:eastAsia="Times New Roman"/>
          <w:spacing w:val="-31"/>
        </w:rPr>
        <w:t>4</w:t>
      </w:r>
      <w:r>
        <w:rPr>
          <w:spacing w:val="-31"/>
        </w:rPr>
        <w:t>）</w:t>
      </w:r>
      <w:r>
        <w:rPr>
          <w:spacing w:val="-4"/>
        </w:rPr>
        <w:t>按本公司份额确认共同经营因出售产出所产生的收入；</w:t>
      </w:r>
      <w:r>
        <w:rPr>
          <w:spacing w:val="-21"/>
        </w:rPr>
        <w:t>（</w:t>
      </w:r>
      <w:r>
        <w:rPr>
          <w:rFonts w:ascii="Times New Roman" w:eastAsia="Times New Roman"/>
          <w:spacing w:val="-21"/>
        </w:rPr>
        <w:t>5</w:t>
      </w:r>
      <w:r>
        <w:rPr>
          <w:spacing w:val="-21"/>
        </w:rPr>
        <w:t>） </w:t>
      </w:r>
      <w:r>
        <w:rPr>
          <w:spacing w:val="-3"/>
        </w:rPr>
        <w:t>确认单独所发生的费用，以及按本公司份额确认共同经营发生的费用。</w:t>
      </w:r>
    </w:p>
    <w:p>
      <w:pPr>
        <w:pStyle w:val="BodyText"/>
        <w:spacing w:line="364" w:lineRule="auto"/>
        <w:ind w:left="1538" w:right="1273" w:firstLine="424"/>
        <w:jc w:val="both"/>
      </w:pPr>
      <w:r>
        <w:rPr>
          <w:spacing w:val="-3"/>
        </w:rPr>
        <w:t>当本公司作为合营方向共同经营投出或出售资产（该资产不构成业务，下同</w:t>
      </w:r>
      <w:r>
        <w:rPr/>
        <w:t>）</w:t>
      </w:r>
      <w:r>
        <w:rPr>
          <w:spacing w:val="-3"/>
        </w:rPr>
        <w:t>、或者自共同经营购买资产时，在该等资产出售给第三方之前，本公司仅确认因该交易产生的损益中归属于共</w:t>
      </w:r>
      <w:r>
        <w:rPr>
          <w:spacing w:val="-5"/>
        </w:rPr>
        <w:t>同经营其他参与方的部分。该等资产发生符合《企业会计准则第 </w:t>
      </w:r>
      <w:r>
        <w:rPr>
          <w:rFonts w:ascii="Times New Roman" w:hAnsi="Times New Roman" w:eastAsia="Times New Roman"/>
        </w:rPr>
        <w:t>8</w:t>
      </w:r>
      <w:r>
        <w:rPr>
          <w:rFonts w:ascii="Times New Roman" w:hAnsi="Times New Roman" w:eastAsia="Times New Roman"/>
          <w:spacing w:val="15"/>
        </w:rPr>
        <w:t> </w:t>
      </w:r>
      <w:r>
        <w:rPr/>
        <w:t>号</w:t>
      </w:r>
      <w:r>
        <w:rPr>
          <w:rFonts w:ascii="Times New Roman" w:hAnsi="Times New Roman" w:eastAsia="Times New Roman"/>
        </w:rPr>
        <w:t>——</w:t>
      </w:r>
      <w:r>
        <w:rPr>
          <w:spacing w:val="-3"/>
        </w:rPr>
        <w:t>资产减值》等规定的资产减值损失的，对于由本公司向共同经营投出或出售资产的情况，本公司全额确认该损失；对于本公司自共同经营购买资产的情况，本公司按承担的份额确认该损失。</w:t>
      </w:r>
    </w:p>
    <w:p>
      <w:pPr>
        <w:pStyle w:val="BodyText"/>
        <w:spacing w:line="364" w:lineRule="auto"/>
        <w:ind w:left="1538" w:right="1277" w:firstLine="422"/>
        <w:jc w:val="both"/>
        <w:rPr>
          <w:rFonts w:ascii="Microsoft JhengHei" w:hAnsi="Microsoft JhengHei" w:eastAsia="Microsoft JhengHei" w:hint="eastAsia"/>
          <w:b/>
        </w:rPr>
      </w:pPr>
      <w:r>
        <w:rPr/>
        <w:t>合营企业，是指本公司仅对该安排的净资产享有权利的合营安排。本公司对合营企业的投资采用权益法核算，相关会计政策见本附注</w:t>
      </w:r>
      <w:r>
        <w:rPr>
          <w:rFonts w:ascii="Times New Roman" w:hAnsi="Times New Roman" w:eastAsia="Times New Roman"/>
        </w:rPr>
        <w:t>“</w:t>
      </w:r>
      <w:r>
        <w:rPr/>
        <w:t>五、</w:t>
      </w:r>
      <w:r>
        <w:rPr>
          <w:rFonts w:ascii="Times New Roman" w:hAnsi="Times New Roman" w:eastAsia="Times New Roman"/>
        </w:rPr>
        <w:t>12 </w:t>
      </w:r>
      <w:r>
        <w:rPr/>
        <w:t>长期股权投资</w:t>
      </w:r>
      <w:r>
        <w:rPr>
          <w:rFonts w:ascii="Times New Roman" w:hAnsi="Times New Roman" w:eastAsia="Times New Roman"/>
        </w:rPr>
        <w:t>”</w:t>
      </w:r>
      <w:r>
        <w:rPr/>
        <w:t>。</w:t>
      </w:r>
      <w:r>
        <w:rPr>
          <w:rFonts w:ascii="Microsoft JhengHei" w:hAnsi="Microsoft JhengHei" w:eastAsia="Microsoft JhengHei" w:hint="eastAsia"/>
          <w:b/>
          <w:w w:val="201"/>
        </w:rPr>
        <w:t> </w:t>
      </w:r>
    </w:p>
    <w:p>
      <w:pPr>
        <w:pStyle w:val="BodyText"/>
        <w:spacing w:before="5"/>
        <w:rPr>
          <w:rFonts w:ascii="Microsoft JhengHei"/>
          <w:b/>
          <w:sz w:val="12"/>
        </w:rPr>
      </w:pPr>
    </w:p>
    <w:p>
      <w:pPr>
        <w:pStyle w:val="Heading4"/>
        <w:numPr>
          <w:ilvl w:val="0"/>
          <w:numId w:val="31"/>
        </w:numPr>
        <w:tabs>
          <w:tab w:pos="1962" w:val="left" w:leader="none"/>
          <w:tab w:pos="1963" w:val="left" w:leader="none"/>
        </w:tabs>
        <w:spacing w:line="240" w:lineRule="auto" w:before="0" w:after="0"/>
        <w:ind w:left="1962" w:right="0" w:hanging="425"/>
        <w:jc w:val="left"/>
      </w:pPr>
      <w:r>
        <w:rPr>
          <w:spacing w:val="-2"/>
        </w:rPr>
        <w:t>现金及现金等价物的确定标准</w:t>
      </w:r>
    </w:p>
    <w:p>
      <w:pPr>
        <w:pStyle w:val="BodyText"/>
        <w:spacing w:line="460" w:lineRule="atLeast" w:before="13"/>
        <w:ind w:left="1538" w:right="1269" w:firstLine="407"/>
      </w:pPr>
      <w:r>
        <w:rPr>
          <w:spacing w:val="-5"/>
        </w:rPr>
        <w:t>本公司在编制现金流量表时所确定的现金，是指本公司库存现金以及可以随时用于支付的存</w:t>
      </w:r>
      <w:r>
        <w:rPr/>
        <w:t>款。</w:t>
      </w:r>
    </w:p>
    <w:p>
      <w:pPr>
        <w:spacing w:after="0" w:line="460" w:lineRule="atLeast"/>
        <w:sectPr>
          <w:pgSz w:w="11910" w:h="16840"/>
          <w:pgMar w:header="876" w:footer="1208" w:top="1440" w:bottom="1400" w:left="260" w:right="0"/>
        </w:sectPr>
      </w:pPr>
    </w:p>
    <w:p>
      <w:pPr>
        <w:pStyle w:val="BodyText"/>
        <w:spacing w:before="4"/>
        <w:rPr>
          <w:sz w:val="14"/>
        </w:rPr>
      </w:pPr>
    </w:p>
    <w:p>
      <w:pPr>
        <w:pStyle w:val="BodyText"/>
        <w:spacing w:line="410" w:lineRule="auto" w:before="72"/>
        <w:ind w:left="1538" w:right="1268" w:firstLine="407"/>
      </w:pPr>
      <w:r>
        <w:rPr>
          <w:spacing w:val="-5"/>
        </w:rPr>
        <w:t>本公司在编制现金流量表时所确定的现金等价物，是指本公司持有的期限短、流动性强、易</w:t>
      </w:r>
      <w:r>
        <w:rPr>
          <w:spacing w:val="-3"/>
        </w:rPr>
        <w:t>于转换为已知金额现金、价值变动风险很小的投资。</w:t>
      </w:r>
    </w:p>
    <w:p>
      <w:pPr>
        <w:pStyle w:val="Heading4"/>
        <w:numPr>
          <w:ilvl w:val="0"/>
          <w:numId w:val="31"/>
        </w:numPr>
        <w:tabs>
          <w:tab w:pos="1962" w:val="left" w:leader="none"/>
          <w:tab w:pos="1963" w:val="left" w:leader="none"/>
        </w:tabs>
        <w:spacing w:line="240" w:lineRule="auto" w:before="45" w:after="0"/>
        <w:ind w:left="1962" w:right="0" w:hanging="425"/>
        <w:jc w:val="left"/>
      </w:pPr>
      <w:r>
        <w:rPr>
          <w:spacing w:val="-1"/>
        </w:rPr>
        <w:t>外币业务和外币报表折算</w:t>
      </w:r>
    </w:p>
    <w:p>
      <w:pPr>
        <w:pStyle w:val="BodyText"/>
        <w:tabs>
          <w:tab w:pos="2805" w:val="left" w:leader="none"/>
        </w:tabs>
        <w:spacing w:before="17"/>
        <w:ind w:left="1962"/>
      </w:pPr>
      <w:r>
        <w:rPr/>
        <w:t>√适用</w:t>
        <w:tab/>
      </w:r>
      <w:r>
        <w:rPr>
          <w:spacing w:val="-3"/>
        </w:rPr>
        <w:t>□</w:t>
      </w:r>
      <w:r>
        <w:rPr/>
        <w:t>不</w:t>
      </w:r>
      <w:r>
        <w:rPr>
          <w:spacing w:val="-3"/>
        </w:rPr>
        <w:t>适</w:t>
      </w:r>
      <w:r>
        <w:rPr/>
        <w:t>用</w:t>
      </w:r>
    </w:p>
    <w:p>
      <w:pPr>
        <w:pStyle w:val="ListParagraph"/>
        <w:numPr>
          <w:ilvl w:val="0"/>
          <w:numId w:val="33"/>
        </w:numPr>
        <w:tabs>
          <w:tab w:pos="2427" w:val="left" w:leader="none"/>
        </w:tabs>
        <w:spacing w:line="240" w:lineRule="auto" w:before="175" w:after="0"/>
        <w:ind w:left="2427" w:right="0" w:hanging="529"/>
        <w:jc w:val="left"/>
        <w:rPr>
          <w:sz w:val="21"/>
        </w:rPr>
      </w:pPr>
      <w:r>
        <w:rPr>
          <w:spacing w:val="-3"/>
          <w:sz w:val="21"/>
        </w:rPr>
        <w:t>外币业务折算</w:t>
      </w:r>
    </w:p>
    <w:p>
      <w:pPr>
        <w:pStyle w:val="BodyText"/>
        <w:spacing w:before="7"/>
        <w:rPr>
          <w:sz w:val="17"/>
        </w:rPr>
      </w:pPr>
    </w:p>
    <w:p>
      <w:pPr>
        <w:pStyle w:val="BodyText"/>
        <w:ind w:left="1958"/>
      </w:pPr>
      <w:r>
        <w:rPr/>
        <w:t>本公司对发生的外币交易，采用交易发生日即期汇率折合本位币入账。</w:t>
      </w:r>
    </w:p>
    <w:p>
      <w:pPr>
        <w:pStyle w:val="BodyText"/>
        <w:rPr>
          <w:sz w:val="15"/>
        </w:rPr>
      </w:pPr>
    </w:p>
    <w:p>
      <w:pPr>
        <w:pStyle w:val="BodyText"/>
        <w:spacing w:line="410" w:lineRule="auto"/>
        <w:ind w:left="1538" w:right="1268" w:firstLine="419"/>
        <w:jc w:val="both"/>
      </w:pPr>
      <w:r>
        <w:rPr>
          <w:spacing w:val="-15"/>
        </w:rPr>
        <w:t>资产负债表日，对于外币货币性项目采用资产负债表日即期汇率折算，由此产生的汇兑差额， </w:t>
      </w:r>
      <w:r>
        <w:rPr>
          <w:spacing w:val="-7"/>
        </w:rPr>
        <w:t>除：①属于与购建符合资本化条件的资产相关的外币专门借款产生的汇兑差额按照借款费用资本</w:t>
      </w:r>
      <w:r>
        <w:rPr>
          <w:spacing w:val="-5"/>
        </w:rPr>
        <w:t>化的原则处理；②可供出售的外币货币性项目除摊余成本之外的其他账面余额变动产生的汇兑差</w:t>
      </w:r>
      <w:r>
        <w:rPr>
          <w:spacing w:val="-4"/>
        </w:rPr>
        <w:t>额计入其他综合收益之外，均计入当期损益。</w:t>
      </w:r>
    </w:p>
    <w:p>
      <w:pPr>
        <w:pStyle w:val="BodyText"/>
        <w:spacing w:line="410" w:lineRule="auto" w:before="1"/>
        <w:ind w:left="1538" w:right="1268" w:firstLine="419"/>
        <w:jc w:val="both"/>
      </w:pPr>
      <w:r>
        <w:rPr/>
        <w:t>以历史成本计量的外币非货币性项目，仍采用交易发生日的即期汇率折算，不改变其记账本位币金额。以公允价值计量的外币非货币性项目，采用公允价值确定日的即期汇率折算，折算后的记账本位币金额与原记账本位币金额的差额，作为公允价值变动</w:t>
      </w:r>
      <w:r>
        <w:rPr>
          <w:rFonts w:ascii="Times New Roman" w:eastAsia="Times New Roman"/>
        </w:rPr>
        <w:t>(</w:t>
      </w:r>
      <w:r>
        <w:rPr/>
        <w:t>含汇率变动</w:t>
      </w:r>
      <w:r>
        <w:rPr>
          <w:rFonts w:ascii="Times New Roman" w:eastAsia="Times New Roman"/>
        </w:rPr>
        <w:t>)</w:t>
      </w:r>
      <w:r>
        <w:rPr/>
        <w:t>处理，计入当期损益或确认为其他综合收益。</w:t>
      </w:r>
    </w:p>
    <w:p>
      <w:pPr>
        <w:pStyle w:val="ListParagraph"/>
        <w:numPr>
          <w:ilvl w:val="0"/>
          <w:numId w:val="33"/>
        </w:numPr>
        <w:tabs>
          <w:tab w:pos="2427" w:val="left" w:leader="none"/>
        </w:tabs>
        <w:spacing w:line="253" w:lineRule="exact" w:before="0" w:after="0"/>
        <w:ind w:left="2427" w:right="0" w:hanging="529"/>
        <w:jc w:val="left"/>
        <w:rPr>
          <w:sz w:val="21"/>
        </w:rPr>
      </w:pPr>
      <w:r>
        <w:rPr>
          <w:spacing w:val="-3"/>
          <w:sz w:val="21"/>
        </w:rPr>
        <w:t>外币财务报表折算</w:t>
      </w:r>
    </w:p>
    <w:p>
      <w:pPr>
        <w:pStyle w:val="BodyText"/>
        <w:spacing w:before="7"/>
        <w:rPr>
          <w:sz w:val="17"/>
        </w:rPr>
      </w:pPr>
    </w:p>
    <w:p>
      <w:pPr>
        <w:pStyle w:val="BodyText"/>
        <w:spacing w:line="410" w:lineRule="auto"/>
        <w:ind w:left="1538" w:right="1270" w:firstLine="419"/>
      </w:pPr>
      <w:r>
        <w:rPr/>
        <w:t>本公司的控股子公司、合营企业、联营企业等，若采用与本公司不同的记账本位币，需对其外币财务报表折算后，再进行会计核算及合并财务报表的编报。</w:t>
      </w:r>
    </w:p>
    <w:p>
      <w:pPr>
        <w:pStyle w:val="BodyText"/>
        <w:spacing w:line="410" w:lineRule="auto" w:before="2"/>
        <w:ind w:left="1538" w:right="1268" w:firstLine="419"/>
        <w:jc w:val="both"/>
      </w:pPr>
      <w:r>
        <w:rPr>
          <w:spacing w:val="-8"/>
        </w:rPr>
        <w:t>资产负债表中的资产和负债项目，采用资产负债表日的即期汇率折算，所有者权益项目除</w:t>
      </w:r>
      <w:r>
        <w:rPr>
          <w:rFonts w:ascii="Times New Roman" w:hAnsi="Times New Roman" w:eastAsia="Times New Roman"/>
          <w:spacing w:val="-3"/>
        </w:rPr>
        <w:t>“</w:t>
      </w:r>
      <w:r>
        <w:rPr/>
        <w:t>未</w:t>
      </w:r>
      <w:r>
        <w:rPr>
          <w:spacing w:val="-1"/>
        </w:rPr>
        <w:t>分配利润</w:t>
      </w:r>
      <w:r>
        <w:rPr>
          <w:rFonts w:ascii="Times New Roman" w:hAnsi="Times New Roman" w:eastAsia="Times New Roman"/>
          <w:spacing w:val="-3"/>
        </w:rPr>
        <w:t>”</w:t>
      </w:r>
      <w:r>
        <w:rPr>
          <w:spacing w:val="-9"/>
        </w:rPr>
        <w:t>项目外，其他项目采用发生时的即期汇率折算。利润表中的收入和费用项目，采用交易</w:t>
      </w:r>
      <w:r>
        <w:rPr>
          <w:spacing w:val="-6"/>
        </w:rPr>
        <w:t>发生日即期汇率的近似汇率折算。折算产生的外币财务报表折算差额，在资产负债表中所有者权</w:t>
      </w:r>
      <w:r>
        <w:rPr>
          <w:spacing w:val="-4"/>
        </w:rPr>
        <w:t>益项目其他综合收益下列示。</w:t>
      </w:r>
    </w:p>
    <w:p>
      <w:pPr>
        <w:pStyle w:val="BodyText"/>
        <w:spacing w:line="410" w:lineRule="auto"/>
        <w:ind w:left="1538" w:right="1270" w:firstLine="419"/>
      </w:pPr>
      <w:r>
        <w:rPr>
          <w:spacing w:val="-3"/>
        </w:rPr>
        <w:t>外币现金流量采用交易发生日即期汇率的近似汇率折算。汇率变动对现金的影响额，在现金流量表中单独列示。</w:t>
      </w:r>
    </w:p>
    <w:p>
      <w:pPr>
        <w:pStyle w:val="BodyText"/>
        <w:spacing w:line="408" w:lineRule="auto"/>
        <w:ind w:left="1538" w:right="1270" w:firstLine="419"/>
      </w:pPr>
      <w:r>
        <w:rPr>
          <w:spacing w:val="-3"/>
        </w:rPr>
        <w:t>处置境外经营时，与该境外经营有关的外币报表折算差额，全部或按处置该境外经营的比例转入处置当期损益。</w:t>
      </w:r>
    </w:p>
    <w:p>
      <w:pPr>
        <w:pStyle w:val="Heading4"/>
        <w:numPr>
          <w:ilvl w:val="0"/>
          <w:numId w:val="31"/>
        </w:numPr>
        <w:tabs>
          <w:tab w:pos="1963" w:val="left" w:leader="none"/>
        </w:tabs>
        <w:spacing w:line="240" w:lineRule="auto" w:before="50" w:after="0"/>
        <w:ind w:left="1962" w:right="0" w:hanging="425"/>
        <w:jc w:val="left"/>
      </w:pPr>
      <w:r>
        <w:rPr/>
        <w:t>金融工具</w:t>
      </w:r>
    </w:p>
    <w:p>
      <w:pPr>
        <w:pStyle w:val="BodyText"/>
        <w:tabs>
          <w:tab w:pos="2805" w:val="left" w:leader="none"/>
        </w:tabs>
        <w:spacing w:before="15"/>
        <w:ind w:left="1962"/>
      </w:pPr>
      <w:r>
        <w:rPr/>
        <w:t>√适用</w:t>
        <w:tab/>
      </w:r>
      <w:r>
        <w:rPr>
          <w:spacing w:val="-3"/>
        </w:rPr>
        <w:t>□</w:t>
      </w:r>
      <w:r>
        <w:rPr/>
        <w:t>不</w:t>
      </w:r>
      <w:r>
        <w:rPr>
          <w:spacing w:val="-3"/>
        </w:rPr>
        <w:t>适</w:t>
      </w:r>
      <w:r>
        <w:rPr/>
        <w:t>用</w:t>
      </w:r>
    </w:p>
    <w:p>
      <w:pPr>
        <w:pStyle w:val="BodyText"/>
        <w:spacing w:line="427" w:lineRule="auto" w:before="177"/>
        <w:ind w:left="1538" w:right="1337" w:firstLine="359"/>
      </w:pPr>
      <w:r>
        <w:rPr/>
        <w:t>金融工具，是指形成一方的金融资产并形成其他方的金融负债或权益工具的合同。当本公司成为金融工具合同的一方时，确认相关的金融资产或金融负债。</w:t>
      </w:r>
    </w:p>
    <w:p>
      <w:pPr>
        <w:pStyle w:val="ListParagraph"/>
        <w:numPr>
          <w:ilvl w:val="0"/>
          <w:numId w:val="34"/>
        </w:numPr>
        <w:tabs>
          <w:tab w:pos="2427" w:val="left" w:leader="none"/>
        </w:tabs>
        <w:spacing w:line="240" w:lineRule="auto" w:before="2" w:after="0"/>
        <w:ind w:left="2427" w:right="0" w:hanging="529"/>
        <w:jc w:val="left"/>
        <w:rPr>
          <w:sz w:val="21"/>
        </w:rPr>
      </w:pPr>
      <w:r>
        <w:rPr>
          <w:spacing w:val="-2"/>
          <w:sz w:val="21"/>
        </w:rPr>
        <w:t>金融资产</w:t>
      </w:r>
    </w:p>
    <w:p>
      <w:pPr>
        <w:spacing w:after="0" w:line="240" w:lineRule="auto"/>
        <w:jc w:val="left"/>
        <w:rPr>
          <w:sz w:val="21"/>
        </w:rPr>
        <w:sectPr>
          <w:pgSz w:w="11910" w:h="16840"/>
          <w:pgMar w:header="876" w:footer="1208" w:top="1440" w:bottom="1400" w:left="260" w:right="0"/>
        </w:sectPr>
      </w:pPr>
    </w:p>
    <w:p>
      <w:pPr>
        <w:pStyle w:val="BodyText"/>
        <w:spacing w:before="4"/>
        <w:rPr>
          <w:sz w:val="14"/>
        </w:rPr>
      </w:pPr>
    </w:p>
    <w:p>
      <w:pPr>
        <w:pStyle w:val="BodyText"/>
        <w:spacing w:before="72"/>
        <w:ind w:left="1958"/>
        <w:jc w:val="both"/>
      </w:pPr>
      <w:r>
        <w:rPr/>
        <w:t>① 分类和计量</w:t>
      </w:r>
    </w:p>
    <w:p>
      <w:pPr>
        <w:pStyle w:val="BodyText"/>
        <w:spacing w:line="427" w:lineRule="auto" w:before="177"/>
        <w:ind w:left="1538" w:right="1267" w:firstLine="359"/>
        <w:jc w:val="both"/>
      </w:pPr>
      <w:r>
        <w:rPr>
          <w:spacing w:val="-9"/>
          <w:w w:val="100"/>
        </w:rPr>
        <w:t>本公司根据管理金融资产的业务模式和金融资产的合同现金流量特征，将金融资产划分为：</w:t>
      </w:r>
      <w:r>
        <w:rPr>
          <w:rFonts w:ascii="Times New Roman" w:eastAsia="Times New Roman"/>
          <w:spacing w:val="-1"/>
          <w:w w:val="100"/>
        </w:rPr>
        <w:t>(</w:t>
      </w:r>
      <w:r>
        <w:rPr>
          <w:rFonts w:ascii="Times New Roman" w:eastAsia="Times New Roman"/>
          <w:w w:val="100"/>
        </w:rPr>
        <w:t>1)</w:t>
      </w:r>
      <w:r>
        <w:rPr>
          <w:spacing w:val="-4"/>
        </w:rPr>
        <w:t>以摊余成本计量的金融资产；</w:t>
      </w:r>
      <w:r>
        <w:rPr>
          <w:rFonts w:ascii="Times New Roman" w:eastAsia="Times New Roman"/>
          <w:spacing w:val="-8"/>
        </w:rPr>
        <w:t>(2)</w:t>
      </w:r>
      <w:r>
        <w:rPr>
          <w:spacing w:val="-4"/>
        </w:rPr>
        <w:t>以公允价值计量且其变动计入其他综合收益的金融资产；</w:t>
      </w:r>
      <w:r>
        <w:rPr>
          <w:rFonts w:ascii="Times New Roman" w:eastAsia="Times New Roman"/>
          <w:spacing w:val="-8"/>
        </w:rPr>
        <w:t>(3)</w:t>
      </w:r>
      <w:r>
        <w:rPr>
          <w:spacing w:val="-3"/>
        </w:rPr>
        <w:t>以公允价值计量且其变动计入当期损益的金融资产。</w:t>
      </w:r>
    </w:p>
    <w:p>
      <w:pPr>
        <w:pStyle w:val="BodyText"/>
        <w:spacing w:line="427" w:lineRule="auto" w:before="4"/>
        <w:ind w:left="1538" w:right="1277" w:firstLine="359"/>
        <w:jc w:val="both"/>
      </w:pPr>
      <w:r>
        <w:rPr/>
        <w:t>金融资产在初始确认时以公允价值计量。对于以公允价值计量且其变动计入当期损益的金融资产，相关交易费用直接计入当期损益；对于其他类别的金融资产，相关交易费用计入初始确认金额。因销售产品或提供劳务而产生的、未包含或不考虑重大融资成分的应收账款或应收票据， 本公司按照预期有权收取的对价金额作为初始确认金额。</w:t>
      </w:r>
    </w:p>
    <w:p>
      <w:pPr>
        <w:pStyle w:val="ListParagraph"/>
        <w:numPr>
          <w:ilvl w:val="0"/>
          <w:numId w:val="35"/>
        </w:numPr>
        <w:tabs>
          <w:tab w:pos="2204" w:val="left" w:leader="none"/>
        </w:tabs>
        <w:spacing w:line="240" w:lineRule="auto" w:before="5" w:after="0"/>
        <w:ind w:left="2203" w:right="0" w:hanging="306"/>
        <w:jc w:val="left"/>
        <w:rPr>
          <w:sz w:val="21"/>
        </w:rPr>
      </w:pPr>
      <w:r>
        <w:rPr>
          <w:spacing w:val="-3"/>
          <w:sz w:val="21"/>
        </w:rPr>
        <w:t>债务工具</w:t>
      </w:r>
    </w:p>
    <w:p>
      <w:pPr>
        <w:pStyle w:val="BodyText"/>
        <w:spacing w:before="5"/>
        <w:rPr>
          <w:sz w:val="16"/>
        </w:rPr>
      </w:pPr>
    </w:p>
    <w:p>
      <w:pPr>
        <w:pStyle w:val="BodyText"/>
        <w:spacing w:line="427" w:lineRule="auto"/>
        <w:ind w:left="1538" w:right="1337" w:firstLine="359"/>
      </w:pPr>
      <w:r>
        <w:rPr/>
        <w:t>本公司持有的债务工具是指从发行方角度分析符合金融负债定义的工具，分别采用以下三种方式进行计量：</w:t>
      </w:r>
    </w:p>
    <w:p>
      <w:pPr>
        <w:pStyle w:val="ListParagraph"/>
        <w:numPr>
          <w:ilvl w:val="0"/>
          <w:numId w:val="36"/>
        </w:numPr>
        <w:tabs>
          <w:tab w:pos="2415" w:val="left" w:leader="none"/>
        </w:tabs>
        <w:spacing w:line="240" w:lineRule="auto" w:before="3" w:after="0"/>
        <w:ind w:left="2415" w:right="0" w:hanging="517"/>
        <w:jc w:val="left"/>
        <w:rPr>
          <w:sz w:val="21"/>
        </w:rPr>
      </w:pPr>
      <w:r>
        <w:rPr>
          <w:spacing w:val="-3"/>
          <w:sz w:val="21"/>
        </w:rPr>
        <w:t>以摊余成本计量：</w:t>
      </w:r>
    </w:p>
    <w:p>
      <w:pPr>
        <w:pStyle w:val="BodyText"/>
        <w:spacing w:before="5"/>
        <w:rPr>
          <w:sz w:val="16"/>
        </w:rPr>
      </w:pPr>
    </w:p>
    <w:p>
      <w:pPr>
        <w:pStyle w:val="BodyText"/>
        <w:spacing w:line="427" w:lineRule="auto" w:before="1"/>
        <w:ind w:left="1538" w:right="1277" w:firstLine="359"/>
      </w:pPr>
      <w:r>
        <w:rPr/>
        <w:t>本公司管理此类金融资产的业务模式为以收取合同现金流量为目标，且此类金融资产的合同现金流量特征与基本借贷安排相一致，即在特定日期产生的现金流量，仅为对本金和以未偿付本金金额为基础的利息的支付。本公司对于此类金融资产按照实际利率法确认利息收入。此类金融资产主要包括货币资金、应收票据及应收账款、其他应收款、债权投资和长期应收款等。本公司将自资产负债表日起一年内</w:t>
      </w:r>
      <w:r>
        <w:rPr>
          <w:rFonts w:ascii="Times New Roman" w:eastAsia="Times New Roman"/>
        </w:rPr>
        <w:t>(</w:t>
      </w:r>
      <w:r>
        <w:rPr/>
        <w:t>含一年</w:t>
      </w:r>
      <w:r>
        <w:rPr>
          <w:rFonts w:ascii="Times New Roman" w:eastAsia="Times New Roman"/>
        </w:rPr>
        <w:t>)</w:t>
      </w:r>
      <w:r>
        <w:rPr/>
        <w:t>到期的债权投资和长期应收款，列示为一年内到期的非流动资产；取得时期限在一年内</w:t>
      </w:r>
      <w:r>
        <w:rPr>
          <w:rFonts w:ascii="Times New Roman" w:eastAsia="Times New Roman"/>
        </w:rPr>
        <w:t>(</w:t>
      </w:r>
      <w:r>
        <w:rPr/>
        <w:t>含一年</w:t>
      </w:r>
      <w:r>
        <w:rPr>
          <w:rFonts w:ascii="Times New Roman" w:eastAsia="Times New Roman"/>
        </w:rPr>
        <w:t>)</w:t>
      </w:r>
      <w:r>
        <w:rPr/>
        <w:t>的债权投资列示为其他流动资产。</w:t>
      </w:r>
    </w:p>
    <w:p>
      <w:pPr>
        <w:pStyle w:val="ListParagraph"/>
        <w:numPr>
          <w:ilvl w:val="0"/>
          <w:numId w:val="36"/>
        </w:numPr>
        <w:tabs>
          <w:tab w:pos="2487" w:val="left" w:leader="none"/>
        </w:tabs>
        <w:spacing w:line="240" w:lineRule="auto" w:before="21" w:after="0"/>
        <w:ind w:left="2487" w:right="0" w:hanging="529"/>
        <w:jc w:val="left"/>
        <w:rPr>
          <w:sz w:val="21"/>
        </w:rPr>
      </w:pPr>
      <w:r>
        <w:rPr>
          <w:spacing w:val="-3"/>
          <w:sz w:val="21"/>
        </w:rPr>
        <w:t>以公允价值计量且其变动计入其他综合收益：</w:t>
      </w:r>
    </w:p>
    <w:p>
      <w:pPr>
        <w:pStyle w:val="BodyText"/>
        <w:spacing w:line="410" w:lineRule="auto" w:before="192"/>
        <w:ind w:left="1538" w:right="1268" w:firstLine="419"/>
        <w:jc w:val="both"/>
      </w:pPr>
      <w:r>
        <w:rPr/>
        <w:t>本公司管理此类金融资产的业务模式为既以收取合同现金流量为目标又以出售为目标，且此类金融资产的合同现金流量特征与基本借贷安排相一致。此类金融资产按照公允价值计量且其变动计入其他综合收益，但减值损失或利得、汇兑损益和按照实际利率法计算的利息收入计入当期损益。此类金融资产列示为其他债权投资，自资产负债表日起一年内</w:t>
      </w:r>
      <w:r>
        <w:rPr>
          <w:rFonts w:ascii="Times New Roman" w:eastAsia="Times New Roman"/>
        </w:rPr>
        <w:t>(</w:t>
      </w:r>
      <w:r>
        <w:rPr/>
        <w:t>含一年</w:t>
      </w:r>
      <w:r>
        <w:rPr>
          <w:rFonts w:ascii="Times New Roman" w:eastAsia="Times New Roman"/>
        </w:rPr>
        <w:t>)</w:t>
      </w:r>
      <w:r>
        <w:rPr/>
        <w:t>到期的其他债权投资，列示为一年内到期的非流动资产；取得时期限在一年内</w:t>
      </w:r>
      <w:r>
        <w:rPr>
          <w:rFonts w:ascii="Times New Roman" w:eastAsia="Times New Roman"/>
        </w:rPr>
        <w:t>(</w:t>
      </w:r>
      <w:r>
        <w:rPr/>
        <w:t>含一年</w:t>
      </w:r>
      <w:r>
        <w:rPr>
          <w:rFonts w:ascii="Times New Roman" w:eastAsia="Times New Roman"/>
        </w:rPr>
        <w:t>)</w:t>
      </w:r>
      <w:r>
        <w:rPr/>
        <w:t>的其他债权投资列示为其他流动资产。</w:t>
      </w:r>
    </w:p>
    <w:p>
      <w:pPr>
        <w:pStyle w:val="ListParagraph"/>
        <w:numPr>
          <w:ilvl w:val="0"/>
          <w:numId w:val="36"/>
        </w:numPr>
        <w:tabs>
          <w:tab w:pos="2475" w:val="left" w:leader="none"/>
        </w:tabs>
        <w:spacing w:line="240" w:lineRule="auto" w:before="0" w:after="0"/>
        <w:ind w:left="2475" w:right="0" w:hanging="517"/>
        <w:jc w:val="left"/>
        <w:rPr>
          <w:sz w:val="21"/>
        </w:rPr>
      </w:pPr>
      <w:r>
        <w:rPr>
          <w:spacing w:val="-3"/>
          <w:sz w:val="21"/>
        </w:rPr>
        <w:t>以公允价值计量且其变动计入当期损益：</w:t>
      </w:r>
    </w:p>
    <w:p>
      <w:pPr>
        <w:pStyle w:val="BodyText"/>
        <w:spacing w:line="410" w:lineRule="auto" w:before="189"/>
        <w:ind w:left="1538" w:right="1268" w:firstLine="419"/>
        <w:jc w:val="both"/>
      </w:pPr>
      <w:r>
        <w:rPr/>
        <w:t>本公司将持有的未划分为以摊余成本计量和以公允价值计量且其变动计入其他综合收益的债务工具，以公允价值计量且其变动计入当期损益，列示为交易性金融资产。在初始确认时，本公司为了消除或显著减少会计错配，将部分金融资产指定为以公允价值计量且其变动计入当期损益</w:t>
      </w:r>
    </w:p>
    <w:p>
      <w:pPr>
        <w:spacing w:after="0" w:line="410" w:lineRule="auto"/>
        <w:jc w:val="both"/>
        <w:sectPr>
          <w:headerReference w:type="default" r:id="rId89"/>
          <w:footerReference w:type="default" r:id="rId90"/>
          <w:pgSz w:w="11910" w:h="16840"/>
          <w:pgMar w:header="876" w:footer="1214" w:top="1440" w:bottom="1400" w:left="260" w:right="0"/>
        </w:sectPr>
      </w:pPr>
    </w:p>
    <w:p>
      <w:pPr>
        <w:pStyle w:val="BodyText"/>
        <w:spacing w:before="4"/>
        <w:rPr>
          <w:sz w:val="14"/>
        </w:rPr>
      </w:pPr>
    </w:p>
    <w:p>
      <w:pPr>
        <w:pStyle w:val="BodyText"/>
        <w:spacing w:line="410" w:lineRule="auto" w:before="72"/>
        <w:ind w:left="1538" w:right="1268"/>
      </w:pPr>
      <w:r>
        <w:rPr/>
        <w:t>的金融资产。自资产负债表日起超过一年到期且预期持有超过一年的，列示为其他非流动金融资产。</w:t>
      </w:r>
    </w:p>
    <w:p>
      <w:pPr>
        <w:pStyle w:val="ListParagraph"/>
        <w:numPr>
          <w:ilvl w:val="0"/>
          <w:numId w:val="35"/>
        </w:numPr>
        <w:tabs>
          <w:tab w:pos="2118" w:val="left" w:leader="none"/>
        </w:tabs>
        <w:spacing w:line="240" w:lineRule="auto" w:before="2" w:after="0"/>
        <w:ind w:left="2117" w:right="0" w:hanging="160"/>
        <w:jc w:val="left"/>
        <w:rPr>
          <w:sz w:val="21"/>
        </w:rPr>
      </w:pPr>
      <w:r>
        <w:rPr>
          <w:spacing w:val="-2"/>
          <w:sz w:val="21"/>
        </w:rPr>
        <w:t>权益工具</w:t>
      </w:r>
    </w:p>
    <w:p>
      <w:pPr>
        <w:pStyle w:val="BodyText"/>
        <w:spacing w:line="410" w:lineRule="auto" w:before="189"/>
        <w:ind w:left="1538" w:right="1268" w:firstLine="419"/>
        <w:jc w:val="both"/>
      </w:pPr>
      <w:r>
        <w:rPr/>
        <w:t>本公司将对其没有控制、共同控制和重大影响的权益工具投资按照公允价值计量且其变动计入当期损益，列示为交易性金融资产；自资产负债表日起预期持有超过一年的，列示为其他非流动金融资产。</w:t>
      </w:r>
    </w:p>
    <w:p>
      <w:pPr>
        <w:pStyle w:val="BodyText"/>
        <w:spacing w:line="410" w:lineRule="auto"/>
        <w:ind w:left="1538" w:right="1270" w:firstLine="419"/>
      </w:pPr>
      <w:r>
        <w:rPr/>
        <w:t>此外，本公司将部分非交易性权益工具投资指定为以公允价值计量且其变动计入其他综合收益的金融资产，列示为其他权益工具投资。该类金融资产的相关股利收入计入当期损益。</w:t>
      </w:r>
    </w:p>
    <w:p>
      <w:pPr>
        <w:pStyle w:val="BodyText"/>
        <w:spacing w:before="2"/>
        <w:ind w:left="1958"/>
      </w:pPr>
      <w:r>
        <w:rPr/>
        <w:t>②减值</w:t>
      </w:r>
    </w:p>
    <w:p>
      <w:pPr>
        <w:pStyle w:val="BodyText"/>
        <w:spacing w:before="9"/>
        <w:rPr>
          <w:sz w:val="14"/>
        </w:rPr>
      </w:pPr>
    </w:p>
    <w:p>
      <w:pPr>
        <w:pStyle w:val="BodyText"/>
        <w:spacing w:line="410" w:lineRule="auto" w:before="1"/>
        <w:ind w:left="1538" w:right="1270" w:firstLine="419"/>
      </w:pPr>
      <w:r>
        <w:rPr/>
        <w:t>本公司对于以摊余成本计量的金融资产、以公允价值计量且其变动计入其他综合收益的债务工具投资、合同资产和财务担保合同等，以预期信用损失为基础确认损失准备。</w:t>
      </w:r>
    </w:p>
    <w:p>
      <w:pPr>
        <w:pStyle w:val="BodyText"/>
        <w:spacing w:line="410" w:lineRule="auto" w:before="1"/>
        <w:ind w:left="1538" w:right="1268" w:firstLine="419"/>
        <w:jc w:val="both"/>
      </w:pPr>
      <w:r>
        <w:rPr/>
        <w:t>本公司考虑有关过去事项、当前状况以及对未来经济状况的预测等合理且有依据的信息，以发生违约的风险为权重，计算合同应收的现金流量与预期能收到的现金流量之间差额的现值的概率加权金额，确认预期信用损失。</w:t>
      </w:r>
    </w:p>
    <w:p>
      <w:pPr>
        <w:pStyle w:val="BodyText"/>
        <w:spacing w:line="410" w:lineRule="auto"/>
        <w:ind w:left="1538" w:right="1268" w:firstLine="419"/>
        <w:jc w:val="both"/>
      </w:pPr>
      <w:r>
        <w:rPr>
          <w:spacing w:val="-3"/>
        </w:rPr>
        <w:t>于每个资产负债表日，本公司对于处于不同阶段的金融工具的预期信用损失分别进行计量。</w:t>
      </w:r>
      <w:r>
        <w:rPr>
          <w:spacing w:val="-9"/>
        </w:rPr>
        <w:t>金融工具自初始确认后信用风险未显著增加的，处于第一阶段，本公司按照未来 </w:t>
      </w:r>
      <w:r>
        <w:rPr>
          <w:rFonts w:ascii="Times New Roman" w:eastAsia="Times New Roman"/>
        </w:rPr>
        <w:t>12 </w:t>
      </w:r>
      <w:r>
        <w:rPr>
          <w:spacing w:val="-3"/>
        </w:rPr>
        <w:t>个月内的预期信用损失计量损失准备；金融工具自初始确认后信用风险已显著增加但尚未发生信用减值的，处于第二阶段，本公司按照该工具整个存续期的预期信用损失计量损失准备；金融工具自初始确认后已经发生信用减值的，处于第三阶段，本公司按照该工具整个存续期的预期信用损失计量损失准备。</w:t>
      </w:r>
    </w:p>
    <w:p>
      <w:pPr>
        <w:pStyle w:val="BodyText"/>
        <w:spacing w:line="408" w:lineRule="auto"/>
        <w:ind w:left="1538" w:right="1270" w:firstLine="419"/>
        <w:jc w:val="both"/>
      </w:pPr>
      <w:r>
        <w:rPr/>
        <w:t>对于在资产负债表日具有较低信用风险的金融工具，本公司假设其信用风险自初始确认后并未显著增加，按照未来 </w:t>
      </w:r>
      <w:r>
        <w:rPr>
          <w:rFonts w:ascii="Times New Roman" w:eastAsia="Times New Roman"/>
        </w:rPr>
        <w:t>12 </w:t>
      </w:r>
      <w:r>
        <w:rPr/>
        <w:t>个月内的预期信用损失计量损失准备。</w:t>
      </w:r>
    </w:p>
    <w:p>
      <w:pPr>
        <w:pStyle w:val="BodyText"/>
        <w:spacing w:line="410" w:lineRule="auto" w:before="4"/>
        <w:ind w:left="1538" w:right="1268" w:firstLine="419"/>
        <w:jc w:val="both"/>
      </w:pPr>
      <w:r>
        <w:rPr/>
        <w:t>本公司对于处于第一阶段和第二阶段、以及较低信用风险的金融工具，按照其未扣除减值准备的账面余额和实际利率计算利息收入。对于处于第三阶段的金融工具，按照其账面余额减已计提减值准备后的摊余成本和实际利率计算利息收入。</w:t>
      </w:r>
    </w:p>
    <w:p>
      <w:pPr>
        <w:pStyle w:val="BodyText"/>
        <w:spacing w:line="410" w:lineRule="auto"/>
        <w:ind w:left="1538" w:right="1270" w:firstLine="419"/>
      </w:pPr>
      <w:r>
        <w:rPr/>
        <w:t>对于应收票据及应收账款和合同资产，无论是否存在重大融资成分，本公司均按照整个存续期的预期信用损失计量损失准备。</w:t>
      </w:r>
    </w:p>
    <w:p>
      <w:pPr>
        <w:pStyle w:val="BodyText"/>
        <w:spacing w:line="410" w:lineRule="auto"/>
        <w:ind w:left="1538" w:right="1270" w:firstLine="419"/>
      </w:pPr>
      <w:r>
        <w:rPr/>
        <w:pict>
          <v:shape style="position:absolute;margin-left:84.503998pt;margin-top:37.375996pt;width:446.6pt;height:24.4pt;mso-position-horizontal-relative:page;mso-position-vertical-relative:paragraph;z-index:-303827968" type="#_x0000_t202" filled="false" stroked="true" strokeweight="1.44pt" strokecolor="#000000">
            <v:textbox inset="0,0,0,0">
              <w:txbxContent>
                <w:p>
                  <w:pPr>
                    <w:pStyle w:val="BodyText"/>
                    <w:spacing w:before="9"/>
                    <w:rPr>
                      <w:sz w:val="14"/>
                    </w:rPr>
                  </w:pPr>
                </w:p>
                <w:p>
                  <w:pPr>
                    <w:pStyle w:val="BodyText"/>
                    <w:ind w:left="513"/>
                  </w:pPr>
                  <w:r>
                    <w:rPr>
                      <w:spacing w:val="-9"/>
                    </w:rPr>
                    <w:t>对于划分为组合的应收票据，本公司参考历史信用损失经验，结合当前状况以及对未来经济</w:t>
                  </w:r>
                </w:p>
              </w:txbxContent>
            </v:textbox>
            <v:stroke dashstyle="solid"/>
            <w10:wrap type="none"/>
          </v:shape>
        </w:pict>
      </w:r>
      <w:r>
        <w:rPr/>
        <w:t>本公司依据信用风险特征将应收款项划分为若干组合，在组合基础上计算预期信用损失，确定组合的依据如下：</w:t>
      </w:r>
    </w:p>
    <w:p>
      <w:pPr>
        <w:spacing w:after="0" w:line="410" w:lineRule="auto"/>
        <w:sectPr>
          <w:headerReference w:type="default" r:id="rId91"/>
          <w:footerReference w:type="default" r:id="rId92"/>
          <w:pgSz w:w="11910" w:h="16840"/>
          <w:pgMar w:header="876" w:footer="1191" w:top="1440" w:bottom="1380" w:left="260" w:right="0"/>
          <w:pgNumType w:start="1"/>
        </w:sectPr>
      </w:pPr>
    </w:p>
    <w:p>
      <w:pPr>
        <w:pStyle w:val="BodyText"/>
        <w:spacing w:before="2"/>
        <w:rPr>
          <w:sz w:val="5"/>
        </w:r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932"/>
      </w:tblGrid>
      <w:tr>
        <w:trPr>
          <w:trHeight w:val="462" w:hRule="atLeast"/>
        </w:trPr>
        <w:tc>
          <w:tcPr>
            <w:tcW w:w="8932" w:type="dxa"/>
            <w:tcBorders>
              <w:bottom w:val="single" w:sz="4" w:space="0" w:color="000000"/>
            </w:tcBorders>
          </w:tcPr>
          <w:p>
            <w:pPr>
              <w:pStyle w:val="TableParagraph"/>
              <w:spacing w:before="11"/>
              <w:rPr>
                <w:rFonts w:ascii="宋体"/>
                <w:sz w:val="14"/>
              </w:rPr>
            </w:pPr>
          </w:p>
          <w:p>
            <w:pPr>
              <w:pStyle w:val="TableParagraph"/>
              <w:spacing w:line="252" w:lineRule="exact"/>
              <w:ind w:left="107"/>
              <w:rPr>
                <w:rFonts w:ascii="宋体" w:eastAsia="宋体" w:hint="eastAsia"/>
                <w:sz w:val="21"/>
              </w:rPr>
            </w:pPr>
            <w:r>
              <w:rPr>
                <w:rFonts w:ascii="宋体" w:eastAsia="宋体" w:hint="eastAsia"/>
                <w:sz w:val="21"/>
              </w:rPr>
              <w:t>状况的预测，通过违约风险敞口和整个存续期预期信用损失率，计算预期信用损失。</w:t>
            </w:r>
          </w:p>
        </w:tc>
      </w:tr>
      <w:tr>
        <w:trPr>
          <w:trHeight w:val="2298" w:hRule="atLeast"/>
        </w:trPr>
        <w:tc>
          <w:tcPr>
            <w:tcW w:w="8932" w:type="dxa"/>
            <w:tcBorders>
              <w:top w:val="single" w:sz="4" w:space="0" w:color="000000"/>
            </w:tcBorders>
          </w:tcPr>
          <w:p>
            <w:pPr>
              <w:pStyle w:val="TableParagraph"/>
              <w:spacing w:before="8"/>
              <w:rPr>
                <w:rFonts w:ascii="宋体"/>
                <w:sz w:val="14"/>
              </w:rPr>
            </w:pPr>
          </w:p>
          <w:p>
            <w:pPr>
              <w:pStyle w:val="TableParagraph"/>
              <w:spacing w:line="408" w:lineRule="auto" w:before="1"/>
              <w:ind w:left="107" w:right="-44" w:firstLine="419"/>
              <w:rPr>
                <w:rFonts w:ascii="宋体" w:eastAsia="宋体" w:hint="eastAsia"/>
                <w:sz w:val="21"/>
              </w:rPr>
            </w:pPr>
            <w:r>
              <w:rPr>
                <w:rFonts w:ascii="宋体" w:eastAsia="宋体" w:hint="eastAsia"/>
                <w:spacing w:val="-9"/>
                <w:sz w:val="21"/>
              </w:rPr>
              <w:t>对于划分为组合的应收账款，本公司参考历史信用损失经验，结合当前状况以及对未来经济</w:t>
            </w:r>
            <w:r>
              <w:rPr>
                <w:rFonts w:ascii="宋体" w:eastAsia="宋体" w:hint="eastAsia"/>
                <w:spacing w:val="-5"/>
                <w:sz w:val="21"/>
              </w:rPr>
              <w:t>状况的预测，编制应收账款逾期天数与整个存续期预期信用损失率对照表，计算预期信用损失。</w:t>
            </w:r>
          </w:p>
          <w:p>
            <w:pPr>
              <w:pStyle w:val="TableParagraph"/>
              <w:spacing w:before="4"/>
              <w:ind w:left="107" w:firstLine="419"/>
              <w:rPr>
                <w:rFonts w:ascii="宋体" w:eastAsia="宋体" w:hint="eastAsia"/>
                <w:sz w:val="21"/>
              </w:rPr>
            </w:pPr>
            <w:r>
              <w:rPr>
                <w:rFonts w:ascii="宋体" w:eastAsia="宋体" w:hint="eastAsia"/>
                <w:spacing w:val="-9"/>
                <w:sz w:val="21"/>
              </w:rPr>
              <w:t>对于划分为组合的其他应收款，本公司参考历史信用损失经验，结合当前状况以及对未来经</w:t>
            </w:r>
          </w:p>
          <w:p>
            <w:pPr>
              <w:pStyle w:val="TableParagraph"/>
              <w:spacing w:line="460" w:lineRule="atLeast" w:before="1"/>
              <w:ind w:left="107" w:right="13"/>
              <w:rPr>
                <w:rFonts w:ascii="宋体" w:eastAsia="宋体" w:hint="eastAsia"/>
                <w:sz w:val="21"/>
              </w:rPr>
            </w:pPr>
            <w:r>
              <w:rPr>
                <w:rFonts w:ascii="宋体" w:eastAsia="宋体" w:hint="eastAsia"/>
                <w:sz w:val="21"/>
              </w:rPr>
              <w:t>济状况的预测，通过违约风险敞口和未来 </w:t>
            </w:r>
            <w:r>
              <w:rPr>
                <w:sz w:val="21"/>
              </w:rPr>
              <w:t>12 </w:t>
            </w:r>
            <w:r>
              <w:rPr>
                <w:rFonts w:ascii="宋体" w:eastAsia="宋体" w:hint="eastAsia"/>
                <w:sz w:val="21"/>
              </w:rPr>
              <w:t>个月内或整个存续期预期信用损失率，计算预期信用损失。</w:t>
            </w:r>
          </w:p>
        </w:tc>
      </w:tr>
    </w:tbl>
    <w:p>
      <w:pPr>
        <w:pStyle w:val="BodyText"/>
        <w:spacing w:before="4"/>
        <w:rPr>
          <w:sz w:val="9"/>
        </w:rPr>
      </w:pPr>
    </w:p>
    <w:p>
      <w:pPr>
        <w:pStyle w:val="BodyText"/>
        <w:spacing w:line="408" w:lineRule="auto" w:before="72"/>
        <w:ind w:left="1538" w:right="1270" w:firstLine="419"/>
      </w:pPr>
      <w:r>
        <w:rPr/>
        <w:t>本公司将计提或转回的损失准备计入当期损益。对于持有的以公允价值计量且其变动计入其他综合收益的债务工具，本公司在将减值损失或利得计入当期损益的同时调整其他综合收益。</w:t>
      </w:r>
    </w:p>
    <w:p>
      <w:pPr>
        <w:pStyle w:val="BodyText"/>
        <w:spacing w:before="5"/>
        <w:ind w:left="1958"/>
      </w:pPr>
      <w:r>
        <w:rPr/>
        <w:t>③终止确认</w:t>
      </w:r>
    </w:p>
    <w:p>
      <w:pPr>
        <w:pStyle w:val="BodyText"/>
        <w:spacing w:before="12"/>
        <w:rPr>
          <w:sz w:val="14"/>
        </w:rPr>
      </w:pPr>
    </w:p>
    <w:p>
      <w:pPr>
        <w:pStyle w:val="BodyText"/>
        <w:spacing w:line="410" w:lineRule="auto"/>
        <w:ind w:left="1538" w:right="1267" w:firstLine="419"/>
        <w:jc w:val="both"/>
      </w:pPr>
      <w:r>
        <w:rPr>
          <w:spacing w:val="-9"/>
        </w:rPr>
        <w:t>金融资产满足下列条件之一的，予以终止确认：</w:t>
      </w:r>
      <w:r>
        <w:rPr>
          <w:rFonts w:ascii="Times New Roman" w:eastAsia="Times New Roman"/>
          <w:spacing w:val="-24"/>
        </w:rPr>
        <w:t>a.</w:t>
      </w:r>
      <w:r>
        <w:rPr>
          <w:spacing w:val="-3"/>
        </w:rPr>
        <w:t>收取该金融资产现金流量的合同权利终止； </w:t>
      </w:r>
      <w:r>
        <w:rPr>
          <w:rFonts w:ascii="Times New Roman" w:eastAsia="Times New Roman"/>
          <w:spacing w:val="-3"/>
        </w:rPr>
        <w:t>b.</w:t>
      </w:r>
      <w:r>
        <w:rPr>
          <w:spacing w:val="-9"/>
        </w:rPr>
        <w:t>该金融资产已转移，且本公司将金融资产所有权上几乎所有的风险和报酬转移给转入方；</w:t>
      </w:r>
      <w:r>
        <w:rPr>
          <w:rFonts w:ascii="Times New Roman" w:eastAsia="Times New Roman"/>
          <w:spacing w:val="-14"/>
        </w:rPr>
        <w:t>c.</w:t>
      </w:r>
      <w:r>
        <w:rPr>
          <w:spacing w:val="-3"/>
        </w:rPr>
        <w:t>该金融资产已转移，虽然本公司既没有转移也没有保留金融资产所有权上几乎所有的风险和报酬，但是放弃了对该金融资产控制。</w:t>
      </w:r>
    </w:p>
    <w:p>
      <w:pPr>
        <w:pStyle w:val="BodyText"/>
        <w:spacing w:line="410" w:lineRule="auto"/>
        <w:ind w:left="1538" w:right="1268" w:firstLine="419"/>
        <w:jc w:val="both"/>
      </w:pPr>
      <w:r>
        <w:rPr/>
        <w:t>其他权益工具投资终止确认时，其账面价值与收到的对价以及原直接计入其他综合收益的公允价值变动累计额之和的差额，计入留存收益；其余金融资产终止确认时，其账面价值与收到的对价以及原直接计入其他综合收益的公允价值变动累计额之和的差额，计入当期损益。</w:t>
      </w:r>
    </w:p>
    <w:p>
      <w:pPr>
        <w:pStyle w:val="ListParagraph"/>
        <w:numPr>
          <w:ilvl w:val="0"/>
          <w:numId w:val="34"/>
        </w:numPr>
        <w:tabs>
          <w:tab w:pos="2487" w:val="left" w:leader="none"/>
        </w:tabs>
        <w:spacing w:line="240" w:lineRule="auto" w:before="0" w:after="0"/>
        <w:ind w:left="2487" w:right="0" w:hanging="529"/>
        <w:jc w:val="left"/>
        <w:rPr>
          <w:sz w:val="21"/>
        </w:rPr>
      </w:pPr>
      <w:r>
        <w:rPr>
          <w:spacing w:val="-2"/>
          <w:sz w:val="21"/>
        </w:rPr>
        <w:t>金融负债</w:t>
      </w:r>
    </w:p>
    <w:p>
      <w:pPr>
        <w:pStyle w:val="BodyText"/>
        <w:ind w:left="1415"/>
        <w:rPr>
          <w:sz w:val="20"/>
        </w:rPr>
      </w:pPr>
      <w:r>
        <w:rPr>
          <w:position w:val="0"/>
          <w:sz w:val="20"/>
        </w:rPr>
        <w:pict>
          <v:shape style="width:446.6pt;height:47.4pt;mso-position-horizontal-relative:char;mso-position-vertical-relative:line" type="#_x0000_t202" filled="false" stroked="true" strokeweight="1.44pt" strokecolor="#000000">
            <w10:anchorlock/>
            <v:textbox inset="0,0,0,0">
              <w:txbxContent>
                <w:p>
                  <w:pPr>
                    <w:pStyle w:val="BodyText"/>
                    <w:spacing w:line="460" w:lineRule="exact" w:before="30"/>
                    <w:ind w:left="93" w:right="99" w:firstLine="419"/>
                  </w:pPr>
                  <w:r>
                    <w:rPr/>
                    <w:t>金融负债于初始确认时分类为以摊余成本计量的金融负债和以公允价值计量且其变动计入当期损益的金融负债。</w:t>
                  </w:r>
                </w:p>
              </w:txbxContent>
            </v:textbox>
            <v:stroke dashstyle="solid"/>
          </v:shape>
        </w:pict>
      </w:r>
      <w:r>
        <w:rPr>
          <w:position w:val="0"/>
          <w:sz w:val="20"/>
        </w:rPr>
      </w:r>
    </w:p>
    <w:p>
      <w:pPr>
        <w:pStyle w:val="BodyText"/>
        <w:spacing w:before="2"/>
        <w:rPr>
          <w:sz w:val="7"/>
        </w:rPr>
      </w:pPr>
    </w:p>
    <w:p>
      <w:pPr>
        <w:pStyle w:val="BodyText"/>
        <w:spacing w:line="410" w:lineRule="auto" w:before="71"/>
        <w:ind w:left="1538" w:right="1268" w:firstLine="419"/>
        <w:jc w:val="both"/>
      </w:pPr>
      <w:r>
        <w:rPr/>
        <w:t>本公司的金融负债主要为以摊余成本计量的金融负债，包括应付票据及应付账款、其他应付款、借款及应付债券等。该类金融负债按其公允价值扣除交易费用后的金额进行初始计量，并采用实际利率法进行后续计量。期限在一年以下</w:t>
      </w:r>
      <w:r>
        <w:rPr>
          <w:rFonts w:ascii="Times New Roman" w:eastAsia="Times New Roman"/>
        </w:rPr>
        <w:t>(</w:t>
      </w:r>
      <w:r>
        <w:rPr/>
        <w:t>含一年</w:t>
      </w:r>
      <w:r>
        <w:rPr>
          <w:rFonts w:ascii="Times New Roman" w:eastAsia="Times New Roman"/>
        </w:rPr>
        <w:t>)</w:t>
      </w:r>
      <w:r>
        <w:rPr/>
        <w:t>的，列示为流动负债；期限在一年以上但自资产负债表日起一年内</w:t>
      </w:r>
      <w:r>
        <w:rPr>
          <w:rFonts w:ascii="Times New Roman" w:eastAsia="Times New Roman"/>
        </w:rPr>
        <w:t>(</w:t>
      </w:r>
      <w:r>
        <w:rPr/>
        <w:t>含一年</w:t>
      </w:r>
      <w:r>
        <w:rPr>
          <w:rFonts w:ascii="Times New Roman" w:eastAsia="Times New Roman"/>
        </w:rPr>
        <w:t>)</w:t>
      </w:r>
      <w:r>
        <w:rPr/>
        <w:t>到期的，列示为一年内到期的非流动负债；其余列示为非流动负债。</w:t>
      </w:r>
    </w:p>
    <w:p>
      <w:pPr>
        <w:pStyle w:val="BodyText"/>
        <w:spacing w:line="408" w:lineRule="auto" w:before="2"/>
        <w:ind w:left="1538" w:right="1270" w:firstLine="419"/>
      </w:pPr>
      <w:r>
        <w:rPr/>
        <w:t>当金融负债的现时义务全部或部分已经解除时，本公司终止确认该金融负债或义务已解除的部分。终止确认部分的账面价值与支付的对价之间的差额，计入当期损益。</w:t>
      </w:r>
    </w:p>
    <w:p>
      <w:pPr>
        <w:pStyle w:val="ListParagraph"/>
        <w:numPr>
          <w:ilvl w:val="0"/>
          <w:numId w:val="34"/>
        </w:numPr>
        <w:tabs>
          <w:tab w:pos="2487" w:val="left" w:leader="none"/>
        </w:tabs>
        <w:spacing w:line="240" w:lineRule="auto" w:before="4" w:after="0"/>
        <w:ind w:left="2487" w:right="0" w:hanging="529"/>
        <w:jc w:val="left"/>
        <w:rPr>
          <w:sz w:val="21"/>
        </w:rPr>
      </w:pPr>
      <w:r>
        <w:rPr>
          <w:spacing w:val="-3"/>
          <w:sz w:val="21"/>
        </w:rPr>
        <w:t>金融工具的公允价值确定</w:t>
      </w:r>
    </w:p>
    <w:p>
      <w:pPr>
        <w:pStyle w:val="BodyText"/>
        <w:spacing w:line="408" w:lineRule="auto" w:before="192"/>
        <w:ind w:left="1538" w:right="1268" w:firstLine="419"/>
      </w:pPr>
      <w:r>
        <w:rPr/>
        <w:t>存在活跃市场的金融工具，以活跃市场中的报价确定其公允价值。不存在活跃市场的金融工具，采用估值技术确定其公允价值。在估值时，本公司采用在当前情况下适用并且有足够可利用</w:t>
      </w:r>
    </w:p>
    <w:p>
      <w:pPr>
        <w:spacing w:after="0" w:line="408" w:lineRule="auto"/>
        <w:sectPr>
          <w:pgSz w:w="11910" w:h="16840"/>
          <w:pgMar w:header="876" w:footer="1191" w:top="1440" w:bottom="1400" w:left="260" w:right="0"/>
        </w:sectPr>
      </w:pPr>
    </w:p>
    <w:p>
      <w:pPr>
        <w:pStyle w:val="BodyText"/>
        <w:spacing w:before="4"/>
        <w:rPr>
          <w:sz w:val="14"/>
        </w:rPr>
      </w:pPr>
    </w:p>
    <w:p>
      <w:pPr>
        <w:pStyle w:val="BodyText"/>
        <w:spacing w:line="410" w:lineRule="auto" w:before="72"/>
        <w:ind w:left="1538" w:right="1268"/>
        <w:jc w:val="both"/>
      </w:pPr>
      <w:r>
        <w:rPr/>
        <w:t>数据和其他信息支持的估值技术，选择与市场参与者在相关资产或负债的交易中所考虑的资产或负债特征相一致的输入值，并尽可能优先使用相关可观察输入值。在相关可观察输入值无法取得或取得不切实可行的情况下，使用不可观察输入值。</w:t>
      </w:r>
    </w:p>
    <w:p>
      <w:pPr>
        <w:pStyle w:val="ListParagraph"/>
        <w:numPr>
          <w:ilvl w:val="0"/>
          <w:numId w:val="34"/>
        </w:numPr>
        <w:tabs>
          <w:tab w:pos="2487" w:val="left" w:leader="none"/>
        </w:tabs>
        <w:spacing w:line="269" w:lineRule="exact" w:before="0" w:after="0"/>
        <w:ind w:left="2487" w:right="0" w:hanging="529"/>
        <w:jc w:val="left"/>
        <w:rPr>
          <w:sz w:val="21"/>
        </w:rPr>
      </w:pPr>
      <w:r>
        <w:rPr>
          <w:spacing w:val="-3"/>
          <w:sz w:val="21"/>
        </w:rPr>
        <w:t>重要会计估计和判断</w:t>
      </w:r>
    </w:p>
    <w:p>
      <w:pPr>
        <w:pStyle w:val="BodyText"/>
        <w:spacing w:line="410" w:lineRule="auto" w:before="192"/>
        <w:ind w:left="1958" w:right="6952"/>
      </w:pPr>
      <w:r>
        <w:rPr/>
        <w:t>①重要会计估计及其关键假设预期信用损失的计量</w:t>
      </w:r>
    </w:p>
    <w:p>
      <w:pPr>
        <w:pStyle w:val="BodyText"/>
        <w:spacing w:line="410" w:lineRule="auto"/>
        <w:ind w:left="1538" w:right="1268" w:firstLine="419"/>
        <w:jc w:val="both"/>
      </w:pPr>
      <w:r>
        <w:rPr/>
        <w:t>本公司通过违约风险敞口和预期信用损失率计算预期信用损失，并基于违约概率和违约损失率确定预期信用损失率。在确定预期信用损失率时，本公司使用内部历史信用损失经验等数据， 并结合当前状况和前瞻性信息对历史数据进行调整。在考虑前瞻性信息时，本公司使用的指标包括经济下滑的风险、预期失业率的增长、外部市场环境、技术环境和客户情况的变化等。本公司定期监控并复核与预期信用损失计算相关的假设。上述估计技术和关键假设于本年度未发生重大变化。</w:t>
      </w:r>
    </w:p>
    <w:p>
      <w:pPr>
        <w:pStyle w:val="BodyText"/>
        <w:ind w:left="1962"/>
      </w:pPr>
      <w:r>
        <w:rPr/>
        <w:t>②采用会计政策的关键判断</w:t>
      </w:r>
    </w:p>
    <w:p>
      <w:pPr>
        <w:pStyle w:val="BodyText"/>
        <w:spacing w:before="11"/>
        <w:rPr>
          <w:sz w:val="14"/>
        </w:rPr>
      </w:pPr>
    </w:p>
    <w:p>
      <w:pPr>
        <w:pStyle w:val="ListParagraph"/>
        <w:numPr>
          <w:ilvl w:val="0"/>
          <w:numId w:val="37"/>
        </w:numPr>
        <w:tabs>
          <w:tab w:pos="2106" w:val="left" w:leader="none"/>
        </w:tabs>
        <w:spacing w:line="240" w:lineRule="auto" w:before="0" w:after="0"/>
        <w:ind w:left="2105" w:right="0" w:hanging="148"/>
        <w:jc w:val="left"/>
        <w:rPr>
          <w:sz w:val="21"/>
        </w:rPr>
      </w:pPr>
      <w:r>
        <w:rPr>
          <w:spacing w:val="-3"/>
          <w:sz w:val="21"/>
        </w:rPr>
        <w:t>金融资产的分类</w:t>
      </w:r>
    </w:p>
    <w:p>
      <w:pPr>
        <w:pStyle w:val="BodyText"/>
        <w:spacing w:line="408" w:lineRule="auto" w:before="192"/>
        <w:ind w:left="1958" w:right="1059"/>
      </w:pPr>
      <w:r>
        <w:rPr/>
        <w:t>本公司在确定金融资产的分类时涉及的重大判断包括业务模式及合同现金流量特征的分析等。本公司在金融资产组合的层次上确定管理金融资产的业务模式，考虑的因素包括评价和向关</w:t>
      </w:r>
    </w:p>
    <w:p>
      <w:pPr>
        <w:pStyle w:val="BodyText"/>
        <w:spacing w:line="410" w:lineRule="auto" w:before="5"/>
        <w:ind w:left="1538" w:right="1268"/>
      </w:pPr>
      <w:r>
        <w:rPr/>
        <w:t>键管理人员报告金融资产业绩的方式、影响金融资产业绩的风险及其管理方式、以及相关业务管理人员获得报酬的方式等。</w:t>
      </w:r>
    </w:p>
    <w:p>
      <w:pPr>
        <w:pStyle w:val="BodyText"/>
        <w:spacing w:line="410" w:lineRule="auto"/>
        <w:ind w:left="1538" w:right="1267" w:firstLine="419"/>
        <w:jc w:val="both"/>
      </w:pPr>
      <w:r>
        <w:rPr/>
        <w:t>本公司在评估金融资产的合同现金流量是否与基本借贷安排相一致时，存在以下主要判断： 本金是否可能因提前还款等原因导致在存续期内的时间分布或者金额发生变动；利息是否仅包括货币时间价值、信用风险、其他基本借贷风险以及与成本和利润的对价。例如，提前偿付的金额是否仅反映了尚未支付的本金及以未偿付本金为基础的利息，以及因提前终止合同而支付的合理补偿。</w:t>
      </w:r>
    </w:p>
    <w:p>
      <w:pPr>
        <w:pStyle w:val="ListParagraph"/>
        <w:numPr>
          <w:ilvl w:val="0"/>
          <w:numId w:val="37"/>
        </w:numPr>
        <w:tabs>
          <w:tab w:pos="2118" w:val="left" w:leader="none"/>
        </w:tabs>
        <w:spacing w:line="240" w:lineRule="auto" w:before="1" w:after="0"/>
        <w:ind w:left="2117" w:right="0" w:hanging="160"/>
        <w:jc w:val="left"/>
        <w:rPr>
          <w:sz w:val="21"/>
        </w:rPr>
      </w:pPr>
      <w:r>
        <w:rPr>
          <w:spacing w:val="-3"/>
          <w:sz w:val="21"/>
        </w:rPr>
        <w:t>信用风险显著增加的判断</w:t>
      </w:r>
    </w:p>
    <w:p>
      <w:pPr>
        <w:pStyle w:val="BodyText"/>
        <w:spacing w:line="410" w:lineRule="auto" w:before="189"/>
        <w:ind w:left="1538" w:right="1268" w:firstLine="419"/>
        <w:jc w:val="both"/>
      </w:pPr>
      <w:r>
        <w:rPr>
          <w:spacing w:val="-5"/>
        </w:rPr>
        <w:t>本公司判断信用风险显著增加的主要标准为逾期天数超过 </w:t>
      </w:r>
      <w:r>
        <w:rPr>
          <w:rFonts w:ascii="Times New Roman" w:eastAsia="Times New Roman"/>
        </w:rPr>
        <w:t>30 </w:t>
      </w:r>
      <w:r>
        <w:rPr>
          <w:spacing w:val="-11"/>
        </w:rPr>
        <w:t>日，或者以下一个或多个指标发</w:t>
      </w:r>
      <w:r>
        <w:rPr>
          <w:spacing w:val="-7"/>
        </w:rPr>
        <w:t>生显著变化：债务人所处的经营环境、内外部信用评级、实际或预期经营成果的显著变化、担保</w:t>
      </w:r>
      <w:r>
        <w:rPr>
          <w:spacing w:val="-5"/>
        </w:rPr>
        <w:t>物价值或担保方信用评级的显著下降等。</w:t>
      </w:r>
    </w:p>
    <w:p>
      <w:pPr>
        <w:pStyle w:val="BodyText"/>
        <w:spacing w:line="410" w:lineRule="auto"/>
        <w:ind w:left="1538" w:right="1267" w:firstLine="419"/>
        <w:jc w:val="both"/>
      </w:pPr>
      <w:r>
        <w:rPr>
          <w:spacing w:val="-5"/>
        </w:rPr>
        <w:t>本公司判断已发生信用减值的主要标准为逾期天数超过 </w:t>
      </w:r>
      <w:r>
        <w:rPr>
          <w:rFonts w:ascii="Times New Roman" w:eastAsia="Times New Roman"/>
        </w:rPr>
        <w:t>90 </w:t>
      </w:r>
      <w:r>
        <w:rPr/>
        <w:t>日</w:t>
      </w:r>
      <w:r>
        <w:rPr>
          <w:rFonts w:ascii="Times New Roman" w:eastAsia="Times New Roman"/>
          <w:spacing w:val="-4"/>
        </w:rPr>
        <w:t>(</w:t>
      </w:r>
      <w:r>
        <w:rPr>
          <w:spacing w:val="-5"/>
        </w:rPr>
        <w:t>即，已发生违约</w:t>
      </w:r>
      <w:r>
        <w:rPr>
          <w:rFonts w:ascii="Times New Roman" w:eastAsia="Times New Roman"/>
          <w:spacing w:val="-7"/>
        </w:rPr>
        <w:t>)</w:t>
      </w:r>
      <w:r>
        <w:rPr>
          <w:spacing w:val="-3"/>
        </w:rPr>
        <w:t>，或者符合以下一个或多个条件：债务人发生重大财务困难，进行其他债务重组或很可能破产等。</w:t>
      </w:r>
    </w:p>
    <w:p>
      <w:pPr>
        <w:spacing w:after="0" w:line="410" w:lineRule="auto"/>
        <w:jc w:val="both"/>
        <w:sectPr>
          <w:pgSz w:w="11910" w:h="16840"/>
          <w:pgMar w:header="876" w:footer="1191" w:top="1440" w:bottom="1400" w:left="260" w:right="0"/>
        </w:sectPr>
      </w:pPr>
    </w:p>
    <w:p>
      <w:pPr>
        <w:pStyle w:val="Heading4"/>
        <w:numPr>
          <w:ilvl w:val="0"/>
          <w:numId w:val="31"/>
        </w:numPr>
        <w:tabs>
          <w:tab w:pos="1963" w:val="left" w:leader="none"/>
        </w:tabs>
        <w:spacing w:line="385" w:lineRule="exact" w:before="0" w:after="0"/>
        <w:ind w:left="1962" w:right="0" w:hanging="425"/>
        <w:jc w:val="left"/>
      </w:pPr>
      <w:r>
        <w:rPr/>
        <w:t>存货</w:t>
      </w:r>
    </w:p>
    <w:p>
      <w:pPr>
        <w:pStyle w:val="BodyText"/>
        <w:tabs>
          <w:tab w:pos="2805" w:val="left" w:leader="none"/>
        </w:tabs>
        <w:spacing w:before="17"/>
        <w:ind w:left="1962"/>
      </w:pPr>
      <w:r>
        <w:rPr/>
        <w:t>√适用</w:t>
        <w:tab/>
      </w:r>
      <w:r>
        <w:rPr>
          <w:spacing w:val="-3"/>
        </w:rPr>
        <w:t>□</w:t>
      </w:r>
      <w:r>
        <w:rPr/>
        <w:t>不</w:t>
      </w:r>
      <w:r>
        <w:rPr>
          <w:spacing w:val="-3"/>
        </w:rPr>
        <w:t>适</w:t>
      </w:r>
      <w:r>
        <w:rPr/>
        <w:t>用</w:t>
      </w:r>
    </w:p>
    <w:p>
      <w:pPr>
        <w:pStyle w:val="ListParagraph"/>
        <w:numPr>
          <w:ilvl w:val="0"/>
          <w:numId w:val="38"/>
        </w:numPr>
        <w:tabs>
          <w:tab w:pos="2427" w:val="left" w:leader="none"/>
        </w:tabs>
        <w:spacing w:line="240" w:lineRule="auto" w:before="175" w:after="0"/>
        <w:ind w:left="2427" w:right="0" w:hanging="529"/>
        <w:jc w:val="left"/>
        <w:rPr>
          <w:sz w:val="21"/>
        </w:rPr>
      </w:pPr>
      <w:r>
        <w:rPr>
          <w:spacing w:val="-3"/>
          <w:sz w:val="21"/>
        </w:rPr>
        <w:t>存货的分类</w:t>
      </w:r>
    </w:p>
    <w:p>
      <w:pPr>
        <w:pStyle w:val="BodyText"/>
        <w:spacing w:before="6"/>
        <w:rPr>
          <w:sz w:val="16"/>
        </w:rPr>
      </w:pPr>
    </w:p>
    <w:p>
      <w:pPr>
        <w:pStyle w:val="BodyText"/>
        <w:spacing w:line="427" w:lineRule="auto"/>
        <w:ind w:left="1538" w:right="1277" w:firstLine="359"/>
        <w:jc w:val="both"/>
      </w:pPr>
      <w:r>
        <w:rPr/>
        <w:t>存货是指本公司在日常活动中持有以备出售的产成品或商品、处在生产过程中的在产品、在生产过程或提供劳务过程中耗用的材料和物料等。主要包括原材料、周转材料、委托加工材料、包装物、在产品、自制半成品、产成品（库存商品）、工程施工等。</w:t>
      </w:r>
    </w:p>
    <w:p>
      <w:pPr>
        <w:pStyle w:val="ListParagraph"/>
        <w:numPr>
          <w:ilvl w:val="0"/>
          <w:numId w:val="38"/>
        </w:numPr>
        <w:tabs>
          <w:tab w:pos="2427" w:val="left" w:leader="none"/>
        </w:tabs>
        <w:spacing w:line="240" w:lineRule="auto" w:before="3" w:after="0"/>
        <w:ind w:left="2427" w:right="0" w:hanging="529"/>
        <w:jc w:val="left"/>
        <w:rPr>
          <w:sz w:val="21"/>
        </w:rPr>
      </w:pPr>
      <w:r>
        <w:rPr>
          <w:spacing w:val="-3"/>
          <w:sz w:val="21"/>
        </w:rPr>
        <w:t>发出存货的计价方法</w:t>
      </w:r>
    </w:p>
    <w:p>
      <w:pPr>
        <w:pStyle w:val="BodyText"/>
        <w:spacing w:before="6"/>
        <w:rPr>
          <w:sz w:val="16"/>
        </w:rPr>
      </w:pPr>
    </w:p>
    <w:p>
      <w:pPr>
        <w:pStyle w:val="BodyText"/>
        <w:ind w:left="1898"/>
      </w:pPr>
      <w:r>
        <w:rPr/>
        <w:t>存货发出时，采用加权平均法核算。</w:t>
      </w:r>
    </w:p>
    <w:p>
      <w:pPr>
        <w:pStyle w:val="BodyText"/>
        <w:spacing w:before="6"/>
        <w:rPr>
          <w:sz w:val="16"/>
        </w:rPr>
      </w:pPr>
    </w:p>
    <w:p>
      <w:pPr>
        <w:pStyle w:val="ListParagraph"/>
        <w:numPr>
          <w:ilvl w:val="0"/>
          <w:numId w:val="38"/>
        </w:numPr>
        <w:tabs>
          <w:tab w:pos="2427" w:val="left" w:leader="none"/>
        </w:tabs>
        <w:spacing w:line="240" w:lineRule="auto" w:before="0" w:after="0"/>
        <w:ind w:left="2427" w:right="0" w:hanging="529"/>
        <w:jc w:val="left"/>
        <w:rPr>
          <w:sz w:val="21"/>
        </w:rPr>
      </w:pPr>
      <w:r>
        <w:rPr>
          <w:spacing w:val="-3"/>
          <w:sz w:val="21"/>
        </w:rPr>
        <w:t>存货跌价准备的计提方法</w:t>
      </w:r>
    </w:p>
    <w:p>
      <w:pPr>
        <w:pStyle w:val="BodyText"/>
        <w:spacing w:before="8"/>
        <w:rPr>
          <w:sz w:val="17"/>
        </w:rPr>
      </w:pPr>
    </w:p>
    <w:p>
      <w:pPr>
        <w:pStyle w:val="BodyText"/>
        <w:ind w:left="1958"/>
      </w:pPr>
      <w:r>
        <w:rPr/>
        <w:t>资产负债表日，存货按照成本与可变现净值孰低计量。</w:t>
      </w:r>
    </w:p>
    <w:p>
      <w:pPr>
        <w:pStyle w:val="BodyText"/>
        <w:spacing w:before="12"/>
        <w:rPr>
          <w:sz w:val="14"/>
        </w:rPr>
      </w:pPr>
    </w:p>
    <w:p>
      <w:pPr>
        <w:pStyle w:val="BodyText"/>
        <w:spacing w:line="410" w:lineRule="auto"/>
        <w:ind w:left="1538" w:right="1268" w:firstLine="419"/>
        <w:jc w:val="both"/>
      </w:pPr>
      <w:r>
        <w:rPr/>
        <w:t>产成品、商品和用于出售的材料等可直接用于出售的存货，其可变现净值按该等存货的估计售价减去估计的销售费用和相关税费后的金额确定；用于生产而持有的材料等存货，其可变现净值按所生产的产成品的估计售价减去至完工时估计将要发生的成本、估计的销售费用和相关税费后的金额确定；为执行销售合同或者劳务合同而持有的存货，其可变现净值以合同价格为基础计算，若企业持有存货的数量多于销售合同订购数量的，超出部分的存货可变现净值以一般销售价格为基础计算。</w:t>
      </w:r>
    </w:p>
    <w:p>
      <w:pPr>
        <w:pStyle w:val="BodyText"/>
        <w:spacing w:line="410" w:lineRule="auto"/>
        <w:ind w:left="1538" w:right="1268" w:firstLine="419"/>
        <w:jc w:val="both"/>
      </w:pPr>
      <w:r>
        <w:rPr/>
        <w:t>本公司按单个存货项目计提存货跌价准备。但如果某些存货与在同一地区生产和销售的产品系列相关、具有相同或类似最终用途或目的，且难以与其他项目分开计量，可以合并计量成本与可变现净值；对于数量繁多、单价较低的存货，按照存货类别计量成本与可变现净值。</w:t>
      </w:r>
    </w:p>
    <w:p>
      <w:pPr>
        <w:pStyle w:val="BodyText"/>
        <w:spacing w:line="254" w:lineRule="exact"/>
        <w:ind w:left="1898"/>
      </w:pPr>
      <w:r>
        <w:rPr/>
        <w:t>在资产负债表日，如果存货成本高于其可变现净值的，计提存货跌价准备，并计入当期损益。</w:t>
      </w:r>
    </w:p>
    <w:p>
      <w:pPr>
        <w:pStyle w:val="BodyText"/>
        <w:spacing w:before="6"/>
        <w:rPr>
          <w:sz w:val="16"/>
        </w:rPr>
      </w:pPr>
    </w:p>
    <w:p>
      <w:pPr>
        <w:pStyle w:val="BodyText"/>
        <w:spacing w:line="427" w:lineRule="auto"/>
        <w:ind w:left="1538" w:right="1277"/>
      </w:pPr>
      <w:r>
        <w:rPr/>
        <w:t>如果以前减记存货价值的影响因素已经消失的，减记的金额予以恢复，并在原已计提的存货跌价准备金额内转回，转回的金额计入当期损益。</w:t>
      </w:r>
    </w:p>
    <w:p>
      <w:pPr>
        <w:pStyle w:val="ListParagraph"/>
        <w:numPr>
          <w:ilvl w:val="0"/>
          <w:numId w:val="38"/>
        </w:numPr>
        <w:tabs>
          <w:tab w:pos="2427" w:val="left" w:leader="none"/>
        </w:tabs>
        <w:spacing w:line="240" w:lineRule="auto" w:before="2" w:after="0"/>
        <w:ind w:left="2427" w:right="0" w:hanging="529"/>
        <w:jc w:val="left"/>
        <w:rPr>
          <w:sz w:val="21"/>
        </w:rPr>
      </w:pPr>
      <w:r>
        <w:rPr>
          <w:spacing w:val="-3"/>
          <w:sz w:val="21"/>
        </w:rPr>
        <w:t>存货盘存制度</w:t>
      </w:r>
    </w:p>
    <w:p>
      <w:pPr>
        <w:pStyle w:val="BodyText"/>
        <w:spacing w:before="6"/>
        <w:rPr>
          <w:sz w:val="16"/>
        </w:rPr>
      </w:pPr>
    </w:p>
    <w:p>
      <w:pPr>
        <w:pStyle w:val="BodyText"/>
        <w:ind w:left="1898"/>
      </w:pPr>
      <w:r>
        <w:rPr/>
        <w:t>本公司存货盘存采用永续盘存制。</w:t>
      </w:r>
    </w:p>
    <w:p>
      <w:pPr>
        <w:pStyle w:val="BodyText"/>
        <w:spacing w:before="6"/>
        <w:rPr>
          <w:sz w:val="16"/>
        </w:rPr>
      </w:pPr>
    </w:p>
    <w:p>
      <w:pPr>
        <w:pStyle w:val="ListParagraph"/>
        <w:numPr>
          <w:ilvl w:val="0"/>
          <w:numId w:val="38"/>
        </w:numPr>
        <w:tabs>
          <w:tab w:pos="2427" w:val="left" w:leader="none"/>
        </w:tabs>
        <w:spacing w:line="240" w:lineRule="auto" w:before="1" w:after="0"/>
        <w:ind w:left="2427" w:right="0" w:hanging="529"/>
        <w:jc w:val="left"/>
        <w:rPr>
          <w:sz w:val="21"/>
        </w:rPr>
      </w:pPr>
      <w:r>
        <w:rPr>
          <w:spacing w:val="-3"/>
          <w:sz w:val="21"/>
        </w:rPr>
        <w:t>低值易耗品和包装物的摊销方法</w:t>
      </w:r>
    </w:p>
    <w:p>
      <w:pPr>
        <w:pStyle w:val="BodyText"/>
        <w:spacing w:before="5"/>
        <w:rPr>
          <w:sz w:val="16"/>
        </w:rPr>
      </w:pPr>
    </w:p>
    <w:p>
      <w:pPr>
        <w:pStyle w:val="BodyText"/>
        <w:spacing w:before="1"/>
        <w:ind w:left="1898"/>
      </w:pPr>
      <w:r>
        <w:rPr/>
        <w:t>本公司低值易耗品和包装物采用一次摊销法。</w:t>
      </w:r>
    </w:p>
    <w:p>
      <w:pPr>
        <w:pStyle w:val="BodyText"/>
        <w:spacing w:before="2"/>
      </w:pPr>
    </w:p>
    <w:p>
      <w:pPr>
        <w:pStyle w:val="Heading4"/>
        <w:numPr>
          <w:ilvl w:val="0"/>
          <w:numId w:val="31"/>
        </w:numPr>
        <w:tabs>
          <w:tab w:pos="1963" w:val="left" w:leader="none"/>
        </w:tabs>
        <w:spacing w:line="240" w:lineRule="auto" w:before="0" w:after="0"/>
        <w:ind w:left="1962" w:right="0" w:hanging="425"/>
        <w:jc w:val="left"/>
      </w:pPr>
      <w:r>
        <w:rPr/>
        <w:t>长期股权投资</w:t>
      </w:r>
    </w:p>
    <w:p>
      <w:pPr>
        <w:pStyle w:val="BodyText"/>
        <w:tabs>
          <w:tab w:pos="2805" w:val="left" w:leader="none"/>
        </w:tabs>
        <w:spacing w:before="14"/>
        <w:ind w:left="1962"/>
      </w:pPr>
      <w:r>
        <w:rPr/>
        <w:t>√适用</w:t>
        <w:tab/>
      </w:r>
      <w:r>
        <w:rPr>
          <w:spacing w:val="-3"/>
        </w:rPr>
        <w:t>□</w:t>
      </w:r>
      <w:r>
        <w:rPr/>
        <w:t>不</w:t>
      </w:r>
      <w:r>
        <w:rPr>
          <w:spacing w:val="-3"/>
        </w:rPr>
        <w:t>适</w:t>
      </w:r>
      <w:r>
        <w:rPr/>
        <w:t>用</w:t>
      </w:r>
    </w:p>
    <w:p>
      <w:pPr>
        <w:spacing w:after="0"/>
        <w:sectPr>
          <w:pgSz w:w="11910" w:h="16840"/>
          <w:pgMar w:header="876" w:footer="1191" w:top="1440" w:bottom="1400" w:left="260" w:right="0"/>
        </w:sectPr>
      </w:pPr>
    </w:p>
    <w:p>
      <w:pPr>
        <w:pStyle w:val="BodyText"/>
        <w:spacing w:before="3"/>
        <w:rPr>
          <w:sz w:val="13"/>
        </w:rPr>
      </w:pPr>
    </w:p>
    <w:p>
      <w:pPr>
        <w:pStyle w:val="BodyText"/>
        <w:spacing w:line="427" w:lineRule="auto" w:before="72"/>
        <w:ind w:left="1538" w:right="1277" w:firstLine="359"/>
        <w:jc w:val="both"/>
      </w:pPr>
      <w:r>
        <w:rPr/>
        <w:t>本部分所指的长期股权投资是指本公司对被投资单位具有控制、共同控制或重大影响的长期股权投资。本公司对被投资单位不具有控制、共同控制或重大影响的长期股权投资，作为可供出售金融资产核算。</w:t>
      </w:r>
    </w:p>
    <w:p>
      <w:pPr>
        <w:pStyle w:val="ListParagraph"/>
        <w:numPr>
          <w:ilvl w:val="0"/>
          <w:numId w:val="39"/>
        </w:numPr>
        <w:tabs>
          <w:tab w:pos="2427" w:val="left" w:leader="none"/>
        </w:tabs>
        <w:spacing w:line="240" w:lineRule="auto" w:before="3" w:after="0"/>
        <w:ind w:left="2427" w:right="0" w:hanging="529"/>
        <w:jc w:val="left"/>
        <w:rPr>
          <w:sz w:val="21"/>
        </w:rPr>
      </w:pPr>
      <w:r>
        <w:rPr>
          <w:spacing w:val="-3"/>
          <w:sz w:val="21"/>
        </w:rPr>
        <w:t>初始投资成本确定</w:t>
      </w:r>
    </w:p>
    <w:p>
      <w:pPr>
        <w:pStyle w:val="BodyText"/>
        <w:spacing w:before="5"/>
        <w:rPr>
          <w:sz w:val="16"/>
        </w:rPr>
      </w:pPr>
    </w:p>
    <w:p>
      <w:pPr>
        <w:pStyle w:val="BodyText"/>
        <w:spacing w:line="427" w:lineRule="auto" w:before="1"/>
        <w:ind w:left="1538" w:right="1277" w:firstLine="359"/>
        <w:jc w:val="both"/>
      </w:pPr>
      <w:r>
        <w:rPr/>
        <w:t>①对于企业合并取得的长期股权投资，如为同一控制下的企业合并，应当按照取得被合并方所有者权益账面价值的份额确认为初始成本；非同一控制下的企业合并，应当按购买日确定的合并成本确认为初始成本；</w:t>
      </w:r>
    </w:p>
    <w:p>
      <w:pPr>
        <w:pStyle w:val="BodyText"/>
        <w:spacing w:line="427" w:lineRule="auto" w:before="3"/>
        <w:ind w:left="1538" w:right="1268" w:firstLine="359"/>
        <w:jc w:val="both"/>
      </w:pPr>
      <w:r>
        <w:rPr>
          <w:spacing w:val="-3"/>
        </w:rPr>
        <w:t>②除企业合并形成的长期股权投资外的其他股权投资，以支付现金取得的长期股权投资，初始投资成本为实际支付的购买价款；以发行权益性证券取得的长期股权投资，初始投资成本为发行权益性证券的公允价值；通过债务重组取得的长期股权投资，初始投资成本应当按照《企业会</w:t>
      </w:r>
      <w:r>
        <w:rPr>
          <w:spacing w:val="-10"/>
        </w:rPr>
        <w:t>计准则第 </w:t>
      </w:r>
      <w:r>
        <w:rPr>
          <w:rFonts w:ascii="Times New Roman" w:hAnsi="Times New Roman" w:eastAsia="Times New Roman"/>
        </w:rPr>
        <w:t>12 </w:t>
      </w:r>
      <w:r>
        <w:rPr>
          <w:spacing w:val="-3"/>
        </w:rPr>
        <w:t>号</w:t>
      </w:r>
      <w:r>
        <w:rPr>
          <w:rFonts w:ascii="Times New Roman" w:hAnsi="Times New Roman" w:eastAsia="Times New Roman"/>
        </w:rPr>
        <w:t>——</w:t>
      </w:r>
      <w:r>
        <w:rPr>
          <w:spacing w:val="-11"/>
        </w:rPr>
        <w:t>债务重组》的有关规定确定；非货币性资产交换取得的长期股权投资，初始投</w:t>
      </w:r>
      <w:r>
        <w:rPr>
          <w:spacing w:val="-6"/>
        </w:rPr>
        <w:t>资成本根据准则的相关规定确定。</w:t>
      </w:r>
    </w:p>
    <w:p>
      <w:pPr>
        <w:pStyle w:val="ListParagraph"/>
        <w:numPr>
          <w:ilvl w:val="0"/>
          <w:numId w:val="39"/>
        </w:numPr>
        <w:tabs>
          <w:tab w:pos="2427" w:val="left" w:leader="none"/>
        </w:tabs>
        <w:spacing w:line="240" w:lineRule="auto" w:before="6" w:after="0"/>
        <w:ind w:left="2427" w:right="0" w:hanging="529"/>
        <w:jc w:val="left"/>
        <w:rPr>
          <w:sz w:val="21"/>
        </w:rPr>
      </w:pPr>
      <w:r>
        <w:rPr>
          <w:spacing w:val="-3"/>
          <w:sz w:val="21"/>
        </w:rPr>
        <w:t>后续计量及损益确认方法</w:t>
      </w:r>
    </w:p>
    <w:p>
      <w:pPr>
        <w:pStyle w:val="BodyText"/>
        <w:spacing w:before="7"/>
        <w:rPr>
          <w:sz w:val="17"/>
        </w:rPr>
      </w:pPr>
    </w:p>
    <w:p>
      <w:pPr>
        <w:pStyle w:val="BodyText"/>
        <w:ind w:left="1958"/>
      </w:pPr>
      <w:r>
        <w:rPr/>
        <w:t>①成本法核算</w:t>
      </w:r>
    </w:p>
    <w:p>
      <w:pPr>
        <w:pStyle w:val="BodyText"/>
        <w:rPr>
          <w:sz w:val="15"/>
        </w:rPr>
      </w:pPr>
    </w:p>
    <w:p>
      <w:pPr>
        <w:pStyle w:val="BodyText"/>
        <w:spacing w:line="410" w:lineRule="auto"/>
        <w:ind w:left="1538" w:right="1268" w:firstLine="419"/>
        <w:jc w:val="both"/>
      </w:pPr>
      <w:r>
        <w:rPr/>
        <w:t>投资方能够对被投资单位实施控制的长期股权投资应当采用成本法核算。采用成本法核算的长期股权投资，除追加或收回投资外，账面价值一般不变。当宣告分派利润或现金股利时，计算应分得的部分确认投资收益。</w:t>
      </w:r>
    </w:p>
    <w:p>
      <w:pPr>
        <w:pStyle w:val="BodyText"/>
        <w:ind w:left="1958"/>
      </w:pPr>
      <w:r>
        <w:rPr/>
        <w:t>②权益法核算</w:t>
      </w:r>
    </w:p>
    <w:p>
      <w:pPr>
        <w:pStyle w:val="BodyText"/>
        <w:spacing w:before="12"/>
        <w:rPr>
          <w:sz w:val="14"/>
        </w:rPr>
      </w:pPr>
    </w:p>
    <w:p>
      <w:pPr>
        <w:pStyle w:val="BodyText"/>
        <w:spacing w:line="410" w:lineRule="auto"/>
        <w:ind w:left="1538" w:right="1268" w:firstLine="419"/>
        <w:jc w:val="both"/>
      </w:pPr>
      <w:r>
        <w:rPr>
          <w:spacing w:val="-3"/>
        </w:rPr>
        <w:t>投资方对联营企业和合营企业的长期股权投资采用权益法核算。投资方对联营企业的权益性投资，其中一部分通过风险投资机构、共同基金、信托公司或包括投连险基金在内的类似主体间接持有的，无论以上主体是否对这部分投资具有重大影响，投资方都可以按照《企业会计准则第</w:t>
      </w:r>
      <w:r>
        <w:rPr>
          <w:rFonts w:ascii="Times New Roman" w:hAnsi="Times New Roman" w:eastAsia="Times New Roman"/>
          <w:spacing w:val="-3"/>
        </w:rPr>
        <w:t>22 </w:t>
      </w:r>
      <w:r>
        <w:rPr>
          <w:spacing w:val="-3"/>
        </w:rPr>
        <w:t>号</w:t>
      </w:r>
      <w:r>
        <w:rPr>
          <w:rFonts w:ascii="Times New Roman" w:hAnsi="Times New Roman" w:eastAsia="Times New Roman"/>
        </w:rPr>
        <w:t>——</w:t>
      </w:r>
      <w:r>
        <w:rPr>
          <w:spacing w:val="-6"/>
        </w:rPr>
        <w:t>金融工具确认和计量》的有关规定，对间接持有的该部分投资选择以公允价值计量且其</w:t>
      </w:r>
      <w:r>
        <w:rPr>
          <w:spacing w:val="-4"/>
        </w:rPr>
        <w:t>变动计入损益，并对其余部分采用权益法核算。</w:t>
      </w:r>
    </w:p>
    <w:p>
      <w:pPr>
        <w:pStyle w:val="BodyText"/>
        <w:spacing w:line="410" w:lineRule="auto"/>
        <w:ind w:left="1538" w:right="1268" w:firstLine="419"/>
        <w:jc w:val="both"/>
      </w:pPr>
      <w:r>
        <w:rPr/>
        <w:t>采用权益法核算时，长期股权投资的初始投资成本大于投资时应享有被投资单位可辨认净资产公允价值份额的，不调整长期股权投资的初始投资成本；初始投资成本小于投资时应享有被投资单位可辨认净资产公允价值份额的，其差额计入当期损益，同时调整长期股权投资的成本。</w:t>
      </w:r>
    </w:p>
    <w:p>
      <w:pPr>
        <w:pStyle w:val="BodyText"/>
        <w:spacing w:line="410" w:lineRule="auto"/>
        <w:ind w:left="1538" w:right="1162" w:firstLine="419"/>
      </w:pPr>
      <w:r>
        <w:rPr>
          <w:spacing w:val="-11"/>
        </w:rPr>
        <w:t>采用权益法核算时，按照应享有或应分担的被投资单位实现的净损益和其他综合收益的份额， </w:t>
      </w:r>
      <w:r>
        <w:rPr>
          <w:spacing w:val="-7"/>
        </w:rPr>
        <w:t>分别确认投资收益和其他综合收益，同时调整长期股权投资的账面价值；按照被投资单位宣告分</w:t>
      </w:r>
      <w:r>
        <w:rPr>
          <w:spacing w:val="-5"/>
        </w:rPr>
        <w:t>派的利润或现金股利计算应享有的部分，相应减少长期股权投资的账面价值；对于被投资单位除</w:t>
      </w:r>
    </w:p>
    <w:p>
      <w:pPr>
        <w:spacing w:after="0" w:line="410" w:lineRule="auto"/>
        <w:sectPr>
          <w:pgSz w:w="11910" w:h="16840"/>
          <w:pgMar w:header="876" w:footer="1191" w:top="1440" w:bottom="1400" w:left="260" w:right="0"/>
        </w:sectPr>
      </w:pPr>
    </w:p>
    <w:p>
      <w:pPr>
        <w:pStyle w:val="BodyText"/>
        <w:spacing w:before="4"/>
        <w:rPr>
          <w:sz w:val="14"/>
        </w:rPr>
      </w:pPr>
    </w:p>
    <w:p>
      <w:pPr>
        <w:pStyle w:val="BodyText"/>
        <w:spacing w:line="410" w:lineRule="auto" w:before="72"/>
        <w:ind w:left="1538" w:right="1268"/>
        <w:jc w:val="both"/>
      </w:pPr>
      <w:r>
        <w:rPr/>
        <w:t>净损益、其他综合收益和利润分配以外所有者权益的其他变动，调整长期股权投资的账面价值并计入资本公积。在确认应享有被投资单位净损益的份额时，以取得投资时被投资单位各项可辨认资产等的公允价值为基础，对被投资单位的净利润进行调整后确认。被投资单位采用的会计政策及会计期间与本公司不一致的，按照本公司的会计政策及会计期间对被投资单位的财务报表进行调整，并据以确认投资收益和其他综合收益。</w:t>
      </w:r>
    </w:p>
    <w:p>
      <w:pPr>
        <w:pStyle w:val="BodyText"/>
        <w:spacing w:line="410" w:lineRule="auto" w:before="1"/>
        <w:ind w:left="1538" w:right="1268" w:firstLine="419"/>
        <w:jc w:val="both"/>
      </w:pPr>
      <w:r>
        <w:rPr/>
        <w:t>在确认应分担被投资单位发生的净亏损时，以长期股权投资的账面价值和其他实质上构成对被投资单位净投资的长期权益减记至零为限。此外，如本公司对被投资单位负有承担额外损失的义务，则按预计承担的义务确认预计负债，计入当期投资损失。被投资单位以后期间实现净利润的，本公司在收益分享额弥补未确认的亏损分担额后，恢复确认收益分享额。</w:t>
      </w:r>
    </w:p>
    <w:p>
      <w:pPr>
        <w:pStyle w:val="ListParagraph"/>
        <w:numPr>
          <w:ilvl w:val="0"/>
          <w:numId w:val="39"/>
        </w:numPr>
        <w:tabs>
          <w:tab w:pos="2487" w:val="left" w:leader="none"/>
        </w:tabs>
        <w:spacing w:line="268" w:lineRule="exact" w:before="0" w:after="0"/>
        <w:ind w:left="2487" w:right="0" w:hanging="529"/>
        <w:jc w:val="left"/>
        <w:rPr>
          <w:sz w:val="21"/>
        </w:rPr>
      </w:pPr>
      <w:r>
        <w:rPr>
          <w:spacing w:val="-3"/>
          <w:sz w:val="21"/>
        </w:rPr>
        <w:t>长期股权投资核算方法的转换</w:t>
      </w:r>
    </w:p>
    <w:p>
      <w:pPr>
        <w:pStyle w:val="BodyText"/>
        <w:spacing w:line="410" w:lineRule="auto" w:before="192"/>
        <w:ind w:left="1538" w:right="1268" w:firstLine="419"/>
        <w:jc w:val="both"/>
      </w:pPr>
      <w:r>
        <w:rPr>
          <w:spacing w:val="-3"/>
        </w:rPr>
        <w:t>①公允价值计量转权益法核算：原持有的对被投资单位的股权投资</w:t>
      </w:r>
      <w:r>
        <w:rPr/>
        <w:t>（</w:t>
      </w:r>
      <w:r>
        <w:rPr>
          <w:spacing w:val="-3"/>
        </w:rPr>
        <w:t>不具有控制、共同控制或重大影响的</w:t>
      </w:r>
      <w:r>
        <w:rPr/>
        <w:t>），</w:t>
      </w:r>
      <w:r>
        <w:rPr>
          <w:spacing w:val="-3"/>
        </w:rPr>
        <w:t>按照金融工具确认和计量准则进行会计处理的，因追加投资等原因导致持股比例上升，能够对被投资单位施加共同控制或重大影响的，在转按权益法核算时，投资方应当按照金融工具确认和计量准则确定的原股权投资的公允价值加上为取得新增投资而应支付对价的公允价值，作为改按权益法核算的初始投资成本。</w:t>
      </w:r>
    </w:p>
    <w:p>
      <w:pPr>
        <w:pStyle w:val="BodyText"/>
        <w:spacing w:line="410" w:lineRule="auto"/>
        <w:ind w:left="1538" w:right="1268" w:firstLine="419"/>
        <w:jc w:val="both"/>
      </w:pPr>
      <w:r>
        <w:rPr>
          <w:spacing w:val="-3"/>
        </w:rPr>
        <w:t>②公允价值计量或权益法核算转成本法核算：投资方原持有的对被投资单位不具有控制、共同控制或重大影响的按照金融工具确认和计量准则进行会计处理的权益性投资，或者原持有对联营企业、合营企业的长期股权投资，因追加投资等原因，能够对被投资单位实施控制的，按有关企业合并形成的长期股权投资进行会计处理。</w:t>
      </w:r>
    </w:p>
    <w:p>
      <w:pPr>
        <w:pStyle w:val="BodyText"/>
        <w:spacing w:line="410" w:lineRule="auto"/>
        <w:ind w:left="1538" w:right="1268" w:firstLine="419"/>
        <w:jc w:val="both"/>
      </w:pPr>
      <w:r>
        <w:rPr/>
        <w:t>③权益法核算转公允价值计量：原持有的对被投资单位具有共同控制或重大影响的长期股权投资，因部分处置等原因导致持股比例下降，不能再对被投资单位实施共同控制或重大影响的， 应改按金融工具确认和计量准则对剩余股权投资进行会计处理，其在丧失共同控制或重大影响之日的公允价值与账面价值之间的差额计入当期损益。</w:t>
      </w:r>
    </w:p>
    <w:p>
      <w:pPr>
        <w:pStyle w:val="BodyText"/>
        <w:spacing w:line="410" w:lineRule="auto" w:before="1"/>
        <w:ind w:left="1538" w:right="1268" w:firstLine="419"/>
        <w:jc w:val="both"/>
      </w:pPr>
      <w:r>
        <w:rPr/>
        <w:t>④成本法转权益法：因处置投资等原因导致对被投资单位由能够实施控制转为具有重大影响或者与其他投资方一起实施共同控制的，首先应按处置投资的比例结转应终止确认的长期股权投资成本。然后比较剩余长期股权投资的成本与按照剩余持股比例计算原投资时应享有被投资单位可辨认净资产公允价值的份额，前者大于后者的，属于投资作价中体现的商誉部分，不调整长期股权投资的账面价值；前者小于后者的，在调整长期股权投资成本的同时，调整留存收益。</w:t>
      </w:r>
    </w:p>
    <w:p>
      <w:pPr>
        <w:pStyle w:val="ListParagraph"/>
        <w:numPr>
          <w:ilvl w:val="0"/>
          <w:numId w:val="39"/>
        </w:numPr>
        <w:tabs>
          <w:tab w:pos="2487" w:val="left" w:leader="none"/>
        </w:tabs>
        <w:spacing w:line="268" w:lineRule="exact" w:before="0" w:after="0"/>
        <w:ind w:left="2487" w:right="0" w:hanging="529"/>
        <w:jc w:val="left"/>
        <w:rPr>
          <w:sz w:val="21"/>
        </w:rPr>
      </w:pPr>
      <w:r>
        <w:rPr>
          <w:spacing w:val="-3"/>
          <w:sz w:val="21"/>
        </w:rPr>
        <w:t>确定对被投资单位具有共同控制、重大影响的依据</w:t>
      </w:r>
    </w:p>
    <w:p>
      <w:pPr>
        <w:pStyle w:val="BodyText"/>
        <w:spacing w:before="191"/>
        <w:ind w:left="1958"/>
      </w:pPr>
      <w:r>
        <w:rPr/>
        <w:t>①确定对被投资单位具有共同控制的依据：是指对某项安排的回报产生重大影响的活动必须</w:t>
      </w:r>
    </w:p>
    <w:p>
      <w:pPr>
        <w:spacing w:after="0"/>
        <w:sectPr>
          <w:pgSz w:w="11910" w:h="16840"/>
          <w:pgMar w:header="876" w:footer="1191" w:top="1440" w:bottom="1400" w:left="260" w:right="0"/>
        </w:sectPr>
      </w:pPr>
    </w:p>
    <w:p>
      <w:pPr>
        <w:pStyle w:val="BodyText"/>
        <w:spacing w:before="4"/>
        <w:rPr>
          <w:sz w:val="14"/>
        </w:rPr>
      </w:pPr>
    </w:p>
    <w:p>
      <w:pPr>
        <w:pStyle w:val="BodyText"/>
        <w:spacing w:line="410" w:lineRule="auto" w:before="72"/>
        <w:ind w:left="1538" w:right="1268"/>
      </w:pPr>
      <w:r>
        <w:rPr>
          <w:spacing w:val="-11"/>
        </w:rPr>
        <w:t>经过分享控制权的参与方一致同意后才能决策。包括商品或劳务的销售和购买、金融资产的管理、</w:t>
      </w:r>
      <w:r>
        <w:rPr>
          <w:spacing w:val="-6"/>
        </w:rPr>
        <w:t>资产的购买和处置、研究与开发活动以及融资活动等。</w:t>
      </w:r>
    </w:p>
    <w:p>
      <w:pPr>
        <w:pStyle w:val="BodyText"/>
        <w:spacing w:line="408" w:lineRule="auto" w:before="2"/>
        <w:ind w:left="1538" w:right="1267" w:firstLine="419"/>
      </w:pPr>
      <w:r>
        <w:rPr>
          <w:spacing w:val="-7"/>
        </w:rPr>
        <w:t>②确定对被投资单位具有重大影响的依据：当持有被投资单位 </w:t>
      </w:r>
      <w:r>
        <w:rPr>
          <w:rFonts w:ascii="Times New Roman" w:hAnsi="Times New Roman" w:eastAsia="Times New Roman"/>
        </w:rPr>
        <w:t>20%</w:t>
      </w:r>
      <w:r>
        <w:rPr>
          <w:spacing w:val="-11"/>
        </w:rPr>
        <w:t>以上至 </w:t>
      </w:r>
      <w:r>
        <w:rPr>
          <w:rFonts w:ascii="Times New Roman" w:hAnsi="Times New Roman" w:eastAsia="Times New Roman"/>
        </w:rPr>
        <w:t>50%</w:t>
      </w:r>
      <w:r>
        <w:rPr>
          <w:spacing w:val="-3"/>
        </w:rPr>
        <w:t>的表决权资本</w:t>
      </w:r>
      <w:r>
        <w:rPr>
          <w:spacing w:val="-7"/>
        </w:rPr>
        <w:t>时，具有重大影响。或虽不足 </w:t>
      </w:r>
      <w:r>
        <w:rPr>
          <w:rFonts w:ascii="Times New Roman" w:hAnsi="Times New Roman" w:eastAsia="Times New Roman"/>
        </w:rPr>
        <w:t>20%</w:t>
      </w:r>
      <w:r>
        <w:rPr>
          <w:spacing w:val="-3"/>
        </w:rPr>
        <w:t>，但符合下列条件之一时，具有重大影响：</w:t>
      </w:r>
    </w:p>
    <w:p>
      <w:pPr>
        <w:pStyle w:val="ListParagraph"/>
        <w:numPr>
          <w:ilvl w:val="0"/>
          <w:numId w:val="40"/>
        </w:numPr>
        <w:tabs>
          <w:tab w:pos="2276" w:val="left" w:leader="none"/>
        </w:tabs>
        <w:spacing w:line="240" w:lineRule="auto" w:before="4" w:after="0"/>
        <w:ind w:left="2275" w:right="0" w:hanging="318"/>
        <w:jc w:val="left"/>
        <w:rPr>
          <w:sz w:val="21"/>
        </w:rPr>
      </w:pPr>
      <w:r>
        <w:rPr>
          <w:spacing w:val="-3"/>
          <w:sz w:val="21"/>
        </w:rPr>
        <w:t>在被投资单位的董事会或类似的权力机构中派有代表；</w:t>
      </w:r>
    </w:p>
    <w:p>
      <w:pPr>
        <w:pStyle w:val="ListParagraph"/>
        <w:numPr>
          <w:ilvl w:val="0"/>
          <w:numId w:val="40"/>
        </w:numPr>
        <w:tabs>
          <w:tab w:pos="2276" w:val="left" w:leader="none"/>
        </w:tabs>
        <w:spacing w:line="240" w:lineRule="auto" w:before="192" w:after="0"/>
        <w:ind w:left="2275" w:right="0" w:hanging="318"/>
        <w:jc w:val="left"/>
        <w:rPr>
          <w:sz w:val="21"/>
        </w:rPr>
      </w:pPr>
      <w:r>
        <w:rPr>
          <w:spacing w:val="-3"/>
          <w:sz w:val="21"/>
        </w:rPr>
        <w:t>参与被投资单位的政策制定过程；</w:t>
      </w:r>
    </w:p>
    <w:p>
      <w:pPr>
        <w:pStyle w:val="ListParagraph"/>
        <w:numPr>
          <w:ilvl w:val="0"/>
          <w:numId w:val="40"/>
        </w:numPr>
        <w:tabs>
          <w:tab w:pos="2276" w:val="left" w:leader="none"/>
        </w:tabs>
        <w:spacing w:line="240" w:lineRule="auto" w:before="189" w:after="0"/>
        <w:ind w:left="2275" w:right="0" w:hanging="318"/>
        <w:jc w:val="left"/>
        <w:rPr>
          <w:sz w:val="21"/>
        </w:rPr>
      </w:pPr>
      <w:r>
        <w:rPr>
          <w:spacing w:val="-3"/>
          <w:sz w:val="21"/>
        </w:rPr>
        <w:t>向被投资单位派出管理人员；</w:t>
      </w:r>
    </w:p>
    <w:p>
      <w:pPr>
        <w:pStyle w:val="ListParagraph"/>
        <w:numPr>
          <w:ilvl w:val="0"/>
          <w:numId w:val="40"/>
        </w:numPr>
        <w:tabs>
          <w:tab w:pos="2276" w:val="left" w:leader="none"/>
        </w:tabs>
        <w:spacing w:line="240" w:lineRule="auto" w:before="192" w:after="0"/>
        <w:ind w:left="2275" w:right="0" w:hanging="318"/>
        <w:jc w:val="left"/>
        <w:rPr>
          <w:sz w:val="21"/>
        </w:rPr>
      </w:pPr>
      <w:r>
        <w:rPr>
          <w:spacing w:val="-3"/>
          <w:sz w:val="21"/>
        </w:rPr>
        <w:t>被投资单位依赖投资公司的技术或技术资料；</w:t>
      </w:r>
    </w:p>
    <w:p>
      <w:pPr>
        <w:pStyle w:val="ListParagraph"/>
        <w:numPr>
          <w:ilvl w:val="0"/>
          <w:numId w:val="40"/>
        </w:numPr>
        <w:tabs>
          <w:tab w:pos="2276" w:val="left" w:leader="none"/>
        </w:tabs>
        <w:spacing w:line="240" w:lineRule="auto" w:before="192" w:after="0"/>
        <w:ind w:left="2275" w:right="0" w:hanging="318"/>
        <w:jc w:val="left"/>
        <w:rPr>
          <w:sz w:val="21"/>
        </w:rPr>
      </w:pPr>
      <w:r>
        <w:rPr>
          <w:spacing w:val="-3"/>
          <w:sz w:val="21"/>
        </w:rPr>
        <w:t>与被投资单位之间发生重要交易。</w:t>
      </w:r>
    </w:p>
    <w:p>
      <w:pPr>
        <w:pStyle w:val="ListParagraph"/>
        <w:numPr>
          <w:ilvl w:val="0"/>
          <w:numId w:val="39"/>
        </w:numPr>
        <w:tabs>
          <w:tab w:pos="2487" w:val="left" w:leader="none"/>
        </w:tabs>
        <w:spacing w:line="240" w:lineRule="auto" w:before="189" w:after="0"/>
        <w:ind w:left="2487" w:right="0" w:hanging="529"/>
        <w:jc w:val="left"/>
        <w:rPr>
          <w:sz w:val="21"/>
        </w:rPr>
      </w:pPr>
      <w:r>
        <w:rPr>
          <w:spacing w:val="-3"/>
          <w:sz w:val="21"/>
        </w:rPr>
        <w:t>减值测试方法及减值准备计提方法</w:t>
      </w:r>
    </w:p>
    <w:p>
      <w:pPr>
        <w:pStyle w:val="BodyText"/>
        <w:spacing w:line="410" w:lineRule="auto" w:before="192"/>
        <w:ind w:left="1538" w:right="1268" w:firstLine="419"/>
        <w:jc w:val="both"/>
      </w:pPr>
      <w:r>
        <w:rPr/>
        <w:t>资产负债表日，本公司对长期股权投资检查是否存在可能发生减值的迹象，当存在减值迹象时应进行减值测试确认其可收回金额，按可收回金额低于账面价值部分计提减值准备，减值损失一经计提，在以后会计期间不再转回。</w:t>
      </w:r>
    </w:p>
    <w:p>
      <w:pPr>
        <w:pStyle w:val="BodyText"/>
        <w:spacing w:line="269" w:lineRule="exact"/>
        <w:ind w:left="1958"/>
      </w:pPr>
      <w:r>
        <w:rPr/>
        <w:t>可收回金额按照长期股权投资出售的公允价值净额与预计未来现金流量的现值之间孰高确定。</w:t>
      </w:r>
    </w:p>
    <w:p>
      <w:pPr>
        <w:pStyle w:val="BodyText"/>
        <w:spacing w:before="12"/>
        <w:rPr>
          <w:sz w:val="14"/>
        </w:rPr>
      </w:pPr>
    </w:p>
    <w:p>
      <w:pPr>
        <w:pStyle w:val="ListParagraph"/>
        <w:numPr>
          <w:ilvl w:val="0"/>
          <w:numId w:val="39"/>
        </w:numPr>
        <w:tabs>
          <w:tab w:pos="2487" w:val="left" w:leader="none"/>
        </w:tabs>
        <w:spacing w:line="240" w:lineRule="auto" w:before="1" w:after="0"/>
        <w:ind w:left="2487" w:right="0" w:hanging="529"/>
        <w:jc w:val="left"/>
        <w:rPr>
          <w:sz w:val="21"/>
        </w:rPr>
      </w:pPr>
      <w:r>
        <w:rPr>
          <w:spacing w:val="-3"/>
          <w:sz w:val="21"/>
        </w:rPr>
        <w:t>长期股权投资处置</w:t>
      </w:r>
    </w:p>
    <w:p>
      <w:pPr>
        <w:pStyle w:val="BodyText"/>
        <w:spacing w:line="410" w:lineRule="auto" w:before="189"/>
        <w:ind w:left="1538" w:right="1268" w:firstLine="419"/>
        <w:jc w:val="both"/>
      </w:pPr>
      <w:r>
        <w:rPr/>
        <w:t>处置长期股权投资时，其账面价值与实际取得价款之间的差额，应当计入当期损益。采用权益法核算的长期股权投资，在处置该项投资时，采用与被投资单位直接处置相关资产或负债相同的基础，按相应比例对原计入其他综合收益的部分进行会计处理。</w:t>
      </w:r>
    </w:p>
    <w:p>
      <w:pPr>
        <w:pStyle w:val="Heading4"/>
        <w:numPr>
          <w:ilvl w:val="0"/>
          <w:numId w:val="31"/>
        </w:numPr>
        <w:tabs>
          <w:tab w:pos="1963" w:val="left" w:leader="none"/>
        </w:tabs>
        <w:spacing w:line="240" w:lineRule="auto" w:before="46" w:after="0"/>
        <w:ind w:left="1962" w:right="0" w:hanging="425"/>
        <w:jc w:val="left"/>
      </w:pPr>
      <w:r>
        <w:rPr/>
        <w:t>投资性房地产</w:t>
      </w:r>
    </w:p>
    <w:p>
      <w:pPr>
        <w:pStyle w:val="BodyText"/>
        <w:spacing w:before="189"/>
        <w:ind w:left="1898"/>
      </w:pPr>
      <w:r>
        <w:rPr/>
        <w:t>本公司投资性房地产包括已出租的土地使用权、已出租的建筑物。</w:t>
      </w:r>
    </w:p>
    <w:p>
      <w:pPr>
        <w:pStyle w:val="BodyText"/>
        <w:spacing w:before="6"/>
        <w:rPr>
          <w:sz w:val="16"/>
        </w:rPr>
      </w:pPr>
    </w:p>
    <w:p>
      <w:pPr>
        <w:pStyle w:val="BodyText"/>
        <w:ind w:left="1898"/>
      </w:pPr>
      <w:r>
        <w:rPr/>
        <w:t>本公司投资性房地产按照成本进行初始计量，采用成本模式进行后续计量。</w:t>
      </w:r>
    </w:p>
    <w:p>
      <w:pPr>
        <w:pStyle w:val="BodyText"/>
        <w:spacing w:before="8"/>
        <w:rPr>
          <w:sz w:val="17"/>
        </w:rPr>
      </w:pPr>
    </w:p>
    <w:p>
      <w:pPr>
        <w:pStyle w:val="BodyText"/>
        <w:spacing w:line="410" w:lineRule="auto"/>
        <w:ind w:left="1538" w:right="1268" w:firstLine="359"/>
        <w:jc w:val="both"/>
      </w:pPr>
      <w:r>
        <w:rPr/>
        <w:t>本公司投资性房地产中出租的建筑物采用年限平均法计提折旧，具体核算政策与固定资产部分相同。投资性房地产中出租的土地使用权、持有并准备增值后转让的土地使用权采用直线法摊销，具体核算政策与无形资产部分相同。</w:t>
      </w:r>
    </w:p>
    <w:p>
      <w:pPr>
        <w:pStyle w:val="BodyText"/>
        <w:spacing w:line="410" w:lineRule="auto"/>
        <w:ind w:left="1538" w:right="1268" w:firstLine="359"/>
        <w:jc w:val="both"/>
      </w:pPr>
      <w:r>
        <w:rPr/>
        <w:t>资产负债表日，本公司对投资性房地产检查是否存在可能发生减值的迹象，当存在减值迹象时应进行减值测试确认其可收回金额，按可收回金额低于账面价值部分计提减值准备，减值损失一经计提，在以后会计期间不再转回。</w:t>
      </w:r>
    </w:p>
    <w:p>
      <w:pPr>
        <w:pStyle w:val="Heading4"/>
        <w:numPr>
          <w:ilvl w:val="0"/>
          <w:numId w:val="31"/>
        </w:numPr>
        <w:tabs>
          <w:tab w:pos="1963" w:val="left" w:leader="none"/>
        </w:tabs>
        <w:spacing w:line="360" w:lineRule="exact" w:before="43" w:after="0"/>
        <w:ind w:left="1962" w:right="0" w:hanging="425"/>
        <w:jc w:val="left"/>
      </w:pPr>
      <w:r>
        <w:rPr/>
        <w:t>固定资产</w:t>
      </w:r>
    </w:p>
    <w:p>
      <w:pPr>
        <w:pStyle w:val="Heading4"/>
        <w:numPr>
          <w:ilvl w:val="0"/>
          <w:numId w:val="41"/>
        </w:numPr>
        <w:tabs>
          <w:tab w:pos="1963" w:val="left" w:leader="none"/>
        </w:tabs>
        <w:spacing w:line="360" w:lineRule="exact" w:before="0" w:after="0"/>
        <w:ind w:left="1962" w:right="0" w:hanging="425"/>
        <w:jc w:val="left"/>
      </w:pPr>
      <w:r>
        <w:rPr/>
        <w:t>确认条件</w:t>
      </w:r>
    </w:p>
    <w:p>
      <w:pPr>
        <w:pStyle w:val="BodyText"/>
        <w:spacing w:before="15"/>
        <w:ind w:left="1962"/>
      </w:pPr>
      <w:r>
        <w:rPr/>
        <w:t>√适用 □不适用</w:t>
      </w:r>
    </w:p>
    <w:p>
      <w:pPr>
        <w:spacing w:after="0"/>
        <w:sectPr>
          <w:pgSz w:w="11910" w:h="16840"/>
          <w:pgMar w:header="876" w:footer="1191" w:top="1440" w:bottom="1380" w:left="260" w:right="0"/>
        </w:sectPr>
      </w:pPr>
    </w:p>
    <w:p>
      <w:pPr>
        <w:pStyle w:val="BodyText"/>
        <w:spacing w:before="3"/>
        <w:rPr>
          <w:sz w:val="13"/>
        </w:rPr>
      </w:pPr>
    </w:p>
    <w:p>
      <w:pPr>
        <w:pStyle w:val="BodyText"/>
        <w:spacing w:line="427" w:lineRule="auto" w:before="72"/>
        <w:ind w:left="1538" w:right="1277" w:firstLine="419"/>
      </w:pPr>
      <w:r>
        <w:rPr/>
        <w:t>固定资产是指为生产商品、提供劳务、出租或经营管理而持有的，使用寿命超过一个会计年度的有形资产。同时满足以下条件时予以确认：</w:t>
      </w:r>
    </w:p>
    <w:p>
      <w:pPr>
        <w:pStyle w:val="BodyText"/>
        <w:spacing w:before="2"/>
        <w:ind w:left="1958"/>
      </w:pPr>
      <w:r>
        <w:rPr/>
        <w:t>①与该固定资产有关的经济利益很可能流入企业；</w:t>
      </w:r>
    </w:p>
    <w:p>
      <w:pPr>
        <w:pStyle w:val="BodyText"/>
        <w:spacing w:before="5"/>
        <w:rPr>
          <w:sz w:val="16"/>
        </w:rPr>
      </w:pPr>
    </w:p>
    <w:p>
      <w:pPr>
        <w:pStyle w:val="BodyText"/>
        <w:spacing w:before="1"/>
        <w:ind w:left="1958"/>
      </w:pPr>
      <w:r>
        <w:rPr/>
        <w:t>②该固定资产的成本能够可靠地计量。</w:t>
      </w:r>
    </w:p>
    <w:p>
      <w:pPr>
        <w:pStyle w:val="Heading4"/>
        <w:numPr>
          <w:ilvl w:val="0"/>
          <w:numId w:val="41"/>
        </w:numPr>
        <w:tabs>
          <w:tab w:pos="1963" w:val="left" w:leader="none"/>
        </w:tabs>
        <w:spacing w:line="240" w:lineRule="auto" w:before="28" w:after="0"/>
        <w:ind w:left="1962" w:right="0" w:hanging="425"/>
        <w:jc w:val="left"/>
      </w:pPr>
      <w:r>
        <w:rPr>
          <w:spacing w:val="-1"/>
        </w:rPr>
        <w:t>固定资产分类和折旧方法</w:t>
      </w:r>
    </w:p>
    <w:p>
      <w:pPr>
        <w:pStyle w:val="BodyText"/>
        <w:spacing w:line="427" w:lineRule="auto" w:before="190"/>
        <w:ind w:left="1538" w:right="1277" w:firstLine="357"/>
        <w:jc w:val="both"/>
      </w:pPr>
      <w:r>
        <w:rPr/>
        <w:pict>
          <v:shape style="position:absolute;margin-left:103.580002pt;margin-top:126.830009pt;width:415.05pt;height:112.1pt;mso-position-horizontal-relative:page;mso-position-vertical-relative:paragraph;z-index:251665408"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929"/>
                    <w:gridCol w:w="2028"/>
                    <w:gridCol w:w="2299"/>
                  </w:tblGrid>
                  <w:tr>
                    <w:trPr>
                      <w:trHeight w:val="339" w:hRule="atLeast"/>
                    </w:trPr>
                    <w:tc>
                      <w:tcPr>
                        <w:tcW w:w="3929" w:type="dxa"/>
                        <w:tcBorders>
                          <w:bottom w:val="single" w:sz="4" w:space="0" w:color="000000"/>
                          <w:right w:val="single" w:sz="4" w:space="0" w:color="000000"/>
                        </w:tcBorders>
                      </w:tcPr>
                      <w:p>
                        <w:pPr>
                          <w:pStyle w:val="TableParagraph"/>
                          <w:spacing w:line="320" w:lineRule="exact"/>
                          <w:ind w:left="1399" w:right="1389"/>
                          <w:jc w:val="center"/>
                          <w:rPr>
                            <w:rFonts w:ascii="Microsoft JhengHei" w:eastAsia="Microsoft JhengHei" w:hint="eastAsia"/>
                            <w:b/>
                            <w:sz w:val="18"/>
                          </w:rPr>
                        </w:pPr>
                        <w:r>
                          <w:rPr>
                            <w:rFonts w:ascii="Microsoft JhengHei" w:eastAsia="Microsoft JhengHei" w:hint="eastAsia"/>
                            <w:b/>
                            <w:sz w:val="18"/>
                          </w:rPr>
                          <w:t>固定资产类别</w:t>
                        </w:r>
                      </w:p>
                    </w:tc>
                    <w:tc>
                      <w:tcPr>
                        <w:tcW w:w="2028" w:type="dxa"/>
                        <w:tcBorders>
                          <w:left w:val="single" w:sz="4" w:space="0" w:color="000000"/>
                          <w:bottom w:val="single" w:sz="4" w:space="0" w:color="000000"/>
                          <w:right w:val="single" w:sz="4" w:space="0" w:color="000000"/>
                        </w:tcBorders>
                      </w:tcPr>
                      <w:p>
                        <w:pPr>
                          <w:pStyle w:val="TableParagraph"/>
                          <w:spacing w:line="320" w:lineRule="exact"/>
                          <w:ind w:right="630"/>
                          <w:jc w:val="right"/>
                          <w:rPr>
                            <w:rFonts w:ascii="Microsoft JhengHei" w:eastAsia="Microsoft JhengHei" w:hint="eastAsia"/>
                            <w:b/>
                            <w:sz w:val="18"/>
                          </w:rPr>
                        </w:pPr>
                        <w:r>
                          <w:rPr>
                            <w:rFonts w:ascii="Microsoft JhengHei" w:eastAsia="Microsoft JhengHei" w:hint="eastAsia"/>
                            <w:b/>
                            <w:sz w:val="18"/>
                          </w:rPr>
                          <w:t>使用年限</w:t>
                        </w:r>
                      </w:p>
                    </w:tc>
                    <w:tc>
                      <w:tcPr>
                        <w:tcW w:w="2299" w:type="dxa"/>
                        <w:tcBorders>
                          <w:left w:val="single" w:sz="4" w:space="0" w:color="000000"/>
                          <w:bottom w:val="single" w:sz="4" w:space="0" w:color="000000"/>
                        </w:tcBorders>
                      </w:tcPr>
                      <w:p>
                        <w:pPr>
                          <w:pStyle w:val="TableParagraph"/>
                          <w:spacing w:line="320" w:lineRule="exact"/>
                          <w:ind w:left="687" w:right="652"/>
                          <w:jc w:val="center"/>
                          <w:rPr>
                            <w:rFonts w:ascii="Microsoft JhengHei" w:eastAsia="Microsoft JhengHei" w:hint="eastAsia"/>
                            <w:b/>
                            <w:sz w:val="18"/>
                          </w:rPr>
                        </w:pPr>
                        <w:r>
                          <w:rPr>
                            <w:rFonts w:ascii="Microsoft JhengHei" w:eastAsia="Microsoft JhengHei" w:hint="eastAsia"/>
                            <w:b/>
                            <w:sz w:val="18"/>
                          </w:rPr>
                          <w:t>预计残值率</w:t>
                        </w:r>
                      </w:p>
                    </w:tc>
                  </w:tr>
                  <w:tr>
                    <w:trPr>
                      <w:trHeight w:val="357" w:hRule="atLeast"/>
                    </w:trPr>
                    <w:tc>
                      <w:tcPr>
                        <w:tcW w:w="3929" w:type="dxa"/>
                        <w:tcBorders>
                          <w:top w:val="single" w:sz="4" w:space="0" w:color="000000"/>
                          <w:bottom w:val="single" w:sz="4" w:space="0" w:color="000000"/>
                          <w:right w:val="single" w:sz="4" w:space="0" w:color="000000"/>
                        </w:tcBorders>
                      </w:tcPr>
                      <w:p>
                        <w:pPr>
                          <w:pStyle w:val="TableParagraph"/>
                          <w:spacing w:before="62"/>
                          <w:ind w:left="105"/>
                          <w:rPr>
                            <w:rFonts w:ascii="宋体" w:eastAsia="宋体" w:hint="eastAsia"/>
                            <w:sz w:val="18"/>
                          </w:rPr>
                        </w:pPr>
                        <w:r>
                          <w:rPr>
                            <w:rFonts w:ascii="宋体" w:eastAsia="宋体" w:hint="eastAsia"/>
                            <w:sz w:val="18"/>
                          </w:rPr>
                          <w:t>土地所有权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before="51"/>
                          <w:ind w:left="31"/>
                          <w:jc w:val="center"/>
                          <w:rPr>
                            <w:sz w:val="21"/>
                          </w:rPr>
                        </w:pPr>
                        <w:r>
                          <w:rPr>
                            <w:w w:val="100"/>
                            <w:sz w:val="21"/>
                          </w:rPr>
                          <w:t>-</w:t>
                        </w:r>
                      </w:p>
                    </w:tc>
                    <w:tc>
                      <w:tcPr>
                        <w:tcW w:w="2299" w:type="dxa"/>
                        <w:tcBorders>
                          <w:top w:val="single" w:sz="4" w:space="0" w:color="000000"/>
                          <w:left w:val="single" w:sz="4" w:space="0" w:color="000000"/>
                          <w:bottom w:val="single" w:sz="4" w:space="0" w:color="000000"/>
                        </w:tcBorders>
                      </w:tcPr>
                      <w:p>
                        <w:pPr>
                          <w:pStyle w:val="TableParagraph"/>
                          <w:spacing w:before="51"/>
                          <w:ind w:left="40"/>
                          <w:jc w:val="center"/>
                          <w:rPr>
                            <w:sz w:val="21"/>
                          </w:rPr>
                        </w:pPr>
                        <w:r>
                          <w:rPr>
                            <w:w w:val="100"/>
                            <w:sz w:val="21"/>
                          </w:rPr>
                          <w:t>-</w:t>
                        </w:r>
                      </w:p>
                    </w:tc>
                  </w:tr>
                  <w:tr>
                    <w:trPr>
                      <w:trHeight w:val="359" w:hRule="atLeast"/>
                    </w:trPr>
                    <w:tc>
                      <w:tcPr>
                        <w:tcW w:w="3929" w:type="dxa"/>
                        <w:tcBorders>
                          <w:top w:val="single" w:sz="4" w:space="0" w:color="000000"/>
                          <w:bottom w:val="single" w:sz="4" w:space="0" w:color="000000"/>
                          <w:right w:val="single" w:sz="4" w:space="0" w:color="000000"/>
                        </w:tcBorders>
                      </w:tcPr>
                      <w:p>
                        <w:pPr>
                          <w:pStyle w:val="TableParagraph"/>
                          <w:spacing w:before="64"/>
                          <w:ind w:left="105"/>
                          <w:rPr>
                            <w:rFonts w:ascii="宋体" w:eastAsia="宋体" w:hint="eastAsia"/>
                            <w:sz w:val="18"/>
                          </w:rPr>
                        </w:pPr>
                        <w:r>
                          <w:rPr>
                            <w:rFonts w:ascii="宋体" w:eastAsia="宋体" w:hint="eastAsia"/>
                            <w:sz w:val="18"/>
                          </w:rPr>
                          <w:t>房屋及建筑物</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before="60"/>
                          <w:ind w:right="694"/>
                          <w:jc w:val="right"/>
                          <w:rPr>
                            <w:rFonts w:ascii="宋体" w:eastAsia="宋体" w:hint="eastAsia"/>
                            <w:sz w:val="18"/>
                          </w:rPr>
                        </w:pPr>
                        <w:r>
                          <w:rPr>
                            <w:sz w:val="20"/>
                          </w:rPr>
                          <w:t>8-40 </w:t>
                        </w:r>
                        <w:r>
                          <w:rPr>
                            <w:rFonts w:ascii="宋体" w:eastAsia="宋体" w:hint="eastAsia"/>
                            <w:sz w:val="18"/>
                          </w:rPr>
                          <w:t>年</w:t>
                        </w:r>
                      </w:p>
                    </w:tc>
                    <w:tc>
                      <w:tcPr>
                        <w:tcW w:w="2299" w:type="dxa"/>
                        <w:tcBorders>
                          <w:top w:val="single" w:sz="4" w:space="0" w:color="000000"/>
                          <w:left w:val="single" w:sz="4" w:space="0" w:color="000000"/>
                          <w:bottom w:val="single" w:sz="4" w:space="0" w:color="000000"/>
                        </w:tcBorders>
                      </w:tcPr>
                      <w:p>
                        <w:pPr>
                          <w:pStyle w:val="TableParagraph"/>
                          <w:spacing w:before="58"/>
                          <w:ind w:left="687" w:right="651"/>
                          <w:jc w:val="center"/>
                          <w:rPr>
                            <w:sz w:val="20"/>
                          </w:rPr>
                        </w:pPr>
                        <w:r>
                          <w:rPr>
                            <w:sz w:val="20"/>
                          </w:rPr>
                          <w:t>0%-5%</w:t>
                        </w:r>
                      </w:p>
                    </w:tc>
                  </w:tr>
                  <w:tr>
                    <w:trPr>
                      <w:trHeight w:val="359" w:hRule="atLeast"/>
                    </w:trPr>
                    <w:tc>
                      <w:tcPr>
                        <w:tcW w:w="3929" w:type="dxa"/>
                        <w:tcBorders>
                          <w:top w:val="single" w:sz="4" w:space="0" w:color="000000"/>
                          <w:bottom w:val="single" w:sz="4" w:space="0" w:color="000000"/>
                          <w:right w:val="single" w:sz="4" w:space="0" w:color="000000"/>
                        </w:tcBorders>
                      </w:tcPr>
                      <w:p>
                        <w:pPr>
                          <w:pStyle w:val="TableParagraph"/>
                          <w:spacing w:before="62"/>
                          <w:ind w:left="105"/>
                          <w:rPr>
                            <w:rFonts w:ascii="宋体" w:eastAsia="宋体" w:hint="eastAsia"/>
                            <w:sz w:val="18"/>
                          </w:rPr>
                        </w:pPr>
                        <w:r>
                          <w:rPr>
                            <w:rFonts w:ascii="宋体" w:eastAsia="宋体" w:hint="eastAsia"/>
                            <w:sz w:val="18"/>
                          </w:rPr>
                          <w:t>机器设备</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before="51"/>
                          <w:ind w:right="683"/>
                          <w:jc w:val="right"/>
                          <w:rPr>
                            <w:rFonts w:ascii="宋体" w:eastAsia="宋体" w:hint="eastAsia"/>
                            <w:sz w:val="20"/>
                          </w:rPr>
                        </w:pPr>
                        <w:r>
                          <w:rPr>
                            <w:sz w:val="20"/>
                          </w:rPr>
                          <w:t>4-20 </w:t>
                        </w:r>
                        <w:r>
                          <w:rPr>
                            <w:rFonts w:ascii="宋体" w:eastAsia="宋体" w:hint="eastAsia"/>
                            <w:sz w:val="20"/>
                          </w:rPr>
                          <w:t>年</w:t>
                        </w:r>
                      </w:p>
                    </w:tc>
                    <w:tc>
                      <w:tcPr>
                        <w:tcW w:w="2299" w:type="dxa"/>
                        <w:tcBorders>
                          <w:top w:val="single" w:sz="4" w:space="0" w:color="000000"/>
                          <w:left w:val="single" w:sz="4" w:space="0" w:color="000000"/>
                          <w:bottom w:val="single" w:sz="4" w:space="0" w:color="000000"/>
                        </w:tcBorders>
                      </w:tcPr>
                      <w:p>
                        <w:pPr>
                          <w:pStyle w:val="TableParagraph"/>
                          <w:spacing w:before="58"/>
                          <w:ind w:left="687" w:right="651"/>
                          <w:jc w:val="center"/>
                          <w:rPr>
                            <w:sz w:val="20"/>
                          </w:rPr>
                        </w:pPr>
                        <w:r>
                          <w:rPr>
                            <w:sz w:val="20"/>
                          </w:rPr>
                          <w:t>0%-5%</w:t>
                        </w:r>
                      </w:p>
                    </w:tc>
                  </w:tr>
                  <w:tr>
                    <w:trPr>
                      <w:trHeight w:val="359" w:hRule="atLeast"/>
                    </w:trPr>
                    <w:tc>
                      <w:tcPr>
                        <w:tcW w:w="3929" w:type="dxa"/>
                        <w:tcBorders>
                          <w:top w:val="single" w:sz="4" w:space="0" w:color="000000"/>
                          <w:bottom w:val="single" w:sz="4" w:space="0" w:color="000000"/>
                          <w:right w:val="single" w:sz="4" w:space="0" w:color="000000"/>
                        </w:tcBorders>
                      </w:tcPr>
                      <w:p>
                        <w:pPr>
                          <w:pStyle w:val="TableParagraph"/>
                          <w:spacing w:before="62"/>
                          <w:ind w:left="105"/>
                          <w:rPr>
                            <w:rFonts w:ascii="宋体" w:eastAsia="宋体" w:hint="eastAsia"/>
                            <w:sz w:val="18"/>
                          </w:rPr>
                        </w:pPr>
                        <w:r>
                          <w:rPr>
                            <w:rFonts w:ascii="宋体" w:eastAsia="宋体" w:hint="eastAsia"/>
                            <w:sz w:val="18"/>
                          </w:rPr>
                          <w:t>运输设备</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before="52"/>
                          <w:ind w:right="683"/>
                          <w:jc w:val="right"/>
                          <w:rPr>
                            <w:rFonts w:ascii="宋体" w:eastAsia="宋体" w:hint="eastAsia"/>
                            <w:sz w:val="20"/>
                          </w:rPr>
                        </w:pPr>
                        <w:r>
                          <w:rPr>
                            <w:sz w:val="20"/>
                          </w:rPr>
                          <w:t>5-10 </w:t>
                        </w:r>
                        <w:r>
                          <w:rPr>
                            <w:rFonts w:ascii="宋体" w:eastAsia="宋体" w:hint="eastAsia"/>
                            <w:sz w:val="20"/>
                          </w:rPr>
                          <w:t>年</w:t>
                        </w:r>
                      </w:p>
                    </w:tc>
                    <w:tc>
                      <w:tcPr>
                        <w:tcW w:w="2299" w:type="dxa"/>
                        <w:tcBorders>
                          <w:top w:val="single" w:sz="4" w:space="0" w:color="000000"/>
                          <w:left w:val="single" w:sz="4" w:space="0" w:color="000000"/>
                          <w:bottom w:val="single" w:sz="4" w:space="0" w:color="000000"/>
                        </w:tcBorders>
                      </w:tcPr>
                      <w:p>
                        <w:pPr>
                          <w:pStyle w:val="TableParagraph"/>
                          <w:spacing w:before="58"/>
                          <w:ind w:left="687" w:right="651"/>
                          <w:jc w:val="center"/>
                          <w:rPr>
                            <w:sz w:val="20"/>
                          </w:rPr>
                        </w:pPr>
                        <w:r>
                          <w:rPr>
                            <w:sz w:val="20"/>
                          </w:rPr>
                          <w:t>0%-5%</w:t>
                        </w:r>
                      </w:p>
                    </w:tc>
                  </w:tr>
                  <w:tr>
                    <w:trPr>
                      <w:trHeight w:val="356" w:hRule="atLeast"/>
                    </w:trPr>
                    <w:tc>
                      <w:tcPr>
                        <w:tcW w:w="3929" w:type="dxa"/>
                        <w:tcBorders>
                          <w:top w:val="single" w:sz="4" w:space="0" w:color="000000"/>
                          <w:right w:val="single" w:sz="4" w:space="0" w:color="000000"/>
                        </w:tcBorders>
                      </w:tcPr>
                      <w:p>
                        <w:pPr>
                          <w:pStyle w:val="TableParagraph"/>
                          <w:spacing w:before="62"/>
                          <w:ind w:left="105"/>
                          <w:rPr>
                            <w:rFonts w:ascii="宋体" w:eastAsia="宋体" w:hint="eastAsia"/>
                            <w:sz w:val="18"/>
                          </w:rPr>
                        </w:pPr>
                        <w:r>
                          <w:rPr>
                            <w:rFonts w:ascii="宋体" w:eastAsia="宋体" w:hint="eastAsia"/>
                            <w:sz w:val="18"/>
                          </w:rPr>
                          <w:t>办公设备及其他</w:t>
                        </w:r>
                      </w:p>
                    </w:tc>
                    <w:tc>
                      <w:tcPr>
                        <w:tcW w:w="2028" w:type="dxa"/>
                        <w:tcBorders>
                          <w:top w:val="single" w:sz="4" w:space="0" w:color="000000"/>
                          <w:left w:val="single" w:sz="4" w:space="0" w:color="000000"/>
                          <w:right w:val="single" w:sz="4" w:space="0" w:color="000000"/>
                        </w:tcBorders>
                      </w:tcPr>
                      <w:p>
                        <w:pPr>
                          <w:pStyle w:val="TableParagraph"/>
                          <w:spacing w:before="52"/>
                          <w:ind w:right="683"/>
                          <w:jc w:val="right"/>
                          <w:rPr>
                            <w:rFonts w:ascii="宋体" w:eastAsia="宋体" w:hint="eastAsia"/>
                            <w:sz w:val="20"/>
                          </w:rPr>
                        </w:pPr>
                        <w:r>
                          <w:rPr>
                            <w:sz w:val="20"/>
                          </w:rPr>
                          <w:t>3-10 </w:t>
                        </w:r>
                        <w:r>
                          <w:rPr>
                            <w:rFonts w:ascii="宋体" w:eastAsia="宋体" w:hint="eastAsia"/>
                            <w:sz w:val="20"/>
                          </w:rPr>
                          <w:t>年</w:t>
                        </w:r>
                      </w:p>
                    </w:tc>
                    <w:tc>
                      <w:tcPr>
                        <w:tcW w:w="2299" w:type="dxa"/>
                        <w:tcBorders>
                          <w:top w:val="single" w:sz="4" w:space="0" w:color="000000"/>
                          <w:left w:val="single" w:sz="4" w:space="0" w:color="000000"/>
                        </w:tcBorders>
                      </w:tcPr>
                      <w:p>
                        <w:pPr>
                          <w:pStyle w:val="TableParagraph"/>
                          <w:spacing w:before="58"/>
                          <w:ind w:left="687" w:right="651"/>
                          <w:jc w:val="center"/>
                          <w:rPr>
                            <w:sz w:val="20"/>
                          </w:rPr>
                        </w:pPr>
                        <w:r>
                          <w:rPr>
                            <w:sz w:val="20"/>
                          </w:rPr>
                          <w:t>0%-5%</w:t>
                        </w:r>
                      </w:p>
                    </w:tc>
                  </w:tr>
                </w:tbl>
                <w:p>
                  <w:pPr>
                    <w:pStyle w:val="BodyText"/>
                  </w:pPr>
                </w:p>
              </w:txbxContent>
            </v:textbox>
            <w10:wrap type="none"/>
          </v:shape>
        </w:pict>
      </w:r>
      <w:r>
        <w:rPr/>
        <w:t>本公司固定资产主要分为：房屋建筑物、生产设备、运输设备、办公设备等；折旧方法采用年限平均法。根据各类固定资产的性质和使用情况，确定固定资产的使用寿命和预计净残值。并在年度终了，对固定资产的使用寿命、预计净残值和折旧方法进行复核，如与原先估计数存在差异的，进行相应的调整。除已提足折旧仍继续使用的固定资产外，本公司对所有固定资产计提折旧。</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4"/>
        <w:numPr>
          <w:ilvl w:val="0"/>
          <w:numId w:val="41"/>
        </w:numPr>
        <w:tabs>
          <w:tab w:pos="1963" w:val="left" w:leader="none"/>
        </w:tabs>
        <w:spacing w:line="240" w:lineRule="auto" w:before="138" w:after="0"/>
        <w:ind w:left="1962" w:right="0" w:hanging="425"/>
        <w:jc w:val="left"/>
      </w:pPr>
      <w:r>
        <w:rPr>
          <w:spacing w:val="-3"/>
        </w:rPr>
        <w:t>固定资产的减值测试方法、减值准备的计提方法</w:t>
      </w:r>
    </w:p>
    <w:p>
      <w:pPr>
        <w:pStyle w:val="BodyText"/>
        <w:spacing w:line="364" w:lineRule="auto" w:before="151"/>
        <w:ind w:left="1538" w:right="1273" w:firstLine="424"/>
        <w:jc w:val="both"/>
      </w:pPr>
      <w:r>
        <w:rPr/>
        <w:t>资产负债表日，本公司对固定资产检查是否存在可能发生减值的迹象，当存在减值迹象时应进行减值测试确认其可收回金额，按可收回金额低于账面价值部分计提减值准备，减值损失一经计提，在以后会计期间不再转回。</w:t>
      </w:r>
    </w:p>
    <w:p>
      <w:pPr>
        <w:pStyle w:val="Heading4"/>
        <w:numPr>
          <w:ilvl w:val="0"/>
          <w:numId w:val="41"/>
        </w:numPr>
        <w:tabs>
          <w:tab w:pos="1963" w:val="left" w:leader="none"/>
        </w:tabs>
        <w:spacing w:line="376" w:lineRule="exact" w:before="0" w:after="0"/>
        <w:ind w:left="1962" w:right="0" w:hanging="425"/>
        <w:jc w:val="left"/>
      </w:pPr>
      <w:r>
        <w:rPr>
          <w:spacing w:val="-3"/>
        </w:rPr>
        <w:t>融资租入固定资产的认定依据、计价和折旧方法</w:t>
      </w:r>
    </w:p>
    <w:p>
      <w:pPr>
        <w:pStyle w:val="BodyText"/>
        <w:spacing w:before="152"/>
        <w:ind w:left="1962"/>
        <w:jc w:val="both"/>
      </w:pPr>
      <w:r>
        <w:rPr/>
        <w:t>√适用 □不适用</w:t>
      </w:r>
    </w:p>
    <w:p>
      <w:pPr>
        <w:pStyle w:val="BodyText"/>
        <w:spacing w:line="364" w:lineRule="auto" w:before="138"/>
        <w:ind w:left="1538" w:right="1267" w:firstLine="419"/>
        <w:jc w:val="both"/>
      </w:pPr>
      <w:r>
        <w:rPr>
          <w:spacing w:val="-3"/>
        </w:rPr>
        <w:t>融资租入固定资产的认定依据：实质上转移了与资产所有权有关的全部风险和报酬的租赁。具体认定依据为符合下列一项或数项条件的：①在租赁期届满时，租赁资产的所有权转移给承租人；②承租人有购买租赁资产的选择权，所订立的购买价款预计将远低于行使选择权时租赁资产的公允价值，因而在租赁开始日就可以合理确定承租人会行使这种选择权；③即使资产的所有权</w:t>
      </w:r>
      <w:r>
        <w:rPr>
          <w:spacing w:val="-16"/>
          <w:w w:val="100"/>
        </w:rPr>
        <w:t>不转移，但租赁期占租赁资产使用寿命的大部分；④承租人在租赁开始日的最低租赁付款额现值，</w:t>
      </w:r>
      <w:r>
        <w:rPr>
          <w:spacing w:val="-8"/>
        </w:rPr>
        <w:t>几乎相当于租赁开始日租赁资产公允价值；⑤租赁资产性质特殊，如不作较大改造只有承租人才</w:t>
      </w:r>
      <w:r>
        <w:rPr>
          <w:spacing w:val="-6"/>
        </w:rPr>
        <w:t>能使用。</w:t>
      </w:r>
    </w:p>
    <w:p>
      <w:pPr>
        <w:pStyle w:val="BodyText"/>
        <w:spacing w:before="7"/>
        <w:rPr>
          <w:sz w:val="14"/>
        </w:rPr>
      </w:pPr>
    </w:p>
    <w:p>
      <w:pPr>
        <w:pStyle w:val="BodyText"/>
        <w:spacing w:line="408" w:lineRule="auto"/>
        <w:ind w:left="1538" w:right="1270" w:firstLine="419"/>
      </w:pPr>
      <w:r>
        <w:rPr/>
        <w:t>融资租入固定资产的计价方法：融资租入固定资产初始计价为租赁期开始日租赁资产公允价值与最低租赁付款额现值较低者作为入账价值；</w:t>
      </w:r>
    </w:p>
    <w:p>
      <w:pPr>
        <w:spacing w:after="0" w:line="408" w:lineRule="auto"/>
        <w:sectPr>
          <w:pgSz w:w="11910" w:h="16840"/>
          <w:pgMar w:header="876" w:footer="1191" w:top="1440" w:bottom="1400" w:left="260" w:right="0"/>
        </w:sectPr>
      </w:pPr>
    </w:p>
    <w:p>
      <w:pPr>
        <w:pStyle w:val="BodyText"/>
        <w:spacing w:before="4"/>
        <w:rPr>
          <w:sz w:val="14"/>
        </w:rPr>
      </w:pPr>
    </w:p>
    <w:p>
      <w:pPr>
        <w:pStyle w:val="BodyText"/>
        <w:spacing w:before="72"/>
        <w:ind w:left="1958"/>
      </w:pPr>
      <w:r>
        <w:rPr/>
        <w:t>融资租入固定资产后续计价采用与自有固定资产相一致的折旧政策计提折旧及减值准备。</w:t>
      </w:r>
    </w:p>
    <w:p>
      <w:pPr>
        <w:pStyle w:val="BodyText"/>
        <w:spacing w:before="7"/>
        <w:rPr>
          <w:sz w:val="18"/>
        </w:rPr>
      </w:pPr>
    </w:p>
    <w:p>
      <w:pPr>
        <w:pStyle w:val="Heading4"/>
        <w:numPr>
          <w:ilvl w:val="0"/>
          <w:numId w:val="31"/>
        </w:numPr>
        <w:tabs>
          <w:tab w:pos="1963" w:val="left" w:leader="none"/>
        </w:tabs>
        <w:spacing w:line="240" w:lineRule="auto" w:before="0" w:after="0"/>
        <w:ind w:left="1962" w:right="0" w:hanging="425"/>
        <w:jc w:val="left"/>
      </w:pPr>
      <w:r>
        <w:rPr/>
        <w:t>在建工程</w:t>
      </w:r>
    </w:p>
    <w:p>
      <w:pPr>
        <w:pStyle w:val="BodyText"/>
        <w:tabs>
          <w:tab w:pos="2805" w:val="left" w:leader="none"/>
        </w:tabs>
        <w:spacing w:before="14"/>
        <w:ind w:left="1962"/>
      </w:pPr>
      <w:r>
        <w:rPr/>
        <w:t>√适用</w:t>
        <w:tab/>
      </w:r>
      <w:r>
        <w:rPr>
          <w:spacing w:val="-3"/>
        </w:rPr>
        <w:t>□</w:t>
      </w:r>
      <w:r>
        <w:rPr/>
        <w:t>不</w:t>
      </w:r>
      <w:r>
        <w:rPr>
          <w:spacing w:val="-3"/>
        </w:rPr>
        <w:t>适</w:t>
      </w:r>
      <w:r>
        <w:rPr/>
        <w:t>用</w:t>
      </w:r>
    </w:p>
    <w:p>
      <w:pPr>
        <w:pStyle w:val="ListParagraph"/>
        <w:numPr>
          <w:ilvl w:val="0"/>
          <w:numId w:val="42"/>
        </w:numPr>
        <w:tabs>
          <w:tab w:pos="2427" w:val="left" w:leader="none"/>
        </w:tabs>
        <w:spacing w:line="240" w:lineRule="auto" w:before="178" w:after="0"/>
        <w:ind w:left="2427" w:right="0" w:hanging="529"/>
        <w:jc w:val="left"/>
        <w:rPr>
          <w:sz w:val="21"/>
        </w:rPr>
      </w:pPr>
      <w:r>
        <w:rPr>
          <w:spacing w:val="-3"/>
          <w:sz w:val="21"/>
        </w:rPr>
        <w:t>在建工程的类别</w:t>
      </w:r>
    </w:p>
    <w:p>
      <w:pPr>
        <w:pStyle w:val="BodyText"/>
        <w:spacing w:before="6"/>
        <w:rPr>
          <w:sz w:val="16"/>
        </w:rPr>
      </w:pPr>
    </w:p>
    <w:p>
      <w:pPr>
        <w:pStyle w:val="BodyText"/>
        <w:ind w:left="1898"/>
      </w:pPr>
      <w:r>
        <w:rPr/>
        <w:t>本公司在建工程为自营方式建造。</w:t>
      </w:r>
    </w:p>
    <w:p>
      <w:pPr>
        <w:pStyle w:val="BodyText"/>
        <w:spacing w:before="6"/>
        <w:rPr>
          <w:sz w:val="16"/>
        </w:rPr>
      </w:pPr>
    </w:p>
    <w:p>
      <w:pPr>
        <w:pStyle w:val="ListParagraph"/>
        <w:numPr>
          <w:ilvl w:val="0"/>
          <w:numId w:val="42"/>
        </w:numPr>
        <w:tabs>
          <w:tab w:pos="2427" w:val="left" w:leader="none"/>
        </w:tabs>
        <w:spacing w:line="240" w:lineRule="auto" w:before="0" w:after="0"/>
        <w:ind w:left="2427" w:right="0" w:hanging="529"/>
        <w:jc w:val="left"/>
        <w:rPr>
          <w:sz w:val="21"/>
        </w:rPr>
      </w:pPr>
      <w:r>
        <w:rPr>
          <w:spacing w:val="-3"/>
          <w:sz w:val="21"/>
        </w:rPr>
        <w:t>在建工程结转固定资产的标准和时点</w:t>
      </w:r>
    </w:p>
    <w:p>
      <w:pPr>
        <w:pStyle w:val="BodyText"/>
        <w:spacing w:before="5"/>
        <w:rPr>
          <w:sz w:val="16"/>
        </w:rPr>
      </w:pPr>
    </w:p>
    <w:p>
      <w:pPr>
        <w:pStyle w:val="BodyText"/>
        <w:spacing w:line="427" w:lineRule="auto" w:before="1"/>
        <w:ind w:left="1538" w:right="1337" w:firstLine="359"/>
      </w:pPr>
      <w:r>
        <w:rPr/>
        <w:t>本公司在建工程在工程完工达到预定可使用状态时，结转固定资产。预定可使用状态的判断标准，应符合下列情况之一：</w:t>
      </w:r>
    </w:p>
    <w:p>
      <w:pPr>
        <w:pStyle w:val="BodyText"/>
        <w:spacing w:before="2"/>
        <w:ind w:left="1898"/>
      </w:pPr>
      <w:r>
        <w:rPr/>
        <w:t>①固定资产的实体建造（包括安装）工作已经全部完成或实质上已经全部完成；</w:t>
      </w:r>
    </w:p>
    <w:p>
      <w:pPr>
        <w:pStyle w:val="BodyText"/>
        <w:spacing w:before="6"/>
        <w:rPr>
          <w:sz w:val="16"/>
        </w:rPr>
      </w:pPr>
    </w:p>
    <w:p>
      <w:pPr>
        <w:pStyle w:val="BodyText"/>
        <w:spacing w:line="427" w:lineRule="auto"/>
        <w:ind w:left="1538" w:right="1337" w:firstLine="359"/>
      </w:pPr>
      <w:r>
        <w:rPr/>
        <w:t>②已经试生产或试运行，并且其结果表明资产能够正常运行或能够稳定地生产出合格产品， 或者试运行结果表明其能够正常运转或营业；</w:t>
      </w:r>
    </w:p>
    <w:p>
      <w:pPr>
        <w:pStyle w:val="BodyText"/>
        <w:spacing w:before="2"/>
        <w:ind w:left="1898"/>
      </w:pPr>
      <w:r>
        <w:rPr/>
        <w:t>③该项建造的固定资产上的支出金额很少或者几乎不再发生；</w:t>
      </w:r>
    </w:p>
    <w:p>
      <w:pPr>
        <w:pStyle w:val="BodyText"/>
        <w:spacing w:before="6"/>
        <w:rPr>
          <w:sz w:val="16"/>
        </w:rPr>
      </w:pPr>
    </w:p>
    <w:p>
      <w:pPr>
        <w:pStyle w:val="BodyText"/>
        <w:ind w:left="1898"/>
      </w:pPr>
      <w:r>
        <w:rPr/>
        <w:t>④所购建的固定资产已经达到设计或合同要求，或与设计或合同要求基本相符。</w:t>
      </w:r>
    </w:p>
    <w:p>
      <w:pPr>
        <w:pStyle w:val="BodyText"/>
        <w:spacing w:before="6"/>
        <w:rPr>
          <w:sz w:val="16"/>
        </w:rPr>
      </w:pPr>
    </w:p>
    <w:p>
      <w:pPr>
        <w:pStyle w:val="ListParagraph"/>
        <w:numPr>
          <w:ilvl w:val="0"/>
          <w:numId w:val="42"/>
        </w:numPr>
        <w:tabs>
          <w:tab w:pos="2427" w:val="left" w:leader="none"/>
        </w:tabs>
        <w:spacing w:line="240" w:lineRule="auto" w:before="0" w:after="0"/>
        <w:ind w:left="2427" w:right="0" w:hanging="529"/>
        <w:jc w:val="left"/>
        <w:rPr>
          <w:sz w:val="21"/>
        </w:rPr>
      </w:pPr>
      <w:r>
        <w:rPr>
          <w:spacing w:val="-3"/>
          <w:sz w:val="21"/>
        </w:rPr>
        <w:t>在建工程减值测试方法、减值准备计提方法</w:t>
      </w:r>
    </w:p>
    <w:p>
      <w:pPr>
        <w:pStyle w:val="BodyText"/>
        <w:spacing w:before="6"/>
        <w:rPr>
          <w:sz w:val="16"/>
        </w:rPr>
      </w:pPr>
    </w:p>
    <w:p>
      <w:pPr>
        <w:pStyle w:val="BodyText"/>
        <w:spacing w:line="427" w:lineRule="auto"/>
        <w:ind w:left="1538" w:right="1277" w:firstLine="359"/>
        <w:jc w:val="both"/>
      </w:pPr>
      <w:r>
        <w:rPr/>
        <w:t>资产负债表日，本公司对在建工程检查是否存在可能发生减值的迹象，当存在减值迹象时应进行减值测试确认其可收回金额，按可收回金额低于账面价值部分计提减值准备，减值损失一经计提，在以后会计期间不再转回。</w:t>
      </w:r>
    </w:p>
    <w:p>
      <w:pPr>
        <w:pStyle w:val="BodyText"/>
        <w:spacing w:line="427" w:lineRule="auto" w:before="4"/>
        <w:ind w:left="1538" w:right="1337" w:firstLine="359"/>
      </w:pPr>
      <w:r>
        <w:rPr/>
        <w:t>在建工程可收回金额根据资产公允价值减去处置费用后的净额与资产预计未来现金流量的现值两者孰高确定。</w:t>
      </w:r>
    </w:p>
    <w:p>
      <w:pPr>
        <w:pStyle w:val="Heading4"/>
        <w:numPr>
          <w:ilvl w:val="0"/>
          <w:numId w:val="31"/>
        </w:numPr>
        <w:tabs>
          <w:tab w:pos="1963" w:val="left" w:leader="none"/>
        </w:tabs>
        <w:spacing w:line="240" w:lineRule="auto" w:before="60" w:after="0"/>
        <w:ind w:left="1962" w:right="0" w:hanging="425"/>
        <w:jc w:val="left"/>
      </w:pPr>
      <w:r>
        <w:rPr/>
        <w:t>借款费用</w:t>
      </w:r>
    </w:p>
    <w:p>
      <w:pPr>
        <w:pStyle w:val="BodyText"/>
        <w:tabs>
          <w:tab w:pos="2805" w:val="left" w:leader="none"/>
        </w:tabs>
        <w:spacing w:before="17"/>
        <w:ind w:left="1962"/>
      </w:pPr>
      <w:r>
        <w:rPr/>
        <w:t>√适用</w:t>
        <w:tab/>
      </w:r>
      <w:r>
        <w:rPr>
          <w:spacing w:val="-3"/>
        </w:rPr>
        <w:t>□</w:t>
      </w:r>
      <w:r>
        <w:rPr/>
        <w:t>不</w:t>
      </w:r>
      <w:r>
        <w:rPr>
          <w:spacing w:val="-3"/>
        </w:rPr>
        <w:t>适</w:t>
      </w:r>
      <w:r>
        <w:rPr/>
        <w:t>用</w:t>
      </w:r>
    </w:p>
    <w:p>
      <w:pPr>
        <w:pStyle w:val="ListParagraph"/>
        <w:numPr>
          <w:ilvl w:val="0"/>
          <w:numId w:val="43"/>
        </w:numPr>
        <w:tabs>
          <w:tab w:pos="2427" w:val="left" w:leader="none"/>
        </w:tabs>
        <w:spacing w:line="240" w:lineRule="auto" w:before="175" w:after="0"/>
        <w:ind w:left="2427" w:right="0" w:hanging="529"/>
        <w:jc w:val="left"/>
        <w:rPr>
          <w:sz w:val="21"/>
        </w:rPr>
      </w:pPr>
      <w:r>
        <w:rPr>
          <w:spacing w:val="-3"/>
          <w:sz w:val="21"/>
        </w:rPr>
        <w:t>借款费用资本化的确认原则</w:t>
      </w:r>
    </w:p>
    <w:p>
      <w:pPr>
        <w:pStyle w:val="BodyText"/>
        <w:spacing w:before="5"/>
        <w:rPr>
          <w:sz w:val="16"/>
        </w:rPr>
      </w:pPr>
    </w:p>
    <w:p>
      <w:pPr>
        <w:pStyle w:val="BodyText"/>
        <w:spacing w:line="427" w:lineRule="auto" w:before="1"/>
        <w:ind w:left="1538" w:right="1277" w:firstLine="359"/>
        <w:jc w:val="both"/>
      </w:pPr>
      <w:r>
        <w:rPr/>
        <w:t>本公司发生的借款费用，可直接归属于符合资本化条件的资产的购建或者生产的，予以资本化，计入相关资产成本；其他借款费用，在发生时根据其发生额确认为费用，计入当期损益。符合资本化条件的资产，是指需要经过相当长时间的购建或者生产活动才能达到预定可使用或者可销售状态的固定资产、投资性房地产和存货等资产。</w:t>
      </w:r>
    </w:p>
    <w:p>
      <w:pPr>
        <w:pStyle w:val="ListParagraph"/>
        <w:numPr>
          <w:ilvl w:val="0"/>
          <w:numId w:val="43"/>
        </w:numPr>
        <w:tabs>
          <w:tab w:pos="2427" w:val="left" w:leader="none"/>
        </w:tabs>
        <w:spacing w:line="240" w:lineRule="auto" w:before="4" w:after="0"/>
        <w:ind w:left="2427" w:right="0" w:hanging="529"/>
        <w:jc w:val="left"/>
        <w:rPr>
          <w:sz w:val="21"/>
        </w:rPr>
      </w:pPr>
      <w:r>
        <w:rPr>
          <w:spacing w:val="-3"/>
          <w:sz w:val="21"/>
        </w:rPr>
        <w:t>资本化金额的计算方法</w:t>
      </w:r>
    </w:p>
    <w:p>
      <w:pPr>
        <w:pStyle w:val="BodyText"/>
        <w:spacing w:before="8"/>
        <w:rPr>
          <w:sz w:val="17"/>
        </w:rPr>
      </w:pPr>
    </w:p>
    <w:p>
      <w:pPr>
        <w:pStyle w:val="BodyText"/>
        <w:spacing w:line="410" w:lineRule="auto"/>
        <w:ind w:left="1538" w:right="1270" w:firstLine="419"/>
      </w:pPr>
      <w:r>
        <w:rPr/>
        <w:t>资本化期间：指从借款费用开始资本化时点到停止资本化时点的期间。借款费用暂停资本化的期间不包括在内。</w:t>
      </w:r>
    </w:p>
    <w:p>
      <w:pPr>
        <w:spacing w:after="0" w:line="410" w:lineRule="auto"/>
        <w:sectPr>
          <w:pgSz w:w="11910" w:h="16840"/>
          <w:pgMar w:header="876" w:footer="1191" w:top="1440" w:bottom="1400" w:left="260" w:right="0"/>
        </w:sectPr>
      </w:pPr>
    </w:p>
    <w:p>
      <w:pPr>
        <w:pStyle w:val="BodyText"/>
        <w:spacing w:before="11"/>
        <w:rPr>
          <w:sz w:val="13"/>
        </w:rPr>
      </w:pPr>
    </w:p>
    <w:p>
      <w:pPr>
        <w:pStyle w:val="BodyText"/>
        <w:spacing w:line="410" w:lineRule="auto" w:before="78"/>
        <w:ind w:left="1538" w:right="1267" w:firstLine="419"/>
        <w:jc w:val="both"/>
      </w:pPr>
      <w:r>
        <w:rPr>
          <w:spacing w:val="-4"/>
        </w:rPr>
        <w:t>暂停资本化期间：在购建或生产过程中发生非正常中断、且中断时间连续超过 </w:t>
      </w:r>
      <w:r>
        <w:rPr>
          <w:rFonts w:ascii="Times New Roman" w:eastAsia="Times New Roman"/>
        </w:rPr>
        <w:t>3 </w:t>
      </w:r>
      <w:r>
        <w:rPr>
          <w:spacing w:val="-3"/>
        </w:rPr>
        <w:t>个月的，应当暂停借款费用的资本化期间。</w:t>
      </w:r>
    </w:p>
    <w:p>
      <w:pPr>
        <w:pStyle w:val="BodyText"/>
        <w:spacing w:line="410" w:lineRule="auto" w:before="1"/>
        <w:ind w:left="1538" w:right="1268" w:firstLine="419"/>
        <w:jc w:val="both"/>
      </w:pPr>
      <w:r>
        <w:rPr/>
        <w:t>资本化金额计算：①借入专门借款，按照专门借款当期实际发生的利息费用，减去将尚未动用的借款资金存入银行取得的利息收入或进行暂时性投资取得的投资收益后的金额确定；②占用一般借款按照累计资产支出超过专门借款部分的资产支出加权平均数乘以所占用一般借款的资本化率计算确定，资本化率为一般借款的加权平均利率；③借款存在折价或溢价的，按照实际利率法确定每一会计期间应摊销的折价或溢价金额，调整每期利息金额。</w:t>
      </w:r>
    </w:p>
    <w:p>
      <w:pPr>
        <w:pStyle w:val="Heading4"/>
        <w:numPr>
          <w:ilvl w:val="0"/>
          <w:numId w:val="31"/>
        </w:numPr>
        <w:tabs>
          <w:tab w:pos="1963" w:val="left" w:leader="none"/>
        </w:tabs>
        <w:spacing w:line="240" w:lineRule="auto" w:before="45" w:after="0"/>
        <w:ind w:left="1962" w:right="0" w:hanging="425"/>
        <w:jc w:val="left"/>
      </w:pPr>
      <w:r>
        <w:rPr/>
        <w:t>使用权资产</w:t>
      </w:r>
    </w:p>
    <w:p>
      <w:pPr>
        <w:pStyle w:val="BodyText"/>
        <w:spacing w:before="15"/>
        <w:ind w:left="1962"/>
        <w:jc w:val="both"/>
      </w:pPr>
      <w:r>
        <w:rPr/>
        <w:t>√适用 □不适用</w:t>
      </w:r>
    </w:p>
    <w:p>
      <w:pPr>
        <w:pStyle w:val="BodyText"/>
        <w:spacing w:line="427" w:lineRule="auto" w:before="177"/>
        <w:ind w:left="1538" w:right="1277" w:firstLine="359"/>
        <w:jc w:val="both"/>
      </w:pPr>
      <w:r>
        <w:rPr/>
        <w:t>使用权资产，是指本公司作为承租人可在租赁期内使用租赁资产的权利。在租赁期开始日， 本公司作为承租人应当对租赁确认使用权资产和租赁负债，但简化处理的短期租赁和低价值资产租赁除外。租赁期开始日，是指出租人提供租赁资产使其可供承租人使用的起始日期。</w:t>
      </w:r>
    </w:p>
    <w:p>
      <w:pPr>
        <w:pStyle w:val="BodyText"/>
        <w:spacing w:before="3"/>
        <w:ind w:left="1898"/>
      </w:pPr>
      <w:r>
        <w:rPr>
          <w:spacing w:val="-3"/>
        </w:rPr>
        <w:t>本公司的使用权资产按照成本进行初始计量，该成本包括：</w:t>
      </w:r>
    </w:p>
    <w:p>
      <w:pPr>
        <w:pStyle w:val="BodyText"/>
        <w:spacing w:before="6"/>
        <w:rPr>
          <w:sz w:val="16"/>
        </w:rPr>
      </w:pPr>
    </w:p>
    <w:p>
      <w:pPr>
        <w:pStyle w:val="ListParagraph"/>
        <w:numPr>
          <w:ilvl w:val="0"/>
          <w:numId w:val="44"/>
        </w:numPr>
        <w:tabs>
          <w:tab w:pos="2427" w:val="left" w:leader="none"/>
        </w:tabs>
        <w:spacing w:line="240" w:lineRule="auto" w:before="0" w:after="0"/>
        <w:ind w:left="2427" w:right="0" w:hanging="529"/>
        <w:jc w:val="left"/>
        <w:rPr>
          <w:sz w:val="21"/>
        </w:rPr>
      </w:pPr>
      <w:r>
        <w:rPr>
          <w:spacing w:val="-3"/>
          <w:sz w:val="21"/>
        </w:rPr>
        <w:t>租赁负债的初始计量金额；</w:t>
      </w:r>
    </w:p>
    <w:p>
      <w:pPr>
        <w:pStyle w:val="BodyText"/>
        <w:spacing w:before="6"/>
        <w:rPr>
          <w:sz w:val="16"/>
        </w:rPr>
      </w:pPr>
    </w:p>
    <w:p>
      <w:pPr>
        <w:pStyle w:val="ListParagraph"/>
        <w:numPr>
          <w:ilvl w:val="0"/>
          <w:numId w:val="44"/>
        </w:numPr>
        <w:tabs>
          <w:tab w:pos="2425" w:val="left" w:leader="none"/>
        </w:tabs>
        <w:spacing w:line="429" w:lineRule="auto" w:before="0" w:after="0"/>
        <w:ind w:left="1538" w:right="1268" w:firstLine="359"/>
        <w:jc w:val="left"/>
        <w:rPr>
          <w:sz w:val="21"/>
        </w:rPr>
      </w:pPr>
      <w:r>
        <w:rPr>
          <w:spacing w:val="-5"/>
          <w:sz w:val="21"/>
        </w:rPr>
        <w:t>在租赁期开始日或之前支付的租赁付款额，存在租赁激励的，扣除已享受的租赁激励相</w:t>
      </w:r>
      <w:r>
        <w:rPr>
          <w:spacing w:val="-4"/>
          <w:sz w:val="21"/>
        </w:rPr>
        <w:t>关金额；</w:t>
      </w:r>
    </w:p>
    <w:p>
      <w:pPr>
        <w:pStyle w:val="ListParagraph"/>
        <w:numPr>
          <w:ilvl w:val="0"/>
          <w:numId w:val="44"/>
        </w:numPr>
        <w:tabs>
          <w:tab w:pos="2427" w:val="left" w:leader="none"/>
        </w:tabs>
        <w:spacing w:line="266" w:lineRule="exact" w:before="0" w:after="0"/>
        <w:ind w:left="2427" w:right="0" w:hanging="529"/>
        <w:jc w:val="left"/>
        <w:rPr>
          <w:sz w:val="21"/>
        </w:rPr>
      </w:pPr>
      <w:r>
        <w:rPr>
          <w:spacing w:val="-3"/>
          <w:sz w:val="21"/>
        </w:rPr>
        <w:t>本公司作为承租人发生的初始直接费用；</w:t>
      </w:r>
    </w:p>
    <w:p>
      <w:pPr>
        <w:pStyle w:val="BodyText"/>
        <w:spacing w:before="6"/>
        <w:rPr>
          <w:sz w:val="16"/>
        </w:rPr>
      </w:pPr>
    </w:p>
    <w:p>
      <w:pPr>
        <w:pStyle w:val="ListParagraph"/>
        <w:numPr>
          <w:ilvl w:val="0"/>
          <w:numId w:val="44"/>
        </w:numPr>
        <w:tabs>
          <w:tab w:pos="2427" w:val="left" w:leader="none"/>
        </w:tabs>
        <w:spacing w:line="427" w:lineRule="auto" w:before="0" w:after="0"/>
        <w:ind w:left="1538" w:right="1268" w:firstLine="359"/>
        <w:jc w:val="left"/>
        <w:rPr>
          <w:sz w:val="21"/>
        </w:rPr>
      </w:pPr>
      <w:r>
        <w:rPr>
          <w:spacing w:val="-5"/>
          <w:sz w:val="21"/>
        </w:rPr>
        <w:t>本公司为拆卸及移除租赁资产、复原租赁资产所在场地或将租赁资产恢复至租赁条款约</w:t>
      </w:r>
      <w:r>
        <w:rPr>
          <w:spacing w:val="-4"/>
          <w:sz w:val="21"/>
        </w:rPr>
        <w:t>定状态预计将发生的成本。</w:t>
      </w:r>
    </w:p>
    <w:p>
      <w:pPr>
        <w:pStyle w:val="BodyText"/>
        <w:spacing w:line="427" w:lineRule="auto" w:before="2"/>
        <w:ind w:left="1538" w:right="1162" w:firstLine="359"/>
      </w:pPr>
      <w:r>
        <w:rPr>
          <w:spacing w:val="-6"/>
        </w:rPr>
        <w:t>本公司参照《企业会计准则第 </w:t>
      </w:r>
      <w:r>
        <w:rPr>
          <w:rFonts w:ascii="Times New Roman" w:hAnsi="Times New Roman" w:eastAsia="Times New Roman"/>
        </w:rPr>
        <w:t>4 </w:t>
      </w:r>
      <w:r>
        <w:rPr/>
        <w:t>号</w:t>
      </w:r>
      <w:r>
        <w:rPr>
          <w:rFonts w:ascii="Times New Roman" w:hAnsi="Times New Roman" w:eastAsia="Times New Roman"/>
        </w:rPr>
        <w:t>——</w:t>
      </w:r>
      <w:r>
        <w:rPr>
          <w:spacing w:val="-3"/>
        </w:rPr>
        <w:t>固定资产》有关折旧规定，对使用权资产计提折旧。本</w:t>
      </w:r>
      <w:r>
        <w:rPr>
          <w:spacing w:val="-7"/>
        </w:rPr>
        <w:t>公司能够合理确定租赁期届满时取得租赁资产所有权的，在租赁资产剩余使用寿命内计提折旧。无</w:t>
      </w:r>
      <w:r>
        <w:rPr>
          <w:spacing w:val="-4"/>
        </w:rPr>
        <w:t>法合理确定租赁期届满时能够取得租赁资产所有权的，本公司在租赁期与租赁资产剩余使用寿命</w:t>
      </w:r>
      <w:r>
        <w:rPr>
          <w:spacing w:val="-3"/>
        </w:rPr>
        <w:t>两者孰短的期间内计提折旧。</w:t>
      </w:r>
    </w:p>
    <w:p>
      <w:pPr>
        <w:pStyle w:val="BodyText"/>
        <w:spacing w:line="427" w:lineRule="auto" w:before="5"/>
        <w:ind w:left="1538" w:right="1278" w:firstLine="359"/>
      </w:pPr>
      <w:r>
        <w:rPr/>
        <w:t>本公司按照《企业会计准则第 </w:t>
      </w:r>
      <w:r>
        <w:rPr>
          <w:rFonts w:ascii="Times New Roman" w:hAnsi="Times New Roman" w:eastAsia="Times New Roman"/>
        </w:rPr>
        <w:t>8 </w:t>
      </w:r>
      <w:r>
        <w:rPr/>
        <w:t>号</w:t>
      </w:r>
      <w:r>
        <w:rPr>
          <w:rFonts w:ascii="Times New Roman" w:hAnsi="Times New Roman" w:eastAsia="Times New Roman"/>
        </w:rPr>
        <w:t>——</w:t>
      </w:r>
      <w:r>
        <w:rPr/>
        <w:t>资产减值》的规定，确定使用权资产是否发生减值， 并对已识别的减值损失进行会计处理。</w:t>
      </w:r>
    </w:p>
    <w:p>
      <w:pPr>
        <w:pStyle w:val="BodyText"/>
        <w:spacing w:line="427" w:lineRule="auto" w:before="2"/>
        <w:ind w:left="1538" w:right="1337" w:firstLine="359"/>
      </w:pPr>
      <w:r>
        <w:rPr/>
        <w:t>本公司根据准则重新计量租赁负债时，相应调整使用权资产的账面价值。如使用权资产的账面价值已调减至零，但租赁负债仍需进一步调减的，将剩余金额计入当期损益。</w:t>
      </w:r>
    </w:p>
    <w:p>
      <w:pPr>
        <w:spacing w:after="0" w:line="427" w:lineRule="auto"/>
        <w:sectPr>
          <w:headerReference w:type="default" r:id="rId93"/>
          <w:footerReference w:type="default" r:id="rId94"/>
          <w:pgSz w:w="11910" w:h="16840"/>
          <w:pgMar w:header="876" w:footer="1214" w:top="1440" w:bottom="1400" w:left="260" w:right="0"/>
        </w:sectPr>
      </w:pPr>
    </w:p>
    <w:p>
      <w:pPr>
        <w:pStyle w:val="BodyText"/>
        <w:spacing w:before="3"/>
        <w:rPr>
          <w:sz w:val="13"/>
        </w:rPr>
      </w:pPr>
    </w:p>
    <w:p>
      <w:pPr>
        <w:pStyle w:val="BodyText"/>
        <w:spacing w:line="427" w:lineRule="auto" w:before="72"/>
        <w:ind w:left="1538" w:right="1277" w:firstLine="359"/>
        <w:jc w:val="both"/>
      </w:pPr>
      <w:r>
        <w:rPr/>
        <w:t>租赁变更导致租赁范围缩小或租赁期缩短的，本公司相应调减使用权资产的账面价值，并将部分终止或完全终止租赁的相关利得或损失计入当期损益。其他租赁变更导致租赁负债重新计量的，本公司相应调整使用权资产的账面价值。</w:t>
      </w:r>
    </w:p>
    <w:p>
      <w:pPr>
        <w:pStyle w:val="Heading4"/>
        <w:numPr>
          <w:ilvl w:val="0"/>
          <w:numId w:val="31"/>
        </w:numPr>
        <w:tabs>
          <w:tab w:pos="1963" w:val="left" w:leader="none"/>
        </w:tabs>
        <w:spacing w:line="240" w:lineRule="auto" w:before="63" w:after="0"/>
        <w:ind w:left="1962" w:right="0" w:hanging="425"/>
        <w:jc w:val="left"/>
      </w:pPr>
      <w:r>
        <w:rPr/>
        <w:t>无形资产</w:t>
      </w:r>
    </w:p>
    <w:p>
      <w:pPr>
        <w:pStyle w:val="BodyText"/>
        <w:spacing w:before="17"/>
        <w:ind w:left="1962"/>
      </w:pPr>
      <w:r>
        <w:rPr/>
        <w:t>无形资产是指本公司拥有或者控制的没有实物形态的可辨认非货币性资产。</w:t>
      </w:r>
    </w:p>
    <w:p>
      <w:pPr>
        <w:pStyle w:val="ListParagraph"/>
        <w:numPr>
          <w:ilvl w:val="0"/>
          <w:numId w:val="45"/>
        </w:numPr>
        <w:tabs>
          <w:tab w:pos="2490" w:val="left" w:leader="none"/>
        </w:tabs>
        <w:spacing w:line="240" w:lineRule="auto" w:before="139" w:after="0"/>
        <w:ind w:left="2489" w:right="0" w:hanging="530"/>
        <w:jc w:val="left"/>
        <w:rPr>
          <w:sz w:val="21"/>
        </w:rPr>
      </w:pPr>
      <w:r>
        <w:rPr>
          <w:spacing w:val="-3"/>
          <w:sz w:val="21"/>
        </w:rPr>
        <w:t>无形资产的计价方法</w:t>
      </w:r>
    </w:p>
    <w:p>
      <w:pPr>
        <w:pStyle w:val="BodyText"/>
        <w:spacing w:line="364" w:lineRule="auto" w:before="139"/>
        <w:ind w:left="1538" w:right="1275" w:firstLine="422"/>
        <w:jc w:val="both"/>
      </w:pPr>
      <w:r>
        <w:rPr/>
        <w:t>本公司无形资产按照成本进行初始计量。购入的无形资产，按实际支付的价款和相关支出作为实际成本。投资者投入的无形资产，按投资合同或协议约定的价值确定实际成本，但合同或协议约定价值不公允的，按公允价值确定实际成本。自行开发的无形资产，其成本为达到预定用途前所发生的支出总额。 </w:t>
      </w:r>
    </w:p>
    <w:p>
      <w:pPr>
        <w:pStyle w:val="BodyText"/>
        <w:spacing w:before="6"/>
        <w:rPr>
          <w:sz w:val="14"/>
        </w:rPr>
      </w:pPr>
    </w:p>
    <w:p>
      <w:pPr>
        <w:pStyle w:val="BodyText"/>
        <w:spacing w:line="408" w:lineRule="auto" w:before="1"/>
        <w:ind w:left="1538" w:right="1268" w:firstLine="419"/>
      </w:pPr>
      <w:r>
        <w:rPr>
          <w:spacing w:val="-3"/>
        </w:rPr>
        <w:t>本公司无形资产后续计量，分别为：①使用寿命有限无形资产采用直线法摊销，并在年度终</w:t>
      </w:r>
      <w:r>
        <w:rPr>
          <w:spacing w:val="-15"/>
        </w:rPr>
        <w:t>了，对无形资产的使用寿命和摊销方法进行复核，如与原先估计数存在差异的，进行相应的调整。</w:t>
      </w:r>
    </w:p>
    <w:p>
      <w:pPr>
        <w:pStyle w:val="BodyText"/>
        <w:spacing w:line="410" w:lineRule="auto" w:before="4"/>
        <w:ind w:left="1538" w:right="1267"/>
      </w:pPr>
      <w:r>
        <w:rPr>
          <w:spacing w:val="-3"/>
        </w:rPr>
        <w:t>②使用寿命不确定的无形资产不摊销，但在年度终了，对使用寿命进行复核，当有确凿证据表明其使用寿命是有限的，则估计其使用寿命，按直线法进行摊销。</w:t>
      </w:r>
    </w:p>
    <w:p>
      <w:pPr>
        <w:pStyle w:val="ListParagraph"/>
        <w:numPr>
          <w:ilvl w:val="0"/>
          <w:numId w:val="45"/>
        </w:numPr>
        <w:tabs>
          <w:tab w:pos="2427" w:val="left" w:leader="none"/>
        </w:tabs>
        <w:spacing w:line="254" w:lineRule="exact" w:before="0" w:after="0"/>
        <w:ind w:left="2427" w:right="0" w:hanging="529"/>
        <w:jc w:val="left"/>
        <w:rPr>
          <w:sz w:val="21"/>
        </w:rPr>
      </w:pPr>
      <w:r>
        <w:rPr>
          <w:spacing w:val="-3"/>
          <w:sz w:val="21"/>
        </w:rPr>
        <w:t>使用寿命不确定的判断依据</w:t>
      </w:r>
    </w:p>
    <w:p>
      <w:pPr>
        <w:pStyle w:val="BodyText"/>
        <w:spacing w:before="7"/>
        <w:rPr>
          <w:sz w:val="17"/>
        </w:rPr>
      </w:pPr>
    </w:p>
    <w:p>
      <w:pPr>
        <w:pStyle w:val="BodyText"/>
        <w:spacing w:line="410" w:lineRule="auto"/>
        <w:ind w:left="1538" w:right="1270" w:firstLine="419"/>
      </w:pPr>
      <w:r>
        <w:rPr/>
        <w:t>本公司将无法预见该资产为公司带来经济利益的期限，或使用期限不确定等无形资产确定为使用寿命不确定的无形资产。</w:t>
      </w:r>
    </w:p>
    <w:p>
      <w:pPr>
        <w:pStyle w:val="BodyText"/>
        <w:spacing w:line="410" w:lineRule="auto" w:before="2"/>
        <w:ind w:left="1538" w:right="1268" w:firstLine="419"/>
        <w:jc w:val="both"/>
      </w:pPr>
      <w:r>
        <w:rPr/>
        <w:t>使用寿命不确定的判断依据：①来源于合同性权利或其他法定权利，但合同规定或法律规定无明确使用年限；②综合同行业情况或相关专家论证等，仍无法判断无形资产为公司带来经济利益的期限。</w:t>
      </w:r>
    </w:p>
    <w:p>
      <w:pPr>
        <w:pStyle w:val="BodyText"/>
        <w:spacing w:line="408" w:lineRule="auto"/>
        <w:ind w:left="1538" w:right="1270" w:firstLine="419"/>
      </w:pPr>
      <w:r>
        <w:rPr/>
        <w:t>每年年末，对使用寿命不确定的无形资产使用寿命进行复核，主要采取自下而上的方式，由无形资产使用相关部门进行基础复核，评价使用寿命不确定判断依据是否存在变化等。</w:t>
      </w:r>
    </w:p>
    <w:p>
      <w:pPr>
        <w:pStyle w:val="ListParagraph"/>
        <w:numPr>
          <w:ilvl w:val="0"/>
          <w:numId w:val="45"/>
        </w:numPr>
        <w:tabs>
          <w:tab w:pos="2427" w:val="left" w:leader="none"/>
        </w:tabs>
        <w:spacing w:line="259" w:lineRule="exact" w:before="0" w:after="0"/>
        <w:ind w:left="2427" w:right="0" w:hanging="529"/>
        <w:jc w:val="left"/>
        <w:rPr>
          <w:sz w:val="21"/>
        </w:rPr>
      </w:pPr>
      <w:r>
        <w:rPr>
          <w:spacing w:val="-3"/>
          <w:sz w:val="21"/>
        </w:rPr>
        <w:t>无形资产的减值测试方法及减值准备计提方法</w:t>
      </w:r>
    </w:p>
    <w:p>
      <w:pPr>
        <w:pStyle w:val="BodyText"/>
        <w:spacing w:before="7"/>
        <w:rPr>
          <w:sz w:val="17"/>
        </w:rPr>
      </w:pPr>
    </w:p>
    <w:p>
      <w:pPr>
        <w:pStyle w:val="BodyText"/>
        <w:spacing w:line="410" w:lineRule="auto" w:before="1"/>
        <w:ind w:left="1538" w:right="1268" w:firstLine="419"/>
        <w:jc w:val="both"/>
      </w:pPr>
      <w:r>
        <w:rPr/>
        <w:t>资产负债表日，本公司对无形资产检查是否存在可能发生减值的迹象，当存在减值迹象时应进行减值测试确认其可收回金额，按可收回金额低于账面价值部分计提减值准备，减值损失一经计提，在以后会计期间不再转回。</w:t>
      </w:r>
    </w:p>
    <w:p>
      <w:pPr>
        <w:pStyle w:val="BodyText"/>
        <w:spacing w:line="410" w:lineRule="auto"/>
        <w:ind w:left="1538" w:right="1270" w:firstLine="419"/>
      </w:pPr>
      <w:r>
        <w:rPr/>
        <w:t>无形资产可收回金额根据资产公允价值减去处置费用后的净额与资产预计未来现金流量的现值两者孰高确定。</w:t>
      </w:r>
    </w:p>
    <w:p>
      <w:pPr>
        <w:pStyle w:val="ListParagraph"/>
        <w:numPr>
          <w:ilvl w:val="0"/>
          <w:numId w:val="45"/>
        </w:numPr>
        <w:tabs>
          <w:tab w:pos="2427" w:val="left" w:leader="none"/>
        </w:tabs>
        <w:spacing w:line="254" w:lineRule="exact" w:before="0" w:after="0"/>
        <w:ind w:left="2427" w:right="0" w:hanging="529"/>
        <w:jc w:val="left"/>
        <w:rPr>
          <w:sz w:val="21"/>
        </w:rPr>
      </w:pPr>
      <w:r>
        <w:rPr>
          <w:spacing w:val="-4"/>
          <w:sz w:val="21"/>
        </w:rPr>
        <w:t>内部研究开发项目的研究阶段和开发阶段具体标准，以及开发阶段支出符合资本化条件</w:t>
      </w:r>
    </w:p>
    <w:p>
      <w:pPr>
        <w:pStyle w:val="BodyText"/>
        <w:spacing w:before="6"/>
        <w:rPr>
          <w:sz w:val="16"/>
        </w:rPr>
      </w:pPr>
    </w:p>
    <w:p>
      <w:pPr>
        <w:pStyle w:val="BodyText"/>
        <w:ind w:left="1538"/>
      </w:pPr>
      <w:r>
        <w:rPr/>
        <w:t>的具体标准</w:t>
      </w:r>
    </w:p>
    <w:p>
      <w:pPr>
        <w:spacing w:after="0"/>
        <w:sectPr>
          <w:headerReference w:type="default" r:id="rId95"/>
          <w:footerReference w:type="default" r:id="rId96"/>
          <w:pgSz w:w="11910" w:h="16840"/>
          <w:pgMar w:header="876" w:footer="1214" w:top="1440" w:bottom="1400" w:left="260" w:right="0"/>
          <w:pgNumType w:start="1"/>
        </w:sectPr>
      </w:pPr>
    </w:p>
    <w:p>
      <w:pPr>
        <w:pStyle w:val="BodyText"/>
        <w:spacing w:before="4"/>
        <w:rPr>
          <w:sz w:val="14"/>
        </w:rPr>
      </w:pPr>
    </w:p>
    <w:p>
      <w:pPr>
        <w:pStyle w:val="BodyText"/>
        <w:spacing w:line="410" w:lineRule="auto" w:before="72"/>
        <w:ind w:left="1538" w:right="1268" w:firstLine="419"/>
        <w:jc w:val="both"/>
      </w:pPr>
      <w:r>
        <w:rPr/>
        <w:t>内部研究开发项目研究阶段的支出，于发生时计入当期损益；开发阶段的支出，同时满足下列条件的，确认为无形资产：①完成该无形资产以使其能够使用或出售在技术上具有可行性；② 具有完成该无形资产并使用或出售的意图；③无形资产产生经济利益的方式，包括能够证明运用该无形资产生产的产品存在市场或无形资产自身存在市场，无形资产将在内部使用的，能证明其有用性；④有足够的技术、财务资源和其他资源支持，以完成该无形资产的开发，并有能力使用或出售该无形资产；⑤归属于该无形资产开发阶段的支出能够可靠地计量。</w:t>
      </w:r>
    </w:p>
    <w:p>
      <w:pPr>
        <w:pStyle w:val="BodyText"/>
        <w:spacing w:line="254" w:lineRule="exact"/>
        <w:ind w:left="1898"/>
      </w:pPr>
      <w:r>
        <w:rPr/>
        <w:t>划分内部研究开发项目的研究阶段和开发阶段的具体标准：为获取新的技术和知识等进行的</w:t>
      </w:r>
    </w:p>
    <w:p>
      <w:pPr>
        <w:pStyle w:val="BodyText"/>
        <w:spacing w:before="6"/>
        <w:rPr>
          <w:sz w:val="16"/>
        </w:rPr>
      </w:pPr>
    </w:p>
    <w:p>
      <w:pPr>
        <w:pStyle w:val="BodyText"/>
        <w:spacing w:line="429" w:lineRule="auto"/>
        <w:ind w:left="1538" w:right="1268"/>
        <w:jc w:val="both"/>
      </w:pPr>
      <w:r>
        <w:rPr>
          <w:spacing w:val="-3"/>
        </w:rPr>
        <w:t>有计划的调查阶段，应确定为研究阶段，该阶段具有计划性和探索性等特点；在进行商业性生产或使用前，将研究成果或其他知识应用于某项计划或设计，以生产出新的或具有实质性改进的材</w:t>
      </w:r>
      <w:r>
        <w:rPr>
          <w:spacing w:val="-17"/>
        </w:rPr>
        <w:t>料、装置、产品等阶段，应确定为开发阶段，该阶段具有针对性和形成成果的可能性较大等特点。</w:t>
      </w:r>
    </w:p>
    <w:p>
      <w:pPr>
        <w:pStyle w:val="BodyText"/>
        <w:spacing w:line="265" w:lineRule="exact"/>
        <w:ind w:left="1898"/>
      </w:pPr>
      <w:r>
        <w:rPr/>
        <w:t>无法区分研究阶段支出和开发阶段支出的，将发生的研发支出全部计入当期损益。</w:t>
      </w:r>
    </w:p>
    <w:p>
      <w:pPr>
        <w:pStyle w:val="BodyText"/>
        <w:spacing w:before="2"/>
      </w:pPr>
    </w:p>
    <w:p>
      <w:pPr>
        <w:pStyle w:val="Heading4"/>
        <w:numPr>
          <w:ilvl w:val="0"/>
          <w:numId w:val="31"/>
        </w:numPr>
        <w:tabs>
          <w:tab w:pos="1963" w:val="left" w:leader="none"/>
        </w:tabs>
        <w:spacing w:line="240" w:lineRule="auto" w:before="0" w:after="0"/>
        <w:ind w:left="1962" w:right="0" w:hanging="425"/>
        <w:jc w:val="left"/>
      </w:pPr>
      <w:r>
        <w:rPr/>
        <w:t>长期资产减值</w:t>
      </w:r>
    </w:p>
    <w:p>
      <w:pPr>
        <w:pStyle w:val="BodyText"/>
        <w:spacing w:before="17"/>
        <w:ind w:left="1962"/>
        <w:jc w:val="both"/>
      </w:pPr>
      <w:r>
        <w:rPr/>
        <w:t>√适用 □不适用</w:t>
      </w:r>
    </w:p>
    <w:p>
      <w:pPr>
        <w:pStyle w:val="BodyText"/>
        <w:spacing w:before="10"/>
        <w:rPr>
          <w:sz w:val="14"/>
        </w:rPr>
      </w:pPr>
    </w:p>
    <w:p>
      <w:pPr>
        <w:pStyle w:val="BodyText"/>
        <w:spacing w:line="410" w:lineRule="auto"/>
        <w:ind w:left="1538" w:right="1268" w:firstLine="419"/>
        <w:jc w:val="both"/>
      </w:pPr>
      <w:r>
        <w:rPr/>
        <w:t>长期股权投资、采用成本模式计量的投资性房地产、固定资产、在建工程、无形资产等长期资产，于资产负债表日存在减值迹象的，进行减值测试。减值测试结果表明资产的可收回金额低于其账面价值的，按其差额计提减值准备并计入减值损失。可收回金额为资产的公允价值减去处置费用后的净额与资产预计未来现金流量的现值两者之间的较高者。资产减值准备按单项资产为基础计算并确认，如果难以对单项资产的可收回金额进行估计的，以该资产所属的资产组确定资产组的可收回金额。资产组是能够独立产生现金流入的最小资产组合。</w:t>
      </w:r>
    </w:p>
    <w:p>
      <w:pPr>
        <w:pStyle w:val="BodyText"/>
        <w:ind w:left="1958"/>
      </w:pPr>
      <w:r>
        <w:rPr/>
        <w:t>商誉至少在每年年度终了进行减值测试。</w:t>
      </w:r>
    </w:p>
    <w:p>
      <w:pPr>
        <w:pStyle w:val="BodyText"/>
        <w:spacing w:before="12"/>
        <w:rPr>
          <w:sz w:val="14"/>
        </w:rPr>
      </w:pPr>
    </w:p>
    <w:p>
      <w:pPr>
        <w:pStyle w:val="BodyText"/>
        <w:spacing w:line="410" w:lineRule="auto"/>
        <w:ind w:left="1538" w:right="1268" w:firstLine="419"/>
        <w:jc w:val="right"/>
      </w:pPr>
      <w:r>
        <w:rPr>
          <w:spacing w:val="-3"/>
        </w:rPr>
        <w:t>本公司进行商誉减值测试，对于因企业合并形成的商誉的账面价值，自购买日起按照合理的方法分摊至相关的资产组；难以分摊至相关的资产组的，将其分摊至相关的资产组组合。在将商誉的账面价值分摊至相关的资产组或者资产组组合时，按照各资产组或者资产组组合的公允价值占相关资产组或者资产组组合公允价值总额的比例进行分摊。公允价值难以可靠计量的，按照各资产组或者资产组组合的账面价值占相关资产组或者资产组组合账面价值总额的比例进行分摊。在对包含商誉的相关资产组或者资产组组合进行减值测试时，如与商誉相关的资产组或者资</w:t>
      </w:r>
    </w:p>
    <w:p>
      <w:pPr>
        <w:pStyle w:val="BodyText"/>
        <w:spacing w:line="410" w:lineRule="auto"/>
        <w:ind w:left="1538" w:right="1268"/>
        <w:jc w:val="both"/>
      </w:pPr>
      <w:r>
        <w:rPr>
          <w:spacing w:val="-3"/>
        </w:rPr>
        <w:t>产组组合存在减值迹象的，先对不包含商誉的资产组或者资产组组合进行减值测试，计算可收回金额，并与相关账面价值相比较，确认相应的减值损失。再对包含商誉的资产组或者资产组组合进行减值测试，比较这些相关资产组或者资产组组合的账面价值</w:t>
      </w:r>
      <w:r>
        <w:rPr/>
        <w:t>（</w:t>
      </w:r>
      <w:r>
        <w:rPr>
          <w:spacing w:val="-3"/>
        </w:rPr>
        <w:t>包括所分摊的商誉的账面价值</w:t>
      </w:r>
    </w:p>
    <w:p>
      <w:pPr>
        <w:spacing w:after="0" w:line="410" w:lineRule="auto"/>
        <w:jc w:val="both"/>
        <w:sectPr>
          <w:pgSz w:w="11910" w:h="16840"/>
          <w:pgMar w:header="876" w:footer="1214" w:top="1440" w:bottom="1400" w:left="260" w:right="0"/>
        </w:sectPr>
      </w:pPr>
    </w:p>
    <w:p>
      <w:pPr>
        <w:pStyle w:val="BodyText"/>
        <w:spacing w:before="4"/>
        <w:rPr>
          <w:sz w:val="14"/>
        </w:rPr>
      </w:pPr>
    </w:p>
    <w:p>
      <w:pPr>
        <w:pStyle w:val="BodyText"/>
        <w:spacing w:line="410" w:lineRule="auto" w:before="72"/>
        <w:ind w:left="1538" w:right="1268"/>
      </w:pPr>
      <w:r>
        <w:rPr/>
        <w:t>部分）与其可收回金额，如相关资产组或者资产组组合的可收回金额低于其账面价值的，确认商誉的减值损失。</w:t>
      </w:r>
    </w:p>
    <w:p>
      <w:pPr>
        <w:pStyle w:val="BodyText"/>
        <w:spacing w:before="2"/>
        <w:ind w:left="1960"/>
      </w:pPr>
      <w:r>
        <w:rPr/>
        <w:t>上述资产减值损失一经确认，在以后会计期间不予转回。</w:t>
      </w:r>
    </w:p>
    <w:p>
      <w:pPr>
        <w:pStyle w:val="BodyText"/>
        <w:spacing w:before="4"/>
        <w:rPr>
          <w:sz w:val="18"/>
        </w:rPr>
      </w:pPr>
    </w:p>
    <w:p>
      <w:pPr>
        <w:pStyle w:val="Heading4"/>
        <w:numPr>
          <w:ilvl w:val="0"/>
          <w:numId w:val="31"/>
        </w:numPr>
        <w:tabs>
          <w:tab w:pos="1963" w:val="left" w:leader="none"/>
        </w:tabs>
        <w:spacing w:line="240" w:lineRule="auto" w:before="0" w:after="0"/>
        <w:ind w:left="1962" w:right="0" w:hanging="425"/>
        <w:jc w:val="left"/>
      </w:pPr>
      <w:r>
        <w:rPr/>
        <w:t>长期待摊费用</w:t>
      </w:r>
    </w:p>
    <w:p>
      <w:pPr>
        <w:pStyle w:val="BodyText"/>
        <w:spacing w:before="151"/>
        <w:ind w:left="1962"/>
        <w:jc w:val="both"/>
      </w:pPr>
      <w:r>
        <w:rPr/>
        <w:t>√适用 □不适用</w:t>
      </w:r>
    </w:p>
    <w:p>
      <w:pPr>
        <w:pStyle w:val="BodyText"/>
        <w:spacing w:line="364" w:lineRule="auto" w:before="139"/>
        <w:ind w:left="1538" w:right="1272" w:firstLine="424"/>
        <w:jc w:val="both"/>
      </w:pPr>
      <w:r>
        <w:rPr/>
        <w:t>本公司长期待摊费用是指已经支出，但受益期限在一年以上（不含一年）的各项费用。长期待摊费用按费用项目的受益期限分期摊销。若长期待摊的费用项目不能使以后会计期间受益，则将尚未摊销的该项目的摊余价值全部转入当期损益。</w:t>
      </w:r>
    </w:p>
    <w:p>
      <w:pPr>
        <w:pStyle w:val="BodyText"/>
        <w:spacing w:before="3"/>
        <w:rPr>
          <w:sz w:val="18"/>
        </w:rPr>
      </w:pPr>
    </w:p>
    <w:p>
      <w:pPr>
        <w:pStyle w:val="Heading4"/>
        <w:numPr>
          <w:ilvl w:val="0"/>
          <w:numId w:val="31"/>
        </w:numPr>
        <w:tabs>
          <w:tab w:pos="1963" w:val="left" w:leader="none"/>
        </w:tabs>
        <w:spacing w:line="359" w:lineRule="exact" w:before="0" w:after="0"/>
        <w:ind w:left="1962" w:right="0" w:hanging="425"/>
        <w:jc w:val="left"/>
      </w:pPr>
      <w:r>
        <w:rPr/>
        <w:t>职工薪酬</w:t>
      </w:r>
    </w:p>
    <w:p>
      <w:pPr>
        <w:pStyle w:val="Heading4"/>
        <w:numPr>
          <w:ilvl w:val="0"/>
          <w:numId w:val="46"/>
        </w:numPr>
        <w:tabs>
          <w:tab w:pos="1966" w:val="left" w:leader="none"/>
        </w:tabs>
        <w:spacing w:line="359" w:lineRule="exact" w:before="0" w:after="0"/>
        <w:ind w:left="1965" w:right="0" w:hanging="428"/>
        <w:jc w:val="left"/>
      </w:pPr>
      <w:r>
        <w:rPr>
          <w:spacing w:val="-1"/>
        </w:rPr>
        <w:t>短期薪酬的会计处理方法</w:t>
      </w:r>
    </w:p>
    <w:p>
      <w:pPr>
        <w:pStyle w:val="BodyText"/>
        <w:tabs>
          <w:tab w:pos="2805" w:val="left" w:leader="none"/>
        </w:tabs>
        <w:spacing w:before="17"/>
        <w:ind w:left="1962"/>
      </w:pPr>
      <w:r>
        <w:rPr/>
        <w:t>√适用</w:t>
        <w:tab/>
      </w:r>
      <w:r>
        <w:rPr>
          <w:spacing w:val="-3"/>
        </w:rPr>
        <w:t>□</w:t>
      </w:r>
      <w:r>
        <w:rPr/>
        <w:t>不</w:t>
      </w:r>
      <w:r>
        <w:rPr>
          <w:spacing w:val="-3"/>
        </w:rPr>
        <w:t>适</w:t>
      </w:r>
      <w:r>
        <w:rPr/>
        <w:t>用</w:t>
      </w:r>
    </w:p>
    <w:p>
      <w:pPr>
        <w:pStyle w:val="BodyText"/>
        <w:spacing w:line="427" w:lineRule="auto" w:before="174"/>
        <w:ind w:left="1538" w:right="1337" w:firstLine="359"/>
      </w:pPr>
      <w:r>
        <w:rPr/>
        <w:t>职工薪酬是本公司为获得职工提供的服务而给予的各种形式报酬以及其他相关支出，包括短期薪酬、离职后福利、辞退福利和其他长期福利。</w:t>
      </w:r>
    </w:p>
    <w:p>
      <w:pPr>
        <w:pStyle w:val="BodyText"/>
        <w:spacing w:line="427" w:lineRule="auto" w:before="3"/>
        <w:ind w:left="1538" w:right="1277" w:firstLine="359"/>
        <w:jc w:val="both"/>
      </w:pPr>
      <w:r>
        <w:rPr/>
        <w:t>短期薪酬包括短期工资、奖金、津贴、补贴、职工福利费、住房公积金、工会经费和职工教育经费、医疗保险费、工伤保险费、生育保险费、短期带薪缺勤、短期利润分享计划等。在职工提供服务的会计期间，将实际发生的应付的短期薪酬确认为负债，并按照受益对象按照权责发生制原则计入当期损益或相关资产成本。</w:t>
      </w:r>
    </w:p>
    <w:p>
      <w:pPr>
        <w:pStyle w:val="Heading4"/>
        <w:numPr>
          <w:ilvl w:val="0"/>
          <w:numId w:val="46"/>
        </w:numPr>
        <w:tabs>
          <w:tab w:pos="1966" w:val="left" w:leader="none"/>
        </w:tabs>
        <w:spacing w:line="240" w:lineRule="auto" w:before="65" w:after="0"/>
        <w:ind w:left="1965" w:right="0" w:hanging="428"/>
        <w:jc w:val="left"/>
      </w:pPr>
      <w:r>
        <w:rPr>
          <w:spacing w:val="-2"/>
        </w:rPr>
        <w:t>离职后福利的会计处理方法</w:t>
      </w:r>
    </w:p>
    <w:p>
      <w:pPr>
        <w:pStyle w:val="BodyText"/>
        <w:tabs>
          <w:tab w:pos="2805" w:val="left" w:leader="none"/>
        </w:tabs>
        <w:spacing w:before="14"/>
        <w:ind w:left="1962"/>
      </w:pPr>
      <w:r>
        <w:rPr/>
        <w:t>√适用</w:t>
        <w:tab/>
      </w:r>
      <w:r>
        <w:rPr>
          <w:spacing w:val="-3"/>
        </w:rPr>
        <w:t>□</w:t>
      </w:r>
      <w:r>
        <w:rPr/>
        <w:t>不</w:t>
      </w:r>
      <w:r>
        <w:rPr>
          <w:spacing w:val="-3"/>
        </w:rPr>
        <w:t>适</w:t>
      </w:r>
      <w:r>
        <w:rPr/>
        <w:t>用</w:t>
      </w:r>
    </w:p>
    <w:p>
      <w:pPr>
        <w:pStyle w:val="BodyText"/>
        <w:spacing w:line="427" w:lineRule="auto" w:before="177"/>
        <w:ind w:left="1538" w:right="1167" w:firstLine="359"/>
      </w:pPr>
      <w:r>
        <w:rPr>
          <w:spacing w:val="-3"/>
        </w:rPr>
        <w:t>离职后福利主要包括基本养老保险费、企业年金等，按照公司承担的风险和义务，分类为设 定提存计划、设定受益计划。设定提存计划：根据资产负债表日为换取职工在会计期间提供的服务而向单独主体缴存的提存金确认为负债，并按照受益对象计入当期损益或相关资产成本。设定受益计划：在半年和年度资产负债表日由独立精算师进行精算估值，以预期累积福利单位法确定提供福利的成本。本集团设定受益计划导致的职工薪酬成本包括下列组成部分：</w:t>
      </w:r>
      <w:r>
        <w:rPr/>
        <w:t>（</w:t>
      </w:r>
      <w:r>
        <w:rPr>
          <w:rFonts w:ascii="Times New Roman" w:eastAsia="Times New Roman"/>
        </w:rPr>
        <w:t>1</w:t>
      </w:r>
      <w:r>
        <w:rPr/>
        <w:t>）</w:t>
      </w:r>
      <w:r>
        <w:rPr>
          <w:spacing w:val="-2"/>
        </w:rPr>
        <w:t>服务成本， </w:t>
      </w:r>
      <w:r>
        <w:rPr>
          <w:spacing w:val="-3"/>
        </w:rPr>
        <w:t>包括当期服务成本、过去服务成本和结算利得或损失。其中，当期服务成本是指，职工当期提供服务所导致的设定受益义务现值的增加额；过去服务成本是指，设定受益计划修改所导致的与以前期间职工服务相关的设定受益义务现值的增加或减少；</w:t>
      </w:r>
      <w:r>
        <w:rPr/>
        <w:t>（</w:t>
      </w:r>
      <w:r>
        <w:rPr>
          <w:rFonts w:ascii="Times New Roman" w:eastAsia="Times New Roman"/>
        </w:rPr>
        <w:t>2</w:t>
      </w:r>
      <w:r>
        <w:rPr/>
        <w:t>）</w:t>
      </w:r>
      <w:r>
        <w:rPr>
          <w:spacing w:val="-3"/>
        </w:rPr>
        <w:t>设定受益义务的利息费用；</w:t>
      </w:r>
      <w:r>
        <w:rPr/>
        <w:t>（</w:t>
      </w:r>
      <w:r>
        <w:rPr>
          <w:rFonts w:ascii="Times New Roman" w:eastAsia="Times New Roman"/>
        </w:rPr>
        <w:t>3</w:t>
      </w:r>
      <w:r>
        <w:rPr/>
        <w:t>） </w:t>
      </w:r>
      <w:r>
        <w:rPr>
          <w:spacing w:val="-3"/>
        </w:rPr>
        <w:t>重新计量设定受益计划负债导致的变动。除非其他会计准则要求或允许职工福利成本计入资产成</w:t>
      </w:r>
    </w:p>
    <w:p>
      <w:pPr>
        <w:spacing w:after="0" w:line="427" w:lineRule="auto"/>
        <w:sectPr>
          <w:pgSz w:w="11910" w:h="16840"/>
          <w:pgMar w:header="876" w:footer="1214" w:top="1440" w:bottom="1400" w:left="260" w:right="0"/>
        </w:sectPr>
      </w:pPr>
    </w:p>
    <w:p>
      <w:pPr>
        <w:pStyle w:val="BodyText"/>
        <w:spacing w:before="9"/>
        <w:rPr>
          <w:sz w:val="12"/>
        </w:rPr>
      </w:pPr>
    </w:p>
    <w:p>
      <w:pPr>
        <w:pStyle w:val="BodyText"/>
        <w:spacing w:line="427" w:lineRule="auto" w:before="78"/>
        <w:ind w:left="1538" w:right="1268"/>
      </w:pPr>
      <w:r>
        <w:rPr>
          <w:spacing w:val="-7"/>
        </w:rPr>
        <w:t>本，本公司将上述第</w:t>
      </w:r>
      <w:r>
        <w:rPr>
          <w:spacing w:val="-5"/>
        </w:rPr>
        <w:t>（</w:t>
      </w:r>
      <w:r>
        <w:rPr>
          <w:rFonts w:ascii="Times New Roman" w:eastAsia="Times New Roman"/>
          <w:spacing w:val="-5"/>
        </w:rPr>
        <w:t>1</w:t>
      </w:r>
      <w:r>
        <w:rPr>
          <w:spacing w:val="-5"/>
        </w:rPr>
        <w:t>）</w:t>
      </w:r>
      <w:r>
        <w:rPr>
          <w:spacing w:val="-13"/>
        </w:rPr>
        <w:t>和</w:t>
      </w:r>
      <w:r>
        <w:rPr>
          <w:spacing w:val="-5"/>
        </w:rPr>
        <w:t>（</w:t>
      </w:r>
      <w:r>
        <w:rPr>
          <w:rFonts w:ascii="Times New Roman" w:eastAsia="Times New Roman"/>
          <w:spacing w:val="-5"/>
        </w:rPr>
        <w:t>2</w:t>
      </w:r>
      <w:r>
        <w:rPr>
          <w:spacing w:val="-5"/>
        </w:rPr>
        <w:t>）</w:t>
      </w:r>
      <w:r>
        <w:rPr>
          <w:spacing w:val="-6"/>
        </w:rPr>
        <w:t>项计入当期损益；第</w:t>
      </w:r>
      <w:r>
        <w:rPr>
          <w:spacing w:val="-5"/>
        </w:rPr>
        <w:t>（</w:t>
      </w:r>
      <w:r>
        <w:rPr>
          <w:rFonts w:ascii="Times New Roman" w:eastAsia="Times New Roman"/>
          <w:spacing w:val="-5"/>
        </w:rPr>
        <w:t>3</w:t>
      </w:r>
      <w:r>
        <w:rPr>
          <w:spacing w:val="-5"/>
        </w:rPr>
        <w:t>）</w:t>
      </w:r>
      <w:r>
        <w:rPr>
          <w:spacing w:val="-3"/>
        </w:rPr>
        <w:t>项计入其他综合收益且不会在后续会计期间转回至损益。</w:t>
      </w:r>
    </w:p>
    <w:p>
      <w:pPr>
        <w:pStyle w:val="Heading4"/>
        <w:numPr>
          <w:ilvl w:val="0"/>
          <w:numId w:val="46"/>
        </w:numPr>
        <w:tabs>
          <w:tab w:pos="1966" w:val="left" w:leader="none"/>
        </w:tabs>
        <w:spacing w:line="240" w:lineRule="auto" w:before="63" w:after="0"/>
        <w:ind w:left="1965" w:right="0" w:hanging="428"/>
        <w:jc w:val="left"/>
      </w:pPr>
      <w:r>
        <w:rPr>
          <w:spacing w:val="-1"/>
        </w:rPr>
        <w:t>辞退福利的会计处理方法</w:t>
      </w:r>
    </w:p>
    <w:p>
      <w:pPr>
        <w:pStyle w:val="BodyText"/>
        <w:spacing w:before="17"/>
        <w:ind w:left="1962"/>
        <w:jc w:val="both"/>
      </w:pPr>
      <w:r>
        <w:rPr/>
        <w:t>√适用 □不适用</w:t>
      </w:r>
    </w:p>
    <w:p>
      <w:pPr>
        <w:pStyle w:val="BodyText"/>
        <w:spacing w:line="364" w:lineRule="auto" w:before="2"/>
        <w:ind w:left="1538" w:right="1273" w:firstLine="424"/>
        <w:jc w:val="both"/>
      </w:pPr>
      <w:r>
        <w:rPr/>
        <w:t>辞退福利：本公司在职工劳动合同到期之前解除与职工的劳动关系，或者为鼓励职工自愿接受裁减而提出给予补偿的建议，在同时满足下列条件时，确认因解除与职工的劳动关系给予补偿而产生的预计负债，同时计入当期损益：本公司已经制定正式的解除劳动关系计划或提出自愿裁减建议，并即将实施；本公司不能单方面撤回解除劳动关系计划或裁减建议。职工内部退休计划采用上述辞退福利相同的原则处理。本公司将自职工停止提供服务日至正常退休日的期间拟支付的内退人员工资和缴纳的社会保险费等，在符合预计负债确认条件时，计入当期损益。</w:t>
      </w:r>
    </w:p>
    <w:p>
      <w:pPr>
        <w:pStyle w:val="BodyText"/>
        <w:spacing w:before="12"/>
        <w:rPr>
          <w:sz w:val="17"/>
        </w:rPr>
      </w:pPr>
    </w:p>
    <w:p>
      <w:pPr>
        <w:pStyle w:val="Heading4"/>
        <w:numPr>
          <w:ilvl w:val="0"/>
          <w:numId w:val="46"/>
        </w:numPr>
        <w:tabs>
          <w:tab w:pos="1966" w:val="left" w:leader="none"/>
        </w:tabs>
        <w:spacing w:line="240" w:lineRule="auto" w:before="0" w:after="0"/>
        <w:ind w:left="1965" w:right="0" w:hanging="428"/>
        <w:jc w:val="left"/>
      </w:pPr>
      <w:r>
        <w:rPr>
          <w:spacing w:val="-2"/>
        </w:rPr>
        <w:t>其他长期职工福利的会计处理方法</w:t>
      </w:r>
    </w:p>
    <w:p>
      <w:pPr>
        <w:pStyle w:val="BodyText"/>
        <w:spacing w:before="14"/>
        <w:ind w:left="1962"/>
        <w:jc w:val="both"/>
      </w:pPr>
      <w:r>
        <w:rPr/>
        <w:t>□适用 √不适用</w:t>
      </w:r>
    </w:p>
    <w:p>
      <w:pPr>
        <w:pStyle w:val="BodyText"/>
        <w:spacing w:before="5"/>
        <w:rPr>
          <w:sz w:val="18"/>
        </w:rPr>
      </w:pPr>
    </w:p>
    <w:p>
      <w:pPr>
        <w:pStyle w:val="Heading4"/>
        <w:numPr>
          <w:ilvl w:val="0"/>
          <w:numId w:val="31"/>
        </w:numPr>
        <w:tabs>
          <w:tab w:pos="1963" w:val="left" w:leader="none"/>
        </w:tabs>
        <w:spacing w:line="240" w:lineRule="auto" w:before="0" w:after="0"/>
        <w:ind w:left="1962" w:right="0" w:hanging="425"/>
        <w:jc w:val="left"/>
      </w:pPr>
      <w:r>
        <w:rPr/>
        <w:t>租赁负债</w:t>
      </w:r>
    </w:p>
    <w:p>
      <w:pPr>
        <w:pStyle w:val="BodyText"/>
        <w:spacing w:before="17"/>
        <w:ind w:left="1962"/>
      </w:pPr>
      <w:r>
        <w:rPr/>
        <w:t>√适用 □不适用</w:t>
      </w:r>
    </w:p>
    <w:p>
      <w:pPr>
        <w:pStyle w:val="BodyText"/>
        <w:spacing w:line="427" w:lineRule="auto" w:before="175"/>
        <w:ind w:left="1538" w:right="1337" w:firstLine="359"/>
      </w:pPr>
      <w:r>
        <w:rPr/>
        <w:t>在租赁期开始日，本公司作为承租人对租赁确认使用权资产和租赁负债。本公司的租赁负债按照租赁期开始日尚未支付的租赁付款额的现值进行初始计量。</w:t>
      </w:r>
    </w:p>
    <w:p>
      <w:pPr>
        <w:pStyle w:val="BodyText"/>
        <w:spacing w:line="427" w:lineRule="auto" w:before="2"/>
        <w:ind w:left="1538" w:right="1337" w:firstLine="359"/>
      </w:pPr>
      <w:r>
        <w:rPr/>
        <w:t>在计算租赁付款额的现值时，本公司采用租赁内含利率作为折现率；无法确定租赁内含利率的，采用本公司（即承租人）增量借款利率作为折现率。</w:t>
      </w:r>
    </w:p>
    <w:p>
      <w:pPr>
        <w:pStyle w:val="BodyText"/>
        <w:spacing w:line="427" w:lineRule="auto" w:before="2"/>
        <w:ind w:left="1538" w:right="1277" w:firstLine="359"/>
        <w:jc w:val="both"/>
      </w:pPr>
      <w:r>
        <w:rPr/>
        <w:t>租赁内含利率，是指使出租人的租赁收款额的现值与未担保余值的现值之和等于租赁资产公允价值与出租人的初始直接费用之和的利率。承租人增量借款利率，是指承租人在类似经济环境下为获得与使用权资产价值接近的资产，在类似期间以类似抵押条件借入资金须支付的利率。</w:t>
      </w:r>
    </w:p>
    <w:p>
      <w:pPr>
        <w:pStyle w:val="BodyText"/>
        <w:spacing w:line="427" w:lineRule="auto" w:before="4"/>
        <w:ind w:left="1538" w:right="1337" w:firstLine="359"/>
      </w:pPr>
      <w:r>
        <w:rPr/>
        <w:t>本公司按照固定的周期性利率计算租赁负债在租赁期内各期间的利息费用，并计入当期损益或资产成本。</w:t>
      </w:r>
    </w:p>
    <w:p>
      <w:pPr>
        <w:pStyle w:val="BodyText"/>
        <w:spacing w:line="429" w:lineRule="auto" w:before="2"/>
        <w:ind w:left="1538" w:right="1268" w:firstLine="359"/>
      </w:pPr>
      <w:r>
        <w:rPr>
          <w:spacing w:val="-14"/>
        </w:rPr>
        <w:t>在租赁期开始日后，本公司续租选择权、终止租赁选择权或购买选择权评估结果发生变化的， </w:t>
      </w:r>
      <w:r>
        <w:rPr>
          <w:spacing w:val="-7"/>
        </w:rPr>
        <w:t>重新确定租赁付款额，并按变动后租赁付款额和修订后的折现率计算的现值重新计量租赁负债：</w:t>
      </w:r>
    </w:p>
    <w:p>
      <w:pPr>
        <w:pStyle w:val="BodyText"/>
        <w:spacing w:line="427" w:lineRule="auto"/>
        <w:ind w:left="1538" w:right="1277" w:firstLine="359"/>
        <w:jc w:val="both"/>
      </w:pPr>
      <w:r>
        <w:rPr/>
        <w:t>在租赁期开始日后，根据担保余值预计的应付金额发生变动，或者因用于确定租赁付款额的指数或比率变动而导致未来租赁付款额发生变动的，本公司应当按照变动后租赁付款额的现值重新计量租赁负债。在这些情形下，本公司采用的折现率不变；但是，租赁付款额的变动源自浮动利率变动的，使用修订后的折现率。</w:t>
      </w:r>
    </w:p>
    <w:p>
      <w:pPr>
        <w:spacing w:after="0" w:line="427" w:lineRule="auto"/>
        <w:jc w:val="both"/>
        <w:sectPr>
          <w:pgSz w:w="11910" w:h="16840"/>
          <w:pgMar w:header="876" w:footer="1214" w:top="1440" w:bottom="1400" w:left="260" w:right="0"/>
        </w:sectPr>
      </w:pPr>
    </w:p>
    <w:p>
      <w:pPr>
        <w:pStyle w:val="Heading4"/>
        <w:numPr>
          <w:ilvl w:val="0"/>
          <w:numId w:val="31"/>
        </w:numPr>
        <w:tabs>
          <w:tab w:pos="1963" w:val="left" w:leader="none"/>
        </w:tabs>
        <w:spacing w:line="385" w:lineRule="exact" w:before="0" w:after="0"/>
        <w:ind w:left="1962" w:right="0" w:hanging="425"/>
        <w:jc w:val="left"/>
      </w:pPr>
      <w:r>
        <w:rPr/>
        <w:t>预计负债</w:t>
      </w:r>
    </w:p>
    <w:p>
      <w:pPr>
        <w:pStyle w:val="BodyText"/>
        <w:tabs>
          <w:tab w:pos="2805" w:val="left" w:leader="none"/>
        </w:tabs>
        <w:spacing w:before="17"/>
        <w:ind w:left="1962"/>
      </w:pPr>
      <w:r>
        <w:rPr/>
        <w:t>√适用</w:t>
        <w:tab/>
      </w:r>
      <w:r>
        <w:rPr>
          <w:spacing w:val="-3"/>
        </w:rPr>
        <w:t>□</w:t>
      </w:r>
      <w:r>
        <w:rPr/>
        <w:t>不</w:t>
      </w:r>
      <w:r>
        <w:rPr>
          <w:spacing w:val="-3"/>
        </w:rPr>
        <w:t>适</w:t>
      </w:r>
      <w:r>
        <w:rPr/>
        <w:t>用</w:t>
      </w:r>
    </w:p>
    <w:p>
      <w:pPr>
        <w:pStyle w:val="Heading3"/>
        <w:numPr>
          <w:ilvl w:val="0"/>
          <w:numId w:val="47"/>
        </w:numPr>
        <w:tabs>
          <w:tab w:pos="2531" w:val="left" w:leader="none"/>
        </w:tabs>
        <w:spacing w:line="240" w:lineRule="auto" w:before="174" w:after="0"/>
        <w:ind w:left="2530" w:right="0" w:hanging="554"/>
        <w:jc w:val="left"/>
      </w:pPr>
      <w:r>
        <w:rPr>
          <w:spacing w:val="-3"/>
        </w:rPr>
        <w:t>预计负债的确认标准</w:t>
      </w:r>
    </w:p>
    <w:p>
      <w:pPr>
        <w:pStyle w:val="Heading3"/>
        <w:spacing w:line="391" w:lineRule="auto"/>
        <w:ind w:right="1271"/>
        <w:jc w:val="both"/>
      </w:pPr>
      <w:r>
        <w:rPr/>
        <w:t>当与对外担保、商业承兑汇票贴现、未决诉讼或仲裁、产品质量保证等或有事项相关的义务是公司承担的现时义务，且履行该义务很可能导致经济利益流出，同时其金额能够可靠地计量时确认该义务为预计负债。</w:t>
      </w:r>
    </w:p>
    <w:p>
      <w:pPr>
        <w:pStyle w:val="Heading3"/>
        <w:numPr>
          <w:ilvl w:val="0"/>
          <w:numId w:val="47"/>
        </w:numPr>
        <w:tabs>
          <w:tab w:pos="2531" w:val="left" w:leader="none"/>
        </w:tabs>
        <w:spacing w:line="240" w:lineRule="auto" w:before="2" w:after="0"/>
        <w:ind w:left="2530" w:right="0" w:hanging="554"/>
        <w:jc w:val="left"/>
      </w:pPr>
      <w:r>
        <w:rPr>
          <w:spacing w:val="-3"/>
        </w:rPr>
        <w:t>预计负债的计量方法</w:t>
      </w:r>
    </w:p>
    <w:p>
      <w:pPr>
        <w:pStyle w:val="Heading3"/>
        <w:spacing w:line="391" w:lineRule="auto"/>
        <w:jc w:val="both"/>
      </w:pPr>
      <w:r>
        <w:rPr/>
        <w:t>按照履行相关现时义务所需支出的最佳估计数进行初始计量，如所需支出存在一个连续范围，且该范围内各种结果发生的可能性相同，最佳估计数按照该范围内的中间值确定；如涉及多个项目，按照各种可能结果及相关概率计算确定最佳估计数。</w:t>
      </w:r>
    </w:p>
    <w:p>
      <w:pPr>
        <w:pStyle w:val="Heading3"/>
        <w:spacing w:line="391" w:lineRule="auto" w:before="2"/>
      </w:pPr>
      <w:r>
        <w:rPr/>
        <w:t>资产负债表日应当对预计负债账面价值进行复核，有确凿证据表明该账面价值不能真实反映当前最佳估计数，应当按照当前最佳估计数对该账面价值进行调整。</w:t>
      </w:r>
    </w:p>
    <w:p>
      <w:pPr>
        <w:pStyle w:val="Heading4"/>
        <w:numPr>
          <w:ilvl w:val="0"/>
          <w:numId w:val="31"/>
        </w:numPr>
        <w:tabs>
          <w:tab w:pos="1963" w:val="left" w:leader="none"/>
        </w:tabs>
        <w:spacing w:line="240" w:lineRule="auto" w:before="61" w:after="0"/>
        <w:ind w:left="1962" w:right="0" w:hanging="425"/>
        <w:jc w:val="left"/>
      </w:pPr>
      <w:r>
        <w:rPr/>
        <w:t>股份支付</w:t>
      </w:r>
    </w:p>
    <w:p>
      <w:pPr>
        <w:pStyle w:val="BodyText"/>
        <w:tabs>
          <w:tab w:pos="2805" w:val="left" w:leader="none"/>
        </w:tabs>
        <w:spacing w:before="14"/>
        <w:ind w:left="1962"/>
      </w:pPr>
      <w:r>
        <w:rPr/>
        <w:t>√适用</w:t>
        <w:tab/>
      </w:r>
      <w:r>
        <w:rPr>
          <w:spacing w:val="-3"/>
        </w:rPr>
        <w:t>□</w:t>
      </w:r>
      <w:r>
        <w:rPr/>
        <w:t>不</w:t>
      </w:r>
      <w:r>
        <w:rPr>
          <w:spacing w:val="-3"/>
        </w:rPr>
        <w:t>适</w:t>
      </w:r>
      <w:r>
        <w:rPr/>
        <w:t>用</w:t>
      </w:r>
    </w:p>
    <w:p>
      <w:pPr>
        <w:pStyle w:val="Heading3"/>
        <w:spacing w:line="391" w:lineRule="auto" w:before="177"/>
        <w:ind w:right="1161"/>
      </w:pPr>
      <w:r>
        <w:rPr/>
        <w:t>用以换取职工提供服务的以权益结算的股份支付，以授予职工权益工具在授予日的公允</w:t>
      </w:r>
      <w:r>
        <w:rPr>
          <w:spacing w:val="-11"/>
        </w:rPr>
        <w:t>价值计量。该公允价值的金额在完成等待期内的服务或达到规定业绩条件才可行权的情况下， </w:t>
      </w:r>
      <w:r>
        <w:rPr>
          <w:spacing w:val="-10"/>
        </w:rPr>
        <w:t>在等待期内以对可行权权益工具数量的最佳估计为基础，按直线法计算计入相关成本或费用， </w:t>
      </w:r>
      <w:r>
        <w:rPr>
          <w:spacing w:val="-7"/>
        </w:rPr>
        <w:t>相应增加资本公积。</w:t>
      </w:r>
    </w:p>
    <w:p>
      <w:pPr>
        <w:pStyle w:val="Heading3"/>
        <w:spacing w:line="391" w:lineRule="auto" w:before="1"/>
        <w:jc w:val="both"/>
      </w:pPr>
      <w:r>
        <w:rPr>
          <w:spacing w:val="-1"/>
        </w:rPr>
        <w:t>以现金结算的股份支付，按照本公司承担的以股份或其他权益工具为基础确定的负债的</w:t>
      </w:r>
      <w:r>
        <w:rPr>
          <w:spacing w:val="-16"/>
        </w:rPr>
        <w:t>公允价值计量。如授予后立即可行权，在授予日以承担负债的公允价值计入相关成本或费用， 相应增加负债；如需完成等待期内的服务或达到规定业绩条件以后才可行权，在等待期的每</w:t>
      </w:r>
      <w:r>
        <w:rPr>
          <w:spacing w:val="-15"/>
        </w:rPr>
        <w:t>个资产负债表日，以对可行权情况的最佳估计为基础，按照本公司承担负债的公允价值金额， </w:t>
      </w:r>
      <w:r>
        <w:rPr>
          <w:spacing w:val="-8"/>
        </w:rPr>
        <w:t>将当期取得的服务计入成本或费用，相应调整负债。</w:t>
      </w:r>
    </w:p>
    <w:p>
      <w:pPr>
        <w:pStyle w:val="Heading3"/>
        <w:spacing w:line="391" w:lineRule="auto" w:before="5"/>
      </w:pPr>
      <w:r>
        <w:rPr/>
        <w:t>在相关负债结算前的每个资产负债表日以及结算日，对负债的公允价值重新计量，其变动计入当期损益。</w:t>
      </w:r>
    </w:p>
    <w:p>
      <w:pPr>
        <w:pStyle w:val="Heading3"/>
        <w:spacing w:line="391" w:lineRule="auto" w:before="1"/>
        <w:ind w:right="1271"/>
        <w:jc w:val="both"/>
      </w:pPr>
      <w:r>
        <w:rPr>
          <w:spacing w:val="-1"/>
        </w:rPr>
        <w:t>本公司对股份支付计划进行修改时，若修改增加了所授予权益工具的公允价值，按照权益工具公允价值的增加相应地确认取得服务的增加；若修改增加了所授予权益工具的数量， 则将增加的权益工具的公允价值相应地确认为取得服务的增加。权益工具公允价值的增加是指修改前后的权益工具在修改日的公允价值之间的差额。如果公司按照有利于职工的方式修</w:t>
      </w:r>
      <w:r>
        <w:rPr>
          <w:spacing w:val="-7"/>
          <w:w w:val="100"/>
        </w:rPr>
        <w:t>改可行权条件，如缩短等待期、变更或取消业绩条件</w:t>
      </w:r>
      <w:r>
        <w:rPr>
          <w:w w:val="100"/>
        </w:rPr>
        <w:t>（</w:t>
      </w:r>
      <w:r>
        <w:rPr>
          <w:spacing w:val="-3"/>
          <w:w w:val="100"/>
        </w:rPr>
        <w:t>而非市场条件</w:t>
      </w:r>
      <w:r>
        <w:rPr>
          <w:spacing w:val="-111"/>
          <w:w w:val="100"/>
        </w:rPr>
        <w:t>）</w:t>
      </w:r>
      <w:r>
        <w:rPr>
          <w:spacing w:val="-5"/>
          <w:w w:val="100"/>
        </w:rPr>
        <w:t>，公司在处理可行权条</w:t>
      </w:r>
    </w:p>
    <w:p>
      <w:pPr>
        <w:spacing w:after="0" w:line="391" w:lineRule="auto"/>
        <w:jc w:val="both"/>
        <w:sectPr>
          <w:pgSz w:w="11910" w:h="16840"/>
          <w:pgMar w:header="876" w:footer="1214" w:top="1440" w:bottom="1400" w:left="260" w:right="0"/>
        </w:sectPr>
      </w:pPr>
    </w:p>
    <w:p>
      <w:pPr>
        <w:pStyle w:val="BodyText"/>
        <w:spacing w:before="4"/>
        <w:rPr>
          <w:sz w:val="13"/>
        </w:rPr>
      </w:pPr>
    </w:p>
    <w:p>
      <w:pPr>
        <w:pStyle w:val="Heading3"/>
        <w:spacing w:line="391" w:lineRule="auto" w:before="70"/>
        <w:ind w:right="1274" w:firstLine="0"/>
        <w:jc w:val="both"/>
      </w:pPr>
      <w:r>
        <w:rPr/>
        <w:t>件时，应当考虑修改后的可行权条件。若修改减少了股份支付公允价值总额或采用了其他不利于职工的方式修改股份支付计划的条款和条件，则仍继续对取得的服务进行会计处理，视同该变更从未发生，除非本公司取消了部分或全部已授予的权益工具。</w:t>
      </w:r>
    </w:p>
    <w:p>
      <w:pPr>
        <w:pStyle w:val="Heading3"/>
        <w:spacing w:line="391" w:lineRule="auto" w:before="2"/>
        <w:jc w:val="both"/>
      </w:pPr>
      <w:r>
        <w:rPr/>
        <w:t>在等待期内，如果取消了授予的权益工具，本公司对取消所授予的权益性工具作为加速行权处理，将剩余等待期内应确认的金额立即计入当期损益，同时确认资本公积。职工或其他方能够选择满足非可行权条件但在等待期内未满足的，本公司将其作为授予权益工具的取消处理。</w:t>
      </w:r>
    </w:p>
    <w:p>
      <w:pPr>
        <w:pStyle w:val="Heading4"/>
        <w:numPr>
          <w:ilvl w:val="0"/>
          <w:numId w:val="31"/>
        </w:numPr>
        <w:tabs>
          <w:tab w:pos="1963" w:val="left" w:leader="none"/>
        </w:tabs>
        <w:spacing w:line="359" w:lineRule="exact" w:before="63" w:after="0"/>
        <w:ind w:left="1962" w:right="0" w:hanging="425"/>
        <w:jc w:val="left"/>
      </w:pPr>
      <w:r>
        <w:rPr/>
        <w:t>收入</w:t>
      </w:r>
    </w:p>
    <w:p>
      <w:pPr>
        <w:pStyle w:val="Heading4"/>
        <w:numPr>
          <w:ilvl w:val="0"/>
          <w:numId w:val="48"/>
        </w:numPr>
        <w:tabs>
          <w:tab w:pos="1966" w:val="left" w:leader="none"/>
        </w:tabs>
        <w:spacing w:line="359" w:lineRule="exact" w:before="0" w:after="0"/>
        <w:ind w:left="1965" w:right="0" w:hanging="428"/>
        <w:jc w:val="both"/>
      </w:pPr>
      <w:r>
        <w:rPr>
          <w:spacing w:val="-2"/>
        </w:rPr>
        <w:t>收入确认和计量所采用的会计政策</w:t>
      </w:r>
    </w:p>
    <w:p>
      <w:pPr>
        <w:pStyle w:val="BodyText"/>
        <w:spacing w:before="17"/>
        <w:ind w:left="1962"/>
      </w:pPr>
      <w:r>
        <w:rPr/>
        <w:t>√适用 □不适用</w:t>
      </w:r>
    </w:p>
    <w:p>
      <w:pPr>
        <w:pStyle w:val="Heading3"/>
        <w:spacing w:line="391" w:lineRule="auto" w:before="175"/>
      </w:pPr>
      <w:r>
        <w:rPr/>
        <w:t>收入是本公司及其子公司在日常活动中形成的、会导致股东权益增加且与股东投入资本无关的经济利益的总流入。</w:t>
      </w:r>
    </w:p>
    <w:p>
      <w:pPr>
        <w:pStyle w:val="Heading3"/>
        <w:spacing w:line="391" w:lineRule="auto" w:before="0"/>
      </w:pPr>
      <w:r>
        <w:rPr/>
        <w:t>本公司及其子公司在履行了合同中的履约义务，即在客户取得相关商品或服务的控制权时，确认收入。</w:t>
      </w:r>
    </w:p>
    <w:p>
      <w:pPr>
        <w:pStyle w:val="Heading3"/>
        <w:spacing w:line="391" w:lineRule="auto" w:before="3"/>
        <w:jc w:val="both"/>
      </w:pPr>
      <w:r>
        <w:rPr/>
        <w:t>合同中包含两项或多项履约义务的，本公司及其子公司在合同开始日，按照各单项履约义务所承诺商品或服务的单独售价的相对比例，将交易价格分摊至各单项履约义务，按照分摊至各单项履约义务的交易价格计量收入。</w:t>
      </w:r>
    </w:p>
    <w:p>
      <w:pPr>
        <w:pStyle w:val="Heading3"/>
        <w:spacing w:line="391" w:lineRule="auto" w:before="2"/>
        <w:jc w:val="both"/>
      </w:pPr>
      <w:r>
        <w:rPr/>
        <w:t>交易价格是本公司及其子公司因向客户转让商品或服务而预期有权收取的对价金额，不包括代第三方收取的款项。本公司及其子公司确认的交易价格不超过在相关不确定性消除时累计已确认收入极可能不会发生重大转回的金额。预期将退还给客户的款项作为退货负债， 不计入交易价格。</w:t>
      </w:r>
    </w:p>
    <w:p>
      <w:pPr>
        <w:pStyle w:val="Heading3"/>
        <w:spacing w:line="391" w:lineRule="auto" w:before="0"/>
      </w:pPr>
      <w:r>
        <w:rPr/>
        <w:t>满足下列条件之一时，本公司及其子公司属于在某一段时间内履行履约义务，否则，属于在某一时点履行履约义务：</w:t>
      </w:r>
    </w:p>
    <w:p>
      <w:pPr>
        <w:pStyle w:val="Heading3"/>
        <w:spacing w:line="391" w:lineRule="auto" w:before="3"/>
      </w:pPr>
      <w:r>
        <w:rPr/>
        <w:t>①客户在本公司及其子公司履约的同时即取得并消耗本公司及其子公司履约所带来的经济利益；</w:t>
      </w:r>
    </w:p>
    <w:p>
      <w:pPr>
        <w:pStyle w:val="Heading3"/>
        <w:spacing w:before="1"/>
        <w:ind w:left="1977" w:right="0" w:firstLine="0"/>
      </w:pPr>
      <w:r>
        <w:rPr>
          <w:spacing w:val="-3"/>
        </w:rPr>
        <w:t>②客户能够控制本公司及其子公司履约过程中在建的商品；</w:t>
      </w:r>
    </w:p>
    <w:p>
      <w:pPr>
        <w:pStyle w:val="Heading3"/>
        <w:spacing w:line="391" w:lineRule="auto"/>
      </w:pPr>
      <w:r>
        <w:rPr>
          <w:spacing w:val="-1"/>
        </w:rPr>
        <w:t>③本公司及其子公司履约过程中所产出的商品具有不可替代用途，且本公司及其子公司</w:t>
      </w:r>
      <w:r>
        <w:rPr>
          <w:spacing w:val="-3"/>
        </w:rPr>
        <w:t>在整个合同期间内有权就累计至今已完成的履约部分收取款项。</w:t>
      </w:r>
    </w:p>
    <w:p>
      <w:pPr>
        <w:pStyle w:val="Heading3"/>
        <w:spacing w:line="391" w:lineRule="auto" w:before="0"/>
      </w:pPr>
      <w:r>
        <w:rPr/>
        <w:t>对于在某一时段内履行的履约义务，本公司及其子公司在该段时间内按照履约进度确认收入。履约进度不能合理确定时，本公司及其子公司已经发生的成本预计能够得到补偿的，</w:t>
      </w:r>
    </w:p>
    <w:p>
      <w:pPr>
        <w:spacing w:after="0" w:line="391" w:lineRule="auto"/>
        <w:sectPr>
          <w:pgSz w:w="11910" w:h="16840"/>
          <w:pgMar w:header="876" w:footer="1214" w:top="1440" w:bottom="1400" w:left="260" w:right="0"/>
        </w:sectPr>
      </w:pPr>
    </w:p>
    <w:p>
      <w:pPr>
        <w:pStyle w:val="BodyText"/>
        <w:spacing w:before="4"/>
        <w:rPr>
          <w:sz w:val="13"/>
        </w:rPr>
      </w:pPr>
    </w:p>
    <w:p>
      <w:pPr>
        <w:pStyle w:val="Heading3"/>
        <w:spacing w:before="70"/>
        <w:ind w:right="0" w:firstLine="0"/>
      </w:pPr>
      <w:r>
        <w:rPr/>
        <w:t>按照已经发生的成本金额确认收入，直到履约进度能够合理确定为止。</w:t>
      </w:r>
    </w:p>
    <w:p>
      <w:pPr>
        <w:pStyle w:val="Heading3"/>
        <w:spacing w:line="391" w:lineRule="auto"/>
        <w:jc w:val="both"/>
      </w:pPr>
      <w:r>
        <w:rPr/>
        <w:t>对于在某一时点履行的履约义务，本公司及其子公司在客户取得相关商品或服务控制权时点确认收入。在判断客户是否已取得商品或服务控制权时，本公司及其子公司会考虑下列迹象：</w:t>
      </w:r>
    </w:p>
    <w:p>
      <w:pPr>
        <w:pStyle w:val="Heading3"/>
        <w:spacing w:before="2"/>
        <w:ind w:left="1977" w:right="0" w:firstLine="0"/>
      </w:pPr>
      <w:r>
        <w:rPr/>
        <w:t>①本公司及其子公司就该商品或服务享有现时收款权利；</w:t>
      </w:r>
    </w:p>
    <w:p>
      <w:pPr>
        <w:pStyle w:val="Heading3"/>
        <w:ind w:left="1977" w:right="0" w:firstLine="0"/>
      </w:pPr>
      <w:r>
        <w:rPr/>
        <w:t>②本公司及其子公司已将该商品的实物转移给客户；</w:t>
      </w:r>
    </w:p>
    <w:p>
      <w:pPr>
        <w:pStyle w:val="Heading3"/>
        <w:spacing w:before="176"/>
        <w:ind w:left="1977" w:right="0" w:firstLine="0"/>
      </w:pPr>
      <w:r>
        <w:rPr/>
        <w:t>③本公司及其子公司已将该商品的法定所有权或所有权上的主要风险和报酬转移给客户；</w:t>
      </w:r>
    </w:p>
    <w:p>
      <w:pPr>
        <w:pStyle w:val="Heading3"/>
        <w:ind w:left="1977" w:right="0" w:firstLine="0"/>
      </w:pPr>
      <w:r>
        <w:rPr/>
        <w:t>④客户已接受该商品或服务等。</w:t>
      </w:r>
    </w:p>
    <w:p>
      <w:pPr>
        <w:pStyle w:val="Heading3"/>
        <w:spacing w:line="391" w:lineRule="auto" w:before="180"/>
        <w:ind w:right="1053"/>
      </w:pPr>
      <w:r>
        <w:rPr/>
        <w:t>本公司及其子公司已向客户转让商品或服务而有权收取对价的权利</w:t>
      </w:r>
      <w:r>
        <w:rPr>
          <w:rFonts w:ascii="Times New Roman" w:eastAsia="Times New Roman"/>
          <w:spacing w:val="6"/>
        </w:rPr>
        <w:t>(</w:t>
      </w:r>
      <w:r>
        <w:rPr/>
        <w:t>且该权利取决于时 </w:t>
      </w:r>
      <w:r>
        <w:rPr>
          <w:spacing w:val="-2"/>
        </w:rPr>
        <w:t>间流逝之外的其他因素</w:t>
      </w:r>
      <w:r>
        <w:rPr>
          <w:rFonts w:ascii="Times New Roman" w:eastAsia="Times New Roman"/>
        </w:rPr>
        <w:t>)</w:t>
      </w:r>
      <w:r>
        <w:rPr>
          <w:spacing w:val="-6"/>
        </w:rPr>
        <w:t>作为合同资产列示，合同资产以预期信用损失为基础计提减值。本公 </w:t>
      </w:r>
      <w:r>
        <w:rPr>
          <w:spacing w:val="-5"/>
        </w:rPr>
        <w:t>司及其子公司拥有的、无条件</w:t>
      </w:r>
      <w:r>
        <w:rPr>
          <w:rFonts w:ascii="Times New Roman" w:eastAsia="Times New Roman"/>
        </w:rPr>
        <w:t>(</w:t>
      </w:r>
      <w:r>
        <w:rPr>
          <w:spacing w:val="-3"/>
        </w:rPr>
        <w:t>仅取决于时间流逝</w:t>
      </w:r>
      <w:r>
        <w:rPr>
          <w:rFonts w:ascii="Times New Roman" w:eastAsia="Times New Roman"/>
        </w:rPr>
        <w:t>)</w:t>
      </w:r>
      <w:r>
        <w:rPr>
          <w:spacing w:val="-3"/>
        </w:rPr>
        <w:t>向客户收取对价的权利作为应收款项列示。</w:t>
      </w:r>
      <w:r>
        <w:rPr>
          <w:spacing w:val="-4"/>
        </w:rPr>
        <w:t>本公司及其子公司已收或应收客户对价而应向客户转让商品或服务的义务作为合同负债列示。</w:t>
      </w:r>
    </w:p>
    <w:p>
      <w:pPr>
        <w:pStyle w:val="Heading3"/>
        <w:spacing w:before="0"/>
        <w:ind w:left="1977" w:right="0" w:firstLine="0"/>
      </w:pPr>
      <w:r>
        <w:rPr/>
        <w:t>与本公司及其子公司取得收入的主要活动相关的具体会计政策描述如下：</w:t>
      </w:r>
    </w:p>
    <w:p>
      <w:pPr>
        <w:pStyle w:val="Heading3"/>
        <w:numPr>
          <w:ilvl w:val="1"/>
          <w:numId w:val="48"/>
        </w:numPr>
        <w:tabs>
          <w:tab w:pos="2531" w:val="left" w:leader="none"/>
        </w:tabs>
        <w:spacing w:line="240" w:lineRule="auto" w:before="179" w:after="0"/>
        <w:ind w:left="2530" w:right="0" w:hanging="554"/>
        <w:jc w:val="left"/>
      </w:pPr>
      <w:r>
        <w:rPr>
          <w:spacing w:val="-2"/>
        </w:rPr>
        <w:t>销售商品</w:t>
      </w:r>
    </w:p>
    <w:p>
      <w:pPr>
        <w:pStyle w:val="Heading3"/>
        <w:spacing w:line="391" w:lineRule="auto"/>
        <w:ind w:right="1271"/>
        <w:jc w:val="both"/>
      </w:pPr>
      <w:r>
        <w:rPr/>
        <w:t>本公司与客户之间的销售商品合同通常仅包含转让家电整机的履约义务。本公司通常在综合考虑下列因素的基础上，以商品控制权转移时点确认收入：取得商品的现时收款权利、商品所有权上的主要风险和报酬的转移、商品的法定所有权的转移、商品实物资产的转移、客户接受该商品。</w:t>
      </w:r>
    </w:p>
    <w:p>
      <w:pPr>
        <w:pStyle w:val="Heading3"/>
        <w:numPr>
          <w:ilvl w:val="1"/>
          <w:numId w:val="48"/>
        </w:numPr>
        <w:tabs>
          <w:tab w:pos="2531" w:val="left" w:leader="none"/>
        </w:tabs>
        <w:spacing w:line="240" w:lineRule="auto" w:before="1" w:after="0"/>
        <w:ind w:left="2530" w:right="0" w:hanging="554"/>
        <w:jc w:val="left"/>
      </w:pPr>
      <w:r>
        <w:rPr>
          <w:spacing w:val="-3"/>
        </w:rPr>
        <w:t>建造合同收入</w:t>
      </w:r>
    </w:p>
    <w:p>
      <w:pPr>
        <w:pStyle w:val="Heading3"/>
        <w:spacing w:line="391" w:lineRule="auto"/>
        <w:ind w:right="1161"/>
      </w:pPr>
      <w:r>
        <w:rPr/>
        <w:t>本公司与客户之间的建造合同通常包括商用空调及智能家居建设安装的履约义务，由于</w:t>
      </w:r>
      <w:r>
        <w:rPr>
          <w:spacing w:val="-7"/>
        </w:rPr>
        <w:t>客户能够控制本公司履约过程中在建的商品，本公司将其作为在某一时段内履行的履约义务， 按照履约进度确认收入，履约进度不能合理确定的除外。本公司按照投入法确定提供服务的履约进度。对于履约进度不能合理确定时，本公司已经发生的成本预计能够得到补偿的，按</w:t>
      </w:r>
      <w:r>
        <w:rPr>
          <w:spacing w:val="-5"/>
        </w:rPr>
        <w:t>照已经发生的成本金额确认收入，直到履约进度能够合理确定为止。</w:t>
      </w:r>
    </w:p>
    <w:p>
      <w:pPr>
        <w:pStyle w:val="Heading3"/>
        <w:numPr>
          <w:ilvl w:val="1"/>
          <w:numId w:val="48"/>
        </w:numPr>
        <w:tabs>
          <w:tab w:pos="2531" w:val="left" w:leader="none"/>
        </w:tabs>
        <w:spacing w:line="240" w:lineRule="auto" w:before="2" w:after="0"/>
        <w:ind w:left="2530" w:right="0" w:hanging="554"/>
        <w:jc w:val="left"/>
      </w:pPr>
      <w:r>
        <w:rPr>
          <w:spacing w:val="-2"/>
        </w:rPr>
        <w:t>质保义务</w:t>
      </w:r>
    </w:p>
    <w:p>
      <w:pPr>
        <w:pStyle w:val="Heading3"/>
        <w:spacing w:line="391" w:lineRule="auto"/>
        <w:jc w:val="both"/>
      </w:pPr>
      <w:r>
        <w:rPr>
          <w:spacing w:val="-1"/>
        </w:rPr>
        <w:t>根据合同约定、法律规定等，本公司为所销售的商品、所建造的工程等提供质量保证。对于为向客户保证所销售的商品符合既定标准的保证类质量保证，本公司按照预计负债进行会计处理。对于为向客户保证所销售的商品符合既定标准之外提供了一项单独服务的服务类质量保证，本公司将其作为一项单项履约义务，按照提供商品和服务类质量保证的单独售价</w:t>
      </w:r>
    </w:p>
    <w:p>
      <w:pPr>
        <w:pStyle w:val="Heading3"/>
        <w:spacing w:before="3"/>
        <w:ind w:right="0" w:firstLine="0"/>
      </w:pPr>
      <w:r>
        <w:rPr>
          <w:spacing w:val="-15"/>
        </w:rPr>
        <w:t>的相对比例，将部分交易价格分摊至服务类质量保证，并在客户取得服务控制权时确认收入。</w:t>
      </w:r>
    </w:p>
    <w:p>
      <w:pPr>
        <w:spacing w:after="0"/>
        <w:sectPr>
          <w:pgSz w:w="11910" w:h="16840"/>
          <w:pgMar w:header="876" w:footer="1214" w:top="1440" w:bottom="1400" w:left="260" w:right="0"/>
        </w:sectPr>
      </w:pPr>
    </w:p>
    <w:p>
      <w:pPr>
        <w:pStyle w:val="BodyText"/>
        <w:spacing w:before="4"/>
        <w:rPr>
          <w:sz w:val="13"/>
        </w:rPr>
      </w:pPr>
    </w:p>
    <w:p>
      <w:pPr>
        <w:pStyle w:val="Heading3"/>
        <w:spacing w:line="391" w:lineRule="auto" w:before="70"/>
        <w:ind w:right="1274" w:firstLine="0"/>
        <w:jc w:val="both"/>
      </w:pPr>
      <w:r>
        <w:rPr/>
        <w:t>在评估质量保证是否在向客户保证所销售商品符合既定标准之外提供了一项单独服务时，本公司考虑该质量保证是否为法定要求或行业惯例、质量保证期限以及公司承诺履行任务的性质等因素。</w:t>
      </w:r>
    </w:p>
    <w:p>
      <w:pPr>
        <w:pStyle w:val="Heading4"/>
        <w:numPr>
          <w:ilvl w:val="0"/>
          <w:numId w:val="31"/>
        </w:numPr>
        <w:tabs>
          <w:tab w:pos="1963" w:val="left" w:leader="none"/>
        </w:tabs>
        <w:spacing w:line="240" w:lineRule="auto" w:before="62" w:after="0"/>
        <w:ind w:left="1962" w:right="0" w:hanging="425"/>
        <w:jc w:val="left"/>
      </w:pPr>
      <w:r>
        <w:rPr/>
        <w:t>政府补助</w:t>
      </w:r>
    </w:p>
    <w:p>
      <w:pPr>
        <w:pStyle w:val="BodyText"/>
        <w:spacing w:before="17"/>
        <w:ind w:left="1962"/>
      </w:pPr>
      <w:r>
        <w:rPr/>
        <w:t>√适用 □不适用</w:t>
      </w:r>
    </w:p>
    <w:p>
      <w:pPr>
        <w:pStyle w:val="ListParagraph"/>
        <w:numPr>
          <w:ilvl w:val="0"/>
          <w:numId w:val="49"/>
        </w:numPr>
        <w:tabs>
          <w:tab w:pos="2427" w:val="left" w:leader="none"/>
        </w:tabs>
        <w:spacing w:line="240" w:lineRule="auto" w:before="175" w:after="0"/>
        <w:ind w:left="2427" w:right="0" w:hanging="529"/>
        <w:jc w:val="left"/>
        <w:rPr>
          <w:sz w:val="21"/>
        </w:rPr>
      </w:pPr>
      <w:r>
        <w:rPr>
          <w:spacing w:val="-3"/>
          <w:sz w:val="21"/>
        </w:rPr>
        <w:t>政府补助类型</w:t>
      </w:r>
    </w:p>
    <w:p>
      <w:pPr>
        <w:pStyle w:val="BodyText"/>
        <w:spacing w:before="6"/>
        <w:rPr>
          <w:sz w:val="16"/>
        </w:rPr>
      </w:pPr>
    </w:p>
    <w:p>
      <w:pPr>
        <w:pStyle w:val="BodyText"/>
        <w:spacing w:line="427" w:lineRule="auto"/>
        <w:ind w:left="1538" w:right="1337" w:firstLine="359"/>
      </w:pPr>
      <w:r>
        <w:rPr/>
        <w:t>政府补助是指本公司从政府无偿取得的货币性资产或非货币性资产（但不包括政府作为所有者投入的资本），主要划分为与资产相关的政府补助和与收益相关的政府补助两种类型。</w:t>
      </w:r>
    </w:p>
    <w:p>
      <w:pPr>
        <w:pStyle w:val="ListParagraph"/>
        <w:numPr>
          <w:ilvl w:val="0"/>
          <w:numId w:val="49"/>
        </w:numPr>
        <w:tabs>
          <w:tab w:pos="2427" w:val="left" w:leader="none"/>
        </w:tabs>
        <w:spacing w:line="240" w:lineRule="auto" w:before="3" w:after="0"/>
        <w:ind w:left="2427" w:right="0" w:hanging="529"/>
        <w:jc w:val="left"/>
        <w:rPr>
          <w:sz w:val="21"/>
        </w:rPr>
      </w:pPr>
      <w:r>
        <w:rPr>
          <w:spacing w:val="-3"/>
          <w:sz w:val="21"/>
        </w:rPr>
        <w:t>政府补助会计处理</w:t>
      </w:r>
    </w:p>
    <w:p>
      <w:pPr>
        <w:pStyle w:val="BodyText"/>
        <w:spacing w:before="6"/>
        <w:rPr>
          <w:sz w:val="16"/>
        </w:rPr>
      </w:pPr>
    </w:p>
    <w:p>
      <w:pPr>
        <w:pStyle w:val="BodyText"/>
        <w:spacing w:line="427" w:lineRule="auto"/>
        <w:ind w:left="1538" w:right="1277" w:firstLine="359"/>
        <w:jc w:val="both"/>
      </w:pPr>
      <w:r>
        <w:rPr/>
        <w:t>与资产相关的政府补助，确认为递延收益，并在相关资产使用寿命内平均分配，计入当期损益；按照名义金额计量的政府补助，直接计入当期损益。与收益相关的政府补助，分别下列情况处理：①用于补偿企业以后期间的相关费用或损失的，确认为递延收益，并在确认相关费用的期间，计入当期损益；②用于补偿企业已发生的相关费用或损失的，直接计入当期损益。</w:t>
      </w:r>
    </w:p>
    <w:p>
      <w:pPr>
        <w:pStyle w:val="ListParagraph"/>
        <w:numPr>
          <w:ilvl w:val="0"/>
          <w:numId w:val="49"/>
        </w:numPr>
        <w:tabs>
          <w:tab w:pos="2427" w:val="left" w:leader="none"/>
        </w:tabs>
        <w:spacing w:line="240" w:lineRule="auto" w:before="4" w:after="0"/>
        <w:ind w:left="2427" w:right="0" w:hanging="529"/>
        <w:jc w:val="left"/>
        <w:rPr>
          <w:sz w:val="21"/>
        </w:rPr>
      </w:pPr>
      <w:r>
        <w:rPr>
          <w:spacing w:val="-3"/>
          <w:sz w:val="21"/>
        </w:rPr>
        <w:t>区分与资产相关政府补助和与收益相关政府补助的具体标准</w:t>
      </w:r>
    </w:p>
    <w:p>
      <w:pPr>
        <w:pStyle w:val="BodyText"/>
        <w:spacing w:before="6"/>
        <w:rPr>
          <w:sz w:val="16"/>
        </w:rPr>
      </w:pPr>
    </w:p>
    <w:p>
      <w:pPr>
        <w:pStyle w:val="BodyText"/>
        <w:spacing w:line="429" w:lineRule="auto"/>
        <w:ind w:left="1538" w:right="1337" w:firstLine="359"/>
      </w:pPr>
      <w:r>
        <w:rPr/>
        <w:t>本公司取得的、用于购建或以其他方式形成长期资产的政府补助，确认为与资产相关的政府补助。</w:t>
      </w:r>
    </w:p>
    <w:p>
      <w:pPr>
        <w:pStyle w:val="BodyText"/>
        <w:spacing w:line="266" w:lineRule="exact"/>
        <w:ind w:left="1898"/>
      </w:pPr>
      <w:r>
        <w:rPr/>
        <w:t>本公司取得的除与资产相关的政府补助之外的政府补助，确认为与收益相关的政府补助。</w:t>
      </w:r>
    </w:p>
    <w:p>
      <w:pPr>
        <w:pStyle w:val="BodyText"/>
        <w:spacing w:before="6"/>
        <w:rPr>
          <w:sz w:val="16"/>
        </w:rPr>
      </w:pPr>
    </w:p>
    <w:p>
      <w:pPr>
        <w:pStyle w:val="BodyText"/>
        <w:ind w:left="1898"/>
      </w:pPr>
      <w:r>
        <w:rPr/>
        <w:t>若政府文件未明确规定补助对象，将该政府补助划分为与资产相关或与收益相关的判断依据：</w:t>
      </w:r>
    </w:p>
    <w:p>
      <w:pPr>
        <w:pStyle w:val="BodyText"/>
        <w:spacing w:before="6"/>
        <w:rPr>
          <w:sz w:val="16"/>
        </w:rPr>
      </w:pPr>
    </w:p>
    <w:p>
      <w:pPr>
        <w:pStyle w:val="BodyText"/>
        <w:spacing w:line="427" w:lineRule="auto"/>
        <w:ind w:left="1538" w:right="1277" w:firstLine="359"/>
        <w:jc w:val="both"/>
      </w:pPr>
      <w:r>
        <w:rPr/>
        <w:t>①政府文件明确了补助所针对的特定项目的，根据该特定项目的预算中将形成资产的支出金额和计入费用的支出金额的相对比例进行划分，对该划分比例需在每个资产负债表日进行复核， 必要时进行变更；</w:t>
      </w:r>
    </w:p>
    <w:p>
      <w:pPr>
        <w:pStyle w:val="BodyText"/>
        <w:spacing w:before="3"/>
        <w:ind w:left="1898"/>
      </w:pPr>
      <w:r>
        <w:rPr/>
        <w:t>②政府文件中对用途仅作一般性表述，没有指明特定项目的，作为与收益相关的政府补助。</w:t>
      </w:r>
    </w:p>
    <w:p>
      <w:pPr>
        <w:pStyle w:val="BodyText"/>
        <w:spacing w:before="6"/>
        <w:rPr>
          <w:sz w:val="16"/>
        </w:rPr>
      </w:pPr>
    </w:p>
    <w:p>
      <w:pPr>
        <w:pStyle w:val="ListParagraph"/>
        <w:numPr>
          <w:ilvl w:val="0"/>
          <w:numId w:val="49"/>
        </w:numPr>
        <w:tabs>
          <w:tab w:pos="2427" w:val="left" w:leader="none"/>
        </w:tabs>
        <w:spacing w:line="240" w:lineRule="auto" w:before="0" w:after="0"/>
        <w:ind w:left="2427" w:right="0" w:hanging="529"/>
        <w:jc w:val="left"/>
        <w:rPr>
          <w:sz w:val="21"/>
        </w:rPr>
      </w:pPr>
      <w:r>
        <w:rPr>
          <w:spacing w:val="-3"/>
          <w:sz w:val="21"/>
        </w:rPr>
        <w:t>与政府补助相关的递延收益的摊销方法以及摊销期限的确认方法</w:t>
      </w:r>
    </w:p>
    <w:p>
      <w:pPr>
        <w:pStyle w:val="BodyText"/>
        <w:spacing w:before="6"/>
        <w:rPr>
          <w:sz w:val="16"/>
        </w:rPr>
      </w:pPr>
    </w:p>
    <w:p>
      <w:pPr>
        <w:pStyle w:val="BodyText"/>
        <w:spacing w:line="427" w:lineRule="auto" w:before="1"/>
        <w:ind w:left="1538" w:right="1337" w:firstLine="359"/>
      </w:pPr>
      <w:r>
        <w:rPr/>
        <w:t>本公司取得的与资产相关的政府补助，确认为递延收益，自相关资产可供使用时起，按照相关资产的预计使用期限，将递延收益平均分摊转入当期损益。</w:t>
      </w:r>
    </w:p>
    <w:p>
      <w:pPr>
        <w:pStyle w:val="ListParagraph"/>
        <w:numPr>
          <w:ilvl w:val="0"/>
          <w:numId w:val="49"/>
        </w:numPr>
        <w:tabs>
          <w:tab w:pos="2427" w:val="left" w:leader="none"/>
        </w:tabs>
        <w:spacing w:line="240" w:lineRule="auto" w:before="2" w:after="0"/>
        <w:ind w:left="2427" w:right="0" w:hanging="529"/>
        <w:jc w:val="left"/>
        <w:rPr>
          <w:sz w:val="21"/>
        </w:rPr>
      </w:pPr>
      <w:r>
        <w:rPr>
          <w:spacing w:val="-3"/>
          <w:sz w:val="21"/>
        </w:rPr>
        <w:t>政府补助的确认时点</w:t>
      </w:r>
    </w:p>
    <w:p>
      <w:pPr>
        <w:pStyle w:val="BodyText"/>
        <w:spacing w:before="5"/>
        <w:rPr>
          <w:sz w:val="16"/>
        </w:rPr>
      </w:pPr>
    </w:p>
    <w:p>
      <w:pPr>
        <w:pStyle w:val="BodyText"/>
        <w:spacing w:line="427" w:lineRule="auto" w:before="1"/>
        <w:ind w:left="1538" w:right="1337" w:firstLine="359"/>
      </w:pPr>
      <w:r>
        <w:rPr/>
        <w:t>按照应收金额计量的政府补助，在期末有确凿证据表明能够符合财政扶持政策规定的相关条件且预计能够收到财政扶持资金时予以确认。</w:t>
      </w:r>
    </w:p>
    <w:p>
      <w:pPr>
        <w:pStyle w:val="BodyText"/>
        <w:spacing w:before="2"/>
        <w:ind w:left="1898"/>
      </w:pPr>
      <w:r>
        <w:rPr/>
        <w:t>除按照应收金额计量的政府补助外的其他政府补助，在实际收到补助款项时予以确认。</w:t>
      </w:r>
    </w:p>
    <w:p>
      <w:pPr>
        <w:spacing w:after="0"/>
        <w:sectPr>
          <w:pgSz w:w="11910" w:h="16840"/>
          <w:pgMar w:header="876" w:footer="1214" w:top="1440" w:bottom="1400" w:left="260" w:right="0"/>
        </w:sectPr>
      </w:pPr>
    </w:p>
    <w:p>
      <w:pPr>
        <w:pStyle w:val="BodyText"/>
        <w:spacing w:before="10"/>
        <w:rPr>
          <w:sz w:val="22"/>
        </w:rPr>
      </w:pPr>
    </w:p>
    <w:p>
      <w:pPr>
        <w:pStyle w:val="Heading4"/>
        <w:numPr>
          <w:ilvl w:val="0"/>
          <w:numId w:val="31"/>
        </w:numPr>
        <w:tabs>
          <w:tab w:pos="1963" w:val="left" w:leader="none"/>
        </w:tabs>
        <w:spacing w:line="240" w:lineRule="auto" w:before="10" w:after="0"/>
        <w:ind w:left="1962" w:right="0" w:hanging="425"/>
        <w:jc w:val="left"/>
      </w:pPr>
      <w:r>
        <w:rPr/>
        <w:t>递延所得税资产</w:t>
      </w:r>
      <w:r>
        <w:rPr>
          <w:rFonts w:ascii="Times New Roman" w:eastAsia="Times New Roman"/>
          <w:spacing w:val="-4"/>
        </w:rPr>
        <w:t>/</w:t>
      </w:r>
      <w:r>
        <w:rPr/>
        <w:t>递延所得税负债</w:t>
      </w:r>
    </w:p>
    <w:p>
      <w:pPr>
        <w:pStyle w:val="BodyText"/>
        <w:tabs>
          <w:tab w:pos="2805" w:val="left" w:leader="none"/>
        </w:tabs>
        <w:spacing w:before="16"/>
        <w:ind w:left="1962"/>
      </w:pPr>
      <w:r>
        <w:rPr/>
        <w:t>√适用</w:t>
        <w:tab/>
      </w:r>
      <w:r>
        <w:rPr>
          <w:spacing w:val="-3"/>
        </w:rPr>
        <w:t>□</w:t>
      </w:r>
      <w:r>
        <w:rPr/>
        <w:t>不</w:t>
      </w:r>
      <w:r>
        <w:rPr>
          <w:spacing w:val="-3"/>
        </w:rPr>
        <w:t>适</w:t>
      </w:r>
      <w:r>
        <w:rPr/>
        <w:t>用</w:t>
      </w:r>
    </w:p>
    <w:p>
      <w:pPr>
        <w:pStyle w:val="BodyText"/>
        <w:spacing w:before="2"/>
        <w:ind w:left="1962"/>
      </w:pPr>
      <w:r>
        <w:rPr/>
        <w:t>本公司递延所得税资产和递延所得税负债的确认：</w:t>
      </w:r>
    </w:p>
    <w:p>
      <w:pPr>
        <w:pStyle w:val="ListParagraph"/>
        <w:numPr>
          <w:ilvl w:val="0"/>
          <w:numId w:val="50"/>
        </w:numPr>
        <w:tabs>
          <w:tab w:pos="2490" w:val="left" w:leader="none"/>
        </w:tabs>
        <w:spacing w:line="364" w:lineRule="auto" w:before="139" w:after="0"/>
        <w:ind w:left="1538" w:right="1268" w:firstLine="424"/>
        <w:jc w:val="both"/>
        <w:rPr>
          <w:sz w:val="21"/>
        </w:rPr>
      </w:pPr>
      <w:r>
        <w:rPr>
          <w:spacing w:val="-10"/>
          <w:sz w:val="21"/>
        </w:rPr>
        <w:t>根据资产、负债的账面价值与其计税基础之间的差额</w:t>
      </w:r>
      <w:r>
        <w:rPr>
          <w:spacing w:val="-3"/>
          <w:sz w:val="21"/>
        </w:rPr>
        <w:t>（未作为资产和负债确认的项目 按照税法规定可以确定其计税基础的，确定该计税基础为其差额</w:t>
      </w:r>
      <w:r>
        <w:rPr>
          <w:sz w:val="21"/>
        </w:rPr>
        <w:t>）</w:t>
      </w:r>
      <w:r>
        <w:rPr>
          <w:spacing w:val="-3"/>
          <w:sz w:val="21"/>
        </w:rPr>
        <w:t>，按照预期收回该资产或清偿该负债期间的适用税率计算确认递延所得税资产或递延所得税负债。</w:t>
      </w:r>
    </w:p>
    <w:p>
      <w:pPr>
        <w:pStyle w:val="ListParagraph"/>
        <w:numPr>
          <w:ilvl w:val="0"/>
          <w:numId w:val="50"/>
        </w:numPr>
        <w:tabs>
          <w:tab w:pos="2492" w:val="left" w:leader="none"/>
        </w:tabs>
        <w:spacing w:line="364" w:lineRule="auto" w:before="0" w:after="0"/>
        <w:ind w:left="1538" w:right="1167" w:firstLine="424"/>
        <w:jc w:val="left"/>
        <w:rPr>
          <w:sz w:val="21"/>
        </w:rPr>
      </w:pPr>
      <w:r>
        <w:rPr>
          <w:spacing w:val="-3"/>
          <w:sz w:val="21"/>
        </w:rPr>
        <w:t>递延所得税资产的确认以很可能取得用来抵扣可抵扣暂时性差异的应纳税所得额为限。资产负债表日，有确凿证据表明未来期间很可能获得足够的应纳税所得额用来抵扣可抵扣暂时性差异的，确认以前会计期间未确认的递延所得税资产。如未来期间很可能无法获得足够的应纳税所得额用以抵扣递延所得税资产的，则减记递延所得税资产的账面价值。</w:t>
      </w:r>
    </w:p>
    <w:p>
      <w:pPr>
        <w:pStyle w:val="ListParagraph"/>
        <w:numPr>
          <w:ilvl w:val="0"/>
          <w:numId w:val="50"/>
        </w:numPr>
        <w:tabs>
          <w:tab w:pos="2490" w:val="left" w:leader="none"/>
        </w:tabs>
        <w:spacing w:line="364" w:lineRule="auto" w:before="0" w:after="0"/>
        <w:ind w:left="1538" w:right="1268" w:firstLine="424"/>
        <w:jc w:val="both"/>
        <w:rPr>
          <w:sz w:val="21"/>
        </w:rPr>
      </w:pPr>
      <w:r>
        <w:rPr>
          <w:spacing w:val="-6"/>
          <w:sz w:val="21"/>
        </w:rPr>
        <w:t>对与子公司及联营企业投资相关的应纳税暂时性差异，确认递延所得税负债，除非本 </w:t>
      </w:r>
      <w:r>
        <w:rPr>
          <w:spacing w:val="-3"/>
          <w:sz w:val="21"/>
        </w:rPr>
        <w:t>公司能够控制暂时性差异转回的时间且该暂时性差异在可预见的未来很可能不会转回。对与子公司及联营企业投资相关的可抵扣暂时性差异，当该暂时性差异在可预见的未来很可能转回且未来很可能获得用来抵扣可抵扣暂时性差异的应纳税所得额时，确认递延所得税资产。</w:t>
      </w:r>
    </w:p>
    <w:p>
      <w:pPr>
        <w:pStyle w:val="ListParagraph"/>
        <w:numPr>
          <w:ilvl w:val="0"/>
          <w:numId w:val="50"/>
        </w:numPr>
        <w:tabs>
          <w:tab w:pos="2490" w:val="left" w:leader="none"/>
        </w:tabs>
        <w:spacing w:line="364" w:lineRule="auto" w:before="0" w:after="0"/>
        <w:ind w:left="1538" w:right="1268" w:firstLine="424"/>
        <w:jc w:val="left"/>
        <w:rPr>
          <w:sz w:val="21"/>
        </w:rPr>
      </w:pPr>
      <w:r>
        <w:rPr>
          <w:spacing w:val="-6"/>
          <w:sz w:val="21"/>
        </w:rPr>
        <w:t>对于商誉的初始确认产生的暂时性差异，不确认相应的递延所得税负债。对于既不影 </w:t>
      </w:r>
      <w:r>
        <w:rPr>
          <w:spacing w:val="-3"/>
          <w:sz w:val="21"/>
        </w:rPr>
        <w:t>响会计利润也不影响应纳税所得额</w:t>
      </w:r>
      <w:r>
        <w:rPr>
          <w:rFonts w:ascii="Times New Roman" w:eastAsia="Times New Roman"/>
          <w:spacing w:val="-4"/>
          <w:sz w:val="21"/>
        </w:rPr>
        <w:t>(</w:t>
      </w:r>
      <w:r>
        <w:rPr>
          <w:spacing w:val="-3"/>
          <w:sz w:val="21"/>
        </w:rPr>
        <w:t>或可抵扣亏损</w:t>
      </w:r>
      <w:r>
        <w:rPr>
          <w:rFonts w:ascii="Times New Roman" w:eastAsia="Times New Roman"/>
          <w:spacing w:val="-4"/>
          <w:sz w:val="21"/>
        </w:rPr>
        <w:t>)</w:t>
      </w:r>
      <w:r>
        <w:rPr>
          <w:spacing w:val="-3"/>
          <w:sz w:val="21"/>
        </w:rPr>
        <w:t>的非企业合并的交易中产生的资产或负债的初始确认形成的暂时性差异，不确认相应的递延所得税资产和递延所得税负债。于资产负债表日， 递延所得税资产和递延所得税负债按照预期收回该资产或清偿该负债期间的适用税率计量。</w:t>
      </w:r>
      <w:r>
        <w:rPr>
          <w:sz w:val="21"/>
        </w:rPr>
        <w:t> </w:t>
      </w:r>
    </w:p>
    <w:p>
      <w:pPr>
        <w:pStyle w:val="BodyText"/>
        <w:spacing w:before="9"/>
        <w:rPr>
          <w:sz w:val="17"/>
        </w:rPr>
      </w:pPr>
    </w:p>
    <w:p>
      <w:pPr>
        <w:pStyle w:val="Heading4"/>
        <w:numPr>
          <w:ilvl w:val="0"/>
          <w:numId w:val="31"/>
        </w:numPr>
        <w:tabs>
          <w:tab w:pos="1963" w:val="left" w:leader="none"/>
        </w:tabs>
        <w:spacing w:line="240" w:lineRule="auto" w:before="0" w:after="0"/>
        <w:ind w:left="1962" w:right="0" w:hanging="425"/>
        <w:jc w:val="left"/>
      </w:pPr>
      <w:r>
        <w:rPr>
          <w:spacing w:val="-2"/>
        </w:rPr>
        <w:t>其他重要的会计政策和会计估计</w:t>
      </w:r>
    </w:p>
    <w:p>
      <w:pPr>
        <w:pStyle w:val="BodyText"/>
        <w:tabs>
          <w:tab w:pos="2805" w:val="left" w:leader="none"/>
        </w:tabs>
        <w:spacing w:before="17"/>
        <w:ind w:left="1962"/>
      </w:pPr>
      <w:r>
        <w:rPr/>
        <w:t>√适用</w:t>
        <w:tab/>
      </w:r>
      <w:r>
        <w:rPr>
          <w:spacing w:val="-3"/>
        </w:rPr>
        <w:t>□</w:t>
      </w:r>
      <w:r>
        <w:rPr/>
        <w:t>不</w:t>
      </w:r>
      <w:r>
        <w:rPr>
          <w:spacing w:val="-3"/>
        </w:rPr>
        <w:t>适</w:t>
      </w:r>
      <w:r>
        <w:rPr/>
        <w:t>用</w:t>
      </w:r>
    </w:p>
    <w:p>
      <w:pPr>
        <w:pStyle w:val="ListParagraph"/>
        <w:numPr>
          <w:ilvl w:val="0"/>
          <w:numId w:val="51"/>
        </w:numPr>
        <w:tabs>
          <w:tab w:pos="2351" w:val="left" w:leader="none"/>
        </w:tabs>
        <w:spacing w:line="240" w:lineRule="auto" w:before="175" w:after="0"/>
        <w:ind w:left="2350" w:right="0" w:hanging="530"/>
        <w:jc w:val="both"/>
        <w:rPr>
          <w:sz w:val="21"/>
        </w:rPr>
      </w:pPr>
      <w:r>
        <w:rPr>
          <w:spacing w:val="-2"/>
          <w:sz w:val="21"/>
        </w:rPr>
        <w:t>资产证券化业务</w:t>
      </w:r>
    </w:p>
    <w:p>
      <w:pPr>
        <w:pStyle w:val="BodyText"/>
        <w:spacing w:line="364" w:lineRule="auto" w:before="38"/>
        <w:ind w:left="1538" w:right="1273" w:firstLine="424"/>
        <w:jc w:val="both"/>
      </w:pPr>
      <w:r>
        <w:rPr/>
        <w:t>本公司将部分应收款项证券化，将资产信托给特定目的实体，由该实体向投资者发行证券。本公司作为资产服务商，提供资产维护和日常管理、年度资产处置计划制定、制定和实施资产处置方案、签署相关资产处置协议和定期编制资产服务报告等服务。 </w:t>
      </w:r>
    </w:p>
    <w:p>
      <w:pPr>
        <w:pStyle w:val="BodyText"/>
        <w:spacing w:line="427" w:lineRule="auto" w:before="172"/>
        <w:ind w:left="1538" w:right="1277" w:firstLine="419"/>
      </w:pPr>
      <w:r>
        <w:rPr/>
        <w:t>在运用证券化金融资产的会计政策时，本公司已考虑转移至其他实体的资产的风险和报酬转移程度，以及本公司对该实体行使控制权的程度：</w:t>
      </w:r>
    </w:p>
    <w:p>
      <w:pPr>
        <w:pStyle w:val="BodyText"/>
        <w:spacing w:before="3"/>
        <w:ind w:left="1958"/>
      </w:pPr>
      <w:r>
        <w:rPr/>
        <w:t>①当本公司已转移该金融资产所有权上几乎全部风险和报酬时，本公司终止确认该金融资产；</w:t>
      </w:r>
    </w:p>
    <w:p>
      <w:pPr>
        <w:pStyle w:val="BodyText"/>
        <w:spacing w:before="6"/>
        <w:rPr>
          <w:sz w:val="16"/>
        </w:rPr>
      </w:pPr>
    </w:p>
    <w:p>
      <w:pPr>
        <w:pStyle w:val="BodyText"/>
        <w:ind w:left="1958"/>
      </w:pPr>
      <w:r>
        <w:rPr>
          <w:spacing w:val="-3"/>
        </w:rPr>
        <w:t>②当本公司保留该金融资产所有权上几乎全部风险和报酬时，本公司继续确认该金融资产；</w:t>
      </w:r>
    </w:p>
    <w:p>
      <w:pPr>
        <w:pStyle w:val="BodyText"/>
        <w:spacing w:before="6"/>
        <w:rPr>
          <w:sz w:val="16"/>
        </w:rPr>
      </w:pPr>
    </w:p>
    <w:p>
      <w:pPr>
        <w:pStyle w:val="BodyText"/>
        <w:spacing w:line="427" w:lineRule="auto"/>
        <w:ind w:left="1538" w:right="1277" w:firstLine="419"/>
      </w:pPr>
      <w:r>
        <w:rPr>
          <w:spacing w:val="-3"/>
        </w:rPr>
        <w:t>③如本公司并未转移或保留该金融资产所有权上几乎全部风险和报酬，本公司考虑对该金融资产是否存在控制。如果本公司并未保留控制权，本公司终止确认该金融资产，并把在转移中产</w:t>
      </w:r>
    </w:p>
    <w:p>
      <w:pPr>
        <w:spacing w:after="0" w:line="427" w:lineRule="auto"/>
        <w:sectPr>
          <w:pgSz w:w="11910" w:h="16840"/>
          <w:pgMar w:header="876" w:footer="1214" w:top="1440" w:bottom="1400" w:left="260" w:right="0"/>
        </w:sectPr>
      </w:pPr>
    </w:p>
    <w:p>
      <w:pPr>
        <w:pStyle w:val="BodyText"/>
        <w:spacing w:before="3"/>
        <w:rPr>
          <w:sz w:val="13"/>
        </w:rPr>
      </w:pPr>
    </w:p>
    <w:p>
      <w:pPr>
        <w:pStyle w:val="BodyText"/>
        <w:spacing w:line="427" w:lineRule="auto" w:before="72"/>
        <w:ind w:left="1538" w:right="1277"/>
      </w:pPr>
      <w:r>
        <w:rPr/>
        <w:t>生或保留的权利及义务分别确认为资产或负债。如本公司保留控制权，则根据对金融资产的继续涉入程度确认金融资产。</w:t>
      </w:r>
    </w:p>
    <w:p>
      <w:pPr>
        <w:pStyle w:val="ListParagraph"/>
        <w:numPr>
          <w:ilvl w:val="0"/>
          <w:numId w:val="51"/>
        </w:numPr>
        <w:tabs>
          <w:tab w:pos="2351" w:val="left" w:leader="none"/>
        </w:tabs>
        <w:spacing w:line="240" w:lineRule="auto" w:before="2" w:after="0"/>
        <w:ind w:left="2350" w:right="0" w:hanging="530"/>
        <w:jc w:val="left"/>
        <w:rPr>
          <w:sz w:val="21"/>
        </w:rPr>
      </w:pPr>
      <w:r>
        <w:rPr>
          <w:spacing w:val="-1"/>
          <w:sz w:val="21"/>
        </w:rPr>
        <w:t>套期会计</w:t>
      </w:r>
    </w:p>
    <w:p>
      <w:pPr>
        <w:pStyle w:val="BodyText"/>
        <w:spacing w:before="5"/>
        <w:rPr>
          <w:sz w:val="16"/>
        </w:rPr>
      </w:pPr>
    </w:p>
    <w:p>
      <w:pPr>
        <w:pStyle w:val="BodyText"/>
        <w:spacing w:line="427" w:lineRule="auto" w:before="1"/>
        <w:ind w:left="1538" w:right="1277" w:firstLine="419"/>
        <w:jc w:val="both"/>
      </w:pPr>
      <w:r>
        <w:rPr/>
        <w:t>套期，是指企业为管理外汇风险、利率风险、价格风险、信用风险等特定风险引起的风险敞口，指定金融工具为套期工具，以使套期工具的公允价值或现金流量变动，预期抵销被套期项目全部或部分公允价值或现金流量变动的风险管理活动。</w:t>
      </w:r>
    </w:p>
    <w:p>
      <w:pPr>
        <w:pStyle w:val="BodyText"/>
        <w:spacing w:line="427" w:lineRule="auto" w:before="3"/>
        <w:ind w:left="1538" w:right="1277" w:firstLine="419"/>
      </w:pPr>
      <w:r>
        <w:rPr/>
        <w:t>被套期项目，是指使企业面临公允价值或现金流量变动风险，且被指定为被套期对象的、能够可靠计量的项目。</w:t>
      </w:r>
    </w:p>
    <w:p>
      <w:pPr>
        <w:pStyle w:val="BodyText"/>
        <w:spacing w:line="427" w:lineRule="auto" w:before="3"/>
        <w:ind w:left="1538" w:right="1277" w:firstLine="419"/>
      </w:pPr>
      <w:r>
        <w:rPr>
          <w:spacing w:val="-3"/>
        </w:rPr>
        <w:t>套期工具，是指企业为进行套期而指定的、其公允价值或现金流量变动预期可抵销被套期项目的公允价值或现金流量变动的金融工具。</w:t>
      </w:r>
    </w:p>
    <w:p>
      <w:pPr>
        <w:pStyle w:val="BodyText"/>
        <w:spacing w:line="427" w:lineRule="auto" w:before="2"/>
        <w:ind w:left="1538" w:right="1277" w:firstLine="419"/>
        <w:jc w:val="both"/>
      </w:pPr>
      <w:r>
        <w:rPr>
          <w:spacing w:val="-3"/>
        </w:rPr>
        <w:t>本公司在套期开始日及以后期间持续地对套期关系是否符合套期有效性要求进行评估。套期有效性，是指套期工具的公允价值或现金流量变动能够抵销被套期风险引起的被套期项目公允价值或现金流量变动的程度。套期工具的公允价值或现金流量变动大于或小于被套期项目的公允价值或现金流量变动的部分为套期无效部分。</w:t>
      </w:r>
    </w:p>
    <w:p>
      <w:pPr>
        <w:pStyle w:val="ListParagraph"/>
        <w:numPr>
          <w:ilvl w:val="0"/>
          <w:numId w:val="51"/>
        </w:numPr>
        <w:tabs>
          <w:tab w:pos="2351" w:val="left" w:leader="none"/>
        </w:tabs>
        <w:spacing w:line="240" w:lineRule="auto" w:before="4" w:after="0"/>
        <w:ind w:left="2350" w:right="0" w:hanging="530"/>
        <w:jc w:val="both"/>
        <w:rPr>
          <w:sz w:val="21"/>
        </w:rPr>
      </w:pPr>
      <w:r>
        <w:rPr>
          <w:spacing w:val="-3"/>
          <w:sz w:val="21"/>
        </w:rPr>
        <w:t>重要会计估计的说明</w:t>
      </w:r>
    </w:p>
    <w:p>
      <w:pPr>
        <w:pStyle w:val="BodyText"/>
        <w:spacing w:before="8"/>
        <w:rPr>
          <w:sz w:val="17"/>
        </w:rPr>
      </w:pPr>
    </w:p>
    <w:p>
      <w:pPr>
        <w:pStyle w:val="BodyText"/>
        <w:spacing w:line="410" w:lineRule="auto"/>
        <w:ind w:left="1538" w:right="1268" w:firstLine="419"/>
        <w:jc w:val="both"/>
      </w:pPr>
      <w:r>
        <w:rPr/>
        <w:t>本公司在运用会计政策过程中，由于经营活动内在的不确定性，本公司需要对无法准确计量的报表项目的账面价值进行判断、估计和假设。这些判断、估计和假设是基于本管理层过去的历史经验，并在考虑其他相关因素的基础上做出的。这些判断、估计和假设会影响收入、费用、资产和负债的报告金额以及资产负债表日或有负债的披露。然而，这些估计的不确定性所导致的实际结果可能与本管理层当前的估计存在差异，进而造成对未来受影响的资产或负债的账面金额进行重大调整。本公司对前述判断、估计和假设在持续经营的基础上进行定期复核，会计估计的变更仅影响变更当期的，其影响数在变更当期予以确认；既影响变更当期又影响未来期间的，其影响数在变更当期和未来期间予以确认。</w:t>
      </w:r>
    </w:p>
    <w:p>
      <w:pPr>
        <w:pStyle w:val="BodyText"/>
        <w:spacing w:before="1"/>
        <w:ind w:left="1470" w:right="1212"/>
        <w:jc w:val="center"/>
      </w:pPr>
      <w:r>
        <w:rPr/>
        <w:t>资产负债表日，本公司需对财务报表项目金额进行判断、估计和假设的重要领域如下：</w:t>
      </w:r>
    </w:p>
    <w:p>
      <w:pPr>
        <w:pStyle w:val="BodyText"/>
        <w:spacing w:before="10"/>
        <w:rPr>
          <w:sz w:val="14"/>
        </w:rPr>
      </w:pPr>
    </w:p>
    <w:p>
      <w:pPr>
        <w:pStyle w:val="BodyText"/>
        <w:ind w:left="2169"/>
      </w:pPr>
      <w:r>
        <w:rPr/>
        <w:t>①预计负债</w:t>
      </w:r>
    </w:p>
    <w:p>
      <w:pPr>
        <w:pStyle w:val="BodyText"/>
        <w:spacing w:line="427" w:lineRule="auto" w:before="178"/>
        <w:ind w:left="1538" w:right="1277" w:firstLine="419"/>
        <w:jc w:val="both"/>
      </w:pPr>
      <w:r>
        <w:rPr/>
        <w:t>本公司根据合约条款、现有知识及历史经验，对产品质量保证、预计合同亏损等估计并计提相应准备。在该等或有事项已经形成一项现时义务，且履行该等现时义务很可能导致经济利益流出本公司的情况下，本公司对或有事项按履行相关现时义务所需支出的最佳估计数确认为预计负债。预计负债的确认和计量在很大程度上依赖于管理层的判断。在进行判断过程中本公司需评估</w:t>
      </w:r>
    </w:p>
    <w:p>
      <w:pPr>
        <w:spacing w:after="0" w:line="427" w:lineRule="auto"/>
        <w:jc w:val="both"/>
        <w:sectPr>
          <w:headerReference w:type="default" r:id="rId97"/>
          <w:footerReference w:type="default" r:id="rId98"/>
          <w:pgSz w:w="11910" w:h="16840"/>
          <w:pgMar w:header="876" w:footer="1214" w:top="1440" w:bottom="1400" w:left="260" w:right="0"/>
        </w:sectPr>
      </w:pPr>
    </w:p>
    <w:p>
      <w:pPr>
        <w:pStyle w:val="BodyText"/>
        <w:spacing w:before="3"/>
        <w:rPr>
          <w:sz w:val="13"/>
        </w:rPr>
      </w:pPr>
    </w:p>
    <w:p>
      <w:pPr>
        <w:pStyle w:val="BodyText"/>
        <w:spacing w:line="427" w:lineRule="auto" w:before="72"/>
        <w:ind w:left="1538" w:right="1162"/>
      </w:pPr>
      <w:r>
        <w:rPr>
          <w:spacing w:val="-3"/>
        </w:rPr>
        <w:t>该等或有事项相关的风险、不确定性及货币时间价值等因素。其中，本公司会就退换、维修及安</w:t>
      </w:r>
      <w:r>
        <w:rPr>
          <w:spacing w:val="-8"/>
        </w:rPr>
        <w:t>装所售商品向客户提供的售后承诺预计负债。预计负债时已考虑本公司最近年度的维修经验数据， </w:t>
      </w:r>
      <w:r>
        <w:rPr>
          <w:spacing w:val="-5"/>
        </w:rPr>
        <w:t>但历史的维修经验可能无法反映将来的维修情况。这项准备的任何增加或减少，均可能影响未来</w:t>
      </w:r>
      <w:r>
        <w:rPr>
          <w:spacing w:val="-4"/>
        </w:rPr>
        <w:t>年度的损益。</w:t>
      </w:r>
    </w:p>
    <w:p>
      <w:pPr>
        <w:pStyle w:val="BodyText"/>
        <w:spacing w:before="4"/>
        <w:ind w:left="2169"/>
      </w:pPr>
      <w:r>
        <w:rPr/>
        <w:t>②预期信用损失计提</w:t>
      </w:r>
    </w:p>
    <w:p>
      <w:pPr>
        <w:pStyle w:val="BodyText"/>
        <w:spacing w:before="7"/>
        <w:rPr>
          <w:sz w:val="17"/>
        </w:rPr>
      </w:pPr>
    </w:p>
    <w:p>
      <w:pPr>
        <w:pStyle w:val="BodyText"/>
        <w:spacing w:line="410" w:lineRule="auto"/>
        <w:ind w:left="1538" w:right="1267" w:firstLine="419"/>
        <w:jc w:val="both"/>
      </w:pPr>
      <w:r>
        <w:rPr/>
        <w:t>本公司通过违约风险敞口和预期信用损失率计算预期信用损失，并基于违约概率和违约损失率确定预期信用损失率。在确定预期信用损失率时，本公司使用内部历史信用损失经验等数据， 并结合当前状况和前瞻性信息对历史数据进行调整。在考虑前瞻性信息时，本公司使用的指标包括经济下滑的风险、预期失业率的增长、外部市场环境、技术环境和客户情况的变化等。本公司定期监控并复核与预期信用损失计算相关的假设。上述估计技术和关键假设于本年度未发生重大变化。</w:t>
      </w:r>
    </w:p>
    <w:p>
      <w:pPr>
        <w:pStyle w:val="BodyText"/>
        <w:spacing w:line="255" w:lineRule="exact"/>
        <w:ind w:left="2169"/>
      </w:pPr>
      <w:r>
        <w:rPr/>
        <w:t>③存货跌价准备</w:t>
      </w:r>
    </w:p>
    <w:p>
      <w:pPr>
        <w:pStyle w:val="BodyText"/>
        <w:spacing w:before="8"/>
        <w:rPr>
          <w:sz w:val="17"/>
        </w:rPr>
      </w:pPr>
    </w:p>
    <w:p>
      <w:pPr>
        <w:pStyle w:val="BodyText"/>
        <w:spacing w:line="410" w:lineRule="auto"/>
        <w:ind w:left="1538" w:right="1268" w:firstLine="419"/>
        <w:jc w:val="both"/>
      </w:pPr>
      <w:r>
        <w:rPr/>
        <w:t>本公司根据存货会计政策，按照成本与可变现净值孰低计量，对成本高于可变现净值及陈旧和滞销的存货，计提存货跌价准备。存货减值至可变现净值是基于评估存货的可售性及其可变现净值。鉴定存货减值要求管理层在取得确凿证据，并且考虑持有存货的目的、资产负债表日后事项的影响等因素的基础上作出判断和估计。实际的结果与原先估计的差异将在估计被改变的期间影响存货的账面价值及存货跌价准备的计提或转回。</w:t>
      </w:r>
    </w:p>
    <w:p>
      <w:pPr>
        <w:pStyle w:val="BodyText"/>
        <w:spacing w:line="256" w:lineRule="exact"/>
        <w:ind w:left="2169"/>
      </w:pPr>
      <w:r>
        <w:rPr/>
        <w:t>④金融工具公允价值</w:t>
      </w:r>
    </w:p>
    <w:p>
      <w:pPr>
        <w:pStyle w:val="BodyText"/>
        <w:spacing w:before="7"/>
        <w:rPr>
          <w:sz w:val="17"/>
        </w:rPr>
      </w:pPr>
    </w:p>
    <w:p>
      <w:pPr>
        <w:pStyle w:val="BodyText"/>
        <w:spacing w:line="410" w:lineRule="auto"/>
        <w:ind w:left="1538" w:right="1268" w:firstLine="419"/>
        <w:jc w:val="both"/>
      </w:pPr>
      <w:r>
        <w:rPr/>
        <w:t>对不存在活跃交易市场的金融工具，本公司通过各种估值方法确定其公允价值。这些估值方法包括贴现现金流模型分析等。估值时本公司需对未来现金流量、信用风险、市场波动率和相关性等方面进行估计，并选择适当的折现率。这些相关假设具有不确定性，其变化会对金融工具的公允价值产生影响。</w:t>
      </w:r>
    </w:p>
    <w:p>
      <w:pPr>
        <w:pStyle w:val="BodyText"/>
        <w:spacing w:line="253" w:lineRule="exact"/>
        <w:ind w:left="2169"/>
      </w:pPr>
      <w:r>
        <w:rPr/>
        <w:t>⑤其他权益工具投资减值</w:t>
      </w:r>
    </w:p>
    <w:p>
      <w:pPr>
        <w:pStyle w:val="BodyText"/>
        <w:spacing w:before="8"/>
        <w:rPr>
          <w:sz w:val="17"/>
        </w:rPr>
      </w:pPr>
    </w:p>
    <w:p>
      <w:pPr>
        <w:pStyle w:val="BodyText"/>
        <w:spacing w:line="410" w:lineRule="auto" w:before="1"/>
        <w:ind w:left="1538" w:right="1268" w:firstLine="419"/>
        <w:jc w:val="both"/>
      </w:pPr>
      <w:r>
        <w:rPr/>
        <w:t>本公司确定其他权益工具投资是否减值在很大程度上依赖于管理层的判断和假设，以确定是否需要确认其减值。在进行判断和作出假设的过程中，本公司需评估该项投资的公允价值低于成本的程度和持续期间，以及被投资对象的财务状况和短期业务展望，包括行业状况、技术变革、信用评级、违约率和对手方的风险。</w:t>
      </w:r>
    </w:p>
    <w:p>
      <w:pPr>
        <w:pStyle w:val="BodyText"/>
        <w:spacing w:line="255" w:lineRule="exact"/>
        <w:ind w:left="2169"/>
      </w:pPr>
      <w:r>
        <w:rPr/>
        <w:t>⑥长期资产减值准备</w:t>
      </w:r>
    </w:p>
    <w:p>
      <w:pPr>
        <w:pStyle w:val="BodyText"/>
        <w:spacing w:before="7"/>
        <w:rPr>
          <w:sz w:val="17"/>
        </w:rPr>
      </w:pPr>
    </w:p>
    <w:p>
      <w:pPr>
        <w:pStyle w:val="BodyText"/>
        <w:ind w:left="1958"/>
      </w:pPr>
      <w:r>
        <w:rPr/>
        <w:t>本公司于资产负债表日对除金融资产之外的非流动资产判断是否存在可能发生减值的迹象。</w:t>
      </w:r>
    </w:p>
    <w:p>
      <w:pPr>
        <w:spacing w:after="0"/>
        <w:sectPr>
          <w:headerReference w:type="default" r:id="rId99"/>
          <w:footerReference w:type="default" r:id="rId100"/>
          <w:pgSz w:w="11910" w:h="16840"/>
          <w:pgMar w:header="876" w:footer="1199" w:top="1440" w:bottom="1380" w:left="260" w:right="0"/>
          <w:pgNumType w:start="1"/>
        </w:sectPr>
      </w:pPr>
    </w:p>
    <w:p>
      <w:pPr>
        <w:pStyle w:val="BodyText"/>
        <w:spacing w:before="4"/>
        <w:rPr>
          <w:sz w:val="14"/>
        </w:rPr>
      </w:pPr>
    </w:p>
    <w:p>
      <w:pPr>
        <w:pStyle w:val="BodyText"/>
        <w:spacing w:line="410" w:lineRule="auto" w:before="72"/>
        <w:ind w:left="1538" w:right="1268"/>
        <w:jc w:val="both"/>
      </w:pPr>
      <w:r>
        <w:rPr>
          <w:spacing w:val="-3"/>
        </w:rPr>
        <w:t>对使用寿命不确定的无形资产，除每年进行的减值测试外，当其存在减值迹象时，也进行减值测</w:t>
      </w:r>
      <w:r>
        <w:rPr>
          <w:spacing w:val="-16"/>
        </w:rPr>
        <w:t>试。其他除金融资产之外的非流动资产，当存在迹象表明其账面金额不可收回时，进行减值测试。</w:t>
      </w:r>
      <w:r>
        <w:rPr>
          <w:spacing w:val="-8"/>
        </w:rPr>
        <w:t>当资产或资产组的账面价值高于可收回金额，即公允价值减去处置费用后的净额和预计未来现金</w:t>
      </w:r>
      <w:r>
        <w:rPr>
          <w:spacing w:val="-6"/>
        </w:rPr>
        <w:t>流量的现值中的较高者，表明发生了减值。公允价值减去处置费用后的净额，参考公平交易中类</w:t>
      </w:r>
      <w:r>
        <w:rPr>
          <w:spacing w:val="-5"/>
        </w:rPr>
        <w:t>似资产的销售协议价格或可观察到的市场价格，减去可直接归属于该资产处置的增量成本确定。</w:t>
      </w:r>
      <w:r>
        <w:rPr>
          <w:spacing w:val="-4"/>
        </w:rPr>
        <w:t>在预计未来现金流量现值时，需要对该资产</w:t>
      </w:r>
      <w:r>
        <w:rPr>
          <w:spacing w:val="-3"/>
        </w:rPr>
        <w:t>（</w:t>
      </w:r>
      <w:r>
        <w:rPr>
          <w:spacing w:val="-2"/>
        </w:rPr>
        <w:t>或资产组</w:t>
      </w:r>
      <w:r>
        <w:rPr/>
        <w:t>）</w:t>
      </w:r>
      <w:r>
        <w:rPr>
          <w:spacing w:val="-3"/>
        </w:rPr>
        <w:t>的产量、售价、相关经营成本以及计算现值时使用的折现率等作出重大判断。本公司在估计可收回金额时会采用所有能够获得的相关资料，包括根据合理和可支持的假设所作出有关产量、售价和相关经营成本的预测。本公司至少每年测试商誉是否发生减值。这要求对分配了商誉的资产组或者资产组组合的未来现金流量的现值进行预计。对未来现金流量的现值进行预计时，本公司需要预计未来资产组或者资产组组合产生的现金流量，同时选择恰当的折现率确定未来现金流量的现值。</w:t>
      </w:r>
    </w:p>
    <w:p>
      <w:pPr>
        <w:pStyle w:val="BodyText"/>
        <w:spacing w:line="256" w:lineRule="exact"/>
        <w:ind w:left="2169"/>
      </w:pPr>
      <w:r>
        <w:rPr/>
        <w:t>⑦折旧和摊销</w:t>
      </w:r>
    </w:p>
    <w:p>
      <w:pPr>
        <w:pStyle w:val="BodyText"/>
        <w:spacing w:before="7"/>
        <w:rPr>
          <w:sz w:val="17"/>
        </w:rPr>
      </w:pPr>
    </w:p>
    <w:p>
      <w:pPr>
        <w:pStyle w:val="BodyText"/>
        <w:spacing w:line="410" w:lineRule="auto" w:before="1"/>
        <w:ind w:left="1538" w:right="1268" w:firstLine="424"/>
        <w:jc w:val="both"/>
      </w:pPr>
      <w:r>
        <w:rPr/>
        <w:t>本公司对投资性房地产、固定资产和无形资产在考虑其残值后，在使用寿命内按直线法计提折旧和摊销。本公司定期复核使用寿命，以决定将计入每个报告期的折旧和摊销费用数额。使用寿命是本公司根据对同类资产的以往经验并结合预期的技术更新而确定的。如果以前的估计发生重大变化，则会在未来期间对折旧和摊销费用进行调整。</w:t>
      </w:r>
    </w:p>
    <w:p>
      <w:pPr>
        <w:pStyle w:val="BodyText"/>
        <w:spacing w:line="253" w:lineRule="exact"/>
        <w:ind w:left="2169"/>
      </w:pPr>
      <w:r>
        <w:rPr/>
        <w:t>⑧递延所得税资产</w:t>
      </w:r>
    </w:p>
    <w:p>
      <w:pPr>
        <w:pStyle w:val="BodyText"/>
        <w:spacing w:before="7"/>
        <w:rPr>
          <w:sz w:val="17"/>
        </w:rPr>
      </w:pPr>
    </w:p>
    <w:p>
      <w:pPr>
        <w:pStyle w:val="BodyText"/>
        <w:spacing w:line="410" w:lineRule="auto"/>
        <w:ind w:left="1538" w:right="1268" w:firstLine="419"/>
        <w:jc w:val="both"/>
      </w:pPr>
      <w:r>
        <w:rPr/>
        <w:t>在很可能有足够的应纳税利润来抵扣亏损的限度内，本公司就所有未利用的税务亏损确认递延所得税资产。这需要本公司管理层运用大量的判断来估计未来应纳税利润发生的时间和金额， 结合纳税筹划策略，以决定应确认的递延所得税资产的金额。</w:t>
      </w:r>
    </w:p>
    <w:p>
      <w:pPr>
        <w:pStyle w:val="BodyText"/>
        <w:spacing w:line="254" w:lineRule="exact"/>
        <w:ind w:left="2169"/>
      </w:pPr>
      <w:r>
        <w:rPr/>
        <w:t>⑨所得税</w:t>
      </w:r>
    </w:p>
    <w:p>
      <w:pPr>
        <w:pStyle w:val="BodyText"/>
        <w:spacing w:before="8"/>
        <w:rPr>
          <w:sz w:val="17"/>
        </w:rPr>
      </w:pPr>
    </w:p>
    <w:p>
      <w:pPr>
        <w:pStyle w:val="BodyText"/>
        <w:spacing w:line="410" w:lineRule="auto"/>
        <w:ind w:left="1538" w:right="1268" w:firstLine="424"/>
        <w:jc w:val="both"/>
      </w:pPr>
      <w:r>
        <w:rPr/>
        <w:t>本公司在正常的经营活动中，有部分交易其最终的税务处理和计算存在一定的不确定性。部分项目是否能够在税前列支需要税收主管机关的审批。如果这些税务事项的最终认定结果同最初估计的金额存在差异，则该差异将对其最终认定期间的当期所得税和递延所得税产生影响。</w:t>
      </w:r>
    </w:p>
    <w:p>
      <w:pPr>
        <w:pStyle w:val="BodyText"/>
        <w:ind w:left="2169"/>
      </w:pPr>
      <w:r>
        <w:rPr/>
        <w:t>⑩销售返利的计提</w:t>
      </w:r>
    </w:p>
    <w:p>
      <w:pPr>
        <w:pStyle w:val="BodyText"/>
        <w:spacing w:before="12"/>
        <w:rPr>
          <w:sz w:val="14"/>
        </w:rPr>
      </w:pPr>
    </w:p>
    <w:p>
      <w:pPr>
        <w:pStyle w:val="BodyText"/>
        <w:spacing w:line="410" w:lineRule="auto"/>
        <w:ind w:left="1749" w:right="1267" w:firstLine="420"/>
        <w:jc w:val="both"/>
      </w:pPr>
      <w:r>
        <w:rPr/>
        <w:t>本公司及子公司对销售客户适用销售返利政策。本公司及子公司根据销售协议相关约定、对特定交易的审查、市场情况、渠道存货水平和历史经验等，参考销售客户对约定考核指标的完成情况，定期估计和预提销售返利。销售返利的计提涉及管理层的判断及估计。如果以前的估计发生重大变化，则上述差额会对在有关估计改变期间的销售返利产生影响。</w:t>
      </w:r>
    </w:p>
    <w:p>
      <w:pPr>
        <w:spacing w:after="0" w:line="410" w:lineRule="auto"/>
        <w:jc w:val="both"/>
        <w:sectPr>
          <w:pgSz w:w="11910" w:h="16840"/>
          <w:pgMar w:header="876" w:footer="1199" w:top="1440" w:bottom="1400" w:left="260" w:right="0"/>
        </w:sectPr>
      </w:pPr>
    </w:p>
    <w:p>
      <w:pPr>
        <w:pStyle w:val="Heading4"/>
        <w:numPr>
          <w:ilvl w:val="0"/>
          <w:numId w:val="31"/>
        </w:numPr>
        <w:tabs>
          <w:tab w:pos="1963" w:val="left" w:leader="none"/>
        </w:tabs>
        <w:spacing w:line="359" w:lineRule="exact" w:before="0" w:after="0"/>
        <w:ind w:left="1962" w:right="0" w:hanging="425"/>
        <w:jc w:val="left"/>
      </w:pPr>
      <w:r>
        <w:rPr>
          <w:spacing w:val="-2"/>
        </w:rPr>
        <w:t>重要会计政策和会计估计的变更</w:t>
      </w:r>
    </w:p>
    <w:p>
      <w:pPr>
        <w:pStyle w:val="Heading4"/>
        <w:numPr>
          <w:ilvl w:val="0"/>
          <w:numId w:val="52"/>
        </w:numPr>
        <w:tabs>
          <w:tab w:pos="1966" w:val="left" w:leader="none"/>
        </w:tabs>
        <w:spacing w:line="360" w:lineRule="exact" w:before="0" w:after="0"/>
        <w:ind w:left="1965" w:right="0" w:hanging="428"/>
        <w:jc w:val="left"/>
      </w:pPr>
      <w:r>
        <w:rPr/>
        <w:t>重要会计政策变更</w:t>
      </w:r>
    </w:p>
    <w:p>
      <w:pPr>
        <w:pStyle w:val="BodyText"/>
        <w:spacing w:before="14"/>
        <w:ind w:left="1962"/>
      </w:pPr>
      <w:r>
        <w:rPr/>
        <w:t>□适用 √不适用</w:t>
      </w:r>
    </w:p>
    <w:p>
      <w:pPr>
        <w:pStyle w:val="BodyText"/>
        <w:spacing w:before="4"/>
        <w:rPr>
          <w:sz w:val="18"/>
        </w:rPr>
      </w:pPr>
    </w:p>
    <w:p>
      <w:pPr>
        <w:pStyle w:val="Heading4"/>
        <w:numPr>
          <w:ilvl w:val="0"/>
          <w:numId w:val="52"/>
        </w:numPr>
        <w:tabs>
          <w:tab w:pos="1966" w:val="left" w:leader="none"/>
        </w:tabs>
        <w:spacing w:line="240" w:lineRule="auto" w:before="1" w:after="0"/>
        <w:ind w:left="1965" w:right="0" w:hanging="428"/>
        <w:jc w:val="left"/>
      </w:pPr>
      <w:r>
        <w:rPr/>
        <w:t>重要会计估计变更</w:t>
      </w:r>
    </w:p>
    <w:p>
      <w:pPr>
        <w:pStyle w:val="BodyText"/>
        <w:spacing w:before="153"/>
        <w:ind w:left="1962"/>
      </w:pPr>
      <w:r>
        <w:rPr/>
        <w:t>□适用 √不适用</w:t>
      </w:r>
    </w:p>
    <w:p>
      <w:pPr>
        <w:pStyle w:val="Heading4"/>
        <w:numPr>
          <w:ilvl w:val="0"/>
          <w:numId w:val="52"/>
        </w:numPr>
        <w:tabs>
          <w:tab w:pos="1966" w:val="left" w:leader="none"/>
        </w:tabs>
        <w:spacing w:line="240" w:lineRule="auto" w:before="130" w:after="0"/>
        <w:ind w:left="1965" w:right="0" w:hanging="428"/>
        <w:jc w:val="left"/>
      </w:pPr>
      <w:r>
        <w:rPr>
          <w:rFonts w:ascii="Times New Roman" w:eastAsia="Times New Roman"/>
        </w:rPr>
        <w:t>2020</w:t>
      </w:r>
      <w:r>
        <w:rPr>
          <w:rFonts w:ascii="Times New Roman" w:eastAsia="Times New Roman"/>
          <w:spacing w:val="-2"/>
        </w:rPr>
        <w:t> </w:t>
      </w:r>
      <w:r>
        <w:rPr>
          <w:spacing w:val="-3"/>
        </w:rPr>
        <w:t>年起首次执行新收入准则、新租赁准则调整首次执行当年年初财务报表相关情况</w:t>
      </w:r>
    </w:p>
    <w:p>
      <w:pPr>
        <w:pStyle w:val="BodyText"/>
        <w:spacing w:before="151"/>
        <w:ind w:left="1962"/>
      </w:pPr>
      <w:r>
        <w:rPr/>
        <w:t>□适用 √不适用</w:t>
      </w:r>
    </w:p>
    <w:p>
      <w:pPr>
        <w:pStyle w:val="Heading4"/>
        <w:numPr>
          <w:ilvl w:val="0"/>
          <w:numId w:val="52"/>
        </w:numPr>
        <w:tabs>
          <w:tab w:pos="1966" w:val="left" w:leader="none"/>
        </w:tabs>
        <w:spacing w:line="240" w:lineRule="auto" w:before="130" w:after="0"/>
        <w:ind w:left="1965" w:right="0" w:hanging="428"/>
        <w:jc w:val="left"/>
      </w:pPr>
      <w:r>
        <w:rPr>
          <w:rFonts w:ascii="Times New Roman" w:eastAsia="Times New Roman"/>
        </w:rPr>
        <w:t>2020</w:t>
      </w:r>
      <w:r>
        <w:rPr>
          <w:rFonts w:ascii="Times New Roman" w:eastAsia="Times New Roman"/>
          <w:spacing w:val="-3"/>
        </w:rPr>
        <w:t> </w:t>
      </w:r>
      <w:r>
        <w:rPr>
          <w:spacing w:val="-3"/>
        </w:rPr>
        <w:t>年起首次执行新收入准则、新租赁准则追溯调整前期比较数据的说明</w:t>
      </w:r>
    </w:p>
    <w:p>
      <w:pPr>
        <w:pStyle w:val="BodyText"/>
        <w:spacing w:before="153"/>
        <w:ind w:left="1962"/>
      </w:pPr>
      <w:r>
        <w:rPr/>
        <w:t>□适用 √不适用</w:t>
      </w:r>
    </w:p>
    <w:p>
      <w:pPr>
        <w:pStyle w:val="BodyText"/>
        <w:spacing w:before="11"/>
        <w:rPr>
          <w:sz w:val="28"/>
        </w:rPr>
      </w:pPr>
    </w:p>
    <w:p>
      <w:pPr>
        <w:pStyle w:val="Heading4"/>
        <w:numPr>
          <w:ilvl w:val="0"/>
          <w:numId w:val="31"/>
        </w:numPr>
        <w:tabs>
          <w:tab w:pos="1963" w:val="left" w:leader="none"/>
        </w:tabs>
        <w:spacing w:line="240" w:lineRule="auto" w:before="1" w:after="0"/>
        <w:ind w:left="1962" w:right="0" w:hanging="425"/>
        <w:jc w:val="left"/>
      </w:pPr>
      <w:r>
        <w:rPr/>
        <w:t>其他</w:t>
      </w:r>
    </w:p>
    <w:p>
      <w:pPr>
        <w:pStyle w:val="BodyText"/>
        <w:tabs>
          <w:tab w:pos="2380" w:val="left" w:leader="none"/>
        </w:tabs>
        <w:spacing w:before="16"/>
        <w:ind w:left="1538"/>
      </w:pPr>
      <w:r>
        <w:rPr/>
        <w:t>□适用</w:t>
        <w:tab/>
      </w:r>
      <w:r>
        <w:rPr>
          <w:spacing w:val="-3"/>
        </w:rPr>
        <w:t>√</w:t>
      </w:r>
      <w:r>
        <w:rPr/>
        <w:t>不</w:t>
      </w:r>
      <w:r>
        <w:rPr>
          <w:spacing w:val="-3"/>
        </w:rPr>
        <w:t>适</w:t>
      </w:r>
      <w:r>
        <w:rPr/>
        <w:t>用</w:t>
      </w:r>
    </w:p>
    <w:p>
      <w:pPr>
        <w:pStyle w:val="BodyText"/>
        <w:spacing w:before="5"/>
        <w:rPr>
          <w:sz w:val="18"/>
        </w:rPr>
      </w:pPr>
    </w:p>
    <w:p>
      <w:pPr>
        <w:pStyle w:val="Heading4"/>
        <w:spacing w:line="359" w:lineRule="exact"/>
      </w:pPr>
      <w:r>
        <w:rPr/>
        <w:t>六、 税项</w:t>
      </w:r>
    </w:p>
    <w:p>
      <w:pPr>
        <w:pStyle w:val="Heading4"/>
        <w:numPr>
          <w:ilvl w:val="0"/>
          <w:numId w:val="53"/>
        </w:numPr>
        <w:tabs>
          <w:tab w:pos="1962" w:val="left" w:leader="none"/>
          <w:tab w:pos="1963" w:val="left" w:leader="none"/>
        </w:tabs>
        <w:spacing w:line="359" w:lineRule="exact" w:before="0" w:after="0"/>
        <w:ind w:left="1962" w:right="0" w:hanging="425"/>
        <w:jc w:val="left"/>
      </w:pPr>
      <w:r>
        <w:rPr/>
        <w:t>主要税种及税率</w:t>
      </w:r>
    </w:p>
    <w:p>
      <w:pPr>
        <w:pStyle w:val="BodyText"/>
        <w:spacing w:before="17"/>
        <w:ind w:left="1538"/>
      </w:pPr>
      <w:r>
        <w:rPr/>
        <w:t>主要税种及税率情况</w:t>
      </w:r>
    </w:p>
    <w:p>
      <w:pPr>
        <w:pStyle w:val="BodyText"/>
        <w:spacing w:before="2" w:after="4"/>
        <w:ind w:left="1538"/>
      </w:pPr>
      <w:r>
        <w:rPr/>
        <w:t>√适用 □不适用</w:t>
      </w: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235"/>
        <w:gridCol w:w="3694"/>
        <w:gridCol w:w="3121"/>
      </w:tblGrid>
      <w:tr>
        <w:trPr>
          <w:trHeight w:val="272" w:hRule="atLeast"/>
        </w:trPr>
        <w:tc>
          <w:tcPr>
            <w:tcW w:w="2235" w:type="dxa"/>
            <w:tcBorders>
              <w:bottom w:val="single" w:sz="4" w:space="0" w:color="000000"/>
              <w:right w:val="single" w:sz="4" w:space="0" w:color="000000"/>
            </w:tcBorders>
          </w:tcPr>
          <w:p>
            <w:pPr>
              <w:pStyle w:val="TableParagraph"/>
              <w:spacing w:line="253" w:lineRule="exact"/>
              <w:ind w:left="885" w:right="870"/>
              <w:jc w:val="center"/>
              <w:rPr>
                <w:rFonts w:ascii="Microsoft JhengHei" w:eastAsia="Microsoft JhengHei" w:hint="eastAsia"/>
                <w:b/>
                <w:sz w:val="21"/>
              </w:rPr>
            </w:pPr>
            <w:r>
              <w:rPr>
                <w:rFonts w:ascii="Microsoft JhengHei" w:eastAsia="Microsoft JhengHei" w:hint="eastAsia"/>
                <w:b/>
                <w:sz w:val="21"/>
              </w:rPr>
              <w:t>税种</w:t>
            </w:r>
          </w:p>
        </w:tc>
        <w:tc>
          <w:tcPr>
            <w:tcW w:w="3694" w:type="dxa"/>
            <w:tcBorders>
              <w:left w:val="single" w:sz="4" w:space="0" w:color="000000"/>
              <w:bottom w:val="single" w:sz="4" w:space="0" w:color="000000"/>
              <w:right w:val="single" w:sz="4" w:space="0" w:color="000000"/>
            </w:tcBorders>
          </w:tcPr>
          <w:p>
            <w:pPr>
              <w:pStyle w:val="TableParagraph"/>
              <w:spacing w:line="253" w:lineRule="exact"/>
              <w:ind w:left="1414" w:right="1389"/>
              <w:jc w:val="center"/>
              <w:rPr>
                <w:rFonts w:ascii="Microsoft JhengHei" w:eastAsia="Microsoft JhengHei" w:hint="eastAsia"/>
                <w:b/>
                <w:sz w:val="21"/>
              </w:rPr>
            </w:pPr>
            <w:r>
              <w:rPr>
                <w:rFonts w:ascii="Microsoft JhengHei" w:eastAsia="Microsoft JhengHei" w:hint="eastAsia"/>
                <w:b/>
                <w:sz w:val="21"/>
              </w:rPr>
              <w:t>计税依据</w:t>
            </w:r>
          </w:p>
        </w:tc>
        <w:tc>
          <w:tcPr>
            <w:tcW w:w="3121" w:type="dxa"/>
            <w:tcBorders>
              <w:left w:val="single" w:sz="4" w:space="0" w:color="000000"/>
              <w:bottom w:val="single" w:sz="4" w:space="0" w:color="000000"/>
            </w:tcBorders>
          </w:tcPr>
          <w:p>
            <w:pPr>
              <w:pStyle w:val="TableParagraph"/>
              <w:spacing w:line="253" w:lineRule="exact"/>
              <w:ind w:left="1337" w:right="1303"/>
              <w:jc w:val="center"/>
              <w:rPr>
                <w:rFonts w:ascii="Microsoft JhengHei" w:eastAsia="Microsoft JhengHei" w:hint="eastAsia"/>
                <w:b/>
                <w:sz w:val="21"/>
              </w:rPr>
            </w:pPr>
            <w:r>
              <w:rPr>
                <w:rFonts w:ascii="Microsoft JhengHei" w:eastAsia="Microsoft JhengHei" w:hint="eastAsia"/>
                <w:b/>
                <w:sz w:val="21"/>
              </w:rPr>
              <w:t>税率</w:t>
            </w:r>
          </w:p>
        </w:tc>
      </w:tr>
      <w:tr>
        <w:trPr>
          <w:trHeight w:val="270" w:hRule="atLeast"/>
        </w:trPr>
        <w:tc>
          <w:tcPr>
            <w:tcW w:w="2235"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增值税</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left="117"/>
              <w:rPr>
                <w:rFonts w:ascii="宋体" w:eastAsia="宋体" w:hint="eastAsia"/>
                <w:sz w:val="21"/>
              </w:rPr>
            </w:pPr>
            <w:r>
              <w:rPr>
                <w:rFonts w:ascii="宋体" w:eastAsia="宋体" w:hint="eastAsia"/>
                <w:sz w:val="21"/>
              </w:rPr>
              <w:t>应税产品销售收入和应税劳务收入</w:t>
            </w:r>
          </w:p>
        </w:tc>
        <w:tc>
          <w:tcPr>
            <w:tcW w:w="3121" w:type="dxa"/>
            <w:tcBorders>
              <w:top w:val="single" w:sz="4" w:space="0" w:color="000000"/>
              <w:left w:val="single" w:sz="4" w:space="0" w:color="000000"/>
              <w:bottom w:val="single" w:sz="4" w:space="0" w:color="000000"/>
            </w:tcBorders>
          </w:tcPr>
          <w:p>
            <w:pPr>
              <w:pStyle w:val="TableParagraph"/>
              <w:spacing w:line="250" w:lineRule="exact" w:before="1"/>
              <w:ind w:left="114"/>
              <w:rPr>
                <w:sz w:val="21"/>
              </w:rPr>
            </w:pPr>
            <w:r>
              <w:rPr>
                <w:sz w:val="21"/>
              </w:rPr>
              <w:t>6%</w:t>
            </w:r>
            <w:r>
              <w:rPr>
                <w:rFonts w:ascii="宋体" w:eastAsia="宋体" w:hint="eastAsia"/>
                <w:sz w:val="21"/>
              </w:rPr>
              <w:t>、</w:t>
            </w:r>
            <w:r>
              <w:rPr>
                <w:sz w:val="21"/>
              </w:rPr>
              <w:t>9%</w:t>
            </w:r>
            <w:r>
              <w:rPr>
                <w:rFonts w:ascii="宋体" w:eastAsia="宋体" w:hint="eastAsia"/>
                <w:sz w:val="21"/>
              </w:rPr>
              <w:t>、</w:t>
            </w:r>
            <w:r>
              <w:rPr>
                <w:sz w:val="21"/>
              </w:rPr>
              <w:t>13%</w:t>
            </w:r>
          </w:p>
        </w:tc>
      </w:tr>
      <w:tr>
        <w:trPr>
          <w:trHeight w:val="273" w:hRule="atLeast"/>
        </w:trPr>
        <w:tc>
          <w:tcPr>
            <w:tcW w:w="2235" w:type="dxa"/>
            <w:tcBorders>
              <w:top w:val="single" w:sz="4" w:space="0" w:color="000000"/>
              <w:bottom w:val="single" w:sz="4" w:space="0" w:color="000000"/>
              <w:right w:val="single" w:sz="4" w:space="0" w:color="000000"/>
            </w:tcBorders>
          </w:tcPr>
          <w:p>
            <w:pPr>
              <w:pStyle w:val="TableParagraph"/>
              <w:spacing w:line="250" w:lineRule="exact" w:before="3"/>
              <w:ind w:left="107"/>
              <w:rPr>
                <w:rFonts w:ascii="宋体" w:eastAsia="宋体" w:hint="eastAsia"/>
                <w:sz w:val="21"/>
              </w:rPr>
            </w:pPr>
            <w:r>
              <w:rPr>
                <w:rFonts w:ascii="宋体" w:eastAsia="宋体" w:hint="eastAsia"/>
                <w:sz w:val="21"/>
              </w:rPr>
              <w:t>城市维护建设税</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left="117"/>
              <w:rPr>
                <w:rFonts w:ascii="宋体" w:eastAsia="宋体" w:hint="eastAsia"/>
                <w:sz w:val="21"/>
              </w:rPr>
            </w:pPr>
            <w:r>
              <w:rPr>
                <w:rFonts w:ascii="宋体" w:eastAsia="宋体" w:hint="eastAsia"/>
                <w:sz w:val="21"/>
              </w:rPr>
              <w:t>应纳流转税税额</w:t>
            </w:r>
          </w:p>
        </w:tc>
        <w:tc>
          <w:tcPr>
            <w:tcW w:w="3121" w:type="dxa"/>
            <w:tcBorders>
              <w:top w:val="single" w:sz="4" w:space="0" w:color="000000"/>
              <w:left w:val="single" w:sz="4" w:space="0" w:color="000000"/>
              <w:bottom w:val="single" w:sz="4" w:space="0" w:color="000000"/>
            </w:tcBorders>
          </w:tcPr>
          <w:p>
            <w:pPr>
              <w:pStyle w:val="TableParagraph"/>
              <w:spacing w:line="237" w:lineRule="exact"/>
              <w:ind w:left="114"/>
              <w:rPr>
                <w:sz w:val="21"/>
              </w:rPr>
            </w:pPr>
            <w:r>
              <w:rPr>
                <w:sz w:val="21"/>
              </w:rPr>
              <w:t>7%</w:t>
            </w:r>
          </w:p>
        </w:tc>
      </w:tr>
      <w:tr>
        <w:trPr>
          <w:trHeight w:val="273" w:hRule="atLeast"/>
        </w:trPr>
        <w:tc>
          <w:tcPr>
            <w:tcW w:w="2235"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企业所得税</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7"/>
              <w:rPr>
                <w:rFonts w:ascii="宋体" w:eastAsia="宋体" w:hint="eastAsia"/>
                <w:sz w:val="21"/>
              </w:rPr>
            </w:pPr>
            <w:r>
              <w:rPr>
                <w:rFonts w:ascii="宋体" w:eastAsia="宋体" w:hint="eastAsia"/>
                <w:sz w:val="21"/>
              </w:rPr>
              <w:t>应纳税所得额</w:t>
            </w:r>
          </w:p>
        </w:tc>
        <w:tc>
          <w:tcPr>
            <w:tcW w:w="3121" w:type="dxa"/>
            <w:tcBorders>
              <w:top w:val="single" w:sz="4" w:space="0" w:color="000000"/>
              <w:left w:val="single" w:sz="4" w:space="0" w:color="000000"/>
              <w:bottom w:val="single" w:sz="4" w:space="0" w:color="000000"/>
            </w:tcBorders>
          </w:tcPr>
          <w:p>
            <w:pPr>
              <w:pStyle w:val="TableParagraph"/>
              <w:spacing w:line="252" w:lineRule="exact" w:before="1"/>
              <w:ind w:left="114"/>
              <w:rPr>
                <w:rFonts w:ascii="宋体" w:eastAsia="宋体" w:hint="eastAsia"/>
                <w:sz w:val="21"/>
              </w:rPr>
            </w:pPr>
            <w:r>
              <w:rPr>
                <w:rFonts w:ascii="宋体" w:eastAsia="宋体" w:hint="eastAsia"/>
                <w:sz w:val="21"/>
              </w:rPr>
              <w:t>法定税率或如下优惠税率</w:t>
            </w:r>
          </w:p>
        </w:tc>
      </w:tr>
      <w:tr>
        <w:trPr>
          <w:trHeight w:val="270" w:hRule="atLeast"/>
        </w:trPr>
        <w:tc>
          <w:tcPr>
            <w:tcW w:w="2235" w:type="dxa"/>
            <w:tcBorders>
              <w:top w:val="single" w:sz="4" w:space="0" w:color="000000"/>
              <w:right w:val="single" w:sz="4" w:space="0" w:color="000000"/>
            </w:tcBorders>
          </w:tcPr>
          <w:p>
            <w:pPr>
              <w:pStyle w:val="TableParagraph"/>
              <w:spacing w:line="249" w:lineRule="exact" w:before="1"/>
              <w:ind w:left="107"/>
              <w:rPr>
                <w:rFonts w:ascii="宋体" w:eastAsia="宋体" w:hint="eastAsia"/>
                <w:sz w:val="21"/>
              </w:rPr>
            </w:pPr>
            <w:r>
              <w:rPr>
                <w:rFonts w:ascii="宋体" w:eastAsia="宋体" w:hint="eastAsia"/>
                <w:sz w:val="21"/>
              </w:rPr>
              <w:t>（地方）教育费附加</w:t>
            </w:r>
          </w:p>
        </w:tc>
        <w:tc>
          <w:tcPr>
            <w:tcW w:w="3694" w:type="dxa"/>
            <w:tcBorders>
              <w:top w:val="single" w:sz="4" w:space="0" w:color="000000"/>
              <w:left w:val="single" w:sz="4" w:space="0" w:color="000000"/>
              <w:right w:val="single" w:sz="4" w:space="0" w:color="000000"/>
            </w:tcBorders>
          </w:tcPr>
          <w:p>
            <w:pPr>
              <w:pStyle w:val="TableParagraph"/>
              <w:spacing w:line="249" w:lineRule="exact" w:before="1"/>
              <w:ind w:left="117"/>
              <w:rPr>
                <w:rFonts w:ascii="宋体" w:eastAsia="宋体" w:hint="eastAsia"/>
                <w:sz w:val="21"/>
              </w:rPr>
            </w:pPr>
            <w:r>
              <w:rPr>
                <w:rFonts w:ascii="宋体" w:eastAsia="宋体" w:hint="eastAsia"/>
                <w:sz w:val="21"/>
              </w:rPr>
              <w:t>应纳流转税税额</w:t>
            </w:r>
          </w:p>
        </w:tc>
        <w:tc>
          <w:tcPr>
            <w:tcW w:w="3121" w:type="dxa"/>
            <w:tcBorders>
              <w:top w:val="single" w:sz="4" w:space="0" w:color="000000"/>
              <w:left w:val="single" w:sz="4" w:space="0" w:color="000000"/>
            </w:tcBorders>
          </w:tcPr>
          <w:p>
            <w:pPr>
              <w:pStyle w:val="TableParagraph"/>
              <w:spacing w:line="249" w:lineRule="exact" w:before="1"/>
              <w:ind w:left="114"/>
              <w:rPr>
                <w:sz w:val="21"/>
              </w:rPr>
            </w:pPr>
            <w:r>
              <w:rPr>
                <w:sz w:val="21"/>
              </w:rPr>
              <w:t>1%</w:t>
            </w:r>
            <w:r>
              <w:rPr>
                <w:rFonts w:ascii="宋体" w:eastAsia="宋体" w:hint="eastAsia"/>
                <w:sz w:val="21"/>
              </w:rPr>
              <w:t>、</w:t>
            </w:r>
            <w:r>
              <w:rPr>
                <w:sz w:val="21"/>
              </w:rPr>
              <w:t>2%</w:t>
            </w:r>
            <w:r>
              <w:rPr>
                <w:rFonts w:ascii="宋体" w:eastAsia="宋体" w:hint="eastAsia"/>
                <w:sz w:val="21"/>
              </w:rPr>
              <w:t>、</w:t>
            </w:r>
            <w:r>
              <w:rPr>
                <w:sz w:val="21"/>
              </w:rPr>
              <w:t>3%</w:t>
            </w:r>
          </w:p>
        </w:tc>
      </w:tr>
    </w:tbl>
    <w:p>
      <w:pPr>
        <w:pStyle w:val="BodyText"/>
        <w:spacing w:before="3"/>
        <w:ind w:left="1538"/>
      </w:pPr>
      <w:r>
        <w:rPr>
          <w:w w:val="100"/>
        </w:rPr>
        <w:t> </w:t>
      </w:r>
    </w:p>
    <w:p>
      <w:pPr>
        <w:pStyle w:val="BodyText"/>
        <w:spacing w:before="2"/>
        <w:ind w:left="1538"/>
      </w:pPr>
      <w:r>
        <w:rPr/>
        <w:t>存在不同企业所得税税率纳税主体的，披露情况说明</w:t>
      </w:r>
    </w:p>
    <w:p>
      <w:pPr>
        <w:pStyle w:val="BodyText"/>
        <w:spacing w:before="5"/>
        <w:ind w:left="1962"/>
      </w:pPr>
      <w:r>
        <w:rPr/>
        <w:t>□适用 √不适用</w:t>
      </w:r>
    </w:p>
    <w:p>
      <w:pPr>
        <w:pStyle w:val="BodyText"/>
        <w:spacing w:before="4"/>
        <w:rPr>
          <w:sz w:val="18"/>
        </w:rPr>
      </w:pPr>
    </w:p>
    <w:p>
      <w:pPr>
        <w:pStyle w:val="Heading4"/>
        <w:numPr>
          <w:ilvl w:val="0"/>
          <w:numId w:val="53"/>
        </w:numPr>
        <w:tabs>
          <w:tab w:pos="1962" w:val="left" w:leader="none"/>
          <w:tab w:pos="1963" w:val="left" w:leader="none"/>
        </w:tabs>
        <w:spacing w:line="240" w:lineRule="auto" w:before="1" w:after="0"/>
        <w:ind w:left="1962" w:right="0" w:hanging="425"/>
        <w:jc w:val="left"/>
      </w:pPr>
      <w:r>
        <w:rPr/>
        <w:t>税收优惠</w:t>
      </w:r>
    </w:p>
    <w:p>
      <w:pPr>
        <w:pStyle w:val="BodyText"/>
        <w:tabs>
          <w:tab w:pos="2380" w:val="left" w:leader="none"/>
        </w:tabs>
        <w:spacing w:before="14"/>
        <w:ind w:left="1538"/>
      </w:pPr>
      <w:r>
        <w:rPr/>
        <w:t>√适用</w:t>
        <w:tab/>
      </w:r>
      <w:r>
        <w:rPr>
          <w:spacing w:val="-3"/>
        </w:rPr>
        <w:t>□</w:t>
      </w:r>
      <w:r>
        <w:rPr/>
        <w:t>不</w:t>
      </w:r>
      <w:r>
        <w:rPr>
          <w:spacing w:val="-3"/>
        </w:rPr>
        <w:t>适</w:t>
      </w:r>
      <w:r>
        <w:rPr/>
        <w:t>用</w:t>
      </w:r>
    </w:p>
    <w:p>
      <w:pPr>
        <w:pStyle w:val="BodyText"/>
        <w:spacing w:before="177"/>
        <w:ind w:left="1895"/>
      </w:pPr>
      <w:r>
        <w:rPr/>
        <w:t>享受税收优惠的公司及优惠税率：</w:t>
      </w:r>
    </w:p>
    <w:p>
      <w:pPr>
        <w:pStyle w:val="BodyText"/>
        <w:spacing w:before="3"/>
        <w:rPr>
          <w:sz w:val="12"/>
        </w:rPr>
      </w:pPr>
    </w:p>
    <w:tbl>
      <w:tblPr>
        <w:tblW w:w="0" w:type="auto"/>
        <w:jc w:val="left"/>
        <w:tblInd w:w="156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246"/>
        <w:gridCol w:w="1133"/>
        <w:gridCol w:w="3435"/>
      </w:tblGrid>
      <w:tr>
        <w:trPr>
          <w:trHeight w:val="368" w:hRule="atLeast"/>
        </w:trPr>
        <w:tc>
          <w:tcPr>
            <w:tcW w:w="4246" w:type="dxa"/>
            <w:tcBorders>
              <w:bottom w:val="single" w:sz="4" w:space="0" w:color="000000"/>
              <w:right w:val="single" w:sz="4" w:space="0" w:color="000000"/>
            </w:tcBorders>
            <w:shd w:val="clear" w:color="auto" w:fill="EDEBE0"/>
          </w:tcPr>
          <w:p>
            <w:pPr>
              <w:pStyle w:val="TableParagraph"/>
              <w:spacing w:before="9"/>
              <w:ind w:left="1742" w:right="1724"/>
              <w:jc w:val="center"/>
              <w:rPr>
                <w:rFonts w:ascii="Microsoft JhengHei" w:eastAsia="Microsoft JhengHei" w:hint="eastAsia"/>
                <w:b/>
                <w:sz w:val="18"/>
              </w:rPr>
            </w:pPr>
            <w:r>
              <w:rPr>
                <w:rFonts w:ascii="Microsoft JhengHei" w:eastAsia="Microsoft JhengHei" w:hint="eastAsia"/>
                <w:b/>
                <w:sz w:val="18"/>
              </w:rPr>
              <w:t>公司名称</w:t>
            </w:r>
          </w:p>
        </w:tc>
        <w:tc>
          <w:tcPr>
            <w:tcW w:w="1133" w:type="dxa"/>
            <w:tcBorders>
              <w:left w:val="single" w:sz="4" w:space="0" w:color="000000"/>
              <w:bottom w:val="single" w:sz="4" w:space="0" w:color="000000"/>
              <w:right w:val="single" w:sz="4" w:space="0" w:color="000000"/>
            </w:tcBorders>
            <w:shd w:val="clear" w:color="auto" w:fill="EDEBE0"/>
          </w:tcPr>
          <w:p>
            <w:pPr>
              <w:pStyle w:val="TableParagraph"/>
              <w:spacing w:before="9"/>
              <w:ind w:left="393"/>
              <w:rPr>
                <w:rFonts w:ascii="Microsoft JhengHei" w:eastAsia="Microsoft JhengHei" w:hint="eastAsia"/>
                <w:b/>
                <w:sz w:val="18"/>
              </w:rPr>
            </w:pPr>
            <w:r>
              <w:rPr>
                <w:rFonts w:ascii="Microsoft JhengHei" w:eastAsia="Microsoft JhengHei" w:hint="eastAsia"/>
                <w:b/>
                <w:sz w:val="18"/>
              </w:rPr>
              <w:t>税率</w:t>
            </w:r>
          </w:p>
        </w:tc>
        <w:tc>
          <w:tcPr>
            <w:tcW w:w="3435" w:type="dxa"/>
            <w:tcBorders>
              <w:left w:val="single" w:sz="4" w:space="0" w:color="000000"/>
              <w:bottom w:val="single" w:sz="4" w:space="0" w:color="000000"/>
            </w:tcBorders>
            <w:shd w:val="clear" w:color="auto" w:fill="EDEBE0"/>
          </w:tcPr>
          <w:p>
            <w:pPr>
              <w:pStyle w:val="TableParagraph"/>
              <w:spacing w:before="9"/>
              <w:ind w:left="1346" w:right="1308"/>
              <w:jc w:val="center"/>
              <w:rPr>
                <w:rFonts w:ascii="Microsoft JhengHei" w:eastAsia="Microsoft JhengHei" w:hint="eastAsia"/>
                <w:b/>
                <w:sz w:val="18"/>
              </w:rPr>
            </w:pPr>
            <w:r>
              <w:rPr>
                <w:rFonts w:ascii="Microsoft JhengHei" w:eastAsia="Microsoft JhengHei" w:hint="eastAsia"/>
                <w:b/>
                <w:sz w:val="18"/>
              </w:rPr>
              <w:t>税收优惠</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海尔智家股份有限公司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410"/>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9"/>
              <w:ind w:left="117"/>
              <w:rPr>
                <w:rFonts w:ascii="宋体" w:eastAsia="宋体" w:hint="eastAsia"/>
                <w:sz w:val="18"/>
              </w:rPr>
            </w:pPr>
            <w:r>
              <w:rPr>
                <w:rFonts w:ascii="宋体" w:eastAsia="宋体" w:hint="eastAsia"/>
                <w:sz w:val="18"/>
              </w:rPr>
              <w:t>高新技术企业税收优惠政策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青岛海尔电冰箱有限公司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410"/>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7"/>
              <w:ind w:left="117"/>
              <w:rPr>
                <w:rFonts w:ascii="宋体" w:eastAsia="宋体" w:hint="eastAsia"/>
                <w:sz w:val="18"/>
              </w:rPr>
            </w:pPr>
            <w:r>
              <w:rPr>
                <w:rFonts w:ascii="宋体" w:eastAsia="宋体" w:hint="eastAsia"/>
                <w:sz w:val="18"/>
              </w:rPr>
              <w:t>高新技术企业税收优惠政策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青岛海尔特种电冰箱有限公司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410"/>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7"/>
              <w:ind w:left="117"/>
              <w:rPr>
                <w:rFonts w:ascii="宋体" w:eastAsia="宋体" w:hint="eastAsia"/>
                <w:sz w:val="18"/>
              </w:rPr>
            </w:pPr>
            <w:r>
              <w:rPr>
                <w:rFonts w:ascii="宋体" w:eastAsia="宋体" w:hint="eastAsia"/>
                <w:sz w:val="18"/>
              </w:rPr>
              <w:t>高新技术企业税收优惠政策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青岛海尔洗碗机有限公司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410"/>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7"/>
              <w:ind w:left="117"/>
              <w:rPr>
                <w:rFonts w:ascii="宋体" w:eastAsia="宋体" w:hint="eastAsia"/>
                <w:sz w:val="18"/>
              </w:rPr>
            </w:pPr>
            <w:r>
              <w:rPr>
                <w:rFonts w:ascii="宋体" w:eastAsia="宋体" w:hint="eastAsia"/>
                <w:sz w:val="18"/>
              </w:rPr>
              <w:t>高新技术企业税收优惠政策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青岛海尔特种电冰柜有限公司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410"/>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7"/>
              <w:ind w:left="117"/>
              <w:rPr>
                <w:rFonts w:ascii="宋体" w:eastAsia="宋体" w:hint="eastAsia"/>
                <w:sz w:val="18"/>
              </w:rPr>
            </w:pPr>
            <w:r>
              <w:rPr>
                <w:rFonts w:ascii="宋体" w:eastAsia="宋体" w:hint="eastAsia"/>
                <w:sz w:val="18"/>
              </w:rPr>
              <w:t>高新技术企业税收优惠政策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青岛海尔智能家电科技有限公司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410"/>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7"/>
              <w:ind w:left="117"/>
              <w:rPr>
                <w:rFonts w:ascii="宋体" w:eastAsia="宋体" w:hint="eastAsia"/>
                <w:sz w:val="18"/>
              </w:rPr>
            </w:pPr>
            <w:r>
              <w:rPr>
                <w:rFonts w:ascii="宋体" w:eastAsia="宋体" w:hint="eastAsia"/>
                <w:sz w:val="18"/>
              </w:rPr>
              <w:t>高新技术企业税收优惠政策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武汉海尔电器股份有限公司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410"/>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7"/>
              <w:ind w:left="117"/>
              <w:rPr>
                <w:rFonts w:ascii="宋体" w:eastAsia="宋体" w:hint="eastAsia"/>
                <w:sz w:val="18"/>
              </w:rPr>
            </w:pPr>
            <w:r>
              <w:rPr>
                <w:rFonts w:ascii="宋体" w:eastAsia="宋体" w:hint="eastAsia"/>
                <w:sz w:val="18"/>
              </w:rPr>
              <w:t>高新技术企业税收优惠政策</w:t>
            </w:r>
          </w:p>
        </w:tc>
      </w:tr>
      <w:tr>
        <w:trPr>
          <w:trHeight w:val="366" w:hRule="atLeast"/>
        </w:trPr>
        <w:tc>
          <w:tcPr>
            <w:tcW w:w="4246" w:type="dxa"/>
            <w:tcBorders>
              <w:top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武汉海尔电冰柜有限公司</w:t>
            </w:r>
          </w:p>
        </w:tc>
        <w:tc>
          <w:tcPr>
            <w:tcW w:w="1133" w:type="dxa"/>
            <w:tcBorders>
              <w:top w:val="single" w:sz="4" w:space="0" w:color="000000"/>
              <w:left w:val="single" w:sz="4" w:space="0" w:color="000000"/>
              <w:right w:val="single" w:sz="4" w:space="0" w:color="000000"/>
            </w:tcBorders>
          </w:tcPr>
          <w:p>
            <w:pPr>
              <w:pStyle w:val="TableParagraph"/>
              <w:spacing w:before="74"/>
              <w:ind w:left="410"/>
              <w:rPr>
                <w:sz w:val="18"/>
              </w:rPr>
            </w:pPr>
            <w:r>
              <w:rPr>
                <w:sz w:val="18"/>
              </w:rPr>
              <w:t>15%</w:t>
            </w:r>
          </w:p>
        </w:tc>
        <w:tc>
          <w:tcPr>
            <w:tcW w:w="3435" w:type="dxa"/>
            <w:tcBorders>
              <w:top w:val="single" w:sz="4" w:space="0" w:color="000000"/>
              <w:left w:val="single" w:sz="4" w:space="0" w:color="000000"/>
            </w:tcBorders>
          </w:tcPr>
          <w:p>
            <w:pPr>
              <w:pStyle w:val="TableParagraph"/>
              <w:spacing w:before="67"/>
              <w:ind w:left="117"/>
              <w:rPr>
                <w:rFonts w:ascii="宋体" w:eastAsia="宋体" w:hint="eastAsia"/>
                <w:sz w:val="18"/>
              </w:rPr>
            </w:pPr>
            <w:r>
              <w:rPr>
                <w:rFonts w:ascii="宋体" w:eastAsia="宋体" w:hint="eastAsia"/>
                <w:sz w:val="18"/>
              </w:rPr>
              <w:t>高新技术企业税收优惠政策</w:t>
            </w:r>
          </w:p>
        </w:tc>
      </w:tr>
    </w:tbl>
    <w:p>
      <w:pPr>
        <w:spacing w:after="0"/>
        <w:rPr>
          <w:rFonts w:ascii="宋体" w:eastAsia="宋体" w:hint="eastAsia"/>
          <w:sz w:val="18"/>
        </w:rPr>
        <w:sectPr>
          <w:pgSz w:w="11910" w:h="16840"/>
          <w:pgMar w:header="876" w:footer="1199" w:top="1440" w:bottom="1400" w:left="260" w:right="0"/>
        </w:sectPr>
      </w:pPr>
    </w:p>
    <w:p>
      <w:pPr>
        <w:pStyle w:val="BodyText"/>
        <w:spacing w:before="9"/>
        <w:rPr>
          <w:rFonts w:ascii="Times New Roman"/>
          <w:sz w:val="5"/>
        </w:rPr>
      </w:pPr>
    </w:p>
    <w:tbl>
      <w:tblPr>
        <w:tblW w:w="0" w:type="auto"/>
        <w:jc w:val="left"/>
        <w:tblInd w:w="156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246"/>
        <w:gridCol w:w="1133"/>
        <w:gridCol w:w="3435"/>
      </w:tblGrid>
      <w:tr>
        <w:trPr>
          <w:trHeight w:val="371" w:hRule="atLeast"/>
        </w:trPr>
        <w:tc>
          <w:tcPr>
            <w:tcW w:w="4246" w:type="dxa"/>
            <w:tcBorders>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合肥海尔电冰箱有限公司</w:t>
            </w:r>
          </w:p>
        </w:tc>
        <w:tc>
          <w:tcPr>
            <w:tcW w:w="1133" w:type="dxa"/>
            <w:tcBorders>
              <w:left w:val="single" w:sz="4" w:space="0" w:color="000000"/>
              <w:bottom w:val="single" w:sz="4" w:space="0" w:color="000000"/>
              <w:right w:val="single" w:sz="4" w:space="0" w:color="000000"/>
            </w:tcBorders>
          </w:tcPr>
          <w:p>
            <w:pPr>
              <w:pStyle w:val="TableParagraph"/>
              <w:spacing w:before="79"/>
              <w:ind w:left="392" w:right="361"/>
              <w:jc w:val="center"/>
              <w:rPr>
                <w:sz w:val="18"/>
              </w:rPr>
            </w:pPr>
            <w:r>
              <w:rPr>
                <w:sz w:val="18"/>
              </w:rPr>
              <w:t>15%</w:t>
            </w:r>
          </w:p>
        </w:tc>
        <w:tc>
          <w:tcPr>
            <w:tcW w:w="3435" w:type="dxa"/>
            <w:tcBorders>
              <w:left w:val="single" w:sz="4" w:space="0" w:color="000000"/>
              <w:bottom w:val="single" w:sz="4" w:space="0" w:color="000000"/>
            </w:tcBorders>
          </w:tcPr>
          <w:p>
            <w:pPr>
              <w:pStyle w:val="TableParagraph"/>
              <w:spacing w:before="69"/>
              <w:ind w:left="117"/>
              <w:rPr>
                <w:rFonts w:ascii="宋体" w:eastAsia="宋体" w:hint="eastAsia"/>
                <w:sz w:val="18"/>
              </w:rPr>
            </w:pPr>
            <w:r>
              <w:rPr>
                <w:rFonts w:ascii="宋体" w:eastAsia="宋体" w:hint="eastAsia"/>
                <w:sz w:val="18"/>
              </w:rPr>
              <w:t>高新技术企业税收优惠政策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合肥海尔空调器有限公司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392" w:right="361"/>
              <w:jc w:val="center"/>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7"/>
              <w:ind w:left="117"/>
              <w:rPr>
                <w:rFonts w:ascii="宋体" w:eastAsia="宋体" w:hint="eastAsia"/>
                <w:sz w:val="18"/>
              </w:rPr>
            </w:pPr>
            <w:r>
              <w:rPr>
                <w:rFonts w:ascii="宋体" w:eastAsia="宋体" w:hint="eastAsia"/>
                <w:sz w:val="18"/>
              </w:rPr>
              <w:t>高新技术企业税收优惠政策</w:t>
            </w:r>
          </w:p>
        </w:tc>
      </w:tr>
      <w:tr>
        <w:trPr>
          <w:trHeight w:val="366" w:hRule="atLeast"/>
        </w:trPr>
        <w:tc>
          <w:tcPr>
            <w:tcW w:w="4246"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郑州海尔空调器有限公司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392" w:right="361"/>
              <w:jc w:val="center"/>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7"/>
              <w:ind w:left="117"/>
              <w:rPr>
                <w:rFonts w:ascii="宋体" w:eastAsia="宋体" w:hint="eastAsia"/>
                <w:sz w:val="18"/>
              </w:rPr>
            </w:pPr>
            <w:r>
              <w:rPr>
                <w:rFonts w:ascii="宋体" w:eastAsia="宋体" w:hint="eastAsia"/>
                <w:sz w:val="18"/>
              </w:rPr>
              <w:t>高新技术企业税收优惠政策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沈阳海尔电冰箱有限公司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392" w:right="361"/>
              <w:jc w:val="center"/>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9"/>
              <w:ind w:left="117"/>
              <w:rPr>
                <w:rFonts w:ascii="宋体" w:eastAsia="宋体" w:hint="eastAsia"/>
                <w:sz w:val="18"/>
              </w:rPr>
            </w:pPr>
            <w:r>
              <w:rPr>
                <w:rFonts w:ascii="宋体" w:eastAsia="宋体" w:hint="eastAsia"/>
                <w:sz w:val="18"/>
              </w:rPr>
              <w:t>高新技术企业税收优惠政策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青岛海尔空调电子有限公司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392" w:right="361"/>
              <w:jc w:val="center"/>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9"/>
              <w:ind w:left="117"/>
              <w:rPr>
                <w:rFonts w:ascii="宋体" w:eastAsia="宋体" w:hint="eastAsia"/>
                <w:sz w:val="18"/>
              </w:rPr>
            </w:pPr>
            <w:r>
              <w:rPr>
                <w:rFonts w:ascii="宋体" w:eastAsia="宋体" w:hint="eastAsia"/>
                <w:sz w:val="18"/>
              </w:rPr>
              <w:t>高新技术企业税收优惠政策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青岛美尔塑料粉末有限公司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392" w:right="361"/>
              <w:jc w:val="center"/>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9"/>
              <w:ind w:left="117"/>
              <w:rPr>
                <w:rFonts w:ascii="宋体" w:eastAsia="宋体" w:hint="eastAsia"/>
                <w:sz w:val="18"/>
              </w:rPr>
            </w:pPr>
            <w:r>
              <w:rPr>
                <w:rFonts w:ascii="宋体" w:eastAsia="宋体" w:hint="eastAsia"/>
                <w:sz w:val="18"/>
              </w:rPr>
              <w:t>高新技术企业税收优惠政策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青岛海高设计制造有限公司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392" w:right="361"/>
              <w:jc w:val="center"/>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9"/>
              <w:ind w:left="117"/>
              <w:rPr>
                <w:rFonts w:ascii="宋体" w:eastAsia="宋体" w:hint="eastAsia"/>
                <w:sz w:val="18"/>
              </w:rPr>
            </w:pPr>
            <w:r>
              <w:rPr>
                <w:rFonts w:ascii="宋体" w:eastAsia="宋体" w:hint="eastAsia"/>
                <w:sz w:val="18"/>
              </w:rPr>
              <w:t>高新技术企业税收优惠政策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青岛海日高科模型有限公司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392" w:right="361"/>
              <w:jc w:val="center"/>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9"/>
              <w:ind w:left="117"/>
              <w:rPr>
                <w:rFonts w:ascii="宋体" w:eastAsia="宋体" w:hint="eastAsia"/>
                <w:sz w:val="18"/>
              </w:rPr>
            </w:pPr>
            <w:r>
              <w:rPr>
                <w:rFonts w:ascii="宋体" w:eastAsia="宋体" w:hint="eastAsia"/>
                <w:sz w:val="18"/>
              </w:rPr>
              <w:t>高新技术企业税收优惠政策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青岛海尔（胶州）空调器有限公司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392" w:right="361"/>
              <w:jc w:val="center"/>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7"/>
              <w:ind w:left="117"/>
              <w:rPr>
                <w:rFonts w:ascii="宋体" w:eastAsia="宋体" w:hint="eastAsia"/>
                <w:sz w:val="18"/>
              </w:rPr>
            </w:pPr>
            <w:r>
              <w:rPr>
                <w:rFonts w:ascii="宋体" w:eastAsia="宋体" w:hint="eastAsia"/>
                <w:sz w:val="18"/>
              </w:rPr>
              <w:t>高新技术企业税收优惠政策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青岛海尔智能技术研发有限公司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392" w:right="361"/>
              <w:jc w:val="center"/>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7"/>
              <w:ind w:left="117"/>
              <w:rPr>
                <w:rFonts w:ascii="宋体" w:eastAsia="宋体" w:hint="eastAsia"/>
                <w:sz w:val="18"/>
              </w:rPr>
            </w:pPr>
            <w:r>
              <w:rPr>
                <w:rFonts w:ascii="宋体" w:eastAsia="宋体" w:hint="eastAsia"/>
                <w:sz w:val="18"/>
              </w:rPr>
              <w:t>高新技术企业税收优惠政策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佛山海尔电冰柜有限公司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7"/>
              <w:ind w:left="392" w:right="361"/>
              <w:jc w:val="center"/>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7"/>
              <w:ind w:left="117"/>
              <w:rPr>
                <w:rFonts w:ascii="宋体" w:eastAsia="宋体" w:hint="eastAsia"/>
                <w:sz w:val="18"/>
              </w:rPr>
            </w:pPr>
            <w:r>
              <w:rPr>
                <w:rFonts w:ascii="宋体" w:eastAsia="宋体" w:hint="eastAsia"/>
                <w:sz w:val="18"/>
              </w:rPr>
              <w:t>高新技术企业税收优惠政策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青岛海尔中央空调有限公司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392" w:right="361"/>
              <w:jc w:val="center"/>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7"/>
              <w:ind w:left="117"/>
              <w:rPr>
                <w:rFonts w:ascii="宋体" w:eastAsia="宋体" w:hint="eastAsia"/>
                <w:sz w:val="18"/>
              </w:rPr>
            </w:pPr>
            <w:r>
              <w:rPr>
                <w:rFonts w:ascii="宋体" w:eastAsia="宋体" w:hint="eastAsia"/>
                <w:sz w:val="18"/>
              </w:rPr>
              <w:t>高新技术企业税收优惠政策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青岛海尔空调器有限总公司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392" w:right="361"/>
              <w:jc w:val="center"/>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7"/>
              <w:ind w:left="117"/>
              <w:rPr>
                <w:rFonts w:ascii="宋体" w:eastAsia="宋体" w:hint="eastAsia"/>
                <w:sz w:val="18"/>
              </w:rPr>
            </w:pPr>
            <w:r>
              <w:rPr>
                <w:rFonts w:ascii="宋体" w:eastAsia="宋体" w:hint="eastAsia"/>
                <w:sz w:val="18"/>
              </w:rPr>
              <w:t>高新技术企业税收优惠政策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海尔优家智能科技（北京）有限公司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392" w:right="361"/>
              <w:jc w:val="center"/>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7"/>
              <w:ind w:left="117"/>
              <w:rPr>
                <w:rFonts w:ascii="宋体" w:eastAsia="宋体" w:hint="eastAsia"/>
                <w:sz w:val="18"/>
              </w:rPr>
            </w:pPr>
            <w:r>
              <w:rPr>
                <w:rFonts w:ascii="宋体" w:eastAsia="宋体" w:hint="eastAsia"/>
                <w:sz w:val="18"/>
              </w:rPr>
              <w:t>高新技术企业税收优惠政策</w:t>
            </w:r>
          </w:p>
        </w:tc>
      </w:tr>
      <w:tr>
        <w:trPr>
          <w:trHeight w:val="366" w:hRule="atLeast"/>
        </w:trPr>
        <w:tc>
          <w:tcPr>
            <w:tcW w:w="4246"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北京零微科技有限公司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4"/>
              <w:ind w:left="392" w:right="361"/>
              <w:jc w:val="center"/>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7"/>
              <w:ind w:left="117"/>
              <w:rPr>
                <w:rFonts w:ascii="宋体" w:eastAsia="宋体" w:hint="eastAsia"/>
                <w:sz w:val="18"/>
              </w:rPr>
            </w:pPr>
            <w:r>
              <w:rPr>
                <w:rFonts w:ascii="宋体" w:eastAsia="宋体" w:hint="eastAsia"/>
                <w:sz w:val="18"/>
              </w:rPr>
              <w:t>高新技术企业税收优惠政策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合肥海尔洗衣机有限公司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392" w:right="361"/>
              <w:jc w:val="center"/>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9"/>
              <w:ind w:left="117"/>
              <w:rPr>
                <w:rFonts w:ascii="宋体" w:eastAsia="宋体" w:hint="eastAsia"/>
                <w:sz w:val="18"/>
              </w:rPr>
            </w:pPr>
            <w:r>
              <w:rPr>
                <w:rFonts w:ascii="宋体" w:eastAsia="宋体" w:hint="eastAsia"/>
                <w:sz w:val="18"/>
              </w:rPr>
              <w:t>高新技术企业税收优惠政策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青岛海尔洗衣机有限公司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392" w:right="361"/>
              <w:jc w:val="center"/>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9"/>
              <w:ind w:left="117"/>
              <w:rPr>
                <w:rFonts w:ascii="宋体" w:eastAsia="宋体" w:hint="eastAsia"/>
                <w:sz w:val="18"/>
              </w:rPr>
            </w:pPr>
            <w:r>
              <w:rPr>
                <w:rFonts w:ascii="宋体" w:eastAsia="宋体" w:hint="eastAsia"/>
                <w:sz w:val="18"/>
              </w:rPr>
              <w:t>高新技术企业税收优惠政策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青岛胶南海尔洗衣机有限公司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392" w:right="361"/>
              <w:jc w:val="center"/>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9"/>
              <w:ind w:left="117"/>
              <w:rPr>
                <w:rFonts w:ascii="宋体" w:eastAsia="宋体" w:hint="eastAsia"/>
                <w:sz w:val="18"/>
              </w:rPr>
            </w:pPr>
            <w:r>
              <w:rPr>
                <w:rFonts w:ascii="宋体" w:eastAsia="宋体" w:hint="eastAsia"/>
                <w:sz w:val="18"/>
              </w:rPr>
              <w:t>高新技术企业税收优惠政策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佛山市顺德海尔电器有限公司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392" w:right="361"/>
              <w:jc w:val="center"/>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9"/>
              <w:ind w:left="117"/>
              <w:rPr>
                <w:rFonts w:ascii="宋体" w:eastAsia="宋体" w:hint="eastAsia"/>
                <w:sz w:val="18"/>
              </w:rPr>
            </w:pPr>
            <w:r>
              <w:rPr>
                <w:rFonts w:ascii="宋体" w:eastAsia="宋体" w:hint="eastAsia"/>
                <w:sz w:val="18"/>
              </w:rPr>
              <w:t>高新技术企业税收优惠政策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70"/>
              <w:ind w:left="107"/>
              <w:rPr>
                <w:rFonts w:ascii="宋体" w:eastAsia="宋体" w:hint="eastAsia"/>
                <w:sz w:val="18"/>
              </w:rPr>
            </w:pPr>
            <w:r>
              <w:rPr>
                <w:rFonts w:ascii="宋体" w:eastAsia="宋体" w:hint="eastAsia"/>
                <w:sz w:val="18"/>
              </w:rPr>
              <w:t>天津海尔洗涤电器有限公司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7"/>
              <w:ind w:left="392" w:right="361"/>
              <w:jc w:val="center"/>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70"/>
              <w:ind w:left="117"/>
              <w:rPr>
                <w:rFonts w:ascii="宋体" w:eastAsia="宋体" w:hint="eastAsia"/>
                <w:sz w:val="18"/>
              </w:rPr>
            </w:pPr>
            <w:r>
              <w:rPr>
                <w:rFonts w:ascii="宋体" w:eastAsia="宋体" w:hint="eastAsia"/>
                <w:sz w:val="18"/>
              </w:rPr>
              <w:t>高新技术企业税收优惠政策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青岛经济技术开发区海尔热水器有限公司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392" w:right="361"/>
              <w:jc w:val="center"/>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7"/>
              <w:ind w:left="117"/>
              <w:rPr>
                <w:rFonts w:ascii="宋体" w:eastAsia="宋体" w:hint="eastAsia"/>
                <w:sz w:val="18"/>
              </w:rPr>
            </w:pPr>
            <w:r>
              <w:rPr>
                <w:rFonts w:ascii="宋体" w:eastAsia="宋体" w:hint="eastAsia"/>
                <w:sz w:val="18"/>
              </w:rPr>
              <w:t>高新技术企业税收优惠政策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武汉海尔热水器有限公司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392" w:right="361"/>
              <w:jc w:val="center"/>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7"/>
              <w:ind w:left="117"/>
              <w:rPr>
                <w:rFonts w:ascii="宋体" w:eastAsia="宋体" w:hint="eastAsia"/>
                <w:sz w:val="18"/>
              </w:rPr>
            </w:pPr>
            <w:r>
              <w:rPr>
                <w:rFonts w:ascii="宋体" w:eastAsia="宋体" w:hint="eastAsia"/>
                <w:sz w:val="18"/>
              </w:rPr>
              <w:t>高新技术企业税收优惠政策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佛山滚筒洗衣机有限公司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392" w:right="361"/>
              <w:jc w:val="center"/>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7"/>
              <w:ind w:left="117"/>
              <w:rPr>
                <w:rFonts w:ascii="宋体" w:eastAsia="宋体" w:hint="eastAsia"/>
                <w:sz w:val="18"/>
              </w:rPr>
            </w:pPr>
            <w:r>
              <w:rPr>
                <w:rFonts w:ascii="宋体" w:eastAsia="宋体" w:hint="eastAsia"/>
                <w:sz w:val="18"/>
              </w:rPr>
              <w:t>高新技术企业税收优惠政策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青岛施特劳斯水设备有限公司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392" w:right="361"/>
              <w:jc w:val="center"/>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7"/>
              <w:ind w:left="117"/>
              <w:rPr>
                <w:rFonts w:ascii="宋体" w:eastAsia="宋体" w:hint="eastAsia"/>
                <w:sz w:val="18"/>
              </w:rPr>
            </w:pPr>
            <w:r>
              <w:rPr>
                <w:rFonts w:ascii="宋体" w:eastAsia="宋体" w:hint="eastAsia"/>
                <w:sz w:val="18"/>
              </w:rPr>
              <w:t>高新技术企业税收优惠政策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青岛乐家电器有限公司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392" w:right="361"/>
              <w:jc w:val="center"/>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7"/>
              <w:ind w:left="117"/>
              <w:rPr>
                <w:rFonts w:ascii="宋体" w:eastAsia="宋体" w:hint="eastAsia"/>
                <w:sz w:val="18"/>
              </w:rPr>
            </w:pPr>
            <w:r>
              <w:rPr>
                <w:rFonts w:ascii="宋体" w:eastAsia="宋体" w:hint="eastAsia"/>
                <w:sz w:val="18"/>
              </w:rPr>
              <w:t>高新技术企业税收优惠政策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青岛海尔新能源电器有限公司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392" w:right="361"/>
              <w:jc w:val="center"/>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7"/>
              <w:ind w:left="117"/>
              <w:rPr>
                <w:rFonts w:ascii="宋体" w:eastAsia="宋体" w:hint="eastAsia"/>
                <w:sz w:val="18"/>
              </w:rPr>
            </w:pPr>
            <w:r>
              <w:rPr>
                <w:rFonts w:ascii="宋体" w:eastAsia="宋体" w:hint="eastAsia"/>
                <w:sz w:val="18"/>
              </w:rPr>
              <w:t>高新技术企业税收优惠政策</w:t>
            </w:r>
          </w:p>
        </w:tc>
      </w:tr>
      <w:tr>
        <w:trPr>
          <w:trHeight w:val="366" w:hRule="atLeast"/>
        </w:trPr>
        <w:tc>
          <w:tcPr>
            <w:tcW w:w="4246"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青岛海尔洗涤电器有限公司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4"/>
              <w:ind w:left="392" w:right="361"/>
              <w:jc w:val="center"/>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7"/>
              <w:ind w:left="117"/>
              <w:rPr>
                <w:rFonts w:ascii="宋体" w:eastAsia="宋体" w:hint="eastAsia"/>
                <w:sz w:val="18"/>
              </w:rPr>
            </w:pPr>
            <w:r>
              <w:rPr>
                <w:rFonts w:ascii="宋体" w:eastAsia="宋体" w:hint="eastAsia"/>
                <w:sz w:val="18"/>
              </w:rPr>
              <w:t>高新技术企业税收优惠政策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青岛日日顺乐信云科技有限公司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392" w:right="361"/>
              <w:jc w:val="center"/>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9"/>
              <w:ind w:left="117"/>
              <w:rPr>
                <w:rFonts w:ascii="宋体" w:eastAsia="宋体" w:hint="eastAsia"/>
                <w:sz w:val="18"/>
              </w:rPr>
            </w:pPr>
            <w:r>
              <w:rPr>
                <w:rFonts w:ascii="宋体" w:eastAsia="宋体" w:hint="eastAsia"/>
                <w:sz w:val="18"/>
              </w:rPr>
              <w:t>高新技术企业税收优惠政策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合肥海尔滚筒洗衣机有限公司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392" w:right="361"/>
              <w:jc w:val="center"/>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9"/>
              <w:ind w:left="117"/>
              <w:rPr>
                <w:rFonts w:ascii="宋体" w:eastAsia="宋体" w:hint="eastAsia"/>
                <w:sz w:val="18"/>
              </w:rPr>
            </w:pPr>
            <w:r>
              <w:rPr>
                <w:rFonts w:ascii="宋体" w:eastAsia="宋体" w:hint="eastAsia"/>
                <w:sz w:val="18"/>
              </w:rPr>
              <w:t>高新技术企业税收优惠政策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青岛海尔电子塑胶有限公司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392" w:right="361"/>
              <w:jc w:val="center"/>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9"/>
              <w:ind w:left="117"/>
              <w:rPr>
                <w:rFonts w:ascii="宋体" w:eastAsia="宋体" w:hint="eastAsia"/>
                <w:sz w:val="18"/>
              </w:rPr>
            </w:pPr>
            <w:r>
              <w:rPr>
                <w:rFonts w:ascii="宋体" w:eastAsia="宋体" w:hint="eastAsia"/>
                <w:sz w:val="18"/>
              </w:rPr>
              <w:t>高新技术企业税收优惠政策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青岛卫玺智能科技有限公司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392" w:right="361"/>
              <w:jc w:val="center"/>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9"/>
              <w:ind w:left="117"/>
              <w:rPr>
                <w:rFonts w:ascii="宋体" w:eastAsia="宋体" w:hint="eastAsia"/>
                <w:sz w:val="18"/>
              </w:rPr>
            </w:pPr>
            <w:r>
              <w:rPr>
                <w:rFonts w:ascii="宋体" w:eastAsia="宋体" w:hint="eastAsia"/>
                <w:sz w:val="18"/>
              </w:rPr>
              <w:t>高新技术企业税收优惠政策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青岛海尔特种制冷电器有限公司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392" w:right="361"/>
              <w:jc w:val="center"/>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9"/>
              <w:ind w:left="117"/>
              <w:rPr>
                <w:rFonts w:ascii="宋体" w:eastAsia="宋体" w:hint="eastAsia"/>
                <w:sz w:val="18"/>
              </w:rPr>
            </w:pPr>
            <w:r>
              <w:rPr>
                <w:rFonts w:ascii="宋体" w:eastAsia="宋体" w:hint="eastAsia"/>
                <w:sz w:val="18"/>
              </w:rPr>
              <w:t>高新技术企业税收优惠政策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青岛海尔智慧厨房电器有限公司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392" w:right="361"/>
              <w:jc w:val="center"/>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7"/>
              <w:ind w:left="117"/>
              <w:rPr>
                <w:rFonts w:ascii="宋体" w:eastAsia="宋体" w:hint="eastAsia"/>
                <w:sz w:val="18"/>
              </w:rPr>
            </w:pPr>
            <w:r>
              <w:rPr>
                <w:rFonts w:ascii="宋体" w:eastAsia="宋体" w:hint="eastAsia"/>
                <w:sz w:val="18"/>
              </w:rPr>
              <w:t>高新技术企业税收优惠政策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合肥海尔空调电子有限公司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392" w:right="361"/>
              <w:jc w:val="center"/>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7"/>
              <w:ind w:left="117"/>
              <w:rPr>
                <w:rFonts w:ascii="宋体" w:eastAsia="宋体" w:hint="eastAsia"/>
                <w:sz w:val="18"/>
              </w:rPr>
            </w:pPr>
            <w:r>
              <w:rPr>
                <w:rFonts w:ascii="宋体" w:eastAsia="宋体" w:hint="eastAsia"/>
                <w:sz w:val="18"/>
              </w:rPr>
              <w:t>高新技术企业税收优惠政策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北京零立科技有限公司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392" w:right="361"/>
              <w:jc w:val="center"/>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7"/>
              <w:ind w:left="117"/>
              <w:rPr>
                <w:rFonts w:ascii="宋体" w:eastAsia="宋体" w:hint="eastAsia"/>
                <w:sz w:val="18"/>
              </w:rPr>
            </w:pPr>
            <w:r>
              <w:rPr>
                <w:rFonts w:ascii="宋体" w:eastAsia="宋体" w:hint="eastAsia"/>
                <w:sz w:val="18"/>
              </w:rPr>
              <w:t>高新技术企业税收优惠政策</w:t>
            </w:r>
          </w:p>
        </w:tc>
      </w:tr>
      <w:tr>
        <w:trPr>
          <w:trHeight w:val="366" w:hRule="atLeast"/>
        </w:trPr>
        <w:tc>
          <w:tcPr>
            <w:tcW w:w="4246" w:type="dxa"/>
            <w:tcBorders>
              <w:top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青岛海瑞洁净电子有限公司</w:t>
            </w:r>
          </w:p>
        </w:tc>
        <w:tc>
          <w:tcPr>
            <w:tcW w:w="1133" w:type="dxa"/>
            <w:tcBorders>
              <w:top w:val="single" w:sz="4" w:space="0" w:color="000000"/>
              <w:left w:val="single" w:sz="4" w:space="0" w:color="000000"/>
              <w:right w:val="single" w:sz="4" w:space="0" w:color="000000"/>
            </w:tcBorders>
          </w:tcPr>
          <w:p>
            <w:pPr>
              <w:pStyle w:val="TableParagraph"/>
              <w:spacing w:before="76"/>
              <w:ind w:left="392" w:right="361"/>
              <w:jc w:val="center"/>
              <w:rPr>
                <w:sz w:val="18"/>
              </w:rPr>
            </w:pPr>
            <w:r>
              <w:rPr>
                <w:sz w:val="18"/>
              </w:rPr>
              <w:t>15%</w:t>
            </w:r>
          </w:p>
        </w:tc>
        <w:tc>
          <w:tcPr>
            <w:tcW w:w="3435" w:type="dxa"/>
            <w:tcBorders>
              <w:top w:val="single" w:sz="4" w:space="0" w:color="000000"/>
              <w:left w:val="single" w:sz="4" w:space="0" w:color="000000"/>
            </w:tcBorders>
          </w:tcPr>
          <w:p>
            <w:pPr>
              <w:pStyle w:val="TableParagraph"/>
              <w:spacing w:before="67"/>
              <w:ind w:left="117"/>
              <w:rPr>
                <w:rFonts w:ascii="宋体" w:eastAsia="宋体" w:hint="eastAsia"/>
                <w:sz w:val="18"/>
              </w:rPr>
            </w:pPr>
            <w:r>
              <w:rPr>
                <w:rFonts w:ascii="宋体" w:eastAsia="宋体" w:hint="eastAsia"/>
                <w:sz w:val="18"/>
              </w:rPr>
              <w:t>高新技术企业税收优惠政策</w:t>
            </w:r>
          </w:p>
        </w:tc>
      </w:tr>
    </w:tbl>
    <w:p>
      <w:pPr>
        <w:spacing w:after="0"/>
        <w:rPr>
          <w:rFonts w:ascii="宋体" w:eastAsia="宋体" w:hint="eastAsia"/>
          <w:sz w:val="18"/>
        </w:rPr>
        <w:sectPr>
          <w:pgSz w:w="11910" w:h="16840"/>
          <w:pgMar w:header="876" w:footer="1199" w:top="1440" w:bottom="1400" w:left="260" w:right="0"/>
        </w:sectPr>
      </w:pPr>
    </w:p>
    <w:p>
      <w:pPr>
        <w:pStyle w:val="BodyText"/>
        <w:spacing w:before="9"/>
        <w:rPr>
          <w:rFonts w:ascii="Times New Roman"/>
          <w:sz w:val="5"/>
        </w:rPr>
      </w:pPr>
    </w:p>
    <w:tbl>
      <w:tblPr>
        <w:tblW w:w="0" w:type="auto"/>
        <w:jc w:val="left"/>
        <w:tblInd w:w="156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246"/>
        <w:gridCol w:w="1133"/>
        <w:gridCol w:w="3435"/>
      </w:tblGrid>
      <w:tr>
        <w:trPr>
          <w:trHeight w:val="371" w:hRule="atLeast"/>
        </w:trPr>
        <w:tc>
          <w:tcPr>
            <w:tcW w:w="4246" w:type="dxa"/>
            <w:tcBorders>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上海海尔医疗科技有限公司</w:t>
            </w:r>
          </w:p>
        </w:tc>
        <w:tc>
          <w:tcPr>
            <w:tcW w:w="1133" w:type="dxa"/>
            <w:tcBorders>
              <w:left w:val="single" w:sz="4" w:space="0" w:color="000000"/>
              <w:bottom w:val="single" w:sz="4" w:space="0" w:color="000000"/>
              <w:right w:val="single" w:sz="4" w:space="0" w:color="000000"/>
            </w:tcBorders>
          </w:tcPr>
          <w:p>
            <w:pPr>
              <w:pStyle w:val="TableParagraph"/>
              <w:spacing w:before="79"/>
              <w:ind w:left="410"/>
              <w:rPr>
                <w:sz w:val="18"/>
              </w:rPr>
            </w:pPr>
            <w:r>
              <w:rPr>
                <w:sz w:val="18"/>
              </w:rPr>
              <w:t>15%</w:t>
            </w:r>
          </w:p>
        </w:tc>
        <w:tc>
          <w:tcPr>
            <w:tcW w:w="3435" w:type="dxa"/>
            <w:tcBorders>
              <w:left w:val="single" w:sz="4" w:space="0" w:color="000000"/>
              <w:bottom w:val="single" w:sz="4" w:space="0" w:color="000000"/>
            </w:tcBorders>
          </w:tcPr>
          <w:p>
            <w:pPr>
              <w:pStyle w:val="TableParagraph"/>
              <w:spacing w:before="69"/>
              <w:ind w:left="117"/>
              <w:rPr>
                <w:rFonts w:ascii="宋体" w:eastAsia="宋体" w:hint="eastAsia"/>
                <w:sz w:val="18"/>
              </w:rPr>
            </w:pPr>
            <w:r>
              <w:rPr>
                <w:rFonts w:ascii="宋体" w:eastAsia="宋体" w:hint="eastAsia"/>
                <w:sz w:val="18"/>
              </w:rPr>
              <w:t>高新技术企业税收优惠政策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青岛云裳羽衣物联科技有限公司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410"/>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7"/>
              <w:ind w:left="117"/>
              <w:rPr>
                <w:rFonts w:ascii="宋体" w:eastAsia="宋体" w:hint="eastAsia"/>
                <w:sz w:val="18"/>
              </w:rPr>
            </w:pPr>
            <w:r>
              <w:rPr>
                <w:rFonts w:ascii="宋体" w:eastAsia="宋体" w:hint="eastAsia"/>
                <w:sz w:val="18"/>
              </w:rPr>
              <w:t>高新技术企业税收优惠政策</w:t>
            </w:r>
          </w:p>
        </w:tc>
      </w:tr>
      <w:tr>
        <w:trPr>
          <w:trHeight w:val="366" w:hRule="atLeast"/>
        </w:trPr>
        <w:tc>
          <w:tcPr>
            <w:tcW w:w="4246"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海尔（上海）家电研发中心有限公司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410"/>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7"/>
              <w:ind w:left="117"/>
              <w:rPr>
                <w:rFonts w:ascii="宋体" w:eastAsia="宋体" w:hint="eastAsia"/>
                <w:sz w:val="18"/>
              </w:rPr>
            </w:pPr>
            <w:r>
              <w:rPr>
                <w:rFonts w:ascii="宋体" w:eastAsia="宋体" w:hint="eastAsia"/>
                <w:sz w:val="18"/>
              </w:rPr>
              <w:t>高新技术企业税收优惠政策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海尔（深圳）研发有限责任公司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410"/>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9"/>
              <w:ind w:left="117"/>
              <w:rPr>
                <w:rFonts w:ascii="宋体" w:eastAsia="宋体" w:hint="eastAsia"/>
                <w:sz w:val="18"/>
              </w:rPr>
            </w:pPr>
            <w:r>
              <w:rPr>
                <w:rFonts w:ascii="宋体" w:eastAsia="宋体" w:hint="eastAsia"/>
                <w:sz w:val="18"/>
              </w:rPr>
              <w:t>高新技术企业税收优惠政策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青岛日日顺乐家物联科技有限公司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410"/>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9"/>
              <w:ind w:left="117"/>
              <w:rPr>
                <w:rFonts w:ascii="宋体" w:eastAsia="宋体" w:hint="eastAsia"/>
                <w:sz w:val="18"/>
              </w:rPr>
            </w:pPr>
            <w:r>
              <w:rPr>
                <w:rFonts w:ascii="宋体" w:eastAsia="宋体" w:hint="eastAsia"/>
                <w:sz w:val="18"/>
              </w:rPr>
              <w:t>高新技术企业税收优惠政策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青岛海尔智慧电器设备有限公司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410"/>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9"/>
              <w:ind w:left="117"/>
              <w:rPr>
                <w:rFonts w:ascii="宋体" w:eastAsia="宋体" w:hint="eastAsia"/>
                <w:sz w:val="18"/>
              </w:rPr>
            </w:pPr>
            <w:r>
              <w:rPr>
                <w:rFonts w:ascii="宋体" w:eastAsia="宋体" w:hint="eastAsia"/>
                <w:sz w:val="18"/>
              </w:rPr>
              <w:t>高新技术企业税收优惠政策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青岛海尔科技有限公司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410"/>
              <w:rPr>
                <w:sz w:val="18"/>
              </w:rPr>
            </w:pPr>
            <w:r>
              <w:rPr>
                <w:sz w:val="18"/>
              </w:rPr>
              <w:t>10%</w:t>
            </w:r>
          </w:p>
        </w:tc>
        <w:tc>
          <w:tcPr>
            <w:tcW w:w="3435" w:type="dxa"/>
            <w:tcBorders>
              <w:top w:val="single" w:sz="4" w:space="0" w:color="000000"/>
              <w:left w:val="single" w:sz="4" w:space="0" w:color="000000"/>
              <w:bottom w:val="single" w:sz="4" w:space="0" w:color="000000"/>
            </w:tcBorders>
          </w:tcPr>
          <w:p>
            <w:pPr>
              <w:pStyle w:val="TableParagraph"/>
              <w:spacing w:before="69"/>
              <w:ind w:left="117"/>
              <w:rPr>
                <w:rFonts w:ascii="宋体" w:eastAsia="宋体" w:hint="eastAsia"/>
                <w:sz w:val="18"/>
              </w:rPr>
            </w:pPr>
            <w:r>
              <w:rPr>
                <w:rFonts w:ascii="宋体" w:eastAsia="宋体" w:hint="eastAsia"/>
                <w:sz w:val="18"/>
              </w:rPr>
              <w:t>重点软件企业减半期税收优惠政策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武汉海尔能源动力有限公司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410"/>
              <w:rPr>
                <w:sz w:val="18"/>
              </w:rPr>
            </w:pPr>
            <w:r>
              <w:rPr>
                <w:sz w:val="18"/>
              </w:rPr>
              <w:t>10%</w:t>
            </w:r>
          </w:p>
        </w:tc>
        <w:tc>
          <w:tcPr>
            <w:tcW w:w="3435" w:type="dxa"/>
            <w:tcBorders>
              <w:top w:val="single" w:sz="4" w:space="0" w:color="000000"/>
              <w:left w:val="single" w:sz="4" w:space="0" w:color="000000"/>
              <w:bottom w:val="single" w:sz="4" w:space="0" w:color="000000"/>
            </w:tcBorders>
          </w:tcPr>
          <w:p>
            <w:pPr>
              <w:pStyle w:val="TableParagraph"/>
              <w:spacing w:before="69"/>
              <w:ind w:left="117"/>
              <w:rPr>
                <w:rFonts w:ascii="宋体" w:eastAsia="宋体" w:hint="eastAsia"/>
                <w:sz w:val="18"/>
              </w:rPr>
            </w:pPr>
            <w:r>
              <w:rPr>
                <w:rFonts w:ascii="宋体" w:eastAsia="宋体" w:hint="eastAsia"/>
                <w:sz w:val="18"/>
              </w:rPr>
              <w:t>小微企业优惠政策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大连保税区海尔空调器贸易有限公司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410"/>
              <w:rPr>
                <w:sz w:val="18"/>
              </w:rPr>
            </w:pPr>
            <w:r>
              <w:rPr>
                <w:sz w:val="18"/>
              </w:rPr>
              <w:t>10%</w:t>
            </w:r>
          </w:p>
        </w:tc>
        <w:tc>
          <w:tcPr>
            <w:tcW w:w="3435" w:type="dxa"/>
            <w:tcBorders>
              <w:top w:val="single" w:sz="4" w:space="0" w:color="000000"/>
              <w:left w:val="single" w:sz="4" w:space="0" w:color="000000"/>
              <w:bottom w:val="single" w:sz="4" w:space="0" w:color="000000"/>
            </w:tcBorders>
          </w:tcPr>
          <w:p>
            <w:pPr>
              <w:pStyle w:val="TableParagraph"/>
              <w:spacing w:before="67"/>
              <w:ind w:left="117"/>
              <w:rPr>
                <w:rFonts w:ascii="宋体" w:eastAsia="宋体" w:hint="eastAsia"/>
                <w:sz w:val="18"/>
              </w:rPr>
            </w:pPr>
            <w:r>
              <w:rPr>
                <w:rFonts w:ascii="宋体" w:eastAsia="宋体" w:hint="eastAsia"/>
                <w:sz w:val="18"/>
              </w:rPr>
              <w:t>小微企业优惠政策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青岛海美汇管理咨询有限公司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456"/>
              <w:rPr>
                <w:sz w:val="18"/>
              </w:rPr>
            </w:pPr>
            <w:r>
              <w:rPr>
                <w:sz w:val="18"/>
              </w:rPr>
              <w:t>5%</w:t>
            </w:r>
          </w:p>
        </w:tc>
        <w:tc>
          <w:tcPr>
            <w:tcW w:w="3435" w:type="dxa"/>
            <w:tcBorders>
              <w:top w:val="single" w:sz="4" w:space="0" w:color="000000"/>
              <w:left w:val="single" w:sz="4" w:space="0" w:color="000000"/>
              <w:bottom w:val="single" w:sz="4" w:space="0" w:color="000000"/>
            </w:tcBorders>
          </w:tcPr>
          <w:p>
            <w:pPr>
              <w:pStyle w:val="TableParagraph"/>
              <w:spacing w:before="67"/>
              <w:ind w:left="117"/>
              <w:rPr>
                <w:rFonts w:ascii="宋体" w:eastAsia="宋体" w:hint="eastAsia"/>
                <w:sz w:val="18"/>
              </w:rPr>
            </w:pPr>
            <w:r>
              <w:rPr>
                <w:rFonts w:ascii="宋体" w:eastAsia="宋体" w:hint="eastAsia"/>
                <w:sz w:val="18"/>
              </w:rPr>
              <w:t>小微企业优惠政策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际壹电器</w:t>
            </w:r>
            <w:r>
              <w:rPr>
                <w:sz w:val="18"/>
              </w:rPr>
              <w:t>(</w:t>
            </w:r>
            <w:r>
              <w:rPr>
                <w:rFonts w:ascii="宋体" w:eastAsia="宋体" w:hint="eastAsia"/>
                <w:sz w:val="18"/>
              </w:rPr>
              <w:t>上海</w:t>
            </w:r>
            <w:r>
              <w:rPr>
                <w:sz w:val="18"/>
              </w:rPr>
              <w:t>)</w:t>
            </w:r>
            <w:r>
              <w:rPr>
                <w:rFonts w:ascii="宋体" w:eastAsia="宋体" w:hint="eastAsia"/>
                <w:sz w:val="18"/>
              </w:rPr>
              <w:t>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7"/>
              <w:ind w:left="410"/>
              <w:rPr>
                <w:sz w:val="18"/>
              </w:rPr>
            </w:pPr>
            <w:r>
              <w:rPr>
                <w:sz w:val="18"/>
              </w:rPr>
              <w:t>10%</w:t>
            </w:r>
          </w:p>
        </w:tc>
        <w:tc>
          <w:tcPr>
            <w:tcW w:w="3435" w:type="dxa"/>
            <w:tcBorders>
              <w:top w:val="single" w:sz="4" w:space="0" w:color="000000"/>
              <w:left w:val="single" w:sz="4" w:space="0" w:color="000000"/>
              <w:bottom w:val="single" w:sz="4" w:space="0" w:color="000000"/>
            </w:tcBorders>
          </w:tcPr>
          <w:p>
            <w:pPr>
              <w:pStyle w:val="TableParagraph"/>
              <w:spacing w:before="67"/>
              <w:ind w:left="117"/>
              <w:rPr>
                <w:rFonts w:ascii="宋体" w:eastAsia="宋体" w:hint="eastAsia"/>
                <w:sz w:val="18"/>
              </w:rPr>
            </w:pPr>
            <w:r>
              <w:rPr>
                <w:rFonts w:ascii="宋体" w:eastAsia="宋体" w:hint="eastAsia"/>
                <w:sz w:val="18"/>
              </w:rPr>
              <w:t>小微企业优惠政策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上海海尔众智坊创客空间管理有限公司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456"/>
              <w:rPr>
                <w:sz w:val="18"/>
              </w:rPr>
            </w:pPr>
            <w:r>
              <w:rPr>
                <w:sz w:val="18"/>
              </w:rPr>
              <w:t>5%</w:t>
            </w:r>
          </w:p>
        </w:tc>
        <w:tc>
          <w:tcPr>
            <w:tcW w:w="3435" w:type="dxa"/>
            <w:tcBorders>
              <w:top w:val="single" w:sz="4" w:space="0" w:color="000000"/>
              <w:left w:val="single" w:sz="4" w:space="0" w:color="000000"/>
              <w:bottom w:val="single" w:sz="4" w:space="0" w:color="000000"/>
            </w:tcBorders>
          </w:tcPr>
          <w:p>
            <w:pPr>
              <w:pStyle w:val="TableParagraph"/>
              <w:spacing w:before="67"/>
              <w:ind w:left="117"/>
              <w:rPr>
                <w:rFonts w:ascii="宋体" w:eastAsia="宋体" w:hint="eastAsia"/>
                <w:sz w:val="18"/>
              </w:rPr>
            </w:pPr>
            <w:r>
              <w:rPr>
                <w:rFonts w:ascii="宋体" w:eastAsia="宋体" w:hint="eastAsia"/>
                <w:sz w:val="18"/>
              </w:rPr>
              <w:t>小微企业优惠政策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青岛日日顺乐家物联科技有限公司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456"/>
              <w:rPr>
                <w:sz w:val="18"/>
              </w:rPr>
            </w:pPr>
            <w:r>
              <w:rPr>
                <w:sz w:val="18"/>
              </w:rPr>
              <w:t>5%</w:t>
            </w:r>
          </w:p>
        </w:tc>
        <w:tc>
          <w:tcPr>
            <w:tcW w:w="3435" w:type="dxa"/>
            <w:tcBorders>
              <w:top w:val="single" w:sz="4" w:space="0" w:color="000000"/>
              <w:left w:val="single" w:sz="4" w:space="0" w:color="000000"/>
              <w:bottom w:val="single" w:sz="4" w:space="0" w:color="000000"/>
            </w:tcBorders>
          </w:tcPr>
          <w:p>
            <w:pPr>
              <w:pStyle w:val="TableParagraph"/>
              <w:spacing w:before="67"/>
              <w:ind w:left="117"/>
              <w:rPr>
                <w:rFonts w:ascii="宋体" w:eastAsia="宋体" w:hint="eastAsia"/>
                <w:sz w:val="18"/>
              </w:rPr>
            </w:pPr>
            <w:r>
              <w:rPr>
                <w:rFonts w:ascii="宋体" w:eastAsia="宋体" w:hint="eastAsia"/>
                <w:sz w:val="18"/>
              </w:rPr>
              <w:t>小微企业优惠政策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青岛海创源家电销售有限公司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456"/>
              <w:rPr>
                <w:sz w:val="18"/>
              </w:rPr>
            </w:pPr>
            <w:r>
              <w:rPr>
                <w:sz w:val="18"/>
              </w:rPr>
              <w:t>5%</w:t>
            </w:r>
          </w:p>
        </w:tc>
        <w:tc>
          <w:tcPr>
            <w:tcW w:w="3435" w:type="dxa"/>
            <w:tcBorders>
              <w:top w:val="single" w:sz="4" w:space="0" w:color="000000"/>
              <w:left w:val="single" w:sz="4" w:space="0" w:color="000000"/>
              <w:bottom w:val="single" w:sz="4" w:space="0" w:color="000000"/>
            </w:tcBorders>
          </w:tcPr>
          <w:p>
            <w:pPr>
              <w:pStyle w:val="TableParagraph"/>
              <w:spacing w:before="67"/>
              <w:ind w:left="117"/>
              <w:rPr>
                <w:rFonts w:ascii="宋体" w:eastAsia="宋体" w:hint="eastAsia"/>
                <w:sz w:val="18"/>
              </w:rPr>
            </w:pPr>
            <w:r>
              <w:rPr>
                <w:rFonts w:ascii="宋体" w:eastAsia="宋体" w:hint="eastAsia"/>
                <w:sz w:val="18"/>
              </w:rPr>
              <w:t>小微企业优惠政策</w:t>
            </w:r>
          </w:p>
        </w:tc>
      </w:tr>
      <w:tr>
        <w:trPr>
          <w:trHeight w:val="366" w:hRule="atLeast"/>
        </w:trPr>
        <w:tc>
          <w:tcPr>
            <w:tcW w:w="4246"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海尔智家（青岛）网络有限公司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4"/>
              <w:ind w:left="456"/>
              <w:rPr>
                <w:sz w:val="18"/>
              </w:rPr>
            </w:pPr>
            <w:r>
              <w:rPr>
                <w:sz w:val="18"/>
              </w:rPr>
              <w:t>5%</w:t>
            </w:r>
          </w:p>
        </w:tc>
        <w:tc>
          <w:tcPr>
            <w:tcW w:w="3435" w:type="dxa"/>
            <w:tcBorders>
              <w:top w:val="single" w:sz="4" w:space="0" w:color="000000"/>
              <w:left w:val="single" w:sz="4" w:space="0" w:color="000000"/>
              <w:bottom w:val="single" w:sz="4" w:space="0" w:color="000000"/>
            </w:tcBorders>
          </w:tcPr>
          <w:p>
            <w:pPr>
              <w:pStyle w:val="TableParagraph"/>
              <w:spacing w:before="67"/>
              <w:ind w:left="117"/>
              <w:rPr>
                <w:rFonts w:ascii="宋体" w:eastAsia="宋体" w:hint="eastAsia"/>
                <w:sz w:val="18"/>
              </w:rPr>
            </w:pPr>
            <w:r>
              <w:rPr>
                <w:rFonts w:ascii="宋体" w:eastAsia="宋体" w:hint="eastAsia"/>
                <w:sz w:val="18"/>
              </w:rPr>
              <w:t>小微企业优惠政策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海尔智家（青岛）网络运营有限公司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456"/>
              <w:rPr>
                <w:sz w:val="18"/>
              </w:rPr>
            </w:pPr>
            <w:r>
              <w:rPr>
                <w:sz w:val="18"/>
              </w:rPr>
              <w:t>5%</w:t>
            </w:r>
          </w:p>
        </w:tc>
        <w:tc>
          <w:tcPr>
            <w:tcW w:w="3435" w:type="dxa"/>
            <w:tcBorders>
              <w:top w:val="single" w:sz="4" w:space="0" w:color="000000"/>
              <w:left w:val="single" w:sz="4" w:space="0" w:color="000000"/>
              <w:bottom w:val="single" w:sz="4" w:space="0" w:color="000000"/>
            </w:tcBorders>
          </w:tcPr>
          <w:p>
            <w:pPr>
              <w:pStyle w:val="TableParagraph"/>
              <w:spacing w:before="69"/>
              <w:ind w:left="117"/>
              <w:rPr>
                <w:rFonts w:ascii="宋体" w:eastAsia="宋体" w:hint="eastAsia"/>
                <w:sz w:val="18"/>
              </w:rPr>
            </w:pPr>
            <w:r>
              <w:rPr>
                <w:rFonts w:ascii="宋体" w:eastAsia="宋体" w:hint="eastAsia"/>
                <w:sz w:val="18"/>
              </w:rPr>
              <w:t>小微企业优惠政策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重庆海尔家电销售有限公司及部分西部分公司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410"/>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9"/>
              <w:ind w:left="117"/>
              <w:rPr>
                <w:rFonts w:ascii="宋体" w:eastAsia="宋体" w:hint="eastAsia"/>
                <w:sz w:val="18"/>
              </w:rPr>
            </w:pPr>
            <w:r>
              <w:rPr>
                <w:rFonts w:ascii="宋体" w:eastAsia="宋体" w:hint="eastAsia"/>
                <w:sz w:val="18"/>
              </w:rPr>
              <w:t>国家西部大开发税收优惠政策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重庆新日日顺电器销售有限公司及部分西部分公司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410"/>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9"/>
              <w:ind w:left="117"/>
              <w:rPr>
                <w:rFonts w:ascii="宋体" w:eastAsia="宋体" w:hint="eastAsia"/>
                <w:sz w:val="18"/>
              </w:rPr>
            </w:pPr>
            <w:r>
              <w:rPr>
                <w:rFonts w:ascii="宋体" w:eastAsia="宋体" w:hint="eastAsia"/>
                <w:sz w:val="18"/>
              </w:rPr>
              <w:t>国家西部大开发税收优惠政策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重庆海尔空调器有限公司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410"/>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9"/>
              <w:ind w:left="117"/>
              <w:rPr>
                <w:rFonts w:ascii="宋体" w:eastAsia="宋体" w:hint="eastAsia"/>
                <w:sz w:val="18"/>
              </w:rPr>
            </w:pPr>
            <w:r>
              <w:rPr>
                <w:rFonts w:ascii="宋体" w:eastAsia="宋体" w:hint="eastAsia"/>
                <w:sz w:val="18"/>
              </w:rPr>
              <w:t>国家西部大开发税收优惠政策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70"/>
              <w:ind w:left="107"/>
              <w:rPr>
                <w:rFonts w:ascii="宋体" w:eastAsia="宋体" w:hint="eastAsia"/>
                <w:sz w:val="18"/>
              </w:rPr>
            </w:pPr>
            <w:r>
              <w:rPr>
                <w:rFonts w:ascii="宋体" w:eastAsia="宋体" w:hint="eastAsia"/>
                <w:sz w:val="18"/>
              </w:rPr>
              <w:t>重庆海尔制冷电器有限公司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7"/>
              <w:ind w:left="410"/>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70"/>
              <w:ind w:left="117"/>
              <w:rPr>
                <w:rFonts w:ascii="宋体" w:eastAsia="宋体" w:hint="eastAsia"/>
                <w:sz w:val="18"/>
              </w:rPr>
            </w:pPr>
            <w:r>
              <w:rPr>
                <w:rFonts w:ascii="宋体" w:eastAsia="宋体" w:hint="eastAsia"/>
                <w:sz w:val="18"/>
              </w:rPr>
              <w:t>国家西部大开发税收优惠政策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贵州海尔电器有限公司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410"/>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7"/>
              <w:ind w:left="117"/>
              <w:rPr>
                <w:rFonts w:ascii="宋体" w:eastAsia="宋体" w:hint="eastAsia"/>
                <w:sz w:val="18"/>
              </w:rPr>
            </w:pPr>
            <w:r>
              <w:rPr>
                <w:rFonts w:ascii="宋体" w:eastAsia="宋体" w:hint="eastAsia"/>
                <w:sz w:val="18"/>
              </w:rPr>
              <w:t>国家西部大开发税收优惠政策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重庆海尔洗衣机有限公司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410"/>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7"/>
              <w:ind w:left="117"/>
              <w:rPr>
                <w:rFonts w:ascii="宋体" w:eastAsia="宋体" w:hint="eastAsia"/>
                <w:sz w:val="18"/>
              </w:rPr>
            </w:pPr>
            <w:r>
              <w:rPr>
                <w:rFonts w:ascii="宋体" w:eastAsia="宋体" w:hint="eastAsia"/>
                <w:sz w:val="18"/>
              </w:rPr>
              <w:t>国家西部大开发税收优惠政策</w:t>
            </w:r>
          </w:p>
        </w:tc>
      </w:tr>
      <w:tr>
        <w:trPr>
          <w:trHeight w:val="369" w:hRule="atLeast"/>
        </w:trPr>
        <w:tc>
          <w:tcPr>
            <w:tcW w:w="4246"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重庆海尔热水器有限公司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76"/>
              <w:ind w:left="410"/>
              <w:rPr>
                <w:sz w:val="18"/>
              </w:rPr>
            </w:pPr>
            <w:r>
              <w:rPr>
                <w:sz w:val="18"/>
              </w:rPr>
              <w:t>15%</w:t>
            </w:r>
          </w:p>
        </w:tc>
        <w:tc>
          <w:tcPr>
            <w:tcW w:w="3435" w:type="dxa"/>
            <w:tcBorders>
              <w:top w:val="single" w:sz="4" w:space="0" w:color="000000"/>
              <w:left w:val="single" w:sz="4" w:space="0" w:color="000000"/>
              <w:bottom w:val="single" w:sz="4" w:space="0" w:color="000000"/>
            </w:tcBorders>
          </w:tcPr>
          <w:p>
            <w:pPr>
              <w:pStyle w:val="TableParagraph"/>
              <w:spacing w:before="67"/>
              <w:ind w:left="117"/>
              <w:rPr>
                <w:rFonts w:ascii="宋体" w:eastAsia="宋体" w:hint="eastAsia"/>
                <w:sz w:val="18"/>
              </w:rPr>
            </w:pPr>
            <w:r>
              <w:rPr>
                <w:rFonts w:ascii="宋体" w:eastAsia="宋体" w:hint="eastAsia"/>
                <w:sz w:val="18"/>
              </w:rPr>
              <w:t>国家西部大开发税收优惠政策</w:t>
            </w:r>
          </w:p>
        </w:tc>
      </w:tr>
      <w:tr>
        <w:trPr>
          <w:trHeight w:val="366" w:hRule="atLeast"/>
        </w:trPr>
        <w:tc>
          <w:tcPr>
            <w:tcW w:w="4246" w:type="dxa"/>
            <w:tcBorders>
              <w:top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重庆海尔滚筒洗衣机有限公司</w:t>
            </w:r>
          </w:p>
        </w:tc>
        <w:tc>
          <w:tcPr>
            <w:tcW w:w="1133" w:type="dxa"/>
            <w:tcBorders>
              <w:top w:val="single" w:sz="4" w:space="0" w:color="000000"/>
              <w:left w:val="single" w:sz="4" w:space="0" w:color="000000"/>
              <w:right w:val="single" w:sz="4" w:space="0" w:color="000000"/>
            </w:tcBorders>
          </w:tcPr>
          <w:p>
            <w:pPr>
              <w:pStyle w:val="TableParagraph"/>
              <w:spacing w:before="76"/>
              <w:ind w:left="410"/>
              <w:rPr>
                <w:sz w:val="18"/>
              </w:rPr>
            </w:pPr>
            <w:r>
              <w:rPr>
                <w:sz w:val="18"/>
              </w:rPr>
              <w:t>15%</w:t>
            </w:r>
          </w:p>
        </w:tc>
        <w:tc>
          <w:tcPr>
            <w:tcW w:w="3435" w:type="dxa"/>
            <w:tcBorders>
              <w:top w:val="single" w:sz="4" w:space="0" w:color="000000"/>
              <w:left w:val="single" w:sz="4" w:space="0" w:color="000000"/>
            </w:tcBorders>
          </w:tcPr>
          <w:p>
            <w:pPr>
              <w:pStyle w:val="TableParagraph"/>
              <w:spacing w:before="67"/>
              <w:ind w:left="117"/>
              <w:rPr>
                <w:rFonts w:ascii="宋体" w:eastAsia="宋体" w:hint="eastAsia"/>
                <w:sz w:val="18"/>
              </w:rPr>
            </w:pPr>
            <w:r>
              <w:rPr>
                <w:rFonts w:ascii="宋体" w:eastAsia="宋体" w:hint="eastAsia"/>
                <w:sz w:val="18"/>
              </w:rPr>
              <w:t>国家西部大开发税收优惠政策</w:t>
            </w:r>
          </w:p>
        </w:tc>
      </w:tr>
    </w:tbl>
    <w:p>
      <w:pPr>
        <w:pStyle w:val="BodyText"/>
        <w:spacing w:before="5"/>
        <w:rPr>
          <w:rFonts w:ascii="Times New Roman"/>
          <w:sz w:val="20"/>
        </w:rPr>
      </w:pPr>
    </w:p>
    <w:p>
      <w:pPr>
        <w:pStyle w:val="Heading4"/>
        <w:spacing w:line="359" w:lineRule="exact" w:before="2"/>
      </w:pPr>
      <w:r>
        <w:rPr/>
        <w:t>七、 合并财务报表项目注释</w:t>
      </w:r>
    </w:p>
    <w:p>
      <w:pPr>
        <w:pStyle w:val="Heading4"/>
        <w:spacing w:line="359" w:lineRule="exact"/>
      </w:pPr>
      <w:r>
        <w:rPr>
          <w:rFonts w:ascii="Times New Roman" w:eastAsia="Times New Roman"/>
        </w:rPr>
        <w:t>1</w:t>
      </w:r>
      <w:r>
        <w:rPr/>
        <w:t>、 货币资金</w:t>
      </w:r>
    </w:p>
    <w:p>
      <w:pPr>
        <w:pStyle w:val="BodyText"/>
        <w:tabs>
          <w:tab w:pos="2380" w:val="left" w:leader="none"/>
        </w:tabs>
        <w:spacing w:before="17"/>
        <w:ind w:left="1538"/>
      </w:pPr>
      <w:r>
        <w:rPr/>
        <w:t>√适用</w:t>
        <w:tab/>
      </w:r>
      <w:r>
        <w:rPr>
          <w:spacing w:val="-3"/>
        </w:rPr>
        <w:t>□</w:t>
      </w:r>
      <w:r>
        <w:rPr/>
        <w:t>不</w:t>
      </w:r>
      <w:r>
        <w:rPr>
          <w:spacing w:val="-3"/>
        </w:rPr>
        <w:t>适</w:t>
      </w:r>
      <w:r>
        <w:rPr/>
        <w:t>用</w:t>
      </w:r>
    </w:p>
    <w:p>
      <w:pPr>
        <w:pStyle w:val="BodyText"/>
        <w:tabs>
          <w:tab w:pos="9111" w:val="left" w:leader="none"/>
        </w:tabs>
        <w:spacing w:before="2" w:after="3"/>
        <w:ind w:left="8059"/>
      </w:pPr>
      <w:r>
        <w:rPr/>
        <w:t>单位：元</w:t>
        <w:tab/>
        <w:t>币</w:t>
      </w:r>
      <w:r>
        <w:rPr>
          <w:spacing w:val="-3"/>
        </w:rPr>
        <w:t>种</w:t>
      </w:r>
      <w:r>
        <w:rPr/>
        <w:t>：</w:t>
      </w:r>
      <w:r>
        <w:rPr>
          <w:spacing w:val="-3"/>
        </w:rPr>
        <w:t>人</w:t>
      </w:r>
      <w:r>
        <w:rPr/>
        <w:t>民币</w:t>
      </w:r>
    </w:p>
    <w:tbl>
      <w:tblPr>
        <w:tblW w:w="0" w:type="auto"/>
        <w:jc w:val="left"/>
        <w:tblInd w:w="14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089"/>
        <w:gridCol w:w="2566"/>
        <w:gridCol w:w="3406"/>
      </w:tblGrid>
      <w:tr>
        <w:trPr>
          <w:trHeight w:val="273" w:hRule="atLeast"/>
        </w:trPr>
        <w:tc>
          <w:tcPr>
            <w:tcW w:w="3089" w:type="dxa"/>
            <w:tcBorders>
              <w:bottom w:val="single" w:sz="4" w:space="0" w:color="000000"/>
              <w:right w:val="single" w:sz="4" w:space="0" w:color="000000"/>
            </w:tcBorders>
          </w:tcPr>
          <w:p>
            <w:pPr>
              <w:pStyle w:val="TableParagraph"/>
              <w:spacing w:line="253" w:lineRule="exact"/>
              <w:ind w:left="1312" w:right="1296"/>
              <w:jc w:val="center"/>
              <w:rPr>
                <w:rFonts w:ascii="Microsoft JhengHei" w:eastAsia="Microsoft JhengHei" w:hint="eastAsia"/>
                <w:b/>
                <w:sz w:val="21"/>
              </w:rPr>
            </w:pPr>
            <w:r>
              <w:rPr>
                <w:rFonts w:ascii="Microsoft JhengHei" w:eastAsia="Microsoft JhengHei" w:hint="eastAsia"/>
                <w:b/>
                <w:sz w:val="21"/>
              </w:rPr>
              <w:t>项目</w:t>
            </w:r>
          </w:p>
        </w:tc>
        <w:tc>
          <w:tcPr>
            <w:tcW w:w="2566" w:type="dxa"/>
            <w:tcBorders>
              <w:left w:val="single" w:sz="4" w:space="0" w:color="000000"/>
              <w:bottom w:val="single" w:sz="4" w:space="0" w:color="000000"/>
              <w:right w:val="single" w:sz="4" w:space="0" w:color="000000"/>
            </w:tcBorders>
          </w:tcPr>
          <w:p>
            <w:pPr>
              <w:pStyle w:val="TableParagraph"/>
              <w:spacing w:line="253" w:lineRule="exact"/>
              <w:ind w:left="871"/>
              <w:rPr>
                <w:rFonts w:ascii="Microsoft JhengHei" w:eastAsia="Microsoft JhengHei" w:hint="eastAsia"/>
                <w:b/>
                <w:sz w:val="21"/>
              </w:rPr>
            </w:pPr>
            <w:r>
              <w:rPr>
                <w:rFonts w:ascii="Microsoft JhengHei" w:eastAsia="Microsoft JhengHei" w:hint="eastAsia"/>
                <w:b/>
                <w:sz w:val="21"/>
              </w:rPr>
              <w:t>期末余额</w:t>
            </w:r>
          </w:p>
        </w:tc>
        <w:tc>
          <w:tcPr>
            <w:tcW w:w="3406" w:type="dxa"/>
            <w:tcBorders>
              <w:left w:val="single" w:sz="4" w:space="0" w:color="000000"/>
              <w:bottom w:val="single" w:sz="4" w:space="0" w:color="000000"/>
            </w:tcBorders>
          </w:tcPr>
          <w:p>
            <w:pPr>
              <w:pStyle w:val="TableParagraph"/>
              <w:spacing w:line="253" w:lineRule="exact"/>
              <w:ind w:left="1271" w:right="1235"/>
              <w:jc w:val="center"/>
              <w:rPr>
                <w:rFonts w:ascii="Microsoft JhengHei" w:eastAsia="Microsoft JhengHei" w:hint="eastAsia"/>
                <w:b/>
                <w:sz w:val="21"/>
              </w:rPr>
            </w:pPr>
            <w:r>
              <w:rPr>
                <w:rFonts w:ascii="Microsoft JhengHei" w:eastAsia="Microsoft JhengHei" w:hint="eastAsia"/>
                <w:b/>
                <w:sz w:val="21"/>
              </w:rPr>
              <w:t>期初余额</w:t>
            </w:r>
          </w:p>
        </w:tc>
      </w:tr>
      <w:tr>
        <w:trPr>
          <w:trHeight w:val="270" w:hRule="atLeast"/>
        </w:trPr>
        <w:tc>
          <w:tcPr>
            <w:tcW w:w="3089" w:type="dxa"/>
            <w:tcBorders>
              <w:top w:val="single" w:sz="4" w:space="0" w:color="000000"/>
              <w:bottom w:val="single" w:sz="4" w:space="0" w:color="000000"/>
              <w:right w:val="single" w:sz="4" w:space="0" w:color="000000"/>
            </w:tcBorders>
          </w:tcPr>
          <w:p>
            <w:pPr>
              <w:pStyle w:val="TableParagraph"/>
              <w:spacing w:line="250" w:lineRule="exact" w:before="1"/>
              <w:ind w:left="112"/>
              <w:rPr>
                <w:rFonts w:ascii="宋体" w:eastAsia="宋体" w:hint="eastAsia"/>
                <w:sz w:val="21"/>
              </w:rPr>
            </w:pPr>
            <w:r>
              <w:rPr>
                <w:rFonts w:ascii="宋体" w:eastAsia="宋体" w:hint="eastAsia"/>
                <w:sz w:val="21"/>
              </w:rPr>
              <w:t>库存现金</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before="7"/>
              <w:ind w:right="88"/>
              <w:jc w:val="right"/>
              <w:rPr>
                <w:sz w:val="21"/>
              </w:rPr>
            </w:pPr>
            <w:r>
              <w:rPr>
                <w:sz w:val="21"/>
              </w:rPr>
              <w:t>2,257,666.98</w:t>
            </w:r>
          </w:p>
        </w:tc>
        <w:tc>
          <w:tcPr>
            <w:tcW w:w="3406" w:type="dxa"/>
            <w:tcBorders>
              <w:top w:val="single" w:sz="4" w:space="0" w:color="000000"/>
              <w:left w:val="single" w:sz="4" w:space="0" w:color="000000"/>
              <w:bottom w:val="single" w:sz="4" w:space="0" w:color="000000"/>
            </w:tcBorders>
          </w:tcPr>
          <w:p>
            <w:pPr>
              <w:pStyle w:val="TableParagraph"/>
              <w:spacing w:before="7"/>
              <w:ind w:right="80"/>
              <w:jc w:val="right"/>
              <w:rPr>
                <w:sz w:val="21"/>
              </w:rPr>
            </w:pPr>
            <w:r>
              <w:rPr>
                <w:sz w:val="21"/>
              </w:rPr>
              <w:t>7,556,892.38</w:t>
            </w:r>
          </w:p>
        </w:tc>
      </w:tr>
      <w:tr>
        <w:trPr>
          <w:trHeight w:val="273" w:hRule="atLeast"/>
        </w:trPr>
        <w:tc>
          <w:tcPr>
            <w:tcW w:w="3089" w:type="dxa"/>
            <w:tcBorders>
              <w:top w:val="single" w:sz="4" w:space="0" w:color="000000"/>
              <w:bottom w:val="single" w:sz="4" w:space="0" w:color="000000"/>
              <w:right w:val="single" w:sz="4" w:space="0" w:color="000000"/>
            </w:tcBorders>
          </w:tcPr>
          <w:p>
            <w:pPr>
              <w:pStyle w:val="TableParagraph"/>
              <w:spacing w:line="250" w:lineRule="exact" w:before="3"/>
              <w:ind w:left="112"/>
              <w:rPr>
                <w:rFonts w:ascii="宋体" w:eastAsia="宋体" w:hint="eastAsia"/>
                <w:sz w:val="21"/>
              </w:rPr>
            </w:pPr>
            <w:r>
              <w:rPr>
                <w:rFonts w:ascii="宋体" w:eastAsia="宋体" w:hint="eastAsia"/>
                <w:sz w:val="21"/>
              </w:rPr>
              <w:t>银行存款</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before="10"/>
              <w:ind w:right="88"/>
              <w:jc w:val="right"/>
              <w:rPr>
                <w:sz w:val="21"/>
              </w:rPr>
            </w:pPr>
            <w:r>
              <w:rPr>
                <w:sz w:val="21"/>
              </w:rPr>
              <w:t>45,306,078,417.59</w:t>
            </w:r>
          </w:p>
        </w:tc>
        <w:tc>
          <w:tcPr>
            <w:tcW w:w="3406" w:type="dxa"/>
            <w:tcBorders>
              <w:top w:val="single" w:sz="4" w:space="0" w:color="000000"/>
              <w:left w:val="single" w:sz="4" w:space="0" w:color="000000"/>
              <w:bottom w:val="single" w:sz="4" w:space="0" w:color="000000"/>
            </w:tcBorders>
          </w:tcPr>
          <w:p>
            <w:pPr>
              <w:pStyle w:val="TableParagraph"/>
              <w:spacing w:before="10"/>
              <w:ind w:right="80"/>
              <w:jc w:val="right"/>
              <w:rPr>
                <w:sz w:val="21"/>
              </w:rPr>
            </w:pPr>
            <w:r>
              <w:rPr>
                <w:sz w:val="21"/>
              </w:rPr>
              <w:t>34,502,656,877.99</w:t>
            </w:r>
          </w:p>
        </w:tc>
      </w:tr>
      <w:tr>
        <w:trPr>
          <w:trHeight w:val="273" w:hRule="atLeast"/>
        </w:trPr>
        <w:tc>
          <w:tcPr>
            <w:tcW w:w="3089" w:type="dxa"/>
            <w:tcBorders>
              <w:top w:val="single" w:sz="4" w:space="0" w:color="000000"/>
              <w:bottom w:val="single" w:sz="4" w:space="0" w:color="000000"/>
              <w:right w:val="single" w:sz="4" w:space="0" w:color="000000"/>
            </w:tcBorders>
          </w:tcPr>
          <w:p>
            <w:pPr>
              <w:pStyle w:val="TableParagraph"/>
              <w:spacing w:line="252" w:lineRule="exact" w:before="1"/>
              <w:ind w:left="112"/>
              <w:rPr>
                <w:rFonts w:ascii="宋体" w:eastAsia="宋体" w:hint="eastAsia"/>
                <w:sz w:val="21"/>
              </w:rPr>
            </w:pPr>
            <w:r>
              <w:rPr>
                <w:rFonts w:ascii="宋体" w:eastAsia="宋体" w:hint="eastAsia"/>
                <w:sz w:val="21"/>
              </w:rPr>
              <w:t>其他货币资金</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before="10"/>
              <w:ind w:right="88"/>
              <w:jc w:val="right"/>
              <w:rPr>
                <w:sz w:val="21"/>
              </w:rPr>
            </w:pPr>
            <w:r>
              <w:rPr>
                <w:sz w:val="21"/>
              </w:rPr>
              <w:t>1,152,993,342.34</w:t>
            </w:r>
          </w:p>
        </w:tc>
        <w:tc>
          <w:tcPr>
            <w:tcW w:w="3406" w:type="dxa"/>
            <w:tcBorders>
              <w:top w:val="single" w:sz="4" w:space="0" w:color="000000"/>
              <w:left w:val="single" w:sz="4" w:space="0" w:color="000000"/>
              <w:bottom w:val="single" w:sz="4" w:space="0" w:color="000000"/>
            </w:tcBorders>
          </w:tcPr>
          <w:p>
            <w:pPr>
              <w:pStyle w:val="TableParagraph"/>
              <w:spacing w:before="10"/>
              <w:ind w:right="80"/>
              <w:jc w:val="right"/>
              <w:rPr>
                <w:sz w:val="21"/>
              </w:rPr>
            </w:pPr>
            <w:r>
              <w:rPr>
                <w:sz w:val="21"/>
              </w:rPr>
              <w:t>1,668,601,912.88</w:t>
            </w:r>
          </w:p>
        </w:tc>
      </w:tr>
      <w:tr>
        <w:trPr>
          <w:trHeight w:val="270" w:hRule="atLeast"/>
        </w:trPr>
        <w:tc>
          <w:tcPr>
            <w:tcW w:w="3089" w:type="dxa"/>
            <w:tcBorders>
              <w:top w:val="single" w:sz="4" w:space="0" w:color="000000"/>
              <w:bottom w:val="single" w:sz="4" w:space="0" w:color="000000"/>
              <w:right w:val="single" w:sz="4" w:space="0" w:color="000000"/>
            </w:tcBorders>
          </w:tcPr>
          <w:p>
            <w:pPr>
              <w:pStyle w:val="TableParagraph"/>
              <w:spacing w:line="250" w:lineRule="exact" w:before="1"/>
              <w:ind w:left="112"/>
              <w:rPr>
                <w:rFonts w:ascii="宋体" w:eastAsia="宋体" w:hint="eastAsia"/>
                <w:sz w:val="21"/>
              </w:rPr>
            </w:pPr>
            <w:r>
              <w:rPr>
                <w:rFonts w:ascii="宋体" w:eastAsia="宋体" w:hint="eastAsia"/>
                <w:sz w:val="21"/>
              </w:rPr>
              <w:t>合计</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before="7"/>
              <w:ind w:right="88"/>
              <w:jc w:val="right"/>
              <w:rPr>
                <w:sz w:val="21"/>
              </w:rPr>
            </w:pPr>
            <w:r>
              <w:rPr>
                <w:sz w:val="21"/>
              </w:rPr>
              <w:t>46,461,329,426.91</w:t>
            </w:r>
          </w:p>
        </w:tc>
        <w:tc>
          <w:tcPr>
            <w:tcW w:w="3406" w:type="dxa"/>
            <w:tcBorders>
              <w:top w:val="single" w:sz="4" w:space="0" w:color="000000"/>
              <w:left w:val="single" w:sz="4" w:space="0" w:color="000000"/>
              <w:bottom w:val="single" w:sz="4" w:space="0" w:color="000000"/>
            </w:tcBorders>
          </w:tcPr>
          <w:p>
            <w:pPr>
              <w:pStyle w:val="TableParagraph"/>
              <w:spacing w:before="7"/>
              <w:ind w:right="80"/>
              <w:jc w:val="right"/>
              <w:rPr>
                <w:sz w:val="21"/>
              </w:rPr>
            </w:pPr>
            <w:r>
              <w:rPr>
                <w:sz w:val="21"/>
              </w:rPr>
              <w:t>36,178,815,683.25</w:t>
            </w:r>
          </w:p>
        </w:tc>
      </w:tr>
      <w:tr>
        <w:trPr>
          <w:trHeight w:val="270" w:hRule="atLeast"/>
        </w:trPr>
        <w:tc>
          <w:tcPr>
            <w:tcW w:w="3089" w:type="dxa"/>
            <w:tcBorders>
              <w:top w:val="single" w:sz="4" w:space="0" w:color="000000"/>
              <w:right w:val="single" w:sz="4" w:space="0" w:color="000000"/>
            </w:tcBorders>
          </w:tcPr>
          <w:p>
            <w:pPr>
              <w:pStyle w:val="TableParagraph"/>
              <w:spacing w:line="249" w:lineRule="exact" w:before="1"/>
              <w:ind w:left="323"/>
              <w:rPr>
                <w:rFonts w:ascii="宋体" w:eastAsia="宋体" w:hint="eastAsia"/>
                <w:sz w:val="21"/>
              </w:rPr>
            </w:pPr>
            <w:r>
              <w:rPr>
                <w:rFonts w:ascii="宋体" w:eastAsia="宋体" w:hint="eastAsia"/>
                <w:sz w:val="21"/>
              </w:rPr>
              <w:t>其中：存放在境外的款项总额</w:t>
            </w:r>
          </w:p>
        </w:tc>
        <w:tc>
          <w:tcPr>
            <w:tcW w:w="2566" w:type="dxa"/>
            <w:tcBorders>
              <w:top w:val="single" w:sz="4" w:space="0" w:color="000000"/>
              <w:left w:val="single" w:sz="4" w:space="0" w:color="000000"/>
              <w:right w:val="single" w:sz="4" w:space="0" w:color="000000"/>
            </w:tcBorders>
          </w:tcPr>
          <w:p>
            <w:pPr>
              <w:pStyle w:val="TableParagraph"/>
              <w:spacing w:line="240" w:lineRule="exact" w:before="10"/>
              <w:ind w:right="88"/>
              <w:jc w:val="right"/>
              <w:rPr>
                <w:sz w:val="21"/>
              </w:rPr>
            </w:pPr>
            <w:r>
              <w:rPr>
                <w:sz w:val="21"/>
              </w:rPr>
              <w:t>10,409,047,820.91</w:t>
            </w:r>
          </w:p>
        </w:tc>
        <w:tc>
          <w:tcPr>
            <w:tcW w:w="3406" w:type="dxa"/>
            <w:tcBorders>
              <w:top w:val="single" w:sz="4" w:space="0" w:color="000000"/>
              <w:left w:val="single" w:sz="4" w:space="0" w:color="000000"/>
            </w:tcBorders>
          </w:tcPr>
          <w:p>
            <w:pPr>
              <w:pStyle w:val="TableParagraph"/>
              <w:spacing w:line="240" w:lineRule="exact" w:before="10"/>
              <w:ind w:right="80"/>
              <w:jc w:val="right"/>
              <w:rPr>
                <w:sz w:val="21"/>
              </w:rPr>
            </w:pPr>
            <w:r>
              <w:rPr>
                <w:sz w:val="21"/>
              </w:rPr>
              <w:t>8,787,573,078.32</w:t>
            </w:r>
          </w:p>
        </w:tc>
      </w:tr>
    </w:tbl>
    <w:p>
      <w:pPr>
        <w:pStyle w:val="BodyText"/>
        <w:spacing w:before="3"/>
        <w:ind w:left="1538"/>
      </w:pPr>
      <w:r>
        <w:rPr>
          <w:w w:val="100"/>
        </w:rPr>
        <w:t> </w:t>
      </w:r>
    </w:p>
    <w:p>
      <w:pPr>
        <w:pStyle w:val="BodyText"/>
        <w:spacing w:before="5"/>
        <w:ind w:left="1538"/>
      </w:pPr>
      <w:r>
        <w:rPr/>
        <w:t>其他说明</w:t>
      </w:r>
    </w:p>
    <w:p>
      <w:pPr>
        <w:spacing w:after="0"/>
        <w:sectPr>
          <w:pgSz w:w="11910" w:h="16840"/>
          <w:pgMar w:header="876" w:footer="1199" w:top="1440" w:bottom="1400" w:left="260" w:right="0"/>
        </w:sectPr>
      </w:pPr>
    </w:p>
    <w:p>
      <w:pPr>
        <w:pStyle w:val="BodyText"/>
        <w:spacing w:before="9"/>
        <w:rPr>
          <w:sz w:val="12"/>
        </w:rPr>
      </w:pPr>
    </w:p>
    <w:p>
      <w:pPr>
        <w:pStyle w:val="BodyText"/>
        <w:spacing w:before="78"/>
        <w:ind w:right="1267"/>
        <w:jc w:val="right"/>
      </w:pPr>
      <w:r>
        <w:rPr>
          <w:spacing w:val="-3"/>
        </w:rPr>
        <w:t>期末货币资金中存放于海尔集团财务有限责任公司的金额为 </w:t>
      </w:r>
      <w:r>
        <w:rPr>
          <w:rFonts w:ascii="Times New Roman" w:eastAsia="Times New Roman"/>
        </w:rPr>
        <w:t>24,957,736,213.04</w:t>
      </w:r>
      <w:r>
        <w:rPr>
          <w:rFonts w:ascii="Times New Roman" w:eastAsia="Times New Roman"/>
          <w:spacing w:val="1"/>
        </w:rPr>
        <w:t>  </w:t>
      </w:r>
      <w:r>
        <w:rPr>
          <w:spacing w:val="-3"/>
        </w:rPr>
        <w:t>元，该项存款</w:t>
      </w:r>
    </w:p>
    <w:p>
      <w:pPr>
        <w:pStyle w:val="BodyText"/>
        <w:spacing w:before="6"/>
        <w:rPr>
          <w:sz w:val="16"/>
        </w:rPr>
      </w:pPr>
    </w:p>
    <w:p>
      <w:pPr>
        <w:pStyle w:val="BodyText"/>
        <w:ind w:right="1274"/>
        <w:jc w:val="right"/>
      </w:pPr>
      <w:r>
        <w:rPr>
          <w:spacing w:val="8"/>
        </w:rPr>
        <w:t>余额中包含银行定期存款 </w:t>
      </w:r>
      <w:r>
        <w:rPr>
          <w:rFonts w:ascii="Times New Roman" w:eastAsia="Times New Roman"/>
        </w:rPr>
        <w:t>12,483,115,560.99</w:t>
      </w:r>
      <w:r>
        <w:rPr>
          <w:rFonts w:ascii="Times New Roman" w:eastAsia="Times New Roman"/>
          <w:spacing w:val="14"/>
        </w:rPr>
        <w:t>  </w:t>
      </w:r>
      <w:r>
        <w:rPr>
          <w:spacing w:val="5"/>
        </w:rPr>
        <w:t>元。其他货币资金期末余额中存出投资款金额为</w:t>
      </w:r>
    </w:p>
    <w:p>
      <w:pPr>
        <w:pStyle w:val="BodyText"/>
        <w:spacing w:before="6"/>
        <w:rPr>
          <w:sz w:val="16"/>
        </w:rPr>
      </w:pPr>
    </w:p>
    <w:p>
      <w:pPr>
        <w:pStyle w:val="BodyText"/>
        <w:ind w:left="1538"/>
      </w:pPr>
      <w:r>
        <w:rPr>
          <w:rFonts w:ascii="Times New Roman" w:eastAsia="Times New Roman"/>
        </w:rPr>
        <w:t>213,694,084.38</w:t>
      </w:r>
      <w:r>
        <w:rPr>
          <w:rFonts w:ascii="Times New Roman" w:eastAsia="Times New Roman"/>
          <w:spacing w:val="5"/>
        </w:rPr>
        <w:t> </w:t>
      </w:r>
      <w:r>
        <w:rPr>
          <w:spacing w:val="-7"/>
        </w:rPr>
        <w:t>元，第三方支付平台存款为 </w:t>
      </w:r>
      <w:r>
        <w:rPr>
          <w:rFonts w:ascii="Times New Roman" w:eastAsia="Times New Roman"/>
        </w:rPr>
        <w:t>113,102,469.53</w:t>
      </w:r>
      <w:r>
        <w:rPr>
          <w:rFonts w:ascii="Times New Roman" w:eastAsia="Times New Roman"/>
          <w:spacing w:val="6"/>
        </w:rPr>
        <w:t> </w:t>
      </w:r>
      <w:r>
        <w:rPr>
          <w:spacing w:val="-8"/>
        </w:rPr>
        <w:t>元，保证金金额为 </w:t>
      </w:r>
      <w:r>
        <w:rPr>
          <w:rFonts w:ascii="Times New Roman" w:eastAsia="Times New Roman"/>
        </w:rPr>
        <w:t>822,191,427.65</w:t>
      </w:r>
      <w:r>
        <w:rPr>
          <w:rFonts w:ascii="Times New Roman" w:eastAsia="Times New Roman"/>
          <w:spacing w:val="7"/>
        </w:rPr>
        <w:t> </w:t>
      </w:r>
      <w:r>
        <w:rPr>
          <w:spacing w:val="-3"/>
        </w:rPr>
        <w:t>元，</w:t>
      </w:r>
    </w:p>
    <w:p>
      <w:pPr>
        <w:pStyle w:val="BodyText"/>
        <w:spacing w:before="6"/>
        <w:rPr>
          <w:sz w:val="16"/>
        </w:rPr>
      </w:pPr>
    </w:p>
    <w:p>
      <w:pPr>
        <w:pStyle w:val="BodyText"/>
        <w:ind w:left="1538"/>
      </w:pPr>
      <w:r>
        <w:rPr/>
        <w:t>冻结款项为 </w:t>
      </w:r>
      <w:r>
        <w:rPr>
          <w:rFonts w:ascii="Times New Roman" w:eastAsia="Times New Roman"/>
        </w:rPr>
        <w:t>191,918.23 </w:t>
      </w:r>
      <w:r>
        <w:rPr/>
        <w:t>元，受限资金为 </w:t>
      </w:r>
      <w:r>
        <w:rPr>
          <w:rFonts w:ascii="Times New Roman" w:eastAsia="Times New Roman"/>
        </w:rPr>
        <w:t>3,813,442.55 </w:t>
      </w:r>
      <w:r>
        <w:rPr/>
        <w:t>元。</w:t>
      </w:r>
    </w:p>
    <w:p>
      <w:pPr>
        <w:pStyle w:val="BodyText"/>
        <w:spacing w:before="2"/>
      </w:pPr>
    </w:p>
    <w:p>
      <w:pPr>
        <w:pStyle w:val="Heading4"/>
      </w:pPr>
      <w:r>
        <w:rPr>
          <w:rFonts w:ascii="Times New Roman" w:eastAsia="Times New Roman"/>
        </w:rPr>
        <w:t>2</w:t>
      </w:r>
      <w:r>
        <w:rPr/>
        <w:t>、 交易性金融资产</w:t>
      </w:r>
    </w:p>
    <w:p>
      <w:pPr>
        <w:pStyle w:val="BodyText"/>
        <w:spacing w:before="17"/>
        <w:ind w:left="1538"/>
      </w:pPr>
      <w:r>
        <w:rPr>
          <w:w w:val="100"/>
        </w:rPr>
        <w:t> </w:t>
      </w: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447"/>
        <w:gridCol w:w="2804"/>
        <w:gridCol w:w="2799"/>
      </w:tblGrid>
      <w:tr>
        <w:trPr>
          <w:trHeight w:val="339" w:hRule="atLeast"/>
        </w:trPr>
        <w:tc>
          <w:tcPr>
            <w:tcW w:w="3447" w:type="dxa"/>
            <w:tcBorders>
              <w:bottom w:val="single" w:sz="4" w:space="0" w:color="000000"/>
              <w:right w:val="single" w:sz="4" w:space="0" w:color="000000"/>
            </w:tcBorders>
          </w:tcPr>
          <w:p>
            <w:pPr>
              <w:pStyle w:val="TableParagraph"/>
              <w:spacing w:line="320" w:lineRule="exact"/>
              <w:ind w:right="1491"/>
              <w:jc w:val="right"/>
              <w:rPr>
                <w:rFonts w:ascii="Microsoft JhengHei" w:eastAsia="Microsoft JhengHei" w:hint="eastAsia"/>
                <w:b/>
                <w:sz w:val="21"/>
              </w:rPr>
            </w:pPr>
            <w:r>
              <w:rPr>
                <w:rFonts w:ascii="Microsoft JhengHei" w:eastAsia="Microsoft JhengHei" w:hint="eastAsia"/>
                <w:b/>
                <w:sz w:val="21"/>
              </w:rPr>
              <w:t>项目</w:t>
            </w:r>
          </w:p>
        </w:tc>
        <w:tc>
          <w:tcPr>
            <w:tcW w:w="2804" w:type="dxa"/>
            <w:tcBorders>
              <w:left w:val="single" w:sz="4" w:space="0" w:color="000000"/>
              <w:bottom w:val="single" w:sz="4" w:space="0" w:color="000000"/>
              <w:right w:val="single" w:sz="4" w:space="0" w:color="000000"/>
            </w:tcBorders>
          </w:tcPr>
          <w:p>
            <w:pPr>
              <w:pStyle w:val="TableParagraph"/>
              <w:spacing w:line="320" w:lineRule="exact"/>
              <w:ind w:left="970" w:right="943"/>
              <w:jc w:val="center"/>
              <w:rPr>
                <w:rFonts w:ascii="Microsoft JhengHei" w:eastAsia="Microsoft JhengHei" w:hint="eastAsia"/>
                <w:b/>
                <w:sz w:val="21"/>
              </w:rPr>
            </w:pPr>
            <w:r>
              <w:rPr>
                <w:rFonts w:ascii="Microsoft JhengHei" w:eastAsia="Microsoft JhengHei" w:hint="eastAsia"/>
                <w:b/>
                <w:sz w:val="21"/>
              </w:rPr>
              <w:t>期末余额</w:t>
            </w:r>
          </w:p>
        </w:tc>
        <w:tc>
          <w:tcPr>
            <w:tcW w:w="2799" w:type="dxa"/>
            <w:tcBorders>
              <w:left w:val="single" w:sz="4" w:space="0" w:color="000000"/>
              <w:bottom w:val="single" w:sz="4" w:space="0" w:color="000000"/>
            </w:tcBorders>
          </w:tcPr>
          <w:p>
            <w:pPr>
              <w:pStyle w:val="TableParagraph"/>
              <w:spacing w:line="320" w:lineRule="exact"/>
              <w:ind w:left="971" w:right="928"/>
              <w:jc w:val="center"/>
              <w:rPr>
                <w:rFonts w:ascii="Microsoft JhengHei" w:eastAsia="Microsoft JhengHei" w:hint="eastAsia"/>
                <w:b/>
                <w:sz w:val="21"/>
              </w:rPr>
            </w:pPr>
            <w:r>
              <w:rPr>
                <w:rFonts w:ascii="Microsoft JhengHei" w:eastAsia="Microsoft JhengHei" w:hint="eastAsia"/>
                <w:b/>
                <w:sz w:val="21"/>
              </w:rPr>
              <w:t>期初余额</w:t>
            </w:r>
          </w:p>
        </w:tc>
      </w:tr>
      <w:tr>
        <w:trPr>
          <w:trHeight w:val="357" w:hRule="atLeast"/>
        </w:trPr>
        <w:tc>
          <w:tcPr>
            <w:tcW w:w="3447" w:type="dxa"/>
            <w:tcBorders>
              <w:top w:val="single" w:sz="4" w:space="0" w:color="000000"/>
              <w:bottom w:val="single" w:sz="4" w:space="0" w:color="000000"/>
              <w:right w:val="single" w:sz="4" w:space="0" w:color="000000"/>
            </w:tcBorders>
          </w:tcPr>
          <w:p>
            <w:pPr>
              <w:pStyle w:val="TableParagraph"/>
              <w:spacing w:before="44"/>
              <w:ind w:left="107"/>
              <w:rPr>
                <w:rFonts w:ascii="宋体" w:eastAsia="宋体" w:hint="eastAsia"/>
                <w:sz w:val="21"/>
              </w:rPr>
            </w:pPr>
            <w:r>
              <w:rPr>
                <w:rFonts w:ascii="宋体" w:eastAsia="宋体" w:hint="eastAsia"/>
                <w:sz w:val="21"/>
              </w:rPr>
              <w:t>远期外汇买卖合约</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before="51"/>
              <w:ind w:right="84"/>
              <w:jc w:val="right"/>
              <w:rPr>
                <w:sz w:val="21"/>
              </w:rPr>
            </w:pPr>
            <w:r>
              <w:rPr>
                <w:sz w:val="21"/>
              </w:rPr>
              <w:t>105,446,693.00</w:t>
            </w:r>
          </w:p>
        </w:tc>
        <w:tc>
          <w:tcPr>
            <w:tcW w:w="2799" w:type="dxa"/>
            <w:tcBorders>
              <w:top w:val="single" w:sz="4" w:space="0" w:color="000000"/>
              <w:left w:val="single" w:sz="4" w:space="0" w:color="000000"/>
              <w:bottom w:val="single" w:sz="4" w:space="0" w:color="000000"/>
            </w:tcBorders>
          </w:tcPr>
          <w:p>
            <w:pPr>
              <w:pStyle w:val="TableParagraph"/>
              <w:spacing w:before="51"/>
              <w:ind w:right="74"/>
              <w:jc w:val="right"/>
              <w:rPr>
                <w:sz w:val="21"/>
              </w:rPr>
            </w:pPr>
            <w:r>
              <w:rPr>
                <w:sz w:val="21"/>
              </w:rPr>
              <w:t>84,934,313.67</w:t>
            </w:r>
          </w:p>
        </w:tc>
      </w:tr>
      <w:tr>
        <w:trPr>
          <w:trHeight w:val="360" w:hRule="atLeast"/>
        </w:trPr>
        <w:tc>
          <w:tcPr>
            <w:tcW w:w="3447" w:type="dxa"/>
            <w:tcBorders>
              <w:top w:val="single" w:sz="4" w:space="0" w:color="000000"/>
              <w:bottom w:val="single" w:sz="4" w:space="0" w:color="000000"/>
              <w:right w:val="single" w:sz="4" w:space="0" w:color="000000"/>
            </w:tcBorders>
          </w:tcPr>
          <w:p>
            <w:pPr>
              <w:pStyle w:val="TableParagraph"/>
              <w:spacing w:before="47"/>
              <w:ind w:left="92"/>
              <w:rPr>
                <w:rFonts w:ascii="宋体" w:eastAsia="宋体" w:hint="eastAsia"/>
                <w:sz w:val="21"/>
              </w:rPr>
            </w:pPr>
            <w:r>
              <w:rPr>
                <w:rFonts w:ascii="宋体" w:eastAsia="宋体" w:hint="eastAsia"/>
                <w:sz w:val="21"/>
              </w:rPr>
              <w:t>短期理财产品</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before="54"/>
              <w:ind w:right="84"/>
              <w:jc w:val="right"/>
              <w:rPr>
                <w:sz w:val="21"/>
              </w:rPr>
            </w:pPr>
            <w:r>
              <w:rPr>
                <w:sz w:val="21"/>
              </w:rPr>
              <w:t>1,862,036,322.21</w:t>
            </w:r>
          </w:p>
        </w:tc>
        <w:tc>
          <w:tcPr>
            <w:tcW w:w="2799" w:type="dxa"/>
            <w:tcBorders>
              <w:top w:val="single" w:sz="4" w:space="0" w:color="000000"/>
              <w:left w:val="single" w:sz="4" w:space="0" w:color="000000"/>
              <w:bottom w:val="single" w:sz="4" w:space="0" w:color="000000"/>
            </w:tcBorders>
          </w:tcPr>
          <w:p>
            <w:pPr>
              <w:pStyle w:val="TableParagraph"/>
              <w:spacing w:before="54"/>
              <w:ind w:right="72"/>
              <w:jc w:val="right"/>
              <w:rPr>
                <w:sz w:val="21"/>
              </w:rPr>
            </w:pPr>
            <w:r>
              <w:rPr>
                <w:sz w:val="21"/>
              </w:rPr>
              <w:t>198,614,361.33</w:t>
            </w:r>
          </w:p>
        </w:tc>
      </w:tr>
      <w:tr>
        <w:trPr>
          <w:trHeight w:val="359" w:hRule="atLeast"/>
        </w:trPr>
        <w:tc>
          <w:tcPr>
            <w:tcW w:w="3447" w:type="dxa"/>
            <w:tcBorders>
              <w:top w:val="single" w:sz="4" w:space="0" w:color="000000"/>
              <w:bottom w:val="single" w:sz="4" w:space="0" w:color="000000"/>
              <w:right w:val="single" w:sz="4" w:space="0" w:color="000000"/>
            </w:tcBorders>
          </w:tcPr>
          <w:p>
            <w:pPr>
              <w:pStyle w:val="TableParagraph"/>
              <w:spacing w:before="44"/>
              <w:ind w:left="107"/>
              <w:rPr>
                <w:rFonts w:ascii="宋体" w:eastAsia="宋体" w:hint="eastAsia"/>
                <w:sz w:val="21"/>
              </w:rPr>
            </w:pPr>
            <w:r>
              <w:rPr>
                <w:rFonts w:ascii="宋体" w:eastAsia="宋体" w:hint="eastAsia"/>
                <w:sz w:val="21"/>
              </w:rPr>
              <w:t>投资基金</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before="53"/>
              <w:ind w:right="84"/>
              <w:jc w:val="right"/>
              <w:rPr>
                <w:sz w:val="21"/>
              </w:rPr>
            </w:pPr>
            <w:r>
              <w:rPr>
                <w:sz w:val="21"/>
              </w:rPr>
              <w:t>113,759,845.57</w:t>
            </w:r>
          </w:p>
        </w:tc>
        <w:tc>
          <w:tcPr>
            <w:tcW w:w="2799" w:type="dxa"/>
            <w:tcBorders>
              <w:top w:val="single" w:sz="4" w:space="0" w:color="000000"/>
              <w:left w:val="single" w:sz="4" w:space="0" w:color="000000"/>
              <w:bottom w:val="single" w:sz="4" w:space="0" w:color="000000"/>
            </w:tcBorders>
          </w:tcPr>
          <w:p>
            <w:pPr>
              <w:pStyle w:val="TableParagraph"/>
              <w:rPr>
                <w:sz w:val="20"/>
              </w:rPr>
            </w:pPr>
          </w:p>
        </w:tc>
      </w:tr>
      <w:tr>
        <w:trPr>
          <w:trHeight w:val="359" w:hRule="atLeast"/>
        </w:trPr>
        <w:tc>
          <w:tcPr>
            <w:tcW w:w="3447" w:type="dxa"/>
            <w:tcBorders>
              <w:top w:val="single" w:sz="4" w:space="0" w:color="000000"/>
              <w:bottom w:val="single" w:sz="4" w:space="0" w:color="000000"/>
              <w:right w:val="single" w:sz="4" w:space="0" w:color="000000"/>
            </w:tcBorders>
          </w:tcPr>
          <w:p>
            <w:pPr>
              <w:pStyle w:val="TableParagraph"/>
              <w:spacing w:before="44"/>
              <w:ind w:left="92"/>
              <w:rPr>
                <w:rFonts w:ascii="宋体" w:eastAsia="宋体" w:hint="eastAsia"/>
                <w:sz w:val="21"/>
              </w:rPr>
            </w:pPr>
            <w:r>
              <w:rPr>
                <w:rFonts w:ascii="宋体" w:eastAsia="宋体" w:hint="eastAsia"/>
                <w:sz w:val="21"/>
              </w:rPr>
              <w:t>其他权益工具投资</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before="53"/>
              <w:ind w:right="84"/>
              <w:jc w:val="right"/>
              <w:rPr>
                <w:sz w:val="21"/>
              </w:rPr>
            </w:pPr>
            <w:r>
              <w:rPr>
                <w:sz w:val="21"/>
              </w:rPr>
              <w:t>83,949,637.05</w:t>
            </w:r>
          </w:p>
        </w:tc>
        <w:tc>
          <w:tcPr>
            <w:tcW w:w="2799" w:type="dxa"/>
            <w:tcBorders>
              <w:top w:val="single" w:sz="4" w:space="0" w:color="000000"/>
              <w:left w:val="single" w:sz="4" w:space="0" w:color="000000"/>
              <w:bottom w:val="single" w:sz="4" w:space="0" w:color="000000"/>
            </w:tcBorders>
          </w:tcPr>
          <w:p>
            <w:pPr>
              <w:pStyle w:val="TableParagraph"/>
              <w:spacing w:before="53"/>
              <w:ind w:right="74"/>
              <w:jc w:val="right"/>
              <w:rPr>
                <w:sz w:val="21"/>
              </w:rPr>
            </w:pPr>
            <w:r>
              <w:rPr>
                <w:sz w:val="21"/>
              </w:rPr>
              <w:t>24,586,332.05</w:t>
            </w:r>
          </w:p>
        </w:tc>
      </w:tr>
      <w:tr>
        <w:trPr>
          <w:trHeight w:val="356" w:hRule="atLeast"/>
        </w:trPr>
        <w:tc>
          <w:tcPr>
            <w:tcW w:w="3447" w:type="dxa"/>
            <w:tcBorders>
              <w:top w:val="single" w:sz="4" w:space="0" w:color="000000"/>
              <w:right w:val="single" w:sz="4" w:space="0" w:color="000000"/>
            </w:tcBorders>
          </w:tcPr>
          <w:p>
            <w:pPr>
              <w:pStyle w:val="TableParagraph"/>
              <w:spacing w:before="44"/>
              <w:ind w:right="1491"/>
              <w:jc w:val="right"/>
              <w:rPr>
                <w:rFonts w:ascii="宋体" w:eastAsia="宋体" w:hint="eastAsia"/>
                <w:sz w:val="21"/>
              </w:rPr>
            </w:pPr>
            <w:r>
              <w:rPr>
                <w:rFonts w:ascii="宋体" w:eastAsia="宋体" w:hint="eastAsia"/>
                <w:sz w:val="21"/>
              </w:rPr>
              <w:t>合计</w:t>
            </w:r>
          </w:p>
        </w:tc>
        <w:tc>
          <w:tcPr>
            <w:tcW w:w="2804" w:type="dxa"/>
            <w:tcBorders>
              <w:top w:val="single" w:sz="4" w:space="0" w:color="000000"/>
              <w:left w:val="single" w:sz="4" w:space="0" w:color="000000"/>
              <w:right w:val="single" w:sz="4" w:space="0" w:color="000000"/>
            </w:tcBorders>
          </w:tcPr>
          <w:p>
            <w:pPr>
              <w:pStyle w:val="TableParagraph"/>
              <w:spacing w:before="51"/>
              <w:ind w:right="84"/>
              <w:jc w:val="right"/>
              <w:rPr>
                <w:sz w:val="21"/>
              </w:rPr>
            </w:pPr>
            <w:r>
              <w:rPr>
                <w:sz w:val="21"/>
              </w:rPr>
              <w:t>2,165,192,497.83</w:t>
            </w:r>
          </w:p>
        </w:tc>
        <w:tc>
          <w:tcPr>
            <w:tcW w:w="2799" w:type="dxa"/>
            <w:tcBorders>
              <w:top w:val="single" w:sz="4" w:space="0" w:color="000000"/>
              <w:left w:val="single" w:sz="4" w:space="0" w:color="000000"/>
            </w:tcBorders>
          </w:tcPr>
          <w:p>
            <w:pPr>
              <w:pStyle w:val="TableParagraph"/>
              <w:spacing w:before="51"/>
              <w:ind w:right="74"/>
              <w:jc w:val="right"/>
              <w:rPr>
                <w:sz w:val="21"/>
              </w:rPr>
            </w:pPr>
            <w:r>
              <w:rPr>
                <w:sz w:val="21"/>
              </w:rPr>
              <w:t>308,135,007.05</w:t>
            </w:r>
          </w:p>
        </w:tc>
      </w:tr>
    </w:tbl>
    <w:p>
      <w:pPr>
        <w:pStyle w:val="BodyText"/>
        <w:spacing w:line="265" w:lineRule="exact" w:before="3"/>
        <w:ind w:left="1538"/>
      </w:pPr>
      <w:r>
        <w:rPr>
          <w:w w:val="100"/>
        </w:rPr>
        <w:t> </w:t>
      </w:r>
    </w:p>
    <w:p>
      <w:pPr>
        <w:pStyle w:val="Heading4"/>
        <w:spacing w:line="383" w:lineRule="exact"/>
      </w:pPr>
      <w:r>
        <w:rPr>
          <w:rFonts w:ascii="Times New Roman" w:eastAsia="Times New Roman"/>
        </w:rPr>
        <w:t>3</w:t>
      </w:r>
      <w:r>
        <w:rPr/>
        <w:t>、 衍生金融资产</w:t>
      </w:r>
    </w:p>
    <w:p>
      <w:pPr>
        <w:pStyle w:val="BodyText"/>
        <w:spacing w:before="17"/>
        <w:ind w:left="1538"/>
      </w:pPr>
      <w:r>
        <w:rPr/>
        <w:t>√适用 □不适用</w:t>
      </w:r>
    </w:p>
    <w:p>
      <w:pPr>
        <w:pStyle w:val="BodyText"/>
        <w:tabs>
          <w:tab w:pos="9111" w:val="left" w:leader="none"/>
        </w:tabs>
        <w:spacing w:before="2" w:after="4"/>
        <w:ind w:left="8059"/>
      </w:pPr>
      <w:r>
        <w:rPr/>
        <w:t>单位：元</w:t>
        <w:tab/>
        <w:t>币</w:t>
      </w:r>
      <w:r>
        <w:rPr>
          <w:spacing w:val="-3"/>
        </w:rPr>
        <w:t>种</w:t>
      </w:r>
      <w:r>
        <w:rPr/>
        <w:t>：</w:t>
      </w:r>
      <w:r>
        <w:rPr>
          <w:spacing w:val="-3"/>
        </w:rPr>
        <w:t>人</w:t>
      </w:r>
      <w:r>
        <w:rPr/>
        <w:t>民币</w:t>
      </w: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651"/>
        <w:gridCol w:w="2688"/>
        <w:gridCol w:w="2710"/>
      </w:tblGrid>
      <w:tr>
        <w:trPr>
          <w:trHeight w:val="272" w:hRule="atLeast"/>
        </w:trPr>
        <w:tc>
          <w:tcPr>
            <w:tcW w:w="3651" w:type="dxa"/>
            <w:tcBorders>
              <w:bottom w:val="single" w:sz="4" w:space="0" w:color="000000"/>
              <w:right w:val="single" w:sz="4" w:space="0" w:color="000000"/>
            </w:tcBorders>
          </w:tcPr>
          <w:p>
            <w:pPr>
              <w:pStyle w:val="TableParagraph"/>
              <w:spacing w:line="253" w:lineRule="exact"/>
              <w:ind w:right="1594"/>
              <w:jc w:val="right"/>
              <w:rPr>
                <w:rFonts w:ascii="Microsoft JhengHei" w:eastAsia="Microsoft JhengHei" w:hint="eastAsia"/>
                <w:b/>
                <w:sz w:val="21"/>
              </w:rPr>
            </w:pPr>
            <w:r>
              <w:rPr>
                <w:rFonts w:ascii="Microsoft JhengHei" w:eastAsia="Microsoft JhengHei" w:hint="eastAsia"/>
                <w:b/>
                <w:sz w:val="21"/>
              </w:rPr>
              <w:t>项目</w:t>
            </w:r>
          </w:p>
        </w:tc>
        <w:tc>
          <w:tcPr>
            <w:tcW w:w="2688" w:type="dxa"/>
            <w:tcBorders>
              <w:left w:val="single" w:sz="4" w:space="0" w:color="000000"/>
              <w:bottom w:val="single" w:sz="4" w:space="0" w:color="000000"/>
              <w:right w:val="single" w:sz="4" w:space="0" w:color="000000"/>
            </w:tcBorders>
          </w:tcPr>
          <w:p>
            <w:pPr>
              <w:pStyle w:val="TableParagraph"/>
              <w:spacing w:line="253" w:lineRule="exact"/>
              <w:ind w:left="913" w:right="885"/>
              <w:jc w:val="center"/>
              <w:rPr>
                <w:rFonts w:ascii="Microsoft JhengHei" w:eastAsia="Microsoft JhengHei" w:hint="eastAsia"/>
                <w:b/>
                <w:sz w:val="21"/>
              </w:rPr>
            </w:pPr>
            <w:r>
              <w:rPr>
                <w:rFonts w:ascii="Microsoft JhengHei" w:eastAsia="Microsoft JhengHei" w:hint="eastAsia"/>
                <w:b/>
                <w:sz w:val="21"/>
              </w:rPr>
              <w:t>期末余额</w:t>
            </w:r>
          </w:p>
        </w:tc>
        <w:tc>
          <w:tcPr>
            <w:tcW w:w="2710" w:type="dxa"/>
            <w:tcBorders>
              <w:left w:val="single" w:sz="4" w:space="0" w:color="000000"/>
              <w:bottom w:val="single" w:sz="4" w:space="0" w:color="000000"/>
            </w:tcBorders>
          </w:tcPr>
          <w:p>
            <w:pPr>
              <w:pStyle w:val="TableParagraph"/>
              <w:spacing w:line="253" w:lineRule="exact"/>
              <w:ind w:left="926" w:right="884"/>
              <w:jc w:val="center"/>
              <w:rPr>
                <w:rFonts w:ascii="Microsoft JhengHei" w:eastAsia="Microsoft JhengHei" w:hint="eastAsia"/>
                <w:b/>
                <w:sz w:val="21"/>
              </w:rPr>
            </w:pPr>
            <w:r>
              <w:rPr>
                <w:rFonts w:ascii="Microsoft JhengHei" w:eastAsia="Microsoft JhengHei" w:hint="eastAsia"/>
                <w:b/>
                <w:sz w:val="21"/>
              </w:rPr>
              <w:t>期初余额</w:t>
            </w:r>
          </w:p>
        </w:tc>
      </w:tr>
      <w:tr>
        <w:trPr>
          <w:trHeight w:val="273" w:hRule="atLeast"/>
        </w:trPr>
        <w:tc>
          <w:tcPr>
            <w:tcW w:w="3651"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远期外汇买卖合约</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before="7"/>
              <w:ind w:right="83"/>
              <w:jc w:val="right"/>
              <w:rPr>
                <w:sz w:val="21"/>
              </w:rPr>
            </w:pPr>
            <w:r>
              <w:rPr>
                <w:sz w:val="21"/>
              </w:rPr>
              <w:t>52,194,232.55</w:t>
            </w:r>
          </w:p>
        </w:tc>
        <w:tc>
          <w:tcPr>
            <w:tcW w:w="2710" w:type="dxa"/>
            <w:tcBorders>
              <w:top w:val="single" w:sz="4" w:space="0" w:color="000000"/>
              <w:left w:val="single" w:sz="4" w:space="0" w:color="000000"/>
              <w:bottom w:val="single" w:sz="4" w:space="0" w:color="000000"/>
            </w:tcBorders>
          </w:tcPr>
          <w:p>
            <w:pPr>
              <w:pStyle w:val="TableParagraph"/>
              <w:spacing w:before="7"/>
              <w:ind w:right="71"/>
              <w:jc w:val="right"/>
              <w:rPr>
                <w:sz w:val="21"/>
              </w:rPr>
            </w:pPr>
            <w:r>
              <w:rPr>
                <w:sz w:val="21"/>
              </w:rPr>
              <w:t>17,241,833.10</w:t>
            </w:r>
          </w:p>
        </w:tc>
      </w:tr>
      <w:tr>
        <w:trPr>
          <w:trHeight w:val="270" w:hRule="atLeast"/>
        </w:trPr>
        <w:tc>
          <w:tcPr>
            <w:tcW w:w="3651"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远期商品合约</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before="7"/>
              <w:ind w:right="83"/>
              <w:jc w:val="right"/>
              <w:rPr>
                <w:sz w:val="21"/>
              </w:rPr>
            </w:pPr>
            <w:r>
              <w:rPr>
                <w:sz w:val="21"/>
              </w:rPr>
              <w:t>25,644,774.08</w:t>
            </w:r>
          </w:p>
        </w:tc>
        <w:tc>
          <w:tcPr>
            <w:tcW w:w="2710" w:type="dxa"/>
            <w:tcBorders>
              <w:top w:val="single" w:sz="4" w:space="0" w:color="000000"/>
              <w:left w:val="single" w:sz="4" w:space="0" w:color="000000"/>
              <w:bottom w:val="single" w:sz="4" w:space="0" w:color="000000"/>
            </w:tcBorders>
          </w:tcPr>
          <w:p>
            <w:pPr>
              <w:pStyle w:val="TableParagraph"/>
              <w:spacing w:before="7"/>
              <w:ind w:right="71"/>
              <w:jc w:val="right"/>
              <w:rPr>
                <w:sz w:val="21"/>
              </w:rPr>
            </w:pPr>
            <w:r>
              <w:rPr>
                <w:sz w:val="21"/>
              </w:rPr>
              <w:t>1,916,299.35</w:t>
            </w:r>
          </w:p>
        </w:tc>
      </w:tr>
      <w:tr>
        <w:trPr>
          <w:trHeight w:val="270" w:hRule="atLeast"/>
        </w:trPr>
        <w:tc>
          <w:tcPr>
            <w:tcW w:w="3651" w:type="dxa"/>
            <w:tcBorders>
              <w:top w:val="single" w:sz="4" w:space="0" w:color="000000"/>
              <w:right w:val="single" w:sz="4" w:space="0" w:color="000000"/>
            </w:tcBorders>
          </w:tcPr>
          <w:p>
            <w:pPr>
              <w:pStyle w:val="TableParagraph"/>
              <w:spacing w:line="250" w:lineRule="exact" w:before="1"/>
              <w:ind w:right="1592"/>
              <w:jc w:val="right"/>
              <w:rPr>
                <w:rFonts w:ascii="宋体" w:eastAsia="宋体" w:hint="eastAsia"/>
                <w:sz w:val="21"/>
              </w:rPr>
            </w:pPr>
            <w:r>
              <w:rPr>
                <w:rFonts w:ascii="宋体" w:eastAsia="宋体" w:hint="eastAsia"/>
                <w:sz w:val="21"/>
              </w:rPr>
              <w:t>合计</w:t>
            </w:r>
          </w:p>
        </w:tc>
        <w:tc>
          <w:tcPr>
            <w:tcW w:w="2688" w:type="dxa"/>
            <w:tcBorders>
              <w:top w:val="single" w:sz="4" w:space="0" w:color="000000"/>
              <w:left w:val="single" w:sz="4" w:space="0" w:color="000000"/>
              <w:right w:val="single" w:sz="4" w:space="0" w:color="000000"/>
            </w:tcBorders>
          </w:tcPr>
          <w:p>
            <w:pPr>
              <w:pStyle w:val="TableParagraph"/>
              <w:spacing w:line="241" w:lineRule="exact" w:before="10"/>
              <w:ind w:right="83"/>
              <w:jc w:val="right"/>
              <w:rPr>
                <w:sz w:val="21"/>
              </w:rPr>
            </w:pPr>
            <w:r>
              <w:rPr>
                <w:sz w:val="21"/>
              </w:rPr>
              <w:t>77,839,006.63</w:t>
            </w:r>
          </w:p>
        </w:tc>
        <w:tc>
          <w:tcPr>
            <w:tcW w:w="2710" w:type="dxa"/>
            <w:tcBorders>
              <w:top w:val="single" w:sz="4" w:space="0" w:color="000000"/>
              <w:left w:val="single" w:sz="4" w:space="0" w:color="000000"/>
            </w:tcBorders>
          </w:tcPr>
          <w:p>
            <w:pPr>
              <w:pStyle w:val="TableParagraph"/>
              <w:spacing w:line="241" w:lineRule="exact" w:before="10"/>
              <w:ind w:right="71"/>
              <w:jc w:val="right"/>
              <w:rPr>
                <w:sz w:val="21"/>
              </w:rPr>
            </w:pPr>
            <w:r>
              <w:rPr>
                <w:sz w:val="21"/>
              </w:rPr>
              <w:t>19,158,132.45</w:t>
            </w:r>
          </w:p>
        </w:tc>
      </w:tr>
    </w:tbl>
    <w:p>
      <w:pPr>
        <w:pStyle w:val="BodyText"/>
        <w:spacing w:before="9"/>
        <w:rPr>
          <w:sz w:val="17"/>
        </w:rPr>
      </w:pPr>
    </w:p>
    <w:p>
      <w:pPr>
        <w:pStyle w:val="Heading4"/>
        <w:spacing w:before="10"/>
      </w:pPr>
      <w:r>
        <w:rPr>
          <w:rFonts w:ascii="Times New Roman" w:eastAsia="Times New Roman"/>
        </w:rPr>
        <w:t>4</w:t>
      </w:r>
      <w:r>
        <w:rPr/>
        <w:t>、 应收票据</w:t>
      </w:r>
    </w:p>
    <w:p>
      <w:pPr>
        <w:pStyle w:val="BodyText"/>
        <w:spacing w:before="187"/>
        <w:ind w:left="1679"/>
      </w:pPr>
      <w:r>
        <w:rPr/>
        <w:t>（</w:t>
      </w:r>
      <w:r>
        <w:rPr>
          <w:rFonts w:ascii="Times New Roman" w:eastAsia="Times New Roman"/>
        </w:rPr>
        <w:t>1</w:t>
      </w:r>
      <w:r>
        <w:rPr/>
        <w:t>）应收票据明细情况</w:t>
      </w:r>
    </w:p>
    <w:p>
      <w:pPr>
        <w:pStyle w:val="BodyText"/>
        <w:spacing w:before="3"/>
        <w:rPr>
          <w:sz w:val="12"/>
        </w:rPr>
      </w:pPr>
    </w:p>
    <w:tbl>
      <w:tblPr>
        <w:tblW w:w="0" w:type="auto"/>
        <w:jc w:val="left"/>
        <w:tblInd w:w="16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322"/>
        <w:gridCol w:w="2698"/>
        <w:gridCol w:w="2590"/>
      </w:tblGrid>
      <w:tr>
        <w:trPr>
          <w:trHeight w:val="340" w:hRule="atLeast"/>
        </w:trPr>
        <w:tc>
          <w:tcPr>
            <w:tcW w:w="3322" w:type="dxa"/>
            <w:tcBorders>
              <w:bottom w:val="single" w:sz="4" w:space="0" w:color="000000"/>
              <w:right w:val="single" w:sz="4" w:space="0" w:color="000000"/>
            </w:tcBorders>
          </w:tcPr>
          <w:p>
            <w:pPr>
              <w:pStyle w:val="TableParagraph"/>
              <w:spacing w:line="320" w:lineRule="exact"/>
              <w:ind w:left="1437" w:right="1424"/>
              <w:jc w:val="center"/>
              <w:rPr>
                <w:rFonts w:ascii="Microsoft JhengHei" w:eastAsia="Microsoft JhengHei" w:hint="eastAsia"/>
                <w:b/>
                <w:sz w:val="20"/>
              </w:rPr>
            </w:pPr>
            <w:r>
              <w:rPr>
                <w:rFonts w:ascii="Microsoft JhengHei" w:eastAsia="Microsoft JhengHei" w:hint="eastAsia"/>
                <w:b/>
                <w:sz w:val="20"/>
              </w:rPr>
              <w:t>项目</w:t>
            </w:r>
          </w:p>
        </w:tc>
        <w:tc>
          <w:tcPr>
            <w:tcW w:w="2698" w:type="dxa"/>
            <w:tcBorders>
              <w:left w:val="single" w:sz="4" w:space="0" w:color="000000"/>
              <w:bottom w:val="single" w:sz="4" w:space="0" w:color="000000"/>
              <w:right w:val="single" w:sz="4" w:space="0" w:color="000000"/>
            </w:tcBorders>
          </w:tcPr>
          <w:p>
            <w:pPr>
              <w:pStyle w:val="TableParagraph"/>
              <w:spacing w:line="320" w:lineRule="exact"/>
              <w:ind w:left="938" w:right="910"/>
              <w:jc w:val="center"/>
              <w:rPr>
                <w:rFonts w:ascii="Microsoft JhengHei" w:eastAsia="Microsoft JhengHei" w:hint="eastAsia"/>
                <w:b/>
                <w:sz w:val="20"/>
              </w:rPr>
            </w:pPr>
            <w:r>
              <w:rPr>
                <w:rFonts w:ascii="Microsoft JhengHei" w:eastAsia="Microsoft JhengHei" w:hint="eastAsia"/>
                <w:b/>
                <w:sz w:val="20"/>
              </w:rPr>
              <w:t>期末余额</w:t>
            </w:r>
          </w:p>
        </w:tc>
        <w:tc>
          <w:tcPr>
            <w:tcW w:w="2590" w:type="dxa"/>
            <w:tcBorders>
              <w:left w:val="single" w:sz="4" w:space="0" w:color="000000"/>
              <w:bottom w:val="single" w:sz="4" w:space="0" w:color="000000"/>
            </w:tcBorders>
          </w:tcPr>
          <w:p>
            <w:pPr>
              <w:pStyle w:val="TableParagraph"/>
              <w:spacing w:line="320" w:lineRule="exact"/>
              <w:ind w:left="886" w:right="844"/>
              <w:jc w:val="center"/>
              <w:rPr>
                <w:rFonts w:ascii="Microsoft JhengHei" w:eastAsia="Microsoft JhengHei" w:hint="eastAsia"/>
                <w:b/>
                <w:sz w:val="20"/>
              </w:rPr>
            </w:pPr>
            <w:r>
              <w:rPr>
                <w:rFonts w:ascii="Microsoft JhengHei" w:eastAsia="Microsoft JhengHei" w:hint="eastAsia"/>
                <w:b/>
                <w:sz w:val="20"/>
              </w:rPr>
              <w:t>期初余额</w:t>
            </w:r>
          </w:p>
        </w:tc>
      </w:tr>
      <w:tr>
        <w:trPr>
          <w:trHeight w:val="359" w:hRule="atLeast"/>
        </w:trPr>
        <w:tc>
          <w:tcPr>
            <w:tcW w:w="3322" w:type="dxa"/>
            <w:tcBorders>
              <w:top w:val="single" w:sz="4" w:space="0" w:color="000000"/>
              <w:bottom w:val="single" w:sz="4" w:space="0" w:color="000000"/>
              <w:right w:val="single" w:sz="4" w:space="0" w:color="000000"/>
            </w:tcBorders>
          </w:tcPr>
          <w:p>
            <w:pPr>
              <w:pStyle w:val="TableParagraph"/>
              <w:spacing w:before="51"/>
              <w:ind w:left="104"/>
              <w:rPr>
                <w:rFonts w:ascii="宋体" w:eastAsia="宋体" w:hint="eastAsia"/>
                <w:sz w:val="20"/>
              </w:rPr>
            </w:pPr>
            <w:r>
              <w:rPr>
                <w:rFonts w:ascii="宋体" w:eastAsia="宋体" w:hint="eastAsia"/>
                <w:sz w:val="20"/>
              </w:rPr>
              <w:t>银行承兑汇票</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before="58"/>
              <w:ind w:right="87"/>
              <w:jc w:val="right"/>
              <w:rPr>
                <w:sz w:val="20"/>
              </w:rPr>
            </w:pPr>
            <w:r>
              <w:rPr>
                <w:sz w:val="20"/>
              </w:rPr>
              <w:t>3,091,631,183.91</w:t>
            </w:r>
          </w:p>
        </w:tc>
        <w:tc>
          <w:tcPr>
            <w:tcW w:w="2590" w:type="dxa"/>
            <w:tcBorders>
              <w:top w:val="single" w:sz="4" w:space="0" w:color="000000"/>
              <w:left w:val="single" w:sz="4" w:space="0" w:color="000000"/>
              <w:bottom w:val="single" w:sz="4" w:space="0" w:color="000000"/>
            </w:tcBorders>
          </w:tcPr>
          <w:p>
            <w:pPr>
              <w:pStyle w:val="TableParagraph"/>
              <w:spacing w:before="58"/>
              <w:ind w:right="77"/>
              <w:jc w:val="right"/>
              <w:rPr>
                <w:sz w:val="20"/>
              </w:rPr>
            </w:pPr>
            <w:r>
              <w:rPr>
                <w:w w:val="95"/>
                <w:sz w:val="20"/>
              </w:rPr>
              <w:t>462,888,721.91</w:t>
            </w:r>
          </w:p>
        </w:tc>
      </w:tr>
      <w:tr>
        <w:trPr>
          <w:trHeight w:val="359" w:hRule="atLeast"/>
        </w:trPr>
        <w:tc>
          <w:tcPr>
            <w:tcW w:w="3322" w:type="dxa"/>
            <w:tcBorders>
              <w:top w:val="single" w:sz="4" w:space="0" w:color="000000"/>
              <w:bottom w:val="single" w:sz="4" w:space="0" w:color="000000"/>
              <w:right w:val="single" w:sz="4" w:space="0" w:color="000000"/>
            </w:tcBorders>
          </w:tcPr>
          <w:p>
            <w:pPr>
              <w:pStyle w:val="TableParagraph"/>
              <w:spacing w:before="51"/>
              <w:ind w:left="104"/>
              <w:rPr>
                <w:rFonts w:ascii="宋体" w:eastAsia="宋体" w:hint="eastAsia"/>
                <w:sz w:val="20"/>
              </w:rPr>
            </w:pPr>
            <w:r>
              <w:rPr>
                <w:rFonts w:ascii="宋体" w:eastAsia="宋体" w:hint="eastAsia"/>
                <w:sz w:val="20"/>
              </w:rPr>
              <w:t>商业承兑汇票</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before="58"/>
              <w:ind w:right="87"/>
              <w:jc w:val="right"/>
              <w:rPr>
                <w:sz w:val="20"/>
              </w:rPr>
            </w:pPr>
            <w:r>
              <w:rPr>
                <w:w w:val="95"/>
                <w:sz w:val="20"/>
              </w:rPr>
              <w:t>11,056,075,267.03</w:t>
            </w:r>
          </w:p>
        </w:tc>
        <w:tc>
          <w:tcPr>
            <w:tcW w:w="2590" w:type="dxa"/>
            <w:tcBorders>
              <w:top w:val="single" w:sz="4" w:space="0" w:color="000000"/>
              <w:left w:val="single" w:sz="4" w:space="0" w:color="000000"/>
              <w:bottom w:val="single" w:sz="4" w:space="0" w:color="000000"/>
            </w:tcBorders>
          </w:tcPr>
          <w:p>
            <w:pPr>
              <w:pStyle w:val="TableParagraph"/>
              <w:spacing w:before="58"/>
              <w:ind w:right="77"/>
              <w:jc w:val="right"/>
              <w:rPr>
                <w:sz w:val="20"/>
              </w:rPr>
            </w:pPr>
            <w:r>
              <w:rPr>
                <w:w w:val="95"/>
                <w:sz w:val="20"/>
              </w:rPr>
              <w:t>13,503,587,868.65</w:t>
            </w:r>
          </w:p>
        </w:tc>
      </w:tr>
      <w:tr>
        <w:trPr>
          <w:trHeight w:val="357" w:hRule="atLeast"/>
        </w:trPr>
        <w:tc>
          <w:tcPr>
            <w:tcW w:w="3322" w:type="dxa"/>
            <w:tcBorders>
              <w:top w:val="single" w:sz="4" w:space="0" w:color="000000"/>
              <w:bottom w:val="single" w:sz="4" w:space="0" w:color="000000"/>
              <w:right w:val="single" w:sz="4" w:space="0" w:color="000000"/>
            </w:tcBorders>
          </w:tcPr>
          <w:p>
            <w:pPr>
              <w:pStyle w:val="TableParagraph"/>
              <w:spacing w:before="52"/>
              <w:ind w:right="1044"/>
              <w:jc w:val="right"/>
              <w:rPr>
                <w:rFonts w:ascii="宋体" w:eastAsia="宋体" w:hint="eastAsia"/>
                <w:sz w:val="20"/>
              </w:rPr>
            </w:pPr>
            <w:r>
              <w:rPr>
                <w:rFonts w:ascii="宋体" w:eastAsia="宋体" w:hint="eastAsia"/>
                <w:w w:val="95"/>
                <w:sz w:val="20"/>
              </w:rPr>
              <w:t>应收票据余额</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before="58"/>
              <w:ind w:right="87"/>
              <w:jc w:val="right"/>
              <w:rPr>
                <w:sz w:val="20"/>
              </w:rPr>
            </w:pPr>
            <w:r>
              <w:rPr>
                <w:w w:val="95"/>
                <w:sz w:val="20"/>
              </w:rPr>
              <w:t>14,147,706,450.94</w:t>
            </w:r>
          </w:p>
        </w:tc>
        <w:tc>
          <w:tcPr>
            <w:tcW w:w="2590" w:type="dxa"/>
            <w:tcBorders>
              <w:top w:val="single" w:sz="4" w:space="0" w:color="000000"/>
              <w:left w:val="single" w:sz="4" w:space="0" w:color="000000"/>
              <w:bottom w:val="single" w:sz="4" w:space="0" w:color="000000"/>
            </w:tcBorders>
          </w:tcPr>
          <w:p>
            <w:pPr>
              <w:pStyle w:val="TableParagraph"/>
              <w:spacing w:before="58"/>
              <w:ind w:right="77"/>
              <w:jc w:val="right"/>
              <w:rPr>
                <w:sz w:val="20"/>
              </w:rPr>
            </w:pPr>
            <w:r>
              <w:rPr>
                <w:w w:val="95"/>
                <w:sz w:val="20"/>
              </w:rPr>
              <w:t>13,966,476,590.56</w:t>
            </w:r>
          </w:p>
        </w:tc>
      </w:tr>
      <w:tr>
        <w:trPr>
          <w:trHeight w:val="359" w:hRule="atLeast"/>
        </w:trPr>
        <w:tc>
          <w:tcPr>
            <w:tcW w:w="3322" w:type="dxa"/>
            <w:tcBorders>
              <w:top w:val="single" w:sz="4" w:space="0" w:color="000000"/>
              <w:bottom w:val="single" w:sz="4" w:space="0" w:color="000000"/>
              <w:right w:val="single" w:sz="4" w:space="0" w:color="000000"/>
            </w:tcBorders>
          </w:tcPr>
          <w:p>
            <w:pPr>
              <w:pStyle w:val="TableParagraph"/>
              <w:spacing w:before="52"/>
              <w:ind w:left="104"/>
              <w:rPr>
                <w:rFonts w:ascii="宋体" w:eastAsia="宋体" w:hint="eastAsia"/>
                <w:sz w:val="20"/>
              </w:rPr>
            </w:pPr>
            <w:r>
              <w:rPr>
                <w:rFonts w:ascii="宋体" w:eastAsia="宋体" w:hint="eastAsia"/>
                <w:sz w:val="20"/>
              </w:rPr>
              <w:t>坏账准备</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before="58"/>
              <w:ind w:right="87"/>
              <w:jc w:val="right"/>
              <w:rPr>
                <w:sz w:val="20"/>
              </w:rPr>
            </w:pPr>
            <w:r>
              <w:rPr>
                <w:w w:val="95"/>
                <w:sz w:val="20"/>
              </w:rPr>
              <w:t>11,356,696.60</w:t>
            </w:r>
          </w:p>
        </w:tc>
        <w:tc>
          <w:tcPr>
            <w:tcW w:w="2590" w:type="dxa"/>
            <w:tcBorders>
              <w:top w:val="single" w:sz="4" w:space="0" w:color="000000"/>
              <w:left w:val="single" w:sz="4" w:space="0" w:color="000000"/>
              <w:bottom w:val="single" w:sz="4" w:space="0" w:color="000000"/>
            </w:tcBorders>
          </w:tcPr>
          <w:p>
            <w:pPr>
              <w:pStyle w:val="TableParagraph"/>
              <w:spacing w:before="58"/>
              <w:ind w:right="76"/>
              <w:jc w:val="right"/>
              <w:rPr>
                <w:sz w:val="20"/>
              </w:rPr>
            </w:pPr>
            <w:r>
              <w:rPr>
                <w:w w:val="95"/>
                <w:sz w:val="20"/>
              </w:rPr>
              <w:t>15,056,696.60</w:t>
            </w:r>
          </w:p>
        </w:tc>
      </w:tr>
      <w:tr>
        <w:trPr>
          <w:trHeight w:val="356" w:hRule="atLeast"/>
        </w:trPr>
        <w:tc>
          <w:tcPr>
            <w:tcW w:w="3322" w:type="dxa"/>
            <w:tcBorders>
              <w:top w:val="single" w:sz="4" w:space="0" w:color="000000"/>
              <w:right w:val="single" w:sz="4" w:space="0" w:color="000000"/>
            </w:tcBorders>
          </w:tcPr>
          <w:p>
            <w:pPr>
              <w:pStyle w:val="TableParagraph"/>
              <w:spacing w:before="51"/>
              <w:ind w:right="1044"/>
              <w:jc w:val="right"/>
              <w:rPr>
                <w:rFonts w:ascii="宋体" w:eastAsia="宋体" w:hint="eastAsia"/>
                <w:sz w:val="20"/>
              </w:rPr>
            </w:pPr>
            <w:r>
              <w:rPr>
                <w:rFonts w:ascii="宋体" w:eastAsia="宋体" w:hint="eastAsia"/>
                <w:w w:val="95"/>
                <w:sz w:val="20"/>
              </w:rPr>
              <w:t>应收票据净额</w:t>
            </w:r>
          </w:p>
        </w:tc>
        <w:tc>
          <w:tcPr>
            <w:tcW w:w="2698" w:type="dxa"/>
            <w:tcBorders>
              <w:top w:val="single" w:sz="4" w:space="0" w:color="000000"/>
              <w:left w:val="single" w:sz="4" w:space="0" w:color="000000"/>
              <w:right w:val="single" w:sz="4" w:space="0" w:color="000000"/>
            </w:tcBorders>
          </w:tcPr>
          <w:p>
            <w:pPr>
              <w:pStyle w:val="TableParagraph"/>
              <w:spacing w:before="58"/>
              <w:ind w:right="87"/>
              <w:jc w:val="right"/>
              <w:rPr>
                <w:sz w:val="20"/>
              </w:rPr>
            </w:pPr>
            <w:r>
              <w:rPr>
                <w:w w:val="95"/>
                <w:sz w:val="20"/>
              </w:rPr>
              <w:t>14,136,349,754.34</w:t>
            </w:r>
          </w:p>
        </w:tc>
        <w:tc>
          <w:tcPr>
            <w:tcW w:w="2590" w:type="dxa"/>
            <w:tcBorders>
              <w:top w:val="single" w:sz="4" w:space="0" w:color="000000"/>
              <w:left w:val="single" w:sz="4" w:space="0" w:color="000000"/>
            </w:tcBorders>
          </w:tcPr>
          <w:p>
            <w:pPr>
              <w:pStyle w:val="TableParagraph"/>
              <w:spacing w:before="58"/>
              <w:ind w:right="77"/>
              <w:jc w:val="right"/>
              <w:rPr>
                <w:sz w:val="20"/>
              </w:rPr>
            </w:pPr>
            <w:r>
              <w:rPr>
                <w:w w:val="95"/>
                <w:sz w:val="20"/>
              </w:rPr>
              <w:t>13,951,419,893.96</w:t>
            </w:r>
          </w:p>
        </w:tc>
      </w:tr>
    </w:tbl>
    <w:p>
      <w:pPr>
        <w:pStyle w:val="BodyText"/>
        <w:spacing w:before="3"/>
        <w:rPr>
          <w:sz w:val="19"/>
        </w:rPr>
      </w:pPr>
    </w:p>
    <w:p>
      <w:pPr>
        <w:pStyle w:val="BodyText"/>
        <w:ind w:left="1538"/>
      </w:pPr>
      <w:r>
        <w:rPr/>
        <w:t>按组合计提坏账准备：</w:t>
      </w:r>
    </w:p>
    <w:p>
      <w:pPr>
        <w:pStyle w:val="BodyText"/>
        <w:spacing w:before="2"/>
        <w:ind w:left="1538"/>
      </w:pPr>
      <w:r>
        <w:rPr/>
        <w:t>□适用 √不适用</w:t>
      </w:r>
    </w:p>
    <w:p>
      <w:pPr>
        <w:pStyle w:val="BodyText"/>
        <w:rPr>
          <w:sz w:val="20"/>
        </w:rPr>
      </w:pPr>
    </w:p>
    <w:p>
      <w:pPr>
        <w:pStyle w:val="ListParagraph"/>
        <w:numPr>
          <w:ilvl w:val="0"/>
          <w:numId w:val="54"/>
        </w:numPr>
        <w:tabs>
          <w:tab w:pos="2067" w:val="left" w:leader="none"/>
        </w:tabs>
        <w:spacing w:line="240" w:lineRule="auto" w:before="163" w:after="0"/>
        <w:ind w:left="2067" w:right="0" w:hanging="529"/>
        <w:jc w:val="left"/>
        <w:rPr>
          <w:sz w:val="21"/>
        </w:rPr>
      </w:pPr>
      <w:r>
        <w:rPr>
          <w:spacing w:val="-3"/>
          <w:sz w:val="21"/>
        </w:rPr>
        <w:t>本期应收票据坏账准备变动情况</w:t>
      </w:r>
    </w:p>
    <w:p>
      <w:pPr>
        <w:pStyle w:val="BodyText"/>
        <w:spacing w:before="3" w:after="1"/>
        <w:rPr>
          <w:sz w:val="12"/>
        </w:rPr>
      </w:pPr>
    </w:p>
    <w:tbl>
      <w:tblPr>
        <w:tblW w:w="0" w:type="auto"/>
        <w:jc w:val="left"/>
        <w:tblInd w:w="147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98"/>
        <w:gridCol w:w="1426"/>
        <w:gridCol w:w="1154"/>
        <w:gridCol w:w="1207"/>
        <w:gridCol w:w="1197"/>
        <w:gridCol w:w="821"/>
        <w:gridCol w:w="1293"/>
      </w:tblGrid>
      <w:tr>
        <w:trPr>
          <w:trHeight w:val="368" w:hRule="atLeast"/>
        </w:trPr>
        <w:tc>
          <w:tcPr>
            <w:tcW w:w="1898" w:type="dxa"/>
            <w:vMerge w:val="restart"/>
            <w:tcBorders>
              <w:bottom w:val="single" w:sz="4" w:space="0" w:color="000000"/>
              <w:right w:val="single" w:sz="4" w:space="0" w:color="000000"/>
            </w:tcBorders>
          </w:tcPr>
          <w:p>
            <w:pPr>
              <w:pStyle w:val="TableParagraph"/>
              <w:spacing w:before="3"/>
              <w:rPr>
                <w:rFonts w:ascii="宋体"/>
                <w:sz w:val="19"/>
              </w:rPr>
            </w:pPr>
          </w:p>
          <w:p>
            <w:pPr>
              <w:pStyle w:val="TableParagraph"/>
              <w:ind w:left="747" w:right="726"/>
              <w:jc w:val="center"/>
              <w:rPr>
                <w:rFonts w:ascii="Microsoft JhengHei" w:eastAsia="Microsoft JhengHei" w:hint="eastAsia"/>
                <w:b/>
                <w:sz w:val="18"/>
              </w:rPr>
            </w:pPr>
            <w:r>
              <w:rPr>
                <w:rFonts w:ascii="Microsoft JhengHei" w:eastAsia="Microsoft JhengHei" w:hint="eastAsia"/>
                <w:b/>
                <w:sz w:val="18"/>
              </w:rPr>
              <w:t>项目</w:t>
            </w:r>
          </w:p>
        </w:tc>
        <w:tc>
          <w:tcPr>
            <w:tcW w:w="1426" w:type="dxa"/>
            <w:vMerge w:val="restart"/>
            <w:tcBorders>
              <w:left w:val="single" w:sz="4" w:space="0" w:color="000000"/>
              <w:bottom w:val="single" w:sz="4" w:space="0" w:color="000000"/>
              <w:right w:val="single" w:sz="4" w:space="0" w:color="000000"/>
            </w:tcBorders>
          </w:tcPr>
          <w:p>
            <w:pPr>
              <w:pStyle w:val="TableParagraph"/>
              <w:spacing w:before="3"/>
              <w:rPr>
                <w:rFonts w:ascii="宋体"/>
                <w:sz w:val="19"/>
              </w:rPr>
            </w:pPr>
          </w:p>
          <w:p>
            <w:pPr>
              <w:pStyle w:val="TableParagraph"/>
              <w:ind w:left="360"/>
              <w:rPr>
                <w:rFonts w:ascii="Microsoft JhengHei" w:eastAsia="Microsoft JhengHei" w:hint="eastAsia"/>
                <w:b/>
                <w:sz w:val="18"/>
              </w:rPr>
            </w:pPr>
            <w:r>
              <w:rPr>
                <w:rFonts w:ascii="Microsoft JhengHei" w:eastAsia="Microsoft JhengHei" w:hint="eastAsia"/>
                <w:b/>
                <w:sz w:val="18"/>
              </w:rPr>
              <w:t>期初余额</w:t>
            </w:r>
          </w:p>
        </w:tc>
        <w:tc>
          <w:tcPr>
            <w:tcW w:w="2361" w:type="dxa"/>
            <w:gridSpan w:val="2"/>
            <w:tcBorders>
              <w:left w:val="single" w:sz="4" w:space="0" w:color="000000"/>
              <w:bottom w:val="single" w:sz="4" w:space="0" w:color="000000"/>
              <w:right w:val="single" w:sz="4" w:space="0" w:color="000000"/>
            </w:tcBorders>
          </w:tcPr>
          <w:p>
            <w:pPr>
              <w:pStyle w:val="TableParagraph"/>
              <w:spacing w:before="7"/>
              <w:ind w:left="809" w:right="782"/>
              <w:jc w:val="center"/>
              <w:rPr>
                <w:rFonts w:ascii="Microsoft JhengHei" w:eastAsia="Microsoft JhengHei" w:hint="eastAsia"/>
                <w:b/>
                <w:sz w:val="18"/>
              </w:rPr>
            </w:pPr>
            <w:r>
              <w:rPr>
                <w:rFonts w:ascii="Microsoft JhengHei" w:eastAsia="Microsoft JhengHei" w:hint="eastAsia"/>
                <w:b/>
                <w:sz w:val="18"/>
              </w:rPr>
              <w:t>本期增加</w:t>
            </w:r>
          </w:p>
        </w:tc>
        <w:tc>
          <w:tcPr>
            <w:tcW w:w="2018" w:type="dxa"/>
            <w:gridSpan w:val="2"/>
            <w:tcBorders>
              <w:left w:val="single" w:sz="4" w:space="0" w:color="000000"/>
              <w:bottom w:val="single" w:sz="4" w:space="0" w:color="000000"/>
              <w:right w:val="single" w:sz="4" w:space="0" w:color="000000"/>
            </w:tcBorders>
          </w:tcPr>
          <w:p>
            <w:pPr>
              <w:pStyle w:val="TableParagraph"/>
              <w:spacing w:before="7"/>
              <w:ind w:left="656"/>
              <w:rPr>
                <w:rFonts w:ascii="Microsoft JhengHei" w:eastAsia="Microsoft JhengHei" w:hint="eastAsia"/>
                <w:b/>
                <w:sz w:val="18"/>
              </w:rPr>
            </w:pPr>
            <w:r>
              <w:rPr>
                <w:rFonts w:ascii="Microsoft JhengHei" w:eastAsia="Microsoft JhengHei" w:hint="eastAsia"/>
                <w:b/>
                <w:sz w:val="18"/>
              </w:rPr>
              <w:t>本期减少</w:t>
            </w:r>
          </w:p>
        </w:tc>
        <w:tc>
          <w:tcPr>
            <w:tcW w:w="1293" w:type="dxa"/>
            <w:vMerge w:val="restart"/>
            <w:tcBorders>
              <w:left w:val="single" w:sz="4" w:space="0" w:color="000000"/>
              <w:bottom w:val="single" w:sz="4" w:space="0" w:color="000000"/>
            </w:tcBorders>
          </w:tcPr>
          <w:p>
            <w:pPr>
              <w:pStyle w:val="TableParagraph"/>
              <w:spacing w:before="3"/>
              <w:rPr>
                <w:rFonts w:ascii="宋体"/>
                <w:sz w:val="19"/>
              </w:rPr>
            </w:pPr>
          </w:p>
          <w:p>
            <w:pPr>
              <w:pStyle w:val="TableParagraph"/>
              <w:ind w:left="295"/>
              <w:rPr>
                <w:rFonts w:ascii="Microsoft JhengHei" w:eastAsia="Microsoft JhengHei" w:hint="eastAsia"/>
                <w:b/>
                <w:sz w:val="18"/>
              </w:rPr>
            </w:pPr>
            <w:r>
              <w:rPr>
                <w:rFonts w:ascii="Microsoft JhengHei" w:eastAsia="Microsoft JhengHei" w:hint="eastAsia"/>
                <w:b/>
                <w:sz w:val="18"/>
              </w:rPr>
              <w:t>期末余额</w:t>
            </w:r>
          </w:p>
        </w:tc>
      </w:tr>
      <w:tr>
        <w:trPr>
          <w:trHeight w:val="467" w:hRule="atLeast"/>
        </w:trPr>
        <w:tc>
          <w:tcPr>
            <w:tcW w:w="1898" w:type="dxa"/>
            <w:vMerge/>
            <w:tcBorders>
              <w:top w:val="nil"/>
              <w:bottom w:val="single" w:sz="4" w:space="0" w:color="000000"/>
              <w:right w:val="single" w:sz="4" w:space="0" w:color="000000"/>
            </w:tcBorders>
          </w:tcPr>
          <w:p>
            <w:pPr>
              <w:rPr>
                <w:sz w:val="2"/>
                <w:szCs w:val="2"/>
              </w:rPr>
            </w:pPr>
          </w:p>
        </w:tc>
        <w:tc>
          <w:tcPr>
            <w:tcW w:w="1426" w:type="dxa"/>
            <w:vMerge/>
            <w:tcBorders>
              <w:top w:val="nil"/>
              <w:left w:val="single" w:sz="4" w:space="0" w:color="000000"/>
              <w:bottom w:val="single" w:sz="4" w:space="0" w:color="000000"/>
              <w:right w:val="single" w:sz="4" w:space="0" w:color="000000"/>
            </w:tcBorders>
          </w:tcPr>
          <w:p>
            <w:pPr>
              <w:rPr>
                <w:sz w:val="2"/>
                <w:szCs w:val="2"/>
              </w:rPr>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before="58"/>
              <w:ind w:left="223"/>
              <w:rPr>
                <w:rFonts w:ascii="Microsoft JhengHei" w:eastAsia="Microsoft JhengHei" w:hint="eastAsia"/>
                <w:b/>
                <w:sz w:val="18"/>
              </w:rPr>
            </w:pPr>
            <w:r>
              <w:rPr>
                <w:rFonts w:ascii="Microsoft JhengHei" w:eastAsia="Microsoft JhengHei" w:hint="eastAsia"/>
                <w:b/>
                <w:sz w:val="18"/>
              </w:rPr>
              <w:t>本期计提</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before="58"/>
              <w:ind w:left="250"/>
              <w:rPr>
                <w:rFonts w:ascii="Microsoft JhengHei" w:eastAsia="Microsoft JhengHei" w:hint="eastAsia"/>
                <w:b/>
                <w:sz w:val="18"/>
              </w:rPr>
            </w:pPr>
            <w:r>
              <w:rPr>
                <w:rFonts w:ascii="Microsoft JhengHei" w:eastAsia="Microsoft JhengHei" w:hint="eastAsia"/>
                <w:b/>
                <w:sz w:val="18"/>
              </w:rPr>
              <w:t>其他增加</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before="58"/>
              <w:ind w:left="91" w:right="66"/>
              <w:jc w:val="center"/>
              <w:rPr>
                <w:rFonts w:ascii="Microsoft JhengHei" w:eastAsia="Microsoft JhengHei" w:hint="eastAsia"/>
                <w:b/>
                <w:sz w:val="18"/>
              </w:rPr>
            </w:pPr>
            <w:r>
              <w:rPr>
                <w:rFonts w:ascii="Microsoft JhengHei" w:eastAsia="Microsoft JhengHei" w:hint="eastAsia"/>
                <w:b/>
                <w:sz w:val="18"/>
              </w:rPr>
              <w:t>转回数</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50"/>
              <w:rPr>
                <w:rFonts w:ascii="Microsoft JhengHei" w:eastAsia="Microsoft JhengHei" w:hint="eastAsia"/>
                <w:b/>
                <w:sz w:val="18"/>
              </w:rPr>
            </w:pPr>
            <w:r>
              <w:rPr>
                <w:rFonts w:ascii="Microsoft JhengHei" w:eastAsia="Microsoft JhengHei" w:hint="eastAsia"/>
                <w:b/>
                <w:sz w:val="18"/>
              </w:rPr>
              <w:t>转销及</w:t>
            </w:r>
          </w:p>
          <w:p>
            <w:pPr>
              <w:pStyle w:val="TableParagraph"/>
              <w:spacing w:line="225" w:lineRule="exact"/>
              <w:ind w:left="240"/>
              <w:rPr>
                <w:rFonts w:ascii="Microsoft JhengHei" w:eastAsia="Microsoft JhengHei" w:hint="eastAsia"/>
                <w:b/>
                <w:sz w:val="18"/>
              </w:rPr>
            </w:pPr>
            <w:r>
              <w:rPr>
                <w:rFonts w:ascii="Microsoft JhengHei" w:eastAsia="Microsoft JhengHei" w:hint="eastAsia"/>
                <w:b/>
                <w:sz w:val="18"/>
              </w:rPr>
              <w:t>其他</w:t>
            </w:r>
          </w:p>
        </w:tc>
        <w:tc>
          <w:tcPr>
            <w:tcW w:w="1293" w:type="dxa"/>
            <w:vMerge/>
            <w:tcBorders>
              <w:top w:val="nil"/>
              <w:left w:val="single" w:sz="4" w:space="0" w:color="000000"/>
              <w:bottom w:val="single" w:sz="4" w:space="0" w:color="000000"/>
            </w:tcBorders>
          </w:tcPr>
          <w:p>
            <w:pPr>
              <w:rPr>
                <w:sz w:val="2"/>
                <w:szCs w:val="2"/>
              </w:rPr>
            </w:pPr>
          </w:p>
        </w:tc>
      </w:tr>
      <w:tr>
        <w:trPr>
          <w:trHeight w:val="366" w:hRule="atLeast"/>
        </w:trPr>
        <w:tc>
          <w:tcPr>
            <w:tcW w:w="1898" w:type="dxa"/>
            <w:tcBorders>
              <w:top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坏账准备</w:t>
            </w:r>
          </w:p>
        </w:tc>
        <w:tc>
          <w:tcPr>
            <w:tcW w:w="1426" w:type="dxa"/>
            <w:tcBorders>
              <w:top w:val="single" w:sz="4" w:space="0" w:color="000000"/>
              <w:left w:val="single" w:sz="4" w:space="0" w:color="000000"/>
              <w:right w:val="single" w:sz="4" w:space="0" w:color="000000"/>
            </w:tcBorders>
          </w:tcPr>
          <w:p>
            <w:pPr>
              <w:pStyle w:val="TableParagraph"/>
              <w:spacing w:before="74"/>
              <w:ind w:left="293"/>
              <w:rPr>
                <w:sz w:val="18"/>
              </w:rPr>
            </w:pPr>
            <w:r>
              <w:rPr>
                <w:sz w:val="18"/>
              </w:rPr>
              <w:t>15,056,696.60</w:t>
            </w:r>
          </w:p>
        </w:tc>
        <w:tc>
          <w:tcPr>
            <w:tcW w:w="1154" w:type="dxa"/>
            <w:tcBorders>
              <w:top w:val="single" w:sz="4" w:space="0" w:color="000000"/>
              <w:left w:val="single" w:sz="4" w:space="0" w:color="000000"/>
              <w:right w:val="single" w:sz="4" w:space="0" w:color="000000"/>
            </w:tcBorders>
          </w:tcPr>
          <w:p>
            <w:pPr>
              <w:pStyle w:val="TableParagraph"/>
              <w:spacing w:before="62"/>
              <w:jc w:val="right"/>
              <w:rPr>
                <w:rFonts w:ascii="宋体"/>
                <w:sz w:val="18"/>
              </w:rPr>
            </w:pPr>
            <w:r>
              <w:rPr>
                <w:rFonts w:ascii="宋体"/>
                <w:sz w:val="18"/>
              </w:rPr>
              <w:t> </w:t>
            </w:r>
          </w:p>
        </w:tc>
        <w:tc>
          <w:tcPr>
            <w:tcW w:w="1207" w:type="dxa"/>
            <w:tcBorders>
              <w:top w:val="single" w:sz="4" w:space="0" w:color="000000"/>
              <w:left w:val="single" w:sz="4" w:space="0" w:color="000000"/>
              <w:right w:val="single" w:sz="4" w:space="0" w:color="000000"/>
            </w:tcBorders>
          </w:tcPr>
          <w:p>
            <w:pPr>
              <w:pStyle w:val="TableParagraph"/>
              <w:spacing w:before="62"/>
              <w:ind w:right="-15"/>
              <w:jc w:val="right"/>
              <w:rPr>
                <w:rFonts w:ascii="宋体"/>
                <w:sz w:val="18"/>
              </w:rPr>
            </w:pPr>
            <w:r>
              <w:rPr>
                <w:rFonts w:ascii="宋体"/>
                <w:sz w:val="18"/>
              </w:rPr>
              <w:t> </w:t>
            </w:r>
          </w:p>
        </w:tc>
        <w:tc>
          <w:tcPr>
            <w:tcW w:w="1197" w:type="dxa"/>
            <w:tcBorders>
              <w:top w:val="single" w:sz="4" w:space="0" w:color="000000"/>
              <w:left w:val="single" w:sz="4" w:space="0" w:color="000000"/>
              <w:right w:val="single" w:sz="4" w:space="0" w:color="000000"/>
            </w:tcBorders>
          </w:tcPr>
          <w:p>
            <w:pPr>
              <w:pStyle w:val="TableParagraph"/>
              <w:spacing w:before="74"/>
              <w:ind w:left="129" w:right="66"/>
              <w:jc w:val="center"/>
              <w:rPr>
                <w:sz w:val="18"/>
              </w:rPr>
            </w:pPr>
            <w:r>
              <w:rPr>
                <w:sz w:val="18"/>
              </w:rPr>
              <w:t>3,700,000.00</w:t>
            </w:r>
          </w:p>
        </w:tc>
        <w:tc>
          <w:tcPr>
            <w:tcW w:w="821" w:type="dxa"/>
            <w:tcBorders>
              <w:top w:val="single" w:sz="4" w:space="0" w:color="000000"/>
              <w:left w:val="single" w:sz="4" w:space="0" w:color="000000"/>
              <w:right w:val="single" w:sz="4" w:space="0" w:color="000000"/>
            </w:tcBorders>
          </w:tcPr>
          <w:p>
            <w:pPr>
              <w:pStyle w:val="TableParagraph"/>
              <w:spacing w:before="62"/>
              <w:ind w:right="-15"/>
              <w:jc w:val="right"/>
              <w:rPr>
                <w:rFonts w:ascii="宋体"/>
                <w:sz w:val="18"/>
              </w:rPr>
            </w:pPr>
            <w:r>
              <w:rPr>
                <w:rFonts w:ascii="宋体"/>
                <w:sz w:val="18"/>
              </w:rPr>
              <w:t> </w:t>
            </w:r>
          </w:p>
        </w:tc>
        <w:tc>
          <w:tcPr>
            <w:tcW w:w="1293" w:type="dxa"/>
            <w:tcBorders>
              <w:top w:val="single" w:sz="4" w:space="0" w:color="000000"/>
              <w:left w:val="single" w:sz="4" w:space="0" w:color="000000"/>
            </w:tcBorders>
          </w:tcPr>
          <w:p>
            <w:pPr>
              <w:pStyle w:val="TableParagraph"/>
              <w:spacing w:before="74"/>
              <w:ind w:left="160"/>
              <w:rPr>
                <w:sz w:val="18"/>
              </w:rPr>
            </w:pPr>
            <w:r>
              <w:rPr>
                <w:sz w:val="18"/>
              </w:rPr>
              <w:t>11,356,696.60</w:t>
            </w:r>
          </w:p>
        </w:tc>
      </w:tr>
    </w:tbl>
    <w:p>
      <w:pPr>
        <w:spacing w:after="0"/>
        <w:rPr>
          <w:sz w:val="18"/>
        </w:rPr>
        <w:sectPr>
          <w:pgSz w:w="11910" w:h="16840"/>
          <w:pgMar w:header="876" w:footer="1199" w:top="1440" w:bottom="1380" w:left="260" w:right="0"/>
        </w:sectPr>
      </w:pPr>
    </w:p>
    <w:p>
      <w:pPr>
        <w:pStyle w:val="BodyText"/>
        <w:spacing w:before="2"/>
        <w:rPr>
          <w:sz w:val="5"/>
        </w:rPr>
      </w:pPr>
    </w:p>
    <w:tbl>
      <w:tblPr>
        <w:tblW w:w="0" w:type="auto"/>
        <w:jc w:val="left"/>
        <w:tblInd w:w="147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98"/>
        <w:gridCol w:w="1426"/>
        <w:gridCol w:w="1154"/>
        <w:gridCol w:w="1207"/>
        <w:gridCol w:w="1197"/>
        <w:gridCol w:w="821"/>
        <w:gridCol w:w="1293"/>
      </w:tblGrid>
      <w:tr>
        <w:trPr>
          <w:trHeight w:val="368" w:hRule="atLeast"/>
        </w:trPr>
        <w:tc>
          <w:tcPr>
            <w:tcW w:w="1898" w:type="dxa"/>
            <w:tcBorders>
              <w:right w:val="single" w:sz="4" w:space="0" w:color="000000"/>
            </w:tcBorders>
          </w:tcPr>
          <w:p>
            <w:pPr>
              <w:pStyle w:val="TableParagraph"/>
              <w:spacing w:before="69"/>
              <w:ind w:left="744" w:right="728"/>
              <w:jc w:val="center"/>
              <w:rPr>
                <w:rFonts w:ascii="宋体" w:eastAsia="宋体" w:hint="eastAsia"/>
                <w:sz w:val="18"/>
              </w:rPr>
            </w:pPr>
            <w:r>
              <w:rPr>
                <w:rFonts w:ascii="宋体" w:eastAsia="宋体" w:hint="eastAsia"/>
                <w:sz w:val="18"/>
              </w:rPr>
              <w:t>合计</w:t>
            </w:r>
          </w:p>
        </w:tc>
        <w:tc>
          <w:tcPr>
            <w:tcW w:w="1426" w:type="dxa"/>
            <w:tcBorders>
              <w:left w:val="single" w:sz="4" w:space="0" w:color="000000"/>
              <w:right w:val="single" w:sz="4" w:space="0" w:color="000000"/>
            </w:tcBorders>
          </w:tcPr>
          <w:p>
            <w:pPr>
              <w:pStyle w:val="TableParagraph"/>
              <w:spacing w:before="79"/>
              <w:ind w:left="293"/>
              <w:rPr>
                <w:sz w:val="18"/>
              </w:rPr>
            </w:pPr>
            <w:r>
              <w:rPr>
                <w:sz w:val="18"/>
              </w:rPr>
              <w:t>15,056,696.60</w:t>
            </w:r>
          </w:p>
        </w:tc>
        <w:tc>
          <w:tcPr>
            <w:tcW w:w="1154" w:type="dxa"/>
            <w:tcBorders>
              <w:left w:val="single" w:sz="4" w:space="0" w:color="000000"/>
              <w:right w:val="single" w:sz="4" w:space="0" w:color="000000"/>
            </w:tcBorders>
          </w:tcPr>
          <w:p>
            <w:pPr>
              <w:pStyle w:val="TableParagraph"/>
              <w:spacing w:before="67"/>
              <w:jc w:val="right"/>
              <w:rPr>
                <w:rFonts w:ascii="宋体"/>
                <w:sz w:val="18"/>
              </w:rPr>
            </w:pPr>
            <w:r>
              <w:rPr>
                <w:rFonts w:ascii="宋体"/>
                <w:sz w:val="18"/>
              </w:rPr>
              <w:t> </w:t>
            </w:r>
          </w:p>
        </w:tc>
        <w:tc>
          <w:tcPr>
            <w:tcW w:w="1207" w:type="dxa"/>
            <w:tcBorders>
              <w:left w:val="single" w:sz="4" w:space="0" w:color="000000"/>
              <w:right w:val="single" w:sz="4" w:space="0" w:color="000000"/>
            </w:tcBorders>
          </w:tcPr>
          <w:p>
            <w:pPr>
              <w:pStyle w:val="TableParagraph"/>
              <w:spacing w:before="67"/>
              <w:ind w:right="-15"/>
              <w:jc w:val="right"/>
              <w:rPr>
                <w:rFonts w:ascii="宋体"/>
                <w:sz w:val="18"/>
              </w:rPr>
            </w:pPr>
            <w:r>
              <w:rPr>
                <w:rFonts w:ascii="宋体"/>
                <w:sz w:val="18"/>
              </w:rPr>
              <w:t> </w:t>
            </w:r>
          </w:p>
        </w:tc>
        <w:tc>
          <w:tcPr>
            <w:tcW w:w="1197" w:type="dxa"/>
            <w:tcBorders>
              <w:left w:val="single" w:sz="4" w:space="0" w:color="000000"/>
              <w:right w:val="single" w:sz="4" w:space="0" w:color="000000"/>
            </w:tcBorders>
          </w:tcPr>
          <w:p>
            <w:pPr>
              <w:pStyle w:val="TableParagraph"/>
              <w:spacing w:before="79"/>
              <w:ind w:left="152"/>
              <w:rPr>
                <w:sz w:val="18"/>
              </w:rPr>
            </w:pPr>
            <w:r>
              <w:rPr>
                <w:sz w:val="18"/>
              </w:rPr>
              <w:t>3,700,000.00</w:t>
            </w:r>
          </w:p>
        </w:tc>
        <w:tc>
          <w:tcPr>
            <w:tcW w:w="821" w:type="dxa"/>
            <w:tcBorders>
              <w:left w:val="single" w:sz="4" w:space="0" w:color="000000"/>
              <w:right w:val="single" w:sz="4" w:space="0" w:color="000000"/>
            </w:tcBorders>
          </w:tcPr>
          <w:p>
            <w:pPr>
              <w:pStyle w:val="TableParagraph"/>
              <w:spacing w:before="67"/>
              <w:ind w:right="-15"/>
              <w:jc w:val="right"/>
              <w:rPr>
                <w:rFonts w:ascii="宋体"/>
                <w:sz w:val="18"/>
              </w:rPr>
            </w:pPr>
            <w:r>
              <w:rPr>
                <w:rFonts w:ascii="宋体"/>
                <w:sz w:val="18"/>
              </w:rPr>
              <w:t> </w:t>
            </w:r>
          </w:p>
        </w:tc>
        <w:tc>
          <w:tcPr>
            <w:tcW w:w="1293" w:type="dxa"/>
            <w:tcBorders>
              <w:left w:val="single" w:sz="4" w:space="0" w:color="000000"/>
            </w:tcBorders>
          </w:tcPr>
          <w:p>
            <w:pPr>
              <w:pStyle w:val="TableParagraph"/>
              <w:spacing w:before="79"/>
              <w:ind w:left="160"/>
              <w:rPr>
                <w:sz w:val="18"/>
              </w:rPr>
            </w:pPr>
            <w:r>
              <w:rPr>
                <w:sz w:val="18"/>
              </w:rPr>
              <w:t>11,356,696.60</w:t>
            </w:r>
          </w:p>
        </w:tc>
      </w:tr>
    </w:tbl>
    <w:p>
      <w:pPr>
        <w:pStyle w:val="BodyText"/>
        <w:spacing w:line="267" w:lineRule="exact" w:before="4"/>
        <w:ind w:left="1962"/>
      </w:pPr>
      <w:r>
        <w:rPr/>
        <w:t>本公司期末质押的应收票据为 </w:t>
      </w:r>
      <w:r>
        <w:rPr>
          <w:rFonts w:ascii="Times New Roman" w:eastAsia="Times New Roman"/>
        </w:rPr>
        <w:t>12,561,829,391.13 </w:t>
      </w:r>
      <w:r>
        <w:rPr/>
        <w:t>元。</w:t>
      </w:r>
    </w:p>
    <w:p>
      <w:pPr>
        <w:pStyle w:val="Heading4"/>
        <w:spacing w:line="384" w:lineRule="exact"/>
      </w:pPr>
      <w:r>
        <w:rPr>
          <w:rFonts w:ascii="Times New Roman" w:eastAsia="Times New Roman"/>
        </w:rPr>
        <w:t>5</w:t>
      </w:r>
      <w:r>
        <w:rPr/>
        <w:t>、 应收账款</w:t>
      </w:r>
    </w:p>
    <w:p>
      <w:pPr>
        <w:pStyle w:val="BodyText"/>
        <w:spacing w:before="187"/>
        <w:ind w:left="1895"/>
      </w:pPr>
      <w:r>
        <w:rPr/>
        <w:t>① 应收账款按账龄披露如下：</w:t>
      </w:r>
    </w:p>
    <w:p>
      <w:pPr>
        <w:pStyle w:val="BodyText"/>
        <w:spacing w:before="3" w:after="1"/>
        <w:rPr>
          <w:sz w:val="12"/>
        </w:rPr>
      </w:pPr>
    </w:p>
    <w:tbl>
      <w:tblPr>
        <w:tblW w:w="0" w:type="auto"/>
        <w:jc w:val="left"/>
        <w:tblInd w:w="15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351"/>
        <w:gridCol w:w="2782"/>
        <w:gridCol w:w="2657"/>
      </w:tblGrid>
      <w:tr>
        <w:trPr>
          <w:trHeight w:val="368" w:hRule="atLeast"/>
        </w:trPr>
        <w:tc>
          <w:tcPr>
            <w:tcW w:w="3351" w:type="dxa"/>
            <w:tcBorders>
              <w:bottom w:val="single" w:sz="4" w:space="0" w:color="000000"/>
              <w:right w:val="single" w:sz="4" w:space="0" w:color="000000"/>
            </w:tcBorders>
          </w:tcPr>
          <w:p>
            <w:pPr>
              <w:pStyle w:val="TableParagraph"/>
              <w:spacing w:line="349" w:lineRule="exact"/>
              <w:ind w:left="1454" w:right="1436"/>
              <w:jc w:val="center"/>
              <w:rPr>
                <w:rFonts w:ascii="Microsoft JhengHei" w:eastAsia="Microsoft JhengHei" w:hint="eastAsia"/>
                <w:b/>
                <w:sz w:val="20"/>
              </w:rPr>
            </w:pPr>
            <w:r>
              <w:rPr>
                <w:rFonts w:ascii="Microsoft JhengHei" w:eastAsia="Microsoft JhengHei" w:hint="eastAsia"/>
                <w:b/>
                <w:sz w:val="20"/>
              </w:rPr>
              <w:t>账龄</w:t>
            </w:r>
          </w:p>
        </w:tc>
        <w:tc>
          <w:tcPr>
            <w:tcW w:w="2782" w:type="dxa"/>
            <w:tcBorders>
              <w:left w:val="single" w:sz="4" w:space="0" w:color="000000"/>
              <w:bottom w:val="single" w:sz="4" w:space="0" w:color="000000"/>
              <w:right w:val="single" w:sz="4" w:space="0" w:color="000000"/>
            </w:tcBorders>
          </w:tcPr>
          <w:p>
            <w:pPr>
              <w:pStyle w:val="TableParagraph"/>
              <w:spacing w:line="349" w:lineRule="exact"/>
              <w:ind w:left="960" w:right="929"/>
              <w:jc w:val="center"/>
              <w:rPr>
                <w:rFonts w:ascii="Microsoft JhengHei" w:eastAsia="Microsoft JhengHei" w:hint="eastAsia"/>
                <w:b/>
                <w:sz w:val="20"/>
              </w:rPr>
            </w:pPr>
            <w:r>
              <w:rPr>
                <w:rFonts w:ascii="Microsoft JhengHei" w:eastAsia="Microsoft JhengHei" w:hint="eastAsia"/>
                <w:b/>
                <w:sz w:val="20"/>
              </w:rPr>
              <w:t>期末余额</w:t>
            </w:r>
          </w:p>
        </w:tc>
        <w:tc>
          <w:tcPr>
            <w:tcW w:w="2657" w:type="dxa"/>
            <w:tcBorders>
              <w:left w:val="single" w:sz="4" w:space="0" w:color="000000"/>
              <w:bottom w:val="single" w:sz="4" w:space="0" w:color="000000"/>
            </w:tcBorders>
          </w:tcPr>
          <w:p>
            <w:pPr>
              <w:pStyle w:val="TableParagraph"/>
              <w:spacing w:line="349" w:lineRule="exact"/>
              <w:ind w:left="917" w:right="880"/>
              <w:jc w:val="center"/>
              <w:rPr>
                <w:rFonts w:ascii="Microsoft JhengHei" w:eastAsia="Microsoft JhengHei" w:hint="eastAsia"/>
                <w:b/>
                <w:sz w:val="20"/>
              </w:rPr>
            </w:pPr>
            <w:r>
              <w:rPr>
                <w:rFonts w:ascii="Microsoft JhengHei" w:eastAsia="Microsoft JhengHei" w:hint="eastAsia"/>
                <w:b/>
                <w:sz w:val="20"/>
              </w:rPr>
              <w:t>期初余额</w:t>
            </w:r>
          </w:p>
        </w:tc>
      </w:tr>
      <w:tr>
        <w:trPr>
          <w:trHeight w:val="369" w:hRule="atLeast"/>
        </w:trPr>
        <w:tc>
          <w:tcPr>
            <w:tcW w:w="3351" w:type="dxa"/>
            <w:tcBorders>
              <w:top w:val="single" w:sz="4" w:space="0" w:color="000000"/>
              <w:bottom w:val="single" w:sz="4" w:space="0" w:color="000000"/>
              <w:right w:val="single" w:sz="4" w:space="0" w:color="000000"/>
            </w:tcBorders>
          </w:tcPr>
          <w:p>
            <w:pPr>
              <w:pStyle w:val="TableParagraph"/>
              <w:spacing w:before="56"/>
              <w:ind w:left="105"/>
              <w:rPr>
                <w:rFonts w:ascii="宋体" w:eastAsia="宋体" w:hint="eastAsia"/>
                <w:sz w:val="20"/>
              </w:rPr>
            </w:pPr>
            <w:r>
              <w:rPr>
                <w:sz w:val="20"/>
              </w:rPr>
              <w:t>1 </w:t>
            </w:r>
            <w:r>
              <w:rPr>
                <w:rFonts w:ascii="宋体" w:eastAsia="宋体" w:hint="eastAsia"/>
                <w:sz w:val="20"/>
              </w:rPr>
              <w:t>年以内</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before="62"/>
              <w:ind w:right="87"/>
              <w:jc w:val="right"/>
              <w:rPr>
                <w:sz w:val="20"/>
              </w:rPr>
            </w:pPr>
            <w:r>
              <w:rPr>
                <w:w w:val="95"/>
                <w:sz w:val="20"/>
              </w:rPr>
              <w:t>15,866,291,515.38</w:t>
            </w:r>
          </w:p>
        </w:tc>
        <w:tc>
          <w:tcPr>
            <w:tcW w:w="2657" w:type="dxa"/>
            <w:tcBorders>
              <w:top w:val="single" w:sz="4" w:space="0" w:color="000000"/>
              <w:left w:val="single" w:sz="4" w:space="0" w:color="000000"/>
              <w:bottom w:val="single" w:sz="4" w:space="0" w:color="000000"/>
            </w:tcBorders>
          </w:tcPr>
          <w:p>
            <w:pPr>
              <w:pStyle w:val="TableParagraph"/>
              <w:spacing w:before="62"/>
              <w:ind w:right="79"/>
              <w:jc w:val="right"/>
              <w:rPr>
                <w:sz w:val="20"/>
              </w:rPr>
            </w:pPr>
            <w:r>
              <w:rPr>
                <w:sz w:val="20"/>
              </w:rPr>
              <w:t>10,948,682,641.60</w:t>
            </w:r>
          </w:p>
        </w:tc>
      </w:tr>
      <w:tr>
        <w:trPr>
          <w:trHeight w:val="369" w:hRule="atLeast"/>
        </w:trPr>
        <w:tc>
          <w:tcPr>
            <w:tcW w:w="3351" w:type="dxa"/>
            <w:tcBorders>
              <w:top w:val="single" w:sz="4" w:space="0" w:color="000000"/>
              <w:bottom w:val="single" w:sz="4" w:space="0" w:color="000000"/>
              <w:right w:val="single" w:sz="4" w:space="0" w:color="000000"/>
            </w:tcBorders>
          </w:tcPr>
          <w:p>
            <w:pPr>
              <w:pStyle w:val="TableParagraph"/>
              <w:spacing w:before="56"/>
              <w:ind w:left="105"/>
              <w:rPr>
                <w:rFonts w:ascii="宋体" w:eastAsia="宋体" w:hint="eastAsia"/>
                <w:sz w:val="20"/>
              </w:rPr>
            </w:pPr>
            <w:r>
              <w:rPr>
                <w:sz w:val="20"/>
              </w:rPr>
              <w:t>1-2 </w:t>
            </w:r>
            <w:r>
              <w:rPr>
                <w:rFonts w:ascii="宋体" w:eastAsia="宋体" w:hint="eastAsia"/>
                <w:sz w:val="20"/>
              </w:rPr>
              <w:t>年</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before="62"/>
              <w:ind w:right="87"/>
              <w:jc w:val="right"/>
              <w:rPr>
                <w:sz w:val="20"/>
              </w:rPr>
            </w:pPr>
            <w:r>
              <w:rPr>
                <w:sz w:val="20"/>
              </w:rPr>
              <w:t>229,618,450.58</w:t>
            </w:r>
          </w:p>
        </w:tc>
        <w:tc>
          <w:tcPr>
            <w:tcW w:w="2657" w:type="dxa"/>
            <w:tcBorders>
              <w:top w:val="single" w:sz="4" w:space="0" w:color="000000"/>
              <w:left w:val="single" w:sz="4" w:space="0" w:color="000000"/>
              <w:bottom w:val="single" w:sz="4" w:space="0" w:color="000000"/>
            </w:tcBorders>
          </w:tcPr>
          <w:p>
            <w:pPr>
              <w:pStyle w:val="TableParagraph"/>
              <w:spacing w:before="62"/>
              <w:ind w:right="79"/>
              <w:jc w:val="right"/>
              <w:rPr>
                <w:sz w:val="20"/>
              </w:rPr>
            </w:pPr>
            <w:r>
              <w:rPr>
                <w:sz w:val="20"/>
              </w:rPr>
              <w:t>274,136,141.64</w:t>
            </w:r>
          </w:p>
        </w:tc>
      </w:tr>
      <w:tr>
        <w:trPr>
          <w:trHeight w:val="369" w:hRule="atLeast"/>
        </w:trPr>
        <w:tc>
          <w:tcPr>
            <w:tcW w:w="3351" w:type="dxa"/>
            <w:tcBorders>
              <w:top w:val="single" w:sz="4" w:space="0" w:color="000000"/>
              <w:bottom w:val="single" w:sz="4" w:space="0" w:color="000000"/>
              <w:right w:val="single" w:sz="4" w:space="0" w:color="000000"/>
            </w:tcBorders>
          </w:tcPr>
          <w:p>
            <w:pPr>
              <w:pStyle w:val="TableParagraph"/>
              <w:spacing w:before="56"/>
              <w:ind w:left="105"/>
              <w:rPr>
                <w:rFonts w:ascii="宋体" w:eastAsia="宋体" w:hint="eastAsia"/>
                <w:sz w:val="20"/>
              </w:rPr>
            </w:pPr>
            <w:r>
              <w:rPr>
                <w:sz w:val="20"/>
              </w:rPr>
              <w:t>2-3 </w:t>
            </w:r>
            <w:r>
              <w:rPr>
                <w:rFonts w:ascii="宋体" w:eastAsia="宋体" w:hint="eastAsia"/>
                <w:sz w:val="20"/>
              </w:rPr>
              <w:t>年</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before="62"/>
              <w:ind w:right="87"/>
              <w:jc w:val="right"/>
              <w:rPr>
                <w:sz w:val="20"/>
              </w:rPr>
            </w:pPr>
            <w:r>
              <w:rPr>
                <w:w w:val="95"/>
                <w:sz w:val="20"/>
              </w:rPr>
              <w:t>91,669,887.74</w:t>
            </w:r>
          </w:p>
        </w:tc>
        <w:tc>
          <w:tcPr>
            <w:tcW w:w="2657" w:type="dxa"/>
            <w:tcBorders>
              <w:top w:val="single" w:sz="4" w:space="0" w:color="000000"/>
              <w:left w:val="single" w:sz="4" w:space="0" w:color="000000"/>
              <w:bottom w:val="single" w:sz="4" w:space="0" w:color="000000"/>
            </w:tcBorders>
          </w:tcPr>
          <w:p>
            <w:pPr>
              <w:pStyle w:val="TableParagraph"/>
              <w:spacing w:before="62"/>
              <w:ind w:right="79"/>
              <w:jc w:val="right"/>
              <w:rPr>
                <w:sz w:val="20"/>
              </w:rPr>
            </w:pPr>
            <w:r>
              <w:rPr>
                <w:w w:val="95"/>
                <w:sz w:val="20"/>
              </w:rPr>
              <w:t>98,672,021.59</w:t>
            </w:r>
          </w:p>
        </w:tc>
      </w:tr>
      <w:tr>
        <w:trPr>
          <w:trHeight w:val="369" w:hRule="atLeast"/>
        </w:trPr>
        <w:tc>
          <w:tcPr>
            <w:tcW w:w="3351" w:type="dxa"/>
            <w:tcBorders>
              <w:top w:val="single" w:sz="4" w:space="0" w:color="000000"/>
              <w:bottom w:val="single" w:sz="4" w:space="0" w:color="000000"/>
              <w:right w:val="single" w:sz="4" w:space="0" w:color="000000"/>
            </w:tcBorders>
          </w:tcPr>
          <w:p>
            <w:pPr>
              <w:pStyle w:val="TableParagraph"/>
              <w:spacing w:before="56"/>
              <w:ind w:left="105"/>
              <w:rPr>
                <w:rFonts w:ascii="宋体" w:eastAsia="宋体" w:hint="eastAsia"/>
                <w:sz w:val="20"/>
              </w:rPr>
            </w:pPr>
            <w:r>
              <w:rPr>
                <w:sz w:val="20"/>
              </w:rPr>
              <w:t>3 </w:t>
            </w:r>
            <w:r>
              <w:rPr>
                <w:rFonts w:ascii="宋体" w:eastAsia="宋体" w:hint="eastAsia"/>
                <w:sz w:val="20"/>
              </w:rPr>
              <w:t>年以上</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before="62"/>
              <w:ind w:right="87"/>
              <w:jc w:val="right"/>
              <w:rPr>
                <w:sz w:val="20"/>
              </w:rPr>
            </w:pPr>
            <w:r>
              <w:rPr>
                <w:w w:val="95"/>
                <w:sz w:val="20"/>
              </w:rPr>
              <w:t>184,125,877.54</w:t>
            </w:r>
          </w:p>
        </w:tc>
        <w:tc>
          <w:tcPr>
            <w:tcW w:w="2657" w:type="dxa"/>
            <w:tcBorders>
              <w:top w:val="single" w:sz="4" w:space="0" w:color="000000"/>
              <w:left w:val="single" w:sz="4" w:space="0" w:color="000000"/>
              <w:bottom w:val="single" w:sz="4" w:space="0" w:color="000000"/>
            </w:tcBorders>
          </w:tcPr>
          <w:p>
            <w:pPr>
              <w:pStyle w:val="TableParagraph"/>
              <w:spacing w:before="62"/>
              <w:ind w:right="79"/>
              <w:jc w:val="right"/>
              <w:rPr>
                <w:sz w:val="20"/>
              </w:rPr>
            </w:pPr>
            <w:r>
              <w:rPr>
                <w:sz w:val="20"/>
              </w:rPr>
              <w:t>139,300,727.01</w:t>
            </w:r>
          </w:p>
        </w:tc>
      </w:tr>
      <w:tr>
        <w:trPr>
          <w:trHeight w:val="369" w:hRule="atLeast"/>
        </w:trPr>
        <w:tc>
          <w:tcPr>
            <w:tcW w:w="3351" w:type="dxa"/>
            <w:tcBorders>
              <w:top w:val="single" w:sz="4" w:space="0" w:color="000000"/>
              <w:bottom w:val="single" w:sz="4" w:space="0" w:color="000000"/>
              <w:right w:val="single" w:sz="4" w:space="0" w:color="000000"/>
            </w:tcBorders>
          </w:tcPr>
          <w:p>
            <w:pPr>
              <w:pStyle w:val="TableParagraph"/>
              <w:spacing w:before="57"/>
              <w:ind w:right="1059"/>
              <w:jc w:val="right"/>
              <w:rPr>
                <w:rFonts w:ascii="宋体" w:eastAsia="宋体" w:hint="eastAsia"/>
                <w:sz w:val="20"/>
              </w:rPr>
            </w:pPr>
            <w:r>
              <w:rPr>
                <w:rFonts w:ascii="宋体" w:eastAsia="宋体" w:hint="eastAsia"/>
                <w:w w:val="95"/>
                <w:sz w:val="20"/>
              </w:rPr>
              <w:t>应收账款余额</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before="63"/>
              <w:ind w:right="87"/>
              <w:jc w:val="right"/>
              <w:rPr>
                <w:sz w:val="20"/>
              </w:rPr>
            </w:pPr>
            <w:r>
              <w:rPr>
                <w:w w:val="95"/>
                <w:sz w:val="20"/>
              </w:rPr>
              <w:t>16,371,705,731.24</w:t>
            </w:r>
          </w:p>
        </w:tc>
        <w:tc>
          <w:tcPr>
            <w:tcW w:w="2657" w:type="dxa"/>
            <w:tcBorders>
              <w:top w:val="single" w:sz="4" w:space="0" w:color="000000"/>
              <w:left w:val="single" w:sz="4" w:space="0" w:color="000000"/>
              <w:bottom w:val="single" w:sz="4" w:space="0" w:color="000000"/>
            </w:tcBorders>
          </w:tcPr>
          <w:p>
            <w:pPr>
              <w:pStyle w:val="TableParagraph"/>
              <w:spacing w:before="63"/>
              <w:ind w:right="79"/>
              <w:jc w:val="right"/>
              <w:rPr>
                <w:sz w:val="20"/>
              </w:rPr>
            </w:pPr>
            <w:r>
              <w:rPr>
                <w:sz w:val="20"/>
              </w:rPr>
              <w:t>11,460,791,531.84</w:t>
            </w:r>
          </w:p>
        </w:tc>
      </w:tr>
      <w:tr>
        <w:trPr>
          <w:trHeight w:val="369" w:hRule="atLeast"/>
        </w:trPr>
        <w:tc>
          <w:tcPr>
            <w:tcW w:w="3351" w:type="dxa"/>
            <w:tcBorders>
              <w:top w:val="single" w:sz="4" w:space="0" w:color="000000"/>
              <w:bottom w:val="single" w:sz="4" w:space="0" w:color="000000"/>
              <w:right w:val="single" w:sz="4" w:space="0" w:color="000000"/>
            </w:tcBorders>
          </w:tcPr>
          <w:p>
            <w:pPr>
              <w:pStyle w:val="TableParagraph"/>
              <w:spacing w:before="56"/>
              <w:ind w:left="105"/>
              <w:rPr>
                <w:rFonts w:ascii="宋体" w:eastAsia="宋体" w:hint="eastAsia"/>
                <w:sz w:val="20"/>
              </w:rPr>
            </w:pPr>
            <w:r>
              <w:rPr>
                <w:rFonts w:ascii="宋体" w:eastAsia="宋体" w:hint="eastAsia"/>
                <w:sz w:val="20"/>
              </w:rPr>
              <w:t>坏账准备</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before="62"/>
              <w:ind w:right="87"/>
              <w:jc w:val="right"/>
              <w:rPr>
                <w:sz w:val="20"/>
              </w:rPr>
            </w:pPr>
            <w:r>
              <w:rPr>
                <w:w w:val="95"/>
                <w:sz w:val="20"/>
              </w:rPr>
              <w:t>441,681,444.57</w:t>
            </w:r>
          </w:p>
        </w:tc>
        <w:tc>
          <w:tcPr>
            <w:tcW w:w="2657" w:type="dxa"/>
            <w:tcBorders>
              <w:top w:val="single" w:sz="4" w:space="0" w:color="000000"/>
              <w:left w:val="single" w:sz="4" w:space="0" w:color="000000"/>
              <w:bottom w:val="single" w:sz="4" w:space="0" w:color="000000"/>
            </w:tcBorders>
          </w:tcPr>
          <w:p>
            <w:pPr>
              <w:pStyle w:val="TableParagraph"/>
              <w:spacing w:before="62"/>
              <w:ind w:right="77"/>
              <w:jc w:val="right"/>
              <w:rPr>
                <w:sz w:val="20"/>
              </w:rPr>
            </w:pPr>
            <w:r>
              <w:rPr>
                <w:w w:val="95"/>
                <w:sz w:val="20"/>
              </w:rPr>
              <w:t>444,920,471.75</w:t>
            </w:r>
          </w:p>
        </w:tc>
      </w:tr>
      <w:tr>
        <w:trPr>
          <w:trHeight w:val="366" w:hRule="atLeast"/>
        </w:trPr>
        <w:tc>
          <w:tcPr>
            <w:tcW w:w="3351" w:type="dxa"/>
            <w:tcBorders>
              <w:top w:val="single" w:sz="4" w:space="0" w:color="000000"/>
              <w:right w:val="single" w:sz="4" w:space="0" w:color="000000"/>
            </w:tcBorders>
          </w:tcPr>
          <w:p>
            <w:pPr>
              <w:pStyle w:val="TableParagraph"/>
              <w:spacing w:before="56"/>
              <w:ind w:right="1059"/>
              <w:jc w:val="right"/>
              <w:rPr>
                <w:rFonts w:ascii="宋体" w:eastAsia="宋体" w:hint="eastAsia"/>
                <w:sz w:val="20"/>
              </w:rPr>
            </w:pPr>
            <w:r>
              <w:rPr>
                <w:rFonts w:ascii="宋体" w:eastAsia="宋体" w:hint="eastAsia"/>
                <w:w w:val="95"/>
                <w:sz w:val="20"/>
              </w:rPr>
              <w:t>应收账款净额</w:t>
            </w:r>
          </w:p>
        </w:tc>
        <w:tc>
          <w:tcPr>
            <w:tcW w:w="2782" w:type="dxa"/>
            <w:tcBorders>
              <w:top w:val="single" w:sz="4" w:space="0" w:color="000000"/>
              <w:left w:val="single" w:sz="4" w:space="0" w:color="000000"/>
              <w:right w:val="single" w:sz="4" w:space="0" w:color="000000"/>
            </w:tcBorders>
          </w:tcPr>
          <w:p>
            <w:pPr>
              <w:pStyle w:val="TableParagraph"/>
              <w:spacing w:before="62"/>
              <w:ind w:right="87"/>
              <w:jc w:val="right"/>
              <w:rPr>
                <w:sz w:val="20"/>
              </w:rPr>
            </w:pPr>
            <w:r>
              <w:rPr>
                <w:w w:val="95"/>
                <w:sz w:val="20"/>
              </w:rPr>
              <w:t>15,930,024,286.67</w:t>
            </w:r>
          </w:p>
        </w:tc>
        <w:tc>
          <w:tcPr>
            <w:tcW w:w="2657" w:type="dxa"/>
            <w:tcBorders>
              <w:top w:val="single" w:sz="4" w:space="0" w:color="000000"/>
              <w:left w:val="single" w:sz="4" w:space="0" w:color="000000"/>
            </w:tcBorders>
          </w:tcPr>
          <w:p>
            <w:pPr>
              <w:pStyle w:val="TableParagraph"/>
              <w:spacing w:before="62"/>
              <w:ind w:right="77"/>
              <w:jc w:val="right"/>
              <w:rPr>
                <w:sz w:val="20"/>
              </w:rPr>
            </w:pPr>
            <w:r>
              <w:rPr>
                <w:w w:val="95"/>
                <w:sz w:val="20"/>
              </w:rPr>
              <w:t>11,015,871,060.09</w:t>
            </w:r>
          </w:p>
        </w:tc>
      </w:tr>
    </w:tbl>
    <w:p>
      <w:pPr>
        <w:pStyle w:val="BodyText"/>
        <w:spacing w:before="3"/>
        <w:ind w:left="1895"/>
      </w:pPr>
      <w:r>
        <w:rPr/>
        <w:t>② 期末应收账款中前 </w:t>
      </w:r>
      <w:r>
        <w:rPr>
          <w:rFonts w:ascii="Times New Roman" w:hAnsi="Times New Roman" w:eastAsia="Times New Roman"/>
        </w:rPr>
        <w:t>5 </w:t>
      </w:r>
      <w:r>
        <w:rPr/>
        <w:t>名的金额总计为 </w:t>
      </w:r>
      <w:r>
        <w:rPr>
          <w:rFonts w:ascii="Times New Roman" w:hAnsi="Times New Roman" w:eastAsia="Times New Roman"/>
        </w:rPr>
        <w:t>4,959,526,641.14 </w:t>
      </w:r>
      <w:r>
        <w:rPr/>
        <w:t>元，占应收账款账面余额的 </w:t>
      </w:r>
      <w:r>
        <w:rPr>
          <w:rFonts w:ascii="Times New Roman" w:hAnsi="Times New Roman" w:eastAsia="Times New Roman"/>
        </w:rPr>
        <w:t>30.29%</w:t>
      </w:r>
      <w:r>
        <w:rPr/>
        <w:t>。</w:t>
      </w:r>
    </w:p>
    <w:p>
      <w:pPr>
        <w:pStyle w:val="BodyText"/>
        <w:spacing w:before="139"/>
        <w:ind w:left="1895"/>
      </w:pPr>
      <w:r>
        <w:rPr/>
        <w:t>③ 本期应收账款坏账准备变动情况：</w:t>
      </w:r>
    </w:p>
    <w:p>
      <w:pPr>
        <w:pStyle w:val="BodyText"/>
        <w:spacing w:before="12"/>
        <w:rPr>
          <w:sz w:val="10"/>
        </w:rPr>
      </w:pPr>
    </w:p>
    <w:tbl>
      <w:tblPr>
        <w:tblW w:w="0" w:type="auto"/>
        <w:jc w:val="left"/>
        <w:tblInd w:w="137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51"/>
        <w:gridCol w:w="1378"/>
        <w:gridCol w:w="1377"/>
        <w:gridCol w:w="1375"/>
        <w:gridCol w:w="1252"/>
        <w:gridCol w:w="1377"/>
        <w:gridCol w:w="1374"/>
      </w:tblGrid>
      <w:tr>
        <w:trPr>
          <w:trHeight w:val="368" w:hRule="atLeast"/>
        </w:trPr>
        <w:tc>
          <w:tcPr>
            <w:tcW w:w="1051" w:type="dxa"/>
            <w:vMerge w:val="restart"/>
            <w:tcBorders>
              <w:bottom w:val="single" w:sz="4" w:space="0" w:color="000000"/>
              <w:right w:val="single" w:sz="4" w:space="0" w:color="000000"/>
            </w:tcBorders>
          </w:tcPr>
          <w:p>
            <w:pPr>
              <w:pStyle w:val="TableParagraph"/>
              <w:spacing w:before="4"/>
              <w:rPr>
                <w:rFonts w:ascii="宋体"/>
                <w:sz w:val="15"/>
              </w:rPr>
            </w:pPr>
          </w:p>
          <w:p>
            <w:pPr>
              <w:pStyle w:val="TableParagraph"/>
              <w:ind w:left="342"/>
              <w:rPr>
                <w:rFonts w:ascii="Microsoft JhengHei" w:eastAsia="Microsoft JhengHei" w:hint="eastAsia"/>
                <w:b/>
                <w:sz w:val="18"/>
              </w:rPr>
            </w:pPr>
            <w:r>
              <w:rPr>
                <w:rFonts w:ascii="Microsoft JhengHei" w:eastAsia="Microsoft JhengHei" w:hint="eastAsia"/>
                <w:b/>
                <w:sz w:val="18"/>
              </w:rPr>
              <w:t>项目</w:t>
            </w:r>
          </w:p>
        </w:tc>
        <w:tc>
          <w:tcPr>
            <w:tcW w:w="1378" w:type="dxa"/>
            <w:vMerge w:val="restart"/>
            <w:tcBorders>
              <w:left w:val="single" w:sz="4" w:space="0" w:color="000000"/>
              <w:bottom w:val="single" w:sz="4" w:space="0" w:color="000000"/>
              <w:right w:val="single" w:sz="4" w:space="0" w:color="000000"/>
            </w:tcBorders>
          </w:tcPr>
          <w:p>
            <w:pPr>
              <w:pStyle w:val="TableParagraph"/>
              <w:spacing w:before="4"/>
              <w:rPr>
                <w:rFonts w:ascii="宋体"/>
                <w:sz w:val="15"/>
              </w:rPr>
            </w:pPr>
          </w:p>
          <w:p>
            <w:pPr>
              <w:pStyle w:val="TableParagraph"/>
              <w:ind w:left="333"/>
              <w:rPr>
                <w:rFonts w:ascii="Microsoft JhengHei" w:eastAsia="Microsoft JhengHei" w:hint="eastAsia"/>
                <w:b/>
                <w:sz w:val="18"/>
              </w:rPr>
            </w:pPr>
            <w:r>
              <w:rPr>
                <w:rFonts w:ascii="Microsoft JhengHei" w:eastAsia="Microsoft JhengHei" w:hint="eastAsia"/>
                <w:b/>
                <w:sz w:val="18"/>
              </w:rPr>
              <w:t>期初余额</w:t>
            </w:r>
          </w:p>
        </w:tc>
        <w:tc>
          <w:tcPr>
            <w:tcW w:w="2752" w:type="dxa"/>
            <w:gridSpan w:val="2"/>
            <w:tcBorders>
              <w:left w:val="single" w:sz="4" w:space="0" w:color="000000"/>
              <w:bottom w:val="single" w:sz="4" w:space="0" w:color="000000"/>
              <w:right w:val="single" w:sz="4" w:space="0" w:color="000000"/>
            </w:tcBorders>
          </w:tcPr>
          <w:p>
            <w:pPr>
              <w:pStyle w:val="TableParagraph"/>
              <w:spacing w:before="7"/>
              <w:ind w:left="1006" w:right="976"/>
              <w:jc w:val="center"/>
              <w:rPr>
                <w:rFonts w:ascii="Microsoft JhengHei" w:eastAsia="Microsoft JhengHei" w:hint="eastAsia"/>
                <w:b/>
                <w:sz w:val="18"/>
              </w:rPr>
            </w:pPr>
            <w:r>
              <w:rPr>
                <w:rFonts w:ascii="Microsoft JhengHei" w:eastAsia="Microsoft JhengHei" w:hint="eastAsia"/>
                <w:b/>
                <w:sz w:val="18"/>
              </w:rPr>
              <w:t>本期增加</w:t>
            </w:r>
          </w:p>
        </w:tc>
        <w:tc>
          <w:tcPr>
            <w:tcW w:w="2629" w:type="dxa"/>
            <w:gridSpan w:val="2"/>
            <w:tcBorders>
              <w:left w:val="single" w:sz="4" w:space="0" w:color="000000"/>
              <w:bottom w:val="single" w:sz="4" w:space="0" w:color="000000"/>
              <w:right w:val="single" w:sz="4" w:space="0" w:color="000000"/>
            </w:tcBorders>
          </w:tcPr>
          <w:p>
            <w:pPr>
              <w:pStyle w:val="TableParagraph"/>
              <w:spacing w:before="7"/>
              <w:ind w:left="944" w:right="914"/>
              <w:jc w:val="center"/>
              <w:rPr>
                <w:rFonts w:ascii="Microsoft JhengHei" w:eastAsia="Microsoft JhengHei" w:hint="eastAsia"/>
                <w:b/>
                <w:sz w:val="18"/>
              </w:rPr>
            </w:pPr>
            <w:r>
              <w:rPr>
                <w:rFonts w:ascii="Microsoft JhengHei" w:eastAsia="Microsoft JhengHei" w:hint="eastAsia"/>
                <w:b/>
                <w:sz w:val="18"/>
              </w:rPr>
              <w:t>本期减少</w:t>
            </w:r>
          </w:p>
        </w:tc>
        <w:tc>
          <w:tcPr>
            <w:tcW w:w="1374" w:type="dxa"/>
            <w:vMerge w:val="restart"/>
            <w:tcBorders>
              <w:left w:val="single" w:sz="4" w:space="0" w:color="000000"/>
              <w:bottom w:val="single" w:sz="4" w:space="0" w:color="000000"/>
            </w:tcBorders>
          </w:tcPr>
          <w:p>
            <w:pPr>
              <w:pStyle w:val="TableParagraph"/>
              <w:spacing w:before="4"/>
              <w:rPr>
                <w:rFonts w:ascii="宋体"/>
                <w:sz w:val="15"/>
              </w:rPr>
            </w:pPr>
          </w:p>
          <w:p>
            <w:pPr>
              <w:pStyle w:val="TableParagraph"/>
              <w:ind w:left="339"/>
              <w:rPr>
                <w:rFonts w:ascii="Microsoft JhengHei" w:eastAsia="Microsoft JhengHei" w:hint="eastAsia"/>
                <w:b/>
                <w:sz w:val="18"/>
              </w:rPr>
            </w:pPr>
            <w:r>
              <w:rPr>
                <w:rFonts w:ascii="Microsoft JhengHei" w:eastAsia="Microsoft JhengHei" w:hint="eastAsia"/>
                <w:b/>
                <w:sz w:val="18"/>
              </w:rPr>
              <w:t>期末余额</w:t>
            </w:r>
          </w:p>
        </w:tc>
      </w:tr>
      <w:tr>
        <w:trPr>
          <w:trHeight w:val="369" w:hRule="atLeast"/>
        </w:trPr>
        <w:tc>
          <w:tcPr>
            <w:tcW w:w="1051" w:type="dxa"/>
            <w:vMerge/>
            <w:tcBorders>
              <w:top w:val="nil"/>
              <w:bottom w:val="single" w:sz="4" w:space="0" w:color="000000"/>
              <w:right w:val="single" w:sz="4" w:space="0" w:color="000000"/>
            </w:tcBorders>
          </w:tcPr>
          <w:p>
            <w:pPr>
              <w:rPr>
                <w:sz w:val="2"/>
                <w:szCs w:val="2"/>
              </w:rPr>
            </w:pPr>
          </w:p>
        </w:tc>
        <w:tc>
          <w:tcPr>
            <w:tcW w:w="1378" w:type="dxa"/>
            <w:vMerge/>
            <w:tcBorders>
              <w:top w:val="nil"/>
              <w:left w:val="single" w:sz="4" w:space="0" w:color="000000"/>
              <w:bottom w:val="single" w:sz="4" w:space="0" w:color="000000"/>
              <w:right w:val="single" w:sz="4" w:space="0" w:color="000000"/>
            </w:tcBorders>
          </w:tcPr>
          <w:p>
            <w:pPr>
              <w:rPr>
                <w:sz w:val="2"/>
                <w:szCs w:val="2"/>
              </w:rPr>
            </w:pP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before="7"/>
              <w:ind w:left="95" w:right="68"/>
              <w:jc w:val="center"/>
              <w:rPr>
                <w:rFonts w:ascii="Microsoft JhengHei" w:eastAsia="Microsoft JhengHei" w:hint="eastAsia"/>
                <w:b/>
                <w:sz w:val="18"/>
              </w:rPr>
            </w:pPr>
            <w:r>
              <w:rPr>
                <w:rFonts w:ascii="Microsoft JhengHei" w:eastAsia="Microsoft JhengHei" w:hint="eastAsia"/>
                <w:b/>
                <w:sz w:val="18"/>
              </w:rPr>
              <w:t>本期计提</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before="7"/>
              <w:ind w:left="334"/>
              <w:rPr>
                <w:rFonts w:ascii="Microsoft JhengHei" w:eastAsia="Microsoft JhengHei" w:hint="eastAsia"/>
                <w:b/>
                <w:sz w:val="18"/>
              </w:rPr>
            </w:pPr>
            <w:r>
              <w:rPr>
                <w:rFonts w:ascii="Microsoft JhengHei" w:eastAsia="Microsoft JhengHei" w:hint="eastAsia"/>
                <w:b/>
                <w:sz w:val="18"/>
              </w:rPr>
              <w:t>其他增加</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before="7"/>
              <w:ind w:left="95" w:right="68"/>
              <w:jc w:val="center"/>
              <w:rPr>
                <w:rFonts w:ascii="Microsoft JhengHei" w:eastAsia="Microsoft JhengHei" w:hint="eastAsia"/>
                <w:b/>
                <w:sz w:val="18"/>
              </w:rPr>
            </w:pPr>
            <w:r>
              <w:rPr>
                <w:rFonts w:ascii="Microsoft JhengHei" w:eastAsia="Microsoft JhengHei" w:hint="eastAsia"/>
                <w:b/>
                <w:sz w:val="18"/>
              </w:rPr>
              <w:t>转回数</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before="7"/>
              <w:ind w:left="97" w:right="68"/>
              <w:jc w:val="center"/>
              <w:rPr>
                <w:rFonts w:ascii="Microsoft JhengHei" w:eastAsia="Microsoft JhengHei" w:hint="eastAsia"/>
                <w:b/>
                <w:sz w:val="18"/>
              </w:rPr>
            </w:pPr>
            <w:r>
              <w:rPr>
                <w:rFonts w:ascii="Microsoft JhengHei" w:eastAsia="Microsoft JhengHei" w:hint="eastAsia"/>
                <w:b/>
                <w:sz w:val="18"/>
              </w:rPr>
              <w:t>转销及其他</w:t>
            </w:r>
          </w:p>
        </w:tc>
        <w:tc>
          <w:tcPr>
            <w:tcW w:w="1374" w:type="dxa"/>
            <w:vMerge/>
            <w:tcBorders>
              <w:top w:val="nil"/>
              <w:left w:val="single" w:sz="4" w:space="0" w:color="000000"/>
              <w:bottom w:val="single" w:sz="4" w:space="0" w:color="000000"/>
            </w:tcBorders>
          </w:tcPr>
          <w:p>
            <w:pPr>
              <w:rPr>
                <w:sz w:val="2"/>
                <w:szCs w:val="2"/>
              </w:rPr>
            </w:pPr>
          </w:p>
        </w:tc>
      </w:tr>
      <w:tr>
        <w:trPr>
          <w:trHeight w:val="366" w:hRule="atLeast"/>
        </w:trPr>
        <w:tc>
          <w:tcPr>
            <w:tcW w:w="1051" w:type="dxa"/>
            <w:tcBorders>
              <w:top w:val="single" w:sz="4" w:space="0" w:color="000000"/>
              <w:right w:val="single" w:sz="4" w:space="0" w:color="000000"/>
            </w:tcBorders>
          </w:tcPr>
          <w:p>
            <w:pPr>
              <w:pStyle w:val="TableParagraph"/>
              <w:spacing w:before="67"/>
              <w:ind w:left="165"/>
              <w:rPr>
                <w:rFonts w:ascii="宋体" w:eastAsia="宋体" w:hint="eastAsia"/>
                <w:sz w:val="18"/>
              </w:rPr>
            </w:pPr>
            <w:r>
              <w:rPr>
                <w:rFonts w:ascii="宋体" w:eastAsia="宋体" w:hint="eastAsia"/>
                <w:sz w:val="18"/>
              </w:rPr>
              <w:t>坏账准备</w:t>
            </w:r>
          </w:p>
        </w:tc>
        <w:tc>
          <w:tcPr>
            <w:tcW w:w="1378" w:type="dxa"/>
            <w:tcBorders>
              <w:top w:val="single" w:sz="4" w:space="0" w:color="000000"/>
              <w:left w:val="single" w:sz="4" w:space="0" w:color="000000"/>
              <w:right w:val="single" w:sz="4" w:space="0" w:color="000000"/>
            </w:tcBorders>
          </w:tcPr>
          <w:p>
            <w:pPr>
              <w:pStyle w:val="TableParagraph"/>
              <w:spacing w:before="76"/>
              <w:ind w:left="151"/>
              <w:rPr>
                <w:sz w:val="18"/>
              </w:rPr>
            </w:pPr>
            <w:r>
              <w:rPr>
                <w:sz w:val="18"/>
              </w:rPr>
              <w:t>444,920,471.75</w:t>
            </w:r>
          </w:p>
        </w:tc>
        <w:tc>
          <w:tcPr>
            <w:tcW w:w="1377" w:type="dxa"/>
            <w:tcBorders>
              <w:top w:val="single" w:sz="4" w:space="0" w:color="000000"/>
              <w:left w:val="single" w:sz="4" w:space="0" w:color="000000"/>
              <w:right w:val="single" w:sz="4" w:space="0" w:color="000000"/>
            </w:tcBorders>
          </w:tcPr>
          <w:p>
            <w:pPr>
              <w:pStyle w:val="TableParagraph"/>
              <w:spacing w:before="76"/>
              <w:ind w:left="133" w:right="68"/>
              <w:jc w:val="center"/>
              <w:rPr>
                <w:sz w:val="18"/>
              </w:rPr>
            </w:pPr>
            <w:r>
              <w:rPr>
                <w:sz w:val="18"/>
              </w:rPr>
              <w:t>180,883,544.99</w:t>
            </w:r>
          </w:p>
        </w:tc>
        <w:tc>
          <w:tcPr>
            <w:tcW w:w="1375" w:type="dxa"/>
            <w:tcBorders>
              <w:top w:val="single" w:sz="4" w:space="0" w:color="000000"/>
              <w:left w:val="single" w:sz="4" w:space="0" w:color="000000"/>
              <w:right w:val="single" w:sz="4" w:space="0" w:color="000000"/>
            </w:tcBorders>
          </w:tcPr>
          <w:p>
            <w:pPr>
              <w:pStyle w:val="TableParagraph"/>
              <w:rPr>
                <w:sz w:val="20"/>
              </w:rPr>
            </w:pPr>
          </w:p>
        </w:tc>
        <w:tc>
          <w:tcPr>
            <w:tcW w:w="1252" w:type="dxa"/>
            <w:tcBorders>
              <w:top w:val="single" w:sz="4" w:space="0" w:color="000000"/>
              <w:left w:val="single" w:sz="4" w:space="0" w:color="000000"/>
              <w:right w:val="single" w:sz="4" w:space="0" w:color="000000"/>
            </w:tcBorders>
          </w:tcPr>
          <w:p>
            <w:pPr>
              <w:pStyle w:val="TableParagraph"/>
              <w:spacing w:before="76"/>
              <w:ind w:left="98" w:right="68"/>
              <w:jc w:val="center"/>
              <w:rPr>
                <w:sz w:val="18"/>
              </w:rPr>
            </w:pPr>
            <w:r>
              <w:rPr>
                <w:sz w:val="18"/>
              </w:rPr>
              <w:t>45,931,896.24</w:t>
            </w:r>
          </w:p>
        </w:tc>
        <w:tc>
          <w:tcPr>
            <w:tcW w:w="1377" w:type="dxa"/>
            <w:tcBorders>
              <w:top w:val="single" w:sz="4" w:space="0" w:color="000000"/>
              <w:left w:val="single" w:sz="4" w:space="0" w:color="000000"/>
              <w:right w:val="single" w:sz="4" w:space="0" w:color="000000"/>
            </w:tcBorders>
          </w:tcPr>
          <w:p>
            <w:pPr>
              <w:pStyle w:val="TableParagraph"/>
              <w:spacing w:before="76"/>
              <w:ind w:left="133" w:right="68"/>
              <w:jc w:val="center"/>
              <w:rPr>
                <w:sz w:val="18"/>
              </w:rPr>
            </w:pPr>
            <w:r>
              <w:rPr>
                <w:sz w:val="18"/>
              </w:rPr>
              <w:t>138,190,675.93</w:t>
            </w:r>
          </w:p>
        </w:tc>
        <w:tc>
          <w:tcPr>
            <w:tcW w:w="1374" w:type="dxa"/>
            <w:tcBorders>
              <w:top w:val="single" w:sz="4" w:space="0" w:color="000000"/>
              <w:left w:val="single" w:sz="4" w:space="0" w:color="000000"/>
            </w:tcBorders>
          </w:tcPr>
          <w:p>
            <w:pPr>
              <w:pStyle w:val="TableParagraph"/>
              <w:spacing w:before="76"/>
              <w:ind w:left="154"/>
              <w:rPr>
                <w:sz w:val="18"/>
              </w:rPr>
            </w:pPr>
            <w:r>
              <w:rPr>
                <w:sz w:val="18"/>
              </w:rPr>
              <w:t>441,681,444.57</w:t>
            </w:r>
          </w:p>
        </w:tc>
      </w:tr>
    </w:tbl>
    <w:p>
      <w:pPr>
        <w:pStyle w:val="BodyText"/>
        <w:spacing w:before="2"/>
        <w:rPr>
          <w:sz w:val="19"/>
        </w:rPr>
      </w:pPr>
    </w:p>
    <w:p>
      <w:pPr>
        <w:pStyle w:val="BodyText"/>
        <w:ind w:left="1898"/>
      </w:pPr>
      <w:r>
        <w:rPr/>
        <w:t>④ 本期实际核销应收账款的情况</w:t>
      </w:r>
    </w:p>
    <w:p>
      <w:pPr>
        <w:pStyle w:val="BodyText"/>
        <w:spacing w:before="140"/>
        <w:ind w:left="1898"/>
      </w:pPr>
      <w:r>
        <w:rPr/>
        <w:t>本期实际核销的应收账款金额为 </w:t>
      </w:r>
      <w:r>
        <w:rPr>
          <w:rFonts w:ascii="Times New Roman" w:eastAsia="Times New Roman"/>
        </w:rPr>
        <w:t>91,294,954.56 </w:t>
      </w:r>
      <w:r>
        <w:rPr/>
        <w:t>元，无重要的应收账款坏账核销。</w:t>
      </w:r>
    </w:p>
    <w:p>
      <w:pPr>
        <w:pStyle w:val="BodyText"/>
        <w:spacing w:before="139"/>
        <w:ind w:left="1898"/>
      </w:pPr>
      <w:r>
        <w:rPr/>
        <w:t>⑤ 公司本期因金融资产转移而终止确认的应收账款</w:t>
      </w:r>
    </w:p>
    <w:p>
      <w:pPr>
        <w:pStyle w:val="BodyText"/>
        <w:spacing w:line="364" w:lineRule="auto" w:before="141"/>
        <w:ind w:left="1898" w:right="1191"/>
      </w:pPr>
      <w:r>
        <w:rPr/>
        <w:t>本期公司因金融资产转移而终止确认的应收账款金额为 </w:t>
      </w:r>
      <w:r>
        <w:rPr>
          <w:rFonts w:ascii="Times New Roman" w:eastAsia="Times New Roman"/>
        </w:rPr>
        <w:t>4,223,734,660.24 </w:t>
      </w:r>
      <w:r>
        <w:rPr/>
        <w:t>元，转移方式为卖断型保理</w:t>
      </w:r>
      <w:r>
        <w:rPr>
          <w:rFonts w:ascii="Times New Roman" w:eastAsia="Times New Roman"/>
        </w:rPr>
        <w:t>/</w:t>
      </w:r>
      <w:r>
        <w:rPr/>
        <w:t>资产证券化。</w:t>
      </w:r>
    </w:p>
    <w:p>
      <w:pPr>
        <w:pStyle w:val="BodyText"/>
        <w:spacing w:line="267" w:lineRule="exact"/>
        <w:ind w:left="1898"/>
      </w:pPr>
      <w:r>
        <w:rPr/>
        <w:t>⑥ 本期受限的应收账款情况</w:t>
      </w:r>
    </w:p>
    <w:p>
      <w:pPr>
        <w:pStyle w:val="BodyText"/>
        <w:spacing w:before="139"/>
        <w:ind w:left="1962"/>
      </w:pPr>
      <w:r>
        <w:rPr/>
        <w:t>期末抵押质押的应收账款金额为 </w:t>
      </w:r>
      <w:r>
        <w:rPr>
          <w:rFonts w:ascii="Times New Roman" w:eastAsia="Times New Roman"/>
        </w:rPr>
        <w:t>1,833,513,050.03 </w:t>
      </w:r>
      <w:r>
        <w:rPr/>
        <w:t>元。</w:t>
      </w:r>
    </w:p>
    <w:p>
      <w:pPr>
        <w:pStyle w:val="BodyText"/>
        <w:spacing w:before="4"/>
        <w:rPr>
          <w:sz w:val="18"/>
        </w:rPr>
      </w:pPr>
    </w:p>
    <w:p>
      <w:pPr>
        <w:pStyle w:val="Heading4"/>
      </w:pPr>
      <w:r>
        <w:rPr>
          <w:rFonts w:ascii="Times New Roman" w:eastAsia="Times New Roman"/>
        </w:rPr>
        <w:t>6</w:t>
      </w:r>
      <w:r>
        <w:rPr/>
        <w:t>、 预付款项</w:t>
      </w:r>
    </w:p>
    <w:p>
      <w:pPr>
        <w:pStyle w:val="ListParagraph"/>
        <w:numPr>
          <w:ilvl w:val="1"/>
          <w:numId w:val="54"/>
        </w:numPr>
        <w:tabs>
          <w:tab w:pos="2425" w:val="left" w:leader="none"/>
        </w:tabs>
        <w:spacing w:line="240" w:lineRule="auto" w:before="190" w:after="0"/>
        <w:ind w:left="2424" w:right="0" w:hanging="530"/>
        <w:jc w:val="left"/>
        <w:rPr>
          <w:sz w:val="21"/>
        </w:rPr>
      </w:pPr>
      <w:r>
        <w:rPr>
          <w:spacing w:val="-3"/>
          <w:sz w:val="21"/>
        </w:rPr>
        <w:t>预付款项按账龄披露如下：</w:t>
      </w:r>
    </w:p>
    <w:p>
      <w:pPr>
        <w:pStyle w:val="BodyText"/>
        <w:spacing w:before="4"/>
        <w:rPr>
          <w:sz w:val="12"/>
        </w:rPr>
      </w:pPr>
    </w:p>
    <w:tbl>
      <w:tblPr>
        <w:tblW w:w="0" w:type="auto"/>
        <w:jc w:val="left"/>
        <w:tblInd w:w="15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351"/>
        <w:gridCol w:w="2782"/>
        <w:gridCol w:w="2657"/>
      </w:tblGrid>
      <w:tr>
        <w:trPr>
          <w:trHeight w:val="368" w:hRule="atLeast"/>
        </w:trPr>
        <w:tc>
          <w:tcPr>
            <w:tcW w:w="3351" w:type="dxa"/>
            <w:tcBorders>
              <w:bottom w:val="single" w:sz="4" w:space="0" w:color="000000"/>
              <w:right w:val="single" w:sz="4" w:space="0" w:color="000000"/>
            </w:tcBorders>
          </w:tcPr>
          <w:p>
            <w:pPr>
              <w:pStyle w:val="TableParagraph"/>
              <w:spacing w:line="349" w:lineRule="exact"/>
              <w:ind w:right="1452"/>
              <w:jc w:val="right"/>
              <w:rPr>
                <w:rFonts w:ascii="Microsoft JhengHei" w:eastAsia="Microsoft JhengHei" w:hint="eastAsia"/>
                <w:b/>
                <w:sz w:val="20"/>
              </w:rPr>
            </w:pPr>
            <w:r>
              <w:rPr>
                <w:rFonts w:ascii="Microsoft JhengHei" w:eastAsia="Microsoft JhengHei" w:hint="eastAsia"/>
                <w:b/>
                <w:sz w:val="20"/>
              </w:rPr>
              <w:t>账龄</w:t>
            </w:r>
          </w:p>
        </w:tc>
        <w:tc>
          <w:tcPr>
            <w:tcW w:w="2782" w:type="dxa"/>
            <w:tcBorders>
              <w:left w:val="single" w:sz="4" w:space="0" w:color="000000"/>
              <w:bottom w:val="single" w:sz="4" w:space="0" w:color="000000"/>
              <w:right w:val="single" w:sz="4" w:space="0" w:color="000000"/>
            </w:tcBorders>
          </w:tcPr>
          <w:p>
            <w:pPr>
              <w:pStyle w:val="TableParagraph"/>
              <w:spacing w:line="349" w:lineRule="exact"/>
              <w:ind w:left="960" w:right="930"/>
              <w:jc w:val="center"/>
              <w:rPr>
                <w:rFonts w:ascii="Microsoft JhengHei" w:eastAsia="Microsoft JhengHei" w:hint="eastAsia"/>
                <w:b/>
                <w:sz w:val="20"/>
              </w:rPr>
            </w:pPr>
            <w:r>
              <w:rPr>
                <w:rFonts w:ascii="Microsoft JhengHei" w:eastAsia="Microsoft JhengHei" w:hint="eastAsia"/>
                <w:b/>
                <w:sz w:val="20"/>
              </w:rPr>
              <w:t>期末余额</w:t>
            </w:r>
          </w:p>
        </w:tc>
        <w:tc>
          <w:tcPr>
            <w:tcW w:w="2657" w:type="dxa"/>
            <w:tcBorders>
              <w:left w:val="single" w:sz="4" w:space="0" w:color="000000"/>
              <w:bottom w:val="single" w:sz="4" w:space="0" w:color="000000"/>
            </w:tcBorders>
          </w:tcPr>
          <w:p>
            <w:pPr>
              <w:pStyle w:val="TableParagraph"/>
              <w:spacing w:line="349" w:lineRule="exact"/>
              <w:ind w:left="917" w:right="880"/>
              <w:jc w:val="center"/>
              <w:rPr>
                <w:rFonts w:ascii="Microsoft JhengHei" w:eastAsia="Microsoft JhengHei" w:hint="eastAsia"/>
                <w:b/>
                <w:sz w:val="20"/>
              </w:rPr>
            </w:pPr>
            <w:r>
              <w:rPr>
                <w:rFonts w:ascii="Microsoft JhengHei" w:eastAsia="Microsoft JhengHei" w:hint="eastAsia"/>
                <w:b/>
                <w:sz w:val="20"/>
              </w:rPr>
              <w:t>期初余额</w:t>
            </w:r>
          </w:p>
        </w:tc>
      </w:tr>
      <w:tr>
        <w:trPr>
          <w:trHeight w:val="369" w:hRule="atLeast"/>
        </w:trPr>
        <w:tc>
          <w:tcPr>
            <w:tcW w:w="3351" w:type="dxa"/>
            <w:tcBorders>
              <w:top w:val="single" w:sz="4" w:space="0" w:color="000000"/>
              <w:bottom w:val="single" w:sz="4" w:space="0" w:color="000000"/>
              <w:right w:val="single" w:sz="4" w:space="0" w:color="000000"/>
            </w:tcBorders>
          </w:tcPr>
          <w:p>
            <w:pPr>
              <w:pStyle w:val="TableParagraph"/>
              <w:spacing w:before="56"/>
              <w:ind w:left="107"/>
              <w:rPr>
                <w:rFonts w:ascii="宋体" w:eastAsia="宋体" w:hint="eastAsia"/>
                <w:sz w:val="20"/>
              </w:rPr>
            </w:pPr>
            <w:r>
              <w:rPr>
                <w:sz w:val="20"/>
              </w:rPr>
              <w:t>1 </w:t>
            </w:r>
            <w:r>
              <w:rPr>
                <w:rFonts w:ascii="宋体" w:eastAsia="宋体" w:hint="eastAsia"/>
                <w:sz w:val="20"/>
              </w:rPr>
              <w:t>年以内</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before="62"/>
              <w:ind w:right="87"/>
              <w:jc w:val="right"/>
              <w:rPr>
                <w:sz w:val="20"/>
              </w:rPr>
            </w:pPr>
            <w:r>
              <w:rPr>
                <w:w w:val="95"/>
                <w:sz w:val="20"/>
              </w:rPr>
              <w:t>697,975,595.05</w:t>
            </w:r>
          </w:p>
        </w:tc>
        <w:tc>
          <w:tcPr>
            <w:tcW w:w="2657" w:type="dxa"/>
            <w:tcBorders>
              <w:top w:val="single" w:sz="4" w:space="0" w:color="000000"/>
              <w:left w:val="single" w:sz="4" w:space="0" w:color="000000"/>
              <w:bottom w:val="single" w:sz="4" w:space="0" w:color="000000"/>
            </w:tcBorders>
          </w:tcPr>
          <w:p>
            <w:pPr>
              <w:pStyle w:val="TableParagraph"/>
              <w:spacing w:before="62"/>
              <w:ind w:right="77"/>
              <w:jc w:val="right"/>
              <w:rPr>
                <w:sz w:val="20"/>
              </w:rPr>
            </w:pPr>
            <w:r>
              <w:rPr>
                <w:sz w:val="20"/>
              </w:rPr>
              <w:t>1,226,300,431.60</w:t>
            </w:r>
          </w:p>
        </w:tc>
      </w:tr>
      <w:tr>
        <w:trPr>
          <w:trHeight w:val="369" w:hRule="atLeast"/>
        </w:trPr>
        <w:tc>
          <w:tcPr>
            <w:tcW w:w="3351" w:type="dxa"/>
            <w:tcBorders>
              <w:top w:val="single" w:sz="4" w:space="0" w:color="000000"/>
              <w:bottom w:val="single" w:sz="4" w:space="0" w:color="000000"/>
              <w:right w:val="single" w:sz="4" w:space="0" w:color="000000"/>
            </w:tcBorders>
          </w:tcPr>
          <w:p>
            <w:pPr>
              <w:pStyle w:val="TableParagraph"/>
              <w:spacing w:before="56"/>
              <w:ind w:left="107"/>
              <w:rPr>
                <w:rFonts w:ascii="宋体" w:eastAsia="宋体" w:hint="eastAsia"/>
                <w:sz w:val="20"/>
              </w:rPr>
            </w:pPr>
            <w:r>
              <w:rPr>
                <w:sz w:val="20"/>
              </w:rPr>
              <w:t>1-2 </w:t>
            </w:r>
            <w:r>
              <w:rPr>
                <w:rFonts w:ascii="宋体" w:eastAsia="宋体" w:hint="eastAsia"/>
                <w:sz w:val="20"/>
              </w:rPr>
              <w:t>年</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before="62"/>
              <w:ind w:right="87"/>
              <w:jc w:val="right"/>
              <w:rPr>
                <w:sz w:val="20"/>
              </w:rPr>
            </w:pPr>
            <w:r>
              <w:rPr>
                <w:w w:val="95"/>
                <w:sz w:val="20"/>
              </w:rPr>
              <w:t>30,590,250.54</w:t>
            </w:r>
          </w:p>
        </w:tc>
        <w:tc>
          <w:tcPr>
            <w:tcW w:w="2657" w:type="dxa"/>
            <w:tcBorders>
              <w:top w:val="single" w:sz="4" w:space="0" w:color="000000"/>
              <w:left w:val="single" w:sz="4" w:space="0" w:color="000000"/>
              <w:bottom w:val="single" w:sz="4" w:space="0" w:color="000000"/>
            </w:tcBorders>
          </w:tcPr>
          <w:p>
            <w:pPr>
              <w:pStyle w:val="TableParagraph"/>
              <w:spacing w:before="62"/>
              <w:ind w:right="76"/>
              <w:jc w:val="right"/>
              <w:rPr>
                <w:sz w:val="20"/>
              </w:rPr>
            </w:pPr>
            <w:r>
              <w:rPr>
                <w:w w:val="95"/>
                <w:sz w:val="20"/>
              </w:rPr>
              <w:t>14,275,907.31</w:t>
            </w:r>
          </w:p>
        </w:tc>
      </w:tr>
      <w:tr>
        <w:trPr>
          <w:trHeight w:val="369" w:hRule="atLeast"/>
        </w:trPr>
        <w:tc>
          <w:tcPr>
            <w:tcW w:w="3351" w:type="dxa"/>
            <w:tcBorders>
              <w:top w:val="single" w:sz="4" w:space="0" w:color="000000"/>
              <w:bottom w:val="single" w:sz="4" w:space="0" w:color="000000"/>
              <w:right w:val="single" w:sz="4" w:space="0" w:color="000000"/>
            </w:tcBorders>
          </w:tcPr>
          <w:p>
            <w:pPr>
              <w:pStyle w:val="TableParagraph"/>
              <w:spacing w:before="56"/>
              <w:ind w:left="107"/>
              <w:rPr>
                <w:rFonts w:ascii="宋体" w:eastAsia="宋体" w:hint="eastAsia"/>
                <w:sz w:val="20"/>
              </w:rPr>
            </w:pPr>
            <w:r>
              <w:rPr>
                <w:sz w:val="20"/>
              </w:rPr>
              <w:t>2-3 </w:t>
            </w:r>
            <w:r>
              <w:rPr>
                <w:rFonts w:ascii="宋体" w:eastAsia="宋体" w:hint="eastAsia"/>
                <w:sz w:val="20"/>
              </w:rPr>
              <w:t>年</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before="62"/>
              <w:ind w:right="87"/>
              <w:jc w:val="right"/>
              <w:rPr>
                <w:sz w:val="20"/>
              </w:rPr>
            </w:pPr>
            <w:r>
              <w:rPr>
                <w:w w:val="95"/>
                <w:sz w:val="20"/>
              </w:rPr>
              <w:t>4,580,733.23</w:t>
            </w:r>
          </w:p>
        </w:tc>
        <w:tc>
          <w:tcPr>
            <w:tcW w:w="2657" w:type="dxa"/>
            <w:tcBorders>
              <w:top w:val="single" w:sz="4" w:space="0" w:color="000000"/>
              <w:left w:val="single" w:sz="4" w:space="0" w:color="000000"/>
              <w:bottom w:val="single" w:sz="4" w:space="0" w:color="000000"/>
            </w:tcBorders>
          </w:tcPr>
          <w:p>
            <w:pPr>
              <w:pStyle w:val="TableParagraph"/>
              <w:spacing w:before="62"/>
              <w:ind w:right="76"/>
              <w:jc w:val="right"/>
              <w:rPr>
                <w:sz w:val="20"/>
              </w:rPr>
            </w:pPr>
            <w:r>
              <w:rPr>
                <w:w w:val="95"/>
                <w:sz w:val="20"/>
              </w:rPr>
              <w:t>6,036,100.01</w:t>
            </w:r>
          </w:p>
        </w:tc>
      </w:tr>
      <w:tr>
        <w:trPr>
          <w:trHeight w:val="369" w:hRule="atLeast"/>
        </w:trPr>
        <w:tc>
          <w:tcPr>
            <w:tcW w:w="3351" w:type="dxa"/>
            <w:tcBorders>
              <w:top w:val="single" w:sz="4" w:space="0" w:color="000000"/>
              <w:bottom w:val="single" w:sz="4" w:space="0" w:color="000000"/>
              <w:right w:val="single" w:sz="4" w:space="0" w:color="000000"/>
            </w:tcBorders>
          </w:tcPr>
          <w:p>
            <w:pPr>
              <w:pStyle w:val="TableParagraph"/>
              <w:spacing w:before="56"/>
              <w:ind w:left="107"/>
              <w:rPr>
                <w:rFonts w:ascii="宋体" w:eastAsia="宋体" w:hint="eastAsia"/>
                <w:sz w:val="20"/>
              </w:rPr>
            </w:pPr>
            <w:r>
              <w:rPr>
                <w:sz w:val="20"/>
              </w:rPr>
              <w:t>3 </w:t>
            </w:r>
            <w:r>
              <w:rPr>
                <w:rFonts w:ascii="宋体" w:eastAsia="宋体" w:hint="eastAsia"/>
                <w:sz w:val="20"/>
              </w:rPr>
              <w:t>年以上</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before="62"/>
              <w:ind w:right="87"/>
              <w:jc w:val="right"/>
              <w:rPr>
                <w:sz w:val="20"/>
              </w:rPr>
            </w:pPr>
            <w:r>
              <w:rPr>
                <w:w w:val="95"/>
                <w:sz w:val="20"/>
              </w:rPr>
              <w:t>32,280,992.88</w:t>
            </w:r>
          </w:p>
        </w:tc>
        <w:tc>
          <w:tcPr>
            <w:tcW w:w="2657" w:type="dxa"/>
            <w:tcBorders>
              <w:top w:val="single" w:sz="4" w:space="0" w:color="000000"/>
              <w:left w:val="single" w:sz="4" w:space="0" w:color="000000"/>
              <w:bottom w:val="single" w:sz="4" w:space="0" w:color="000000"/>
            </w:tcBorders>
          </w:tcPr>
          <w:p>
            <w:pPr>
              <w:pStyle w:val="TableParagraph"/>
              <w:spacing w:before="62"/>
              <w:ind w:right="76"/>
              <w:jc w:val="right"/>
              <w:rPr>
                <w:sz w:val="20"/>
              </w:rPr>
            </w:pPr>
            <w:r>
              <w:rPr>
                <w:w w:val="95"/>
                <w:sz w:val="20"/>
              </w:rPr>
              <w:t>26,309,107.80</w:t>
            </w:r>
          </w:p>
        </w:tc>
      </w:tr>
      <w:tr>
        <w:trPr>
          <w:trHeight w:val="366" w:hRule="atLeast"/>
        </w:trPr>
        <w:tc>
          <w:tcPr>
            <w:tcW w:w="3351" w:type="dxa"/>
            <w:tcBorders>
              <w:top w:val="single" w:sz="4" w:space="0" w:color="000000"/>
              <w:right w:val="single" w:sz="4" w:space="0" w:color="000000"/>
            </w:tcBorders>
          </w:tcPr>
          <w:p>
            <w:pPr>
              <w:pStyle w:val="TableParagraph"/>
              <w:spacing w:before="56"/>
              <w:ind w:right="1457"/>
              <w:jc w:val="right"/>
              <w:rPr>
                <w:rFonts w:ascii="宋体" w:eastAsia="宋体" w:hint="eastAsia"/>
                <w:sz w:val="20"/>
              </w:rPr>
            </w:pPr>
            <w:r>
              <w:rPr>
                <w:rFonts w:ascii="宋体" w:eastAsia="宋体" w:hint="eastAsia"/>
                <w:w w:val="95"/>
                <w:sz w:val="20"/>
              </w:rPr>
              <w:t>合计</w:t>
            </w:r>
          </w:p>
        </w:tc>
        <w:tc>
          <w:tcPr>
            <w:tcW w:w="2782" w:type="dxa"/>
            <w:tcBorders>
              <w:top w:val="single" w:sz="4" w:space="0" w:color="000000"/>
              <w:left w:val="single" w:sz="4" w:space="0" w:color="000000"/>
              <w:right w:val="single" w:sz="4" w:space="0" w:color="000000"/>
            </w:tcBorders>
          </w:tcPr>
          <w:p>
            <w:pPr>
              <w:pStyle w:val="TableParagraph"/>
              <w:spacing w:before="62"/>
              <w:ind w:right="87"/>
              <w:jc w:val="right"/>
              <w:rPr>
                <w:sz w:val="20"/>
              </w:rPr>
            </w:pPr>
            <w:bookmarkStart w:name="RANGE!B24" w:id="16"/>
            <w:bookmarkEnd w:id="16"/>
            <w:r>
              <w:rPr/>
            </w:r>
            <w:r>
              <w:rPr>
                <w:w w:val="95"/>
                <w:sz w:val="20"/>
              </w:rPr>
              <w:t>765,427,571.70</w:t>
            </w:r>
          </w:p>
        </w:tc>
        <w:tc>
          <w:tcPr>
            <w:tcW w:w="2657" w:type="dxa"/>
            <w:tcBorders>
              <w:top w:val="single" w:sz="4" w:space="0" w:color="000000"/>
              <w:left w:val="single" w:sz="4" w:space="0" w:color="000000"/>
            </w:tcBorders>
          </w:tcPr>
          <w:p>
            <w:pPr>
              <w:pStyle w:val="TableParagraph"/>
              <w:spacing w:before="62"/>
              <w:ind w:right="77"/>
              <w:jc w:val="right"/>
              <w:rPr>
                <w:sz w:val="20"/>
              </w:rPr>
            </w:pPr>
            <w:r>
              <w:rPr>
                <w:sz w:val="20"/>
              </w:rPr>
              <w:t>1,272,921,546.72</w:t>
            </w:r>
          </w:p>
        </w:tc>
      </w:tr>
    </w:tbl>
    <w:p>
      <w:pPr>
        <w:pStyle w:val="ListParagraph"/>
        <w:numPr>
          <w:ilvl w:val="1"/>
          <w:numId w:val="54"/>
        </w:numPr>
        <w:tabs>
          <w:tab w:pos="2492" w:val="left" w:leader="none"/>
        </w:tabs>
        <w:spacing w:line="240" w:lineRule="auto" w:before="123" w:after="0"/>
        <w:ind w:left="2491" w:right="0" w:hanging="530"/>
        <w:jc w:val="left"/>
        <w:rPr>
          <w:sz w:val="21"/>
        </w:rPr>
      </w:pPr>
      <w:r>
        <w:rPr>
          <w:spacing w:val="-9"/>
          <w:sz w:val="21"/>
        </w:rPr>
        <w:t>期末预付款项中前 </w:t>
      </w:r>
      <w:r>
        <w:rPr>
          <w:rFonts w:ascii="Times New Roman" w:eastAsia="Times New Roman"/>
          <w:sz w:val="21"/>
        </w:rPr>
        <w:t>5</w:t>
      </w:r>
      <w:r>
        <w:rPr>
          <w:rFonts w:ascii="Times New Roman" w:eastAsia="Times New Roman"/>
          <w:spacing w:val="-4"/>
          <w:sz w:val="21"/>
        </w:rPr>
        <w:t> </w:t>
      </w:r>
      <w:r>
        <w:rPr>
          <w:spacing w:val="-10"/>
          <w:sz w:val="21"/>
        </w:rPr>
        <w:t>名的金额总计 </w:t>
      </w:r>
      <w:r>
        <w:rPr>
          <w:rFonts w:ascii="Times New Roman" w:eastAsia="Times New Roman"/>
          <w:sz w:val="21"/>
        </w:rPr>
        <w:t>243,113,477.73</w:t>
      </w:r>
      <w:r>
        <w:rPr>
          <w:rFonts w:ascii="Times New Roman" w:eastAsia="Times New Roman"/>
          <w:spacing w:val="-1"/>
          <w:sz w:val="21"/>
        </w:rPr>
        <w:t> </w:t>
      </w:r>
      <w:r>
        <w:rPr>
          <w:spacing w:val="-17"/>
          <w:sz w:val="21"/>
        </w:rPr>
        <w:t>元，占预付款项账面余额的 </w:t>
      </w:r>
      <w:r>
        <w:rPr>
          <w:rFonts w:ascii="Times New Roman" w:eastAsia="Times New Roman"/>
          <w:sz w:val="21"/>
        </w:rPr>
        <w:t>31.76%</w:t>
      </w:r>
      <w:r>
        <w:rPr>
          <w:sz w:val="21"/>
        </w:rPr>
        <w:t>。</w:t>
      </w:r>
    </w:p>
    <w:p>
      <w:pPr>
        <w:spacing w:after="0" w:line="240" w:lineRule="auto"/>
        <w:jc w:val="left"/>
        <w:rPr>
          <w:sz w:val="21"/>
        </w:rPr>
        <w:sectPr>
          <w:pgSz w:w="11910" w:h="16840"/>
          <w:pgMar w:header="876" w:footer="1199" w:top="1440" w:bottom="1400" w:left="260" w:right="0"/>
        </w:sectPr>
      </w:pPr>
    </w:p>
    <w:p>
      <w:pPr>
        <w:pStyle w:val="BodyText"/>
        <w:spacing w:before="10"/>
        <w:rPr>
          <w:sz w:val="22"/>
        </w:rPr>
      </w:pPr>
    </w:p>
    <w:p>
      <w:pPr>
        <w:pStyle w:val="Heading4"/>
        <w:spacing w:line="206" w:lineRule="auto" w:before="49"/>
        <w:ind w:right="8630"/>
      </w:pPr>
      <w:r>
        <w:rPr>
          <w:rFonts w:ascii="Times New Roman" w:eastAsia="Times New Roman"/>
        </w:rPr>
        <w:t>7</w:t>
      </w:r>
      <w:r>
        <w:rPr/>
        <w:t>、 其他应收款项目列示</w:t>
      </w:r>
    </w:p>
    <w:p>
      <w:pPr>
        <w:pStyle w:val="BodyText"/>
        <w:spacing w:before="30"/>
        <w:ind w:left="1538"/>
      </w:pPr>
      <w:r>
        <w:rPr/>
        <w:t>√适用 □不适用</w:t>
      </w:r>
    </w:p>
    <w:p>
      <w:pPr>
        <w:pStyle w:val="BodyText"/>
        <w:tabs>
          <w:tab w:pos="9111" w:val="left" w:leader="none"/>
        </w:tabs>
        <w:spacing w:before="3" w:after="3"/>
        <w:ind w:left="8059"/>
      </w:pPr>
      <w:r>
        <w:rPr/>
        <w:t>单位：元</w:t>
        <w:tab/>
        <w:t>币</w:t>
      </w:r>
      <w:r>
        <w:rPr>
          <w:spacing w:val="-3"/>
        </w:rPr>
        <w:t>种</w:t>
      </w:r>
      <w:r>
        <w:rPr/>
        <w:t>：</w:t>
      </w:r>
      <w:r>
        <w:rPr>
          <w:spacing w:val="-3"/>
        </w:rPr>
        <w:t>人</w:t>
      </w:r>
      <w:r>
        <w:rPr/>
        <w:t>民币</w:t>
      </w:r>
    </w:p>
    <w:tbl>
      <w:tblPr>
        <w:tblW w:w="0" w:type="auto"/>
        <w:jc w:val="left"/>
        <w:tblInd w:w="14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197"/>
        <w:gridCol w:w="2938"/>
        <w:gridCol w:w="2926"/>
      </w:tblGrid>
      <w:tr>
        <w:trPr>
          <w:trHeight w:val="272" w:hRule="atLeast"/>
        </w:trPr>
        <w:tc>
          <w:tcPr>
            <w:tcW w:w="3197" w:type="dxa"/>
            <w:tcBorders>
              <w:bottom w:val="single" w:sz="4" w:space="0" w:color="000000"/>
              <w:right w:val="single" w:sz="4" w:space="0" w:color="000000"/>
            </w:tcBorders>
          </w:tcPr>
          <w:p>
            <w:pPr>
              <w:pStyle w:val="TableParagraph"/>
              <w:spacing w:line="253" w:lineRule="exact"/>
              <w:ind w:right="1366"/>
              <w:jc w:val="right"/>
              <w:rPr>
                <w:rFonts w:ascii="Microsoft JhengHei" w:eastAsia="Microsoft JhengHei" w:hint="eastAsia"/>
                <w:b/>
                <w:sz w:val="21"/>
              </w:rPr>
            </w:pPr>
            <w:r>
              <w:rPr>
                <w:rFonts w:ascii="Microsoft JhengHei" w:eastAsia="Microsoft JhengHei" w:hint="eastAsia"/>
                <w:b/>
                <w:sz w:val="21"/>
              </w:rPr>
              <w:t>项目</w:t>
            </w:r>
          </w:p>
        </w:tc>
        <w:tc>
          <w:tcPr>
            <w:tcW w:w="2938" w:type="dxa"/>
            <w:tcBorders>
              <w:left w:val="single" w:sz="4" w:space="0" w:color="000000"/>
              <w:bottom w:val="single" w:sz="4" w:space="0" w:color="000000"/>
              <w:right w:val="single" w:sz="4" w:space="0" w:color="000000"/>
            </w:tcBorders>
          </w:tcPr>
          <w:p>
            <w:pPr>
              <w:pStyle w:val="TableParagraph"/>
              <w:spacing w:line="253" w:lineRule="exact"/>
              <w:ind w:left="1036" w:right="1012"/>
              <w:jc w:val="center"/>
              <w:rPr>
                <w:rFonts w:ascii="Microsoft JhengHei" w:eastAsia="Microsoft JhengHei" w:hint="eastAsia"/>
                <w:b/>
                <w:sz w:val="21"/>
              </w:rPr>
            </w:pPr>
            <w:r>
              <w:rPr>
                <w:rFonts w:ascii="Microsoft JhengHei" w:eastAsia="Microsoft JhengHei" w:hint="eastAsia"/>
                <w:b/>
                <w:sz w:val="21"/>
              </w:rPr>
              <w:t>期末余额</w:t>
            </w:r>
          </w:p>
        </w:tc>
        <w:tc>
          <w:tcPr>
            <w:tcW w:w="2926" w:type="dxa"/>
            <w:tcBorders>
              <w:left w:val="single" w:sz="4" w:space="0" w:color="000000"/>
              <w:bottom w:val="single" w:sz="4" w:space="0" w:color="000000"/>
            </w:tcBorders>
          </w:tcPr>
          <w:p>
            <w:pPr>
              <w:pStyle w:val="TableParagraph"/>
              <w:spacing w:line="253" w:lineRule="exact"/>
              <w:ind w:left="1031" w:right="994"/>
              <w:jc w:val="center"/>
              <w:rPr>
                <w:rFonts w:ascii="Microsoft JhengHei" w:eastAsia="Microsoft JhengHei" w:hint="eastAsia"/>
                <w:b/>
                <w:sz w:val="21"/>
              </w:rPr>
            </w:pPr>
            <w:r>
              <w:rPr>
                <w:rFonts w:ascii="Microsoft JhengHei" w:eastAsia="Microsoft JhengHei" w:hint="eastAsia"/>
                <w:b/>
                <w:sz w:val="21"/>
              </w:rPr>
              <w:t>期初余额</w:t>
            </w:r>
          </w:p>
        </w:tc>
      </w:tr>
      <w:tr>
        <w:trPr>
          <w:trHeight w:val="273" w:hRule="atLeast"/>
        </w:trPr>
        <w:tc>
          <w:tcPr>
            <w:tcW w:w="3197" w:type="dxa"/>
            <w:tcBorders>
              <w:top w:val="single" w:sz="4" w:space="0" w:color="000000"/>
              <w:bottom w:val="single" w:sz="4" w:space="0" w:color="000000"/>
              <w:right w:val="single" w:sz="4" w:space="0" w:color="000000"/>
            </w:tcBorders>
          </w:tcPr>
          <w:p>
            <w:pPr>
              <w:pStyle w:val="TableParagraph"/>
              <w:spacing w:line="252" w:lineRule="exact" w:before="1"/>
              <w:ind w:left="112"/>
              <w:rPr>
                <w:rFonts w:ascii="宋体" w:eastAsia="宋体" w:hint="eastAsia"/>
                <w:sz w:val="21"/>
              </w:rPr>
            </w:pPr>
            <w:r>
              <w:rPr>
                <w:rFonts w:ascii="宋体" w:eastAsia="宋体" w:hint="eastAsia"/>
                <w:sz w:val="21"/>
              </w:rPr>
              <w:t>应收利息</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5"/>
              <w:jc w:val="right"/>
              <w:rPr>
                <w:sz w:val="21"/>
              </w:rPr>
            </w:pPr>
            <w:r>
              <w:rPr>
                <w:sz w:val="21"/>
              </w:rPr>
              <w:t>322,473,254.91</w:t>
            </w:r>
          </w:p>
        </w:tc>
        <w:tc>
          <w:tcPr>
            <w:tcW w:w="2926" w:type="dxa"/>
            <w:tcBorders>
              <w:top w:val="single" w:sz="4" w:space="0" w:color="000000"/>
              <w:left w:val="single" w:sz="4" w:space="0" w:color="000000"/>
              <w:bottom w:val="single" w:sz="4" w:space="0" w:color="000000"/>
            </w:tcBorders>
          </w:tcPr>
          <w:p>
            <w:pPr>
              <w:pStyle w:val="TableParagraph"/>
              <w:spacing w:line="235" w:lineRule="exact"/>
              <w:ind w:right="85"/>
              <w:jc w:val="right"/>
              <w:rPr>
                <w:sz w:val="21"/>
              </w:rPr>
            </w:pPr>
            <w:r>
              <w:rPr>
                <w:sz w:val="21"/>
              </w:rPr>
              <w:t>273,009,954.80</w:t>
            </w:r>
          </w:p>
        </w:tc>
      </w:tr>
      <w:tr>
        <w:trPr>
          <w:trHeight w:val="270" w:hRule="atLeast"/>
        </w:trPr>
        <w:tc>
          <w:tcPr>
            <w:tcW w:w="3197" w:type="dxa"/>
            <w:tcBorders>
              <w:top w:val="single" w:sz="4" w:space="0" w:color="000000"/>
              <w:bottom w:val="single" w:sz="4" w:space="0" w:color="000000"/>
              <w:right w:val="single" w:sz="4" w:space="0" w:color="000000"/>
            </w:tcBorders>
          </w:tcPr>
          <w:p>
            <w:pPr>
              <w:pStyle w:val="TableParagraph"/>
              <w:spacing w:line="250" w:lineRule="exact" w:before="1"/>
              <w:ind w:left="112"/>
              <w:rPr>
                <w:rFonts w:ascii="宋体" w:eastAsia="宋体" w:hint="eastAsia"/>
                <w:sz w:val="21"/>
              </w:rPr>
            </w:pPr>
            <w:r>
              <w:rPr>
                <w:rFonts w:ascii="宋体" w:eastAsia="宋体" w:hint="eastAsia"/>
                <w:sz w:val="21"/>
              </w:rPr>
              <w:t>应收股利</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5"/>
              <w:jc w:val="right"/>
              <w:rPr>
                <w:sz w:val="21"/>
              </w:rPr>
            </w:pPr>
            <w:r>
              <w:rPr>
                <w:sz w:val="21"/>
              </w:rPr>
              <w:t>4,915,409.42</w:t>
            </w:r>
          </w:p>
        </w:tc>
        <w:tc>
          <w:tcPr>
            <w:tcW w:w="2926" w:type="dxa"/>
            <w:tcBorders>
              <w:top w:val="single" w:sz="4" w:space="0" w:color="000000"/>
              <w:left w:val="single" w:sz="4" w:space="0" w:color="000000"/>
              <w:bottom w:val="single" w:sz="4" w:space="0" w:color="000000"/>
            </w:tcBorders>
          </w:tcPr>
          <w:p>
            <w:pPr>
              <w:pStyle w:val="TableParagraph"/>
              <w:spacing w:line="235" w:lineRule="exact"/>
              <w:ind w:right="85"/>
              <w:jc w:val="right"/>
              <w:rPr>
                <w:sz w:val="21"/>
              </w:rPr>
            </w:pPr>
            <w:r>
              <w:rPr>
                <w:sz w:val="21"/>
              </w:rPr>
              <w:t>4,524,472.84</w:t>
            </w:r>
          </w:p>
        </w:tc>
      </w:tr>
      <w:tr>
        <w:trPr>
          <w:trHeight w:val="273" w:hRule="atLeast"/>
        </w:trPr>
        <w:tc>
          <w:tcPr>
            <w:tcW w:w="3197" w:type="dxa"/>
            <w:tcBorders>
              <w:top w:val="single" w:sz="4" w:space="0" w:color="000000"/>
              <w:bottom w:val="single" w:sz="4" w:space="0" w:color="000000"/>
              <w:right w:val="single" w:sz="4" w:space="0" w:color="000000"/>
            </w:tcBorders>
          </w:tcPr>
          <w:p>
            <w:pPr>
              <w:pStyle w:val="TableParagraph"/>
              <w:spacing w:line="252" w:lineRule="exact" w:before="1"/>
              <w:ind w:left="112"/>
              <w:rPr>
                <w:rFonts w:ascii="宋体" w:eastAsia="宋体" w:hint="eastAsia"/>
                <w:sz w:val="21"/>
              </w:rPr>
            </w:pPr>
            <w:r>
              <w:rPr>
                <w:rFonts w:ascii="宋体" w:eastAsia="宋体" w:hint="eastAsia"/>
                <w:sz w:val="21"/>
              </w:rPr>
              <w:t>其他应收款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sz w:val="21"/>
              </w:rPr>
            </w:pPr>
            <w:r>
              <w:rPr>
                <w:sz w:val="21"/>
              </w:rPr>
              <w:t>1,389,764,281.32</w:t>
            </w:r>
          </w:p>
        </w:tc>
        <w:tc>
          <w:tcPr>
            <w:tcW w:w="2926" w:type="dxa"/>
            <w:tcBorders>
              <w:top w:val="single" w:sz="4" w:space="0" w:color="000000"/>
              <w:left w:val="single" w:sz="4" w:space="0" w:color="000000"/>
              <w:bottom w:val="single" w:sz="4" w:space="0" w:color="000000"/>
            </w:tcBorders>
          </w:tcPr>
          <w:p>
            <w:pPr>
              <w:pStyle w:val="TableParagraph"/>
              <w:spacing w:line="235" w:lineRule="exact"/>
              <w:ind w:right="85"/>
              <w:jc w:val="right"/>
              <w:rPr>
                <w:sz w:val="21"/>
              </w:rPr>
            </w:pPr>
            <w:r>
              <w:rPr>
                <w:sz w:val="21"/>
              </w:rPr>
              <w:t>1,885,983,374.86</w:t>
            </w:r>
          </w:p>
        </w:tc>
      </w:tr>
      <w:tr>
        <w:trPr>
          <w:trHeight w:val="270" w:hRule="atLeast"/>
        </w:trPr>
        <w:tc>
          <w:tcPr>
            <w:tcW w:w="3197" w:type="dxa"/>
            <w:tcBorders>
              <w:top w:val="single" w:sz="4" w:space="0" w:color="000000"/>
              <w:right w:val="single" w:sz="4" w:space="0" w:color="000000"/>
            </w:tcBorders>
          </w:tcPr>
          <w:p>
            <w:pPr>
              <w:pStyle w:val="TableParagraph"/>
              <w:spacing w:line="249" w:lineRule="exact" w:before="1"/>
              <w:ind w:right="1366"/>
              <w:jc w:val="right"/>
              <w:rPr>
                <w:rFonts w:ascii="宋体" w:eastAsia="宋体" w:hint="eastAsia"/>
                <w:sz w:val="21"/>
              </w:rPr>
            </w:pPr>
            <w:r>
              <w:rPr>
                <w:rFonts w:ascii="宋体" w:eastAsia="宋体" w:hint="eastAsia"/>
                <w:sz w:val="21"/>
              </w:rPr>
              <w:t>合计</w:t>
            </w:r>
          </w:p>
        </w:tc>
        <w:tc>
          <w:tcPr>
            <w:tcW w:w="2938" w:type="dxa"/>
            <w:tcBorders>
              <w:top w:val="single" w:sz="4" w:space="0" w:color="000000"/>
              <w:left w:val="single" w:sz="4" w:space="0" w:color="000000"/>
              <w:right w:val="single" w:sz="4" w:space="0" w:color="000000"/>
            </w:tcBorders>
          </w:tcPr>
          <w:p>
            <w:pPr>
              <w:pStyle w:val="TableParagraph"/>
              <w:spacing w:line="235" w:lineRule="exact"/>
              <w:ind w:right="91"/>
              <w:jc w:val="right"/>
              <w:rPr>
                <w:sz w:val="21"/>
              </w:rPr>
            </w:pPr>
            <w:r>
              <w:rPr>
                <w:sz w:val="21"/>
              </w:rPr>
              <w:t>1,717,152,945.65</w:t>
            </w:r>
          </w:p>
        </w:tc>
        <w:tc>
          <w:tcPr>
            <w:tcW w:w="2926" w:type="dxa"/>
            <w:tcBorders>
              <w:top w:val="single" w:sz="4" w:space="0" w:color="000000"/>
              <w:left w:val="single" w:sz="4" w:space="0" w:color="000000"/>
            </w:tcBorders>
          </w:tcPr>
          <w:p>
            <w:pPr>
              <w:pStyle w:val="TableParagraph"/>
              <w:spacing w:line="235" w:lineRule="exact"/>
              <w:ind w:right="80"/>
              <w:jc w:val="right"/>
              <w:rPr>
                <w:sz w:val="21"/>
              </w:rPr>
            </w:pPr>
            <w:r>
              <w:rPr>
                <w:sz w:val="21"/>
              </w:rPr>
              <w:t>2,163,517,802.50</w:t>
            </w:r>
          </w:p>
        </w:tc>
      </w:tr>
    </w:tbl>
    <w:p>
      <w:pPr>
        <w:pStyle w:val="BodyText"/>
        <w:spacing w:before="3"/>
        <w:rPr>
          <w:sz w:val="18"/>
        </w:rPr>
      </w:pPr>
    </w:p>
    <w:p>
      <w:pPr>
        <w:pStyle w:val="Heading4"/>
        <w:spacing w:before="3"/>
      </w:pPr>
      <w:r>
        <w:rPr/>
        <w:t>应收利息</w:t>
      </w:r>
    </w:p>
    <w:p>
      <w:pPr>
        <w:pStyle w:val="BodyText"/>
        <w:spacing w:before="14"/>
        <w:rPr>
          <w:rFonts w:ascii="Microsoft JhengHei"/>
          <w:b/>
          <w:sz w:val="11"/>
        </w:rPr>
      </w:pPr>
    </w:p>
    <w:p>
      <w:pPr>
        <w:pStyle w:val="BodyText"/>
        <w:ind w:left="1958"/>
      </w:pPr>
      <w:r>
        <w:rPr/>
        <w:t>（</w:t>
      </w:r>
      <w:r>
        <w:rPr>
          <w:rFonts w:ascii="Calibri" w:eastAsia="Calibri"/>
        </w:rPr>
        <w:t>1</w:t>
      </w:r>
      <w:r>
        <w:rPr/>
        <w:t>）应收利息</w:t>
      </w:r>
    </w:p>
    <w:p>
      <w:pPr>
        <w:pStyle w:val="BodyText"/>
        <w:spacing w:before="6"/>
        <w:rPr>
          <w:sz w:val="11"/>
        </w:rPr>
      </w:pPr>
    </w:p>
    <w:tbl>
      <w:tblPr>
        <w:tblW w:w="0" w:type="auto"/>
        <w:jc w:val="left"/>
        <w:tblInd w:w="15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12"/>
        <w:gridCol w:w="2053"/>
        <w:gridCol w:w="1758"/>
        <w:gridCol w:w="1905"/>
        <w:gridCol w:w="1415"/>
      </w:tblGrid>
      <w:tr>
        <w:trPr>
          <w:trHeight w:val="339" w:hRule="atLeast"/>
        </w:trPr>
        <w:tc>
          <w:tcPr>
            <w:tcW w:w="1812" w:type="dxa"/>
            <w:vMerge w:val="restart"/>
            <w:tcBorders>
              <w:bottom w:val="single" w:sz="4" w:space="0" w:color="000000"/>
              <w:right w:val="single" w:sz="4" w:space="0" w:color="000000"/>
            </w:tcBorders>
          </w:tcPr>
          <w:p>
            <w:pPr>
              <w:pStyle w:val="TableParagraph"/>
              <w:spacing w:before="152"/>
              <w:ind w:left="671" w:right="655"/>
              <w:jc w:val="center"/>
              <w:rPr>
                <w:rFonts w:ascii="Microsoft JhengHei" w:eastAsia="Microsoft JhengHei" w:hint="eastAsia"/>
                <w:b/>
                <w:sz w:val="21"/>
              </w:rPr>
            </w:pPr>
            <w:r>
              <w:rPr>
                <w:rFonts w:ascii="Microsoft JhengHei" w:eastAsia="Microsoft JhengHei" w:hint="eastAsia"/>
                <w:b/>
                <w:sz w:val="21"/>
              </w:rPr>
              <w:t>账龄</w:t>
            </w:r>
          </w:p>
        </w:tc>
        <w:tc>
          <w:tcPr>
            <w:tcW w:w="3811" w:type="dxa"/>
            <w:gridSpan w:val="2"/>
            <w:tcBorders>
              <w:left w:val="single" w:sz="4" w:space="0" w:color="000000"/>
              <w:bottom w:val="single" w:sz="4" w:space="0" w:color="000000"/>
              <w:right w:val="single" w:sz="4" w:space="0" w:color="000000"/>
            </w:tcBorders>
          </w:tcPr>
          <w:p>
            <w:pPr>
              <w:pStyle w:val="TableParagraph"/>
              <w:spacing w:line="320" w:lineRule="exact"/>
              <w:ind w:left="1473" w:right="1448"/>
              <w:jc w:val="center"/>
              <w:rPr>
                <w:rFonts w:ascii="Microsoft JhengHei" w:eastAsia="Microsoft JhengHei" w:hint="eastAsia"/>
                <w:b/>
                <w:sz w:val="21"/>
              </w:rPr>
            </w:pPr>
            <w:r>
              <w:rPr>
                <w:rFonts w:ascii="Microsoft JhengHei" w:eastAsia="Microsoft JhengHei" w:hint="eastAsia"/>
                <w:b/>
                <w:sz w:val="21"/>
              </w:rPr>
              <w:t>期末余额</w:t>
            </w:r>
          </w:p>
        </w:tc>
        <w:tc>
          <w:tcPr>
            <w:tcW w:w="3320" w:type="dxa"/>
            <w:gridSpan w:val="2"/>
            <w:tcBorders>
              <w:left w:val="single" w:sz="4" w:space="0" w:color="000000"/>
              <w:bottom w:val="single" w:sz="4" w:space="0" w:color="000000"/>
            </w:tcBorders>
          </w:tcPr>
          <w:p>
            <w:pPr>
              <w:pStyle w:val="TableParagraph"/>
              <w:spacing w:line="320" w:lineRule="exact"/>
              <w:ind w:left="1226" w:right="1193"/>
              <w:jc w:val="center"/>
              <w:rPr>
                <w:rFonts w:ascii="Microsoft JhengHei" w:eastAsia="Microsoft JhengHei" w:hint="eastAsia"/>
                <w:b/>
                <w:sz w:val="21"/>
              </w:rPr>
            </w:pPr>
            <w:r>
              <w:rPr>
                <w:rFonts w:ascii="Microsoft JhengHei" w:eastAsia="Microsoft JhengHei" w:hint="eastAsia"/>
                <w:b/>
                <w:sz w:val="21"/>
              </w:rPr>
              <w:t>期初余额</w:t>
            </w:r>
          </w:p>
        </w:tc>
      </w:tr>
      <w:tr>
        <w:trPr>
          <w:trHeight w:val="359" w:hRule="atLeast"/>
        </w:trPr>
        <w:tc>
          <w:tcPr>
            <w:tcW w:w="1812" w:type="dxa"/>
            <w:vMerge/>
            <w:tcBorders>
              <w:top w:val="nil"/>
              <w:bottom w:val="single" w:sz="4" w:space="0" w:color="000000"/>
              <w:right w:val="single" w:sz="4" w:space="0" w:color="000000"/>
            </w:tcBorders>
          </w:tcPr>
          <w:p>
            <w:pPr>
              <w:rPr>
                <w:sz w:val="2"/>
                <w:szCs w:val="2"/>
              </w:rPr>
            </w:pP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340" w:lineRule="exact"/>
              <w:ind w:left="612"/>
              <w:rPr>
                <w:rFonts w:ascii="Microsoft JhengHei" w:eastAsia="Microsoft JhengHei" w:hint="eastAsia"/>
                <w:b/>
                <w:sz w:val="21"/>
              </w:rPr>
            </w:pPr>
            <w:r>
              <w:rPr>
                <w:rFonts w:ascii="Microsoft JhengHei" w:eastAsia="Microsoft JhengHei" w:hint="eastAsia"/>
                <w:b/>
                <w:sz w:val="21"/>
              </w:rPr>
              <w:t>账面余额</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340" w:lineRule="exact"/>
              <w:ind w:left="654" w:right="633"/>
              <w:jc w:val="center"/>
              <w:rPr>
                <w:rFonts w:ascii="Microsoft JhengHei" w:eastAsia="Microsoft JhengHei" w:hint="eastAsia"/>
                <w:b/>
                <w:sz w:val="21"/>
              </w:rPr>
            </w:pPr>
            <w:r>
              <w:rPr>
                <w:rFonts w:ascii="Microsoft JhengHei" w:eastAsia="Microsoft JhengHei" w:hint="eastAsia"/>
                <w:b/>
                <w:sz w:val="21"/>
              </w:rPr>
              <w:t>比例</w:t>
            </w:r>
          </w:p>
        </w:tc>
        <w:tc>
          <w:tcPr>
            <w:tcW w:w="1905" w:type="dxa"/>
            <w:tcBorders>
              <w:top w:val="single" w:sz="4" w:space="0" w:color="000000"/>
              <w:left w:val="single" w:sz="4" w:space="0" w:color="000000"/>
              <w:bottom w:val="single" w:sz="4" w:space="0" w:color="000000"/>
              <w:right w:val="single" w:sz="4" w:space="0" w:color="000000"/>
            </w:tcBorders>
          </w:tcPr>
          <w:p>
            <w:pPr>
              <w:pStyle w:val="TableParagraph"/>
              <w:spacing w:line="340" w:lineRule="exact"/>
              <w:ind w:left="536"/>
              <w:rPr>
                <w:rFonts w:ascii="Microsoft JhengHei" w:eastAsia="Microsoft JhengHei" w:hint="eastAsia"/>
                <w:b/>
                <w:sz w:val="21"/>
              </w:rPr>
            </w:pPr>
            <w:r>
              <w:rPr>
                <w:rFonts w:ascii="Microsoft JhengHei" w:eastAsia="Microsoft JhengHei" w:hint="eastAsia"/>
                <w:b/>
                <w:sz w:val="21"/>
              </w:rPr>
              <w:t>账面余额</w:t>
            </w:r>
          </w:p>
        </w:tc>
        <w:tc>
          <w:tcPr>
            <w:tcW w:w="1415" w:type="dxa"/>
            <w:tcBorders>
              <w:top w:val="single" w:sz="4" w:space="0" w:color="000000"/>
              <w:left w:val="single" w:sz="4" w:space="0" w:color="000000"/>
              <w:bottom w:val="single" w:sz="4" w:space="0" w:color="000000"/>
            </w:tcBorders>
          </w:tcPr>
          <w:p>
            <w:pPr>
              <w:pStyle w:val="TableParagraph"/>
              <w:spacing w:line="340" w:lineRule="exact"/>
              <w:ind w:left="482" w:right="452"/>
              <w:jc w:val="center"/>
              <w:rPr>
                <w:rFonts w:ascii="Microsoft JhengHei" w:eastAsia="Microsoft JhengHei" w:hint="eastAsia"/>
                <w:b/>
                <w:sz w:val="21"/>
              </w:rPr>
            </w:pPr>
            <w:r>
              <w:rPr>
                <w:rFonts w:ascii="Microsoft JhengHei" w:eastAsia="Microsoft JhengHei" w:hint="eastAsia"/>
                <w:b/>
                <w:sz w:val="21"/>
              </w:rPr>
              <w:t>比例</w:t>
            </w:r>
          </w:p>
        </w:tc>
      </w:tr>
      <w:tr>
        <w:trPr>
          <w:trHeight w:val="359" w:hRule="atLeast"/>
        </w:trPr>
        <w:tc>
          <w:tcPr>
            <w:tcW w:w="1812" w:type="dxa"/>
            <w:tcBorders>
              <w:top w:val="single" w:sz="4" w:space="0" w:color="000000"/>
              <w:bottom w:val="single" w:sz="4" w:space="0" w:color="000000"/>
              <w:right w:val="single" w:sz="4" w:space="0" w:color="000000"/>
            </w:tcBorders>
          </w:tcPr>
          <w:p>
            <w:pPr>
              <w:pStyle w:val="TableParagraph"/>
              <w:spacing w:before="44"/>
              <w:ind w:left="107"/>
              <w:rPr>
                <w:rFonts w:ascii="宋体" w:eastAsia="宋体" w:hint="eastAsia"/>
                <w:sz w:val="21"/>
              </w:rPr>
            </w:pPr>
            <w:r>
              <w:rPr>
                <w:sz w:val="21"/>
              </w:rPr>
              <w:t>1 </w:t>
            </w:r>
            <w:r>
              <w:rPr>
                <w:rFonts w:ascii="宋体" w:eastAsia="宋体" w:hint="eastAsia"/>
                <w:sz w:val="21"/>
              </w:rPr>
              <w:t>年以内</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before="53"/>
              <w:ind w:right="86"/>
              <w:jc w:val="right"/>
              <w:rPr>
                <w:sz w:val="21"/>
              </w:rPr>
            </w:pPr>
            <w:r>
              <w:rPr>
                <w:sz w:val="21"/>
              </w:rPr>
              <w:t>230,234,039.92</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before="53"/>
              <w:ind w:right="87"/>
              <w:jc w:val="right"/>
              <w:rPr>
                <w:sz w:val="21"/>
              </w:rPr>
            </w:pPr>
            <w:r>
              <w:rPr>
                <w:sz w:val="21"/>
              </w:rPr>
              <w:t>71.40%</w:t>
            </w:r>
          </w:p>
        </w:tc>
        <w:tc>
          <w:tcPr>
            <w:tcW w:w="1905" w:type="dxa"/>
            <w:tcBorders>
              <w:top w:val="single" w:sz="4" w:space="0" w:color="000000"/>
              <w:left w:val="single" w:sz="4" w:space="0" w:color="000000"/>
              <w:bottom w:val="single" w:sz="4" w:space="0" w:color="000000"/>
              <w:right w:val="single" w:sz="4" w:space="0" w:color="000000"/>
            </w:tcBorders>
          </w:tcPr>
          <w:p>
            <w:pPr>
              <w:pStyle w:val="TableParagraph"/>
              <w:spacing w:before="53"/>
              <w:ind w:right="89"/>
              <w:jc w:val="right"/>
              <w:rPr>
                <w:sz w:val="21"/>
              </w:rPr>
            </w:pPr>
            <w:r>
              <w:rPr>
                <w:sz w:val="21"/>
              </w:rPr>
              <w:t>224,873,084.17</w:t>
            </w:r>
          </w:p>
        </w:tc>
        <w:tc>
          <w:tcPr>
            <w:tcW w:w="1415" w:type="dxa"/>
            <w:tcBorders>
              <w:top w:val="single" w:sz="4" w:space="0" w:color="000000"/>
              <w:left w:val="single" w:sz="4" w:space="0" w:color="000000"/>
              <w:bottom w:val="single" w:sz="4" w:space="0" w:color="000000"/>
            </w:tcBorders>
          </w:tcPr>
          <w:p>
            <w:pPr>
              <w:pStyle w:val="TableParagraph"/>
              <w:spacing w:before="53"/>
              <w:ind w:right="77"/>
              <w:jc w:val="right"/>
              <w:rPr>
                <w:sz w:val="21"/>
              </w:rPr>
            </w:pPr>
            <w:r>
              <w:rPr>
                <w:sz w:val="21"/>
              </w:rPr>
              <w:t>82.36%</w:t>
            </w:r>
          </w:p>
        </w:tc>
      </w:tr>
      <w:tr>
        <w:trPr>
          <w:trHeight w:val="357" w:hRule="atLeast"/>
        </w:trPr>
        <w:tc>
          <w:tcPr>
            <w:tcW w:w="1812" w:type="dxa"/>
            <w:tcBorders>
              <w:top w:val="single" w:sz="4" w:space="0" w:color="000000"/>
              <w:bottom w:val="single" w:sz="4" w:space="0" w:color="000000"/>
              <w:right w:val="single" w:sz="4" w:space="0" w:color="000000"/>
            </w:tcBorders>
          </w:tcPr>
          <w:p>
            <w:pPr>
              <w:pStyle w:val="TableParagraph"/>
              <w:spacing w:before="44"/>
              <w:ind w:left="107"/>
              <w:rPr>
                <w:rFonts w:ascii="宋体" w:eastAsia="宋体" w:hint="eastAsia"/>
                <w:sz w:val="21"/>
              </w:rPr>
            </w:pPr>
            <w:r>
              <w:rPr>
                <w:sz w:val="21"/>
              </w:rPr>
              <w:t>1-2 </w:t>
            </w:r>
            <w:r>
              <w:rPr>
                <w:rFonts w:ascii="宋体" w:eastAsia="宋体" w:hint="eastAsia"/>
                <w:sz w:val="21"/>
              </w:rPr>
              <w:t>年</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before="51"/>
              <w:ind w:right="86"/>
              <w:jc w:val="right"/>
              <w:rPr>
                <w:sz w:val="21"/>
              </w:rPr>
            </w:pPr>
            <w:r>
              <w:rPr>
                <w:sz w:val="21"/>
              </w:rPr>
              <w:t>82,575,210.18</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before="51"/>
              <w:ind w:right="87"/>
              <w:jc w:val="right"/>
              <w:rPr>
                <w:sz w:val="21"/>
              </w:rPr>
            </w:pPr>
            <w:r>
              <w:rPr>
                <w:sz w:val="21"/>
              </w:rPr>
              <w:t>25.61%</w:t>
            </w:r>
          </w:p>
        </w:tc>
        <w:tc>
          <w:tcPr>
            <w:tcW w:w="1905" w:type="dxa"/>
            <w:tcBorders>
              <w:top w:val="single" w:sz="4" w:space="0" w:color="000000"/>
              <w:left w:val="single" w:sz="4" w:space="0" w:color="000000"/>
              <w:bottom w:val="single" w:sz="4" w:space="0" w:color="000000"/>
              <w:right w:val="single" w:sz="4" w:space="0" w:color="000000"/>
            </w:tcBorders>
          </w:tcPr>
          <w:p>
            <w:pPr>
              <w:pStyle w:val="TableParagraph"/>
              <w:spacing w:before="51"/>
              <w:ind w:right="89"/>
              <w:jc w:val="right"/>
              <w:rPr>
                <w:sz w:val="21"/>
              </w:rPr>
            </w:pPr>
            <w:r>
              <w:rPr>
                <w:sz w:val="21"/>
              </w:rPr>
              <w:t>26,470,812.60</w:t>
            </w:r>
          </w:p>
        </w:tc>
        <w:tc>
          <w:tcPr>
            <w:tcW w:w="1415" w:type="dxa"/>
            <w:tcBorders>
              <w:top w:val="single" w:sz="4" w:space="0" w:color="000000"/>
              <w:left w:val="single" w:sz="4" w:space="0" w:color="000000"/>
              <w:bottom w:val="single" w:sz="4" w:space="0" w:color="000000"/>
            </w:tcBorders>
          </w:tcPr>
          <w:p>
            <w:pPr>
              <w:pStyle w:val="TableParagraph"/>
              <w:spacing w:before="51"/>
              <w:ind w:right="77"/>
              <w:jc w:val="right"/>
              <w:rPr>
                <w:sz w:val="21"/>
              </w:rPr>
            </w:pPr>
            <w:r>
              <w:rPr>
                <w:sz w:val="21"/>
              </w:rPr>
              <w:t>9.70%</w:t>
            </w:r>
          </w:p>
        </w:tc>
      </w:tr>
      <w:tr>
        <w:trPr>
          <w:trHeight w:val="359" w:hRule="atLeast"/>
        </w:trPr>
        <w:tc>
          <w:tcPr>
            <w:tcW w:w="1812" w:type="dxa"/>
            <w:tcBorders>
              <w:top w:val="single" w:sz="4" w:space="0" w:color="000000"/>
              <w:bottom w:val="single" w:sz="4" w:space="0" w:color="000000"/>
              <w:right w:val="single" w:sz="4" w:space="0" w:color="000000"/>
            </w:tcBorders>
          </w:tcPr>
          <w:p>
            <w:pPr>
              <w:pStyle w:val="TableParagraph"/>
              <w:spacing w:before="46"/>
              <w:ind w:left="107"/>
              <w:rPr>
                <w:rFonts w:ascii="宋体" w:eastAsia="宋体" w:hint="eastAsia"/>
                <w:sz w:val="21"/>
              </w:rPr>
            </w:pPr>
            <w:r>
              <w:rPr>
                <w:sz w:val="21"/>
              </w:rPr>
              <w:t>2-3 </w:t>
            </w:r>
            <w:r>
              <w:rPr>
                <w:rFonts w:ascii="宋体" w:eastAsia="宋体" w:hint="eastAsia"/>
                <w:sz w:val="21"/>
              </w:rPr>
              <w:t>年</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before="53"/>
              <w:ind w:right="86"/>
              <w:jc w:val="right"/>
              <w:rPr>
                <w:sz w:val="21"/>
              </w:rPr>
            </w:pPr>
            <w:r>
              <w:rPr>
                <w:sz w:val="21"/>
              </w:rPr>
              <w:t>8,925,141.80</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before="53"/>
              <w:ind w:right="87"/>
              <w:jc w:val="right"/>
              <w:rPr>
                <w:sz w:val="21"/>
              </w:rPr>
            </w:pPr>
            <w:r>
              <w:rPr>
                <w:sz w:val="21"/>
              </w:rPr>
              <w:t>2.77%</w:t>
            </w:r>
          </w:p>
        </w:tc>
        <w:tc>
          <w:tcPr>
            <w:tcW w:w="1905" w:type="dxa"/>
            <w:tcBorders>
              <w:top w:val="single" w:sz="4" w:space="0" w:color="000000"/>
              <w:left w:val="single" w:sz="4" w:space="0" w:color="000000"/>
              <w:bottom w:val="single" w:sz="4" w:space="0" w:color="000000"/>
              <w:right w:val="single" w:sz="4" w:space="0" w:color="000000"/>
            </w:tcBorders>
          </w:tcPr>
          <w:p>
            <w:pPr>
              <w:pStyle w:val="TableParagraph"/>
              <w:spacing w:before="53"/>
              <w:ind w:right="89"/>
              <w:jc w:val="right"/>
              <w:rPr>
                <w:sz w:val="21"/>
              </w:rPr>
            </w:pPr>
            <w:r>
              <w:rPr>
                <w:sz w:val="21"/>
              </w:rPr>
              <w:t>21,666,058.03</w:t>
            </w:r>
          </w:p>
        </w:tc>
        <w:tc>
          <w:tcPr>
            <w:tcW w:w="1415" w:type="dxa"/>
            <w:tcBorders>
              <w:top w:val="single" w:sz="4" w:space="0" w:color="000000"/>
              <w:left w:val="single" w:sz="4" w:space="0" w:color="000000"/>
              <w:bottom w:val="single" w:sz="4" w:space="0" w:color="000000"/>
            </w:tcBorders>
          </w:tcPr>
          <w:p>
            <w:pPr>
              <w:pStyle w:val="TableParagraph"/>
              <w:spacing w:before="53"/>
              <w:ind w:right="77"/>
              <w:jc w:val="right"/>
              <w:rPr>
                <w:sz w:val="21"/>
              </w:rPr>
            </w:pPr>
            <w:r>
              <w:rPr>
                <w:sz w:val="21"/>
              </w:rPr>
              <w:t>7.94%</w:t>
            </w:r>
          </w:p>
        </w:tc>
      </w:tr>
      <w:tr>
        <w:trPr>
          <w:trHeight w:val="359" w:hRule="atLeast"/>
        </w:trPr>
        <w:tc>
          <w:tcPr>
            <w:tcW w:w="1812" w:type="dxa"/>
            <w:tcBorders>
              <w:top w:val="single" w:sz="4" w:space="0" w:color="000000"/>
              <w:bottom w:val="single" w:sz="4" w:space="0" w:color="000000"/>
              <w:right w:val="single" w:sz="4" w:space="0" w:color="000000"/>
            </w:tcBorders>
          </w:tcPr>
          <w:p>
            <w:pPr>
              <w:pStyle w:val="TableParagraph"/>
              <w:spacing w:before="44"/>
              <w:ind w:left="107"/>
              <w:rPr>
                <w:rFonts w:ascii="宋体" w:eastAsia="宋体" w:hint="eastAsia"/>
                <w:sz w:val="21"/>
              </w:rPr>
            </w:pPr>
            <w:r>
              <w:rPr>
                <w:sz w:val="21"/>
              </w:rPr>
              <w:t>3 </w:t>
            </w:r>
            <w:r>
              <w:rPr>
                <w:rFonts w:ascii="宋体" w:eastAsia="宋体" w:hint="eastAsia"/>
                <w:sz w:val="21"/>
              </w:rPr>
              <w:t>年以上</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before="53"/>
              <w:ind w:right="87"/>
              <w:jc w:val="right"/>
              <w:rPr>
                <w:sz w:val="21"/>
              </w:rPr>
            </w:pPr>
            <w:r>
              <w:rPr>
                <w:sz w:val="21"/>
              </w:rPr>
              <w:t>738,863.01</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before="53"/>
              <w:ind w:right="87"/>
              <w:jc w:val="right"/>
              <w:rPr>
                <w:sz w:val="21"/>
              </w:rPr>
            </w:pPr>
            <w:r>
              <w:rPr>
                <w:sz w:val="21"/>
              </w:rPr>
              <w:t>0.23%</w:t>
            </w:r>
          </w:p>
        </w:tc>
        <w:tc>
          <w:tcPr>
            <w:tcW w:w="190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415" w:type="dxa"/>
            <w:tcBorders>
              <w:top w:val="single" w:sz="4" w:space="0" w:color="000000"/>
              <w:left w:val="single" w:sz="4" w:space="0" w:color="000000"/>
              <w:bottom w:val="single" w:sz="4" w:space="0" w:color="000000"/>
            </w:tcBorders>
          </w:tcPr>
          <w:p>
            <w:pPr>
              <w:pStyle w:val="TableParagraph"/>
              <w:rPr>
                <w:sz w:val="18"/>
              </w:rPr>
            </w:pPr>
          </w:p>
        </w:tc>
      </w:tr>
      <w:tr>
        <w:trPr>
          <w:trHeight w:val="356" w:hRule="atLeast"/>
        </w:trPr>
        <w:tc>
          <w:tcPr>
            <w:tcW w:w="1812" w:type="dxa"/>
            <w:tcBorders>
              <w:top w:val="single" w:sz="4" w:space="0" w:color="000000"/>
              <w:right w:val="single" w:sz="4" w:space="0" w:color="000000"/>
            </w:tcBorders>
          </w:tcPr>
          <w:p>
            <w:pPr>
              <w:pStyle w:val="TableParagraph"/>
              <w:spacing w:before="44"/>
              <w:ind w:left="674" w:right="653"/>
              <w:jc w:val="center"/>
              <w:rPr>
                <w:rFonts w:ascii="宋体" w:eastAsia="宋体" w:hint="eastAsia"/>
                <w:sz w:val="21"/>
              </w:rPr>
            </w:pPr>
            <w:r>
              <w:rPr>
                <w:rFonts w:ascii="宋体" w:eastAsia="宋体" w:hint="eastAsia"/>
                <w:sz w:val="21"/>
              </w:rPr>
              <w:t>合计</w:t>
            </w:r>
          </w:p>
        </w:tc>
        <w:tc>
          <w:tcPr>
            <w:tcW w:w="2053" w:type="dxa"/>
            <w:tcBorders>
              <w:top w:val="single" w:sz="4" w:space="0" w:color="000000"/>
              <w:left w:val="single" w:sz="4" w:space="0" w:color="000000"/>
              <w:right w:val="single" w:sz="4" w:space="0" w:color="000000"/>
            </w:tcBorders>
          </w:tcPr>
          <w:p>
            <w:pPr>
              <w:pStyle w:val="TableParagraph"/>
              <w:spacing w:before="53"/>
              <w:ind w:right="86"/>
              <w:jc w:val="right"/>
              <w:rPr>
                <w:sz w:val="21"/>
              </w:rPr>
            </w:pPr>
            <w:r>
              <w:rPr>
                <w:sz w:val="21"/>
              </w:rPr>
              <w:t>322,473,254.91</w:t>
            </w:r>
          </w:p>
        </w:tc>
        <w:tc>
          <w:tcPr>
            <w:tcW w:w="1758" w:type="dxa"/>
            <w:tcBorders>
              <w:top w:val="single" w:sz="4" w:space="0" w:color="000000"/>
              <w:left w:val="single" w:sz="4" w:space="0" w:color="000000"/>
              <w:right w:val="single" w:sz="4" w:space="0" w:color="000000"/>
            </w:tcBorders>
          </w:tcPr>
          <w:p>
            <w:pPr>
              <w:pStyle w:val="TableParagraph"/>
              <w:spacing w:before="53"/>
              <w:ind w:right="87"/>
              <w:jc w:val="right"/>
              <w:rPr>
                <w:sz w:val="21"/>
              </w:rPr>
            </w:pPr>
            <w:r>
              <w:rPr>
                <w:sz w:val="21"/>
              </w:rPr>
              <w:t>100.00%</w:t>
            </w:r>
          </w:p>
        </w:tc>
        <w:tc>
          <w:tcPr>
            <w:tcW w:w="1905" w:type="dxa"/>
            <w:tcBorders>
              <w:top w:val="single" w:sz="4" w:space="0" w:color="000000"/>
              <w:left w:val="single" w:sz="4" w:space="0" w:color="000000"/>
              <w:right w:val="single" w:sz="4" w:space="0" w:color="000000"/>
            </w:tcBorders>
          </w:tcPr>
          <w:p>
            <w:pPr>
              <w:pStyle w:val="TableParagraph"/>
              <w:spacing w:before="53"/>
              <w:ind w:right="89"/>
              <w:jc w:val="right"/>
              <w:rPr>
                <w:sz w:val="21"/>
              </w:rPr>
            </w:pPr>
            <w:r>
              <w:rPr>
                <w:sz w:val="21"/>
              </w:rPr>
              <w:t>273,009,954.80</w:t>
            </w:r>
          </w:p>
        </w:tc>
        <w:tc>
          <w:tcPr>
            <w:tcW w:w="1415" w:type="dxa"/>
            <w:tcBorders>
              <w:top w:val="single" w:sz="4" w:space="0" w:color="000000"/>
              <w:left w:val="single" w:sz="4" w:space="0" w:color="000000"/>
            </w:tcBorders>
          </w:tcPr>
          <w:p>
            <w:pPr>
              <w:pStyle w:val="TableParagraph"/>
              <w:spacing w:before="53"/>
              <w:ind w:right="77"/>
              <w:jc w:val="right"/>
              <w:rPr>
                <w:sz w:val="21"/>
              </w:rPr>
            </w:pPr>
            <w:r>
              <w:rPr>
                <w:sz w:val="21"/>
              </w:rPr>
              <w:t>100.00%</w:t>
            </w:r>
          </w:p>
        </w:tc>
      </w:tr>
    </w:tbl>
    <w:p>
      <w:pPr>
        <w:pStyle w:val="BodyText"/>
        <w:rPr>
          <w:sz w:val="22"/>
        </w:rPr>
      </w:pPr>
    </w:p>
    <w:p>
      <w:pPr>
        <w:pStyle w:val="BodyText"/>
        <w:spacing w:before="11"/>
        <w:rPr>
          <w:sz w:val="25"/>
        </w:rPr>
      </w:pPr>
    </w:p>
    <w:p>
      <w:pPr>
        <w:pStyle w:val="Heading4"/>
      </w:pPr>
      <w:r>
        <w:rPr/>
        <w:t>应收股利</w:t>
      </w:r>
    </w:p>
    <w:p>
      <w:pPr>
        <w:pStyle w:val="BodyText"/>
        <w:spacing w:before="17"/>
        <w:ind w:left="1538"/>
      </w:pPr>
      <w:r>
        <w:rPr>
          <w:w w:val="100"/>
        </w:rPr>
        <w:t> </w:t>
      </w:r>
    </w:p>
    <w:tbl>
      <w:tblPr>
        <w:tblW w:w="0" w:type="auto"/>
        <w:jc w:val="left"/>
        <w:tblInd w:w="15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17"/>
        <w:gridCol w:w="2048"/>
        <w:gridCol w:w="1760"/>
        <w:gridCol w:w="1847"/>
        <w:gridCol w:w="1470"/>
      </w:tblGrid>
      <w:tr>
        <w:trPr>
          <w:trHeight w:val="339" w:hRule="atLeast"/>
        </w:trPr>
        <w:tc>
          <w:tcPr>
            <w:tcW w:w="1817" w:type="dxa"/>
            <w:vMerge w:val="restart"/>
            <w:tcBorders>
              <w:bottom w:val="single" w:sz="4" w:space="0" w:color="000000"/>
              <w:right w:val="single" w:sz="4" w:space="0" w:color="000000"/>
            </w:tcBorders>
          </w:tcPr>
          <w:p>
            <w:pPr>
              <w:pStyle w:val="TableParagraph"/>
              <w:rPr>
                <w:rFonts w:ascii="宋体"/>
                <w:sz w:val="14"/>
              </w:rPr>
            </w:pPr>
          </w:p>
          <w:p>
            <w:pPr>
              <w:pStyle w:val="TableParagraph"/>
              <w:ind w:left="706" w:right="690"/>
              <w:jc w:val="center"/>
              <w:rPr>
                <w:rFonts w:ascii="Microsoft JhengHei" w:eastAsia="Microsoft JhengHei" w:hint="eastAsia"/>
                <w:b/>
                <w:sz w:val="18"/>
              </w:rPr>
            </w:pPr>
            <w:r>
              <w:rPr>
                <w:rFonts w:ascii="Microsoft JhengHei" w:eastAsia="Microsoft JhengHei" w:hint="eastAsia"/>
                <w:b/>
                <w:sz w:val="18"/>
              </w:rPr>
              <w:t>账龄</w:t>
            </w:r>
          </w:p>
        </w:tc>
        <w:tc>
          <w:tcPr>
            <w:tcW w:w="3808" w:type="dxa"/>
            <w:gridSpan w:val="2"/>
            <w:tcBorders>
              <w:left w:val="single" w:sz="4" w:space="0" w:color="000000"/>
              <w:bottom w:val="single" w:sz="4" w:space="0" w:color="000000"/>
              <w:right w:val="single" w:sz="4" w:space="0" w:color="000000"/>
            </w:tcBorders>
          </w:tcPr>
          <w:p>
            <w:pPr>
              <w:pStyle w:val="TableParagraph"/>
              <w:spacing w:line="320" w:lineRule="exact"/>
              <w:ind w:left="1529" w:right="1509"/>
              <w:jc w:val="center"/>
              <w:rPr>
                <w:rFonts w:ascii="Microsoft JhengHei" w:eastAsia="Microsoft JhengHei" w:hint="eastAsia"/>
                <w:b/>
                <w:sz w:val="18"/>
              </w:rPr>
            </w:pPr>
            <w:r>
              <w:rPr>
                <w:rFonts w:ascii="Microsoft JhengHei" w:eastAsia="Microsoft JhengHei" w:hint="eastAsia"/>
                <w:b/>
                <w:sz w:val="18"/>
              </w:rPr>
              <w:t>期末余额</w:t>
            </w:r>
          </w:p>
        </w:tc>
        <w:tc>
          <w:tcPr>
            <w:tcW w:w="3317" w:type="dxa"/>
            <w:gridSpan w:val="2"/>
            <w:tcBorders>
              <w:left w:val="single" w:sz="4" w:space="0" w:color="000000"/>
              <w:bottom w:val="single" w:sz="4" w:space="0" w:color="000000"/>
            </w:tcBorders>
          </w:tcPr>
          <w:p>
            <w:pPr>
              <w:pStyle w:val="TableParagraph"/>
              <w:spacing w:line="320" w:lineRule="exact"/>
              <w:ind w:left="1286" w:right="1251"/>
              <w:jc w:val="center"/>
              <w:rPr>
                <w:rFonts w:ascii="Microsoft JhengHei" w:eastAsia="Microsoft JhengHei" w:hint="eastAsia"/>
                <w:b/>
                <w:sz w:val="18"/>
              </w:rPr>
            </w:pPr>
            <w:r>
              <w:rPr>
                <w:rFonts w:ascii="Microsoft JhengHei" w:eastAsia="Microsoft JhengHei" w:hint="eastAsia"/>
                <w:b/>
                <w:sz w:val="18"/>
              </w:rPr>
              <w:t>期初余额</w:t>
            </w:r>
          </w:p>
        </w:tc>
      </w:tr>
      <w:tr>
        <w:trPr>
          <w:trHeight w:val="359" w:hRule="atLeast"/>
        </w:trPr>
        <w:tc>
          <w:tcPr>
            <w:tcW w:w="1817" w:type="dxa"/>
            <w:vMerge/>
            <w:tcBorders>
              <w:top w:val="nil"/>
              <w:bottom w:val="single" w:sz="4" w:space="0" w:color="000000"/>
              <w:right w:val="single" w:sz="4" w:space="0" w:color="000000"/>
            </w:tcBorders>
          </w:tcPr>
          <w:p>
            <w:pPr>
              <w:rPr>
                <w:sz w:val="2"/>
                <w:szCs w:val="2"/>
              </w:rPr>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before="5"/>
              <w:ind w:left="669"/>
              <w:rPr>
                <w:rFonts w:ascii="Microsoft JhengHei" w:eastAsia="Microsoft JhengHei" w:hint="eastAsia"/>
                <w:b/>
                <w:sz w:val="18"/>
              </w:rPr>
            </w:pPr>
            <w:r>
              <w:rPr>
                <w:rFonts w:ascii="Microsoft JhengHei" w:eastAsia="Microsoft JhengHei" w:hint="eastAsia"/>
                <w:b/>
                <w:sz w:val="18"/>
              </w:rPr>
              <w:t>账面余额</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before="5"/>
              <w:ind w:left="690" w:right="660"/>
              <w:jc w:val="center"/>
              <w:rPr>
                <w:rFonts w:ascii="Microsoft JhengHei" w:eastAsia="Microsoft JhengHei" w:hint="eastAsia"/>
                <w:b/>
                <w:sz w:val="18"/>
              </w:rPr>
            </w:pPr>
            <w:r>
              <w:rPr>
                <w:rFonts w:ascii="Microsoft JhengHei" w:eastAsia="Microsoft JhengHei" w:hint="eastAsia"/>
                <w:b/>
                <w:sz w:val="18"/>
              </w:rPr>
              <w:t>比例</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before="5"/>
              <w:ind w:left="570"/>
              <w:rPr>
                <w:rFonts w:ascii="Microsoft JhengHei" w:eastAsia="Microsoft JhengHei" w:hint="eastAsia"/>
                <w:b/>
                <w:sz w:val="18"/>
              </w:rPr>
            </w:pPr>
            <w:r>
              <w:rPr>
                <w:rFonts w:ascii="Microsoft JhengHei" w:eastAsia="Microsoft JhengHei" w:hint="eastAsia"/>
                <w:b/>
                <w:sz w:val="18"/>
              </w:rPr>
              <w:t>账面余额</w:t>
            </w:r>
          </w:p>
        </w:tc>
        <w:tc>
          <w:tcPr>
            <w:tcW w:w="1470" w:type="dxa"/>
            <w:tcBorders>
              <w:top w:val="single" w:sz="4" w:space="0" w:color="000000"/>
              <w:left w:val="single" w:sz="4" w:space="0" w:color="000000"/>
              <w:bottom w:val="single" w:sz="4" w:space="0" w:color="000000"/>
            </w:tcBorders>
          </w:tcPr>
          <w:p>
            <w:pPr>
              <w:pStyle w:val="TableParagraph"/>
              <w:spacing w:before="5"/>
              <w:ind w:left="542" w:right="508"/>
              <w:jc w:val="center"/>
              <w:rPr>
                <w:rFonts w:ascii="Microsoft JhengHei" w:eastAsia="Microsoft JhengHei" w:hint="eastAsia"/>
                <w:b/>
                <w:sz w:val="18"/>
              </w:rPr>
            </w:pPr>
            <w:r>
              <w:rPr>
                <w:rFonts w:ascii="Microsoft JhengHei" w:eastAsia="Microsoft JhengHei" w:hint="eastAsia"/>
                <w:b/>
                <w:sz w:val="18"/>
              </w:rPr>
              <w:t>比例</w:t>
            </w:r>
          </w:p>
        </w:tc>
      </w:tr>
      <w:tr>
        <w:trPr>
          <w:trHeight w:val="359" w:hRule="atLeast"/>
        </w:trPr>
        <w:tc>
          <w:tcPr>
            <w:tcW w:w="1817" w:type="dxa"/>
            <w:tcBorders>
              <w:top w:val="single" w:sz="4" w:space="0" w:color="000000"/>
              <w:bottom w:val="single" w:sz="4" w:space="0" w:color="000000"/>
              <w:right w:val="single" w:sz="4" w:space="0" w:color="000000"/>
            </w:tcBorders>
          </w:tcPr>
          <w:p>
            <w:pPr>
              <w:pStyle w:val="TableParagraph"/>
              <w:spacing w:before="62"/>
              <w:ind w:left="107"/>
              <w:rPr>
                <w:rFonts w:ascii="宋体" w:eastAsia="宋体" w:hint="eastAsia"/>
                <w:sz w:val="18"/>
              </w:rPr>
            </w:pPr>
            <w:r>
              <w:rPr>
                <w:sz w:val="18"/>
              </w:rPr>
              <w:t>1 </w:t>
            </w:r>
            <w:r>
              <w:rPr>
                <w:rFonts w:ascii="宋体" w:eastAsia="宋体" w:hint="eastAsia"/>
                <w:sz w:val="18"/>
              </w:rPr>
              <w:t>年以内</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before="71"/>
              <w:ind w:right="89"/>
              <w:jc w:val="right"/>
              <w:rPr>
                <w:sz w:val="18"/>
              </w:rPr>
            </w:pPr>
            <w:r>
              <w:rPr>
                <w:sz w:val="18"/>
              </w:rPr>
              <w:t>4,915,409.42</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before="71"/>
              <w:ind w:right="87"/>
              <w:jc w:val="right"/>
              <w:rPr>
                <w:sz w:val="18"/>
              </w:rPr>
            </w:pPr>
            <w:r>
              <w:rPr>
                <w:sz w:val="18"/>
              </w:rPr>
              <w:t>100.00%</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470" w:type="dxa"/>
            <w:tcBorders>
              <w:top w:val="single" w:sz="4" w:space="0" w:color="000000"/>
              <w:left w:val="single" w:sz="4" w:space="0" w:color="000000"/>
              <w:bottom w:val="single" w:sz="4" w:space="0" w:color="000000"/>
            </w:tcBorders>
          </w:tcPr>
          <w:p>
            <w:pPr>
              <w:pStyle w:val="TableParagraph"/>
              <w:rPr>
                <w:sz w:val="18"/>
              </w:rPr>
            </w:pPr>
          </w:p>
        </w:tc>
      </w:tr>
      <w:tr>
        <w:trPr>
          <w:trHeight w:val="357" w:hRule="atLeast"/>
        </w:trPr>
        <w:tc>
          <w:tcPr>
            <w:tcW w:w="1817" w:type="dxa"/>
            <w:tcBorders>
              <w:top w:val="single" w:sz="4" w:space="0" w:color="000000"/>
              <w:bottom w:val="single" w:sz="4" w:space="0" w:color="000000"/>
              <w:right w:val="single" w:sz="4" w:space="0" w:color="000000"/>
            </w:tcBorders>
          </w:tcPr>
          <w:p>
            <w:pPr>
              <w:pStyle w:val="TableParagraph"/>
              <w:spacing w:before="62"/>
              <w:ind w:left="107"/>
              <w:rPr>
                <w:rFonts w:ascii="宋体" w:eastAsia="宋体" w:hint="eastAsia"/>
                <w:sz w:val="18"/>
              </w:rPr>
            </w:pPr>
            <w:r>
              <w:rPr>
                <w:sz w:val="18"/>
              </w:rPr>
              <w:t>1-2 </w:t>
            </w:r>
            <w:r>
              <w:rPr>
                <w:rFonts w:ascii="宋体" w:eastAsia="宋体" w:hint="eastAsia"/>
                <w:sz w:val="18"/>
              </w:rPr>
              <w:t>年</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84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470" w:type="dxa"/>
            <w:tcBorders>
              <w:top w:val="single" w:sz="4" w:space="0" w:color="000000"/>
              <w:left w:val="single" w:sz="4" w:space="0" w:color="000000"/>
              <w:bottom w:val="single" w:sz="4" w:space="0" w:color="000000"/>
            </w:tcBorders>
          </w:tcPr>
          <w:p>
            <w:pPr>
              <w:pStyle w:val="TableParagraph"/>
              <w:rPr>
                <w:sz w:val="18"/>
              </w:rPr>
            </w:pPr>
          </w:p>
        </w:tc>
      </w:tr>
      <w:tr>
        <w:trPr>
          <w:trHeight w:val="359" w:hRule="atLeast"/>
        </w:trPr>
        <w:tc>
          <w:tcPr>
            <w:tcW w:w="1817" w:type="dxa"/>
            <w:tcBorders>
              <w:top w:val="single" w:sz="4" w:space="0" w:color="000000"/>
              <w:bottom w:val="single" w:sz="4" w:space="0" w:color="000000"/>
              <w:right w:val="single" w:sz="4" w:space="0" w:color="000000"/>
            </w:tcBorders>
          </w:tcPr>
          <w:p>
            <w:pPr>
              <w:pStyle w:val="TableParagraph"/>
              <w:spacing w:before="64"/>
              <w:ind w:left="107"/>
              <w:rPr>
                <w:rFonts w:ascii="宋体" w:eastAsia="宋体" w:hint="eastAsia"/>
                <w:sz w:val="18"/>
              </w:rPr>
            </w:pPr>
            <w:r>
              <w:rPr>
                <w:sz w:val="18"/>
              </w:rPr>
              <w:t>2-3 </w:t>
            </w:r>
            <w:r>
              <w:rPr>
                <w:rFonts w:ascii="宋体" w:eastAsia="宋体" w:hint="eastAsia"/>
                <w:sz w:val="18"/>
              </w:rPr>
              <w:t>年</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84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470" w:type="dxa"/>
            <w:tcBorders>
              <w:top w:val="single" w:sz="4" w:space="0" w:color="000000"/>
              <w:left w:val="single" w:sz="4" w:space="0" w:color="000000"/>
              <w:bottom w:val="single" w:sz="4" w:space="0" w:color="000000"/>
            </w:tcBorders>
          </w:tcPr>
          <w:p>
            <w:pPr>
              <w:pStyle w:val="TableParagraph"/>
              <w:rPr>
                <w:sz w:val="18"/>
              </w:rPr>
            </w:pPr>
          </w:p>
        </w:tc>
      </w:tr>
      <w:tr>
        <w:trPr>
          <w:trHeight w:val="359" w:hRule="atLeast"/>
        </w:trPr>
        <w:tc>
          <w:tcPr>
            <w:tcW w:w="1817" w:type="dxa"/>
            <w:tcBorders>
              <w:top w:val="single" w:sz="4" w:space="0" w:color="000000"/>
              <w:bottom w:val="single" w:sz="4" w:space="0" w:color="000000"/>
              <w:right w:val="single" w:sz="4" w:space="0" w:color="000000"/>
            </w:tcBorders>
          </w:tcPr>
          <w:p>
            <w:pPr>
              <w:pStyle w:val="TableParagraph"/>
              <w:spacing w:before="64"/>
              <w:ind w:left="107"/>
              <w:rPr>
                <w:rFonts w:ascii="宋体" w:eastAsia="宋体" w:hint="eastAsia"/>
                <w:sz w:val="18"/>
              </w:rPr>
            </w:pPr>
            <w:r>
              <w:rPr>
                <w:sz w:val="18"/>
              </w:rPr>
              <w:t>3 </w:t>
            </w:r>
            <w:r>
              <w:rPr>
                <w:rFonts w:ascii="宋体" w:eastAsia="宋体" w:hint="eastAsia"/>
                <w:sz w:val="18"/>
              </w:rPr>
              <w:t>年以上</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before="71"/>
              <w:ind w:right="88"/>
              <w:jc w:val="right"/>
              <w:rPr>
                <w:sz w:val="18"/>
              </w:rPr>
            </w:pPr>
            <w:r>
              <w:rPr>
                <w:sz w:val="18"/>
              </w:rPr>
              <w:t>4,524,472.84</w:t>
            </w:r>
          </w:p>
        </w:tc>
        <w:tc>
          <w:tcPr>
            <w:tcW w:w="1470" w:type="dxa"/>
            <w:tcBorders>
              <w:top w:val="single" w:sz="4" w:space="0" w:color="000000"/>
              <w:left w:val="single" w:sz="4" w:space="0" w:color="000000"/>
              <w:bottom w:val="single" w:sz="4" w:space="0" w:color="000000"/>
            </w:tcBorders>
          </w:tcPr>
          <w:p>
            <w:pPr>
              <w:pStyle w:val="TableParagraph"/>
              <w:spacing w:before="71"/>
              <w:ind w:right="79"/>
              <w:jc w:val="right"/>
              <w:rPr>
                <w:sz w:val="18"/>
              </w:rPr>
            </w:pPr>
            <w:r>
              <w:rPr>
                <w:sz w:val="18"/>
              </w:rPr>
              <w:t>100.00%</w:t>
            </w:r>
          </w:p>
        </w:tc>
      </w:tr>
      <w:tr>
        <w:trPr>
          <w:trHeight w:val="356" w:hRule="atLeast"/>
        </w:trPr>
        <w:tc>
          <w:tcPr>
            <w:tcW w:w="1817" w:type="dxa"/>
            <w:tcBorders>
              <w:top w:val="single" w:sz="4" w:space="0" w:color="000000"/>
              <w:right w:val="single" w:sz="4" w:space="0" w:color="000000"/>
            </w:tcBorders>
          </w:tcPr>
          <w:p>
            <w:pPr>
              <w:pStyle w:val="TableParagraph"/>
              <w:spacing w:before="62"/>
              <w:ind w:left="706" w:right="690"/>
              <w:jc w:val="center"/>
              <w:rPr>
                <w:rFonts w:ascii="宋体" w:eastAsia="宋体" w:hint="eastAsia"/>
                <w:sz w:val="18"/>
              </w:rPr>
            </w:pPr>
            <w:r>
              <w:rPr>
                <w:rFonts w:ascii="宋体" w:eastAsia="宋体" w:hint="eastAsia"/>
                <w:sz w:val="18"/>
              </w:rPr>
              <w:t>合计</w:t>
            </w:r>
          </w:p>
        </w:tc>
        <w:tc>
          <w:tcPr>
            <w:tcW w:w="2048" w:type="dxa"/>
            <w:tcBorders>
              <w:top w:val="single" w:sz="4" w:space="0" w:color="000000"/>
              <w:left w:val="single" w:sz="4" w:space="0" w:color="000000"/>
              <w:right w:val="single" w:sz="4" w:space="0" w:color="000000"/>
            </w:tcBorders>
          </w:tcPr>
          <w:p>
            <w:pPr>
              <w:pStyle w:val="TableParagraph"/>
              <w:spacing w:before="71"/>
              <w:ind w:right="89"/>
              <w:jc w:val="right"/>
              <w:rPr>
                <w:sz w:val="18"/>
              </w:rPr>
            </w:pPr>
            <w:r>
              <w:rPr>
                <w:sz w:val="18"/>
              </w:rPr>
              <w:t>4,915,409.42</w:t>
            </w:r>
          </w:p>
        </w:tc>
        <w:tc>
          <w:tcPr>
            <w:tcW w:w="1760" w:type="dxa"/>
            <w:tcBorders>
              <w:top w:val="single" w:sz="4" w:space="0" w:color="000000"/>
              <w:left w:val="single" w:sz="4" w:space="0" w:color="000000"/>
              <w:right w:val="single" w:sz="4" w:space="0" w:color="000000"/>
            </w:tcBorders>
          </w:tcPr>
          <w:p>
            <w:pPr>
              <w:pStyle w:val="TableParagraph"/>
              <w:spacing w:before="71"/>
              <w:ind w:right="87"/>
              <w:jc w:val="right"/>
              <w:rPr>
                <w:sz w:val="18"/>
              </w:rPr>
            </w:pPr>
            <w:r>
              <w:rPr>
                <w:sz w:val="18"/>
              </w:rPr>
              <w:t>100.00%</w:t>
            </w:r>
          </w:p>
        </w:tc>
        <w:tc>
          <w:tcPr>
            <w:tcW w:w="1847" w:type="dxa"/>
            <w:tcBorders>
              <w:top w:val="single" w:sz="4" w:space="0" w:color="000000"/>
              <w:left w:val="single" w:sz="4" w:space="0" w:color="000000"/>
              <w:right w:val="single" w:sz="4" w:space="0" w:color="000000"/>
            </w:tcBorders>
          </w:tcPr>
          <w:p>
            <w:pPr>
              <w:pStyle w:val="TableParagraph"/>
              <w:spacing w:before="71"/>
              <w:ind w:right="88"/>
              <w:jc w:val="right"/>
              <w:rPr>
                <w:sz w:val="18"/>
              </w:rPr>
            </w:pPr>
            <w:r>
              <w:rPr>
                <w:sz w:val="18"/>
              </w:rPr>
              <w:t>4,524,472.84</w:t>
            </w:r>
          </w:p>
        </w:tc>
        <w:tc>
          <w:tcPr>
            <w:tcW w:w="1470" w:type="dxa"/>
            <w:tcBorders>
              <w:top w:val="single" w:sz="4" w:space="0" w:color="000000"/>
              <w:left w:val="single" w:sz="4" w:space="0" w:color="000000"/>
            </w:tcBorders>
          </w:tcPr>
          <w:p>
            <w:pPr>
              <w:pStyle w:val="TableParagraph"/>
              <w:spacing w:before="71"/>
              <w:ind w:right="79"/>
              <w:jc w:val="right"/>
              <w:rPr>
                <w:sz w:val="18"/>
              </w:rPr>
            </w:pPr>
            <w:r>
              <w:rPr>
                <w:sz w:val="18"/>
              </w:rPr>
              <w:t>100.00%</w:t>
            </w:r>
          </w:p>
        </w:tc>
      </w:tr>
    </w:tbl>
    <w:p>
      <w:pPr>
        <w:pStyle w:val="BodyText"/>
        <w:spacing w:line="267" w:lineRule="exact" w:before="4"/>
        <w:ind w:left="1538"/>
      </w:pPr>
      <w:r>
        <w:rPr>
          <w:w w:val="100"/>
        </w:rPr>
        <w:t> </w:t>
      </w:r>
    </w:p>
    <w:p>
      <w:pPr>
        <w:pStyle w:val="Heading4"/>
        <w:spacing w:line="384" w:lineRule="exact"/>
      </w:pPr>
      <w:r>
        <w:rPr/>
        <w:t>其他应收款</w:t>
      </w:r>
    </w:p>
    <w:p>
      <w:pPr>
        <w:pStyle w:val="BodyText"/>
        <w:spacing w:before="3"/>
        <w:rPr>
          <w:rFonts w:ascii="Microsoft JhengHei"/>
          <w:b/>
          <w:sz w:val="10"/>
        </w:rPr>
      </w:pPr>
    </w:p>
    <w:p>
      <w:pPr>
        <w:pStyle w:val="BodyText"/>
        <w:ind w:left="1895"/>
      </w:pPr>
      <w:r>
        <w:rPr/>
        <w:t>① 其他应收款按账龄披露如下：</w:t>
      </w:r>
    </w:p>
    <w:p>
      <w:pPr>
        <w:pStyle w:val="BodyText"/>
        <w:spacing w:before="3"/>
        <w:rPr>
          <w:sz w:val="12"/>
        </w:rPr>
      </w:pPr>
    </w:p>
    <w:tbl>
      <w:tblPr>
        <w:tblW w:w="0" w:type="auto"/>
        <w:jc w:val="left"/>
        <w:tblInd w:w="156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068"/>
        <w:gridCol w:w="3075"/>
        <w:gridCol w:w="2667"/>
      </w:tblGrid>
      <w:tr>
        <w:trPr>
          <w:trHeight w:val="368" w:hRule="atLeast"/>
        </w:trPr>
        <w:tc>
          <w:tcPr>
            <w:tcW w:w="3068" w:type="dxa"/>
            <w:tcBorders>
              <w:bottom w:val="single" w:sz="4" w:space="0" w:color="000000"/>
              <w:right w:val="single" w:sz="4" w:space="0" w:color="000000"/>
            </w:tcBorders>
          </w:tcPr>
          <w:p>
            <w:pPr>
              <w:pStyle w:val="TableParagraph"/>
              <w:spacing w:before="9"/>
              <w:ind w:left="1330" w:right="1317"/>
              <w:jc w:val="center"/>
              <w:rPr>
                <w:rFonts w:ascii="Microsoft JhengHei" w:eastAsia="Microsoft JhengHei" w:hint="eastAsia"/>
                <w:b/>
                <w:sz w:val="18"/>
              </w:rPr>
            </w:pPr>
            <w:r>
              <w:rPr>
                <w:rFonts w:ascii="Microsoft JhengHei" w:eastAsia="Microsoft JhengHei" w:hint="eastAsia"/>
                <w:b/>
                <w:sz w:val="18"/>
              </w:rPr>
              <w:t>账龄</w:t>
            </w:r>
          </w:p>
        </w:tc>
        <w:tc>
          <w:tcPr>
            <w:tcW w:w="3075" w:type="dxa"/>
            <w:tcBorders>
              <w:left w:val="single" w:sz="4" w:space="0" w:color="000000"/>
              <w:bottom w:val="single" w:sz="4" w:space="0" w:color="000000"/>
              <w:right w:val="single" w:sz="4" w:space="0" w:color="000000"/>
            </w:tcBorders>
          </w:tcPr>
          <w:p>
            <w:pPr>
              <w:pStyle w:val="TableParagraph"/>
              <w:spacing w:before="9"/>
              <w:ind w:left="1103" w:right="1080"/>
              <w:jc w:val="center"/>
              <w:rPr>
                <w:rFonts w:ascii="Microsoft JhengHei" w:eastAsia="Microsoft JhengHei" w:hint="eastAsia"/>
                <w:b/>
                <w:sz w:val="18"/>
              </w:rPr>
            </w:pPr>
            <w:r>
              <w:rPr>
                <w:rFonts w:ascii="Microsoft JhengHei" w:eastAsia="Microsoft JhengHei" w:hint="eastAsia"/>
                <w:b/>
                <w:sz w:val="18"/>
              </w:rPr>
              <w:t>期末余额</w:t>
            </w:r>
          </w:p>
        </w:tc>
        <w:tc>
          <w:tcPr>
            <w:tcW w:w="2667" w:type="dxa"/>
            <w:tcBorders>
              <w:left w:val="single" w:sz="4" w:space="0" w:color="000000"/>
              <w:bottom w:val="single" w:sz="4" w:space="0" w:color="000000"/>
            </w:tcBorders>
          </w:tcPr>
          <w:p>
            <w:pPr>
              <w:pStyle w:val="TableParagraph"/>
              <w:spacing w:before="9"/>
              <w:ind w:left="960" w:right="927"/>
              <w:jc w:val="center"/>
              <w:rPr>
                <w:rFonts w:ascii="Microsoft JhengHei" w:eastAsia="Microsoft JhengHei" w:hint="eastAsia"/>
                <w:b/>
                <w:sz w:val="18"/>
              </w:rPr>
            </w:pPr>
            <w:r>
              <w:rPr>
                <w:rFonts w:ascii="Microsoft JhengHei" w:eastAsia="Microsoft JhengHei" w:hint="eastAsia"/>
                <w:b/>
                <w:sz w:val="18"/>
              </w:rPr>
              <w:t>期初余额</w:t>
            </w:r>
          </w:p>
        </w:tc>
      </w:tr>
      <w:tr>
        <w:trPr>
          <w:trHeight w:val="369" w:hRule="atLeast"/>
        </w:trPr>
        <w:tc>
          <w:tcPr>
            <w:tcW w:w="3068" w:type="dxa"/>
            <w:tcBorders>
              <w:top w:val="single" w:sz="4" w:space="0" w:color="000000"/>
              <w:bottom w:val="single" w:sz="4" w:space="0" w:color="000000"/>
              <w:right w:val="single" w:sz="4" w:space="0" w:color="000000"/>
            </w:tcBorders>
          </w:tcPr>
          <w:p>
            <w:pPr>
              <w:pStyle w:val="TableParagraph"/>
              <w:spacing w:before="69"/>
              <w:ind w:left="105"/>
              <w:rPr>
                <w:rFonts w:ascii="宋体" w:eastAsia="宋体" w:hint="eastAsia"/>
                <w:sz w:val="18"/>
              </w:rPr>
            </w:pPr>
            <w:r>
              <w:rPr>
                <w:sz w:val="18"/>
              </w:rPr>
              <w:t>1 </w:t>
            </w:r>
            <w:r>
              <w:rPr>
                <w:rFonts w:ascii="宋体" w:eastAsia="宋体" w:hint="eastAsia"/>
                <w:sz w:val="18"/>
              </w:rPr>
              <w:t>年以内</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before="76"/>
              <w:ind w:right="92"/>
              <w:jc w:val="right"/>
              <w:rPr>
                <w:sz w:val="18"/>
              </w:rPr>
            </w:pPr>
            <w:r>
              <w:rPr>
                <w:sz w:val="18"/>
              </w:rPr>
              <w:t>931,454,573.77</w:t>
            </w:r>
          </w:p>
        </w:tc>
        <w:tc>
          <w:tcPr>
            <w:tcW w:w="2667" w:type="dxa"/>
            <w:tcBorders>
              <w:top w:val="single" w:sz="4" w:space="0" w:color="000000"/>
              <w:left w:val="single" w:sz="4" w:space="0" w:color="000000"/>
              <w:bottom w:val="single" w:sz="4" w:space="0" w:color="000000"/>
            </w:tcBorders>
          </w:tcPr>
          <w:p>
            <w:pPr>
              <w:pStyle w:val="TableParagraph"/>
              <w:spacing w:before="76"/>
              <w:ind w:right="79"/>
              <w:jc w:val="right"/>
              <w:rPr>
                <w:sz w:val="18"/>
              </w:rPr>
            </w:pPr>
            <w:r>
              <w:rPr>
                <w:sz w:val="18"/>
              </w:rPr>
              <w:t>1,801,028,378.02</w:t>
            </w:r>
          </w:p>
        </w:tc>
      </w:tr>
      <w:tr>
        <w:trPr>
          <w:trHeight w:val="369" w:hRule="atLeast"/>
        </w:trPr>
        <w:tc>
          <w:tcPr>
            <w:tcW w:w="3068" w:type="dxa"/>
            <w:tcBorders>
              <w:top w:val="single" w:sz="4" w:space="0" w:color="000000"/>
              <w:bottom w:val="single" w:sz="4" w:space="0" w:color="000000"/>
              <w:right w:val="single" w:sz="4" w:space="0" w:color="000000"/>
            </w:tcBorders>
          </w:tcPr>
          <w:p>
            <w:pPr>
              <w:pStyle w:val="TableParagraph"/>
              <w:spacing w:before="69"/>
              <w:ind w:left="105"/>
              <w:rPr>
                <w:rFonts w:ascii="宋体" w:eastAsia="宋体" w:hint="eastAsia"/>
                <w:sz w:val="18"/>
              </w:rPr>
            </w:pPr>
            <w:r>
              <w:rPr>
                <w:sz w:val="18"/>
              </w:rPr>
              <w:t>1-2 </w:t>
            </w:r>
            <w:r>
              <w:rPr>
                <w:rFonts w:ascii="宋体" w:eastAsia="宋体" w:hint="eastAsia"/>
                <w:sz w:val="18"/>
              </w:rPr>
              <w:t>年</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before="76"/>
              <w:ind w:right="92"/>
              <w:jc w:val="right"/>
              <w:rPr>
                <w:sz w:val="18"/>
              </w:rPr>
            </w:pPr>
            <w:r>
              <w:rPr>
                <w:sz w:val="18"/>
              </w:rPr>
              <w:t>417,514,929.49</w:t>
            </w:r>
          </w:p>
        </w:tc>
        <w:tc>
          <w:tcPr>
            <w:tcW w:w="2667" w:type="dxa"/>
            <w:tcBorders>
              <w:top w:val="single" w:sz="4" w:space="0" w:color="000000"/>
              <w:left w:val="single" w:sz="4" w:space="0" w:color="000000"/>
              <w:bottom w:val="single" w:sz="4" w:space="0" w:color="000000"/>
            </w:tcBorders>
          </w:tcPr>
          <w:p>
            <w:pPr>
              <w:pStyle w:val="TableParagraph"/>
              <w:spacing w:before="76"/>
              <w:ind w:right="81"/>
              <w:jc w:val="right"/>
              <w:rPr>
                <w:sz w:val="18"/>
              </w:rPr>
            </w:pPr>
            <w:r>
              <w:rPr>
                <w:sz w:val="18"/>
              </w:rPr>
              <w:t>65,979,912.86</w:t>
            </w:r>
          </w:p>
        </w:tc>
      </w:tr>
      <w:tr>
        <w:trPr>
          <w:trHeight w:val="368" w:hRule="atLeast"/>
        </w:trPr>
        <w:tc>
          <w:tcPr>
            <w:tcW w:w="3068" w:type="dxa"/>
            <w:tcBorders>
              <w:top w:val="single" w:sz="4" w:space="0" w:color="000000"/>
              <w:right w:val="single" w:sz="4" w:space="0" w:color="000000"/>
            </w:tcBorders>
          </w:tcPr>
          <w:p>
            <w:pPr>
              <w:pStyle w:val="TableParagraph"/>
              <w:spacing w:before="69"/>
              <w:ind w:left="105"/>
              <w:rPr>
                <w:rFonts w:ascii="宋体" w:eastAsia="宋体" w:hint="eastAsia"/>
                <w:sz w:val="18"/>
              </w:rPr>
            </w:pPr>
            <w:r>
              <w:rPr>
                <w:sz w:val="18"/>
              </w:rPr>
              <w:t>2-3 </w:t>
            </w:r>
            <w:r>
              <w:rPr>
                <w:rFonts w:ascii="宋体" w:eastAsia="宋体" w:hint="eastAsia"/>
                <w:sz w:val="18"/>
              </w:rPr>
              <w:t>年</w:t>
            </w:r>
          </w:p>
        </w:tc>
        <w:tc>
          <w:tcPr>
            <w:tcW w:w="3075" w:type="dxa"/>
            <w:tcBorders>
              <w:top w:val="single" w:sz="4" w:space="0" w:color="000000"/>
              <w:left w:val="single" w:sz="4" w:space="0" w:color="000000"/>
              <w:right w:val="single" w:sz="4" w:space="0" w:color="000000"/>
            </w:tcBorders>
          </w:tcPr>
          <w:p>
            <w:pPr>
              <w:pStyle w:val="TableParagraph"/>
              <w:spacing w:before="76"/>
              <w:ind w:right="89"/>
              <w:jc w:val="right"/>
              <w:rPr>
                <w:sz w:val="18"/>
              </w:rPr>
            </w:pPr>
            <w:r>
              <w:rPr>
                <w:sz w:val="18"/>
              </w:rPr>
              <w:t>61,251,809.96</w:t>
            </w:r>
          </w:p>
        </w:tc>
        <w:tc>
          <w:tcPr>
            <w:tcW w:w="2667" w:type="dxa"/>
            <w:tcBorders>
              <w:top w:val="single" w:sz="4" w:space="0" w:color="000000"/>
              <w:left w:val="single" w:sz="4" w:space="0" w:color="000000"/>
            </w:tcBorders>
          </w:tcPr>
          <w:p>
            <w:pPr>
              <w:pStyle w:val="TableParagraph"/>
              <w:spacing w:before="76"/>
              <w:ind w:right="81"/>
              <w:jc w:val="right"/>
              <w:rPr>
                <w:sz w:val="18"/>
              </w:rPr>
            </w:pPr>
            <w:r>
              <w:rPr>
                <w:sz w:val="18"/>
              </w:rPr>
              <w:t>26,319,826.19</w:t>
            </w:r>
          </w:p>
        </w:tc>
      </w:tr>
    </w:tbl>
    <w:p>
      <w:pPr>
        <w:spacing w:after="0"/>
        <w:jc w:val="right"/>
        <w:rPr>
          <w:sz w:val="18"/>
        </w:rPr>
        <w:sectPr>
          <w:pgSz w:w="11910" w:h="16840"/>
          <w:pgMar w:header="876" w:footer="1199" w:top="1440" w:bottom="1400" w:left="260" w:right="0"/>
        </w:sectPr>
      </w:pPr>
    </w:p>
    <w:p>
      <w:pPr>
        <w:pStyle w:val="BodyText"/>
        <w:spacing w:before="2"/>
        <w:rPr>
          <w:sz w:val="5"/>
        </w:rPr>
      </w:pPr>
    </w:p>
    <w:tbl>
      <w:tblPr>
        <w:tblW w:w="0" w:type="auto"/>
        <w:jc w:val="left"/>
        <w:tblInd w:w="156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068"/>
        <w:gridCol w:w="3075"/>
        <w:gridCol w:w="2667"/>
      </w:tblGrid>
      <w:tr>
        <w:trPr>
          <w:trHeight w:val="371" w:hRule="atLeast"/>
        </w:trPr>
        <w:tc>
          <w:tcPr>
            <w:tcW w:w="3068" w:type="dxa"/>
            <w:tcBorders>
              <w:bottom w:val="single" w:sz="4" w:space="0" w:color="000000"/>
              <w:right w:val="single" w:sz="4" w:space="0" w:color="000000"/>
            </w:tcBorders>
          </w:tcPr>
          <w:p>
            <w:pPr>
              <w:pStyle w:val="TableParagraph"/>
              <w:spacing w:before="69"/>
              <w:ind w:left="105"/>
              <w:rPr>
                <w:rFonts w:ascii="宋体" w:eastAsia="宋体" w:hint="eastAsia"/>
                <w:sz w:val="18"/>
              </w:rPr>
            </w:pPr>
            <w:r>
              <w:rPr>
                <w:sz w:val="18"/>
              </w:rPr>
              <w:t>3 </w:t>
            </w:r>
            <w:r>
              <w:rPr>
                <w:rFonts w:ascii="宋体" w:eastAsia="宋体" w:hint="eastAsia"/>
                <w:sz w:val="18"/>
              </w:rPr>
              <w:t>年以上</w:t>
            </w:r>
          </w:p>
        </w:tc>
        <w:tc>
          <w:tcPr>
            <w:tcW w:w="3075" w:type="dxa"/>
            <w:tcBorders>
              <w:left w:val="single" w:sz="4" w:space="0" w:color="000000"/>
              <w:bottom w:val="single" w:sz="4" w:space="0" w:color="000000"/>
              <w:right w:val="single" w:sz="4" w:space="0" w:color="000000"/>
            </w:tcBorders>
          </w:tcPr>
          <w:p>
            <w:pPr>
              <w:pStyle w:val="TableParagraph"/>
              <w:spacing w:before="79"/>
              <w:ind w:right="89"/>
              <w:jc w:val="right"/>
              <w:rPr>
                <w:sz w:val="18"/>
              </w:rPr>
            </w:pPr>
            <w:r>
              <w:rPr>
                <w:sz w:val="18"/>
              </w:rPr>
              <w:t>75,201,513.32</w:t>
            </w:r>
          </w:p>
        </w:tc>
        <w:tc>
          <w:tcPr>
            <w:tcW w:w="2667" w:type="dxa"/>
            <w:tcBorders>
              <w:left w:val="single" w:sz="4" w:space="0" w:color="000000"/>
              <w:bottom w:val="single" w:sz="4" w:space="0" w:color="000000"/>
            </w:tcBorders>
          </w:tcPr>
          <w:p>
            <w:pPr>
              <w:pStyle w:val="TableParagraph"/>
              <w:spacing w:before="79"/>
              <w:ind w:right="81"/>
              <w:jc w:val="right"/>
              <w:rPr>
                <w:sz w:val="18"/>
              </w:rPr>
            </w:pPr>
            <w:r>
              <w:rPr>
                <w:sz w:val="18"/>
              </w:rPr>
              <w:t>64,449,296.31</w:t>
            </w:r>
          </w:p>
        </w:tc>
      </w:tr>
      <w:tr>
        <w:trPr>
          <w:trHeight w:val="369" w:hRule="atLeast"/>
        </w:trPr>
        <w:tc>
          <w:tcPr>
            <w:tcW w:w="3068" w:type="dxa"/>
            <w:tcBorders>
              <w:top w:val="single" w:sz="4" w:space="0" w:color="000000"/>
              <w:bottom w:val="single" w:sz="4" w:space="0" w:color="000000"/>
              <w:right w:val="single" w:sz="4" w:space="0" w:color="000000"/>
            </w:tcBorders>
          </w:tcPr>
          <w:p>
            <w:pPr>
              <w:pStyle w:val="TableParagraph"/>
              <w:spacing w:before="67"/>
              <w:ind w:right="886"/>
              <w:jc w:val="right"/>
              <w:rPr>
                <w:rFonts w:ascii="宋体" w:eastAsia="宋体" w:hint="eastAsia"/>
                <w:sz w:val="18"/>
              </w:rPr>
            </w:pPr>
            <w:r>
              <w:rPr>
                <w:rFonts w:ascii="宋体" w:eastAsia="宋体" w:hint="eastAsia"/>
                <w:sz w:val="18"/>
              </w:rPr>
              <w:t>其他应收款余额</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before="76"/>
              <w:ind w:right="89"/>
              <w:jc w:val="right"/>
              <w:rPr>
                <w:sz w:val="18"/>
              </w:rPr>
            </w:pPr>
            <w:r>
              <w:rPr>
                <w:sz w:val="18"/>
              </w:rPr>
              <w:t>1,485,422,826.54</w:t>
            </w:r>
          </w:p>
        </w:tc>
        <w:tc>
          <w:tcPr>
            <w:tcW w:w="2667" w:type="dxa"/>
            <w:tcBorders>
              <w:top w:val="single" w:sz="4" w:space="0" w:color="000000"/>
              <w:left w:val="single" w:sz="4" w:space="0" w:color="000000"/>
              <w:bottom w:val="single" w:sz="4" w:space="0" w:color="000000"/>
            </w:tcBorders>
          </w:tcPr>
          <w:p>
            <w:pPr>
              <w:pStyle w:val="TableParagraph"/>
              <w:spacing w:before="76"/>
              <w:ind w:right="79"/>
              <w:jc w:val="right"/>
              <w:rPr>
                <w:sz w:val="18"/>
              </w:rPr>
            </w:pPr>
            <w:r>
              <w:rPr>
                <w:sz w:val="18"/>
              </w:rPr>
              <w:t>1,957,777,413.38</w:t>
            </w:r>
          </w:p>
        </w:tc>
      </w:tr>
      <w:tr>
        <w:trPr>
          <w:trHeight w:val="366" w:hRule="atLeast"/>
        </w:trPr>
        <w:tc>
          <w:tcPr>
            <w:tcW w:w="3068" w:type="dxa"/>
            <w:tcBorders>
              <w:top w:val="single" w:sz="4" w:space="0" w:color="000000"/>
              <w:bottom w:val="single" w:sz="4" w:space="0" w:color="000000"/>
              <w:right w:val="single" w:sz="4" w:space="0" w:color="000000"/>
            </w:tcBorders>
          </w:tcPr>
          <w:p>
            <w:pPr>
              <w:pStyle w:val="TableParagraph"/>
              <w:spacing w:before="67"/>
              <w:ind w:left="105"/>
              <w:rPr>
                <w:rFonts w:ascii="宋体" w:eastAsia="宋体" w:hint="eastAsia"/>
                <w:sz w:val="18"/>
              </w:rPr>
            </w:pPr>
            <w:r>
              <w:rPr>
                <w:rFonts w:ascii="宋体" w:eastAsia="宋体" w:hint="eastAsia"/>
                <w:sz w:val="18"/>
              </w:rPr>
              <w:t>坏账准备</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before="76"/>
              <w:ind w:right="89"/>
              <w:jc w:val="right"/>
              <w:rPr>
                <w:sz w:val="18"/>
              </w:rPr>
            </w:pPr>
            <w:r>
              <w:rPr>
                <w:sz w:val="18"/>
              </w:rPr>
              <w:t>95,658,545.22</w:t>
            </w:r>
          </w:p>
        </w:tc>
        <w:tc>
          <w:tcPr>
            <w:tcW w:w="2667" w:type="dxa"/>
            <w:tcBorders>
              <w:top w:val="single" w:sz="4" w:space="0" w:color="000000"/>
              <w:left w:val="single" w:sz="4" w:space="0" w:color="000000"/>
              <w:bottom w:val="single" w:sz="4" w:space="0" w:color="000000"/>
            </w:tcBorders>
          </w:tcPr>
          <w:p>
            <w:pPr>
              <w:pStyle w:val="TableParagraph"/>
              <w:spacing w:before="76"/>
              <w:ind w:right="79"/>
              <w:jc w:val="right"/>
              <w:rPr>
                <w:sz w:val="18"/>
              </w:rPr>
            </w:pPr>
            <w:r>
              <w:rPr>
                <w:sz w:val="18"/>
              </w:rPr>
              <w:t>71,794,038.52</w:t>
            </w:r>
          </w:p>
        </w:tc>
      </w:tr>
      <w:tr>
        <w:trPr>
          <w:trHeight w:val="368" w:hRule="atLeast"/>
        </w:trPr>
        <w:tc>
          <w:tcPr>
            <w:tcW w:w="3068" w:type="dxa"/>
            <w:tcBorders>
              <w:top w:val="single" w:sz="4" w:space="0" w:color="000000"/>
              <w:right w:val="single" w:sz="4" w:space="0" w:color="000000"/>
            </w:tcBorders>
          </w:tcPr>
          <w:p>
            <w:pPr>
              <w:pStyle w:val="TableParagraph"/>
              <w:spacing w:before="69"/>
              <w:ind w:right="886"/>
              <w:jc w:val="right"/>
              <w:rPr>
                <w:rFonts w:ascii="宋体" w:eastAsia="宋体" w:hint="eastAsia"/>
                <w:sz w:val="18"/>
              </w:rPr>
            </w:pPr>
            <w:r>
              <w:rPr>
                <w:rFonts w:ascii="宋体" w:eastAsia="宋体" w:hint="eastAsia"/>
                <w:sz w:val="18"/>
              </w:rPr>
              <w:t>其他应收款净额</w:t>
            </w:r>
          </w:p>
        </w:tc>
        <w:tc>
          <w:tcPr>
            <w:tcW w:w="3075" w:type="dxa"/>
            <w:tcBorders>
              <w:top w:val="single" w:sz="4" w:space="0" w:color="000000"/>
              <w:left w:val="single" w:sz="4" w:space="0" w:color="000000"/>
              <w:right w:val="single" w:sz="4" w:space="0" w:color="000000"/>
            </w:tcBorders>
          </w:tcPr>
          <w:p>
            <w:pPr>
              <w:pStyle w:val="TableParagraph"/>
              <w:spacing w:before="76"/>
              <w:ind w:right="89"/>
              <w:jc w:val="right"/>
              <w:rPr>
                <w:sz w:val="18"/>
              </w:rPr>
            </w:pPr>
            <w:r>
              <w:rPr>
                <w:sz w:val="18"/>
              </w:rPr>
              <w:t>1,389,764,281.32</w:t>
            </w:r>
          </w:p>
        </w:tc>
        <w:tc>
          <w:tcPr>
            <w:tcW w:w="2667" w:type="dxa"/>
            <w:tcBorders>
              <w:top w:val="single" w:sz="4" w:space="0" w:color="000000"/>
              <w:left w:val="single" w:sz="4" w:space="0" w:color="000000"/>
            </w:tcBorders>
          </w:tcPr>
          <w:p>
            <w:pPr>
              <w:pStyle w:val="TableParagraph"/>
              <w:spacing w:before="76"/>
              <w:ind w:right="79"/>
              <w:jc w:val="right"/>
              <w:rPr>
                <w:sz w:val="18"/>
              </w:rPr>
            </w:pPr>
            <w:r>
              <w:rPr>
                <w:sz w:val="18"/>
              </w:rPr>
              <w:t>1,885,983,374.86</w:t>
            </w:r>
          </w:p>
        </w:tc>
      </w:tr>
    </w:tbl>
    <w:p>
      <w:pPr>
        <w:pStyle w:val="BodyText"/>
        <w:spacing w:before="9"/>
        <w:rPr>
          <w:sz w:val="7"/>
        </w:rPr>
      </w:pPr>
    </w:p>
    <w:p>
      <w:pPr>
        <w:pStyle w:val="BodyText"/>
        <w:spacing w:before="78"/>
        <w:ind w:left="1898"/>
      </w:pPr>
      <w:r>
        <w:rPr/>
        <w:t>② 期末其他应收款中前 </w:t>
      </w:r>
      <w:r>
        <w:rPr>
          <w:rFonts w:ascii="Times New Roman" w:hAnsi="Times New Roman" w:eastAsia="Times New Roman"/>
        </w:rPr>
        <w:t>5 </w:t>
      </w:r>
      <w:r>
        <w:rPr/>
        <w:t>名的金额总计为 </w:t>
      </w:r>
      <w:r>
        <w:rPr>
          <w:rFonts w:ascii="Times New Roman" w:hAnsi="Times New Roman" w:eastAsia="Times New Roman"/>
        </w:rPr>
        <w:t>658,654,422.04 </w:t>
      </w:r>
      <w:r>
        <w:rPr/>
        <w:t>元，占其他应收款账面余额的</w:t>
      </w:r>
    </w:p>
    <w:p>
      <w:pPr>
        <w:pStyle w:val="BodyText"/>
        <w:spacing w:before="6"/>
        <w:rPr>
          <w:sz w:val="16"/>
        </w:rPr>
      </w:pPr>
    </w:p>
    <w:p>
      <w:pPr>
        <w:pStyle w:val="BodyText"/>
        <w:ind w:left="2258"/>
      </w:pPr>
      <w:r>
        <w:rPr>
          <w:rFonts w:ascii="Times New Roman" w:eastAsia="Times New Roman"/>
        </w:rPr>
        <w:t>44.34%</w:t>
      </w:r>
      <w:r>
        <w:rPr/>
        <w:t>。</w:t>
      </w:r>
    </w:p>
    <w:p>
      <w:pPr>
        <w:pStyle w:val="BodyText"/>
        <w:rPr>
          <w:sz w:val="22"/>
        </w:rPr>
      </w:pPr>
    </w:p>
    <w:p>
      <w:pPr>
        <w:pStyle w:val="BodyText"/>
        <w:spacing w:before="172"/>
        <w:ind w:left="1895"/>
      </w:pPr>
      <w:r>
        <w:rPr/>
        <w:t>③ 本期其他应收款坏账准备变动情况</w:t>
      </w:r>
    </w:p>
    <w:p>
      <w:pPr>
        <w:pStyle w:val="BodyText"/>
        <w:spacing w:before="3"/>
        <w:rPr>
          <w:sz w:val="12"/>
        </w:rPr>
      </w:pPr>
    </w:p>
    <w:tbl>
      <w:tblPr>
        <w:tblW w:w="0" w:type="auto"/>
        <w:jc w:val="left"/>
        <w:tblInd w:w="143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79"/>
        <w:gridCol w:w="1328"/>
        <w:gridCol w:w="1404"/>
        <w:gridCol w:w="1294"/>
        <w:gridCol w:w="1200"/>
        <w:gridCol w:w="1546"/>
        <w:gridCol w:w="1313"/>
      </w:tblGrid>
      <w:tr>
        <w:trPr>
          <w:trHeight w:val="368" w:hRule="atLeast"/>
        </w:trPr>
        <w:tc>
          <w:tcPr>
            <w:tcW w:w="979" w:type="dxa"/>
            <w:vMerge w:val="restart"/>
            <w:tcBorders>
              <w:bottom w:val="single" w:sz="4" w:space="0" w:color="000000"/>
              <w:right w:val="single" w:sz="4" w:space="0" w:color="000000"/>
            </w:tcBorders>
          </w:tcPr>
          <w:p>
            <w:pPr>
              <w:pStyle w:val="TableParagraph"/>
              <w:spacing w:before="5"/>
              <w:rPr>
                <w:rFonts w:ascii="宋体"/>
                <w:sz w:val="15"/>
              </w:rPr>
            </w:pPr>
          </w:p>
          <w:p>
            <w:pPr>
              <w:pStyle w:val="TableParagraph"/>
              <w:ind w:left="306"/>
              <w:rPr>
                <w:rFonts w:ascii="Microsoft JhengHei" w:eastAsia="Microsoft JhengHei" w:hint="eastAsia"/>
                <w:b/>
                <w:sz w:val="18"/>
              </w:rPr>
            </w:pPr>
            <w:r>
              <w:rPr>
                <w:rFonts w:ascii="Microsoft JhengHei" w:eastAsia="Microsoft JhengHei" w:hint="eastAsia"/>
                <w:b/>
                <w:sz w:val="18"/>
              </w:rPr>
              <w:t>项目</w:t>
            </w:r>
          </w:p>
        </w:tc>
        <w:tc>
          <w:tcPr>
            <w:tcW w:w="1328" w:type="dxa"/>
            <w:vMerge w:val="restart"/>
            <w:tcBorders>
              <w:left w:val="single" w:sz="4" w:space="0" w:color="000000"/>
              <w:bottom w:val="single" w:sz="4" w:space="0" w:color="000000"/>
              <w:right w:val="single" w:sz="4" w:space="0" w:color="000000"/>
            </w:tcBorders>
          </w:tcPr>
          <w:p>
            <w:pPr>
              <w:pStyle w:val="TableParagraph"/>
              <w:spacing w:before="5"/>
              <w:rPr>
                <w:rFonts w:ascii="宋体"/>
                <w:sz w:val="15"/>
              </w:rPr>
            </w:pPr>
          </w:p>
          <w:p>
            <w:pPr>
              <w:pStyle w:val="TableParagraph"/>
              <w:ind w:left="311"/>
              <w:rPr>
                <w:rFonts w:ascii="Microsoft JhengHei" w:eastAsia="Microsoft JhengHei" w:hint="eastAsia"/>
                <w:b/>
                <w:sz w:val="18"/>
              </w:rPr>
            </w:pPr>
            <w:r>
              <w:rPr>
                <w:rFonts w:ascii="Microsoft JhengHei" w:eastAsia="Microsoft JhengHei" w:hint="eastAsia"/>
                <w:b/>
                <w:sz w:val="18"/>
              </w:rPr>
              <w:t>期初余额</w:t>
            </w:r>
          </w:p>
        </w:tc>
        <w:tc>
          <w:tcPr>
            <w:tcW w:w="2698" w:type="dxa"/>
            <w:gridSpan w:val="2"/>
            <w:tcBorders>
              <w:left w:val="single" w:sz="4" w:space="0" w:color="000000"/>
              <w:bottom w:val="single" w:sz="4" w:space="0" w:color="000000"/>
              <w:right w:val="single" w:sz="4" w:space="0" w:color="000000"/>
            </w:tcBorders>
          </w:tcPr>
          <w:p>
            <w:pPr>
              <w:pStyle w:val="TableParagraph"/>
              <w:spacing w:before="7"/>
              <w:ind w:left="930" w:right="910"/>
              <w:jc w:val="center"/>
              <w:rPr>
                <w:rFonts w:ascii="Microsoft JhengHei" w:eastAsia="Microsoft JhengHei" w:hint="eastAsia"/>
                <w:b/>
                <w:sz w:val="18"/>
              </w:rPr>
            </w:pPr>
            <w:r>
              <w:rPr>
                <w:rFonts w:ascii="Microsoft JhengHei" w:eastAsia="Microsoft JhengHei" w:hint="eastAsia"/>
                <w:b/>
                <w:sz w:val="18"/>
              </w:rPr>
              <w:t>本期增加</w:t>
            </w:r>
          </w:p>
        </w:tc>
        <w:tc>
          <w:tcPr>
            <w:tcW w:w="2746" w:type="dxa"/>
            <w:gridSpan w:val="2"/>
            <w:tcBorders>
              <w:left w:val="single" w:sz="4" w:space="0" w:color="000000"/>
              <w:bottom w:val="single" w:sz="4" w:space="0" w:color="000000"/>
              <w:right w:val="single" w:sz="4" w:space="0" w:color="000000"/>
            </w:tcBorders>
          </w:tcPr>
          <w:p>
            <w:pPr>
              <w:pStyle w:val="TableParagraph"/>
              <w:spacing w:before="7"/>
              <w:ind w:left="998" w:right="978"/>
              <w:jc w:val="center"/>
              <w:rPr>
                <w:rFonts w:ascii="Microsoft JhengHei" w:eastAsia="Microsoft JhengHei" w:hint="eastAsia"/>
                <w:b/>
                <w:sz w:val="18"/>
              </w:rPr>
            </w:pPr>
            <w:r>
              <w:rPr>
                <w:rFonts w:ascii="Microsoft JhengHei" w:eastAsia="Microsoft JhengHei" w:hint="eastAsia"/>
                <w:b/>
                <w:sz w:val="18"/>
              </w:rPr>
              <w:t>本期减少</w:t>
            </w:r>
          </w:p>
        </w:tc>
        <w:tc>
          <w:tcPr>
            <w:tcW w:w="1313" w:type="dxa"/>
            <w:vMerge w:val="restart"/>
            <w:tcBorders>
              <w:left w:val="single" w:sz="4" w:space="0" w:color="000000"/>
              <w:bottom w:val="single" w:sz="4" w:space="0" w:color="000000"/>
            </w:tcBorders>
          </w:tcPr>
          <w:p>
            <w:pPr>
              <w:pStyle w:val="TableParagraph"/>
              <w:spacing w:before="5"/>
              <w:rPr>
                <w:rFonts w:ascii="宋体"/>
                <w:sz w:val="15"/>
              </w:rPr>
            </w:pPr>
          </w:p>
          <w:p>
            <w:pPr>
              <w:pStyle w:val="TableParagraph"/>
              <w:ind w:left="304"/>
              <w:rPr>
                <w:rFonts w:ascii="Microsoft JhengHei" w:eastAsia="Microsoft JhengHei" w:hint="eastAsia"/>
                <w:b/>
                <w:sz w:val="18"/>
              </w:rPr>
            </w:pPr>
            <w:r>
              <w:rPr>
                <w:rFonts w:ascii="Microsoft JhengHei" w:eastAsia="Microsoft JhengHei" w:hint="eastAsia"/>
                <w:b/>
                <w:sz w:val="18"/>
              </w:rPr>
              <w:t>期末余额</w:t>
            </w:r>
          </w:p>
        </w:tc>
      </w:tr>
      <w:tr>
        <w:trPr>
          <w:trHeight w:val="369" w:hRule="atLeast"/>
        </w:trPr>
        <w:tc>
          <w:tcPr>
            <w:tcW w:w="979" w:type="dxa"/>
            <w:vMerge/>
            <w:tcBorders>
              <w:top w:val="nil"/>
              <w:bottom w:val="single" w:sz="4" w:space="0" w:color="000000"/>
              <w:right w:val="single" w:sz="4" w:space="0" w:color="000000"/>
            </w:tcBorders>
          </w:tcPr>
          <w:p>
            <w:pPr>
              <w:rPr>
                <w:sz w:val="2"/>
                <w:szCs w:val="2"/>
              </w:rPr>
            </w:pPr>
          </w:p>
        </w:tc>
        <w:tc>
          <w:tcPr>
            <w:tcW w:w="1328" w:type="dxa"/>
            <w:vMerge/>
            <w:tcBorders>
              <w:top w:val="nil"/>
              <w:left w:val="single" w:sz="4" w:space="0" w:color="000000"/>
              <w:bottom w:val="single" w:sz="4" w:space="0" w:color="000000"/>
              <w:right w:val="single" w:sz="4" w:space="0" w:color="000000"/>
            </w:tcBorders>
          </w:tcPr>
          <w:p>
            <w:pPr>
              <w:rPr>
                <w:sz w:val="2"/>
                <w:szCs w:val="2"/>
              </w:rPr>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8"/>
              <w:ind w:left="347"/>
              <w:rPr>
                <w:rFonts w:ascii="Microsoft JhengHei" w:eastAsia="Microsoft JhengHei" w:hint="eastAsia"/>
                <w:b/>
                <w:sz w:val="18"/>
              </w:rPr>
            </w:pPr>
            <w:r>
              <w:rPr>
                <w:rFonts w:ascii="Microsoft JhengHei" w:eastAsia="Microsoft JhengHei" w:hint="eastAsia"/>
                <w:b/>
                <w:sz w:val="18"/>
              </w:rPr>
              <w:t>本期计提</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8"/>
              <w:ind w:left="292"/>
              <w:rPr>
                <w:rFonts w:ascii="Microsoft JhengHei" w:eastAsia="Microsoft JhengHei" w:hint="eastAsia"/>
                <w:b/>
                <w:sz w:val="18"/>
              </w:rPr>
            </w:pPr>
            <w:r>
              <w:rPr>
                <w:rFonts w:ascii="Microsoft JhengHei" w:eastAsia="Microsoft JhengHei" w:hint="eastAsia"/>
                <w:b/>
                <w:sz w:val="18"/>
              </w:rPr>
              <w:t>其他增加</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before="8"/>
              <w:ind w:left="94" w:right="71"/>
              <w:jc w:val="center"/>
              <w:rPr>
                <w:rFonts w:ascii="Microsoft JhengHei" w:eastAsia="Microsoft JhengHei" w:hint="eastAsia"/>
                <w:b/>
                <w:sz w:val="18"/>
              </w:rPr>
            </w:pPr>
            <w:r>
              <w:rPr>
                <w:rFonts w:ascii="Microsoft JhengHei" w:eastAsia="Microsoft JhengHei" w:hint="eastAsia"/>
                <w:b/>
                <w:sz w:val="18"/>
              </w:rPr>
              <w:t>转回数</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before="8"/>
              <w:ind w:left="328"/>
              <w:rPr>
                <w:rFonts w:ascii="Microsoft JhengHei" w:eastAsia="Microsoft JhengHei" w:hint="eastAsia"/>
                <w:b/>
                <w:sz w:val="18"/>
              </w:rPr>
            </w:pPr>
            <w:r>
              <w:rPr>
                <w:rFonts w:ascii="Microsoft JhengHei" w:eastAsia="Microsoft JhengHei" w:hint="eastAsia"/>
                <w:b/>
                <w:sz w:val="18"/>
              </w:rPr>
              <w:t>转销及其他</w:t>
            </w:r>
          </w:p>
        </w:tc>
        <w:tc>
          <w:tcPr>
            <w:tcW w:w="1313" w:type="dxa"/>
            <w:vMerge/>
            <w:tcBorders>
              <w:top w:val="nil"/>
              <w:left w:val="single" w:sz="4" w:space="0" w:color="000000"/>
              <w:bottom w:val="single" w:sz="4" w:space="0" w:color="000000"/>
            </w:tcBorders>
          </w:tcPr>
          <w:p>
            <w:pPr>
              <w:rPr>
                <w:sz w:val="2"/>
                <w:szCs w:val="2"/>
              </w:rPr>
            </w:pPr>
          </w:p>
        </w:tc>
      </w:tr>
      <w:tr>
        <w:trPr>
          <w:trHeight w:val="366" w:hRule="atLeast"/>
        </w:trPr>
        <w:tc>
          <w:tcPr>
            <w:tcW w:w="979" w:type="dxa"/>
            <w:tcBorders>
              <w:top w:val="single" w:sz="4" w:space="0" w:color="000000"/>
              <w:right w:val="single" w:sz="4" w:space="0" w:color="000000"/>
            </w:tcBorders>
          </w:tcPr>
          <w:p>
            <w:pPr>
              <w:pStyle w:val="TableParagraph"/>
              <w:spacing w:before="67"/>
              <w:ind w:left="128"/>
              <w:rPr>
                <w:rFonts w:ascii="宋体" w:eastAsia="宋体" w:hint="eastAsia"/>
                <w:sz w:val="18"/>
              </w:rPr>
            </w:pPr>
            <w:r>
              <w:rPr>
                <w:rFonts w:ascii="宋体" w:eastAsia="宋体" w:hint="eastAsia"/>
                <w:sz w:val="18"/>
              </w:rPr>
              <w:t>坏账准备</w:t>
            </w:r>
          </w:p>
        </w:tc>
        <w:tc>
          <w:tcPr>
            <w:tcW w:w="1328" w:type="dxa"/>
            <w:tcBorders>
              <w:top w:val="single" w:sz="4" w:space="0" w:color="000000"/>
              <w:left w:val="single" w:sz="4" w:space="0" w:color="000000"/>
              <w:right w:val="single" w:sz="4" w:space="0" w:color="000000"/>
            </w:tcBorders>
          </w:tcPr>
          <w:p>
            <w:pPr>
              <w:pStyle w:val="TableParagraph"/>
              <w:spacing w:before="76"/>
              <w:ind w:left="194"/>
              <w:rPr>
                <w:sz w:val="18"/>
              </w:rPr>
            </w:pPr>
            <w:r>
              <w:rPr>
                <w:sz w:val="18"/>
              </w:rPr>
              <w:t>71,794,038.52</w:t>
            </w:r>
          </w:p>
        </w:tc>
        <w:tc>
          <w:tcPr>
            <w:tcW w:w="1404" w:type="dxa"/>
            <w:tcBorders>
              <w:top w:val="single" w:sz="4" w:space="0" w:color="000000"/>
              <w:left w:val="single" w:sz="4" w:space="0" w:color="000000"/>
              <w:right w:val="single" w:sz="4" w:space="0" w:color="000000"/>
            </w:tcBorders>
          </w:tcPr>
          <w:p>
            <w:pPr>
              <w:pStyle w:val="TableParagraph"/>
              <w:spacing w:before="76"/>
              <w:ind w:left="270"/>
              <w:rPr>
                <w:sz w:val="18"/>
              </w:rPr>
            </w:pPr>
            <w:r>
              <w:rPr>
                <w:sz w:val="18"/>
              </w:rPr>
              <w:t>36,606,052.37</w:t>
            </w:r>
          </w:p>
        </w:tc>
        <w:tc>
          <w:tcPr>
            <w:tcW w:w="1294" w:type="dxa"/>
            <w:tcBorders>
              <w:top w:val="single" w:sz="4" w:space="0" w:color="000000"/>
              <w:left w:val="single" w:sz="4" w:space="0" w:color="000000"/>
              <w:right w:val="single" w:sz="4" w:space="0" w:color="000000"/>
            </w:tcBorders>
          </w:tcPr>
          <w:p>
            <w:pPr>
              <w:pStyle w:val="TableParagraph"/>
              <w:rPr>
                <w:sz w:val="18"/>
              </w:rPr>
            </w:pPr>
          </w:p>
        </w:tc>
        <w:tc>
          <w:tcPr>
            <w:tcW w:w="1200" w:type="dxa"/>
            <w:tcBorders>
              <w:top w:val="single" w:sz="4" w:space="0" w:color="000000"/>
              <w:left w:val="single" w:sz="4" w:space="0" w:color="000000"/>
              <w:right w:val="single" w:sz="4" w:space="0" w:color="000000"/>
            </w:tcBorders>
          </w:tcPr>
          <w:p>
            <w:pPr>
              <w:pStyle w:val="TableParagraph"/>
              <w:spacing w:before="76"/>
              <w:ind w:left="133" w:right="71"/>
              <w:jc w:val="center"/>
              <w:rPr>
                <w:sz w:val="18"/>
              </w:rPr>
            </w:pPr>
            <w:r>
              <w:rPr>
                <w:sz w:val="18"/>
              </w:rPr>
              <w:t>1,477,095.36</w:t>
            </w:r>
          </w:p>
        </w:tc>
        <w:tc>
          <w:tcPr>
            <w:tcW w:w="1546" w:type="dxa"/>
            <w:tcBorders>
              <w:top w:val="single" w:sz="4" w:space="0" w:color="000000"/>
              <w:left w:val="single" w:sz="4" w:space="0" w:color="000000"/>
              <w:right w:val="single" w:sz="4" w:space="0" w:color="000000"/>
            </w:tcBorders>
          </w:tcPr>
          <w:p>
            <w:pPr>
              <w:pStyle w:val="TableParagraph"/>
              <w:spacing w:before="76"/>
              <w:ind w:left="410"/>
              <w:rPr>
                <w:sz w:val="18"/>
              </w:rPr>
            </w:pPr>
            <w:r>
              <w:rPr>
                <w:sz w:val="18"/>
              </w:rPr>
              <w:t>11,264,450.31</w:t>
            </w:r>
          </w:p>
        </w:tc>
        <w:tc>
          <w:tcPr>
            <w:tcW w:w="1313" w:type="dxa"/>
            <w:tcBorders>
              <w:top w:val="single" w:sz="4" w:space="0" w:color="000000"/>
              <w:left w:val="single" w:sz="4" w:space="0" w:color="000000"/>
            </w:tcBorders>
          </w:tcPr>
          <w:p>
            <w:pPr>
              <w:pStyle w:val="TableParagraph"/>
              <w:spacing w:before="76"/>
              <w:ind w:left="179"/>
              <w:rPr>
                <w:sz w:val="18"/>
              </w:rPr>
            </w:pPr>
            <w:r>
              <w:rPr>
                <w:sz w:val="18"/>
              </w:rPr>
              <w:t>95,658,545.22</w:t>
            </w:r>
          </w:p>
        </w:tc>
      </w:tr>
    </w:tbl>
    <w:p>
      <w:pPr>
        <w:pStyle w:val="BodyText"/>
        <w:spacing w:before="176"/>
        <w:ind w:left="1898"/>
      </w:pPr>
      <w:r>
        <w:rPr/>
        <w:t>④ 本期核销的其他应收款情况</w:t>
      </w:r>
    </w:p>
    <w:p>
      <w:pPr>
        <w:pStyle w:val="BodyText"/>
        <w:spacing w:before="6"/>
        <w:rPr>
          <w:sz w:val="16"/>
        </w:rPr>
      </w:pPr>
    </w:p>
    <w:p>
      <w:pPr>
        <w:pStyle w:val="BodyText"/>
        <w:ind w:left="1898"/>
      </w:pPr>
      <w:r>
        <w:rPr/>
        <w:t>本期实际核销的其他应收款金额为 </w:t>
      </w:r>
      <w:r>
        <w:rPr>
          <w:rFonts w:ascii="Times New Roman" w:eastAsia="Times New Roman"/>
        </w:rPr>
        <w:t>7,241,607.86 </w:t>
      </w:r>
      <w:r>
        <w:rPr/>
        <w:t>元，无重要的其他应收款坏账核销。</w:t>
      </w:r>
    </w:p>
    <w:p>
      <w:pPr>
        <w:pStyle w:val="BodyText"/>
        <w:spacing w:before="6"/>
        <w:rPr>
          <w:sz w:val="16"/>
        </w:rPr>
      </w:pPr>
    </w:p>
    <w:p>
      <w:pPr>
        <w:pStyle w:val="BodyText"/>
        <w:ind w:left="1898"/>
      </w:pPr>
      <w:r>
        <w:rPr/>
        <w:t>⑤ 其他应收款主要包括押金、质保金、员工借款、退税款、代垫款项等。 </w:t>
      </w:r>
    </w:p>
    <w:p>
      <w:pPr>
        <w:pStyle w:val="BodyText"/>
        <w:spacing w:before="2"/>
      </w:pPr>
    </w:p>
    <w:p>
      <w:pPr>
        <w:pStyle w:val="Heading4"/>
      </w:pPr>
      <w:r>
        <w:rPr>
          <w:rFonts w:ascii="Times New Roman" w:eastAsia="Times New Roman"/>
        </w:rPr>
        <w:t>8</w:t>
      </w:r>
      <w:r>
        <w:rPr/>
        <w:t>、 存货</w:t>
      </w:r>
    </w:p>
    <w:p>
      <w:pPr>
        <w:pStyle w:val="ListParagraph"/>
        <w:numPr>
          <w:ilvl w:val="0"/>
          <w:numId w:val="55"/>
        </w:numPr>
        <w:tabs>
          <w:tab w:pos="2425" w:val="left" w:leader="none"/>
        </w:tabs>
        <w:spacing w:line="240" w:lineRule="auto" w:before="187" w:after="0"/>
        <w:ind w:left="2424" w:right="0" w:hanging="530"/>
        <w:jc w:val="left"/>
        <w:rPr>
          <w:sz w:val="21"/>
        </w:rPr>
      </w:pPr>
      <w:r>
        <w:rPr>
          <w:spacing w:val="-3"/>
          <w:sz w:val="21"/>
        </w:rPr>
        <w:t>存货明细情况</w:t>
      </w:r>
    </w:p>
    <w:p>
      <w:pPr>
        <w:pStyle w:val="BodyText"/>
        <w:spacing w:before="3"/>
        <w:rPr>
          <w:sz w:val="12"/>
        </w:rPr>
      </w:pPr>
    </w:p>
    <w:tbl>
      <w:tblPr>
        <w:tblW w:w="0" w:type="auto"/>
        <w:jc w:val="left"/>
        <w:tblInd w:w="170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39"/>
        <w:gridCol w:w="1702"/>
        <w:gridCol w:w="1700"/>
        <w:gridCol w:w="1748"/>
        <w:gridCol w:w="1548"/>
      </w:tblGrid>
      <w:tr>
        <w:trPr>
          <w:trHeight w:val="340" w:hRule="atLeast"/>
        </w:trPr>
        <w:tc>
          <w:tcPr>
            <w:tcW w:w="1839" w:type="dxa"/>
            <w:vMerge w:val="restart"/>
            <w:tcBorders>
              <w:bottom w:val="single" w:sz="4" w:space="0" w:color="000000"/>
              <w:right w:val="single" w:sz="4" w:space="0" w:color="000000"/>
            </w:tcBorders>
          </w:tcPr>
          <w:p>
            <w:pPr>
              <w:pStyle w:val="TableParagraph"/>
              <w:spacing w:before="1"/>
              <w:rPr>
                <w:rFonts w:ascii="宋体"/>
                <w:sz w:val="14"/>
              </w:rPr>
            </w:pPr>
          </w:p>
          <w:p>
            <w:pPr>
              <w:pStyle w:val="TableParagraph"/>
              <w:ind w:left="87" w:right="69"/>
              <w:jc w:val="center"/>
              <w:rPr>
                <w:rFonts w:ascii="Microsoft JhengHei" w:eastAsia="Microsoft JhengHei" w:hint="eastAsia"/>
                <w:b/>
                <w:sz w:val="18"/>
              </w:rPr>
            </w:pPr>
            <w:r>
              <w:rPr>
                <w:rFonts w:ascii="Microsoft JhengHei" w:eastAsia="Microsoft JhengHei" w:hint="eastAsia"/>
                <w:b/>
                <w:sz w:val="18"/>
              </w:rPr>
              <w:t>项目</w:t>
            </w:r>
          </w:p>
        </w:tc>
        <w:tc>
          <w:tcPr>
            <w:tcW w:w="3402" w:type="dxa"/>
            <w:gridSpan w:val="2"/>
            <w:tcBorders>
              <w:left w:val="single" w:sz="4" w:space="0" w:color="000000"/>
              <w:bottom w:val="single" w:sz="4" w:space="0" w:color="000000"/>
              <w:right w:val="single" w:sz="4" w:space="0" w:color="000000"/>
            </w:tcBorders>
          </w:tcPr>
          <w:p>
            <w:pPr>
              <w:pStyle w:val="TableParagraph"/>
              <w:spacing w:line="320" w:lineRule="exact"/>
              <w:ind w:left="1329" w:right="1302"/>
              <w:jc w:val="center"/>
              <w:rPr>
                <w:rFonts w:ascii="Microsoft JhengHei" w:eastAsia="Microsoft JhengHei" w:hint="eastAsia"/>
                <w:b/>
                <w:sz w:val="18"/>
              </w:rPr>
            </w:pPr>
            <w:r>
              <w:rPr>
                <w:rFonts w:ascii="Microsoft JhengHei" w:eastAsia="Microsoft JhengHei" w:hint="eastAsia"/>
                <w:b/>
                <w:sz w:val="18"/>
              </w:rPr>
              <w:t>期末余额</w:t>
            </w:r>
          </w:p>
        </w:tc>
        <w:tc>
          <w:tcPr>
            <w:tcW w:w="3296" w:type="dxa"/>
            <w:gridSpan w:val="2"/>
            <w:tcBorders>
              <w:left w:val="single" w:sz="4" w:space="0" w:color="000000"/>
              <w:bottom w:val="single" w:sz="4" w:space="0" w:color="000000"/>
            </w:tcBorders>
          </w:tcPr>
          <w:p>
            <w:pPr>
              <w:pStyle w:val="TableParagraph"/>
              <w:spacing w:line="320" w:lineRule="exact"/>
              <w:ind w:left="1275" w:right="1239"/>
              <w:jc w:val="center"/>
              <w:rPr>
                <w:rFonts w:ascii="Microsoft JhengHei" w:eastAsia="Microsoft JhengHei" w:hint="eastAsia"/>
                <w:b/>
                <w:sz w:val="18"/>
              </w:rPr>
            </w:pPr>
            <w:r>
              <w:rPr>
                <w:rFonts w:ascii="Microsoft JhengHei" w:eastAsia="Microsoft JhengHei" w:hint="eastAsia"/>
                <w:b/>
                <w:sz w:val="18"/>
              </w:rPr>
              <w:t>期初余额</w:t>
            </w:r>
          </w:p>
        </w:tc>
      </w:tr>
      <w:tr>
        <w:trPr>
          <w:trHeight w:val="359" w:hRule="atLeast"/>
        </w:trPr>
        <w:tc>
          <w:tcPr>
            <w:tcW w:w="1839" w:type="dxa"/>
            <w:vMerge/>
            <w:tcBorders>
              <w:top w:val="nil"/>
              <w:bottom w:val="single" w:sz="4" w:space="0" w:color="000000"/>
              <w:right w:val="single" w:sz="4" w:space="0" w:color="000000"/>
            </w:tcBorders>
          </w:tcPr>
          <w:p>
            <w:pPr>
              <w:rPr>
                <w:sz w:val="2"/>
                <w:szCs w:val="2"/>
              </w:rPr>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2"/>
              <w:ind w:left="498"/>
              <w:rPr>
                <w:rFonts w:ascii="Microsoft JhengHei" w:eastAsia="Microsoft JhengHei" w:hint="eastAsia"/>
                <w:b/>
                <w:sz w:val="18"/>
              </w:rPr>
            </w:pPr>
            <w:r>
              <w:rPr>
                <w:rFonts w:ascii="Microsoft JhengHei" w:eastAsia="Microsoft JhengHei" w:hint="eastAsia"/>
                <w:b/>
                <w:sz w:val="18"/>
              </w:rPr>
              <w:t>账面余额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before="2"/>
              <w:ind w:left="496"/>
              <w:rPr>
                <w:rFonts w:ascii="Microsoft JhengHei" w:eastAsia="Microsoft JhengHei" w:hint="eastAsia"/>
                <w:b/>
                <w:sz w:val="18"/>
              </w:rPr>
            </w:pPr>
            <w:r>
              <w:rPr>
                <w:rFonts w:ascii="Microsoft JhengHei" w:eastAsia="Microsoft JhengHei" w:hint="eastAsia"/>
                <w:b/>
                <w:sz w:val="18"/>
              </w:rPr>
              <w:t>跌价准备</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before="2"/>
              <w:ind w:left="519"/>
              <w:rPr>
                <w:rFonts w:ascii="Microsoft JhengHei" w:eastAsia="Microsoft JhengHei" w:hint="eastAsia"/>
                <w:b/>
                <w:sz w:val="18"/>
              </w:rPr>
            </w:pPr>
            <w:r>
              <w:rPr>
                <w:rFonts w:ascii="Microsoft JhengHei" w:eastAsia="Microsoft JhengHei" w:hint="eastAsia"/>
                <w:b/>
                <w:sz w:val="18"/>
              </w:rPr>
              <w:t>账面余额</w:t>
            </w:r>
          </w:p>
        </w:tc>
        <w:tc>
          <w:tcPr>
            <w:tcW w:w="1548" w:type="dxa"/>
            <w:tcBorders>
              <w:top w:val="single" w:sz="4" w:space="0" w:color="000000"/>
              <w:left w:val="single" w:sz="4" w:space="0" w:color="000000"/>
              <w:bottom w:val="single" w:sz="4" w:space="0" w:color="000000"/>
            </w:tcBorders>
          </w:tcPr>
          <w:p>
            <w:pPr>
              <w:pStyle w:val="TableParagraph"/>
              <w:spacing w:before="2"/>
              <w:ind w:left="421"/>
              <w:rPr>
                <w:rFonts w:ascii="Microsoft JhengHei" w:eastAsia="Microsoft JhengHei" w:hint="eastAsia"/>
                <w:b/>
                <w:sz w:val="18"/>
              </w:rPr>
            </w:pPr>
            <w:r>
              <w:rPr>
                <w:rFonts w:ascii="Microsoft JhengHei" w:eastAsia="Microsoft JhengHei" w:hint="eastAsia"/>
                <w:b/>
                <w:sz w:val="18"/>
              </w:rPr>
              <w:t>跌价准备</w:t>
            </w:r>
          </w:p>
        </w:tc>
      </w:tr>
      <w:tr>
        <w:trPr>
          <w:trHeight w:val="357" w:hRule="atLeast"/>
        </w:trPr>
        <w:tc>
          <w:tcPr>
            <w:tcW w:w="1839" w:type="dxa"/>
            <w:tcBorders>
              <w:top w:val="single" w:sz="4" w:space="0" w:color="000000"/>
              <w:bottom w:val="single" w:sz="4" w:space="0" w:color="000000"/>
              <w:right w:val="single" w:sz="4" w:space="0" w:color="000000"/>
            </w:tcBorders>
          </w:tcPr>
          <w:p>
            <w:pPr>
              <w:pStyle w:val="TableParagraph"/>
              <w:spacing w:before="62"/>
              <w:ind w:left="107"/>
              <w:rPr>
                <w:rFonts w:ascii="宋体" w:eastAsia="宋体" w:hint="eastAsia"/>
                <w:sz w:val="18"/>
              </w:rPr>
            </w:pPr>
            <w:r>
              <w:rPr>
                <w:rFonts w:ascii="宋体" w:eastAsia="宋体" w:hint="eastAsia"/>
                <w:sz w:val="18"/>
              </w:rPr>
              <w:t>原材料</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71"/>
              <w:ind w:right="87"/>
              <w:jc w:val="right"/>
              <w:rPr>
                <w:sz w:val="18"/>
              </w:rPr>
            </w:pPr>
            <w:r>
              <w:rPr>
                <w:sz w:val="18"/>
              </w:rPr>
              <w:t>2,785,611,125.08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before="71"/>
              <w:ind w:right="87"/>
              <w:jc w:val="right"/>
              <w:rPr>
                <w:sz w:val="18"/>
              </w:rPr>
            </w:pPr>
            <w:r>
              <w:rPr>
                <w:sz w:val="18"/>
              </w:rPr>
              <w:t>115,958,355.70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before="71"/>
              <w:ind w:right="88"/>
              <w:jc w:val="right"/>
              <w:rPr>
                <w:sz w:val="18"/>
              </w:rPr>
            </w:pPr>
            <w:r>
              <w:rPr>
                <w:sz w:val="18"/>
              </w:rPr>
              <w:t>3,068,331,798.61</w:t>
            </w:r>
          </w:p>
        </w:tc>
        <w:tc>
          <w:tcPr>
            <w:tcW w:w="1548" w:type="dxa"/>
            <w:tcBorders>
              <w:top w:val="single" w:sz="4" w:space="0" w:color="000000"/>
              <w:left w:val="single" w:sz="4" w:space="0" w:color="000000"/>
              <w:bottom w:val="single" w:sz="4" w:space="0" w:color="000000"/>
            </w:tcBorders>
          </w:tcPr>
          <w:p>
            <w:pPr>
              <w:pStyle w:val="TableParagraph"/>
              <w:spacing w:before="71"/>
              <w:ind w:right="77"/>
              <w:jc w:val="right"/>
              <w:rPr>
                <w:sz w:val="18"/>
              </w:rPr>
            </w:pPr>
            <w:r>
              <w:rPr>
                <w:sz w:val="18"/>
              </w:rPr>
              <w:t>115,668,613.58</w:t>
            </w:r>
          </w:p>
        </w:tc>
      </w:tr>
      <w:tr>
        <w:trPr>
          <w:trHeight w:val="359" w:hRule="atLeast"/>
        </w:trPr>
        <w:tc>
          <w:tcPr>
            <w:tcW w:w="1839" w:type="dxa"/>
            <w:tcBorders>
              <w:top w:val="single" w:sz="4" w:space="0" w:color="000000"/>
              <w:bottom w:val="single" w:sz="4" w:space="0" w:color="000000"/>
              <w:right w:val="single" w:sz="4" w:space="0" w:color="000000"/>
            </w:tcBorders>
          </w:tcPr>
          <w:p>
            <w:pPr>
              <w:pStyle w:val="TableParagraph"/>
              <w:spacing w:before="64"/>
              <w:ind w:left="107"/>
              <w:rPr>
                <w:rFonts w:ascii="宋体" w:eastAsia="宋体" w:hint="eastAsia"/>
                <w:sz w:val="18"/>
              </w:rPr>
            </w:pPr>
            <w:r>
              <w:rPr>
                <w:rFonts w:ascii="宋体" w:eastAsia="宋体" w:hint="eastAsia"/>
                <w:sz w:val="18"/>
              </w:rPr>
              <w:t>在产品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71"/>
              <w:ind w:right="87"/>
              <w:jc w:val="right"/>
              <w:rPr>
                <w:sz w:val="18"/>
              </w:rPr>
            </w:pPr>
            <w:r>
              <w:rPr>
                <w:sz w:val="18"/>
              </w:rPr>
              <w:t>336,866,878.61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before="71"/>
              <w:ind w:right="88"/>
              <w:jc w:val="right"/>
              <w:rPr>
                <w:sz w:val="18"/>
              </w:rPr>
            </w:pPr>
            <w:r>
              <w:rPr>
                <w:sz w:val="18"/>
              </w:rPr>
              <w:t>408,055,609.14</w:t>
            </w:r>
          </w:p>
        </w:tc>
        <w:tc>
          <w:tcPr>
            <w:tcW w:w="1548" w:type="dxa"/>
            <w:tcBorders>
              <w:top w:val="single" w:sz="4" w:space="0" w:color="000000"/>
              <w:left w:val="single" w:sz="4" w:space="0" w:color="000000"/>
              <w:bottom w:val="single" w:sz="4" w:space="0" w:color="000000"/>
            </w:tcBorders>
          </w:tcPr>
          <w:p>
            <w:pPr>
              <w:pStyle w:val="TableParagraph"/>
              <w:spacing w:before="71"/>
              <w:ind w:right="77"/>
              <w:jc w:val="right"/>
              <w:rPr>
                <w:sz w:val="18"/>
              </w:rPr>
            </w:pPr>
            <w:r>
              <w:rPr>
                <w:sz w:val="18"/>
              </w:rPr>
              <w:t>425,020.38</w:t>
            </w:r>
          </w:p>
        </w:tc>
      </w:tr>
      <w:tr>
        <w:trPr>
          <w:trHeight w:val="359" w:hRule="atLeast"/>
        </w:trPr>
        <w:tc>
          <w:tcPr>
            <w:tcW w:w="1839" w:type="dxa"/>
            <w:tcBorders>
              <w:top w:val="single" w:sz="4" w:space="0" w:color="000000"/>
              <w:bottom w:val="single" w:sz="4" w:space="0" w:color="000000"/>
              <w:right w:val="single" w:sz="4" w:space="0" w:color="000000"/>
            </w:tcBorders>
          </w:tcPr>
          <w:p>
            <w:pPr>
              <w:pStyle w:val="TableParagraph"/>
              <w:spacing w:before="64"/>
              <w:ind w:left="107"/>
              <w:rPr>
                <w:rFonts w:ascii="宋体" w:eastAsia="宋体" w:hint="eastAsia"/>
                <w:sz w:val="18"/>
              </w:rPr>
            </w:pPr>
            <w:r>
              <w:rPr>
                <w:rFonts w:ascii="宋体" w:eastAsia="宋体" w:hint="eastAsia"/>
                <w:sz w:val="18"/>
              </w:rPr>
              <w:t>库存商品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71"/>
              <w:ind w:right="87"/>
              <w:jc w:val="right"/>
              <w:rPr>
                <w:sz w:val="18"/>
              </w:rPr>
            </w:pPr>
            <w:r>
              <w:rPr>
                <w:sz w:val="18"/>
              </w:rPr>
              <w:t>27,613,569,305.90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before="71"/>
              <w:ind w:right="88"/>
              <w:jc w:val="right"/>
              <w:rPr>
                <w:sz w:val="18"/>
              </w:rPr>
            </w:pPr>
            <w:r>
              <w:rPr>
                <w:sz w:val="18"/>
              </w:rPr>
              <w:t>1,173,115,549.14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before="71"/>
              <w:ind w:right="88"/>
              <w:jc w:val="right"/>
              <w:rPr>
                <w:sz w:val="18"/>
              </w:rPr>
            </w:pPr>
            <w:r>
              <w:rPr>
                <w:sz w:val="18"/>
              </w:rPr>
              <w:t>25,720,392,258.54</w:t>
            </w:r>
          </w:p>
        </w:tc>
        <w:tc>
          <w:tcPr>
            <w:tcW w:w="1548" w:type="dxa"/>
            <w:tcBorders>
              <w:top w:val="single" w:sz="4" w:space="0" w:color="000000"/>
              <w:left w:val="single" w:sz="4" w:space="0" w:color="000000"/>
              <w:bottom w:val="single" w:sz="4" w:space="0" w:color="000000"/>
            </w:tcBorders>
          </w:tcPr>
          <w:p>
            <w:pPr>
              <w:pStyle w:val="TableParagraph"/>
              <w:spacing w:before="71"/>
              <w:ind w:right="77"/>
              <w:jc w:val="right"/>
              <w:rPr>
                <w:sz w:val="18"/>
              </w:rPr>
            </w:pPr>
            <w:r>
              <w:rPr>
                <w:sz w:val="18"/>
              </w:rPr>
              <w:t>852,085,060.72</w:t>
            </w:r>
          </w:p>
        </w:tc>
      </w:tr>
      <w:tr>
        <w:trPr>
          <w:trHeight w:val="356" w:hRule="atLeast"/>
        </w:trPr>
        <w:tc>
          <w:tcPr>
            <w:tcW w:w="1839" w:type="dxa"/>
            <w:tcBorders>
              <w:top w:val="single" w:sz="4" w:space="0" w:color="000000"/>
              <w:right w:val="single" w:sz="4" w:space="0" w:color="000000"/>
            </w:tcBorders>
          </w:tcPr>
          <w:p>
            <w:pPr>
              <w:pStyle w:val="TableParagraph"/>
              <w:spacing w:before="62"/>
              <w:ind w:left="87" w:right="69"/>
              <w:jc w:val="center"/>
              <w:rPr>
                <w:rFonts w:ascii="宋体" w:eastAsia="宋体" w:hint="eastAsia"/>
                <w:sz w:val="18"/>
              </w:rPr>
            </w:pPr>
            <w:r>
              <w:rPr>
                <w:rFonts w:ascii="宋体" w:eastAsia="宋体" w:hint="eastAsia"/>
                <w:sz w:val="18"/>
              </w:rPr>
              <w:t>合计</w:t>
            </w:r>
          </w:p>
        </w:tc>
        <w:tc>
          <w:tcPr>
            <w:tcW w:w="1702" w:type="dxa"/>
            <w:tcBorders>
              <w:top w:val="single" w:sz="4" w:space="0" w:color="000000"/>
              <w:left w:val="single" w:sz="4" w:space="0" w:color="000000"/>
              <w:right w:val="single" w:sz="4" w:space="0" w:color="000000"/>
            </w:tcBorders>
          </w:tcPr>
          <w:p>
            <w:pPr>
              <w:pStyle w:val="TableParagraph"/>
              <w:spacing w:before="71"/>
              <w:ind w:right="87"/>
              <w:jc w:val="right"/>
              <w:rPr>
                <w:sz w:val="18"/>
              </w:rPr>
            </w:pPr>
            <w:r>
              <w:rPr>
                <w:sz w:val="18"/>
              </w:rPr>
              <w:t>30,736,047,309.59</w:t>
            </w:r>
          </w:p>
        </w:tc>
        <w:tc>
          <w:tcPr>
            <w:tcW w:w="1700" w:type="dxa"/>
            <w:tcBorders>
              <w:top w:val="single" w:sz="4" w:space="0" w:color="000000"/>
              <w:left w:val="single" w:sz="4" w:space="0" w:color="000000"/>
              <w:right w:val="single" w:sz="4" w:space="0" w:color="000000"/>
            </w:tcBorders>
          </w:tcPr>
          <w:p>
            <w:pPr>
              <w:pStyle w:val="TableParagraph"/>
              <w:spacing w:before="71"/>
              <w:ind w:right="88"/>
              <w:jc w:val="right"/>
              <w:rPr>
                <w:sz w:val="18"/>
              </w:rPr>
            </w:pPr>
            <w:r>
              <w:rPr>
                <w:sz w:val="18"/>
              </w:rPr>
              <w:t>1,289,073,904.84</w:t>
            </w:r>
          </w:p>
        </w:tc>
        <w:tc>
          <w:tcPr>
            <w:tcW w:w="1748" w:type="dxa"/>
            <w:tcBorders>
              <w:top w:val="single" w:sz="4" w:space="0" w:color="000000"/>
              <w:left w:val="single" w:sz="4" w:space="0" w:color="000000"/>
              <w:right w:val="single" w:sz="4" w:space="0" w:color="000000"/>
            </w:tcBorders>
          </w:tcPr>
          <w:p>
            <w:pPr>
              <w:pStyle w:val="TableParagraph"/>
              <w:spacing w:before="71"/>
              <w:ind w:right="88"/>
              <w:jc w:val="right"/>
              <w:rPr>
                <w:sz w:val="18"/>
              </w:rPr>
            </w:pPr>
            <w:r>
              <w:rPr>
                <w:sz w:val="18"/>
              </w:rPr>
              <w:t>29,196,779,666.29</w:t>
            </w:r>
          </w:p>
        </w:tc>
        <w:tc>
          <w:tcPr>
            <w:tcW w:w="1548" w:type="dxa"/>
            <w:tcBorders>
              <w:top w:val="single" w:sz="4" w:space="0" w:color="000000"/>
              <w:left w:val="single" w:sz="4" w:space="0" w:color="000000"/>
            </w:tcBorders>
          </w:tcPr>
          <w:p>
            <w:pPr>
              <w:pStyle w:val="TableParagraph"/>
              <w:spacing w:before="71"/>
              <w:ind w:right="77"/>
              <w:jc w:val="right"/>
              <w:rPr>
                <w:sz w:val="18"/>
              </w:rPr>
            </w:pPr>
            <w:r>
              <w:rPr>
                <w:sz w:val="18"/>
              </w:rPr>
              <w:t>968,178,694.68</w:t>
            </w:r>
          </w:p>
        </w:tc>
      </w:tr>
    </w:tbl>
    <w:p>
      <w:pPr>
        <w:pStyle w:val="BodyText"/>
        <w:rPr>
          <w:sz w:val="22"/>
        </w:rPr>
      </w:pPr>
    </w:p>
    <w:p>
      <w:pPr>
        <w:pStyle w:val="ListParagraph"/>
        <w:numPr>
          <w:ilvl w:val="0"/>
          <w:numId w:val="55"/>
        </w:numPr>
        <w:tabs>
          <w:tab w:pos="2427" w:val="left" w:leader="none"/>
        </w:tabs>
        <w:spacing w:line="240" w:lineRule="auto" w:before="168" w:after="0"/>
        <w:ind w:left="2427" w:right="0" w:hanging="529"/>
        <w:jc w:val="left"/>
        <w:rPr>
          <w:sz w:val="21"/>
        </w:rPr>
      </w:pPr>
      <w:r>
        <w:rPr>
          <w:spacing w:val="-3"/>
          <w:sz w:val="21"/>
        </w:rPr>
        <w:t>存货跌价准备</w:t>
      </w:r>
    </w:p>
    <w:p>
      <w:pPr>
        <w:pStyle w:val="BodyText"/>
        <w:spacing w:before="3"/>
        <w:rPr>
          <w:sz w:val="12"/>
        </w:rPr>
      </w:pPr>
    </w:p>
    <w:tbl>
      <w:tblPr>
        <w:tblW w:w="0" w:type="auto"/>
        <w:jc w:val="left"/>
        <w:tblInd w:w="141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17"/>
        <w:gridCol w:w="1342"/>
        <w:gridCol w:w="1476"/>
        <w:gridCol w:w="1215"/>
        <w:gridCol w:w="1342"/>
        <w:gridCol w:w="1343"/>
        <w:gridCol w:w="1477"/>
      </w:tblGrid>
      <w:tr>
        <w:trPr>
          <w:trHeight w:val="368" w:hRule="atLeast"/>
        </w:trPr>
        <w:tc>
          <w:tcPr>
            <w:tcW w:w="917" w:type="dxa"/>
            <w:vMerge w:val="restart"/>
            <w:tcBorders>
              <w:bottom w:val="single" w:sz="4" w:space="0" w:color="000000"/>
              <w:right w:val="single" w:sz="4" w:space="0" w:color="000000"/>
            </w:tcBorders>
          </w:tcPr>
          <w:p>
            <w:pPr>
              <w:pStyle w:val="TableParagraph"/>
              <w:spacing w:before="4"/>
              <w:rPr>
                <w:rFonts w:ascii="宋体"/>
                <w:sz w:val="15"/>
              </w:rPr>
            </w:pPr>
          </w:p>
          <w:p>
            <w:pPr>
              <w:pStyle w:val="TableParagraph"/>
              <w:ind w:left="277"/>
              <w:rPr>
                <w:rFonts w:ascii="Microsoft JhengHei" w:eastAsia="Microsoft JhengHei" w:hint="eastAsia"/>
                <w:b/>
                <w:sz w:val="18"/>
              </w:rPr>
            </w:pPr>
            <w:r>
              <w:rPr>
                <w:rFonts w:ascii="Microsoft JhengHei" w:eastAsia="Microsoft JhengHei" w:hint="eastAsia"/>
                <w:b/>
                <w:sz w:val="18"/>
              </w:rPr>
              <w:t>项目</w:t>
            </w:r>
          </w:p>
        </w:tc>
        <w:tc>
          <w:tcPr>
            <w:tcW w:w="1342" w:type="dxa"/>
            <w:vMerge w:val="restart"/>
            <w:tcBorders>
              <w:left w:val="single" w:sz="4" w:space="0" w:color="000000"/>
              <w:bottom w:val="single" w:sz="4" w:space="0" w:color="000000"/>
              <w:right w:val="single" w:sz="4" w:space="0" w:color="000000"/>
            </w:tcBorders>
          </w:tcPr>
          <w:p>
            <w:pPr>
              <w:pStyle w:val="TableParagraph"/>
              <w:spacing w:before="4"/>
              <w:rPr>
                <w:rFonts w:ascii="宋体"/>
                <w:sz w:val="15"/>
              </w:rPr>
            </w:pPr>
          </w:p>
          <w:p>
            <w:pPr>
              <w:pStyle w:val="TableParagraph"/>
              <w:ind w:left="318"/>
              <w:rPr>
                <w:rFonts w:ascii="Microsoft JhengHei" w:eastAsia="Microsoft JhengHei" w:hint="eastAsia"/>
                <w:b/>
                <w:sz w:val="18"/>
              </w:rPr>
            </w:pPr>
            <w:r>
              <w:rPr>
                <w:rFonts w:ascii="Microsoft JhengHei" w:eastAsia="Microsoft JhengHei" w:hint="eastAsia"/>
                <w:b/>
                <w:sz w:val="18"/>
              </w:rPr>
              <w:t>期初余额</w:t>
            </w:r>
          </w:p>
        </w:tc>
        <w:tc>
          <w:tcPr>
            <w:tcW w:w="2691" w:type="dxa"/>
            <w:gridSpan w:val="2"/>
            <w:tcBorders>
              <w:left w:val="single" w:sz="4" w:space="0" w:color="000000"/>
              <w:bottom w:val="single" w:sz="4" w:space="0" w:color="000000"/>
              <w:right w:val="single" w:sz="4" w:space="0" w:color="000000"/>
            </w:tcBorders>
          </w:tcPr>
          <w:p>
            <w:pPr>
              <w:pStyle w:val="TableParagraph"/>
              <w:spacing w:before="7"/>
              <w:ind w:left="974" w:right="947"/>
              <w:jc w:val="center"/>
              <w:rPr>
                <w:rFonts w:ascii="Microsoft JhengHei" w:eastAsia="Microsoft JhengHei" w:hint="eastAsia"/>
                <w:b/>
                <w:sz w:val="18"/>
              </w:rPr>
            </w:pPr>
            <w:r>
              <w:rPr>
                <w:rFonts w:ascii="Microsoft JhengHei" w:eastAsia="Microsoft JhengHei" w:hint="eastAsia"/>
                <w:b/>
                <w:sz w:val="18"/>
              </w:rPr>
              <w:t>本期增加</w:t>
            </w:r>
          </w:p>
        </w:tc>
        <w:tc>
          <w:tcPr>
            <w:tcW w:w="2685" w:type="dxa"/>
            <w:gridSpan w:val="2"/>
            <w:tcBorders>
              <w:left w:val="single" w:sz="4" w:space="0" w:color="000000"/>
              <w:bottom w:val="single" w:sz="4" w:space="0" w:color="000000"/>
              <w:right w:val="single" w:sz="4" w:space="0" w:color="000000"/>
            </w:tcBorders>
          </w:tcPr>
          <w:p>
            <w:pPr>
              <w:pStyle w:val="TableParagraph"/>
              <w:spacing w:before="7"/>
              <w:ind w:left="969" w:right="946"/>
              <w:jc w:val="center"/>
              <w:rPr>
                <w:rFonts w:ascii="Microsoft JhengHei" w:eastAsia="Microsoft JhengHei" w:hint="eastAsia"/>
                <w:b/>
                <w:sz w:val="18"/>
              </w:rPr>
            </w:pPr>
            <w:r>
              <w:rPr>
                <w:rFonts w:ascii="Microsoft JhengHei" w:eastAsia="Microsoft JhengHei" w:hint="eastAsia"/>
                <w:b/>
                <w:sz w:val="18"/>
              </w:rPr>
              <w:t>本期减少</w:t>
            </w:r>
          </w:p>
        </w:tc>
        <w:tc>
          <w:tcPr>
            <w:tcW w:w="1477" w:type="dxa"/>
            <w:vMerge w:val="restart"/>
            <w:tcBorders>
              <w:left w:val="single" w:sz="4" w:space="0" w:color="000000"/>
              <w:bottom w:val="single" w:sz="4" w:space="0" w:color="000000"/>
            </w:tcBorders>
          </w:tcPr>
          <w:p>
            <w:pPr>
              <w:pStyle w:val="TableParagraph"/>
              <w:spacing w:before="4"/>
              <w:rPr>
                <w:rFonts w:ascii="宋体"/>
                <w:sz w:val="15"/>
              </w:rPr>
            </w:pPr>
          </w:p>
          <w:p>
            <w:pPr>
              <w:pStyle w:val="TableParagraph"/>
              <w:ind w:left="382"/>
              <w:rPr>
                <w:rFonts w:ascii="Microsoft JhengHei" w:eastAsia="Microsoft JhengHei" w:hint="eastAsia"/>
                <w:b/>
                <w:sz w:val="18"/>
              </w:rPr>
            </w:pPr>
            <w:r>
              <w:rPr>
                <w:rFonts w:ascii="Microsoft JhengHei" w:eastAsia="Microsoft JhengHei" w:hint="eastAsia"/>
                <w:b/>
                <w:sz w:val="18"/>
              </w:rPr>
              <w:t>期末余额</w:t>
            </w:r>
          </w:p>
        </w:tc>
      </w:tr>
      <w:tr>
        <w:trPr>
          <w:trHeight w:val="369" w:hRule="atLeast"/>
        </w:trPr>
        <w:tc>
          <w:tcPr>
            <w:tcW w:w="917" w:type="dxa"/>
            <w:vMerge/>
            <w:tcBorders>
              <w:top w:val="nil"/>
              <w:bottom w:val="single" w:sz="4" w:space="0" w:color="000000"/>
              <w:right w:val="single" w:sz="4" w:space="0" w:color="000000"/>
            </w:tcBorders>
          </w:tcPr>
          <w:p>
            <w:pPr>
              <w:rPr>
                <w:sz w:val="2"/>
                <w:szCs w:val="2"/>
              </w:rPr>
            </w:pPr>
          </w:p>
        </w:tc>
        <w:tc>
          <w:tcPr>
            <w:tcW w:w="1342" w:type="dxa"/>
            <w:vMerge/>
            <w:tcBorders>
              <w:top w:val="nil"/>
              <w:left w:val="single" w:sz="4" w:space="0" w:color="000000"/>
              <w:bottom w:val="single" w:sz="4" w:space="0" w:color="000000"/>
              <w:right w:val="single" w:sz="4" w:space="0" w:color="000000"/>
            </w:tcBorders>
          </w:tcPr>
          <w:p>
            <w:pPr>
              <w:rPr>
                <w:sz w:val="2"/>
                <w:szCs w:val="2"/>
              </w:rPr>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before="8"/>
              <w:ind w:left="386"/>
              <w:rPr>
                <w:rFonts w:ascii="Microsoft JhengHei" w:eastAsia="Microsoft JhengHei" w:hint="eastAsia"/>
                <w:b/>
                <w:sz w:val="18"/>
              </w:rPr>
            </w:pPr>
            <w:r>
              <w:rPr>
                <w:rFonts w:ascii="Microsoft JhengHei" w:eastAsia="Microsoft JhengHei" w:hint="eastAsia"/>
                <w:b/>
                <w:sz w:val="18"/>
              </w:rPr>
              <w:t>本期计提</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8"/>
              <w:ind w:left="254"/>
              <w:rPr>
                <w:rFonts w:ascii="Microsoft JhengHei" w:eastAsia="Microsoft JhengHei" w:hint="eastAsia"/>
                <w:b/>
                <w:sz w:val="18"/>
              </w:rPr>
            </w:pPr>
            <w:r>
              <w:rPr>
                <w:rFonts w:ascii="Microsoft JhengHei" w:eastAsia="Microsoft JhengHei" w:hint="eastAsia"/>
                <w:b/>
                <w:sz w:val="18"/>
              </w:rPr>
              <w:t>其他增加</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8"/>
              <w:ind w:left="407"/>
              <w:rPr>
                <w:rFonts w:ascii="Microsoft JhengHei" w:eastAsia="Microsoft JhengHei" w:hint="eastAsia"/>
                <w:b/>
                <w:sz w:val="18"/>
              </w:rPr>
            </w:pPr>
            <w:r>
              <w:rPr>
                <w:rFonts w:ascii="Microsoft JhengHei" w:eastAsia="Microsoft JhengHei" w:hint="eastAsia"/>
                <w:b/>
                <w:sz w:val="18"/>
              </w:rPr>
              <w:t>转回数</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before="8"/>
              <w:ind w:left="224"/>
              <w:rPr>
                <w:rFonts w:ascii="Microsoft JhengHei" w:eastAsia="Microsoft JhengHei" w:hint="eastAsia"/>
                <w:b/>
                <w:sz w:val="18"/>
              </w:rPr>
            </w:pPr>
            <w:r>
              <w:rPr>
                <w:rFonts w:ascii="Microsoft JhengHei" w:eastAsia="Microsoft JhengHei" w:hint="eastAsia"/>
                <w:b/>
                <w:sz w:val="18"/>
              </w:rPr>
              <w:t>转销及其他</w:t>
            </w:r>
          </w:p>
        </w:tc>
        <w:tc>
          <w:tcPr>
            <w:tcW w:w="1477" w:type="dxa"/>
            <w:vMerge/>
            <w:tcBorders>
              <w:top w:val="nil"/>
              <w:left w:val="single" w:sz="4" w:space="0" w:color="000000"/>
              <w:bottom w:val="single" w:sz="4" w:space="0" w:color="000000"/>
            </w:tcBorders>
          </w:tcPr>
          <w:p>
            <w:pPr>
              <w:rPr>
                <w:sz w:val="2"/>
                <w:szCs w:val="2"/>
              </w:rPr>
            </w:pPr>
          </w:p>
        </w:tc>
      </w:tr>
      <w:tr>
        <w:trPr>
          <w:trHeight w:val="369" w:hRule="atLeast"/>
        </w:trPr>
        <w:tc>
          <w:tcPr>
            <w:tcW w:w="917" w:type="dxa"/>
            <w:tcBorders>
              <w:top w:val="single" w:sz="4" w:space="0" w:color="000000"/>
              <w:bottom w:val="single" w:sz="4" w:space="0" w:color="000000"/>
              <w:right w:val="single" w:sz="4" w:space="0" w:color="000000"/>
            </w:tcBorders>
          </w:tcPr>
          <w:p>
            <w:pPr>
              <w:pStyle w:val="TableParagraph"/>
              <w:spacing w:before="67"/>
              <w:ind w:right="247"/>
              <w:jc w:val="right"/>
              <w:rPr>
                <w:rFonts w:ascii="宋体" w:eastAsia="宋体" w:hint="eastAsia"/>
                <w:sz w:val="18"/>
              </w:rPr>
            </w:pPr>
            <w:r>
              <w:rPr>
                <w:rFonts w:ascii="宋体" w:eastAsia="宋体" w:hint="eastAsia"/>
                <w:sz w:val="18"/>
              </w:rPr>
              <w:t>原材料</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76"/>
              <w:ind w:right="87"/>
              <w:jc w:val="right"/>
              <w:rPr>
                <w:sz w:val="18"/>
              </w:rPr>
            </w:pPr>
            <w:r>
              <w:rPr>
                <w:sz w:val="18"/>
              </w:rPr>
              <w:t>115,668,613.58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before="76"/>
              <w:ind w:right="86"/>
              <w:jc w:val="right"/>
              <w:rPr>
                <w:sz w:val="18"/>
              </w:rPr>
            </w:pPr>
            <w:r>
              <w:rPr>
                <w:sz w:val="18"/>
              </w:rPr>
              <w:t>89,809,536.45</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76"/>
              <w:ind w:right="87"/>
              <w:jc w:val="right"/>
              <w:rPr>
                <w:sz w:val="18"/>
              </w:rPr>
            </w:pPr>
            <w:r>
              <w:rPr>
                <w:sz w:val="18"/>
              </w:rPr>
              <w:t>2,956,989.70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76"/>
              <w:ind w:right="87"/>
              <w:jc w:val="right"/>
              <w:rPr>
                <w:sz w:val="18"/>
              </w:rPr>
            </w:pPr>
            <w:r>
              <w:rPr>
                <w:sz w:val="18"/>
              </w:rPr>
              <w:t>1,630,433.16</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before="76"/>
              <w:ind w:right="91"/>
              <w:jc w:val="right"/>
              <w:rPr>
                <w:sz w:val="18"/>
              </w:rPr>
            </w:pPr>
            <w:r>
              <w:rPr>
                <w:sz w:val="18"/>
              </w:rPr>
              <w:t>90,846,350.87</w:t>
            </w:r>
          </w:p>
        </w:tc>
        <w:tc>
          <w:tcPr>
            <w:tcW w:w="1477" w:type="dxa"/>
            <w:tcBorders>
              <w:top w:val="single" w:sz="4" w:space="0" w:color="000000"/>
              <w:left w:val="single" w:sz="4" w:space="0" w:color="000000"/>
              <w:bottom w:val="single" w:sz="4" w:space="0" w:color="000000"/>
            </w:tcBorders>
          </w:tcPr>
          <w:p>
            <w:pPr>
              <w:pStyle w:val="TableParagraph"/>
              <w:spacing w:before="76"/>
              <w:ind w:right="81"/>
              <w:jc w:val="right"/>
              <w:rPr>
                <w:sz w:val="18"/>
              </w:rPr>
            </w:pPr>
            <w:r>
              <w:rPr>
                <w:sz w:val="18"/>
              </w:rPr>
              <w:t>115,958,355.70</w:t>
            </w:r>
          </w:p>
        </w:tc>
      </w:tr>
      <w:tr>
        <w:trPr>
          <w:trHeight w:val="369" w:hRule="atLeast"/>
        </w:trPr>
        <w:tc>
          <w:tcPr>
            <w:tcW w:w="917" w:type="dxa"/>
            <w:tcBorders>
              <w:top w:val="single" w:sz="4" w:space="0" w:color="000000"/>
              <w:bottom w:val="single" w:sz="4" w:space="0" w:color="000000"/>
              <w:right w:val="single" w:sz="4" w:space="0" w:color="000000"/>
            </w:tcBorders>
          </w:tcPr>
          <w:p>
            <w:pPr>
              <w:pStyle w:val="TableParagraph"/>
              <w:spacing w:before="67"/>
              <w:ind w:right="247"/>
              <w:jc w:val="right"/>
              <w:rPr>
                <w:rFonts w:ascii="宋体" w:eastAsia="宋体" w:hint="eastAsia"/>
                <w:sz w:val="18"/>
              </w:rPr>
            </w:pPr>
            <w:r>
              <w:rPr>
                <w:rFonts w:ascii="宋体" w:eastAsia="宋体" w:hint="eastAsia"/>
                <w:sz w:val="18"/>
              </w:rPr>
              <w:t>在产品</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76"/>
              <w:ind w:right="87"/>
              <w:jc w:val="right"/>
              <w:rPr>
                <w:sz w:val="18"/>
              </w:rPr>
            </w:pPr>
            <w:r>
              <w:rPr>
                <w:sz w:val="18"/>
              </w:rPr>
              <w:t>425,020.38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before="76"/>
              <w:ind w:right="90"/>
              <w:jc w:val="right"/>
              <w:rPr>
                <w:sz w:val="18"/>
              </w:rPr>
            </w:pPr>
            <w:r>
              <w:rPr>
                <w:sz w:val="18"/>
              </w:rPr>
              <w:t>425,020.38</w:t>
            </w:r>
          </w:p>
        </w:tc>
        <w:tc>
          <w:tcPr>
            <w:tcW w:w="1477" w:type="dxa"/>
            <w:tcBorders>
              <w:top w:val="single" w:sz="4" w:space="0" w:color="000000"/>
              <w:left w:val="single" w:sz="4" w:space="0" w:color="000000"/>
              <w:bottom w:val="single" w:sz="4" w:space="0" w:color="000000"/>
            </w:tcBorders>
          </w:tcPr>
          <w:p>
            <w:pPr>
              <w:pStyle w:val="TableParagraph"/>
              <w:rPr>
                <w:sz w:val="18"/>
              </w:rPr>
            </w:pPr>
          </w:p>
        </w:tc>
      </w:tr>
      <w:tr>
        <w:trPr>
          <w:trHeight w:val="465" w:hRule="atLeast"/>
        </w:trPr>
        <w:tc>
          <w:tcPr>
            <w:tcW w:w="917" w:type="dxa"/>
            <w:tcBorders>
              <w:top w:val="single" w:sz="4" w:space="0" w:color="000000"/>
              <w:bottom w:val="single" w:sz="4" w:space="0" w:color="000000"/>
              <w:right w:val="single" w:sz="4" w:space="0" w:color="000000"/>
            </w:tcBorders>
          </w:tcPr>
          <w:p>
            <w:pPr>
              <w:pStyle w:val="TableParagraph"/>
              <w:spacing w:line="230" w:lineRule="exact"/>
              <w:ind w:left="107"/>
              <w:rPr>
                <w:rFonts w:ascii="宋体" w:eastAsia="宋体" w:hint="eastAsia"/>
                <w:sz w:val="18"/>
              </w:rPr>
            </w:pPr>
            <w:r>
              <w:rPr>
                <w:rFonts w:ascii="宋体" w:eastAsia="宋体" w:hint="eastAsia"/>
                <w:sz w:val="18"/>
              </w:rPr>
              <w:t>库存商</w:t>
            </w:r>
          </w:p>
          <w:p>
            <w:pPr>
              <w:pStyle w:val="TableParagraph"/>
              <w:spacing w:line="213" w:lineRule="exact" w:before="2"/>
              <w:ind w:left="105"/>
              <w:rPr>
                <w:rFonts w:ascii="宋体" w:eastAsia="宋体" w:hint="eastAsia"/>
                <w:sz w:val="18"/>
              </w:rPr>
            </w:pPr>
            <w:r>
              <w:rPr>
                <w:rFonts w:ascii="宋体" w:eastAsia="宋体" w:hint="eastAsia"/>
                <w:sz w:val="18"/>
              </w:rPr>
              <w:t>品</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124"/>
              <w:ind w:right="87"/>
              <w:jc w:val="right"/>
              <w:rPr>
                <w:sz w:val="18"/>
              </w:rPr>
            </w:pPr>
            <w:r>
              <w:rPr>
                <w:sz w:val="18"/>
              </w:rPr>
              <w:t>852,085,060.72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before="124"/>
              <w:ind w:right="87"/>
              <w:jc w:val="right"/>
              <w:rPr>
                <w:sz w:val="18"/>
              </w:rPr>
            </w:pPr>
            <w:r>
              <w:rPr>
                <w:sz w:val="18"/>
              </w:rPr>
              <w:t>1,027,888,913.50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124"/>
              <w:ind w:right="87"/>
              <w:jc w:val="right"/>
              <w:rPr>
                <w:sz w:val="18"/>
              </w:rPr>
            </w:pPr>
            <w:r>
              <w:rPr>
                <w:sz w:val="18"/>
              </w:rPr>
              <w:t>169,936.18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124"/>
              <w:ind w:right="87"/>
              <w:jc w:val="right"/>
              <w:rPr>
                <w:sz w:val="18"/>
              </w:rPr>
            </w:pPr>
            <w:r>
              <w:rPr>
                <w:sz w:val="18"/>
              </w:rPr>
              <w:t>101,540,691.47</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before="124"/>
              <w:ind w:right="91"/>
              <w:jc w:val="right"/>
              <w:rPr>
                <w:sz w:val="18"/>
              </w:rPr>
            </w:pPr>
            <w:r>
              <w:rPr>
                <w:sz w:val="18"/>
              </w:rPr>
              <w:t>605,487,669.79</w:t>
            </w:r>
          </w:p>
        </w:tc>
        <w:tc>
          <w:tcPr>
            <w:tcW w:w="1477" w:type="dxa"/>
            <w:tcBorders>
              <w:top w:val="single" w:sz="4" w:space="0" w:color="000000"/>
              <w:left w:val="single" w:sz="4" w:space="0" w:color="000000"/>
              <w:bottom w:val="single" w:sz="4" w:space="0" w:color="000000"/>
            </w:tcBorders>
          </w:tcPr>
          <w:p>
            <w:pPr>
              <w:pStyle w:val="TableParagraph"/>
              <w:spacing w:before="124"/>
              <w:ind w:right="81"/>
              <w:jc w:val="right"/>
              <w:rPr>
                <w:sz w:val="18"/>
              </w:rPr>
            </w:pPr>
            <w:r>
              <w:rPr>
                <w:sz w:val="18"/>
              </w:rPr>
              <w:t>1,173,115,549.14</w:t>
            </w:r>
          </w:p>
        </w:tc>
      </w:tr>
      <w:tr>
        <w:trPr>
          <w:trHeight w:val="368" w:hRule="atLeast"/>
        </w:trPr>
        <w:tc>
          <w:tcPr>
            <w:tcW w:w="917" w:type="dxa"/>
            <w:tcBorders>
              <w:top w:val="single" w:sz="4" w:space="0" w:color="000000"/>
              <w:right w:val="single" w:sz="4" w:space="0" w:color="000000"/>
            </w:tcBorders>
          </w:tcPr>
          <w:p>
            <w:pPr>
              <w:pStyle w:val="TableParagraph"/>
              <w:spacing w:before="69"/>
              <w:ind w:right="257"/>
              <w:jc w:val="right"/>
              <w:rPr>
                <w:rFonts w:ascii="宋体" w:eastAsia="宋体" w:hint="eastAsia"/>
                <w:sz w:val="18"/>
              </w:rPr>
            </w:pPr>
            <w:r>
              <w:rPr>
                <w:rFonts w:ascii="宋体" w:eastAsia="宋体" w:hint="eastAsia"/>
                <w:sz w:val="18"/>
              </w:rPr>
              <w:t>合计</w:t>
            </w:r>
          </w:p>
        </w:tc>
        <w:tc>
          <w:tcPr>
            <w:tcW w:w="1342" w:type="dxa"/>
            <w:tcBorders>
              <w:top w:val="single" w:sz="4" w:space="0" w:color="000000"/>
              <w:left w:val="single" w:sz="4" w:space="0" w:color="000000"/>
              <w:right w:val="single" w:sz="4" w:space="0" w:color="000000"/>
            </w:tcBorders>
          </w:tcPr>
          <w:p>
            <w:pPr>
              <w:pStyle w:val="TableParagraph"/>
              <w:spacing w:before="76"/>
              <w:ind w:right="87"/>
              <w:jc w:val="right"/>
              <w:rPr>
                <w:sz w:val="18"/>
              </w:rPr>
            </w:pPr>
            <w:r>
              <w:rPr>
                <w:sz w:val="18"/>
              </w:rPr>
              <w:t>968,178,694.68</w:t>
            </w:r>
          </w:p>
        </w:tc>
        <w:tc>
          <w:tcPr>
            <w:tcW w:w="1476" w:type="dxa"/>
            <w:tcBorders>
              <w:top w:val="single" w:sz="4" w:space="0" w:color="000000"/>
              <w:left w:val="single" w:sz="4" w:space="0" w:color="000000"/>
              <w:right w:val="single" w:sz="4" w:space="0" w:color="000000"/>
            </w:tcBorders>
          </w:tcPr>
          <w:p>
            <w:pPr>
              <w:pStyle w:val="TableParagraph"/>
              <w:spacing w:before="76"/>
              <w:ind w:right="87"/>
              <w:jc w:val="right"/>
              <w:rPr>
                <w:sz w:val="18"/>
              </w:rPr>
            </w:pPr>
            <w:r>
              <w:rPr>
                <w:sz w:val="18"/>
              </w:rPr>
              <w:t>1,117,698,449.95</w:t>
            </w:r>
          </w:p>
        </w:tc>
        <w:tc>
          <w:tcPr>
            <w:tcW w:w="1215" w:type="dxa"/>
            <w:tcBorders>
              <w:top w:val="single" w:sz="4" w:space="0" w:color="000000"/>
              <w:left w:val="single" w:sz="4" w:space="0" w:color="000000"/>
              <w:right w:val="single" w:sz="4" w:space="0" w:color="000000"/>
            </w:tcBorders>
          </w:tcPr>
          <w:p>
            <w:pPr>
              <w:pStyle w:val="TableParagraph"/>
              <w:spacing w:before="76"/>
              <w:ind w:right="87"/>
              <w:jc w:val="right"/>
              <w:rPr>
                <w:sz w:val="18"/>
              </w:rPr>
            </w:pPr>
            <w:r>
              <w:rPr>
                <w:sz w:val="18"/>
              </w:rPr>
              <w:t>3,126,925.88</w:t>
            </w:r>
          </w:p>
        </w:tc>
        <w:tc>
          <w:tcPr>
            <w:tcW w:w="1342" w:type="dxa"/>
            <w:tcBorders>
              <w:top w:val="single" w:sz="4" w:space="0" w:color="000000"/>
              <w:left w:val="single" w:sz="4" w:space="0" w:color="000000"/>
              <w:right w:val="single" w:sz="4" w:space="0" w:color="000000"/>
            </w:tcBorders>
          </w:tcPr>
          <w:p>
            <w:pPr>
              <w:pStyle w:val="TableParagraph"/>
              <w:spacing w:before="76"/>
              <w:ind w:right="87"/>
              <w:jc w:val="right"/>
              <w:rPr>
                <w:sz w:val="18"/>
              </w:rPr>
            </w:pPr>
            <w:r>
              <w:rPr>
                <w:sz w:val="18"/>
              </w:rPr>
              <w:t>103,171,124.63</w:t>
            </w:r>
          </w:p>
        </w:tc>
        <w:tc>
          <w:tcPr>
            <w:tcW w:w="1343" w:type="dxa"/>
            <w:tcBorders>
              <w:top w:val="single" w:sz="4" w:space="0" w:color="000000"/>
              <w:left w:val="single" w:sz="4" w:space="0" w:color="000000"/>
              <w:right w:val="single" w:sz="4" w:space="0" w:color="000000"/>
            </w:tcBorders>
          </w:tcPr>
          <w:p>
            <w:pPr>
              <w:pStyle w:val="TableParagraph"/>
              <w:spacing w:before="76"/>
              <w:ind w:right="91"/>
              <w:jc w:val="right"/>
              <w:rPr>
                <w:sz w:val="18"/>
              </w:rPr>
            </w:pPr>
            <w:r>
              <w:rPr>
                <w:sz w:val="18"/>
              </w:rPr>
              <w:t>696,759,041.04</w:t>
            </w:r>
          </w:p>
        </w:tc>
        <w:tc>
          <w:tcPr>
            <w:tcW w:w="1477" w:type="dxa"/>
            <w:tcBorders>
              <w:top w:val="single" w:sz="4" w:space="0" w:color="000000"/>
              <w:left w:val="single" w:sz="4" w:space="0" w:color="000000"/>
            </w:tcBorders>
          </w:tcPr>
          <w:p>
            <w:pPr>
              <w:pStyle w:val="TableParagraph"/>
              <w:spacing w:before="76"/>
              <w:ind w:right="81"/>
              <w:jc w:val="right"/>
              <w:rPr>
                <w:sz w:val="18"/>
              </w:rPr>
            </w:pPr>
            <w:r>
              <w:rPr>
                <w:sz w:val="18"/>
              </w:rPr>
              <w:t>1,289,073,904.84</w:t>
            </w:r>
          </w:p>
        </w:tc>
      </w:tr>
    </w:tbl>
    <w:p>
      <w:pPr>
        <w:pStyle w:val="BodyText"/>
        <w:spacing w:before="3"/>
        <w:ind w:left="1538"/>
      </w:pPr>
      <w:r>
        <w:rPr>
          <w:w w:val="100"/>
        </w:rPr>
        <w:t> </w:t>
      </w:r>
    </w:p>
    <w:p>
      <w:pPr>
        <w:spacing w:after="0"/>
        <w:sectPr>
          <w:pgSz w:w="11910" w:h="16840"/>
          <w:pgMar w:header="876" w:footer="1199" w:top="1440" w:bottom="1400" w:left="260" w:right="0"/>
        </w:sectPr>
      </w:pPr>
    </w:p>
    <w:p>
      <w:pPr>
        <w:pStyle w:val="Heading4"/>
        <w:spacing w:line="385" w:lineRule="exact"/>
      </w:pPr>
      <w:r>
        <w:rPr>
          <w:rFonts w:ascii="Times New Roman" w:eastAsia="Times New Roman"/>
        </w:rPr>
        <w:t>9</w:t>
      </w:r>
      <w:r>
        <w:rPr/>
        <w:t>、 合同资产</w:t>
      </w:r>
    </w:p>
    <w:p>
      <w:pPr>
        <w:pStyle w:val="ListParagraph"/>
        <w:numPr>
          <w:ilvl w:val="0"/>
          <w:numId w:val="56"/>
        </w:numPr>
        <w:tabs>
          <w:tab w:pos="2427" w:val="left" w:leader="none"/>
        </w:tabs>
        <w:spacing w:line="240" w:lineRule="auto" w:before="190" w:after="0"/>
        <w:ind w:left="2427" w:right="0" w:hanging="529"/>
        <w:jc w:val="left"/>
        <w:rPr>
          <w:sz w:val="21"/>
        </w:rPr>
      </w:pPr>
      <w:r>
        <w:rPr>
          <w:spacing w:val="-2"/>
          <w:sz w:val="21"/>
        </w:rPr>
        <w:t>明细情况</w:t>
      </w:r>
    </w:p>
    <w:p>
      <w:pPr>
        <w:pStyle w:val="BodyText"/>
        <w:spacing w:before="3"/>
        <w:rPr>
          <w:sz w:val="12"/>
        </w:rPr>
      </w:pPr>
    </w:p>
    <w:tbl>
      <w:tblPr>
        <w:tblW w:w="0" w:type="auto"/>
        <w:jc w:val="left"/>
        <w:tblInd w:w="170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39"/>
        <w:gridCol w:w="1843"/>
        <w:gridCol w:w="1702"/>
        <w:gridCol w:w="1839"/>
        <w:gridCol w:w="1313"/>
      </w:tblGrid>
      <w:tr>
        <w:trPr>
          <w:trHeight w:val="340" w:hRule="atLeast"/>
        </w:trPr>
        <w:tc>
          <w:tcPr>
            <w:tcW w:w="1839" w:type="dxa"/>
            <w:vMerge w:val="restart"/>
            <w:tcBorders>
              <w:bottom w:val="single" w:sz="4" w:space="0" w:color="000000"/>
              <w:right w:val="single" w:sz="4" w:space="0" w:color="000000"/>
            </w:tcBorders>
          </w:tcPr>
          <w:p>
            <w:pPr>
              <w:pStyle w:val="TableParagraph"/>
              <w:spacing w:before="160"/>
              <w:ind w:left="87" w:right="69"/>
              <w:jc w:val="center"/>
              <w:rPr>
                <w:rFonts w:ascii="Microsoft JhengHei" w:eastAsia="Microsoft JhengHei" w:hint="eastAsia"/>
                <w:b/>
                <w:sz w:val="20"/>
              </w:rPr>
            </w:pPr>
            <w:r>
              <w:rPr>
                <w:rFonts w:ascii="Microsoft JhengHei" w:eastAsia="Microsoft JhengHei" w:hint="eastAsia"/>
                <w:b/>
                <w:sz w:val="20"/>
              </w:rPr>
              <w:t>项目</w:t>
            </w:r>
          </w:p>
        </w:tc>
        <w:tc>
          <w:tcPr>
            <w:tcW w:w="3545" w:type="dxa"/>
            <w:gridSpan w:val="2"/>
            <w:tcBorders>
              <w:left w:val="single" w:sz="4" w:space="0" w:color="000000"/>
              <w:bottom w:val="single" w:sz="4" w:space="0" w:color="000000"/>
              <w:right w:val="single" w:sz="4" w:space="0" w:color="000000"/>
            </w:tcBorders>
          </w:tcPr>
          <w:p>
            <w:pPr>
              <w:pStyle w:val="TableParagraph"/>
              <w:spacing w:line="320" w:lineRule="exact"/>
              <w:ind w:left="1362" w:right="1332"/>
              <w:jc w:val="center"/>
              <w:rPr>
                <w:rFonts w:ascii="Microsoft JhengHei" w:eastAsia="Microsoft JhengHei" w:hint="eastAsia"/>
                <w:b/>
                <w:sz w:val="20"/>
              </w:rPr>
            </w:pPr>
            <w:r>
              <w:rPr>
                <w:rFonts w:ascii="Microsoft JhengHei" w:eastAsia="Microsoft JhengHei" w:hint="eastAsia"/>
                <w:b/>
                <w:sz w:val="20"/>
              </w:rPr>
              <w:t>期末余额</w:t>
            </w:r>
          </w:p>
        </w:tc>
        <w:tc>
          <w:tcPr>
            <w:tcW w:w="3152" w:type="dxa"/>
            <w:gridSpan w:val="2"/>
            <w:tcBorders>
              <w:left w:val="single" w:sz="4" w:space="0" w:color="000000"/>
              <w:bottom w:val="single" w:sz="4" w:space="0" w:color="000000"/>
            </w:tcBorders>
          </w:tcPr>
          <w:p>
            <w:pPr>
              <w:pStyle w:val="TableParagraph"/>
              <w:spacing w:line="320" w:lineRule="exact"/>
              <w:ind w:left="1164" w:right="1128"/>
              <w:jc w:val="center"/>
              <w:rPr>
                <w:rFonts w:ascii="Microsoft JhengHei" w:eastAsia="Microsoft JhengHei" w:hint="eastAsia"/>
                <w:b/>
                <w:sz w:val="20"/>
              </w:rPr>
            </w:pPr>
            <w:r>
              <w:rPr>
                <w:rFonts w:ascii="Microsoft JhengHei" w:eastAsia="Microsoft JhengHei" w:hint="eastAsia"/>
                <w:b/>
                <w:sz w:val="20"/>
              </w:rPr>
              <w:t>期初余额</w:t>
            </w:r>
          </w:p>
        </w:tc>
      </w:tr>
      <w:tr>
        <w:trPr>
          <w:trHeight w:val="357" w:hRule="atLeast"/>
        </w:trPr>
        <w:tc>
          <w:tcPr>
            <w:tcW w:w="1839" w:type="dxa"/>
            <w:vMerge/>
            <w:tcBorders>
              <w:top w:val="nil"/>
              <w:bottom w:val="single" w:sz="4" w:space="0" w:color="000000"/>
              <w:right w:val="single" w:sz="4" w:space="0" w:color="000000"/>
            </w:tcBorders>
          </w:tcPr>
          <w:p>
            <w:pPr>
              <w:rPr>
                <w:sz w:val="2"/>
                <w:szCs w:val="2"/>
              </w:rPr>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37" w:lineRule="exact"/>
              <w:ind w:left="527"/>
              <w:rPr>
                <w:rFonts w:ascii="Microsoft JhengHei" w:eastAsia="Microsoft JhengHei" w:hint="eastAsia"/>
                <w:b/>
                <w:sz w:val="20"/>
              </w:rPr>
            </w:pPr>
            <w:r>
              <w:rPr>
                <w:rFonts w:ascii="Microsoft JhengHei" w:eastAsia="Microsoft JhengHei" w:hint="eastAsia"/>
                <w:b/>
                <w:sz w:val="20"/>
              </w:rPr>
              <w:t>账面余额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37" w:lineRule="exact"/>
              <w:ind w:left="458"/>
              <w:rPr>
                <w:rFonts w:ascii="Microsoft JhengHei" w:eastAsia="Microsoft JhengHei" w:hint="eastAsia"/>
                <w:b/>
                <w:sz w:val="20"/>
              </w:rPr>
            </w:pPr>
            <w:r>
              <w:rPr>
                <w:rFonts w:ascii="Microsoft JhengHei" w:eastAsia="Microsoft JhengHei" w:hint="eastAsia"/>
                <w:b/>
                <w:sz w:val="20"/>
              </w:rPr>
              <w:t>减值准备</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337" w:lineRule="exact"/>
              <w:ind w:left="525"/>
              <w:rPr>
                <w:rFonts w:ascii="Microsoft JhengHei" w:eastAsia="Microsoft JhengHei" w:hint="eastAsia"/>
                <w:b/>
                <w:sz w:val="20"/>
              </w:rPr>
            </w:pPr>
            <w:r>
              <w:rPr>
                <w:rFonts w:ascii="Microsoft JhengHei" w:eastAsia="Microsoft JhengHei" w:hint="eastAsia"/>
                <w:b/>
                <w:sz w:val="20"/>
              </w:rPr>
              <w:t>账面余额</w:t>
            </w:r>
          </w:p>
        </w:tc>
        <w:tc>
          <w:tcPr>
            <w:tcW w:w="1313" w:type="dxa"/>
            <w:tcBorders>
              <w:top w:val="single" w:sz="4" w:space="0" w:color="000000"/>
              <w:left w:val="single" w:sz="4" w:space="0" w:color="000000"/>
              <w:bottom w:val="single" w:sz="4" w:space="0" w:color="000000"/>
            </w:tcBorders>
          </w:tcPr>
          <w:p>
            <w:pPr>
              <w:pStyle w:val="TableParagraph"/>
              <w:spacing w:line="337" w:lineRule="exact"/>
              <w:ind w:left="101" w:right="60"/>
              <w:jc w:val="center"/>
              <w:rPr>
                <w:rFonts w:ascii="Microsoft JhengHei" w:eastAsia="Microsoft JhengHei" w:hint="eastAsia"/>
                <w:b/>
                <w:sz w:val="20"/>
              </w:rPr>
            </w:pPr>
            <w:r>
              <w:rPr>
                <w:rFonts w:ascii="Microsoft JhengHei" w:eastAsia="Microsoft JhengHei" w:hint="eastAsia"/>
                <w:b/>
                <w:sz w:val="20"/>
              </w:rPr>
              <w:t>减值准备</w:t>
            </w:r>
          </w:p>
        </w:tc>
      </w:tr>
      <w:tr>
        <w:trPr>
          <w:trHeight w:val="359" w:hRule="atLeast"/>
        </w:trPr>
        <w:tc>
          <w:tcPr>
            <w:tcW w:w="1839" w:type="dxa"/>
            <w:tcBorders>
              <w:top w:val="single" w:sz="4" w:space="0" w:color="000000"/>
              <w:bottom w:val="single" w:sz="4" w:space="0" w:color="000000"/>
              <w:right w:val="single" w:sz="4" w:space="0" w:color="000000"/>
            </w:tcBorders>
          </w:tcPr>
          <w:p>
            <w:pPr>
              <w:pStyle w:val="TableParagraph"/>
              <w:spacing w:before="52"/>
              <w:ind w:left="87" w:right="91"/>
              <w:jc w:val="center"/>
              <w:rPr>
                <w:rFonts w:ascii="宋体" w:eastAsia="宋体" w:hint="eastAsia"/>
                <w:sz w:val="20"/>
              </w:rPr>
            </w:pPr>
            <w:r>
              <w:rPr>
                <w:rFonts w:ascii="宋体" w:eastAsia="宋体" w:hint="eastAsia"/>
                <w:sz w:val="20"/>
              </w:rPr>
              <w:t>工程服务合同相关</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8"/>
              <w:ind w:left="494"/>
              <w:rPr>
                <w:sz w:val="20"/>
              </w:rPr>
            </w:pPr>
            <w:r>
              <w:rPr>
                <w:sz w:val="20"/>
              </w:rPr>
              <w:t>263,412,927.58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before="58"/>
              <w:ind w:left="489"/>
              <w:rPr>
                <w:sz w:val="20"/>
              </w:rPr>
            </w:pPr>
            <w:r>
              <w:rPr>
                <w:sz w:val="20"/>
              </w:rPr>
              <w:t>426,392,594.69</w:t>
            </w:r>
          </w:p>
        </w:tc>
        <w:tc>
          <w:tcPr>
            <w:tcW w:w="1313" w:type="dxa"/>
            <w:tcBorders>
              <w:top w:val="single" w:sz="4" w:space="0" w:color="000000"/>
              <w:left w:val="single" w:sz="4" w:space="0" w:color="000000"/>
              <w:bottom w:val="single" w:sz="4" w:space="0" w:color="000000"/>
            </w:tcBorders>
          </w:tcPr>
          <w:p>
            <w:pPr>
              <w:pStyle w:val="TableParagraph"/>
              <w:spacing w:before="58"/>
              <w:ind w:left="143" w:right="60"/>
              <w:jc w:val="center"/>
              <w:rPr>
                <w:sz w:val="20"/>
              </w:rPr>
            </w:pPr>
            <w:r>
              <w:rPr>
                <w:sz w:val="20"/>
              </w:rPr>
              <w:t>3,654,196.27</w:t>
            </w:r>
          </w:p>
        </w:tc>
      </w:tr>
      <w:tr>
        <w:trPr>
          <w:trHeight w:val="356" w:hRule="atLeast"/>
        </w:trPr>
        <w:tc>
          <w:tcPr>
            <w:tcW w:w="1839" w:type="dxa"/>
            <w:tcBorders>
              <w:top w:val="single" w:sz="4" w:space="0" w:color="000000"/>
              <w:right w:val="single" w:sz="4" w:space="0" w:color="000000"/>
            </w:tcBorders>
          </w:tcPr>
          <w:p>
            <w:pPr>
              <w:pStyle w:val="TableParagraph"/>
              <w:spacing w:before="52"/>
              <w:ind w:left="87" w:right="74"/>
              <w:jc w:val="center"/>
              <w:rPr>
                <w:rFonts w:ascii="宋体" w:eastAsia="宋体" w:hint="eastAsia"/>
                <w:sz w:val="20"/>
              </w:rPr>
            </w:pPr>
            <w:r>
              <w:rPr>
                <w:rFonts w:ascii="宋体" w:eastAsia="宋体" w:hint="eastAsia"/>
                <w:sz w:val="20"/>
              </w:rPr>
              <w:t>合计</w:t>
            </w:r>
          </w:p>
        </w:tc>
        <w:tc>
          <w:tcPr>
            <w:tcW w:w="1843" w:type="dxa"/>
            <w:tcBorders>
              <w:top w:val="single" w:sz="4" w:space="0" w:color="000000"/>
              <w:left w:val="single" w:sz="4" w:space="0" w:color="000000"/>
              <w:right w:val="single" w:sz="4" w:space="0" w:color="000000"/>
            </w:tcBorders>
          </w:tcPr>
          <w:p>
            <w:pPr>
              <w:pStyle w:val="TableParagraph"/>
              <w:spacing w:before="58"/>
              <w:ind w:left="494"/>
              <w:rPr>
                <w:sz w:val="20"/>
              </w:rPr>
            </w:pPr>
            <w:r>
              <w:rPr>
                <w:sz w:val="20"/>
              </w:rPr>
              <w:t>263,412,927.58</w:t>
            </w:r>
          </w:p>
        </w:tc>
        <w:tc>
          <w:tcPr>
            <w:tcW w:w="1702" w:type="dxa"/>
            <w:tcBorders>
              <w:top w:val="single" w:sz="4" w:space="0" w:color="000000"/>
              <w:left w:val="single" w:sz="4" w:space="0" w:color="000000"/>
              <w:right w:val="single" w:sz="4" w:space="0" w:color="000000"/>
            </w:tcBorders>
          </w:tcPr>
          <w:p>
            <w:pPr>
              <w:pStyle w:val="TableParagraph"/>
              <w:rPr>
                <w:sz w:val="18"/>
              </w:rPr>
            </w:pPr>
          </w:p>
        </w:tc>
        <w:tc>
          <w:tcPr>
            <w:tcW w:w="1839" w:type="dxa"/>
            <w:tcBorders>
              <w:top w:val="single" w:sz="4" w:space="0" w:color="000000"/>
              <w:left w:val="single" w:sz="4" w:space="0" w:color="000000"/>
              <w:right w:val="single" w:sz="4" w:space="0" w:color="000000"/>
            </w:tcBorders>
          </w:tcPr>
          <w:p>
            <w:pPr>
              <w:pStyle w:val="TableParagraph"/>
              <w:spacing w:before="58"/>
              <w:ind w:left="489"/>
              <w:rPr>
                <w:sz w:val="20"/>
              </w:rPr>
            </w:pPr>
            <w:r>
              <w:rPr>
                <w:sz w:val="20"/>
              </w:rPr>
              <w:t>426,392,594.69</w:t>
            </w:r>
          </w:p>
        </w:tc>
        <w:tc>
          <w:tcPr>
            <w:tcW w:w="1313" w:type="dxa"/>
            <w:tcBorders>
              <w:top w:val="single" w:sz="4" w:space="0" w:color="000000"/>
              <w:left w:val="single" w:sz="4" w:space="0" w:color="000000"/>
            </w:tcBorders>
          </w:tcPr>
          <w:p>
            <w:pPr>
              <w:pStyle w:val="TableParagraph"/>
              <w:spacing w:before="58"/>
              <w:ind w:left="143" w:right="60"/>
              <w:jc w:val="center"/>
              <w:rPr>
                <w:sz w:val="20"/>
              </w:rPr>
            </w:pPr>
            <w:r>
              <w:rPr>
                <w:sz w:val="20"/>
              </w:rPr>
              <w:t>3,654,196.27</w:t>
            </w:r>
          </w:p>
        </w:tc>
      </w:tr>
    </w:tbl>
    <w:p>
      <w:pPr>
        <w:pStyle w:val="ListParagraph"/>
        <w:numPr>
          <w:ilvl w:val="0"/>
          <w:numId w:val="56"/>
        </w:numPr>
        <w:tabs>
          <w:tab w:pos="2427" w:val="left" w:leader="none"/>
        </w:tabs>
        <w:spacing w:line="240" w:lineRule="auto" w:before="176" w:after="0"/>
        <w:ind w:left="2427" w:right="0" w:hanging="529"/>
        <w:jc w:val="left"/>
        <w:rPr>
          <w:sz w:val="21"/>
        </w:rPr>
      </w:pPr>
      <w:r>
        <w:rPr>
          <w:spacing w:val="-3"/>
          <w:sz w:val="21"/>
        </w:rPr>
        <w:t>资产减值准备</w:t>
      </w:r>
    </w:p>
    <w:p>
      <w:pPr>
        <w:pStyle w:val="BodyText"/>
        <w:spacing w:before="3"/>
        <w:rPr>
          <w:sz w:val="12"/>
        </w:rPr>
      </w:pPr>
    </w:p>
    <w:tbl>
      <w:tblPr>
        <w:tblW w:w="0" w:type="auto"/>
        <w:jc w:val="left"/>
        <w:tblInd w:w="147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70"/>
        <w:gridCol w:w="1301"/>
        <w:gridCol w:w="1063"/>
        <w:gridCol w:w="1248"/>
        <w:gridCol w:w="864"/>
        <w:gridCol w:w="1268"/>
        <w:gridCol w:w="1284"/>
      </w:tblGrid>
      <w:tr>
        <w:trPr>
          <w:trHeight w:val="368" w:hRule="atLeast"/>
        </w:trPr>
        <w:tc>
          <w:tcPr>
            <w:tcW w:w="1970" w:type="dxa"/>
            <w:vMerge w:val="restart"/>
            <w:tcBorders>
              <w:bottom w:val="single" w:sz="6" w:space="0" w:color="000000"/>
              <w:right w:val="single" w:sz="4" w:space="0" w:color="000000"/>
            </w:tcBorders>
          </w:tcPr>
          <w:p>
            <w:pPr>
              <w:pStyle w:val="TableParagraph"/>
              <w:spacing w:before="2"/>
              <w:rPr>
                <w:rFonts w:ascii="宋体"/>
                <w:sz w:val="14"/>
              </w:rPr>
            </w:pPr>
          </w:p>
          <w:p>
            <w:pPr>
              <w:pStyle w:val="TableParagraph"/>
              <w:spacing w:before="1"/>
              <w:ind w:left="763" w:right="742"/>
              <w:jc w:val="center"/>
              <w:rPr>
                <w:rFonts w:ascii="Microsoft JhengHei" w:eastAsia="Microsoft JhengHei" w:hint="eastAsia"/>
                <w:b/>
                <w:sz w:val="20"/>
              </w:rPr>
            </w:pPr>
            <w:r>
              <w:rPr>
                <w:rFonts w:ascii="Microsoft JhengHei" w:eastAsia="Microsoft JhengHei" w:hint="eastAsia"/>
                <w:b/>
                <w:sz w:val="20"/>
              </w:rPr>
              <w:t>项目</w:t>
            </w:r>
          </w:p>
        </w:tc>
        <w:tc>
          <w:tcPr>
            <w:tcW w:w="1301" w:type="dxa"/>
            <w:vMerge w:val="restart"/>
            <w:tcBorders>
              <w:left w:val="single" w:sz="4" w:space="0" w:color="000000"/>
              <w:bottom w:val="single" w:sz="6" w:space="0" w:color="000000"/>
              <w:right w:val="single" w:sz="4" w:space="0" w:color="000000"/>
            </w:tcBorders>
          </w:tcPr>
          <w:p>
            <w:pPr>
              <w:pStyle w:val="TableParagraph"/>
              <w:spacing w:before="2"/>
              <w:rPr>
                <w:rFonts w:ascii="宋体"/>
                <w:sz w:val="14"/>
              </w:rPr>
            </w:pPr>
          </w:p>
          <w:p>
            <w:pPr>
              <w:pStyle w:val="TableParagraph"/>
              <w:spacing w:before="1"/>
              <w:ind w:left="257"/>
              <w:rPr>
                <w:rFonts w:ascii="Microsoft JhengHei" w:eastAsia="Microsoft JhengHei" w:hint="eastAsia"/>
                <w:b/>
                <w:sz w:val="20"/>
              </w:rPr>
            </w:pPr>
            <w:r>
              <w:rPr>
                <w:rFonts w:ascii="Microsoft JhengHei" w:eastAsia="Microsoft JhengHei" w:hint="eastAsia"/>
                <w:b/>
                <w:sz w:val="20"/>
              </w:rPr>
              <w:t>期初余额</w:t>
            </w:r>
          </w:p>
        </w:tc>
        <w:tc>
          <w:tcPr>
            <w:tcW w:w="2311" w:type="dxa"/>
            <w:gridSpan w:val="2"/>
            <w:tcBorders>
              <w:left w:val="single" w:sz="4" w:space="0" w:color="000000"/>
              <w:bottom w:val="single" w:sz="4" w:space="0" w:color="000000"/>
              <w:right w:val="single" w:sz="4" w:space="0" w:color="000000"/>
            </w:tcBorders>
          </w:tcPr>
          <w:p>
            <w:pPr>
              <w:pStyle w:val="TableParagraph"/>
              <w:spacing w:line="349" w:lineRule="exact"/>
              <w:ind w:left="761"/>
              <w:rPr>
                <w:rFonts w:ascii="Microsoft JhengHei" w:eastAsia="Microsoft JhengHei" w:hint="eastAsia"/>
                <w:b/>
                <w:sz w:val="20"/>
              </w:rPr>
            </w:pPr>
            <w:r>
              <w:rPr>
                <w:rFonts w:ascii="Microsoft JhengHei" w:eastAsia="Microsoft JhengHei" w:hint="eastAsia"/>
                <w:b/>
                <w:sz w:val="20"/>
              </w:rPr>
              <w:t>本期增加</w:t>
            </w:r>
          </w:p>
        </w:tc>
        <w:tc>
          <w:tcPr>
            <w:tcW w:w="2132" w:type="dxa"/>
            <w:gridSpan w:val="2"/>
            <w:tcBorders>
              <w:left w:val="single" w:sz="4" w:space="0" w:color="000000"/>
              <w:bottom w:val="single" w:sz="4" w:space="0" w:color="000000"/>
              <w:right w:val="single" w:sz="4" w:space="0" w:color="000000"/>
            </w:tcBorders>
          </w:tcPr>
          <w:p>
            <w:pPr>
              <w:pStyle w:val="TableParagraph"/>
              <w:spacing w:line="349" w:lineRule="exact"/>
              <w:ind w:left="673"/>
              <w:rPr>
                <w:rFonts w:ascii="Microsoft JhengHei" w:eastAsia="Microsoft JhengHei" w:hint="eastAsia"/>
                <w:b/>
                <w:sz w:val="20"/>
              </w:rPr>
            </w:pPr>
            <w:r>
              <w:rPr>
                <w:rFonts w:ascii="Microsoft JhengHei" w:eastAsia="Microsoft JhengHei" w:hint="eastAsia"/>
                <w:b/>
                <w:sz w:val="20"/>
              </w:rPr>
              <w:t>本期减少</w:t>
            </w:r>
          </w:p>
        </w:tc>
        <w:tc>
          <w:tcPr>
            <w:tcW w:w="1284" w:type="dxa"/>
            <w:vMerge w:val="restart"/>
            <w:tcBorders>
              <w:left w:val="single" w:sz="4" w:space="0" w:color="000000"/>
              <w:bottom w:val="single" w:sz="6" w:space="0" w:color="000000"/>
            </w:tcBorders>
          </w:tcPr>
          <w:p>
            <w:pPr>
              <w:pStyle w:val="TableParagraph"/>
              <w:spacing w:before="2"/>
              <w:rPr>
                <w:rFonts w:ascii="宋体"/>
                <w:sz w:val="14"/>
              </w:rPr>
            </w:pPr>
          </w:p>
          <w:p>
            <w:pPr>
              <w:pStyle w:val="TableParagraph"/>
              <w:spacing w:before="1"/>
              <w:ind w:left="250"/>
              <w:rPr>
                <w:rFonts w:ascii="Microsoft JhengHei" w:eastAsia="Microsoft JhengHei" w:hint="eastAsia"/>
                <w:b/>
                <w:sz w:val="20"/>
              </w:rPr>
            </w:pPr>
            <w:r>
              <w:rPr>
                <w:rFonts w:ascii="Microsoft JhengHei" w:eastAsia="Microsoft JhengHei" w:hint="eastAsia"/>
                <w:b/>
                <w:sz w:val="20"/>
              </w:rPr>
              <w:t>期末余额</w:t>
            </w:r>
          </w:p>
        </w:tc>
      </w:tr>
      <w:tr>
        <w:trPr>
          <w:trHeight w:val="364" w:hRule="atLeast"/>
        </w:trPr>
        <w:tc>
          <w:tcPr>
            <w:tcW w:w="1970" w:type="dxa"/>
            <w:vMerge/>
            <w:tcBorders>
              <w:top w:val="nil"/>
              <w:bottom w:val="single" w:sz="6" w:space="0" w:color="000000"/>
              <w:right w:val="single" w:sz="4" w:space="0" w:color="000000"/>
            </w:tcBorders>
          </w:tcPr>
          <w:p>
            <w:pPr>
              <w:rPr>
                <w:sz w:val="2"/>
                <w:szCs w:val="2"/>
              </w:rPr>
            </w:pPr>
          </w:p>
        </w:tc>
        <w:tc>
          <w:tcPr>
            <w:tcW w:w="1301" w:type="dxa"/>
            <w:vMerge/>
            <w:tcBorders>
              <w:top w:val="nil"/>
              <w:left w:val="single" w:sz="4" w:space="0" w:color="000000"/>
              <w:bottom w:val="single" w:sz="6" w:space="0" w:color="000000"/>
              <w:right w:val="single" w:sz="4" w:space="0" w:color="000000"/>
            </w:tcBorders>
          </w:tcPr>
          <w:p>
            <w:pPr>
              <w:rPr>
                <w:sz w:val="2"/>
                <w:szCs w:val="2"/>
              </w:rPr>
            </w:pPr>
          </w:p>
        </w:tc>
        <w:tc>
          <w:tcPr>
            <w:tcW w:w="1063" w:type="dxa"/>
            <w:tcBorders>
              <w:top w:val="single" w:sz="4" w:space="0" w:color="000000"/>
              <w:left w:val="single" w:sz="4" w:space="0" w:color="000000"/>
              <w:bottom w:val="single" w:sz="6" w:space="0" w:color="000000"/>
              <w:right w:val="single" w:sz="4" w:space="0" w:color="000000"/>
            </w:tcBorders>
          </w:tcPr>
          <w:p>
            <w:pPr>
              <w:pStyle w:val="TableParagraph"/>
              <w:spacing w:line="345" w:lineRule="exact"/>
              <w:ind w:left="137"/>
              <w:rPr>
                <w:rFonts w:ascii="Microsoft JhengHei" w:eastAsia="Microsoft JhengHei" w:hint="eastAsia"/>
                <w:b/>
                <w:sz w:val="20"/>
              </w:rPr>
            </w:pPr>
            <w:r>
              <w:rPr>
                <w:rFonts w:ascii="Microsoft JhengHei" w:eastAsia="Microsoft JhengHei" w:hint="eastAsia"/>
                <w:b/>
                <w:sz w:val="20"/>
              </w:rPr>
              <w:t>本期计提</w:t>
            </w:r>
          </w:p>
        </w:tc>
        <w:tc>
          <w:tcPr>
            <w:tcW w:w="1248" w:type="dxa"/>
            <w:tcBorders>
              <w:top w:val="single" w:sz="4" w:space="0" w:color="000000"/>
              <w:left w:val="single" w:sz="4" w:space="0" w:color="000000"/>
              <w:bottom w:val="single" w:sz="6" w:space="0" w:color="000000"/>
              <w:right w:val="single" w:sz="4" w:space="0" w:color="000000"/>
            </w:tcBorders>
          </w:tcPr>
          <w:p>
            <w:pPr>
              <w:pStyle w:val="TableParagraph"/>
              <w:spacing w:line="345" w:lineRule="exact"/>
              <w:ind w:left="228"/>
              <w:rPr>
                <w:rFonts w:ascii="Microsoft JhengHei" w:eastAsia="Microsoft JhengHei" w:hint="eastAsia"/>
                <w:b/>
                <w:sz w:val="20"/>
              </w:rPr>
            </w:pPr>
            <w:r>
              <w:rPr>
                <w:rFonts w:ascii="Microsoft JhengHei" w:eastAsia="Microsoft JhengHei" w:hint="eastAsia"/>
                <w:b/>
                <w:sz w:val="20"/>
              </w:rPr>
              <w:t>其他增加</w:t>
            </w:r>
          </w:p>
        </w:tc>
        <w:tc>
          <w:tcPr>
            <w:tcW w:w="864" w:type="dxa"/>
            <w:tcBorders>
              <w:top w:val="single" w:sz="4" w:space="0" w:color="000000"/>
              <w:left w:val="single" w:sz="4" w:space="0" w:color="000000"/>
              <w:bottom w:val="single" w:sz="6" w:space="0" w:color="000000"/>
              <w:right w:val="single" w:sz="4" w:space="0" w:color="000000"/>
            </w:tcBorders>
          </w:tcPr>
          <w:p>
            <w:pPr>
              <w:pStyle w:val="TableParagraph"/>
              <w:spacing w:line="345" w:lineRule="exact"/>
              <w:ind w:left="140"/>
              <w:rPr>
                <w:rFonts w:ascii="Microsoft JhengHei" w:eastAsia="Microsoft JhengHei" w:hint="eastAsia"/>
                <w:b/>
                <w:sz w:val="20"/>
              </w:rPr>
            </w:pPr>
            <w:r>
              <w:rPr>
                <w:rFonts w:ascii="Microsoft JhengHei" w:eastAsia="Microsoft JhengHei" w:hint="eastAsia"/>
                <w:b/>
                <w:sz w:val="20"/>
              </w:rPr>
              <w:t>转回数</w:t>
            </w:r>
          </w:p>
        </w:tc>
        <w:tc>
          <w:tcPr>
            <w:tcW w:w="1268" w:type="dxa"/>
            <w:tcBorders>
              <w:top w:val="single" w:sz="4" w:space="0" w:color="000000"/>
              <w:left w:val="single" w:sz="4" w:space="0" w:color="000000"/>
              <w:bottom w:val="single" w:sz="6" w:space="0" w:color="000000"/>
              <w:right w:val="single" w:sz="4" w:space="0" w:color="000000"/>
            </w:tcBorders>
          </w:tcPr>
          <w:p>
            <w:pPr>
              <w:pStyle w:val="TableParagraph"/>
              <w:spacing w:line="345" w:lineRule="exact"/>
              <w:ind w:left="142"/>
              <w:rPr>
                <w:rFonts w:ascii="Microsoft JhengHei" w:eastAsia="Microsoft JhengHei" w:hint="eastAsia"/>
                <w:b/>
                <w:sz w:val="20"/>
              </w:rPr>
            </w:pPr>
            <w:r>
              <w:rPr>
                <w:rFonts w:ascii="Microsoft JhengHei" w:eastAsia="Microsoft JhengHei" w:hint="eastAsia"/>
                <w:b/>
                <w:sz w:val="20"/>
              </w:rPr>
              <w:t>转销及其他</w:t>
            </w:r>
          </w:p>
        </w:tc>
        <w:tc>
          <w:tcPr>
            <w:tcW w:w="1284" w:type="dxa"/>
            <w:vMerge/>
            <w:tcBorders>
              <w:top w:val="nil"/>
              <w:left w:val="single" w:sz="4" w:space="0" w:color="000000"/>
              <w:bottom w:val="single" w:sz="6" w:space="0" w:color="000000"/>
            </w:tcBorders>
          </w:tcPr>
          <w:p>
            <w:pPr>
              <w:rPr>
                <w:sz w:val="2"/>
                <w:szCs w:val="2"/>
              </w:rPr>
            </w:pPr>
          </w:p>
        </w:tc>
      </w:tr>
      <w:tr>
        <w:trPr>
          <w:trHeight w:val="364" w:hRule="atLeast"/>
        </w:trPr>
        <w:tc>
          <w:tcPr>
            <w:tcW w:w="1970" w:type="dxa"/>
            <w:tcBorders>
              <w:top w:val="single" w:sz="6" w:space="0" w:color="000000"/>
              <w:bottom w:val="single" w:sz="4" w:space="0" w:color="000000"/>
              <w:right w:val="single" w:sz="4" w:space="0" w:color="000000"/>
            </w:tcBorders>
          </w:tcPr>
          <w:p>
            <w:pPr>
              <w:pStyle w:val="TableParagraph"/>
              <w:spacing w:before="54"/>
              <w:ind w:left="107"/>
              <w:rPr>
                <w:rFonts w:ascii="宋体" w:eastAsia="宋体" w:hint="eastAsia"/>
                <w:sz w:val="20"/>
              </w:rPr>
            </w:pPr>
            <w:r>
              <w:rPr>
                <w:rFonts w:ascii="宋体" w:eastAsia="宋体" w:hint="eastAsia"/>
                <w:sz w:val="20"/>
              </w:rPr>
              <w:t>工程服务合同相关</w:t>
            </w:r>
          </w:p>
        </w:tc>
        <w:tc>
          <w:tcPr>
            <w:tcW w:w="1301" w:type="dxa"/>
            <w:tcBorders>
              <w:top w:val="single" w:sz="6" w:space="0" w:color="000000"/>
              <w:left w:val="single" w:sz="4" w:space="0" w:color="000000"/>
              <w:bottom w:val="single" w:sz="4" w:space="0" w:color="000000"/>
              <w:right w:val="single" w:sz="4" w:space="0" w:color="000000"/>
            </w:tcBorders>
          </w:tcPr>
          <w:p>
            <w:pPr>
              <w:pStyle w:val="TableParagraph"/>
              <w:spacing w:before="60"/>
              <w:ind w:right="86"/>
              <w:jc w:val="right"/>
              <w:rPr>
                <w:sz w:val="20"/>
              </w:rPr>
            </w:pPr>
            <w:r>
              <w:rPr>
                <w:w w:val="95"/>
                <w:sz w:val="20"/>
              </w:rPr>
              <w:t>3,654,196.27</w:t>
            </w:r>
          </w:p>
        </w:tc>
        <w:tc>
          <w:tcPr>
            <w:tcW w:w="1063" w:type="dxa"/>
            <w:tcBorders>
              <w:top w:val="single" w:sz="6" w:space="0" w:color="000000"/>
              <w:left w:val="single" w:sz="4" w:space="0" w:color="000000"/>
              <w:bottom w:val="single" w:sz="4" w:space="0" w:color="000000"/>
              <w:right w:val="single" w:sz="4" w:space="0" w:color="000000"/>
            </w:tcBorders>
          </w:tcPr>
          <w:p>
            <w:pPr>
              <w:pStyle w:val="TableParagraph"/>
              <w:rPr>
                <w:sz w:val="18"/>
              </w:rPr>
            </w:pPr>
          </w:p>
        </w:tc>
        <w:tc>
          <w:tcPr>
            <w:tcW w:w="1248" w:type="dxa"/>
            <w:tcBorders>
              <w:top w:val="single" w:sz="6" w:space="0" w:color="000000"/>
              <w:left w:val="single" w:sz="4" w:space="0" w:color="000000"/>
              <w:bottom w:val="single" w:sz="4" w:space="0" w:color="000000"/>
              <w:right w:val="single" w:sz="4" w:space="0" w:color="000000"/>
            </w:tcBorders>
          </w:tcPr>
          <w:p>
            <w:pPr>
              <w:pStyle w:val="TableParagraph"/>
              <w:rPr>
                <w:sz w:val="18"/>
              </w:rPr>
            </w:pPr>
          </w:p>
        </w:tc>
        <w:tc>
          <w:tcPr>
            <w:tcW w:w="864" w:type="dxa"/>
            <w:tcBorders>
              <w:top w:val="single" w:sz="6" w:space="0" w:color="000000"/>
              <w:left w:val="single" w:sz="4" w:space="0" w:color="000000"/>
              <w:bottom w:val="single" w:sz="4" w:space="0" w:color="000000"/>
              <w:right w:val="single" w:sz="4" w:space="0" w:color="000000"/>
            </w:tcBorders>
          </w:tcPr>
          <w:p>
            <w:pPr>
              <w:pStyle w:val="TableParagraph"/>
              <w:rPr>
                <w:sz w:val="18"/>
              </w:rPr>
            </w:pPr>
          </w:p>
        </w:tc>
        <w:tc>
          <w:tcPr>
            <w:tcW w:w="1268" w:type="dxa"/>
            <w:tcBorders>
              <w:top w:val="single" w:sz="6" w:space="0" w:color="000000"/>
              <w:left w:val="single" w:sz="4" w:space="0" w:color="000000"/>
              <w:bottom w:val="single" w:sz="4" w:space="0" w:color="000000"/>
              <w:right w:val="single" w:sz="4" w:space="0" w:color="000000"/>
            </w:tcBorders>
          </w:tcPr>
          <w:p>
            <w:pPr>
              <w:pStyle w:val="TableParagraph"/>
              <w:spacing w:before="60"/>
              <w:ind w:left="118"/>
              <w:rPr>
                <w:sz w:val="20"/>
              </w:rPr>
            </w:pPr>
            <w:r>
              <w:rPr>
                <w:sz w:val="20"/>
              </w:rPr>
              <w:t>3,654,196.27</w:t>
            </w:r>
          </w:p>
        </w:tc>
        <w:tc>
          <w:tcPr>
            <w:tcW w:w="1284" w:type="dxa"/>
            <w:tcBorders>
              <w:top w:val="single" w:sz="6" w:space="0" w:color="000000"/>
              <w:left w:val="single" w:sz="4" w:space="0" w:color="000000"/>
              <w:bottom w:val="single" w:sz="4" w:space="0" w:color="000000"/>
            </w:tcBorders>
          </w:tcPr>
          <w:p>
            <w:pPr>
              <w:pStyle w:val="TableParagraph"/>
              <w:rPr>
                <w:sz w:val="18"/>
              </w:rPr>
            </w:pPr>
          </w:p>
        </w:tc>
      </w:tr>
      <w:tr>
        <w:trPr>
          <w:trHeight w:val="368" w:hRule="atLeast"/>
        </w:trPr>
        <w:tc>
          <w:tcPr>
            <w:tcW w:w="1970" w:type="dxa"/>
            <w:tcBorders>
              <w:top w:val="single" w:sz="4" w:space="0" w:color="000000"/>
              <w:right w:val="single" w:sz="4" w:space="0" w:color="000000"/>
            </w:tcBorders>
          </w:tcPr>
          <w:p>
            <w:pPr>
              <w:pStyle w:val="TableParagraph"/>
              <w:spacing w:before="56"/>
              <w:ind w:left="760" w:right="744"/>
              <w:jc w:val="center"/>
              <w:rPr>
                <w:rFonts w:ascii="宋体" w:eastAsia="宋体" w:hint="eastAsia"/>
                <w:sz w:val="20"/>
              </w:rPr>
            </w:pPr>
            <w:r>
              <w:rPr>
                <w:rFonts w:ascii="宋体" w:eastAsia="宋体" w:hint="eastAsia"/>
                <w:sz w:val="20"/>
              </w:rPr>
              <w:t>合计</w:t>
            </w:r>
          </w:p>
        </w:tc>
        <w:tc>
          <w:tcPr>
            <w:tcW w:w="1301" w:type="dxa"/>
            <w:tcBorders>
              <w:top w:val="single" w:sz="4" w:space="0" w:color="000000"/>
              <w:left w:val="single" w:sz="4" w:space="0" w:color="000000"/>
              <w:right w:val="single" w:sz="4" w:space="0" w:color="000000"/>
            </w:tcBorders>
          </w:tcPr>
          <w:p>
            <w:pPr>
              <w:pStyle w:val="TableParagraph"/>
              <w:spacing w:before="65"/>
              <w:ind w:right="86"/>
              <w:jc w:val="right"/>
              <w:rPr>
                <w:sz w:val="20"/>
              </w:rPr>
            </w:pPr>
            <w:r>
              <w:rPr>
                <w:w w:val="95"/>
                <w:sz w:val="20"/>
              </w:rPr>
              <w:t>3,654,196.27</w:t>
            </w:r>
          </w:p>
        </w:tc>
        <w:tc>
          <w:tcPr>
            <w:tcW w:w="1063" w:type="dxa"/>
            <w:tcBorders>
              <w:top w:val="single" w:sz="4" w:space="0" w:color="000000"/>
              <w:left w:val="single" w:sz="4" w:space="0" w:color="000000"/>
              <w:right w:val="single" w:sz="4" w:space="0" w:color="000000"/>
            </w:tcBorders>
          </w:tcPr>
          <w:p>
            <w:pPr>
              <w:pStyle w:val="TableParagraph"/>
              <w:rPr>
                <w:sz w:val="18"/>
              </w:rPr>
            </w:pPr>
          </w:p>
        </w:tc>
        <w:tc>
          <w:tcPr>
            <w:tcW w:w="1248" w:type="dxa"/>
            <w:tcBorders>
              <w:top w:val="single" w:sz="4" w:space="0" w:color="000000"/>
              <w:left w:val="single" w:sz="4" w:space="0" w:color="000000"/>
              <w:right w:val="single" w:sz="4" w:space="0" w:color="000000"/>
            </w:tcBorders>
          </w:tcPr>
          <w:p>
            <w:pPr>
              <w:pStyle w:val="TableParagraph"/>
              <w:rPr>
                <w:sz w:val="18"/>
              </w:rPr>
            </w:pPr>
          </w:p>
        </w:tc>
        <w:tc>
          <w:tcPr>
            <w:tcW w:w="864" w:type="dxa"/>
            <w:tcBorders>
              <w:top w:val="single" w:sz="4" w:space="0" w:color="000000"/>
              <w:left w:val="single" w:sz="4" w:space="0" w:color="000000"/>
              <w:right w:val="single" w:sz="4" w:space="0" w:color="000000"/>
            </w:tcBorders>
          </w:tcPr>
          <w:p>
            <w:pPr>
              <w:pStyle w:val="TableParagraph"/>
              <w:rPr>
                <w:sz w:val="18"/>
              </w:rPr>
            </w:pPr>
          </w:p>
        </w:tc>
        <w:tc>
          <w:tcPr>
            <w:tcW w:w="1268" w:type="dxa"/>
            <w:tcBorders>
              <w:top w:val="single" w:sz="4" w:space="0" w:color="000000"/>
              <w:left w:val="single" w:sz="4" w:space="0" w:color="000000"/>
              <w:right w:val="single" w:sz="4" w:space="0" w:color="000000"/>
            </w:tcBorders>
          </w:tcPr>
          <w:p>
            <w:pPr>
              <w:pStyle w:val="TableParagraph"/>
              <w:spacing w:before="65"/>
              <w:ind w:left="118"/>
              <w:rPr>
                <w:sz w:val="20"/>
              </w:rPr>
            </w:pPr>
            <w:r>
              <w:rPr>
                <w:sz w:val="20"/>
              </w:rPr>
              <w:t>3,654,196.27</w:t>
            </w:r>
          </w:p>
        </w:tc>
        <w:tc>
          <w:tcPr>
            <w:tcW w:w="1284" w:type="dxa"/>
            <w:tcBorders>
              <w:top w:val="single" w:sz="4" w:space="0" w:color="000000"/>
              <w:left w:val="single" w:sz="4" w:space="0" w:color="000000"/>
            </w:tcBorders>
          </w:tcPr>
          <w:p>
            <w:pPr>
              <w:pStyle w:val="TableParagraph"/>
              <w:rPr>
                <w:sz w:val="18"/>
              </w:rPr>
            </w:pPr>
          </w:p>
        </w:tc>
      </w:tr>
    </w:tbl>
    <w:p>
      <w:pPr>
        <w:pStyle w:val="BodyText"/>
        <w:spacing w:line="265" w:lineRule="exact" w:before="3"/>
        <w:ind w:left="1538"/>
      </w:pPr>
      <w:r>
        <w:rPr>
          <w:w w:val="100"/>
        </w:rPr>
        <w:t> </w:t>
      </w:r>
    </w:p>
    <w:p>
      <w:pPr>
        <w:pStyle w:val="Heading4"/>
        <w:tabs>
          <w:tab w:pos="2377" w:val="left" w:leader="none"/>
        </w:tabs>
        <w:spacing w:line="383" w:lineRule="exact"/>
      </w:pPr>
      <w:r>
        <w:rPr>
          <w:rFonts w:ascii="Times New Roman" w:eastAsia="Times New Roman"/>
        </w:rPr>
        <w:t>10</w:t>
      </w:r>
      <w:r>
        <w:rPr/>
        <w:t>、</w:t>
        <w:tab/>
        <w:t>其他流动资产</w:t>
      </w:r>
    </w:p>
    <w:p>
      <w:pPr>
        <w:pStyle w:val="ListParagraph"/>
        <w:numPr>
          <w:ilvl w:val="0"/>
          <w:numId w:val="57"/>
        </w:numPr>
        <w:tabs>
          <w:tab w:pos="529" w:val="left" w:leader="none"/>
        </w:tabs>
        <w:spacing w:line="240" w:lineRule="auto" w:before="190" w:after="0"/>
        <w:ind w:left="2208" w:right="8596" w:hanging="2209"/>
        <w:jc w:val="right"/>
        <w:rPr>
          <w:sz w:val="21"/>
        </w:rPr>
      </w:pPr>
      <w:r>
        <w:rPr>
          <w:spacing w:val="-2"/>
          <w:sz w:val="21"/>
        </w:rPr>
        <w:t>明细情况</w:t>
      </w:r>
    </w:p>
    <w:p>
      <w:pPr>
        <w:pStyle w:val="BodyText"/>
        <w:spacing w:before="3"/>
        <w:rPr>
          <w:sz w:val="12"/>
        </w:rPr>
      </w:pPr>
    </w:p>
    <w:tbl>
      <w:tblPr>
        <w:tblW w:w="0" w:type="auto"/>
        <w:jc w:val="left"/>
        <w:tblInd w:w="170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39"/>
        <w:gridCol w:w="1843"/>
        <w:gridCol w:w="1558"/>
        <w:gridCol w:w="1748"/>
        <w:gridCol w:w="1548"/>
      </w:tblGrid>
      <w:tr>
        <w:trPr>
          <w:trHeight w:val="340" w:hRule="atLeast"/>
        </w:trPr>
        <w:tc>
          <w:tcPr>
            <w:tcW w:w="1839" w:type="dxa"/>
            <w:vMerge w:val="restart"/>
            <w:tcBorders>
              <w:bottom w:val="single" w:sz="4" w:space="0" w:color="000000"/>
              <w:right w:val="single" w:sz="4" w:space="0" w:color="000000"/>
            </w:tcBorders>
          </w:tcPr>
          <w:p>
            <w:pPr>
              <w:pStyle w:val="TableParagraph"/>
              <w:spacing w:before="11"/>
              <w:rPr>
                <w:rFonts w:ascii="宋体"/>
                <w:sz w:val="13"/>
              </w:rPr>
            </w:pPr>
          </w:p>
          <w:p>
            <w:pPr>
              <w:pStyle w:val="TableParagraph"/>
              <w:ind w:left="87" w:right="69"/>
              <w:jc w:val="center"/>
              <w:rPr>
                <w:rFonts w:ascii="Microsoft JhengHei" w:eastAsia="Microsoft JhengHei" w:hint="eastAsia"/>
                <w:b/>
                <w:sz w:val="18"/>
              </w:rPr>
            </w:pPr>
            <w:r>
              <w:rPr>
                <w:rFonts w:ascii="Microsoft JhengHei" w:eastAsia="Microsoft JhengHei" w:hint="eastAsia"/>
                <w:b/>
                <w:sz w:val="18"/>
              </w:rPr>
              <w:t>项目</w:t>
            </w:r>
          </w:p>
        </w:tc>
        <w:tc>
          <w:tcPr>
            <w:tcW w:w="3401" w:type="dxa"/>
            <w:gridSpan w:val="2"/>
            <w:tcBorders>
              <w:left w:val="single" w:sz="4" w:space="0" w:color="000000"/>
              <w:bottom w:val="single" w:sz="4" w:space="0" w:color="000000"/>
              <w:right w:val="single" w:sz="4" w:space="0" w:color="000000"/>
            </w:tcBorders>
          </w:tcPr>
          <w:p>
            <w:pPr>
              <w:pStyle w:val="TableParagraph"/>
              <w:spacing w:line="320" w:lineRule="exact"/>
              <w:ind w:left="46" w:right="18"/>
              <w:jc w:val="center"/>
              <w:rPr>
                <w:rFonts w:ascii="Microsoft JhengHei" w:eastAsia="Microsoft JhengHei" w:hint="eastAsia"/>
                <w:b/>
                <w:sz w:val="18"/>
              </w:rPr>
            </w:pPr>
            <w:r>
              <w:rPr>
                <w:rFonts w:ascii="Microsoft JhengHei" w:eastAsia="Microsoft JhengHei" w:hint="eastAsia"/>
                <w:b/>
                <w:sz w:val="18"/>
              </w:rPr>
              <w:t>期末余额</w:t>
            </w:r>
          </w:p>
        </w:tc>
        <w:tc>
          <w:tcPr>
            <w:tcW w:w="3296" w:type="dxa"/>
            <w:gridSpan w:val="2"/>
            <w:tcBorders>
              <w:left w:val="single" w:sz="4" w:space="0" w:color="000000"/>
              <w:bottom w:val="single" w:sz="4" w:space="0" w:color="000000"/>
            </w:tcBorders>
          </w:tcPr>
          <w:p>
            <w:pPr>
              <w:pStyle w:val="TableParagraph"/>
              <w:spacing w:line="320" w:lineRule="exact"/>
              <w:ind w:left="1276" w:right="1238"/>
              <w:jc w:val="center"/>
              <w:rPr>
                <w:rFonts w:ascii="Microsoft JhengHei" w:eastAsia="Microsoft JhengHei" w:hint="eastAsia"/>
                <w:b/>
                <w:sz w:val="18"/>
              </w:rPr>
            </w:pPr>
            <w:r>
              <w:rPr>
                <w:rFonts w:ascii="Microsoft JhengHei" w:eastAsia="Microsoft JhengHei" w:hint="eastAsia"/>
                <w:b/>
                <w:sz w:val="18"/>
              </w:rPr>
              <w:t>期初余额</w:t>
            </w:r>
          </w:p>
        </w:tc>
      </w:tr>
      <w:tr>
        <w:trPr>
          <w:trHeight w:val="357" w:hRule="atLeast"/>
        </w:trPr>
        <w:tc>
          <w:tcPr>
            <w:tcW w:w="1839" w:type="dxa"/>
            <w:vMerge/>
            <w:tcBorders>
              <w:top w:val="nil"/>
              <w:bottom w:val="single" w:sz="4" w:space="0" w:color="000000"/>
              <w:right w:val="single" w:sz="4" w:space="0" w:color="000000"/>
            </w:tcBorders>
          </w:tcPr>
          <w:p>
            <w:pPr>
              <w:rPr>
                <w:sz w:val="2"/>
                <w:szCs w:val="2"/>
              </w:rPr>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2"/>
              <w:ind w:left="568"/>
              <w:rPr>
                <w:rFonts w:ascii="Microsoft JhengHei" w:eastAsia="Microsoft JhengHei" w:hint="eastAsia"/>
                <w:b/>
                <w:sz w:val="18"/>
              </w:rPr>
            </w:pPr>
            <w:r>
              <w:rPr>
                <w:rFonts w:ascii="Microsoft JhengHei" w:eastAsia="Microsoft JhengHei" w:hint="eastAsia"/>
                <w:b/>
                <w:sz w:val="18"/>
              </w:rPr>
              <w:t>账面余额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before="2"/>
              <w:ind w:left="427"/>
              <w:rPr>
                <w:rFonts w:ascii="Microsoft JhengHei" w:eastAsia="Microsoft JhengHei" w:hint="eastAsia"/>
                <w:b/>
                <w:sz w:val="18"/>
              </w:rPr>
            </w:pPr>
            <w:r>
              <w:rPr>
                <w:rFonts w:ascii="Microsoft JhengHei" w:eastAsia="Microsoft JhengHei" w:hint="eastAsia"/>
                <w:b/>
                <w:sz w:val="18"/>
              </w:rPr>
              <w:t>减值准备</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before="2"/>
              <w:ind w:left="520"/>
              <w:rPr>
                <w:rFonts w:ascii="Microsoft JhengHei" w:eastAsia="Microsoft JhengHei" w:hint="eastAsia"/>
                <w:b/>
                <w:sz w:val="18"/>
              </w:rPr>
            </w:pPr>
            <w:r>
              <w:rPr>
                <w:rFonts w:ascii="Microsoft JhengHei" w:eastAsia="Microsoft JhengHei" w:hint="eastAsia"/>
                <w:b/>
                <w:sz w:val="18"/>
              </w:rPr>
              <w:t>账面余额</w:t>
            </w:r>
          </w:p>
        </w:tc>
        <w:tc>
          <w:tcPr>
            <w:tcW w:w="1548" w:type="dxa"/>
            <w:tcBorders>
              <w:top w:val="single" w:sz="4" w:space="0" w:color="000000"/>
              <w:left w:val="single" w:sz="4" w:space="0" w:color="000000"/>
              <w:bottom w:val="single" w:sz="4" w:space="0" w:color="000000"/>
            </w:tcBorders>
          </w:tcPr>
          <w:p>
            <w:pPr>
              <w:pStyle w:val="TableParagraph"/>
              <w:spacing w:before="2"/>
              <w:ind w:left="422"/>
              <w:rPr>
                <w:rFonts w:ascii="Microsoft JhengHei" w:eastAsia="Microsoft JhengHei" w:hint="eastAsia"/>
                <w:b/>
                <w:sz w:val="18"/>
              </w:rPr>
            </w:pPr>
            <w:r>
              <w:rPr>
                <w:rFonts w:ascii="Microsoft JhengHei" w:eastAsia="Microsoft JhengHei" w:hint="eastAsia"/>
                <w:b/>
                <w:sz w:val="18"/>
              </w:rPr>
              <w:t>减值准备</w:t>
            </w:r>
          </w:p>
        </w:tc>
      </w:tr>
      <w:tr>
        <w:trPr>
          <w:trHeight w:val="359" w:hRule="atLeast"/>
        </w:trPr>
        <w:tc>
          <w:tcPr>
            <w:tcW w:w="1839" w:type="dxa"/>
            <w:tcBorders>
              <w:top w:val="single" w:sz="4" w:space="0" w:color="000000"/>
              <w:bottom w:val="single" w:sz="4" w:space="0" w:color="000000"/>
              <w:right w:val="single" w:sz="4" w:space="0" w:color="000000"/>
            </w:tcBorders>
          </w:tcPr>
          <w:p>
            <w:pPr>
              <w:pStyle w:val="TableParagraph"/>
              <w:spacing w:before="64"/>
              <w:ind w:left="107"/>
              <w:rPr>
                <w:rFonts w:ascii="宋体" w:eastAsia="宋体" w:hint="eastAsia"/>
                <w:sz w:val="18"/>
              </w:rPr>
            </w:pPr>
            <w:r>
              <w:rPr>
                <w:rFonts w:ascii="宋体" w:eastAsia="宋体" w:hint="eastAsia"/>
                <w:sz w:val="18"/>
              </w:rPr>
              <w:t>银行理财存款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71"/>
              <w:ind w:right="86"/>
              <w:jc w:val="right"/>
              <w:rPr>
                <w:sz w:val="18"/>
              </w:rPr>
            </w:pPr>
            <w:r>
              <w:rPr>
                <w:sz w:val="18"/>
              </w:rPr>
              <w:t>554,131,037.76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before="60"/>
              <w:ind w:right="-15"/>
              <w:jc w:val="right"/>
              <w:rPr>
                <w:rFonts w:ascii="宋体"/>
                <w:sz w:val="18"/>
              </w:rPr>
            </w:pPr>
            <w:r>
              <w:rPr>
                <w:rFonts w:ascii="宋体"/>
                <w:sz w:val="18"/>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before="71"/>
              <w:ind w:right="87"/>
              <w:jc w:val="right"/>
              <w:rPr>
                <w:sz w:val="18"/>
              </w:rPr>
            </w:pPr>
            <w:r>
              <w:rPr>
                <w:sz w:val="18"/>
              </w:rPr>
              <w:t>3,981,314,321.50</w:t>
            </w:r>
          </w:p>
        </w:tc>
        <w:tc>
          <w:tcPr>
            <w:tcW w:w="1548" w:type="dxa"/>
            <w:tcBorders>
              <w:top w:val="single" w:sz="4" w:space="0" w:color="000000"/>
              <w:left w:val="single" w:sz="4" w:space="0" w:color="000000"/>
              <w:bottom w:val="single" w:sz="4" w:space="0" w:color="000000"/>
            </w:tcBorders>
          </w:tcPr>
          <w:p>
            <w:pPr>
              <w:pStyle w:val="TableParagraph"/>
              <w:spacing w:before="60"/>
              <w:ind w:right="-15"/>
              <w:jc w:val="right"/>
              <w:rPr>
                <w:rFonts w:ascii="宋体"/>
                <w:sz w:val="18"/>
              </w:rPr>
            </w:pPr>
            <w:r>
              <w:rPr>
                <w:rFonts w:ascii="宋体"/>
                <w:sz w:val="18"/>
              </w:rPr>
              <w:t> </w:t>
            </w:r>
          </w:p>
        </w:tc>
      </w:tr>
      <w:tr>
        <w:trPr>
          <w:trHeight w:val="359" w:hRule="atLeast"/>
        </w:trPr>
        <w:tc>
          <w:tcPr>
            <w:tcW w:w="1839" w:type="dxa"/>
            <w:tcBorders>
              <w:top w:val="single" w:sz="4" w:space="0" w:color="000000"/>
              <w:bottom w:val="single" w:sz="4" w:space="0" w:color="000000"/>
              <w:right w:val="single" w:sz="4" w:space="0" w:color="000000"/>
            </w:tcBorders>
          </w:tcPr>
          <w:p>
            <w:pPr>
              <w:pStyle w:val="TableParagraph"/>
              <w:spacing w:before="62"/>
              <w:ind w:left="107"/>
              <w:rPr>
                <w:rFonts w:ascii="宋体" w:eastAsia="宋体" w:hint="eastAsia"/>
                <w:sz w:val="18"/>
              </w:rPr>
            </w:pPr>
            <w:r>
              <w:rPr>
                <w:rFonts w:ascii="宋体" w:eastAsia="宋体" w:hint="eastAsia"/>
                <w:sz w:val="18"/>
              </w:rPr>
              <w:t>待抵扣税金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71"/>
              <w:ind w:right="86"/>
              <w:jc w:val="right"/>
              <w:rPr>
                <w:sz w:val="18"/>
              </w:rPr>
            </w:pPr>
            <w:r>
              <w:rPr>
                <w:sz w:val="18"/>
              </w:rPr>
              <w:t>2,438,982,829.14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before="71"/>
              <w:ind w:right="84"/>
              <w:jc w:val="right"/>
              <w:rPr>
                <w:sz w:val="18"/>
              </w:rPr>
            </w:pPr>
            <w:r>
              <w:rPr>
                <w:sz w:val="18"/>
              </w:rPr>
              <w:t>2,907,303.98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before="71"/>
              <w:ind w:right="87"/>
              <w:jc w:val="right"/>
              <w:rPr>
                <w:sz w:val="18"/>
              </w:rPr>
            </w:pPr>
            <w:r>
              <w:rPr>
                <w:sz w:val="18"/>
              </w:rPr>
              <w:t>2,578,384,287.03</w:t>
            </w:r>
          </w:p>
        </w:tc>
        <w:tc>
          <w:tcPr>
            <w:tcW w:w="1548" w:type="dxa"/>
            <w:tcBorders>
              <w:top w:val="single" w:sz="4" w:space="0" w:color="000000"/>
              <w:left w:val="single" w:sz="4" w:space="0" w:color="000000"/>
              <w:bottom w:val="single" w:sz="4" w:space="0" w:color="000000"/>
            </w:tcBorders>
          </w:tcPr>
          <w:p>
            <w:pPr>
              <w:pStyle w:val="TableParagraph"/>
              <w:spacing w:before="71"/>
              <w:ind w:right="76"/>
              <w:jc w:val="right"/>
              <w:rPr>
                <w:sz w:val="18"/>
              </w:rPr>
            </w:pPr>
            <w:r>
              <w:rPr>
                <w:sz w:val="18"/>
              </w:rPr>
              <w:t>3,276,161.33</w:t>
            </w:r>
          </w:p>
        </w:tc>
      </w:tr>
      <w:tr>
        <w:trPr>
          <w:trHeight w:val="360" w:hRule="atLeast"/>
        </w:trPr>
        <w:tc>
          <w:tcPr>
            <w:tcW w:w="1839" w:type="dxa"/>
            <w:tcBorders>
              <w:top w:val="single" w:sz="4" w:space="0" w:color="000000"/>
              <w:bottom w:val="single" w:sz="4" w:space="0" w:color="000000"/>
              <w:right w:val="single" w:sz="4" w:space="0" w:color="000000"/>
            </w:tcBorders>
          </w:tcPr>
          <w:p>
            <w:pPr>
              <w:pStyle w:val="TableParagraph"/>
              <w:spacing w:before="62"/>
              <w:ind w:left="107"/>
              <w:rPr>
                <w:rFonts w:ascii="宋体" w:eastAsia="宋体" w:hint="eastAsia"/>
                <w:sz w:val="18"/>
              </w:rPr>
            </w:pPr>
            <w:r>
              <w:rPr>
                <w:rFonts w:ascii="宋体" w:eastAsia="宋体" w:hint="eastAsia"/>
                <w:sz w:val="18"/>
              </w:rPr>
              <w:t>应收退货成本</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72"/>
              <w:ind w:right="86"/>
              <w:jc w:val="right"/>
              <w:rPr>
                <w:sz w:val="18"/>
              </w:rPr>
            </w:pPr>
            <w:r>
              <w:rPr>
                <w:sz w:val="18"/>
              </w:rPr>
              <w:t>418,107,603.27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before="72"/>
              <w:ind w:left="335"/>
              <w:rPr>
                <w:sz w:val="18"/>
              </w:rPr>
            </w:pPr>
            <w:r>
              <w:rPr>
                <w:sz w:val="18"/>
              </w:rPr>
              <w:t>242,502,616.01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before="72"/>
              <w:ind w:right="87"/>
              <w:jc w:val="right"/>
              <w:rPr>
                <w:sz w:val="18"/>
              </w:rPr>
            </w:pPr>
            <w:r>
              <w:rPr>
                <w:sz w:val="18"/>
              </w:rPr>
              <w:t>374,052,448.32</w:t>
            </w:r>
          </w:p>
        </w:tc>
        <w:tc>
          <w:tcPr>
            <w:tcW w:w="1548" w:type="dxa"/>
            <w:tcBorders>
              <w:top w:val="single" w:sz="4" w:space="0" w:color="000000"/>
              <w:left w:val="single" w:sz="4" w:space="0" w:color="000000"/>
              <w:bottom w:val="single" w:sz="4" w:space="0" w:color="000000"/>
            </w:tcBorders>
          </w:tcPr>
          <w:p>
            <w:pPr>
              <w:pStyle w:val="TableParagraph"/>
              <w:spacing w:before="72"/>
              <w:ind w:left="323"/>
              <w:rPr>
                <w:sz w:val="18"/>
              </w:rPr>
            </w:pPr>
            <w:r>
              <w:rPr>
                <w:sz w:val="18"/>
              </w:rPr>
              <w:t>218,016,000.42</w:t>
            </w:r>
          </w:p>
        </w:tc>
      </w:tr>
      <w:tr>
        <w:trPr>
          <w:trHeight w:val="357" w:hRule="atLeast"/>
        </w:trPr>
        <w:tc>
          <w:tcPr>
            <w:tcW w:w="1839" w:type="dxa"/>
            <w:tcBorders>
              <w:top w:val="single" w:sz="4" w:space="0" w:color="000000"/>
              <w:bottom w:val="single" w:sz="4" w:space="0" w:color="000000"/>
              <w:right w:val="single" w:sz="4" w:space="0" w:color="000000"/>
            </w:tcBorders>
          </w:tcPr>
          <w:p>
            <w:pPr>
              <w:pStyle w:val="TableParagraph"/>
              <w:spacing w:before="62"/>
              <w:ind w:left="107"/>
              <w:rPr>
                <w:rFonts w:ascii="宋体" w:eastAsia="宋体" w:hint="eastAsia"/>
                <w:sz w:val="18"/>
              </w:rPr>
            </w:pPr>
            <w:r>
              <w:rPr>
                <w:rFonts w:ascii="宋体" w:eastAsia="宋体" w:hint="eastAsia"/>
                <w:sz w:val="18"/>
              </w:rPr>
              <w:t>其他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69"/>
              <w:ind w:right="86"/>
              <w:jc w:val="right"/>
              <w:rPr>
                <w:sz w:val="18"/>
              </w:rPr>
            </w:pPr>
            <w:r>
              <w:rPr>
                <w:sz w:val="18"/>
              </w:rPr>
              <w:t>118,077,350.40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before="57"/>
              <w:ind w:right="-15"/>
              <w:jc w:val="right"/>
              <w:rPr>
                <w:rFonts w:ascii="宋体"/>
                <w:sz w:val="18"/>
              </w:rPr>
            </w:pPr>
            <w:r>
              <w:rPr>
                <w:rFonts w:ascii="宋体"/>
                <w:sz w:val="18"/>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before="69"/>
              <w:ind w:right="87"/>
              <w:jc w:val="right"/>
              <w:rPr>
                <w:sz w:val="18"/>
              </w:rPr>
            </w:pPr>
            <w:r>
              <w:rPr>
                <w:sz w:val="18"/>
              </w:rPr>
              <w:t>273,507,220.36</w:t>
            </w:r>
          </w:p>
        </w:tc>
        <w:tc>
          <w:tcPr>
            <w:tcW w:w="1548" w:type="dxa"/>
            <w:tcBorders>
              <w:top w:val="single" w:sz="4" w:space="0" w:color="000000"/>
              <w:left w:val="single" w:sz="4" w:space="0" w:color="000000"/>
              <w:bottom w:val="single" w:sz="4" w:space="0" w:color="000000"/>
            </w:tcBorders>
          </w:tcPr>
          <w:p>
            <w:pPr>
              <w:pStyle w:val="TableParagraph"/>
              <w:spacing w:before="57"/>
              <w:ind w:right="-15"/>
              <w:jc w:val="right"/>
              <w:rPr>
                <w:rFonts w:ascii="宋体"/>
                <w:sz w:val="18"/>
              </w:rPr>
            </w:pPr>
            <w:r>
              <w:rPr>
                <w:rFonts w:ascii="宋体"/>
                <w:sz w:val="18"/>
              </w:rPr>
              <w:t> </w:t>
            </w:r>
          </w:p>
        </w:tc>
      </w:tr>
      <w:tr>
        <w:trPr>
          <w:trHeight w:val="359" w:hRule="atLeast"/>
        </w:trPr>
        <w:tc>
          <w:tcPr>
            <w:tcW w:w="1839" w:type="dxa"/>
            <w:tcBorders>
              <w:top w:val="single" w:sz="4" w:space="0" w:color="000000"/>
              <w:right w:val="single" w:sz="4" w:space="0" w:color="000000"/>
            </w:tcBorders>
          </w:tcPr>
          <w:p>
            <w:pPr>
              <w:pStyle w:val="TableParagraph"/>
              <w:spacing w:before="64"/>
              <w:ind w:left="87" w:right="69"/>
              <w:jc w:val="center"/>
              <w:rPr>
                <w:rFonts w:ascii="宋体" w:eastAsia="宋体" w:hint="eastAsia"/>
                <w:sz w:val="18"/>
              </w:rPr>
            </w:pPr>
            <w:r>
              <w:rPr>
                <w:rFonts w:ascii="宋体" w:eastAsia="宋体" w:hint="eastAsia"/>
                <w:sz w:val="18"/>
              </w:rPr>
              <w:t>合计</w:t>
            </w:r>
          </w:p>
        </w:tc>
        <w:tc>
          <w:tcPr>
            <w:tcW w:w="1843" w:type="dxa"/>
            <w:tcBorders>
              <w:top w:val="single" w:sz="4" w:space="0" w:color="000000"/>
              <w:left w:val="single" w:sz="4" w:space="0" w:color="000000"/>
              <w:right w:val="single" w:sz="4" w:space="0" w:color="000000"/>
            </w:tcBorders>
          </w:tcPr>
          <w:p>
            <w:pPr>
              <w:pStyle w:val="TableParagraph"/>
              <w:spacing w:before="71"/>
              <w:ind w:right="86"/>
              <w:jc w:val="right"/>
              <w:rPr>
                <w:sz w:val="18"/>
              </w:rPr>
            </w:pPr>
            <w:r>
              <w:rPr>
                <w:sz w:val="18"/>
              </w:rPr>
              <w:t>3,529,298,820.57</w:t>
            </w:r>
          </w:p>
        </w:tc>
        <w:tc>
          <w:tcPr>
            <w:tcW w:w="1558" w:type="dxa"/>
            <w:tcBorders>
              <w:top w:val="single" w:sz="4" w:space="0" w:color="000000"/>
              <w:left w:val="single" w:sz="4" w:space="0" w:color="000000"/>
              <w:right w:val="single" w:sz="4" w:space="0" w:color="000000"/>
            </w:tcBorders>
          </w:tcPr>
          <w:p>
            <w:pPr>
              <w:pStyle w:val="TableParagraph"/>
              <w:spacing w:before="71"/>
              <w:ind w:left="335"/>
              <w:rPr>
                <w:sz w:val="18"/>
              </w:rPr>
            </w:pPr>
            <w:r>
              <w:rPr>
                <w:sz w:val="18"/>
              </w:rPr>
              <w:t>245,409,919.99</w:t>
            </w:r>
          </w:p>
        </w:tc>
        <w:tc>
          <w:tcPr>
            <w:tcW w:w="1748" w:type="dxa"/>
            <w:tcBorders>
              <w:top w:val="single" w:sz="4" w:space="0" w:color="000000"/>
              <w:left w:val="single" w:sz="4" w:space="0" w:color="000000"/>
              <w:right w:val="single" w:sz="4" w:space="0" w:color="000000"/>
            </w:tcBorders>
          </w:tcPr>
          <w:p>
            <w:pPr>
              <w:pStyle w:val="TableParagraph"/>
              <w:spacing w:before="71"/>
              <w:ind w:right="87"/>
              <w:jc w:val="right"/>
              <w:rPr>
                <w:sz w:val="18"/>
              </w:rPr>
            </w:pPr>
            <w:r>
              <w:rPr>
                <w:sz w:val="18"/>
              </w:rPr>
              <w:t>7,207,258,277.21</w:t>
            </w:r>
          </w:p>
        </w:tc>
        <w:tc>
          <w:tcPr>
            <w:tcW w:w="1548" w:type="dxa"/>
            <w:tcBorders>
              <w:top w:val="single" w:sz="4" w:space="0" w:color="000000"/>
              <w:left w:val="single" w:sz="4" w:space="0" w:color="000000"/>
            </w:tcBorders>
          </w:tcPr>
          <w:p>
            <w:pPr>
              <w:pStyle w:val="TableParagraph"/>
              <w:spacing w:before="71"/>
              <w:ind w:left="323"/>
              <w:rPr>
                <w:sz w:val="18"/>
              </w:rPr>
            </w:pPr>
            <w:r>
              <w:rPr>
                <w:sz w:val="18"/>
              </w:rPr>
              <w:t>221,292,161.75</w:t>
            </w:r>
          </w:p>
        </w:tc>
      </w:tr>
    </w:tbl>
    <w:p>
      <w:pPr>
        <w:pStyle w:val="ListParagraph"/>
        <w:numPr>
          <w:ilvl w:val="0"/>
          <w:numId w:val="57"/>
        </w:numPr>
        <w:tabs>
          <w:tab w:pos="529" w:val="left" w:leader="none"/>
        </w:tabs>
        <w:spacing w:line="240" w:lineRule="auto" w:before="176" w:after="0"/>
        <w:ind w:left="2208" w:right="8596" w:hanging="2209"/>
        <w:jc w:val="right"/>
        <w:rPr>
          <w:sz w:val="21"/>
        </w:rPr>
      </w:pPr>
      <w:r>
        <w:rPr>
          <w:spacing w:val="-2"/>
          <w:sz w:val="21"/>
        </w:rPr>
        <w:t>减值准备</w:t>
      </w:r>
    </w:p>
    <w:p>
      <w:pPr>
        <w:pStyle w:val="BodyText"/>
        <w:spacing w:before="3"/>
        <w:rPr>
          <w:sz w:val="12"/>
        </w:rPr>
      </w:pPr>
    </w:p>
    <w:tbl>
      <w:tblPr>
        <w:tblW w:w="0" w:type="auto"/>
        <w:jc w:val="left"/>
        <w:tblInd w:w="147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98"/>
        <w:gridCol w:w="1386"/>
        <w:gridCol w:w="1388"/>
        <w:gridCol w:w="856"/>
        <w:gridCol w:w="1103"/>
        <w:gridCol w:w="1389"/>
        <w:gridCol w:w="1386"/>
      </w:tblGrid>
      <w:tr>
        <w:trPr>
          <w:trHeight w:val="368" w:hRule="atLeast"/>
        </w:trPr>
        <w:tc>
          <w:tcPr>
            <w:tcW w:w="1498" w:type="dxa"/>
            <w:vMerge w:val="restart"/>
            <w:tcBorders>
              <w:bottom w:val="single" w:sz="4" w:space="0" w:color="000000"/>
              <w:right w:val="single" w:sz="4" w:space="0" w:color="000000"/>
            </w:tcBorders>
          </w:tcPr>
          <w:p>
            <w:pPr>
              <w:pStyle w:val="TableParagraph"/>
              <w:spacing w:before="3"/>
              <w:rPr>
                <w:rFonts w:ascii="宋体"/>
                <w:sz w:val="19"/>
              </w:rPr>
            </w:pPr>
          </w:p>
          <w:p>
            <w:pPr>
              <w:pStyle w:val="TableParagraph"/>
              <w:ind w:left="548" w:right="530"/>
              <w:jc w:val="center"/>
              <w:rPr>
                <w:rFonts w:ascii="Microsoft JhengHei" w:eastAsia="Microsoft JhengHei" w:hint="eastAsia"/>
                <w:b/>
                <w:sz w:val="18"/>
              </w:rPr>
            </w:pPr>
            <w:r>
              <w:rPr>
                <w:rFonts w:ascii="Microsoft JhengHei" w:eastAsia="Microsoft JhengHei" w:hint="eastAsia"/>
                <w:b/>
                <w:sz w:val="18"/>
              </w:rPr>
              <w:t>项目</w:t>
            </w:r>
          </w:p>
        </w:tc>
        <w:tc>
          <w:tcPr>
            <w:tcW w:w="1386" w:type="dxa"/>
            <w:vMerge w:val="restart"/>
            <w:tcBorders>
              <w:left w:val="single" w:sz="4" w:space="0" w:color="000000"/>
              <w:bottom w:val="single" w:sz="4" w:space="0" w:color="000000"/>
              <w:right w:val="single" w:sz="4" w:space="0" w:color="000000"/>
            </w:tcBorders>
          </w:tcPr>
          <w:p>
            <w:pPr>
              <w:pStyle w:val="TableParagraph"/>
              <w:spacing w:before="3"/>
              <w:rPr>
                <w:rFonts w:ascii="宋体"/>
                <w:sz w:val="19"/>
              </w:rPr>
            </w:pPr>
          </w:p>
          <w:p>
            <w:pPr>
              <w:pStyle w:val="TableParagraph"/>
              <w:ind w:left="340"/>
              <w:rPr>
                <w:rFonts w:ascii="Microsoft JhengHei" w:eastAsia="Microsoft JhengHei" w:hint="eastAsia"/>
                <w:b/>
                <w:sz w:val="18"/>
              </w:rPr>
            </w:pPr>
            <w:r>
              <w:rPr>
                <w:rFonts w:ascii="Microsoft JhengHei" w:eastAsia="Microsoft JhengHei" w:hint="eastAsia"/>
                <w:b/>
                <w:sz w:val="18"/>
              </w:rPr>
              <w:t>期初余额</w:t>
            </w:r>
          </w:p>
        </w:tc>
        <w:tc>
          <w:tcPr>
            <w:tcW w:w="2244" w:type="dxa"/>
            <w:gridSpan w:val="2"/>
            <w:tcBorders>
              <w:left w:val="single" w:sz="4" w:space="0" w:color="000000"/>
              <w:bottom w:val="single" w:sz="4" w:space="0" w:color="000000"/>
              <w:right w:val="single" w:sz="4" w:space="0" w:color="000000"/>
            </w:tcBorders>
          </w:tcPr>
          <w:p>
            <w:pPr>
              <w:pStyle w:val="TableParagraph"/>
              <w:spacing w:before="7"/>
              <w:ind w:left="747" w:right="726"/>
              <w:jc w:val="center"/>
              <w:rPr>
                <w:rFonts w:ascii="Microsoft JhengHei" w:eastAsia="Microsoft JhengHei" w:hint="eastAsia"/>
                <w:b/>
                <w:sz w:val="18"/>
              </w:rPr>
            </w:pPr>
            <w:r>
              <w:rPr>
                <w:rFonts w:ascii="Microsoft JhengHei" w:eastAsia="Microsoft JhengHei" w:hint="eastAsia"/>
                <w:b/>
                <w:sz w:val="18"/>
              </w:rPr>
              <w:t>本期增加</w:t>
            </w:r>
          </w:p>
        </w:tc>
        <w:tc>
          <w:tcPr>
            <w:tcW w:w="2492" w:type="dxa"/>
            <w:gridSpan w:val="2"/>
            <w:tcBorders>
              <w:left w:val="single" w:sz="4" w:space="0" w:color="000000"/>
              <w:bottom w:val="single" w:sz="4" w:space="0" w:color="000000"/>
              <w:right w:val="single" w:sz="4" w:space="0" w:color="000000"/>
            </w:tcBorders>
          </w:tcPr>
          <w:p>
            <w:pPr>
              <w:pStyle w:val="TableParagraph"/>
              <w:spacing w:before="7"/>
              <w:ind w:left="870" w:right="851"/>
              <w:jc w:val="center"/>
              <w:rPr>
                <w:rFonts w:ascii="Microsoft JhengHei" w:eastAsia="Microsoft JhengHei" w:hint="eastAsia"/>
                <w:b/>
                <w:sz w:val="18"/>
              </w:rPr>
            </w:pPr>
            <w:r>
              <w:rPr>
                <w:rFonts w:ascii="Microsoft JhengHei" w:eastAsia="Microsoft JhengHei" w:hint="eastAsia"/>
                <w:b/>
                <w:sz w:val="18"/>
              </w:rPr>
              <w:t>本期减少</w:t>
            </w:r>
          </w:p>
        </w:tc>
        <w:tc>
          <w:tcPr>
            <w:tcW w:w="1386" w:type="dxa"/>
            <w:vMerge w:val="restart"/>
            <w:tcBorders>
              <w:left w:val="single" w:sz="4" w:space="0" w:color="000000"/>
              <w:bottom w:val="single" w:sz="4" w:space="0" w:color="000000"/>
            </w:tcBorders>
          </w:tcPr>
          <w:p>
            <w:pPr>
              <w:pStyle w:val="TableParagraph"/>
              <w:spacing w:before="3"/>
              <w:rPr>
                <w:rFonts w:ascii="宋体"/>
                <w:sz w:val="19"/>
              </w:rPr>
            </w:pPr>
          </w:p>
          <w:p>
            <w:pPr>
              <w:pStyle w:val="TableParagraph"/>
              <w:ind w:left="334"/>
              <w:rPr>
                <w:rFonts w:ascii="Microsoft JhengHei" w:eastAsia="Microsoft JhengHei" w:hint="eastAsia"/>
                <w:b/>
                <w:sz w:val="18"/>
              </w:rPr>
            </w:pPr>
            <w:r>
              <w:rPr>
                <w:rFonts w:ascii="Microsoft JhengHei" w:eastAsia="Microsoft JhengHei" w:hint="eastAsia"/>
                <w:b/>
                <w:sz w:val="18"/>
              </w:rPr>
              <w:t>期末余额</w:t>
            </w:r>
          </w:p>
        </w:tc>
      </w:tr>
      <w:tr>
        <w:trPr>
          <w:trHeight w:val="467" w:hRule="atLeast"/>
        </w:trPr>
        <w:tc>
          <w:tcPr>
            <w:tcW w:w="1498" w:type="dxa"/>
            <w:vMerge/>
            <w:tcBorders>
              <w:top w:val="nil"/>
              <w:bottom w:val="single" w:sz="4" w:space="0" w:color="000000"/>
              <w:right w:val="single" w:sz="4" w:space="0" w:color="000000"/>
            </w:tcBorders>
          </w:tcPr>
          <w:p>
            <w:pPr>
              <w:rPr>
                <w:sz w:val="2"/>
                <w:szCs w:val="2"/>
              </w:rPr>
            </w:pPr>
          </w:p>
        </w:tc>
        <w:tc>
          <w:tcPr>
            <w:tcW w:w="1386" w:type="dxa"/>
            <w:vMerge/>
            <w:tcBorders>
              <w:top w:val="nil"/>
              <w:left w:val="single" w:sz="4" w:space="0" w:color="000000"/>
              <w:bottom w:val="single" w:sz="4" w:space="0" w:color="000000"/>
              <w:right w:val="single" w:sz="4" w:space="0" w:color="000000"/>
            </w:tcBorders>
          </w:tcPr>
          <w:p>
            <w:pPr>
              <w:rPr>
                <w:sz w:val="2"/>
                <w:szCs w:val="2"/>
              </w:rPr>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before="58"/>
              <w:ind w:left="339"/>
              <w:rPr>
                <w:rFonts w:ascii="Microsoft JhengHei" w:eastAsia="Microsoft JhengHei" w:hint="eastAsia"/>
                <w:b/>
                <w:sz w:val="18"/>
              </w:rPr>
            </w:pPr>
            <w:r>
              <w:rPr>
                <w:rFonts w:ascii="Microsoft JhengHei" w:eastAsia="Microsoft JhengHei" w:hint="eastAsia"/>
                <w:b/>
                <w:sz w:val="18"/>
              </w:rPr>
              <w:t>本期计提</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42" w:right="124"/>
              <w:jc w:val="center"/>
              <w:rPr>
                <w:rFonts w:ascii="Microsoft JhengHei" w:eastAsia="Microsoft JhengHei" w:hint="eastAsia"/>
                <w:b/>
                <w:sz w:val="18"/>
              </w:rPr>
            </w:pPr>
            <w:r>
              <w:rPr>
                <w:rFonts w:ascii="Microsoft JhengHei" w:eastAsia="Microsoft JhengHei" w:hint="eastAsia"/>
                <w:b/>
                <w:sz w:val="18"/>
              </w:rPr>
              <w:t>其他增</w:t>
            </w:r>
          </w:p>
          <w:p>
            <w:pPr>
              <w:pStyle w:val="TableParagraph"/>
              <w:spacing w:line="225" w:lineRule="exact"/>
              <w:ind w:left="17"/>
              <w:jc w:val="center"/>
              <w:rPr>
                <w:rFonts w:ascii="Microsoft JhengHei" w:eastAsia="Microsoft JhengHei" w:hint="eastAsia"/>
                <w:b/>
                <w:sz w:val="18"/>
              </w:rPr>
            </w:pPr>
            <w:r>
              <w:rPr>
                <w:rFonts w:ascii="Microsoft JhengHei" w:eastAsia="Microsoft JhengHei" w:hint="eastAsia"/>
                <w:b/>
                <w:sz w:val="18"/>
              </w:rPr>
              <w:t>加</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before="58"/>
              <w:ind w:left="287"/>
              <w:rPr>
                <w:rFonts w:ascii="Microsoft JhengHei" w:eastAsia="Microsoft JhengHei" w:hint="eastAsia"/>
                <w:b/>
                <w:sz w:val="18"/>
              </w:rPr>
            </w:pPr>
            <w:r>
              <w:rPr>
                <w:rFonts w:ascii="Microsoft JhengHei" w:eastAsia="Microsoft JhengHei" w:hint="eastAsia"/>
                <w:b/>
                <w:sz w:val="18"/>
              </w:rPr>
              <w:t>转回数</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rPr>
                <w:rFonts w:ascii="Microsoft JhengHei" w:eastAsia="Microsoft JhengHei" w:hint="eastAsia"/>
                <w:b/>
                <w:sz w:val="18"/>
              </w:rPr>
            </w:pPr>
            <w:r>
              <w:rPr>
                <w:rFonts w:ascii="Microsoft JhengHei" w:eastAsia="Microsoft JhengHei" w:hint="eastAsia"/>
                <w:b/>
                <w:sz w:val="18"/>
              </w:rPr>
              <w:t>转销及其他</w:t>
            </w:r>
          </w:p>
        </w:tc>
        <w:tc>
          <w:tcPr>
            <w:tcW w:w="1386" w:type="dxa"/>
            <w:vMerge/>
            <w:tcBorders>
              <w:top w:val="nil"/>
              <w:left w:val="single" w:sz="4" w:space="0" w:color="000000"/>
              <w:bottom w:val="single" w:sz="4" w:space="0" w:color="000000"/>
            </w:tcBorders>
          </w:tcPr>
          <w:p>
            <w:pPr>
              <w:rPr>
                <w:sz w:val="2"/>
                <w:szCs w:val="2"/>
              </w:rPr>
            </w:pPr>
          </w:p>
        </w:tc>
      </w:tr>
      <w:tr>
        <w:trPr>
          <w:trHeight w:val="366" w:hRule="atLeast"/>
        </w:trPr>
        <w:tc>
          <w:tcPr>
            <w:tcW w:w="1498"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待抵扣进项税</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before="74"/>
              <w:ind w:right="88"/>
              <w:jc w:val="right"/>
              <w:rPr>
                <w:sz w:val="18"/>
              </w:rPr>
            </w:pPr>
            <w:r>
              <w:rPr>
                <w:sz w:val="18"/>
              </w:rPr>
              <w:t>3,276,161.33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before="62"/>
              <w:jc w:val="right"/>
              <w:rPr>
                <w:rFonts w:ascii="宋体"/>
                <w:sz w:val="18"/>
              </w:rPr>
            </w:pPr>
            <w:r>
              <w:rPr>
                <w:rFonts w:ascii="宋体"/>
                <w:sz w:val="18"/>
              </w:rPr>
              <w:t> </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before="62"/>
              <w:ind w:right="2"/>
              <w:jc w:val="right"/>
              <w:rPr>
                <w:rFonts w:ascii="宋体"/>
                <w:sz w:val="18"/>
              </w:rPr>
            </w:pPr>
            <w:r>
              <w:rPr>
                <w:rFonts w:ascii="宋体"/>
                <w:sz w:val="18"/>
              </w:rPr>
              <w:t> </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before="74"/>
              <w:ind w:left="191"/>
              <w:rPr>
                <w:sz w:val="18"/>
              </w:rPr>
            </w:pPr>
            <w:r>
              <w:rPr>
                <w:sz w:val="18"/>
              </w:rPr>
              <w:t>368,857.35</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before="62"/>
              <w:ind w:right="2"/>
              <w:jc w:val="right"/>
              <w:rPr>
                <w:rFonts w:ascii="宋体"/>
                <w:sz w:val="18"/>
              </w:rPr>
            </w:pPr>
            <w:r>
              <w:rPr>
                <w:rFonts w:ascii="宋体"/>
                <w:sz w:val="18"/>
              </w:rPr>
              <w:t> </w:t>
            </w:r>
          </w:p>
        </w:tc>
        <w:tc>
          <w:tcPr>
            <w:tcW w:w="1386" w:type="dxa"/>
            <w:tcBorders>
              <w:top w:val="single" w:sz="4" w:space="0" w:color="000000"/>
              <w:left w:val="single" w:sz="4" w:space="0" w:color="000000"/>
              <w:bottom w:val="single" w:sz="4" w:space="0" w:color="000000"/>
            </w:tcBorders>
          </w:tcPr>
          <w:p>
            <w:pPr>
              <w:pStyle w:val="TableParagraph"/>
              <w:spacing w:before="74"/>
              <w:ind w:right="83"/>
              <w:jc w:val="right"/>
              <w:rPr>
                <w:sz w:val="18"/>
              </w:rPr>
            </w:pPr>
            <w:r>
              <w:rPr>
                <w:sz w:val="18"/>
              </w:rPr>
              <w:t>2,907,303.98</w:t>
            </w:r>
          </w:p>
        </w:tc>
      </w:tr>
      <w:tr>
        <w:trPr>
          <w:trHeight w:val="369" w:hRule="atLeast"/>
        </w:trPr>
        <w:tc>
          <w:tcPr>
            <w:tcW w:w="1498"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应收退货成本</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before="76"/>
              <w:ind w:right="88"/>
              <w:jc w:val="right"/>
              <w:rPr>
                <w:sz w:val="18"/>
              </w:rPr>
            </w:pPr>
            <w:r>
              <w:rPr>
                <w:sz w:val="18"/>
              </w:rPr>
              <w:t>218,016,000.42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before="76"/>
              <w:ind w:left="161"/>
              <w:rPr>
                <w:sz w:val="18"/>
              </w:rPr>
            </w:pPr>
            <w:r>
              <w:rPr>
                <w:sz w:val="18"/>
              </w:rPr>
              <w:t>230,393,423.98</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before="64"/>
              <w:ind w:right="2"/>
              <w:jc w:val="right"/>
              <w:rPr>
                <w:rFonts w:ascii="宋体"/>
                <w:sz w:val="18"/>
              </w:rPr>
            </w:pPr>
            <w:r>
              <w:rPr>
                <w:rFonts w:ascii="宋体"/>
                <w:sz w:val="18"/>
              </w:rPr>
              <w:t> </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before="64"/>
              <w:jc w:val="right"/>
              <w:rPr>
                <w:rFonts w:ascii="宋体"/>
                <w:sz w:val="18"/>
              </w:rPr>
            </w:pPr>
            <w:r>
              <w:rPr>
                <w:rFonts w:ascii="宋体"/>
                <w:sz w:val="18"/>
              </w:rPr>
              <w:t> </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before="76"/>
              <w:ind w:left="158"/>
              <w:rPr>
                <w:sz w:val="18"/>
              </w:rPr>
            </w:pPr>
            <w:r>
              <w:rPr>
                <w:sz w:val="18"/>
              </w:rPr>
              <w:t>205,906,808.39</w:t>
            </w:r>
          </w:p>
        </w:tc>
        <w:tc>
          <w:tcPr>
            <w:tcW w:w="1386" w:type="dxa"/>
            <w:tcBorders>
              <w:top w:val="single" w:sz="4" w:space="0" w:color="000000"/>
              <w:left w:val="single" w:sz="4" w:space="0" w:color="000000"/>
              <w:bottom w:val="single" w:sz="4" w:space="0" w:color="000000"/>
            </w:tcBorders>
          </w:tcPr>
          <w:p>
            <w:pPr>
              <w:pStyle w:val="TableParagraph"/>
              <w:spacing w:before="76"/>
              <w:ind w:right="83"/>
              <w:jc w:val="right"/>
              <w:rPr>
                <w:sz w:val="18"/>
              </w:rPr>
            </w:pPr>
            <w:r>
              <w:rPr>
                <w:sz w:val="18"/>
              </w:rPr>
              <w:t>242,502,616.01</w:t>
            </w:r>
          </w:p>
        </w:tc>
      </w:tr>
      <w:tr>
        <w:trPr>
          <w:trHeight w:val="369" w:hRule="atLeast"/>
        </w:trPr>
        <w:tc>
          <w:tcPr>
            <w:tcW w:w="1498" w:type="dxa"/>
            <w:tcBorders>
              <w:top w:val="single" w:sz="4" w:space="0" w:color="000000"/>
              <w:right w:val="single" w:sz="4" w:space="0" w:color="000000"/>
            </w:tcBorders>
          </w:tcPr>
          <w:p>
            <w:pPr>
              <w:pStyle w:val="TableParagraph"/>
              <w:spacing w:before="70"/>
              <w:ind w:left="548" w:right="530"/>
              <w:jc w:val="center"/>
              <w:rPr>
                <w:rFonts w:ascii="宋体" w:eastAsia="宋体" w:hint="eastAsia"/>
                <w:sz w:val="18"/>
              </w:rPr>
            </w:pPr>
            <w:r>
              <w:rPr>
                <w:rFonts w:ascii="宋体" w:eastAsia="宋体" w:hint="eastAsia"/>
                <w:sz w:val="18"/>
              </w:rPr>
              <w:t>合计</w:t>
            </w:r>
          </w:p>
        </w:tc>
        <w:tc>
          <w:tcPr>
            <w:tcW w:w="1386" w:type="dxa"/>
            <w:tcBorders>
              <w:top w:val="single" w:sz="4" w:space="0" w:color="000000"/>
              <w:left w:val="single" w:sz="4" w:space="0" w:color="000000"/>
              <w:right w:val="single" w:sz="4" w:space="0" w:color="000000"/>
            </w:tcBorders>
          </w:tcPr>
          <w:p>
            <w:pPr>
              <w:pStyle w:val="TableParagraph"/>
              <w:spacing w:before="77"/>
              <w:ind w:right="88"/>
              <w:jc w:val="right"/>
              <w:rPr>
                <w:sz w:val="18"/>
              </w:rPr>
            </w:pPr>
            <w:r>
              <w:rPr>
                <w:sz w:val="18"/>
              </w:rPr>
              <w:t>221,292,161.75</w:t>
            </w:r>
          </w:p>
        </w:tc>
        <w:tc>
          <w:tcPr>
            <w:tcW w:w="1388" w:type="dxa"/>
            <w:tcBorders>
              <w:top w:val="single" w:sz="4" w:space="0" w:color="000000"/>
              <w:left w:val="single" w:sz="4" w:space="0" w:color="000000"/>
              <w:right w:val="single" w:sz="4" w:space="0" w:color="000000"/>
            </w:tcBorders>
          </w:tcPr>
          <w:p>
            <w:pPr>
              <w:pStyle w:val="TableParagraph"/>
              <w:spacing w:before="77"/>
              <w:ind w:left="161"/>
              <w:rPr>
                <w:sz w:val="18"/>
              </w:rPr>
            </w:pPr>
            <w:r>
              <w:rPr>
                <w:sz w:val="18"/>
              </w:rPr>
              <w:t>230,393,423.98</w:t>
            </w:r>
          </w:p>
        </w:tc>
        <w:tc>
          <w:tcPr>
            <w:tcW w:w="856" w:type="dxa"/>
            <w:tcBorders>
              <w:top w:val="single" w:sz="4" w:space="0" w:color="000000"/>
              <w:left w:val="single" w:sz="4" w:space="0" w:color="000000"/>
              <w:right w:val="single" w:sz="4" w:space="0" w:color="000000"/>
            </w:tcBorders>
          </w:tcPr>
          <w:p>
            <w:pPr>
              <w:pStyle w:val="TableParagraph"/>
              <w:spacing w:before="65"/>
              <w:ind w:right="2"/>
              <w:jc w:val="right"/>
              <w:rPr>
                <w:rFonts w:ascii="宋体"/>
                <w:sz w:val="18"/>
              </w:rPr>
            </w:pPr>
            <w:r>
              <w:rPr>
                <w:rFonts w:ascii="宋体"/>
                <w:sz w:val="18"/>
              </w:rPr>
              <w:t> </w:t>
            </w:r>
          </w:p>
        </w:tc>
        <w:tc>
          <w:tcPr>
            <w:tcW w:w="1103" w:type="dxa"/>
            <w:tcBorders>
              <w:top w:val="single" w:sz="4" w:space="0" w:color="000000"/>
              <w:left w:val="single" w:sz="4" w:space="0" w:color="000000"/>
              <w:right w:val="single" w:sz="4" w:space="0" w:color="000000"/>
            </w:tcBorders>
          </w:tcPr>
          <w:p>
            <w:pPr>
              <w:pStyle w:val="TableParagraph"/>
              <w:spacing w:before="77"/>
              <w:ind w:left="191"/>
              <w:rPr>
                <w:sz w:val="18"/>
              </w:rPr>
            </w:pPr>
            <w:r>
              <w:rPr>
                <w:sz w:val="18"/>
              </w:rPr>
              <w:t>368,857.35</w:t>
            </w:r>
          </w:p>
        </w:tc>
        <w:tc>
          <w:tcPr>
            <w:tcW w:w="1389" w:type="dxa"/>
            <w:tcBorders>
              <w:top w:val="single" w:sz="4" w:space="0" w:color="000000"/>
              <w:left w:val="single" w:sz="4" w:space="0" w:color="000000"/>
              <w:right w:val="single" w:sz="4" w:space="0" w:color="000000"/>
            </w:tcBorders>
          </w:tcPr>
          <w:p>
            <w:pPr>
              <w:pStyle w:val="TableParagraph"/>
              <w:spacing w:before="77"/>
              <w:ind w:left="158"/>
              <w:rPr>
                <w:sz w:val="18"/>
              </w:rPr>
            </w:pPr>
            <w:r>
              <w:rPr>
                <w:sz w:val="18"/>
              </w:rPr>
              <w:t>205,906,808.39</w:t>
            </w:r>
          </w:p>
        </w:tc>
        <w:tc>
          <w:tcPr>
            <w:tcW w:w="1386" w:type="dxa"/>
            <w:tcBorders>
              <w:top w:val="single" w:sz="4" w:space="0" w:color="000000"/>
              <w:left w:val="single" w:sz="4" w:space="0" w:color="000000"/>
            </w:tcBorders>
          </w:tcPr>
          <w:p>
            <w:pPr>
              <w:pStyle w:val="TableParagraph"/>
              <w:spacing w:before="77"/>
              <w:ind w:right="83"/>
              <w:jc w:val="right"/>
              <w:rPr>
                <w:sz w:val="18"/>
              </w:rPr>
            </w:pPr>
            <w:r>
              <w:rPr>
                <w:sz w:val="18"/>
              </w:rPr>
              <w:t>245,409,919.99</w:t>
            </w:r>
          </w:p>
        </w:tc>
      </w:tr>
    </w:tbl>
    <w:p>
      <w:pPr>
        <w:pStyle w:val="BodyText"/>
        <w:spacing w:line="265" w:lineRule="exact" w:before="3"/>
        <w:ind w:left="1538"/>
      </w:pPr>
      <w:r>
        <w:rPr>
          <w:w w:val="100"/>
        </w:rPr>
        <w:t> </w:t>
      </w:r>
    </w:p>
    <w:p>
      <w:pPr>
        <w:pStyle w:val="Heading4"/>
        <w:spacing w:line="383" w:lineRule="exact"/>
      </w:pPr>
      <w:r>
        <w:rPr>
          <w:rFonts w:ascii="Times New Roman" w:eastAsia="Times New Roman"/>
        </w:rPr>
        <w:t>11</w:t>
      </w:r>
      <w:r>
        <w:rPr/>
        <w:t>、 长期股权投资</w:t>
      </w:r>
    </w:p>
    <w:p>
      <w:pPr>
        <w:pStyle w:val="BodyText"/>
        <w:spacing w:before="17"/>
        <w:ind w:right="8611"/>
        <w:jc w:val="right"/>
      </w:pPr>
      <w:r>
        <w:rPr/>
        <w:t>√适用 </w:t>
      </w:r>
      <w:r>
        <w:rPr>
          <w:rFonts w:ascii="Times New Roman" w:hAnsi="Times New Roman" w:eastAsia="Times New Roman"/>
        </w:rPr>
        <w:t>□</w:t>
      </w:r>
      <w:r>
        <w:rPr/>
        <w:t>不适用</w:t>
      </w:r>
    </w:p>
    <w:p>
      <w:pPr>
        <w:pStyle w:val="BodyText"/>
        <w:rPr>
          <w:sz w:val="19"/>
        </w:rPr>
      </w:pPr>
    </w:p>
    <w:tbl>
      <w:tblPr>
        <w:tblW w:w="0" w:type="auto"/>
        <w:jc w:val="left"/>
        <w:tblInd w:w="122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22"/>
        <w:gridCol w:w="1416"/>
        <w:gridCol w:w="1197"/>
        <w:gridCol w:w="1452"/>
        <w:gridCol w:w="1305"/>
        <w:gridCol w:w="1356"/>
        <w:gridCol w:w="1442"/>
      </w:tblGrid>
      <w:tr>
        <w:trPr>
          <w:trHeight w:val="579" w:hRule="atLeast"/>
        </w:trPr>
        <w:tc>
          <w:tcPr>
            <w:tcW w:w="1322" w:type="dxa"/>
            <w:vMerge w:val="restart"/>
            <w:tcBorders>
              <w:bottom w:val="single" w:sz="4" w:space="0" w:color="000000"/>
              <w:right w:val="single" w:sz="4" w:space="0" w:color="000000"/>
            </w:tcBorders>
          </w:tcPr>
          <w:p>
            <w:pPr>
              <w:pStyle w:val="TableParagraph"/>
              <w:rPr>
                <w:rFonts w:ascii="宋体"/>
                <w:sz w:val="18"/>
              </w:rPr>
            </w:pPr>
          </w:p>
          <w:p>
            <w:pPr>
              <w:pStyle w:val="TableParagraph"/>
              <w:spacing w:before="8"/>
              <w:rPr>
                <w:rFonts w:ascii="宋体"/>
                <w:sz w:val="13"/>
              </w:rPr>
            </w:pPr>
          </w:p>
          <w:p>
            <w:pPr>
              <w:pStyle w:val="TableParagraph"/>
              <w:ind w:left="208"/>
              <w:rPr>
                <w:rFonts w:ascii="Microsoft JhengHei" w:eastAsia="Microsoft JhengHei" w:hint="eastAsia"/>
                <w:b/>
                <w:sz w:val="18"/>
              </w:rPr>
            </w:pPr>
            <w:r>
              <w:rPr>
                <w:rFonts w:ascii="Microsoft JhengHei" w:eastAsia="Microsoft JhengHei" w:hint="eastAsia"/>
                <w:b/>
                <w:sz w:val="18"/>
              </w:rPr>
              <w:t>被投资单位</w:t>
            </w:r>
          </w:p>
        </w:tc>
        <w:tc>
          <w:tcPr>
            <w:tcW w:w="1416" w:type="dxa"/>
            <w:vMerge w:val="restart"/>
            <w:tcBorders>
              <w:left w:val="single" w:sz="4" w:space="0" w:color="000000"/>
              <w:bottom w:val="single" w:sz="4" w:space="0" w:color="000000"/>
              <w:right w:val="single" w:sz="4" w:space="0" w:color="000000"/>
            </w:tcBorders>
          </w:tcPr>
          <w:p>
            <w:pPr>
              <w:pStyle w:val="TableParagraph"/>
              <w:rPr>
                <w:rFonts w:ascii="宋体"/>
                <w:sz w:val="18"/>
              </w:rPr>
            </w:pPr>
          </w:p>
          <w:p>
            <w:pPr>
              <w:pStyle w:val="TableParagraph"/>
              <w:spacing w:before="8"/>
              <w:rPr>
                <w:rFonts w:ascii="宋体"/>
                <w:sz w:val="13"/>
              </w:rPr>
            </w:pPr>
          </w:p>
          <w:p>
            <w:pPr>
              <w:pStyle w:val="TableParagraph"/>
              <w:ind w:left="352"/>
              <w:rPr>
                <w:rFonts w:ascii="Microsoft JhengHei" w:eastAsia="Microsoft JhengHei" w:hint="eastAsia"/>
                <w:b/>
                <w:sz w:val="18"/>
              </w:rPr>
            </w:pPr>
            <w:r>
              <w:rPr>
                <w:rFonts w:ascii="Microsoft JhengHei" w:eastAsia="Microsoft JhengHei" w:hint="eastAsia"/>
                <w:b/>
                <w:sz w:val="18"/>
              </w:rPr>
              <w:t>期初余额</w:t>
            </w:r>
          </w:p>
        </w:tc>
        <w:tc>
          <w:tcPr>
            <w:tcW w:w="6752" w:type="dxa"/>
            <w:gridSpan w:val="5"/>
            <w:tcBorders>
              <w:left w:val="single" w:sz="4" w:space="0" w:color="000000"/>
              <w:bottom w:val="single" w:sz="4" w:space="0" w:color="000000"/>
            </w:tcBorders>
          </w:tcPr>
          <w:p>
            <w:pPr>
              <w:pStyle w:val="TableParagraph"/>
              <w:spacing w:before="11"/>
              <w:rPr>
                <w:rFonts w:ascii="宋体"/>
                <w:sz w:val="12"/>
              </w:rPr>
            </w:pPr>
          </w:p>
          <w:p>
            <w:pPr>
              <w:pStyle w:val="TableParagraph"/>
              <w:spacing w:before="1"/>
              <w:ind w:left="2824" w:right="2787"/>
              <w:jc w:val="center"/>
              <w:rPr>
                <w:rFonts w:ascii="Microsoft JhengHei" w:eastAsia="Microsoft JhengHei" w:hint="eastAsia"/>
                <w:b/>
                <w:sz w:val="18"/>
              </w:rPr>
            </w:pPr>
            <w:r>
              <w:rPr>
                <w:rFonts w:ascii="Microsoft JhengHei" w:eastAsia="Microsoft JhengHei" w:hint="eastAsia"/>
                <w:b/>
                <w:sz w:val="18"/>
              </w:rPr>
              <w:t>本期增减变动</w:t>
            </w:r>
          </w:p>
        </w:tc>
      </w:tr>
      <w:tr>
        <w:trPr>
          <w:trHeight w:val="467" w:hRule="atLeast"/>
        </w:trPr>
        <w:tc>
          <w:tcPr>
            <w:tcW w:w="1322" w:type="dxa"/>
            <w:vMerge/>
            <w:tcBorders>
              <w:top w:val="nil"/>
              <w:bottom w:val="single" w:sz="4" w:space="0" w:color="000000"/>
              <w:right w:val="single" w:sz="4" w:space="0" w:color="000000"/>
            </w:tcBorders>
          </w:tcPr>
          <w:p>
            <w:pPr>
              <w:rPr>
                <w:sz w:val="2"/>
                <w:szCs w:val="2"/>
              </w:rPr>
            </w:pPr>
          </w:p>
        </w:tc>
        <w:tc>
          <w:tcPr>
            <w:tcW w:w="1416" w:type="dxa"/>
            <w:vMerge/>
            <w:tcBorders>
              <w:top w:val="nil"/>
              <w:left w:val="single" w:sz="4" w:space="0" w:color="000000"/>
              <w:bottom w:val="single" w:sz="4" w:space="0" w:color="000000"/>
              <w:right w:val="single" w:sz="4" w:space="0" w:color="000000"/>
            </w:tcBorders>
          </w:tcPr>
          <w:p>
            <w:pPr>
              <w:rPr>
                <w:sz w:val="2"/>
                <w:szCs w:val="2"/>
              </w:rPr>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rPr>
                <w:rFonts w:ascii="Microsoft JhengHei" w:eastAsia="Microsoft JhengHei" w:hint="eastAsia"/>
                <w:b/>
                <w:sz w:val="18"/>
              </w:rPr>
            </w:pPr>
            <w:r>
              <w:rPr>
                <w:rFonts w:ascii="Microsoft JhengHei" w:eastAsia="Microsoft JhengHei" w:hint="eastAsia"/>
                <w:b/>
                <w:sz w:val="18"/>
              </w:rPr>
              <w:t>增加投资</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93"/>
              <w:rPr>
                <w:rFonts w:ascii="Microsoft JhengHei" w:eastAsia="Microsoft JhengHei" w:hint="eastAsia"/>
                <w:b/>
                <w:sz w:val="18"/>
              </w:rPr>
            </w:pPr>
            <w:r>
              <w:rPr>
                <w:rFonts w:ascii="Microsoft JhengHei" w:eastAsia="Microsoft JhengHei" w:hint="eastAsia"/>
                <w:b/>
                <w:sz w:val="18"/>
              </w:rPr>
              <w:t>权益法下确认</w:t>
            </w:r>
          </w:p>
          <w:p>
            <w:pPr>
              <w:pStyle w:val="TableParagraph"/>
              <w:spacing w:line="225" w:lineRule="exact"/>
              <w:ind w:left="284"/>
              <w:rPr>
                <w:rFonts w:ascii="Microsoft JhengHei" w:eastAsia="Microsoft JhengHei" w:hint="eastAsia"/>
                <w:b/>
                <w:sz w:val="18"/>
              </w:rPr>
            </w:pPr>
            <w:r>
              <w:rPr>
                <w:rFonts w:ascii="Microsoft JhengHei" w:eastAsia="Microsoft JhengHei" w:hint="eastAsia"/>
                <w:b/>
                <w:sz w:val="18"/>
              </w:rPr>
              <w:t>的投资收益</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74"/>
              <w:jc w:val="center"/>
              <w:rPr>
                <w:rFonts w:ascii="Microsoft JhengHei" w:eastAsia="Microsoft JhengHei" w:hint="eastAsia"/>
                <w:b/>
                <w:sz w:val="18"/>
              </w:rPr>
            </w:pPr>
            <w:r>
              <w:rPr>
                <w:rFonts w:ascii="Microsoft JhengHei" w:eastAsia="Microsoft JhengHei" w:hint="eastAsia"/>
                <w:b/>
                <w:sz w:val="18"/>
              </w:rPr>
              <w:t>其他综合收益</w:t>
            </w:r>
          </w:p>
          <w:p>
            <w:pPr>
              <w:pStyle w:val="TableParagraph"/>
              <w:spacing w:line="225" w:lineRule="exact"/>
              <w:ind w:left="101" w:right="68"/>
              <w:jc w:val="center"/>
              <w:rPr>
                <w:rFonts w:ascii="Microsoft JhengHei" w:eastAsia="Microsoft JhengHei" w:hint="eastAsia"/>
                <w:b/>
                <w:sz w:val="18"/>
              </w:rPr>
            </w:pPr>
            <w:r>
              <w:rPr>
                <w:rFonts w:ascii="Microsoft JhengHei" w:eastAsia="Microsoft JhengHei" w:hint="eastAsia"/>
                <w:b/>
                <w:sz w:val="18"/>
              </w:rPr>
              <w:t>调整</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before="58"/>
              <w:ind w:left="143"/>
              <w:rPr>
                <w:rFonts w:ascii="Microsoft JhengHei" w:eastAsia="Microsoft JhengHei" w:hint="eastAsia"/>
                <w:b/>
                <w:sz w:val="18"/>
              </w:rPr>
            </w:pPr>
            <w:r>
              <w:rPr>
                <w:rFonts w:ascii="Microsoft JhengHei" w:eastAsia="Microsoft JhengHei" w:hint="eastAsia"/>
                <w:b/>
                <w:sz w:val="18"/>
              </w:rPr>
              <w:t>其他权益变动</w:t>
            </w:r>
          </w:p>
        </w:tc>
        <w:tc>
          <w:tcPr>
            <w:tcW w:w="1442" w:type="dxa"/>
            <w:tcBorders>
              <w:top w:val="single" w:sz="4" w:space="0" w:color="000000"/>
              <w:left w:val="single" w:sz="4" w:space="0" w:color="000000"/>
              <w:bottom w:val="single" w:sz="4" w:space="0" w:color="000000"/>
            </w:tcBorders>
          </w:tcPr>
          <w:p>
            <w:pPr>
              <w:pStyle w:val="TableParagraph"/>
              <w:spacing w:line="222" w:lineRule="exact"/>
              <w:ind w:left="190"/>
              <w:rPr>
                <w:rFonts w:ascii="Microsoft JhengHei" w:eastAsia="Microsoft JhengHei" w:hint="eastAsia"/>
                <w:b/>
                <w:sz w:val="18"/>
              </w:rPr>
            </w:pPr>
            <w:r>
              <w:rPr>
                <w:rFonts w:ascii="Microsoft JhengHei" w:eastAsia="Microsoft JhengHei" w:hint="eastAsia"/>
                <w:b/>
                <w:sz w:val="18"/>
              </w:rPr>
              <w:t>宣告发放现金</w:t>
            </w:r>
          </w:p>
          <w:p>
            <w:pPr>
              <w:pStyle w:val="TableParagraph"/>
              <w:spacing w:line="225" w:lineRule="exact"/>
              <w:ind w:left="281"/>
              <w:rPr>
                <w:rFonts w:ascii="Microsoft JhengHei" w:eastAsia="Microsoft JhengHei" w:hint="eastAsia"/>
                <w:b/>
                <w:sz w:val="18"/>
              </w:rPr>
            </w:pPr>
            <w:r>
              <w:rPr>
                <w:rFonts w:ascii="Microsoft JhengHei" w:eastAsia="Microsoft JhengHei" w:hint="eastAsia"/>
                <w:b/>
                <w:sz w:val="18"/>
              </w:rPr>
              <w:t>股利或利润</w:t>
            </w:r>
          </w:p>
        </w:tc>
      </w:tr>
      <w:tr>
        <w:trPr>
          <w:trHeight w:val="366" w:hRule="atLeast"/>
        </w:trPr>
        <w:tc>
          <w:tcPr>
            <w:tcW w:w="1322" w:type="dxa"/>
            <w:tcBorders>
              <w:top w:val="single" w:sz="4" w:space="0" w:color="000000"/>
              <w:right w:val="single" w:sz="4" w:space="0" w:color="000000"/>
            </w:tcBorders>
          </w:tcPr>
          <w:p>
            <w:pPr>
              <w:pStyle w:val="TableParagraph"/>
              <w:spacing w:line="215" w:lineRule="exact" w:before="131"/>
              <w:ind w:left="107"/>
              <w:rPr>
                <w:rFonts w:ascii="宋体" w:eastAsia="宋体" w:hint="eastAsia"/>
                <w:sz w:val="18"/>
              </w:rPr>
            </w:pPr>
            <w:r>
              <w:rPr>
                <w:rFonts w:ascii="宋体" w:eastAsia="宋体" w:hint="eastAsia"/>
                <w:sz w:val="18"/>
              </w:rPr>
              <w:t>联营企业：</w:t>
            </w:r>
          </w:p>
        </w:tc>
        <w:tc>
          <w:tcPr>
            <w:tcW w:w="1416" w:type="dxa"/>
            <w:tcBorders>
              <w:top w:val="single" w:sz="4" w:space="0" w:color="000000"/>
              <w:left w:val="single" w:sz="4" w:space="0" w:color="000000"/>
              <w:right w:val="single" w:sz="4" w:space="0" w:color="000000"/>
            </w:tcBorders>
          </w:tcPr>
          <w:p>
            <w:pPr>
              <w:pStyle w:val="TableParagraph"/>
              <w:rPr>
                <w:sz w:val="18"/>
              </w:rPr>
            </w:pPr>
          </w:p>
        </w:tc>
        <w:tc>
          <w:tcPr>
            <w:tcW w:w="1197" w:type="dxa"/>
            <w:tcBorders>
              <w:top w:val="single" w:sz="4" w:space="0" w:color="000000"/>
              <w:left w:val="single" w:sz="4" w:space="0" w:color="000000"/>
              <w:right w:val="single" w:sz="4" w:space="0" w:color="000000"/>
            </w:tcBorders>
          </w:tcPr>
          <w:p>
            <w:pPr>
              <w:pStyle w:val="TableParagraph"/>
              <w:rPr>
                <w:sz w:val="18"/>
              </w:rPr>
            </w:pPr>
          </w:p>
        </w:tc>
        <w:tc>
          <w:tcPr>
            <w:tcW w:w="1452" w:type="dxa"/>
            <w:tcBorders>
              <w:top w:val="single" w:sz="4" w:space="0" w:color="000000"/>
              <w:left w:val="single" w:sz="4" w:space="0" w:color="000000"/>
              <w:right w:val="single" w:sz="4" w:space="0" w:color="000000"/>
            </w:tcBorders>
          </w:tcPr>
          <w:p>
            <w:pPr>
              <w:pStyle w:val="TableParagraph"/>
              <w:rPr>
                <w:sz w:val="18"/>
              </w:rPr>
            </w:pPr>
          </w:p>
        </w:tc>
        <w:tc>
          <w:tcPr>
            <w:tcW w:w="1305" w:type="dxa"/>
            <w:tcBorders>
              <w:top w:val="single" w:sz="4" w:space="0" w:color="000000"/>
              <w:left w:val="single" w:sz="4" w:space="0" w:color="000000"/>
              <w:right w:val="single" w:sz="4" w:space="0" w:color="000000"/>
            </w:tcBorders>
          </w:tcPr>
          <w:p>
            <w:pPr>
              <w:pStyle w:val="TableParagraph"/>
              <w:rPr>
                <w:sz w:val="18"/>
              </w:rPr>
            </w:pPr>
          </w:p>
        </w:tc>
        <w:tc>
          <w:tcPr>
            <w:tcW w:w="1356" w:type="dxa"/>
            <w:tcBorders>
              <w:top w:val="single" w:sz="4" w:space="0" w:color="000000"/>
              <w:left w:val="single" w:sz="4" w:space="0" w:color="000000"/>
              <w:right w:val="single" w:sz="4" w:space="0" w:color="000000"/>
            </w:tcBorders>
          </w:tcPr>
          <w:p>
            <w:pPr>
              <w:pStyle w:val="TableParagraph"/>
              <w:rPr>
                <w:sz w:val="18"/>
              </w:rPr>
            </w:pPr>
          </w:p>
        </w:tc>
        <w:tc>
          <w:tcPr>
            <w:tcW w:w="1442" w:type="dxa"/>
            <w:tcBorders>
              <w:top w:val="single" w:sz="4" w:space="0" w:color="000000"/>
              <w:left w:val="single" w:sz="4" w:space="0" w:color="000000"/>
            </w:tcBorders>
          </w:tcPr>
          <w:p>
            <w:pPr>
              <w:pStyle w:val="TableParagraph"/>
              <w:rPr>
                <w:sz w:val="18"/>
              </w:rPr>
            </w:pPr>
          </w:p>
        </w:tc>
      </w:tr>
    </w:tbl>
    <w:p>
      <w:pPr>
        <w:spacing w:after="0"/>
        <w:rPr>
          <w:sz w:val="18"/>
        </w:rPr>
        <w:sectPr>
          <w:headerReference w:type="default" r:id="rId101"/>
          <w:footerReference w:type="default" r:id="rId102"/>
          <w:pgSz w:w="11910" w:h="16840"/>
          <w:pgMar w:header="876" w:footer="1214" w:top="1440" w:bottom="1400" w:left="260" w:right="0"/>
        </w:sectPr>
      </w:pPr>
    </w:p>
    <w:p>
      <w:pPr>
        <w:pStyle w:val="BodyText"/>
        <w:spacing w:before="9"/>
        <w:rPr>
          <w:rFonts w:ascii="Times New Roman"/>
          <w:sz w:val="5"/>
        </w:rPr>
      </w:pPr>
    </w:p>
    <w:tbl>
      <w:tblPr>
        <w:tblW w:w="0" w:type="auto"/>
        <w:jc w:val="left"/>
        <w:tblInd w:w="122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22"/>
        <w:gridCol w:w="1416"/>
        <w:gridCol w:w="1197"/>
        <w:gridCol w:w="1452"/>
        <w:gridCol w:w="1305"/>
        <w:gridCol w:w="1356"/>
        <w:gridCol w:w="1442"/>
      </w:tblGrid>
      <w:tr>
        <w:trPr>
          <w:trHeight w:val="467" w:hRule="atLeast"/>
        </w:trPr>
        <w:tc>
          <w:tcPr>
            <w:tcW w:w="1322" w:type="dxa"/>
            <w:tcBorders>
              <w:bottom w:val="single" w:sz="4" w:space="0" w:color="000000"/>
              <w:right w:val="single" w:sz="4" w:space="0" w:color="000000"/>
            </w:tcBorders>
          </w:tcPr>
          <w:p>
            <w:pPr>
              <w:pStyle w:val="TableParagraph"/>
              <w:spacing w:before="2"/>
              <w:ind w:left="107"/>
              <w:rPr>
                <w:rFonts w:ascii="宋体" w:eastAsia="宋体" w:hint="eastAsia"/>
                <w:sz w:val="18"/>
              </w:rPr>
            </w:pPr>
            <w:r>
              <w:rPr>
                <w:rFonts w:ascii="宋体" w:eastAsia="宋体" w:hint="eastAsia"/>
                <w:sz w:val="18"/>
              </w:rPr>
              <w:t>海尔集团财务</w:t>
            </w:r>
          </w:p>
          <w:p>
            <w:pPr>
              <w:pStyle w:val="TableParagraph"/>
              <w:spacing w:line="213" w:lineRule="exact" w:before="2"/>
              <w:ind w:left="107"/>
              <w:rPr>
                <w:rFonts w:ascii="宋体" w:eastAsia="宋体" w:hint="eastAsia"/>
                <w:sz w:val="18"/>
              </w:rPr>
            </w:pPr>
            <w:r>
              <w:rPr>
                <w:rFonts w:ascii="宋体" w:eastAsia="宋体" w:hint="eastAsia"/>
                <w:sz w:val="18"/>
              </w:rPr>
              <w:t>有限责任公司</w:t>
            </w:r>
          </w:p>
        </w:tc>
        <w:tc>
          <w:tcPr>
            <w:tcW w:w="1416" w:type="dxa"/>
            <w:tcBorders>
              <w:left w:val="single" w:sz="4" w:space="0" w:color="000000"/>
              <w:bottom w:val="single" w:sz="4" w:space="0" w:color="000000"/>
              <w:right w:val="single" w:sz="4" w:space="0" w:color="000000"/>
            </w:tcBorders>
          </w:tcPr>
          <w:p>
            <w:pPr>
              <w:pStyle w:val="TableParagraph"/>
              <w:spacing w:before="143"/>
              <w:ind w:right="88"/>
              <w:jc w:val="right"/>
              <w:rPr>
                <w:sz w:val="15"/>
              </w:rPr>
            </w:pPr>
            <w:r>
              <w:rPr>
                <w:sz w:val="15"/>
              </w:rPr>
              <w:t>6,010,611,728.26</w:t>
            </w:r>
          </w:p>
        </w:tc>
        <w:tc>
          <w:tcPr>
            <w:tcW w:w="1197" w:type="dxa"/>
            <w:tcBorders>
              <w:left w:val="single" w:sz="4" w:space="0" w:color="000000"/>
              <w:bottom w:val="single" w:sz="4" w:space="0" w:color="000000"/>
              <w:right w:val="single" w:sz="4" w:space="0" w:color="000000"/>
            </w:tcBorders>
          </w:tcPr>
          <w:p>
            <w:pPr>
              <w:pStyle w:val="TableParagraph"/>
              <w:rPr>
                <w:sz w:val="16"/>
              </w:rPr>
            </w:pPr>
          </w:p>
        </w:tc>
        <w:tc>
          <w:tcPr>
            <w:tcW w:w="1452" w:type="dxa"/>
            <w:tcBorders>
              <w:left w:val="single" w:sz="4" w:space="0" w:color="000000"/>
              <w:bottom w:val="single" w:sz="4" w:space="0" w:color="000000"/>
              <w:right w:val="single" w:sz="4" w:space="0" w:color="000000"/>
            </w:tcBorders>
          </w:tcPr>
          <w:p>
            <w:pPr>
              <w:pStyle w:val="TableParagraph"/>
              <w:spacing w:before="143"/>
              <w:ind w:right="84"/>
              <w:jc w:val="right"/>
              <w:rPr>
                <w:sz w:val="15"/>
              </w:rPr>
            </w:pPr>
            <w:r>
              <w:rPr>
                <w:sz w:val="15"/>
              </w:rPr>
              <w:t>651,381,998.74</w:t>
            </w:r>
          </w:p>
        </w:tc>
        <w:tc>
          <w:tcPr>
            <w:tcW w:w="1305" w:type="dxa"/>
            <w:tcBorders>
              <w:left w:val="single" w:sz="4" w:space="0" w:color="000000"/>
              <w:bottom w:val="single" w:sz="4" w:space="0" w:color="000000"/>
              <w:right w:val="single" w:sz="4" w:space="0" w:color="000000"/>
            </w:tcBorders>
          </w:tcPr>
          <w:p>
            <w:pPr>
              <w:pStyle w:val="TableParagraph"/>
              <w:spacing w:before="143"/>
              <w:ind w:right="86"/>
              <w:jc w:val="right"/>
              <w:rPr>
                <w:sz w:val="15"/>
              </w:rPr>
            </w:pPr>
            <w:r>
              <w:rPr>
                <w:sz w:val="15"/>
              </w:rPr>
              <w:t>-9,756,456.33</w:t>
            </w:r>
          </w:p>
        </w:tc>
        <w:tc>
          <w:tcPr>
            <w:tcW w:w="1356" w:type="dxa"/>
            <w:tcBorders>
              <w:left w:val="single" w:sz="4" w:space="0" w:color="000000"/>
              <w:bottom w:val="single" w:sz="4" w:space="0" w:color="000000"/>
              <w:right w:val="single" w:sz="4" w:space="0" w:color="000000"/>
            </w:tcBorders>
          </w:tcPr>
          <w:p>
            <w:pPr>
              <w:pStyle w:val="TableParagraph"/>
              <w:rPr>
                <w:sz w:val="16"/>
              </w:rPr>
            </w:pPr>
          </w:p>
        </w:tc>
        <w:tc>
          <w:tcPr>
            <w:tcW w:w="1442" w:type="dxa"/>
            <w:tcBorders>
              <w:left w:val="single" w:sz="4" w:space="0" w:color="000000"/>
              <w:bottom w:val="single" w:sz="4" w:space="0" w:color="000000"/>
            </w:tcBorders>
          </w:tcPr>
          <w:p>
            <w:pPr>
              <w:pStyle w:val="TableParagraph"/>
              <w:spacing w:before="143"/>
              <w:ind w:right="75"/>
              <w:jc w:val="right"/>
              <w:rPr>
                <w:sz w:val="15"/>
              </w:rPr>
            </w:pPr>
            <w:r>
              <w:rPr>
                <w:sz w:val="15"/>
              </w:rPr>
              <w:t>-126,000,000.00</w:t>
            </w:r>
          </w:p>
        </w:tc>
      </w:tr>
      <w:tr>
        <w:trPr>
          <w:trHeight w:val="467" w:hRule="atLeast"/>
        </w:trPr>
        <w:tc>
          <w:tcPr>
            <w:tcW w:w="1322" w:type="dxa"/>
            <w:tcBorders>
              <w:top w:val="single" w:sz="4" w:space="0" w:color="000000"/>
              <w:bottom w:val="single" w:sz="4" w:space="0" w:color="000000"/>
              <w:right w:val="single" w:sz="4" w:space="0" w:color="000000"/>
            </w:tcBorders>
          </w:tcPr>
          <w:p>
            <w:pPr>
              <w:pStyle w:val="TableParagraph"/>
              <w:spacing w:line="230" w:lineRule="atLeast" w:before="2"/>
              <w:ind w:left="107" w:right="112"/>
              <w:rPr>
                <w:rFonts w:ascii="宋体" w:eastAsia="宋体" w:hint="eastAsia"/>
                <w:sz w:val="18"/>
              </w:rPr>
            </w:pPr>
            <w:r>
              <w:rPr>
                <w:rFonts w:ascii="宋体" w:eastAsia="宋体" w:hint="eastAsia"/>
                <w:sz w:val="18"/>
              </w:rPr>
              <w:t>青岛银行股份有限公司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143"/>
              <w:ind w:right="88"/>
              <w:jc w:val="right"/>
              <w:rPr>
                <w:sz w:val="15"/>
              </w:rPr>
            </w:pPr>
            <w:r>
              <w:rPr>
                <w:sz w:val="15"/>
              </w:rPr>
              <w:t>2,586,957,693.97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143"/>
              <w:ind w:right="84"/>
              <w:jc w:val="right"/>
              <w:rPr>
                <w:sz w:val="15"/>
              </w:rPr>
            </w:pPr>
            <w:r>
              <w:rPr>
                <w:sz w:val="15"/>
              </w:rPr>
              <w:t>162,070,662.78</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before="143"/>
              <w:ind w:right="86"/>
              <w:jc w:val="right"/>
              <w:rPr>
                <w:sz w:val="15"/>
              </w:rPr>
            </w:pPr>
            <w:r>
              <w:rPr>
                <w:sz w:val="15"/>
              </w:rPr>
              <w:t>-54,374,791.43</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42" w:type="dxa"/>
            <w:tcBorders>
              <w:top w:val="single" w:sz="4" w:space="0" w:color="000000"/>
              <w:left w:val="single" w:sz="4" w:space="0" w:color="000000"/>
              <w:bottom w:val="single" w:sz="4" w:space="0" w:color="000000"/>
            </w:tcBorders>
          </w:tcPr>
          <w:p>
            <w:pPr>
              <w:pStyle w:val="TableParagraph"/>
              <w:spacing w:before="143"/>
              <w:ind w:right="75"/>
              <w:jc w:val="right"/>
              <w:rPr>
                <w:sz w:val="15"/>
              </w:rPr>
            </w:pPr>
            <w:r>
              <w:rPr>
                <w:sz w:val="15"/>
              </w:rPr>
              <w:t>-77,995,640.00</w:t>
            </w:r>
          </w:p>
        </w:tc>
      </w:tr>
      <w:tr>
        <w:trPr>
          <w:trHeight w:val="700" w:hRule="atLeast"/>
        </w:trPr>
        <w:tc>
          <w:tcPr>
            <w:tcW w:w="1322" w:type="dxa"/>
            <w:tcBorders>
              <w:top w:val="single" w:sz="4" w:space="0" w:color="000000"/>
              <w:bottom w:val="single" w:sz="4" w:space="0" w:color="000000"/>
              <w:right w:val="single" w:sz="4" w:space="0" w:color="000000"/>
            </w:tcBorders>
          </w:tcPr>
          <w:p>
            <w:pPr>
              <w:pStyle w:val="TableParagraph"/>
              <w:ind w:left="107"/>
              <w:rPr>
                <w:rFonts w:ascii="宋体" w:eastAsia="宋体" w:hint="eastAsia"/>
                <w:sz w:val="18"/>
              </w:rPr>
            </w:pPr>
            <w:r>
              <w:rPr>
                <w:rFonts w:ascii="宋体" w:eastAsia="宋体" w:hint="eastAsia"/>
                <w:sz w:val="18"/>
              </w:rPr>
              <w:t>卧龙电气（济</w:t>
            </w:r>
          </w:p>
          <w:p>
            <w:pPr>
              <w:pStyle w:val="TableParagraph"/>
              <w:spacing w:line="230" w:lineRule="atLeast" w:before="4"/>
              <w:ind w:left="107" w:right="112"/>
              <w:rPr>
                <w:rFonts w:ascii="宋体" w:eastAsia="宋体" w:hint="eastAsia"/>
                <w:sz w:val="18"/>
              </w:rPr>
            </w:pPr>
            <w:r>
              <w:rPr>
                <w:rFonts w:ascii="宋体" w:eastAsia="宋体" w:hint="eastAsia"/>
                <w:sz w:val="18"/>
              </w:rPr>
              <w:t>南）电机有限公司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5"/>
              <w:rPr>
                <w:sz w:val="22"/>
              </w:rPr>
            </w:pPr>
          </w:p>
          <w:p>
            <w:pPr>
              <w:pStyle w:val="TableParagraph"/>
              <w:ind w:right="88"/>
              <w:jc w:val="right"/>
              <w:rPr>
                <w:sz w:val="15"/>
              </w:rPr>
            </w:pPr>
            <w:r>
              <w:rPr>
                <w:sz w:val="15"/>
              </w:rPr>
              <w:t>123,555,578.44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5"/>
              <w:rPr>
                <w:sz w:val="22"/>
              </w:rPr>
            </w:pPr>
          </w:p>
          <w:p>
            <w:pPr>
              <w:pStyle w:val="TableParagraph"/>
              <w:ind w:right="84"/>
              <w:jc w:val="right"/>
              <w:rPr>
                <w:sz w:val="15"/>
              </w:rPr>
            </w:pPr>
            <w:r>
              <w:rPr>
                <w:sz w:val="15"/>
              </w:rPr>
              <w:t>20,292,292.26</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42" w:type="dxa"/>
            <w:tcBorders>
              <w:top w:val="single" w:sz="4" w:space="0" w:color="000000"/>
              <w:left w:val="single" w:sz="4" w:space="0" w:color="000000"/>
              <w:bottom w:val="single" w:sz="4" w:space="0" w:color="000000"/>
            </w:tcBorders>
          </w:tcPr>
          <w:p>
            <w:pPr>
              <w:pStyle w:val="TableParagraph"/>
              <w:rPr>
                <w:sz w:val="16"/>
              </w:rPr>
            </w:pPr>
          </w:p>
        </w:tc>
      </w:tr>
      <w:tr>
        <w:trPr>
          <w:trHeight w:val="700" w:hRule="atLeast"/>
        </w:trPr>
        <w:tc>
          <w:tcPr>
            <w:tcW w:w="1322" w:type="dxa"/>
            <w:tcBorders>
              <w:top w:val="single" w:sz="4" w:space="0" w:color="000000"/>
              <w:bottom w:val="single" w:sz="4" w:space="0" w:color="000000"/>
              <w:right w:val="single" w:sz="4" w:space="0" w:color="000000"/>
            </w:tcBorders>
          </w:tcPr>
          <w:p>
            <w:pPr>
              <w:pStyle w:val="TableParagraph"/>
              <w:ind w:left="107"/>
              <w:rPr>
                <w:rFonts w:ascii="宋体" w:eastAsia="宋体" w:hint="eastAsia"/>
                <w:sz w:val="18"/>
              </w:rPr>
            </w:pPr>
            <w:r>
              <w:rPr>
                <w:rFonts w:ascii="宋体" w:eastAsia="宋体" w:hint="eastAsia"/>
                <w:sz w:val="18"/>
              </w:rPr>
              <w:t>青岛河钢新材</w:t>
            </w:r>
          </w:p>
          <w:p>
            <w:pPr>
              <w:pStyle w:val="TableParagraph"/>
              <w:spacing w:line="230" w:lineRule="atLeast" w:before="4"/>
              <w:ind w:left="107" w:right="112"/>
              <w:rPr>
                <w:rFonts w:ascii="宋体" w:eastAsia="宋体" w:hint="eastAsia"/>
                <w:sz w:val="18"/>
              </w:rPr>
            </w:pPr>
            <w:r>
              <w:rPr>
                <w:rFonts w:ascii="宋体" w:eastAsia="宋体" w:hint="eastAsia"/>
                <w:sz w:val="18"/>
              </w:rPr>
              <w:t>料科技有限公司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5"/>
              <w:rPr>
                <w:sz w:val="22"/>
              </w:rPr>
            </w:pPr>
          </w:p>
          <w:p>
            <w:pPr>
              <w:pStyle w:val="TableParagraph"/>
              <w:ind w:right="88"/>
              <w:jc w:val="right"/>
              <w:rPr>
                <w:sz w:val="15"/>
              </w:rPr>
            </w:pPr>
            <w:r>
              <w:rPr>
                <w:sz w:val="15"/>
              </w:rPr>
              <w:t>280,063,773.80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5"/>
              <w:rPr>
                <w:sz w:val="22"/>
              </w:rPr>
            </w:pPr>
          </w:p>
          <w:p>
            <w:pPr>
              <w:pStyle w:val="TableParagraph"/>
              <w:ind w:right="84"/>
              <w:jc w:val="right"/>
              <w:rPr>
                <w:sz w:val="15"/>
              </w:rPr>
            </w:pPr>
            <w:r>
              <w:rPr>
                <w:sz w:val="15"/>
              </w:rPr>
              <w:t>17,091,162.05</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42" w:type="dxa"/>
            <w:tcBorders>
              <w:top w:val="single" w:sz="4" w:space="0" w:color="000000"/>
              <w:left w:val="single" w:sz="4" w:space="0" w:color="000000"/>
              <w:bottom w:val="single" w:sz="4" w:space="0" w:color="000000"/>
            </w:tcBorders>
          </w:tcPr>
          <w:p>
            <w:pPr>
              <w:pStyle w:val="TableParagraph"/>
              <w:rPr>
                <w:sz w:val="16"/>
              </w:rPr>
            </w:pPr>
          </w:p>
        </w:tc>
      </w:tr>
      <w:tr>
        <w:trPr>
          <w:trHeight w:val="933" w:hRule="atLeast"/>
        </w:trPr>
        <w:tc>
          <w:tcPr>
            <w:tcW w:w="1322" w:type="dxa"/>
            <w:tcBorders>
              <w:top w:val="single" w:sz="4" w:space="0" w:color="000000"/>
              <w:bottom w:val="single" w:sz="4" w:space="0" w:color="000000"/>
              <w:right w:val="single" w:sz="4" w:space="0" w:color="000000"/>
            </w:tcBorders>
          </w:tcPr>
          <w:p>
            <w:pPr>
              <w:pStyle w:val="TableParagraph"/>
              <w:spacing w:line="242" w:lineRule="auto"/>
              <w:ind w:left="107" w:right="112"/>
              <w:jc w:val="both"/>
              <w:rPr>
                <w:rFonts w:ascii="宋体" w:eastAsia="宋体" w:hint="eastAsia"/>
                <w:sz w:val="18"/>
              </w:rPr>
            </w:pPr>
            <w:r>
              <w:rPr>
                <w:rFonts w:ascii="宋体" w:eastAsia="宋体" w:hint="eastAsia"/>
                <w:sz w:val="18"/>
              </w:rPr>
              <w:t>青岛海尔赛富智慧家庭创业投资中心</w:t>
            </w:r>
            <w:r>
              <w:rPr>
                <w:sz w:val="18"/>
              </w:rPr>
              <w:t>(</w:t>
            </w:r>
            <w:r>
              <w:rPr>
                <w:rFonts w:ascii="宋体" w:eastAsia="宋体" w:hint="eastAsia"/>
                <w:sz w:val="18"/>
              </w:rPr>
              <w:t>有</w:t>
            </w:r>
          </w:p>
          <w:p>
            <w:pPr>
              <w:pStyle w:val="TableParagraph"/>
              <w:spacing w:line="213" w:lineRule="exact" w:before="2"/>
              <w:ind w:left="107"/>
              <w:rPr>
                <w:sz w:val="18"/>
              </w:rPr>
            </w:pPr>
            <w:r>
              <w:rPr>
                <w:rFonts w:ascii="宋体" w:eastAsia="宋体" w:hint="eastAsia"/>
                <w:sz w:val="18"/>
              </w:rPr>
              <w:t>限合伙</w:t>
            </w:r>
            <w:r>
              <w:rPr>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rPr>
                <w:sz w:val="16"/>
              </w:rPr>
            </w:pPr>
          </w:p>
          <w:p>
            <w:pPr>
              <w:pStyle w:val="TableParagraph"/>
              <w:spacing w:before="7"/>
              <w:rPr>
                <w:sz w:val="16"/>
              </w:rPr>
            </w:pPr>
          </w:p>
          <w:p>
            <w:pPr>
              <w:pStyle w:val="TableParagraph"/>
              <w:ind w:right="88"/>
              <w:jc w:val="right"/>
              <w:rPr>
                <w:sz w:val="15"/>
              </w:rPr>
            </w:pPr>
            <w:r>
              <w:rPr>
                <w:sz w:val="15"/>
              </w:rPr>
              <w:t>434,540,103.12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rPr>
                <w:sz w:val="16"/>
              </w:rPr>
            </w:pPr>
          </w:p>
          <w:p>
            <w:pPr>
              <w:pStyle w:val="TableParagraph"/>
              <w:spacing w:before="7"/>
              <w:rPr>
                <w:sz w:val="16"/>
              </w:rPr>
            </w:pPr>
          </w:p>
          <w:p>
            <w:pPr>
              <w:pStyle w:val="TableParagraph"/>
              <w:ind w:right="84"/>
              <w:jc w:val="right"/>
              <w:rPr>
                <w:sz w:val="15"/>
              </w:rPr>
            </w:pPr>
            <w:r>
              <w:rPr>
                <w:sz w:val="15"/>
              </w:rPr>
              <w:t>13,247,135.49</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42" w:type="dxa"/>
            <w:tcBorders>
              <w:top w:val="single" w:sz="4" w:space="0" w:color="000000"/>
              <w:left w:val="single" w:sz="4" w:space="0" w:color="000000"/>
              <w:bottom w:val="single" w:sz="4" w:space="0" w:color="000000"/>
            </w:tcBorders>
          </w:tcPr>
          <w:p>
            <w:pPr>
              <w:pStyle w:val="TableParagraph"/>
              <w:rPr>
                <w:sz w:val="16"/>
              </w:rPr>
            </w:pPr>
          </w:p>
          <w:p>
            <w:pPr>
              <w:pStyle w:val="TableParagraph"/>
              <w:spacing w:before="7"/>
              <w:rPr>
                <w:sz w:val="16"/>
              </w:rPr>
            </w:pPr>
          </w:p>
          <w:p>
            <w:pPr>
              <w:pStyle w:val="TableParagraph"/>
              <w:ind w:right="75"/>
              <w:jc w:val="right"/>
              <w:rPr>
                <w:sz w:val="15"/>
              </w:rPr>
            </w:pPr>
            <w:r>
              <w:rPr>
                <w:sz w:val="15"/>
              </w:rPr>
              <w:t>-61,990,201.88</w:t>
            </w:r>
          </w:p>
        </w:tc>
      </w:tr>
      <w:tr>
        <w:trPr>
          <w:trHeight w:val="700" w:hRule="atLeast"/>
        </w:trPr>
        <w:tc>
          <w:tcPr>
            <w:tcW w:w="1322" w:type="dxa"/>
            <w:tcBorders>
              <w:top w:val="single" w:sz="4" w:space="0" w:color="000000"/>
              <w:bottom w:val="single" w:sz="4" w:space="0" w:color="000000"/>
              <w:right w:val="single" w:sz="4" w:space="0" w:color="000000"/>
            </w:tcBorders>
          </w:tcPr>
          <w:p>
            <w:pPr>
              <w:pStyle w:val="TableParagraph"/>
              <w:ind w:left="107"/>
              <w:rPr>
                <w:rFonts w:ascii="宋体" w:eastAsia="宋体" w:hint="eastAsia"/>
                <w:sz w:val="18"/>
              </w:rPr>
            </w:pPr>
            <w:r>
              <w:rPr>
                <w:rFonts w:ascii="宋体" w:eastAsia="宋体" w:hint="eastAsia"/>
                <w:sz w:val="18"/>
              </w:rPr>
              <w:t>三菱重工海尔</w:t>
            </w:r>
          </w:p>
          <w:p>
            <w:pPr>
              <w:pStyle w:val="TableParagraph"/>
              <w:spacing w:line="230" w:lineRule="atLeast" w:before="4"/>
              <w:ind w:left="107" w:right="112"/>
              <w:rPr>
                <w:rFonts w:ascii="宋体" w:eastAsia="宋体" w:hint="eastAsia"/>
                <w:sz w:val="18"/>
              </w:rPr>
            </w:pPr>
            <w:r>
              <w:rPr>
                <w:rFonts w:ascii="宋体" w:eastAsia="宋体" w:hint="eastAsia"/>
                <w:sz w:val="18"/>
              </w:rPr>
              <w:t>（青岛）空调机有限公司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5"/>
              <w:rPr>
                <w:sz w:val="22"/>
              </w:rPr>
            </w:pPr>
          </w:p>
          <w:p>
            <w:pPr>
              <w:pStyle w:val="TableParagraph"/>
              <w:ind w:right="88"/>
              <w:jc w:val="right"/>
              <w:rPr>
                <w:sz w:val="15"/>
              </w:rPr>
            </w:pPr>
            <w:r>
              <w:rPr>
                <w:sz w:val="15"/>
              </w:rPr>
              <w:t>643,056,436.86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5"/>
              <w:rPr>
                <w:sz w:val="22"/>
              </w:rPr>
            </w:pPr>
          </w:p>
          <w:p>
            <w:pPr>
              <w:pStyle w:val="TableParagraph"/>
              <w:ind w:right="84"/>
              <w:jc w:val="right"/>
              <w:rPr>
                <w:sz w:val="15"/>
              </w:rPr>
            </w:pPr>
            <w:r>
              <w:rPr>
                <w:sz w:val="15"/>
              </w:rPr>
              <w:t>83,525,524.98</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42" w:type="dxa"/>
            <w:tcBorders>
              <w:top w:val="single" w:sz="4" w:space="0" w:color="000000"/>
              <w:left w:val="single" w:sz="4" w:space="0" w:color="000000"/>
              <w:bottom w:val="single" w:sz="4" w:space="0" w:color="000000"/>
            </w:tcBorders>
          </w:tcPr>
          <w:p>
            <w:pPr>
              <w:pStyle w:val="TableParagraph"/>
              <w:spacing w:before="5"/>
              <w:rPr>
                <w:sz w:val="22"/>
              </w:rPr>
            </w:pPr>
          </w:p>
          <w:p>
            <w:pPr>
              <w:pStyle w:val="TableParagraph"/>
              <w:ind w:right="75"/>
              <w:jc w:val="right"/>
              <w:rPr>
                <w:sz w:val="15"/>
              </w:rPr>
            </w:pPr>
            <w:r>
              <w:rPr>
                <w:sz w:val="15"/>
              </w:rPr>
              <w:t>-72,000,000.00</w:t>
            </w:r>
          </w:p>
        </w:tc>
      </w:tr>
      <w:tr>
        <w:trPr>
          <w:trHeight w:val="700" w:hRule="atLeast"/>
        </w:trPr>
        <w:tc>
          <w:tcPr>
            <w:tcW w:w="1322" w:type="dxa"/>
            <w:tcBorders>
              <w:top w:val="single" w:sz="4" w:space="0" w:color="000000"/>
              <w:bottom w:val="single" w:sz="4" w:space="0" w:color="000000"/>
              <w:right w:val="single" w:sz="4" w:space="0" w:color="000000"/>
            </w:tcBorders>
          </w:tcPr>
          <w:p>
            <w:pPr>
              <w:pStyle w:val="TableParagraph"/>
              <w:ind w:left="107"/>
              <w:rPr>
                <w:rFonts w:ascii="宋体" w:eastAsia="宋体" w:hint="eastAsia"/>
                <w:sz w:val="18"/>
              </w:rPr>
            </w:pPr>
            <w:r>
              <w:rPr>
                <w:rFonts w:ascii="宋体" w:eastAsia="宋体" w:hint="eastAsia"/>
                <w:sz w:val="18"/>
              </w:rPr>
              <w:t>青岛海尔开利</w:t>
            </w:r>
          </w:p>
          <w:p>
            <w:pPr>
              <w:pStyle w:val="TableParagraph"/>
              <w:spacing w:line="230" w:lineRule="atLeast" w:before="4"/>
              <w:ind w:left="107" w:right="112"/>
              <w:rPr>
                <w:rFonts w:ascii="宋体" w:eastAsia="宋体" w:hint="eastAsia"/>
                <w:sz w:val="18"/>
              </w:rPr>
            </w:pPr>
            <w:r>
              <w:rPr>
                <w:rFonts w:ascii="宋体" w:eastAsia="宋体" w:hint="eastAsia"/>
                <w:sz w:val="18"/>
              </w:rPr>
              <w:t>冷冻设备有限公司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5"/>
              <w:rPr>
                <w:sz w:val="22"/>
              </w:rPr>
            </w:pPr>
          </w:p>
          <w:p>
            <w:pPr>
              <w:pStyle w:val="TableParagraph"/>
              <w:ind w:right="88"/>
              <w:jc w:val="right"/>
              <w:rPr>
                <w:sz w:val="15"/>
              </w:rPr>
            </w:pPr>
            <w:r>
              <w:rPr>
                <w:sz w:val="15"/>
              </w:rPr>
              <w:t>395,933,487.26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5"/>
              <w:rPr>
                <w:sz w:val="22"/>
              </w:rPr>
            </w:pPr>
          </w:p>
          <w:p>
            <w:pPr>
              <w:pStyle w:val="TableParagraph"/>
              <w:ind w:right="84"/>
              <w:jc w:val="right"/>
              <w:rPr>
                <w:sz w:val="15"/>
              </w:rPr>
            </w:pPr>
            <w:r>
              <w:rPr>
                <w:sz w:val="15"/>
              </w:rPr>
              <w:t>19,364,678.67</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42" w:type="dxa"/>
            <w:tcBorders>
              <w:top w:val="single" w:sz="4" w:space="0" w:color="000000"/>
              <w:left w:val="single" w:sz="4" w:space="0" w:color="000000"/>
              <w:bottom w:val="single" w:sz="4" w:space="0" w:color="000000"/>
            </w:tcBorders>
          </w:tcPr>
          <w:p>
            <w:pPr>
              <w:pStyle w:val="TableParagraph"/>
              <w:rPr>
                <w:sz w:val="16"/>
              </w:rPr>
            </w:pPr>
          </w:p>
        </w:tc>
      </w:tr>
      <w:tr>
        <w:trPr>
          <w:trHeight w:val="467" w:hRule="atLeast"/>
        </w:trPr>
        <w:tc>
          <w:tcPr>
            <w:tcW w:w="1322" w:type="dxa"/>
            <w:tcBorders>
              <w:top w:val="single" w:sz="4" w:space="0" w:color="000000"/>
              <w:bottom w:val="single" w:sz="4" w:space="0" w:color="000000"/>
              <w:right w:val="single" w:sz="4" w:space="0" w:color="000000"/>
            </w:tcBorders>
          </w:tcPr>
          <w:p>
            <w:pPr>
              <w:pStyle w:val="TableParagraph"/>
              <w:ind w:left="107"/>
              <w:rPr>
                <w:rFonts w:ascii="宋体" w:eastAsia="宋体" w:hint="eastAsia"/>
                <w:sz w:val="18"/>
              </w:rPr>
            </w:pPr>
            <w:r>
              <w:rPr>
                <w:rFonts w:ascii="宋体" w:eastAsia="宋体" w:hint="eastAsia"/>
                <w:sz w:val="18"/>
              </w:rPr>
              <w:t>青岛海尔多媒</w:t>
            </w:r>
          </w:p>
          <w:p>
            <w:pPr>
              <w:pStyle w:val="TableParagraph"/>
              <w:spacing w:line="213" w:lineRule="exact" w:before="4"/>
              <w:ind w:left="107"/>
              <w:rPr>
                <w:rFonts w:ascii="宋体" w:eastAsia="宋体" w:hint="eastAsia"/>
                <w:sz w:val="18"/>
              </w:rPr>
            </w:pPr>
            <w:r>
              <w:rPr>
                <w:rFonts w:ascii="宋体" w:eastAsia="宋体" w:hint="eastAsia"/>
                <w:sz w:val="18"/>
              </w:rPr>
              <w:t>体有限公司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143"/>
              <w:ind w:right="88"/>
              <w:jc w:val="right"/>
              <w:rPr>
                <w:sz w:val="15"/>
              </w:rPr>
            </w:pPr>
            <w:r>
              <w:rPr>
                <w:sz w:val="15"/>
              </w:rPr>
              <w:t>432,386,801.26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143"/>
              <w:ind w:right="84"/>
              <w:jc w:val="right"/>
              <w:rPr>
                <w:sz w:val="15"/>
              </w:rPr>
            </w:pPr>
            <w:r>
              <w:rPr>
                <w:sz w:val="15"/>
              </w:rPr>
              <w:t>-103,399,596.19</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42" w:type="dxa"/>
            <w:tcBorders>
              <w:top w:val="single" w:sz="4" w:space="0" w:color="000000"/>
              <w:left w:val="single" w:sz="4" w:space="0" w:color="000000"/>
              <w:bottom w:val="single" w:sz="4" w:space="0" w:color="000000"/>
            </w:tcBorders>
          </w:tcPr>
          <w:p>
            <w:pPr>
              <w:pStyle w:val="TableParagraph"/>
              <w:rPr>
                <w:sz w:val="16"/>
              </w:rPr>
            </w:pPr>
          </w:p>
        </w:tc>
      </w:tr>
      <w:tr>
        <w:trPr>
          <w:trHeight w:val="467" w:hRule="atLeast"/>
        </w:trPr>
        <w:tc>
          <w:tcPr>
            <w:tcW w:w="1322" w:type="dxa"/>
            <w:tcBorders>
              <w:top w:val="single" w:sz="4" w:space="0" w:color="000000"/>
              <w:bottom w:val="single" w:sz="4" w:space="0" w:color="000000"/>
              <w:right w:val="single" w:sz="4" w:space="0" w:color="000000"/>
            </w:tcBorders>
          </w:tcPr>
          <w:p>
            <w:pPr>
              <w:pStyle w:val="TableParagraph"/>
              <w:spacing w:line="230" w:lineRule="exact"/>
              <w:ind w:left="107"/>
              <w:rPr>
                <w:rFonts w:ascii="宋体" w:eastAsia="宋体" w:hint="eastAsia"/>
                <w:sz w:val="18"/>
              </w:rPr>
            </w:pPr>
            <w:r>
              <w:rPr>
                <w:rFonts w:ascii="宋体" w:eastAsia="宋体" w:hint="eastAsia"/>
                <w:sz w:val="18"/>
              </w:rPr>
              <w:t>青岛海尔软件</w:t>
            </w:r>
          </w:p>
          <w:p>
            <w:pPr>
              <w:pStyle w:val="TableParagraph"/>
              <w:spacing w:line="215" w:lineRule="exact" w:before="2"/>
              <w:ind w:left="107"/>
              <w:rPr>
                <w:rFonts w:ascii="宋体" w:eastAsia="宋体" w:hint="eastAsia"/>
                <w:sz w:val="18"/>
              </w:rPr>
            </w:pPr>
            <w:r>
              <w:rPr>
                <w:rFonts w:ascii="宋体" w:eastAsia="宋体" w:hint="eastAsia"/>
                <w:sz w:val="18"/>
              </w:rPr>
              <w:t>投资有限公司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140"/>
              <w:ind w:right="88"/>
              <w:jc w:val="right"/>
              <w:rPr>
                <w:sz w:val="15"/>
              </w:rPr>
            </w:pPr>
            <w:r>
              <w:rPr>
                <w:sz w:val="15"/>
              </w:rPr>
              <w:t>19,636,136.75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0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42" w:type="dxa"/>
            <w:tcBorders>
              <w:top w:val="single" w:sz="4" w:space="0" w:color="000000"/>
              <w:left w:val="single" w:sz="4" w:space="0" w:color="000000"/>
              <w:bottom w:val="single" w:sz="4" w:space="0" w:color="000000"/>
            </w:tcBorders>
          </w:tcPr>
          <w:p>
            <w:pPr>
              <w:pStyle w:val="TableParagraph"/>
              <w:rPr>
                <w:sz w:val="16"/>
              </w:rPr>
            </w:pPr>
          </w:p>
        </w:tc>
      </w:tr>
      <w:tr>
        <w:trPr>
          <w:trHeight w:val="465" w:hRule="atLeast"/>
        </w:trPr>
        <w:tc>
          <w:tcPr>
            <w:tcW w:w="1322" w:type="dxa"/>
            <w:tcBorders>
              <w:top w:val="single" w:sz="4" w:space="0" w:color="000000"/>
              <w:bottom w:val="single" w:sz="4" w:space="0" w:color="000000"/>
              <w:right w:val="single" w:sz="4" w:space="0" w:color="000000"/>
            </w:tcBorders>
          </w:tcPr>
          <w:p>
            <w:pPr>
              <w:pStyle w:val="TableParagraph"/>
              <w:spacing w:line="230" w:lineRule="exact"/>
              <w:ind w:left="107"/>
              <w:rPr>
                <w:rFonts w:ascii="宋体" w:eastAsia="宋体" w:hint="eastAsia"/>
                <w:sz w:val="18"/>
              </w:rPr>
            </w:pPr>
            <w:r>
              <w:rPr>
                <w:rFonts w:ascii="宋体" w:eastAsia="宋体" w:hint="eastAsia"/>
                <w:sz w:val="18"/>
              </w:rPr>
              <w:t>合肥飞尔智能</w:t>
            </w:r>
          </w:p>
          <w:p>
            <w:pPr>
              <w:pStyle w:val="TableParagraph"/>
              <w:spacing w:line="213" w:lineRule="exact" w:before="2"/>
              <w:ind w:left="107"/>
              <w:rPr>
                <w:rFonts w:ascii="宋体" w:eastAsia="宋体" w:hint="eastAsia"/>
                <w:sz w:val="18"/>
              </w:rPr>
            </w:pPr>
            <w:r>
              <w:rPr>
                <w:rFonts w:ascii="宋体" w:eastAsia="宋体" w:hint="eastAsia"/>
                <w:sz w:val="18"/>
              </w:rPr>
              <w:t>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140"/>
              <w:ind w:right="87"/>
              <w:jc w:val="right"/>
              <w:rPr>
                <w:sz w:val="15"/>
              </w:rPr>
            </w:pPr>
            <w:r>
              <w:rPr>
                <w:sz w:val="15"/>
              </w:rPr>
              <w:t>758,188.30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before="140"/>
              <w:ind w:left="290" w:right="64"/>
              <w:jc w:val="center"/>
              <w:rPr>
                <w:sz w:val="15"/>
              </w:rPr>
            </w:pPr>
            <w:r>
              <w:rPr>
                <w:sz w:val="15"/>
              </w:rPr>
              <w:t>5,000,000.00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140"/>
              <w:ind w:right="84"/>
              <w:jc w:val="right"/>
              <w:rPr>
                <w:sz w:val="15"/>
              </w:rPr>
            </w:pPr>
            <w:r>
              <w:rPr>
                <w:sz w:val="15"/>
              </w:rPr>
              <w:t>-4,267,163.58</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42" w:type="dxa"/>
            <w:tcBorders>
              <w:top w:val="single" w:sz="4" w:space="0" w:color="000000"/>
              <w:left w:val="single" w:sz="4" w:space="0" w:color="000000"/>
              <w:bottom w:val="single" w:sz="4" w:space="0" w:color="000000"/>
            </w:tcBorders>
          </w:tcPr>
          <w:p>
            <w:pPr>
              <w:pStyle w:val="TableParagraph"/>
              <w:rPr>
                <w:sz w:val="16"/>
              </w:rPr>
            </w:pPr>
          </w:p>
        </w:tc>
      </w:tr>
      <w:tr>
        <w:trPr>
          <w:trHeight w:val="467" w:hRule="atLeast"/>
        </w:trPr>
        <w:tc>
          <w:tcPr>
            <w:tcW w:w="1322" w:type="dxa"/>
            <w:tcBorders>
              <w:top w:val="single" w:sz="4" w:space="0" w:color="000000"/>
              <w:bottom w:val="single" w:sz="4" w:space="0" w:color="000000"/>
              <w:right w:val="single" w:sz="4" w:space="0" w:color="000000"/>
            </w:tcBorders>
          </w:tcPr>
          <w:p>
            <w:pPr>
              <w:pStyle w:val="TableParagraph"/>
              <w:ind w:left="107"/>
              <w:rPr>
                <w:rFonts w:ascii="宋体" w:eastAsia="宋体" w:hint="eastAsia"/>
                <w:sz w:val="18"/>
              </w:rPr>
            </w:pPr>
            <w:r>
              <w:rPr>
                <w:rFonts w:ascii="宋体" w:eastAsia="宋体" w:hint="eastAsia"/>
                <w:sz w:val="18"/>
              </w:rPr>
              <w:t>青岛新奥海智</w:t>
            </w:r>
          </w:p>
          <w:p>
            <w:pPr>
              <w:pStyle w:val="TableParagraph"/>
              <w:spacing w:line="213" w:lineRule="exact" w:before="4"/>
              <w:ind w:left="107"/>
              <w:rPr>
                <w:rFonts w:ascii="宋体" w:eastAsia="宋体" w:hint="eastAsia"/>
                <w:sz w:val="18"/>
              </w:rPr>
            </w:pPr>
            <w:r>
              <w:rPr>
                <w:rFonts w:ascii="宋体" w:eastAsia="宋体" w:hint="eastAsia"/>
                <w:sz w:val="18"/>
              </w:rPr>
              <w:t>能源有限公司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143"/>
              <w:ind w:right="88"/>
              <w:jc w:val="right"/>
              <w:rPr>
                <w:sz w:val="15"/>
              </w:rPr>
            </w:pPr>
            <w:r>
              <w:rPr>
                <w:sz w:val="15"/>
              </w:rPr>
              <w:t>25,966,044.95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0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42" w:type="dxa"/>
            <w:tcBorders>
              <w:top w:val="single" w:sz="4" w:space="0" w:color="000000"/>
              <w:left w:val="single" w:sz="4" w:space="0" w:color="000000"/>
              <w:bottom w:val="single" w:sz="4" w:space="0" w:color="000000"/>
            </w:tcBorders>
          </w:tcPr>
          <w:p>
            <w:pPr>
              <w:pStyle w:val="TableParagraph"/>
              <w:rPr>
                <w:sz w:val="16"/>
              </w:rPr>
            </w:pPr>
          </w:p>
        </w:tc>
      </w:tr>
      <w:tr>
        <w:trPr>
          <w:trHeight w:val="698" w:hRule="atLeast"/>
        </w:trPr>
        <w:tc>
          <w:tcPr>
            <w:tcW w:w="1322" w:type="dxa"/>
            <w:tcBorders>
              <w:top w:val="single" w:sz="4" w:space="0" w:color="000000"/>
              <w:bottom w:val="single" w:sz="6" w:space="0" w:color="000000"/>
              <w:right w:val="single" w:sz="4" w:space="0" w:color="000000"/>
            </w:tcBorders>
          </w:tcPr>
          <w:p>
            <w:pPr>
              <w:pStyle w:val="TableParagraph"/>
              <w:spacing w:line="242" w:lineRule="auto"/>
              <w:ind w:left="107" w:right="112"/>
              <w:rPr>
                <w:rFonts w:ascii="宋体" w:eastAsia="宋体" w:hint="eastAsia"/>
                <w:sz w:val="18"/>
              </w:rPr>
            </w:pPr>
            <w:r>
              <w:rPr>
                <w:rFonts w:ascii="宋体" w:eastAsia="宋体" w:hint="eastAsia"/>
                <w:sz w:val="18"/>
              </w:rPr>
              <w:t>青岛中再海纳环境服务有限</w:t>
            </w:r>
          </w:p>
          <w:p>
            <w:pPr>
              <w:pStyle w:val="TableParagraph"/>
              <w:spacing w:line="210" w:lineRule="exact" w:before="2"/>
              <w:ind w:left="107"/>
              <w:rPr>
                <w:rFonts w:ascii="宋体" w:eastAsia="宋体" w:hint="eastAsia"/>
                <w:sz w:val="18"/>
              </w:rPr>
            </w:pPr>
            <w:r>
              <w:rPr>
                <w:rFonts w:ascii="宋体" w:eastAsia="宋体" w:hint="eastAsia"/>
                <w:sz w:val="18"/>
              </w:rPr>
              <w:t>公司</w:t>
            </w:r>
          </w:p>
        </w:tc>
        <w:tc>
          <w:tcPr>
            <w:tcW w:w="1416" w:type="dxa"/>
            <w:tcBorders>
              <w:top w:val="single" w:sz="4" w:space="0" w:color="000000"/>
              <w:left w:val="single" w:sz="4" w:space="0" w:color="000000"/>
              <w:bottom w:val="single" w:sz="6" w:space="0" w:color="000000"/>
              <w:right w:val="single" w:sz="4" w:space="0" w:color="000000"/>
            </w:tcBorders>
          </w:tcPr>
          <w:p>
            <w:pPr>
              <w:pStyle w:val="TableParagraph"/>
              <w:spacing w:before="5"/>
              <w:rPr>
                <w:sz w:val="22"/>
              </w:rPr>
            </w:pPr>
          </w:p>
          <w:p>
            <w:pPr>
              <w:pStyle w:val="TableParagraph"/>
              <w:ind w:right="88"/>
              <w:jc w:val="right"/>
              <w:rPr>
                <w:sz w:val="15"/>
              </w:rPr>
            </w:pPr>
            <w:r>
              <w:rPr>
                <w:sz w:val="15"/>
              </w:rPr>
              <w:t>2,261,258.70</w:t>
            </w:r>
          </w:p>
        </w:tc>
        <w:tc>
          <w:tcPr>
            <w:tcW w:w="1197" w:type="dxa"/>
            <w:tcBorders>
              <w:top w:val="single" w:sz="4" w:space="0" w:color="000000"/>
              <w:left w:val="single" w:sz="4" w:space="0" w:color="000000"/>
              <w:bottom w:val="single" w:sz="6" w:space="0" w:color="000000"/>
              <w:right w:val="single" w:sz="4" w:space="0" w:color="000000"/>
            </w:tcBorders>
          </w:tcPr>
          <w:p>
            <w:pPr>
              <w:pStyle w:val="TableParagraph"/>
              <w:rPr>
                <w:sz w:val="16"/>
              </w:rPr>
            </w:pPr>
          </w:p>
        </w:tc>
        <w:tc>
          <w:tcPr>
            <w:tcW w:w="1452" w:type="dxa"/>
            <w:tcBorders>
              <w:top w:val="single" w:sz="4" w:space="0" w:color="000000"/>
              <w:left w:val="single" w:sz="4" w:space="0" w:color="000000"/>
              <w:bottom w:val="single" w:sz="6" w:space="0" w:color="000000"/>
              <w:right w:val="single" w:sz="4" w:space="0" w:color="000000"/>
            </w:tcBorders>
          </w:tcPr>
          <w:p>
            <w:pPr>
              <w:pStyle w:val="TableParagraph"/>
              <w:rPr>
                <w:sz w:val="16"/>
              </w:rPr>
            </w:pPr>
          </w:p>
        </w:tc>
        <w:tc>
          <w:tcPr>
            <w:tcW w:w="1305" w:type="dxa"/>
            <w:tcBorders>
              <w:top w:val="single" w:sz="4" w:space="0" w:color="000000"/>
              <w:left w:val="single" w:sz="4" w:space="0" w:color="000000"/>
              <w:bottom w:val="single" w:sz="6" w:space="0" w:color="000000"/>
              <w:right w:val="single" w:sz="4" w:space="0" w:color="000000"/>
            </w:tcBorders>
          </w:tcPr>
          <w:p>
            <w:pPr>
              <w:pStyle w:val="TableParagraph"/>
              <w:rPr>
                <w:sz w:val="16"/>
              </w:rPr>
            </w:pPr>
          </w:p>
        </w:tc>
        <w:tc>
          <w:tcPr>
            <w:tcW w:w="1356" w:type="dxa"/>
            <w:tcBorders>
              <w:top w:val="single" w:sz="4" w:space="0" w:color="000000"/>
              <w:left w:val="single" w:sz="4" w:space="0" w:color="000000"/>
              <w:bottom w:val="single" w:sz="6" w:space="0" w:color="000000"/>
              <w:right w:val="single" w:sz="4" w:space="0" w:color="000000"/>
            </w:tcBorders>
          </w:tcPr>
          <w:p>
            <w:pPr>
              <w:pStyle w:val="TableParagraph"/>
              <w:rPr>
                <w:sz w:val="16"/>
              </w:rPr>
            </w:pPr>
          </w:p>
        </w:tc>
        <w:tc>
          <w:tcPr>
            <w:tcW w:w="1442" w:type="dxa"/>
            <w:tcBorders>
              <w:top w:val="single" w:sz="4" w:space="0" w:color="000000"/>
              <w:left w:val="single" w:sz="4" w:space="0" w:color="000000"/>
              <w:bottom w:val="single" w:sz="6" w:space="0" w:color="000000"/>
            </w:tcBorders>
          </w:tcPr>
          <w:p>
            <w:pPr>
              <w:pStyle w:val="TableParagraph"/>
              <w:rPr>
                <w:sz w:val="16"/>
              </w:rPr>
            </w:pPr>
          </w:p>
        </w:tc>
      </w:tr>
      <w:tr>
        <w:trPr>
          <w:trHeight w:val="465" w:hRule="atLeast"/>
        </w:trPr>
        <w:tc>
          <w:tcPr>
            <w:tcW w:w="1322" w:type="dxa"/>
            <w:tcBorders>
              <w:top w:val="single" w:sz="6" w:space="0" w:color="000000"/>
              <w:bottom w:val="single" w:sz="4" w:space="0" w:color="000000"/>
              <w:right w:val="single" w:sz="4" w:space="0" w:color="000000"/>
            </w:tcBorders>
          </w:tcPr>
          <w:p>
            <w:pPr>
              <w:pStyle w:val="TableParagraph"/>
              <w:spacing w:line="228" w:lineRule="exact"/>
              <w:ind w:left="107"/>
              <w:rPr>
                <w:rFonts w:ascii="宋体" w:eastAsia="宋体" w:hint="eastAsia"/>
                <w:sz w:val="18"/>
              </w:rPr>
            </w:pPr>
            <w:r>
              <w:rPr>
                <w:rFonts w:ascii="宋体" w:eastAsia="宋体" w:hint="eastAsia"/>
                <w:sz w:val="18"/>
              </w:rPr>
              <w:t>山东海必达大</w:t>
            </w:r>
          </w:p>
          <w:p>
            <w:pPr>
              <w:pStyle w:val="TableParagraph"/>
              <w:spacing w:line="215" w:lineRule="exact" w:before="2"/>
              <w:ind w:left="107"/>
              <w:rPr>
                <w:rFonts w:ascii="宋体" w:eastAsia="宋体" w:hint="eastAsia"/>
                <w:sz w:val="18"/>
              </w:rPr>
            </w:pPr>
            <w:r>
              <w:rPr>
                <w:rFonts w:ascii="宋体" w:eastAsia="宋体" w:hint="eastAsia"/>
                <w:sz w:val="18"/>
              </w:rPr>
              <w:t>数据有限公司</w:t>
            </w:r>
          </w:p>
        </w:tc>
        <w:tc>
          <w:tcPr>
            <w:tcW w:w="1416" w:type="dxa"/>
            <w:tcBorders>
              <w:top w:val="single" w:sz="6" w:space="0" w:color="000000"/>
              <w:left w:val="single" w:sz="4" w:space="0" w:color="000000"/>
              <w:bottom w:val="single" w:sz="4" w:space="0" w:color="000000"/>
              <w:right w:val="single" w:sz="4" w:space="0" w:color="000000"/>
            </w:tcBorders>
          </w:tcPr>
          <w:p>
            <w:pPr>
              <w:pStyle w:val="TableParagraph"/>
              <w:spacing w:before="138"/>
              <w:ind w:right="88"/>
              <w:jc w:val="right"/>
              <w:rPr>
                <w:sz w:val="15"/>
              </w:rPr>
            </w:pPr>
            <w:r>
              <w:rPr>
                <w:sz w:val="15"/>
              </w:rPr>
              <w:t>5,332,640.10</w:t>
            </w:r>
          </w:p>
        </w:tc>
        <w:tc>
          <w:tcPr>
            <w:tcW w:w="1197" w:type="dxa"/>
            <w:tcBorders>
              <w:top w:val="single" w:sz="6" w:space="0" w:color="000000"/>
              <w:left w:val="single" w:sz="4" w:space="0" w:color="000000"/>
              <w:bottom w:val="single" w:sz="4" w:space="0" w:color="000000"/>
              <w:right w:val="single" w:sz="4" w:space="0" w:color="000000"/>
            </w:tcBorders>
          </w:tcPr>
          <w:p>
            <w:pPr>
              <w:pStyle w:val="TableParagraph"/>
              <w:rPr>
                <w:sz w:val="16"/>
              </w:rPr>
            </w:pPr>
          </w:p>
        </w:tc>
        <w:tc>
          <w:tcPr>
            <w:tcW w:w="1452" w:type="dxa"/>
            <w:tcBorders>
              <w:top w:val="single" w:sz="6" w:space="0" w:color="000000"/>
              <w:left w:val="single" w:sz="4" w:space="0" w:color="000000"/>
              <w:bottom w:val="single" w:sz="4" w:space="0" w:color="000000"/>
              <w:right w:val="single" w:sz="4" w:space="0" w:color="000000"/>
            </w:tcBorders>
          </w:tcPr>
          <w:p>
            <w:pPr>
              <w:pStyle w:val="TableParagraph"/>
              <w:rPr>
                <w:sz w:val="16"/>
              </w:rPr>
            </w:pPr>
          </w:p>
        </w:tc>
        <w:tc>
          <w:tcPr>
            <w:tcW w:w="1305" w:type="dxa"/>
            <w:tcBorders>
              <w:top w:val="single" w:sz="6" w:space="0" w:color="000000"/>
              <w:left w:val="single" w:sz="4" w:space="0" w:color="000000"/>
              <w:bottom w:val="single" w:sz="4" w:space="0" w:color="000000"/>
              <w:right w:val="single" w:sz="4" w:space="0" w:color="000000"/>
            </w:tcBorders>
          </w:tcPr>
          <w:p>
            <w:pPr>
              <w:pStyle w:val="TableParagraph"/>
              <w:rPr>
                <w:sz w:val="16"/>
              </w:rPr>
            </w:pPr>
          </w:p>
        </w:tc>
        <w:tc>
          <w:tcPr>
            <w:tcW w:w="1356" w:type="dxa"/>
            <w:tcBorders>
              <w:top w:val="single" w:sz="6" w:space="0" w:color="000000"/>
              <w:left w:val="single" w:sz="4" w:space="0" w:color="000000"/>
              <w:bottom w:val="single" w:sz="4" w:space="0" w:color="000000"/>
              <w:right w:val="single" w:sz="4" w:space="0" w:color="000000"/>
            </w:tcBorders>
          </w:tcPr>
          <w:p>
            <w:pPr>
              <w:pStyle w:val="TableParagraph"/>
              <w:rPr>
                <w:sz w:val="16"/>
              </w:rPr>
            </w:pPr>
          </w:p>
        </w:tc>
        <w:tc>
          <w:tcPr>
            <w:tcW w:w="1442" w:type="dxa"/>
            <w:tcBorders>
              <w:top w:val="single" w:sz="6" w:space="0" w:color="000000"/>
              <w:left w:val="single" w:sz="4" w:space="0" w:color="000000"/>
              <w:bottom w:val="single" w:sz="4" w:space="0" w:color="000000"/>
            </w:tcBorders>
          </w:tcPr>
          <w:p>
            <w:pPr>
              <w:pStyle w:val="TableParagraph"/>
              <w:rPr>
                <w:sz w:val="16"/>
              </w:rPr>
            </w:pPr>
          </w:p>
        </w:tc>
      </w:tr>
      <w:tr>
        <w:trPr>
          <w:trHeight w:val="700" w:hRule="atLeast"/>
        </w:trPr>
        <w:tc>
          <w:tcPr>
            <w:tcW w:w="1322" w:type="dxa"/>
            <w:tcBorders>
              <w:top w:val="single" w:sz="4" w:space="0" w:color="000000"/>
              <w:bottom w:val="single" w:sz="4" w:space="0" w:color="000000"/>
              <w:right w:val="single" w:sz="4" w:space="0" w:color="000000"/>
            </w:tcBorders>
          </w:tcPr>
          <w:p>
            <w:pPr>
              <w:pStyle w:val="TableParagraph"/>
              <w:spacing w:line="230" w:lineRule="exact"/>
              <w:ind w:left="107"/>
              <w:rPr>
                <w:rFonts w:ascii="宋体" w:eastAsia="宋体" w:hint="eastAsia"/>
                <w:sz w:val="18"/>
              </w:rPr>
            </w:pPr>
            <w:r>
              <w:rPr>
                <w:rFonts w:ascii="宋体" w:eastAsia="宋体" w:hint="eastAsia"/>
                <w:sz w:val="18"/>
              </w:rPr>
              <w:t>北京海狸先生</w:t>
            </w:r>
          </w:p>
          <w:p>
            <w:pPr>
              <w:pStyle w:val="TableParagraph"/>
              <w:spacing w:line="230" w:lineRule="atLeast" w:before="2"/>
              <w:ind w:left="107" w:right="112"/>
              <w:rPr>
                <w:rFonts w:ascii="宋体" w:eastAsia="宋体" w:hint="eastAsia"/>
                <w:sz w:val="18"/>
              </w:rPr>
            </w:pPr>
            <w:r>
              <w:rPr>
                <w:rFonts w:ascii="宋体" w:eastAsia="宋体" w:hint="eastAsia"/>
                <w:sz w:val="18"/>
              </w:rPr>
              <w:t>网络科技有限公司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5"/>
              <w:rPr>
                <w:sz w:val="22"/>
              </w:rPr>
            </w:pPr>
          </w:p>
          <w:p>
            <w:pPr>
              <w:pStyle w:val="TableParagraph"/>
              <w:ind w:right="88"/>
              <w:jc w:val="right"/>
              <w:rPr>
                <w:sz w:val="15"/>
              </w:rPr>
            </w:pPr>
            <w:r>
              <w:rPr>
                <w:sz w:val="15"/>
              </w:rPr>
              <w:t>3,757,759.75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before="5"/>
              <w:rPr>
                <w:sz w:val="22"/>
              </w:rPr>
            </w:pPr>
          </w:p>
          <w:p>
            <w:pPr>
              <w:pStyle w:val="TableParagraph"/>
              <w:ind w:left="287" w:right="66"/>
              <w:jc w:val="center"/>
              <w:rPr>
                <w:sz w:val="15"/>
              </w:rPr>
            </w:pPr>
            <w:r>
              <w:rPr>
                <w:sz w:val="15"/>
              </w:rPr>
              <w:t>3,750,000.00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0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42" w:type="dxa"/>
            <w:tcBorders>
              <w:top w:val="single" w:sz="4" w:space="0" w:color="000000"/>
              <w:left w:val="single" w:sz="4" w:space="0" w:color="000000"/>
              <w:bottom w:val="single" w:sz="4" w:space="0" w:color="000000"/>
            </w:tcBorders>
          </w:tcPr>
          <w:p>
            <w:pPr>
              <w:pStyle w:val="TableParagraph"/>
              <w:rPr>
                <w:sz w:val="16"/>
              </w:rPr>
            </w:pPr>
          </w:p>
        </w:tc>
      </w:tr>
      <w:tr>
        <w:trPr>
          <w:trHeight w:val="465" w:hRule="atLeast"/>
        </w:trPr>
        <w:tc>
          <w:tcPr>
            <w:tcW w:w="1322" w:type="dxa"/>
            <w:tcBorders>
              <w:top w:val="single" w:sz="4" w:space="0" w:color="000000"/>
              <w:bottom w:val="single" w:sz="4" w:space="0" w:color="000000"/>
              <w:right w:val="single" w:sz="4" w:space="0" w:color="000000"/>
            </w:tcBorders>
          </w:tcPr>
          <w:p>
            <w:pPr>
              <w:pStyle w:val="TableParagraph"/>
              <w:spacing w:line="230" w:lineRule="exact"/>
              <w:ind w:left="107"/>
              <w:rPr>
                <w:rFonts w:ascii="宋体" w:eastAsia="宋体" w:hint="eastAsia"/>
                <w:sz w:val="18"/>
              </w:rPr>
            </w:pPr>
            <w:r>
              <w:rPr>
                <w:rFonts w:ascii="宋体" w:eastAsia="宋体" w:hint="eastAsia"/>
                <w:sz w:val="18"/>
              </w:rPr>
              <w:t>北京小焙科技</w:t>
            </w:r>
          </w:p>
          <w:p>
            <w:pPr>
              <w:pStyle w:val="TableParagraph"/>
              <w:spacing w:line="213" w:lineRule="exact" w:before="2"/>
              <w:ind w:left="107"/>
              <w:rPr>
                <w:rFonts w:ascii="宋体" w:eastAsia="宋体" w:hint="eastAsia"/>
                <w:sz w:val="18"/>
              </w:rPr>
            </w:pPr>
            <w:r>
              <w:rPr>
                <w:rFonts w:ascii="宋体" w:eastAsia="宋体" w:hint="eastAsia"/>
                <w:sz w:val="18"/>
              </w:rPr>
              <w:t>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140"/>
              <w:ind w:right="88"/>
              <w:jc w:val="right"/>
              <w:rPr>
                <w:sz w:val="15"/>
              </w:rPr>
            </w:pPr>
            <w:r>
              <w:rPr>
                <w:sz w:val="15"/>
              </w:rPr>
              <w:t>2,687,341.82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0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42" w:type="dxa"/>
            <w:tcBorders>
              <w:top w:val="single" w:sz="4" w:space="0" w:color="000000"/>
              <w:left w:val="single" w:sz="4" w:space="0" w:color="000000"/>
              <w:bottom w:val="single" w:sz="4" w:space="0" w:color="000000"/>
            </w:tcBorders>
          </w:tcPr>
          <w:p>
            <w:pPr>
              <w:pStyle w:val="TableParagraph"/>
              <w:rPr>
                <w:sz w:val="16"/>
              </w:rPr>
            </w:pPr>
          </w:p>
        </w:tc>
      </w:tr>
      <w:tr>
        <w:trPr>
          <w:trHeight w:val="467" w:hRule="atLeast"/>
        </w:trPr>
        <w:tc>
          <w:tcPr>
            <w:tcW w:w="1322" w:type="dxa"/>
            <w:tcBorders>
              <w:top w:val="single" w:sz="4" w:space="0" w:color="000000"/>
              <w:bottom w:val="single" w:sz="4" w:space="0" w:color="000000"/>
              <w:right w:val="single" w:sz="4" w:space="0" w:color="000000"/>
            </w:tcBorders>
          </w:tcPr>
          <w:p>
            <w:pPr>
              <w:pStyle w:val="TableParagraph"/>
              <w:spacing w:line="230" w:lineRule="atLeast" w:before="2"/>
              <w:ind w:left="107" w:right="112"/>
              <w:rPr>
                <w:rFonts w:ascii="宋体" w:eastAsia="宋体" w:hint="eastAsia"/>
                <w:sz w:val="18"/>
              </w:rPr>
            </w:pPr>
            <w:r>
              <w:rPr>
                <w:rFonts w:ascii="宋体" w:eastAsia="宋体" w:hint="eastAsia"/>
                <w:sz w:val="18"/>
              </w:rPr>
              <w:t>北京一数科技有限公司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143"/>
              <w:ind w:right="88"/>
              <w:jc w:val="right"/>
              <w:rPr>
                <w:sz w:val="15"/>
              </w:rPr>
            </w:pPr>
            <w:r>
              <w:rPr>
                <w:sz w:val="15"/>
              </w:rPr>
              <w:t>5,862,115.78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143"/>
              <w:ind w:right="84"/>
              <w:jc w:val="right"/>
              <w:rPr>
                <w:sz w:val="15"/>
              </w:rPr>
            </w:pPr>
            <w:r>
              <w:rPr>
                <w:sz w:val="15"/>
              </w:rPr>
              <w:t>-14,598,048.47</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before="143"/>
              <w:ind w:left="395"/>
              <w:rPr>
                <w:sz w:val="15"/>
              </w:rPr>
            </w:pPr>
            <w:r>
              <w:rPr>
                <w:sz w:val="15"/>
              </w:rPr>
              <w:t>41,101,902.14</w:t>
            </w:r>
          </w:p>
        </w:tc>
        <w:tc>
          <w:tcPr>
            <w:tcW w:w="1442" w:type="dxa"/>
            <w:tcBorders>
              <w:top w:val="single" w:sz="4" w:space="0" w:color="000000"/>
              <w:left w:val="single" w:sz="4" w:space="0" w:color="000000"/>
              <w:bottom w:val="single" w:sz="4" w:space="0" w:color="000000"/>
            </w:tcBorders>
          </w:tcPr>
          <w:p>
            <w:pPr>
              <w:pStyle w:val="TableParagraph"/>
              <w:rPr>
                <w:sz w:val="16"/>
              </w:rPr>
            </w:pPr>
          </w:p>
        </w:tc>
      </w:tr>
      <w:tr>
        <w:trPr>
          <w:trHeight w:val="467" w:hRule="atLeast"/>
        </w:trPr>
        <w:tc>
          <w:tcPr>
            <w:tcW w:w="1322" w:type="dxa"/>
            <w:tcBorders>
              <w:top w:val="single" w:sz="4" w:space="0" w:color="000000"/>
              <w:bottom w:val="single" w:sz="4" w:space="0" w:color="000000"/>
              <w:right w:val="single" w:sz="4" w:space="0" w:color="000000"/>
            </w:tcBorders>
          </w:tcPr>
          <w:p>
            <w:pPr>
              <w:pStyle w:val="TableParagraph"/>
              <w:spacing w:line="230" w:lineRule="exact"/>
              <w:ind w:left="107"/>
              <w:rPr>
                <w:rFonts w:ascii="宋体" w:eastAsia="宋体" w:hint="eastAsia"/>
                <w:sz w:val="18"/>
              </w:rPr>
            </w:pPr>
            <w:r>
              <w:rPr>
                <w:rFonts w:ascii="宋体" w:eastAsia="宋体" w:hint="eastAsia"/>
                <w:sz w:val="18"/>
              </w:rPr>
              <w:t>深圳根元环保</w:t>
            </w:r>
          </w:p>
          <w:p>
            <w:pPr>
              <w:pStyle w:val="TableParagraph"/>
              <w:spacing w:line="215" w:lineRule="exact" w:before="2"/>
              <w:ind w:left="107"/>
              <w:rPr>
                <w:rFonts w:ascii="宋体" w:eastAsia="宋体" w:hint="eastAsia"/>
                <w:sz w:val="18"/>
              </w:rPr>
            </w:pPr>
            <w:r>
              <w:rPr>
                <w:rFonts w:ascii="宋体" w:eastAsia="宋体" w:hint="eastAsia"/>
                <w:sz w:val="18"/>
              </w:rPr>
              <w:t>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143"/>
              <w:ind w:right="88"/>
              <w:jc w:val="right"/>
              <w:rPr>
                <w:sz w:val="15"/>
              </w:rPr>
            </w:pPr>
            <w:r>
              <w:rPr>
                <w:sz w:val="15"/>
              </w:rPr>
              <w:t>6,914,487.73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0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42" w:type="dxa"/>
            <w:tcBorders>
              <w:top w:val="single" w:sz="4" w:space="0" w:color="000000"/>
              <w:left w:val="single" w:sz="4" w:space="0" w:color="000000"/>
              <w:bottom w:val="single" w:sz="4" w:space="0" w:color="000000"/>
            </w:tcBorders>
          </w:tcPr>
          <w:p>
            <w:pPr>
              <w:pStyle w:val="TableParagraph"/>
              <w:rPr>
                <w:sz w:val="16"/>
              </w:rPr>
            </w:pPr>
          </w:p>
        </w:tc>
      </w:tr>
      <w:tr>
        <w:trPr>
          <w:trHeight w:val="465" w:hRule="atLeast"/>
        </w:trPr>
        <w:tc>
          <w:tcPr>
            <w:tcW w:w="1322" w:type="dxa"/>
            <w:tcBorders>
              <w:top w:val="single" w:sz="4" w:space="0" w:color="000000"/>
              <w:bottom w:val="single" w:sz="4" w:space="0" w:color="000000"/>
              <w:right w:val="single" w:sz="4" w:space="0" w:color="000000"/>
            </w:tcBorders>
          </w:tcPr>
          <w:p>
            <w:pPr>
              <w:pStyle w:val="TableParagraph"/>
              <w:spacing w:line="230" w:lineRule="exact"/>
              <w:ind w:left="107"/>
              <w:rPr>
                <w:rFonts w:ascii="宋体" w:eastAsia="宋体" w:hint="eastAsia"/>
                <w:sz w:val="18"/>
              </w:rPr>
            </w:pPr>
            <w:r>
              <w:rPr>
                <w:rFonts w:ascii="宋体" w:eastAsia="宋体" w:hint="eastAsia"/>
                <w:sz w:val="18"/>
              </w:rPr>
              <w:t>青岛海慕投资</w:t>
            </w:r>
          </w:p>
          <w:p>
            <w:pPr>
              <w:pStyle w:val="TableParagraph"/>
              <w:spacing w:line="213" w:lineRule="exact" w:before="2"/>
              <w:ind w:left="107"/>
              <w:rPr>
                <w:rFonts w:ascii="宋体" w:eastAsia="宋体" w:hint="eastAsia"/>
                <w:sz w:val="18"/>
              </w:rPr>
            </w:pPr>
            <w:r>
              <w:rPr>
                <w:rFonts w:ascii="宋体" w:eastAsia="宋体" w:hint="eastAsia"/>
                <w:sz w:val="18"/>
              </w:rPr>
              <w:t>管理有限公司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140"/>
              <w:ind w:right="88"/>
              <w:jc w:val="right"/>
              <w:rPr>
                <w:sz w:val="15"/>
              </w:rPr>
            </w:pPr>
            <w:r>
              <w:rPr>
                <w:sz w:val="15"/>
              </w:rPr>
              <w:t>2,198,276.46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140"/>
              <w:ind w:right="84"/>
              <w:jc w:val="right"/>
              <w:rPr>
                <w:sz w:val="15"/>
              </w:rPr>
            </w:pPr>
            <w:r>
              <w:rPr>
                <w:sz w:val="15"/>
              </w:rPr>
              <w:t>150,964.05</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42" w:type="dxa"/>
            <w:tcBorders>
              <w:top w:val="single" w:sz="4" w:space="0" w:color="000000"/>
              <w:left w:val="single" w:sz="4" w:space="0" w:color="000000"/>
              <w:bottom w:val="single" w:sz="4" w:space="0" w:color="000000"/>
            </w:tcBorders>
          </w:tcPr>
          <w:p>
            <w:pPr>
              <w:pStyle w:val="TableParagraph"/>
              <w:rPr>
                <w:sz w:val="16"/>
              </w:rPr>
            </w:pPr>
          </w:p>
        </w:tc>
      </w:tr>
      <w:tr>
        <w:trPr>
          <w:trHeight w:val="700" w:hRule="atLeast"/>
        </w:trPr>
        <w:tc>
          <w:tcPr>
            <w:tcW w:w="1322" w:type="dxa"/>
            <w:tcBorders>
              <w:top w:val="single" w:sz="4" w:space="0" w:color="000000"/>
              <w:bottom w:val="single" w:sz="4" w:space="0" w:color="000000"/>
              <w:right w:val="single" w:sz="4" w:space="0" w:color="000000"/>
            </w:tcBorders>
          </w:tcPr>
          <w:p>
            <w:pPr>
              <w:pStyle w:val="TableParagraph"/>
              <w:spacing w:line="242" w:lineRule="auto" w:before="2"/>
              <w:ind w:left="107" w:right="112"/>
              <w:rPr>
                <w:rFonts w:ascii="宋体" w:eastAsia="宋体" w:hint="eastAsia"/>
                <w:sz w:val="18"/>
              </w:rPr>
            </w:pPr>
            <w:r>
              <w:rPr>
                <w:rFonts w:ascii="宋体" w:eastAsia="宋体" w:hint="eastAsia"/>
                <w:sz w:val="18"/>
              </w:rPr>
              <w:t>青岛海慕智家投资合伙企业</w:t>
            </w:r>
          </w:p>
          <w:p>
            <w:pPr>
              <w:pStyle w:val="TableParagraph"/>
              <w:spacing w:line="213" w:lineRule="exact"/>
              <w:ind w:left="107"/>
              <w:rPr>
                <w:sz w:val="18"/>
              </w:rPr>
            </w:pPr>
            <w:r>
              <w:rPr>
                <w:sz w:val="18"/>
              </w:rPr>
              <w:t>(</w:t>
            </w:r>
            <w:r>
              <w:rPr>
                <w:rFonts w:ascii="宋体" w:eastAsia="宋体" w:hint="eastAsia"/>
                <w:sz w:val="18"/>
              </w:rPr>
              <w:t>有限合伙</w:t>
            </w:r>
            <w:r>
              <w:rPr>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7"/>
              <w:rPr>
                <w:sz w:val="22"/>
              </w:rPr>
            </w:pPr>
          </w:p>
          <w:p>
            <w:pPr>
              <w:pStyle w:val="TableParagraph"/>
              <w:ind w:right="88"/>
              <w:jc w:val="right"/>
              <w:rPr>
                <w:sz w:val="15"/>
              </w:rPr>
            </w:pPr>
            <w:r>
              <w:rPr>
                <w:sz w:val="15"/>
              </w:rPr>
              <w:t>48,046,197.64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7"/>
              <w:rPr>
                <w:sz w:val="22"/>
              </w:rPr>
            </w:pPr>
          </w:p>
          <w:p>
            <w:pPr>
              <w:pStyle w:val="TableParagraph"/>
              <w:ind w:right="84"/>
              <w:jc w:val="right"/>
              <w:rPr>
                <w:sz w:val="15"/>
              </w:rPr>
            </w:pPr>
            <w:r>
              <w:rPr>
                <w:sz w:val="15"/>
              </w:rPr>
              <w:t>-175,500.98</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42" w:type="dxa"/>
            <w:tcBorders>
              <w:top w:val="single" w:sz="4" w:space="0" w:color="000000"/>
              <w:left w:val="single" w:sz="4" w:space="0" w:color="000000"/>
              <w:bottom w:val="single" w:sz="4" w:space="0" w:color="000000"/>
            </w:tcBorders>
          </w:tcPr>
          <w:p>
            <w:pPr>
              <w:pStyle w:val="TableParagraph"/>
              <w:rPr>
                <w:sz w:val="16"/>
              </w:rPr>
            </w:pPr>
          </w:p>
        </w:tc>
      </w:tr>
      <w:tr>
        <w:trPr>
          <w:trHeight w:val="700" w:hRule="atLeast"/>
        </w:trPr>
        <w:tc>
          <w:tcPr>
            <w:tcW w:w="1322" w:type="dxa"/>
            <w:tcBorders>
              <w:top w:val="single" w:sz="4" w:space="0" w:color="000000"/>
              <w:bottom w:val="single" w:sz="4" w:space="0" w:color="000000"/>
              <w:right w:val="single" w:sz="4" w:space="0" w:color="000000"/>
            </w:tcBorders>
          </w:tcPr>
          <w:p>
            <w:pPr>
              <w:pStyle w:val="TableParagraph"/>
              <w:spacing w:line="230" w:lineRule="atLeast" w:before="2"/>
              <w:ind w:left="107" w:right="112"/>
              <w:jc w:val="both"/>
              <w:rPr>
                <w:rFonts w:ascii="宋体" w:eastAsia="宋体" w:hint="eastAsia"/>
                <w:sz w:val="18"/>
              </w:rPr>
            </w:pPr>
            <w:r>
              <w:rPr>
                <w:rFonts w:ascii="宋体" w:eastAsia="宋体" w:hint="eastAsia"/>
                <w:sz w:val="18"/>
              </w:rPr>
              <w:t>广州合赢投资合伙企业（有限合伙）</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7"/>
              <w:rPr>
                <w:sz w:val="22"/>
              </w:rPr>
            </w:pPr>
          </w:p>
          <w:p>
            <w:pPr>
              <w:pStyle w:val="TableParagraph"/>
              <w:ind w:right="88"/>
              <w:jc w:val="right"/>
              <w:rPr>
                <w:sz w:val="15"/>
              </w:rPr>
            </w:pPr>
            <w:r>
              <w:rPr>
                <w:sz w:val="15"/>
              </w:rPr>
              <w:t>219,198,634.81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before="7"/>
              <w:rPr>
                <w:sz w:val="22"/>
              </w:rPr>
            </w:pPr>
          </w:p>
          <w:p>
            <w:pPr>
              <w:pStyle w:val="TableParagraph"/>
              <w:ind w:right="85"/>
              <w:jc w:val="right"/>
              <w:rPr>
                <w:sz w:val="15"/>
              </w:rPr>
            </w:pPr>
            <w:r>
              <w:rPr>
                <w:sz w:val="15"/>
              </w:rPr>
              <w:t>69,010,562.77</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42" w:type="dxa"/>
            <w:tcBorders>
              <w:top w:val="single" w:sz="4" w:space="0" w:color="000000"/>
              <w:left w:val="single" w:sz="4" w:space="0" w:color="000000"/>
              <w:bottom w:val="single" w:sz="4" w:space="0" w:color="000000"/>
            </w:tcBorders>
          </w:tcPr>
          <w:p>
            <w:pPr>
              <w:pStyle w:val="TableParagraph"/>
              <w:rPr>
                <w:sz w:val="16"/>
              </w:rPr>
            </w:pPr>
          </w:p>
        </w:tc>
      </w:tr>
      <w:tr>
        <w:trPr>
          <w:trHeight w:val="700" w:hRule="atLeast"/>
        </w:trPr>
        <w:tc>
          <w:tcPr>
            <w:tcW w:w="1322" w:type="dxa"/>
            <w:tcBorders>
              <w:top w:val="single" w:sz="4" w:space="0" w:color="000000"/>
              <w:bottom w:val="single" w:sz="4" w:space="0" w:color="000000"/>
              <w:right w:val="single" w:sz="4" w:space="0" w:color="000000"/>
            </w:tcBorders>
          </w:tcPr>
          <w:p>
            <w:pPr>
              <w:pStyle w:val="TableParagraph"/>
              <w:spacing w:line="230" w:lineRule="atLeast" w:before="2"/>
              <w:ind w:left="107" w:right="112"/>
              <w:jc w:val="both"/>
              <w:rPr>
                <w:rFonts w:ascii="宋体" w:eastAsia="宋体" w:hint="eastAsia"/>
                <w:sz w:val="18"/>
              </w:rPr>
            </w:pPr>
            <w:r>
              <w:rPr>
                <w:rFonts w:ascii="宋体" w:eastAsia="宋体" w:hint="eastAsia"/>
                <w:sz w:val="18"/>
              </w:rPr>
              <w:t>青岛家哇云网络科技有限公司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5"/>
              <w:rPr>
                <w:sz w:val="22"/>
              </w:rPr>
            </w:pPr>
          </w:p>
          <w:p>
            <w:pPr>
              <w:pStyle w:val="TableParagraph"/>
              <w:ind w:right="88"/>
              <w:jc w:val="right"/>
              <w:rPr>
                <w:sz w:val="15"/>
              </w:rPr>
            </w:pPr>
            <w:r>
              <w:rPr>
                <w:sz w:val="15"/>
              </w:rPr>
              <w:t>3,168,859.99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5"/>
              <w:rPr>
                <w:sz w:val="22"/>
              </w:rPr>
            </w:pPr>
          </w:p>
          <w:p>
            <w:pPr>
              <w:pStyle w:val="TableParagraph"/>
              <w:ind w:right="84"/>
              <w:jc w:val="right"/>
              <w:rPr>
                <w:sz w:val="15"/>
              </w:rPr>
            </w:pPr>
            <w:r>
              <w:rPr>
                <w:sz w:val="15"/>
              </w:rPr>
              <w:t>-539,850.36</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42" w:type="dxa"/>
            <w:tcBorders>
              <w:top w:val="single" w:sz="4" w:space="0" w:color="000000"/>
              <w:left w:val="single" w:sz="4" w:space="0" w:color="000000"/>
              <w:bottom w:val="single" w:sz="4" w:space="0" w:color="000000"/>
            </w:tcBorders>
          </w:tcPr>
          <w:p>
            <w:pPr>
              <w:pStyle w:val="TableParagraph"/>
              <w:rPr>
                <w:sz w:val="16"/>
              </w:rPr>
            </w:pPr>
          </w:p>
        </w:tc>
      </w:tr>
      <w:tr>
        <w:trPr>
          <w:trHeight w:val="467" w:hRule="atLeast"/>
        </w:trPr>
        <w:tc>
          <w:tcPr>
            <w:tcW w:w="1322" w:type="dxa"/>
            <w:tcBorders>
              <w:top w:val="single" w:sz="4" w:space="0" w:color="000000"/>
              <w:bottom w:val="single" w:sz="4" w:space="0" w:color="000000"/>
              <w:right w:val="single" w:sz="4" w:space="0" w:color="000000"/>
            </w:tcBorders>
          </w:tcPr>
          <w:p>
            <w:pPr>
              <w:pStyle w:val="TableParagraph"/>
              <w:spacing w:line="230" w:lineRule="exact"/>
              <w:ind w:left="107"/>
              <w:rPr>
                <w:rFonts w:ascii="宋体" w:eastAsia="宋体" w:hint="eastAsia"/>
                <w:sz w:val="18"/>
              </w:rPr>
            </w:pPr>
            <w:r>
              <w:rPr>
                <w:rFonts w:ascii="宋体" w:eastAsia="宋体" w:hint="eastAsia"/>
                <w:sz w:val="18"/>
              </w:rPr>
              <w:t>青岛日日顺服</w:t>
            </w:r>
          </w:p>
          <w:p>
            <w:pPr>
              <w:pStyle w:val="TableParagraph"/>
              <w:spacing w:line="213" w:lineRule="exact" w:before="4"/>
              <w:ind w:left="107"/>
              <w:rPr>
                <w:rFonts w:ascii="宋体" w:eastAsia="宋体" w:hint="eastAsia"/>
                <w:sz w:val="18"/>
              </w:rPr>
            </w:pPr>
            <w:r>
              <w:rPr>
                <w:rFonts w:ascii="宋体" w:eastAsia="宋体" w:hint="eastAsia"/>
                <w:sz w:val="18"/>
              </w:rPr>
              <w:t>务有限公司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before="143"/>
              <w:ind w:left="217" w:right="66"/>
              <w:jc w:val="center"/>
              <w:rPr>
                <w:sz w:val="15"/>
              </w:rPr>
            </w:pPr>
            <w:r>
              <w:rPr>
                <w:sz w:val="15"/>
              </w:rPr>
              <w:t>29,970,000.00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143"/>
              <w:ind w:right="84"/>
              <w:jc w:val="right"/>
              <w:rPr>
                <w:sz w:val="15"/>
              </w:rPr>
            </w:pPr>
            <w:r>
              <w:rPr>
                <w:sz w:val="15"/>
              </w:rPr>
              <w:t>3,040,000.00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42" w:type="dxa"/>
            <w:tcBorders>
              <w:top w:val="single" w:sz="4" w:space="0" w:color="000000"/>
              <w:left w:val="single" w:sz="4" w:space="0" w:color="000000"/>
              <w:bottom w:val="single" w:sz="4" w:space="0" w:color="000000"/>
            </w:tcBorders>
          </w:tcPr>
          <w:p>
            <w:pPr>
              <w:pStyle w:val="TableParagraph"/>
              <w:rPr>
                <w:sz w:val="16"/>
              </w:rPr>
            </w:pPr>
          </w:p>
        </w:tc>
      </w:tr>
      <w:tr>
        <w:trPr>
          <w:trHeight w:val="697" w:hRule="atLeast"/>
        </w:trPr>
        <w:tc>
          <w:tcPr>
            <w:tcW w:w="1322" w:type="dxa"/>
            <w:tcBorders>
              <w:top w:val="single" w:sz="4" w:space="0" w:color="000000"/>
              <w:right w:val="single" w:sz="4" w:space="0" w:color="000000"/>
            </w:tcBorders>
          </w:tcPr>
          <w:p>
            <w:pPr>
              <w:pStyle w:val="TableParagraph"/>
              <w:spacing w:line="242" w:lineRule="auto"/>
              <w:ind w:left="107" w:right="112"/>
              <w:rPr>
                <w:rFonts w:ascii="宋体" w:eastAsia="宋体" w:hint="eastAsia"/>
                <w:sz w:val="18"/>
              </w:rPr>
            </w:pPr>
            <w:r>
              <w:rPr>
                <w:rFonts w:ascii="宋体" w:eastAsia="宋体" w:hint="eastAsia"/>
                <w:sz w:val="18"/>
              </w:rPr>
              <w:t>冰戟（上海） 企业管理有限</w:t>
            </w:r>
          </w:p>
          <w:p>
            <w:pPr>
              <w:pStyle w:val="TableParagraph"/>
              <w:spacing w:line="210" w:lineRule="exact" w:before="2"/>
              <w:ind w:left="107"/>
              <w:rPr>
                <w:rFonts w:ascii="宋体" w:eastAsia="宋体" w:hint="eastAsia"/>
                <w:sz w:val="18"/>
              </w:rPr>
            </w:pPr>
            <w:r>
              <w:rPr>
                <w:rFonts w:ascii="宋体" w:eastAsia="宋体" w:hint="eastAsia"/>
                <w:sz w:val="18"/>
              </w:rPr>
              <w:t>公司</w:t>
            </w:r>
          </w:p>
        </w:tc>
        <w:tc>
          <w:tcPr>
            <w:tcW w:w="1416" w:type="dxa"/>
            <w:tcBorders>
              <w:top w:val="single" w:sz="4" w:space="0" w:color="000000"/>
              <w:left w:val="single" w:sz="4" w:space="0" w:color="000000"/>
              <w:right w:val="single" w:sz="4" w:space="0" w:color="000000"/>
            </w:tcBorders>
          </w:tcPr>
          <w:p>
            <w:pPr>
              <w:pStyle w:val="TableParagraph"/>
              <w:spacing w:before="5"/>
              <w:rPr>
                <w:sz w:val="22"/>
              </w:rPr>
            </w:pPr>
          </w:p>
          <w:p>
            <w:pPr>
              <w:pStyle w:val="TableParagraph"/>
              <w:ind w:right="88"/>
              <w:jc w:val="right"/>
              <w:rPr>
                <w:sz w:val="15"/>
              </w:rPr>
            </w:pPr>
            <w:r>
              <w:rPr>
                <w:sz w:val="15"/>
              </w:rPr>
              <w:t>894,539,765.00</w:t>
            </w:r>
          </w:p>
        </w:tc>
        <w:tc>
          <w:tcPr>
            <w:tcW w:w="1197" w:type="dxa"/>
            <w:tcBorders>
              <w:top w:val="single" w:sz="4" w:space="0" w:color="000000"/>
              <w:left w:val="single" w:sz="4" w:space="0" w:color="000000"/>
              <w:right w:val="single" w:sz="4" w:space="0" w:color="000000"/>
            </w:tcBorders>
          </w:tcPr>
          <w:p>
            <w:pPr>
              <w:pStyle w:val="TableParagraph"/>
              <w:rPr>
                <w:sz w:val="16"/>
              </w:rPr>
            </w:pPr>
          </w:p>
        </w:tc>
        <w:tc>
          <w:tcPr>
            <w:tcW w:w="1452" w:type="dxa"/>
            <w:tcBorders>
              <w:top w:val="single" w:sz="4" w:space="0" w:color="000000"/>
              <w:left w:val="single" w:sz="4" w:space="0" w:color="000000"/>
              <w:right w:val="single" w:sz="4" w:space="0" w:color="000000"/>
            </w:tcBorders>
          </w:tcPr>
          <w:p>
            <w:pPr>
              <w:pStyle w:val="TableParagraph"/>
              <w:spacing w:before="5"/>
              <w:rPr>
                <w:sz w:val="22"/>
              </w:rPr>
            </w:pPr>
          </w:p>
          <w:p>
            <w:pPr>
              <w:pStyle w:val="TableParagraph"/>
              <w:ind w:right="84"/>
              <w:jc w:val="right"/>
              <w:rPr>
                <w:sz w:val="15"/>
              </w:rPr>
            </w:pPr>
            <w:r>
              <w:rPr>
                <w:sz w:val="15"/>
              </w:rPr>
              <w:t>33,904,413.47</w:t>
            </w:r>
          </w:p>
        </w:tc>
        <w:tc>
          <w:tcPr>
            <w:tcW w:w="1305" w:type="dxa"/>
            <w:tcBorders>
              <w:top w:val="single" w:sz="4" w:space="0" w:color="000000"/>
              <w:left w:val="single" w:sz="4" w:space="0" w:color="000000"/>
              <w:right w:val="single" w:sz="4" w:space="0" w:color="000000"/>
            </w:tcBorders>
          </w:tcPr>
          <w:p>
            <w:pPr>
              <w:pStyle w:val="TableParagraph"/>
              <w:rPr>
                <w:sz w:val="16"/>
              </w:rPr>
            </w:pPr>
          </w:p>
        </w:tc>
        <w:tc>
          <w:tcPr>
            <w:tcW w:w="1356" w:type="dxa"/>
            <w:tcBorders>
              <w:top w:val="single" w:sz="4" w:space="0" w:color="000000"/>
              <w:left w:val="single" w:sz="4" w:space="0" w:color="000000"/>
              <w:right w:val="single" w:sz="4" w:space="0" w:color="000000"/>
            </w:tcBorders>
          </w:tcPr>
          <w:p>
            <w:pPr>
              <w:pStyle w:val="TableParagraph"/>
              <w:rPr>
                <w:sz w:val="16"/>
              </w:rPr>
            </w:pPr>
          </w:p>
        </w:tc>
        <w:tc>
          <w:tcPr>
            <w:tcW w:w="1442" w:type="dxa"/>
            <w:tcBorders>
              <w:top w:val="single" w:sz="4" w:space="0" w:color="000000"/>
              <w:left w:val="single" w:sz="4" w:space="0" w:color="000000"/>
            </w:tcBorders>
          </w:tcPr>
          <w:p>
            <w:pPr>
              <w:pStyle w:val="TableParagraph"/>
              <w:rPr>
                <w:sz w:val="16"/>
              </w:rPr>
            </w:pPr>
          </w:p>
        </w:tc>
      </w:tr>
    </w:tbl>
    <w:p>
      <w:pPr>
        <w:spacing w:after="0"/>
        <w:rPr>
          <w:sz w:val="16"/>
        </w:rPr>
        <w:sectPr>
          <w:headerReference w:type="default" r:id="rId103"/>
          <w:footerReference w:type="default" r:id="rId104"/>
          <w:pgSz w:w="11910" w:h="16840"/>
          <w:pgMar w:header="876" w:footer="1214" w:top="1440" w:bottom="1400" w:left="260" w:right="0"/>
          <w:pgNumType w:start="1"/>
        </w:sectPr>
      </w:pPr>
    </w:p>
    <w:p>
      <w:pPr>
        <w:pStyle w:val="BodyText"/>
        <w:spacing w:before="9"/>
        <w:rPr>
          <w:rFonts w:ascii="Times New Roman"/>
          <w:sz w:val="5"/>
        </w:rPr>
      </w:pPr>
    </w:p>
    <w:tbl>
      <w:tblPr>
        <w:tblW w:w="0" w:type="auto"/>
        <w:jc w:val="left"/>
        <w:tblInd w:w="122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22"/>
        <w:gridCol w:w="1416"/>
        <w:gridCol w:w="1197"/>
        <w:gridCol w:w="1452"/>
        <w:gridCol w:w="1305"/>
        <w:gridCol w:w="1356"/>
        <w:gridCol w:w="1442"/>
      </w:tblGrid>
      <w:tr>
        <w:trPr>
          <w:trHeight w:val="702" w:hRule="atLeast"/>
        </w:trPr>
        <w:tc>
          <w:tcPr>
            <w:tcW w:w="1322" w:type="dxa"/>
            <w:tcBorders>
              <w:bottom w:val="single" w:sz="4" w:space="0" w:color="000000"/>
              <w:right w:val="single" w:sz="4" w:space="0" w:color="000000"/>
            </w:tcBorders>
          </w:tcPr>
          <w:p>
            <w:pPr>
              <w:pStyle w:val="TableParagraph"/>
              <w:spacing w:before="2"/>
              <w:ind w:left="107"/>
              <w:rPr>
                <w:rFonts w:ascii="宋体" w:eastAsia="宋体" w:hint="eastAsia"/>
                <w:sz w:val="18"/>
              </w:rPr>
            </w:pPr>
            <w:r>
              <w:rPr>
                <w:rFonts w:ascii="宋体" w:eastAsia="宋体" w:hint="eastAsia"/>
                <w:sz w:val="18"/>
              </w:rPr>
              <w:t>优瑾（上海）</w:t>
            </w:r>
          </w:p>
          <w:p>
            <w:pPr>
              <w:pStyle w:val="TableParagraph"/>
              <w:spacing w:line="230" w:lineRule="atLeast" w:before="2"/>
              <w:ind w:left="107" w:right="112"/>
              <w:rPr>
                <w:rFonts w:ascii="宋体" w:eastAsia="宋体" w:hint="eastAsia"/>
                <w:sz w:val="18"/>
              </w:rPr>
            </w:pPr>
            <w:r>
              <w:rPr>
                <w:rFonts w:ascii="宋体" w:eastAsia="宋体" w:hint="eastAsia"/>
                <w:sz w:val="18"/>
              </w:rPr>
              <w:t>企业管理有限公司</w:t>
            </w:r>
          </w:p>
        </w:tc>
        <w:tc>
          <w:tcPr>
            <w:tcW w:w="1416" w:type="dxa"/>
            <w:tcBorders>
              <w:left w:val="single" w:sz="4" w:space="0" w:color="000000"/>
              <w:bottom w:val="single" w:sz="4" w:space="0" w:color="000000"/>
              <w:right w:val="single" w:sz="4" w:space="0" w:color="000000"/>
            </w:tcBorders>
          </w:tcPr>
          <w:p>
            <w:pPr>
              <w:pStyle w:val="TableParagraph"/>
              <w:spacing w:before="7"/>
              <w:rPr>
                <w:sz w:val="22"/>
              </w:rPr>
            </w:pPr>
          </w:p>
          <w:p>
            <w:pPr>
              <w:pStyle w:val="TableParagraph"/>
              <w:ind w:right="88"/>
              <w:jc w:val="right"/>
              <w:rPr>
                <w:sz w:val="15"/>
              </w:rPr>
            </w:pPr>
            <w:r>
              <w:rPr>
                <w:sz w:val="15"/>
              </w:rPr>
              <w:t>1,625,617,754.55</w:t>
            </w:r>
          </w:p>
        </w:tc>
        <w:tc>
          <w:tcPr>
            <w:tcW w:w="1197" w:type="dxa"/>
            <w:tcBorders>
              <w:left w:val="single" w:sz="4" w:space="0" w:color="000000"/>
              <w:bottom w:val="single" w:sz="4" w:space="0" w:color="000000"/>
              <w:right w:val="single" w:sz="4" w:space="0" w:color="000000"/>
            </w:tcBorders>
          </w:tcPr>
          <w:p>
            <w:pPr>
              <w:pStyle w:val="TableParagraph"/>
              <w:rPr>
                <w:sz w:val="16"/>
              </w:rPr>
            </w:pPr>
          </w:p>
        </w:tc>
        <w:tc>
          <w:tcPr>
            <w:tcW w:w="1452" w:type="dxa"/>
            <w:tcBorders>
              <w:left w:val="single" w:sz="4" w:space="0" w:color="000000"/>
              <w:bottom w:val="single" w:sz="4" w:space="0" w:color="000000"/>
              <w:right w:val="single" w:sz="4" w:space="0" w:color="000000"/>
            </w:tcBorders>
          </w:tcPr>
          <w:p>
            <w:pPr>
              <w:pStyle w:val="TableParagraph"/>
              <w:spacing w:before="7"/>
              <w:rPr>
                <w:sz w:val="22"/>
              </w:rPr>
            </w:pPr>
          </w:p>
          <w:p>
            <w:pPr>
              <w:pStyle w:val="TableParagraph"/>
              <w:ind w:right="84"/>
              <w:jc w:val="right"/>
              <w:rPr>
                <w:sz w:val="15"/>
              </w:rPr>
            </w:pPr>
            <w:r>
              <w:rPr>
                <w:sz w:val="15"/>
              </w:rPr>
              <w:t>61,644,388.12</w:t>
            </w:r>
          </w:p>
        </w:tc>
        <w:tc>
          <w:tcPr>
            <w:tcW w:w="1305" w:type="dxa"/>
            <w:tcBorders>
              <w:left w:val="single" w:sz="4" w:space="0" w:color="000000"/>
              <w:bottom w:val="single" w:sz="4" w:space="0" w:color="000000"/>
              <w:right w:val="single" w:sz="4" w:space="0" w:color="000000"/>
            </w:tcBorders>
          </w:tcPr>
          <w:p>
            <w:pPr>
              <w:pStyle w:val="TableParagraph"/>
              <w:rPr>
                <w:sz w:val="16"/>
              </w:rPr>
            </w:pPr>
          </w:p>
        </w:tc>
        <w:tc>
          <w:tcPr>
            <w:tcW w:w="1356" w:type="dxa"/>
            <w:tcBorders>
              <w:left w:val="single" w:sz="4" w:space="0" w:color="000000"/>
              <w:bottom w:val="single" w:sz="4" w:space="0" w:color="000000"/>
              <w:right w:val="single" w:sz="4" w:space="0" w:color="000000"/>
            </w:tcBorders>
          </w:tcPr>
          <w:p>
            <w:pPr>
              <w:pStyle w:val="TableParagraph"/>
              <w:rPr>
                <w:sz w:val="16"/>
              </w:rPr>
            </w:pPr>
          </w:p>
        </w:tc>
        <w:tc>
          <w:tcPr>
            <w:tcW w:w="1442" w:type="dxa"/>
            <w:tcBorders>
              <w:left w:val="single" w:sz="4" w:space="0" w:color="000000"/>
              <w:bottom w:val="single" w:sz="4" w:space="0" w:color="000000"/>
            </w:tcBorders>
          </w:tcPr>
          <w:p>
            <w:pPr>
              <w:pStyle w:val="TableParagraph"/>
              <w:rPr>
                <w:sz w:val="16"/>
              </w:rPr>
            </w:pPr>
          </w:p>
        </w:tc>
      </w:tr>
      <w:tr>
        <w:trPr>
          <w:trHeight w:val="465" w:hRule="atLeast"/>
        </w:trPr>
        <w:tc>
          <w:tcPr>
            <w:tcW w:w="1322" w:type="dxa"/>
            <w:tcBorders>
              <w:top w:val="single" w:sz="4" w:space="0" w:color="000000"/>
              <w:bottom w:val="single" w:sz="4" w:space="0" w:color="000000"/>
              <w:right w:val="single" w:sz="4" w:space="0" w:color="000000"/>
            </w:tcBorders>
          </w:tcPr>
          <w:p>
            <w:pPr>
              <w:pStyle w:val="TableParagraph"/>
              <w:ind w:left="107" w:right="-15"/>
              <w:rPr>
                <w:rFonts w:ascii="宋体" w:eastAsia="宋体" w:hint="eastAsia"/>
                <w:sz w:val="18"/>
              </w:rPr>
            </w:pPr>
            <w:r>
              <w:rPr>
                <w:rFonts w:ascii="宋体" w:eastAsia="宋体" w:hint="eastAsia"/>
                <w:spacing w:val="-22"/>
                <w:sz w:val="18"/>
              </w:rPr>
              <w:t>日日顺</w:t>
            </w:r>
            <w:r>
              <w:rPr>
                <w:rFonts w:ascii="宋体" w:eastAsia="宋体" w:hint="eastAsia"/>
                <w:sz w:val="18"/>
              </w:rPr>
              <w:t>（上海）</w:t>
            </w:r>
          </w:p>
          <w:p>
            <w:pPr>
              <w:pStyle w:val="TableParagraph"/>
              <w:spacing w:line="213" w:lineRule="exact" w:before="2"/>
              <w:ind w:left="107"/>
              <w:rPr>
                <w:rFonts w:ascii="宋体" w:eastAsia="宋体" w:hint="eastAsia"/>
                <w:sz w:val="18"/>
              </w:rPr>
            </w:pPr>
            <w:r>
              <w:rPr>
                <w:rFonts w:ascii="宋体" w:eastAsia="宋体" w:hint="eastAsia"/>
                <w:sz w:val="18"/>
              </w:rPr>
              <w:t>投资有限公司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140"/>
              <w:ind w:right="88"/>
              <w:jc w:val="right"/>
              <w:rPr>
                <w:sz w:val="15"/>
              </w:rPr>
            </w:pPr>
            <w:r>
              <w:rPr>
                <w:sz w:val="15"/>
              </w:rPr>
              <w:t>2,954,850,462.82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140"/>
              <w:ind w:right="84"/>
              <w:jc w:val="right"/>
              <w:rPr>
                <w:sz w:val="15"/>
              </w:rPr>
            </w:pPr>
            <w:r>
              <w:rPr>
                <w:sz w:val="15"/>
              </w:rPr>
              <w:t>112,080,705.67</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42" w:type="dxa"/>
            <w:tcBorders>
              <w:top w:val="single" w:sz="4" w:space="0" w:color="000000"/>
              <w:left w:val="single" w:sz="4" w:space="0" w:color="000000"/>
              <w:bottom w:val="single" w:sz="4" w:space="0" w:color="000000"/>
            </w:tcBorders>
          </w:tcPr>
          <w:p>
            <w:pPr>
              <w:pStyle w:val="TableParagraph"/>
              <w:rPr>
                <w:sz w:val="16"/>
              </w:rPr>
            </w:pPr>
          </w:p>
        </w:tc>
      </w:tr>
      <w:tr>
        <w:trPr>
          <w:trHeight w:val="467" w:hRule="atLeast"/>
        </w:trPr>
        <w:tc>
          <w:tcPr>
            <w:tcW w:w="1322" w:type="dxa"/>
            <w:tcBorders>
              <w:top w:val="single" w:sz="4" w:space="0" w:color="000000"/>
              <w:bottom w:val="single" w:sz="4" w:space="0" w:color="000000"/>
              <w:right w:val="single" w:sz="4" w:space="0" w:color="000000"/>
            </w:tcBorders>
          </w:tcPr>
          <w:p>
            <w:pPr>
              <w:pStyle w:val="TableParagraph"/>
              <w:spacing w:line="230" w:lineRule="atLeast" w:before="2"/>
              <w:ind w:left="107" w:right="112"/>
              <w:rPr>
                <w:rFonts w:ascii="宋体" w:eastAsia="宋体" w:hint="eastAsia"/>
                <w:sz w:val="18"/>
              </w:rPr>
            </w:pPr>
            <w:r>
              <w:rPr>
                <w:rFonts w:ascii="宋体" w:eastAsia="宋体" w:hint="eastAsia"/>
                <w:sz w:val="18"/>
              </w:rPr>
              <w:t>倍世海尔饮水科技有限公司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143"/>
              <w:ind w:right="88"/>
              <w:jc w:val="right"/>
              <w:rPr>
                <w:sz w:val="15"/>
              </w:rPr>
            </w:pPr>
            <w:r>
              <w:rPr>
                <w:sz w:val="15"/>
              </w:rPr>
              <w:t>21,725,345.26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before="143"/>
              <w:ind w:right="84"/>
              <w:jc w:val="right"/>
              <w:rPr>
                <w:sz w:val="15"/>
              </w:rPr>
            </w:pPr>
            <w:r>
              <w:rPr>
                <w:sz w:val="15"/>
              </w:rPr>
              <w:t>15,213,128.49</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143"/>
              <w:ind w:right="84"/>
              <w:jc w:val="right"/>
              <w:rPr>
                <w:sz w:val="15"/>
              </w:rPr>
            </w:pPr>
            <w:r>
              <w:rPr>
                <w:sz w:val="15"/>
              </w:rPr>
              <w:t>-3,483,314.16</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42" w:type="dxa"/>
            <w:tcBorders>
              <w:top w:val="single" w:sz="4" w:space="0" w:color="000000"/>
              <w:left w:val="single" w:sz="4" w:space="0" w:color="000000"/>
              <w:bottom w:val="single" w:sz="4" w:space="0" w:color="000000"/>
            </w:tcBorders>
          </w:tcPr>
          <w:p>
            <w:pPr>
              <w:pStyle w:val="TableParagraph"/>
              <w:rPr>
                <w:sz w:val="16"/>
              </w:rPr>
            </w:pPr>
          </w:p>
        </w:tc>
      </w:tr>
      <w:tr>
        <w:trPr>
          <w:trHeight w:val="933" w:hRule="atLeast"/>
        </w:trPr>
        <w:tc>
          <w:tcPr>
            <w:tcW w:w="1322" w:type="dxa"/>
            <w:tcBorders>
              <w:top w:val="single" w:sz="4" w:space="0" w:color="000000"/>
              <w:bottom w:val="single" w:sz="4" w:space="0" w:color="000000"/>
              <w:right w:val="single" w:sz="4" w:space="0" w:color="000000"/>
            </w:tcBorders>
          </w:tcPr>
          <w:p>
            <w:pPr>
              <w:pStyle w:val="TableParagraph"/>
              <w:spacing w:line="242" w:lineRule="auto"/>
              <w:ind w:left="107" w:right="112"/>
              <w:jc w:val="both"/>
              <w:rPr>
                <w:rFonts w:ascii="宋体" w:eastAsia="宋体" w:hint="eastAsia"/>
                <w:sz w:val="18"/>
              </w:rPr>
            </w:pPr>
            <w:r>
              <w:rPr>
                <w:rFonts w:ascii="宋体" w:eastAsia="宋体" w:hint="eastAsia"/>
                <w:spacing w:val="-3"/>
                <w:sz w:val="18"/>
              </w:rPr>
              <w:t>汇智翔顺股权</w:t>
            </w:r>
            <w:r>
              <w:rPr>
                <w:rFonts w:ascii="宋体" w:eastAsia="宋体" w:hint="eastAsia"/>
                <w:sz w:val="18"/>
              </w:rPr>
              <w:t>投资基金（</w:t>
            </w:r>
            <w:r>
              <w:rPr>
                <w:rFonts w:ascii="宋体" w:eastAsia="宋体" w:hint="eastAsia"/>
                <w:spacing w:val="-17"/>
                <w:sz w:val="18"/>
              </w:rPr>
              <w:t>青</w:t>
            </w:r>
            <w:r>
              <w:rPr>
                <w:rFonts w:ascii="宋体" w:eastAsia="宋体" w:hint="eastAsia"/>
                <w:sz w:val="18"/>
              </w:rPr>
              <w:t>岛）</w:t>
            </w:r>
            <w:r>
              <w:rPr>
                <w:rFonts w:ascii="宋体" w:eastAsia="宋体" w:hint="eastAsia"/>
                <w:spacing w:val="-5"/>
                <w:sz w:val="18"/>
              </w:rPr>
              <w:t>合伙企业</w:t>
            </w:r>
          </w:p>
          <w:p>
            <w:pPr>
              <w:pStyle w:val="TableParagraph"/>
              <w:spacing w:line="213" w:lineRule="exact" w:before="2"/>
              <w:ind w:left="107"/>
              <w:rPr>
                <w:rFonts w:ascii="宋体" w:eastAsia="宋体" w:hint="eastAsia"/>
                <w:sz w:val="18"/>
              </w:rPr>
            </w:pPr>
            <w:r>
              <w:rPr>
                <w:rFonts w:ascii="宋体" w:eastAsia="宋体" w:hint="eastAsia"/>
                <w:sz w:val="18"/>
              </w:rPr>
              <w:t>（有限合伙）</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rPr>
                <w:sz w:val="16"/>
              </w:rPr>
            </w:pPr>
          </w:p>
          <w:p>
            <w:pPr>
              <w:pStyle w:val="TableParagraph"/>
              <w:spacing w:before="7"/>
              <w:rPr>
                <w:sz w:val="16"/>
              </w:rPr>
            </w:pPr>
          </w:p>
          <w:p>
            <w:pPr>
              <w:pStyle w:val="TableParagraph"/>
              <w:ind w:right="84"/>
              <w:jc w:val="right"/>
              <w:rPr>
                <w:sz w:val="15"/>
              </w:rPr>
            </w:pPr>
            <w:r>
              <w:rPr>
                <w:sz w:val="15"/>
              </w:rPr>
              <w:t>120,000,000.00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0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42" w:type="dxa"/>
            <w:tcBorders>
              <w:top w:val="single" w:sz="4" w:space="0" w:color="000000"/>
              <w:left w:val="single" w:sz="4" w:space="0" w:color="000000"/>
              <w:bottom w:val="single" w:sz="4" w:space="0" w:color="000000"/>
            </w:tcBorders>
          </w:tcPr>
          <w:p>
            <w:pPr>
              <w:pStyle w:val="TableParagraph"/>
              <w:rPr>
                <w:sz w:val="16"/>
              </w:rPr>
            </w:pPr>
          </w:p>
        </w:tc>
      </w:tr>
      <w:tr>
        <w:trPr>
          <w:trHeight w:val="700" w:hRule="atLeast"/>
        </w:trPr>
        <w:tc>
          <w:tcPr>
            <w:tcW w:w="1322" w:type="dxa"/>
            <w:tcBorders>
              <w:top w:val="single" w:sz="4" w:space="0" w:color="000000"/>
              <w:bottom w:val="single" w:sz="4" w:space="0" w:color="000000"/>
              <w:right w:val="single" w:sz="4" w:space="0" w:color="000000"/>
            </w:tcBorders>
          </w:tcPr>
          <w:p>
            <w:pPr>
              <w:pStyle w:val="TableParagraph"/>
              <w:spacing w:line="230" w:lineRule="atLeast" w:before="2"/>
              <w:ind w:left="107" w:right="112"/>
              <w:jc w:val="both"/>
              <w:rPr>
                <w:rFonts w:ascii="宋体" w:eastAsia="宋体" w:hint="eastAsia"/>
                <w:sz w:val="18"/>
              </w:rPr>
            </w:pPr>
            <w:r>
              <w:rPr>
                <w:rFonts w:ascii="宋体" w:eastAsia="宋体" w:hint="eastAsia"/>
                <w:sz w:val="18"/>
              </w:rPr>
              <w:t>青岛日日顺汇智投资有限责任公司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before="5"/>
              <w:rPr>
                <w:sz w:val="22"/>
              </w:rPr>
            </w:pPr>
          </w:p>
          <w:p>
            <w:pPr>
              <w:pStyle w:val="TableParagraph"/>
              <w:ind w:right="84"/>
              <w:jc w:val="right"/>
              <w:rPr>
                <w:sz w:val="15"/>
              </w:rPr>
            </w:pPr>
            <w:r>
              <w:rPr>
                <w:sz w:val="15"/>
              </w:rPr>
              <w:t>2,100,000.00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0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42" w:type="dxa"/>
            <w:tcBorders>
              <w:top w:val="single" w:sz="4" w:space="0" w:color="000000"/>
              <w:left w:val="single" w:sz="4" w:space="0" w:color="000000"/>
              <w:bottom w:val="single" w:sz="4" w:space="0" w:color="000000"/>
            </w:tcBorders>
          </w:tcPr>
          <w:p>
            <w:pPr>
              <w:pStyle w:val="TableParagraph"/>
              <w:rPr>
                <w:sz w:val="16"/>
              </w:rPr>
            </w:pPr>
          </w:p>
        </w:tc>
      </w:tr>
      <w:tr>
        <w:trPr>
          <w:trHeight w:val="465" w:hRule="atLeast"/>
        </w:trPr>
        <w:tc>
          <w:tcPr>
            <w:tcW w:w="1322" w:type="dxa"/>
            <w:tcBorders>
              <w:top w:val="single" w:sz="4" w:space="0" w:color="000000"/>
              <w:bottom w:val="single" w:sz="6" w:space="0" w:color="000000"/>
              <w:right w:val="single" w:sz="4" w:space="0" w:color="000000"/>
            </w:tcBorders>
          </w:tcPr>
          <w:p>
            <w:pPr>
              <w:pStyle w:val="TableParagraph"/>
              <w:ind w:left="107"/>
              <w:rPr>
                <w:rFonts w:ascii="宋体" w:eastAsia="宋体" w:hint="eastAsia"/>
                <w:sz w:val="18"/>
              </w:rPr>
            </w:pPr>
            <w:r>
              <w:rPr>
                <w:rFonts w:ascii="宋体" w:eastAsia="宋体" w:hint="eastAsia"/>
                <w:sz w:val="18"/>
              </w:rPr>
              <w:t>美菱卡迪洗衣</w:t>
            </w:r>
          </w:p>
          <w:p>
            <w:pPr>
              <w:pStyle w:val="TableParagraph"/>
              <w:spacing w:line="210" w:lineRule="exact" w:before="4"/>
              <w:ind w:left="107"/>
              <w:rPr>
                <w:rFonts w:ascii="宋体" w:eastAsia="宋体" w:hint="eastAsia"/>
                <w:sz w:val="18"/>
              </w:rPr>
            </w:pPr>
            <w:r>
              <w:rPr>
                <w:rFonts w:ascii="宋体" w:eastAsia="宋体" w:hint="eastAsia"/>
                <w:sz w:val="18"/>
              </w:rPr>
              <w:t>机有限公司</w:t>
            </w:r>
          </w:p>
        </w:tc>
        <w:tc>
          <w:tcPr>
            <w:tcW w:w="1416" w:type="dxa"/>
            <w:tcBorders>
              <w:top w:val="single" w:sz="4" w:space="0" w:color="000000"/>
              <w:left w:val="single" w:sz="4" w:space="0" w:color="000000"/>
              <w:bottom w:val="single" w:sz="6" w:space="0" w:color="000000"/>
              <w:right w:val="single" w:sz="4" w:space="0" w:color="000000"/>
            </w:tcBorders>
          </w:tcPr>
          <w:p>
            <w:pPr>
              <w:pStyle w:val="TableParagraph"/>
              <w:spacing w:before="143"/>
              <w:ind w:right="88"/>
              <w:jc w:val="right"/>
              <w:rPr>
                <w:sz w:val="15"/>
              </w:rPr>
            </w:pPr>
            <w:r>
              <w:rPr>
                <w:sz w:val="15"/>
              </w:rPr>
              <w:t>23,222,136.38</w:t>
            </w:r>
          </w:p>
        </w:tc>
        <w:tc>
          <w:tcPr>
            <w:tcW w:w="1197" w:type="dxa"/>
            <w:tcBorders>
              <w:top w:val="single" w:sz="4" w:space="0" w:color="000000"/>
              <w:left w:val="single" w:sz="4" w:space="0" w:color="000000"/>
              <w:bottom w:val="single" w:sz="6" w:space="0" w:color="000000"/>
              <w:right w:val="single" w:sz="4" w:space="0" w:color="000000"/>
            </w:tcBorders>
          </w:tcPr>
          <w:p>
            <w:pPr>
              <w:pStyle w:val="TableParagraph"/>
              <w:rPr>
                <w:sz w:val="16"/>
              </w:rPr>
            </w:pPr>
          </w:p>
        </w:tc>
        <w:tc>
          <w:tcPr>
            <w:tcW w:w="1452" w:type="dxa"/>
            <w:tcBorders>
              <w:top w:val="single" w:sz="4" w:space="0" w:color="000000"/>
              <w:left w:val="single" w:sz="4" w:space="0" w:color="000000"/>
              <w:bottom w:val="single" w:sz="6" w:space="0" w:color="000000"/>
              <w:right w:val="single" w:sz="4" w:space="0" w:color="000000"/>
            </w:tcBorders>
          </w:tcPr>
          <w:p>
            <w:pPr>
              <w:pStyle w:val="TableParagraph"/>
              <w:spacing w:before="143"/>
              <w:ind w:right="84"/>
              <w:jc w:val="right"/>
              <w:rPr>
                <w:sz w:val="15"/>
              </w:rPr>
            </w:pPr>
            <w:r>
              <w:rPr>
                <w:sz w:val="15"/>
              </w:rPr>
              <w:t>-687,845.65</w:t>
            </w:r>
          </w:p>
        </w:tc>
        <w:tc>
          <w:tcPr>
            <w:tcW w:w="1305" w:type="dxa"/>
            <w:tcBorders>
              <w:top w:val="single" w:sz="4" w:space="0" w:color="000000"/>
              <w:left w:val="single" w:sz="4" w:space="0" w:color="000000"/>
              <w:bottom w:val="single" w:sz="6" w:space="0" w:color="000000"/>
              <w:right w:val="single" w:sz="4" w:space="0" w:color="000000"/>
            </w:tcBorders>
          </w:tcPr>
          <w:p>
            <w:pPr>
              <w:pStyle w:val="TableParagraph"/>
              <w:spacing w:before="143"/>
              <w:ind w:right="85"/>
              <w:jc w:val="right"/>
              <w:rPr>
                <w:sz w:val="15"/>
              </w:rPr>
            </w:pPr>
            <w:r>
              <w:rPr>
                <w:sz w:val="15"/>
              </w:rPr>
              <w:t>24,016.37</w:t>
            </w:r>
          </w:p>
        </w:tc>
        <w:tc>
          <w:tcPr>
            <w:tcW w:w="1356" w:type="dxa"/>
            <w:tcBorders>
              <w:top w:val="single" w:sz="4" w:space="0" w:color="000000"/>
              <w:left w:val="single" w:sz="4" w:space="0" w:color="000000"/>
              <w:bottom w:val="single" w:sz="6" w:space="0" w:color="000000"/>
              <w:right w:val="single" w:sz="4" w:space="0" w:color="000000"/>
            </w:tcBorders>
          </w:tcPr>
          <w:p>
            <w:pPr>
              <w:pStyle w:val="TableParagraph"/>
              <w:rPr>
                <w:sz w:val="16"/>
              </w:rPr>
            </w:pPr>
          </w:p>
        </w:tc>
        <w:tc>
          <w:tcPr>
            <w:tcW w:w="1442" w:type="dxa"/>
            <w:tcBorders>
              <w:top w:val="single" w:sz="4" w:space="0" w:color="000000"/>
              <w:left w:val="single" w:sz="4" w:space="0" w:color="000000"/>
              <w:bottom w:val="single" w:sz="6" w:space="0" w:color="000000"/>
            </w:tcBorders>
          </w:tcPr>
          <w:p>
            <w:pPr>
              <w:pStyle w:val="TableParagraph"/>
              <w:rPr>
                <w:sz w:val="16"/>
              </w:rPr>
            </w:pPr>
          </w:p>
        </w:tc>
      </w:tr>
      <w:tr>
        <w:trPr>
          <w:trHeight w:val="465" w:hRule="atLeast"/>
        </w:trPr>
        <w:tc>
          <w:tcPr>
            <w:tcW w:w="1322" w:type="dxa"/>
            <w:tcBorders>
              <w:top w:val="single" w:sz="6" w:space="0" w:color="000000"/>
              <w:bottom w:val="single" w:sz="4" w:space="0" w:color="000000"/>
              <w:right w:val="single" w:sz="4" w:space="0" w:color="000000"/>
            </w:tcBorders>
          </w:tcPr>
          <w:p>
            <w:pPr>
              <w:pStyle w:val="TableParagraph"/>
              <w:spacing w:line="228" w:lineRule="exact"/>
              <w:ind w:left="107"/>
              <w:rPr>
                <w:rFonts w:ascii="宋体" w:eastAsia="宋体" w:hint="eastAsia"/>
                <w:sz w:val="18"/>
              </w:rPr>
            </w:pPr>
            <w:r>
              <w:rPr>
                <w:rFonts w:ascii="宋体" w:eastAsia="宋体" w:hint="eastAsia"/>
                <w:sz w:val="18"/>
              </w:rPr>
              <w:t>青岛海尔模具</w:t>
            </w:r>
          </w:p>
          <w:p>
            <w:pPr>
              <w:pStyle w:val="TableParagraph"/>
              <w:spacing w:line="215" w:lineRule="exact" w:before="2"/>
              <w:ind w:left="107"/>
              <w:rPr>
                <w:rFonts w:ascii="宋体" w:eastAsia="宋体" w:hint="eastAsia"/>
                <w:sz w:val="18"/>
              </w:rPr>
            </w:pPr>
            <w:r>
              <w:rPr>
                <w:rFonts w:ascii="宋体" w:eastAsia="宋体" w:hint="eastAsia"/>
                <w:sz w:val="18"/>
              </w:rPr>
              <w:t>有限公司</w:t>
            </w:r>
          </w:p>
        </w:tc>
        <w:tc>
          <w:tcPr>
            <w:tcW w:w="1416" w:type="dxa"/>
            <w:tcBorders>
              <w:top w:val="single" w:sz="6" w:space="0" w:color="000000"/>
              <w:left w:val="single" w:sz="4" w:space="0" w:color="000000"/>
              <w:bottom w:val="single" w:sz="4" w:space="0" w:color="000000"/>
              <w:right w:val="single" w:sz="4" w:space="0" w:color="000000"/>
            </w:tcBorders>
          </w:tcPr>
          <w:p>
            <w:pPr>
              <w:pStyle w:val="TableParagraph"/>
              <w:rPr>
                <w:sz w:val="16"/>
              </w:rPr>
            </w:pPr>
          </w:p>
        </w:tc>
        <w:tc>
          <w:tcPr>
            <w:tcW w:w="1197" w:type="dxa"/>
            <w:tcBorders>
              <w:top w:val="single" w:sz="6" w:space="0" w:color="000000"/>
              <w:left w:val="single" w:sz="4" w:space="0" w:color="000000"/>
              <w:bottom w:val="single" w:sz="4" w:space="0" w:color="000000"/>
              <w:right w:val="single" w:sz="4" w:space="0" w:color="000000"/>
            </w:tcBorders>
          </w:tcPr>
          <w:p>
            <w:pPr>
              <w:pStyle w:val="TableParagraph"/>
              <w:spacing w:before="138"/>
              <w:ind w:right="84"/>
              <w:jc w:val="right"/>
              <w:rPr>
                <w:sz w:val="15"/>
              </w:rPr>
            </w:pPr>
            <w:r>
              <w:rPr>
                <w:sz w:val="15"/>
              </w:rPr>
              <w:t>255,500,000.00</w:t>
            </w:r>
          </w:p>
        </w:tc>
        <w:tc>
          <w:tcPr>
            <w:tcW w:w="1452" w:type="dxa"/>
            <w:tcBorders>
              <w:top w:val="single" w:sz="6" w:space="0" w:color="000000"/>
              <w:left w:val="single" w:sz="4" w:space="0" w:color="000000"/>
              <w:bottom w:val="single" w:sz="4" w:space="0" w:color="000000"/>
              <w:right w:val="single" w:sz="4" w:space="0" w:color="000000"/>
            </w:tcBorders>
          </w:tcPr>
          <w:p>
            <w:pPr>
              <w:pStyle w:val="TableParagraph"/>
              <w:spacing w:before="138"/>
              <w:ind w:right="84"/>
              <w:jc w:val="right"/>
              <w:rPr>
                <w:sz w:val="15"/>
              </w:rPr>
            </w:pPr>
            <w:r>
              <w:rPr>
                <w:sz w:val="15"/>
              </w:rPr>
              <w:t>4,196,084.44</w:t>
            </w:r>
          </w:p>
        </w:tc>
        <w:tc>
          <w:tcPr>
            <w:tcW w:w="1305" w:type="dxa"/>
            <w:tcBorders>
              <w:top w:val="single" w:sz="6" w:space="0" w:color="000000"/>
              <w:left w:val="single" w:sz="4" w:space="0" w:color="000000"/>
              <w:bottom w:val="single" w:sz="4" w:space="0" w:color="000000"/>
              <w:right w:val="single" w:sz="4" w:space="0" w:color="000000"/>
            </w:tcBorders>
          </w:tcPr>
          <w:p>
            <w:pPr>
              <w:pStyle w:val="TableParagraph"/>
              <w:rPr>
                <w:sz w:val="16"/>
              </w:rPr>
            </w:pPr>
          </w:p>
        </w:tc>
        <w:tc>
          <w:tcPr>
            <w:tcW w:w="1356" w:type="dxa"/>
            <w:tcBorders>
              <w:top w:val="single" w:sz="6" w:space="0" w:color="000000"/>
              <w:left w:val="single" w:sz="4" w:space="0" w:color="000000"/>
              <w:bottom w:val="single" w:sz="4" w:space="0" w:color="000000"/>
              <w:right w:val="single" w:sz="4" w:space="0" w:color="000000"/>
            </w:tcBorders>
          </w:tcPr>
          <w:p>
            <w:pPr>
              <w:pStyle w:val="TableParagraph"/>
              <w:rPr>
                <w:sz w:val="16"/>
              </w:rPr>
            </w:pPr>
          </w:p>
        </w:tc>
        <w:tc>
          <w:tcPr>
            <w:tcW w:w="1442" w:type="dxa"/>
            <w:tcBorders>
              <w:top w:val="single" w:sz="6" w:space="0" w:color="000000"/>
              <w:left w:val="single" w:sz="4" w:space="0" w:color="000000"/>
              <w:bottom w:val="single" w:sz="4" w:space="0" w:color="000000"/>
            </w:tcBorders>
          </w:tcPr>
          <w:p>
            <w:pPr>
              <w:pStyle w:val="TableParagraph"/>
              <w:rPr>
                <w:sz w:val="16"/>
              </w:rPr>
            </w:pPr>
          </w:p>
        </w:tc>
      </w:tr>
      <w:tr>
        <w:trPr>
          <w:trHeight w:val="465" w:hRule="atLeast"/>
        </w:trPr>
        <w:tc>
          <w:tcPr>
            <w:tcW w:w="1322" w:type="dxa"/>
            <w:tcBorders>
              <w:top w:val="single" w:sz="4" w:space="0" w:color="000000"/>
              <w:bottom w:val="single" w:sz="4" w:space="0" w:color="000000"/>
              <w:right w:val="single" w:sz="4" w:space="0" w:color="000000"/>
            </w:tcBorders>
          </w:tcPr>
          <w:p>
            <w:pPr>
              <w:pStyle w:val="TableParagraph"/>
              <w:spacing w:line="230" w:lineRule="exact"/>
              <w:ind w:left="107"/>
              <w:rPr>
                <w:rFonts w:ascii="宋体" w:eastAsia="宋体" w:hint="eastAsia"/>
                <w:sz w:val="18"/>
              </w:rPr>
            </w:pPr>
            <w:r>
              <w:rPr>
                <w:rFonts w:ascii="宋体" w:eastAsia="宋体" w:hint="eastAsia"/>
                <w:sz w:val="18"/>
              </w:rPr>
              <w:t>湖南电机株式</w:t>
            </w:r>
          </w:p>
          <w:p>
            <w:pPr>
              <w:pStyle w:val="TableParagraph"/>
              <w:spacing w:line="213" w:lineRule="exact" w:before="2"/>
              <w:ind w:left="107"/>
              <w:rPr>
                <w:rFonts w:ascii="宋体" w:eastAsia="宋体" w:hint="eastAsia"/>
                <w:sz w:val="18"/>
              </w:rPr>
            </w:pPr>
            <w:r>
              <w:rPr>
                <w:rFonts w:ascii="宋体" w:eastAsia="宋体" w:hint="eastAsia"/>
                <w:sz w:val="18"/>
              </w:rPr>
              <w:t>会社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140"/>
              <w:ind w:right="88"/>
              <w:jc w:val="right"/>
              <w:rPr>
                <w:sz w:val="15"/>
              </w:rPr>
            </w:pPr>
            <w:r>
              <w:rPr>
                <w:sz w:val="15"/>
              </w:rPr>
              <w:t>71,196,748.97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140"/>
              <w:ind w:right="84"/>
              <w:jc w:val="right"/>
              <w:rPr>
                <w:sz w:val="15"/>
              </w:rPr>
            </w:pPr>
            <w:r>
              <w:rPr>
                <w:sz w:val="15"/>
              </w:rPr>
              <w:t>7,475,640.32</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before="140"/>
              <w:ind w:right="86"/>
              <w:jc w:val="right"/>
              <w:rPr>
                <w:sz w:val="15"/>
              </w:rPr>
            </w:pPr>
            <w:r>
              <w:rPr>
                <w:sz w:val="15"/>
              </w:rPr>
              <w:t>-1,110,836.42</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42" w:type="dxa"/>
            <w:tcBorders>
              <w:top w:val="single" w:sz="4" w:space="0" w:color="000000"/>
              <w:left w:val="single" w:sz="4" w:space="0" w:color="000000"/>
              <w:bottom w:val="single" w:sz="4" w:space="0" w:color="000000"/>
            </w:tcBorders>
          </w:tcPr>
          <w:p>
            <w:pPr>
              <w:pStyle w:val="TableParagraph"/>
              <w:rPr>
                <w:sz w:val="16"/>
              </w:rPr>
            </w:pPr>
          </w:p>
        </w:tc>
      </w:tr>
      <w:tr>
        <w:trPr>
          <w:trHeight w:val="467" w:hRule="atLeast"/>
        </w:trPr>
        <w:tc>
          <w:tcPr>
            <w:tcW w:w="1322" w:type="dxa"/>
            <w:tcBorders>
              <w:top w:val="single" w:sz="4" w:space="0" w:color="000000"/>
              <w:bottom w:val="single" w:sz="4" w:space="0" w:color="000000"/>
              <w:right w:val="single" w:sz="4" w:space="0" w:color="000000"/>
            </w:tcBorders>
          </w:tcPr>
          <w:p>
            <w:pPr>
              <w:pStyle w:val="TableParagraph"/>
              <w:spacing w:line="230" w:lineRule="atLeast" w:before="2"/>
              <w:ind w:left="107" w:right="227"/>
              <w:rPr>
                <w:rFonts w:ascii="宋体" w:eastAsia="宋体" w:hint="eastAsia"/>
                <w:sz w:val="18"/>
              </w:rPr>
            </w:pPr>
            <w:r>
              <w:rPr>
                <w:sz w:val="18"/>
              </w:rPr>
              <w:t>HNR </w:t>
            </w:r>
            <w:r>
              <w:rPr>
                <w:rFonts w:ascii="宋体" w:eastAsia="宋体" w:hint="eastAsia"/>
                <w:sz w:val="18"/>
              </w:rPr>
              <w:t>私营有限公司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143"/>
              <w:ind w:right="88"/>
              <w:jc w:val="right"/>
              <w:rPr>
                <w:sz w:val="15"/>
              </w:rPr>
            </w:pPr>
            <w:r>
              <w:rPr>
                <w:sz w:val="15"/>
              </w:rPr>
              <w:t>104,557,145.65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143"/>
              <w:ind w:right="84"/>
              <w:jc w:val="right"/>
              <w:rPr>
                <w:sz w:val="15"/>
              </w:rPr>
            </w:pPr>
            <w:r>
              <w:rPr>
                <w:sz w:val="15"/>
              </w:rPr>
              <w:t>8,783,554.33</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before="143"/>
              <w:ind w:right="86"/>
              <w:jc w:val="right"/>
              <w:rPr>
                <w:sz w:val="15"/>
              </w:rPr>
            </w:pPr>
            <w:r>
              <w:rPr>
                <w:sz w:val="15"/>
              </w:rPr>
              <w:t>-21,198,812.71</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42"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1322" w:type="dxa"/>
            <w:tcBorders>
              <w:top w:val="single" w:sz="4" w:space="0" w:color="000000"/>
              <w:bottom w:val="single" w:sz="4" w:space="0" w:color="000000"/>
              <w:right w:val="single" w:sz="4" w:space="0" w:color="000000"/>
            </w:tcBorders>
          </w:tcPr>
          <w:p>
            <w:pPr>
              <w:pStyle w:val="TableParagraph"/>
              <w:spacing w:before="69"/>
              <w:ind w:left="87" w:right="68"/>
              <w:jc w:val="center"/>
              <w:rPr>
                <w:rFonts w:ascii="宋体" w:eastAsia="宋体" w:hint="eastAsia"/>
                <w:sz w:val="18"/>
              </w:rPr>
            </w:pPr>
            <w:r>
              <w:rPr>
                <w:sz w:val="18"/>
              </w:rPr>
              <w:t>HPZ </w:t>
            </w:r>
            <w:r>
              <w:rPr>
                <w:rFonts w:ascii="宋体" w:eastAsia="宋体" w:hint="eastAsia"/>
                <w:sz w:val="18"/>
              </w:rPr>
              <w:t>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92"/>
              <w:ind w:right="88"/>
              <w:jc w:val="right"/>
              <w:rPr>
                <w:sz w:val="15"/>
              </w:rPr>
            </w:pPr>
            <w:r>
              <w:rPr>
                <w:sz w:val="15"/>
              </w:rPr>
              <w:t>78,149,551.49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92"/>
              <w:ind w:right="84"/>
              <w:jc w:val="right"/>
              <w:rPr>
                <w:sz w:val="15"/>
              </w:rPr>
            </w:pPr>
            <w:r>
              <w:rPr>
                <w:sz w:val="15"/>
              </w:rPr>
              <w:t>-5,002,825.72</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-6,318,980.11</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42" w:type="dxa"/>
            <w:tcBorders>
              <w:top w:val="single" w:sz="4" w:space="0" w:color="000000"/>
              <w:left w:val="single" w:sz="4" w:space="0" w:color="000000"/>
              <w:bottom w:val="single" w:sz="4" w:space="0" w:color="000000"/>
            </w:tcBorders>
          </w:tcPr>
          <w:p>
            <w:pPr>
              <w:pStyle w:val="TableParagraph"/>
              <w:rPr>
                <w:sz w:val="16"/>
              </w:rPr>
            </w:pPr>
          </w:p>
        </w:tc>
      </w:tr>
      <w:tr>
        <w:trPr>
          <w:trHeight w:val="414" w:hRule="atLeast"/>
        </w:trPr>
        <w:tc>
          <w:tcPr>
            <w:tcW w:w="1322" w:type="dxa"/>
            <w:tcBorders>
              <w:top w:val="single" w:sz="4" w:space="0" w:color="000000"/>
              <w:bottom w:val="single" w:sz="4" w:space="0" w:color="000000"/>
              <w:right w:val="single" w:sz="4" w:space="0" w:color="000000"/>
            </w:tcBorders>
          </w:tcPr>
          <w:p>
            <w:pPr>
              <w:pStyle w:val="TableParagraph"/>
              <w:spacing w:line="202" w:lineRule="exact"/>
              <w:ind w:left="107"/>
              <w:rPr>
                <w:sz w:val="18"/>
              </w:rPr>
            </w:pPr>
            <w:r>
              <w:rPr>
                <w:sz w:val="18"/>
              </w:rPr>
              <w:t>HaierRayaElec</w:t>
            </w:r>
          </w:p>
          <w:p>
            <w:pPr>
              <w:pStyle w:val="TableParagraph"/>
              <w:spacing w:line="193" w:lineRule="exact"/>
              <w:ind w:left="107"/>
              <w:rPr>
                <w:sz w:val="18"/>
              </w:rPr>
            </w:pPr>
            <w:r>
              <w:rPr>
                <w:sz w:val="18"/>
              </w:rPr>
              <w:t>tricS.A.E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before="114"/>
              <w:ind w:right="84"/>
              <w:jc w:val="right"/>
              <w:rPr>
                <w:sz w:val="15"/>
              </w:rPr>
            </w:pPr>
            <w:r>
              <w:rPr>
                <w:sz w:val="15"/>
              </w:rPr>
              <w:t>11,252,981.12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114"/>
              <w:ind w:right="84"/>
              <w:jc w:val="right"/>
              <w:rPr>
                <w:sz w:val="15"/>
              </w:rPr>
            </w:pPr>
            <w:r>
              <w:rPr>
                <w:sz w:val="15"/>
              </w:rPr>
              <w:t>-511,747.02</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42" w:type="dxa"/>
            <w:tcBorders>
              <w:top w:val="single" w:sz="4" w:space="0" w:color="000000"/>
              <w:left w:val="single" w:sz="4" w:space="0" w:color="000000"/>
              <w:bottom w:val="single" w:sz="4" w:space="0" w:color="000000"/>
            </w:tcBorders>
          </w:tcPr>
          <w:p>
            <w:pPr>
              <w:pStyle w:val="TableParagraph"/>
              <w:rPr>
                <w:sz w:val="16"/>
              </w:rPr>
            </w:pPr>
          </w:p>
        </w:tc>
      </w:tr>
      <w:tr>
        <w:trPr>
          <w:trHeight w:val="621" w:hRule="atLeast"/>
        </w:trPr>
        <w:tc>
          <w:tcPr>
            <w:tcW w:w="1322" w:type="dxa"/>
            <w:tcBorders>
              <w:top w:val="single" w:sz="4" w:space="0" w:color="000000"/>
              <w:bottom w:val="single" w:sz="4" w:space="0" w:color="000000"/>
              <w:right w:val="single" w:sz="4" w:space="0" w:color="000000"/>
            </w:tcBorders>
          </w:tcPr>
          <w:p>
            <w:pPr>
              <w:pStyle w:val="TableParagraph"/>
              <w:ind w:left="107"/>
              <w:rPr>
                <w:sz w:val="18"/>
              </w:rPr>
            </w:pPr>
            <w:r>
              <w:rPr>
                <w:sz w:val="18"/>
              </w:rPr>
              <w:t>CONTROLA DORAMABE</w:t>
            </w:r>
          </w:p>
          <w:p>
            <w:pPr>
              <w:pStyle w:val="TableParagraph"/>
              <w:spacing w:line="192" w:lineRule="exact"/>
              <w:ind w:left="107"/>
              <w:rPr>
                <w:sz w:val="18"/>
              </w:rPr>
            </w:pPr>
            <w:r>
              <w:rPr>
                <w:sz w:val="18"/>
              </w:rPr>
              <w:t>S.A.deC.V.</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10"/>
              <w:rPr>
                <w:sz w:val="18"/>
              </w:rPr>
            </w:pPr>
          </w:p>
          <w:p>
            <w:pPr>
              <w:pStyle w:val="TableParagraph"/>
              <w:ind w:right="88"/>
              <w:jc w:val="right"/>
              <w:rPr>
                <w:sz w:val="15"/>
              </w:rPr>
            </w:pPr>
            <w:r>
              <w:rPr>
                <w:sz w:val="15"/>
              </w:rPr>
              <w:t>3,497,668,453.45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10"/>
              <w:rPr>
                <w:sz w:val="18"/>
              </w:rPr>
            </w:pPr>
          </w:p>
          <w:p>
            <w:pPr>
              <w:pStyle w:val="TableParagraph"/>
              <w:ind w:right="84"/>
              <w:jc w:val="right"/>
              <w:rPr>
                <w:sz w:val="15"/>
              </w:rPr>
            </w:pPr>
            <w:r>
              <w:rPr>
                <w:sz w:val="15"/>
              </w:rPr>
              <w:t>570,365,197.50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before="10"/>
              <w:rPr>
                <w:sz w:val="18"/>
              </w:rPr>
            </w:pPr>
          </w:p>
          <w:p>
            <w:pPr>
              <w:pStyle w:val="TableParagraph"/>
              <w:ind w:right="86"/>
              <w:jc w:val="right"/>
              <w:rPr>
                <w:sz w:val="15"/>
              </w:rPr>
            </w:pPr>
            <w:r>
              <w:rPr>
                <w:sz w:val="15"/>
              </w:rPr>
              <w:t>-300,689,172.86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before="10"/>
              <w:rPr>
                <w:sz w:val="18"/>
              </w:rPr>
            </w:pPr>
          </w:p>
          <w:p>
            <w:pPr>
              <w:pStyle w:val="TableParagraph"/>
              <w:ind w:right="86"/>
              <w:jc w:val="right"/>
              <w:rPr>
                <w:sz w:val="15"/>
              </w:rPr>
            </w:pPr>
            <w:r>
              <w:rPr>
                <w:sz w:val="15"/>
              </w:rPr>
              <w:t>-19,854,505.87</w:t>
            </w:r>
          </w:p>
        </w:tc>
        <w:tc>
          <w:tcPr>
            <w:tcW w:w="1442" w:type="dxa"/>
            <w:tcBorders>
              <w:top w:val="single" w:sz="4" w:space="0" w:color="000000"/>
              <w:left w:val="single" w:sz="4" w:space="0" w:color="000000"/>
              <w:bottom w:val="single" w:sz="4" w:space="0" w:color="000000"/>
            </w:tcBorders>
          </w:tcPr>
          <w:p>
            <w:pPr>
              <w:pStyle w:val="TableParagraph"/>
              <w:spacing w:before="10"/>
              <w:rPr>
                <w:sz w:val="18"/>
              </w:rPr>
            </w:pPr>
          </w:p>
          <w:p>
            <w:pPr>
              <w:pStyle w:val="TableParagraph"/>
              <w:ind w:right="75"/>
              <w:jc w:val="right"/>
              <w:rPr>
                <w:sz w:val="15"/>
              </w:rPr>
            </w:pPr>
            <w:r>
              <w:rPr>
                <w:sz w:val="15"/>
              </w:rPr>
              <w:t>-80,179,730.91</w:t>
            </w:r>
          </w:p>
        </w:tc>
      </w:tr>
      <w:tr>
        <w:trPr>
          <w:trHeight w:val="828" w:hRule="atLeast"/>
        </w:trPr>
        <w:tc>
          <w:tcPr>
            <w:tcW w:w="1322" w:type="dxa"/>
            <w:tcBorders>
              <w:top w:val="single" w:sz="4" w:space="0" w:color="000000"/>
              <w:bottom w:val="single" w:sz="4" w:space="0" w:color="000000"/>
              <w:right w:val="single" w:sz="4" w:space="0" w:color="000000"/>
            </w:tcBorders>
          </w:tcPr>
          <w:p>
            <w:pPr>
              <w:pStyle w:val="TableParagraph"/>
              <w:ind w:left="107" w:right="91"/>
              <w:jc w:val="both"/>
              <w:rPr>
                <w:sz w:val="18"/>
              </w:rPr>
            </w:pPr>
            <w:r>
              <w:rPr>
                <w:sz w:val="18"/>
              </w:rPr>
              <w:t>MiddleEastAir conditioningC </w:t>
            </w:r>
            <w:r>
              <w:rPr>
                <w:spacing w:val="-1"/>
                <w:sz w:val="18"/>
              </w:rPr>
              <w:t>ompany,Limite</w:t>
            </w:r>
          </w:p>
          <w:p>
            <w:pPr>
              <w:pStyle w:val="TableParagraph"/>
              <w:spacing w:line="192" w:lineRule="exact"/>
              <w:ind w:left="107"/>
              <w:rPr>
                <w:sz w:val="18"/>
              </w:rPr>
            </w:pPr>
            <w:r>
              <w:rPr>
                <w:sz w:val="18"/>
              </w:rPr>
              <w:t>d</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rPr>
                <w:sz w:val="16"/>
              </w:rPr>
            </w:pPr>
          </w:p>
          <w:p>
            <w:pPr>
              <w:pStyle w:val="TableParagraph"/>
              <w:spacing w:before="136"/>
              <w:ind w:right="88"/>
              <w:jc w:val="right"/>
              <w:rPr>
                <w:sz w:val="15"/>
              </w:rPr>
            </w:pPr>
            <w:r>
              <w:rPr>
                <w:sz w:val="15"/>
              </w:rPr>
              <w:t>19,002,595.66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0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42" w:type="dxa"/>
            <w:tcBorders>
              <w:top w:val="single" w:sz="4" w:space="0" w:color="000000"/>
              <w:left w:val="single" w:sz="4" w:space="0" w:color="000000"/>
              <w:bottom w:val="single" w:sz="4" w:space="0" w:color="000000"/>
            </w:tcBorders>
          </w:tcPr>
          <w:p>
            <w:pPr>
              <w:pStyle w:val="TableParagraph"/>
              <w:rPr>
                <w:sz w:val="16"/>
              </w:rPr>
            </w:pPr>
          </w:p>
        </w:tc>
      </w:tr>
      <w:tr>
        <w:trPr>
          <w:trHeight w:val="366" w:hRule="atLeast"/>
        </w:trPr>
        <w:tc>
          <w:tcPr>
            <w:tcW w:w="1322" w:type="dxa"/>
            <w:tcBorders>
              <w:top w:val="single" w:sz="4" w:space="0" w:color="000000"/>
              <w:right w:val="single" w:sz="4" w:space="0" w:color="000000"/>
            </w:tcBorders>
          </w:tcPr>
          <w:p>
            <w:pPr>
              <w:pStyle w:val="TableParagraph"/>
              <w:spacing w:before="67"/>
              <w:ind w:left="84" w:right="68"/>
              <w:jc w:val="center"/>
              <w:rPr>
                <w:rFonts w:ascii="宋体" w:eastAsia="宋体" w:hint="eastAsia"/>
                <w:sz w:val="18"/>
              </w:rPr>
            </w:pPr>
            <w:r>
              <w:rPr>
                <w:rFonts w:ascii="宋体" w:eastAsia="宋体" w:hint="eastAsia"/>
                <w:sz w:val="18"/>
              </w:rPr>
              <w:t>合计</w:t>
            </w:r>
          </w:p>
        </w:tc>
        <w:tc>
          <w:tcPr>
            <w:tcW w:w="1416" w:type="dxa"/>
            <w:tcBorders>
              <w:top w:val="single" w:sz="4" w:space="0" w:color="000000"/>
              <w:left w:val="single" w:sz="4" w:space="0" w:color="000000"/>
              <w:right w:val="single" w:sz="4" w:space="0" w:color="000000"/>
            </w:tcBorders>
          </w:tcPr>
          <w:p>
            <w:pPr>
              <w:pStyle w:val="TableParagraph"/>
              <w:spacing w:before="92"/>
              <w:ind w:right="88"/>
              <w:jc w:val="right"/>
              <w:rPr>
                <w:sz w:val="15"/>
              </w:rPr>
            </w:pPr>
            <w:r>
              <w:rPr>
                <w:sz w:val="15"/>
              </w:rPr>
              <w:t>20,543,423,504.98</w:t>
            </w:r>
          </w:p>
        </w:tc>
        <w:tc>
          <w:tcPr>
            <w:tcW w:w="1197" w:type="dxa"/>
            <w:tcBorders>
              <w:top w:val="single" w:sz="4" w:space="0" w:color="000000"/>
              <w:left w:val="single" w:sz="4" w:space="0" w:color="000000"/>
              <w:right w:val="single" w:sz="4" w:space="0" w:color="000000"/>
            </w:tcBorders>
          </w:tcPr>
          <w:p>
            <w:pPr>
              <w:pStyle w:val="TableParagraph"/>
              <w:spacing w:before="92"/>
              <w:ind w:right="84"/>
              <w:jc w:val="right"/>
              <w:rPr>
                <w:sz w:val="15"/>
              </w:rPr>
            </w:pPr>
            <w:r>
              <w:rPr>
                <w:sz w:val="15"/>
              </w:rPr>
              <w:t>442,786,109.61</w:t>
            </w:r>
          </w:p>
        </w:tc>
        <w:tc>
          <w:tcPr>
            <w:tcW w:w="1452" w:type="dxa"/>
            <w:tcBorders>
              <w:top w:val="single" w:sz="4" w:space="0" w:color="000000"/>
              <w:left w:val="single" w:sz="4" w:space="0" w:color="000000"/>
              <w:right w:val="single" w:sz="4" w:space="0" w:color="000000"/>
            </w:tcBorders>
          </w:tcPr>
          <w:p>
            <w:pPr>
              <w:pStyle w:val="TableParagraph"/>
              <w:spacing w:before="92"/>
              <w:ind w:right="84"/>
              <w:jc w:val="right"/>
              <w:rPr>
                <w:sz w:val="15"/>
              </w:rPr>
            </w:pPr>
            <w:r>
              <w:rPr>
                <w:sz w:val="15"/>
              </w:rPr>
              <w:t>1,635,948,510.74</w:t>
            </w:r>
          </w:p>
        </w:tc>
        <w:tc>
          <w:tcPr>
            <w:tcW w:w="1305" w:type="dxa"/>
            <w:tcBorders>
              <w:top w:val="single" w:sz="4" w:space="0" w:color="000000"/>
              <w:left w:val="single" w:sz="4" w:space="0" w:color="000000"/>
              <w:right w:val="single" w:sz="4" w:space="0" w:color="000000"/>
            </w:tcBorders>
          </w:tcPr>
          <w:p>
            <w:pPr>
              <w:pStyle w:val="TableParagraph"/>
              <w:spacing w:before="92"/>
              <w:ind w:right="86"/>
              <w:jc w:val="right"/>
              <w:rPr>
                <w:sz w:val="15"/>
              </w:rPr>
            </w:pPr>
            <w:r>
              <w:rPr>
                <w:sz w:val="15"/>
              </w:rPr>
              <w:t>-324,414,470.72</w:t>
            </w:r>
          </w:p>
        </w:tc>
        <w:tc>
          <w:tcPr>
            <w:tcW w:w="1356" w:type="dxa"/>
            <w:tcBorders>
              <w:top w:val="single" w:sz="4" w:space="0" w:color="000000"/>
              <w:left w:val="single" w:sz="4" w:space="0" w:color="000000"/>
              <w:right w:val="single" w:sz="4" w:space="0" w:color="000000"/>
            </w:tcBorders>
          </w:tcPr>
          <w:p>
            <w:pPr>
              <w:pStyle w:val="TableParagraph"/>
              <w:spacing w:before="92"/>
              <w:ind w:right="85"/>
              <w:jc w:val="right"/>
              <w:rPr>
                <w:sz w:val="15"/>
              </w:rPr>
            </w:pPr>
            <w:r>
              <w:rPr>
                <w:sz w:val="15"/>
              </w:rPr>
              <w:t>21,247,396.27</w:t>
            </w:r>
          </w:p>
        </w:tc>
        <w:tc>
          <w:tcPr>
            <w:tcW w:w="1442" w:type="dxa"/>
            <w:tcBorders>
              <w:top w:val="single" w:sz="4" w:space="0" w:color="000000"/>
              <w:left w:val="single" w:sz="4" w:space="0" w:color="000000"/>
            </w:tcBorders>
          </w:tcPr>
          <w:p>
            <w:pPr>
              <w:pStyle w:val="TableParagraph"/>
              <w:spacing w:before="92"/>
              <w:ind w:right="75"/>
              <w:jc w:val="right"/>
              <w:rPr>
                <w:sz w:val="15"/>
              </w:rPr>
            </w:pPr>
            <w:r>
              <w:rPr>
                <w:sz w:val="15"/>
              </w:rPr>
              <w:t>-418,165,572.79</w:t>
            </w:r>
          </w:p>
        </w:tc>
      </w:tr>
    </w:tbl>
    <w:p>
      <w:pPr>
        <w:pStyle w:val="BodyText"/>
        <w:spacing w:before="3"/>
        <w:rPr>
          <w:rFonts w:ascii="Times New Roman"/>
          <w:sz w:val="12"/>
        </w:rPr>
      </w:pPr>
    </w:p>
    <w:p>
      <w:pPr>
        <w:pStyle w:val="BodyText"/>
        <w:spacing w:before="72"/>
        <w:ind w:left="1900"/>
      </w:pPr>
      <w:r>
        <w:rPr/>
        <w:t>续表</w:t>
      </w:r>
    </w:p>
    <w:p>
      <w:pPr>
        <w:pStyle w:val="BodyText"/>
        <w:spacing w:before="5"/>
        <w:rPr>
          <w:sz w:val="9"/>
        </w:rPr>
      </w:pPr>
    </w:p>
    <w:tbl>
      <w:tblPr>
        <w:tblW w:w="0" w:type="auto"/>
        <w:jc w:val="left"/>
        <w:tblInd w:w="15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404"/>
        <w:gridCol w:w="989"/>
        <w:gridCol w:w="1465"/>
        <w:gridCol w:w="1612"/>
        <w:gridCol w:w="1319"/>
      </w:tblGrid>
      <w:tr>
        <w:trPr>
          <w:trHeight w:val="368" w:hRule="atLeast"/>
        </w:trPr>
        <w:tc>
          <w:tcPr>
            <w:tcW w:w="3404" w:type="dxa"/>
            <w:vMerge w:val="restart"/>
            <w:tcBorders>
              <w:bottom w:val="single" w:sz="4" w:space="0" w:color="000000"/>
              <w:right w:val="single" w:sz="4" w:space="0" w:color="000000"/>
            </w:tcBorders>
          </w:tcPr>
          <w:p>
            <w:pPr>
              <w:pStyle w:val="TableParagraph"/>
              <w:spacing w:before="7"/>
              <w:rPr>
                <w:rFonts w:ascii="宋体"/>
                <w:sz w:val="15"/>
              </w:rPr>
            </w:pPr>
          </w:p>
          <w:p>
            <w:pPr>
              <w:pStyle w:val="TableParagraph"/>
              <w:ind w:left="1230" w:right="1213"/>
              <w:jc w:val="center"/>
              <w:rPr>
                <w:rFonts w:ascii="Microsoft JhengHei" w:eastAsia="Microsoft JhengHei" w:hint="eastAsia"/>
                <w:b/>
                <w:sz w:val="18"/>
              </w:rPr>
            </w:pPr>
            <w:r>
              <w:rPr>
                <w:rFonts w:ascii="Microsoft JhengHei" w:eastAsia="Microsoft JhengHei" w:hint="eastAsia"/>
                <w:b/>
                <w:sz w:val="18"/>
              </w:rPr>
              <w:t>被投资单位</w:t>
            </w:r>
          </w:p>
        </w:tc>
        <w:tc>
          <w:tcPr>
            <w:tcW w:w="2454" w:type="dxa"/>
            <w:gridSpan w:val="2"/>
            <w:tcBorders>
              <w:left w:val="single" w:sz="4" w:space="0" w:color="000000"/>
              <w:bottom w:val="single" w:sz="4" w:space="0" w:color="000000"/>
              <w:right w:val="single" w:sz="4" w:space="0" w:color="000000"/>
            </w:tcBorders>
          </w:tcPr>
          <w:p>
            <w:pPr>
              <w:pStyle w:val="TableParagraph"/>
              <w:spacing w:before="9"/>
              <w:ind w:left="690"/>
              <w:rPr>
                <w:rFonts w:ascii="Microsoft JhengHei" w:eastAsia="Microsoft JhengHei" w:hint="eastAsia"/>
                <w:b/>
                <w:sz w:val="18"/>
              </w:rPr>
            </w:pPr>
            <w:r>
              <w:rPr>
                <w:rFonts w:ascii="Microsoft JhengHei" w:eastAsia="Microsoft JhengHei" w:hint="eastAsia"/>
                <w:b/>
                <w:sz w:val="18"/>
              </w:rPr>
              <w:t>本期增减变动</w:t>
            </w:r>
          </w:p>
        </w:tc>
        <w:tc>
          <w:tcPr>
            <w:tcW w:w="1612" w:type="dxa"/>
            <w:vMerge w:val="restart"/>
            <w:tcBorders>
              <w:left w:val="single" w:sz="4" w:space="0" w:color="000000"/>
              <w:bottom w:val="single" w:sz="4" w:space="0" w:color="000000"/>
              <w:right w:val="single" w:sz="4" w:space="0" w:color="000000"/>
            </w:tcBorders>
          </w:tcPr>
          <w:p>
            <w:pPr>
              <w:pStyle w:val="TableParagraph"/>
              <w:spacing w:before="7"/>
              <w:rPr>
                <w:rFonts w:ascii="宋体"/>
                <w:sz w:val="15"/>
              </w:rPr>
            </w:pPr>
          </w:p>
          <w:p>
            <w:pPr>
              <w:pStyle w:val="TableParagraph"/>
              <w:ind w:left="452"/>
              <w:rPr>
                <w:rFonts w:ascii="Microsoft JhengHei" w:eastAsia="Microsoft JhengHei" w:hint="eastAsia"/>
                <w:b/>
                <w:sz w:val="18"/>
              </w:rPr>
            </w:pPr>
            <w:r>
              <w:rPr>
                <w:rFonts w:ascii="Microsoft JhengHei" w:eastAsia="Microsoft JhengHei" w:hint="eastAsia"/>
                <w:b/>
                <w:sz w:val="18"/>
              </w:rPr>
              <w:t>期末余额</w:t>
            </w:r>
          </w:p>
        </w:tc>
        <w:tc>
          <w:tcPr>
            <w:tcW w:w="1319" w:type="dxa"/>
            <w:vMerge w:val="restart"/>
            <w:tcBorders>
              <w:left w:val="single" w:sz="4" w:space="0" w:color="000000"/>
              <w:bottom w:val="single" w:sz="4" w:space="0" w:color="000000"/>
            </w:tcBorders>
          </w:tcPr>
          <w:p>
            <w:pPr>
              <w:pStyle w:val="TableParagraph"/>
              <w:spacing w:line="168" w:lineRule="auto" w:before="153"/>
              <w:ind w:left="482" w:right="90" w:hanging="360"/>
              <w:rPr>
                <w:rFonts w:ascii="Microsoft JhengHei" w:eastAsia="Microsoft JhengHei" w:hint="eastAsia"/>
                <w:b/>
                <w:sz w:val="18"/>
              </w:rPr>
            </w:pPr>
            <w:r>
              <w:rPr>
                <w:rFonts w:ascii="Microsoft JhengHei" w:eastAsia="Microsoft JhengHei" w:hint="eastAsia"/>
                <w:b/>
                <w:sz w:val="18"/>
              </w:rPr>
              <w:t>减值准备期末余额</w:t>
            </w:r>
          </w:p>
        </w:tc>
      </w:tr>
      <w:tr>
        <w:trPr>
          <w:trHeight w:val="369" w:hRule="atLeast"/>
        </w:trPr>
        <w:tc>
          <w:tcPr>
            <w:tcW w:w="3404" w:type="dxa"/>
            <w:vMerge/>
            <w:tcBorders>
              <w:top w:val="nil"/>
              <w:bottom w:val="single" w:sz="4" w:space="0" w:color="000000"/>
              <w:right w:val="single" w:sz="4" w:space="0" w:color="000000"/>
            </w:tcBorders>
          </w:tcPr>
          <w:p>
            <w:pPr>
              <w:rPr>
                <w:sz w:val="2"/>
                <w:szCs w:val="2"/>
              </w:rPr>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10"/>
              <w:ind w:left="141"/>
              <w:rPr>
                <w:rFonts w:ascii="Microsoft JhengHei" w:eastAsia="Microsoft JhengHei" w:hint="eastAsia"/>
                <w:b/>
                <w:sz w:val="18"/>
              </w:rPr>
            </w:pPr>
            <w:r>
              <w:rPr>
                <w:rFonts w:ascii="Microsoft JhengHei" w:eastAsia="Microsoft JhengHei" w:hint="eastAsia"/>
                <w:b/>
                <w:sz w:val="18"/>
              </w:rPr>
              <w:t>其他变动</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before="10"/>
              <w:ind w:left="378"/>
              <w:rPr>
                <w:rFonts w:ascii="Microsoft JhengHei" w:eastAsia="Microsoft JhengHei" w:hint="eastAsia"/>
                <w:b/>
                <w:sz w:val="18"/>
              </w:rPr>
            </w:pPr>
            <w:r>
              <w:rPr>
                <w:rFonts w:ascii="Microsoft JhengHei" w:eastAsia="Microsoft JhengHei" w:hint="eastAsia"/>
                <w:b/>
                <w:sz w:val="18"/>
              </w:rPr>
              <w:t>处置投资</w:t>
            </w:r>
          </w:p>
        </w:tc>
        <w:tc>
          <w:tcPr>
            <w:tcW w:w="1612" w:type="dxa"/>
            <w:vMerge/>
            <w:tcBorders>
              <w:top w:val="nil"/>
              <w:left w:val="single" w:sz="4" w:space="0" w:color="000000"/>
              <w:bottom w:val="single" w:sz="4" w:space="0" w:color="000000"/>
              <w:right w:val="single" w:sz="4" w:space="0" w:color="000000"/>
            </w:tcBorders>
          </w:tcPr>
          <w:p>
            <w:pPr>
              <w:rPr>
                <w:sz w:val="2"/>
                <w:szCs w:val="2"/>
              </w:rPr>
            </w:pPr>
          </w:p>
        </w:tc>
        <w:tc>
          <w:tcPr>
            <w:tcW w:w="1319" w:type="dxa"/>
            <w:vMerge/>
            <w:tcBorders>
              <w:top w:val="nil"/>
              <w:left w:val="single" w:sz="4" w:space="0" w:color="000000"/>
              <w:bottom w:val="single" w:sz="4" w:space="0" w:color="000000"/>
            </w:tcBorders>
          </w:tcPr>
          <w:p>
            <w:pPr>
              <w:rPr>
                <w:sz w:val="2"/>
                <w:szCs w:val="2"/>
              </w:rPr>
            </w:pPr>
          </w:p>
        </w:tc>
      </w:tr>
      <w:tr>
        <w:trPr>
          <w:trHeight w:val="369" w:hRule="atLeast"/>
        </w:trPr>
        <w:tc>
          <w:tcPr>
            <w:tcW w:w="3404"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联营企业：</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19"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04"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海尔集团财务有限责任公司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before="92"/>
              <w:ind w:right="89"/>
              <w:jc w:val="right"/>
              <w:rPr>
                <w:sz w:val="15"/>
              </w:rPr>
            </w:pPr>
            <w:r>
              <w:rPr>
                <w:sz w:val="15"/>
              </w:rPr>
              <w:t>6,526,237,270.67</w:t>
            </w:r>
          </w:p>
        </w:tc>
        <w:tc>
          <w:tcPr>
            <w:tcW w:w="1319"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04"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青岛银行股份有限公司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before="92"/>
              <w:ind w:left="378"/>
              <w:rPr>
                <w:sz w:val="15"/>
              </w:rPr>
            </w:pPr>
            <w:r>
              <w:rPr>
                <w:sz w:val="15"/>
              </w:rPr>
              <w:t>-153,561,357.40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before="92"/>
              <w:ind w:right="89"/>
              <w:jc w:val="right"/>
              <w:rPr>
                <w:sz w:val="15"/>
              </w:rPr>
            </w:pPr>
            <w:r>
              <w:rPr>
                <w:sz w:val="15"/>
              </w:rPr>
              <w:t>2,463,096,567.92</w:t>
            </w:r>
          </w:p>
        </w:tc>
        <w:tc>
          <w:tcPr>
            <w:tcW w:w="1319"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0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卧龙电气（济南）电机有限公司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before="92"/>
              <w:ind w:right="88"/>
              <w:jc w:val="right"/>
              <w:rPr>
                <w:sz w:val="15"/>
              </w:rPr>
            </w:pPr>
            <w:r>
              <w:rPr>
                <w:sz w:val="15"/>
              </w:rPr>
              <w:t>143,847,870.70</w:t>
            </w:r>
          </w:p>
        </w:tc>
        <w:tc>
          <w:tcPr>
            <w:tcW w:w="1319"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0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青岛河钢新材料科技有限公司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before="93"/>
              <w:ind w:right="88"/>
              <w:jc w:val="right"/>
              <w:rPr>
                <w:sz w:val="15"/>
              </w:rPr>
            </w:pPr>
            <w:r>
              <w:rPr>
                <w:sz w:val="15"/>
              </w:rPr>
              <w:t>297,154,935.85</w:t>
            </w:r>
          </w:p>
        </w:tc>
        <w:tc>
          <w:tcPr>
            <w:tcW w:w="1319" w:type="dxa"/>
            <w:tcBorders>
              <w:top w:val="single" w:sz="4" w:space="0" w:color="000000"/>
              <w:left w:val="single" w:sz="4" w:space="0" w:color="000000"/>
              <w:bottom w:val="single" w:sz="4" w:space="0" w:color="000000"/>
            </w:tcBorders>
          </w:tcPr>
          <w:p>
            <w:pPr>
              <w:pStyle w:val="TableParagraph"/>
              <w:rPr>
                <w:sz w:val="16"/>
              </w:rPr>
            </w:pPr>
          </w:p>
        </w:tc>
      </w:tr>
      <w:tr>
        <w:trPr>
          <w:trHeight w:val="467" w:hRule="atLeast"/>
        </w:trPr>
        <w:tc>
          <w:tcPr>
            <w:tcW w:w="3404" w:type="dxa"/>
            <w:tcBorders>
              <w:top w:val="single" w:sz="4" w:space="0" w:color="000000"/>
              <w:bottom w:val="single" w:sz="4" w:space="0" w:color="000000"/>
              <w:right w:val="single" w:sz="4" w:space="0" w:color="000000"/>
            </w:tcBorders>
          </w:tcPr>
          <w:p>
            <w:pPr>
              <w:pStyle w:val="TableParagraph"/>
              <w:spacing w:line="230" w:lineRule="exact"/>
              <w:ind w:left="107"/>
              <w:rPr>
                <w:rFonts w:ascii="宋体" w:eastAsia="宋体" w:hint="eastAsia"/>
                <w:sz w:val="18"/>
              </w:rPr>
            </w:pPr>
            <w:r>
              <w:rPr>
                <w:rFonts w:ascii="宋体" w:eastAsia="宋体" w:hint="eastAsia"/>
                <w:sz w:val="18"/>
              </w:rPr>
              <w:t>青岛海尔赛富智慧家庭创业投资中心</w:t>
            </w:r>
            <w:r>
              <w:rPr>
                <w:sz w:val="18"/>
              </w:rPr>
              <w:t>(</w:t>
            </w:r>
            <w:r>
              <w:rPr>
                <w:rFonts w:ascii="宋体" w:eastAsia="宋体" w:hint="eastAsia"/>
                <w:sz w:val="18"/>
              </w:rPr>
              <w:t>有</w:t>
            </w:r>
          </w:p>
          <w:p>
            <w:pPr>
              <w:pStyle w:val="TableParagraph"/>
              <w:spacing w:line="215" w:lineRule="exact" w:before="2"/>
              <w:ind w:left="107"/>
              <w:rPr>
                <w:sz w:val="18"/>
              </w:rPr>
            </w:pPr>
            <w:r>
              <w:rPr>
                <w:rFonts w:ascii="宋体" w:eastAsia="宋体" w:hint="eastAsia"/>
                <w:sz w:val="18"/>
              </w:rPr>
              <w:t>限合伙</w:t>
            </w:r>
            <w:r>
              <w:rPr>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before="140"/>
              <w:ind w:right="88"/>
              <w:jc w:val="right"/>
              <w:rPr>
                <w:sz w:val="15"/>
              </w:rPr>
            </w:pPr>
            <w:r>
              <w:rPr>
                <w:sz w:val="15"/>
              </w:rPr>
              <w:t>385,797,036.73</w:t>
            </w:r>
          </w:p>
        </w:tc>
        <w:tc>
          <w:tcPr>
            <w:tcW w:w="1319" w:type="dxa"/>
            <w:tcBorders>
              <w:top w:val="single" w:sz="4" w:space="0" w:color="000000"/>
              <w:left w:val="single" w:sz="4" w:space="0" w:color="000000"/>
              <w:bottom w:val="single" w:sz="4" w:space="0" w:color="000000"/>
            </w:tcBorders>
          </w:tcPr>
          <w:p>
            <w:pPr>
              <w:pStyle w:val="TableParagraph"/>
              <w:rPr>
                <w:sz w:val="16"/>
              </w:rPr>
            </w:pPr>
          </w:p>
        </w:tc>
      </w:tr>
      <w:tr>
        <w:trPr>
          <w:trHeight w:val="366" w:hRule="atLeast"/>
        </w:trPr>
        <w:tc>
          <w:tcPr>
            <w:tcW w:w="340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三菱重工海尔（青岛）空调机有限公司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before="92"/>
              <w:ind w:right="88"/>
              <w:jc w:val="right"/>
              <w:rPr>
                <w:sz w:val="15"/>
              </w:rPr>
            </w:pPr>
            <w:r>
              <w:rPr>
                <w:sz w:val="15"/>
              </w:rPr>
              <w:t>654,581,961.84</w:t>
            </w:r>
          </w:p>
        </w:tc>
        <w:tc>
          <w:tcPr>
            <w:tcW w:w="1319"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04"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青岛海尔开利冷冻设备有限公司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before="95"/>
              <w:ind w:right="88"/>
              <w:jc w:val="right"/>
              <w:rPr>
                <w:sz w:val="15"/>
              </w:rPr>
            </w:pPr>
            <w:r>
              <w:rPr>
                <w:sz w:val="15"/>
              </w:rPr>
              <w:t>415,298,165.93</w:t>
            </w:r>
          </w:p>
        </w:tc>
        <w:tc>
          <w:tcPr>
            <w:tcW w:w="1319" w:type="dxa"/>
            <w:tcBorders>
              <w:top w:val="single" w:sz="4" w:space="0" w:color="000000"/>
              <w:left w:val="single" w:sz="4" w:space="0" w:color="000000"/>
              <w:bottom w:val="single" w:sz="4" w:space="0" w:color="000000"/>
            </w:tcBorders>
          </w:tcPr>
          <w:p>
            <w:pPr>
              <w:pStyle w:val="TableParagraph"/>
              <w:spacing w:before="95"/>
              <w:ind w:right="81"/>
              <w:jc w:val="right"/>
              <w:rPr>
                <w:sz w:val="15"/>
              </w:rPr>
            </w:pPr>
            <w:r>
              <w:rPr>
                <w:sz w:val="15"/>
              </w:rPr>
              <w:t>21,000,000.00</w:t>
            </w:r>
          </w:p>
        </w:tc>
      </w:tr>
      <w:tr>
        <w:trPr>
          <w:trHeight w:val="369" w:hRule="atLeast"/>
        </w:trPr>
        <w:tc>
          <w:tcPr>
            <w:tcW w:w="3404"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青岛海尔多媒体有限公司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before="92"/>
              <w:ind w:right="88"/>
              <w:jc w:val="right"/>
              <w:rPr>
                <w:sz w:val="15"/>
              </w:rPr>
            </w:pPr>
            <w:r>
              <w:rPr>
                <w:sz w:val="15"/>
              </w:rPr>
              <w:t>328,987,205.07</w:t>
            </w:r>
          </w:p>
        </w:tc>
        <w:tc>
          <w:tcPr>
            <w:tcW w:w="1319" w:type="dxa"/>
            <w:tcBorders>
              <w:top w:val="single" w:sz="4" w:space="0" w:color="000000"/>
              <w:left w:val="single" w:sz="4" w:space="0" w:color="000000"/>
              <w:bottom w:val="single" w:sz="4" w:space="0" w:color="000000"/>
            </w:tcBorders>
          </w:tcPr>
          <w:p>
            <w:pPr>
              <w:pStyle w:val="TableParagraph"/>
              <w:spacing w:before="92"/>
              <w:ind w:right="81"/>
              <w:jc w:val="right"/>
              <w:rPr>
                <w:sz w:val="15"/>
              </w:rPr>
            </w:pPr>
            <w:r>
              <w:rPr>
                <w:sz w:val="15"/>
              </w:rPr>
              <w:t>88,300,000.00</w:t>
            </w:r>
          </w:p>
        </w:tc>
      </w:tr>
      <w:tr>
        <w:trPr>
          <w:trHeight w:val="369" w:hRule="atLeast"/>
        </w:trPr>
        <w:tc>
          <w:tcPr>
            <w:tcW w:w="3404"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青岛海尔软件投资有限公司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before="92"/>
              <w:ind w:left="453"/>
              <w:rPr>
                <w:sz w:val="15"/>
              </w:rPr>
            </w:pPr>
            <w:r>
              <w:rPr>
                <w:sz w:val="15"/>
              </w:rPr>
              <w:t>-19,636,136.75</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19" w:type="dxa"/>
            <w:tcBorders>
              <w:top w:val="single" w:sz="4" w:space="0" w:color="000000"/>
              <w:left w:val="single" w:sz="4" w:space="0" w:color="000000"/>
              <w:bottom w:val="single" w:sz="4" w:space="0" w:color="000000"/>
            </w:tcBorders>
          </w:tcPr>
          <w:p>
            <w:pPr>
              <w:pStyle w:val="TableParagraph"/>
              <w:rPr>
                <w:sz w:val="16"/>
              </w:rPr>
            </w:pPr>
          </w:p>
        </w:tc>
      </w:tr>
      <w:tr>
        <w:trPr>
          <w:trHeight w:val="368" w:hRule="atLeast"/>
        </w:trPr>
        <w:tc>
          <w:tcPr>
            <w:tcW w:w="3404" w:type="dxa"/>
            <w:tcBorders>
              <w:top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合肥飞尔智能科技有限公司</w:t>
            </w:r>
          </w:p>
        </w:tc>
        <w:tc>
          <w:tcPr>
            <w:tcW w:w="989" w:type="dxa"/>
            <w:tcBorders>
              <w:top w:val="single" w:sz="4" w:space="0" w:color="000000"/>
              <w:left w:val="single" w:sz="4" w:space="0" w:color="000000"/>
              <w:right w:val="single" w:sz="4" w:space="0" w:color="000000"/>
            </w:tcBorders>
          </w:tcPr>
          <w:p>
            <w:pPr>
              <w:pStyle w:val="TableParagraph"/>
              <w:rPr>
                <w:sz w:val="16"/>
              </w:rPr>
            </w:pPr>
          </w:p>
        </w:tc>
        <w:tc>
          <w:tcPr>
            <w:tcW w:w="1465" w:type="dxa"/>
            <w:tcBorders>
              <w:top w:val="single" w:sz="4" w:space="0" w:color="000000"/>
              <w:left w:val="single" w:sz="4" w:space="0" w:color="000000"/>
              <w:right w:val="single" w:sz="4" w:space="0" w:color="000000"/>
            </w:tcBorders>
          </w:tcPr>
          <w:p>
            <w:pPr>
              <w:pStyle w:val="TableParagraph"/>
              <w:rPr>
                <w:sz w:val="16"/>
              </w:rPr>
            </w:pPr>
          </w:p>
        </w:tc>
        <w:tc>
          <w:tcPr>
            <w:tcW w:w="1612" w:type="dxa"/>
            <w:tcBorders>
              <w:top w:val="single" w:sz="4" w:space="0" w:color="000000"/>
              <w:left w:val="single" w:sz="4" w:space="0" w:color="000000"/>
              <w:right w:val="single" w:sz="4" w:space="0" w:color="000000"/>
            </w:tcBorders>
          </w:tcPr>
          <w:p>
            <w:pPr>
              <w:pStyle w:val="TableParagraph"/>
              <w:spacing w:before="92"/>
              <w:ind w:right="88"/>
              <w:jc w:val="right"/>
              <w:rPr>
                <w:sz w:val="15"/>
              </w:rPr>
            </w:pPr>
            <w:r>
              <w:rPr>
                <w:sz w:val="15"/>
              </w:rPr>
              <w:t>1,491,024.72</w:t>
            </w:r>
          </w:p>
        </w:tc>
        <w:tc>
          <w:tcPr>
            <w:tcW w:w="1319" w:type="dxa"/>
            <w:tcBorders>
              <w:top w:val="single" w:sz="4" w:space="0" w:color="000000"/>
              <w:left w:val="single" w:sz="4" w:space="0" w:color="000000"/>
            </w:tcBorders>
          </w:tcPr>
          <w:p>
            <w:pPr>
              <w:pStyle w:val="TableParagraph"/>
              <w:rPr>
                <w:sz w:val="16"/>
              </w:rPr>
            </w:pPr>
          </w:p>
        </w:tc>
      </w:tr>
    </w:tbl>
    <w:p>
      <w:pPr>
        <w:spacing w:after="0"/>
        <w:rPr>
          <w:sz w:val="16"/>
        </w:rPr>
        <w:sectPr>
          <w:pgSz w:w="11910" w:h="16840"/>
          <w:pgMar w:header="876" w:footer="1214" w:top="1440" w:bottom="1400" w:left="260" w:right="0"/>
        </w:sectPr>
      </w:pPr>
    </w:p>
    <w:p>
      <w:pPr>
        <w:pStyle w:val="BodyText"/>
        <w:spacing w:before="2"/>
        <w:rPr>
          <w:sz w:val="5"/>
        </w:rPr>
      </w:pPr>
    </w:p>
    <w:tbl>
      <w:tblPr>
        <w:tblW w:w="0" w:type="auto"/>
        <w:jc w:val="left"/>
        <w:tblInd w:w="15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404"/>
        <w:gridCol w:w="989"/>
        <w:gridCol w:w="1465"/>
        <w:gridCol w:w="1612"/>
        <w:gridCol w:w="1319"/>
      </w:tblGrid>
      <w:tr>
        <w:trPr>
          <w:trHeight w:val="371" w:hRule="atLeast"/>
        </w:trPr>
        <w:tc>
          <w:tcPr>
            <w:tcW w:w="3404" w:type="dxa"/>
            <w:tcBorders>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青岛新奥海智能源有限公司</w:t>
            </w:r>
          </w:p>
        </w:tc>
        <w:tc>
          <w:tcPr>
            <w:tcW w:w="989" w:type="dxa"/>
            <w:tcBorders>
              <w:left w:val="single" w:sz="4" w:space="0" w:color="000000"/>
              <w:bottom w:val="single" w:sz="4" w:space="0" w:color="000000"/>
              <w:right w:val="single" w:sz="4" w:space="0" w:color="000000"/>
            </w:tcBorders>
          </w:tcPr>
          <w:p>
            <w:pPr>
              <w:pStyle w:val="TableParagraph"/>
              <w:rPr>
                <w:sz w:val="16"/>
              </w:rPr>
            </w:pPr>
          </w:p>
        </w:tc>
        <w:tc>
          <w:tcPr>
            <w:tcW w:w="1465" w:type="dxa"/>
            <w:tcBorders>
              <w:left w:val="single" w:sz="4" w:space="0" w:color="000000"/>
              <w:bottom w:val="single" w:sz="4" w:space="0" w:color="000000"/>
              <w:right w:val="single" w:sz="4" w:space="0" w:color="000000"/>
            </w:tcBorders>
          </w:tcPr>
          <w:p>
            <w:pPr>
              <w:pStyle w:val="TableParagraph"/>
              <w:spacing w:before="95"/>
              <w:ind w:right="87"/>
              <w:jc w:val="right"/>
              <w:rPr>
                <w:sz w:val="15"/>
              </w:rPr>
            </w:pPr>
            <w:r>
              <w:rPr>
                <w:sz w:val="15"/>
              </w:rPr>
              <w:t>-25,966,044.95</w:t>
            </w:r>
          </w:p>
        </w:tc>
        <w:tc>
          <w:tcPr>
            <w:tcW w:w="1612" w:type="dxa"/>
            <w:tcBorders>
              <w:left w:val="single" w:sz="4" w:space="0" w:color="000000"/>
              <w:bottom w:val="single" w:sz="4" w:space="0" w:color="000000"/>
              <w:right w:val="single" w:sz="4" w:space="0" w:color="000000"/>
            </w:tcBorders>
          </w:tcPr>
          <w:p>
            <w:pPr>
              <w:pStyle w:val="TableParagraph"/>
              <w:rPr>
                <w:sz w:val="16"/>
              </w:rPr>
            </w:pPr>
          </w:p>
        </w:tc>
        <w:tc>
          <w:tcPr>
            <w:tcW w:w="1319" w:type="dxa"/>
            <w:tcBorders>
              <w:left w:val="single" w:sz="4" w:space="0" w:color="000000"/>
              <w:bottom w:val="single" w:sz="4" w:space="0" w:color="000000"/>
            </w:tcBorders>
          </w:tcPr>
          <w:p>
            <w:pPr>
              <w:pStyle w:val="TableParagraph"/>
              <w:rPr>
                <w:sz w:val="16"/>
              </w:rPr>
            </w:pPr>
          </w:p>
        </w:tc>
      </w:tr>
      <w:tr>
        <w:trPr>
          <w:trHeight w:val="369" w:hRule="atLeast"/>
        </w:trPr>
        <w:tc>
          <w:tcPr>
            <w:tcW w:w="340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青岛中再海纳环境服务有限公司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before="92"/>
              <w:ind w:right="87"/>
              <w:jc w:val="right"/>
              <w:rPr>
                <w:sz w:val="15"/>
              </w:rPr>
            </w:pPr>
            <w:r>
              <w:rPr>
                <w:sz w:val="15"/>
              </w:rPr>
              <w:t>-2,261,258.70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19" w:type="dxa"/>
            <w:tcBorders>
              <w:top w:val="single" w:sz="4" w:space="0" w:color="000000"/>
              <w:left w:val="single" w:sz="4" w:space="0" w:color="000000"/>
              <w:bottom w:val="single" w:sz="4" w:space="0" w:color="000000"/>
            </w:tcBorders>
          </w:tcPr>
          <w:p>
            <w:pPr>
              <w:pStyle w:val="TableParagraph"/>
              <w:rPr>
                <w:sz w:val="16"/>
              </w:rPr>
            </w:pPr>
          </w:p>
        </w:tc>
      </w:tr>
      <w:tr>
        <w:trPr>
          <w:trHeight w:val="366" w:hRule="atLeast"/>
        </w:trPr>
        <w:tc>
          <w:tcPr>
            <w:tcW w:w="340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山东海必达大数据有限公司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before="92"/>
              <w:ind w:right="87"/>
              <w:jc w:val="right"/>
              <w:rPr>
                <w:sz w:val="15"/>
              </w:rPr>
            </w:pPr>
            <w:r>
              <w:rPr>
                <w:sz w:val="15"/>
              </w:rPr>
              <w:t>-5,332,640.10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19"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04"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北京海狸先生网络科技有限公司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before="95"/>
              <w:ind w:right="88"/>
              <w:jc w:val="right"/>
              <w:rPr>
                <w:sz w:val="15"/>
              </w:rPr>
            </w:pPr>
            <w:r>
              <w:rPr>
                <w:sz w:val="15"/>
              </w:rPr>
              <w:t>7,507,759.75</w:t>
            </w:r>
          </w:p>
        </w:tc>
        <w:tc>
          <w:tcPr>
            <w:tcW w:w="1319" w:type="dxa"/>
            <w:tcBorders>
              <w:top w:val="single" w:sz="4" w:space="0" w:color="000000"/>
              <w:left w:val="single" w:sz="4" w:space="0" w:color="000000"/>
              <w:bottom w:val="single" w:sz="4" w:space="0" w:color="000000"/>
            </w:tcBorders>
          </w:tcPr>
          <w:p>
            <w:pPr>
              <w:pStyle w:val="TableParagraph"/>
              <w:spacing w:before="95"/>
              <w:ind w:right="81"/>
              <w:jc w:val="right"/>
              <w:rPr>
                <w:sz w:val="15"/>
              </w:rPr>
            </w:pPr>
            <w:r>
              <w:rPr>
                <w:sz w:val="15"/>
              </w:rPr>
              <w:t>7,507,759.75</w:t>
            </w:r>
          </w:p>
        </w:tc>
      </w:tr>
      <w:tr>
        <w:trPr>
          <w:trHeight w:val="369" w:hRule="atLeast"/>
        </w:trPr>
        <w:tc>
          <w:tcPr>
            <w:tcW w:w="3404"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北京小焙科技有限公司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before="95"/>
              <w:ind w:right="88"/>
              <w:jc w:val="right"/>
              <w:rPr>
                <w:sz w:val="15"/>
              </w:rPr>
            </w:pPr>
            <w:r>
              <w:rPr>
                <w:sz w:val="15"/>
              </w:rPr>
              <w:t>2,687,341.82</w:t>
            </w:r>
          </w:p>
        </w:tc>
        <w:tc>
          <w:tcPr>
            <w:tcW w:w="1319" w:type="dxa"/>
            <w:tcBorders>
              <w:top w:val="single" w:sz="4" w:space="0" w:color="000000"/>
              <w:left w:val="single" w:sz="4" w:space="0" w:color="000000"/>
              <w:bottom w:val="single" w:sz="4" w:space="0" w:color="000000"/>
            </w:tcBorders>
          </w:tcPr>
          <w:p>
            <w:pPr>
              <w:pStyle w:val="TableParagraph"/>
              <w:spacing w:before="95"/>
              <w:ind w:right="81"/>
              <w:jc w:val="right"/>
              <w:rPr>
                <w:sz w:val="15"/>
              </w:rPr>
            </w:pPr>
            <w:r>
              <w:rPr>
                <w:sz w:val="15"/>
              </w:rPr>
              <w:t>2,687,341.82</w:t>
            </w:r>
          </w:p>
        </w:tc>
      </w:tr>
      <w:tr>
        <w:trPr>
          <w:trHeight w:val="369" w:hRule="atLeast"/>
        </w:trPr>
        <w:tc>
          <w:tcPr>
            <w:tcW w:w="3404"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北京一数科技有限公司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before="92"/>
              <w:ind w:right="88"/>
              <w:jc w:val="right"/>
              <w:rPr>
                <w:sz w:val="15"/>
              </w:rPr>
            </w:pPr>
            <w:r>
              <w:rPr>
                <w:sz w:val="15"/>
              </w:rPr>
              <w:t>32,365,969.45</w:t>
            </w:r>
          </w:p>
        </w:tc>
        <w:tc>
          <w:tcPr>
            <w:tcW w:w="1319"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04"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深圳根元环保科技有限公司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before="92"/>
              <w:ind w:right="88"/>
              <w:jc w:val="right"/>
              <w:rPr>
                <w:sz w:val="15"/>
              </w:rPr>
            </w:pPr>
            <w:r>
              <w:rPr>
                <w:sz w:val="15"/>
              </w:rPr>
              <w:t>6,914,487.73</w:t>
            </w:r>
          </w:p>
        </w:tc>
        <w:tc>
          <w:tcPr>
            <w:tcW w:w="1319" w:type="dxa"/>
            <w:tcBorders>
              <w:top w:val="single" w:sz="4" w:space="0" w:color="000000"/>
              <w:left w:val="single" w:sz="4" w:space="0" w:color="000000"/>
              <w:bottom w:val="single" w:sz="4" w:space="0" w:color="000000"/>
            </w:tcBorders>
          </w:tcPr>
          <w:p>
            <w:pPr>
              <w:pStyle w:val="TableParagraph"/>
              <w:spacing w:before="92"/>
              <w:ind w:right="81"/>
              <w:jc w:val="right"/>
              <w:rPr>
                <w:sz w:val="15"/>
              </w:rPr>
            </w:pPr>
            <w:r>
              <w:rPr>
                <w:sz w:val="15"/>
              </w:rPr>
              <w:t>6,914,487.73</w:t>
            </w:r>
          </w:p>
        </w:tc>
      </w:tr>
      <w:tr>
        <w:trPr>
          <w:trHeight w:val="369" w:hRule="atLeast"/>
        </w:trPr>
        <w:tc>
          <w:tcPr>
            <w:tcW w:w="3404"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青岛海慕投资管理有限公司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before="92"/>
              <w:ind w:right="88"/>
              <w:jc w:val="right"/>
              <w:rPr>
                <w:sz w:val="15"/>
              </w:rPr>
            </w:pPr>
            <w:r>
              <w:rPr>
                <w:sz w:val="15"/>
              </w:rPr>
              <w:t>2,349,240.51</w:t>
            </w:r>
          </w:p>
        </w:tc>
        <w:tc>
          <w:tcPr>
            <w:tcW w:w="1319"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04" w:type="dxa"/>
            <w:tcBorders>
              <w:top w:val="single" w:sz="4" w:space="0" w:color="000000"/>
              <w:bottom w:val="single" w:sz="4" w:space="0" w:color="000000"/>
              <w:right w:val="single" w:sz="4" w:space="0" w:color="000000"/>
            </w:tcBorders>
          </w:tcPr>
          <w:p>
            <w:pPr>
              <w:pStyle w:val="TableParagraph"/>
              <w:spacing w:before="67"/>
              <w:ind w:left="107"/>
              <w:rPr>
                <w:sz w:val="18"/>
              </w:rPr>
            </w:pPr>
            <w:r>
              <w:rPr>
                <w:rFonts w:ascii="宋体" w:eastAsia="宋体" w:hint="eastAsia"/>
                <w:sz w:val="18"/>
              </w:rPr>
              <w:t>青岛海慕智家投资合伙企业</w:t>
            </w:r>
            <w:r>
              <w:rPr>
                <w:sz w:val="18"/>
              </w:rPr>
              <w:t>(</w:t>
            </w:r>
            <w:r>
              <w:rPr>
                <w:rFonts w:ascii="宋体" w:eastAsia="宋体" w:hint="eastAsia"/>
                <w:sz w:val="18"/>
              </w:rPr>
              <w:t>有限合伙</w:t>
            </w:r>
            <w:r>
              <w:rPr>
                <w:sz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before="92"/>
              <w:ind w:right="88"/>
              <w:jc w:val="right"/>
              <w:rPr>
                <w:sz w:val="15"/>
              </w:rPr>
            </w:pPr>
            <w:r>
              <w:rPr>
                <w:sz w:val="15"/>
              </w:rPr>
              <w:t>47,870,696.66</w:t>
            </w:r>
          </w:p>
        </w:tc>
        <w:tc>
          <w:tcPr>
            <w:tcW w:w="1319"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0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广州合赢投资合伙企业（有限合伙）</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before="92"/>
              <w:ind w:right="88"/>
              <w:jc w:val="right"/>
              <w:rPr>
                <w:sz w:val="15"/>
              </w:rPr>
            </w:pPr>
            <w:r>
              <w:rPr>
                <w:sz w:val="15"/>
              </w:rPr>
              <w:t>288,209,197.58</w:t>
            </w:r>
          </w:p>
        </w:tc>
        <w:tc>
          <w:tcPr>
            <w:tcW w:w="1319"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0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青岛家哇云网络科技有限公司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before="93"/>
              <w:ind w:right="88"/>
              <w:jc w:val="right"/>
              <w:rPr>
                <w:sz w:val="15"/>
              </w:rPr>
            </w:pPr>
            <w:r>
              <w:rPr>
                <w:sz w:val="15"/>
              </w:rPr>
              <w:t>2,629,009.63</w:t>
            </w:r>
          </w:p>
        </w:tc>
        <w:tc>
          <w:tcPr>
            <w:tcW w:w="1319"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0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青岛日日顺服务有限公司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before="92"/>
              <w:ind w:right="88"/>
              <w:jc w:val="right"/>
              <w:rPr>
                <w:sz w:val="15"/>
              </w:rPr>
            </w:pPr>
            <w:r>
              <w:rPr>
                <w:sz w:val="15"/>
              </w:rPr>
              <w:t>33,010,000.00</w:t>
            </w:r>
          </w:p>
        </w:tc>
        <w:tc>
          <w:tcPr>
            <w:tcW w:w="1319"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0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冰戟（上海）企业管理有限公司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before="92"/>
              <w:ind w:right="88"/>
              <w:jc w:val="right"/>
              <w:rPr>
                <w:sz w:val="15"/>
              </w:rPr>
            </w:pPr>
            <w:r>
              <w:rPr>
                <w:sz w:val="15"/>
              </w:rPr>
              <w:t>928,444,178.47</w:t>
            </w:r>
          </w:p>
        </w:tc>
        <w:tc>
          <w:tcPr>
            <w:tcW w:w="1319"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0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优瑾（上海）企业管理有限公司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before="92"/>
              <w:ind w:right="89"/>
              <w:jc w:val="right"/>
              <w:rPr>
                <w:sz w:val="15"/>
              </w:rPr>
            </w:pPr>
            <w:r>
              <w:rPr>
                <w:sz w:val="15"/>
              </w:rPr>
              <w:t>1,687,262,142.67</w:t>
            </w:r>
          </w:p>
        </w:tc>
        <w:tc>
          <w:tcPr>
            <w:tcW w:w="1319" w:type="dxa"/>
            <w:tcBorders>
              <w:top w:val="single" w:sz="4" w:space="0" w:color="000000"/>
              <w:left w:val="single" w:sz="4" w:space="0" w:color="000000"/>
              <w:bottom w:val="single" w:sz="4" w:space="0" w:color="000000"/>
            </w:tcBorders>
          </w:tcPr>
          <w:p>
            <w:pPr>
              <w:pStyle w:val="TableParagraph"/>
              <w:rPr>
                <w:sz w:val="16"/>
              </w:rPr>
            </w:pPr>
          </w:p>
        </w:tc>
      </w:tr>
      <w:tr>
        <w:trPr>
          <w:trHeight w:val="366" w:hRule="atLeast"/>
        </w:trPr>
        <w:tc>
          <w:tcPr>
            <w:tcW w:w="340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日日顺（上海）投资有限公司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before="92"/>
              <w:ind w:right="89"/>
              <w:jc w:val="right"/>
              <w:rPr>
                <w:sz w:val="15"/>
              </w:rPr>
            </w:pPr>
            <w:r>
              <w:rPr>
                <w:sz w:val="15"/>
              </w:rPr>
              <w:t>3,066,931,168.49</w:t>
            </w:r>
          </w:p>
        </w:tc>
        <w:tc>
          <w:tcPr>
            <w:tcW w:w="1319"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04"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倍世海尔饮水科技有限公司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before="95"/>
              <w:ind w:right="88"/>
              <w:jc w:val="right"/>
              <w:rPr>
                <w:sz w:val="15"/>
              </w:rPr>
            </w:pPr>
            <w:r>
              <w:rPr>
                <w:sz w:val="15"/>
              </w:rPr>
              <w:t>33,455,159.59</w:t>
            </w:r>
          </w:p>
        </w:tc>
        <w:tc>
          <w:tcPr>
            <w:tcW w:w="1319" w:type="dxa"/>
            <w:tcBorders>
              <w:top w:val="single" w:sz="4" w:space="0" w:color="000000"/>
              <w:left w:val="single" w:sz="4" w:space="0" w:color="000000"/>
              <w:bottom w:val="single" w:sz="4" w:space="0" w:color="000000"/>
            </w:tcBorders>
          </w:tcPr>
          <w:p>
            <w:pPr>
              <w:pStyle w:val="TableParagraph"/>
              <w:rPr>
                <w:sz w:val="16"/>
              </w:rPr>
            </w:pPr>
          </w:p>
        </w:tc>
      </w:tr>
      <w:tr>
        <w:trPr>
          <w:trHeight w:val="467" w:hRule="atLeast"/>
        </w:trPr>
        <w:tc>
          <w:tcPr>
            <w:tcW w:w="3404" w:type="dxa"/>
            <w:tcBorders>
              <w:top w:val="single" w:sz="4" w:space="0" w:color="000000"/>
              <w:bottom w:val="single" w:sz="4" w:space="0" w:color="000000"/>
              <w:right w:val="single" w:sz="4" w:space="0" w:color="000000"/>
            </w:tcBorders>
          </w:tcPr>
          <w:p>
            <w:pPr>
              <w:pStyle w:val="TableParagraph"/>
              <w:spacing w:before="2"/>
              <w:ind w:left="107"/>
              <w:rPr>
                <w:rFonts w:ascii="宋体" w:eastAsia="宋体" w:hint="eastAsia"/>
                <w:sz w:val="18"/>
              </w:rPr>
            </w:pPr>
            <w:r>
              <w:rPr>
                <w:rFonts w:ascii="宋体" w:eastAsia="宋体" w:hint="eastAsia"/>
                <w:sz w:val="18"/>
              </w:rPr>
              <w:t>汇智翔顺股权投资基金（青岛）合伙企业</w:t>
            </w:r>
          </w:p>
          <w:p>
            <w:pPr>
              <w:pStyle w:val="TableParagraph"/>
              <w:spacing w:line="213" w:lineRule="exact" w:before="2"/>
              <w:ind w:left="107"/>
              <w:rPr>
                <w:rFonts w:ascii="宋体" w:eastAsia="宋体" w:hint="eastAsia"/>
                <w:sz w:val="18"/>
              </w:rPr>
            </w:pPr>
            <w:r>
              <w:rPr>
                <w:rFonts w:ascii="宋体" w:eastAsia="宋体" w:hint="eastAsia"/>
                <w:sz w:val="18"/>
              </w:rPr>
              <w:t>（有限合伙）</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before="143"/>
              <w:ind w:right="88"/>
              <w:jc w:val="right"/>
              <w:rPr>
                <w:sz w:val="15"/>
              </w:rPr>
            </w:pPr>
            <w:r>
              <w:rPr>
                <w:sz w:val="15"/>
              </w:rPr>
              <w:t>120,000,000.00</w:t>
            </w:r>
          </w:p>
        </w:tc>
        <w:tc>
          <w:tcPr>
            <w:tcW w:w="1319"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04"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青岛日日顺汇智投资有限责任公司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before="92"/>
              <w:ind w:right="88"/>
              <w:jc w:val="right"/>
              <w:rPr>
                <w:sz w:val="15"/>
              </w:rPr>
            </w:pPr>
            <w:r>
              <w:rPr>
                <w:sz w:val="15"/>
              </w:rPr>
              <w:t>2,100,000.00</w:t>
            </w:r>
          </w:p>
        </w:tc>
        <w:tc>
          <w:tcPr>
            <w:tcW w:w="1319"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0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美菱卡迪洗衣机有限公司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before="92"/>
              <w:ind w:right="88"/>
              <w:jc w:val="right"/>
              <w:rPr>
                <w:sz w:val="15"/>
              </w:rPr>
            </w:pPr>
            <w:r>
              <w:rPr>
                <w:sz w:val="15"/>
              </w:rPr>
              <w:t>22,558,307.10</w:t>
            </w:r>
          </w:p>
        </w:tc>
        <w:tc>
          <w:tcPr>
            <w:tcW w:w="1319"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0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青岛海尔模具有限公司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before="93"/>
              <w:ind w:right="88"/>
              <w:jc w:val="right"/>
              <w:rPr>
                <w:sz w:val="15"/>
              </w:rPr>
            </w:pPr>
            <w:r>
              <w:rPr>
                <w:sz w:val="15"/>
              </w:rPr>
              <w:t>259,696,084.44</w:t>
            </w:r>
          </w:p>
        </w:tc>
        <w:tc>
          <w:tcPr>
            <w:tcW w:w="1319"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0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湖南电机株式会社</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before="92"/>
              <w:ind w:right="88"/>
              <w:jc w:val="right"/>
              <w:rPr>
                <w:sz w:val="15"/>
              </w:rPr>
            </w:pPr>
            <w:r>
              <w:rPr>
                <w:sz w:val="15"/>
              </w:rPr>
              <w:t>77,561,552.87</w:t>
            </w:r>
          </w:p>
        </w:tc>
        <w:tc>
          <w:tcPr>
            <w:tcW w:w="1319"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0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sz w:val="18"/>
              </w:rPr>
              <w:t>HNR </w:t>
            </w:r>
            <w:r>
              <w:rPr>
                <w:rFonts w:ascii="宋体" w:eastAsia="宋体" w:hint="eastAsia"/>
                <w:sz w:val="18"/>
              </w:rPr>
              <w:t>私营有限公司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before="92"/>
              <w:ind w:right="88"/>
              <w:jc w:val="right"/>
              <w:rPr>
                <w:sz w:val="15"/>
              </w:rPr>
            </w:pPr>
            <w:r>
              <w:rPr>
                <w:sz w:val="15"/>
              </w:rPr>
              <w:t>92,141,887.27</w:t>
            </w:r>
          </w:p>
        </w:tc>
        <w:tc>
          <w:tcPr>
            <w:tcW w:w="1319"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0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sz w:val="18"/>
              </w:rPr>
              <w:t>HPZ </w:t>
            </w:r>
            <w:r>
              <w:rPr>
                <w:rFonts w:ascii="宋体" w:eastAsia="宋体" w:hint="eastAsia"/>
                <w:sz w:val="18"/>
              </w:rPr>
              <w:t>有限公司</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before="92"/>
              <w:ind w:right="88"/>
              <w:jc w:val="right"/>
              <w:rPr>
                <w:sz w:val="15"/>
              </w:rPr>
            </w:pPr>
            <w:r>
              <w:rPr>
                <w:sz w:val="15"/>
              </w:rPr>
              <w:t>66,827,745.66</w:t>
            </w:r>
          </w:p>
        </w:tc>
        <w:tc>
          <w:tcPr>
            <w:tcW w:w="1319"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04" w:type="dxa"/>
            <w:tcBorders>
              <w:top w:val="single" w:sz="4" w:space="0" w:color="000000"/>
              <w:bottom w:val="single" w:sz="4" w:space="0" w:color="000000"/>
              <w:right w:val="single" w:sz="4" w:space="0" w:color="000000"/>
            </w:tcBorders>
          </w:tcPr>
          <w:p>
            <w:pPr>
              <w:pStyle w:val="TableParagraph"/>
              <w:spacing w:before="76"/>
              <w:ind w:left="107"/>
              <w:rPr>
                <w:sz w:val="18"/>
              </w:rPr>
            </w:pPr>
            <w:r>
              <w:rPr>
                <w:sz w:val="18"/>
              </w:rPr>
              <w:t>Haier Raya Electric S.A.E</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before="92"/>
              <w:ind w:right="88"/>
              <w:jc w:val="right"/>
              <w:rPr>
                <w:sz w:val="15"/>
              </w:rPr>
            </w:pPr>
            <w:r>
              <w:rPr>
                <w:sz w:val="15"/>
              </w:rPr>
              <w:t>10,741,234.10</w:t>
            </w:r>
          </w:p>
        </w:tc>
        <w:tc>
          <w:tcPr>
            <w:tcW w:w="1319" w:type="dxa"/>
            <w:tcBorders>
              <w:top w:val="single" w:sz="4" w:space="0" w:color="000000"/>
              <w:left w:val="single" w:sz="4" w:space="0" w:color="000000"/>
              <w:bottom w:val="single" w:sz="4" w:space="0" w:color="000000"/>
            </w:tcBorders>
          </w:tcPr>
          <w:p>
            <w:pPr>
              <w:pStyle w:val="TableParagraph"/>
              <w:rPr>
                <w:sz w:val="16"/>
              </w:rPr>
            </w:pPr>
          </w:p>
        </w:tc>
      </w:tr>
      <w:tr>
        <w:trPr>
          <w:trHeight w:val="366" w:hRule="atLeast"/>
        </w:trPr>
        <w:tc>
          <w:tcPr>
            <w:tcW w:w="3404" w:type="dxa"/>
            <w:tcBorders>
              <w:top w:val="single" w:sz="4" w:space="0" w:color="000000"/>
              <w:bottom w:val="single" w:sz="4" w:space="0" w:color="000000"/>
              <w:right w:val="single" w:sz="4" w:space="0" w:color="000000"/>
            </w:tcBorders>
          </w:tcPr>
          <w:p>
            <w:pPr>
              <w:pStyle w:val="TableParagraph"/>
              <w:spacing w:before="74"/>
              <w:ind w:left="107"/>
              <w:rPr>
                <w:sz w:val="18"/>
              </w:rPr>
            </w:pPr>
            <w:r>
              <w:rPr>
                <w:sz w:val="18"/>
              </w:rPr>
              <w:t>CONTROLADORAMABES.A.deC.V.</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before="92"/>
              <w:ind w:right="89"/>
              <w:jc w:val="right"/>
              <w:rPr>
                <w:sz w:val="15"/>
              </w:rPr>
            </w:pPr>
            <w:r>
              <w:rPr>
                <w:sz w:val="15"/>
              </w:rPr>
              <w:t>3,667,310,241.31</w:t>
            </w:r>
          </w:p>
        </w:tc>
        <w:tc>
          <w:tcPr>
            <w:tcW w:w="1319" w:type="dxa"/>
            <w:tcBorders>
              <w:top w:val="single" w:sz="4" w:space="0" w:color="000000"/>
              <w:left w:val="single" w:sz="4" w:space="0" w:color="000000"/>
              <w:bottom w:val="single" w:sz="4" w:space="0" w:color="000000"/>
            </w:tcBorders>
          </w:tcPr>
          <w:p>
            <w:pPr>
              <w:pStyle w:val="TableParagraph"/>
              <w:rPr>
                <w:sz w:val="16"/>
              </w:rPr>
            </w:pPr>
          </w:p>
        </w:tc>
      </w:tr>
      <w:tr>
        <w:trPr>
          <w:trHeight w:val="414" w:hRule="atLeast"/>
        </w:trPr>
        <w:tc>
          <w:tcPr>
            <w:tcW w:w="3404" w:type="dxa"/>
            <w:tcBorders>
              <w:top w:val="single" w:sz="4" w:space="0" w:color="000000"/>
              <w:bottom w:val="single" w:sz="4" w:space="0" w:color="000000"/>
              <w:right w:val="single" w:sz="4" w:space="0" w:color="000000"/>
            </w:tcBorders>
          </w:tcPr>
          <w:p>
            <w:pPr>
              <w:pStyle w:val="TableParagraph"/>
              <w:spacing w:line="206" w:lineRule="exact"/>
              <w:ind w:left="107" w:right="2"/>
              <w:rPr>
                <w:sz w:val="18"/>
              </w:rPr>
            </w:pPr>
            <w:r>
              <w:rPr>
                <w:sz w:val="18"/>
              </w:rPr>
              <w:t>MiddleEastAirconditioningCompany,Limit ed</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before="116"/>
              <w:ind w:right="88"/>
              <w:jc w:val="right"/>
              <w:rPr>
                <w:sz w:val="15"/>
              </w:rPr>
            </w:pPr>
            <w:r>
              <w:rPr>
                <w:sz w:val="15"/>
              </w:rPr>
              <w:t>19,002,595.66</w:t>
            </w:r>
          </w:p>
        </w:tc>
        <w:tc>
          <w:tcPr>
            <w:tcW w:w="1319" w:type="dxa"/>
            <w:tcBorders>
              <w:top w:val="single" w:sz="4" w:space="0" w:color="000000"/>
              <w:left w:val="single" w:sz="4" w:space="0" w:color="000000"/>
              <w:bottom w:val="single" w:sz="4" w:space="0" w:color="000000"/>
            </w:tcBorders>
          </w:tcPr>
          <w:p>
            <w:pPr>
              <w:pStyle w:val="TableParagraph"/>
              <w:rPr>
                <w:sz w:val="16"/>
              </w:rPr>
            </w:pPr>
          </w:p>
        </w:tc>
      </w:tr>
      <w:tr>
        <w:trPr>
          <w:trHeight w:val="368" w:hRule="atLeast"/>
        </w:trPr>
        <w:tc>
          <w:tcPr>
            <w:tcW w:w="3404" w:type="dxa"/>
            <w:tcBorders>
              <w:top w:val="single" w:sz="4" w:space="0" w:color="000000"/>
              <w:right w:val="single" w:sz="4" w:space="0" w:color="000000"/>
            </w:tcBorders>
          </w:tcPr>
          <w:p>
            <w:pPr>
              <w:pStyle w:val="TableParagraph"/>
              <w:spacing w:before="67"/>
              <w:ind w:left="1230" w:right="1213"/>
              <w:jc w:val="center"/>
              <w:rPr>
                <w:rFonts w:ascii="宋体" w:eastAsia="宋体" w:hint="eastAsia"/>
                <w:sz w:val="18"/>
              </w:rPr>
            </w:pPr>
            <w:r>
              <w:rPr>
                <w:rFonts w:ascii="宋体" w:eastAsia="宋体" w:hint="eastAsia"/>
                <w:sz w:val="18"/>
              </w:rPr>
              <w:t>合计</w:t>
            </w:r>
          </w:p>
        </w:tc>
        <w:tc>
          <w:tcPr>
            <w:tcW w:w="989" w:type="dxa"/>
            <w:tcBorders>
              <w:top w:val="single" w:sz="4" w:space="0" w:color="000000"/>
              <w:left w:val="single" w:sz="4" w:space="0" w:color="000000"/>
              <w:right w:val="single" w:sz="4" w:space="0" w:color="000000"/>
            </w:tcBorders>
          </w:tcPr>
          <w:p>
            <w:pPr>
              <w:pStyle w:val="TableParagraph"/>
              <w:rPr>
                <w:sz w:val="16"/>
              </w:rPr>
            </w:pPr>
          </w:p>
        </w:tc>
        <w:tc>
          <w:tcPr>
            <w:tcW w:w="1465" w:type="dxa"/>
            <w:tcBorders>
              <w:top w:val="single" w:sz="4" w:space="0" w:color="000000"/>
              <w:left w:val="single" w:sz="4" w:space="0" w:color="000000"/>
              <w:right w:val="single" w:sz="4" w:space="0" w:color="000000"/>
            </w:tcBorders>
          </w:tcPr>
          <w:p>
            <w:pPr>
              <w:pStyle w:val="TableParagraph"/>
              <w:spacing w:before="92"/>
              <w:ind w:right="87"/>
              <w:jc w:val="right"/>
              <w:rPr>
                <w:sz w:val="15"/>
              </w:rPr>
            </w:pPr>
            <w:r>
              <w:rPr>
                <w:sz w:val="15"/>
              </w:rPr>
              <w:t>-206,757,437.90</w:t>
            </w:r>
          </w:p>
        </w:tc>
        <w:tc>
          <w:tcPr>
            <w:tcW w:w="1612" w:type="dxa"/>
            <w:tcBorders>
              <w:top w:val="single" w:sz="4" w:space="0" w:color="000000"/>
              <w:left w:val="single" w:sz="4" w:space="0" w:color="000000"/>
              <w:right w:val="single" w:sz="4" w:space="0" w:color="000000"/>
            </w:tcBorders>
          </w:tcPr>
          <w:p>
            <w:pPr>
              <w:pStyle w:val="TableParagraph"/>
              <w:spacing w:before="92"/>
              <w:ind w:right="89"/>
              <w:jc w:val="right"/>
              <w:rPr>
                <w:sz w:val="15"/>
              </w:rPr>
            </w:pPr>
            <w:r>
              <w:rPr>
                <w:sz w:val="15"/>
              </w:rPr>
              <w:t>21,694,068,040.19</w:t>
            </w:r>
          </w:p>
        </w:tc>
        <w:tc>
          <w:tcPr>
            <w:tcW w:w="1319" w:type="dxa"/>
            <w:tcBorders>
              <w:top w:val="single" w:sz="4" w:space="0" w:color="000000"/>
              <w:left w:val="single" w:sz="4" w:space="0" w:color="000000"/>
            </w:tcBorders>
          </w:tcPr>
          <w:p>
            <w:pPr>
              <w:pStyle w:val="TableParagraph"/>
              <w:spacing w:before="92"/>
              <w:ind w:right="82"/>
              <w:jc w:val="right"/>
              <w:rPr>
                <w:sz w:val="15"/>
              </w:rPr>
            </w:pPr>
            <w:r>
              <w:rPr>
                <w:sz w:val="15"/>
              </w:rPr>
              <w:t>126,409,589.30</w:t>
            </w:r>
          </w:p>
        </w:tc>
      </w:tr>
    </w:tbl>
    <w:p>
      <w:pPr>
        <w:pStyle w:val="BodyText"/>
        <w:spacing w:before="8"/>
        <w:rPr>
          <w:sz w:val="17"/>
        </w:rPr>
      </w:pPr>
    </w:p>
    <w:p>
      <w:pPr>
        <w:pStyle w:val="Heading4"/>
        <w:spacing w:before="9"/>
      </w:pPr>
      <w:r>
        <w:rPr>
          <w:rFonts w:ascii="Times New Roman" w:eastAsia="Times New Roman"/>
        </w:rPr>
        <w:t>12</w:t>
      </w:r>
      <w:r>
        <w:rPr/>
        <w:t>、 其他权益工具投资</w:t>
      </w:r>
    </w:p>
    <w:p>
      <w:pPr>
        <w:pStyle w:val="BodyText"/>
        <w:spacing w:before="17"/>
        <w:rPr>
          <w:rFonts w:ascii="Microsoft JhengHei"/>
          <w:b/>
          <w:sz w:val="11"/>
        </w:rPr>
      </w:pPr>
    </w:p>
    <w:p>
      <w:pPr>
        <w:pStyle w:val="ListParagraph"/>
        <w:numPr>
          <w:ilvl w:val="0"/>
          <w:numId w:val="58"/>
        </w:numPr>
        <w:tabs>
          <w:tab w:pos="2279" w:val="left" w:leader="none"/>
        </w:tabs>
        <w:spacing w:line="240" w:lineRule="auto" w:before="0" w:after="0"/>
        <w:ind w:left="2278" w:right="0" w:hanging="530"/>
        <w:jc w:val="left"/>
        <w:rPr>
          <w:sz w:val="21"/>
        </w:rPr>
      </w:pPr>
      <w:r>
        <w:rPr>
          <w:spacing w:val="-3"/>
          <w:sz w:val="21"/>
        </w:rPr>
        <w:t>其他权益工具投资期末明细：</w:t>
      </w:r>
    </w:p>
    <w:p>
      <w:pPr>
        <w:pStyle w:val="BodyText"/>
        <w:spacing w:before="6"/>
        <w:rPr>
          <w:sz w:val="11"/>
        </w:rPr>
      </w:pPr>
    </w:p>
    <w:tbl>
      <w:tblPr>
        <w:tblW w:w="0" w:type="auto"/>
        <w:jc w:val="left"/>
        <w:tblInd w:w="158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632"/>
        <w:gridCol w:w="2636"/>
        <w:gridCol w:w="2504"/>
      </w:tblGrid>
      <w:tr>
        <w:trPr>
          <w:trHeight w:val="368" w:hRule="atLeast"/>
        </w:trPr>
        <w:tc>
          <w:tcPr>
            <w:tcW w:w="3632" w:type="dxa"/>
            <w:tcBorders>
              <w:bottom w:val="single" w:sz="4" w:space="0" w:color="000000"/>
              <w:right w:val="single" w:sz="4" w:space="0" w:color="000000"/>
            </w:tcBorders>
          </w:tcPr>
          <w:p>
            <w:pPr>
              <w:pStyle w:val="TableParagraph"/>
              <w:spacing w:line="349" w:lineRule="exact"/>
              <w:ind w:left="1418" w:right="1398"/>
              <w:jc w:val="center"/>
              <w:rPr>
                <w:rFonts w:ascii="Microsoft JhengHei" w:eastAsia="Microsoft JhengHei" w:hint="eastAsia"/>
                <w:b/>
                <w:sz w:val="20"/>
              </w:rPr>
            </w:pPr>
            <w:r>
              <w:rPr>
                <w:rFonts w:ascii="Microsoft JhengHei" w:eastAsia="Microsoft JhengHei" w:hint="eastAsia"/>
                <w:b/>
                <w:sz w:val="20"/>
              </w:rPr>
              <w:t>项目</w:t>
            </w:r>
          </w:p>
        </w:tc>
        <w:tc>
          <w:tcPr>
            <w:tcW w:w="2636" w:type="dxa"/>
            <w:tcBorders>
              <w:left w:val="single" w:sz="4" w:space="0" w:color="000000"/>
              <w:bottom w:val="single" w:sz="4" w:space="0" w:color="000000"/>
              <w:right w:val="single" w:sz="4" w:space="0" w:color="000000"/>
            </w:tcBorders>
          </w:tcPr>
          <w:p>
            <w:pPr>
              <w:pStyle w:val="TableParagraph"/>
              <w:spacing w:line="349" w:lineRule="exact"/>
              <w:ind w:left="907" w:right="879"/>
              <w:jc w:val="center"/>
              <w:rPr>
                <w:rFonts w:ascii="Microsoft JhengHei" w:eastAsia="Microsoft JhengHei" w:hint="eastAsia"/>
                <w:b/>
                <w:sz w:val="20"/>
              </w:rPr>
            </w:pPr>
            <w:r>
              <w:rPr>
                <w:rFonts w:ascii="Microsoft JhengHei" w:eastAsia="Microsoft JhengHei" w:hint="eastAsia"/>
                <w:b/>
                <w:sz w:val="20"/>
              </w:rPr>
              <w:t>期末余额</w:t>
            </w:r>
          </w:p>
        </w:tc>
        <w:tc>
          <w:tcPr>
            <w:tcW w:w="2504" w:type="dxa"/>
            <w:tcBorders>
              <w:left w:val="single" w:sz="4" w:space="0" w:color="000000"/>
              <w:bottom w:val="single" w:sz="4" w:space="0" w:color="000000"/>
            </w:tcBorders>
          </w:tcPr>
          <w:p>
            <w:pPr>
              <w:pStyle w:val="TableParagraph"/>
              <w:spacing w:line="349" w:lineRule="exact"/>
              <w:ind w:left="858"/>
              <w:rPr>
                <w:rFonts w:ascii="Microsoft JhengHei" w:eastAsia="Microsoft JhengHei" w:hint="eastAsia"/>
                <w:b/>
                <w:sz w:val="20"/>
              </w:rPr>
            </w:pPr>
            <w:r>
              <w:rPr>
                <w:rFonts w:ascii="Microsoft JhengHei" w:eastAsia="Microsoft JhengHei" w:hint="eastAsia"/>
                <w:b/>
                <w:sz w:val="20"/>
              </w:rPr>
              <w:t>期初余额</w:t>
            </w:r>
          </w:p>
        </w:tc>
      </w:tr>
      <w:tr>
        <w:trPr>
          <w:trHeight w:val="369" w:hRule="atLeast"/>
        </w:trPr>
        <w:tc>
          <w:tcPr>
            <w:tcW w:w="3632" w:type="dxa"/>
            <w:tcBorders>
              <w:top w:val="single" w:sz="4" w:space="0" w:color="000000"/>
              <w:bottom w:val="single" w:sz="4" w:space="0" w:color="000000"/>
              <w:right w:val="single" w:sz="4" w:space="0" w:color="000000"/>
            </w:tcBorders>
          </w:tcPr>
          <w:p>
            <w:pPr>
              <w:pStyle w:val="TableParagraph"/>
              <w:spacing w:before="56"/>
              <w:ind w:left="107"/>
              <w:rPr>
                <w:rFonts w:ascii="宋体" w:eastAsia="宋体" w:hint="eastAsia"/>
                <w:sz w:val="20"/>
              </w:rPr>
            </w:pPr>
            <w:r>
              <w:rPr>
                <w:rFonts w:ascii="宋体" w:eastAsia="宋体" w:hint="eastAsia"/>
                <w:sz w:val="20"/>
              </w:rPr>
              <w:t>中国石化销售股份有限公司</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before="62"/>
              <w:ind w:right="88"/>
              <w:jc w:val="right"/>
              <w:rPr>
                <w:sz w:val="20"/>
              </w:rPr>
            </w:pPr>
            <w:r>
              <w:rPr>
                <w:sz w:val="20"/>
              </w:rPr>
              <w:t>1,117,637,000.00</w:t>
            </w:r>
          </w:p>
        </w:tc>
        <w:tc>
          <w:tcPr>
            <w:tcW w:w="2504" w:type="dxa"/>
            <w:tcBorders>
              <w:top w:val="single" w:sz="4" w:space="0" w:color="000000"/>
              <w:left w:val="single" w:sz="4" w:space="0" w:color="000000"/>
              <w:bottom w:val="single" w:sz="4" w:space="0" w:color="000000"/>
            </w:tcBorders>
          </w:tcPr>
          <w:p>
            <w:pPr>
              <w:pStyle w:val="TableParagraph"/>
              <w:spacing w:before="62"/>
              <w:ind w:right="78"/>
              <w:jc w:val="right"/>
              <w:rPr>
                <w:sz w:val="20"/>
              </w:rPr>
            </w:pPr>
            <w:r>
              <w:rPr>
                <w:sz w:val="20"/>
              </w:rPr>
              <w:t>1,242,930,000.00</w:t>
            </w:r>
          </w:p>
        </w:tc>
      </w:tr>
      <w:tr>
        <w:trPr>
          <w:trHeight w:val="369" w:hRule="atLeast"/>
        </w:trPr>
        <w:tc>
          <w:tcPr>
            <w:tcW w:w="3632" w:type="dxa"/>
            <w:tcBorders>
              <w:top w:val="single" w:sz="4" w:space="0" w:color="000000"/>
              <w:bottom w:val="single" w:sz="4" w:space="0" w:color="000000"/>
              <w:right w:val="single" w:sz="4" w:space="0" w:color="000000"/>
            </w:tcBorders>
          </w:tcPr>
          <w:p>
            <w:pPr>
              <w:pStyle w:val="TableParagraph"/>
              <w:spacing w:before="56"/>
              <w:ind w:left="107"/>
              <w:rPr>
                <w:rFonts w:ascii="宋体" w:eastAsia="宋体" w:hint="eastAsia"/>
                <w:sz w:val="20"/>
              </w:rPr>
            </w:pPr>
            <w:r>
              <w:rPr>
                <w:rFonts w:ascii="宋体" w:eastAsia="宋体" w:hint="eastAsia"/>
                <w:sz w:val="20"/>
              </w:rPr>
              <w:t>海尔卡奥斯物联生态科技有限公司</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before="62"/>
              <w:ind w:right="88"/>
              <w:jc w:val="right"/>
              <w:rPr>
                <w:sz w:val="20"/>
              </w:rPr>
            </w:pPr>
            <w:r>
              <w:rPr>
                <w:sz w:val="20"/>
              </w:rPr>
              <w:t>1,396,555,521.94</w:t>
            </w:r>
          </w:p>
        </w:tc>
        <w:tc>
          <w:tcPr>
            <w:tcW w:w="2504"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632" w:type="dxa"/>
            <w:tcBorders>
              <w:top w:val="single" w:sz="4" w:space="0" w:color="000000"/>
              <w:bottom w:val="single" w:sz="4" w:space="0" w:color="000000"/>
              <w:right w:val="single" w:sz="4" w:space="0" w:color="000000"/>
            </w:tcBorders>
          </w:tcPr>
          <w:p>
            <w:pPr>
              <w:pStyle w:val="TableParagraph"/>
              <w:spacing w:before="56"/>
              <w:ind w:left="107"/>
              <w:rPr>
                <w:rFonts w:ascii="宋体" w:eastAsia="宋体" w:hint="eastAsia"/>
                <w:sz w:val="20"/>
              </w:rPr>
            </w:pPr>
            <w:r>
              <w:rPr>
                <w:rFonts w:ascii="宋体" w:eastAsia="宋体" w:hint="eastAsia"/>
                <w:sz w:val="20"/>
              </w:rPr>
              <w:t>其他</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before="62"/>
              <w:ind w:right="88"/>
              <w:jc w:val="right"/>
              <w:rPr>
                <w:sz w:val="20"/>
              </w:rPr>
            </w:pPr>
            <w:r>
              <w:rPr>
                <w:w w:val="95"/>
                <w:sz w:val="20"/>
              </w:rPr>
              <w:t>144,932,743.60</w:t>
            </w:r>
          </w:p>
        </w:tc>
        <w:tc>
          <w:tcPr>
            <w:tcW w:w="2504" w:type="dxa"/>
            <w:tcBorders>
              <w:top w:val="single" w:sz="4" w:space="0" w:color="000000"/>
              <w:left w:val="single" w:sz="4" w:space="0" w:color="000000"/>
              <w:bottom w:val="single" w:sz="4" w:space="0" w:color="000000"/>
            </w:tcBorders>
          </w:tcPr>
          <w:p>
            <w:pPr>
              <w:pStyle w:val="TableParagraph"/>
              <w:spacing w:before="62"/>
              <w:ind w:right="78"/>
              <w:jc w:val="right"/>
              <w:rPr>
                <w:sz w:val="20"/>
              </w:rPr>
            </w:pPr>
            <w:r>
              <w:rPr>
                <w:w w:val="95"/>
                <w:sz w:val="20"/>
              </w:rPr>
              <w:t>153,029,878.92</w:t>
            </w:r>
          </w:p>
        </w:tc>
      </w:tr>
      <w:tr>
        <w:trPr>
          <w:trHeight w:val="337" w:hRule="atLeast"/>
        </w:trPr>
        <w:tc>
          <w:tcPr>
            <w:tcW w:w="3632" w:type="dxa"/>
            <w:tcBorders>
              <w:top w:val="single" w:sz="4" w:space="0" w:color="000000"/>
              <w:right w:val="single" w:sz="4" w:space="0" w:color="000000"/>
            </w:tcBorders>
          </w:tcPr>
          <w:p>
            <w:pPr>
              <w:pStyle w:val="TableParagraph"/>
              <w:spacing w:before="42"/>
              <w:ind w:left="1596" w:right="1221"/>
              <w:jc w:val="center"/>
              <w:rPr>
                <w:rFonts w:ascii="宋体" w:eastAsia="宋体" w:hint="eastAsia"/>
                <w:sz w:val="20"/>
              </w:rPr>
            </w:pPr>
            <w:r>
              <w:rPr>
                <w:rFonts w:ascii="宋体" w:eastAsia="宋体" w:hint="eastAsia"/>
                <w:sz w:val="20"/>
              </w:rPr>
              <w:t>合计</w:t>
            </w:r>
          </w:p>
        </w:tc>
        <w:tc>
          <w:tcPr>
            <w:tcW w:w="2636" w:type="dxa"/>
            <w:tcBorders>
              <w:top w:val="single" w:sz="4" w:space="0" w:color="000000"/>
              <w:left w:val="single" w:sz="4" w:space="0" w:color="000000"/>
              <w:right w:val="single" w:sz="4" w:space="0" w:color="000000"/>
            </w:tcBorders>
          </w:tcPr>
          <w:p>
            <w:pPr>
              <w:pStyle w:val="TableParagraph"/>
              <w:spacing w:before="48"/>
              <w:ind w:right="88"/>
              <w:jc w:val="right"/>
              <w:rPr>
                <w:sz w:val="20"/>
              </w:rPr>
            </w:pPr>
            <w:r>
              <w:rPr>
                <w:sz w:val="20"/>
              </w:rPr>
              <w:t>2,659,125,265.54</w:t>
            </w:r>
          </w:p>
        </w:tc>
        <w:tc>
          <w:tcPr>
            <w:tcW w:w="2504" w:type="dxa"/>
            <w:tcBorders>
              <w:top w:val="single" w:sz="4" w:space="0" w:color="000000"/>
              <w:left w:val="single" w:sz="4" w:space="0" w:color="000000"/>
            </w:tcBorders>
          </w:tcPr>
          <w:p>
            <w:pPr>
              <w:pStyle w:val="TableParagraph"/>
              <w:spacing w:before="48"/>
              <w:ind w:right="78"/>
              <w:jc w:val="right"/>
              <w:rPr>
                <w:sz w:val="20"/>
              </w:rPr>
            </w:pPr>
            <w:r>
              <w:rPr>
                <w:sz w:val="20"/>
              </w:rPr>
              <w:t>1,395,959,878.92</w:t>
            </w:r>
          </w:p>
        </w:tc>
      </w:tr>
    </w:tbl>
    <w:p>
      <w:pPr>
        <w:spacing w:after="0"/>
        <w:jc w:val="right"/>
        <w:rPr>
          <w:sz w:val="20"/>
        </w:rPr>
        <w:sectPr>
          <w:pgSz w:w="11910" w:h="16840"/>
          <w:pgMar w:header="876" w:footer="1214" w:top="1440" w:bottom="1400" w:left="260" w:right="0"/>
        </w:sectPr>
      </w:pPr>
    </w:p>
    <w:p>
      <w:pPr>
        <w:pStyle w:val="BodyText"/>
        <w:spacing w:before="10"/>
        <w:rPr>
          <w:sz w:val="10"/>
        </w:rPr>
      </w:pPr>
    </w:p>
    <w:p>
      <w:pPr>
        <w:pStyle w:val="ListParagraph"/>
        <w:numPr>
          <w:ilvl w:val="0"/>
          <w:numId w:val="58"/>
        </w:numPr>
        <w:tabs>
          <w:tab w:pos="2279" w:val="left" w:leader="none"/>
        </w:tabs>
        <w:spacing w:line="240" w:lineRule="auto" w:before="72" w:after="0"/>
        <w:ind w:left="2278" w:right="0" w:hanging="530"/>
        <w:jc w:val="left"/>
        <w:rPr>
          <w:sz w:val="21"/>
        </w:rPr>
      </w:pPr>
      <w:r>
        <w:rPr>
          <w:spacing w:val="-3"/>
          <w:sz w:val="21"/>
        </w:rPr>
        <w:t>本期其他权益工具投资分红：</w:t>
      </w:r>
    </w:p>
    <w:p>
      <w:pPr>
        <w:pStyle w:val="BodyText"/>
        <w:spacing w:before="8" w:after="1"/>
        <w:rPr>
          <w:sz w:val="11"/>
        </w:rPr>
      </w:pPr>
    </w:p>
    <w:tbl>
      <w:tblPr>
        <w:tblW w:w="0" w:type="auto"/>
        <w:jc w:val="left"/>
        <w:tblInd w:w="158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634"/>
        <w:gridCol w:w="5142"/>
      </w:tblGrid>
      <w:tr>
        <w:trPr>
          <w:trHeight w:val="368" w:hRule="atLeast"/>
        </w:trPr>
        <w:tc>
          <w:tcPr>
            <w:tcW w:w="3634" w:type="dxa"/>
            <w:tcBorders>
              <w:bottom w:val="single" w:sz="4" w:space="0" w:color="000000"/>
              <w:right w:val="single" w:sz="4" w:space="0" w:color="000000"/>
            </w:tcBorders>
          </w:tcPr>
          <w:p>
            <w:pPr>
              <w:pStyle w:val="TableParagraph"/>
              <w:spacing w:line="349" w:lineRule="exact"/>
              <w:ind w:left="1418" w:right="1400"/>
              <w:jc w:val="center"/>
              <w:rPr>
                <w:rFonts w:ascii="Microsoft JhengHei" w:eastAsia="Microsoft JhengHei" w:hint="eastAsia"/>
                <w:b/>
                <w:sz w:val="20"/>
              </w:rPr>
            </w:pPr>
            <w:r>
              <w:rPr>
                <w:rFonts w:ascii="Microsoft JhengHei" w:eastAsia="Microsoft JhengHei" w:hint="eastAsia"/>
                <w:b/>
                <w:sz w:val="20"/>
              </w:rPr>
              <w:t>项目</w:t>
            </w:r>
          </w:p>
        </w:tc>
        <w:tc>
          <w:tcPr>
            <w:tcW w:w="5142" w:type="dxa"/>
            <w:tcBorders>
              <w:left w:val="single" w:sz="4" w:space="0" w:color="000000"/>
              <w:bottom w:val="single" w:sz="4" w:space="0" w:color="000000"/>
            </w:tcBorders>
          </w:tcPr>
          <w:p>
            <w:pPr>
              <w:pStyle w:val="TableParagraph"/>
              <w:spacing w:line="349" w:lineRule="exact"/>
              <w:ind w:left="2160" w:right="2122"/>
              <w:jc w:val="center"/>
              <w:rPr>
                <w:rFonts w:ascii="Microsoft JhengHei" w:eastAsia="Microsoft JhengHei" w:hint="eastAsia"/>
                <w:b/>
                <w:sz w:val="20"/>
              </w:rPr>
            </w:pPr>
            <w:r>
              <w:rPr>
                <w:rFonts w:ascii="Microsoft JhengHei" w:eastAsia="Microsoft JhengHei" w:hint="eastAsia"/>
                <w:b/>
                <w:sz w:val="20"/>
              </w:rPr>
              <w:t>本期金额</w:t>
            </w:r>
          </w:p>
        </w:tc>
      </w:tr>
      <w:tr>
        <w:trPr>
          <w:trHeight w:val="369" w:hRule="atLeast"/>
        </w:trPr>
        <w:tc>
          <w:tcPr>
            <w:tcW w:w="3634" w:type="dxa"/>
            <w:tcBorders>
              <w:top w:val="single" w:sz="4" w:space="0" w:color="000000"/>
              <w:bottom w:val="single" w:sz="4" w:space="0" w:color="000000"/>
              <w:right w:val="single" w:sz="4" w:space="0" w:color="000000"/>
            </w:tcBorders>
          </w:tcPr>
          <w:p>
            <w:pPr>
              <w:pStyle w:val="TableParagraph"/>
              <w:spacing w:before="56"/>
              <w:ind w:left="107"/>
              <w:rPr>
                <w:rFonts w:ascii="宋体" w:eastAsia="宋体" w:hint="eastAsia"/>
                <w:sz w:val="20"/>
              </w:rPr>
            </w:pPr>
            <w:r>
              <w:rPr>
                <w:rFonts w:ascii="宋体" w:eastAsia="宋体" w:hint="eastAsia"/>
                <w:sz w:val="20"/>
              </w:rPr>
              <w:t>中国石化销售股份有限公司</w:t>
            </w:r>
          </w:p>
        </w:tc>
        <w:tc>
          <w:tcPr>
            <w:tcW w:w="5142" w:type="dxa"/>
            <w:tcBorders>
              <w:top w:val="single" w:sz="4" w:space="0" w:color="000000"/>
              <w:left w:val="single" w:sz="4" w:space="0" w:color="000000"/>
              <w:bottom w:val="single" w:sz="4" w:space="0" w:color="000000"/>
            </w:tcBorders>
          </w:tcPr>
          <w:p>
            <w:pPr>
              <w:pStyle w:val="TableParagraph"/>
              <w:spacing w:before="62"/>
              <w:ind w:right="77"/>
              <w:jc w:val="right"/>
              <w:rPr>
                <w:sz w:val="20"/>
              </w:rPr>
            </w:pPr>
            <w:r>
              <w:rPr>
                <w:w w:val="95"/>
                <w:sz w:val="20"/>
              </w:rPr>
              <w:t>19,752,940.62</w:t>
            </w:r>
          </w:p>
        </w:tc>
      </w:tr>
      <w:tr>
        <w:trPr>
          <w:trHeight w:val="369" w:hRule="atLeast"/>
        </w:trPr>
        <w:tc>
          <w:tcPr>
            <w:tcW w:w="3634" w:type="dxa"/>
            <w:tcBorders>
              <w:top w:val="single" w:sz="4" w:space="0" w:color="000000"/>
              <w:bottom w:val="single" w:sz="4" w:space="0" w:color="000000"/>
              <w:right w:val="single" w:sz="4" w:space="0" w:color="000000"/>
            </w:tcBorders>
          </w:tcPr>
          <w:p>
            <w:pPr>
              <w:pStyle w:val="TableParagraph"/>
              <w:spacing w:before="56"/>
              <w:ind w:left="107"/>
              <w:rPr>
                <w:rFonts w:ascii="宋体" w:eastAsia="宋体" w:hint="eastAsia"/>
                <w:sz w:val="20"/>
              </w:rPr>
            </w:pPr>
            <w:r>
              <w:rPr>
                <w:rFonts w:ascii="宋体" w:eastAsia="宋体" w:hint="eastAsia"/>
                <w:sz w:val="20"/>
              </w:rPr>
              <w:t>其他</w:t>
            </w:r>
          </w:p>
        </w:tc>
        <w:tc>
          <w:tcPr>
            <w:tcW w:w="5142" w:type="dxa"/>
            <w:tcBorders>
              <w:top w:val="single" w:sz="4" w:space="0" w:color="000000"/>
              <w:left w:val="single" w:sz="4" w:space="0" w:color="000000"/>
              <w:bottom w:val="single" w:sz="4" w:space="0" w:color="000000"/>
            </w:tcBorders>
          </w:tcPr>
          <w:p>
            <w:pPr>
              <w:pStyle w:val="TableParagraph"/>
              <w:spacing w:before="62"/>
              <w:ind w:right="77"/>
              <w:jc w:val="right"/>
              <w:rPr>
                <w:sz w:val="20"/>
              </w:rPr>
            </w:pPr>
            <w:r>
              <w:rPr>
                <w:w w:val="95"/>
                <w:sz w:val="20"/>
              </w:rPr>
              <w:t>1,613,783.10</w:t>
            </w:r>
          </w:p>
        </w:tc>
      </w:tr>
      <w:tr>
        <w:trPr>
          <w:trHeight w:val="366" w:hRule="atLeast"/>
        </w:trPr>
        <w:tc>
          <w:tcPr>
            <w:tcW w:w="3634" w:type="dxa"/>
            <w:tcBorders>
              <w:top w:val="single" w:sz="4" w:space="0" w:color="000000"/>
              <w:right w:val="single" w:sz="4" w:space="0" w:color="000000"/>
            </w:tcBorders>
          </w:tcPr>
          <w:p>
            <w:pPr>
              <w:pStyle w:val="TableParagraph"/>
              <w:spacing w:before="56"/>
              <w:ind w:left="1596" w:right="1223"/>
              <w:jc w:val="center"/>
              <w:rPr>
                <w:rFonts w:ascii="宋体" w:eastAsia="宋体" w:hint="eastAsia"/>
                <w:sz w:val="20"/>
              </w:rPr>
            </w:pPr>
            <w:r>
              <w:rPr>
                <w:rFonts w:ascii="宋体" w:eastAsia="宋体" w:hint="eastAsia"/>
                <w:sz w:val="20"/>
              </w:rPr>
              <w:t>合计</w:t>
            </w:r>
          </w:p>
        </w:tc>
        <w:tc>
          <w:tcPr>
            <w:tcW w:w="5142" w:type="dxa"/>
            <w:tcBorders>
              <w:top w:val="single" w:sz="4" w:space="0" w:color="000000"/>
              <w:left w:val="single" w:sz="4" w:space="0" w:color="000000"/>
            </w:tcBorders>
          </w:tcPr>
          <w:p>
            <w:pPr>
              <w:pStyle w:val="TableParagraph"/>
              <w:spacing w:before="62"/>
              <w:ind w:right="77"/>
              <w:jc w:val="right"/>
              <w:rPr>
                <w:sz w:val="20"/>
              </w:rPr>
            </w:pPr>
            <w:r>
              <w:rPr>
                <w:w w:val="95"/>
                <w:sz w:val="20"/>
              </w:rPr>
              <w:t>21,366,723.72</w:t>
            </w:r>
          </w:p>
        </w:tc>
      </w:tr>
    </w:tbl>
    <w:p>
      <w:pPr>
        <w:pStyle w:val="BodyText"/>
        <w:spacing w:line="267" w:lineRule="exact" w:before="3"/>
        <w:ind w:left="1538"/>
      </w:pPr>
      <w:r>
        <w:rPr>
          <w:w w:val="100"/>
        </w:rPr>
        <w:t> </w:t>
      </w:r>
    </w:p>
    <w:p>
      <w:pPr>
        <w:pStyle w:val="Heading4"/>
        <w:spacing w:line="384" w:lineRule="exact"/>
      </w:pPr>
      <w:r>
        <w:rPr>
          <w:rFonts w:ascii="Times New Roman" w:eastAsia="Times New Roman"/>
        </w:rPr>
        <w:t>13</w:t>
      </w:r>
      <w:r>
        <w:rPr/>
        <w:t>、 其他非流动金融资产</w:t>
      </w:r>
    </w:p>
    <w:p>
      <w:pPr>
        <w:pStyle w:val="BodyText"/>
        <w:spacing w:before="15"/>
        <w:ind w:left="1962"/>
      </w:pPr>
      <w:r>
        <w:rPr/>
        <w:t>√适用 □不适用</w:t>
      </w:r>
    </w:p>
    <w:p>
      <w:pPr>
        <w:pStyle w:val="BodyText"/>
        <w:tabs>
          <w:tab w:pos="9111" w:val="left" w:leader="none"/>
        </w:tabs>
        <w:spacing w:before="4"/>
        <w:ind w:left="8059"/>
      </w:pPr>
      <w:r>
        <w:rPr/>
        <w:t>单位：元</w:t>
        <w:tab/>
        <w:t>币</w:t>
      </w:r>
      <w:r>
        <w:rPr>
          <w:spacing w:val="-3"/>
        </w:rPr>
        <w:t>种</w:t>
      </w:r>
      <w:r>
        <w:rPr/>
        <w:t>：</w:t>
      </w:r>
      <w:r>
        <w:rPr>
          <w:spacing w:val="-3"/>
        </w:rPr>
        <w:t>人</w:t>
      </w:r>
      <w:r>
        <w:rPr/>
        <w:t>民币</w:t>
      </w: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651"/>
        <w:gridCol w:w="2688"/>
        <w:gridCol w:w="2710"/>
      </w:tblGrid>
      <w:tr>
        <w:trPr>
          <w:trHeight w:val="272" w:hRule="atLeast"/>
        </w:trPr>
        <w:tc>
          <w:tcPr>
            <w:tcW w:w="3651" w:type="dxa"/>
            <w:tcBorders>
              <w:bottom w:val="single" w:sz="4" w:space="0" w:color="000000"/>
              <w:right w:val="single" w:sz="4" w:space="0" w:color="000000"/>
            </w:tcBorders>
          </w:tcPr>
          <w:p>
            <w:pPr>
              <w:pStyle w:val="TableParagraph"/>
              <w:spacing w:line="253" w:lineRule="exact"/>
              <w:ind w:right="1594"/>
              <w:jc w:val="right"/>
              <w:rPr>
                <w:rFonts w:ascii="Microsoft JhengHei" w:eastAsia="Microsoft JhengHei" w:hint="eastAsia"/>
                <w:b/>
                <w:sz w:val="21"/>
              </w:rPr>
            </w:pPr>
            <w:r>
              <w:rPr>
                <w:rFonts w:ascii="Microsoft JhengHei" w:eastAsia="Microsoft JhengHei" w:hint="eastAsia"/>
                <w:b/>
                <w:sz w:val="21"/>
              </w:rPr>
              <w:t>项目</w:t>
            </w:r>
          </w:p>
        </w:tc>
        <w:tc>
          <w:tcPr>
            <w:tcW w:w="2688" w:type="dxa"/>
            <w:tcBorders>
              <w:left w:val="single" w:sz="4" w:space="0" w:color="000000"/>
              <w:bottom w:val="single" w:sz="4" w:space="0" w:color="000000"/>
              <w:right w:val="single" w:sz="4" w:space="0" w:color="000000"/>
            </w:tcBorders>
          </w:tcPr>
          <w:p>
            <w:pPr>
              <w:pStyle w:val="TableParagraph"/>
              <w:spacing w:line="253" w:lineRule="exact"/>
              <w:ind w:left="913" w:right="885"/>
              <w:jc w:val="center"/>
              <w:rPr>
                <w:rFonts w:ascii="Microsoft JhengHei" w:eastAsia="Microsoft JhengHei" w:hint="eastAsia"/>
                <w:b/>
                <w:sz w:val="21"/>
              </w:rPr>
            </w:pPr>
            <w:r>
              <w:rPr>
                <w:rFonts w:ascii="Microsoft JhengHei" w:eastAsia="Microsoft JhengHei" w:hint="eastAsia"/>
                <w:b/>
                <w:sz w:val="21"/>
              </w:rPr>
              <w:t>期末余额</w:t>
            </w:r>
          </w:p>
        </w:tc>
        <w:tc>
          <w:tcPr>
            <w:tcW w:w="2710" w:type="dxa"/>
            <w:tcBorders>
              <w:left w:val="single" w:sz="4" w:space="0" w:color="000000"/>
              <w:bottom w:val="single" w:sz="4" w:space="0" w:color="000000"/>
            </w:tcBorders>
          </w:tcPr>
          <w:p>
            <w:pPr>
              <w:pStyle w:val="TableParagraph"/>
              <w:spacing w:line="253" w:lineRule="exact"/>
              <w:ind w:left="926" w:right="884"/>
              <w:jc w:val="center"/>
              <w:rPr>
                <w:rFonts w:ascii="Microsoft JhengHei" w:eastAsia="Microsoft JhengHei" w:hint="eastAsia"/>
                <w:b/>
                <w:sz w:val="21"/>
              </w:rPr>
            </w:pPr>
            <w:r>
              <w:rPr>
                <w:rFonts w:ascii="Microsoft JhengHei" w:eastAsia="Microsoft JhengHei" w:hint="eastAsia"/>
                <w:b/>
                <w:sz w:val="21"/>
              </w:rPr>
              <w:t>期初余额</w:t>
            </w:r>
          </w:p>
        </w:tc>
      </w:tr>
      <w:tr>
        <w:trPr>
          <w:trHeight w:val="273" w:hRule="atLeast"/>
        </w:trPr>
        <w:tc>
          <w:tcPr>
            <w:tcW w:w="3651"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长期理财产品</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710" w:type="dxa"/>
            <w:tcBorders>
              <w:top w:val="single" w:sz="4" w:space="0" w:color="000000"/>
              <w:left w:val="single" w:sz="4" w:space="0" w:color="000000"/>
              <w:bottom w:val="single" w:sz="4" w:space="0" w:color="000000"/>
            </w:tcBorders>
          </w:tcPr>
          <w:p>
            <w:pPr>
              <w:pStyle w:val="TableParagraph"/>
              <w:spacing w:before="10"/>
              <w:ind w:right="71"/>
              <w:jc w:val="right"/>
              <w:rPr>
                <w:sz w:val="21"/>
              </w:rPr>
            </w:pPr>
            <w:r>
              <w:rPr>
                <w:sz w:val="21"/>
              </w:rPr>
              <w:t>294,547,364.47</w:t>
            </w:r>
          </w:p>
        </w:tc>
      </w:tr>
      <w:tr>
        <w:trPr>
          <w:trHeight w:val="270" w:hRule="atLeast"/>
        </w:trPr>
        <w:tc>
          <w:tcPr>
            <w:tcW w:w="3651" w:type="dxa"/>
            <w:tcBorders>
              <w:top w:val="single" w:sz="4" w:space="0" w:color="000000"/>
              <w:right w:val="single" w:sz="4" w:space="0" w:color="000000"/>
            </w:tcBorders>
          </w:tcPr>
          <w:p>
            <w:pPr>
              <w:pStyle w:val="TableParagraph"/>
              <w:spacing w:line="249" w:lineRule="exact" w:before="1"/>
              <w:ind w:right="1592"/>
              <w:jc w:val="right"/>
              <w:rPr>
                <w:rFonts w:ascii="宋体" w:eastAsia="宋体" w:hint="eastAsia"/>
                <w:sz w:val="21"/>
              </w:rPr>
            </w:pPr>
            <w:r>
              <w:rPr>
                <w:rFonts w:ascii="宋体" w:eastAsia="宋体" w:hint="eastAsia"/>
                <w:sz w:val="21"/>
              </w:rPr>
              <w:t>合计</w:t>
            </w:r>
          </w:p>
        </w:tc>
        <w:tc>
          <w:tcPr>
            <w:tcW w:w="2688" w:type="dxa"/>
            <w:tcBorders>
              <w:top w:val="single" w:sz="4" w:space="0" w:color="000000"/>
              <w:left w:val="single" w:sz="4" w:space="0" w:color="000000"/>
              <w:right w:val="single" w:sz="4" w:space="0" w:color="000000"/>
            </w:tcBorders>
          </w:tcPr>
          <w:p>
            <w:pPr>
              <w:pStyle w:val="TableParagraph"/>
              <w:rPr>
                <w:sz w:val="20"/>
              </w:rPr>
            </w:pPr>
          </w:p>
        </w:tc>
        <w:tc>
          <w:tcPr>
            <w:tcW w:w="2710" w:type="dxa"/>
            <w:tcBorders>
              <w:top w:val="single" w:sz="4" w:space="0" w:color="000000"/>
              <w:left w:val="single" w:sz="4" w:space="0" w:color="000000"/>
            </w:tcBorders>
          </w:tcPr>
          <w:p>
            <w:pPr>
              <w:pStyle w:val="TableParagraph"/>
              <w:spacing w:before="7"/>
              <w:ind w:right="71"/>
              <w:jc w:val="right"/>
              <w:rPr>
                <w:sz w:val="21"/>
              </w:rPr>
            </w:pPr>
            <w:r>
              <w:rPr>
                <w:sz w:val="21"/>
              </w:rPr>
              <w:t>294,547,364.47</w:t>
            </w:r>
          </w:p>
        </w:tc>
      </w:tr>
    </w:tbl>
    <w:p>
      <w:pPr>
        <w:pStyle w:val="BodyText"/>
        <w:spacing w:line="265" w:lineRule="exact" w:before="3"/>
        <w:ind w:left="1538"/>
      </w:pPr>
      <w:r>
        <w:rPr>
          <w:w w:val="100"/>
        </w:rPr>
        <w:t> </w:t>
      </w:r>
    </w:p>
    <w:p>
      <w:pPr>
        <w:pStyle w:val="Heading4"/>
        <w:spacing w:line="383" w:lineRule="exact"/>
      </w:pPr>
      <w:r>
        <w:rPr>
          <w:rFonts w:ascii="Times New Roman" w:eastAsia="Times New Roman"/>
        </w:rPr>
        <w:t>14</w:t>
      </w:r>
      <w:r>
        <w:rPr/>
        <w:t>、 投资性房地产</w:t>
      </w:r>
    </w:p>
    <w:p>
      <w:pPr>
        <w:pStyle w:val="ListParagraph"/>
        <w:numPr>
          <w:ilvl w:val="1"/>
          <w:numId w:val="58"/>
        </w:numPr>
        <w:tabs>
          <w:tab w:pos="2425" w:val="left" w:leader="none"/>
        </w:tabs>
        <w:spacing w:line="240" w:lineRule="auto" w:before="190" w:after="0"/>
        <w:ind w:left="2424" w:right="0" w:hanging="530"/>
        <w:jc w:val="left"/>
        <w:rPr>
          <w:sz w:val="21"/>
        </w:rPr>
      </w:pPr>
      <w:r>
        <w:rPr>
          <w:spacing w:val="-3"/>
          <w:sz w:val="21"/>
        </w:rPr>
        <w:t>采用成本计量模式的投资性房地产本年增减变动如下：</w:t>
      </w:r>
    </w:p>
    <w:p>
      <w:pPr>
        <w:pStyle w:val="BodyText"/>
        <w:spacing w:before="3"/>
        <w:rPr>
          <w:sz w:val="12"/>
        </w:rPr>
      </w:pPr>
    </w:p>
    <w:tbl>
      <w:tblPr>
        <w:tblW w:w="0" w:type="auto"/>
        <w:jc w:val="left"/>
        <w:tblInd w:w="16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195"/>
        <w:gridCol w:w="1716"/>
        <w:gridCol w:w="1893"/>
        <w:gridCol w:w="1896"/>
      </w:tblGrid>
      <w:tr>
        <w:trPr>
          <w:trHeight w:val="368" w:hRule="atLeast"/>
        </w:trPr>
        <w:tc>
          <w:tcPr>
            <w:tcW w:w="3195" w:type="dxa"/>
            <w:tcBorders>
              <w:bottom w:val="single" w:sz="4" w:space="0" w:color="000000"/>
              <w:right w:val="single" w:sz="4" w:space="0" w:color="000000"/>
            </w:tcBorders>
          </w:tcPr>
          <w:p>
            <w:pPr>
              <w:pStyle w:val="TableParagraph"/>
              <w:spacing w:line="349" w:lineRule="exact"/>
              <w:ind w:left="1375" w:right="1360"/>
              <w:jc w:val="center"/>
              <w:rPr>
                <w:rFonts w:ascii="Microsoft JhengHei" w:eastAsia="Microsoft JhengHei" w:hint="eastAsia"/>
                <w:b/>
                <w:sz w:val="20"/>
              </w:rPr>
            </w:pPr>
            <w:r>
              <w:rPr>
                <w:rFonts w:ascii="Microsoft JhengHei" w:eastAsia="Microsoft JhengHei" w:hint="eastAsia"/>
                <w:b/>
                <w:sz w:val="20"/>
              </w:rPr>
              <w:t>项目</w:t>
            </w:r>
          </w:p>
        </w:tc>
        <w:tc>
          <w:tcPr>
            <w:tcW w:w="1716" w:type="dxa"/>
            <w:tcBorders>
              <w:left w:val="single" w:sz="4" w:space="0" w:color="000000"/>
              <w:bottom w:val="single" w:sz="4" w:space="0" w:color="000000"/>
              <w:right w:val="single" w:sz="4" w:space="0" w:color="000000"/>
            </w:tcBorders>
          </w:tcPr>
          <w:p>
            <w:pPr>
              <w:pStyle w:val="TableParagraph"/>
              <w:spacing w:line="349" w:lineRule="exact"/>
              <w:ind w:left="263"/>
              <w:rPr>
                <w:rFonts w:ascii="Microsoft JhengHei" w:eastAsia="Microsoft JhengHei" w:hint="eastAsia"/>
                <w:b/>
                <w:sz w:val="20"/>
              </w:rPr>
            </w:pPr>
            <w:r>
              <w:rPr>
                <w:rFonts w:ascii="Microsoft JhengHei" w:eastAsia="Microsoft JhengHei" w:hint="eastAsia"/>
                <w:b/>
                <w:sz w:val="20"/>
              </w:rPr>
              <w:t>房屋、建筑物</w:t>
            </w:r>
          </w:p>
        </w:tc>
        <w:tc>
          <w:tcPr>
            <w:tcW w:w="1893" w:type="dxa"/>
            <w:tcBorders>
              <w:left w:val="single" w:sz="4" w:space="0" w:color="000000"/>
              <w:bottom w:val="single" w:sz="4" w:space="0" w:color="000000"/>
              <w:right w:val="single" w:sz="4" w:space="0" w:color="000000"/>
            </w:tcBorders>
          </w:tcPr>
          <w:p>
            <w:pPr>
              <w:pStyle w:val="TableParagraph"/>
              <w:spacing w:line="349" w:lineRule="exact"/>
              <w:ind w:left="456"/>
              <w:rPr>
                <w:rFonts w:ascii="Microsoft JhengHei" w:eastAsia="Microsoft JhengHei" w:hint="eastAsia"/>
                <w:b/>
                <w:sz w:val="20"/>
              </w:rPr>
            </w:pPr>
            <w:r>
              <w:rPr>
                <w:rFonts w:ascii="Microsoft JhengHei" w:eastAsia="Microsoft JhengHei" w:hint="eastAsia"/>
                <w:b/>
                <w:sz w:val="20"/>
              </w:rPr>
              <w:t>土地使用权</w:t>
            </w:r>
          </w:p>
        </w:tc>
        <w:tc>
          <w:tcPr>
            <w:tcW w:w="1896" w:type="dxa"/>
            <w:tcBorders>
              <w:left w:val="single" w:sz="4" w:space="0" w:color="000000"/>
              <w:bottom w:val="single" w:sz="4" w:space="0" w:color="000000"/>
            </w:tcBorders>
          </w:tcPr>
          <w:p>
            <w:pPr>
              <w:pStyle w:val="TableParagraph"/>
              <w:spacing w:line="349" w:lineRule="exact"/>
              <w:ind w:left="725" w:right="684"/>
              <w:jc w:val="center"/>
              <w:rPr>
                <w:rFonts w:ascii="Microsoft JhengHei" w:eastAsia="Microsoft JhengHei" w:hint="eastAsia"/>
                <w:b/>
                <w:sz w:val="20"/>
              </w:rPr>
            </w:pPr>
            <w:r>
              <w:rPr>
                <w:rFonts w:ascii="Microsoft JhengHei" w:eastAsia="Microsoft JhengHei" w:hint="eastAsia"/>
                <w:b/>
                <w:sz w:val="20"/>
              </w:rPr>
              <w:t>合计</w:t>
            </w:r>
          </w:p>
        </w:tc>
      </w:tr>
      <w:tr>
        <w:trPr>
          <w:trHeight w:val="369" w:hRule="atLeast"/>
        </w:trPr>
        <w:tc>
          <w:tcPr>
            <w:tcW w:w="3195" w:type="dxa"/>
            <w:tcBorders>
              <w:top w:val="single" w:sz="4" w:space="0" w:color="000000"/>
              <w:bottom w:val="single" w:sz="4" w:space="0" w:color="000000"/>
              <w:right w:val="single" w:sz="4" w:space="0" w:color="000000"/>
            </w:tcBorders>
          </w:tcPr>
          <w:p>
            <w:pPr>
              <w:pStyle w:val="TableParagraph"/>
              <w:spacing w:before="56"/>
              <w:ind w:left="105"/>
              <w:rPr>
                <w:rFonts w:ascii="宋体" w:eastAsia="宋体" w:hint="eastAsia"/>
                <w:sz w:val="20"/>
              </w:rPr>
            </w:pPr>
            <w:r>
              <w:rPr>
                <w:rFonts w:ascii="宋体" w:eastAsia="宋体" w:hint="eastAsia"/>
                <w:sz w:val="20"/>
              </w:rPr>
              <w:t>一、账面原值</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before="49"/>
              <w:ind w:right="-15"/>
              <w:jc w:val="right"/>
              <w:rPr>
                <w:rFonts w:ascii="宋体"/>
                <w:sz w:val="20"/>
              </w:rPr>
            </w:pPr>
            <w:r>
              <w:rPr>
                <w:rFonts w:ascii="宋体"/>
                <w:w w:val="99"/>
                <w:sz w:val="20"/>
              </w:rPr>
              <w:t> </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before="49"/>
              <w:ind w:right="-15"/>
              <w:jc w:val="right"/>
              <w:rPr>
                <w:rFonts w:ascii="宋体"/>
                <w:sz w:val="20"/>
              </w:rPr>
            </w:pPr>
            <w:r>
              <w:rPr>
                <w:rFonts w:ascii="宋体"/>
                <w:w w:val="99"/>
                <w:sz w:val="20"/>
              </w:rPr>
              <w:t> </w:t>
            </w:r>
          </w:p>
        </w:tc>
        <w:tc>
          <w:tcPr>
            <w:tcW w:w="1896" w:type="dxa"/>
            <w:tcBorders>
              <w:top w:val="single" w:sz="4" w:space="0" w:color="000000"/>
              <w:left w:val="single" w:sz="4" w:space="0" w:color="000000"/>
              <w:bottom w:val="single" w:sz="4" w:space="0" w:color="000000"/>
            </w:tcBorders>
          </w:tcPr>
          <w:p>
            <w:pPr>
              <w:pStyle w:val="TableParagraph"/>
              <w:spacing w:before="49"/>
              <w:ind w:right="-29"/>
              <w:jc w:val="right"/>
              <w:rPr>
                <w:rFonts w:ascii="宋体"/>
                <w:sz w:val="20"/>
              </w:rPr>
            </w:pPr>
            <w:r>
              <w:rPr>
                <w:rFonts w:ascii="宋体"/>
                <w:w w:val="99"/>
                <w:sz w:val="20"/>
              </w:rPr>
              <w:t> </w:t>
            </w:r>
          </w:p>
        </w:tc>
      </w:tr>
      <w:tr>
        <w:trPr>
          <w:trHeight w:val="369" w:hRule="atLeast"/>
        </w:trPr>
        <w:tc>
          <w:tcPr>
            <w:tcW w:w="3195" w:type="dxa"/>
            <w:tcBorders>
              <w:top w:val="single" w:sz="4" w:space="0" w:color="000000"/>
              <w:bottom w:val="single" w:sz="4" w:space="0" w:color="000000"/>
              <w:right w:val="single" w:sz="4" w:space="0" w:color="000000"/>
            </w:tcBorders>
          </w:tcPr>
          <w:p>
            <w:pPr>
              <w:pStyle w:val="TableParagraph"/>
              <w:spacing w:before="56"/>
              <w:ind w:left="105"/>
              <w:rPr>
                <w:rFonts w:ascii="宋体" w:eastAsia="宋体" w:hint="eastAsia"/>
                <w:sz w:val="20"/>
              </w:rPr>
            </w:pPr>
            <w:r>
              <w:rPr>
                <w:sz w:val="20"/>
              </w:rPr>
              <w:t>1.</w:t>
            </w:r>
            <w:r>
              <w:rPr>
                <w:rFonts w:ascii="宋体" w:eastAsia="宋体" w:hint="eastAsia"/>
                <w:sz w:val="20"/>
              </w:rPr>
              <w:t>期初余额</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before="62"/>
              <w:ind w:left="467"/>
              <w:rPr>
                <w:sz w:val="20"/>
              </w:rPr>
            </w:pPr>
            <w:r>
              <w:rPr>
                <w:sz w:val="20"/>
              </w:rPr>
              <w:t>46,415,383.99</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before="62"/>
              <w:ind w:right="83"/>
              <w:jc w:val="right"/>
              <w:rPr>
                <w:sz w:val="20"/>
              </w:rPr>
            </w:pPr>
            <w:r>
              <w:rPr>
                <w:w w:val="95"/>
                <w:sz w:val="20"/>
              </w:rPr>
              <w:t>2,128,550.51</w:t>
            </w:r>
          </w:p>
        </w:tc>
        <w:tc>
          <w:tcPr>
            <w:tcW w:w="1896" w:type="dxa"/>
            <w:tcBorders>
              <w:top w:val="single" w:sz="4" w:space="0" w:color="000000"/>
              <w:left w:val="single" w:sz="4" w:space="0" w:color="000000"/>
              <w:bottom w:val="single" w:sz="4" w:space="0" w:color="000000"/>
            </w:tcBorders>
          </w:tcPr>
          <w:p>
            <w:pPr>
              <w:pStyle w:val="TableParagraph"/>
              <w:spacing w:before="62"/>
              <w:ind w:right="75"/>
              <w:jc w:val="right"/>
              <w:rPr>
                <w:sz w:val="20"/>
              </w:rPr>
            </w:pPr>
            <w:r>
              <w:rPr>
                <w:w w:val="95"/>
                <w:sz w:val="20"/>
              </w:rPr>
              <w:t>48,543,934.50</w:t>
            </w:r>
          </w:p>
        </w:tc>
      </w:tr>
      <w:tr>
        <w:trPr>
          <w:trHeight w:val="369" w:hRule="atLeast"/>
        </w:trPr>
        <w:tc>
          <w:tcPr>
            <w:tcW w:w="3195" w:type="dxa"/>
            <w:tcBorders>
              <w:top w:val="single" w:sz="4" w:space="0" w:color="000000"/>
              <w:bottom w:val="single" w:sz="4" w:space="0" w:color="000000"/>
              <w:right w:val="single" w:sz="4" w:space="0" w:color="000000"/>
            </w:tcBorders>
          </w:tcPr>
          <w:p>
            <w:pPr>
              <w:pStyle w:val="TableParagraph"/>
              <w:spacing w:before="56"/>
              <w:ind w:left="105"/>
              <w:rPr>
                <w:rFonts w:ascii="宋体" w:eastAsia="宋体" w:hint="eastAsia"/>
                <w:sz w:val="20"/>
              </w:rPr>
            </w:pPr>
            <w:r>
              <w:rPr>
                <w:sz w:val="20"/>
              </w:rPr>
              <w:t>2.</w:t>
            </w:r>
            <w:r>
              <w:rPr>
                <w:rFonts w:ascii="宋体" w:eastAsia="宋体" w:hint="eastAsia"/>
                <w:sz w:val="20"/>
              </w:rPr>
              <w:t>本期增加金额</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before="49"/>
              <w:ind w:right="-15"/>
              <w:jc w:val="right"/>
              <w:rPr>
                <w:rFonts w:ascii="宋体"/>
                <w:sz w:val="20"/>
              </w:rPr>
            </w:pPr>
            <w:r>
              <w:rPr>
                <w:rFonts w:ascii="宋体"/>
                <w:w w:val="99"/>
                <w:sz w:val="20"/>
              </w:rPr>
              <w:t> </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before="49"/>
              <w:ind w:right="-15"/>
              <w:jc w:val="right"/>
              <w:rPr>
                <w:rFonts w:ascii="宋体"/>
                <w:sz w:val="20"/>
              </w:rPr>
            </w:pPr>
            <w:r>
              <w:rPr>
                <w:rFonts w:ascii="宋体"/>
                <w:w w:val="99"/>
                <w:sz w:val="20"/>
              </w:rPr>
              <w:t> </w:t>
            </w:r>
          </w:p>
        </w:tc>
        <w:tc>
          <w:tcPr>
            <w:tcW w:w="1896" w:type="dxa"/>
            <w:tcBorders>
              <w:top w:val="single" w:sz="4" w:space="0" w:color="000000"/>
              <w:left w:val="single" w:sz="4" w:space="0" w:color="000000"/>
              <w:bottom w:val="single" w:sz="4" w:space="0" w:color="000000"/>
            </w:tcBorders>
          </w:tcPr>
          <w:p>
            <w:pPr>
              <w:pStyle w:val="TableParagraph"/>
              <w:spacing w:before="49"/>
              <w:ind w:right="-29"/>
              <w:jc w:val="right"/>
              <w:rPr>
                <w:rFonts w:ascii="宋体"/>
                <w:sz w:val="20"/>
              </w:rPr>
            </w:pPr>
            <w:r>
              <w:rPr>
                <w:rFonts w:ascii="宋体"/>
                <w:w w:val="99"/>
                <w:sz w:val="20"/>
              </w:rPr>
              <w:t> </w:t>
            </w:r>
          </w:p>
        </w:tc>
      </w:tr>
      <w:tr>
        <w:trPr>
          <w:trHeight w:val="369" w:hRule="atLeast"/>
        </w:trPr>
        <w:tc>
          <w:tcPr>
            <w:tcW w:w="3195" w:type="dxa"/>
            <w:tcBorders>
              <w:top w:val="single" w:sz="4" w:space="0" w:color="000000"/>
              <w:bottom w:val="single" w:sz="4" w:space="0" w:color="000000"/>
              <w:right w:val="single" w:sz="4" w:space="0" w:color="000000"/>
            </w:tcBorders>
          </w:tcPr>
          <w:p>
            <w:pPr>
              <w:pStyle w:val="TableParagraph"/>
              <w:spacing w:before="56"/>
              <w:ind w:left="105"/>
              <w:rPr>
                <w:rFonts w:ascii="宋体" w:eastAsia="宋体" w:hint="eastAsia"/>
                <w:sz w:val="20"/>
              </w:rPr>
            </w:pPr>
            <w:r>
              <w:rPr>
                <w:rFonts w:ascii="宋体" w:eastAsia="宋体" w:hint="eastAsia"/>
                <w:sz w:val="20"/>
              </w:rPr>
              <w:t>（</w:t>
            </w:r>
            <w:r>
              <w:rPr>
                <w:sz w:val="20"/>
              </w:rPr>
              <w:t>1</w:t>
            </w:r>
            <w:r>
              <w:rPr>
                <w:rFonts w:ascii="宋体" w:eastAsia="宋体" w:hint="eastAsia"/>
                <w:sz w:val="20"/>
              </w:rPr>
              <w:t>）外购</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3195" w:type="dxa"/>
            <w:tcBorders>
              <w:top w:val="single" w:sz="4" w:space="0" w:color="000000"/>
              <w:bottom w:val="single" w:sz="4" w:space="0" w:color="000000"/>
              <w:right w:val="single" w:sz="4" w:space="0" w:color="000000"/>
            </w:tcBorders>
          </w:tcPr>
          <w:p>
            <w:pPr>
              <w:pStyle w:val="TableParagraph"/>
              <w:spacing w:before="56"/>
              <w:ind w:left="105"/>
              <w:rPr>
                <w:rFonts w:ascii="宋体" w:eastAsia="宋体" w:hint="eastAsia"/>
                <w:sz w:val="20"/>
              </w:rPr>
            </w:pPr>
            <w:r>
              <w:rPr>
                <w:rFonts w:ascii="宋体" w:eastAsia="宋体" w:hint="eastAsia"/>
                <w:sz w:val="20"/>
              </w:rPr>
              <w:t>（</w:t>
            </w:r>
            <w:r>
              <w:rPr>
                <w:sz w:val="20"/>
              </w:rPr>
              <w:t>2</w:t>
            </w:r>
            <w:r>
              <w:rPr>
                <w:rFonts w:ascii="宋体" w:eastAsia="宋体" w:hint="eastAsia"/>
                <w:sz w:val="20"/>
              </w:rPr>
              <w:t>）存货</w:t>
            </w:r>
            <w:r>
              <w:rPr>
                <w:sz w:val="20"/>
              </w:rPr>
              <w:t>\</w:t>
            </w:r>
            <w:r>
              <w:rPr>
                <w:rFonts w:ascii="宋体" w:eastAsia="宋体" w:hint="eastAsia"/>
                <w:sz w:val="20"/>
              </w:rPr>
              <w:t>固定资产</w:t>
            </w:r>
            <w:r>
              <w:rPr>
                <w:sz w:val="20"/>
              </w:rPr>
              <w:t>\</w:t>
            </w:r>
            <w:r>
              <w:rPr>
                <w:rFonts w:ascii="宋体" w:eastAsia="宋体" w:hint="eastAsia"/>
                <w:sz w:val="20"/>
              </w:rPr>
              <w:t>在建工程转入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before="62"/>
              <w:ind w:left="566"/>
              <w:rPr>
                <w:sz w:val="20"/>
              </w:rPr>
            </w:pPr>
            <w:r>
              <w:rPr>
                <w:sz w:val="20"/>
              </w:rPr>
              <w:t>1,971,634.23</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tcBorders>
          </w:tcPr>
          <w:p>
            <w:pPr>
              <w:pStyle w:val="TableParagraph"/>
              <w:spacing w:before="62"/>
              <w:ind w:right="75"/>
              <w:jc w:val="right"/>
              <w:rPr>
                <w:sz w:val="20"/>
              </w:rPr>
            </w:pPr>
            <w:r>
              <w:rPr>
                <w:w w:val="95"/>
                <w:sz w:val="20"/>
              </w:rPr>
              <w:t>1,971,634.23</w:t>
            </w:r>
          </w:p>
        </w:tc>
      </w:tr>
      <w:tr>
        <w:trPr>
          <w:trHeight w:val="369" w:hRule="atLeast"/>
        </w:trPr>
        <w:tc>
          <w:tcPr>
            <w:tcW w:w="3195" w:type="dxa"/>
            <w:tcBorders>
              <w:top w:val="single" w:sz="4" w:space="0" w:color="000000"/>
              <w:bottom w:val="single" w:sz="4" w:space="0" w:color="000000"/>
              <w:right w:val="single" w:sz="4" w:space="0" w:color="000000"/>
            </w:tcBorders>
          </w:tcPr>
          <w:p>
            <w:pPr>
              <w:pStyle w:val="TableParagraph"/>
              <w:spacing w:before="56"/>
              <w:ind w:left="105"/>
              <w:rPr>
                <w:rFonts w:ascii="宋体" w:eastAsia="宋体" w:hint="eastAsia"/>
                <w:sz w:val="20"/>
              </w:rPr>
            </w:pPr>
            <w:r>
              <w:rPr>
                <w:rFonts w:ascii="宋体" w:eastAsia="宋体" w:hint="eastAsia"/>
                <w:sz w:val="20"/>
              </w:rPr>
              <w:t>（</w:t>
            </w:r>
            <w:r>
              <w:rPr>
                <w:sz w:val="20"/>
              </w:rPr>
              <w:t>3</w:t>
            </w:r>
            <w:r>
              <w:rPr>
                <w:rFonts w:ascii="宋体" w:eastAsia="宋体" w:hint="eastAsia"/>
                <w:sz w:val="20"/>
              </w:rPr>
              <w:t>）企业合并增加</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3195" w:type="dxa"/>
            <w:tcBorders>
              <w:top w:val="single" w:sz="4" w:space="0" w:color="000000"/>
              <w:bottom w:val="single" w:sz="4" w:space="0" w:color="000000"/>
              <w:right w:val="single" w:sz="4" w:space="0" w:color="000000"/>
            </w:tcBorders>
          </w:tcPr>
          <w:p>
            <w:pPr>
              <w:pStyle w:val="TableParagraph"/>
              <w:spacing w:before="56"/>
              <w:ind w:left="105"/>
              <w:rPr>
                <w:rFonts w:ascii="宋体" w:eastAsia="宋体" w:hint="eastAsia"/>
                <w:sz w:val="20"/>
              </w:rPr>
            </w:pPr>
            <w:r>
              <w:rPr>
                <w:sz w:val="20"/>
              </w:rPr>
              <w:t>3.</w:t>
            </w:r>
            <w:r>
              <w:rPr>
                <w:rFonts w:ascii="宋体" w:eastAsia="宋体" w:hint="eastAsia"/>
                <w:sz w:val="20"/>
              </w:rPr>
              <w:t>本期减少金额</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tcBorders>
          </w:tcPr>
          <w:p>
            <w:pPr>
              <w:pStyle w:val="TableParagraph"/>
              <w:rPr>
                <w:sz w:val="20"/>
              </w:rPr>
            </w:pPr>
          </w:p>
        </w:tc>
      </w:tr>
      <w:tr>
        <w:trPr>
          <w:trHeight w:val="366" w:hRule="atLeast"/>
        </w:trPr>
        <w:tc>
          <w:tcPr>
            <w:tcW w:w="3195" w:type="dxa"/>
            <w:tcBorders>
              <w:top w:val="single" w:sz="4" w:space="0" w:color="000000"/>
              <w:bottom w:val="single" w:sz="4" w:space="0" w:color="000000"/>
              <w:right w:val="single" w:sz="4" w:space="0" w:color="000000"/>
            </w:tcBorders>
          </w:tcPr>
          <w:p>
            <w:pPr>
              <w:pStyle w:val="TableParagraph"/>
              <w:spacing w:before="56"/>
              <w:ind w:left="105"/>
              <w:rPr>
                <w:rFonts w:ascii="宋体" w:eastAsia="宋体" w:hint="eastAsia"/>
                <w:sz w:val="20"/>
              </w:rPr>
            </w:pPr>
            <w:r>
              <w:rPr>
                <w:rFonts w:ascii="宋体" w:eastAsia="宋体" w:hint="eastAsia"/>
                <w:sz w:val="20"/>
              </w:rPr>
              <w:t>（</w:t>
            </w:r>
            <w:r>
              <w:rPr>
                <w:sz w:val="20"/>
              </w:rPr>
              <w:t>1</w:t>
            </w:r>
            <w:r>
              <w:rPr>
                <w:rFonts w:ascii="宋体" w:eastAsia="宋体" w:hint="eastAsia"/>
                <w:sz w:val="20"/>
              </w:rPr>
              <w:t>）处置</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3195" w:type="dxa"/>
            <w:tcBorders>
              <w:top w:val="single" w:sz="4" w:space="0" w:color="000000"/>
              <w:bottom w:val="single" w:sz="4" w:space="0" w:color="000000"/>
              <w:right w:val="single" w:sz="4" w:space="0" w:color="000000"/>
            </w:tcBorders>
          </w:tcPr>
          <w:p>
            <w:pPr>
              <w:pStyle w:val="TableParagraph"/>
              <w:spacing w:before="56"/>
              <w:ind w:left="105"/>
              <w:rPr>
                <w:rFonts w:ascii="宋体" w:eastAsia="宋体" w:hint="eastAsia"/>
                <w:sz w:val="20"/>
              </w:rPr>
            </w:pPr>
            <w:r>
              <w:rPr>
                <w:rFonts w:ascii="宋体" w:eastAsia="宋体" w:hint="eastAsia"/>
                <w:sz w:val="20"/>
              </w:rPr>
              <w:t>（</w:t>
            </w:r>
            <w:r>
              <w:rPr>
                <w:sz w:val="20"/>
              </w:rPr>
              <w:t>2</w:t>
            </w:r>
            <w:r>
              <w:rPr>
                <w:rFonts w:ascii="宋体" w:eastAsia="宋体" w:hint="eastAsia"/>
                <w:sz w:val="20"/>
              </w:rPr>
              <w:t>）处置子公司</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3195" w:type="dxa"/>
            <w:tcBorders>
              <w:top w:val="single" w:sz="4" w:space="0" w:color="000000"/>
              <w:bottom w:val="single" w:sz="4" w:space="0" w:color="000000"/>
              <w:right w:val="single" w:sz="4" w:space="0" w:color="000000"/>
            </w:tcBorders>
          </w:tcPr>
          <w:p>
            <w:pPr>
              <w:pStyle w:val="TableParagraph"/>
              <w:spacing w:before="56"/>
              <w:ind w:left="105"/>
              <w:rPr>
                <w:rFonts w:ascii="宋体" w:eastAsia="宋体" w:hint="eastAsia"/>
                <w:sz w:val="20"/>
              </w:rPr>
            </w:pPr>
            <w:r>
              <w:rPr>
                <w:rFonts w:ascii="宋体" w:eastAsia="宋体" w:hint="eastAsia"/>
                <w:sz w:val="20"/>
              </w:rPr>
              <w:t>（</w:t>
            </w:r>
            <w:r>
              <w:rPr>
                <w:sz w:val="20"/>
              </w:rPr>
              <w:t>3</w:t>
            </w:r>
            <w:r>
              <w:rPr>
                <w:rFonts w:ascii="宋体" w:eastAsia="宋体" w:hint="eastAsia"/>
                <w:sz w:val="20"/>
              </w:rPr>
              <w:t>）其他转出</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3195" w:type="dxa"/>
            <w:tcBorders>
              <w:top w:val="single" w:sz="4" w:space="0" w:color="000000"/>
              <w:bottom w:val="single" w:sz="4" w:space="0" w:color="000000"/>
              <w:right w:val="single" w:sz="4" w:space="0" w:color="000000"/>
            </w:tcBorders>
          </w:tcPr>
          <w:p>
            <w:pPr>
              <w:pStyle w:val="TableParagraph"/>
              <w:spacing w:before="56"/>
              <w:ind w:left="105"/>
              <w:rPr>
                <w:rFonts w:ascii="宋体" w:eastAsia="宋体" w:hint="eastAsia"/>
                <w:sz w:val="20"/>
              </w:rPr>
            </w:pPr>
            <w:r>
              <w:rPr>
                <w:sz w:val="20"/>
              </w:rPr>
              <w:t>4.</w:t>
            </w:r>
            <w:r>
              <w:rPr>
                <w:rFonts w:ascii="宋体" w:eastAsia="宋体" w:hint="eastAsia"/>
                <w:sz w:val="20"/>
              </w:rPr>
              <w:t>外币报表折算差额</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before="62"/>
              <w:ind w:left="501"/>
              <w:rPr>
                <w:sz w:val="20"/>
              </w:rPr>
            </w:pPr>
            <w:r>
              <w:rPr>
                <w:sz w:val="20"/>
              </w:rPr>
              <w:t>-1,408,439.39</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tcBorders>
          </w:tcPr>
          <w:p>
            <w:pPr>
              <w:pStyle w:val="TableParagraph"/>
              <w:spacing w:before="62"/>
              <w:ind w:right="75"/>
              <w:jc w:val="right"/>
              <w:rPr>
                <w:sz w:val="20"/>
              </w:rPr>
            </w:pPr>
            <w:r>
              <w:rPr>
                <w:w w:val="95"/>
                <w:sz w:val="20"/>
              </w:rPr>
              <w:t>-1,408,439.39</w:t>
            </w:r>
          </w:p>
        </w:tc>
      </w:tr>
      <w:tr>
        <w:trPr>
          <w:trHeight w:val="369" w:hRule="atLeast"/>
        </w:trPr>
        <w:tc>
          <w:tcPr>
            <w:tcW w:w="3195" w:type="dxa"/>
            <w:tcBorders>
              <w:top w:val="single" w:sz="4" w:space="0" w:color="000000"/>
              <w:bottom w:val="single" w:sz="4" w:space="0" w:color="000000"/>
              <w:right w:val="single" w:sz="4" w:space="0" w:color="000000"/>
            </w:tcBorders>
          </w:tcPr>
          <w:p>
            <w:pPr>
              <w:pStyle w:val="TableParagraph"/>
              <w:spacing w:before="56"/>
              <w:ind w:left="105"/>
              <w:rPr>
                <w:rFonts w:ascii="宋体" w:eastAsia="宋体" w:hint="eastAsia"/>
                <w:sz w:val="20"/>
              </w:rPr>
            </w:pPr>
            <w:r>
              <w:rPr>
                <w:sz w:val="20"/>
              </w:rPr>
              <w:t>5.</w:t>
            </w:r>
            <w:r>
              <w:rPr>
                <w:rFonts w:ascii="宋体" w:eastAsia="宋体" w:hint="eastAsia"/>
                <w:sz w:val="20"/>
              </w:rPr>
              <w:t>期末余额</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before="62"/>
              <w:ind w:left="467"/>
              <w:rPr>
                <w:sz w:val="20"/>
              </w:rPr>
            </w:pPr>
            <w:r>
              <w:rPr>
                <w:sz w:val="20"/>
              </w:rPr>
              <w:t>46,978,578.83</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before="62"/>
              <w:ind w:right="83"/>
              <w:jc w:val="right"/>
              <w:rPr>
                <w:sz w:val="20"/>
              </w:rPr>
            </w:pPr>
            <w:r>
              <w:rPr>
                <w:w w:val="95"/>
                <w:sz w:val="20"/>
              </w:rPr>
              <w:t>2,128,550.51</w:t>
            </w:r>
          </w:p>
        </w:tc>
        <w:tc>
          <w:tcPr>
            <w:tcW w:w="1896" w:type="dxa"/>
            <w:tcBorders>
              <w:top w:val="single" w:sz="4" w:space="0" w:color="000000"/>
              <w:left w:val="single" w:sz="4" w:space="0" w:color="000000"/>
              <w:bottom w:val="single" w:sz="4" w:space="0" w:color="000000"/>
            </w:tcBorders>
          </w:tcPr>
          <w:p>
            <w:pPr>
              <w:pStyle w:val="TableParagraph"/>
              <w:spacing w:before="62"/>
              <w:ind w:right="75"/>
              <w:jc w:val="right"/>
              <w:rPr>
                <w:sz w:val="20"/>
              </w:rPr>
            </w:pPr>
            <w:r>
              <w:rPr>
                <w:w w:val="95"/>
                <w:sz w:val="20"/>
              </w:rPr>
              <w:t>49,107,129.34</w:t>
            </w:r>
          </w:p>
        </w:tc>
      </w:tr>
      <w:tr>
        <w:trPr>
          <w:trHeight w:val="369" w:hRule="atLeast"/>
        </w:trPr>
        <w:tc>
          <w:tcPr>
            <w:tcW w:w="3195" w:type="dxa"/>
            <w:tcBorders>
              <w:top w:val="single" w:sz="4" w:space="0" w:color="000000"/>
              <w:bottom w:val="single" w:sz="4" w:space="0" w:color="000000"/>
              <w:right w:val="single" w:sz="4" w:space="0" w:color="000000"/>
            </w:tcBorders>
          </w:tcPr>
          <w:p>
            <w:pPr>
              <w:pStyle w:val="TableParagraph"/>
              <w:spacing w:before="56"/>
              <w:ind w:left="105"/>
              <w:rPr>
                <w:rFonts w:ascii="宋体" w:eastAsia="宋体" w:hint="eastAsia"/>
                <w:sz w:val="20"/>
              </w:rPr>
            </w:pPr>
            <w:r>
              <w:rPr>
                <w:rFonts w:ascii="宋体" w:eastAsia="宋体" w:hint="eastAsia"/>
                <w:sz w:val="20"/>
              </w:rPr>
              <w:t>二、累计折旧和累计摊销</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before="49"/>
              <w:ind w:right="-15"/>
              <w:jc w:val="right"/>
              <w:rPr>
                <w:rFonts w:ascii="宋体"/>
                <w:sz w:val="20"/>
              </w:rPr>
            </w:pPr>
            <w:r>
              <w:rPr>
                <w:rFonts w:ascii="宋体"/>
                <w:w w:val="99"/>
                <w:sz w:val="20"/>
              </w:rPr>
              <w:t> </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before="49"/>
              <w:ind w:right="-15"/>
              <w:jc w:val="right"/>
              <w:rPr>
                <w:rFonts w:ascii="宋体"/>
                <w:sz w:val="20"/>
              </w:rPr>
            </w:pPr>
            <w:r>
              <w:rPr>
                <w:rFonts w:ascii="宋体"/>
                <w:w w:val="99"/>
                <w:sz w:val="20"/>
              </w:rPr>
              <w:t> </w:t>
            </w:r>
          </w:p>
        </w:tc>
        <w:tc>
          <w:tcPr>
            <w:tcW w:w="1896" w:type="dxa"/>
            <w:tcBorders>
              <w:top w:val="single" w:sz="4" w:space="0" w:color="000000"/>
              <w:left w:val="single" w:sz="4" w:space="0" w:color="000000"/>
              <w:bottom w:val="single" w:sz="4" w:space="0" w:color="000000"/>
            </w:tcBorders>
          </w:tcPr>
          <w:p>
            <w:pPr>
              <w:pStyle w:val="TableParagraph"/>
              <w:spacing w:before="49"/>
              <w:ind w:right="-29"/>
              <w:jc w:val="right"/>
              <w:rPr>
                <w:rFonts w:ascii="宋体"/>
                <w:sz w:val="20"/>
              </w:rPr>
            </w:pPr>
            <w:r>
              <w:rPr>
                <w:rFonts w:ascii="宋体"/>
                <w:w w:val="99"/>
                <w:sz w:val="20"/>
              </w:rPr>
              <w:t> </w:t>
            </w:r>
          </w:p>
        </w:tc>
      </w:tr>
      <w:tr>
        <w:trPr>
          <w:trHeight w:val="369" w:hRule="atLeast"/>
        </w:trPr>
        <w:tc>
          <w:tcPr>
            <w:tcW w:w="3195" w:type="dxa"/>
            <w:tcBorders>
              <w:top w:val="single" w:sz="4" w:space="0" w:color="000000"/>
              <w:bottom w:val="single" w:sz="4" w:space="0" w:color="000000"/>
              <w:right w:val="single" w:sz="4" w:space="0" w:color="000000"/>
            </w:tcBorders>
          </w:tcPr>
          <w:p>
            <w:pPr>
              <w:pStyle w:val="TableParagraph"/>
              <w:spacing w:before="57"/>
              <w:ind w:left="105"/>
              <w:rPr>
                <w:rFonts w:ascii="宋体" w:eastAsia="宋体" w:hint="eastAsia"/>
                <w:sz w:val="20"/>
              </w:rPr>
            </w:pPr>
            <w:r>
              <w:rPr>
                <w:sz w:val="20"/>
              </w:rPr>
              <w:t>1.</w:t>
            </w:r>
            <w:r>
              <w:rPr>
                <w:rFonts w:ascii="宋体" w:eastAsia="宋体" w:hint="eastAsia"/>
                <w:sz w:val="20"/>
              </w:rPr>
              <w:t>期初余额</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before="63"/>
              <w:ind w:left="467"/>
              <w:rPr>
                <w:sz w:val="20"/>
              </w:rPr>
            </w:pPr>
            <w:r>
              <w:rPr>
                <w:sz w:val="20"/>
              </w:rPr>
              <w:t>18,591,095.18</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before="63"/>
              <w:ind w:right="83"/>
              <w:jc w:val="right"/>
              <w:rPr>
                <w:sz w:val="20"/>
              </w:rPr>
            </w:pPr>
            <w:r>
              <w:rPr>
                <w:w w:val="95"/>
                <w:sz w:val="20"/>
              </w:rPr>
              <w:t>550,147.94</w:t>
            </w:r>
          </w:p>
        </w:tc>
        <w:tc>
          <w:tcPr>
            <w:tcW w:w="1896" w:type="dxa"/>
            <w:tcBorders>
              <w:top w:val="single" w:sz="4" w:space="0" w:color="000000"/>
              <w:left w:val="single" w:sz="4" w:space="0" w:color="000000"/>
              <w:bottom w:val="single" w:sz="4" w:space="0" w:color="000000"/>
            </w:tcBorders>
          </w:tcPr>
          <w:p>
            <w:pPr>
              <w:pStyle w:val="TableParagraph"/>
              <w:spacing w:before="63"/>
              <w:ind w:right="75"/>
              <w:jc w:val="right"/>
              <w:rPr>
                <w:sz w:val="20"/>
              </w:rPr>
            </w:pPr>
            <w:r>
              <w:rPr>
                <w:w w:val="95"/>
                <w:sz w:val="20"/>
              </w:rPr>
              <w:t>19,141,243.12</w:t>
            </w:r>
          </w:p>
        </w:tc>
      </w:tr>
      <w:tr>
        <w:trPr>
          <w:trHeight w:val="369" w:hRule="atLeast"/>
        </w:trPr>
        <w:tc>
          <w:tcPr>
            <w:tcW w:w="3195" w:type="dxa"/>
            <w:tcBorders>
              <w:top w:val="single" w:sz="4" w:space="0" w:color="000000"/>
              <w:bottom w:val="single" w:sz="4" w:space="0" w:color="000000"/>
              <w:right w:val="single" w:sz="4" w:space="0" w:color="000000"/>
            </w:tcBorders>
          </w:tcPr>
          <w:p>
            <w:pPr>
              <w:pStyle w:val="TableParagraph"/>
              <w:spacing w:before="56"/>
              <w:ind w:left="105"/>
              <w:rPr>
                <w:rFonts w:ascii="宋体" w:eastAsia="宋体" w:hint="eastAsia"/>
                <w:sz w:val="20"/>
              </w:rPr>
            </w:pPr>
            <w:r>
              <w:rPr>
                <w:sz w:val="20"/>
              </w:rPr>
              <w:t>2.</w:t>
            </w:r>
            <w:r>
              <w:rPr>
                <w:rFonts w:ascii="宋体" w:eastAsia="宋体" w:hint="eastAsia"/>
                <w:sz w:val="20"/>
              </w:rPr>
              <w:t>本期增加金额</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before="49"/>
              <w:ind w:right="-15"/>
              <w:jc w:val="right"/>
              <w:rPr>
                <w:rFonts w:ascii="宋体"/>
                <w:sz w:val="20"/>
              </w:rPr>
            </w:pPr>
            <w:r>
              <w:rPr>
                <w:rFonts w:ascii="宋体"/>
                <w:w w:val="99"/>
                <w:sz w:val="20"/>
              </w:rPr>
              <w:t> </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before="49"/>
              <w:ind w:right="-15"/>
              <w:jc w:val="right"/>
              <w:rPr>
                <w:rFonts w:ascii="宋体"/>
                <w:sz w:val="20"/>
              </w:rPr>
            </w:pPr>
            <w:r>
              <w:rPr>
                <w:rFonts w:ascii="宋体"/>
                <w:w w:val="99"/>
                <w:sz w:val="20"/>
              </w:rPr>
              <w:t> </w:t>
            </w:r>
          </w:p>
        </w:tc>
        <w:tc>
          <w:tcPr>
            <w:tcW w:w="1896" w:type="dxa"/>
            <w:tcBorders>
              <w:top w:val="single" w:sz="4" w:space="0" w:color="000000"/>
              <w:left w:val="single" w:sz="4" w:space="0" w:color="000000"/>
              <w:bottom w:val="single" w:sz="4" w:space="0" w:color="000000"/>
            </w:tcBorders>
          </w:tcPr>
          <w:p>
            <w:pPr>
              <w:pStyle w:val="TableParagraph"/>
              <w:spacing w:before="49"/>
              <w:ind w:right="-29"/>
              <w:jc w:val="right"/>
              <w:rPr>
                <w:rFonts w:ascii="宋体"/>
                <w:sz w:val="20"/>
              </w:rPr>
            </w:pPr>
            <w:r>
              <w:rPr>
                <w:rFonts w:ascii="宋体"/>
                <w:w w:val="99"/>
                <w:sz w:val="20"/>
              </w:rPr>
              <w:t> </w:t>
            </w:r>
          </w:p>
        </w:tc>
      </w:tr>
      <w:tr>
        <w:trPr>
          <w:trHeight w:val="369" w:hRule="atLeast"/>
        </w:trPr>
        <w:tc>
          <w:tcPr>
            <w:tcW w:w="3195" w:type="dxa"/>
            <w:tcBorders>
              <w:top w:val="single" w:sz="4" w:space="0" w:color="000000"/>
              <w:bottom w:val="single" w:sz="4" w:space="0" w:color="000000"/>
              <w:right w:val="single" w:sz="4" w:space="0" w:color="000000"/>
            </w:tcBorders>
          </w:tcPr>
          <w:p>
            <w:pPr>
              <w:pStyle w:val="TableParagraph"/>
              <w:spacing w:before="56"/>
              <w:ind w:left="105"/>
              <w:rPr>
                <w:rFonts w:ascii="宋体" w:eastAsia="宋体" w:hint="eastAsia"/>
                <w:sz w:val="20"/>
              </w:rPr>
            </w:pPr>
            <w:r>
              <w:rPr>
                <w:rFonts w:ascii="宋体" w:eastAsia="宋体" w:hint="eastAsia"/>
                <w:sz w:val="20"/>
              </w:rPr>
              <w:t>（</w:t>
            </w:r>
            <w:r>
              <w:rPr>
                <w:sz w:val="20"/>
              </w:rPr>
              <w:t>1</w:t>
            </w:r>
            <w:r>
              <w:rPr>
                <w:rFonts w:ascii="宋体" w:eastAsia="宋体" w:hint="eastAsia"/>
                <w:sz w:val="20"/>
              </w:rPr>
              <w:t>）计提或摊销</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before="62"/>
              <w:ind w:left="566"/>
              <w:rPr>
                <w:sz w:val="20"/>
              </w:rPr>
            </w:pPr>
            <w:r>
              <w:rPr>
                <w:sz w:val="20"/>
              </w:rPr>
              <w:t>1,824,786.53</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before="62"/>
              <w:ind w:right="83"/>
              <w:jc w:val="right"/>
              <w:rPr>
                <w:sz w:val="20"/>
              </w:rPr>
            </w:pPr>
            <w:r>
              <w:rPr>
                <w:w w:val="95"/>
                <w:sz w:val="20"/>
              </w:rPr>
              <w:t>40,236.22</w:t>
            </w:r>
          </w:p>
        </w:tc>
        <w:tc>
          <w:tcPr>
            <w:tcW w:w="1896" w:type="dxa"/>
            <w:tcBorders>
              <w:top w:val="single" w:sz="4" w:space="0" w:color="000000"/>
              <w:left w:val="single" w:sz="4" w:space="0" w:color="000000"/>
              <w:bottom w:val="single" w:sz="4" w:space="0" w:color="000000"/>
            </w:tcBorders>
          </w:tcPr>
          <w:p>
            <w:pPr>
              <w:pStyle w:val="TableParagraph"/>
              <w:spacing w:before="62"/>
              <w:ind w:right="75"/>
              <w:jc w:val="right"/>
              <w:rPr>
                <w:sz w:val="20"/>
              </w:rPr>
            </w:pPr>
            <w:r>
              <w:rPr>
                <w:w w:val="95"/>
                <w:sz w:val="20"/>
              </w:rPr>
              <w:t>1,865,022.75</w:t>
            </w:r>
          </w:p>
        </w:tc>
      </w:tr>
      <w:tr>
        <w:trPr>
          <w:trHeight w:val="369" w:hRule="atLeast"/>
        </w:trPr>
        <w:tc>
          <w:tcPr>
            <w:tcW w:w="3195" w:type="dxa"/>
            <w:tcBorders>
              <w:top w:val="single" w:sz="4" w:space="0" w:color="000000"/>
              <w:bottom w:val="single" w:sz="4" w:space="0" w:color="000000"/>
              <w:right w:val="single" w:sz="4" w:space="0" w:color="000000"/>
            </w:tcBorders>
          </w:tcPr>
          <w:p>
            <w:pPr>
              <w:pStyle w:val="TableParagraph"/>
              <w:spacing w:before="56"/>
              <w:ind w:left="105"/>
              <w:rPr>
                <w:rFonts w:ascii="宋体" w:eastAsia="宋体" w:hint="eastAsia"/>
                <w:sz w:val="20"/>
              </w:rPr>
            </w:pPr>
            <w:r>
              <w:rPr>
                <w:sz w:val="20"/>
              </w:rPr>
              <w:t>3.</w:t>
            </w:r>
            <w:r>
              <w:rPr>
                <w:rFonts w:ascii="宋体" w:eastAsia="宋体" w:hint="eastAsia"/>
                <w:sz w:val="20"/>
              </w:rPr>
              <w:t>本期减少金额</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3195" w:type="dxa"/>
            <w:tcBorders>
              <w:top w:val="single" w:sz="4" w:space="0" w:color="000000"/>
              <w:bottom w:val="single" w:sz="4" w:space="0" w:color="000000"/>
              <w:right w:val="single" w:sz="4" w:space="0" w:color="000000"/>
            </w:tcBorders>
          </w:tcPr>
          <w:p>
            <w:pPr>
              <w:pStyle w:val="TableParagraph"/>
              <w:spacing w:before="56"/>
              <w:ind w:left="105"/>
              <w:rPr>
                <w:rFonts w:ascii="宋体" w:eastAsia="宋体" w:hint="eastAsia"/>
                <w:sz w:val="20"/>
              </w:rPr>
            </w:pPr>
            <w:r>
              <w:rPr>
                <w:rFonts w:ascii="宋体" w:eastAsia="宋体" w:hint="eastAsia"/>
                <w:sz w:val="20"/>
              </w:rPr>
              <w:t>（</w:t>
            </w:r>
            <w:r>
              <w:rPr>
                <w:sz w:val="20"/>
              </w:rPr>
              <w:t>1</w:t>
            </w:r>
            <w:r>
              <w:rPr>
                <w:rFonts w:ascii="宋体" w:eastAsia="宋体" w:hint="eastAsia"/>
                <w:sz w:val="20"/>
              </w:rPr>
              <w:t>）处置</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3195" w:type="dxa"/>
            <w:tcBorders>
              <w:top w:val="single" w:sz="4" w:space="0" w:color="000000"/>
              <w:bottom w:val="single" w:sz="4" w:space="0" w:color="000000"/>
              <w:right w:val="single" w:sz="4" w:space="0" w:color="000000"/>
            </w:tcBorders>
          </w:tcPr>
          <w:p>
            <w:pPr>
              <w:pStyle w:val="TableParagraph"/>
              <w:spacing w:before="56"/>
              <w:ind w:left="105"/>
              <w:rPr>
                <w:rFonts w:ascii="宋体" w:eastAsia="宋体" w:hint="eastAsia"/>
                <w:sz w:val="20"/>
              </w:rPr>
            </w:pPr>
            <w:r>
              <w:rPr>
                <w:rFonts w:ascii="宋体" w:eastAsia="宋体" w:hint="eastAsia"/>
                <w:sz w:val="20"/>
              </w:rPr>
              <w:t>（</w:t>
            </w:r>
            <w:r>
              <w:rPr>
                <w:sz w:val="20"/>
              </w:rPr>
              <w:t>2</w:t>
            </w:r>
            <w:r>
              <w:rPr>
                <w:rFonts w:ascii="宋体" w:eastAsia="宋体" w:hint="eastAsia"/>
                <w:sz w:val="20"/>
              </w:rPr>
              <w:t>）处置子公司</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tcBorders>
          </w:tcPr>
          <w:p>
            <w:pPr>
              <w:pStyle w:val="TableParagraph"/>
              <w:rPr>
                <w:sz w:val="20"/>
              </w:rPr>
            </w:pPr>
          </w:p>
        </w:tc>
      </w:tr>
      <w:tr>
        <w:trPr>
          <w:trHeight w:val="366" w:hRule="atLeast"/>
        </w:trPr>
        <w:tc>
          <w:tcPr>
            <w:tcW w:w="3195" w:type="dxa"/>
            <w:tcBorders>
              <w:top w:val="single" w:sz="4" w:space="0" w:color="000000"/>
              <w:right w:val="single" w:sz="4" w:space="0" w:color="000000"/>
            </w:tcBorders>
          </w:tcPr>
          <w:p>
            <w:pPr>
              <w:pStyle w:val="TableParagraph"/>
              <w:spacing w:before="56"/>
              <w:ind w:left="105"/>
              <w:rPr>
                <w:rFonts w:ascii="宋体" w:eastAsia="宋体" w:hint="eastAsia"/>
                <w:sz w:val="20"/>
              </w:rPr>
            </w:pPr>
            <w:r>
              <w:rPr>
                <w:rFonts w:ascii="宋体" w:eastAsia="宋体" w:hint="eastAsia"/>
                <w:sz w:val="20"/>
              </w:rPr>
              <w:t>（</w:t>
            </w:r>
            <w:r>
              <w:rPr>
                <w:sz w:val="20"/>
              </w:rPr>
              <w:t>3</w:t>
            </w:r>
            <w:r>
              <w:rPr>
                <w:rFonts w:ascii="宋体" w:eastAsia="宋体" w:hint="eastAsia"/>
                <w:sz w:val="20"/>
              </w:rPr>
              <w:t>）其他转出</w:t>
            </w:r>
          </w:p>
        </w:tc>
        <w:tc>
          <w:tcPr>
            <w:tcW w:w="1716" w:type="dxa"/>
            <w:tcBorders>
              <w:top w:val="single" w:sz="4" w:space="0" w:color="000000"/>
              <w:left w:val="single" w:sz="4" w:space="0" w:color="000000"/>
              <w:right w:val="single" w:sz="4" w:space="0" w:color="000000"/>
            </w:tcBorders>
          </w:tcPr>
          <w:p>
            <w:pPr>
              <w:pStyle w:val="TableParagraph"/>
              <w:rPr>
                <w:sz w:val="20"/>
              </w:rPr>
            </w:pPr>
          </w:p>
        </w:tc>
        <w:tc>
          <w:tcPr>
            <w:tcW w:w="1893" w:type="dxa"/>
            <w:tcBorders>
              <w:top w:val="single" w:sz="4" w:space="0" w:color="000000"/>
              <w:left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tcBorders>
          </w:tcPr>
          <w:p>
            <w:pPr>
              <w:pStyle w:val="TableParagraph"/>
              <w:rPr>
                <w:sz w:val="20"/>
              </w:rPr>
            </w:pPr>
          </w:p>
        </w:tc>
      </w:tr>
    </w:tbl>
    <w:p>
      <w:pPr>
        <w:spacing w:after="0"/>
        <w:rPr>
          <w:sz w:val="20"/>
        </w:rPr>
        <w:sectPr>
          <w:pgSz w:w="11910" w:h="16840"/>
          <w:pgMar w:header="876" w:footer="1214" w:top="1440" w:bottom="1400" w:left="260" w:right="0"/>
        </w:sectPr>
      </w:pPr>
    </w:p>
    <w:p>
      <w:pPr>
        <w:pStyle w:val="BodyText"/>
        <w:spacing w:before="2"/>
        <w:rPr>
          <w:sz w:val="5"/>
        </w:rPr>
      </w:pPr>
    </w:p>
    <w:tbl>
      <w:tblPr>
        <w:tblW w:w="0" w:type="auto"/>
        <w:jc w:val="left"/>
        <w:tblInd w:w="16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195"/>
        <w:gridCol w:w="1716"/>
        <w:gridCol w:w="1893"/>
        <w:gridCol w:w="1896"/>
      </w:tblGrid>
      <w:tr>
        <w:trPr>
          <w:trHeight w:val="371" w:hRule="atLeast"/>
        </w:trPr>
        <w:tc>
          <w:tcPr>
            <w:tcW w:w="3195" w:type="dxa"/>
            <w:tcBorders>
              <w:bottom w:val="single" w:sz="4" w:space="0" w:color="000000"/>
              <w:right w:val="single" w:sz="4" w:space="0" w:color="000000"/>
            </w:tcBorders>
          </w:tcPr>
          <w:p>
            <w:pPr>
              <w:pStyle w:val="TableParagraph"/>
              <w:spacing w:before="59"/>
              <w:ind w:left="105"/>
              <w:rPr>
                <w:rFonts w:ascii="宋体" w:eastAsia="宋体" w:hint="eastAsia"/>
                <w:sz w:val="20"/>
              </w:rPr>
            </w:pPr>
            <w:r>
              <w:rPr>
                <w:sz w:val="20"/>
              </w:rPr>
              <w:t>4.</w:t>
            </w:r>
            <w:r>
              <w:rPr>
                <w:rFonts w:ascii="宋体" w:eastAsia="宋体" w:hint="eastAsia"/>
                <w:sz w:val="20"/>
              </w:rPr>
              <w:t>外币报表折算差额</w:t>
            </w:r>
          </w:p>
        </w:tc>
        <w:tc>
          <w:tcPr>
            <w:tcW w:w="1716" w:type="dxa"/>
            <w:tcBorders>
              <w:left w:val="single" w:sz="4" w:space="0" w:color="000000"/>
              <w:bottom w:val="single" w:sz="4" w:space="0" w:color="000000"/>
              <w:right w:val="single" w:sz="4" w:space="0" w:color="000000"/>
            </w:tcBorders>
          </w:tcPr>
          <w:p>
            <w:pPr>
              <w:pStyle w:val="TableParagraph"/>
              <w:spacing w:before="65"/>
              <w:ind w:left="650"/>
              <w:rPr>
                <w:sz w:val="20"/>
              </w:rPr>
            </w:pPr>
            <w:r>
              <w:rPr>
                <w:sz w:val="20"/>
              </w:rPr>
              <w:t>-286,139.34</w:t>
            </w:r>
          </w:p>
        </w:tc>
        <w:tc>
          <w:tcPr>
            <w:tcW w:w="1893" w:type="dxa"/>
            <w:tcBorders>
              <w:left w:val="single" w:sz="4" w:space="0" w:color="000000"/>
              <w:bottom w:val="single" w:sz="4" w:space="0" w:color="000000"/>
              <w:right w:val="single" w:sz="4" w:space="0" w:color="000000"/>
            </w:tcBorders>
          </w:tcPr>
          <w:p>
            <w:pPr>
              <w:pStyle w:val="TableParagraph"/>
              <w:rPr>
                <w:sz w:val="20"/>
              </w:rPr>
            </w:pPr>
          </w:p>
        </w:tc>
        <w:tc>
          <w:tcPr>
            <w:tcW w:w="1896" w:type="dxa"/>
            <w:tcBorders>
              <w:left w:val="single" w:sz="4" w:space="0" w:color="000000"/>
              <w:bottom w:val="single" w:sz="4" w:space="0" w:color="000000"/>
            </w:tcBorders>
          </w:tcPr>
          <w:p>
            <w:pPr>
              <w:pStyle w:val="TableParagraph"/>
              <w:spacing w:before="65"/>
              <w:ind w:right="75"/>
              <w:jc w:val="right"/>
              <w:rPr>
                <w:sz w:val="20"/>
              </w:rPr>
            </w:pPr>
            <w:r>
              <w:rPr>
                <w:w w:val="95"/>
                <w:sz w:val="20"/>
              </w:rPr>
              <w:t>-286,139.34</w:t>
            </w:r>
          </w:p>
        </w:tc>
      </w:tr>
      <w:tr>
        <w:trPr>
          <w:trHeight w:val="369" w:hRule="atLeast"/>
        </w:trPr>
        <w:tc>
          <w:tcPr>
            <w:tcW w:w="3195" w:type="dxa"/>
            <w:tcBorders>
              <w:top w:val="single" w:sz="4" w:space="0" w:color="000000"/>
              <w:bottom w:val="single" w:sz="4" w:space="0" w:color="000000"/>
              <w:right w:val="single" w:sz="4" w:space="0" w:color="000000"/>
            </w:tcBorders>
          </w:tcPr>
          <w:p>
            <w:pPr>
              <w:pStyle w:val="TableParagraph"/>
              <w:spacing w:before="56"/>
              <w:ind w:left="105"/>
              <w:rPr>
                <w:rFonts w:ascii="宋体" w:eastAsia="宋体" w:hint="eastAsia"/>
                <w:sz w:val="20"/>
              </w:rPr>
            </w:pPr>
            <w:r>
              <w:rPr>
                <w:sz w:val="20"/>
              </w:rPr>
              <w:t>5.</w:t>
            </w:r>
            <w:r>
              <w:rPr>
                <w:rFonts w:ascii="宋体" w:eastAsia="宋体" w:hint="eastAsia"/>
                <w:sz w:val="20"/>
              </w:rPr>
              <w:t>期末余额</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before="62"/>
              <w:ind w:left="467"/>
              <w:rPr>
                <w:sz w:val="20"/>
              </w:rPr>
            </w:pPr>
            <w:r>
              <w:rPr>
                <w:sz w:val="20"/>
              </w:rPr>
              <w:t>20,129,742.37</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before="62"/>
              <w:ind w:right="83"/>
              <w:jc w:val="right"/>
              <w:rPr>
                <w:sz w:val="20"/>
              </w:rPr>
            </w:pPr>
            <w:r>
              <w:rPr>
                <w:w w:val="95"/>
                <w:sz w:val="20"/>
              </w:rPr>
              <w:t>590,384.16</w:t>
            </w:r>
          </w:p>
        </w:tc>
        <w:tc>
          <w:tcPr>
            <w:tcW w:w="1896" w:type="dxa"/>
            <w:tcBorders>
              <w:top w:val="single" w:sz="4" w:space="0" w:color="000000"/>
              <w:left w:val="single" w:sz="4" w:space="0" w:color="000000"/>
              <w:bottom w:val="single" w:sz="4" w:space="0" w:color="000000"/>
            </w:tcBorders>
          </w:tcPr>
          <w:p>
            <w:pPr>
              <w:pStyle w:val="TableParagraph"/>
              <w:spacing w:before="62"/>
              <w:ind w:right="75"/>
              <w:jc w:val="right"/>
              <w:rPr>
                <w:sz w:val="20"/>
              </w:rPr>
            </w:pPr>
            <w:r>
              <w:rPr>
                <w:w w:val="95"/>
                <w:sz w:val="20"/>
              </w:rPr>
              <w:t>20,720,126.53</w:t>
            </w:r>
          </w:p>
        </w:tc>
      </w:tr>
      <w:tr>
        <w:trPr>
          <w:trHeight w:val="366" w:hRule="atLeast"/>
        </w:trPr>
        <w:tc>
          <w:tcPr>
            <w:tcW w:w="3195" w:type="dxa"/>
            <w:tcBorders>
              <w:top w:val="single" w:sz="4" w:space="0" w:color="000000"/>
              <w:bottom w:val="single" w:sz="4" w:space="0" w:color="000000"/>
              <w:right w:val="single" w:sz="4" w:space="0" w:color="000000"/>
            </w:tcBorders>
          </w:tcPr>
          <w:p>
            <w:pPr>
              <w:pStyle w:val="TableParagraph"/>
              <w:spacing w:before="56"/>
              <w:ind w:left="105"/>
              <w:rPr>
                <w:rFonts w:ascii="宋体" w:eastAsia="宋体" w:hint="eastAsia"/>
                <w:sz w:val="20"/>
              </w:rPr>
            </w:pPr>
            <w:r>
              <w:rPr>
                <w:rFonts w:ascii="宋体" w:eastAsia="宋体" w:hint="eastAsia"/>
                <w:sz w:val="20"/>
              </w:rPr>
              <w:t>三、减值准备</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before="49"/>
              <w:ind w:right="-15"/>
              <w:jc w:val="right"/>
              <w:rPr>
                <w:rFonts w:ascii="宋体"/>
                <w:sz w:val="20"/>
              </w:rPr>
            </w:pPr>
            <w:r>
              <w:rPr>
                <w:rFonts w:ascii="宋体"/>
                <w:w w:val="99"/>
                <w:sz w:val="20"/>
              </w:rPr>
              <w:t> </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before="49"/>
              <w:ind w:right="-15"/>
              <w:jc w:val="right"/>
              <w:rPr>
                <w:rFonts w:ascii="宋体"/>
                <w:sz w:val="20"/>
              </w:rPr>
            </w:pPr>
            <w:r>
              <w:rPr>
                <w:rFonts w:ascii="宋体"/>
                <w:w w:val="99"/>
                <w:sz w:val="20"/>
              </w:rPr>
              <w:t> </w:t>
            </w:r>
          </w:p>
        </w:tc>
        <w:tc>
          <w:tcPr>
            <w:tcW w:w="1896" w:type="dxa"/>
            <w:tcBorders>
              <w:top w:val="single" w:sz="4" w:space="0" w:color="000000"/>
              <w:left w:val="single" w:sz="4" w:space="0" w:color="000000"/>
              <w:bottom w:val="single" w:sz="4" w:space="0" w:color="000000"/>
            </w:tcBorders>
          </w:tcPr>
          <w:p>
            <w:pPr>
              <w:pStyle w:val="TableParagraph"/>
              <w:spacing w:before="49"/>
              <w:ind w:right="-29"/>
              <w:jc w:val="right"/>
              <w:rPr>
                <w:rFonts w:ascii="宋体"/>
                <w:sz w:val="20"/>
              </w:rPr>
            </w:pPr>
            <w:r>
              <w:rPr>
                <w:rFonts w:ascii="宋体"/>
                <w:w w:val="99"/>
                <w:sz w:val="20"/>
              </w:rPr>
              <w:t> </w:t>
            </w:r>
          </w:p>
        </w:tc>
      </w:tr>
      <w:tr>
        <w:trPr>
          <w:trHeight w:val="369" w:hRule="atLeast"/>
        </w:trPr>
        <w:tc>
          <w:tcPr>
            <w:tcW w:w="3195" w:type="dxa"/>
            <w:tcBorders>
              <w:top w:val="single" w:sz="4" w:space="0" w:color="000000"/>
              <w:bottom w:val="single" w:sz="4" w:space="0" w:color="000000"/>
              <w:right w:val="single" w:sz="4" w:space="0" w:color="000000"/>
            </w:tcBorders>
          </w:tcPr>
          <w:p>
            <w:pPr>
              <w:pStyle w:val="TableParagraph"/>
              <w:spacing w:before="59"/>
              <w:ind w:left="105"/>
              <w:rPr>
                <w:rFonts w:ascii="宋体" w:eastAsia="宋体" w:hint="eastAsia"/>
                <w:sz w:val="20"/>
              </w:rPr>
            </w:pPr>
            <w:r>
              <w:rPr>
                <w:sz w:val="20"/>
              </w:rPr>
              <w:t>1.</w:t>
            </w:r>
            <w:r>
              <w:rPr>
                <w:rFonts w:ascii="宋体" w:eastAsia="宋体" w:hint="eastAsia"/>
                <w:sz w:val="20"/>
              </w:rPr>
              <w:t>期初余额</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before="51"/>
              <w:ind w:right="-15"/>
              <w:jc w:val="right"/>
              <w:rPr>
                <w:rFonts w:ascii="宋体"/>
                <w:sz w:val="20"/>
              </w:rPr>
            </w:pPr>
            <w:r>
              <w:rPr>
                <w:rFonts w:ascii="宋体"/>
                <w:w w:val="99"/>
                <w:sz w:val="20"/>
              </w:rPr>
              <w:t> </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before="51"/>
              <w:ind w:right="-15"/>
              <w:jc w:val="right"/>
              <w:rPr>
                <w:rFonts w:ascii="宋体"/>
                <w:sz w:val="20"/>
              </w:rPr>
            </w:pPr>
            <w:r>
              <w:rPr>
                <w:rFonts w:ascii="宋体"/>
                <w:w w:val="99"/>
                <w:sz w:val="20"/>
              </w:rPr>
              <w:t> </w:t>
            </w:r>
          </w:p>
        </w:tc>
        <w:tc>
          <w:tcPr>
            <w:tcW w:w="1896"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3195" w:type="dxa"/>
            <w:tcBorders>
              <w:top w:val="single" w:sz="4" w:space="0" w:color="000000"/>
              <w:bottom w:val="single" w:sz="4" w:space="0" w:color="000000"/>
              <w:right w:val="single" w:sz="4" w:space="0" w:color="000000"/>
            </w:tcBorders>
          </w:tcPr>
          <w:p>
            <w:pPr>
              <w:pStyle w:val="TableParagraph"/>
              <w:spacing w:before="56"/>
              <w:ind w:left="105"/>
              <w:rPr>
                <w:rFonts w:ascii="宋体" w:eastAsia="宋体" w:hint="eastAsia"/>
                <w:sz w:val="20"/>
              </w:rPr>
            </w:pPr>
            <w:r>
              <w:rPr>
                <w:sz w:val="20"/>
              </w:rPr>
              <w:t>2.</w:t>
            </w:r>
            <w:r>
              <w:rPr>
                <w:rFonts w:ascii="宋体" w:eastAsia="宋体" w:hint="eastAsia"/>
                <w:sz w:val="20"/>
              </w:rPr>
              <w:t>本期增加金额</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before="51"/>
              <w:ind w:right="-15"/>
              <w:jc w:val="right"/>
              <w:rPr>
                <w:rFonts w:ascii="宋体"/>
                <w:sz w:val="20"/>
              </w:rPr>
            </w:pPr>
            <w:r>
              <w:rPr>
                <w:rFonts w:ascii="宋体"/>
                <w:w w:val="99"/>
                <w:sz w:val="20"/>
              </w:rPr>
              <w:t> </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before="51"/>
              <w:ind w:right="-15"/>
              <w:jc w:val="right"/>
              <w:rPr>
                <w:rFonts w:ascii="宋体"/>
                <w:sz w:val="20"/>
              </w:rPr>
            </w:pPr>
            <w:r>
              <w:rPr>
                <w:rFonts w:ascii="宋体"/>
                <w:w w:val="99"/>
                <w:sz w:val="20"/>
              </w:rPr>
              <w:t> </w:t>
            </w:r>
          </w:p>
        </w:tc>
        <w:tc>
          <w:tcPr>
            <w:tcW w:w="1896"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3195" w:type="dxa"/>
            <w:tcBorders>
              <w:top w:val="single" w:sz="4" w:space="0" w:color="000000"/>
              <w:bottom w:val="single" w:sz="4" w:space="0" w:color="000000"/>
              <w:right w:val="single" w:sz="4" w:space="0" w:color="000000"/>
            </w:tcBorders>
          </w:tcPr>
          <w:p>
            <w:pPr>
              <w:pStyle w:val="TableParagraph"/>
              <w:spacing w:before="56"/>
              <w:ind w:left="105"/>
              <w:rPr>
                <w:rFonts w:ascii="宋体" w:eastAsia="宋体" w:hint="eastAsia"/>
                <w:sz w:val="20"/>
              </w:rPr>
            </w:pPr>
            <w:r>
              <w:rPr>
                <w:rFonts w:ascii="宋体" w:eastAsia="宋体" w:hint="eastAsia"/>
                <w:sz w:val="20"/>
              </w:rPr>
              <w:t>（</w:t>
            </w:r>
            <w:r>
              <w:rPr>
                <w:sz w:val="20"/>
              </w:rPr>
              <w:t>1</w:t>
            </w:r>
            <w:r>
              <w:rPr>
                <w:rFonts w:ascii="宋体" w:eastAsia="宋体" w:hint="eastAsia"/>
                <w:sz w:val="20"/>
              </w:rPr>
              <w:t>）计提</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before="49"/>
              <w:ind w:right="-15"/>
              <w:jc w:val="right"/>
              <w:rPr>
                <w:rFonts w:ascii="宋体"/>
                <w:sz w:val="20"/>
              </w:rPr>
            </w:pPr>
            <w:r>
              <w:rPr>
                <w:rFonts w:ascii="宋体"/>
                <w:w w:val="99"/>
                <w:sz w:val="20"/>
              </w:rPr>
              <w:t> </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before="49"/>
              <w:ind w:right="-15"/>
              <w:jc w:val="right"/>
              <w:rPr>
                <w:rFonts w:ascii="宋体"/>
                <w:sz w:val="20"/>
              </w:rPr>
            </w:pPr>
            <w:r>
              <w:rPr>
                <w:rFonts w:ascii="宋体"/>
                <w:w w:val="99"/>
                <w:sz w:val="20"/>
              </w:rPr>
              <w:t> </w:t>
            </w:r>
          </w:p>
        </w:tc>
        <w:tc>
          <w:tcPr>
            <w:tcW w:w="1896"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3195" w:type="dxa"/>
            <w:tcBorders>
              <w:top w:val="single" w:sz="4" w:space="0" w:color="000000"/>
              <w:bottom w:val="single" w:sz="4" w:space="0" w:color="000000"/>
              <w:right w:val="single" w:sz="4" w:space="0" w:color="000000"/>
            </w:tcBorders>
          </w:tcPr>
          <w:p>
            <w:pPr>
              <w:pStyle w:val="TableParagraph"/>
              <w:spacing w:before="56"/>
              <w:ind w:left="105"/>
              <w:rPr>
                <w:rFonts w:ascii="宋体" w:eastAsia="宋体" w:hint="eastAsia"/>
                <w:sz w:val="20"/>
              </w:rPr>
            </w:pPr>
            <w:r>
              <w:rPr>
                <w:sz w:val="20"/>
              </w:rPr>
              <w:t>3</w:t>
            </w:r>
            <w:r>
              <w:rPr>
                <w:rFonts w:ascii="宋体" w:eastAsia="宋体" w:hint="eastAsia"/>
                <w:sz w:val="20"/>
              </w:rPr>
              <w:t>、本期减少金额</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before="49"/>
              <w:ind w:right="-15"/>
              <w:jc w:val="right"/>
              <w:rPr>
                <w:rFonts w:ascii="宋体"/>
                <w:sz w:val="20"/>
              </w:rPr>
            </w:pPr>
            <w:r>
              <w:rPr>
                <w:rFonts w:ascii="宋体"/>
                <w:w w:val="99"/>
                <w:sz w:val="20"/>
              </w:rPr>
              <w:t> </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before="49"/>
              <w:ind w:right="-15"/>
              <w:jc w:val="right"/>
              <w:rPr>
                <w:rFonts w:ascii="宋体"/>
                <w:sz w:val="20"/>
              </w:rPr>
            </w:pPr>
            <w:r>
              <w:rPr>
                <w:rFonts w:ascii="宋体"/>
                <w:w w:val="99"/>
                <w:sz w:val="20"/>
              </w:rPr>
              <w:t> </w:t>
            </w:r>
          </w:p>
        </w:tc>
        <w:tc>
          <w:tcPr>
            <w:tcW w:w="1896" w:type="dxa"/>
            <w:tcBorders>
              <w:top w:val="single" w:sz="4" w:space="0" w:color="000000"/>
              <w:left w:val="single" w:sz="4" w:space="0" w:color="000000"/>
              <w:bottom w:val="single" w:sz="4" w:space="0" w:color="000000"/>
            </w:tcBorders>
          </w:tcPr>
          <w:p>
            <w:pPr>
              <w:pStyle w:val="TableParagraph"/>
              <w:spacing w:before="49"/>
              <w:ind w:right="-29"/>
              <w:jc w:val="right"/>
              <w:rPr>
                <w:rFonts w:ascii="宋体"/>
                <w:sz w:val="20"/>
              </w:rPr>
            </w:pPr>
            <w:r>
              <w:rPr>
                <w:rFonts w:ascii="宋体"/>
                <w:w w:val="99"/>
                <w:sz w:val="20"/>
              </w:rPr>
              <w:t> </w:t>
            </w:r>
          </w:p>
        </w:tc>
      </w:tr>
      <w:tr>
        <w:trPr>
          <w:trHeight w:val="369" w:hRule="atLeast"/>
        </w:trPr>
        <w:tc>
          <w:tcPr>
            <w:tcW w:w="3195" w:type="dxa"/>
            <w:tcBorders>
              <w:top w:val="single" w:sz="4" w:space="0" w:color="000000"/>
              <w:bottom w:val="single" w:sz="4" w:space="0" w:color="000000"/>
              <w:right w:val="single" w:sz="4" w:space="0" w:color="000000"/>
            </w:tcBorders>
          </w:tcPr>
          <w:p>
            <w:pPr>
              <w:pStyle w:val="TableParagraph"/>
              <w:spacing w:before="56"/>
              <w:ind w:left="105"/>
              <w:rPr>
                <w:rFonts w:ascii="宋体" w:eastAsia="宋体" w:hint="eastAsia"/>
                <w:sz w:val="20"/>
              </w:rPr>
            </w:pPr>
            <w:r>
              <w:rPr>
                <w:rFonts w:ascii="宋体" w:eastAsia="宋体" w:hint="eastAsia"/>
                <w:sz w:val="20"/>
              </w:rPr>
              <w:t>（</w:t>
            </w:r>
            <w:r>
              <w:rPr>
                <w:sz w:val="20"/>
              </w:rPr>
              <w:t>1</w:t>
            </w:r>
            <w:r>
              <w:rPr>
                <w:rFonts w:ascii="宋体" w:eastAsia="宋体" w:hint="eastAsia"/>
                <w:sz w:val="20"/>
              </w:rPr>
              <w:t>）处置</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before="49"/>
              <w:ind w:right="-15"/>
              <w:jc w:val="right"/>
              <w:rPr>
                <w:rFonts w:ascii="宋体"/>
                <w:sz w:val="20"/>
              </w:rPr>
            </w:pPr>
            <w:r>
              <w:rPr>
                <w:rFonts w:ascii="宋体"/>
                <w:w w:val="99"/>
                <w:sz w:val="20"/>
              </w:rPr>
              <w:t> </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before="49"/>
              <w:ind w:right="-15"/>
              <w:jc w:val="right"/>
              <w:rPr>
                <w:rFonts w:ascii="宋体"/>
                <w:sz w:val="20"/>
              </w:rPr>
            </w:pPr>
            <w:r>
              <w:rPr>
                <w:rFonts w:ascii="宋体"/>
                <w:w w:val="99"/>
                <w:sz w:val="20"/>
              </w:rPr>
              <w:t> </w:t>
            </w:r>
          </w:p>
        </w:tc>
        <w:tc>
          <w:tcPr>
            <w:tcW w:w="1896"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3195" w:type="dxa"/>
            <w:tcBorders>
              <w:top w:val="single" w:sz="4" w:space="0" w:color="000000"/>
              <w:bottom w:val="single" w:sz="4" w:space="0" w:color="000000"/>
              <w:right w:val="single" w:sz="4" w:space="0" w:color="000000"/>
            </w:tcBorders>
          </w:tcPr>
          <w:p>
            <w:pPr>
              <w:pStyle w:val="TableParagraph"/>
              <w:spacing w:before="56"/>
              <w:ind w:left="105"/>
              <w:rPr>
                <w:rFonts w:ascii="宋体" w:eastAsia="宋体" w:hint="eastAsia"/>
                <w:sz w:val="20"/>
              </w:rPr>
            </w:pPr>
            <w:r>
              <w:rPr>
                <w:rFonts w:ascii="宋体" w:eastAsia="宋体" w:hint="eastAsia"/>
                <w:sz w:val="20"/>
              </w:rPr>
              <w:t>（</w:t>
            </w:r>
            <w:r>
              <w:rPr>
                <w:sz w:val="20"/>
              </w:rPr>
              <w:t>2</w:t>
            </w:r>
            <w:r>
              <w:rPr>
                <w:rFonts w:ascii="宋体" w:eastAsia="宋体" w:hint="eastAsia"/>
                <w:sz w:val="20"/>
              </w:rPr>
              <w:t>）处置子公司</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before="49"/>
              <w:ind w:right="-15"/>
              <w:jc w:val="right"/>
              <w:rPr>
                <w:rFonts w:ascii="宋体"/>
                <w:sz w:val="20"/>
              </w:rPr>
            </w:pPr>
            <w:r>
              <w:rPr>
                <w:rFonts w:ascii="宋体"/>
                <w:w w:val="99"/>
                <w:sz w:val="20"/>
              </w:rPr>
              <w:t> </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before="49"/>
              <w:ind w:right="-15"/>
              <w:jc w:val="right"/>
              <w:rPr>
                <w:rFonts w:ascii="宋体"/>
                <w:sz w:val="20"/>
              </w:rPr>
            </w:pPr>
            <w:r>
              <w:rPr>
                <w:rFonts w:ascii="宋体"/>
                <w:w w:val="99"/>
                <w:sz w:val="20"/>
              </w:rPr>
              <w:t> </w:t>
            </w:r>
          </w:p>
        </w:tc>
        <w:tc>
          <w:tcPr>
            <w:tcW w:w="1896"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3195" w:type="dxa"/>
            <w:tcBorders>
              <w:top w:val="single" w:sz="4" w:space="0" w:color="000000"/>
              <w:bottom w:val="single" w:sz="4" w:space="0" w:color="000000"/>
              <w:right w:val="single" w:sz="4" w:space="0" w:color="000000"/>
            </w:tcBorders>
          </w:tcPr>
          <w:p>
            <w:pPr>
              <w:pStyle w:val="TableParagraph"/>
              <w:spacing w:before="56"/>
              <w:ind w:left="105"/>
              <w:rPr>
                <w:rFonts w:ascii="宋体" w:eastAsia="宋体" w:hint="eastAsia"/>
                <w:sz w:val="20"/>
              </w:rPr>
            </w:pPr>
            <w:r>
              <w:rPr>
                <w:rFonts w:ascii="宋体" w:eastAsia="宋体" w:hint="eastAsia"/>
                <w:sz w:val="20"/>
              </w:rPr>
              <w:t>（</w:t>
            </w:r>
            <w:r>
              <w:rPr>
                <w:sz w:val="20"/>
              </w:rPr>
              <w:t>3</w:t>
            </w:r>
            <w:r>
              <w:rPr>
                <w:rFonts w:ascii="宋体" w:eastAsia="宋体" w:hint="eastAsia"/>
                <w:sz w:val="20"/>
              </w:rPr>
              <w:t>）其他转出</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before="49"/>
              <w:ind w:right="-15"/>
              <w:jc w:val="right"/>
              <w:rPr>
                <w:rFonts w:ascii="宋体"/>
                <w:sz w:val="20"/>
              </w:rPr>
            </w:pPr>
            <w:r>
              <w:rPr>
                <w:rFonts w:ascii="宋体"/>
                <w:w w:val="99"/>
                <w:sz w:val="20"/>
              </w:rPr>
              <w:t> </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before="49"/>
              <w:ind w:right="-15"/>
              <w:jc w:val="right"/>
              <w:rPr>
                <w:rFonts w:ascii="宋体"/>
                <w:sz w:val="20"/>
              </w:rPr>
            </w:pPr>
            <w:r>
              <w:rPr>
                <w:rFonts w:ascii="宋体"/>
                <w:w w:val="99"/>
                <w:sz w:val="20"/>
              </w:rPr>
              <w:t> </w:t>
            </w:r>
          </w:p>
        </w:tc>
        <w:tc>
          <w:tcPr>
            <w:tcW w:w="1896"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3195" w:type="dxa"/>
            <w:tcBorders>
              <w:top w:val="single" w:sz="4" w:space="0" w:color="000000"/>
              <w:bottom w:val="single" w:sz="4" w:space="0" w:color="000000"/>
              <w:right w:val="single" w:sz="4" w:space="0" w:color="000000"/>
            </w:tcBorders>
          </w:tcPr>
          <w:p>
            <w:pPr>
              <w:pStyle w:val="TableParagraph"/>
              <w:spacing w:before="57"/>
              <w:ind w:left="105"/>
              <w:rPr>
                <w:rFonts w:ascii="宋体" w:eastAsia="宋体" w:hint="eastAsia"/>
                <w:sz w:val="20"/>
              </w:rPr>
            </w:pPr>
            <w:r>
              <w:rPr>
                <w:sz w:val="20"/>
              </w:rPr>
              <w:t>4.</w:t>
            </w:r>
            <w:r>
              <w:rPr>
                <w:rFonts w:ascii="宋体" w:eastAsia="宋体" w:hint="eastAsia"/>
                <w:sz w:val="20"/>
              </w:rPr>
              <w:t>外币报表折算差额</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before="50"/>
              <w:ind w:right="-15"/>
              <w:jc w:val="right"/>
              <w:rPr>
                <w:rFonts w:ascii="宋体"/>
                <w:sz w:val="20"/>
              </w:rPr>
            </w:pPr>
            <w:r>
              <w:rPr>
                <w:rFonts w:ascii="宋体"/>
                <w:w w:val="99"/>
                <w:sz w:val="20"/>
              </w:rPr>
              <w:t> </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before="50"/>
              <w:ind w:right="-15"/>
              <w:jc w:val="right"/>
              <w:rPr>
                <w:rFonts w:ascii="宋体"/>
                <w:sz w:val="20"/>
              </w:rPr>
            </w:pPr>
            <w:r>
              <w:rPr>
                <w:rFonts w:ascii="宋体"/>
                <w:w w:val="99"/>
                <w:sz w:val="20"/>
              </w:rPr>
              <w:t> </w:t>
            </w:r>
          </w:p>
        </w:tc>
        <w:tc>
          <w:tcPr>
            <w:tcW w:w="1896"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3195" w:type="dxa"/>
            <w:tcBorders>
              <w:top w:val="single" w:sz="4" w:space="0" w:color="000000"/>
              <w:bottom w:val="single" w:sz="4" w:space="0" w:color="000000"/>
              <w:right w:val="single" w:sz="4" w:space="0" w:color="000000"/>
            </w:tcBorders>
          </w:tcPr>
          <w:p>
            <w:pPr>
              <w:pStyle w:val="TableParagraph"/>
              <w:spacing w:before="56"/>
              <w:ind w:left="105"/>
              <w:rPr>
                <w:rFonts w:ascii="宋体" w:eastAsia="宋体" w:hint="eastAsia"/>
                <w:sz w:val="20"/>
              </w:rPr>
            </w:pPr>
            <w:r>
              <w:rPr>
                <w:sz w:val="20"/>
              </w:rPr>
              <w:t>5.</w:t>
            </w:r>
            <w:r>
              <w:rPr>
                <w:rFonts w:ascii="宋体" w:eastAsia="宋体" w:hint="eastAsia"/>
                <w:sz w:val="20"/>
              </w:rPr>
              <w:t>期末余额</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96"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3195" w:type="dxa"/>
            <w:tcBorders>
              <w:top w:val="single" w:sz="4" w:space="0" w:color="000000"/>
              <w:bottom w:val="single" w:sz="4" w:space="0" w:color="000000"/>
              <w:right w:val="single" w:sz="4" w:space="0" w:color="000000"/>
            </w:tcBorders>
          </w:tcPr>
          <w:p>
            <w:pPr>
              <w:pStyle w:val="TableParagraph"/>
              <w:spacing w:before="56"/>
              <w:ind w:left="105"/>
              <w:rPr>
                <w:rFonts w:ascii="宋体" w:eastAsia="宋体" w:hint="eastAsia"/>
                <w:sz w:val="20"/>
              </w:rPr>
            </w:pPr>
            <w:r>
              <w:rPr>
                <w:rFonts w:ascii="宋体" w:eastAsia="宋体" w:hint="eastAsia"/>
                <w:sz w:val="20"/>
              </w:rPr>
              <w:t>四、账面价值</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before="49"/>
              <w:ind w:right="-15"/>
              <w:jc w:val="right"/>
              <w:rPr>
                <w:rFonts w:ascii="宋体"/>
                <w:sz w:val="20"/>
              </w:rPr>
            </w:pPr>
            <w:r>
              <w:rPr>
                <w:rFonts w:ascii="宋体"/>
                <w:w w:val="99"/>
                <w:sz w:val="20"/>
              </w:rPr>
              <w:t> </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before="49"/>
              <w:ind w:right="-15"/>
              <w:jc w:val="right"/>
              <w:rPr>
                <w:rFonts w:ascii="宋体"/>
                <w:sz w:val="20"/>
              </w:rPr>
            </w:pPr>
            <w:r>
              <w:rPr>
                <w:rFonts w:ascii="宋体"/>
                <w:w w:val="99"/>
                <w:sz w:val="20"/>
              </w:rPr>
              <w:t> </w:t>
            </w:r>
          </w:p>
        </w:tc>
        <w:tc>
          <w:tcPr>
            <w:tcW w:w="1896" w:type="dxa"/>
            <w:tcBorders>
              <w:top w:val="single" w:sz="4" w:space="0" w:color="000000"/>
              <w:left w:val="single" w:sz="4" w:space="0" w:color="000000"/>
              <w:bottom w:val="single" w:sz="4" w:space="0" w:color="000000"/>
            </w:tcBorders>
          </w:tcPr>
          <w:p>
            <w:pPr>
              <w:pStyle w:val="TableParagraph"/>
              <w:spacing w:before="49"/>
              <w:ind w:right="-29"/>
              <w:jc w:val="right"/>
              <w:rPr>
                <w:rFonts w:ascii="宋体"/>
                <w:sz w:val="20"/>
              </w:rPr>
            </w:pPr>
            <w:r>
              <w:rPr>
                <w:rFonts w:ascii="宋体"/>
                <w:w w:val="99"/>
                <w:sz w:val="20"/>
              </w:rPr>
              <w:t> </w:t>
            </w:r>
          </w:p>
        </w:tc>
      </w:tr>
      <w:tr>
        <w:trPr>
          <w:trHeight w:val="369" w:hRule="atLeast"/>
        </w:trPr>
        <w:tc>
          <w:tcPr>
            <w:tcW w:w="3195" w:type="dxa"/>
            <w:tcBorders>
              <w:top w:val="single" w:sz="4" w:space="0" w:color="000000"/>
              <w:bottom w:val="single" w:sz="4" w:space="0" w:color="000000"/>
              <w:right w:val="single" w:sz="4" w:space="0" w:color="000000"/>
            </w:tcBorders>
          </w:tcPr>
          <w:p>
            <w:pPr>
              <w:pStyle w:val="TableParagraph"/>
              <w:spacing w:before="56"/>
              <w:ind w:left="105"/>
              <w:rPr>
                <w:rFonts w:ascii="宋体" w:eastAsia="宋体" w:hint="eastAsia"/>
                <w:sz w:val="20"/>
              </w:rPr>
            </w:pPr>
            <w:r>
              <w:rPr>
                <w:sz w:val="20"/>
              </w:rPr>
              <w:t>1.</w:t>
            </w:r>
            <w:r>
              <w:rPr>
                <w:rFonts w:ascii="宋体" w:eastAsia="宋体" w:hint="eastAsia"/>
                <w:sz w:val="20"/>
              </w:rPr>
              <w:t>期末账面价值</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before="62"/>
              <w:ind w:left="467"/>
              <w:rPr>
                <w:sz w:val="20"/>
              </w:rPr>
            </w:pPr>
            <w:r>
              <w:rPr>
                <w:sz w:val="20"/>
              </w:rPr>
              <w:t>26,848,836.46</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before="62"/>
              <w:ind w:right="83"/>
              <w:jc w:val="right"/>
              <w:rPr>
                <w:sz w:val="20"/>
              </w:rPr>
            </w:pPr>
            <w:r>
              <w:rPr>
                <w:w w:val="95"/>
                <w:sz w:val="20"/>
              </w:rPr>
              <w:t>1,538,166.35</w:t>
            </w:r>
          </w:p>
        </w:tc>
        <w:tc>
          <w:tcPr>
            <w:tcW w:w="1896" w:type="dxa"/>
            <w:tcBorders>
              <w:top w:val="single" w:sz="4" w:space="0" w:color="000000"/>
              <w:left w:val="single" w:sz="4" w:space="0" w:color="000000"/>
              <w:bottom w:val="single" w:sz="4" w:space="0" w:color="000000"/>
            </w:tcBorders>
          </w:tcPr>
          <w:p>
            <w:pPr>
              <w:pStyle w:val="TableParagraph"/>
              <w:spacing w:before="62"/>
              <w:ind w:right="75"/>
              <w:jc w:val="right"/>
              <w:rPr>
                <w:sz w:val="20"/>
              </w:rPr>
            </w:pPr>
            <w:r>
              <w:rPr>
                <w:w w:val="95"/>
                <w:sz w:val="20"/>
              </w:rPr>
              <w:t>28,387,002.81</w:t>
            </w:r>
          </w:p>
        </w:tc>
      </w:tr>
      <w:tr>
        <w:trPr>
          <w:trHeight w:val="366" w:hRule="atLeast"/>
        </w:trPr>
        <w:tc>
          <w:tcPr>
            <w:tcW w:w="3195" w:type="dxa"/>
            <w:tcBorders>
              <w:top w:val="single" w:sz="4" w:space="0" w:color="000000"/>
              <w:right w:val="single" w:sz="4" w:space="0" w:color="000000"/>
            </w:tcBorders>
          </w:tcPr>
          <w:p>
            <w:pPr>
              <w:pStyle w:val="TableParagraph"/>
              <w:spacing w:before="56"/>
              <w:ind w:left="105"/>
              <w:rPr>
                <w:rFonts w:ascii="宋体" w:eastAsia="宋体" w:hint="eastAsia"/>
                <w:sz w:val="20"/>
              </w:rPr>
            </w:pPr>
            <w:r>
              <w:rPr>
                <w:sz w:val="20"/>
              </w:rPr>
              <w:t>2.</w:t>
            </w:r>
            <w:r>
              <w:rPr>
                <w:rFonts w:ascii="宋体" w:eastAsia="宋体" w:hint="eastAsia"/>
                <w:sz w:val="20"/>
              </w:rPr>
              <w:t>期初账面价值</w:t>
            </w:r>
          </w:p>
        </w:tc>
        <w:tc>
          <w:tcPr>
            <w:tcW w:w="1716" w:type="dxa"/>
            <w:tcBorders>
              <w:top w:val="single" w:sz="4" w:space="0" w:color="000000"/>
              <w:left w:val="single" w:sz="4" w:space="0" w:color="000000"/>
              <w:right w:val="single" w:sz="4" w:space="0" w:color="000000"/>
            </w:tcBorders>
          </w:tcPr>
          <w:p>
            <w:pPr>
              <w:pStyle w:val="TableParagraph"/>
              <w:spacing w:before="62"/>
              <w:ind w:left="467"/>
              <w:rPr>
                <w:sz w:val="20"/>
              </w:rPr>
            </w:pPr>
            <w:r>
              <w:rPr>
                <w:sz w:val="20"/>
              </w:rPr>
              <w:t>27,824,288.81</w:t>
            </w:r>
          </w:p>
        </w:tc>
        <w:tc>
          <w:tcPr>
            <w:tcW w:w="1893" w:type="dxa"/>
            <w:tcBorders>
              <w:top w:val="single" w:sz="4" w:space="0" w:color="000000"/>
              <w:left w:val="single" w:sz="4" w:space="0" w:color="000000"/>
              <w:right w:val="single" w:sz="4" w:space="0" w:color="000000"/>
            </w:tcBorders>
          </w:tcPr>
          <w:p>
            <w:pPr>
              <w:pStyle w:val="TableParagraph"/>
              <w:spacing w:before="62"/>
              <w:ind w:right="83"/>
              <w:jc w:val="right"/>
              <w:rPr>
                <w:sz w:val="20"/>
              </w:rPr>
            </w:pPr>
            <w:r>
              <w:rPr>
                <w:w w:val="95"/>
                <w:sz w:val="20"/>
              </w:rPr>
              <w:t>1,578,402.57</w:t>
            </w:r>
          </w:p>
        </w:tc>
        <w:tc>
          <w:tcPr>
            <w:tcW w:w="1896" w:type="dxa"/>
            <w:tcBorders>
              <w:top w:val="single" w:sz="4" w:space="0" w:color="000000"/>
              <w:left w:val="single" w:sz="4" w:space="0" w:color="000000"/>
            </w:tcBorders>
          </w:tcPr>
          <w:p>
            <w:pPr>
              <w:pStyle w:val="TableParagraph"/>
              <w:spacing w:before="62"/>
              <w:ind w:right="75"/>
              <w:jc w:val="right"/>
              <w:rPr>
                <w:sz w:val="20"/>
              </w:rPr>
            </w:pPr>
            <w:r>
              <w:rPr>
                <w:w w:val="95"/>
                <w:sz w:val="20"/>
              </w:rPr>
              <w:t>29,402,691.38</w:t>
            </w:r>
          </w:p>
        </w:tc>
      </w:tr>
    </w:tbl>
    <w:p>
      <w:pPr>
        <w:pStyle w:val="BodyText"/>
        <w:spacing w:before="9"/>
        <w:rPr>
          <w:sz w:val="7"/>
        </w:rPr>
      </w:pPr>
    </w:p>
    <w:p>
      <w:pPr>
        <w:pStyle w:val="ListParagraph"/>
        <w:numPr>
          <w:ilvl w:val="1"/>
          <w:numId w:val="58"/>
        </w:numPr>
        <w:tabs>
          <w:tab w:pos="2427" w:val="left" w:leader="none"/>
        </w:tabs>
        <w:spacing w:line="240" w:lineRule="auto" w:before="78" w:after="0"/>
        <w:ind w:left="2427" w:right="0" w:hanging="529"/>
        <w:jc w:val="left"/>
        <w:rPr>
          <w:sz w:val="21"/>
        </w:rPr>
      </w:pPr>
      <w:r>
        <w:rPr>
          <w:spacing w:val="-7"/>
          <w:sz w:val="21"/>
        </w:rPr>
        <w:t>本期计提的折旧和摊销额为 </w:t>
      </w:r>
      <w:r>
        <w:rPr>
          <w:rFonts w:ascii="Times New Roman" w:eastAsia="Times New Roman"/>
          <w:sz w:val="21"/>
        </w:rPr>
        <w:t>1,865,022.75</w:t>
      </w:r>
      <w:r>
        <w:rPr>
          <w:rFonts w:ascii="Times New Roman" w:eastAsia="Times New Roman"/>
          <w:spacing w:val="-2"/>
          <w:sz w:val="21"/>
        </w:rPr>
        <w:t> </w:t>
      </w:r>
      <w:r>
        <w:rPr>
          <w:sz w:val="21"/>
        </w:rPr>
        <w:t>元。</w:t>
      </w:r>
    </w:p>
    <w:p>
      <w:pPr>
        <w:pStyle w:val="BodyText"/>
        <w:spacing w:before="6"/>
        <w:rPr>
          <w:sz w:val="16"/>
        </w:rPr>
      </w:pPr>
    </w:p>
    <w:p>
      <w:pPr>
        <w:pStyle w:val="ListParagraph"/>
        <w:numPr>
          <w:ilvl w:val="1"/>
          <w:numId w:val="58"/>
        </w:numPr>
        <w:tabs>
          <w:tab w:pos="2427" w:val="left" w:leader="none"/>
        </w:tabs>
        <w:spacing w:line="240" w:lineRule="auto" w:before="0" w:after="0"/>
        <w:ind w:left="2427" w:right="0" w:hanging="529"/>
        <w:jc w:val="left"/>
        <w:rPr>
          <w:sz w:val="21"/>
        </w:rPr>
      </w:pPr>
      <w:r>
        <w:rPr>
          <w:spacing w:val="-3"/>
          <w:sz w:val="21"/>
        </w:rPr>
        <w:t>本公司期末投资性房地产的可收回金额不低于其账面价值，故未计提减值准备。</w:t>
      </w:r>
    </w:p>
    <w:p>
      <w:pPr>
        <w:pStyle w:val="BodyText"/>
        <w:spacing w:before="9"/>
        <w:rPr>
          <w:sz w:val="22"/>
        </w:rPr>
      </w:pPr>
    </w:p>
    <w:p>
      <w:pPr>
        <w:pStyle w:val="Heading4"/>
        <w:spacing w:line="206" w:lineRule="auto" w:before="49"/>
        <w:ind w:right="8757"/>
      </w:pPr>
      <w:r>
        <w:rPr>
          <w:rFonts w:ascii="Times New Roman" w:eastAsia="Times New Roman"/>
        </w:rPr>
        <w:t>15</w:t>
      </w:r>
      <w:r>
        <w:rPr/>
        <w:t>、 固定资产项目列示</w:t>
      </w:r>
    </w:p>
    <w:p>
      <w:pPr>
        <w:pStyle w:val="BodyText"/>
        <w:spacing w:before="31"/>
        <w:ind w:left="1538"/>
      </w:pPr>
      <w:r>
        <w:rPr/>
        <w:t>√适用 □不适用</w:t>
      </w:r>
    </w:p>
    <w:p>
      <w:pPr>
        <w:pStyle w:val="BodyText"/>
        <w:tabs>
          <w:tab w:pos="9111" w:val="left" w:leader="none"/>
        </w:tabs>
        <w:spacing w:before="4"/>
        <w:ind w:left="8059"/>
      </w:pPr>
      <w:r>
        <w:rPr/>
        <w:t>单位：元</w:t>
        <w:tab/>
        <w:t>币</w:t>
      </w:r>
      <w:r>
        <w:rPr>
          <w:spacing w:val="-3"/>
        </w:rPr>
        <w:t>种</w:t>
      </w:r>
      <w:r>
        <w:rPr/>
        <w:t>：</w:t>
      </w:r>
      <w:r>
        <w:rPr>
          <w:spacing w:val="-3"/>
        </w:rPr>
        <w:t>人</w:t>
      </w:r>
      <w:r>
        <w:rPr/>
        <w:t>民币</w:t>
      </w: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308"/>
        <w:gridCol w:w="2864"/>
        <w:gridCol w:w="2879"/>
      </w:tblGrid>
      <w:tr>
        <w:trPr>
          <w:trHeight w:val="272" w:hRule="atLeast"/>
        </w:trPr>
        <w:tc>
          <w:tcPr>
            <w:tcW w:w="3308" w:type="dxa"/>
            <w:tcBorders>
              <w:bottom w:val="single" w:sz="4" w:space="0" w:color="000000"/>
              <w:right w:val="single" w:sz="4" w:space="0" w:color="000000"/>
            </w:tcBorders>
          </w:tcPr>
          <w:p>
            <w:pPr>
              <w:pStyle w:val="TableParagraph"/>
              <w:spacing w:line="253" w:lineRule="exact"/>
              <w:ind w:right="1421"/>
              <w:jc w:val="right"/>
              <w:rPr>
                <w:rFonts w:ascii="Microsoft JhengHei" w:eastAsia="Microsoft JhengHei" w:hint="eastAsia"/>
                <w:b/>
                <w:sz w:val="21"/>
              </w:rPr>
            </w:pPr>
            <w:r>
              <w:rPr>
                <w:rFonts w:ascii="Microsoft JhengHei" w:eastAsia="Microsoft JhengHei" w:hint="eastAsia"/>
                <w:b/>
                <w:sz w:val="21"/>
              </w:rPr>
              <w:t>项目</w:t>
            </w:r>
          </w:p>
        </w:tc>
        <w:tc>
          <w:tcPr>
            <w:tcW w:w="2864" w:type="dxa"/>
            <w:tcBorders>
              <w:left w:val="single" w:sz="4" w:space="0" w:color="000000"/>
              <w:bottom w:val="single" w:sz="4" w:space="0" w:color="000000"/>
              <w:right w:val="single" w:sz="4" w:space="0" w:color="000000"/>
            </w:tcBorders>
          </w:tcPr>
          <w:p>
            <w:pPr>
              <w:pStyle w:val="TableParagraph"/>
              <w:spacing w:line="253" w:lineRule="exact"/>
              <w:ind w:left="1001" w:right="972"/>
              <w:jc w:val="center"/>
              <w:rPr>
                <w:rFonts w:ascii="Microsoft JhengHei" w:eastAsia="Microsoft JhengHei" w:hint="eastAsia"/>
                <w:b/>
                <w:sz w:val="21"/>
              </w:rPr>
            </w:pPr>
            <w:r>
              <w:rPr>
                <w:rFonts w:ascii="Microsoft JhengHei" w:eastAsia="Microsoft JhengHei" w:hint="eastAsia"/>
                <w:b/>
                <w:sz w:val="21"/>
              </w:rPr>
              <w:t>期末余额</w:t>
            </w:r>
          </w:p>
        </w:tc>
        <w:tc>
          <w:tcPr>
            <w:tcW w:w="2879" w:type="dxa"/>
            <w:tcBorders>
              <w:left w:val="single" w:sz="4" w:space="0" w:color="000000"/>
              <w:bottom w:val="single" w:sz="4" w:space="0" w:color="000000"/>
            </w:tcBorders>
          </w:tcPr>
          <w:p>
            <w:pPr>
              <w:pStyle w:val="TableParagraph"/>
              <w:spacing w:line="253" w:lineRule="exact"/>
              <w:ind w:left="1009" w:right="970"/>
              <w:jc w:val="center"/>
              <w:rPr>
                <w:rFonts w:ascii="Microsoft JhengHei" w:eastAsia="Microsoft JhengHei" w:hint="eastAsia"/>
                <w:b/>
                <w:sz w:val="21"/>
              </w:rPr>
            </w:pPr>
            <w:r>
              <w:rPr>
                <w:rFonts w:ascii="Microsoft JhengHei" w:eastAsia="Microsoft JhengHei" w:hint="eastAsia"/>
                <w:b/>
                <w:sz w:val="21"/>
              </w:rPr>
              <w:t>期初余额</w:t>
            </w:r>
          </w:p>
        </w:tc>
      </w:tr>
      <w:tr>
        <w:trPr>
          <w:trHeight w:val="273" w:hRule="atLeast"/>
        </w:trPr>
        <w:tc>
          <w:tcPr>
            <w:tcW w:w="3308" w:type="dxa"/>
            <w:tcBorders>
              <w:top w:val="single" w:sz="4" w:space="0" w:color="000000"/>
              <w:bottom w:val="single" w:sz="4" w:space="0" w:color="000000"/>
              <w:right w:val="single" w:sz="4" w:space="0" w:color="000000"/>
            </w:tcBorders>
          </w:tcPr>
          <w:p>
            <w:pPr>
              <w:pStyle w:val="TableParagraph"/>
              <w:spacing w:line="250" w:lineRule="exact" w:before="3"/>
              <w:ind w:left="107"/>
              <w:rPr>
                <w:rFonts w:ascii="宋体" w:eastAsia="宋体" w:hint="eastAsia"/>
                <w:sz w:val="21"/>
              </w:rPr>
            </w:pPr>
            <w:r>
              <w:rPr>
                <w:rFonts w:ascii="宋体" w:eastAsia="宋体" w:hint="eastAsia"/>
                <w:sz w:val="21"/>
              </w:rPr>
              <w:t>固定资产</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20,878,516,949.39</w:t>
            </w:r>
          </w:p>
        </w:tc>
        <w:tc>
          <w:tcPr>
            <w:tcW w:w="2879" w:type="dxa"/>
            <w:tcBorders>
              <w:top w:val="single" w:sz="4" w:space="0" w:color="000000"/>
              <w:left w:val="single" w:sz="4" w:space="0" w:color="000000"/>
              <w:bottom w:val="single" w:sz="4" w:space="0" w:color="000000"/>
            </w:tcBorders>
          </w:tcPr>
          <w:p>
            <w:pPr>
              <w:pStyle w:val="TableParagraph"/>
              <w:spacing w:before="10"/>
              <w:ind w:right="75"/>
              <w:jc w:val="right"/>
              <w:rPr>
                <w:sz w:val="21"/>
              </w:rPr>
            </w:pPr>
            <w:r>
              <w:rPr>
                <w:sz w:val="21"/>
              </w:rPr>
              <w:t>21,159,138,731.39</w:t>
            </w:r>
          </w:p>
        </w:tc>
      </w:tr>
      <w:tr>
        <w:trPr>
          <w:trHeight w:val="273" w:hRule="atLeast"/>
        </w:trPr>
        <w:tc>
          <w:tcPr>
            <w:tcW w:w="3308"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固定资产清理</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before="10"/>
              <w:ind w:right="84"/>
              <w:jc w:val="right"/>
              <w:rPr>
                <w:sz w:val="21"/>
              </w:rPr>
            </w:pPr>
            <w:r>
              <w:rPr>
                <w:sz w:val="21"/>
              </w:rPr>
              <w:t>16,987,772.82</w:t>
            </w:r>
          </w:p>
        </w:tc>
        <w:tc>
          <w:tcPr>
            <w:tcW w:w="2879" w:type="dxa"/>
            <w:tcBorders>
              <w:top w:val="single" w:sz="4" w:space="0" w:color="000000"/>
              <w:left w:val="single" w:sz="4" w:space="0" w:color="000000"/>
              <w:bottom w:val="single" w:sz="4" w:space="0" w:color="000000"/>
            </w:tcBorders>
          </w:tcPr>
          <w:p>
            <w:pPr>
              <w:pStyle w:val="TableParagraph"/>
              <w:spacing w:before="10"/>
              <w:ind w:right="75"/>
              <w:jc w:val="right"/>
              <w:rPr>
                <w:sz w:val="21"/>
              </w:rPr>
            </w:pPr>
            <w:r>
              <w:rPr>
                <w:sz w:val="21"/>
              </w:rPr>
              <w:t>20,918,480.62</w:t>
            </w:r>
          </w:p>
        </w:tc>
      </w:tr>
      <w:tr>
        <w:trPr>
          <w:trHeight w:val="270" w:hRule="atLeast"/>
        </w:trPr>
        <w:tc>
          <w:tcPr>
            <w:tcW w:w="3308" w:type="dxa"/>
            <w:tcBorders>
              <w:top w:val="single" w:sz="4" w:space="0" w:color="000000"/>
              <w:right w:val="single" w:sz="4" w:space="0" w:color="000000"/>
            </w:tcBorders>
          </w:tcPr>
          <w:p>
            <w:pPr>
              <w:pStyle w:val="TableParagraph"/>
              <w:spacing w:line="249" w:lineRule="exact" w:before="1"/>
              <w:ind w:right="1421"/>
              <w:jc w:val="right"/>
              <w:rPr>
                <w:rFonts w:ascii="宋体" w:eastAsia="宋体" w:hint="eastAsia"/>
                <w:sz w:val="21"/>
              </w:rPr>
            </w:pPr>
            <w:r>
              <w:rPr>
                <w:rFonts w:ascii="宋体" w:eastAsia="宋体" w:hint="eastAsia"/>
                <w:sz w:val="21"/>
              </w:rPr>
              <w:t>合计</w:t>
            </w:r>
          </w:p>
        </w:tc>
        <w:tc>
          <w:tcPr>
            <w:tcW w:w="2864" w:type="dxa"/>
            <w:tcBorders>
              <w:top w:val="single" w:sz="4" w:space="0" w:color="000000"/>
              <w:left w:val="single" w:sz="4" w:space="0" w:color="000000"/>
              <w:right w:val="single" w:sz="4" w:space="0" w:color="000000"/>
            </w:tcBorders>
          </w:tcPr>
          <w:p>
            <w:pPr>
              <w:pStyle w:val="TableParagraph"/>
              <w:spacing w:before="7"/>
              <w:ind w:right="85"/>
              <w:jc w:val="right"/>
              <w:rPr>
                <w:sz w:val="21"/>
              </w:rPr>
            </w:pPr>
            <w:r>
              <w:rPr>
                <w:sz w:val="21"/>
              </w:rPr>
              <w:t>20,895,504,722.21</w:t>
            </w:r>
          </w:p>
        </w:tc>
        <w:tc>
          <w:tcPr>
            <w:tcW w:w="2879" w:type="dxa"/>
            <w:tcBorders>
              <w:top w:val="single" w:sz="4" w:space="0" w:color="000000"/>
              <w:left w:val="single" w:sz="4" w:space="0" w:color="000000"/>
            </w:tcBorders>
          </w:tcPr>
          <w:p>
            <w:pPr>
              <w:pStyle w:val="TableParagraph"/>
              <w:spacing w:before="7"/>
              <w:ind w:right="75"/>
              <w:jc w:val="right"/>
              <w:rPr>
                <w:sz w:val="21"/>
              </w:rPr>
            </w:pPr>
            <w:r>
              <w:rPr>
                <w:sz w:val="21"/>
              </w:rPr>
              <w:t>21,180,057,212.01</w:t>
            </w:r>
          </w:p>
        </w:tc>
      </w:tr>
    </w:tbl>
    <w:p>
      <w:pPr>
        <w:pStyle w:val="BodyText"/>
        <w:spacing w:before="5"/>
        <w:rPr>
          <w:sz w:val="13"/>
        </w:rPr>
      </w:pPr>
    </w:p>
    <w:p>
      <w:pPr>
        <w:pStyle w:val="BodyText"/>
        <w:spacing w:before="72"/>
        <w:ind w:left="1538"/>
      </w:pPr>
      <w:r>
        <w:rPr/>
        <w:t>其他说明：</w:t>
      </w:r>
    </w:p>
    <w:p>
      <w:pPr>
        <w:pStyle w:val="BodyText"/>
        <w:spacing w:before="4"/>
        <w:ind w:left="1538"/>
      </w:pPr>
      <w:r>
        <w:rPr/>
        <w:t>□适用 √不适用</w:t>
      </w:r>
    </w:p>
    <w:p>
      <w:pPr>
        <w:pStyle w:val="Heading4"/>
        <w:spacing w:line="363" w:lineRule="exact" w:before="175"/>
      </w:pPr>
      <w:r>
        <w:rPr/>
        <w:t>固定资产</w:t>
      </w:r>
      <w:r>
        <w:rPr>
          <w:w w:val="201"/>
        </w:rPr>
        <w:t> </w:t>
      </w:r>
    </w:p>
    <w:p>
      <w:pPr>
        <w:pStyle w:val="BodyText"/>
        <w:spacing w:line="246" w:lineRule="exact" w:after="5"/>
        <w:ind w:left="1538"/>
      </w:pPr>
      <w:r>
        <w:rPr>
          <w:w w:val="100"/>
        </w:rPr>
        <w:t> </w:t>
      </w:r>
    </w:p>
    <w:tbl>
      <w:tblPr>
        <w:tblW w:w="0" w:type="auto"/>
        <w:jc w:val="left"/>
        <w:tblInd w:w="14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641"/>
        <w:gridCol w:w="2194"/>
        <w:gridCol w:w="2198"/>
        <w:gridCol w:w="2050"/>
      </w:tblGrid>
      <w:tr>
        <w:trPr>
          <w:trHeight w:val="368" w:hRule="atLeast"/>
        </w:trPr>
        <w:tc>
          <w:tcPr>
            <w:tcW w:w="2641" w:type="dxa"/>
            <w:tcBorders>
              <w:bottom w:val="single" w:sz="4" w:space="0" w:color="000000"/>
              <w:right w:val="single" w:sz="4" w:space="0" w:color="000000"/>
            </w:tcBorders>
          </w:tcPr>
          <w:p>
            <w:pPr>
              <w:pStyle w:val="TableParagraph"/>
              <w:spacing w:line="349" w:lineRule="exact"/>
              <w:ind w:left="876" w:right="859"/>
              <w:jc w:val="center"/>
              <w:rPr>
                <w:rFonts w:ascii="Microsoft JhengHei" w:eastAsia="Microsoft JhengHei" w:hint="eastAsia"/>
                <w:b/>
                <w:sz w:val="20"/>
              </w:rPr>
            </w:pPr>
            <w:r>
              <w:rPr>
                <w:rFonts w:ascii="Microsoft JhengHei" w:eastAsia="Microsoft JhengHei" w:hint="eastAsia"/>
                <w:b/>
                <w:sz w:val="20"/>
              </w:rPr>
              <w:t>项目</w:t>
            </w:r>
          </w:p>
        </w:tc>
        <w:tc>
          <w:tcPr>
            <w:tcW w:w="2194" w:type="dxa"/>
            <w:tcBorders>
              <w:left w:val="single" w:sz="4" w:space="0" w:color="000000"/>
              <w:bottom w:val="single" w:sz="4" w:space="0" w:color="000000"/>
              <w:right w:val="single" w:sz="4" w:space="0" w:color="000000"/>
            </w:tcBorders>
          </w:tcPr>
          <w:p>
            <w:pPr>
              <w:pStyle w:val="TableParagraph"/>
              <w:spacing w:line="349" w:lineRule="exact"/>
              <w:ind w:left="503"/>
              <w:rPr>
                <w:rFonts w:ascii="Microsoft JhengHei" w:eastAsia="Microsoft JhengHei" w:hint="eastAsia"/>
                <w:b/>
                <w:sz w:val="20"/>
              </w:rPr>
            </w:pPr>
            <w:r>
              <w:rPr>
                <w:rFonts w:ascii="Microsoft JhengHei" w:eastAsia="Microsoft JhengHei" w:hint="eastAsia"/>
                <w:b/>
                <w:sz w:val="20"/>
              </w:rPr>
              <w:t>房屋及建筑物</w:t>
            </w:r>
          </w:p>
        </w:tc>
        <w:tc>
          <w:tcPr>
            <w:tcW w:w="2198" w:type="dxa"/>
            <w:tcBorders>
              <w:left w:val="single" w:sz="4" w:space="0" w:color="000000"/>
              <w:bottom w:val="single" w:sz="4" w:space="0" w:color="000000"/>
              <w:right w:val="single" w:sz="4" w:space="0" w:color="000000"/>
            </w:tcBorders>
          </w:tcPr>
          <w:p>
            <w:pPr>
              <w:pStyle w:val="TableParagraph"/>
              <w:spacing w:line="349" w:lineRule="exact"/>
              <w:ind w:left="707"/>
              <w:rPr>
                <w:rFonts w:ascii="Microsoft JhengHei" w:eastAsia="Microsoft JhengHei" w:hint="eastAsia"/>
                <w:b/>
                <w:sz w:val="20"/>
              </w:rPr>
            </w:pPr>
            <w:r>
              <w:rPr>
                <w:rFonts w:ascii="Microsoft JhengHei" w:eastAsia="Microsoft JhengHei" w:hint="eastAsia"/>
                <w:b/>
                <w:sz w:val="20"/>
              </w:rPr>
              <w:t>生产设备</w:t>
            </w:r>
          </w:p>
        </w:tc>
        <w:tc>
          <w:tcPr>
            <w:tcW w:w="2050" w:type="dxa"/>
            <w:tcBorders>
              <w:left w:val="single" w:sz="4" w:space="0" w:color="000000"/>
              <w:bottom w:val="single" w:sz="4" w:space="0" w:color="000000"/>
            </w:tcBorders>
          </w:tcPr>
          <w:p>
            <w:pPr>
              <w:pStyle w:val="TableParagraph"/>
              <w:spacing w:line="349" w:lineRule="exact"/>
              <w:ind w:left="633"/>
              <w:rPr>
                <w:rFonts w:ascii="Microsoft JhengHei" w:eastAsia="Microsoft JhengHei" w:hint="eastAsia"/>
                <w:b/>
                <w:sz w:val="20"/>
              </w:rPr>
            </w:pPr>
            <w:r>
              <w:rPr>
                <w:rFonts w:ascii="Microsoft JhengHei" w:eastAsia="Microsoft JhengHei" w:hint="eastAsia"/>
                <w:b/>
                <w:sz w:val="20"/>
              </w:rPr>
              <w:t>运输设备</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rFonts w:ascii="宋体" w:eastAsia="宋体" w:hint="eastAsia"/>
                <w:sz w:val="20"/>
              </w:rPr>
              <w:t>一、账面原值：</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0"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sz w:val="20"/>
              </w:rPr>
              <w:t>1.</w:t>
            </w:r>
            <w:r>
              <w:rPr>
                <w:rFonts w:ascii="宋体" w:eastAsia="宋体" w:hint="eastAsia"/>
                <w:sz w:val="20"/>
              </w:rPr>
              <w:t>期初余额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62"/>
              <w:ind w:right="9"/>
              <w:jc w:val="right"/>
              <w:rPr>
                <w:sz w:val="20"/>
              </w:rPr>
            </w:pPr>
            <w:r>
              <w:rPr>
                <w:sz w:val="20"/>
              </w:rPr>
              <w:t>9,989,544,831.06</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62"/>
              <w:ind w:right="8"/>
              <w:jc w:val="right"/>
              <w:rPr>
                <w:sz w:val="20"/>
              </w:rPr>
            </w:pPr>
            <w:r>
              <w:rPr>
                <w:w w:val="95"/>
                <w:sz w:val="20"/>
              </w:rPr>
              <w:t>24,245,714,440.91</w:t>
            </w:r>
          </w:p>
        </w:tc>
        <w:tc>
          <w:tcPr>
            <w:tcW w:w="2050" w:type="dxa"/>
            <w:tcBorders>
              <w:top w:val="single" w:sz="4" w:space="0" w:color="000000"/>
              <w:left w:val="single" w:sz="4" w:space="0" w:color="000000"/>
              <w:bottom w:val="single" w:sz="4" w:space="0" w:color="000000"/>
            </w:tcBorders>
          </w:tcPr>
          <w:p>
            <w:pPr>
              <w:pStyle w:val="TableParagraph"/>
              <w:spacing w:before="62"/>
              <w:jc w:val="right"/>
              <w:rPr>
                <w:sz w:val="20"/>
              </w:rPr>
            </w:pPr>
            <w:r>
              <w:rPr>
                <w:w w:val="95"/>
                <w:sz w:val="20"/>
              </w:rPr>
              <w:t>174,044,711.29</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sz w:val="20"/>
              </w:rPr>
              <w:t>2.</w:t>
            </w:r>
            <w:r>
              <w:rPr>
                <w:rFonts w:ascii="宋体" w:eastAsia="宋体" w:hint="eastAsia"/>
                <w:sz w:val="20"/>
              </w:rPr>
              <w:t>本期增加金额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0"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rFonts w:ascii="宋体" w:eastAsia="宋体" w:hint="eastAsia"/>
                <w:sz w:val="20"/>
              </w:rPr>
              <w:t>（</w:t>
            </w:r>
            <w:r>
              <w:rPr>
                <w:sz w:val="20"/>
              </w:rPr>
              <w:t>1</w:t>
            </w:r>
            <w:r>
              <w:rPr>
                <w:rFonts w:ascii="宋体" w:eastAsia="宋体" w:hint="eastAsia"/>
                <w:sz w:val="20"/>
              </w:rPr>
              <w:t>）购置</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62"/>
              <w:ind w:right="9"/>
              <w:jc w:val="right"/>
              <w:rPr>
                <w:sz w:val="20"/>
              </w:rPr>
            </w:pPr>
            <w:r>
              <w:rPr>
                <w:w w:val="95"/>
                <w:sz w:val="20"/>
              </w:rPr>
              <w:t>140,984,748.15</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62"/>
              <w:ind w:right="8"/>
              <w:jc w:val="right"/>
              <w:rPr>
                <w:sz w:val="20"/>
              </w:rPr>
            </w:pPr>
            <w:r>
              <w:rPr>
                <w:sz w:val="20"/>
              </w:rPr>
              <w:t>1,228,153,866.51</w:t>
            </w:r>
          </w:p>
        </w:tc>
        <w:tc>
          <w:tcPr>
            <w:tcW w:w="2050" w:type="dxa"/>
            <w:tcBorders>
              <w:top w:val="single" w:sz="4" w:space="0" w:color="000000"/>
              <w:left w:val="single" w:sz="4" w:space="0" w:color="000000"/>
              <w:bottom w:val="single" w:sz="4" w:space="0" w:color="000000"/>
            </w:tcBorders>
          </w:tcPr>
          <w:p>
            <w:pPr>
              <w:pStyle w:val="TableParagraph"/>
              <w:spacing w:before="62"/>
              <w:ind w:right="-15"/>
              <w:jc w:val="right"/>
              <w:rPr>
                <w:sz w:val="20"/>
              </w:rPr>
            </w:pPr>
            <w:r>
              <w:rPr>
                <w:w w:val="95"/>
                <w:sz w:val="20"/>
              </w:rPr>
              <w:t>2,570,556.39</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rFonts w:ascii="宋体" w:eastAsia="宋体" w:hint="eastAsia"/>
                <w:sz w:val="20"/>
              </w:rPr>
              <w:t>（</w:t>
            </w:r>
            <w:r>
              <w:rPr>
                <w:sz w:val="20"/>
              </w:rPr>
              <w:t>2</w:t>
            </w:r>
            <w:r>
              <w:rPr>
                <w:rFonts w:ascii="宋体" w:eastAsia="宋体" w:hint="eastAsia"/>
                <w:sz w:val="20"/>
              </w:rPr>
              <w:t>）在建工程转入</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62"/>
              <w:ind w:right="9"/>
              <w:jc w:val="right"/>
              <w:rPr>
                <w:sz w:val="20"/>
              </w:rPr>
            </w:pPr>
            <w:r>
              <w:rPr>
                <w:w w:val="95"/>
                <w:sz w:val="20"/>
              </w:rPr>
              <w:t>940,692,793.47</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62"/>
              <w:ind w:right="8"/>
              <w:jc w:val="right"/>
              <w:rPr>
                <w:sz w:val="20"/>
              </w:rPr>
            </w:pPr>
            <w:r>
              <w:rPr>
                <w:sz w:val="20"/>
              </w:rPr>
              <w:t>1,843,363,621.02</w:t>
            </w:r>
          </w:p>
        </w:tc>
        <w:tc>
          <w:tcPr>
            <w:tcW w:w="2050" w:type="dxa"/>
            <w:tcBorders>
              <w:top w:val="single" w:sz="4" w:space="0" w:color="000000"/>
              <w:left w:val="single" w:sz="4" w:space="0" w:color="000000"/>
              <w:bottom w:val="single" w:sz="4" w:space="0" w:color="000000"/>
            </w:tcBorders>
          </w:tcPr>
          <w:p>
            <w:pPr>
              <w:pStyle w:val="TableParagraph"/>
              <w:spacing w:before="62"/>
              <w:ind w:right="-15"/>
              <w:jc w:val="right"/>
              <w:rPr>
                <w:sz w:val="20"/>
              </w:rPr>
            </w:pPr>
            <w:r>
              <w:rPr>
                <w:w w:val="95"/>
                <w:sz w:val="20"/>
              </w:rPr>
              <w:t>14,958,597.91</w:t>
            </w:r>
          </w:p>
        </w:tc>
      </w:tr>
      <w:tr>
        <w:trPr>
          <w:trHeight w:val="366" w:hRule="atLeast"/>
        </w:trPr>
        <w:tc>
          <w:tcPr>
            <w:tcW w:w="2641" w:type="dxa"/>
            <w:tcBorders>
              <w:top w:val="single" w:sz="4" w:space="0" w:color="000000"/>
              <w:right w:val="single" w:sz="4" w:space="0" w:color="000000"/>
            </w:tcBorders>
          </w:tcPr>
          <w:p>
            <w:pPr>
              <w:pStyle w:val="TableParagraph"/>
              <w:spacing w:before="56"/>
              <w:ind w:left="28"/>
              <w:rPr>
                <w:rFonts w:ascii="宋体" w:eastAsia="宋体" w:hint="eastAsia"/>
                <w:sz w:val="20"/>
              </w:rPr>
            </w:pPr>
            <w:r>
              <w:rPr>
                <w:rFonts w:ascii="宋体" w:eastAsia="宋体" w:hint="eastAsia"/>
                <w:sz w:val="20"/>
              </w:rPr>
              <w:t>（</w:t>
            </w:r>
            <w:r>
              <w:rPr>
                <w:sz w:val="20"/>
              </w:rPr>
              <w:t>3</w:t>
            </w:r>
            <w:r>
              <w:rPr>
                <w:rFonts w:ascii="宋体" w:eastAsia="宋体" w:hint="eastAsia"/>
                <w:sz w:val="20"/>
              </w:rPr>
              <w:t>）企业合并增加</w:t>
            </w:r>
          </w:p>
        </w:tc>
        <w:tc>
          <w:tcPr>
            <w:tcW w:w="2194" w:type="dxa"/>
            <w:tcBorders>
              <w:top w:val="single" w:sz="4" w:space="0" w:color="000000"/>
              <w:left w:val="single" w:sz="4" w:space="0" w:color="000000"/>
              <w:right w:val="single" w:sz="4" w:space="0" w:color="000000"/>
            </w:tcBorders>
          </w:tcPr>
          <w:p>
            <w:pPr>
              <w:pStyle w:val="TableParagraph"/>
              <w:rPr>
                <w:sz w:val="20"/>
              </w:rPr>
            </w:pPr>
          </w:p>
        </w:tc>
        <w:tc>
          <w:tcPr>
            <w:tcW w:w="2198" w:type="dxa"/>
            <w:tcBorders>
              <w:top w:val="single" w:sz="4" w:space="0" w:color="000000"/>
              <w:left w:val="single" w:sz="4" w:space="0" w:color="000000"/>
              <w:right w:val="single" w:sz="4" w:space="0" w:color="000000"/>
            </w:tcBorders>
          </w:tcPr>
          <w:p>
            <w:pPr>
              <w:pStyle w:val="TableParagraph"/>
              <w:spacing w:before="62"/>
              <w:ind w:right="8"/>
              <w:jc w:val="right"/>
              <w:rPr>
                <w:sz w:val="20"/>
              </w:rPr>
            </w:pPr>
            <w:r>
              <w:rPr>
                <w:w w:val="95"/>
                <w:sz w:val="20"/>
              </w:rPr>
              <w:t>322,355,185.01</w:t>
            </w:r>
          </w:p>
        </w:tc>
        <w:tc>
          <w:tcPr>
            <w:tcW w:w="2050" w:type="dxa"/>
            <w:tcBorders>
              <w:top w:val="single" w:sz="4" w:space="0" w:color="000000"/>
              <w:left w:val="single" w:sz="4" w:space="0" w:color="000000"/>
            </w:tcBorders>
          </w:tcPr>
          <w:p>
            <w:pPr>
              <w:pStyle w:val="TableParagraph"/>
              <w:spacing w:before="62"/>
              <w:ind w:right="-15"/>
              <w:jc w:val="right"/>
              <w:rPr>
                <w:sz w:val="20"/>
              </w:rPr>
            </w:pPr>
            <w:r>
              <w:rPr>
                <w:w w:val="95"/>
                <w:sz w:val="20"/>
              </w:rPr>
              <w:t>755,209.24</w:t>
            </w:r>
          </w:p>
        </w:tc>
      </w:tr>
    </w:tbl>
    <w:p>
      <w:pPr>
        <w:spacing w:after="0"/>
        <w:jc w:val="right"/>
        <w:rPr>
          <w:sz w:val="20"/>
        </w:rPr>
        <w:sectPr>
          <w:pgSz w:w="11910" w:h="16840"/>
          <w:pgMar w:header="876" w:footer="1214" w:top="1440" w:bottom="1400" w:left="260" w:right="0"/>
        </w:sectPr>
      </w:pPr>
    </w:p>
    <w:p>
      <w:pPr>
        <w:pStyle w:val="BodyText"/>
        <w:spacing w:before="2"/>
        <w:rPr>
          <w:sz w:val="5"/>
        </w:rPr>
      </w:pPr>
    </w:p>
    <w:tbl>
      <w:tblPr>
        <w:tblW w:w="0" w:type="auto"/>
        <w:jc w:val="left"/>
        <w:tblInd w:w="14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641"/>
        <w:gridCol w:w="2194"/>
        <w:gridCol w:w="2198"/>
        <w:gridCol w:w="2050"/>
      </w:tblGrid>
      <w:tr>
        <w:trPr>
          <w:trHeight w:val="371" w:hRule="atLeast"/>
        </w:trPr>
        <w:tc>
          <w:tcPr>
            <w:tcW w:w="2641" w:type="dxa"/>
            <w:tcBorders>
              <w:bottom w:val="single" w:sz="4" w:space="0" w:color="000000"/>
              <w:right w:val="single" w:sz="4" w:space="0" w:color="000000"/>
            </w:tcBorders>
          </w:tcPr>
          <w:p>
            <w:pPr>
              <w:pStyle w:val="TableParagraph"/>
              <w:spacing w:before="59"/>
              <w:ind w:left="28"/>
              <w:rPr>
                <w:rFonts w:ascii="宋体" w:eastAsia="宋体" w:hint="eastAsia"/>
                <w:sz w:val="20"/>
              </w:rPr>
            </w:pPr>
            <w:r>
              <w:rPr>
                <w:sz w:val="20"/>
              </w:rPr>
              <w:t>3.</w:t>
            </w:r>
            <w:r>
              <w:rPr>
                <w:rFonts w:ascii="宋体" w:eastAsia="宋体" w:hint="eastAsia"/>
                <w:sz w:val="20"/>
              </w:rPr>
              <w:t>本期减少金额</w:t>
            </w:r>
          </w:p>
        </w:tc>
        <w:tc>
          <w:tcPr>
            <w:tcW w:w="2194" w:type="dxa"/>
            <w:tcBorders>
              <w:left w:val="single" w:sz="4" w:space="0" w:color="000000"/>
              <w:bottom w:val="single" w:sz="4" w:space="0" w:color="000000"/>
              <w:right w:val="single" w:sz="4" w:space="0" w:color="000000"/>
            </w:tcBorders>
          </w:tcPr>
          <w:p>
            <w:pPr>
              <w:pStyle w:val="TableParagraph"/>
              <w:rPr>
                <w:sz w:val="18"/>
              </w:rPr>
            </w:pPr>
          </w:p>
        </w:tc>
        <w:tc>
          <w:tcPr>
            <w:tcW w:w="2198" w:type="dxa"/>
            <w:tcBorders>
              <w:left w:val="single" w:sz="4" w:space="0" w:color="000000"/>
              <w:bottom w:val="single" w:sz="4" w:space="0" w:color="000000"/>
              <w:right w:val="single" w:sz="4" w:space="0" w:color="000000"/>
            </w:tcBorders>
          </w:tcPr>
          <w:p>
            <w:pPr>
              <w:pStyle w:val="TableParagraph"/>
              <w:rPr>
                <w:sz w:val="18"/>
              </w:rPr>
            </w:pPr>
          </w:p>
        </w:tc>
        <w:tc>
          <w:tcPr>
            <w:tcW w:w="2050" w:type="dxa"/>
            <w:tcBorders>
              <w:left w:val="single" w:sz="4" w:space="0" w:color="000000"/>
              <w:bottom w:val="single" w:sz="4" w:space="0" w:color="000000"/>
            </w:tcBorders>
          </w:tcPr>
          <w:p>
            <w:pPr>
              <w:pStyle w:val="TableParagraph"/>
              <w:rPr>
                <w:sz w:val="18"/>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rFonts w:ascii="宋体" w:eastAsia="宋体" w:hint="eastAsia"/>
                <w:sz w:val="20"/>
              </w:rPr>
              <w:t>（</w:t>
            </w:r>
            <w:r>
              <w:rPr>
                <w:sz w:val="20"/>
              </w:rPr>
              <w:t>1</w:t>
            </w:r>
            <w:r>
              <w:rPr>
                <w:rFonts w:ascii="宋体" w:eastAsia="宋体" w:hint="eastAsia"/>
                <w:sz w:val="20"/>
              </w:rPr>
              <w:t>）处置或报废</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62"/>
              <w:ind w:right="8"/>
              <w:jc w:val="right"/>
              <w:rPr>
                <w:sz w:val="20"/>
              </w:rPr>
            </w:pPr>
            <w:r>
              <w:rPr>
                <w:w w:val="95"/>
                <w:sz w:val="20"/>
              </w:rPr>
              <w:t>49,867,379.50</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62"/>
              <w:ind w:right="8"/>
              <w:jc w:val="right"/>
              <w:rPr>
                <w:sz w:val="20"/>
              </w:rPr>
            </w:pPr>
            <w:r>
              <w:rPr>
                <w:sz w:val="20"/>
              </w:rPr>
              <w:t>1,071,980,546.05</w:t>
            </w:r>
          </w:p>
        </w:tc>
        <w:tc>
          <w:tcPr>
            <w:tcW w:w="2050" w:type="dxa"/>
            <w:tcBorders>
              <w:top w:val="single" w:sz="4" w:space="0" w:color="000000"/>
              <w:left w:val="single" w:sz="4" w:space="0" w:color="000000"/>
              <w:bottom w:val="single" w:sz="4" w:space="0" w:color="000000"/>
            </w:tcBorders>
          </w:tcPr>
          <w:p>
            <w:pPr>
              <w:pStyle w:val="TableParagraph"/>
              <w:spacing w:before="62"/>
              <w:ind w:right="-15"/>
              <w:jc w:val="right"/>
              <w:rPr>
                <w:sz w:val="20"/>
              </w:rPr>
            </w:pPr>
            <w:r>
              <w:rPr>
                <w:w w:val="95"/>
                <w:sz w:val="20"/>
              </w:rPr>
              <w:t>8,512,747.07</w:t>
            </w:r>
          </w:p>
        </w:tc>
      </w:tr>
      <w:tr>
        <w:trPr>
          <w:trHeight w:val="366"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rFonts w:ascii="宋体" w:eastAsia="宋体" w:hint="eastAsia"/>
                <w:sz w:val="20"/>
              </w:rPr>
              <w:t>（</w:t>
            </w:r>
            <w:r>
              <w:rPr>
                <w:sz w:val="20"/>
              </w:rPr>
              <w:t>2</w:t>
            </w:r>
            <w:r>
              <w:rPr>
                <w:rFonts w:ascii="宋体" w:eastAsia="宋体" w:hint="eastAsia"/>
                <w:sz w:val="20"/>
              </w:rPr>
              <w:t>）处置子公司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62"/>
              <w:ind w:right="9"/>
              <w:jc w:val="right"/>
              <w:rPr>
                <w:sz w:val="20"/>
              </w:rPr>
            </w:pPr>
            <w:r>
              <w:rPr>
                <w:w w:val="95"/>
                <w:sz w:val="20"/>
              </w:rPr>
              <w:t>597,145,933.92</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62"/>
              <w:ind w:right="8"/>
              <w:jc w:val="right"/>
              <w:rPr>
                <w:sz w:val="20"/>
              </w:rPr>
            </w:pPr>
            <w:r>
              <w:rPr>
                <w:sz w:val="20"/>
              </w:rPr>
              <w:t>1,150,026,699.79</w:t>
            </w:r>
          </w:p>
        </w:tc>
        <w:tc>
          <w:tcPr>
            <w:tcW w:w="2050" w:type="dxa"/>
            <w:tcBorders>
              <w:top w:val="single" w:sz="4" w:space="0" w:color="000000"/>
              <w:left w:val="single" w:sz="4" w:space="0" w:color="000000"/>
              <w:bottom w:val="single" w:sz="4" w:space="0" w:color="000000"/>
            </w:tcBorders>
          </w:tcPr>
          <w:p>
            <w:pPr>
              <w:pStyle w:val="TableParagraph"/>
              <w:spacing w:before="62"/>
              <w:ind w:right="-15"/>
              <w:jc w:val="right"/>
              <w:rPr>
                <w:sz w:val="20"/>
              </w:rPr>
            </w:pPr>
            <w:r>
              <w:rPr>
                <w:w w:val="95"/>
                <w:sz w:val="20"/>
              </w:rPr>
              <w:t>11,291,650.37</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9"/>
              <w:ind w:left="28"/>
              <w:rPr>
                <w:rFonts w:ascii="宋体" w:eastAsia="宋体" w:hint="eastAsia"/>
                <w:sz w:val="20"/>
              </w:rPr>
            </w:pPr>
            <w:r>
              <w:rPr>
                <w:rFonts w:ascii="宋体" w:eastAsia="宋体" w:hint="eastAsia"/>
                <w:sz w:val="20"/>
              </w:rPr>
              <w:t>（</w:t>
            </w:r>
            <w:r>
              <w:rPr>
                <w:sz w:val="20"/>
              </w:rPr>
              <w:t>3</w:t>
            </w:r>
            <w:r>
              <w:rPr>
                <w:rFonts w:ascii="宋体" w:eastAsia="宋体" w:hint="eastAsia"/>
                <w:sz w:val="20"/>
              </w:rPr>
              <w:t>）转入持有待售</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0"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sz w:val="20"/>
              </w:rPr>
              <w:t>4.</w:t>
            </w:r>
            <w:r>
              <w:rPr>
                <w:rFonts w:ascii="宋体" w:eastAsia="宋体" w:hint="eastAsia"/>
                <w:sz w:val="20"/>
              </w:rPr>
              <w:t>外币报表折算差额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65"/>
              <w:ind w:right="9"/>
              <w:jc w:val="right"/>
              <w:rPr>
                <w:sz w:val="20"/>
              </w:rPr>
            </w:pPr>
            <w:r>
              <w:rPr>
                <w:w w:val="95"/>
                <w:sz w:val="20"/>
              </w:rPr>
              <w:t>-261,833,453.99</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65"/>
              <w:ind w:right="8"/>
              <w:jc w:val="right"/>
              <w:rPr>
                <w:sz w:val="20"/>
              </w:rPr>
            </w:pPr>
            <w:r>
              <w:rPr>
                <w:w w:val="95"/>
                <w:sz w:val="20"/>
              </w:rPr>
              <w:t>-998,189,889.47</w:t>
            </w:r>
          </w:p>
        </w:tc>
        <w:tc>
          <w:tcPr>
            <w:tcW w:w="2050" w:type="dxa"/>
            <w:tcBorders>
              <w:top w:val="single" w:sz="4" w:space="0" w:color="000000"/>
              <w:left w:val="single" w:sz="4" w:space="0" w:color="000000"/>
              <w:bottom w:val="single" w:sz="4" w:space="0" w:color="000000"/>
            </w:tcBorders>
          </w:tcPr>
          <w:p>
            <w:pPr>
              <w:pStyle w:val="TableParagraph"/>
              <w:spacing w:before="65"/>
              <w:ind w:right="-15"/>
              <w:jc w:val="right"/>
              <w:rPr>
                <w:sz w:val="20"/>
              </w:rPr>
            </w:pPr>
            <w:r>
              <w:rPr>
                <w:w w:val="95"/>
                <w:sz w:val="20"/>
              </w:rPr>
              <w:t>-3,396,468.16</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sz w:val="20"/>
              </w:rPr>
              <w:t>5.</w:t>
            </w:r>
            <w:r>
              <w:rPr>
                <w:rFonts w:ascii="宋体" w:eastAsia="宋体" w:hint="eastAsia"/>
                <w:sz w:val="20"/>
              </w:rPr>
              <w:t>期末余额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62"/>
              <w:ind w:right="9"/>
              <w:jc w:val="right"/>
              <w:rPr>
                <w:sz w:val="20"/>
              </w:rPr>
            </w:pPr>
            <w:r>
              <w:rPr>
                <w:w w:val="95"/>
                <w:sz w:val="20"/>
              </w:rPr>
              <w:t>10,162,375,605.27</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62"/>
              <w:ind w:right="8"/>
              <w:jc w:val="right"/>
              <w:rPr>
                <w:sz w:val="20"/>
              </w:rPr>
            </w:pPr>
            <w:r>
              <w:rPr>
                <w:w w:val="95"/>
                <w:sz w:val="20"/>
              </w:rPr>
              <w:t>24,419,389,978.14</w:t>
            </w:r>
          </w:p>
        </w:tc>
        <w:tc>
          <w:tcPr>
            <w:tcW w:w="2050" w:type="dxa"/>
            <w:tcBorders>
              <w:top w:val="single" w:sz="4" w:space="0" w:color="000000"/>
              <w:left w:val="single" w:sz="4" w:space="0" w:color="000000"/>
              <w:bottom w:val="single" w:sz="4" w:space="0" w:color="000000"/>
            </w:tcBorders>
          </w:tcPr>
          <w:p>
            <w:pPr>
              <w:pStyle w:val="TableParagraph"/>
              <w:spacing w:before="62"/>
              <w:jc w:val="right"/>
              <w:rPr>
                <w:sz w:val="20"/>
              </w:rPr>
            </w:pPr>
            <w:r>
              <w:rPr>
                <w:w w:val="95"/>
                <w:sz w:val="20"/>
              </w:rPr>
              <w:t>169,128,209.23</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rFonts w:ascii="宋体" w:eastAsia="宋体" w:hint="eastAsia"/>
                <w:sz w:val="20"/>
              </w:rPr>
              <w:t>二、累计折旧</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0"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sz w:val="20"/>
              </w:rPr>
              <w:t>1.</w:t>
            </w:r>
            <w:r>
              <w:rPr>
                <w:rFonts w:ascii="宋体" w:eastAsia="宋体" w:hint="eastAsia"/>
                <w:sz w:val="20"/>
              </w:rPr>
              <w:t>期初余额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62"/>
              <w:ind w:right="9"/>
              <w:jc w:val="right"/>
              <w:rPr>
                <w:sz w:val="20"/>
              </w:rPr>
            </w:pPr>
            <w:r>
              <w:rPr>
                <w:sz w:val="20"/>
              </w:rPr>
              <w:t>3,419,949,048.61</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62"/>
              <w:ind w:right="8"/>
              <w:jc w:val="right"/>
              <w:rPr>
                <w:sz w:val="20"/>
              </w:rPr>
            </w:pPr>
            <w:r>
              <w:rPr>
                <w:w w:val="95"/>
                <w:sz w:val="20"/>
              </w:rPr>
              <w:t>11,017,050,073.01</w:t>
            </w:r>
          </w:p>
        </w:tc>
        <w:tc>
          <w:tcPr>
            <w:tcW w:w="2050" w:type="dxa"/>
            <w:tcBorders>
              <w:top w:val="single" w:sz="4" w:space="0" w:color="000000"/>
              <w:left w:val="single" w:sz="4" w:space="0" w:color="000000"/>
              <w:bottom w:val="single" w:sz="4" w:space="0" w:color="000000"/>
            </w:tcBorders>
          </w:tcPr>
          <w:p>
            <w:pPr>
              <w:pStyle w:val="TableParagraph"/>
              <w:spacing w:before="62"/>
              <w:ind w:right="-15"/>
              <w:jc w:val="right"/>
              <w:rPr>
                <w:sz w:val="20"/>
              </w:rPr>
            </w:pPr>
            <w:r>
              <w:rPr>
                <w:w w:val="95"/>
                <w:sz w:val="20"/>
              </w:rPr>
              <w:t>96,937,625.18</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sz w:val="20"/>
              </w:rPr>
              <w:t>2.</w:t>
            </w:r>
            <w:r>
              <w:rPr>
                <w:rFonts w:ascii="宋体" w:eastAsia="宋体" w:hint="eastAsia"/>
                <w:sz w:val="20"/>
              </w:rPr>
              <w:t>本期增加金额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0"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rFonts w:ascii="宋体" w:eastAsia="宋体" w:hint="eastAsia"/>
                <w:sz w:val="20"/>
              </w:rPr>
              <w:t>（</w:t>
            </w:r>
            <w:r>
              <w:rPr>
                <w:sz w:val="20"/>
              </w:rPr>
              <w:t>1</w:t>
            </w:r>
            <w:r>
              <w:rPr>
                <w:rFonts w:ascii="宋体" w:eastAsia="宋体" w:hint="eastAsia"/>
                <w:sz w:val="20"/>
              </w:rPr>
              <w:t>）计提</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62"/>
              <w:ind w:right="9"/>
              <w:jc w:val="right"/>
              <w:rPr>
                <w:sz w:val="20"/>
              </w:rPr>
            </w:pPr>
            <w:r>
              <w:rPr>
                <w:w w:val="95"/>
                <w:sz w:val="20"/>
              </w:rPr>
              <w:t>497,310,982.13</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62"/>
              <w:ind w:right="8"/>
              <w:jc w:val="right"/>
              <w:rPr>
                <w:sz w:val="20"/>
              </w:rPr>
            </w:pPr>
            <w:r>
              <w:rPr>
                <w:sz w:val="20"/>
              </w:rPr>
              <w:t>2,400,036,490.94</w:t>
            </w:r>
          </w:p>
        </w:tc>
        <w:tc>
          <w:tcPr>
            <w:tcW w:w="2050" w:type="dxa"/>
            <w:tcBorders>
              <w:top w:val="single" w:sz="4" w:space="0" w:color="000000"/>
              <w:left w:val="single" w:sz="4" w:space="0" w:color="000000"/>
              <w:bottom w:val="single" w:sz="4" w:space="0" w:color="000000"/>
            </w:tcBorders>
          </w:tcPr>
          <w:p>
            <w:pPr>
              <w:pStyle w:val="TableParagraph"/>
              <w:spacing w:before="62"/>
              <w:ind w:right="-15"/>
              <w:jc w:val="right"/>
              <w:rPr>
                <w:sz w:val="20"/>
              </w:rPr>
            </w:pPr>
            <w:r>
              <w:rPr>
                <w:w w:val="95"/>
                <w:sz w:val="20"/>
              </w:rPr>
              <w:t>20,208,501.12</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7"/>
              <w:ind w:left="28"/>
              <w:rPr>
                <w:rFonts w:ascii="宋体" w:eastAsia="宋体" w:hint="eastAsia"/>
                <w:sz w:val="20"/>
              </w:rPr>
            </w:pPr>
            <w:r>
              <w:rPr>
                <w:rFonts w:ascii="宋体" w:eastAsia="宋体" w:hint="eastAsia"/>
                <w:sz w:val="20"/>
              </w:rPr>
              <w:t>（</w:t>
            </w:r>
            <w:r>
              <w:rPr>
                <w:sz w:val="20"/>
              </w:rPr>
              <w:t>2</w:t>
            </w:r>
            <w:r>
              <w:rPr>
                <w:rFonts w:ascii="宋体" w:eastAsia="宋体" w:hint="eastAsia"/>
                <w:sz w:val="20"/>
              </w:rPr>
              <w:t>）企业合并增加</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63"/>
              <w:ind w:right="8"/>
              <w:jc w:val="right"/>
              <w:rPr>
                <w:sz w:val="20"/>
              </w:rPr>
            </w:pPr>
            <w:r>
              <w:rPr>
                <w:w w:val="95"/>
                <w:sz w:val="20"/>
              </w:rPr>
              <w:t>145,073,532.93</w:t>
            </w:r>
          </w:p>
        </w:tc>
        <w:tc>
          <w:tcPr>
            <w:tcW w:w="2050" w:type="dxa"/>
            <w:tcBorders>
              <w:top w:val="single" w:sz="4" w:space="0" w:color="000000"/>
              <w:left w:val="single" w:sz="4" w:space="0" w:color="000000"/>
              <w:bottom w:val="single" w:sz="4" w:space="0" w:color="000000"/>
            </w:tcBorders>
          </w:tcPr>
          <w:p>
            <w:pPr>
              <w:pStyle w:val="TableParagraph"/>
              <w:spacing w:before="63"/>
              <w:ind w:right="-15"/>
              <w:jc w:val="right"/>
              <w:rPr>
                <w:sz w:val="20"/>
              </w:rPr>
            </w:pPr>
            <w:r>
              <w:rPr>
                <w:w w:val="95"/>
                <w:sz w:val="20"/>
              </w:rPr>
              <w:t>372,442.10</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sz w:val="20"/>
              </w:rPr>
              <w:t>3.</w:t>
            </w:r>
            <w:r>
              <w:rPr>
                <w:rFonts w:ascii="宋体" w:eastAsia="宋体" w:hint="eastAsia"/>
                <w:sz w:val="20"/>
              </w:rPr>
              <w:t>本期减少金额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0"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rFonts w:ascii="宋体" w:eastAsia="宋体" w:hint="eastAsia"/>
                <w:sz w:val="20"/>
              </w:rPr>
              <w:t>（</w:t>
            </w:r>
            <w:r>
              <w:rPr>
                <w:sz w:val="20"/>
              </w:rPr>
              <w:t>1</w:t>
            </w:r>
            <w:r>
              <w:rPr>
                <w:rFonts w:ascii="宋体" w:eastAsia="宋体" w:hint="eastAsia"/>
                <w:sz w:val="20"/>
              </w:rPr>
              <w:t>）处置或报废</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62"/>
              <w:ind w:right="8"/>
              <w:jc w:val="right"/>
              <w:rPr>
                <w:sz w:val="20"/>
              </w:rPr>
            </w:pPr>
            <w:r>
              <w:rPr>
                <w:w w:val="95"/>
                <w:sz w:val="20"/>
              </w:rPr>
              <w:t>17,818,039.93</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62"/>
              <w:ind w:right="8"/>
              <w:jc w:val="right"/>
              <w:rPr>
                <w:sz w:val="20"/>
              </w:rPr>
            </w:pPr>
            <w:r>
              <w:rPr>
                <w:w w:val="95"/>
                <w:sz w:val="20"/>
              </w:rPr>
              <w:t>691,148,068.91</w:t>
            </w:r>
          </w:p>
        </w:tc>
        <w:tc>
          <w:tcPr>
            <w:tcW w:w="2050" w:type="dxa"/>
            <w:tcBorders>
              <w:top w:val="single" w:sz="4" w:space="0" w:color="000000"/>
              <w:left w:val="single" w:sz="4" w:space="0" w:color="000000"/>
              <w:bottom w:val="single" w:sz="4" w:space="0" w:color="000000"/>
            </w:tcBorders>
          </w:tcPr>
          <w:p>
            <w:pPr>
              <w:pStyle w:val="TableParagraph"/>
              <w:spacing w:before="62"/>
              <w:ind w:right="-15"/>
              <w:jc w:val="right"/>
              <w:rPr>
                <w:sz w:val="20"/>
              </w:rPr>
            </w:pPr>
            <w:r>
              <w:rPr>
                <w:w w:val="95"/>
                <w:sz w:val="20"/>
              </w:rPr>
              <w:t>6,397,925.68</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rFonts w:ascii="宋体" w:eastAsia="宋体" w:hint="eastAsia"/>
                <w:sz w:val="20"/>
              </w:rPr>
              <w:t>（</w:t>
            </w:r>
            <w:r>
              <w:rPr>
                <w:sz w:val="20"/>
              </w:rPr>
              <w:t>2</w:t>
            </w:r>
            <w:r>
              <w:rPr>
                <w:rFonts w:ascii="宋体" w:eastAsia="宋体" w:hint="eastAsia"/>
                <w:sz w:val="20"/>
              </w:rPr>
              <w:t>）处置子公司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62"/>
              <w:ind w:right="9"/>
              <w:jc w:val="right"/>
              <w:rPr>
                <w:sz w:val="20"/>
              </w:rPr>
            </w:pPr>
            <w:r>
              <w:rPr>
                <w:w w:val="95"/>
                <w:sz w:val="20"/>
              </w:rPr>
              <w:t>321,376,248.28</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62"/>
              <w:ind w:right="8"/>
              <w:jc w:val="right"/>
              <w:rPr>
                <w:sz w:val="20"/>
              </w:rPr>
            </w:pPr>
            <w:r>
              <w:rPr>
                <w:w w:val="95"/>
                <w:sz w:val="20"/>
              </w:rPr>
              <w:t>816,642,066.26</w:t>
            </w:r>
          </w:p>
        </w:tc>
        <w:tc>
          <w:tcPr>
            <w:tcW w:w="2050" w:type="dxa"/>
            <w:tcBorders>
              <w:top w:val="single" w:sz="4" w:space="0" w:color="000000"/>
              <w:left w:val="single" w:sz="4" w:space="0" w:color="000000"/>
              <w:bottom w:val="single" w:sz="4" w:space="0" w:color="000000"/>
            </w:tcBorders>
          </w:tcPr>
          <w:p>
            <w:pPr>
              <w:pStyle w:val="TableParagraph"/>
              <w:spacing w:before="62"/>
              <w:ind w:right="-15"/>
              <w:jc w:val="right"/>
              <w:rPr>
                <w:sz w:val="20"/>
              </w:rPr>
            </w:pPr>
            <w:r>
              <w:rPr>
                <w:w w:val="95"/>
                <w:sz w:val="20"/>
              </w:rPr>
              <w:t>9,947,210.58</w:t>
            </w:r>
          </w:p>
        </w:tc>
      </w:tr>
      <w:tr>
        <w:trPr>
          <w:trHeight w:val="366"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rFonts w:ascii="宋体" w:eastAsia="宋体" w:hint="eastAsia"/>
                <w:sz w:val="20"/>
              </w:rPr>
              <w:t>（</w:t>
            </w:r>
            <w:r>
              <w:rPr>
                <w:sz w:val="20"/>
              </w:rPr>
              <w:t>3</w:t>
            </w:r>
            <w:r>
              <w:rPr>
                <w:rFonts w:ascii="宋体" w:eastAsia="宋体" w:hint="eastAsia"/>
                <w:sz w:val="20"/>
              </w:rPr>
              <w:t>）转入持有待售</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0"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sz w:val="20"/>
              </w:rPr>
              <w:t>4.</w:t>
            </w:r>
            <w:r>
              <w:rPr>
                <w:rFonts w:ascii="宋体" w:eastAsia="宋体" w:hint="eastAsia"/>
                <w:sz w:val="20"/>
              </w:rPr>
              <w:t>外币报表折算差额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65"/>
              <w:ind w:right="9"/>
              <w:jc w:val="right"/>
              <w:rPr>
                <w:sz w:val="20"/>
              </w:rPr>
            </w:pPr>
            <w:r>
              <w:rPr>
                <w:w w:val="95"/>
                <w:sz w:val="20"/>
              </w:rPr>
              <w:t>-64,250,415.06</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65"/>
              <w:ind w:right="8"/>
              <w:jc w:val="right"/>
              <w:rPr>
                <w:sz w:val="20"/>
              </w:rPr>
            </w:pPr>
            <w:r>
              <w:rPr>
                <w:w w:val="95"/>
                <w:sz w:val="20"/>
              </w:rPr>
              <w:t>-441,335,487.64</w:t>
            </w:r>
          </w:p>
        </w:tc>
        <w:tc>
          <w:tcPr>
            <w:tcW w:w="2050" w:type="dxa"/>
            <w:tcBorders>
              <w:top w:val="single" w:sz="4" w:space="0" w:color="000000"/>
              <w:left w:val="single" w:sz="4" w:space="0" w:color="000000"/>
              <w:bottom w:val="single" w:sz="4" w:space="0" w:color="000000"/>
            </w:tcBorders>
          </w:tcPr>
          <w:p>
            <w:pPr>
              <w:pStyle w:val="TableParagraph"/>
              <w:spacing w:before="65"/>
              <w:ind w:right="-15"/>
              <w:jc w:val="right"/>
              <w:rPr>
                <w:sz w:val="20"/>
              </w:rPr>
            </w:pPr>
            <w:r>
              <w:rPr>
                <w:w w:val="95"/>
                <w:sz w:val="20"/>
              </w:rPr>
              <w:t>-2,128,599.01</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sz w:val="20"/>
              </w:rPr>
              <w:t>5.</w:t>
            </w:r>
            <w:r>
              <w:rPr>
                <w:rFonts w:ascii="宋体" w:eastAsia="宋体" w:hint="eastAsia"/>
                <w:sz w:val="20"/>
              </w:rPr>
              <w:t>期末余额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65"/>
              <w:ind w:right="9"/>
              <w:jc w:val="right"/>
              <w:rPr>
                <w:sz w:val="20"/>
              </w:rPr>
            </w:pPr>
            <w:r>
              <w:rPr>
                <w:sz w:val="20"/>
              </w:rPr>
              <w:t>3,513,815,327.47</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65"/>
              <w:ind w:right="8"/>
              <w:jc w:val="right"/>
              <w:rPr>
                <w:sz w:val="20"/>
              </w:rPr>
            </w:pPr>
            <w:r>
              <w:rPr>
                <w:w w:val="95"/>
                <w:sz w:val="20"/>
              </w:rPr>
              <w:t>11,613,034,474.07</w:t>
            </w:r>
          </w:p>
        </w:tc>
        <w:tc>
          <w:tcPr>
            <w:tcW w:w="2050" w:type="dxa"/>
            <w:tcBorders>
              <w:top w:val="single" w:sz="4" w:space="0" w:color="000000"/>
              <w:left w:val="single" w:sz="4" w:space="0" w:color="000000"/>
              <w:bottom w:val="single" w:sz="4" w:space="0" w:color="000000"/>
            </w:tcBorders>
          </w:tcPr>
          <w:p>
            <w:pPr>
              <w:pStyle w:val="TableParagraph"/>
              <w:spacing w:before="65"/>
              <w:ind w:right="-15"/>
              <w:jc w:val="right"/>
              <w:rPr>
                <w:sz w:val="20"/>
              </w:rPr>
            </w:pPr>
            <w:r>
              <w:rPr>
                <w:w w:val="95"/>
                <w:sz w:val="20"/>
              </w:rPr>
              <w:t>99,044,833.13</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rFonts w:ascii="宋体" w:eastAsia="宋体" w:hint="eastAsia"/>
                <w:sz w:val="20"/>
              </w:rPr>
              <w:t>三、减值准备</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0"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sz w:val="20"/>
              </w:rPr>
              <w:t>1.</w:t>
            </w:r>
            <w:r>
              <w:rPr>
                <w:rFonts w:ascii="宋体" w:eastAsia="宋体" w:hint="eastAsia"/>
                <w:sz w:val="20"/>
              </w:rPr>
              <w:t>期初余额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62"/>
              <w:ind w:right="8"/>
              <w:jc w:val="right"/>
              <w:rPr>
                <w:sz w:val="20"/>
              </w:rPr>
            </w:pPr>
            <w:r>
              <w:rPr>
                <w:w w:val="95"/>
                <w:sz w:val="20"/>
              </w:rPr>
              <w:t>34,461,480.76</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62"/>
              <w:ind w:right="8"/>
              <w:jc w:val="right"/>
              <w:rPr>
                <w:sz w:val="20"/>
              </w:rPr>
            </w:pPr>
            <w:r>
              <w:rPr>
                <w:w w:val="95"/>
                <w:sz w:val="20"/>
              </w:rPr>
              <w:t>14,555,443.55</w:t>
            </w:r>
          </w:p>
        </w:tc>
        <w:tc>
          <w:tcPr>
            <w:tcW w:w="2050" w:type="dxa"/>
            <w:tcBorders>
              <w:top w:val="single" w:sz="4" w:space="0" w:color="000000"/>
              <w:left w:val="single" w:sz="4" w:space="0" w:color="000000"/>
              <w:bottom w:val="single" w:sz="4" w:space="0" w:color="000000"/>
            </w:tcBorders>
          </w:tcPr>
          <w:p>
            <w:pPr>
              <w:pStyle w:val="TableParagraph"/>
              <w:spacing w:before="62"/>
              <w:ind w:right="-15"/>
              <w:jc w:val="right"/>
              <w:rPr>
                <w:sz w:val="20"/>
              </w:rPr>
            </w:pPr>
            <w:r>
              <w:rPr>
                <w:w w:val="95"/>
                <w:sz w:val="20"/>
              </w:rPr>
              <w:t>80,617.22</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7"/>
              <w:ind w:left="28"/>
              <w:rPr>
                <w:rFonts w:ascii="宋体" w:eastAsia="宋体" w:hint="eastAsia"/>
                <w:sz w:val="20"/>
              </w:rPr>
            </w:pPr>
            <w:r>
              <w:rPr>
                <w:sz w:val="20"/>
              </w:rPr>
              <w:t>2.</w:t>
            </w:r>
            <w:r>
              <w:rPr>
                <w:rFonts w:ascii="宋体" w:eastAsia="宋体" w:hint="eastAsia"/>
                <w:sz w:val="20"/>
              </w:rPr>
              <w:t>本期增加金额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0"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rFonts w:ascii="宋体" w:eastAsia="宋体" w:hint="eastAsia"/>
                <w:sz w:val="20"/>
              </w:rPr>
              <w:t>（</w:t>
            </w:r>
            <w:r>
              <w:rPr>
                <w:sz w:val="20"/>
              </w:rPr>
              <w:t>1</w:t>
            </w:r>
            <w:r>
              <w:rPr>
                <w:rFonts w:ascii="宋体" w:eastAsia="宋体" w:hint="eastAsia"/>
                <w:sz w:val="20"/>
              </w:rPr>
              <w:t>）计提</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0" w:type="dxa"/>
            <w:tcBorders>
              <w:top w:val="single" w:sz="4" w:space="0" w:color="000000"/>
              <w:left w:val="single" w:sz="4" w:space="0" w:color="000000"/>
              <w:bottom w:val="single" w:sz="4" w:space="0" w:color="000000"/>
            </w:tcBorders>
          </w:tcPr>
          <w:p>
            <w:pPr>
              <w:pStyle w:val="TableParagraph"/>
              <w:spacing w:before="62"/>
              <w:ind w:right="-15"/>
              <w:jc w:val="right"/>
              <w:rPr>
                <w:sz w:val="20"/>
              </w:rPr>
            </w:pPr>
            <w:r>
              <w:rPr>
                <w:w w:val="95"/>
                <w:sz w:val="20"/>
              </w:rPr>
              <w:t>107,438.94</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rFonts w:ascii="宋体" w:eastAsia="宋体" w:hint="eastAsia"/>
                <w:sz w:val="20"/>
              </w:rPr>
              <w:t>（</w:t>
            </w:r>
            <w:r>
              <w:rPr>
                <w:sz w:val="20"/>
              </w:rPr>
              <w:t>2</w:t>
            </w:r>
            <w:r>
              <w:rPr>
                <w:rFonts w:ascii="宋体" w:eastAsia="宋体" w:hint="eastAsia"/>
                <w:sz w:val="20"/>
              </w:rPr>
              <w:t>）企业合并增加</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62"/>
              <w:ind w:right="8"/>
              <w:jc w:val="right"/>
              <w:rPr>
                <w:sz w:val="20"/>
              </w:rPr>
            </w:pPr>
            <w:r>
              <w:rPr>
                <w:w w:val="95"/>
                <w:sz w:val="20"/>
              </w:rPr>
              <w:t>127,167,231.67</w:t>
            </w:r>
          </w:p>
        </w:tc>
        <w:tc>
          <w:tcPr>
            <w:tcW w:w="2050"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sz w:val="20"/>
              </w:rPr>
              <w:t>3.</w:t>
            </w:r>
            <w:r>
              <w:rPr>
                <w:rFonts w:ascii="宋体" w:eastAsia="宋体" w:hint="eastAsia"/>
                <w:sz w:val="20"/>
              </w:rPr>
              <w:t>本期减少金额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0"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rFonts w:ascii="宋体" w:eastAsia="宋体" w:hint="eastAsia"/>
                <w:sz w:val="20"/>
              </w:rPr>
              <w:t>（</w:t>
            </w:r>
            <w:r>
              <w:rPr>
                <w:sz w:val="20"/>
              </w:rPr>
              <w:t>1</w:t>
            </w:r>
            <w:r>
              <w:rPr>
                <w:rFonts w:ascii="宋体" w:eastAsia="宋体" w:hint="eastAsia"/>
                <w:sz w:val="20"/>
              </w:rPr>
              <w:t>）处置或报废</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62"/>
              <w:ind w:right="8"/>
              <w:jc w:val="right"/>
              <w:rPr>
                <w:sz w:val="20"/>
              </w:rPr>
            </w:pPr>
            <w:r>
              <w:rPr>
                <w:w w:val="95"/>
                <w:sz w:val="20"/>
              </w:rPr>
              <w:t>102,615,477.25</w:t>
            </w:r>
          </w:p>
        </w:tc>
        <w:tc>
          <w:tcPr>
            <w:tcW w:w="2050"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rFonts w:ascii="宋体" w:eastAsia="宋体" w:hint="eastAsia"/>
                <w:sz w:val="20"/>
              </w:rPr>
              <w:t>（</w:t>
            </w:r>
            <w:r>
              <w:rPr>
                <w:sz w:val="20"/>
              </w:rPr>
              <w:t>2</w:t>
            </w:r>
            <w:r>
              <w:rPr>
                <w:rFonts w:ascii="宋体" w:eastAsia="宋体" w:hint="eastAsia"/>
                <w:sz w:val="20"/>
              </w:rPr>
              <w:t>）处置子公司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0"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rFonts w:ascii="宋体" w:eastAsia="宋体" w:hint="eastAsia"/>
                <w:sz w:val="20"/>
              </w:rPr>
              <w:t>（</w:t>
            </w:r>
            <w:r>
              <w:rPr>
                <w:sz w:val="20"/>
              </w:rPr>
              <w:t>3</w:t>
            </w:r>
            <w:r>
              <w:rPr>
                <w:rFonts w:ascii="宋体" w:eastAsia="宋体" w:hint="eastAsia"/>
                <w:sz w:val="20"/>
              </w:rPr>
              <w:t>）转入持有待售</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0" w:type="dxa"/>
            <w:tcBorders>
              <w:top w:val="single" w:sz="4" w:space="0" w:color="000000"/>
              <w:left w:val="single" w:sz="4" w:space="0" w:color="000000"/>
              <w:bottom w:val="single" w:sz="4" w:space="0" w:color="000000"/>
            </w:tcBorders>
          </w:tcPr>
          <w:p>
            <w:pPr>
              <w:pStyle w:val="TableParagraph"/>
              <w:rPr>
                <w:sz w:val="18"/>
              </w:rPr>
            </w:pPr>
          </w:p>
        </w:tc>
      </w:tr>
      <w:tr>
        <w:trPr>
          <w:trHeight w:val="366"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sz w:val="20"/>
              </w:rPr>
              <w:t>4.</w:t>
            </w:r>
            <w:r>
              <w:rPr>
                <w:rFonts w:ascii="宋体" w:eastAsia="宋体" w:hint="eastAsia"/>
                <w:sz w:val="20"/>
              </w:rPr>
              <w:t>外币报表折算差额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62"/>
              <w:ind w:right="8"/>
              <w:jc w:val="right"/>
              <w:rPr>
                <w:sz w:val="20"/>
              </w:rPr>
            </w:pPr>
            <w:r>
              <w:rPr>
                <w:w w:val="95"/>
                <w:sz w:val="20"/>
              </w:rPr>
              <w:t>-822,483.13</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62"/>
              <w:ind w:right="7"/>
              <w:jc w:val="right"/>
              <w:rPr>
                <w:sz w:val="20"/>
              </w:rPr>
            </w:pPr>
            <w:r>
              <w:rPr>
                <w:w w:val="95"/>
                <w:sz w:val="20"/>
              </w:rPr>
              <w:t>577,786.42</w:t>
            </w:r>
          </w:p>
        </w:tc>
        <w:tc>
          <w:tcPr>
            <w:tcW w:w="2050" w:type="dxa"/>
            <w:tcBorders>
              <w:top w:val="single" w:sz="4" w:space="0" w:color="000000"/>
              <w:left w:val="single" w:sz="4" w:space="0" w:color="000000"/>
              <w:bottom w:val="single" w:sz="4" w:space="0" w:color="000000"/>
            </w:tcBorders>
          </w:tcPr>
          <w:p>
            <w:pPr>
              <w:pStyle w:val="TableParagraph"/>
              <w:spacing w:before="62"/>
              <w:ind w:right="-15"/>
              <w:jc w:val="right"/>
              <w:rPr>
                <w:sz w:val="20"/>
              </w:rPr>
            </w:pPr>
            <w:r>
              <w:rPr>
                <w:w w:val="95"/>
                <w:sz w:val="20"/>
              </w:rPr>
              <w:t>-2,565.81</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sz w:val="20"/>
              </w:rPr>
              <w:t>5.</w:t>
            </w:r>
            <w:r>
              <w:rPr>
                <w:rFonts w:ascii="宋体" w:eastAsia="宋体" w:hint="eastAsia"/>
                <w:sz w:val="20"/>
              </w:rPr>
              <w:t>期末余额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65"/>
              <w:ind w:right="8"/>
              <w:jc w:val="right"/>
              <w:rPr>
                <w:sz w:val="20"/>
              </w:rPr>
            </w:pPr>
            <w:r>
              <w:rPr>
                <w:w w:val="95"/>
                <w:sz w:val="20"/>
              </w:rPr>
              <w:t>33,638,997.63</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65"/>
              <w:ind w:right="8"/>
              <w:jc w:val="right"/>
              <w:rPr>
                <w:sz w:val="20"/>
              </w:rPr>
            </w:pPr>
            <w:r>
              <w:rPr>
                <w:w w:val="95"/>
                <w:sz w:val="20"/>
              </w:rPr>
              <w:t>39,684,984.39</w:t>
            </w:r>
          </w:p>
        </w:tc>
        <w:tc>
          <w:tcPr>
            <w:tcW w:w="2050" w:type="dxa"/>
            <w:tcBorders>
              <w:top w:val="single" w:sz="4" w:space="0" w:color="000000"/>
              <w:left w:val="single" w:sz="4" w:space="0" w:color="000000"/>
              <w:bottom w:val="single" w:sz="4" w:space="0" w:color="000000"/>
            </w:tcBorders>
          </w:tcPr>
          <w:p>
            <w:pPr>
              <w:pStyle w:val="TableParagraph"/>
              <w:spacing w:before="65"/>
              <w:ind w:right="-15"/>
              <w:jc w:val="right"/>
              <w:rPr>
                <w:sz w:val="20"/>
              </w:rPr>
            </w:pPr>
            <w:r>
              <w:rPr>
                <w:w w:val="95"/>
                <w:sz w:val="20"/>
              </w:rPr>
              <w:t>185,490.35</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rFonts w:ascii="宋体" w:eastAsia="宋体" w:hint="eastAsia"/>
                <w:sz w:val="20"/>
              </w:rPr>
              <w:t>四、账面价值</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0"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sz w:val="20"/>
              </w:rPr>
              <w:t>1.</w:t>
            </w:r>
            <w:r>
              <w:rPr>
                <w:rFonts w:ascii="宋体" w:eastAsia="宋体" w:hint="eastAsia"/>
                <w:sz w:val="20"/>
              </w:rPr>
              <w:t>期末账面价值</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62"/>
              <w:ind w:right="9"/>
              <w:jc w:val="right"/>
              <w:rPr>
                <w:sz w:val="20"/>
              </w:rPr>
            </w:pPr>
            <w:r>
              <w:rPr>
                <w:sz w:val="20"/>
              </w:rPr>
              <w:t>6,614,921,280.17</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62"/>
              <w:ind w:right="8"/>
              <w:jc w:val="right"/>
              <w:rPr>
                <w:sz w:val="20"/>
              </w:rPr>
            </w:pPr>
            <w:r>
              <w:rPr>
                <w:w w:val="95"/>
                <w:sz w:val="20"/>
              </w:rPr>
              <w:t>12,766,670,519.68</w:t>
            </w:r>
          </w:p>
        </w:tc>
        <w:tc>
          <w:tcPr>
            <w:tcW w:w="2050" w:type="dxa"/>
            <w:tcBorders>
              <w:top w:val="single" w:sz="4" w:space="0" w:color="000000"/>
              <w:left w:val="single" w:sz="4" w:space="0" w:color="000000"/>
              <w:bottom w:val="single" w:sz="4" w:space="0" w:color="000000"/>
            </w:tcBorders>
          </w:tcPr>
          <w:p>
            <w:pPr>
              <w:pStyle w:val="TableParagraph"/>
              <w:spacing w:before="62"/>
              <w:ind w:right="-15"/>
              <w:jc w:val="right"/>
              <w:rPr>
                <w:sz w:val="20"/>
              </w:rPr>
            </w:pPr>
            <w:r>
              <w:rPr>
                <w:w w:val="95"/>
                <w:sz w:val="20"/>
              </w:rPr>
              <w:t>69,897,885.75</w:t>
            </w:r>
          </w:p>
        </w:tc>
      </w:tr>
      <w:tr>
        <w:trPr>
          <w:trHeight w:val="368" w:hRule="atLeast"/>
        </w:trPr>
        <w:tc>
          <w:tcPr>
            <w:tcW w:w="2641" w:type="dxa"/>
            <w:tcBorders>
              <w:top w:val="single" w:sz="4" w:space="0" w:color="000000"/>
              <w:right w:val="single" w:sz="4" w:space="0" w:color="000000"/>
            </w:tcBorders>
          </w:tcPr>
          <w:p>
            <w:pPr>
              <w:pStyle w:val="TableParagraph"/>
              <w:spacing w:before="56"/>
              <w:ind w:left="28"/>
              <w:rPr>
                <w:rFonts w:ascii="宋体" w:eastAsia="宋体" w:hint="eastAsia"/>
                <w:sz w:val="20"/>
              </w:rPr>
            </w:pPr>
            <w:r>
              <w:rPr>
                <w:sz w:val="20"/>
              </w:rPr>
              <w:t>2.</w:t>
            </w:r>
            <w:r>
              <w:rPr>
                <w:rFonts w:ascii="宋体" w:eastAsia="宋体" w:hint="eastAsia"/>
                <w:sz w:val="20"/>
              </w:rPr>
              <w:t>期初账面价值</w:t>
            </w:r>
          </w:p>
        </w:tc>
        <w:tc>
          <w:tcPr>
            <w:tcW w:w="2194" w:type="dxa"/>
            <w:tcBorders>
              <w:top w:val="single" w:sz="4" w:space="0" w:color="000000"/>
              <w:left w:val="single" w:sz="4" w:space="0" w:color="000000"/>
              <w:right w:val="single" w:sz="4" w:space="0" w:color="000000"/>
            </w:tcBorders>
          </w:tcPr>
          <w:p>
            <w:pPr>
              <w:pStyle w:val="TableParagraph"/>
              <w:spacing w:before="62"/>
              <w:ind w:right="9"/>
              <w:jc w:val="right"/>
              <w:rPr>
                <w:sz w:val="20"/>
              </w:rPr>
            </w:pPr>
            <w:r>
              <w:rPr>
                <w:sz w:val="20"/>
              </w:rPr>
              <w:t>6,535,134,301.69</w:t>
            </w:r>
          </w:p>
        </w:tc>
        <w:tc>
          <w:tcPr>
            <w:tcW w:w="2198" w:type="dxa"/>
            <w:tcBorders>
              <w:top w:val="single" w:sz="4" w:space="0" w:color="000000"/>
              <w:left w:val="single" w:sz="4" w:space="0" w:color="000000"/>
              <w:right w:val="single" w:sz="4" w:space="0" w:color="000000"/>
            </w:tcBorders>
          </w:tcPr>
          <w:p>
            <w:pPr>
              <w:pStyle w:val="TableParagraph"/>
              <w:spacing w:before="62"/>
              <w:ind w:right="8"/>
              <w:jc w:val="right"/>
              <w:rPr>
                <w:sz w:val="20"/>
              </w:rPr>
            </w:pPr>
            <w:r>
              <w:rPr>
                <w:w w:val="95"/>
                <w:sz w:val="20"/>
              </w:rPr>
              <w:t>13,214,108,924.35</w:t>
            </w:r>
          </w:p>
        </w:tc>
        <w:tc>
          <w:tcPr>
            <w:tcW w:w="2050" w:type="dxa"/>
            <w:tcBorders>
              <w:top w:val="single" w:sz="4" w:space="0" w:color="000000"/>
              <w:left w:val="single" w:sz="4" w:space="0" w:color="000000"/>
            </w:tcBorders>
          </w:tcPr>
          <w:p>
            <w:pPr>
              <w:pStyle w:val="TableParagraph"/>
              <w:spacing w:before="62"/>
              <w:ind w:right="-15"/>
              <w:jc w:val="right"/>
              <w:rPr>
                <w:sz w:val="20"/>
              </w:rPr>
            </w:pPr>
            <w:r>
              <w:rPr>
                <w:w w:val="95"/>
                <w:sz w:val="20"/>
              </w:rPr>
              <w:t>77,026,468.89</w:t>
            </w:r>
          </w:p>
        </w:tc>
      </w:tr>
    </w:tbl>
    <w:p>
      <w:pPr>
        <w:pStyle w:val="BodyText"/>
        <w:spacing w:before="2"/>
        <w:rPr>
          <w:sz w:val="15"/>
        </w:rPr>
      </w:pPr>
    </w:p>
    <w:p>
      <w:pPr>
        <w:pStyle w:val="BodyText"/>
        <w:spacing w:before="72"/>
        <w:ind w:left="2063"/>
      </w:pPr>
      <w:r>
        <w:rPr/>
        <w:t>续表</w:t>
      </w:r>
    </w:p>
    <w:p>
      <w:pPr>
        <w:pStyle w:val="BodyText"/>
        <w:spacing w:before="6"/>
        <w:rPr>
          <w:sz w:val="11"/>
        </w:rPr>
      </w:pPr>
    </w:p>
    <w:tbl>
      <w:tblPr>
        <w:tblW w:w="0" w:type="auto"/>
        <w:jc w:val="left"/>
        <w:tblInd w:w="14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641"/>
        <w:gridCol w:w="2194"/>
        <w:gridCol w:w="2198"/>
        <w:gridCol w:w="2050"/>
      </w:tblGrid>
      <w:tr>
        <w:trPr>
          <w:trHeight w:val="368" w:hRule="atLeast"/>
        </w:trPr>
        <w:tc>
          <w:tcPr>
            <w:tcW w:w="2641" w:type="dxa"/>
            <w:tcBorders>
              <w:bottom w:val="single" w:sz="4" w:space="0" w:color="000000"/>
              <w:right w:val="single" w:sz="4" w:space="0" w:color="000000"/>
            </w:tcBorders>
          </w:tcPr>
          <w:p>
            <w:pPr>
              <w:pStyle w:val="TableParagraph"/>
              <w:spacing w:line="349" w:lineRule="exact"/>
              <w:ind w:left="876" w:right="859"/>
              <w:jc w:val="center"/>
              <w:rPr>
                <w:rFonts w:ascii="Microsoft JhengHei" w:eastAsia="Microsoft JhengHei" w:hint="eastAsia"/>
                <w:b/>
                <w:sz w:val="20"/>
              </w:rPr>
            </w:pPr>
            <w:r>
              <w:rPr>
                <w:rFonts w:ascii="Microsoft JhengHei" w:eastAsia="Microsoft JhengHei" w:hint="eastAsia"/>
                <w:b/>
                <w:sz w:val="20"/>
              </w:rPr>
              <w:t>项目</w:t>
            </w:r>
          </w:p>
        </w:tc>
        <w:tc>
          <w:tcPr>
            <w:tcW w:w="2194" w:type="dxa"/>
            <w:tcBorders>
              <w:left w:val="single" w:sz="4" w:space="0" w:color="000000"/>
              <w:bottom w:val="single" w:sz="4" w:space="0" w:color="000000"/>
              <w:right w:val="single" w:sz="4" w:space="0" w:color="000000"/>
            </w:tcBorders>
          </w:tcPr>
          <w:p>
            <w:pPr>
              <w:pStyle w:val="TableParagraph"/>
              <w:spacing w:line="349" w:lineRule="exact"/>
              <w:ind w:left="704"/>
              <w:rPr>
                <w:rFonts w:ascii="Microsoft JhengHei" w:eastAsia="Microsoft JhengHei" w:hint="eastAsia"/>
                <w:b/>
                <w:sz w:val="20"/>
              </w:rPr>
            </w:pPr>
            <w:r>
              <w:rPr>
                <w:rFonts w:ascii="Microsoft JhengHei" w:eastAsia="Microsoft JhengHei" w:hint="eastAsia"/>
                <w:b/>
                <w:sz w:val="20"/>
              </w:rPr>
              <w:t>办公设备</w:t>
            </w:r>
          </w:p>
        </w:tc>
        <w:tc>
          <w:tcPr>
            <w:tcW w:w="2198" w:type="dxa"/>
            <w:tcBorders>
              <w:left w:val="single" w:sz="4" w:space="0" w:color="000000"/>
              <w:bottom w:val="single" w:sz="4" w:space="0" w:color="000000"/>
              <w:right w:val="single" w:sz="4" w:space="0" w:color="000000"/>
            </w:tcBorders>
          </w:tcPr>
          <w:p>
            <w:pPr>
              <w:pStyle w:val="TableParagraph"/>
              <w:spacing w:line="349" w:lineRule="exact"/>
              <w:ind w:left="890" w:right="857"/>
              <w:jc w:val="center"/>
              <w:rPr>
                <w:rFonts w:ascii="Microsoft JhengHei" w:eastAsia="Microsoft JhengHei" w:hint="eastAsia"/>
                <w:b/>
                <w:sz w:val="20"/>
              </w:rPr>
            </w:pPr>
            <w:r>
              <w:rPr>
                <w:rFonts w:ascii="Microsoft JhengHei" w:eastAsia="Microsoft JhengHei" w:hint="eastAsia"/>
                <w:b/>
                <w:sz w:val="20"/>
              </w:rPr>
              <w:t>其他</w:t>
            </w:r>
          </w:p>
        </w:tc>
        <w:tc>
          <w:tcPr>
            <w:tcW w:w="2050" w:type="dxa"/>
            <w:tcBorders>
              <w:left w:val="single" w:sz="4" w:space="0" w:color="000000"/>
              <w:bottom w:val="single" w:sz="4" w:space="0" w:color="000000"/>
            </w:tcBorders>
          </w:tcPr>
          <w:p>
            <w:pPr>
              <w:pStyle w:val="TableParagraph"/>
              <w:spacing w:line="349" w:lineRule="exact"/>
              <w:ind w:left="817" w:right="773"/>
              <w:jc w:val="center"/>
              <w:rPr>
                <w:rFonts w:ascii="Microsoft JhengHei" w:eastAsia="Microsoft JhengHei" w:hint="eastAsia"/>
                <w:b/>
                <w:sz w:val="20"/>
              </w:rPr>
            </w:pPr>
            <w:r>
              <w:rPr>
                <w:rFonts w:ascii="Microsoft JhengHei" w:eastAsia="Microsoft JhengHei" w:hint="eastAsia"/>
                <w:b/>
                <w:sz w:val="20"/>
              </w:rPr>
              <w:t>合计</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rFonts w:ascii="宋体" w:eastAsia="宋体" w:hint="eastAsia"/>
                <w:sz w:val="20"/>
              </w:rPr>
              <w:t>一、账面原值：</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0" w:type="dxa"/>
            <w:tcBorders>
              <w:top w:val="single" w:sz="4" w:space="0" w:color="000000"/>
              <w:left w:val="single" w:sz="4" w:space="0" w:color="000000"/>
              <w:bottom w:val="single" w:sz="4" w:space="0" w:color="000000"/>
            </w:tcBorders>
          </w:tcPr>
          <w:p>
            <w:pPr>
              <w:pStyle w:val="TableParagraph"/>
              <w:rPr>
                <w:sz w:val="18"/>
              </w:rPr>
            </w:pPr>
          </w:p>
        </w:tc>
      </w:tr>
      <w:tr>
        <w:trPr>
          <w:trHeight w:val="368" w:hRule="atLeast"/>
        </w:trPr>
        <w:tc>
          <w:tcPr>
            <w:tcW w:w="2641" w:type="dxa"/>
            <w:tcBorders>
              <w:top w:val="single" w:sz="4" w:space="0" w:color="000000"/>
              <w:right w:val="single" w:sz="4" w:space="0" w:color="000000"/>
            </w:tcBorders>
          </w:tcPr>
          <w:p>
            <w:pPr>
              <w:pStyle w:val="TableParagraph"/>
              <w:spacing w:before="56"/>
              <w:ind w:left="28"/>
              <w:rPr>
                <w:rFonts w:ascii="宋体" w:eastAsia="宋体" w:hint="eastAsia"/>
                <w:sz w:val="20"/>
              </w:rPr>
            </w:pPr>
            <w:r>
              <w:rPr>
                <w:sz w:val="20"/>
              </w:rPr>
              <w:t>1.</w:t>
            </w:r>
            <w:r>
              <w:rPr>
                <w:rFonts w:ascii="宋体" w:eastAsia="宋体" w:hint="eastAsia"/>
                <w:sz w:val="20"/>
              </w:rPr>
              <w:t>期初余额</w:t>
            </w:r>
          </w:p>
        </w:tc>
        <w:tc>
          <w:tcPr>
            <w:tcW w:w="2194" w:type="dxa"/>
            <w:tcBorders>
              <w:top w:val="single" w:sz="4" w:space="0" w:color="000000"/>
              <w:left w:val="single" w:sz="4" w:space="0" w:color="000000"/>
              <w:right w:val="single" w:sz="4" w:space="0" w:color="000000"/>
            </w:tcBorders>
          </w:tcPr>
          <w:p>
            <w:pPr>
              <w:pStyle w:val="TableParagraph"/>
              <w:spacing w:before="62"/>
              <w:ind w:left="923"/>
              <w:rPr>
                <w:sz w:val="20"/>
              </w:rPr>
            </w:pPr>
            <w:r>
              <w:rPr>
                <w:sz w:val="20"/>
              </w:rPr>
              <w:t>863,015,378.72</w:t>
            </w:r>
          </w:p>
        </w:tc>
        <w:tc>
          <w:tcPr>
            <w:tcW w:w="2198" w:type="dxa"/>
            <w:tcBorders>
              <w:top w:val="single" w:sz="4" w:space="0" w:color="000000"/>
              <w:left w:val="single" w:sz="4" w:space="0" w:color="000000"/>
              <w:right w:val="single" w:sz="4" w:space="0" w:color="000000"/>
            </w:tcBorders>
          </w:tcPr>
          <w:p>
            <w:pPr>
              <w:pStyle w:val="TableParagraph"/>
              <w:spacing w:before="62"/>
              <w:ind w:left="779"/>
              <w:rPr>
                <w:sz w:val="20"/>
              </w:rPr>
            </w:pPr>
            <w:r>
              <w:rPr>
                <w:sz w:val="20"/>
              </w:rPr>
              <w:t>2,266,565,579.67</w:t>
            </w:r>
          </w:p>
        </w:tc>
        <w:tc>
          <w:tcPr>
            <w:tcW w:w="2050" w:type="dxa"/>
            <w:tcBorders>
              <w:top w:val="single" w:sz="4" w:space="0" w:color="000000"/>
              <w:left w:val="single" w:sz="4" w:space="0" w:color="000000"/>
            </w:tcBorders>
          </w:tcPr>
          <w:p>
            <w:pPr>
              <w:pStyle w:val="TableParagraph"/>
              <w:spacing w:before="62"/>
              <w:ind w:left="530"/>
              <w:rPr>
                <w:sz w:val="20"/>
              </w:rPr>
            </w:pPr>
            <w:r>
              <w:rPr>
                <w:w w:val="95"/>
                <w:sz w:val="20"/>
              </w:rPr>
              <w:t>37,538,884,941.65</w:t>
            </w:r>
          </w:p>
        </w:tc>
      </w:tr>
    </w:tbl>
    <w:p>
      <w:pPr>
        <w:spacing w:after="0"/>
        <w:rPr>
          <w:sz w:val="20"/>
        </w:rPr>
        <w:sectPr>
          <w:pgSz w:w="11910" w:h="16840"/>
          <w:pgMar w:header="876" w:footer="1214" w:top="1440" w:bottom="1400" w:left="260" w:right="0"/>
        </w:sectPr>
      </w:pPr>
    </w:p>
    <w:p>
      <w:pPr>
        <w:pStyle w:val="BodyText"/>
        <w:spacing w:before="2"/>
        <w:rPr>
          <w:sz w:val="5"/>
        </w:rPr>
      </w:pPr>
    </w:p>
    <w:tbl>
      <w:tblPr>
        <w:tblW w:w="0" w:type="auto"/>
        <w:jc w:val="left"/>
        <w:tblInd w:w="14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641"/>
        <w:gridCol w:w="2194"/>
        <w:gridCol w:w="2198"/>
        <w:gridCol w:w="2050"/>
      </w:tblGrid>
      <w:tr>
        <w:trPr>
          <w:trHeight w:val="371" w:hRule="atLeast"/>
        </w:trPr>
        <w:tc>
          <w:tcPr>
            <w:tcW w:w="2641" w:type="dxa"/>
            <w:tcBorders>
              <w:bottom w:val="single" w:sz="4" w:space="0" w:color="000000"/>
              <w:right w:val="single" w:sz="4" w:space="0" w:color="000000"/>
            </w:tcBorders>
          </w:tcPr>
          <w:p>
            <w:pPr>
              <w:pStyle w:val="TableParagraph"/>
              <w:spacing w:before="59"/>
              <w:ind w:left="28"/>
              <w:rPr>
                <w:rFonts w:ascii="宋体" w:eastAsia="宋体" w:hint="eastAsia"/>
                <w:sz w:val="20"/>
              </w:rPr>
            </w:pPr>
            <w:r>
              <w:rPr>
                <w:sz w:val="20"/>
              </w:rPr>
              <w:t>2.</w:t>
            </w:r>
            <w:r>
              <w:rPr>
                <w:rFonts w:ascii="宋体" w:eastAsia="宋体" w:hint="eastAsia"/>
                <w:sz w:val="20"/>
              </w:rPr>
              <w:t>本期增加金额</w:t>
            </w:r>
          </w:p>
        </w:tc>
        <w:tc>
          <w:tcPr>
            <w:tcW w:w="2194" w:type="dxa"/>
            <w:tcBorders>
              <w:left w:val="single" w:sz="4" w:space="0" w:color="000000"/>
              <w:bottom w:val="single" w:sz="4" w:space="0" w:color="000000"/>
              <w:right w:val="single" w:sz="4" w:space="0" w:color="000000"/>
            </w:tcBorders>
          </w:tcPr>
          <w:p>
            <w:pPr>
              <w:pStyle w:val="TableParagraph"/>
              <w:rPr>
                <w:sz w:val="18"/>
              </w:rPr>
            </w:pPr>
          </w:p>
        </w:tc>
        <w:tc>
          <w:tcPr>
            <w:tcW w:w="2198" w:type="dxa"/>
            <w:tcBorders>
              <w:left w:val="single" w:sz="4" w:space="0" w:color="000000"/>
              <w:bottom w:val="single" w:sz="4" w:space="0" w:color="000000"/>
              <w:right w:val="single" w:sz="4" w:space="0" w:color="000000"/>
            </w:tcBorders>
          </w:tcPr>
          <w:p>
            <w:pPr>
              <w:pStyle w:val="TableParagraph"/>
              <w:rPr>
                <w:sz w:val="18"/>
              </w:rPr>
            </w:pPr>
          </w:p>
        </w:tc>
        <w:tc>
          <w:tcPr>
            <w:tcW w:w="2050" w:type="dxa"/>
            <w:tcBorders>
              <w:left w:val="single" w:sz="4" w:space="0" w:color="000000"/>
              <w:bottom w:val="single" w:sz="4" w:space="0" w:color="000000"/>
            </w:tcBorders>
          </w:tcPr>
          <w:p>
            <w:pPr>
              <w:pStyle w:val="TableParagraph"/>
              <w:rPr>
                <w:sz w:val="18"/>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rFonts w:ascii="宋体" w:eastAsia="宋体" w:hint="eastAsia"/>
                <w:sz w:val="20"/>
              </w:rPr>
              <w:t>（</w:t>
            </w:r>
            <w:r>
              <w:rPr>
                <w:sz w:val="20"/>
              </w:rPr>
              <w:t>1</w:t>
            </w:r>
            <w:r>
              <w:rPr>
                <w:rFonts w:ascii="宋体" w:eastAsia="宋体" w:hint="eastAsia"/>
                <w:sz w:val="20"/>
              </w:rPr>
              <w:t>）购置</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62"/>
              <w:ind w:right="8"/>
              <w:jc w:val="right"/>
              <w:rPr>
                <w:sz w:val="20"/>
              </w:rPr>
            </w:pPr>
            <w:r>
              <w:rPr>
                <w:w w:val="95"/>
                <w:sz w:val="20"/>
              </w:rPr>
              <w:t>49,404,812.49</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62"/>
              <w:ind w:right="8"/>
              <w:jc w:val="right"/>
              <w:rPr>
                <w:sz w:val="20"/>
              </w:rPr>
            </w:pPr>
            <w:r>
              <w:rPr>
                <w:w w:val="95"/>
                <w:sz w:val="20"/>
              </w:rPr>
              <w:t>75,819,693.83</w:t>
            </w:r>
          </w:p>
        </w:tc>
        <w:tc>
          <w:tcPr>
            <w:tcW w:w="2050" w:type="dxa"/>
            <w:tcBorders>
              <w:top w:val="single" w:sz="4" w:space="0" w:color="000000"/>
              <w:left w:val="single" w:sz="4" w:space="0" w:color="000000"/>
              <w:bottom w:val="single" w:sz="4" w:space="0" w:color="000000"/>
            </w:tcBorders>
          </w:tcPr>
          <w:p>
            <w:pPr>
              <w:pStyle w:val="TableParagraph"/>
              <w:spacing w:before="62"/>
              <w:jc w:val="right"/>
              <w:rPr>
                <w:sz w:val="20"/>
              </w:rPr>
            </w:pPr>
            <w:r>
              <w:rPr>
                <w:sz w:val="20"/>
              </w:rPr>
              <w:t>1,496,933,677.37</w:t>
            </w:r>
          </w:p>
        </w:tc>
      </w:tr>
      <w:tr>
        <w:trPr>
          <w:trHeight w:val="366"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rFonts w:ascii="宋体" w:eastAsia="宋体" w:hint="eastAsia"/>
                <w:sz w:val="20"/>
              </w:rPr>
              <w:t>（</w:t>
            </w:r>
            <w:r>
              <w:rPr>
                <w:sz w:val="20"/>
              </w:rPr>
              <w:t>2</w:t>
            </w:r>
            <w:r>
              <w:rPr>
                <w:rFonts w:ascii="宋体" w:eastAsia="宋体" w:hint="eastAsia"/>
                <w:sz w:val="20"/>
              </w:rPr>
              <w:t>）在建工程转入</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62"/>
              <w:ind w:right="9"/>
              <w:jc w:val="right"/>
              <w:rPr>
                <w:sz w:val="20"/>
              </w:rPr>
            </w:pPr>
            <w:r>
              <w:rPr>
                <w:w w:val="95"/>
                <w:sz w:val="20"/>
              </w:rPr>
              <w:t>156,215,205.57</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62"/>
              <w:ind w:right="8"/>
              <w:jc w:val="right"/>
              <w:rPr>
                <w:sz w:val="20"/>
              </w:rPr>
            </w:pPr>
            <w:r>
              <w:rPr>
                <w:w w:val="95"/>
                <w:sz w:val="20"/>
              </w:rPr>
              <w:t>282,974,158.81</w:t>
            </w:r>
          </w:p>
        </w:tc>
        <w:tc>
          <w:tcPr>
            <w:tcW w:w="2050" w:type="dxa"/>
            <w:tcBorders>
              <w:top w:val="single" w:sz="4" w:space="0" w:color="000000"/>
              <w:left w:val="single" w:sz="4" w:space="0" w:color="000000"/>
              <w:bottom w:val="single" w:sz="4" w:space="0" w:color="000000"/>
            </w:tcBorders>
          </w:tcPr>
          <w:p>
            <w:pPr>
              <w:pStyle w:val="TableParagraph"/>
              <w:spacing w:before="62"/>
              <w:jc w:val="right"/>
              <w:rPr>
                <w:sz w:val="20"/>
              </w:rPr>
            </w:pPr>
            <w:r>
              <w:rPr>
                <w:sz w:val="20"/>
              </w:rPr>
              <w:t>3,238,204,376.78</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9"/>
              <w:ind w:left="28"/>
              <w:rPr>
                <w:rFonts w:ascii="宋体" w:eastAsia="宋体" w:hint="eastAsia"/>
                <w:sz w:val="20"/>
              </w:rPr>
            </w:pPr>
            <w:r>
              <w:rPr>
                <w:rFonts w:ascii="宋体" w:eastAsia="宋体" w:hint="eastAsia"/>
                <w:sz w:val="20"/>
              </w:rPr>
              <w:t>（</w:t>
            </w:r>
            <w:r>
              <w:rPr>
                <w:sz w:val="20"/>
              </w:rPr>
              <w:t>3</w:t>
            </w:r>
            <w:r>
              <w:rPr>
                <w:rFonts w:ascii="宋体" w:eastAsia="宋体" w:hint="eastAsia"/>
                <w:sz w:val="20"/>
              </w:rPr>
              <w:t>）企业合并增加</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65"/>
              <w:ind w:right="8"/>
              <w:jc w:val="right"/>
              <w:rPr>
                <w:sz w:val="20"/>
              </w:rPr>
            </w:pPr>
            <w:r>
              <w:rPr>
                <w:w w:val="95"/>
                <w:sz w:val="20"/>
              </w:rPr>
              <w:t>247,050.24</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65"/>
              <w:ind w:right="7"/>
              <w:jc w:val="right"/>
              <w:rPr>
                <w:sz w:val="20"/>
              </w:rPr>
            </w:pPr>
            <w:r>
              <w:rPr>
                <w:w w:val="95"/>
                <w:sz w:val="20"/>
              </w:rPr>
              <w:t>7,966.39</w:t>
            </w:r>
          </w:p>
        </w:tc>
        <w:tc>
          <w:tcPr>
            <w:tcW w:w="2050" w:type="dxa"/>
            <w:tcBorders>
              <w:top w:val="single" w:sz="4" w:space="0" w:color="000000"/>
              <w:left w:val="single" w:sz="4" w:space="0" w:color="000000"/>
              <w:bottom w:val="single" w:sz="4" w:space="0" w:color="000000"/>
            </w:tcBorders>
          </w:tcPr>
          <w:p>
            <w:pPr>
              <w:pStyle w:val="TableParagraph"/>
              <w:spacing w:before="65"/>
              <w:jc w:val="right"/>
              <w:rPr>
                <w:sz w:val="20"/>
              </w:rPr>
            </w:pPr>
            <w:r>
              <w:rPr>
                <w:w w:val="95"/>
                <w:sz w:val="20"/>
              </w:rPr>
              <w:t>323,365,410.88</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sz w:val="20"/>
              </w:rPr>
              <w:t>3.</w:t>
            </w:r>
            <w:r>
              <w:rPr>
                <w:rFonts w:ascii="宋体" w:eastAsia="宋体" w:hint="eastAsia"/>
                <w:sz w:val="20"/>
              </w:rPr>
              <w:t>本期减少金额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0"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rFonts w:ascii="宋体" w:eastAsia="宋体" w:hint="eastAsia"/>
                <w:sz w:val="20"/>
              </w:rPr>
              <w:t>（</w:t>
            </w:r>
            <w:r>
              <w:rPr>
                <w:sz w:val="20"/>
              </w:rPr>
              <w:t>1</w:t>
            </w:r>
            <w:r>
              <w:rPr>
                <w:rFonts w:ascii="宋体" w:eastAsia="宋体" w:hint="eastAsia"/>
                <w:sz w:val="20"/>
              </w:rPr>
              <w:t>）处置或报废</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62"/>
              <w:ind w:right="8"/>
              <w:jc w:val="right"/>
              <w:rPr>
                <w:sz w:val="20"/>
              </w:rPr>
            </w:pPr>
            <w:r>
              <w:rPr>
                <w:w w:val="95"/>
                <w:sz w:val="20"/>
              </w:rPr>
              <w:t>51,576,744.11</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62"/>
              <w:ind w:right="8"/>
              <w:jc w:val="right"/>
              <w:rPr>
                <w:sz w:val="20"/>
              </w:rPr>
            </w:pPr>
            <w:r>
              <w:rPr>
                <w:w w:val="95"/>
                <w:sz w:val="20"/>
              </w:rPr>
              <w:t>191,819,251.37</w:t>
            </w:r>
          </w:p>
        </w:tc>
        <w:tc>
          <w:tcPr>
            <w:tcW w:w="2050" w:type="dxa"/>
            <w:tcBorders>
              <w:top w:val="single" w:sz="4" w:space="0" w:color="000000"/>
              <w:left w:val="single" w:sz="4" w:space="0" w:color="000000"/>
              <w:bottom w:val="single" w:sz="4" w:space="0" w:color="000000"/>
            </w:tcBorders>
          </w:tcPr>
          <w:p>
            <w:pPr>
              <w:pStyle w:val="TableParagraph"/>
              <w:spacing w:before="62"/>
              <w:jc w:val="right"/>
              <w:rPr>
                <w:sz w:val="20"/>
              </w:rPr>
            </w:pPr>
            <w:r>
              <w:rPr>
                <w:sz w:val="20"/>
              </w:rPr>
              <w:t>1,373,756,668.10</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rFonts w:ascii="宋体" w:eastAsia="宋体" w:hint="eastAsia"/>
                <w:sz w:val="20"/>
              </w:rPr>
              <w:t>（</w:t>
            </w:r>
            <w:r>
              <w:rPr>
                <w:sz w:val="20"/>
              </w:rPr>
              <w:t>2</w:t>
            </w:r>
            <w:r>
              <w:rPr>
                <w:rFonts w:ascii="宋体" w:eastAsia="宋体" w:hint="eastAsia"/>
                <w:sz w:val="20"/>
              </w:rPr>
              <w:t>）处置子公司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62"/>
              <w:ind w:right="8"/>
              <w:jc w:val="right"/>
              <w:rPr>
                <w:sz w:val="20"/>
              </w:rPr>
            </w:pPr>
            <w:r>
              <w:rPr>
                <w:w w:val="95"/>
                <w:sz w:val="20"/>
              </w:rPr>
              <w:t>44,996,957.56</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62"/>
              <w:ind w:right="8"/>
              <w:jc w:val="right"/>
              <w:rPr>
                <w:sz w:val="20"/>
              </w:rPr>
            </w:pPr>
            <w:r>
              <w:rPr>
                <w:w w:val="95"/>
                <w:sz w:val="20"/>
              </w:rPr>
              <w:t>125,958,155.42</w:t>
            </w:r>
          </w:p>
        </w:tc>
        <w:tc>
          <w:tcPr>
            <w:tcW w:w="2050" w:type="dxa"/>
            <w:tcBorders>
              <w:top w:val="single" w:sz="4" w:space="0" w:color="000000"/>
              <w:left w:val="single" w:sz="4" w:space="0" w:color="000000"/>
              <w:bottom w:val="single" w:sz="4" w:space="0" w:color="000000"/>
            </w:tcBorders>
          </w:tcPr>
          <w:p>
            <w:pPr>
              <w:pStyle w:val="TableParagraph"/>
              <w:spacing w:before="62"/>
              <w:jc w:val="right"/>
              <w:rPr>
                <w:sz w:val="20"/>
              </w:rPr>
            </w:pPr>
            <w:r>
              <w:rPr>
                <w:sz w:val="20"/>
              </w:rPr>
              <w:t>1,929,419,397.06</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rFonts w:ascii="宋体" w:eastAsia="宋体" w:hint="eastAsia"/>
                <w:sz w:val="20"/>
              </w:rPr>
              <w:t>（</w:t>
            </w:r>
            <w:r>
              <w:rPr>
                <w:sz w:val="20"/>
              </w:rPr>
              <w:t>3</w:t>
            </w:r>
            <w:r>
              <w:rPr>
                <w:rFonts w:ascii="宋体" w:eastAsia="宋体" w:hint="eastAsia"/>
                <w:sz w:val="20"/>
              </w:rPr>
              <w:t>）转入持有待售</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0"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sz w:val="20"/>
              </w:rPr>
              <w:t>4.</w:t>
            </w:r>
            <w:r>
              <w:rPr>
                <w:rFonts w:ascii="宋体" w:eastAsia="宋体" w:hint="eastAsia"/>
                <w:sz w:val="20"/>
              </w:rPr>
              <w:t>外币报表折算差额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62"/>
              <w:ind w:right="9"/>
              <w:jc w:val="right"/>
              <w:rPr>
                <w:sz w:val="20"/>
              </w:rPr>
            </w:pPr>
            <w:r>
              <w:rPr>
                <w:w w:val="95"/>
                <w:sz w:val="20"/>
              </w:rPr>
              <w:t>-20,933,758.87</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62"/>
              <w:ind w:right="8"/>
              <w:jc w:val="right"/>
              <w:rPr>
                <w:sz w:val="20"/>
              </w:rPr>
            </w:pPr>
            <w:r>
              <w:rPr>
                <w:w w:val="95"/>
                <w:sz w:val="20"/>
              </w:rPr>
              <w:t>-38,887,676.09</w:t>
            </w:r>
          </w:p>
        </w:tc>
        <w:tc>
          <w:tcPr>
            <w:tcW w:w="2050" w:type="dxa"/>
            <w:tcBorders>
              <w:top w:val="single" w:sz="4" w:space="0" w:color="000000"/>
              <w:left w:val="single" w:sz="4" w:space="0" w:color="000000"/>
              <w:bottom w:val="single" w:sz="4" w:space="0" w:color="000000"/>
            </w:tcBorders>
          </w:tcPr>
          <w:p>
            <w:pPr>
              <w:pStyle w:val="TableParagraph"/>
              <w:spacing w:before="62"/>
              <w:jc w:val="right"/>
              <w:rPr>
                <w:sz w:val="20"/>
              </w:rPr>
            </w:pPr>
            <w:r>
              <w:rPr>
                <w:w w:val="95"/>
                <w:sz w:val="20"/>
              </w:rPr>
              <w:t>-1,323,241,246.58</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sz w:val="20"/>
              </w:rPr>
              <w:t>5.</w:t>
            </w:r>
            <w:r>
              <w:rPr>
                <w:rFonts w:ascii="宋体" w:eastAsia="宋体" w:hint="eastAsia"/>
                <w:sz w:val="20"/>
              </w:rPr>
              <w:t>期末余额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62"/>
              <w:ind w:right="9"/>
              <w:jc w:val="right"/>
              <w:rPr>
                <w:sz w:val="20"/>
              </w:rPr>
            </w:pPr>
            <w:r>
              <w:rPr>
                <w:w w:val="95"/>
                <w:sz w:val="20"/>
              </w:rPr>
              <w:t>951,374,986.48</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62"/>
              <w:ind w:right="8"/>
              <w:jc w:val="right"/>
              <w:rPr>
                <w:sz w:val="20"/>
              </w:rPr>
            </w:pPr>
            <w:r>
              <w:rPr>
                <w:sz w:val="20"/>
              </w:rPr>
              <w:t>2,268,702,315.82</w:t>
            </w:r>
          </w:p>
        </w:tc>
        <w:tc>
          <w:tcPr>
            <w:tcW w:w="2050" w:type="dxa"/>
            <w:tcBorders>
              <w:top w:val="single" w:sz="4" w:space="0" w:color="000000"/>
              <w:left w:val="single" w:sz="4" w:space="0" w:color="000000"/>
              <w:bottom w:val="single" w:sz="4" w:space="0" w:color="000000"/>
            </w:tcBorders>
          </w:tcPr>
          <w:p>
            <w:pPr>
              <w:pStyle w:val="TableParagraph"/>
              <w:spacing w:before="62"/>
              <w:jc w:val="right"/>
              <w:rPr>
                <w:sz w:val="20"/>
              </w:rPr>
            </w:pPr>
            <w:r>
              <w:rPr>
                <w:w w:val="95"/>
                <w:sz w:val="20"/>
              </w:rPr>
              <w:t>37,970,971,094.94</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7"/>
              <w:ind w:left="28"/>
              <w:rPr>
                <w:rFonts w:ascii="宋体" w:eastAsia="宋体" w:hint="eastAsia"/>
                <w:sz w:val="20"/>
              </w:rPr>
            </w:pPr>
            <w:r>
              <w:rPr>
                <w:rFonts w:ascii="宋体" w:eastAsia="宋体" w:hint="eastAsia"/>
                <w:sz w:val="20"/>
              </w:rPr>
              <w:t>二、累计折旧</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0"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sz w:val="20"/>
              </w:rPr>
              <w:t>1.</w:t>
            </w:r>
            <w:r>
              <w:rPr>
                <w:rFonts w:ascii="宋体" w:eastAsia="宋体" w:hint="eastAsia"/>
                <w:sz w:val="20"/>
              </w:rPr>
              <w:t>期初余额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62"/>
              <w:ind w:right="9"/>
              <w:jc w:val="right"/>
              <w:rPr>
                <w:sz w:val="20"/>
              </w:rPr>
            </w:pPr>
            <w:r>
              <w:rPr>
                <w:w w:val="95"/>
                <w:sz w:val="20"/>
              </w:rPr>
              <w:t>438,400,670.33</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62"/>
              <w:ind w:right="8"/>
              <w:jc w:val="right"/>
              <w:rPr>
                <w:sz w:val="20"/>
              </w:rPr>
            </w:pPr>
            <w:r>
              <w:rPr>
                <w:sz w:val="20"/>
              </w:rPr>
              <w:t>1,346,669,714.51</w:t>
            </w:r>
          </w:p>
        </w:tc>
        <w:tc>
          <w:tcPr>
            <w:tcW w:w="2050" w:type="dxa"/>
            <w:tcBorders>
              <w:top w:val="single" w:sz="4" w:space="0" w:color="000000"/>
              <w:left w:val="single" w:sz="4" w:space="0" w:color="000000"/>
              <w:bottom w:val="single" w:sz="4" w:space="0" w:color="000000"/>
            </w:tcBorders>
          </w:tcPr>
          <w:p>
            <w:pPr>
              <w:pStyle w:val="TableParagraph"/>
              <w:spacing w:before="62"/>
              <w:jc w:val="right"/>
              <w:rPr>
                <w:sz w:val="20"/>
              </w:rPr>
            </w:pPr>
            <w:r>
              <w:rPr>
                <w:w w:val="95"/>
                <w:sz w:val="20"/>
              </w:rPr>
              <w:t>16,319,007,131.64</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sz w:val="20"/>
              </w:rPr>
              <w:t>2.</w:t>
            </w:r>
            <w:r>
              <w:rPr>
                <w:rFonts w:ascii="宋体" w:eastAsia="宋体" w:hint="eastAsia"/>
                <w:sz w:val="20"/>
              </w:rPr>
              <w:t>本期增加金额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0"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rFonts w:ascii="宋体" w:eastAsia="宋体" w:hint="eastAsia"/>
                <w:sz w:val="20"/>
              </w:rPr>
              <w:t>（</w:t>
            </w:r>
            <w:r>
              <w:rPr>
                <w:sz w:val="20"/>
              </w:rPr>
              <w:t>1</w:t>
            </w:r>
            <w:r>
              <w:rPr>
                <w:rFonts w:ascii="宋体" w:eastAsia="宋体" w:hint="eastAsia"/>
                <w:sz w:val="20"/>
              </w:rPr>
              <w:t>）计提</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62"/>
              <w:ind w:right="9"/>
              <w:jc w:val="right"/>
              <w:rPr>
                <w:sz w:val="20"/>
              </w:rPr>
            </w:pPr>
            <w:r>
              <w:rPr>
                <w:w w:val="95"/>
                <w:sz w:val="20"/>
              </w:rPr>
              <w:t>135,224,212.64</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62"/>
              <w:ind w:right="8"/>
              <w:jc w:val="right"/>
              <w:rPr>
                <w:sz w:val="20"/>
              </w:rPr>
            </w:pPr>
            <w:r>
              <w:rPr>
                <w:w w:val="95"/>
                <w:sz w:val="20"/>
              </w:rPr>
              <w:t>202,335,963.49</w:t>
            </w:r>
          </w:p>
        </w:tc>
        <w:tc>
          <w:tcPr>
            <w:tcW w:w="2050" w:type="dxa"/>
            <w:tcBorders>
              <w:top w:val="single" w:sz="4" w:space="0" w:color="000000"/>
              <w:left w:val="single" w:sz="4" w:space="0" w:color="000000"/>
              <w:bottom w:val="single" w:sz="4" w:space="0" w:color="000000"/>
            </w:tcBorders>
          </w:tcPr>
          <w:p>
            <w:pPr>
              <w:pStyle w:val="TableParagraph"/>
              <w:spacing w:before="62"/>
              <w:jc w:val="right"/>
              <w:rPr>
                <w:sz w:val="20"/>
              </w:rPr>
            </w:pPr>
            <w:r>
              <w:rPr>
                <w:sz w:val="20"/>
              </w:rPr>
              <w:t>3,255,116,150.32</w:t>
            </w:r>
          </w:p>
        </w:tc>
      </w:tr>
      <w:tr>
        <w:trPr>
          <w:trHeight w:val="366"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rFonts w:ascii="宋体" w:eastAsia="宋体" w:hint="eastAsia"/>
                <w:sz w:val="20"/>
              </w:rPr>
              <w:t>（</w:t>
            </w:r>
            <w:r>
              <w:rPr>
                <w:sz w:val="20"/>
              </w:rPr>
              <w:t>2</w:t>
            </w:r>
            <w:r>
              <w:rPr>
                <w:rFonts w:ascii="宋体" w:eastAsia="宋体" w:hint="eastAsia"/>
                <w:sz w:val="20"/>
              </w:rPr>
              <w:t>）企业合并增加</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62"/>
              <w:ind w:right="8"/>
              <w:jc w:val="right"/>
              <w:rPr>
                <w:sz w:val="20"/>
              </w:rPr>
            </w:pPr>
            <w:r>
              <w:rPr>
                <w:w w:val="95"/>
                <w:sz w:val="20"/>
              </w:rPr>
              <w:t>138,622.08</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62"/>
              <w:ind w:right="7"/>
              <w:jc w:val="right"/>
              <w:rPr>
                <w:sz w:val="20"/>
              </w:rPr>
            </w:pPr>
            <w:r>
              <w:rPr>
                <w:w w:val="95"/>
                <w:sz w:val="20"/>
              </w:rPr>
              <w:t>6,866.74</w:t>
            </w:r>
          </w:p>
        </w:tc>
        <w:tc>
          <w:tcPr>
            <w:tcW w:w="2050" w:type="dxa"/>
            <w:tcBorders>
              <w:top w:val="single" w:sz="4" w:space="0" w:color="000000"/>
              <w:left w:val="single" w:sz="4" w:space="0" w:color="000000"/>
              <w:bottom w:val="single" w:sz="4" w:space="0" w:color="000000"/>
            </w:tcBorders>
          </w:tcPr>
          <w:p>
            <w:pPr>
              <w:pStyle w:val="TableParagraph"/>
              <w:spacing w:before="62"/>
              <w:jc w:val="right"/>
              <w:rPr>
                <w:sz w:val="20"/>
              </w:rPr>
            </w:pPr>
            <w:r>
              <w:rPr>
                <w:w w:val="95"/>
                <w:sz w:val="20"/>
              </w:rPr>
              <w:t>145,591,463.85</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sz w:val="20"/>
              </w:rPr>
              <w:t>3.</w:t>
            </w:r>
            <w:r>
              <w:rPr>
                <w:rFonts w:ascii="宋体" w:eastAsia="宋体" w:hint="eastAsia"/>
                <w:sz w:val="20"/>
              </w:rPr>
              <w:t>本期减少金额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0"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rFonts w:ascii="宋体" w:eastAsia="宋体" w:hint="eastAsia"/>
                <w:sz w:val="20"/>
              </w:rPr>
              <w:t>（</w:t>
            </w:r>
            <w:r>
              <w:rPr>
                <w:sz w:val="20"/>
              </w:rPr>
              <w:t>1</w:t>
            </w:r>
            <w:r>
              <w:rPr>
                <w:rFonts w:ascii="宋体" w:eastAsia="宋体" w:hint="eastAsia"/>
                <w:sz w:val="20"/>
              </w:rPr>
              <w:t>）处置或报废</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65"/>
              <w:ind w:right="8"/>
              <w:jc w:val="right"/>
              <w:rPr>
                <w:sz w:val="20"/>
              </w:rPr>
            </w:pPr>
            <w:r>
              <w:rPr>
                <w:w w:val="95"/>
                <w:sz w:val="20"/>
              </w:rPr>
              <w:t>41,241,846.21</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65"/>
              <w:ind w:right="8"/>
              <w:jc w:val="right"/>
              <w:rPr>
                <w:sz w:val="20"/>
              </w:rPr>
            </w:pPr>
            <w:r>
              <w:rPr>
                <w:w w:val="95"/>
                <w:sz w:val="20"/>
              </w:rPr>
              <w:t>171,166,240.98</w:t>
            </w:r>
          </w:p>
        </w:tc>
        <w:tc>
          <w:tcPr>
            <w:tcW w:w="2050" w:type="dxa"/>
            <w:tcBorders>
              <w:top w:val="single" w:sz="4" w:space="0" w:color="000000"/>
              <w:left w:val="single" w:sz="4" w:space="0" w:color="000000"/>
              <w:bottom w:val="single" w:sz="4" w:space="0" w:color="000000"/>
            </w:tcBorders>
          </w:tcPr>
          <w:p>
            <w:pPr>
              <w:pStyle w:val="TableParagraph"/>
              <w:spacing w:before="65"/>
              <w:jc w:val="right"/>
              <w:rPr>
                <w:sz w:val="20"/>
              </w:rPr>
            </w:pPr>
            <w:r>
              <w:rPr>
                <w:w w:val="95"/>
                <w:sz w:val="20"/>
              </w:rPr>
              <w:t>927,772,121.71</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rFonts w:ascii="宋体" w:eastAsia="宋体" w:hint="eastAsia"/>
                <w:sz w:val="20"/>
              </w:rPr>
              <w:t>（</w:t>
            </w:r>
            <w:r>
              <w:rPr>
                <w:sz w:val="20"/>
              </w:rPr>
              <w:t>2</w:t>
            </w:r>
            <w:r>
              <w:rPr>
                <w:rFonts w:ascii="宋体" w:eastAsia="宋体" w:hint="eastAsia"/>
                <w:sz w:val="20"/>
              </w:rPr>
              <w:t>）处置子公司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62"/>
              <w:ind w:right="8"/>
              <w:jc w:val="right"/>
              <w:rPr>
                <w:sz w:val="20"/>
              </w:rPr>
            </w:pPr>
            <w:r>
              <w:rPr>
                <w:w w:val="95"/>
                <w:sz w:val="20"/>
              </w:rPr>
              <w:t>39,167,603.56</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62"/>
              <w:ind w:right="8"/>
              <w:jc w:val="right"/>
              <w:rPr>
                <w:sz w:val="20"/>
              </w:rPr>
            </w:pPr>
            <w:r>
              <w:rPr>
                <w:w w:val="95"/>
                <w:sz w:val="20"/>
              </w:rPr>
              <w:t>66,179,771.43</w:t>
            </w:r>
          </w:p>
        </w:tc>
        <w:tc>
          <w:tcPr>
            <w:tcW w:w="2050" w:type="dxa"/>
            <w:tcBorders>
              <w:top w:val="single" w:sz="4" w:space="0" w:color="000000"/>
              <w:left w:val="single" w:sz="4" w:space="0" w:color="000000"/>
              <w:bottom w:val="single" w:sz="4" w:space="0" w:color="000000"/>
            </w:tcBorders>
          </w:tcPr>
          <w:p>
            <w:pPr>
              <w:pStyle w:val="TableParagraph"/>
              <w:spacing w:before="62"/>
              <w:jc w:val="right"/>
              <w:rPr>
                <w:sz w:val="20"/>
              </w:rPr>
            </w:pPr>
            <w:r>
              <w:rPr>
                <w:sz w:val="20"/>
              </w:rPr>
              <w:t>1,253,312,900.11</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rFonts w:ascii="宋体" w:eastAsia="宋体" w:hint="eastAsia"/>
                <w:sz w:val="20"/>
              </w:rPr>
              <w:t>（</w:t>
            </w:r>
            <w:r>
              <w:rPr>
                <w:sz w:val="20"/>
              </w:rPr>
              <w:t>3</w:t>
            </w:r>
            <w:r>
              <w:rPr>
                <w:rFonts w:ascii="宋体" w:eastAsia="宋体" w:hint="eastAsia"/>
                <w:sz w:val="20"/>
              </w:rPr>
              <w:t>）转入持有待售</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0"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7"/>
              <w:ind w:left="28"/>
              <w:rPr>
                <w:rFonts w:ascii="宋体" w:eastAsia="宋体" w:hint="eastAsia"/>
                <w:sz w:val="20"/>
              </w:rPr>
            </w:pPr>
            <w:r>
              <w:rPr>
                <w:sz w:val="20"/>
              </w:rPr>
              <w:t>4.</w:t>
            </w:r>
            <w:r>
              <w:rPr>
                <w:rFonts w:ascii="宋体" w:eastAsia="宋体" w:hint="eastAsia"/>
                <w:sz w:val="20"/>
              </w:rPr>
              <w:t>外币报表折算差额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63"/>
              <w:ind w:right="9"/>
              <w:jc w:val="right"/>
              <w:rPr>
                <w:sz w:val="20"/>
              </w:rPr>
            </w:pPr>
            <w:r>
              <w:rPr>
                <w:w w:val="95"/>
                <w:sz w:val="20"/>
              </w:rPr>
              <w:t>-10,507,078.40</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63"/>
              <w:ind w:right="8"/>
              <w:jc w:val="right"/>
              <w:rPr>
                <w:sz w:val="20"/>
              </w:rPr>
            </w:pPr>
            <w:r>
              <w:rPr>
                <w:w w:val="95"/>
                <w:sz w:val="20"/>
              </w:rPr>
              <w:t>-7,248,050.89</w:t>
            </w:r>
          </w:p>
        </w:tc>
        <w:tc>
          <w:tcPr>
            <w:tcW w:w="2050" w:type="dxa"/>
            <w:tcBorders>
              <w:top w:val="single" w:sz="4" w:space="0" w:color="000000"/>
              <w:left w:val="single" w:sz="4" w:space="0" w:color="000000"/>
              <w:bottom w:val="single" w:sz="4" w:space="0" w:color="000000"/>
            </w:tcBorders>
          </w:tcPr>
          <w:p>
            <w:pPr>
              <w:pStyle w:val="TableParagraph"/>
              <w:spacing w:before="63"/>
              <w:jc w:val="right"/>
              <w:rPr>
                <w:sz w:val="20"/>
              </w:rPr>
            </w:pPr>
            <w:r>
              <w:rPr>
                <w:w w:val="95"/>
                <w:sz w:val="20"/>
              </w:rPr>
              <w:t>-525,469,631.00</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sz w:val="20"/>
              </w:rPr>
              <w:t>5.</w:t>
            </w:r>
            <w:r>
              <w:rPr>
                <w:rFonts w:ascii="宋体" w:eastAsia="宋体" w:hint="eastAsia"/>
                <w:sz w:val="20"/>
              </w:rPr>
              <w:t>期末余额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62"/>
              <w:ind w:right="9"/>
              <w:jc w:val="right"/>
              <w:rPr>
                <w:sz w:val="20"/>
              </w:rPr>
            </w:pPr>
            <w:r>
              <w:rPr>
                <w:w w:val="95"/>
                <w:sz w:val="20"/>
              </w:rPr>
              <w:t>482,846,976.88</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62"/>
              <w:ind w:right="8"/>
              <w:jc w:val="right"/>
              <w:rPr>
                <w:sz w:val="20"/>
              </w:rPr>
            </w:pPr>
            <w:r>
              <w:rPr>
                <w:sz w:val="20"/>
              </w:rPr>
              <w:t>1,304,418,481.44</w:t>
            </w:r>
          </w:p>
        </w:tc>
        <w:tc>
          <w:tcPr>
            <w:tcW w:w="2050" w:type="dxa"/>
            <w:tcBorders>
              <w:top w:val="single" w:sz="4" w:space="0" w:color="000000"/>
              <w:left w:val="single" w:sz="4" w:space="0" w:color="000000"/>
              <w:bottom w:val="single" w:sz="4" w:space="0" w:color="000000"/>
            </w:tcBorders>
          </w:tcPr>
          <w:p>
            <w:pPr>
              <w:pStyle w:val="TableParagraph"/>
              <w:spacing w:before="62"/>
              <w:jc w:val="right"/>
              <w:rPr>
                <w:sz w:val="20"/>
              </w:rPr>
            </w:pPr>
            <w:r>
              <w:rPr>
                <w:w w:val="95"/>
                <w:sz w:val="20"/>
              </w:rPr>
              <w:t>17,013,160,092.99</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rFonts w:ascii="宋体" w:eastAsia="宋体" w:hint="eastAsia"/>
                <w:sz w:val="20"/>
              </w:rPr>
              <w:t>三、减值准备</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0"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sz w:val="20"/>
              </w:rPr>
              <w:t>1.</w:t>
            </w:r>
            <w:r>
              <w:rPr>
                <w:rFonts w:ascii="宋体" w:eastAsia="宋体" w:hint="eastAsia"/>
                <w:sz w:val="20"/>
              </w:rPr>
              <w:t>期初余额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62"/>
              <w:ind w:right="8"/>
              <w:jc w:val="right"/>
              <w:rPr>
                <w:sz w:val="20"/>
              </w:rPr>
            </w:pPr>
            <w:r>
              <w:rPr>
                <w:w w:val="95"/>
                <w:sz w:val="20"/>
              </w:rPr>
              <w:t>68,672.62</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62"/>
              <w:ind w:right="8"/>
              <w:jc w:val="right"/>
              <w:rPr>
                <w:sz w:val="20"/>
              </w:rPr>
            </w:pPr>
            <w:r>
              <w:rPr>
                <w:w w:val="95"/>
                <w:sz w:val="20"/>
              </w:rPr>
              <w:t>11,572,864.47</w:t>
            </w:r>
          </w:p>
        </w:tc>
        <w:tc>
          <w:tcPr>
            <w:tcW w:w="2050" w:type="dxa"/>
            <w:tcBorders>
              <w:top w:val="single" w:sz="4" w:space="0" w:color="000000"/>
              <w:left w:val="single" w:sz="4" w:space="0" w:color="000000"/>
              <w:bottom w:val="single" w:sz="4" w:space="0" w:color="000000"/>
            </w:tcBorders>
          </w:tcPr>
          <w:p>
            <w:pPr>
              <w:pStyle w:val="TableParagraph"/>
              <w:spacing w:before="62"/>
              <w:ind w:right="-15"/>
              <w:jc w:val="right"/>
              <w:rPr>
                <w:sz w:val="20"/>
              </w:rPr>
            </w:pPr>
            <w:r>
              <w:rPr>
                <w:w w:val="95"/>
                <w:sz w:val="20"/>
              </w:rPr>
              <w:t>60,739,078.62</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sz w:val="20"/>
              </w:rPr>
              <w:t>2.</w:t>
            </w:r>
            <w:r>
              <w:rPr>
                <w:rFonts w:ascii="宋体" w:eastAsia="宋体" w:hint="eastAsia"/>
                <w:sz w:val="20"/>
              </w:rPr>
              <w:t>本期增加金额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0"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rFonts w:ascii="宋体" w:eastAsia="宋体" w:hint="eastAsia"/>
                <w:sz w:val="20"/>
              </w:rPr>
              <w:t>（</w:t>
            </w:r>
            <w:r>
              <w:rPr>
                <w:sz w:val="20"/>
              </w:rPr>
              <w:t>1</w:t>
            </w:r>
            <w:r>
              <w:rPr>
                <w:rFonts w:ascii="宋体" w:eastAsia="宋体" w:hint="eastAsia"/>
                <w:sz w:val="20"/>
              </w:rPr>
              <w:t>）计提</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62"/>
              <w:ind w:right="8"/>
              <w:jc w:val="right"/>
              <w:rPr>
                <w:sz w:val="20"/>
              </w:rPr>
            </w:pPr>
            <w:r>
              <w:rPr>
                <w:w w:val="95"/>
                <w:sz w:val="20"/>
              </w:rPr>
              <w:t>305,640.73</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0" w:type="dxa"/>
            <w:tcBorders>
              <w:top w:val="single" w:sz="4" w:space="0" w:color="000000"/>
              <w:left w:val="single" w:sz="4" w:space="0" w:color="000000"/>
              <w:bottom w:val="single" w:sz="4" w:space="0" w:color="000000"/>
            </w:tcBorders>
          </w:tcPr>
          <w:p>
            <w:pPr>
              <w:pStyle w:val="TableParagraph"/>
              <w:spacing w:before="62"/>
              <w:ind w:right="-15"/>
              <w:jc w:val="right"/>
              <w:rPr>
                <w:sz w:val="20"/>
              </w:rPr>
            </w:pPr>
            <w:r>
              <w:rPr>
                <w:w w:val="95"/>
                <w:sz w:val="20"/>
              </w:rPr>
              <w:t>413,079.67</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rFonts w:ascii="宋体" w:eastAsia="宋体" w:hint="eastAsia"/>
                <w:sz w:val="20"/>
              </w:rPr>
              <w:t>（</w:t>
            </w:r>
            <w:r>
              <w:rPr>
                <w:sz w:val="20"/>
              </w:rPr>
              <w:t>2</w:t>
            </w:r>
            <w:r>
              <w:rPr>
                <w:rFonts w:ascii="宋体" w:eastAsia="宋体" w:hint="eastAsia"/>
                <w:sz w:val="20"/>
              </w:rPr>
              <w:t>）企业合并增加</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0" w:type="dxa"/>
            <w:tcBorders>
              <w:top w:val="single" w:sz="4" w:space="0" w:color="000000"/>
              <w:left w:val="single" w:sz="4" w:space="0" w:color="000000"/>
              <w:bottom w:val="single" w:sz="4" w:space="0" w:color="000000"/>
            </w:tcBorders>
          </w:tcPr>
          <w:p>
            <w:pPr>
              <w:pStyle w:val="TableParagraph"/>
              <w:spacing w:before="62"/>
              <w:jc w:val="right"/>
              <w:rPr>
                <w:sz w:val="20"/>
              </w:rPr>
            </w:pPr>
            <w:r>
              <w:rPr>
                <w:w w:val="95"/>
                <w:sz w:val="20"/>
              </w:rPr>
              <w:t>127,167,231.67</w:t>
            </w:r>
          </w:p>
        </w:tc>
      </w:tr>
      <w:tr>
        <w:trPr>
          <w:trHeight w:val="366"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sz w:val="20"/>
              </w:rPr>
              <w:t>3.</w:t>
            </w:r>
            <w:r>
              <w:rPr>
                <w:rFonts w:ascii="宋体" w:eastAsia="宋体" w:hint="eastAsia"/>
                <w:sz w:val="20"/>
              </w:rPr>
              <w:t>本期减少金额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0"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rFonts w:ascii="宋体" w:eastAsia="宋体" w:hint="eastAsia"/>
                <w:sz w:val="20"/>
              </w:rPr>
              <w:t>（</w:t>
            </w:r>
            <w:r>
              <w:rPr>
                <w:sz w:val="20"/>
              </w:rPr>
              <w:t>1</w:t>
            </w:r>
            <w:r>
              <w:rPr>
                <w:rFonts w:ascii="宋体" w:eastAsia="宋体" w:hint="eastAsia"/>
                <w:sz w:val="20"/>
              </w:rPr>
              <w:t>）处置或报废</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65"/>
              <w:ind w:right="8"/>
              <w:jc w:val="right"/>
              <w:rPr>
                <w:sz w:val="20"/>
              </w:rPr>
            </w:pPr>
            <w:r>
              <w:rPr>
                <w:w w:val="95"/>
                <w:sz w:val="20"/>
              </w:rPr>
              <w:t>5,942,709.97</w:t>
            </w:r>
          </w:p>
        </w:tc>
        <w:tc>
          <w:tcPr>
            <w:tcW w:w="2050" w:type="dxa"/>
            <w:tcBorders>
              <w:top w:val="single" w:sz="4" w:space="0" w:color="000000"/>
              <w:left w:val="single" w:sz="4" w:space="0" w:color="000000"/>
              <w:bottom w:val="single" w:sz="4" w:space="0" w:color="000000"/>
            </w:tcBorders>
          </w:tcPr>
          <w:p>
            <w:pPr>
              <w:pStyle w:val="TableParagraph"/>
              <w:spacing w:before="65"/>
              <w:jc w:val="right"/>
              <w:rPr>
                <w:sz w:val="20"/>
              </w:rPr>
            </w:pPr>
            <w:r>
              <w:rPr>
                <w:w w:val="95"/>
                <w:sz w:val="20"/>
              </w:rPr>
              <w:t>108,558,187.22</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rFonts w:ascii="宋体" w:eastAsia="宋体" w:hint="eastAsia"/>
                <w:sz w:val="20"/>
              </w:rPr>
              <w:t>（</w:t>
            </w:r>
            <w:r>
              <w:rPr>
                <w:sz w:val="20"/>
              </w:rPr>
              <w:t>2</w:t>
            </w:r>
            <w:r>
              <w:rPr>
                <w:rFonts w:ascii="宋体" w:eastAsia="宋体" w:hint="eastAsia"/>
                <w:sz w:val="20"/>
              </w:rPr>
              <w:t>）处置子公司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0"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rFonts w:ascii="宋体" w:eastAsia="宋体" w:hint="eastAsia"/>
                <w:sz w:val="20"/>
              </w:rPr>
              <w:t>（</w:t>
            </w:r>
            <w:r>
              <w:rPr>
                <w:sz w:val="20"/>
              </w:rPr>
              <w:t>3</w:t>
            </w:r>
            <w:r>
              <w:rPr>
                <w:rFonts w:ascii="宋体" w:eastAsia="宋体" w:hint="eastAsia"/>
                <w:sz w:val="20"/>
              </w:rPr>
              <w:t>）转入持有待售</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0"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sz w:val="20"/>
              </w:rPr>
              <w:t>4.</w:t>
            </w:r>
            <w:r>
              <w:rPr>
                <w:rFonts w:ascii="宋体" w:eastAsia="宋体" w:hint="eastAsia"/>
                <w:sz w:val="20"/>
              </w:rPr>
              <w:t>外币报表折算差额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62"/>
              <w:ind w:right="8"/>
              <w:jc w:val="right"/>
              <w:rPr>
                <w:sz w:val="20"/>
              </w:rPr>
            </w:pPr>
            <w:r>
              <w:rPr>
                <w:w w:val="95"/>
                <w:sz w:val="20"/>
              </w:rPr>
              <w:t>-7,303.72</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62"/>
              <w:ind w:right="7"/>
              <w:jc w:val="right"/>
              <w:rPr>
                <w:sz w:val="20"/>
              </w:rPr>
            </w:pPr>
            <w:r>
              <w:rPr>
                <w:w w:val="95"/>
                <w:sz w:val="20"/>
              </w:rPr>
              <w:t>-212,583.94</w:t>
            </w:r>
          </w:p>
        </w:tc>
        <w:tc>
          <w:tcPr>
            <w:tcW w:w="2050" w:type="dxa"/>
            <w:tcBorders>
              <w:top w:val="single" w:sz="4" w:space="0" w:color="000000"/>
              <w:left w:val="single" w:sz="4" w:space="0" w:color="000000"/>
              <w:bottom w:val="single" w:sz="4" w:space="0" w:color="000000"/>
            </w:tcBorders>
          </w:tcPr>
          <w:p>
            <w:pPr>
              <w:pStyle w:val="TableParagraph"/>
              <w:spacing w:before="62"/>
              <w:ind w:right="-15"/>
              <w:jc w:val="right"/>
              <w:rPr>
                <w:sz w:val="20"/>
              </w:rPr>
            </w:pPr>
            <w:r>
              <w:rPr>
                <w:w w:val="95"/>
                <w:sz w:val="20"/>
              </w:rPr>
              <w:t>-467,150.18</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sz w:val="20"/>
              </w:rPr>
              <w:t>5.</w:t>
            </w:r>
            <w:r>
              <w:rPr>
                <w:rFonts w:ascii="宋体" w:eastAsia="宋体" w:hint="eastAsia"/>
                <w:sz w:val="20"/>
              </w:rPr>
              <w:t>期末余额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62"/>
              <w:ind w:right="8"/>
              <w:jc w:val="right"/>
              <w:rPr>
                <w:sz w:val="20"/>
              </w:rPr>
            </w:pPr>
            <w:r>
              <w:rPr>
                <w:w w:val="95"/>
                <w:sz w:val="20"/>
              </w:rPr>
              <w:t>367,009.63</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62"/>
              <w:ind w:right="8"/>
              <w:jc w:val="right"/>
              <w:rPr>
                <w:sz w:val="20"/>
              </w:rPr>
            </w:pPr>
            <w:r>
              <w:rPr>
                <w:w w:val="95"/>
                <w:sz w:val="20"/>
              </w:rPr>
              <w:t>5,417,570.56</w:t>
            </w:r>
          </w:p>
        </w:tc>
        <w:tc>
          <w:tcPr>
            <w:tcW w:w="2050" w:type="dxa"/>
            <w:tcBorders>
              <w:top w:val="single" w:sz="4" w:space="0" w:color="000000"/>
              <w:left w:val="single" w:sz="4" w:space="0" w:color="000000"/>
              <w:bottom w:val="single" w:sz="4" w:space="0" w:color="000000"/>
            </w:tcBorders>
          </w:tcPr>
          <w:p>
            <w:pPr>
              <w:pStyle w:val="TableParagraph"/>
              <w:spacing w:before="62"/>
              <w:ind w:right="-15"/>
              <w:jc w:val="right"/>
              <w:rPr>
                <w:sz w:val="20"/>
              </w:rPr>
            </w:pPr>
            <w:r>
              <w:rPr>
                <w:w w:val="95"/>
                <w:sz w:val="20"/>
              </w:rPr>
              <w:t>79,294,052.56</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rFonts w:ascii="宋体" w:eastAsia="宋体" w:hint="eastAsia"/>
                <w:sz w:val="20"/>
              </w:rPr>
              <w:t>四、账面价值</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0"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6"/>
              <w:ind w:left="28"/>
              <w:rPr>
                <w:rFonts w:ascii="宋体" w:eastAsia="宋体" w:hint="eastAsia"/>
                <w:sz w:val="20"/>
              </w:rPr>
            </w:pPr>
            <w:r>
              <w:rPr>
                <w:sz w:val="20"/>
              </w:rPr>
              <w:t>1.</w:t>
            </w:r>
            <w:r>
              <w:rPr>
                <w:rFonts w:ascii="宋体" w:eastAsia="宋体" w:hint="eastAsia"/>
                <w:sz w:val="20"/>
              </w:rPr>
              <w:t>期末账面价值</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62"/>
              <w:ind w:right="9"/>
              <w:jc w:val="right"/>
              <w:rPr>
                <w:sz w:val="20"/>
              </w:rPr>
            </w:pPr>
            <w:r>
              <w:rPr>
                <w:w w:val="95"/>
                <w:sz w:val="20"/>
              </w:rPr>
              <w:t>468,160,999.97</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62"/>
              <w:ind w:right="8"/>
              <w:jc w:val="right"/>
              <w:rPr>
                <w:sz w:val="20"/>
              </w:rPr>
            </w:pPr>
            <w:r>
              <w:rPr>
                <w:w w:val="95"/>
                <w:sz w:val="20"/>
              </w:rPr>
              <w:t>958,866,263.82</w:t>
            </w:r>
          </w:p>
        </w:tc>
        <w:tc>
          <w:tcPr>
            <w:tcW w:w="2050" w:type="dxa"/>
            <w:tcBorders>
              <w:top w:val="single" w:sz="4" w:space="0" w:color="000000"/>
              <w:left w:val="single" w:sz="4" w:space="0" w:color="000000"/>
              <w:bottom w:val="single" w:sz="4" w:space="0" w:color="000000"/>
            </w:tcBorders>
          </w:tcPr>
          <w:p>
            <w:pPr>
              <w:pStyle w:val="TableParagraph"/>
              <w:spacing w:before="62"/>
              <w:jc w:val="right"/>
              <w:rPr>
                <w:sz w:val="20"/>
              </w:rPr>
            </w:pPr>
            <w:r>
              <w:rPr>
                <w:w w:val="95"/>
                <w:sz w:val="20"/>
              </w:rPr>
              <w:t>20,878,516,949.39</w:t>
            </w:r>
          </w:p>
        </w:tc>
      </w:tr>
      <w:tr>
        <w:trPr>
          <w:trHeight w:val="366" w:hRule="atLeast"/>
        </w:trPr>
        <w:tc>
          <w:tcPr>
            <w:tcW w:w="2641" w:type="dxa"/>
            <w:tcBorders>
              <w:top w:val="single" w:sz="4" w:space="0" w:color="000000"/>
              <w:right w:val="single" w:sz="4" w:space="0" w:color="000000"/>
            </w:tcBorders>
          </w:tcPr>
          <w:p>
            <w:pPr>
              <w:pStyle w:val="TableParagraph"/>
              <w:spacing w:before="56"/>
              <w:ind w:left="28"/>
              <w:rPr>
                <w:rFonts w:ascii="宋体" w:eastAsia="宋体" w:hint="eastAsia"/>
                <w:sz w:val="20"/>
              </w:rPr>
            </w:pPr>
            <w:r>
              <w:rPr>
                <w:sz w:val="20"/>
              </w:rPr>
              <w:t>2.</w:t>
            </w:r>
            <w:r>
              <w:rPr>
                <w:rFonts w:ascii="宋体" w:eastAsia="宋体" w:hint="eastAsia"/>
                <w:sz w:val="20"/>
              </w:rPr>
              <w:t>期初账面价值</w:t>
            </w:r>
          </w:p>
        </w:tc>
        <w:tc>
          <w:tcPr>
            <w:tcW w:w="2194" w:type="dxa"/>
            <w:tcBorders>
              <w:top w:val="single" w:sz="4" w:space="0" w:color="000000"/>
              <w:left w:val="single" w:sz="4" w:space="0" w:color="000000"/>
              <w:right w:val="single" w:sz="4" w:space="0" w:color="000000"/>
            </w:tcBorders>
          </w:tcPr>
          <w:p>
            <w:pPr>
              <w:pStyle w:val="TableParagraph"/>
              <w:spacing w:before="62"/>
              <w:ind w:right="9"/>
              <w:jc w:val="right"/>
              <w:rPr>
                <w:sz w:val="20"/>
              </w:rPr>
            </w:pPr>
            <w:r>
              <w:rPr>
                <w:w w:val="95"/>
                <w:sz w:val="20"/>
              </w:rPr>
              <w:t>424,546,035.77</w:t>
            </w:r>
          </w:p>
        </w:tc>
        <w:tc>
          <w:tcPr>
            <w:tcW w:w="2198" w:type="dxa"/>
            <w:tcBorders>
              <w:top w:val="single" w:sz="4" w:space="0" w:color="000000"/>
              <w:left w:val="single" w:sz="4" w:space="0" w:color="000000"/>
              <w:right w:val="single" w:sz="4" w:space="0" w:color="000000"/>
            </w:tcBorders>
          </w:tcPr>
          <w:p>
            <w:pPr>
              <w:pStyle w:val="TableParagraph"/>
              <w:spacing w:before="62"/>
              <w:ind w:right="8"/>
              <w:jc w:val="right"/>
              <w:rPr>
                <w:sz w:val="20"/>
              </w:rPr>
            </w:pPr>
            <w:r>
              <w:rPr>
                <w:w w:val="95"/>
                <w:sz w:val="20"/>
              </w:rPr>
              <w:t>908,323,000.69</w:t>
            </w:r>
          </w:p>
        </w:tc>
        <w:tc>
          <w:tcPr>
            <w:tcW w:w="2050" w:type="dxa"/>
            <w:tcBorders>
              <w:top w:val="single" w:sz="4" w:space="0" w:color="000000"/>
              <w:left w:val="single" w:sz="4" w:space="0" w:color="000000"/>
            </w:tcBorders>
          </w:tcPr>
          <w:p>
            <w:pPr>
              <w:pStyle w:val="TableParagraph"/>
              <w:spacing w:before="62"/>
              <w:jc w:val="right"/>
              <w:rPr>
                <w:sz w:val="20"/>
              </w:rPr>
            </w:pPr>
            <w:r>
              <w:rPr>
                <w:w w:val="95"/>
                <w:sz w:val="20"/>
              </w:rPr>
              <w:t>21,159,138,731.39</w:t>
            </w:r>
          </w:p>
        </w:tc>
      </w:tr>
    </w:tbl>
    <w:p>
      <w:pPr>
        <w:pStyle w:val="BodyText"/>
        <w:spacing w:before="9"/>
        <w:rPr>
          <w:sz w:val="7"/>
        </w:rPr>
      </w:pPr>
    </w:p>
    <w:p>
      <w:pPr>
        <w:pStyle w:val="ListParagraph"/>
        <w:numPr>
          <w:ilvl w:val="0"/>
          <w:numId w:val="59"/>
        </w:numPr>
        <w:tabs>
          <w:tab w:pos="2427" w:val="left" w:leader="none"/>
        </w:tabs>
        <w:spacing w:line="240" w:lineRule="auto" w:before="78" w:after="0"/>
        <w:ind w:left="2427" w:right="0" w:hanging="529"/>
        <w:jc w:val="left"/>
        <w:rPr>
          <w:sz w:val="21"/>
        </w:rPr>
      </w:pPr>
      <w:r>
        <w:rPr>
          <w:spacing w:val="-6"/>
          <w:sz w:val="21"/>
        </w:rPr>
        <w:t>本期由在建工程余额完工转入固定资产原值金额共计 </w:t>
      </w:r>
      <w:r>
        <w:rPr>
          <w:rFonts w:ascii="Times New Roman" w:eastAsia="Times New Roman"/>
          <w:sz w:val="21"/>
        </w:rPr>
        <w:t>3,238,204,376.78</w:t>
      </w:r>
      <w:r>
        <w:rPr>
          <w:rFonts w:ascii="Times New Roman" w:eastAsia="Times New Roman"/>
          <w:spacing w:val="-1"/>
          <w:sz w:val="21"/>
        </w:rPr>
        <w:t> </w:t>
      </w:r>
      <w:r>
        <w:rPr>
          <w:spacing w:val="-3"/>
          <w:sz w:val="21"/>
        </w:rPr>
        <w:t>元。</w:t>
      </w:r>
    </w:p>
    <w:p>
      <w:pPr>
        <w:spacing w:after="0" w:line="240" w:lineRule="auto"/>
        <w:jc w:val="left"/>
        <w:rPr>
          <w:sz w:val="21"/>
        </w:rPr>
        <w:sectPr>
          <w:pgSz w:w="11910" w:h="16840"/>
          <w:pgMar w:header="876" w:footer="1214" w:top="1440" w:bottom="1400" w:left="260" w:right="0"/>
        </w:sectPr>
      </w:pPr>
    </w:p>
    <w:p>
      <w:pPr>
        <w:pStyle w:val="BodyText"/>
        <w:spacing w:before="9"/>
        <w:rPr>
          <w:sz w:val="12"/>
        </w:rPr>
      </w:pPr>
    </w:p>
    <w:p>
      <w:pPr>
        <w:pStyle w:val="ListParagraph"/>
        <w:numPr>
          <w:ilvl w:val="0"/>
          <w:numId w:val="59"/>
        </w:numPr>
        <w:tabs>
          <w:tab w:pos="2427" w:val="left" w:leader="none"/>
        </w:tabs>
        <w:spacing w:line="240" w:lineRule="auto" w:before="78" w:after="0"/>
        <w:ind w:left="2427" w:right="0" w:hanging="529"/>
        <w:jc w:val="left"/>
        <w:rPr>
          <w:sz w:val="21"/>
        </w:rPr>
      </w:pPr>
      <w:r>
        <w:rPr>
          <w:spacing w:val="-3"/>
          <w:sz w:val="21"/>
        </w:rPr>
        <w:t>本期末固定资产无抵押。</w:t>
      </w:r>
    </w:p>
    <w:p>
      <w:pPr>
        <w:pStyle w:val="BodyText"/>
        <w:spacing w:before="6"/>
        <w:rPr>
          <w:sz w:val="16"/>
        </w:rPr>
      </w:pPr>
    </w:p>
    <w:p>
      <w:pPr>
        <w:pStyle w:val="ListParagraph"/>
        <w:numPr>
          <w:ilvl w:val="0"/>
          <w:numId w:val="59"/>
        </w:numPr>
        <w:tabs>
          <w:tab w:pos="2427" w:val="left" w:leader="none"/>
        </w:tabs>
        <w:spacing w:line="240" w:lineRule="auto" w:before="0" w:after="38"/>
        <w:ind w:left="2427" w:right="0" w:hanging="529"/>
        <w:jc w:val="left"/>
        <w:rPr>
          <w:sz w:val="21"/>
        </w:rPr>
      </w:pPr>
      <w:r>
        <w:rPr>
          <w:spacing w:val="-3"/>
          <w:sz w:val="21"/>
        </w:rPr>
        <w:t>固定资产清理</w:t>
      </w: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602"/>
        <w:gridCol w:w="2194"/>
        <w:gridCol w:w="2198"/>
        <w:gridCol w:w="2055"/>
      </w:tblGrid>
      <w:tr>
        <w:trPr>
          <w:trHeight w:val="371" w:hRule="atLeast"/>
        </w:trPr>
        <w:tc>
          <w:tcPr>
            <w:tcW w:w="2602" w:type="dxa"/>
            <w:tcBorders>
              <w:bottom w:val="single" w:sz="4" w:space="0" w:color="000000"/>
              <w:right w:val="single" w:sz="4" w:space="0" w:color="000000"/>
            </w:tcBorders>
          </w:tcPr>
          <w:p>
            <w:pPr>
              <w:pStyle w:val="TableParagraph"/>
              <w:spacing w:line="351" w:lineRule="exact"/>
              <w:ind w:left="1070" w:right="1052"/>
              <w:jc w:val="center"/>
              <w:rPr>
                <w:rFonts w:ascii="Microsoft JhengHei" w:eastAsia="Microsoft JhengHei" w:hint="eastAsia"/>
                <w:b/>
                <w:sz w:val="21"/>
              </w:rPr>
            </w:pPr>
            <w:r>
              <w:rPr>
                <w:rFonts w:ascii="Microsoft JhengHei" w:eastAsia="Microsoft JhengHei" w:hint="eastAsia"/>
                <w:b/>
                <w:sz w:val="21"/>
              </w:rPr>
              <w:t>项目</w:t>
            </w:r>
          </w:p>
        </w:tc>
        <w:tc>
          <w:tcPr>
            <w:tcW w:w="2194" w:type="dxa"/>
            <w:tcBorders>
              <w:left w:val="single" w:sz="4" w:space="0" w:color="000000"/>
              <w:bottom w:val="single" w:sz="4" w:space="0" w:color="000000"/>
              <w:right w:val="single" w:sz="4" w:space="0" w:color="000000"/>
            </w:tcBorders>
          </w:tcPr>
          <w:p>
            <w:pPr>
              <w:pStyle w:val="TableParagraph"/>
              <w:spacing w:line="351" w:lineRule="exact"/>
              <w:ind w:left="683"/>
              <w:rPr>
                <w:rFonts w:ascii="Microsoft JhengHei" w:eastAsia="Microsoft JhengHei" w:hint="eastAsia"/>
                <w:b/>
                <w:sz w:val="21"/>
              </w:rPr>
            </w:pPr>
            <w:r>
              <w:rPr>
                <w:rFonts w:ascii="Microsoft JhengHei" w:eastAsia="Microsoft JhengHei" w:hint="eastAsia"/>
                <w:b/>
                <w:sz w:val="21"/>
              </w:rPr>
              <w:t>期末余额</w:t>
            </w:r>
          </w:p>
        </w:tc>
        <w:tc>
          <w:tcPr>
            <w:tcW w:w="2198" w:type="dxa"/>
            <w:tcBorders>
              <w:left w:val="single" w:sz="4" w:space="0" w:color="000000"/>
              <w:bottom w:val="single" w:sz="4" w:space="0" w:color="000000"/>
              <w:right w:val="single" w:sz="4" w:space="0" w:color="000000"/>
            </w:tcBorders>
          </w:tcPr>
          <w:p>
            <w:pPr>
              <w:pStyle w:val="TableParagraph"/>
              <w:spacing w:line="351" w:lineRule="exact"/>
              <w:ind w:left="686"/>
              <w:rPr>
                <w:rFonts w:ascii="Microsoft JhengHei" w:eastAsia="Microsoft JhengHei" w:hint="eastAsia"/>
                <w:b/>
                <w:sz w:val="21"/>
              </w:rPr>
            </w:pPr>
            <w:r>
              <w:rPr>
                <w:rFonts w:ascii="Microsoft JhengHei" w:eastAsia="Microsoft JhengHei" w:hint="eastAsia"/>
                <w:b/>
                <w:sz w:val="21"/>
              </w:rPr>
              <w:t>期初余额</w:t>
            </w:r>
          </w:p>
        </w:tc>
        <w:tc>
          <w:tcPr>
            <w:tcW w:w="2055" w:type="dxa"/>
            <w:tcBorders>
              <w:left w:val="single" w:sz="4" w:space="0" w:color="000000"/>
              <w:bottom w:val="single" w:sz="4" w:space="0" w:color="000000"/>
            </w:tcBorders>
          </w:tcPr>
          <w:p>
            <w:pPr>
              <w:pStyle w:val="TableParagraph"/>
              <w:spacing w:line="351" w:lineRule="exact"/>
              <w:ind w:left="406"/>
              <w:rPr>
                <w:rFonts w:ascii="Microsoft JhengHei" w:eastAsia="Microsoft JhengHei" w:hint="eastAsia"/>
                <w:b/>
                <w:sz w:val="21"/>
              </w:rPr>
            </w:pPr>
            <w:r>
              <w:rPr>
                <w:rFonts w:ascii="Microsoft JhengHei" w:eastAsia="Microsoft JhengHei" w:hint="eastAsia"/>
                <w:b/>
                <w:sz w:val="21"/>
              </w:rPr>
              <w:t>转入清理原因</w:t>
            </w:r>
          </w:p>
        </w:tc>
      </w:tr>
      <w:tr>
        <w:trPr>
          <w:trHeight w:val="369" w:hRule="atLeast"/>
        </w:trPr>
        <w:tc>
          <w:tcPr>
            <w:tcW w:w="2602"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青岛工业园地块搬迁</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55"/>
              <w:ind w:right="86"/>
              <w:jc w:val="right"/>
              <w:rPr>
                <w:sz w:val="21"/>
              </w:rPr>
            </w:pPr>
            <w:r>
              <w:rPr>
                <w:sz w:val="21"/>
              </w:rPr>
              <w:t>12,964,689.10</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55"/>
              <w:ind w:right="88"/>
              <w:jc w:val="right"/>
              <w:rPr>
                <w:sz w:val="21"/>
              </w:rPr>
            </w:pPr>
            <w:r>
              <w:rPr>
                <w:sz w:val="21"/>
              </w:rPr>
              <w:t>20,918,480.62</w:t>
            </w:r>
          </w:p>
        </w:tc>
        <w:tc>
          <w:tcPr>
            <w:tcW w:w="2055" w:type="dxa"/>
            <w:tcBorders>
              <w:top w:val="single" w:sz="4" w:space="0" w:color="000000"/>
              <w:left w:val="single" w:sz="4" w:space="0" w:color="000000"/>
              <w:bottom w:val="single" w:sz="4" w:space="0" w:color="000000"/>
            </w:tcBorders>
          </w:tcPr>
          <w:p>
            <w:pPr>
              <w:pStyle w:val="TableParagraph"/>
              <w:spacing w:before="49"/>
              <w:ind w:left="810" w:right="765"/>
              <w:jc w:val="center"/>
              <w:rPr>
                <w:rFonts w:ascii="宋体" w:eastAsia="宋体" w:hint="eastAsia"/>
                <w:sz w:val="21"/>
              </w:rPr>
            </w:pPr>
            <w:r>
              <w:rPr>
                <w:rFonts w:ascii="宋体" w:eastAsia="宋体" w:hint="eastAsia"/>
                <w:sz w:val="21"/>
              </w:rPr>
              <w:t>拆迁</w:t>
            </w:r>
          </w:p>
        </w:tc>
      </w:tr>
      <w:tr>
        <w:trPr>
          <w:trHeight w:val="366" w:hRule="atLeast"/>
        </w:trPr>
        <w:tc>
          <w:tcPr>
            <w:tcW w:w="2602"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其他</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55"/>
              <w:ind w:right="86"/>
              <w:jc w:val="right"/>
              <w:rPr>
                <w:sz w:val="21"/>
              </w:rPr>
            </w:pPr>
            <w:r>
              <w:rPr>
                <w:sz w:val="21"/>
              </w:rPr>
              <w:t>4,023,083.72</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before="42"/>
              <w:ind w:left="117"/>
              <w:rPr>
                <w:rFonts w:ascii="宋体"/>
                <w:sz w:val="21"/>
              </w:rPr>
            </w:pPr>
            <w:r>
              <w:rPr>
                <w:rFonts w:ascii="宋体"/>
                <w:w w:val="100"/>
                <w:sz w:val="21"/>
              </w:rPr>
              <w:t> </w:t>
            </w:r>
          </w:p>
        </w:tc>
        <w:tc>
          <w:tcPr>
            <w:tcW w:w="2055" w:type="dxa"/>
            <w:tcBorders>
              <w:top w:val="single" w:sz="4" w:space="0" w:color="000000"/>
              <w:left w:val="single" w:sz="4" w:space="0" w:color="000000"/>
              <w:bottom w:val="single" w:sz="4" w:space="0" w:color="000000"/>
            </w:tcBorders>
          </w:tcPr>
          <w:p>
            <w:pPr>
              <w:pStyle w:val="TableParagraph"/>
              <w:spacing w:before="49"/>
              <w:ind w:left="617"/>
              <w:rPr>
                <w:rFonts w:ascii="宋体" w:eastAsia="宋体" w:hint="eastAsia"/>
                <w:sz w:val="21"/>
              </w:rPr>
            </w:pPr>
            <w:r>
              <w:rPr>
                <w:rFonts w:ascii="宋体" w:eastAsia="宋体" w:hint="eastAsia"/>
                <w:sz w:val="21"/>
              </w:rPr>
              <w:t>报废清理</w:t>
            </w:r>
          </w:p>
        </w:tc>
      </w:tr>
      <w:tr>
        <w:trPr>
          <w:trHeight w:val="368" w:hRule="atLeast"/>
        </w:trPr>
        <w:tc>
          <w:tcPr>
            <w:tcW w:w="2602" w:type="dxa"/>
            <w:tcBorders>
              <w:top w:val="single" w:sz="4" w:space="0" w:color="000000"/>
              <w:right w:val="single" w:sz="4" w:space="0" w:color="000000"/>
            </w:tcBorders>
          </w:tcPr>
          <w:p>
            <w:pPr>
              <w:pStyle w:val="TableParagraph"/>
              <w:spacing w:before="51"/>
              <w:ind w:left="1070" w:right="1052"/>
              <w:jc w:val="center"/>
              <w:rPr>
                <w:rFonts w:ascii="宋体" w:eastAsia="宋体" w:hint="eastAsia"/>
                <w:sz w:val="21"/>
              </w:rPr>
            </w:pPr>
            <w:r>
              <w:rPr>
                <w:rFonts w:ascii="宋体" w:eastAsia="宋体" w:hint="eastAsia"/>
                <w:sz w:val="21"/>
              </w:rPr>
              <w:t>合计</w:t>
            </w:r>
          </w:p>
        </w:tc>
        <w:tc>
          <w:tcPr>
            <w:tcW w:w="2194" w:type="dxa"/>
            <w:tcBorders>
              <w:top w:val="single" w:sz="4" w:space="0" w:color="000000"/>
              <w:left w:val="single" w:sz="4" w:space="0" w:color="000000"/>
              <w:right w:val="single" w:sz="4" w:space="0" w:color="000000"/>
            </w:tcBorders>
          </w:tcPr>
          <w:p>
            <w:pPr>
              <w:pStyle w:val="TableParagraph"/>
              <w:spacing w:before="58"/>
              <w:ind w:right="86"/>
              <w:jc w:val="right"/>
              <w:rPr>
                <w:sz w:val="21"/>
              </w:rPr>
            </w:pPr>
            <w:r>
              <w:rPr>
                <w:sz w:val="21"/>
              </w:rPr>
              <w:t>16,987,772.82</w:t>
            </w:r>
          </w:p>
        </w:tc>
        <w:tc>
          <w:tcPr>
            <w:tcW w:w="2198" w:type="dxa"/>
            <w:tcBorders>
              <w:top w:val="single" w:sz="4" w:space="0" w:color="000000"/>
              <w:left w:val="single" w:sz="4" w:space="0" w:color="000000"/>
              <w:right w:val="single" w:sz="4" w:space="0" w:color="000000"/>
            </w:tcBorders>
          </w:tcPr>
          <w:p>
            <w:pPr>
              <w:pStyle w:val="TableParagraph"/>
              <w:spacing w:before="58"/>
              <w:ind w:right="85"/>
              <w:jc w:val="right"/>
              <w:rPr>
                <w:sz w:val="21"/>
              </w:rPr>
            </w:pPr>
            <w:r>
              <w:rPr>
                <w:sz w:val="21"/>
              </w:rPr>
              <w:t>20,918,480.62</w:t>
            </w:r>
          </w:p>
        </w:tc>
        <w:tc>
          <w:tcPr>
            <w:tcW w:w="2055" w:type="dxa"/>
            <w:tcBorders>
              <w:top w:val="single" w:sz="4" w:space="0" w:color="000000"/>
              <w:left w:val="single" w:sz="4" w:space="0" w:color="000000"/>
            </w:tcBorders>
          </w:tcPr>
          <w:p>
            <w:pPr>
              <w:pStyle w:val="TableParagraph"/>
              <w:spacing w:before="44"/>
              <w:ind w:left="117"/>
              <w:rPr>
                <w:rFonts w:ascii="宋体"/>
                <w:sz w:val="21"/>
              </w:rPr>
            </w:pPr>
            <w:r>
              <w:rPr>
                <w:rFonts w:ascii="宋体"/>
                <w:w w:val="100"/>
                <w:sz w:val="21"/>
              </w:rPr>
              <w:t> </w:t>
            </w:r>
          </w:p>
        </w:tc>
      </w:tr>
    </w:tbl>
    <w:p>
      <w:pPr>
        <w:pStyle w:val="BodyText"/>
        <w:spacing w:before="9"/>
        <w:rPr>
          <w:sz w:val="17"/>
        </w:rPr>
      </w:pPr>
    </w:p>
    <w:p>
      <w:pPr>
        <w:pStyle w:val="Heading4"/>
        <w:spacing w:line="206" w:lineRule="auto" w:before="49"/>
        <w:ind w:right="8757"/>
      </w:pPr>
      <w:r>
        <w:rPr>
          <w:rFonts w:ascii="Times New Roman" w:eastAsia="Times New Roman"/>
        </w:rPr>
        <w:t>16</w:t>
      </w:r>
      <w:r>
        <w:rPr/>
        <w:t>、 在建工程项目列示</w:t>
      </w:r>
    </w:p>
    <w:p>
      <w:pPr>
        <w:pStyle w:val="BodyText"/>
        <w:spacing w:before="28"/>
        <w:ind w:left="1538"/>
      </w:pPr>
      <w:r>
        <w:rPr/>
        <w:t>√适用 □不适用</w:t>
      </w:r>
    </w:p>
    <w:p>
      <w:pPr>
        <w:pStyle w:val="BodyText"/>
        <w:tabs>
          <w:tab w:pos="9111" w:val="left" w:leader="none"/>
        </w:tabs>
        <w:spacing w:before="5"/>
        <w:ind w:left="8059"/>
      </w:pPr>
      <w:r>
        <w:rPr/>
        <w:t>单位：元</w:t>
        <w:tab/>
        <w:t>币</w:t>
      </w:r>
      <w:r>
        <w:rPr>
          <w:spacing w:val="-3"/>
        </w:rPr>
        <w:t>种</w:t>
      </w:r>
      <w:r>
        <w:rPr/>
        <w:t>：</w:t>
      </w:r>
      <w:r>
        <w:rPr>
          <w:spacing w:val="-3"/>
        </w:rPr>
        <w:t>人</w:t>
      </w:r>
      <w:r>
        <w:rPr/>
        <w:t>民币</w:t>
      </w:r>
    </w:p>
    <w:tbl>
      <w:tblPr>
        <w:tblW w:w="0" w:type="auto"/>
        <w:jc w:val="left"/>
        <w:tblInd w:w="14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197"/>
        <w:gridCol w:w="2938"/>
        <w:gridCol w:w="2926"/>
      </w:tblGrid>
      <w:tr>
        <w:trPr>
          <w:trHeight w:val="272" w:hRule="atLeast"/>
        </w:trPr>
        <w:tc>
          <w:tcPr>
            <w:tcW w:w="3197" w:type="dxa"/>
            <w:tcBorders>
              <w:bottom w:val="single" w:sz="4" w:space="0" w:color="000000"/>
              <w:right w:val="single" w:sz="4" w:space="0" w:color="000000"/>
            </w:tcBorders>
          </w:tcPr>
          <w:p>
            <w:pPr>
              <w:pStyle w:val="TableParagraph"/>
              <w:spacing w:line="253" w:lineRule="exact"/>
              <w:ind w:right="1366"/>
              <w:jc w:val="right"/>
              <w:rPr>
                <w:rFonts w:ascii="Microsoft JhengHei" w:eastAsia="Microsoft JhengHei" w:hint="eastAsia"/>
                <w:b/>
                <w:sz w:val="21"/>
              </w:rPr>
            </w:pPr>
            <w:r>
              <w:rPr>
                <w:rFonts w:ascii="Microsoft JhengHei" w:eastAsia="Microsoft JhengHei" w:hint="eastAsia"/>
                <w:b/>
                <w:sz w:val="21"/>
              </w:rPr>
              <w:t>项目</w:t>
            </w:r>
          </w:p>
        </w:tc>
        <w:tc>
          <w:tcPr>
            <w:tcW w:w="2938" w:type="dxa"/>
            <w:tcBorders>
              <w:left w:val="single" w:sz="4" w:space="0" w:color="000000"/>
              <w:bottom w:val="single" w:sz="4" w:space="0" w:color="000000"/>
              <w:right w:val="single" w:sz="4" w:space="0" w:color="000000"/>
            </w:tcBorders>
          </w:tcPr>
          <w:p>
            <w:pPr>
              <w:pStyle w:val="TableParagraph"/>
              <w:spacing w:line="253" w:lineRule="exact"/>
              <w:ind w:left="1036" w:right="1012"/>
              <w:jc w:val="center"/>
              <w:rPr>
                <w:rFonts w:ascii="Microsoft JhengHei" w:eastAsia="Microsoft JhengHei" w:hint="eastAsia"/>
                <w:b/>
                <w:sz w:val="21"/>
              </w:rPr>
            </w:pPr>
            <w:r>
              <w:rPr>
                <w:rFonts w:ascii="Microsoft JhengHei" w:eastAsia="Microsoft JhengHei" w:hint="eastAsia"/>
                <w:b/>
                <w:sz w:val="21"/>
              </w:rPr>
              <w:t>期末余额</w:t>
            </w:r>
          </w:p>
        </w:tc>
        <w:tc>
          <w:tcPr>
            <w:tcW w:w="2926" w:type="dxa"/>
            <w:tcBorders>
              <w:left w:val="single" w:sz="4" w:space="0" w:color="000000"/>
              <w:bottom w:val="single" w:sz="4" w:space="0" w:color="000000"/>
            </w:tcBorders>
          </w:tcPr>
          <w:p>
            <w:pPr>
              <w:pStyle w:val="TableParagraph"/>
              <w:spacing w:line="253" w:lineRule="exact"/>
              <w:ind w:left="1031" w:right="994"/>
              <w:jc w:val="center"/>
              <w:rPr>
                <w:rFonts w:ascii="Microsoft JhengHei" w:eastAsia="Microsoft JhengHei" w:hint="eastAsia"/>
                <w:b/>
                <w:sz w:val="21"/>
              </w:rPr>
            </w:pPr>
            <w:r>
              <w:rPr>
                <w:rFonts w:ascii="Microsoft JhengHei" w:eastAsia="Microsoft JhengHei" w:hint="eastAsia"/>
                <w:b/>
                <w:sz w:val="21"/>
              </w:rPr>
              <w:t>期初余额</w:t>
            </w:r>
          </w:p>
        </w:tc>
      </w:tr>
      <w:tr>
        <w:trPr>
          <w:trHeight w:val="273" w:hRule="atLeast"/>
        </w:trPr>
        <w:tc>
          <w:tcPr>
            <w:tcW w:w="3197" w:type="dxa"/>
            <w:tcBorders>
              <w:top w:val="single" w:sz="4" w:space="0" w:color="000000"/>
              <w:bottom w:val="single" w:sz="4" w:space="0" w:color="000000"/>
              <w:right w:val="single" w:sz="4" w:space="0" w:color="000000"/>
            </w:tcBorders>
          </w:tcPr>
          <w:p>
            <w:pPr>
              <w:pStyle w:val="TableParagraph"/>
              <w:spacing w:line="250" w:lineRule="exact" w:before="3"/>
              <w:ind w:left="112"/>
              <w:rPr>
                <w:rFonts w:ascii="宋体" w:eastAsia="宋体" w:hint="eastAsia"/>
                <w:sz w:val="21"/>
              </w:rPr>
            </w:pPr>
            <w:r>
              <w:rPr>
                <w:rFonts w:ascii="宋体" w:eastAsia="宋体" w:hint="eastAsia"/>
                <w:sz w:val="21"/>
              </w:rPr>
              <w:t>在建工程</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before="10"/>
              <w:ind w:right="96"/>
              <w:jc w:val="right"/>
              <w:rPr>
                <w:sz w:val="21"/>
              </w:rPr>
            </w:pPr>
            <w:r>
              <w:rPr>
                <w:sz w:val="21"/>
              </w:rPr>
              <w:t>3,596,902,447.07</w:t>
            </w:r>
          </w:p>
        </w:tc>
        <w:tc>
          <w:tcPr>
            <w:tcW w:w="2926" w:type="dxa"/>
            <w:tcBorders>
              <w:top w:val="single" w:sz="4" w:space="0" w:color="000000"/>
              <w:left w:val="single" w:sz="4" w:space="0" w:color="000000"/>
              <w:bottom w:val="single" w:sz="4" w:space="0" w:color="000000"/>
            </w:tcBorders>
          </w:tcPr>
          <w:p>
            <w:pPr>
              <w:pStyle w:val="TableParagraph"/>
              <w:spacing w:before="10"/>
              <w:ind w:right="85"/>
              <w:jc w:val="right"/>
              <w:rPr>
                <w:sz w:val="21"/>
              </w:rPr>
            </w:pPr>
            <w:r>
              <w:rPr>
                <w:sz w:val="21"/>
              </w:rPr>
              <w:t>2,391,364,659.97</w:t>
            </w:r>
          </w:p>
        </w:tc>
      </w:tr>
      <w:tr>
        <w:trPr>
          <w:trHeight w:val="273" w:hRule="atLeast"/>
        </w:trPr>
        <w:tc>
          <w:tcPr>
            <w:tcW w:w="3197" w:type="dxa"/>
            <w:tcBorders>
              <w:top w:val="single" w:sz="4" w:space="0" w:color="000000"/>
              <w:bottom w:val="single" w:sz="4" w:space="0" w:color="000000"/>
              <w:right w:val="single" w:sz="4" w:space="0" w:color="000000"/>
            </w:tcBorders>
          </w:tcPr>
          <w:p>
            <w:pPr>
              <w:pStyle w:val="TableParagraph"/>
              <w:spacing w:line="252" w:lineRule="exact" w:before="1"/>
              <w:ind w:left="112"/>
              <w:rPr>
                <w:rFonts w:ascii="宋体" w:eastAsia="宋体" w:hint="eastAsia"/>
                <w:sz w:val="21"/>
              </w:rPr>
            </w:pPr>
            <w:r>
              <w:rPr>
                <w:rFonts w:ascii="宋体" w:eastAsia="宋体" w:hint="eastAsia"/>
                <w:sz w:val="21"/>
              </w:rPr>
              <w:t>工程物资</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926" w:type="dxa"/>
            <w:tcBorders>
              <w:top w:val="single" w:sz="4" w:space="0" w:color="000000"/>
              <w:left w:val="single" w:sz="4" w:space="0" w:color="000000"/>
              <w:bottom w:val="single" w:sz="4" w:space="0" w:color="000000"/>
            </w:tcBorders>
          </w:tcPr>
          <w:p>
            <w:pPr>
              <w:pStyle w:val="TableParagraph"/>
              <w:rPr>
                <w:sz w:val="18"/>
              </w:rPr>
            </w:pPr>
          </w:p>
        </w:tc>
      </w:tr>
      <w:tr>
        <w:trPr>
          <w:trHeight w:val="270" w:hRule="atLeast"/>
        </w:trPr>
        <w:tc>
          <w:tcPr>
            <w:tcW w:w="3197" w:type="dxa"/>
            <w:tcBorders>
              <w:top w:val="single" w:sz="4" w:space="0" w:color="000000"/>
              <w:right w:val="single" w:sz="4" w:space="0" w:color="000000"/>
            </w:tcBorders>
          </w:tcPr>
          <w:p>
            <w:pPr>
              <w:pStyle w:val="TableParagraph"/>
              <w:spacing w:line="249" w:lineRule="exact" w:before="1"/>
              <w:ind w:right="1366"/>
              <w:jc w:val="right"/>
              <w:rPr>
                <w:rFonts w:ascii="宋体" w:eastAsia="宋体" w:hint="eastAsia"/>
                <w:sz w:val="21"/>
              </w:rPr>
            </w:pPr>
            <w:r>
              <w:rPr>
                <w:rFonts w:ascii="宋体" w:eastAsia="宋体" w:hint="eastAsia"/>
                <w:sz w:val="21"/>
              </w:rPr>
              <w:t>合计</w:t>
            </w:r>
          </w:p>
        </w:tc>
        <w:tc>
          <w:tcPr>
            <w:tcW w:w="2938" w:type="dxa"/>
            <w:tcBorders>
              <w:top w:val="single" w:sz="4" w:space="0" w:color="000000"/>
              <w:left w:val="single" w:sz="4" w:space="0" w:color="000000"/>
              <w:right w:val="single" w:sz="4" w:space="0" w:color="000000"/>
            </w:tcBorders>
          </w:tcPr>
          <w:p>
            <w:pPr>
              <w:pStyle w:val="TableParagraph"/>
              <w:spacing w:before="7"/>
              <w:ind w:right="91"/>
              <w:jc w:val="right"/>
              <w:rPr>
                <w:sz w:val="21"/>
              </w:rPr>
            </w:pPr>
            <w:r>
              <w:rPr>
                <w:sz w:val="21"/>
              </w:rPr>
              <w:t>3,596,902,447.07</w:t>
            </w:r>
          </w:p>
        </w:tc>
        <w:tc>
          <w:tcPr>
            <w:tcW w:w="2926" w:type="dxa"/>
            <w:tcBorders>
              <w:top w:val="single" w:sz="4" w:space="0" w:color="000000"/>
              <w:left w:val="single" w:sz="4" w:space="0" w:color="000000"/>
            </w:tcBorders>
          </w:tcPr>
          <w:p>
            <w:pPr>
              <w:pStyle w:val="TableParagraph"/>
              <w:spacing w:before="7"/>
              <w:ind w:right="85"/>
              <w:jc w:val="right"/>
              <w:rPr>
                <w:sz w:val="21"/>
              </w:rPr>
            </w:pPr>
            <w:r>
              <w:rPr>
                <w:sz w:val="21"/>
              </w:rPr>
              <w:t>2,391,364,659.97</w:t>
            </w:r>
          </w:p>
        </w:tc>
      </w:tr>
    </w:tbl>
    <w:p>
      <w:pPr>
        <w:pStyle w:val="BodyText"/>
        <w:spacing w:before="5"/>
        <w:rPr>
          <w:sz w:val="13"/>
        </w:rPr>
      </w:pPr>
    </w:p>
    <w:p>
      <w:pPr>
        <w:pStyle w:val="BodyText"/>
        <w:spacing w:before="72"/>
        <w:ind w:left="1538"/>
      </w:pPr>
      <w:r>
        <w:rPr/>
        <w:t>其他说明：</w:t>
      </w:r>
    </w:p>
    <w:p>
      <w:pPr>
        <w:pStyle w:val="BodyText"/>
        <w:spacing w:before="4"/>
        <w:ind w:left="1538"/>
      </w:pPr>
      <w:r>
        <w:rPr/>
        <w:t>□适用 √不适用</w:t>
      </w:r>
    </w:p>
    <w:p>
      <w:pPr>
        <w:pStyle w:val="BodyText"/>
        <w:spacing w:before="2"/>
        <w:rPr>
          <w:sz w:val="18"/>
        </w:rPr>
      </w:pPr>
    </w:p>
    <w:p>
      <w:pPr>
        <w:pStyle w:val="Heading4"/>
        <w:spacing w:line="360" w:lineRule="exact" w:before="3"/>
      </w:pPr>
      <w:r>
        <w:rPr/>
        <w:t>在建工程</w:t>
      </w:r>
    </w:p>
    <w:p>
      <w:pPr>
        <w:pStyle w:val="Heading4"/>
        <w:spacing w:line="360" w:lineRule="exact"/>
      </w:pPr>
      <w:r>
        <w:rPr>
          <w:rFonts w:ascii="Times New Roman" w:eastAsia="Times New Roman"/>
        </w:rPr>
        <w:t>(1). </w:t>
      </w:r>
      <w:r>
        <w:rPr/>
        <w:t>在建工程情况</w:t>
      </w:r>
    </w:p>
    <w:p>
      <w:pPr>
        <w:pStyle w:val="BodyText"/>
        <w:spacing w:before="14"/>
        <w:ind w:left="1538"/>
      </w:pPr>
      <w:r>
        <w:rPr/>
        <w:t>√适用 □不适用</w:t>
      </w:r>
    </w:p>
    <w:p>
      <w:pPr>
        <w:pStyle w:val="BodyText"/>
        <w:tabs>
          <w:tab w:pos="9111" w:val="left" w:leader="none"/>
        </w:tabs>
        <w:spacing w:before="3" w:after="3"/>
        <w:ind w:left="8059"/>
      </w:pPr>
      <w:r>
        <w:rPr/>
        <w:t>单位：元</w:t>
        <w:tab/>
        <w:t>币</w:t>
      </w:r>
      <w:r>
        <w:rPr>
          <w:spacing w:val="-3"/>
        </w:rPr>
        <w:t>种</w:t>
      </w:r>
      <w:r>
        <w:rPr/>
        <w:t>：</w:t>
      </w:r>
      <w:r>
        <w:rPr>
          <w:spacing w:val="-3"/>
        </w:rPr>
        <w:t>人</w:t>
      </w:r>
      <w:r>
        <w:rPr/>
        <w:t>民币</w:t>
      </w:r>
    </w:p>
    <w:tbl>
      <w:tblPr>
        <w:tblW w:w="0" w:type="auto"/>
        <w:jc w:val="left"/>
        <w:tblInd w:w="8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17"/>
        <w:gridCol w:w="1582"/>
        <w:gridCol w:w="1099"/>
        <w:gridCol w:w="1548"/>
        <w:gridCol w:w="1476"/>
        <w:gridCol w:w="1251"/>
        <w:gridCol w:w="1476"/>
      </w:tblGrid>
      <w:tr>
        <w:trPr>
          <w:trHeight w:val="234" w:hRule="atLeast"/>
        </w:trPr>
        <w:tc>
          <w:tcPr>
            <w:tcW w:w="1217" w:type="dxa"/>
            <w:vMerge w:val="restart"/>
            <w:tcBorders>
              <w:bottom w:val="single" w:sz="4" w:space="0" w:color="000000"/>
              <w:right w:val="single" w:sz="4" w:space="0" w:color="000000"/>
            </w:tcBorders>
          </w:tcPr>
          <w:p>
            <w:pPr>
              <w:pStyle w:val="TableParagraph"/>
              <w:spacing w:before="62"/>
              <w:ind w:left="407" w:right="390"/>
              <w:jc w:val="center"/>
              <w:rPr>
                <w:rFonts w:ascii="Microsoft JhengHei" w:eastAsia="Microsoft JhengHei" w:hint="eastAsia"/>
                <w:b/>
                <w:sz w:val="18"/>
              </w:rPr>
            </w:pPr>
            <w:r>
              <w:rPr>
                <w:rFonts w:ascii="Microsoft JhengHei" w:eastAsia="Microsoft JhengHei" w:hint="eastAsia"/>
                <w:b/>
                <w:sz w:val="18"/>
              </w:rPr>
              <w:t>项目</w:t>
            </w:r>
          </w:p>
        </w:tc>
        <w:tc>
          <w:tcPr>
            <w:tcW w:w="4229" w:type="dxa"/>
            <w:gridSpan w:val="3"/>
            <w:tcBorders>
              <w:left w:val="single" w:sz="4" w:space="0" w:color="000000"/>
              <w:bottom w:val="single" w:sz="4" w:space="0" w:color="000000"/>
              <w:right w:val="single" w:sz="4" w:space="0" w:color="000000"/>
            </w:tcBorders>
          </w:tcPr>
          <w:p>
            <w:pPr>
              <w:pStyle w:val="TableParagraph"/>
              <w:spacing w:line="214" w:lineRule="exact"/>
              <w:ind w:left="1743" w:right="1716"/>
              <w:jc w:val="center"/>
              <w:rPr>
                <w:rFonts w:ascii="Microsoft JhengHei" w:eastAsia="Microsoft JhengHei" w:hint="eastAsia"/>
                <w:b/>
                <w:sz w:val="18"/>
              </w:rPr>
            </w:pPr>
            <w:r>
              <w:rPr>
                <w:rFonts w:ascii="Microsoft JhengHei" w:eastAsia="Microsoft JhengHei" w:hint="eastAsia"/>
                <w:b/>
                <w:sz w:val="18"/>
              </w:rPr>
              <w:t>期末余额</w:t>
            </w:r>
          </w:p>
        </w:tc>
        <w:tc>
          <w:tcPr>
            <w:tcW w:w="4203" w:type="dxa"/>
            <w:gridSpan w:val="3"/>
            <w:tcBorders>
              <w:left w:val="single" w:sz="4" w:space="0" w:color="000000"/>
              <w:bottom w:val="single" w:sz="4" w:space="0" w:color="000000"/>
            </w:tcBorders>
          </w:tcPr>
          <w:p>
            <w:pPr>
              <w:pStyle w:val="TableParagraph"/>
              <w:spacing w:line="214" w:lineRule="exact"/>
              <w:ind w:left="1731" w:right="1692"/>
              <w:jc w:val="center"/>
              <w:rPr>
                <w:rFonts w:ascii="Microsoft JhengHei" w:eastAsia="Microsoft JhengHei" w:hint="eastAsia"/>
                <w:b/>
                <w:sz w:val="18"/>
              </w:rPr>
            </w:pPr>
            <w:r>
              <w:rPr>
                <w:rFonts w:ascii="Microsoft JhengHei" w:eastAsia="Microsoft JhengHei" w:hint="eastAsia"/>
                <w:b/>
                <w:sz w:val="18"/>
              </w:rPr>
              <w:t>期初余额</w:t>
            </w:r>
          </w:p>
        </w:tc>
      </w:tr>
      <w:tr>
        <w:trPr>
          <w:trHeight w:val="232" w:hRule="atLeast"/>
        </w:trPr>
        <w:tc>
          <w:tcPr>
            <w:tcW w:w="1217" w:type="dxa"/>
            <w:vMerge/>
            <w:tcBorders>
              <w:top w:val="nil"/>
              <w:bottom w:val="single" w:sz="4" w:space="0" w:color="000000"/>
              <w:right w:val="single" w:sz="4" w:space="0" w:color="000000"/>
            </w:tcBorders>
          </w:tcPr>
          <w:p>
            <w:pPr>
              <w:rPr>
                <w:sz w:val="2"/>
                <w:szCs w:val="2"/>
              </w:rPr>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02" w:right="174"/>
              <w:jc w:val="center"/>
              <w:rPr>
                <w:rFonts w:ascii="Microsoft JhengHei" w:eastAsia="Microsoft JhengHei" w:hint="eastAsia"/>
                <w:b/>
                <w:sz w:val="18"/>
              </w:rPr>
            </w:pPr>
            <w:r>
              <w:rPr>
                <w:rFonts w:ascii="Microsoft JhengHei" w:eastAsia="Microsoft JhengHei" w:hint="eastAsia"/>
                <w:b/>
                <w:sz w:val="18"/>
              </w:rPr>
              <w:t>账面余额</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97"/>
              <w:rPr>
                <w:rFonts w:ascii="Microsoft JhengHei" w:eastAsia="Microsoft JhengHei" w:hint="eastAsia"/>
                <w:b/>
                <w:sz w:val="18"/>
              </w:rPr>
            </w:pPr>
            <w:r>
              <w:rPr>
                <w:rFonts w:ascii="Microsoft JhengHei" w:eastAsia="Microsoft JhengHei" w:hint="eastAsia"/>
                <w:b/>
                <w:sz w:val="18"/>
              </w:rPr>
              <w:t>减值准备</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5" w:right="1"/>
              <w:jc w:val="center"/>
              <w:rPr>
                <w:rFonts w:ascii="Microsoft JhengHei" w:eastAsia="Microsoft JhengHei" w:hint="eastAsia"/>
                <w:b/>
                <w:sz w:val="18"/>
              </w:rPr>
            </w:pPr>
            <w:r>
              <w:rPr>
                <w:rFonts w:ascii="Microsoft JhengHei" w:eastAsia="Microsoft JhengHei" w:hint="eastAsia"/>
                <w:b/>
                <w:sz w:val="18"/>
              </w:rPr>
              <w:t>账面价值</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387"/>
              <w:rPr>
                <w:rFonts w:ascii="Microsoft JhengHei" w:eastAsia="Microsoft JhengHei" w:hint="eastAsia"/>
                <w:b/>
                <w:sz w:val="18"/>
              </w:rPr>
            </w:pPr>
            <w:r>
              <w:rPr>
                <w:rFonts w:ascii="Microsoft JhengHei" w:eastAsia="Microsoft JhengHei" w:hint="eastAsia"/>
                <w:b/>
                <w:sz w:val="18"/>
              </w:rPr>
              <w:t>账面余额</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97" w:right="68"/>
              <w:jc w:val="center"/>
              <w:rPr>
                <w:rFonts w:ascii="Microsoft JhengHei" w:eastAsia="Microsoft JhengHei" w:hint="eastAsia"/>
                <w:b/>
                <w:sz w:val="18"/>
              </w:rPr>
            </w:pPr>
            <w:r>
              <w:rPr>
                <w:rFonts w:ascii="Microsoft JhengHei" w:eastAsia="Microsoft JhengHei" w:hint="eastAsia"/>
                <w:b/>
                <w:sz w:val="18"/>
              </w:rPr>
              <w:t>减值准备</w:t>
            </w:r>
          </w:p>
        </w:tc>
        <w:tc>
          <w:tcPr>
            <w:tcW w:w="1476" w:type="dxa"/>
            <w:tcBorders>
              <w:top w:val="single" w:sz="4" w:space="0" w:color="000000"/>
              <w:left w:val="single" w:sz="4" w:space="0" w:color="000000"/>
              <w:bottom w:val="single" w:sz="4" w:space="0" w:color="000000"/>
            </w:tcBorders>
          </w:tcPr>
          <w:p>
            <w:pPr>
              <w:pStyle w:val="TableParagraph"/>
              <w:spacing w:line="212" w:lineRule="exact"/>
              <w:ind w:left="387"/>
              <w:rPr>
                <w:rFonts w:ascii="Microsoft JhengHei" w:eastAsia="Microsoft JhengHei" w:hint="eastAsia"/>
                <w:b/>
                <w:sz w:val="18"/>
              </w:rPr>
            </w:pPr>
            <w:r>
              <w:rPr>
                <w:rFonts w:ascii="Microsoft JhengHei" w:eastAsia="Microsoft JhengHei" w:hint="eastAsia"/>
                <w:b/>
                <w:sz w:val="18"/>
              </w:rPr>
              <w:t>账面价值</w:t>
            </w:r>
          </w:p>
        </w:tc>
      </w:tr>
      <w:tr>
        <w:trPr>
          <w:trHeight w:val="467" w:hRule="atLeast"/>
        </w:trPr>
        <w:tc>
          <w:tcPr>
            <w:tcW w:w="1217" w:type="dxa"/>
            <w:tcBorders>
              <w:top w:val="single" w:sz="4" w:space="0" w:color="000000"/>
              <w:bottom w:val="single" w:sz="4" w:space="0" w:color="000000"/>
              <w:right w:val="single" w:sz="4" w:space="0" w:color="000000"/>
            </w:tcBorders>
          </w:tcPr>
          <w:p>
            <w:pPr>
              <w:pStyle w:val="TableParagraph"/>
              <w:spacing w:line="230" w:lineRule="exact"/>
              <w:ind w:left="105"/>
              <w:rPr>
                <w:sz w:val="18"/>
              </w:rPr>
            </w:pPr>
            <w:r>
              <w:rPr>
                <w:rFonts w:ascii="宋体" w:eastAsia="宋体" w:hint="eastAsia"/>
                <w:sz w:val="18"/>
              </w:rPr>
              <w:t>欧洲 </w:t>
            </w:r>
            <w:r>
              <w:rPr>
                <w:sz w:val="18"/>
              </w:rPr>
              <w:t>Candy</w:t>
            </w:r>
          </w:p>
          <w:p>
            <w:pPr>
              <w:pStyle w:val="TableParagraph"/>
              <w:spacing w:line="213" w:lineRule="exact" w:before="4"/>
              <w:ind w:left="105"/>
              <w:rPr>
                <w:rFonts w:ascii="宋体" w:eastAsia="宋体" w:hint="eastAsia"/>
                <w:sz w:val="18"/>
              </w:rPr>
            </w:pPr>
            <w:r>
              <w:rPr>
                <w:rFonts w:ascii="宋体" w:eastAsia="宋体" w:hint="eastAsia"/>
                <w:sz w:val="18"/>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124"/>
              <w:ind w:left="231" w:right="174"/>
              <w:jc w:val="center"/>
              <w:rPr>
                <w:sz w:val="18"/>
              </w:rPr>
            </w:pPr>
            <w:r>
              <w:rPr>
                <w:sz w:val="18"/>
              </w:rPr>
              <w:t>611,529,115.13</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before="124"/>
              <w:ind w:left="88" w:right="1"/>
              <w:jc w:val="center"/>
              <w:rPr>
                <w:sz w:val="18"/>
              </w:rPr>
            </w:pPr>
            <w:r>
              <w:rPr>
                <w:sz w:val="18"/>
              </w:rPr>
              <w:t>611,529,115.13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before="124"/>
              <w:ind w:right="85"/>
              <w:jc w:val="right"/>
              <w:rPr>
                <w:sz w:val="18"/>
              </w:rPr>
            </w:pPr>
            <w:r>
              <w:rPr>
                <w:sz w:val="18"/>
              </w:rPr>
              <w:t>44,645,629.53</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476" w:type="dxa"/>
            <w:tcBorders>
              <w:top w:val="single" w:sz="4" w:space="0" w:color="000000"/>
              <w:left w:val="single" w:sz="4" w:space="0" w:color="000000"/>
              <w:bottom w:val="single" w:sz="4" w:space="0" w:color="000000"/>
            </w:tcBorders>
          </w:tcPr>
          <w:p>
            <w:pPr>
              <w:pStyle w:val="TableParagraph"/>
              <w:spacing w:before="124"/>
              <w:ind w:right="75"/>
              <w:jc w:val="right"/>
              <w:rPr>
                <w:sz w:val="18"/>
              </w:rPr>
            </w:pPr>
            <w:r>
              <w:rPr>
                <w:sz w:val="18"/>
              </w:rPr>
              <w:t>44,645,629.53</w:t>
            </w:r>
          </w:p>
        </w:tc>
      </w:tr>
      <w:tr>
        <w:trPr>
          <w:trHeight w:val="467" w:hRule="atLeast"/>
        </w:trPr>
        <w:tc>
          <w:tcPr>
            <w:tcW w:w="1217" w:type="dxa"/>
            <w:tcBorders>
              <w:top w:val="single" w:sz="4" w:space="0" w:color="000000"/>
              <w:bottom w:val="single" w:sz="4" w:space="0" w:color="000000"/>
              <w:right w:val="single" w:sz="4" w:space="0" w:color="000000"/>
            </w:tcBorders>
          </w:tcPr>
          <w:p>
            <w:pPr>
              <w:pStyle w:val="TableParagraph"/>
              <w:spacing w:line="230" w:lineRule="exact"/>
              <w:ind w:left="105"/>
              <w:rPr>
                <w:rFonts w:ascii="宋体" w:eastAsia="宋体" w:hint="eastAsia"/>
                <w:sz w:val="18"/>
              </w:rPr>
            </w:pPr>
            <w:r>
              <w:rPr>
                <w:rFonts w:ascii="宋体" w:eastAsia="宋体" w:hint="eastAsia"/>
                <w:sz w:val="18"/>
              </w:rPr>
              <w:t>美国 </w:t>
            </w:r>
            <w:r>
              <w:rPr>
                <w:sz w:val="18"/>
              </w:rPr>
              <w:t>GEA </w:t>
            </w:r>
            <w:r>
              <w:rPr>
                <w:rFonts w:ascii="宋体" w:eastAsia="宋体" w:hint="eastAsia"/>
                <w:sz w:val="18"/>
              </w:rPr>
              <w:t>项</w:t>
            </w:r>
          </w:p>
          <w:p>
            <w:pPr>
              <w:pStyle w:val="TableParagraph"/>
              <w:spacing w:line="215" w:lineRule="exact" w:before="2"/>
              <w:ind w:left="105"/>
              <w:rPr>
                <w:rFonts w:ascii="宋体" w:eastAsia="宋体" w:hint="eastAsia"/>
                <w:sz w:val="18"/>
              </w:rPr>
            </w:pPr>
            <w:r>
              <w:rPr>
                <w:rFonts w:ascii="宋体" w:eastAsia="宋体" w:hint="eastAsia"/>
                <w:sz w:val="18"/>
              </w:rPr>
              <w:t>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124"/>
              <w:ind w:left="231" w:right="174"/>
              <w:jc w:val="center"/>
              <w:rPr>
                <w:sz w:val="18"/>
              </w:rPr>
            </w:pPr>
            <w:r>
              <w:rPr>
                <w:sz w:val="18"/>
              </w:rPr>
              <w:t>518,260,493.01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before="124"/>
              <w:ind w:left="88" w:right="1"/>
              <w:jc w:val="center"/>
              <w:rPr>
                <w:sz w:val="18"/>
              </w:rPr>
            </w:pPr>
            <w:r>
              <w:rPr>
                <w:sz w:val="18"/>
              </w:rPr>
              <w:t>518,260,493.01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before="124"/>
              <w:ind w:right="85"/>
              <w:jc w:val="right"/>
              <w:rPr>
                <w:sz w:val="18"/>
              </w:rPr>
            </w:pPr>
            <w:r>
              <w:rPr>
                <w:sz w:val="18"/>
              </w:rPr>
              <w:t>301,439,928.75</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124"/>
              <w:ind w:left="98" w:right="68"/>
              <w:jc w:val="center"/>
              <w:rPr>
                <w:sz w:val="18"/>
              </w:rPr>
            </w:pPr>
            <w:r>
              <w:rPr>
                <w:sz w:val="18"/>
              </w:rPr>
              <w:t>34,061,569.61</w:t>
            </w:r>
          </w:p>
        </w:tc>
        <w:tc>
          <w:tcPr>
            <w:tcW w:w="1476" w:type="dxa"/>
            <w:tcBorders>
              <w:top w:val="single" w:sz="4" w:space="0" w:color="000000"/>
              <w:left w:val="single" w:sz="4" w:space="0" w:color="000000"/>
              <w:bottom w:val="single" w:sz="4" w:space="0" w:color="000000"/>
            </w:tcBorders>
          </w:tcPr>
          <w:p>
            <w:pPr>
              <w:pStyle w:val="TableParagraph"/>
              <w:spacing w:before="124"/>
              <w:ind w:right="75"/>
              <w:jc w:val="right"/>
              <w:rPr>
                <w:sz w:val="18"/>
              </w:rPr>
            </w:pPr>
            <w:r>
              <w:rPr>
                <w:sz w:val="18"/>
              </w:rPr>
              <w:t>267,378,359.14</w:t>
            </w:r>
          </w:p>
        </w:tc>
      </w:tr>
      <w:tr>
        <w:trPr>
          <w:trHeight w:val="465" w:hRule="atLeast"/>
        </w:trPr>
        <w:tc>
          <w:tcPr>
            <w:tcW w:w="1217" w:type="dxa"/>
            <w:tcBorders>
              <w:top w:val="single" w:sz="4" w:space="0" w:color="000000"/>
              <w:bottom w:val="single" w:sz="4" w:space="0" w:color="000000"/>
              <w:right w:val="single" w:sz="4" w:space="0" w:color="000000"/>
            </w:tcBorders>
          </w:tcPr>
          <w:p>
            <w:pPr>
              <w:pStyle w:val="TableParagraph"/>
              <w:spacing w:line="230" w:lineRule="exact"/>
              <w:ind w:left="105"/>
              <w:rPr>
                <w:rFonts w:ascii="宋体" w:eastAsia="宋体" w:hint="eastAsia"/>
                <w:sz w:val="18"/>
              </w:rPr>
            </w:pPr>
            <w:r>
              <w:rPr>
                <w:rFonts w:ascii="宋体" w:eastAsia="宋体" w:hint="eastAsia"/>
                <w:sz w:val="18"/>
              </w:rPr>
              <w:t>海尔印度项</w:t>
            </w:r>
          </w:p>
          <w:p>
            <w:pPr>
              <w:pStyle w:val="TableParagraph"/>
              <w:spacing w:line="213" w:lineRule="exact" w:before="2"/>
              <w:ind w:left="105"/>
              <w:rPr>
                <w:rFonts w:ascii="宋体" w:eastAsia="宋体" w:hint="eastAsia"/>
                <w:sz w:val="18"/>
              </w:rPr>
            </w:pPr>
            <w:r>
              <w:rPr>
                <w:rFonts w:ascii="宋体" w:eastAsia="宋体" w:hint="eastAsia"/>
                <w:sz w:val="18"/>
              </w:rPr>
              <w:t>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124"/>
              <w:ind w:left="231" w:right="174"/>
              <w:jc w:val="center"/>
              <w:rPr>
                <w:sz w:val="18"/>
              </w:rPr>
            </w:pPr>
            <w:r>
              <w:rPr>
                <w:sz w:val="18"/>
              </w:rPr>
              <w:t>400,955,285.59</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before="124"/>
              <w:ind w:left="88" w:right="1"/>
              <w:jc w:val="center"/>
              <w:rPr>
                <w:sz w:val="18"/>
              </w:rPr>
            </w:pPr>
            <w:r>
              <w:rPr>
                <w:sz w:val="18"/>
              </w:rPr>
              <w:t>400,955,285.59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before="124"/>
              <w:ind w:right="85"/>
              <w:jc w:val="right"/>
              <w:rPr>
                <w:sz w:val="18"/>
              </w:rPr>
            </w:pPr>
            <w:r>
              <w:rPr>
                <w:sz w:val="18"/>
              </w:rPr>
              <w:t>32,308,143.64</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476" w:type="dxa"/>
            <w:tcBorders>
              <w:top w:val="single" w:sz="4" w:space="0" w:color="000000"/>
              <w:left w:val="single" w:sz="4" w:space="0" w:color="000000"/>
              <w:bottom w:val="single" w:sz="4" w:space="0" w:color="000000"/>
            </w:tcBorders>
          </w:tcPr>
          <w:p>
            <w:pPr>
              <w:pStyle w:val="TableParagraph"/>
              <w:spacing w:before="124"/>
              <w:ind w:right="75"/>
              <w:jc w:val="right"/>
              <w:rPr>
                <w:sz w:val="18"/>
              </w:rPr>
            </w:pPr>
            <w:r>
              <w:rPr>
                <w:sz w:val="18"/>
              </w:rPr>
              <w:t>32,308,143.64</w:t>
            </w:r>
          </w:p>
        </w:tc>
      </w:tr>
      <w:tr>
        <w:trPr>
          <w:trHeight w:val="467" w:hRule="atLeast"/>
        </w:trPr>
        <w:tc>
          <w:tcPr>
            <w:tcW w:w="1217" w:type="dxa"/>
            <w:tcBorders>
              <w:top w:val="single" w:sz="4" w:space="0" w:color="000000"/>
              <w:bottom w:val="single" w:sz="4" w:space="0" w:color="000000"/>
              <w:right w:val="single" w:sz="4" w:space="0" w:color="000000"/>
            </w:tcBorders>
          </w:tcPr>
          <w:p>
            <w:pPr>
              <w:pStyle w:val="TableParagraph"/>
              <w:ind w:left="105"/>
              <w:rPr>
                <w:rFonts w:ascii="宋体" w:eastAsia="宋体" w:hint="eastAsia"/>
                <w:sz w:val="18"/>
              </w:rPr>
            </w:pPr>
            <w:r>
              <w:rPr>
                <w:rFonts w:ascii="宋体" w:eastAsia="宋体" w:hint="eastAsia"/>
                <w:sz w:val="18"/>
              </w:rPr>
              <w:t>智能家电科</w:t>
            </w:r>
          </w:p>
          <w:p>
            <w:pPr>
              <w:pStyle w:val="TableParagraph"/>
              <w:spacing w:line="213" w:lineRule="exact" w:before="4"/>
              <w:ind w:left="105"/>
              <w:rPr>
                <w:rFonts w:ascii="宋体" w:eastAsia="宋体" w:hint="eastAsia"/>
                <w:sz w:val="18"/>
              </w:rPr>
            </w:pPr>
            <w:r>
              <w:rPr>
                <w:rFonts w:ascii="宋体" w:eastAsia="宋体" w:hint="eastAsia"/>
                <w:sz w:val="18"/>
              </w:rPr>
              <w:t>技项目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127"/>
              <w:ind w:left="231" w:right="174"/>
              <w:jc w:val="center"/>
              <w:rPr>
                <w:sz w:val="18"/>
              </w:rPr>
            </w:pPr>
            <w:r>
              <w:rPr>
                <w:sz w:val="18"/>
              </w:rPr>
              <w:t>291,584,097.58</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before="127"/>
              <w:ind w:left="88" w:right="1"/>
              <w:jc w:val="center"/>
              <w:rPr>
                <w:sz w:val="18"/>
              </w:rPr>
            </w:pPr>
            <w:r>
              <w:rPr>
                <w:sz w:val="18"/>
              </w:rPr>
              <w:t>291,584,097.58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before="127"/>
              <w:ind w:right="85"/>
              <w:jc w:val="right"/>
              <w:rPr>
                <w:sz w:val="18"/>
              </w:rPr>
            </w:pPr>
            <w:r>
              <w:rPr>
                <w:sz w:val="18"/>
              </w:rPr>
              <w:t>17,586,162.11</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476" w:type="dxa"/>
            <w:tcBorders>
              <w:top w:val="single" w:sz="4" w:space="0" w:color="000000"/>
              <w:left w:val="single" w:sz="4" w:space="0" w:color="000000"/>
              <w:bottom w:val="single" w:sz="4" w:space="0" w:color="000000"/>
            </w:tcBorders>
          </w:tcPr>
          <w:p>
            <w:pPr>
              <w:pStyle w:val="TableParagraph"/>
              <w:spacing w:before="127"/>
              <w:ind w:right="75"/>
              <w:jc w:val="right"/>
              <w:rPr>
                <w:sz w:val="18"/>
              </w:rPr>
            </w:pPr>
            <w:r>
              <w:rPr>
                <w:sz w:val="18"/>
              </w:rPr>
              <w:t>17,586,162.11</w:t>
            </w:r>
          </w:p>
        </w:tc>
      </w:tr>
      <w:tr>
        <w:trPr>
          <w:trHeight w:val="467" w:hRule="atLeast"/>
        </w:trPr>
        <w:tc>
          <w:tcPr>
            <w:tcW w:w="1217" w:type="dxa"/>
            <w:tcBorders>
              <w:top w:val="single" w:sz="4" w:space="0" w:color="000000"/>
              <w:bottom w:val="single" w:sz="4" w:space="0" w:color="000000"/>
              <w:right w:val="single" w:sz="4" w:space="0" w:color="000000"/>
            </w:tcBorders>
          </w:tcPr>
          <w:p>
            <w:pPr>
              <w:pStyle w:val="TableParagraph"/>
              <w:ind w:left="105"/>
              <w:rPr>
                <w:rFonts w:ascii="宋体" w:eastAsia="宋体" w:hint="eastAsia"/>
                <w:sz w:val="18"/>
              </w:rPr>
            </w:pPr>
            <w:r>
              <w:rPr>
                <w:rFonts w:ascii="宋体" w:eastAsia="宋体" w:hint="eastAsia"/>
                <w:sz w:val="18"/>
              </w:rPr>
              <w:t>郑州新能源</w:t>
            </w:r>
          </w:p>
          <w:p>
            <w:pPr>
              <w:pStyle w:val="TableParagraph"/>
              <w:spacing w:line="215" w:lineRule="exact" w:before="2"/>
              <w:ind w:left="105"/>
              <w:rPr>
                <w:rFonts w:ascii="宋体" w:eastAsia="宋体" w:hint="eastAsia"/>
                <w:sz w:val="18"/>
              </w:rPr>
            </w:pPr>
            <w:r>
              <w:rPr>
                <w:rFonts w:ascii="宋体" w:eastAsia="宋体" w:hint="eastAsia"/>
                <w:sz w:val="18"/>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124"/>
              <w:ind w:left="231" w:right="174"/>
              <w:jc w:val="center"/>
              <w:rPr>
                <w:sz w:val="18"/>
              </w:rPr>
            </w:pPr>
            <w:r>
              <w:rPr>
                <w:sz w:val="18"/>
              </w:rPr>
              <w:t>134,884,592.49</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before="124"/>
              <w:ind w:left="88" w:right="1"/>
              <w:jc w:val="center"/>
              <w:rPr>
                <w:sz w:val="18"/>
              </w:rPr>
            </w:pPr>
            <w:r>
              <w:rPr>
                <w:sz w:val="18"/>
              </w:rPr>
              <w:t>134,884,592.49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before="124"/>
              <w:ind w:right="85"/>
              <w:jc w:val="right"/>
              <w:rPr>
                <w:sz w:val="18"/>
              </w:rPr>
            </w:pPr>
            <w:r>
              <w:rPr>
                <w:sz w:val="18"/>
              </w:rPr>
              <w:t>339,598,483.94</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476" w:type="dxa"/>
            <w:tcBorders>
              <w:top w:val="single" w:sz="4" w:space="0" w:color="000000"/>
              <w:left w:val="single" w:sz="4" w:space="0" w:color="000000"/>
              <w:bottom w:val="single" w:sz="4" w:space="0" w:color="000000"/>
            </w:tcBorders>
          </w:tcPr>
          <w:p>
            <w:pPr>
              <w:pStyle w:val="TableParagraph"/>
              <w:spacing w:before="124"/>
              <w:ind w:right="75"/>
              <w:jc w:val="right"/>
              <w:rPr>
                <w:sz w:val="18"/>
              </w:rPr>
            </w:pPr>
            <w:r>
              <w:rPr>
                <w:sz w:val="18"/>
              </w:rPr>
              <w:t>339,598,483.94</w:t>
            </w:r>
          </w:p>
        </w:tc>
      </w:tr>
      <w:tr>
        <w:trPr>
          <w:trHeight w:val="465" w:hRule="atLeast"/>
        </w:trPr>
        <w:tc>
          <w:tcPr>
            <w:tcW w:w="1217" w:type="dxa"/>
            <w:tcBorders>
              <w:top w:val="single" w:sz="4" w:space="0" w:color="000000"/>
              <w:bottom w:val="single" w:sz="4" w:space="0" w:color="000000"/>
              <w:right w:val="single" w:sz="4" w:space="0" w:color="000000"/>
            </w:tcBorders>
          </w:tcPr>
          <w:p>
            <w:pPr>
              <w:pStyle w:val="TableParagraph"/>
              <w:ind w:left="105"/>
              <w:rPr>
                <w:rFonts w:ascii="宋体" w:eastAsia="宋体" w:hint="eastAsia"/>
                <w:sz w:val="18"/>
              </w:rPr>
            </w:pPr>
            <w:r>
              <w:rPr>
                <w:rFonts w:ascii="宋体" w:eastAsia="宋体" w:hint="eastAsia"/>
                <w:sz w:val="18"/>
              </w:rPr>
              <w:t>青岛海尔洗</w:t>
            </w:r>
          </w:p>
          <w:p>
            <w:pPr>
              <w:pStyle w:val="TableParagraph"/>
              <w:spacing w:line="213" w:lineRule="exact" w:before="2"/>
              <w:ind w:left="105"/>
              <w:rPr>
                <w:rFonts w:ascii="宋体" w:eastAsia="宋体" w:hint="eastAsia"/>
                <w:sz w:val="18"/>
              </w:rPr>
            </w:pPr>
            <w:r>
              <w:rPr>
                <w:rFonts w:ascii="宋体" w:eastAsia="宋体" w:hint="eastAsia"/>
                <w:sz w:val="18"/>
              </w:rPr>
              <w:t>衣机项目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124"/>
              <w:ind w:left="231" w:right="174"/>
              <w:jc w:val="center"/>
              <w:rPr>
                <w:sz w:val="18"/>
              </w:rPr>
            </w:pPr>
            <w:r>
              <w:rPr>
                <w:sz w:val="18"/>
              </w:rPr>
              <w:t>107,072,469.09</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before="124"/>
              <w:ind w:left="88" w:right="1"/>
              <w:jc w:val="center"/>
              <w:rPr>
                <w:sz w:val="18"/>
              </w:rPr>
            </w:pPr>
            <w:r>
              <w:rPr>
                <w:sz w:val="18"/>
              </w:rPr>
              <w:t>107,072,469.09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before="124"/>
              <w:ind w:right="85"/>
              <w:jc w:val="right"/>
              <w:rPr>
                <w:sz w:val="18"/>
              </w:rPr>
            </w:pPr>
            <w:r>
              <w:rPr>
                <w:sz w:val="18"/>
              </w:rPr>
              <w:t>16,164,078.47</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476" w:type="dxa"/>
            <w:tcBorders>
              <w:top w:val="single" w:sz="4" w:space="0" w:color="000000"/>
              <w:left w:val="single" w:sz="4" w:space="0" w:color="000000"/>
              <w:bottom w:val="single" w:sz="4" w:space="0" w:color="000000"/>
            </w:tcBorders>
          </w:tcPr>
          <w:p>
            <w:pPr>
              <w:pStyle w:val="TableParagraph"/>
              <w:spacing w:before="124"/>
              <w:ind w:right="75"/>
              <w:jc w:val="right"/>
              <w:rPr>
                <w:sz w:val="18"/>
              </w:rPr>
            </w:pPr>
            <w:r>
              <w:rPr>
                <w:sz w:val="18"/>
              </w:rPr>
              <w:t>16,164,078.47</w:t>
            </w:r>
          </w:p>
        </w:tc>
      </w:tr>
      <w:tr>
        <w:trPr>
          <w:trHeight w:val="468" w:hRule="atLeast"/>
        </w:trPr>
        <w:tc>
          <w:tcPr>
            <w:tcW w:w="1217" w:type="dxa"/>
            <w:tcBorders>
              <w:top w:val="single" w:sz="4" w:space="0" w:color="000000"/>
              <w:bottom w:val="single" w:sz="4" w:space="0" w:color="000000"/>
              <w:right w:val="single" w:sz="4" w:space="0" w:color="000000"/>
            </w:tcBorders>
          </w:tcPr>
          <w:p>
            <w:pPr>
              <w:pStyle w:val="TableParagraph"/>
              <w:ind w:left="105"/>
              <w:rPr>
                <w:rFonts w:ascii="宋体" w:eastAsia="宋体" w:hint="eastAsia"/>
                <w:sz w:val="18"/>
              </w:rPr>
            </w:pPr>
            <w:r>
              <w:rPr>
                <w:rFonts w:ascii="宋体" w:eastAsia="宋体" w:hint="eastAsia"/>
                <w:sz w:val="18"/>
              </w:rPr>
              <w:t>日日顺健康</w:t>
            </w:r>
          </w:p>
          <w:p>
            <w:pPr>
              <w:pStyle w:val="TableParagraph"/>
              <w:spacing w:line="213" w:lineRule="exact" w:before="5"/>
              <w:ind w:left="105"/>
              <w:rPr>
                <w:rFonts w:ascii="宋体" w:eastAsia="宋体" w:hint="eastAsia"/>
                <w:sz w:val="18"/>
              </w:rPr>
            </w:pPr>
            <w:r>
              <w:rPr>
                <w:rFonts w:ascii="宋体" w:eastAsia="宋体" w:hint="eastAsia"/>
                <w:sz w:val="18"/>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127"/>
              <w:ind w:left="231" w:right="174"/>
              <w:jc w:val="center"/>
              <w:rPr>
                <w:sz w:val="18"/>
              </w:rPr>
            </w:pPr>
            <w:r>
              <w:rPr>
                <w:sz w:val="18"/>
              </w:rPr>
              <w:t>105,851,790.40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before="127"/>
              <w:ind w:left="88" w:right="1"/>
              <w:jc w:val="center"/>
              <w:rPr>
                <w:sz w:val="18"/>
              </w:rPr>
            </w:pPr>
            <w:r>
              <w:rPr>
                <w:sz w:val="18"/>
              </w:rPr>
              <w:t>105,851,790.40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before="127"/>
              <w:ind w:right="85"/>
              <w:jc w:val="right"/>
              <w:rPr>
                <w:sz w:val="18"/>
              </w:rPr>
            </w:pPr>
            <w:r>
              <w:rPr>
                <w:sz w:val="18"/>
              </w:rPr>
              <w:t>6,389,644.74</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476" w:type="dxa"/>
            <w:tcBorders>
              <w:top w:val="single" w:sz="4" w:space="0" w:color="000000"/>
              <w:left w:val="single" w:sz="4" w:space="0" w:color="000000"/>
              <w:bottom w:val="single" w:sz="4" w:space="0" w:color="000000"/>
            </w:tcBorders>
          </w:tcPr>
          <w:p>
            <w:pPr>
              <w:pStyle w:val="TableParagraph"/>
              <w:spacing w:before="127"/>
              <w:ind w:right="75"/>
              <w:jc w:val="right"/>
              <w:rPr>
                <w:sz w:val="18"/>
              </w:rPr>
            </w:pPr>
            <w:r>
              <w:rPr>
                <w:sz w:val="18"/>
              </w:rPr>
              <w:t>6,389,644.74</w:t>
            </w:r>
          </w:p>
        </w:tc>
      </w:tr>
      <w:tr>
        <w:trPr>
          <w:trHeight w:val="467" w:hRule="atLeast"/>
        </w:trPr>
        <w:tc>
          <w:tcPr>
            <w:tcW w:w="1217" w:type="dxa"/>
            <w:tcBorders>
              <w:top w:val="single" w:sz="4" w:space="0" w:color="000000"/>
              <w:bottom w:val="single" w:sz="4" w:space="0" w:color="000000"/>
              <w:right w:val="single" w:sz="4" w:space="0" w:color="000000"/>
            </w:tcBorders>
          </w:tcPr>
          <w:p>
            <w:pPr>
              <w:pStyle w:val="TableParagraph"/>
              <w:ind w:left="105"/>
              <w:rPr>
                <w:sz w:val="18"/>
              </w:rPr>
            </w:pPr>
            <w:r>
              <w:rPr>
                <w:rFonts w:ascii="宋体" w:eastAsia="宋体" w:hint="eastAsia"/>
                <w:sz w:val="18"/>
              </w:rPr>
              <w:t>新西兰 </w:t>
            </w:r>
            <w:r>
              <w:rPr>
                <w:sz w:val="18"/>
              </w:rPr>
              <w:t>FPA</w:t>
            </w:r>
          </w:p>
          <w:p>
            <w:pPr>
              <w:pStyle w:val="TableParagraph"/>
              <w:spacing w:line="215" w:lineRule="exact" w:before="2"/>
              <w:ind w:left="105"/>
              <w:rPr>
                <w:rFonts w:ascii="宋体" w:eastAsia="宋体" w:hint="eastAsia"/>
                <w:sz w:val="18"/>
              </w:rPr>
            </w:pPr>
            <w:r>
              <w:rPr>
                <w:rFonts w:ascii="宋体" w:eastAsia="宋体" w:hint="eastAsia"/>
                <w:sz w:val="18"/>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124"/>
              <w:ind w:left="232" w:right="84"/>
              <w:jc w:val="center"/>
              <w:rPr>
                <w:sz w:val="18"/>
              </w:rPr>
            </w:pPr>
            <w:r>
              <w:rPr>
                <w:sz w:val="18"/>
              </w:rPr>
              <w:t>96,050,392.73</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before="124"/>
              <w:ind w:left="179" w:right="1"/>
              <w:jc w:val="center"/>
              <w:rPr>
                <w:sz w:val="18"/>
              </w:rPr>
            </w:pPr>
            <w:r>
              <w:rPr>
                <w:sz w:val="18"/>
              </w:rPr>
              <w:t>96,050,392.73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before="124"/>
              <w:ind w:right="85"/>
              <w:jc w:val="right"/>
              <w:rPr>
                <w:sz w:val="18"/>
              </w:rPr>
            </w:pPr>
            <w:r>
              <w:rPr>
                <w:sz w:val="18"/>
              </w:rPr>
              <w:t>83,150,746.03</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476" w:type="dxa"/>
            <w:tcBorders>
              <w:top w:val="single" w:sz="4" w:space="0" w:color="000000"/>
              <w:left w:val="single" w:sz="4" w:space="0" w:color="000000"/>
              <w:bottom w:val="single" w:sz="4" w:space="0" w:color="000000"/>
            </w:tcBorders>
          </w:tcPr>
          <w:p>
            <w:pPr>
              <w:pStyle w:val="TableParagraph"/>
              <w:spacing w:before="124"/>
              <w:ind w:right="75"/>
              <w:jc w:val="right"/>
              <w:rPr>
                <w:sz w:val="18"/>
              </w:rPr>
            </w:pPr>
            <w:r>
              <w:rPr>
                <w:sz w:val="18"/>
              </w:rPr>
              <w:t>83,150,746.03</w:t>
            </w:r>
          </w:p>
        </w:tc>
      </w:tr>
      <w:tr>
        <w:trPr>
          <w:trHeight w:val="465" w:hRule="atLeast"/>
        </w:trPr>
        <w:tc>
          <w:tcPr>
            <w:tcW w:w="1217" w:type="dxa"/>
            <w:tcBorders>
              <w:top w:val="single" w:sz="4" w:space="0" w:color="000000"/>
              <w:bottom w:val="single" w:sz="4" w:space="0" w:color="000000"/>
              <w:right w:val="single" w:sz="4" w:space="0" w:color="000000"/>
            </w:tcBorders>
          </w:tcPr>
          <w:p>
            <w:pPr>
              <w:pStyle w:val="TableParagraph"/>
              <w:ind w:left="105"/>
              <w:rPr>
                <w:rFonts w:ascii="宋体" w:eastAsia="宋体" w:hint="eastAsia"/>
                <w:sz w:val="18"/>
              </w:rPr>
            </w:pPr>
            <w:r>
              <w:rPr>
                <w:rFonts w:ascii="宋体" w:eastAsia="宋体" w:hint="eastAsia"/>
                <w:sz w:val="18"/>
              </w:rPr>
              <w:t>佛山电冰柜</w:t>
            </w:r>
          </w:p>
          <w:p>
            <w:pPr>
              <w:pStyle w:val="TableParagraph"/>
              <w:spacing w:line="213" w:lineRule="exact" w:before="2"/>
              <w:ind w:left="105"/>
              <w:rPr>
                <w:rFonts w:ascii="宋体" w:eastAsia="宋体" w:hint="eastAsia"/>
                <w:sz w:val="18"/>
              </w:rPr>
            </w:pPr>
            <w:r>
              <w:rPr>
                <w:rFonts w:ascii="宋体" w:eastAsia="宋体" w:hint="eastAsia"/>
                <w:sz w:val="18"/>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124"/>
              <w:ind w:left="232" w:right="84"/>
              <w:jc w:val="center"/>
              <w:rPr>
                <w:sz w:val="18"/>
              </w:rPr>
            </w:pPr>
            <w:r>
              <w:rPr>
                <w:sz w:val="18"/>
              </w:rPr>
              <w:t>89,437,456.94</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before="124"/>
              <w:ind w:left="179" w:right="1"/>
              <w:jc w:val="center"/>
              <w:rPr>
                <w:sz w:val="18"/>
              </w:rPr>
            </w:pPr>
            <w:r>
              <w:rPr>
                <w:sz w:val="18"/>
              </w:rPr>
              <w:t>89,437,456.94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before="124"/>
              <w:ind w:right="85"/>
              <w:jc w:val="right"/>
              <w:rPr>
                <w:sz w:val="18"/>
              </w:rPr>
            </w:pPr>
            <w:r>
              <w:rPr>
                <w:sz w:val="18"/>
              </w:rPr>
              <w:t>18,922,781.80</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476" w:type="dxa"/>
            <w:tcBorders>
              <w:top w:val="single" w:sz="4" w:space="0" w:color="000000"/>
              <w:left w:val="single" w:sz="4" w:space="0" w:color="000000"/>
              <w:bottom w:val="single" w:sz="4" w:space="0" w:color="000000"/>
            </w:tcBorders>
          </w:tcPr>
          <w:p>
            <w:pPr>
              <w:pStyle w:val="TableParagraph"/>
              <w:spacing w:before="124"/>
              <w:ind w:right="75"/>
              <w:jc w:val="right"/>
              <w:rPr>
                <w:sz w:val="18"/>
              </w:rPr>
            </w:pPr>
            <w:r>
              <w:rPr>
                <w:sz w:val="18"/>
              </w:rPr>
              <w:t>18,922,781.80</w:t>
            </w:r>
          </w:p>
        </w:tc>
      </w:tr>
      <w:tr>
        <w:trPr>
          <w:trHeight w:val="467" w:hRule="atLeast"/>
        </w:trPr>
        <w:tc>
          <w:tcPr>
            <w:tcW w:w="1217" w:type="dxa"/>
            <w:tcBorders>
              <w:top w:val="single" w:sz="4" w:space="0" w:color="000000"/>
              <w:bottom w:val="single" w:sz="4" w:space="0" w:color="000000"/>
              <w:right w:val="single" w:sz="4" w:space="0" w:color="000000"/>
            </w:tcBorders>
          </w:tcPr>
          <w:p>
            <w:pPr>
              <w:pStyle w:val="TableParagraph"/>
              <w:spacing w:line="230" w:lineRule="atLeast" w:before="2"/>
              <w:ind w:left="105" w:right="191"/>
              <w:rPr>
                <w:rFonts w:ascii="宋体" w:eastAsia="宋体" w:hint="eastAsia"/>
                <w:sz w:val="18"/>
              </w:rPr>
            </w:pPr>
            <w:r>
              <w:rPr>
                <w:rFonts w:ascii="宋体" w:eastAsia="宋体" w:hint="eastAsia"/>
                <w:sz w:val="18"/>
              </w:rPr>
              <w:t>合肥电冰箱项目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127"/>
              <w:ind w:left="232" w:right="84"/>
              <w:jc w:val="center"/>
              <w:rPr>
                <w:sz w:val="18"/>
              </w:rPr>
            </w:pPr>
            <w:r>
              <w:rPr>
                <w:sz w:val="18"/>
              </w:rPr>
              <w:t>87,566,220.44</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before="127"/>
              <w:ind w:left="179" w:right="1"/>
              <w:jc w:val="center"/>
              <w:rPr>
                <w:sz w:val="18"/>
              </w:rPr>
            </w:pPr>
            <w:r>
              <w:rPr>
                <w:sz w:val="18"/>
              </w:rPr>
              <w:t>87,566,220.44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before="127"/>
              <w:ind w:right="85"/>
              <w:jc w:val="right"/>
              <w:rPr>
                <w:sz w:val="18"/>
              </w:rPr>
            </w:pPr>
            <w:r>
              <w:rPr>
                <w:sz w:val="18"/>
              </w:rPr>
              <w:t>32,162,988.77</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476" w:type="dxa"/>
            <w:tcBorders>
              <w:top w:val="single" w:sz="4" w:space="0" w:color="000000"/>
              <w:left w:val="single" w:sz="4" w:space="0" w:color="000000"/>
              <w:bottom w:val="single" w:sz="4" w:space="0" w:color="000000"/>
            </w:tcBorders>
          </w:tcPr>
          <w:p>
            <w:pPr>
              <w:pStyle w:val="TableParagraph"/>
              <w:spacing w:before="127"/>
              <w:ind w:right="75"/>
              <w:jc w:val="right"/>
              <w:rPr>
                <w:sz w:val="18"/>
              </w:rPr>
            </w:pPr>
            <w:r>
              <w:rPr>
                <w:sz w:val="18"/>
              </w:rPr>
              <w:t>32,162,988.77</w:t>
            </w:r>
          </w:p>
        </w:tc>
      </w:tr>
      <w:tr>
        <w:trPr>
          <w:trHeight w:val="467" w:hRule="atLeast"/>
        </w:trPr>
        <w:tc>
          <w:tcPr>
            <w:tcW w:w="1217" w:type="dxa"/>
            <w:tcBorders>
              <w:top w:val="single" w:sz="4" w:space="0" w:color="000000"/>
              <w:bottom w:val="single" w:sz="4" w:space="0" w:color="000000"/>
              <w:right w:val="single" w:sz="4" w:space="0" w:color="000000"/>
            </w:tcBorders>
          </w:tcPr>
          <w:p>
            <w:pPr>
              <w:pStyle w:val="TableParagraph"/>
              <w:spacing w:line="230" w:lineRule="exact"/>
              <w:ind w:left="105"/>
              <w:rPr>
                <w:rFonts w:ascii="宋体" w:eastAsia="宋体" w:hint="eastAsia"/>
                <w:sz w:val="18"/>
              </w:rPr>
            </w:pPr>
            <w:r>
              <w:rPr>
                <w:rFonts w:ascii="宋体" w:eastAsia="宋体" w:hint="eastAsia"/>
                <w:sz w:val="18"/>
              </w:rPr>
              <w:t>海尔俄罗斯</w:t>
            </w:r>
          </w:p>
          <w:p>
            <w:pPr>
              <w:pStyle w:val="TableParagraph"/>
              <w:spacing w:line="213" w:lineRule="exact" w:before="4"/>
              <w:ind w:left="105"/>
              <w:rPr>
                <w:rFonts w:ascii="宋体" w:eastAsia="宋体" w:hint="eastAsia"/>
                <w:sz w:val="18"/>
              </w:rPr>
            </w:pPr>
            <w:r>
              <w:rPr>
                <w:rFonts w:ascii="宋体" w:eastAsia="宋体" w:hint="eastAsia"/>
                <w:sz w:val="18"/>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124"/>
              <w:ind w:left="232" w:right="84"/>
              <w:jc w:val="center"/>
              <w:rPr>
                <w:sz w:val="18"/>
              </w:rPr>
            </w:pPr>
            <w:r>
              <w:rPr>
                <w:sz w:val="18"/>
              </w:rPr>
              <w:t>76,966,572.40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before="124"/>
              <w:ind w:left="179" w:right="1"/>
              <w:jc w:val="center"/>
              <w:rPr>
                <w:sz w:val="18"/>
              </w:rPr>
            </w:pPr>
            <w:r>
              <w:rPr>
                <w:sz w:val="18"/>
              </w:rPr>
              <w:t>76,966,572.40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before="124"/>
              <w:ind w:right="85"/>
              <w:jc w:val="right"/>
              <w:rPr>
                <w:sz w:val="18"/>
              </w:rPr>
            </w:pPr>
            <w:r>
              <w:rPr>
                <w:sz w:val="18"/>
              </w:rPr>
              <w:t>14,781,092.08</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476" w:type="dxa"/>
            <w:tcBorders>
              <w:top w:val="single" w:sz="4" w:space="0" w:color="000000"/>
              <w:left w:val="single" w:sz="4" w:space="0" w:color="000000"/>
              <w:bottom w:val="single" w:sz="4" w:space="0" w:color="000000"/>
            </w:tcBorders>
          </w:tcPr>
          <w:p>
            <w:pPr>
              <w:pStyle w:val="TableParagraph"/>
              <w:spacing w:before="124"/>
              <w:ind w:right="75"/>
              <w:jc w:val="right"/>
              <w:rPr>
                <w:sz w:val="18"/>
              </w:rPr>
            </w:pPr>
            <w:r>
              <w:rPr>
                <w:sz w:val="18"/>
              </w:rPr>
              <w:t>14,781,092.08</w:t>
            </w:r>
          </w:p>
        </w:tc>
      </w:tr>
      <w:tr>
        <w:trPr>
          <w:trHeight w:val="464" w:hRule="atLeast"/>
        </w:trPr>
        <w:tc>
          <w:tcPr>
            <w:tcW w:w="1217" w:type="dxa"/>
            <w:tcBorders>
              <w:top w:val="single" w:sz="4" w:space="0" w:color="000000"/>
              <w:right w:val="single" w:sz="4" w:space="0" w:color="000000"/>
            </w:tcBorders>
          </w:tcPr>
          <w:p>
            <w:pPr>
              <w:pStyle w:val="TableParagraph"/>
              <w:spacing w:line="230" w:lineRule="exact"/>
              <w:ind w:left="105"/>
              <w:rPr>
                <w:rFonts w:ascii="宋体" w:eastAsia="宋体" w:hint="eastAsia"/>
                <w:sz w:val="18"/>
              </w:rPr>
            </w:pPr>
            <w:r>
              <w:rPr>
                <w:rFonts w:ascii="宋体" w:eastAsia="宋体" w:hint="eastAsia"/>
                <w:sz w:val="18"/>
              </w:rPr>
              <w:t>武汉热水器</w:t>
            </w:r>
          </w:p>
          <w:p>
            <w:pPr>
              <w:pStyle w:val="TableParagraph"/>
              <w:spacing w:line="212" w:lineRule="exact" w:before="2"/>
              <w:ind w:left="105"/>
              <w:rPr>
                <w:rFonts w:ascii="宋体" w:eastAsia="宋体" w:hint="eastAsia"/>
                <w:sz w:val="18"/>
              </w:rPr>
            </w:pPr>
            <w:r>
              <w:rPr>
                <w:rFonts w:ascii="宋体" w:eastAsia="宋体" w:hint="eastAsia"/>
                <w:sz w:val="18"/>
              </w:rPr>
              <w:t>项目</w:t>
            </w:r>
          </w:p>
        </w:tc>
        <w:tc>
          <w:tcPr>
            <w:tcW w:w="1582" w:type="dxa"/>
            <w:tcBorders>
              <w:top w:val="single" w:sz="4" w:space="0" w:color="000000"/>
              <w:left w:val="single" w:sz="4" w:space="0" w:color="000000"/>
              <w:right w:val="single" w:sz="4" w:space="0" w:color="000000"/>
            </w:tcBorders>
          </w:tcPr>
          <w:p>
            <w:pPr>
              <w:pStyle w:val="TableParagraph"/>
              <w:spacing w:before="124"/>
              <w:ind w:left="232" w:right="84"/>
              <w:jc w:val="center"/>
              <w:rPr>
                <w:sz w:val="18"/>
              </w:rPr>
            </w:pPr>
            <w:r>
              <w:rPr>
                <w:sz w:val="18"/>
              </w:rPr>
              <w:t>66,678,197.25</w:t>
            </w:r>
          </w:p>
        </w:tc>
        <w:tc>
          <w:tcPr>
            <w:tcW w:w="1099" w:type="dxa"/>
            <w:tcBorders>
              <w:top w:val="single" w:sz="4" w:space="0" w:color="000000"/>
              <w:left w:val="single" w:sz="4" w:space="0" w:color="000000"/>
              <w:right w:val="single" w:sz="4" w:space="0" w:color="000000"/>
            </w:tcBorders>
          </w:tcPr>
          <w:p>
            <w:pPr>
              <w:pStyle w:val="TableParagraph"/>
              <w:rPr>
                <w:sz w:val="18"/>
              </w:rPr>
            </w:pPr>
          </w:p>
        </w:tc>
        <w:tc>
          <w:tcPr>
            <w:tcW w:w="1548" w:type="dxa"/>
            <w:tcBorders>
              <w:top w:val="single" w:sz="4" w:space="0" w:color="000000"/>
              <w:left w:val="single" w:sz="4" w:space="0" w:color="000000"/>
              <w:right w:val="single" w:sz="4" w:space="0" w:color="000000"/>
            </w:tcBorders>
          </w:tcPr>
          <w:p>
            <w:pPr>
              <w:pStyle w:val="TableParagraph"/>
              <w:spacing w:before="124"/>
              <w:ind w:left="179" w:right="1"/>
              <w:jc w:val="center"/>
              <w:rPr>
                <w:sz w:val="18"/>
              </w:rPr>
            </w:pPr>
            <w:r>
              <w:rPr>
                <w:sz w:val="18"/>
              </w:rPr>
              <w:t>66,678,197.25</w:t>
            </w:r>
          </w:p>
        </w:tc>
        <w:tc>
          <w:tcPr>
            <w:tcW w:w="1476" w:type="dxa"/>
            <w:tcBorders>
              <w:top w:val="single" w:sz="4" w:space="0" w:color="000000"/>
              <w:left w:val="single" w:sz="4" w:space="0" w:color="000000"/>
              <w:right w:val="single" w:sz="4" w:space="0" w:color="000000"/>
            </w:tcBorders>
          </w:tcPr>
          <w:p>
            <w:pPr>
              <w:pStyle w:val="TableParagraph"/>
              <w:spacing w:before="124"/>
              <w:ind w:right="85"/>
              <w:jc w:val="right"/>
              <w:rPr>
                <w:sz w:val="18"/>
              </w:rPr>
            </w:pPr>
            <w:r>
              <w:rPr>
                <w:sz w:val="18"/>
              </w:rPr>
              <w:t>17,376,290.74</w:t>
            </w:r>
          </w:p>
        </w:tc>
        <w:tc>
          <w:tcPr>
            <w:tcW w:w="1251" w:type="dxa"/>
            <w:tcBorders>
              <w:top w:val="single" w:sz="4" w:space="0" w:color="000000"/>
              <w:left w:val="single" w:sz="4" w:space="0" w:color="000000"/>
              <w:right w:val="single" w:sz="4" w:space="0" w:color="000000"/>
            </w:tcBorders>
          </w:tcPr>
          <w:p>
            <w:pPr>
              <w:pStyle w:val="TableParagraph"/>
              <w:rPr>
                <w:sz w:val="18"/>
              </w:rPr>
            </w:pPr>
          </w:p>
        </w:tc>
        <w:tc>
          <w:tcPr>
            <w:tcW w:w="1476" w:type="dxa"/>
            <w:tcBorders>
              <w:top w:val="single" w:sz="4" w:space="0" w:color="000000"/>
              <w:left w:val="single" w:sz="4" w:space="0" w:color="000000"/>
            </w:tcBorders>
          </w:tcPr>
          <w:p>
            <w:pPr>
              <w:pStyle w:val="TableParagraph"/>
              <w:spacing w:before="124"/>
              <w:ind w:right="75"/>
              <w:jc w:val="right"/>
              <w:rPr>
                <w:sz w:val="18"/>
              </w:rPr>
            </w:pPr>
            <w:r>
              <w:rPr>
                <w:sz w:val="18"/>
              </w:rPr>
              <w:t>17,376,290.74</w:t>
            </w:r>
          </w:p>
        </w:tc>
      </w:tr>
    </w:tbl>
    <w:p>
      <w:pPr>
        <w:spacing w:after="0"/>
        <w:jc w:val="right"/>
        <w:rPr>
          <w:sz w:val="18"/>
        </w:rPr>
        <w:sectPr>
          <w:pgSz w:w="11910" w:h="16840"/>
          <w:pgMar w:header="876" w:footer="1214" w:top="1440" w:bottom="1400" w:left="260" w:right="0"/>
        </w:sectPr>
      </w:pPr>
    </w:p>
    <w:p>
      <w:pPr>
        <w:pStyle w:val="BodyText"/>
        <w:spacing w:before="2"/>
        <w:rPr>
          <w:sz w:val="5"/>
        </w:rPr>
      </w:pPr>
    </w:p>
    <w:tbl>
      <w:tblPr>
        <w:tblW w:w="0" w:type="auto"/>
        <w:jc w:val="left"/>
        <w:tblInd w:w="8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17"/>
        <w:gridCol w:w="1582"/>
        <w:gridCol w:w="1099"/>
        <w:gridCol w:w="1548"/>
        <w:gridCol w:w="1476"/>
        <w:gridCol w:w="1251"/>
        <w:gridCol w:w="1476"/>
      </w:tblGrid>
      <w:tr>
        <w:trPr>
          <w:trHeight w:val="467" w:hRule="atLeast"/>
        </w:trPr>
        <w:tc>
          <w:tcPr>
            <w:tcW w:w="1217" w:type="dxa"/>
            <w:tcBorders>
              <w:bottom w:val="single" w:sz="4" w:space="0" w:color="000000"/>
              <w:right w:val="single" w:sz="4" w:space="0" w:color="000000"/>
            </w:tcBorders>
          </w:tcPr>
          <w:p>
            <w:pPr>
              <w:pStyle w:val="TableParagraph"/>
              <w:spacing w:before="2"/>
              <w:ind w:left="105"/>
              <w:rPr>
                <w:rFonts w:ascii="宋体" w:eastAsia="宋体" w:hint="eastAsia"/>
                <w:sz w:val="18"/>
              </w:rPr>
            </w:pPr>
            <w:r>
              <w:rPr>
                <w:rFonts w:ascii="宋体" w:eastAsia="宋体" w:hint="eastAsia"/>
                <w:sz w:val="18"/>
              </w:rPr>
              <w:t>海尔泰国项</w:t>
            </w:r>
          </w:p>
          <w:p>
            <w:pPr>
              <w:pStyle w:val="TableParagraph"/>
              <w:spacing w:line="213" w:lineRule="exact" w:before="2"/>
              <w:ind w:left="105"/>
              <w:rPr>
                <w:rFonts w:ascii="宋体" w:eastAsia="宋体" w:hint="eastAsia"/>
                <w:sz w:val="18"/>
              </w:rPr>
            </w:pPr>
            <w:r>
              <w:rPr>
                <w:rFonts w:ascii="宋体" w:eastAsia="宋体" w:hint="eastAsia"/>
                <w:sz w:val="18"/>
              </w:rPr>
              <w:t>目</w:t>
            </w:r>
          </w:p>
        </w:tc>
        <w:tc>
          <w:tcPr>
            <w:tcW w:w="1582" w:type="dxa"/>
            <w:tcBorders>
              <w:left w:val="single" w:sz="4" w:space="0" w:color="000000"/>
              <w:bottom w:val="single" w:sz="4" w:space="0" w:color="000000"/>
              <w:right w:val="single" w:sz="4" w:space="0" w:color="000000"/>
            </w:tcBorders>
          </w:tcPr>
          <w:p>
            <w:pPr>
              <w:pStyle w:val="TableParagraph"/>
              <w:spacing w:before="127"/>
              <w:ind w:right="192"/>
              <w:jc w:val="right"/>
              <w:rPr>
                <w:sz w:val="18"/>
              </w:rPr>
            </w:pPr>
            <w:r>
              <w:rPr>
                <w:sz w:val="18"/>
              </w:rPr>
              <w:t>57,560,011.78</w:t>
            </w:r>
          </w:p>
        </w:tc>
        <w:tc>
          <w:tcPr>
            <w:tcW w:w="1099" w:type="dxa"/>
            <w:tcBorders>
              <w:left w:val="single" w:sz="4" w:space="0" w:color="000000"/>
              <w:bottom w:val="single" w:sz="4" w:space="0" w:color="000000"/>
              <w:right w:val="single" w:sz="4" w:space="0" w:color="000000"/>
            </w:tcBorders>
          </w:tcPr>
          <w:p>
            <w:pPr>
              <w:pStyle w:val="TableParagraph"/>
              <w:rPr>
                <w:sz w:val="16"/>
              </w:rPr>
            </w:pPr>
          </w:p>
        </w:tc>
        <w:tc>
          <w:tcPr>
            <w:tcW w:w="1548" w:type="dxa"/>
            <w:tcBorders>
              <w:left w:val="single" w:sz="4" w:space="0" w:color="000000"/>
              <w:bottom w:val="single" w:sz="4" w:space="0" w:color="000000"/>
              <w:right w:val="single" w:sz="4" w:space="0" w:color="000000"/>
            </w:tcBorders>
          </w:tcPr>
          <w:p>
            <w:pPr>
              <w:pStyle w:val="TableParagraph"/>
              <w:spacing w:before="127"/>
              <w:ind w:right="160"/>
              <w:jc w:val="right"/>
              <w:rPr>
                <w:sz w:val="18"/>
              </w:rPr>
            </w:pPr>
            <w:r>
              <w:rPr>
                <w:sz w:val="18"/>
              </w:rPr>
              <w:t>57,560,011.78</w:t>
            </w:r>
          </w:p>
        </w:tc>
        <w:tc>
          <w:tcPr>
            <w:tcW w:w="1476" w:type="dxa"/>
            <w:tcBorders>
              <w:left w:val="single" w:sz="4" w:space="0" w:color="000000"/>
              <w:bottom w:val="single" w:sz="4" w:space="0" w:color="000000"/>
              <w:right w:val="single" w:sz="4" w:space="0" w:color="000000"/>
            </w:tcBorders>
          </w:tcPr>
          <w:p>
            <w:pPr>
              <w:pStyle w:val="TableParagraph"/>
              <w:spacing w:before="127"/>
              <w:ind w:right="85"/>
              <w:jc w:val="right"/>
              <w:rPr>
                <w:sz w:val="18"/>
              </w:rPr>
            </w:pPr>
            <w:r>
              <w:rPr>
                <w:sz w:val="18"/>
              </w:rPr>
              <w:t>24,777,109.81</w:t>
            </w:r>
          </w:p>
        </w:tc>
        <w:tc>
          <w:tcPr>
            <w:tcW w:w="1251" w:type="dxa"/>
            <w:tcBorders>
              <w:left w:val="single" w:sz="4" w:space="0" w:color="000000"/>
              <w:bottom w:val="single" w:sz="4" w:space="0" w:color="000000"/>
              <w:right w:val="single" w:sz="4" w:space="0" w:color="000000"/>
            </w:tcBorders>
          </w:tcPr>
          <w:p>
            <w:pPr>
              <w:pStyle w:val="TableParagraph"/>
              <w:rPr>
                <w:sz w:val="16"/>
              </w:rPr>
            </w:pPr>
          </w:p>
        </w:tc>
        <w:tc>
          <w:tcPr>
            <w:tcW w:w="1476" w:type="dxa"/>
            <w:tcBorders>
              <w:left w:val="single" w:sz="4" w:space="0" w:color="000000"/>
              <w:bottom w:val="single" w:sz="4" w:space="0" w:color="000000"/>
            </w:tcBorders>
          </w:tcPr>
          <w:p>
            <w:pPr>
              <w:pStyle w:val="TableParagraph"/>
              <w:spacing w:before="127"/>
              <w:ind w:right="75"/>
              <w:jc w:val="right"/>
              <w:rPr>
                <w:sz w:val="18"/>
              </w:rPr>
            </w:pPr>
            <w:r>
              <w:rPr>
                <w:sz w:val="18"/>
              </w:rPr>
              <w:t>24,777,109.81</w:t>
            </w:r>
          </w:p>
        </w:tc>
      </w:tr>
      <w:tr>
        <w:trPr>
          <w:trHeight w:val="467" w:hRule="atLeast"/>
        </w:trPr>
        <w:tc>
          <w:tcPr>
            <w:tcW w:w="1217" w:type="dxa"/>
            <w:tcBorders>
              <w:top w:val="single" w:sz="4" w:space="0" w:color="000000"/>
              <w:bottom w:val="single" w:sz="4" w:space="0" w:color="000000"/>
              <w:right w:val="single" w:sz="4" w:space="0" w:color="000000"/>
            </w:tcBorders>
          </w:tcPr>
          <w:p>
            <w:pPr>
              <w:pStyle w:val="TableParagraph"/>
              <w:spacing w:line="230" w:lineRule="atLeast" w:before="2"/>
              <w:ind w:left="105" w:right="191"/>
              <w:rPr>
                <w:rFonts w:ascii="宋体" w:eastAsia="宋体" w:hint="eastAsia"/>
                <w:sz w:val="18"/>
              </w:rPr>
            </w:pPr>
            <w:r>
              <w:rPr>
                <w:rFonts w:ascii="宋体" w:eastAsia="宋体" w:hint="eastAsia"/>
                <w:sz w:val="18"/>
              </w:rPr>
              <w:t>海尔空调电子项目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127"/>
              <w:ind w:right="192"/>
              <w:jc w:val="right"/>
              <w:rPr>
                <w:sz w:val="18"/>
              </w:rPr>
            </w:pPr>
            <w:r>
              <w:rPr>
                <w:sz w:val="18"/>
              </w:rPr>
              <w:t>56,560,330.52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before="127"/>
              <w:ind w:right="160"/>
              <w:jc w:val="right"/>
              <w:rPr>
                <w:sz w:val="18"/>
              </w:rPr>
            </w:pPr>
            <w:r>
              <w:rPr>
                <w:sz w:val="18"/>
              </w:rPr>
              <w:t>56,560,330.52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before="127"/>
              <w:ind w:right="85"/>
              <w:jc w:val="right"/>
              <w:rPr>
                <w:sz w:val="18"/>
              </w:rPr>
            </w:pPr>
            <w:r>
              <w:rPr>
                <w:sz w:val="18"/>
              </w:rPr>
              <w:t>61,168,160.86</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76" w:type="dxa"/>
            <w:tcBorders>
              <w:top w:val="single" w:sz="4" w:space="0" w:color="000000"/>
              <w:left w:val="single" w:sz="4" w:space="0" w:color="000000"/>
              <w:bottom w:val="single" w:sz="4" w:space="0" w:color="000000"/>
            </w:tcBorders>
          </w:tcPr>
          <w:p>
            <w:pPr>
              <w:pStyle w:val="TableParagraph"/>
              <w:spacing w:before="127"/>
              <w:ind w:right="75"/>
              <w:jc w:val="right"/>
              <w:rPr>
                <w:sz w:val="18"/>
              </w:rPr>
            </w:pPr>
            <w:r>
              <w:rPr>
                <w:sz w:val="18"/>
              </w:rPr>
              <w:t>61,168,160.86</w:t>
            </w:r>
          </w:p>
        </w:tc>
      </w:tr>
      <w:tr>
        <w:trPr>
          <w:trHeight w:val="467" w:hRule="atLeast"/>
        </w:trPr>
        <w:tc>
          <w:tcPr>
            <w:tcW w:w="1217" w:type="dxa"/>
            <w:tcBorders>
              <w:top w:val="single" w:sz="4" w:space="0" w:color="000000"/>
              <w:bottom w:val="single" w:sz="4" w:space="0" w:color="000000"/>
              <w:right w:val="single" w:sz="4" w:space="0" w:color="000000"/>
            </w:tcBorders>
          </w:tcPr>
          <w:p>
            <w:pPr>
              <w:pStyle w:val="TableParagraph"/>
              <w:ind w:left="105"/>
              <w:rPr>
                <w:rFonts w:ascii="宋体" w:eastAsia="宋体" w:hint="eastAsia"/>
                <w:sz w:val="18"/>
              </w:rPr>
            </w:pPr>
            <w:r>
              <w:rPr>
                <w:rFonts w:ascii="宋体" w:eastAsia="宋体" w:hint="eastAsia"/>
                <w:sz w:val="18"/>
              </w:rPr>
              <w:t>青岛洗涤电</w:t>
            </w:r>
          </w:p>
          <w:p>
            <w:pPr>
              <w:pStyle w:val="TableParagraph"/>
              <w:spacing w:line="213" w:lineRule="exact" w:before="4"/>
              <w:ind w:left="105"/>
              <w:rPr>
                <w:rFonts w:ascii="宋体" w:eastAsia="宋体" w:hint="eastAsia"/>
                <w:sz w:val="18"/>
              </w:rPr>
            </w:pPr>
            <w:r>
              <w:rPr>
                <w:rFonts w:ascii="宋体" w:eastAsia="宋体" w:hint="eastAsia"/>
                <w:sz w:val="18"/>
              </w:rPr>
              <w:t>器项目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124"/>
              <w:ind w:right="192"/>
              <w:jc w:val="right"/>
              <w:rPr>
                <w:sz w:val="18"/>
              </w:rPr>
            </w:pPr>
            <w:r>
              <w:rPr>
                <w:sz w:val="18"/>
              </w:rPr>
              <w:t>55,501,811.42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before="124"/>
              <w:ind w:right="160"/>
              <w:jc w:val="right"/>
              <w:rPr>
                <w:sz w:val="18"/>
              </w:rPr>
            </w:pPr>
            <w:r>
              <w:rPr>
                <w:sz w:val="18"/>
              </w:rPr>
              <w:t>55,501,811.42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before="124"/>
              <w:ind w:right="85"/>
              <w:jc w:val="right"/>
              <w:rPr>
                <w:sz w:val="18"/>
              </w:rPr>
            </w:pPr>
            <w:r>
              <w:rPr>
                <w:sz w:val="18"/>
              </w:rPr>
              <w:t>108,566,194.72</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76" w:type="dxa"/>
            <w:tcBorders>
              <w:top w:val="single" w:sz="4" w:space="0" w:color="000000"/>
              <w:left w:val="single" w:sz="4" w:space="0" w:color="000000"/>
              <w:bottom w:val="single" w:sz="4" w:space="0" w:color="000000"/>
            </w:tcBorders>
          </w:tcPr>
          <w:p>
            <w:pPr>
              <w:pStyle w:val="TableParagraph"/>
              <w:spacing w:before="124"/>
              <w:ind w:right="75"/>
              <w:jc w:val="right"/>
              <w:rPr>
                <w:sz w:val="18"/>
              </w:rPr>
            </w:pPr>
            <w:r>
              <w:rPr>
                <w:sz w:val="18"/>
              </w:rPr>
              <w:t>108,566,194.72</w:t>
            </w:r>
          </w:p>
        </w:tc>
      </w:tr>
      <w:tr>
        <w:trPr>
          <w:trHeight w:val="467" w:hRule="atLeast"/>
        </w:trPr>
        <w:tc>
          <w:tcPr>
            <w:tcW w:w="1217" w:type="dxa"/>
            <w:tcBorders>
              <w:top w:val="single" w:sz="4" w:space="0" w:color="000000"/>
              <w:bottom w:val="single" w:sz="4" w:space="0" w:color="000000"/>
              <w:right w:val="single" w:sz="4" w:space="0" w:color="000000"/>
            </w:tcBorders>
          </w:tcPr>
          <w:p>
            <w:pPr>
              <w:pStyle w:val="TableParagraph"/>
              <w:ind w:left="105"/>
              <w:rPr>
                <w:rFonts w:ascii="宋体" w:eastAsia="宋体" w:hint="eastAsia"/>
                <w:sz w:val="18"/>
              </w:rPr>
            </w:pPr>
            <w:r>
              <w:rPr>
                <w:rFonts w:ascii="宋体" w:eastAsia="宋体" w:hint="eastAsia"/>
                <w:sz w:val="18"/>
              </w:rPr>
              <w:t>胶南洗衣机</w:t>
            </w:r>
          </w:p>
          <w:p>
            <w:pPr>
              <w:pStyle w:val="TableParagraph"/>
              <w:spacing w:line="215" w:lineRule="exact" w:before="2"/>
              <w:ind w:left="105"/>
              <w:rPr>
                <w:rFonts w:ascii="宋体" w:eastAsia="宋体" w:hint="eastAsia"/>
                <w:sz w:val="18"/>
              </w:rPr>
            </w:pPr>
            <w:r>
              <w:rPr>
                <w:rFonts w:ascii="宋体" w:eastAsia="宋体" w:hint="eastAsia"/>
                <w:sz w:val="18"/>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124"/>
              <w:ind w:right="192"/>
              <w:jc w:val="right"/>
              <w:rPr>
                <w:sz w:val="18"/>
              </w:rPr>
            </w:pPr>
            <w:r>
              <w:rPr>
                <w:sz w:val="18"/>
              </w:rPr>
              <w:t>48,681,689.86</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before="124"/>
              <w:ind w:right="160"/>
              <w:jc w:val="right"/>
              <w:rPr>
                <w:sz w:val="18"/>
              </w:rPr>
            </w:pPr>
            <w:r>
              <w:rPr>
                <w:sz w:val="18"/>
              </w:rPr>
              <w:t>48,681,689.86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before="124"/>
              <w:ind w:right="85"/>
              <w:jc w:val="right"/>
              <w:rPr>
                <w:sz w:val="18"/>
              </w:rPr>
            </w:pPr>
            <w:r>
              <w:rPr>
                <w:sz w:val="18"/>
              </w:rPr>
              <w:t>38,432,444.33</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76" w:type="dxa"/>
            <w:tcBorders>
              <w:top w:val="single" w:sz="4" w:space="0" w:color="000000"/>
              <w:left w:val="single" w:sz="4" w:space="0" w:color="000000"/>
              <w:bottom w:val="single" w:sz="4" w:space="0" w:color="000000"/>
            </w:tcBorders>
          </w:tcPr>
          <w:p>
            <w:pPr>
              <w:pStyle w:val="TableParagraph"/>
              <w:spacing w:before="124"/>
              <w:ind w:right="75"/>
              <w:jc w:val="right"/>
              <w:rPr>
                <w:sz w:val="18"/>
              </w:rPr>
            </w:pPr>
            <w:r>
              <w:rPr>
                <w:sz w:val="18"/>
              </w:rPr>
              <w:t>38,432,444.33</w:t>
            </w:r>
          </w:p>
        </w:tc>
      </w:tr>
      <w:tr>
        <w:trPr>
          <w:trHeight w:val="465" w:hRule="atLeast"/>
        </w:trPr>
        <w:tc>
          <w:tcPr>
            <w:tcW w:w="1217" w:type="dxa"/>
            <w:tcBorders>
              <w:top w:val="single" w:sz="4" w:space="0" w:color="000000"/>
              <w:bottom w:val="single" w:sz="4" w:space="0" w:color="000000"/>
              <w:right w:val="single" w:sz="4" w:space="0" w:color="000000"/>
            </w:tcBorders>
          </w:tcPr>
          <w:p>
            <w:pPr>
              <w:pStyle w:val="TableParagraph"/>
              <w:ind w:left="105"/>
              <w:rPr>
                <w:rFonts w:ascii="宋体" w:eastAsia="宋体" w:hint="eastAsia"/>
                <w:sz w:val="18"/>
              </w:rPr>
            </w:pPr>
            <w:r>
              <w:rPr>
                <w:rFonts w:ascii="宋体" w:eastAsia="宋体" w:hint="eastAsia"/>
                <w:sz w:val="18"/>
              </w:rPr>
              <w:t>大连电冰箱</w:t>
            </w:r>
          </w:p>
          <w:p>
            <w:pPr>
              <w:pStyle w:val="TableParagraph"/>
              <w:spacing w:line="213" w:lineRule="exact" w:before="2"/>
              <w:ind w:left="105"/>
              <w:rPr>
                <w:rFonts w:ascii="宋体" w:eastAsia="宋体" w:hint="eastAsia"/>
                <w:sz w:val="18"/>
              </w:rPr>
            </w:pPr>
            <w:r>
              <w:rPr>
                <w:rFonts w:ascii="宋体" w:eastAsia="宋体" w:hint="eastAsia"/>
                <w:sz w:val="18"/>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124"/>
              <w:ind w:right="192"/>
              <w:jc w:val="right"/>
              <w:rPr>
                <w:sz w:val="18"/>
              </w:rPr>
            </w:pPr>
            <w:r>
              <w:rPr>
                <w:sz w:val="18"/>
              </w:rPr>
              <w:t>42,163,131.37</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before="124"/>
              <w:ind w:right="160"/>
              <w:jc w:val="right"/>
              <w:rPr>
                <w:sz w:val="18"/>
              </w:rPr>
            </w:pPr>
            <w:r>
              <w:rPr>
                <w:sz w:val="18"/>
              </w:rPr>
              <w:t>42,163,131.37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before="124"/>
              <w:ind w:right="85"/>
              <w:jc w:val="right"/>
              <w:rPr>
                <w:sz w:val="18"/>
              </w:rPr>
            </w:pPr>
            <w:r>
              <w:rPr>
                <w:sz w:val="18"/>
              </w:rPr>
              <w:t>20,869,021.20</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76" w:type="dxa"/>
            <w:tcBorders>
              <w:top w:val="single" w:sz="4" w:space="0" w:color="000000"/>
              <w:left w:val="single" w:sz="4" w:space="0" w:color="000000"/>
              <w:bottom w:val="single" w:sz="4" w:space="0" w:color="000000"/>
            </w:tcBorders>
          </w:tcPr>
          <w:p>
            <w:pPr>
              <w:pStyle w:val="TableParagraph"/>
              <w:spacing w:before="124"/>
              <w:ind w:right="75"/>
              <w:jc w:val="right"/>
              <w:rPr>
                <w:sz w:val="18"/>
              </w:rPr>
            </w:pPr>
            <w:r>
              <w:rPr>
                <w:sz w:val="18"/>
              </w:rPr>
              <w:t>20,869,021.20</w:t>
            </w:r>
          </w:p>
        </w:tc>
      </w:tr>
      <w:tr>
        <w:trPr>
          <w:trHeight w:val="467" w:hRule="atLeast"/>
        </w:trPr>
        <w:tc>
          <w:tcPr>
            <w:tcW w:w="1217" w:type="dxa"/>
            <w:tcBorders>
              <w:top w:val="single" w:sz="4" w:space="0" w:color="000000"/>
              <w:bottom w:val="single" w:sz="4" w:space="0" w:color="000000"/>
              <w:right w:val="single" w:sz="4" w:space="0" w:color="000000"/>
            </w:tcBorders>
          </w:tcPr>
          <w:p>
            <w:pPr>
              <w:pStyle w:val="TableParagraph"/>
              <w:ind w:left="105"/>
              <w:rPr>
                <w:rFonts w:ascii="宋体" w:eastAsia="宋体" w:hint="eastAsia"/>
                <w:sz w:val="18"/>
              </w:rPr>
            </w:pPr>
            <w:r>
              <w:rPr>
                <w:rFonts w:ascii="宋体" w:eastAsia="宋体" w:hint="eastAsia"/>
                <w:sz w:val="18"/>
              </w:rPr>
              <w:t>重庆热水器</w:t>
            </w:r>
          </w:p>
          <w:p>
            <w:pPr>
              <w:pStyle w:val="TableParagraph"/>
              <w:spacing w:line="213" w:lineRule="exact" w:before="4"/>
              <w:ind w:left="105"/>
              <w:rPr>
                <w:rFonts w:ascii="宋体" w:eastAsia="宋体" w:hint="eastAsia"/>
                <w:sz w:val="18"/>
              </w:rPr>
            </w:pPr>
            <w:r>
              <w:rPr>
                <w:rFonts w:ascii="宋体" w:eastAsia="宋体" w:hint="eastAsia"/>
                <w:sz w:val="18"/>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127"/>
              <w:ind w:right="192"/>
              <w:jc w:val="right"/>
              <w:rPr>
                <w:sz w:val="18"/>
              </w:rPr>
            </w:pPr>
            <w:r>
              <w:rPr>
                <w:sz w:val="18"/>
              </w:rPr>
              <w:t>39,668,198.53</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before="127"/>
              <w:ind w:right="160"/>
              <w:jc w:val="right"/>
              <w:rPr>
                <w:sz w:val="18"/>
              </w:rPr>
            </w:pPr>
            <w:r>
              <w:rPr>
                <w:sz w:val="18"/>
              </w:rPr>
              <w:t>39,668,198.53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before="127"/>
              <w:ind w:right="85"/>
              <w:jc w:val="right"/>
              <w:rPr>
                <w:sz w:val="18"/>
              </w:rPr>
            </w:pPr>
            <w:r>
              <w:rPr>
                <w:sz w:val="18"/>
              </w:rPr>
              <w:t>3,039,596.13</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76" w:type="dxa"/>
            <w:tcBorders>
              <w:top w:val="single" w:sz="4" w:space="0" w:color="000000"/>
              <w:left w:val="single" w:sz="4" w:space="0" w:color="000000"/>
              <w:bottom w:val="single" w:sz="4" w:space="0" w:color="000000"/>
            </w:tcBorders>
          </w:tcPr>
          <w:p>
            <w:pPr>
              <w:pStyle w:val="TableParagraph"/>
              <w:spacing w:before="127"/>
              <w:ind w:right="75"/>
              <w:jc w:val="right"/>
              <w:rPr>
                <w:sz w:val="18"/>
              </w:rPr>
            </w:pPr>
            <w:r>
              <w:rPr>
                <w:sz w:val="18"/>
              </w:rPr>
              <w:t>3,039,596.13</w:t>
            </w:r>
          </w:p>
        </w:tc>
      </w:tr>
      <w:tr>
        <w:trPr>
          <w:trHeight w:val="467" w:hRule="atLeast"/>
        </w:trPr>
        <w:tc>
          <w:tcPr>
            <w:tcW w:w="1217" w:type="dxa"/>
            <w:tcBorders>
              <w:top w:val="single" w:sz="4" w:space="0" w:color="000000"/>
              <w:bottom w:val="single" w:sz="4" w:space="0" w:color="000000"/>
              <w:right w:val="single" w:sz="4" w:space="0" w:color="000000"/>
            </w:tcBorders>
          </w:tcPr>
          <w:p>
            <w:pPr>
              <w:pStyle w:val="TableParagraph"/>
              <w:ind w:left="105"/>
              <w:rPr>
                <w:rFonts w:ascii="宋体" w:eastAsia="宋体" w:hint="eastAsia"/>
                <w:sz w:val="18"/>
              </w:rPr>
            </w:pPr>
            <w:r>
              <w:rPr>
                <w:rFonts w:ascii="宋体" w:eastAsia="宋体" w:hint="eastAsia"/>
                <w:sz w:val="18"/>
              </w:rPr>
              <w:t>特种制冷电</w:t>
            </w:r>
          </w:p>
          <w:p>
            <w:pPr>
              <w:pStyle w:val="TableParagraph"/>
              <w:spacing w:line="215" w:lineRule="exact" w:before="2"/>
              <w:ind w:left="105"/>
              <w:rPr>
                <w:rFonts w:ascii="宋体" w:eastAsia="宋体" w:hint="eastAsia"/>
                <w:sz w:val="18"/>
              </w:rPr>
            </w:pPr>
            <w:r>
              <w:rPr>
                <w:rFonts w:ascii="宋体" w:eastAsia="宋体" w:hint="eastAsia"/>
                <w:sz w:val="18"/>
              </w:rPr>
              <w:t>器项目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124"/>
              <w:ind w:right="192"/>
              <w:jc w:val="right"/>
              <w:rPr>
                <w:sz w:val="18"/>
              </w:rPr>
            </w:pPr>
            <w:r>
              <w:rPr>
                <w:sz w:val="18"/>
              </w:rPr>
              <w:t>37,736,755.17</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before="124"/>
              <w:ind w:right="160"/>
              <w:jc w:val="right"/>
              <w:rPr>
                <w:sz w:val="18"/>
              </w:rPr>
            </w:pPr>
            <w:r>
              <w:rPr>
                <w:sz w:val="18"/>
              </w:rPr>
              <w:t>37,736,755.17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before="124"/>
              <w:ind w:right="85"/>
              <w:jc w:val="right"/>
              <w:rPr>
                <w:sz w:val="18"/>
              </w:rPr>
            </w:pPr>
            <w:r>
              <w:rPr>
                <w:sz w:val="18"/>
              </w:rPr>
              <w:t>101,448,249.30</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76" w:type="dxa"/>
            <w:tcBorders>
              <w:top w:val="single" w:sz="4" w:space="0" w:color="000000"/>
              <w:left w:val="single" w:sz="4" w:space="0" w:color="000000"/>
              <w:bottom w:val="single" w:sz="4" w:space="0" w:color="000000"/>
            </w:tcBorders>
          </w:tcPr>
          <w:p>
            <w:pPr>
              <w:pStyle w:val="TableParagraph"/>
              <w:spacing w:before="124"/>
              <w:ind w:right="75"/>
              <w:jc w:val="right"/>
              <w:rPr>
                <w:sz w:val="18"/>
              </w:rPr>
            </w:pPr>
            <w:r>
              <w:rPr>
                <w:sz w:val="18"/>
              </w:rPr>
              <w:t>101,448,249.30</w:t>
            </w:r>
          </w:p>
        </w:tc>
      </w:tr>
      <w:tr>
        <w:trPr>
          <w:trHeight w:val="232" w:hRule="atLeast"/>
        </w:trPr>
        <w:tc>
          <w:tcPr>
            <w:tcW w:w="1217" w:type="dxa"/>
            <w:tcBorders>
              <w:top w:val="single" w:sz="4" w:space="0" w:color="000000"/>
              <w:bottom w:val="single" w:sz="4" w:space="0" w:color="000000"/>
              <w:right w:val="single" w:sz="4" w:space="0" w:color="000000"/>
            </w:tcBorders>
          </w:tcPr>
          <w:p>
            <w:pPr>
              <w:pStyle w:val="TableParagraph"/>
              <w:spacing w:line="212" w:lineRule="exact"/>
              <w:ind w:left="105"/>
              <w:rPr>
                <w:rFonts w:ascii="宋体" w:eastAsia="宋体" w:hint="eastAsia"/>
                <w:sz w:val="18"/>
              </w:rPr>
            </w:pPr>
            <w:r>
              <w:rPr>
                <w:rFonts w:ascii="宋体" w:eastAsia="宋体" w:hint="eastAsia"/>
                <w:sz w:val="18"/>
              </w:rPr>
              <w:t>卡奥斯项目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7"/>
              <w:ind w:right="85"/>
              <w:jc w:val="right"/>
              <w:rPr>
                <w:sz w:val="18"/>
              </w:rPr>
            </w:pPr>
            <w:r>
              <w:rPr>
                <w:sz w:val="18"/>
              </w:rPr>
              <w:t>63,804,127.26</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76" w:type="dxa"/>
            <w:tcBorders>
              <w:top w:val="single" w:sz="4" w:space="0" w:color="000000"/>
              <w:left w:val="single" w:sz="4" w:space="0" w:color="000000"/>
              <w:bottom w:val="single" w:sz="4" w:space="0" w:color="000000"/>
            </w:tcBorders>
          </w:tcPr>
          <w:p>
            <w:pPr>
              <w:pStyle w:val="TableParagraph"/>
              <w:spacing w:line="205" w:lineRule="exact" w:before="7"/>
              <w:ind w:right="75"/>
              <w:jc w:val="right"/>
              <w:rPr>
                <w:sz w:val="18"/>
              </w:rPr>
            </w:pPr>
            <w:r>
              <w:rPr>
                <w:sz w:val="18"/>
              </w:rPr>
              <w:t>63,804,127.26</w:t>
            </w:r>
          </w:p>
        </w:tc>
      </w:tr>
      <w:tr>
        <w:trPr>
          <w:trHeight w:val="235" w:hRule="atLeast"/>
        </w:trPr>
        <w:tc>
          <w:tcPr>
            <w:tcW w:w="1217" w:type="dxa"/>
            <w:tcBorders>
              <w:top w:val="single" w:sz="4" w:space="0" w:color="000000"/>
              <w:bottom w:val="single" w:sz="4" w:space="0" w:color="000000"/>
              <w:right w:val="single" w:sz="4" w:space="0" w:color="000000"/>
            </w:tcBorders>
          </w:tcPr>
          <w:p>
            <w:pPr>
              <w:pStyle w:val="TableParagraph"/>
              <w:spacing w:line="215" w:lineRule="exact"/>
              <w:ind w:left="105"/>
              <w:rPr>
                <w:rFonts w:ascii="宋体" w:eastAsia="宋体" w:hint="eastAsia"/>
                <w:sz w:val="18"/>
              </w:rPr>
            </w:pPr>
            <w:r>
              <w:rPr>
                <w:rFonts w:ascii="宋体" w:eastAsia="宋体" w:hint="eastAsia"/>
                <w:sz w:val="18"/>
              </w:rPr>
              <w:t>其他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9"/>
              <w:ind w:right="192"/>
              <w:jc w:val="right"/>
              <w:rPr>
                <w:sz w:val="18"/>
              </w:rPr>
            </w:pPr>
            <w:r>
              <w:rPr>
                <w:sz w:val="18"/>
              </w:rPr>
              <w:t>673,031,571.22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9"/>
              <w:ind w:left="117"/>
              <w:rPr>
                <w:sz w:val="18"/>
              </w:rPr>
            </w:pPr>
            <w:r>
              <w:rPr>
                <w:sz w:val="18"/>
              </w:rPr>
              <w:t>837,735.85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9"/>
              <w:ind w:right="160"/>
              <w:jc w:val="right"/>
              <w:rPr>
                <w:sz w:val="18"/>
              </w:rPr>
            </w:pPr>
            <w:r>
              <w:rPr>
                <w:sz w:val="18"/>
              </w:rPr>
              <w:t>672,193,835.37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9"/>
              <w:ind w:right="85"/>
              <w:jc w:val="right"/>
              <w:rPr>
                <w:sz w:val="18"/>
              </w:rPr>
            </w:pPr>
            <w:r>
              <w:rPr>
                <w:sz w:val="18"/>
              </w:rPr>
              <w:t>1,078,795,355.37</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76" w:type="dxa"/>
            <w:tcBorders>
              <w:top w:val="single" w:sz="4" w:space="0" w:color="000000"/>
              <w:left w:val="single" w:sz="4" w:space="0" w:color="000000"/>
              <w:bottom w:val="single" w:sz="4" w:space="0" w:color="000000"/>
            </w:tcBorders>
          </w:tcPr>
          <w:p>
            <w:pPr>
              <w:pStyle w:val="TableParagraph"/>
              <w:spacing w:line="206" w:lineRule="exact" w:before="9"/>
              <w:ind w:right="75"/>
              <w:jc w:val="right"/>
              <w:rPr>
                <w:sz w:val="18"/>
              </w:rPr>
            </w:pPr>
            <w:r>
              <w:rPr>
                <w:sz w:val="18"/>
              </w:rPr>
              <w:t>1,078,795,355.37</w:t>
            </w:r>
          </w:p>
        </w:tc>
      </w:tr>
      <w:tr>
        <w:trPr>
          <w:trHeight w:val="229" w:hRule="atLeast"/>
        </w:trPr>
        <w:tc>
          <w:tcPr>
            <w:tcW w:w="1217" w:type="dxa"/>
            <w:tcBorders>
              <w:top w:val="single" w:sz="4" w:space="0" w:color="000000"/>
              <w:right w:val="single" w:sz="4" w:space="0" w:color="000000"/>
            </w:tcBorders>
          </w:tcPr>
          <w:p>
            <w:pPr>
              <w:pStyle w:val="TableParagraph"/>
              <w:spacing w:line="210" w:lineRule="exact"/>
              <w:ind w:left="407" w:right="390"/>
              <w:jc w:val="center"/>
              <w:rPr>
                <w:rFonts w:ascii="宋体" w:eastAsia="宋体" w:hint="eastAsia"/>
                <w:sz w:val="18"/>
              </w:rPr>
            </w:pPr>
            <w:r>
              <w:rPr>
                <w:rFonts w:ascii="宋体" w:eastAsia="宋体" w:hint="eastAsia"/>
                <w:sz w:val="18"/>
              </w:rPr>
              <w:t>合计</w:t>
            </w:r>
          </w:p>
        </w:tc>
        <w:tc>
          <w:tcPr>
            <w:tcW w:w="1582" w:type="dxa"/>
            <w:tcBorders>
              <w:top w:val="single" w:sz="4" w:space="0" w:color="000000"/>
              <w:left w:val="single" w:sz="4" w:space="0" w:color="000000"/>
              <w:right w:val="single" w:sz="4" w:space="0" w:color="000000"/>
            </w:tcBorders>
          </w:tcPr>
          <w:p>
            <w:pPr>
              <w:pStyle w:val="TableParagraph"/>
              <w:spacing w:line="203" w:lineRule="exact" w:before="7"/>
              <w:ind w:right="192"/>
              <w:jc w:val="right"/>
              <w:rPr>
                <w:sz w:val="18"/>
              </w:rPr>
            </w:pPr>
            <w:r>
              <w:rPr>
                <w:sz w:val="18"/>
              </w:rPr>
              <w:t>3,597,740,182.92</w:t>
            </w:r>
          </w:p>
        </w:tc>
        <w:tc>
          <w:tcPr>
            <w:tcW w:w="1099" w:type="dxa"/>
            <w:tcBorders>
              <w:top w:val="single" w:sz="4" w:space="0" w:color="000000"/>
              <w:left w:val="single" w:sz="4" w:space="0" w:color="000000"/>
              <w:right w:val="single" w:sz="4" w:space="0" w:color="000000"/>
            </w:tcBorders>
          </w:tcPr>
          <w:p>
            <w:pPr>
              <w:pStyle w:val="TableParagraph"/>
              <w:spacing w:line="203" w:lineRule="exact" w:before="7"/>
              <w:ind w:left="117"/>
              <w:rPr>
                <w:sz w:val="18"/>
              </w:rPr>
            </w:pPr>
            <w:r>
              <w:rPr>
                <w:sz w:val="18"/>
              </w:rPr>
              <w:t>837,735.85</w:t>
            </w:r>
          </w:p>
        </w:tc>
        <w:tc>
          <w:tcPr>
            <w:tcW w:w="1548" w:type="dxa"/>
            <w:tcBorders>
              <w:top w:val="single" w:sz="4" w:space="0" w:color="000000"/>
              <w:left w:val="single" w:sz="4" w:space="0" w:color="000000"/>
              <w:right w:val="single" w:sz="4" w:space="0" w:color="000000"/>
            </w:tcBorders>
          </w:tcPr>
          <w:p>
            <w:pPr>
              <w:pStyle w:val="TableParagraph"/>
              <w:spacing w:line="203" w:lineRule="exact" w:before="7"/>
              <w:ind w:right="160"/>
              <w:jc w:val="right"/>
              <w:rPr>
                <w:sz w:val="18"/>
              </w:rPr>
            </w:pPr>
            <w:r>
              <w:rPr>
                <w:sz w:val="18"/>
              </w:rPr>
              <w:t>3,596,902,447.07</w:t>
            </w:r>
          </w:p>
        </w:tc>
        <w:tc>
          <w:tcPr>
            <w:tcW w:w="1476" w:type="dxa"/>
            <w:tcBorders>
              <w:top w:val="single" w:sz="4" w:space="0" w:color="000000"/>
              <w:left w:val="single" w:sz="4" w:space="0" w:color="000000"/>
              <w:right w:val="single" w:sz="4" w:space="0" w:color="000000"/>
            </w:tcBorders>
          </w:tcPr>
          <w:p>
            <w:pPr>
              <w:pStyle w:val="TableParagraph"/>
              <w:spacing w:line="203" w:lineRule="exact" w:before="7"/>
              <w:ind w:right="85"/>
              <w:jc w:val="right"/>
              <w:rPr>
                <w:sz w:val="18"/>
              </w:rPr>
            </w:pPr>
            <w:r>
              <w:rPr>
                <w:sz w:val="18"/>
              </w:rPr>
              <w:t>2,425,426,229.58</w:t>
            </w:r>
          </w:p>
        </w:tc>
        <w:tc>
          <w:tcPr>
            <w:tcW w:w="1251" w:type="dxa"/>
            <w:tcBorders>
              <w:top w:val="single" w:sz="4" w:space="0" w:color="000000"/>
              <w:left w:val="single" w:sz="4" w:space="0" w:color="000000"/>
              <w:right w:val="single" w:sz="4" w:space="0" w:color="000000"/>
            </w:tcBorders>
          </w:tcPr>
          <w:p>
            <w:pPr>
              <w:pStyle w:val="TableParagraph"/>
              <w:spacing w:line="203" w:lineRule="exact" w:before="7"/>
              <w:ind w:left="118"/>
              <w:rPr>
                <w:sz w:val="18"/>
              </w:rPr>
            </w:pPr>
            <w:r>
              <w:rPr>
                <w:sz w:val="18"/>
              </w:rPr>
              <w:t>34,061,569.61</w:t>
            </w:r>
          </w:p>
        </w:tc>
        <w:tc>
          <w:tcPr>
            <w:tcW w:w="1476" w:type="dxa"/>
            <w:tcBorders>
              <w:top w:val="single" w:sz="4" w:space="0" w:color="000000"/>
              <w:left w:val="single" w:sz="4" w:space="0" w:color="000000"/>
            </w:tcBorders>
          </w:tcPr>
          <w:p>
            <w:pPr>
              <w:pStyle w:val="TableParagraph"/>
              <w:spacing w:line="203" w:lineRule="exact" w:before="7"/>
              <w:ind w:right="75"/>
              <w:jc w:val="right"/>
              <w:rPr>
                <w:sz w:val="18"/>
              </w:rPr>
            </w:pPr>
            <w:r>
              <w:rPr>
                <w:sz w:val="18"/>
              </w:rPr>
              <w:t>2,391,364,659.97</w:t>
            </w:r>
          </w:p>
        </w:tc>
      </w:tr>
    </w:tbl>
    <w:p>
      <w:pPr>
        <w:pStyle w:val="BodyText"/>
        <w:rPr>
          <w:sz w:val="20"/>
        </w:rPr>
      </w:pPr>
    </w:p>
    <w:p>
      <w:pPr>
        <w:pStyle w:val="BodyText"/>
        <w:rPr>
          <w:sz w:val="16"/>
        </w:rPr>
      </w:pPr>
    </w:p>
    <w:p>
      <w:pPr>
        <w:pStyle w:val="ListParagraph"/>
        <w:numPr>
          <w:ilvl w:val="1"/>
          <w:numId w:val="59"/>
        </w:numPr>
        <w:tabs>
          <w:tab w:pos="2569" w:val="left" w:leader="none"/>
        </w:tabs>
        <w:spacing w:line="240" w:lineRule="auto" w:before="78" w:after="0"/>
        <w:ind w:left="2568" w:right="0" w:hanging="530"/>
        <w:jc w:val="left"/>
        <w:rPr>
          <w:sz w:val="21"/>
        </w:rPr>
      </w:pPr>
      <w:r>
        <w:rPr>
          <w:spacing w:val="-3"/>
          <w:sz w:val="21"/>
        </w:rPr>
        <w:t>重要在建工程项目本期变动情况</w:t>
      </w:r>
    </w:p>
    <w:p>
      <w:pPr>
        <w:pStyle w:val="BodyText"/>
        <w:spacing w:before="6" w:after="1"/>
        <w:rPr>
          <w:sz w:val="11"/>
        </w:rPr>
      </w:pPr>
    </w:p>
    <w:tbl>
      <w:tblPr>
        <w:tblW w:w="0" w:type="auto"/>
        <w:jc w:val="left"/>
        <w:tblInd w:w="12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22"/>
        <w:gridCol w:w="1464"/>
        <w:gridCol w:w="1466"/>
        <w:gridCol w:w="1466"/>
        <w:gridCol w:w="1314"/>
        <w:gridCol w:w="1329"/>
        <w:gridCol w:w="1460"/>
        <w:gridCol w:w="719"/>
      </w:tblGrid>
      <w:tr>
        <w:trPr>
          <w:trHeight w:val="467" w:hRule="atLeast"/>
        </w:trPr>
        <w:tc>
          <w:tcPr>
            <w:tcW w:w="1022" w:type="dxa"/>
            <w:tcBorders>
              <w:bottom w:val="single" w:sz="4" w:space="0" w:color="000000"/>
              <w:right w:val="single" w:sz="4" w:space="0" w:color="000000"/>
            </w:tcBorders>
          </w:tcPr>
          <w:p>
            <w:pPr>
              <w:pStyle w:val="TableParagraph"/>
              <w:spacing w:before="57"/>
              <w:ind w:left="145"/>
              <w:rPr>
                <w:rFonts w:ascii="Microsoft JhengHei" w:eastAsia="Microsoft JhengHei" w:hint="eastAsia"/>
                <w:b/>
                <w:sz w:val="18"/>
              </w:rPr>
            </w:pPr>
            <w:r>
              <w:rPr>
                <w:rFonts w:ascii="Microsoft JhengHei" w:eastAsia="Microsoft JhengHei" w:hint="eastAsia"/>
                <w:b/>
                <w:sz w:val="18"/>
              </w:rPr>
              <w:t>工程名称</w:t>
            </w:r>
          </w:p>
        </w:tc>
        <w:tc>
          <w:tcPr>
            <w:tcW w:w="1464" w:type="dxa"/>
            <w:tcBorders>
              <w:left w:val="single" w:sz="4" w:space="0" w:color="000000"/>
              <w:bottom w:val="single" w:sz="4" w:space="0" w:color="000000"/>
              <w:right w:val="single" w:sz="4" w:space="0" w:color="000000"/>
            </w:tcBorders>
          </w:tcPr>
          <w:p>
            <w:pPr>
              <w:pStyle w:val="TableParagraph"/>
              <w:spacing w:before="57"/>
              <w:ind w:left="379"/>
              <w:rPr>
                <w:rFonts w:ascii="Microsoft JhengHei" w:eastAsia="Microsoft JhengHei" w:hint="eastAsia"/>
                <w:b/>
                <w:sz w:val="18"/>
              </w:rPr>
            </w:pPr>
            <w:r>
              <w:rPr>
                <w:rFonts w:ascii="Microsoft JhengHei" w:eastAsia="Microsoft JhengHei" w:hint="eastAsia"/>
                <w:b/>
                <w:sz w:val="18"/>
              </w:rPr>
              <w:t>期初余额</w:t>
            </w:r>
          </w:p>
        </w:tc>
        <w:tc>
          <w:tcPr>
            <w:tcW w:w="1466" w:type="dxa"/>
            <w:tcBorders>
              <w:left w:val="single" w:sz="4" w:space="0" w:color="000000"/>
              <w:bottom w:val="single" w:sz="4" w:space="0" w:color="000000"/>
              <w:right w:val="single" w:sz="4" w:space="0" w:color="000000"/>
            </w:tcBorders>
          </w:tcPr>
          <w:p>
            <w:pPr>
              <w:pStyle w:val="TableParagraph"/>
              <w:spacing w:before="57"/>
              <w:ind w:left="382"/>
              <w:rPr>
                <w:rFonts w:ascii="Microsoft JhengHei" w:eastAsia="Microsoft JhengHei" w:hint="eastAsia"/>
                <w:b/>
                <w:sz w:val="18"/>
              </w:rPr>
            </w:pPr>
            <w:r>
              <w:rPr>
                <w:rFonts w:ascii="Microsoft JhengHei" w:eastAsia="Microsoft JhengHei" w:hint="eastAsia"/>
                <w:b/>
                <w:sz w:val="18"/>
              </w:rPr>
              <w:t>本期增加</w:t>
            </w:r>
          </w:p>
        </w:tc>
        <w:tc>
          <w:tcPr>
            <w:tcW w:w="1466" w:type="dxa"/>
            <w:tcBorders>
              <w:left w:val="single" w:sz="4" w:space="0" w:color="000000"/>
              <w:bottom w:val="single" w:sz="4" w:space="0" w:color="000000"/>
              <w:right w:val="single" w:sz="4" w:space="0" w:color="000000"/>
            </w:tcBorders>
          </w:tcPr>
          <w:p>
            <w:pPr>
              <w:pStyle w:val="TableParagraph"/>
              <w:spacing w:before="57"/>
              <w:ind w:left="291"/>
              <w:rPr>
                <w:rFonts w:ascii="Microsoft JhengHei" w:eastAsia="Microsoft JhengHei" w:hint="eastAsia"/>
                <w:b/>
                <w:sz w:val="18"/>
              </w:rPr>
            </w:pPr>
            <w:r>
              <w:rPr>
                <w:rFonts w:ascii="Microsoft JhengHei" w:eastAsia="Microsoft JhengHei" w:hint="eastAsia"/>
                <w:b/>
                <w:sz w:val="18"/>
              </w:rPr>
              <w:t>转固定资产</w:t>
            </w:r>
          </w:p>
        </w:tc>
        <w:tc>
          <w:tcPr>
            <w:tcW w:w="1314" w:type="dxa"/>
            <w:tcBorders>
              <w:left w:val="single" w:sz="4" w:space="0" w:color="000000"/>
              <w:bottom w:val="single" w:sz="4" w:space="0" w:color="000000"/>
              <w:right w:val="single" w:sz="4" w:space="0" w:color="000000"/>
            </w:tcBorders>
          </w:tcPr>
          <w:p>
            <w:pPr>
              <w:pStyle w:val="TableParagraph"/>
              <w:spacing w:before="57"/>
              <w:ind w:left="304"/>
              <w:rPr>
                <w:rFonts w:ascii="Microsoft JhengHei" w:eastAsia="Microsoft JhengHei" w:hint="eastAsia"/>
                <w:b/>
                <w:sz w:val="18"/>
              </w:rPr>
            </w:pPr>
            <w:r>
              <w:rPr>
                <w:rFonts w:ascii="Microsoft JhengHei" w:eastAsia="Microsoft JhengHei" w:hint="eastAsia"/>
                <w:b/>
                <w:sz w:val="18"/>
              </w:rPr>
              <w:t>其他减少</w:t>
            </w:r>
          </w:p>
        </w:tc>
        <w:tc>
          <w:tcPr>
            <w:tcW w:w="1329" w:type="dxa"/>
            <w:tcBorders>
              <w:left w:val="single" w:sz="4" w:space="0" w:color="000000"/>
              <w:bottom w:val="single" w:sz="4" w:space="0" w:color="000000"/>
              <w:right w:val="single" w:sz="4" w:space="0" w:color="000000"/>
            </w:tcBorders>
          </w:tcPr>
          <w:p>
            <w:pPr>
              <w:pStyle w:val="TableParagraph"/>
              <w:spacing w:line="224" w:lineRule="exact"/>
              <w:ind w:left="315"/>
              <w:rPr>
                <w:rFonts w:ascii="Microsoft JhengHei" w:eastAsia="Microsoft JhengHei" w:hint="eastAsia"/>
                <w:b/>
                <w:sz w:val="18"/>
              </w:rPr>
            </w:pPr>
            <w:r>
              <w:rPr>
                <w:rFonts w:ascii="Microsoft JhengHei" w:eastAsia="Microsoft JhengHei" w:hint="eastAsia"/>
                <w:b/>
                <w:sz w:val="18"/>
              </w:rPr>
              <w:t>外币报表</w:t>
            </w:r>
          </w:p>
          <w:p>
            <w:pPr>
              <w:pStyle w:val="TableParagraph"/>
              <w:spacing w:line="223" w:lineRule="exact"/>
              <w:ind w:left="315"/>
              <w:rPr>
                <w:rFonts w:ascii="Microsoft JhengHei" w:eastAsia="Microsoft JhengHei" w:hint="eastAsia"/>
                <w:b/>
                <w:sz w:val="18"/>
              </w:rPr>
            </w:pPr>
            <w:r>
              <w:rPr>
                <w:rFonts w:ascii="Microsoft JhengHei" w:eastAsia="Microsoft JhengHei" w:hint="eastAsia"/>
                <w:b/>
                <w:sz w:val="18"/>
              </w:rPr>
              <w:t>折算差额</w:t>
            </w:r>
          </w:p>
        </w:tc>
        <w:tc>
          <w:tcPr>
            <w:tcW w:w="1460" w:type="dxa"/>
            <w:tcBorders>
              <w:left w:val="single" w:sz="4" w:space="0" w:color="000000"/>
              <w:bottom w:val="single" w:sz="4" w:space="0" w:color="000000"/>
              <w:right w:val="single" w:sz="4" w:space="0" w:color="000000"/>
            </w:tcBorders>
          </w:tcPr>
          <w:p>
            <w:pPr>
              <w:pStyle w:val="TableParagraph"/>
              <w:spacing w:before="57"/>
              <w:ind w:left="383"/>
              <w:rPr>
                <w:rFonts w:ascii="Microsoft JhengHei" w:eastAsia="Microsoft JhengHei" w:hint="eastAsia"/>
                <w:b/>
                <w:sz w:val="18"/>
              </w:rPr>
            </w:pPr>
            <w:r>
              <w:rPr>
                <w:rFonts w:ascii="Microsoft JhengHei" w:eastAsia="Microsoft JhengHei" w:hint="eastAsia"/>
                <w:b/>
                <w:sz w:val="18"/>
              </w:rPr>
              <w:t>期末余额</w:t>
            </w:r>
          </w:p>
        </w:tc>
        <w:tc>
          <w:tcPr>
            <w:tcW w:w="719" w:type="dxa"/>
            <w:tcBorders>
              <w:left w:val="single" w:sz="4" w:space="0" w:color="000000"/>
              <w:bottom w:val="single" w:sz="4" w:space="0" w:color="000000"/>
            </w:tcBorders>
          </w:tcPr>
          <w:p>
            <w:pPr>
              <w:pStyle w:val="TableParagraph"/>
              <w:spacing w:line="224" w:lineRule="exact"/>
              <w:ind w:left="193"/>
              <w:rPr>
                <w:rFonts w:ascii="Microsoft JhengHei" w:eastAsia="Microsoft JhengHei" w:hint="eastAsia"/>
                <w:b/>
                <w:sz w:val="18"/>
              </w:rPr>
            </w:pPr>
            <w:r>
              <w:rPr>
                <w:rFonts w:ascii="Microsoft JhengHei" w:eastAsia="Microsoft JhengHei" w:hint="eastAsia"/>
                <w:b/>
                <w:sz w:val="18"/>
              </w:rPr>
              <w:t>资金</w:t>
            </w:r>
          </w:p>
          <w:p>
            <w:pPr>
              <w:pStyle w:val="TableParagraph"/>
              <w:spacing w:line="223" w:lineRule="exact"/>
              <w:ind w:left="193"/>
              <w:rPr>
                <w:rFonts w:ascii="Microsoft JhengHei" w:eastAsia="Microsoft JhengHei" w:hint="eastAsia"/>
                <w:b/>
                <w:sz w:val="18"/>
              </w:rPr>
            </w:pPr>
            <w:r>
              <w:rPr>
                <w:rFonts w:ascii="Microsoft JhengHei" w:eastAsia="Microsoft JhengHei" w:hint="eastAsia"/>
                <w:b/>
                <w:sz w:val="18"/>
              </w:rPr>
              <w:t>来源</w:t>
            </w:r>
          </w:p>
        </w:tc>
      </w:tr>
      <w:tr>
        <w:trPr>
          <w:trHeight w:val="700" w:hRule="atLeast"/>
        </w:trPr>
        <w:tc>
          <w:tcPr>
            <w:tcW w:w="1022" w:type="dxa"/>
            <w:tcBorders>
              <w:top w:val="single" w:sz="4" w:space="0" w:color="000000"/>
              <w:bottom w:val="single" w:sz="4" w:space="0" w:color="000000"/>
              <w:right w:val="single" w:sz="4" w:space="0" w:color="000000"/>
            </w:tcBorders>
          </w:tcPr>
          <w:p>
            <w:pPr>
              <w:pStyle w:val="TableParagraph"/>
              <w:tabs>
                <w:tab w:pos="731" w:val="left" w:leader="none"/>
              </w:tabs>
              <w:spacing w:line="230" w:lineRule="exact"/>
              <w:ind w:left="105"/>
              <w:rPr>
                <w:rFonts w:ascii="宋体" w:eastAsia="宋体" w:hint="eastAsia"/>
                <w:sz w:val="18"/>
              </w:rPr>
            </w:pPr>
            <w:r>
              <w:rPr>
                <w:rFonts w:ascii="宋体" w:eastAsia="宋体" w:hint="eastAsia"/>
                <w:sz w:val="18"/>
              </w:rPr>
              <w:t>欧</w:t>
              <w:tab/>
              <w:t>洲</w:t>
            </w:r>
          </w:p>
          <w:p>
            <w:pPr>
              <w:pStyle w:val="TableParagraph"/>
              <w:spacing w:line="230" w:lineRule="atLeast" w:before="4"/>
              <w:ind w:left="105" w:right="91"/>
              <w:rPr>
                <w:rFonts w:ascii="宋体" w:eastAsia="宋体" w:hint="eastAsia"/>
                <w:sz w:val="18"/>
              </w:rPr>
            </w:pPr>
            <w:r>
              <w:rPr>
                <w:sz w:val="18"/>
              </w:rPr>
              <w:t>Candy </w:t>
            </w:r>
            <w:r>
              <w:rPr>
                <w:rFonts w:ascii="宋体" w:eastAsia="宋体" w:hint="eastAsia"/>
                <w:sz w:val="18"/>
              </w:rPr>
              <w:t>项目</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10"/>
              <w:rPr>
                <w:rFonts w:ascii="宋体"/>
                <w:sz w:val="19"/>
              </w:rPr>
            </w:pPr>
          </w:p>
          <w:p>
            <w:pPr>
              <w:pStyle w:val="TableParagraph"/>
              <w:ind w:right="85"/>
              <w:jc w:val="right"/>
              <w:rPr>
                <w:sz w:val="16"/>
              </w:rPr>
            </w:pPr>
            <w:r>
              <w:rPr>
                <w:sz w:val="16"/>
              </w:rPr>
              <w:t>44,645,629.53</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before="10"/>
              <w:rPr>
                <w:rFonts w:ascii="宋体"/>
                <w:sz w:val="19"/>
              </w:rPr>
            </w:pPr>
          </w:p>
          <w:p>
            <w:pPr>
              <w:pStyle w:val="TableParagraph"/>
              <w:ind w:right="84"/>
              <w:jc w:val="right"/>
              <w:rPr>
                <w:sz w:val="16"/>
              </w:rPr>
            </w:pPr>
            <w:r>
              <w:rPr>
                <w:sz w:val="16"/>
              </w:rPr>
              <w:t>648,095,545.07</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before="10"/>
              <w:rPr>
                <w:rFonts w:ascii="宋体"/>
                <w:sz w:val="19"/>
              </w:rPr>
            </w:pPr>
          </w:p>
          <w:p>
            <w:pPr>
              <w:pStyle w:val="TableParagraph"/>
              <w:ind w:right="86"/>
              <w:jc w:val="right"/>
              <w:rPr>
                <w:sz w:val="16"/>
              </w:rPr>
            </w:pPr>
            <w:r>
              <w:rPr>
                <w:sz w:val="16"/>
              </w:rPr>
              <w:t>44,569,831.04</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before="10"/>
              <w:rPr>
                <w:rFonts w:ascii="宋体"/>
                <w:sz w:val="19"/>
              </w:rPr>
            </w:pPr>
          </w:p>
          <w:p>
            <w:pPr>
              <w:pStyle w:val="TableParagraph"/>
              <w:ind w:right="82"/>
              <w:jc w:val="right"/>
              <w:rPr>
                <w:sz w:val="16"/>
              </w:rPr>
            </w:pPr>
            <w:r>
              <w:rPr>
                <w:sz w:val="16"/>
              </w:rPr>
              <w:t>-36,642,228.43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10"/>
              <w:rPr>
                <w:rFonts w:ascii="宋体"/>
                <w:sz w:val="19"/>
              </w:rPr>
            </w:pPr>
          </w:p>
          <w:p>
            <w:pPr>
              <w:pStyle w:val="TableParagraph"/>
              <w:ind w:right="80"/>
              <w:jc w:val="right"/>
              <w:rPr>
                <w:sz w:val="16"/>
              </w:rPr>
            </w:pPr>
            <w:r>
              <w:rPr>
                <w:sz w:val="16"/>
              </w:rPr>
              <w:t>611,529,115.13</w:t>
            </w:r>
          </w:p>
        </w:tc>
        <w:tc>
          <w:tcPr>
            <w:tcW w:w="719" w:type="dxa"/>
            <w:tcBorders>
              <w:top w:val="single" w:sz="4" w:space="0" w:color="000000"/>
              <w:left w:val="single" w:sz="4" w:space="0" w:color="000000"/>
              <w:bottom w:val="single" w:sz="4" w:space="0" w:color="000000"/>
            </w:tcBorders>
          </w:tcPr>
          <w:p>
            <w:pPr>
              <w:pStyle w:val="TableParagraph"/>
              <w:spacing w:before="4"/>
              <w:rPr>
                <w:rFonts w:ascii="宋体"/>
                <w:sz w:val="18"/>
              </w:rPr>
            </w:pPr>
          </w:p>
          <w:p>
            <w:pPr>
              <w:pStyle w:val="TableParagraph"/>
              <w:ind w:left="175" w:right="32"/>
              <w:jc w:val="center"/>
              <w:rPr>
                <w:rFonts w:ascii="宋体" w:eastAsia="宋体" w:hint="eastAsia"/>
                <w:sz w:val="18"/>
              </w:rPr>
            </w:pPr>
            <w:r>
              <w:rPr>
                <w:rFonts w:ascii="宋体" w:eastAsia="宋体" w:hint="eastAsia"/>
                <w:sz w:val="18"/>
              </w:rPr>
              <w:t>自筹</w:t>
            </w:r>
          </w:p>
        </w:tc>
      </w:tr>
      <w:tr>
        <w:trPr>
          <w:trHeight w:val="467" w:hRule="atLeast"/>
        </w:trPr>
        <w:tc>
          <w:tcPr>
            <w:tcW w:w="1022" w:type="dxa"/>
            <w:tcBorders>
              <w:top w:val="single" w:sz="4" w:space="0" w:color="000000"/>
              <w:bottom w:val="single" w:sz="4" w:space="0" w:color="000000"/>
              <w:right w:val="single" w:sz="4" w:space="0" w:color="000000"/>
            </w:tcBorders>
          </w:tcPr>
          <w:p>
            <w:pPr>
              <w:pStyle w:val="TableParagraph"/>
              <w:ind w:left="105"/>
              <w:rPr>
                <w:sz w:val="18"/>
              </w:rPr>
            </w:pPr>
            <w:r>
              <w:rPr>
                <w:rFonts w:ascii="宋体" w:eastAsia="宋体" w:hint="eastAsia"/>
                <w:sz w:val="18"/>
              </w:rPr>
              <w:t>美国 </w:t>
            </w:r>
            <w:r>
              <w:rPr>
                <w:sz w:val="18"/>
              </w:rPr>
              <w:t>GEA</w:t>
            </w:r>
          </w:p>
          <w:p>
            <w:pPr>
              <w:pStyle w:val="TableParagraph"/>
              <w:spacing w:line="213" w:lineRule="exact" w:before="4"/>
              <w:ind w:left="105"/>
              <w:rPr>
                <w:rFonts w:ascii="宋体" w:eastAsia="宋体" w:hint="eastAsia"/>
                <w:sz w:val="18"/>
              </w:rPr>
            </w:pPr>
            <w:r>
              <w:rPr>
                <w:rFonts w:ascii="宋体" w:eastAsia="宋体" w:hint="eastAsia"/>
                <w:sz w:val="18"/>
              </w:rPr>
              <w:t>项目</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136"/>
              <w:ind w:right="85"/>
              <w:jc w:val="right"/>
              <w:rPr>
                <w:sz w:val="16"/>
              </w:rPr>
            </w:pPr>
            <w:r>
              <w:rPr>
                <w:sz w:val="16"/>
              </w:rPr>
              <w:t>301,439,928.75</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before="136"/>
              <w:ind w:right="84"/>
              <w:jc w:val="right"/>
              <w:rPr>
                <w:sz w:val="16"/>
              </w:rPr>
            </w:pPr>
            <w:r>
              <w:rPr>
                <w:sz w:val="16"/>
              </w:rPr>
              <w:t>887,171,960.70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before="136"/>
              <w:ind w:right="86"/>
              <w:jc w:val="right"/>
              <w:rPr>
                <w:sz w:val="16"/>
              </w:rPr>
            </w:pPr>
            <w:r>
              <w:rPr>
                <w:sz w:val="16"/>
              </w:rPr>
              <w:t>642,170,296.06</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before="136"/>
              <w:ind w:right="82"/>
              <w:jc w:val="right"/>
              <w:rPr>
                <w:sz w:val="16"/>
              </w:rPr>
            </w:pPr>
            <w:r>
              <w:rPr>
                <w:sz w:val="16"/>
              </w:rPr>
              <w:t>-28,181,100.38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136"/>
              <w:ind w:right="80"/>
              <w:jc w:val="right"/>
              <w:rPr>
                <w:sz w:val="16"/>
              </w:rPr>
            </w:pPr>
            <w:r>
              <w:rPr>
                <w:sz w:val="16"/>
              </w:rPr>
              <w:t>518,260,493.01</w:t>
            </w:r>
          </w:p>
        </w:tc>
        <w:tc>
          <w:tcPr>
            <w:tcW w:w="719" w:type="dxa"/>
            <w:tcBorders>
              <w:top w:val="single" w:sz="4" w:space="0" w:color="000000"/>
              <w:left w:val="single" w:sz="4" w:space="0" w:color="000000"/>
              <w:bottom w:val="single" w:sz="4" w:space="0" w:color="000000"/>
            </w:tcBorders>
          </w:tcPr>
          <w:p>
            <w:pPr>
              <w:pStyle w:val="TableParagraph"/>
              <w:spacing w:before="117"/>
              <w:ind w:left="175" w:right="32"/>
              <w:jc w:val="center"/>
              <w:rPr>
                <w:rFonts w:ascii="宋体" w:eastAsia="宋体" w:hint="eastAsia"/>
                <w:sz w:val="18"/>
              </w:rPr>
            </w:pPr>
            <w:r>
              <w:rPr>
                <w:rFonts w:ascii="宋体" w:eastAsia="宋体" w:hint="eastAsia"/>
                <w:sz w:val="18"/>
              </w:rPr>
              <w:t>自筹</w:t>
            </w:r>
          </w:p>
        </w:tc>
      </w:tr>
      <w:tr>
        <w:trPr>
          <w:trHeight w:val="700" w:hRule="atLeast"/>
        </w:trPr>
        <w:tc>
          <w:tcPr>
            <w:tcW w:w="1022" w:type="dxa"/>
            <w:tcBorders>
              <w:top w:val="single" w:sz="4" w:space="0" w:color="000000"/>
              <w:bottom w:val="single" w:sz="4" w:space="0" w:color="000000"/>
              <w:right w:val="single" w:sz="4" w:space="0" w:color="000000"/>
            </w:tcBorders>
          </w:tcPr>
          <w:p>
            <w:pPr>
              <w:pStyle w:val="TableParagraph"/>
              <w:spacing w:line="242" w:lineRule="auto" w:before="117"/>
              <w:ind w:left="105" w:right="59"/>
              <w:rPr>
                <w:rFonts w:ascii="宋体" w:eastAsia="宋体" w:hint="eastAsia"/>
                <w:sz w:val="18"/>
              </w:rPr>
            </w:pPr>
            <w:r>
              <w:rPr>
                <w:rFonts w:ascii="宋体" w:eastAsia="宋体" w:hint="eastAsia"/>
                <w:sz w:val="18"/>
              </w:rPr>
              <w:t>海尔印度项目</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10"/>
              <w:rPr>
                <w:rFonts w:ascii="宋体"/>
                <w:sz w:val="19"/>
              </w:rPr>
            </w:pPr>
          </w:p>
          <w:p>
            <w:pPr>
              <w:pStyle w:val="TableParagraph"/>
              <w:ind w:right="85"/>
              <w:jc w:val="right"/>
              <w:rPr>
                <w:sz w:val="16"/>
              </w:rPr>
            </w:pPr>
            <w:r>
              <w:rPr>
                <w:sz w:val="16"/>
              </w:rPr>
              <w:t>32,308,143.64</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before="10"/>
              <w:rPr>
                <w:rFonts w:ascii="宋体"/>
                <w:sz w:val="19"/>
              </w:rPr>
            </w:pPr>
          </w:p>
          <w:p>
            <w:pPr>
              <w:pStyle w:val="TableParagraph"/>
              <w:ind w:right="84"/>
              <w:jc w:val="right"/>
              <w:rPr>
                <w:sz w:val="16"/>
              </w:rPr>
            </w:pPr>
            <w:r>
              <w:rPr>
                <w:sz w:val="16"/>
              </w:rPr>
              <w:t>394,196,319.21</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before="10"/>
              <w:rPr>
                <w:rFonts w:ascii="宋体"/>
                <w:sz w:val="19"/>
              </w:rPr>
            </w:pPr>
          </w:p>
          <w:p>
            <w:pPr>
              <w:pStyle w:val="TableParagraph"/>
              <w:ind w:right="86"/>
              <w:jc w:val="right"/>
              <w:rPr>
                <w:sz w:val="16"/>
              </w:rPr>
            </w:pPr>
            <w:r>
              <w:rPr>
                <w:sz w:val="16"/>
              </w:rPr>
              <w:t>10,144,575.01</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before="10"/>
              <w:rPr>
                <w:rFonts w:ascii="宋体"/>
                <w:sz w:val="19"/>
              </w:rPr>
            </w:pPr>
          </w:p>
          <w:p>
            <w:pPr>
              <w:pStyle w:val="TableParagraph"/>
              <w:ind w:right="82"/>
              <w:jc w:val="right"/>
              <w:rPr>
                <w:sz w:val="16"/>
              </w:rPr>
            </w:pPr>
            <w:r>
              <w:rPr>
                <w:sz w:val="16"/>
              </w:rPr>
              <w:t>-15,404,602.25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10"/>
              <w:rPr>
                <w:rFonts w:ascii="宋体"/>
                <w:sz w:val="19"/>
              </w:rPr>
            </w:pPr>
          </w:p>
          <w:p>
            <w:pPr>
              <w:pStyle w:val="TableParagraph"/>
              <w:ind w:right="80"/>
              <w:jc w:val="right"/>
              <w:rPr>
                <w:sz w:val="16"/>
              </w:rPr>
            </w:pPr>
            <w:r>
              <w:rPr>
                <w:sz w:val="16"/>
              </w:rPr>
              <w:t>400,955,285.59</w:t>
            </w:r>
          </w:p>
        </w:tc>
        <w:tc>
          <w:tcPr>
            <w:tcW w:w="719" w:type="dxa"/>
            <w:tcBorders>
              <w:top w:val="single" w:sz="4" w:space="0" w:color="000000"/>
              <w:left w:val="single" w:sz="4" w:space="0" w:color="000000"/>
              <w:bottom w:val="single" w:sz="4" w:space="0" w:color="000000"/>
            </w:tcBorders>
          </w:tcPr>
          <w:p>
            <w:pPr>
              <w:pStyle w:val="TableParagraph"/>
              <w:spacing w:line="242" w:lineRule="auto"/>
              <w:ind w:left="195" w:right="117" w:hanging="27"/>
              <w:rPr>
                <w:rFonts w:ascii="宋体" w:eastAsia="宋体" w:hint="eastAsia"/>
                <w:sz w:val="18"/>
              </w:rPr>
            </w:pPr>
            <w:r>
              <w:rPr>
                <w:rFonts w:ascii="宋体" w:eastAsia="宋体" w:hint="eastAsia"/>
                <w:sz w:val="18"/>
              </w:rPr>
              <w:t>自筹</w:t>
            </w:r>
            <w:r>
              <w:rPr>
                <w:spacing w:val="-16"/>
                <w:sz w:val="18"/>
              </w:rPr>
              <w:t>/ </w:t>
            </w:r>
            <w:r>
              <w:rPr>
                <w:rFonts w:ascii="宋体" w:eastAsia="宋体" w:hint="eastAsia"/>
                <w:sz w:val="18"/>
              </w:rPr>
              <w:t>募集</w:t>
            </w:r>
          </w:p>
          <w:p>
            <w:pPr>
              <w:pStyle w:val="TableParagraph"/>
              <w:spacing w:line="213" w:lineRule="exact" w:before="2"/>
              <w:ind w:left="195"/>
              <w:rPr>
                <w:rFonts w:ascii="宋体" w:eastAsia="宋体" w:hint="eastAsia"/>
                <w:sz w:val="18"/>
              </w:rPr>
            </w:pPr>
            <w:r>
              <w:rPr>
                <w:rFonts w:ascii="宋体" w:eastAsia="宋体" w:hint="eastAsia"/>
                <w:sz w:val="18"/>
              </w:rPr>
              <w:t>资金</w:t>
            </w:r>
          </w:p>
        </w:tc>
      </w:tr>
      <w:tr>
        <w:trPr>
          <w:trHeight w:val="467" w:hRule="atLeast"/>
        </w:trPr>
        <w:tc>
          <w:tcPr>
            <w:tcW w:w="1022" w:type="dxa"/>
            <w:tcBorders>
              <w:top w:val="single" w:sz="4" w:space="0" w:color="000000"/>
              <w:bottom w:val="single" w:sz="4" w:space="0" w:color="000000"/>
              <w:right w:val="single" w:sz="4" w:space="0" w:color="000000"/>
            </w:tcBorders>
          </w:tcPr>
          <w:p>
            <w:pPr>
              <w:pStyle w:val="TableParagraph"/>
              <w:spacing w:line="230" w:lineRule="exact"/>
              <w:ind w:left="105"/>
              <w:rPr>
                <w:rFonts w:ascii="宋体" w:eastAsia="宋体" w:hint="eastAsia"/>
                <w:sz w:val="18"/>
              </w:rPr>
            </w:pPr>
            <w:r>
              <w:rPr>
                <w:rFonts w:ascii="宋体" w:eastAsia="宋体" w:hint="eastAsia"/>
                <w:sz w:val="18"/>
              </w:rPr>
              <w:t>智能家电</w:t>
            </w:r>
          </w:p>
          <w:p>
            <w:pPr>
              <w:pStyle w:val="TableParagraph"/>
              <w:spacing w:line="215" w:lineRule="exact" w:before="2"/>
              <w:ind w:left="105"/>
              <w:rPr>
                <w:rFonts w:ascii="宋体" w:eastAsia="宋体" w:hint="eastAsia"/>
                <w:sz w:val="18"/>
              </w:rPr>
            </w:pPr>
            <w:r>
              <w:rPr>
                <w:rFonts w:ascii="宋体" w:eastAsia="宋体" w:hint="eastAsia"/>
                <w:sz w:val="18"/>
              </w:rPr>
              <w:t>科技项目</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136"/>
              <w:ind w:right="85"/>
              <w:jc w:val="right"/>
              <w:rPr>
                <w:sz w:val="16"/>
              </w:rPr>
            </w:pPr>
            <w:r>
              <w:rPr>
                <w:sz w:val="16"/>
              </w:rPr>
              <w:t>17,586,162.11</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before="136"/>
              <w:ind w:right="84"/>
              <w:jc w:val="right"/>
              <w:rPr>
                <w:sz w:val="16"/>
              </w:rPr>
            </w:pPr>
            <w:r>
              <w:rPr>
                <w:sz w:val="16"/>
              </w:rPr>
              <w:t>273,997,935.47</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14"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2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136"/>
              <w:ind w:right="80"/>
              <w:jc w:val="right"/>
              <w:rPr>
                <w:sz w:val="16"/>
              </w:rPr>
            </w:pPr>
            <w:r>
              <w:rPr>
                <w:sz w:val="16"/>
              </w:rPr>
              <w:t>291,584,097.58</w:t>
            </w:r>
          </w:p>
        </w:tc>
        <w:tc>
          <w:tcPr>
            <w:tcW w:w="719" w:type="dxa"/>
            <w:tcBorders>
              <w:top w:val="single" w:sz="4" w:space="0" w:color="000000"/>
              <w:left w:val="single" w:sz="4" w:space="0" w:color="000000"/>
              <w:bottom w:val="single" w:sz="4" w:space="0" w:color="000000"/>
            </w:tcBorders>
          </w:tcPr>
          <w:p>
            <w:pPr>
              <w:pStyle w:val="TableParagraph"/>
              <w:spacing w:before="117"/>
              <w:ind w:left="175" w:right="32"/>
              <w:jc w:val="center"/>
              <w:rPr>
                <w:rFonts w:ascii="宋体" w:eastAsia="宋体" w:hint="eastAsia"/>
                <w:sz w:val="18"/>
              </w:rPr>
            </w:pPr>
            <w:r>
              <w:rPr>
                <w:rFonts w:ascii="宋体" w:eastAsia="宋体" w:hint="eastAsia"/>
                <w:sz w:val="18"/>
              </w:rPr>
              <w:t>自筹</w:t>
            </w:r>
          </w:p>
        </w:tc>
      </w:tr>
      <w:tr>
        <w:trPr>
          <w:trHeight w:val="465" w:hRule="atLeast"/>
        </w:trPr>
        <w:tc>
          <w:tcPr>
            <w:tcW w:w="1022" w:type="dxa"/>
            <w:tcBorders>
              <w:top w:val="single" w:sz="4" w:space="0" w:color="000000"/>
              <w:bottom w:val="single" w:sz="4" w:space="0" w:color="000000"/>
              <w:right w:val="single" w:sz="4" w:space="0" w:color="000000"/>
            </w:tcBorders>
          </w:tcPr>
          <w:p>
            <w:pPr>
              <w:pStyle w:val="TableParagraph"/>
              <w:spacing w:line="230" w:lineRule="exact"/>
              <w:ind w:left="105"/>
              <w:rPr>
                <w:rFonts w:ascii="宋体" w:eastAsia="宋体" w:hint="eastAsia"/>
                <w:sz w:val="18"/>
              </w:rPr>
            </w:pPr>
            <w:r>
              <w:rPr>
                <w:rFonts w:ascii="宋体" w:eastAsia="宋体" w:hint="eastAsia"/>
                <w:sz w:val="18"/>
              </w:rPr>
              <w:t>郑州新能</w:t>
            </w:r>
          </w:p>
          <w:p>
            <w:pPr>
              <w:pStyle w:val="TableParagraph"/>
              <w:spacing w:line="213" w:lineRule="exact" w:before="2"/>
              <w:ind w:left="105"/>
              <w:rPr>
                <w:rFonts w:ascii="宋体" w:eastAsia="宋体" w:hint="eastAsia"/>
                <w:sz w:val="18"/>
              </w:rPr>
            </w:pPr>
            <w:r>
              <w:rPr>
                <w:rFonts w:ascii="宋体" w:eastAsia="宋体" w:hint="eastAsia"/>
                <w:sz w:val="18"/>
              </w:rPr>
              <w:t>源项目</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136"/>
              <w:ind w:right="85"/>
              <w:jc w:val="right"/>
              <w:rPr>
                <w:sz w:val="16"/>
              </w:rPr>
            </w:pPr>
            <w:r>
              <w:rPr>
                <w:sz w:val="16"/>
              </w:rPr>
              <w:t>339,598,483.94</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before="136"/>
              <w:ind w:right="84"/>
              <w:jc w:val="right"/>
              <w:rPr>
                <w:sz w:val="16"/>
              </w:rPr>
            </w:pPr>
            <w:r>
              <w:rPr>
                <w:sz w:val="16"/>
              </w:rPr>
              <w:t>66,819,421.55</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before="136"/>
              <w:ind w:right="86"/>
              <w:jc w:val="right"/>
              <w:rPr>
                <w:sz w:val="16"/>
              </w:rPr>
            </w:pPr>
            <w:r>
              <w:rPr>
                <w:sz w:val="16"/>
              </w:rPr>
              <w:t>271,533,313.00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2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136"/>
              <w:ind w:right="80"/>
              <w:jc w:val="right"/>
              <w:rPr>
                <w:sz w:val="16"/>
              </w:rPr>
            </w:pPr>
            <w:r>
              <w:rPr>
                <w:sz w:val="16"/>
              </w:rPr>
              <w:t>134,884,592.49</w:t>
            </w:r>
          </w:p>
        </w:tc>
        <w:tc>
          <w:tcPr>
            <w:tcW w:w="719" w:type="dxa"/>
            <w:tcBorders>
              <w:top w:val="single" w:sz="4" w:space="0" w:color="000000"/>
              <w:left w:val="single" w:sz="4" w:space="0" w:color="000000"/>
              <w:bottom w:val="single" w:sz="4" w:space="0" w:color="000000"/>
            </w:tcBorders>
          </w:tcPr>
          <w:p>
            <w:pPr>
              <w:pStyle w:val="TableParagraph"/>
              <w:spacing w:before="115"/>
              <w:ind w:left="175" w:right="32"/>
              <w:jc w:val="center"/>
              <w:rPr>
                <w:rFonts w:ascii="宋体" w:eastAsia="宋体" w:hint="eastAsia"/>
                <w:sz w:val="18"/>
              </w:rPr>
            </w:pPr>
            <w:r>
              <w:rPr>
                <w:rFonts w:ascii="宋体" w:eastAsia="宋体" w:hint="eastAsia"/>
                <w:sz w:val="18"/>
              </w:rPr>
              <w:t>自筹</w:t>
            </w:r>
          </w:p>
        </w:tc>
      </w:tr>
      <w:tr>
        <w:trPr>
          <w:trHeight w:val="700" w:hRule="atLeast"/>
        </w:trPr>
        <w:tc>
          <w:tcPr>
            <w:tcW w:w="1022" w:type="dxa"/>
            <w:tcBorders>
              <w:top w:val="single" w:sz="4" w:space="0" w:color="000000"/>
              <w:bottom w:val="single" w:sz="4" w:space="0" w:color="000000"/>
              <w:right w:val="single" w:sz="4" w:space="0" w:color="000000"/>
            </w:tcBorders>
          </w:tcPr>
          <w:p>
            <w:pPr>
              <w:pStyle w:val="TableParagraph"/>
              <w:ind w:left="105"/>
              <w:rPr>
                <w:rFonts w:ascii="宋体" w:eastAsia="宋体" w:hint="eastAsia"/>
                <w:sz w:val="18"/>
              </w:rPr>
            </w:pPr>
            <w:r>
              <w:rPr>
                <w:rFonts w:ascii="宋体" w:eastAsia="宋体" w:hint="eastAsia"/>
                <w:sz w:val="18"/>
              </w:rPr>
              <w:t>青岛海尔</w:t>
            </w:r>
          </w:p>
          <w:p>
            <w:pPr>
              <w:pStyle w:val="TableParagraph"/>
              <w:spacing w:line="230" w:lineRule="atLeast" w:before="4"/>
              <w:ind w:left="105" w:right="59"/>
              <w:rPr>
                <w:rFonts w:ascii="宋体" w:eastAsia="宋体" w:hint="eastAsia"/>
                <w:sz w:val="18"/>
              </w:rPr>
            </w:pPr>
            <w:r>
              <w:rPr>
                <w:rFonts w:ascii="宋体" w:eastAsia="宋体" w:hint="eastAsia"/>
                <w:sz w:val="18"/>
              </w:rPr>
              <w:t>洗衣机项目</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10"/>
              <w:rPr>
                <w:rFonts w:ascii="宋体"/>
                <w:sz w:val="19"/>
              </w:rPr>
            </w:pPr>
          </w:p>
          <w:p>
            <w:pPr>
              <w:pStyle w:val="TableParagraph"/>
              <w:ind w:right="85"/>
              <w:jc w:val="right"/>
              <w:rPr>
                <w:sz w:val="16"/>
              </w:rPr>
            </w:pPr>
            <w:r>
              <w:rPr>
                <w:sz w:val="16"/>
              </w:rPr>
              <w:t>16,164,078.47</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before="10"/>
              <w:rPr>
                <w:rFonts w:ascii="宋体"/>
                <w:sz w:val="19"/>
              </w:rPr>
            </w:pPr>
          </w:p>
          <w:p>
            <w:pPr>
              <w:pStyle w:val="TableParagraph"/>
              <w:ind w:right="84"/>
              <w:jc w:val="right"/>
              <w:rPr>
                <w:sz w:val="16"/>
              </w:rPr>
            </w:pPr>
            <w:r>
              <w:rPr>
                <w:sz w:val="16"/>
              </w:rPr>
              <w:t>98,038,515.34</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before="10"/>
              <w:rPr>
                <w:rFonts w:ascii="宋体"/>
                <w:sz w:val="19"/>
              </w:rPr>
            </w:pPr>
          </w:p>
          <w:p>
            <w:pPr>
              <w:pStyle w:val="TableParagraph"/>
              <w:ind w:right="86"/>
              <w:jc w:val="right"/>
              <w:rPr>
                <w:sz w:val="16"/>
              </w:rPr>
            </w:pPr>
            <w:r>
              <w:rPr>
                <w:sz w:val="16"/>
              </w:rPr>
              <w:t>7,130,124.72</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2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10"/>
              <w:rPr>
                <w:rFonts w:ascii="宋体"/>
                <w:sz w:val="19"/>
              </w:rPr>
            </w:pPr>
          </w:p>
          <w:p>
            <w:pPr>
              <w:pStyle w:val="TableParagraph"/>
              <w:ind w:right="80"/>
              <w:jc w:val="right"/>
              <w:rPr>
                <w:sz w:val="16"/>
              </w:rPr>
            </w:pPr>
            <w:r>
              <w:rPr>
                <w:sz w:val="16"/>
              </w:rPr>
              <w:t>107,072,469.09</w:t>
            </w:r>
          </w:p>
        </w:tc>
        <w:tc>
          <w:tcPr>
            <w:tcW w:w="719" w:type="dxa"/>
            <w:tcBorders>
              <w:top w:val="single" w:sz="4" w:space="0" w:color="000000"/>
              <w:left w:val="single" w:sz="4" w:space="0" w:color="000000"/>
              <w:bottom w:val="single" w:sz="4" w:space="0" w:color="000000"/>
            </w:tcBorders>
          </w:tcPr>
          <w:p>
            <w:pPr>
              <w:pStyle w:val="TableParagraph"/>
              <w:spacing w:before="4"/>
              <w:rPr>
                <w:rFonts w:ascii="宋体"/>
                <w:sz w:val="18"/>
              </w:rPr>
            </w:pPr>
          </w:p>
          <w:p>
            <w:pPr>
              <w:pStyle w:val="TableParagraph"/>
              <w:ind w:left="175" w:right="32"/>
              <w:jc w:val="center"/>
              <w:rPr>
                <w:rFonts w:ascii="宋体" w:eastAsia="宋体" w:hint="eastAsia"/>
                <w:sz w:val="18"/>
              </w:rPr>
            </w:pPr>
            <w:r>
              <w:rPr>
                <w:rFonts w:ascii="宋体" w:eastAsia="宋体" w:hint="eastAsia"/>
                <w:sz w:val="18"/>
              </w:rPr>
              <w:t>自筹</w:t>
            </w:r>
          </w:p>
        </w:tc>
      </w:tr>
      <w:tr>
        <w:trPr>
          <w:trHeight w:val="467" w:hRule="atLeast"/>
        </w:trPr>
        <w:tc>
          <w:tcPr>
            <w:tcW w:w="1022" w:type="dxa"/>
            <w:tcBorders>
              <w:top w:val="single" w:sz="4" w:space="0" w:color="000000"/>
              <w:bottom w:val="single" w:sz="4" w:space="0" w:color="000000"/>
              <w:right w:val="single" w:sz="4" w:space="0" w:color="000000"/>
            </w:tcBorders>
          </w:tcPr>
          <w:p>
            <w:pPr>
              <w:pStyle w:val="TableParagraph"/>
              <w:spacing w:line="230" w:lineRule="exact"/>
              <w:ind w:left="105"/>
              <w:rPr>
                <w:rFonts w:ascii="宋体" w:eastAsia="宋体" w:hint="eastAsia"/>
                <w:sz w:val="18"/>
              </w:rPr>
            </w:pPr>
            <w:r>
              <w:rPr>
                <w:rFonts w:ascii="宋体" w:eastAsia="宋体" w:hint="eastAsia"/>
                <w:sz w:val="18"/>
              </w:rPr>
              <w:t>日日顺健</w:t>
            </w:r>
          </w:p>
          <w:p>
            <w:pPr>
              <w:pStyle w:val="TableParagraph"/>
              <w:spacing w:line="213" w:lineRule="exact" w:before="4"/>
              <w:ind w:left="105"/>
              <w:rPr>
                <w:rFonts w:ascii="宋体" w:eastAsia="宋体" w:hint="eastAsia"/>
                <w:sz w:val="18"/>
              </w:rPr>
            </w:pPr>
            <w:r>
              <w:rPr>
                <w:rFonts w:ascii="宋体" w:eastAsia="宋体" w:hint="eastAsia"/>
                <w:sz w:val="18"/>
              </w:rPr>
              <w:t>康项目</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136"/>
              <w:ind w:right="85"/>
              <w:jc w:val="right"/>
              <w:rPr>
                <w:sz w:val="16"/>
              </w:rPr>
            </w:pPr>
            <w:r>
              <w:rPr>
                <w:sz w:val="16"/>
              </w:rPr>
              <w:t>6,389,644.74</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before="136"/>
              <w:ind w:right="84"/>
              <w:jc w:val="right"/>
              <w:rPr>
                <w:sz w:val="16"/>
              </w:rPr>
            </w:pPr>
            <w:r>
              <w:rPr>
                <w:sz w:val="16"/>
              </w:rPr>
              <w:t>123,799,093.84</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before="136"/>
              <w:ind w:right="86"/>
              <w:jc w:val="right"/>
              <w:rPr>
                <w:sz w:val="16"/>
              </w:rPr>
            </w:pPr>
            <w:r>
              <w:rPr>
                <w:sz w:val="16"/>
              </w:rPr>
              <w:t>24,336,948.18</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2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136"/>
              <w:ind w:right="80"/>
              <w:jc w:val="right"/>
              <w:rPr>
                <w:sz w:val="16"/>
              </w:rPr>
            </w:pPr>
            <w:r>
              <w:rPr>
                <w:sz w:val="16"/>
              </w:rPr>
              <w:t>105,851,790.40</w:t>
            </w:r>
          </w:p>
        </w:tc>
        <w:tc>
          <w:tcPr>
            <w:tcW w:w="719" w:type="dxa"/>
            <w:tcBorders>
              <w:top w:val="single" w:sz="4" w:space="0" w:color="000000"/>
              <w:left w:val="single" w:sz="4" w:space="0" w:color="000000"/>
              <w:bottom w:val="single" w:sz="4" w:space="0" w:color="000000"/>
            </w:tcBorders>
          </w:tcPr>
          <w:p>
            <w:pPr>
              <w:pStyle w:val="TableParagraph"/>
              <w:spacing w:before="117"/>
              <w:ind w:left="175" w:right="32"/>
              <w:jc w:val="center"/>
              <w:rPr>
                <w:rFonts w:ascii="宋体" w:eastAsia="宋体" w:hint="eastAsia"/>
                <w:sz w:val="18"/>
              </w:rPr>
            </w:pPr>
            <w:r>
              <w:rPr>
                <w:rFonts w:ascii="宋体" w:eastAsia="宋体" w:hint="eastAsia"/>
                <w:sz w:val="18"/>
              </w:rPr>
              <w:t>自筹</w:t>
            </w:r>
          </w:p>
        </w:tc>
      </w:tr>
      <w:tr>
        <w:trPr>
          <w:trHeight w:val="467" w:hRule="atLeast"/>
        </w:trPr>
        <w:tc>
          <w:tcPr>
            <w:tcW w:w="1022" w:type="dxa"/>
            <w:tcBorders>
              <w:top w:val="single" w:sz="4" w:space="0" w:color="000000"/>
              <w:bottom w:val="single" w:sz="4" w:space="0" w:color="000000"/>
              <w:right w:val="single" w:sz="4" w:space="0" w:color="000000"/>
            </w:tcBorders>
          </w:tcPr>
          <w:p>
            <w:pPr>
              <w:pStyle w:val="TableParagraph"/>
              <w:spacing w:line="230" w:lineRule="exact"/>
              <w:ind w:left="105"/>
              <w:rPr>
                <w:rFonts w:ascii="宋体" w:eastAsia="宋体" w:hint="eastAsia"/>
                <w:sz w:val="18"/>
              </w:rPr>
            </w:pPr>
            <w:r>
              <w:rPr>
                <w:rFonts w:ascii="宋体" w:eastAsia="宋体" w:hint="eastAsia"/>
                <w:sz w:val="18"/>
              </w:rPr>
              <w:t>新 西 兰</w:t>
            </w:r>
          </w:p>
          <w:p>
            <w:pPr>
              <w:pStyle w:val="TableParagraph"/>
              <w:spacing w:line="215" w:lineRule="exact" w:before="2"/>
              <w:ind w:left="105"/>
              <w:rPr>
                <w:rFonts w:ascii="宋体" w:eastAsia="宋体" w:hint="eastAsia"/>
                <w:sz w:val="18"/>
              </w:rPr>
            </w:pPr>
            <w:r>
              <w:rPr>
                <w:sz w:val="18"/>
              </w:rPr>
              <w:t>FPA </w:t>
            </w:r>
            <w:r>
              <w:rPr>
                <w:rFonts w:ascii="宋体" w:eastAsia="宋体" w:hint="eastAsia"/>
                <w:sz w:val="18"/>
              </w:rPr>
              <w:t>项目</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136"/>
              <w:ind w:right="85"/>
              <w:jc w:val="right"/>
              <w:rPr>
                <w:sz w:val="16"/>
              </w:rPr>
            </w:pPr>
            <w:r>
              <w:rPr>
                <w:sz w:val="16"/>
              </w:rPr>
              <w:t>83,150,746.03</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before="136"/>
              <w:ind w:right="84"/>
              <w:jc w:val="right"/>
              <w:rPr>
                <w:sz w:val="16"/>
              </w:rPr>
            </w:pPr>
            <w:r>
              <w:rPr>
                <w:sz w:val="16"/>
              </w:rPr>
              <w:t>111,530,697.50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before="136"/>
              <w:ind w:right="86"/>
              <w:jc w:val="right"/>
              <w:rPr>
                <w:sz w:val="16"/>
              </w:rPr>
            </w:pPr>
            <w:r>
              <w:rPr>
                <w:sz w:val="16"/>
              </w:rPr>
              <w:t>96,888,856.92</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before="136"/>
              <w:ind w:right="82"/>
              <w:jc w:val="right"/>
              <w:rPr>
                <w:sz w:val="16"/>
              </w:rPr>
            </w:pPr>
            <w:r>
              <w:rPr>
                <w:sz w:val="16"/>
              </w:rPr>
              <w:t>-1,742,193.88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136"/>
              <w:ind w:right="79"/>
              <w:jc w:val="right"/>
              <w:rPr>
                <w:sz w:val="16"/>
              </w:rPr>
            </w:pPr>
            <w:r>
              <w:rPr>
                <w:sz w:val="16"/>
              </w:rPr>
              <w:t>96,050,392.73</w:t>
            </w:r>
          </w:p>
        </w:tc>
        <w:tc>
          <w:tcPr>
            <w:tcW w:w="719" w:type="dxa"/>
            <w:tcBorders>
              <w:top w:val="single" w:sz="4" w:space="0" w:color="000000"/>
              <w:left w:val="single" w:sz="4" w:space="0" w:color="000000"/>
              <w:bottom w:val="single" w:sz="4" w:space="0" w:color="000000"/>
            </w:tcBorders>
          </w:tcPr>
          <w:p>
            <w:pPr>
              <w:pStyle w:val="TableParagraph"/>
              <w:spacing w:before="117"/>
              <w:ind w:left="130" w:right="78"/>
              <w:jc w:val="center"/>
              <w:rPr>
                <w:rFonts w:ascii="宋体" w:eastAsia="宋体" w:hint="eastAsia"/>
                <w:sz w:val="18"/>
              </w:rPr>
            </w:pPr>
            <w:r>
              <w:rPr>
                <w:rFonts w:ascii="宋体" w:eastAsia="宋体" w:hint="eastAsia"/>
                <w:sz w:val="18"/>
              </w:rPr>
              <w:t>自筹</w:t>
            </w:r>
          </w:p>
        </w:tc>
      </w:tr>
      <w:tr>
        <w:trPr>
          <w:trHeight w:val="465" w:hRule="atLeast"/>
        </w:trPr>
        <w:tc>
          <w:tcPr>
            <w:tcW w:w="1022" w:type="dxa"/>
            <w:tcBorders>
              <w:top w:val="single" w:sz="4" w:space="0" w:color="000000"/>
              <w:bottom w:val="single" w:sz="4" w:space="0" w:color="000000"/>
              <w:right w:val="single" w:sz="4" w:space="0" w:color="000000"/>
            </w:tcBorders>
          </w:tcPr>
          <w:p>
            <w:pPr>
              <w:pStyle w:val="TableParagraph"/>
              <w:spacing w:line="230" w:lineRule="exact"/>
              <w:ind w:left="105"/>
              <w:rPr>
                <w:rFonts w:ascii="宋体" w:eastAsia="宋体" w:hint="eastAsia"/>
                <w:sz w:val="18"/>
              </w:rPr>
            </w:pPr>
            <w:r>
              <w:rPr>
                <w:rFonts w:ascii="宋体" w:eastAsia="宋体" w:hint="eastAsia"/>
                <w:sz w:val="18"/>
              </w:rPr>
              <w:t>佛山电冰</w:t>
            </w:r>
          </w:p>
          <w:p>
            <w:pPr>
              <w:pStyle w:val="TableParagraph"/>
              <w:spacing w:line="213" w:lineRule="exact" w:before="2"/>
              <w:ind w:left="105"/>
              <w:rPr>
                <w:rFonts w:ascii="宋体" w:eastAsia="宋体" w:hint="eastAsia"/>
                <w:sz w:val="18"/>
              </w:rPr>
            </w:pPr>
            <w:r>
              <w:rPr>
                <w:rFonts w:ascii="宋体" w:eastAsia="宋体" w:hint="eastAsia"/>
                <w:sz w:val="18"/>
              </w:rPr>
              <w:t>柜项目</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136"/>
              <w:ind w:right="85"/>
              <w:jc w:val="right"/>
              <w:rPr>
                <w:sz w:val="16"/>
              </w:rPr>
            </w:pPr>
            <w:r>
              <w:rPr>
                <w:sz w:val="16"/>
              </w:rPr>
              <w:t>18,922,781.80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before="136"/>
              <w:ind w:right="84"/>
              <w:jc w:val="right"/>
              <w:rPr>
                <w:sz w:val="16"/>
              </w:rPr>
            </w:pPr>
            <w:r>
              <w:rPr>
                <w:sz w:val="16"/>
              </w:rPr>
              <w:t>88,230,528.35</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before="136"/>
              <w:ind w:right="86"/>
              <w:jc w:val="right"/>
              <w:rPr>
                <w:sz w:val="16"/>
              </w:rPr>
            </w:pPr>
            <w:r>
              <w:rPr>
                <w:sz w:val="16"/>
              </w:rPr>
              <w:t>17,715,853.21</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2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136"/>
              <w:ind w:right="79"/>
              <w:jc w:val="right"/>
              <w:rPr>
                <w:sz w:val="16"/>
              </w:rPr>
            </w:pPr>
            <w:r>
              <w:rPr>
                <w:sz w:val="16"/>
              </w:rPr>
              <w:t>89,437,456.94</w:t>
            </w:r>
          </w:p>
        </w:tc>
        <w:tc>
          <w:tcPr>
            <w:tcW w:w="719" w:type="dxa"/>
            <w:tcBorders>
              <w:top w:val="single" w:sz="4" w:space="0" w:color="000000"/>
              <w:left w:val="single" w:sz="4" w:space="0" w:color="000000"/>
              <w:bottom w:val="single" w:sz="4" w:space="0" w:color="000000"/>
            </w:tcBorders>
          </w:tcPr>
          <w:p>
            <w:pPr>
              <w:pStyle w:val="TableParagraph"/>
              <w:spacing w:before="115"/>
              <w:ind w:left="175" w:right="32"/>
              <w:jc w:val="center"/>
              <w:rPr>
                <w:rFonts w:ascii="宋体" w:eastAsia="宋体" w:hint="eastAsia"/>
                <w:sz w:val="18"/>
              </w:rPr>
            </w:pPr>
            <w:r>
              <w:rPr>
                <w:rFonts w:ascii="宋体" w:eastAsia="宋体" w:hint="eastAsia"/>
                <w:sz w:val="18"/>
              </w:rPr>
              <w:t>自筹</w:t>
            </w:r>
          </w:p>
        </w:tc>
      </w:tr>
      <w:tr>
        <w:trPr>
          <w:trHeight w:val="468" w:hRule="atLeast"/>
        </w:trPr>
        <w:tc>
          <w:tcPr>
            <w:tcW w:w="1022" w:type="dxa"/>
            <w:tcBorders>
              <w:top w:val="single" w:sz="4" w:space="0" w:color="000000"/>
              <w:bottom w:val="single" w:sz="4" w:space="0" w:color="000000"/>
              <w:right w:val="single" w:sz="4" w:space="0" w:color="000000"/>
            </w:tcBorders>
          </w:tcPr>
          <w:p>
            <w:pPr>
              <w:pStyle w:val="TableParagraph"/>
              <w:spacing w:before="2"/>
              <w:ind w:left="105"/>
              <w:rPr>
                <w:rFonts w:ascii="宋体" w:eastAsia="宋体" w:hint="eastAsia"/>
                <w:sz w:val="18"/>
              </w:rPr>
            </w:pPr>
            <w:r>
              <w:rPr>
                <w:rFonts w:ascii="宋体" w:eastAsia="宋体" w:hint="eastAsia"/>
                <w:sz w:val="18"/>
              </w:rPr>
              <w:t>合肥电冰</w:t>
            </w:r>
          </w:p>
          <w:p>
            <w:pPr>
              <w:pStyle w:val="TableParagraph"/>
              <w:spacing w:line="213" w:lineRule="exact" w:before="3"/>
              <w:ind w:left="105"/>
              <w:rPr>
                <w:rFonts w:ascii="宋体" w:eastAsia="宋体" w:hint="eastAsia"/>
                <w:sz w:val="18"/>
              </w:rPr>
            </w:pPr>
            <w:r>
              <w:rPr>
                <w:rFonts w:ascii="宋体" w:eastAsia="宋体" w:hint="eastAsia"/>
                <w:sz w:val="18"/>
              </w:rPr>
              <w:t>箱项目</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136"/>
              <w:ind w:right="85"/>
              <w:jc w:val="right"/>
              <w:rPr>
                <w:sz w:val="16"/>
              </w:rPr>
            </w:pPr>
            <w:r>
              <w:rPr>
                <w:sz w:val="16"/>
              </w:rPr>
              <w:t>32,162,988.77</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before="136"/>
              <w:ind w:right="84"/>
              <w:jc w:val="right"/>
              <w:rPr>
                <w:sz w:val="16"/>
              </w:rPr>
            </w:pPr>
            <w:r>
              <w:rPr>
                <w:sz w:val="16"/>
              </w:rPr>
              <w:t>103,871,805.08</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before="136"/>
              <w:ind w:right="86"/>
              <w:jc w:val="right"/>
              <w:rPr>
                <w:sz w:val="16"/>
              </w:rPr>
            </w:pPr>
            <w:r>
              <w:rPr>
                <w:sz w:val="16"/>
              </w:rPr>
              <w:t>48,468,573.41</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2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136"/>
              <w:ind w:right="79"/>
              <w:jc w:val="right"/>
              <w:rPr>
                <w:sz w:val="16"/>
              </w:rPr>
            </w:pPr>
            <w:r>
              <w:rPr>
                <w:sz w:val="16"/>
              </w:rPr>
              <w:t>87,566,220.44</w:t>
            </w:r>
          </w:p>
        </w:tc>
        <w:tc>
          <w:tcPr>
            <w:tcW w:w="719" w:type="dxa"/>
            <w:tcBorders>
              <w:top w:val="single" w:sz="4" w:space="0" w:color="000000"/>
              <w:left w:val="single" w:sz="4" w:space="0" w:color="000000"/>
              <w:bottom w:val="single" w:sz="4" w:space="0" w:color="000000"/>
            </w:tcBorders>
          </w:tcPr>
          <w:p>
            <w:pPr>
              <w:pStyle w:val="TableParagraph"/>
              <w:spacing w:before="117"/>
              <w:ind w:left="175" w:right="32"/>
              <w:jc w:val="center"/>
              <w:rPr>
                <w:rFonts w:ascii="宋体" w:eastAsia="宋体" w:hint="eastAsia"/>
                <w:sz w:val="18"/>
              </w:rPr>
            </w:pPr>
            <w:r>
              <w:rPr>
                <w:rFonts w:ascii="宋体" w:eastAsia="宋体" w:hint="eastAsia"/>
                <w:sz w:val="18"/>
              </w:rPr>
              <w:t>自筹</w:t>
            </w:r>
          </w:p>
        </w:tc>
      </w:tr>
      <w:tr>
        <w:trPr>
          <w:trHeight w:val="467" w:hRule="atLeast"/>
        </w:trPr>
        <w:tc>
          <w:tcPr>
            <w:tcW w:w="1022" w:type="dxa"/>
            <w:tcBorders>
              <w:top w:val="single" w:sz="4" w:space="0" w:color="000000"/>
              <w:bottom w:val="single" w:sz="4" w:space="0" w:color="000000"/>
              <w:right w:val="single" w:sz="4" w:space="0" w:color="000000"/>
            </w:tcBorders>
          </w:tcPr>
          <w:p>
            <w:pPr>
              <w:pStyle w:val="TableParagraph"/>
              <w:spacing w:line="230" w:lineRule="exact"/>
              <w:ind w:left="105"/>
              <w:rPr>
                <w:rFonts w:ascii="宋体" w:eastAsia="宋体" w:hint="eastAsia"/>
                <w:sz w:val="18"/>
              </w:rPr>
            </w:pPr>
            <w:r>
              <w:rPr>
                <w:rFonts w:ascii="宋体" w:eastAsia="宋体" w:hint="eastAsia"/>
                <w:sz w:val="18"/>
              </w:rPr>
              <w:t>海尔俄罗</w:t>
            </w:r>
          </w:p>
          <w:p>
            <w:pPr>
              <w:pStyle w:val="TableParagraph"/>
              <w:spacing w:line="215" w:lineRule="exact" w:before="2"/>
              <w:ind w:left="105"/>
              <w:rPr>
                <w:rFonts w:ascii="宋体" w:eastAsia="宋体" w:hint="eastAsia"/>
                <w:sz w:val="18"/>
              </w:rPr>
            </w:pPr>
            <w:r>
              <w:rPr>
                <w:rFonts w:ascii="宋体" w:eastAsia="宋体" w:hint="eastAsia"/>
                <w:sz w:val="18"/>
              </w:rPr>
              <w:t>斯项目</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136"/>
              <w:ind w:right="85"/>
              <w:jc w:val="right"/>
              <w:rPr>
                <w:sz w:val="16"/>
              </w:rPr>
            </w:pPr>
            <w:r>
              <w:rPr>
                <w:sz w:val="16"/>
              </w:rPr>
              <w:t>14,781,092.08</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before="136"/>
              <w:ind w:right="84"/>
              <w:jc w:val="right"/>
              <w:rPr>
                <w:sz w:val="16"/>
              </w:rPr>
            </w:pPr>
            <w:r>
              <w:rPr>
                <w:sz w:val="16"/>
              </w:rPr>
              <w:t>73,695,489.67</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before="136"/>
              <w:ind w:right="86"/>
              <w:jc w:val="right"/>
              <w:rPr>
                <w:sz w:val="16"/>
              </w:rPr>
            </w:pPr>
            <w:r>
              <w:rPr>
                <w:sz w:val="16"/>
              </w:rPr>
              <w:t>1,811,656.26</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before="136"/>
              <w:ind w:right="82"/>
              <w:jc w:val="right"/>
              <w:rPr>
                <w:sz w:val="16"/>
              </w:rPr>
            </w:pPr>
            <w:r>
              <w:rPr>
                <w:sz w:val="16"/>
              </w:rPr>
              <w:t>-9,698,353.09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136"/>
              <w:ind w:right="79"/>
              <w:jc w:val="right"/>
              <w:rPr>
                <w:sz w:val="16"/>
              </w:rPr>
            </w:pPr>
            <w:r>
              <w:rPr>
                <w:sz w:val="16"/>
              </w:rPr>
              <w:t>76,966,572.40</w:t>
            </w:r>
          </w:p>
        </w:tc>
        <w:tc>
          <w:tcPr>
            <w:tcW w:w="719" w:type="dxa"/>
            <w:tcBorders>
              <w:top w:val="single" w:sz="4" w:space="0" w:color="000000"/>
              <w:left w:val="single" w:sz="4" w:space="0" w:color="000000"/>
              <w:bottom w:val="single" w:sz="4" w:space="0" w:color="000000"/>
            </w:tcBorders>
          </w:tcPr>
          <w:p>
            <w:pPr>
              <w:pStyle w:val="TableParagraph"/>
              <w:spacing w:before="117"/>
              <w:ind w:left="175" w:right="32"/>
              <w:jc w:val="center"/>
              <w:rPr>
                <w:rFonts w:ascii="宋体" w:eastAsia="宋体" w:hint="eastAsia"/>
                <w:sz w:val="18"/>
              </w:rPr>
            </w:pPr>
            <w:r>
              <w:rPr>
                <w:rFonts w:ascii="宋体" w:eastAsia="宋体" w:hint="eastAsia"/>
                <w:sz w:val="18"/>
              </w:rPr>
              <w:t>自筹</w:t>
            </w:r>
          </w:p>
        </w:tc>
      </w:tr>
      <w:tr>
        <w:trPr>
          <w:trHeight w:val="465" w:hRule="atLeast"/>
        </w:trPr>
        <w:tc>
          <w:tcPr>
            <w:tcW w:w="1022" w:type="dxa"/>
            <w:tcBorders>
              <w:top w:val="single" w:sz="4" w:space="0" w:color="000000"/>
              <w:bottom w:val="single" w:sz="4" w:space="0" w:color="000000"/>
              <w:right w:val="single" w:sz="4" w:space="0" w:color="000000"/>
            </w:tcBorders>
          </w:tcPr>
          <w:p>
            <w:pPr>
              <w:pStyle w:val="TableParagraph"/>
              <w:spacing w:line="230" w:lineRule="exact"/>
              <w:ind w:left="105"/>
              <w:rPr>
                <w:rFonts w:ascii="宋体" w:eastAsia="宋体" w:hint="eastAsia"/>
                <w:sz w:val="18"/>
              </w:rPr>
            </w:pPr>
            <w:r>
              <w:rPr>
                <w:rFonts w:ascii="宋体" w:eastAsia="宋体" w:hint="eastAsia"/>
                <w:sz w:val="18"/>
              </w:rPr>
              <w:t>武汉热水</w:t>
            </w:r>
          </w:p>
          <w:p>
            <w:pPr>
              <w:pStyle w:val="TableParagraph"/>
              <w:spacing w:line="213" w:lineRule="exact" w:before="2"/>
              <w:ind w:left="105"/>
              <w:rPr>
                <w:rFonts w:ascii="宋体" w:eastAsia="宋体" w:hint="eastAsia"/>
                <w:sz w:val="18"/>
              </w:rPr>
            </w:pPr>
            <w:r>
              <w:rPr>
                <w:rFonts w:ascii="宋体" w:eastAsia="宋体" w:hint="eastAsia"/>
                <w:sz w:val="18"/>
              </w:rPr>
              <w:t>器项目</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136"/>
              <w:ind w:right="85"/>
              <w:jc w:val="right"/>
              <w:rPr>
                <w:sz w:val="16"/>
              </w:rPr>
            </w:pPr>
            <w:r>
              <w:rPr>
                <w:sz w:val="16"/>
              </w:rPr>
              <w:t>17,376,290.74</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before="136"/>
              <w:ind w:right="84"/>
              <w:jc w:val="right"/>
              <w:rPr>
                <w:sz w:val="16"/>
              </w:rPr>
            </w:pPr>
            <w:r>
              <w:rPr>
                <w:sz w:val="16"/>
              </w:rPr>
              <w:t>68,527,237.00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before="136"/>
              <w:ind w:right="86"/>
              <w:jc w:val="right"/>
              <w:rPr>
                <w:sz w:val="16"/>
              </w:rPr>
            </w:pPr>
            <w:r>
              <w:rPr>
                <w:sz w:val="16"/>
              </w:rPr>
              <w:t>19,225,330.49</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2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136"/>
              <w:ind w:right="79"/>
              <w:jc w:val="right"/>
              <w:rPr>
                <w:sz w:val="16"/>
              </w:rPr>
            </w:pPr>
            <w:r>
              <w:rPr>
                <w:sz w:val="16"/>
              </w:rPr>
              <w:t>66,678,197.25</w:t>
            </w:r>
          </w:p>
        </w:tc>
        <w:tc>
          <w:tcPr>
            <w:tcW w:w="719" w:type="dxa"/>
            <w:tcBorders>
              <w:top w:val="single" w:sz="4" w:space="0" w:color="000000"/>
              <w:left w:val="single" w:sz="4" w:space="0" w:color="000000"/>
              <w:bottom w:val="single" w:sz="4" w:space="0" w:color="000000"/>
            </w:tcBorders>
          </w:tcPr>
          <w:p>
            <w:pPr>
              <w:pStyle w:val="TableParagraph"/>
              <w:spacing w:before="117"/>
              <w:ind w:left="175" w:right="32"/>
              <w:jc w:val="center"/>
              <w:rPr>
                <w:rFonts w:ascii="宋体" w:eastAsia="宋体" w:hint="eastAsia"/>
                <w:sz w:val="18"/>
              </w:rPr>
            </w:pPr>
            <w:r>
              <w:rPr>
                <w:rFonts w:ascii="宋体" w:eastAsia="宋体" w:hint="eastAsia"/>
                <w:sz w:val="18"/>
              </w:rPr>
              <w:t>自筹</w:t>
            </w:r>
          </w:p>
        </w:tc>
      </w:tr>
      <w:tr>
        <w:trPr>
          <w:trHeight w:val="467" w:hRule="atLeast"/>
        </w:trPr>
        <w:tc>
          <w:tcPr>
            <w:tcW w:w="1022" w:type="dxa"/>
            <w:tcBorders>
              <w:top w:val="single" w:sz="4" w:space="0" w:color="000000"/>
              <w:bottom w:val="single" w:sz="4" w:space="0" w:color="000000"/>
              <w:right w:val="single" w:sz="4" w:space="0" w:color="000000"/>
            </w:tcBorders>
          </w:tcPr>
          <w:p>
            <w:pPr>
              <w:pStyle w:val="TableParagraph"/>
              <w:spacing w:line="230" w:lineRule="atLeast" w:before="2"/>
              <w:ind w:left="105" w:right="59"/>
              <w:rPr>
                <w:rFonts w:ascii="宋体" w:eastAsia="宋体" w:hint="eastAsia"/>
                <w:sz w:val="18"/>
              </w:rPr>
            </w:pPr>
            <w:r>
              <w:rPr>
                <w:rFonts w:ascii="宋体" w:eastAsia="宋体" w:hint="eastAsia"/>
                <w:sz w:val="18"/>
              </w:rPr>
              <w:t>海尔泰国项目</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138"/>
              <w:ind w:right="85"/>
              <w:jc w:val="right"/>
              <w:rPr>
                <w:sz w:val="16"/>
              </w:rPr>
            </w:pPr>
            <w:r>
              <w:rPr>
                <w:sz w:val="16"/>
              </w:rPr>
              <w:t>24,777,109.81</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before="138"/>
              <w:ind w:right="84"/>
              <w:jc w:val="right"/>
              <w:rPr>
                <w:sz w:val="16"/>
              </w:rPr>
            </w:pPr>
            <w:r>
              <w:rPr>
                <w:sz w:val="16"/>
              </w:rPr>
              <w:t>53,564,953.60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before="138"/>
              <w:ind w:right="86"/>
              <w:jc w:val="right"/>
              <w:rPr>
                <w:sz w:val="16"/>
              </w:rPr>
            </w:pPr>
            <w:r>
              <w:rPr>
                <w:sz w:val="16"/>
              </w:rPr>
              <w:t>23,889,086.13</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before="138"/>
              <w:ind w:right="82"/>
              <w:jc w:val="right"/>
              <w:rPr>
                <w:sz w:val="16"/>
              </w:rPr>
            </w:pPr>
            <w:r>
              <w:rPr>
                <w:sz w:val="16"/>
              </w:rPr>
              <w:t>3,107,034.50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138"/>
              <w:ind w:right="79"/>
              <w:jc w:val="right"/>
              <w:rPr>
                <w:sz w:val="16"/>
              </w:rPr>
            </w:pPr>
            <w:r>
              <w:rPr>
                <w:sz w:val="16"/>
              </w:rPr>
              <w:t>57,560,011.78</w:t>
            </w:r>
          </w:p>
        </w:tc>
        <w:tc>
          <w:tcPr>
            <w:tcW w:w="719" w:type="dxa"/>
            <w:tcBorders>
              <w:top w:val="single" w:sz="4" w:space="0" w:color="000000"/>
              <w:left w:val="single" w:sz="4" w:space="0" w:color="000000"/>
              <w:bottom w:val="single" w:sz="4" w:space="0" w:color="000000"/>
            </w:tcBorders>
          </w:tcPr>
          <w:p>
            <w:pPr>
              <w:pStyle w:val="TableParagraph"/>
              <w:spacing w:before="117"/>
              <w:ind w:left="175" w:right="32"/>
              <w:jc w:val="center"/>
              <w:rPr>
                <w:rFonts w:ascii="宋体" w:eastAsia="宋体" w:hint="eastAsia"/>
                <w:sz w:val="18"/>
              </w:rPr>
            </w:pPr>
            <w:r>
              <w:rPr>
                <w:rFonts w:ascii="宋体" w:eastAsia="宋体" w:hint="eastAsia"/>
                <w:sz w:val="18"/>
              </w:rPr>
              <w:t>自筹</w:t>
            </w:r>
          </w:p>
        </w:tc>
      </w:tr>
      <w:tr>
        <w:trPr>
          <w:trHeight w:val="467" w:hRule="atLeast"/>
        </w:trPr>
        <w:tc>
          <w:tcPr>
            <w:tcW w:w="1022" w:type="dxa"/>
            <w:tcBorders>
              <w:top w:val="single" w:sz="4" w:space="0" w:color="000000"/>
              <w:bottom w:val="single" w:sz="4" w:space="0" w:color="000000"/>
              <w:right w:val="single" w:sz="4" w:space="0" w:color="000000"/>
            </w:tcBorders>
          </w:tcPr>
          <w:p>
            <w:pPr>
              <w:pStyle w:val="TableParagraph"/>
              <w:ind w:left="105"/>
              <w:rPr>
                <w:rFonts w:ascii="宋体" w:eastAsia="宋体" w:hint="eastAsia"/>
                <w:sz w:val="18"/>
              </w:rPr>
            </w:pPr>
            <w:r>
              <w:rPr>
                <w:rFonts w:ascii="宋体" w:eastAsia="宋体" w:hint="eastAsia"/>
                <w:sz w:val="18"/>
              </w:rPr>
              <w:t>海尔空调</w:t>
            </w:r>
          </w:p>
          <w:p>
            <w:pPr>
              <w:pStyle w:val="TableParagraph"/>
              <w:spacing w:line="213" w:lineRule="exact" w:before="4"/>
              <w:ind w:left="105"/>
              <w:rPr>
                <w:rFonts w:ascii="宋体" w:eastAsia="宋体" w:hint="eastAsia"/>
                <w:sz w:val="18"/>
              </w:rPr>
            </w:pPr>
            <w:r>
              <w:rPr>
                <w:rFonts w:ascii="宋体" w:eastAsia="宋体" w:hint="eastAsia"/>
                <w:sz w:val="18"/>
              </w:rPr>
              <w:t>电子项目</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136"/>
              <w:ind w:right="85"/>
              <w:jc w:val="right"/>
              <w:rPr>
                <w:sz w:val="16"/>
              </w:rPr>
            </w:pPr>
            <w:r>
              <w:rPr>
                <w:sz w:val="16"/>
              </w:rPr>
              <w:t>61,168,160.86</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before="136"/>
              <w:ind w:right="84"/>
              <w:jc w:val="right"/>
              <w:rPr>
                <w:sz w:val="16"/>
              </w:rPr>
            </w:pPr>
            <w:r>
              <w:rPr>
                <w:sz w:val="16"/>
              </w:rPr>
              <w:t>68,696,784.54</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before="136"/>
              <w:ind w:right="86"/>
              <w:jc w:val="right"/>
              <w:rPr>
                <w:sz w:val="16"/>
              </w:rPr>
            </w:pPr>
            <w:r>
              <w:rPr>
                <w:sz w:val="16"/>
              </w:rPr>
              <w:t>73,304,614.88</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29"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136"/>
              <w:ind w:right="79"/>
              <w:jc w:val="right"/>
              <w:rPr>
                <w:sz w:val="16"/>
              </w:rPr>
            </w:pPr>
            <w:r>
              <w:rPr>
                <w:sz w:val="16"/>
              </w:rPr>
              <w:t>56,560,330.52</w:t>
            </w:r>
          </w:p>
        </w:tc>
        <w:tc>
          <w:tcPr>
            <w:tcW w:w="719" w:type="dxa"/>
            <w:tcBorders>
              <w:top w:val="single" w:sz="4" w:space="0" w:color="000000"/>
              <w:left w:val="single" w:sz="4" w:space="0" w:color="000000"/>
              <w:bottom w:val="single" w:sz="4" w:space="0" w:color="000000"/>
            </w:tcBorders>
          </w:tcPr>
          <w:p>
            <w:pPr>
              <w:pStyle w:val="TableParagraph"/>
              <w:spacing w:before="117"/>
              <w:ind w:left="175" w:right="32"/>
              <w:jc w:val="center"/>
              <w:rPr>
                <w:rFonts w:ascii="宋体" w:eastAsia="宋体" w:hint="eastAsia"/>
                <w:sz w:val="18"/>
              </w:rPr>
            </w:pPr>
            <w:r>
              <w:rPr>
                <w:rFonts w:ascii="宋体" w:eastAsia="宋体" w:hint="eastAsia"/>
                <w:sz w:val="18"/>
              </w:rPr>
              <w:t>自筹</w:t>
            </w:r>
          </w:p>
        </w:tc>
      </w:tr>
      <w:tr>
        <w:trPr>
          <w:trHeight w:val="464" w:hRule="atLeast"/>
        </w:trPr>
        <w:tc>
          <w:tcPr>
            <w:tcW w:w="1022" w:type="dxa"/>
            <w:tcBorders>
              <w:top w:val="single" w:sz="4" w:space="0" w:color="000000"/>
              <w:right w:val="single" w:sz="4" w:space="0" w:color="000000"/>
            </w:tcBorders>
          </w:tcPr>
          <w:p>
            <w:pPr>
              <w:pStyle w:val="TableParagraph"/>
              <w:ind w:left="105"/>
              <w:rPr>
                <w:rFonts w:ascii="宋体" w:eastAsia="宋体" w:hint="eastAsia"/>
                <w:sz w:val="18"/>
              </w:rPr>
            </w:pPr>
            <w:r>
              <w:rPr>
                <w:rFonts w:ascii="宋体" w:eastAsia="宋体" w:hint="eastAsia"/>
                <w:sz w:val="18"/>
              </w:rPr>
              <w:t>青岛洗涤</w:t>
            </w:r>
          </w:p>
          <w:p>
            <w:pPr>
              <w:pStyle w:val="TableParagraph"/>
              <w:spacing w:line="212" w:lineRule="exact" w:before="2"/>
              <w:ind w:left="105"/>
              <w:rPr>
                <w:rFonts w:ascii="宋体" w:eastAsia="宋体" w:hint="eastAsia"/>
                <w:sz w:val="18"/>
              </w:rPr>
            </w:pPr>
            <w:r>
              <w:rPr>
                <w:rFonts w:ascii="宋体" w:eastAsia="宋体" w:hint="eastAsia"/>
                <w:sz w:val="18"/>
              </w:rPr>
              <w:t>电器项目</w:t>
            </w:r>
          </w:p>
        </w:tc>
        <w:tc>
          <w:tcPr>
            <w:tcW w:w="1464" w:type="dxa"/>
            <w:tcBorders>
              <w:top w:val="single" w:sz="4" w:space="0" w:color="000000"/>
              <w:left w:val="single" w:sz="4" w:space="0" w:color="000000"/>
              <w:right w:val="single" w:sz="4" w:space="0" w:color="000000"/>
            </w:tcBorders>
          </w:tcPr>
          <w:p>
            <w:pPr>
              <w:pStyle w:val="TableParagraph"/>
              <w:spacing w:before="136"/>
              <w:ind w:right="85"/>
              <w:jc w:val="right"/>
              <w:rPr>
                <w:sz w:val="16"/>
              </w:rPr>
            </w:pPr>
            <w:r>
              <w:rPr>
                <w:sz w:val="16"/>
              </w:rPr>
              <w:t>108,566,194.72</w:t>
            </w:r>
          </w:p>
        </w:tc>
        <w:tc>
          <w:tcPr>
            <w:tcW w:w="1466" w:type="dxa"/>
            <w:tcBorders>
              <w:top w:val="single" w:sz="4" w:space="0" w:color="000000"/>
              <w:left w:val="single" w:sz="4" w:space="0" w:color="000000"/>
              <w:right w:val="single" w:sz="4" w:space="0" w:color="000000"/>
            </w:tcBorders>
          </w:tcPr>
          <w:p>
            <w:pPr>
              <w:pStyle w:val="TableParagraph"/>
              <w:spacing w:before="136"/>
              <w:ind w:right="84"/>
              <w:jc w:val="right"/>
              <w:rPr>
                <w:sz w:val="16"/>
              </w:rPr>
            </w:pPr>
            <w:r>
              <w:rPr>
                <w:sz w:val="16"/>
              </w:rPr>
              <w:t>67,820,921.76</w:t>
            </w:r>
          </w:p>
        </w:tc>
        <w:tc>
          <w:tcPr>
            <w:tcW w:w="1466" w:type="dxa"/>
            <w:tcBorders>
              <w:top w:val="single" w:sz="4" w:space="0" w:color="000000"/>
              <w:left w:val="single" w:sz="4" w:space="0" w:color="000000"/>
              <w:right w:val="single" w:sz="4" w:space="0" w:color="000000"/>
            </w:tcBorders>
          </w:tcPr>
          <w:p>
            <w:pPr>
              <w:pStyle w:val="TableParagraph"/>
              <w:spacing w:before="136"/>
              <w:ind w:right="86"/>
              <w:jc w:val="right"/>
              <w:rPr>
                <w:sz w:val="16"/>
              </w:rPr>
            </w:pPr>
            <w:r>
              <w:rPr>
                <w:sz w:val="16"/>
              </w:rPr>
              <w:t>120,885,305.06</w:t>
            </w:r>
          </w:p>
        </w:tc>
        <w:tc>
          <w:tcPr>
            <w:tcW w:w="1314" w:type="dxa"/>
            <w:tcBorders>
              <w:top w:val="single" w:sz="4" w:space="0" w:color="000000"/>
              <w:left w:val="single" w:sz="4" w:space="0" w:color="000000"/>
              <w:right w:val="single" w:sz="4" w:space="0" w:color="000000"/>
            </w:tcBorders>
          </w:tcPr>
          <w:p>
            <w:pPr>
              <w:pStyle w:val="TableParagraph"/>
              <w:rPr>
                <w:sz w:val="16"/>
              </w:rPr>
            </w:pPr>
          </w:p>
        </w:tc>
        <w:tc>
          <w:tcPr>
            <w:tcW w:w="1329" w:type="dxa"/>
            <w:tcBorders>
              <w:top w:val="single" w:sz="4" w:space="0" w:color="000000"/>
              <w:left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right w:val="single" w:sz="4" w:space="0" w:color="000000"/>
            </w:tcBorders>
          </w:tcPr>
          <w:p>
            <w:pPr>
              <w:pStyle w:val="TableParagraph"/>
              <w:spacing w:before="136"/>
              <w:ind w:right="79"/>
              <w:jc w:val="right"/>
              <w:rPr>
                <w:sz w:val="16"/>
              </w:rPr>
            </w:pPr>
            <w:r>
              <w:rPr>
                <w:sz w:val="16"/>
              </w:rPr>
              <w:t>55,501,811.42</w:t>
            </w:r>
          </w:p>
        </w:tc>
        <w:tc>
          <w:tcPr>
            <w:tcW w:w="719" w:type="dxa"/>
            <w:tcBorders>
              <w:top w:val="single" w:sz="4" w:space="0" w:color="000000"/>
              <w:left w:val="single" w:sz="4" w:space="0" w:color="000000"/>
            </w:tcBorders>
          </w:tcPr>
          <w:p>
            <w:pPr>
              <w:pStyle w:val="TableParagraph"/>
              <w:spacing w:before="117"/>
              <w:ind w:left="130" w:right="78"/>
              <w:jc w:val="center"/>
              <w:rPr>
                <w:rFonts w:ascii="宋体" w:eastAsia="宋体" w:hint="eastAsia"/>
                <w:sz w:val="18"/>
              </w:rPr>
            </w:pPr>
            <w:r>
              <w:rPr>
                <w:rFonts w:ascii="宋体" w:eastAsia="宋体" w:hint="eastAsia"/>
                <w:sz w:val="18"/>
              </w:rPr>
              <w:t>自筹</w:t>
            </w:r>
          </w:p>
        </w:tc>
      </w:tr>
    </w:tbl>
    <w:p>
      <w:pPr>
        <w:spacing w:after="0"/>
        <w:jc w:val="center"/>
        <w:rPr>
          <w:rFonts w:ascii="宋体" w:eastAsia="宋体" w:hint="eastAsia"/>
          <w:sz w:val="18"/>
        </w:rPr>
        <w:sectPr>
          <w:pgSz w:w="11910" w:h="16840"/>
          <w:pgMar w:header="876" w:footer="1214" w:top="1440" w:bottom="1400" w:left="260" w:right="0"/>
        </w:sectPr>
      </w:pPr>
    </w:p>
    <w:p>
      <w:pPr>
        <w:pStyle w:val="BodyText"/>
        <w:spacing w:before="2"/>
        <w:rPr>
          <w:sz w:val="5"/>
        </w:rPr>
      </w:pPr>
    </w:p>
    <w:tbl>
      <w:tblPr>
        <w:tblW w:w="0" w:type="auto"/>
        <w:jc w:val="left"/>
        <w:tblInd w:w="12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22"/>
        <w:gridCol w:w="1464"/>
        <w:gridCol w:w="1466"/>
        <w:gridCol w:w="1466"/>
        <w:gridCol w:w="1314"/>
        <w:gridCol w:w="1329"/>
        <w:gridCol w:w="1460"/>
        <w:gridCol w:w="719"/>
      </w:tblGrid>
      <w:tr>
        <w:trPr>
          <w:trHeight w:val="467" w:hRule="atLeast"/>
        </w:trPr>
        <w:tc>
          <w:tcPr>
            <w:tcW w:w="1022" w:type="dxa"/>
            <w:tcBorders>
              <w:bottom w:val="single" w:sz="4" w:space="0" w:color="000000"/>
              <w:right w:val="single" w:sz="4" w:space="0" w:color="000000"/>
            </w:tcBorders>
          </w:tcPr>
          <w:p>
            <w:pPr>
              <w:pStyle w:val="TableParagraph"/>
              <w:spacing w:before="2"/>
              <w:ind w:left="105"/>
              <w:rPr>
                <w:rFonts w:ascii="宋体" w:eastAsia="宋体" w:hint="eastAsia"/>
                <w:sz w:val="18"/>
              </w:rPr>
            </w:pPr>
            <w:r>
              <w:rPr>
                <w:rFonts w:ascii="宋体" w:eastAsia="宋体" w:hint="eastAsia"/>
                <w:sz w:val="18"/>
              </w:rPr>
              <w:t>胶南洗衣</w:t>
            </w:r>
          </w:p>
          <w:p>
            <w:pPr>
              <w:pStyle w:val="TableParagraph"/>
              <w:spacing w:line="213" w:lineRule="exact" w:before="2"/>
              <w:ind w:left="105"/>
              <w:rPr>
                <w:rFonts w:ascii="宋体" w:eastAsia="宋体" w:hint="eastAsia"/>
                <w:sz w:val="18"/>
              </w:rPr>
            </w:pPr>
            <w:r>
              <w:rPr>
                <w:rFonts w:ascii="宋体" w:eastAsia="宋体" w:hint="eastAsia"/>
                <w:sz w:val="18"/>
              </w:rPr>
              <w:t>机项目</w:t>
            </w:r>
          </w:p>
        </w:tc>
        <w:tc>
          <w:tcPr>
            <w:tcW w:w="1464" w:type="dxa"/>
            <w:tcBorders>
              <w:left w:val="single" w:sz="4" w:space="0" w:color="000000"/>
              <w:bottom w:val="single" w:sz="4" w:space="0" w:color="000000"/>
              <w:right w:val="single" w:sz="4" w:space="0" w:color="000000"/>
            </w:tcBorders>
          </w:tcPr>
          <w:p>
            <w:pPr>
              <w:pStyle w:val="TableParagraph"/>
              <w:spacing w:before="138"/>
              <w:ind w:right="85"/>
              <w:jc w:val="right"/>
              <w:rPr>
                <w:sz w:val="16"/>
              </w:rPr>
            </w:pPr>
            <w:r>
              <w:rPr>
                <w:sz w:val="16"/>
              </w:rPr>
              <w:t>38,432,444.33</w:t>
            </w:r>
          </w:p>
        </w:tc>
        <w:tc>
          <w:tcPr>
            <w:tcW w:w="1466" w:type="dxa"/>
            <w:tcBorders>
              <w:left w:val="single" w:sz="4" w:space="0" w:color="000000"/>
              <w:bottom w:val="single" w:sz="4" w:space="0" w:color="000000"/>
              <w:right w:val="single" w:sz="4" w:space="0" w:color="000000"/>
            </w:tcBorders>
          </w:tcPr>
          <w:p>
            <w:pPr>
              <w:pStyle w:val="TableParagraph"/>
              <w:spacing w:before="138"/>
              <w:ind w:right="84"/>
              <w:jc w:val="right"/>
              <w:rPr>
                <w:sz w:val="16"/>
              </w:rPr>
            </w:pPr>
            <w:r>
              <w:rPr>
                <w:sz w:val="16"/>
              </w:rPr>
              <w:t>77,593,678.11</w:t>
            </w:r>
          </w:p>
        </w:tc>
        <w:tc>
          <w:tcPr>
            <w:tcW w:w="1466" w:type="dxa"/>
            <w:tcBorders>
              <w:left w:val="single" w:sz="4" w:space="0" w:color="000000"/>
              <w:bottom w:val="single" w:sz="4" w:space="0" w:color="000000"/>
              <w:right w:val="single" w:sz="4" w:space="0" w:color="000000"/>
            </w:tcBorders>
          </w:tcPr>
          <w:p>
            <w:pPr>
              <w:pStyle w:val="TableParagraph"/>
              <w:spacing w:before="138"/>
              <w:ind w:right="86"/>
              <w:jc w:val="right"/>
              <w:rPr>
                <w:sz w:val="16"/>
              </w:rPr>
            </w:pPr>
            <w:r>
              <w:rPr>
                <w:sz w:val="16"/>
              </w:rPr>
              <w:t>67,344,432.58</w:t>
            </w:r>
          </w:p>
        </w:tc>
        <w:tc>
          <w:tcPr>
            <w:tcW w:w="1314" w:type="dxa"/>
            <w:tcBorders>
              <w:left w:val="single" w:sz="4" w:space="0" w:color="000000"/>
              <w:bottom w:val="single" w:sz="4" w:space="0" w:color="000000"/>
              <w:right w:val="single" w:sz="4" w:space="0" w:color="000000"/>
            </w:tcBorders>
          </w:tcPr>
          <w:p>
            <w:pPr>
              <w:pStyle w:val="TableParagraph"/>
              <w:rPr>
                <w:sz w:val="18"/>
              </w:rPr>
            </w:pPr>
          </w:p>
        </w:tc>
        <w:tc>
          <w:tcPr>
            <w:tcW w:w="1329" w:type="dxa"/>
            <w:tcBorders>
              <w:left w:val="single" w:sz="4" w:space="0" w:color="000000"/>
              <w:bottom w:val="single" w:sz="4" w:space="0" w:color="000000"/>
              <w:right w:val="single" w:sz="4" w:space="0" w:color="000000"/>
            </w:tcBorders>
          </w:tcPr>
          <w:p>
            <w:pPr>
              <w:pStyle w:val="TableParagraph"/>
              <w:rPr>
                <w:sz w:val="18"/>
              </w:rPr>
            </w:pPr>
          </w:p>
        </w:tc>
        <w:tc>
          <w:tcPr>
            <w:tcW w:w="1460" w:type="dxa"/>
            <w:tcBorders>
              <w:left w:val="single" w:sz="4" w:space="0" w:color="000000"/>
              <w:bottom w:val="single" w:sz="4" w:space="0" w:color="000000"/>
              <w:right w:val="single" w:sz="4" w:space="0" w:color="000000"/>
            </w:tcBorders>
          </w:tcPr>
          <w:p>
            <w:pPr>
              <w:pStyle w:val="TableParagraph"/>
              <w:spacing w:before="138"/>
              <w:ind w:right="79"/>
              <w:jc w:val="right"/>
              <w:rPr>
                <w:sz w:val="16"/>
              </w:rPr>
            </w:pPr>
            <w:r>
              <w:rPr>
                <w:sz w:val="16"/>
              </w:rPr>
              <w:t>48,681,689.86</w:t>
            </w:r>
          </w:p>
        </w:tc>
        <w:tc>
          <w:tcPr>
            <w:tcW w:w="719" w:type="dxa"/>
            <w:tcBorders>
              <w:left w:val="single" w:sz="4" w:space="0" w:color="000000"/>
              <w:bottom w:val="single" w:sz="4" w:space="0" w:color="000000"/>
            </w:tcBorders>
          </w:tcPr>
          <w:p>
            <w:pPr>
              <w:pStyle w:val="TableParagraph"/>
              <w:spacing w:before="119"/>
              <w:ind w:left="175" w:right="32"/>
              <w:jc w:val="center"/>
              <w:rPr>
                <w:rFonts w:ascii="宋体" w:eastAsia="宋体" w:hint="eastAsia"/>
                <w:sz w:val="18"/>
              </w:rPr>
            </w:pPr>
            <w:r>
              <w:rPr>
                <w:rFonts w:ascii="宋体" w:eastAsia="宋体" w:hint="eastAsia"/>
                <w:sz w:val="18"/>
              </w:rPr>
              <w:t>自筹</w:t>
            </w:r>
          </w:p>
        </w:tc>
      </w:tr>
      <w:tr>
        <w:trPr>
          <w:trHeight w:val="467" w:hRule="atLeast"/>
        </w:trPr>
        <w:tc>
          <w:tcPr>
            <w:tcW w:w="1022" w:type="dxa"/>
            <w:tcBorders>
              <w:top w:val="single" w:sz="4" w:space="0" w:color="000000"/>
              <w:bottom w:val="single" w:sz="4" w:space="0" w:color="000000"/>
              <w:right w:val="single" w:sz="4" w:space="0" w:color="000000"/>
            </w:tcBorders>
          </w:tcPr>
          <w:p>
            <w:pPr>
              <w:pStyle w:val="TableParagraph"/>
              <w:spacing w:line="230" w:lineRule="atLeast" w:before="2"/>
              <w:ind w:left="105" w:right="59"/>
              <w:rPr>
                <w:rFonts w:ascii="宋体" w:eastAsia="宋体" w:hint="eastAsia"/>
                <w:sz w:val="18"/>
              </w:rPr>
            </w:pPr>
            <w:r>
              <w:rPr>
                <w:rFonts w:ascii="宋体" w:eastAsia="宋体" w:hint="eastAsia"/>
                <w:sz w:val="18"/>
              </w:rPr>
              <w:t>大连电冰箱项目</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138"/>
              <w:ind w:right="85"/>
              <w:jc w:val="right"/>
              <w:rPr>
                <w:sz w:val="16"/>
              </w:rPr>
            </w:pPr>
            <w:r>
              <w:rPr>
                <w:sz w:val="16"/>
              </w:rPr>
              <w:t>20,869,021.20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before="138"/>
              <w:ind w:right="84"/>
              <w:jc w:val="right"/>
              <w:rPr>
                <w:sz w:val="16"/>
              </w:rPr>
            </w:pPr>
            <w:r>
              <w:rPr>
                <w:sz w:val="16"/>
              </w:rPr>
              <w:t>96,811,917.01</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before="138"/>
              <w:ind w:right="86"/>
              <w:jc w:val="right"/>
              <w:rPr>
                <w:sz w:val="16"/>
              </w:rPr>
            </w:pPr>
            <w:r>
              <w:rPr>
                <w:sz w:val="16"/>
              </w:rPr>
              <w:t>75,517,806.84</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329"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138"/>
              <w:ind w:right="79"/>
              <w:jc w:val="right"/>
              <w:rPr>
                <w:sz w:val="16"/>
              </w:rPr>
            </w:pPr>
            <w:r>
              <w:rPr>
                <w:sz w:val="16"/>
              </w:rPr>
              <w:t>42,163,131.37</w:t>
            </w:r>
          </w:p>
        </w:tc>
        <w:tc>
          <w:tcPr>
            <w:tcW w:w="719" w:type="dxa"/>
            <w:tcBorders>
              <w:top w:val="single" w:sz="4" w:space="0" w:color="000000"/>
              <w:left w:val="single" w:sz="4" w:space="0" w:color="000000"/>
              <w:bottom w:val="single" w:sz="4" w:space="0" w:color="000000"/>
            </w:tcBorders>
          </w:tcPr>
          <w:p>
            <w:pPr>
              <w:pStyle w:val="TableParagraph"/>
              <w:spacing w:before="117"/>
              <w:ind w:left="130" w:right="78"/>
              <w:jc w:val="center"/>
              <w:rPr>
                <w:rFonts w:ascii="宋体" w:eastAsia="宋体" w:hint="eastAsia"/>
                <w:sz w:val="18"/>
              </w:rPr>
            </w:pPr>
            <w:r>
              <w:rPr>
                <w:rFonts w:ascii="宋体" w:eastAsia="宋体" w:hint="eastAsia"/>
                <w:sz w:val="18"/>
              </w:rPr>
              <w:t>自筹</w:t>
            </w:r>
          </w:p>
        </w:tc>
      </w:tr>
      <w:tr>
        <w:trPr>
          <w:trHeight w:val="467" w:hRule="atLeast"/>
        </w:trPr>
        <w:tc>
          <w:tcPr>
            <w:tcW w:w="1022" w:type="dxa"/>
            <w:tcBorders>
              <w:top w:val="single" w:sz="4" w:space="0" w:color="000000"/>
              <w:bottom w:val="single" w:sz="4" w:space="0" w:color="000000"/>
              <w:right w:val="single" w:sz="4" w:space="0" w:color="000000"/>
            </w:tcBorders>
          </w:tcPr>
          <w:p>
            <w:pPr>
              <w:pStyle w:val="TableParagraph"/>
              <w:ind w:left="105"/>
              <w:rPr>
                <w:rFonts w:ascii="宋体" w:eastAsia="宋体" w:hint="eastAsia"/>
                <w:sz w:val="18"/>
              </w:rPr>
            </w:pPr>
            <w:r>
              <w:rPr>
                <w:rFonts w:ascii="宋体" w:eastAsia="宋体" w:hint="eastAsia"/>
                <w:sz w:val="18"/>
              </w:rPr>
              <w:t>重庆热水</w:t>
            </w:r>
          </w:p>
          <w:p>
            <w:pPr>
              <w:pStyle w:val="TableParagraph"/>
              <w:spacing w:line="213" w:lineRule="exact" w:before="4"/>
              <w:ind w:left="105"/>
              <w:rPr>
                <w:rFonts w:ascii="宋体" w:eastAsia="宋体" w:hint="eastAsia"/>
                <w:sz w:val="18"/>
              </w:rPr>
            </w:pPr>
            <w:r>
              <w:rPr>
                <w:rFonts w:ascii="宋体" w:eastAsia="宋体" w:hint="eastAsia"/>
                <w:sz w:val="18"/>
              </w:rPr>
              <w:t>器项目</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136"/>
              <w:ind w:right="85"/>
              <w:jc w:val="right"/>
              <w:rPr>
                <w:sz w:val="16"/>
              </w:rPr>
            </w:pPr>
            <w:r>
              <w:rPr>
                <w:sz w:val="16"/>
              </w:rPr>
              <w:t>3,039,596.13</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before="136"/>
              <w:ind w:right="84"/>
              <w:jc w:val="right"/>
              <w:rPr>
                <w:sz w:val="16"/>
              </w:rPr>
            </w:pPr>
            <w:r>
              <w:rPr>
                <w:sz w:val="16"/>
              </w:rPr>
              <w:t>47,202,464.85</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before="136"/>
              <w:ind w:right="86"/>
              <w:jc w:val="right"/>
              <w:rPr>
                <w:sz w:val="16"/>
              </w:rPr>
            </w:pPr>
            <w:r>
              <w:rPr>
                <w:sz w:val="16"/>
              </w:rPr>
              <w:t>10,573,862.45</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329"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136"/>
              <w:ind w:right="79"/>
              <w:jc w:val="right"/>
              <w:rPr>
                <w:sz w:val="16"/>
              </w:rPr>
            </w:pPr>
            <w:r>
              <w:rPr>
                <w:sz w:val="16"/>
              </w:rPr>
              <w:t>39,668,198.53</w:t>
            </w:r>
          </w:p>
        </w:tc>
        <w:tc>
          <w:tcPr>
            <w:tcW w:w="719" w:type="dxa"/>
            <w:tcBorders>
              <w:top w:val="single" w:sz="4" w:space="0" w:color="000000"/>
              <w:left w:val="single" w:sz="4" w:space="0" w:color="000000"/>
              <w:bottom w:val="single" w:sz="4" w:space="0" w:color="000000"/>
            </w:tcBorders>
          </w:tcPr>
          <w:p>
            <w:pPr>
              <w:pStyle w:val="TableParagraph"/>
              <w:spacing w:before="117"/>
              <w:ind w:left="175" w:right="32"/>
              <w:jc w:val="center"/>
              <w:rPr>
                <w:rFonts w:ascii="宋体" w:eastAsia="宋体" w:hint="eastAsia"/>
                <w:sz w:val="18"/>
              </w:rPr>
            </w:pPr>
            <w:r>
              <w:rPr>
                <w:rFonts w:ascii="宋体" w:eastAsia="宋体" w:hint="eastAsia"/>
                <w:sz w:val="18"/>
              </w:rPr>
              <w:t>自筹</w:t>
            </w:r>
          </w:p>
        </w:tc>
      </w:tr>
      <w:tr>
        <w:trPr>
          <w:trHeight w:val="700" w:hRule="atLeast"/>
        </w:trPr>
        <w:tc>
          <w:tcPr>
            <w:tcW w:w="1022" w:type="dxa"/>
            <w:tcBorders>
              <w:top w:val="single" w:sz="4" w:space="0" w:color="000000"/>
              <w:bottom w:val="single" w:sz="4" w:space="0" w:color="000000"/>
              <w:right w:val="single" w:sz="4" w:space="0" w:color="000000"/>
            </w:tcBorders>
          </w:tcPr>
          <w:p>
            <w:pPr>
              <w:pStyle w:val="TableParagraph"/>
              <w:spacing w:line="242" w:lineRule="auto" w:before="117"/>
              <w:ind w:left="105" w:right="59"/>
              <w:rPr>
                <w:rFonts w:ascii="宋体" w:eastAsia="宋体" w:hint="eastAsia"/>
                <w:sz w:val="18"/>
              </w:rPr>
            </w:pPr>
            <w:r>
              <w:rPr>
                <w:rFonts w:ascii="宋体" w:eastAsia="宋体" w:hint="eastAsia"/>
                <w:sz w:val="18"/>
              </w:rPr>
              <w:t>特种制冷电器项目</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10"/>
              <w:rPr>
                <w:rFonts w:ascii="宋体"/>
                <w:sz w:val="19"/>
              </w:rPr>
            </w:pPr>
          </w:p>
          <w:p>
            <w:pPr>
              <w:pStyle w:val="TableParagraph"/>
              <w:ind w:right="85"/>
              <w:jc w:val="right"/>
              <w:rPr>
                <w:sz w:val="16"/>
              </w:rPr>
            </w:pPr>
            <w:r>
              <w:rPr>
                <w:sz w:val="16"/>
              </w:rPr>
              <w:t>101,448,249.30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before="10"/>
              <w:rPr>
                <w:rFonts w:ascii="宋体"/>
                <w:sz w:val="19"/>
              </w:rPr>
            </w:pPr>
          </w:p>
          <w:p>
            <w:pPr>
              <w:pStyle w:val="TableParagraph"/>
              <w:ind w:right="84"/>
              <w:jc w:val="right"/>
              <w:rPr>
                <w:sz w:val="16"/>
              </w:rPr>
            </w:pPr>
            <w:r>
              <w:rPr>
                <w:sz w:val="16"/>
              </w:rPr>
              <w:t>46,251,900.34</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before="10"/>
              <w:rPr>
                <w:rFonts w:ascii="宋体"/>
                <w:sz w:val="19"/>
              </w:rPr>
            </w:pPr>
          </w:p>
          <w:p>
            <w:pPr>
              <w:pStyle w:val="TableParagraph"/>
              <w:ind w:right="86"/>
              <w:jc w:val="right"/>
              <w:rPr>
                <w:sz w:val="16"/>
              </w:rPr>
            </w:pPr>
            <w:r>
              <w:rPr>
                <w:sz w:val="16"/>
              </w:rPr>
              <w:t>109,963,394.47</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329"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10"/>
              <w:rPr>
                <w:rFonts w:ascii="宋体"/>
                <w:sz w:val="19"/>
              </w:rPr>
            </w:pPr>
          </w:p>
          <w:p>
            <w:pPr>
              <w:pStyle w:val="TableParagraph"/>
              <w:ind w:right="79"/>
              <w:jc w:val="right"/>
              <w:rPr>
                <w:sz w:val="16"/>
              </w:rPr>
            </w:pPr>
            <w:r>
              <w:rPr>
                <w:sz w:val="16"/>
              </w:rPr>
              <w:t>37,736,755.17</w:t>
            </w:r>
          </w:p>
        </w:tc>
        <w:tc>
          <w:tcPr>
            <w:tcW w:w="719" w:type="dxa"/>
            <w:tcBorders>
              <w:top w:val="single" w:sz="4" w:space="0" w:color="000000"/>
              <w:left w:val="single" w:sz="4" w:space="0" w:color="000000"/>
              <w:bottom w:val="single" w:sz="4" w:space="0" w:color="000000"/>
            </w:tcBorders>
          </w:tcPr>
          <w:p>
            <w:pPr>
              <w:pStyle w:val="TableParagraph"/>
              <w:spacing w:line="242" w:lineRule="auto"/>
              <w:ind w:left="195" w:right="117" w:hanging="27"/>
              <w:rPr>
                <w:rFonts w:ascii="宋体" w:eastAsia="宋体" w:hint="eastAsia"/>
                <w:sz w:val="18"/>
              </w:rPr>
            </w:pPr>
            <w:r>
              <w:rPr>
                <w:rFonts w:ascii="宋体" w:eastAsia="宋体" w:hint="eastAsia"/>
                <w:sz w:val="18"/>
              </w:rPr>
              <w:t>自筹</w:t>
            </w:r>
            <w:r>
              <w:rPr>
                <w:spacing w:val="-16"/>
                <w:sz w:val="18"/>
              </w:rPr>
              <w:t>/ </w:t>
            </w:r>
            <w:r>
              <w:rPr>
                <w:rFonts w:ascii="宋体" w:eastAsia="宋体" w:hint="eastAsia"/>
                <w:sz w:val="18"/>
              </w:rPr>
              <w:t>募集</w:t>
            </w:r>
          </w:p>
          <w:p>
            <w:pPr>
              <w:pStyle w:val="TableParagraph"/>
              <w:spacing w:line="213" w:lineRule="exact" w:before="2"/>
              <w:ind w:left="195"/>
              <w:rPr>
                <w:rFonts w:ascii="宋体" w:eastAsia="宋体" w:hint="eastAsia"/>
                <w:sz w:val="18"/>
              </w:rPr>
            </w:pPr>
            <w:r>
              <w:rPr>
                <w:rFonts w:ascii="宋体" w:eastAsia="宋体" w:hint="eastAsia"/>
                <w:sz w:val="18"/>
              </w:rPr>
              <w:t>资金</w:t>
            </w:r>
          </w:p>
        </w:tc>
      </w:tr>
      <w:tr>
        <w:trPr>
          <w:trHeight w:val="467" w:hRule="atLeast"/>
        </w:trPr>
        <w:tc>
          <w:tcPr>
            <w:tcW w:w="1022" w:type="dxa"/>
            <w:tcBorders>
              <w:top w:val="single" w:sz="4" w:space="0" w:color="000000"/>
              <w:bottom w:val="single" w:sz="4" w:space="0" w:color="000000"/>
              <w:right w:val="single" w:sz="4" w:space="0" w:color="000000"/>
            </w:tcBorders>
          </w:tcPr>
          <w:p>
            <w:pPr>
              <w:pStyle w:val="TableParagraph"/>
              <w:ind w:left="105"/>
              <w:rPr>
                <w:rFonts w:ascii="宋体" w:eastAsia="宋体" w:hint="eastAsia"/>
                <w:sz w:val="18"/>
              </w:rPr>
            </w:pPr>
            <w:r>
              <w:rPr>
                <w:rFonts w:ascii="宋体" w:eastAsia="宋体" w:hint="eastAsia"/>
                <w:sz w:val="18"/>
              </w:rPr>
              <w:t>卡奥斯项</w:t>
            </w:r>
          </w:p>
          <w:p>
            <w:pPr>
              <w:pStyle w:val="TableParagraph"/>
              <w:spacing w:line="215" w:lineRule="exact" w:before="2"/>
              <w:ind w:left="105"/>
              <w:rPr>
                <w:rFonts w:ascii="宋体" w:eastAsia="宋体" w:hint="eastAsia"/>
                <w:sz w:val="18"/>
              </w:rPr>
            </w:pPr>
            <w:r>
              <w:rPr>
                <w:rFonts w:ascii="宋体" w:eastAsia="宋体" w:hint="eastAsia"/>
                <w:sz w:val="18"/>
              </w:rPr>
              <w:t>目</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136"/>
              <w:ind w:right="85"/>
              <w:jc w:val="right"/>
              <w:rPr>
                <w:sz w:val="16"/>
              </w:rPr>
            </w:pPr>
            <w:r>
              <w:rPr>
                <w:sz w:val="16"/>
              </w:rPr>
              <w:t>63,804,127.26</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before="136"/>
              <w:ind w:right="84"/>
              <w:jc w:val="right"/>
              <w:rPr>
                <w:sz w:val="16"/>
              </w:rPr>
            </w:pPr>
            <w:r>
              <w:rPr>
                <w:sz w:val="16"/>
              </w:rPr>
              <w:t>146,430,533.78</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before="136"/>
              <w:ind w:right="86"/>
              <w:jc w:val="right"/>
              <w:rPr>
                <w:sz w:val="16"/>
              </w:rPr>
            </w:pPr>
            <w:r>
              <w:rPr>
                <w:sz w:val="16"/>
              </w:rPr>
              <w:t>66,858,137.99</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136"/>
              <w:ind w:right="85"/>
              <w:jc w:val="right"/>
              <w:rPr>
                <w:sz w:val="16"/>
              </w:rPr>
            </w:pPr>
            <w:r>
              <w:rPr>
                <w:sz w:val="16"/>
              </w:rPr>
              <w:t>143,370,904.31</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before="136"/>
              <w:ind w:right="81"/>
              <w:jc w:val="right"/>
              <w:rPr>
                <w:sz w:val="16"/>
              </w:rPr>
            </w:pPr>
            <w:r>
              <w:rPr>
                <w:sz w:val="16"/>
              </w:rPr>
              <w:t>-5,618.74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719" w:type="dxa"/>
            <w:tcBorders>
              <w:top w:val="single" w:sz="4" w:space="0" w:color="000000"/>
              <w:left w:val="single" w:sz="4" w:space="0" w:color="000000"/>
              <w:bottom w:val="single" w:sz="4" w:space="0" w:color="000000"/>
            </w:tcBorders>
          </w:tcPr>
          <w:p>
            <w:pPr>
              <w:pStyle w:val="TableParagraph"/>
              <w:spacing w:before="117"/>
              <w:ind w:left="130" w:right="78"/>
              <w:jc w:val="center"/>
              <w:rPr>
                <w:rFonts w:ascii="宋体" w:eastAsia="宋体" w:hint="eastAsia"/>
                <w:sz w:val="18"/>
              </w:rPr>
            </w:pPr>
            <w:r>
              <w:rPr>
                <w:rFonts w:ascii="宋体" w:eastAsia="宋体" w:hint="eastAsia"/>
                <w:sz w:val="18"/>
              </w:rPr>
              <w:t>自筹</w:t>
            </w:r>
          </w:p>
        </w:tc>
      </w:tr>
      <w:tr>
        <w:trPr>
          <w:trHeight w:val="697" w:hRule="atLeast"/>
        </w:trPr>
        <w:tc>
          <w:tcPr>
            <w:tcW w:w="1022" w:type="dxa"/>
            <w:tcBorders>
              <w:top w:val="single" w:sz="4" w:space="0" w:color="000000"/>
              <w:bottom w:val="single" w:sz="4" w:space="0" w:color="000000"/>
              <w:right w:val="single" w:sz="4" w:space="0" w:color="000000"/>
            </w:tcBorders>
          </w:tcPr>
          <w:p>
            <w:pPr>
              <w:pStyle w:val="TableParagraph"/>
              <w:spacing w:before="1"/>
              <w:rPr>
                <w:rFonts w:ascii="宋体"/>
                <w:sz w:val="18"/>
              </w:rPr>
            </w:pPr>
          </w:p>
          <w:p>
            <w:pPr>
              <w:pStyle w:val="TableParagraph"/>
              <w:spacing w:before="1"/>
              <w:ind w:left="105"/>
              <w:rPr>
                <w:rFonts w:ascii="宋体" w:eastAsia="宋体" w:hint="eastAsia"/>
                <w:sz w:val="18"/>
              </w:rPr>
            </w:pPr>
            <w:r>
              <w:rPr>
                <w:rFonts w:ascii="宋体" w:eastAsia="宋体" w:hint="eastAsia"/>
                <w:sz w:val="18"/>
              </w:rPr>
              <w:t>其他</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7"/>
              <w:rPr>
                <w:rFonts w:ascii="宋体"/>
                <w:sz w:val="19"/>
              </w:rPr>
            </w:pPr>
          </w:p>
          <w:p>
            <w:pPr>
              <w:pStyle w:val="TableParagraph"/>
              <w:ind w:right="86"/>
              <w:jc w:val="right"/>
              <w:rPr>
                <w:sz w:val="16"/>
              </w:rPr>
            </w:pPr>
            <w:r>
              <w:rPr>
                <w:sz w:val="16"/>
              </w:rPr>
              <w:t>1,078,795,355.37</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before="7"/>
              <w:rPr>
                <w:rFonts w:ascii="宋体"/>
                <w:sz w:val="19"/>
              </w:rPr>
            </w:pPr>
          </w:p>
          <w:p>
            <w:pPr>
              <w:pStyle w:val="TableParagraph"/>
              <w:ind w:right="85"/>
              <w:jc w:val="right"/>
              <w:rPr>
                <w:sz w:val="16"/>
              </w:rPr>
            </w:pPr>
            <w:r>
              <w:rPr>
                <w:sz w:val="16"/>
              </w:rPr>
              <w:t>1,142,263,886.62</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before="7"/>
              <w:rPr>
                <w:rFonts w:ascii="宋体"/>
                <w:sz w:val="19"/>
              </w:rPr>
            </w:pPr>
          </w:p>
          <w:p>
            <w:pPr>
              <w:pStyle w:val="TableParagraph"/>
              <w:ind w:right="87"/>
              <w:jc w:val="right"/>
              <w:rPr>
                <w:sz w:val="16"/>
              </w:rPr>
            </w:pPr>
            <w:r>
              <w:rPr>
                <w:sz w:val="16"/>
              </w:rPr>
              <w:t>1,539,563,924.46</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7"/>
              <w:rPr>
                <w:rFonts w:ascii="宋体"/>
                <w:sz w:val="19"/>
              </w:rPr>
            </w:pPr>
          </w:p>
          <w:p>
            <w:pPr>
              <w:pStyle w:val="TableParagraph"/>
              <w:ind w:right="85"/>
              <w:jc w:val="right"/>
              <w:rPr>
                <w:sz w:val="16"/>
              </w:rPr>
            </w:pPr>
            <w:r>
              <w:rPr>
                <w:sz w:val="16"/>
              </w:rPr>
              <w:t>6,085,469.71</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before="7"/>
              <w:rPr>
                <w:rFonts w:ascii="宋体"/>
                <w:sz w:val="19"/>
              </w:rPr>
            </w:pPr>
          </w:p>
          <w:p>
            <w:pPr>
              <w:pStyle w:val="TableParagraph"/>
              <w:ind w:right="82"/>
              <w:jc w:val="right"/>
              <w:rPr>
                <w:sz w:val="16"/>
              </w:rPr>
            </w:pPr>
            <w:r>
              <w:rPr>
                <w:sz w:val="16"/>
              </w:rPr>
              <w:t>-2,378,276.60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7"/>
              <w:rPr>
                <w:rFonts w:ascii="宋体"/>
                <w:sz w:val="19"/>
              </w:rPr>
            </w:pPr>
          </w:p>
          <w:p>
            <w:pPr>
              <w:pStyle w:val="TableParagraph"/>
              <w:ind w:right="80"/>
              <w:jc w:val="right"/>
              <w:rPr>
                <w:sz w:val="16"/>
              </w:rPr>
            </w:pPr>
            <w:r>
              <w:rPr>
                <w:sz w:val="16"/>
              </w:rPr>
              <w:t>673,031,571.22</w:t>
            </w:r>
          </w:p>
        </w:tc>
        <w:tc>
          <w:tcPr>
            <w:tcW w:w="719" w:type="dxa"/>
            <w:tcBorders>
              <w:top w:val="single" w:sz="4" w:space="0" w:color="000000"/>
              <w:left w:val="single" w:sz="4" w:space="0" w:color="000000"/>
              <w:bottom w:val="single" w:sz="4" w:space="0" w:color="000000"/>
            </w:tcBorders>
          </w:tcPr>
          <w:p>
            <w:pPr>
              <w:pStyle w:val="TableParagraph"/>
              <w:spacing w:line="242" w:lineRule="auto"/>
              <w:ind w:left="195" w:right="69" w:firstLine="21"/>
              <w:rPr>
                <w:rFonts w:ascii="宋体" w:eastAsia="宋体" w:hint="eastAsia"/>
                <w:sz w:val="18"/>
              </w:rPr>
            </w:pPr>
            <w:r>
              <w:rPr>
                <w:rFonts w:ascii="宋体" w:eastAsia="宋体" w:hint="eastAsia"/>
                <w:sz w:val="18"/>
              </w:rPr>
              <w:t>自筹</w:t>
            </w:r>
            <w:r>
              <w:rPr>
                <w:spacing w:val="-16"/>
                <w:sz w:val="18"/>
              </w:rPr>
              <w:t>/ </w:t>
            </w:r>
            <w:r>
              <w:rPr>
                <w:rFonts w:ascii="宋体" w:eastAsia="宋体" w:hint="eastAsia"/>
                <w:sz w:val="18"/>
              </w:rPr>
              <w:t>募集</w:t>
            </w:r>
          </w:p>
          <w:p>
            <w:pPr>
              <w:pStyle w:val="TableParagraph"/>
              <w:spacing w:line="212" w:lineRule="exact"/>
              <w:ind w:left="195"/>
              <w:rPr>
                <w:rFonts w:ascii="宋体" w:eastAsia="宋体" w:hint="eastAsia"/>
                <w:sz w:val="18"/>
              </w:rPr>
            </w:pPr>
            <w:r>
              <w:rPr>
                <w:rFonts w:ascii="宋体" w:eastAsia="宋体" w:hint="eastAsia"/>
                <w:sz w:val="18"/>
              </w:rPr>
              <w:t>资金</w:t>
            </w:r>
          </w:p>
        </w:tc>
      </w:tr>
      <w:tr>
        <w:trPr>
          <w:trHeight w:val="368" w:hRule="atLeast"/>
        </w:trPr>
        <w:tc>
          <w:tcPr>
            <w:tcW w:w="1022" w:type="dxa"/>
            <w:tcBorders>
              <w:top w:val="single" w:sz="4" w:space="0" w:color="000000"/>
              <w:right w:val="single" w:sz="4" w:space="0" w:color="000000"/>
            </w:tcBorders>
          </w:tcPr>
          <w:p>
            <w:pPr>
              <w:pStyle w:val="TableParagraph"/>
              <w:spacing w:before="69"/>
              <w:ind w:left="328"/>
              <w:rPr>
                <w:rFonts w:ascii="宋体" w:eastAsia="宋体" w:hint="eastAsia"/>
                <w:sz w:val="18"/>
              </w:rPr>
            </w:pPr>
            <w:r>
              <w:rPr>
                <w:rFonts w:ascii="宋体" w:eastAsia="宋体" w:hint="eastAsia"/>
                <w:sz w:val="18"/>
              </w:rPr>
              <w:t>合计</w:t>
            </w:r>
          </w:p>
        </w:tc>
        <w:tc>
          <w:tcPr>
            <w:tcW w:w="1464" w:type="dxa"/>
            <w:tcBorders>
              <w:top w:val="single" w:sz="4" w:space="0" w:color="000000"/>
              <w:left w:val="single" w:sz="4" w:space="0" w:color="000000"/>
              <w:right w:val="single" w:sz="4" w:space="0" w:color="000000"/>
            </w:tcBorders>
          </w:tcPr>
          <w:p>
            <w:pPr>
              <w:pStyle w:val="TableParagraph"/>
              <w:spacing w:before="88"/>
              <w:ind w:right="86"/>
              <w:jc w:val="right"/>
              <w:rPr>
                <w:sz w:val="16"/>
              </w:rPr>
            </w:pPr>
            <w:r>
              <w:rPr>
                <w:sz w:val="16"/>
              </w:rPr>
              <w:t>2,425,426,229.58</w:t>
            </w:r>
          </w:p>
        </w:tc>
        <w:tc>
          <w:tcPr>
            <w:tcW w:w="1466" w:type="dxa"/>
            <w:tcBorders>
              <w:top w:val="single" w:sz="4" w:space="0" w:color="000000"/>
              <w:left w:val="single" w:sz="4" w:space="0" w:color="000000"/>
              <w:right w:val="single" w:sz="4" w:space="0" w:color="000000"/>
            </w:tcBorders>
          </w:tcPr>
          <w:p>
            <w:pPr>
              <w:pStyle w:val="TableParagraph"/>
              <w:spacing w:before="88"/>
              <w:ind w:right="85"/>
              <w:jc w:val="right"/>
              <w:rPr>
                <w:sz w:val="16"/>
              </w:rPr>
            </w:pPr>
            <w:r>
              <w:rPr>
                <w:sz w:val="16"/>
              </w:rPr>
              <w:t>4,684,611,589.39</w:t>
            </w:r>
          </w:p>
        </w:tc>
        <w:tc>
          <w:tcPr>
            <w:tcW w:w="1466" w:type="dxa"/>
            <w:tcBorders>
              <w:top w:val="single" w:sz="4" w:space="0" w:color="000000"/>
              <w:left w:val="single" w:sz="4" w:space="0" w:color="000000"/>
              <w:right w:val="single" w:sz="4" w:space="0" w:color="000000"/>
            </w:tcBorders>
          </w:tcPr>
          <w:p>
            <w:pPr>
              <w:pStyle w:val="TableParagraph"/>
              <w:spacing w:before="88"/>
              <w:ind w:right="87"/>
              <w:jc w:val="right"/>
              <w:rPr>
                <w:sz w:val="16"/>
              </w:rPr>
            </w:pPr>
            <w:r>
              <w:rPr>
                <w:sz w:val="16"/>
              </w:rPr>
              <w:t>3,271,895,923.16</w:t>
            </w:r>
          </w:p>
        </w:tc>
        <w:tc>
          <w:tcPr>
            <w:tcW w:w="1314" w:type="dxa"/>
            <w:tcBorders>
              <w:top w:val="single" w:sz="4" w:space="0" w:color="000000"/>
              <w:left w:val="single" w:sz="4" w:space="0" w:color="000000"/>
              <w:right w:val="single" w:sz="4" w:space="0" w:color="000000"/>
            </w:tcBorders>
          </w:tcPr>
          <w:p>
            <w:pPr>
              <w:pStyle w:val="TableParagraph"/>
              <w:spacing w:before="88"/>
              <w:ind w:right="85"/>
              <w:jc w:val="right"/>
              <w:rPr>
                <w:sz w:val="16"/>
              </w:rPr>
            </w:pPr>
            <w:r>
              <w:rPr>
                <w:sz w:val="16"/>
              </w:rPr>
              <w:t>149,456,374.02</w:t>
            </w:r>
          </w:p>
        </w:tc>
        <w:tc>
          <w:tcPr>
            <w:tcW w:w="1329" w:type="dxa"/>
            <w:tcBorders>
              <w:top w:val="single" w:sz="4" w:space="0" w:color="000000"/>
              <w:left w:val="single" w:sz="4" w:space="0" w:color="000000"/>
              <w:right w:val="single" w:sz="4" w:space="0" w:color="000000"/>
            </w:tcBorders>
          </w:tcPr>
          <w:p>
            <w:pPr>
              <w:pStyle w:val="TableParagraph"/>
              <w:spacing w:before="88"/>
              <w:ind w:right="82"/>
              <w:jc w:val="right"/>
              <w:rPr>
                <w:sz w:val="16"/>
              </w:rPr>
            </w:pPr>
            <w:r>
              <w:rPr>
                <w:sz w:val="16"/>
              </w:rPr>
              <w:t>-90,945,338.87</w:t>
            </w:r>
          </w:p>
        </w:tc>
        <w:tc>
          <w:tcPr>
            <w:tcW w:w="1460" w:type="dxa"/>
            <w:tcBorders>
              <w:top w:val="single" w:sz="4" w:space="0" w:color="000000"/>
              <w:left w:val="single" w:sz="4" w:space="0" w:color="000000"/>
              <w:right w:val="single" w:sz="4" w:space="0" w:color="000000"/>
            </w:tcBorders>
          </w:tcPr>
          <w:p>
            <w:pPr>
              <w:pStyle w:val="TableParagraph"/>
              <w:spacing w:before="88"/>
              <w:ind w:right="80"/>
              <w:jc w:val="right"/>
              <w:rPr>
                <w:sz w:val="16"/>
              </w:rPr>
            </w:pPr>
            <w:r>
              <w:rPr>
                <w:sz w:val="16"/>
              </w:rPr>
              <w:t>3,597,740,182.92</w:t>
            </w:r>
          </w:p>
        </w:tc>
        <w:tc>
          <w:tcPr>
            <w:tcW w:w="719" w:type="dxa"/>
            <w:tcBorders>
              <w:top w:val="single" w:sz="4" w:space="0" w:color="000000"/>
              <w:left w:val="single" w:sz="4" w:space="0" w:color="000000"/>
            </w:tcBorders>
          </w:tcPr>
          <w:p>
            <w:pPr>
              <w:pStyle w:val="TableParagraph"/>
              <w:spacing w:before="64"/>
              <w:ind w:left="142"/>
              <w:jc w:val="center"/>
              <w:rPr>
                <w:rFonts w:ascii="宋体"/>
                <w:sz w:val="18"/>
              </w:rPr>
            </w:pPr>
            <w:r>
              <w:rPr>
                <w:rFonts w:ascii="宋体"/>
                <w:sz w:val="18"/>
              </w:rPr>
              <w:t> </w:t>
            </w:r>
          </w:p>
        </w:tc>
      </w:tr>
    </w:tbl>
    <w:p>
      <w:pPr>
        <w:pStyle w:val="BodyText"/>
        <w:spacing w:before="12"/>
        <w:rPr>
          <w:sz w:val="28"/>
        </w:rPr>
      </w:pPr>
    </w:p>
    <w:p>
      <w:pPr>
        <w:pStyle w:val="ListParagraph"/>
        <w:numPr>
          <w:ilvl w:val="1"/>
          <w:numId w:val="59"/>
        </w:numPr>
        <w:tabs>
          <w:tab w:pos="2533" w:val="left" w:leader="none"/>
        </w:tabs>
        <w:spacing w:line="240" w:lineRule="auto" w:before="78" w:after="0"/>
        <w:ind w:left="2532" w:right="0" w:hanging="530"/>
        <w:jc w:val="left"/>
        <w:rPr>
          <w:sz w:val="21"/>
        </w:rPr>
      </w:pPr>
      <w:r>
        <w:rPr>
          <w:spacing w:val="-3"/>
          <w:sz w:val="21"/>
        </w:rPr>
        <w:t>在建工程减值准备</w:t>
      </w:r>
    </w:p>
    <w:p>
      <w:pPr>
        <w:pStyle w:val="BodyText"/>
        <w:spacing w:before="3"/>
        <w:rPr>
          <w:sz w:val="12"/>
        </w:r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35"/>
        <w:gridCol w:w="1313"/>
        <w:gridCol w:w="1171"/>
        <w:gridCol w:w="1464"/>
        <w:gridCol w:w="1024"/>
        <w:gridCol w:w="1327"/>
        <w:gridCol w:w="1312"/>
      </w:tblGrid>
      <w:tr>
        <w:trPr>
          <w:trHeight w:val="467" w:hRule="atLeast"/>
        </w:trPr>
        <w:tc>
          <w:tcPr>
            <w:tcW w:w="1435" w:type="dxa"/>
            <w:tcBorders>
              <w:bottom w:val="single" w:sz="4" w:space="0" w:color="000000"/>
              <w:right w:val="single" w:sz="4" w:space="0" w:color="000000"/>
            </w:tcBorders>
          </w:tcPr>
          <w:p>
            <w:pPr>
              <w:pStyle w:val="TableParagraph"/>
              <w:spacing w:before="57"/>
              <w:ind w:left="354"/>
              <w:rPr>
                <w:rFonts w:ascii="Microsoft JhengHei" w:eastAsia="Microsoft JhengHei" w:hint="eastAsia"/>
                <w:b/>
                <w:sz w:val="18"/>
              </w:rPr>
            </w:pPr>
            <w:r>
              <w:rPr>
                <w:rFonts w:ascii="Microsoft JhengHei" w:eastAsia="Microsoft JhengHei" w:hint="eastAsia"/>
                <w:b/>
                <w:sz w:val="18"/>
              </w:rPr>
              <w:t>工程名称</w:t>
            </w:r>
          </w:p>
        </w:tc>
        <w:tc>
          <w:tcPr>
            <w:tcW w:w="1313" w:type="dxa"/>
            <w:tcBorders>
              <w:left w:val="single" w:sz="4" w:space="0" w:color="000000"/>
              <w:bottom w:val="single" w:sz="4" w:space="0" w:color="000000"/>
              <w:right w:val="single" w:sz="4" w:space="0" w:color="000000"/>
            </w:tcBorders>
          </w:tcPr>
          <w:p>
            <w:pPr>
              <w:pStyle w:val="TableParagraph"/>
              <w:spacing w:before="57"/>
              <w:ind w:left="304"/>
              <w:rPr>
                <w:rFonts w:ascii="Microsoft JhengHei" w:eastAsia="Microsoft JhengHei" w:hint="eastAsia"/>
                <w:b/>
                <w:sz w:val="18"/>
              </w:rPr>
            </w:pPr>
            <w:r>
              <w:rPr>
                <w:rFonts w:ascii="Microsoft JhengHei" w:eastAsia="Microsoft JhengHei" w:hint="eastAsia"/>
                <w:b/>
                <w:sz w:val="18"/>
              </w:rPr>
              <w:t>期初余额</w:t>
            </w:r>
          </w:p>
        </w:tc>
        <w:tc>
          <w:tcPr>
            <w:tcW w:w="1171" w:type="dxa"/>
            <w:tcBorders>
              <w:left w:val="single" w:sz="4" w:space="0" w:color="000000"/>
              <w:bottom w:val="single" w:sz="4" w:space="0" w:color="000000"/>
              <w:right w:val="single" w:sz="4" w:space="0" w:color="000000"/>
            </w:tcBorders>
          </w:tcPr>
          <w:p>
            <w:pPr>
              <w:pStyle w:val="TableParagraph"/>
              <w:spacing w:before="57"/>
              <w:ind w:left="233"/>
              <w:rPr>
                <w:rFonts w:ascii="Microsoft JhengHei" w:eastAsia="Microsoft JhengHei" w:hint="eastAsia"/>
                <w:b/>
                <w:sz w:val="18"/>
              </w:rPr>
            </w:pPr>
            <w:r>
              <w:rPr>
                <w:rFonts w:ascii="Microsoft JhengHei" w:eastAsia="Microsoft JhengHei" w:hint="eastAsia"/>
                <w:b/>
                <w:sz w:val="18"/>
              </w:rPr>
              <w:t>本期增加</w:t>
            </w:r>
          </w:p>
        </w:tc>
        <w:tc>
          <w:tcPr>
            <w:tcW w:w="1464" w:type="dxa"/>
            <w:tcBorders>
              <w:left w:val="single" w:sz="4" w:space="0" w:color="000000"/>
              <w:bottom w:val="single" w:sz="4" w:space="0" w:color="000000"/>
              <w:right w:val="single" w:sz="4" w:space="0" w:color="000000"/>
            </w:tcBorders>
          </w:tcPr>
          <w:p>
            <w:pPr>
              <w:pStyle w:val="TableParagraph"/>
              <w:spacing w:before="57"/>
              <w:ind w:left="290"/>
              <w:rPr>
                <w:rFonts w:ascii="Microsoft JhengHei" w:eastAsia="Microsoft JhengHei" w:hint="eastAsia"/>
                <w:b/>
                <w:sz w:val="18"/>
              </w:rPr>
            </w:pPr>
            <w:r>
              <w:rPr>
                <w:rFonts w:ascii="Microsoft JhengHei" w:eastAsia="Microsoft JhengHei" w:hint="eastAsia"/>
                <w:b/>
                <w:sz w:val="18"/>
              </w:rPr>
              <w:t>转固定资产</w:t>
            </w:r>
          </w:p>
        </w:tc>
        <w:tc>
          <w:tcPr>
            <w:tcW w:w="1024" w:type="dxa"/>
            <w:tcBorders>
              <w:left w:val="single" w:sz="4" w:space="0" w:color="000000"/>
              <w:bottom w:val="single" w:sz="4" w:space="0" w:color="000000"/>
              <w:right w:val="single" w:sz="4" w:space="0" w:color="000000"/>
            </w:tcBorders>
          </w:tcPr>
          <w:p>
            <w:pPr>
              <w:pStyle w:val="TableParagraph"/>
              <w:spacing w:before="57"/>
              <w:ind w:left="161"/>
              <w:rPr>
                <w:rFonts w:ascii="Microsoft JhengHei" w:eastAsia="Microsoft JhengHei" w:hint="eastAsia"/>
                <w:b/>
                <w:sz w:val="18"/>
              </w:rPr>
            </w:pPr>
            <w:r>
              <w:rPr>
                <w:rFonts w:ascii="Microsoft JhengHei" w:eastAsia="Microsoft JhengHei" w:hint="eastAsia"/>
                <w:b/>
                <w:sz w:val="18"/>
              </w:rPr>
              <w:t>其他减少</w:t>
            </w:r>
          </w:p>
        </w:tc>
        <w:tc>
          <w:tcPr>
            <w:tcW w:w="1327" w:type="dxa"/>
            <w:tcBorders>
              <w:left w:val="single" w:sz="4" w:space="0" w:color="000000"/>
              <w:bottom w:val="single" w:sz="4" w:space="0" w:color="000000"/>
              <w:right w:val="single" w:sz="4" w:space="0" w:color="000000"/>
            </w:tcBorders>
          </w:tcPr>
          <w:p>
            <w:pPr>
              <w:pStyle w:val="TableParagraph"/>
              <w:spacing w:line="224" w:lineRule="exact"/>
              <w:ind w:left="113" w:right="84"/>
              <w:jc w:val="center"/>
              <w:rPr>
                <w:rFonts w:ascii="Microsoft JhengHei" w:eastAsia="Microsoft JhengHei" w:hint="eastAsia"/>
                <w:b/>
                <w:sz w:val="18"/>
              </w:rPr>
            </w:pPr>
            <w:r>
              <w:rPr>
                <w:rFonts w:ascii="Microsoft JhengHei" w:eastAsia="Microsoft JhengHei" w:hint="eastAsia"/>
                <w:b/>
                <w:sz w:val="18"/>
              </w:rPr>
              <w:t>外币报表折算</w:t>
            </w:r>
          </w:p>
          <w:p>
            <w:pPr>
              <w:pStyle w:val="TableParagraph"/>
              <w:spacing w:line="223" w:lineRule="exact"/>
              <w:ind w:left="113" w:right="78"/>
              <w:jc w:val="center"/>
              <w:rPr>
                <w:rFonts w:ascii="Microsoft JhengHei" w:eastAsia="Microsoft JhengHei" w:hint="eastAsia"/>
                <w:b/>
                <w:sz w:val="18"/>
              </w:rPr>
            </w:pPr>
            <w:r>
              <w:rPr>
                <w:rFonts w:ascii="Microsoft JhengHei" w:eastAsia="Microsoft JhengHei" w:hint="eastAsia"/>
                <w:b/>
                <w:sz w:val="18"/>
              </w:rPr>
              <w:t>差额</w:t>
            </w:r>
          </w:p>
        </w:tc>
        <w:tc>
          <w:tcPr>
            <w:tcW w:w="1312" w:type="dxa"/>
            <w:tcBorders>
              <w:left w:val="single" w:sz="4" w:space="0" w:color="000000"/>
              <w:bottom w:val="single" w:sz="4" w:space="0" w:color="000000"/>
            </w:tcBorders>
          </w:tcPr>
          <w:p>
            <w:pPr>
              <w:pStyle w:val="TableParagraph"/>
              <w:spacing w:before="57"/>
              <w:ind w:left="307"/>
              <w:rPr>
                <w:rFonts w:ascii="Microsoft JhengHei" w:eastAsia="Microsoft JhengHei" w:hint="eastAsia"/>
                <w:b/>
                <w:sz w:val="18"/>
              </w:rPr>
            </w:pPr>
            <w:r>
              <w:rPr>
                <w:rFonts w:ascii="Microsoft JhengHei" w:eastAsia="Microsoft JhengHei" w:hint="eastAsia"/>
                <w:b/>
                <w:sz w:val="18"/>
              </w:rPr>
              <w:t>期末余额</w:t>
            </w:r>
          </w:p>
        </w:tc>
      </w:tr>
      <w:tr>
        <w:trPr>
          <w:trHeight w:val="369" w:hRule="atLeast"/>
        </w:trPr>
        <w:tc>
          <w:tcPr>
            <w:tcW w:w="1435"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美国 </w:t>
            </w:r>
            <w:r>
              <w:rPr>
                <w:sz w:val="18"/>
              </w:rPr>
              <w:t>GEA </w:t>
            </w:r>
            <w:r>
              <w:rPr>
                <w:rFonts w:ascii="宋体" w:eastAsia="宋体" w:hint="eastAsia"/>
                <w:sz w:val="18"/>
              </w:rPr>
              <w:t>项目</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76"/>
              <w:ind w:left="179"/>
              <w:rPr>
                <w:sz w:val="18"/>
              </w:rPr>
            </w:pPr>
            <w:r>
              <w:rPr>
                <w:sz w:val="18"/>
              </w:rPr>
              <w:t>34,061,569.61</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before="64"/>
              <w:ind w:right="-15"/>
              <w:jc w:val="right"/>
              <w:rPr>
                <w:rFonts w:ascii="宋体"/>
                <w:sz w:val="18"/>
              </w:rPr>
            </w:pPr>
            <w:r>
              <w:rPr>
                <w:rFonts w:ascii="宋体"/>
                <w:sz w:val="18"/>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76"/>
              <w:ind w:left="331"/>
              <w:rPr>
                <w:sz w:val="18"/>
              </w:rPr>
            </w:pPr>
            <w:r>
              <w:rPr>
                <w:sz w:val="18"/>
              </w:rPr>
              <w:t>33,691,546.38</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before="64"/>
              <w:ind w:right="-15"/>
              <w:jc w:val="right"/>
              <w:rPr>
                <w:rFonts w:ascii="宋体"/>
                <w:sz w:val="18"/>
              </w:rPr>
            </w:pPr>
            <w:r>
              <w:rPr>
                <w:rFonts w:ascii="宋体"/>
                <w:sz w:val="18"/>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before="76"/>
              <w:ind w:left="359"/>
              <w:rPr>
                <w:sz w:val="18"/>
              </w:rPr>
            </w:pPr>
            <w:r>
              <w:rPr>
                <w:sz w:val="18"/>
              </w:rPr>
              <w:t>-370,023.23</w:t>
            </w:r>
          </w:p>
        </w:tc>
        <w:tc>
          <w:tcPr>
            <w:tcW w:w="1312"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1435"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其他</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64"/>
              <w:ind w:right="-15"/>
              <w:jc w:val="right"/>
              <w:rPr>
                <w:rFonts w:ascii="宋体"/>
                <w:sz w:val="18"/>
              </w:rPr>
            </w:pPr>
            <w:r>
              <w:rPr>
                <w:rFonts w:ascii="宋体"/>
                <w:sz w:val="18"/>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before="76"/>
              <w:ind w:left="261"/>
              <w:rPr>
                <w:sz w:val="18"/>
              </w:rPr>
            </w:pPr>
            <w:r>
              <w:rPr>
                <w:sz w:val="18"/>
              </w:rPr>
              <w:t>837,735.85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64"/>
              <w:ind w:right="-15"/>
              <w:jc w:val="right"/>
              <w:rPr>
                <w:rFonts w:ascii="宋体"/>
                <w:sz w:val="18"/>
              </w:rPr>
            </w:pPr>
            <w:r>
              <w:rPr>
                <w:rFonts w:ascii="宋体"/>
                <w:sz w:val="18"/>
              </w:rPr>
              <w:t> </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before="64"/>
              <w:ind w:right="-15"/>
              <w:jc w:val="right"/>
              <w:rPr>
                <w:rFonts w:ascii="宋体"/>
                <w:sz w:val="18"/>
              </w:rPr>
            </w:pPr>
            <w:r>
              <w:rPr>
                <w:rFonts w:ascii="宋体"/>
                <w:sz w:val="18"/>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before="64"/>
              <w:ind w:right="-15"/>
              <w:jc w:val="right"/>
              <w:rPr>
                <w:rFonts w:ascii="宋体"/>
                <w:sz w:val="18"/>
              </w:rPr>
            </w:pPr>
            <w:r>
              <w:rPr>
                <w:rFonts w:ascii="宋体"/>
                <w:sz w:val="18"/>
              </w:rPr>
              <w:t> </w:t>
            </w:r>
          </w:p>
        </w:tc>
        <w:tc>
          <w:tcPr>
            <w:tcW w:w="1312" w:type="dxa"/>
            <w:tcBorders>
              <w:top w:val="single" w:sz="4" w:space="0" w:color="000000"/>
              <w:left w:val="single" w:sz="4" w:space="0" w:color="000000"/>
              <w:bottom w:val="single" w:sz="4" w:space="0" w:color="000000"/>
            </w:tcBorders>
          </w:tcPr>
          <w:p>
            <w:pPr>
              <w:pStyle w:val="TableParagraph"/>
              <w:spacing w:before="76"/>
              <w:ind w:right="72"/>
              <w:jc w:val="right"/>
              <w:rPr>
                <w:sz w:val="18"/>
              </w:rPr>
            </w:pPr>
            <w:r>
              <w:rPr>
                <w:sz w:val="18"/>
              </w:rPr>
              <w:t>837,735.85</w:t>
            </w:r>
          </w:p>
        </w:tc>
      </w:tr>
      <w:tr>
        <w:trPr>
          <w:trHeight w:val="368" w:hRule="atLeast"/>
        </w:trPr>
        <w:tc>
          <w:tcPr>
            <w:tcW w:w="1435" w:type="dxa"/>
            <w:tcBorders>
              <w:top w:val="single" w:sz="4" w:space="0" w:color="000000"/>
              <w:right w:val="single" w:sz="4" w:space="0" w:color="000000"/>
            </w:tcBorders>
          </w:tcPr>
          <w:p>
            <w:pPr>
              <w:pStyle w:val="TableParagraph"/>
              <w:spacing w:before="69"/>
              <w:ind w:left="82" w:right="64"/>
              <w:jc w:val="center"/>
              <w:rPr>
                <w:rFonts w:ascii="宋体" w:eastAsia="宋体" w:hint="eastAsia"/>
                <w:sz w:val="18"/>
              </w:rPr>
            </w:pPr>
            <w:r>
              <w:rPr>
                <w:rFonts w:ascii="宋体" w:eastAsia="宋体" w:hint="eastAsia"/>
                <w:sz w:val="18"/>
              </w:rPr>
              <w:t>合计</w:t>
            </w:r>
          </w:p>
        </w:tc>
        <w:tc>
          <w:tcPr>
            <w:tcW w:w="1313" w:type="dxa"/>
            <w:tcBorders>
              <w:top w:val="single" w:sz="4" w:space="0" w:color="000000"/>
              <w:left w:val="single" w:sz="4" w:space="0" w:color="000000"/>
              <w:right w:val="single" w:sz="4" w:space="0" w:color="000000"/>
            </w:tcBorders>
          </w:tcPr>
          <w:p>
            <w:pPr>
              <w:pStyle w:val="TableParagraph"/>
              <w:spacing w:before="76"/>
              <w:ind w:left="179"/>
              <w:rPr>
                <w:sz w:val="18"/>
              </w:rPr>
            </w:pPr>
            <w:r>
              <w:rPr>
                <w:sz w:val="18"/>
              </w:rPr>
              <w:t>34,061,569.61</w:t>
            </w:r>
          </w:p>
        </w:tc>
        <w:tc>
          <w:tcPr>
            <w:tcW w:w="1171" w:type="dxa"/>
            <w:tcBorders>
              <w:top w:val="single" w:sz="4" w:space="0" w:color="000000"/>
              <w:left w:val="single" w:sz="4" w:space="0" w:color="000000"/>
              <w:right w:val="single" w:sz="4" w:space="0" w:color="000000"/>
            </w:tcBorders>
          </w:tcPr>
          <w:p>
            <w:pPr>
              <w:pStyle w:val="TableParagraph"/>
              <w:spacing w:before="76"/>
              <w:ind w:left="261"/>
              <w:rPr>
                <w:sz w:val="18"/>
              </w:rPr>
            </w:pPr>
            <w:r>
              <w:rPr>
                <w:sz w:val="18"/>
              </w:rPr>
              <w:t>837,735.85</w:t>
            </w:r>
          </w:p>
        </w:tc>
        <w:tc>
          <w:tcPr>
            <w:tcW w:w="1464" w:type="dxa"/>
            <w:tcBorders>
              <w:top w:val="single" w:sz="4" w:space="0" w:color="000000"/>
              <w:left w:val="single" w:sz="4" w:space="0" w:color="000000"/>
              <w:right w:val="single" w:sz="4" w:space="0" w:color="000000"/>
            </w:tcBorders>
          </w:tcPr>
          <w:p>
            <w:pPr>
              <w:pStyle w:val="TableParagraph"/>
              <w:spacing w:before="76"/>
              <w:ind w:left="331"/>
              <w:rPr>
                <w:sz w:val="18"/>
              </w:rPr>
            </w:pPr>
            <w:r>
              <w:rPr>
                <w:sz w:val="18"/>
              </w:rPr>
              <w:t>33,691,546.38</w:t>
            </w:r>
          </w:p>
        </w:tc>
        <w:tc>
          <w:tcPr>
            <w:tcW w:w="1024" w:type="dxa"/>
            <w:tcBorders>
              <w:top w:val="single" w:sz="4" w:space="0" w:color="000000"/>
              <w:left w:val="single" w:sz="4" w:space="0" w:color="000000"/>
              <w:right w:val="single" w:sz="4" w:space="0" w:color="000000"/>
            </w:tcBorders>
          </w:tcPr>
          <w:p>
            <w:pPr>
              <w:pStyle w:val="TableParagraph"/>
              <w:rPr>
                <w:sz w:val="18"/>
              </w:rPr>
            </w:pPr>
          </w:p>
        </w:tc>
        <w:tc>
          <w:tcPr>
            <w:tcW w:w="1327" w:type="dxa"/>
            <w:tcBorders>
              <w:top w:val="single" w:sz="4" w:space="0" w:color="000000"/>
              <w:left w:val="single" w:sz="4" w:space="0" w:color="000000"/>
              <w:right w:val="single" w:sz="4" w:space="0" w:color="000000"/>
            </w:tcBorders>
          </w:tcPr>
          <w:p>
            <w:pPr>
              <w:pStyle w:val="TableParagraph"/>
              <w:spacing w:before="76"/>
              <w:ind w:left="359"/>
              <w:rPr>
                <w:sz w:val="18"/>
              </w:rPr>
            </w:pPr>
            <w:r>
              <w:rPr>
                <w:sz w:val="18"/>
              </w:rPr>
              <w:t>-370,023.23</w:t>
            </w:r>
          </w:p>
        </w:tc>
        <w:tc>
          <w:tcPr>
            <w:tcW w:w="1312" w:type="dxa"/>
            <w:tcBorders>
              <w:top w:val="single" w:sz="4" w:space="0" w:color="000000"/>
              <w:left w:val="single" w:sz="4" w:space="0" w:color="000000"/>
            </w:tcBorders>
          </w:tcPr>
          <w:p>
            <w:pPr>
              <w:pStyle w:val="TableParagraph"/>
              <w:spacing w:before="76"/>
              <w:ind w:right="72"/>
              <w:jc w:val="right"/>
              <w:rPr>
                <w:sz w:val="18"/>
              </w:rPr>
            </w:pPr>
            <w:r>
              <w:rPr>
                <w:sz w:val="18"/>
              </w:rPr>
              <w:t>837,735.85</w:t>
            </w:r>
          </w:p>
        </w:tc>
      </w:tr>
    </w:tbl>
    <w:p>
      <w:pPr>
        <w:pStyle w:val="BodyText"/>
        <w:spacing w:line="265" w:lineRule="exact" w:before="3"/>
        <w:ind w:left="1538"/>
      </w:pPr>
      <w:r>
        <w:rPr>
          <w:w w:val="100"/>
        </w:rPr>
        <w:t> </w:t>
      </w:r>
    </w:p>
    <w:p>
      <w:pPr>
        <w:pStyle w:val="Heading4"/>
        <w:spacing w:line="383" w:lineRule="exact"/>
      </w:pPr>
      <w:r>
        <w:rPr>
          <w:rFonts w:ascii="Times New Roman" w:eastAsia="Times New Roman"/>
        </w:rPr>
        <w:t>17</w:t>
      </w:r>
      <w:r>
        <w:rPr/>
        <w:t>、 使用权资产</w:t>
      </w:r>
    </w:p>
    <w:p>
      <w:pPr>
        <w:pStyle w:val="BodyText"/>
        <w:spacing w:before="17"/>
        <w:ind w:left="1538"/>
      </w:pPr>
      <w:r>
        <w:rPr>
          <w:w w:val="100"/>
        </w:rPr>
        <w:t> </w:t>
      </w:r>
    </w:p>
    <w:tbl>
      <w:tblPr>
        <w:tblW w:w="0" w:type="auto"/>
        <w:jc w:val="left"/>
        <w:tblInd w:w="14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641"/>
        <w:gridCol w:w="2194"/>
        <w:gridCol w:w="2052"/>
        <w:gridCol w:w="2197"/>
      </w:tblGrid>
      <w:tr>
        <w:trPr>
          <w:trHeight w:val="369" w:hRule="atLeast"/>
        </w:trPr>
        <w:tc>
          <w:tcPr>
            <w:tcW w:w="2641" w:type="dxa"/>
            <w:tcBorders>
              <w:bottom w:val="single" w:sz="4" w:space="0" w:color="000000"/>
              <w:right w:val="single" w:sz="4" w:space="0" w:color="000000"/>
            </w:tcBorders>
          </w:tcPr>
          <w:p>
            <w:pPr>
              <w:pStyle w:val="TableParagraph"/>
              <w:spacing w:line="349" w:lineRule="exact"/>
              <w:ind w:left="871" w:right="859"/>
              <w:jc w:val="center"/>
              <w:rPr>
                <w:rFonts w:ascii="Microsoft JhengHei" w:eastAsia="Microsoft JhengHei" w:hint="eastAsia"/>
                <w:b/>
                <w:sz w:val="21"/>
              </w:rPr>
            </w:pPr>
            <w:r>
              <w:rPr>
                <w:rFonts w:ascii="Microsoft JhengHei" w:eastAsia="Microsoft JhengHei" w:hint="eastAsia"/>
                <w:b/>
                <w:sz w:val="21"/>
              </w:rPr>
              <w:t>项目</w:t>
            </w:r>
          </w:p>
        </w:tc>
        <w:tc>
          <w:tcPr>
            <w:tcW w:w="2194" w:type="dxa"/>
            <w:tcBorders>
              <w:left w:val="single" w:sz="4" w:space="0" w:color="000000"/>
              <w:bottom w:val="single" w:sz="4" w:space="0" w:color="000000"/>
              <w:right w:val="single" w:sz="4" w:space="0" w:color="000000"/>
            </w:tcBorders>
          </w:tcPr>
          <w:p>
            <w:pPr>
              <w:pStyle w:val="TableParagraph"/>
              <w:spacing w:line="349" w:lineRule="exact"/>
              <w:ind w:left="474"/>
              <w:rPr>
                <w:rFonts w:ascii="Microsoft JhengHei" w:eastAsia="Microsoft JhengHei" w:hint="eastAsia"/>
                <w:b/>
                <w:sz w:val="21"/>
              </w:rPr>
            </w:pPr>
            <w:r>
              <w:rPr>
                <w:rFonts w:ascii="Microsoft JhengHei" w:eastAsia="Microsoft JhengHei" w:hint="eastAsia"/>
                <w:b/>
                <w:sz w:val="21"/>
              </w:rPr>
              <w:t>房屋及建筑物</w:t>
            </w:r>
          </w:p>
        </w:tc>
        <w:tc>
          <w:tcPr>
            <w:tcW w:w="2052" w:type="dxa"/>
            <w:tcBorders>
              <w:left w:val="single" w:sz="4" w:space="0" w:color="000000"/>
              <w:bottom w:val="single" w:sz="4" w:space="0" w:color="000000"/>
              <w:right w:val="single" w:sz="4" w:space="0" w:color="000000"/>
            </w:tcBorders>
          </w:tcPr>
          <w:p>
            <w:pPr>
              <w:pStyle w:val="TableParagraph"/>
              <w:spacing w:line="349" w:lineRule="exact"/>
              <w:ind w:left="613"/>
              <w:rPr>
                <w:rFonts w:ascii="Microsoft JhengHei" w:eastAsia="Microsoft JhengHei" w:hint="eastAsia"/>
                <w:b/>
                <w:sz w:val="21"/>
              </w:rPr>
            </w:pPr>
            <w:r>
              <w:rPr>
                <w:rFonts w:ascii="Microsoft JhengHei" w:eastAsia="Microsoft JhengHei" w:hint="eastAsia"/>
                <w:b/>
                <w:sz w:val="21"/>
              </w:rPr>
              <w:t>生产设备</w:t>
            </w:r>
          </w:p>
        </w:tc>
        <w:tc>
          <w:tcPr>
            <w:tcW w:w="2197" w:type="dxa"/>
            <w:tcBorders>
              <w:left w:val="single" w:sz="4" w:space="0" w:color="000000"/>
              <w:bottom w:val="single" w:sz="4" w:space="0" w:color="000000"/>
            </w:tcBorders>
          </w:tcPr>
          <w:p>
            <w:pPr>
              <w:pStyle w:val="TableParagraph"/>
              <w:spacing w:line="349" w:lineRule="exact"/>
              <w:ind w:left="683"/>
              <w:rPr>
                <w:rFonts w:ascii="Microsoft JhengHei" w:eastAsia="Microsoft JhengHei" w:hint="eastAsia"/>
                <w:b/>
                <w:sz w:val="21"/>
              </w:rPr>
            </w:pPr>
            <w:r>
              <w:rPr>
                <w:rFonts w:ascii="Microsoft JhengHei" w:eastAsia="Microsoft JhengHei" w:hint="eastAsia"/>
                <w:b/>
                <w:sz w:val="21"/>
              </w:rPr>
              <w:t>运输设备</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rFonts w:ascii="宋体" w:eastAsia="宋体" w:hint="eastAsia"/>
                <w:sz w:val="21"/>
              </w:rPr>
              <w:t>一、账面原值：</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7"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sz w:val="21"/>
              </w:rPr>
              <w:t>1.</w:t>
            </w:r>
            <w:r>
              <w:rPr>
                <w:rFonts w:ascii="宋体" w:eastAsia="宋体" w:hint="eastAsia"/>
                <w:sz w:val="21"/>
              </w:rPr>
              <w:t>期初余额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2,817,150,021.16</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30,765,699.60</w:t>
            </w:r>
          </w:p>
        </w:tc>
        <w:tc>
          <w:tcPr>
            <w:tcW w:w="2197" w:type="dxa"/>
            <w:tcBorders>
              <w:top w:val="single" w:sz="4" w:space="0" w:color="000000"/>
              <w:left w:val="single" w:sz="4" w:space="0" w:color="000000"/>
              <w:bottom w:val="single" w:sz="4" w:space="0" w:color="000000"/>
            </w:tcBorders>
          </w:tcPr>
          <w:p>
            <w:pPr>
              <w:pStyle w:val="TableParagraph"/>
              <w:spacing w:before="58"/>
              <w:jc w:val="right"/>
              <w:rPr>
                <w:sz w:val="21"/>
              </w:rPr>
            </w:pPr>
            <w:r>
              <w:rPr>
                <w:sz w:val="21"/>
              </w:rPr>
              <w:t>168,524,791.57</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2.</w:t>
            </w:r>
            <w:r>
              <w:rPr>
                <w:rFonts w:ascii="宋体" w:eastAsia="宋体" w:hint="eastAsia"/>
                <w:sz w:val="21"/>
              </w:rPr>
              <w:t>本期增加金额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7"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rFonts w:ascii="宋体" w:eastAsia="宋体" w:hint="eastAsia"/>
                <w:sz w:val="21"/>
              </w:rPr>
              <w:t>（</w:t>
            </w:r>
            <w:r>
              <w:rPr>
                <w:sz w:val="21"/>
              </w:rPr>
              <w:t>1</w:t>
            </w:r>
            <w:r>
              <w:rPr>
                <w:rFonts w:ascii="宋体" w:eastAsia="宋体" w:hint="eastAsia"/>
                <w:sz w:val="21"/>
              </w:rPr>
              <w:t>）增加</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855,224,423.82</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14,743,072.13</w:t>
            </w:r>
          </w:p>
        </w:tc>
        <w:tc>
          <w:tcPr>
            <w:tcW w:w="2197" w:type="dxa"/>
            <w:tcBorders>
              <w:top w:val="single" w:sz="4" w:space="0" w:color="000000"/>
              <w:left w:val="single" w:sz="4" w:space="0" w:color="000000"/>
              <w:bottom w:val="single" w:sz="4" w:space="0" w:color="000000"/>
            </w:tcBorders>
          </w:tcPr>
          <w:p>
            <w:pPr>
              <w:pStyle w:val="TableParagraph"/>
              <w:spacing w:before="58"/>
              <w:jc w:val="right"/>
              <w:rPr>
                <w:sz w:val="21"/>
              </w:rPr>
            </w:pPr>
            <w:r>
              <w:rPr>
                <w:sz w:val="21"/>
              </w:rPr>
              <w:t>54,236,643.32</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3.</w:t>
            </w:r>
            <w:r>
              <w:rPr>
                <w:rFonts w:ascii="宋体" w:eastAsia="宋体" w:hint="eastAsia"/>
                <w:sz w:val="21"/>
              </w:rPr>
              <w:t>本期减少金额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7"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rFonts w:ascii="宋体" w:eastAsia="宋体" w:hint="eastAsia"/>
                <w:sz w:val="21"/>
              </w:rPr>
              <w:t>（</w:t>
            </w:r>
            <w:r>
              <w:rPr>
                <w:sz w:val="21"/>
              </w:rPr>
              <w:t>1</w:t>
            </w:r>
            <w:r>
              <w:rPr>
                <w:rFonts w:ascii="宋体" w:eastAsia="宋体" w:hint="eastAsia"/>
                <w:sz w:val="21"/>
              </w:rPr>
              <w:t>）处置</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121,342,707.89</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5,981,085.55</w:t>
            </w:r>
          </w:p>
        </w:tc>
        <w:tc>
          <w:tcPr>
            <w:tcW w:w="2197" w:type="dxa"/>
            <w:tcBorders>
              <w:top w:val="single" w:sz="4" w:space="0" w:color="000000"/>
              <w:left w:val="single" w:sz="4" w:space="0" w:color="000000"/>
              <w:bottom w:val="single" w:sz="4" w:space="0" w:color="000000"/>
            </w:tcBorders>
          </w:tcPr>
          <w:p>
            <w:pPr>
              <w:pStyle w:val="TableParagraph"/>
              <w:spacing w:before="58"/>
              <w:jc w:val="right"/>
              <w:rPr>
                <w:sz w:val="21"/>
              </w:rPr>
            </w:pPr>
            <w:r>
              <w:rPr>
                <w:sz w:val="21"/>
              </w:rPr>
              <w:t>20,949,701.34</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rFonts w:ascii="宋体" w:eastAsia="宋体" w:hint="eastAsia"/>
                <w:sz w:val="21"/>
              </w:rPr>
              <w:t>（</w:t>
            </w:r>
            <w:r>
              <w:rPr>
                <w:sz w:val="21"/>
              </w:rPr>
              <w:t>2</w:t>
            </w:r>
            <w:r>
              <w:rPr>
                <w:rFonts w:ascii="宋体" w:eastAsia="宋体" w:hint="eastAsia"/>
                <w:sz w:val="21"/>
              </w:rPr>
              <w:t>）处置子公司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30,646,112.30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196,442.81</w:t>
            </w:r>
          </w:p>
        </w:tc>
        <w:tc>
          <w:tcPr>
            <w:tcW w:w="2197"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4.</w:t>
            </w:r>
            <w:r>
              <w:rPr>
                <w:rFonts w:ascii="宋体" w:eastAsia="宋体" w:hint="eastAsia"/>
                <w:sz w:val="21"/>
              </w:rPr>
              <w:t>外币报表折算差额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55"/>
              <w:ind w:right="5"/>
              <w:jc w:val="right"/>
              <w:rPr>
                <w:sz w:val="21"/>
              </w:rPr>
            </w:pPr>
            <w:r>
              <w:rPr>
                <w:sz w:val="21"/>
              </w:rPr>
              <w:t>-156,719,185.51</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5"/>
              <w:ind w:right="5"/>
              <w:jc w:val="right"/>
              <w:rPr>
                <w:sz w:val="21"/>
              </w:rPr>
            </w:pPr>
            <w:r>
              <w:rPr>
                <w:sz w:val="21"/>
              </w:rPr>
              <w:t>314,577.54</w:t>
            </w:r>
          </w:p>
        </w:tc>
        <w:tc>
          <w:tcPr>
            <w:tcW w:w="2197" w:type="dxa"/>
            <w:tcBorders>
              <w:top w:val="single" w:sz="4" w:space="0" w:color="000000"/>
              <w:left w:val="single" w:sz="4" w:space="0" w:color="000000"/>
              <w:bottom w:val="single" w:sz="4" w:space="0" w:color="000000"/>
            </w:tcBorders>
          </w:tcPr>
          <w:p>
            <w:pPr>
              <w:pStyle w:val="TableParagraph"/>
              <w:spacing w:before="55"/>
              <w:jc w:val="right"/>
              <w:rPr>
                <w:sz w:val="21"/>
              </w:rPr>
            </w:pPr>
            <w:r>
              <w:rPr>
                <w:sz w:val="21"/>
              </w:rPr>
              <w:t>-7,303,900.52</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5.</w:t>
            </w:r>
            <w:r>
              <w:rPr>
                <w:rFonts w:ascii="宋体" w:eastAsia="宋体" w:hint="eastAsia"/>
                <w:sz w:val="21"/>
              </w:rPr>
              <w:t>期末余额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55"/>
              <w:ind w:right="5"/>
              <w:jc w:val="right"/>
              <w:rPr>
                <w:sz w:val="21"/>
              </w:rPr>
            </w:pPr>
            <w:r>
              <w:rPr>
                <w:sz w:val="21"/>
              </w:rPr>
              <w:t>3,363,666,439.28</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5"/>
              <w:ind w:right="5"/>
              <w:jc w:val="right"/>
              <w:rPr>
                <w:sz w:val="21"/>
              </w:rPr>
            </w:pPr>
            <w:r>
              <w:rPr>
                <w:sz w:val="21"/>
              </w:rPr>
              <w:t>39,645,820.91</w:t>
            </w:r>
          </w:p>
        </w:tc>
        <w:tc>
          <w:tcPr>
            <w:tcW w:w="2197" w:type="dxa"/>
            <w:tcBorders>
              <w:top w:val="single" w:sz="4" w:space="0" w:color="000000"/>
              <w:left w:val="single" w:sz="4" w:space="0" w:color="000000"/>
              <w:bottom w:val="single" w:sz="4" w:space="0" w:color="000000"/>
            </w:tcBorders>
          </w:tcPr>
          <w:p>
            <w:pPr>
              <w:pStyle w:val="TableParagraph"/>
              <w:spacing w:before="55"/>
              <w:jc w:val="right"/>
              <w:rPr>
                <w:sz w:val="21"/>
              </w:rPr>
            </w:pPr>
            <w:r>
              <w:rPr>
                <w:sz w:val="21"/>
              </w:rPr>
              <w:t>194,507,833.03</w:t>
            </w:r>
          </w:p>
        </w:tc>
      </w:tr>
      <w:tr>
        <w:trPr>
          <w:trHeight w:val="366"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rFonts w:ascii="宋体" w:eastAsia="宋体" w:hint="eastAsia"/>
                <w:sz w:val="21"/>
              </w:rPr>
              <w:t>二、累计折旧</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7"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sz w:val="21"/>
              </w:rPr>
              <w:t>1.</w:t>
            </w:r>
            <w:r>
              <w:rPr>
                <w:rFonts w:ascii="宋体" w:eastAsia="宋体" w:hint="eastAsia"/>
                <w:sz w:val="21"/>
              </w:rPr>
              <w:t>期初余额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470,357,728.65</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4,559,852.96</w:t>
            </w:r>
          </w:p>
        </w:tc>
        <w:tc>
          <w:tcPr>
            <w:tcW w:w="2197" w:type="dxa"/>
            <w:tcBorders>
              <w:top w:val="single" w:sz="4" w:space="0" w:color="000000"/>
              <w:left w:val="single" w:sz="4" w:space="0" w:color="000000"/>
              <w:bottom w:val="single" w:sz="4" w:space="0" w:color="000000"/>
            </w:tcBorders>
          </w:tcPr>
          <w:p>
            <w:pPr>
              <w:pStyle w:val="TableParagraph"/>
              <w:spacing w:before="58"/>
              <w:jc w:val="right"/>
              <w:rPr>
                <w:sz w:val="21"/>
              </w:rPr>
            </w:pPr>
            <w:r>
              <w:rPr>
                <w:sz w:val="21"/>
              </w:rPr>
              <w:t>54,622,784.52</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sz w:val="21"/>
              </w:rPr>
              <w:t>2.</w:t>
            </w:r>
            <w:r>
              <w:rPr>
                <w:rFonts w:ascii="宋体" w:eastAsia="宋体" w:hint="eastAsia"/>
                <w:sz w:val="21"/>
              </w:rPr>
              <w:t>本期增加金额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7"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rFonts w:ascii="宋体" w:eastAsia="宋体" w:hint="eastAsia"/>
                <w:sz w:val="21"/>
              </w:rPr>
              <w:t>（</w:t>
            </w:r>
            <w:r>
              <w:rPr>
                <w:sz w:val="21"/>
              </w:rPr>
              <w:t>1</w:t>
            </w:r>
            <w:r>
              <w:rPr>
                <w:rFonts w:ascii="宋体" w:eastAsia="宋体" w:hint="eastAsia"/>
                <w:sz w:val="21"/>
              </w:rPr>
              <w:t>）计提</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534,683,686.24</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9,392,036.65</w:t>
            </w:r>
          </w:p>
        </w:tc>
        <w:tc>
          <w:tcPr>
            <w:tcW w:w="2197" w:type="dxa"/>
            <w:tcBorders>
              <w:top w:val="single" w:sz="4" w:space="0" w:color="000000"/>
              <w:left w:val="single" w:sz="4" w:space="0" w:color="000000"/>
              <w:bottom w:val="single" w:sz="4" w:space="0" w:color="000000"/>
            </w:tcBorders>
          </w:tcPr>
          <w:p>
            <w:pPr>
              <w:pStyle w:val="TableParagraph"/>
              <w:spacing w:before="58"/>
              <w:jc w:val="right"/>
              <w:rPr>
                <w:sz w:val="21"/>
              </w:rPr>
            </w:pPr>
            <w:r>
              <w:rPr>
                <w:sz w:val="21"/>
              </w:rPr>
              <w:t>59,540,619.07</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sz w:val="21"/>
              </w:rPr>
              <w:t>3.</w:t>
            </w:r>
            <w:r>
              <w:rPr>
                <w:rFonts w:ascii="宋体" w:eastAsia="宋体" w:hint="eastAsia"/>
                <w:sz w:val="21"/>
              </w:rPr>
              <w:t>本期减少金额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7"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rFonts w:ascii="宋体" w:eastAsia="宋体" w:hint="eastAsia"/>
                <w:sz w:val="21"/>
              </w:rPr>
              <w:t>（</w:t>
            </w:r>
            <w:r>
              <w:rPr>
                <w:sz w:val="21"/>
              </w:rPr>
              <w:t>1</w:t>
            </w:r>
            <w:r>
              <w:rPr>
                <w:rFonts w:ascii="宋体" w:eastAsia="宋体" w:hint="eastAsia"/>
                <w:sz w:val="21"/>
              </w:rPr>
              <w:t>）处置</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72,518,726.56</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84,382.05</w:t>
            </w:r>
          </w:p>
        </w:tc>
        <w:tc>
          <w:tcPr>
            <w:tcW w:w="2197" w:type="dxa"/>
            <w:tcBorders>
              <w:top w:val="single" w:sz="4" w:space="0" w:color="000000"/>
              <w:left w:val="single" w:sz="4" w:space="0" w:color="000000"/>
              <w:bottom w:val="single" w:sz="4" w:space="0" w:color="000000"/>
            </w:tcBorders>
          </w:tcPr>
          <w:p>
            <w:pPr>
              <w:pStyle w:val="TableParagraph"/>
              <w:spacing w:before="58"/>
              <w:jc w:val="right"/>
              <w:rPr>
                <w:sz w:val="21"/>
              </w:rPr>
            </w:pPr>
            <w:r>
              <w:rPr>
                <w:sz w:val="21"/>
              </w:rPr>
              <w:t>16,642,206.48</w:t>
            </w:r>
          </w:p>
        </w:tc>
      </w:tr>
      <w:tr>
        <w:trPr>
          <w:trHeight w:val="366" w:hRule="atLeast"/>
        </w:trPr>
        <w:tc>
          <w:tcPr>
            <w:tcW w:w="2641" w:type="dxa"/>
            <w:tcBorders>
              <w:top w:val="single" w:sz="4" w:space="0" w:color="000000"/>
              <w:right w:val="single" w:sz="4" w:space="0" w:color="000000"/>
            </w:tcBorders>
          </w:tcPr>
          <w:p>
            <w:pPr>
              <w:pStyle w:val="TableParagraph"/>
              <w:spacing w:before="49"/>
              <w:ind w:left="28"/>
              <w:rPr>
                <w:rFonts w:ascii="宋体" w:eastAsia="宋体" w:hint="eastAsia"/>
                <w:sz w:val="21"/>
              </w:rPr>
            </w:pPr>
            <w:r>
              <w:rPr>
                <w:rFonts w:ascii="宋体" w:eastAsia="宋体" w:hint="eastAsia"/>
                <w:sz w:val="21"/>
              </w:rPr>
              <w:t>（</w:t>
            </w:r>
            <w:r>
              <w:rPr>
                <w:sz w:val="21"/>
              </w:rPr>
              <w:t>2</w:t>
            </w:r>
            <w:r>
              <w:rPr>
                <w:rFonts w:ascii="宋体" w:eastAsia="宋体" w:hint="eastAsia"/>
                <w:sz w:val="21"/>
              </w:rPr>
              <w:t>）处置子公司</w:t>
            </w:r>
          </w:p>
        </w:tc>
        <w:tc>
          <w:tcPr>
            <w:tcW w:w="2194" w:type="dxa"/>
            <w:tcBorders>
              <w:top w:val="single" w:sz="4" w:space="0" w:color="000000"/>
              <w:left w:val="single" w:sz="4" w:space="0" w:color="000000"/>
              <w:right w:val="single" w:sz="4" w:space="0" w:color="000000"/>
            </w:tcBorders>
          </w:tcPr>
          <w:p>
            <w:pPr>
              <w:pStyle w:val="TableParagraph"/>
              <w:spacing w:before="58"/>
              <w:ind w:right="5"/>
              <w:jc w:val="right"/>
              <w:rPr>
                <w:sz w:val="21"/>
              </w:rPr>
            </w:pPr>
            <w:r>
              <w:rPr>
                <w:sz w:val="21"/>
              </w:rPr>
              <w:t>11,422,732.30</w:t>
            </w:r>
          </w:p>
        </w:tc>
        <w:tc>
          <w:tcPr>
            <w:tcW w:w="2052" w:type="dxa"/>
            <w:tcBorders>
              <w:top w:val="single" w:sz="4" w:space="0" w:color="000000"/>
              <w:left w:val="single" w:sz="4" w:space="0" w:color="000000"/>
              <w:right w:val="single" w:sz="4" w:space="0" w:color="000000"/>
            </w:tcBorders>
          </w:tcPr>
          <w:p>
            <w:pPr>
              <w:pStyle w:val="TableParagraph"/>
              <w:spacing w:before="58"/>
              <w:ind w:right="5"/>
              <w:jc w:val="right"/>
              <w:rPr>
                <w:sz w:val="21"/>
              </w:rPr>
            </w:pPr>
            <w:r>
              <w:rPr>
                <w:sz w:val="21"/>
              </w:rPr>
              <w:t>52,384.78</w:t>
            </w:r>
          </w:p>
        </w:tc>
        <w:tc>
          <w:tcPr>
            <w:tcW w:w="2197" w:type="dxa"/>
            <w:tcBorders>
              <w:top w:val="single" w:sz="4" w:space="0" w:color="000000"/>
              <w:left w:val="single" w:sz="4" w:space="0" w:color="000000"/>
            </w:tcBorders>
          </w:tcPr>
          <w:p>
            <w:pPr>
              <w:pStyle w:val="TableParagraph"/>
              <w:rPr>
                <w:sz w:val="18"/>
              </w:rPr>
            </w:pPr>
          </w:p>
        </w:tc>
      </w:tr>
    </w:tbl>
    <w:p>
      <w:pPr>
        <w:spacing w:after="0"/>
        <w:rPr>
          <w:sz w:val="18"/>
        </w:rPr>
        <w:sectPr>
          <w:headerReference w:type="default" r:id="rId105"/>
          <w:footerReference w:type="default" r:id="rId106"/>
          <w:pgSz w:w="11910" w:h="16840"/>
          <w:pgMar w:header="876" w:footer="1214" w:top="1440" w:bottom="1400" w:left="260" w:right="0"/>
        </w:sectPr>
      </w:pPr>
    </w:p>
    <w:p>
      <w:pPr>
        <w:pStyle w:val="BodyText"/>
        <w:spacing w:before="2"/>
        <w:rPr>
          <w:sz w:val="5"/>
        </w:rPr>
      </w:pPr>
    </w:p>
    <w:tbl>
      <w:tblPr>
        <w:tblW w:w="0" w:type="auto"/>
        <w:jc w:val="left"/>
        <w:tblInd w:w="14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641"/>
        <w:gridCol w:w="2194"/>
        <w:gridCol w:w="2052"/>
        <w:gridCol w:w="2197"/>
      </w:tblGrid>
      <w:tr>
        <w:trPr>
          <w:trHeight w:val="371" w:hRule="atLeast"/>
        </w:trPr>
        <w:tc>
          <w:tcPr>
            <w:tcW w:w="2641" w:type="dxa"/>
            <w:tcBorders>
              <w:bottom w:val="single" w:sz="4" w:space="0" w:color="000000"/>
              <w:right w:val="single" w:sz="4" w:space="0" w:color="000000"/>
            </w:tcBorders>
          </w:tcPr>
          <w:p>
            <w:pPr>
              <w:pStyle w:val="TableParagraph"/>
              <w:spacing w:before="51"/>
              <w:ind w:left="28"/>
              <w:rPr>
                <w:rFonts w:ascii="宋体" w:eastAsia="宋体" w:hint="eastAsia"/>
                <w:sz w:val="21"/>
              </w:rPr>
            </w:pPr>
            <w:r>
              <w:rPr>
                <w:sz w:val="21"/>
              </w:rPr>
              <w:t>4.</w:t>
            </w:r>
            <w:r>
              <w:rPr>
                <w:rFonts w:ascii="宋体" w:eastAsia="宋体" w:hint="eastAsia"/>
                <w:sz w:val="21"/>
              </w:rPr>
              <w:t>外币报表折算差额</w:t>
            </w:r>
          </w:p>
        </w:tc>
        <w:tc>
          <w:tcPr>
            <w:tcW w:w="2194" w:type="dxa"/>
            <w:tcBorders>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-35,419,267.10</w:t>
            </w:r>
          </w:p>
        </w:tc>
        <w:tc>
          <w:tcPr>
            <w:tcW w:w="2052" w:type="dxa"/>
            <w:tcBorders>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-972,165.77</w:t>
            </w:r>
          </w:p>
        </w:tc>
        <w:tc>
          <w:tcPr>
            <w:tcW w:w="2197" w:type="dxa"/>
            <w:tcBorders>
              <w:left w:val="single" w:sz="4" w:space="0" w:color="000000"/>
              <w:bottom w:val="single" w:sz="4" w:space="0" w:color="000000"/>
            </w:tcBorders>
          </w:tcPr>
          <w:p>
            <w:pPr>
              <w:pStyle w:val="TableParagraph"/>
              <w:spacing w:before="58"/>
              <w:jc w:val="right"/>
              <w:rPr>
                <w:sz w:val="21"/>
              </w:rPr>
            </w:pPr>
            <w:r>
              <w:rPr>
                <w:sz w:val="21"/>
              </w:rPr>
              <w:t>-8,277,197.13</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5.</w:t>
            </w:r>
            <w:r>
              <w:rPr>
                <w:rFonts w:ascii="宋体" w:eastAsia="宋体" w:hint="eastAsia"/>
                <w:sz w:val="21"/>
              </w:rPr>
              <w:t>期末余额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55"/>
              <w:ind w:right="5"/>
              <w:jc w:val="right"/>
              <w:rPr>
                <w:sz w:val="21"/>
              </w:rPr>
            </w:pPr>
            <w:r>
              <w:rPr>
                <w:sz w:val="21"/>
              </w:rPr>
              <w:t>885,680,688.93</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5"/>
              <w:ind w:right="5"/>
              <w:jc w:val="right"/>
              <w:rPr>
                <w:sz w:val="21"/>
              </w:rPr>
            </w:pPr>
            <w:r>
              <w:rPr>
                <w:sz w:val="21"/>
              </w:rPr>
              <w:t>12,842,957.01</w:t>
            </w:r>
          </w:p>
        </w:tc>
        <w:tc>
          <w:tcPr>
            <w:tcW w:w="2197" w:type="dxa"/>
            <w:tcBorders>
              <w:top w:val="single" w:sz="4" w:space="0" w:color="000000"/>
              <w:left w:val="single" w:sz="4" w:space="0" w:color="000000"/>
              <w:bottom w:val="single" w:sz="4" w:space="0" w:color="000000"/>
            </w:tcBorders>
          </w:tcPr>
          <w:p>
            <w:pPr>
              <w:pStyle w:val="TableParagraph"/>
              <w:spacing w:before="55"/>
              <w:jc w:val="right"/>
              <w:rPr>
                <w:sz w:val="21"/>
              </w:rPr>
            </w:pPr>
            <w:r>
              <w:rPr>
                <w:sz w:val="21"/>
              </w:rPr>
              <w:t>89,243,999.98</w:t>
            </w:r>
          </w:p>
        </w:tc>
      </w:tr>
      <w:tr>
        <w:trPr>
          <w:trHeight w:val="366"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rFonts w:ascii="宋体" w:eastAsia="宋体" w:hint="eastAsia"/>
                <w:sz w:val="21"/>
              </w:rPr>
              <w:t>三、减值准备</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sz w:val="21"/>
              </w:rPr>
              <w:t>1.</w:t>
            </w:r>
            <w:r>
              <w:rPr>
                <w:rFonts w:ascii="宋体" w:eastAsia="宋体" w:hint="eastAsia"/>
                <w:sz w:val="21"/>
              </w:rPr>
              <w:t>期初余额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sz w:val="21"/>
              </w:rPr>
              <w:t>2.</w:t>
            </w:r>
            <w:r>
              <w:rPr>
                <w:rFonts w:ascii="宋体" w:eastAsia="宋体" w:hint="eastAsia"/>
                <w:sz w:val="21"/>
              </w:rPr>
              <w:t>本期增加金额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rFonts w:ascii="宋体" w:eastAsia="宋体" w:hint="eastAsia"/>
                <w:sz w:val="21"/>
              </w:rPr>
              <w:t>（</w:t>
            </w:r>
            <w:r>
              <w:rPr>
                <w:sz w:val="21"/>
              </w:rPr>
              <w:t>1</w:t>
            </w:r>
            <w:r>
              <w:rPr>
                <w:rFonts w:ascii="宋体" w:eastAsia="宋体" w:hint="eastAsia"/>
                <w:sz w:val="21"/>
              </w:rPr>
              <w:t>）计提</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sz w:val="21"/>
              </w:rPr>
              <w:t>3.</w:t>
            </w:r>
            <w:r>
              <w:rPr>
                <w:rFonts w:ascii="宋体" w:eastAsia="宋体" w:hint="eastAsia"/>
                <w:sz w:val="21"/>
              </w:rPr>
              <w:t>本期减少金额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rFonts w:ascii="宋体" w:eastAsia="宋体" w:hint="eastAsia"/>
                <w:sz w:val="21"/>
              </w:rPr>
              <w:t>（</w:t>
            </w:r>
            <w:r>
              <w:rPr>
                <w:sz w:val="21"/>
              </w:rPr>
              <w:t>1</w:t>
            </w:r>
            <w:r>
              <w:rPr>
                <w:rFonts w:ascii="宋体" w:eastAsia="宋体" w:hint="eastAsia"/>
                <w:sz w:val="21"/>
              </w:rPr>
              <w:t>）处置</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rFonts w:ascii="宋体" w:eastAsia="宋体" w:hint="eastAsia"/>
                <w:sz w:val="21"/>
              </w:rPr>
              <w:t>（</w:t>
            </w:r>
            <w:r>
              <w:rPr>
                <w:sz w:val="21"/>
              </w:rPr>
              <w:t>2</w:t>
            </w:r>
            <w:r>
              <w:rPr>
                <w:rFonts w:ascii="宋体" w:eastAsia="宋体" w:hint="eastAsia"/>
                <w:sz w:val="21"/>
              </w:rPr>
              <w:t>）处置子公司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4.</w:t>
            </w:r>
            <w:r>
              <w:rPr>
                <w:rFonts w:ascii="宋体" w:eastAsia="宋体" w:hint="eastAsia"/>
                <w:sz w:val="21"/>
              </w:rPr>
              <w:t>外币报表折算差额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5.</w:t>
            </w:r>
            <w:r>
              <w:rPr>
                <w:rFonts w:ascii="宋体" w:eastAsia="宋体" w:hint="eastAsia"/>
                <w:sz w:val="21"/>
              </w:rPr>
              <w:t>期末余额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rFonts w:ascii="宋体" w:eastAsia="宋体" w:hint="eastAsia"/>
                <w:sz w:val="21"/>
              </w:rPr>
              <w:t>四、账面价值</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1.</w:t>
            </w:r>
            <w:r>
              <w:rPr>
                <w:rFonts w:ascii="宋体" w:eastAsia="宋体" w:hint="eastAsia"/>
                <w:sz w:val="21"/>
              </w:rPr>
              <w:t>期末账面价值</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55"/>
              <w:ind w:right="5"/>
              <w:jc w:val="right"/>
              <w:rPr>
                <w:sz w:val="21"/>
              </w:rPr>
            </w:pPr>
            <w:r>
              <w:rPr>
                <w:sz w:val="21"/>
              </w:rPr>
              <w:t>2,477,985,750.35</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5"/>
              <w:ind w:right="5"/>
              <w:jc w:val="right"/>
              <w:rPr>
                <w:sz w:val="21"/>
              </w:rPr>
            </w:pPr>
            <w:r>
              <w:rPr>
                <w:sz w:val="21"/>
              </w:rPr>
              <w:t>26,802,863.90</w:t>
            </w:r>
          </w:p>
        </w:tc>
        <w:tc>
          <w:tcPr>
            <w:tcW w:w="2197" w:type="dxa"/>
            <w:tcBorders>
              <w:top w:val="single" w:sz="4" w:space="0" w:color="000000"/>
              <w:left w:val="single" w:sz="4" w:space="0" w:color="000000"/>
              <w:bottom w:val="single" w:sz="4" w:space="0" w:color="000000"/>
            </w:tcBorders>
          </w:tcPr>
          <w:p>
            <w:pPr>
              <w:pStyle w:val="TableParagraph"/>
              <w:spacing w:before="55"/>
              <w:jc w:val="right"/>
              <w:rPr>
                <w:sz w:val="21"/>
              </w:rPr>
            </w:pPr>
            <w:r>
              <w:rPr>
                <w:sz w:val="21"/>
              </w:rPr>
              <w:t>105,263,833.05</w:t>
            </w:r>
          </w:p>
        </w:tc>
      </w:tr>
      <w:tr>
        <w:trPr>
          <w:trHeight w:val="366" w:hRule="atLeast"/>
        </w:trPr>
        <w:tc>
          <w:tcPr>
            <w:tcW w:w="2641" w:type="dxa"/>
            <w:tcBorders>
              <w:top w:val="single" w:sz="4" w:space="0" w:color="000000"/>
              <w:right w:val="single" w:sz="4" w:space="0" w:color="000000"/>
            </w:tcBorders>
          </w:tcPr>
          <w:p>
            <w:pPr>
              <w:pStyle w:val="TableParagraph"/>
              <w:spacing w:before="49"/>
              <w:ind w:left="28"/>
              <w:rPr>
                <w:rFonts w:ascii="宋体" w:eastAsia="宋体" w:hint="eastAsia"/>
                <w:sz w:val="21"/>
              </w:rPr>
            </w:pPr>
            <w:r>
              <w:rPr>
                <w:sz w:val="21"/>
              </w:rPr>
              <w:t>2.</w:t>
            </w:r>
            <w:r>
              <w:rPr>
                <w:rFonts w:ascii="宋体" w:eastAsia="宋体" w:hint="eastAsia"/>
                <w:sz w:val="21"/>
              </w:rPr>
              <w:t>期初账面价值</w:t>
            </w:r>
          </w:p>
        </w:tc>
        <w:tc>
          <w:tcPr>
            <w:tcW w:w="2194" w:type="dxa"/>
            <w:tcBorders>
              <w:top w:val="single" w:sz="4" w:space="0" w:color="000000"/>
              <w:left w:val="single" w:sz="4" w:space="0" w:color="000000"/>
              <w:right w:val="single" w:sz="4" w:space="0" w:color="000000"/>
            </w:tcBorders>
          </w:tcPr>
          <w:p>
            <w:pPr>
              <w:pStyle w:val="TableParagraph"/>
              <w:spacing w:before="55"/>
              <w:ind w:right="5"/>
              <w:jc w:val="right"/>
              <w:rPr>
                <w:sz w:val="21"/>
              </w:rPr>
            </w:pPr>
            <w:r>
              <w:rPr>
                <w:sz w:val="21"/>
              </w:rPr>
              <w:t>2,346,792,292.51</w:t>
            </w:r>
          </w:p>
        </w:tc>
        <w:tc>
          <w:tcPr>
            <w:tcW w:w="2052" w:type="dxa"/>
            <w:tcBorders>
              <w:top w:val="single" w:sz="4" w:space="0" w:color="000000"/>
              <w:left w:val="single" w:sz="4" w:space="0" w:color="000000"/>
              <w:right w:val="single" w:sz="4" w:space="0" w:color="000000"/>
            </w:tcBorders>
          </w:tcPr>
          <w:p>
            <w:pPr>
              <w:pStyle w:val="TableParagraph"/>
              <w:spacing w:before="55"/>
              <w:ind w:right="5"/>
              <w:jc w:val="right"/>
              <w:rPr>
                <w:sz w:val="21"/>
              </w:rPr>
            </w:pPr>
            <w:r>
              <w:rPr>
                <w:sz w:val="21"/>
              </w:rPr>
              <w:t>26,205,846.64</w:t>
            </w:r>
          </w:p>
        </w:tc>
        <w:tc>
          <w:tcPr>
            <w:tcW w:w="2197" w:type="dxa"/>
            <w:tcBorders>
              <w:top w:val="single" w:sz="4" w:space="0" w:color="000000"/>
              <w:left w:val="single" w:sz="4" w:space="0" w:color="000000"/>
            </w:tcBorders>
          </w:tcPr>
          <w:p>
            <w:pPr>
              <w:pStyle w:val="TableParagraph"/>
              <w:spacing w:before="55"/>
              <w:jc w:val="right"/>
              <w:rPr>
                <w:sz w:val="21"/>
              </w:rPr>
            </w:pPr>
            <w:r>
              <w:rPr>
                <w:sz w:val="21"/>
              </w:rPr>
              <w:t>113,902,007.05</w:t>
            </w:r>
          </w:p>
        </w:tc>
      </w:tr>
    </w:tbl>
    <w:p>
      <w:pPr>
        <w:pStyle w:val="BodyText"/>
        <w:spacing w:before="2"/>
        <w:rPr>
          <w:sz w:val="15"/>
        </w:rPr>
      </w:pPr>
    </w:p>
    <w:p>
      <w:pPr>
        <w:pStyle w:val="BodyText"/>
        <w:spacing w:before="72"/>
        <w:ind w:left="2039"/>
      </w:pPr>
      <w:r>
        <w:rPr/>
        <w:t>续表</w:t>
      </w:r>
    </w:p>
    <w:p>
      <w:pPr>
        <w:pStyle w:val="BodyText"/>
        <w:spacing w:before="6"/>
        <w:rPr>
          <w:sz w:val="11"/>
        </w:rPr>
      </w:pPr>
    </w:p>
    <w:tbl>
      <w:tblPr>
        <w:tblW w:w="0" w:type="auto"/>
        <w:jc w:val="left"/>
        <w:tblInd w:w="14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641"/>
        <w:gridCol w:w="2194"/>
        <w:gridCol w:w="2052"/>
        <w:gridCol w:w="2197"/>
      </w:tblGrid>
      <w:tr>
        <w:trPr>
          <w:trHeight w:val="371" w:hRule="atLeast"/>
        </w:trPr>
        <w:tc>
          <w:tcPr>
            <w:tcW w:w="2641" w:type="dxa"/>
            <w:tcBorders>
              <w:bottom w:val="single" w:sz="4" w:space="0" w:color="000000"/>
              <w:right w:val="single" w:sz="4" w:space="0" w:color="000000"/>
            </w:tcBorders>
          </w:tcPr>
          <w:p>
            <w:pPr>
              <w:pStyle w:val="TableParagraph"/>
              <w:spacing w:line="351" w:lineRule="exact"/>
              <w:ind w:left="871" w:right="859"/>
              <w:jc w:val="center"/>
              <w:rPr>
                <w:rFonts w:ascii="Microsoft JhengHei" w:eastAsia="Microsoft JhengHei" w:hint="eastAsia"/>
                <w:b/>
                <w:sz w:val="21"/>
              </w:rPr>
            </w:pPr>
            <w:r>
              <w:rPr>
                <w:rFonts w:ascii="Microsoft JhengHei" w:eastAsia="Microsoft JhengHei" w:hint="eastAsia"/>
                <w:b/>
                <w:sz w:val="21"/>
              </w:rPr>
              <w:t>项目</w:t>
            </w:r>
          </w:p>
        </w:tc>
        <w:tc>
          <w:tcPr>
            <w:tcW w:w="2194" w:type="dxa"/>
            <w:tcBorders>
              <w:left w:val="single" w:sz="4" w:space="0" w:color="000000"/>
              <w:bottom w:val="single" w:sz="4" w:space="0" w:color="000000"/>
              <w:right w:val="single" w:sz="4" w:space="0" w:color="000000"/>
            </w:tcBorders>
          </w:tcPr>
          <w:p>
            <w:pPr>
              <w:pStyle w:val="TableParagraph"/>
              <w:spacing w:line="351" w:lineRule="exact"/>
              <w:ind w:left="685"/>
              <w:rPr>
                <w:rFonts w:ascii="Microsoft JhengHei" w:eastAsia="Microsoft JhengHei" w:hint="eastAsia"/>
                <w:b/>
                <w:sz w:val="21"/>
              </w:rPr>
            </w:pPr>
            <w:r>
              <w:rPr>
                <w:rFonts w:ascii="Microsoft JhengHei" w:eastAsia="Microsoft JhengHei" w:hint="eastAsia"/>
                <w:b/>
                <w:sz w:val="21"/>
              </w:rPr>
              <w:t>办公设备</w:t>
            </w:r>
          </w:p>
        </w:tc>
        <w:tc>
          <w:tcPr>
            <w:tcW w:w="2052" w:type="dxa"/>
            <w:tcBorders>
              <w:left w:val="single" w:sz="4" w:space="0" w:color="000000"/>
              <w:bottom w:val="single" w:sz="4" w:space="0" w:color="000000"/>
              <w:right w:val="single" w:sz="4" w:space="0" w:color="000000"/>
            </w:tcBorders>
          </w:tcPr>
          <w:p>
            <w:pPr>
              <w:pStyle w:val="TableParagraph"/>
              <w:spacing w:line="351" w:lineRule="exact"/>
              <w:ind w:left="806" w:right="776"/>
              <w:jc w:val="center"/>
              <w:rPr>
                <w:rFonts w:ascii="Microsoft JhengHei" w:eastAsia="Microsoft JhengHei" w:hint="eastAsia"/>
                <w:b/>
                <w:sz w:val="21"/>
              </w:rPr>
            </w:pPr>
            <w:r>
              <w:rPr>
                <w:rFonts w:ascii="Microsoft JhengHei" w:eastAsia="Microsoft JhengHei" w:hint="eastAsia"/>
                <w:b/>
                <w:sz w:val="21"/>
              </w:rPr>
              <w:t>其他</w:t>
            </w:r>
          </w:p>
        </w:tc>
        <w:tc>
          <w:tcPr>
            <w:tcW w:w="2197" w:type="dxa"/>
            <w:tcBorders>
              <w:left w:val="single" w:sz="4" w:space="0" w:color="000000"/>
              <w:bottom w:val="single" w:sz="4" w:space="0" w:color="000000"/>
            </w:tcBorders>
          </w:tcPr>
          <w:p>
            <w:pPr>
              <w:pStyle w:val="TableParagraph"/>
              <w:spacing w:line="351" w:lineRule="exact"/>
              <w:ind w:left="876" w:right="841"/>
              <w:jc w:val="center"/>
              <w:rPr>
                <w:rFonts w:ascii="Microsoft JhengHei" w:eastAsia="Microsoft JhengHei" w:hint="eastAsia"/>
                <w:b/>
                <w:sz w:val="21"/>
              </w:rPr>
            </w:pPr>
            <w:r>
              <w:rPr>
                <w:rFonts w:ascii="Microsoft JhengHei" w:eastAsia="Microsoft JhengHei" w:hint="eastAsia"/>
                <w:b/>
                <w:sz w:val="21"/>
              </w:rPr>
              <w:t>合计</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rFonts w:ascii="宋体" w:eastAsia="宋体" w:hint="eastAsia"/>
                <w:sz w:val="21"/>
              </w:rPr>
              <w:t>一、账面原值：</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6"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1.</w:t>
            </w:r>
            <w:r>
              <w:rPr>
                <w:rFonts w:ascii="宋体" w:eastAsia="宋体" w:hint="eastAsia"/>
                <w:sz w:val="21"/>
              </w:rPr>
              <w:t>期初余额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55"/>
              <w:ind w:right="5"/>
              <w:jc w:val="right"/>
              <w:rPr>
                <w:sz w:val="21"/>
              </w:rPr>
            </w:pPr>
            <w:r>
              <w:rPr>
                <w:sz w:val="21"/>
              </w:rPr>
              <w:t>60,995,358.04</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5"/>
              <w:ind w:right="5"/>
              <w:jc w:val="right"/>
              <w:rPr>
                <w:sz w:val="21"/>
              </w:rPr>
            </w:pPr>
            <w:r>
              <w:rPr>
                <w:sz w:val="21"/>
              </w:rPr>
              <w:t>309,577,979.06</w:t>
            </w:r>
          </w:p>
        </w:tc>
        <w:tc>
          <w:tcPr>
            <w:tcW w:w="2197" w:type="dxa"/>
            <w:tcBorders>
              <w:top w:val="single" w:sz="4" w:space="0" w:color="000000"/>
              <w:left w:val="single" w:sz="4" w:space="0" w:color="000000"/>
              <w:bottom w:val="single" w:sz="4" w:space="0" w:color="000000"/>
            </w:tcBorders>
          </w:tcPr>
          <w:p>
            <w:pPr>
              <w:pStyle w:val="TableParagraph"/>
              <w:spacing w:before="55"/>
              <w:jc w:val="right"/>
              <w:rPr>
                <w:sz w:val="21"/>
              </w:rPr>
            </w:pPr>
            <w:r>
              <w:rPr>
                <w:sz w:val="21"/>
              </w:rPr>
              <w:t>3,387,013,849.43</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sz w:val="21"/>
              </w:rPr>
              <w:t>2.</w:t>
            </w:r>
            <w:r>
              <w:rPr>
                <w:rFonts w:ascii="宋体" w:eastAsia="宋体" w:hint="eastAsia"/>
                <w:sz w:val="21"/>
              </w:rPr>
              <w:t>本期增加金额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rFonts w:ascii="宋体" w:eastAsia="宋体" w:hint="eastAsia"/>
                <w:sz w:val="21"/>
              </w:rPr>
              <w:t>（</w:t>
            </w:r>
            <w:r>
              <w:rPr>
                <w:sz w:val="21"/>
              </w:rPr>
              <w:t>1</w:t>
            </w:r>
            <w:r>
              <w:rPr>
                <w:rFonts w:ascii="宋体" w:eastAsia="宋体" w:hint="eastAsia"/>
                <w:sz w:val="21"/>
              </w:rPr>
              <w:t>）增加</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468,786.29</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73,029,749.81</w:t>
            </w:r>
          </w:p>
        </w:tc>
        <w:tc>
          <w:tcPr>
            <w:tcW w:w="2197" w:type="dxa"/>
            <w:tcBorders>
              <w:top w:val="single" w:sz="4" w:space="0" w:color="000000"/>
              <w:left w:val="single" w:sz="4" w:space="0" w:color="000000"/>
              <w:bottom w:val="single" w:sz="4" w:space="0" w:color="000000"/>
            </w:tcBorders>
          </w:tcPr>
          <w:p>
            <w:pPr>
              <w:pStyle w:val="TableParagraph"/>
              <w:spacing w:before="58"/>
              <w:jc w:val="right"/>
              <w:rPr>
                <w:sz w:val="21"/>
              </w:rPr>
            </w:pPr>
            <w:r>
              <w:rPr>
                <w:sz w:val="21"/>
              </w:rPr>
              <w:t>997,702,675.37</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sz w:val="21"/>
              </w:rPr>
              <w:t>3.</w:t>
            </w:r>
            <w:r>
              <w:rPr>
                <w:rFonts w:ascii="宋体" w:eastAsia="宋体" w:hint="eastAsia"/>
                <w:sz w:val="21"/>
              </w:rPr>
              <w:t>本期减少金额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rFonts w:ascii="宋体" w:eastAsia="宋体" w:hint="eastAsia"/>
                <w:sz w:val="21"/>
              </w:rPr>
              <w:t>（</w:t>
            </w:r>
            <w:r>
              <w:rPr>
                <w:sz w:val="21"/>
              </w:rPr>
              <w:t>1</w:t>
            </w:r>
            <w:r>
              <w:rPr>
                <w:rFonts w:ascii="宋体" w:eastAsia="宋体" w:hint="eastAsia"/>
                <w:sz w:val="21"/>
              </w:rPr>
              <w:t>）处置</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849,426.94</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3,107,063.59</w:t>
            </w:r>
          </w:p>
        </w:tc>
        <w:tc>
          <w:tcPr>
            <w:tcW w:w="2197" w:type="dxa"/>
            <w:tcBorders>
              <w:top w:val="single" w:sz="4" w:space="0" w:color="000000"/>
              <w:left w:val="single" w:sz="4" w:space="0" w:color="000000"/>
              <w:bottom w:val="single" w:sz="4" w:space="0" w:color="000000"/>
            </w:tcBorders>
          </w:tcPr>
          <w:p>
            <w:pPr>
              <w:pStyle w:val="TableParagraph"/>
              <w:spacing w:before="58"/>
              <w:jc w:val="right"/>
              <w:rPr>
                <w:sz w:val="21"/>
              </w:rPr>
            </w:pPr>
            <w:r>
              <w:rPr>
                <w:sz w:val="21"/>
              </w:rPr>
              <w:t>152,229,985.31</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rFonts w:ascii="宋体" w:eastAsia="宋体" w:hint="eastAsia"/>
                <w:sz w:val="21"/>
              </w:rPr>
              <w:t>（</w:t>
            </w:r>
            <w:r>
              <w:rPr>
                <w:sz w:val="21"/>
              </w:rPr>
              <w:t>2</w:t>
            </w:r>
            <w:r>
              <w:rPr>
                <w:rFonts w:ascii="宋体" w:eastAsia="宋体" w:hint="eastAsia"/>
                <w:sz w:val="21"/>
              </w:rPr>
              <w:t>）处置子公司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89,426.44</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spacing w:before="58"/>
              <w:jc w:val="right"/>
              <w:rPr>
                <w:sz w:val="21"/>
              </w:rPr>
            </w:pPr>
            <w:r>
              <w:rPr>
                <w:sz w:val="21"/>
              </w:rPr>
              <w:t>30,931,981.55</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4.</w:t>
            </w:r>
            <w:r>
              <w:rPr>
                <w:rFonts w:ascii="宋体" w:eastAsia="宋体" w:hint="eastAsia"/>
                <w:sz w:val="21"/>
              </w:rPr>
              <w:t>外币报表折算差额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-11,815,615.12</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-23,794,031.33</w:t>
            </w:r>
          </w:p>
        </w:tc>
        <w:tc>
          <w:tcPr>
            <w:tcW w:w="2197" w:type="dxa"/>
            <w:tcBorders>
              <w:top w:val="single" w:sz="4" w:space="0" w:color="000000"/>
              <w:left w:val="single" w:sz="4" w:space="0" w:color="000000"/>
              <w:bottom w:val="single" w:sz="4" w:space="0" w:color="000000"/>
            </w:tcBorders>
          </w:tcPr>
          <w:p>
            <w:pPr>
              <w:pStyle w:val="TableParagraph"/>
              <w:spacing w:before="58"/>
              <w:jc w:val="right"/>
              <w:rPr>
                <w:sz w:val="21"/>
              </w:rPr>
            </w:pPr>
            <w:r>
              <w:rPr>
                <w:sz w:val="21"/>
              </w:rPr>
              <w:t>-199,318,154.94</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5.</w:t>
            </w:r>
            <w:r>
              <w:rPr>
                <w:rFonts w:ascii="宋体" w:eastAsia="宋体" w:hint="eastAsia"/>
                <w:sz w:val="21"/>
              </w:rPr>
              <w:t>期末余额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48,709,675.83</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355,706,633.95</w:t>
            </w:r>
          </w:p>
        </w:tc>
        <w:tc>
          <w:tcPr>
            <w:tcW w:w="2197" w:type="dxa"/>
            <w:tcBorders>
              <w:top w:val="single" w:sz="4" w:space="0" w:color="000000"/>
              <w:left w:val="single" w:sz="4" w:space="0" w:color="000000"/>
              <w:bottom w:val="single" w:sz="4" w:space="0" w:color="000000"/>
            </w:tcBorders>
          </w:tcPr>
          <w:p>
            <w:pPr>
              <w:pStyle w:val="TableParagraph"/>
              <w:spacing w:before="58"/>
              <w:jc w:val="right"/>
              <w:rPr>
                <w:sz w:val="21"/>
              </w:rPr>
            </w:pPr>
            <w:r>
              <w:rPr>
                <w:sz w:val="21"/>
              </w:rPr>
              <w:t>4,002,236,403.00</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rFonts w:ascii="宋体" w:eastAsia="宋体" w:hint="eastAsia"/>
                <w:sz w:val="21"/>
              </w:rPr>
              <w:t>二、累计折旧</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1.</w:t>
            </w:r>
            <w:r>
              <w:rPr>
                <w:rFonts w:ascii="宋体" w:eastAsia="宋体" w:hint="eastAsia"/>
                <w:sz w:val="21"/>
              </w:rPr>
              <w:t>期初余额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11,686,634.26</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90,720,247.45</w:t>
            </w:r>
          </w:p>
        </w:tc>
        <w:tc>
          <w:tcPr>
            <w:tcW w:w="2197" w:type="dxa"/>
            <w:tcBorders>
              <w:top w:val="single" w:sz="4" w:space="0" w:color="000000"/>
              <w:left w:val="single" w:sz="4" w:space="0" w:color="000000"/>
              <w:bottom w:val="single" w:sz="4" w:space="0" w:color="000000"/>
            </w:tcBorders>
          </w:tcPr>
          <w:p>
            <w:pPr>
              <w:pStyle w:val="TableParagraph"/>
              <w:spacing w:before="58"/>
              <w:jc w:val="right"/>
              <w:rPr>
                <w:sz w:val="21"/>
              </w:rPr>
            </w:pPr>
            <w:r>
              <w:rPr>
                <w:sz w:val="21"/>
              </w:rPr>
              <w:t>631,947,247.84</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2.</w:t>
            </w:r>
            <w:r>
              <w:rPr>
                <w:rFonts w:ascii="宋体" w:eastAsia="宋体" w:hint="eastAsia"/>
                <w:sz w:val="21"/>
              </w:rPr>
              <w:t>本期增加金额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rFonts w:ascii="宋体" w:eastAsia="宋体" w:hint="eastAsia"/>
                <w:sz w:val="21"/>
              </w:rPr>
              <w:t>（</w:t>
            </w:r>
            <w:r>
              <w:rPr>
                <w:sz w:val="21"/>
              </w:rPr>
              <w:t>1</w:t>
            </w:r>
            <w:r>
              <w:rPr>
                <w:rFonts w:ascii="宋体" w:eastAsia="宋体" w:hint="eastAsia"/>
                <w:sz w:val="21"/>
              </w:rPr>
              <w:t>）计提</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55"/>
              <w:ind w:right="5"/>
              <w:jc w:val="right"/>
              <w:rPr>
                <w:sz w:val="21"/>
              </w:rPr>
            </w:pPr>
            <w:r>
              <w:rPr>
                <w:sz w:val="21"/>
              </w:rPr>
              <w:t>6,534,909.70</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5"/>
              <w:ind w:right="5"/>
              <w:jc w:val="right"/>
              <w:rPr>
                <w:sz w:val="21"/>
              </w:rPr>
            </w:pPr>
            <w:r>
              <w:rPr>
                <w:sz w:val="21"/>
              </w:rPr>
              <w:t>83,104,707.70</w:t>
            </w:r>
          </w:p>
        </w:tc>
        <w:tc>
          <w:tcPr>
            <w:tcW w:w="2197" w:type="dxa"/>
            <w:tcBorders>
              <w:top w:val="single" w:sz="4" w:space="0" w:color="000000"/>
              <w:left w:val="single" w:sz="4" w:space="0" w:color="000000"/>
              <w:bottom w:val="single" w:sz="4" w:space="0" w:color="000000"/>
            </w:tcBorders>
          </w:tcPr>
          <w:p>
            <w:pPr>
              <w:pStyle w:val="TableParagraph"/>
              <w:spacing w:before="55"/>
              <w:jc w:val="right"/>
              <w:rPr>
                <w:sz w:val="21"/>
              </w:rPr>
            </w:pPr>
            <w:r>
              <w:rPr>
                <w:sz w:val="21"/>
              </w:rPr>
              <w:t>693,255,959.36</w:t>
            </w:r>
          </w:p>
        </w:tc>
      </w:tr>
      <w:tr>
        <w:trPr>
          <w:trHeight w:val="366"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3.</w:t>
            </w:r>
            <w:r>
              <w:rPr>
                <w:rFonts w:ascii="宋体" w:eastAsia="宋体" w:hint="eastAsia"/>
                <w:sz w:val="21"/>
              </w:rPr>
              <w:t>本期减少金额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rFonts w:ascii="宋体" w:eastAsia="宋体" w:hint="eastAsia"/>
                <w:sz w:val="21"/>
              </w:rPr>
              <w:t>（</w:t>
            </w:r>
            <w:r>
              <w:rPr>
                <w:sz w:val="21"/>
              </w:rPr>
              <w:t>1</w:t>
            </w:r>
            <w:r>
              <w:rPr>
                <w:rFonts w:ascii="宋体" w:eastAsia="宋体" w:hint="eastAsia"/>
                <w:sz w:val="21"/>
              </w:rPr>
              <w:t>）处置</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849,419.04</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3,107,063.59</w:t>
            </w:r>
          </w:p>
        </w:tc>
        <w:tc>
          <w:tcPr>
            <w:tcW w:w="2197" w:type="dxa"/>
            <w:tcBorders>
              <w:top w:val="single" w:sz="4" w:space="0" w:color="000000"/>
              <w:left w:val="single" w:sz="4" w:space="0" w:color="000000"/>
              <w:bottom w:val="single" w:sz="4" w:space="0" w:color="000000"/>
            </w:tcBorders>
          </w:tcPr>
          <w:p>
            <w:pPr>
              <w:pStyle w:val="TableParagraph"/>
              <w:spacing w:before="58"/>
              <w:jc w:val="right"/>
              <w:rPr>
                <w:sz w:val="21"/>
              </w:rPr>
            </w:pPr>
            <w:r>
              <w:rPr>
                <w:sz w:val="21"/>
              </w:rPr>
              <w:t>93,201,797.72</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rFonts w:ascii="宋体" w:eastAsia="宋体" w:hint="eastAsia"/>
                <w:sz w:val="21"/>
              </w:rPr>
              <w:t>（</w:t>
            </w:r>
            <w:r>
              <w:rPr>
                <w:sz w:val="21"/>
              </w:rPr>
              <w:t>2</w:t>
            </w:r>
            <w:r>
              <w:rPr>
                <w:rFonts w:ascii="宋体" w:eastAsia="宋体" w:hint="eastAsia"/>
                <w:sz w:val="21"/>
              </w:rPr>
              <w:t>）处置子公司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46,576.27</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spacing w:before="58"/>
              <w:jc w:val="right"/>
              <w:rPr>
                <w:sz w:val="21"/>
              </w:rPr>
            </w:pPr>
            <w:r>
              <w:rPr>
                <w:sz w:val="21"/>
              </w:rPr>
              <w:t>11,521,693.35</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sz w:val="21"/>
              </w:rPr>
              <w:t>4.</w:t>
            </w:r>
            <w:r>
              <w:rPr>
                <w:rFonts w:ascii="宋体" w:eastAsia="宋体" w:hint="eastAsia"/>
                <w:sz w:val="21"/>
              </w:rPr>
              <w:t>外币报表折算差额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-3,229,534.73</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-10,203,407.67</w:t>
            </w:r>
          </w:p>
        </w:tc>
        <w:tc>
          <w:tcPr>
            <w:tcW w:w="2197" w:type="dxa"/>
            <w:tcBorders>
              <w:top w:val="single" w:sz="4" w:space="0" w:color="000000"/>
              <w:left w:val="single" w:sz="4" w:space="0" w:color="000000"/>
              <w:bottom w:val="single" w:sz="4" w:space="0" w:color="000000"/>
            </w:tcBorders>
          </w:tcPr>
          <w:p>
            <w:pPr>
              <w:pStyle w:val="TableParagraph"/>
              <w:spacing w:before="58"/>
              <w:jc w:val="right"/>
              <w:rPr>
                <w:sz w:val="21"/>
              </w:rPr>
            </w:pPr>
            <w:r>
              <w:rPr>
                <w:sz w:val="21"/>
              </w:rPr>
              <w:t>-58,101,572.40</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sz w:val="21"/>
              </w:rPr>
              <w:t>5.</w:t>
            </w:r>
            <w:r>
              <w:rPr>
                <w:rFonts w:ascii="宋体" w:eastAsia="宋体" w:hint="eastAsia"/>
                <w:sz w:val="21"/>
              </w:rPr>
              <w:t>期末余额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14,096,013.92</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160,514,483.89</w:t>
            </w:r>
          </w:p>
        </w:tc>
        <w:tc>
          <w:tcPr>
            <w:tcW w:w="2197" w:type="dxa"/>
            <w:tcBorders>
              <w:top w:val="single" w:sz="4" w:space="0" w:color="000000"/>
              <w:left w:val="single" w:sz="4" w:space="0" w:color="000000"/>
              <w:bottom w:val="single" w:sz="4" w:space="0" w:color="000000"/>
            </w:tcBorders>
          </w:tcPr>
          <w:p>
            <w:pPr>
              <w:pStyle w:val="TableParagraph"/>
              <w:spacing w:before="58"/>
              <w:jc w:val="right"/>
              <w:rPr>
                <w:sz w:val="21"/>
              </w:rPr>
            </w:pPr>
            <w:r>
              <w:rPr>
                <w:sz w:val="21"/>
              </w:rPr>
              <w:t>1,162,378,143.73</w:t>
            </w:r>
          </w:p>
        </w:tc>
      </w:tr>
      <w:tr>
        <w:trPr>
          <w:trHeight w:val="368" w:hRule="atLeast"/>
        </w:trPr>
        <w:tc>
          <w:tcPr>
            <w:tcW w:w="2641" w:type="dxa"/>
            <w:tcBorders>
              <w:top w:val="single" w:sz="4" w:space="0" w:color="000000"/>
              <w:right w:val="single" w:sz="4" w:space="0" w:color="000000"/>
            </w:tcBorders>
          </w:tcPr>
          <w:p>
            <w:pPr>
              <w:pStyle w:val="TableParagraph"/>
              <w:spacing w:before="49"/>
              <w:ind w:left="28"/>
              <w:rPr>
                <w:rFonts w:ascii="宋体" w:eastAsia="宋体" w:hint="eastAsia"/>
                <w:sz w:val="21"/>
              </w:rPr>
            </w:pPr>
            <w:r>
              <w:rPr>
                <w:rFonts w:ascii="宋体" w:eastAsia="宋体" w:hint="eastAsia"/>
                <w:sz w:val="21"/>
              </w:rPr>
              <w:t>三、减值准备</w:t>
            </w:r>
          </w:p>
        </w:tc>
        <w:tc>
          <w:tcPr>
            <w:tcW w:w="2194" w:type="dxa"/>
            <w:tcBorders>
              <w:top w:val="single" w:sz="4" w:space="0" w:color="000000"/>
              <w:left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tcBorders>
          </w:tcPr>
          <w:p>
            <w:pPr>
              <w:pStyle w:val="TableParagraph"/>
              <w:rPr>
                <w:sz w:val="20"/>
              </w:rPr>
            </w:pPr>
          </w:p>
        </w:tc>
      </w:tr>
    </w:tbl>
    <w:p>
      <w:pPr>
        <w:spacing w:after="0"/>
        <w:rPr>
          <w:sz w:val="20"/>
        </w:rPr>
        <w:sectPr>
          <w:headerReference w:type="default" r:id="rId107"/>
          <w:footerReference w:type="default" r:id="rId108"/>
          <w:pgSz w:w="11910" w:h="16840"/>
          <w:pgMar w:header="876" w:footer="1192" w:top="1440" w:bottom="1380" w:left="260" w:right="0"/>
          <w:pgNumType w:start="1"/>
        </w:sectPr>
      </w:pPr>
    </w:p>
    <w:p>
      <w:pPr>
        <w:pStyle w:val="BodyText"/>
        <w:spacing w:before="2"/>
        <w:rPr>
          <w:sz w:val="5"/>
        </w:rPr>
      </w:pPr>
    </w:p>
    <w:tbl>
      <w:tblPr>
        <w:tblW w:w="0" w:type="auto"/>
        <w:jc w:val="left"/>
        <w:tblInd w:w="14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641"/>
        <w:gridCol w:w="2194"/>
        <w:gridCol w:w="2052"/>
        <w:gridCol w:w="2197"/>
      </w:tblGrid>
      <w:tr>
        <w:trPr>
          <w:trHeight w:val="371" w:hRule="atLeast"/>
        </w:trPr>
        <w:tc>
          <w:tcPr>
            <w:tcW w:w="2641" w:type="dxa"/>
            <w:tcBorders>
              <w:bottom w:val="single" w:sz="4" w:space="0" w:color="000000"/>
              <w:right w:val="single" w:sz="4" w:space="0" w:color="000000"/>
            </w:tcBorders>
          </w:tcPr>
          <w:p>
            <w:pPr>
              <w:pStyle w:val="TableParagraph"/>
              <w:spacing w:before="51"/>
              <w:ind w:left="28"/>
              <w:rPr>
                <w:rFonts w:ascii="宋体" w:eastAsia="宋体" w:hint="eastAsia"/>
                <w:sz w:val="21"/>
              </w:rPr>
            </w:pPr>
            <w:r>
              <w:rPr>
                <w:sz w:val="21"/>
              </w:rPr>
              <w:t>1.</w:t>
            </w:r>
            <w:r>
              <w:rPr>
                <w:rFonts w:ascii="宋体" w:eastAsia="宋体" w:hint="eastAsia"/>
                <w:sz w:val="21"/>
              </w:rPr>
              <w:t>期初余额</w:t>
            </w:r>
          </w:p>
        </w:tc>
        <w:tc>
          <w:tcPr>
            <w:tcW w:w="2194" w:type="dxa"/>
            <w:tcBorders>
              <w:left w:val="single" w:sz="4" w:space="0" w:color="000000"/>
              <w:bottom w:val="single" w:sz="4" w:space="0" w:color="000000"/>
              <w:right w:val="single" w:sz="4" w:space="0" w:color="000000"/>
            </w:tcBorders>
          </w:tcPr>
          <w:p>
            <w:pPr>
              <w:pStyle w:val="TableParagraph"/>
              <w:rPr>
                <w:sz w:val="20"/>
              </w:rPr>
            </w:pPr>
          </w:p>
        </w:tc>
        <w:tc>
          <w:tcPr>
            <w:tcW w:w="2052" w:type="dxa"/>
            <w:tcBorders>
              <w:left w:val="single" w:sz="4" w:space="0" w:color="000000"/>
              <w:bottom w:val="single" w:sz="4" w:space="0" w:color="000000"/>
              <w:right w:val="single" w:sz="4" w:space="0" w:color="000000"/>
            </w:tcBorders>
          </w:tcPr>
          <w:p>
            <w:pPr>
              <w:pStyle w:val="TableParagraph"/>
              <w:rPr>
                <w:sz w:val="20"/>
              </w:rPr>
            </w:pPr>
          </w:p>
        </w:tc>
        <w:tc>
          <w:tcPr>
            <w:tcW w:w="2197" w:type="dxa"/>
            <w:tcBorders>
              <w:left w:val="single" w:sz="4" w:space="0" w:color="000000"/>
              <w:bottom w:val="single" w:sz="4" w:space="0" w:color="000000"/>
            </w:tcBorders>
          </w:tcPr>
          <w:p>
            <w:pPr>
              <w:pStyle w:val="TableParagraph"/>
              <w:rPr>
                <w:sz w:val="20"/>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2.</w:t>
            </w:r>
            <w:r>
              <w:rPr>
                <w:rFonts w:ascii="宋体" w:eastAsia="宋体" w:hint="eastAsia"/>
                <w:sz w:val="21"/>
              </w:rPr>
              <w:t>本期增加金额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6"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rFonts w:ascii="宋体" w:eastAsia="宋体" w:hint="eastAsia"/>
                <w:sz w:val="21"/>
              </w:rPr>
              <w:t>（</w:t>
            </w:r>
            <w:r>
              <w:rPr>
                <w:sz w:val="21"/>
              </w:rPr>
              <w:t>1</w:t>
            </w:r>
            <w:r>
              <w:rPr>
                <w:rFonts w:ascii="宋体" w:eastAsia="宋体" w:hint="eastAsia"/>
                <w:sz w:val="21"/>
              </w:rPr>
              <w:t>）计提</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sz w:val="21"/>
              </w:rPr>
              <w:t>3.</w:t>
            </w:r>
            <w:r>
              <w:rPr>
                <w:rFonts w:ascii="宋体" w:eastAsia="宋体" w:hint="eastAsia"/>
                <w:sz w:val="21"/>
              </w:rPr>
              <w:t>本期减少金额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rFonts w:ascii="宋体" w:eastAsia="宋体" w:hint="eastAsia"/>
                <w:sz w:val="21"/>
              </w:rPr>
              <w:t>（</w:t>
            </w:r>
            <w:r>
              <w:rPr>
                <w:sz w:val="21"/>
              </w:rPr>
              <w:t>1</w:t>
            </w:r>
            <w:r>
              <w:rPr>
                <w:rFonts w:ascii="宋体" w:eastAsia="宋体" w:hint="eastAsia"/>
                <w:sz w:val="21"/>
              </w:rPr>
              <w:t>）处置</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rFonts w:ascii="宋体" w:eastAsia="宋体" w:hint="eastAsia"/>
                <w:sz w:val="21"/>
              </w:rPr>
              <w:t>（</w:t>
            </w:r>
            <w:r>
              <w:rPr>
                <w:sz w:val="21"/>
              </w:rPr>
              <w:t>2</w:t>
            </w:r>
            <w:r>
              <w:rPr>
                <w:rFonts w:ascii="宋体" w:eastAsia="宋体" w:hint="eastAsia"/>
                <w:sz w:val="21"/>
              </w:rPr>
              <w:t>）处置子公司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sz w:val="21"/>
              </w:rPr>
              <w:t>4.</w:t>
            </w:r>
            <w:r>
              <w:rPr>
                <w:rFonts w:ascii="宋体" w:eastAsia="宋体" w:hint="eastAsia"/>
                <w:sz w:val="21"/>
              </w:rPr>
              <w:t>外币报表折算差额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5.</w:t>
            </w:r>
            <w:r>
              <w:rPr>
                <w:rFonts w:ascii="宋体" w:eastAsia="宋体" w:hint="eastAsia"/>
                <w:sz w:val="21"/>
              </w:rPr>
              <w:t>期末余额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rFonts w:ascii="宋体" w:eastAsia="宋体" w:hint="eastAsia"/>
                <w:sz w:val="21"/>
              </w:rPr>
              <w:t>四、账面价值</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1.</w:t>
            </w:r>
            <w:r>
              <w:rPr>
                <w:rFonts w:ascii="宋体" w:eastAsia="宋体" w:hint="eastAsia"/>
                <w:sz w:val="21"/>
              </w:rPr>
              <w:t>期末账面价值</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34,613,661.91</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195,192,150.06</w:t>
            </w:r>
          </w:p>
        </w:tc>
        <w:tc>
          <w:tcPr>
            <w:tcW w:w="2197" w:type="dxa"/>
            <w:tcBorders>
              <w:top w:val="single" w:sz="4" w:space="0" w:color="000000"/>
              <w:left w:val="single" w:sz="4" w:space="0" w:color="000000"/>
              <w:bottom w:val="single" w:sz="4" w:space="0" w:color="000000"/>
            </w:tcBorders>
          </w:tcPr>
          <w:p>
            <w:pPr>
              <w:pStyle w:val="TableParagraph"/>
              <w:spacing w:before="58"/>
              <w:jc w:val="right"/>
              <w:rPr>
                <w:sz w:val="21"/>
              </w:rPr>
            </w:pPr>
            <w:r>
              <w:rPr>
                <w:sz w:val="21"/>
              </w:rPr>
              <w:t>2,839,858,259.27</w:t>
            </w:r>
          </w:p>
        </w:tc>
      </w:tr>
      <w:tr>
        <w:trPr>
          <w:trHeight w:val="367" w:hRule="atLeast"/>
        </w:trPr>
        <w:tc>
          <w:tcPr>
            <w:tcW w:w="2641" w:type="dxa"/>
            <w:tcBorders>
              <w:top w:val="single" w:sz="4" w:space="0" w:color="000000"/>
              <w:right w:val="single" w:sz="4" w:space="0" w:color="000000"/>
            </w:tcBorders>
          </w:tcPr>
          <w:p>
            <w:pPr>
              <w:pStyle w:val="TableParagraph"/>
              <w:spacing w:before="49"/>
              <w:ind w:left="28"/>
              <w:rPr>
                <w:rFonts w:ascii="宋体" w:eastAsia="宋体" w:hint="eastAsia"/>
                <w:sz w:val="21"/>
              </w:rPr>
            </w:pPr>
            <w:r>
              <w:rPr>
                <w:sz w:val="21"/>
              </w:rPr>
              <w:t>2.</w:t>
            </w:r>
            <w:r>
              <w:rPr>
                <w:rFonts w:ascii="宋体" w:eastAsia="宋体" w:hint="eastAsia"/>
                <w:sz w:val="21"/>
              </w:rPr>
              <w:t>期初账面价值</w:t>
            </w:r>
          </w:p>
        </w:tc>
        <w:tc>
          <w:tcPr>
            <w:tcW w:w="2194" w:type="dxa"/>
            <w:tcBorders>
              <w:top w:val="single" w:sz="4" w:space="0" w:color="000000"/>
              <w:left w:val="single" w:sz="4" w:space="0" w:color="000000"/>
              <w:right w:val="single" w:sz="4" w:space="0" w:color="000000"/>
            </w:tcBorders>
          </w:tcPr>
          <w:p>
            <w:pPr>
              <w:pStyle w:val="TableParagraph"/>
              <w:spacing w:before="58"/>
              <w:ind w:right="5"/>
              <w:jc w:val="right"/>
              <w:rPr>
                <w:sz w:val="21"/>
              </w:rPr>
            </w:pPr>
            <w:r>
              <w:rPr>
                <w:sz w:val="21"/>
              </w:rPr>
              <w:t>49,308,723.78</w:t>
            </w:r>
          </w:p>
        </w:tc>
        <w:tc>
          <w:tcPr>
            <w:tcW w:w="2052" w:type="dxa"/>
            <w:tcBorders>
              <w:top w:val="single" w:sz="4" w:space="0" w:color="000000"/>
              <w:left w:val="single" w:sz="4" w:space="0" w:color="000000"/>
              <w:right w:val="single" w:sz="4" w:space="0" w:color="000000"/>
            </w:tcBorders>
          </w:tcPr>
          <w:p>
            <w:pPr>
              <w:pStyle w:val="TableParagraph"/>
              <w:spacing w:before="58"/>
              <w:ind w:right="5"/>
              <w:jc w:val="right"/>
              <w:rPr>
                <w:sz w:val="21"/>
              </w:rPr>
            </w:pPr>
            <w:r>
              <w:rPr>
                <w:sz w:val="21"/>
              </w:rPr>
              <w:t>218,857,731.61</w:t>
            </w:r>
          </w:p>
        </w:tc>
        <w:tc>
          <w:tcPr>
            <w:tcW w:w="2197" w:type="dxa"/>
            <w:tcBorders>
              <w:top w:val="single" w:sz="4" w:space="0" w:color="000000"/>
              <w:left w:val="single" w:sz="4" w:space="0" w:color="000000"/>
            </w:tcBorders>
          </w:tcPr>
          <w:p>
            <w:pPr>
              <w:pStyle w:val="TableParagraph"/>
              <w:spacing w:before="58"/>
              <w:jc w:val="right"/>
              <w:rPr>
                <w:sz w:val="21"/>
              </w:rPr>
            </w:pPr>
            <w:r>
              <w:rPr>
                <w:sz w:val="21"/>
              </w:rPr>
              <w:t>2,755,066,601.59</w:t>
            </w:r>
          </w:p>
        </w:tc>
      </w:tr>
    </w:tbl>
    <w:p>
      <w:pPr>
        <w:pStyle w:val="BodyText"/>
        <w:spacing w:line="267" w:lineRule="exact" w:before="4"/>
        <w:ind w:left="1538"/>
      </w:pPr>
      <w:r>
        <w:rPr>
          <w:w w:val="100"/>
        </w:rPr>
        <w:t> </w:t>
      </w:r>
    </w:p>
    <w:p>
      <w:pPr>
        <w:pStyle w:val="Heading4"/>
        <w:spacing w:line="384" w:lineRule="exact"/>
      </w:pPr>
      <w:r>
        <w:rPr>
          <w:rFonts w:ascii="Times New Roman" w:eastAsia="Times New Roman"/>
        </w:rPr>
        <w:t>18</w:t>
      </w:r>
      <w:r>
        <w:rPr/>
        <w:t>、 无形资产</w:t>
      </w:r>
    </w:p>
    <w:p>
      <w:pPr>
        <w:pStyle w:val="BodyText"/>
        <w:spacing w:before="3"/>
        <w:rPr>
          <w:rFonts w:ascii="Microsoft JhengHei"/>
          <w:b/>
          <w:sz w:val="17"/>
        </w:rPr>
      </w:pPr>
    </w:p>
    <w:tbl>
      <w:tblPr>
        <w:tblW w:w="0" w:type="auto"/>
        <w:jc w:val="left"/>
        <w:tblInd w:w="14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638"/>
        <w:gridCol w:w="2196"/>
        <w:gridCol w:w="2052"/>
        <w:gridCol w:w="2197"/>
      </w:tblGrid>
      <w:tr>
        <w:trPr>
          <w:trHeight w:val="368" w:hRule="atLeast"/>
        </w:trPr>
        <w:tc>
          <w:tcPr>
            <w:tcW w:w="2638" w:type="dxa"/>
            <w:tcBorders>
              <w:bottom w:val="single" w:sz="4" w:space="0" w:color="000000"/>
              <w:right w:val="single" w:sz="4" w:space="0" w:color="000000"/>
            </w:tcBorders>
          </w:tcPr>
          <w:p>
            <w:pPr>
              <w:pStyle w:val="TableParagraph"/>
              <w:spacing w:line="349" w:lineRule="exact"/>
              <w:ind w:left="1086" w:right="1071"/>
              <w:jc w:val="center"/>
              <w:rPr>
                <w:rFonts w:ascii="Microsoft JhengHei" w:eastAsia="Microsoft JhengHei" w:hint="eastAsia"/>
                <w:b/>
                <w:sz w:val="21"/>
              </w:rPr>
            </w:pPr>
            <w:r>
              <w:rPr>
                <w:rFonts w:ascii="Microsoft JhengHei" w:eastAsia="Microsoft JhengHei" w:hint="eastAsia"/>
                <w:b/>
                <w:sz w:val="21"/>
              </w:rPr>
              <w:t>项目</w:t>
            </w:r>
          </w:p>
        </w:tc>
        <w:tc>
          <w:tcPr>
            <w:tcW w:w="2196" w:type="dxa"/>
            <w:tcBorders>
              <w:left w:val="single" w:sz="4" w:space="0" w:color="000000"/>
              <w:bottom w:val="single" w:sz="4" w:space="0" w:color="000000"/>
              <w:right w:val="single" w:sz="4" w:space="0" w:color="000000"/>
            </w:tcBorders>
          </w:tcPr>
          <w:p>
            <w:pPr>
              <w:pStyle w:val="TableParagraph"/>
              <w:spacing w:line="349" w:lineRule="exact"/>
              <w:ind w:left="686"/>
              <w:rPr>
                <w:rFonts w:ascii="Microsoft JhengHei" w:eastAsia="Microsoft JhengHei" w:hint="eastAsia"/>
                <w:b/>
                <w:sz w:val="21"/>
              </w:rPr>
            </w:pPr>
            <w:r>
              <w:rPr>
                <w:rFonts w:ascii="Microsoft JhengHei" w:eastAsia="Microsoft JhengHei" w:hint="eastAsia"/>
                <w:b/>
                <w:sz w:val="21"/>
              </w:rPr>
              <w:t>专有技术</w:t>
            </w:r>
          </w:p>
        </w:tc>
        <w:tc>
          <w:tcPr>
            <w:tcW w:w="2052" w:type="dxa"/>
            <w:tcBorders>
              <w:left w:val="single" w:sz="4" w:space="0" w:color="000000"/>
              <w:bottom w:val="single" w:sz="4" w:space="0" w:color="000000"/>
              <w:right w:val="single" w:sz="4" w:space="0" w:color="000000"/>
            </w:tcBorders>
          </w:tcPr>
          <w:p>
            <w:pPr>
              <w:pStyle w:val="TableParagraph"/>
              <w:spacing w:line="349" w:lineRule="exact"/>
              <w:ind w:left="509"/>
              <w:rPr>
                <w:rFonts w:ascii="Microsoft JhengHei" w:eastAsia="Microsoft JhengHei" w:hint="eastAsia"/>
                <w:b/>
                <w:sz w:val="21"/>
              </w:rPr>
            </w:pPr>
            <w:r>
              <w:rPr>
                <w:rFonts w:ascii="Microsoft JhengHei" w:eastAsia="Microsoft JhengHei" w:hint="eastAsia"/>
                <w:b/>
                <w:sz w:val="21"/>
              </w:rPr>
              <w:t>特许使用权</w:t>
            </w:r>
          </w:p>
        </w:tc>
        <w:tc>
          <w:tcPr>
            <w:tcW w:w="2197" w:type="dxa"/>
            <w:tcBorders>
              <w:left w:val="single" w:sz="4" w:space="0" w:color="000000"/>
              <w:bottom w:val="single" w:sz="4" w:space="0" w:color="000000"/>
            </w:tcBorders>
          </w:tcPr>
          <w:p>
            <w:pPr>
              <w:pStyle w:val="TableParagraph"/>
              <w:spacing w:line="349" w:lineRule="exact"/>
              <w:ind w:left="579"/>
              <w:rPr>
                <w:rFonts w:ascii="Microsoft JhengHei" w:eastAsia="Microsoft JhengHei" w:hint="eastAsia"/>
                <w:b/>
                <w:sz w:val="21"/>
              </w:rPr>
            </w:pPr>
            <w:r>
              <w:rPr>
                <w:rFonts w:ascii="Microsoft JhengHei" w:eastAsia="Microsoft JhengHei" w:hint="eastAsia"/>
                <w:b/>
                <w:sz w:val="21"/>
              </w:rPr>
              <w:t>土地使用权</w:t>
            </w:r>
          </w:p>
        </w:tc>
      </w:tr>
      <w:tr>
        <w:trPr>
          <w:trHeight w:val="369" w:hRule="atLeast"/>
        </w:trPr>
        <w:tc>
          <w:tcPr>
            <w:tcW w:w="2638"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rFonts w:ascii="宋体" w:eastAsia="宋体" w:hint="eastAsia"/>
                <w:sz w:val="21"/>
              </w:rPr>
              <w:t>一、账面原值</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38"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1.</w:t>
            </w:r>
            <w:r>
              <w:rPr>
                <w:rFonts w:ascii="宋体" w:eastAsia="宋体" w:hint="eastAsia"/>
                <w:sz w:val="21"/>
              </w:rPr>
              <w:t>期初余额</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before="58"/>
              <w:ind w:right="4"/>
              <w:jc w:val="right"/>
              <w:rPr>
                <w:sz w:val="21"/>
              </w:rPr>
            </w:pPr>
            <w:r>
              <w:rPr>
                <w:sz w:val="21"/>
              </w:rPr>
              <w:t>1,777,017,298.95</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8"/>
              <w:ind w:right="4"/>
              <w:jc w:val="right"/>
              <w:rPr>
                <w:sz w:val="21"/>
              </w:rPr>
            </w:pPr>
            <w:r>
              <w:rPr>
                <w:sz w:val="21"/>
              </w:rPr>
              <w:t>4,211,491,949.66</w:t>
            </w:r>
          </w:p>
        </w:tc>
        <w:tc>
          <w:tcPr>
            <w:tcW w:w="2197" w:type="dxa"/>
            <w:tcBorders>
              <w:top w:val="single" w:sz="4" w:space="0" w:color="000000"/>
              <w:left w:val="single" w:sz="4" w:space="0" w:color="000000"/>
              <w:bottom w:val="single" w:sz="4" w:space="0" w:color="000000"/>
            </w:tcBorders>
          </w:tcPr>
          <w:p>
            <w:pPr>
              <w:pStyle w:val="TableParagraph"/>
              <w:spacing w:before="58"/>
              <w:ind w:right="-15"/>
              <w:jc w:val="right"/>
              <w:rPr>
                <w:sz w:val="21"/>
              </w:rPr>
            </w:pPr>
            <w:r>
              <w:rPr>
                <w:sz w:val="21"/>
              </w:rPr>
              <w:t>1,191,959,998.86</w:t>
            </w:r>
          </w:p>
        </w:tc>
      </w:tr>
      <w:tr>
        <w:trPr>
          <w:trHeight w:val="369" w:hRule="atLeast"/>
        </w:trPr>
        <w:tc>
          <w:tcPr>
            <w:tcW w:w="2638"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2.</w:t>
            </w:r>
            <w:r>
              <w:rPr>
                <w:rFonts w:ascii="宋体" w:eastAsia="宋体" w:hint="eastAsia"/>
                <w:sz w:val="21"/>
              </w:rPr>
              <w:t>本期增加金额</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38"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(1)</w:t>
            </w:r>
            <w:r>
              <w:rPr>
                <w:rFonts w:ascii="宋体" w:eastAsia="宋体" w:hint="eastAsia"/>
                <w:sz w:val="21"/>
              </w:rPr>
              <w:t>购置</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before="58"/>
              <w:ind w:right="4"/>
              <w:jc w:val="right"/>
              <w:rPr>
                <w:sz w:val="21"/>
              </w:rPr>
            </w:pPr>
            <w:r>
              <w:rPr>
                <w:sz w:val="21"/>
              </w:rPr>
              <w:t>2,047,992.39</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8"/>
              <w:ind w:right="4"/>
              <w:jc w:val="right"/>
              <w:rPr>
                <w:sz w:val="21"/>
              </w:rPr>
            </w:pPr>
            <w:r>
              <w:rPr>
                <w:sz w:val="21"/>
              </w:rPr>
              <w:t>47,790,393.14</w:t>
            </w:r>
          </w:p>
        </w:tc>
        <w:tc>
          <w:tcPr>
            <w:tcW w:w="2197" w:type="dxa"/>
            <w:tcBorders>
              <w:top w:val="single" w:sz="4" w:space="0" w:color="000000"/>
              <w:left w:val="single" w:sz="4" w:space="0" w:color="000000"/>
              <w:bottom w:val="single" w:sz="4" w:space="0" w:color="000000"/>
            </w:tcBorders>
          </w:tcPr>
          <w:p>
            <w:pPr>
              <w:pStyle w:val="TableParagraph"/>
              <w:spacing w:before="58"/>
              <w:ind w:right="-15"/>
              <w:jc w:val="right"/>
              <w:rPr>
                <w:sz w:val="21"/>
              </w:rPr>
            </w:pPr>
            <w:r>
              <w:rPr>
                <w:sz w:val="21"/>
              </w:rPr>
              <w:t>244,923,712.86</w:t>
            </w:r>
          </w:p>
        </w:tc>
      </w:tr>
      <w:tr>
        <w:trPr>
          <w:trHeight w:val="369" w:hRule="atLeast"/>
        </w:trPr>
        <w:tc>
          <w:tcPr>
            <w:tcW w:w="2638"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(2)</w:t>
            </w:r>
            <w:r>
              <w:rPr>
                <w:rFonts w:ascii="宋体" w:eastAsia="宋体" w:hint="eastAsia"/>
                <w:sz w:val="21"/>
              </w:rPr>
              <w:t>内部研发</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before="58"/>
              <w:ind w:right="4"/>
              <w:jc w:val="right"/>
              <w:rPr>
                <w:sz w:val="21"/>
              </w:rPr>
            </w:pPr>
            <w:r>
              <w:rPr>
                <w:sz w:val="21"/>
              </w:rPr>
              <w:t>107,279,565.53</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38"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(3)</w:t>
            </w:r>
            <w:r>
              <w:rPr>
                <w:rFonts w:ascii="宋体" w:eastAsia="宋体" w:hint="eastAsia"/>
                <w:sz w:val="21"/>
              </w:rPr>
              <w:t>企业合并增加</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38"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3.</w:t>
            </w:r>
            <w:r>
              <w:rPr>
                <w:rFonts w:ascii="宋体" w:eastAsia="宋体" w:hint="eastAsia"/>
                <w:sz w:val="21"/>
              </w:rPr>
              <w:t>本期减少金额</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6" w:hRule="atLeast"/>
        </w:trPr>
        <w:tc>
          <w:tcPr>
            <w:tcW w:w="2638"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(1)</w:t>
            </w:r>
            <w:r>
              <w:rPr>
                <w:rFonts w:ascii="宋体" w:eastAsia="宋体" w:hint="eastAsia"/>
                <w:sz w:val="21"/>
              </w:rPr>
              <w:t>处置</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spacing w:before="55"/>
              <w:ind w:right="-15"/>
              <w:jc w:val="right"/>
              <w:rPr>
                <w:sz w:val="21"/>
              </w:rPr>
            </w:pPr>
            <w:r>
              <w:rPr>
                <w:sz w:val="21"/>
              </w:rPr>
              <w:t>188,438,500.00</w:t>
            </w:r>
          </w:p>
        </w:tc>
      </w:tr>
      <w:tr>
        <w:trPr>
          <w:trHeight w:val="369" w:hRule="atLeast"/>
        </w:trPr>
        <w:tc>
          <w:tcPr>
            <w:tcW w:w="2638"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sz w:val="21"/>
              </w:rPr>
              <w:t>(2)</w:t>
            </w:r>
            <w:r>
              <w:rPr>
                <w:rFonts w:ascii="宋体" w:eastAsia="宋体" w:hint="eastAsia"/>
                <w:sz w:val="21"/>
              </w:rPr>
              <w:t>处置子公司</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spacing w:before="58"/>
              <w:ind w:right="-15"/>
              <w:jc w:val="right"/>
              <w:rPr>
                <w:sz w:val="21"/>
              </w:rPr>
            </w:pPr>
            <w:r>
              <w:rPr>
                <w:sz w:val="21"/>
              </w:rPr>
              <w:t>43,972,030.39</w:t>
            </w:r>
          </w:p>
        </w:tc>
      </w:tr>
      <w:tr>
        <w:trPr>
          <w:trHeight w:val="369" w:hRule="atLeast"/>
        </w:trPr>
        <w:tc>
          <w:tcPr>
            <w:tcW w:w="2638"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sz w:val="21"/>
              </w:rPr>
              <w:t>(3)</w:t>
            </w:r>
            <w:r>
              <w:rPr>
                <w:rFonts w:ascii="宋体" w:eastAsia="宋体" w:hint="eastAsia"/>
                <w:sz w:val="21"/>
              </w:rPr>
              <w:t>转入持有待售</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38"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sz w:val="21"/>
              </w:rPr>
              <w:t>4.</w:t>
            </w:r>
            <w:r>
              <w:rPr>
                <w:rFonts w:ascii="宋体" w:eastAsia="宋体" w:hint="eastAsia"/>
                <w:sz w:val="21"/>
              </w:rPr>
              <w:t>外币报表折算差额</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before="58"/>
              <w:ind w:right="4"/>
              <w:jc w:val="right"/>
              <w:rPr>
                <w:sz w:val="21"/>
              </w:rPr>
            </w:pPr>
            <w:r>
              <w:rPr>
                <w:sz w:val="21"/>
              </w:rPr>
              <w:t>-44,339,194.34</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8"/>
              <w:ind w:right="4"/>
              <w:jc w:val="right"/>
              <w:rPr>
                <w:sz w:val="21"/>
              </w:rPr>
            </w:pPr>
            <w:r>
              <w:rPr>
                <w:sz w:val="21"/>
              </w:rPr>
              <w:t>-248,504,540.22</w:t>
            </w:r>
          </w:p>
        </w:tc>
        <w:tc>
          <w:tcPr>
            <w:tcW w:w="2197" w:type="dxa"/>
            <w:tcBorders>
              <w:top w:val="single" w:sz="4" w:space="0" w:color="000000"/>
              <w:left w:val="single" w:sz="4" w:space="0" w:color="000000"/>
              <w:bottom w:val="single" w:sz="4" w:space="0" w:color="000000"/>
            </w:tcBorders>
          </w:tcPr>
          <w:p>
            <w:pPr>
              <w:pStyle w:val="TableParagraph"/>
              <w:spacing w:before="58"/>
              <w:ind w:right="-15"/>
              <w:jc w:val="right"/>
              <w:rPr>
                <w:sz w:val="21"/>
              </w:rPr>
            </w:pPr>
            <w:r>
              <w:rPr>
                <w:sz w:val="21"/>
              </w:rPr>
              <w:t>-4,334,715.40</w:t>
            </w:r>
          </w:p>
        </w:tc>
      </w:tr>
      <w:tr>
        <w:trPr>
          <w:trHeight w:val="369" w:hRule="atLeast"/>
        </w:trPr>
        <w:tc>
          <w:tcPr>
            <w:tcW w:w="2638"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sz w:val="21"/>
              </w:rPr>
              <w:t>5.</w:t>
            </w:r>
            <w:r>
              <w:rPr>
                <w:rFonts w:ascii="宋体" w:eastAsia="宋体" w:hint="eastAsia"/>
                <w:sz w:val="21"/>
              </w:rPr>
              <w:t>期末余额</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before="58"/>
              <w:ind w:right="4"/>
              <w:jc w:val="right"/>
              <w:rPr>
                <w:sz w:val="21"/>
              </w:rPr>
            </w:pPr>
            <w:r>
              <w:rPr>
                <w:sz w:val="21"/>
              </w:rPr>
              <w:t>1,842,005,662.53</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8"/>
              <w:ind w:right="4"/>
              <w:jc w:val="right"/>
              <w:rPr>
                <w:sz w:val="21"/>
              </w:rPr>
            </w:pPr>
            <w:r>
              <w:rPr>
                <w:sz w:val="21"/>
              </w:rPr>
              <w:t>4,010,777,802.58</w:t>
            </w:r>
          </w:p>
        </w:tc>
        <w:tc>
          <w:tcPr>
            <w:tcW w:w="2197" w:type="dxa"/>
            <w:tcBorders>
              <w:top w:val="single" w:sz="4" w:space="0" w:color="000000"/>
              <w:left w:val="single" w:sz="4" w:space="0" w:color="000000"/>
              <w:bottom w:val="single" w:sz="4" w:space="0" w:color="000000"/>
            </w:tcBorders>
          </w:tcPr>
          <w:p>
            <w:pPr>
              <w:pStyle w:val="TableParagraph"/>
              <w:spacing w:before="58"/>
              <w:ind w:right="-15"/>
              <w:jc w:val="right"/>
              <w:rPr>
                <w:sz w:val="21"/>
              </w:rPr>
            </w:pPr>
            <w:r>
              <w:rPr>
                <w:sz w:val="21"/>
              </w:rPr>
              <w:t>1,200,138,465.93</w:t>
            </w:r>
          </w:p>
        </w:tc>
      </w:tr>
      <w:tr>
        <w:trPr>
          <w:trHeight w:val="369" w:hRule="atLeast"/>
        </w:trPr>
        <w:tc>
          <w:tcPr>
            <w:tcW w:w="2638"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rFonts w:ascii="宋体" w:eastAsia="宋体" w:hint="eastAsia"/>
                <w:sz w:val="21"/>
              </w:rPr>
              <w:t>二、累计摊销</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38"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1.</w:t>
            </w:r>
            <w:r>
              <w:rPr>
                <w:rFonts w:ascii="宋体" w:eastAsia="宋体" w:hint="eastAsia"/>
                <w:sz w:val="21"/>
              </w:rPr>
              <w:t>期初余额</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before="58"/>
              <w:ind w:right="4"/>
              <w:jc w:val="right"/>
              <w:rPr>
                <w:sz w:val="21"/>
              </w:rPr>
            </w:pPr>
            <w:r>
              <w:rPr>
                <w:sz w:val="21"/>
              </w:rPr>
              <w:t>735,680,465.49</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8"/>
              <w:ind w:right="4"/>
              <w:jc w:val="right"/>
              <w:rPr>
                <w:sz w:val="21"/>
              </w:rPr>
            </w:pPr>
            <w:r>
              <w:rPr>
                <w:sz w:val="21"/>
              </w:rPr>
              <w:t>451,771,449.40</w:t>
            </w:r>
          </w:p>
        </w:tc>
        <w:tc>
          <w:tcPr>
            <w:tcW w:w="2197" w:type="dxa"/>
            <w:tcBorders>
              <w:top w:val="single" w:sz="4" w:space="0" w:color="000000"/>
              <w:left w:val="single" w:sz="4" w:space="0" w:color="000000"/>
              <w:bottom w:val="single" w:sz="4" w:space="0" w:color="000000"/>
            </w:tcBorders>
          </w:tcPr>
          <w:p>
            <w:pPr>
              <w:pStyle w:val="TableParagraph"/>
              <w:spacing w:before="58"/>
              <w:ind w:right="-15"/>
              <w:jc w:val="right"/>
              <w:rPr>
                <w:sz w:val="21"/>
              </w:rPr>
            </w:pPr>
            <w:r>
              <w:rPr>
                <w:sz w:val="21"/>
              </w:rPr>
              <w:t>145,020,102.09</w:t>
            </w:r>
          </w:p>
        </w:tc>
      </w:tr>
      <w:tr>
        <w:trPr>
          <w:trHeight w:val="369" w:hRule="atLeast"/>
        </w:trPr>
        <w:tc>
          <w:tcPr>
            <w:tcW w:w="2638"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2.</w:t>
            </w:r>
            <w:r>
              <w:rPr>
                <w:rFonts w:ascii="宋体" w:eastAsia="宋体" w:hint="eastAsia"/>
                <w:sz w:val="21"/>
              </w:rPr>
              <w:t>本期增加金额</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38"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(1)</w:t>
            </w:r>
            <w:r>
              <w:rPr>
                <w:rFonts w:ascii="宋体" w:eastAsia="宋体" w:hint="eastAsia"/>
                <w:sz w:val="21"/>
              </w:rPr>
              <w:t>计提</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before="58"/>
              <w:ind w:right="4"/>
              <w:jc w:val="right"/>
              <w:rPr>
                <w:sz w:val="21"/>
              </w:rPr>
            </w:pPr>
            <w:r>
              <w:rPr>
                <w:sz w:val="21"/>
              </w:rPr>
              <w:t>169,293,518.42</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8"/>
              <w:ind w:right="4"/>
              <w:jc w:val="right"/>
              <w:rPr>
                <w:sz w:val="21"/>
              </w:rPr>
            </w:pPr>
            <w:r>
              <w:rPr>
                <w:sz w:val="21"/>
              </w:rPr>
              <w:t>134,423,095.79</w:t>
            </w:r>
          </w:p>
        </w:tc>
        <w:tc>
          <w:tcPr>
            <w:tcW w:w="2197" w:type="dxa"/>
            <w:tcBorders>
              <w:top w:val="single" w:sz="4" w:space="0" w:color="000000"/>
              <w:left w:val="single" w:sz="4" w:space="0" w:color="000000"/>
              <w:bottom w:val="single" w:sz="4" w:space="0" w:color="000000"/>
            </w:tcBorders>
          </w:tcPr>
          <w:p>
            <w:pPr>
              <w:pStyle w:val="TableParagraph"/>
              <w:spacing w:before="58"/>
              <w:ind w:right="-15"/>
              <w:jc w:val="right"/>
              <w:rPr>
                <w:sz w:val="21"/>
              </w:rPr>
            </w:pPr>
            <w:r>
              <w:rPr>
                <w:sz w:val="21"/>
              </w:rPr>
              <w:t>20,964,409.16</w:t>
            </w:r>
          </w:p>
        </w:tc>
      </w:tr>
      <w:tr>
        <w:trPr>
          <w:trHeight w:val="369" w:hRule="atLeast"/>
        </w:trPr>
        <w:tc>
          <w:tcPr>
            <w:tcW w:w="2638"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(2)</w:t>
            </w:r>
            <w:r>
              <w:rPr>
                <w:rFonts w:ascii="宋体" w:eastAsia="宋体" w:hint="eastAsia"/>
                <w:sz w:val="21"/>
              </w:rPr>
              <w:t>企业合并增加</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38"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3.</w:t>
            </w:r>
            <w:r>
              <w:rPr>
                <w:rFonts w:ascii="宋体" w:eastAsia="宋体" w:hint="eastAsia"/>
                <w:sz w:val="21"/>
              </w:rPr>
              <w:t>本期减少金额</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38"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(1)</w:t>
            </w:r>
            <w:r>
              <w:rPr>
                <w:rFonts w:ascii="宋体" w:eastAsia="宋体" w:hint="eastAsia"/>
                <w:sz w:val="21"/>
              </w:rPr>
              <w:t>处置</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spacing w:before="55"/>
              <w:ind w:right="-15"/>
              <w:jc w:val="right"/>
              <w:rPr>
                <w:sz w:val="21"/>
              </w:rPr>
            </w:pPr>
            <w:r>
              <w:rPr>
                <w:sz w:val="21"/>
              </w:rPr>
              <w:t>4,710,962.50</w:t>
            </w:r>
          </w:p>
        </w:tc>
      </w:tr>
      <w:tr>
        <w:trPr>
          <w:trHeight w:val="366" w:hRule="atLeast"/>
        </w:trPr>
        <w:tc>
          <w:tcPr>
            <w:tcW w:w="2638"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(2)</w:t>
            </w:r>
            <w:r>
              <w:rPr>
                <w:rFonts w:ascii="宋体" w:eastAsia="宋体" w:hint="eastAsia"/>
                <w:sz w:val="21"/>
              </w:rPr>
              <w:t>处置子公司</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spacing w:before="55"/>
              <w:ind w:right="-15"/>
              <w:jc w:val="right"/>
              <w:rPr>
                <w:sz w:val="21"/>
              </w:rPr>
            </w:pPr>
            <w:r>
              <w:rPr>
                <w:sz w:val="21"/>
              </w:rPr>
              <w:t>21,295,782.60</w:t>
            </w:r>
          </w:p>
        </w:tc>
      </w:tr>
      <w:tr>
        <w:trPr>
          <w:trHeight w:val="368" w:hRule="atLeast"/>
        </w:trPr>
        <w:tc>
          <w:tcPr>
            <w:tcW w:w="2638" w:type="dxa"/>
            <w:tcBorders>
              <w:top w:val="single" w:sz="4" w:space="0" w:color="000000"/>
              <w:right w:val="single" w:sz="4" w:space="0" w:color="000000"/>
            </w:tcBorders>
          </w:tcPr>
          <w:p>
            <w:pPr>
              <w:pStyle w:val="TableParagraph"/>
              <w:spacing w:before="51"/>
              <w:ind w:left="28"/>
              <w:rPr>
                <w:rFonts w:ascii="宋体" w:eastAsia="宋体" w:hint="eastAsia"/>
                <w:sz w:val="21"/>
              </w:rPr>
            </w:pPr>
            <w:r>
              <w:rPr>
                <w:sz w:val="21"/>
              </w:rPr>
              <w:t>(3)</w:t>
            </w:r>
            <w:r>
              <w:rPr>
                <w:rFonts w:ascii="宋体" w:eastAsia="宋体" w:hint="eastAsia"/>
                <w:sz w:val="21"/>
              </w:rPr>
              <w:t>转入持有待售</w:t>
            </w:r>
          </w:p>
        </w:tc>
        <w:tc>
          <w:tcPr>
            <w:tcW w:w="2196" w:type="dxa"/>
            <w:tcBorders>
              <w:top w:val="single" w:sz="4" w:space="0" w:color="000000"/>
              <w:left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tcBorders>
          </w:tcPr>
          <w:p>
            <w:pPr>
              <w:pStyle w:val="TableParagraph"/>
              <w:rPr>
                <w:sz w:val="20"/>
              </w:rPr>
            </w:pPr>
          </w:p>
        </w:tc>
      </w:tr>
    </w:tbl>
    <w:p>
      <w:pPr>
        <w:spacing w:after="0"/>
        <w:rPr>
          <w:sz w:val="20"/>
        </w:rPr>
        <w:sectPr>
          <w:pgSz w:w="11910" w:h="16840"/>
          <w:pgMar w:header="876" w:footer="1192" w:top="1440" w:bottom="1400" w:left="260" w:right="0"/>
        </w:sectPr>
      </w:pPr>
    </w:p>
    <w:p>
      <w:pPr>
        <w:pStyle w:val="BodyText"/>
        <w:spacing w:before="11"/>
        <w:rPr>
          <w:rFonts w:ascii="Microsoft JhengHei"/>
          <w:b/>
          <w:sz w:val="3"/>
        </w:rPr>
      </w:pPr>
    </w:p>
    <w:tbl>
      <w:tblPr>
        <w:tblW w:w="0" w:type="auto"/>
        <w:jc w:val="left"/>
        <w:tblInd w:w="14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638"/>
        <w:gridCol w:w="2196"/>
        <w:gridCol w:w="2052"/>
        <w:gridCol w:w="2197"/>
      </w:tblGrid>
      <w:tr>
        <w:trPr>
          <w:trHeight w:val="371" w:hRule="atLeast"/>
        </w:trPr>
        <w:tc>
          <w:tcPr>
            <w:tcW w:w="2638" w:type="dxa"/>
            <w:tcBorders>
              <w:bottom w:val="single" w:sz="4" w:space="0" w:color="000000"/>
              <w:right w:val="single" w:sz="4" w:space="0" w:color="000000"/>
            </w:tcBorders>
          </w:tcPr>
          <w:p>
            <w:pPr>
              <w:pStyle w:val="TableParagraph"/>
              <w:spacing w:before="51"/>
              <w:ind w:left="28"/>
              <w:rPr>
                <w:rFonts w:ascii="宋体" w:eastAsia="宋体" w:hint="eastAsia"/>
                <w:sz w:val="21"/>
              </w:rPr>
            </w:pPr>
            <w:r>
              <w:rPr>
                <w:sz w:val="21"/>
              </w:rPr>
              <w:t>4.</w:t>
            </w:r>
            <w:r>
              <w:rPr>
                <w:rFonts w:ascii="宋体" w:eastAsia="宋体" w:hint="eastAsia"/>
                <w:sz w:val="21"/>
              </w:rPr>
              <w:t>外币报表折算差额</w:t>
            </w:r>
          </w:p>
        </w:tc>
        <w:tc>
          <w:tcPr>
            <w:tcW w:w="2196" w:type="dxa"/>
            <w:tcBorders>
              <w:left w:val="single" w:sz="4" w:space="0" w:color="000000"/>
              <w:bottom w:val="single" w:sz="4" w:space="0" w:color="000000"/>
              <w:right w:val="single" w:sz="4" w:space="0" w:color="000000"/>
            </w:tcBorders>
          </w:tcPr>
          <w:p>
            <w:pPr>
              <w:pStyle w:val="TableParagraph"/>
              <w:spacing w:before="58"/>
              <w:ind w:right="4"/>
              <w:jc w:val="right"/>
              <w:rPr>
                <w:sz w:val="21"/>
              </w:rPr>
            </w:pPr>
            <w:r>
              <w:rPr>
                <w:sz w:val="21"/>
              </w:rPr>
              <w:t>-33,769,691.74</w:t>
            </w:r>
          </w:p>
        </w:tc>
        <w:tc>
          <w:tcPr>
            <w:tcW w:w="2052" w:type="dxa"/>
            <w:tcBorders>
              <w:left w:val="single" w:sz="4" w:space="0" w:color="000000"/>
              <w:bottom w:val="single" w:sz="4" w:space="0" w:color="000000"/>
              <w:right w:val="single" w:sz="4" w:space="0" w:color="000000"/>
            </w:tcBorders>
          </w:tcPr>
          <w:p>
            <w:pPr>
              <w:pStyle w:val="TableParagraph"/>
              <w:spacing w:before="58"/>
              <w:ind w:right="4"/>
              <w:jc w:val="right"/>
              <w:rPr>
                <w:sz w:val="21"/>
              </w:rPr>
            </w:pPr>
            <w:r>
              <w:rPr>
                <w:sz w:val="21"/>
              </w:rPr>
              <w:t>-22,148,725.13</w:t>
            </w:r>
          </w:p>
        </w:tc>
        <w:tc>
          <w:tcPr>
            <w:tcW w:w="2197" w:type="dxa"/>
            <w:tcBorders>
              <w:left w:val="single" w:sz="4" w:space="0" w:color="000000"/>
              <w:bottom w:val="single" w:sz="4" w:space="0" w:color="000000"/>
            </w:tcBorders>
          </w:tcPr>
          <w:p>
            <w:pPr>
              <w:pStyle w:val="TableParagraph"/>
              <w:spacing w:before="58"/>
              <w:ind w:right="-15"/>
              <w:jc w:val="right"/>
              <w:rPr>
                <w:sz w:val="21"/>
              </w:rPr>
            </w:pPr>
            <w:r>
              <w:rPr>
                <w:sz w:val="21"/>
              </w:rPr>
              <w:t>-812,123.32</w:t>
            </w:r>
          </w:p>
        </w:tc>
      </w:tr>
      <w:tr>
        <w:trPr>
          <w:trHeight w:val="369" w:hRule="atLeast"/>
        </w:trPr>
        <w:tc>
          <w:tcPr>
            <w:tcW w:w="2638"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5.</w:t>
            </w:r>
            <w:r>
              <w:rPr>
                <w:rFonts w:ascii="宋体" w:eastAsia="宋体" w:hint="eastAsia"/>
                <w:sz w:val="21"/>
              </w:rPr>
              <w:t>期末余额</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before="55"/>
              <w:ind w:right="4"/>
              <w:jc w:val="right"/>
              <w:rPr>
                <w:sz w:val="21"/>
              </w:rPr>
            </w:pPr>
            <w:r>
              <w:rPr>
                <w:sz w:val="21"/>
              </w:rPr>
              <w:t>871,204,292.17</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5"/>
              <w:ind w:right="4"/>
              <w:jc w:val="right"/>
              <w:rPr>
                <w:sz w:val="21"/>
              </w:rPr>
            </w:pPr>
            <w:r>
              <w:rPr>
                <w:sz w:val="21"/>
              </w:rPr>
              <w:t>564,045,820.06</w:t>
            </w:r>
          </w:p>
        </w:tc>
        <w:tc>
          <w:tcPr>
            <w:tcW w:w="2197" w:type="dxa"/>
            <w:tcBorders>
              <w:top w:val="single" w:sz="4" w:space="0" w:color="000000"/>
              <w:left w:val="single" w:sz="4" w:space="0" w:color="000000"/>
              <w:bottom w:val="single" w:sz="4" w:space="0" w:color="000000"/>
            </w:tcBorders>
          </w:tcPr>
          <w:p>
            <w:pPr>
              <w:pStyle w:val="TableParagraph"/>
              <w:spacing w:before="55"/>
              <w:ind w:right="-15"/>
              <w:jc w:val="right"/>
              <w:rPr>
                <w:sz w:val="21"/>
              </w:rPr>
            </w:pPr>
            <w:r>
              <w:rPr>
                <w:sz w:val="21"/>
              </w:rPr>
              <w:t>139,165,642.83</w:t>
            </w:r>
          </w:p>
        </w:tc>
      </w:tr>
      <w:tr>
        <w:trPr>
          <w:trHeight w:val="366" w:hRule="atLeast"/>
        </w:trPr>
        <w:tc>
          <w:tcPr>
            <w:tcW w:w="2638"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rFonts w:ascii="宋体" w:eastAsia="宋体" w:hint="eastAsia"/>
                <w:sz w:val="21"/>
              </w:rPr>
              <w:t>三、减值准备</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38"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sz w:val="21"/>
              </w:rPr>
              <w:t>1.</w:t>
            </w:r>
            <w:r>
              <w:rPr>
                <w:rFonts w:ascii="宋体" w:eastAsia="宋体" w:hint="eastAsia"/>
                <w:sz w:val="21"/>
              </w:rPr>
              <w:t>期初余额</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38"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sz w:val="21"/>
              </w:rPr>
              <w:t>2.</w:t>
            </w:r>
            <w:r>
              <w:rPr>
                <w:rFonts w:ascii="宋体" w:eastAsia="宋体" w:hint="eastAsia"/>
                <w:sz w:val="21"/>
              </w:rPr>
              <w:t>本期增加金额</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38"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sz w:val="21"/>
              </w:rPr>
              <w:t>(1)</w:t>
            </w:r>
            <w:r>
              <w:rPr>
                <w:rFonts w:ascii="宋体" w:eastAsia="宋体" w:hint="eastAsia"/>
                <w:sz w:val="21"/>
              </w:rPr>
              <w:t>计提</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38"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sz w:val="21"/>
              </w:rPr>
              <w:t>(2)</w:t>
            </w:r>
            <w:r>
              <w:rPr>
                <w:rFonts w:ascii="宋体" w:eastAsia="宋体" w:hint="eastAsia"/>
                <w:sz w:val="21"/>
              </w:rPr>
              <w:t>企业合并增加</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38"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3.</w:t>
            </w:r>
            <w:r>
              <w:rPr>
                <w:rFonts w:ascii="宋体" w:eastAsia="宋体" w:hint="eastAsia"/>
                <w:sz w:val="21"/>
              </w:rPr>
              <w:t>本期减少金额</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38"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(1)</w:t>
            </w:r>
            <w:r>
              <w:rPr>
                <w:rFonts w:ascii="宋体" w:eastAsia="宋体" w:hint="eastAsia"/>
                <w:sz w:val="21"/>
              </w:rPr>
              <w:t>处置</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38"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(2)</w:t>
            </w:r>
            <w:r>
              <w:rPr>
                <w:rFonts w:ascii="宋体" w:eastAsia="宋体" w:hint="eastAsia"/>
                <w:sz w:val="21"/>
              </w:rPr>
              <w:t>处置子公司</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38"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(3)</w:t>
            </w:r>
            <w:r>
              <w:rPr>
                <w:rFonts w:ascii="宋体" w:eastAsia="宋体" w:hint="eastAsia"/>
                <w:sz w:val="21"/>
              </w:rPr>
              <w:t>转入持有待售</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38"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4.</w:t>
            </w:r>
            <w:r>
              <w:rPr>
                <w:rFonts w:ascii="宋体" w:eastAsia="宋体" w:hint="eastAsia"/>
                <w:sz w:val="21"/>
              </w:rPr>
              <w:t>外币报表折算差额</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38"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5.</w:t>
            </w:r>
            <w:r>
              <w:rPr>
                <w:rFonts w:ascii="宋体" w:eastAsia="宋体" w:hint="eastAsia"/>
                <w:sz w:val="21"/>
              </w:rPr>
              <w:t>期末余额</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38"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rFonts w:ascii="宋体" w:eastAsia="宋体" w:hint="eastAsia"/>
                <w:sz w:val="21"/>
              </w:rPr>
              <w:t>四、账面价值</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6" w:hRule="atLeast"/>
        </w:trPr>
        <w:tc>
          <w:tcPr>
            <w:tcW w:w="2638"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1.</w:t>
            </w:r>
            <w:r>
              <w:rPr>
                <w:rFonts w:ascii="宋体" w:eastAsia="宋体" w:hint="eastAsia"/>
                <w:sz w:val="21"/>
              </w:rPr>
              <w:t>期末账面价值</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before="55"/>
              <w:ind w:right="4"/>
              <w:jc w:val="right"/>
              <w:rPr>
                <w:sz w:val="21"/>
              </w:rPr>
            </w:pPr>
            <w:r>
              <w:rPr>
                <w:sz w:val="21"/>
              </w:rPr>
              <w:t>970,801,370.36</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5"/>
              <w:ind w:right="4"/>
              <w:jc w:val="right"/>
              <w:rPr>
                <w:sz w:val="21"/>
              </w:rPr>
            </w:pPr>
            <w:r>
              <w:rPr>
                <w:sz w:val="21"/>
              </w:rPr>
              <w:t>3,446,731,982.52</w:t>
            </w:r>
          </w:p>
        </w:tc>
        <w:tc>
          <w:tcPr>
            <w:tcW w:w="2197" w:type="dxa"/>
            <w:tcBorders>
              <w:top w:val="single" w:sz="4" w:space="0" w:color="000000"/>
              <w:left w:val="single" w:sz="4" w:space="0" w:color="000000"/>
              <w:bottom w:val="single" w:sz="4" w:space="0" w:color="000000"/>
            </w:tcBorders>
          </w:tcPr>
          <w:p>
            <w:pPr>
              <w:pStyle w:val="TableParagraph"/>
              <w:spacing w:before="55"/>
              <w:ind w:right="-15"/>
              <w:jc w:val="right"/>
              <w:rPr>
                <w:sz w:val="21"/>
              </w:rPr>
            </w:pPr>
            <w:r>
              <w:rPr>
                <w:sz w:val="21"/>
              </w:rPr>
              <w:t>1,060,972,823.10</w:t>
            </w:r>
          </w:p>
        </w:tc>
      </w:tr>
      <w:tr>
        <w:trPr>
          <w:trHeight w:val="368" w:hRule="atLeast"/>
        </w:trPr>
        <w:tc>
          <w:tcPr>
            <w:tcW w:w="2638" w:type="dxa"/>
            <w:tcBorders>
              <w:top w:val="single" w:sz="4" w:space="0" w:color="000000"/>
              <w:right w:val="single" w:sz="4" w:space="0" w:color="000000"/>
            </w:tcBorders>
          </w:tcPr>
          <w:p>
            <w:pPr>
              <w:pStyle w:val="TableParagraph"/>
              <w:spacing w:before="51"/>
              <w:ind w:left="28"/>
              <w:rPr>
                <w:rFonts w:ascii="宋体" w:eastAsia="宋体" w:hint="eastAsia"/>
                <w:sz w:val="21"/>
              </w:rPr>
            </w:pPr>
            <w:r>
              <w:rPr>
                <w:sz w:val="21"/>
              </w:rPr>
              <w:t>2.</w:t>
            </w:r>
            <w:r>
              <w:rPr>
                <w:rFonts w:ascii="宋体" w:eastAsia="宋体" w:hint="eastAsia"/>
                <w:sz w:val="21"/>
              </w:rPr>
              <w:t>期初账面价值</w:t>
            </w:r>
          </w:p>
        </w:tc>
        <w:tc>
          <w:tcPr>
            <w:tcW w:w="2196" w:type="dxa"/>
            <w:tcBorders>
              <w:top w:val="single" w:sz="4" w:space="0" w:color="000000"/>
              <w:left w:val="single" w:sz="4" w:space="0" w:color="000000"/>
              <w:right w:val="single" w:sz="4" w:space="0" w:color="000000"/>
            </w:tcBorders>
          </w:tcPr>
          <w:p>
            <w:pPr>
              <w:pStyle w:val="TableParagraph"/>
              <w:spacing w:before="58"/>
              <w:ind w:right="4"/>
              <w:jc w:val="right"/>
              <w:rPr>
                <w:sz w:val="21"/>
              </w:rPr>
            </w:pPr>
            <w:r>
              <w:rPr>
                <w:sz w:val="21"/>
              </w:rPr>
              <w:t>1,041,336,833.46</w:t>
            </w:r>
          </w:p>
        </w:tc>
        <w:tc>
          <w:tcPr>
            <w:tcW w:w="2052" w:type="dxa"/>
            <w:tcBorders>
              <w:top w:val="single" w:sz="4" w:space="0" w:color="000000"/>
              <w:left w:val="single" w:sz="4" w:space="0" w:color="000000"/>
              <w:right w:val="single" w:sz="4" w:space="0" w:color="000000"/>
            </w:tcBorders>
          </w:tcPr>
          <w:p>
            <w:pPr>
              <w:pStyle w:val="TableParagraph"/>
              <w:spacing w:before="58"/>
              <w:ind w:right="4"/>
              <w:jc w:val="right"/>
              <w:rPr>
                <w:sz w:val="21"/>
              </w:rPr>
            </w:pPr>
            <w:r>
              <w:rPr>
                <w:sz w:val="21"/>
              </w:rPr>
              <w:t>3,759,720,500.26</w:t>
            </w:r>
          </w:p>
        </w:tc>
        <w:tc>
          <w:tcPr>
            <w:tcW w:w="2197" w:type="dxa"/>
            <w:tcBorders>
              <w:top w:val="single" w:sz="4" w:space="0" w:color="000000"/>
              <w:left w:val="single" w:sz="4" w:space="0" w:color="000000"/>
            </w:tcBorders>
          </w:tcPr>
          <w:p>
            <w:pPr>
              <w:pStyle w:val="TableParagraph"/>
              <w:spacing w:before="58"/>
              <w:ind w:right="-15"/>
              <w:jc w:val="right"/>
              <w:rPr>
                <w:sz w:val="21"/>
              </w:rPr>
            </w:pPr>
            <w:r>
              <w:rPr>
                <w:sz w:val="21"/>
              </w:rPr>
              <w:t>1,046,939,896.77</w:t>
            </w:r>
          </w:p>
        </w:tc>
      </w:tr>
    </w:tbl>
    <w:p>
      <w:pPr>
        <w:pStyle w:val="BodyText"/>
        <w:spacing w:before="10"/>
        <w:rPr>
          <w:rFonts w:ascii="Microsoft JhengHei"/>
          <w:b/>
          <w:sz w:val="10"/>
        </w:rPr>
      </w:pPr>
    </w:p>
    <w:p>
      <w:pPr>
        <w:pStyle w:val="BodyText"/>
        <w:spacing w:before="72"/>
        <w:ind w:left="2063"/>
      </w:pPr>
      <w:r>
        <w:rPr/>
        <w:t>续表</w:t>
      </w:r>
    </w:p>
    <w:p>
      <w:pPr>
        <w:pStyle w:val="BodyText"/>
        <w:spacing w:before="6"/>
        <w:rPr>
          <w:sz w:val="11"/>
        </w:rPr>
      </w:pPr>
    </w:p>
    <w:tbl>
      <w:tblPr>
        <w:tblW w:w="0" w:type="auto"/>
        <w:jc w:val="left"/>
        <w:tblInd w:w="14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641"/>
        <w:gridCol w:w="2194"/>
        <w:gridCol w:w="2052"/>
        <w:gridCol w:w="2197"/>
      </w:tblGrid>
      <w:tr>
        <w:trPr>
          <w:trHeight w:val="368" w:hRule="atLeast"/>
        </w:trPr>
        <w:tc>
          <w:tcPr>
            <w:tcW w:w="2641" w:type="dxa"/>
            <w:tcBorders>
              <w:bottom w:val="single" w:sz="4" w:space="0" w:color="000000"/>
              <w:right w:val="single" w:sz="4" w:space="0" w:color="000000"/>
            </w:tcBorders>
          </w:tcPr>
          <w:p>
            <w:pPr>
              <w:pStyle w:val="TableParagraph"/>
              <w:spacing w:line="349" w:lineRule="exact"/>
              <w:ind w:left="871" w:right="859"/>
              <w:jc w:val="center"/>
              <w:rPr>
                <w:rFonts w:ascii="Microsoft JhengHei" w:eastAsia="Microsoft JhengHei" w:hint="eastAsia"/>
                <w:b/>
                <w:sz w:val="21"/>
              </w:rPr>
            </w:pPr>
            <w:r>
              <w:rPr>
                <w:rFonts w:ascii="Microsoft JhengHei" w:eastAsia="Microsoft JhengHei" w:hint="eastAsia"/>
                <w:b/>
                <w:sz w:val="21"/>
              </w:rPr>
              <w:t>项目</w:t>
            </w:r>
          </w:p>
        </w:tc>
        <w:tc>
          <w:tcPr>
            <w:tcW w:w="2194" w:type="dxa"/>
            <w:tcBorders>
              <w:left w:val="single" w:sz="4" w:space="0" w:color="000000"/>
              <w:bottom w:val="single" w:sz="4" w:space="0" w:color="000000"/>
              <w:right w:val="single" w:sz="4" w:space="0" w:color="000000"/>
            </w:tcBorders>
          </w:tcPr>
          <w:p>
            <w:pPr>
              <w:pStyle w:val="TableParagraph"/>
              <w:spacing w:line="349" w:lineRule="exact"/>
              <w:ind w:left="770" w:right="743"/>
              <w:jc w:val="center"/>
              <w:rPr>
                <w:rFonts w:ascii="Microsoft JhengHei" w:eastAsia="Microsoft JhengHei" w:hint="eastAsia"/>
                <w:b/>
                <w:sz w:val="21"/>
              </w:rPr>
            </w:pPr>
            <w:r>
              <w:rPr>
                <w:rFonts w:ascii="Microsoft JhengHei" w:eastAsia="Microsoft JhengHei" w:hint="eastAsia"/>
                <w:b/>
                <w:sz w:val="21"/>
              </w:rPr>
              <w:t>商标权</w:t>
            </w:r>
          </w:p>
        </w:tc>
        <w:tc>
          <w:tcPr>
            <w:tcW w:w="2052" w:type="dxa"/>
            <w:tcBorders>
              <w:left w:val="single" w:sz="4" w:space="0" w:color="000000"/>
              <w:bottom w:val="single" w:sz="4" w:space="0" w:color="000000"/>
              <w:right w:val="single" w:sz="4" w:space="0" w:color="000000"/>
            </w:tcBorders>
          </w:tcPr>
          <w:p>
            <w:pPr>
              <w:pStyle w:val="TableParagraph"/>
              <w:spacing w:line="349" w:lineRule="exact"/>
              <w:ind w:right="53"/>
              <w:jc w:val="right"/>
              <w:rPr>
                <w:rFonts w:ascii="Microsoft JhengHei" w:eastAsia="Microsoft JhengHei" w:hint="eastAsia"/>
                <w:b/>
                <w:sz w:val="21"/>
              </w:rPr>
            </w:pPr>
            <w:r>
              <w:rPr>
                <w:rFonts w:ascii="Microsoft JhengHei" w:eastAsia="Microsoft JhengHei" w:hint="eastAsia"/>
                <w:b/>
                <w:sz w:val="21"/>
              </w:rPr>
              <w:t>应用管理软件及其他</w:t>
            </w:r>
          </w:p>
        </w:tc>
        <w:tc>
          <w:tcPr>
            <w:tcW w:w="2197" w:type="dxa"/>
            <w:tcBorders>
              <w:left w:val="single" w:sz="4" w:space="0" w:color="000000"/>
              <w:bottom w:val="single" w:sz="4" w:space="0" w:color="000000"/>
            </w:tcBorders>
          </w:tcPr>
          <w:p>
            <w:pPr>
              <w:pStyle w:val="TableParagraph"/>
              <w:spacing w:line="349" w:lineRule="exact"/>
              <w:ind w:left="876" w:right="841"/>
              <w:jc w:val="center"/>
              <w:rPr>
                <w:rFonts w:ascii="Microsoft JhengHei" w:eastAsia="Microsoft JhengHei" w:hint="eastAsia"/>
                <w:b/>
                <w:sz w:val="21"/>
              </w:rPr>
            </w:pPr>
            <w:r>
              <w:rPr>
                <w:rFonts w:ascii="Microsoft JhengHei" w:eastAsia="Microsoft JhengHei" w:hint="eastAsia"/>
                <w:b/>
                <w:sz w:val="21"/>
              </w:rPr>
              <w:t>合计</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rFonts w:ascii="宋体" w:eastAsia="宋体" w:hint="eastAsia"/>
                <w:sz w:val="21"/>
              </w:rPr>
              <w:t>一、账面原值</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sz w:val="21"/>
              </w:rPr>
              <w:t>1.</w:t>
            </w:r>
            <w:r>
              <w:rPr>
                <w:rFonts w:ascii="宋体" w:eastAsia="宋体" w:hint="eastAsia"/>
                <w:sz w:val="21"/>
              </w:rPr>
              <w:t>期初余额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2,721,643,301.47</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3,604,814,269.91</w:t>
            </w:r>
          </w:p>
        </w:tc>
        <w:tc>
          <w:tcPr>
            <w:tcW w:w="2197" w:type="dxa"/>
            <w:tcBorders>
              <w:top w:val="single" w:sz="4" w:space="0" w:color="000000"/>
              <w:left w:val="single" w:sz="4" w:space="0" w:color="000000"/>
              <w:bottom w:val="single" w:sz="4" w:space="0" w:color="000000"/>
            </w:tcBorders>
          </w:tcPr>
          <w:p>
            <w:pPr>
              <w:pStyle w:val="TableParagraph"/>
              <w:spacing w:before="58"/>
              <w:jc w:val="right"/>
              <w:rPr>
                <w:sz w:val="21"/>
              </w:rPr>
            </w:pPr>
            <w:r>
              <w:rPr>
                <w:sz w:val="21"/>
              </w:rPr>
              <w:t>13,506,926,818.85</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sz w:val="21"/>
              </w:rPr>
              <w:t>2.</w:t>
            </w:r>
            <w:r>
              <w:rPr>
                <w:rFonts w:ascii="宋体" w:eastAsia="宋体" w:hint="eastAsia"/>
                <w:sz w:val="21"/>
              </w:rPr>
              <w:t>本期增加金额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sz w:val="21"/>
              </w:rPr>
              <w:t>(1)</w:t>
            </w:r>
            <w:r>
              <w:rPr>
                <w:rFonts w:ascii="宋体" w:eastAsia="宋体" w:hint="eastAsia"/>
                <w:sz w:val="21"/>
              </w:rPr>
              <w:t>购置</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216,435,519.28</w:t>
            </w:r>
          </w:p>
        </w:tc>
        <w:tc>
          <w:tcPr>
            <w:tcW w:w="2197" w:type="dxa"/>
            <w:tcBorders>
              <w:top w:val="single" w:sz="4" w:space="0" w:color="000000"/>
              <w:left w:val="single" w:sz="4" w:space="0" w:color="000000"/>
              <w:bottom w:val="single" w:sz="4" w:space="0" w:color="000000"/>
            </w:tcBorders>
          </w:tcPr>
          <w:p>
            <w:pPr>
              <w:pStyle w:val="TableParagraph"/>
              <w:spacing w:before="58"/>
              <w:jc w:val="right"/>
              <w:rPr>
                <w:sz w:val="21"/>
              </w:rPr>
            </w:pPr>
            <w:r>
              <w:rPr>
                <w:sz w:val="21"/>
              </w:rPr>
              <w:t>511,197,617.67</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(2)</w:t>
            </w:r>
            <w:r>
              <w:rPr>
                <w:rFonts w:ascii="宋体" w:eastAsia="宋体" w:hint="eastAsia"/>
                <w:sz w:val="21"/>
              </w:rPr>
              <w:t>内部研发</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185,328,429.41</w:t>
            </w:r>
          </w:p>
        </w:tc>
        <w:tc>
          <w:tcPr>
            <w:tcW w:w="2197" w:type="dxa"/>
            <w:tcBorders>
              <w:top w:val="single" w:sz="4" w:space="0" w:color="000000"/>
              <w:left w:val="single" w:sz="4" w:space="0" w:color="000000"/>
              <w:bottom w:val="single" w:sz="4" w:space="0" w:color="000000"/>
            </w:tcBorders>
          </w:tcPr>
          <w:p>
            <w:pPr>
              <w:pStyle w:val="TableParagraph"/>
              <w:spacing w:before="58"/>
              <w:jc w:val="right"/>
              <w:rPr>
                <w:sz w:val="21"/>
              </w:rPr>
            </w:pPr>
            <w:r>
              <w:rPr>
                <w:sz w:val="21"/>
              </w:rPr>
              <w:t>292,607,994.94</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(3)</w:t>
            </w:r>
            <w:r>
              <w:rPr>
                <w:rFonts w:ascii="宋体" w:eastAsia="宋体" w:hint="eastAsia"/>
                <w:sz w:val="21"/>
              </w:rPr>
              <w:t>企业合并增加</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54,992,058.74</w:t>
            </w:r>
          </w:p>
        </w:tc>
        <w:tc>
          <w:tcPr>
            <w:tcW w:w="2197" w:type="dxa"/>
            <w:tcBorders>
              <w:top w:val="single" w:sz="4" w:space="0" w:color="000000"/>
              <w:left w:val="single" w:sz="4" w:space="0" w:color="000000"/>
              <w:bottom w:val="single" w:sz="4" w:space="0" w:color="000000"/>
            </w:tcBorders>
          </w:tcPr>
          <w:p>
            <w:pPr>
              <w:pStyle w:val="TableParagraph"/>
              <w:spacing w:before="58"/>
              <w:jc w:val="right"/>
              <w:rPr>
                <w:sz w:val="21"/>
              </w:rPr>
            </w:pPr>
            <w:r>
              <w:rPr>
                <w:sz w:val="21"/>
              </w:rPr>
              <w:t>54,992,058.74</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3.</w:t>
            </w:r>
            <w:r>
              <w:rPr>
                <w:rFonts w:ascii="宋体" w:eastAsia="宋体" w:hint="eastAsia"/>
                <w:sz w:val="21"/>
              </w:rPr>
              <w:t>本期减少金额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(1)</w:t>
            </w:r>
            <w:r>
              <w:rPr>
                <w:rFonts w:ascii="宋体" w:eastAsia="宋体" w:hint="eastAsia"/>
                <w:sz w:val="21"/>
              </w:rPr>
              <w:t>处置</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33,673,815.82</w:t>
            </w:r>
          </w:p>
        </w:tc>
        <w:tc>
          <w:tcPr>
            <w:tcW w:w="2197" w:type="dxa"/>
            <w:tcBorders>
              <w:top w:val="single" w:sz="4" w:space="0" w:color="000000"/>
              <w:left w:val="single" w:sz="4" w:space="0" w:color="000000"/>
              <w:bottom w:val="single" w:sz="4" w:space="0" w:color="000000"/>
            </w:tcBorders>
          </w:tcPr>
          <w:p>
            <w:pPr>
              <w:pStyle w:val="TableParagraph"/>
              <w:spacing w:before="58"/>
              <w:jc w:val="right"/>
              <w:rPr>
                <w:sz w:val="21"/>
              </w:rPr>
            </w:pPr>
            <w:r>
              <w:rPr>
                <w:sz w:val="21"/>
              </w:rPr>
              <w:t>222,112,315.82</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(2)</w:t>
            </w:r>
            <w:r>
              <w:rPr>
                <w:rFonts w:ascii="宋体" w:eastAsia="宋体" w:hint="eastAsia"/>
                <w:sz w:val="21"/>
              </w:rPr>
              <w:t>处置子公司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94,341,417.91</w:t>
            </w:r>
          </w:p>
        </w:tc>
        <w:tc>
          <w:tcPr>
            <w:tcW w:w="2197" w:type="dxa"/>
            <w:tcBorders>
              <w:top w:val="single" w:sz="4" w:space="0" w:color="000000"/>
              <w:left w:val="single" w:sz="4" w:space="0" w:color="000000"/>
              <w:bottom w:val="single" w:sz="4" w:space="0" w:color="000000"/>
            </w:tcBorders>
          </w:tcPr>
          <w:p>
            <w:pPr>
              <w:pStyle w:val="TableParagraph"/>
              <w:spacing w:before="58"/>
              <w:jc w:val="right"/>
              <w:rPr>
                <w:sz w:val="21"/>
              </w:rPr>
            </w:pPr>
            <w:r>
              <w:rPr>
                <w:sz w:val="21"/>
              </w:rPr>
              <w:t>138,313,448.30</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(3)</w:t>
            </w:r>
            <w:r>
              <w:rPr>
                <w:rFonts w:ascii="宋体" w:eastAsia="宋体" w:hint="eastAsia"/>
                <w:sz w:val="21"/>
              </w:rPr>
              <w:t>转入持有待售</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4.</w:t>
            </w:r>
            <w:r>
              <w:rPr>
                <w:rFonts w:ascii="宋体" w:eastAsia="宋体" w:hint="eastAsia"/>
                <w:sz w:val="21"/>
              </w:rPr>
              <w:t>外币报表折算差额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55"/>
              <w:ind w:right="5"/>
              <w:jc w:val="right"/>
              <w:rPr>
                <w:sz w:val="21"/>
              </w:rPr>
            </w:pPr>
            <w:r>
              <w:rPr>
                <w:sz w:val="21"/>
              </w:rPr>
              <w:t>-8,198,601.88</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5"/>
              <w:ind w:right="5"/>
              <w:jc w:val="right"/>
              <w:rPr>
                <w:sz w:val="21"/>
              </w:rPr>
            </w:pPr>
            <w:r>
              <w:rPr>
                <w:sz w:val="21"/>
              </w:rPr>
              <w:t>-105,485,918.16</w:t>
            </w:r>
          </w:p>
        </w:tc>
        <w:tc>
          <w:tcPr>
            <w:tcW w:w="2197" w:type="dxa"/>
            <w:tcBorders>
              <w:top w:val="single" w:sz="4" w:space="0" w:color="000000"/>
              <w:left w:val="single" w:sz="4" w:space="0" w:color="000000"/>
              <w:bottom w:val="single" w:sz="4" w:space="0" w:color="000000"/>
            </w:tcBorders>
          </w:tcPr>
          <w:p>
            <w:pPr>
              <w:pStyle w:val="TableParagraph"/>
              <w:spacing w:before="55"/>
              <w:jc w:val="right"/>
              <w:rPr>
                <w:sz w:val="21"/>
              </w:rPr>
            </w:pPr>
            <w:r>
              <w:rPr>
                <w:sz w:val="21"/>
              </w:rPr>
              <w:t>-410,862,970.00</w:t>
            </w:r>
          </w:p>
        </w:tc>
      </w:tr>
      <w:tr>
        <w:trPr>
          <w:trHeight w:val="366"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5.</w:t>
            </w:r>
            <w:r>
              <w:rPr>
                <w:rFonts w:ascii="宋体" w:eastAsia="宋体" w:hint="eastAsia"/>
                <w:sz w:val="21"/>
              </w:rPr>
              <w:t>期末余额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55"/>
              <w:ind w:right="5"/>
              <w:jc w:val="right"/>
              <w:rPr>
                <w:sz w:val="21"/>
              </w:rPr>
            </w:pPr>
            <w:r>
              <w:rPr>
                <w:sz w:val="21"/>
              </w:rPr>
              <w:t>2,713,444,699.59</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5"/>
              <w:ind w:right="5"/>
              <w:jc w:val="right"/>
              <w:rPr>
                <w:sz w:val="21"/>
              </w:rPr>
            </w:pPr>
            <w:r>
              <w:rPr>
                <w:sz w:val="21"/>
              </w:rPr>
              <w:t>3,828,069,125.45</w:t>
            </w:r>
          </w:p>
        </w:tc>
        <w:tc>
          <w:tcPr>
            <w:tcW w:w="2197" w:type="dxa"/>
            <w:tcBorders>
              <w:top w:val="single" w:sz="4" w:space="0" w:color="000000"/>
              <w:left w:val="single" w:sz="4" w:space="0" w:color="000000"/>
              <w:bottom w:val="single" w:sz="4" w:space="0" w:color="000000"/>
            </w:tcBorders>
          </w:tcPr>
          <w:p>
            <w:pPr>
              <w:pStyle w:val="TableParagraph"/>
              <w:spacing w:before="55"/>
              <w:jc w:val="right"/>
              <w:rPr>
                <w:sz w:val="21"/>
              </w:rPr>
            </w:pPr>
            <w:r>
              <w:rPr>
                <w:sz w:val="21"/>
              </w:rPr>
              <w:t>13,594,435,756.08</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rFonts w:ascii="宋体" w:eastAsia="宋体" w:hint="eastAsia"/>
                <w:sz w:val="21"/>
              </w:rPr>
              <w:t>二、累计摊销</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sz w:val="21"/>
              </w:rPr>
              <w:t>1.</w:t>
            </w:r>
            <w:r>
              <w:rPr>
                <w:rFonts w:ascii="宋体" w:eastAsia="宋体" w:hint="eastAsia"/>
                <w:sz w:val="21"/>
              </w:rPr>
              <w:t>期初余额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1,477,417,910.84</w:t>
            </w:r>
          </w:p>
        </w:tc>
        <w:tc>
          <w:tcPr>
            <w:tcW w:w="2197" w:type="dxa"/>
            <w:tcBorders>
              <w:top w:val="single" w:sz="4" w:space="0" w:color="000000"/>
              <w:left w:val="single" w:sz="4" w:space="0" w:color="000000"/>
              <w:bottom w:val="single" w:sz="4" w:space="0" w:color="000000"/>
            </w:tcBorders>
          </w:tcPr>
          <w:p>
            <w:pPr>
              <w:pStyle w:val="TableParagraph"/>
              <w:spacing w:before="58"/>
              <w:jc w:val="right"/>
              <w:rPr>
                <w:sz w:val="21"/>
              </w:rPr>
            </w:pPr>
            <w:r>
              <w:rPr>
                <w:sz w:val="21"/>
              </w:rPr>
              <w:t>2,809,889,927.82</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sz w:val="21"/>
              </w:rPr>
              <w:t>2.</w:t>
            </w:r>
            <w:r>
              <w:rPr>
                <w:rFonts w:ascii="宋体" w:eastAsia="宋体" w:hint="eastAsia"/>
                <w:sz w:val="21"/>
              </w:rPr>
              <w:t>本期增加金额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1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sz w:val="21"/>
              </w:rPr>
              <w:t>(1)</w:t>
            </w:r>
            <w:r>
              <w:rPr>
                <w:rFonts w:ascii="宋体" w:eastAsia="宋体" w:hint="eastAsia"/>
                <w:sz w:val="21"/>
              </w:rPr>
              <w:t>计提</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625,804,227.11</w:t>
            </w:r>
          </w:p>
        </w:tc>
        <w:tc>
          <w:tcPr>
            <w:tcW w:w="2197" w:type="dxa"/>
            <w:tcBorders>
              <w:top w:val="single" w:sz="4" w:space="0" w:color="000000"/>
              <w:left w:val="single" w:sz="4" w:space="0" w:color="000000"/>
              <w:bottom w:val="single" w:sz="4" w:space="0" w:color="000000"/>
            </w:tcBorders>
          </w:tcPr>
          <w:p>
            <w:pPr>
              <w:pStyle w:val="TableParagraph"/>
              <w:spacing w:before="58"/>
              <w:jc w:val="right"/>
              <w:rPr>
                <w:sz w:val="21"/>
              </w:rPr>
            </w:pPr>
            <w:r>
              <w:rPr>
                <w:sz w:val="21"/>
              </w:rPr>
              <w:t>950,485,250.48</w:t>
            </w:r>
          </w:p>
        </w:tc>
      </w:tr>
      <w:tr>
        <w:trPr>
          <w:trHeight w:val="368" w:hRule="atLeast"/>
        </w:trPr>
        <w:tc>
          <w:tcPr>
            <w:tcW w:w="2641" w:type="dxa"/>
            <w:tcBorders>
              <w:top w:val="single" w:sz="4" w:space="0" w:color="000000"/>
              <w:right w:val="single" w:sz="4" w:space="0" w:color="000000"/>
            </w:tcBorders>
          </w:tcPr>
          <w:p>
            <w:pPr>
              <w:pStyle w:val="TableParagraph"/>
              <w:spacing w:before="49"/>
              <w:ind w:left="28"/>
              <w:rPr>
                <w:rFonts w:ascii="宋体" w:eastAsia="宋体" w:hint="eastAsia"/>
                <w:sz w:val="21"/>
              </w:rPr>
            </w:pPr>
            <w:r>
              <w:rPr>
                <w:sz w:val="21"/>
              </w:rPr>
              <w:t>(2)</w:t>
            </w:r>
            <w:r>
              <w:rPr>
                <w:rFonts w:ascii="宋体" w:eastAsia="宋体" w:hint="eastAsia"/>
                <w:sz w:val="21"/>
              </w:rPr>
              <w:t>企业合并增加</w:t>
            </w:r>
          </w:p>
        </w:tc>
        <w:tc>
          <w:tcPr>
            <w:tcW w:w="2194" w:type="dxa"/>
            <w:tcBorders>
              <w:top w:val="single" w:sz="4" w:space="0" w:color="000000"/>
              <w:left w:val="single" w:sz="4" w:space="0" w:color="000000"/>
              <w:right w:val="single" w:sz="4" w:space="0" w:color="000000"/>
            </w:tcBorders>
          </w:tcPr>
          <w:p>
            <w:pPr>
              <w:pStyle w:val="TableParagraph"/>
              <w:rPr>
                <w:sz w:val="20"/>
              </w:rPr>
            </w:pPr>
          </w:p>
        </w:tc>
        <w:tc>
          <w:tcPr>
            <w:tcW w:w="2052" w:type="dxa"/>
            <w:tcBorders>
              <w:top w:val="single" w:sz="4" w:space="0" w:color="000000"/>
              <w:left w:val="single" w:sz="4" w:space="0" w:color="000000"/>
              <w:right w:val="single" w:sz="4" w:space="0" w:color="000000"/>
            </w:tcBorders>
          </w:tcPr>
          <w:p>
            <w:pPr>
              <w:pStyle w:val="TableParagraph"/>
              <w:spacing w:before="58"/>
              <w:ind w:right="5"/>
              <w:jc w:val="right"/>
              <w:rPr>
                <w:sz w:val="21"/>
              </w:rPr>
            </w:pPr>
            <w:r>
              <w:rPr>
                <w:sz w:val="21"/>
              </w:rPr>
              <w:t>28,339.27</w:t>
            </w:r>
          </w:p>
        </w:tc>
        <w:tc>
          <w:tcPr>
            <w:tcW w:w="2197" w:type="dxa"/>
            <w:tcBorders>
              <w:top w:val="single" w:sz="4" w:space="0" w:color="000000"/>
              <w:left w:val="single" w:sz="4" w:space="0" w:color="000000"/>
            </w:tcBorders>
          </w:tcPr>
          <w:p>
            <w:pPr>
              <w:pStyle w:val="TableParagraph"/>
              <w:spacing w:before="58"/>
              <w:jc w:val="right"/>
              <w:rPr>
                <w:sz w:val="21"/>
              </w:rPr>
            </w:pPr>
            <w:r>
              <w:rPr>
                <w:sz w:val="21"/>
              </w:rPr>
              <w:t>28,339.27</w:t>
            </w:r>
          </w:p>
        </w:tc>
      </w:tr>
    </w:tbl>
    <w:p>
      <w:pPr>
        <w:spacing w:after="0"/>
        <w:jc w:val="right"/>
        <w:rPr>
          <w:sz w:val="21"/>
        </w:rPr>
        <w:sectPr>
          <w:pgSz w:w="11910" w:h="16840"/>
          <w:pgMar w:header="876" w:footer="1192" w:top="1440" w:bottom="1400" w:left="260" w:right="0"/>
        </w:sectPr>
      </w:pPr>
    </w:p>
    <w:p>
      <w:pPr>
        <w:pStyle w:val="BodyText"/>
        <w:spacing w:before="2"/>
        <w:rPr>
          <w:sz w:val="5"/>
        </w:rPr>
      </w:pPr>
    </w:p>
    <w:tbl>
      <w:tblPr>
        <w:tblW w:w="0" w:type="auto"/>
        <w:jc w:val="left"/>
        <w:tblInd w:w="14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641"/>
        <w:gridCol w:w="2194"/>
        <w:gridCol w:w="2052"/>
        <w:gridCol w:w="2197"/>
      </w:tblGrid>
      <w:tr>
        <w:trPr>
          <w:trHeight w:val="371" w:hRule="atLeast"/>
        </w:trPr>
        <w:tc>
          <w:tcPr>
            <w:tcW w:w="2641" w:type="dxa"/>
            <w:tcBorders>
              <w:bottom w:val="single" w:sz="4" w:space="0" w:color="000000"/>
              <w:right w:val="single" w:sz="4" w:space="0" w:color="000000"/>
            </w:tcBorders>
          </w:tcPr>
          <w:p>
            <w:pPr>
              <w:pStyle w:val="TableParagraph"/>
              <w:spacing w:before="51"/>
              <w:ind w:left="28"/>
              <w:rPr>
                <w:rFonts w:ascii="宋体" w:eastAsia="宋体" w:hint="eastAsia"/>
                <w:sz w:val="21"/>
              </w:rPr>
            </w:pPr>
            <w:r>
              <w:rPr>
                <w:sz w:val="21"/>
              </w:rPr>
              <w:t>3.</w:t>
            </w:r>
            <w:r>
              <w:rPr>
                <w:rFonts w:ascii="宋体" w:eastAsia="宋体" w:hint="eastAsia"/>
                <w:sz w:val="21"/>
              </w:rPr>
              <w:t>本期减少金额</w:t>
            </w:r>
          </w:p>
        </w:tc>
        <w:tc>
          <w:tcPr>
            <w:tcW w:w="2194" w:type="dxa"/>
            <w:tcBorders>
              <w:left w:val="single" w:sz="4" w:space="0" w:color="000000"/>
              <w:bottom w:val="single" w:sz="4" w:space="0" w:color="000000"/>
              <w:right w:val="single" w:sz="4" w:space="0" w:color="000000"/>
            </w:tcBorders>
          </w:tcPr>
          <w:p>
            <w:pPr>
              <w:pStyle w:val="TableParagraph"/>
              <w:rPr>
                <w:sz w:val="18"/>
              </w:rPr>
            </w:pPr>
          </w:p>
        </w:tc>
        <w:tc>
          <w:tcPr>
            <w:tcW w:w="2052" w:type="dxa"/>
            <w:tcBorders>
              <w:left w:val="single" w:sz="4" w:space="0" w:color="000000"/>
              <w:bottom w:val="single" w:sz="4" w:space="0" w:color="000000"/>
              <w:right w:val="single" w:sz="4" w:space="0" w:color="000000"/>
            </w:tcBorders>
          </w:tcPr>
          <w:p>
            <w:pPr>
              <w:pStyle w:val="TableParagraph"/>
              <w:rPr>
                <w:sz w:val="18"/>
              </w:rPr>
            </w:pPr>
          </w:p>
        </w:tc>
        <w:tc>
          <w:tcPr>
            <w:tcW w:w="2197" w:type="dxa"/>
            <w:tcBorders>
              <w:left w:val="single" w:sz="4" w:space="0" w:color="000000"/>
              <w:bottom w:val="single" w:sz="4" w:space="0" w:color="000000"/>
            </w:tcBorders>
          </w:tcPr>
          <w:p>
            <w:pPr>
              <w:pStyle w:val="TableParagraph"/>
              <w:rPr>
                <w:sz w:val="18"/>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(1)</w:t>
            </w:r>
            <w:r>
              <w:rPr>
                <w:rFonts w:ascii="宋体" w:eastAsia="宋体" w:hint="eastAsia"/>
                <w:sz w:val="21"/>
              </w:rPr>
              <w:t>处置</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5"/>
              <w:ind w:right="5"/>
              <w:jc w:val="right"/>
              <w:rPr>
                <w:sz w:val="21"/>
              </w:rPr>
            </w:pPr>
            <w:r>
              <w:rPr>
                <w:sz w:val="21"/>
              </w:rPr>
              <w:t>27,372,791.92</w:t>
            </w:r>
          </w:p>
        </w:tc>
        <w:tc>
          <w:tcPr>
            <w:tcW w:w="2197" w:type="dxa"/>
            <w:tcBorders>
              <w:top w:val="single" w:sz="4" w:space="0" w:color="000000"/>
              <w:left w:val="single" w:sz="4" w:space="0" w:color="000000"/>
              <w:bottom w:val="single" w:sz="4" w:space="0" w:color="000000"/>
            </w:tcBorders>
          </w:tcPr>
          <w:p>
            <w:pPr>
              <w:pStyle w:val="TableParagraph"/>
              <w:spacing w:before="55"/>
              <w:jc w:val="right"/>
              <w:rPr>
                <w:sz w:val="21"/>
              </w:rPr>
            </w:pPr>
            <w:r>
              <w:rPr>
                <w:sz w:val="21"/>
              </w:rPr>
              <w:t>32,083,754.42</w:t>
            </w:r>
          </w:p>
        </w:tc>
      </w:tr>
      <w:tr>
        <w:trPr>
          <w:trHeight w:val="366"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(2)</w:t>
            </w:r>
            <w:r>
              <w:rPr>
                <w:rFonts w:ascii="宋体" w:eastAsia="宋体" w:hint="eastAsia"/>
                <w:sz w:val="21"/>
              </w:rPr>
              <w:t>处置子公司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5"/>
              <w:ind w:right="5"/>
              <w:jc w:val="right"/>
              <w:rPr>
                <w:sz w:val="21"/>
              </w:rPr>
            </w:pPr>
            <w:r>
              <w:rPr>
                <w:sz w:val="21"/>
              </w:rPr>
              <w:t>70,342,031.60</w:t>
            </w:r>
          </w:p>
        </w:tc>
        <w:tc>
          <w:tcPr>
            <w:tcW w:w="2197" w:type="dxa"/>
            <w:tcBorders>
              <w:top w:val="single" w:sz="4" w:space="0" w:color="000000"/>
              <w:left w:val="single" w:sz="4" w:space="0" w:color="000000"/>
              <w:bottom w:val="single" w:sz="4" w:space="0" w:color="000000"/>
            </w:tcBorders>
          </w:tcPr>
          <w:p>
            <w:pPr>
              <w:pStyle w:val="TableParagraph"/>
              <w:spacing w:before="55"/>
              <w:jc w:val="right"/>
              <w:rPr>
                <w:sz w:val="21"/>
              </w:rPr>
            </w:pPr>
            <w:r>
              <w:rPr>
                <w:sz w:val="21"/>
              </w:rPr>
              <w:t>91,637,814.20</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sz w:val="21"/>
              </w:rPr>
              <w:t>(3)</w:t>
            </w:r>
            <w:r>
              <w:rPr>
                <w:rFonts w:ascii="宋体" w:eastAsia="宋体" w:hint="eastAsia"/>
                <w:sz w:val="21"/>
              </w:rPr>
              <w:t>转入持有待售</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7"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sz w:val="21"/>
              </w:rPr>
              <w:t>4.</w:t>
            </w:r>
            <w:r>
              <w:rPr>
                <w:rFonts w:ascii="宋体" w:eastAsia="宋体" w:hint="eastAsia"/>
                <w:sz w:val="21"/>
              </w:rPr>
              <w:t>外币报表折算差额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-59,423,547.04</w:t>
            </w:r>
          </w:p>
        </w:tc>
        <w:tc>
          <w:tcPr>
            <w:tcW w:w="2197" w:type="dxa"/>
            <w:tcBorders>
              <w:top w:val="single" w:sz="4" w:space="0" w:color="000000"/>
              <w:left w:val="single" w:sz="4" w:space="0" w:color="000000"/>
              <w:bottom w:val="single" w:sz="4" w:space="0" w:color="000000"/>
            </w:tcBorders>
          </w:tcPr>
          <w:p>
            <w:pPr>
              <w:pStyle w:val="TableParagraph"/>
              <w:spacing w:before="58"/>
              <w:jc w:val="right"/>
              <w:rPr>
                <w:sz w:val="21"/>
              </w:rPr>
            </w:pPr>
            <w:r>
              <w:rPr>
                <w:sz w:val="21"/>
              </w:rPr>
              <w:t>-116,154,087.23</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sz w:val="21"/>
              </w:rPr>
              <w:t>5.</w:t>
            </w:r>
            <w:r>
              <w:rPr>
                <w:rFonts w:ascii="宋体" w:eastAsia="宋体" w:hint="eastAsia"/>
                <w:sz w:val="21"/>
              </w:rPr>
              <w:t>期末余额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1,946,112,106.66</w:t>
            </w:r>
          </w:p>
        </w:tc>
        <w:tc>
          <w:tcPr>
            <w:tcW w:w="2197" w:type="dxa"/>
            <w:tcBorders>
              <w:top w:val="single" w:sz="4" w:space="0" w:color="000000"/>
              <w:left w:val="single" w:sz="4" w:space="0" w:color="000000"/>
              <w:bottom w:val="single" w:sz="4" w:space="0" w:color="000000"/>
            </w:tcBorders>
          </w:tcPr>
          <w:p>
            <w:pPr>
              <w:pStyle w:val="TableParagraph"/>
              <w:spacing w:before="58"/>
              <w:jc w:val="right"/>
              <w:rPr>
                <w:sz w:val="21"/>
              </w:rPr>
            </w:pPr>
            <w:r>
              <w:rPr>
                <w:sz w:val="21"/>
              </w:rPr>
              <w:t>3,520,527,861.72</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rFonts w:ascii="宋体" w:eastAsia="宋体" w:hint="eastAsia"/>
                <w:sz w:val="21"/>
              </w:rPr>
              <w:t>三、减值准备</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7"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1.</w:t>
            </w:r>
            <w:r>
              <w:rPr>
                <w:rFonts w:ascii="宋体" w:eastAsia="宋体" w:hint="eastAsia"/>
                <w:sz w:val="21"/>
              </w:rPr>
              <w:t>期初余额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9,965,107.96</w:t>
            </w:r>
          </w:p>
        </w:tc>
        <w:tc>
          <w:tcPr>
            <w:tcW w:w="2197" w:type="dxa"/>
            <w:tcBorders>
              <w:top w:val="single" w:sz="4" w:space="0" w:color="000000"/>
              <w:left w:val="single" w:sz="4" w:space="0" w:color="000000"/>
              <w:bottom w:val="single" w:sz="4" w:space="0" w:color="000000"/>
            </w:tcBorders>
          </w:tcPr>
          <w:p>
            <w:pPr>
              <w:pStyle w:val="TableParagraph"/>
              <w:spacing w:before="58"/>
              <w:jc w:val="right"/>
              <w:rPr>
                <w:sz w:val="21"/>
              </w:rPr>
            </w:pPr>
            <w:r>
              <w:rPr>
                <w:sz w:val="21"/>
              </w:rPr>
              <w:t>9,965,107.96</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2.</w:t>
            </w:r>
            <w:r>
              <w:rPr>
                <w:rFonts w:ascii="宋体" w:eastAsia="宋体" w:hint="eastAsia"/>
                <w:sz w:val="21"/>
              </w:rPr>
              <w:t>本期增加金额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7"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(1)</w:t>
            </w:r>
            <w:r>
              <w:rPr>
                <w:rFonts w:ascii="宋体" w:eastAsia="宋体" w:hint="eastAsia"/>
                <w:sz w:val="21"/>
              </w:rPr>
              <w:t>计提</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46,077,744.47</w:t>
            </w:r>
          </w:p>
        </w:tc>
        <w:tc>
          <w:tcPr>
            <w:tcW w:w="2197" w:type="dxa"/>
            <w:tcBorders>
              <w:top w:val="single" w:sz="4" w:space="0" w:color="000000"/>
              <w:left w:val="single" w:sz="4" w:space="0" w:color="000000"/>
              <w:bottom w:val="single" w:sz="4" w:space="0" w:color="000000"/>
            </w:tcBorders>
          </w:tcPr>
          <w:p>
            <w:pPr>
              <w:pStyle w:val="TableParagraph"/>
              <w:spacing w:before="58"/>
              <w:jc w:val="right"/>
              <w:rPr>
                <w:sz w:val="21"/>
              </w:rPr>
            </w:pPr>
            <w:r>
              <w:rPr>
                <w:sz w:val="21"/>
              </w:rPr>
              <w:t>46,077,744.47</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(2)</w:t>
            </w:r>
            <w:r>
              <w:rPr>
                <w:rFonts w:ascii="宋体" w:eastAsia="宋体" w:hint="eastAsia"/>
                <w:sz w:val="21"/>
              </w:rPr>
              <w:t>企业合并增加</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7"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3.</w:t>
            </w:r>
            <w:r>
              <w:rPr>
                <w:rFonts w:ascii="宋体" w:eastAsia="宋体" w:hint="eastAsia"/>
                <w:sz w:val="21"/>
              </w:rPr>
              <w:t>本期减少金额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7"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(1)</w:t>
            </w:r>
            <w:r>
              <w:rPr>
                <w:rFonts w:ascii="宋体" w:eastAsia="宋体" w:hint="eastAsia"/>
                <w:sz w:val="21"/>
              </w:rPr>
              <w:t>处置</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7"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(2)</w:t>
            </w:r>
            <w:r>
              <w:rPr>
                <w:rFonts w:ascii="宋体" w:eastAsia="宋体" w:hint="eastAsia"/>
                <w:sz w:val="21"/>
              </w:rPr>
              <w:t>处置子公司</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7" w:type="dxa"/>
            <w:tcBorders>
              <w:top w:val="single" w:sz="4" w:space="0" w:color="000000"/>
              <w:left w:val="single" w:sz="4" w:space="0" w:color="000000"/>
              <w:bottom w:val="single" w:sz="4" w:space="0" w:color="000000"/>
            </w:tcBorders>
          </w:tcPr>
          <w:p>
            <w:pPr>
              <w:pStyle w:val="TableParagraph"/>
              <w:rPr>
                <w:sz w:val="18"/>
              </w:rPr>
            </w:pPr>
          </w:p>
        </w:tc>
      </w:tr>
      <w:tr>
        <w:trPr>
          <w:trHeight w:val="366" w:hRule="atLeast"/>
        </w:trPr>
        <w:tc>
          <w:tcPr>
            <w:tcW w:w="2641" w:type="dxa"/>
            <w:tcBorders>
              <w:top w:val="single" w:sz="4" w:space="0" w:color="000000"/>
              <w:bottom w:val="single" w:sz="4" w:space="0" w:color="000000"/>
              <w:right w:val="single" w:sz="4" w:space="0" w:color="000000"/>
            </w:tcBorders>
          </w:tcPr>
          <w:p>
            <w:pPr>
              <w:pStyle w:val="TableParagraph"/>
              <w:spacing w:before="49"/>
              <w:ind w:left="28"/>
              <w:rPr>
                <w:rFonts w:ascii="宋体" w:eastAsia="宋体" w:hint="eastAsia"/>
                <w:sz w:val="21"/>
              </w:rPr>
            </w:pPr>
            <w:r>
              <w:rPr>
                <w:sz w:val="21"/>
              </w:rPr>
              <w:t>(3)</w:t>
            </w:r>
            <w:r>
              <w:rPr>
                <w:rFonts w:ascii="宋体" w:eastAsia="宋体" w:hint="eastAsia"/>
                <w:sz w:val="21"/>
              </w:rPr>
              <w:t>转入持有待售</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7"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sz w:val="21"/>
              </w:rPr>
              <w:t>4.</w:t>
            </w:r>
            <w:r>
              <w:rPr>
                <w:rFonts w:ascii="宋体" w:eastAsia="宋体" w:hint="eastAsia"/>
                <w:sz w:val="21"/>
              </w:rPr>
              <w:t>外币报表折算差额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-2,604.00</w:t>
            </w:r>
          </w:p>
        </w:tc>
        <w:tc>
          <w:tcPr>
            <w:tcW w:w="2197" w:type="dxa"/>
            <w:tcBorders>
              <w:top w:val="single" w:sz="4" w:space="0" w:color="000000"/>
              <w:left w:val="single" w:sz="4" w:space="0" w:color="000000"/>
              <w:bottom w:val="single" w:sz="4" w:space="0" w:color="000000"/>
            </w:tcBorders>
          </w:tcPr>
          <w:p>
            <w:pPr>
              <w:pStyle w:val="TableParagraph"/>
              <w:spacing w:before="58"/>
              <w:jc w:val="right"/>
              <w:rPr>
                <w:sz w:val="21"/>
              </w:rPr>
            </w:pPr>
            <w:r>
              <w:rPr>
                <w:sz w:val="21"/>
              </w:rPr>
              <w:t>-2,604.00</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sz w:val="21"/>
              </w:rPr>
              <w:t>5.</w:t>
            </w:r>
            <w:r>
              <w:rPr>
                <w:rFonts w:ascii="宋体" w:eastAsia="宋体" w:hint="eastAsia"/>
                <w:sz w:val="21"/>
              </w:rPr>
              <w:t>期末余额</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56,040,248.43</w:t>
            </w:r>
          </w:p>
        </w:tc>
        <w:tc>
          <w:tcPr>
            <w:tcW w:w="2197" w:type="dxa"/>
            <w:tcBorders>
              <w:top w:val="single" w:sz="4" w:space="0" w:color="000000"/>
              <w:left w:val="single" w:sz="4" w:space="0" w:color="000000"/>
              <w:bottom w:val="single" w:sz="4" w:space="0" w:color="000000"/>
            </w:tcBorders>
          </w:tcPr>
          <w:p>
            <w:pPr>
              <w:pStyle w:val="TableParagraph"/>
              <w:spacing w:before="58"/>
              <w:jc w:val="right"/>
              <w:rPr>
                <w:sz w:val="21"/>
              </w:rPr>
            </w:pPr>
            <w:r>
              <w:rPr>
                <w:sz w:val="21"/>
              </w:rPr>
              <w:t>56,040,248.43</w:t>
            </w: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rFonts w:ascii="宋体" w:eastAsia="宋体" w:hint="eastAsia"/>
                <w:sz w:val="21"/>
              </w:rPr>
              <w:t>四、账面价值</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197"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2641" w:type="dxa"/>
            <w:tcBorders>
              <w:top w:val="single" w:sz="4" w:space="0" w:color="000000"/>
              <w:bottom w:val="single" w:sz="4" w:space="0" w:color="000000"/>
              <w:right w:val="single" w:sz="4" w:space="0" w:color="000000"/>
            </w:tcBorders>
          </w:tcPr>
          <w:p>
            <w:pPr>
              <w:pStyle w:val="TableParagraph"/>
              <w:spacing w:before="51"/>
              <w:ind w:left="28"/>
              <w:rPr>
                <w:rFonts w:ascii="宋体" w:eastAsia="宋体" w:hint="eastAsia"/>
                <w:sz w:val="21"/>
              </w:rPr>
            </w:pPr>
            <w:r>
              <w:rPr>
                <w:sz w:val="21"/>
              </w:rPr>
              <w:t>1.</w:t>
            </w:r>
            <w:r>
              <w:rPr>
                <w:rFonts w:ascii="宋体" w:eastAsia="宋体" w:hint="eastAsia"/>
                <w:sz w:val="21"/>
              </w:rPr>
              <w:t>期末账面价值</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2,713,444,699.59</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1,825,916,770.36</w:t>
            </w:r>
          </w:p>
        </w:tc>
        <w:tc>
          <w:tcPr>
            <w:tcW w:w="2197" w:type="dxa"/>
            <w:tcBorders>
              <w:top w:val="single" w:sz="4" w:space="0" w:color="000000"/>
              <w:left w:val="single" w:sz="4" w:space="0" w:color="000000"/>
              <w:bottom w:val="single" w:sz="4" w:space="0" w:color="000000"/>
            </w:tcBorders>
          </w:tcPr>
          <w:p>
            <w:pPr>
              <w:pStyle w:val="TableParagraph"/>
              <w:spacing w:before="58"/>
              <w:jc w:val="right"/>
              <w:rPr>
                <w:sz w:val="21"/>
              </w:rPr>
            </w:pPr>
            <w:r>
              <w:rPr>
                <w:sz w:val="21"/>
              </w:rPr>
              <w:t>10,017,867,645.93</w:t>
            </w:r>
          </w:p>
        </w:tc>
      </w:tr>
      <w:tr>
        <w:trPr>
          <w:trHeight w:val="369" w:hRule="atLeast"/>
        </w:trPr>
        <w:tc>
          <w:tcPr>
            <w:tcW w:w="2641" w:type="dxa"/>
            <w:tcBorders>
              <w:top w:val="single" w:sz="4" w:space="0" w:color="000000"/>
              <w:right w:val="single" w:sz="4" w:space="0" w:color="000000"/>
            </w:tcBorders>
          </w:tcPr>
          <w:p>
            <w:pPr>
              <w:pStyle w:val="TableParagraph"/>
              <w:spacing w:before="49"/>
              <w:ind w:left="28"/>
              <w:rPr>
                <w:rFonts w:ascii="宋体" w:eastAsia="宋体" w:hint="eastAsia"/>
                <w:sz w:val="21"/>
              </w:rPr>
            </w:pPr>
            <w:r>
              <w:rPr>
                <w:sz w:val="21"/>
              </w:rPr>
              <w:t>2.</w:t>
            </w:r>
            <w:r>
              <w:rPr>
                <w:rFonts w:ascii="宋体" w:eastAsia="宋体" w:hint="eastAsia"/>
                <w:sz w:val="21"/>
              </w:rPr>
              <w:t>期初账面价值</w:t>
            </w:r>
          </w:p>
        </w:tc>
        <w:tc>
          <w:tcPr>
            <w:tcW w:w="2194" w:type="dxa"/>
            <w:tcBorders>
              <w:top w:val="single" w:sz="4" w:space="0" w:color="000000"/>
              <w:left w:val="single" w:sz="4" w:space="0" w:color="000000"/>
              <w:right w:val="single" w:sz="4" w:space="0" w:color="000000"/>
            </w:tcBorders>
          </w:tcPr>
          <w:p>
            <w:pPr>
              <w:pStyle w:val="TableParagraph"/>
              <w:spacing w:before="58"/>
              <w:ind w:right="5"/>
              <w:jc w:val="right"/>
              <w:rPr>
                <w:sz w:val="21"/>
              </w:rPr>
            </w:pPr>
            <w:r>
              <w:rPr>
                <w:sz w:val="21"/>
              </w:rPr>
              <w:t>2,721,643,301.47</w:t>
            </w:r>
          </w:p>
        </w:tc>
        <w:tc>
          <w:tcPr>
            <w:tcW w:w="2052" w:type="dxa"/>
            <w:tcBorders>
              <w:top w:val="single" w:sz="4" w:space="0" w:color="000000"/>
              <w:left w:val="single" w:sz="4" w:space="0" w:color="000000"/>
              <w:right w:val="single" w:sz="4" w:space="0" w:color="000000"/>
            </w:tcBorders>
          </w:tcPr>
          <w:p>
            <w:pPr>
              <w:pStyle w:val="TableParagraph"/>
              <w:spacing w:before="58"/>
              <w:ind w:right="5"/>
              <w:jc w:val="right"/>
              <w:rPr>
                <w:sz w:val="21"/>
              </w:rPr>
            </w:pPr>
            <w:r>
              <w:rPr>
                <w:sz w:val="21"/>
              </w:rPr>
              <w:t>2,117,431,251.11</w:t>
            </w:r>
          </w:p>
        </w:tc>
        <w:tc>
          <w:tcPr>
            <w:tcW w:w="2197" w:type="dxa"/>
            <w:tcBorders>
              <w:top w:val="single" w:sz="4" w:space="0" w:color="000000"/>
              <w:left w:val="single" w:sz="4" w:space="0" w:color="000000"/>
            </w:tcBorders>
          </w:tcPr>
          <w:p>
            <w:pPr>
              <w:pStyle w:val="TableParagraph"/>
              <w:spacing w:before="58"/>
              <w:jc w:val="right"/>
              <w:rPr>
                <w:sz w:val="21"/>
              </w:rPr>
            </w:pPr>
            <w:r>
              <w:rPr>
                <w:sz w:val="21"/>
              </w:rPr>
              <w:t>10,687,071,783.07</w:t>
            </w:r>
          </w:p>
        </w:tc>
      </w:tr>
    </w:tbl>
    <w:p>
      <w:pPr>
        <w:pStyle w:val="BodyText"/>
        <w:spacing w:before="8"/>
        <w:rPr>
          <w:sz w:val="14"/>
        </w:rPr>
      </w:pPr>
    </w:p>
    <w:p>
      <w:pPr>
        <w:pStyle w:val="BodyText"/>
        <w:spacing w:before="78"/>
        <w:ind w:left="2169"/>
      </w:pPr>
      <w:r>
        <w:rPr/>
        <w:t>期末无形资产中通过公司内部研发成的无形资产占期末原值比例 </w:t>
      </w:r>
      <w:r>
        <w:rPr>
          <w:rFonts w:ascii="Times New Roman" w:eastAsia="Times New Roman"/>
        </w:rPr>
        <w:t>17.53%</w:t>
      </w:r>
      <w:r>
        <w:rPr/>
        <w:t>。</w:t>
      </w:r>
    </w:p>
    <w:p>
      <w:pPr>
        <w:pStyle w:val="BodyText"/>
        <w:rPr>
          <w:sz w:val="20"/>
        </w:rPr>
      </w:pPr>
    </w:p>
    <w:p>
      <w:pPr>
        <w:pStyle w:val="Heading4"/>
        <w:spacing w:before="155"/>
      </w:pPr>
      <w:r>
        <w:rPr>
          <w:rFonts w:ascii="Times New Roman" w:eastAsia="Times New Roman"/>
        </w:rPr>
        <w:t>19</w:t>
      </w:r>
      <w:r>
        <w:rPr/>
        <w:t>、 开发支出</w:t>
      </w:r>
    </w:p>
    <w:p>
      <w:pPr>
        <w:pStyle w:val="BodyText"/>
        <w:spacing w:before="16"/>
        <w:ind w:left="1538"/>
      </w:pPr>
      <w:r>
        <w:rPr>
          <w:w w:val="100"/>
        </w:rPr>
        <w:t> </w:t>
      </w:r>
    </w:p>
    <w:tbl>
      <w:tblPr>
        <w:tblW w:w="0" w:type="auto"/>
        <w:jc w:val="left"/>
        <w:tblInd w:w="98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72"/>
        <w:gridCol w:w="1320"/>
        <w:gridCol w:w="1323"/>
        <w:gridCol w:w="1318"/>
        <w:gridCol w:w="1327"/>
        <w:gridCol w:w="1179"/>
        <w:gridCol w:w="1327"/>
        <w:gridCol w:w="1284"/>
      </w:tblGrid>
      <w:tr>
        <w:trPr>
          <w:trHeight w:val="301" w:hRule="atLeast"/>
        </w:trPr>
        <w:tc>
          <w:tcPr>
            <w:tcW w:w="1172" w:type="dxa"/>
            <w:vMerge w:val="restart"/>
            <w:tcBorders>
              <w:bottom w:val="single" w:sz="4" w:space="0" w:color="000000"/>
              <w:right w:val="single" w:sz="4" w:space="0" w:color="000000"/>
            </w:tcBorders>
          </w:tcPr>
          <w:p>
            <w:pPr>
              <w:pStyle w:val="TableParagraph"/>
              <w:spacing w:before="8"/>
              <w:rPr>
                <w:rFonts w:ascii="宋体"/>
                <w:sz w:val="16"/>
              </w:rPr>
            </w:pPr>
          </w:p>
          <w:p>
            <w:pPr>
              <w:pStyle w:val="TableParagraph"/>
              <w:ind w:left="383" w:right="369"/>
              <w:jc w:val="center"/>
              <w:rPr>
                <w:rFonts w:ascii="Microsoft JhengHei" w:eastAsia="Microsoft JhengHei" w:hint="eastAsia"/>
                <w:b/>
                <w:sz w:val="18"/>
              </w:rPr>
            </w:pPr>
            <w:r>
              <w:rPr>
                <w:rFonts w:ascii="Microsoft JhengHei" w:eastAsia="Microsoft JhengHei" w:hint="eastAsia"/>
                <w:b/>
                <w:sz w:val="18"/>
              </w:rPr>
              <w:t>项目</w:t>
            </w:r>
          </w:p>
        </w:tc>
        <w:tc>
          <w:tcPr>
            <w:tcW w:w="1320" w:type="dxa"/>
            <w:vMerge w:val="restart"/>
            <w:tcBorders>
              <w:left w:val="single" w:sz="4" w:space="0" w:color="000000"/>
              <w:bottom w:val="single" w:sz="4" w:space="0" w:color="000000"/>
              <w:right w:val="single" w:sz="4" w:space="0" w:color="000000"/>
            </w:tcBorders>
          </w:tcPr>
          <w:p>
            <w:pPr>
              <w:pStyle w:val="TableParagraph"/>
              <w:spacing w:before="8"/>
              <w:rPr>
                <w:rFonts w:ascii="宋体"/>
                <w:sz w:val="16"/>
              </w:rPr>
            </w:pPr>
          </w:p>
          <w:p>
            <w:pPr>
              <w:pStyle w:val="TableParagraph"/>
              <w:ind w:left="304"/>
              <w:rPr>
                <w:rFonts w:ascii="Microsoft JhengHei" w:eastAsia="Microsoft JhengHei" w:hint="eastAsia"/>
                <w:b/>
                <w:sz w:val="18"/>
              </w:rPr>
            </w:pPr>
            <w:r>
              <w:rPr>
                <w:rFonts w:ascii="Microsoft JhengHei" w:eastAsia="Microsoft JhengHei" w:hint="eastAsia"/>
                <w:b/>
                <w:sz w:val="18"/>
              </w:rPr>
              <w:t>期初余额</w:t>
            </w:r>
          </w:p>
        </w:tc>
        <w:tc>
          <w:tcPr>
            <w:tcW w:w="1323" w:type="dxa"/>
            <w:vMerge w:val="restart"/>
            <w:tcBorders>
              <w:left w:val="single" w:sz="4" w:space="0" w:color="000000"/>
              <w:bottom w:val="single" w:sz="4" w:space="0" w:color="000000"/>
              <w:right w:val="single" w:sz="4" w:space="0" w:color="000000"/>
            </w:tcBorders>
          </w:tcPr>
          <w:p>
            <w:pPr>
              <w:pStyle w:val="TableParagraph"/>
              <w:spacing w:before="8"/>
              <w:rPr>
                <w:rFonts w:ascii="宋体"/>
                <w:sz w:val="16"/>
              </w:rPr>
            </w:pPr>
          </w:p>
          <w:p>
            <w:pPr>
              <w:pStyle w:val="TableParagraph"/>
              <w:ind w:left="307"/>
              <w:rPr>
                <w:rFonts w:ascii="Microsoft JhengHei" w:eastAsia="Microsoft JhengHei" w:hint="eastAsia"/>
                <w:b/>
                <w:sz w:val="18"/>
              </w:rPr>
            </w:pPr>
            <w:r>
              <w:rPr>
                <w:rFonts w:ascii="Microsoft JhengHei" w:eastAsia="Microsoft JhengHei" w:hint="eastAsia"/>
                <w:b/>
                <w:sz w:val="18"/>
              </w:rPr>
              <w:t>本期增加</w:t>
            </w:r>
          </w:p>
        </w:tc>
        <w:tc>
          <w:tcPr>
            <w:tcW w:w="3824" w:type="dxa"/>
            <w:gridSpan w:val="3"/>
            <w:tcBorders>
              <w:left w:val="single" w:sz="4" w:space="0" w:color="000000"/>
              <w:bottom w:val="single" w:sz="4" w:space="0" w:color="000000"/>
              <w:right w:val="single" w:sz="4" w:space="0" w:color="000000"/>
            </w:tcBorders>
          </w:tcPr>
          <w:p>
            <w:pPr>
              <w:pStyle w:val="TableParagraph"/>
              <w:spacing w:line="282" w:lineRule="exact"/>
              <w:ind w:left="1538" w:right="1516"/>
              <w:jc w:val="center"/>
              <w:rPr>
                <w:rFonts w:ascii="Microsoft JhengHei" w:eastAsia="Microsoft JhengHei" w:hint="eastAsia"/>
                <w:b/>
                <w:sz w:val="18"/>
              </w:rPr>
            </w:pPr>
            <w:r>
              <w:rPr>
                <w:rFonts w:ascii="Microsoft JhengHei" w:eastAsia="Microsoft JhengHei" w:hint="eastAsia"/>
                <w:b/>
                <w:sz w:val="18"/>
              </w:rPr>
              <w:t>本期减少</w:t>
            </w:r>
          </w:p>
        </w:tc>
        <w:tc>
          <w:tcPr>
            <w:tcW w:w="1327" w:type="dxa"/>
            <w:vMerge w:val="restart"/>
            <w:tcBorders>
              <w:left w:val="single" w:sz="4" w:space="0" w:color="000000"/>
              <w:bottom w:val="single" w:sz="4" w:space="0" w:color="000000"/>
              <w:right w:val="single" w:sz="4" w:space="0" w:color="000000"/>
            </w:tcBorders>
          </w:tcPr>
          <w:p>
            <w:pPr>
              <w:pStyle w:val="TableParagraph"/>
              <w:spacing w:before="11"/>
              <w:rPr>
                <w:rFonts w:ascii="宋体"/>
                <w:sz w:val="12"/>
              </w:rPr>
            </w:pPr>
          </w:p>
          <w:p>
            <w:pPr>
              <w:pStyle w:val="TableParagraph"/>
              <w:spacing w:line="170" w:lineRule="auto"/>
              <w:ind w:left="491" w:right="101" w:hanging="363"/>
              <w:rPr>
                <w:rFonts w:ascii="Microsoft JhengHei" w:eastAsia="Microsoft JhengHei" w:hint="eastAsia"/>
                <w:b/>
                <w:sz w:val="18"/>
              </w:rPr>
            </w:pPr>
            <w:r>
              <w:rPr>
                <w:rFonts w:ascii="Microsoft JhengHei" w:eastAsia="Microsoft JhengHei" w:hint="eastAsia"/>
                <w:b/>
                <w:sz w:val="18"/>
              </w:rPr>
              <w:t>外币报表折算差额</w:t>
            </w:r>
          </w:p>
        </w:tc>
        <w:tc>
          <w:tcPr>
            <w:tcW w:w="1284" w:type="dxa"/>
            <w:vMerge w:val="restart"/>
            <w:tcBorders>
              <w:left w:val="single" w:sz="4" w:space="0" w:color="000000"/>
              <w:bottom w:val="single" w:sz="4" w:space="0" w:color="000000"/>
            </w:tcBorders>
          </w:tcPr>
          <w:p>
            <w:pPr>
              <w:pStyle w:val="TableParagraph"/>
              <w:spacing w:before="8"/>
              <w:rPr>
                <w:rFonts w:ascii="宋体"/>
                <w:sz w:val="16"/>
              </w:rPr>
            </w:pPr>
          </w:p>
          <w:p>
            <w:pPr>
              <w:pStyle w:val="TableParagraph"/>
              <w:ind w:left="290"/>
              <w:rPr>
                <w:rFonts w:ascii="Microsoft JhengHei" w:eastAsia="Microsoft JhengHei" w:hint="eastAsia"/>
                <w:b/>
                <w:sz w:val="18"/>
              </w:rPr>
            </w:pPr>
            <w:r>
              <w:rPr>
                <w:rFonts w:ascii="Microsoft JhengHei" w:eastAsia="Microsoft JhengHei" w:hint="eastAsia"/>
                <w:b/>
                <w:sz w:val="18"/>
              </w:rPr>
              <w:t>期末余额</w:t>
            </w:r>
          </w:p>
        </w:tc>
      </w:tr>
      <w:tr>
        <w:trPr>
          <w:trHeight w:val="467" w:hRule="atLeast"/>
        </w:trPr>
        <w:tc>
          <w:tcPr>
            <w:tcW w:w="1172" w:type="dxa"/>
            <w:vMerge/>
            <w:tcBorders>
              <w:top w:val="nil"/>
              <w:bottom w:val="single" w:sz="4" w:space="0" w:color="000000"/>
              <w:right w:val="single" w:sz="4" w:space="0" w:color="000000"/>
            </w:tcBorders>
          </w:tcPr>
          <w:p>
            <w:pPr>
              <w:rPr>
                <w:sz w:val="2"/>
                <w:szCs w:val="2"/>
              </w:rPr>
            </w:pPr>
          </w:p>
        </w:tc>
        <w:tc>
          <w:tcPr>
            <w:tcW w:w="1320" w:type="dxa"/>
            <w:vMerge/>
            <w:tcBorders>
              <w:top w:val="nil"/>
              <w:left w:val="single" w:sz="4" w:space="0" w:color="000000"/>
              <w:bottom w:val="single" w:sz="4" w:space="0" w:color="000000"/>
              <w:right w:val="single" w:sz="4" w:space="0" w:color="000000"/>
            </w:tcBorders>
          </w:tcPr>
          <w:p>
            <w:pPr>
              <w:rPr>
                <w:sz w:val="2"/>
                <w:szCs w:val="2"/>
              </w:rPr>
            </w:pPr>
          </w:p>
        </w:tc>
        <w:tc>
          <w:tcPr>
            <w:tcW w:w="1323" w:type="dxa"/>
            <w:vMerge/>
            <w:tcBorders>
              <w:top w:val="nil"/>
              <w:left w:val="single" w:sz="4" w:space="0" w:color="000000"/>
              <w:bottom w:val="single" w:sz="4" w:space="0" w:color="000000"/>
              <w:right w:val="single" w:sz="4" w:space="0" w:color="000000"/>
            </w:tcBorders>
          </w:tcPr>
          <w:p>
            <w:pPr>
              <w:rPr>
                <w:sz w:val="2"/>
                <w:szCs w:val="2"/>
              </w:rPr>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84"/>
              <w:jc w:val="center"/>
              <w:rPr>
                <w:rFonts w:ascii="Microsoft JhengHei" w:eastAsia="Microsoft JhengHei" w:hint="eastAsia"/>
                <w:b/>
                <w:sz w:val="18"/>
              </w:rPr>
            </w:pPr>
            <w:r>
              <w:rPr>
                <w:rFonts w:ascii="Microsoft JhengHei" w:eastAsia="Microsoft JhengHei" w:hint="eastAsia"/>
                <w:b/>
                <w:sz w:val="18"/>
              </w:rPr>
              <w:t>确认为无形资</w:t>
            </w:r>
          </w:p>
          <w:p>
            <w:pPr>
              <w:pStyle w:val="TableParagraph"/>
              <w:spacing w:line="225" w:lineRule="exact"/>
              <w:ind w:left="22"/>
              <w:jc w:val="center"/>
              <w:rPr>
                <w:rFonts w:ascii="Microsoft JhengHei" w:eastAsia="Microsoft JhengHei" w:hint="eastAsia"/>
                <w:b/>
                <w:sz w:val="18"/>
              </w:rPr>
            </w:pPr>
            <w:r>
              <w:rPr>
                <w:rFonts w:ascii="Microsoft JhengHei" w:eastAsia="Microsoft JhengHei" w:hint="eastAsia"/>
                <w:b/>
                <w:sz w:val="18"/>
              </w:rPr>
              <w:t>产</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before="58"/>
              <w:ind w:right="104"/>
              <w:jc w:val="right"/>
              <w:rPr>
                <w:rFonts w:ascii="Microsoft JhengHei" w:eastAsia="Microsoft JhengHei" w:hint="eastAsia"/>
                <w:b/>
                <w:sz w:val="18"/>
              </w:rPr>
            </w:pPr>
            <w:r>
              <w:rPr>
                <w:rFonts w:ascii="Microsoft JhengHei" w:eastAsia="Microsoft JhengHei" w:hint="eastAsia"/>
                <w:b/>
                <w:sz w:val="18"/>
              </w:rPr>
              <w:t>计入当期损益</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before="58"/>
              <w:ind w:left="94" w:right="69"/>
              <w:jc w:val="center"/>
              <w:rPr>
                <w:rFonts w:ascii="Microsoft JhengHei" w:eastAsia="Microsoft JhengHei" w:hint="eastAsia"/>
                <w:b/>
                <w:sz w:val="18"/>
              </w:rPr>
            </w:pPr>
            <w:r>
              <w:rPr>
                <w:rFonts w:ascii="Microsoft JhengHei" w:eastAsia="Microsoft JhengHei" w:hint="eastAsia"/>
                <w:b/>
                <w:sz w:val="18"/>
              </w:rPr>
              <w:t>处置子公司</w:t>
            </w:r>
          </w:p>
        </w:tc>
        <w:tc>
          <w:tcPr>
            <w:tcW w:w="1327" w:type="dxa"/>
            <w:vMerge/>
            <w:tcBorders>
              <w:top w:val="nil"/>
              <w:left w:val="single" w:sz="4" w:space="0" w:color="000000"/>
              <w:bottom w:val="single" w:sz="4" w:space="0" w:color="000000"/>
              <w:right w:val="single" w:sz="4" w:space="0" w:color="000000"/>
            </w:tcBorders>
          </w:tcPr>
          <w:p>
            <w:pPr>
              <w:rPr>
                <w:sz w:val="2"/>
                <w:szCs w:val="2"/>
              </w:rPr>
            </w:pPr>
          </w:p>
        </w:tc>
        <w:tc>
          <w:tcPr>
            <w:tcW w:w="1284" w:type="dxa"/>
            <w:vMerge/>
            <w:tcBorders>
              <w:top w:val="nil"/>
              <w:left w:val="single" w:sz="4" w:space="0" w:color="000000"/>
              <w:bottom w:val="single" w:sz="4" w:space="0" w:color="000000"/>
            </w:tcBorders>
          </w:tcPr>
          <w:p>
            <w:pPr>
              <w:rPr>
                <w:sz w:val="2"/>
                <w:szCs w:val="2"/>
              </w:rPr>
            </w:pPr>
          </w:p>
        </w:tc>
      </w:tr>
      <w:tr>
        <w:trPr>
          <w:trHeight w:val="366" w:hRule="atLeast"/>
        </w:trPr>
        <w:tc>
          <w:tcPr>
            <w:tcW w:w="1172" w:type="dxa"/>
            <w:tcBorders>
              <w:top w:val="single" w:sz="4" w:space="0" w:color="000000"/>
              <w:bottom w:val="single" w:sz="4" w:space="0" w:color="000000"/>
              <w:right w:val="single" w:sz="4" w:space="0" w:color="000000"/>
            </w:tcBorders>
          </w:tcPr>
          <w:p>
            <w:pPr>
              <w:pStyle w:val="TableParagraph"/>
              <w:spacing w:line="178" w:lineRule="exact"/>
              <w:ind w:left="105"/>
              <w:rPr>
                <w:sz w:val="16"/>
              </w:rPr>
            </w:pPr>
            <w:r>
              <w:rPr>
                <w:sz w:val="16"/>
              </w:rPr>
              <w:t>91ABD. ERP</w:t>
            </w:r>
          </w:p>
          <w:p>
            <w:pPr>
              <w:pStyle w:val="TableParagraph"/>
              <w:spacing w:line="168" w:lineRule="exact" w:before="1"/>
              <w:ind w:left="105"/>
              <w:rPr>
                <w:sz w:val="16"/>
              </w:rPr>
            </w:pPr>
            <w:r>
              <w:rPr>
                <w:sz w:val="16"/>
              </w:rPr>
              <w:t>IT Program</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before="85"/>
              <w:ind w:right="88"/>
              <w:jc w:val="right"/>
              <w:rPr>
                <w:sz w:val="16"/>
              </w:rPr>
            </w:pPr>
            <w:r>
              <w:rPr>
                <w:sz w:val="16"/>
              </w:rPr>
              <w:t>98,811,149.48</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before="85"/>
              <w:ind w:right="88"/>
              <w:jc w:val="right"/>
              <w:rPr>
                <w:sz w:val="16"/>
              </w:rPr>
            </w:pPr>
            <w:r>
              <w:rPr>
                <w:sz w:val="16"/>
              </w:rPr>
              <w:t>99,651,172.77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before="85"/>
              <w:ind w:right="89"/>
              <w:jc w:val="right"/>
              <w:rPr>
                <w:sz w:val="16"/>
              </w:rPr>
            </w:pPr>
            <w:r>
              <w:rPr>
                <w:sz w:val="16"/>
              </w:rPr>
              <w:t>93,861,206.44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before="85"/>
              <w:ind w:right="86"/>
              <w:jc w:val="right"/>
              <w:rPr>
                <w:sz w:val="16"/>
              </w:rPr>
            </w:pPr>
            <w:r>
              <w:rPr>
                <w:sz w:val="16"/>
              </w:rPr>
              <w:t>-6,707,314.82</w:t>
            </w:r>
          </w:p>
        </w:tc>
        <w:tc>
          <w:tcPr>
            <w:tcW w:w="1284" w:type="dxa"/>
            <w:tcBorders>
              <w:top w:val="single" w:sz="4" w:space="0" w:color="000000"/>
              <w:left w:val="single" w:sz="4" w:space="0" w:color="000000"/>
              <w:bottom w:val="single" w:sz="4" w:space="0" w:color="000000"/>
            </w:tcBorders>
          </w:tcPr>
          <w:p>
            <w:pPr>
              <w:pStyle w:val="TableParagraph"/>
              <w:spacing w:before="85"/>
              <w:ind w:right="76"/>
              <w:jc w:val="right"/>
              <w:rPr>
                <w:sz w:val="16"/>
              </w:rPr>
            </w:pPr>
            <w:r>
              <w:rPr>
                <w:sz w:val="16"/>
              </w:rPr>
              <w:t>97,893,800.99</w:t>
            </w:r>
          </w:p>
        </w:tc>
      </w:tr>
      <w:tr>
        <w:trPr>
          <w:trHeight w:val="369" w:hRule="atLeast"/>
        </w:trPr>
        <w:tc>
          <w:tcPr>
            <w:tcW w:w="1172" w:type="dxa"/>
            <w:tcBorders>
              <w:top w:val="single" w:sz="4" w:space="0" w:color="000000"/>
              <w:bottom w:val="single" w:sz="4" w:space="0" w:color="000000"/>
              <w:right w:val="single" w:sz="4" w:space="0" w:color="000000"/>
            </w:tcBorders>
          </w:tcPr>
          <w:p>
            <w:pPr>
              <w:pStyle w:val="TableParagraph"/>
              <w:spacing w:before="69"/>
              <w:ind w:left="105"/>
              <w:rPr>
                <w:rFonts w:ascii="宋体" w:eastAsia="宋体" w:hint="eastAsia"/>
                <w:sz w:val="18"/>
              </w:rPr>
            </w:pPr>
            <w:r>
              <w:rPr>
                <w:rFonts w:ascii="宋体" w:eastAsia="宋体" w:hint="eastAsia"/>
                <w:sz w:val="18"/>
              </w:rPr>
              <w:t>其他</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before="88"/>
              <w:ind w:right="88"/>
              <w:jc w:val="right"/>
              <w:rPr>
                <w:sz w:val="16"/>
              </w:rPr>
            </w:pPr>
            <w:r>
              <w:rPr>
                <w:sz w:val="16"/>
              </w:rPr>
              <w:t>94,474,627.62</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before="88"/>
              <w:ind w:right="89"/>
              <w:jc w:val="right"/>
              <w:rPr>
                <w:sz w:val="16"/>
              </w:rPr>
            </w:pPr>
            <w:r>
              <w:rPr>
                <w:sz w:val="16"/>
              </w:rPr>
              <w:t>403,831,835.64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before="88"/>
              <w:ind w:right="89"/>
              <w:jc w:val="right"/>
              <w:rPr>
                <w:sz w:val="16"/>
              </w:rPr>
            </w:pPr>
            <w:r>
              <w:rPr>
                <w:sz w:val="16"/>
              </w:rPr>
              <w:t>198,746,788.50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before="88"/>
              <w:ind w:right="88"/>
              <w:jc w:val="right"/>
              <w:rPr>
                <w:sz w:val="16"/>
              </w:rPr>
            </w:pPr>
            <w:r>
              <w:rPr>
                <w:sz w:val="16"/>
              </w:rPr>
              <w:t>143,621,280.56</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before="88"/>
              <w:ind w:left="127" w:right="56"/>
              <w:jc w:val="center"/>
              <w:rPr>
                <w:sz w:val="16"/>
              </w:rPr>
            </w:pPr>
            <w:r>
              <w:rPr>
                <w:sz w:val="16"/>
              </w:rPr>
              <w:t>75,952,361.69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before="88"/>
              <w:ind w:right="86"/>
              <w:jc w:val="right"/>
              <w:rPr>
                <w:sz w:val="16"/>
              </w:rPr>
            </w:pPr>
            <w:r>
              <w:rPr>
                <w:sz w:val="16"/>
              </w:rPr>
              <w:t>-10,133,109.37</w:t>
            </w:r>
          </w:p>
        </w:tc>
        <w:tc>
          <w:tcPr>
            <w:tcW w:w="1284" w:type="dxa"/>
            <w:tcBorders>
              <w:top w:val="single" w:sz="4" w:space="0" w:color="000000"/>
              <w:left w:val="single" w:sz="4" w:space="0" w:color="000000"/>
              <w:bottom w:val="single" w:sz="4" w:space="0" w:color="000000"/>
            </w:tcBorders>
          </w:tcPr>
          <w:p>
            <w:pPr>
              <w:pStyle w:val="TableParagraph"/>
              <w:spacing w:before="88"/>
              <w:ind w:right="76"/>
              <w:jc w:val="right"/>
              <w:rPr>
                <w:sz w:val="16"/>
              </w:rPr>
            </w:pPr>
            <w:r>
              <w:rPr>
                <w:sz w:val="16"/>
              </w:rPr>
              <w:t>69,852,923.14</w:t>
            </w:r>
          </w:p>
        </w:tc>
      </w:tr>
      <w:tr>
        <w:trPr>
          <w:trHeight w:val="369" w:hRule="atLeast"/>
        </w:trPr>
        <w:tc>
          <w:tcPr>
            <w:tcW w:w="1172" w:type="dxa"/>
            <w:tcBorders>
              <w:top w:val="single" w:sz="4" w:space="0" w:color="000000"/>
              <w:right w:val="single" w:sz="4" w:space="0" w:color="000000"/>
            </w:tcBorders>
          </w:tcPr>
          <w:p>
            <w:pPr>
              <w:pStyle w:val="TableParagraph"/>
              <w:spacing w:before="70"/>
              <w:ind w:left="383" w:right="369"/>
              <w:jc w:val="center"/>
              <w:rPr>
                <w:rFonts w:ascii="宋体" w:eastAsia="宋体" w:hint="eastAsia"/>
                <w:sz w:val="18"/>
              </w:rPr>
            </w:pPr>
            <w:r>
              <w:rPr>
                <w:rFonts w:ascii="宋体" w:eastAsia="宋体" w:hint="eastAsia"/>
                <w:sz w:val="18"/>
              </w:rPr>
              <w:t>合计</w:t>
            </w:r>
          </w:p>
        </w:tc>
        <w:tc>
          <w:tcPr>
            <w:tcW w:w="1320" w:type="dxa"/>
            <w:tcBorders>
              <w:top w:val="single" w:sz="4" w:space="0" w:color="000000"/>
              <w:left w:val="single" w:sz="4" w:space="0" w:color="000000"/>
              <w:right w:val="single" w:sz="4" w:space="0" w:color="000000"/>
            </w:tcBorders>
          </w:tcPr>
          <w:p>
            <w:pPr>
              <w:pStyle w:val="TableParagraph"/>
              <w:spacing w:before="88"/>
              <w:ind w:right="89"/>
              <w:jc w:val="right"/>
              <w:rPr>
                <w:sz w:val="16"/>
              </w:rPr>
            </w:pPr>
            <w:r>
              <w:rPr>
                <w:sz w:val="16"/>
              </w:rPr>
              <w:t>193,285,777.10</w:t>
            </w:r>
          </w:p>
        </w:tc>
        <w:tc>
          <w:tcPr>
            <w:tcW w:w="1323" w:type="dxa"/>
            <w:tcBorders>
              <w:top w:val="single" w:sz="4" w:space="0" w:color="000000"/>
              <w:left w:val="single" w:sz="4" w:space="0" w:color="000000"/>
              <w:right w:val="single" w:sz="4" w:space="0" w:color="000000"/>
            </w:tcBorders>
          </w:tcPr>
          <w:p>
            <w:pPr>
              <w:pStyle w:val="TableParagraph"/>
              <w:spacing w:before="88"/>
              <w:ind w:right="89"/>
              <w:jc w:val="right"/>
              <w:rPr>
                <w:sz w:val="16"/>
              </w:rPr>
            </w:pPr>
            <w:r>
              <w:rPr>
                <w:sz w:val="16"/>
              </w:rPr>
              <w:t>503,483,008.41</w:t>
            </w:r>
          </w:p>
        </w:tc>
        <w:tc>
          <w:tcPr>
            <w:tcW w:w="1318" w:type="dxa"/>
            <w:tcBorders>
              <w:top w:val="single" w:sz="4" w:space="0" w:color="000000"/>
              <w:left w:val="single" w:sz="4" w:space="0" w:color="000000"/>
              <w:right w:val="single" w:sz="4" w:space="0" w:color="000000"/>
            </w:tcBorders>
          </w:tcPr>
          <w:p>
            <w:pPr>
              <w:pStyle w:val="TableParagraph"/>
              <w:spacing w:before="88"/>
              <w:ind w:right="89"/>
              <w:jc w:val="right"/>
              <w:rPr>
                <w:sz w:val="16"/>
              </w:rPr>
            </w:pPr>
            <w:r>
              <w:rPr>
                <w:sz w:val="16"/>
              </w:rPr>
              <w:t>292,607,994.94</w:t>
            </w:r>
          </w:p>
        </w:tc>
        <w:tc>
          <w:tcPr>
            <w:tcW w:w="1327" w:type="dxa"/>
            <w:tcBorders>
              <w:top w:val="single" w:sz="4" w:space="0" w:color="000000"/>
              <w:left w:val="single" w:sz="4" w:space="0" w:color="000000"/>
              <w:right w:val="single" w:sz="4" w:space="0" w:color="000000"/>
            </w:tcBorders>
          </w:tcPr>
          <w:p>
            <w:pPr>
              <w:pStyle w:val="TableParagraph"/>
              <w:spacing w:before="88"/>
              <w:ind w:right="88"/>
              <w:jc w:val="right"/>
              <w:rPr>
                <w:sz w:val="16"/>
              </w:rPr>
            </w:pPr>
            <w:r>
              <w:rPr>
                <w:sz w:val="16"/>
              </w:rPr>
              <w:t>143,621,280.56</w:t>
            </w:r>
          </w:p>
        </w:tc>
        <w:tc>
          <w:tcPr>
            <w:tcW w:w="1179" w:type="dxa"/>
            <w:tcBorders>
              <w:top w:val="single" w:sz="4" w:space="0" w:color="000000"/>
              <w:left w:val="single" w:sz="4" w:space="0" w:color="000000"/>
              <w:right w:val="single" w:sz="4" w:space="0" w:color="000000"/>
            </w:tcBorders>
          </w:tcPr>
          <w:p>
            <w:pPr>
              <w:pStyle w:val="TableParagraph"/>
              <w:spacing w:before="88"/>
              <w:ind w:left="127" w:right="56"/>
              <w:jc w:val="center"/>
              <w:rPr>
                <w:sz w:val="16"/>
              </w:rPr>
            </w:pPr>
            <w:r>
              <w:rPr>
                <w:sz w:val="16"/>
              </w:rPr>
              <w:t>75,952,361.69</w:t>
            </w:r>
          </w:p>
        </w:tc>
        <w:tc>
          <w:tcPr>
            <w:tcW w:w="1327" w:type="dxa"/>
            <w:tcBorders>
              <w:top w:val="single" w:sz="4" w:space="0" w:color="000000"/>
              <w:left w:val="single" w:sz="4" w:space="0" w:color="000000"/>
              <w:right w:val="single" w:sz="4" w:space="0" w:color="000000"/>
            </w:tcBorders>
          </w:tcPr>
          <w:p>
            <w:pPr>
              <w:pStyle w:val="TableParagraph"/>
              <w:spacing w:before="88"/>
              <w:ind w:right="86"/>
              <w:jc w:val="right"/>
              <w:rPr>
                <w:sz w:val="16"/>
              </w:rPr>
            </w:pPr>
            <w:r>
              <w:rPr>
                <w:sz w:val="16"/>
              </w:rPr>
              <w:t>-16,840,424.19</w:t>
            </w:r>
          </w:p>
        </w:tc>
        <w:tc>
          <w:tcPr>
            <w:tcW w:w="1284" w:type="dxa"/>
            <w:tcBorders>
              <w:top w:val="single" w:sz="4" w:space="0" w:color="000000"/>
              <w:left w:val="single" w:sz="4" w:space="0" w:color="000000"/>
            </w:tcBorders>
          </w:tcPr>
          <w:p>
            <w:pPr>
              <w:pStyle w:val="TableParagraph"/>
              <w:spacing w:before="88"/>
              <w:ind w:right="76"/>
              <w:jc w:val="right"/>
              <w:rPr>
                <w:sz w:val="16"/>
              </w:rPr>
            </w:pPr>
            <w:r>
              <w:rPr>
                <w:sz w:val="16"/>
              </w:rPr>
              <w:t>167,746,724.13</w:t>
            </w:r>
          </w:p>
        </w:tc>
      </w:tr>
    </w:tbl>
    <w:p>
      <w:pPr>
        <w:pStyle w:val="BodyText"/>
        <w:spacing w:line="265" w:lineRule="exact" w:before="3"/>
        <w:ind w:left="1538"/>
      </w:pPr>
      <w:r>
        <w:rPr>
          <w:w w:val="100"/>
        </w:rPr>
        <w:t> </w:t>
      </w:r>
    </w:p>
    <w:p>
      <w:pPr>
        <w:pStyle w:val="Heading4"/>
        <w:spacing w:line="383" w:lineRule="exact"/>
      </w:pPr>
      <w:r>
        <w:rPr>
          <w:rFonts w:ascii="Times New Roman" w:eastAsia="Times New Roman"/>
        </w:rPr>
        <w:t>20</w:t>
      </w:r>
      <w:r>
        <w:rPr/>
        <w:t>、 商誉</w:t>
      </w:r>
    </w:p>
    <w:p>
      <w:pPr>
        <w:pStyle w:val="BodyText"/>
        <w:spacing w:before="17"/>
        <w:ind w:left="1538"/>
      </w:pPr>
      <w:r>
        <w:rPr>
          <w:w w:val="100"/>
        </w:rPr>
        <w:t> </w:t>
      </w:r>
    </w:p>
    <w:tbl>
      <w:tblPr>
        <w:tblW w:w="0" w:type="auto"/>
        <w:jc w:val="left"/>
        <w:tblInd w:w="146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30"/>
        <w:gridCol w:w="1594"/>
        <w:gridCol w:w="1497"/>
        <w:gridCol w:w="1358"/>
        <w:gridCol w:w="1536"/>
        <w:gridCol w:w="1593"/>
      </w:tblGrid>
      <w:tr>
        <w:trPr>
          <w:trHeight w:val="467" w:hRule="atLeast"/>
        </w:trPr>
        <w:tc>
          <w:tcPr>
            <w:tcW w:w="1430" w:type="dxa"/>
            <w:tcBorders>
              <w:bottom w:val="single" w:sz="4" w:space="0" w:color="000000"/>
              <w:right w:val="single" w:sz="4" w:space="0" w:color="000000"/>
            </w:tcBorders>
          </w:tcPr>
          <w:p>
            <w:pPr>
              <w:pStyle w:val="TableParagraph"/>
              <w:spacing w:before="57"/>
              <w:ind w:left="514" w:right="495"/>
              <w:jc w:val="center"/>
              <w:rPr>
                <w:rFonts w:ascii="Microsoft JhengHei" w:eastAsia="Microsoft JhengHei" w:hint="eastAsia"/>
                <w:b/>
                <w:sz w:val="18"/>
              </w:rPr>
            </w:pPr>
            <w:r>
              <w:rPr>
                <w:rFonts w:ascii="Microsoft JhengHei" w:eastAsia="Microsoft JhengHei" w:hint="eastAsia"/>
                <w:b/>
                <w:sz w:val="18"/>
              </w:rPr>
              <w:t>项目</w:t>
            </w:r>
          </w:p>
        </w:tc>
        <w:tc>
          <w:tcPr>
            <w:tcW w:w="1594" w:type="dxa"/>
            <w:tcBorders>
              <w:left w:val="single" w:sz="4" w:space="0" w:color="000000"/>
              <w:bottom w:val="single" w:sz="4" w:space="0" w:color="000000"/>
              <w:right w:val="single" w:sz="4" w:space="0" w:color="000000"/>
            </w:tcBorders>
          </w:tcPr>
          <w:p>
            <w:pPr>
              <w:pStyle w:val="TableParagraph"/>
              <w:spacing w:before="57"/>
              <w:ind w:left="444"/>
              <w:rPr>
                <w:rFonts w:ascii="Microsoft JhengHei" w:eastAsia="Microsoft JhengHei" w:hint="eastAsia"/>
                <w:b/>
                <w:sz w:val="18"/>
              </w:rPr>
            </w:pPr>
            <w:r>
              <w:rPr>
                <w:rFonts w:ascii="Microsoft JhengHei" w:eastAsia="Microsoft JhengHei" w:hint="eastAsia"/>
                <w:b/>
                <w:sz w:val="18"/>
              </w:rPr>
              <w:t>期初余额</w:t>
            </w:r>
          </w:p>
        </w:tc>
        <w:tc>
          <w:tcPr>
            <w:tcW w:w="1497" w:type="dxa"/>
            <w:tcBorders>
              <w:left w:val="single" w:sz="4" w:space="0" w:color="000000"/>
              <w:bottom w:val="single" w:sz="4" w:space="0" w:color="000000"/>
              <w:right w:val="single" w:sz="4" w:space="0" w:color="000000"/>
            </w:tcBorders>
          </w:tcPr>
          <w:p>
            <w:pPr>
              <w:pStyle w:val="TableParagraph"/>
              <w:spacing w:before="57"/>
              <w:ind w:left="393"/>
              <w:rPr>
                <w:rFonts w:ascii="Microsoft JhengHei" w:eastAsia="Microsoft JhengHei" w:hint="eastAsia"/>
                <w:b/>
                <w:sz w:val="18"/>
              </w:rPr>
            </w:pPr>
            <w:r>
              <w:rPr>
                <w:rFonts w:ascii="Microsoft JhengHei" w:eastAsia="Microsoft JhengHei" w:hint="eastAsia"/>
                <w:b/>
                <w:sz w:val="18"/>
              </w:rPr>
              <w:t>本期增加</w:t>
            </w:r>
          </w:p>
        </w:tc>
        <w:tc>
          <w:tcPr>
            <w:tcW w:w="1358" w:type="dxa"/>
            <w:tcBorders>
              <w:left w:val="single" w:sz="4" w:space="0" w:color="000000"/>
              <w:bottom w:val="single" w:sz="4" w:space="0" w:color="000000"/>
              <w:right w:val="single" w:sz="4" w:space="0" w:color="000000"/>
            </w:tcBorders>
          </w:tcPr>
          <w:p>
            <w:pPr>
              <w:pStyle w:val="TableParagraph"/>
              <w:spacing w:before="57"/>
              <w:ind w:left="327"/>
              <w:rPr>
                <w:rFonts w:ascii="Microsoft JhengHei" w:eastAsia="Microsoft JhengHei" w:hint="eastAsia"/>
                <w:b/>
                <w:sz w:val="18"/>
              </w:rPr>
            </w:pPr>
            <w:r>
              <w:rPr>
                <w:rFonts w:ascii="Microsoft JhengHei" w:eastAsia="Microsoft JhengHei" w:hint="eastAsia"/>
                <w:b/>
                <w:sz w:val="18"/>
              </w:rPr>
              <w:t>本期减少</w:t>
            </w:r>
          </w:p>
        </w:tc>
        <w:tc>
          <w:tcPr>
            <w:tcW w:w="1536" w:type="dxa"/>
            <w:tcBorders>
              <w:left w:val="single" w:sz="4" w:space="0" w:color="000000"/>
              <w:bottom w:val="single" w:sz="4" w:space="0" w:color="000000"/>
              <w:right w:val="single" w:sz="4" w:space="0" w:color="000000"/>
            </w:tcBorders>
          </w:tcPr>
          <w:p>
            <w:pPr>
              <w:pStyle w:val="TableParagraph"/>
              <w:spacing w:line="224" w:lineRule="exact"/>
              <w:ind w:left="127" w:right="98"/>
              <w:jc w:val="center"/>
              <w:rPr>
                <w:rFonts w:ascii="Microsoft JhengHei" w:eastAsia="Microsoft JhengHei" w:hint="eastAsia"/>
                <w:b/>
                <w:sz w:val="18"/>
              </w:rPr>
            </w:pPr>
            <w:r>
              <w:rPr>
                <w:rFonts w:ascii="Microsoft JhengHei" w:eastAsia="Microsoft JhengHei" w:hint="eastAsia"/>
                <w:b/>
                <w:sz w:val="18"/>
              </w:rPr>
              <w:t>本期汇率变动影</w:t>
            </w:r>
          </w:p>
          <w:p>
            <w:pPr>
              <w:pStyle w:val="TableParagraph"/>
              <w:spacing w:line="223" w:lineRule="exact"/>
              <w:ind w:left="30"/>
              <w:jc w:val="center"/>
              <w:rPr>
                <w:rFonts w:ascii="Microsoft JhengHei" w:eastAsia="Microsoft JhengHei" w:hint="eastAsia"/>
                <w:b/>
                <w:sz w:val="18"/>
              </w:rPr>
            </w:pPr>
            <w:r>
              <w:rPr>
                <w:rFonts w:ascii="Microsoft JhengHei" w:eastAsia="Microsoft JhengHei" w:hint="eastAsia"/>
                <w:b/>
                <w:sz w:val="18"/>
              </w:rPr>
              <w:t>响</w:t>
            </w:r>
          </w:p>
        </w:tc>
        <w:tc>
          <w:tcPr>
            <w:tcW w:w="1593" w:type="dxa"/>
            <w:tcBorders>
              <w:left w:val="single" w:sz="4" w:space="0" w:color="000000"/>
              <w:bottom w:val="single" w:sz="4" w:space="0" w:color="000000"/>
            </w:tcBorders>
          </w:tcPr>
          <w:p>
            <w:pPr>
              <w:pStyle w:val="TableParagraph"/>
              <w:spacing w:before="57"/>
              <w:ind w:left="446"/>
              <w:rPr>
                <w:rFonts w:ascii="Microsoft JhengHei" w:eastAsia="Microsoft JhengHei" w:hint="eastAsia"/>
                <w:b/>
                <w:sz w:val="18"/>
              </w:rPr>
            </w:pPr>
            <w:r>
              <w:rPr>
                <w:rFonts w:ascii="Microsoft JhengHei" w:eastAsia="Microsoft JhengHei" w:hint="eastAsia"/>
                <w:b/>
                <w:sz w:val="18"/>
              </w:rPr>
              <w:t>期末余额</w:t>
            </w:r>
          </w:p>
        </w:tc>
      </w:tr>
      <w:tr>
        <w:trPr>
          <w:trHeight w:val="369" w:hRule="atLeast"/>
        </w:trPr>
        <w:tc>
          <w:tcPr>
            <w:tcW w:w="1430" w:type="dxa"/>
            <w:tcBorders>
              <w:top w:val="single" w:sz="4" w:space="0" w:color="000000"/>
              <w:bottom w:val="single" w:sz="4" w:space="0" w:color="000000"/>
              <w:right w:val="single" w:sz="4" w:space="0" w:color="000000"/>
            </w:tcBorders>
          </w:tcPr>
          <w:p>
            <w:pPr>
              <w:pStyle w:val="TableParagraph"/>
              <w:spacing w:before="76"/>
              <w:ind w:left="107"/>
              <w:rPr>
                <w:sz w:val="18"/>
              </w:rPr>
            </w:pPr>
            <w:r>
              <w:rPr>
                <w:sz w:val="18"/>
              </w:rPr>
              <w:t>GEA</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before="76"/>
              <w:ind w:right="89"/>
              <w:jc w:val="right"/>
              <w:rPr>
                <w:sz w:val="18"/>
              </w:rPr>
            </w:pPr>
            <w:r>
              <w:rPr>
                <w:sz w:val="18"/>
              </w:rPr>
              <w:t>20,724,937,078.57</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before="64"/>
              <w:ind w:right="-15"/>
              <w:jc w:val="right"/>
              <w:rPr>
                <w:rFonts w:ascii="宋体"/>
                <w:sz w:val="18"/>
              </w:rPr>
            </w:pPr>
            <w:r>
              <w:rPr>
                <w:rFonts w:ascii="宋体"/>
                <w:sz w:val="18"/>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64"/>
              <w:ind w:right="-15"/>
              <w:jc w:val="right"/>
              <w:rPr>
                <w:rFonts w:ascii="宋体"/>
                <w:sz w:val="18"/>
              </w:rPr>
            </w:pPr>
            <w:r>
              <w:rPr>
                <w:rFonts w:ascii="宋体"/>
                <w:sz w:val="18"/>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before="76"/>
              <w:ind w:right="85"/>
              <w:jc w:val="right"/>
              <w:rPr>
                <w:sz w:val="18"/>
              </w:rPr>
            </w:pPr>
            <w:r>
              <w:rPr>
                <w:sz w:val="18"/>
              </w:rPr>
              <w:t>-1,342,334,712.31</w:t>
            </w:r>
          </w:p>
        </w:tc>
        <w:tc>
          <w:tcPr>
            <w:tcW w:w="1593" w:type="dxa"/>
            <w:tcBorders>
              <w:top w:val="single" w:sz="4" w:space="0" w:color="000000"/>
              <w:left w:val="single" w:sz="4" w:space="0" w:color="000000"/>
              <w:bottom w:val="single" w:sz="4" w:space="0" w:color="000000"/>
            </w:tcBorders>
          </w:tcPr>
          <w:p>
            <w:pPr>
              <w:pStyle w:val="TableParagraph"/>
              <w:spacing w:before="76"/>
              <w:ind w:right="73"/>
              <w:jc w:val="right"/>
              <w:rPr>
                <w:sz w:val="18"/>
              </w:rPr>
            </w:pPr>
            <w:r>
              <w:rPr>
                <w:sz w:val="18"/>
              </w:rPr>
              <w:t>19,382,602,366.26</w:t>
            </w:r>
          </w:p>
        </w:tc>
      </w:tr>
      <w:tr>
        <w:trPr>
          <w:trHeight w:val="369" w:hRule="atLeast"/>
        </w:trPr>
        <w:tc>
          <w:tcPr>
            <w:tcW w:w="1430" w:type="dxa"/>
            <w:tcBorders>
              <w:top w:val="single" w:sz="4" w:space="0" w:color="000000"/>
              <w:bottom w:val="single" w:sz="4" w:space="0" w:color="000000"/>
              <w:right w:val="single" w:sz="4" w:space="0" w:color="000000"/>
            </w:tcBorders>
          </w:tcPr>
          <w:p>
            <w:pPr>
              <w:pStyle w:val="TableParagraph"/>
              <w:spacing w:before="76"/>
              <w:ind w:left="107"/>
              <w:rPr>
                <w:sz w:val="18"/>
              </w:rPr>
            </w:pPr>
            <w:r>
              <w:rPr>
                <w:sz w:val="18"/>
              </w:rPr>
              <w:t>Candy</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before="76"/>
              <w:ind w:right="89"/>
              <w:jc w:val="right"/>
              <w:rPr>
                <w:sz w:val="18"/>
              </w:rPr>
            </w:pPr>
            <w:r>
              <w:rPr>
                <w:sz w:val="18"/>
              </w:rPr>
              <w:t>2,032,029,984.37</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before="64"/>
              <w:ind w:right="-15"/>
              <w:jc w:val="right"/>
              <w:rPr>
                <w:rFonts w:ascii="宋体"/>
                <w:sz w:val="18"/>
              </w:rPr>
            </w:pPr>
            <w:r>
              <w:rPr>
                <w:rFonts w:ascii="宋体"/>
                <w:sz w:val="18"/>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64"/>
              <w:ind w:right="-15"/>
              <w:jc w:val="right"/>
              <w:rPr>
                <w:rFonts w:ascii="宋体"/>
                <w:sz w:val="18"/>
              </w:rPr>
            </w:pPr>
            <w:r>
              <w:rPr>
                <w:rFonts w:ascii="宋体"/>
                <w:sz w:val="18"/>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before="76"/>
              <w:ind w:right="84"/>
              <w:jc w:val="right"/>
              <w:rPr>
                <w:sz w:val="18"/>
              </w:rPr>
            </w:pPr>
            <w:r>
              <w:rPr>
                <w:sz w:val="18"/>
              </w:rPr>
              <w:t>54,469,999.58</w:t>
            </w:r>
          </w:p>
        </w:tc>
        <w:tc>
          <w:tcPr>
            <w:tcW w:w="1593" w:type="dxa"/>
            <w:tcBorders>
              <w:top w:val="single" w:sz="4" w:space="0" w:color="000000"/>
              <w:left w:val="single" w:sz="4" w:space="0" w:color="000000"/>
              <w:bottom w:val="single" w:sz="4" w:space="0" w:color="000000"/>
            </w:tcBorders>
          </w:tcPr>
          <w:p>
            <w:pPr>
              <w:pStyle w:val="TableParagraph"/>
              <w:spacing w:before="76"/>
              <w:ind w:right="73"/>
              <w:jc w:val="right"/>
              <w:rPr>
                <w:sz w:val="18"/>
              </w:rPr>
            </w:pPr>
            <w:r>
              <w:rPr>
                <w:sz w:val="18"/>
              </w:rPr>
              <w:t>2,086,499,983.95</w:t>
            </w:r>
          </w:p>
        </w:tc>
      </w:tr>
      <w:tr>
        <w:trPr>
          <w:trHeight w:val="366" w:hRule="atLeast"/>
        </w:trPr>
        <w:tc>
          <w:tcPr>
            <w:tcW w:w="1430" w:type="dxa"/>
            <w:tcBorders>
              <w:top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其他</w:t>
            </w:r>
          </w:p>
        </w:tc>
        <w:tc>
          <w:tcPr>
            <w:tcW w:w="1594" w:type="dxa"/>
            <w:tcBorders>
              <w:top w:val="single" w:sz="4" w:space="0" w:color="000000"/>
              <w:left w:val="single" w:sz="4" w:space="0" w:color="000000"/>
              <w:right w:val="single" w:sz="4" w:space="0" w:color="000000"/>
            </w:tcBorders>
          </w:tcPr>
          <w:p>
            <w:pPr>
              <w:pStyle w:val="TableParagraph"/>
              <w:spacing w:before="76"/>
              <w:ind w:right="89"/>
              <w:jc w:val="right"/>
              <w:rPr>
                <w:sz w:val="18"/>
              </w:rPr>
            </w:pPr>
            <w:r>
              <w:rPr>
                <w:sz w:val="18"/>
              </w:rPr>
              <w:t>594,762,750.41</w:t>
            </w:r>
          </w:p>
        </w:tc>
        <w:tc>
          <w:tcPr>
            <w:tcW w:w="1497" w:type="dxa"/>
            <w:tcBorders>
              <w:top w:val="single" w:sz="4" w:space="0" w:color="000000"/>
              <w:left w:val="single" w:sz="4" w:space="0" w:color="000000"/>
              <w:right w:val="single" w:sz="4" w:space="0" w:color="000000"/>
            </w:tcBorders>
          </w:tcPr>
          <w:p>
            <w:pPr>
              <w:pStyle w:val="TableParagraph"/>
              <w:spacing w:before="76"/>
              <w:ind w:left="271"/>
              <w:rPr>
                <w:sz w:val="18"/>
              </w:rPr>
            </w:pPr>
            <w:r>
              <w:rPr>
                <w:sz w:val="18"/>
              </w:rPr>
              <w:t>457,060,786.48</w:t>
            </w:r>
          </w:p>
        </w:tc>
        <w:tc>
          <w:tcPr>
            <w:tcW w:w="1358" w:type="dxa"/>
            <w:tcBorders>
              <w:top w:val="single" w:sz="4" w:space="0" w:color="000000"/>
              <w:left w:val="single" w:sz="4" w:space="0" w:color="000000"/>
              <w:right w:val="single" w:sz="4" w:space="0" w:color="000000"/>
            </w:tcBorders>
          </w:tcPr>
          <w:p>
            <w:pPr>
              <w:pStyle w:val="TableParagraph"/>
              <w:spacing w:before="76"/>
              <w:ind w:left="315"/>
              <w:rPr>
                <w:sz w:val="18"/>
              </w:rPr>
            </w:pPr>
            <w:r>
              <w:rPr>
                <w:sz w:val="18"/>
              </w:rPr>
              <w:t>3,298,757.75</w:t>
            </w:r>
          </w:p>
        </w:tc>
        <w:tc>
          <w:tcPr>
            <w:tcW w:w="1536" w:type="dxa"/>
            <w:tcBorders>
              <w:top w:val="single" w:sz="4" w:space="0" w:color="000000"/>
              <w:left w:val="single" w:sz="4" w:space="0" w:color="000000"/>
              <w:right w:val="single" w:sz="4" w:space="0" w:color="000000"/>
            </w:tcBorders>
          </w:tcPr>
          <w:p>
            <w:pPr>
              <w:pStyle w:val="TableParagraph"/>
              <w:spacing w:before="76"/>
              <w:ind w:right="84"/>
              <w:jc w:val="right"/>
              <w:rPr>
                <w:sz w:val="18"/>
              </w:rPr>
            </w:pPr>
            <w:r>
              <w:rPr>
                <w:sz w:val="18"/>
              </w:rPr>
              <w:t>833,208.29</w:t>
            </w:r>
          </w:p>
        </w:tc>
        <w:tc>
          <w:tcPr>
            <w:tcW w:w="1593" w:type="dxa"/>
            <w:tcBorders>
              <w:top w:val="single" w:sz="4" w:space="0" w:color="000000"/>
              <w:left w:val="single" w:sz="4" w:space="0" w:color="000000"/>
            </w:tcBorders>
          </w:tcPr>
          <w:p>
            <w:pPr>
              <w:pStyle w:val="TableParagraph"/>
              <w:spacing w:before="76"/>
              <w:ind w:right="73"/>
              <w:jc w:val="right"/>
              <w:rPr>
                <w:sz w:val="18"/>
              </w:rPr>
            </w:pPr>
            <w:r>
              <w:rPr>
                <w:sz w:val="18"/>
              </w:rPr>
              <w:t>1,049,357,987.43</w:t>
            </w:r>
          </w:p>
        </w:tc>
      </w:tr>
    </w:tbl>
    <w:p>
      <w:pPr>
        <w:spacing w:after="0"/>
        <w:jc w:val="right"/>
        <w:rPr>
          <w:sz w:val="18"/>
        </w:rPr>
        <w:sectPr>
          <w:pgSz w:w="11910" w:h="16840"/>
          <w:pgMar w:header="876" w:footer="1192" w:top="1440" w:bottom="1400" w:left="260" w:right="0"/>
        </w:sectPr>
      </w:pPr>
    </w:p>
    <w:p>
      <w:pPr>
        <w:pStyle w:val="BodyText"/>
        <w:spacing w:before="2"/>
        <w:rPr>
          <w:sz w:val="5"/>
        </w:rPr>
      </w:pPr>
    </w:p>
    <w:tbl>
      <w:tblPr>
        <w:tblW w:w="0" w:type="auto"/>
        <w:jc w:val="left"/>
        <w:tblInd w:w="146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30"/>
        <w:gridCol w:w="1594"/>
        <w:gridCol w:w="1497"/>
        <w:gridCol w:w="1358"/>
        <w:gridCol w:w="1536"/>
        <w:gridCol w:w="1593"/>
      </w:tblGrid>
      <w:tr>
        <w:trPr>
          <w:trHeight w:val="368" w:hRule="atLeast"/>
        </w:trPr>
        <w:tc>
          <w:tcPr>
            <w:tcW w:w="1430" w:type="dxa"/>
            <w:tcBorders>
              <w:right w:val="single" w:sz="4" w:space="0" w:color="000000"/>
            </w:tcBorders>
          </w:tcPr>
          <w:p>
            <w:pPr>
              <w:pStyle w:val="TableParagraph"/>
              <w:spacing w:before="69"/>
              <w:ind w:left="514" w:right="495"/>
              <w:jc w:val="center"/>
              <w:rPr>
                <w:rFonts w:ascii="宋体" w:eastAsia="宋体" w:hint="eastAsia"/>
                <w:sz w:val="18"/>
              </w:rPr>
            </w:pPr>
            <w:r>
              <w:rPr>
                <w:rFonts w:ascii="宋体" w:eastAsia="宋体" w:hint="eastAsia"/>
                <w:sz w:val="18"/>
              </w:rPr>
              <w:t>合计</w:t>
            </w:r>
          </w:p>
        </w:tc>
        <w:tc>
          <w:tcPr>
            <w:tcW w:w="1594" w:type="dxa"/>
            <w:tcBorders>
              <w:left w:val="single" w:sz="4" w:space="0" w:color="000000"/>
              <w:right w:val="single" w:sz="4" w:space="0" w:color="000000"/>
            </w:tcBorders>
          </w:tcPr>
          <w:p>
            <w:pPr>
              <w:pStyle w:val="TableParagraph"/>
              <w:spacing w:before="79"/>
              <w:ind w:left="141"/>
              <w:rPr>
                <w:sz w:val="18"/>
              </w:rPr>
            </w:pPr>
            <w:r>
              <w:rPr>
                <w:sz w:val="18"/>
              </w:rPr>
              <w:t>23,351,729,813.35</w:t>
            </w:r>
          </w:p>
        </w:tc>
        <w:tc>
          <w:tcPr>
            <w:tcW w:w="1497" w:type="dxa"/>
            <w:tcBorders>
              <w:left w:val="single" w:sz="4" w:space="0" w:color="000000"/>
              <w:right w:val="single" w:sz="4" w:space="0" w:color="000000"/>
            </w:tcBorders>
          </w:tcPr>
          <w:p>
            <w:pPr>
              <w:pStyle w:val="TableParagraph"/>
              <w:spacing w:before="79"/>
              <w:ind w:left="271"/>
              <w:rPr>
                <w:sz w:val="18"/>
              </w:rPr>
            </w:pPr>
            <w:r>
              <w:rPr>
                <w:sz w:val="18"/>
              </w:rPr>
              <w:t>457,060,786.48</w:t>
            </w:r>
          </w:p>
        </w:tc>
        <w:tc>
          <w:tcPr>
            <w:tcW w:w="1358" w:type="dxa"/>
            <w:tcBorders>
              <w:left w:val="single" w:sz="4" w:space="0" w:color="000000"/>
              <w:right w:val="single" w:sz="4" w:space="0" w:color="000000"/>
            </w:tcBorders>
          </w:tcPr>
          <w:p>
            <w:pPr>
              <w:pStyle w:val="TableParagraph"/>
              <w:spacing w:before="79"/>
              <w:ind w:left="315"/>
              <w:rPr>
                <w:sz w:val="18"/>
              </w:rPr>
            </w:pPr>
            <w:r>
              <w:rPr>
                <w:sz w:val="18"/>
              </w:rPr>
              <w:t>3,298,757.75</w:t>
            </w:r>
          </w:p>
        </w:tc>
        <w:tc>
          <w:tcPr>
            <w:tcW w:w="1536" w:type="dxa"/>
            <w:tcBorders>
              <w:left w:val="single" w:sz="4" w:space="0" w:color="000000"/>
              <w:right w:val="single" w:sz="4" w:space="0" w:color="000000"/>
            </w:tcBorders>
          </w:tcPr>
          <w:p>
            <w:pPr>
              <w:pStyle w:val="TableParagraph"/>
              <w:spacing w:before="79"/>
              <w:ind w:left="119"/>
              <w:rPr>
                <w:sz w:val="18"/>
              </w:rPr>
            </w:pPr>
            <w:r>
              <w:rPr>
                <w:sz w:val="18"/>
              </w:rPr>
              <w:t>-1,287,031,504.44</w:t>
            </w:r>
          </w:p>
        </w:tc>
        <w:tc>
          <w:tcPr>
            <w:tcW w:w="1593" w:type="dxa"/>
            <w:tcBorders>
              <w:left w:val="single" w:sz="4" w:space="0" w:color="000000"/>
            </w:tcBorders>
          </w:tcPr>
          <w:p>
            <w:pPr>
              <w:pStyle w:val="TableParagraph"/>
              <w:spacing w:before="79"/>
              <w:ind w:left="146"/>
              <w:rPr>
                <w:sz w:val="18"/>
              </w:rPr>
            </w:pPr>
            <w:r>
              <w:rPr>
                <w:sz w:val="18"/>
              </w:rPr>
              <w:t>22,518,460,337.64</w:t>
            </w:r>
          </w:p>
        </w:tc>
      </w:tr>
    </w:tbl>
    <w:p>
      <w:pPr>
        <w:pStyle w:val="BodyText"/>
        <w:spacing w:before="9"/>
        <w:rPr>
          <w:sz w:val="7"/>
        </w:rPr>
      </w:pPr>
    </w:p>
    <w:p>
      <w:pPr>
        <w:pStyle w:val="BodyText"/>
        <w:spacing w:line="427" w:lineRule="auto" w:before="78"/>
        <w:ind w:left="1538" w:right="1268" w:firstLine="359"/>
      </w:pPr>
      <w:r>
        <w:rPr>
          <w:spacing w:val="-10"/>
        </w:rPr>
        <w:t>在进行商誉减值测试时，本公司将相关资产组或资产组组合</w:t>
      </w:r>
      <w:r>
        <w:rPr>
          <w:rFonts w:ascii="Times New Roman" w:eastAsia="Times New Roman"/>
          <w:spacing w:val="-4"/>
        </w:rPr>
        <w:t>(</w:t>
      </w:r>
      <w:r>
        <w:rPr>
          <w:spacing w:val="-2"/>
        </w:rPr>
        <w:t>含商誉</w:t>
      </w:r>
      <w:r>
        <w:rPr>
          <w:rFonts w:ascii="Times New Roman" w:eastAsia="Times New Roman"/>
        </w:rPr>
        <w:t>)</w:t>
      </w:r>
      <w:r>
        <w:rPr>
          <w:spacing w:val="-3"/>
        </w:rPr>
        <w:t>的账面价值与其可收回金额进行比较，如果可收回金额低于账面价值，相关差额计入当期损益。</w:t>
      </w:r>
    </w:p>
    <w:p>
      <w:pPr>
        <w:pStyle w:val="BodyText"/>
        <w:spacing w:line="427" w:lineRule="auto" w:before="2"/>
        <w:ind w:left="1538" w:right="1162" w:firstLine="359"/>
      </w:pPr>
      <w:r>
        <w:rPr>
          <w:spacing w:val="-3"/>
        </w:rPr>
        <w:t>包含商誉的资产组的可收回金额是依据管理层批准的预算</w:t>
      </w:r>
      <w:r>
        <w:rPr>
          <w:rFonts w:ascii="Times New Roman" w:eastAsia="Times New Roman"/>
          <w:spacing w:val="-4"/>
        </w:rPr>
        <w:t>(</w:t>
      </w:r>
      <w:r>
        <w:rPr>
          <w:spacing w:val="-10"/>
        </w:rPr>
        <w:t>预算期为 </w:t>
      </w:r>
      <w:r>
        <w:rPr>
          <w:rFonts w:ascii="Times New Roman" w:eastAsia="Times New Roman"/>
        </w:rPr>
        <w:t>5 </w:t>
      </w:r>
      <w:r>
        <w:rPr>
          <w:spacing w:val="-18"/>
        </w:rPr>
        <w:t>到 </w:t>
      </w:r>
      <w:r>
        <w:rPr>
          <w:rFonts w:ascii="Times New Roman" w:eastAsia="Times New Roman"/>
        </w:rPr>
        <w:t>10 </w:t>
      </w:r>
      <w:r>
        <w:rPr>
          <w:spacing w:val="-1"/>
        </w:rPr>
        <w:t>年期不等</w:t>
      </w:r>
      <w:r>
        <w:rPr>
          <w:rFonts w:ascii="Times New Roman" w:eastAsia="Times New Roman"/>
        </w:rPr>
        <w:t>)</w:t>
      </w:r>
      <w:r>
        <w:rPr>
          <w:spacing w:val="-3"/>
        </w:rPr>
        <w:t>，采用</w:t>
      </w:r>
      <w:r>
        <w:rPr>
          <w:spacing w:val="-10"/>
        </w:rPr>
        <w:t>预计未来现金流量折现方法计算。超过预算期的未来现金流量采用估计的永续年增长率作出推算。</w:t>
      </w:r>
      <w:r>
        <w:rPr>
          <w:spacing w:val="-9"/>
        </w:rPr>
        <w:t>管理层所采用的永续年增长率</w:t>
      </w:r>
      <w:r>
        <w:rPr>
          <w:rFonts w:ascii="Times New Roman" w:eastAsia="Times New Roman"/>
        </w:rPr>
        <w:t>(</w:t>
      </w:r>
      <w:r>
        <w:rPr>
          <w:spacing w:val="4"/>
        </w:rPr>
        <w:t>主要为 </w:t>
      </w:r>
      <w:r>
        <w:rPr>
          <w:rFonts w:ascii="Times New Roman" w:eastAsia="Times New Roman"/>
        </w:rPr>
        <w:t>2%-2.5%)</w:t>
      </w:r>
      <w:r>
        <w:rPr>
          <w:spacing w:val="-3"/>
        </w:rPr>
        <w:t>与行业预测数据一致，不超过各产品的长期平均增长率。管理层根据历史经验及对市场发展的预测确定复合收入增长率</w:t>
      </w:r>
      <w:r>
        <w:rPr>
          <w:rFonts w:ascii="Times New Roman" w:eastAsia="Times New Roman"/>
          <w:spacing w:val="-4"/>
        </w:rPr>
        <w:t>(</w:t>
      </w:r>
      <w:r>
        <w:rPr>
          <w:spacing w:val="-4"/>
        </w:rPr>
        <w:t>主要为 </w:t>
      </w:r>
      <w:r>
        <w:rPr>
          <w:rFonts w:ascii="Times New Roman" w:eastAsia="Times New Roman"/>
        </w:rPr>
        <w:t>2.29%-11.89%)</w:t>
      </w:r>
      <w:r>
        <w:rPr/>
        <w:t>及</w:t>
      </w:r>
      <w:r>
        <w:rPr>
          <w:spacing w:val="-2"/>
        </w:rPr>
        <w:t>税息折旧及摊销前利润盈利率 </w:t>
      </w:r>
      <w:r>
        <w:rPr>
          <w:rFonts w:ascii="Times New Roman" w:eastAsia="Times New Roman"/>
          <w:spacing w:val="-4"/>
        </w:rPr>
        <w:t>(</w:t>
      </w:r>
      <w:r>
        <w:rPr>
          <w:spacing w:val="-12"/>
        </w:rPr>
        <w:t>主要为 </w:t>
      </w:r>
      <w:r>
        <w:rPr>
          <w:rFonts w:ascii="Times New Roman" w:eastAsia="Times New Roman"/>
          <w:spacing w:val="-7"/>
        </w:rPr>
        <w:t>5.26%-27.34%)</w:t>
      </w:r>
      <w:r>
        <w:rPr>
          <w:spacing w:val="-3"/>
        </w:rPr>
        <w:t>，并采用能够反映相关资产组的特定风险的税前利率为折现率</w:t>
      </w:r>
      <w:r>
        <w:rPr>
          <w:rFonts w:ascii="Times New Roman" w:eastAsia="Times New Roman"/>
        </w:rPr>
        <w:t>(</w:t>
      </w:r>
      <w:r>
        <w:rPr>
          <w:spacing w:val="-13"/>
        </w:rPr>
        <w:t>主要为 </w:t>
      </w:r>
      <w:r>
        <w:rPr>
          <w:rFonts w:ascii="Times New Roman" w:eastAsia="Times New Roman"/>
        </w:rPr>
        <w:t>10.41%-14.89%)</w:t>
      </w:r>
      <w:r>
        <w:rPr>
          <w:spacing w:val="-10"/>
        </w:rPr>
        <w:t>。管理层根据该等假设分析各资产组的可收回金额，认</w:t>
      </w:r>
    </w:p>
    <w:p>
      <w:pPr>
        <w:pStyle w:val="BodyText"/>
        <w:spacing w:before="8"/>
        <w:ind w:left="1538"/>
      </w:pPr>
      <w:r>
        <w:rPr/>
        <w:t>为商誉无需计提减值准备。</w:t>
      </w:r>
    </w:p>
    <w:p>
      <w:pPr>
        <w:pStyle w:val="BodyText"/>
        <w:spacing w:line="267" w:lineRule="exact" w:before="38"/>
        <w:ind w:left="1538"/>
      </w:pPr>
      <w:r>
        <w:rPr>
          <w:w w:val="100"/>
        </w:rPr>
        <w:t> </w:t>
      </w:r>
    </w:p>
    <w:p>
      <w:pPr>
        <w:pStyle w:val="Heading4"/>
        <w:spacing w:line="384" w:lineRule="exact"/>
      </w:pPr>
      <w:r>
        <w:rPr>
          <w:rFonts w:ascii="Times New Roman" w:eastAsia="Times New Roman"/>
        </w:rPr>
        <w:t>21</w:t>
      </w:r>
      <w:r>
        <w:rPr/>
        <w:t>、 长期待摊费用</w:t>
      </w:r>
    </w:p>
    <w:p>
      <w:pPr>
        <w:pStyle w:val="BodyText"/>
        <w:spacing w:before="14" w:after="4"/>
        <w:ind w:left="1538"/>
      </w:pPr>
      <w:r>
        <w:rPr>
          <w:w w:val="100"/>
        </w:rPr>
        <w:t> </w:t>
      </w: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58"/>
        <w:gridCol w:w="1386"/>
        <w:gridCol w:w="1385"/>
        <w:gridCol w:w="1385"/>
        <w:gridCol w:w="1291"/>
        <w:gridCol w:w="1263"/>
        <w:gridCol w:w="1382"/>
      </w:tblGrid>
      <w:tr>
        <w:trPr>
          <w:trHeight w:val="467" w:hRule="atLeast"/>
        </w:trPr>
        <w:tc>
          <w:tcPr>
            <w:tcW w:w="958" w:type="dxa"/>
            <w:tcBorders>
              <w:bottom w:val="single" w:sz="4" w:space="0" w:color="000000"/>
              <w:right w:val="single" w:sz="4" w:space="0" w:color="000000"/>
            </w:tcBorders>
          </w:tcPr>
          <w:p>
            <w:pPr>
              <w:pStyle w:val="TableParagraph"/>
              <w:spacing w:before="57"/>
              <w:ind w:right="274"/>
              <w:jc w:val="right"/>
              <w:rPr>
                <w:rFonts w:ascii="Microsoft JhengHei" w:eastAsia="Microsoft JhengHei" w:hint="eastAsia"/>
                <w:b/>
                <w:sz w:val="18"/>
              </w:rPr>
            </w:pPr>
            <w:r>
              <w:rPr>
                <w:rFonts w:ascii="Microsoft JhengHei" w:eastAsia="Microsoft JhengHei" w:hint="eastAsia"/>
                <w:b/>
                <w:sz w:val="18"/>
              </w:rPr>
              <w:t>项目</w:t>
            </w:r>
          </w:p>
        </w:tc>
        <w:tc>
          <w:tcPr>
            <w:tcW w:w="1386" w:type="dxa"/>
            <w:tcBorders>
              <w:left w:val="single" w:sz="4" w:space="0" w:color="000000"/>
              <w:bottom w:val="single" w:sz="4" w:space="0" w:color="000000"/>
              <w:right w:val="single" w:sz="4" w:space="0" w:color="000000"/>
            </w:tcBorders>
          </w:tcPr>
          <w:p>
            <w:pPr>
              <w:pStyle w:val="TableParagraph"/>
              <w:spacing w:before="57"/>
              <w:ind w:left="337"/>
              <w:rPr>
                <w:rFonts w:ascii="Microsoft JhengHei" w:eastAsia="Microsoft JhengHei" w:hint="eastAsia"/>
                <w:b/>
                <w:sz w:val="18"/>
              </w:rPr>
            </w:pPr>
            <w:r>
              <w:rPr>
                <w:rFonts w:ascii="Microsoft JhengHei" w:eastAsia="Microsoft JhengHei" w:hint="eastAsia"/>
                <w:b/>
                <w:sz w:val="18"/>
              </w:rPr>
              <w:t>期初余额</w:t>
            </w:r>
          </w:p>
        </w:tc>
        <w:tc>
          <w:tcPr>
            <w:tcW w:w="1385" w:type="dxa"/>
            <w:tcBorders>
              <w:left w:val="single" w:sz="4" w:space="0" w:color="000000"/>
              <w:bottom w:val="single" w:sz="4" w:space="0" w:color="000000"/>
              <w:right w:val="single" w:sz="4" w:space="0" w:color="000000"/>
            </w:tcBorders>
          </w:tcPr>
          <w:p>
            <w:pPr>
              <w:pStyle w:val="TableParagraph"/>
              <w:spacing w:before="57"/>
              <w:ind w:left="96" w:right="70"/>
              <w:jc w:val="center"/>
              <w:rPr>
                <w:rFonts w:ascii="Microsoft JhengHei" w:eastAsia="Microsoft JhengHei" w:hint="eastAsia"/>
                <w:b/>
                <w:sz w:val="18"/>
              </w:rPr>
            </w:pPr>
            <w:r>
              <w:rPr>
                <w:rFonts w:ascii="Microsoft JhengHei" w:eastAsia="Microsoft JhengHei" w:hint="eastAsia"/>
                <w:b/>
                <w:sz w:val="18"/>
              </w:rPr>
              <w:t>本期增加</w:t>
            </w:r>
          </w:p>
        </w:tc>
        <w:tc>
          <w:tcPr>
            <w:tcW w:w="1385" w:type="dxa"/>
            <w:tcBorders>
              <w:left w:val="single" w:sz="4" w:space="0" w:color="000000"/>
              <w:bottom w:val="single" w:sz="4" w:space="0" w:color="000000"/>
              <w:right w:val="single" w:sz="4" w:space="0" w:color="000000"/>
            </w:tcBorders>
          </w:tcPr>
          <w:p>
            <w:pPr>
              <w:pStyle w:val="TableParagraph"/>
              <w:spacing w:before="57"/>
              <w:ind w:left="339"/>
              <w:rPr>
                <w:rFonts w:ascii="Microsoft JhengHei" w:eastAsia="Microsoft JhengHei" w:hint="eastAsia"/>
                <w:b/>
                <w:sz w:val="18"/>
              </w:rPr>
            </w:pPr>
            <w:r>
              <w:rPr>
                <w:rFonts w:ascii="Microsoft JhengHei" w:eastAsia="Microsoft JhengHei" w:hint="eastAsia"/>
                <w:b/>
                <w:sz w:val="18"/>
              </w:rPr>
              <w:t>本期摊销</w:t>
            </w:r>
          </w:p>
        </w:tc>
        <w:tc>
          <w:tcPr>
            <w:tcW w:w="1291" w:type="dxa"/>
            <w:tcBorders>
              <w:left w:val="single" w:sz="4" w:space="0" w:color="000000"/>
              <w:bottom w:val="single" w:sz="4" w:space="0" w:color="000000"/>
              <w:right w:val="single" w:sz="4" w:space="0" w:color="000000"/>
            </w:tcBorders>
          </w:tcPr>
          <w:p>
            <w:pPr>
              <w:pStyle w:val="TableParagraph"/>
              <w:spacing w:before="57"/>
              <w:ind w:left="291"/>
              <w:rPr>
                <w:rFonts w:ascii="Microsoft JhengHei" w:eastAsia="Microsoft JhengHei" w:hint="eastAsia"/>
                <w:b/>
                <w:sz w:val="18"/>
              </w:rPr>
            </w:pPr>
            <w:r>
              <w:rPr>
                <w:rFonts w:ascii="Microsoft JhengHei" w:eastAsia="Microsoft JhengHei" w:hint="eastAsia"/>
                <w:b/>
                <w:sz w:val="18"/>
              </w:rPr>
              <w:t>其他减少</w:t>
            </w:r>
          </w:p>
        </w:tc>
        <w:tc>
          <w:tcPr>
            <w:tcW w:w="1263" w:type="dxa"/>
            <w:tcBorders>
              <w:left w:val="single" w:sz="4" w:space="0" w:color="000000"/>
              <w:bottom w:val="single" w:sz="4" w:space="0" w:color="000000"/>
              <w:right w:val="single" w:sz="4" w:space="0" w:color="000000"/>
            </w:tcBorders>
          </w:tcPr>
          <w:p>
            <w:pPr>
              <w:pStyle w:val="TableParagraph"/>
              <w:spacing w:line="222" w:lineRule="exact"/>
              <w:ind w:left="167" w:right="146"/>
              <w:jc w:val="center"/>
              <w:rPr>
                <w:rFonts w:ascii="Microsoft JhengHei" w:eastAsia="Microsoft JhengHei" w:hint="eastAsia"/>
                <w:b/>
                <w:sz w:val="18"/>
              </w:rPr>
            </w:pPr>
            <w:r>
              <w:rPr>
                <w:rFonts w:ascii="Microsoft JhengHei" w:eastAsia="Microsoft JhengHei" w:hint="eastAsia"/>
                <w:b/>
                <w:sz w:val="18"/>
              </w:rPr>
              <w:t>外币报表折</w:t>
            </w:r>
          </w:p>
          <w:p>
            <w:pPr>
              <w:pStyle w:val="TableParagraph"/>
              <w:spacing w:line="225" w:lineRule="exact"/>
              <w:ind w:left="167" w:right="146"/>
              <w:jc w:val="center"/>
              <w:rPr>
                <w:rFonts w:ascii="Microsoft JhengHei" w:eastAsia="Microsoft JhengHei" w:hint="eastAsia"/>
                <w:b/>
                <w:sz w:val="18"/>
              </w:rPr>
            </w:pPr>
            <w:r>
              <w:rPr>
                <w:rFonts w:ascii="Microsoft JhengHei" w:eastAsia="Microsoft JhengHei" w:hint="eastAsia"/>
                <w:b/>
                <w:sz w:val="18"/>
              </w:rPr>
              <w:t>算差额</w:t>
            </w:r>
          </w:p>
        </w:tc>
        <w:tc>
          <w:tcPr>
            <w:tcW w:w="1382" w:type="dxa"/>
            <w:tcBorders>
              <w:left w:val="single" w:sz="4" w:space="0" w:color="000000"/>
              <w:bottom w:val="single" w:sz="4" w:space="0" w:color="000000"/>
            </w:tcBorders>
          </w:tcPr>
          <w:p>
            <w:pPr>
              <w:pStyle w:val="TableParagraph"/>
              <w:spacing w:before="57"/>
              <w:ind w:left="96" w:right="57"/>
              <w:jc w:val="center"/>
              <w:rPr>
                <w:rFonts w:ascii="Microsoft JhengHei" w:eastAsia="Microsoft JhengHei" w:hint="eastAsia"/>
                <w:b/>
                <w:sz w:val="18"/>
              </w:rPr>
            </w:pPr>
            <w:r>
              <w:rPr>
                <w:rFonts w:ascii="Microsoft JhengHei" w:eastAsia="Microsoft JhengHei" w:hint="eastAsia"/>
                <w:b/>
                <w:sz w:val="18"/>
              </w:rPr>
              <w:t>期末余额</w:t>
            </w:r>
          </w:p>
        </w:tc>
      </w:tr>
      <w:tr>
        <w:trPr>
          <w:trHeight w:val="369" w:hRule="atLeast"/>
        </w:trPr>
        <w:tc>
          <w:tcPr>
            <w:tcW w:w="958"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装修费</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before="76"/>
              <w:ind w:right="90"/>
              <w:jc w:val="right"/>
              <w:rPr>
                <w:sz w:val="18"/>
              </w:rPr>
            </w:pPr>
            <w:r>
              <w:rPr>
                <w:sz w:val="18"/>
              </w:rPr>
              <w:t>172,232,866.44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76"/>
              <w:ind w:left="139" w:right="70"/>
              <w:jc w:val="center"/>
              <w:rPr>
                <w:sz w:val="18"/>
              </w:rPr>
            </w:pPr>
            <w:r>
              <w:rPr>
                <w:sz w:val="18"/>
              </w:rPr>
              <w:t>126,259,574.45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76"/>
              <w:ind w:right="88"/>
              <w:jc w:val="right"/>
              <w:rPr>
                <w:sz w:val="18"/>
              </w:rPr>
            </w:pPr>
            <w:r>
              <w:rPr>
                <w:sz w:val="18"/>
              </w:rPr>
              <w:t>126,952,030.69</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before="76"/>
              <w:ind w:right="87"/>
              <w:jc w:val="right"/>
              <w:rPr>
                <w:sz w:val="18"/>
              </w:rPr>
            </w:pPr>
            <w:r>
              <w:rPr>
                <w:sz w:val="18"/>
              </w:rPr>
              <w:t>2,157,808.33</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76"/>
              <w:ind w:right="90"/>
              <w:jc w:val="right"/>
              <w:rPr>
                <w:sz w:val="18"/>
              </w:rPr>
            </w:pPr>
            <w:r>
              <w:rPr>
                <w:sz w:val="18"/>
              </w:rPr>
              <w:t>-110,917.30</w:t>
            </w:r>
          </w:p>
        </w:tc>
        <w:tc>
          <w:tcPr>
            <w:tcW w:w="1382" w:type="dxa"/>
            <w:tcBorders>
              <w:top w:val="single" w:sz="4" w:space="0" w:color="000000"/>
              <w:left w:val="single" w:sz="4" w:space="0" w:color="000000"/>
              <w:bottom w:val="single" w:sz="4" w:space="0" w:color="000000"/>
            </w:tcBorders>
          </w:tcPr>
          <w:p>
            <w:pPr>
              <w:pStyle w:val="TableParagraph"/>
              <w:spacing w:before="76"/>
              <w:ind w:left="139" w:right="57"/>
              <w:jc w:val="center"/>
              <w:rPr>
                <w:sz w:val="18"/>
              </w:rPr>
            </w:pPr>
            <w:r>
              <w:rPr>
                <w:sz w:val="18"/>
              </w:rPr>
              <w:t>169,271,684.57</w:t>
            </w:r>
          </w:p>
        </w:tc>
      </w:tr>
      <w:tr>
        <w:trPr>
          <w:trHeight w:val="465" w:hRule="atLeast"/>
        </w:trPr>
        <w:tc>
          <w:tcPr>
            <w:tcW w:w="958" w:type="dxa"/>
            <w:tcBorders>
              <w:top w:val="single" w:sz="4" w:space="0" w:color="000000"/>
              <w:bottom w:val="single" w:sz="4" w:space="0" w:color="000000"/>
              <w:right w:val="single" w:sz="4" w:space="0" w:color="000000"/>
            </w:tcBorders>
          </w:tcPr>
          <w:p>
            <w:pPr>
              <w:pStyle w:val="TableParagraph"/>
              <w:ind w:left="107"/>
              <w:rPr>
                <w:rFonts w:ascii="宋体" w:eastAsia="宋体" w:hint="eastAsia"/>
                <w:sz w:val="18"/>
              </w:rPr>
            </w:pPr>
            <w:r>
              <w:rPr>
                <w:rFonts w:ascii="宋体" w:eastAsia="宋体" w:hint="eastAsia"/>
                <w:sz w:val="18"/>
              </w:rPr>
              <w:t>租赁厂房</w:t>
            </w:r>
          </w:p>
          <w:p>
            <w:pPr>
              <w:pStyle w:val="TableParagraph"/>
              <w:spacing w:line="213" w:lineRule="exact" w:before="2"/>
              <w:ind w:left="107"/>
              <w:rPr>
                <w:rFonts w:ascii="宋体" w:eastAsia="宋体" w:hint="eastAsia"/>
                <w:sz w:val="18"/>
              </w:rPr>
            </w:pPr>
            <w:r>
              <w:rPr>
                <w:rFonts w:ascii="宋体" w:eastAsia="宋体" w:hint="eastAsia"/>
                <w:sz w:val="18"/>
              </w:rPr>
              <w:t>改造支出</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before="124"/>
              <w:ind w:right="90"/>
              <w:jc w:val="right"/>
              <w:rPr>
                <w:sz w:val="18"/>
              </w:rPr>
            </w:pPr>
            <w:r>
              <w:rPr>
                <w:sz w:val="18"/>
              </w:rPr>
              <w:t>196,714,339.48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124"/>
              <w:ind w:left="230" w:right="70"/>
              <w:jc w:val="center"/>
              <w:rPr>
                <w:sz w:val="18"/>
              </w:rPr>
            </w:pPr>
            <w:r>
              <w:rPr>
                <w:sz w:val="18"/>
              </w:rPr>
              <w:t>21,211,980.06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124"/>
              <w:ind w:right="88"/>
              <w:jc w:val="right"/>
              <w:rPr>
                <w:sz w:val="18"/>
              </w:rPr>
            </w:pPr>
            <w:r>
              <w:rPr>
                <w:sz w:val="18"/>
              </w:rPr>
              <w:t>27,174,443.94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before="124"/>
              <w:ind w:right="87"/>
              <w:jc w:val="right"/>
              <w:rPr>
                <w:sz w:val="18"/>
              </w:rPr>
            </w:pPr>
            <w:r>
              <w:rPr>
                <w:sz w:val="18"/>
              </w:rPr>
              <w:t>17,944,458.85</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124"/>
              <w:ind w:right="90"/>
              <w:jc w:val="right"/>
              <w:rPr>
                <w:sz w:val="18"/>
              </w:rPr>
            </w:pPr>
            <w:r>
              <w:rPr>
                <w:sz w:val="18"/>
              </w:rPr>
              <w:t>-2,224,663.01</w:t>
            </w:r>
          </w:p>
        </w:tc>
        <w:tc>
          <w:tcPr>
            <w:tcW w:w="1382" w:type="dxa"/>
            <w:tcBorders>
              <w:top w:val="single" w:sz="4" w:space="0" w:color="000000"/>
              <w:left w:val="single" w:sz="4" w:space="0" w:color="000000"/>
              <w:bottom w:val="single" w:sz="4" w:space="0" w:color="000000"/>
            </w:tcBorders>
          </w:tcPr>
          <w:p>
            <w:pPr>
              <w:pStyle w:val="TableParagraph"/>
              <w:spacing w:before="124"/>
              <w:ind w:left="139" w:right="57"/>
              <w:jc w:val="center"/>
              <w:rPr>
                <w:sz w:val="18"/>
              </w:rPr>
            </w:pPr>
            <w:r>
              <w:rPr>
                <w:sz w:val="18"/>
              </w:rPr>
              <w:t>170,582,753.74</w:t>
            </w:r>
          </w:p>
        </w:tc>
      </w:tr>
      <w:tr>
        <w:trPr>
          <w:trHeight w:val="369" w:hRule="atLeast"/>
        </w:trPr>
        <w:tc>
          <w:tcPr>
            <w:tcW w:w="958"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其他</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before="76"/>
              <w:ind w:right="90"/>
              <w:jc w:val="right"/>
              <w:rPr>
                <w:sz w:val="18"/>
              </w:rPr>
            </w:pPr>
            <w:r>
              <w:rPr>
                <w:sz w:val="18"/>
              </w:rPr>
              <w:t>68,639,706.66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76"/>
              <w:ind w:left="230" w:right="70"/>
              <w:jc w:val="center"/>
              <w:rPr>
                <w:sz w:val="18"/>
              </w:rPr>
            </w:pPr>
            <w:r>
              <w:rPr>
                <w:sz w:val="18"/>
              </w:rPr>
              <w:t>87,367,970.37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76"/>
              <w:ind w:right="88"/>
              <w:jc w:val="right"/>
              <w:rPr>
                <w:sz w:val="18"/>
              </w:rPr>
            </w:pPr>
            <w:r>
              <w:rPr>
                <w:sz w:val="18"/>
              </w:rPr>
              <w:t>34,494,757.08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before="76"/>
              <w:ind w:right="87"/>
              <w:jc w:val="right"/>
              <w:rPr>
                <w:sz w:val="18"/>
              </w:rPr>
            </w:pPr>
            <w:r>
              <w:rPr>
                <w:sz w:val="18"/>
              </w:rPr>
              <w:t>4,580,166.33</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76"/>
              <w:ind w:right="90"/>
              <w:jc w:val="right"/>
              <w:rPr>
                <w:sz w:val="18"/>
              </w:rPr>
            </w:pPr>
            <w:r>
              <w:rPr>
                <w:sz w:val="18"/>
              </w:rPr>
              <w:t>-1,044,687.80</w:t>
            </w:r>
          </w:p>
        </w:tc>
        <w:tc>
          <w:tcPr>
            <w:tcW w:w="1382" w:type="dxa"/>
            <w:tcBorders>
              <w:top w:val="single" w:sz="4" w:space="0" w:color="000000"/>
              <w:left w:val="single" w:sz="4" w:space="0" w:color="000000"/>
              <w:bottom w:val="single" w:sz="4" w:space="0" w:color="000000"/>
            </w:tcBorders>
          </w:tcPr>
          <w:p>
            <w:pPr>
              <w:pStyle w:val="TableParagraph"/>
              <w:spacing w:before="76"/>
              <w:ind w:left="139" w:right="57"/>
              <w:jc w:val="center"/>
              <w:rPr>
                <w:sz w:val="18"/>
              </w:rPr>
            </w:pPr>
            <w:r>
              <w:rPr>
                <w:sz w:val="18"/>
              </w:rPr>
              <w:t>115,888,065.82</w:t>
            </w:r>
          </w:p>
        </w:tc>
      </w:tr>
      <w:tr>
        <w:trPr>
          <w:trHeight w:val="368" w:hRule="atLeast"/>
        </w:trPr>
        <w:tc>
          <w:tcPr>
            <w:tcW w:w="958" w:type="dxa"/>
            <w:tcBorders>
              <w:top w:val="single" w:sz="4" w:space="0" w:color="000000"/>
              <w:right w:val="single" w:sz="4" w:space="0" w:color="000000"/>
            </w:tcBorders>
          </w:tcPr>
          <w:p>
            <w:pPr>
              <w:pStyle w:val="TableParagraph"/>
              <w:spacing w:before="69"/>
              <w:ind w:right="280"/>
              <w:jc w:val="right"/>
              <w:rPr>
                <w:rFonts w:ascii="宋体" w:eastAsia="宋体" w:hint="eastAsia"/>
                <w:sz w:val="18"/>
              </w:rPr>
            </w:pPr>
            <w:r>
              <w:rPr>
                <w:rFonts w:ascii="宋体" w:eastAsia="宋体" w:hint="eastAsia"/>
                <w:sz w:val="18"/>
              </w:rPr>
              <w:t>合计</w:t>
            </w:r>
          </w:p>
        </w:tc>
        <w:tc>
          <w:tcPr>
            <w:tcW w:w="1386" w:type="dxa"/>
            <w:tcBorders>
              <w:top w:val="single" w:sz="4" w:space="0" w:color="000000"/>
              <w:left w:val="single" w:sz="4" w:space="0" w:color="000000"/>
              <w:right w:val="single" w:sz="4" w:space="0" w:color="000000"/>
            </w:tcBorders>
          </w:tcPr>
          <w:p>
            <w:pPr>
              <w:pStyle w:val="TableParagraph"/>
              <w:spacing w:before="76"/>
              <w:ind w:right="90"/>
              <w:jc w:val="right"/>
              <w:rPr>
                <w:sz w:val="18"/>
              </w:rPr>
            </w:pPr>
            <w:r>
              <w:rPr>
                <w:sz w:val="18"/>
              </w:rPr>
              <w:t>437,586,912.58</w:t>
            </w:r>
          </w:p>
        </w:tc>
        <w:tc>
          <w:tcPr>
            <w:tcW w:w="1385" w:type="dxa"/>
            <w:tcBorders>
              <w:top w:val="single" w:sz="4" w:space="0" w:color="000000"/>
              <w:left w:val="single" w:sz="4" w:space="0" w:color="000000"/>
              <w:right w:val="single" w:sz="4" w:space="0" w:color="000000"/>
            </w:tcBorders>
          </w:tcPr>
          <w:p>
            <w:pPr>
              <w:pStyle w:val="TableParagraph"/>
              <w:spacing w:before="76"/>
              <w:ind w:left="139" w:right="70"/>
              <w:jc w:val="center"/>
              <w:rPr>
                <w:sz w:val="18"/>
              </w:rPr>
            </w:pPr>
            <w:r>
              <w:rPr>
                <w:sz w:val="18"/>
              </w:rPr>
              <w:t>234,839,524.88</w:t>
            </w:r>
          </w:p>
        </w:tc>
        <w:tc>
          <w:tcPr>
            <w:tcW w:w="1385" w:type="dxa"/>
            <w:tcBorders>
              <w:top w:val="single" w:sz="4" w:space="0" w:color="000000"/>
              <w:left w:val="single" w:sz="4" w:space="0" w:color="000000"/>
              <w:right w:val="single" w:sz="4" w:space="0" w:color="000000"/>
            </w:tcBorders>
          </w:tcPr>
          <w:p>
            <w:pPr>
              <w:pStyle w:val="TableParagraph"/>
              <w:spacing w:before="76"/>
              <w:ind w:right="88"/>
              <w:jc w:val="right"/>
              <w:rPr>
                <w:sz w:val="18"/>
              </w:rPr>
            </w:pPr>
            <w:r>
              <w:rPr>
                <w:sz w:val="18"/>
              </w:rPr>
              <w:t>188,621,231.71</w:t>
            </w:r>
          </w:p>
        </w:tc>
        <w:tc>
          <w:tcPr>
            <w:tcW w:w="1291" w:type="dxa"/>
            <w:tcBorders>
              <w:top w:val="single" w:sz="4" w:space="0" w:color="000000"/>
              <w:left w:val="single" w:sz="4" w:space="0" w:color="000000"/>
              <w:right w:val="single" w:sz="4" w:space="0" w:color="000000"/>
            </w:tcBorders>
          </w:tcPr>
          <w:p>
            <w:pPr>
              <w:pStyle w:val="TableParagraph"/>
              <w:spacing w:before="76"/>
              <w:ind w:right="87"/>
              <w:jc w:val="right"/>
              <w:rPr>
                <w:sz w:val="18"/>
              </w:rPr>
            </w:pPr>
            <w:r>
              <w:rPr>
                <w:sz w:val="18"/>
              </w:rPr>
              <w:t>24,682,433.51</w:t>
            </w:r>
          </w:p>
        </w:tc>
        <w:tc>
          <w:tcPr>
            <w:tcW w:w="1263" w:type="dxa"/>
            <w:tcBorders>
              <w:top w:val="single" w:sz="4" w:space="0" w:color="000000"/>
              <w:left w:val="single" w:sz="4" w:space="0" w:color="000000"/>
              <w:right w:val="single" w:sz="4" w:space="0" w:color="000000"/>
            </w:tcBorders>
          </w:tcPr>
          <w:p>
            <w:pPr>
              <w:pStyle w:val="TableParagraph"/>
              <w:spacing w:before="76"/>
              <w:ind w:right="90"/>
              <w:jc w:val="right"/>
              <w:rPr>
                <w:sz w:val="18"/>
              </w:rPr>
            </w:pPr>
            <w:r>
              <w:rPr>
                <w:sz w:val="18"/>
              </w:rPr>
              <w:t>-3,380,268.11</w:t>
            </w:r>
          </w:p>
        </w:tc>
        <w:tc>
          <w:tcPr>
            <w:tcW w:w="1382" w:type="dxa"/>
            <w:tcBorders>
              <w:top w:val="single" w:sz="4" w:space="0" w:color="000000"/>
              <w:left w:val="single" w:sz="4" w:space="0" w:color="000000"/>
            </w:tcBorders>
          </w:tcPr>
          <w:p>
            <w:pPr>
              <w:pStyle w:val="TableParagraph"/>
              <w:spacing w:before="76"/>
              <w:ind w:left="139" w:right="57"/>
              <w:jc w:val="center"/>
              <w:rPr>
                <w:sz w:val="18"/>
              </w:rPr>
            </w:pPr>
            <w:r>
              <w:rPr>
                <w:sz w:val="18"/>
              </w:rPr>
              <w:t>455,742,504.13</w:t>
            </w:r>
          </w:p>
        </w:tc>
      </w:tr>
    </w:tbl>
    <w:p>
      <w:pPr>
        <w:pStyle w:val="BodyText"/>
        <w:spacing w:line="265" w:lineRule="exact" w:before="3"/>
        <w:ind w:left="1538"/>
      </w:pPr>
      <w:r>
        <w:rPr>
          <w:w w:val="100"/>
        </w:rPr>
        <w:t> </w:t>
      </w:r>
    </w:p>
    <w:p>
      <w:pPr>
        <w:pStyle w:val="Heading4"/>
        <w:spacing w:line="383" w:lineRule="exact"/>
      </w:pPr>
      <w:r>
        <w:rPr>
          <w:rFonts w:ascii="Times New Roman" w:eastAsia="Times New Roman"/>
        </w:rPr>
        <w:t>22</w:t>
      </w:r>
      <w:r>
        <w:rPr/>
        <w:t>、 递延所得税资产</w:t>
      </w:r>
      <w:r>
        <w:rPr>
          <w:rFonts w:ascii="Times New Roman" w:eastAsia="Times New Roman"/>
        </w:rPr>
        <w:t>/ </w:t>
      </w:r>
      <w:r>
        <w:rPr/>
        <w:t>递延所得税负债</w:t>
      </w:r>
    </w:p>
    <w:p>
      <w:pPr>
        <w:pStyle w:val="BodyText"/>
        <w:spacing w:before="16"/>
        <w:rPr>
          <w:rFonts w:ascii="Microsoft JhengHei"/>
          <w:b/>
          <w:sz w:val="11"/>
        </w:rPr>
      </w:pPr>
    </w:p>
    <w:p>
      <w:pPr>
        <w:pStyle w:val="ListParagraph"/>
        <w:numPr>
          <w:ilvl w:val="0"/>
          <w:numId w:val="60"/>
        </w:numPr>
        <w:tabs>
          <w:tab w:pos="2569" w:val="left" w:leader="none"/>
        </w:tabs>
        <w:spacing w:line="240" w:lineRule="auto" w:before="0" w:after="0"/>
        <w:ind w:left="2568" w:right="0" w:hanging="530"/>
        <w:jc w:val="left"/>
        <w:rPr>
          <w:sz w:val="21"/>
        </w:rPr>
      </w:pPr>
      <w:r>
        <w:rPr>
          <w:spacing w:val="-3"/>
          <w:sz w:val="21"/>
        </w:rPr>
        <w:t>未经抵销的递延所得税资产</w:t>
      </w:r>
    </w:p>
    <w:p>
      <w:pPr>
        <w:pStyle w:val="BodyText"/>
        <w:spacing w:before="7"/>
        <w:rPr>
          <w:sz w:val="11"/>
        </w:r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937"/>
        <w:gridCol w:w="2324"/>
        <w:gridCol w:w="2790"/>
      </w:tblGrid>
      <w:tr>
        <w:trPr>
          <w:trHeight w:val="368" w:hRule="atLeast"/>
        </w:trPr>
        <w:tc>
          <w:tcPr>
            <w:tcW w:w="3937" w:type="dxa"/>
            <w:tcBorders>
              <w:bottom w:val="single" w:sz="4" w:space="0" w:color="000000"/>
              <w:right w:val="single" w:sz="4" w:space="0" w:color="000000"/>
            </w:tcBorders>
          </w:tcPr>
          <w:p>
            <w:pPr>
              <w:pStyle w:val="TableParagraph"/>
              <w:spacing w:line="349" w:lineRule="exact"/>
              <w:ind w:left="1737" w:right="1720"/>
              <w:jc w:val="center"/>
              <w:rPr>
                <w:rFonts w:ascii="Microsoft JhengHei" w:eastAsia="Microsoft JhengHei" w:hint="eastAsia"/>
                <w:b/>
                <w:sz w:val="21"/>
              </w:rPr>
            </w:pPr>
            <w:r>
              <w:rPr>
                <w:rFonts w:ascii="Microsoft JhengHei" w:eastAsia="Microsoft JhengHei" w:hint="eastAsia"/>
                <w:b/>
                <w:sz w:val="21"/>
              </w:rPr>
              <w:t>项目</w:t>
            </w:r>
          </w:p>
        </w:tc>
        <w:tc>
          <w:tcPr>
            <w:tcW w:w="2324" w:type="dxa"/>
            <w:tcBorders>
              <w:left w:val="single" w:sz="4" w:space="0" w:color="000000"/>
              <w:bottom w:val="single" w:sz="4" w:space="0" w:color="000000"/>
              <w:right w:val="single" w:sz="4" w:space="0" w:color="000000"/>
            </w:tcBorders>
          </w:tcPr>
          <w:p>
            <w:pPr>
              <w:pStyle w:val="TableParagraph"/>
              <w:spacing w:line="349" w:lineRule="exact"/>
              <w:ind w:left="748"/>
              <w:rPr>
                <w:rFonts w:ascii="Microsoft JhengHei" w:eastAsia="Microsoft JhengHei" w:hint="eastAsia"/>
                <w:b/>
                <w:sz w:val="21"/>
              </w:rPr>
            </w:pPr>
            <w:r>
              <w:rPr>
                <w:rFonts w:ascii="Microsoft JhengHei" w:eastAsia="Microsoft JhengHei" w:hint="eastAsia"/>
                <w:b/>
                <w:sz w:val="21"/>
              </w:rPr>
              <w:t>期末余额</w:t>
            </w:r>
          </w:p>
        </w:tc>
        <w:tc>
          <w:tcPr>
            <w:tcW w:w="2790" w:type="dxa"/>
            <w:tcBorders>
              <w:left w:val="single" w:sz="4" w:space="0" w:color="000000"/>
              <w:bottom w:val="single" w:sz="4" w:space="0" w:color="000000"/>
            </w:tcBorders>
          </w:tcPr>
          <w:p>
            <w:pPr>
              <w:pStyle w:val="TableParagraph"/>
              <w:spacing w:line="349" w:lineRule="exact"/>
              <w:ind w:left="963" w:right="926"/>
              <w:jc w:val="center"/>
              <w:rPr>
                <w:rFonts w:ascii="Microsoft JhengHei" w:eastAsia="Microsoft JhengHei" w:hint="eastAsia"/>
                <w:b/>
                <w:sz w:val="21"/>
              </w:rPr>
            </w:pPr>
            <w:r>
              <w:rPr>
                <w:rFonts w:ascii="Microsoft JhengHei" w:eastAsia="Microsoft JhengHei" w:hint="eastAsia"/>
                <w:b/>
                <w:sz w:val="21"/>
              </w:rPr>
              <w:t>期初余额</w:t>
            </w:r>
          </w:p>
        </w:tc>
      </w:tr>
      <w:tr>
        <w:trPr>
          <w:trHeight w:val="369" w:hRule="atLeast"/>
        </w:trPr>
        <w:tc>
          <w:tcPr>
            <w:tcW w:w="3937"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资产减值准备</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374,373,978.37</w:t>
            </w:r>
          </w:p>
        </w:tc>
        <w:tc>
          <w:tcPr>
            <w:tcW w:w="2790"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330,149,872.25</w:t>
            </w:r>
          </w:p>
        </w:tc>
      </w:tr>
      <w:tr>
        <w:trPr>
          <w:trHeight w:val="369" w:hRule="atLeast"/>
        </w:trPr>
        <w:tc>
          <w:tcPr>
            <w:tcW w:w="3937"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负债</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1,745,260,196.51</w:t>
            </w:r>
          </w:p>
        </w:tc>
        <w:tc>
          <w:tcPr>
            <w:tcW w:w="2790"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1,638,698,620.85</w:t>
            </w:r>
          </w:p>
        </w:tc>
      </w:tr>
      <w:tr>
        <w:trPr>
          <w:trHeight w:val="369" w:hRule="atLeast"/>
        </w:trPr>
        <w:tc>
          <w:tcPr>
            <w:tcW w:w="3937"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合并抵销内部未实现利润</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668,981,845.53</w:t>
            </w:r>
          </w:p>
        </w:tc>
        <w:tc>
          <w:tcPr>
            <w:tcW w:w="2790"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648,447,634.39</w:t>
            </w:r>
          </w:p>
        </w:tc>
      </w:tr>
      <w:tr>
        <w:trPr>
          <w:trHeight w:val="369" w:hRule="atLeast"/>
        </w:trPr>
        <w:tc>
          <w:tcPr>
            <w:tcW w:w="3937"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政府补贴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124,822,115.15</w:t>
            </w:r>
          </w:p>
        </w:tc>
        <w:tc>
          <w:tcPr>
            <w:tcW w:w="2790"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104,843,341.38</w:t>
            </w:r>
          </w:p>
        </w:tc>
      </w:tr>
      <w:tr>
        <w:trPr>
          <w:trHeight w:val="369" w:hRule="atLeast"/>
        </w:trPr>
        <w:tc>
          <w:tcPr>
            <w:tcW w:w="3937"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未弥补亏损</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806,710,012.75</w:t>
            </w:r>
          </w:p>
        </w:tc>
        <w:tc>
          <w:tcPr>
            <w:tcW w:w="2790"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644,817,113.91</w:t>
            </w:r>
          </w:p>
        </w:tc>
      </w:tr>
      <w:tr>
        <w:trPr>
          <w:trHeight w:val="369" w:hRule="atLeast"/>
        </w:trPr>
        <w:tc>
          <w:tcPr>
            <w:tcW w:w="3937"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其他</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before="55"/>
              <w:ind w:right="84"/>
              <w:jc w:val="right"/>
              <w:rPr>
                <w:sz w:val="21"/>
              </w:rPr>
            </w:pPr>
            <w:r>
              <w:rPr>
                <w:sz w:val="21"/>
              </w:rPr>
              <w:t>237,331,301.90</w:t>
            </w:r>
          </w:p>
        </w:tc>
        <w:tc>
          <w:tcPr>
            <w:tcW w:w="2790" w:type="dxa"/>
            <w:tcBorders>
              <w:top w:val="single" w:sz="4" w:space="0" w:color="000000"/>
              <w:left w:val="single" w:sz="4" w:space="0" w:color="000000"/>
              <w:bottom w:val="single" w:sz="4" w:space="0" w:color="000000"/>
            </w:tcBorders>
          </w:tcPr>
          <w:p>
            <w:pPr>
              <w:pStyle w:val="TableParagraph"/>
              <w:spacing w:before="55"/>
              <w:ind w:right="75"/>
              <w:jc w:val="right"/>
              <w:rPr>
                <w:sz w:val="21"/>
              </w:rPr>
            </w:pPr>
            <w:r>
              <w:rPr>
                <w:sz w:val="21"/>
              </w:rPr>
              <w:t>97,140,142.95</w:t>
            </w:r>
          </w:p>
        </w:tc>
      </w:tr>
      <w:tr>
        <w:trPr>
          <w:trHeight w:val="366" w:hRule="atLeast"/>
        </w:trPr>
        <w:tc>
          <w:tcPr>
            <w:tcW w:w="3937" w:type="dxa"/>
            <w:tcBorders>
              <w:top w:val="single" w:sz="4" w:space="0" w:color="000000"/>
              <w:right w:val="single" w:sz="4" w:space="0" w:color="000000"/>
            </w:tcBorders>
          </w:tcPr>
          <w:p>
            <w:pPr>
              <w:pStyle w:val="TableParagraph"/>
              <w:spacing w:before="49"/>
              <w:ind w:left="1737" w:right="1720"/>
              <w:jc w:val="center"/>
              <w:rPr>
                <w:rFonts w:ascii="宋体" w:eastAsia="宋体" w:hint="eastAsia"/>
                <w:sz w:val="21"/>
              </w:rPr>
            </w:pPr>
            <w:r>
              <w:rPr>
                <w:rFonts w:ascii="宋体" w:eastAsia="宋体" w:hint="eastAsia"/>
                <w:sz w:val="21"/>
              </w:rPr>
              <w:t>合计</w:t>
            </w:r>
          </w:p>
        </w:tc>
        <w:tc>
          <w:tcPr>
            <w:tcW w:w="2324" w:type="dxa"/>
            <w:tcBorders>
              <w:top w:val="single" w:sz="4" w:space="0" w:color="000000"/>
              <w:left w:val="single" w:sz="4" w:space="0" w:color="000000"/>
              <w:right w:val="single" w:sz="4" w:space="0" w:color="000000"/>
            </w:tcBorders>
          </w:tcPr>
          <w:p>
            <w:pPr>
              <w:pStyle w:val="TableParagraph"/>
              <w:spacing w:before="55"/>
              <w:ind w:right="84"/>
              <w:jc w:val="right"/>
              <w:rPr>
                <w:sz w:val="21"/>
              </w:rPr>
            </w:pPr>
            <w:r>
              <w:rPr>
                <w:sz w:val="21"/>
              </w:rPr>
              <w:t>3,957,479,450.21</w:t>
            </w:r>
          </w:p>
        </w:tc>
        <w:tc>
          <w:tcPr>
            <w:tcW w:w="2790" w:type="dxa"/>
            <w:tcBorders>
              <w:top w:val="single" w:sz="4" w:space="0" w:color="000000"/>
              <w:left w:val="single" w:sz="4" w:space="0" w:color="000000"/>
            </w:tcBorders>
          </w:tcPr>
          <w:p>
            <w:pPr>
              <w:pStyle w:val="TableParagraph"/>
              <w:spacing w:before="55"/>
              <w:ind w:right="75"/>
              <w:jc w:val="right"/>
              <w:rPr>
                <w:sz w:val="21"/>
              </w:rPr>
            </w:pPr>
            <w:r>
              <w:rPr>
                <w:sz w:val="21"/>
              </w:rPr>
              <w:t>3,464,096,725.73</w:t>
            </w:r>
          </w:p>
        </w:tc>
      </w:tr>
    </w:tbl>
    <w:p>
      <w:pPr>
        <w:pStyle w:val="BodyText"/>
        <w:spacing w:before="8"/>
        <w:rPr>
          <w:sz w:val="20"/>
        </w:rPr>
      </w:pPr>
    </w:p>
    <w:p>
      <w:pPr>
        <w:pStyle w:val="ListParagraph"/>
        <w:numPr>
          <w:ilvl w:val="0"/>
          <w:numId w:val="60"/>
        </w:numPr>
        <w:tabs>
          <w:tab w:pos="2569" w:val="left" w:leader="none"/>
        </w:tabs>
        <w:spacing w:line="240" w:lineRule="auto" w:before="1" w:after="0"/>
        <w:ind w:left="2568" w:right="0" w:hanging="530"/>
        <w:jc w:val="left"/>
        <w:rPr>
          <w:sz w:val="21"/>
        </w:rPr>
      </w:pPr>
      <w:r>
        <w:rPr>
          <w:spacing w:val="-3"/>
          <w:sz w:val="21"/>
        </w:rPr>
        <w:t>未经抵销的递延所得税负债</w:t>
      </w:r>
    </w:p>
    <w:p>
      <w:pPr>
        <w:pStyle w:val="BodyText"/>
        <w:spacing w:before="6"/>
        <w:rPr>
          <w:sz w:val="11"/>
        </w:rPr>
      </w:pPr>
    </w:p>
    <w:tbl>
      <w:tblPr>
        <w:tblW w:w="0" w:type="auto"/>
        <w:jc w:val="left"/>
        <w:tblInd w:w="14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428"/>
        <w:gridCol w:w="2782"/>
        <w:gridCol w:w="2734"/>
      </w:tblGrid>
      <w:tr>
        <w:trPr>
          <w:trHeight w:val="371" w:hRule="atLeast"/>
        </w:trPr>
        <w:tc>
          <w:tcPr>
            <w:tcW w:w="3428" w:type="dxa"/>
            <w:tcBorders>
              <w:bottom w:val="single" w:sz="4" w:space="0" w:color="000000"/>
              <w:right w:val="single" w:sz="4" w:space="0" w:color="000000"/>
            </w:tcBorders>
          </w:tcPr>
          <w:p>
            <w:pPr>
              <w:pStyle w:val="TableParagraph"/>
              <w:spacing w:line="351" w:lineRule="exact"/>
              <w:ind w:left="1482" w:right="1465"/>
              <w:jc w:val="center"/>
              <w:rPr>
                <w:rFonts w:ascii="Microsoft JhengHei" w:eastAsia="Microsoft JhengHei" w:hint="eastAsia"/>
                <w:b/>
                <w:sz w:val="21"/>
              </w:rPr>
            </w:pPr>
            <w:r>
              <w:rPr>
                <w:rFonts w:ascii="Microsoft JhengHei" w:eastAsia="Microsoft JhengHei" w:hint="eastAsia"/>
                <w:b/>
                <w:sz w:val="21"/>
              </w:rPr>
              <w:t>项目</w:t>
            </w:r>
          </w:p>
        </w:tc>
        <w:tc>
          <w:tcPr>
            <w:tcW w:w="2782" w:type="dxa"/>
            <w:tcBorders>
              <w:left w:val="single" w:sz="4" w:space="0" w:color="000000"/>
              <w:bottom w:val="single" w:sz="4" w:space="0" w:color="000000"/>
              <w:right w:val="single" w:sz="4" w:space="0" w:color="000000"/>
            </w:tcBorders>
          </w:tcPr>
          <w:p>
            <w:pPr>
              <w:pStyle w:val="TableParagraph"/>
              <w:spacing w:line="351" w:lineRule="exact"/>
              <w:ind w:left="960" w:right="930"/>
              <w:jc w:val="center"/>
              <w:rPr>
                <w:rFonts w:ascii="Microsoft JhengHei" w:eastAsia="Microsoft JhengHei" w:hint="eastAsia"/>
                <w:b/>
                <w:sz w:val="21"/>
              </w:rPr>
            </w:pPr>
            <w:r>
              <w:rPr>
                <w:rFonts w:ascii="Microsoft JhengHei" w:eastAsia="Microsoft JhengHei" w:hint="eastAsia"/>
                <w:b/>
                <w:sz w:val="21"/>
              </w:rPr>
              <w:t>期末余额</w:t>
            </w:r>
          </w:p>
        </w:tc>
        <w:tc>
          <w:tcPr>
            <w:tcW w:w="2734" w:type="dxa"/>
            <w:tcBorders>
              <w:left w:val="single" w:sz="4" w:space="0" w:color="000000"/>
              <w:bottom w:val="single" w:sz="4" w:space="0" w:color="000000"/>
            </w:tcBorders>
          </w:tcPr>
          <w:p>
            <w:pPr>
              <w:pStyle w:val="TableParagraph"/>
              <w:spacing w:line="351" w:lineRule="exact"/>
              <w:ind w:left="935" w:right="899"/>
              <w:jc w:val="center"/>
              <w:rPr>
                <w:rFonts w:ascii="Microsoft JhengHei" w:eastAsia="Microsoft JhengHei" w:hint="eastAsia"/>
                <w:b/>
                <w:sz w:val="21"/>
              </w:rPr>
            </w:pPr>
            <w:r>
              <w:rPr>
                <w:rFonts w:ascii="Microsoft JhengHei" w:eastAsia="Microsoft JhengHei" w:hint="eastAsia"/>
                <w:b/>
                <w:sz w:val="21"/>
              </w:rPr>
              <w:t>期初余额</w:t>
            </w:r>
          </w:p>
        </w:tc>
      </w:tr>
      <w:tr>
        <w:trPr>
          <w:trHeight w:val="366" w:hRule="atLeast"/>
        </w:trPr>
        <w:tc>
          <w:tcPr>
            <w:tcW w:w="3428" w:type="dxa"/>
            <w:tcBorders>
              <w:top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资产摊销</w:t>
            </w:r>
          </w:p>
        </w:tc>
        <w:tc>
          <w:tcPr>
            <w:tcW w:w="2782" w:type="dxa"/>
            <w:tcBorders>
              <w:top w:val="single" w:sz="4" w:space="0" w:color="000000"/>
              <w:left w:val="single" w:sz="4" w:space="0" w:color="000000"/>
              <w:right w:val="single" w:sz="4" w:space="0" w:color="000000"/>
            </w:tcBorders>
          </w:tcPr>
          <w:p>
            <w:pPr>
              <w:pStyle w:val="TableParagraph"/>
              <w:spacing w:before="55"/>
              <w:ind w:left="1211"/>
              <w:rPr>
                <w:sz w:val="21"/>
              </w:rPr>
            </w:pPr>
            <w:r>
              <w:rPr>
                <w:sz w:val="21"/>
              </w:rPr>
              <w:t>2,371,032,689.77</w:t>
            </w:r>
          </w:p>
        </w:tc>
        <w:tc>
          <w:tcPr>
            <w:tcW w:w="2734" w:type="dxa"/>
            <w:tcBorders>
              <w:top w:val="single" w:sz="4" w:space="0" w:color="000000"/>
              <w:left w:val="single" w:sz="4" w:space="0" w:color="000000"/>
            </w:tcBorders>
          </w:tcPr>
          <w:p>
            <w:pPr>
              <w:pStyle w:val="TableParagraph"/>
              <w:spacing w:before="55"/>
              <w:ind w:left="1161"/>
              <w:rPr>
                <w:sz w:val="21"/>
              </w:rPr>
            </w:pPr>
            <w:r>
              <w:rPr>
                <w:sz w:val="21"/>
              </w:rPr>
              <w:t>2,063,021,233.00</w:t>
            </w:r>
          </w:p>
        </w:tc>
      </w:tr>
    </w:tbl>
    <w:p>
      <w:pPr>
        <w:spacing w:after="0"/>
        <w:rPr>
          <w:sz w:val="21"/>
        </w:rPr>
        <w:sectPr>
          <w:pgSz w:w="11910" w:h="16840"/>
          <w:pgMar w:header="876" w:footer="1192" w:top="1440" w:bottom="1400" w:left="260" w:right="0"/>
        </w:sectPr>
      </w:pPr>
    </w:p>
    <w:p>
      <w:pPr>
        <w:pStyle w:val="BodyText"/>
        <w:spacing w:before="2"/>
        <w:rPr>
          <w:sz w:val="5"/>
        </w:rPr>
      </w:pPr>
    </w:p>
    <w:tbl>
      <w:tblPr>
        <w:tblW w:w="0" w:type="auto"/>
        <w:jc w:val="left"/>
        <w:tblInd w:w="14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428"/>
        <w:gridCol w:w="2782"/>
        <w:gridCol w:w="2734"/>
      </w:tblGrid>
      <w:tr>
        <w:trPr>
          <w:trHeight w:val="546" w:hRule="atLeast"/>
        </w:trPr>
        <w:tc>
          <w:tcPr>
            <w:tcW w:w="3428" w:type="dxa"/>
            <w:tcBorders>
              <w:bottom w:val="single" w:sz="4" w:space="0" w:color="000000"/>
              <w:right w:val="single" w:sz="4" w:space="0" w:color="000000"/>
            </w:tcBorders>
          </w:tcPr>
          <w:p>
            <w:pPr>
              <w:pStyle w:val="TableParagraph"/>
              <w:spacing w:line="270" w:lineRule="atLeast" w:before="2"/>
              <w:ind w:left="107" w:right="144"/>
              <w:rPr>
                <w:rFonts w:ascii="宋体" w:eastAsia="宋体" w:hint="eastAsia"/>
                <w:sz w:val="21"/>
              </w:rPr>
            </w:pPr>
            <w:r>
              <w:rPr>
                <w:rFonts w:ascii="宋体" w:eastAsia="宋体" w:hint="eastAsia"/>
                <w:sz w:val="21"/>
              </w:rPr>
              <w:t>重新计量丧失控制权日剩余股权的公允价值</w:t>
            </w:r>
          </w:p>
        </w:tc>
        <w:tc>
          <w:tcPr>
            <w:tcW w:w="2782" w:type="dxa"/>
            <w:tcBorders>
              <w:left w:val="single" w:sz="4" w:space="0" w:color="000000"/>
              <w:bottom w:val="single" w:sz="4" w:space="0" w:color="000000"/>
              <w:right w:val="single" w:sz="4" w:space="0" w:color="000000"/>
            </w:tcBorders>
          </w:tcPr>
          <w:p>
            <w:pPr>
              <w:pStyle w:val="TableParagraph"/>
              <w:spacing w:before="147"/>
              <w:ind w:right="84"/>
              <w:jc w:val="right"/>
              <w:rPr>
                <w:sz w:val="21"/>
              </w:rPr>
            </w:pPr>
            <w:r>
              <w:rPr>
                <w:sz w:val="21"/>
              </w:rPr>
              <w:t>878,623,804.46</w:t>
            </w:r>
          </w:p>
        </w:tc>
        <w:tc>
          <w:tcPr>
            <w:tcW w:w="2734" w:type="dxa"/>
            <w:tcBorders>
              <w:left w:val="single" w:sz="4" w:space="0" w:color="000000"/>
              <w:bottom w:val="single" w:sz="4" w:space="0" w:color="000000"/>
            </w:tcBorders>
          </w:tcPr>
          <w:p>
            <w:pPr>
              <w:pStyle w:val="TableParagraph"/>
              <w:spacing w:before="147"/>
              <w:ind w:right="76"/>
              <w:jc w:val="right"/>
              <w:rPr>
                <w:sz w:val="21"/>
              </w:rPr>
            </w:pPr>
            <w:r>
              <w:rPr>
                <w:sz w:val="21"/>
              </w:rPr>
              <w:t>664,918,329.45</w:t>
            </w:r>
          </w:p>
        </w:tc>
      </w:tr>
      <w:tr>
        <w:trPr>
          <w:trHeight w:val="369" w:hRule="atLeast"/>
        </w:trPr>
        <w:tc>
          <w:tcPr>
            <w:tcW w:w="3428"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预留境外企业所得税</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93,629,113.00</w:t>
            </w:r>
          </w:p>
        </w:tc>
        <w:tc>
          <w:tcPr>
            <w:tcW w:w="2734" w:type="dxa"/>
            <w:tcBorders>
              <w:top w:val="single" w:sz="4" w:space="0" w:color="000000"/>
              <w:left w:val="single" w:sz="4" w:space="0" w:color="000000"/>
              <w:bottom w:val="single" w:sz="4" w:space="0" w:color="000000"/>
            </w:tcBorders>
          </w:tcPr>
          <w:p>
            <w:pPr>
              <w:pStyle w:val="TableParagraph"/>
              <w:spacing w:before="58"/>
              <w:ind w:right="76"/>
              <w:jc w:val="right"/>
              <w:rPr>
                <w:sz w:val="21"/>
              </w:rPr>
            </w:pPr>
            <w:r>
              <w:rPr>
                <w:sz w:val="21"/>
              </w:rPr>
              <w:t>77,190,532.32</w:t>
            </w:r>
          </w:p>
        </w:tc>
      </w:tr>
      <w:tr>
        <w:trPr>
          <w:trHeight w:val="369" w:hRule="atLeast"/>
        </w:trPr>
        <w:tc>
          <w:tcPr>
            <w:tcW w:w="3428"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其他</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306,293,850.70</w:t>
            </w:r>
          </w:p>
        </w:tc>
        <w:tc>
          <w:tcPr>
            <w:tcW w:w="2734" w:type="dxa"/>
            <w:tcBorders>
              <w:top w:val="single" w:sz="4" w:space="0" w:color="000000"/>
              <w:left w:val="single" w:sz="4" w:space="0" w:color="000000"/>
              <w:bottom w:val="single" w:sz="4" w:space="0" w:color="000000"/>
            </w:tcBorders>
          </w:tcPr>
          <w:p>
            <w:pPr>
              <w:pStyle w:val="TableParagraph"/>
              <w:spacing w:before="58"/>
              <w:ind w:right="76"/>
              <w:jc w:val="right"/>
              <w:rPr>
                <w:sz w:val="21"/>
              </w:rPr>
            </w:pPr>
            <w:r>
              <w:rPr>
                <w:sz w:val="21"/>
              </w:rPr>
              <w:t>234,478,033.95</w:t>
            </w:r>
          </w:p>
        </w:tc>
      </w:tr>
      <w:tr>
        <w:trPr>
          <w:trHeight w:val="366" w:hRule="atLeast"/>
        </w:trPr>
        <w:tc>
          <w:tcPr>
            <w:tcW w:w="3428" w:type="dxa"/>
            <w:tcBorders>
              <w:top w:val="single" w:sz="4" w:space="0" w:color="000000"/>
              <w:right w:val="single" w:sz="4" w:space="0" w:color="000000"/>
            </w:tcBorders>
          </w:tcPr>
          <w:p>
            <w:pPr>
              <w:pStyle w:val="TableParagraph"/>
              <w:spacing w:before="49"/>
              <w:ind w:left="1482" w:right="1465"/>
              <w:jc w:val="center"/>
              <w:rPr>
                <w:rFonts w:ascii="宋体" w:eastAsia="宋体" w:hint="eastAsia"/>
                <w:sz w:val="21"/>
              </w:rPr>
            </w:pPr>
            <w:r>
              <w:rPr>
                <w:rFonts w:ascii="宋体" w:eastAsia="宋体" w:hint="eastAsia"/>
                <w:sz w:val="21"/>
              </w:rPr>
              <w:t>合计</w:t>
            </w:r>
          </w:p>
        </w:tc>
        <w:tc>
          <w:tcPr>
            <w:tcW w:w="2782" w:type="dxa"/>
            <w:tcBorders>
              <w:top w:val="single" w:sz="4" w:space="0" w:color="000000"/>
              <w:left w:val="single" w:sz="4" w:space="0" w:color="000000"/>
              <w:right w:val="single" w:sz="4" w:space="0" w:color="000000"/>
            </w:tcBorders>
          </w:tcPr>
          <w:p>
            <w:pPr>
              <w:pStyle w:val="TableParagraph"/>
              <w:spacing w:before="55"/>
              <w:ind w:right="84"/>
              <w:jc w:val="right"/>
              <w:rPr>
                <w:sz w:val="21"/>
              </w:rPr>
            </w:pPr>
            <w:r>
              <w:rPr>
                <w:sz w:val="21"/>
              </w:rPr>
              <w:t>3,649,579,457.93</w:t>
            </w:r>
          </w:p>
        </w:tc>
        <w:tc>
          <w:tcPr>
            <w:tcW w:w="2734" w:type="dxa"/>
            <w:tcBorders>
              <w:top w:val="single" w:sz="4" w:space="0" w:color="000000"/>
              <w:left w:val="single" w:sz="4" w:space="0" w:color="000000"/>
            </w:tcBorders>
          </w:tcPr>
          <w:p>
            <w:pPr>
              <w:pStyle w:val="TableParagraph"/>
              <w:spacing w:before="55"/>
              <w:ind w:right="76"/>
              <w:jc w:val="right"/>
              <w:rPr>
                <w:sz w:val="21"/>
              </w:rPr>
            </w:pPr>
            <w:r>
              <w:rPr>
                <w:sz w:val="21"/>
              </w:rPr>
              <w:t>3,039,608,128.72</w:t>
            </w:r>
          </w:p>
        </w:tc>
      </w:tr>
    </w:tbl>
    <w:p>
      <w:pPr>
        <w:pStyle w:val="ListParagraph"/>
        <w:numPr>
          <w:ilvl w:val="0"/>
          <w:numId w:val="60"/>
        </w:numPr>
        <w:tabs>
          <w:tab w:pos="2492" w:val="left" w:leader="none"/>
        </w:tabs>
        <w:spacing w:line="240" w:lineRule="auto" w:before="4" w:after="0"/>
        <w:ind w:left="2491" w:right="0" w:hanging="2285"/>
        <w:jc w:val="left"/>
        <w:rPr>
          <w:sz w:val="21"/>
        </w:rPr>
      </w:pPr>
      <w:r>
        <w:rPr>
          <w:spacing w:val="-3"/>
          <w:sz w:val="21"/>
        </w:rPr>
        <w:t>本期期末抵销的递延所得税资产和递延所得税负债金额为：</w:t>
      </w:r>
      <w:r>
        <w:rPr>
          <w:rFonts w:ascii="Times New Roman" w:eastAsia="Times New Roman"/>
          <w:sz w:val="21"/>
        </w:rPr>
        <w:t>1,749,178,191.96 </w:t>
      </w:r>
      <w:r>
        <w:rPr>
          <w:spacing w:val="-3"/>
          <w:sz w:val="21"/>
        </w:rPr>
        <w:t>元。</w:t>
      </w:r>
    </w:p>
    <w:p>
      <w:pPr>
        <w:pStyle w:val="BodyText"/>
        <w:spacing w:before="1"/>
        <w:rPr>
          <w:sz w:val="20"/>
        </w:rPr>
      </w:pPr>
    </w:p>
    <w:p>
      <w:pPr>
        <w:pStyle w:val="Heading4"/>
        <w:spacing w:before="9"/>
      </w:pPr>
      <w:r>
        <w:rPr>
          <w:rFonts w:ascii="Times New Roman" w:eastAsia="Times New Roman"/>
        </w:rPr>
        <w:t>23</w:t>
      </w:r>
      <w:r>
        <w:rPr/>
        <w:t>、 其他非流动资产</w:t>
      </w:r>
    </w:p>
    <w:p>
      <w:pPr>
        <w:pStyle w:val="BodyText"/>
        <w:spacing w:before="17"/>
        <w:ind w:left="1538"/>
      </w:pPr>
      <w:r>
        <w:rPr>
          <w:w w:val="100"/>
        </w:rPr>
        <w:t> </w:t>
      </w: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481"/>
        <w:gridCol w:w="2782"/>
        <w:gridCol w:w="2787"/>
      </w:tblGrid>
      <w:tr>
        <w:trPr>
          <w:trHeight w:val="368" w:hRule="atLeast"/>
        </w:trPr>
        <w:tc>
          <w:tcPr>
            <w:tcW w:w="3481" w:type="dxa"/>
            <w:tcBorders>
              <w:bottom w:val="single" w:sz="4" w:space="0" w:color="000000"/>
              <w:right w:val="single" w:sz="4" w:space="0" w:color="000000"/>
            </w:tcBorders>
          </w:tcPr>
          <w:p>
            <w:pPr>
              <w:pStyle w:val="TableParagraph"/>
              <w:spacing w:line="349" w:lineRule="exact"/>
              <w:ind w:right="1508"/>
              <w:jc w:val="right"/>
              <w:rPr>
                <w:rFonts w:ascii="Microsoft JhengHei" w:eastAsia="Microsoft JhengHei" w:hint="eastAsia"/>
                <w:b/>
                <w:sz w:val="21"/>
              </w:rPr>
            </w:pPr>
            <w:r>
              <w:rPr>
                <w:rFonts w:ascii="Microsoft JhengHei" w:eastAsia="Microsoft JhengHei" w:hint="eastAsia"/>
                <w:b/>
                <w:sz w:val="21"/>
              </w:rPr>
              <w:t>项目</w:t>
            </w:r>
          </w:p>
        </w:tc>
        <w:tc>
          <w:tcPr>
            <w:tcW w:w="2782" w:type="dxa"/>
            <w:tcBorders>
              <w:left w:val="single" w:sz="4" w:space="0" w:color="000000"/>
              <w:bottom w:val="single" w:sz="4" w:space="0" w:color="000000"/>
              <w:right w:val="single" w:sz="4" w:space="0" w:color="000000"/>
            </w:tcBorders>
          </w:tcPr>
          <w:p>
            <w:pPr>
              <w:pStyle w:val="TableParagraph"/>
              <w:spacing w:line="349" w:lineRule="exact"/>
              <w:ind w:left="960" w:right="931"/>
              <w:jc w:val="center"/>
              <w:rPr>
                <w:rFonts w:ascii="Microsoft JhengHei" w:eastAsia="Microsoft JhengHei" w:hint="eastAsia"/>
                <w:b/>
                <w:sz w:val="21"/>
              </w:rPr>
            </w:pPr>
            <w:r>
              <w:rPr>
                <w:rFonts w:ascii="Microsoft JhengHei" w:eastAsia="Microsoft JhengHei" w:hint="eastAsia"/>
                <w:b/>
                <w:sz w:val="21"/>
              </w:rPr>
              <w:t>期末余额</w:t>
            </w:r>
          </w:p>
        </w:tc>
        <w:tc>
          <w:tcPr>
            <w:tcW w:w="2787" w:type="dxa"/>
            <w:tcBorders>
              <w:left w:val="single" w:sz="4" w:space="0" w:color="000000"/>
              <w:bottom w:val="single" w:sz="4" w:space="0" w:color="000000"/>
            </w:tcBorders>
          </w:tcPr>
          <w:p>
            <w:pPr>
              <w:pStyle w:val="TableParagraph"/>
              <w:spacing w:line="349" w:lineRule="exact"/>
              <w:ind w:left="963" w:right="923"/>
              <w:jc w:val="center"/>
              <w:rPr>
                <w:rFonts w:ascii="Microsoft JhengHei" w:eastAsia="Microsoft JhengHei" w:hint="eastAsia"/>
                <w:b/>
                <w:sz w:val="21"/>
              </w:rPr>
            </w:pPr>
            <w:r>
              <w:rPr>
                <w:rFonts w:ascii="Microsoft JhengHei" w:eastAsia="Microsoft JhengHei" w:hint="eastAsia"/>
                <w:b/>
                <w:sz w:val="21"/>
              </w:rPr>
              <w:t>期初余额</w:t>
            </w:r>
          </w:p>
        </w:tc>
      </w:tr>
      <w:tr>
        <w:trPr>
          <w:trHeight w:val="369" w:hRule="atLeast"/>
        </w:trPr>
        <w:tc>
          <w:tcPr>
            <w:tcW w:w="3481"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预付设备土地款</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1,403,997,069.15</w:t>
            </w:r>
          </w:p>
        </w:tc>
        <w:tc>
          <w:tcPr>
            <w:tcW w:w="2787"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1,423,060,146.73</w:t>
            </w:r>
          </w:p>
        </w:tc>
      </w:tr>
      <w:tr>
        <w:trPr>
          <w:trHeight w:val="369" w:hRule="atLeast"/>
        </w:trPr>
        <w:tc>
          <w:tcPr>
            <w:tcW w:w="3481"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其他</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521,764,491.02</w:t>
            </w:r>
          </w:p>
        </w:tc>
        <w:tc>
          <w:tcPr>
            <w:tcW w:w="2787"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420,704,819.08</w:t>
            </w:r>
          </w:p>
        </w:tc>
      </w:tr>
      <w:tr>
        <w:trPr>
          <w:trHeight w:val="368" w:hRule="atLeast"/>
        </w:trPr>
        <w:tc>
          <w:tcPr>
            <w:tcW w:w="3481" w:type="dxa"/>
            <w:tcBorders>
              <w:top w:val="single" w:sz="4" w:space="0" w:color="000000"/>
              <w:right w:val="single" w:sz="4" w:space="0" w:color="000000"/>
            </w:tcBorders>
          </w:tcPr>
          <w:p>
            <w:pPr>
              <w:pStyle w:val="TableParagraph"/>
              <w:spacing w:before="49"/>
              <w:ind w:right="1508"/>
              <w:jc w:val="right"/>
              <w:rPr>
                <w:rFonts w:ascii="宋体" w:eastAsia="宋体" w:hint="eastAsia"/>
                <w:sz w:val="21"/>
              </w:rPr>
            </w:pPr>
            <w:r>
              <w:rPr>
                <w:rFonts w:ascii="宋体" w:eastAsia="宋体" w:hint="eastAsia"/>
                <w:sz w:val="21"/>
              </w:rPr>
              <w:t>合计</w:t>
            </w:r>
          </w:p>
        </w:tc>
        <w:tc>
          <w:tcPr>
            <w:tcW w:w="2782" w:type="dxa"/>
            <w:tcBorders>
              <w:top w:val="single" w:sz="4" w:space="0" w:color="000000"/>
              <w:left w:val="single" w:sz="4" w:space="0" w:color="000000"/>
              <w:right w:val="single" w:sz="4" w:space="0" w:color="000000"/>
            </w:tcBorders>
          </w:tcPr>
          <w:p>
            <w:pPr>
              <w:pStyle w:val="TableParagraph"/>
              <w:spacing w:before="58"/>
              <w:ind w:right="84"/>
              <w:jc w:val="right"/>
              <w:rPr>
                <w:sz w:val="21"/>
              </w:rPr>
            </w:pPr>
            <w:r>
              <w:rPr>
                <w:sz w:val="21"/>
              </w:rPr>
              <w:t>1,925,761,560.17</w:t>
            </w:r>
          </w:p>
        </w:tc>
        <w:tc>
          <w:tcPr>
            <w:tcW w:w="2787" w:type="dxa"/>
            <w:tcBorders>
              <w:top w:val="single" w:sz="4" w:space="0" w:color="000000"/>
              <w:left w:val="single" w:sz="4" w:space="0" w:color="000000"/>
            </w:tcBorders>
          </w:tcPr>
          <w:p>
            <w:pPr>
              <w:pStyle w:val="TableParagraph"/>
              <w:spacing w:before="58"/>
              <w:ind w:right="74"/>
              <w:jc w:val="right"/>
              <w:rPr>
                <w:sz w:val="21"/>
              </w:rPr>
            </w:pPr>
            <w:r>
              <w:rPr>
                <w:sz w:val="21"/>
              </w:rPr>
              <w:t>1,843,764,965.81</w:t>
            </w:r>
          </w:p>
        </w:tc>
      </w:tr>
    </w:tbl>
    <w:p>
      <w:pPr>
        <w:pStyle w:val="BodyText"/>
        <w:spacing w:line="265" w:lineRule="exact" w:before="3"/>
        <w:ind w:left="1538"/>
      </w:pPr>
      <w:r>
        <w:rPr>
          <w:w w:val="100"/>
        </w:rPr>
        <w:t> </w:t>
      </w:r>
    </w:p>
    <w:p>
      <w:pPr>
        <w:pStyle w:val="Heading4"/>
        <w:spacing w:line="355" w:lineRule="exact"/>
      </w:pPr>
      <w:r>
        <w:rPr>
          <w:rFonts w:ascii="Times New Roman" w:eastAsia="Times New Roman"/>
        </w:rPr>
        <w:t>24</w:t>
      </w:r>
      <w:r>
        <w:rPr/>
        <w:t>、 短期借款</w:t>
      </w:r>
    </w:p>
    <w:p>
      <w:pPr>
        <w:pStyle w:val="Heading4"/>
        <w:spacing w:line="359" w:lineRule="exact"/>
      </w:pPr>
      <w:r>
        <w:rPr>
          <w:rFonts w:ascii="Times New Roman" w:eastAsia="Times New Roman"/>
        </w:rPr>
        <w:t>(1). </w:t>
      </w:r>
      <w:r>
        <w:rPr/>
        <w:t>短期借款分类</w:t>
      </w:r>
    </w:p>
    <w:p>
      <w:pPr>
        <w:pStyle w:val="BodyText"/>
        <w:spacing w:before="17"/>
        <w:ind w:left="1962"/>
      </w:pPr>
      <w:r>
        <w:rPr/>
        <w:t>√适用 □不适用</w:t>
      </w:r>
    </w:p>
    <w:p>
      <w:pPr>
        <w:pStyle w:val="BodyText"/>
        <w:tabs>
          <w:tab w:pos="9111" w:val="left" w:leader="none"/>
        </w:tabs>
        <w:spacing w:before="2" w:after="4"/>
        <w:ind w:left="8059"/>
      </w:pPr>
      <w:r>
        <w:rPr/>
        <w:t>单位：元</w:t>
        <w:tab/>
        <w:t>币</w:t>
      </w:r>
      <w:r>
        <w:rPr>
          <w:spacing w:val="-3"/>
        </w:rPr>
        <w:t>种</w:t>
      </w:r>
      <w:r>
        <w:rPr/>
        <w:t>：</w:t>
      </w:r>
      <w:r>
        <w:rPr>
          <w:spacing w:val="-3"/>
        </w:rPr>
        <w:t>人</w:t>
      </w:r>
      <w:r>
        <w:rPr/>
        <w:t>民币</w:t>
      </w:r>
    </w:p>
    <w:tbl>
      <w:tblPr>
        <w:tblW w:w="0" w:type="auto"/>
        <w:jc w:val="left"/>
        <w:tblInd w:w="152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871"/>
        <w:gridCol w:w="3005"/>
        <w:gridCol w:w="3020"/>
      </w:tblGrid>
      <w:tr>
        <w:trPr>
          <w:trHeight w:val="272" w:hRule="atLeast"/>
        </w:trPr>
        <w:tc>
          <w:tcPr>
            <w:tcW w:w="2871" w:type="dxa"/>
            <w:tcBorders>
              <w:bottom w:val="single" w:sz="4" w:space="0" w:color="000000"/>
              <w:right w:val="single" w:sz="4" w:space="0" w:color="000000"/>
            </w:tcBorders>
          </w:tcPr>
          <w:p>
            <w:pPr>
              <w:pStyle w:val="TableParagraph"/>
              <w:spacing w:line="253" w:lineRule="exact"/>
              <w:ind w:left="1202" w:right="1184"/>
              <w:jc w:val="center"/>
              <w:rPr>
                <w:rFonts w:ascii="Microsoft JhengHei" w:eastAsia="Microsoft JhengHei" w:hint="eastAsia"/>
                <w:b/>
                <w:sz w:val="21"/>
              </w:rPr>
            </w:pPr>
            <w:r>
              <w:rPr>
                <w:rFonts w:ascii="Microsoft JhengHei" w:eastAsia="Microsoft JhengHei" w:hint="eastAsia"/>
                <w:b/>
                <w:sz w:val="21"/>
              </w:rPr>
              <w:t>项目</w:t>
            </w:r>
          </w:p>
        </w:tc>
        <w:tc>
          <w:tcPr>
            <w:tcW w:w="3005" w:type="dxa"/>
            <w:tcBorders>
              <w:left w:val="single" w:sz="4" w:space="0" w:color="000000"/>
              <w:bottom w:val="single" w:sz="4" w:space="0" w:color="000000"/>
              <w:right w:val="single" w:sz="4" w:space="0" w:color="000000"/>
            </w:tcBorders>
          </w:tcPr>
          <w:p>
            <w:pPr>
              <w:pStyle w:val="TableParagraph"/>
              <w:spacing w:line="253" w:lineRule="exact"/>
              <w:ind w:left="1069" w:right="1041"/>
              <w:jc w:val="center"/>
              <w:rPr>
                <w:rFonts w:ascii="Microsoft JhengHei" w:eastAsia="Microsoft JhengHei" w:hint="eastAsia"/>
                <w:b/>
                <w:sz w:val="21"/>
              </w:rPr>
            </w:pPr>
            <w:r>
              <w:rPr>
                <w:rFonts w:ascii="Microsoft JhengHei" w:eastAsia="Microsoft JhengHei" w:hint="eastAsia"/>
                <w:b/>
                <w:sz w:val="21"/>
              </w:rPr>
              <w:t>期末余额</w:t>
            </w:r>
          </w:p>
        </w:tc>
        <w:tc>
          <w:tcPr>
            <w:tcW w:w="3020" w:type="dxa"/>
            <w:tcBorders>
              <w:left w:val="single" w:sz="4" w:space="0" w:color="000000"/>
              <w:bottom w:val="single" w:sz="4" w:space="0" w:color="000000"/>
            </w:tcBorders>
          </w:tcPr>
          <w:p>
            <w:pPr>
              <w:pStyle w:val="TableParagraph"/>
              <w:spacing w:line="253" w:lineRule="exact"/>
              <w:ind w:left="1079" w:right="1041"/>
              <w:jc w:val="center"/>
              <w:rPr>
                <w:rFonts w:ascii="Microsoft JhengHei" w:eastAsia="Microsoft JhengHei" w:hint="eastAsia"/>
                <w:b/>
                <w:sz w:val="21"/>
              </w:rPr>
            </w:pPr>
            <w:r>
              <w:rPr>
                <w:rFonts w:ascii="Microsoft JhengHei" w:eastAsia="Microsoft JhengHei" w:hint="eastAsia"/>
                <w:b/>
                <w:sz w:val="21"/>
              </w:rPr>
              <w:t>期初余额</w:t>
            </w:r>
          </w:p>
        </w:tc>
      </w:tr>
      <w:tr>
        <w:trPr>
          <w:trHeight w:val="273" w:hRule="atLeast"/>
        </w:trPr>
        <w:tc>
          <w:tcPr>
            <w:tcW w:w="2871" w:type="dxa"/>
            <w:tcBorders>
              <w:top w:val="single" w:sz="4" w:space="0" w:color="000000"/>
              <w:bottom w:val="single" w:sz="4" w:space="0" w:color="000000"/>
              <w:right w:val="single" w:sz="4" w:space="0" w:color="000000"/>
            </w:tcBorders>
          </w:tcPr>
          <w:p>
            <w:pPr>
              <w:pStyle w:val="TableParagraph"/>
              <w:spacing w:line="252" w:lineRule="exact" w:before="1"/>
              <w:ind w:left="30"/>
              <w:rPr>
                <w:rFonts w:ascii="宋体" w:eastAsia="宋体" w:hint="eastAsia"/>
                <w:sz w:val="21"/>
              </w:rPr>
            </w:pPr>
            <w:r>
              <w:rPr>
                <w:rFonts w:ascii="宋体" w:eastAsia="宋体" w:hint="eastAsia"/>
                <w:sz w:val="21"/>
              </w:rPr>
              <w:t>质押借款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before="7"/>
              <w:ind w:right="187"/>
              <w:jc w:val="right"/>
              <w:rPr>
                <w:sz w:val="21"/>
              </w:rPr>
            </w:pPr>
            <w:r>
              <w:rPr>
                <w:sz w:val="21"/>
              </w:rPr>
              <w:t>472,098,030.36</w:t>
            </w:r>
          </w:p>
        </w:tc>
        <w:tc>
          <w:tcPr>
            <w:tcW w:w="3020" w:type="dxa"/>
            <w:tcBorders>
              <w:top w:val="single" w:sz="4" w:space="0" w:color="000000"/>
              <w:left w:val="single" w:sz="4" w:space="0" w:color="000000"/>
              <w:bottom w:val="single" w:sz="4" w:space="0" w:color="000000"/>
            </w:tcBorders>
          </w:tcPr>
          <w:p>
            <w:pPr>
              <w:pStyle w:val="TableParagraph"/>
              <w:spacing w:before="7"/>
              <w:ind w:right="177"/>
              <w:jc w:val="right"/>
              <w:rPr>
                <w:sz w:val="21"/>
              </w:rPr>
            </w:pPr>
            <w:r>
              <w:rPr>
                <w:sz w:val="21"/>
              </w:rPr>
              <w:t>172,099,117.93</w:t>
            </w:r>
          </w:p>
        </w:tc>
      </w:tr>
      <w:tr>
        <w:trPr>
          <w:trHeight w:val="270" w:hRule="atLeast"/>
        </w:trPr>
        <w:tc>
          <w:tcPr>
            <w:tcW w:w="2871" w:type="dxa"/>
            <w:tcBorders>
              <w:top w:val="single" w:sz="4" w:space="0" w:color="000000"/>
              <w:bottom w:val="single" w:sz="4" w:space="0" w:color="000000"/>
              <w:right w:val="single" w:sz="4" w:space="0" w:color="000000"/>
            </w:tcBorders>
          </w:tcPr>
          <w:p>
            <w:pPr>
              <w:pStyle w:val="TableParagraph"/>
              <w:spacing w:line="250" w:lineRule="exact" w:before="1"/>
              <w:ind w:left="30"/>
              <w:rPr>
                <w:rFonts w:ascii="宋体" w:eastAsia="宋体" w:hint="eastAsia"/>
                <w:sz w:val="21"/>
              </w:rPr>
            </w:pPr>
            <w:r>
              <w:rPr>
                <w:rFonts w:ascii="宋体" w:eastAsia="宋体" w:hint="eastAsia"/>
                <w:sz w:val="21"/>
              </w:rPr>
              <w:t>抵押借款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3020" w:type="dxa"/>
            <w:tcBorders>
              <w:top w:val="single" w:sz="4" w:space="0" w:color="000000"/>
              <w:left w:val="single" w:sz="4" w:space="0" w:color="000000"/>
              <w:bottom w:val="single" w:sz="4" w:space="0" w:color="000000"/>
            </w:tcBorders>
          </w:tcPr>
          <w:p>
            <w:pPr>
              <w:pStyle w:val="TableParagraph"/>
              <w:spacing w:before="7"/>
              <w:ind w:right="177"/>
              <w:jc w:val="right"/>
              <w:rPr>
                <w:sz w:val="21"/>
              </w:rPr>
            </w:pPr>
            <w:r>
              <w:rPr>
                <w:sz w:val="21"/>
              </w:rPr>
              <w:t>68,231,758.92</w:t>
            </w:r>
          </w:p>
        </w:tc>
      </w:tr>
      <w:tr>
        <w:trPr>
          <w:trHeight w:val="273" w:hRule="atLeast"/>
        </w:trPr>
        <w:tc>
          <w:tcPr>
            <w:tcW w:w="2871" w:type="dxa"/>
            <w:tcBorders>
              <w:top w:val="single" w:sz="4" w:space="0" w:color="000000"/>
              <w:bottom w:val="single" w:sz="4" w:space="0" w:color="000000"/>
              <w:right w:val="single" w:sz="4" w:space="0" w:color="000000"/>
            </w:tcBorders>
          </w:tcPr>
          <w:p>
            <w:pPr>
              <w:pStyle w:val="TableParagraph"/>
              <w:spacing w:line="252" w:lineRule="exact" w:before="1"/>
              <w:ind w:left="30"/>
              <w:rPr>
                <w:rFonts w:ascii="宋体" w:eastAsia="宋体" w:hint="eastAsia"/>
                <w:sz w:val="21"/>
              </w:rPr>
            </w:pPr>
            <w:r>
              <w:rPr>
                <w:rFonts w:ascii="宋体" w:eastAsia="宋体" w:hint="eastAsia"/>
                <w:sz w:val="21"/>
              </w:rPr>
              <w:t>保证借款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3020" w:type="dxa"/>
            <w:tcBorders>
              <w:top w:val="single" w:sz="4" w:space="0" w:color="000000"/>
              <w:left w:val="single" w:sz="4" w:space="0" w:color="000000"/>
              <w:bottom w:val="single" w:sz="4" w:space="0" w:color="000000"/>
            </w:tcBorders>
          </w:tcPr>
          <w:p>
            <w:pPr>
              <w:pStyle w:val="TableParagraph"/>
              <w:spacing w:before="10"/>
              <w:ind w:right="177"/>
              <w:jc w:val="right"/>
              <w:rPr>
                <w:sz w:val="21"/>
              </w:rPr>
            </w:pPr>
            <w:r>
              <w:rPr>
                <w:sz w:val="21"/>
              </w:rPr>
              <w:t>3,505,822,164.08</w:t>
            </w:r>
          </w:p>
        </w:tc>
      </w:tr>
      <w:tr>
        <w:trPr>
          <w:trHeight w:val="271" w:hRule="atLeast"/>
        </w:trPr>
        <w:tc>
          <w:tcPr>
            <w:tcW w:w="2871" w:type="dxa"/>
            <w:tcBorders>
              <w:top w:val="single" w:sz="4" w:space="0" w:color="000000"/>
              <w:bottom w:val="single" w:sz="4" w:space="0" w:color="000000"/>
              <w:right w:val="single" w:sz="4" w:space="0" w:color="000000"/>
            </w:tcBorders>
          </w:tcPr>
          <w:p>
            <w:pPr>
              <w:pStyle w:val="TableParagraph"/>
              <w:spacing w:line="250" w:lineRule="exact" w:before="1"/>
              <w:ind w:left="30"/>
              <w:rPr>
                <w:rFonts w:ascii="宋体" w:eastAsia="宋体" w:hint="eastAsia"/>
                <w:sz w:val="21"/>
              </w:rPr>
            </w:pPr>
            <w:r>
              <w:rPr>
                <w:rFonts w:ascii="宋体" w:eastAsia="宋体" w:hint="eastAsia"/>
                <w:sz w:val="21"/>
              </w:rPr>
              <w:t>信用借款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before="8"/>
              <w:ind w:right="187"/>
              <w:jc w:val="right"/>
              <w:rPr>
                <w:sz w:val="21"/>
              </w:rPr>
            </w:pPr>
            <w:r>
              <w:rPr>
                <w:sz w:val="21"/>
              </w:rPr>
              <w:t>7,200,328,217.00</w:t>
            </w:r>
          </w:p>
        </w:tc>
        <w:tc>
          <w:tcPr>
            <w:tcW w:w="3020" w:type="dxa"/>
            <w:tcBorders>
              <w:top w:val="single" w:sz="4" w:space="0" w:color="000000"/>
              <w:left w:val="single" w:sz="4" w:space="0" w:color="000000"/>
              <w:bottom w:val="single" w:sz="4" w:space="0" w:color="000000"/>
            </w:tcBorders>
          </w:tcPr>
          <w:p>
            <w:pPr>
              <w:pStyle w:val="TableParagraph"/>
              <w:spacing w:before="8"/>
              <w:ind w:right="177"/>
              <w:jc w:val="right"/>
              <w:rPr>
                <w:sz w:val="21"/>
              </w:rPr>
            </w:pPr>
            <w:r>
              <w:rPr>
                <w:sz w:val="21"/>
              </w:rPr>
              <w:t>4,838,896,196.25</w:t>
            </w:r>
          </w:p>
        </w:tc>
      </w:tr>
      <w:tr>
        <w:trPr>
          <w:trHeight w:val="273" w:hRule="atLeast"/>
        </w:trPr>
        <w:tc>
          <w:tcPr>
            <w:tcW w:w="2871" w:type="dxa"/>
            <w:tcBorders>
              <w:top w:val="single" w:sz="4" w:space="0" w:color="000000"/>
              <w:bottom w:val="single" w:sz="4" w:space="0" w:color="000000"/>
              <w:right w:val="single" w:sz="4" w:space="0" w:color="000000"/>
            </w:tcBorders>
          </w:tcPr>
          <w:p>
            <w:pPr>
              <w:pStyle w:val="TableParagraph"/>
              <w:spacing w:line="250" w:lineRule="exact" w:before="3"/>
              <w:ind w:left="30"/>
              <w:rPr>
                <w:rFonts w:ascii="宋体" w:eastAsia="宋体" w:hint="eastAsia"/>
                <w:sz w:val="21"/>
              </w:rPr>
            </w:pPr>
            <w:r>
              <w:rPr>
                <w:rFonts w:ascii="宋体" w:eastAsia="宋体" w:hint="eastAsia"/>
                <w:sz w:val="21"/>
              </w:rPr>
              <w:t>短期借款应付利息</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before="10"/>
              <w:ind w:right="187"/>
              <w:jc w:val="right"/>
              <w:rPr>
                <w:sz w:val="21"/>
              </w:rPr>
            </w:pPr>
            <w:r>
              <w:rPr>
                <w:sz w:val="21"/>
              </w:rPr>
              <w:t>15,481,918.52</w:t>
            </w:r>
          </w:p>
        </w:tc>
        <w:tc>
          <w:tcPr>
            <w:tcW w:w="3020" w:type="dxa"/>
            <w:tcBorders>
              <w:top w:val="single" w:sz="4" w:space="0" w:color="000000"/>
              <w:left w:val="single" w:sz="4" w:space="0" w:color="000000"/>
              <w:bottom w:val="single" w:sz="4" w:space="0" w:color="000000"/>
            </w:tcBorders>
          </w:tcPr>
          <w:p>
            <w:pPr>
              <w:pStyle w:val="TableParagraph"/>
              <w:rPr>
                <w:sz w:val="20"/>
              </w:rPr>
            </w:pPr>
          </w:p>
        </w:tc>
      </w:tr>
      <w:tr>
        <w:trPr>
          <w:trHeight w:val="270" w:hRule="atLeast"/>
        </w:trPr>
        <w:tc>
          <w:tcPr>
            <w:tcW w:w="2871" w:type="dxa"/>
            <w:tcBorders>
              <w:top w:val="single" w:sz="4" w:space="0" w:color="000000"/>
              <w:right w:val="single" w:sz="4" w:space="0" w:color="000000"/>
            </w:tcBorders>
          </w:tcPr>
          <w:p>
            <w:pPr>
              <w:pStyle w:val="TableParagraph"/>
              <w:spacing w:line="249" w:lineRule="exact" w:before="1"/>
              <w:ind w:left="1204" w:right="1182"/>
              <w:jc w:val="center"/>
              <w:rPr>
                <w:rFonts w:ascii="宋体" w:eastAsia="宋体" w:hint="eastAsia"/>
                <w:sz w:val="21"/>
              </w:rPr>
            </w:pPr>
            <w:r>
              <w:rPr>
                <w:rFonts w:ascii="宋体" w:eastAsia="宋体" w:hint="eastAsia"/>
                <w:sz w:val="21"/>
              </w:rPr>
              <w:t>合计</w:t>
            </w:r>
          </w:p>
        </w:tc>
        <w:tc>
          <w:tcPr>
            <w:tcW w:w="3005" w:type="dxa"/>
            <w:tcBorders>
              <w:top w:val="single" w:sz="4" w:space="0" w:color="000000"/>
              <w:left w:val="single" w:sz="4" w:space="0" w:color="000000"/>
              <w:right w:val="single" w:sz="4" w:space="0" w:color="000000"/>
            </w:tcBorders>
          </w:tcPr>
          <w:p>
            <w:pPr>
              <w:pStyle w:val="TableParagraph"/>
              <w:spacing w:line="240" w:lineRule="exact" w:before="10"/>
              <w:ind w:right="187"/>
              <w:jc w:val="right"/>
              <w:rPr>
                <w:sz w:val="21"/>
              </w:rPr>
            </w:pPr>
            <w:r>
              <w:rPr>
                <w:sz w:val="21"/>
              </w:rPr>
              <w:t>7,687,908,165.88</w:t>
            </w:r>
          </w:p>
        </w:tc>
        <w:tc>
          <w:tcPr>
            <w:tcW w:w="3020" w:type="dxa"/>
            <w:tcBorders>
              <w:top w:val="single" w:sz="4" w:space="0" w:color="000000"/>
              <w:left w:val="single" w:sz="4" w:space="0" w:color="000000"/>
            </w:tcBorders>
          </w:tcPr>
          <w:p>
            <w:pPr>
              <w:pStyle w:val="TableParagraph"/>
              <w:spacing w:line="240" w:lineRule="exact" w:before="10"/>
              <w:ind w:right="177"/>
              <w:jc w:val="right"/>
              <w:rPr>
                <w:sz w:val="21"/>
              </w:rPr>
            </w:pPr>
            <w:r>
              <w:rPr>
                <w:sz w:val="21"/>
              </w:rPr>
              <w:t>8,585,049,237.18</w:t>
            </w:r>
          </w:p>
        </w:tc>
      </w:tr>
    </w:tbl>
    <w:p>
      <w:pPr>
        <w:pStyle w:val="BodyText"/>
        <w:spacing w:before="9"/>
        <w:rPr>
          <w:sz w:val="17"/>
        </w:rPr>
      </w:pPr>
    </w:p>
    <w:p>
      <w:pPr>
        <w:pStyle w:val="Heading4"/>
        <w:spacing w:before="10"/>
      </w:pPr>
      <w:r>
        <w:rPr>
          <w:rFonts w:ascii="Times New Roman" w:eastAsia="Times New Roman"/>
        </w:rPr>
        <w:t>25</w:t>
      </w:r>
      <w:r>
        <w:rPr/>
        <w:t>、 交易性金融负债</w:t>
      </w:r>
    </w:p>
    <w:p>
      <w:pPr>
        <w:pStyle w:val="BodyText"/>
        <w:spacing w:before="14" w:after="4"/>
        <w:ind w:left="1538"/>
      </w:pPr>
      <w:r>
        <w:rPr>
          <w:w w:val="100"/>
        </w:rPr>
        <w:t> </w:t>
      </w: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481"/>
        <w:gridCol w:w="2782"/>
        <w:gridCol w:w="2787"/>
      </w:tblGrid>
      <w:tr>
        <w:trPr>
          <w:trHeight w:val="368" w:hRule="atLeast"/>
        </w:trPr>
        <w:tc>
          <w:tcPr>
            <w:tcW w:w="3481" w:type="dxa"/>
            <w:tcBorders>
              <w:bottom w:val="single" w:sz="4" w:space="0" w:color="000000"/>
              <w:right w:val="single" w:sz="4" w:space="0" w:color="000000"/>
            </w:tcBorders>
          </w:tcPr>
          <w:p>
            <w:pPr>
              <w:pStyle w:val="TableParagraph"/>
              <w:spacing w:line="349" w:lineRule="exact"/>
              <w:ind w:right="1508"/>
              <w:jc w:val="right"/>
              <w:rPr>
                <w:rFonts w:ascii="Microsoft JhengHei" w:eastAsia="Microsoft JhengHei" w:hint="eastAsia"/>
                <w:b/>
                <w:sz w:val="21"/>
              </w:rPr>
            </w:pPr>
            <w:r>
              <w:rPr>
                <w:rFonts w:ascii="Microsoft JhengHei" w:eastAsia="Microsoft JhengHei" w:hint="eastAsia"/>
                <w:b/>
                <w:sz w:val="21"/>
              </w:rPr>
              <w:t>项目</w:t>
            </w:r>
          </w:p>
        </w:tc>
        <w:tc>
          <w:tcPr>
            <w:tcW w:w="2782" w:type="dxa"/>
            <w:tcBorders>
              <w:left w:val="single" w:sz="4" w:space="0" w:color="000000"/>
              <w:bottom w:val="single" w:sz="4" w:space="0" w:color="000000"/>
              <w:right w:val="single" w:sz="4" w:space="0" w:color="000000"/>
            </w:tcBorders>
          </w:tcPr>
          <w:p>
            <w:pPr>
              <w:pStyle w:val="TableParagraph"/>
              <w:spacing w:line="349" w:lineRule="exact"/>
              <w:ind w:left="960" w:right="931"/>
              <w:jc w:val="center"/>
              <w:rPr>
                <w:rFonts w:ascii="Microsoft JhengHei" w:eastAsia="Microsoft JhengHei" w:hint="eastAsia"/>
                <w:b/>
                <w:sz w:val="21"/>
              </w:rPr>
            </w:pPr>
            <w:r>
              <w:rPr>
                <w:rFonts w:ascii="Microsoft JhengHei" w:eastAsia="Microsoft JhengHei" w:hint="eastAsia"/>
                <w:b/>
                <w:sz w:val="21"/>
              </w:rPr>
              <w:t>期末余额</w:t>
            </w:r>
          </w:p>
        </w:tc>
        <w:tc>
          <w:tcPr>
            <w:tcW w:w="2787" w:type="dxa"/>
            <w:tcBorders>
              <w:left w:val="single" w:sz="4" w:space="0" w:color="000000"/>
              <w:bottom w:val="single" w:sz="4" w:space="0" w:color="000000"/>
            </w:tcBorders>
          </w:tcPr>
          <w:p>
            <w:pPr>
              <w:pStyle w:val="TableParagraph"/>
              <w:spacing w:line="349" w:lineRule="exact"/>
              <w:ind w:left="963" w:right="923"/>
              <w:jc w:val="center"/>
              <w:rPr>
                <w:rFonts w:ascii="Microsoft JhengHei" w:eastAsia="Microsoft JhengHei" w:hint="eastAsia"/>
                <w:b/>
                <w:sz w:val="21"/>
              </w:rPr>
            </w:pPr>
            <w:r>
              <w:rPr>
                <w:rFonts w:ascii="Microsoft JhengHei" w:eastAsia="Microsoft JhengHei" w:hint="eastAsia"/>
                <w:b/>
                <w:sz w:val="21"/>
              </w:rPr>
              <w:t>期初余额</w:t>
            </w:r>
          </w:p>
        </w:tc>
      </w:tr>
      <w:tr>
        <w:trPr>
          <w:trHeight w:val="369" w:hRule="atLeast"/>
        </w:trPr>
        <w:tc>
          <w:tcPr>
            <w:tcW w:w="3481"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远期外汇买卖合约</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26,952,508.66</w:t>
            </w:r>
          </w:p>
        </w:tc>
        <w:tc>
          <w:tcPr>
            <w:tcW w:w="2787"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42,799,173.35</w:t>
            </w:r>
          </w:p>
        </w:tc>
      </w:tr>
      <w:tr>
        <w:trPr>
          <w:trHeight w:val="366" w:hRule="atLeast"/>
        </w:trPr>
        <w:tc>
          <w:tcPr>
            <w:tcW w:w="3481" w:type="dxa"/>
            <w:tcBorders>
              <w:top w:val="single" w:sz="4" w:space="0" w:color="000000"/>
              <w:right w:val="single" w:sz="4" w:space="0" w:color="000000"/>
            </w:tcBorders>
          </w:tcPr>
          <w:p>
            <w:pPr>
              <w:pStyle w:val="TableParagraph"/>
              <w:spacing w:before="49"/>
              <w:ind w:right="1508"/>
              <w:jc w:val="right"/>
              <w:rPr>
                <w:rFonts w:ascii="宋体" w:eastAsia="宋体" w:hint="eastAsia"/>
                <w:sz w:val="21"/>
              </w:rPr>
            </w:pPr>
            <w:r>
              <w:rPr>
                <w:rFonts w:ascii="宋体" w:eastAsia="宋体" w:hint="eastAsia"/>
                <w:sz w:val="21"/>
              </w:rPr>
              <w:t>合计</w:t>
            </w:r>
          </w:p>
        </w:tc>
        <w:tc>
          <w:tcPr>
            <w:tcW w:w="2782" w:type="dxa"/>
            <w:tcBorders>
              <w:top w:val="single" w:sz="4" w:space="0" w:color="000000"/>
              <w:left w:val="single" w:sz="4" w:space="0" w:color="000000"/>
              <w:right w:val="single" w:sz="4" w:space="0" w:color="000000"/>
            </w:tcBorders>
          </w:tcPr>
          <w:p>
            <w:pPr>
              <w:pStyle w:val="TableParagraph"/>
              <w:spacing w:before="58"/>
              <w:ind w:right="84"/>
              <w:jc w:val="right"/>
              <w:rPr>
                <w:sz w:val="21"/>
              </w:rPr>
            </w:pPr>
            <w:r>
              <w:rPr>
                <w:sz w:val="21"/>
              </w:rPr>
              <w:t>26,952,508.66</w:t>
            </w:r>
          </w:p>
        </w:tc>
        <w:tc>
          <w:tcPr>
            <w:tcW w:w="2787" w:type="dxa"/>
            <w:tcBorders>
              <w:top w:val="single" w:sz="4" w:space="0" w:color="000000"/>
              <w:left w:val="single" w:sz="4" w:space="0" w:color="000000"/>
            </w:tcBorders>
          </w:tcPr>
          <w:p>
            <w:pPr>
              <w:pStyle w:val="TableParagraph"/>
              <w:spacing w:before="58"/>
              <w:ind w:right="74"/>
              <w:jc w:val="right"/>
              <w:rPr>
                <w:sz w:val="21"/>
              </w:rPr>
            </w:pPr>
            <w:r>
              <w:rPr>
                <w:sz w:val="21"/>
              </w:rPr>
              <w:t>42,799,173.35</w:t>
            </w:r>
          </w:p>
        </w:tc>
      </w:tr>
    </w:tbl>
    <w:p>
      <w:pPr>
        <w:spacing w:after="0"/>
        <w:jc w:val="right"/>
        <w:rPr>
          <w:sz w:val="21"/>
        </w:rPr>
        <w:sectPr>
          <w:pgSz w:w="11910" w:h="16840"/>
          <w:pgMar w:header="876" w:footer="1192" w:top="1440" w:bottom="1400" w:left="260" w:right="0"/>
        </w:sectPr>
      </w:pPr>
    </w:p>
    <w:p>
      <w:pPr>
        <w:pStyle w:val="BodyText"/>
        <w:spacing w:line="267" w:lineRule="exact" w:before="3"/>
        <w:ind w:left="1538"/>
      </w:pPr>
      <w:r>
        <w:rPr>
          <w:w w:val="100"/>
        </w:rPr>
        <w:t> </w:t>
      </w:r>
    </w:p>
    <w:p>
      <w:pPr>
        <w:pStyle w:val="Heading4"/>
        <w:spacing w:line="384" w:lineRule="exact"/>
      </w:pPr>
      <w:r>
        <w:rPr>
          <w:rFonts w:ascii="Times New Roman" w:eastAsia="Times New Roman"/>
        </w:rPr>
        <w:t>26</w:t>
      </w:r>
      <w:r>
        <w:rPr/>
        <w:t>、 衍生金融负债</w:t>
      </w:r>
    </w:p>
    <w:p>
      <w:pPr>
        <w:pStyle w:val="BodyText"/>
        <w:spacing w:before="15"/>
        <w:ind w:left="1538"/>
      </w:pPr>
      <w:r>
        <w:rPr/>
        <w:t>√适用 □不适用</w:t>
      </w:r>
    </w:p>
    <w:p>
      <w:pPr>
        <w:pStyle w:val="BodyText"/>
        <w:rPr>
          <w:sz w:val="20"/>
        </w:rPr>
      </w:pPr>
      <w:r>
        <w:rPr/>
        <w:br w:type="column"/>
      </w:r>
      <w:r>
        <w:rPr>
          <w:sz w:val="20"/>
        </w:rPr>
      </w:r>
    </w:p>
    <w:p>
      <w:pPr>
        <w:pStyle w:val="BodyText"/>
        <w:rPr>
          <w:sz w:val="20"/>
        </w:rPr>
      </w:pPr>
    </w:p>
    <w:p>
      <w:pPr>
        <w:pStyle w:val="BodyText"/>
        <w:rPr>
          <w:sz w:val="20"/>
        </w:rPr>
      </w:pPr>
    </w:p>
    <w:p>
      <w:pPr>
        <w:pStyle w:val="BodyText"/>
        <w:tabs>
          <w:tab w:pos="2589" w:val="left" w:leader="none"/>
        </w:tabs>
        <w:spacing w:before="174"/>
        <w:ind w:left="1538"/>
      </w:pPr>
      <w:r>
        <w:rPr/>
        <w:t>单位：元</w:t>
        <w:tab/>
        <w:t>币</w:t>
      </w:r>
      <w:r>
        <w:rPr>
          <w:spacing w:val="-3"/>
        </w:rPr>
        <w:t>种</w:t>
      </w:r>
      <w:r>
        <w:rPr/>
        <w:t>：</w:t>
      </w:r>
      <w:r>
        <w:rPr>
          <w:spacing w:val="-3"/>
        </w:rPr>
        <w:t>人</w:t>
      </w:r>
      <w:r>
        <w:rPr/>
        <w:t>民币</w:t>
      </w:r>
    </w:p>
    <w:p>
      <w:pPr>
        <w:spacing w:after="0"/>
        <w:sectPr>
          <w:type w:val="continuous"/>
          <w:pgSz w:w="11910" w:h="16840"/>
          <w:pgMar w:top="1360" w:bottom="1400" w:left="260" w:right="0"/>
          <w:cols w:num="2" w:equalWidth="0">
            <w:col w:w="3350" w:space="3172"/>
            <w:col w:w="5128"/>
          </w:cols>
        </w:sect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301"/>
        <w:gridCol w:w="2905"/>
        <w:gridCol w:w="2845"/>
      </w:tblGrid>
      <w:tr>
        <w:trPr>
          <w:trHeight w:val="272" w:hRule="atLeast"/>
        </w:trPr>
        <w:tc>
          <w:tcPr>
            <w:tcW w:w="3301" w:type="dxa"/>
            <w:tcBorders>
              <w:bottom w:val="single" w:sz="4" w:space="0" w:color="000000"/>
              <w:right w:val="single" w:sz="4" w:space="0" w:color="000000"/>
            </w:tcBorders>
          </w:tcPr>
          <w:p>
            <w:pPr>
              <w:pStyle w:val="TableParagraph"/>
              <w:spacing w:line="253" w:lineRule="exact"/>
              <w:ind w:right="1419"/>
              <w:jc w:val="right"/>
              <w:rPr>
                <w:rFonts w:ascii="Microsoft JhengHei" w:eastAsia="Microsoft JhengHei" w:hint="eastAsia"/>
                <w:b/>
                <w:sz w:val="21"/>
              </w:rPr>
            </w:pPr>
            <w:r>
              <w:rPr>
                <w:rFonts w:ascii="Microsoft JhengHei" w:eastAsia="Microsoft JhengHei" w:hint="eastAsia"/>
                <w:b/>
                <w:sz w:val="21"/>
              </w:rPr>
              <w:t>项目</w:t>
            </w:r>
          </w:p>
        </w:tc>
        <w:tc>
          <w:tcPr>
            <w:tcW w:w="2905" w:type="dxa"/>
            <w:tcBorders>
              <w:left w:val="single" w:sz="4" w:space="0" w:color="000000"/>
              <w:bottom w:val="single" w:sz="4" w:space="0" w:color="000000"/>
              <w:right w:val="single" w:sz="4" w:space="0" w:color="000000"/>
            </w:tcBorders>
          </w:tcPr>
          <w:p>
            <w:pPr>
              <w:pStyle w:val="TableParagraph"/>
              <w:spacing w:line="253" w:lineRule="exact"/>
              <w:ind w:left="1018" w:right="996"/>
              <w:jc w:val="center"/>
              <w:rPr>
                <w:rFonts w:ascii="Microsoft JhengHei" w:eastAsia="Microsoft JhengHei" w:hint="eastAsia"/>
                <w:b/>
                <w:sz w:val="21"/>
              </w:rPr>
            </w:pPr>
            <w:r>
              <w:rPr>
                <w:rFonts w:ascii="Microsoft JhengHei" w:eastAsia="Microsoft JhengHei" w:hint="eastAsia"/>
                <w:b/>
                <w:sz w:val="21"/>
              </w:rPr>
              <w:t>期末余额</w:t>
            </w:r>
          </w:p>
        </w:tc>
        <w:tc>
          <w:tcPr>
            <w:tcW w:w="2845" w:type="dxa"/>
            <w:tcBorders>
              <w:left w:val="single" w:sz="4" w:space="0" w:color="000000"/>
              <w:bottom w:val="single" w:sz="4" w:space="0" w:color="000000"/>
            </w:tcBorders>
          </w:tcPr>
          <w:p>
            <w:pPr>
              <w:pStyle w:val="TableParagraph"/>
              <w:spacing w:line="253" w:lineRule="exact"/>
              <w:ind w:left="992" w:right="953"/>
              <w:jc w:val="center"/>
              <w:rPr>
                <w:rFonts w:ascii="Microsoft JhengHei" w:eastAsia="Microsoft JhengHei" w:hint="eastAsia"/>
                <w:b/>
                <w:sz w:val="21"/>
              </w:rPr>
            </w:pPr>
            <w:r>
              <w:rPr>
                <w:rFonts w:ascii="Microsoft JhengHei" w:eastAsia="Microsoft JhengHei" w:hint="eastAsia"/>
                <w:b/>
                <w:sz w:val="21"/>
              </w:rPr>
              <w:t>期初余额</w:t>
            </w:r>
          </w:p>
        </w:tc>
      </w:tr>
      <w:tr>
        <w:trPr>
          <w:trHeight w:val="273" w:hRule="atLeast"/>
        </w:trPr>
        <w:tc>
          <w:tcPr>
            <w:tcW w:w="3301"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远期外汇买卖合约</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before="10"/>
              <w:ind w:right="87"/>
              <w:jc w:val="right"/>
              <w:rPr>
                <w:sz w:val="21"/>
              </w:rPr>
            </w:pPr>
            <w:r>
              <w:rPr>
                <w:sz w:val="21"/>
              </w:rPr>
              <w:t>188,695,788.30</w:t>
            </w:r>
          </w:p>
        </w:tc>
        <w:tc>
          <w:tcPr>
            <w:tcW w:w="2845" w:type="dxa"/>
            <w:tcBorders>
              <w:top w:val="single" w:sz="4" w:space="0" w:color="000000"/>
              <w:left w:val="single" w:sz="4" w:space="0" w:color="000000"/>
              <w:bottom w:val="single" w:sz="4" w:space="0" w:color="000000"/>
            </w:tcBorders>
          </w:tcPr>
          <w:p>
            <w:pPr>
              <w:pStyle w:val="TableParagraph"/>
              <w:spacing w:before="10"/>
              <w:ind w:right="75"/>
              <w:jc w:val="right"/>
              <w:rPr>
                <w:sz w:val="21"/>
              </w:rPr>
            </w:pPr>
            <w:r>
              <w:rPr>
                <w:sz w:val="21"/>
              </w:rPr>
              <w:t>85,557,428.14</w:t>
            </w:r>
          </w:p>
        </w:tc>
      </w:tr>
      <w:tr>
        <w:trPr>
          <w:trHeight w:val="273" w:hRule="atLeast"/>
        </w:trPr>
        <w:tc>
          <w:tcPr>
            <w:tcW w:w="3301"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利率互换协议</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before="10"/>
              <w:ind w:right="87"/>
              <w:jc w:val="right"/>
              <w:rPr>
                <w:sz w:val="21"/>
              </w:rPr>
            </w:pPr>
            <w:r>
              <w:rPr>
                <w:sz w:val="21"/>
              </w:rPr>
              <w:t>50,886,744.60</w:t>
            </w:r>
          </w:p>
        </w:tc>
        <w:tc>
          <w:tcPr>
            <w:tcW w:w="2845" w:type="dxa"/>
            <w:tcBorders>
              <w:top w:val="single" w:sz="4" w:space="0" w:color="000000"/>
              <w:left w:val="single" w:sz="4" w:space="0" w:color="000000"/>
              <w:bottom w:val="single" w:sz="4" w:space="0" w:color="000000"/>
            </w:tcBorders>
          </w:tcPr>
          <w:p>
            <w:pPr>
              <w:pStyle w:val="TableParagraph"/>
              <w:spacing w:before="10"/>
              <w:ind w:right="75"/>
              <w:jc w:val="right"/>
              <w:rPr>
                <w:sz w:val="21"/>
              </w:rPr>
            </w:pPr>
            <w:r>
              <w:rPr>
                <w:sz w:val="21"/>
              </w:rPr>
              <w:t>13,991,425.83</w:t>
            </w:r>
          </w:p>
        </w:tc>
      </w:tr>
      <w:tr>
        <w:trPr>
          <w:trHeight w:val="270" w:hRule="atLeast"/>
        </w:trPr>
        <w:tc>
          <w:tcPr>
            <w:tcW w:w="3301" w:type="dxa"/>
            <w:tcBorders>
              <w:top w:val="single" w:sz="4" w:space="0" w:color="000000"/>
              <w:right w:val="single" w:sz="4" w:space="0" w:color="000000"/>
            </w:tcBorders>
          </w:tcPr>
          <w:p>
            <w:pPr>
              <w:pStyle w:val="TableParagraph"/>
              <w:spacing w:line="249" w:lineRule="exact" w:before="1"/>
              <w:ind w:right="1417"/>
              <w:jc w:val="right"/>
              <w:rPr>
                <w:rFonts w:ascii="宋体" w:eastAsia="宋体" w:hint="eastAsia"/>
                <w:sz w:val="21"/>
              </w:rPr>
            </w:pPr>
            <w:r>
              <w:rPr>
                <w:rFonts w:ascii="宋体" w:eastAsia="宋体" w:hint="eastAsia"/>
                <w:sz w:val="21"/>
              </w:rPr>
              <w:t>合计</w:t>
            </w:r>
          </w:p>
        </w:tc>
        <w:tc>
          <w:tcPr>
            <w:tcW w:w="2905" w:type="dxa"/>
            <w:tcBorders>
              <w:top w:val="single" w:sz="4" w:space="0" w:color="000000"/>
              <w:left w:val="single" w:sz="4" w:space="0" w:color="000000"/>
              <w:right w:val="single" w:sz="4" w:space="0" w:color="000000"/>
            </w:tcBorders>
          </w:tcPr>
          <w:p>
            <w:pPr>
              <w:pStyle w:val="TableParagraph"/>
              <w:spacing w:before="7"/>
              <w:ind w:right="87"/>
              <w:jc w:val="right"/>
              <w:rPr>
                <w:sz w:val="21"/>
              </w:rPr>
            </w:pPr>
            <w:r>
              <w:rPr>
                <w:sz w:val="21"/>
              </w:rPr>
              <w:t>239,582,532.90</w:t>
            </w:r>
          </w:p>
        </w:tc>
        <w:tc>
          <w:tcPr>
            <w:tcW w:w="2845" w:type="dxa"/>
            <w:tcBorders>
              <w:top w:val="single" w:sz="4" w:space="0" w:color="000000"/>
              <w:left w:val="single" w:sz="4" w:space="0" w:color="000000"/>
            </w:tcBorders>
          </w:tcPr>
          <w:p>
            <w:pPr>
              <w:pStyle w:val="TableParagraph"/>
              <w:spacing w:before="7"/>
              <w:ind w:right="75"/>
              <w:jc w:val="right"/>
              <w:rPr>
                <w:sz w:val="21"/>
              </w:rPr>
            </w:pPr>
            <w:r>
              <w:rPr>
                <w:sz w:val="21"/>
              </w:rPr>
              <w:t>99,548,853.97</w:t>
            </w:r>
          </w:p>
        </w:tc>
      </w:tr>
    </w:tbl>
    <w:p>
      <w:pPr>
        <w:pStyle w:val="BodyText"/>
        <w:spacing w:before="7"/>
        <w:rPr>
          <w:sz w:val="17"/>
        </w:rPr>
      </w:pPr>
    </w:p>
    <w:p>
      <w:pPr>
        <w:spacing w:after="0"/>
        <w:rPr>
          <w:sz w:val="17"/>
        </w:rPr>
        <w:sectPr>
          <w:type w:val="continuous"/>
          <w:pgSz w:w="11910" w:h="16840"/>
          <w:pgMar w:top="1360" w:bottom="1400" w:left="260" w:right="0"/>
        </w:sectPr>
      </w:pPr>
    </w:p>
    <w:p>
      <w:pPr>
        <w:pStyle w:val="Heading4"/>
        <w:spacing w:before="9"/>
      </w:pPr>
      <w:r>
        <w:rPr>
          <w:rFonts w:ascii="Times New Roman" w:eastAsia="Times New Roman"/>
        </w:rPr>
        <w:t>27</w:t>
      </w:r>
      <w:r>
        <w:rPr/>
        <w:t>、 应付票据</w:t>
      </w:r>
    </w:p>
    <w:p>
      <w:pPr>
        <w:pStyle w:val="BodyText"/>
        <w:spacing w:before="17"/>
        <w:ind w:left="1538"/>
      </w:pPr>
      <w:r>
        <w:rPr/>
        <w:t>√适用 □不适用</w:t>
      </w:r>
    </w:p>
    <w:p>
      <w:pPr>
        <w:pStyle w:val="BodyText"/>
        <w:rPr>
          <w:sz w:val="20"/>
        </w:rPr>
      </w:pPr>
      <w:r>
        <w:rPr/>
        <w:br w:type="column"/>
      </w:r>
      <w:r>
        <w:rPr>
          <w:sz w:val="20"/>
        </w:rPr>
      </w:r>
    </w:p>
    <w:p>
      <w:pPr>
        <w:pStyle w:val="BodyText"/>
        <w:rPr>
          <w:sz w:val="20"/>
        </w:rPr>
      </w:pPr>
    </w:p>
    <w:p>
      <w:pPr>
        <w:pStyle w:val="BodyText"/>
        <w:tabs>
          <w:tab w:pos="2589" w:val="left" w:leader="none"/>
        </w:tabs>
        <w:spacing w:before="171"/>
        <w:ind w:left="1538"/>
      </w:pPr>
      <w:r>
        <w:rPr/>
        <w:t>单位：元</w:t>
        <w:tab/>
        <w:t>币</w:t>
      </w:r>
      <w:r>
        <w:rPr>
          <w:spacing w:val="-3"/>
        </w:rPr>
        <w:t>种</w:t>
      </w:r>
      <w:r>
        <w:rPr/>
        <w:t>：</w:t>
      </w:r>
      <w:r>
        <w:rPr>
          <w:spacing w:val="-3"/>
        </w:rPr>
        <w:t>人</w:t>
      </w:r>
      <w:r>
        <w:rPr/>
        <w:t>民币</w:t>
      </w:r>
    </w:p>
    <w:p>
      <w:pPr>
        <w:spacing w:after="0"/>
        <w:sectPr>
          <w:type w:val="continuous"/>
          <w:pgSz w:w="11910" w:h="16840"/>
          <w:pgMar w:top="1360" w:bottom="1400" w:left="260" w:right="0"/>
          <w:cols w:num="2" w:equalWidth="0">
            <w:col w:w="3155" w:space="3366"/>
            <w:col w:w="5129"/>
          </w:cols>
        </w:sectPr>
      </w:pPr>
    </w:p>
    <w:p>
      <w:pPr>
        <w:pStyle w:val="BodyText"/>
        <w:spacing w:before="2"/>
        <w:rPr>
          <w:sz w:val="5"/>
        </w:r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53"/>
        <w:gridCol w:w="3397"/>
        <w:gridCol w:w="3301"/>
      </w:tblGrid>
      <w:tr>
        <w:trPr>
          <w:trHeight w:val="273" w:hRule="atLeast"/>
        </w:trPr>
        <w:tc>
          <w:tcPr>
            <w:tcW w:w="2353" w:type="dxa"/>
            <w:tcBorders>
              <w:bottom w:val="single" w:sz="4" w:space="0" w:color="000000"/>
              <w:right w:val="single" w:sz="4" w:space="0" w:color="000000"/>
            </w:tcBorders>
          </w:tcPr>
          <w:p>
            <w:pPr>
              <w:pStyle w:val="TableParagraph"/>
              <w:spacing w:line="253" w:lineRule="exact"/>
              <w:ind w:right="944"/>
              <w:jc w:val="right"/>
              <w:rPr>
                <w:rFonts w:ascii="Microsoft JhengHei" w:eastAsia="Microsoft JhengHei" w:hint="eastAsia"/>
                <w:b/>
                <w:sz w:val="21"/>
              </w:rPr>
            </w:pPr>
            <w:r>
              <w:rPr>
                <w:rFonts w:ascii="Microsoft JhengHei" w:eastAsia="Microsoft JhengHei" w:hint="eastAsia"/>
                <w:b/>
                <w:sz w:val="21"/>
              </w:rPr>
              <w:t>种类</w:t>
            </w:r>
          </w:p>
        </w:tc>
        <w:tc>
          <w:tcPr>
            <w:tcW w:w="3397" w:type="dxa"/>
            <w:tcBorders>
              <w:left w:val="single" w:sz="4" w:space="0" w:color="000000"/>
              <w:bottom w:val="single" w:sz="4" w:space="0" w:color="000000"/>
              <w:right w:val="single" w:sz="4" w:space="0" w:color="000000"/>
            </w:tcBorders>
          </w:tcPr>
          <w:p>
            <w:pPr>
              <w:pStyle w:val="TableParagraph"/>
              <w:spacing w:line="253" w:lineRule="exact"/>
              <w:ind w:left="1265" w:right="1241"/>
              <w:jc w:val="center"/>
              <w:rPr>
                <w:rFonts w:ascii="Microsoft JhengHei" w:eastAsia="Microsoft JhengHei" w:hint="eastAsia"/>
                <w:b/>
                <w:sz w:val="21"/>
              </w:rPr>
            </w:pPr>
            <w:r>
              <w:rPr>
                <w:rFonts w:ascii="Microsoft JhengHei" w:eastAsia="Microsoft JhengHei" w:hint="eastAsia"/>
                <w:b/>
                <w:sz w:val="21"/>
              </w:rPr>
              <w:t>期末余额</w:t>
            </w:r>
          </w:p>
        </w:tc>
        <w:tc>
          <w:tcPr>
            <w:tcW w:w="3301" w:type="dxa"/>
            <w:tcBorders>
              <w:left w:val="single" w:sz="4" w:space="0" w:color="000000"/>
              <w:bottom w:val="single" w:sz="4" w:space="0" w:color="000000"/>
            </w:tcBorders>
          </w:tcPr>
          <w:p>
            <w:pPr>
              <w:pStyle w:val="TableParagraph"/>
              <w:spacing w:line="253" w:lineRule="exact"/>
              <w:ind w:left="1219" w:right="1181"/>
              <w:jc w:val="center"/>
              <w:rPr>
                <w:rFonts w:ascii="Microsoft JhengHei" w:eastAsia="Microsoft JhengHei" w:hint="eastAsia"/>
                <w:b/>
                <w:sz w:val="21"/>
              </w:rPr>
            </w:pPr>
            <w:r>
              <w:rPr>
                <w:rFonts w:ascii="Microsoft JhengHei" w:eastAsia="Microsoft JhengHei" w:hint="eastAsia"/>
                <w:b/>
                <w:sz w:val="21"/>
              </w:rPr>
              <w:t>期初余额</w:t>
            </w:r>
          </w:p>
        </w:tc>
      </w:tr>
      <w:tr>
        <w:trPr>
          <w:trHeight w:val="273" w:hRule="atLeast"/>
        </w:trPr>
        <w:tc>
          <w:tcPr>
            <w:tcW w:w="2353" w:type="dxa"/>
            <w:tcBorders>
              <w:top w:val="single" w:sz="4" w:space="0" w:color="000000"/>
              <w:bottom w:val="single" w:sz="4" w:space="0" w:color="000000"/>
              <w:right w:val="single" w:sz="4" w:space="0" w:color="000000"/>
            </w:tcBorders>
          </w:tcPr>
          <w:p>
            <w:pPr>
              <w:pStyle w:val="TableParagraph"/>
              <w:spacing w:line="250" w:lineRule="exact" w:before="3"/>
              <w:ind w:right="961"/>
              <w:jc w:val="right"/>
              <w:rPr>
                <w:rFonts w:ascii="宋体" w:eastAsia="宋体" w:hint="eastAsia"/>
                <w:sz w:val="21"/>
              </w:rPr>
            </w:pPr>
            <w:r>
              <w:rPr>
                <w:rFonts w:ascii="宋体" w:eastAsia="宋体" w:hint="eastAsia"/>
                <w:sz w:val="21"/>
              </w:rPr>
              <w:t>商业承兑汇票</w:t>
            </w: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sz w:val="21"/>
              </w:rPr>
            </w:pPr>
            <w:r>
              <w:rPr>
                <w:sz w:val="21"/>
              </w:rPr>
              <w:t>2,710,903,499.32</w:t>
            </w:r>
          </w:p>
        </w:tc>
        <w:tc>
          <w:tcPr>
            <w:tcW w:w="3301" w:type="dxa"/>
            <w:tcBorders>
              <w:top w:val="single" w:sz="4" w:space="0" w:color="000000"/>
              <w:left w:val="single" w:sz="4" w:space="0" w:color="000000"/>
              <w:bottom w:val="single" w:sz="4" w:space="0" w:color="000000"/>
            </w:tcBorders>
          </w:tcPr>
          <w:p>
            <w:pPr>
              <w:pStyle w:val="TableParagraph"/>
              <w:spacing w:line="237" w:lineRule="exact"/>
              <w:ind w:right="75"/>
              <w:jc w:val="right"/>
              <w:rPr>
                <w:sz w:val="21"/>
              </w:rPr>
            </w:pPr>
            <w:r>
              <w:rPr>
                <w:sz w:val="21"/>
              </w:rPr>
              <w:t>2,237,116,468.45</w:t>
            </w:r>
          </w:p>
        </w:tc>
      </w:tr>
      <w:tr>
        <w:trPr>
          <w:trHeight w:val="273" w:hRule="atLeast"/>
        </w:trPr>
        <w:tc>
          <w:tcPr>
            <w:tcW w:w="2353" w:type="dxa"/>
            <w:tcBorders>
              <w:top w:val="single" w:sz="4" w:space="0" w:color="000000"/>
              <w:bottom w:val="single" w:sz="4" w:space="0" w:color="000000"/>
              <w:right w:val="single" w:sz="4" w:space="0" w:color="000000"/>
            </w:tcBorders>
          </w:tcPr>
          <w:p>
            <w:pPr>
              <w:pStyle w:val="TableParagraph"/>
              <w:spacing w:line="252" w:lineRule="exact" w:before="1"/>
              <w:ind w:right="961"/>
              <w:jc w:val="right"/>
              <w:rPr>
                <w:rFonts w:ascii="宋体" w:eastAsia="宋体" w:hint="eastAsia"/>
                <w:sz w:val="21"/>
              </w:rPr>
            </w:pPr>
            <w:r>
              <w:rPr>
                <w:rFonts w:ascii="宋体" w:eastAsia="宋体" w:hint="eastAsia"/>
                <w:sz w:val="21"/>
              </w:rPr>
              <w:t>银行承兑汇票</w:t>
            </w: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sz w:val="21"/>
              </w:rPr>
            </w:pPr>
            <w:r>
              <w:rPr>
                <w:sz w:val="21"/>
              </w:rPr>
              <w:t>18,525,153,554.35</w:t>
            </w:r>
          </w:p>
        </w:tc>
        <w:tc>
          <w:tcPr>
            <w:tcW w:w="3301" w:type="dxa"/>
            <w:tcBorders>
              <w:top w:val="single" w:sz="4" w:space="0" w:color="000000"/>
              <w:left w:val="single" w:sz="4" w:space="0" w:color="000000"/>
              <w:bottom w:val="single" w:sz="4" w:space="0" w:color="000000"/>
            </w:tcBorders>
          </w:tcPr>
          <w:p>
            <w:pPr>
              <w:pStyle w:val="TableParagraph"/>
              <w:spacing w:line="235" w:lineRule="exact"/>
              <w:ind w:right="75"/>
              <w:jc w:val="right"/>
              <w:rPr>
                <w:sz w:val="21"/>
              </w:rPr>
            </w:pPr>
            <w:r>
              <w:rPr>
                <w:sz w:val="21"/>
              </w:rPr>
              <w:t>17,071,422,308.47</w:t>
            </w:r>
          </w:p>
        </w:tc>
      </w:tr>
      <w:tr>
        <w:trPr>
          <w:trHeight w:val="270" w:hRule="atLeast"/>
        </w:trPr>
        <w:tc>
          <w:tcPr>
            <w:tcW w:w="2353" w:type="dxa"/>
            <w:tcBorders>
              <w:top w:val="single" w:sz="4" w:space="0" w:color="000000"/>
              <w:right w:val="single" w:sz="4" w:space="0" w:color="000000"/>
            </w:tcBorders>
          </w:tcPr>
          <w:p>
            <w:pPr>
              <w:pStyle w:val="TableParagraph"/>
              <w:spacing w:line="249" w:lineRule="exact" w:before="1"/>
              <w:ind w:right="944"/>
              <w:jc w:val="right"/>
              <w:rPr>
                <w:rFonts w:ascii="宋体" w:eastAsia="宋体" w:hint="eastAsia"/>
                <w:sz w:val="21"/>
              </w:rPr>
            </w:pPr>
            <w:r>
              <w:rPr>
                <w:rFonts w:ascii="宋体" w:eastAsia="宋体" w:hint="eastAsia"/>
                <w:sz w:val="21"/>
              </w:rPr>
              <w:t>合计</w:t>
            </w:r>
          </w:p>
        </w:tc>
        <w:tc>
          <w:tcPr>
            <w:tcW w:w="3397" w:type="dxa"/>
            <w:tcBorders>
              <w:top w:val="single" w:sz="4" w:space="0" w:color="000000"/>
              <w:left w:val="single" w:sz="4" w:space="0" w:color="000000"/>
              <w:right w:val="single" w:sz="4" w:space="0" w:color="000000"/>
            </w:tcBorders>
          </w:tcPr>
          <w:p>
            <w:pPr>
              <w:pStyle w:val="TableParagraph"/>
              <w:spacing w:line="235" w:lineRule="exact"/>
              <w:ind w:right="87"/>
              <w:jc w:val="right"/>
              <w:rPr>
                <w:sz w:val="21"/>
              </w:rPr>
            </w:pPr>
            <w:r>
              <w:rPr>
                <w:sz w:val="21"/>
              </w:rPr>
              <w:t>21,236,057,053.67</w:t>
            </w:r>
          </w:p>
        </w:tc>
        <w:tc>
          <w:tcPr>
            <w:tcW w:w="3301" w:type="dxa"/>
            <w:tcBorders>
              <w:top w:val="single" w:sz="4" w:space="0" w:color="000000"/>
              <w:left w:val="single" w:sz="4" w:space="0" w:color="000000"/>
            </w:tcBorders>
          </w:tcPr>
          <w:p>
            <w:pPr>
              <w:pStyle w:val="TableParagraph"/>
              <w:spacing w:line="235" w:lineRule="exact"/>
              <w:ind w:right="75"/>
              <w:jc w:val="right"/>
              <w:rPr>
                <w:sz w:val="21"/>
              </w:rPr>
            </w:pPr>
            <w:r>
              <w:rPr>
                <w:sz w:val="21"/>
              </w:rPr>
              <w:t>19,308,538,776.92</w:t>
            </w:r>
          </w:p>
        </w:tc>
      </w:tr>
    </w:tbl>
    <w:p>
      <w:pPr>
        <w:pStyle w:val="BodyText"/>
        <w:spacing w:line="265" w:lineRule="exact" w:before="4"/>
        <w:ind w:left="1538"/>
      </w:pPr>
      <w:r>
        <w:rPr>
          <w:w w:val="100"/>
        </w:rPr>
        <w:t> </w:t>
      </w:r>
    </w:p>
    <w:p>
      <w:pPr>
        <w:pStyle w:val="Heading4"/>
        <w:spacing w:line="383" w:lineRule="exact"/>
      </w:pPr>
      <w:r>
        <w:rPr>
          <w:rFonts w:ascii="Times New Roman" w:eastAsia="Times New Roman"/>
        </w:rPr>
        <w:t>28</w:t>
      </w:r>
      <w:r>
        <w:rPr/>
        <w:t>、 应付账款</w:t>
      </w:r>
    </w:p>
    <w:p>
      <w:pPr>
        <w:pStyle w:val="BodyText"/>
        <w:spacing w:before="17"/>
        <w:ind w:left="1538"/>
      </w:pPr>
      <w:r>
        <w:rPr/>
        <w:t>√适用 □不适用</w:t>
      </w:r>
    </w:p>
    <w:p>
      <w:pPr>
        <w:pStyle w:val="BodyText"/>
        <w:tabs>
          <w:tab w:pos="9111" w:val="left" w:leader="none"/>
        </w:tabs>
        <w:spacing w:before="2" w:after="4"/>
        <w:ind w:left="8059"/>
      </w:pPr>
      <w:r>
        <w:rPr/>
        <w:t>单位：元</w:t>
        <w:tab/>
        <w:t>币</w:t>
      </w:r>
      <w:r>
        <w:rPr>
          <w:spacing w:val="-3"/>
        </w:rPr>
        <w:t>种</w:t>
      </w:r>
      <w:r>
        <w:rPr/>
        <w:t>：</w:t>
      </w:r>
      <w:r>
        <w:rPr>
          <w:spacing w:val="-3"/>
        </w:rPr>
        <w:t>人</w:t>
      </w:r>
      <w:r>
        <w:rPr/>
        <w:t>民币</w:t>
      </w: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842"/>
        <w:gridCol w:w="2866"/>
        <w:gridCol w:w="3341"/>
      </w:tblGrid>
      <w:tr>
        <w:trPr>
          <w:trHeight w:val="272" w:hRule="atLeast"/>
        </w:trPr>
        <w:tc>
          <w:tcPr>
            <w:tcW w:w="2842" w:type="dxa"/>
            <w:tcBorders>
              <w:bottom w:val="single" w:sz="4" w:space="0" w:color="000000"/>
              <w:right w:val="single" w:sz="4" w:space="0" w:color="000000"/>
            </w:tcBorders>
          </w:tcPr>
          <w:p>
            <w:pPr>
              <w:pStyle w:val="TableParagraph"/>
              <w:spacing w:line="253" w:lineRule="exact"/>
              <w:ind w:right="1188"/>
              <w:jc w:val="right"/>
              <w:rPr>
                <w:rFonts w:ascii="Microsoft JhengHei" w:eastAsia="Microsoft JhengHei" w:hint="eastAsia"/>
                <w:b/>
                <w:sz w:val="21"/>
              </w:rPr>
            </w:pPr>
            <w:r>
              <w:rPr>
                <w:rFonts w:ascii="Microsoft JhengHei" w:eastAsia="Microsoft JhengHei" w:hint="eastAsia"/>
                <w:b/>
                <w:sz w:val="21"/>
              </w:rPr>
              <w:t>项目</w:t>
            </w:r>
          </w:p>
        </w:tc>
        <w:tc>
          <w:tcPr>
            <w:tcW w:w="2866" w:type="dxa"/>
            <w:tcBorders>
              <w:left w:val="single" w:sz="4" w:space="0" w:color="000000"/>
              <w:bottom w:val="single" w:sz="4" w:space="0" w:color="000000"/>
              <w:right w:val="single" w:sz="4" w:space="0" w:color="000000"/>
            </w:tcBorders>
          </w:tcPr>
          <w:p>
            <w:pPr>
              <w:pStyle w:val="TableParagraph"/>
              <w:spacing w:line="253" w:lineRule="exact"/>
              <w:ind w:left="1002" w:right="974"/>
              <w:jc w:val="center"/>
              <w:rPr>
                <w:rFonts w:ascii="Microsoft JhengHei" w:eastAsia="Microsoft JhengHei" w:hint="eastAsia"/>
                <w:b/>
                <w:sz w:val="21"/>
              </w:rPr>
            </w:pPr>
            <w:r>
              <w:rPr>
                <w:rFonts w:ascii="Microsoft JhengHei" w:eastAsia="Microsoft JhengHei" w:hint="eastAsia"/>
                <w:b/>
                <w:sz w:val="21"/>
              </w:rPr>
              <w:t>期末余额</w:t>
            </w:r>
          </w:p>
        </w:tc>
        <w:tc>
          <w:tcPr>
            <w:tcW w:w="3341" w:type="dxa"/>
            <w:tcBorders>
              <w:left w:val="single" w:sz="4" w:space="0" w:color="000000"/>
              <w:bottom w:val="single" w:sz="4" w:space="0" w:color="000000"/>
            </w:tcBorders>
          </w:tcPr>
          <w:p>
            <w:pPr>
              <w:pStyle w:val="TableParagraph"/>
              <w:spacing w:line="253" w:lineRule="exact"/>
              <w:ind w:left="1239" w:right="1201"/>
              <w:jc w:val="center"/>
              <w:rPr>
                <w:rFonts w:ascii="Microsoft JhengHei" w:eastAsia="Microsoft JhengHei" w:hint="eastAsia"/>
                <w:b/>
                <w:sz w:val="21"/>
              </w:rPr>
            </w:pPr>
            <w:r>
              <w:rPr>
                <w:rFonts w:ascii="Microsoft JhengHei" w:eastAsia="Microsoft JhengHei" w:hint="eastAsia"/>
                <w:b/>
                <w:sz w:val="21"/>
              </w:rPr>
              <w:t>期初余额</w:t>
            </w:r>
          </w:p>
        </w:tc>
      </w:tr>
      <w:tr>
        <w:trPr>
          <w:trHeight w:val="270" w:hRule="atLeast"/>
        </w:trPr>
        <w:tc>
          <w:tcPr>
            <w:tcW w:w="2842"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应付账款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before="7"/>
              <w:ind w:right="84"/>
              <w:jc w:val="right"/>
              <w:rPr>
                <w:sz w:val="21"/>
              </w:rPr>
            </w:pPr>
            <w:r>
              <w:rPr>
                <w:sz w:val="21"/>
              </w:rPr>
              <w:t>36,302,971,944.48</w:t>
            </w:r>
          </w:p>
        </w:tc>
        <w:tc>
          <w:tcPr>
            <w:tcW w:w="3341" w:type="dxa"/>
            <w:tcBorders>
              <w:top w:val="single" w:sz="4" w:space="0" w:color="000000"/>
              <w:left w:val="single" w:sz="4" w:space="0" w:color="000000"/>
              <w:bottom w:val="single" w:sz="4" w:space="0" w:color="000000"/>
            </w:tcBorders>
          </w:tcPr>
          <w:p>
            <w:pPr>
              <w:pStyle w:val="TableParagraph"/>
              <w:spacing w:before="7"/>
              <w:ind w:right="73"/>
              <w:jc w:val="right"/>
              <w:rPr>
                <w:sz w:val="21"/>
              </w:rPr>
            </w:pPr>
            <w:r>
              <w:rPr>
                <w:sz w:val="21"/>
              </w:rPr>
              <w:t>33,750,567,046.28</w:t>
            </w:r>
          </w:p>
        </w:tc>
      </w:tr>
      <w:tr>
        <w:trPr>
          <w:trHeight w:val="270" w:hRule="atLeast"/>
        </w:trPr>
        <w:tc>
          <w:tcPr>
            <w:tcW w:w="2842" w:type="dxa"/>
            <w:tcBorders>
              <w:top w:val="single" w:sz="4" w:space="0" w:color="000000"/>
              <w:right w:val="single" w:sz="4" w:space="0" w:color="000000"/>
            </w:tcBorders>
          </w:tcPr>
          <w:p>
            <w:pPr>
              <w:pStyle w:val="TableParagraph"/>
              <w:spacing w:line="247" w:lineRule="exact" w:before="3"/>
              <w:ind w:right="1188"/>
              <w:jc w:val="right"/>
              <w:rPr>
                <w:rFonts w:ascii="宋体" w:eastAsia="宋体" w:hint="eastAsia"/>
                <w:sz w:val="21"/>
              </w:rPr>
            </w:pPr>
            <w:r>
              <w:rPr>
                <w:rFonts w:ascii="宋体" w:eastAsia="宋体" w:hint="eastAsia"/>
                <w:sz w:val="21"/>
              </w:rPr>
              <w:t>合计</w:t>
            </w:r>
          </w:p>
        </w:tc>
        <w:tc>
          <w:tcPr>
            <w:tcW w:w="2866" w:type="dxa"/>
            <w:tcBorders>
              <w:top w:val="single" w:sz="4" w:space="0" w:color="000000"/>
              <w:left w:val="single" w:sz="4" w:space="0" w:color="000000"/>
              <w:right w:val="single" w:sz="4" w:space="0" w:color="000000"/>
            </w:tcBorders>
          </w:tcPr>
          <w:p>
            <w:pPr>
              <w:pStyle w:val="TableParagraph"/>
              <w:spacing w:line="240" w:lineRule="exact" w:before="10"/>
              <w:ind w:right="84"/>
              <w:jc w:val="right"/>
              <w:rPr>
                <w:sz w:val="21"/>
              </w:rPr>
            </w:pPr>
            <w:r>
              <w:rPr>
                <w:sz w:val="21"/>
              </w:rPr>
              <w:t>36,302,971,944.48</w:t>
            </w:r>
          </w:p>
        </w:tc>
        <w:tc>
          <w:tcPr>
            <w:tcW w:w="3341" w:type="dxa"/>
            <w:tcBorders>
              <w:top w:val="single" w:sz="4" w:space="0" w:color="000000"/>
              <w:left w:val="single" w:sz="4" w:space="0" w:color="000000"/>
            </w:tcBorders>
          </w:tcPr>
          <w:p>
            <w:pPr>
              <w:pStyle w:val="TableParagraph"/>
              <w:spacing w:line="240" w:lineRule="exact" w:before="10"/>
              <w:ind w:right="73"/>
              <w:jc w:val="right"/>
              <w:rPr>
                <w:sz w:val="21"/>
              </w:rPr>
            </w:pPr>
            <w:r>
              <w:rPr>
                <w:sz w:val="21"/>
              </w:rPr>
              <w:t>33,750,567,046.28</w:t>
            </w:r>
          </w:p>
        </w:tc>
      </w:tr>
    </w:tbl>
    <w:p>
      <w:pPr>
        <w:pStyle w:val="BodyText"/>
        <w:spacing w:before="3"/>
        <w:ind w:left="1538"/>
      </w:pPr>
      <w:r>
        <w:rPr/>
        <w:t>期末账面余额主要为未支付的材料款、设备款和劳务款。 </w:t>
      </w:r>
    </w:p>
    <w:p>
      <w:pPr>
        <w:pStyle w:val="BodyText"/>
        <w:spacing w:before="12"/>
        <w:rPr>
          <w:sz w:val="17"/>
        </w:rPr>
      </w:pPr>
    </w:p>
    <w:p>
      <w:pPr>
        <w:pStyle w:val="Heading4"/>
        <w:spacing w:before="9"/>
      </w:pPr>
      <w:r>
        <w:rPr>
          <w:rFonts w:ascii="Times New Roman" w:eastAsia="Times New Roman"/>
        </w:rPr>
        <w:t>29</w:t>
      </w:r>
      <w:r>
        <w:rPr/>
        <w:t>、 合同负债</w:t>
      </w:r>
    </w:p>
    <w:p>
      <w:pPr>
        <w:pStyle w:val="BodyText"/>
        <w:spacing w:before="14"/>
        <w:ind w:left="1538"/>
      </w:pPr>
      <w:r>
        <w:rPr/>
        <w:t>√适用 □不适用</w:t>
      </w:r>
    </w:p>
    <w:p>
      <w:pPr>
        <w:pStyle w:val="BodyText"/>
        <w:tabs>
          <w:tab w:pos="9111" w:val="left" w:leader="none"/>
        </w:tabs>
        <w:spacing w:before="5"/>
        <w:ind w:left="8059"/>
      </w:pPr>
      <w:r>
        <w:rPr/>
        <w:t>单位：元</w:t>
        <w:tab/>
        <w:t>币</w:t>
      </w:r>
      <w:r>
        <w:rPr>
          <w:spacing w:val="-3"/>
        </w:rPr>
        <w:t>种</w:t>
      </w:r>
      <w:r>
        <w:rPr/>
        <w:t>：</w:t>
      </w:r>
      <w:r>
        <w:rPr>
          <w:spacing w:val="-3"/>
        </w:rPr>
        <w:t>人</w:t>
      </w:r>
      <w:r>
        <w:rPr/>
        <w:t>民币</w:t>
      </w: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900"/>
        <w:gridCol w:w="3077"/>
        <w:gridCol w:w="3072"/>
      </w:tblGrid>
      <w:tr>
        <w:trPr>
          <w:trHeight w:val="272" w:hRule="atLeast"/>
        </w:trPr>
        <w:tc>
          <w:tcPr>
            <w:tcW w:w="2900" w:type="dxa"/>
            <w:tcBorders>
              <w:bottom w:val="single" w:sz="4" w:space="0" w:color="000000"/>
              <w:right w:val="single" w:sz="4" w:space="0" w:color="000000"/>
            </w:tcBorders>
          </w:tcPr>
          <w:p>
            <w:pPr>
              <w:pStyle w:val="TableParagraph"/>
              <w:spacing w:line="253" w:lineRule="exact"/>
              <w:ind w:right="1217"/>
              <w:jc w:val="right"/>
              <w:rPr>
                <w:rFonts w:ascii="Microsoft JhengHei" w:eastAsia="Microsoft JhengHei" w:hint="eastAsia"/>
                <w:b/>
                <w:sz w:val="21"/>
              </w:rPr>
            </w:pPr>
            <w:r>
              <w:rPr>
                <w:rFonts w:ascii="Microsoft JhengHei" w:eastAsia="Microsoft JhengHei" w:hint="eastAsia"/>
                <w:b/>
                <w:sz w:val="21"/>
              </w:rPr>
              <w:t>项目</w:t>
            </w:r>
          </w:p>
        </w:tc>
        <w:tc>
          <w:tcPr>
            <w:tcW w:w="3077" w:type="dxa"/>
            <w:tcBorders>
              <w:left w:val="single" w:sz="4" w:space="0" w:color="000000"/>
              <w:bottom w:val="single" w:sz="4" w:space="0" w:color="000000"/>
              <w:right w:val="single" w:sz="4" w:space="0" w:color="000000"/>
            </w:tcBorders>
          </w:tcPr>
          <w:p>
            <w:pPr>
              <w:pStyle w:val="TableParagraph"/>
              <w:spacing w:line="253" w:lineRule="exact"/>
              <w:ind w:left="1107" w:right="1079"/>
              <w:jc w:val="center"/>
              <w:rPr>
                <w:rFonts w:ascii="Microsoft JhengHei" w:eastAsia="Microsoft JhengHei" w:hint="eastAsia"/>
                <w:b/>
                <w:sz w:val="21"/>
              </w:rPr>
            </w:pPr>
            <w:r>
              <w:rPr>
                <w:rFonts w:ascii="Microsoft JhengHei" w:eastAsia="Microsoft JhengHei" w:hint="eastAsia"/>
                <w:b/>
                <w:sz w:val="21"/>
              </w:rPr>
              <w:t>期末余额</w:t>
            </w:r>
          </w:p>
        </w:tc>
        <w:tc>
          <w:tcPr>
            <w:tcW w:w="3072" w:type="dxa"/>
            <w:tcBorders>
              <w:left w:val="single" w:sz="4" w:space="0" w:color="000000"/>
              <w:bottom w:val="single" w:sz="4" w:space="0" w:color="000000"/>
            </w:tcBorders>
          </w:tcPr>
          <w:p>
            <w:pPr>
              <w:pStyle w:val="TableParagraph"/>
              <w:spacing w:line="253" w:lineRule="exact"/>
              <w:ind w:left="1105" w:right="1067"/>
              <w:jc w:val="center"/>
              <w:rPr>
                <w:rFonts w:ascii="Microsoft JhengHei" w:eastAsia="Microsoft JhengHei" w:hint="eastAsia"/>
                <w:b/>
                <w:sz w:val="21"/>
              </w:rPr>
            </w:pPr>
            <w:r>
              <w:rPr>
                <w:rFonts w:ascii="Microsoft JhengHei" w:eastAsia="Microsoft JhengHei" w:hint="eastAsia"/>
                <w:b/>
                <w:sz w:val="21"/>
              </w:rPr>
              <w:t>期初余额</w:t>
            </w:r>
          </w:p>
        </w:tc>
      </w:tr>
      <w:tr>
        <w:trPr>
          <w:trHeight w:val="273" w:hRule="atLeast"/>
        </w:trPr>
        <w:tc>
          <w:tcPr>
            <w:tcW w:w="2900"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合同负债</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before="10"/>
              <w:ind w:right="84"/>
              <w:jc w:val="right"/>
              <w:rPr>
                <w:sz w:val="21"/>
              </w:rPr>
            </w:pPr>
            <w:r>
              <w:rPr>
                <w:sz w:val="21"/>
              </w:rPr>
              <w:t>7,048,637,659.48</w:t>
            </w:r>
          </w:p>
        </w:tc>
        <w:tc>
          <w:tcPr>
            <w:tcW w:w="3072" w:type="dxa"/>
            <w:tcBorders>
              <w:top w:val="single" w:sz="4" w:space="0" w:color="000000"/>
              <w:left w:val="single" w:sz="4" w:space="0" w:color="000000"/>
              <w:bottom w:val="single" w:sz="4" w:space="0" w:color="000000"/>
            </w:tcBorders>
          </w:tcPr>
          <w:p>
            <w:pPr>
              <w:pStyle w:val="TableParagraph"/>
              <w:spacing w:before="10"/>
              <w:ind w:right="73"/>
              <w:jc w:val="right"/>
              <w:rPr>
                <w:sz w:val="21"/>
              </w:rPr>
            </w:pPr>
            <w:r>
              <w:rPr>
                <w:sz w:val="21"/>
              </w:rPr>
              <w:t>5,583,008,412.49</w:t>
            </w:r>
          </w:p>
        </w:tc>
      </w:tr>
      <w:tr>
        <w:trPr>
          <w:trHeight w:val="270" w:hRule="atLeast"/>
        </w:trPr>
        <w:tc>
          <w:tcPr>
            <w:tcW w:w="2900" w:type="dxa"/>
            <w:tcBorders>
              <w:top w:val="single" w:sz="4" w:space="0" w:color="000000"/>
              <w:right w:val="single" w:sz="4" w:space="0" w:color="000000"/>
            </w:tcBorders>
          </w:tcPr>
          <w:p>
            <w:pPr>
              <w:pStyle w:val="TableParagraph"/>
              <w:spacing w:line="249" w:lineRule="exact" w:before="1"/>
              <w:ind w:right="1217"/>
              <w:jc w:val="right"/>
              <w:rPr>
                <w:rFonts w:ascii="宋体" w:eastAsia="宋体" w:hint="eastAsia"/>
                <w:sz w:val="21"/>
              </w:rPr>
            </w:pPr>
            <w:r>
              <w:rPr>
                <w:rFonts w:ascii="宋体" w:eastAsia="宋体" w:hint="eastAsia"/>
                <w:sz w:val="21"/>
              </w:rPr>
              <w:t>合计</w:t>
            </w:r>
          </w:p>
        </w:tc>
        <w:tc>
          <w:tcPr>
            <w:tcW w:w="3077" w:type="dxa"/>
            <w:tcBorders>
              <w:top w:val="single" w:sz="4" w:space="0" w:color="000000"/>
              <w:left w:val="single" w:sz="4" w:space="0" w:color="000000"/>
              <w:right w:val="single" w:sz="4" w:space="0" w:color="000000"/>
            </w:tcBorders>
          </w:tcPr>
          <w:p>
            <w:pPr>
              <w:pStyle w:val="TableParagraph"/>
              <w:spacing w:before="7"/>
              <w:ind w:right="84"/>
              <w:jc w:val="right"/>
              <w:rPr>
                <w:sz w:val="21"/>
              </w:rPr>
            </w:pPr>
            <w:r>
              <w:rPr>
                <w:sz w:val="21"/>
              </w:rPr>
              <w:t>7,048,637,659.48</w:t>
            </w:r>
          </w:p>
        </w:tc>
        <w:tc>
          <w:tcPr>
            <w:tcW w:w="3072" w:type="dxa"/>
            <w:tcBorders>
              <w:top w:val="single" w:sz="4" w:space="0" w:color="000000"/>
              <w:left w:val="single" w:sz="4" w:space="0" w:color="000000"/>
            </w:tcBorders>
          </w:tcPr>
          <w:p>
            <w:pPr>
              <w:pStyle w:val="TableParagraph"/>
              <w:spacing w:before="7"/>
              <w:ind w:right="73"/>
              <w:jc w:val="right"/>
              <w:rPr>
                <w:sz w:val="21"/>
              </w:rPr>
            </w:pPr>
            <w:r>
              <w:rPr>
                <w:sz w:val="21"/>
              </w:rPr>
              <w:t>5,583,008,412.49</w:t>
            </w:r>
          </w:p>
        </w:tc>
      </w:tr>
    </w:tbl>
    <w:p>
      <w:pPr>
        <w:pStyle w:val="BodyText"/>
        <w:spacing w:before="3"/>
        <w:ind w:left="1538"/>
      </w:pPr>
      <w:r>
        <w:rPr/>
        <w:t>期末账面余额主要为预收货款。 </w:t>
      </w:r>
    </w:p>
    <w:p>
      <w:pPr>
        <w:pStyle w:val="BodyText"/>
        <w:spacing w:before="9"/>
        <w:rPr>
          <w:sz w:val="17"/>
        </w:rPr>
      </w:pPr>
    </w:p>
    <w:p>
      <w:pPr>
        <w:spacing w:after="0"/>
        <w:rPr>
          <w:sz w:val="17"/>
        </w:rPr>
        <w:sectPr>
          <w:pgSz w:w="11910" w:h="16840"/>
          <w:pgMar w:header="876" w:footer="1192" w:top="1440" w:bottom="1380" w:left="260" w:right="0"/>
        </w:sectPr>
      </w:pPr>
    </w:p>
    <w:p>
      <w:pPr>
        <w:pStyle w:val="Heading4"/>
        <w:spacing w:line="359" w:lineRule="exact" w:before="9"/>
      </w:pPr>
      <w:r>
        <w:rPr>
          <w:rFonts w:ascii="Times New Roman" w:eastAsia="Times New Roman"/>
        </w:rPr>
        <w:t>30</w:t>
      </w:r>
      <w:r>
        <w:rPr/>
        <w:t>、 应付职工薪酬</w:t>
      </w:r>
    </w:p>
    <w:p>
      <w:pPr>
        <w:pStyle w:val="Heading4"/>
        <w:numPr>
          <w:ilvl w:val="0"/>
          <w:numId w:val="61"/>
        </w:numPr>
        <w:tabs>
          <w:tab w:pos="1963" w:val="left" w:leader="none"/>
        </w:tabs>
        <w:spacing w:line="359" w:lineRule="exact" w:before="0" w:after="0"/>
        <w:ind w:left="1962" w:right="0" w:hanging="425"/>
        <w:jc w:val="left"/>
      </w:pPr>
      <w:r>
        <w:rPr/>
        <w:t>应付职工薪酬列示</w:t>
      </w:r>
    </w:p>
    <w:p>
      <w:pPr>
        <w:pStyle w:val="BodyText"/>
        <w:spacing w:before="16"/>
        <w:ind w:left="1538"/>
      </w:pPr>
      <w:r>
        <w:rPr/>
        <w:t>√适用 □不适用</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2"/>
        <w:rPr>
          <w:sz w:val="19"/>
        </w:rPr>
      </w:pPr>
    </w:p>
    <w:p>
      <w:pPr>
        <w:pStyle w:val="BodyText"/>
        <w:tabs>
          <w:tab w:pos="2589" w:val="left" w:leader="none"/>
        </w:tabs>
        <w:ind w:left="1538"/>
      </w:pPr>
      <w:r>
        <w:rPr/>
        <w:t>单位：元</w:t>
        <w:tab/>
        <w:t>币</w:t>
      </w:r>
      <w:r>
        <w:rPr>
          <w:spacing w:val="-3"/>
        </w:rPr>
        <w:t>种</w:t>
      </w:r>
      <w:r>
        <w:rPr/>
        <w:t>：</w:t>
      </w:r>
      <w:r>
        <w:rPr>
          <w:spacing w:val="-3"/>
        </w:rPr>
        <w:t>人</w:t>
      </w:r>
      <w:r>
        <w:rPr/>
        <w:t>民币</w:t>
      </w:r>
    </w:p>
    <w:p>
      <w:pPr>
        <w:spacing w:after="0"/>
        <w:sectPr>
          <w:type w:val="continuous"/>
          <w:pgSz w:w="11910" w:h="16840"/>
          <w:pgMar w:top="1360" w:bottom="1400" w:left="260" w:right="0"/>
          <w:cols w:num="2" w:equalWidth="0">
            <w:col w:w="3693" w:space="2829"/>
            <w:col w:w="5128"/>
          </w:cols>
        </w:sect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600"/>
        <w:gridCol w:w="1613"/>
        <w:gridCol w:w="1606"/>
        <w:gridCol w:w="1611"/>
        <w:gridCol w:w="1620"/>
      </w:tblGrid>
      <w:tr>
        <w:trPr>
          <w:trHeight w:val="234" w:hRule="atLeast"/>
        </w:trPr>
        <w:tc>
          <w:tcPr>
            <w:tcW w:w="2600" w:type="dxa"/>
            <w:tcBorders>
              <w:bottom w:val="single" w:sz="4" w:space="0" w:color="000000"/>
              <w:right w:val="single" w:sz="4" w:space="0" w:color="000000"/>
            </w:tcBorders>
          </w:tcPr>
          <w:p>
            <w:pPr>
              <w:pStyle w:val="TableParagraph"/>
              <w:spacing w:line="214" w:lineRule="exact"/>
              <w:ind w:left="1097" w:right="1077"/>
              <w:jc w:val="center"/>
              <w:rPr>
                <w:rFonts w:ascii="Microsoft JhengHei" w:eastAsia="Microsoft JhengHei" w:hint="eastAsia"/>
                <w:b/>
                <w:sz w:val="18"/>
              </w:rPr>
            </w:pPr>
            <w:r>
              <w:rPr>
                <w:rFonts w:ascii="Microsoft JhengHei" w:eastAsia="Microsoft JhengHei" w:hint="eastAsia"/>
                <w:b/>
                <w:sz w:val="18"/>
              </w:rPr>
              <w:t>项目</w:t>
            </w:r>
          </w:p>
        </w:tc>
        <w:tc>
          <w:tcPr>
            <w:tcW w:w="1613" w:type="dxa"/>
            <w:tcBorders>
              <w:left w:val="single" w:sz="4" w:space="0" w:color="000000"/>
              <w:bottom w:val="single" w:sz="4" w:space="0" w:color="000000"/>
              <w:right w:val="single" w:sz="4" w:space="0" w:color="000000"/>
            </w:tcBorders>
          </w:tcPr>
          <w:p>
            <w:pPr>
              <w:pStyle w:val="TableParagraph"/>
              <w:spacing w:line="214" w:lineRule="exact"/>
              <w:ind w:left="453"/>
              <w:rPr>
                <w:rFonts w:ascii="Microsoft JhengHei" w:eastAsia="Microsoft JhengHei" w:hint="eastAsia"/>
                <w:b/>
                <w:sz w:val="18"/>
              </w:rPr>
            </w:pPr>
            <w:r>
              <w:rPr>
                <w:rFonts w:ascii="Microsoft JhengHei" w:eastAsia="Microsoft JhengHei" w:hint="eastAsia"/>
                <w:b/>
                <w:sz w:val="18"/>
              </w:rPr>
              <w:t>期初余额</w:t>
            </w:r>
          </w:p>
        </w:tc>
        <w:tc>
          <w:tcPr>
            <w:tcW w:w="1606" w:type="dxa"/>
            <w:tcBorders>
              <w:left w:val="single" w:sz="4" w:space="0" w:color="000000"/>
              <w:bottom w:val="single" w:sz="4" w:space="0" w:color="000000"/>
              <w:right w:val="single" w:sz="4" w:space="0" w:color="000000"/>
            </w:tcBorders>
          </w:tcPr>
          <w:p>
            <w:pPr>
              <w:pStyle w:val="TableParagraph"/>
              <w:spacing w:line="214" w:lineRule="exact"/>
              <w:ind w:left="448"/>
              <w:rPr>
                <w:rFonts w:ascii="Microsoft JhengHei" w:eastAsia="Microsoft JhengHei" w:hint="eastAsia"/>
                <w:b/>
                <w:sz w:val="18"/>
              </w:rPr>
            </w:pPr>
            <w:r>
              <w:rPr>
                <w:rFonts w:ascii="Microsoft JhengHei" w:eastAsia="Microsoft JhengHei" w:hint="eastAsia"/>
                <w:b/>
                <w:sz w:val="18"/>
              </w:rPr>
              <w:t>本期增加</w:t>
            </w:r>
          </w:p>
        </w:tc>
        <w:tc>
          <w:tcPr>
            <w:tcW w:w="1611" w:type="dxa"/>
            <w:tcBorders>
              <w:left w:val="single" w:sz="4" w:space="0" w:color="000000"/>
              <w:bottom w:val="single" w:sz="4" w:space="0" w:color="000000"/>
              <w:right w:val="single" w:sz="4" w:space="0" w:color="000000"/>
            </w:tcBorders>
          </w:tcPr>
          <w:p>
            <w:pPr>
              <w:pStyle w:val="TableParagraph"/>
              <w:spacing w:line="214" w:lineRule="exact"/>
              <w:ind w:left="452"/>
              <w:rPr>
                <w:rFonts w:ascii="Microsoft JhengHei" w:eastAsia="Microsoft JhengHei" w:hint="eastAsia"/>
                <w:b/>
                <w:sz w:val="18"/>
              </w:rPr>
            </w:pPr>
            <w:r>
              <w:rPr>
                <w:rFonts w:ascii="Microsoft JhengHei" w:eastAsia="Microsoft JhengHei" w:hint="eastAsia"/>
                <w:b/>
                <w:sz w:val="18"/>
              </w:rPr>
              <w:t>本期减少</w:t>
            </w:r>
          </w:p>
        </w:tc>
        <w:tc>
          <w:tcPr>
            <w:tcW w:w="1620" w:type="dxa"/>
            <w:tcBorders>
              <w:left w:val="single" w:sz="4" w:space="0" w:color="000000"/>
              <w:bottom w:val="single" w:sz="4" w:space="0" w:color="000000"/>
            </w:tcBorders>
          </w:tcPr>
          <w:p>
            <w:pPr>
              <w:pStyle w:val="TableParagraph"/>
              <w:spacing w:line="214" w:lineRule="exact"/>
              <w:ind w:left="457"/>
              <w:rPr>
                <w:rFonts w:ascii="Microsoft JhengHei" w:eastAsia="Microsoft JhengHei" w:hint="eastAsia"/>
                <w:b/>
                <w:sz w:val="18"/>
              </w:rPr>
            </w:pPr>
            <w:r>
              <w:rPr>
                <w:rFonts w:ascii="Microsoft JhengHei" w:eastAsia="Microsoft JhengHei" w:hint="eastAsia"/>
                <w:b/>
                <w:sz w:val="18"/>
              </w:rPr>
              <w:t>期末余额</w:t>
            </w:r>
          </w:p>
        </w:tc>
      </w:tr>
      <w:tr>
        <w:trPr>
          <w:trHeight w:val="232" w:hRule="atLeast"/>
        </w:trPr>
        <w:tc>
          <w:tcPr>
            <w:tcW w:w="2600" w:type="dxa"/>
            <w:tcBorders>
              <w:top w:val="single" w:sz="4" w:space="0" w:color="000000"/>
              <w:bottom w:val="single" w:sz="4" w:space="0" w:color="000000"/>
              <w:right w:val="single" w:sz="4" w:space="0" w:color="000000"/>
            </w:tcBorders>
          </w:tcPr>
          <w:p>
            <w:pPr>
              <w:pStyle w:val="TableParagraph"/>
              <w:spacing w:line="212" w:lineRule="exact"/>
              <w:ind w:left="107"/>
              <w:rPr>
                <w:rFonts w:ascii="宋体" w:eastAsia="宋体" w:hint="eastAsia"/>
                <w:sz w:val="18"/>
              </w:rPr>
            </w:pPr>
            <w:r>
              <w:rPr>
                <w:rFonts w:ascii="宋体" w:eastAsia="宋体" w:hint="eastAsia"/>
                <w:sz w:val="18"/>
              </w:rPr>
              <w:t>一、短期薪酬</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89"/>
              <w:jc w:val="right"/>
              <w:rPr>
                <w:sz w:val="18"/>
              </w:rPr>
            </w:pPr>
            <w:r>
              <w:rPr>
                <w:sz w:val="18"/>
              </w:rPr>
              <w:t>2,978,630,280.51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87"/>
              <w:jc w:val="right"/>
              <w:rPr>
                <w:sz w:val="18"/>
              </w:rPr>
            </w:pPr>
            <w:r>
              <w:rPr>
                <w:sz w:val="18"/>
              </w:rPr>
              <w:t>22,277,098,918.32</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88"/>
              <w:jc w:val="right"/>
              <w:rPr>
                <w:sz w:val="18"/>
              </w:rPr>
            </w:pPr>
            <w:r>
              <w:rPr>
                <w:sz w:val="18"/>
              </w:rPr>
              <w:t>21,632,600,330.00</w:t>
            </w:r>
          </w:p>
        </w:tc>
        <w:tc>
          <w:tcPr>
            <w:tcW w:w="1620" w:type="dxa"/>
            <w:tcBorders>
              <w:top w:val="single" w:sz="4" w:space="0" w:color="000000"/>
              <w:left w:val="single" w:sz="4" w:space="0" w:color="000000"/>
              <w:bottom w:val="single" w:sz="4" w:space="0" w:color="000000"/>
            </w:tcBorders>
          </w:tcPr>
          <w:p>
            <w:pPr>
              <w:pStyle w:val="TableParagraph"/>
              <w:spacing w:line="202" w:lineRule="exact"/>
              <w:ind w:right="77"/>
              <w:jc w:val="right"/>
              <w:rPr>
                <w:sz w:val="18"/>
              </w:rPr>
            </w:pPr>
            <w:r>
              <w:rPr>
                <w:sz w:val="18"/>
              </w:rPr>
              <w:t>3,623,128,868.83</w:t>
            </w:r>
          </w:p>
        </w:tc>
      </w:tr>
      <w:tr>
        <w:trPr>
          <w:trHeight w:val="232" w:hRule="atLeast"/>
        </w:trPr>
        <w:tc>
          <w:tcPr>
            <w:tcW w:w="2600" w:type="dxa"/>
            <w:tcBorders>
              <w:top w:val="single" w:sz="4" w:space="0" w:color="000000"/>
              <w:bottom w:val="single" w:sz="4" w:space="0" w:color="000000"/>
              <w:right w:val="single" w:sz="4" w:space="0" w:color="000000"/>
            </w:tcBorders>
          </w:tcPr>
          <w:p>
            <w:pPr>
              <w:pStyle w:val="TableParagraph"/>
              <w:spacing w:line="212" w:lineRule="exact"/>
              <w:ind w:left="107"/>
              <w:rPr>
                <w:rFonts w:ascii="宋体" w:eastAsia="宋体" w:hint="eastAsia"/>
                <w:sz w:val="18"/>
              </w:rPr>
            </w:pPr>
            <w:r>
              <w:rPr>
                <w:rFonts w:ascii="宋体" w:eastAsia="宋体" w:hint="eastAsia"/>
                <w:sz w:val="18"/>
              </w:rPr>
              <w:t>二、离职后福利</w:t>
            </w:r>
            <w:r>
              <w:rPr>
                <w:sz w:val="18"/>
              </w:rPr>
              <w:t>-</w:t>
            </w:r>
            <w:r>
              <w:rPr>
                <w:rFonts w:ascii="宋体" w:eastAsia="宋体" w:hint="eastAsia"/>
                <w:sz w:val="18"/>
              </w:rPr>
              <w:t>设定提存计划</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89"/>
              <w:jc w:val="right"/>
              <w:rPr>
                <w:sz w:val="18"/>
              </w:rPr>
            </w:pPr>
            <w:r>
              <w:rPr>
                <w:sz w:val="18"/>
              </w:rPr>
              <w:t>27,079,985.45</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87"/>
              <w:jc w:val="right"/>
              <w:rPr>
                <w:sz w:val="18"/>
              </w:rPr>
            </w:pPr>
            <w:r>
              <w:rPr>
                <w:sz w:val="18"/>
              </w:rPr>
              <w:t>764,851,958.42</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87"/>
              <w:jc w:val="right"/>
              <w:rPr>
                <w:sz w:val="18"/>
              </w:rPr>
            </w:pPr>
            <w:r>
              <w:rPr>
                <w:sz w:val="18"/>
              </w:rPr>
              <w:t>770,896,585.26</w:t>
            </w:r>
          </w:p>
        </w:tc>
        <w:tc>
          <w:tcPr>
            <w:tcW w:w="1620" w:type="dxa"/>
            <w:tcBorders>
              <w:top w:val="single" w:sz="4" w:space="0" w:color="000000"/>
              <w:left w:val="single" w:sz="4" w:space="0" w:color="000000"/>
              <w:bottom w:val="single" w:sz="4" w:space="0" w:color="000000"/>
            </w:tcBorders>
          </w:tcPr>
          <w:p>
            <w:pPr>
              <w:pStyle w:val="TableParagraph"/>
              <w:spacing w:line="202" w:lineRule="exact"/>
              <w:ind w:right="77"/>
              <w:jc w:val="right"/>
              <w:rPr>
                <w:sz w:val="18"/>
              </w:rPr>
            </w:pPr>
            <w:r>
              <w:rPr>
                <w:sz w:val="18"/>
              </w:rPr>
              <w:t>21,035,358.61</w:t>
            </w:r>
          </w:p>
        </w:tc>
      </w:tr>
      <w:tr>
        <w:trPr>
          <w:trHeight w:val="234" w:hRule="atLeast"/>
        </w:trPr>
        <w:tc>
          <w:tcPr>
            <w:tcW w:w="2600" w:type="dxa"/>
            <w:tcBorders>
              <w:top w:val="single" w:sz="4" w:space="0" w:color="000000"/>
              <w:bottom w:val="single" w:sz="4" w:space="0" w:color="000000"/>
              <w:right w:val="single" w:sz="4" w:space="0" w:color="000000"/>
            </w:tcBorders>
          </w:tcPr>
          <w:p>
            <w:pPr>
              <w:pStyle w:val="TableParagraph"/>
              <w:spacing w:line="213" w:lineRule="exact" w:before="2"/>
              <w:ind w:left="107"/>
              <w:rPr>
                <w:rFonts w:ascii="宋体" w:eastAsia="宋体" w:hint="eastAsia"/>
                <w:sz w:val="18"/>
              </w:rPr>
            </w:pPr>
            <w:r>
              <w:rPr>
                <w:rFonts w:ascii="宋体" w:eastAsia="宋体" w:hint="eastAsia"/>
                <w:sz w:val="18"/>
              </w:rPr>
              <w:t>三、辞退福利</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9"/>
              <w:jc w:val="right"/>
              <w:rPr>
                <w:sz w:val="18"/>
              </w:rPr>
            </w:pPr>
            <w:r>
              <w:rPr>
                <w:sz w:val="18"/>
              </w:rPr>
              <w:t>9,818,188.41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6"/>
              <w:jc w:val="right"/>
              <w:rPr>
                <w:sz w:val="18"/>
              </w:rPr>
            </w:pPr>
            <w:r>
              <w:rPr>
                <w:sz w:val="18"/>
              </w:rPr>
              <w:t>2,061,623.44</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7"/>
              <w:jc w:val="right"/>
              <w:rPr>
                <w:sz w:val="18"/>
              </w:rPr>
            </w:pPr>
            <w:r>
              <w:rPr>
                <w:sz w:val="18"/>
              </w:rPr>
              <w:t>2,061,623.44</w:t>
            </w:r>
          </w:p>
        </w:tc>
        <w:tc>
          <w:tcPr>
            <w:tcW w:w="1620" w:type="dxa"/>
            <w:tcBorders>
              <w:top w:val="single" w:sz="4" w:space="0" w:color="000000"/>
              <w:left w:val="single" w:sz="4" w:space="0" w:color="000000"/>
              <w:bottom w:val="single" w:sz="4" w:space="0" w:color="000000"/>
            </w:tcBorders>
          </w:tcPr>
          <w:p>
            <w:pPr>
              <w:pStyle w:val="TableParagraph"/>
              <w:spacing w:line="204" w:lineRule="exact"/>
              <w:ind w:right="76"/>
              <w:jc w:val="right"/>
              <w:rPr>
                <w:sz w:val="18"/>
              </w:rPr>
            </w:pPr>
            <w:r>
              <w:rPr>
                <w:sz w:val="18"/>
              </w:rPr>
              <w:t>9,818,188.41</w:t>
            </w:r>
          </w:p>
        </w:tc>
      </w:tr>
      <w:tr>
        <w:trPr>
          <w:trHeight w:val="232" w:hRule="atLeast"/>
        </w:trPr>
        <w:tc>
          <w:tcPr>
            <w:tcW w:w="2600" w:type="dxa"/>
            <w:tcBorders>
              <w:top w:val="single" w:sz="4" w:space="0" w:color="000000"/>
              <w:bottom w:val="single" w:sz="4" w:space="0" w:color="000000"/>
              <w:right w:val="single" w:sz="4" w:space="0" w:color="000000"/>
            </w:tcBorders>
          </w:tcPr>
          <w:p>
            <w:pPr>
              <w:pStyle w:val="TableParagraph"/>
              <w:spacing w:line="212" w:lineRule="exact"/>
              <w:ind w:left="107"/>
              <w:rPr>
                <w:rFonts w:ascii="宋体" w:eastAsia="宋体" w:hint="eastAsia"/>
                <w:sz w:val="18"/>
              </w:rPr>
            </w:pPr>
            <w:r>
              <w:rPr>
                <w:rFonts w:ascii="宋体" w:eastAsia="宋体" w:hint="eastAsia"/>
                <w:sz w:val="18"/>
              </w:rPr>
              <w:t>四、一年内到期的其他福利</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89"/>
              <w:jc w:val="right"/>
              <w:rPr>
                <w:sz w:val="18"/>
              </w:rPr>
            </w:pPr>
            <w:r>
              <w:rPr>
                <w:sz w:val="18"/>
              </w:rPr>
              <w:t>140,043,962.93</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87"/>
              <w:jc w:val="right"/>
              <w:rPr>
                <w:sz w:val="18"/>
              </w:rPr>
            </w:pPr>
            <w:r>
              <w:rPr>
                <w:sz w:val="18"/>
              </w:rPr>
              <w:t>76,088,297.10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87"/>
              <w:jc w:val="right"/>
              <w:rPr>
                <w:sz w:val="18"/>
              </w:rPr>
            </w:pPr>
            <w:r>
              <w:rPr>
                <w:sz w:val="18"/>
              </w:rPr>
              <w:t>110,014,697.06</w:t>
            </w:r>
          </w:p>
        </w:tc>
        <w:tc>
          <w:tcPr>
            <w:tcW w:w="1620" w:type="dxa"/>
            <w:tcBorders>
              <w:top w:val="single" w:sz="4" w:space="0" w:color="000000"/>
              <w:left w:val="single" w:sz="4" w:space="0" w:color="000000"/>
              <w:bottom w:val="single" w:sz="4" w:space="0" w:color="000000"/>
            </w:tcBorders>
          </w:tcPr>
          <w:p>
            <w:pPr>
              <w:pStyle w:val="TableParagraph"/>
              <w:spacing w:line="202" w:lineRule="exact"/>
              <w:ind w:right="77"/>
              <w:jc w:val="right"/>
              <w:rPr>
                <w:sz w:val="18"/>
              </w:rPr>
            </w:pPr>
            <w:r>
              <w:rPr>
                <w:sz w:val="18"/>
              </w:rPr>
              <w:t>106,117,562.97</w:t>
            </w:r>
          </w:p>
        </w:tc>
      </w:tr>
      <w:tr>
        <w:trPr>
          <w:trHeight w:val="232" w:hRule="atLeast"/>
        </w:trPr>
        <w:tc>
          <w:tcPr>
            <w:tcW w:w="2600" w:type="dxa"/>
            <w:tcBorders>
              <w:top w:val="single" w:sz="4" w:space="0" w:color="000000"/>
              <w:right w:val="single" w:sz="4" w:space="0" w:color="000000"/>
            </w:tcBorders>
          </w:tcPr>
          <w:p>
            <w:pPr>
              <w:pStyle w:val="TableParagraph"/>
              <w:spacing w:line="212" w:lineRule="exact"/>
              <w:ind w:left="1095" w:right="1080"/>
              <w:jc w:val="center"/>
              <w:rPr>
                <w:rFonts w:ascii="宋体" w:eastAsia="宋体" w:hint="eastAsia"/>
                <w:sz w:val="18"/>
              </w:rPr>
            </w:pPr>
            <w:r>
              <w:rPr>
                <w:rFonts w:ascii="宋体" w:eastAsia="宋体" w:hint="eastAsia"/>
                <w:sz w:val="18"/>
              </w:rPr>
              <w:t>合计</w:t>
            </w:r>
          </w:p>
        </w:tc>
        <w:tc>
          <w:tcPr>
            <w:tcW w:w="1613" w:type="dxa"/>
            <w:tcBorders>
              <w:top w:val="single" w:sz="4" w:space="0" w:color="000000"/>
              <w:left w:val="single" w:sz="4" w:space="0" w:color="000000"/>
              <w:right w:val="single" w:sz="4" w:space="0" w:color="000000"/>
            </w:tcBorders>
          </w:tcPr>
          <w:p>
            <w:pPr>
              <w:pStyle w:val="TableParagraph"/>
              <w:spacing w:line="202" w:lineRule="exact"/>
              <w:ind w:right="89"/>
              <w:jc w:val="right"/>
              <w:rPr>
                <w:sz w:val="18"/>
              </w:rPr>
            </w:pPr>
            <w:r>
              <w:rPr>
                <w:sz w:val="18"/>
              </w:rPr>
              <w:t>3,155,572,417.30</w:t>
            </w:r>
          </w:p>
        </w:tc>
        <w:tc>
          <w:tcPr>
            <w:tcW w:w="1606" w:type="dxa"/>
            <w:tcBorders>
              <w:top w:val="single" w:sz="4" w:space="0" w:color="000000"/>
              <w:left w:val="single" w:sz="4" w:space="0" w:color="000000"/>
              <w:right w:val="single" w:sz="4" w:space="0" w:color="000000"/>
            </w:tcBorders>
          </w:tcPr>
          <w:p>
            <w:pPr>
              <w:pStyle w:val="TableParagraph"/>
              <w:spacing w:line="202" w:lineRule="exact"/>
              <w:ind w:right="87"/>
              <w:jc w:val="right"/>
              <w:rPr>
                <w:sz w:val="18"/>
              </w:rPr>
            </w:pPr>
            <w:r>
              <w:rPr>
                <w:sz w:val="18"/>
              </w:rPr>
              <w:t>23,120,100,797.28</w:t>
            </w:r>
          </w:p>
        </w:tc>
        <w:tc>
          <w:tcPr>
            <w:tcW w:w="1611" w:type="dxa"/>
            <w:tcBorders>
              <w:top w:val="single" w:sz="4" w:space="0" w:color="000000"/>
              <w:left w:val="single" w:sz="4" w:space="0" w:color="000000"/>
              <w:right w:val="single" w:sz="4" w:space="0" w:color="000000"/>
            </w:tcBorders>
          </w:tcPr>
          <w:p>
            <w:pPr>
              <w:pStyle w:val="TableParagraph"/>
              <w:spacing w:line="202" w:lineRule="exact"/>
              <w:ind w:right="88"/>
              <w:jc w:val="right"/>
              <w:rPr>
                <w:sz w:val="18"/>
              </w:rPr>
            </w:pPr>
            <w:r>
              <w:rPr>
                <w:sz w:val="18"/>
              </w:rPr>
              <w:t>22,515,573,235.76</w:t>
            </w:r>
          </w:p>
        </w:tc>
        <w:tc>
          <w:tcPr>
            <w:tcW w:w="1620" w:type="dxa"/>
            <w:tcBorders>
              <w:top w:val="single" w:sz="4" w:space="0" w:color="000000"/>
              <w:left w:val="single" w:sz="4" w:space="0" w:color="000000"/>
            </w:tcBorders>
          </w:tcPr>
          <w:p>
            <w:pPr>
              <w:pStyle w:val="TableParagraph"/>
              <w:spacing w:line="202" w:lineRule="exact"/>
              <w:ind w:right="77"/>
              <w:jc w:val="right"/>
              <w:rPr>
                <w:sz w:val="18"/>
              </w:rPr>
            </w:pPr>
            <w:r>
              <w:rPr>
                <w:sz w:val="18"/>
              </w:rPr>
              <w:t>3,760,099,978.82</w:t>
            </w:r>
          </w:p>
        </w:tc>
      </w:tr>
    </w:tbl>
    <w:p>
      <w:pPr>
        <w:pStyle w:val="BodyText"/>
        <w:spacing w:before="1"/>
        <w:rPr>
          <w:sz w:val="18"/>
        </w:rPr>
      </w:pPr>
    </w:p>
    <w:p>
      <w:pPr>
        <w:spacing w:after="0"/>
        <w:rPr>
          <w:sz w:val="18"/>
        </w:rPr>
        <w:sectPr>
          <w:type w:val="continuous"/>
          <w:pgSz w:w="11910" w:h="16840"/>
          <w:pgMar w:top="1360" w:bottom="1400" w:left="260" w:right="0"/>
        </w:sectPr>
      </w:pPr>
    </w:p>
    <w:p>
      <w:pPr>
        <w:pStyle w:val="Heading4"/>
        <w:numPr>
          <w:ilvl w:val="0"/>
          <w:numId w:val="61"/>
        </w:numPr>
        <w:tabs>
          <w:tab w:pos="1963" w:val="left" w:leader="none"/>
        </w:tabs>
        <w:spacing w:line="240" w:lineRule="auto" w:before="9" w:after="0"/>
        <w:ind w:left="1962" w:right="0" w:hanging="425"/>
        <w:jc w:val="left"/>
      </w:pPr>
      <w:r>
        <w:rPr/>
        <w:t>短期薪酬列示</w:t>
      </w:r>
    </w:p>
    <w:p>
      <w:pPr>
        <w:pStyle w:val="BodyText"/>
        <w:spacing w:before="14"/>
        <w:ind w:left="1538"/>
      </w:pPr>
      <w:r>
        <w:rPr/>
        <w:t>√适用 □不适用</w:t>
      </w:r>
    </w:p>
    <w:p>
      <w:pPr>
        <w:pStyle w:val="BodyText"/>
        <w:rPr>
          <w:sz w:val="22"/>
        </w:rPr>
      </w:pPr>
      <w:r>
        <w:rPr/>
        <w:br w:type="column"/>
      </w:r>
      <w:r>
        <w:rPr>
          <w:sz w:val="22"/>
        </w:rPr>
      </w:r>
    </w:p>
    <w:p>
      <w:pPr>
        <w:pStyle w:val="BodyText"/>
        <w:spacing w:before="3"/>
        <w:rPr>
          <w:sz w:val="31"/>
        </w:rPr>
      </w:pPr>
    </w:p>
    <w:p>
      <w:pPr>
        <w:pStyle w:val="BodyText"/>
        <w:tabs>
          <w:tab w:pos="2589" w:val="left" w:leader="none"/>
        </w:tabs>
        <w:spacing w:before="1"/>
        <w:ind w:left="1538"/>
      </w:pPr>
      <w:r>
        <w:rPr/>
        <w:t>单位：元</w:t>
        <w:tab/>
        <w:t>币种</w:t>
      </w:r>
      <w:r>
        <w:rPr>
          <w:rFonts w:ascii="Times New Roman" w:eastAsia="Times New Roman"/>
          <w:spacing w:val="-4"/>
        </w:rPr>
        <w:t>:</w:t>
      </w:r>
      <w:r>
        <w:rPr/>
        <w:t>人</w:t>
      </w:r>
      <w:r>
        <w:rPr>
          <w:spacing w:val="-3"/>
        </w:rPr>
        <w:t>民</w:t>
      </w:r>
      <w:r>
        <w:rPr/>
        <w:t>币</w:t>
      </w:r>
    </w:p>
    <w:p>
      <w:pPr>
        <w:spacing w:after="0"/>
        <w:sectPr>
          <w:type w:val="continuous"/>
          <w:pgSz w:w="11910" w:h="16840"/>
          <w:pgMar w:top="1360" w:bottom="1400" w:left="260" w:right="0"/>
          <w:cols w:num="2" w:equalWidth="0">
            <w:col w:w="3271" w:space="3405"/>
            <w:col w:w="4974"/>
          </w:cols>
        </w:sect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614"/>
        <w:gridCol w:w="1613"/>
        <w:gridCol w:w="1594"/>
        <w:gridCol w:w="1609"/>
        <w:gridCol w:w="1620"/>
      </w:tblGrid>
      <w:tr>
        <w:trPr>
          <w:trHeight w:val="234" w:hRule="atLeast"/>
        </w:trPr>
        <w:tc>
          <w:tcPr>
            <w:tcW w:w="2614" w:type="dxa"/>
            <w:tcBorders>
              <w:bottom w:val="single" w:sz="4" w:space="0" w:color="000000"/>
              <w:right w:val="single" w:sz="4" w:space="0" w:color="000000"/>
            </w:tcBorders>
          </w:tcPr>
          <w:p>
            <w:pPr>
              <w:pStyle w:val="TableParagraph"/>
              <w:spacing w:line="214" w:lineRule="exact"/>
              <w:ind w:left="1104" w:right="1084"/>
              <w:jc w:val="center"/>
              <w:rPr>
                <w:rFonts w:ascii="Microsoft JhengHei" w:eastAsia="Microsoft JhengHei" w:hint="eastAsia"/>
                <w:b/>
                <w:sz w:val="18"/>
              </w:rPr>
            </w:pPr>
            <w:r>
              <w:rPr>
                <w:rFonts w:ascii="Microsoft JhengHei" w:eastAsia="Microsoft JhengHei" w:hint="eastAsia"/>
                <w:b/>
                <w:sz w:val="18"/>
              </w:rPr>
              <w:t>项目</w:t>
            </w:r>
          </w:p>
        </w:tc>
        <w:tc>
          <w:tcPr>
            <w:tcW w:w="1613" w:type="dxa"/>
            <w:tcBorders>
              <w:left w:val="single" w:sz="4" w:space="0" w:color="000000"/>
              <w:bottom w:val="single" w:sz="4" w:space="0" w:color="000000"/>
              <w:right w:val="single" w:sz="4" w:space="0" w:color="000000"/>
            </w:tcBorders>
          </w:tcPr>
          <w:p>
            <w:pPr>
              <w:pStyle w:val="TableParagraph"/>
              <w:spacing w:line="214" w:lineRule="exact"/>
              <w:ind w:left="453"/>
              <w:rPr>
                <w:rFonts w:ascii="Microsoft JhengHei" w:eastAsia="Microsoft JhengHei" w:hint="eastAsia"/>
                <w:b/>
                <w:sz w:val="18"/>
              </w:rPr>
            </w:pPr>
            <w:r>
              <w:rPr>
                <w:rFonts w:ascii="Microsoft JhengHei" w:eastAsia="Microsoft JhengHei" w:hint="eastAsia"/>
                <w:b/>
                <w:sz w:val="18"/>
              </w:rPr>
              <w:t>期初余额</w:t>
            </w:r>
          </w:p>
        </w:tc>
        <w:tc>
          <w:tcPr>
            <w:tcW w:w="1594" w:type="dxa"/>
            <w:tcBorders>
              <w:left w:val="single" w:sz="4" w:space="0" w:color="000000"/>
              <w:bottom w:val="single" w:sz="4" w:space="0" w:color="000000"/>
              <w:right w:val="single" w:sz="4" w:space="0" w:color="000000"/>
            </w:tcBorders>
          </w:tcPr>
          <w:p>
            <w:pPr>
              <w:pStyle w:val="TableParagraph"/>
              <w:spacing w:line="214" w:lineRule="exact"/>
              <w:ind w:left="444"/>
              <w:rPr>
                <w:rFonts w:ascii="Microsoft JhengHei" w:eastAsia="Microsoft JhengHei" w:hint="eastAsia"/>
                <w:b/>
                <w:sz w:val="18"/>
              </w:rPr>
            </w:pPr>
            <w:r>
              <w:rPr>
                <w:rFonts w:ascii="Microsoft JhengHei" w:eastAsia="Microsoft JhengHei" w:hint="eastAsia"/>
                <w:b/>
                <w:sz w:val="18"/>
              </w:rPr>
              <w:t>本期增加</w:t>
            </w:r>
          </w:p>
        </w:tc>
        <w:tc>
          <w:tcPr>
            <w:tcW w:w="1609" w:type="dxa"/>
            <w:tcBorders>
              <w:left w:val="single" w:sz="4" w:space="0" w:color="000000"/>
              <w:bottom w:val="single" w:sz="4" w:space="0" w:color="000000"/>
              <w:right w:val="single" w:sz="4" w:space="0" w:color="000000"/>
            </w:tcBorders>
          </w:tcPr>
          <w:p>
            <w:pPr>
              <w:pStyle w:val="TableParagraph"/>
              <w:spacing w:line="214" w:lineRule="exact"/>
              <w:ind w:left="450"/>
              <w:rPr>
                <w:rFonts w:ascii="Microsoft JhengHei" w:eastAsia="Microsoft JhengHei" w:hint="eastAsia"/>
                <w:b/>
                <w:sz w:val="18"/>
              </w:rPr>
            </w:pPr>
            <w:r>
              <w:rPr>
                <w:rFonts w:ascii="Microsoft JhengHei" w:eastAsia="Microsoft JhengHei" w:hint="eastAsia"/>
                <w:b/>
                <w:sz w:val="18"/>
              </w:rPr>
              <w:t>本期减少</w:t>
            </w:r>
          </w:p>
        </w:tc>
        <w:tc>
          <w:tcPr>
            <w:tcW w:w="1620" w:type="dxa"/>
            <w:tcBorders>
              <w:left w:val="single" w:sz="4" w:space="0" w:color="000000"/>
              <w:bottom w:val="single" w:sz="4" w:space="0" w:color="000000"/>
            </w:tcBorders>
          </w:tcPr>
          <w:p>
            <w:pPr>
              <w:pStyle w:val="TableParagraph"/>
              <w:spacing w:line="214" w:lineRule="exact"/>
              <w:ind w:left="457"/>
              <w:rPr>
                <w:rFonts w:ascii="Microsoft JhengHei" w:eastAsia="Microsoft JhengHei" w:hint="eastAsia"/>
                <w:b/>
                <w:sz w:val="18"/>
              </w:rPr>
            </w:pPr>
            <w:r>
              <w:rPr>
                <w:rFonts w:ascii="Microsoft JhengHei" w:eastAsia="Microsoft JhengHei" w:hint="eastAsia"/>
                <w:b/>
                <w:sz w:val="18"/>
              </w:rPr>
              <w:t>期末余额</w:t>
            </w:r>
          </w:p>
        </w:tc>
      </w:tr>
      <w:tr>
        <w:trPr>
          <w:trHeight w:val="232" w:hRule="atLeast"/>
        </w:trPr>
        <w:tc>
          <w:tcPr>
            <w:tcW w:w="2614" w:type="dxa"/>
            <w:tcBorders>
              <w:top w:val="single" w:sz="4" w:space="0" w:color="000000"/>
              <w:bottom w:val="single" w:sz="4" w:space="0" w:color="000000"/>
              <w:right w:val="single" w:sz="4" w:space="0" w:color="000000"/>
            </w:tcBorders>
          </w:tcPr>
          <w:p>
            <w:pPr>
              <w:pStyle w:val="TableParagraph"/>
              <w:spacing w:line="212" w:lineRule="exact"/>
              <w:ind w:left="107"/>
              <w:rPr>
                <w:rFonts w:ascii="宋体" w:eastAsia="宋体" w:hint="eastAsia"/>
                <w:sz w:val="18"/>
              </w:rPr>
            </w:pPr>
            <w:r>
              <w:rPr>
                <w:rFonts w:ascii="宋体" w:eastAsia="宋体" w:hint="eastAsia"/>
                <w:sz w:val="18"/>
              </w:rPr>
              <w:t>一、工资、奖金、津贴和补贴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before="9"/>
              <w:ind w:right="87"/>
              <w:jc w:val="right"/>
              <w:rPr>
                <w:sz w:val="18"/>
              </w:rPr>
            </w:pPr>
            <w:r>
              <w:rPr>
                <w:sz w:val="18"/>
              </w:rPr>
              <w:t>1,956,628,751.50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before="9"/>
              <w:ind w:right="87"/>
              <w:jc w:val="right"/>
              <w:rPr>
                <w:sz w:val="18"/>
              </w:rPr>
            </w:pPr>
            <w:r>
              <w:rPr>
                <w:sz w:val="18"/>
              </w:rPr>
              <w:t>16,306,815,361.99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before="9"/>
              <w:ind w:right="88"/>
              <w:jc w:val="right"/>
              <w:rPr>
                <w:sz w:val="18"/>
              </w:rPr>
            </w:pPr>
            <w:r>
              <w:rPr>
                <w:sz w:val="18"/>
              </w:rPr>
              <w:t>15,740,285,948.86</w:t>
            </w:r>
          </w:p>
        </w:tc>
        <w:tc>
          <w:tcPr>
            <w:tcW w:w="1620" w:type="dxa"/>
            <w:tcBorders>
              <w:top w:val="single" w:sz="4" w:space="0" w:color="000000"/>
              <w:left w:val="single" w:sz="4" w:space="0" w:color="000000"/>
              <w:bottom w:val="single" w:sz="4" w:space="0" w:color="000000"/>
            </w:tcBorders>
          </w:tcPr>
          <w:p>
            <w:pPr>
              <w:pStyle w:val="TableParagraph"/>
              <w:spacing w:line="203" w:lineRule="exact" w:before="9"/>
              <w:ind w:right="77"/>
              <w:jc w:val="right"/>
              <w:rPr>
                <w:sz w:val="18"/>
              </w:rPr>
            </w:pPr>
            <w:r>
              <w:rPr>
                <w:sz w:val="18"/>
              </w:rPr>
              <w:t>2,523,158,164.63</w:t>
            </w:r>
          </w:p>
        </w:tc>
      </w:tr>
      <w:tr>
        <w:trPr>
          <w:trHeight w:val="234" w:hRule="atLeast"/>
        </w:trPr>
        <w:tc>
          <w:tcPr>
            <w:tcW w:w="2614" w:type="dxa"/>
            <w:tcBorders>
              <w:top w:val="single" w:sz="4" w:space="0" w:color="000000"/>
              <w:bottom w:val="single" w:sz="4" w:space="0" w:color="000000"/>
              <w:right w:val="single" w:sz="4" w:space="0" w:color="000000"/>
            </w:tcBorders>
          </w:tcPr>
          <w:p>
            <w:pPr>
              <w:pStyle w:val="TableParagraph"/>
              <w:spacing w:line="213" w:lineRule="exact" w:before="2"/>
              <w:ind w:left="107"/>
              <w:rPr>
                <w:rFonts w:ascii="宋体" w:eastAsia="宋体" w:hint="eastAsia"/>
                <w:sz w:val="18"/>
              </w:rPr>
            </w:pPr>
            <w:r>
              <w:rPr>
                <w:rFonts w:ascii="宋体" w:eastAsia="宋体" w:hint="eastAsia"/>
                <w:sz w:val="18"/>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9"/>
              <w:ind w:right="86"/>
              <w:jc w:val="right"/>
              <w:rPr>
                <w:sz w:val="18"/>
              </w:rPr>
            </w:pPr>
            <w:r>
              <w:rPr>
                <w:sz w:val="18"/>
              </w:rPr>
              <w:t>298,793,183.14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9"/>
              <w:ind w:right="87"/>
              <w:jc w:val="right"/>
              <w:rPr>
                <w:sz w:val="18"/>
              </w:rPr>
            </w:pPr>
            <w:r>
              <w:rPr>
                <w:sz w:val="18"/>
              </w:rPr>
              <w:t>922,747,295.44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9"/>
              <w:ind w:right="87"/>
              <w:jc w:val="right"/>
              <w:rPr>
                <w:sz w:val="18"/>
              </w:rPr>
            </w:pPr>
            <w:r>
              <w:rPr>
                <w:sz w:val="18"/>
              </w:rPr>
              <w:t>901,268,873.40</w:t>
            </w:r>
          </w:p>
        </w:tc>
        <w:tc>
          <w:tcPr>
            <w:tcW w:w="1620" w:type="dxa"/>
            <w:tcBorders>
              <w:top w:val="single" w:sz="4" w:space="0" w:color="000000"/>
              <w:left w:val="single" w:sz="4" w:space="0" w:color="000000"/>
              <w:bottom w:val="single" w:sz="4" w:space="0" w:color="000000"/>
            </w:tcBorders>
          </w:tcPr>
          <w:p>
            <w:pPr>
              <w:pStyle w:val="TableParagraph"/>
              <w:spacing w:line="205" w:lineRule="exact" w:before="9"/>
              <w:ind w:right="77"/>
              <w:jc w:val="right"/>
              <w:rPr>
                <w:sz w:val="18"/>
              </w:rPr>
            </w:pPr>
            <w:r>
              <w:rPr>
                <w:sz w:val="18"/>
              </w:rPr>
              <w:t>320,271,605.18</w:t>
            </w:r>
          </w:p>
        </w:tc>
      </w:tr>
      <w:tr>
        <w:trPr>
          <w:trHeight w:val="233" w:hRule="atLeast"/>
        </w:trPr>
        <w:tc>
          <w:tcPr>
            <w:tcW w:w="2614" w:type="dxa"/>
            <w:tcBorders>
              <w:top w:val="single" w:sz="4" w:space="0" w:color="000000"/>
              <w:bottom w:val="single" w:sz="4" w:space="0" w:color="000000"/>
              <w:right w:val="single" w:sz="4" w:space="0" w:color="000000"/>
            </w:tcBorders>
          </w:tcPr>
          <w:p>
            <w:pPr>
              <w:pStyle w:val="TableParagraph"/>
              <w:spacing w:line="213" w:lineRule="exact"/>
              <w:ind w:left="107"/>
              <w:rPr>
                <w:rFonts w:ascii="宋体" w:eastAsia="宋体" w:hint="eastAsia"/>
                <w:sz w:val="18"/>
              </w:rPr>
            </w:pPr>
            <w:r>
              <w:rPr>
                <w:rFonts w:ascii="宋体" w:eastAsia="宋体" w:hint="eastAsia"/>
                <w:sz w:val="18"/>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before="10"/>
              <w:ind w:right="86"/>
              <w:jc w:val="right"/>
              <w:rPr>
                <w:sz w:val="18"/>
              </w:rPr>
            </w:pPr>
            <w:r>
              <w:rPr>
                <w:sz w:val="18"/>
              </w:rPr>
              <w:t>145,972,223.15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before="10"/>
              <w:ind w:right="87"/>
              <w:jc w:val="right"/>
              <w:rPr>
                <w:sz w:val="18"/>
              </w:rPr>
            </w:pPr>
            <w:r>
              <w:rPr>
                <w:sz w:val="18"/>
              </w:rPr>
              <w:t>1,554,485,801.28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before="10"/>
              <w:ind w:right="88"/>
              <w:jc w:val="right"/>
              <w:rPr>
                <w:sz w:val="18"/>
              </w:rPr>
            </w:pPr>
            <w:r>
              <w:rPr>
                <w:sz w:val="18"/>
              </w:rPr>
              <w:t>1,516,565,820.57</w:t>
            </w:r>
          </w:p>
        </w:tc>
        <w:tc>
          <w:tcPr>
            <w:tcW w:w="1620" w:type="dxa"/>
            <w:tcBorders>
              <w:top w:val="single" w:sz="4" w:space="0" w:color="000000"/>
              <w:left w:val="single" w:sz="4" w:space="0" w:color="000000"/>
              <w:bottom w:val="single" w:sz="4" w:space="0" w:color="000000"/>
            </w:tcBorders>
          </w:tcPr>
          <w:p>
            <w:pPr>
              <w:pStyle w:val="TableParagraph"/>
              <w:spacing w:line="203" w:lineRule="exact" w:before="10"/>
              <w:ind w:right="77"/>
              <w:jc w:val="right"/>
              <w:rPr>
                <w:sz w:val="18"/>
              </w:rPr>
            </w:pPr>
            <w:r>
              <w:rPr>
                <w:sz w:val="18"/>
              </w:rPr>
              <w:t>183,892,203.86</w:t>
            </w:r>
          </w:p>
        </w:tc>
      </w:tr>
      <w:tr>
        <w:trPr>
          <w:trHeight w:val="234" w:hRule="atLeast"/>
        </w:trPr>
        <w:tc>
          <w:tcPr>
            <w:tcW w:w="2614" w:type="dxa"/>
            <w:tcBorders>
              <w:top w:val="single" w:sz="4" w:space="0" w:color="000000"/>
              <w:bottom w:val="single" w:sz="4" w:space="0" w:color="000000"/>
              <w:right w:val="single" w:sz="4" w:space="0" w:color="000000"/>
            </w:tcBorders>
          </w:tcPr>
          <w:p>
            <w:pPr>
              <w:pStyle w:val="TableParagraph"/>
              <w:spacing w:line="215" w:lineRule="exact"/>
              <w:ind w:left="107"/>
              <w:rPr>
                <w:rFonts w:ascii="宋体" w:eastAsia="宋体" w:hint="eastAsia"/>
                <w:sz w:val="18"/>
              </w:rPr>
            </w:pPr>
            <w:r>
              <w:rPr>
                <w:rFonts w:ascii="宋体" w:eastAsia="宋体" w:hint="eastAsia"/>
                <w:sz w:val="18"/>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9"/>
              <w:ind w:right="86"/>
              <w:jc w:val="right"/>
              <w:rPr>
                <w:sz w:val="18"/>
              </w:rPr>
            </w:pPr>
            <w:r>
              <w:rPr>
                <w:sz w:val="18"/>
              </w:rPr>
              <w:t>1,739,030.08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9"/>
              <w:ind w:right="87"/>
              <w:jc w:val="right"/>
              <w:rPr>
                <w:sz w:val="18"/>
              </w:rPr>
            </w:pPr>
            <w:r>
              <w:rPr>
                <w:sz w:val="18"/>
              </w:rPr>
              <w:t>430,450,146.22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9"/>
              <w:ind w:right="87"/>
              <w:jc w:val="right"/>
              <w:rPr>
                <w:sz w:val="18"/>
              </w:rPr>
            </w:pPr>
            <w:r>
              <w:rPr>
                <w:sz w:val="18"/>
              </w:rPr>
              <w:t>427,160,413.85</w:t>
            </w:r>
          </w:p>
        </w:tc>
        <w:tc>
          <w:tcPr>
            <w:tcW w:w="1620" w:type="dxa"/>
            <w:tcBorders>
              <w:top w:val="single" w:sz="4" w:space="0" w:color="000000"/>
              <w:left w:val="single" w:sz="4" w:space="0" w:color="000000"/>
              <w:bottom w:val="single" w:sz="4" w:space="0" w:color="000000"/>
            </w:tcBorders>
          </w:tcPr>
          <w:p>
            <w:pPr>
              <w:pStyle w:val="TableParagraph"/>
              <w:spacing w:line="205" w:lineRule="exact" w:before="9"/>
              <w:ind w:right="76"/>
              <w:jc w:val="right"/>
              <w:rPr>
                <w:sz w:val="18"/>
              </w:rPr>
            </w:pPr>
            <w:r>
              <w:rPr>
                <w:sz w:val="18"/>
              </w:rPr>
              <w:t>5,028,762.45</w:t>
            </w:r>
          </w:p>
        </w:tc>
      </w:tr>
      <w:tr>
        <w:trPr>
          <w:trHeight w:val="232" w:hRule="atLeast"/>
        </w:trPr>
        <w:tc>
          <w:tcPr>
            <w:tcW w:w="2614" w:type="dxa"/>
            <w:tcBorders>
              <w:top w:val="single" w:sz="4" w:space="0" w:color="000000"/>
              <w:bottom w:val="single" w:sz="4" w:space="0" w:color="000000"/>
              <w:right w:val="single" w:sz="4" w:space="0" w:color="000000"/>
            </w:tcBorders>
          </w:tcPr>
          <w:p>
            <w:pPr>
              <w:pStyle w:val="TableParagraph"/>
              <w:spacing w:line="212" w:lineRule="exact"/>
              <w:ind w:left="107"/>
              <w:rPr>
                <w:rFonts w:ascii="宋体" w:eastAsia="宋体" w:hint="eastAsia"/>
                <w:sz w:val="18"/>
              </w:rPr>
            </w:pPr>
            <w:r>
              <w:rPr>
                <w:rFonts w:ascii="宋体" w:eastAsia="宋体" w:hint="eastAsia"/>
                <w:sz w:val="18"/>
              </w:rPr>
              <w:t>七、工会经费和职工教育经费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7"/>
              <w:ind w:right="86"/>
              <w:jc w:val="right"/>
              <w:rPr>
                <w:sz w:val="18"/>
              </w:rPr>
            </w:pPr>
            <w:r>
              <w:rPr>
                <w:sz w:val="18"/>
              </w:rPr>
              <w:t>1,249,039.97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7"/>
              <w:ind w:right="86"/>
              <w:jc w:val="right"/>
              <w:rPr>
                <w:sz w:val="18"/>
              </w:rPr>
            </w:pPr>
            <w:r>
              <w:rPr>
                <w:sz w:val="18"/>
              </w:rPr>
              <w:t>94,701,643.50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7"/>
              <w:ind w:right="87"/>
              <w:jc w:val="right"/>
              <w:rPr>
                <w:sz w:val="18"/>
              </w:rPr>
            </w:pPr>
            <w:r>
              <w:rPr>
                <w:sz w:val="18"/>
              </w:rPr>
              <w:t>94,627,566.57</w:t>
            </w:r>
          </w:p>
        </w:tc>
        <w:tc>
          <w:tcPr>
            <w:tcW w:w="1620" w:type="dxa"/>
            <w:tcBorders>
              <w:top w:val="single" w:sz="4" w:space="0" w:color="000000"/>
              <w:left w:val="single" w:sz="4" w:space="0" w:color="000000"/>
              <w:bottom w:val="single" w:sz="4" w:space="0" w:color="000000"/>
            </w:tcBorders>
          </w:tcPr>
          <w:p>
            <w:pPr>
              <w:pStyle w:val="TableParagraph"/>
              <w:spacing w:line="205" w:lineRule="exact" w:before="7"/>
              <w:ind w:right="76"/>
              <w:jc w:val="right"/>
              <w:rPr>
                <w:sz w:val="18"/>
              </w:rPr>
            </w:pPr>
            <w:r>
              <w:rPr>
                <w:sz w:val="18"/>
              </w:rPr>
              <w:t>1,323,116.90</w:t>
            </w:r>
          </w:p>
        </w:tc>
      </w:tr>
      <w:tr>
        <w:trPr>
          <w:trHeight w:val="234" w:hRule="atLeast"/>
        </w:trPr>
        <w:tc>
          <w:tcPr>
            <w:tcW w:w="2614" w:type="dxa"/>
            <w:tcBorders>
              <w:top w:val="single" w:sz="4" w:space="0" w:color="000000"/>
              <w:bottom w:val="single" w:sz="4" w:space="0" w:color="000000"/>
              <w:right w:val="single" w:sz="4" w:space="0" w:color="000000"/>
            </w:tcBorders>
          </w:tcPr>
          <w:p>
            <w:pPr>
              <w:pStyle w:val="TableParagraph"/>
              <w:spacing w:line="215" w:lineRule="exact"/>
              <w:ind w:left="107"/>
              <w:rPr>
                <w:rFonts w:ascii="宋体" w:eastAsia="宋体" w:hint="eastAsia"/>
                <w:sz w:val="18"/>
              </w:rPr>
            </w:pPr>
            <w:r>
              <w:rPr>
                <w:rFonts w:ascii="宋体" w:eastAsia="宋体" w:hint="eastAsia"/>
                <w:sz w:val="18"/>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9"/>
              <w:ind w:right="86"/>
              <w:jc w:val="right"/>
              <w:rPr>
                <w:sz w:val="18"/>
              </w:rPr>
            </w:pPr>
            <w:r>
              <w:rPr>
                <w:sz w:val="18"/>
              </w:rPr>
              <w:t>246,545,110.83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9"/>
              <w:ind w:right="87"/>
              <w:jc w:val="right"/>
              <w:rPr>
                <w:sz w:val="18"/>
              </w:rPr>
            </w:pPr>
            <w:r>
              <w:rPr>
                <w:sz w:val="18"/>
              </w:rPr>
              <w:t>434,406,827.53</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9"/>
              <w:ind w:right="87"/>
              <w:jc w:val="right"/>
              <w:rPr>
                <w:sz w:val="18"/>
              </w:rPr>
            </w:pPr>
            <w:r>
              <w:rPr>
                <w:sz w:val="18"/>
              </w:rPr>
              <w:t>404,222,811.04</w:t>
            </w:r>
          </w:p>
        </w:tc>
        <w:tc>
          <w:tcPr>
            <w:tcW w:w="1620" w:type="dxa"/>
            <w:tcBorders>
              <w:top w:val="single" w:sz="4" w:space="0" w:color="000000"/>
              <w:left w:val="single" w:sz="4" w:space="0" w:color="000000"/>
              <w:bottom w:val="single" w:sz="4" w:space="0" w:color="000000"/>
            </w:tcBorders>
          </w:tcPr>
          <w:p>
            <w:pPr>
              <w:pStyle w:val="TableParagraph"/>
              <w:spacing w:line="205" w:lineRule="exact" w:before="9"/>
              <w:ind w:right="77"/>
              <w:jc w:val="right"/>
              <w:rPr>
                <w:sz w:val="18"/>
              </w:rPr>
            </w:pPr>
            <w:r>
              <w:rPr>
                <w:sz w:val="18"/>
              </w:rPr>
              <w:t>276,729,127.32</w:t>
            </w:r>
          </w:p>
        </w:tc>
      </w:tr>
      <w:tr>
        <w:trPr>
          <w:trHeight w:val="232" w:hRule="atLeas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17"/>
              <w:rPr>
                <w:rFonts w:ascii="宋体" w:eastAsia="宋体" w:hint="eastAsia"/>
                <w:sz w:val="18"/>
              </w:rPr>
            </w:pPr>
            <w:r>
              <w:rPr>
                <w:rFonts w:ascii="宋体" w:eastAsia="宋体" w:hint="eastAsia"/>
                <w:sz w:val="18"/>
              </w:rPr>
              <w:t>七、其他</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86"/>
              <w:jc w:val="right"/>
              <w:rPr>
                <w:sz w:val="18"/>
              </w:rPr>
            </w:pPr>
            <w:r>
              <w:rPr>
                <w:sz w:val="18"/>
              </w:rPr>
              <w:t>327,702,941.84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87"/>
              <w:jc w:val="right"/>
              <w:rPr>
                <w:sz w:val="18"/>
              </w:rPr>
            </w:pPr>
            <w:r>
              <w:rPr>
                <w:sz w:val="18"/>
              </w:rPr>
              <w:t>2,533,491,842.36</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88"/>
              <w:jc w:val="right"/>
              <w:rPr>
                <w:sz w:val="18"/>
              </w:rPr>
            </w:pPr>
            <w:r>
              <w:rPr>
                <w:sz w:val="18"/>
              </w:rPr>
              <w:t>2,548,468,895.71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87"/>
              <w:jc w:val="right"/>
              <w:rPr>
                <w:sz w:val="18"/>
              </w:rPr>
            </w:pPr>
            <w:r>
              <w:rPr>
                <w:sz w:val="18"/>
              </w:rPr>
              <w:t>312,725,888.49</w:t>
            </w:r>
          </w:p>
        </w:tc>
      </w:tr>
      <w:tr>
        <w:trPr>
          <w:trHeight w:val="234" w:hRule="atLeast"/>
        </w:trPr>
        <w:tc>
          <w:tcPr>
            <w:tcW w:w="2614" w:type="dxa"/>
            <w:tcBorders>
              <w:top w:val="single" w:sz="4" w:space="0" w:color="000000"/>
              <w:right w:val="single" w:sz="4" w:space="0" w:color="000000"/>
            </w:tcBorders>
          </w:tcPr>
          <w:p>
            <w:pPr>
              <w:pStyle w:val="TableParagraph"/>
              <w:spacing w:line="214" w:lineRule="exact"/>
              <w:ind w:left="1102" w:right="1087"/>
              <w:jc w:val="center"/>
              <w:rPr>
                <w:rFonts w:ascii="宋体" w:eastAsia="宋体" w:hint="eastAsia"/>
                <w:sz w:val="18"/>
              </w:rPr>
            </w:pPr>
            <w:r>
              <w:rPr>
                <w:rFonts w:ascii="宋体" w:eastAsia="宋体" w:hint="eastAsia"/>
                <w:sz w:val="18"/>
              </w:rPr>
              <w:t>合计</w:t>
            </w:r>
          </w:p>
        </w:tc>
        <w:tc>
          <w:tcPr>
            <w:tcW w:w="1613" w:type="dxa"/>
            <w:tcBorders>
              <w:top w:val="single" w:sz="4" w:space="0" w:color="000000"/>
              <w:left w:val="single" w:sz="4" w:space="0" w:color="000000"/>
              <w:right w:val="single" w:sz="4" w:space="0" w:color="000000"/>
            </w:tcBorders>
          </w:tcPr>
          <w:p>
            <w:pPr>
              <w:pStyle w:val="TableParagraph"/>
              <w:spacing w:line="205" w:lineRule="exact" w:before="9"/>
              <w:ind w:right="87"/>
              <w:jc w:val="right"/>
              <w:rPr>
                <w:sz w:val="18"/>
              </w:rPr>
            </w:pPr>
            <w:r>
              <w:rPr>
                <w:sz w:val="18"/>
              </w:rPr>
              <w:t>2,978,630,280.51</w:t>
            </w:r>
          </w:p>
        </w:tc>
        <w:tc>
          <w:tcPr>
            <w:tcW w:w="1594" w:type="dxa"/>
            <w:tcBorders>
              <w:top w:val="single" w:sz="4" w:space="0" w:color="000000"/>
              <w:left w:val="single" w:sz="4" w:space="0" w:color="000000"/>
              <w:right w:val="single" w:sz="4" w:space="0" w:color="000000"/>
            </w:tcBorders>
          </w:tcPr>
          <w:p>
            <w:pPr>
              <w:pStyle w:val="TableParagraph"/>
              <w:spacing w:line="205" w:lineRule="exact" w:before="9"/>
              <w:ind w:right="87"/>
              <w:jc w:val="right"/>
              <w:rPr>
                <w:sz w:val="18"/>
              </w:rPr>
            </w:pPr>
            <w:r>
              <w:rPr>
                <w:sz w:val="18"/>
              </w:rPr>
              <w:t>22,277,098,918.32</w:t>
            </w:r>
          </w:p>
        </w:tc>
        <w:tc>
          <w:tcPr>
            <w:tcW w:w="1609" w:type="dxa"/>
            <w:tcBorders>
              <w:top w:val="single" w:sz="4" w:space="0" w:color="000000"/>
              <w:left w:val="single" w:sz="4" w:space="0" w:color="000000"/>
              <w:right w:val="single" w:sz="4" w:space="0" w:color="000000"/>
            </w:tcBorders>
          </w:tcPr>
          <w:p>
            <w:pPr>
              <w:pStyle w:val="TableParagraph"/>
              <w:spacing w:line="205" w:lineRule="exact" w:before="9"/>
              <w:ind w:right="88"/>
              <w:jc w:val="right"/>
              <w:rPr>
                <w:sz w:val="18"/>
              </w:rPr>
            </w:pPr>
            <w:r>
              <w:rPr>
                <w:sz w:val="18"/>
              </w:rPr>
              <w:t>21,632,600,330.00</w:t>
            </w:r>
          </w:p>
        </w:tc>
        <w:tc>
          <w:tcPr>
            <w:tcW w:w="1620" w:type="dxa"/>
            <w:tcBorders>
              <w:top w:val="single" w:sz="4" w:space="0" w:color="000000"/>
              <w:left w:val="single" w:sz="4" w:space="0" w:color="000000"/>
            </w:tcBorders>
          </w:tcPr>
          <w:p>
            <w:pPr>
              <w:pStyle w:val="TableParagraph"/>
              <w:spacing w:line="205" w:lineRule="exact" w:before="9"/>
              <w:ind w:right="77"/>
              <w:jc w:val="right"/>
              <w:rPr>
                <w:sz w:val="18"/>
              </w:rPr>
            </w:pPr>
            <w:r>
              <w:rPr>
                <w:sz w:val="18"/>
              </w:rPr>
              <w:t>3,623,128,868.83</w:t>
            </w:r>
          </w:p>
        </w:tc>
      </w:tr>
    </w:tbl>
    <w:p>
      <w:pPr>
        <w:pStyle w:val="BodyText"/>
        <w:spacing w:before="7"/>
        <w:rPr>
          <w:sz w:val="17"/>
        </w:rPr>
      </w:pPr>
    </w:p>
    <w:p>
      <w:pPr>
        <w:spacing w:after="0"/>
        <w:rPr>
          <w:sz w:val="17"/>
        </w:rPr>
        <w:sectPr>
          <w:type w:val="continuous"/>
          <w:pgSz w:w="11910" w:h="16840"/>
          <w:pgMar w:top="1360" w:bottom="1400" w:left="260" w:right="0"/>
        </w:sectPr>
      </w:pPr>
    </w:p>
    <w:p>
      <w:pPr>
        <w:pStyle w:val="Heading4"/>
        <w:numPr>
          <w:ilvl w:val="0"/>
          <w:numId w:val="61"/>
        </w:numPr>
        <w:tabs>
          <w:tab w:pos="1963" w:val="left" w:leader="none"/>
        </w:tabs>
        <w:spacing w:line="240" w:lineRule="auto" w:before="9" w:after="0"/>
        <w:ind w:left="1962" w:right="0" w:hanging="425"/>
        <w:jc w:val="left"/>
      </w:pPr>
      <w:r>
        <w:rPr/>
        <w:t>设定提存计划列示</w:t>
      </w:r>
    </w:p>
    <w:p>
      <w:pPr>
        <w:pStyle w:val="BodyText"/>
        <w:spacing w:before="15"/>
        <w:ind w:left="1538"/>
      </w:pPr>
      <w:r>
        <w:rPr/>
        <w:t>√适用 □不适用</w:t>
      </w:r>
    </w:p>
    <w:p>
      <w:pPr>
        <w:pStyle w:val="BodyText"/>
        <w:rPr>
          <w:sz w:val="20"/>
        </w:rPr>
      </w:pPr>
      <w:r>
        <w:rPr/>
        <w:br w:type="column"/>
      </w:r>
      <w:r>
        <w:rPr>
          <w:sz w:val="20"/>
        </w:rPr>
      </w:r>
    </w:p>
    <w:p>
      <w:pPr>
        <w:pStyle w:val="BodyText"/>
        <w:rPr>
          <w:sz w:val="20"/>
        </w:rPr>
      </w:pPr>
    </w:p>
    <w:p>
      <w:pPr>
        <w:pStyle w:val="BodyText"/>
        <w:tabs>
          <w:tab w:pos="2589" w:val="left" w:leader="none"/>
        </w:tabs>
        <w:spacing w:before="171"/>
        <w:ind w:left="1538"/>
      </w:pPr>
      <w:r>
        <w:rPr/>
        <w:t>单位：元</w:t>
        <w:tab/>
        <w:t>币</w:t>
      </w:r>
      <w:r>
        <w:rPr>
          <w:spacing w:val="-3"/>
        </w:rPr>
        <w:t>种</w:t>
      </w:r>
      <w:r>
        <w:rPr/>
        <w:t>：</w:t>
      </w:r>
      <w:r>
        <w:rPr>
          <w:spacing w:val="-3"/>
        </w:rPr>
        <w:t>人</w:t>
      </w:r>
      <w:r>
        <w:rPr/>
        <w:t>民币</w:t>
      </w:r>
    </w:p>
    <w:p>
      <w:pPr>
        <w:spacing w:after="0"/>
        <w:sectPr>
          <w:type w:val="continuous"/>
          <w:pgSz w:w="11910" w:h="16840"/>
          <w:pgMar w:top="1360" w:bottom="1400" w:left="260" w:right="0"/>
          <w:cols w:num="2" w:equalWidth="0">
            <w:col w:w="3693" w:space="2829"/>
            <w:col w:w="5128"/>
          </w:cols>
        </w:sect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588"/>
        <w:gridCol w:w="1623"/>
        <w:gridCol w:w="1609"/>
        <w:gridCol w:w="1640"/>
        <w:gridCol w:w="1591"/>
      </w:tblGrid>
      <w:tr>
        <w:trPr>
          <w:trHeight w:val="270" w:hRule="atLeast"/>
        </w:trPr>
        <w:tc>
          <w:tcPr>
            <w:tcW w:w="2588" w:type="dxa"/>
            <w:tcBorders>
              <w:right w:val="single" w:sz="4" w:space="0" w:color="000000"/>
            </w:tcBorders>
          </w:tcPr>
          <w:p>
            <w:pPr>
              <w:pStyle w:val="TableParagraph"/>
              <w:spacing w:line="250" w:lineRule="exact"/>
              <w:ind w:left="1062" w:right="1045"/>
              <w:jc w:val="center"/>
              <w:rPr>
                <w:rFonts w:ascii="Microsoft JhengHei" w:eastAsia="Microsoft JhengHei" w:hint="eastAsia"/>
                <w:b/>
                <w:sz w:val="21"/>
              </w:rPr>
            </w:pPr>
            <w:r>
              <w:rPr>
                <w:rFonts w:ascii="Microsoft JhengHei" w:eastAsia="Microsoft JhengHei" w:hint="eastAsia"/>
                <w:b/>
                <w:sz w:val="21"/>
              </w:rPr>
              <w:t>项目</w:t>
            </w:r>
          </w:p>
        </w:tc>
        <w:tc>
          <w:tcPr>
            <w:tcW w:w="1623" w:type="dxa"/>
            <w:tcBorders>
              <w:left w:val="single" w:sz="4" w:space="0" w:color="000000"/>
              <w:right w:val="single" w:sz="4" w:space="0" w:color="000000"/>
            </w:tcBorders>
          </w:tcPr>
          <w:p>
            <w:pPr>
              <w:pStyle w:val="TableParagraph"/>
              <w:spacing w:line="250" w:lineRule="exact"/>
              <w:ind w:left="395"/>
              <w:rPr>
                <w:rFonts w:ascii="Microsoft JhengHei" w:eastAsia="Microsoft JhengHei" w:hint="eastAsia"/>
                <w:b/>
                <w:sz w:val="21"/>
              </w:rPr>
            </w:pPr>
            <w:r>
              <w:rPr>
                <w:rFonts w:ascii="Microsoft JhengHei" w:eastAsia="Microsoft JhengHei" w:hint="eastAsia"/>
                <w:b/>
                <w:sz w:val="21"/>
              </w:rPr>
              <w:t>期初余额</w:t>
            </w:r>
          </w:p>
        </w:tc>
        <w:tc>
          <w:tcPr>
            <w:tcW w:w="1609" w:type="dxa"/>
            <w:tcBorders>
              <w:left w:val="single" w:sz="4" w:space="0" w:color="000000"/>
              <w:right w:val="single" w:sz="4" w:space="0" w:color="000000"/>
            </w:tcBorders>
          </w:tcPr>
          <w:p>
            <w:pPr>
              <w:pStyle w:val="TableParagraph"/>
              <w:spacing w:line="250" w:lineRule="exact"/>
              <w:ind w:left="390"/>
              <w:rPr>
                <w:rFonts w:ascii="Microsoft JhengHei" w:eastAsia="Microsoft JhengHei" w:hint="eastAsia"/>
                <w:b/>
                <w:sz w:val="21"/>
              </w:rPr>
            </w:pPr>
            <w:r>
              <w:rPr>
                <w:rFonts w:ascii="Microsoft JhengHei" w:eastAsia="Microsoft JhengHei" w:hint="eastAsia"/>
                <w:b/>
                <w:sz w:val="21"/>
              </w:rPr>
              <w:t>本期增加</w:t>
            </w:r>
          </w:p>
        </w:tc>
        <w:tc>
          <w:tcPr>
            <w:tcW w:w="1640" w:type="dxa"/>
            <w:tcBorders>
              <w:left w:val="single" w:sz="4" w:space="0" w:color="000000"/>
              <w:right w:val="single" w:sz="4" w:space="0" w:color="000000"/>
            </w:tcBorders>
          </w:tcPr>
          <w:p>
            <w:pPr>
              <w:pStyle w:val="TableParagraph"/>
              <w:spacing w:line="250" w:lineRule="exact"/>
              <w:ind w:left="406"/>
              <w:rPr>
                <w:rFonts w:ascii="Microsoft JhengHei" w:eastAsia="Microsoft JhengHei" w:hint="eastAsia"/>
                <w:b/>
                <w:sz w:val="21"/>
              </w:rPr>
            </w:pPr>
            <w:r>
              <w:rPr>
                <w:rFonts w:ascii="Microsoft JhengHei" w:eastAsia="Microsoft JhengHei" w:hint="eastAsia"/>
                <w:b/>
                <w:sz w:val="21"/>
              </w:rPr>
              <w:t>本期减少</w:t>
            </w:r>
          </w:p>
        </w:tc>
        <w:tc>
          <w:tcPr>
            <w:tcW w:w="1591" w:type="dxa"/>
            <w:tcBorders>
              <w:left w:val="single" w:sz="4" w:space="0" w:color="000000"/>
            </w:tcBorders>
          </w:tcPr>
          <w:p>
            <w:pPr>
              <w:pStyle w:val="TableParagraph"/>
              <w:spacing w:line="250" w:lineRule="exact"/>
              <w:ind w:left="379"/>
              <w:rPr>
                <w:rFonts w:ascii="Microsoft JhengHei" w:eastAsia="Microsoft JhengHei" w:hint="eastAsia"/>
                <w:b/>
                <w:sz w:val="21"/>
              </w:rPr>
            </w:pPr>
            <w:r>
              <w:rPr>
                <w:rFonts w:ascii="Microsoft JhengHei" w:eastAsia="Microsoft JhengHei" w:hint="eastAsia"/>
                <w:b/>
                <w:sz w:val="21"/>
              </w:rPr>
              <w:t>期末余额</w:t>
            </w:r>
          </w:p>
        </w:tc>
      </w:tr>
    </w:tbl>
    <w:p>
      <w:pPr>
        <w:spacing w:after="0" w:line="250" w:lineRule="exact"/>
        <w:rPr>
          <w:rFonts w:ascii="Microsoft JhengHei" w:eastAsia="Microsoft JhengHei" w:hint="eastAsia"/>
          <w:sz w:val="21"/>
        </w:rPr>
        <w:sectPr>
          <w:type w:val="continuous"/>
          <w:pgSz w:w="11910" w:h="16840"/>
          <w:pgMar w:top="1360" w:bottom="1400" w:left="260" w:right="0"/>
        </w:sectPr>
      </w:pPr>
    </w:p>
    <w:p>
      <w:pPr>
        <w:pStyle w:val="BodyText"/>
        <w:spacing w:before="2"/>
        <w:rPr>
          <w:sz w:val="5"/>
        </w:r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588"/>
        <w:gridCol w:w="1623"/>
        <w:gridCol w:w="1609"/>
        <w:gridCol w:w="1640"/>
        <w:gridCol w:w="1591"/>
      </w:tblGrid>
      <w:tr>
        <w:trPr>
          <w:trHeight w:val="273" w:hRule="atLeast"/>
        </w:trPr>
        <w:tc>
          <w:tcPr>
            <w:tcW w:w="2588" w:type="dxa"/>
            <w:tcBorders>
              <w:bottom w:val="single" w:sz="4" w:space="0" w:color="000000"/>
              <w:right w:val="single" w:sz="4" w:space="0" w:color="000000"/>
            </w:tcBorders>
          </w:tcPr>
          <w:p>
            <w:pPr>
              <w:pStyle w:val="TableParagraph"/>
              <w:spacing w:line="250" w:lineRule="exact" w:before="3"/>
              <w:ind w:left="107"/>
              <w:rPr>
                <w:rFonts w:ascii="宋体" w:eastAsia="宋体" w:hint="eastAsia"/>
                <w:sz w:val="21"/>
              </w:rPr>
            </w:pPr>
            <w:r>
              <w:rPr>
                <w:sz w:val="21"/>
              </w:rPr>
              <w:t>1</w:t>
            </w:r>
            <w:r>
              <w:rPr>
                <w:rFonts w:ascii="宋体" w:eastAsia="宋体" w:hint="eastAsia"/>
                <w:sz w:val="21"/>
              </w:rPr>
              <w:t>、基本养老保险</w:t>
            </w:r>
          </w:p>
        </w:tc>
        <w:tc>
          <w:tcPr>
            <w:tcW w:w="1623" w:type="dxa"/>
            <w:tcBorders>
              <w:left w:val="single" w:sz="4" w:space="0" w:color="000000"/>
              <w:bottom w:val="single" w:sz="4" w:space="0" w:color="000000"/>
              <w:right w:val="single" w:sz="4" w:space="0" w:color="000000"/>
            </w:tcBorders>
          </w:tcPr>
          <w:p>
            <w:pPr>
              <w:pStyle w:val="TableParagraph"/>
              <w:spacing w:before="9"/>
              <w:ind w:right="87"/>
              <w:jc w:val="right"/>
              <w:rPr>
                <w:sz w:val="21"/>
              </w:rPr>
            </w:pPr>
            <w:r>
              <w:rPr>
                <w:sz w:val="21"/>
              </w:rPr>
              <w:t>26,540,835.95</w:t>
            </w:r>
          </w:p>
        </w:tc>
        <w:tc>
          <w:tcPr>
            <w:tcW w:w="1609" w:type="dxa"/>
            <w:tcBorders>
              <w:left w:val="single" w:sz="4" w:space="0" w:color="000000"/>
              <w:bottom w:val="single" w:sz="4" w:space="0" w:color="000000"/>
              <w:right w:val="single" w:sz="4" w:space="0" w:color="000000"/>
            </w:tcBorders>
          </w:tcPr>
          <w:p>
            <w:pPr>
              <w:pStyle w:val="TableParagraph"/>
              <w:spacing w:before="9"/>
              <w:ind w:right="85"/>
              <w:jc w:val="right"/>
              <w:rPr>
                <w:sz w:val="21"/>
              </w:rPr>
            </w:pPr>
            <w:r>
              <w:rPr>
                <w:sz w:val="21"/>
              </w:rPr>
              <w:t>726,620,430.04</w:t>
            </w:r>
          </w:p>
        </w:tc>
        <w:tc>
          <w:tcPr>
            <w:tcW w:w="1640" w:type="dxa"/>
            <w:tcBorders>
              <w:left w:val="single" w:sz="4" w:space="0" w:color="000000"/>
              <w:bottom w:val="single" w:sz="4" w:space="0" w:color="000000"/>
              <w:right w:val="single" w:sz="4" w:space="0" w:color="000000"/>
            </w:tcBorders>
          </w:tcPr>
          <w:p>
            <w:pPr>
              <w:pStyle w:val="TableParagraph"/>
              <w:spacing w:before="9"/>
              <w:ind w:right="86"/>
              <w:jc w:val="right"/>
              <w:rPr>
                <w:sz w:val="21"/>
              </w:rPr>
            </w:pPr>
            <w:r>
              <w:rPr>
                <w:sz w:val="21"/>
              </w:rPr>
              <w:t>732,805,020.26</w:t>
            </w:r>
          </w:p>
        </w:tc>
        <w:tc>
          <w:tcPr>
            <w:tcW w:w="1591" w:type="dxa"/>
            <w:tcBorders>
              <w:left w:val="single" w:sz="4" w:space="0" w:color="000000"/>
              <w:bottom w:val="single" w:sz="4" w:space="0" w:color="000000"/>
            </w:tcBorders>
          </w:tcPr>
          <w:p>
            <w:pPr>
              <w:pStyle w:val="TableParagraph"/>
              <w:spacing w:before="9"/>
              <w:ind w:right="75"/>
              <w:jc w:val="right"/>
              <w:rPr>
                <w:sz w:val="21"/>
              </w:rPr>
            </w:pPr>
            <w:r>
              <w:rPr>
                <w:sz w:val="21"/>
              </w:rPr>
              <w:t>20,356,245.73</w:t>
            </w:r>
          </w:p>
        </w:tc>
      </w:tr>
      <w:tr>
        <w:trPr>
          <w:trHeight w:val="273" w:hRule="atLeast"/>
        </w:trPr>
        <w:tc>
          <w:tcPr>
            <w:tcW w:w="2588" w:type="dxa"/>
            <w:tcBorders>
              <w:top w:val="single" w:sz="4" w:space="0" w:color="000000"/>
              <w:bottom w:val="single" w:sz="4" w:space="0" w:color="000000"/>
              <w:right w:val="single" w:sz="4" w:space="0" w:color="000000"/>
            </w:tcBorders>
          </w:tcPr>
          <w:p>
            <w:pPr>
              <w:pStyle w:val="TableParagraph"/>
              <w:spacing w:line="250" w:lineRule="exact" w:before="3"/>
              <w:ind w:left="107"/>
              <w:rPr>
                <w:rFonts w:ascii="宋体" w:eastAsia="宋体" w:hint="eastAsia"/>
                <w:sz w:val="21"/>
              </w:rPr>
            </w:pPr>
            <w:r>
              <w:rPr>
                <w:sz w:val="21"/>
              </w:rPr>
              <w:t>2</w:t>
            </w:r>
            <w:r>
              <w:rPr>
                <w:rFonts w:ascii="宋体" w:eastAsia="宋体" w:hint="eastAsia"/>
                <w:sz w:val="21"/>
              </w:rPr>
              <w:t>、失业保险费</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before="10"/>
              <w:ind w:right="87"/>
              <w:jc w:val="right"/>
              <w:rPr>
                <w:sz w:val="21"/>
              </w:rPr>
            </w:pPr>
            <w:r>
              <w:rPr>
                <w:sz w:val="21"/>
              </w:rPr>
              <w:t>268,380.08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8,034,104.26</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before="10"/>
              <w:ind w:right="86"/>
              <w:jc w:val="right"/>
              <w:rPr>
                <w:sz w:val="21"/>
              </w:rPr>
            </w:pPr>
            <w:r>
              <w:rPr>
                <w:sz w:val="21"/>
              </w:rPr>
              <w:t>8,132,179.64</w:t>
            </w:r>
          </w:p>
        </w:tc>
        <w:tc>
          <w:tcPr>
            <w:tcW w:w="1591" w:type="dxa"/>
            <w:tcBorders>
              <w:top w:val="single" w:sz="4" w:space="0" w:color="000000"/>
              <w:left w:val="single" w:sz="4" w:space="0" w:color="000000"/>
              <w:bottom w:val="single" w:sz="4" w:space="0" w:color="000000"/>
            </w:tcBorders>
          </w:tcPr>
          <w:p>
            <w:pPr>
              <w:pStyle w:val="TableParagraph"/>
              <w:spacing w:before="10"/>
              <w:ind w:right="75"/>
              <w:jc w:val="right"/>
              <w:rPr>
                <w:sz w:val="21"/>
              </w:rPr>
            </w:pPr>
            <w:r>
              <w:rPr>
                <w:sz w:val="21"/>
              </w:rPr>
              <w:t>170,304.70</w:t>
            </w:r>
          </w:p>
        </w:tc>
      </w:tr>
      <w:tr>
        <w:trPr>
          <w:trHeight w:val="273" w:hRule="atLeast"/>
        </w:trPr>
        <w:tc>
          <w:tcPr>
            <w:tcW w:w="2588"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sz w:val="21"/>
              </w:rPr>
              <w:t>3</w:t>
            </w:r>
            <w:r>
              <w:rPr>
                <w:rFonts w:ascii="宋体" w:eastAsia="宋体" w:hint="eastAsia"/>
                <w:sz w:val="21"/>
              </w:rPr>
              <w:t>、企业年金缴费</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before="10"/>
              <w:ind w:right="87"/>
              <w:jc w:val="right"/>
              <w:rPr>
                <w:sz w:val="21"/>
              </w:rPr>
            </w:pPr>
            <w:r>
              <w:rPr>
                <w:sz w:val="21"/>
              </w:rPr>
              <w:t>270,769.42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30,197,424.12</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before="10"/>
              <w:ind w:right="86"/>
              <w:jc w:val="right"/>
              <w:rPr>
                <w:sz w:val="21"/>
              </w:rPr>
            </w:pPr>
            <w:r>
              <w:rPr>
                <w:sz w:val="21"/>
              </w:rPr>
              <w:t>29,959,385.36</w:t>
            </w:r>
          </w:p>
        </w:tc>
        <w:tc>
          <w:tcPr>
            <w:tcW w:w="1591" w:type="dxa"/>
            <w:tcBorders>
              <w:top w:val="single" w:sz="4" w:space="0" w:color="000000"/>
              <w:left w:val="single" w:sz="4" w:space="0" w:color="000000"/>
              <w:bottom w:val="single" w:sz="4" w:space="0" w:color="000000"/>
            </w:tcBorders>
          </w:tcPr>
          <w:p>
            <w:pPr>
              <w:pStyle w:val="TableParagraph"/>
              <w:spacing w:before="10"/>
              <w:ind w:right="75"/>
              <w:jc w:val="right"/>
              <w:rPr>
                <w:sz w:val="21"/>
              </w:rPr>
            </w:pPr>
            <w:r>
              <w:rPr>
                <w:sz w:val="21"/>
              </w:rPr>
              <w:t>508,808.18</w:t>
            </w:r>
          </w:p>
        </w:tc>
      </w:tr>
      <w:tr>
        <w:trPr>
          <w:trHeight w:val="270" w:hRule="atLeast"/>
        </w:trPr>
        <w:tc>
          <w:tcPr>
            <w:tcW w:w="2588" w:type="dxa"/>
            <w:tcBorders>
              <w:top w:val="single" w:sz="4" w:space="0" w:color="000000"/>
              <w:right w:val="single" w:sz="4" w:space="0" w:color="000000"/>
            </w:tcBorders>
          </w:tcPr>
          <w:p>
            <w:pPr>
              <w:pStyle w:val="TableParagraph"/>
              <w:spacing w:line="249" w:lineRule="exact" w:before="1"/>
              <w:ind w:left="1062" w:right="1045"/>
              <w:jc w:val="center"/>
              <w:rPr>
                <w:rFonts w:ascii="宋体" w:eastAsia="宋体" w:hint="eastAsia"/>
                <w:sz w:val="21"/>
              </w:rPr>
            </w:pPr>
            <w:r>
              <w:rPr>
                <w:rFonts w:ascii="宋体" w:eastAsia="宋体" w:hint="eastAsia"/>
                <w:sz w:val="21"/>
              </w:rPr>
              <w:t>合计</w:t>
            </w:r>
          </w:p>
        </w:tc>
        <w:tc>
          <w:tcPr>
            <w:tcW w:w="1623" w:type="dxa"/>
            <w:tcBorders>
              <w:top w:val="single" w:sz="4" w:space="0" w:color="000000"/>
              <w:left w:val="single" w:sz="4" w:space="0" w:color="000000"/>
              <w:right w:val="single" w:sz="4" w:space="0" w:color="000000"/>
            </w:tcBorders>
          </w:tcPr>
          <w:p>
            <w:pPr>
              <w:pStyle w:val="TableParagraph"/>
              <w:spacing w:before="7"/>
              <w:ind w:right="87"/>
              <w:jc w:val="right"/>
              <w:rPr>
                <w:sz w:val="21"/>
              </w:rPr>
            </w:pPr>
            <w:r>
              <w:rPr>
                <w:sz w:val="21"/>
              </w:rPr>
              <w:t>27,079,985.45</w:t>
            </w:r>
          </w:p>
        </w:tc>
        <w:tc>
          <w:tcPr>
            <w:tcW w:w="1609" w:type="dxa"/>
            <w:tcBorders>
              <w:top w:val="single" w:sz="4" w:space="0" w:color="000000"/>
              <w:left w:val="single" w:sz="4" w:space="0" w:color="000000"/>
              <w:right w:val="single" w:sz="4" w:space="0" w:color="000000"/>
            </w:tcBorders>
          </w:tcPr>
          <w:p>
            <w:pPr>
              <w:pStyle w:val="TableParagraph"/>
              <w:spacing w:before="7"/>
              <w:ind w:right="85"/>
              <w:jc w:val="right"/>
              <w:rPr>
                <w:sz w:val="21"/>
              </w:rPr>
            </w:pPr>
            <w:r>
              <w:rPr>
                <w:sz w:val="21"/>
              </w:rPr>
              <w:t>764,851,958.42</w:t>
            </w:r>
          </w:p>
        </w:tc>
        <w:tc>
          <w:tcPr>
            <w:tcW w:w="1640" w:type="dxa"/>
            <w:tcBorders>
              <w:top w:val="single" w:sz="4" w:space="0" w:color="000000"/>
              <w:left w:val="single" w:sz="4" w:space="0" w:color="000000"/>
              <w:right w:val="single" w:sz="4" w:space="0" w:color="000000"/>
            </w:tcBorders>
          </w:tcPr>
          <w:p>
            <w:pPr>
              <w:pStyle w:val="TableParagraph"/>
              <w:spacing w:before="7"/>
              <w:ind w:right="86"/>
              <w:jc w:val="right"/>
              <w:rPr>
                <w:sz w:val="21"/>
              </w:rPr>
            </w:pPr>
            <w:r>
              <w:rPr>
                <w:sz w:val="21"/>
              </w:rPr>
              <w:t>770,896,585.26</w:t>
            </w:r>
          </w:p>
        </w:tc>
        <w:tc>
          <w:tcPr>
            <w:tcW w:w="1591" w:type="dxa"/>
            <w:tcBorders>
              <w:top w:val="single" w:sz="4" w:space="0" w:color="000000"/>
              <w:left w:val="single" w:sz="4" w:space="0" w:color="000000"/>
            </w:tcBorders>
          </w:tcPr>
          <w:p>
            <w:pPr>
              <w:pStyle w:val="TableParagraph"/>
              <w:spacing w:before="7"/>
              <w:ind w:right="75"/>
              <w:jc w:val="right"/>
              <w:rPr>
                <w:sz w:val="21"/>
              </w:rPr>
            </w:pPr>
            <w:r>
              <w:rPr>
                <w:sz w:val="21"/>
              </w:rPr>
              <w:t>21,035,358.61</w:t>
            </w:r>
          </w:p>
        </w:tc>
      </w:tr>
    </w:tbl>
    <w:p>
      <w:pPr>
        <w:pStyle w:val="BodyText"/>
        <w:spacing w:before="8"/>
        <w:rPr>
          <w:sz w:val="17"/>
        </w:rPr>
      </w:pPr>
    </w:p>
    <w:p>
      <w:pPr>
        <w:pStyle w:val="Heading4"/>
        <w:numPr>
          <w:ilvl w:val="0"/>
          <w:numId w:val="61"/>
        </w:numPr>
        <w:tabs>
          <w:tab w:pos="1963" w:val="left" w:leader="none"/>
        </w:tabs>
        <w:spacing w:line="240" w:lineRule="auto" w:before="9" w:after="16"/>
        <w:ind w:left="1962" w:right="0" w:hanging="425"/>
        <w:jc w:val="left"/>
      </w:pPr>
      <w:r>
        <w:rPr/>
        <w:t>辞退福利列示</w:t>
      </w: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529"/>
        <w:gridCol w:w="2732"/>
        <w:gridCol w:w="2790"/>
      </w:tblGrid>
      <w:tr>
        <w:trPr>
          <w:trHeight w:val="368" w:hRule="atLeast"/>
        </w:trPr>
        <w:tc>
          <w:tcPr>
            <w:tcW w:w="3529" w:type="dxa"/>
            <w:tcBorders>
              <w:bottom w:val="single" w:sz="4" w:space="0" w:color="000000"/>
              <w:right w:val="single" w:sz="4" w:space="0" w:color="000000"/>
            </w:tcBorders>
          </w:tcPr>
          <w:p>
            <w:pPr>
              <w:pStyle w:val="TableParagraph"/>
              <w:spacing w:line="349" w:lineRule="exact"/>
              <w:ind w:right="1532"/>
              <w:jc w:val="right"/>
              <w:rPr>
                <w:rFonts w:ascii="Microsoft JhengHei" w:eastAsia="Microsoft JhengHei" w:hint="eastAsia"/>
                <w:b/>
                <w:sz w:val="21"/>
              </w:rPr>
            </w:pPr>
            <w:r>
              <w:rPr>
                <w:rFonts w:ascii="Microsoft JhengHei" w:eastAsia="Microsoft JhengHei" w:hint="eastAsia"/>
                <w:b/>
                <w:sz w:val="21"/>
              </w:rPr>
              <w:t>项目</w:t>
            </w:r>
          </w:p>
        </w:tc>
        <w:tc>
          <w:tcPr>
            <w:tcW w:w="2732" w:type="dxa"/>
            <w:tcBorders>
              <w:left w:val="single" w:sz="4" w:space="0" w:color="000000"/>
              <w:bottom w:val="single" w:sz="4" w:space="0" w:color="000000"/>
              <w:right w:val="single" w:sz="4" w:space="0" w:color="000000"/>
            </w:tcBorders>
          </w:tcPr>
          <w:p>
            <w:pPr>
              <w:pStyle w:val="TableParagraph"/>
              <w:spacing w:line="349" w:lineRule="exact"/>
              <w:ind w:left="934" w:right="907"/>
              <w:jc w:val="center"/>
              <w:rPr>
                <w:rFonts w:ascii="Microsoft JhengHei" w:eastAsia="Microsoft JhengHei" w:hint="eastAsia"/>
                <w:b/>
                <w:sz w:val="21"/>
              </w:rPr>
            </w:pPr>
            <w:r>
              <w:rPr>
                <w:rFonts w:ascii="Microsoft JhengHei" w:eastAsia="Microsoft JhengHei" w:hint="eastAsia"/>
                <w:b/>
                <w:sz w:val="21"/>
              </w:rPr>
              <w:t>期末余额</w:t>
            </w:r>
          </w:p>
        </w:tc>
        <w:tc>
          <w:tcPr>
            <w:tcW w:w="2790" w:type="dxa"/>
            <w:tcBorders>
              <w:left w:val="single" w:sz="4" w:space="0" w:color="000000"/>
              <w:bottom w:val="single" w:sz="4" w:space="0" w:color="000000"/>
            </w:tcBorders>
          </w:tcPr>
          <w:p>
            <w:pPr>
              <w:pStyle w:val="TableParagraph"/>
              <w:spacing w:line="349" w:lineRule="exact"/>
              <w:ind w:left="963" w:right="926"/>
              <w:jc w:val="center"/>
              <w:rPr>
                <w:rFonts w:ascii="Microsoft JhengHei" w:eastAsia="Microsoft JhengHei" w:hint="eastAsia"/>
                <w:b/>
                <w:sz w:val="21"/>
              </w:rPr>
            </w:pPr>
            <w:r>
              <w:rPr>
                <w:rFonts w:ascii="Microsoft JhengHei" w:eastAsia="Microsoft JhengHei" w:hint="eastAsia"/>
                <w:b/>
                <w:sz w:val="21"/>
              </w:rPr>
              <w:t>期初余额</w:t>
            </w:r>
          </w:p>
        </w:tc>
      </w:tr>
      <w:tr>
        <w:trPr>
          <w:trHeight w:val="369" w:hRule="atLeast"/>
        </w:trPr>
        <w:tc>
          <w:tcPr>
            <w:tcW w:w="3529"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辞退补偿金</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9,818,188.41</w:t>
            </w:r>
          </w:p>
        </w:tc>
        <w:tc>
          <w:tcPr>
            <w:tcW w:w="2790"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9,818,188.41</w:t>
            </w:r>
          </w:p>
        </w:tc>
      </w:tr>
      <w:tr>
        <w:trPr>
          <w:trHeight w:val="366" w:hRule="atLeast"/>
        </w:trPr>
        <w:tc>
          <w:tcPr>
            <w:tcW w:w="3529" w:type="dxa"/>
            <w:tcBorders>
              <w:top w:val="single" w:sz="4" w:space="0" w:color="000000"/>
              <w:right w:val="single" w:sz="4" w:space="0" w:color="000000"/>
            </w:tcBorders>
          </w:tcPr>
          <w:p>
            <w:pPr>
              <w:pStyle w:val="TableParagraph"/>
              <w:spacing w:before="49"/>
              <w:ind w:right="1532"/>
              <w:jc w:val="right"/>
              <w:rPr>
                <w:rFonts w:ascii="宋体" w:eastAsia="宋体" w:hint="eastAsia"/>
                <w:sz w:val="21"/>
              </w:rPr>
            </w:pPr>
            <w:r>
              <w:rPr>
                <w:rFonts w:ascii="宋体" w:eastAsia="宋体" w:hint="eastAsia"/>
                <w:sz w:val="21"/>
              </w:rPr>
              <w:t>合计</w:t>
            </w:r>
          </w:p>
        </w:tc>
        <w:tc>
          <w:tcPr>
            <w:tcW w:w="2732" w:type="dxa"/>
            <w:tcBorders>
              <w:top w:val="single" w:sz="4" w:space="0" w:color="000000"/>
              <w:left w:val="single" w:sz="4" w:space="0" w:color="000000"/>
              <w:right w:val="single" w:sz="4" w:space="0" w:color="000000"/>
            </w:tcBorders>
          </w:tcPr>
          <w:p>
            <w:pPr>
              <w:pStyle w:val="TableParagraph"/>
              <w:spacing w:before="58"/>
              <w:ind w:right="84"/>
              <w:jc w:val="right"/>
              <w:rPr>
                <w:sz w:val="21"/>
              </w:rPr>
            </w:pPr>
            <w:r>
              <w:rPr>
                <w:sz w:val="21"/>
              </w:rPr>
              <w:t>9,818,188.41</w:t>
            </w:r>
          </w:p>
        </w:tc>
        <w:tc>
          <w:tcPr>
            <w:tcW w:w="2790" w:type="dxa"/>
            <w:tcBorders>
              <w:top w:val="single" w:sz="4" w:space="0" w:color="000000"/>
              <w:left w:val="single" w:sz="4" w:space="0" w:color="000000"/>
            </w:tcBorders>
          </w:tcPr>
          <w:p>
            <w:pPr>
              <w:pStyle w:val="TableParagraph"/>
              <w:spacing w:before="58"/>
              <w:ind w:right="75"/>
              <w:jc w:val="right"/>
              <w:rPr>
                <w:sz w:val="21"/>
              </w:rPr>
            </w:pPr>
            <w:r>
              <w:rPr>
                <w:sz w:val="21"/>
              </w:rPr>
              <w:t>9,818,188.41</w:t>
            </w:r>
          </w:p>
        </w:tc>
      </w:tr>
    </w:tbl>
    <w:p>
      <w:pPr>
        <w:pStyle w:val="BodyText"/>
        <w:spacing w:before="7"/>
        <w:rPr>
          <w:rFonts w:ascii="Microsoft JhengHei"/>
          <w:b/>
          <w:sz w:val="12"/>
        </w:rPr>
      </w:pPr>
    </w:p>
    <w:p>
      <w:pPr>
        <w:spacing w:after="0"/>
        <w:rPr>
          <w:rFonts w:ascii="Microsoft JhengHei"/>
          <w:sz w:val="12"/>
        </w:rPr>
        <w:sectPr>
          <w:pgSz w:w="11910" w:h="16840"/>
          <w:pgMar w:header="876" w:footer="1192" w:top="1440" w:bottom="1400" w:left="260" w:right="0"/>
        </w:sectPr>
      </w:pPr>
    </w:p>
    <w:p>
      <w:pPr>
        <w:pStyle w:val="Heading4"/>
        <w:spacing w:before="9"/>
      </w:pPr>
      <w:r>
        <w:rPr>
          <w:rFonts w:ascii="Times New Roman" w:eastAsia="Times New Roman"/>
        </w:rPr>
        <w:t>31</w:t>
      </w:r>
      <w:r>
        <w:rPr/>
        <w:t>、 应交税费</w:t>
      </w:r>
    </w:p>
    <w:p>
      <w:pPr>
        <w:pStyle w:val="BodyText"/>
        <w:spacing w:before="17"/>
        <w:ind w:left="1538"/>
      </w:pPr>
      <w:r>
        <w:rPr/>
        <w:t>√适用 □不适用</w:t>
      </w:r>
    </w:p>
    <w:p>
      <w:pPr>
        <w:pStyle w:val="BodyText"/>
        <w:rPr>
          <w:sz w:val="20"/>
        </w:rPr>
      </w:pPr>
      <w:r>
        <w:rPr/>
        <w:br w:type="column"/>
      </w:r>
      <w:r>
        <w:rPr>
          <w:sz w:val="20"/>
        </w:rPr>
      </w:r>
    </w:p>
    <w:p>
      <w:pPr>
        <w:pStyle w:val="BodyText"/>
        <w:rPr>
          <w:sz w:val="20"/>
        </w:rPr>
      </w:pPr>
    </w:p>
    <w:p>
      <w:pPr>
        <w:pStyle w:val="BodyText"/>
        <w:tabs>
          <w:tab w:pos="2589" w:val="left" w:leader="none"/>
        </w:tabs>
        <w:spacing w:before="171"/>
        <w:ind w:left="1538"/>
      </w:pPr>
      <w:r>
        <w:rPr/>
        <w:t>单位：元</w:t>
        <w:tab/>
        <w:t>币</w:t>
      </w:r>
      <w:r>
        <w:rPr>
          <w:spacing w:val="-3"/>
        </w:rPr>
        <w:t>种</w:t>
      </w:r>
      <w:r>
        <w:rPr/>
        <w:t>：</w:t>
      </w:r>
      <w:r>
        <w:rPr>
          <w:spacing w:val="-3"/>
        </w:rPr>
        <w:t>人</w:t>
      </w:r>
      <w:r>
        <w:rPr/>
        <w:t>民币</w:t>
      </w:r>
    </w:p>
    <w:p>
      <w:pPr>
        <w:spacing w:after="0"/>
        <w:sectPr>
          <w:type w:val="continuous"/>
          <w:pgSz w:w="11910" w:h="16840"/>
          <w:pgMar w:top="1360" w:bottom="1400" w:left="260" w:right="0"/>
          <w:cols w:num="2" w:equalWidth="0">
            <w:col w:w="3155" w:space="3366"/>
            <w:col w:w="5129"/>
          </w:cols>
        </w:sect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032"/>
        <w:gridCol w:w="3005"/>
        <w:gridCol w:w="3012"/>
      </w:tblGrid>
      <w:tr>
        <w:trPr>
          <w:trHeight w:val="272" w:hRule="atLeast"/>
        </w:trPr>
        <w:tc>
          <w:tcPr>
            <w:tcW w:w="3032" w:type="dxa"/>
            <w:tcBorders>
              <w:bottom w:val="single" w:sz="4" w:space="0" w:color="000000"/>
              <w:right w:val="single" w:sz="4" w:space="0" w:color="000000"/>
            </w:tcBorders>
          </w:tcPr>
          <w:p>
            <w:pPr>
              <w:pStyle w:val="TableParagraph"/>
              <w:spacing w:line="253" w:lineRule="exact"/>
              <w:ind w:left="1229" w:right="1317"/>
              <w:jc w:val="center"/>
              <w:rPr>
                <w:rFonts w:ascii="Microsoft JhengHei" w:eastAsia="Microsoft JhengHei" w:hint="eastAsia"/>
                <w:b/>
                <w:sz w:val="21"/>
              </w:rPr>
            </w:pPr>
            <w:r>
              <w:rPr>
                <w:rFonts w:ascii="Microsoft JhengHei" w:eastAsia="Microsoft JhengHei" w:hint="eastAsia"/>
                <w:b/>
                <w:sz w:val="21"/>
              </w:rPr>
              <w:t>项目</w:t>
            </w:r>
          </w:p>
        </w:tc>
        <w:tc>
          <w:tcPr>
            <w:tcW w:w="3005" w:type="dxa"/>
            <w:tcBorders>
              <w:left w:val="single" w:sz="4" w:space="0" w:color="000000"/>
              <w:bottom w:val="single" w:sz="4" w:space="0" w:color="000000"/>
              <w:right w:val="single" w:sz="4" w:space="0" w:color="000000"/>
            </w:tcBorders>
          </w:tcPr>
          <w:p>
            <w:pPr>
              <w:pStyle w:val="TableParagraph"/>
              <w:spacing w:line="253" w:lineRule="exact"/>
              <w:ind w:left="1071" w:right="1039"/>
              <w:jc w:val="center"/>
              <w:rPr>
                <w:rFonts w:ascii="Microsoft JhengHei" w:eastAsia="Microsoft JhengHei" w:hint="eastAsia"/>
                <w:b/>
                <w:sz w:val="21"/>
              </w:rPr>
            </w:pPr>
            <w:r>
              <w:rPr>
                <w:rFonts w:ascii="Microsoft JhengHei" w:eastAsia="Microsoft JhengHei" w:hint="eastAsia"/>
                <w:b/>
                <w:sz w:val="21"/>
              </w:rPr>
              <w:t>期末余额</w:t>
            </w:r>
          </w:p>
        </w:tc>
        <w:tc>
          <w:tcPr>
            <w:tcW w:w="3012" w:type="dxa"/>
            <w:tcBorders>
              <w:left w:val="single" w:sz="4" w:space="0" w:color="000000"/>
              <w:bottom w:val="single" w:sz="4" w:space="0" w:color="000000"/>
            </w:tcBorders>
          </w:tcPr>
          <w:p>
            <w:pPr>
              <w:pStyle w:val="TableParagraph"/>
              <w:spacing w:line="253" w:lineRule="exact"/>
              <w:ind w:left="1076" w:right="1035"/>
              <w:jc w:val="center"/>
              <w:rPr>
                <w:rFonts w:ascii="Microsoft JhengHei" w:eastAsia="Microsoft JhengHei" w:hint="eastAsia"/>
                <w:b/>
                <w:sz w:val="21"/>
              </w:rPr>
            </w:pPr>
            <w:r>
              <w:rPr>
                <w:rFonts w:ascii="Microsoft JhengHei" w:eastAsia="Microsoft JhengHei" w:hint="eastAsia"/>
                <w:b/>
                <w:sz w:val="21"/>
              </w:rPr>
              <w:t>期初余额</w:t>
            </w:r>
          </w:p>
        </w:tc>
      </w:tr>
      <w:tr>
        <w:trPr>
          <w:trHeight w:val="270" w:hRule="atLeast"/>
        </w:trPr>
        <w:tc>
          <w:tcPr>
            <w:tcW w:w="3032"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增值税</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before="7"/>
              <w:ind w:right="156"/>
              <w:jc w:val="right"/>
              <w:rPr>
                <w:sz w:val="21"/>
              </w:rPr>
            </w:pPr>
            <w:r>
              <w:rPr>
                <w:sz w:val="21"/>
              </w:rPr>
              <w:t>645,144,199.35</w:t>
            </w:r>
          </w:p>
        </w:tc>
        <w:tc>
          <w:tcPr>
            <w:tcW w:w="3012" w:type="dxa"/>
            <w:tcBorders>
              <w:top w:val="single" w:sz="4" w:space="0" w:color="000000"/>
              <w:left w:val="single" w:sz="4" w:space="0" w:color="000000"/>
              <w:bottom w:val="single" w:sz="4" w:space="0" w:color="000000"/>
            </w:tcBorders>
          </w:tcPr>
          <w:p>
            <w:pPr>
              <w:pStyle w:val="TableParagraph"/>
              <w:spacing w:before="7"/>
              <w:ind w:right="73"/>
              <w:jc w:val="right"/>
              <w:rPr>
                <w:sz w:val="21"/>
              </w:rPr>
            </w:pPr>
            <w:r>
              <w:rPr>
                <w:sz w:val="21"/>
              </w:rPr>
              <w:t>606,034,986.30</w:t>
            </w:r>
          </w:p>
        </w:tc>
      </w:tr>
      <w:tr>
        <w:trPr>
          <w:trHeight w:val="273" w:hRule="atLeast"/>
        </w:trPr>
        <w:tc>
          <w:tcPr>
            <w:tcW w:w="3032"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企业所得税</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before="10"/>
              <w:ind w:right="156"/>
              <w:jc w:val="right"/>
              <w:rPr>
                <w:sz w:val="21"/>
              </w:rPr>
            </w:pPr>
            <w:r>
              <w:rPr>
                <w:sz w:val="21"/>
              </w:rPr>
              <w:t>1,371,458,516.07</w:t>
            </w:r>
          </w:p>
        </w:tc>
        <w:tc>
          <w:tcPr>
            <w:tcW w:w="3012" w:type="dxa"/>
            <w:tcBorders>
              <w:top w:val="single" w:sz="4" w:space="0" w:color="000000"/>
              <w:left w:val="single" w:sz="4" w:space="0" w:color="000000"/>
              <w:bottom w:val="single" w:sz="4" w:space="0" w:color="000000"/>
            </w:tcBorders>
          </w:tcPr>
          <w:p>
            <w:pPr>
              <w:pStyle w:val="TableParagraph"/>
              <w:spacing w:before="10"/>
              <w:ind w:right="73"/>
              <w:jc w:val="right"/>
              <w:rPr>
                <w:sz w:val="21"/>
              </w:rPr>
            </w:pPr>
            <w:r>
              <w:rPr>
                <w:sz w:val="21"/>
              </w:rPr>
              <w:t>1,278,004,157.85</w:t>
            </w:r>
          </w:p>
        </w:tc>
      </w:tr>
      <w:tr>
        <w:trPr>
          <w:trHeight w:val="270" w:hRule="atLeast"/>
        </w:trPr>
        <w:tc>
          <w:tcPr>
            <w:tcW w:w="3032"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个人所得税</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before="7"/>
              <w:ind w:right="156"/>
              <w:jc w:val="right"/>
              <w:rPr>
                <w:sz w:val="21"/>
              </w:rPr>
            </w:pPr>
            <w:r>
              <w:rPr>
                <w:sz w:val="21"/>
              </w:rPr>
              <w:t>144,333,033.24</w:t>
            </w:r>
          </w:p>
        </w:tc>
        <w:tc>
          <w:tcPr>
            <w:tcW w:w="3012" w:type="dxa"/>
            <w:tcBorders>
              <w:top w:val="single" w:sz="4" w:space="0" w:color="000000"/>
              <w:left w:val="single" w:sz="4" w:space="0" w:color="000000"/>
              <w:bottom w:val="single" w:sz="4" w:space="0" w:color="000000"/>
            </w:tcBorders>
          </w:tcPr>
          <w:p>
            <w:pPr>
              <w:pStyle w:val="TableParagraph"/>
              <w:spacing w:before="7"/>
              <w:ind w:right="73"/>
              <w:jc w:val="right"/>
              <w:rPr>
                <w:sz w:val="21"/>
              </w:rPr>
            </w:pPr>
            <w:r>
              <w:rPr>
                <w:sz w:val="21"/>
              </w:rPr>
              <w:t>57,716,819.31</w:t>
            </w:r>
          </w:p>
        </w:tc>
      </w:tr>
      <w:tr>
        <w:trPr>
          <w:trHeight w:val="273" w:hRule="atLeast"/>
        </w:trPr>
        <w:tc>
          <w:tcPr>
            <w:tcW w:w="3032" w:type="dxa"/>
            <w:tcBorders>
              <w:top w:val="single" w:sz="4" w:space="0" w:color="000000"/>
              <w:bottom w:val="single" w:sz="4" w:space="0" w:color="000000"/>
              <w:right w:val="single" w:sz="4" w:space="0" w:color="000000"/>
            </w:tcBorders>
          </w:tcPr>
          <w:p>
            <w:pPr>
              <w:pStyle w:val="TableParagraph"/>
              <w:spacing w:line="250" w:lineRule="exact" w:before="3"/>
              <w:ind w:left="107"/>
              <w:rPr>
                <w:rFonts w:ascii="宋体" w:eastAsia="宋体" w:hint="eastAsia"/>
                <w:sz w:val="21"/>
              </w:rPr>
            </w:pPr>
            <w:r>
              <w:rPr>
                <w:rFonts w:ascii="宋体" w:eastAsia="宋体" w:hint="eastAsia"/>
                <w:sz w:val="21"/>
              </w:rPr>
              <w:t>城市维护建设税</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before="10"/>
              <w:ind w:right="156"/>
              <w:jc w:val="right"/>
              <w:rPr>
                <w:sz w:val="21"/>
              </w:rPr>
            </w:pPr>
            <w:r>
              <w:rPr>
                <w:sz w:val="21"/>
              </w:rPr>
              <w:t>13,992,816.15</w:t>
            </w:r>
          </w:p>
        </w:tc>
        <w:tc>
          <w:tcPr>
            <w:tcW w:w="3012" w:type="dxa"/>
            <w:tcBorders>
              <w:top w:val="single" w:sz="4" w:space="0" w:color="000000"/>
              <w:left w:val="single" w:sz="4" w:space="0" w:color="000000"/>
              <w:bottom w:val="single" w:sz="4" w:space="0" w:color="000000"/>
            </w:tcBorders>
          </w:tcPr>
          <w:p>
            <w:pPr>
              <w:pStyle w:val="TableParagraph"/>
              <w:spacing w:before="10"/>
              <w:ind w:right="73"/>
              <w:jc w:val="right"/>
              <w:rPr>
                <w:sz w:val="21"/>
              </w:rPr>
            </w:pPr>
            <w:r>
              <w:rPr>
                <w:sz w:val="21"/>
              </w:rPr>
              <w:t>12,703,998.50</w:t>
            </w:r>
          </w:p>
        </w:tc>
      </w:tr>
      <w:tr>
        <w:trPr>
          <w:trHeight w:val="273" w:hRule="atLeast"/>
        </w:trPr>
        <w:tc>
          <w:tcPr>
            <w:tcW w:w="3032"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教育费附加</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before="10"/>
              <w:ind w:right="156"/>
              <w:jc w:val="right"/>
              <w:rPr>
                <w:sz w:val="21"/>
              </w:rPr>
            </w:pPr>
            <w:r>
              <w:rPr>
                <w:sz w:val="21"/>
              </w:rPr>
              <w:t>5,960,935.92</w:t>
            </w:r>
          </w:p>
        </w:tc>
        <w:tc>
          <w:tcPr>
            <w:tcW w:w="3012" w:type="dxa"/>
            <w:tcBorders>
              <w:top w:val="single" w:sz="4" w:space="0" w:color="000000"/>
              <w:left w:val="single" w:sz="4" w:space="0" w:color="000000"/>
              <w:bottom w:val="single" w:sz="4" w:space="0" w:color="000000"/>
            </w:tcBorders>
          </w:tcPr>
          <w:p>
            <w:pPr>
              <w:pStyle w:val="TableParagraph"/>
              <w:spacing w:before="10"/>
              <w:ind w:right="73"/>
              <w:jc w:val="right"/>
              <w:rPr>
                <w:sz w:val="21"/>
              </w:rPr>
            </w:pPr>
            <w:r>
              <w:rPr>
                <w:sz w:val="21"/>
              </w:rPr>
              <w:t>5,473,294.35</w:t>
            </w:r>
          </w:p>
        </w:tc>
      </w:tr>
      <w:tr>
        <w:trPr>
          <w:trHeight w:val="270" w:hRule="atLeast"/>
        </w:trPr>
        <w:tc>
          <w:tcPr>
            <w:tcW w:w="3032"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废弃电器电子产品处理基金</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before="7"/>
              <w:ind w:right="156"/>
              <w:jc w:val="right"/>
              <w:rPr>
                <w:sz w:val="21"/>
              </w:rPr>
            </w:pPr>
            <w:r>
              <w:rPr>
                <w:sz w:val="21"/>
              </w:rPr>
              <w:t>88,989,555.00</w:t>
            </w:r>
          </w:p>
        </w:tc>
        <w:tc>
          <w:tcPr>
            <w:tcW w:w="3012" w:type="dxa"/>
            <w:tcBorders>
              <w:top w:val="single" w:sz="4" w:space="0" w:color="000000"/>
              <w:left w:val="single" w:sz="4" w:space="0" w:color="000000"/>
              <w:bottom w:val="single" w:sz="4" w:space="0" w:color="000000"/>
            </w:tcBorders>
          </w:tcPr>
          <w:p>
            <w:pPr>
              <w:pStyle w:val="TableParagraph"/>
              <w:spacing w:before="7"/>
              <w:ind w:right="73"/>
              <w:jc w:val="right"/>
              <w:rPr>
                <w:sz w:val="21"/>
              </w:rPr>
            </w:pPr>
            <w:r>
              <w:rPr>
                <w:sz w:val="21"/>
              </w:rPr>
              <w:t>102,288,068.00</w:t>
            </w:r>
          </w:p>
        </w:tc>
      </w:tr>
      <w:tr>
        <w:trPr>
          <w:trHeight w:val="273" w:hRule="atLeast"/>
        </w:trPr>
        <w:tc>
          <w:tcPr>
            <w:tcW w:w="3032" w:type="dxa"/>
            <w:tcBorders>
              <w:top w:val="single" w:sz="4" w:space="0" w:color="000000"/>
              <w:bottom w:val="single" w:sz="4" w:space="0" w:color="000000"/>
              <w:right w:val="single" w:sz="4" w:space="0" w:color="000000"/>
            </w:tcBorders>
          </w:tcPr>
          <w:p>
            <w:pPr>
              <w:pStyle w:val="TableParagraph"/>
              <w:spacing w:line="250" w:lineRule="exact" w:before="3"/>
              <w:ind w:left="107"/>
              <w:rPr>
                <w:rFonts w:ascii="宋体" w:eastAsia="宋体" w:hint="eastAsia"/>
                <w:sz w:val="21"/>
              </w:rPr>
            </w:pPr>
            <w:r>
              <w:rPr>
                <w:rFonts w:ascii="宋体" w:eastAsia="宋体" w:hint="eastAsia"/>
                <w:sz w:val="21"/>
              </w:rPr>
              <w:t>其他税费</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before="10"/>
              <w:ind w:right="156"/>
              <w:jc w:val="right"/>
              <w:rPr>
                <w:sz w:val="21"/>
              </w:rPr>
            </w:pPr>
            <w:r>
              <w:rPr>
                <w:sz w:val="21"/>
              </w:rPr>
              <w:t>129,826,404.39</w:t>
            </w:r>
          </w:p>
        </w:tc>
        <w:tc>
          <w:tcPr>
            <w:tcW w:w="3012" w:type="dxa"/>
            <w:tcBorders>
              <w:top w:val="single" w:sz="4" w:space="0" w:color="000000"/>
              <w:left w:val="single" w:sz="4" w:space="0" w:color="000000"/>
              <w:bottom w:val="single" w:sz="4" w:space="0" w:color="000000"/>
            </w:tcBorders>
          </w:tcPr>
          <w:p>
            <w:pPr>
              <w:pStyle w:val="TableParagraph"/>
              <w:spacing w:before="10"/>
              <w:ind w:right="73"/>
              <w:jc w:val="right"/>
              <w:rPr>
                <w:sz w:val="21"/>
              </w:rPr>
            </w:pPr>
            <w:r>
              <w:rPr>
                <w:sz w:val="21"/>
              </w:rPr>
              <w:t>54,835,056.73</w:t>
            </w:r>
          </w:p>
        </w:tc>
      </w:tr>
      <w:tr>
        <w:trPr>
          <w:trHeight w:val="270" w:hRule="atLeast"/>
        </w:trPr>
        <w:tc>
          <w:tcPr>
            <w:tcW w:w="3032" w:type="dxa"/>
            <w:tcBorders>
              <w:top w:val="single" w:sz="4" w:space="0" w:color="000000"/>
              <w:right w:val="single" w:sz="4" w:space="0" w:color="000000"/>
            </w:tcBorders>
          </w:tcPr>
          <w:p>
            <w:pPr>
              <w:pStyle w:val="TableParagraph"/>
              <w:spacing w:line="249" w:lineRule="exact" w:before="1"/>
              <w:ind w:left="1232" w:right="1315"/>
              <w:jc w:val="center"/>
              <w:rPr>
                <w:rFonts w:ascii="宋体" w:eastAsia="宋体" w:hint="eastAsia"/>
                <w:sz w:val="21"/>
              </w:rPr>
            </w:pPr>
            <w:r>
              <w:rPr>
                <w:rFonts w:ascii="宋体" w:eastAsia="宋体" w:hint="eastAsia"/>
                <w:sz w:val="21"/>
              </w:rPr>
              <w:t>合计</w:t>
            </w:r>
          </w:p>
        </w:tc>
        <w:tc>
          <w:tcPr>
            <w:tcW w:w="3005" w:type="dxa"/>
            <w:tcBorders>
              <w:top w:val="single" w:sz="4" w:space="0" w:color="000000"/>
              <w:left w:val="single" w:sz="4" w:space="0" w:color="000000"/>
              <w:right w:val="single" w:sz="4" w:space="0" w:color="000000"/>
            </w:tcBorders>
          </w:tcPr>
          <w:p>
            <w:pPr>
              <w:pStyle w:val="TableParagraph"/>
              <w:spacing w:line="240" w:lineRule="exact" w:before="10"/>
              <w:ind w:right="156"/>
              <w:jc w:val="right"/>
              <w:rPr>
                <w:sz w:val="21"/>
              </w:rPr>
            </w:pPr>
            <w:r>
              <w:rPr>
                <w:sz w:val="21"/>
              </w:rPr>
              <w:t>2,399,705,460.12</w:t>
            </w:r>
          </w:p>
        </w:tc>
        <w:tc>
          <w:tcPr>
            <w:tcW w:w="3012" w:type="dxa"/>
            <w:tcBorders>
              <w:top w:val="single" w:sz="4" w:space="0" w:color="000000"/>
              <w:left w:val="single" w:sz="4" w:space="0" w:color="000000"/>
            </w:tcBorders>
          </w:tcPr>
          <w:p>
            <w:pPr>
              <w:pStyle w:val="TableParagraph"/>
              <w:spacing w:line="240" w:lineRule="exact" w:before="10"/>
              <w:ind w:right="73"/>
              <w:jc w:val="right"/>
              <w:rPr>
                <w:sz w:val="21"/>
              </w:rPr>
            </w:pPr>
            <w:r>
              <w:rPr>
                <w:sz w:val="21"/>
              </w:rPr>
              <w:t>2,117,056,381.04</w:t>
            </w:r>
          </w:p>
        </w:tc>
      </w:tr>
    </w:tbl>
    <w:p>
      <w:pPr>
        <w:pStyle w:val="BodyText"/>
        <w:rPr>
          <w:sz w:val="18"/>
        </w:rPr>
      </w:pPr>
    </w:p>
    <w:p>
      <w:pPr>
        <w:spacing w:after="0"/>
        <w:rPr>
          <w:sz w:val="18"/>
        </w:rPr>
        <w:sectPr>
          <w:type w:val="continuous"/>
          <w:pgSz w:w="11910" w:h="16840"/>
          <w:pgMar w:top="1360" w:bottom="1400" w:left="260" w:right="0"/>
        </w:sectPr>
      </w:pPr>
    </w:p>
    <w:p>
      <w:pPr>
        <w:pStyle w:val="Heading4"/>
        <w:spacing w:before="9"/>
      </w:pPr>
      <w:r>
        <w:rPr>
          <w:rFonts w:ascii="Times New Roman" w:eastAsia="Times New Roman"/>
        </w:rPr>
        <w:t>32</w:t>
      </w:r>
      <w:r>
        <w:rPr>
          <w:spacing w:val="4"/>
        </w:rPr>
        <w:t>、 其他应付款</w:t>
      </w:r>
    </w:p>
    <w:p>
      <w:pPr>
        <w:pStyle w:val="BodyText"/>
        <w:spacing w:before="15"/>
        <w:ind w:left="1538"/>
      </w:pPr>
      <w:r>
        <w:rPr>
          <w:spacing w:val="-1"/>
        </w:rPr>
        <w:t>√适用 □不适用</w:t>
      </w:r>
    </w:p>
    <w:p>
      <w:pPr>
        <w:pStyle w:val="BodyText"/>
        <w:rPr>
          <w:sz w:val="20"/>
        </w:rPr>
      </w:pPr>
      <w:r>
        <w:rPr/>
        <w:br w:type="column"/>
      </w:r>
      <w:r>
        <w:rPr>
          <w:sz w:val="20"/>
        </w:rPr>
      </w:r>
    </w:p>
    <w:p>
      <w:pPr>
        <w:pStyle w:val="BodyText"/>
        <w:rPr>
          <w:sz w:val="20"/>
        </w:rPr>
      </w:pPr>
    </w:p>
    <w:p>
      <w:pPr>
        <w:pStyle w:val="BodyText"/>
        <w:tabs>
          <w:tab w:pos="2589" w:val="left" w:leader="none"/>
        </w:tabs>
        <w:spacing w:before="171"/>
        <w:ind w:left="1538"/>
      </w:pPr>
      <w:r>
        <w:rPr/>
        <w:t>单位：元</w:t>
        <w:tab/>
        <w:t>币</w:t>
      </w:r>
      <w:r>
        <w:rPr>
          <w:spacing w:val="-3"/>
        </w:rPr>
        <w:t>种</w:t>
      </w:r>
      <w:r>
        <w:rPr/>
        <w:t>：</w:t>
      </w:r>
      <w:r>
        <w:rPr>
          <w:spacing w:val="-3"/>
        </w:rPr>
        <w:t>人</w:t>
      </w:r>
      <w:r>
        <w:rPr/>
        <w:t>民币</w:t>
      </w:r>
    </w:p>
    <w:p>
      <w:pPr>
        <w:spacing w:after="0"/>
        <w:sectPr>
          <w:type w:val="continuous"/>
          <w:pgSz w:w="11910" w:h="16840"/>
          <w:pgMar w:top="1360" w:bottom="1400" w:left="260" w:right="0"/>
          <w:cols w:num="2" w:equalWidth="0">
            <w:col w:w="3155" w:space="3366"/>
            <w:col w:w="5129"/>
          </w:cols>
        </w:sect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308"/>
        <w:gridCol w:w="2864"/>
        <w:gridCol w:w="2879"/>
      </w:tblGrid>
      <w:tr>
        <w:trPr>
          <w:trHeight w:val="272" w:hRule="atLeast"/>
        </w:trPr>
        <w:tc>
          <w:tcPr>
            <w:tcW w:w="3308" w:type="dxa"/>
            <w:tcBorders>
              <w:bottom w:val="single" w:sz="4" w:space="0" w:color="000000"/>
              <w:right w:val="single" w:sz="4" w:space="0" w:color="000000"/>
            </w:tcBorders>
          </w:tcPr>
          <w:p>
            <w:pPr>
              <w:pStyle w:val="TableParagraph"/>
              <w:spacing w:line="253" w:lineRule="exact"/>
              <w:ind w:right="1421"/>
              <w:jc w:val="right"/>
              <w:rPr>
                <w:rFonts w:ascii="Microsoft JhengHei" w:eastAsia="Microsoft JhengHei" w:hint="eastAsia"/>
                <w:b/>
                <w:sz w:val="21"/>
              </w:rPr>
            </w:pPr>
            <w:r>
              <w:rPr>
                <w:rFonts w:ascii="Microsoft JhengHei" w:eastAsia="Microsoft JhengHei" w:hint="eastAsia"/>
                <w:b/>
                <w:sz w:val="21"/>
              </w:rPr>
              <w:t>项目</w:t>
            </w:r>
          </w:p>
        </w:tc>
        <w:tc>
          <w:tcPr>
            <w:tcW w:w="2864" w:type="dxa"/>
            <w:tcBorders>
              <w:left w:val="single" w:sz="4" w:space="0" w:color="000000"/>
              <w:bottom w:val="single" w:sz="4" w:space="0" w:color="000000"/>
              <w:right w:val="single" w:sz="4" w:space="0" w:color="000000"/>
            </w:tcBorders>
          </w:tcPr>
          <w:p>
            <w:pPr>
              <w:pStyle w:val="TableParagraph"/>
              <w:spacing w:line="253" w:lineRule="exact"/>
              <w:ind w:left="1001" w:right="972"/>
              <w:jc w:val="center"/>
              <w:rPr>
                <w:rFonts w:ascii="Microsoft JhengHei" w:eastAsia="Microsoft JhengHei" w:hint="eastAsia"/>
                <w:b/>
                <w:sz w:val="21"/>
              </w:rPr>
            </w:pPr>
            <w:r>
              <w:rPr>
                <w:rFonts w:ascii="Microsoft JhengHei" w:eastAsia="Microsoft JhengHei" w:hint="eastAsia"/>
                <w:b/>
                <w:sz w:val="21"/>
              </w:rPr>
              <w:t>期末余额</w:t>
            </w:r>
          </w:p>
        </w:tc>
        <w:tc>
          <w:tcPr>
            <w:tcW w:w="2879" w:type="dxa"/>
            <w:tcBorders>
              <w:left w:val="single" w:sz="4" w:space="0" w:color="000000"/>
              <w:bottom w:val="single" w:sz="4" w:space="0" w:color="000000"/>
            </w:tcBorders>
          </w:tcPr>
          <w:p>
            <w:pPr>
              <w:pStyle w:val="TableParagraph"/>
              <w:spacing w:line="253" w:lineRule="exact"/>
              <w:ind w:left="1009" w:right="970"/>
              <w:jc w:val="center"/>
              <w:rPr>
                <w:rFonts w:ascii="Microsoft JhengHei" w:eastAsia="Microsoft JhengHei" w:hint="eastAsia"/>
                <w:b/>
                <w:sz w:val="21"/>
              </w:rPr>
            </w:pPr>
            <w:r>
              <w:rPr>
                <w:rFonts w:ascii="Microsoft JhengHei" w:eastAsia="Microsoft JhengHei" w:hint="eastAsia"/>
                <w:b/>
                <w:sz w:val="21"/>
              </w:rPr>
              <w:t>期初余额</w:t>
            </w:r>
          </w:p>
        </w:tc>
      </w:tr>
      <w:tr>
        <w:trPr>
          <w:trHeight w:val="273" w:hRule="atLeast"/>
        </w:trPr>
        <w:tc>
          <w:tcPr>
            <w:tcW w:w="3308"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应付利息</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79" w:type="dxa"/>
            <w:tcBorders>
              <w:top w:val="single" w:sz="4" w:space="0" w:color="000000"/>
              <w:left w:val="single" w:sz="4" w:space="0" w:color="000000"/>
              <w:bottom w:val="single" w:sz="4" w:space="0" w:color="000000"/>
            </w:tcBorders>
          </w:tcPr>
          <w:p>
            <w:pPr>
              <w:pStyle w:val="TableParagraph"/>
              <w:spacing w:before="10"/>
              <w:ind w:right="75"/>
              <w:jc w:val="right"/>
              <w:rPr>
                <w:sz w:val="21"/>
              </w:rPr>
            </w:pPr>
            <w:r>
              <w:rPr>
                <w:sz w:val="21"/>
              </w:rPr>
              <w:t>49,395,752.93</w:t>
            </w:r>
          </w:p>
        </w:tc>
      </w:tr>
      <w:tr>
        <w:trPr>
          <w:trHeight w:val="270" w:hRule="atLeast"/>
        </w:trPr>
        <w:tc>
          <w:tcPr>
            <w:tcW w:w="3308"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应付股利</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79" w:type="dxa"/>
            <w:tcBorders>
              <w:top w:val="single" w:sz="4" w:space="0" w:color="000000"/>
              <w:left w:val="single" w:sz="4" w:space="0" w:color="000000"/>
              <w:bottom w:val="single" w:sz="4" w:space="0" w:color="000000"/>
            </w:tcBorders>
          </w:tcPr>
          <w:p>
            <w:pPr>
              <w:pStyle w:val="TableParagraph"/>
              <w:spacing w:before="7"/>
              <w:ind w:right="75"/>
              <w:jc w:val="right"/>
              <w:rPr>
                <w:sz w:val="21"/>
              </w:rPr>
            </w:pPr>
            <w:r>
              <w:rPr>
                <w:sz w:val="21"/>
              </w:rPr>
              <w:t>145,851,115.28</w:t>
            </w:r>
          </w:p>
        </w:tc>
      </w:tr>
      <w:tr>
        <w:trPr>
          <w:trHeight w:val="273" w:hRule="atLeast"/>
        </w:trPr>
        <w:tc>
          <w:tcPr>
            <w:tcW w:w="3308" w:type="dxa"/>
            <w:tcBorders>
              <w:top w:val="single" w:sz="4" w:space="0" w:color="000000"/>
              <w:bottom w:val="single" w:sz="4" w:space="0" w:color="000000"/>
              <w:right w:val="single" w:sz="4" w:space="0" w:color="000000"/>
            </w:tcBorders>
          </w:tcPr>
          <w:p>
            <w:pPr>
              <w:pStyle w:val="TableParagraph"/>
              <w:spacing w:line="250" w:lineRule="exact" w:before="3"/>
              <w:ind w:left="107"/>
              <w:rPr>
                <w:rFonts w:ascii="宋体" w:eastAsia="宋体" w:hint="eastAsia"/>
                <w:sz w:val="21"/>
              </w:rPr>
            </w:pPr>
            <w:r>
              <w:rPr>
                <w:rFonts w:ascii="宋体" w:eastAsia="宋体" w:hint="eastAsia"/>
                <w:sz w:val="21"/>
              </w:rPr>
              <w:t>其他应付款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17,056,156,167.28</w:t>
            </w:r>
          </w:p>
        </w:tc>
        <w:tc>
          <w:tcPr>
            <w:tcW w:w="2879" w:type="dxa"/>
            <w:tcBorders>
              <w:top w:val="single" w:sz="4" w:space="0" w:color="000000"/>
              <w:left w:val="single" w:sz="4" w:space="0" w:color="000000"/>
              <w:bottom w:val="single" w:sz="4" w:space="0" w:color="000000"/>
            </w:tcBorders>
          </w:tcPr>
          <w:p>
            <w:pPr>
              <w:pStyle w:val="TableParagraph"/>
              <w:spacing w:before="10"/>
              <w:ind w:right="75"/>
              <w:jc w:val="right"/>
              <w:rPr>
                <w:sz w:val="21"/>
              </w:rPr>
            </w:pPr>
            <w:r>
              <w:rPr>
                <w:sz w:val="21"/>
              </w:rPr>
              <w:t>14,961,145,653.61</w:t>
            </w:r>
          </w:p>
        </w:tc>
      </w:tr>
      <w:tr>
        <w:trPr>
          <w:trHeight w:val="270" w:hRule="atLeast"/>
        </w:trPr>
        <w:tc>
          <w:tcPr>
            <w:tcW w:w="3308" w:type="dxa"/>
            <w:tcBorders>
              <w:top w:val="single" w:sz="4" w:space="0" w:color="000000"/>
              <w:right w:val="single" w:sz="4" w:space="0" w:color="000000"/>
            </w:tcBorders>
          </w:tcPr>
          <w:p>
            <w:pPr>
              <w:pStyle w:val="TableParagraph"/>
              <w:spacing w:line="249" w:lineRule="exact" w:before="1"/>
              <w:ind w:right="1421"/>
              <w:jc w:val="right"/>
              <w:rPr>
                <w:rFonts w:ascii="宋体" w:eastAsia="宋体" w:hint="eastAsia"/>
                <w:sz w:val="21"/>
              </w:rPr>
            </w:pPr>
            <w:r>
              <w:rPr>
                <w:rFonts w:ascii="宋体" w:eastAsia="宋体" w:hint="eastAsia"/>
                <w:sz w:val="21"/>
              </w:rPr>
              <w:t>合计</w:t>
            </w:r>
          </w:p>
        </w:tc>
        <w:tc>
          <w:tcPr>
            <w:tcW w:w="2864" w:type="dxa"/>
            <w:tcBorders>
              <w:top w:val="single" w:sz="4" w:space="0" w:color="000000"/>
              <w:left w:val="single" w:sz="4" w:space="0" w:color="000000"/>
              <w:right w:val="single" w:sz="4" w:space="0" w:color="000000"/>
            </w:tcBorders>
          </w:tcPr>
          <w:p>
            <w:pPr>
              <w:pStyle w:val="TableParagraph"/>
              <w:spacing w:line="240" w:lineRule="exact" w:before="10"/>
              <w:ind w:right="85"/>
              <w:jc w:val="right"/>
              <w:rPr>
                <w:sz w:val="21"/>
              </w:rPr>
            </w:pPr>
            <w:r>
              <w:rPr>
                <w:sz w:val="21"/>
              </w:rPr>
              <w:t>17,056,156,167.28</w:t>
            </w:r>
          </w:p>
        </w:tc>
        <w:tc>
          <w:tcPr>
            <w:tcW w:w="2879" w:type="dxa"/>
            <w:tcBorders>
              <w:top w:val="single" w:sz="4" w:space="0" w:color="000000"/>
              <w:left w:val="single" w:sz="4" w:space="0" w:color="000000"/>
            </w:tcBorders>
          </w:tcPr>
          <w:p>
            <w:pPr>
              <w:pStyle w:val="TableParagraph"/>
              <w:spacing w:line="240" w:lineRule="exact" w:before="10"/>
              <w:ind w:right="75"/>
              <w:jc w:val="right"/>
              <w:rPr>
                <w:sz w:val="21"/>
              </w:rPr>
            </w:pPr>
            <w:r>
              <w:rPr>
                <w:sz w:val="21"/>
              </w:rPr>
              <w:t>15,156,392,521.82</w:t>
            </w:r>
          </w:p>
        </w:tc>
      </w:tr>
    </w:tbl>
    <w:p>
      <w:pPr>
        <w:pStyle w:val="BodyText"/>
        <w:rPr>
          <w:sz w:val="20"/>
        </w:rPr>
      </w:pPr>
    </w:p>
    <w:p>
      <w:pPr>
        <w:pStyle w:val="BodyText"/>
        <w:spacing w:before="6"/>
        <w:rPr>
          <w:sz w:val="16"/>
        </w:rPr>
      </w:pPr>
    </w:p>
    <w:p>
      <w:pPr>
        <w:pStyle w:val="ListParagraph"/>
        <w:numPr>
          <w:ilvl w:val="1"/>
          <w:numId w:val="61"/>
        </w:numPr>
        <w:tabs>
          <w:tab w:pos="2569" w:val="left" w:leader="none"/>
        </w:tabs>
        <w:spacing w:line="240" w:lineRule="auto" w:before="71" w:after="0"/>
        <w:ind w:left="2568" w:right="0" w:hanging="530"/>
        <w:jc w:val="left"/>
        <w:rPr>
          <w:sz w:val="21"/>
        </w:rPr>
      </w:pPr>
      <w:r>
        <w:rPr>
          <w:spacing w:val="-3"/>
          <w:sz w:val="21"/>
        </w:rPr>
        <w:t>应付利息：</w:t>
      </w:r>
    </w:p>
    <w:p>
      <w:pPr>
        <w:pStyle w:val="BodyText"/>
        <w:spacing w:before="6" w:after="1"/>
        <w:rPr>
          <w:sz w:val="11"/>
        </w:r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529"/>
        <w:gridCol w:w="2732"/>
        <w:gridCol w:w="2790"/>
      </w:tblGrid>
      <w:tr>
        <w:trPr>
          <w:trHeight w:val="368" w:hRule="atLeast"/>
        </w:trPr>
        <w:tc>
          <w:tcPr>
            <w:tcW w:w="3529" w:type="dxa"/>
            <w:tcBorders>
              <w:bottom w:val="single" w:sz="4" w:space="0" w:color="000000"/>
              <w:right w:val="single" w:sz="4" w:space="0" w:color="000000"/>
            </w:tcBorders>
          </w:tcPr>
          <w:p>
            <w:pPr>
              <w:pStyle w:val="TableParagraph"/>
              <w:spacing w:line="349" w:lineRule="exact"/>
              <w:ind w:right="1532"/>
              <w:jc w:val="right"/>
              <w:rPr>
                <w:rFonts w:ascii="Microsoft JhengHei" w:eastAsia="Microsoft JhengHei" w:hint="eastAsia"/>
                <w:b/>
                <w:sz w:val="21"/>
              </w:rPr>
            </w:pPr>
            <w:r>
              <w:rPr>
                <w:rFonts w:ascii="Microsoft JhengHei" w:eastAsia="Microsoft JhengHei" w:hint="eastAsia"/>
                <w:b/>
                <w:sz w:val="21"/>
              </w:rPr>
              <w:t>项目</w:t>
            </w:r>
          </w:p>
        </w:tc>
        <w:tc>
          <w:tcPr>
            <w:tcW w:w="2732" w:type="dxa"/>
            <w:tcBorders>
              <w:left w:val="single" w:sz="4" w:space="0" w:color="000000"/>
              <w:bottom w:val="single" w:sz="4" w:space="0" w:color="000000"/>
              <w:right w:val="single" w:sz="4" w:space="0" w:color="000000"/>
            </w:tcBorders>
          </w:tcPr>
          <w:p>
            <w:pPr>
              <w:pStyle w:val="TableParagraph"/>
              <w:spacing w:line="349" w:lineRule="exact"/>
              <w:ind w:left="934" w:right="907"/>
              <w:jc w:val="center"/>
              <w:rPr>
                <w:rFonts w:ascii="Microsoft JhengHei" w:eastAsia="Microsoft JhengHei" w:hint="eastAsia"/>
                <w:b/>
                <w:sz w:val="21"/>
              </w:rPr>
            </w:pPr>
            <w:r>
              <w:rPr>
                <w:rFonts w:ascii="Microsoft JhengHei" w:eastAsia="Microsoft JhengHei" w:hint="eastAsia"/>
                <w:b/>
                <w:sz w:val="21"/>
              </w:rPr>
              <w:t>期末余额</w:t>
            </w:r>
          </w:p>
        </w:tc>
        <w:tc>
          <w:tcPr>
            <w:tcW w:w="2790" w:type="dxa"/>
            <w:tcBorders>
              <w:left w:val="single" w:sz="4" w:space="0" w:color="000000"/>
              <w:bottom w:val="single" w:sz="4" w:space="0" w:color="000000"/>
            </w:tcBorders>
          </w:tcPr>
          <w:p>
            <w:pPr>
              <w:pStyle w:val="TableParagraph"/>
              <w:spacing w:line="349" w:lineRule="exact"/>
              <w:ind w:left="963" w:right="926"/>
              <w:jc w:val="center"/>
              <w:rPr>
                <w:rFonts w:ascii="Microsoft JhengHei" w:eastAsia="Microsoft JhengHei" w:hint="eastAsia"/>
                <w:b/>
                <w:sz w:val="21"/>
              </w:rPr>
            </w:pPr>
            <w:r>
              <w:rPr>
                <w:rFonts w:ascii="Microsoft JhengHei" w:eastAsia="Microsoft JhengHei" w:hint="eastAsia"/>
                <w:b/>
                <w:sz w:val="21"/>
              </w:rPr>
              <w:t>期初余额</w:t>
            </w:r>
          </w:p>
        </w:tc>
      </w:tr>
      <w:tr>
        <w:trPr>
          <w:trHeight w:val="369" w:hRule="atLeast"/>
        </w:trPr>
        <w:tc>
          <w:tcPr>
            <w:tcW w:w="3529" w:type="dxa"/>
            <w:tcBorders>
              <w:top w:val="single" w:sz="4" w:space="0" w:color="000000"/>
              <w:bottom w:val="single" w:sz="4" w:space="0" w:color="000000"/>
              <w:right w:val="single" w:sz="4" w:space="0" w:color="000000"/>
            </w:tcBorders>
          </w:tcPr>
          <w:p>
            <w:pPr>
              <w:pStyle w:val="TableParagraph"/>
              <w:spacing w:before="52"/>
              <w:ind w:left="107"/>
              <w:rPr>
                <w:rFonts w:ascii="宋体" w:eastAsia="宋体" w:hint="eastAsia"/>
                <w:sz w:val="21"/>
              </w:rPr>
            </w:pPr>
            <w:r>
              <w:rPr>
                <w:rFonts w:ascii="宋体" w:eastAsia="宋体" w:hint="eastAsia"/>
                <w:sz w:val="21"/>
              </w:rPr>
              <w:t>长期借款利息</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790"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22,160,847.23</w:t>
            </w:r>
          </w:p>
        </w:tc>
      </w:tr>
      <w:tr>
        <w:trPr>
          <w:trHeight w:val="369" w:hRule="atLeast"/>
        </w:trPr>
        <w:tc>
          <w:tcPr>
            <w:tcW w:w="3529"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短期借款利息</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790"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27,234,905.70</w:t>
            </w:r>
          </w:p>
        </w:tc>
      </w:tr>
      <w:tr>
        <w:trPr>
          <w:trHeight w:val="368" w:hRule="atLeast"/>
        </w:trPr>
        <w:tc>
          <w:tcPr>
            <w:tcW w:w="3529" w:type="dxa"/>
            <w:tcBorders>
              <w:top w:val="single" w:sz="4" w:space="0" w:color="000000"/>
              <w:right w:val="single" w:sz="4" w:space="0" w:color="000000"/>
            </w:tcBorders>
          </w:tcPr>
          <w:p>
            <w:pPr>
              <w:pStyle w:val="TableParagraph"/>
              <w:spacing w:before="49"/>
              <w:ind w:right="1532"/>
              <w:jc w:val="right"/>
              <w:rPr>
                <w:rFonts w:ascii="宋体" w:eastAsia="宋体" w:hint="eastAsia"/>
                <w:sz w:val="21"/>
              </w:rPr>
            </w:pPr>
            <w:r>
              <w:rPr>
                <w:rFonts w:ascii="宋体" w:eastAsia="宋体" w:hint="eastAsia"/>
                <w:sz w:val="21"/>
              </w:rPr>
              <w:t>合计</w:t>
            </w:r>
          </w:p>
        </w:tc>
        <w:tc>
          <w:tcPr>
            <w:tcW w:w="2732" w:type="dxa"/>
            <w:tcBorders>
              <w:top w:val="single" w:sz="4" w:space="0" w:color="000000"/>
              <w:left w:val="single" w:sz="4" w:space="0" w:color="000000"/>
              <w:right w:val="single" w:sz="4" w:space="0" w:color="000000"/>
            </w:tcBorders>
          </w:tcPr>
          <w:p>
            <w:pPr>
              <w:pStyle w:val="TableParagraph"/>
              <w:rPr>
                <w:sz w:val="20"/>
              </w:rPr>
            </w:pPr>
          </w:p>
        </w:tc>
        <w:tc>
          <w:tcPr>
            <w:tcW w:w="2790" w:type="dxa"/>
            <w:tcBorders>
              <w:top w:val="single" w:sz="4" w:space="0" w:color="000000"/>
              <w:left w:val="single" w:sz="4" w:space="0" w:color="000000"/>
            </w:tcBorders>
          </w:tcPr>
          <w:p>
            <w:pPr>
              <w:pStyle w:val="TableParagraph"/>
              <w:spacing w:before="58"/>
              <w:ind w:right="75"/>
              <w:jc w:val="right"/>
              <w:rPr>
                <w:sz w:val="21"/>
              </w:rPr>
            </w:pPr>
            <w:r>
              <w:rPr>
                <w:sz w:val="21"/>
              </w:rPr>
              <w:t>49,395,752.93</w:t>
            </w:r>
          </w:p>
        </w:tc>
      </w:tr>
    </w:tbl>
    <w:p>
      <w:pPr>
        <w:pStyle w:val="BodyText"/>
        <w:spacing w:before="8"/>
        <w:rPr>
          <w:sz w:val="20"/>
        </w:rPr>
      </w:pPr>
    </w:p>
    <w:p>
      <w:pPr>
        <w:pStyle w:val="ListParagraph"/>
        <w:numPr>
          <w:ilvl w:val="1"/>
          <w:numId w:val="61"/>
        </w:numPr>
        <w:tabs>
          <w:tab w:pos="2569" w:val="left" w:leader="none"/>
        </w:tabs>
        <w:spacing w:line="240" w:lineRule="auto" w:before="1" w:after="0"/>
        <w:ind w:left="2568" w:right="0" w:hanging="530"/>
        <w:jc w:val="left"/>
        <w:rPr>
          <w:sz w:val="21"/>
        </w:rPr>
      </w:pPr>
      <w:r>
        <w:rPr>
          <w:spacing w:val="-3"/>
          <w:sz w:val="21"/>
        </w:rPr>
        <w:t>应付股利：</w:t>
      </w:r>
    </w:p>
    <w:p>
      <w:pPr>
        <w:pStyle w:val="BodyText"/>
        <w:spacing w:before="6"/>
        <w:rPr>
          <w:sz w:val="11"/>
        </w:r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481"/>
        <w:gridCol w:w="2782"/>
        <w:gridCol w:w="2787"/>
      </w:tblGrid>
      <w:tr>
        <w:trPr>
          <w:trHeight w:val="368" w:hRule="atLeast"/>
        </w:trPr>
        <w:tc>
          <w:tcPr>
            <w:tcW w:w="3481" w:type="dxa"/>
            <w:tcBorders>
              <w:bottom w:val="single" w:sz="4" w:space="0" w:color="000000"/>
              <w:right w:val="single" w:sz="4" w:space="0" w:color="000000"/>
            </w:tcBorders>
          </w:tcPr>
          <w:p>
            <w:pPr>
              <w:pStyle w:val="TableParagraph"/>
              <w:spacing w:line="349" w:lineRule="exact"/>
              <w:ind w:left="1299" w:right="1282"/>
              <w:jc w:val="center"/>
              <w:rPr>
                <w:rFonts w:ascii="Microsoft JhengHei" w:eastAsia="Microsoft JhengHei" w:hint="eastAsia"/>
                <w:b/>
                <w:sz w:val="21"/>
              </w:rPr>
            </w:pPr>
            <w:r>
              <w:rPr>
                <w:rFonts w:ascii="Microsoft JhengHei" w:eastAsia="Microsoft JhengHei" w:hint="eastAsia"/>
                <w:b/>
                <w:sz w:val="21"/>
              </w:rPr>
              <w:t>单位名称</w:t>
            </w:r>
          </w:p>
        </w:tc>
        <w:tc>
          <w:tcPr>
            <w:tcW w:w="2782" w:type="dxa"/>
            <w:tcBorders>
              <w:left w:val="single" w:sz="4" w:space="0" w:color="000000"/>
              <w:bottom w:val="single" w:sz="4" w:space="0" w:color="000000"/>
              <w:right w:val="single" w:sz="4" w:space="0" w:color="000000"/>
            </w:tcBorders>
          </w:tcPr>
          <w:p>
            <w:pPr>
              <w:pStyle w:val="TableParagraph"/>
              <w:spacing w:line="349" w:lineRule="exact"/>
              <w:ind w:left="960" w:right="931"/>
              <w:jc w:val="center"/>
              <w:rPr>
                <w:rFonts w:ascii="Microsoft JhengHei" w:eastAsia="Microsoft JhengHei" w:hint="eastAsia"/>
                <w:b/>
                <w:sz w:val="21"/>
              </w:rPr>
            </w:pPr>
            <w:r>
              <w:rPr>
                <w:rFonts w:ascii="Microsoft JhengHei" w:eastAsia="Microsoft JhengHei" w:hint="eastAsia"/>
                <w:b/>
                <w:sz w:val="21"/>
              </w:rPr>
              <w:t>期末余额</w:t>
            </w:r>
          </w:p>
        </w:tc>
        <w:tc>
          <w:tcPr>
            <w:tcW w:w="2787" w:type="dxa"/>
            <w:tcBorders>
              <w:left w:val="single" w:sz="4" w:space="0" w:color="000000"/>
              <w:bottom w:val="single" w:sz="4" w:space="0" w:color="000000"/>
            </w:tcBorders>
          </w:tcPr>
          <w:p>
            <w:pPr>
              <w:pStyle w:val="TableParagraph"/>
              <w:spacing w:line="349" w:lineRule="exact"/>
              <w:ind w:left="963" w:right="923"/>
              <w:jc w:val="center"/>
              <w:rPr>
                <w:rFonts w:ascii="Microsoft JhengHei" w:eastAsia="Microsoft JhengHei" w:hint="eastAsia"/>
                <w:b/>
                <w:sz w:val="21"/>
              </w:rPr>
            </w:pPr>
            <w:r>
              <w:rPr>
                <w:rFonts w:ascii="Microsoft JhengHei" w:eastAsia="Microsoft JhengHei" w:hint="eastAsia"/>
                <w:b/>
                <w:sz w:val="21"/>
              </w:rPr>
              <w:t>期初余额</w:t>
            </w:r>
          </w:p>
        </w:tc>
      </w:tr>
      <w:tr>
        <w:trPr>
          <w:trHeight w:val="369" w:hRule="atLeast"/>
        </w:trPr>
        <w:tc>
          <w:tcPr>
            <w:tcW w:w="3481"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勇狮（香港）有限公司</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787"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122,756,874.10</w:t>
            </w:r>
          </w:p>
        </w:tc>
      </w:tr>
      <w:tr>
        <w:trPr>
          <w:trHeight w:val="366" w:hRule="atLeast"/>
        </w:trPr>
        <w:tc>
          <w:tcPr>
            <w:tcW w:w="3481" w:type="dxa"/>
            <w:tcBorders>
              <w:top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其他</w:t>
            </w:r>
          </w:p>
        </w:tc>
        <w:tc>
          <w:tcPr>
            <w:tcW w:w="2782" w:type="dxa"/>
            <w:tcBorders>
              <w:top w:val="single" w:sz="4" w:space="0" w:color="000000"/>
              <w:left w:val="single" w:sz="4" w:space="0" w:color="000000"/>
              <w:right w:val="single" w:sz="4" w:space="0" w:color="000000"/>
            </w:tcBorders>
          </w:tcPr>
          <w:p>
            <w:pPr>
              <w:pStyle w:val="TableParagraph"/>
              <w:rPr>
                <w:sz w:val="20"/>
              </w:rPr>
            </w:pPr>
          </w:p>
        </w:tc>
        <w:tc>
          <w:tcPr>
            <w:tcW w:w="2787" w:type="dxa"/>
            <w:tcBorders>
              <w:top w:val="single" w:sz="4" w:space="0" w:color="000000"/>
              <w:left w:val="single" w:sz="4" w:space="0" w:color="000000"/>
            </w:tcBorders>
          </w:tcPr>
          <w:p>
            <w:pPr>
              <w:pStyle w:val="TableParagraph"/>
              <w:spacing w:before="58"/>
              <w:ind w:right="74"/>
              <w:jc w:val="right"/>
              <w:rPr>
                <w:sz w:val="21"/>
              </w:rPr>
            </w:pPr>
            <w:r>
              <w:rPr>
                <w:sz w:val="21"/>
              </w:rPr>
              <w:t>23,094,241.18</w:t>
            </w:r>
          </w:p>
        </w:tc>
      </w:tr>
    </w:tbl>
    <w:p>
      <w:pPr>
        <w:spacing w:after="0"/>
        <w:jc w:val="right"/>
        <w:rPr>
          <w:sz w:val="21"/>
        </w:rPr>
        <w:sectPr>
          <w:type w:val="continuous"/>
          <w:pgSz w:w="11910" w:h="16840"/>
          <w:pgMar w:top="1360" w:bottom="1400" w:left="260" w:right="0"/>
        </w:sectPr>
      </w:pPr>
    </w:p>
    <w:p>
      <w:pPr>
        <w:pStyle w:val="BodyText"/>
        <w:spacing w:before="2"/>
        <w:rPr>
          <w:sz w:val="5"/>
        </w:r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481"/>
        <w:gridCol w:w="2782"/>
        <w:gridCol w:w="2787"/>
      </w:tblGrid>
      <w:tr>
        <w:trPr>
          <w:trHeight w:val="368" w:hRule="atLeast"/>
        </w:trPr>
        <w:tc>
          <w:tcPr>
            <w:tcW w:w="3481" w:type="dxa"/>
            <w:tcBorders>
              <w:right w:val="single" w:sz="4" w:space="0" w:color="000000"/>
            </w:tcBorders>
          </w:tcPr>
          <w:p>
            <w:pPr>
              <w:pStyle w:val="TableParagraph"/>
              <w:spacing w:before="51"/>
              <w:ind w:left="1299" w:right="1282"/>
              <w:jc w:val="center"/>
              <w:rPr>
                <w:rFonts w:ascii="宋体" w:eastAsia="宋体" w:hint="eastAsia"/>
                <w:sz w:val="21"/>
              </w:rPr>
            </w:pPr>
            <w:r>
              <w:rPr>
                <w:rFonts w:ascii="宋体" w:eastAsia="宋体" w:hint="eastAsia"/>
                <w:sz w:val="21"/>
              </w:rPr>
              <w:t>合计</w:t>
            </w:r>
          </w:p>
        </w:tc>
        <w:tc>
          <w:tcPr>
            <w:tcW w:w="2782" w:type="dxa"/>
            <w:tcBorders>
              <w:left w:val="single" w:sz="4" w:space="0" w:color="000000"/>
              <w:right w:val="single" w:sz="4" w:space="0" w:color="000000"/>
            </w:tcBorders>
          </w:tcPr>
          <w:p>
            <w:pPr>
              <w:pStyle w:val="TableParagraph"/>
              <w:rPr>
                <w:sz w:val="20"/>
              </w:rPr>
            </w:pPr>
          </w:p>
        </w:tc>
        <w:tc>
          <w:tcPr>
            <w:tcW w:w="2787" w:type="dxa"/>
            <w:tcBorders>
              <w:left w:val="single" w:sz="4" w:space="0" w:color="000000"/>
            </w:tcBorders>
          </w:tcPr>
          <w:p>
            <w:pPr>
              <w:pStyle w:val="TableParagraph"/>
              <w:spacing w:before="58"/>
              <w:ind w:left="1375"/>
              <w:rPr>
                <w:sz w:val="21"/>
              </w:rPr>
            </w:pPr>
            <w:r>
              <w:rPr>
                <w:sz w:val="21"/>
              </w:rPr>
              <w:t>145,851,115.28</w:t>
            </w:r>
          </w:p>
        </w:tc>
      </w:tr>
    </w:tbl>
    <w:p>
      <w:pPr>
        <w:pStyle w:val="BodyText"/>
        <w:spacing w:before="8"/>
        <w:rPr>
          <w:sz w:val="14"/>
        </w:rPr>
      </w:pPr>
    </w:p>
    <w:p>
      <w:pPr>
        <w:pStyle w:val="ListParagraph"/>
        <w:numPr>
          <w:ilvl w:val="1"/>
          <w:numId w:val="61"/>
        </w:numPr>
        <w:tabs>
          <w:tab w:pos="2569" w:val="left" w:leader="none"/>
        </w:tabs>
        <w:spacing w:line="240" w:lineRule="auto" w:before="78" w:after="0"/>
        <w:ind w:left="2568" w:right="0" w:hanging="530"/>
        <w:jc w:val="left"/>
        <w:rPr>
          <w:sz w:val="21"/>
        </w:rPr>
      </w:pPr>
      <w:r>
        <w:rPr>
          <w:spacing w:val="-3"/>
          <w:sz w:val="21"/>
        </w:rPr>
        <w:t>其他应付款：</w:t>
      </w:r>
    </w:p>
    <w:p>
      <w:pPr>
        <w:pStyle w:val="BodyText"/>
        <w:spacing w:before="7"/>
        <w:rPr>
          <w:sz w:val="11"/>
        </w:r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481"/>
        <w:gridCol w:w="2782"/>
        <w:gridCol w:w="2787"/>
      </w:tblGrid>
      <w:tr>
        <w:trPr>
          <w:trHeight w:val="371" w:hRule="atLeast"/>
        </w:trPr>
        <w:tc>
          <w:tcPr>
            <w:tcW w:w="3481" w:type="dxa"/>
            <w:tcBorders>
              <w:bottom w:val="single" w:sz="4" w:space="0" w:color="000000"/>
              <w:right w:val="single" w:sz="4" w:space="0" w:color="000000"/>
            </w:tcBorders>
          </w:tcPr>
          <w:p>
            <w:pPr>
              <w:pStyle w:val="TableParagraph"/>
              <w:spacing w:line="351" w:lineRule="exact"/>
              <w:ind w:right="1508"/>
              <w:jc w:val="right"/>
              <w:rPr>
                <w:rFonts w:ascii="Microsoft JhengHei" w:eastAsia="Microsoft JhengHei" w:hint="eastAsia"/>
                <w:b/>
                <w:sz w:val="21"/>
              </w:rPr>
            </w:pPr>
            <w:r>
              <w:rPr>
                <w:rFonts w:ascii="Microsoft JhengHei" w:eastAsia="Microsoft JhengHei" w:hint="eastAsia"/>
                <w:b/>
                <w:sz w:val="21"/>
              </w:rPr>
              <w:t>项目</w:t>
            </w:r>
          </w:p>
        </w:tc>
        <w:tc>
          <w:tcPr>
            <w:tcW w:w="2782" w:type="dxa"/>
            <w:tcBorders>
              <w:left w:val="single" w:sz="4" w:space="0" w:color="000000"/>
              <w:bottom w:val="single" w:sz="4" w:space="0" w:color="000000"/>
              <w:right w:val="single" w:sz="4" w:space="0" w:color="000000"/>
            </w:tcBorders>
          </w:tcPr>
          <w:p>
            <w:pPr>
              <w:pStyle w:val="TableParagraph"/>
              <w:spacing w:line="351" w:lineRule="exact"/>
              <w:ind w:left="960" w:right="931"/>
              <w:jc w:val="center"/>
              <w:rPr>
                <w:rFonts w:ascii="Microsoft JhengHei" w:eastAsia="Microsoft JhengHei" w:hint="eastAsia"/>
                <w:b/>
                <w:sz w:val="21"/>
              </w:rPr>
            </w:pPr>
            <w:r>
              <w:rPr>
                <w:rFonts w:ascii="Microsoft JhengHei" w:eastAsia="Microsoft JhengHei" w:hint="eastAsia"/>
                <w:b/>
                <w:sz w:val="21"/>
              </w:rPr>
              <w:t>期末余额</w:t>
            </w:r>
          </w:p>
        </w:tc>
        <w:tc>
          <w:tcPr>
            <w:tcW w:w="2787" w:type="dxa"/>
            <w:tcBorders>
              <w:left w:val="single" w:sz="4" w:space="0" w:color="000000"/>
              <w:bottom w:val="single" w:sz="4" w:space="0" w:color="000000"/>
            </w:tcBorders>
          </w:tcPr>
          <w:p>
            <w:pPr>
              <w:pStyle w:val="TableParagraph"/>
              <w:spacing w:line="351" w:lineRule="exact"/>
              <w:ind w:left="963" w:right="923"/>
              <w:jc w:val="center"/>
              <w:rPr>
                <w:rFonts w:ascii="Microsoft JhengHei" w:eastAsia="Microsoft JhengHei" w:hint="eastAsia"/>
                <w:b/>
                <w:sz w:val="21"/>
              </w:rPr>
            </w:pPr>
            <w:r>
              <w:rPr>
                <w:rFonts w:ascii="Microsoft JhengHei" w:eastAsia="Microsoft JhengHei" w:hint="eastAsia"/>
                <w:b/>
                <w:sz w:val="21"/>
              </w:rPr>
              <w:t>期初余额</w:t>
            </w:r>
          </w:p>
        </w:tc>
      </w:tr>
      <w:tr>
        <w:trPr>
          <w:trHeight w:val="369" w:hRule="atLeast"/>
        </w:trPr>
        <w:tc>
          <w:tcPr>
            <w:tcW w:w="3481"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其他应付款</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before="55"/>
              <w:ind w:right="84"/>
              <w:jc w:val="right"/>
              <w:rPr>
                <w:sz w:val="21"/>
              </w:rPr>
            </w:pPr>
            <w:r>
              <w:rPr>
                <w:sz w:val="21"/>
              </w:rPr>
              <w:t>17,056,156,167.28</w:t>
            </w:r>
          </w:p>
        </w:tc>
        <w:tc>
          <w:tcPr>
            <w:tcW w:w="2787" w:type="dxa"/>
            <w:tcBorders>
              <w:top w:val="single" w:sz="4" w:space="0" w:color="000000"/>
              <w:left w:val="single" w:sz="4" w:space="0" w:color="000000"/>
              <w:bottom w:val="single" w:sz="4" w:space="0" w:color="000000"/>
            </w:tcBorders>
          </w:tcPr>
          <w:p>
            <w:pPr>
              <w:pStyle w:val="TableParagraph"/>
              <w:spacing w:before="55"/>
              <w:ind w:right="74"/>
              <w:jc w:val="right"/>
              <w:rPr>
                <w:sz w:val="21"/>
              </w:rPr>
            </w:pPr>
            <w:r>
              <w:rPr>
                <w:sz w:val="21"/>
              </w:rPr>
              <w:t>14,961,145,653.61</w:t>
            </w:r>
          </w:p>
        </w:tc>
      </w:tr>
      <w:tr>
        <w:trPr>
          <w:trHeight w:val="366" w:hRule="atLeast"/>
        </w:trPr>
        <w:tc>
          <w:tcPr>
            <w:tcW w:w="3481" w:type="dxa"/>
            <w:tcBorders>
              <w:top w:val="single" w:sz="4" w:space="0" w:color="000000"/>
              <w:right w:val="single" w:sz="4" w:space="0" w:color="000000"/>
            </w:tcBorders>
          </w:tcPr>
          <w:p>
            <w:pPr>
              <w:pStyle w:val="TableParagraph"/>
              <w:spacing w:before="49"/>
              <w:ind w:right="1508"/>
              <w:jc w:val="right"/>
              <w:rPr>
                <w:rFonts w:ascii="宋体" w:eastAsia="宋体" w:hint="eastAsia"/>
                <w:sz w:val="21"/>
              </w:rPr>
            </w:pPr>
            <w:r>
              <w:rPr>
                <w:rFonts w:ascii="宋体" w:eastAsia="宋体" w:hint="eastAsia"/>
                <w:sz w:val="21"/>
              </w:rPr>
              <w:t>合计</w:t>
            </w:r>
          </w:p>
        </w:tc>
        <w:tc>
          <w:tcPr>
            <w:tcW w:w="2782" w:type="dxa"/>
            <w:tcBorders>
              <w:top w:val="single" w:sz="4" w:space="0" w:color="000000"/>
              <w:left w:val="single" w:sz="4" w:space="0" w:color="000000"/>
              <w:right w:val="single" w:sz="4" w:space="0" w:color="000000"/>
            </w:tcBorders>
          </w:tcPr>
          <w:p>
            <w:pPr>
              <w:pStyle w:val="TableParagraph"/>
              <w:spacing w:before="55"/>
              <w:ind w:right="84"/>
              <w:jc w:val="right"/>
              <w:rPr>
                <w:sz w:val="21"/>
              </w:rPr>
            </w:pPr>
            <w:r>
              <w:rPr>
                <w:sz w:val="21"/>
              </w:rPr>
              <w:t>17,056,156,167.28</w:t>
            </w:r>
          </w:p>
        </w:tc>
        <w:tc>
          <w:tcPr>
            <w:tcW w:w="2787" w:type="dxa"/>
            <w:tcBorders>
              <w:top w:val="single" w:sz="4" w:space="0" w:color="000000"/>
              <w:left w:val="single" w:sz="4" w:space="0" w:color="000000"/>
            </w:tcBorders>
          </w:tcPr>
          <w:p>
            <w:pPr>
              <w:pStyle w:val="TableParagraph"/>
              <w:spacing w:before="55"/>
              <w:ind w:right="74"/>
              <w:jc w:val="right"/>
              <w:rPr>
                <w:sz w:val="21"/>
              </w:rPr>
            </w:pPr>
            <w:r>
              <w:rPr>
                <w:sz w:val="21"/>
              </w:rPr>
              <w:t>14,961,145,653.61</w:t>
            </w:r>
          </w:p>
        </w:tc>
      </w:tr>
    </w:tbl>
    <w:p>
      <w:pPr>
        <w:pStyle w:val="BodyText"/>
        <w:spacing w:before="3"/>
        <w:ind w:left="1962"/>
      </w:pPr>
      <w:bookmarkStart w:name="OLE_LINK7" w:id="17"/>
      <w:bookmarkEnd w:id="17"/>
      <w:r>
        <w:rPr/>
      </w:r>
      <w:bookmarkStart w:name="OLE_LINK8" w:id="18"/>
      <w:bookmarkEnd w:id="18"/>
      <w:r>
        <w:rPr/>
      </w:r>
      <w:r>
        <w:rPr>
          <w:spacing w:val="-3"/>
        </w:rPr>
        <w:t>期末账面余额主要包含已发生尚未支付的费用。</w:t>
      </w:r>
      <w:r>
        <w:rPr/>
        <w:t> </w:t>
      </w:r>
    </w:p>
    <w:p>
      <w:pPr>
        <w:pStyle w:val="BodyText"/>
        <w:spacing w:before="9"/>
        <w:rPr>
          <w:sz w:val="17"/>
        </w:rPr>
      </w:pPr>
    </w:p>
    <w:p>
      <w:pPr>
        <w:spacing w:after="0"/>
        <w:rPr>
          <w:sz w:val="17"/>
        </w:rPr>
        <w:sectPr>
          <w:pgSz w:w="11910" w:h="16840"/>
          <w:pgMar w:header="876" w:footer="1192" w:top="1440" w:bottom="1400" w:left="260" w:right="0"/>
        </w:sectPr>
      </w:pPr>
    </w:p>
    <w:p>
      <w:pPr>
        <w:pStyle w:val="Heading4"/>
        <w:spacing w:before="9"/>
      </w:pPr>
      <w:r>
        <w:rPr>
          <w:rFonts w:ascii="Times New Roman" w:eastAsia="Times New Roman"/>
        </w:rPr>
        <w:t>33</w:t>
      </w:r>
      <w:r>
        <w:rPr/>
        <w:t>、 </w:t>
      </w:r>
      <w:r>
        <w:rPr>
          <w:rFonts w:ascii="Times New Roman" w:eastAsia="Times New Roman"/>
        </w:rPr>
        <w:t>1 </w:t>
      </w:r>
      <w:r>
        <w:rPr/>
        <w:t>年内到期的非流动负债</w:t>
      </w:r>
    </w:p>
    <w:p>
      <w:pPr>
        <w:pStyle w:val="BodyText"/>
        <w:spacing w:before="16"/>
        <w:ind w:left="1538"/>
      </w:pPr>
      <w:r>
        <w:rPr/>
        <w:t>√适用 □不适用</w:t>
      </w:r>
    </w:p>
    <w:p>
      <w:pPr>
        <w:pStyle w:val="BodyText"/>
        <w:rPr>
          <w:sz w:val="20"/>
        </w:rPr>
      </w:pPr>
      <w:r>
        <w:rPr/>
        <w:br w:type="column"/>
      </w:r>
      <w:r>
        <w:rPr>
          <w:sz w:val="20"/>
        </w:rPr>
      </w:r>
    </w:p>
    <w:p>
      <w:pPr>
        <w:pStyle w:val="BodyText"/>
        <w:rPr>
          <w:sz w:val="20"/>
        </w:rPr>
      </w:pPr>
    </w:p>
    <w:p>
      <w:pPr>
        <w:pStyle w:val="BodyText"/>
        <w:tabs>
          <w:tab w:pos="2589" w:val="left" w:leader="none"/>
        </w:tabs>
        <w:spacing w:before="170"/>
        <w:ind w:left="1538"/>
      </w:pPr>
      <w:r>
        <w:rPr/>
        <w:t>单位：元</w:t>
        <w:tab/>
        <w:t>币</w:t>
      </w:r>
      <w:r>
        <w:rPr>
          <w:spacing w:val="-3"/>
        </w:rPr>
        <w:t>种</w:t>
      </w:r>
      <w:r>
        <w:rPr/>
        <w:t>：</w:t>
      </w:r>
      <w:r>
        <w:rPr>
          <w:spacing w:val="-3"/>
        </w:rPr>
        <w:t>人</w:t>
      </w:r>
      <w:r>
        <w:rPr/>
        <w:t>民币</w:t>
      </w:r>
    </w:p>
    <w:p>
      <w:pPr>
        <w:spacing w:after="0"/>
        <w:sectPr>
          <w:type w:val="continuous"/>
          <w:pgSz w:w="11910" w:h="16840"/>
          <w:pgMar w:top="1360" w:bottom="1400" w:left="260" w:right="0"/>
          <w:cols w:num="2" w:equalWidth="0">
            <w:col w:w="4351" w:space="2171"/>
            <w:col w:w="5128"/>
          </w:cols>
        </w:sect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909"/>
        <w:gridCol w:w="3036"/>
        <w:gridCol w:w="3103"/>
      </w:tblGrid>
      <w:tr>
        <w:trPr>
          <w:trHeight w:val="273" w:hRule="atLeast"/>
        </w:trPr>
        <w:tc>
          <w:tcPr>
            <w:tcW w:w="2909" w:type="dxa"/>
            <w:tcBorders>
              <w:bottom w:val="single" w:sz="4" w:space="0" w:color="000000"/>
              <w:right w:val="single" w:sz="4" w:space="0" w:color="000000"/>
            </w:tcBorders>
          </w:tcPr>
          <w:p>
            <w:pPr>
              <w:pStyle w:val="TableParagraph"/>
              <w:spacing w:line="253" w:lineRule="exact"/>
              <w:ind w:left="1223" w:right="1205"/>
              <w:jc w:val="center"/>
              <w:rPr>
                <w:rFonts w:ascii="Microsoft JhengHei" w:eastAsia="Microsoft JhengHei" w:hint="eastAsia"/>
                <w:b/>
                <w:sz w:val="21"/>
              </w:rPr>
            </w:pPr>
            <w:r>
              <w:rPr>
                <w:rFonts w:ascii="Microsoft JhengHei" w:eastAsia="Microsoft JhengHei" w:hint="eastAsia"/>
                <w:b/>
                <w:sz w:val="21"/>
              </w:rPr>
              <w:t>项目</w:t>
            </w:r>
          </w:p>
        </w:tc>
        <w:tc>
          <w:tcPr>
            <w:tcW w:w="3036" w:type="dxa"/>
            <w:tcBorders>
              <w:left w:val="single" w:sz="4" w:space="0" w:color="000000"/>
              <w:bottom w:val="single" w:sz="4" w:space="0" w:color="000000"/>
              <w:right w:val="single" w:sz="4" w:space="0" w:color="000000"/>
            </w:tcBorders>
          </w:tcPr>
          <w:p>
            <w:pPr>
              <w:pStyle w:val="TableParagraph"/>
              <w:spacing w:line="253" w:lineRule="exact"/>
              <w:ind w:left="1086" w:right="1059"/>
              <w:jc w:val="center"/>
              <w:rPr>
                <w:rFonts w:ascii="Microsoft JhengHei" w:eastAsia="Microsoft JhengHei" w:hint="eastAsia"/>
                <w:b/>
                <w:sz w:val="21"/>
              </w:rPr>
            </w:pPr>
            <w:r>
              <w:rPr>
                <w:rFonts w:ascii="Microsoft JhengHei" w:eastAsia="Microsoft JhengHei" w:hint="eastAsia"/>
                <w:b/>
                <w:sz w:val="21"/>
              </w:rPr>
              <w:t>期末余额</w:t>
            </w:r>
          </w:p>
        </w:tc>
        <w:tc>
          <w:tcPr>
            <w:tcW w:w="3103" w:type="dxa"/>
            <w:tcBorders>
              <w:left w:val="single" w:sz="4" w:space="0" w:color="000000"/>
              <w:bottom w:val="single" w:sz="4" w:space="0" w:color="000000"/>
            </w:tcBorders>
          </w:tcPr>
          <w:p>
            <w:pPr>
              <w:pStyle w:val="TableParagraph"/>
              <w:spacing w:line="253" w:lineRule="exact"/>
              <w:ind w:left="1122" w:right="1080"/>
              <w:jc w:val="center"/>
              <w:rPr>
                <w:rFonts w:ascii="Microsoft JhengHei" w:eastAsia="Microsoft JhengHei" w:hint="eastAsia"/>
                <w:b/>
                <w:sz w:val="21"/>
              </w:rPr>
            </w:pPr>
            <w:r>
              <w:rPr>
                <w:rFonts w:ascii="Microsoft JhengHei" w:eastAsia="Microsoft JhengHei" w:hint="eastAsia"/>
                <w:b/>
                <w:sz w:val="21"/>
              </w:rPr>
              <w:t>期初余额</w:t>
            </w:r>
          </w:p>
        </w:tc>
      </w:tr>
      <w:tr>
        <w:trPr>
          <w:trHeight w:val="270" w:hRule="atLeast"/>
        </w:trPr>
        <w:tc>
          <w:tcPr>
            <w:tcW w:w="2909"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sz w:val="21"/>
              </w:rPr>
              <w:t>1 </w:t>
            </w:r>
            <w:r>
              <w:rPr>
                <w:rFonts w:ascii="宋体" w:eastAsia="宋体" w:hint="eastAsia"/>
                <w:sz w:val="21"/>
              </w:rPr>
              <w:t>年内到期的长期借款</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before="7"/>
              <w:ind w:right="86"/>
              <w:jc w:val="right"/>
              <w:rPr>
                <w:sz w:val="21"/>
              </w:rPr>
            </w:pPr>
            <w:r>
              <w:rPr>
                <w:sz w:val="21"/>
              </w:rPr>
              <w:t>4,950,555,670.08</w:t>
            </w:r>
          </w:p>
        </w:tc>
        <w:tc>
          <w:tcPr>
            <w:tcW w:w="3103" w:type="dxa"/>
            <w:tcBorders>
              <w:top w:val="single" w:sz="4" w:space="0" w:color="000000"/>
              <w:left w:val="single" w:sz="4" w:space="0" w:color="000000"/>
              <w:bottom w:val="single" w:sz="4" w:space="0" w:color="000000"/>
            </w:tcBorders>
          </w:tcPr>
          <w:p>
            <w:pPr>
              <w:pStyle w:val="TableParagraph"/>
              <w:spacing w:before="7"/>
              <w:ind w:right="72"/>
              <w:jc w:val="right"/>
              <w:rPr>
                <w:sz w:val="21"/>
              </w:rPr>
            </w:pPr>
            <w:r>
              <w:rPr>
                <w:sz w:val="21"/>
              </w:rPr>
              <w:t>4,730,070,447.82</w:t>
            </w:r>
          </w:p>
        </w:tc>
      </w:tr>
      <w:tr>
        <w:trPr>
          <w:trHeight w:val="273" w:hRule="atLeast"/>
        </w:trPr>
        <w:tc>
          <w:tcPr>
            <w:tcW w:w="2909"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sz w:val="21"/>
              </w:rPr>
              <w:t>1 </w:t>
            </w:r>
            <w:r>
              <w:rPr>
                <w:rFonts w:ascii="宋体" w:eastAsia="宋体" w:hint="eastAsia"/>
                <w:sz w:val="21"/>
              </w:rPr>
              <w:t>年内到期的长期应付款</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before="10"/>
              <w:ind w:right="85"/>
              <w:jc w:val="right"/>
              <w:rPr>
                <w:sz w:val="21"/>
              </w:rPr>
            </w:pPr>
            <w:r>
              <w:rPr>
                <w:sz w:val="21"/>
              </w:rPr>
              <w:t>20,000,000.00</w:t>
            </w:r>
          </w:p>
        </w:tc>
        <w:tc>
          <w:tcPr>
            <w:tcW w:w="3103"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2909"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sz w:val="21"/>
              </w:rPr>
              <w:t>1 </w:t>
            </w:r>
            <w:r>
              <w:rPr>
                <w:rFonts w:ascii="宋体" w:eastAsia="宋体" w:hint="eastAsia"/>
                <w:sz w:val="21"/>
              </w:rPr>
              <w:t>年内到期的租赁负债</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before="7"/>
              <w:ind w:right="86"/>
              <w:jc w:val="right"/>
              <w:rPr>
                <w:sz w:val="21"/>
              </w:rPr>
            </w:pPr>
            <w:r>
              <w:rPr>
                <w:sz w:val="21"/>
              </w:rPr>
              <w:t>670,863,763.75</w:t>
            </w:r>
          </w:p>
        </w:tc>
        <w:tc>
          <w:tcPr>
            <w:tcW w:w="3103" w:type="dxa"/>
            <w:tcBorders>
              <w:top w:val="single" w:sz="4" w:space="0" w:color="000000"/>
              <w:left w:val="single" w:sz="4" w:space="0" w:color="000000"/>
              <w:bottom w:val="single" w:sz="4" w:space="0" w:color="000000"/>
            </w:tcBorders>
          </w:tcPr>
          <w:p>
            <w:pPr>
              <w:pStyle w:val="TableParagraph"/>
              <w:spacing w:before="7"/>
              <w:ind w:right="72"/>
              <w:jc w:val="right"/>
              <w:rPr>
                <w:sz w:val="21"/>
              </w:rPr>
            </w:pPr>
            <w:r>
              <w:rPr>
                <w:sz w:val="21"/>
              </w:rPr>
              <w:t>594,930,209.58</w:t>
            </w:r>
          </w:p>
        </w:tc>
      </w:tr>
      <w:tr>
        <w:trPr>
          <w:trHeight w:val="270" w:hRule="atLeast"/>
        </w:trPr>
        <w:tc>
          <w:tcPr>
            <w:tcW w:w="2909"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sz w:val="21"/>
              </w:rPr>
              <w:t>1 </w:t>
            </w:r>
            <w:r>
              <w:rPr>
                <w:rFonts w:ascii="宋体" w:eastAsia="宋体" w:hint="eastAsia"/>
                <w:sz w:val="21"/>
              </w:rPr>
              <w:t>年内到期的预计负债</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before="7"/>
              <w:ind w:right="86"/>
              <w:jc w:val="right"/>
              <w:rPr>
                <w:sz w:val="21"/>
              </w:rPr>
            </w:pPr>
            <w:r>
              <w:rPr>
                <w:sz w:val="21"/>
              </w:rPr>
              <w:t>1,881,305,479.57</w:t>
            </w:r>
          </w:p>
        </w:tc>
        <w:tc>
          <w:tcPr>
            <w:tcW w:w="3103" w:type="dxa"/>
            <w:tcBorders>
              <w:top w:val="single" w:sz="4" w:space="0" w:color="000000"/>
              <w:left w:val="single" w:sz="4" w:space="0" w:color="000000"/>
              <w:bottom w:val="single" w:sz="4" w:space="0" w:color="000000"/>
            </w:tcBorders>
          </w:tcPr>
          <w:p>
            <w:pPr>
              <w:pStyle w:val="TableParagraph"/>
              <w:spacing w:before="7"/>
              <w:ind w:right="72"/>
              <w:jc w:val="right"/>
              <w:rPr>
                <w:sz w:val="21"/>
              </w:rPr>
            </w:pPr>
            <w:r>
              <w:rPr>
                <w:sz w:val="21"/>
              </w:rPr>
              <w:t>1,992,138,260.62</w:t>
            </w:r>
          </w:p>
        </w:tc>
      </w:tr>
      <w:tr>
        <w:trPr>
          <w:trHeight w:val="270" w:hRule="atLeast"/>
        </w:trPr>
        <w:tc>
          <w:tcPr>
            <w:tcW w:w="2909" w:type="dxa"/>
            <w:tcBorders>
              <w:top w:val="single" w:sz="4" w:space="0" w:color="000000"/>
              <w:right w:val="single" w:sz="4" w:space="0" w:color="000000"/>
            </w:tcBorders>
          </w:tcPr>
          <w:p>
            <w:pPr>
              <w:pStyle w:val="TableParagraph"/>
              <w:spacing w:line="249" w:lineRule="exact" w:before="1"/>
              <w:ind w:left="1223" w:right="1205"/>
              <w:jc w:val="center"/>
              <w:rPr>
                <w:rFonts w:ascii="宋体" w:eastAsia="宋体" w:hint="eastAsia"/>
                <w:sz w:val="21"/>
              </w:rPr>
            </w:pPr>
            <w:r>
              <w:rPr>
                <w:rFonts w:ascii="宋体" w:eastAsia="宋体" w:hint="eastAsia"/>
                <w:sz w:val="21"/>
              </w:rPr>
              <w:t>合计</w:t>
            </w:r>
          </w:p>
        </w:tc>
        <w:tc>
          <w:tcPr>
            <w:tcW w:w="3036" w:type="dxa"/>
            <w:tcBorders>
              <w:top w:val="single" w:sz="4" w:space="0" w:color="000000"/>
              <w:left w:val="single" w:sz="4" w:space="0" w:color="000000"/>
              <w:right w:val="single" w:sz="4" w:space="0" w:color="000000"/>
            </w:tcBorders>
          </w:tcPr>
          <w:p>
            <w:pPr>
              <w:pStyle w:val="TableParagraph"/>
              <w:spacing w:line="240" w:lineRule="exact" w:before="10"/>
              <w:ind w:right="86"/>
              <w:jc w:val="right"/>
              <w:rPr>
                <w:sz w:val="21"/>
              </w:rPr>
            </w:pPr>
            <w:r>
              <w:rPr>
                <w:sz w:val="21"/>
              </w:rPr>
              <w:t>7,522,724,913.40</w:t>
            </w:r>
          </w:p>
        </w:tc>
        <w:tc>
          <w:tcPr>
            <w:tcW w:w="3103" w:type="dxa"/>
            <w:tcBorders>
              <w:top w:val="single" w:sz="4" w:space="0" w:color="000000"/>
              <w:left w:val="single" w:sz="4" w:space="0" w:color="000000"/>
            </w:tcBorders>
          </w:tcPr>
          <w:p>
            <w:pPr>
              <w:pStyle w:val="TableParagraph"/>
              <w:spacing w:line="240" w:lineRule="exact" w:before="10"/>
              <w:ind w:right="72"/>
              <w:jc w:val="right"/>
              <w:rPr>
                <w:sz w:val="21"/>
              </w:rPr>
            </w:pPr>
            <w:r>
              <w:rPr>
                <w:sz w:val="21"/>
              </w:rPr>
              <w:t>7,317,138,918.02</w:t>
            </w:r>
          </w:p>
        </w:tc>
      </w:tr>
    </w:tbl>
    <w:p>
      <w:pPr>
        <w:pStyle w:val="BodyText"/>
        <w:spacing w:before="1"/>
        <w:rPr>
          <w:sz w:val="18"/>
        </w:rPr>
      </w:pPr>
    </w:p>
    <w:p>
      <w:pPr>
        <w:spacing w:after="0"/>
        <w:rPr>
          <w:sz w:val="18"/>
        </w:rPr>
        <w:sectPr>
          <w:type w:val="continuous"/>
          <w:pgSz w:w="11910" w:h="16840"/>
          <w:pgMar w:top="1360" w:bottom="1400" w:left="260" w:right="0"/>
        </w:sectPr>
      </w:pPr>
    </w:p>
    <w:p>
      <w:pPr>
        <w:pStyle w:val="Heading4"/>
        <w:spacing w:before="9"/>
      </w:pPr>
      <w:r>
        <w:rPr>
          <w:rFonts w:ascii="Times New Roman" w:eastAsia="Times New Roman"/>
        </w:rPr>
        <w:t>34</w:t>
      </w:r>
      <w:r>
        <w:rPr/>
        <w:t>、 其他流动负债</w:t>
      </w:r>
    </w:p>
    <w:p>
      <w:pPr>
        <w:pStyle w:val="BodyText"/>
        <w:tabs>
          <w:tab w:pos="2380" w:val="left" w:leader="none"/>
        </w:tabs>
        <w:spacing w:before="14"/>
        <w:ind w:left="1538"/>
      </w:pPr>
      <w:r>
        <w:rPr/>
        <w:t>√适用</w:t>
        <w:tab/>
      </w:r>
      <w:r>
        <w:rPr>
          <w:spacing w:val="-3"/>
        </w:rPr>
        <w:t>□</w:t>
      </w:r>
      <w:r>
        <w:rPr/>
        <w:t>不</w:t>
      </w:r>
      <w:r>
        <w:rPr>
          <w:spacing w:val="-3"/>
        </w:rPr>
        <w:t>适</w:t>
      </w:r>
      <w:r>
        <w:rPr/>
        <w:t>用</w:t>
      </w:r>
    </w:p>
    <w:p>
      <w:pPr>
        <w:pStyle w:val="BodyText"/>
        <w:rPr>
          <w:sz w:val="20"/>
        </w:rPr>
      </w:pPr>
      <w:r>
        <w:rPr/>
        <w:br w:type="column"/>
      </w:r>
      <w:r>
        <w:rPr>
          <w:sz w:val="20"/>
        </w:rPr>
      </w:r>
    </w:p>
    <w:p>
      <w:pPr>
        <w:pStyle w:val="BodyText"/>
        <w:rPr>
          <w:sz w:val="20"/>
        </w:rPr>
      </w:pPr>
    </w:p>
    <w:p>
      <w:pPr>
        <w:pStyle w:val="BodyText"/>
        <w:tabs>
          <w:tab w:pos="2589" w:val="left" w:leader="none"/>
        </w:tabs>
        <w:spacing w:before="170"/>
        <w:ind w:left="1538"/>
      </w:pPr>
      <w:r>
        <w:rPr/>
        <w:t>单位：元</w:t>
        <w:tab/>
        <w:t>币</w:t>
      </w:r>
      <w:r>
        <w:rPr>
          <w:spacing w:val="-3"/>
        </w:rPr>
        <w:t>种</w:t>
      </w:r>
      <w:r>
        <w:rPr/>
        <w:t>：</w:t>
      </w:r>
      <w:r>
        <w:rPr>
          <w:spacing w:val="-3"/>
        </w:rPr>
        <w:t>人</w:t>
      </w:r>
      <w:r>
        <w:rPr/>
        <w:t>民币</w:t>
      </w:r>
    </w:p>
    <w:p>
      <w:pPr>
        <w:spacing w:after="0"/>
        <w:sectPr>
          <w:type w:val="continuous"/>
          <w:pgSz w:w="11910" w:h="16840"/>
          <w:pgMar w:top="1360" w:bottom="1400" w:left="260" w:right="0"/>
          <w:cols w:num="2" w:equalWidth="0">
            <w:col w:w="3350" w:space="3172"/>
            <w:col w:w="5128"/>
          </w:cols>
        </w:sect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804"/>
        <w:gridCol w:w="3118"/>
        <w:gridCol w:w="3128"/>
      </w:tblGrid>
      <w:tr>
        <w:trPr>
          <w:trHeight w:val="272" w:hRule="atLeast"/>
        </w:trPr>
        <w:tc>
          <w:tcPr>
            <w:tcW w:w="2804" w:type="dxa"/>
            <w:tcBorders>
              <w:bottom w:val="single" w:sz="4" w:space="0" w:color="000000"/>
              <w:right w:val="single" w:sz="4" w:space="0" w:color="000000"/>
            </w:tcBorders>
          </w:tcPr>
          <w:p>
            <w:pPr>
              <w:pStyle w:val="TableParagraph"/>
              <w:spacing w:line="253" w:lineRule="exact"/>
              <w:ind w:right="1225"/>
              <w:jc w:val="right"/>
              <w:rPr>
                <w:rFonts w:ascii="Microsoft JhengHei" w:eastAsia="Microsoft JhengHei" w:hint="eastAsia"/>
                <w:b/>
                <w:sz w:val="21"/>
              </w:rPr>
            </w:pPr>
            <w:r>
              <w:rPr>
                <w:rFonts w:ascii="Microsoft JhengHei" w:eastAsia="Microsoft JhengHei" w:hint="eastAsia"/>
                <w:b/>
                <w:sz w:val="21"/>
              </w:rPr>
              <w:t>项目</w:t>
            </w:r>
          </w:p>
        </w:tc>
        <w:tc>
          <w:tcPr>
            <w:tcW w:w="3118" w:type="dxa"/>
            <w:tcBorders>
              <w:left w:val="single" w:sz="4" w:space="0" w:color="000000"/>
              <w:bottom w:val="single" w:sz="4" w:space="0" w:color="000000"/>
              <w:right w:val="single" w:sz="4" w:space="0" w:color="000000"/>
            </w:tcBorders>
          </w:tcPr>
          <w:p>
            <w:pPr>
              <w:pStyle w:val="TableParagraph"/>
              <w:spacing w:line="253" w:lineRule="exact"/>
              <w:ind w:left="1121" w:right="1096"/>
              <w:jc w:val="center"/>
              <w:rPr>
                <w:rFonts w:ascii="Microsoft JhengHei" w:eastAsia="Microsoft JhengHei" w:hint="eastAsia"/>
                <w:b/>
                <w:sz w:val="21"/>
              </w:rPr>
            </w:pPr>
            <w:r>
              <w:rPr>
                <w:rFonts w:ascii="Microsoft JhengHei" w:eastAsia="Microsoft JhengHei" w:hint="eastAsia"/>
                <w:b/>
                <w:sz w:val="21"/>
              </w:rPr>
              <w:t>期末余额</w:t>
            </w:r>
          </w:p>
        </w:tc>
        <w:tc>
          <w:tcPr>
            <w:tcW w:w="3128" w:type="dxa"/>
            <w:tcBorders>
              <w:left w:val="single" w:sz="4" w:space="0" w:color="000000"/>
              <w:bottom w:val="single" w:sz="4" w:space="0" w:color="000000"/>
            </w:tcBorders>
          </w:tcPr>
          <w:p>
            <w:pPr>
              <w:pStyle w:val="TableParagraph"/>
              <w:spacing w:line="253" w:lineRule="exact"/>
              <w:ind w:left="1126" w:right="1091"/>
              <w:jc w:val="center"/>
              <w:rPr>
                <w:rFonts w:ascii="Microsoft JhengHei" w:eastAsia="Microsoft JhengHei" w:hint="eastAsia"/>
                <w:b/>
                <w:sz w:val="21"/>
              </w:rPr>
            </w:pPr>
            <w:r>
              <w:rPr>
                <w:rFonts w:ascii="Microsoft JhengHei" w:eastAsia="Microsoft JhengHei" w:hint="eastAsia"/>
                <w:b/>
                <w:sz w:val="21"/>
              </w:rPr>
              <w:t>期初余额</w:t>
            </w:r>
          </w:p>
        </w:tc>
      </w:tr>
      <w:tr>
        <w:trPr>
          <w:trHeight w:val="273" w:hRule="atLeast"/>
        </w:trPr>
        <w:tc>
          <w:tcPr>
            <w:tcW w:w="2804"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短期应付债券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before="10"/>
              <w:ind w:right="87"/>
              <w:jc w:val="right"/>
              <w:rPr>
                <w:sz w:val="21"/>
              </w:rPr>
            </w:pPr>
            <w:r>
              <w:rPr>
                <w:sz w:val="21"/>
              </w:rPr>
              <w:t>5,535,262,500.00</w:t>
            </w:r>
          </w:p>
        </w:tc>
        <w:tc>
          <w:tcPr>
            <w:tcW w:w="3128"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2804"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应付退货款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before="10"/>
              <w:ind w:right="87"/>
              <w:jc w:val="right"/>
              <w:rPr>
                <w:sz w:val="21"/>
              </w:rPr>
            </w:pPr>
            <w:r>
              <w:rPr>
                <w:sz w:val="21"/>
              </w:rPr>
              <w:t>540,552,003.81</w:t>
            </w:r>
          </w:p>
        </w:tc>
        <w:tc>
          <w:tcPr>
            <w:tcW w:w="3128"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486,038,304.57</w:t>
            </w:r>
          </w:p>
        </w:tc>
      </w:tr>
      <w:tr>
        <w:trPr>
          <w:trHeight w:val="270" w:hRule="atLeast"/>
        </w:trPr>
        <w:tc>
          <w:tcPr>
            <w:tcW w:w="2804"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待转销项税额</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before="7"/>
              <w:ind w:right="87"/>
              <w:jc w:val="right"/>
              <w:rPr>
                <w:sz w:val="21"/>
              </w:rPr>
            </w:pPr>
            <w:r>
              <w:rPr>
                <w:sz w:val="21"/>
              </w:rPr>
              <w:t>20,186,405.07</w:t>
            </w:r>
          </w:p>
        </w:tc>
        <w:tc>
          <w:tcPr>
            <w:tcW w:w="3128" w:type="dxa"/>
            <w:tcBorders>
              <w:top w:val="single" w:sz="4" w:space="0" w:color="000000"/>
              <w:left w:val="single" w:sz="4" w:space="0" w:color="000000"/>
              <w:bottom w:val="single" w:sz="4" w:space="0" w:color="000000"/>
            </w:tcBorders>
          </w:tcPr>
          <w:p>
            <w:pPr>
              <w:pStyle w:val="TableParagraph"/>
              <w:spacing w:before="7"/>
              <w:ind w:right="74"/>
              <w:jc w:val="right"/>
              <w:rPr>
                <w:sz w:val="21"/>
              </w:rPr>
            </w:pPr>
            <w:r>
              <w:rPr>
                <w:sz w:val="21"/>
              </w:rPr>
              <w:t>6,284,243.87</w:t>
            </w:r>
          </w:p>
        </w:tc>
      </w:tr>
      <w:tr>
        <w:trPr>
          <w:trHeight w:val="273" w:hRule="atLeast"/>
        </w:trPr>
        <w:tc>
          <w:tcPr>
            <w:tcW w:w="2804"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其他</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before="10"/>
              <w:ind w:right="87"/>
              <w:jc w:val="right"/>
              <w:rPr>
                <w:sz w:val="21"/>
              </w:rPr>
            </w:pPr>
            <w:r>
              <w:rPr>
                <w:sz w:val="21"/>
              </w:rPr>
              <w:t>16,053,035.75</w:t>
            </w:r>
          </w:p>
        </w:tc>
        <w:tc>
          <w:tcPr>
            <w:tcW w:w="3128" w:type="dxa"/>
            <w:tcBorders>
              <w:top w:val="single" w:sz="4" w:space="0" w:color="000000"/>
              <w:left w:val="single" w:sz="4" w:space="0" w:color="000000"/>
              <w:bottom w:val="single" w:sz="4" w:space="0" w:color="000000"/>
            </w:tcBorders>
          </w:tcPr>
          <w:p>
            <w:pPr>
              <w:pStyle w:val="TableParagraph"/>
              <w:spacing w:before="10"/>
              <w:ind w:right="74"/>
              <w:jc w:val="right"/>
              <w:rPr>
                <w:sz w:val="21"/>
              </w:rPr>
            </w:pPr>
            <w:r>
              <w:rPr>
                <w:sz w:val="21"/>
              </w:rPr>
              <w:t>1,743,159.10</w:t>
            </w:r>
          </w:p>
        </w:tc>
      </w:tr>
      <w:tr>
        <w:trPr>
          <w:trHeight w:val="270" w:hRule="atLeast"/>
        </w:trPr>
        <w:tc>
          <w:tcPr>
            <w:tcW w:w="2804" w:type="dxa"/>
            <w:tcBorders>
              <w:top w:val="single" w:sz="4" w:space="0" w:color="000000"/>
              <w:right w:val="single" w:sz="4" w:space="0" w:color="000000"/>
            </w:tcBorders>
          </w:tcPr>
          <w:p>
            <w:pPr>
              <w:pStyle w:val="TableParagraph"/>
              <w:spacing w:line="249" w:lineRule="exact" w:before="1"/>
              <w:ind w:right="1169"/>
              <w:jc w:val="right"/>
              <w:rPr>
                <w:rFonts w:ascii="宋体" w:eastAsia="宋体" w:hint="eastAsia"/>
                <w:sz w:val="21"/>
              </w:rPr>
            </w:pPr>
            <w:r>
              <w:rPr>
                <w:rFonts w:ascii="宋体" w:eastAsia="宋体" w:hint="eastAsia"/>
                <w:sz w:val="21"/>
              </w:rPr>
              <w:t>合计</w:t>
            </w:r>
          </w:p>
        </w:tc>
        <w:tc>
          <w:tcPr>
            <w:tcW w:w="3118" w:type="dxa"/>
            <w:tcBorders>
              <w:top w:val="single" w:sz="4" w:space="0" w:color="000000"/>
              <w:left w:val="single" w:sz="4" w:space="0" w:color="000000"/>
              <w:right w:val="single" w:sz="4" w:space="0" w:color="000000"/>
            </w:tcBorders>
          </w:tcPr>
          <w:p>
            <w:pPr>
              <w:pStyle w:val="TableParagraph"/>
              <w:spacing w:before="7"/>
              <w:ind w:right="87"/>
              <w:jc w:val="right"/>
              <w:rPr>
                <w:sz w:val="21"/>
              </w:rPr>
            </w:pPr>
            <w:r>
              <w:rPr>
                <w:sz w:val="21"/>
              </w:rPr>
              <w:t>6,112,053,944.63</w:t>
            </w:r>
          </w:p>
        </w:tc>
        <w:tc>
          <w:tcPr>
            <w:tcW w:w="3128" w:type="dxa"/>
            <w:tcBorders>
              <w:top w:val="single" w:sz="4" w:space="0" w:color="000000"/>
              <w:left w:val="single" w:sz="4" w:space="0" w:color="000000"/>
            </w:tcBorders>
          </w:tcPr>
          <w:p>
            <w:pPr>
              <w:pStyle w:val="TableParagraph"/>
              <w:spacing w:before="7"/>
              <w:ind w:right="74"/>
              <w:jc w:val="right"/>
              <w:rPr>
                <w:sz w:val="21"/>
              </w:rPr>
            </w:pPr>
            <w:r>
              <w:rPr>
                <w:sz w:val="21"/>
              </w:rPr>
              <w:t>494,065,707.54</w:t>
            </w:r>
          </w:p>
        </w:tc>
      </w:tr>
    </w:tbl>
    <w:p>
      <w:pPr>
        <w:pStyle w:val="BodyText"/>
        <w:spacing w:before="9"/>
        <w:rPr>
          <w:sz w:val="17"/>
        </w:rPr>
      </w:pPr>
    </w:p>
    <w:p>
      <w:pPr>
        <w:spacing w:after="0"/>
        <w:rPr>
          <w:sz w:val="17"/>
        </w:rPr>
        <w:sectPr>
          <w:type w:val="continuous"/>
          <w:pgSz w:w="11910" w:h="16840"/>
          <w:pgMar w:top="1360" w:bottom="1400" w:left="260" w:right="0"/>
        </w:sectPr>
      </w:pPr>
    </w:p>
    <w:p>
      <w:pPr>
        <w:pStyle w:val="Heading4"/>
        <w:spacing w:line="206" w:lineRule="auto" w:before="49"/>
        <w:ind w:right="38"/>
      </w:pPr>
      <w:r>
        <w:rPr>
          <w:rFonts w:ascii="Times New Roman" w:eastAsia="Times New Roman"/>
          <w:w w:val="105"/>
        </w:rPr>
        <w:t>35</w:t>
      </w:r>
      <w:r>
        <w:rPr>
          <w:w w:val="105"/>
        </w:rPr>
        <w:t>、 长期借款</w:t>
      </w:r>
      <w:r>
        <w:rPr>
          <w:w w:val="120"/>
        </w:rPr>
        <w:t>(1). </w:t>
      </w:r>
      <w:r>
        <w:rPr>
          <w:w w:val="105"/>
        </w:rPr>
        <w:t>长期借款分类</w:t>
      </w:r>
    </w:p>
    <w:p>
      <w:pPr>
        <w:pStyle w:val="BodyText"/>
        <w:spacing w:before="30"/>
        <w:ind w:left="1538"/>
      </w:pPr>
      <w:r>
        <w:rPr/>
        <w:t>√适用 □不适用</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3"/>
        <w:rPr>
          <w:sz w:val="19"/>
        </w:rPr>
      </w:pPr>
    </w:p>
    <w:p>
      <w:pPr>
        <w:pStyle w:val="BodyText"/>
        <w:tabs>
          <w:tab w:pos="2589" w:val="left" w:leader="none"/>
        </w:tabs>
        <w:ind w:left="1538"/>
      </w:pPr>
      <w:r>
        <w:rPr/>
        <w:t>单位：元</w:t>
        <w:tab/>
        <w:t>币</w:t>
      </w:r>
      <w:r>
        <w:rPr>
          <w:spacing w:val="-3"/>
        </w:rPr>
        <w:t>种</w:t>
      </w:r>
      <w:r>
        <w:rPr/>
        <w:t>：</w:t>
      </w:r>
      <w:r>
        <w:rPr>
          <w:spacing w:val="-3"/>
        </w:rPr>
        <w:t>人</w:t>
      </w:r>
      <w:r>
        <w:rPr/>
        <w:t>民币</w:t>
      </w:r>
    </w:p>
    <w:p>
      <w:pPr>
        <w:spacing w:after="0"/>
        <w:sectPr>
          <w:type w:val="continuous"/>
          <w:pgSz w:w="11910" w:h="16840"/>
          <w:pgMar w:top="1360" w:bottom="1400" w:left="260" w:right="0"/>
          <w:cols w:num="2" w:equalWidth="0">
            <w:col w:w="3374" w:space="3148"/>
            <w:col w:w="5128"/>
          </w:cols>
        </w:sect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053"/>
        <w:gridCol w:w="3050"/>
        <w:gridCol w:w="2945"/>
      </w:tblGrid>
      <w:tr>
        <w:trPr>
          <w:trHeight w:val="272" w:hRule="atLeast"/>
        </w:trPr>
        <w:tc>
          <w:tcPr>
            <w:tcW w:w="3053" w:type="dxa"/>
            <w:tcBorders>
              <w:bottom w:val="single" w:sz="4" w:space="0" w:color="000000"/>
              <w:right w:val="single" w:sz="4" w:space="0" w:color="000000"/>
            </w:tcBorders>
          </w:tcPr>
          <w:p>
            <w:pPr>
              <w:pStyle w:val="TableParagraph"/>
              <w:spacing w:line="252" w:lineRule="exact"/>
              <w:ind w:right="1294"/>
              <w:jc w:val="right"/>
              <w:rPr>
                <w:rFonts w:ascii="宋体" w:eastAsia="宋体" w:hint="eastAsia"/>
                <w:sz w:val="21"/>
              </w:rPr>
            </w:pPr>
            <w:r>
              <w:rPr>
                <w:rFonts w:ascii="宋体" w:eastAsia="宋体" w:hint="eastAsia"/>
                <w:sz w:val="21"/>
              </w:rPr>
              <w:t>项目</w:t>
            </w:r>
          </w:p>
        </w:tc>
        <w:tc>
          <w:tcPr>
            <w:tcW w:w="3050" w:type="dxa"/>
            <w:tcBorders>
              <w:left w:val="single" w:sz="4" w:space="0" w:color="000000"/>
              <w:bottom w:val="single" w:sz="4" w:space="0" w:color="000000"/>
              <w:right w:val="single" w:sz="4" w:space="0" w:color="000000"/>
            </w:tcBorders>
          </w:tcPr>
          <w:p>
            <w:pPr>
              <w:pStyle w:val="TableParagraph"/>
              <w:spacing w:line="252" w:lineRule="exact"/>
              <w:ind w:left="1092" w:right="1067"/>
              <w:jc w:val="center"/>
              <w:rPr>
                <w:rFonts w:ascii="宋体" w:eastAsia="宋体" w:hint="eastAsia"/>
                <w:sz w:val="21"/>
              </w:rPr>
            </w:pPr>
            <w:r>
              <w:rPr>
                <w:rFonts w:ascii="宋体" w:eastAsia="宋体" w:hint="eastAsia"/>
                <w:sz w:val="21"/>
              </w:rPr>
              <w:t>期末余额</w:t>
            </w:r>
          </w:p>
        </w:tc>
        <w:tc>
          <w:tcPr>
            <w:tcW w:w="2945" w:type="dxa"/>
            <w:tcBorders>
              <w:left w:val="single" w:sz="4" w:space="0" w:color="000000"/>
              <w:bottom w:val="single" w:sz="4" w:space="0" w:color="000000"/>
            </w:tcBorders>
          </w:tcPr>
          <w:p>
            <w:pPr>
              <w:pStyle w:val="TableParagraph"/>
              <w:spacing w:line="252" w:lineRule="exact"/>
              <w:ind w:left="1045" w:right="999"/>
              <w:jc w:val="center"/>
              <w:rPr>
                <w:rFonts w:ascii="宋体" w:eastAsia="宋体" w:hint="eastAsia"/>
                <w:sz w:val="21"/>
              </w:rPr>
            </w:pPr>
            <w:r>
              <w:rPr>
                <w:rFonts w:ascii="宋体" w:eastAsia="宋体" w:hint="eastAsia"/>
                <w:sz w:val="21"/>
              </w:rPr>
              <w:t>期初余额</w:t>
            </w:r>
          </w:p>
        </w:tc>
      </w:tr>
      <w:tr>
        <w:trPr>
          <w:trHeight w:val="270" w:hRule="atLeast"/>
        </w:trPr>
        <w:tc>
          <w:tcPr>
            <w:tcW w:w="3053"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抵押借款</w:t>
            </w:r>
          </w:p>
        </w:tc>
        <w:tc>
          <w:tcPr>
            <w:tcW w:w="305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945" w:type="dxa"/>
            <w:tcBorders>
              <w:top w:val="single" w:sz="4" w:space="0" w:color="000000"/>
              <w:left w:val="single" w:sz="4" w:space="0" w:color="000000"/>
              <w:bottom w:val="single" w:sz="4" w:space="0" w:color="000000"/>
            </w:tcBorders>
          </w:tcPr>
          <w:p>
            <w:pPr>
              <w:pStyle w:val="TableParagraph"/>
              <w:spacing w:before="7"/>
              <w:ind w:right="70"/>
              <w:jc w:val="right"/>
              <w:rPr>
                <w:sz w:val="21"/>
              </w:rPr>
            </w:pPr>
            <w:r>
              <w:rPr>
                <w:sz w:val="21"/>
              </w:rPr>
              <w:t>12,663,597.65</w:t>
            </w:r>
          </w:p>
        </w:tc>
      </w:tr>
      <w:tr>
        <w:trPr>
          <w:trHeight w:val="273" w:hRule="atLeast"/>
        </w:trPr>
        <w:tc>
          <w:tcPr>
            <w:tcW w:w="3053"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保证借款</w:t>
            </w:r>
          </w:p>
        </w:tc>
        <w:tc>
          <w:tcPr>
            <w:tcW w:w="305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945" w:type="dxa"/>
            <w:tcBorders>
              <w:top w:val="single" w:sz="4" w:space="0" w:color="000000"/>
              <w:left w:val="single" w:sz="4" w:space="0" w:color="000000"/>
              <w:bottom w:val="single" w:sz="4" w:space="0" w:color="000000"/>
            </w:tcBorders>
          </w:tcPr>
          <w:p>
            <w:pPr>
              <w:pStyle w:val="TableParagraph"/>
              <w:spacing w:before="10"/>
              <w:ind w:right="70"/>
              <w:jc w:val="right"/>
              <w:rPr>
                <w:sz w:val="21"/>
              </w:rPr>
            </w:pPr>
            <w:r>
              <w:rPr>
                <w:sz w:val="21"/>
              </w:rPr>
              <w:t>2,343,619,509.01</w:t>
            </w:r>
          </w:p>
        </w:tc>
      </w:tr>
      <w:tr>
        <w:trPr>
          <w:trHeight w:val="271" w:hRule="atLeast"/>
        </w:trPr>
        <w:tc>
          <w:tcPr>
            <w:tcW w:w="3053"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信用借款</w:t>
            </w:r>
          </w:p>
        </w:tc>
        <w:tc>
          <w:tcPr>
            <w:tcW w:w="3050" w:type="dxa"/>
            <w:tcBorders>
              <w:top w:val="single" w:sz="4" w:space="0" w:color="000000"/>
              <w:left w:val="single" w:sz="4" w:space="0" w:color="000000"/>
              <w:bottom w:val="single" w:sz="4" w:space="0" w:color="000000"/>
              <w:right w:val="single" w:sz="4" w:space="0" w:color="000000"/>
            </w:tcBorders>
          </w:tcPr>
          <w:p>
            <w:pPr>
              <w:pStyle w:val="TableParagraph"/>
              <w:spacing w:before="8"/>
              <w:ind w:right="265"/>
              <w:jc w:val="right"/>
              <w:rPr>
                <w:sz w:val="21"/>
              </w:rPr>
            </w:pPr>
            <w:r>
              <w:rPr>
                <w:sz w:val="21"/>
              </w:rPr>
              <w:t>11,821,416,259.81</w:t>
            </w:r>
          </w:p>
        </w:tc>
        <w:tc>
          <w:tcPr>
            <w:tcW w:w="2945" w:type="dxa"/>
            <w:tcBorders>
              <w:top w:val="single" w:sz="4" w:space="0" w:color="000000"/>
              <w:left w:val="single" w:sz="4" w:space="0" w:color="000000"/>
              <w:bottom w:val="single" w:sz="4" w:space="0" w:color="000000"/>
            </w:tcBorders>
          </w:tcPr>
          <w:p>
            <w:pPr>
              <w:pStyle w:val="TableParagraph"/>
              <w:spacing w:before="8"/>
              <w:ind w:right="70"/>
              <w:jc w:val="right"/>
              <w:rPr>
                <w:sz w:val="21"/>
              </w:rPr>
            </w:pPr>
            <w:r>
              <w:rPr>
                <w:sz w:val="21"/>
              </w:rPr>
              <w:t>8,877,523,705.58</w:t>
            </w:r>
          </w:p>
        </w:tc>
      </w:tr>
      <w:tr>
        <w:trPr>
          <w:trHeight w:val="273" w:hRule="atLeast"/>
        </w:trPr>
        <w:tc>
          <w:tcPr>
            <w:tcW w:w="3053" w:type="dxa"/>
            <w:tcBorders>
              <w:top w:val="single" w:sz="4" w:space="0" w:color="000000"/>
              <w:bottom w:val="single" w:sz="4" w:space="0" w:color="000000"/>
              <w:right w:val="single" w:sz="4" w:space="0" w:color="000000"/>
            </w:tcBorders>
          </w:tcPr>
          <w:p>
            <w:pPr>
              <w:pStyle w:val="TableParagraph"/>
              <w:spacing w:line="250" w:lineRule="exact" w:before="3"/>
              <w:ind w:left="107"/>
              <w:rPr>
                <w:rFonts w:ascii="宋体" w:eastAsia="宋体" w:hint="eastAsia"/>
                <w:sz w:val="21"/>
              </w:rPr>
            </w:pPr>
            <w:r>
              <w:rPr>
                <w:rFonts w:ascii="宋体" w:eastAsia="宋体" w:hint="eastAsia"/>
                <w:sz w:val="21"/>
              </w:rPr>
              <w:t>保证加抵押借款</w:t>
            </w:r>
          </w:p>
        </w:tc>
        <w:tc>
          <w:tcPr>
            <w:tcW w:w="305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945" w:type="dxa"/>
            <w:tcBorders>
              <w:top w:val="single" w:sz="4" w:space="0" w:color="000000"/>
              <w:left w:val="single" w:sz="4" w:space="0" w:color="000000"/>
              <w:bottom w:val="single" w:sz="4" w:space="0" w:color="000000"/>
            </w:tcBorders>
          </w:tcPr>
          <w:p>
            <w:pPr>
              <w:pStyle w:val="TableParagraph"/>
              <w:spacing w:before="10"/>
              <w:ind w:right="70"/>
              <w:jc w:val="right"/>
              <w:rPr>
                <w:sz w:val="21"/>
              </w:rPr>
            </w:pPr>
            <w:r>
              <w:rPr>
                <w:sz w:val="21"/>
              </w:rPr>
              <w:t>2,042,646,123.32</w:t>
            </w:r>
          </w:p>
        </w:tc>
      </w:tr>
      <w:tr>
        <w:trPr>
          <w:trHeight w:val="270" w:hRule="atLeast"/>
        </w:trPr>
        <w:tc>
          <w:tcPr>
            <w:tcW w:w="3053" w:type="dxa"/>
            <w:tcBorders>
              <w:top w:val="single" w:sz="4" w:space="0" w:color="000000"/>
              <w:right w:val="single" w:sz="4" w:space="0" w:color="000000"/>
            </w:tcBorders>
          </w:tcPr>
          <w:p>
            <w:pPr>
              <w:pStyle w:val="TableParagraph"/>
              <w:spacing w:line="249" w:lineRule="exact" w:before="1"/>
              <w:ind w:right="1294"/>
              <w:jc w:val="right"/>
              <w:rPr>
                <w:rFonts w:ascii="宋体" w:eastAsia="宋体" w:hint="eastAsia"/>
                <w:sz w:val="21"/>
              </w:rPr>
            </w:pPr>
            <w:r>
              <w:rPr>
                <w:rFonts w:ascii="宋体" w:eastAsia="宋体" w:hint="eastAsia"/>
                <w:sz w:val="21"/>
              </w:rPr>
              <w:t>合计</w:t>
            </w:r>
          </w:p>
        </w:tc>
        <w:tc>
          <w:tcPr>
            <w:tcW w:w="3050" w:type="dxa"/>
            <w:tcBorders>
              <w:top w:val="single" w:sz="4" w:space="0" w:color="000000"/>
              <w:left w:val="single" w:sz="4" w:space="0" w:color="000000"/>
              <w:right w:val="single" w:sz="4" w:space="0" w:color="000000"/>
            </w:tcBorders>
          </w:tcPr>
          <w:p>
            <w:pPr>
              <w:pStyle w:val="TableParagraph"/>
              <w:spacing w:line="240" w:lineRule="exact" w:before="10"/>
              <w:ind w:right="265"/>
              <w:jc w:val="right"/>
              <w:rPr>
                <w:sz w:val="21"/>
              </w:rPr>
            </w:pPr>
            <w:r>
              <w:rPr>
                <w:sz w:val="21"/>
              </w:rPr>
              <w:t>11,821,416,259.81</w:t>
            </w:r>
          </w:p>
        </w:tc>
        <w:tc>
          <w:tcPr>
            <w:tcW w:w="2945" w:type="dxa"/>
            <w:tcBorders>
              <w:top w:val="single" w:sz="4" w:space="0" w:color="000000"/>
              <w:left w:val="single" w:sz="4" w:space="0" w:color="000000"/>
            </w:tcBorders>
          </w:tcPr>
          <w:p>
            <w:pPr>
              <w:pStyle w:val="TableParagraph"/>
              <w:spacing w:line="240" w:lineRule="exact" w:before="10"/>
              <w:ind w:right="70"/>
              <w:jc w:val="right"/>
              <w:rPr>
                <w:sz w:val="21"/>
              </w:rPr>
            </w:pPr>
            <w:r>
              <w:rPr>
                <w:sz w:val="21"/>
              </w:rPr>
              <w:t>13,276,452,935.56</w:t>
            </w:r>
          </w:p>
        </w:tc>
      </w:tr>
    </w:tbl>
    <w:p>
      <w:pPr>
        <w:pStyle w:val="BodyText"/>
        <w:spacing w:before="11"/>
        <w:rPr>
          <w:sz w:val="7"/>
        </w:rPr>
      </w:pPr>
    </w:p>
    <w:p>
      <w:pPr>
        <w:pStyle w:val="BodyText"/>
        <w:spacing w:line="427" w:lineRule="auto" w:before="79"/>
        <w:ind w:left="1898" w:right="2691"/>
      </w:pPr>
      <w:r>
        <w:rPr/>
        <w:t>长期借款</w:t>
      </w:r>
      <w:r>
        <w:rPr>
          <w:rFonts w:ascii="Times New Roman" w:hAnsi="Times New Roman" w:eastAsia="Times New Roman"/>
        </w:rPr>
        <w:t>—</w:t>
      </w:r>
      <w:r>
        <w:rPr/>
        <w:t>保证借款利率为借款协议规定的利率</w:t>
      </w:r>
      <w:r>
        <w:rPr>
          <w:rFonts w:ascii="Times New Roman" w:hAnsi="Times New Roman" w:eastAsia="Times New Roman"/>
        </w:rPr>
        <w:t>+</w:t>
      </w:r>
      <w:r>
        <w:rPr/>
        <w:t>伦敦银行间同业拆借利率。长期借款</w:t>
      </w:r>
      <w:r>
        <w:rPr>
          <w:rFonts w:ascii="Times New Roman" w:hAnsi="Times New Roman" w:eastAsia="Times New Roman"/>
        </w:rPr>
        <w:t>—</w:t>
      </w:r>
      <w:r>
        <w:rPr/>
        <w:t>信用借款中国内借款部分利率为中国人民银行贷款基准利率。</w:t>
      </w:r>
    </w:p>
    <w:p>
      <w:pPr>
        <w:pStyle w:val="BodyText"/>
        <w:spacing w:line="427" w:lineRule="auto" w:before="2"/>
        <w:ind w:left="1898" w:right="1169"/>
      </w:pPr>
      <w:r>
        <w:rPr/>
        <w:t>长期借款</w:t>
      </w:r>
      <w:r>
        <w:rPr>
          <w:rFonts w:ascii="Times New Roman" w:hAnsi="Times New Roman" w:eastAsia="Times New Roman"/>
        </w:rPr>
        <w:t>—</w:t>
      </w:r>
      <w:r>
        <w:rPr/>
        <w:t>信用借款中国际借款部分利率为借款协议规定的利率</w:t>
      </w:r>
      <w:r>
        <w:rPr>
          <w:rFonts w:ascii="Times New Roman" w:hAnsi="Times New Roman" w:eastAsia="Times New Roman"/>
        </w:rPr>
        <w:t>+</w:t>
      </w:r>
      <w:r>
        <w:rPr/>
        <w:t>伦敦银行间同业拆借利率。长期借款</w:t>
      </w:r>
      <w:r>
        <w:rPr>
          <w:rFonts w:ascii="Times New Roman" w:hAnsi="Times New Roman" w:eastAsia="Times New Roman"/>
        </w:rPr>
        <w:t>—</w:t>
      </w:r>
      <w:r>
        <w:rPr/>
        <w:t>抵押借款利率为借款协议规定的利率</w:t>
      </w:r>
      <w:r>
        <w:rPr>
          <w:rFonts w:ascii="Times New Roman" w:hAnsi="Times New Roman" w:eastAsia="Times New Roman"/>
        </w:rPr>
        <w:t>+</w:t>
      </w:r>
      <w:r>
        <w:rPr/>
        <w:t>伦敦银行间同业拆借利率。</w:t>
      </w:r>
    </w:p>
    <w:p>
      <w:pPr>
        <w:spacing w:after="0" w:line="427" w:lineRule="auto"/>
        <w:sectPr>
          <w:type w:val="continuous"/>
          <w:pgSz w:w="11910" w:h="16840"/>
          <w:pgMar w:top="1360" w:bottom="1400" w:left="260" w:right="0"/>
        </w:sectPr>
      </w:pPr>
    </w:p>
    <w:p>
      <w:pPr>
        <w:pStyle w:val="Heading4"/>
        <w:spacing w:line="385" w:lineRule="exact"/>
      </w:pPr>
      <w:r>
        <w:rPr>
          <w:rFonts w:ascii="Times New Roman" w:eastAsia="Times New Roman"/>
        </w:rPr>
        <w:t>36</w:t>
      </w:r>
      <w:r>
        <w:rPr/>
        <w:t>、 应付债券</w:t>
      </w:r>
    </w:p>
    <w:p>
      <w:pPr>
        <w:pStyle w:val="BodyText"/>
        <w:spacing w:line="427" w:lineRule="auto" w:before="190"/>
        <w:ind w:left="1538" w:right="1268" w:firstLine="357"/>
        <w:jc w:val="both"/>
      </w:pPr>
      <w:r>
        <w:rPr/>
        <w:pict>
          <v:shape style="position:absolute;margin-left:83.783997pt;margin-top:150.800003pt;width:454.65pt;height:89.7pt;mso-position-horizontal-relative:page;mso-position-vertical-relative:paragraph;z-index:251666432"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219"/>
                    <w:gridCol w:w="3831"/>
                  </w:tblGrid>
                  <w:tr>
                    <w:trPr>
                      <w:trHeight w:val="323" w:hRule="atLeast"/>
                    </w:trPr>
                    <w:tc>
                      <w:tcPr>
                        <w:tcW w:w="5219" w:type="dxa"/>
                        <w:tcBorders>
                          <w:bottom w:val="single" w:sz="4" w:space="0" w:color="000000"/>
                          <w:right w:val="single" w:sz="4" w:space="0" w:color="000000"/>
                        </w:tcBorders>
                      </w:tcPr>
                      <w:p>
                        <w:pPr>
                          <w:pStyle w:val="TableParagraph"/>
                          <w:spacing w:line="303" w:lineRule="exact"/>
                          <w:ind w:left="2378" w:right="2360"/>
                          <w:jc w:val="center"/>
                          <w:rPr>
                            <w:rFonts w:ascii="Microsoft JhengHei" w:eastAsia="Microsoft JhengHei" w:hint="eastAsia"/>
                            <w:b/>
                            <w:sz w:val="21"/>
                          </w:rPr>
                        </w:pPr>
                        <w:r>
                          <w:rPr>
                            <w:rFonts w:ascii="Microsoft JhengHei" w:eastAsia="Microsoft JhengHei" w:hint="eastAsia"/>
                            <w:b/>
                            <w:sz w:val="21"/>
                          </w:rPr>
                          <w:t>项目</w:t>
                        </w:r>
                      </w:p>
                    </w:tc>
                    <w:tc>
                      <w:tcPr>
                        <w:tcW w:w="3831" w:type="dxa"/>
                        <w:tcBorders>
                          <w:left w:val="single" w:sz="4" w:space="0" w:color="000000"/>
                          <w:bottom w:val="single" w:sz="4" w:space="0" w:color="000000"/>
                        </w:tcBorders>
                      </w:tcPr>
                      <w:p>
                        <w:pPr>
                          <w:pStyle w:val="TableParagraph"/>
                          <w:spacing w:line="303" w:lineRule="exact"/>
                          <w:ind w:left="318"/>
                          <w:rPr>
                            <w:rFonts w:ascii="Microsoft JhengHei" w:eastAsia="Microsoft JhengHei" w:hint="eastAsia"/>
                            <w:b/>
                            <w:sz w:val="21"/>
                          </w:rPr>
                        </w:pPr>
                        <w:r>
                          <w:rPr>
                            <w:b/>
                            <w:sz w:val="21"/>
                          </w:rPr>
                          <w:t>2020 </w:t>
                        </w:r>
                        <w:r>
                          <w:rPr>
                            <w:rFonts w:ascii="Microsoft JhengHei" w:eastAsia="Microsoft JhengHei" w:hint="eastAsia"/>
                            <w:b/>
                            <w:sz w:val="21"/>
                          </w:rPr>
                          <w:t>年 </w:t>
                        </w:r>
                        <w:r>
                          <w:rPr>
                            <w:b/>
                            <w:sz w:val="21"/>
                          </w:rPr>
                          <w:t>12 </w:t>
                        </w:r>
                        <w:r>
                          <w:rPr>
                            <w:rFonts w:ascii="Microsoft JhengHei" w:eastAsia="Microsoft JhengHei" w:hint="eastAsia"/>
                            <w:b/>
                            <w:sz w:val="21"/>
                          </w:rPr>
                          <w:t>月 </w:t>
                        </w:r>
                        <w:r>
                          <w:rPr>
                            <w:b/>
                            <w:sz w:val="21"/>
                          </w:rPr>
                          <w:t>23 </w:t>
                        </w:r>
                        <w:r>
                          <w:rPr>
                            <w:rFonts w:ascii="Microsoft JhengHei" w:eastAsia="Microsoft JhengHei" w:hint="eastAsia"/>
                            <w:b/>
                            <w:sz w:val="21"/>
                          </w:rPr>
                          <w:t>日可转换公司债券</w:t>
                        </w:r>
                      </w:p>
                    </w:tc>
                  </w:tr>
                  <w:tr>
                    <w:trPr>
                      <w:trHeight w:val="343" w:hRule="atLeast"/>
                    </w:trPr>
                    <w:tc>
                      <w:tcPr>
                        <w:tcW w:w="5219" w:type="dxa"/>
                        <w:tcBorders>
                          <w:top w:val="single" w:sz="4" w:space="0" w:color="000000"/>
                          <w:bottom w:val="single" w:sz="4" w:space="0" w:color="000000"/>
                          <w:right w:val="single" w:sz="4" w:space="0" w:color="000000"/>
                        </w:tcBorders>
                      </w:tcPr>
                      <w:p>
                        <w:pPr>
                          <w:pStyle w:val="TableParagraph"/>
                          <w:spacing w:before="37"/>
                          <w:ind w:left="107"/>
                          <w:rPr>
                            <w:rFonts w:ascii="宋体" w:eastAsia="宋体" w:hint="eastAsia"/>
                            <w:sz w:val="21"/>
                          </w:rPr>
                        </w:pPr>
                        <w:r>
                          <w:rPr>
                            <w:rFonts w:ascii="宋体" w:eastAsia="宋体" w:hint="eastAsia"/>
                            <w:sz w:val="21"/>
                          </w:rPr>
                          <w:t>初始确认：</w:t>
                        </w:r>
                      </w:p>
                    </w:tc>
                    <w:tc>
                      <w:tcPr>
                        <w:tcW w:w="3831" w:type="dxa"/>
                        <w:tcBorders>
                          <w:top w:val="single" w:sz="4" w:space="0" w:color="000000"/>
                          <w:left w:val="single" w:sz="4" w:space="0" w:color="000000"/>
                          <w:bottom w:val="single" w:sz="4" w:space="0" w:color="000000"/>
                        </w:tcBorders>
                      </w:tcPr>
                      <w:p>
                        <w:pPr>
                          <w:pStyle w:val="TableParagraph"/>
                          <w:spacing w:before="44"/>
                          <w:ind w:right="76"/>
                          <w:jc w:val="right"/>
                          <w:rPr>
                            <w:sz w:val="21"/>
                          </w:rPr>
                        </w:pPr>
                        <w:r>
                          <w:rPr>
                            <w:sz w:val="21"/>
                          </w:rPr>
                          <w:t>9,105,660,619.93</w:t>
                        </w:r>
                      </w:p>
                    </w:tc>
                  </w:tr>
                  <w:tr>
                    <w:trPr>
                      <w:trHeight w:val="342" w:hRule="atLeast"/>
                    </w:trPr>
                    <w:tc>
                      <w:tcPr>
                        <w:tcW w:w="5219" w:type="dxa"/>
                        <w:tcBorders>
                          <w:top w:val="single" w:sz="4" w:space="0" w:color="000000"/>
                          <w:bottom w:val="single" w:sz="4" w:space="0" w:color="000000"/>
                          <w:right w:val="single" w:sz="4" w:space="0" w:color="000000"/>
                        </w:tcBorders>
                      </w:tcPr>
                      <w:p>
                        <w:pPr>
                          <w:pStyle w:val="TableParagraph"/>
                          <w:spacing w:before="37"/>
                          <w:ind w:left="107"/>
                          <w:rPr>
                            <w:rFonts w:ascii="宋体" w:eastAsia="宋体" w:hint="eastAsia"/>
                            <w:sz w:val="21"/>
                          </w:rPr>
                        </w:pPr>
                        <w:r>
                          <w:rPr>
                            <w:rFonts w:ascii="宋体" w:eastAsia="宋体" w:hint="eastAsia"/>
                            <w:sz w:val="21"/>
                          </w:rPr>
                          <w:t>其中：</w:t>
                        </w:r>
                      </w:p>
                    </w:tc>
                    <w:tc>
                      <w:tcPr>
                        <w:tcW w:w="3831" w:type="dxa"/>
                        <w:tcBorders>
                          <w:top w:val="single" w:sz="4" w:space="0" w:color="000000"/>
                          <w:left w:val="single" w:sz="4" w:space="0" w:color="000000"/>
                          <w:bottom w:val="single" w:sz="4" w:space="0" w:color="000000"/>
                        </w:tcBorders>
                      </w:tcPr>
                      <w:p>
                        <w:pPr>
                          <w:pStyle w:val="TableParagraph"/>
                          <w:rPr>
                            <w:sz w:val="20"/>
                          </w:rPr>
                        </w:pPr>
                      </w:p>
                    </w:tc>
                  </w:tr>
                  <w:tr>
                    <w:trPr>
                      <w:trHeight w:val="342" w:hRule="atLeast"/>
                    </w:trPr>
                    <w:tc>
                      <w:tcPr>
                        <w:tcW w:w="5219" w:type="dxa"/>
                        <w:tcBorders>
                          <w:top w:val="single" w:sz="4" w:space="0" w:color="000000"/>
                          <w:bottom w:val="single" w:sz="4" w:space="0" w:color="000000"/>
                          <w:right w:val="single" w:sz="4" w:space="0" w:color="000000"/>
                        </w:tcBorders>
                      </w:tcPr>
                      <w:p>
                        <w:pPr>
                          <w:pStyle w:val="TableParagraph"/>
                          <w:spacing w:before="37"/>
                          <w:ind w:left="632"/>
                          <w:rPr>
                            <w:rFonts w:ascii="宋体" w:eastAsia="宋体" w:hint="eastAsia"/>
                            <w:sz w:val="21"/>
                          </w:rPr>
                        </w:pPr>
                        <w:r>
                          <w:rPr>
                            <w:rFonts w:ascii="宋体" w:eastAsia="宋体" w:hint="eastAsia"/>
                            <w:sz w:val="21"/>
                          </w:rPr>
                          <w:t>可转换债券的权益部分</w:t>
                        </w:r>
                      </w:p>
                    </w:tc>
                    <w:tc>
                      <w:tcPr>
                        <w:tcW w:w="3831" w:type="dxa"/>
                        <w:tcBorders>
                          <w:top w:val="single" w:sz="4" w:space="0" w:color="000000"/>
                          <w:left w:val="single" w:sz="4" w:space="0" w:color="000000"/>
                          <w:bottom w:val="single" w:sz="4" w:space="0" w:color="000000"/>
                        </w:tcBorders>
                      </w:tcPr>
                      <w:p>
                        <w:pPr>
                          <w:pStyle w:val="TableParagraph"/>
                          <w:spacing w:before="43"/>
                          <w:ind w:right="74"/>
                          <w:jc w:val="right"/>
                          <w:rPr>
                            <w:sz w:val="21"/>
                          </w:rPr>
                        </w:pPr>
                        <w:r>
                          <w:rPr>
                            <w:sz w:val="21"/>
                          </w:rPr>
                          <w:t>2,364,195,333.79</w:t>
                        </w:r>
                      </w:p>
                    </w:tc>
                  </w:tr>
                  <w:tr>
                    <w:trPr>
                      <w:trHeight w:val="342" w:hRule="atLeast"/>
                    </w:trPr>
                    <w:tc>
                      <w:tcPr>
                        <w:tcW w:w="5219" w:type="dxa"/>
                        <w:tcBorders>
                          <w:top w:val="single" w:sz="4" w:space="0" w:color="000000"/>
                          <w:right w:val="single" w:sz="4" w:space="0" w:color="000000"/>
                        </w:tcBorders>
                      </w:tcPr>
                      <w:p>
                        <w:pPr>
                          <w:pStyle w:val="TableParagraph"/>
                          <w:spacing w:before="37"/>
                          <w:ind w:left="632"/>
                          <w:rPr>
                            <w:rFonts w:ascii="宋体" w:eastAsia="宋体" w:hint="eastAsia"/>
                            <w:sz w:val="21"/>
                          </w:rPr>
                        </w:pPr>
                        <w:r>
                          <w:rPr>
                            <w:rFonts w:ascii="宋体" w:eastAsia="宋体" w:hint="eastAsia"/>
                            <w:sz w:val="21"/>
                          </w:rPr>
                          <w:t>可转换债券的负债部分</w:t>
                        </w:r>
                      </w:p>
                    </w:tc>
                    <w:tc>
                      <w:tcPr>
                        <w:tcW w:w="3831" w:type="dxa"/>
                        <w:tcBorders>
                          <w:top w:val="single" w:sz="4" w:space="0" w:color="000000"/>
                          <w:left w:val="single" w:sz="4" w:space="0" w:color="000000"/>
                        </w:tcBorders>
                      </w:tcPr>
                      <w:p>
                        <w:pPr>
                          <w:pStyle w:val="TableParagraph"/>
                          <w:spacing w:before="46"/>
                          <w:ind w:right="76"/>
                          <w:jc w:val="right"/>
                          <w:rPr>
                            <w:sz w:val="21"/>
                          </w:rPr>
                        </w:pPr>
                        <w:r>
                          <w:rPr>
                            <w:sz w:val="21"/>
                          </w:rPr>
                          <w:t>6,741,465,286.14</w:t>
                        </w:r>
                      </w:p>
                    </w:tc>
                  </w:tr>
                </w:tbl>
                <w:p>
                  <w:pPr>
                    <w:pStyle w:val="BodyText"/>
                  </w:pPr>
                </w:p>
              </w:txbxContent>
            </v:textbox>
            <w10:wrap type="none"/>
          </v:shape>
        </w:pict>
      </w:r>
      <w:r>
        <w:rPr>
          <w:rFonts w:ascii="Times New Roman" w:eastAsia="Times New Roman"/>
        </w:rPr>
        <w:t>2017 </w:t>
      </w:r>
      <w:r>
        <w:rPr>
          <w:spacing w:val="-26"/>
        </w:rPr>
        <w:t>年 </w:t>
      </w:r>
      <w:r>
        <w:rPr>
          <w:rFonts w:ascii="Times New Roman" w:eastAsia="Times New Roman"/>
        </w:rPr>
        <w:t>11</w:t>
      </w:r>
      <w:r>
        <w:rPr>
          <w:spacing w:val="-8"/>
        </w:rPr>
        <w:t>，本公司的全资子公司 </w:t>
      </w:r>
      <w:r>
        <w:rPr>
          <w:rFonts w:ascii="Times New Roman" w:eastAsia="Times New Roman"/>
        </w:rPr>
        <w:t>Harvest International Company </w:t>
      </w:r>
      <w:r>
        <w:rPr>
          <w:spacing w:val="-17"/>
        </w:rPr>
        <w:t>发行 </w:t>
      </w:r>
      <w:r>
        <w:rPr>
          <w:rFonts w:ascii="Times New Roman" w:eastAsia="Times New Roman"/>
        </w:rPr>
        <w:t>80 </w:t>
      </w:r>
      <w:r>
        <w:rPr>
          <w:spacing w:val="-3"/>
        </w:rPr>
        <w:t>亿港币的可交换公司</w:t>
      </w:r>
      <w:r>
        <w:rPr>
          <w:spacing w:val="-9"/>
        </w:rPr>
        <w:t>债券，期限为 </w:t>
      </w:r>
      <w:r>
        <w:rPr>
          <w:rFonts w:ascii="Times New Roman" w:eastAsia="Times New Roman"/>
        </w:rPr>
        <w:t>5 </w:t>
      </w:r>
      <w:r>
        <w:rPr>
          <w:spacing w:val="-6"/>
        </w:rPr>
        <w:t>年，票面利率为零，投资者收益率为 </w:t>
      </w:r>
      <w:r>
        <w:rPr>
          <w:rFonts w:ascii="Times New Roman" w:eastAsia="Times New Roman"/>
        </w:rPr>
        <w:t>1%</w:t>
      </w:r>
      <w:r>
        <w:rPr/>
        <w:t>。</w:t>
      </w:r>
      <w:r>
        <w:rPr>
          <w:rFonts w:ascii="Times New Roman" w:eastAsia="Times New Roman"/>
        </w:rPr>
        <w:t>2020 </w:t>
      </w:r>
      <w:r>
        <w:rPr>
          <w:spacing w:val="-19"/>
        </w:rPr>
        <w:t>年 </w:t>
      </w:r>
      <w:r>
        <w:rPr>
          <w:rFonts w:ascii="Times New Roman" w:eastAsia="Times New Roman"/>
        </w:rPr>
        <w:t>9 </w:t>
      </w:r>
      <w:r>
        <w:rPr>
          <w:spacing w:val="-3"/>
        </w:rPr>
        <w:t>月，公司审议通过将该笔可交换债券转换为可转换债券的方案，原可交换债券标的股份由海尔电器股票变更为海尔智家将新发行的 </w:t>
      </w:r>
      <w:r>
        <w:rPr>
          <w:rFonts w:ascii="Times New Roman" w:eastAsia="Times New Roman"/>
        </w:rPr>
        <w:t>H </w:t>
      </w:r>
      <w:r>
        <w:rPr>
          <w:spacing w:val="-3"/>
        </w:rPr>
        <w:t>股股票</w:t>
      </w:r>
      <w:r>
        <w:rPr/>
        <w:t>（</w:t>
      </w:r>
      <w:r>
        <w:rPr>
          <w:spacing w:val="-15"/>
        </w:rPr>
        <w:t>简称 </w:t>
      </w:r>
      <w:r>
        <w:rPr>
          <w:rFonts w:ascii="Times New Roman" w:eastAsia="Times New Roman"/>
        </w:rPr>
        <w:t>EB </w:t>
      </w:r>
      <w:r>
        <w:rPr/>
        <w:t>转 </w:t>
      </w:r>
      <w:r>
        <w:rPr>
          <w:rFonts w:ascii="Times New Roman" w:eastAsia="Times New Roman"/>
        </w:rPr>
        <w:t>CB </w:t>
      </w:r>
      <w:r>
        <w:rPr>
          <w:spacing w:val="-2"/>
        </w:rPr>
        <w:t>方案</w:t>
      </w:r>
      <w:r>
        <w:rPr/>
        <w:t>）</w:t>
      </w:r>
      <w:r>
        <w:rPr>
          <w:spacing w:val="-3"/>
        </w:rPr>
        <w:t>。</w:t>
      </w:r>
      <w:r>
        <w:rPr>
          <w:rFonts w:ascii="Times New Roman" w:eastAsia="Times New Roman"/>
        </w:rPr>
        <w:t>2020 </w:t>
      </w:r>
      <w:r>
        <w:rPr>
          <w:spacing w:val="-20"/>
        </w:rPr>
        <w:t>年 </w:t>
      </w:r>
      <w:r>
        <w:rPr>
          <w:rFonts w:ascii="Times New Roman" w:eastAsia="Times New Roman"/>
        </w:rPr>
        <w:t>12 </w:t>
      </w:r>
      <w:r>
        <w:rPr>
          <w:spacing w:val="-20"/>
        </w:rPr>
        <w:t>月 </w:t>
      </w:r>
      <w:r>
        <w:rPr>
          <w:rFonts w:ascii="Times New Roman" w:eastAsia="Times New Roman"/>
        </w:rPr>
        <w:t>23 </w:t>
      </w:r>
      <w:r>
        <w:rPr>
          <w:spacing w:val="-9"/>
        </w:rPr>
        <w:t>日，海尔智家 </w:t>
      </w:r>
      <w:r>
        <w:rPr>
          <w:rFonts w:ascii="Times New Roman" w:eastAsia="Times New Roman"/>
        </w:rPr>
        <w:t>H </w:t>
      </w:r>
      <w:r>
        <w:rPr>
          <w:spacing w:val="-3"/>
        </w:rPr>
        <w:t>股上市交易，</w:t>
      </w:r>
      <w:r>
        <w:rPr>
          <w:rFonts w:ascii="Times New Roman" w:eastAsia="Times New Roman"/>
        </w:rPr>
        <w:t>EB </w:t>
      </w:r>
      <w:r>
        <w:rPr>
          <w:spacing w:val="-15"/>
        </w:rPr>
        <w:t>转 </w:t>
      </w:r>
      <w:r>
        <w:rPr>
          <w:rFonts w:ascii="Times New Roman" w:eastAsia="Times New Roman"/>
        </w:rPr>
        <w:t>CB </w:t>
      </w:r>
      <w:r>
        <w:rPr>
          <w:spacing w:val="-3"/>
        </w:rPr>
        <w:t>方案生效，原</w:t>
      </w:r>
      <w:r>
        <w:rPr>
          <w:spacing w:val="-3"/>
          <w:sz w:val="20"/>
        </w:rPr>
        <w:t>可交换债券未偿还本金金额 </w:t>
      </w:r>
      <w:r>
        <w:rPr>
          <w:rFonts w:ascii="Times New Roman" w:eastAsia="Times New Roman"/>
          <w:sz w:val="20"/>
        </w:rPr>
        <w:t>79.93 </w:t>
      </w:r>
      <w:r>
        <w:rPr>
          <w:sz w:val="20"/>
        </w:rPr>
        <w:t>亿港元，</w:t>
      </w:r>
      <w:r>
        <w:rPr>
          <w:spacing w:val="-3"/>
        </w:rPr>
        <w:t>债券到期日、票面利率、投资者收益率维持不变，可转换债券初始确认时负债部分和权益部分：</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4"/>
        </w:rPr>
      </w:pPr>
    </w:p>
    <w:p>
      <w:pPr>
        <w:pStyle w:val="BodyText"/>
        <w:ind w:left="1960"/>
        <w:rPr>
          <w:rFonts w:ascii="Times New Roman" w:eastAsia="Times New Roman"/>
        </w:rPr>
      </w:pPr>
      <w:r>
        <w:rPr/>
        <w:pict>
          <v:shape style="position:absolute;margin-left:18.719999pt;margin-top:20.459990pt;width:578.050pt;height:133.1pt;mso-position-horizontal-relative:page;mso-position-vertical-relative:paragraph;z-index:251667456"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16"/>
                    <w:gridCol w:w="1476"/>
                    <w:gridCol w:w="1476"/>
                    <w:gridCol w:w="1341"/>
                    <w:gridCol w:w="1027"/>
                    <w:gridCol w:w="1159"/>
                    <w:gridCol w:w="1476"/>
                    <w:gridCol w:w="1401"/>
                    <w:gridCol w:w="1341"/>
                  </w:tblGrid>
                  <w:tr>
                    <w:trPr>
                      <w:trHeight w:val="702" w:hRule="atLeast"/>
                    </w:trPr>
                    <w:tc>
                      <w:tcPr>
                        <w:tcW w:w="816" w:type="dxa"/>
                        <w:tcBorders>
                          <w:bottom w:val="single" w:sz="4" w:space="0" w:color="000000"/>
                          <w:right w:val="single" w:sz="4" w:space="0" w:color="000000"/>
                        </w:tcBorders>
                      </w:tcPr>
                      <w:p>
                        <w:pPr>
                          <w:pStyle w:val="TableParagraph"/>
                          <w:spacing w:before="8"/>
                          <w:rPr>
                            <w:rFonts w:ascii="宋体"/>
                            <w:sz w:val="13"/>
                          </w:rPr>
                        </w:pPr>
                      </w:p>
                      <w:p>
                        <w:pPr>
                          <w:pStyle w:val="TableParagraph"/>
                          <w:ind w:left="207" w:right="189"/>
                          <w:jc w:val="center"/>
                          <w:rPr>
                            <w:rFonts w:ascii="Microsoft JhengHei" w:eastAsia="Microsoft JhengHei" w:hint="eastAsia"/>
                            <w:b/>
                            <w:sz w:val="18"/>
                          </w:rPr>
                        </w:pPr>
                        <w:r>
                          <w:rPr>
                            <w:rFonts w:ascii="Microsoft JhengHei" w:eastAsia="Microsoft JhengHei" w:hint="eastAsia"/>
                            <w:b/>
                            <w:sz w:val="18"/>
                          </w:rPr>
                          <w:t>项目</w:t>
                        </w:r>
                      </w:p>
                    </w:tc>
                    <w:tc>
                      <w:tcPr>
                        <w:tcW w:w="1476" w:type="dxa"/>
                        <w:tcBorders>
                          <w:left w:val="single" w:sz="4" w:space="0" w:color="000000"/>
                          <w:bottom w:val="single" w:sz="4" w:space="0" w:color="000000"/>
                          <w:right w:val="single" w:sz="4" w:space="0" w:color="000000"/>
                        </w:tcBorders>
                      </w:tcPr>
                      <w:p>
                        <w:pPr>
                          <w:pStyle w:val="TableParagraph"/>
                          <w:spacing w:before="8"/>
                          <w:rPr>
                            <w:rFonts w:ascii="宋体"/>
                            <w:sz w:val="13"/>
                          </w:rPr>
                        </w:pPr>
                      </w:p>
                      <w:p>
                        <w:pPr>
                          <w:pStyle w:val="TableParagraph"/>
                          <w:ind w:left="97" w:right="68"/>
                          <w:jc w:val="center"/>
                          <w:rPr>
                            <w:rFonts w:ascii="Microsoft JhengHei" w:eastAsia="Microsoft JhengHei" w:hint="eastAsia"/>
                            <w:b/>
                            <w:sz w:val="18"/>
                          </w:rPr>
                        </w:pPr>
                        <w:r>
                          <w:rPr>
                            <w:rFonts w:ascii="Microsoft JhengHei" w:eastAsia="Microsoft JhengHei" w:hint="eastAsia"/>
                            <w:b/>
                            <w:sz w:val="18"/>
                          </w:rPr>
                          <w:t>期初余额</w:t>
                        </w:r>
                      </w:p>
                    </w:tc>
                    <w:tc>
                      <w:tcPr>
                        <w:tcW w:w="1476" w:type="dxa"/>
                        <w:tcBorders>
                          <w:left w:val="single" w:sz="4" w:space="0" w:color="000000"/>
                          <w:bottom w:val="single" w:sz="4" w:space="0" w:color="000000"/>
                          <w:right w:val="single" w:sz="4" w:space="0" w:color="000000"/>
                        </w:tcBorders>
                      </w:tcPr>
                      <w:p>
                        <w:pPr>
                          <w:pStyle w:val="TableParagraph"/>
                          <w:spacing w:before="8"/>
                          <w:rPr>
                            <w:rFonts w:ascii="宋体"/>
                            <w:sz w:val="13"/>
                          </w:rPr>
                        </w:pPr>
                      </w:p>
                      <w:p>
                        <w:pPr>
                          <w:pStyle w:val="TableParagraph"/>
                          <w:ind w:left="97" w:right="68"/>
                          <w:jc w:val="center"/>
                          <w:rPr>
                            <w:rFonts w:ascii="Microsoft JhengHei" w:eastAsia="Microsoft JhengHei" w:hint="eastAsia"/>
                            <w:b/>
                            <w:sz w:val="18"/>
                          </w:rPr>
                        </w:pPr>
                        <w:r>
                          <w:rPr>
                            <w:rFonts w:ascii="Microsoft JhengHei" w:eastAsia="Microsoft JhengHei" w:hint="eastAsia"/>
                            <w:b/>
                            <w:sz w:val="18"/>
                          </w:rPr>
                          <w:t>本期增加</w:t>
                        </w:r>
                      </w:p>
                    </w:tc>
                    <w:tc>
                      <w:tcPr>
                        <w:tcW w:w="1341" w:type="dxa"/>
                        <w:tcBorders>
                          <w:left w:val="single" w:sz="4" w:space="0" w:color="000000"/>
                          <w:bottom w:val="single" w:sz="4" w:space="0" w:color="000000"/>
                          <w:right w:val="single" w:sz="4" w:space="0" w:color="000000"/>
                        </w:tcBorders>
                      </w:tcPr>
                      <w:p>
                        <w:pPr>
                          <w:pStyle w:val="TableParagraph"/>
                          <w:spacing w:line="168" w:lineRule="auto" w:before="132"/>
                          <w:ind w:left="320" w:right="286"/>
                          <w:rPr>
                            <w:rFonts w:ascii="Microsoft JhengHei" w:eastAsia="Microsoft JhengHei" w:hint="eastAsia"/>
                            <w:b/>
                            <w:sz w:val="18"/>
                          </w:rPr>
                        </w:pPr>
                        <w:r>
                          <w:rPr>
                            <w:rFonts w:ascii="Microsoft JhengHei" w:eastAsia="Microsoft JhengHei" w:hint="eastAsia"/>
                            <w:b/>
                            <w:sz w:val="18"/>
                          </w:rPr>
                          <w:t>本期应计债券利息</w:t>
                        </w:r>
                      </w:p>
                    </w:tc>
                    <w:tc>
                      <w:tcPr>
                        <w:tcW w:w="1027" w:type="dxa"/>
                        <w:tcBorders>
                          <w:left w:val="single" w:sz="4" w:space="0" w:color="000000"/>
                          <w:bottom w:val="single" w:sz="4" w:space="0" w:color="000000"/>
                          <w:right w:val="single" w:sz="4" w:space="0" w:color="000000"/>
                        </w:tcBorders>
                      </w:tcPr>
                      <w:p>
                        <w:pPr>
                          <w:pStyle w:val="TableParagraph"/>
                          <w:spacing w:line="168" w:lineRule="auto" w:before="14"/>
                          <w:ind w:left="162" w:right="130"/>
                          <w:jc w:val="center"/>
                          <w:rPr>
                            <w:rFonts w:ascii="Microsoft JhengHei" w:eastAsia="Microsoft JhengHei" w:hint="eastAsia"/>
                            <w:b/>
                            <w:sz w:val="18"/>
                          </w:rPr>
                        </w:pPr>
                        <w:r>
                          <w:rPr>
                            <w:rFonts w:ascii="Microsoft JhengHei" w:eastAsia="Microsoft JhengHei" w:hint="eastAsia"/>
                            <w:b/>
                            <w:sz w:val="18"/>
                          </w:rPr>
                          <w:t>减：本期已付债券</w:t>
                        </w:r>
                      </w:p>
                      <w:p>
                        <w:pPr>
                          <w:pStyle w:val="TableParagraph"/>
                          <w:spacing w:line="205" w:lineRule="exact"/>
                          <w:ind w:left="162" w:right="130"/>
                          <w:jc w:val="center"/>
                          <w:rPr>
                            <w:rFonts w:ascii="Microsoft JhengHei" w:eastAsia="Microsoft JhengHei" w:hint="eastAsia"/>
                            <w:b/>
                            <w:sz w:val="18"/>
                          </w:rPr>
                        </w:pPr>
                        <w:r>
                          <w:rPr>
                            <w:rFonts w:ascii="Microsoft JhengHei" w:eastAsia="Microsoft JhengHei" w:hint="eastAsia"/>
                            <w:b/>
                            <w:sz w:val="18"/>
                          </w:rPr>
                          <w:t>利息</w:t>
                        </w:r>
                      </w:p>
                    </w:tc>
                    <w:tc>
                      <w:tcPr>
                        <w:tcW w:w="1159" w:type="dxa"/>
                        <w:tcBorders>
                          <w:left w:val="single" w:sz="4" w:space="0" w:color="000000"/>
                          <w:bottom w:val="single" w:sz="4" w:space="0" w:color="000000"/>
                          <w:right w:val="single" w:sz="4" w:space="0" w:color="000000"/>
                        </w:tcBorders>
                      </w:tcPr>
                      <w:p>
                        <w:pPr>
                          <w:pStyle w:val="TableParagraph"/>
                          <w:spacing w:before="8"/>
                          <w:rPr>
                            <w:rFonts w:ascii="宋体"/>
                            <w:sz w:val="13"/>
                          </w:rPr>
                        </w:pPr>
                      </w:p>
                      <w:p>
                        <w:pPr>
                          <w:pStyle w:val="TableParagraph"/>
                          <w:ind w:left="94" w:right="66"/>
                          <w:jc w:val="center"/>
                          <w:rPr>
                            <w:rFonts w:ascii="Microsoft JhengHei" w:eastAsia="Microsoft JhengHei" w:hint="eastAsia"/>
                            <w:b/>
                            <w:sz w:val="18"/>
                          </w:rPr>
                        </w:pPr>
                        <w:r>
                          <w:rPr>
                            <w:rFonts w:ascii="Microsoft JhengHei" w:eastAsia="Microsoft JhengHei" w:hint="eastAsia"/>
                            <w:b/>
                            <w:sz w:val="18"/>
                          </w:rPr>
                          <w:t>本期赎回</w:t>
                        </w:r>
                      </w:p>
                    </w:tc>
                    <w:tc>
                      <w:tcPr>
                        <w:tcW w:w="1476" w:type="dxa"/>
                        <w:tcBorders>
                          <w:left w:val="single" w:sz="4" w:space="0" w:color="000000"/>
                          <w:bottom w:val="single" w:sz="4" w:space="0" w:color="000000"/>
                          <w:right w:val="single" w:sz="4" w:space="0" w:color="000000"/>
                        </w:tcBorders>
                      </w:tcPr>
                      <w:p>
                        <w:pPr>
                          <w:pStyle w:val="TableParagraph"/>
                          <w:spacing w:line="282" w:lineRule="exact" w:before="60"/>
                          <w:ind w:left="97" w:right="64"/>
                          <w:jc w:val="center"/>
                          <w:rPr>
                            <w:rFonts w:ascii="Microsoft JhengHei" w:eastAsia="Microsoft JhengHei" w:hint="eastAsia"/>
                            <w:b/>
                            <w:sz w:val="18"/>
                          </w:rPr>
                        </w:pPr>
                        <w:r>
                          <w:rPr>
                            <w:rFonts w:ascii="Microsoft JhengHei" w:eastAsia="Microsoft JhengHei" w:hint="eastAsia"/>
                            <w:b/>
                            <w:sz w:val="18"/>
                          </w:rPr>
                          <w:t>本期转换</w:t>
                        </w:r>
                      </w:p>
                      <w:p>
                        <w:pPr>
                          <w:pStyle w:val="TableParagraph"/>
                          <w:spacing w:line="282" w:lineRule="exact"/>
                          <w:ind w:left="97" w:right="66"/>
                          <w:jc w:val="center"/>
                          <w:rPr>
                            <w:rFonts w:ascii="Microsoft JhengHei" w:eastAsia="Microsoft JhengHei" w:hint="eastAsia"/>
                            <w:b/>
                            <w:sz w:val="18"/>
                          </w:rPr>
                        </w:pPr>
                        <w:r>
                          <w:rPr>
                            <w:rFonts w:ascii="Microsoft JhengHei" w:eastAsia="Microsoft JhengHei" w:hint="eastAsia"/>
                            <w:b/>
                            <w:sz w:val="18"/>
                          </w:rPr>
                          <w:t>（</w:t>
                        </w:r>
                        <w:r>
                          <w:rPr>
                            <w:b/>
                            <w:sz w:val="18"/>
                          </w:rPr>
                          <w:t>EB </w:t>
                        </w:r>
                        <w:r>
                          <w:rPr>
                            <w:rFonts w:ascii="Microsoft JhengHei" w:eastAsia="Microsoft JhengHei" w:hint="eastAsia"/>
                            <w:b/>
                            <w:sz w:val="18"/>
                          </w:rPr>
                          <w:t>转 </w:t>
                        </w:r>
                        <w:r>
                          <w:rPr>
                            <w:b/>
                            <w:sz w:val="18"/>
                          </w:rPr>
                          <w:t>CB</w:t>
                        </w:r>
                        <w:r>
                          <w:rPr>
                            <w:rFonts w:ascii="Microsoft JhengHei" w:eastAsia="Microsoft JhengHei" w:hint="eastAsia"/>
                            <w:b/>
                            <w:sz w:val="18"/>
                          </w:rPr>
                          <w:t>）</w:t>
                        </w:r>
                      </w:p>
                    </w:tc>
                    <w:tc>
                      <w:tcPr>
                        <w:tcW w:w="1401" w:type="dxa"/>
                        <w:tcBorders>
                          <w:left w:val="single" w:sz="4" w:space="0" w:color="000000"/>
                          <w:bottom w:val="single" w:sz="4" w:space="0" w:color="000000"/>
                          <w:right w:val="single" w:sz="4" w:space="0" w:color="000000"/>
                        </w:tcBorders>
                      </w:tcPr>
                      <w:p>
                        <w:pPr>
                          <w:pStyle w:val="TableParagraph"/>
                          <w:spacing w:before="8"/>
                          <w:rPr>
                            <w:rFonts w:ascii="宋体"/>
                            <w:sz w:val="13"/>
                          </w:rPr>
                        </w:pPr>
                      </w:p>
                      <w:p>
                        <w:pPr>
                          <w:pStyle w:val="TableParagraph"/>
                          <w:ind w:left="97" w:right="65"/>
                          <w:jc w:val="center"/>
                          <w:rPr>
                            <w:rFonts w:ascii="Microsoft JhengHei" w:eastAsia="Microsoft JhengHei" w:hint="eastAsia"/>
                            <w:b/>
                            <w:sz w:val="18"/>
                          </w:rPr>
                        </w:pPr>
                        <w:r>
                          <w:rPr>
                            <w:rFonts w:ascii="Microsoft JhengHei" w:eastAsia="Microsoft JhengHei" w:hint="eastAsia"/>
                            <w:b/>
                            <w:sz w:val="18"/>
                          </w:rPr>
                          <w:t>汇率影响</w:t>
                        </w:r>
                      </w:p>
                    </w:tc>
                    <w:tc>
                      <w:tcPr>
                        <w:tcW w:w="1341" w:type="dxa"/>
                        <w:tcBorders>
                          <w:left w:val="single" w:sz="4" w:space="0" w:color="000000"/>
                          <w:bottom w:val="single" w:sz="4" w:space="0" w:color="000000"/>
                          <w:right w:val="nil"/>
                        </w:tcBorders>
                      </w:tcPr>
                      <w:p>
                        <w:pPr>
                          <w:pStyle w:val="TableParagraph"/>
                          <w:spacing w:before="8"/>
                          <w:rPr>
                            <w:rFonts w:ascii="宋体"/>
                            <w:sz w:val="13"/>
                          </w:rPr>
                        </w:pPr>
                      </w:p>
                      <w:p>
                        <w:pPr>
                          <w:pStyle w:val="TableParagraph"/>
                          <w:ind w:left="370" w:right="205"/>
                          <w:jc w:val="center"/>
                          <w:rPr>
                            <w:rFonts w:ascii="Microsoft JhengHei" w:eastAsia="Microsoft JhengHei" w:hint="eastAsia"/>
                            <w:b/>
                            <w:sz w:val="18"/>
                          </w:rPr>
                        </w:pPr>
                        <w:r>
                          <w:rPr>
                            <w:rFonts w:ascii="Microsoft JhengHei" w:eastAsia="Microsoft JhengHei" w:hint="eastAsia"/>
                            <w:b/>
                            <w:sz w:val="18"/>
                          </w:rPr>
                          <w:t>期末余额</w:t>
                        </w:r>
                      </w:p>
                    </w:tc>
                  </w:tr>
                  <w:tr>
                    <w:trPr>
                      <w:trHeight w:val="803" w:hRule="atLeast"/>
                    </w:trPr>
                    <w:tc>
                      <w:tcPr>
                        <w:tcW w:w="816" w:type="dxa"/>
                        <w:tcBorders>
                          <w:top w:val="single" w:sz="4" w:space="0" w:color="000000"/>
                          <w:bottom w:val="single" w:sz="4" w:space="0" w:color="000000"/>
                          <w:right w:val="single" w:sz="4" w:space="0" w:color="000000"/>
                        </w:tcBorders>
                      </w:tcPr>
                      <w:p>
                        <w:pPr>
                          <w:pStyle w:val="TableParagraph"/>
                          <w:spacing w:line="242" w:lineRule="auto" w:before="50"/>
                          <w:ind w:left="136" w:right="117"/>
                          <w:jc w:val="both"/>
                          <w:rPr>
                            <w:sz w:val="18"/>
                          </w:rPr>
                        </w:pPr>
                        <w:r>
                          <w:rPr>
                            <w:rFonts w:ascii="宋体" w:eastAsia="宋体" w:hint="eastAsia"/>
                            <w:sz w:val="18"/>
                          </w:rPr>
                          <w:t>可交换公司债券</w:t>
                        </w:r>
                        <w:r>
                          <w:rPr>
                            <w:sz w:val="18"/>
                          </w:rPr>
                          <w:t>(EB)</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before="10"/>
                          <w:rPr>
                            <w:rFonts w:ascii="宋体"/>
                            <w:sz w:val="22"/>
                          </w:rPr>
                        </w:pPr>
                      </w:p>
                      <w:p>
                        <w:pPr>
                          <w:pStyle w:val="TableParagraph"/>
                          <w:ind w:left="97" w:right="68"/>
                          <w:jc w:val="center"/>
                          <w:rPr>
                            <w:sz w:val="18"/>
                          </w:rPr>
                        </w:pPr>
                        <w:r>
                          <w:rPr>
                            <w:sz w:val="18"/>
                          </w:rPr>
                          <w:t>7,004,585,761.43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before="10"/>
                          <w:rPr>
                            <w:rFonts w:ascii="宋体"/>
                            <w:sz w:val="22"/>
                          </w:rPr>
                        </w:pPr>
                      </w:p>
                      <w:p>
                        <w:pPr>
                          <w:pStyle w:val="TableParagraph"/>
                          <w:ind w:left="98" w:right="67"/>
                          <w:jc w:val="center"/>
                          <w:rPr>
                            <w:sz w:val="18"/>
                          </w:rPr>
                        </w:pPr>
                        <w:r>
                          <w:rPr>
                            <w:sz w:val="18"/>
                          </w:rPr>
                          <w:t>173,060,863.92</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before="10"/>
                          <w:rPr>
                            <w:rFonts w:ascii="宋体"/>
                            <w:sz w:val="22"/>
                          </w:rPr>
                        </w:pPr>
                      </w:p>
                      <w:p>
                        <w:pPr>
                          <w:pStyle w:val="TableParagraph"/>
                          <w:ind w:left="118"/>
                          <w:rPr>
                            <w:sz w:val="18"/>
                          </w:rPr>
                        </w:pPr>
                        <w:r>
                          <w:rPr>
                            <w:sz w:val="18"/>
                          </w:rPr>
                          <w:t>179,814.81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before="10"/>
                          <w:rPr>
                            <w:rFonts w:ascii="宋体"/>
                            <w:sz w:val="22"/>
                          </w:rPr>
                        </w:pPr>
                      </w:p>
                      <w:p>
                        <w:pPr>
                          <w:pStyle w:val="TableParagraph"/>
                          <w:ind w:left="97" w:right="66"/>
                          <w:jc w:val="center"/>
                          <w:rPr>
                            <w:sz w:val="18"/>
                          </w:rPr>
                        </w:pPr>
                        <w:r>
                          <w:rPr>
                            <w:sz w:val="18"/>
                          </w:rPr>
                          <w:t>5,919,340.00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before="10"/>
                          <w:rPr>
                            <w:rFonts w:ascii="宋体"/>
                            <w:sz w:val="22"/>
                          </w:rPr>
                        </w:pPr>
                      </w:p>
                      <w:p>
                        <w:pPr>
                          <w:pStyle w:val="TableParagraph"/>
                          <w:ind w:left="119"/>
                          <w:rPr>
                            <w:sz w:val="18"/>
                          </w:rPr>
                        </w:pPr>
                        <w:r>
                          <w:rPr>
                            <w:sz w:val="18"/>
                          </w:rPr>
                          <w:t>6,770,674,309.82</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before="10"/>
                          <w:rPr>
                            <w:rFonts w:ascii="宋体"/>
                            <w:sz w:val="22"/>
                          </w:rPr>
                        </w:pPr>
                      </w:p>
                      <w:p>
                        <w:pPr>
                          <w:pStyle w:val="TableParagraph"/>
                          <w:ind w:left="100" w:right="65"/>
                          <w:jc w:val="center"/>
                          <w:rPr>
                            <w:sz w:val="18"/>
                          </w:rPr>
                        </w:pPr>
                        <w:r>
                          <w:rPr>
                            <w:sz w:val="18"/>
                          </w:rPr>
                          <w:t>-400,873,160.72</w:t>
                        </w:r>
                      </w:p>
                    </w:tc>
                    <w:tc>
                      <w:tcPr>
                        <w:tcW w:w="1341" w:type="dxa"/>
                        <w:tcBorders>
                          <w:top w:val="single" w:sz="4" w:space="0" w:color="000000"/>
                          <w:left w:val="single" w:sz="4" w:space="0" w:color="000000"/>
                          <w:bottom w:val="single" w:sz="4" w:space="0" w:color="000000"/>
                          <w:right w:val="nil"/>
                        </w:tcBorders>
                      </w:tcPr>
                      <w:p>
                        <w:pPr>
                          <w:pStyle w:val="TableParagraph"/>
                          <w:rPr>
                            <w:sz w:val="20"/>
                          </w:rPr>
                        </w:pPr>
                      </w:p>
                    </w:tc>
                  </w:tr>
                  <w:tr>
                    <w:trPr>
                      <w:trHeight w:val="698" w:hRule="atLeast"/>
                    </w:trPr>
                    <w:tc>
                      <w:tcPr>
                        <w:tcW w:w="816" w:type="dxa"/>
                        <w:tcBorders>
                          <w:top w:val="single" w:sz="4" w:space="0" w:color="000000"/>
                          <w:bottom w:val="single" w:sz="4" w:space="0" w:color="000000"/>
                          <w:right w:val="single" w:sz="4" w:space="0" w:color="000000"/>
                        </w:tcBorders>
                      </w:tcPr>
                      <w:p>
                        <w:pPr>
                          <w:pStyle w:val="TableParagraph"/>
                          <w:spacing w:line="242" w:lineRule="auto"/>
                          <w:ind w:left="136" w:right="117"/>
                          <w:rPr>
                            <w:rFonts w:ascii="宋体" w:eastAsia="宋体" w:hint="eastAsia"/>
                            <w:sz w:val="18"/>
                          </w:rPr>
                        </w:pPr>
                        <w:r>
                          <w:rPr>
                            <w:rFonts w:ascii="宋体" w:eastAsia="宋体" w:hint="eastAsia"/>
                            <w:sz w:val="18"/>
                          </w:rPr>
                          <w:t>可转换公司债</w:t>
                        </w:r>
                      </w:p>
                      <w:p>
                        <w:pPr>
                          <w:pStyle w:val="TableParagraph"/>
                          <w:spacing w:line="212" w:lineRule="exact"/>
                          <w:ind w:left="107" w:right="-15"/>
                          <w:rPr>
                            <w:rFonts w:ascii="宋体" w:eastAsia="宋体" w:hint="eastAsia"/>
                            <w:sz w:val="18"/>
                          </w:rPr>
                        </w:pPr>
                        <w:r>
                          <w:rPr>
                            <w:rFonts w:ascii="宋体" w:eastAsia="宋体" w:hint="eastAsia"/>
                            <w:spacing w:val="-89"/>
                            <w:sz w:val="18"/>
                          </w:rPr>
                          <w:t>券</w:t>
                        </w:r>
                        <w:r>
                          <w:rPr>
                            <w:rFonts w:ascii="宋体" w:eastAsia="宋体" w:hint="eastAsia"/>
                            <w:sz w:val="18"/>
                          </w:rPr>
                          <w:t>（</w:t>
                        </w:r>
                        <w:r>
                          <w:rPr>
                            <w:sz w:val="18"/>
                          </w:rPr>
                          <w:t>CB</w:t>
                        </w:r>
                        <w:r>
                          <w:rPr>
                            <w:rFonts w:ascii="宋体" w:eastAsia="宋体" w:hint="eastAsia"/>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before="9"/>
                          <w:rPr>
                            <w:rFonts w:ascii="宋体"/>
                            <w:sz w:val="18"/>
                          </w:rPr>
                        </w:pPr>
                      </w:p>
                      <w:p>
                        <w:pPr>
                          <w:pStyle w:val="TableParagraph"/>
                          <w:ind w:left="97" w:right="68"/>
                          <w:jc w:val="center"/>
                          <w:rPr>
                            <w:sz w:val="18"/>
                          </w:rPr>
                        </w:pPr>
                        <w:r>
                          <w:rPr>
                            <w:sz w:val="18"/>
                          </w:rPr>
                          <w:t>6,741,465,286.14</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before="9"/>
                          <w:rPr>
                            <w:rFonts w:ascii="宋体"/>
                            <w:sz w:val="18"/>
                          </w:rPr>
                        </w:pPr>
                      </w:p>
                      <w:p>
                        <w:pPr>
                          <w:pStyle w:val="TableParagraph"/>
                          <w:ind w:left="96" w:right="67"/>
                          <w:jc w:val="center"/>
                          <w:rPr>
                            <w:sz w:val="18"/>
                          </w:rPr>
                        </w:pPr>
                        <w:r>
                          <w:rPr>
                            <w:sz w:val="18"/>
                          </w:rPr>
                          <w:t>4,315,475.69</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before="9"/>
                          <w:rPr>
                            <w:rFonts w:ascii="宋体"/>
                            <w:sz w:val="18"/>
                          </w:rPr>
                        </w:pPr>
                      </w:p>
                      <w:p>
                        <w:pPr>
                          <w:pStyle w:val="TableParagraph"/>
                          <w:ind w:left="100" w:right="65"/>
                          <w:jc w:val="center"/>
                          <w:rPr>
                            <w:sz w:val="18"/>
                          </w:rPr>
                        </w:pPr>
                        <w:r>
                          <w:rPr>
                            <w:sz w:val="18"/>
                          </w:rPr>
                          <w:t>-32,279,711.56</w:t>
                        </w:r>
                      </w:p>
                    </w:tc>
                    <w:tc>
                      <w:tcPr>
                        <w:tcW w:w="1341" w:type="dxa"/>
                        <w:tcBorders>
                          <w:top w:val="single" w:sz="4" w:space="0" w:color="000000"/>
                          <w:left w:val="single" w:sz="4" w:space="0" w:color="000000"/>
                          <w:bottom w:val="single" w:sz="4" w:space="0" w:color="000000"/>
                          <w:right w:val="nil"/>
                        </w:tcBorders>
                      </w:tcPr>
                      <w:p>
                        <w:pPr>
                          <w:pStyle w:val="TableParagraph"/>
                          <w:spacing w:before="9"/>
                          <w:rPr>
                            <w:rFonts w:ascii="宋体"/>
                            <w:sz w:val="18"/>
                          </w:rPr>
                        </w:pPr>
                      </w:p>
                      <w:p>
                        <w:pPr>
                          <w:pStyle w:val="TableParagraph"/>
                          <w:ind w:left="120" w:right="-58"/>
                          <w:jc w:val="center"/>
                          <w:rPr>
                            <w:sz w:val="18"/>
                          </w:rPr>
                        </w:pPr>
                        <w:r>
                          <w:rPr>
                            <w:sz w:val="18"/>
                          </w:rPr>
                          <w:t>6,713,501,050.27</w:t>
                        </w:r>
                      </w:p>
                    </w:tc>
                  </w:tr>
                  <w:tr>
                    <w:trPr>
                      <w:trHeight w:val="368" w:hRule="atLeast"/>
                    </w:trPr>
                    <w:tc>
                      <w:tcPr>
                        <w:tcW w:w="816" w:type="dxa"/>
                        <w:tcBorders>
                          <w:top w:val="single" w:sz="4" w:space="0" w:color="000000"/>
                          <w:right w:val="single" w:sz="4" w:space="0" w:color="000000"/>
                        </w:tcBorders>
                      </w:tcPr>
                      <w:p>
                        <w:pPr>
                          <w:pStyle w:val="TableParagraph"/>
                          <w:spacing w:before="69"/>
                          <w:ind w:left="207" w:right="189"/>
                          <w:jc w:val="center"/>
                          <w:rPr>
                            <w:rFonts w:ascii="宋体" w:eastAsia="宋体" w:hint="eastAsia"/>
                            <w:sz w:val="18"/>
                          </w:rPr>
                        </w:pPr>
                        <w:r>
                          <w:rPr>
                            <w:rFonts w:ascii="宋体" w:eastAsia="宋体" w:hint="eastAsia"/>
                            <w:sz w:val="18"/>
                          </w:rPr>
                          <w:t>合计</w:t>
                        </w:r>
                      </w:p>
                    </w:tc>
                    <w:tc>
                      <w:tcPr>
                        <w:tcW w:w="1476" w:type="dxa"/>
                        <w:tcBorders>
                          <w:top w:val="single" w:sz="4" w:space="0" w:color="000000"/>
                          <w:left w:val="single" w:sz="4" w:space="0" w:color="000000"/>
                          <w:right w:val="single" w:sz="4" w:space="0" w:color="000000"/>
                        </w:tcBorders>
                      </w:tcPr>
                      <w:p>
                        <w:pPr>
                          <w:pStyle w:val="TableParagraph"/>
                          <w:spacing w:before="76"/>
                          <w:ind w:left="97" w:right="68"/>
                          <w:jc w:val="center"/>
                          <w:rPr>
                            <w:sz w:val="18"/>
                          </w:rPr>
                        </w:pPr>
                        <w:r>
                          <w:rPr>
                            <w:sz w:val="18"/>
                          </w:rPr>
                          <w:t>7,004,585,761.43</w:t>
                        </w:r>
                      </w:p>
                    </w:tc>
                    <w:tc>
                      <w:tcPr>
                        <w:tcW w:w="1476" w:type="dxa"/>
                        <w:tcBorders>
                          <w:top w:val="single" w:sz="4" w:space="0" w:color="000000"/>
                          <w:left w:val="single" w:sz="4" w:space="0" w:color="000000"/>
                          <w:right w:val="single" w:sz="4" w:space="0" w:color="000000"/>
                        </w:tcBorders>
                      </w:tcPr>
                      <w:p>
                        <w:pPr>
                          <w:pStyle w:val="TableParagraph"/>
                          <w:spacing w:before="76"/>
                          <w:ind w:left="97" w:right="68"/>
                          <w:jc w:val="center"/>
                          <w:rPr>
                            <w:sz w:val="18"/>
                          </w:rPr>
                        </w:pPr>
                        <w:r>
                          <w:rPr>
                            <w:sz w:val="18"/>
                          </w:rPr>
                          <w:t>6,741,465,286.14</w:t>
                        </w:r>
                      </w:p>
                    </w:tc>
                    <w:tc>
                      <w:tcPr>
                        <w:tcW w:w="1341" w:type="dxa"/>
                        <w:tcBorders>
                          <w:top w:val="single" w:sz="4" w:space="0" w:color="000000"/>
                          <w:left w:val="single" w:sz="4" w:space="0" w:color="000000"/>
                          <w:right w:val="single" w:sz="4" w:space="0" w:color="000000"/>
                        </w:tcBorders>
                      </w:tcPr>
                      <w:p>
                        <w:pPr>
                          <w:pStyle w:val="TableParagraph"/>
                          <w:spacing w:before="76"/>
                          <w:ind w:left="98" w:right="67"/>
                          <w:jc w:val="center"/>
                          <w:rPr>
                            <w:sz w:val="18"/>
                          </w:rPr>
                        </w:pPr>
                        <w:r>
                          <w:rPr>
                            <w:sz w:val="18"/>
                          </w:rPr>
                          <w:t>177,376,339.61</w:t>
                        </w:r>
                      </w:p>
                    </w:tc>
                    <w:tc>
                      <w:tcPr>
                        <w:tcW w:w="1027" w:type="dxa"/>
                        <w:tcBorders>
                          <w:top w:val="single" w:sz="4" w:space="0" w:color="000000"/>
                          <w:left w:val="single" w:sz="4" w:space="0" w:color="000000"/>
                          <w:right w:val="single" w:sz="4" w:space="0" w:color="000000"/>
                        </w:tcBorders>
                      </w:tcPr>
                      <w:p>
                        <w:pPr>
                          <w:pStyle w:val="TableParagraph"/>
                          <w:spacing w:before="76"/>
                          <w:ind w:left="118"/>
                          <w:rPr>
                            <w:sz w:val="18"/>
                          </w:rPr>
                        </w:pPr>
                        <w:r>
                          <w:rPr>
                            <w:sz w:val="18"/>
                          </w:rPr>
                          <w:t>179,814.81</w:t>
                        </w:r>
                      </w:p>
                    </w:tc>
                    <w:tc>
                      <w:tcPr>
                        <w:tcW w:w="1159" w:type="dxa"/>
                        <w:tcBorders>
                          <w:top w:val="single" w:sz="4" w:space="0" w:color="000000"/>
                          <w:left w:val="single" w:sz="4" w:space="0" w:color="000000"/>
                          <w:right w:val="single" w:sz="4" w:space="0" w:color="000000"/>
                        </w:tcBorders>
                      </w:tcPr>
                      <w:p>
                        <w:pPr>
                          <w:pStyle w:val="TableParagraph"/>
                          <w:spacing w:before="76"/>
                          <w:ind w:left="97" w:right="66"/>
                          <w:jc w:val="center"/>
                          <w:rPr>
                            <w:sz w:val="18"/>
                          </w:rPr>
                        </w:pPr>
                        <w:r>
                          <w:rPr>
                            <w:sz w:val="18"/>
                          </w:rPr>
                          <w:t>5,919,340.00</w:t>
                        </w:r>
                      </w:p>
                    </w:tc>
                    <w:tc>
                      <w:tcPr>
                        <w:tcW w:w="1476" w:type="dxa"/>
                        <w:tcBorders>
                          <w:top w:val="single" w:sz="4" w:space="0" w:color="000000"/>
                          <w:left w:val="single" w:sz="4" w:space="0" w:color="000000"/>
                          <w:right w:val="single" w:sz="4" w:space="0" w:color="000000"/>
                        </w:tcBorders>
                      </w:tcPr>
                      <w:p>
                        <w:pPr>
                          <w:pStyle w:val="TableParagraph"/>
                          <w:spacing w:before="76"/>
                          <w:ind w:left="119"/>
                          <w:rPr>
                            <w:sz w:val="18"/>
                          </w:rPr>
                        </w:pPr>
                        <w:r>
                          <w:rPr>
                            <w:sz w:val="18"/>
                          </w:rPr>
                          <w:t>6,770,674,309.82</w:t>
                        </w:r>
                      </w:p>
                    </w:tc>
                    <w:tc>
                      <w:tcPr>
                        <w:tcW w:w="1401" w:type="dxa"/>
                        <w:tcBorders>
                          <w:top w:val="single" w:sz="4" w:space="0" w:color="000000"/>
                          <w:left w:val="single" w:sz="4" w:space="0" w:color="000000"/>
                          <w:right w:val="single" w:sz="4" w:space="0" w:color="000000"/>
                        </w:tcBorders>
                      </w:tcPr>
                      <w:p>
                        <w:pPr>
                          <w:pStyle w:val="TableParagraph"/>
                          <w:spacing w:before="76"/>
                          <w:ind w:left="100" w:right="65"/>
                          <w:jc w:val="center"/>
                          <w:rPr>
                            <w:sz w:val="18"/>
                          </w:rPr>
                        </w:pPr>
                        <w:r>
                          <w:rPr>
                            <w:sz w:val="18"/>
                          </w:rPr>
                          <w:t>-433,152,872.28</w:t>
                        </w:r>
                      </w:p>
                    </w:tc>
                    <w:tc>
                      <w:tcPr>
                        <w:tcW w:w="1341" w:type="dxa"/>
                        <w:tcBorders>
                          <w:top w:val="single" w:sz="4" w:space="0" w:color="000000"/>
                          <w:left w:val="single" w:sz="4" w:space="0" w:color="000000"/>
                          <w:right w:val="nil"/>
                        </w:tcBorders>
                      </w:tcPr>
                      <w:p>
                        <w:pPr>
                          <w:pStyle w:val="TableParagraph"/>
                          <w:spacing w:before="76"/>
                          <w:ind w:left="120" w:right="-58"/>
                          <w:jc w:val="center"/>
                          <w:rPr>
                            <w:sz w:val="18"/>
                          </w:rPr>
                        </w:pPr>
                        <w:r>
                          <w:rPr>
                            <w:sz w:val="18"/>
                          </w:rPr>
                          <w:t>6,713,501,050.27</w:t>
                        </w:r>
                      </w:p>
                    </w:tc>
                  </w:tr>
                </w:tbl>
                <w:p>
                  <w:pPr>
                    <w:pStyle w:val="BodyText"/>
                  </w:pPr>
                </w:p>
              </w:txbxContent>
            </v:textbox>
            <w10:wrap type="none"/>
          </v:shape>
        </w:pict>
      </w:r>
      <w:r>
        <w:rPr/>
        <w:t>公司债券的负债部分本期变动</w:t>
      </w:r>
      <w:r>
        <w:rPr>
          <w:rFonts w:ascii="Times New Roman" w:eastAsia="Times New Roman"/>
        </w:rPr>
        <w:t>:</w:t>
      </w: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4"/>
        </w:rPr>
      </w:pPr>
    </w:p>
    <w:p>
      <w:pPr>
        <w:pStyle w:val="BodyText"/>
        <w:spacing w:line="265" w:lineRule="exact"/>
        <w:ind w:left="1538"/>
      </w:pPr>
      <w:r>
        <w:rPr>
          <w:w w:val="100"/>
        </w:rPr>
        <w:t> </w:t>
      </w:r>
    </w:p>
    <w:p>
      <w:pPr>
        <w:pStyle w:val="Heading4"/>
        <w:spacing w:line="383" w:lineRule="exact"/>
      </w:pPr>
      <w:r>
        <w:rPr>
          <w:rFonts w:ascii="Times New Roman" w:eastAsia="Times New Roman"/>
        </w:rPr>
        <w:t>37</w:t>
      </w:r>
      <w:r>
        <w:rPr/>
        <w:t>、 租赁负债</w:t>
      </w:r>
    </w:p>
    <w:p>
      <w:pPr>
        <w:pStyle w:val="BodyText"/>
        <w:spacing w:before="17"/>
        <w:ind w:left="1538"/>
      </w:pPr>
      <w:r>
        <w:rPr>
          <w:w w:val="100"/>
        </w:rPr>
        <w:t> </w:t>
      </w:r>
    </w:p>
    <w:tbl>
      <w:tblPr>
        <w:tblW w:w="0" w:type="auto"/>
        <w:jc w:val="left"/>
        <w:tblInd w:w="14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481"/>
        <w:gridCol w:w="2876"/>
        <w:gridCol w:w="2588"/>
      </w:tblGrid>
      <w:tr>
        <w:trPr>
          <w:trHeight w:val="371" w:hRule="atLeast"/>
        </w:trPr>
        <w:tc>
          <w:tcPr>
            <w:tcW w:w="3481" w:type="dxa"/>
            <w:tcBorders>
              <w:bottom w:val="single" w:sz="4" w:space="0" w:color="000000"/>
              <w:right w:val="single" w:sz="4" w:space="0" w:color="000000"/>
            </w:tcBorders>
          </w:tcPr>
          <w:p>
            <w:pPr>
              <w:pStyle w:val="TableParagraph"/>
              <w:spacing w:line="351" w:lineRule="exact"/>
              <w:ind w:left="1299" w:right="1282"/>
              <w:jc w:val="center"/>
              <w:rPr>
                <w:rFonts w:ascii="Microsoft JhengHei" w:eastAsia="Microsoft JhengHei" w:hint="eastAsia"/>
                <w:b/>
                <w:sz w:val="21"/>
              </w:rPr>
            </w:pPr>
            <w:r>
              <w:rPr>
                <w:rFonts w:ascii="Microsoft JhengHei" w:eastAsia="Microsoft JhengHei" w:hint="eastAsia"/>
                <w:b/>
                <w:sz w:val="21"/>
              </w:rPr>
              <w:t>项目</w:t>
            </w:r>
          </w:p>
        </w:tc>
        <w:tc>
          <w:tcPr>
            <w:tcW w:w="2876" w:type="dxa"/>
            <w:tcBorders>
              <w:left w:val="single" w:sz="4" w:space="0" w:color="000000"/>
              <w:bottom w:val="single" w:sz="4" w:space="0" w:color="000000"/>
              <w:right w:val="single" w:sz="4" w:space="0" w:color="000000"/>
            </w:tcBorders>
          </w:tcPr>
          <w:p>
            <w:pPr>
              <w:pStyle w:val="TableParagraph"/>
              <w:spacing w:line="351" w:lineRule="exact"/>
              <w:ind w:left="1006" w:right="979"/>
              <w:jc w:val="center"/>
              <w:rPr>
                <w:rFonts w:ascii="Microsoft JhengHei" w:eastAsia="Microsoft JhengHei" w:hint="eastAsia"/>
                <w:b/>
                <w:sz w:val="21"/>
              </w:rPr>
            </w:pPr>
            <w:r>
              <w:rPr>
                <w:rFonts w:ascii="Microsoft JhengHei" w:eastAsia="Microsoft JhengHei" w:hint="eastAsia"/>
                <w:b/>
                <w:sz w:val="21"/>
              </w:rPr>
              <w:t>期末余额</w:t>
            </w:r>
          </w:p>
        </w:tc>
        <w:tc>
          <w:tcPr>
            <w:tcW w:w="2588" w:type="dxa"/>
            <w:tcBorders>
              <w:left w:val="single" w:sz="4" w:space="0" w:color="000000"/>
              <w:bottom w:val="single" w:sz="4" w:space="0" w:color="000000"/>
            </w:tcBorders>
          </w:tcPr>
          <w:p>
            <w:pPr>
              <w:pStyle w:val="TableParagraph"/>
              <w:spacing w:line="351" w:lineRule="exact"/>
              <w:ind w:left="877"/>
              <w:rPr>
                <w:rFonts w:ascii="Microsoft JhengHei" w:eastAsia="Microsoft JhengHei" w:hint="eastAsia"/>
                <w:b/>
                <w:sz w:val="21"/>
              </w:rPr>
            </w:pPr>
            <w:r>
              <w:rPr>
                <w:rFonts w:ascii="Microsoft JhengHei" w:eastAsia="Microsoft JhengHei" w:hint="eastAsia"/>
                <w:b/>
                <w:sz w:val="21"/>
              </w:rPr>
              <w:t>期初余额</w:t>
            </w:r>
          </w:p>
        </w:tc>
      </w:tr>
      <w:tr>
        <w:trPr>
          <w:trHeight w:val="366" w:hRule="atLeast"/>
        </w:trPr>
        <w:tc>
          <w:tcPr>
            <w:tcW w:w="3481"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租赁负债</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before="55"/>
              <w:ind w:right="89"/>
              <w:jc w:val="right"/>
              <w:rPr>
                <w:sz w:val="21"/>
              </w:rPr>
            </w:pPr>
            <w:r>
              <w:rPr>
                <w:sz w:val="21"/>
              </w:rPr>
              <w:t>2,743,566,116.43</w:t>
            </w:r>
          </w:p>
        </w:tc>
        <w:tc>
          <w:tcPr>
            <w:tcW w:w="2588" w:type="dxa"/>
            <w:tcBorders>
              <w:top w:val="single" w:sz="4" w:space="0" w:color="000000"/>
              <w:left w:val="single" w:sz="4" w:space="0" w:color="000000"/>
              <w:bottom w:val="single" w:sz="4" w:space="0" w:color="000000"/>
            </w:tcBorders>
          </w:tcPr>
          <w:p>
            <w:pPr>
              <w:pStyle w:val="TableParagraph"/>
              <w:spacing w:before="55"/>
              <w:ind w:right="79"/>
              <w:jc w:val="right"/>
              <w:rPr>
                <w:sz w:val="21"/>
              </w:rPr>
            </w:pPr>
            <w:r>
              <w:rPr>
                <w:sz w:val="21"/>
              </w:rPr>
              <w:t>2,575,201,976.93</w:t>
            </w:r>
          </w:p>
        </w:tc>
      </w:tr>
      <w:tr>
        <w:trPr>
          <w:trHeight w:val="369" w:hRule="atLeast"/>
        </w:trPr>
        <w:tc>
          <w:tcPr>
            <w:tcW w:w="3481" w:type="dxa"/>
            <w:tcBorders>
              <w:top w:val="single" w:sz="4" w:space="0" w:color="000000"/>
              <w:bottom w:val="single" w:sz="4" w:space="0" w:color="000000"/>
              <w:right w:val="single" w:sz="4" w:space="0" w:color="000000"/>
            </w:tcBorders>
          </w:tcPr>
          <w:p>
            <w:pPr>
              <w:pStyle w:val="TableParagraph"/>
              <w:spacing w:before="51"/>
              <w:ind w:left="318"/>
              <w:rPr>
                <w:rFonts w:ascii="宋体" w:eastAsia="宋体" w:hint="eastAsia"/>
                <w:sz w:val="21"/>
              </w:rPr>
            </w:pPr>
            <w:r>
              <w:rPr>
                <w:rFonts w:ascii="宋体" w:eastAsia="宋体" w:hint="eastAsia"/>
                <w:sz w:val="21"/>
              </w:rPr>
              <w:t>减：一年内到期的租赁负债</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before="58"/>
              <w:ind w:right="87"/>
              <w:jc w:val="right"/>
              <w:rPr>
                <w:sz w:val="21"/>
              </w:rPr>
            </w:pPr>
            <w:r>
              <w:rPr>
                <w:sz w:val="21"/>
              </w:rPr>
              <w:t>670,863,763.75</w:t>
            </w:r>
          </w:p>
        </w:tc>
        <w:tc>
          <w:tcPr>
            <w:tcW w:w="2588" w:type="dxa"/>
            <w:tcBorders>
              <w:top w:val="single" w:sz="4" w:space="0" w:color="000000"/>
              <w:left w:val="single" w:sz="4" w:space="0" w:color="000000"/>
              <w:bottom w:val="single" w:sz="4" w:space="0" w:color="000000"/>
            </w:tcBorders>
          </w:tcPr>
          <w:p>
            <w:pPr>
              <w:pStyle w:val="TableParagraph"/>
              <w:spacing w:before="58"/>
              <w:ind w:right="79"/>
              <w:jc w:val="right"/>
              <w:rPr>
                <w:sz w:val="21"/>
              </w:rPr>
            </w:pPr>
            <w:r>
              <w:rPr>
                <w:sz w:val="21"/>
              </w:rPr>
              <w:t>594,930,209.58</w:t>
            </w:r>
          </w:p>
        </w:tc>
      </w:tr>
      <w:tr>
        <w:trPr>
          <w:trHeight w:val="368" w:hRule="atLeast"/>
        </w:trPr>
        <w:tc>
          <w:tcPr>
            <w:tcW w:w="3481" w:type="dxa"/>
            <w:tcBorders>
              <w:top w:val="single" w:sz="4" w:space="0" w:color="000000"/>
              <w:right w:val="single" w:sz="4" w:space="0" w:color="000000"/>
            </w:tcBorders>
          </w:tcPr>
          <w:p>
            <w:pPr>
              <w:pStyle w:val="TableParagraph"/>
              <w:spacing w:before="51"/>
              <w:ind w:left="1299" w:right="1282"/>
              <w:jc w:val="center"/>
              <w:rPr>
                <w:rFonts w:ascii="宋体" w:eastAsia="宋体" w:hint="eastAsia"/>
                <w:sz w:val="21"/>
              </w:rPr>
            </w:pPr>
            <w:r>
              <w:rPr>
                <w:rFonts w:ascii="宋体" w:eastAsia="宋体" w:hint="eastAsia"/>
                <w:sz w:val="21"/>
              </w:rPr>
              <w:t>合计</w:t>
            </w:r>
          </w:p>
        </w:tc>
        <w:tc>
          <w:tcPr>
            <w:tcW w:w="2876" w:type="dxa"/>
            <w:tcBorders>
              <w:top w:val="single" w:sz="4" w:space="0" w:color="000000"/>
              <w:left w:val="single" w:sz="4" w:space="0" w:color="000000"/>
              <w:right w:val="single" w:sz="4" w:space="0" w:color="000000"/>
            </w:tcBorders>
          </w:tcPr>
          <w:p>
            <w:pPr>
              <w:pStyle w:val="TableParagraph"/>
              <w:spacing w:before="58"/>
              <w:ind w:right="89"/>
              <w:jc w:val="right"/>
              <w:rPr>
                <w:sz w:val="21"/>
              </w:rPr>
            </w:pPr>
            <w:r>
              <w:rPr>
                <w:sz w:val="21"/>
              </w:rPr>
              <w:t>2,072,702,352.68</w:t>
            </w:r>
          </w:p>
        </w:tc>
        <w:tc>
          <w:tcPr>
            <w:tcW w:w="2588" w:type="dxa"/>
            <w:tcBorders>
              <w:top w:val="single" w:sz="4" w:space="0" w:color="000000"/>
              <w:left w:val="single" w:sz="4" w:space="0" w:color="000000"/>
            </w:tcBorders>
          </w:tcPr>
          <w:p>
            <w:pPr>
              <w:pStyle w:val="TableParagraph"/>
              <w:spacing w:before="58"/>
              <w:ind w:right="79"/>
              <w:jc w:val="right"/>
              <w:rPr>
                <w:sz w:val="21"/>
              </w:rPr>
            </w:pPr>
            <w:r>
              <w:rPr>
                <w:sz w:val="21"/>
              </w:rPr>
              <w:t>1,980,271,767.35</w:t>
            </w:r>
          </w:p>
        </w:tc>
      </w:tr>
    </w:tbl>
    <w:p>
      <w:pPr>
        <w:pStyle w:val="BodyText"/>
        <w:spacing w:line="265" w:lineRule="exact" w:before="4"/>
        <w:ind w:left="1538"/>
      </w:pPr>
      <w:r>
        <w:rPr>
          <w:w w:val="100"/>
        </w:rPr>
        <w:t> </w:t>
      </w:r>
    </w:p>
    <w:p>
      <w:pPr>
        <w:pStyle w:val="Heading4"/>
        <w:spacing w:line="383" w:lineRule="exact"/>
      </w:pPr>
      <w:r>
        <w:rPr>
          <w:rFonts w:ascii="Times New Roman" w:eastAsia="Times New Roman"/>
        </w:rPr>
        <w:t>38</w:t>
      </w:r>
      <w:r>
        <w:rPr/>
        <w:t>、 长期应付款</w:t>
      </w:r>
    </w:p>
    <w:p>
      <w:pPr>
        <w:pStyle w:val="BodyText"/>
        <w:spacing w:before="17"/>
        <w:ind w:left="1538"/>
      </w:pPr>
      <w:r>
        <w:rPr>
          <w:w w:val="100"/>
        </w:rPr>
        <w:t> </w:t>
      </w:r>
    </w:p>
    <w:tbl>
      <w:tblPr>
        <w:tblW w:w="0" w:type="auto"/>
        <w:jc w:val="left"/>
        <w:tblInd w:w="14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481"/>
        <w:gridCol w:w="2876"/>
        <w:gridCol w:w="2588"/>
      </w:tblGrid>
      <w:tr>
        <w:trPr>
          <w:trHeight w:val="371" w:hRule="atLeast"/>
        </w:trPr>
        <w:tc>
          <w:tcPr>
            <w:tcW w:w="3481" w:type="dxa"/>
            <w:tcBorders>
              <w:bottom w:val="single" w:sz="4" w:space="0" w:color="000000"/>
              <w:right w:val="single" w:sz="4" w:space="0" w:color="000000"/>
            </w:tcBorders>
          </w:tcPr>
          <w:p>
            <w:pPr>
              <w:pStyle w:val="TableParagraph"/>
              <w:spacing w:line="351" w:lineRule="exact"/>
              <w:ind w:left="1299" w:right="1282"/>
              <w:jc w:val="center"/>
              <w:rPr>
                <w:rFonts w:ascii="Microsoft JhengHei" w:eastAsia="Microsoft JhengHei" w:hint="eastAsia"/>
                <w:b/>
                <w:sz w:val="21"/>
              </w:rPr>
            </w:pPr>
            <w:r>
              <w:rPr>
                <w:rFonts w:ascii="Microsoft JhengHei" w:eastAsia="Microsoft JhengHei" w:hint="eastAsia"/>
                <w:b/>
                <w:sz w:val="21"/>
              </w:rPr>
              <w:t>项目</w:t>
            </w:r>
          </w:p>
        </w:tc>
        <w:tc>
          <w:tcPr>
            <w:tcW w:w="2876" w:type="dxa"/>
            <w:tcBorders>
              <w:left w:val="single" w:sz="4" w:space="0" w:color="000000"/>
              <w:bottom w:val="single" w:sz="4" w:space="0" w:color="000000"/>
              <w:right w:val="single" w:sz="4" w:space="0" w:color="000000"/>
            </w:tcBorders>
          </w:tcPr>
          <w:p>
            <w:pPr>
              <w:pStyle w:val="TableParagraph"/>
              <w:spacing w:line="351" w:lineRule="exact"/>
              <w:ind w:left="1006" w:right="979"/>
              <w:jc w:val="center"/>
              <w:rPr>
                <w:rFonts w:ascii="Microsoft JhengHei" w:eastAsia="Microsoft JhengHei" w:hint="eastAsia"/>
                <w:b/>
                <w:sz w:val="21"/>
              </w:rPr>
            </w:pPr>
            <w:r>
              <w:rPr>
                <w:rFonts w:ascii="Microsoft JhengHei" w:eastAsia="Microsoft JhengHei" w:hint="eastAsia"/>
                <w:b/>
                <w:sz w:val="21"/>
              </w:rPr>
              <w:t>期末余额</w:t>
            </w:r>
          </w:p>
        </w:tc>
        <w:tc>
          <w:tcPr>
            <w:tcW w:w="2588" w:type="dxa"/>
            <w:tcBorders>
              <w:left w:val="single" w:sz="4" w:space="0" w:color="000000"/>
              <w:bottom w:val="single" w:sz="4" w:space="0" w:color="000000"/>
            </w:tcBorders>
          </w:tcPr>
          <w:p>
            <w:pPr>
              <w:pStyle w:val="TableParagraph"/>
              <w:spacing w:line="351" w:lineRule="exact"/>
              <w:ind w:left="877"/>
              <w:rPr>
                <w:rFonts w:ascii="Microsoft JhengHei" w:eastAsia="Microsoft JhengHei" w:hint="eastAsia"/>
                <w:b/>
                <w:sz w:val="21"/>
              </w:rPr>
            </w:pPr>
            <w:r>
              <w:rPr>
                <w:rFonts w:ascii="Microsoft JhengHei" w:eastAsia="Microsoft JhengHei" w:hint="eastAsia"/>
                <w:b/>
                <w:sz w:val="21"/>
              </w:rPr>
              <w:t>期初余额</w:t>
            </w:r>
          </w:p>
        </w:tc>
      </w:tr>
      <w:tr>
        <w:trPr>
          <w:trHeight w:val="366" w:hRule="atLeast"/>
        </w:trPr>
        <w:tc>
          <w:tcPr>
            <w:tcW w:w="3481"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国开发展基金投资款</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before="55"/>
              <w:ind w:right="87"/>
              <w:jc w:val="right"/>
              <w:rPr>
                <w:sz w:val="21"/>
              </w:rPr>
            </w:pPr>
            <w:r>
              <w:rPr>
                <w:sz w:val="21"/>
              </w:rPr>
              <w:t>56,500,000.00</w:t>
            </w:r>
          </w:p>
        </w:tc>
        <w:tc>
          <w:tcPr>
            <w:tcW w:w="2588" w:type="dxa"/>
            <w:tcBorders>
              <w:top w:val="single" w:sz="4" w:space="0" w:color="000000"/>
              <w:left w:val="single" w:sz="4" w:space="0" w:color="000000"/>
              <w:bottom w:val="single" w:sz="4" w:space="0" w:color="000000"/>
            </w:tcBorders>
          </w:tcPr>
          <w:p>
            <w:pPr>
              <w:pStyle w:val="TableParagraph"/>
              <w:spacing w:before="55"/>
              <w:ind w:right="77"/>
              <w:jc w:val="right"/>
              <w:rPr>
                <w:sz w:val="21"/>
              </w:rPr>
            </w:pPr>
            <w:r>
              <w:rPr>
                <w:sz w:val="21"/>
              </w:rPr>
              <w:t>93,000,000.00</w:t>
            </w:r>
          </w:p>
        </w:tc>
      </w:tr>
      <w:tr>
        <w:trPr>
          <w:trHeight w:val="369" w:hRule="atLeast"/>
        </w:trPr>
        <w:tc>
          <w:tcPr>
            <w:tcW w:w="3481"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其他</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before="58"/>
              <w:ind w:right="87"/>
              <w:jc w:val="right"/>
              <w:rPr>
                <w:sz w:val="21"/>
              </w:rPr>
            </w:pPr>
            <w:r>
              <w:rPr>
                <w:sz w:val="21"/>
              </w:rPr>
              <w:t>61,703,261.27</w:t>
            </w:r>
          </w:p>
        </w:tc>
        <w:tc>
          <w:tcPr>
            <w:tcW w:w="2588" w:type="dxa"/>
            <w:tcBorders>
              <w:top w:val="single" w:sz="4" w:space="0" w:color="000000"/>
              <w:left w:val="single" w:sz="4" w:space="0" w:color="000000"/>
              <w:bottom w:val="single" w:sz="4" w:space="0" w:color="000000"/>
            </w:tcBorders>
          </w:tcPr>
          <w:p>
            <w:pPr>
              <w:pStyle w:val="TableParagraph"/>
              <w:spacing w:before="58"/>
              <w:ind w:right="77"/>
              <w:jc w:val="right"/>
              <w:rPr>
                <w:sz w:val="21"/>
              </w:rPr>
            </w:pPr>
            <w:r>
              <w:rPr>
                <w:sz w:val="21"/>
              </w:rPr>
              <w:t>49,342,718.45</w:t>
            </w:r>
          </w:p>
        </w:tc>
      </w:tr>
      <w:tr>
        <w:trPr>
          <w:trHeight w:val="369" w:hRule="atLeast"/>
        </w:trPr>
        <w:tc>
          <w:tcPr>
            <w:tcW w:w="3481" w:type="dxa"/>
            <w:tcBorders>
              <w:top w:val="single" w:sz="4" w:space="0" w:color="000000"/>
              <w:bottom w:val="single" w:sz="4" w:space="0" w:color="000000"/>
              <w:right w:val="single" w:sz="4" w:space="0" w:color="000000"/>
            </w:tcBorders>
          </w:tcPr>
          <w:p>
            <w:pPr>
              <w:pStyle w:val="TableParagraph"/>
              <w:spacing w:before="51"/>
              <w:ind w:left="318"/>
              <w:rPr>
                <w:rFonts w:ascii="宋体" w:eastAsia="宋体" w:hint="eastAsia"/>
                <w:sz w:val="21"/>
              </w:rPr>
            </w:pPr>
            <w:r>
              <w:rPr>
                <w:rFonts w:ascii="宋体" w:eastAsia="宋体" w:hint="eastAsia"/>
                <w:sz w:val="21"/>
              </w:rPr>
              <w:t>减：一年内到期的长期应付款</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before="58"/>
              <w:ind w:right="87"/>
              <w:jc w:val="right"/>
              <w:rPr>
                <w:sz w:val="21"/>
              </w:rPr>
            </w:pPr>
            <w:r>
              <w:rPr>
                <w:sz w:val="21"/>
              </w:rPr>
              <w:t>20,000,000.00</w:t>
            </w:r>
          </w:p>
        </w:tc>
        <w:tc>
          <w:tcPr>
            <w:tcW w:w="2588" w:type="dxa"/>
            <w:tcBorders>
              <w:top w:val="single" w:sz="4" w:space="0" w:color="000000"/>
              <w:left w:val="single" w:sz="4" w:space="0" w:color="000000"/>
              <w:bottom w:val="single" w:sz="4" w:space="0" w:color="000000"/>
            </w:tcBorders>
          </w:tcPr>
          <w:p>
            <w:pPr>
              <w:pStyle w:val="TableParagraph"/>
              <w:rPr>
                <w:sz w:val="20"/>
              </w:rPr>
            </w:pPr>
          </w:p>
        </w:tc>
      </w:tr>
      <w:tr>
        <w:trPr>
          <w:trHeight w:val="368" w:hRule="atLeast"/>
        </w:trPr>
        <w:tc>
          <w:tcPr>
            <w:tcW w:w="3481" w:type="dxa"/>
            <w:tcBorders>
              <w:top w:val="single" w:sz="4" w:space="0" w:color="000000"/>
              <w:right w:val="single" w:sz="4" w:space="0" w:color="000000"/>
            </w:tcBorders>
          </w:tcPr>
          <w:p>
            <w:pPr>
              <w:pStyle w:val="TableParagraph"/>
              <w:spacing w:before="51"/>
              <w:ind w:left="1299" w:right="1282"/>
              <w:jc w:val="center"/>
              <w:rPr>
                <w:rFonts w:ascii="宋体" w:eastAsia="宋体" w:hint="eastAsia"/>
                <w:sz w:val="21"/>
              </w:rPr>
            </w:pPr>
            <w:r>
              <w:rPr>
                <w:rFonts w:ascii="宋体" w:eastAsia="宋体" w:hint="eastAsia"/>
                <w:sz w:val="21"/>
              </w:rPr>
              <w:t>合计</w:t>
            </w:r>
          </w:p>
        </w:tc>
        <w:tc>
          <w:tcPr>
            <w:tcW w:w="2876" w:type="dxa"/>
            <w:tcBorders>
              <w:top w:val="single" w:sz="4" w:space="0" w:color="000000"/>
              <w:left w:val="single" w:sz="4" w:space="0" w:color="000000"/>
              <w:right w:val="single" w:sz="4" w:space="0" w:color="000000"/>
            </w:tcBorders>
          </w:tcPr>
          <w:p>
            <w:pPr>
              <w:pStyle w:val="TableParagraph"/>
              <w:spacing w:before="58"/>
              <w:ind w:right="87"/>
              <w:jc w:val="right"/>
              <w:rPr>
                <w:sz w:val="21"/>
              </w:rPr>
            </w:pPr>
            <w:r>
              <w:rPr>
                <w:sz w:val="21"/>
              </w:rPr>
              <w:t>98,203,261.27</w:t>
            </w:r>
          </w:p>
        </w:tc>
        <w:tc>
          <w:tcPr>
            <w:tcW w:w="2588" w:type="dxa"/>
            <w:tcBorders>
              <w:top w:val="single" w:sz="4" w:space="0" w:color="000000"/>
              <w:left w:val="single" w:sz="4" w:space="0" w:color="000000"/>
            </w:tcBorders>
          </w:tcPr>
          <w:p>
            <w:pPr>
              <w:pStyle w:val="TableParagraph"/>
              <w:spacing w:before="58"/>
              <w:ind w:right="77"/>
              <w:jc w:val="right"/>
              <w:rPr>
                <w:sz w:val="21"/>
              </w:rPr>
            </w:pPr>
            <w:r>
              <w:rPr>
                <w:sz w:val="21"/>
              </w:rPr>
              <w:t>142,342,718.45</w:t>
            </w:r>
          </w:p>
        </w:tc>
      </w:tr>
    </w:tbl>
    <w:p>
      <w:pPr>
        <w:spacing w:after="0"/>
        <w:jc w:val="right"/>
        <w:rPr>
          <w:sz w:val="21"/>
        </w:rPr>
        <w:sectPr>
          <w:headerReference w:type="default" r:id="rId109"/>
          <w:footerReference w:type="default" r:id="rId110"/>
          <w:pgSz w:w="11910" w:h="16840"/>
          <w:pgMar w:header="876" w:footer="1214" w:top="1440" w:bottom="1400" w:left="260" w:right="0"/>
        </w:sectPr>
      </w:pPr>
    </w:p>
    <w:p>
      <w:pPr>
        <w:pStyle w:val="BodyText"/>
        <w:spacing w:before="3"/>
        <w:rPr>
          <w:sz w:val="13"/>
        </w:rPr>
      </w:pPr>
    </w:p>
    <w:p>
      <w:pPr>
        <w:pStyle w:val="BodyText"/>
        <w:spacing w:line="427" w:lineRule="auto" w:before="72"/>
        <w:ind w:left="1538" w:right="1268" w:firstLine="359"/>
        <w:jc w:val="both"/>
      </w:pPr>
      <w:r>
        <w:rPr/>
        <w:t>根据本公司及本公司子公司青岛海尔电冰箱有限公司、青岛海尔空调器有限总公司、青岛海尔（</w:t>
      </w:r>
      <w:r>
        <w:rPr>
          <w:spacing w:val="-2"/>
        </w:rPr>
        <w:t>胶州</w:t>
      </w:r>
      <w:r>
        <w:rPr>
          <w:spacing w:val="-3"/>
        </w:rPr>
        <w:t>）</w:t>
      </w:r>
      <w:r>
        <w:rPr>
          <w:spacing w:val="-5"/>
        </w:rPr>
        <w:t>空调器有限公司与国开发展基金有限公司于 </w:t>
      </w:r>
      <w:r>
        <w:rPr>
          <w:rFonts w:ascii="Times New Roman" w:eastAsia="Times New Roman"/>
        </w:rPr>
        <w:t>2015</w:t>
      </w:r>
      <w:r>
        <w:rPr>
          <w:rFonts w:ascii="Times New Roman" w:eastAsia="Times New Roman"/>
          <w:spacing w:val="14"/>
        </w:rPr>
        <w:t> </w:t>
      </w:r>
      <w:r>
        <w:rPr>
          <w:spacing w:val="-14"/>
        </w:rPr>
        <w:t>年和 </w:t>
      </w:r>
      <w:r>
        <w:rPr>
          <w:rFonts w:ascii="Times New Roman" w:eastAsia="Times New Roman"/>
        </w:rPr>
        <w:t>2016</w:t>
      </w:r>
      <w:r>
        <w:rPr>
          <w:rFonts w:ascii="Times New Roman" w:eastAsia="Times New Roman"/>
          <w:spacing w:val="12"/>
        </w:rPr>
        <w:t> </w:t>
      </w:r>
      <w:r>
        <w:rPr>
          <w:spacing w:val="-3"/>
        </w:rPr>
        <w:t>年签署的《国开发展基金</w:t>
      </w:r>
    </w:p>
    <w:p>
      <w:pPr>
        <w:pStyle w:val="BodyText"/>
        <w:spacing w:before="2"/>
        <w:ind w:left="1538"/>
        <w:jc w:val="both"/>
      </w:pPr>
      <w:r>
        <w:rPr>
          <w:spacing w:val="-11"/>
        </w:rPr>
        <w:t>投资合同》，国开发展基金有限公司对青岛海尔电冰箱有限公司投资 </w:t>
      </w:r>
      <w:r>
        <w:rPr>
          <w:rFonts w:ascii="Times New Roman" w:eastAsia="Times New Roman"/>
        </w:rPr>
        <w:t>2,000</w:t>
      </w:r>
      <w:r>
        <w:rPr>
          <w:rFonts w:ascii="Times New Roman" w:eastAsia="Times New Roman"/>
          <w:spacing w:val="24"/>
        </w:rPr>
        <w:t> </w:t>
      </w:r>
      <w:r>
        <w:rPr>
          <w:spacing w:val="-13"/>
        </w:rPr>
        <w:t>万元，对青岛海尔</w:t>
      </w:r>
      <w:r>
        <w:rPr>
          <w:spacing w:val="-3"/>
        </w:rPr>
        <w:t>（</w:t>
      </w:r>
      <w:r>
        <w:rPr/>
        <w:t>胶</w:t>
      </w:r>
    </w:p>
    <w:p>
      <w:pPr>
        <w:pStyle w:val="BodyText"/>
        <w:spacing w:line="480" w:lineRule="atLeast"/>
        <w:ind w:left="1538" w:right="1267"/>
        <w:jc w:val="both"/>
      </w:pPr>
      <w:r>
        <w:rPr/>
        <w:t>州）</w:t>
      </w:r>
      <w:r>
        <w:rPr>
          <w:spacing w:val="-3"/>
        </w:rPr>
        <w:t>空调器有限公司投资 </w:t>
      </w:r>
      <w:r>
        <w:rPr>
          <w:rFonts w:ascii="Times New Roman" w:eastAsia="Times New Roman"/>
        </w:rPr>
        <w:t>7,300 </w:t>
      </w:r>
      <w:r>
        <w:rPr>
          <w:spacing w:val="-3"/>
        </w:rPr>
        <w:t>万元，国开发展基金有限公司对以上投资以分红或通过回购溢价</w:t>
      </w:r>
      <w:r>
        <w:rPr>
          <w:spacing w:val="-9"/>
        </w:rPr>
        <w:t>方式每年获得 </w:t>
      </w:r>
      <w:r>
        <w:rPr>
          <w:rFonts w:ascii="Times New Roman" w:eastAsia="Times New Roman"/>
        </w:rPr>
        <w:t>1.2%</w:t>
      </w:r>
      <w:r>
        <w:rPr>
          <w:spacing w:val="-3"/>
        </w:rPr>
        <w:t>的收益，</w:t>
      </w:r>
      <w:r>
        <w:rPr>
          <w:rFonts w:ascii="Times New Roman" w:eastAsia="Times New Roman"/>
        </w:rPr>
        <w:t>2020 </w:t>
      </w:r>
      <w:r>
        <w:rPr>
          <w:spacing w:val="-7"/>
        </w:rPr>
        <w:t>年本公司子公司回购了 </w:t>
      </w:r>
      <w:r>
        <w:rPr>
          <w:rFonts w:ascii="Times New Roman" w:eastAsia="Times New Roman"/>
        </w:rPr>
        <w:t>3650 </w:t>
      </w:r>
      <w:r>
        <w:rPr>
          <w:spacing w:val="-2"/>
        </w:rPr>
        <w:t>万元。</w:t>
      </w:r>
      <w:r>
        <w:rPr>
          <w:rFonts w:ascii="Times New Roman" w:eastAsia="Times New Roman"/>
        </w:rPr>
        <w:t>2021 </w:t>
      </w:r>
      <w:r>
        <w:rPr>
          <w:spacing w:val="-20"/>
        </w:rPr>
        <w:t>到 </w:t>
      </w:r>
      <w:r>
        <w:rPr>
          <w:rFonts w:ascii="Times New Roman" w:eastAsia="Times New Roman"/>
        </w:rPr>
        <w:t>2027 </w:t>
      </w:r>
      <w:r>
        <w:rPr>
          <w:spacing w:val="-3"/>
        </w:rPr>
        <w:t>年，本公司及本公司子公司将回购剩余上述国开发展基金有限公司对本公司子公司的投资。</w:t>
      </w:r>
    </w:p>
    <w:p>
      <w:pPr>
        <w:pStyle w:val="BodyText"/>
        <w:spacing w:line="267" w:lineRule="exact" w:before="38"/>
        <w:ind w:left="1538"/>
      </w:pPr>
      <w:r>
        <w:rPr>
          <w:w w:val="100"/>
        </w:rPr>
        <w:t> </w:t>
      </w:r>
    </w:p>
    <w:p>
      <w:pPr>
        <w:pStyle w:val="Heading4"/>
        <w:spacing w:line="384" w:lineRule="exact"/>
      </w:pPr>
      <w:r>
        <w:rPr>
          <w:rFonts w:ascii="Times New Roman" w:eastAsia="Times New Roman"/>
        </w:rPr>
        <w:t>39</w:t>
      </w:r>
      <w:r>
        <w:rPr/>
        <w:t>、 长期应付职工薪酬</w:t>
      </w:r>
    </w:p>
    <w:p>
      <w:pPr>
        <w:pStyle w:val="BodyText"/>
        <w:spacing w:line="267" w:lineRule="exact" w:before="14"/>
        <w:ind w:left="1538"/>
      </w:pPr>
      <w:r>
        <w:rPr/>
        <w:t>√适用 □不适用</w:t>
      </w:r>
    </w:p>
    <w:p>
      <w:pPr>
        <w:pStyle w:val="Heading4"/>
        <w:spacing w:line="384" w:lineRule="exact"/>
      </w:pPr>
      <w:r>
        <w:rPr>
          <w:rFonts w:ascii="Times New Roman" w:eastAsia="Times New Roman"/>
        </w:rPr>
        <w:t>(1). </w:t>
      </w:r>
      <w:r>
        <w:rPr/>
        <w:t>长期应付职工薪酬表</w:t>
      </w:r>
    </w:p>
    <w:p>
      <w:pPr>
        <w:pStyle w:val="BodyText"/>
        <w:spacing w:before="15"/>
        <w:ind w:left="1538"/>
        <w:jc w:val="both"/>
      </w:pPr>
      <w:r>
        <w:rPr/>
        <w:t>√适用 □不适用</w:t>
      </w:r>
    </w:p>
    <w:p>
      <w:pPr>
        <w:pStyle w:val="BodyText"/>
        <w:tabs>
          <w:tab w:pos="1051" w:val="left" w:leader="none"/>
        </w:tabs>
        <w:spacing w:before="4"/>
        <w:ind w:right="1270"/>
        <w:jc w:val="right"/>
      </w:pPr>
      <w:r>
        <w:rPr/>
        <w:t>单位：元</w:t>
        <w:tab/>
      </w:r>
      <w:r>
        <w:rPr>
          <w:spacing w:val="-1"/>
        </w:rPr>
        <w:t>币</w:t>
      </w:r>
      <w:r>
        <w:rPr>
          <w:spacing w:val="-3"/>
        </w:rPr>
        <w:t>种</w:t>
      </w:r>
      <w:r>
        <w:rPr/>
        <w:t>：</w:t>
      </w:r>
      <w:r>
        <w:rPr>
          <w:spacing w:val="-3"/>
        </w:rPr>
        <w:t>人</w:t>
      </w:r>
      <w:r>
        <w:rPr/>
        <w:t>民币</w:t>
      </w: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656"/>
        <w:gridCol w:w="2631"/>
        <w:gridCol w:w="2763"/>
      </w:tblGrid>
      <w:tr>
        <w:trPr>
          <w:trHeight w:val="272" w:hRule="atLeast"/>
        </w:trPr>
        <w:tc>
          <w:tcPr>
            <w:tcW w:w="3656" w:type="dxa"/>
            <w:tcBorders>
              <w:bottom w:val="single" w:sz="4" w:space="0" w:color="000000"/>
              <w:right w:val="single" w:sz="4" w:space="0" w:color="000000"/>
            </w:tcBorders>
          </w:tcPr>
          <w:p>
            <w:pPr>
              <w:pStyle w:val="TableParagraph"/>
              <w:spacing w:line="253" w:lineRule="exact"/>
              <w:ind w:left="1595" w:right="1580"/>
              <w:jc w:val="center"/>
              <w:rPr>
                <w:rFonts w:ascii="Microsoft JhengHei" w:eastAsia="Microsoft JhengHei" w:hint="eastAsia"/>
                <w:b/>
                <w:sz w:val="21"/>
              </w:rPr>
            </w:pPr>
            <w:r>
              <w:rPr>
                <w:rFonts w:ascii="Microsoft JhengHei" w:eastAsia="Microsoft JhengHei" w:hint="eastAsia"/>
                <w:b/>
                <w:sz w:val="21"/>
              </w:rPr>
              <w:t>项目</w:t>
            </w:r>
          </w:p>
        </w:tc>
        <w:tc>
          <w:tcPr>
            <w:tcW w:w="2631" w:type="dxa"/>
            <w:tcBorders>
              <w:left w:val="single" w:sz="4" w:space="0" w:color="000000"/>
              <w:bottom w:val="single" w:sz="4" w:space="0" w:color="000000"/>
              <w:right w:val="single" w:sz="4" w:space="0" w:color="000000"/>
            </w:tcBorders>
          </w:tcPr>
          <w:p>
            <w:pPr>
              <w:pStyle w:val="TableParagraph"/>
              <w:spacing w:line="253" w:lineRule="exact"/>
              <w:ind w:left="881" w:right="859"/>
              <w:jc w:val="center"/>
              <w:rPr>
                <w:rFonts w:ascii="Microsoft JhengHei" w:eastAsia="Microsoft JhengHei" w:hint="eastAsia"/>
                <w:b/>
                <w:sz w:val="21"/>
              </w:rPr>
            </w:pPr>
            <w:r>
              <w:rPr>
                <w:rFonts w:ascii="Microsoft JhengHei" w:eastAsia="Microsoft JhengHei" w:hint="eastAsia"/>
                <w:b/>
                <w:sz w:val="21"/>
              </w:rPr>
              <w:t>期末余额</w:t>
            </w:r>
          </w:p>
        </w:tc>
        <w:tc>
          <w:tcPr>
            <w:tcW w:w="2763" w:type="dxa"/>
            <w:tcBorders>
              <w:left w:val="single" w:sz="4" w:space="0" w:color="000000"/>
              <w:bottom w:val="single" w:sz="4" w:space="0" w:color="000000"/>
            </w:tcBorders>
          </w:tcPr>
          <w:p>
            <w:pPr>
              <w:pStyle w:val="TableParagraph"/>
              <w:spacing w:line="253" w:lineRule="exact"/>
              <w:ind w:left="951" w:right="911"/>
              <w:jc w:val="center"/>
              <w:rPr>
                <w:rFonts w:ascii="Microsoft JhengHei" w:eastAsia="Microsoft JhengHei" w:hint="eastAsia"/>
                <w:b/>
                <w:sz w:val="21"/>
              </w:rPr>
            </w:pPr>
            <w:r>
              <w:rPr>
                <w:rFonts w:ascii="Microsoft JhengHei" w:eastAsia="Microsoft JhengHei" w:hint="eastAsia"/>
                <w:b/>
                <w:sz w:val="21"/>
              </w:rPr>
              <w:t>期初余额</w:t>
            </w:r>
          </w:p>
        </w:tc>
      </w:tr>
      <w:tr>
        <w:trPr>
          <w:trHeight w:val="273" w:hRule="atLeast"/>
        </w:trPr>
        <w:tc>
          <w:tcPr>
            <w:tcW w:w="3656"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一、离职后福利</w:t>
            </w:r>
            <w:r>
              <w:rPr>
                <w:sz w:val="21"/>
              </w:rPr>
              <w:t>-</w:t>
            </w:r>
            <w:r>
              <w:rPr>
                <w:rFonts w:ascii="宋体" w:eastAsia="宋体" w:hint="eastAsia"/>
                <w:sz w:val="21"/>
              </w:rPr>
              <w:t>设定受益计划净负债</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before="10"/>
              <w:ind w:right="86"/>
              <w:jc w:val="right"/>
              <w:rPr>
                <w:sz w:val="21"/>
              </w:rPr>
            </w:pPr>
            <w:r>
              <w:rPr>
                <w:sz w:val="21"/>
              </w:rPr>
              <w:t>602,802,957.77</w:t>
            </w:r>
          </w:p>
        </w:tc>
        <w:tc>
          <w:tcPr>
            <w:tcW w:w="2763" w:type="dxa"/>
            <w:tcBorders>
              <w:top w:val="single" w:sz="4" w:space="0" w:color="000000"/>
              <w:left w:val="single" w:sz="4" w:space="0" w:color="000000"/>
              <w:bottom w:val="single" w:sz="4" w:space="0" w:color="000000"/>
            </w:tcBorders>
          </w:tcPr>
          <w:p>
            <w:pPr>
              <w:pStyle w:val="TableParagraph"/>
              <w:spacing w:before="10"/>
              <w:ind w:right="72"/>
              <w:jc w:val="right"/>
              <w:rPr>
                <w:sz w:val="21"/>
              </w:rPr>
            </w:pPr>
            <w:r>
              <w:rPr>
                <w:sz w:val="21"/>
              </w:rPr>
              <w:t>577,613,222.26</w:t>
            </w:r>
          </w:p>
        </w:tc>
      </w:tr>
      <w:tr>
        <w:trPr>
          <w:trHeight w:val="273" w:hRule="atLeast"/>
        </w:trPr>
        <w:tc>
          <w:tcPr>
            <w:tcW w:w="3656"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二、辞退福利</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before="7"/>
              <w:ind w:right="86"/>
              <w:jc w:val="right"/>
              <w:rPr>
                <w:sz w:val="21"/>
              </w:rPr>
            </w:pPr>
            <w:r>
              <w:rPr>
                <w:sz w:val="21"/>
              </w:rPr>
              <w:t>429,651,733.32</w:t>
            </w:r>
          </w:p>
        </w:tc>
        <w:tc>
          <w:tcPr>
            <w:tcW w:w="2763" w:type="dxa"/>
            <w:tcBorders>
              <w:top w:val="single" w:sz="4" w:space="0" w:color="000000"/>
              <w:left w:val="single" w:sz="4" w:space="0" w:color="000000"/>
              <w:bottom w:val="single" w:sz="4" w:space="0" w:color="000000"/>
            </w:tcBorders>
          </w:tcPr>
          <w:p>
            <w:pPr>
              <w:pStyle w:val="TableParagraph"/>
              <w:spacing w:before="7"/>
              <w:ind w:right="72"/>
              <w:jc w:val="right"/>
              <w:rPr>
                <w:sz w:val="21"/>
              </w:rPr>
            </w:pPr>
            <w:r>
              <w:rPr>
                <w:sz w:val="21"/>
              </w:rPr>
              <w:t>324,191,428.30</w:t>
            </w:r>
          </w:p>
        </w:tc>
      </w:tr>
      <w:tr>
        <w:trPr>
          <w:trHeight w:val="270" w:hRule="atLeast"/>
        </w:trPr>
        <w:tc>
          <w:tcPr>
            <w:tcW w:w="3656"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三、其他长期福利</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763" w:type="dxa"/>
            <w:tcBorders>
              <w:top w:val="single" w:sz="4" w:space="0" w:color="000000"/>
              <w:left w:val="single" w:sz="4" w:space="0" w:color="000000"/>
              <w:bottom w:val="single" w:sz="4" w:space="0" w:color="000000"/>
            </w:tcBorders>
          </w:tcPr>
          <w:p>
            <w:pPr>
              <w:pStyle w:val="TableParagraph"/>
              <w:rPr>
                <w:sz w:val="20"/>
              </w:rPr>
            </w:pPr>
          </w:p>
        </w:tc>
      </w:tr>
      <w:tr>
        <w:trPr>
          <w:trHeight w:val="273" w:hRule="atLeast"/>
        </w:trPr>
        <w:tc>
          <w:tcPr>
            <w:tcW w:w="3656"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四、工伤补偿准备金</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before="10"/>
              <w:ind w:right="86"/>
              <w:jc w:val="right"/>
              <w:rPr>
                <w:sz w:val="21"/>
              </w:rPr>
            </w:pPr>
            <w:r>
              <w:rPr>
                <w:sz w:val="21"/>
              </w:rPr>
              <w:t>213,320,333.26</w:t>
            </w:r>
          </w:p>
        </w:tc>
        <w:tc>
          <w:tcPr>
            <w:tcW w:w="2763" w:type="dxa"/>
            <w:tcBorders>
              <w:top w:val="single" w:sz="4" w:space="0" w:color="000000"/>
              <w:left w:val="single" w:sz="4" w:space="0" w:color="000000"/>
              <w:bottom w:val="single" w:sz="4" w:space="0" w:color="000000"/>
            </w:tcBorders>
          </w:tcPr>
          <w:p>
            <w:pPr>
              <w:pStyle w:val="TableParagraph"/>
              <w:spacing w:before="10"/>
              <w:ind w:right="72"/>
              <w:jc w:val="right"/>
              <w:rPr>
                <w:sz w:val="21"/>
              </w:rPr>
            </w:pPr>
            <w:r>
              <w:rPr>
                <w:sz w:val="21"/>
              </w:rPr>
              <w:t>220,545,586.80</w:t>
            </w:r>
          </w:p>
        </w:tc>
      </w:tr>
      <w:tr>
        <w:trPr>
          <w:trHeight w:val="270" w:hRule="atLeast"/>
        </w:trPr>
        <w:tc>
          <w:tcPr>
            <w:tcW w:w="3656" w:type="dxa"/>
            <w:tcBorders>
              <w:top w:val="single" w:sz="4" w:space="0" w:color="000000"/>
              <w:right w:val="single" w:sz="4" w:space="0" w:color="000000"/>
            </w:tcBorders>
          </w:tcPr>
          <w:p>
            <w:pPr>
              <w:pStyle w:val="TableParagraph"/>
              <w:spacing w:line="249" w:lineRule="exact" w:before="1"/>
              <w:ind w:left="1595" w:right="1580"/>
              <w:jc w:val="center"/>
              <w:rPr>
                <w:rFonts w:ascii="宋体" w:eastAsia="宋体" w:hint="eastAsia"/>
                <w:sz w:val="21"/>
              </w:rPr>
            </w:pPr>
            <w:r>
              <w:rPr>
                <w:rFonts w:ascii="宋体" w:eastAsia="宋体" w:hint="eastAsia"/>
                <w:sz w:val="21"/>
              </w:rPr>
              <w:t>合计</w:t>
            </w:r>
          </w:p>
        </w:tc>
        <w:tc>
          <w:tcPr>
            <w:tcW w:w="2631" w:type="dxa"/>
            <w:tcBorders>
              <w:top w:val="single" w:sz="4" w:space="0" w:color="000000"/>
              <w:left w:val="single" w:sz="4" w:space="0" w:color="000000"/>
              <w:right w:val="single" w:sz="4" w:space="0" w:color="000000"/>
            </w:tcBorders>
          </w:tcPr>
          <w:p>
            <w:pPr>
              <w:pStyle w:val="TableParagraph"/>
              <w:spacing w:before="7"/>
              <w:ind w:right="86"/>
              <w:jc w:val="right"/>
              <w:rPr>
                <w:sz w:val="21"/>
              </w:rPr>
            </w:pPr>
            <w:r>
              <w:rPr>
                <w:sz w:val="21"/>
              </w:rPr>
              <w:t>1,245,775,024.35</w:t>
            </w:r>
          </w:p>
        </w:tc>
        <w:tc>
          <w:tcPr>
            <w:tcW w:w="2763" w:type="dxa"/>
            <w:tcBorders>
              <w:top w:val="single" w:sz="4" w:space="0" w:color="000000"/>
              <w:left w:val="single" w:sz="4" w:space="0" w:color="000000"/>
            </w:tcBorders>
          </w:tcPr>
          <w:p>
            <w:pPr>
              <w:pStyle w:val="TableParagraph"/>
              <w:spacing w:before="7"/>
              <w:ind w:right="72"/>
              <w:jc w:val="right"/>
              <w:rPr>
                <w:sz w:val="21"/>
              </w:rPr>
            </w:pPr>
            <w:r>
              <w:rPr>
                <w:sz w:val="21"/>
              </w:rPr>
              <w:t>1,122,350,237.36</w:t>
            </w:r>
          </w:p>
        </w:tc>
      </w:tr>
    </w:tbl>
    <w:p>
      <w:pPr>
        <w:pStyle w:val="BodyText"/>
        <w:spacing w:before="8"/>
        <w:rPr>
          <w:sz w:val="20"/>
        </w:rPr>
      </w:pPr>
    </w:p>
    <w:p>
      <w:pPr>
        <w:pStyle w:val="ListParagraph"/>
        <w:numPr>
          <w:ilvl w:val="0"/>
          <w:numId w:val="62"/>
        </w:numPr>
        <w:tabs>
          <w:tab w:pos="2487" w:val="left" w:leader="none"/>
        </w:tabs>
        <w:spacing w:line="240" w:lineRule="auto" w:before="1" w:after="0"/>
        <w:ind w:left="2487" w:right="0" w:hanging="529"/>
        <w:jc w:val="left"/>
        <w:rPr>
          <w:sz w:val="21"/>
        </w:rPr>
      </w:pPr>
      <w:r>
        <w:rPr>
          <w:spacing w:val="-3"/>
          <w:sz w:val="21"/>
        </w:rPr>
        <w:t>设定受益计划</w:t>
      </w:r>
    </w:p>
    <w:p>
      <w:pPr>
        <w:pStyle w:val="BodyText"/>
        <w:spacing w:before="8"/>
        <w:rPr>
          <w:sz w:val="22"/>
        </w:rPr>
      </w:pPr>
    </w:p>
    <w:p>
      <w:pPr>
        <w:pStyle w:val="BodyText"/>
        <w:spacing w:line="393" w:lineRule="auto"/>
        <w:ind w:left="1538" w:right="1270" w:firstLine="419"/>
      </w:pPr>
      <w:r>
        <w:rPr/>
        <w:t>本公司部分子公司为符合条件的员工运作多个设定受益计划，在这些计划下，员工有权享受设定受益计划约定的退休福利。</w:t>
      </w:r>
    </w:p>
    <w:p>
      <w:pPr>
        <w:pStyle w:val="BodyText"/>
        <w:spacing w:before="119"/>
        <w:ind w:left="1958"/>
      </w:pPr>
      <w:r>
        <w:rPr/>
        <w:t>这些计划受利率风险，受益人预期寿命变动风险等风险的影响。</w:t>
      </w:r>
    </w:p>
    <w:p>
      <w:pPr>
        <w:pStyle w:val="BodyText"/>
        <w:spacing w:before="8"/>
        <w:rPr>
          <w:sz w:val="22"/>
        </w:rPr>
      </w:pPr>
    </w:p>
    <w:p>
      <w:pPr>
        <w:pStyle w:val="BodyText"/>
        <w:ind w:left="1958"/>
      </w:pPr>
      <w:r>
        <w:rPr/>
        <w:t>这些计划资产的最近精算估值和设定受益义务的现值使用预期累计福利单位法确定。</w:t>
      </w:r>
    </w:p>
    <w:p>
      <w:pPr>
        <w:pStyle w:val="BodyText"/>
        <w:spacing w:before="10"/>
        <w:rPr>
          <w:sz w:val="22"/>
        </w:rPr>
      </w:pPr>
    </w:p>
    <w:p>
      <w:pPr>
        <w:pStyle w:val="BodyText"/>
        <w:spacing w:line="499" w:lineRule="auto" w:before="1"/>
        <w:ind w:left="2039" w:right="5963" w:hanging="144"/>
      </w:pPr>
      <w:r>
        <w:rPr/>
        <w:pict>
          <v:shape style="position:absolute;margin-left:83.783997pt;margin-top:48.830009pt;width:454.65pt;height:59.35pt;mso-position-horizontal-relative:page;mso-position-vertical-relative:paragraph;z-index:251668480"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384"/>
                    <w:gridCol w:w="3665"/>
                  </w:tblGrid>
                  <w:tr>
                    <w:trPr>
                      <w:trHeight w:val="371" w:hRule="atLeast"/>
                    </w:trPr>
                    <w:tc>
                      <w:tcPr>
                        <w:tcW w:w="5384" w:type="dxa"/>
                        <w:tcBorders>
                          <w:bottom w:val="single" w:sz="4" w:space="0" w:color="000000"/>
                          <w:right w:val="single" w:sz="4" w:space="0" w:color="000000"/>
                        </w:tcBorders>
                      </w:tcPr>
                      <w:p>
                        <w:pPr>
                          <w:pStyle w:val="TableParagraph"/>
                          <w:spacing w:line="351" w:lineRule="exact"/>
                          <w:ind w:left="2460" w:right="2444"/>
                          <w:jc w:val="center"/>
                          <w:rPr>
                            <w:rFonts w:ascii="Microsoft JhengHei" w:eastAsia="Microsoft JhengHei" w:hint="eastAsia"/>
                            <w:b/>
                            <w:sz w:val="21"/>
                          </w:rPr>
                        </w:pPr>
                        <w:r>
                          <w:rPr>
                            <w:rFonts w:ascii="Microsoft JhengHei" w:eastAsia="Microsoft JhengHei" w:hint="eastAsia"/>
                            <w:b/>
                            <w:sz w:val="21"/>
                          </w:rPr>
                          <w:t>项目</w:t>
                        </w:r>
                      </w:p>
                    </w:tc>
                    <w:tc>
                      <w:tcPr>
                        <w:tcW w:w="3665" w:type="dxa"/>
                        <w:tcBorders>
                          <w:left w:val="single" w:sz="4" w:space="0" w:color="000000"/>
                          <w:bottom w:val="single" w:sz="4" w:space="0" w:color="000000"/>
                        </w:tcBorders>
                      </w:tcPr>
                      <w:p>
                        <w:pPr>
                          <w:pStyle w:val="TableParagraph"/>
                          <w:spacing w:line="351" w:lineRule="exact"/>
                          <w:ind w:left="1547" w:right="1511"/>
                          <w:jc w:val="center"/>
                          <w:rPr>
                            <w:rFonts w:ascii="Microsoft JhengHei" w:eastAsia="Microsoft JhengHei" w:hint="eastAsia"/>
                            <w:b/>
                            <w:sz w:val="21"/>
                          </w:rPr>
                        </w:pPr>
                        <w:r>
                          <w:rPr>
                            <w:rFonts w:ascii="Microsoft JhengHei" w:eastAsia="Microsoft JhengHei" w:hint="eastAsia"/>
                            <w:b/>
                            <w:sz w:val="21"/>
                          </w:rPr>
                          <w:t>比率</w:t>
                        </w:r>
                      </w:p>
                    </w:tc>
                  </w:tr>
                  <w:tr>
                    <w:trPr>
                      <w:trHeight w:val="367" w:hRule="atLeast"/>
                    </w:trPr>
                    <w:tc>
                      <w:tcPr>
                        <w:tcW w:w="5384"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折现率</w:t>
                        </w:r>
                      </w:p>
                    </w:tc>
                    <w:tc>
                      <w:tcPr>
                        <w:tcW w:w="3665" w:type="dxa"/>
                        <w:tcBorders>
                          <w:top w:val="single" w:sz="4" w:space="0" w:color="000000"/>
                          <w:left w:val="single" w:sz="4" w:space="0" w:color="000000"/>
                          <w:bottom w:val="single" w:sz="4" w:space="0" w:color="000000"/>
                        </w:tcBorders>
                      </w:tcPr>
                      <w:p>
                        <w:pPr>
                          <w:pStyle w:val="TableParagraph"/>
                          <w:spacing w:before="56"/>
                          <w:ind w:left="1550" w:right="1511"/>
                          <w:jc w:val="center"/>
                          <w:rPr>
                            <w:sz w:val="21"/>
                          </w:rPr>
                        </w:pPr>
                        <w:r>
                          <w:rPr>
                            <w:sz w:val="21"/>
                          </w:rPr>
                          <w:t>0.50%</w:t>
                        </w:r>
                      </w:p>
                    </w:tc>
                  </w:tr>
                  <w:tr>
                    <w:trPr>
                      <w:trHeight w:val="368" w:hRule="atLeast"/>
                    </w:trPr>
                    <w:tc>
                      <w:tcPr>
                        <w:tcW w:w="5384" w:type="dxa"/>
                        <w:tcBorders>
                          <w:top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预期收益率</w:t>
                        </w:r>
                      </w:p>
                    </w:tc>
                    <w:tc>
                      <w:tcPr>
                        <w:tcW w:w="3665" w:type="dxa"/>
                        <w:tcBorders>
                          <w:top w:val="single" w:sz="4" w:space="0" w:color="000000"/>
                          <w:left w:val="single" w:sz="4" w:space="0" w:color="000000"/>
                        </w:tcBorders>
                      </w:tcPr>
                      <w:p>
                        <w:pPr>
                          <w:pStyle w:val="TableParagraph"/>
                          <w:spacing w:before="58"/>
                          <w:ind w:left="1550" w:right="1511"/>
                          <w:jc w:val="center"/>
                          <w:rPr>
                            <w:sz w:val="21"/>
                          </w:rPr>
                        </w:pPr>
                        <w:r>
                          <w:rPr>
                            <w:sz w:val="21"/>
                          </w:rPr>
                          <w:t>2.00%</w:t>
                        </w:r>
                      </w:p>
                    </w:tc>
                  </w:tr>
                </w:tbl>
                <w:p>
                  <w:pPr>
                    <w:pStyle w:val="BodyText"/>
                  </w:pPr>
                </w:p>
              </w:txbxContent>
            </v:textbox>
            <w10:wrap type="none"/>
          </v:shape>
        </w:pict>
      </w:r>
      <w:r>
        <w:rPr/>
        <w:t>①子公司海尔亚洲株式会社设定受益计划设定受益计划所使用的精算假设</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pStyle w:val="BodyText"/>
        <w:ind w:left="2039"/>
      </w:pPr>
      <w:r>
        <w:rPr/>
        <w:t>设定受益义务现值</w:t>
      </w:r>
    </w:p>
    <w:p>
      <w:pPr>
        <w:pStyle w:val="BodyText"/>
        <w:spacing w:before="11"/>
        <w:rPr>
          <w:sz w:val="20"/>
        </w:r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343"/>
        <w:gridCol w:w="3706"/>
      </w:tblGrid>
      <w:tr>
        <w:trPr>
          <w:trHeight w:val="368" w:hRule="atLeast"/>
        </w:trPr>
        <w:tc>
          <w:tcPr>
            <w:tcW w:w="5343" w:type="dxa"/>
            <w:tcBorders>
              <w:bottom w:val="single" w:sz="4" w:space="0" w:color="000000"/>
              <w:right w:val="single" w:sz="4" w:space="0" w:color="000000"/>
            </w:tcBorders>
          </w:tcPr>
          <w:p>
            <w:pPr>
              <w:pStyle w:val="TableParagraph"/>
              <w:spacing w:line="349" w:lineRule="exact"/>
              <w:ind w:left="2441" w:right="2422"/>
              <w:jc w:val="center"/>
              <w:rPr>
                <w:rFonts w:ascii="Microsoft JhengHei" w:eastAsia="Microsoft JhengHei" w:hint="eastAsia"/>
                <w:b/>
                <w:sz w:val="21"/>
              </w:rPr>
            </w:pPr>
            <w:r>
              <w:rPr>
                <w:rFonts w:ascii="Microsoft JhengHei" w:eastAsia="Microsoft JhengHei" w:hint="eastAsia"/>
                <w:b/>
                <w:sz w:val="21"/>
              </w:rPr>
              <w:t>项目</w:t>
            </w:r>
          </w:p>
        </w:tc>
        <w:tc>
          <w:tcPr>
            <w:tcW w:w="3706" w:type="dxa"/>
            <w:tcBorders>
              <w:left w:val="single" w:sz="4" w:space="0" w:color="000000"/>
              <w:bottom w:val="single" w:sz="4" w:space="0" w:color="000000"/>
            </w:tcBorders>
          </w:tcPr>
          <w:p>
            <w:pPr>
              <w:pStyle w:val="TableParagraph"/>
              <w:spacing w:line="349" w:lineRule="exact"/>
              <w:ind w:left="1632" w:right="1593"/>
              <w:jc w:val="center"/>
              <w:rPr>
                <w:rFonts w:ascii="Microsoft JhengHei" w:eastAsia="Microsoft JhengHei" w:hint="eastAsia"/>
                <w:b/>
                <w:sz w:val="21"/>
              </w:rPr>
            </w:pPr>
            <w:r>
              <w:rPr>
                <w:rFonts w:ascii="Microsoft JhengHei" w:eastAsia="Microsoft JhengHei" w:hint="eastAsia"/>
                <w:b/>
                <w:sz w:val="21"/>
              </w:rPr>
              <w:t>金额</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一、期初余额</w:t>
            </w:r>
          </w:p>
        </w:tc>
        <w:tc>
          <w:tcPr>
            <w:tcW w:w="3706" w:type="dxa"/>
            <w:tcBorders>
              <w:top w:val="single" w:sz="4" w:space="0" w:color="000000"/>
              <w:left w:val="single" w:sz="4" w:space="0" w:color="000000"/>
              <w:bottom w:val="single" w:sz="4" w:space="0" w:color="000000"/>
            </w:tcBorders>
          </w:tcPr>
          <w:p>
            <w:pPr>
              <w:pStyle w:val="TableParagraph"/>
              <w:spacing w:before="58"/>
              <w:ind w:right="73"/>
              <w:jc w:val="right"/>
              <w:rPr>
                <w:sz w:val="21"/>
              </w:rPr>
            </w:pPr>
            <w:r>
              <w:rPr>
                <w:sz w:val="21"/>
              </w:rPr>
              <w:t>334,764,594.79</w:t>
            </w:r>
          </w:p>
        </w:tc>
      </w:tr>
      <w:tr>
        <w:trPr>
          <w:trHeight w:val="368" w:hRule="atLeast"/>
        </w:trPr>
        <w:tc>
          <w:tcPr>
            <w:tcW w:w="5343" w:type="dxa"/>
            <w:tcBorders>
              <w:top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二、计入当期损益的设定受益成本</w:t>
            </w:r>
          </w:p>
        </w:tc>
        <w:tc>
          <w:tcPr>
            <w:tcW w:w="3706" w:type="dxa"/>
            <w:tcBorders>
              <w:top w:val="single" w:sz="4" w:space="0" w:color="000000"/>
              <w:left w:val="single" w:sz="4" w:space="0" w:color="000000"/>
            </w:tcBorders>
          </w:tcPr>
          <w:p>
            <w:pPr>
              <w:pStyle w:val="TableParagraph"/>
              <w:spacing w:before="58"/>
              <w:ind w:right="73"/>
              <w:jc w:val="right"/>
              <w:rPr>
                <w:sz w:val="21"/>
              </w:rPr>
            </w:pPr>
            <w:r>
              <w:rPr>
                <w:sz w:val="21"/>
              </w:rPr>
              <w:t>10,759,701.57</w:t>
            </w:r>
          </w:p>
        </w:tc>
      </w:tr>
    </w:tbl>
    <w:p>
      <w:pPr>
        <w:spacing w:after="0"/>
        <w:jc w:val="right"/>
        <w:rPr>
          <w:sz w:val="21"/>
        </w:rPr>
        <w:sectPr>
          <w:headerReference w:type="default" r:id="rId111"/>
          <w:footerReference w:type="default" r:id="rId112"/>
          <w:pgSz w:w="11910" w:h="16840"/>
          <w:pgMar w:header="876" w:footer="1214" w:top="1440" w:bottom="1400" w:left="260" w:right="0"/>
          <w:pgNumType w:start="1"/>
        </w:sectPr>
      </w:pPr>
    </w:p>
    <w:p>
      <w:pPr>
        <w:pStyle w:val="BodyText"/>
        <w:spacing w:before="2"/>
        <w:rPr>
          <w:sz w:val="5"/>
        </w:r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343"/>
        <w:gridCol w:w="3706"/>
      </w:tblGrid>
      <w:tr>
        <w:trPr>
          <w:trHeight w:val="371" w:hRule="atLeast"/>
        </w:trPr>
        <w:tc>
          <w:tcPr>
            <w:tcW w:w="5343" w:type="dxa"/>
            <w:tcBorders>
              <w:bottom w:val="single" w:sz="4" w:space="0" w:color="000000"/>
              <w:right w:val="single" w:sz="4" w:space="0" w:color="000000"/>
            </w:tcBorders>
          </w:tcPr>
          <w:p>
            <w:pPr>
              <w:pStyle w:val="TableParagraph"/>
              <w:spacing w:before="51"/>
              <w:ind w:left="107"/>
              <w:rPr>
                <w:rFonts w:ascii="宋体" w:eastAsia="宋体" w:hint="eastAsia"/>
                <w:sz w:val="21"/>
              </w:rPr>
            </w:pPr>
            <w:r>
              <w:rPr>
                <w:sz w:val="21"/>
              </w:rPr>
              <w:t>1.</w:t>
            </w:r>
            <w:r>
              <w:rPr>
                <w:rFonts w:ascii="宋体" w:eastAsia="宋体" w:hint="eastAsia"/>
                <w:sz w:val="21"/>
              </w:rPr>
              <w:t>当期服务成本</w:t>
            </w:r>
          </w:p>
        </w:tc>
        <w:tc>
          <w:tcPr>
            <w:tcW w:w="3706" w:type="dxa"/>
            <w:tcBorders>
              <w:left w:val="single" w:sz="4" w:space="0" w:color="000000"/>
              <w:bottom w:val="single" w:sz="4" w:space="0" w:color="000000"/>
            </w:tcBorders>
          </w:tcPr>
          <w:p>
            <w:pPr>
              <w:pStyle w:val="TableParagraph"/>
              <w:spacing w:before="58"/>
              <w:ind w:right="73"/>
              <w:jc w:val="right"/>
              <w:rPr>
                <w:sz w:val="21"/>
              </w:rPr>
            </w:pPr>
            <w:r>
              <w:rPr>
                <w:sz w:val="21"/>
              </w:rPr>
              <w:t>9,069,397.92</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sz w:val="21"/>
              </w:rPr>
              <w:t>2.</w:t>
            </w:r>
            <w:r>
              <w:rPr>
                <w:rFonts w:ascii="宋体" w:eastAsia="宋体" w:hint="eastAsia"/>
                <w:sz w:val="21"/>
              </w:rPr>
              <w:t>过去服务成本</w:t>
            </w:r>
          </w:p>
        </w:tc>
        <w:tc>
          <w:tcPr>
            <w:tcW w:w="3706" w:type="dxa"/>
            <w:tcBorders>
              <w:top w:val="single" w:sz="4" w:space="0" w:color="000000"/>
              <w:left w:val="single" w:sz="4" w:space="0" w:color="000000"/>
              <w:bottom w:val="single" w:sz="4" w:space="0" w:color="000000"/>
            </w:tcBorders>
          </w:tcPr>
          <w:p>
            <w:pPr>
              <w:pStyle w:val="TableParagraph"/>
              <w:rPr>
                <w:sz w:val="20"/>
              </w:rPr>
            </w:pPr>
          </w:p>
        </w:tc>
      </w:tr>
      <w:tr>
        <w:trPr>
          <w:trHeight w:val="366"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hAnsi="宋体" w:eastAsia="宋体" w:hint="eastAsia"/>
                <w:sz w:val="21"/>
              </w:rPr>
            </w:pPr>
            <w:r>
              <w:rPr>
                <w:sz w:val="21"/>
              </w:rPr>
              <w:t>3.</w:t>
            </w:r>
            <w:r>
              <w:rPr>
                <w:rFonts w:ascii="宋体" w:hAnsi="宋体" w:eastAsia="宋体" w:hint="eastAsia"/>
                <w:sz w:val="21"/>
              </w:rPr>
              <w:t>结算利得（损失以</w:t>
            </w:r>
            <w:r>
              <w:rPr>
                <w:sz w:val="21"/>
              </w:rPr>
              <w:t>“</w:t>
            </w:r>
            <w:r>
              <w:rPr>
                <w:rFonts w:ascii="宋体" w:hAnsi="宋体" w:eastAsia="宋体" w:hint="eastAsia"/>
                <w:sz w:val="21"/>
              </w:rPr>
              <w:t>－</w:t>
            </w:r>
            <w:r>
              <w:rPr>
                <w:sz w:val="21"/>
              </w:rPr>
              <w:t>”</w:t>
            </w:r>
            <w:r>
              <w:rPr>
                <w:rFonts w:ascii="宋体" w:hAnsi="宋体" w:eastAsia="宋体" w:hint="eastAsia"/>
                <w:sz w:val="21"/>
              </w:rPr>
              <w:t>表示）</w:t>
            </w:r>
          </w:p>
        </w:tc>
        <w:tc>
          <w:tcPr>
            <w:tcW w:w="3706"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sz w:val="21"/>
              </w:rPr>
              <w:t>4</w:t>
            </w:r>
            <w:r>
              <w:rPr>
                <w:rFonts w:ascii="宋体" w:eastAsia="宋体" w:hint="eastAsia"/>
                <w:sz w:val="21"/>
              </w:rPr>
              <w:t>、利息费用</w:t>
            </w:r>
          </w:p>
        </w:tc>
        <w:tc>
          <w:tcPr>
            <w:tcW w:w="3706" w:type="dxa"/>
            <w:tcBorders>
              <w:top w:val="single" w:sz="4" w:space="0" w:color="000000"/>
              <w:left w:val="single" w:sz="4" w:space="0" w:color="000000"/>
              <w:bottom w:val="single" w:sz="4" w:space="0" w:color="000000"/>
            </w:tcBorders>
          </w:tcPr>
          <w:p>
            <w:pPr>
              <w:pStyle w:val="TableParagraph"/>
              <w:spacing w:before="58"/>
              <w:ind w:right="73"/>
              <w:jc w:val="right"/>
              <w:rPr>
                <w:sz w:val="21"/>
              </w:rPr>
            </w:pPr>
            <w:r>
              <w:rPr>
                <w:sz w:val="21"/>
              </w:rPr>
              <w:t>1,690,303.65</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三、计入其他综合收益的设定受益成本</w:t>
            </w:r>
          </w:p>
        </w:tc>
        <w:tc>
          <w:tcPr>
            <w:tcW w:w="3706" w:type="dxa"/>
            <w:tcBorders>
              <w:top w:val="single" w:sz="4" w:space="0" w:color="000000"/>
              <w:left w:val="single" w:sz="4" w:space="0" w:color="000000"/>
              <w:bottom w:val="single" w:sz="4" w:space="0" w:color="000000"/>
            </w:tcBorders>
          </w:tcPr>
          <w:p>
            <w:pPr>
              <w:pStyle w:val="TableParagraph"/>
              <w:spacing w:before="58"/>
              <w:ind w:right="73"/>
              <w:jc w:val="right"/>
              <w:rPr>
                <w:sz w:val="21"/>
              </w:rPr>
            </w:pPr>
            <w:r>
              <w:rPr>
                <w:sz w:val="21"/>
              </w:rPr>
              <w:t>1,544,445.38</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51"/>
              <w:ind w:left="107"/>
              <w:rPr>
                <w:rFonts w:ascii="宋体" w:hAnsi="宋体" w:eastAsia="宋体" w:hint="eastAsia"/>
                <w:sz w:val="21"/>
              </w:rPr>
            </w:pPr>
            <w:r>
              <w:rPr>
                <w:sz w:val="21"/>
              </w:rPr>
              <w:t>1.</w:t>
            </w:r>
            <w:r>
              <w:rPr>
                <w:rFonts w:ascii="宋体" w:hAnsi="宋体" w:eastAsia="宋体" w:hint="eastAsia"/>
                <w:sz w:val="21"/>
              </w:rPr>
              <w:t>精算损失（利得以</w:t>
            </w:r>
            <w:r>
              <w:rPr>
                <w:sz w:val="21"/>
              </w:rPr>
              <w:t>“</w:t>
            </w:r>
            <w:r>
              <w:rPr>
                <w:rFonts w:ascii="宋体" w:hAnsi="宋体" w:eastAsia="宋体" w:hint="eastAsia"/>
                <w:sz w:val="21"/>
              </w:rPr>
              <w:t>－</w:t>
            </w:r>
            <w:r>
              <w:rPr>
                <w:sz w:val="21"/>
              </w:rPr>
              <w:t>”</w:t>
            </w:r>
            <w:r>
              <w:rPr>
                <w:rFonts w:ascii="宋体" w:hAnsi="宋体" w:eastAsia="宋体" w:hint="eastAsia"/>
                <w:sz w:val="21"/>
              </w:rPr>
              <w:t>表示）</w:t>
            </w:r>
          </w:p>
        </w:tc>
        <w:tc>
          <w:tcPr>
            <w:tcW w:w="3706" w:type="dxa"/>
            <w:tcBorders>
              <w:top w:val="single" w:sz="4" w:space="0" w:color="000000"/>
              <w:left w:val="single" w:sz="4" w:space="0" w:color="000000"/>
              <w:bottom w:val="single" w:sz="4" w:space="0" w:color="000000"/>
            </w:tcBorders>
          </w:tcPr>
          <w:p>
            <w:pPr>
              <w:pStyle w:val="TableParagraph"/>
              <w:spacing w:before="58"/>
              <w:ind w:right="73"/>
              <w:jc w:val="right"/>
              <w:rPr>
                <w:sz w:val="21"/>
              </w:rPr>
            </w:pPr>
            <w:r>
              <w:rPr>
                <w:sz w:val="21"/>
              </w:rPr>
              <w:t>1,544,445.38</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四、其他变动</w:t>
            </w:r>
          </w:p>
        </w:tc>
        <w:tc>
          <w:tcPr>
            <w:tcW w:w="3706" w:type="dxa"/>
            <w:tcBorders>
              <w:top w:val="single" w:sz="4" w:space="0" w:color="000000"/>
              <w:left w:val="single" w:sz="4" w:space="0" w:color="000000"/>
              <w:bottom w:val="single" w:sz="4" w:space="0" w:color="000000"/>
            </w:tcBorders>
          </w:tcPr>
          <w:p>
            <w:pPr>
              <w:pStyle w:val="TableParagraph"/>
              <w:spacing w:before="58"/>
              <w:ind w:right="73"/>
              <w:jc w:val="right"/>
              <w:rPr>
                <w:sz w:val="21"/>
              </w:rPr>
            </w:pPr>
            <w:r>
              <w:rPr>
                <w:sz w:val="21"/>
              </w:rPr>
              <w:t>-22,693,200.83</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sz w:val="21"/>
              </w:rPr>
              <w:t>1.</w:t>
            </w:r>
            <w:r>
              <w:rPr>
                <w:rFonts w:ascii="宋体" w:eastAsia="宋体" w:hint="eastAsia"/>
                <w:sz w:val="21"/>
              </w:rPr>
              <w:t>结算时支付的对价</w:t>
            </w:r>
          </w:p>
        </w:tc>
        <w:tc>
          <w:tcPr>
            <w:tcW w:w="3706"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sz w:val="21"/>
              </w:rPr>
              <w:t>2.</w:t>
            </w:r>
            <w:r>
              <w:rPr>
                <w:rFonts w:ascii="宋体" w:eastAsia="宋体" w:hint="eastAsia"/>
                <w:sz w:val="21"/>
              </w:rPr>
              <w:t>已支付的福利</w:t>
            </w:r>
          </w:p>
        </w:tc>
        <w:tc>
          <w:tcPr>
            <w:tcW w:w="3706" w:type="dxa"/>
            <w:tcBorders>
              <w:top w:val="single" w:sz="4" w:space="0" w:color="000000"/>
              <w:left w:val="single" w:sz="4" w:space="0" w:color="000000"/>
              <w:bottom w:val="single" w:sz="4" w:space="0" w:color="000000"/>
            </w:tcBorders>
          </w:tcPr>
          <w:p>
            <w:pPr>
              <w:pStyle w:val="TableParagraph"/>
              <w:spacing w:before="58"/>
              <w:ind w:right="73"/>
              <w:jc w:val="right"/>
              <w:rPr>
                <w:sz w:val="21"/>
              </w:rPr>
            </w:pPr>
            <w:r>
              <w:rPr>
                <w:sz w:val="21"/>
              </w:rPr>
              <w:t>-18,392,400.09</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sz w:val="21"/>
              </w:rPr>
              <w:t>3.</w:t>
            </w:r>
            <w:r>
              <w:rPr>
                <w:rFonts w:ascii="宋体" w:eastAsia="宋体" w:hint="eastAsia"/>
                <w:sz w:val="21"/>
              </w:rPr>
              <w:t>汇兑差额</w:t>
            </w:r>
          </w:p>
        </w:tc>
        <w:tc>
          <w:tcPr>
            <w:tcW w:w="3706" w:type="dxa"/>
            <w:tcBorders>
              <w:top w:val="single" w:sz="4" w:space="0" w:color="000000"/>
              <w:left w:val="single" w:sz="4" w:space="0" w:color="000000"/>
              <w:bottom w:val="single" w:sz="4" w:space="0" w:color="000000"/>
            </w:tcBorders>
          </w:tcPr>
          <w:p>
            <w:pPr>
              <w:pStyle w:val="TableParagraph"/>
              <w:spacing w:before="58"/>
              <w:ind w:right="73"/>
              <w:jc w:val="right"/>
              <w:rPr>
                <w:sz w:val="21"/>
              </w:rPr>
            </w:pPr>
            <w:r>
              <w:rPr>
                <w:sz w:val="21"/>
              </w:rPr>
              <w:t>-4,300,800.74</w:t>
            </w:r>
          </w:p>
        </w:tc>
      </w:tr>
      <w:tr>
        <w:trPr>
          <w:trHeight w:val="367" w:hRule="atLeast"/>
        </w:trPr>
        <w:tc>
          <w:tcPr>
            <w:tcW w:w="5343" w:type="dxa"/>
            <w:tcBorders>
              <w:top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七、期末余额</w:t>
            </w:r>
          </w:p>
        </w:tc>
        <w:tc>
          <w:tcPr>
            <w:tcW w:w="3706" w:type="dxa"/>
            <w:tcBorders>
              <w:top w:val="single" w:sz="4" w:space="0" w:color="000000"/>
              <w:left w:val="single" w:sz="4" w:space="0" w:color="000000"/>
            </w:tcBorders>
          </w:tcPr>
          <w:p>
            <w:pPr>
              <w:pStyle w:val="TableParagraph"/>
              <w:spacing w:before="58"/>
              <w:ind w:right="73"/>
              <w:jc w:val="right"/>
              <w:rPr>
                <w:sz w:val="21"/>
              </w:rPr>
            </w:pPr>
            <w:r>
              <w:rPr>
                <w:sz w:val="21"/>
              </w:rPr>
              <w:t>324,375,540.91</w:t>
            </w:r>
          </w:p>
        </w:tc>
      </w:tr>
    </w:tbl>
    <w:p>
      <w:pPr>
        <w:pStyle w:val="BodyText"/>
        <w:spacing w:before="2"/>
        <w:rPr>
          <w:sz w:val="15"/>
        </w:rPr>
      </w:pPr>
    </w:p>
    <w:p>
      <w:pPr>
        <w:pStyle w:val="BodyText"/>
        <w:spacing w:before="72"/>
        <w:ind w:left="2039"/>
      </w:pPr>
      <w:r>
        <w:rPr/>
        <w:t>计划资产公允价值</w:t>
      </w:r>
    </w:p>
    <w:p>
      <w:pPr>
        <w:pStyle w:val="BodyText"/>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343"/>
        <w:gridCol w:w="3706"/>
      </w:tblGrid>
      <w:tr>
        <w:trPr>
          <w:trHeight w:val="368" w:hRule="atLeast"/>
        </w:trPr>
        <w:tc>
          <w:tcPr>
            <w:tcW w:w="5343" w:type="dxa"/>
            <w:tcBorders>
              <w:bottom w:val="single" w:sz="4" w:space="0" w:color="000000"/>
              <w:right w:val="single" w:sz="4" w:space="0" w:color="000000"/>
            </w:tcBorders>
          </w:tcPr>
          <w:p>
            <w:pPr>
              <w:pStyle w:val="TableParagraph"/>
              <w:spacing w:line="349" w:lineRule="exact"/>
              <w:ind w:left="2441" w:right="2422"/>
              <w:jc w:val="center"/>
              <w:rPr>
                <w:rFonts w:ascii="Microsoft JhengHei" w:eastAsia="Microsoft JhengHei" w:hint="eastAsia"/>
                <w:b/>
                <w:sz w:val="21"/>
              </w:rPr>
            </w:pPr>
            <w:r>
              <w:rPr>
                <w:rFonts w:ascii="Microsoft JhengHei" w:eastAsia="Microsoft JhengHei" w:hint="eastAsia"/>
                <w:b/>
                <w:sz w:val="21"/>
              </w:rPr>
              <w:t>项目</w:t>
            </w:r>
          </w:p>
        </w:tc>
        <w:tc>
          <w:tcPr>
            <w:tcW w:w="3706" w:type="dxa"/>
            <w:tcBorders>
              <w:left w:val="single" w:sz="4" w:space="0" w:color="000000"/>
              <w:bottom w:val="single" w:sz="4" w:space="0" w:color="000000"/>
            </w:tcBorders>
          </w:tcPr>
          <w:p>
            <w:pPr>
              <w:pStyle w:val="TableParagraph"/>
              <w:spacing w:line="349" w:lineRule="exact"/>
              <w:ind w:left="1632" w:right="1593"/>
              <w:jc w:val="center"/>
              <w:rPr>
                <w:rFonts w:ascii="Microsoft JhengHei" w:eastAsia="Microsoft JhengHei" w:hint="eastAsia"/>
                <w:b/>
                <w:sz w:val="21"/>
              </w:rPr>
            </w:pPr>
            <w:r>
              <w:rPr>
                <w:rFonts w:ascii="Microsoft JhengHei" w:eastAsia="Microsoft JhengHei" w:hint="eastAsia"/>
                <w:b/>
                <w:sz w:val="21"/>
              </w:rPr>
              <w:t>金额</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一、期初余额</w:t>
            </w:r>
          </w:p>
        </w:tc>
        <w:tc>
          <w:tcPr>
            <w:tcW w:w="3706" w:type="dxa"/>
            <w:tcBorders>
              <w:top w:val="single" w:sz="4" w:space="0" w:color="000000"/>
              <w:left w:val="single" w:sz="4" w:space="0" w:color="000000"/>
              <w:bottom w:val="single" w:sz="4" w:space="0" w:color="000000"/>
            </w:tcBorders>
          </w:tcPr>
          <w:p>
            <w:pPr>
              <w:pStyle w:val="TableParagraph"/>
              <w:spacing w:before="58"/>
              <w:ind w:right="73"/>
              <w:jc w:val="right"/>
              <w:rPr>
                <w:sz w:val="21"/>
              </w:rPr>
            </w:pPr>
            <w:r>
              <w:rPr>
                <w:sz w:val="21"/>
              </w:rPr>
              <w:t>368,725,328.67</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二、计入当期损益的设定受益成本</w:t>
            </w:r>
          </w:p>
        </w:tc>
        <w:tc>
          <w:tcPr>
            <w:tcW w:w="3706" w:type="dxa"/>
            <w:tcBorders>
              <w:top w:val="single" w:sz="4" w:space="0" w:color="000000"/>
              <w:left w:val="single" w:sz="4" w:space="0" w:color="000000"/>
              <w:bottom w:val="single" w:sz="4" w:space="0" w:color="000000"/>
            </w:tcBorders>
          </w:tcPr>
          <w:p>
            <w:pPr>
              <w:pStyle w:val="TableParagraph"/>
              <w:spacing w:before="58"/>
              <w:ind w:right="73"/>
              <w:jc w:val="right"/>
              <w:rPr>
                <w:sz w:val="21"/>
              </w:rPr>
            </w:pPr>
            <w:r>
              <w:rPr>
                <w:sz w:val="21"/>
              </w:rPr>
              <w:t>7,248,282.64</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sz w:val="21"/>
              </w:rPr>
              <w:t>1</w:t>
            </w:r>
            <w:r>
              <w:rPr>
                <w:rFonts w:ascii="宋体" w:eastAsia="宋体" w:hint="eastAsia"/>
                <w:sz w:val="21"/>
              </w:rPr>
              <w:t>、利息收益</w:t>
            </w:r>
          </w:p>
        </w:tc>
        <w:tc>
          <w:tcPr>
            <w:tcW w:w="3706" w:type="dxa"/>
            <w:tcBorders>
              <w:top w:val="single" w:sz="4" w:space="0" w:color="000000"/>
              <w:left w:val="single" w:sz="4" w:space="0" w:color="000000"/>
              <w:bottom w:val="single" w:sz="4" w:space="0" w:color="000000"/>
            </w:tcBorders>
          </w:tcPr>
          <w:p>
            <w:pPr>
              <w:pStyle w:val="TableParagraph"/>
              <w:spacing w:before="55"/>
              <w:ind w:right="73"/>
              <w:jc w:val="right"/>
              <w:rPr>
                <w:sz w:val="21"/>
              </w:rPr>
            </w:pPr>
            <w:r>
              <w:rPr>
                <w:sz w:val="21"/>
              </w:rPr>
              <w:t>7,248,282.64</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三、计入其他综合收益的设定受益成本</w:t>
            </w:r>
          </w:p>
        </w:tc>
        <w:tc>
          <w:tcPr>
            <w:tcW w:w="3706" w:type="dxa"/>
            <w:tcBorders>
              <w:top w:val="single" w:sz="4" w:space="0" w:color="000000"/>
              <w:left w:val="single" w:sz="4" w:space="0" w:color="000000"/>
              <w:bottom w:val="single" w:sz="4" w:space="0" w:color="000000"/>
            </w:tcBorders>
          </w:tcPr>
          <w:p>
            <w:pPr>
              <w:pStyle w:val="TableParagraph"/>
              <w:spacing w:before="55"/>
              <w:ind w:right="73"/>
              <w:jc w:val="right"/>
              <w:rPr>
                <w:sz w:val="21"/>
              </w:rPr>
            </w:pPr>
            <w:r>
              <w:rPr>
                <w:sz w:val="21"/>
              </w:rPr>
              <w:t>5,379,070.33</w:t>
            </w:r>
          </w:p>
        </w:tc>
      </w:tr>
      <w:tr>
        <w:trPr>
          <w:trHeight w:val="366"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sz w:val="21"/>
              </w:rPr>
              <w:t>1.</w:t>
            </w:r>
            <w:r>
              <w:rPr>
                <w:rFonts w:ascii="宋体" w:eastAsia="宋体" w:hint="eastAsia"/>
                <w:sz w:val="21"/>
              </w:rPr>
              <w:t>计划资产回报（计入利息净额的除外）</w:t>
            </w:r>
          </w:p>
        </w:tc>
        <w:tc>
          <w:tcPr>
            <w:tcW w:w="3706" w:type="dxa"/>
            <w:tcBorders>
              <w:top w:val="single" w:sz="4" w:space="0" w:color="000000"/>
              <w:left w:val="single" w:sz="4" w:space="0" w:color="000000"/>
              <w:bottom w:val="single" w:sz="4" w:space="0" w:color="000000"/>
            </w:tcBorders>
          </w:tcPr>
          <w:p>
            <w:pPr>
              <w:pStyle w:val="TableParagraph"/>
              <w:spacing w:before="55"/>
              <w:ind w:right="73"/>
              <w:jc w:val="right"/>
              <w:rPr>
                <w:sz w:val="21"/>
              </w:rPr>
            </w:pPr>
            <w:r>
              <w:rPr>
                <w:sz w:val="21"/>
              </w:rPr>
              <w:t>5,379,070.33</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sz w:val="21"/>
              </w:rPr>
              <w:t>2.</w:t>
            </w:r>
            <w:r>
              <w:rPr>
                <w:rFonts w:ascii="宋体" w:eastAsia="宋体" w:hint="eastAsia"/>
                <w:sz w:val="21"/>
              </w:rPr>
              <w:t>资产上限影响的变动（计入利息净额的除外）</w:t>
            </w:r>
          </w:p>
        </w:tc>
        <w:tc>
          <w:tcPr>
            <w:tcW w:w="3706"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四、其他变动</w:t>
            </w:r>
          </w:p>
        </w:tc>
        <w:tc>
          <w:tcPr>
            <w:tcW w:w="3706" w:type="dxa"/>
            <w:tcBorders>
              <w:top w:val="single" w:sz="4" w:space="0" w:color="000000"/>
              <w:left w:val="single" w:sz="4" w:space="0" w:color="000000"/>
              <w:bottom w:val="single" w:sz="4" w:space="0" w:color="000000"/>
            </w:tcBorders>
          </w:tcPr>
          <w:p>
            <w:pPr>
              <w:pStyle w:val="TableParagraph"/>
              <w:spacing w:before="58"/>
              <w:ind w:right="73"/>
              <w:jc w:val="right"/>
              <w:rPr>
                <w:sz w:val="21"/>
              </w:rPr>
            </w:pPr>
            <w:r>
              <w:rPr>
                <w:sz w:val="21"/>
              </w:rPr>
              <w:t>-9,851,353.66</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sz w:val="21"/>
              </w:rPr>
              <w:t>1.</w:t>
            </w:r>
            <w:r>
              <w:rPr>
                <w:rFonts w:ascii="宋体" w:eastAsia="宋体" w:hint="eastAsia"/>
                <w:sz w:val="21"/>
              </w:rPr>
              <w:t>雇主缴存</w:t>
            </w:r>
          </w:p>
        </w:tc>
        <w:tc>
          <w:tcPr>
            <w:tcW w:w="3706" w:type="dxa"/>
            <w:tcBorders>
              <w:top w:val="single" w:sz="4" w:space="0" w:color="000000"/>
              <w:left w:val="single" w:sz="4" w:space="0" w:color="000000"/>
              <w:bottom w:val="single" w:sz="4" w:space="0" w:color="000000"/>
            </w:tcBorders>
          </w:tcPr>
          <w:p>
            <w:pPr>
              <w:pStyle w:val="TableParagraph"/>
              <w:spacing w:before="58"/>
              <w:ind w:right="73"/>
              <w:jc w:val="right"/>
              <w:rPr>
                <w:sz w:val="21"/>
              </w:rPr>
            </w:pPr>
            <w:r>
              <w:rPr>
                <w:sz w:val="21"/>
              </w:rPr>
              <w:t>6,344,950.20</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sz w:val="21"/>
              </w:rPr>
              <w:t>2.</w:t>
            </w:r>
            <w:r>
              <w:rPr>
                <w:rFonts w:ascii="宋体" w:eastAsia="宋体" w:hint="eastAsia"/>
                <w:sz w:val="21"/>
              </w:rPr>
              <w:t>已支付的福利</w:t>
            </w:r>
          </w:p>
        </w:tc>
        <w:tc>
          <w:tcPr>
            <w:tcW w:w="3706" w:type="dxa"/>
            <w:tcBorders>
              <w:top w:val="single" w:sz="4" w:space="0" w:color="000000"/>
              <w:left w:val="single" w:sz="4" w:space="0" w:color="000000"/>
              <w:bottom w:val="single" w:sz="4" w:space="0" w:color="000000"/>
            </w:tcBorders>
          </w:tcPr>
          <w:p>
            <w:pPr>
              <w:pStyle w:val="TableParagraph"/>
              <w:spacing w:before="58"/>
              <w:ind w:right="73"/>
              <w:jc w:val="right"/>
              <w:rPr>
                <w:sz w:val="21"/>
              </w:rPr>
            </w:pPr>
            <w:r>
              <w:rPr>
                <w:sz w:val="21"/>
              </w:rPr>
              <w:t>-11,126,189.87</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sz w:val="21"/>
              </w:rPr>
              <w:t>3.</w:t>
            </w:r>
            <w:r>
              <w:rPr>
                <w:rFonts w:ascii="宋体" w:eastAsia="宋体" w:hint="eastAsia"/>
                <w:sz w:val="21"/>
              </w:rPr>
              <w:t>汇兑差额</w:t>
            </w:r>
          </w:p>
        </w:tc>
        <w:tc>
          <w:tcPr>
            <w:tcW w:w="3706" w:type="dxa"/>
            <w:tcBorders>
              <w:top w:val="single" w:sz="4" w:space="0" w:color="000000"/>
              <w:left w:val="single" w:sz="4" w:space="0" w:color="000000"/>
              <w:bottom w:val="single" w:sz="4" w:space="0" w:color="000000"/>
            </w:tcBorders>
          </w:tcPr>
          <w:p>
            <w:pPr>
              <w:pStyle w:val="TableParagraph"/>
              <w:spacing w:before="58"/>
              <w:ind w:right="73"/>
              <w:jc w:val="right"/>
              <w:rPr>
                <w:sz w:val="21"/>
              </w:rPr>
            </w:pPr>
            <w:r>
              <w:rPr>
                <w:sz w:val="21"/>
              </w:rPr>
              <w:t>-5,070,113.99</w:t>
            </w:r>
          </w:p>
        </w:tc>
      </w:tr>
      <w:tr>
        <w:trPr>
          <w:trHeight w:val="366" w:hRule="atLeast"/>
        </w:trPr>
        <w:tc>
          <w:tcPr>
            <w:tcW w:w="5343" w:type="dxa"/>
            <w:tcBorders>
              <w:top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七、期末余额</w:t>
            </w:r>
          </w:p>
        </w:tc>
        <w:tc>
          <w:tcPr>
            <w:tcW w:w="3706" w:type="dxa"/>
            <w:tcBorders>
              <w:top w:val="single" w:sz="4" w:space="0" w:color="000000"/>
              <w:left w:val="single" w:sz="4" w:space="0" w:color="000000"/>
            </w:tcBorders>
          </w:tcPr>
          <w:p>
            <w:pPr>
              <w:pStyle w:val="TableParagraph"/>
              <w:spacing w:before="58"/>
              <w:ind w:right="73"/>
              <w:jc w:val="right"/>
              <w:rPr>
                <w:sz w:val="21"/>
              </w:rPr>
            </w:pPr>
            <w:r>
              <w:rPr>
                <w:sz w:val="21"/>
              </w:rPr>
              <w:t>371,501,327.98</w:t>
            </w:r>
          </w:p>
        </w:tc>
      </w:tr>
    </w:tbl>
    <w:p>
      <w:pPr>
        <w:pStyle w:val="BodyText"/>
        <w:spacing w:before="8"/>
        <w:rPr>
          <w:sz w:val="20"/>
        </w:rPr>
      </w:pPr>
    </w:p>
    <w:p>
      <w:pPr>
        <w:pStyle w:val="BodyText"/>
        <w:spacing w:line="501" w:lineRule="auto" w:before="1"/>
        <w:ind w:left="2039" w:right="3719"/>
      </w:pPr>
      <w:r>
        <w:rPr/>
        <w:pict>
          <v:shape style="position:absolute;margin-left:83.783997pt;margin-top:48.950012pt;width:454.65pt;height:116.1pt;mso-position-horizontal-relative:page;mso-position-vertical-relative:paragraph;z-index:251669504"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343"/>
                    <w:gridCol w:w="3706"/>
                  </w:tblGrid>
                  <w:tr>
                    <w:trPr>
                      <w:trHeight w:val="369" w:hRule="atLeast"/>
                    </w:trPr>
                    <w:tc>
                      <w:tcPr>
                        <w:tcW w:w="5343" w:type="dxa"/>
                        <w:tcBorders>
                          <w:bottom w:val="single" w:sz="4" w:space="0" w:color="000000"/>
                          <w:right w:val="single" w:sz="4" w:space="0" w:color="000000"/>
                        </w:tcBorders>
                      </w:tcPr>
                      <w:p>
                        <w:pPr>
                          <w:pStyle w:val="TableParagraph"/>
                          <w:spacing w:line="349" w:lineRule="exact"/>
                          <w:ind w:left="2441" w:right="2422"/>
                          <w:jc w:val="center"/>
                          <w:rPr>
                            <w:rFonts w:ascii="Microsoft JhengHei" w:eastAsia="Microsoft JhengHei" w:hint="eastAsia"/>
                            <w:b/>
                            <w:sz w:val="21"/>
                          </w:rPr>
                        </w:pPr>
                        <w:r>
                          <w:rPr>
                            <w:rFonts w:ascii="Microsoft JhengHei" w:eastAsia="Microsoft JhengHei" w:hint="eastAsia"/>
                            <w:b/>
                            <w:sz w:val="21"/>
                          </w:rPr>
                          <w:t>项目</w:t>
                        </w:r>
                      </w:p>
                    </w:tc>
                    <w:tc>
                      <w:tcPr>
                        <w:tcW w:w="3706" w:type="dxa"/>
                        <w:tcBorders>
                          <w:left w:val="single" w:sz="4" w:space="0" w:color="000000"/>
                          <w:bottom w:val="single" w:sz="4" w:space="0" w:color="000000"/>
                        </w:tcBorders>
                      </w:tcPr>
                      <w:p>
                        <w:pPr>
                          <w:pStyle w:val="TableParagraph"/>
                          <w:spacing w:line="349" w:lineRule="exact"/>
                          <w:ind w:left="1632" w:right="1593"/>
                          <w:jc w:val="center"/>
                          <w:rPr>
                            <w:rFonts w:ascii="Microsoft JhengHei" w:eastAsia="Microsoft JhengHei" w:hint="eastAsia"/>
                            <w:b/>
                            <w:sz w:val="21"/>
                          </w:rPr>
                        </w:pPr>
                        <w:r>
                          <w:rPr>
                            <w:rFonts w:ascii="Microsoft JhengHei" w:eastAsia="Microsoft JhengHei" w:hint="eastAsia"/>
                            <w:b/>
                            <w:sz w:val="21"/>
                          </w:rPr>
                          <w:t>金额</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一、期初余额</w:t>
                        </w:r>
                      </w:p>
                    </w:tc>
                    <w:tc>
                      <w:tcPr>
                        <w:tcW w:w="3706" w:type="dxa"/>
                        <w:tcBorders>
                          <w:top w:val="single" w:sz="4" w:space="0" w:color="000000"/>
                          <w:left w:val="single" w:sz="4" w:space="0" w:color="000000"/>
                          <w:bottom w:val="single" w:sz="4" w:space="0" w:color="000000"/>
                        </w:tcBorders>
                      </w:tcPr>
                      <w:p>
                        <w:pPr>
                          <w:pStyle w:val="TableParagraph"/>
                          <w:spacing w:line="237" w:lineRule="exact"/>
                          <w:ind w:right="73"/>
                          <w:jc w:val="right"/>
                          <w:rPr>
                            <w:sz w:val="21"/>
                          </w:rPr>
                        </w:pPr>
                        <w:r>
                          <w:rPr>
                            <w:sz w:val="21"/>
                          </w:rPr>
                          <w:t>-33,960,733.88</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二、计入当期损益的设定受益成本</w:t>
                        </w:r>
                      </w:p>
                    </w:tc>
                    <w:tc>
                      <w:tcPr>
                        <w:tcW w:w="3706" w:type="dxa"/>
                        <w:tcBorders>
                          <w:top w:val="single" w:sz="4" w:space="0" w:color="000000"/>
                          <w:left w:val="single" w:sz="4" w:space="0" w:color="000000"/>
                          <w:bottom w:val="single" w:sz="4" w:space="0" w:color="000000"/>
                        </w:tcBorders>
                      </w:tcPr>
                      <w:p>
                        <w:pPr>
                          <w:pStyle w:val="TableParagraph"/>
                          <w:spacing w:line="235" w:lineRule="exact"/>
                          <w:ind w:right="73"/>
                          <w:jc w:val="right"/>
                          <w:rPr>
                            <w:sz w:val="21"/>
                          </w:rPr>
                        </w:pPr>
                        <w:r>
                          <w:rPr>
                            <w:sz w:val="21"/>
                          </w:rPr>
                          <w:t>3,511,418.93</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三、计入其他综合收益的设定受益成本</w:t>
                        </w:r>
                      </w:p>
                    </w:tc>
                    <w:tc>
                      <w:tcPr>
                        <w:tcW w:w="3706" w:type="dxa"/>
                        <w:tcBorders>
                          <w:top w:val="single" w:sz="4" w:space="0" w:color="000000"/>
                          <w:left w:val="single" w:sz="4" w:space="0" w:color="000000"/>
                          <w:bottom w:val="single" w:sz="4" w:space="0" w:color="000000"/>
                        </w:tcBorders>
                      </w:tcPr>
                      <w:p>
                        <w:pPr>
                          <w:pStyle w:val="TableParagraph"/>
                          <w:spacing w:line="235" w:lineRule="exact"/>
                          <w:ind w:right="73"/>
                          <w:jc w:val="right"/>
                          <w:rPr>
                            <w:sz w:val="21"/>
                          </w:rPr>
                        </w:pPr>
                        <w:r>
                          <w:rPr>
                            <w:sz w:val="21"/>
                          </w:rPr>
                          <w:t>-3,834,624.95</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四、其他变动</w:t>
                        </w:r>
                      </w:p>
                    </w:tc>
                    <w:tc>
                      <w:tcPr>
                        <w:tcW w:w="3706" w:type="dxa"/>
                        <w:tcBorders>
                          <w:top w:val="single" w:sz="4" w:space="0" w:color="000000"/>
                          <w:left w:val="single" w:sz="4" w:space="0" w:color="000000"/>
                          <w:bottom w:val="single" w:sz="4" w:space="0" w:color="000000"/>
                        </w:tcBorders>
                      </w:tcPr>
                      <w:p>
                        <w:pPr>
                          <w:pStyle w:val="TableParagraph"/>
                          <w:spacing w:line="235" w:lineRule="exact"/>
                          <w:ind w:right="73"/>
                          <w:jc w:val="right"/>
                          <w:rPr>
                            <w:sz w:val="21"/>
                          </w:rPr>
                        </w:pPr>
                        <w:r>
                          <w:rPr>
                            <w:sz w:val="21"/>
                          </w:rPr>
                          <w:t>-12,841,847.17</w:t>
                        </w:r>
                      </w:p>
                    </w:tc>
                  </w:tr>
                  <w:tr>
                    <w:trPr>
                      <w:trHeight w:val="366" w:hRule="atLeast"/>
                    </w:trPr>
                    <w:tc>
                      <w:tcPr>
                        <w:tcW w:w="5343" w:type="dxa"/>
                        <w:tcBorders>
                          <w:top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七、期末余额</w:t>
                        </w:r>
                      </w:p>
                    </w:tc>
                    <w:tc>
                      <w:tcPr>
                        <w:tcW w:w="3706" w:type="dxa"/>
                        <w:tcBorders>
                          <w:top w:val="single" w:sz="4" w:space="0" w:color="000000"/>
                          <w:left w:val="single" w:sz="4" w:space="0" w:color="000000"/>
                        </w:tcBorders>
                      </w:tcPr>
                      <w:p>
                        <w:pPr>
                          <w:pStyle w:val="TableParagraph"/>
                          <w:spacing w:line="235" w:lineRule="exact"/>
                          <w:ind w:right="73"/>
                          <w:jc w:val="right"/>
                          <w:rPr>
                            <w:sz w:val="21"/>
                          </w:rPr>
                        </w:pPr>
                        <w:r>
                          <w:rPr>
                            <w:sz w:val="21"/>
                          </w:rPr>
                          <w:t>-47,125,787.07</w:t>
                        </w:r>
                      </w:p>
                    </w:tc>
                  </w:tr>
                </w:tbl>
                <w:p>
                  <w:pPr>
                    <w:pStyle w:val="BodyText"/>
                  </w:pPr>
                </w:p>
              </w:txbxContent>
            </v:textbox>
            <w10:wrap type="none"/>
          </v:shape>
        </w:pict>
      </w:r>
      <w:r>
        <w:rPr/>
        <w:t>计划资产无本公司普通股、债券，也无由本公司占用的房地产。设定受益计划净负债（净资产）</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3"/>
        <w:ind w:left="2039"/>
      </w:pPr>
      <w:r>
        <w:rPr/>
        <w:t>资产负债表日的设定受益义务的平均期间为 </w:t>
      </w:r>
      <w:r>
        <w:rPr>
          <w:rFonts w:ascii="Times New Roman" w:eastAsia="Times New Roman"/>
        </w:rPr>
        <w:t>11.79 </w:t>
      </w:r>
      <w:r>
        <w:rPr/>
        <w:t>年。</w:t>
      </w:r>
    </w:p>
    <w:p>
      <w:pPr>
        <w:spacing w:after="0"/>
        <w:sectPr>
          <w:pgSz w:w="11910" w:h="16840"/>
          <w:pgMar w:header="876" w:footer="1214" w:top="1440" w:bottom="1400" w:left="260" w:right="0"/>
        </w:sectPr>
      </w:pPr>
    </w:p>
    <w:p>
      <w:pPr>
        <w:pStyle w:val="BodyText"/>
        <w:spacing w:before="3"/>
        <w:rPr>
          <w:sz w:val="10"/>
        </w:rPr>
      </w:pPr>
    </w:p>
    <w:p>
      <w:pPr>
        <w:pStyle w:val="BodyText"/>
        <w:spacing w:before="79"/>
        <w:ind w:left="1895"/>
      </w:pPr>
      <w:r>
        <w:rPr/>
        <w:t>②子公司</w:t>
      </w:r>
      <w:r>
        <w:rPr>
          <w:rFonts w:ascii="Times New Roman" w:hAnsi="Times New Roman" w:eastAsia="Times New Roman"/>
        </w:rPr>
        <w:t>Roper Corporation </w:t>
      </w:r>
      <w:r>
        <w:rPr/>
        <w:t>设定受益计划</w:t>
      </w:r>
    </w:p>
    <w:p>
      <w:pPr>
        <w:pStyle w:val="BodyText"/>
        <w:spacing w:line="475" w:lineRule="auto" w:before="151"/>
        <w:ind w:left="2039" w:right="1947" w:firstLine="24"/>
      </w:pPr>
      <w:r>
        <w:rPr/>
        <w:pict>
          <v:shape style="position:absolute;margin-left:83.783997pt;margin-top:55.129997pt;width:454.65pt;height:40.2pt;mso-position-horizontal-relative:page;mso-position-vertical-relative:paragraph;z-index:251670528"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384"/>
                    <w:gridCol w:w="3665"/>
                  </w:tblGrid>
                  <w:tr>
                    <w:trPr>
                      <w:trHeight w:val="368" w:hRule="atLeast"/>
                    </w:trPr>
                    <w:tc>
                      <w:tcPr>
                        <w:tcW w:w="5384" w:type="dxa"/>
                        <w:tcBorders>
                          <w:bottom w:val="single" w:sz="4" w:space="0" w:color="000000"/>
                          <w:right w:val="single" w:sz="4" w:space="0" w:color="000000"/>
                        </w:tcBorders>
                      </w:tcPr>
                      <w:p>
                        <w:pPr>
                          <w:pStyle w:val="TableParagraph"/>
                          <w:spacing w:line="349" w:lineRule="exact"/>
                          <w:ind w:left="2460" w:right="2444"/>
                          <w:jc w:val="center"/>
                          <w:rPr>
                            <w:rFonts w:ascii="Microsoft JhengHei" w:eastAsia="Microsoft JhengHei" w:hint="eastAsia"/>
                            <w:b/>
                            <w:sz w:val="21"/>
                          </w:rPr>
                        </w:pPr>
                        <w:r>
                          <w:rPr>
                            <w:rFonts w:ascii="Microsoft JhengHei" w:eastAsia="Microsoft JhengHei" w:hint="eastAsia"/>
                            <w:b/>
                            <w:sz w:val="21"/>
                          </w:rPr>
                          <w:t>项目</w:t>
                        </w:r>
                      </w:p>
                    </w:tc>
                    <w:tc>
                      <w:tcPr>
                        <w:tcW w:w="3665" w:type="dxa"/>
                        <w:tcBorders>
                          <w:left w:val="single" w:sz="4" w:space="0" w:color="000000"/>
                          <w:bottom w:val="single" w:sz="4" w:space="0" w:color="000000"/>
                        </w:tcBorders>
                      </w:tcPr>
                      <w:p>
                        <w:pPr>
                          <w:pStyle w:val="TableParagraph"/>
                          <w:spacing w:line="349" w:lineRule="exact"/>
                          <w:ind w:left="1547" w:right="1511"/>
                          <w:jc w:val="center"/>
                          <w:rPr>
                            <w:rFonts w:ascii="Microsoft JhengHei" w:eastAsia="Microsoft JhengHei" w:hint="eastAsia"/>
                            <w:b/>
                            <w:sz w:val="21"/>
                          </w:rPr>
                        </w:pPr>
                        <w:r>
                          <w:rPr>
                            <w:rFonts w:ascii="Microsoft JhengHei" w:eastAsia="Microsoft JhengHei" w:hint="eastAsia"/>
                            <w:b/>
                            <w:sz w:val="21"/>
                          </w:rPr>
                          <w:t>比率</w:t>
                        </w:r>
                      </w:p>
                    </w:tc>
                  </w:tr>
                  <w:tr>
                    <w:trPr>
                      <w:trHeight w:val="366" w:hRule="atLeast"/>
                    </w:trPr>
                    <w:tc>
                      <w:tcPr>
                        <w:tcW w:w="5384" w:type="dxa"/>
                        <w:tcBorders>
                          <w:top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折现率</w:t>
                        </w:r>
                      </w:p>
                    </w:tc>
                    <w:tc>
                      <w:tcPr>
                        <w:tcW w:w="3665" w:type="dxa"/>
                        <w:tcBorders>
                          <w:top w:val="single" w:sz="4" w:space="0" w:color="000000"/>
                          <w:left w:val="single" w:sz="4" w:space="0" w:color="000000"/>
                        </w:tcBorders>
                      </w:tcPr>
                      <w:p>
                        <w:pPr>
                          <w:pStyle w:val="TableParagraph"/>
                          <w:spacing w:before="58"/>
                          <w:ind w:left="1550" w:right="1511"/>
                          <w:jc w:val="center"/>
                          <w:rPr>
                            <w:sz w:val="21"/>
                          </w:rPr>
                        </w:pPr>
                        <w:r>
                          <w:rPr>
                            <w:sz w:val="21"/>
                          </w:rPr>
                          <w:t>2.47%</w:t>
                        </w:r>
                      </w:p>
                    </w:tc>
                  </w:tr>
                </w:tbl>
                <w:p>
                  <w:pPr>
                    <w:pStyle w:val="BodyText"/>
                  </w:pPr>
                </w:p>
              </w:txbxContent>
            </v:textbox>
            <w10:wrap type="none"/>
          </v:shape>
        </w:pict>
      </w:r>
      <w:r>
        <w:rPr/>
        <w:t>子公司 </w:t>
      </w:r>
      <w:r>
        <w:rPr>
          <w:rFonts w:ascii="Times New Roman" w:eastAsia="Times New Roman"/>
        </w:rPr>
        <w:t>Roper Corporation </w:t>
      </w:r>
      <w:r>
        <w:rPr/>
        <w:t>为符合条件的员工实施退休后医疗福利的设定受益计划。设定受益计划所使用的精算假设</w:t>
      </w:r>
    </w:p>
    <w:p>
      <w:pPr>
        <w:pStyle w:val="BodyText"/>
        <w:rPr>
          <w:sz w:val="20"/>
        </w:rPr>
      </w:pPr>
    </w:p>
    <w:p>
      <w:pPr>
        <w:pStyle w:val="BodyText"/>
        <w:rPr>
          <w:sz w:val="20"/>
        </w:rPr>
      </w:pPr>
    </w:p>
    <w:p>
      <w:pPr>
        <w:pStyle w:val="BodyText"/>
        <w:rPr>
          <w:sz w:val="20"/>
        </w:rPr>
      </w:pPr>
    </w:p>
    <w:p>
      <w:pPr>
        <w:pStyle w:val="BodyText"/>
        <w:spacing w:before="7"/>
        <w:rPr>
          <w:sz w:val="14"/>
        </w:rPr>
      </w:pPr>
    </w:p>
    <w:p>
      <w:pPr>
        <w:pStyle w:val="BodyText"/>
        <w:ind w:left="2039"/>
      </w:pPr>
      <w:r>
        <w:rPr/>
        <w:t>设定受益义务现值</w:t>
      </w:r>
    </w:p>
    <w:p>
      <w:pPr>
        <w:pStyle w:val="BodyText"/>
        <w:spacing w:after="1"/>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343"/>
        <w:gridCol w:w="3706"/>
      </w:tblGrid>
      <w:tr>
        <w:trPr>
          <w:trHeight w:val="368" w:hRule="atLeast"/>
        </w:trPr>
        <w:tc>
          <w:tcPr>
            <w:tcW w:w="5343" w:type="dxa"/>
            <w:tcBorders>
              <w:bottom w:val="single" w:sz="4" w:space="0" w:color="000000"/>
              <w:right w:val="single" w:sz="4" w:space="0" w:color="000000"/>
            </w:tcBorders>
          </w:tcPr>
          <w:p>
            <w:pPr>
              <w:pStyle w:val="TableParagraph"/>
              <w:spacing w:line="349" w:lineRule="exact"/>
              <w:ind w:left="2441" w:right="2422"/>
              <w:jc w:val="center"/>
              <w:rPr>
                <w:rFonts w:ascii="Microsoft JhengHei" w:eastAsia="Microsoft JhengHei" w:hint="eastAsia"/>
                <w:b/>
                <w:sz w:val="21"/>
              </w:rPr>
            </w:pPr>
            <w:r>
              <w:rPr>
                <w:rFonts w:ascii="Microsoft JhengHei" w:eastAsia="Microsoft JhengHei" w:hint="eastAsia"/>
                <w:b/>
                <w:sz w:val="21"/>
              </w:rPr>
              <w:t>项目</w:t>
            </w:r>
          </w:p>
        </w:tc>
        <w:tc>
          <w:tcPr>
            <w:tcW w:w="3706" w:type="dxa"/>
            <w:tcBorders>
              <w:left w:val="single" w:sz="4" w:space="0" w:color="000000"/>
              <w:bottom w:val="single" w:sz="4" w:space="0" w:color="000000"/>
            </w:tcBorders>
          </w:tcPr>
          <w:p>
            <w:pPr>
              <w:pStyle w:val="TableParagraph"/>
              <w:spacing w:line="349" w:lineRule="exact"/>
              <w:ind w:left="1632" w:right="1593"/>
              <w:jc w:val="center"/>
              <w:rPr>
                <w:rFonts w:ascii="Microsoft JhengHei" w:eastAsia="Microsoft JhengHei" w:hint="eastAsia"/>
                <w:b/>
                <w:sz w:val="21"/>
              </w:rPr>
            </w:pPr>
            <w:r>
              <w:rPr>
                <w:rFonts w:ascii="Microsoft JhengHei" w:eastAsia="Microsoft JhengHei" w:hint="eastAsia"/>
                <w:b/>
                <w:sz w:val="21"/>
              </w:rPr>
              <w:t>金额</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一、期初余额</w:t>
            </w:r>
          </w:p>
        </w:tc>
        <w:tc>
          <w:tcPr>
            <w:tcW w:w="3706" w:type="dxa"/>
            <w:tcBorders>
              <w:top w:val="single" w:sz="4" w:space="0" w:color="000000"/>
              <w:left w:val="single" w:sz="4" w:space="0" w:color="000000"/>
              <w:bottom w:val="single" w:sz="4" w:space="0" w:color="000000"/>
            </w:tcBorders>
          </w:tcPr>
          <w:p>
            <w:pPr>
              <w:pStyle w:val="TableParagraph"/>
              <w:spacing w:line="235" w:lineRule="exact"/>
              <w:ind w:right="73"/>
              <w:jc w:val="right"/>
              <w:rPr>
                <w:sz w:val="21"/>
              </w:rPr>
            </w:pPr>
            <w:r>
              <w:rPr>
                <w:sz w:val="21"/>
              </w:rPr>
              <w:t>138,607,020.37</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二、非同一控制下企业合并</w:t>
            </w:r>
          </w:p>
        </w:tc>
        <w:tc>
          <w:tcPr>
            <w:tcW w:w="3706"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三、计入当期损益的设定受益成本</w:t>
            </w:r>
          </w:p>
        </w:tc>
        <w:tc>
          <w:tcPr>
            <w:tcW w:w="3706" w:type="dxa"/>
            <w:tcBorders>
              <w:top w:val="single" w:sz="4" w:space="0" w:color="000000"/>
              <w:left w:val="single" w:sz="4" w:space="0" w:color="000000"/>
              <w:bottom w:val="single" w:sz="4" w:space="0" w:color="000000"/>
            </w:tcBorders>
          </w:tcPr>
          <w:p>
            <w:pPr>
              <w:pStyle w:val="TableParagraph"/>
              <w:spacing w:line="235" w:lineRule="exact"/>
              <w:ind w:right="73"/>
              <w:jc w:val="right"/>
              <w:rPr>
                <w:sz w:val="21"/>
              </w:rPr>
            </w:pPr>
            <w:r>
              <w:rPr>
                <w:sz w:val="21"/>
              </w:rPr>
              <w:t>10,240,125.86</w:t>
            </w:r>
          </w:p>
        </w:tc>
      </w:tr>
      <w:tr>
        <w:trPr>
          <w:trHeight w:val="366"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sz w:val="21"/>
              </w:rPr>
              <w:t>1.</w:t>
            </w:r>
            <w:r>
              <w:rPr>
                <w:rFonts w:ascii="宋体" w:eastAsia="宋体" w:hint="eastAsia"/>
                <w:sz w:val="21"/>
              </w:rPr>
              <w:t>当期服务成本</w:t>
            </w:r>
          </w:p>
        </w:tc>
        <w:tc>
          <w:tcPr>
            <w:tcW w:w="3706" w:type="dxa"/>
            <w:tcBorders>
              <w:top w:val="single" w:sz="4" w:space="0" w:color="000000"/>
              <w:left w:val="single" w:sz="4" w:space="0" w:color="000000"/>
              <w:bottom w:val="single" w:sz="4" w:space="0" w:color="000000"/>
            </w:tcBorders>
          </w:tcPr>
          <w:p>
            <w:pPr>
              <w:pStyle w:val="TableParagraph"/>
              <w:spacing w:line="235" w:lineRule="exact"/>
              <w:ind w:right="73"/>
              <w:jc w:val="right"/>
              <w:rPr>
                <w:sz w:val="21"/>
              </w:rPr>
            </w:pPr>
            <w:r>
              <w:rPr>
                <w:sz w:val="21"/>
              </w:rPr>
              <w:t>6,134,939.35</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sz w:val="21"/>
              </w:rPr>
              <w:t>2.</w:t>
            </w:r>
            <w:r>
              <w:rPr>
                <w:rFonts w:ascii="宋体" w:eastAsia="宋体" w:hint="eastAsia"/>
                <w:sz w:val="21"/>
              </w:rPr>
              <w:t>过去服务成本</w:t>
            </w:r>
          </w:p>
        </w:tc>
        <w:tc>
          <w:tcPr>
            <w:tcW w:w="3706"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51"/>
              <w:ind w:left="107"/>
              <w:rPr>
                <w:rFonts w:ascii="宋体" w:hAnsi="宋体" w:eastAsia="宋体" w:hint="eastAsia"/>
                <w:sz w:val="21"/>
              </w:rPr>
            </w:pPr>
            <w:r>
              <w:rPr>
                <w:sz w:val="21"/>
              </w:rPr>
              <w:t>3.</w:t>
            </w:r>
            <w:r>
              <w:rPr>
                <w:rFonts w:ascii="宋体" w:hAnsi="宋体" w:eastAsia="宋体" w:hint="eastAsia"/>
                <w:sz w:val="21"/>
              </w:rPr>
              <w:t>结算利得（损失以</w:t>
            </w:r>
            <w:r>
              <w:rPr>
                <w:sz w:val="21"/>
              </w:rPr>
              <w:t>“</w:t>
            </w:r>
            <w:r>
              <w:rPr>
                <w:rFonts w:ascii="宋体" w:hAnsi="宋体" w:eastAsia="宋体" w:hint="eastAsia"/>
                <w:sz w:val="21"/>
              </w:rPr>
              <w:t>－</w:t>
            </w:r>
            <w:r>
              <w:rPr>
                <w:sz w:val="21"/>
              </w:rPr>
              <w:t>”</w:t>
            </w:r>
            <w:r>
              <w:rPr>
                <w:rFonts w:ascii="宋体" w:hAnsi="宋体" w:eastAsia="宋体" w:hint="eastAsia"/>
                <w:sz w:val="21"/>
              </w:rPr>
              <w:t>表示）</w:t>
            </w:r>
          </w:p>
        </w:tc>
        <w:tc>
          <w:tcPr>
            <w:tcW w:w="3706"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sz w:val="21"/>
              </w:rPr>
              <w:t>4</w:t>
            </w:r>
            <w:r>
              <w:rPr>
                <w:rFonts w:ascii="宋体" w:eastAsia="宋体" w:hint="eastAsia"/>
                <w:sz w:val="21"/>
              </w:rPr>
              <w:t>、利息费用</w:t>
            </w:r>
          </w:p>
        </w:tc>
        <w:tc>
          <w:tcPr>
            <w:tcW w:w="3706" w:type="dxa"/>
            <w:tcBorders>
              <w:top w:val="single" w:sz="4" w:space="0" w:color="000000"/>
              <w:left w:val="single" w:sz="4" w:space="0" w:color="000000"/>
              <w:bottom w:val="single" w:sz="4" w:space="0" w:color="000000"/>
            </w:tcBorders>
          </w:tcPr>
          <w:p>
            <w:pPr>
              <w:pStyle w:val="TableParagraph"/>
              <w:spacing w:line="235" w:lineRule="exact"/>
              <w:ind w:right="73"/>
              <w:jc w:val="right"/>
              <w:rPr>
                <w:sz w:val="21"/>
              </w:rPr>
            </w:pPr>
            <w:r>
              <w:rPr>
                <w:sz w:val="21"/>
              </w:rPr>
              <w:t>4,105,186.51</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四、计入其他综合收益的设定受益成本</w:t>
            </w:r>
          </w:p>
        </w:tc>
        <w:tc>
          <w:tcPr>
            <w:tcW w:w="3706" w:type="dxa"/>
            <w:tcBorders>
              <w:top w:val="single" w:sz="4" w:space="0" w:color="000000"/>
              <w:left w:val="single" w:sz="4" w:space="0" w:color="000000"/>
              <w:bottom w:val="single" w:sz="4" w:space="0" w:color="000000"/>
            </w:tcBorders>
          </w:tcPr>
          <w:p>
            <w:pPr>
              <w:pStyle w:val="TableParagraph"/>
              <w:spacing w:line="235" w:lineRule="exact"/>
              <w:ind w:right="73"/>
              <w:jc w:val="right"/>
              <w:rPr>
                <w:sz w:val="21"/>
              </w:rPr>
            </w:pPr>
            <w:r>
              <w:rPr>
                <w:sz w:val="21"/>
              </w:rPr>
              <w:t>11,637,987.81</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hAnsi="宋体" w:eastAsia="宋体" w:hint="eastAsia"/>
                <w:sz w:val="21"/>
              </w:rPr>
            </w:pPr>
            <w:r>
              <w:rPr>
                <w:sz w:val="21"/>
              </w:rPr>
              <w:t>1.</w:t>
            </w:r>
            <w:r>
              <w:rPr>
                <w:rFonts w:ascii="宋体" w:hAnsi="宋体" w:eastAsia="宋体" w:hint="eastAsia"/>
                <w:sz w:val="21"/>
              </w:rPr>
              <w:t>精算损失（利得以</w:t>
            </w:r>
            <w:r>
              <w:rPr>
                <w:sz w:val="21"/>
              </w:rPr>
              <w:t>“</w:t>
            </w:r>
            <w:r>
              <w:rPr>
                <w:rFonts w:ascii="宋体" w:hAnsi="宋体" w:eastAsia="宋体" w:hint="eastAsia"/>
                <w:sz w:val="21"/>
              </w:rPr>
              <w:t>－</w:t>
            </w:r>
            <w:r>
              <w:rPr>
                <w:sz w:val="21"/>
              </w:rPr>
              <w:t>”</w:t>
            </w:r>
            <w:r>
              <w:rPr>
                <w:rFonts w:ascii="宋体" w:hAnsi="宋体" w:eastAsia="宋体" w:hint="eastAsia"/>
                <w:sz w:val="21"/>
              </w:rPr>
              <w:t>表示）</w:t>
            </w:r>
          </w:p>
        </w:tc>
        <w:tc>
          <w:tcPr>
            <w:tcW w:w="3706" w:type="dxa"/>
            <w:tcBorders>
              <w:top w:val="single" w:sz="4" w:space="0" w:color="000000"/>
              <w:left w:val="single" w:sz="4" w:space="0" w:color="000000"/>
              <w:bottom w:val="single" w:sz="4" w:space="0" w:color="000000"/>
            </w:tcBorders>
          </w:tcPr>
          <w:p>
            <w:pPr>
              <w:pStyle w:val="TableParagraph"/>
              <w:spacing w:line="235" w:lineRule="exact"/>
              <w:ind w:right="73"/>
              <w:jc w:val="right"/>
              <w:rPr>
                <w:sz w:val="21"/>
              </w:rPr>
            </w:pPr>
            <w:r>
              <w:rPr>
                <w:sz w:val="21"/>
              </w:rPr>
              <w:t>11,637,987.81</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七、其他变动</w:t>
            </w:r>
          </w:p>
        </w:tc>
        <w:tc>
          <w:tcPr>
            <w:tcW w:w="3706" w:type="dxa"/>
            <w:tcBorders>
              <w:top w:val="single" w:sz="4" w:space="0" w:color="000000"/>
              <w:left w:val="single" w:sz="4" w:space="0" w:color="000000"/>
              <w:bottom w:val="single" w:sz="4" w:space="0" w:color="000000"/>
            </w:tcBorders>
          </w:tcPr>
          <w:p>
            <w:pPr>
              <w:pStyle w:val="TableParagraph"/>
              <w:spacing w:line="235" w:lineRule="exact"/>
              <w:ind w:right="73"/>
              <w:jc w:val="right"/>
              <w:rPr>
                <w:sz w:val="21"/>
              </w:rPr>
            </w:pPr>
            <w:r>
              <w:rPr>
                <w:sz w:val="21"/>
              </w:rPr>
              <w:t>-8,917,373.66</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sz w:val="21"/>
              </w:rPr>
              <w:t>1.</w:t>
            </w:r>
            <w:r>
              <w:rPr>
                <w:rFonts w:ascii="宋体" w:eastAsia="宋体" w:hint="eastAsia"/>
                <w:sz w:val="21"/>
              </w:rPr>
              <w:t>结算时支付的对价</w:t>
            </w:r>
          </w:p>
        </w:tc>
        <w:tc>
          <w:tcPr>
            <w:tcW w:w="3706"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sz w:val="21"/>
              </w:rPr>
              <w:t>2.</w:t>
            </w:r>
            <w:r>
              <w:rPr>
                <w:rFonts w:ascii="宋体" w:eastAsia="宋体" w:hint="eastAsia"/>
                <w:sz w:val="21"/>
              </w:rPr>
              <w:t>已支付的福利</w:t>
            </w:r>
          </w:p>
        </w:tc>
        <w:tc>
          <w:tcPr>
            <w:tcW w:w="3706"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-8,198,889.19</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sz w:val="21"/>
              </w:rPr>
              <w:t>3.</w:t>
            </w:r>
            <w:r>
              <w:rPr>
                <w:rFonts w:ascii="宋体" w:eastAsia="宋体" w:hint="eastAsia"/>
                <w:sz w:val="21"/>
              </w:rPr>
              <w:t>汇兑差额</w:t>
            </w:r>
          </w:p>
        </w:tc>
        <w:tc>
          <w:tcPr>
            <w:tcW w:w="3706" w:type="dxa"/>
            <w:tcBorders>
              <w:top w:val="single" w:sz="4" w:space="0" w:color="000000"/>
              <w:left w:val="single" w:sz="4" w:space="0" w:color="000000"/>
              <w:bottom w:val="single" w:sz="4" w:space="0" w:color="000000"/>
            </w:tcBorders>
          </w:tcPr>
          <w:p>
            <w:pPr>
              <w:pStyle w:val="TableParagraph"/>
              <w:spacing w:line="235" w:lineRule="exact"/>
              <w:ind w:right="73"/>
              <w:jc w:val="right"/>
              <w:rPr>
                <w:sz w:val="21"/>
              </w:rPr>
            </w:pPr>
            <w:r>
              <w:rPr>
                <w:sz w:val="21"/>
              </w:rPr>
              <w:t>-718,484.47</w:t>
            </w:r>
          </w:p>
        </w:tc>
      </w:tr>
      <w:tr>
        <w:trPr>
          <w:trHeight w:val="366" w:hRule="atLeast"/>
        </w:trPr>
        <w:tc>
          <w:tcPr>
            <w:tcW w:w="5343" w:type="dxa"/>
            <w:tcBorders>
              <w:top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六、期末余额</w:t>
            </w:r>
          </w:p>
        </w:tc>
        <w:tc>
          <w:tcPr>
            <w:tcW w:w="3706" w:type="dxa"/>
            <w:tcBorders>
              <w:top w:val="single" w:sz="4" w:space="0" w:color="000000"/>
              <w:left w:val="single" w:sz="4" w:space="0" w:color="000000"/>
            </w:tcBorders>
          </w:tcPr>
          <w:p>
            <w:pPr>
              <w:pStyle w:val="TableParagraph"/>
              <w:spacing w:line="235" w:lineRule="exact"/>
              <w:ind w:right="73"/>
              <w:jc w:val="right"/>
              <w:rPr>
                <w:sz w:val="21"/>
              </w:rPr>
            </w:pPr>
            <w:r>
              <w:rPr>
                <w:sz w:val="21"/>
              </w:rPr>
              <w:t>151,567,760.38</w:t>
            </w:r>
          </w:p>
        </w:tc>
      </w:tr>
    </w:tbl>
    <w:p>
      <w:pPr>
        <w:pStyle w:val="BodyText"/>
        <w:spacing w:before="8"/>
        <w:rPr>
          <w:sz w:val="20"/>
        </w:rPr>
      </w:pPr>
    </w:p>
    <w:p>
      <w:pPr>
        <w:pStyle w:val="BodyText"/>
        <w:spacing w:before="1"/>
        <w:ind w:left="2039"/>
      </w:pPr>
      <w:r>
        <w:rPr/>
        <w:t>设定受益计划净负债（净资产）</w:t>
      </w:r>
    </w:p>
    <w:p>
      <w:pPr>
        <w:pStyle w:val="BodyText"/>
        <w:spacing w:before="6"/>
        <w:rPr>
          <w:sz w:val="11"/>
        </w:r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343"/>
        <w:gridCol w:w="3706"/>
      </w:tblGrid>
      <w:tr>
        <w:trPr>
          <w:trHeight w:val="371" w:hRule="atLeast"/>
        </w:trPr>
        <w:tc>
          <w:tcPr>
            <w:tcW w:w="5343" w:type="dxa"/>
            <w:tcBorders>
              <w:bottom w:val="single" w:sz="4" w:space="0" w:color="000000"/>
              <w:right w:val="single" w:sz="4" w:space="0" w:color="000000"/>
            </w:tcBorders>
          </w:tcPr>
          <w:p>
            <w:pPr>
              <w:pStyle w:val="TableParagraph"/>
              <w:spacing w:line="351" w:lineRule="exact"/>
              <w:ind w:left="2441" w:right="2422"/>
              <w:jc w:val="center"/>
              <w:rPr>
                <w:rFonts w:ascii="Microsoft JhengHei" w:eastAsia="Microsoft JhengHei" w:hint="eastAsia"/>
                <w:b/>
                <w:sz w:val="21"/>
              </w:rPr>
            </w:pPr>
            <w:r>
              <w:rPr>
                <w:rFonts w:ascii="Microsoft JhengHei" w:eastAsia="Microsoft JhengHei" w:hint="eastAsia"/>
                <w:b/>
                <w:sz w:val="21"/>
              </w:rPr>
              <w:t>项目</w:t>
            </w:r>
          </w:p>
        </w:tc>
        <w:tc>
          <w:tcPr>
            <w:tcW w:w="3706" w:type="dxa"/>
            <w:tcBorders>
              <w:left w:val="single" w:sz="4" w:space="0" w:color="000000"/>
              <w:bottom w:val="single" w:sz="4" w:space="0" w:color="000000"/>
            </w:tcBorders>
          </w:tcPr>
          <w:p>
            <w:pPr>
              <w:pStyle w:val="TableParagraph"/>
              <w:spacing w:line="351" w:lineRule="exact"/>
              <w:ind w:left="1632" w:right="1593"/>
              <w:jc w:val="center"/>
              <w:rPr>
                <w:rFonts w:ascii="Microsoft JhengHei" w:eastAsia="Microsoft JhengHei" w:hint="eastAsia"/>
                <w:b/>
                <w:sz w:val="21"/>
              </w:rPr>
            </w:pPr>
            <w:r>
              <w:rPr>
                <w:rFonts w:ascii="Microsoft JhengHei" w:eastAsia="Microsoft JhengHei" w:hint="eastAsia"/>
                <w:b/>
                <w:sz w:val="21"/>
              </w:rPr>
              <w:t>金额</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一、期初余额</w:t>
            </w:r>
          </w:p>
        </w:tc>
        <w:tc>
          <w:tcPr>
            <w:tcW w:w="3706" w:type="dxa"/>
            <w:tcBorders>
              <w:top w:val="single" w:sz="4" w:space="0" w:color="000000"/>
              <w:left w:val="single" w:sz="4" w:space="0" w:color="000000"/>
              <w:bottom w:val="single" w:sz="4" w:space="0" w:color="000000"/>
            </w:tcBorders>
          </w:tcPr>
          <w:p>
            <w:pPr>
              <w:pStyle w:val="TableParagraph"/>
              <w:spacing w:line="235" w:lineRule="exact"/>
              <w:ind w:right="73"/>
              <w:jc w:val="right"/>
              <w:rPr>
                <w:sz w:val="21"/>
              </w:rPr>
            </w:pPr>
            <w:r>
              <w:rPr>
                <w:sz w:val="21"/>
              </w:rPr>
              <w:t>138,607,020.37</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二、非同一控制下企业合并</w:t>
            </w:r>
          </w:p>
        </w:tc>
        <w:tc>
          <w:tcPr>
            <w:tcW w:w="3706" w:type="dxa"/>
            <w:tcBorders>
              <w:top w:val="single" w:sz="4" w:space="0" w:color="000000"/>
              <w:left w:val="single" w:sz="4" w:space="0" w:color="000000"/>
              <w:bottom w:val="single" w:sz="4" w:space="0" w:color="000000"/>
            </w:tcBorders>
          </w:tcPr>
          <w:p>
            <w:pPr>
              <w:pStyle w:val="TableParagraph"/>
              <w:rPr>
                <w:sz w:val="20"/>
              </w:rPr>
            </w:pPr>
          </w:p>
        </w:tc>
      </w:tr>
      <w:tr>
        <w:trPr>
          <w:trHeight w:val="367"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三、计入当期损益的设定受益成本</w:t>
            </w:r>
          </w:p>
        </w:tc>
        <w:tc>
          <w:tcPr>
            <w:tcW w:w="3706" w:type="dxa"/>
            <w:tcBorders>
              <w:top w:val="single" w:sz="4" w:space="0" w:color="000000"/>
              <w:left w:val="single" w:sz="4" w:space="0" w:color="000000"/>
              <w:bottom w:val="single" w:sz="4" w:space="0" w:color="000000"/>
            </w:tcBorders>
          </w:tcPr>
          <w:p>
            <w:pPr>
              <w:pStyle w:val="TableParagraph"/>
              <w:spacing w:line="235" w:lineRule="exact"/>
              <w:ind w:right="75"/>
              <w:jc w:val="right"/>
              <w:rPr>
                <w:sz w:val="21"/>
              </w:rPr>
            </w:pPr>
            <w:r>
              <w:rPr>
                <w:sz w:val="21"/>
              </w:rPr>
              <w:t>10,240,125.86</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四、计入其他综合收益的设定受益成本</w:t>
            </w:r>
          </w:p>
        </w:tc>
        <w:tc>
          <w:tcPr>
            <w:tcW w:w="3706" w:type="dxa"/>
            <w:tcBorders>
              <w:top w:val="single" w:sz="4" w:space="0" w:color="000000"/>
              <w:left w:val="single" w:sz="4" w:space="0" w:color="000000"/>
              <w:bottom w:val="single" w:sz="4" w:space="0" w:color="000000"/>
            </w:tcBorders>
          </w:tcPr>
          <w:p>
            <w:pPr>
              <w:pStyle w:val="TableParagraph"/>
              <w:spacing w:line="237" w:lineRule="exact"/>
              <w:ind w:right="75"/>
              <w:jc w:val="right"/>
              <w:rPr>
                <w:sz w:val="21"/>
              </w:rPr>
            </w:pPr>
            <w:r>
              <w:rPr>
                <w:sz w:val="21"/>
              </w:rPr>
              <w:t>11,637,987.81</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七、其他变动</w:t>
            </w:r>
          </w:p>
        </w:tc>
        <w:tc>
          <w:tcPr>
            <w:tcW w:w="3706" w:type="dxa"/>
            <w:tcBorders>
              <w:top w:val="single" w:sz="4" w:space="0" w:color="000000"/>
              <w:left w:val="single" w:sz="4" w:space="0" w:color="000000"/>
              <w:bottom w:val="single" w:sz="4" w:space="0" w:color="000000"/>
            </w:tcBorders>
          </w:tcPr>
          <w:p>
            <w:pPr>
              <w:pStyle w:val="TableParagraph"/>
              <w:spacing w:line="237" w:lineRule="exact"/>
              <w:ind w:right="76"/>
              <w:jc w:val="right"/>
              <w:rPr>
                <w:sz w:val="21"/>
              </w:rPr>
            </w:pPr>
            <w:r>
              <w:rPr>
                <w:sz w:val="21"/>
              </w:rPr>
              <w:t>-8,917,373.66</w:t>
            </w:r>
          </w:p>
        </w:tc>
      </w:tr>
      <w:tr>
        <w:trPr>
          <w:trHeight w:val="368" w:hRule="atLeast"/>
        </w:trPr>
        <w:tc>
          <w:tcPr>
            <w:tcW w:w="5343" w:type="dxa"/>
            <w:tcBorders>
              <w:top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六、期末余额</w:t>
            </w:r>
          </w:p>
        </w:tc>
        <w:tc>
          <w:tcPr>
            <w:tcW w:w="3706" w:type="dxa"/>
            <w:tcBorders>
              <w:top w:val="single" w:sz="4" w:space="0" w:color="000000"/>
              <w:left w:val="single" w:sz="4" w:space="0" w:color="000000"/>
            </w:tcBorders>
          </w:tcPr>
          <w:p>
            <w:pPr>
              <w:pStyle w:val="TableParagraph"/>
              <w:spacing w:line="235" w:lineRule="exact"/>
              <w:ind w:right="73"/>
              <w:jc w:val="right"/>
              <w:rPr>
                <w:sz w:val="21"/>
              </w:rPr>
            </w:pPr>
            <w:r>
              <w:rPr>
                <w:sz w:val="21"/>
              </w:rPr>
              <w:t>151,567,760.38</w:t>
            </w:r>
          </w:p>
        </w:tc>
      </w:tr>
    </w:tbl>
    <w:p>
      <w:pPr>
        <w:pStyle w:val="BodyText"/>
        <w:spacing w:before="8"/>
        <w:rPr>
          <w:sz w:val="20"/>
        </w:rPr>
      </w:pPr>
    </w:p>
    <w:p>
      <w:pPr>
        <w:pStyle w:val="BodyText"/>
        <w:spacing w:before="1"/>
        <w:ind w:left="2039"/>
      </w:pPr>
      <w:r>
        <w:rPr/>
        <w:t>资产负债表日的该设定受益义务的平均期间为 </w:t>
      </w:r>
      <w:r>
        <w:rPr>
          <w:rFonts w:ascii="Times New Roman" w:eastAsia="Times New Roman"/>
        </w:rPr>
        <w:t>10.05 </w:t>
      </w:r>
      <w:r>
        <w:rPr/>
        <w:t>年。</w:t>
      </w:r>
    </w:p>
    <w:p>
      <w:pPr>
        <w:pStyle w:val="BodyText"/>
        <w:spacing w:before="8"/>
        <w:rPr>
          <w:sz w:val="22"/>
        </w:rPr>
      </w:pPr>
    </w:p>
    <w:p>
      <w:pPr>
        <w:pStyle w:val="BodyText"/>
        <w:ind w:left="1895"/>
      </w:pPr>
      <w:r>
        <w:rPr/>
        <w:t>③子公司</w:t>
      </w:r>
      <w:r>
        <w:rPr>
          <w:rFonts w:ascii="Times New Roman" w:hAnsi="Times New Roman" w:eastAsia="Times New Roman"/>
        </w:rPr>
        <w:t>Haier U.S. Appliance Solutions, Inc.</w:t>
      </w:r>
      <w:r>
        <w:rPr/>
        <w:t>设定受益计划</w:t>
      </w:r>
    </w:p>
    <w:p>
      <w:pPr>
        <w:spacing w:after="0"/>
        <w:sectPr>
          <w:pgSz w:w="11910" w:h="16840"/>
          <w:pgMar w:header="876" w:footer="1214" w:top="1440" w:bottom="1400" w:left="260" w:right="0"/>
        </w:sectPr>
      </w:pPr>
    </w:p>
    <w:p>
      <w:pPr>
        <w:pStyle w:val="BodyText"/>
        <w:spacing w:before="3"/>
        <w:rPr>
          <w:sz w:val="10"/>
        </w:rPr>
      </w:pPr>
    </w:p>
    <w:p>
      <w:pPr>
        <w:pStyle w:val="BodyText"/>
        <w:spacing w:line="393" w:lineRule="auto" w:before="79"/>
        <w:ind w:left="2039" w:right="1268"/>
      </w:pPr>
      <w:r>
        <w:rPr/>
        <w:t>子公司 </w:t>
      </w:r>
      <w:r>
        <w:rPr>
          <w:rFonts w:ascii="Times New Roman" w:eastAsia="Times New Roman"/>
        </w:rPr>
        <w:t>Haier U.S. Appliance Solutions, Inc.</w:t>
      </w:r>
      <w:r>
        <w:rPr/>
        <w:t>为符合条件的员工实施退休后医疗福利的设定受益计划。</w:t>
      </w:r>
    </w:p>
    <w:p>
      <w:pPr>
        <w:pStyle w:val="BodyText"/>
        <w:spacing w:before="118"/>
        <w:ind w:left="2039"/>
      </w:pPr>
      <w:r>
        <w:rPr/>
        <w:t>设定受益计划所使用的精算假设</w:t>
      </w:r>
    </w:p>
    <w:p>
      <w:pPr>
        <w:pStyle w:val="BodyText"/>
        <w:spacing w:before="6"/>
        <w:rPr>
          <w:sz w:val="11"/>
        </w:r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384"/>
        <w:gridCol w:w="3665"/>
      </w:tblGrid>
      <w:tr>
        <w:trPr>
          <w:trHeight w:val="371" w:hRule="atLeast"/>
        </w:trPr>
        <w:tc>
          <w:tcPr>
            <w:tcW w:w="5384" w:type="dxa"/>
            <w:tcBorders>
              <w:bottom w:val="single" w:sz="4" w:space="0" w:color="000000"/>
              <w:right w:val="single" w:sz="4" w:space="0" w:color="000000"/>
            </w:tcBorders>
          </w:tcPr>
          <w:p>
            <w:pPr>
              <w:pStyle w:val="TableParagraph"/>
              <w:spacing w:line="351" w:lineRule="exact"/>
              <w:ind w:left="2460" w:right="2444"/>
              <w:jc w:val="center"/>
              <w:rPr>
                <w:rFonts w:ascii="Microsoft JhengHei" w:eastAsia="Microsoft JhengHei" w:hint="eastAsia"/>
                <w:b/>
                <w:sz w:val="21"/>
              </w:rPr>
            </w:pPr>
            <w:r>
              <w:rPr>
                <w:rFonts w:ascii="Microsoft JhengHei" w:eastAsia="Microsoft JhengHei" w:hint="eastAsia"/>
                <w:b/>
                <w:sz w:val="21"/>
              </w:rPr>
              <w:t>项目</w:t>
            </w:r>
          </w:p>
        </w:tc>
        <w:tc>
          <w:tcPr>
            <w:tcW w:w="3665" w:type="dxa"/>
            <w:tcBorders>
              <w:left w:val="single" w:sz="4" w:space="0" w:color="000000"/>
              <w:bottom w:val="single" w:sz="4" w:space="0" w:color="000000"/>
            </w:tcBorders>
          </w:tcPr>
          <w:p>
            <w:pPr>
              <w:pStyle w:val="TableParagraph"/>
              <w:spacing w:line="351" w:lineRule="exact"/>
              <w:ind w:left="1547" w:right="1511"/>
              <w:jc w:val="center"/>
              <w:rPr>
                <w:rFonts w:ascii="Microsoft JhengHei" w:eastAsia="Microsoft JhengHei" w:hint="eastAsia"/>
                <w:b/>
                <w:sz w:val="21"/>
              </w:rPr>
            </w:pPr>
            <w:r>
              <w:rPr>
                <w:rFonts w:ascii="Microsoft JhengHei" w:eastAsia="Microsoft JhengHei" w:hint="eastAsia"/>
                <w:b/>
                <w:sz w:val="21"/>
              </w:rPr>
              <w:t>比率</w:t>
            </w:r>
          </w:p>
        </w:tc>
      </w:tr>
      <w:tr>
        <w:trPr>
          <w:trHeight w:val="366" w:hRule="atLeast"/>
        </w:trPr>
        <w:tc>
          <w:tcPr>
            <w:tcW w:w="5384" w:type="dxa"/>
            <w:tcBorders>
              <w:top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折现率</w:t>
            </w:r>
          </w:p>
        </w:tc>
        <w:tc>
          <w:tcPr>
            <w:tcW w:w="3665" w:type="dxa"/>
            <w:tcBorders>
              <w:top w:val="single" w:sz="4" w:space="0" w:color="000000"/>
              <w:left w:val="single" w:sz="4" w:space="0" w:color="000000"/>
            </w:tcBorders>
          </w:tcPr>
          <w:p>
            <w:pPr>
              <w:pStyle w:val="TableParagraph"/>
              <w:spacing w:before="55"/>
              <w:ind w:left="1550" w:right="1511"/>
              <w:jc w:val="center"/>
              <w:rPr>
                <w:sz w:val="21"/>
              </w:rPr>
            </w:pPr>
            <w:r>
              <w:rPr>
                <w:sz w:val="21"/>
              </w:rPr>
              <w:t>2.09%</w:t>
            </w:r>
          </w:p>
        </w:tc>
      </w:tr>
    </w:tbl>
    <w:p>
      <w:pPr>
        <w:pStyle w:val="BodyText"/>
        <w:spacing w:before="8"/>
        <w:rPr>
          <w:sz w:val="20"/>
        </w:rPr>
      </w:pPr>
    </w:p>
    <w:p>
      <w:pPr>
        <w:pStyle w:val="BodyText"/>
        <w:spacing w:before="1"/>
        <w:ind w:left="2039"/>
      </w:pPr>
      <w:r>
        <w:rPr/>
        <w:t>设定受益义务现值</w:t>
      </w:r>
    </w:p>
    <w:p>
      <w:pPr>
        <w:pStyle w:val="BodyText"/>
        <w:spacing w:before="11"/>
        <w:rPr>
          <w:sz w:val="20"/>
        </w:r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343"/>
        <w:gridCol w:w="3706"/>
      </w:tblGrid>
      <w:tr>
        <w:trPr>
          <w:trHeight w:val="371" w:hRule="atLeast"/>
        </w:trPr>
        <w:tc>
          <w:tcPr>
            <w:tcW w:w="5343" w:type="dxa"/>
            <w:tcBorders>
              <w:bottom w:val="single" w:sz="4" w:space="0" w:color="000000"/>
              <w:right w:val="single" w:sz="4" w:space="0" w:color="000000"/>
            </w:tcBorders>
          </w:tcPr>
          <w:p>
            <w:pPr>
              <w:pStyle w:val="TableParagraph"/>
              <w:spacing w:line="351" w:lineRule="exact"/>
              <w:ind w:left="2441" w:right="2422"/>
              <w:jc w:val="center"/>
              <w:rPr>
                <w:rFonts w:ascii="Microsoft JhengHei" w:eastAsia="Microsoft JhengHei" w:hint="eastAsia"/>
                <w:b/>
                <w:sz w:val="21"/>
              </w:rPr>
            </w:pPr>
            <w:r>
              <w:rPr>
                <w:rFonts w:ascii="Microsoft JhengHei" w:eastAsia="Microsoft JhengHei" w:hint="eastAsia"/>
                <w:b/>
                <w:sz w:val="21"/>
              </w:rPr>
              <w:t>项目</w:t>
            </w:r>
          </w:p>
        </w:tc>
        <w:tc>
          <w:tcPr>
            <w:tcW w:w="3706" w:type="dxa"/>
            <w:tcBorders>
              <w:left w:val="single" w:sz="4" w:space="0" w:color="000000"/>
              <w:bottom w:val="single" w:sz="4" w:space="0" w:color="000000"/>
            </w:tcBorders>
          </w:tcPr>
          <w:p>
            <w:pPr>
              <w:pStyle w:val="TableParagraph"/>
              <w:spacing w:line="351" w:lineRule="exact"/>
              <w:ind w:left="1632" w:right="1593"/>
              <w:jc w:val="center"/>
              <w:rPr>
                <w:rFonts w:ascii="Microsoft JhengHei" w:eastAsia="Microsoft JhengHei" w:hint="eastAsia"/>
                <w:b/>
                <w:sz w:val="21"/>
              </w:rPr>
            </w:pPr>
            <w:r>
              <w:rPr>
                <w:rFonts w:ascii="Microsoft JhengHei" w:eastAsia="Microsoft JhengHei" w:hint="eastAsia"/>
                <w:b/>
                <w:sz w:val="21"/>
              </w:rPr>
              <w:t>金额</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一、期初余额</w:t>
            </w:r>
          </w:p>
        </w:tc>
        <w:tc>
          <w:tcPr>
            <w:tcW w:w="3706" w:type="dxa"/>
            <w:tcBorders>
              <w:top w:val="single" w:sz="4" w:space="0" w:color="000000"/>
              <w:left w:val="single" w:sz="4" w:space="0" w:color="000000"/>
              <w:bottom w:val="single" w:sz="4" w:space="0" w:color="000000"/>
            </w:tcBorders>
          </w:tcPr>
          <w:p>
            <w:pPr>
              <w:pStyle w:val="TableParagraph"/>
              <w:spacing w:before="56"/>
              <w:ind w:right="73"/>
              <w:jc w:val="right"/>
              <w:rPr>
                <w:sz w:val="21"/>
              </w:rPr>
            </w:pPr>
            <w:r>
              <w:rPr>
                <w:sz w:val="21"/>
              </w:rPr>
              <w:t>310,036,866.40</w:t>
            </w:r>
          </w:p>
        </w:tc>
      </w:tr>
      <w:tr>
        <w:trPr>
          <w:trHeight w:val="366"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二、非同一控制下企业合并</w:t>
            </w:r>
          </w:p>
        </w:tc>
        <w:tc>
          <w:tcPr>
            <w:tcW w:w="3706"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三、计入当期损益的设定受益成本</w:t>
            </w:r>
          </w:p>
        </w:tc>
        <w:tc>
          <w:tcPr>
            <w:tcW w:w="3706" w:type="dxa"/>
            <w:tcBorders>
              <w:top w:val="single" w:sz="4" w:space="0" w:color="000000"/>
              <w:left w:val="single" w:sz="4" w:space="0" w:color="000000"/>
              <w:bottom w:val="single" w:sz="4" w:space="0" w:color="000000"/>
            </w:tcBorders>
          </w:tcPr>
          <w:p>
            <w:pPr>
              <w:pStyle w:val="TableParagraph"/>
              <w:spacing w:before="58"/>
              <w:ind w:right="73"/>
              <w:jc w:val="right"/>
              <w:rPr>
                <w:sz w:val="21"/>
              </w:rPr>
            </w:pPr>
            <w:r>
              <w:rPr>
                <w:sz w:val="21"/>
              </w:rPr>
              <w:t>8,040,164.48</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sz w:val="21"/>
              </w:rPr>
              <w:t>1.</w:t>
            </w:r>
            <w:r>
              <w:rPr>
                <w:rFonts w:ascii="宋体" w:eastAsia="宋体" w:hint="eastAsia"/>
                <w:sz w:val="21"/>
              </w:rPr>
              <w:t>当期服务成本</w:t>
            </w:r>
          </w:p>
        </w:tc>
        <w:tc>
          <w:tcPr>
            <w:tcW w:w="3706"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sz w:val="21"/>
              </w:rPr>
              <w:t>2.</w:t>
            </w:r>
            <w:r>
              <w:rPr>
                <w:rFonts w:ascii="宋体" w:eastAsia="宋体" w:hint="eastAsia"/>
                <w:sz w:val="21"/>
              </w:rPr>
              <w:t>过去服务成本</w:t>
            </w:r>
          </w:p>
        </w:tc>
        <w:tc>
          <w:tcPr>
            <w:tcW w:w="3706"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51"/>
              <w:ind w:left="107"/>
              <w:rPr>
                <w:rFonts w:ascii="宋体" w:hAnsi="宋体" w:eastAsia="宋体" w:hint="eastAsia"/>
                <w:sz w:val="21"/>
              </w:rPr>
            </w:pPr>
            <w:r>
              <w:rPr>
                <w:sz w:val="21"/>
              </w:rPr>
              <w:t>3.</w:t>
            </w:r>
            <w:r>
              <w:rPr>
                <w:rFonts w:ascii="宋体" w:hAnsi="宋体" w:eastAsia="宋体" w:hint="eastAsia"/>
                <w:sz w:val="21"/>
              </w:rPr>
              <w:t>结算利得（损失以</w:t>
            </w:r>
            <w:r>
              <w:rPr>
                <w:sz w:val="21"/>
              </w:rPr>
              <w:t>“</w:t>
            </w:r>
            <w:r>
              <w:rPr>
                <w:rFonts w:ascii="宋体" w:hAnsi="宋体" w:eastAsia="宋体" w:hint="eastAsia"/>
                <w:sz w:val="21"/>
              </w:rPr>
              <w:t>－</w:t>
            </w:r>
            <w:r>
              <w:rPr>
                <w:sz w:val="21"/>
              </w:rPr>
              <w:t>”</w:t>
            </w:r>
            <w:r>
              <w:rPr>
                <w:rFonts w:ascii="宋体" w:hAnsi="宋体" w:eastAsia="宋体" w:hint="eastAsia"/>
                <w:sz w:val="21"/>
              </w:rPr>
              <w:t>表示）</w:t>
            </w:r>
          </w:p>
        </w:tc>
        <w:tc>
          <w:tcPr>
            <w:tcW w:w="3706"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sz w:val="21"/>
              </w:rPr>
              <w:t>4</w:t>
            </w:r>
            <w:r>
              <w:rPr>
                <w:rFonts w:ascii="宋体" w:eastAsia="宋体" w:hint="eastAsia"/>
                <w:sz w:val="21"/>
              </w:rPr>
              <w:t>、利息费用</w:t>
            </w:r>
          </w:p>
        </w:tc>
        <w:tc>
          <w:tcPr>
            <w:tcW w:w="3706" w:type="dxa"/>
            <w:tcBorders>
              <w:top w:val="single" w:sz="4" w:space="0" w:color="000000"/>
              <w:left w:val="single" w:sz="4" w:space="0" w:color="000000"/>
              <w:bottom w:val="single" w:sz="4" w:space="0" w:color="000000"/>
            </w:tcBorders>
          </w:tcPr>
          <w:p>
            <w:pPr>
              <w:pStyle w:val="TableParagraph"/>
              <w:spacing w:before="58"/>
              <w:ind w:right="73"/>
              <w:jc w:val="right"/>
              <w:rPr>
                <w:sz w:val="21"/>
              </w:rPr>
            </w:pPr>
            <w:r>
              <w:rPr>
                <w:sz w:val="21"/>
              </w:rPr>
              <w:t>8,040,164.48</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四、计入其他综合收益的设定受益成本</w:t>
            </w:r>
          </w:p>
        </w:tc>
        <w:tc>
          <w:tcPr>
            <w:tcW w:w="3706" w:type="dxa"/>
            <w:tcBorders>
              <w:top w:val="single" w:sz="4" w:space="0" w:color="000000"/>
              <w:left w:val="single" w:sz="4" w:space="0" w:color="000000"/>
              <w:bottom w:val="single" w:sz="4" w:space="0" w:color="000000"/>
            </w:tcBorders>
          </w:tcPr>
          <w:p>
            <w:pPr>
              <w:pStyle w:val="TableParagraph"/>
              <w:spacing w:before="58"/>
              <w:ind w:right="73"/>
              <w:jc w:val="right"/>
              <w:rPr>
                <w:sz w:val="21"/>
              </w:rPr>
            </w:pPr>
            <w:r>
              <w:rPr>
                <w:sz w:val="21"/>
              </w:rPr>
              <w:t>3,100,710.78</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hAnsi="宋体" w:eastAsia="宋体" w:hint="eastAsia"/>
                <w:sz w:val="21"/>
              </w:rPr>
            </w:pPr>
            <w:r>
              <w:rPr>
                <w:sz w:val="21"/>
              </w:rPr>
              <w:t>1.</w:t>
            </w:r>
            <w:r>
              <w:rPr>
                <w:rFonts w:ascii="宋体" w:hAnsi="宋体" w:eastAsia="宋体" w:hint="eastAsia"/>
                <w:sz w:val="21"/>
              </w:rPr>
              <w:t>精算损失（利得以</w:t>
            </w:r>
            <w:r>
              <w:rPr>
                <w:sz w:val="21"/>
              </w:rPr>
              <w:t>“</w:t>
            </w:r>
            <w:r>
              <w:rPr>
                <w:rFonts w:ascii="宋体" w:hAnsi="宋体" w:eastAsia="宋体" w:hint="eastAsia"/>
                <w:sz w:val="21"/>
              </w:rPr>
              <w:t>－</w:t>
            </w:r>
            <w:r>
              <w:rPr>
                <w:sz w:val="21"/>
              </w:rPr>
              <w:t>”</w:t>
            </w:r>
            <w:r>
              <w:rPr>
                <w:rFonts w:ascii="宋体" w:hAnsi="宋体" w:eastAsia="宋体" w:hint="eastAsia"/>
                <w:sz w:val="21"/>
              </w:rPr>
              <w:t>表示）</w:t>
            </w:r>
          </w:p>
        </w:tc>
        <w:tc>
          <w:tcPr>
            <w:tcW w:w="3706" w:type="dxa"/>
            <w:tcBorders>
              <w:top w:val="single" w:sz="4" w:space="0" w:color="000000"/>
              <w:left w:val="single" w:sz="4" w:space="0" w:color="000000"/>
              <w:bottom w:val="single" w:sz="4" w:space="0" w:color="000000"/>
            </w:tcBorders>
          </w:tcPr>
          <w:p>
            <w:pPr>
              <w:pStyle w:val="TableParagraph"/>
              <w:spacing w:before="58"/>
              <w:ind w:right="73"/>
              <w:jc w:val="right"/>
              <w:rPr>
                <w:sz w:val="21"/>
              </w:rPr>
            </w:pPr>
            <w:r>
              <w:rPr>
                <w:sz w:val="21"/>
              </w:rPr>
              <w:t>3,100,710.78</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七、其他变动</w:t>
            </w:r>
          </w:p>
        </w:tc>
        <w:tc>
          <w:tcPr>
            <w:tcW w:w="3706" w:type="dxa"/>
            <w:tcBorders>
              <w:top w:val="single" w:sz="4" w:space="0" w:color="000000"/>
              <w:left w:val="single" w:sz="4" w:space="0" w:color="000000"/>
              <w:bottom w:val="single" w:sz="4" w:space="0" w:color="000000"/>
            </w:tcBorders>
          </w:tcPr>
          <w:p>
            <w:pPr>
              <w:pStyle w:val="TableParagraph"/>
              <w:spacing w:before="58"/>
              <w:ind w:right="73"/>
              <w:jc w:val="right"/>
              <w:rPr>
                <w:sz w:val="21"/>
              </w:rPr>
            </w:pPr>
            <w:r>
              <w:rPr>
                <w:sz w:val="21"/>
              </w:rPr>
              <w:t>-28,114,459.95</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sz w:val="21"/>
              </w:rPr>
              <w:t>1.</w:t>
            </w:r>
            <w:r>
              <w:rPr>
                <w:rFonts w:ascii="宋体" w:eastAsia="宋体" w:hint="eastAsia"/>
                <w:sz w:val="21"/>
              </w:rPr>
              <w:t>结算时支付的对价</w:t>
            </w:r>
          </w:p>
        </w:tc>
        <w:tc>
          <w:tcPr>
            <w:tcW w:w="3706"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sz w:val="21"/>
              </w:rPr>
              <w:t>2.</w:t>
            </w:r>
            <w:r>
              <w:rPr>
                <w:rFonts w:ascii="宋体" w:eastAsia="宋体" w:hint="eastAsia"/>
                <w:sz w:val="21"/>
              </w:rPr>
              <w:t>已支付的福利</w:t>
            </w:r>
          </w:p>
        </w:tc>
        <w:tc>
          <w:tcPr>
            <w:tcW w:w="3706" w:type="dxa"/>
            <w:tcBorders>
              <w:top w:val="single" w:sz="4" w:space="0" w:color="000000"/>
              <w:left w:val="single" w:sz="4" w:space="0" w:color="000000"/>
              <w:bottom w:val="single" w:sz="4" w:space="0" w:color="000000"/>
            </w:tcBorders>
          </w:tcPr>
          <w:p>
            <w:pPr>
              <w:pStyle w:val="TableParagraph"/>
              <w:spacing w:before="55"/>
              <w:ind w:right="73"/>
              <w:jc w:val="right"/>
              <w:rPr>
                <w:sz w:val="21"/>
              </w:rPr>
            </w:pPr>
            <w:r>
              <w:rPr>
                <w:sz w:val="21"/>
              </w:rPr>
              <w:t>-24,006,014.06</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sz w:val="21"/>
              </w:rPr>
              <w:t>3.</w:t>
            </w:r>
            <w:r>
              <w:rPr>
                <w:rFonts w:ascii="宋体" w:eastAsia="宋体" w:hint="eastAsia"/>
                <w:sz w:val="21"/>
              </w:rPr>
              <w:t>汇兑差额</w:t>
            </w:r>
          </w:p>
        </w:tc>
        <w:tc>
          <w:tcPr>
            <w:tcW w:w="3706" w:type="dxa"/>
            <w:tcBorders>
              <w:top w:val="single" w:sz="4" w:space="0" w:color="000000"/>
              <w:left w:val="single" w:sz="4" w:space="0" w:color="000000"/>
              <w:bottom w:val="single" w:sz="4" w:space="0" w:color="000000"/>
            </w:tcBorders>
          </w:tcPr>
          <w:p>
            <w:pPr>
              <w:pStyle w:val="TableParagraph"/>
              <w:spacing w:before="55"/>
              <w:ind w:right="73"/>
              <w:jc w:val="right"/>
              <w:rPr>
                <w:sz w:val="21"/>
              </w:rPr>
            </w:pPr>
            <w:r>
              <w:rPr>
                <w:sz w:val="21"/>
              </w:rPr>
              <w:t>-4,108,445.89</w:t>
            </w:r>
          </w:p>
        </w:tc>
      </w:tr>
      <w:tr>
        <w:trPr>
          <w:trHeight w:val="366" w:hRule="atLeast"/>
        </w:trPr>
        <w:tc>
          <w:tcPr>
            <w:tcW w:w="5343" w:type="dxa"/>
            <w:tcBorders>
              <w:top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六、期末余额</w:t>
            </w:r>
          </w:p>
        </w:tc>
        <w:tc>
          <w:tcPr>
            <w:tcW w:w="3706" w:type="dxa"/>
            <w:tcBorders>
              <w:top w:val="single" w:sz="4" w:space="0" w:color="000000"/>
              <w:left w:val="single" w:sz="4" w:space="0" w:color="000000"/>
            </w:tcBorders>
          </w:tcPr>
          <w:p>
            <w:pPr>
              <w:pStyle w:val="TableParagraph"/>
              <w:spacing w:before="55"/>
              <w:ind w:right="73"/>
              <w:jc w:val="right"/>
              <w:rPr>
                <w:sz w:val="21"/>
              </w:rPr>
            </w:pPr>
            <w:r>
              <w:rPr>
                <w:sz w:val="21"/>
              </w:rPr>
              <w:t>293,063,281.71</w:t>
            </w:r>
          </w:p>
        </w:tc>
      </w:tr>
    </w:tbl>
    <w:p>
      <w:pPr>
        <w:pStyle w:val="BodyText"/>
        <w:spacing w:before="8"/>
        <w:rPr>
          <w:sz w:val="20"/>
        </w:rPr>
      </w:pPr>
    </w:p>
    <w:p>
      <w:pPr>
        <w:pStyle w:val="BodyText"/>
        <w:spacing w:before="1"/>
        <w:ind w:left="2039"/>
      </w:pPr>
      <w:r>
        <w:rPr/>
        <w:t>设定受益计划净负债（净资产）</w:t>
      </w:r>
    </w:p>
    <w:p>
      <w:pPr>
        <w:pStyle w:val="BodyText"/>
        <w:spacing w:before="6"/>
        <w:rPr>
          <w:sz w:val="11"/>
        </w:r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343"/>
        <w:gridCol w:w="3706"/>
      </w:tblGrid>
      <w:tr>
        <w:trPr>
          <w:trHeight w:val="371" w:hRule="atLeast"/>
        </w:trPr>
        <w:tc>
          <w:tcPr>
            <w:tcW w:w="5343" w:type="dxa"/>
            <w:tcBorders>
              <w:bottom w:val="single" w:sz="4" w:space="0" w:color="000000"/>
              <w:right w:val="single" w:sz="4" w:space="0" w:color="000000"/>
            </w:tcBorders>
          </w:tcPr>
          <w:p>
            <w:pPr>
              <w:pStyle w:val="TableParagraph"/>
              <w:spacing w:line="351" w:lineRule="exact"/>
              <w:ind w:left="2441" w:right="2422"/>
              <w:jc w:val="center"/>
              <w:rPr>
                <w:rFonts w:ascii="Microsoft JhengHei" w:eastAsia="Microsoft JhengHei" w:hint="eastAsia"/>
                <w:b/>
                <w:sz w:val="21"/>
              </w:rPr>
            </w:pPr>
            <w:r>
              <w:rPr>
                <w:rFonts w:ascii="Microsoft JhengHei" w:eastAsia="Microsoft JhengHei" w:hint="eastAsia"/>
                <w:b/>
                <w:sz w:val="21"/>
              </w:rPr>
              <w:t>项目</w:t>
            </w:r>
          </w:p>
        </w:tc>
        <w:tc>
          <w:tcPr>
            <w:tcW w:w="3706" w:type="dxa"/>
            <w:tcBorders>
              <w:left w:val="single" w:sz="4" w:space="0" w:color="000000"/>
              <w:bottom w:val="single" w:sz="4" w:space="0" w:color="000000"/>
            </w:tcBorders>
          </w:tcPr>
          <w:p>
            <w:pPr>
              <w:pStyle w:val="TableParagraph"/>
              <w:spacing w:line="351" w:lineRule="exact"/>
              <w:ind w:left="1632" w:right="1593"/>
              <w:jc w:val="center"/>
              <w:rPr>
                <w:rFonts w:ascii="Microsoft JhengHei" w:eastAsia="Microsoft JhengHei" w:hint="eastAsia"/>
                <w:b/>
                <w:sz w:val="21"/>
              </w:rPr>
            </w:pPr>
            <w:r>
              <w:rPr>
                <w:rFonts w:ascii="Microsoft JhengHei" w:eastAsia="Microsoft JhengHei" w:hint="eastAsia"/>
                <w:b/>
                <w:sz w:val="21"/>
              </w:rPr>
              <w:t>金额</w:t>
            </w:r>
          </w:p>
        </w:tc>
      </w:tr>
      <w:tr>
        <w:trPr>
          <w:trHeight w:val="366"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一、期初余额</w:t>
            </w:r>
          </w:p>
        </w:tc>
        <w:tc>
          <w:tcPr>
            <w:tcW w:w="3706" w:type="dxa"/>
            <w:tcBorders>
              <w:top w:val="single" w:sz="4" w:space="0" w:color="000000"/>
              <w:left w:val="single" w:sz="4" w:space="0" w:color="000000"/>
              <w:bottom w:val="single" w:sz="4" w:space="0" w:color="000000"/>
            </w:tcBorders>
          </w:tcPr>
          <w:p>
            <w:pPr>
              <w:pStyle w:val="TableParagraph"/>
              <w:spacing w:line="235" w:lineRule="exact"/>
              <w:ind w:right="73"/>
              <w:jc w:val="right"/>
              <w:rPr>
                <w:sz w:val="21"/>
              </w:rPr>
            </w:pPr>
            <w:r>
              <w:rPr>
                <w:sz w:val="21"/>
              </w:rPr>
              <w:t>310,036,866.40</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二、非同一控制下企业合并</w:t>
            </w:r>
          </w:p>
        </w:tc>
        <w:tc>
          <w:tcPr>
            <w:tcW w:w="3706"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52"/>
              <w:ind w:left="107"/>
              <w:rPr>
                <w:rFonts w:ascii="宋体" w:eastAsia="宋体" w:hint="eastAsia"/>
                <w:sz w:val="21"/>
              </w:rPr>
            </w:pPr>
            <w:r>
              <w:rPr>
                <w:rFonts w:ascii="宋体" w:eastAsia="宋体" w:hint="eastAsia"/>
                <w:sz w:val="21"/>
              </w:rPr>
              <w:t>三、计入当期损益的设定受益成本</w:t>
            </w:r>
          </w:p>
        </w:tc>
        <w:tc>
          <w:tcPr>
            <w:tcW w:w="3706" w:type="dxa"/>
            <w:tcBorders>
              <w:top w:val="single" w:sz="4" w:space="0" w:color="000000"/>
              <w:left w:val="single" w:sz="4" w:space="0" w:color="000000"/>
              <w:bottom w:val="single" w:sz="4" w:space="0" w:color="000000"/>
            </w:tcBorders>
          </w:tcPr>
          <w:p>
            <w:pPr>
              <w:pStyle w:val="TableParagraph"/>
              <w:spacing w:line="237" w:lineRule="exact"/>
              <w:ind w:right="75"/>
              <w:jc w:val="right"/>
              <w:rPr>
                <w:sz w:val="21"/>
              </w:rPr>
            </w:pPr>
            <w:r>
              <w:rPr>
                <w:sz w:val="21"/>
              </w:rPr>
              <w:t>8,040,164.48</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四、计入其他综合收益的设定受益成本</w:t>
            </w:r>
          </w:p>
        </w:tc>
        <w:tc>
          <w:tcPr>
            <w:tcW w:w="3706" w:type="dxa"/>
            <w:tcBorders>
              <w:top w:val="single" w:sz="4" w:space="0" w:color="000000"/>
              <w:left w:val="single" w:sz="4" w:space="0" w:color="000000"/>
              <w:bottom w:val="single" w:sz="4" w:space="0" w:color="000000"/>
            </w:tcBorders>
          </w:tcPr>
          <w:p>
            <w:pPr>
              <w:pStyle w:val="TableParagraph"/>
              <w:spacing w:line="235" w:lineRule="exact"/>
              <w:ind w:right="75"/>
              <w:jc w:val="right"/>
              <w:rPr>
                <w:sz w:val="21"/>
              </w:rPr>
            </w:pPr>
            <w:r>
              <w:rPr>
                <w:sz w:val="21"/>
              </w:rPr>
              <w:t>3,100,710.78</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七、其他变动</w:t>
            </w:r>
          </w:p>
        </w:tc>
        <w:tc>
          <w:tcPr>
            <w:tcW w:w="3706"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-28,114,459.95</w:t>
            </w:r>
          </w:p>
        </w:tc>
      </w:tr>
      <w:tr>
        <w:trPr>
          <w:trHeight w:val="368" w:hRule="atLeast"/>
        </w:trPr>
        <w:tc>
          <w:tcPr>
            <w:tcW w:w="5343" w:type="dxa"/>
            <w:tcBorders>
              <w:top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六、期末余额</w:t>
            </w:r>
          </w:p>
        </w:tc>
        <w:tc>
          <w:tcPr>
            <w:tcW w:w="3706" w:type="dxa"/>
            <w:tcBorders>
              <w:top w:val="single" w:sz="4" w:space="0" w:color="000000"/>
              <w:left w:val="single" w:sz="4" w:space="0" w:color="000000"/>
            </w:tcBorders>
          </w:tcPr>
          <w:p>
            <w:pPr>
              <w:pStyle w:val="TableParagraph"/>
              <w:spacing w:line="235" w:lineRule="exact"/>
              <w:ind w:right="73"/>
              <w:jc w:val="right"/>
              <w:rPr>
                <w:sz w:val="21"/>
              </w:rPr>
            </w:pPr>
            <w:r>
              <w:rPr>
                <w:sz w:val="21"/>
              </w:rPr>
              <w:t>293,063,281.71</w:t>
            </w:r>
          </w:p>
        </w:tc>
      </w:tr>
    </w:tbl>
    <w:p>
      <w:pPr>
        <w:pStyle w:val="BodyText"/>
        <w:spacing w:before="8"/>
        <w:rPr>
          <w:sz w:val="20"/>
        </w:rPr>
      </w:pPr>
    </w:p>
    <w:p>
      <w:pPr>
        <w:pStyle w:val="BodyText"/>
        <w:spacing w:before="1"/>
        <w:ind w:left="2255"/>
      </w:pPr>
      <w:r>
        <w:rPr/>
        <w:t>④子公司</w:t>
      </w:r>
      <w:r>
        <w:rPr>
          <w:rFonts w:ascii="Times New Roman" w:hAnsi="Times New Roman" w:eastAsia="Times New Roman"/>
        </w:rPr>
        <w:t>Haier U.S. Appliance Solutions, Inc.</w:t>
      </w:r>
      <w:r>
        <w:rPr/>
        <w:t>设定受益计划</w:t>
      </w:r>
    </w:p>
    <w:p>
      <w:pPr>
        <w:pStyle w:val="BodyText"/>
        <w:spacing w:line="440" w:lineRule="atLeast" w:before="119"/>
        <w:ind w:left="2039" w:right="1268"/>
      </w:pPr>
      <w:r>
        <w:rPr/>
        <w:t>子公司 </w:t>
      </w:r>
      <w:r>
        <w:rPr>
          <w:rFonts w:ascii="Times New Roman" w:eastAsia="Times New Roman"/>
        </w:rPr>
        <w:t>Haier U.S. Appliance Solutions, Inc.</w:t>
      </w:r>
      <w:r>
        <w:rPr/>
        <w:t>为符合条件的员工实施退休养老金的设定受益计划。</w:t>
      </w:r>
    </w:p>
    <w:p>
      <w:pPr>
        <w:spacing w:after="0" w:line="440" w:lineRule="atLeast"/>
        <w:sectPr>
          <w:pgSz w:w="11910" w:h="16840"/>
          <w:pgMar w:header="876" w:footer="1214" w:top="1440" w:bottom="1400" w:left="260" w:right="0"/>
        </w:sectPr>
      </w:pPr>
    </w:p>
    <w:p>
      <w:pPr>
        <w:pStyle w:val="BodyText"/>
        <w:spacing w:before="10"/>
        <w:rPr>
          <w:sz w:val="10"/>
        </w:rPr>
      </w:pPr>
    </w:p>
    <w:p>
      <w:pPr>
        <w:pStyle w:val="BodyText"/>
        <w:spacing w:before="72"/>
        <w:ind w:left="2039"/>
      </w:pPr>
      <w:r>
        <w:rPr/>
        <w:t>设定受益计划所使用的精算假设</w:t>
      </w:r>
    </w:p>
    <w:p>
      <w:pPr>
        <w:pStyle w:val="BodyText"/>
        <w:spacing w:before="8" w:after="1"/>
        <w:rPr>
          <w:sz w:val="11"/>
        </w:r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384"/>
        <w:gridCol w:w="3665"/>
      </w:tblGrid>
      <w:tr>
        <w:trPr>
          <w:trHeight w:val="368" w:hRule="atLeast"/>
        </w:trPr>
        <w:tc>
          <w:tcPr>
            <w:tcW w:w="5384" w:type="dxa"/>
            <w:tcBorders>
              <w:bottom w:val="single" w:sz="4" w:space="0" w:color="000000"/>
              <w:right w:val="single" w:sz="4" w:space="0" w:color="000000"/>
            </w:tcBorders>
          </w:tcPr>
          <w:p>
            <w:pPr>
              <w:pStyle w:val="TableParagraph"/>
              <w:spacing w:line="349" w:lineRule="exact"/>
              <w:ind w:left="2460" w:right="2444"/>
              <w:jc w:val="center"/>
              <w:rPr>
                <w:rFonts w:ascii="Microsoft JhengHei" w:eastAsia="Microsoft JhengHei" w:hint="eastAsia"/>
                <w:b/>
                <w:sz w:val="21"/>
              </w:rPr>
            </w:pPr>
            <w:r>
              <w:rPr>
                <w:rFonts w:ascii="Microsoft JhengHei" w:eastAsia="Microsoft JhengHei" w:hint="eastAsia"/>
                <w:b/>
                <w:sz w:val="21"/>
              </w:rPr>
              <w:t>项目</w:t>
            </w:r>
          </w:p>
        </w:tc>
        <w:tc>
          <w:tcPr>
            <w:tcW w:w="3665" w:type="dxa"/>
            <w:tcBorders>
              <w:left w:val="single" w:sz="4" w:space="0" w:color="000000"/>
              <w:bottom w:val="single" w:sz="4" w:space="0" w:color="000000"/>
            </w:tcBorders>
          </w:tcPr>
          <w:p>
            <w:pPr>
              <w:pStyle w:val="TableParagraph"/>
              <w:spacing w:line="349" w:lineRule="exact"/>
              <w:ind w:left="1547" w:right="1511"/>
              <w:jc w:val="center"/>
              <w:rPr>
                <w:rFonts w:ascii="Microsoft JhengHei" w:eastAsia="Microsoft JhengHei" w:hint="eastAsia"/>
                <w:b/>
                <w:sz w:val="21"/>
              </w:rPr>
            </w:pPr>
            <w:r>
              <w:rPr>
                <w:rFonts w:ascii="Microsoft JhengHei" w:eastAsia="Microsoft JhengHei" w:hint="eastAsia"/>
                <w:b/>
                <w:sz w:val="21"/>
              </w:rPr>
              <w:t>比率</w:t>
            </w:r>
          </w:p>
        </w:tc>
      </w:tr>
      <w:tr>
        <w:trPr>
          <w:trHeight w:val="366" w:hRule="atLeast"/>
        </w:trPr>
        <w:tc>
          <w:tcPr>
            <w:tcW w:w="5384" w:type="dxa"/>
            <w:tcBorders>
              <w:top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折现率</w:t>
            </w:r>
          </w:p>
        </w:tc>
        <w:tc>
          <w:tcPr>
            <w:tcW w:w="3665" w:type="dxa"/>
            <w:tcBorders>
              <w:top w:val="single" w:sz="4" w:space="0" w:color="000000"/>
              <w:left w:val="single" w:sz="4" w:space="0" w:color="000000"/>
            </w:tcBorders>
          </w:tcPr>
          <w:p>
            <w:pPr>
              <w:pStyle w:val="TableParagraph"/>
              <w:spacing w:before="58"/>
              <w:ind w:left="1550" w:right="1511"/>
              <w:jc w:val="center"/>
              <w:rPr>
                <w:sz w:val="21"/>
              </w:rPr>
            </w:pPr>
            <w:r>
              <w:rPr>
                <w:sz w:val="21"/>
              </w:rPr>
              <w:t>2.08%</w:t>
            </w:r>
          </w:p>
        </w:tc>
      </w:tr>
    </w:tbl>
    <w:p>
      <w:pPr>
        <w:pStyle w:val="BodyText"/>
        <w:spacing w:before="8"/>
        <w:rPr>
          <w:sz w:val="20"/>
        </w:rPr>
      </w:pPr>
    </w:p>
    <w:p>
      <w:pPr>
        <w:pStyle w:val="BodyText"/>
        <w:spacing w:before="1"/>
        <w:ind w:left="2039"/>
      </w:pPr>
      <w:r>
        <w:rPr>
          <w:spacing w:val="-3"/>
        </w:rPr>
        <w:t>设定受益义务现值</w:t>
      </w:r>
    </w:p>
    <w:p>
      <w:pPr>
        <w:pStyle w:val="BodyText"/>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343"/>
        <w:gridCol w:w="3706"/>
      </w:tblGrid>
      <w:tr>
        <w:trPr>
          <w:trHeight w:val="368" w:hRule="atLeast"/>
        </w:trPr>
        <w:tc>
          <w:tcPr>
            <w:tcW w:w="5343" w:type="dxa"/>
            <w:tcBorders>
              <w:bottom w:val="single" w:sz="4" w:space="0" w:color="000000"/>
              <w:right w:val="single" w:sz="4" w:space="0" w:color="000000"/>
            </w:tcBorders>
          </w:tcPr>
          <w:p>
            <w:pPr>
              <w:pStyle w:val="TableParagraph"/>
              <w:spacing w:line="349" w:lineRule="exact"/>
              <w:ind w:left="2441" w:right="2422"/>
              <w:jc w:val="center"/>
              <w:rPr>
                <w:rFonts w:ascii="Microsoft JhengHei" w:eastAsia="Microsoft JhengHei" w:hint="eastAsia"/>
                <w:b/>
                <w:sz w:val="21"/>
              </w:rPr>
            </w:pPr>
            <w:r>
              <w:rPr>
                <w:rFonts w:ascii="Microsoft JhengHei" w:eastAsia="Microsoft JhengHei" w:hint="eastAsia"/>
                <w:b/>
                <w:sz w:val="21"/>
              </w:rPr>
              <w:t>项目</w:t>
            </w:r>
          </w:p>
        </w:tc>
        <w:tc>
          <w:tcPr>
            <w:tcW w:w="3706" w:type="dxa"/>
            <w:tcBorders>
              <w:left w:val="single" w:sz="4" w:space="0" w:color="000000"/>
              <w:bottom w:val="single" w:sz="4" w:space="0" w:color="000000"/>
            </w:tcBorders>
          </w:tcPr>
          <w:p>
            <w:pPr>
              <w:pStyle w:val="TableParagraph"/>
              <w:spacing w:line="349" w:lineRule="exact"/>
              <w:ind w:left="1632" w:right="1593"/>
              <w:jc w:val="center"/>
              <w:rPr>
                <w:rFonts w:ascii="Microsoft JhengHei" w:eastAsia="Microsoft JhengHei" w:hint="eastAsia"/>
                <w:b/>
                <w:sz w:val="21"/>
              </w:rPr>
            </w:pPr>
            <w:r>
              <w:rPr>
                <w:rFonts w:ascii="Microsoft JhengHei" w:eastAsia="Microsoft JhengHei" w:hint="eastAsia"/>
                <w:b/>
                <w:sz w:val="21"/>
              </w:rPr>
              <w:t>金额</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一、期初余额</w:t>
            </w:r>
          </w:p>
        </w:tc>
        <w:tc>
          <w:tcPr>
            <w:tcW w:w="3706" w:type="dxa"/>
            <w:tcBorders>
              <w:top w:val="single" w:sz="4" w:space="0" w:color="000000"/>
              <w:left w:val="single" w:sz="4" w:space="0" w:color="000000"/>
              <w:bottom w:val="single" w:sz="4" w:space="0" w:color="000000"/>
            </w:tcBorders>
          </w:tcPr>
          <w:p>
            <w:pPr>
              <w:pStyle w:val="TableParagraph"/>
              <w:spacing w:before="58"/>
              <w:ind w:right="73"/>
              <w:jc w:val="right"/>
              <w:rPr>
                <w:sz w:val="21"/>
              </w:rPr>
            </w:pPr>
            <w:r>
              <w:rPr>
                <w:sz w:val="21"/>
              </w:rPr>
              <w:t>257,475,210.72</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二、非同一控制下企业合并</w:t>
            </w:r>
          </w:p>
        </w:tc>
        <w:tc>
          <w:tcPr>
            <w:tcW w:w="3706"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三、计入当期损益的设定受益成本</w:t>
            </w:r>
          </w:p>
        </w:tc>
        <w:tc>
          <w:tcPr>
            <w:tcW w:w="3706" w:type="dxa"/>
            <w:tcBorders>
              <w:top w:val="single" w:sz="4" w:space="0" w:color="000000"/>
              <w:left w:val="single" w:sz="4" w:space="0" w:color="000000"/>
              <w:bottom w:val="single" w:sz="4" w:space="0" w:color="000000"/>
            </w:tcBorders>
          </w:tcPr>
          <w:p>
            <w:pPr>
              <w:pStyle w:val="TableParagraph"/>
              <w:spacing w:before="58"/>
              <w:ind w:right="73"/>
              <w:jc w:val="right"/>
              <w:rPr>
                <w:sz w:val="21"/>
              </w:rPr>
            </w:pPr>
            <w:r>
              <w:rPr>
                <w:sz w:val="21"/>
              </w:rPr>
              <w:t>6,452,545.38</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sz w:val="21"/>
              </w:rPr>
              <w:t>1.</w:t>
            </w:r>
            <w:r>
              <w:rPr>
                <w:rFonts w:ascii="宋体" w:eastAsia="宋体" w:hint="eastAsia"/>
                <w:sz w:val="21"/>
              </w:rPr>
              <w:t>当期服务成本</w:t>
            </w:r>
          </w:p>
        </w:tc>
        <w:tc>
          <w:tcPr>
            <w:tcW w:w="3706"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sz w:val="21"/>
              </w:rPr>
              <w:t>2.</w:t>
            </w:r>
            <w:r>
              <w:rPr>
                <w:rFonts w:ascii="宋体" w:eastAsia="宋体" w:hint="eastAsia"/>
                <w:sz w:val="21"/>
              </w:rPr>
              <w:t>过去服务成本</w:t>
            </w:r>
          </w:p>
        </w:tc>
        <w:tc>
          <w:tcPr>
            <w:tcW w:w="3706" w:type="dxa"/>
            <w:tcBorders>
              <w:top w:val="single" w:sz="4" w:space="0" w:color="000000"/>
              <w:left w:val="single" w:sz="4" w:space="0" w:color="000000"/>
              <w:bottom w:val="single" w:sz="4" w:space="0" w:color="000000"/>
            </w:tcBorders>
          </w:tcPr>
          <w:p>
            <w:pPr>
              <w:pStyle w:val="TableParagraph"/>
              <w:rPr>
                <w:sz w:val="20"/>
              </w:rPr>
            </w:pPr>
          </w:p>
        </w:tc>
      </w:tr>
      <w:tr>
        <w:trPr>
          <w:trHeight w:val="366"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hAnsi="宋体" w:eastAsia="宋体" w:hint="eastAsia"/>
                <w:sz w:val="21"/>
              </w:rPr>
            </w:pPr>
            <w:r>
              <w:rPr>
                <w:sz w:val="21"/>
              </w:rPr>
              <w:t>3.</w:t>
            </w:r>
            <w:r>
              <w:rPr>
                <w:rFonts w:ascii="宋体" w:hAnsi="宋体" w:eastAsia="宋体" w:hint="eastAsia"/>
                <w:sz w:val="21"/>
              </w:rPr>
              <w:t>结算利得（损失以</w:t>
            </w:r>
            <w:r>
              <w:rPr>
                <w:sz w:val="21"/>
              </w:rPr>
              <w:t>“</w:t>
            </w:r>
            <w:r>
              <w:rPr>
                <w:rFonts w:ascii="宋体" w:hAnsi="宋体" w:eastAsia="宋体" w:hint="eastAsia"/>
                <w:sz w:val="21"/>
              </w:rPr>
              <w:t>－</w:t>
            </w:r>
            <w:r>
              <w:rPr>
                <w:sz w:val="21"/>
              </w:rPr>
              <w:t>”</w:t>
            </w:r>
            <w:r>
              <w:rPr>
                <w:rFonts w:ascii="宋体" w:hAnsi="宋体" w:eastAsia="宋体" w:hint="eastAsia"/>
                <w:sz w:val="21"/>
              </w:rPr>
              <w:t>表示）</w:t>
            </w:r>
          </w:p>
        </w:tc>
        <w:tc>
          <w:tcPr>
            <w:tcW w:w="3706"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sz w:val="21"/>
              </w:rPr>
              <w:t>4</w:t>
            </w:r>
            <w:r>
              <w:rPr>
                <w:rFonts w:ascii="宋体" w:eastAsia="宋体" w:hint="eastAsia"/>
                <w:sz w:val="21"/>
              </w:rPr>
              <w:t>、利息费用</w:t>
            </w:r>
          </w:p>
        </w:tc>
        <w:tc>
          <w:tcPr>
            <w:tcW w:w="3706"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6,452,545.38</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四、计入其他综合收益的设定受益成本</w:t>
            </w:r>
          </w:p>
        </w:tc>
        <w:tc>
          <w:tcPr>
            <w:tcW w:w="3706"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9,842,028.66</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51"/>
              <w:ind w:left="107"/>
              <w:rPr>
                <w:rFonts w:ascii="宋体" w:hAnsi="宋体" w:eastAsia="宋体" w:hint="eastAsia"/>
                <w:sz w:val="21"/>
              </w:rPr>
            </w:pPr>
            <w:r>
              <w:rPr>
                <w:sz w:val="21"/>
              </w:rPr>
              <w:t>1.</w:t>
            </w:r>
            <w:r>
              <w:rPr>
                <w:rFonts w:ascii="宋体" w:hAnsi="宋体" w:eastAsia="宋体" w:hint="eastAsia"/>
                <w:sz w:val="21"/>
              </w:rPr>
              <w:t>精算损失（利得以</w:t>
            </w:r>
            <w:r>
              <w:rPr>
                <w:sz w:val="21"/>
              </w:rPr>
              <w:t>“</w:t>
            </w:r>
            <w:r>
              <w:rPr>
                <w:rFonts w:ascii="宋体" w:hAnsi="宋体" w:eastAsia="宋体" w:hint="eastAsia"/>
                <w:sz w:val="21"/>
              </w:rPr>
              <w:t>－</w:t>
            </w:r>
            <w:r>
              <w:rPr>
                <w:sz w:val="21"/>
              </w:rPr>
              <w:t>”</w:t>
            </w:r>
            <w:r>
              <w:rPr>
                <w:rFonts w:ascii="宋体" w:hAnsi="宋体" w:eastAsia="宋体" w:hint="eastAsia"/>
                <w:sz w:val="21"/>
              </w:rPr>
              <w:t>表示）</w:t>
            </w:r>
          </w:p>
        </w:tc>
        <w:tc>
          <w:tcPr>
            <w:tcW w:w="3706"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9,842,028.66</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七、其他变动</w:t>
            </w:r>
          </w:p>
        </w:tc>
        <w:tc>
          <w:tcPr>
            <w:tcW w:w="3706" w:type="dxa"/>
            <w:tcBorders>
              <w:top w:val="single" w:sz="4" w:space="0" w:color="000000"/>
              <w:left w:val="single" w:sz="4" w:space="0" w:color="000000"/>
              <w:bottom w:val="single" w:sz="4" w:space="0" w:color="000000"/>
            </w:tcBorders>
          </w:tcPr>
          <w:p>
            <w:pPr>
              <w:pStyle w:val="TableParagraph"/>
              <w:spacing w:before="58"/>
              <w:ind w:right="76"/>
              <w:jc w:val="right"/>
              <w:rPr>
                <w:sz w:val="21"/>
              </w:rPr>
            </w:pPr>
            <w:r>
              <w:rPr>
                <w:sz w:val="21"/>
              </w:rPr>
              <w:t>-49,483,263.67</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sz w:val="21"/>
              </w:rPr>
              <w:t>1.</w:t>
            </w:r>
            <w:r>
              <w:rPr>
                <w:rFonts w:ascii="宋体" w:eastAsia="宋体" w:hint="eastAsia"/>
                <w:sz w:val="21"/>
              </w:rPr>
              <w:t>结算时支付的对价</w:t>
            </w:r>
          </w:p>
        </w:tc>
        <w:tc>
          <w:tcPr>
            <w:tcW w:w="3706"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sz w:val="21"/>
              </w:rPr>
              <w:t>2.</w:t>
            </w:r>
            <w:r>
              <w:rPr>
                <w:rFonts w:ascii="宋体" w:eastAsia="宋体" w:hint="eastAsia"/>
                <w:sz w:val="21"/>
              </w:rPr>
              <w:t>已支付的福利</w:t>
            </w:r>
          </w:p>
        </w:tc>
        <w:tc>
          <w:tcPr>
            <w:tcW w:w="3706" w:type="dxa"/>
            <w:tcBorders>
              <w:top w:val="single" w:sz="4" w:space="0" w:color="000000"/>
              <w:left w:val="single" w:sz="4" w:space="0" w:color="000000"/>
              <w:bottom w:val="single" w:sz="4" w:space="0" w:color="000000"/>
            </w:tcBorders>
          </w:tcPr>
          <w:p>
            <w:pPr>
              <w:pStyle w:val="TableParagraph"/>
              <w:spacing w:before="58"/>
              <w:ind w:right="76"/>
              <w:jc w:val="right"/>
              <w:rPr>
                <w:sz w:val="21"/>
              </w:rPr>
            </w:pPr>
            <w:r>
              <w:rPr>
                <w:sz w:val="21"/>
              </w:rPr>
              <w:t>-45,032,328.14</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sz w:val="21"/>
              </w:rPr>
              <w:t>3.</w:t>
            </w:r>
            <w:r>
              <w:rPr>
                <w:rFonts w:ascii="宋体" w:eastAsia="宋体" w:hint="eastAsia"/>
                <w:sz w:val="21"/>
              </w:rPr>
              <w:t>汇兑差额</w:t>
            </w:r>
          </w:p>
        </w:tc>
        <w:tc>
          <w:tcPr>
            <w:tcW w:w="3706" w:type="dxa"/>
            <w:tcBorders>
              <w:top w:val="single" w:sz="4" w:space="0" w:color="000000"/>
              <w:left w:val="single" w:sz="4" w:space="0" w:color="000000"/>
              <w:bottom w:val="single" w:sz="4" w:space="0" w:color="000000"/>
            </w:tcBorders>
          </w:tcPr>
          <w:p>
            <w:pPr>
              <w:pStyle w:val="TableParagraph"/>
              <w:spacing w:before="58"/>
              <w:ind w:right="76"/>
              <w:jc w:val="right"/>
              <w:rPr>
                <w:sz w:val="21"/>
              </w:rPr>
            </w:pPr>
            <w:r>
              <w:rPr>
                <w:sz w:val="21"/>
              </w:rPr>
              <w:t>-4,450,935.53</w:t>
            </w:r>
          </w:p>
        </w:tc>
      </w:tr>
      <w:tr>
        <w:trPr>
          <w:trHeight w:val="366" w:hRule="atLeast"/>
        </w:trPr>
        <w:tc>
          <w:tcPr>
            <w:tcW w:w="5343" w:type="dxa"/>
            <w:tcBorders>
              <w:top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六、期末余额</w:t>
            </w:r>
          </w:p>
        </w:tc>
        <w:tc>
          <w:tcPr>
            <w:tcW w:w="3706" w:type="dxa"/>
            <w:tcBorders>
              <w:top w:val="single" w:sz="4" w:space="0" w:color="000000"/>
              <w:left w:val="single" w:sz="4" w:space="0" w:color="000000"/>
            </w:tcBorders>
          </w:tcPr>
          <w:p>
            <w:pPr>
              <w:pStyle w:val="TableParagraph"/>
              <w:spacing w:before="58"/>
              <w:ind w:right="73"/>
              <w:jc w:val="right"/>
              <w:rPr>
                <w:sz w:val="21"/>
              </w:rPr>
            </w:pPr>
            <w:r>
              <w:rPr>
                <w:sz w:val="21"/>
              </w:rPr>
              <w:t>224,286,521.09</w:t>
            </w:r>
          </w:p>
        </w:tc>
      </w:tr>
    </w:tbl>
    <w:p>
      <w:pPr>
        <w:pStyle w:val="BodyText"/>
        <w:spacing w:before="8"/>
        <w:rPr>
          <w:sz w:val="20"/>
        </w:rPr>
      </w:pPr>
    </w:p>
    <w:p>
      <w:pPr>
        <w:pStyle w:val="BodyText"/>
        <w:spacing w:before="1"/>
        <w:ind w:left="2039"/>
      </w:pPr>
      <w:r>
        <w:rPr>
          <w:spacing w:val="-3"/>
        </w:rPr>
        <w:t>计划资产公允价值</w:t>
      </w:r>
    </w:p>
    <w:p>
      <w:pPr>
        <w:pStyle w:val="BodyText"/>
        <w:spacing w:before="8"/>
        <w:rPr>
          <w:sz w:val="11"/>
        </w:r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343"/>
        <w:gridCol w:w="3706"/>
      </w:tblGrid>
      <w:tr>
        <w:trPr>
          <w:trHeight w:val="368" w:hRule="atLeast"/>
        </w:trPr>
        <w:tc>
          <w:tcPr>
            <w:tcW w:w="5343" w:type="dxa"/>
            <w:tcBorders>
              <w:bottom w:val="single" w:sz="4" w:space="0" w:color="000000"/>
              <w:right w:val="single" w:sz="4" w:space="0" w:color="000000"/>
            </w:tcBorders>
          </w:tcPr>
          <w:p>
            <w:pPr>
              <w:pStyle w:val="TableParagraph"/>
              <w:spacing w:line="349" w:lineRule="exact"/>
              <w:ind w:left="2441" w:right="2422"/>
              <w:jc w:val="center"/>
              <w:rPr>
                <w:rFonts w:ascii="Microsoft JhengHei" w:eastAsia="Microsoft JhengHei" w:hint="eastAsia"/>
                <w:b/>
                <w:sz w:val="21"/>
              </w:rPr>
            </w:pPr>
            <w:r>
              <w:rPr>
                <w:rFonts w:ascii="Microsoft JhengHei" w:eastAsia="Microsoft JhengHei" w:hint="eastAsia"/>
                <w:b/>
                <w:sz w:val="21"/>
              </w:rPr>
              <w:t>项目</w:t>
            </w:r>
          </w:p>
        </w:tc>
        <w:tc>
          <w:tcPr>
            <w:tcW w:w="3706" w:type="dxa"/>
            <w:tcBorders>
              <w:left w:val="single" w:sz="4" w:space="0" w:color="000000"/>
              <w:bottom w:val="single" w:sz="4" w:space="0" w:color="000000"/>
            </w:tcBorders>
          </w:tcPr>
          <w:p>
            <w:pPr>
              <w:pStyle w:val="TableParagraph"/>
              <w:spacing w:line="349" w:lineRule="exact"/>
              <w:ind w:left="1632" w:right="1593"/>
              <w:jc w:val="center"/>
              <w:rPr>
                <w:rFonts w:ascii="Microsoft JhengHei" w:eastAsia="Microsoft JhengHei" w:hint="eastAsia"/>
                <w:b/>
                <w:sz w:val="21"/>
              </w:rPr>
            </w:pPr>
            <w:r>
              <w:rPr>
                <w:rFonts w:ascii="Microsoft JhengHei" w:eastAsia="Microsoft JhengHei" w:hint="eastAsia"/>
                <w:b/>
                <w:sz w:val="21"/>
              </w:rPr>
              <w:t>金额</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一、期初余额</w:t>
            </w:r>
          </w:p>
        </w:tc>
        <w:tc>
          <w:tcPr>
            <w:tcW w:w="3706" w:type="dxa"/>
            <w:tcBorders>
              <w:top w:val="single" w:sz="4" w:space="0" w:color="000000"/>
              <w:left w:val="single" w:sz="4" w:space="0" w:color="000000"/>
              <w:bottom w:val="single" w:sz="4" w:space="0" w:color="000000"/>
            </w:tcBorders>
          </w:tcPr>
          <w:p>
            <w:pPr>
              <w:pStyle w:val="TableParagraph"/>
              <w:spacing w:before="58"/>
              <w:ind w:right="73"/>
              <w:jc w:val="right"/>
              <w:rPr>
                <w:sz w:val="21"/>
              </w:rPr>
            </w:pPr>
            <w:r>
              <w:rPr>
                <w:sz w:val="21"/>
              </w:rPr>
              <w:t>184,922,772.57</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二、计入当期损益的设定受益成本</w:t>
            </w:r>
          </w:p>
        </w:tc>
        <w:tc>
          <w:tcPr>
            <w:tcW w:w="3706"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sz w:val="21"/>
              </w:rPr>
              <w:t>1</w:t>
            </w:r>
            <w:r>
              <w:rPr>
                <w:rFonts w:ascii="宋体" w:eastAsia="宋体" w:hint="eastAsia"/>
                <w:sz w:val="21"/>
              </w:rPr>
              <w:t>、利息收益</w:t>
            </w:r>
          </w:p>
        </w:tc>
        <w:tc>
          <w:tcPr>
            <w:tcW w:w="3706"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三、计入其他综合收益的设定受益成本</w:t>
            </w:r>
          </w:p>
        </w:tc>
        <w:tc>
          <w:tcPr>
            <w:tcW w:w="3706" w:type="dxa"/>
            <w:tcBorders>
              <w:top w:val="single" w:sz="4" w:space="0" w:color="000000"/>
              <w:left w:val="single" w:sz="4" w:space="0" w:color="000000"/>
              <w:bottom w:val="single" w:sz="4" w:space="0" w:color="000000"/>
            </w:tcBorders>
          </w:tcPr>
          <w:p>
            <w:pPr>
              <w:pStyle w:val="TableParagraph"/>
              <w:spacing w:before="55"/>
              <w:ind w:right="75"/>
              <w:jc w:val="right"/>
              <w:rPr>
                <w:sz w:val="21"/>
              </w:rPr>
            </w:pPr>
            <w:r>
              <w:rPr>
                <w:sz w:val="21"/>
              </w:rPr>
              <w:t>9,666,097.78</w:t>
            </w:r>
          </w:p>
        </w:tc>
      </w:tr>
      <w:tr>
        <w:trPr>
          <w:trHeight w:val="366"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sz w:val="21"/>
              </w:rPr>
              <w:t>1.</w:t>
            </w:r>
            <w:r>
              <w:rPr>
                <w:rFonts w:ascii="宋体" w:eastAsia="宋体" w:hint="eastAsia"/>
                <w:sz w:val="21"/>
              </w:rPr>
              <w:t>计划资产回报（计入利息净额的除外）</w:t>
            </w:r>
          </w:p>
        </w:tc>
        <w:tc>
          <w:tcPr>
            <w:tcW w:w="3706" w:type="dxa"/>
            <w:tcBorders>
              <w:top w:val="single" w:sz="4" w:space="0" w:color="000000"/>
              <w:left w:val="single" w:sz="4" w:space="0" w:color="000000"/>
              <w:bottom w:val="single" w:sz="4" w:space="0" w:color="000000"/>
            </w:tcBorders>
          </w:tcPr>
          <w:p>
            <w:pPr>
              <w:pStyle w:val="TableParagraph"/>
              <w:spacing w:before="55"/>
              <w:ind w:right="75"/>
              <w:jc w:val="right"/>
              <w:rPr>
                <w:sz w:val="21"/>
              </w:rPr>
            </w:pPr>
            <w:r>
              <w:rPr>
                <w:sz w:val="21"/>
              </w:rPr>
              <w:t>9,666,097.78</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52"/>
              <w:ind w:left="107"/>
              <w:rPr>
                <w:rFonts w:ascii="宋体" w:eastAsia="宋体" w:hint="eastAsia"/>
                <w:sz w:val="21"/>
              </w:rPr>
            </w:pPr>
            <w:r>
              <w:rPr>
                <w:sz w:val="21"/>
              </w:rPr>
              <w:t>2.</w:t>
            </w:r>
            <w:r>
              <w:rPr>
                <w:rFonts w:ascii="宋体" w:eastAsia="宋体" w:hint="eastAsia"/>
                <w:sz w:val="21"/>
              </w:rPr>
              <w:t>资产上限影响的变动（计入利息净额的除外）</w:t>
            </w:r>
          </w:p>
        </w:tc>
        <w:tc>
          <w:tcPr>
            <w:tcW w:w="3706"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四、其他变动</w:t>
            </w:r>
          </w:p>
        </w:tc>
        <w:tc>
          <w:tcPr>
            <w:tcW w:w="3706" w:type="dxa"/>
            <w:tcBorders>
              <w:top w:val="single" w:sz="4" w:space="0" w:color="000000"/>
              <w:left w:val="single" w:sz="4" w:space="0" w:color="000000"/>
              <w:bottom w:val="single" w:sz="4" w:space="0" w:color="000000"/>
            </w:tcBorders>
          </w:tcPr>
          <w:p>
            <w:pPr>
              <w:pStyle w:val="TableParagraph"/>
              <w:spacing w:before="58"/>
              <w:ind w:right="73"/>
              <w:jc w:val="right"/>
              <w:rPr>
                <w:sz w:val="21"/>
              </w:rPr>
            </w:pPr>
            <w:r>
              <w:rPr>
                <w:sz w:val="21"/>
              </w:rPr>
              <w:t>-34,179,842.84</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sz w:val="21"/>
              </w:rPr>
              <w:t>1.</w:t>
            </w:r>
            <w:r>
              <w:rPr>
                <w:rFonts w:ascii="宋体" w:eastAsia="宋体" w:hint="eastAsia"/>
                <w:sz w:val="21"/>
              </w:rPr>
              <w:t>雇主缴存</w:t>
            </w:r>
          </w:p>
        </w:tc>
        <w:tc>
          <w:tcPr>
            <w:tcW w:w="3706"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14,086,065.04</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sz w:val="21"/>
              </w:rPr>
              <w:t>2.</w:t>
            </w:r>
            <w:r>
              <w:rPr>
                <w:rFonts w:ascii="宋体" w:eastAsia="宋体" w:hint="eastAsia"/>
                <w:sz w:val="21"/>
              </w:rPr>
              <w:t>已支付的福利</w:t>
            </w:r>
          </w:p>
        </w:tc>
        <w:tc>
          <w:tcPr>
            <w:tcW w:w="3706" w:type="dxa"/>
            <w:tcBorders>
              <w:top w:val="single" w:sz="4" w:space="0" w:color="000000"/>
              <w:left w:val="single" w:sz="4" w:space="0" w:color="000000"/>
              <w:bottom w:val="single" w:sz="4" w:space="0" w:color="000000"/>
            </w:tcBorders>
          </w:tcPr>
          <w:p>
            <w:pPr>
              <w:pStyle w:val="TableParagraph"/>
              <w:spacing w:before="58"/>
              <w:ind w:right="76"/>
              <w:jc w:val="right"/>
              <w:rPr>
                <w:sz w:val="21"/>
              </w:rPr>
            </w:pPr>
            <w:r>
              <w:rPr>
                <w:sz w:val="21"/>
              </w:rPr>
              <w:t>-45,032,328.14</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sz w:val="21"/>
              </w:rPr>
              <w:t>3.</w:t>
            </w:r>
            <w:r>
              <w:rPr>
                <w:rFonts w:ascii="宋体" w:eastAsia="宋体" w:hint="eastAsia"/>
                <w:sz w:val="21"/>
              </w:rPr>
              <w:t>汇兑差额</w:t>
            </w:r>
          </w:p>
        </w:tc>
        <w:tc>
          <w:tcPr>
            <w:tcW w:w="3706" w:type="dxa"/>
            <w:tcBorders>
              <w:top w:val="single" w:sz="4" w:space="0" w:color="000000"/>
              <w:left w:val="single" w:sz="4" w:space="0" w:color="000000"/>
              <w:bottom w:val="single" w:sz="4" w:space="0" w:color="000000"/>
            </w:tcBorders>
          </w:tcPr>
          <w:p>
            <w:pPr>
              <w:pStyle w:val="TableParagraph"/>
              <w:spacing w:before="58"/>
              <w:ind w:right="73"/>
              <w:jc w:val="right"/>
              <w:rPr>
                <w:sz w:val="21"/>
              </w:rPr>
            </w:pPr>
            <w:r>
              <w:rPr>
                <w:sz w:val="21"/>
              </w:rPr>
              <w:t>-3,233,579.74</w:t>
            </w:r>
          </w:p>
        </w:tc>
      </w:tr>
      <w:tr>
        <w:trPr>
          <w:trHeight w:val="366" w:hRule="atLeast"/>
        </w:trPr>
        <w:tc>
          <w:tcPr>
            <w:tcW w:w="5343" w:type="dxa"/>
            <w:tcBorders>
              <w:top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七、期末余额</w:t>
            </w:r>
          </w:p>
        </w:tc>
        <w:tc>
          <w:tcPr>
            <w:tcW w:w="3706" w:type="dxa"/>
            <w:tcBorders>
              <w:top w:val="single" w:sz="4" w:space="0" w:color="000000"/>
              <w:left w:val="single" w:sz="4" w:space="0" w:color="000000"/>
            </w:tcBorders>
          </w:tcPr>
          <w:p>
            <w:pPr>
              <w:pStyle w:val="TableParagraph"/>
              <w:spacing w:before="58"/>
              <w:ind w:right="73"/>
              <w:jc w:val="right"/>
              <w:rPr>
                <w:sz w:val="21"/>
              </w:rPr>
            </w:pPr>
            <w:r>
              <w:rPr>
                <w:sz w:val="21"/>
              </w:rPr>
              <w:t>160,409,027.51</w:t>
            </w:r>
          </w:p>
        </w:tc>
      </w:tr>
    </w:tbl>
    <w:p>
      <w:pPr>
        <w:pStyle w:val="BodyText"/>
        <w:spacing w:before="8"/>
        <w:rPr>
          <w:sz w:val="20"/>
        </w:rPr>
      </w:pPr>
    </w:p>
    <w:p>
      <w:pPr>
        <w:pStyle w:val="BodyText"/>
        <w:spacing w:before="1"/>
        <w:ind w:left="2039"/>
      </w:pPr>
      <w:r>
        <w:rPr/>
        <w:t>设定受益计划净负债（净资产）</w:t>
      </w:r>
    </w:p>
    <w:p>
      <w:pPr>
        <w:spacing w:after="0"/>
        <w:sectPr>
          <w:pgSz w:w="11910" w:h="16840"/>
          <w:pgMar w:header="876" w:footer="1214" w:top="1440" w:bottom="1400" w:left="260" w:right="0"/>
        </w:sectPr>
      </w:pPr>
    </w:p>
    <w:p>
      <w:pPr>
        <w:pStyle w:val="BodyText"/>
        <w:spacing w:before="2"/>
        <w:rPr>
          <w:sz w:val="5"/>
        </w:r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343"/>
        <w:gridCol w:w="3706"/>
      </w:tblGrid>
      <w:tr>
        <w:trPr>
          <w:trHeight w:val="371" w:hRule="atLeast"/>
        </w:trPr>
        <w:tc>
          <w:tcPr>
            <w:tcW w:w="5343" w:type="dxa"/>
            <w:tcBorders>
              <w:bottom w:val="single" w:sz="4" w:space="0" w:color="000000"/>
              <w:right w:val="single" w:sz="4" w:space="0" w:color="000000"/>
            </w:tcBorders>
          </w:tcPr>
          <w:p>
            <w:pPr>
              <w:pStyle w:val="TableParagraph"/>
              <w:spacing w:line="352" w:lineRule="exact"/>
              <w:ind w:left="2441" w:right="2422"/>
              <w:jc w:val="center"/>
              <w:rPr>
                <w:rFonts w:ascii="Microsoft JhengHei" w:eastAsia="Microsoft JhengHei" w:hint="eastAsia"/>
                <w:b/>
                <w:sz w:val="21"/>
              </w:rPr>
            </w:pPr>
            <w:r>
              <w:rPr>
                <w:rFonts w:ascii="Microsoft JhengHei" w:eastAsia="Microsoft JhengHei" w:hint="eastAsia"/>
                <w:b/>
                <w:sz w:val="21"/>
              </w:rPr>
              <w:t>项目</w:t>
            </w:r>
          </w:p>
        </w:tc>
        <w:tc>
          <w:tcPr>
            <w:tcW w:w="3706" w:type="dxa"/>
            <w:tcBorders>
              <w:left w:val="single" w:sz="4" w:space="0" w:color="000000"/>
              <w:bottom w:val="single" w:sz="4" w:space="0" w:color="000000"/>
            </w:tcBorders>
          </w:tcPr>
          <w:p>
            <w:pPr>
              <w:pStyle w:val="TableParagraph"/>
              <w:spacing w:line="352" w:lineRule="exact"/>
              <w:ind w:left="1632" w:right="1593"/>
              <w:jc w:val="center"/>
              <w:rPr>
                <w:rFonts w:ascii="Microsoft JhengHei" w:eastAsia="Microsoft JhengHei" w:hint="eastAsia"/>
                <w:b/>
                <w:sz w:val="21"/>
              </w:rPr>
            </w:pPr>
            <w:r>
              <w:rPr>
                <w:rFonts w:ascii="Microsoft JhengHei" w:eastAsia="Microsoft JhengHei" w:hint="eastAsia"/>
                <w:b/>
                <w:sz w:val="21"/>
              </w:rPr>
              <w:t>金额</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一、期初余额</w:t>
            </w:r>
          </w:p>
        </w:tc>
        <w:tc>
          <w:tcPr>
            <w:tcW w:w="3706" w:type="dxa"/>
            <w:tcBorders>
              <w:top w:val="single" w:sz="4" w:space="0" w:color="000000"/>
              <w:left w:val="single" w:sz="4" w:space="0" w:color="000000"/>
              <w:bottom w:val="single" w:sz="4" w:space="0" w:color="000000"/>
            </w:tcBorders>
          </w:tcPr>
          <w:p>
            <w:pPr>
              <w:pStyle w:val="TableParagraph"/>
              <w:spacing w:before="55"/>
              <w:ind w:right="75"/>
              <w:jc w:val="right"/>
              <w:rPr>
                <w:sz w:val="21"/>
              </w:rPr>
            </w:pPr>
            <w:r>
              <w:rPr>
                <w:sz w:val="21"/>
              </w:rPr>
              <w:t>72,552,438.15</w:t>
            </w:r>
          </w:p>
        </w:tc>
      </w:tr>
      <w:tr>
        <w:trPr>
          <w:trHeight w:val="366" w:hRule="atLeast"/>
        </w:trPr>
        <w:tc>
          <w:tcPr>
            <w:tcW w:w="534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二、非同一控制下企业合并</w:t>
            </w:r>
          </w:p>
        </w:tc>
        <w:tc>
          <w:tcPr>
            <w:tcW w:w="3706"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三、计入当期损益的设定受益成本</w:t>
            </w:r>
          </w:p>
        </w:tc>
        <w:tc>
          <w:tcPr>
            <w:tcW w:w="3706"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6,452,545.38</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四、计入其他综合收益的设定受益成本</w:t>
            </w:r>
          </w:p>
        </w:tc>
        <w:tc>
          <w:tcPr>
            <w:tcW w:w="3706" w:type="dxa"/>
            <w:tcBorders>
              <w:top w:val="single" w:sz="4" w:space="0" w:color="000000"/>
              <w:left w:val="single" w:sz="4" w:space="0" w:color="000000"/>
              <w:bottom w:val="single" w:sz="4" w:space="0" w:color="000000"/>
            </w:tcBorders>
          </w:tcPr>
          <w:p>
            <w:pPr>
              <w:pStyle w:val="TableParagraph"/>
              <w:spacing w:before="58"/>
              <w:ind w:right="73"/>
              <w:jc w:val="right"/>
              <w:rPr>
                <w:sz w:val="21"/>
              </w:rPr>
            </w:pPr>
            <w:r>
              <w:rPr>
                <w:sz w:val="21"/>
              </w:rPr>
              <w:t>175,930.88</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七、其他变动</w:t>
            </w:r>
          </w:p>
        </w:tc>
        <w:tc>
          <w:tcPr>
            <w:tcW w:w="3706" w:type="dxa"/>
            <w:tcBorders>
              <w:top w:val="single" w:sz="4" w:space="0" w:color="000000"/>
              <w:left w:val="single" w:sz="4" w:space="0" w:color="000000"/>
              <w:bottom w:val="single" w:sz="4" w:space="0" w:color="000000"/>
            </w:tcBorders>
          </w:tcPr>
          <w:p>
            <w:pPr>
              <w:pStyle w:val="TableParagraph"/>
              <w:spacing w:before="58"/>
              <w:ind w:right="76"/>
              <w:jc w:val="right"/>
              <w:rPr>
                <w:sz w:val="21"/>
              </w:rPr>
            </w:pPr>
            <w:r>
              <w:rPr>
                <w:sz w:val="21"/>
              </w:rPr>
              <w:t>-15,303,420.83</w:t>
            </w:r>
          </w:p>
        </w:tc>
      </w:tr>
      <w:tr>
        <w:trPr>
          <w:trHeight w:val="368" w:hRule="atLeast"/>
        </w:trPr>
        <w:tc>
          <w:tcPr>
            <w:tcW w:w="5343" w:type="dxa"/>
            <w:tcBorders>
              <w:top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六、期末余额</w:t>
            </w:r>
          </w:p>
        </w:tc>
        <w:tc>
          <w:tcPr>
            <w:tcW w:w="3706" w:type="dxa"/>
            <w:tcBorders>
              <w:top w:val="single" w:sz="4" w:space="0" w:color="000000"/>
              <w:left w:val="single" w:sz="4" w:space="0" w:color="000000"/>
            </w:tcBorders>
          </w:tcPr>
          <w:p>
            <w:pPr>
              <w:pStyle w:val="TableParagraph"/>
              <w:spacing w:before="58"/>
              <w:ind w:right="75"/>
              <w:jc w:val="right"/>
              <w:rPr>
                <w:sz w:val="21"/>
              </w:rPr>
            </w:pPr>
            <w:r>
              <w:rPr>
                <w:sz w:val="21"/>
              </w:rPr>
              <w:t>63,877,493.58</w:t>
            </w:r>
          </w:p>
        </w:tc>
      </w:tr>
    </w:tbl>
    <w:p>
      <w:pPr>
        <w:pStyle w:val="BodyText"/>
        <w:spacing w:before="8"/>
        <w:rPr>
          <w:sz w:val="14"/>
        </w:rPr>
      </w:pPr>
    </w:p>
    <w:p>
      <w:pPr>
        <w:pStyle w:val="ListParagraph"/>
        <w:numPr>
          <w:ilvl w:val="0"/>
          <w:numId w:val="62"/>
        </w:numPr>
        <w:tabs>
          <w:tab w:pos="2487" w:val="left" w:leader="none"/>
        </w:tabs>
        <w:spacing w:line="240" w:lineRule="auto" w:before="78" w:after="0"/>
        <w:ind w:left="2487" w:right="0" w:hanging="529"/>
        <w:jc w:val="left"/>
        <w:rPr>
          <w:sz w:val="21"/>
        </w:rPr>
      </w:pPr>
      <w:r>
        <w:rPr>
          <w:spacing w:val="-3"/>
          <w:sz w:val="21"/>
        </w:rPr>
        <w:t>工伤补偿准备金</w:t>
      </w:r>
    </w:p>
    <w:p>
      <w:pPr>
        <w:pStyle w:val="BodyText"/>
        <w:spacing w:before="9"/>
        <w:rPr>
          <w:sz w:val="22"/>
        </w:rPr>
      </w:pPr>
    </w:p>
    <w:p>
      <w:pPr>
        <w:pStyle w:val="BodyText"/>
        <w:spacing w:line="393" w:lineRule="auto"/>
        <w:ind w:left="1538" w:right="1268" w:firstLine="419"/>
        <w:jc w:val="both"/>
      </w:pPr>
      <w:r>
        <w:rPr>
          <w:spacing w:val="12"/>
        </w:rPr>
        <w:t>子公司</w:t>
      </w:r>
      <w:r>
        <w:rPr>
          <w:rFonts w:ascii="Times New Roman" w:eastAsia="Times New Roman"/>
        </w:rPr>
        <w:t>Haier U.S. Appliance Solutions, Inc.</w:t>
      </w:r>
      <w:r>
        <w:rPr>
          <w:spacing w:val="-21"/>
        </w:rPr>
        <w:t>对自 </w:t>
      </w:r>
      <w:r>
        <w:rPr>
          <w:rFonts w:ascii="Times New Roman" w:eastAsia="Times New Roman"/>
        </w:rPr>
        <w:t>1991 </w:t>
      </w:r>
      <w:r>
        <w:rPr>
          <w:spacing w:val="-32"/>
        </w:rPr>
        <w:t>年 </w:t>
      </w:r>
      <w:r>
        <w:rPr>
          <w:rFonts w:ascii="Times New Roman" w:eastAsia="Times New Roman"/>
        </w:rPr>
        <w:t>1 </w:t>
      </w:r>
      <w:r>
        <w:rPr>
          <w:spacing w:val="-32"/>
        </w:rPr>
        <w:t>月 </w:t>
      </w:r>
      <w:r>
        <w:rPr>
          <w:rFonts w:ascii="Times New Roman" w:eastAsia="Times New Roman"/>
        </w:rPr>
        <w:t>1 </w:t>
      </w:r>
      <w:r>
        <w:rPr>
          <w:spacing w:val="-3"/>
        </w:rPr>
        <w:t>日起因生产事故造成的伤残人员</w:t>
      </w:r>
      <w:r>
        <w:rPr>
          <w:spacing w:val="-10"/>
        </w:rPr>
        <w:t>计提工伤索赔准备金，用来支付事故中受伤员工的索赔支出。该准备金应计金额由 </w:t>
      </w:r>
      <w:r>
        <w:rPr>
          <w:rFonts w:ascii="Times New Roman" w:eastAsia="Times New Roman"/>
        </w:rPr>
        <w:t>Beechercarlson Insurance Services</w:t>
      </w:r>
      <w:r>
        <w:rPr>
          <w:rFonts w:ascii="Times New Roman" w:eastAsia="Times New Roman"/>
          <w:spacing w:val="1"/>
        </w:rPr>
        <w:t>, </w:t>
      </w:r>
      <w:r>
        <w:rPr>
          <w:rFonts w:ascii="Times New Roman" w:eastAsia="Times New Roman"/>
        </w:rPr>
        <w:t>LLC.</w:t>
      </w:r>
      <w:r>
        <w:rPr>
          <w:spacing w:val="-6"/>
        </w:rPr>
        <w:t>采用精算的方式编制。精算中使用的折现率为 </w:t>
      </w:r>
      <w:r>
        <w:rPr>
          <w:rFonts w:ascii="Times New Roman" w:eastAsia="Times New Roman"/>
        </w:rPr>
        <w:t>3.72%</w:t>
      </w:r>
      <w:r>
        <w:rPr/>
        <w:t>。</w:t>
      </w: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343"/>
        <w:gridCol w:w="3706"/>
      </w:tblGrid>
      <w:tr>
        <w:trPr>
          <w:trHeight w:val="368" w:hRule="atLeast"/>
        </w:trPr>
        <w:tc>
          <w:tcPr>
            <w:tcW w:w="5343" w:type="dxa"/>
            <w:tcBorders>
              <w:bottom w:val="single" w:sz="4" w:space="0" w:color="000000"/>
              <w:right w:val="single" w:sz="4" w:space="0" w:color="000000"/>
            </w:tcBorders>
          </w:tcPr>
          <w:p>
            <w:pPr>
              <w:pStyle w:val="TableParagraph"/>
              <w:spacing w:line="342" w:lineRule="exact"/>
              <w:ind w:left="2441" w:right="2422"/>
              <w:jc w:val="center"/>
              <w:rPr>
                <w:rFonts w:ascii="Microsoft JhengHei" w:eastAsia="Microsoft JhengHei" w:hint="eastAsia"/>
                <w:b/>
                <w:sz w:val="21"/>
              </w:rPr>
            </w:pPr>
            <w:r>
              <w:rPr>
                <w:rFonts w:ascii="Microsoft JhengHei" w:eastAsia="Microsoft JhengHei" w:hint="eastAsia"/>
                <w:b/>
                <w:sz w:val="21"/>
              </w:rPr>
              <w:t>项目</w:t>
            </w:r>
          </w:p>
        </w:tc>
        <w:tc>
          <w:tcPr>
            <w:tcW w:w="3706" w:type="dxa"/>
            <w:tcBorders>
              <w:left w:val="single" w:sz="4" w:space="0" w:color="000000"/>
              <w:bottom w:val="single" w:sz="4" w:space="0" w:color="000000"/>
            </w:tcBorders>
          </w:tcPr>
          <w:p>
            <w:pPr>
              <w:pStyle w:val="TableParagraph"/>
              <w:spacing w:line="342" w:lineRule="exact"/>
              <w:ind w:left="1632" w:right="1593"/>
              <w:jc w:val="center"/>
              <w:rPr>
                <w:rFonts w:ascii="Microsoft JhengHei" w:eastAsia="Microsoft JhengHei" w:hint="eastAsia"/>
                <w:b/>
                <w:sz w:val="21"/>
              </w:rPr>
            </w:pPr>
            <w:r>
              <w:rPr>
                <w:rFonts w:ascii="Microsoft JhengHei" w:eastAsia="Microsoft JhengHei" w:hint="eastAsia"/>
                <w:b/>
                <w:sz w:val="21"/>
              </w:rPr>
              <w:t>金额</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25"/>
              <w:ind w:left="107"/>
              <w:rPr>
                <w:rFonts w:ascii="宋体" w:eastAsia="宋体" w:hint="eastAsia"/>
                <w:sz w:val="21"/>
              </w:rPr>
            </w:pPr>
            <w:r>
              <w:rPr>
                <w:rFonts w:ascii="宋体" w:eastAsia="宋体" w:hint="eastAsia"/>
                <w:sz w:val="21"/>
              </w:rPr>
              <w:t>一、期初余额</w:t>
            </w:r>
          </w:p>
        </w:tc>
        <w:tc>
          <w:tcPr>
            <w:tcW w:w="3706" w:type="dxa"/>
            <w:tcBorders>
              <w:top w:val="single" w:sz="4" w:space="0" w:color="000000"/>
              <w:left w:val="single" w:sz="4" w:space="0" w:color="000000"/>
              <w:bottom w:val="single" w:sz="4" w:space="0" w:color="000000"/>
            </w:tcBorders>
          </w:tcPr>
          <w:p>
            <w:pPr>
              <w:pStyle w:val="TableParagraph"/>
              <w:spacing w:before="32"/>
              <w:ind w:right="73"/>
              <w:jc w:val="right"/>
              <w:rPr>
                <w:sz w:val="21"/>
              </w:rPr>
            </w:pPr>
            <w:r>
              <w:rPr>
                <w:sz w:val="21"/>
              </w:rPr>
              <w:t>220,545,586.80</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23"/>
              <w:ind w:left="107"/>
              <w:rPr>
                <w:rFonts w:ascii="宋体" w:eastAsia="宋体" w:hint="eastAsia"/>
                <w:sz w:val="21"/>
              </w:rPr>
            </w:pPr>
            <w:r>
              <w:rPr>
                <w:rFonts w:ascii="宋体" w:eastAsia="宋体" w:hint="eastAsia"/>
                <w:sz w:val="21"/>
              </w:rPr>
              <w:t>二、非同一控制下企业合并</w:t>
            </w:r>
          </w:p>
        </w:tc>
        <w:tc>
          <w:tcPr>
            <w:tcW w:w="3706"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23"/>
              <w:ind w:left="107"/>
              <w:rPr>
                <w:rFonts w:ascii="宋体" w:eastAsia="宋体" w:hint="eastAsia"/>
                <w:sz w:val="21"/>
              </w:rPr>
            </w:pPr>
            <w:r>
              <w:rPr>
                <w:rFonts w:ascii="宋体" w:eastAsia="宋体" w:hint="eastAsia"/>
                <w:sz w:val="21"/>
              </w:rPr>
              <w:t>三、计入当期损益的补偿支出</w:t>
            </w:r>
          </w:p>
        </w:tc>
        <w:tc>
          <w:tcPr>
            <w:tcW w:w="3706" w:type="dxa"/>
            <w:tcBorders>
              <w:top w:val="single" w:sz="4" w:space="0" w:color="000000"/>
              <w:left w:val="single" w:sz="4" w:space="0" w:color="000000"/>
              <w:bottom w:val="single" w:sz="4" w:space="0" w:color="000000"/>
            </w:tcBorders>
          </w:tcPr>
          <w:p>
            <w:pPr>
              <w:pStyle w:val="TableParagraph"/>
              <w:spacing w:before="32"/>
              <w:ind w:right="75"/>
              <w:jc w:val="right"/>
              <w:rPr>
                <w:sz w:val="21"/>
              </w:rPr>
            </w:pPr>
            <w:r>
              <w:rPr>
                <w:sz w:val="21"/>
              </w:rPr>
              <w:t>86,716,612.64</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23"/>
              <w:ind w:left="107"/>
              <w:rPr>
                <w:rFonts w:ascii="宋体" w:eastAsia="宋体" w:hint="eastAsia"/>
                <w:sz w:val="21"/>
              </w:rPr>
            </w:pPr>
            <w:r>
              <w:rPr>
                <w:rFonts w:ascii="宋体" w:eastAsia="宋体" w:hint="eastAsia"/>
                <w:sz w:val="21"/>
              </w:rPr>
              <w:t>四、本期实际支付的补偿金额</w:t>
            </w:r>
          </w:p>
        </w:tc>
        <w:tc>
          <w:tcPr>
            <w:tcW w:w="3706" w:type="dxa"/>
            <w:tcBorders>
              <w:top w:val="single" w:sz="4" w:space="0" w:color="000000"/>
              <w:left w:val="single" w:sz="4" w:space="0" w:color="000000"/>
              <w:bottom w:val="single" w:sz="4" w:space="0" w:color="000000"/>
            </w:tcBorders>
          </w:tcPr>
          <w:p>
            <w:pPr>
              <w:pStyle w:val="TableParagraph"/>
              <w:spacing w:before="32"/>
              <w:ind w:right="76"/>
              <w:jc w:val="right"/>
              <w:rPr>
                <w:sz w:val="21"/>
              </w:rPr>
            </w:pPr>
            <w:r>
              <w:rPr>
                <w:sz w:val="21"/>
              </w:rPr>
              <w:t>-51,636,464.63</w:t>
            </w:r>
          </w:p>
        </w:tc>
      </w:tr>
      <w:tr>
        <w:trPr>
          <w:trHeight w:val="369" w:hRule="atLeast"/>
        </w:trPr>
        <w:tc>
          <w:tcPr>
            <w:tcW w:w="5343" w:type="dxa"/>
            <w:tcBorders>
              <w:top w:val="single" w:sz="4" w:space="0" w:color="000000"/>
              <w:bottom w:val="single" w:sz="4" w:space="0" w:color="000000"/>
              <w:right w:val="single" w:sz="4" w:space="0" w:color="000000"/>
            </w:tcBorders>
          </w:tcPr>
          <w:p>
            <w:pPr>
              <w:pStyle w:val="TableParagraph"/>
              <w:spacing w:before="23"/>
              <w:ind w:left="107"/>
              <w:rPr>
                <w:rFonts w:ascii="宋体" w:eastAsia="宋体" w:hint="eastAsia"/>
                <w:sz w:val="21"/>
              </w:rPr>
            </w:pPr>
            <w:r>
              <w:rPr>
                <w:rFonts w:ascii="宋体" w:eastAsia="宋体" w:hint="eastAsia"/>
                <w:sz w:val="21"/>
              </w:rPr>
              <w:t>七、其他变动</w:t>
            </w:r>
          </w:p>
        </w:tc>
        <w:tc>
          <w:tcPr>
            <w:tcW w:w="3706" w:type="dxa"/>
            <w:tcBorders>
              <w:top w:val="single" w:sz="4" w:space="0" w:color="000000"/>
              <w:left w:val="single" w:sz="4" w:space="0" w:color="000000"/>
              <w:bottom w:val="single" w:sz="4" w:space="0" w:color="000000"/>
            </w:tcBorders>
          </w:tcPr>
          <w:p>
            <w:pPr>
              <w:pStyle w:val="TableParagraph"/>
              <w:spacing w:before="32"/>
              <w:ind w:right="76"/>
              <w:jc w:val="right"/>
              <w:rPr>
                <w:sz w:val="21"/>
              </w:rPr>
            </w:pPr>
            <w:r>
              <w:rPr>
                <w:sz w:val="21"/>
              </w:rPr>
              <w:t>-42,305,401.55</w:t>
            </w:r>
          </w:p>
        </w:tc>
      </w:tr>
      <w:tr>
        <w:trPr>
          <w:trHeight w:val="366" w:hRule="atLeast"/>
        </w:trPr>
        <w:tc>
          <w:tcPr>
            <w:tcW w:w="5343" w:type="dxa"/>
            <w:tcBorders>
              <w:top w:val="single" w:sz="4" w:space="0" w:color="000000"/>
              <w:right w:val="single" w:sz="4" w:space="0" w:color="000000"/>
            </w:tcBorders>
          </w:tcPr>
          <w:p>
            <w:pPr>
              <w:pStyle w:val="TableParagraph"/>
              <w:spacing w:before="23"/>
              <w:ind w:left="107"/>
              <w:rPr>
                <w:rFonts w:ascii="宋体" w:eastAsia="宋体" w:hint="eastAsia"/>
                <w:sz w:val="21"/>
              </w:rPr>
            </w:pPr>
            <w:r>
              <w:rPr>
                <w:rFonts w:ascii="宋体" w:eastAsia="宋体" w:hint="eastAsia"/>
                <w:sz w:val="21"/>
              </w:rPr>
              <w:t>六、期末余额</w:t>
            </w:r>
          </w:p>
        </w:tc>
        <w:tc>
          <w:tcPr>
            <w:tcW w:w="3706" w:type="dxa"/>
            <w:tcBorders>
              <w:top w:val="single" w:sz="4" w:space="0" w:color="000000"/>
              <w:left w:val="single" w:sz="4" w:space="0" w:color="000000"/>
            </w:tcBorders>
          </w:tcPr>
          <w:p>
            <w:pPr>
              <w:pStyle w:val="TableParagraph"/>
              <w:spacing w:before="32"/>
              <w:ind w:right="73"/>
              <w:jc w:val="right"/>
              <w:rPr>
                <w:sz w:val="21"/>
              </w:rPr>
            </w:pPr>
            <w:r>
              <w:rPr>
                <w:sz w:val="21"/>
              </w:rPr>
              <w:t>213,320,333.26</w:t>
            </w:r>
          </w:p>
        </w:tc>
      </w:tr>
    </w:tbl>
    <w:p>
      <w:pPr>
        <w:pStyle w:val="Heading4"/>
        <w:spacing w:before="170"/>
        <w:ind w:left="2039"/>
      </w:pPr>
      <w:r>
        <w:rPr/>
        <w:t>设定受益计划余额分类</w:t>
      </w:r>
    </w:p>
    <w:p>
      <w:pPr>
        <w:pStyle w:val="BodyText"/>
        <w:spacing w:before="9" w:after="1"/>
        <w:rPr>
          <w:rFonts w:ascii="Microsoft JhengHei"/>
          <w:b/>
          <w:sz w:val="5"/>
        </w:rPr>
      </w:pPr>
    </w:p>
    <w:tbl>
      <w:tblPr>
        <w:tblW w:w="0" w:type="auto"/>
        <w:jc w:val="left"/>
        <w:tblInd w:w="14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481"/>
        <w:gridCol w:w="2876"/>
        <w:gridCol w:w="2588"/>
      </w:tblGrid>
      <w:tr>
        <w:trPr>
          <w:trHeight w:val="368" w:hRule="atLeast"/>
        </w:trPr>
        <w:tc>
          <w:tcPr>
            <w:tcW w:w="3481" w:type="dxa"/>
            <w:tcBorders>
              <w:bottom w:val="single" w:sz="4" w:space="0" w:color="000000"/>
              <w:right w:val="single" w:sz="4" w:space="0" w:color="000000"/>
            </w:tcBorders>
          </w:tcPr>
          <w:p>
            <w:pPr>
              <w:pStyle w:val="TableParagraph"/>
              <w:spacing w:line="349" w:lineRule="exact"/>
              <w:ind w:right="1508"/>
              <w:jc w:val="right"/>
              <w:rPr>
                <w:rFonts w:ascii="Microsoft JhengHei" w:eastAsia="Microsoft JhengHei" w:hint="eastAsia"/>
                <w:b/>
                <w:sz w:val="21"/>
              </w:rPr>
            </w:pPr>
            <w:r>
              <w:rPr>
                <w:rFonts w:ascii="Microsoft JhengHei" w:eastAsia="Microsoft JhengHei" w:hint="eastAsia"/>
                <w:b/>
                <w:sz w:val="21"/>
              </w:rPr>
              <w:t>项目</w:t>
            </w:r>
          </w:p>
        </w:tc>
        <w:tc>
          <w:tcPr>
            <w:tcW w:w="2876" w:type="dxa"/>
            <w:tcBorders>
              <w:left w:val="single" w:sz="4" w:space="0" w:color="000000"/>
              <w:bottom w:val="single" w:sz="4" w:space="0" w:color="000000"/>
              <w:right w:val="single" w:sz="4" w:space="0" w:color="000000"/>
            </w:tcBorders>
          </w:tcPr>
          <w:p>
            <w:pPr>
              <w:pStyle w:val="TableParagraph"/>
              <w:spacing w:line="349" w:lineRule="exact"/>
              <w:ind w:left="1006" w:right="979"/>
              <w:jc w:val="center"/>
              <w:rPr>
                <w:rFonts w:ascii="Microsoft JhengHei" w:eastAsia="Microsoft JhengHei" w:hint="eastAsia"/>
                <w:b/>
                <w:sz w:val="21"/>
              </w:rPr>
            </w:pPr>
            <w:r>
              <w:rPr>
                <w:rFonts w:ascii="Microsoft JhengHei" w:eastAsia="Microsoft JhengHei" w:hint="eastAsia"/>
                <w:b/>
                <w:sz w:val="21"/>
              </w:rPr>
              <w:t>期末余额</w:t>
            </w:r>
          </w:p>
        </w:tc>
        <w:tc>
          <w:tcPr>
            <w:tcW w:w="2588" w:type="dxa"/>
            <w:tcBorders>
              <w:left w:val="single" w:sz="4" w:space="0" w:color="000000"/>
              <w:bottom w:val="single" w:sz="4" w:space="0" w:color="000000"/>
            </w:tcBorders>
          </w:tcPr>
          <w:p>
            <w:pPr>
              <w:pStyle w:val="TableParagraph"/>
              <w:spacing w:line="349" w:lineRule="exact"/>
              <w:ind w:left="877"/>
              <w:rPr>
                <w:rFonts w:ascii="Microsoft JhengHei" w:eastAsia="Microsoft JhengHei" w:hint="eastAsia"/>
                <w:b/>
                <w:sz w:val="21"/>
              </w:rPr>
            </w:pPr>
            <w:r>
              <w:rPr>
                <w:rFonts w:ascii="Microsoft JhengHei" w:eastAsia="Microsoft JhengHei" w:hint="eastAsia"/>
                <w:b/>
                <w:sz w:val="21"/>
              </w:rPr>
              <w:t>期初余额</w:t>
            </w:r>
          </w:p>
        </w:tc>
      </w:tr>
      <w:tr>
        <w:trPr>
          <w:trHeight w:val="369" w:hRule="atLeast"/>
        </w:trPr>
        <w:tc>
          <w:tcPr>
            <w:tcW w:w="3481"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短期薪酬</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before="58"/>
              <w:ind w:right="87"/>
              <w:jc w:val="right"/>
              <w:rPr>
                <w:sz w:val="21"/>
              </w:rPr>
            </w:pPr>
            <w:r>
              <w:rPr>
                <w:sz w:val="21"/>
              </w:rPr>
              <w:t>38,202,187.93</w:t>
            </w:r>
          </w:p>
        </w:tc>
        <w:tc>
          <w:tcPr>
            <w:tcW w:w="2588" w:type="dxa"/>
            <w:tcBorders>
              <w:top w:val="single" w:sz="4" w:space="0" w:color="000000"/>
              <w:left w:val="single" w:sz="4" w:space="0" w:color="000000"/>
              <w:bottom w:val="single" w:sz="4" w:space="0" w:color="000000"/>
            </w:tcBorders>
          </w:tcPr>
          <w:p>
            <w:pPr>
              <w:pStyle w:val="TableParagraph"/>
              <w:spacing w:before="58"/>
              <w:ind w:right="77"/>
              <w:jc w:val="right"/>
              <w:rPr>
                <w:sz w:val="21"/>
              </w:rPr>
            </w:pPr>
            <w:r>
              <w:rPr>
                <w:sz w:val="21"/>
              </w:rPr>
              <w:t>84,527,455.18</w:t>
            </w:r>
          </w:p>
        </w:tc>
      </w:tr>
      <w:tr>
        <w:trPr>
          <w:trHeight w:val="369" w:hRule="atLeast"/>
        </w:trPr>
        <w:tc>
          <w:tcPr>
            <w:tcW w:w="3481"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长期薪酬</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before="55"/>
              <w:ind w:right="87"/>
              <w:jc w:val="right"/>
              <w:rPr>
                <w:sz w:val="21"/>
              </w:rPr>
            </w:pPr>
            <w:r>
              <w:rPr>
                <w:sz w:val="21"/>
              </w:rPr>
              <w:t>602,802,957.77</w:t>
            </w:r>
          </w:p>
        </w:tc>
        <w:tc>
          <w:tcPr>
            <w:tcW w:w="2588" w:type="dxa"/>
            <w:tcBorders>
              <w:top w:val="single" w:sz="4" w:space="0" w:color="000000"/>
              <w:left w:val="single" w:sz="4" w:space="0" w:color="000000"/>
              <w:bottom w:val="single" w:sz="4" w:space="0" w:color="000000"/>
            </w:tcBorders>
          </w:tcPr>
          <w:p>
            <w:pPr>
              <w:pStyle w:val="TableParagraph"/>
              <w:spacing w:before="55"/>
              <w:ind w:right="77"/>
              <w:jc w:val="right"/>
              <w:rPr>
                <w:sz w:val="21"/>
              </w:rPr>
            </w:pPr>
            <w:r>
              <w:rPr>
                <w:sz w:val="21"/>
              </w:rPr>
              <w:t>577,613,222.26</w:t>
            </w:r>
          </w:p>
        </w:tc>
      </w:tr>
      <w:tr>
        <w:trPr>
          <w:trHeight w:val="366" w:hRule="atLeast"/>
        </w:trPr>
        <w:tc>
          <w:tcPr>
            <w:tcW w:w="3481" w:type="dxa"/>
            <w:tcBorders>
              <w:top w:val="single" w:sz="4" w:space="0" w:color="000000"/>
              <w:right w:val="single" w:sz="4" w:space="0" w:color="000000"/>
            </w:tcBorders>
          </w:tcPr>
          <w:p>
            <w:pPr>
              <w:pStyle w:val="TableParagraph"/>
              <w:spacing w:before="49"/>
              <w:ind w:right="1508"/>
              <w:jc w:val="right"/>
              <w:rPr>
                <w:rFonts w:ascii="宋体" w:eastAsia="宋体" w:hint="eastAsia"/>
                <w:sz w:val="21"/>
              </w:rPr>
            </w:pPr>
            <w:r>
              <w:rPr>
                <w:rFonts w:ascii="宋体" w:eastAsia="宋体" w:hint="eastAsia"/>
                <w:sz w:val="21"/>
              </w:rPr>
              <w:t>合计</w:t>
            </w:r>
          </w:p>
        </w:tc>
        <w:tc>
          <w:tcPr>
            <w:tcW w:w="2876" w:type="dxa"/>
            <w:tcBorders>
              <w:top w:val="single" w:sz="4" w:space="0" w:color="000000"/>
              <w:left w:val="single" w:sz="4" w:space="0" w:color="000000"/>
              <w:right w:val="single" w:sz="4" w:space="0" w:color="000000"/>
            </w:tcBorders>
          </w:tcPr>
          <w:p>
            <w:pPr>
              <w:pStyle w:val="TableParagraph"/>
              <w:spacing w:before="55"/>
              <w:ind w:right="87"/>
              <w:jc w:val="right"/>
              <w:rPr>
                <w:sz w:val="21"/>
              </w:rPr>
            </w:pPr>
            <w:r>
              <w:rPr>
                <w:sz w:val="21"/>
              </w:rPr>
              <w:t>641,005,145.70</w:t>
            </w:r>
          </w:p>
        </w:tc>
        <w:tc>
          <w:tcPr>
            <w:tcW w:w="2588" w:type="dxa"/>
            <w:tcBorders>
              <w:top w:val="single" w:sz="4" w:space="0" w:color="000000"/>
              <w:left w:val="single" w:sz="4" w:space="0" w:color="000000"/>
            </w:tcBorders>
          </w:tcPr>
          <w:p>
            <w:pPr>
              <w:pStyle w:val="TableParagraph"/>
              <w:spacing w:before="55"/>
              <w:ind w:right="77"/>
              <w:jc w:val="right"/>
              <w:rPr>
                <w:sz w:val="21"/>
              </w:rPr>
            </w:pPr>
            <w:r>
              <w:rPr>
                <w:sz w:val="21"/>
              </w:rPr>
              <w:t>662,140,677.44</w:t>
            </w:r>
          </w:p>
        </w:tc>
      </w:tr>
    </w:tbl>
    <w:p>
      <w:pPr>
        <w:pStyle w:val="BodyText"/>
        <w:spacing w:line="267" w:lineRule="exact" w:before="3"/>
        <w:ind w:left="1538"/>
      </w:pPr>
      <w:r>
        <w:rPr>
          <w:w w:val="100"/>
        </w:rPr>
        <w:t> </w:t>
      </w:r>
    </w:p>
    <w:p>
      <w:pPr>
        <w:pStyle w:val="Heading4"/>
        <w:spacing w:line="384" w:lineRule="exact"/>
      </w:pPr>
      <w:r>
        <w:rPr>
          <w:rFonts w:ascii="Times New Roman" w:eastAsia="Times New Roman"/>
        </w:rPr>
        <w:t>40</w:t>
      </w:r>
      <w:r>
        <w:rPr/>
        <w:t>、 预计负债</w:t>
      </w:r>
    </w:p>
    <w:p>
      <w:pPr>
        <w:pStyle w:val="BodyText"/>
        <w:spacing w:before="15"/>
        <w:ind w:left="1538"/>
      </w:pPr>
      <w:r>
        <w:rPr/>
        <w:t>√适用 □不适用</w:t>
      </w:r>
    </w:p>
    <w:p>
      <w:pPr>
        <w:pStyle w:val="BodyText"/>
        <w:tabs>
          <w:tab w:pos="9111" w:val="left" w:leader="none"/>
        </w:tabs>
        <w:spacing w:before="4" w:after="2"/>
        <w:ind w:left="8059"/>
      </w:pPr>
      <w:r>
        <w:rPr/>
        <w:t>单位：元</w:t>
        <w:tab/>
      </w:r>
      <w:r>
        <w:rPr>
          <w:spacing w:val="-1"/>
        </w:rPr>
        <w:t>币</w:t>
      </w:r>
      <w:r>
        <w:rPr>
          <w:spacing w:val="-3"/>
        </w:rPr>
        <w:t>种</w:t>
      </w:r>
      <w:r>
        <w:rPr/>
        <w:t>：</w:t>
      </w:r>
      <w:r>
        <w:rPr>
          <w:spacing w:val="-3"/>
        </w:rPr>
        <w:t>人</w:t>
      </w:r>
      <w:r>
        <w:rPr/>
        <w:t>民币</w:t>
      </w:r>
    </w:p>
    <w:tbl>
      <w:tblPr>
        <w:tblW w:w="0" w:type="auto"/>
        <w:jc w:val="left"/>
        <w:tblInd w:w="14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020"/>
        <w:gridCol w:w="3020"/>
        <w:gridCol w:w="3023"/>
      </w:tblGrid>
      <w:tr>
        <w:trPr>
          <w:trHeight w:val="272" w:hRule="atLeast"/>
        </w:trPr>
        <w:tc>
          <w:tcPr>
            <w:tcW w:w="3020" w:type="dxa"/>
            <w:tcBorders>
              <w:bottom w:val="single" w:sz="4" w:space="0" w:color="000000"/>
              <w:right w:val="single" w:sz="4" w:space="0" w:color="000000"/>
            </w:tcBorders>
          </w:tcPr>
          <w:p>
            <w:pPr>
              <w:pStyle w:val="TableParagraph"/>
              <w:spacing w:line="253" w:lineRule="exact"/>
              <w:ind w:right="1330"/>
              <w:jc w:val="right"/>
              <w:rPr>
                <w:rFonts w:ascii="Microsoft JhengHei" w:eastAsia="Microsoft JhengHei" w:hint="eastAsia"/>
                <w:b/>
                <w:sz w:val="21"/>
              </w:rPr>
            </w:pPr>
            <w:r>
              <w:rPr>
                <w:rFonts w:ascii="Microsoft JhengHei" w:eastAsia="Microsoft JhengHei" w:hint="eastAsia"/>
                <w:b/>
                <w:sz w:val="21"/>
              </w:rPr>
              <w:t>项目</w:t>
            </w:r>
          </w:p>
        </w:tc>
        <w:tc>
          <w:tcPr>
            <w:tcW w:w="3020" w:type="dxa"/>
            <w:tcBorders>
              <w:left w:val="single" w:sz="4" w:space="0" w:color="000000"/>
              <w:bottom w:val="single" w:sz="4" w:space="0" w:color="000000"/>
              <w:right w:val="single" w:sz="4" w:space="0" w:color="000000"/>
            </w:tcBorders>
          </w:tcPr>
          <w:p>
            <w:pPr>
              <w:pStyle w:val="TableParagraph"/>
              <w:spacing w:line="253" w:lineRule="exact"/>
              <w:ind w:left="1078" w:right="1051"/>
              <w:jc w:val="center"/>
              <w:rPr>
                <w:rFonts w:ascii="Microsoft JhengHei" w:eastAsia="Microsoft JhengHei" w:hint="eastAsia"/>
                <w:b/>
                <w:sz w:val="21"/>
              </w:rPr>
            </w:pPr>
            <w:r>
              <w:rPr>
                <w:rFonts w:ascii="Microsoft JhengHei" w:eastAsia="Microsoft JhengHei" w:hint="eastAsia"/>
                <w:b/>
                <w:sz w:val="21"/>
              </w:rPr>
              <w:t>期初余额</w:t>
            </w:r>
          </w:p>
        </w:tc>
        <w:tc>
          <w:tcPr>
            <w:tcW w:w="3023" w:type="dxa"/>
            <w:tcBorders>
              <w:left w:val="single" w:sz="4" w:space="0" w:color="000000"/>
              <w:bottom w:val="single" w:sz="4" w:space="0" w:color="000000"/>
            </w:tcBorders>
          </w:tcPr>
          <w:p>
            <w:pPr>
              <w:pStyle w:val="TableParagraph"/>
              <w:spacing w:line="253" w:lineRule="exact"/>
              <w:ind w:left="1078" w:right="1045"/>
              <w:jc w:val="center"/>
              <w:rPr>
                <w:rFonts w:ascii="Microsoft JhengHei" w:eastAsia="Microsoft JhengHei" w:hint="eastAsia"/>
                <w:b/>
                <w:sz w:val="21"/>
              </w:rPr>
            </w:pPr>
            <w:r>
              <w:rPr>
                <w:rFonts w:ascii="Microsoft JhengHei" w:eastAsia="Microsoft JhengHei" w:hint="eastAsia"/>
                <w:b/>
                <w:sz w:val="21"/>
              </w:rPr>
              <w:t>期末余额</w:t>
            </w:r>
          </w:p>
        </w:tc>
      </w:tr>
      <w:tr>
        <w:trPr>
          <w:trHeight w:val="273" w:hRule="atLeast"/>
        </w:trPr>
        <w:tc>
          <w:tcPr>
            <w:tcW w:w="3020" w:type="dxa"/>
            <w:tcBorders>
              <w:top w:val="single" w:sz="4" w:space="0" w:color="000000"/>
              <w:bottom w:val="single" w:sz="4" w:space="0" w:color="000000"/>
              <w:right w:val="single" w:sz="4" w:space="0" w:color="000000"/>
            </w:tcBorders>
          </w:tcPr>
          <w:p>
            <w:pPr>
              <w:pStyle w:val="TableParagraph"/>
              <w:spacing w:line="252" w:lineRule="exact" w:before="1"/>
              <w:ind w:left="112"/>
              <w:rPr>
                <w:rFonts w:ascii="宋体" w:eastAsia="宋体" w:hint="eastAsia"/>
                <w:sz w:val="21"/>
              </w:rPr>
            </w:pPr>
            <w:r>
              <w:rPr>
                <w:rFonts w:ascii="宋体" w:eastAsia="宋体" w:hint="eastAsia"/>
                <w:sz w:val="21"/>
              </w:rPr>
              <w:t>未决诉讼</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before="10"/>
              <w:ind w:right="89"/>
              <w:jc w:val="right"/>
              <w:rPr>
                <w:sz w:val="21"/>
              </w:rPr>
            </w:pPr>
            <w:r>
              <w:rPr>
                <w:sz w:val="21"/>
              </w:rPr>
              <w:t>19,619,840.35</w:t>
            </w:r>
          </w:p>
        </w:tc>
        <w:tc>
          <w:tcPr>
            <w:tcW w:w="3023" w:type="dxa"/>
            <w:tcBorders>
              <w:top w:val="single" w:sz="4" w:space="0" w:color="000000"/>
              <w:left w:val="single" w:sz="4" w:space="0" w:color="000000"/>
              <w:bottom w:val="single" w:sz="4" w:space="0" w:color="000000"/>
            </w:tcBorders>
          </w:tcPr>
          <w:p>
            <w:pPr>
              <w:pStyle w:val="TableParagraph"/>
              <w:spacing w:before="10"/>
              <w:ind w:right="82"/>
              <w:jc w:val="right"/>
              <w:rPr>
                <w:sz w:val="21"/>
              </w:rPr>
            </w:pPr>
            <w:r>
              <w:rPr>
                <w:sz w:val="21"/>
              </w:rPr>
              <w:t>21,550,139.03</w:t>
            </w:r>
          </w:p>
        </w:tc>
      </w:tr>
      <w:tr>
        <w:trPr>
          <w:trHeight w:val="270" w:hRule="atLeast"/>
        </w:trPr>
        <w:tc>
          <w:tcPr>
            <w:tcW w:w="3020" w:type="dxa"/>
            <w:tcBorders>
              <w:top w:val="single" w:sz="4" w:space="0" w:color="000000"/>
              <w:bottom w:val="single" w:sz="4" w:space="0" w:color="000000"/>
              <w:right w:val="single" w:sz="4" w:space="0" w:color="000000"/>
            </w:tcBorders>
          </w:tcPr>
          <w:p>
            <w:pPr>
              <w:pStyle w:val="TableParagraph"/>
              <w:spacing w:line="250" w:lineRule="exact" w:before="1"/>
              <w:ind w:left="112"/>
              <w:rPr>
                <w:rFonts w:ascii="宋体" w:eastAsia="宋体" w:hint="eastAsia"/>
                <w:sz w:val="21"/>
              </w:rPr>
            </w:pPr>
            <w:r>
              <w:rPr>
                <w:rFonts w:ascii="宋体" w:eastAsia="宋体" w:hint="eastAsia"/>
                <w:sz w:val="21"/>
              </w:rPr>
              <w:t>其他</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before="7"/>
              <w:ind w:right="89"/>
              <w:jc w:val="right"/>
              <w:rPr>
                <w:sz w:val="21"/>
              </w:rPr>
            </w:pPr>
            <w:r>
              <w:rPr>
                <w:sz w:val="21"/>
              </w:rPr>
              <w:t>192,441,718.48</w:t>
            </w:r>
          </w:p>
        </w:tc>
        <w:tc>
          <w:tcPr>
            <w:tcW w:w="3023" w:type="dxa"/>
            <w:tcBorders>
              <w:top w:val="single" w:sz="4" w:space="0" w:color="000000"/>
              <w:left w:val="single" w:sz="4" w:space="0" w:color="000000"/>
              <w:bottom w:val="single" w:sz="4" w:space="0" w:color="000000"/>
            </w:tcBorders>
          </w:tcPr>
          <w:p>
            <w:pPr>
              <w:pStyle w:val="TableParagraph"/>
              <w:spacing w:before="7"/>
              <w:ind w:right="82"/>
              <w:jc w:val="right"/>
              <w:rPr>
                <w:sz w:val="21"/>
              </w:rPr>
            </w:pPr>
            <w:r>
              <w:rPr>
                <w:sz w:val="21"/>
              </w:rPr>
              <w:t>238,570,708.44</w:t>
            </w:r>
          </w:p>
        </w:tc>
      </w:tr>
      <w:tr>
        <w:trPr>
          <w:trHeight w:val="273" w:hRule="atLeast"/>
        </w:trPr>
        <w:tc>
          <w:tcPr>
            <w:tcW w:w="3020" w:type="dxa"/>
            <w:tcBorders>
              <w:top w:val="single" w:sz="4" w:space="0" w:color="000000"/>
              <w:bottom w:val="single" w:sz="4" w:space="0" w:color="000000"/>
              <w:right w:val="single" w:sz="4" w:space="0" w:color="000000"/>
            </w:tcBorders>
          </w:tcPr>
          <w:p>
            <w:pPr>
              <w:pStyle w:val="TableParagraph"/>
              <w:spacing w:line="252" w:lineRule="exact" w:before="1"/>
              <w:ind w:left="112"/>
              <w:rPr>
                <w:rFonts w:ascii="宋体" w:eastAsia="宋体" w:hint="eastAsia"/>
                <w:sz w:val="21"/>
              </w:rPr>
            </w:pPr>
            <w:r>
              <w:rPr>
                <w:rFonts w:ascii="宋体" w:eastAsia="宋体" w:hint="eastAsia"/>
                <w:sz w:val="21"/>
              </w:rPr>
              <w:t>预计三包安装费</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before="10"/>
              <w:ind w:right="89"/>
              <w:jc w:val="right"/>
              <w:rPr>
                <w:sz w:val="21"/>
              </w:rPr>
            </w:pPr>
            <w:r>
              <w:rPr>
                <w:sz w:val="21"/>
              </w:rPr>
              <w:t>1,186,816,187.50</w:t>
            </w:r>
          </w:p>
        </w:tc>
        <w:tc>
          <w:tcPr>
            <w:tcW w:w="3023" w:type="dxa"/>
            <w:tcBorders>
              <w:top w:val="single" w:sz="4" w:space="0" w:color="000000"/>
              <w:left w:val="single" w:sz="4" w:space="0" w:color="000000"/>
              <w:bottom w:val="single" w:sz="4" w:space="0" w:color="000000"/>
            </w:tcBorders>
          </w:tcPr>
          <w:p>
            <w:pPr>
              <w:pStyle w:val="TableParagraph"/>
              <w:spacing w:before="10"/>
              <w:ind w:right="82"/>
              <w:jc w:val="right"/>
              <w:rPr>
                <w:sz w:val="21"/>
              </w:rPr>
            </w:pPr>
            <w:r>
              <w:rPr>
                <w:sz w:val="21"/>
              </w:rPr>
              <w:t>1,182,723,189.26</w:t>
            </w:r>
          </w:p>
        </w:tc>
      </w:tr>
      <w:tr>
        <w:trPr>
          <w:trHeight w:val="270" w:hRule="atLeast"/>
        </w:trPr>
        <w:tc>
          <w:tcPr>
            <w:tcW w:w="3020" w:type="dxa"/>
            <w:tcBorders>
              <w:top w:val="single" w:sz="4" w:space="0" w:color="000000"/>
              <w:right w:val="single" w:sz="4" w:space="0" w:color="000000"/>
            </w:tcBorders>
          </w:tcPr>
          <w:p>
            <w:pPr>
              <w:pStyle w:val="TableParagraph"/>
              <w:spacing w:line="249" w:lineRule="exact" w:before="1"/>
              <w:ind w:right="1330"/>
              <w:jc w:val="right"/>
              <w:rPr>
                <w:rFonts w:ascii="宋体" w:eastAsia="宋体" w:hint="eastAsia"/>
                <w:sz w:val="21"/>
              </w:rPr>
            </w:pPr>
            <w:r>
              <w:rPr>
                <w:rFonts w:ascii="宋体" w:eastAsia="宋体" w:hint="eastAsia"/>
                <w:sz w:val="21"/>
              </w:rPr>
              <w:t>合计</w:t>
            </w:r>
          </w:p>
        </w:tc>
        <w:tc>
          <w:tcPr>
            <w:tcW w:w="3020" w:type="dxa"/>
            <w:tcBorders>
              <w:top w:val="single" w:sz="4" w:space="0" w:color="000000"/>
              <w:left w:val="single" w:sz="4" w:space="0" w:color="000000"/>
              <w:right w:val="single" w:sz="4" w:space="0" w:color="000000"/>
            </w:tcBorders>
          </w:tcPr>
          <w:p>
            <w:pPr>
              <w:pStyle w:val="TableParagraph"/>
              <w:spacing w:before="7"/>
              <w:ind w:right="89"/>
              <w:jc w:val="right"/>
              <w:rPr>
                <w:sz w:val="21"/>
              </w:rPr>
            </w:pPr>
            <w:r>
              <w:rPr>
                <w:sz w:val="21"/>
              </w:rPr>
              <w:t>1,398,877,746.33</w:t>
            </w:r>
          </w:p>
        </w:tc>
        <w:tc>
          <w:tcPr>
            <w:tcW w:w="3023" w:type="dxa"/>
            <w:tcBorders>
              <w:top w:val="single" w:sz="4" w:space="0" w:color="000000"/>
              <w:left w:val="single" w:sz="4" w:space="0" w:color="000000"/>
            </w:tcBorders>
          </w:tcPr>
          <w:p>
            <w:pPr>
              <w:pStyle w:val="TableParagraph"/>
              <w:spacing w:before="7"/>
              <w:ind w:right="82"/>
              <w:jc w:val="right"/>
              <w:rPr>
                <w:sz w:val="21"/>
              </w:rPr>
            </w:pPr>
            <w:r>
              <w:rPr>
                <w:sz w:val="21"/>
              </w:rPr>
              <w:t>1,442,844,036.73</w:t>
            </w:r>
          </w:p>
        </w:tc>
      </w:tr>
    </w:tbl>
    <w:p>
      <w:pPr>
        <w:pStyle w:val="BodyText"/>
        <w:rPr>
          <w:sz w:val="16"/>
        </w:rPr>
      </w:pPr>
    </w:p>
    <w:p>
      <w:pPr>
        <w:pStyle w:val="BodyText"/>
        <w:spacing w:before="72"/>
        <w:ind w:left="1962"/>
      </w:pPr>
      <w:r>
        <w:rPr>
          <w:spacing w:val="-3"/>
        </w:rPr>
        <w:t>预计三包安装费相关重要假设、估计：公司根据过往三包、安装费用实际支出及销售数据合</w:t>
      </w:r>
    </w:p>
    <w:p>
      <w:pPr>
        <w:pStyle w:val="BodyText"/>
        <w:spacing w:line="364" w:lineRule="auto" w:before="139"/>
        <w:ind w:left="1538" w:right="1277"/>
      </w:pPr>
      <w:r>
        <w:rPr/>
        <w:t>理预计三包、安装费率，结合公司三包、安装政策规定及已实现销售数据预计未来很可能发生的三包、安装费用。</w:t>
      </w:r>
    </w:p>
    <w:p>
      <w:pPr>
        <w:spacing w:after="0" w:line="364" w:lineRule="auto"/>
        <w:sectPr>
          <w:pgSz w:w="11910" w:h="16840"/>
          <w:pgMar w:header="876" w:footer="1214" w:top="1440" w:bottom="1400" w:left="260" w:right="0"/>
        </w:sectPr>
      </w:pPr>
    </w:p>
    <w:p>
      <w:pPr>
        <w:pStyle w:val="BodyText"/>
        <w:spacing w:before="10"/>
        <w:rPr>
          <w:sz w:val="22"/>
        </w:rPr>
      </w:pPr>
    </w:p>
    <w:p>
      <w:pPr>
        <w:spacing w:after="0"/>
        <w:rPr>
          <w:sz w:val="22"/>
        </w:rPr>
        <w:sectPr>
          <w:pgSz w:w="11910" w:h="16840"/>
          <w:pgMar w:header="876" w:footer="1214" w:top="1440" w:bottom="1400" w:left="260" w:right="0"/>
        </w:sectPr>
      </w:pPr>
    </w:p>
    <w:p>
      <w:pPr>
        <w:pStyle w:val="Heading4"/>
        <w:spacing w:before="10"/>
      </w:pPr>
      <w:r>
        <w:rPr>
          <w:rFonts w:ascii="Times New Roman" w:eastAsia="Times New Roman"/>
        </w:rPr>
        <w:t>41</w:t>
      </w:r>
      <w:r>
        <w:rPr/>
        <w:t>、 递延收益</w:t>
      </w:r>
    </w:p>
    <w:p>
      <w:pPr>
        <w:pStyle w:val="BodyText"/>
        <w:tabs>
          <w:tab w:pos="2805" w:val="left" w:leader="none"/>
        </w:tabs>
        <w:spacing w:before="16"/>
        <w:ind w:left="1962"/>
      </w:pPr>
      <w:r>
        <w:rPr/>
        <w:t>√适用</w:t>
        <w:tab/>
      </w:r>
      <w:r>
        <w:rPr>
          <w:spacing w:val="-3"/>
        </w:rPr>
        <w:t>□</w:t>
      </w:r>
      <w:r>
        <w:rPr/>
        <w:t>不</w:t>
      </w:r>
      <w:r>
        <w:rPr>
          <w:spacing w:val="-3"/>
        </w:rPr>
        <w:t>适</w:t>
      </w:r>
      <w:r>
        <w:rPr/>
        <w:t>用</w:t>
      </w:r>
    </w:p>
    <w:p>
      <w:pPr>
        <w:pStyle w:val="BodyText"/>
        <w:rPr>
          <w:sz w:val="20"/>
        </w:rPr>
      </w:pPr>
      <w:r>
        <w:rPr/>
        <w:br w:type="column"/>
      </w:r>
      <w:r>
        <w:rPr>
          <w:sz w:val="20"/>
        </w:rPr>
      </w:r>
    </w:p>
    <w:p>
      <w:pPr>
        <w:pStyle w:val="BodyText"/>
        <w:rPr>
          <w:sz w:val="20"/>
        </w:rPr>
      </w:pPr>
    </w:p>
    <w:p>
      <w:pPr>
        <w:pStyle w:val="BodyText"/>
        <w:tabs>
          <w:tab w:pos="2589" w:val="left" w:leader="none"/>
        </w:tabs>
        <w:spacing w:before="171"/>
        <w:ind w:left="1538"/>
      </w:pPr>
      <w:r>
        <w:rPr/>
        <w:t>单位：元</w:t>
        <w:tab/>
        <w:t>币</w:t>
      </w:r>
      <w:r>
        <w:rPr>
          <w:spacing w:val="-3"/>
        </w:rPr>
        <w:t>种</w:t>
      </w:r>
      <w:r>
        <w:rPr/>
        <w:t>：</w:t>
      </w:r>
      <w:r>
        <w:rPr>
          <w:spacing w:val="-3"/>
        </w:rPr>
        <w:t>人</w:t>
      </w:r>
      <w:r>
        <w:rPr/>
        <w:t>民币</w:t>
      </w:r>
    </w:p>
    <w:p>
      <w:pPr>
        <w:spacing w:after="0"/>
        <w:sectPr>
          <w:type w:val="continuous"/>
          <w:pgSz w:w="11910" w:h="16840"/>
          <w:pgMar w:top="1360" w:bottom="1400" w:left="260" w:right="0"/>
          <w:cols w:num="2" w:equalWidth="0">
            <w:col w:w="3686" w:space="2836"/>
            <w:col w:w="5128"/>
          </w:cols>
        </w:sectPr>
      </w:pPr>
    </w:p>
    <w:tbl>
      <w:tblPr>
        <w:tblW w:w="0" w:type="auto"/>
        <w:jc w:val="left"/>
        <w:tblInd w:w="14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48"/>
        <w:gridCol w:w="1791"/>
        <w:gridCol w:w="1803"/>
        <w:gridCol w:w="1786"/>
        <w:gridCol w:w="1833"/>
      </w:tblGrid>
      <w:tr>
        <w:trPr>
          <w:trHeight w:val="337" w:hRule="atLeast"/>
        </w:trPr>
        <w:tc>
          <w:tcPr>
            <w:tcW w:w="1848" w:type="dxa"/>
            <w:tcBorders>
              <w:bottom w:val="single" w:sz="4" w:space="0" w:color="000000"/>
              <w:right w:val="single" w:sz="4" w:space="0" w:color="000000"/>
            </w:tcBorders>
          </w:tcPr>
          <w:p>
            <w:pPr>
              <w:pStyle w:val="TableParagraph"/>
              <w:spacing w:line="318" w:lineRule="exact"/>
              <w:ind w:right="691"/>
              <w:jc w:val="right"/>
              <w:rPr>
                <w:rFonts w:ascii="Microsoft JhengHei" w:eastAsia="Microsoft JhengHei" w:hint="eastAsia"/>
                <w:b/>
                <w:sz w:val="21"/>
              </w:rPr>
            </w:pPr>
            <w:r>
              <w:rPr>
                <w:rFonts w:ascii="Microsoft JhengHei" w:eastAsia="Microsoft JhengHei" w:hint="eastAsia"/>
                <w:b/>
                <w:sz w:val="21"/>
              </w:rPr>
              <w:t>项目</w:t>
            </w:r>
          </w:p>
        </w:tc>
        <w:tc>
          <w:tcPr>
            <w:tcW w:w="1791" w:type="dxa"/>
            <w:tcBorders>
              <w:left w:val="single" w:sz="4" w:space="0" w:color="000000"/>
              <w:bottom w:val="single" w:sz="4" w:space="0" w:color="000000"/>
              <w:right w:val="single" w:sz="4" w:space="0" w:color="000000"/>
            </w:tcBorders>
          </w:tcPr>
          <w:p>
            <w:pPr>
              <w:pStyle w:val="TableParagraph"/>
              <w:spacing w:line="318" w:lineRule="exact"/>
              <w:ind w:left="482"/>
              <w:rPr>
                <w:rFonts w:ascii="Microsoft JhengHei" w:eastAsia="Microsoft JhengHei" w:hint="eastAsia"/>
                <w:b/>
                <w:sz w:val="21"/>
              </w:rPr>
            </w:pPr>
            <w:r>
              <w:rPr>
                <w:rFonts w:ascii="Microsoft JhengHei" w:eastAsia="Microsoft JhengHei" w:hint="eastAsia"/>
                <w:b/>
                <w:sz w:val="21"/>
              </w:rPr>
              <w:t>期初余额</w:t>
            </w:r>
          </w:p>
        </w:tc>
        <w:tc>
          <w:tcPr>
            <w:tcW w:w="1803" w:type="dxa"/>
            <w:tcBorders>
              <w:left w:val="single" w:sz="4" w:space="0" w:color="000000"/>
              <w:bottom w:val="single" w:sz="4" w:space="0" w:color="000000"/>
              <w:right w:val="single" w:sz="4" w:space="0" w:color="000000"/>
            </w:tcBorders>
          </w:tcPr>
          <w:p>
            <w:pPr>
              <w:pStyle w:val="TableParagraph"/>
              <w:spacing w:line="318" w:lineRule="exact"/>
              <w:ind w:left="489"/>
              <w:rPr>
                <w:rFonts w:ascii="Microsoft JhengHei" w:eastAsia="Microsoft JhengHei" w:hint="eastAsia"/>
                <w:b/>
                <w:sz w:val="21"/>
              </w:rPr>
            </w:pPr>
            <w:r>
              <w:rPr>
                <w:rFonts w:ascii="Microsoft JhengHei" w:eastAsia="Microsoft JhengHei" w:hint="eastAsia"/>
                <w:b/>
                <w:sz w:val="21"/>
              </w:rPr>
              <w:t>本期增加</w:t>
            </w:r>
          </w:p>
        </w:tc>
        <w:tc>
          <w:tcPr>
            <w:tcW w:w="1786" w:type="dxa"/>
            <w:tcBorders>
              <w:left w:val="single" w:sz="4" w:space="0" w:color="000000"/>
              <w:bottom w:val="single" w:sz="4" w:space="0" w:color="000000"/>
              <w:right w:val="single" w:sz="4" w:space="0" w:color="000000"/>
            </w:tcBorders>
          </w:tcPr>
          <w:p>
            <w:pPr>
              <w:pStyle w:val="TableParagraph"/>
              <w:spacing w:line="318" w:lineRule="exact"/>
              <w:ind w:left="479"/>
              <w:rPr>
                <w:rFonts w:ascii="Microsoft JhengHei" w:eastAsia="Microsoft JhengHei" w:hint="eastAsia"/>
                <w:b/>
                <w:sz w:val="21"/>
              </w:rPr>
            </w:pPr>
            <w:r>
              <w:rPr>
                <w:rFonts w:ascii="Microsoft JhengHei" w:eastAsia="Microsoft JhengHei" w:hint="eastAsia"/>
                <w:b/>
                <w:sz w:val="21"/>
              </w:rPr>
              <w:t>本期减少</w:t>
            </w:r>
          </w:p>
        </w:tc>
        <w:tc>
          <w:tcPr>
            <w:tcW w:w="1833" w:type="dxa"/>
            <w:tcBorders>
              <w:left w:val="single" w:sz="4" w:space="0" w:color="000000"/>
              <w:bottom w:val="single" w:sz="4" w:space="0" w:color="000000"/>
            </w:tcBorders>
          </w:tcPr>
          <w:p>
            <w:pPr>
              <w:pStyle w:val="TableParagraph"/>
              <w:spacing w:line="318" w:lineRule="exact"/>
              <w:ind w:left="503"/>
              <w:rPr>
                <w:rFonts w:ascii="Microsoft JhengHei" w:eastAsia="Microsoft JhengHei" w:hint="eastAsia"/>
                <w:b/>
                <w:sz w:val="21"/>
              </w:rPr>
            </w:pPr>
            <w:r>
              <w:rPr>
                <w:rFonts w:ascii="Microsoft JhengHei" w:eastAsia="Microsoft JhengHei" w:hint="eastAsia"/>
                <w:b/>
                <w:sz w:val="21"/>
              </w:rPr>
              <w:t>期末余额</w:t>
            </w:r>
          </w:p>
        </w:tc>
      </w:tr>
      <w:tr>
        <w:trPr>
          <w:trHeight w:val="270" w:hRule="atLeast"/>
        </w:trPr>
        <w:tc>
          <w:tcPr>
            <w:tcW w:w="1848" w:type="dxa"/>
            <w:tcBorders>
              <w:top w:val="single" w:sz="4" w:space="0" w:color="000000"/>
              <w:bottom w:val="single" w:sz="4" w:space="0" w:color="000000"/>
              <w:right w:val="single" w:sz="4" w:space="0" w:color="000000"/>
            </w:tcBorders>
          </w:tcPr>
          <w:p>
            <w:pPr>
              <w:pStyle w:val="TableParagraph"/>
              <w:spacing w:line="250" w:lineRule="exact" w:before="1"/>
              <w:ind w:left="112"/>
              <w:rPr>
                <w:rFonts w:ascii="宋体" w:eastAsia="宋体" w:hint="eastAsia"/>
                <w:sz w:val="21"/>
              </w:rPr>
            </w:pPr>
            <w:r>
              <w:rPr>
                <w:rFonts w:ascii="宋体" w:eastAsia="宋体" w:hint="eastAsia"/>
                <w:sz w:val="21"/>
              </w:rPr>
              <w:t>政府补助</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1"/>
              <w:jc w:val="right"/>
              <w:rPr>
                <w:sz w:val="21"/>
              </w:rPr>
            </w:pPr>
            <w:r>
              <w:rPr>
                <w:sz w:val="21"/>
              </w:rPr>
              <w:t>705,272,617.10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9"/>
              <w:jc w:val="right"/>
              <w:rPr>
                <w:sz w:val="21"/>
              </w:rPr>
            </w:pPr>
            <w:r>
              <w:rPr>
                <w:sz w:val="21"/>
              </w:rPr>
              <w:t>296,297,021.72</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9"/>
              <w:jc w:val="right"/>
              <w:rPr>
                <w:sz w:val="21"/>
              </w:rPr>
            </w:pPr>
            <w:r>
              <w:rPr>
                <w:sz w:val="21"/>
              </w:rPr>
              <w:t>367,807,969.34</w:t>
            </w:r>
          </w:p>
        </w:tc>
        <w:tc>
          <w:tcPr>
            <w:tcW w:w="1833" w:type="dxa"/>
            <w:tcBorders>
              <w:top w:val="single" w:sz="4" w:space="0" w:color="000000"/>
              <w:left w:val="single" w:sz="4" w:space="0" w:color="000000"/>
              <w:bottom w:val="single" w:sz="4" w:space="0" w:color="000000"/>
            </w:tcBorders>
          </w:tcPr>
          <w:p>
            <w:pPr>
              <w:pStyle w:val="TableParagraph"/>
              <w:spacing w:line="235" w:lineRule="exact"/>
              <w:ind w:right="80"/>
              <w:jc w:val="right"/>
              <w:rPr>
                <w:sz w:val="21"/>
              </w:rPr>
            </w:pPr>
            <w:r>
              <w:rPr>
                <w:sz w:val="21"/>
              </w:rPr>
              <w:t>633,761,669.48</w:t>
            </w:r>
          </w:p>
        </w:tc>
      </w:tr>
      <w:tr>
        <w:trPr>
          <w:trHeight w:val="270" w:hRule="atLeast"/>
        </w:trPr>
        <w:tc>
          <w:tcPr>
            <w:tcW w:w="1848" w:type="dxa"/>
            <w:tcBorders>
              <w:top w:val="single" w:sz="4" w:space="0" w:color="000000"/>
              <w:right w:val="single" w:sz="4" w:space="0" w:color="000000"/>
            </w:tcBorders>
          </w:tcPr>
          <w:p>
            <w:pPr>
              <w:pStyle w:val="TableParagraph"/>
              <w:spacing w:line="249" w:lineRule="exact" w:before="1"/>
              <w:ind w:right="691"/>
              <w:jc w:val="right"/>
              <w:rPr>
                <w:rFonts w:ascii="宋体" w:eastAsia="宋体" w:hint="eastAsia"/>
                <w:sz w:val="21"/>
              </w:rPr>
            </w:pPr>
            <w:r>
              <w:rPr>
                <w:rFonts w:ascii="宋体" w:eastAsia="宋体" w:hint="eastAsia"/>
                <w:sz w:val="21"/>
              </w:rPr>
              <w:t>合计</w:t>
            </w:r>
          </w:p>
        </w:tc>
        <w:tc>
          <w:tcPr>
            <w:tcW w:w="1791" w:type="dxa"/>
            <w:tcBorders>
              <w:top w:val="single" w:sz="4" w:space="0" w:color="000000"/>
              <w:left w:val="single" w:sz="4" w:space="0" w:color="000000"/>
              <w:right w:val="single" w:sz="4" w:space="0" w:color="000000"/>
            </w:tcBorders>
          </w:tcPr>
          <w:p>
            <w:pPr>
              <w:pStyle w:val="TableParagraph"/>
              <w:spacing w:line="235" w:lineRule="exact"/>
              <w:ind w:right="91"/>
              <w:jc w:val="right"/>
              <w:rPr>
                <w:sz w:val="21"/>
              </w:rPr>
            </w:pPr>
            <w:r>
              <w:rPr>
                <w:sz w:val="21"/>
              </w:rPr>
              <w:t>705,272,617.10</w:t>
            </w:r>
          </w:p>
        </w:tc>
        <w:tc>
          <w:tcPr>
            <w:tcW w:w="1803" w:type="dxa"/>
            <w:tcBorders>
              <w:top w:val="single" w:sz="4" w:space="0" w:color="000000"/>
              <w:left w:val="single" w:sz="4" w:space="0" w:color="000000"/>
              <w:right w:val="single" w:sz="4" w:space="0" w:color="000000"/>
            </w:tcBorders>
          </w:tcPr>
          <w:p>
            <w:pPr>
              <w:pStyle w:val="TableParagraph"/>
              <w:spacing w:line="235" w:lineRule="exact"/>
              <w:ind w:right="89"/>
              <w:jc w:val="right"/>
              <w:rPr>
                <w:sz w:val="21"/>
              </w:rPr>
            </w:pPr>
            <w:r>
              <w:rPr>
                <w:sz w:val="21"/>
              </w:rPr>
              <w:t>296,297,021.72</w:t>
            </w:r>
          </w:p>
        </w:tc>
        <w:tc>
          <w:tcPr>
            <w:tcW w:w="1786" w:type="dxa"/>
            <w:tcBorders>
              <w:top w:val="single" w:sz="4" w:space="0" w:color="000000"/>
              <w:left w:val="single" w:sz="4" w:space="0" w:color="000000"/>
              <w:right w:val="single" w:sz="4" w:space="0" w:color="000000"/>
            </w:tcBorders>
          </w:tcPr>
          <w:p>
            <w:pPr>
              <w:pStyle w:val="TableParagraph"/>
              <w:spacing w:line="235" w:lineRule="exact"/>
              <w:ind w:right="89"/>
              <w:jc w:val="right"/>
              <w:rPr>
                <w:sz w:val="21"/>
              </w:rPr>
            </w:pPr>
            <w:r>
              <w:rPr>
                <w:sz w:val="21"/>
              </w:rPr>
              <w:t>367,807,969.34</w:t>
            </w:r>
          </w:p>
        </w:tc>
        <w:tc>
          <w:tcPr>
            <w:tcW w:w="1833" w:type="dxa"/>
            <w:tcBorders>
              <w:top w:val="single" w:sz="4" w:space="0" w:color="000000"/>
              <w:left w:val="single" w:sz="4" w:space="0" w:color="000000"/>
            </w:tcBorders>
          </w:tcPr>
          <w:p>
            <w:pPr>
              <w:pStyle w:val="TableParagraph"/>
              <w:spacing w:line="235" w:lineRule="exact"/>
              <w:ind w:right="80"/>
              <w:jc w:val="right"/>
              <w:rPr>
                <w:sz w:val="21"/>
              </w:rPr>
            </w:pPr>
            <w:r>
              <w:rPr>
                <w:sz w:val="21"/>
              </w:rPr>
              <w:t>633,761,669.48</w:t>
            </w:r>
          </w:p>
        </w:tc>
      </w:tr>
    </w:tbl>
    <w:p>
      <w:pPr>
        <w:spacing w:after="0" w:line="235" w:lineRule="exact"/>
        <w:jc w:val="right"/>
        <w:rPr>
          <w:sz w:val="21"/>
        </w:rPr>
        <w:sectPr>
          <w:type w:val="continuous"/>
          <w:pgSz w:w="11910" w:h="16840"/>
          <w:pgMar w:top="1360" w:bottom="1400" w:left="260" w:right="0"/>
        </w:sectPr>
      </w:pPr>
    </w:p>
    <w:p>
      <w:pPr>
        <w:pStyle w:val="BodyText"/>
        <w:spacing w:line="267" w:lineRule="exact" w:before="3"/>
        <w:ind w:left="1538"/>
      </w:pPr>
      <w:r>
        <w:rPr>
          <w:w w:val="100"/>
        </w:rPr>
        <w:t> </w:t>
      </w:r>
    </w:p>
    <w:p>
      <w:pPr>
        <w:pStyle w:val="Heading4"/>
        <w:spacing w:line="384" w:lineRule="exact"/>
      </w:pPr>
      <w:r>
        <w:rPr>
          <w:rFonts w:ascii="Times New Roman" w:eastAsia="Times New Roman"/>
        </w:rPr>
        <w:t>42</w:t>
      </w:r>
      <w:r>
        <w:rPr>
          <w:spacing w:val="2"/>
        </w:rPr>
        <w:t>、 其他非流动负债</w:t>
      </w:r>
    </w:p>
    <w:p>
      <w:pPr>
        <w:pStyle w:val="BodyText"/>
        <w:spacing w:before="15"/>
        <w:ind w:left="1962"/>
      </w:pPr>
      <w:r>
        <w:rPr>
          <w:spacing w:val="-1"/>
        </w:rPr>
        <w:t>√适用 □不适用</w:t>
      </w:r>
    </w:p>
    <w:p>
      <w:pPr>
        <w:pStyle w:val="BodyText"/>
        <w:rPr>
          <w:sz w:val="20"/>
        </w:rPr>
      </w:pPr>
      <w:r>
        <w:rPr/>
        <w:br w:type="column"/>
      </w:r>
      <w:r>
        <w:rPr>
          <w:sz w:val="20"/>
        </w:rPr>
      </w:r>
    </w:p>
    <w:p>
      <w:pPr>
        <w:pStyle w:val="BodyText"/>
        <w:rPr>
          <w:sz w:val="20"/>
        </w:rPr>
      </w:pPr>
    </w:p>
    <w:p>
      <w:pPr>
        <w:pStyle w:val="BodyText"/>
        <w:rPr>
          <w:sz w:val="20"/>
        </w:rPr>
      </w:pPr>
    </w:p>
    <w:p>
      <w:pPr>
        <w:pStyle w:val="BodyText"/>
        <w:tabs>
          <w:tab w:pos="2589" w:val="left" w:leader="none"/>
        </w:tabs>
        <w:spacing w:before="173"/>
        <w:ind w:left="1538"/>
      </w:pPr>
      <w:r>
        <w:rPr/>
        <w:t>单位：元</w:t>
        <w:tab/>
        <w:t>币</w:t>
      </w:r>
      <w:r>
        <w:rPr>
          <w:spacing w:val="-3"/>
        </w:rPr>
        <w:t>种</w:t>
      </w:r>
      <w:r>
        <w:rPr/>
        <w:t>：</w:t>
      </w:r>
      <w:r>
        <w:rPr>
          <w:spacing w:val="-3"/>
        </w:rPr>
        <w:t>人</w:t>
      </w:r>
      <w:r>
        <w:rPr/>
        <w:t>民币</w:t>
      </w:r>
    </w:p>
    <w:p>
      <w:pPr>
        <w:spacing w:after="0"/>
        <w:sectPr>
          <w:type w:val="continuous"/>
          <w:pgSz w:w="11910" w:h="16840"/>
          <w:pgMar w:top="1360" w:bottom="1400" w:left="260" w:right="0"/>
          <w:cols w:num="2" w:equalWidth="0">
            <w:col w:w="3580" w:space="2941"/>
            <w:col w:w="5129"/>
          </w:cols>
        </w:sect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257"/>
        <w:gridCol w:w="2897"/>
        <w:gridCol w:w="2895"/>
      </w:tblGrid>
      <w:tr>
        <w:trPr>
          <w:trHeight w:val="272" w:hRule="atLeast"/>
        </w:trPr>
        <w:tc>
          <w:tcPr>
            <w:tcW w:w="3257" w:type="dxa"/>
            <w:tcBorders>
              <w:bottom w:val="single" w:sz="4" w:space="0" w:color="000000"/>
              <w:right w:val="single" w:sz="4" w:space="0" w:color="000000"/>
            </w:tcBorders>
          </w:tcPr>
          <w:p>
            <w:pPr>
              <w:pStyle w:val="TableParagraph"/>
              <w:spacing w:line="253" w:lineRule="exact"/>
              <w:ind w:left="1394" w:right="1378"/>
              <w:jc w:val="center"/>
              <w:rPr>
                <w:rFonts w:ascii="Microsoft JhengHei" w:eastAsia="Microsoft JhengHei" w:hint="eastAsia"/>
                <w:b/>
                <w:sz w:val="21"/>
              </w:rPr>
            </w:pPr>
            <w:r>
              <w:rPr>
                <w:rFonts w:ascii="Microsoft JhengHei" w:eastAsia="Microsoft JhengHei" w:hint="eastAsia"/>
                <w:b/>
                <w:sz w:val="21"/>
              </w:rPr>
              <w:t>项目</w:t>
            </w:r>
          </w:p>
        </w:tc>
        <w:tc>
          <w:tcPr>
            <w:tcW w:w="2897" w:type="dxa"/>
            <w:tcBorders>
              <w:left w:val="single" w:sz="4" w:space="0" w:color="000000"/>
              <w:bottom w:val="single" w:sz="4" w:space="0" w:color="000000"/>
              <w:right w:val="single" w:sz="4" w:space="0" w:color="000000"/>
            </w:tcBorders>
          </w:tcPr>
          <w:p>
            <w:pPr>
              <w:pStyle w:val="TableParagraph"/>
              <w:spacing w:line="253" w:lineRule="exact"/>
              <w:ind w:left="1016" w:right="990"/>
              <w:jc w:val="center"/>
              <w:rPr>
                <w:rFonts w:ascii="Microsoft JhengHei" w:eastAsia="Microsoft JhengHei" w:hint="eastAsia"/>
                <w:b/>
                <w:sz w:val="21"/>
              </w:rPr>
            </w:pPr>
            <w:r>
              <w:rPr>
                <w:rFonts w:ascii="Microsoft JhengHei" w:eastAsia="Microsoft JhengHei" w:hint="eastAsia"/>
                <w:b/>
                <w:sz w:val="21"/>
              </w:rPr>
              <w:t>期末余额</w:t>
            </w:r>
          </w:p>
        </w:tc>
        <w:tc>
          <w:tcPr>
            <w:tcW w:w="2895" w:type="dxa"/>
            <w:tcBorders>
              <w:left w:val="single" w:sz="4" w:space="0" w:color="000000"/>
              <w:bottom w:val="single" w:sz="4" w:space="0" w:color="000000"/>
            </w:tcBorders>
          </w:tcPr>
          <w:p>
            <w:pPr>
              <w:pStyle w:val="TableParagraph"/>
              <w:spacing w:line="253" w:lineRule="exact"/>
              <w:ind w:left="1020" w:right="975"/>
              <w:jc w:val="center"/>
              <w:rPr>
                <w:rFonts w:ascii="Microsoft JhengHei" w:eastAsia="Microsoft JhengHei" w:hint="eastAsia"/>
                <w:b/>
                <w:sz w:val="21"/>
              </w:rPr>
            </w:pPr>
            <w:r>
              <w:rPr>
                <w:rFonts w:ascii="Microsoft JhengHei" w:eastAsia="Microsoft JhengHei" w:hint="eastAsia"/>
                <w:b/>
                <w:sz w:val="21"/>
              </w:rPr>
              <w:t>期初余额</w:t>
            </w:r>
          </w:p>
        </w:tc>
      </w:tr>
      <w:tr>
        <w:trPr>
          <w:trHeight w:val="273" w:hRule="atLeast"/>
        </w:trPr>
        <w:tc>
          <w:tcPr>
            <w:tcW w:w="3257"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对少数股东权益的回购义务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895" w:type="dxa"/>
            <w:tcBorders>
              <w:top w:val="single" w:sz="4" w:space="0" w:color="000000"/>
              <w:left w:val="single" w:sz="4" w:space="0" w:color="000000"/>
              <w:bottom w:val="single" w:sz="4" w:space="0" w:color="000000"/>
            </w:tcBorders>
          </w:tcPr>
          <w:p>
            <w:pPr>
              <w:pStyle w:val="TableParagraph"/>
              <w:spacing w:line="235" w:lineRule="exact"/>
              <w:ind w:right="71"/>
              <w:jc w:val="right"/>
              <w:rPr>
                <w:sz w:val="21"/>
              </w:rPr>
            </w:pPr>
            <w:r>
              <w:rPr>
                <w:sz w:val="21"/>
              </w:rPr>
              <w:t>54,598,203.27</w:t>
            </w:r>
          </w:p>
        </w:tc>
      </w:tr>
      <w:tr>
        <w:trPr>
          <w:trHeight w:val="273" w:hRule="atLeast"/>
        </w:trPr>
        <w:tc>
          <w:tcPr>
            <w:tcW w:w="3257"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其他</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1"/>
              <w:jc w:val="right"/>
              <w:rPr>
                <w:sz w:val="21"/>
              </w:rPr>
            </w:pPr>
            <w:r>
              <w:rPr>
                <w:sz w:val="21"/>
              </w:rPr>
              <w:t>27,033,458.13</w:t>
            </w:r>
          </w:p>
        </w:tc>
        <w:tc>
          <w:tcPr>
            <w:tcW w:w="2895" w:type="dxa"/>
            <w:tcBorders>
              <w:top w:val="single" w:sz="4" w:space="0" w:color="000000"/>
              <w:left w:val="single" w:sz="4" w:space="0" w:color="000000"/>
              <w:bottom w:val="single" w:sz="4" w:space="0" w:color="000000"/>
            </w:tcBorders>
          </w:tcPr>
          <w:p>
            <w:pPr>
              <w:pStyle w:val="TableParagraph"/>
              <w:spacing w:line="235" w:lineRule="exact"/>
              <w:ind w:right="71"/>
              <w:jc w:val="right"/>
              <w:rPr>
                <w:sz w:val="21"/>
              </w:rPr>
            </w:pPr>
            <w:r>
              <w:rPr>
                <w:sz w:val="21"/>
              </w:rPr>
              <w:t>15,473,286.76</w:t>
            </w:r>
          </w:p>
        </w:tc>
      </w:tr>
      <w:tr>
        <w:trPr>
          <w:trHeight w:val="270" w:hRule="atLeast"/>
        </w:trPr>
        <w:tc>
          <w:tcPr>
            <w:tcW w:w="3257" w:type="dxa"/>
            <w:tcBorders>
              <w:top w:val="single" w:sz="4" w:space="0" w:color="000000"/>
              <w:right w:val="single" w:sz="4" w:space="0" w:color="000000"/>
            </w:tcBorders>
          </w:tcPr>
          <w:p>
            <w:pPr>
              <w:pStyle w:val="TableParagraph"/>
              <w:spacing w:line="249" w:lineRule="exact" w:before="1"/>
              <w:ind w:left="1396" w:right="1376"/>
              <w:jc w:val="center"/>
              <w:rPr>
                <w:rFonts w:ascii="宋体" w:eastAsia="宋体" w:hint="eastAsia"/>
                <w:sz w:val="21"/>
              </w:rPr>
            </w:pPr>
            <w:r>
              <w:rPr>
                <w:rFonts w:ascii="宋体" w:eastAsia="宋体" w:hint="eastAsia"/>
                <w:sz w:val="21"/>
              </w:rPr>
              <w:t>合计</w:t>
            </w:r>
          </w:p>
        </w:tc>
        <w:tc>
          <w:tcPr>
            <w:tcW w:w="2897" w:type="dxa"/>
            <w:tcBorders>
              <w:top w:val="single" w:sz="4" w:space="0" w:color="000000"/>
              <w:left w:val="single" w:sz="4" w:space="0" w:color="000000"/>
              <w:right w:val="single" w:sz="4" w:space="0" w:color="000000"/>
            </w:tcBorders>
          </w:tcPr>
          <w:p>
            <w:pPr>
              <w:pStyle w:val="TableParagraph"/>
              <w:spacing w:line="235" w:lineRule="exact"/>
              <w:ind w:right="85"/>
              <w:jc w:val="right"/>
              <w:rPr>
                <w:sz w:val="21"/>
              </w:rPr>
            </w:pPr>
            <w:r>
              <w:rPr>
                <w:sz w:val="21"/>
              </w:rPr>
              <w:t>27,033,458.13</w:t>
            </w:r>
          </w:p>
        </w:tc>
        <w:tc>
          <w:tcPr>
            <w:tcW w:w="2895" w:type="dxa"/>
            <w:tcBorders>
              <w:top w:val="single" w:sz="4" w:space="0" w:color="000000"/>
              <w:left w:val="single" w:sz="4" w:space="0" w:color="000000"/>
            </w:tcBorders>
          </w:tcPr>
          <w:p>
            <w:pPr>
              <w:pStyle w:val="TableParagraph"/>
              <w:spacing w:line="235" w:lineRule="exact"/>
              <w:ind w:right="71"/>
              <w:jc w:val="right"/>
              <w:rPr>
                <w:sz w:val="21"/>
              </w:rPr>
            </w:pPr>
            <w:r>
              <w:rPr>
                <w:sz w:val="21"/>
              </w:rPr>
              <w:t>70,071,490.03</w:t>
            </w:r>
          </w:p>
        </w:tc>
      </w:tr>
    </w:tbl>
    <w:p>
      <w:pPr>
        <w:pStyle w:val="BodyText"/>
        <w:spacing w:before="7"/>
        <w:rPr>
          <w:sz w:val="17"/>
        </w:rPr>
      </w:pPr>
    </w:p>
    <w:p>
      <w:pPr>
        <w:pStyle w:val="Heading4"/>
        <w:spacing w:before="9"/>
      </w:pPr>
      <w:r>
        <w:rPr>
          <w:rFonts w:ascii="Times New Roman" w:eastAsia="Times New Roman"/>
        </w:rPr>
        <w:t>43</w:t>
      </w:r>
      <w:r>
        <w:rPr/>
        <w:t>、 股本</w:t>
      </w:r>
    </w:p>
    <w:p>
      <w:pPr>
        <w:pStyle w:val="BodyText"/>
        <w:spacing w:before="17"/>
        <w:ind w:left="1538"/>
      </w:pPr>
      <w:r>
        <w:rPr>
          <w:w w:val="100"/>
        </w:rPr>
        <w:t> </w:t>
      </w:r>
    </w:p>
    <w:tbl>
      <w:tblPr>
        <w:tblW w:w="0" w:type="auto"/>
        <w:jc w:val="left"/>
        <w:tblInd w:w="15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19"/>
        <w:gridCol w:w="1786"/>
        <w:gridCol w:w="1628"/>
        <w:gridCol w:w="1592"/>
        <w:gridCol w:w="1615"/>
      </w:tblGrid>
      <w:tr>
        <w:trPr>
          <w:trHeight w:val="620" w:hRule="atLeast"/>
        </w:trPr>
        <w:tc>
          <w:tcPr>
            <w:tcW w:w="2319" w:type="dxa"/>
            <w:tcBorders>
              <w:bottom w:val="single" w:sz="4" w:space="0" w:color="000000"/>
              <w:right w:val="single" w:sz="4" w:space="0" w:color="000000"/>
            </w:tcBorders>
          </w:tcPr>
          <w:p>
            <w:pPr>
              <w:pStyle w:val="TableParagraph"/>
              <w:spacing w:before="106"/>
              <w:ind w:left="736"/>
              <w:rPr>
                <w:rFonts w:ascii="Microsoft JhengHei" w:eastAsia="Microsoft JhengHei" w:hint="eastAsia"/>
                <w:b/>
                <w:sz w:val="21"/>
              </w:rPr>
            </w:pPr>
            <w:r>
              <w:rPr>
                <w:rFonts w:ascii="Microsoft JhengHei" w:eastAsia="Microsoft JhengHei" w:hint="eastAsia"/>
                <w:b/>
                <w:sz w:val="21"/>
              </w:rPr>
              <w:t>股份类别</w:t>
            </w:r>
          </w:p>
        </w:tc>
        <w:tc>
          <w:tcPr>
            <w:tcW w:w="1786" w:type="dxa"/>
            <w:tcBorders>
              <w:left w:val="single" w:sz="4" w:space="0" w:color="000000"/>
              <w:bottom w:val="single" w:sz="4" w:space="0" w:color="000000"/>
              <w:right w:val="single" w:sz="4" w:space="0" w:color="000000"/>
            </w:tcBorders>
          </w:tcPr>
          <w:p>
            <w:pPr>
              <w:pStyle w:val="TableParagraph"/>
              <w:spacing w:before="106"/>
              <w:ind w:left="482"/>
              <w:rPr>
                <w:rFonts w:ascii="Microsoft JhengHei" w:eastAsia="Microsoft JhengHei" w:hint="eastAsia"/>
                <w:b/>
                <w:sz w:val="21"/>
              </w:rPr>
            </w:pPr>
            <w:r>
              <w:rPr>
                <w:rFonts w:ascii="Microsoft JhengHei" w:eastAsia="Microsoft JhengHei" w:hint="eastAsia"/>
                <w:b/>
                <w:sz w:val="21"/>
              </w:rPr>
              <w:t>期初余额</w:t>
            </w:r>
          </w:p>
        </w:tc>
        <w:tc>
          <w:tcPr>
            <w:tcW w:w="1628" w:type="dxa"/>
            <w:tcBorders>
              <w:left w:val="single" w:sz="4" w:space="0" w:color="000000"/>
              <w:bottom w:val="single" w:sz="4" w:space="0" w:color="000000"/>
              <w:right w:val="single" w:sz="4" w:space="0" w:color="000000"/>
            </w:tcBorders>
          </w:tcPr>
          <w:p>
            <w:pPr>
              <w:pStyle w:val="TableParagraph"/>
              <w:spacing w:before="106"/>
              <w:ind w:left="400"/>
              <w:rPr>
                <w:rFonts w:ascii="Microsoft JhengHei" w:eastAsia="Microsoft JhengHei" w:hint="eastAsia"/>
                <w:b/>
                <w:sz w:val="21"/>
              </w:rPr>
            </w:pPr>
            <w:r>
              <w:rPr>
                <w:rFonts w:ascii="Microsoft JhengHei" w:eastAsia="Microsoft JhengHei" w:hint="eastAsia"/>
                <w:b/>
                <w:sz w:val="21"/>
              </w:rPr>
              <w:t>本期增加</w:t>
            </w:r>
          </w:p>
        </w:tc>
        <w:tc>
          <w:tcPr>
            <w:tcW w:w="1592" w:type="dxa"/>
            <w:tcBorders>
              <w:left w:val="single" w:sz="4" w:space="0" w:color="000000"/>
              <w:bottom w:val="single" w:sz="4" w:space="0" w:color="000000"/>
              <w:right w:val="single" w:sz="4" w:space="0" w:color="000000"/>
            </w:tcBorders>
          </w:tcPr>
          <w:p>
            <w:pPr>
              <w:pStyle w:val="TableParagraph"/>
              <w:spacing w:before="106"/>
              <w:ind w:left="382"/>
              <w:rPr>
                <w:rFonts w:ascii="Microsoft JhengHei" w:eastAsia="Microsoft JhengHei" w:hint="eastAsia"/>
                <w:b/>
                <w:sz w:val="21"/>
              </w:rPr>
            </w:pPr>
            <w:r>
              <w:rPr>
                <w:rFonts w:ascii="Microsoft JhengHei" w:eastAsia="Microsoft JhengHei" w:hint="eastAsia"/>
                <w:b/>
                <w:sz w:val="21"/>
              </w:rPr>
              <w:t>本期减少</w:t>
            </w:r>
          </w:p>
        </w:tc>
        <w:tc>
          <w:tcPr>
            <w:tcW w:w="1615" w:type="dxa"/>
            <w:tcBorders>
              <w:left w:val="single" w:sz="4" w:space="0" w:color="000000"/>
              <w:bottom w:val="single" w:sz="4" w:space="0" w:color="000000"/>
            </w:tcBorders>
          </w:tcPr>
          <w:p>
            <w:pPr>
              <w:pStyle w:val="TableParagraph"/>
              <w:spacing w:before="106"/>
              <w:ind w:left="392"/>
              <w:rPr>
                <w:rFonts w:ascii="Microsoft JhengHei" w:eastAsia="Microsoft JhengHei" w:hint="eastAsia"/>
                <w:b/>
                <w:sz w:val="21"/>
              </w:rPr>
            </w:pPr>
            <w:r>
              <w:rPr>
                <w:rFonts w:ascii="Microsoft JhengHei" w:eastAsia="Microsoft JhengHei" w:hint="eastAsia"/>
                <w:b/>
                <w:sz w:val="21"/>
              </w:rPr>
              <w:t>期末余额</w:t>
            </w:r>
          </w:p>
        </w:tc>
      </w:tr>
      <w:tr>
        <w:trPr>
          <w:trHeight w:val="369" w:hRule="atLeast"/>
        </w:trPr>
        <w:tc>
          <w:tcPr>
            <w:tcW w:w="2319"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一、有限售条件股份</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15"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319"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sz w:val="21"/>
              </w:rPr>
              <w:t>1</w:t>
            </w:r>
            <w:r>
              <w:rPr>
                <w:rFonts w:ascii="宋体" w:eastAsia="宋体" w:hint="eastAsia"/>
                <w:sz w:val="21"/>
              </w:rPr>
              <w:t>、国家持股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15"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319"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sz w:val="21"/>
              </w:rPr>
              <w:t>2</w:t>
            </w:r>
            <w:r>
              <w:rPr>
                <w:rFonts w:ascii="宋体" w:eastAsia="宋体" w:hint="eastAsia"/>
                <w:spacing w:val="-15"/>
                <w:sz w:val="21"/>
              </w:rPr>
              <w:t>、境内非国有法人持股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15"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319"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sz w:val="21"/>
              </w:rPr>
              <w:t>3</w:t>
            </w:r>
            <w:r>
              <w:rPr>
                <w:rFonts w:ascii="宋体" w:eastAsia="宋体" w:hint="eastAsia"/>
                <w:sz w:val="21"/>
              </w:rPr>
              <w:t>、境内自然人持股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15"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319"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sz w:val="21"/>
              </w:rPr>
              <w:t>4</w:t>
            </w:r>
            <w:r>
              <w:rPr>
                <w:rFonts w:ascii="宋体" w:eastAsia="宋体" w:hint="eastAsia"/>
                <w:spacing w:val="-15"/>
                <w:sz w:val="21"/>
              </w:rPr>
              <w:t>、境外非国有法人持股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15"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319"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二、无限售条件股份</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before="55"/>
              <w:ind w:left="482"/>
              <w:rPr>
                <w:sz w:val="21"/>
              </w:rPr>
            </w:pPr>
            <w:r>
              <w:rPr>
                <w:sz w:val="21"/>
              </w:rPr>
              <w:t>6,579,566,627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before="55"/>
              <w:ind w:left="320"/>
              <w:rPr>
                <w:sz w:val="21"/>
              </w:rPr>
            </w:pPr>
            <w:r>
              <w:rPr>
                <w:sz w:val="21"/>
              </w:rPr>
              <w:t>2,448,279,814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15" w:type="dxa"/>
            <w:tcBorders>
              <w:top w:val="single" w:sz="4" w:space="0" w:color="000000"/>
              <w:left w:val="single" w:sz="4" w:space="0" w:color="000000"/>
              <w:bottom w:val="single" w:sz="4" w:space="0" w:color="000000"/>
            </w:tcBorders>
          </w:tcPr>
          <w:p>
            <w:pPr>
              <w:pStyle w:val="TableParagraph"/>
              <w:spacing w:before="55"/>
              <w:ind w:left="305"/>
              <w:rPr>
                <w:sz w:val="21"/>
              </w:rPr>
            </w:pPr>
            <w:r>
              <w:rPr>
                <w:sz w:val="21"/>
              </w:rPr>
              <w:t>9,027,846,441</w:t>
            </w:r>
          </w:p>
        </w:tc>
      </w:tr>
      <w:tr>
        <w:trPr>
          <w:trHeight w:val="366" w:hRule="atLeast"/>
        </w:trPr>
        <w:tc>
          <w:tcPr>
            <w:tcW w:w="2319"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sz w:val="21"/>
              </w:rPr>
              <w:t>1.</w:t>
            </w:r>
            <w:r>
              <w:rPr>
                <w:rFonts w:ascii="宋体" w:eastAsia="宋体" w:hint="eastAsia"/>
                <w:sz w:val="21"/>
              </w:rPr>
              <w:t>人民币普通股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before="55"/>
              <w:ind w:left="482"/>
              <w:rPr>
                <w:sz w:val="21"/>
              </w:rPr>
            </w:pPr>
            <w:r>
              <w:rPr>
                <w:sz w:val="21"/>
              </w:rPr>
              <w:t>6,308,552,654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15" w:type="dxa"/>
            <w:tcBorders>
              <w:top w:val="single" w:sz="4" w:space="0" w:color="000000"/>
              <w:left w:val="single" w:sz="4" w:space="0" w:color="000000"/>
              <w:bottom w:val="single" w:sz="4" w:space="0" w:color="000000"/>
            </w:tcBorders>
          </w:tcPr>
          <w:p>
            <w:pPr>
              <w:pStyle w:val="TableParagraph"/>
              <w:spacing w:before="55"/>
              <w:ind w:left="305"/>
              <w:rPr>
                <w:sz w:val="21"/>
              </w:rPr>
            </w:pPr>
            <w:r>
              <w:rPr>
                <w:sz w:val="21"/>
              </w:rPr>
              <w:t>6,308,552,654</w:t>
            </w:r>
          </w:p>
        </w:tc>
      </w:tr>
      <w:tr>
        <w:trPr>
          <w:trHeight w:val="369" w:hRule="atLeast"/>
        </w:trPr>
        <w:tc>
          <w:tcPr>
            <w:tcW w:w="2319"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sz w:val="21"/>
              </w:rPr>
              <w:t>2.</w:t>
            </w:r>
            <w:r>
              <w:rPr>
                <w:rFonts w:ascii="宋体" w:eastAsia="宋体" w:hint="eastAsia"/>
                <w:sz w:val="21"/>
              </w:rPr>
              <w:t>境内上市的外资股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before="44"/>
              <w:ind w:right="-29"/>
              <w:jc w:val="right"/>
              <w:rPr>
                <w:rFonts w:ascii="宋体"/>
                <w:sz w:val="21"/>
              </w:rPr>
            </w:pPr>
            <w:r>
              <w:rPr>
                <w:rFonts w:ascii="宋体"/>
                <w:w w:val="100"/>
                <w:sz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before="44"/>
              <w:ind w:right="-29"/>
              <w:jc w:val="right"/>
              <w:rPr>
                <w:rFonts w:ascii="宋体"/>
                <w:sz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15" w:type="dxa"/>
            <w:tcBorders>
              <w:top w:val="single" w:sz="4" w:space="0" w:color="000000"/>
              <w:left w:val="single" w:sz="4" w:space="0" w:color="000000"/>
              <w:bottom w:val="single" w:sz="4" w:space="0" w:color="000000"/>
            </w:tcBorders>
          </w:tcPr>
          <w:p>
            <w:pPr>
              <w:pStyle w:val="TableParagraph"/>
              <w:spacing w:before="44"/>
              <w:ind w:right="-29"/>
              <w:jc w:val="right"/>
              <w:rPr>
                <w:rFonts w:ascii="宋体"/>
                <w:sz w:val="21"/>
              </w:rPr>
            </w:pPr>
            <w:r>
              <w:rPr>
                <w:rFonts w:ascii="宋体"/>
                <w:w w:val="100"/>
                <w:sz w:val="21"/>
              </w:rPr>
              <w:t> </w:t>
            </w:r>
          </w:p>
        </w:tc>
      </w:tr>
      <w:tr>
        <w:trPr>
          <w:trHeight w:val="369" w:hRule="atLeast"/>
        </w:trPr>
        <w:tc>
          <w:tcPr>
            <w:tcW w:w="2319"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sz w:val="21"/>
              </w:rPr>
              <w:t>3.</w:t>
            </w:r>
            <w:r>
              <w:rPr>
                <w:rFonts w:ascii="宋体" w:eastAsia="宋体" w:hint="eastAsia"/>
                <w:sz w:val="21"/>
              </w:rPr>
              <w:t>境外上市的外资股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before="58"/>
              <w:ind w:left="638"/>
              <w:rPr>
                <w:sz w:val="21"/>
              </w:rPr>
            </w:pPr>
            <w:r>
              <w:rPr>
                <w:sz w:val="21"/>
              </w:rPr>
              <w:t>271,013,973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before="58"/>
              <w:ind w:left="320"/>
              <w:rPr>
                <w:sz w:val="21"/>
              </w:rPr>
            </w:pPr>
            <w:r>
              <w:rPr>
                <w:sz w:val="21"/>
              </w:rPr>
              <w:t>2,448,279,814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15" w:type="dxa"/>
            <w:tcBorders>
              <w:top w:val="single" w:sz="4" w:space="0" w:color="000000"/>
              <w:left w:val="single" w:sz="4" w:space="0" w:color="000000"/>
              <w:bottom w:val="single" w:sz="4" w:space="0" w:color="000000"/>
            </w:tcBorders>
          </w:tcPr>
          <w:p>
            <w:pPr>
              <w:pStyle w:val="TableParagraph"/>
              <w:spacing w:before="58"/>
              <w:ind w:left="305"/>
              <w:rPr>
                <w:sz w:val="21"/>
              </w:rPr>
            </w:pPr>
            <w:r>
              <w:rPr>
                <w:sz w:val="21"/>
              </w:rPr>
              <w:t>2,719,293,787</w:t>
            </w:r>
          </w:p>
        </w:tc>
      </w:tr>
      <w:tr>
        <w:trPr>
          <w:trHeight w:val="369" w:hRule="atLeast"/>
        </w:trPr>
        <w:tc>
          <w:tcPr>
            <w:tcW w:w="2319"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sz w:val="21"/>
              </w:rPr>
              <w:t>4.</w:t>
            </w:r>
            <w:r>
              <w:rPr>
                <w:rFonts w:ascii="宋体" w:eastAsia="宋体" w:hint="eastAsia"/>
                <w:sz w:val="21"/>
              </w:rPr>
              <w:t>其他</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before="44"/>
              <w:ind w:right="-29"/>
              <w:jc w:val="right"/>
              <w:rPr>
                <w:rFonts w:ascii="宋体"/>
                <w:sz w:val="21"/>
              </w:rPr>
            </w:pPr>
            <w:r>
              <w:rPr>
                <w:rFonts w:ascii="宋体"/>
                <w:w w:val="100"/>
                <w:sz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before="44"/>
              <w:ind w:right="-29"/>
              <w:jc w:val="right"/>
              <w:rPr>
                <w:rFonts w:ascii="宋体"/>
                <w:sz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15" w:type="dxa"/>
            <w:tcBorders>
              <w:top w:val="single" w:sz="4" w:space="0" w:color="000000"/>
              <w:left w:val="single" w:sz="4" w:space="0" w:color="000000"/>
              <w:bottom w:val="single" w:sz="4" w:space="0" w:color="000000"/>
            </w:tcBorders>
          </w:tcPr>
          <w:p>
            <w:pPr>
              <w:pStyle w:val="TableParagraph"/>
              <w:spacing w:before="44"/>
              <w:ind w:right="-29"/>
              <w:jc w:val="right"/>
              <w:rPr>
                <w:rFonts w:ascii="宋体"/>
                <w:sz w:val="21"/>
              </w:rPr>
            </w:pPr>
            <w:r>
              <w:rPr>
                <w:rFonts w:ascii="宋体"/>
                <w:w w:val="100"/>
                <w:sz w:val="21"/>
              </w:rPr>
              <w:t> </w:t>
            </w:r>
          </w:p>
        </w:tc>
      </w:tr>
      <w:tr>
        <w:trPr>
          <w:trHeight w:val="368" w:hRule="atLeast"/>
        </w:trPr>
        <w:tc>
          <w:tcPr>
            <w:tcW w:w="2319" w:type="dxa"/>
            <w:tcBorders>
              <w:top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三、股份总数</w:t>
            </w:r>
          </w:p>
        </w:tc>
        <w:tc>
          <w:tcPr>
            <w:tcW w:w="1786" w:type="dxa"/>
            <w:tcBorders>
              <w:top w:val="single" w:sz="4" w:space="0" w:color="000000"/>
              <w:left w:val="single" w:sz="4" w:space="0" w:color="000000"/>
              <w:right w:val="single" w:sz="4" w:space="0" w:color="000000"/>
            </w:tcBorders>
          </w:tcPr>
          <w:p>
            <w:pPr>
              <w:pStyle w:val="TableParagraph"/>
              <w:spacing w:before="58"/>
              <w:ind w:left="482"/>
              <w:rPr>
                <w:sz w:val="21"/>
              </w:rPr>
            </w:pPr>
            <w:r>
              <w:rPr>
                <w:sz w:val="21"/>
              </w:rPr>
              <w:t>6,579,566,627</w:t>
            </w:r>
          </w:p>
        </w:tc>
        <w:tc>
          <w:tcPr>
            <w:tcW w:w="1628" w:type="dxa"/>
            <w:tcBorders>
              <w:top w:val="single" w:sz="4" w:space="0" w:color="000000"/>
              <w:left w:val="single" w:sz="4" w:space="0" w:color="000000"/>
              <w:right w:val="single" w:sz="4" w:space="0" w:color="000000"/>
            </w:tcBorders>
          </w:tcPr>
          <w:p>
            <w:pPr>
              <w:pStyle w:val="TableParagraph"/>
              <w:spacing w:before="58"/>
              <w:ind w:left="320"/>
              <w:rPr>
                <w:sz w:val="21"/>
              </w:rPr>
            </w:pPr>
            <w:r>
              <w:rPr>
                <w:sz w:val="21"/>
              </w:rPr>
              <w:t>2,448,279,814</w:t>
            </w:r>
          </w:p>
        </w:tc>
        <w:tc>
          <w:tcPr>
            <w:tcW w:w="1592" w:type="dxa"/>
            <w:tcBorders>
              <w:top w:val="single" w:sz="4" w:space="0" w:color="000000"/>
              <w:left w:val="single" w:sz="4" w:space="0" w:color="000000"/>
              <w:right w:val="single" w:sz="4" w:space="0" w:color="000000"/>
            </w:tcBorders>
          </w:tcPr>
          <w:p>
            <w:pPr>
              <w:pStyle w:val="TableParagraph"/>
              <w:spacing w:before="44"/>
              <w:ind w:right="-29"/>
              <w:jc w:val="right"/>
              <w:rPr>
                <w:rFonts w:ascii="宋体"/>
                <w:sz w:val="21"/>
              </w:rPr>
            </w:pPr>
            <w:r>
              <w:rPr>
                <w:rFonts w:ascii="宋体"/>
                <w:w w:val="100"/>
                <w:sz w:val="21"/>
              </w:rPr>
              <w:t> </w:t>
            </w:r>
          </w:p>
        </w:tc>
        <w:tc>
          <w:tcPr>
            <w:tcW w:w="1615" w:type="dxa"/>
            <w:tcBorders>
              <w:top w:val="single" w:sz="4" w:space="0" w:color="000000"/>
              <w:left w:val="single" w:sz="4" w:space="0" w:color="000000"/>
            </w:tcBorders>
          </w:tcPr>
          <w:p>
            <w:pPr>
              <w:pStyle w:val="TableParagraph"/>
              <w:spacing w:before="58"/>
              <w:ind w:left="305"/>
              <w:rPr>
                <w:sz w:val="21"/>
              </w:rPr>
            </w:pPr>
            <w:r>
              <w:rPr>
                <w:sz w:val="21"/>
              </w:rPr>
              <w:t>9,027,846,441</w:t>
            </w:r>
          </w:p>
        </w:tc>
      </w:tr>
    </w:tbl>
    <w:p>
      <w:pPr>
        <w:pStyle w:val="BodyText"/>
        <w:spacing w:line="265" w:lineRule="exact" w:before="3"/>
        <w:ind w:left="1538"/>
      </w:pPr>
      <w:r>
        <w:rPr>
          <w:w w:val="100"/>
        </w:rPr>
        <w:t> </w:t>
      </w:r>
    </w:p>
    <w:p>
      <w:pPr>
        <w:pStyle w:val="Heading4"/>
        <w:spacing w:line="383" w:lineRule="exact"/>
      </w:pPr>
      <w:r>
        <w:rPr>
          <w:rFonts w:ascii="Times New Roman" w:eastAsia="Times New Roman"/>
        </w:rPr>
        <w:t>44</w:t>
      </w:r>
      <w:r>
        <w:rPr/>
        <w:t>、 其他权益工具</w:t>
      </w:r>
    </w:p>
    <w:p>
      <w:pPr>
        <w:pStyle w:val="BodyText"/>
        <w:spacing w:before="18"/>
        <w:ind w:left="1538"/>
      </w:pPr>
      <w:r>
        <w:rPr>
          <w:w w:val="100"/>
        </w:rPr>
        <w:t> </w:t>
      </w:r>
    </w:p>
    <w:p>
      <w:pPr>
        <w:pStyle w:val="BodyText"/>
        <w:spacing w:before="3"/>
        <w:rPr>
          <w:sz w:val="6"/>
        </w:rPr>
      </w:pPr>
    </w:p>
    <w:tbl>
      <w:tblPr>
        <w:tblW w:w="0" w:type="auto"/>
        <w:jc w:val="left"/>
        <w:tblInd w:w="155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00"/>
        <w:gridCol w:w="1702"/>
        <w:gridCol w:w="1561"/>
        <w:gridCol w:w="1559"/>
        <w:gridCol w:w="1702"/>
      </w:tblGrid>
      <w:tr>
        <w:trPr>
          <w:trHeight w:val="368" w:hRule="atLeast"/>
        </w:trPr>
        <w:tc>
          <w:tcPr>
            <w:tcW w:w="2300" w:type="dxa"/>
            <w:tcBorders>
              <w:bottom w:val="single" w:sz="4" w:space="0" w:color="000000"/>
              <w:right w:val="single" w:sz="4" w:space="0" w:color="000000"/>
            </w:tcBorders>
          </w:tcPr>
          <w:p>
            <w:pPr>
              <w:pStyle w:val="TableParagraph"/>
              <w:spacing w:line="349" w:lineRule="exact"/>
              <w:ind w:left="1117"/>
              <w:rPr>
                <w:rFonts w:ascii="Microsoft JhengHei" w:eastAsia="Microsoft JhengHei" w:hint="eastAsia"/>
                <w:b/>
                <w:sz w:val="21"/>
              </w:rPr>
            </w:pPr>
            <w:r>
              <w:rPr>
                <w:rFonts w:ascii="Microsoft JhengHei" w:eastAsia="Microsoft JhengHei" w:hint="eastAsia"/>
                <w:b/>
                <w:sz w:val="21"/>
              </w:rPr>
              <w:t>项目</w:t>
            </w:r>
          </w:p>
        </w:tc>
        <w:tc>
          <w:tcPr>
            <w:tcW w:w="1702" w:type="dxa"/>
            <w:tcBorders>
              <w:left w:val="single" w:sz="4" w:space="0" w:color="000000"/>
              <w:bottom w:val="single" w:sz="4" w:space="0" w:color="000000"/>
              <w:right w:val="single" w:sz="4" w:space="0" w:color="000000"/>
            </w:tcBorders>
          </w:tcPr>
          <w:p>
            <w:pPr>
              <w:pStyle w:val="TableParagraph"/>
              <w:spacing w:line="349" w:lineRule="exact"/>
              <w:ind w:left="438"/>
              <w:rPr>
                <w:rFonts w:ascii="Microsoft JhengHei" w:eastAsia="Microsoft JhengHei" w:hint="eastAsia"/>
                <w:b/>
                <w:sz w:val="21"/>
              </w:rPr>
            </w:pPr>
            <w:r>
              <w:rPr>
                <w:rFonts w:ascii="Microsoft JhengHei" w:eastAsia="Microsoft JhengHei" w:hint="eastAsia"/>
                <w:b/>
                <w:sz w:val="21"/>
              </w:rPr>
              <w:t>期初余额</w:t>
            </w:r>
          </w:p>
        </w:tc>
        <w:tc>
          <w:tcPr>
            <w:tcW w:w="1561" w:type="dxa"/>
            <w:tcBorders>
              <w:left w:val="single" w:sz="4" w:space="0" w:color="000000"/>
              <w:bottom w:val="single" w:sz="4" w:space="0" w:color="000000"/>
              <w:right w:val="single" w:sz="4" w:space="0" w:color="000000"/>
            </w:tcBorders>
          </w:tcPr>
          <w:p>
            <w:pPr>
              <w:pStyle w:val="TableParagraph"/>
              <w:spacing w:line="349" w:lineRule="exact"/>
              <w:ind w:left="26"/>
              <w:jc w:val="center"/>
              <w:rPr>
                <w:rFonts w:ascii="Microsoft JhengHei" w:eastAsia="Microsoft JhengHei" w:hint="eastAsia"/>
                <w:b/>
                <w:sz w:val="21"/>
              </w:rPr>
            </w:pPr>
            <w:r>
              <w:rPr>
                <w:rFonts w:ascii="Microsoft JhengHei" w:eastAsia="Microsoft JhengHei" w:hint="eastAsia"/>
                <w:b/>
                <w:sz w:val="21"/>
              </w:rPr>
              <w:t>本期增加</w:t>
            </w:r>
          </w:p>
        </w:tc>
        <w:tc>
          <w:tcPr>
            <w:tcW w:w="1559" w:type="dxa"/>
            <w:tcBorders>
              <w:left w:val="single" w:sz="4" w:space="0" w:color="000000"/>
              <w:bottom w:val="single" w:sz="4" w:space="0" w:color="000000"/>
              <w:right w:val="single" w:sz="4" w:space="0" w:color="000000"/>
            </w:tcBorders>
          </w:tcPr>
          <w:p>
            <w:pPr>
              <w:pStyle w:val="TableParagraph"/>
              <w:spacing w:line="349" w:lineRule="exact"/>
              <w:ind w:left="365"/>
              <w:rPr>
                <w:rFonts w:ascii="Microsoft JhengHei" w:eastAsia="Microsoft JhengHei" w:hint="eastAsia"/>
                <w:b/>
                <w:sz w:val="21"/>
              </w:rPr>
            </w:pPr>
            <w:r>
              <w:rPr>
                <w:rFonts w:ascii="Microsoft JhengHei" w:eastAsia="Microsoft JhengHei" w:hint="eastAsia"/>
                <w:b/>
                <w:sz w:val="21"/>
              </w:rPr>
              <w:t>本期减少</w:t>
            </w:r>
          </w:p>
        </w:tc>
        <w:tc>
          <w:tcPr>
            <w:tcW w:w="1702" w:type="dxa"/>
            <w:tcBorders>
              <w:left w:val="single" w:sz="4" w:space="0" w:color="000000"/>
              <w:bottom w:val="single" w:sz="4" w:space="0" w:color="000000"/>
            </w:tcBorders>
          </w:tcPr>
          <w:p>
            <w:pPr>
              <w:pStyle w:val="TableParagraph"/>
              <w:spacing w:line="349" w:lineRule="exact"/>
              <w:ind w:left="436"/>
              <w:rPr>
                <w:rFonts w:ascii="Microsoft JhengHei" w:eastAsia="Microsoft JhengHei" w:hint="eastAsia"/>
                <w:b/>
                <w:sz w:val="21"/>
              </w:rPr>
            </w:pPr>
            <w:r>
              <w:rPr>
                <w:rFonts w:ascii="Microsoft JhengHei" w:eastAsia="Microsoft JhengHei" w:hint="eastAsia"/>
                <w:b/>
                <w:sz w:val="21"/>
              </w:rPr>
              <w:t>期末余额</w:t>
            </w:r>
          </w:p>
        </w:tc>
      </w:tr>
      <w:tr>
        <w:trPr>
          <w:trHeight w:val="369" w:hRule="atLeast"/>
        </w:trPr>
        <w:tc>
          <w:tcPr>
            <w:tcW w:w="2300" w:type="dxa"/>
            <w:tcBorders>
              <w:top w:val="single" w:sz="4" w:space="0" w:color="000000"/>
              <w:bottom w:val="single" w:sz="4" w:space="0" w:color="000000"/>
              <w:right w:val="single" w:sz="4" w:space="0" w:color="000000"/>
            </w:tcBorders>
          </w:tcPr>
          <w:p>
            <w:pPr>
              <w:pStyle w:val="TableParagraph"/>
              <w:spacing w:before="49"/>
              <w:ind w:left="30"/>
              <w:rPr>
                <w:rFonts w:ascii="宋体" w:eastAsia="宋体" w:hint="eastAsia"/>
                <w:sz w:val="21"/>
              </w:rPr>
            </w:pPr>
            <w:r>
              <w:rPr>
                <w:rFonts w:ascii="宋体" w:eastAsia="宋体" w:hint="eastAsia"/>
                <w:sz w:val="21"/>
              </w:rPr>
              <w:t>可交换债券权益部分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58"/>
              <w:ind w:right="5"/>
              <w:jc w:val="right"/>
              <w:rPr>
                <w:sz w:val="21"/>
              </w:rPr>
            </w:pPr>
            <w:r>
              <w:rPr>
                <w:sz w:val="21"/>
              </w:rPr>
              <w:t>431,424,524.07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before="58"/>
              <w:ind w:right="7"/>
              <w:jc w:val="right"/>
              <w:rPr>
                <w:sz w:val="21"/>
              </w:rPr>
            </w:pPr>
            <w:r>
              <w:rPr>
                <w:sz w:val="21"/>
              </w:rPr>
              <w:t>431,424,524.07</w:t>
            </w:r>
          </w:p>
        </w:tc>
        <w:tc>
          <w:tcPr>
            <w:tcW w:w="1702"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2300" w:type="dxa"/>
            <w:tcBorders>
              <w:top w:val="single" w:sz="4" w:space="0" w:color="000000"/>
              <w:bottom w:val="single" w:sz="4" w:space="0" w:color="000000"/>
              <w:right w:val="single" w:sz="4" w:space="0" w:color="000000"/>
            </w:tcBorders>
          </w:tcPr>
          <w:p>
            <w:pPr>
              <w:pStyle w:val="TableParagraph"/>
              <w:spacing w:before="49"/>
              <w:ind w:left="30"/>
              <w:rPr>
                <w:rFonts w:ascii="宋体" w:eastAsia="宋体" w:hint="eastAsia"/>
                <w:sz w:val="21"/>
              </w:rPr>
            </w:pPr>
            <w:r>
              <w:rPr>
                <w:rFonts w:ascii="宋体" w:eastAsia="宋体" w:hint="eastAsia"/>
                <w:sz w:val="21"/>
              </w:rPr>
              <w:t>可转换债券权益部分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55"/>
              <w:ind w:left="55"/>
              <w:jc w:val="center"/>
              <w:rPr>
                <w:sz w:val="21"/>
              </w:rPr>
            </w:pPr>
            <w:r>
              <w:rPr>
                <w:sz w:val="21"/>
              </w:rPr>
              <w:t>2,364,195,333.79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702" w:type="dxa"/>
            <w:tcBorders>
              <w:top w:val="single" w:sz="4" w:space="0" w:color="000000"/>
              <w:left w:val="single" w:sz="4" w:space="0" w:color="000000"/>
              <w:bottom w:val="single" w:sz="4" w:space="0" w:color="000000"/>
            </w:tcBorders>
          </w:tcPr>
          <w:p>
            <w:pPr>
              <w:pStyle w:val="TableParagraph"/>
              <w:spacing w:before="55"/>
              <w:ind w:right="-15"/>
              <w:jc w:val="right"/>
              <w:rPr>
                <w:sz w:val="21"/>
              </w:rPr>
            </w:pPr>
            <w:r>
              <w:rPr>
                <w:sz w:val="21"/>
              </w:rPr>
              <w:t>2,364,195,333.79</w:t>
            </w:r>
          </w:p>
        </w:tc>
      </w:tr>
      <w:tr>
        <w:trPr>
          <w:trHeight w:val="366" w:hRule="atLeast"/>
        </w:trPr>
        <w:tc>
          <w:tcPr>
            <w:tcW w:w="2300" w:type="dxa"/>
            <w:tcBorders>
              <w:top w:val="single" w:sz="4" w:space="0" w:color="000000"/>
              <w:right w:val="single" w:sz="4" w:space="0" w:color="000000"/>
            </w:tcBorders>
          </w:tcPr>
          <w:p>
            <w:pPr>
              <w:pStyle w:val="TableParagraph"/>
              <w:spacing w:before="49"/>
              <w:ind w:left="918" w:right="901"/>
              <w:jc w:val="center"/>
              <w:rPr>
                <w:rFonts w:ascii="宋体" w:eastAsia="宋体" w:hint="eastAsia"/>
                <w:sz w:val="21"/>
              </w:rPr>
            </w:pPr>
            <w:r>
              <w:rPr>
                <w:rFonts w:ascii="宋体" w:eastAsia="宋体" w:hint="eastAsia"/>
                <w:sz w:val="21"/>
              </w:rPr>
              <w:t>合计</w:t>
            </w:r>
          </w:p>
        </w:tc>
        <w:tc>
          <w:tcPr>
            <w:tcW w:w="1702" w:type="dxa"/>
            <w:tcBorders>
              <w:top w:val="single" w:sz="4" w:space="0" w:color="000000"/>
              <w:left w:val="single" w:sz="4" w:space="0" w:color="000000"/>
              <w:right w:val="single" w:sz="4" w:space="0" w:color="000000"/>
            </w:tcBorders>
          </w:tcPr>
          <w:p>
            <w:pPr>
              <w:pStyle w:val="TableParagraph"/>
              <w:spacing w:before="55"/>
              <w:ind w:right="5"/>
              <w:jc w:val="right"/>
              <w:rPr>
                <w:sz w:val="21"/>
              </w:rPr>
            </w:pPr>
            <w:r>
              <w:rPr>
                <w:sz w:val="21"/>
              </w:rPr>
              <w:t>431,424,524.07</w:t>
            </w:r>
          </w:p>
        </w:tc>
        <w:tc>
          <w:tcPr>
            <w:tcW w:w="1561" w:type="dxa"/>
            <w:tcBorders>
              <w:top w:val="single" w:sz="4" w:space="0" w:color="000000"/>
              <w:left w:val="single" w:sz="4" w:space="0" w:color="000000"/>
              <w:right w:val="single" w:sz="4" w:space="0" w:color="000000"/>
            </w:tcBorders>
          </w:tcPr>
          <w:p>
            <w:pPr>
              <w:pStyle w:val="TableParagraph"/>
              <w:spacing w:before="55"/>
              <w:ind w:left="55"/>
              <w:jc w:val="center"/>
              <w:rPr>
                <w:sz w:val="21"/>
              </w:rPr>
            </w:pPr>
            <w:r>
              <w:rPr>
                <w:sz w:val="21"/>
              </w:rPr>
              <w:t>2,364,195,333.79</w:t>
            </w:r>
          </w:p>
        </w:tc>
        <w:tc>
          <w:tcPr>
            <w:tcW w:w="1559" w:type="dxa"/>
            <w:tcBorders>
              <w:top w:val="single" w:sz="4" w:space="0" w:color="000000"/>
              <w:left w:val="single" w:sz="4" w:space="0" w:color="000000"/>
              <w:right w:val="single" w:sz="4" w:space="0" w:color="000000"/>
            </w:tcBorders>
          </w:tcPr>
          <w:p>
            <w:pPr>
              <w:pStyle w:val="TableParagraph"/>
              <w:spacing w:before="55"/>
              <w:ind w:right="7"/>
              <w:jc w:val="right"/>
              <w:rPr>
                <w:sz w:val="21"/>
              </w:rPr>
            </w:pPr>
            <w:r>
              <w:rPr>
                <w:sz w:val="21"/>
              </w:rPr>
              <w:t>431,424,524.07</w:t>
            </w:r>
          </w:p>
        </w:tc>
        <w:tc>
          <w:tcPr>
            <w:tcW w:w="1702" w:type="dxa"/>
            <w:tcBorders>
              <w:top w:val="single" w:sz="4" w:space="0" w:color="000000"/>
              <w:left w:val="single" w:sz="4" w:space="0" w:color="000000"/>
            </w:tcBorders>
          </w:tcPr>
          <w:p>
            <w:pPr>
              <w:pStyle w:val="TableParagraph"/>
              <w:spacing w:before="55"/>
              <w:ind w:right="-15"/>
              <w:jc w:val="right"/>
              <w:rPr>
                <w:sz w:val="21"/>
              </w:rPr>
            </w:pPr>
            <w:r>
              <w:rPr>
                <w:sz w:val="21"/>
              </w:rPr>
              <w:t>2,364,195,333.79</w:t>
            </w:r>
          </w:p>
        </w:tc>
      </w:tr>
    </w:tbl>
    <w:p>
      <w:pPr>
        <w:pStyle w:val="BodyText"/>
        <w:spacing w:line="267" w:lineRule="exact" w:before="4"/>
        <w:ind w:left="1538"/>
      </w:pPr>
      <w:r>
        <w:rPr>
          <w:w w:val="100"/>
        </w:rPr>
        <w:t> </w:t>
      </w:r>
    </w:p>
    <w:p>
      <w:pPr>
        <w:pStyle w:val="Heading4"/>
        <w:spacing w:line="384" w:lineRule="exact"/>
      </w:pPr>
      <w:r>
        <w:rPr>
          <w:rFonts w:ascii="Times New Roman" w:eastAsia="Times New Roman"/>
        </w:rPr>
        <w:t>45</w:t>
      </w:r>
      <w:r>
        <w:rPr/>
        <w:t>、 资本公积</w:t>
      </w:r>
    </w:p>
    <w:p>
      <w:pPr>
        <w:pStyle w:val="BodyText"/>
        <w:spacing w:before="14"/>
        <w:ind w:left="1538"/>
      </w:pPr>
      <w:r>
        <w:rPr/>
        <w:t>√适用 □不适用</w:t>
      </w:r>
    </w:p>
    <w:p>
      <w:pPr>
        <w:spacing w:after="0"/>
        <w:sectPr>
          <w:type w:val="continuous"/>
          <w:pgSz w:w="11910" w:h="16840"/>
          <w:pgMar w:top="1360" w:bottom="1400" w:left="260" w:right="0"/>
        </w:sectPr>
      </w:pPr>
    </w:p>
    <w:p>
      <w:pPr>
        <w:pStyle w:val="BodyText"/>
        <w:tabs>
          <w:tab w:pos="1051" w:val="left" w:leader="none"/>
        </w:tabs>
        <w:spacing w:before="68" w:after="4"/>
        <w:ind w:right="1270"/>
        <w:jc w:val="right"/>
      </w:pPr>
      <w:r>
        <w:rPr/>
        <w:t>单位：元</w:t>
        <w:tab/>
      </w:r>
      <w:r>
        <w:rPr>
          <w:spacing w:val="-1"/>
        </w:rPr>
        <w:t>币</w:t>
      </w:r>
      <w:r>
        <w:rPr>
          <w:spacing w:val="-3"/>
        </w:rPr>
        <w:t>种</w:t>
      </w:r>
      <w:r>
        <w:rPr/>
        <w:t>：</w:t>
      </w:r>
      <w:r>
        <w:rPr>
          <w:spacing w:val="-3"/>
        </w:rPr>
        <w:t>人</w:t>
      </w:r>
      <w:r>
        <w:rPr/>
        <w:t>民币</w:t>
      </w:r>
    </w:p>
    <w:tbl>
      <w:tblPr>
        <w:tblW w:w="0" w:type="auto"/>
        <w:jc w:val="left"/>
        <w:tblInd w:w="14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706"/>
        <w:gridCol w:w="1822"/>
        <w:gridCol w:w="1855"/>
        <w:gridCol w:w="1838"/>
        <w:gridCol w:w="1837"/>
      </w:tblGrid>
      <w:tr>
        <w:trPr>
          <w:trHeight w:val="272" w:hRule="atLeast"/>
        </w:trPr>
        <w:tc>
          <w:tcPr>
            <w:tcW w:w="1706" w:type="dxa"/>
            <w:tcBorders>
              <w:bottom w:val="single" w:sz="4" w:space="0" w:color="000000"/>
              <w:right w:val="single" w:sz="4" w:space="0" w:color="000000"/>
            </w:tcBorders>
          </w:tcPr>
          <w:p>
            <w:pPr>
              <w:pStyle w:val="TableParagraph"/>
              <w:spacing w:line="253" w:lineRule="exact"/>
              <w:ind w:left="618" w:right="602"/>
              <w:jc w:val="center"/>
              <w:rPr>
                <w:rFonts w:ascii="Microsoft JhengHei" w:eastAsia="Microsoft JhengHei" w:hint="eastAsia"/>
                <w:b/>
                <w:sz w:val="21"/>
              </w:rPr>
            </w:pPr>
            <w:r>
              <w:rPr>
                <w:rFonts w:ascii="Microsoft JhengHei" w:eastAsia="Microsoft JhengHei" w:hint="eastAsia"/>
                <w:b/>
                <w:sz w:val="21"/>
              </w:rPr>
              <w:t>项目</w:t>
            </w:r>
          </w:p>
        </w:tc>
        <w:tc>
          <w:tcPr>
            <w:tcW w:w="1822" w:type="dxa"/>
            <w:tcBorders>
              <w:left w:val="single" w:sz="4" w:space="0" w:color="000000"/>
              <w:bottom w:val="single" w:sz="4" w:space="0" w:color="000000"/>
              <w:right w:val="single" w:sz="4" w:space="0" w:color="000000"/>
            </w:tcBorders>
          </w:tcPr>
          <w:p>
            <w:pPr>
              <w:pStyle w:val="TableParagraph"/>
              <w:spacing w:line="253" w:lineRule="exact"/>
              <w:ind w:left="499"/>
              <w:rPr>
                <w:rFonts w:ascii="Microsoft JhengHei" w:eastAsia="Microsoft JhengHei" w:hint="eastAsia"/>
                <w:b/>
                <w:sz w:val="21"/>
              </w:rPr>
            </w:pPr>
            <w:r>
              <w:rPr>
                <w:rFonts w:ascii="Microsoft JhengHei" w:eastAsia="Microsoft JhengHei" w:hint="eastAsia"/>
                <w:b/>
                <w:sz w:val="21"/>
              </w:rPr>
              <w:t>期初余额</w:t>
            </w:r>
          </w:p>
        </w:tc>
        <w:tc>
          <w:tcPr>
            <w:tcW w:w="1855" w:type="dxa"/>
            <w:tcBorders>
              <w:left w:val="single" w:sz="4" w:space="0" w:color="000000"/>
              <w:bottom w:val="single" w:sz="4" w:space="0" w:color="000000"/>
              <w:right w:val="single" w:sz="4" w:space="0" w:color="000000"/>
            </w:tcBorders>
          </w:tcPr>
          <w:p>
            <w:pPr>
              <w:pStyle w:val="TableParagraph"/>
              <w:spacing w:line="253" w:lineRule="exact"/>
              <w:ind w:left="516"/>
              <w:rPr>
                <w:rFonts w:ascii="Microsoft JhengHei" w:eastAsia="Microsoft JhengHei" w:hint="eastAsia"/>
                <w:b/>
                <w:sz w:val="21"/>
              </w:rPr>
            </w:pPr>
            <w:r>
              <w:rPr>
                <w:rFonts w:ascii="Microsoft JhengHei" w:eastAsia="Microsoft JhengHei" w:hint="eastAsia"/>
                <w:b/>
                <w:sz w:val="21"/>
              </w:rPr>
              <w:t>本期增加</w:t>
            </w:r>
          </w:p>
        </w:tc>
        <w:tc>
          <w:tcPr>
            <w:tcW w:w="1838" w:type="dxa"/>
            <w:tcBorders>
              <w:left w:val="single" w:sz="4" w:space="0" w:color="000000"/>
              <w:bottom w:val="single" w:sz="4" w:space="0" w:color="000000"/>
              <w:right w:val="single" w:sz="4" w:space="0" w:color="000000"/>
            </w:tcBorders>
          </w:tcPr>
          <w:p>
            <w:pPr>
              <w:pStyle w:val="TableParagraph"/>
              <w:spacing w:line="253" w:lineRule="exact"/>
              <w:ind w:left="507"/>
              <w:rPr>
                <w:rFonts w:ascii="Microsoft JhengHei" w:eastAsia="Microsoft JhengHei" w:hint="eastAsia"/>
                <w:b/>
                <w:sz w:val="21"/>
              </w:rPr>
            </w:pPr>
            <w:r>
              <w:rPr>
                <w:rFonts w:ascii="Microsoft JhengHei" w:eastAsia="Microsoft JhengHei" w:hint="eastAsia"/>
                <w:b/>
                <w:sz w:val="21"/>
              </w:rPr>
              <w:t>本期减少</w:t>
            </w:r>
          </w:p>
        </w:tc>
        <w:tc>
          <w:tcPr>
            <w:tcW w:w="1837" w:type="dxa"/>
            <w:tcBorders>
              <w:left w:val="single" w:sz="4" w:space="0" w:color="000000"/>
              <w:bottom w:val="single" w:sz="4" w:space="0" w:color="000000"/>
            </w:tcBorders>
          </w:tcPr>
          <w:p>
            <w:pPr>
              <w:pStyle w:val="TableParagraph"/>
              <w:spacing w:line="253" w:lineRule="exact"/>
              <w:ind w:left="508"/>
              <w:rPr>
                <w:rFonts w:ascii="Microsoft JhengHei" w:eastAsia="Microsoft JhengHei" w:hint="eastAsia"/>
                <w:b/>
                <w:sz w:val="21"/>
              </w:rPr>
            </w:pPr>
            <w:r>
              <w:rPr>
                <w:rFonts w:ascii="Microsoft JhengHei" w:eastAsia="Microsoft JhengHei" w:hint="eastAsia"/>
                <w:b/>
                <w:sz w:val="21"/>
              </w:rPr>
              <w:t>期末余额</w:t>
            </w:r>
          </w:p>
        </w:tc>
      </w:tr>
      <w:tr>
        <w:trPr>
          <w:trHeight w:val="544" w:hRule="atLeast"/>
        </w:trPr>
        <w:tc>
          <w:tcPr>
            <w:tcW w:w="1706" w:type="dxa"/>
            <w:tcBorders>
              <w:top w:val="single" w:sz="4" w:space="0" w:color="000000"/>
              <w:bottom w:val="single" w:sz="4" w:space="0" w:color="000000"/>
              <w:right w:val="single" w:sz="4" w:space="0" w:color="000000"/>
            </w:tcBorders>
          </w:tcPr>
          <w:p>
            <w:pPr>
              <w:pStyle w:val="TableParagraph"/>
              <w:spacing w:before="1"/>
              <w:ind w:left="112"/>
              <w:rPr>
                <w:rFonts w:ascii="宋体" w:eastAsia="宋体" w:hint="eastAsia"/>
                <w:sz w:val="21"/>
              </w:rPr>
            </w:pPr>
            <w:r>
              <w:rPr>
                <w:rFonts w:ascii="宋体" w:eastAsia="宋体" w:hint="eastAsia"/>
                <w:sz w:val="21"/>
              </w:rPr>
              <w:t>资本溢价（股本</w:t>
            </w:r>
          </w:p>
          <w:p>
            <w:pPr>
              <w:pStyle w:val="TableParagraph"/>
              <w:spacing w:line="250" w:lineRule="exact" w:before="4"/>
              <w:ind w:left="112"/>
              <w:rPr>
                <w:rFonts w:ascii="宋体" w:eastAsia="宋体" w:hint="eastAsia"/>
                <w:sz w:val="21"/>
              </w:rPr>
            </w:pPr>
            <w:r>
              <w:rPr>
                <w:rFonts w:ascii="宋体" w:eastAsia="宋体" w:hint="eastAsia"/>
                <w:sz w:val="21"/>
              </w:rPr>
              <w:t>溢价）</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before="144"/>
              <w:ind w:right="88"/>
              <w:jc w:val="right"/>
              <w:rPr>
                <w:sz w:val="21"/>
              </w:rPr>
            </w:pPr>
            <w:r>
              <w:rPr>
                <w:sz w:val="21"/>
              </w:rPr>
              <w:t>3,636,172,794.06</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before="144"/>
              <w:ind w:right="88"/>
              <w:jc w:val="right"/>
              <w:rPr>
                <w:sz w:val="21"/>
              </w:rPr>
            </w:pPr>
            <w:r>
              <w:rPr>
                <w:sz w:val="21"/>
              </w:rPr>
              <w:t>12,509,214,213.19</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before="144"/>
              <w:ind w:right="87"/>
              <w:jc w:val="right"/>
              <w:rPr>
                <w:sz w:val="21"/>
              </w:rPr>
            </w:pPr>
            <w:r>
              <w:rPr>
                <w:sz w:val="21"/>
              </w:rPr>
              <w:t>1,950,039,867.08</w:t>
            </w:r>
          </w:p>
        </w:tc>
        <w:tc>
          <w:tcPr>
            <w:tcW w:w="1837" w:type="dxa"/>
            <w:tcBorders>
              <w:top w:val="single" w:sz="4" w:space="0" w:color="000000"/>
              <w:left w:val="single" w:sz="4" w:space="0" w:color="000000"/>
              <w:bottom w:val="single" w:sz="4" w:space="0" w:color="000000"/>
            </w:tcBorders>
          </w:tcPr>
          <w:p>
            <w:pPr>
              <w:pStyle w:val="TableParagraph"/>
              <w:spacing w:before="144"/>
              <w:ind w:right="77"/>
              <w:jc w:val="right"/>
              <w:rPr>
                <w:sz w:val="21"/>
              </w:rPr>
            </w:pPr>
            <w:r>
              <w:rPr>
                <w:sz w:val="21"/>
              </w:rPr>
              <w:t>14,195,347,140.17</w:t>
            </w:r>
          </w:p>
        </w:tc>
      </w:tr>
      <w:tr>
        <w:trPr>
          <w:trHeight w:val="273" w:hRule="atLeast"/>
        </w:trPr>
        <w:tc>
          <w:tcPr>
            <w:tcW w:w="1706" w:type="dxa"/>
            <w:tcBorders>
              <w:top w:val="single" w:sz="4" w:space="0" w:color="000000"/>
              <w:bottom w:val="single" w:sz="4" w:space="0" w:color="000000"/>
              <w:right w:val="single" w:sz="4" w:space="0" w:color="000000"/>
            </w:tcBorders>
          </w:tcPr>
          <w:p>
            <w:pPr>
              <w:pStyle w:val="TableParagraph"/>
              <w:spacing w:line="252" w:lineRule="exact" w:before="1"/>
              <w:ind w:left="112"/>
              <w:rPr>
                <w:rFonts w:ascii="宋体" w:eastAsia="宋体" w:hint="eastAsia"/>
                <w:sz w:val="21"/>
              </w:rPr>
            </w:pPr>
            <w:r>
              <w:rPr>
                <w:rFonts w:ascii="宋体" w:eastAsia="宋体" w:hint="eastAsia"/>
                <w:sz w:val="21"/>
              </w:rPr>
              <w:t>其他资本公积</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before="10"/>
              <w:ind w:right="88"/>
              <w:jc w:val="right"/>
              <w:rPr>
                <w:sz w:val="21"/>
              </w:rPr>
            </w:pPr>
            <w:r>
              <w:rPr>
                <w:sz w:val="21"/>
              </w:rPr>
              <w:t>799,718,051.41</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before="10"/>
              <w:ind w:right="88"/>
              <w:jc w:val="right"/>
              <w:rPr>
                <w:sz w:val="21"/>
              </w:rPr>
            </w:pPr>
            <w:r>
              <w:rPr>
                <w:sz w:val="21"/>
              </w:rPr>
              <w:t>41,101,902.14</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before="10"/>
              <w:ind w:right="87"/>
              <w:jc w:val="right"/>
              <w:rPr>
                <w:sz w:val="21"/>
              </w:rPr>
            </w:pPr>
            <w:r>
              <w:rPr>
                <w:sz w:val="21"/>
              </w:rPr>
              <w:t>27,139,686.32</w:t>
            </w:r>
          </w:p>
        </w:tc>
        <w:tc>
          <w:tcPr>
            <w:tcW w:w="1837" w:type="dxa"/>
            <w:tcBorders>
              <w:top w:val="single" w:sz="4" w:space="0" w:color="000000"/>
              <w:left w:val="single" w:sz="4" w:space="0" w:color="000000"/>
              <w:bottom w:val="single" w:sz="4" w:space="0" w:color="000000"/>
            </w:tcBorders>
          </w:tcPr>
          <w:p>
            <w:pPr>
              <w:pStyle w:val="TableParagraph"/>
              <w:spacing w:before="10"/>
              <w:ind w:right="77"/>
              <w:jc w:val="right"/>
              <w:rPr>
                <w:sz w:val="21"/>
              </w:rPr>
            </w:pPr>
            <w:r>
              <w:rPr>
                <w:sz w:val="21"/>
              </w:rPr>
              <w:t>813,680,267.23</w:t>
            </w:r>
          </w:p>
        </w:tc>
      </w:tr>
      <w:tr>
        <w:trPr>
          <w:trHeight w:val="270" w:hRule="atLeast"/>
        </w:trPr>
        <w:tc>
          <w:tcPr>
            <w:tcW w:w="1706" w:type="dxa"/>
            <w:tcBorders>
              <w:top w:val="single" w:sz="4" w:space="0" w:color="000000"/>
              <w:right w:val="single" w:sz="4" w:space="0" w:color="000000"/>
            </w:tcBorders>
          </w:tcPr>
          <w:p>
            <w:pPr>
              <w:pStyle w:val="TableParagraph"/>
              <w:spacing w:line="249" w:lineRule="exact" w:before="1"/>
              <w:ind w:left="621" w:right="600"/>
              <w:jc w:val="center"/>
              <w:rPr>
                <w:rFonts w:ascii="宋体" w:eastAsia="宋体" w:hint="eastAsia"/>
                <w:sz w:val="21"/>
              </w:rPr>
            </w:pPr>
            <w:r>
              <w:rPr>
                <w:rFonts w:ascii="宋体" w:eastAsia="宋体" w:hint="eastAsia"/>
                <w:sz w:val="21"/>
              </w:rPr>
              <w:t>合计</w:t>
            </w:r>
          </w:p>
        </w:tc>
        <w:tc>
          <w:tcPr>
            <w:tcW w:w="1822" w:type="dxa"/>
            <w:tcBorders>
              <w:top w:val="single" w:sz="4" w:space="0" w:color="000000"/>
              <w:left w:val="single" w:sz="4" w:space="0" w:color="000000"/>
              <w:right w:val="single" w:sz="4" w:space="0" w:color="000000"/>
            </w:tcBorders>
          </w:tcPr>
          <w:p>
            <w:pPr>
              <w:pStyle w:val="TableParagraph"/>
              <w:spacing w:before="7"/>
              <w:ind w:right="88"/>
              <w:jc w:val="right"/>
              <w:rPr>
                <w:sz w:val="21"/>
              </w:rPr>
            </w:pPr>
            <w:r>
              <w:rPr>
                <w:sz w:val="21"/>
              </w:rPr>
              <w:t>4,435,890,845.47</w:t>
            </w:r>
          </w:p>
        </w:tc>
        <w:tc>
          <w:tcPr>
            <w:tcW w:w="1855" w:type="dxa"/>
            <w:tcBorders>
              <w:top w:val="single" w:sz="4" w:space="0" w:color="000000"/>
              <w:left w:val="single" w:sz="4" w:space="0" w:color="000000"/>
              <w:right w:val="single" w:sz="4" w:space="0" w:color="000000"/>
            </w:tcBorders>
          </w:tcPr>
          <w:p>
            <w:pPr>
              <w:pStyle w:val="TableParagraph"/>
              <w:spacing w:before="7"/>
              <w:ind w:right="88"/>
              <w:jc w:val="right"/>
              <w:rPr>
                <w:sz w:val="21"/>
              </w:rPr>
            </w:pPr>
            <w:r>
              <w:rPr>
                <w:sz w:val="21"/>
              </w:rPr>
              <w:t>12,550,316,115.33</w:t>
            </w:r>
          </w:p>
        </w:tc>
        <w:tc>
          <w:tcPr>
            <w:tcW w:w="1838" w:type="dxa"/>
            <w:tcBorders>
              <w:top w:val="single" w:sz="4" w:space="0" w:color="000000"/>
              <w:left w:val="single" w:sz="4" w:space="0" w:color="000000"/>
              <w:right w:val="single" w:sz="4" w:space="0" w:color="000000"/>
            </w:tcBorders>
          </w:tcPr>
          <w:p>
            <w:pPr>
              <w:pStyle w:val="TableParagraph"/>
              <w:spacing w:before="7"/>
              <w:ind w:right="87"/>
              <w:jc w:val="right"/>
              <w:rPr>
                <w:sz w:val="21"/>
              </w:rPr>
            </w:pPr>
            <w:r>
              <w:rPr>
                <w:sz w:val="21"/>
              </w:rPr>
              <w:t>1,977,179,553.40</w:t>
            </w:r>
          </w:p>
        </w:tc>
        <w:tc>
          <w:tcPr>
            <w:tcW w:w="1837" w:type="dxa"/>
            <w:tcBorders>
              <w:top w:val="single" w:sz="4" w:space="0" w:color="000000"/>
              <w:left w:val="single" w:sz="4" w:space="0" w:color="000000"/>
            </w:tcBorders>
          </w:tcPr>
          <w:p>
            <w:pPr>
              <w:pStyle w:val="TableParagraph"/>
              <w:spacing w:before="7"/>
              <w:ind w:right="77"/>
              <w:jc w:val="right"/>
              <w:rPr>
                <w:sz w:val="21"/>
              </w:rPr>
            </w:pPr>
            <w:r>
              <w:rPr>
                <w:sz w:val="21"/>
              </w:rPr>
              <w:t>15,009,027,407.40</w:t>
            </w:r>
          </w:p>
        </w:tc>
      </w:tr>
    </w:tbl>
    <w:p>
      <w:pPr>
        <w:pStyle w:val="BodyText"/>
        <w:spacing w:before="3"/>
        <w:ind w:left="1898"/>
      </w:pPr>
      <w:r>
        <w:rPr/>
        <w:t>股本溢价变动的主要原因：本期收购子公司少数股权及子公司非同比例增资。</w:t>
      </w:r>
    </w:p>
    <w:p>
      <w:pPr>
        <w:pStyle w:val="BodyText"/>
        <w:spacing w:line="364" w:lineRule="auto" w:before="139"/>
        <w:ind w:left="1538" w:right="1277"/>
      </w:pPr>
      <w:r>
        <w:rPr/>
        <w:t>其他资本公积变动的主要原因：权益法核算公司其他权益变动相应确认其他资本公积及处置子公司其他资本公积转出。</w:t>
      </w:r>
    </w:p>
    <w:p>
      <w:pPr>
        <w:pStyle w:val="Heading4"/>
        <w:spacing w:line="375" w:lineRule="exact"/>
      </w:pPr>
      <w:r>
        <w:rPr>
          <w:rFonts w:ascii="Times New Roman" w:eastAsia="Times New Roman"/>
        </w:rPr>
        <w:t>46</w:t>
      </w:r>
      <w:r>
        <w:rPr/>
        <w:t>、 其他综合收益</w:t>
      </w:r>
    </w:p>
    <w:p>
      <w:pPr>
        <w:pStyle w:val="BodyText"/>
        <w:spacing w:before="17"/>
        <w:ind w:left="1538"/>
      </w:pPr>
      <w:r>
        <w:rPr>
          <w:w w:val="100"/>
        </w:rPr>
        <w:t> </w:t>
      </w:r>
    </w:p>
    <w:tbl>
      <w:tblPr>
        <w:tblW w:w="0" w:type="auto"/>
        <w:jc w:val="left"/>
        <w:tblInd w:w="14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78"/>
        <w:gridCol w:w="1303"/>
        <w:gridCol w:w="1241"/>
        <w:gridCol w:w="1111"/>
        <w:gridCol w:w="1239"/>
        <w:gridCol w:w="1212"/>
        <w:gridCol w:w="1064"/>
        <w:gridCol w:w="1301"/>
      </w:tblGrid>
      <w:tr>
        <w:trPr>
          <w:trHeight w:val="371" w:hRule="atLeast"/>
        </w:trPr>
        <w:tc>
          <w:tcPr>
            <w:tcW w:w="578" w:type="dxa"/>
            <w:vMerge w:val="restart"/>
            <w:tcBorders>
              <w:bottom w:val="single" w:sz="4" w:space="0" w:color="000000"/>
              <w:right w:val="single" w:sz="4" w:space="0" w:color="000000"/>
            </w:tcBorders>
          </w:tcPr>
          <w:p>
            <w:pPr>
              <w:pStyle w:val="TableParagraph"/>
              <w:spacing w:before="4"/>
              <w:rPr>
                <w:rFonts w:ascii="宋体"/>
                <w:sz w:val="19"/>
              </w:rPr>
            </w:pPr>
          </w:p>
          <w:p>
            <w:pPr>
              <w:pStyle w:val="TableParagraph"/>
              <w:ind w:left="107"/>
              <w:rPr>
                <w:rFonts w:ascii="Microsoft JhengHei" w:eastAsia="Microsoft JhengHei" w:hint="eastAsia"/>
                <w:b/>
                <w:sz w:val="18"/>
              </w:rPr>
            </w:pPr>
            <w:r>
              <w:rPr>
                <w:rFonts w:ascii="Microsoft JhengHei" w:eastAsia="Microsoft JhengHei" w:hint="eastAsia"/>
                <w:b/>
                <w:sz w:val="18"/>
              </w:rPr>
              <w:t>项目</w:t>
            </w:r>
          </w:p>
        </w:tc>
        <w:tc>
          <w:tcPr>
            <w:tcW w:w="1303" w:type="dxa"/>
            <w:vMerge w:val="restart"/>
            <w:tcBorders>
              <w:left w:val="single" w:sz="4" w:space="0" w:color="000000"/>
              <w:bottom w:val="single" w:sz="4" w:space="0" w:color="000000"/>
              <w:right w:val="single" w:sz="4" w:space="0" w:color="000000"/>
            </w:tcBorders>
          </w:tcPr>
          <w:p>
            <w:pPr>
              <w:pStyle w:val="TableParagraph"/>
              <w:spacing w:before="4"/>
              <w:rPr>
                <w:rFonts w:ascii="宋体"/>
                <w:sz w:val="19"/>
              </w:rPr>
            </w:pPr>
          </w:p>
          <w:p>
            <w:pPr>
              <w:pStyle w:val="TableParagraph"/>
              <w:ind w:left="300"/>
              <w:rPr>
                <w:rFonts w:ascii="Microsoft JhengHei" w:eastAsia="Microsoft JhengHei" w:hint="eastAsia"/>
                <w:b/>
                <w:sz w:val="18"/>
              </w:rPr>
            </w:pPr>
            <w:r>
              <w:rPr>
                <w:rFonts w:ascii="Microsoft JhengHei" w:eastAsia="Microsoft JhengHei" w:hint="eastAsia"/>
                <w:b/>
                <w:sz w:val="18"/>
              </w:rPr>
              <w:t>期初余额</w:t>
            </w:r>
          </w:p>
        </w:tc>
        <w:tc>
          <w:tcPr>
            <w:tcW w:w="5867" w:type="dxa"/>
            <w:gridSpan w:val="5"/>
            <w:tcBorders>
              <w:left w:val="single" w:sz="4" w:space="0" w:color="000000"/>
              <w:bottom w:val="single" w:sz="4" w:space="0" w:color="000000"/>
              <w:right w:val="single" w:sz="4" w:space="0" w:color="000000"/>
            </w:tcBorders>
          </w:tcPr>
          <w:p>
            <w:pPr>
              <w:pStyle w:val="TableParagraph"/>
              <w:spacing w:before="10"/>
              <w:ind w:left="2563" w:right="2174"/>
              <w:jc w:val="center"/>
              <w:rPr>
                <w:rFonts w:ascii="Microsoft JhengHei" w:eastAsia="Microsoft JhengHei" w:hint="eastAsia"/>
                <w:b/>
                <w:sz w:val="18"/>
              </w:rPr>
            </w:pPr>
            <w:r>
              <w:rPr>
                <w:rFonts w:ascii="Microsoft JhengHei" w:eastAsia="Microsoft JhengHei" w:hint="eastAsia"/>
                <w:b/>
                <w:sz w:val="18"/>
              </w:rPr>
              <w:t>本期发生金额</w:t>
            </w:r>
          </w:p>
        </w:tc>
        <w:tc>
          <w:tcPr>
            <w:tcW w:w="1301" w:type="dxa"/>
            <w:vMerge w:val="restart"/>
            <w:tcBorders>
              <w:left w:val="single" w:sz="4" w:space="0" w:color="000000"/>
              <w:bottom w:val="single" w:sz="4" w:space="0" w:color="000000"/>
            </w:tcBorders>
          </w:tcPr>
          <w:p>
            <w:pPr>
              <w:pStyle w:val="TableParagraph"/>
              <w:spacing w:before="4"/>
              <w:rPr>
                <w:rFonts w:ascii="宋体"/>
                <w:sz w:val="19"/>
              </w:rPr>
            </w:pPr>
          </w:p>
          <w:p>
            <w:pPr>
              <w:pStyle w:val="TableParagraph"/>
              <w:ind w:left="298"/>
              <w:rPr>
                <w:rFonts w:ascii="Microsoft JhengHei" w:eastAsia="Microsoft JhengHei" w:hint="eastAsia"/>
                <w:b/>
                <w:sz w:val="18"/>
              </w:rPr>
            </w:pPr>
            <w:r>
              <w:rPr>
                <w:rFonts w:ascii="Microsoft JhengHei" w:eastAsia="Microsoft JhengHei" w:hint="eastAsia"/>
                <w:b/>
                <w:sz w:val="18"/>
              </w:rPr>
              <w:t>期末余额</w:t>
            </w:r>
          </w:p>
        </w:tc>
      </w:tr>
      <w:tr>
        <w:trPr>
          <w:trHeight w:val="465" w:hRule="atLeast"/>
        </w:trPr>
        <w:tc>
          <w:tcPr>
            <w:tcW w:w="578" w:type="dxa"/>
            <w:vMerge/>
            <w:tcBorders>
              <w:top w:val="nil"/>
              <w:bottom w:val="single" w:sz="4" w:space="0" w:color="000000"/>
              <w:right w:val="single" w:sz="4" w:space="0" w:color="000000"/>
            </w:tcBorders>
          </w:tcPr>
          <w:p>
            <w:pPr>
              <w:rPr>
                <w:sz w:val="2"/>
                <w:szCs w:val="2"/>
              </w:rPr>
            </w:pPr>
          </w:p>
        </w:tc>
        <w:tc>
          <w:tcPr>
            <w:tcW w:w="1303" w:type="dxa"/>
            <w:vMerge/>
            <w:tcBorders>
              <w:top w:val="nil"/>
              <w:left w:val="single" w:sz="4" w:space="0" w:color="000000"/>
              <w:bottom w:val="single" w:sz="4" w:space="0" w:color="000000"/>
              <w:right w:val="single" w:sz="4" w:space="0" w:color="000000"/>
            </w:tcBorders>
          </w:tcPr>
          <w:p>
            <w:pPr>
              <w:rPr>
                <w:sz w:val="2"/>
                <w:szCs w:val="2"/>
              </w:rPr>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77"/>
              <w:rPr>
                <w:rFonts w:ascii="Microsoft JhengHei" w:eastAsia="Microsoft JhengHei" w:hint="eastAsia"/>
                <w:b/>
                <w:sz w:val="18"/>
              </w:rPr>
            </w:pPr>
            <w:r>
              <w:rPr>
                <w:rFonts w:ascii="Microsoft JhengHei" w:eastAsia="Microsoft JhengHei" w:hint="eastAsia"/>
                <w:b/>
                <w:sz w:val="18"/>
              </w:rPr>
              <w:t>本期所得税</w:t>
            </w:r>
          </w:p>
          <w:p>
            <w:pPr>
              <w:pStyle w:val="TableParagraph"/>
              <w:spacing w:line="223" w:lineRule="exact"/>
              <w:ind w:left="269"/>
              <w:rPr>
                <w:rFonts w:ascii="Microsoft JhengHei" w:eastAsia="Microsoft JhengHei" w:hint="eastAsia"/>
                <w:b/>
                <w:sz w:val="18"/>
              </w:rPr>
            </w:pPr>
            <w:r>
              <w:rPr>
                <w:rFonts w:ascii="Microsoft JhengHei" w:eastAsia="Microsoft JhengHei" w:hint="eastAsia"/>
                <w:b/>
                <w:sz w:val="18"/>
              </w:rPr>
              <w:t>前发生额</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93" w:right="68"/>
              <w:jc w:val="center"/>
              <w:rPr>
                <w:rFonts w:ascii="Microsoft JhengHei" w:eastAsia="Microsoft JhengHei" w:hint="eastAsia"/>
                <w:b/>
                <w:sz w:val="18"/>
              </w:rPr>
            </w:pPr>
            <w:r>
              <w:rPr>
                <w:rFonts w:ascii="Microsoft JhengHei" w:eastAsia="Microsoft JhengHei" w:hint="eastAsia"/>
                <w:b/>
                <w:sz w:val="18"/>
              </w:rPr>
              <w:t>减：所得税</w:t>
            </w:r>
          </w:p>
          <w:p>
            <w:pPr>
              <w:pStyle w:val="TableParagraph"/>
              <w:spacing w:line="223" w:lineRule="exact"/>
              <w:ind w:left="93" w:right="65"/>
              <w:jc w:val="center"/>
              <w:rPr>
                <w:rFonts w:ascii="Microsoft JhengHei" w:eastAsia="Microsoft JhengHei" w:hint="eastAsia"/>
                <w:b/>
                <w:sz w:val="18"/>
              </w:rPr>
            </w:pPr>
            <w:r>
              <w:rPr>
                <w:rFonts w:ascii="Microsoft JhengHei" w:eastAsia="Microsoft JhengHei" w:hint="eastAsia"/>
                <w:b/>
                <w:sz w:val="18"/>
              </w:rPr>
              <w:t>费用</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57" w:right="132"/>
              <w:jc w:val="center"/>
              <w:rPr>
                <w:rFonts w:ascii="Microsoft JhengHei" w:eastAsia="Microsoft JhengHei" w:hint="eastAsia"/>
                <w:b/>
                <w:sz w:val="18"/>
              </w:rPr>
            </w:pPr>
            <w:r>
              <w:rPr>
                <w:rFonts w:ascii="Microsoft JhengHei" w:eastAsia="Microsoft JhengHei" w:hint="eastAsia"/>
                <w:b/>
                <w:sz w:val="18"/>
              </w:rPr>
              <w:t>税后归属于</w:t>
            </w:r>
          </w:p>
          <w:p>
            <w:pPr>
              <w:pStyle w:val="TableParagraph"/>
              <w:spacing w:line="223" w:lineRule="exact"/>
              <w:ind w:left="157" w:right="132"/>
              <w:jc w:val="center"/>
              <w:rPr>
                <w:rFonts w:ascii="Microsoft JhengHei" w:eastAsia="Microsoft JhengHei" w:hint="eastAsia"/>
                <w:b/>
                <w:sz w:val="18"/>
              </w:rPr>
            </w:pPr>
            <w:r>
              <w:rPr>
                <w:rFonts w:ascii="Microsoft JhengHei" w:eastAsia="Microsoft JhengHei" w:hint="eastAsia"/>
                <w:b/>
                <w:sz w:val="18"/>
              </w:rPr>
              <w:t>母公司</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63"/>
              <w:rPr>
                <w:rFonts w:ascii="Microsoft JhengHei" w:eastAsia="Microsoft JhengHei" w:hint="eastAsia"/>
                <w:b/>
                <w:sz w:val="18"/>
              </w:rPr>
            </w:pPr>
            <w:r>
              <w:rPr>
                <w:rFonts w:ascii="Microsoft JhengHei" w:eastAsia="Microsoft JhengHei" w:hint="eastAsia"/>
                <w:b/>
                <w:sz w:val="18"/>
              </w:rPr>
              <w:t>税后归属于</w:t>
            </w:r>
          </w:p>
          <w:p>
            <w:pPr>
              <w:pStyle w:val="TableParagraph"/>
              <w:spacing w:line="223" w:lineRule="exact"/>
              <w:ind w:left="255"/>
              <w:rPr>
                <w:rFonts w:ascii="Microsoft JhengHei" w:eastAsia="Microsoft JhengHei" w:hint="eastAsia"/>
                <w:b/>
                <w:sz w:val="18"/>
              </w:rPr>
            </w:pPr>
            <w:r>
              <w:rPr>
                <w:rFonts w:ascii="Microsoft JhengHei" w:eastAsia="Microsoft JhengHei" w:hint="eastAsia"/>
                <w:b/>
                <w:sz w:val="18"/>
              </w:rPr>
              <w:t>少数股东</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before="55"/>
              <w:ind w:left="360"/>
              <w:rPr>
                <w:rFonts w:ascii="Microsoft JhengHei" w:eastAsia="Microsoft JhengHei" w:hint="eastAsia"/>
                <w:b/>
                <w:sz w:val="18"/>
              </w:rPr>
            </w:pPr>
            <w:r>
              <w:rPr>
                <w:rFonts w:ascii="Microsoft JhengHei" w:eastAsia="Microsoft JhengHei" w:hint="eastAsia"/>
                <w:b/>
                <w:sz w:val="18"/>
              </w:rPr>
              <w:t>其他</w:t>
            </w:r>
          </w:p>
        </w:tc>
        <w:tc>
          <w:tcPr>
            <w:tcW w:w="1301" w:type="dxa"/>
            <w:vMerge/>
            <w:tcBorders>
              <w:top w:val="nil"/>
              <w:left w:val="single" w:sz="4" w:space="0" w:color="000000"/>
              <w:bottom w:val="single" w:sz="4" w:space="0" w:color="000000"/>
            </w:tcBorders>
          </w:tcPr>
          <w:p>
            <w:pPr>
              <w:rPr>
                <w:sz w:val="2"/>
                <w:szCs w:val="2"/>
              </w:rPr>
            </w:pPr>
          </w:p>
        </w:tc>
      </w:tr>
      <w:tr>
        <w:trPr>
          <w:trHeight w:val="369" w:hRule="atLeast"/>
        </w:trPr>
        <w:tc>
          <w:tcPr>
            <w:tcW w:w="578" w:type="dxa"/>
            <w:tcBorders>
              <w:top w:val="single" w:sz="4" w:space="0" w:color="000000"/>
              <w:bottom w:val="single" w:sz="4" w:space="0" w:color="000000"/>
              <w:right w:val="single" w:sz="4" w:space="0" w:color="000000"/>
            </w:tcBorders>
          </w:tcPr>
          <w:p>
            <w:pPr>
              <w:pStyle w:val="TableParagraph"/>
              <w:spacing w:before="76"/>
              <w:ind w:left="19"/>
              <w:jc w:val="center"/>
              <w:rPr>
                <w:sz w:val="18"/>
              </w:rPr>
            </w:pPr>
            <w:r>
              <w:rPr>
                <w:sz w:val="18"/>
              </w:rPr>
              <w:t>a</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before="106"/>
              <w:ind w:right="84"/>
              <w:jc w:val="right"/>
              <w:rPr>
                <w:sz w:val="13"/>
              </w:rPr>
            </w:pPr>
            <w:r>
              <w:rPr>
                <w:sz w:val="13"/>
              </w:rPr>
              <w:t>17,478,970.09</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before="106"/>
              <w:ind w:right="86"/>
              <w:jc w:val="right"/>
              <w:rPr>
                <w:sz w:val="13"/>
              </w:rPr>
            </w:pPr>
            <w:r>
              <w:rPr>
                <w:sz w:val="13"/>
              </w:rPr>
              <w:t>-324,414,470.72</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before="106"/>
              <w:ind w:left="219"/>
              <w:rPr>
                <w:sz w:val="13"/>
              </w:rPr>
            </w:pPr>
            <w:r>
              <w:rPr>
                <w:sz w:val="13"/>
              </w:rPr>
              <w:t>-17,252,640.69</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before="106"/>
              <w:ind w:right="86"/>
              <w:jc w:val="right"/>
              <w:rPr>
                <w:sz w:val="13"/>
              </w:rPr>
            </w:pPr>
            <w:r>
              <w:rPr>
                <w:sz w:val="13"/>
              </w:rPr>
              <w:t>-368,885,317.13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before="106"/>
              <w:ind w:right="83"/>
              <w:jc w:val="right"/>
              <w:rPr>
                <w:sz w:val="13"/>
              </w:rPr>
            </w:pPr>
            <w:r>
              <w:rPr>
                <w:sz w:val="13"/>
              </w:rPr>
              <w:t>27,218,205.72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before="106"/>
              <w:ind w:left="219"/>
              <w:rPr>
                <w:sz w:val="13"/>
              </w:rPr>
            </w:pPr>
            <w:r>
              <w:rPr>
                <w:sz w:val="13"/>
              </w:rPr>
              <w:t>58,758,930.80</w:t>
            </w:r>
          </w:p>
        </w:tc>
        <w:tc>
          <w:tcPr>
            <w:tcW w:w="1301" w:type="dxa"/>
            <w:tcBorders>
              <w:top w:val="single" w:sz="4" w:space="0" w:color="000000"/>
              <w:left w:val="single" w:sz="4" w:space="0" w:color="000000"/>
              <w:bottom w:val="single" w:sz="4" w:space="0" w:color="000000"/>
            </w:tcBorders>
          </w:tcPr>
          <w:p>
            <w:pPr>
              <w:pStyle w:val="TableParagraph"/>
              <w:spacing w:before="106"/>
              <w:ind w:right="76"/>
              <w:jc w:val="right"/>
              <w:rPr>
                <w:sz w:val="13"/>
              </w:rPr>
            </w:pPr>
            <w:r>
              <w:rPr>
                <w:sz w:val="13"/>
              </w:rPr>
              <w:t>-292,647,416.24</w:t>
            </w:r>
          </w:p>
        </w:tc>
      </w:tr>
      <w:tr>
        <w:trPr>
          <w:trHeight w:val="369" w:hRule="atLeast"/>
        </w:trPr>
        <w:tc>
          <w:tcPr>
            <w:tcW w:w="578" w:type="dxa"/>
            <w:tcBorders>
              <w:top w:val="single" w:sz="4" w:space="0" w:color="000000"/>
              <w:bottom w:val="single" w:sz="4" w:space="0" w:color="000000"/>
              <w:right w:val="single" w:sz="4" w:space="0" w:color="000000"/>
            </w:tcBorders>
          </w:tcPr>
          <w:p>
            <w:pPr>
              <w:pStyle w:val="TableParagraph"/>
              <w:spacing w:before="76"/>
              <w:ind w:left="15"/>
              <w:jc w:val="center"/>
              <w:rPr>
                <w:sz w:val="18"/>
              </w:rPr>
            </w:pPr>
            <w:r>
              <w:rPr>
                <w:sz w:val="18"/>
              </w:rPr>
              <w:t>b</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before="106"/>
              <w:ind w:right="84"/>
              <w:jc w:val="right"/>
              <w:rPr>
                <w:sz w:val="13"/>
              </w:rPr>
            </w:pPr>
            <w:r>
              <w:rPr>
                <w:sz w:val="13"/>
              </w:rPr>
              <w:t>3,180,368.82</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before="106"/>
              <w:ind w:right="86"/>
              <w:jc w:val="right"/>
              <w:rPr>
                <w:sz w:val="13"/>
              </w:rPr>
            </w:pPr>
            <w:r>
              <w:rPr>
                <w:sz w:val="13"/>
              </w:rPr>
              <w:t>-146,442,438.62</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before="106"/>
              <w:ind w:left="264"/>
              <w:rPr>
                <w:sz w:val="13"/>
              </w:rPr>
            </w:pPr>
            <w:r>
              <w:rPr>
                <w:sz w:val="13"/>
              </w:rPr>
              <w:t>49,062,064.71</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before="106"/>
              <w:ind w:right="86"/>
              <w:jc w:val="right"/>
              <w:rPr>
                <w:sz w:val="13"/>
              </w:rPr>
            </w:pPr>
            <w:r>
              <w:rPr>
                <w:sz w:val="13"/>
              </w:rPr>
              <w:t>-104,122,543.00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before="106"/>
              <w:ind w:right="83"/>
              <w:jc w:val="right"/>
              <w:rPr>
                <w:sz w:val="13"/>
              </w:rPr>
            </w:pPr>
            <w:r>
              <w:rPr>
                <w:sz w:val="13"/>
              </w:rPr>
              <w:t>6,742,169.09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before="106"/>
              <w:ind w:left="336"/>
              <w:rPr>
                <w:sz w:val="13"/>
              </w:rPr>
            </w:pPr>
            <w:r>
              <w:rPr>
                <w:sz w:val="13"/>
              </w:rPr>
              <w:t>-297,721.09</w:t>
            </w:r>
          </w:p>
        </w:tc>
        <w:tc>
          <w:tcPr>
            <w:tcW w:w="1301" w:type="dxa"/>
            <w:tcBorders>
              <w:top w:val="single" w:sz="4" w:space="0" w:color="000000"/>
              <w:left w:val="single" w:sz="4" w:space="0" w:color="000000"/>
              <w:bottom w:val="single" w:sz="4" w:space="0" w:color="000000"/>
            </w:tcBorders>
          </w:tcPr>
          <w:p>
            <w:pPr>
              <w:pStyle w:val="TableParagraph"/>
              <w:spacing w:before="106"/>
              <w:ind w:right="76"/>
              <w:jc w:val="right"/>
              <w:rPr>
                <w:sz w:val="13"/>
              </w:rPr>
            </w:pPr>
            <w:r>
              <w:rPr>
                <w:sz w:val="13"/>
              </w:rPr>
              <w:t>-101,239,895.27</w:t>
            </w:r>
          </w:p>
        </w:tc>
      </w:tr>
      <w:tr>
        <w:trPr>
          <w:trHeight w:val="369" w:hRule="atLeast"/>
        </w:trPr>
        <w:tc>
          <w:tcPr>
            <w:tcW w:w="578" w:type="dxa"/>
            <w:tcBorders>
              <w:top w:val="single" w:sz="4" w:space="0" w:color="000000"/>
              <w:bottom w:val="single" w:sz="4" w:space="0" w:color="000000"/>
              <w:right w:val="single" w:sz="4" w:space="0" w:color="000000"/>
            </w:tcBorders>
          </w:tcPr>
          <w:p>
            <w:pPr>
              <w:pStyle w:val="TableParagraph"/>
              <w:spacing w:before="76"/>
              <w:ind w:left="19"/>
              <w:jc w:val="center"/>
              <w:rPr>
                <w:sz w:val="18"/>
              </w:rPr>
            </w:pPr>
            <w:r>
              <w:rPr>
                <w:sz w:val="18"/>
              </w:rPr>
              <w:t>c</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before="106"/>
              <w:ind w:right="84"/>
              <w:jc w:val="right"/>
              <w:rPr>
                <w:sz w:val="13"/>
              </w:rPr>
            </w:pPr>
            <w:r>
              <w:rPr>
                <w:sz w:val="13"/>
              </w:rPr>
              <w:t>1,265,319,179.57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before="106"/>
              <w:ind w:right="84"/>
              <w:jc w:val="right"/>
              <w:rPr>
                <w:sz w:val="13"/>
              </w:rPr>
            </w:pPr>
            <w:r>
              <w:rPr>
                <w:sz w:val="13"/>
              </w:rPr>
              <w:t>-2,004,075,955.42</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before="97"/>
              <w:ind w:right="23"/>
              <w:jc w:val="right"/>
              <w:rPr>
                <w:rFonts w:ascii="宋体"/>
                <w:sz w:val="13"/>
              </w:rPr>
            </w:pPr>
            <w:r>
              <w:rPr>
                <w:rFonts w:ascii="宋体"/>
                <w:w w:val="99"/>
                <w:sz w:val="13"/>
              </w:rPr>
              <w:t> </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before="106"/>
              <w:ind w:right="84"/>
              <w:jc w:val="right"/>
              <w:rPr>
                <w:sz w:val="13"/>
              </w:rPr>
            </w:pPr>
            <w:r>
              <w:rPr>
                <w:sz w:val="13"/>
              </w:rPr>
              <w:t>-1,991,256,746.82</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before="106"/>
              <w:ind w:right="86"/>
              <w:jc w:val="right"/>
              <w:rPr>
                <w:sz w:val="13"/>
              </w:rPr>
            </w:pPr>
            <w:r>
              <w:rPr>
                <w:sz w:val="13"/>
              </w:rPr>
              <w:t>-12,819,208.60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before="106"/>
              <w:ind w:left="151"/>
              <w:rPr>
                <w:sz w:val="13"/>
              </w:rPr>
            </w:pPr>
            <w:r>
              <w:rPr>
                <w:sz w:val="13"/>
              </w:rPr>
              <w:t>195,412,332.50</w:t>
            </w:r>
          </w:p>
        </w:tc>
        <w:tc>
          <w:tcPr>
            <w:tcW w:w="1301" w:type="dxa"/>
            <w:tcBorders>
              <w:top w:val="single" w:sz="4" w:space="0" w:color="000000"/>
              <w:left w:val="single" w:sz="4" w:space="0" w:color="000000"/>
              <w:bottom w:val="single" w:sz="4" w:space="0" w:color="000000"/>
            </w:tcBorders>
          </w:tcPr>
          <w:p>
            <w:pPr>
              <w:pStyle w:val="TableParagraph"/>
              <w:spacing w:before="106"/>
              <w:ind w:right="76"/>
              <w:jc w:val="right"/>
              <w:rPr>
                <w:sz w:val="13"/>
              </w:rPr>
            </w:pPr>
            <w:r>
              <w:rPr>
                <w:sz w:val="13"/>
              </w:rPr>
              <w:t>-530,525,234.75</w:t>
            </w:r>
          </w:p>
        </w:tc>
      </w:tr>
      <w:tr>
        <w:trPr>
          <w:trHeight w:val="369" w:hRule="atLeast"/>
        </w:trPr>
        <w:tc>
          <w:tcPr>
            <w:tcW w:w="578" w:type="dxa"/>
            <w:tcBorders>
              <w:top w:val="single" w:sz="4" w:space="0" w:color="000000"/>
              <w:bottom w:val="single" w:sz="4" w:space="0" w:color="000000"/>
              <w:right w:val="single" w:sz="4" w:space="0" w:color="000000"/>
            </w:tcBorders>
          </w:tcPr>
          <w:p>
            <w:pPr>
              <w:pStyle w:val="TableParagraph"/>
              <w:spacing w:before="76"/>
              <w:ind w:left="15"/>
              <w:jc w:val="center"/>
              <w:rPr>
                <w:sz w:val="18"/>
              </w:rPr>
            </w:pPr>
            <w:r>
              <w:rPr>
                <w:sz w:val="18"/>
              </w:rPr>
              <w:t>d</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before="106"/>
              <w:ind w:right="86"/>
              <w:jc w:val="right"/>
              <w:rPr>
                <w:sz w:val="13"/>
              </w:rPr>
            </w:pPr>
            <w:r>
              <w:rPr>
                <w:sz w:val="13"/>
              </w:rPr>
              <w:t>-28,644,680.35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before="106"/>
              <w:ind w:right="86"/>
              <w:jc w:val="right"/>
              <w:rPr>
                <w:sz w:val="13"/>
              </w:rPr>
            </w:pPr>
            <w:r>
              <w:rPr>
                <w:sz w:val="13"/>
              </w:rPr>
              <w:t>-121,532,163.76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before="106"/>
              <w:ind w:left="264"/>
              <w:rPr>
                <w:sz w:val="13"/>
              </w:rPr>
            </w:pPr>
            <w:r>
              <w:rPr>
                <w:sz w:val="13"/>
              </w:rPr>
              <w:t>11,508,231.03</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before="106"/>
              <w:ind w:right="86"/>
              <w:jc w:val="right"/>
              <w:rPr>
                <w:sz w:val="13"/>
              </w:rPr>
            </w:pPr>
            <w:r>
              <w:rPr>
                <w:sz w:val="13"/>
              </w:rPr>
              <w:t>-50,039,720.46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before="106"/>
              <w:ind w:right="86"/>
              <w:jc w:val="right"/>
              <w:rPr>
                <w:sz w:val="13"/>
              </w:rPr>
            </w:pPr>
            <w:r>
              <w:rPr>
                <w:sz w:val="13"/>
              </w:rPr>
              <w:t>-59,984,212.27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before="106"/>
              <w:ind w:left="173"/>
              <w:rPr>
                <w:sz w:val="13"/>
              </w:rPr>
            </w:pPr>
            <w:r>
              <w:rPr>
                <w:sz w:val="13"/>
              </w:rPr>
              <w:t>-80,744,068.43</w:t>
            </w:r>
          </w:p>
        </w:tc>
        <w:tc>
          <w:tcPr>
            <w:tcW w:w="1301" w:type="dxa"/>
            <w:tcBorders>
              <w:top w:val="single" w:sz="4" w:space="0" w:color="000000"/>
              <w:left w:val="single" w:sz="4" w:space="0" w:color="000000"/>
              <w:bottom w:val="single" w:sz="4" w:space="0" w:color="000000"/>
            </w:tcBorders>
          </w:tcPr>
          <w:p>
            <w:pPr>
              <w:pStyle w:val="TableParagraph"/>
              <w:spacing w:before="106"/>
              <w:ind w:right="76"/>
              <w:jc w:val="right"/>
              <w:rPr>
                <w:sz w:val="13"/>
              </w:rPr>
            </w:pPr>
            <w:r>
              <w:rPr>
                <w:sz w:val="13"/>
              </w:rPr>
              <w:t>-159,428,469.24</w:t>
            </w:r>
          </w:p>
        </w:tc>
      </w:tr>
      <w:tr>
        <w:trPr>
          <w:trHeight w:val="369" w:hRule="atLeast"/>
        </w:trPr>
        <w:tc>
          <w:tcPr>
            <w:tcW w:w="578" w:type="dxa"/>
            <w:tcBorders>
              <w:top w:val="single" w:sz="4" w:space="0" w:color="000000"/>
              <w:bottom w:val="single" w:sz="4" w:space="0" w:color="000000"/>
              <w:right w:val="single" w:sz="4" w:space="0" w:color="000000"/>
            </w:tcBorders>
          </w:tcPr>
          <w:p>
            <w:pPr>
              <w:pStyle w:val="TableParagraph"/>
              <w:spacing w:before="76"/>
              <w:ind w:left="19"/>
              <w:jc w:val="center"/>
              <w:rPr>
                <w:sz w:val="18"/>
              </w:rPr>
            </w:pPr>
            <w:r>
              <w:rPr>
                <w:sz w:val="18"/>
              </w:rPr>
              <w:t>e</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before="106"/>
              <w:ind w:right="84"/>
              <w:jc w:val="right"/>
              <w:rPr>
                <w:sz w:val="13"/>
              </w:rPr>
            </w:pPr>
            <w:r>
              <w:rPr>
                <w:sz w:val="13"/>
              </w:rPr>
              <w:t>60,654,781.53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before="106"/>
              <w:ind w:right="86"/>
              <w:jc w:val="right"/>
              <w:rPr>
                <w:sz w:val="13"/>
              </w:rPr>
            </w:pPr>
            <w:r>
              <w:rPr>
                <w:sz w:val="13"/>
              </w:rPr>
              <w:t>-31,009,731.41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before="106"/>
              <w:ind w:left="329"/>
              <w:rPr>
                <w:sz w:val="13"/>
              </w:rPr>
            </w:pPr>
            <w:r>
              <w:rPr>
                <w:sz w:val="13"/>
              </w:rPr>
              <w:t>7,959,266.34</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before="106"/>
              <w:ind w:right="86"/>
              <w:jc w:val="right"/>
              <w:rPr>
                <w:sz w:val="13"/>
              </w:rPr>
            </w:pPr>
            <w:r>
              <w:rPr>
                <w:sz w:val="13"/>
              </w:rPr>
              <w:t>-23,030,495.09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before="106"/>
              <w:ind w:right="86"/>
              <w:jc w:val="right"/>
              <w:rPr>
                <w:sz w:val="13"/>
              </w:rPr>
            </w:pPr>
            <w:r>
              <w:rPr>
                <w:sz w:val="13"/>
              </w:rPr>
              <w:t>-19,969.98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before="98"/>
              <w:ind w:right="21"/>
              <w:jc w:val="right"/>
              <w:rPr>
                <w:rFonts w:ascii="宋体"/>
                <w:sz w:val="13"/>
              </w:rPr>
            </w:pPr>
            <w:r>
              <w:rPr>
                <w:rFonts w:ascii="宋体"/>
                <w:w w:val="99"/>
                <w:sz w:val="13"/>
              </w:rPr>
              <w:t> </w:t>
            </w:r>
          </w:p>
        </w:tc>
        <w:tc>
          <w:tcPr>
            <w:tcW w:w="1301" w:type="dxa"/>
            <w:tcBorders>
              <w:top w:val="single" w:sz="4" w:space="0" w:color="000000"/>
              <w:left w:val="single" w:sz="4" w:space="0" w:color="000000"/>
              <w:bottom w:val="single" w:sz="4" w:space="0" w:color="000000"/>
            </w:tcBorders>
          </w:tcPr>
          <w:p>
            <w:pPr>
              <w:pStyle w:val="TableParagraph"/>
              <w:spacing w:before="106"/>
              <w:ind w:right="74"/>
              <w:jc w:val="right"/>
              <w:rPr>
                <w:sz w:val="13"/>
              </w:rPr>
            </w:pPr>
            <w:r>
              <w:rPr>
                <w:sz w:val="13"/>
              </w:rPr>
              <w:t>37,624,286.44</w:t>
            </w:r>
          </w:p>
        </w:tc>
      </w:tr>
      <w:tr>
        <w:trPr>
          <w:trHeight w:val="366" w:hRule="atLeast"/>
        </w:trPr>
        <w:tc>
          <w:tcPr>
            <w:tcW w:w="578" w:type="dxa"/>
            <w:tcBorders>
              <w:top w:val="single" w:sz="4" w:space="0" w:color="000000"/>
              <w:right w:val="single" w:sz="4" w:space="0" w:color="000000"/>
            </w:tcBorders>
          </w:tcPr>
          <w:p>
            <w:pPr>
              <w:pStyle w:val="TableParagraph"/>
              <w:spacing w:before="67"/>
              <w:ind w:left="87" w:right="71"/>
              <w:jc w:val="center"/>
              <w:rPr>
                <w:rFonts w:ascii="宋体" w:eastAsia="宋体" w:hint="eastAsia"/>
                <w:sz w:val="18"/>
              </w:rPr>
            </w:pPr>
            <w:r>
              <w:rPr>
                <w:rFonts w:ascii="宋体" w:eastAsia="宋体" w:hint="eastAsia"/>
                <w:sz w:val="18"/>
              </w:rPr>
              <w:t>合计</w:t>
            </w:r>
          </w:p>
        </w:tc>
        <w:tc>
          <w:tcPr>
            <w:tcW w:w="1303" w:type="dxa"/>
            <w:tcBorders>
              <w:top w:val="single" w:sz="4" w:space="0" w:color="000000"/>
              <w:left w:val="single" w:sz="4" w:space="0" w:color="000000"/>
              <w:right w:val="single" w:sz="4" w:space="0" w:color="000000"/>
            </w:tcBorders>
          </w:tcPr>
          <w:p>
            <w:pPr>
              <w:pStyle w:val="TableParagraph"/>
              <w:spacing w:before="106"/>
              <w:ind w:right="84"/>
              <w:jc w:val="right"/>
              <w:rPr>
                <w:sz w:val="13"/>
              </w:rPr>
            </w:pPr>
            <w:r>
              <w:rPr>
                <w:sz w:val="13"/>
              </w:rPr>
              <w:t>1,317,988,619.66</w:t>
            </w:r>
          </w:p>
        </w:tc>
        <w:tc>
          <w:tcPr>
            <w:tcW w:w="1241" w:type="dxa"/>
            <w:tcBorders>
              <w:top w:val="single" w:sz="4" w:space="0" w:color="000000"/>
              <w:left w:val="single" w:sz="4" w:space="0" w:color="000000"/>
              <w:right w:val="single" w:sz="4" w:space="0" w:color="000000"/>
            </w:tcBorders>
          </w:tcPr>
          <w:p>
            <w:pPr>
              <w:pStyle w:val="TableParagraph"/>
              <w:spacing w:before="106"/>
              <w:ind w:right="84"/>
              <w:jc w:val="right"/>
              <w:rPr>
                <w:sz w:val="13"/>
              </w:rPr>
            </w:pPr>
            <w:r>
              <w:rPr>
                <w:sz w:val="13"/>
              </w:rPr>
              <w:t>-2,627,474,759.93</w:t>
            </w:r>
          </w:p>
        </w:tc>
        <w:tc>
          <w:tcPr>
            <w:tcW w:w="1111" w:type="dxa"/>
            <w:tcBorders>
              <w:top w:val="single" w:sz="4" w:space="0" w:color="000000"/>
              <w:left w:val="single" w:sz="4" w:space="0" w:color="000000"/>
              <w:right w:val="single" w:sz="4" w:space="0" w:color="000000"/>
            </w:tcBorders>
          </w:tcPr>
          <w:p>
            <w:pPr>
              <w:pStyle w:val="TableParagraph"/>
              <w:spacing w:before="106"/>
              <w:ind w:left="264"/>
              <w:rPr>
                <w:sz w:val="13"/>
              </w:rPr>
            </w:pPr>
            <w:r>
              <w:rPr>
                <w:sz w:val="13"/>
              </w:rPr>
              <w:t>51,276,921.39</w:t>
            </w:r>
          </w:p>
        </w:tc>
        <w:tc>
          <w:tcPr>
            <w:tcW w:w="1239" w:type="dxa"/>
            <w:tcBorders>
              <w:top w:val="single" w:sz="4" w:space="0" w:color="000000"/>
              <w:left w:val="single" w:sz="4" w:space="0" w:color="000000"/>
              <w:right w:val="single" w:sz="4" w:space="0" w:color="000000"/>
            </w:tcBorders>
          </w:tcPr>
          <w:p>
            <w:pPr>
              <w:pStyle w:val="TableParagraph"/>
              <w:spacing w:before="106"/>
              <w:ind w:right="84"/>
              <w:jc w:val="right"/>
              <w:rPr>
                <w:sz w:val="13"/>
              </w:rPr>
            </w:pPr>
            <w:r>
              <w:rPr>
                <w:sz w:val="13"/>
              </w:rPr>
              <w:t>-2,537,334,822.50</w:t>
            </w:r>
          </w:p>
        </w:tc>
        <w:tc>
          <w:tcPr>
            <w:tcW w:w="1212" w:type="dxa"/>
            <w:tcBorders>
              <w:top w:val="single" w:sz="4" w:space="0" w:color="000000"/>
              <w:left w:val="single" w:sz="4" w:space="0" w:color="000000"/>
              <w:right w:val="single" w:sz="4" w:space="0" w:color="000000"/>
            </w:tcBorders>
          </w:tcPr>
          <w:p>
            <w:pPr>
              <w:pStyle w:val="TableParagraph"/>
              <w:spacing w:before="106"/>
              <w:ind w:right="86"/>
              <w:jc w:val="right"/>
              <w:rPr>
                <w:sz w:val="13"/>
              </w:rPr>
            </w:pPr>
            <w:r>
              <w:rPr>
                <w:sz w:val="13"/>
              </w:rPr>
              <w:t>-38,863,016.04</w:t>
            </w:r>
          </w:p>
        </w:tc>
        <w:tc>
          <w:tcPr>
            <w:tcW w:w="1064" w:type="dxa"/>
            <w:tcBorders>
              <w:top w:val="single" w:sz="4" w:space="0" w:color="000000"/>
              <w:left w:val="single" w:sz="4" w:space="0" w:color="000000"/>
              <w:right w:val="single" w:sz="4" w:space="0" w:color="000000"/>
            </w:tcBorders>
          </w:tcPr>
          <w:p>
            <w:pPr>
              <w:pStyle w:val="TableParagraph"/>
              <w:spacing w:before="106"/>
              <w:ind w:left="151"/>
              <w:rPr>
                <w:sz w:val="13"/>
              </w:rPr>
            </w:pPr>
            <w:r>
              <w:rPr>
                <w:sz w:val="13"/>
              </w:rPr>
              <w:t>173,129,473.78</w:t>
            </w:r>
          </w:p>
        </w:tc>
        <w:tc>
          <w:tcPr>
            <w:tcW w:w="1301" w:type="dxa"/>
            <w:tcBorders>
              <w:top w:val="single" w:sz="4" w:space="0" w:color="000000"/>
              <w:left w:val="single" w:sz="4" w:space="0" w:color="000000"/>
            </w:tcBorders>
          </w:tcPr>
          <w:p>
            <w:pPr>
              <w:pStyle w:val="TableParagraph"/>
              <w:spacing w:before="106"/>
              <w:ind w:right="74"/>
              <w:jc w:val="right"/>
              <w:rPr>
                <w:sz w:val="13"/>
              </w:rPr>
            </w:pPr>
            <w:r>
              <w:rPr>
                <w:sz w:val="13"/>
              </w:rPr>
              <w:t>-1,046,216,729.06</w:t>
            </w:r>
          </w:p>
        </w:tc>
      </w:tr>
    </w:tbl>
    <w:p>
      <w:pPr>
        <w:spacing w:before="127"/>
        <w:ind w:left="2042" w:right="0" w:firstLine="0"/>
        <w:jc w:val="left"/>
        <w:rPr>
          <w:sz w:val="18"/>
        </w:rPr>
      </w:pPr>
      <w:r>
        <w:rPr>
          <w:sz w:val="18"/>
        </w:rPr>
        <w:t>项目注释：</w:t>
      </w:r>
    </w:p>
    <w:p>
      <w:pPr>
        <w:pStyle w:val="ListParagraph"/>
        <w:numPr>
          <w:ilvl w:val="0"/>
          <w:numId w:val="63"/>
        </w:numPr>
        <w:tabs>
          <w:tab w:pos="2487" w:val="left" w:leader="none"/>
        </w:tabs>
        <w:spacing w:line="240" w:lineRule="auto" w:before="121" w:after="0"/>
        <w:ind w:left="2487" w:right="0" w:hanging="529"/>
        <w:jc w:val="left"/>
        <w:rPr>
          <w:sz w:val="18"/>
        </w:rPr>
      </w:pPr>
      <w:r>
        <w:rPr>
          <w:rFonts w:ascii="Calibri" w:eastAsia="Calibri"/>
          <w:sz w:val="18"/>
        </w:rPr>
        <w:t>a</w:t>
      </w:r>
      <w:r>
        <w:rPr>
          <w:sz w:val="18"/>
        </w:rPr>
        <w:t>、</w:t>
      </w:r>
      <w:r>
        <w:rPr>
          <w:rFonts w:ascii="Calibri" w:eastAsia="Calibri"/>
          <w:sz w:val="18"/>
        </w:rPr>
        <w:t>b</w:t>
      </w:r>
      <w:r>
        <w:rPr>
          <w:sz w:val="18"/>
        </w:rPr>
        <w:t>、</w:t>
      </w:r>
      <w:r>
        <w:rPr>
          <w:rFonts w:ascii="Calibri" w:eastAsia="Calibri"/>
          <w:sz w:val="18"/>
        </w:rPr>
        <w:t>c</w:t>
      </w:r>
      <w:r>
        <w:rPr>
          <w:rFonts w:ascii="Calibri" w:eastAsia="Calibri"/>
          <w:spacing w:val="5"/>
          <w:sz w:val="18"/>
        </w:rPr>
        <w:t> </w:t>
      </w:r>
      <w:r>
        <w:rPr>
          <w:spacing w:val="-1"/>
          <w:sz w:val="18"/>
        </w:rPr>
        <w:t>项为将重分类进损益的其他综合收益，明细如下：</w:t>
      </w:r>
    </w:p>
    <w:p>
      <w:pPr>
        <w:spacing w:before="140"/>
        <w:ind w:left="1958" w:right="0" w:firstLine="0"/>
        <w:jc w:val="left"/>
        <w:rPr>
          <w:sz w:val="18"/>
        </w:rPr>
      </w:pPr>
      <w:r>
        <w:rPr>
          <w:rFonts w:ascii="Calibri" w:eastAsia="Calibri"/>
          <w:sz w:val="18"/>
        </w:rPr>
        <w:t>a </w:t>
      </w:r>
      <w:r>
        <w:rPr>
          <w:sz w:val="18"/>
        </w:rPr>
        <w:t>项为权益法下可转损益的其他综合收益。</w:t>
      </w:r>
    </w:p>
    <w:p>
      <w:pPr>
        <w:spacing w:before="149"/>
        <w:ind w:left="1958" w:right="0" w:firstLine="0"/>
        <w:jc w:val="left"/>
        <w:rPr>
          <w:sz w:val="18"/>
        </w:rPr>
      </w:pPr>
      <w:r>
        <w:rPr>
          <w:rFonts w:ascii="Calibri" w:eastAsia="Calibri"/>
          <w:sz w:val="18"/>
        </w:rPr>
        <w:t>b </w:t>
      </w:r>
      <w:r>
        <w:rPr>
          <w:sz w:val="18"/>
        </w:rPr>
        <w:t>项为现金流量套期储备（现金流量套期损益的有效部分</w:t>
      </w:r>
      <w:r>
        <w:rPr>
          <w:spacing w:val="-92"/>
          <w:sz w:val="18"/>
        </w:rPr>
        <w:t>）</w:t>
      </w:r>
      <w:r>
        <w:rPr>
          <w:sz w:val="18"/>
        </w:rPr>
        <w:t>。</w:t>
      </w:r>
    </w:p>
    <w:p>
      <w:pPr>
        <w:spacing w:before="151"/>
        <w:ind w:left="1958" w:right="0" w:firstLine="0"/>
        <w:jc w:val="left"/>
        <w:rPr>
          <w:sz w:val="18"/>
        </w:rPr>
      </w:pPr>
      <w:r>
        <w:rPr>
          <w:rFonts w:ascii="Calibri" w:eastAsia="Calibri"/>
          <w:sz w:val="18"/>
        </w:rPr>
        <w:t>c </w:t>
      </w:r>
      <w:r>
        <w:rPr>
          <w:sz w:val="18"/>
        </w:rPr>
        <w:t>项为外币财务报表折算差额。</w:t>
      </w:r>
    </w:p>
    <w:p>
      <w:pPr>
        <w:pStyle w:val="ListParagraph"/>
        <w:numPr>
          <w:ilvl w:val="0"/>
          <w:numId w:val="63"/>
        </w:numPr>
        <w:tabs>
          <w:tab w:pos="2487" w:val="left" w:leader="none"/>
        </w:tabs>
        <w:spacing w:line="240" w:lineRule="auto" w:before="119" w:after="0"/>
        <w:ind w:left="2487" w:right="0" w:hanging="529"/>
        <w:jc w:val="left"/>
        <w:rPr>
          <w:sz w:val="18"/>
        </w:rPr>
      </w:pPr>
      <w:r>
        <w:rPr>
          <w:rFonts w:ascii="Calibri" w:eastAsia="Calibri"/>
          <w:sz w:val="18"/>
        </w:rPr>
        <w:t>d</w:t>
      </w:r>
      <w:r>
        <w:rPr>
          <w:sz w:val="18"/>
        </w:rPr>
        <w:t>、</w:t>
      </w:r>
      <w:r>
        <w:rPr>
          <w:rFonts w:ascii="Calibri" w:eastAsia="Calibri"/>
          <w:sz w:val="18"/>
        </w:rPr>
        <w:t>e</w:t>
      </w:r>
      <w:r>
        <w:rPr>
          <w:rFonts w:ascii="Calibri" w:eastAsia="Calibri"/>
          <w:spacing w:val="4"/>
          <w:sz w:val="18"/>
        </w:rPr>
        <w:t> </w:t>
      </w:r>
      <w:r>
        <w:rPr>
          <w:sz w:val="18"/>
        </w:rPr>
        <w:t>项为不能重分类进损益的其他综合收益，明细如下：</w:t>
      </w:r>
    </w:p>
    <w:p>
      <w:pPr>
        <w:spacing w:before="140"/>
        <w:ind w:left="1958" w:right="0" w:firstLine="0"/>
        <w:jc w:val="left"/>
        <w:rPr>
          <w:sz w:val="18"/>
        </w:rPr>
      </w:pPr>
      <w:r>
        <w:rPr>
          <w:rFonts w:ascii="Calibri" w:eastAsia="Calibri"/>
          <w:sz w:val="18"/>
        </w:rPr>
        <w:t>d </w:t>
      </w:r>
      <w:r>
        <w:rPr>
          <w:sz w:val="18"/>
        </w:rPr>
        <w:t>项为其他权益工具投资公允价值变动。</w:t>
      </w:r>
    </w:p>
    <w:p>
      <w:pPr>
        <w:spacing w:before="151"/>
        <w:ind w:left="1989" w:right="0" w:firstLine="0"/>
        <w:jc w:val="left"/>
        <w:rPr>
          <w:sz w:val="18"/>
        </w:rPr>
      </w:pPr>
      <w:r>
        <w:rPr>
          <w:rFonts w:ascii="Calibri" w:eastAsia="Calibri"/>
          <w:sz w:val="18"/>
        </w:rPr>
        <w:t>e </w:t>
      </w:r>
      <w:r>
        <w:rPr>
          <w:sz w:val="18"/>
        </w:rPr>
        <w:t>项为重新计量设定受益计划净负债或净资产所产生的变动。</w:t>
      </w:r>
    </w:p>
    <w:p>
      <w:pPr>
        <w:pStyle w:val="BodyText"/>
        <w:spacing w:before="8"/>
      </w:pPr>
    </w:p>
    <w:p>
      <w:pPr>
        <w:pStyle w:val="Heading4"/>
        <w:spacing w:before="9"/>
      </w:pPr>
      <w:r>
        <w:rPr>
          <w:rFonts w:ascii="Times New Roman" w:eastAsia="Times New Roman"/>
        </w:rPr>
        <w:t>47</w:t>
      </w:r>
      <w:r>
        <w:rPr/>
        <w:t>、 盈余公积</w:t>
      </w:r>
    </w:p>
    <w:p>
      <w:pPr>
        <w:pStyle w:val="BodyText"/>
        <w:spacing w:before="17"/>
        <w:ind w:left="1538"/>
      </w:pPr>
      <w:r>
        <w:rPr/>
        <w:t>√适用 □不适用</w:t>
      </w:r>
    </w:p>
    <w:p>
      <w:pPr>
        <w:pStyle w:val="BodyText"/>
        <w:tabs>
          <w:tab w:pos="9111" w:val="left" w:leader="none"/>
        </w:tabs>
        <w:spacing w:before="3" w:after="4"/>
        <w:ind w:left="8059"/>
      </w:pPr>
      <w:r>
        <w:rPr/>
        <w:t>单位：元</w:t>
        <w:tab/>
        <w:t>币</w:t>
      </w:r>
      <w:r>
        <w:rPr>
          <w:spacing w:val="-3"/>
        </w:rPr>
        <w:t>种</w:t>
      </w:r>
      <w:r>
        <w:rPr/>
        <w:t>：</w:t>
      </w:r>
      <w:r>
        <w:rPr>
          <w:spacing w:val="-3"/>
        </w:rPr>
        <w:t>人</w:t>
      </w:r>
      <w:r>
        <w:rPr/>
        <w:t>民币</w:t>
      </w:r>
    </w:p>
    <w:tbl>
      <w:tblPr>
        <w:tblW w:w="0" w:type="auto"/>
        <w:jc w:val="left"/>
        <w:tblInd w:w="152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673"/>
        <w:gridCol w:w="1798"/>
        <w:gridCol w:w="1805"/>
        <w:gridCol w:w="1815"/>
        <w:gridCol w:w="1805"/>
      </w:tblGrid>
      <w:tr>
        <w:trPr>
          <w:trHeight w:val="272" w:hRule="atLeast"/>
        </w:trPr>
        <w:tc>
          <w:tcPr>
            <w:tcW w:w="1673" w:type="dxa"/>
            <w:tcBorders>
              <w:bottom w:val="single" w:sz="4" w:space="0" w:color="000000"/>
              <w:right w:val="single" w:sz="4" w:space="0" w:color="000000"/>
            </w:tcBorders>
          </w:tcPr>
          <w:p>
            <w:pPr>
              <w:pStyle w:val="TableParagraph"/>
              <w:spacing w:line="253" w:lineRule="exact"/>
              <w:ind w:left="602" w:right="586"/>
              <w:jc w:val="center"/>
              <w:rPr>
                <w:rFonts w:ascii="Microsoft JhengHei" w:eastAsia="Microsoft JhengHei" w:hint="eastAsia"/>
                <w:b/>
                <w:sz w:val="21"/>
              </w:rPr>
            </w:pPr>
            <w:r>
              <w:rPr>
                <w:rFonts w:ascii="Microsoft JhengHei" w:eastAsia="Microsoft JhengHei" w:hint="eastAsia"/>
                <w:b/>
                <w:sz w:val="21"/>
              </w:rPr>
              <w:t>项目</w:t>
            </w:r>
          </w:p>
        </w:tc>
        <w:tc>
          <w:tcPr>
            <w:tcW w:w="1798" w:type="dxa"/>
            <w:tcBorders>
              <w:left w:val="single" w:sz="4" w:space="0" w:color="000000"/>
              <w:bottom w:val="single" w:sz="4" w:space="0" w:color="000000"/>
              <w:right w:val="single" w:sz="4" w:space="0" w:color="000000"/>
            </w:tcBorders>
          </w:tcPr>
          <w:p>
            <w:pPr>
              <w:pStyle w:val="TableParagraph"/>
              <w:spacing w:line="253" w:lineRule="exact"/>
              <w:ind w:left="484"/>
              <w:rPr>
                <w:rFonts w:ascii="Microsoft JhengHei" w:eastAsia="Microsoft JhengHei" w:hint="eastAsia"/>
                <w:b/>
                <w:sz w:val="21"/>
              </w:rPr>
            </w:pPr>
            <w:r>
              <w:rPr>
                <w:rFonts w:ascii="Microsoft JhengHei" w:eastAsia="Microsoft JhengHei" w:hint="eastAsia"/>
                <w:b/>
                <w:sz w:val="21"/>
              </w:rPr>
              <w:t>期初余额</w:t>
            </w:r>
          </w:p>
        </w:tc>
        <w:tc>
          <w:tcPr>
            <w:tcW w:w="1805" w:type="dxa"/>
            <w:tcBorders>
              <w:left w:val="single" w:sz="4" w:space="0" w:color="000000"/>
              <w:bottom w:val="single" w:sz="4" w:space="0" w:color="000000"/>
              <w:right w:val="single" w:sz="4" w:space="0" w:color="000000"/>
            </w:tcBorders>
          </w:tcPr>
          <w:p>
            <w:pPr>
              <w:pStyle w:val="TableParagraph"/>
              <w:spacing w:line="253" w:lineRule="exact"/>
              <w:ind w:left="199" w:right="171"/>
              <w:jc w:val="center"/>
              <w:rPr>
                <w:rFonts w:ascii="Microsoft JhengHei" w:eastAsia="Microsoft JhengHei" w:hint="eastAsia"/>
                <w:b/>
                <w:sz w:val="21"/>
              </w:rPr>
            </w:pPr>
            <w:r>
              <w:rPr>
                <w:rFonts w:ascii="Microsoft JhengHei" w:eastAsia="Microsoft JhengHei" w:hint="eastAsia"/>
                <w:b/>
                <w:sz w:val="21"/>
              </w:rPr>
              <w:t>本期增加</w:t>
            </w:r>
          </w:p>
        </w:tc>
        <w:tc>
          <w:tcPr>
            <w:tcW w:w="1815" w:type="dxa"/>
            <w:tcBorders>
              <w:left w:val="single" w:sz="4" w:space="0" w:color="000000"/>
              <w:bottom w:val="single" w:sz="4" w:space="0" w:color="000000"/>
              <w:right w:val="single" w:sz="4" w:space="0" w:color="000000"/>
            </w:tcBorders>
          </w:tcPr>
          <w:p>
            <w:pPr>
              <w:pStyle w:val="TableParagraph"/>
              <w:spacing w:line="253" w:lineRule="exact"/>
              <w:ind w:left="494"/>
              <w:rPr>
                <w:rFonts w:ascii="Microsoft JhengHei" w:eastAsia="Microsoft JhengHei" w:hint="eastAsia"/>
                <w:b/>
                <w:sz w:val="21"/>
              </w:rPr>
            </w:pPr>
            <w:r>
              <w:rPr>
                <w:rFonts w:ascii="Microsoft JhengHei" w:eastAsia="Microsoft JhengHei" w:hint="eastAsia"/>
                <w:b/>
                <w:sz w:val="21"/>
              </w:rPr>
              <w:t>本期减少</w:t>
            </w:r>
          </w:p>
        </w:tc>
        <w:tc>
          <w:tcPr>
            <w:tcW w:w="1805" w:type="dxa"/>
            <w:tcBorders>
              <w:left w:val="single" w:sz="4" w:space="0" w:color="000000"/>
              <w:bottom w:val="single" w:sz="4" w:space="0" w:color="000000"/>
            </w:tcBorders>
          </w:tcPr>
          <w:p>
            <w:pPr>
              <w:pStyle w:val="TableParagraph"/>
              <w:spacing w:line="253" w:lineRule="exact"/>
              <w:ind w:left="491"/>
              <w:rPr>
                <w:rFonts w:ascii="Microsoft JhengHei" w:eastAsia="Microsoft JhengHei" w:hint="eastAsia"/>
                <w:b/>
                <w:sz w:val="21"/>
              </w:rPr>
            </w:pPr>
            <w:r>
              <w:rPr>
                <w:rFonts w:ascii="Microsoft JhengHei" w:eastAsia="Microsoft JhengHei" w:hint="eastAsia"/>
                <w:b/>
                <w:sz w:val="21"/>
              </w:rPr>
              <w:t>期末余额</w:t>
            </w:r>
          </w:p>
        </w:tc>
      </w:tr>
      <w:tr>
        <w:trPr>
          <w:trHeight w:val="273" w:hRule="atLeast"/>
        </w:trPr>
        <w:tc>
          <w:tcPr>
            <w:tcW w:w="1673" w:type="dxa"/>
            <w:tcBorders>
              <w:top w:val="single" w:sz="4" w:space="0" w:color="000000"/>
              <w:bottom w:val="single" w:sz="4" w:space="0" w:color="000000"/>
              <w:right w:val="single" w:sz="4" w:space="0" w:color="000000"/>
            </w:tcBorders>
          </w:tcPr>
          <w:p>
            <w:pPr>
              <w:pStyle w:val="TableParagraph"/>
              <w:spacing w:line="252" w:lineRule="exact" w:before="1"/>
              <w:ind w:left="30"/>
              <w:rPr>
                <w:rFonts w:ascii="宋体" w:eastAsia="宋体" w:hint="eastAsia"/>
                <w:sz w:val="21"/>
              </w:rPr>
            </w:pPr>
            <w:r>
              <w:rPr>
                <w:rFonts w:ascii="宋体" w:eastAsia="宋体" w:hint="eastAsia"/>
                <w:sz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before="7"/>
              <w:ind w:right="187"/>
              <w:jc w:val="right"/>
              <w:rPr>
                <w:sz w:val="21"/>
              </w:rPr>
            </w:pPr>
            <w:r>
              <w:rPr>
                <w:sz w:val="21"/>
              </w:rPr>
              <w:t>2,607,670,603.87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before="7"/>
              <w:ind w:left="271" w:right="171"/>
              <w:jc w:val="center"/>
              <w:rPr>
                <w:sz w:val="21"/>
              </w:rPr>
            </w:pPr>
            <w:r>
              <w:rPr>
                <w:sz w:val="21"/>
              </w:rPr>
              <w:t>390,007,134.14</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805" w:type="dxa"/>
            <w:tcBorders>
              <w:top w:val="single" w:sz="4" w:space="0" w:color="000000"/>
              <w:left w:val="single" w:sz="4" w:space="0" w:color="000000"/>
              <w:bottom w:val="single" w:sz="4" w:space="0" w:color="000000"/>
            </w:tcBorders>
          </w:tcPr>
          <w:p>
            <w:pPr>
              <w:pStyle w:val="TableParagraph"/>
              <w:spacing w:before="7"/>
              <w:ind w:right="174"/>
              <w:jc w:val="right"/>
              <w:rPr>
                <w:sz w:val="21"/>
              </w:rPr>
            </w:pPr>
            <w:r>
              <w:rPr>
                <w:sz w:val="21"/>
              </w:rPr>
              <w:t>2,997,677,738.01</w:t>
            </w:r>
          </w:p>
        </w:tc>
      </w:tr>
      <w:tr>
        <w:trPr>
          <w:trHeight w:val="270" w:hRule="atLeast"/>
        </w:trPr>
        <w:tc>
          <w:tcPr>
            <w:tcW w:w="1673" w:type="dxa"/>
            <w:tcBorders>
              <w:top w:val="single" w:sz="4" w:space="0" w:color="000000"/>
              <w:bottom w:val="single" w:sz="4" w:space="0" w:color="000000"/>
              <w:right w:val="single" w:sz="4" w:space="0" w:color="000000"/>
            </w:tcBorders>
          </w:tcPr>
          <w:p>
            <w:pPr>
              <w:pStyle w:val="TableParagraph"/>
              <w:spacing w:line="250" w:lineRule="exact" w:before="1"/>
              <w:ind w:left="30"/>
              <w:rPr>
                <w:rFonts w:ascii="宋体" w:eastAsia="宋体" w:hint="eastAsia"/>
                <w:sz w:val="21"/>
              </w:rPr>
            </w:pPr>
            <w:r>
              <w:rPr>
                <w:rFonts w:ascii="宋体" w:eastAsia="宋体" w:hint="eastAsia"/>
                <w:sz w:val="21"/>
              </w:rPr>
              <w:t>任意盈余公积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before="7"/>
              <w:ind w:right="187"/>
              <w:jc w:val="right"/>
              <w:rPr>
                <w:sz w:val="21"/>
              </w:rPr>
            </w:pPr>
            <w:r>
              <w:rPr>
                <w:sz w:val="21"/>
              </w:rPr>
              <w:t>26,042,290.48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81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805" w:type="dxa"/>
            <w:tcBorders>
              <w:top w:val="single" w:sz="4" w:space="0" w:color="000000"/>
              <w:left w:val="single" w:sz="4" w:space="0" w:color="000000"/>
              <w:bottom w:val="single" w:sz="4" w:space="0" w:color="000000"/>
            </w:tcBorders>
          </w:tcPr>
          <w:p>
            <w:pPr>
              <w:pStyle w:val="TableParagraph"/>
              <w:spacing w:before="7"/>
              <w:ind w:right="174"/>
              <w:jc w:val="right"/>
              <w:rPr>
                <w:sz w:val="21"/>
              </w:rPr>
            </w:pPr>
            <w:r>
              <w:rPr>
                <w:sz w:val="21"/>
              </w:rPr>
              <w:t>26,042,290.48</w:t>
            </w:r>
          </w:p>
        </w:tc>
      </w:tr>
      <w:tr>
        <w:trPr>
          <w:trHeight w:val="273" w:hRule="atLeast"/>
        </w:trPr>
        <w:tc>
          <w:tcPr>
            <w:tcW w:w="1673" w:type="dxa"/>
            <w:tcBorders>
              <w:top w:val="single" w:sz="4" w:space="0" w:color="000000"/>
              <w:bottom w:val="single" w:sz="4" w:space="0" w:color="000000"/>
              <w:right w:val="single" w:sz="4" w:space="0" w:color="000000"/>
            </w:tcBorders>
          </w:tcPr>
          <w:p>
            <w:pPr>
              <w:pStyle w:val="TableParagraph"/>
              <w:spacing w:line="252" w:lineRule="exact" w:before="1"/>
              <w:ind w:left="30"/>
              <w:rPr>
                <w:rFonts w:ascii="宋体" w:eastAsia="宋体" w:hint="eastAsia"/>
                <w:sz w:val="21"/>
              </w:rPr>
            </w:pPr>
            <w:r>
              <w:rPr>
                <w:rFonts w:ascii="宋体" w:eastAsia="宋体" w:hint="eastAsia"/>
                <w:sz w:val="21"/>
              </w:rPr>
              <w:t>储备基金</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before="10"/>
              <w:ind w:right="187"/>
              <w:jc w:val="right"/>
              <w:rPr>
                <w:sz w:val="21"/>
              </w:rPr>
            </w:pPr>
            <w:r>
              <w:rPr>
                <w:sz w:val="21"/>
              </w:rPr>
              <w:t>11,322,880.64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81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805" w:type="dxa"/>
            <w:tcBorders>
              <w:top w:val="single" w:sz="4" w:space="0" w:color="000000"/>
              <w:left w:val="single" w:sz="4" w:space="0" w:color="000000"/>
              <w:bottom w:val="single" w:sz="4" w:space="0" w:color="000000"/>
            </w:tcBorders>
          </w:tcPr>
          <w:p>
            <w:pPr>
              <w:pStyle w:val="TableParagraph"/>
              <w:spacing w:before="10"/>
              <w:ind w:right="174"/>
              <w:jc w:val="right"/>
              <w:rPr>
                <w:sz w:val="21"/>
              </w:rPr>
            </w:pPr>
            <w:r>
              <w:rPr>
                <w:sz w:val="21"/>
              </w:rPr>
              <w:t>11,322,880.64</w:t>
            </w:r>
          </w:p>
        </w:tc>
      </w:tr>
      <w:tr>
        <w:trPr>
          <w:trHeight w:val="270" w:hRule="atLeast"/>
        </w:trPr>
        <w:tc>
          <w:tcPr>
            <w:tcW w:w="1673" w:type="dxa"/>
            <w:tcBorders>
              <w:top w:val="single" w:sz="4" w:space="0" w:color="000000"/>
              <w:bottom w:val="single" w:sz="4" w:space="0" w:color="000000"/>
              <w:right w:val="single" w:sz="4" w:space="0" w:color="000000"/>
            </w:tcBorders>
          </w:tcPr>
          <w:p>
            <w:pPr>
              <w:pStyle w:val="TableParagraph"/>
              <w:spacing w:line="250" w:lineRule="exact" w:before="1"/>
              <w:ind w:left="30"/>
              <w:rPr>
                <w:rFonts w:ascii="宋体" w:eastAsia="宋体" w:hint="eastAsia"/>
                <w:sz w:val="21"/>
              </w:rPr>
            </w:pPr>
            <w:r>
              <w:rPr>
                <w:rFonts w:ascii="宋体" w:eastAsia="宋体" w:hint="eastAsia"/>
                <w:sz w:val="21"/>
              </w:rPr>
              <w:t>企业发展基金</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before="7"/>
              <w:ind w:right="187"/>
              <w:jc w:val="right"/>
              <w:rPr>
                <w:sz w:val="21"/>
              </w:rPr>
            </w:pPr>
            <w:r>
              <w:rPr>
                <w:sz w:val="21"/>
              </w:rPr>
              <w:t>10,291,630.47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815"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805" w:type="dxa"/>
            <w:tcBorders>
              <w:top w:val="single" w:sz="4" w:space="0" w:color="000000"/>
              <w:left w:val="single" w:sz="4" w:space="0" w:color="000000"/>
              <w:bottom w:val="single" w:sz="4" w:space="0" w:color="000000"/>
            </w:tcBorders>
          </w:tcPr>
          <w:p>
            <w:pPr>
              <w:pStyle w:val="TableParagraph"/>
              <w:spacing w:before="7"/>
              <w:ind w:right="174"/>
              <w:jc w:val="right"/>
              <w:rPr>
                <w:sz w:val="21"/>
              </w:rPr>
            </w:pPr>
            <w:r>
              <w:rPr>
                <w:sz w:val="21"/>
              </w:rPr>
              <w:t>10,291,630.47</w:t>
            </w:r>
          </w:p>
        </w:tc>
      </w:tr>
      <w:tr>
        <w:trPr>
          <w:trHeight w:val="272" w:hRule="atLeast"/>
        </w:trPr>
        <w:tc>
          <w:tcPr>
            <w:tcW w:w="1673" w:type="dxa"/>
            <w:tcBorders>
              <w:top w:val="single" w:sz="4" w:space="0" w:color="000000"/>
              <w:right w:val="single" w:sz="4" w:space="0" w:color="000000"/>
            </w:tcBorders>
          </w:tcPr>
          <w:p>
            <w:pPr>
              <w:pStyle w:val="TableParagraph"/>
              <w:spacing w:line="249" w:lineRule="exact" w:before="3"/>
              <w:ind w:left="604" w:right="584"/>
              <w:jc w:val="center"/>
              <w:rPr>
                <w:rFonts w:ascii="宋体" w:eastAsia="宋体" w:hint="eastAsia"/>
                <w:sz w:val="21"/>
              </w:rPr>
            </w:pPr>
            <w:r>
              <w:rPr>
                <w:rFonts w:ascii="宋体" w:eastAsia="宋体" w:hint="eastAsia"/>
                <w:sz w:val="21"/>
              </w:rPr>
              <w:t>合计</w:t>
            </w:r>
          </w:p>
        </w:tc>
        <w:tc>
          <w:tcPr>
            <w:tcW w:w="1798" w:type="dxa"/>
            <w:tcBorders>
              <w:top w:val="single" w:sz="4" w:space="0" w:color="000000"/>
              <w:left w:val="single" w:sz="4" w:space="0" w:color="000000"/>
              <w:right w:val="single" w:sz="4" w:space="0" w:color="000000"/>
            </w:tcBorders>
          </w:tcPr>
          <w:p>
            <w:pPr>
              <w:pStyle w:val="TableParagraph"/>
              <w:spacing w:before="10"/>
              <w:ind w:right="187"/>
              <w:jc w:val="right"/>
              <w:rPr>
                <w:sz w:val="21"/>
              </w:rPr>
            </w:pPr>
            <w:r>
              <w:rPr>
                <w:sz w:val="21"/>
              </w:rPr>
              <w:t>2,655,327,405.46</w:t>
            </w:r>
          </w:p>
        </w:tc>
        <w:tc>
          <w:tcPr>
            <w:tcW w:w="1805" w:type="dxa"/>
            <w:tcBorders>
              <w:top w:val="single" w:sz="4" w:space="0" w:color="000000"/>
              <w:left w:val="single" w:sz="4" w:space="0" w:color="000000"/>
              <w:right w:val="single" w:sz="4" w:space="0" w:color="000000"/>
            </w:tcBorders>
          </w:tcPr>
          <w:p>
            <w:pPr>
              <w:pStyle w:val="TableParagraph"/>
              <w:spacing w:before="10"/>
              <w:ind w:left="271" w:right="171"/>
              <w:jc w:val="center"/>
              <w:rPr>
                <w:sz w:val="21"/>
              </w:rPr>
            </w:pPr>
            <w:r>
              <w:rPr>
                <w:sz w:val="21"/>
              </w:rPr>
              <w:t>390,007,134.14</w:t>
            </w:r>
          </w:p>
        </w:tc>
        <w:tc>
          <w:tcPr>
            <w:tcW w:w="1815" w:type="dxa"/>
            <w:tcBorders>
              <w:top w:val="single" w:sz="4" w:space="0" w:color="000000"/>
              <w:left w:val="single" w:sz="4" w:space="0" w:color="000000"/>
              <w:right w:val="single" w:sz="4" w:space="0" w:color="000000"/>
            </w:tcBorders>
          </w:tcPr>
          <w:p>
            <w:pPr>
              <w:pStyle w:val="TableParagraph"/>
              <w:rPr>
                <w:sz w:val="16"/>
              </w:rPr>
            </w:pPr>
          </w:p>
        </w:tc>
        <w:tc>
          <w:tcPr>
            <w:tcW w:w="1805" w:type="dxa"/>
            <w:tcBorders>
              <w:top w:val="single" w:sz="4" w:space="0" w:color="000000"/>
              <w:left w:val="single" w:sz="4" w:space="0" w:color="000000"/>
            </w:tcBorders>
          </w:tcPr>
          <w:p>
            <w:pPr>
              <w:pStyle w:val="TableParagraph"/>
              <w:spacing w:before="10"/>
              <w:ind w:right="174"/>
              <w:jc w:val="right"/>
              <w:rPr>
                <w:sz w:val="21"/>
              </w:rPr>
            </w:pPr>
            <w:r>
              <w:rPr>
                <w:sz w:val="21"/>
              </w:rPr>
              <w:t>3,045,334,539.60</w:t>
            </w:r>
          </w:p>
        </w:tc>
      </w:tr>
    </w:tbl>
    <w:p>
      <w:pPr>
        <w:pStyle w:val="BodyText"/>
        <w:spacing w:before="3"/>
        <w:ind w:left="1538"/>
      </w:pPr>
      <w:r>
        <w:rPr>
          <w:w w:val="100"/>
        </w:rPr>
        <w:t> </w:t>
      </w:r>
    </w:p>
    <w:p>
      <w:pPr>
        <w:pStyle w:val="BodyText"/>
        <w:spacing w:before="2"/>
        <w:ind w:left="1538"/>
      </w:pPr>
      <w:r>
        <w:rPr/>
        <w:t>根据《中华人民共和国公司法》和公司章程，公司按照净利润</w:t>
      </w:r>
      <w:r>
        <w:rPr>
          <w:rFonts w:ascii="Times New Roman" w:eastAsia="Times New Roman"/>
        </w:rPr>
        <w:t>10%</w:t>
      </w:r>
      <w:r>
        <w:rPr/>
        <w:t>提取法定盈余公积。</w:t>
      </w:r>
    </w:p>
    <w:p>
      <w:pPr>
        <w:spacing w:after="0"/>
        <w:sectPr>
          <w:pgSz w:w="11910" w:h="16840"/>
          <w:pgMar w:header="876" w:footer="1214" w:top="1440" w:bottom="1400" w:left="260" w:right="0"/>
        </w:sectPr>
      </w:pPr>
    </w:p>
    <w:p>
      <w:pPr>
        <w:pStyle w:val="Heading4"/>
        <w:spacing w:line="385" w:lineRule="exact"/>
      </w:pPr>
      <w:r>
        <w:rPr>
          <w:rFonts w:ascii="Times New Roman" w:eastAsia="Times New Roman"/>
        </w:rPr>
        <w:t>48</w:t>
      </w:r>
      <w:r>
        <w:rPr>
          <w:spacing w:val="4"/>
        </w:rPr>
        <w:t>、 未分配利润</w:t>
      </w:r>
    </w:p>
    <w:p>
      <w:pPr>
        <w:pStyle w:val="BodyText"/>
        <w:spacing w:before="17"/>
        <w:ind w:left="1538"/>
      </w:pPr>
      <w:r>
        <w:rPr>
          <w:spacing w:val="-1"/>
        </w:rPr>
        <w:t>√适用 □不适用</w:t>
      </w:r>
    </w:p>
    <w:p>
      <w:pPr>
        <w:pStyle w:val="BodyText"/>
        <w:rPr>
          <w:sz w:val="19"/>
        </w:rPr>
      </w:pPr>
    </w:p>
    <w:tbl>
      <w:tblPr>
        <w:tblW w:w="0" w:type="auto"/>
        <w:jc w:val="left"/>
        <w:tblInd w:w="161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288"/>
        <w:gridCol w:w="3416"/>
      </w:tblGrid>
      <w:tr>
        <w:trPr>
          <w:trHeight w:val="339" w:hRule="atLeast"/>
        </w:trPr>
        <w:tc>
          <w:tcPr>
            <w:tcW w:w="5288" w:type="dxa"/>
            <w:tcBorders>
              <w:bottom w:val="single" w:sz="4" w:space="0" w:color="000000"/>
              <w:right w:val="single" w:sz="4" w:space="0" w:color="000000"/>
            </w:tcBorders>
          </w:tcPr>
          <w:p>
            <w:pPr>
              <w:pStyle w:val="TableParagraph"/>
              <w:spacing w:line="320" w:lineRule="exact"/>
              <w:ind w:left="2412" w:right="2396"/>
              <w:jc w:val="center"/>
              <w:rPr>
                <w:rFonts w:ascii="Microsoft JhengHei" w:eastAsia="Microsoft JhengHei" w:hint="eastAsia"/>
                <w:b/>
                <w:sz w:val="21"/>
              </w:rPr>
            </w:pPr>
            <w:r>
              <w:rPr>
                <w:rFonts w:ascii="Microsoft JhengHei" w:eastAsia="Microsoft JhengHei" w:hint="eastAsia"/>
                <w:b/>
                <w:sz w:val="21"/>
              </w:rPr>
              <w:t>项目</w:t>
            </w:r>
          </w:p>
        </w:tc>
        <w:tc>
          <w:tcPr>
            <w:tcW w:w="3416" w:type="dxa"/>
            <w:tcBorders>
              <w:left w:val="single" w:sz="4" w:space="0" w:color="000000"/>
              <w:bottom w:val="single" w:sz="4" w:space="0" w:color="000000"/>
            </w:tcBorders>
          </w:tcPr>
          <w:p>
            <w:pPr>
              <w:pStyle w:val="TableParagraph"/>
              <w:spacing w:line="320" w:lineRule="exact"/>
              <w:ind w:left="1485" w:right="1450"/>
              <w:jc w:val="center"/>
              <w:rPr>
                <w:rFonts w:ascii="Microsoft JhengHei" w:eastAsia="Microsoft JhengHei" w:hint="eastAsia"/>
                <w:b/>
                <w:sz w:val="21"/>
              </w:rPr>
            </w:pPr>
            <w:r>
              <w:rPr>
                <w:rFonts w:ascii="Microsoft JhengHei" w:eastAsia="Microsoft JhengHei" w:hint="eastAsia"/>
                <w:b/>
                <w:sz w:val="21"/>
              </w:rPr>
              <w:t>金额</w:t>
            </w:r>
          </w:p>
        </w:tc>
      </w:tr>
      <w:tr>
        <w:trPr>
          <w:trHeight w:val="357" w:hRule="atLeast"/>
        </w:trPr>
        <w:tc>
          <w:tcPr>
            <w:tcW w:w="5288" w:type="dxa"/>
            <w:tcBorders>
              <w:top w:val="single" w:sz="4" w:space="0" w:color="000000"/>
              <w:bottom w:val="single" w:sz="4" w:space="0" w:color="000000"/>
              <w:right w:val="single" w:sz="4" w:space="0" w:color="000000"/>
            </w:tcBorders>
          </w:tcPr>
          <w:p>
            <w:pPr>
              <w:pStyle w:val="TableParagraph"/>
              <w:spacing w:before="44"/>
              <w:ind w:left="107"/>
              <w:rPr>
                <w:rFonts w:ascii="宋体" w:eastAsia="宋体" w:hint="eastAsia"/>
                <w:sz w:val="21"/>
              </w:rPr>
            </w:pPr>
            <w:r>
              <w:rPr>
                <w:rFonts w:ascii="宋体" w:eastAsia="宋体" w:hint="eastAsia"/>
                <w:sz w:val="21"/>
              </w:rPr>
              <w:t>上年年末未分配利润</w:t>
            </w:r>
          </w:p>
        </w:tc>
        <w:tc>
          <w:tcPr>
            <w:tcW w:w="3416" w:type="dxa"/>
            <w:tcBorders>
              <w:top w:val="single" w:sz="4" w:space="0" w:color="000000"/>
              <w:left w:val="single" w:sz="4" w:space="0" w:color="000000"/>
              <w:bottom w:val="single" w:sz="4" w:space="0" w:color="000000"/>
            </w:tcBorders>
          </w:tcPr>
          <w:p>
            <w:pPr>
              <w:pStyle w:val="TableParagraph"/>
              <w:spacing w:before="51"/>
              <w:ind w:right="74"/>
              <w:jc w:val="right"/>
              <w:rPr>
                <w:sz w:val="21"/>
              </w:rPr>
            </w:pPr>
            <w:r>
              <w:rPr>
                <w:sz w:val="21"/>
              </w:rPr>
              <w:t>32,468,121,744.26</w:t>
            </w:r>
          </w:p>
        </w:tc>
      </w:tr>
      <w:tr>
        <w:trPr>
          <w:trHeight w:val="359" w:hRule="atLeast"/>
        </w:trPr>
        <w:tc>
          <w:tcPr>
            <w:tcW w:w="5288" w:type="dxa"/>
            <w:tcBorders>
              <w:top w:val="single" w:sz="4" w:space="0" w:color="000000"/>
              <w:bottom w:val="single" w:sz="4" w:space="0" w:color="000000"/>
              <w:right w:val="single" w:sz="4" w:space="0" w:color="000000"/>
            </w:tcBorders>
          </w:tcPr>
          <w:p>
            <w:pPr>
              <w:pStyle w:val="TableParagraph"/>
              <w:spacing w:before="46"/>
              <w:ind w:left="107"/>
              <w:rPr>
                <w:rFonts w:ascii="宋体" w:eastAsia="宋体" w:hint="eastAsia"/>
                <w:sz w:val="21"/>
              </w:rPr>
            </w:pPr>
            <w:r>
              <w:rPr>
                <w:rFonts w:ascii="宋体" w:eastAsia="宋体" w:hint="eastAsia"/>
                <w:sz w:val="21"/>
              </w:rPr>
              <w:t>同一控制下企业合并调整</w:t>
            </w:r>
          </w:p>
        </w:tc>
        <w:tc>
          <w:tcPr>
            <w:tcW w:w="3416" w:type="dxa"/>
            <w:tcBorders>
              <w:top w:val="single" w:sz="4" w:space="0" w:color="000000"/>
              <w:left w:val="single" w:sz="4" w:space="0" w:color="000000"/>
              <w:bottom w:val="single" w:sz="4" w:space="0" w:color="000000"/>
            </w:tcBorders>
          </w:tcPr>
          <w:p>
            <w:pPr>
              <w:pStyle w:val="TableParagraph"/>
              <w:rPr>
                <w:sz w:val="18"/>
              </w:rPr>
            </w:pPr>
          </w:p>
        </w:tc>
      </w:tr>
      <w:tr>
        <w:trPr>
          <w:trHeight w:val="359" w:hRule="atLeast"/>
        </w:trPr>
        <w:tc>
          <w:tcPr>
            <w:tcW w:w="5288" w:type="dxa"/>
            <w:tcBorders>
              <w:top w:val="single" w:sz="4" w:space="0" w:color="000000"/>
              <w:bottom w:val="single" w:sz="4" w:space="0" w:color="000000"/>
              <w:right w:val="single" w:sz="4" w:space="0" w:color="000000"/>
            </w:tcBorders>
          </w:tcPr>
          <w:p>
            <w:pPr>
              <w:pStyle w:val="TableParagraph"/>
              <w:spacing w:before="44"/>
              <w:ind w:left="107"/>
              <w:rPr>
                <w:rFonts w:ascii="宋体" w:eastAsia="宋体" w:hint="eastAsia"/>
                <w:sz w:val="21"/>
              </w:rPr>
            </w:pPr>
            <w:r>
              <w:rPr>
                <w:rFonts w:ascii="宋体" w:eastAsia="宋体" w:hint="eastAsia"/>
                <w:sz w:val="21"/>
              </w:rPr>
              <w:t>本年期初未分配利润</w:t>
            </w:r>
          </w:p>
        </w:tc>
        <w:tc>
          <w:tcPr>
            <w:tcW w:w="3416" w:type="dxa"/>
            <w:tcBorders>
              <w:top w:val="single" w:sz="4" w:space="0" w:color="000000"/>
              <w:left w:val="single" w:sz="4" w:space="0" w:color="000000"/>
              <w:bottom w:val="single" w:sz="4" w:space="0" w:color="000000"/>
            </w:tcBorders>
          </w:tcPr>
          <w:p>
            <w:pPr>
              <w:pStyle w:val="TableParagraph"/>
              <w:spacing w:before="53"/>
              <w:ind w:right="76"/>
              <w:jc w:val="right"/>
              <w:rPr>
                <w:sz w:val="21"/>
              </w:rPr>
            </w:pPr>
            <w:r>
              <w:rPr>
                <w:sz w:val="21"/>
              </w:rPr>
              <w:t>32,468,121,744.26</w:t>
            </w:r>
          </w:p>
        </w:tc>
      </w:tr>
      <w:tr>
        <w:trPr>
          <w:trHeight w:val="359" w:hRule="atLeast"/>
        </w:trPr>
        <w:tc>
          <w:tcPr>
            <w:tcW w:w="5288" w:type="dxa"/>
            <w:tcBorders>
              <w:top w:val="single" w:sz="4" w:space="0" w:color="000000"/>
              <w:bottom w:val="single" w:sz="4" w:space="0" w:color="000000"/>
              <w:right w:val="single" w:sz="4" w:space="0" w:color="000000"/>
            </w:tcBorders>
          </w:tcPr>
          <w:p>
            <w:pPr>
              <w:pStyle w:val="TableParagraph"/>
              <w:spacing w:before="44"/>
              <w:ind w:left="107"/>
              <w:rPr>
                <w:rFonts w:ascii="宋体" w:eastAsia="宋体" w:hint="eastAsia"/>
                <w:sz w:val="21"/>
              </w:rPr>
            </w:pPr>
            <w:r>
              <w:rPr>
                <w:rFonts w:ascii="宋体" w:eastAsia="宋体" w:hint="eastAsia"/>
                <w:sz w:val="21"/>
              </w:rPr>
              <w:t>加：归属于母公司所有者的净利润</w:t>
            </w:r>
          </w:p>
        </w:tc>
        <w:tc>
          <w:tcPr>
            <w:tcW w:w="3416" w:type="dxa"/>
            <w:tcBorders>
              <w:top w:val="single" w:sz="4" w:space="0" w:color="000000"/>
              <w:left w:val="single" w:sz="4" w:space="0" w:color="000000"/>
              <w:bottom w:val="single" w:sz="4" w:space="0" w:color="000000"/>
            </w:tcBorders>
          </w:tcPr>
          <w:p>
            <w:pPr>
              <w:pStyle w:val="TableParagraph"/>
              <w:spacing w:before="53"/>
              <w:ind w:right="74"/>
              <w:jc w:val="right"/>
              <w:rPr>
                <w:sz w:val="21"/>
              </w:rPr>
            </w:pPr>
            <w:r>
              <w:rPr>
                <w:sz w:val="21"/>
              </w:rPr>
              <w:t>8,876,593,208.19</w:t>
            </w:r>
          </w:p>
        </w:tc>
      </w:tr>
      <w:tr>
        <w:trPr>
          <w:trHeight w:val="357" w:hRule="atLeast"/>
        </w:trPr>
        <w:tc>
          <w:tcPr>
            <w:tcW w:w="5288" w:type="dxa"/>
            <w:tcBorders>
              <w:top w:val="single" w:sz="4" w:space="0" w:color="000000"/>
              <w:bottom w:val="single" w:sz="4" w:space="0" w:color="000000"/>
              <w:right w:val="single" w:sz="4" w:space="0" w:color="000000"/>
            </w:tcBorders>
          </w:tcPr>
          <w:p>
            <w:pPr>
              <w:pStyle w:val="TableParagraph"/>
              <w:spacing w:before="44"/>
              <w:ind w:left="107"/>
              <w:rPr>
                <w:rFonts w:ascii="宋体" w:eastAsia="宋体" w:hint="eastAsia"/>
                <w:sz w:val="21"/>
              </w:rPr>
            </w:pPr>
            <w:r>
              <w:rPr>
                <w:rFonts w:ascii="宋体" w:eastAsia="宋体" w:hint="eastAsia"/>
                <w:sz w:val="21"/>
              </w:rPr>
              <w:t>其他转入</w:t>
            </w:r>
          </w:p>
        </w:tc>
        <w:tc>
          <w:tcPr>
            <w:tcW w:w="3416" w:type="dxa"/>
            <w:tcBorders>
              <w:top w:val="single" w:sz="4" w:space="0" w:color="000000"/>
              <w:left w:val="single" w:sz="4" w:space="0" w:color="000000"/>
              <w:bottom w:val="single" w:sz="4" w:space="0" w:color="000000"/>
            </w:tcBorders>
          </w:tcPr>
          <w:p>
            <w:pPr>
              <w:pStyle w:val="TableParagraph"/>
              <w:spacing w:before="51"/>
              <w:ind w:right="76"/>
              <w:jc w:val="right"/>
              <w:rPr>
                <w:sz w:val="21"/>
              </w:rPr>
            </w:pPr>
            <w:r>
              <w:rPr>
                <w:sz w:val="21"/>
              </w:rPr>
              <w:t>-42,238,160.71</w:t>
            </w:r>
          </w:p>
        </w:tc>
      </w:tr>
      <w:tr>
        <w:trPr>
          <w:trHeight w:val="359" w:hRule="atLeast"/>
        </w:trPr>
        <w:tc>
          <w:tcPr>
            <w:tcW w:w="5288" w:type="dxa"/>
            <w:tcBorders>
              <w:top w:val="single" w:sz="4" w:space="0" w:color="000000"/>
              <w:bottom w:val="single" w:sz="4" w:space="0" w:color="000000"/>
              <w:right w:val="single" w:sz="4" w:space="0" w:color="000000"/>
            </w:tcBorders>
          </w:tcPr>
          <w:p>
            <w:pPr>
              <w:pStyle w:val="TableParagraph"/>
              <w:spacing w:before="46"/>
              <w:ind w:left="107"/>
              <w:rPr>
                <w:rFonts w:ascii="宋体" w:eastAsia="宋体" w:hint="eastAsia"/>
                <w:sz w:val="21"/>
              </w:rPr>
            </w:pPr>
            <w:r>
              <w:rPr>
                <w:rFonts w:ascii="宋体" w:eastAsia="宋体" w:hint="eastAsia"/>
                <w:sz w:val="21"/>
              </w:rPr>
              <w:t>执行企业会计准则调整数</w:t>
            </w:r>
          </w:p>
        </w:tc>
        <w:tc>
          <w:tcPr>
            <w:tcW w:w="3416" w:type="dxa"/>
            <w:tcBorders>
              <w:top w:val="single" w:sz="4" w:space="0" w:color="000000"/>
              <w:left w:val="single" w:sz="4" w:space="0" w:color="000000"/>
              <w:bottom w:val="single" w:sz="4" w:space="0" w:color="000000"/>
            </w:tcBorders>
          </w:tcPr>
          <w:p>
            <w:pPr>
              <w:pStyle w:val="TableParagraph"/>
              <w:rPr>
                <w:sz w:val="18"/>
              </w:rPr>
            </w:pPr>
          </w:p>
        </w:tc>
      </w:tr>
      <w:tr>
        <w:trPr>
          <w:trHeight w:val="359" w:hRule="atLeast"/>
        </w:trPr>
        <w:tc>
          <w:tcPr>
            <w:tcW w:w="5288" w:type="dxa"/>
            <w:tcBorders>
              <w:top w:val="single" w:sz="4" w:space="0" w:color="000000"/>
              <w:bottom w:val="single" w:sz="4" w:space="0" w:color="000000"/>
              <w:right w:val="single" w:sz="4" w:space="0" w:color="000000"/>
            </w:tcBorders>
          </w:tcPr>
          <w:p>
            <w:pPr>
              <w:pStyle w:val="TableParagraph"/>
              <w:spacing w:before="44"/>
              <w:ind w:left="107"/>
              <w:rPr>
                <w:rFonts w:ascii="宋体" w:eastAsia="宋体" w:hint="eastAsia"/>
                <w:sz w:val="21"/>
              </w:rPr>
            </w:pPr>
            <w:r>
              <w:rPr>
                <w:rFonts w:ascii="宋体" w:eastAsia="宋体" w:hint="eastAsia"/>
                <w:sz w:val="21"/>
              </w:rPr>
              <w:t>本年可供分配利润</w:t>
            </w:r>
          </w:p>
        </w:tc>
        <w:tc>
          <w:tcPr>
            <w:tcW w:w="3416" w:type="dxa"/>
            <w:tcBorders>
              <w:top w:val="single" w:sz="4" w:space="0" w:color="000000"/>
              <w:left w:val="single" w:sz="4" w:space="0" w:color="000000"/>
              <w:bottom w:val="single" w:sz="4" w:space="0" w:color="000000"/>
            </w:tcBorders>
          </w:tcPr>
          <w:p>
            <w:pPr>
              <w:pStyle w:val="TableParagraph"/>
              <w:spacing w:before="53"/>
              <w:ind w:right="76"/>
              <w:jc w:val="right"/>
              <w:rPr>
                <w:sz w:val="21"/>
              </w:rPr>
            </w:pPr>
            <w:r>
              <w:rPr>
                <w:sz w:val="21"/>
              </w:rPr>
              <w:t>41,302,476,791.74</w:t>
            </w:r>
          </w:p>
        </w:tc>
      </w:tr>
      <w:tr>
        <w:trPr>
          <w:trHeight w:val="360" w:hRule="atLeast"/>
        </w:trPr>
        <w:tc>
          <w:tcPr>
            <w:tcW w:w="5288" w:type="dxa"/>
            <w:tcBorders>
              <w:top w:val="single" w:sz="4" w:space="0" w:color="000000"/>
              <w:bottom w:val="single" w:sz="4" w:space="0" w:color="000000"/>
              <w:right w:val="single" w:sz="4" w:space="0" w:color="000000"/>
            </w:tcBorders>
          </w:tcPr>
          <w:p>
            <w:pPr>
              <w:pStyle w:val="TableParagraph"/>
              <w:spacing w:before="44"/>
              <w:ind w:left="107"/>
              <w:rPr>
                <w:rFonts w:ascii="宋体" w:eastAsia="宋体" w:hint="eastAsia"/>
                <w:sz w:val="21"/>
              </w:rPr>
            </w:pPr>
            <w:r>
              <w:rPr>
                <w:rFonts w:ascii="宋体" w:eastAsia="宋体" w:hint="eastAsia"/>
                <w:sz w:val="21"/>
              </w:rPr>
              <w:t>减：提取法定盈余公积</w:t>
            </w:r>
          </w:p>
        </w:tc>
        <w:tc>
          <w:tcPr>
            <w:tcW w:w="3416" w:type="dxa"/>
            <w:tcBorders>
              <w:top w:val="single" w:sz="4" w:space="0" w:color="000000"/>
              <w:left w:val="single" w:sz="4" w:space="0" w:color="000000"/>
              <w:bottom w:val="single" w:sz="4" w:space="0" w:color="000000"/>
            </w:tcBorders>
          </w:tcPr>
          <w:p>
            <w:pPr>
              <w:pStyle w:val="TableParagraph"/>
              <w:spacing w:before="54"/>
              <w:ind w:right="76"/>
              <w:jc w:val="right"/>
              <w:rPr>
                <w:sz w:val="21"/>
              </w:rPr>
            </w:pPr>
            <w:r>
              <w:rPr>
                <w:sz w:val="21"/>
              </w:rPr>
              <w:t>390,007,134.14</w:t>
            </w:r>
          </w:p>
        </w:tc>
      </w:tr>
      <w:tr>
        <w:trPr>
          <w:trHeight w:val="357" w:hRule="atLeast"/>
        </w:trPr>
        <w:tc>
          <w:tcPr>
            <w:tcW w:w="5288" w:type="dxa"/>
            <w:tcBorders>
              <w:top w:val="single" w:sz="4" w:space="0" w:color="000000"/>
              <w:bottom w:val="single" w:sz="4" w:space="0" w:color="000000"/>
              <w:right w:val="single" w:sz="4" w:space="0" w:color="000000"/>
            </w:tcBorders>
          </w:tcPr>
          <w:p>
            <w:pPr>
              <w:pStyle w:val="TableParagraph"/>
              <w:spacing w:before="44"/>
              <w:ind w:left="107"/>
              <w:rPr>
                <w:rFonts w:ascii="宋体" w:eastAsia="宋体" w:hint="eastAsia"/>
                <w:sz w:val="21"/>
              </w:rPr>
            </w:pPr>
            <w:r>
              <w:rPr>
                <w:rFonts w:ascii="宋体" w:eastAsia="宋体" w:hint="eastAsia"/>
                <w:sz w:val="21"/>
              </w:rPr>
              <w:t>提取职工奖励及福利基金</w:t>
            </w:r>
          </w:p>
        </w:tc>
        <w:tc>
          <w:tcPr>
            <w:tcW w:w="3416" w:type="dxa"/>
            <w:tcBorders>
              <w:top w:val="single" w:sz="4" w:space="0" w:color="000000"/>
              <w:left w:val="single" w:sz="4" w:space="0" w:color="000000"/>
              <w:bottom w:val="single" w:sz="4" w:space="0" w:color="000000"/>
            </w:tcBorders>
          </w:tcPr>
          <w:p>
            <w:pPr>
              <w:pStyle w:val="TableParagraph"/>
              <w:spacing w:before="37"/>
              <w:ind w:right="-29"/>
              <w:jc w:val="right"/>
              <w:rPr>
                <w:rFonts w:ascii="宋体"/>
                <w:sz w:val="21"/>
              </w:rPr>
            </w:pPr>
            <w:r>
              <w:rPr>
                <w:rFonts w:ascii="宋体"/>
                <w:w w:val="100"/>
                <w:sz w:val="21"/>
              </w:rPr>
              <w:t> </w:t>
            </w:r>
          </w:p>
        </w:tc>
      </w:tr>
      <w:tr>
        <w:trPr>
          <w:trHeight w:val="359" w:hRule="atLeast"/>
        </w:trPr>
        <w:tc>
          <w:tcPr>
            <w:tcW w:w="5288" w:type="dxa"/>
            <w:tcBorders>
              <w:top w:val="single" w:sz="4" w:space="0" w:color="000000"/>
              <w:bottom w:val="single" w:sz="4" w:space="0" w:color="000000"/>
              <w:right w:val="single" w:sz="4" w:space="0" w:color="000000"/>
            </w:tcBorders>
          </w:tcPr>
          <w:p>
            <w:pPr>
              <w:pStyle w:val="TableParagraph"/>
              <w:spacing w:before="46"/>
              <w:ind w:left="107"/>
              <w:rPr>
                <w:rFonts w:ascii="宋体" w:eastAsia="宋体" w:hint="eastAsia"/>
                <w:sz w:val="21"/>
              </w:rPr>
            </w:pPr>
            <w:r>
              <w:rPr>
                <w:rFonts w:ascii="宋体" w:eastAsia="宋体" w:hint="eastAsia"/>
                <w:sz w:val="21"/>
              </w:rPr>
              <w:t>应付普通股股利</w:t>
            </w:r>
          </w:p>
        </w:tc>
        <w:tc>
          <w:tcPr>
            <w:tcW w:w="3416" w:type="dxa"/>
            <w:tcBorders>
              <w:top w:val="single" w:sz="4" w:space="0" w:color="000000"/>
              <w:left w:val="single" w:sz="4" w:space="0" w:color="000000"/>
              <w:bottom w:val="single" w:sz="4" w:space="0" w:color="000000"/>
            </w:tcBorders>
          </w:tcPr>
          <w:p>
            <w:pPr>
              <w:pStyle w:val="TableParagraph"/>
              <w:spacing w:before="53"/>
              <w:ind w:right="74"/>
              <w:jc w:val="right"/>
              <w:rPr>
                <w:sz w:val="21"/>
              </w:rPr>
            </w:pPr>
            <w:r>
              <w:rPr>
                <w:sz w:val="21"/>
              </w:rPr>
              <w:t>2,467,337,485.13</w:t>
            </w:r>
          </w:p>
        </w:tc>
      </w:tr>
      <w:tr>
        <w:trPr>
          <w:trHeight w:val="356" w:hRule="atLeast"/>
        </w:trPr>
        <w:tc>
          <w:tcPr>
            <w:tcW w:w="5288" w:type="dxa"/>
            <w:tcBorders>
              <w:top w:val="single" w:sz="4" w:space="0" w:color="000000"/>
              <w:right w:val="single" w:sz="4" w:space="0" w:color="000000"/>
            </w:tcBorders>
          </w:tcPr>
          <w:p>
            <w:pPr>
              <w:pStyle w:val="TableParagraph"/>
              <w:spacing w:before="44"/>
              <w:ind w:left="107"/>
              <w:rPr>
                <w:rFonts w:ascii="宋体" w:eastAsia="宋体" w:hint="eastAsia"/>
                <w:sz w:val="21"/>
              </w:rPr>
            </w:pPr>
            <w:r>
              <w:rPr>
                <w:rFonts w:ascii="宋体" w:eastAsia="宋体" w:hint="eastAsia"/>
                <w:sz w:val="21"/>
              </w:rPr>
              <w:t>期末未分配利润</w:t>
            </w:r>
          </w:p>
        </w:tc>
        <w:tc>
          <w:tcPr>
            <w:tcW w:w="3416" w:type="dxa"/>
            <w:tcBorders>
              <w:top w:val="single" w:sz="4" w:space="0" w:color="000000"/>
              <w:left w:val="single" w:sz="4" w:space="0" w:color="000000"/>
            </w:tcBorders>
          </w:tcPr>
          <w:p>
            <w:pPr>
              <w:pStyle w:val="TableParagraph"/>
              <w:spacing w:before="53"/>
              <w:ind w:right="76"/>
              <w:jc w:val="right"/>
              <w:rPr>
                <w:sz w:val="21"/>
              </w:rPr>
            </w:pPr>
            <w:r>
              <w:rPr>
                <w:sz w:val="21"/>
              </w:rPr>
              <w:t>38,445,132,172.47</w:t>
            </w:r>
          </w:p>
        </w:tc>
      </w:tr>
    </w:tbl>
    <w:p>
      <w:pPr>
        <w:pStyle w:val="BodyText"/>
        <w:spacing w:line="267" w:lineRule="exact" w:before="3"/>
        <w:ind w:left="1538"/>
      </w:pPr>
      <w:r>
        <w:rPr>
          <w:w w:val="100"/>
        </w:rPr>
        <w:t> </w:t>
      </w:r>
    </w:p>
    <w:p>
      <w:pPr>
        <w:pStyle w:val="Heading4"/>
        <w:spacing w:line="384" w:lineRule="exact"/>
      </w:pPr>
      <w:r>
        <w:rPr>
          <w:rFonts w:ascii="Times New Roman" w:eastAsia="Times New Roman"/>
        </w:rPr>
        <w:t>49</w:t>
      </w:r>
      <w:r>
        <w:rPr/>
        <w:t>、 营业收入及营业成本</w:t>
      </w:r>
    </w:p>
    <w:p>
      <w:pPr>
        <w:pStyle w:val="ListParagraph"/>
        <w:numPr>
          <w:ilvl w:val="0"/>
          <w:numId w:val="64"/>
        </w:numPr>
        <w:tabs>
          <w:tab w:pos="2425" w:val="left" w:leader="none"/>
        </w:tabs>
        <w:spacing w:line="240" w:lineRule="auto" w:before="15" w:after="0"/>
        <w:ind w:left="2424" w:right="0" w:hanging="530"/>
        <w:jc w:val="left"/>
        <w:rPr>
          <w:sz w:val="21"/>
        </w:rPr>
      </w:pPr>
      <w:r>
        <w:rPr>
          <w:spacing w:val="-2"/>
          <w:sz w:val="21"/>
        </w:rPr>
        <w:t>营业收入</w:t>
      </w:r>
    </w:p>
    <w:p>
      <w:pPr>
        <w:pStyle w:val="BodyText"/>
        <w:spacing w:before="7" w:after="1"/>
        <w:rPr>
          <w:sz w:val="9"/>
        </w:rPr>
      </w:pPr>
    </w:p>
    <w:tbl>
      <w:tblPr>
        <w:tblW w:w="0" w:type="auto"/>
        <w:jc w:val="left"/>
        <w:tblInd w:w="16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452"/>
        <w:gridCol w:w="2696"/>
        <w:gridCol w:w="2499"/>
      </w:tblGrid>
      <w:tr>
        <w:trPr>
          <w:trHeight w:val="383" w:hRule="atLeast"/>
        </w:trPr>
        <w:tc>
          <w:tcPr>
            <w:tcW w:w="3452" w:type="dxa"/>
            <w:tcBorders>
              <w:bottom w:val="single" w:sz="4" w:space="0" w:color="000000"/>
              <w:right w:val="single" w:sz="4" w:space="0" w:color="000000"/>
            </w:tcBorders>
          </w:tcPr>
          <w:p>
            <w:pPr>
              <w:pStyle w:val="TableParagraph"/>
              <w:spacing w:line="363" w:lineRule="exact"/>
              <w:ind w:right="1493"/>
              <w:jc w:val="right"/>
              <w:rPr>
                <w:rFonts w:ascii="Microsoft JhengHei" w:eastAsia="Microsoft JhengHei" w:hint="eastAsia"/>
                <w:b/>
                <w:sz w:val="21"/>
              </w:rPr>
            </w:pPr>
            <w:r>
              <w:rPr>
                <w:rFonts w:ascii="Microsoft JhengHei" w:eastAsia="Microsoft JhengHei" w:hint="eastAsia"/>
                <w:b/>
                <w:sz w:val="21"/>
              </w:rPr>
              <w:t>项目</w:t>
            </w:r>
          </w:p>
        </w:tc>
        <w:tc>
          <w:tcPr>
            <w:tcW w:w="2696" w:type="dxa"/>
            <w:tcBorders>
              <w:left w:val="single" w:sz="4" w:space="0" w:color="000000"/>
              <w:bottom w:val="single" w:sz="4" w:space="0" w:color="000000"/>
              <w:right w:val="single" w:sz="4" w:space="0" w:color="000000"/>
            </w:tcBorders>
          </w:tcPr>
          <w:p>
            <w:pPr>
              <w:pStyle w:val="TableParagraph"/>
              <w:spacing w:line="363" w:lineRule="exact"/>
              <w:ind w:left="827"/>
              <w:rPr>
                <w:rFonts w:ascii="Microsoft JhengHei" w:eastAsia="Microsoft JhengHei" w:hint="eastAsia"/>
                <w:b/>
                <w:sz w:val="21"/>
              </w:rPr>
            </w:pPr>
            <w:r>
              <w:rPr>
                <w:rFonts w:ascii="Microsoft JhengHei" w:eastAsia="Microsoft JhengHei" w:hint="eastAsia"/>
                <w:b/>
                <w:sz w:val="21"/>
              </w:rPr>
              <w:t>本期发生额</w:t>
            </w:r>
          </w:p>
        </w:tc>
        <w:tc>
          <w:tcPr>
            <w:tcW w:w="2499" w:type="dxa"/>
            <w:tcBorders>
              <w:left w:val="single" w:sz="4" w:space="0" w:color="000000"/>
              <w:bottom w:val="single" w:sz="4" w:space="0" w:color="000000"/>
            </w:tcBorders>
          </w:tcPr>
          <w:p>
            <w:pPr>
              <w:pStyle w:val="TableParagraph"/>
              <w:spacing w:line="363" w:lineRule="exact"/>
              <w:ind w:left="731"/>
              <w:rPr>
                <w:rFonts w:ascii="Microsoft JhengHei" w:eastAsia="Microsoft JhengHei" w:hint="eastAsia"/>
                <w:b/>
                <w:sz w:val="21"/>
              </w:rPr>
            </w:pPr>
            <w:r>
              <w:rPr>
                <w:rFonts w:ascii="Microsoft JhengHei" w:eastAsia="Microsoft JhengHei" w:hint="eastAsia"/>
                <w:b/>
                <w:sz w:val="21"/>
              </w:rPr>
              <w:t>上期发生额</w:t>
            </w:r>
          </w:p>
        </w:tc>
      </w:tr>
      <w:tr>
        <w:trPr>
          <w:trHeight w:val="369" w:hRule="atLeast"/>
        </w:trPr>
        <w:tc>
          <w:tcPr>
            <w:tcW w:w="3452" w:type="dxa"/>
            <w:tcBorders>
              <w:top w:val="single" w:sz="4" w:space="0" w:color="000000"/>
              <w:bottom w:val="single" w:sz="4" w:space="0" w:color="000000"/>
              <w:right w:val="single" w:sz="4" w:space="0" w:color="000000"/>
            </w:tcBorders>
          </w:tcPr>
          <w:p>
            <w:pPr>
              <w:pStyle w:val="TableParagraph"/>
              <w:spacing w:before="51"/>
              <w:ind w:left="105"/>
              <w:rPr>
                <w:rFonts w:ascii="宋体" w:eastAsia="宋体" w:hint="eastAsia"/>
                <w:sz w:val="21"/>
              </w:rPr>
            </w:pPr>
            <w:r>
              <w:rPr>
                <w:rFonts w:ascii="宋体" w:eastAsia="宋体" w:hint="eastAsia"/>
                <w:sz w:val="21"/>
              </w:rPr>
              <w:t>主营业务</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before="58"/>
              <w:ind w:right="87"/>
              <w:jc w:val="right"/>
              <w:rPr>
                <w:sz w:val="21"/>
              </w:rPr>
            </w:pPr>
            <w:r>
              <w:rPr>
                <w:sz w:val="21"/>
              </w:rPr>
              <w:t>208,593,269,178.46</w:t>
            </w:r>
          </w:p>
        </w:tc>
        <w:tc>
          <w:tcPr>
            <w:tcW w:w="2499"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199,470,697,570.75</w:t>
            </w:r>
          </w:p>
        </w:tc>
      </w:tr>
      <w:tr>
        <w:trPr>
          <w:trHeight w:val="369" w:hRule="atLeast"/>
        </w:trPr>
        <w:tc>
          <w:tcPr>
            <w:tcW w:w="3452" w:type="dxa"/>
            <w:tcBorders>
              <w:top w:val="single" w:sz="4" w:space="0" w:color="000000"/>
              <w:bottom w:val="single" w:sz="4" w:space="0" w:color="000000"/>
              <w:right w:val="single" w:sz="4" w:space="0" w:color="000000"/>
            </w:tcBorders>
          </w:tcPr>
          <w:p>
            <w:pPr>
              <w:pStyle w:val="TableParagraph"/>
              <w:spacing w:before="51"/>
              <w:ind w:left="105"/>
              <w:rPr>
                <w:rFonts w:ascii="宋体" w:eastAsia="宋体" w:hint="eastAsia"/>
                <w:sz w:val="21"/>
              </w:rPr>
            </w:pPr>
            <w:r>
              <w:rPr>
                <w:rFonts w:ascii="宋体" w:eastAsia="宋体" w:hint="eastAsia"/>
                <w:sz w:val="21"/>
              </w:rPr>
              <w:t>其他业务</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before="58"/>
              <w:ind w:right="87"/>
              <w:jc w:val="right"/>
              <w:rPr>
                <w:sz w:val="21"/>
              </w:rPr>
            </w:pPr>
            <w:r>
              <w:rPr>
                <w:sz w:val="21"/>
              </w:rPr>
              <w:t>1,132,551,920.98</w:t>
            </w:r>
          </w:p>
        </w:tc>
        <w:tc>
          <w:tcPr>
            <w:tcW w:w="2499"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1,291,285,685.82</w:t>
            </w:r>
          </w:p>
        </w:tc>
      </w:tr>
      <w:tr>
        <w:trPr>
          <w:trHeight w:val="368" w:hRule="atLeast"/>
        </w:trPr>
        <w:tc>
          <w:tcPr>
            <w:tcW w:w="3452" w:type="dxa"/>
            <w:tcBorders>
              <w:top w:val="single" w:sz="4" w:space="0" w:color="000000"/>
              <w:right w:val="single" w:sz="4" w:space="0" w:color="000000"/>
            </w:tcBorders>
          </w:tcPr>
          <w:p>
            <w:pPr>
              <w:pStyle w:val="TableParagraph"/>
              <w:spacing w:before="51"/>
              <w:ind w:right="1496"/>
              <w:jc w:val="right"/>
              <w:rPr>
                <w:rFonts w:ascii="宋体" w:eastAsia="宋体" w:hint="eastAsia"/>
                <w:sz w:val="21"/>
              </w:rPr>
            </w:pPr>
            <w:r>
              <w:rPr>
                <w:rFonts w:ascii="宋体" w:eastAsia="宋体" w:hint="eastAsia"/>
                <w:sz w:val="21"/>
              </w:rPr>
              <w:t>合计</w:t>
            </w:r>
          </w:p>
        </w:tc>
        <w:tc>
          <w:tcPr>
            <w:tcW w:w="2696" w:type="dxa"/>
            <w:tcBorders>
              <w:top w:val="single" w:sz="4" w:space="0" w:color="000000"/>
              <w:left w:val="single" w:sz="4" w:space="0" w:color="000000"/>
              <w:right w:val="single" w:sz="4" w:space="0" w:color="000000"/>
            </w:tcBorders>
          </w:tcPr>
          <w:p>
            <w:pPr>
              <w:pStyle w:val="TableParagraph"/>
              <w:spacing w:before="58"/>
              <w:ind w:right="87"/>
              <w:jc w:val="right"/>
              <w:rPr>
                <w:sz w:val="21"/>
              </w:rPr>
            </w:pPr>
            <w:r>
              <w:rPr>
                <w:sz w:val="21"/>
              </w:rPr>
              <w:t>209,725,821,099.44</w:t>
            </w:r>
          </w:p>
        </w:tc>
        <w:tc>
          <w:tcPr>
            <w:tcW w:w="2499" w:type="dxa"/>
            <w:tcBorders>
              <w:top w:val="single" w:sz="4" w:space="0" w:color="000000"/>
              <w:left w:val="single" w:sz="4" w:space="0" w:color="000000"/>
            </w:tcBorders>
          </w:tcPr>
          <w:p>
            <w:pPr>
              <w:pStyle w:val="TableParagraph"/>
              <w:spacing w:before="58"/>
              <w:ind w:right="75"/>
              <w:jc w:val="right"/>
              <w:rPr>
                <w:sz w:val="21"/>
              </w:rPr>
            </w:pPr>
            <w:r>
              <w:rPr>
                <w:sz w:val="21"/>
              </w:rPr>
              <w:t>200,761,983,256.57</w:t>
            </w:r>
          </w:p>
        </w:tc>
      </w:tr>
    </w:tbl>
    <w:p>
      <w:pPr>
        <w:pStyle w:val="ListParagraph"/>
        <w:numPr>
          <w:ilvl w:val="0"/>
          <w:numId w:val="64"/>
        </w:numPr>
        <w:tabs>
          <w:tab w:pos="2425" w:val="left" w:leader="none"/>
        </w:tabs>
        <w:spacing w:line="240" w:lineRule="auto" w:before="176" w:after="0"/>
        <w:ind w:left="2424" w:right="0" w:hanging="530"/>
        <w:jc w:val="left"/>
        <w:rPr>
          <w:sz w:val="21"/>
        </w:rPr>
      </w:pPr>
      <w:r>
        <w:rPr>
          <w:spacing w:val="-3"/>
          <w:sz w:val="21"/>
        </w:rPr>
        <w:t>按产品类别列示主营业务收入和主营业务成本</w:t>
      </w:r>
    </w:p>
    <w:p>
      <w:pPr>
        <w:pStyle w:val="BodyText"/>
        <w:spacing w:before="3"/>
        <w:rPr>
          <w:sz w:val="12"/>
        </w:rPr>
      </w:pPr>
    </w:p>
    <w:tbl>
      <w:tblPr>
        <w:tblW w:w="0" w:type="auto"/>
        <w:jc w:val="left"/>
        <w:tblInd w:w="164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560"/>
        <w:gridCol w:w="1844"/>
        <w:gridCol w:w="1844"/>
        <w:gridCol w:w="1700"/>
        <w:gridCol w:w="1709"/>
      </w:tblGrid>
      <w:tr>
        <w:trPr>
          <w:trHeight w:val="368" w:hRule="atLeast"/>
        </w:trPr>
        <w:tc>
          <w:tcPr>
            <w:tcW w:w="1560" w:type="dxa"/>
            <w:vMerge w:val="restart"/>
            <w:tcBorders>
              <w:bottom w:val="single" w:sz="4" w:space="0" w:color="000000"/>
              <w:right w:val="single" w:sz="4" w:space="0" w:color="000000"/>
            </w:tcBorders>
          </w:tcPr>
          <w:p>
            <w:pPr>
              <w:pStyle w:val="TableParagraph"/>
              <w:spacing w:before="4"/>
              <w:rPr>
                <w:rFonts w:ascii="宋体"/>
                <w:sz w:val="15"/>
              </w:rPr>
            </w:pPr>
          </w:p>
          <w:p>
            <w:pPr>
              <w:pStyle w:val="TableParagraph"/>
              <w:ind w:left="579" w:right="561"/>
              <w:jc w:val="center"/>
              <w:rPr>
                <w:rFonts w:ascii="Microsoft JhengHei" w:eastAsia="Microsoft JhengHei" w:hint="eastAsia"/>
                <w:b/>
                <w:sz w:val="18"/>
              </w:rPr>
            </w:pPr>
            <w:r>
              <w:rPr>
                <w:rFonts w:ascii="Microsoft JhengHei" w:eastAsia="Microsoft JhengHei" w:hint="eastAsia"/>
                <w:b/>
                <w:sz w:val="18"/>
              </w:rPr>
              <w:t>类别</w:t>
            </w:r>
          </w:p>
        </w:tc>
        <w:tc>
          <w:tcPr>
            <w:tcW w:w="3688" w:type="dxa"/>
            <w:gridSpan w:val="2"/>
            <w:tcBorders>
              <w:left w:val="single" w:sz="4" w:space="0" w:color="000000"/>
              <w:bottom w:val="single" w:sz="4" w:space="0" w:color="000000"/>
              <w:right w:val="single" w:sz="4" w:space="0" w:color="000000"/>
            </w:tcBorders>
          </w:tcPr>
          <w:p>
            <w:pPr>
              <w:pStyle w:val="TableParagraph"/>
              <w:spacing w:before="7"/>
              <w:ind w:left="1380" w:right="1357"/>
              <w:jc w:val="center"/>
              <w:rPr>
                <w:rFonts w:ascii="Microsoft JhengHei" w:eastAsia="Microsoft JhengHei" w:hint="eastAsia"/>
                <w:b/>
                <w:sz w:val="18"/>
              </w:rPr>
            </w:pPr>
            <w:r>
              <w:rPr>
                <w:rFonts w:ascii="Microsoft JhengHei" w:eastAsia="Microsoft JhengHei" w:hint="eastAsia"/>
                <w:b/>
                <w:sz w:val="18"/>
              </w:rPr>
              <w:t>本期发生额</w:t>
            </w:r>
          </w:p>
        </w:tc>
        <w:tc>
          <w:tcPr>
            <w:tcW w:w="3409" w:type="dxa"/>
            <w:gridSpan w:val="2"/>
            <w:tcBorders>
              <w:left w:val="single" w:sz="4" w:space="0" w:color="000000"/>
              <w:bottom w:val="single" w:sz="4" w:space="0" w:color="000000"/>
            </w:tcBorders>
          </w:tcPr>
          <w:p>
            <w:pPr>
              <w:pStyle w:val="TableParagraph"/>
              <w:spacing w:before="7"/>
              <w:ind w:left="1240" w:right="1209"/>
              <w:jc w:val="center"/>
              <w:rPr>
                <w:rFonts w:ascii="Microsoft JhengHei" w:eastAsia="Microsoft JhengHei" w:hint="eastAsia"/>
                <w:b/>
                <w:sz w:val="18"/>
              </w:rPr>
            </w:pPr>
            <w:r>
              <w:rPr>
                <w:rFonts w:ascii="Microsoft JhengHei" w:eastAsia="Microsoft JhengHei" w:hint="eastAsia"/>
                <w:b/>
                <w:sz w:val="18"/>
              </w:rPr>
              <w:t>上期发生额</w:t>
            </w:r>
          </w:p>
        </w:tc>
      </w:tr>
      <w:tr>
        <w:trPr>
          <w:trHeight w:val="369" w:hRule="atLeast"/>
        </w:trPr>
        <w:tc>
          <w:tcPr>
            <w:tcW w:w="1560" w:type="dxa"/>
            <w:vMerge/>
            <w:tcBorders>
              <w:top w:val="nil"/>
              <w:bottom w:val="single" w:sz="4" w:space="0" w:color="000000"/>
              <w:right w:val="single" w:sz="4" w:space="0" w:color="000000"/>
            </w:tcBorders>
          </w:tcPr>
          <w:p>
            <w:pPr>
              <w:rPr>
                <w:sz w:val="2"/>
                <w:szCs w:val="2"/>
              </w:rPr>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before="7"/>
              <w:ind w:left="389"/>
              <w:rPr>
                <w:rFonts w:ascii="Microsoft JhengHei" w:eastAsia="Microsoft JhengHei" w:hint="eastAsia"/>
                <w:b/>
                <w:sz w:val="18"/>
              </w:rPr>
            </w:pPr>
            <w:r>
              <w:rPr>
                <w:rFonts w:ascii="Microsoft JhengHei" w:eastAsia="Microsoft JhengHei" w:hint="eastAsia"/>
                <w:b/>
                <w:sz w:val="18"/>
              </w:rPr>
              <w:t>主营业务收入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before="7"/>
              <w:ind w:left="385"/>
              <w:rPr>
                <w:rFonts w:ascii="Microsoft JhengHei" w:eastAsia="Microsoft JhengHei" w:hint="eastAsia"/>
                <w:b/>
                <w:sz w:val="18"/>
              </w:rPr>
            </w:pPr>
            <w:r>
              <w:rPr>
                <w:rFonts w:ascii="Microsoft JhengHei" w:eastAsia="Microsoft JhengHei" w:hint="eastAsia"/>
                <w:b/>
                <w:sz w:val="18"/>
              </w:rPr>
              <w:t>主营业务成本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before="7"/>
              <w:ind w:left="313"/>
              <w:rPr>
                <w:rFonts w:ascii="Microsoft JhengHei" w:eastAsia="Microsoft JhengHei" w:hint="eastAsia"/>
                <w:b/>
                <w:sz w:val="18"/>
              </w:rPr>
            </w:pPr>
            <w:r>
              <w:rPr>
                <w:rFonts w:ascii="Microsoft JhengHei" w:eastAsia="Microsoft JhengHei" w:hint="eastAsia"/>
                <w:b/>
                <w:sz w:val="18"/>
              </w:rPr>
              <w:t>主营业务收入</w:t>
            </w:r>
          </w:p>
        </w:tc>
        <w:tc>
          <w:tcPr>
            <w:tcW w:w="1709" w:type="dxa"/>
            <w:tcBorders>
              <w:top w:val="single" w:sz="4" w:space="0" w:color="000000"/>
              <w:left w:val="single" w:sz="4" w:space="0" w:color="000000"/>
              <w:bottom w:val="single" w:sz="4" w:space="0" w:color="000000"/>
            </w:tcBorders>
          </w:tcPr>
          <w:p>
            <w:pPr>
              <w:pStyle w:val="TableParagraph"/>
              <w:spacing w:before="7"/>
              <w:ind w:left="320"/>
              <w:rPr>
                <w:rFonts w:ascii="Microsoft JhengHei" w:eastAsia="Microsoft JhengHei" w:hint="eastAsia"/>
                <w:b/>
                <w:sz w:val="18"/>
              </w:rPr>
            </w:pPr>
            <w:r>
              <w:rPr>
                <w:rFonts w:ascii="Microsoft JhengHei" w:eastAsia="Microsoft JhengHei" w:hint="eastAsia"/>
                <w:b/>
                <w:sz w:val="18"/>
              </w:rPr>
              <w:t>主营业务成本</w:t>
            </w:r>
          </w:p>
        </w:tc>
      </w:tr>
      <w:tr>
        <w:trPr>
          <w:trHeight w:val="369" w:hRule="atLeast"/>
        </w:trPr>
        <w:tc>
          <w:tcPr>
            <w:tcW w:w="1560"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空调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before="76"/>
              <w:ind w:right="87"/>
              <w:jc w:val="right"/>
              <w:rPr>
                <w:sz w:val="18"/>
              </w:rPr>
            </w:pPr>
            <w:r>
              <w:rPr>
                <w:sz w:val="18"/>
              </w:rPr>
              <w:t>29,998,860,385.28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before="76"/>
              <w:ind w:right="90"/>
              <w:jc w:val="right"/>
              <w:rPr>
                <w:sz w:val="18"/>
              </w:rPr>
            </w:pPr>
            <w:r>
              <w:rPr>
                <w:sz w:val="18"/>
              </w:rPr>
              <w:t>21,775,814,158.53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before="76"/>
              <w:ind w:right="88"/>
              <w:jc w:val="right"/>
              <w:rPr>
                <w:sz w:val="18"/>
              </w:rPr>
            </w:pPr>
            <w:r>
              <w:rPr>
                <w:sz w:val="18"/>
              </w:rPr>
              <w:t>29,128,360,847.20</w:t>
            </w:r>
          </w:p>
        </w:tc>
        <w:tc>
          <w:tcPr>
            <w:tcW w:w="1709" w:type="dxa"/>
            <w:tcBorders>
              <w:top w:val="single" w:sz="4" w:space="0" w:color="000000"/>
              <w:left w:val="single" w:sz="4" w:space="0" w:color="000000"/>
              <w:bottom w:val="single" w:sz="4" w:space="0" w:color="000000"/>
            </w:tcBorders>
          </w:tcPr>
          <w:p>
            <w:pPr>
              <w:pStyle w:val="TableParagraph"/>
              <w:spacing w:before="76"/>
              <w:ind w:right="78"/>
              <w:jc w:val="right"/>
              <w:rPr>
                <w:sz w:val="18"/>
              </w:rPr>
            </w:pPr>
            <w:r>
              <w:rPr>
                <w:sz w:val="18"/>
              </w:rPr>
              <w:t>20,034,773,426.88</w:t>
            </w:r>
          </w:p>
        </w:tc>
      </w:tr>
      <w:tr>
        <w:trPr>
          <w:trHeight w:val="369" w:hRule="atLeast"/>
        </w:trPr>
        <w:tc>
          <w:tcPr>
            <w:tcW w:w="1560"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电冰箱</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before="76"/>
              <w:ind w:right="87"/>
              <w:jc w:val="right"/>
              <w:rPr>
                <w:sz w:val="18"/>
              </w:rPr>
            </w:pPr>
            <w:r>
              <w:rPr>
                <w:sz w:val="18"/>
              </w:rPr>
              <w:t>61,538,038,448.75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before="76"/>
              <w:ind w:right="90"/>
              <w:jc w:val="right"/>
              <w:rPr>
                <w:sz w:val="18"/>
              </w:rPr>
            </w:pPr>
            <w:r>
              <w:rPr>
                <w:sz w:val="18"/>
              </w:rPr>
              <w:t>41,567,754,922.29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before="76"/>
              <w:ind w:right="88"/>
              <w:jc w:val="right"/>
              <w:rPr>
                <w:sz w:val="18"/>
              </w:rPr>
            </w:pPr>
            <w:r>
              <w:rPr>
                <w:sz w:val="18"/>
              </w:rPr>
              <w:t>58,437,548,582.46</w:t>
            </w:r>
          </w:p>
        </w:tc>
        <w:tc>
          <w:tcPr>
            <w:tcW w:w="1709" w:type="dxa"/>
            <w:tcBorders>
              <w:top w:val="single" w:sz="4" w:space="0" w:color="000000"/>
              <w:left w:val="single" w:sz="4" w:space="0" w:color="000000"/>
              <w:bottom w:val="single" w:sz="4" w:space="0" w:color="000000"/>
            </w:tcBorders>
          </w:tcPr>
          <w:p>
            <w:pPr>
              <w:pStyle w:val="TableParagraph"/>
              <w:spacing w:before="76"/>
              <w:ind w:right="78"/>
              <w:jc w:val="right"/>
              <w:rPr>
                <w:sz w:val="18"/>
              </w:rPr>
            </w:pPr>
            <w:r>
              <w:rPr>
                <w:sz w:val="18"/>
              </w:rPr>
              <w:t>39,576,846,618.02</w:t>
            </w:r>
          </w:p>
        </w:tc>
      </w:tr>
      <w:tr>
        <w:trPr>
          <w:trHeight w:val="369" w:hRule="atLeast"/>
        </w:trPr>
        <w:tc>
          <w:tcPr>
            <w:tcW w:w="1560"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厨电</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before="76"/>
              <w:ind w:right="87"/>
              <w:jc w:val="right"/>
              <w:rPr>
                <w:sz w:val="18"/>
              </w:rPr>
            </w:pPr>
            <w:r>
              <w:rPr>
                <w:sz w:val="18"/>
              </w:rPr>
              <w:t>31,361,319,774.44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before="76"/>
              <w:ind w:right="90"/>
              <w:jc w:val="right"/>
              <w:rPr>
                <w:sz w:val="18"/>
              </w:rPr>
            </w:pPr>
            <w:r>
              <w:rPr>
                <w:sz w:val="18"/>
              </w:rPr>
              <w:t>21,420,569,709.06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before="76"/>
              <w:ind w:right="88"/>
              <w:jc w:val="right"/>
              <w:rPr>
                <w:sz w:val="18"/>
              </w:rPr>
            </w:pPr>
            <w:r>
              <w:rPr>
                <w:sz w:val="18"/>
              </w:rPr>
              <w:t>29,508,925,597.30</w:t>
            </w:r>
          </w:p>
        </w:tc>
        <w:tc>
          <w:tcPr>
            <w:tcW w:w="1709" w:type="dxa"/>
            <w:tcBorders>
              <w:top w:val="single" w:sz="4" w:space="0" w:color="000000"/>
              <w:left w:val="single" w:sz="4" w:space="0" w:color="000000"/>
              <w:bottom w:val="single" w:sz="4" w:space="0" w:color="000000"/>
            </w:tcBorders>
          </w:tcPr>
          <w:p>
            <w:pPr>
              <w:pStyle w:val="TableParagraph"/>
              <w:spacing w:before="76"/>
              <w:ind w:right="78"/>
              <w:jc w:val="right"/>
              <w:rPr>
                <w:sz w:val="18"/>
              </w:rPr>
            </w:pPr>
            <w:r>
              <w:rPr>
                <w:sz w:val="18"/>
              </w:rPr>
              <w:t>20,323,125,202.75</w:t>
            </w:r>
          </w:p>
        </w:tc>
      </w:tr>
      <w:tr>
        <w:trPr>
          <w:trHeight w:val="366" w:hRule="atLeast"/>
        </w:trPr>
        <w:tc>
          <w:tcPr>
            <w:tcW w:w="1560"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水家电</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before="74"/>
              <w:ind w:right="87"/>
              <w:jc w:val="right"/>
              <w:rPr>
                <w:sz w:val="18"/>
              </w:rPr>
            </w:pPr>
            <w:r>
              <w:rPr>
                <w:sz w:val="18"/>
              </w:rPr>
              <w:t>9,856,730,639.50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before="74"/>
              <w:ind w:right="90"/>
              <w:jc w:val="right"/>
              <w:rPr>
                <w:sz w:val="18"/>
              </w:rPr>
            </w:pPr>
            <w:r>
              <w:rPr>
                <w:sz w:val="18"/>
              </w:rPr>
              <w:t>5,349,058,135.46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before="74"/>
              <w:ind w:right="88"/>
              <w:jc w:val="right"/>
              <w:rPr>
                <w:sz w:val="18"/>
              </w:rPr>
            </w:pPr>
            <w:r>
              <w:rPr>
                <w:sz w:val="18"/>
              </w:rPr>
              <w:t>9,623,997,584.95</w:t>
            </w:r>
          </w:p>
        </w:tc>
        <w:tc>
          <w:tcPr>
            <w:tcW w:w="1709" w:type="dxa"/>
            <w:tcBorders>
              <w:top w:val="single" w:sz="4" w:space="0" w:color="000000"/>
              <w:left w:val="single" w:sz="4" w:space="0" w:color="000000"/>
              <w:bottom w:val="single" w:sz="4" w:space="0" w:color="000000"/>
            </w:tcBorders>
          </w:tcPr>
          <w:p>
            <w:pPr>
              <w:pStyle w:val="TableParagraph"/>
              <w:spacing w:before="74"/>
              <w:ind w:right="78"/>
              <w:jc w:val="right"/>
              <w:rPr>
                <w:sz w:val="18"/>
              </w:rPr>
            </w:pPr>
            <w:r>
              <w:rPr>
                <w:sz w:val="18"/>
              </w:rPr>
              <w:t>5,211,758,293.50</w:t>
            </w:r>
          </w:p>
        </w:tc>
      </w:tr>
      <w:tr>
        <w:trPr>
          <w:trHeight w:val="369" w:hRule="atLeast"/>
        </w:trPr>
        <w:tc>
          <w:tcPr>
            <w:tcW w:w="1560" w:type="dxa"/>
            <w:tcBorders>
              <w:top w:val="single" w:sz="4" w:space="0" w:color="000000"/>
              <w:bottom w:val="single" w:sz="4" w:space="0" w:color="000000"/>
              <w:right w:val="single" w:sz="4" w:space="0" w:color="000000"/>
            </w:tcBorders>
          </w:tcPr>
          <w:p>
            <w:pPr>
              <w:pStyle w:val="TableParagraph"/>
              <w:spacing w:before="70"/>
              <w:ind w:left="107"/>
              <w:rPr>
                <w:rFonts w:ascii="宋体" w:eastAsia="宋体" w:hint="eastAsia"/>
                <w:sz w:val="18"/>
              </w:rPr>
            </w:pPr>
            <w:r>
              <w:rPr>
                <w:rFonts w:ascii="宋体" w:eastAsia="宋体" w:hint="eastAsia"/>
                <w:sz w:val="18"/>
              </w:rPr>
              <w:t>洗衣机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before="77"/>
              <w:ind w:right="87"/>
              <w:jc w:val="right"/>
              <w:rPr>
                <w:sz w:val="18"/>
              </w:rPr>
            </w:pPr>
            <w:r>
              <w:rPr>
                <w:sz w:val="18"/>
              </w:rPr>
              <w:t>48,452,426,668.33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before="77"/>
              <w:ind w:right="90"/>
              <w:jc w:val="right"/>
              <w:rPr>
                <w:sz w:val="18"/>
              </w:rPr>
            </w:pPr>
            <w:r>
              <w:rPr>
                <w:sz w:val="18"/>
              </w:rPr>
              <w:t>32,402,560,443.74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before="77"/>
              <w:ind w:right="88"/>
              <w:jc w:val="right"/>
              <w:rPr>
                <w:sz w:val="18"/>
              </w:rPr>
            </w:pPr>
            <w:r>
              <w:rPr>
                <w:sz w:val="18"/>
              </w:rPr>
              <w:t>44,714,295,068.12</w:t>
            </w:r>
          </w:p>
        </w:tc>
        <w:tc>
          <w:tcPr>
            <w:tcW w:w="1709" w:type="dxa"/>
            <w:tcBorders>
              <w:top w:val="single" w:sz="4" w:space="0" w:color="000000"/>
              <w:left w:val="single" w:sz="4" w:space="0" w:color="000000"/>
              <w:bottom w:val="single" w:sz="4" w:space="0" w:color="000000"/>
            </w:tcBorders>
          </w:tcPr>
          <w:p>
            <w:pPr>
              <w:pStyle w:val="TableParagraph"/>
              <w:spacing w:before="77"/>
              <w:ind w:right="78"/>
              <w:jc w:val="right"/>
              <w:rPr>
                <w:sz w:val="18"/>
              </w:rPr>
            </w:pPr>
            <w:r>
              <w:rPr>
                <w:sz w:val="18"/>
              </w:rPr>
              <w:t>30,082,538,105.52</w:t>
            </w:r>
          </w:p>
        </w:tc>
      </w:tr>
      <w:tr>
        <w:trPr>
          <w:trHeight w:val="467" w:hRule="atLeast"/>
        </w:trPr>
        <w:tc>
          <w:tcPr>
            <w:tcW w:w="1560" w:type="dxa"/>
            <w:tcBorders>
              <w:top w:val="single" w:sz="4" w:space="0" w:color="000000"/>
              <w:bottom w:val="single" w:sz="4" w:space="0" w:color="000000"/>
              <w:right w:val="single" w:sz="4" w:space="0" w:color="000000"/>
            </w:tcBorders>
          </w:tcPr>
          <w:p>
            <w:pPr>
              <w:pStyle w:val="TableParagraph"/>
              <w:spacing w:line="230" w:lineRule="atLeast" w:before="2"/>
              <w:ind w:left="107" w:right="170"/>
              <w:rPr>
                <w:rFonts w:ascii="宋体" w:eastAsia="宋体" w:hint="eastAsia"/>
                <w:sz w:val="18"/>
              </w:rPr>
            </w:pPr>
            <w:r>
              <w:rPr>
                <w:rFonts w:ascii="宋体" w:eastAsia="宋体" w:hint="eastAsia"/>
                <w:sz w:val="18"/>
              </w:rPr>
              <w:t>装备部品及渠道综合服务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before="127"/>
              <w:ind w:right="87"/>
              <w:jc w:val="right"/>
              <w:rPr>
                <w:sz w:val="18"/>
              </w:rPr>
            </w:pPr>
            <w:r>
              <w:rPr>
                <w:sz w:val="18"/>
              </w:rPr>
              <w:t>27,385,893,262.16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before="127"/>
              <w:ind w:right="90"/>
              <w:jc w:val="right"/>
              <w:rPr>
                <w:sz w:val="18"/>
              </w:rPr>
            </w:pPr>
            <w:r>
              <w:rPr>
                <w:sz w:val="18"/>
              </w:rPr>
              <w:t>24,614,064,561.89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before="127"/>
              <w:ind w:right="88"/>
              <w:jc w:val="right"/>
              <w:rPr>
                <w:sz w:val="18"/>
              </w:rPr>
            </w:pPr>
            <w:r>
              <w:rPr>
                <w:sz w:val="18"/>
              </w:rPr>
              <w:t>28,057,569,890.72</w:t>
            </w:r>
          </w:p>
        </w:tc>
        <w:tc>
          <w:tcPr>
            <w:tcW w:w="1709" w:type="dxa"/>
            <w:tcBorders>
              <w:top w:val="single" w:sz="4" w:space="0" w:color="000000"/>
              <w:left w:val="single" w:sz="4" w:space="0" w:color="000000"/>
              <w:bottom w:val="single" w:sz="4" w:space="0" w:color="000000"/>
            </w:tcBorders>
          </w:tcPr>
          <w:p>
            <w:pPr>
              <w:pStyle w:val="TableParagraph"/>
              <w:spacing w:before="127"/>
              <w:ind w:right="78"/>
              <w:jc w:val="right"/>
              <w:rPr>
                <w:sz w:val="18"/>
              </w:rPr>
            </w:pPr>
            <w:r>
              <w:rPr>
                <w:sz w:val="18"/>
              </w:rPr>
              <w:t>25,180,488,578.94</w:t>
            </w:r>
          </w:p>
        </w:tc>
      </w:tr>
      <w:tr>
        <w:trPr>
          <w:trHeight w:val="368" w:hRule="atLeast"/>
        </w:trPr>
        <w:tc>
          <w:tcPr>
            <w:tcW w:w="1560" w:type="dxa"/>
            <w:tcBorders>
              <w:top w:val="single" w:sz="4" w:space="0" w:color="000000"/>
              <w:right w:val="single" w:sz="4" w:space="0" w:color="000000"/>
            </w:tcBorders>
          </w:tcPr>
          <w:p>
            <w:pPr>
              <w:pStyle w:val="TableParagraph"/>
              <w:spacing w:before="69"/>
              <w:ind w:left="579" w:right="561"/>
              <w:jc w:val="center"/>
              <w:rPr>
                <w:rFonts w:ascii="宋体" w:eastAsia="宋体" w:hint="eastAsia"/>
                <w:sz w:val="18"/>
              </w:rPr>
            </w:pPr>
            <w:r>
              <w:rPr>
                <w:rFonts w:ascii="宋体" w:eastAsia="宋体" w:hint="eastAsia"/>
                <w:sz w:val="18"/>
              </w:rPr>
              <w:t>合计</w:t>
            </w:r>
          </w:p>
        </w:tc>
        <w:tc>
          <w:tcPr>
            <w:tcW w:w="1844" w:type="dxa"/>
            <w:tcBorders>
              <w:top w:val="single" w:sz="4" w:space="0" w:color="000000"/>
              <w:left w:val="single" w:sz="4" w:space="0" w:color="000000"/>
              <w:right w:val="single" w:sz="4" w:space="0" w:color="000000"/>
            </w:tcBorders>
          </w:tcPr>
          <w:p>
            <w:pPr>
              <w:pStyle w:val="TableParagraph"/>
              <w:spacing w:before="76"/>
              <w:ind w:right="88"/>
              <w:jc w:val="right"/>
              <w:rPr>
                <w:sz w:val="18"/>
              </w:rPr>
            </w:pPr>
            <w:r>
              <w:rPr>
                <w:sz w:val="18"/>
              </w:rPr>
              <w:t>208,593,269,178.46</w:t>
            </w:r>
          </w:p>
        </w:tc>
        <w:tc>
          <w:tcPr>
            <w:tcW w:w="1844" w:type="dxa"/>
            <w:tcBorders>
              <w:top w:val="single" w:sz="4" w:space="0" w:color="000000"/>
              <w:left w:val="single" w:sz="4" w:space="0" w:color="000000"/>
              <w:right w:val="single" w:sz="4" w:space="0" w:color="000000"/>
            </w:tcBorders>
          </w:tcPr>
          <w:p>
            <w:pPr>
              <w:pStyle w:val="TableParagraph"/>
              <w:spacing w:before="76"/>
              <w:ind w:right="90"/>
              <w:jc w:val="right"/>
              <w:rPr>
                <w:sz w:val="18"/>
              </w:rPr>
            </w:pPr>
            <w:r>
              <w:rPr>
                <w:sz w:val="18"/>
              </w:rPr>
              <w:t>147,129,821,930.97</w:t>
            </w:r>
          </w:p>
        </w:tc>
        <w:tc>
          <w:tcPr>
            <w:tcW w:w="1700" w:type="dxa"/>
            <w:tcBorders>
              <w:top w:val="single" w:sz="4" w:space="0" w:color="000000"/>
              <w:left w:val="single" w:sz="4" w:space="0" w:color="000000"/>
              <w:right w:val="single" w:sz="4" w:space="0" w:color="000000"/>
            </w:tcBorders>
          </w:tcPr>
          <w:p>
            <w:pPr>
              <w:pStyle w:val="TableParagraph"/>
              <w:spacing w:before="76"/>
              <w:ind w:right="88"/>
              <w:jc w:val="right"/>
              <w:rPr>
                <w:sz w:val="18"/>
              </w:rPr>
            </w:pPr>
            <w:r>
              <w:rPr>
                <w:sz w:val="18"/>
              </w:rPr>
              <w:t>199,470,697,570.75</w:t>
            </w:r>
          </w:p>
        </w:tc>
        <w:tc>
          <w:tcPr>
            <w:tcW w:w="1709" w:type="dxa"/>
            <w:tcBorders>
              <w:top w:val="single" w:sz="4" w:space="0" w:color="000000"/>
              <w:left w:val="single" w:sz="4" w:space="0" w:color="000000"/>
            </w:tcBorders>
          </w:tcPr>
          <w:p>
            <w:pPr>
              <w:pStyle w:val="TableParagraph"/>
              <w:spacing w:before="76"/>
              <w:ind w:right="78"/>
              <w:jc w:val="right"/>
              <w:rPr>
                <w:sz w:val="18"/>
              </w:rPr>
            </w:pPr>
            <w:r>
              <w:rPr>
                <w:sz w:val="18"/>
              </w:rPr>
              <w:t>140,409,530,225.61</w:t>
            </w:r>
          </w:p>
        </w:tc>
      </w:tr>
    </w:tbl>
    <w:p>
      <w:pPr>
        <w:pStyle w:val="BodyText"/>
        <w:spacing w:line="265" w:lineRule="exact" w:before="3"/>
        <w:ind w:left="1538"/>
      </w:pPr>
      <w:r>
        <w:rPr>
          <w:w w:val="100"/>
        </w:rPr>
        <w:t> </w:t>
      </w:r>
    </w:p>
    <w:p>
      <w:pPr>
        <w:pStyle w:val="Heading4"/>
        <w:spacing w:line="383" w:lineRule="exact"/>
      </w:pPr>
      <w:r>
        <w:rPr>
          <w:rFonts w:ascii="Times New Roman" w:eastAsia="Times New Roman"/>
        </w:rPr>
        <w:t>50</w:t>
      </w:r>
      <w:r>
        <w:rPr>
          <w:spacing w:val="4"/>
        </w:rPr>
        <w:t>、 税金及附加</w:t>
      </w:r>
    </w:p>
    <w:p>
      <w:pPr>
        <w:pStyle w:val="BodyText"/>
        <w:spacing w:before="15"/>
        <w:ind w:left="1538"/>
      </w:pPr>
      <w:r>
        <w:rPr>
          <w:spacing w:val="-1"/>
        </w:rPr>
        <w:t>√适用 □不适用</w:t>
      </w:r>
    </w:p>
    <w:p>
      <w:pPr>
        <w:pStyle w:val="BodyText"/>
        <w:tabs>
          <w:tab w:pos="9111" w:val="left" w:leader="none"/>
        </w:tabs>
        <w:spacing w:before="4"/>
        <w:ind w:left="8059"/>
      </w:pPr>
      <w:r>
        <w:rPr/>
        <w:t>单位：元</w:t>
        <w:tab/>
        <w:t>币</w:t>
      </w:r>
      <w:r>
        <w:rPr>
          <w:spacing w:val="-3"/>
        </w:rPr>
        <w:t>种</w:t>
      </w:r>
      <w:r>
        <w:rPr/>
        <w:t>：</w:t>
      </w:r>
      <w:r>
        <w:rPr>
          <w:spacing w:val="-3"/>
        </w:rPr>
        <w:t>人</w:t>
      </w:r>
      <w:r>
        <w:rPr/>
        <w:t>民币</w:t>
      </w:r>
    </w:p>
    <w:tbl>
      <w:tblPr>
        <w:tblW w:w="0" w:type="auto"/>
        <w:jc w:val="left"/>
        <w:tblInd w:w="14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909"/>
        <w:gridCol w:w="3074"/>
        <w:gridCol w:w="3077"/>
      </w:tblGrid>
      <w:tr>
        <w:trPr>
          <w:trHeight w:val="272" w:hRule="atLeast"/>
        </w:trPr>
        <w:tc>
          <w:tcPr>
            <w:tcW w:w="2909" w:type="dxa"/>
            <w:tcBorders>
              <w:right w:val="single" w:sz="4" w:space="0" w:color="000000"/>
            </w:tcBorders>
          </w:tcPr>
          <w:p>
            <w:pPr>
              <w:pStyle w:val="TableParagraph"/>
              <w:spacing w:line="252" w:lineRule="exact"/>
              <w:ind w:left="1223" w:right="1205"/>
              <w:jc w:val="center"/>
              <w:rPr>
                <w:rFonts w:ascii="Microsoft JhengHei" w:eastAsia="Microsoft JhengHei" w:hint="eastAsia"/>
                <w:b/>
                <w:sz w:val="21"/>
              </w:rPr>
            </w:pPr>
            <w:r>
              <w:rPr>
                <w:rFonts w:ascii="Microsoft JhengHei" w:eastAsia="Microsoft JhengHei" w:hint="eastAsia"/>
                <w:b/>
                <w:sz w:val="21"/>
              </w:rPr>
              <w:t>项目</w:t>
            </w:r>
          </w:p>
        </w:tc>
        <w:tc>
          <w:tcPr>
            <w:tcW w:w="3074" w:type="dxa"/>
            <w:tcBorders>
              <w:left w:val="single" w:sz="4" w:space="0" w:color="000000"/>
              <w:right w:val="single" w:sz="4" w:space="0" w:color="000000"/>
            </w:tcBorders>
          </w:tcPr>
          <w:p>
            <w:pPr>
              <w:pStyle w:val="TableParagraph"/>
              <w:spacing w:line="252" w:lineRule="exact"/>
              <w:ind w:left="1020"/>
              <w:rPr>
                <w:rFonts w:ascii="Microsoft JhengHei" w:eastAsia="Microsoft JhengHei" w:hint="eastAsia"/>
                <w:b/>
                <w:sz w:val="21"/>
              </w:rPr>
            </w:pPr>
            <w:r>
              <w:rPr>
                <w:rFonts w:ascii="Microsoft JhengHei" w:eastAsia="Microsoft JhengHei" w:hint="eastAsia"/>
                <w:b/>
                <w:sz w:val="21"/>
              </w:rPr>
              <w:t>本期发生额</w:t>
            </w:r>
          </w:p>
        </w:tc>
        <w:tc>
          <w:tcPr>
            <w:tcW w:w="3077" w:type="dxa"/>
            <w:tcBorders>
              <w:left w:val="single" w:sz="4" w:space="0" w:color="000000"/>
            </w:tcBorders>
          </w:tcPr>
          <w:p>
            <w:pPr>
              <w:pStyle w:val="TableParagraph"/>
              <w:spacing w:line="252" w:lineRule="exact"/>
              <w:ind w:left="1020"/>
              <w:rPr>
                <w:rFonts w:ascii="Microsoft JhengHei" w:eastAsia="Microsoft JhengHei" w:hint="eastAsia"/>
                <w:b/>
                <w:sz w:val="21"/>
              </w:rPr>
            </w:pPr>
            <w:r>
              <w:rPr>
                <w:rFonts w:ascii="Microsoft JhengHei" w:eastAsia="Microsoft JhengHei" w:hint="eastAsia"/>
                <w:b/>
                <w:sz w:val="21"/>
              </w:rPr>
              <w:t>上期发生额</w:t>
            </w:r>
          </w:p>
        </w:tc>
      </w:tr>
    </w:tbl>
    <w:p>
      <w:pPr>
        <w:spacing w:after="0" w:line="252" w:lineRule="exact"/>
        <w:rPr>
          <w:rFonts w:ascii="Microsoft JhengHei" w:eastAsia="Microsoft JhengHei" w:hint="eastAsia"/>
          <w:sz w:val="21"/>
        </w:rPr>
        <w:sectPr>
          <w:pgSz w:w="11910" w:h="16840"/>
          <w:pgMar w:header="876" w:footer="1214" w:top="1440" w:bottom="1400" w:left="260" w:right="0"/>
        </w:sectPr>
      </w:pPr>
    </w:p>
    <w:p>
      <w:pPr>
        <w:pStyle w:val="BodyText"/>
        <w:spacing w:before="2"/>
        <w:rPr>
          <w:sz w:val="5"/>
        </w:rPr>
      </w:pPr>
    </w:p>
    <w:tbl>
      <w:tblPr>
        <w:tblW w:w="0" w:type="auto"/>
        <w:jc w:val="left"/>
        <w:tblInd w:w="14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909"/>
        <w:gridCol w:w="3074"/>
        <w:gridCol w:w="3077"/>
      </w:tblGrid>
      <w:tr>
        <w:trPr>
          <w:trHeight w:val="273" w:hRule="atLeast"/>
        </w:trPr>
        <w:tc>
          <w:tcPr>
            <w:tcW w:w="2909" w:type="dxa"/>
            <w:tcBorders>
              <w:bottom w:val="single" w:sz="4" w:space="0" w:color="000000"/>
              <w:right w:val="single" w:sz="4" w:space="0" w:color="000000"/>
            </w:tcBorders>
          </w:tcPr>
          <w:p>
            <w:pPr>
              <w:pStyle w:val="TableParagraph"/>
              <w:spacing w:line="250" w:lineRule="exact" w:before="3"/>
              <w:ind w:left="112"/>
              <w:rPr>
                <w:rFonts w:ascii="宋体" w:eastAsia="宋体" w:hint="eastAsia"/>
                <w:sz w:val="21"/>
              </w:rPr>
            </w:pPr>
            <w:r>
              <w:rPr>
                <w:rFonts w:ascii="宋体" w:eastAsia="宋体" w:hint="eastAsia"/>
                <w:sz w:val="21"/>
              </w:rPr>
              <w:t>城市维护建设税</w:t>
            </w:r>
          </w:p>
        </w:tc>
        <w:tc>
          <w:tcPr>
            <w:tcW w:w="3074" w:type="dxa"/>
            <w:tcBorders>
              <w:left w:val="single" w:sz="4" w:space="0" w:color="000000"/>
              <w:bottom w:val="single" w:sz="4" w:space="0" w:color="000000"/>
              <w:right w:val="single" w:sz="4" w:space="0" w:color="000000"/>
            </w:tcBorders>
          </w:tcPr>
          <w:p>
            <w:pPr>
              <w:pStyle w:val="TableParagraph"/>
              <w:spacing w:before="9"/>
              <w:ind w:right="88"/>
              <w:jc w:val="right"/>
              <w:rPr>
                <w:sz w:val="21"/>
              </w:rPr>
            </w:pPr>
            <w:r>
              <w:rPr>
                <w:sz w:val="21"/>
              </w:rPr>
              <w:t>222,111,567.02</w:t>
            </w:r>
          </w:p>
        </w:tc>
        <w:tc>
          <w:tcPr>
            <w:tcW w:w="3077" w:type="dxa"/>
            <w:tcBorders>
              <w:left w:val="single" w:sz="4" w:space="0" w:color="000000"/>
              <w:bottom w:val="single" w:sz="4" w:space="0" w:color="000000"/>
            </w:tcBorders>
          </w:tcPr>
          <w:p>
            <w:pPr>
              <w:pStyle w:val="TableParagraph"/>
              <w:spacing w:before="9"/>
              <w:ind w:right="79"/>
              <w:jc w:val="right"/>
              <w:rPr>
                <w:sz w:val="21"/>
              </w:rPr>
            </w:pPr>
            <w:r>
              <w:rPr>
                <w:sz w:val="21"/>
              </w:rPr>
              <w:t>291,146,530.21</w:t>
            </w:r>
          </w:p>
        </w:tc>
      </w:tr>
      <w:tr>
        <w:trPr>
          <w:trHeight w:val="273" w:hRule="atLeast"/>
        </w:trPr>
        <w:tc>
          <w:tcPr>
            <w:tcW w:w="2909" w:type="dxa"/>
            <w:tcBorders>
              <w:top w:val="single" w:sz="4" w:space="0" w:color="000000"/>
              <w:bottom w:val="single" w:sz="4" w:space="0" w:color="000000"/>
              <w:right w:val="single" w:sz="4" w:space="0" w:color="000000"/>
            </w:tcBorders>
          </w:tcPr>
          <w:p>
            <w:pPr>
              <w:pStyle w:val="TableParagraph"/>
              <w:spacing w:line="250" w:lineRule="exact" w:before="3"/>
              <w:ind w:left="112"/>
              <w:rPr>
                <w:rFonts w:ascii="宋体" w:eastAsia="宋体" w:hint="eastAsia"/>
                <w:sz w:val="21"/>
              </w:rPr>
            </w:pPr>
            <w:r>
              <w:rPr>
                <w:rFonts w:ascii="宋体" w:eastAsia="宋体" w:hint="eastAsia"/>
                <w:sz w:val="21"/>
              </w:rPr>
              <w:t>教育费附加</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before="10"/>
              <w:ind w:right="88"/>
              <w:jc w:val="right"/>
              <w:rPr>
                <w:sz w:val="21"/>
              </w:rPr>
            </w:pPr>
            <w:r>
              <w:rPr>
                <w:sz w:val="21"/>
              </w:rPr>
              <w:t>158,073,704.03</w:t>
            </w:r>
          </w:p>
        </w:tc>
        <w:tc>
          <w:tcPr>
            <w:tcW w:w="3077" w:type="dxa"/>
            <w:tcBorders>
              <w:top w:val="single" w:sz="4" w:space="0" w:color="000000"/>
              <w:left w:val="single" w:sz="4" w:space="0" w:color="000000"/>
              <w:bottom w:val="single" w:sz="4" w:space="0" w:color="000000"/>
            </w:tcBorders>
          </w:tcPr>
          <w:p>
            <w:pPr>
              <w:pStyle w:val="TableParagraph"/>
              <w:spacing w:before="10"/>
              <w:ind w:right="79"/>
              <w:jc w:val="right"/>
              <w:rPr>
                <w:sz w:val="21"/>
              </w:rPr>
            </w:pPr>
            <w:r>
              <w:rPr>
                <w:sz w:val="21"/>
              </w:rPr>
              <w:t>177,513,807.70</w:t>
            </w:r>
          </w:p>
        </w:tc>
      </w:tr>
      <w:tr>
        <w:trPr>
          <w:trHeight w:val="273" w:hRule="atLeast"/>
        </w:trPr>
        <w:tc>
          <w:tcPr>
            <w:tcW w:w="2909" w:type="dxa"/>
            <w:tcBorders>
              <w:top w:val="single" w:sz="4" w:space="0" w:color="000000"/>
              <w:bottom w:val="single" w:sz="4" w:space="0" w:color="000000"/>
              <w:right w:val="single" w:sz="4" w:space="0" w:color="000000"/>
            </w:tcBorders>
          </w:tcPr>
          <w:p>
            <w:pPr>
              <w:pStyle w:val="TableParagraph"/>
              <w:spacing w:line="252" w:lineRule="exact" w:before="1"/>
              <w:ind w:left="112"/>
              <w:rPr>
                <w:rFonts w:ascii="宋体" w:eastAsia="宋体" w:hint="eastAsia"/>
                <w:sz w:val="21"/>
              </w:rPr>
            </w:pPr>
            <w:r>
              <w:rPr>
                <w:rFonts w:ascii="宋体" w:eastAsia="宋体" w:hint="eastAsia"/>
                <w:sz w:val="21"/>
              </w:rPr>
              <w:t>房产税</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before="10"/>
              <w:ind w:right="87"/>
              <w:jc w:val="right"/>
              <w:rPr>
                <w:sz w:val="21"/>
              </w:rPr>
            </w:pPr>
            <w:r>
              <w:rPr>
                <w:sz w:val="21"/>
              </w:rPr>
              <w:t>56,952,660.77</w:t>
            </w:r>
          </w:p>
        </w:tc>
        <w:tc>
          <w:tcPr>
            <w:tcW w:w="3077" w:type="dxa"/>
            <w:tcBorders>
              <w:top w:val="single" w:sz="4" w:space="0" w:color="000000"/>
              <w:left w:val="single" w:sz="4" w:space="0" w:color="000000"/>
              <w:bottom w:val="single" w:sz="4" w:space="0" w:color="000000"/>
            </w:tcBorders>
          </w:tcPr>
          <w:p>
            <w:pPr>
              <w:pStyle w:val="TableParagraph"/>
              <w:spacing w:before="10"/>
              <w:ind w:right="79"/>
              <w:jc w:val="right"/>
              <w:rPr>
                <w:sz w:val="21"/>
              </w:rPr>
            </w:pPr>
            <w:r>
              <w:rPr>
                <w:sz w:val="21"/>
              </w:rPr>
              <w:t>57,458,858.13</w:t>
            </w:r>
          </w:p>
        </w:tc>
      </w:tr>
      <w:tr>
        <w:trPr>
          <w:trHeight w:val="270" w:hRule="atLeast"/>
        </w:trPr>
        <w:tc>
          <w:tcPr>
            <w:tcW w:w="2909" w:type="dxa"/>
            <w:tcBorders>
              <w:top w:val="single" w:sz="4" w:space="0" w:color="000000"/>
              <w:bottom w:val="single" w:sz="4" w:space="0" w:color="000000"/>
              <w:right w:val="single" w:sz="4" w:space="0" w:color="000000"/>
            </w:tcBorders>
          </w:tcPr>
          <w:p>
            <w:pPr>
              <w:pStyle w:val="TableParagraph"/>
              <w:spacing w:line="250" w:lineRule="exact" w:before="1"/>
              <w:ind w:left="112"/>
              <w:rPr>
                <w:rFonts w:ascii="宋体" w:eastAsia="宋体" w:hint="eastAsia"/>
                <w:sz w:val="21"/>
              </w:rPr>
            </w:pPr>
            <w:r>
              <w:rPr>
                <w:rFonts w:ascii="宋体" w:eastAsia="宋体" w:hint="eastAsia"/>
                <w:sz w:val="21"/>
              </w:rPr>
              <w:t>土地使用税</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before="7"/>
              <w:ind w:right="87"/>
              <w:jc w:val="right"/>
              <w:rPr>
                <w:sz w:val="21"/>
              </w:rPr>
            </w:pPr>
            <w:r>
              <w:rPr>
                <w:sz w:val="21"/>
              </w:rPr>
              <w:t>16,516,606.32</w:t>
            </w:r>
          </w:p>
        </w:tc>
        <w:tc>
          <w:tcPr>
            <w:tcW w:w="3077" w:type="dxa"/>
            <w:tcBorders>
              <w:top w:val="single" w:sz="4" w:space="0" w:color="000000"/>
              <w:left w:val="single" w:sz="4" w:space="0" w:color="000000"/>
              <w:bottom w:val="single" w:sz="4" w:space="0" w:color="000000"/>
            </w:tcBorders>
          </w:tcPr>
          <w:p>
            <w:pPr>
              <w:pStyle w:val="TableParagraph"/>
              <w:spacing w:before="7"/>
              <w:ind w:right="79"/>
              <w:jc w:val="right"/>
              <w:rPr>
                <w:sz w:val="21"/>
              </w:rPr>
            </w:pPr>
            <w:r>
              <w:rPr>
                <w:sz w:val="21"/>
              </w:rPr>
              <w:t>101,817,438.06</w:t>
            </w:r>
          </w:p>
        </w:tc>
      </w:tr>
      <w:tr>
        <w:trPr>
          <w:trHeight w:val="273" w:hRule="atLeast"/>
        </w:trPr>
        <w:tc>
          <w:tcPr>
            <w:tcW w:w="2909" w:type="dxa"/>
            <w:tcBorders>
              <w:top w:val="single" w:sz="4" w:space="0" w:color="000000"/>
              <w:bottom w:val="single" w:sz="4" w:space="0" w:color="000000"/>
              <w:right w:val="single" w:sz="4" w:space="0" w:color="000000"/>
            </w:tcBorders>
          </w:tcPr>
          <w:p>
            <w:pPr>
              <w:pStyle w:val="TableParagraph"/>
              <w:spacing w:line="252" w:lineRule="exact" w:before="1"/>
              <w:ind w:left="112"/>
              <w:rPr>
                <w:rFonts w:ascii="宋体" w:eastAsia="宋体" w:hint="eastAsia"/>
                <w:sz w:val="21"/>
              </w:rPr>
            </w:pPr>
            <w:r>
              <w:rPr>
                <w:rFonts w:ascii="宋体" w:eastAsia="宋体" w:hint="eastAsia"/>
                <w:sz w:val="21"/>
              </w:rPr>
              <w:t>印花税</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before="10"/>
              <w:ind w:right="88"/>
              <w:jc w:val="right"/>
              <w:rPr>
                <w:sz w:val="21"/>
              </w:rPr>
            </w:pPr>
            <w:r>
              <w:rPr>
                <w:sz w:val="21"/>
              </w:rPr>
              <w:t>159,650,610.68</w:t>
            </w:r>
          </w:p>
        </w:tc>
        <w:tc>
          <w:tcPr>
            <w:tcW w:w="3077" w:type="dxa"/>
            <w:tcBorders>
              <w:top w:val="single" w:sz="4" w:space="0" w:color="000000"/>
              <w:left w:val="single" w:sz="4" w:space="0" w:color="000000"/>
              <w:bottom w:val="single" w:sz="4" w:space="0" w:color="000000"/>
            </w:tcBorders>
          </w:tcPr>
          <w:p>
            <w:pPr>
              <w:pStyle w:val="TableParagraph"/>
              <w:spacing w:before="10"/>
              <w:ind w:right="79"/>
              <w:jc w:val="right"/>
              <w:rPr>
                <w:sz w:val="21"/>
              </w:rPr>
            </w:pPr>
            <w:r>
              <w:rPr>
                <w:sz w:val="21"/>
              </w:rPr>
              <w:t>121,945,873.71</w:t>
            </w:r>
          </w:p>
        </w:tc>
      </w:tr>
      <w:tr>
        <w:trPr>
          <w:trHeight w:val="273" w:hRule="atLeast"/>
        </w:trPr>
        <w:tc>
          <w:tcPr>
            <w:tcW w:w="2909" w:type="dxa"/>
            <w:tcBorders>
              <w:top w:val="single" w:sz="4" w:space="0" w:color="000000"/>
              <w:bottom w:val="single" w:sz="4" w:space="0" w:color="000000"/>
              <w:right w:val="single" w:sz="4" w:space="0" w:color="000000"/>
            </w:tcBorders>
          </w:tcPr>
          <w:p>
            <w:pPr>
              <w:pStyle w:val="TableParagraph"/>
              <w:spacing w:line="252" w:lineRule="exact" w:before="1"/>
              <w:ind w:left="112"/>
              <w:rPr>
                <w:rFonts w:ascii="宋体" w:eastAsia="宋体" w:hint="eastAsia"/>
                <w:sz w:val="21"/>
              </w:rPr>
            </w:pPr>
            <w:r>
              <w:rPr>
                <w:rFonts w:ascii="宋体" w:eastAsia="宋体" w:hint="eastAsia"/>
                <w:sz w:val="21"/>
              </w:rPr>
              <w:t>其他</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before="10"/>
              <w:ind w:right="87"/>
              <w:jc w:val="right"/>
              <w:rPr>
                <w:sz w:val="21"/>
              </w:rPr>
            </w:pPr>
            <w:r>
              <w:rPr>
                <w:sz w:val="21"/>
              </w:rPr>
              <w:t>47,201,768.51</w:t>
            </w:r>
          </w:p>
        </w:tc>
        <w:tc>
          <w:tcPr>
            <w:tcW w:w="3077" w:type="dxa"/>
            <w:tcBorders>
              <w:top w:val="single" w:sz="4" w:space="0" w:color="000000"/>
              <w:left w:val="single" w:sz="4" w:space="0" w:color="000000"/>
              <w:bottom w:val="single" w:sz="4" w:space="0" w:color="000000"/>
            </w:tcBorders>
          </w:tcPr>
          <w:p>
            <w:pPr>
              <w:pStyle w:val="TableParagraph"/>
              <w:spacing w:before="10"/>
              <w:ind w:right="79"/>
              <w:jc w:val="right"/>
              <w:rPr>
                <w:sz w:val="21"/>
              </w:rPr>
            </w:pPr>
            <w:r>
              <w:rPr>
                <w:sz w:val="21"/>
              </w:rPr>
              <w:t>52,162,532.07</w:t>
            </w:r>
          </w:p>
        </w:tc>
      </w:tr>
      <w:tr>
        <w:trPr>
          <w:trHeight w:val="270" w:hRule="atLeast"/>
        </w:trPr>
        <w:tc>
          <w:tcPr>
            <w:tcW w:w="2909" w:type="dxa"/>
            <w:tcBorders>
              <w:top w:val="single" w:sz="4" w:space="0" w:color="000000"/>
              <w:right w:val="single" w:sz="4" w:space="0" w:color="000000"/>
            </w:tcBorders>
          </w:tcPr>
          <w:p>
            <w:pPr>
              <w:pStyle w:val="TableParagraph"/>
              <w:spacing w:line="249" w:lineRule="exact" w:before="1"/>
              <w:ind w:left="1223" w:right="1205"/>
              <w:jc w:val="center"/>
              <w:rPr>
                <w:rFonts w:ascii="宋体" w:eastAsia="宋体" w:hint="eastAsia"/>
                <w:sz w:val="21"/>
              </w:rPr>
            </w:pPr>
            <w:r>
              <w:rPr>
                <w:rFonts w:ascii="宋体" w:eastAsia="宋体" w:hint="eastAsia"/>
                <w:sz w:val="21"/>
              </w:rPr>
              <w:t>合计</w:t>
            </w:r>
          </w:p>
        </w:tc>
        <w:tc>
          <w:tcPr>
            <w:tcW w:w="3074" w:type="dxa"/>
            <w:tcBorders>
              <w:top w:val="single" w:sz="4" w:space="0" w:color="000000"/>
              <w:left w:val="single" w:sz="4" w:space="0" w:color="000000"/>
              <w:right w:val="single" w:sz="4" w:space="0" w:color="000000"/>
            </w:tcBorders>
          </w:tcPr>
          <w:p>
            <w:pPr>
              <w:pStyle w:val="TableParagraph"/>
              <w:spacing w:before="7"/>
              <w:ind w:right="88"/>
              <w:jc w:val="right"/>
              <w:rPr>
                <w:sz w:val="21"/>
              </w:rPr>
            </w:pPr>
            <w:r>
              <w:rPr>
                <w:sz w:val="21"/>
              </w:rPr>
              <w:t>660,506,917.33</w:t>
            </w:r>
          </w:p>
        </w:tc>
        <w:tc>
          <w:tcPr>
            <w:tcW w:w="3077" w:type="dxa"/>
            <w:tcBorders>
              <w:top w:val="single" w:sz="4" w:space="0" w:color="000000"/>
              <w:left w:val="single" w:sz="4" w:space="0" w:color="000000"/>
            </w:tcBorders>
          </w:tcPr>
          <w:p>
            <w:pPr>
              <w:pStyle w:val="TableParagraph"/>
              <w:spacing w:before="7"/>
              <w:ind w:right="79"/>
              <w:jc w:val="right"/>
              <w:rPr>
                <w:sz w:val="21"/>
              </w:rPr>
            </w:pPr>
            <w:r>
              <w:rPr>
                <w:sz w:val="21"/>
              </w:rPr>
              <w:t>802,045,039.88</w:t>
            </w:r>
          </w:p>
        </w:tc>
      </w:tr>
    </w:tbl>
    <w:p>
      <w:pPr>
        <w:pStyle w:val="BodyText"/>
        <w:spacing w:before="8"/>
        <w:rPr>
          <w:sz w:val="17"/>
        </w:rPr>
      </w:pPr>
    </w:p>
    <w:p>
      <w:pPr>
        <w:pStyle w:val="Heading4"/>
        <w:spacing w:before="9"/>
      </w:pPr>
      <w:r>
        <w:rPr>
          <w:rFonts w:ascii="Times New Roman" w:eastAsia="Times New Roman"/>
        </w:rPr>
        <w:t>51</w:t>
      </w:r>
      <w:r>
        <w:rPr/>
        <w:t>、 销售费用</w:t>
      </w:r>
    </w:p>
    <w:p>
      <w:pPr>
        <w:pStyle w:val="BodyText"/>
        <w:spacing w:before="17"/>
        <w:ind w:left="1538"/>
      </w:pPr>
      <w:r>
        <w:rPr/>
        <w:t>√适用 □不适用</w:t>
      </w:r>
    </w:p>
    <w:p>
      <w:pPr>
        <w:pStyle w:val="BodyText"/>
        <w:tabs>
          <w:tab w:pos="9111" w:val="left" w:leader="none"/>
        </w:tabs>
        <w:spacing w:before="2" w:after="4"/>
        <w:ind w:left="8059"/>
      </w:pPr>
      <w:r>
        <w:rPr/>
        <w:t>单位：元</w:t>
        <w:tab/>
        <w:t>币</w:t>
      </w:r>
      <w:r>
        <w:rPr>
          <w:spacing w:val="-3"/>
        </w:rPr>
        <w:t>种</w:t>
      </w:r>
      <w:r>
        <w:rPr/>
        <w:t>：</w:t>
      </w:r>
      <w:r>
        <w:rPr>
          <w:spacing w:val="-3"/>
        </w:rPr>
        <w:t>人</w:t>
      </w:r>
      <w:r>
        <w:rPr/>
        <w:t>民币</w:t>
      </w: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332"/>
        <w:gridCol w:w="2861"/>
        <w:gridCol w:w="2856"/>
      </w:tblGrid>
      <w:tr>
        <w:trPr>
          <w:trHeight w:val="272" w:hRule="atLeast"/>
        </w:trPr>
        <w:tc>
          <w:tcPr>
            <w:tcW w:w="3332" w:type="dxa"/>
            <w:tcBorders>
              <w:bottom w:val="single" w:sz="4" w:space="0" w:color="000000"/>
              <w:right w:val="single" w:sz="4" w:space="0" w:color="000000"/>
            </w:tcBorders>
          </w:tcPr>
          <w:p>
            <w:pPr>
              <w:pStyle w:val="TableParagraph"/>
              <w:spacing w:line="253" w:lineRule="exact"/>
              <w:ind w:right="1433"/>
              <w:jc w:val="right"/>
              <w:rPr>
                <w:rFonts w:ascii="Microsoft JhengHei" w:eastAsia="Microsoft JhengHei" w:hint="eastAsia"/>
                <w:b/>
                <w:sz w:val="21"/>
              </w:rPr>
            </w:pPr>
            <w:r>
              <w:rPr>
                <w:rFonts w:ascii="Microsoft JhengHei" w:eastAsia="Microsoft JhengHei" w:hint="eastAsia"/>
                <w:b/>
                <w:sz w:val="21"/>
              </w:rPr>
              <w:t>项目</w:t>
            </w:r>
          </w:p>
        </w:tc>
        <w:tc>
          <w:tcPr>
            <w:tcW w:w="2861" w:type="dxa"/>
            <w:tcBorders>
              <w:left w:val="single" w:sz="4" w:space="0" w:color="000000"/>
              <w:bottom w:val="single" w:sz="4" w:space="0" w:color="000000"/>
              <w:right w:val="single" w:sz="4" w:space="0" w:color="000000"/>
            </w:tcBorders>
          </w:tcPr>
          <w:p>
            <w:pPr>
              <w:pStyle w:val="TableParagraph"/>
              <w:spacing w:line="253" w:lineRule="exact"/>
              <w:ind w:left="911"/>
              <w:rPr>
                <w:rFonts w:ascii="Microsoft JhengHei" w:eastAsia="Microsoft JhengHei" w:hint="eastAsia"/>
                <w:b/>
                <w:sz w:val="21"/>
              </w:rPr>
            </w:pPr>
            <w:r>
              <w:rPr>
                <w:rFonts w:ascii="Microsoft JhengHei" w:eastAsia="Microsoft JhengHei" w:hint="eastAsia"/>
                <w:b/>
                <w:sz w:val="21"/>
              </w:rPr>
              <w:t>本期发生额</w:t>
            </w:r>
          </w:p>
        </w:tc>
        <w:tc>
          <w:tcPr>
            <w:tcW w:w="2856" w:type="dxa"/>
            <w:tcBorders>
              <w:left w:val="single" w:sz="4" w:space="0" w:color="000000"/>
              <w:bottom w:val="single" w:sz="4" w:space="0" w:color="000000"/>
            </w:tcBorders>
          </w:tcPr>
          <w:p>
            <w:pPr>
              <w:pStyle w:val="TableParagraph"/>
              <w:spacing w:line="253" w:lineRule="exact"/>
              <w:ind w:left="909"/>
              <w:rPr>
                <w:rFonts w:ascii="Microsoft JhengHei" w:eastAsia="Microsoft JhengHei" w:hint="eastAsia"/>
                <w:b/>
                <w:sz w:val="21"/>
              </w:rPr>
            </w:pPr>
            <w:r>
              <w:rPr>
                <w:rFonts w:ascii="Microsoft JhengHei" w:eastAsia="Microsoft JhengHei" w:hint="eastAsia"/>
                <w:b/>
                <w:sz w:val="21"/>
              </w:rPr>
              <w:t>上期发生额</w:t>
            </w:r>
          </w:p>
        </w:tc>
      </w:tr>
      <w:tr>
        <w:trPr>
          <w:trHeight w:val="270" w:hRule="atLeast"/>
        </w:trPr>
        <w:tc>
          <w:tcPr>
            <w:tcW w:w="3332"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销售费用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before="7"/>
              <w:ind w:right="86"/>
              <w:jc w:val="right"/>
              <w:rPr>
                <w:sz w:val="21"/>
              </w:rPr>
            </w:pPr>
            <w:r>
              <w:rPr>
                <w:sz w:val="21"/>
              </w:rPr>
              <w:t>33,641,711,147.72</w:t>
            </w:r>
          </w:p>
        </w:tc>
        <w:tc>
          <w:tcPr>
            <w:tcW w:w="2856" w:type="dxa"/>
            <w:tcBorders>
              <w:top w:val="single" w:sz="4" w:space="0" w:color="000000"/>
              <w:left w:val="single" w:sz="4" w:space="0" w:color="000000"/>
              <w:bottom w:val="single" w:sz="4" w:space="0" w:color="000000"/>
            </w:tcBorders>
          </w:tcPr>
          <w:p>
            <w:pPr>
              <w:pStyle w:val="TableParagraph"/>
              <w:spacing w:before="7"/>
              <w:ind w:right="73"/>
              <w:jc w:val="right"/>
              <w:rPr>
                <w:sz w:val="21"/>
              </w:rPr>
            </w:pPr>
            <w:r>
              <w:rPr>
                <w:sz w:val="21"/>
              </w:rPr>
              <w:t>33,682,126,291.31</w:t>
            </w:r>
          </w:p>
        </w:tc>
      </w:tr>
      <w:tr>
        <w:trPr>
          <w:trHeight w:val="273" w:hRule="atLeast"/>
        </w:trPr>
        <w:tc>
          <w:tcPr>
            <w:tcW w:w="3332" w:type="dxa"/>
            <w:tcBorders>
              <w:top w:val="single" w:sz="4" w:space="0" w:color="000000"/>
              <w:right w:val="single" w:sz="4" w:space="0" w:color="000000"/>
            </w:tcBorders>
          </w:tcPr>
          <w:p>
            <w:pPr>
              <w:pStyle w:val="TableParagraph"/>
              <w:spacing w:line="249" w:lineRule="exact" w:before="4"/>
              <w:ind w:right="1433"/>
              <w:jc w:val="right"/>
              <w:rPr>
                <w:rFonts w:ascii="宋体" w:eastAsia="宋体" w:hint="eastAsia"/>
                <w:sz w:val="21"/>
              </w:rPr>
            </w:pPr>
            <w:r>
              <w:rPr>
                <w:rFonts w:ascii="宋体" w:eastAsia="宋体" w:hint="eastAsia"/>
                <w:sz w:val="21"/>
              </w:rPr>
              <w:t>合计</w:t>
            </w:r>
          </w:p>
        </w:tc>
        <w:tc>
          <w:tcPr>
            <w:tcW w:w="2861" w:type="dxa"/>
            <w:tcBorders>
              <w:top w:val="single" w:sz="4" w:space="0" w:color="000000"/>
              <w:left w:val="single" w:sz="4" w:space="0" w:color="000000"/>
              <w:right w:val="single" w:sz="4" w:space="0" w:color="000000"/>
            </w:tcBorders>
          </w:tcPr>
          <w:p>
            <w:pPr>
              <w:pStyle w:val="TableParagraph"/>
              <w:spacing w:before="10"/>
              <w:ind w:right="86"/>
              <w:jc w:val="right"/>
              <w:rPr>
                <w:sz w:val="21"/>
              </w:rPr>
            </w:pPr>
            <w:r>
              <w:rPr>
                <w:sz w:val="21"/>
              </w:rPr>
              <w:t>33,641,711,147.72</w:t>
            </w:r>
          </w:p>
        </w:tc>
        <w:tc>
          <w:tcPr>
            <w:tcW w:w="2856" w:type="dxa"/>
            <w:tcBorders>
              <w:top w:val="single" w:sz="4" w:space="0" w:color="000000"/>
              <w:left w:val="single" w:sz="4" w:space="0" w:color="000000"/>
            </w:tcBorders>
          </w:tcPr>
          <w:p>
            <w:pPr>
              <w:pStyle w:val="TableParagraph"/>
              <w:spacing w:before="10"/>
              <w:ind w:right="73"/>
              <w:jc w:val="right"/>
              <w:rPr>
                <w:sz w:val="21"/>
              </w:rPr>
            </w:pPr>
            <w:r>
              <w:rPr>
                <w:sz w:val="21"/>
              </w:rPr>
              <w:t>33,682,126,291.31</w:t>
            </w:r>
          </w:p>
        </w:tc>
      </w:tr>
    </w:tbl>
    <w:p>
      <w:pPr>
        <w:pStyle w:val="BodyText"/>
        <w:spacing w:before="3"/>
        <w:ind w:left="1962"/>
      </w:pPr>
      <w:r>
        <w:rPr/>
        <w:t>本公司销售费用主要为薪酬费用、运输及仓储费、广告促销费、售后费用等。</w:t>
      </w:r>
    </w:p>
    <w:p>
      <w:pPr>
        <w:pStyle w:val="BodyText"/>
        <w:spacing w:before="9"/>
        <w:rPr>
          <w:sz w:val="17"/>
        </w:rPr>
      </w:pPr>
    </w:p>
    <w:p>
      <w:pPr>
        <w:pStyle w:val="Heading4"/>
        <w:spacing w:before="9"/>
      </w:pPr>
      <w:r>
        <w:rPr>
          <w:rFonts w:ascii="Times New Roman" w:eastAsia="Times New Roman"/>
        </w:rPr>
        <w:t>52</w:t>
      </w:r>
      <w:r>
        <w:rPr/>
        <w:t>、 管理费用</w:t>
      </w:r>
    </w:p>
    <w:p>
      <w:pPr>
        <w:pStyle w:val="BodyText"/>
        <w:spacing w:before="14"/>
        <w:ind w:left="1538"/>
      </w:pPr>
      <w:r>
        <w:rPr/>
        <w:t>√适用 □不适用</w:t>
      </w:r>
    </w:p>
    <w:p>
      <w:pPr>
        <w:pStyle w:val="BodyText"/>
        <w:tabs>
          <w:tab w:pos="9111" w:val="left" w:leader="none"/>
        </w:tabs>
        <w:spacing w:before="5"/>
        <w:ind w:left="8059"/>
      </w:pPr>
      <w:r>
        <w:rPr/>
        <w:t>单位：元</w:t>
        <w:tab/>
        <w:t>币</w:t>
      </w:r>
      <w:r>
        <w:rPr>
          <w:spacing w:val="-3"/>
        </w:rPr>
        <w:t>种</w:t>
      </w:r>
      <w:r>
        <w:rPr/>
        <w:t>：</w:t>
      </w:r>
      <w:r>
        <w:rPr>
          <w:spacing w:val="-3"/>
        </w:rPr>
        <w:t>人</w:t>
      </w:r>
      <w:r>
        <w:rPr/>
        <w:t>民币</w:t>
      </w: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006"/>
        <w:gridCol w:w="2604"/>
        <w:gridCol w:w="2439"/>
      </w:tblGrid>
      <w:tr>
        <w:trPr>
          <w:trHeight w:val="272" w:hRule="atLeast"/>
        </w:trPr>
        <w:tc>
          <w:tcPr>
            <w:tcW w:w="4006" w:type="dxa"/>
            <w:tcBorders>
              <w:bottom w:val="single" w:sz="4" w:space="0" w:color="000000"/>
              <w:right w:val="single" w:sz="4" w:space="0" w:color="000000"/>
            </w:tcBorders>
          </w:tcPr>
          <w:p>
            <w:pPr>
              <w:pStyle w:val="TableParagraph"/>
              <w:spacing w:line="253" w:lineRule="exact"/>
              <w:ind w:right="1771"/>
              <w:jc w:val="right"/>
              <w:rPr>
                <w:rFonts w:ascii="Microsoft JhengHei" w:eastAsia="Microsoft JhengHei" w:hint="eastAsia"/>
                <w:b/>
                <w:sz w:val="21"/>
              </w:rPr>
            </w:pPr>
            <w:r>
              <w:rPr>
                <w:rFonts w:ascii="Microsoft JhengHei" w:eastAsia="Microsoft JhengHei" w:hint="eastAsia"/>
                <w:b/>
                <w:sz w:val="21"/>
              </w:rPr>
              <w:t>项目</w:t>
            </w:r>
          </w:p>
        </w:tc>
        <w:tc>
          <w:tcPr>
            <w:tcW w:w="2604" w:type="dxa"/>
            <w:tcBorders>
              <w:left w:val="single" w:sz="4" w:space="0" w:color="000000"/>
              <w:bottom w:val="single" w:sz="4" w:space="0" w:color="000000"/>
              <w:right w:val="single" w:sz="4" w:space="0" w:color="000000"/>
            </w:tcBorders>
          </w:tcPr>
          <w:p>
            <w:pPr>
              <w:pStyle w:val="TableParagraph"/>
              <w:spacing w:line="253" w:lineRule="exact"/>
              <w:ind w:left="785"/>
              <w:rPr>
                <w:rFonts w:ascii="Microsoft JhengHei" w:eastAsia="Microsoft JhengHei" w:hint="eastAsia"/>
                <w:b/>
                <w:sz w:val="21"/>
              </w:rPr>
            </w:pPr>
            <w:r>
              <w:rPr>
                <w:rFonts w:ascii="Microsoft JhengHei" w:eastAsia="Microsoft JhengHei" w:hint="eastAsia"/>
                <w:b/>
                <w:sz w:val="21"/>
              </w:rPr>
              <w:t>本期发生额</w:t>
            </w:r>
          </w:p>
        </w:tc>
        <w:tc>
          <w:tcPr>
            <w:tcW w:w="2439" w:type="dxa"/>
            <w:tcBorders>
              <w:left w:val="single" w:sz="4" w:space="0" w:color="000000"/>
              <w:bottom w:val="single" w:sz="4" w:space="0" w:color="000000"/>
            </w:tcBorders>
          </w:tcPr>
          <w:p>
            <w:pPr>
              <w:pStyle w:val="TableParagraph"/>
              <w:spacing w:line="253" w:lineRule="exact"/>
              <w:ind w:left="704"/>
              <w:rPr>
                <w:rFonts w:ascii="Microsoft JhengHei" w:eastAsia="Microsoft JhengHei" w:hint="eastAsia"/>
                <w:b/>
                <w:sz w:val="21"/>
              </w:rPr>
            </w:pPr>
            <w:r>
              <w:rPr>
                <w:rFonts w:ascii="Microsoft JhengHei" w:eastAsia="Microsoft JhengHei" w:hint="eastAsia"/>
                <w:b/>
                <w:sz w:val="21"/>
              </w:rPr>
              <w:t>上期发生额</w:t>
            </w:r>
          </w:p>
        </w:tc>
      </w:tr>
      <w:tr>
        <w:trPr>
          <w:trHeight w:val="273" w:hRule="atLeast"/>
        </w:trPr>
        <w:tc>
          <w:tcPr>
            <w:tcW w:w="4006"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管理费用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before="10"/>
              <w:ind w:right="83"/>
              <w:jc w:val="right"/>
              <w:rPr>
                <w:sz w:val="21"/>
              </w:rPr>
            </w:pPr>
            <w:r>
              <w:rPr>
                <w:sz w:val="21"/>
              </w:rPr>
              <w:t>10,052,645,415.72</w:t>
            </w:r>
          </w:p>
        </w:tc>
        <w:tc>
          <w:tcPr>
            <w:tcW w:w="2439" w:type="dxa"/>
            <w:tcBorders>
              <w:top w:val="single" w:sz="4" w:space="0" w:color="000000"/>
              <w:left w:val="single" w:sz="4" w:space="0" w:color="000000"/>
              <w:bottom w:val="single" w:sz="4" w:space="0" w:color="000000"/>
            </w:tcBorders>
          </w:tcPr>
          <w:p>
            <w:pPr>
              <w:pStyle w:val="TableParagraph"/>
              <w:spacing w:before="10"/>
              <w:ind w:right="71"/>
              <w:jc w:val="right"/>
              <w:rPr>
                <w:sz w:val="21"/>
              </w:rPr>
            </w:pPr>
            <w:r>
              <w:rPr>
                <w:sz w:val="21"/>
              </w:rPr>
              <w:t>10,113,263,329.25</w:t>
            </w:r>
          </w:p>
        </w:tc>
      </w:tr>
      <w:tr>
        <w:trPr>
          <w:trHeight w:val="270" w:hRule="atLeast"/>
        </w:trPr>
        <w:tc>
          <w:tcPr>
            <w:tcW w:w="4006" w:type="dxa"/>
            <w:tcBorders>
              <w:top w:val="single" w:sz="4" w:space="0" w:color="000000"/>
              <w:right w:val="single" w:sz="4" w:space="0" w:color="000000"/>
            </w:tcBorders>
          </w:tcPr>
          <w:p>
            <w:pPr>
              <w:pStyle w:val="TableParagraph"/>
              <w:spacing w:line="249" w:lineRule="exact" w:before="1"/>
              <w:ind w:right="1769"/>
              <w:jc w:val="right"/>
              <w:rPr>
                <w:rFonts w:ascii="宋体" w:eastAsia="宋体" w:hint="eastAsia"/>
                <w:sz w:val="21"/>
              </w:rPr>
            </w:pPr>
            <w:r>
              <w:rPr>
                <w:rFonts w:ascii="宋体" w:eastAsia="宋体" w:hint="eastAsia"/>
                <w:sz w:val="21"/>
              </w:rPr>
              <w:t>合计</w:t>
            </w:r>
          </w:p>
        </w:tc>
        <w:tc>
          <w:tcPr>
            <w:tcW w:w="2604" w:type="dxa"/>
            <w:tcBorders>
              <w:top w:val="single" w:sz="4" w:space="0" w:color="000000"/>
              <w:left w:val="single" w:sz="4" w:space="0" w:color="000000"/>
              <w:right w:val="single" w:sz="4" w:space="0" w:color="000000"/>
            </w:tcBorders>
          </w:tcPr>
          <w:p>
            <w:pPr>
              <w:pStyle w:val="TableParagraph"/>
              <w:spacing w:before="7"/>
              <w:ind w:right="83"/>
              <w:jc w:val="right"/>
              <w:rPr>
                <w:sz w:val="21"/>
              </w:rPr>
            </w:pPr>
            <w:r>
              <w:rPr>
                <w:sz w:val="21"/>
              </w:rPr>
              <w:t>10,052,645,415.72</w:t>
            </w:r>
          </w:p>
        </w:tc>
        <w:tc>
          <w:tcPr>
            <w:tcW w:w="2439" w:type="dxa"/>
            <w:tcBorders>
              <w:top w:val="single" w:sz="4" w:space="0" w:color="000000"/>
              <w:left w:val="single" w:sz="4" w:space="0" w:color="000000"/>
            </w:tcBorders>
          </w:tcPr>
          <w:p>
            <w:pPr>
              <w:pStyle w:val="TableParagraph"/>
              <w:spacing w:before="7"/>
              <w:ind w:right="71"/>
              <w:jc w:val="right"/>
              <w:rPr>
                <w:sz w:val="21"/>
              </w:rPr>
            </w:pPr>
            <w:r>
              <w:rPr>
                <w:sz w:val="21"/>
              </w:rPr>
              <w:t>10,113,263,329.25</w:t>
            </w:r>
          </w:p>
        </w:tc>
      </w:tr>
    </w:tbl>
    <w:p>
      <w:pPr>
        <w:pStyle w:val="BodyText"/>
        <w:spacing w:before="3"/>
        <w:ind w:left="1962"/>
      </w:pPr>
      <w:r>
        <w:rPr/>
        <w:t>本公司管理费用主要为薪酬费用、行政办公费、资产折旧摊销费等。</w:t>
      </w:r>
    </w:p>
    <w:p>
      <w:pPr>
        <w:pStyle w:val="BodyText"/>
        <w:spacing w:before="9"/>
        <w:rPr>
          <w:sz w:val="17"/>
        </w:rPr>
      </w:pPr>
    </w:p>
    <w:p>
      <w:pPr>
        <w:pStyle w:val="Heading4"/>
        <w:spacing w:before="9"/>
      </w:pPr>
      <w:r>
        <w:rPr>
          <w:rFonts w:ascii="Times New Roman" w:eastAsia="Times New Roman"/>
        </w:rPr>
        <w:t>53</w:t>
      </w:r>
      <w:r>
        <w:rPr/>
        <w:t>、 研发费用</w:t>
      </w:r>
    </w:p>
    <w:p>
      <w:pPr>
        <w:pStyle w:val="BodyText"/>
        <w:spacing w:before="14"/>
        <w:ind w:left="1538"/>
      </w:pPr>
      <w:r>
        <w:rPr/>
        <w:t>√适用 □不适用</w:t>
      </w:r>
    </w:p>
    <w:p>
      <w:pPr>
        <w:pStyle w:val="BodyText"/>
        <w:tabs>
          <w:tab w:pos="9111" w:val="left" w:leader="none"/>
        </w:tabs>
        <w:spacing w:before="5"/>
        <w:ind w:left="8059"/>
      </w:pPr>
      <w:r>
        <w:rPr/>
        <w:t>单位：元</w:t>
        <w:tab/>
        <w:t>币</w:t>
      </w:r>
      <w:r>
        <w:rPr>
          <w:spacing w:val="-3"/>
        </w:rPr>
        <w:t>种</w:t>
      </w:r>
      <w:r>
        <w:rPr/>
        <w:t>：</w:t>
      </w:r>
      <w:r>
        <w:rPr>
          <w:spacing w:val="-3"/>
        </w:rPr>
        <w:t>人</w:t>
      </w:r>
      <w:r>
        <w:rPr/>
        <w:t>民币</w:t>
      </w: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006"/>
        <w:gridCol w:w="2604"/>
        <w:gridCol w:w="2439"/>
      </w:tblGrid>
      <w:tr>
        <w:trPr>
          <w:trHeight w:val="272" w:hRule="atLeast"/>
        </w:trPr>
        <w:tc>
          <w:tcPr>
            <w:tcW w:w="4006" w:type="dxa"/>
            <w:tcBorders>
              <w:bottom w:val="single" w:sz="4" w:space="0" w:color="000000"/>
              <w:right w:val="single" w:sz="4" w:space="0" w:color="000000"/>
            </w:tcBorders>
          </w:tcPr>
          <w:p>
            <w:pPr>
              <w:pStyle w:val="TableParagraph"/>
              <w:spacing w:line="253" w:lineRule="exact"/>
              <w:ind w:right="1771"/>
              <w:jc w:val="right"/>
              <w:rPr>
                <w:rFonts w:ascii="Microsoft JhengHei" w:eastAsia="Microsoft JhengHei" w:hint="eastAsia"/>
                <w:b/>
                <w:sz w:val="21"/>
              </w:rPr>
            </w:pPr>
            <w:r>
              <w:rPr>
                <w:rFonts w:ascii="Microsoft JhengHei" w:eastAsia="Microsoft JhengHei" w:hint="eastAsia"/>
                <w:b/>
                <w:sz w:val="21"/>
              </w:rPr>
              <w:t>项目</w:t>
            </w:r>
          </w:p>
        </w:tc>
        <w:tc>
          <w:tcPr>
            <w:tcW w:w="2604" w:type="dxa"/>
            <w:tcBorders>
              <w:left w:val="single" w:sz="4" w:space="0" w:color="000000"/>
              <w:bottom w:val="single" w:sz="4" w:space="0" w:color="000000"/>
              <w:right w:val="single" w:sz="4" w:space="0" w:color="000000"/>
            </w:tcBorders>
          </w:tcPr>
          <w:p>
            <w:pPr>
              <w:pStyle w:val="TableParagraph"/>
              <w:spacing w:line="253" w:lineRule="exact"/>
              <w:ind w:left="785"/>
              <w:rPr>
                <w:rFonts w:ascii="Microsoft JhengHei" w:eastAsia="Microsoft JhengHei" w:hint="eastAsia"/>
                <w:b/>
                <w:sz w:val="21"/>
              </w:rPr>
            </w:pPr>
            <w:r>
              <w:rPr>
                <w:rFonts w:ascii="Microsoft JhengHei" w:eastAsia="Microsoft JhengHei" w:hint="eastAsia"/>
                <w:b/>
                <w:sz w:val="21"/>
              </w:rPr>
              <w:t>本期发生额</w:t>
            </w:r>
          </w:p>
        </w:tc>
        <w:tc>
          <w:tcPr>
            <w:tcW w:w="2439" w:type="dxa"/>
            <w:tcBorders>
              <w:left w:val="single" w:sz="4" w:space="0" w:color="000000"/>
              <w:bottom w:val="single" w:sz="4" w:space="0" w:color="000000"/>
            </w:tcBorders>
          </w:tcPr>
          <w:p>
            <w:pPr>
              <w:pStyle w:val="TableParagraph"/>
              <w:spacing w:line="253" w:lineRule="exact"/>
              <w:ind w:left="704"/>
              <w:rPr>
                <w:rFonts w:ascii="Microsoft JhengHei" w:eastAsia="Microsoft JhengHei" w:hint="eastAsia"/>
                <w:b/>
                <w:sz w:val="21"/>
              </w:rPr>
            </w:pPr>
            <w:r>
              <w:rPr>
                <w:rFonts w:ascii="Microsoft JhengHei" w:eastAsia="Microsoft JhengHei" w:hint="eastAsia"/>
                <w:b/>
                <w:sz w:val="21"/>
              </w:rPr>
              <w:t>上期发生额</w:t>
            </w:r>
          </w:p>
        </w:tc>
      </w:tr>
      <w:tr>
        <w:trPr>
          <w:trHeight w:val="273" w:hRule="atLeast"/>
        </w:trPr>
        <w:tc>
          <w:tcPr>
            <w:tcW w:w="4006" w:type="dxa"/>
            <w:tcBorders>
              <w:top w:val="single" w:sz="4" w:space="0" w:color="000000"/>
              <w:bottom w:val="single" w:sz="4" w:space="0" w:color="000000"/>
              <w:right w:val="single" w:sz="4" w:space="0" w:color="000000"/>
            </w:tcBorders>
          </w:tcPr>
          <w:p>
            <w:pPr>
              <w:pStyle w:val="TableParagraph"/>
              <w:spacing w:line="250" w:lineRule="exact" w:before="3"/>
              <w:ind w:left="107"/>
              <w:rPr>
                <w:rFonts w:ascii="宋体" w:eastAsia="宋体" w:hint="eastAsia"/>
                <w:sz w:val="21"/>
              </w:rPr>
            </w:pPr>
            <w:r>
              <w:rPr>
                <w:rFonts w:ascii="宋体" w:eastAsia="宋体" w:hint="eastAsia"/>
                <w:sz w:val="21"/>
              </w:rPr>
              <w:t>研发费用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before="10"/>
              <w:ind w:right="83"/>
              <w:jc w:val="right"/>
              <w:rPr>
                <w:sz w:val="21"/>
              </w:rPr>
            </w:pPr>
            <w:r>
              <w:rPr>
                <w:sz w:val="21"/>
              </w:rPr>
              <w:t>6,860,161,572.42</w:t>
            </w:r>
          </w:p>
        </w:tc>
        <w:tc>
          <w:tcPr>
            <w:tcW w:w="2439" w:type="dxa"/>
            <w:tcBorders>
              <w:top w:val="single" w:sz="4" w:space="0" w:color="000000"/>
              <w:left w:val="single" w:sz="4" w:space="0" w:color="000000"/>
              <w:bottom w:val="single" w:sz="4" w:space="0" w:color="000000"/>
            </w:tcBorders>
          </w:tcPr>
          <w:p>
            <w:pPr>
              <w:pStyle w:val="TableParagraph"/>
              <w:spacing w:before="10"/>
              <w:ind w:right="71"/>
              <w:jc w:val="right"/>
              <w:rPr>
                <w:sz w:val="21"/>
              </w:rPr>
            </w:pPr>
            <w:r>
              <w:rPr>
                <w:sz w:val="21"/>
              </w:rPr>
              <w:t>6,266,936,518.17</w:t>
            </w:r>
          </w:p>
        </w:tc>
      </w:tr>
      <w:tr>
        <w:trPr>
          <w:trHeight w:val="270" w:hRule="atLeast"/>
        </w:trPr>
        <w:tc>
          <w:tcPr>
            <w:tcW w:w="4006" w:type="dxa"/>
            <w:tcBorders>
              <w:top w:val="single" w:sz="4" w:space="0" w:color="000000"/>
              <w:right w:val="single" w:sz="4" w:space="0" w:color="000000"/>
            </w:tcBorders>
          </w:tcPr>
          <w:p>
            <w:pPr>
              <w:pStyle w:val="TableParagraph"/>
              <w:spacing w:line="249" w:lineRule="exact" w:before="1"/>
              <w:ind w:right="1769"/>
              <w:jc w:val="right"/>
              <w:rPr>
                <w:rFonts w:ascii="宋体" w:eastAsia="宋体" w:hint="eastAsia"/>
                <w:sz w:val="21"/>
              </w:rPr>
            </w:pPr>
            <w:r>
              <w:rPr>
                <w:rFonts w:ascii="宋体" w:eastAsia="宋体" w:hint="eastAsia"/>
                <w:sz w:val="21"/>
              </w:rPr>
              <w:t>合计</w:t>
            </w:r>
          </w:p>
        </w:tc>
        <w:tc>
          <w:tcPr>
            <w:tcW w:w="2604" w:type="dxa"/>
            <w:tcBorders>
              <w:top w:val="single" w:sz="4" w:space="0" w:color="000000"/>
              <w:left w:val="single" w:sz="4" w:space="0" w:color="000000"/>
              <w:right w:val="single" w:sz="4" w:space="0" w:color="000000"/>
            </w:tcBorders>
          </w:tcPr>
          <w:p>
            <w:pPr>
              <w:pStyle w:val="TableParagraph"/>
              <w:spacing w:line="240" w:lineRule="exact" w:before="10"/>
              <w:ind w:right="83"/>
              <w:jc w:val="right"/>
              <w:rPr>
                <w:sz w:val="21"/>
              </w:rPr>
            </w:pPr>
            <w:r>
              <w:rPr>
                <w:sz w:val="21"/>
              </w:rPr>
              <w:t>6,860,161,572.42</w:t>
            </w:r>
          </w:p>
        </w:tc>
        <w:tc>
          <w:tcPr>
            <w:tcW w:w="2439" w:type="dxa"/>
            <w:tcBorders>
              <w:top w:val="single" w:sz="4" w:space="0" w:color="000000"/>
              <w:left w:val="single" w:sz="4" w:space="0" w:color="000000"/>
            </w:tcBorders>
          </w:tcPr>
          <w:p>
            <w:pPr>
              <w:pStyle w:val="TableParagraph"/>
              <w:spacing w:line="240" w:lineRule="exact" w:before="10"/>
              <w:ind w:right="71"/>
              <w:jc w:val="right"/>
              <w:rPr>
                <w:sz w:val="21"/>
              </w:rPr>
            </w:pPr>
            <w:r>
              <w:rPr>
                <w:sz w:val="21"/>
              </w:rPr>
              <w:t>6,266,936,518.17</w:t>
            </w:r>
          </w:p>
        </w:tc>
      </w:tr>
    </w:tbl>
    <w:p>
      <w:pPr>
        <w:pStyle w:val="BodyText"/>
        <w:spacing w:before="3"/>
        <w:ind w:left="1538"/>
      </w:pPr>
      <w:r>
        <w:rPr/>
        <w:t>本公司研发费用主要为薪酬费用、研发设备类支出、检验检测费等。</w:t>
      </w:r>
    </w:p>
    <w:p>
      <w:pPr>
        <w:pStyle w:val="BodyText"/>
        <w:spacing w:before="5"/>
        <w:rPr>
          <w:sz w:val="18"/>
        </w:rPr>
      </w:pPr>
    </w:p>
    <w:p>
      <w:pPr>
        <w:pStyle w:val="Heading4"/>
      </w:pPr>
      <w:r>
        <w:rPr>
          <w:rFonts w:ascii="Times New Roman" w:eastAsia="Times New Roman"/>
        </w:rPr>
        <w:t>54</w:t>
      </w:r>
      <w:r>
        <w:rPr/>
        <w:t>、 财务费用</w:t>
      </w:r>
    </w:p>
    <w:p>
      <w:pPr>
        <w:pStyle w:val="BodyText"/>
        <w:spacing w:before="17"/>
        <w:ind w:left="1538"/>
      </w:pPr>
      <w:r>
        <w:rPr>
          <w:w w:val="100"/>
        </w:rPr>
        <w:t> </w:t>
      </w:r>
    </w:p>
    <w:tbl>
      <w:tblPr>
        <w:tblW w:w="0" w:type="auto"/>
        <w:jc w:val="left"/>
        <w:tblInd w:w="15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589"/>
        <w:gridCol w:w="2859"/>
        <w:gridCol w:w="2386"/>
      </w:tblGrid>
      <w:tr>
        <w:trPr>
          <w:trHeight w:val="368" w:hRule="atLeast"/>
        </w:trPr>
        <w:tc>
          <w:tcPr>
            <w:tcW w:w="3589" w:type="dxa"/>
            <w:tcBorders>
              <w:bottom w:val="single" w:sz="4" w:space="0" w:color="000000"/>
              <w:right w:val="single" w:sz="4" w:space="0" w:color="000000"/>
            </w:tcBorders>
          </w:tcPr>
          <w:p>
            <w:pPr>
              <w:pStyle w:val="TableParagraph"/>
              <w:spacing w:line="349" w:lineRule="exact"/>
              <w:ind w:right="1563"/>
              <w:jc w:val="right"/>
              <w:rPr>
                <w:rFonts w:ascii="Microsoft JhengHei" w:eastAsia="Microsoft JhengHei" w:hint="eastAsia"/>
                <w:b/>
                <w:sz w:val="21"/>
              </w:rPr>
            </w:pPr>
            <w:r>
              <w:rPr>
                <w:rFonts w:ascii="Microsoft JhengHei" w:eastAsia="Microsoft JhengHei" w:hint="eastAsia"/>
                <w:b/>
                <w:sz w:val="21"/>
              </w:rPr>
              <w:t>项目</w:t>
            </w:r>
          </w:p>
        </w:tc>
        <w:tc>
          <w:tcPr>
            <w:tcW w:w="2859" w:type="dxa"/>
            <w:tcBorders>
              <w:left w:val="single" w:sz="4" w:space="0" w:color="000000"/>
              <w:bottom w:val="single" w:sz="4" w:space="0" w:color="000000"/>
              <w:right w:val="single" w:sz="4" w:space="0" w:color="000000"/>
            </w:tcBorders>
          </w:tcPr>
          <w:p>
            <w:pPr>
              <w:pStyle w:val="TableParagraph"/>
              <w:spacing w:line="349" w:lineRule="exact"/>
              <w:ind w:left="911"/>
              <w:rPr>
                <w:rFonts w:ascii="Microsoft JhengHei" w:eastAsia="Microsoft JhengHei" w:hint="eastAsia"/>
                <w:b/>
                <w:sz w:val="21"/>
              </w:rPr>
            </w:pPr>
            <w:r>
              <w:rPr>
                <w:rFonts w:ascii="Microsoft JhengHei" w:eastAsia="Microsoft JhengHei" w:hint="eastAsia"/>
                <w:b/>
                <w:sz w:val="21"/>
              </w:rPr>
              <w:t>本期发生额</w:t>
            </w:r>
          </w:p>
        </w:tc>
        <w:tc>
          <w:tcPr>
            <w:tcW w:w="2386" w:type="dxa"/>
            <w:tcBorders>
              <w:left w:val="single" w:sz="4" w:space="0" w:color="000000"/>
              <w:bottom w:val="single" w:sz="4" w:space="0" w:color="000000"/>
            </w:tcBorders>
          </w:tcPr>
          <w:p>
            <w:pPr>
              <w:pStyle w:val="TableParagraph"/>
              <w:spacing w:line="349" w:lineRule="exact"/>
              <w:ind w:left="674"/>
              <w:rPr>
                <w:rFonts w:ascii="Microsoft JhengHei" w:eastAsia="Microsoft JhengHei" w:hint="eastAsia"/>
                <w:b/>
                <w:sz w:val="21"/>
              </w:rPr>
            </w:pPr>
            <w:r>
              <w:rPr>
                <w:rFonts w:ascii="Microsoft JhengHei" w:eastAsia="Microsoft JhengHei" w:hint="eastAsia"/>
                <w:b/>
                <w:sz w:val="21"/>
              </w:rPr>
              <w:t>上期发生额</w:t>
            </w:r>
          </w:p>
        </w:tc>
      </w:tr>
      <w:tr>
        <w:trPr>
          <w:trHeight w:val="369" w:hRule="atLeast"/>
        </w:trPr>
        <w:tc>
          <w:tcPr>
            <w:tcW w:w="3589"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利息费用</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1,327,091,393.08</w:t>
            </w:r>
          </w:p>
        </w:tc>
        <w:tc>
          <w:tcPr>
            <w:tcW w:w="2386"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1,747,107,740.65</w:t>
            </w:r>
          </w:p>
        </w:tc>
      </w:tr>
      <w:tr>
        <w:trPr>
          <w:trHeight w:val="369" w:hRule="atLeast"/>
        </w:trPr>
        <w:tc>
          <w:tcPr>
            <w:tcW w:w="3589" w:type="dxa"/>
            <w:tcBorders>
              <w:top w:val="single" w:sz="4" w:space="0" w:color="000000"/>
              <w:bottom w:val="single" w:sz="4" w:space="0" w:color="000000"/>
              <w:right w:val="single" w:sz="4" w:space="0" w:color="000000"/>
            </w:tcBorders>
          </w:tcPr>
          <w:p>
            <w:pPr>
              <w:pStyle w:val="TableParagraph"/>
              <w:spacing w:before="52"/>
              <w:ind w:left="212"/>
              <w:rPr>
                <w:rFonts w:ascii="宋体" w:eastAsia="宋体" w:hint="eastAsia"/>
                <w:sz w:val="21"/>
              </w:rPr>
            </w:pPr>
            <w:r>
              <w:rPr>
                <w:rFonts w:ascii="宋体" w:eastAsia="宋体" w:hint="eastAsia"/>
                <w:sz w:val="21"/>
              </w:rPr>
              <w:t>减：利息收入</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486,179,773.00</w:t>
            </w:r>
          </w:p>
        </w:tc>
        <w:tc>
          <w:tcPr>
            <w:tcW w:w="2386"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550,224,661.04</w:t>
            </w:r>
          </w:p>
        </w:tc>
      </w:tr>
      <w:tr>
        <w:trPr>
          <w:trHeight w:val="369" w:hRule="atLeast"/>
        </w:trPr>
        <w:tc>
          <w:tcPr>
            <w:tcW w:w="3589" w:type="dxa"/>
            <w:tcBorders>
              <w:top w:val="single" w:sz="4" w:space="0" w:color="000000"/>
              <w:bottom w:val="single" w:sz="4" w:space="0" w:color="000000"/>
              <w:right w:val="single" w:sz="4" w:space="0" w:color="000000"/>
            </w:tcBorders>
          </w:tcPr>
          <w:p>
            <w:pPr>
              <w:pStyle w:val="TableParagraph"/>
              <w:spacing w:before="51"/>
              <w:ind w:left="212"/>
              <w:rPr>
                <w:rFonts w:ascii="宋体" w:eastAsia="宋体" w:hint="eastAsia"/>
                <w:sz w:val="21"/>
              </w:rPr>
            </w:pPr>
            <w:r>
              <w:rPr>
                <w:rFonts w:ascii="宋体" w:eastAsia="宋体" w:hint="eastAsia"/>
                <w:sz w:val="21"/>
              </w:rPr>
              <w:t>减：现金折扣</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143,826,274.59</w:t>
            </w:r>
          </w:p>
        </w:tc>
        <w:tc>
          <w:tcPr>
            <w:tcW w:w="2386"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162,248,119.74</w:t>
            </w:r>
          </w:p>
        </w:tc>
      </w:tr>
      <w:tr>
        <w:trPr>
          <w:trHeight w:val="369" w:hRule="atLeast"/>
        </w:trPr>
        <w:tc>
          <w:tcPr>
            <w:tcW w:w="3589"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汇兑损益</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385,014,983.81</w:t>
            </w:r>
          </w:p>
        </w:tc>
        <w:tc>
          <w:tcPr>
            <w:tcW w:w="2386"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-272,402,809.68</w:t>
            </w:r>
          </w:p>
        </w:tc>
      </w:tr>
      <w:tr>
        <w:trPr>
          <w:trHeight w:val="369" w:hRule="atLeast"/>
        </w:trPr>
        <w:tc>
          <w:tcPr>
            <w:tcW w:w="3589"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其他</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114,117,406.13</w:t>
            </w:r>
          </w:p>
        </w:tc>
        <w:tc>
          <w:tcPr>
            <w:tcW w:w="2386"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130,785,408.67</w:t>
            </w:r>
          </w:p>
        </w:tc>
      </w:tr>
      <w:tr>
        <w:trPr>
          <w:trHeight w:val="366" w:hRule="atLeast"/>
        </w:trPr>
        <w:tc>
          <w:tcPr>
            <w:tcW w:w="3589" w:type="dxa"/>
            <w:tcBorders>
              <w:top w:val="single" w:sz="4" w:space="0" w:color="000000"/>
              <w:right w:val="single" w:sz="4" w:space="0" w:color="000000"/>
            </w:tcBorders>
          </w:tcPr>
          <w:p>
            <w:pPr>
              <w:pStyle w:val="TableParagraph"/>
              <w:spacing w:before="49"/>
              <w:ind w:right="1561"/>
              <w:jc w:val="right"/>
              <w:rPr>
                <w:rFonts w:ascii="宋体" w:eastAsia="宋体" w:hint="eastAsia"/>
                <w:sz w:val="21"/>
              </w:rPr>
            </w:pPr>
            <w:r>
              <w:rPr>
                <w:rFonts w:ascii="宋体" w:eastAsia="宋体" w:hint="eastAsia"/>
                <w:sz w:val="21"/>
              </w:rPr>
              <w:t>合计</w:t>
            </w:r>
          </w:p>
        </w:tc>
        <w:tc>
          <w:tcPr>
            <w:tcW w:w="2859" w:type="dxa"/>
            <w:tcBorders>
              <w:top w:val="single" w:sz="4" w:space="0" w:color="000000"/>
              <w:left w:val="single" w:sz="4" w:space="0" w:color="000000"/>
              <w:right w:val="single" w:sz="4" w:space="0" w:color="000000"/>
            </w:tcBorders>
          </w:tcPr>
          <w:p>
            <w:pPr>
              <w:pStyle w:val="TableParagraph"/>
              <w:spacing w:before="58"/>
              <w:ind w:right="84"/>
              <w:jc w:val="right"/>
              <w:rPr>
                <w:sz w:val="21"/>
              </w:rPr>
            </w:pPr>
            <w:r>
              <w:rPr>
                <w:sz w:val="21"/>
              </w:rPr>
              <w:t>1,196,217,735.43</w:t>
            </w:r>
          </w:p>
        </w:tc>
        <w:tc>
          <w:tcPr>
            <w:tcW w:w="2386" w:type="dxa"/>
            <w:tcBorders>
              <w:top w:val="single" w:sz="4" w:space="0" w:color="000000"/>
              <w:left w:val="single" w:sz="4" w:space="0" w:color="000000"/>
            </w:tcBorders>
          </w:tcPr>
          <w:p>
            <w:pPr>
              <w:pStyle w:val="TableParagraph"/>
              <w:spacing w:before="58"/>
              <w:ind w:right="74"/>
              <w:jc w:val="right"/>
              <w:rPr>
                <w:sz w:val="21"/>
              </w:rPr>
            </w:pPr>
            <w:r>
              <w:rPr>
                <w:sz w:val="21"/>
              </w:rPr>
              <w:t>893,017,558.86</w:t>
            </w:r>
          </w:p>
        </w:tc>
      </w:tr>
    </w:tbl>
    <w:p>
      <w:pPr>
        <w:pStyle w:val="BodyText"/>
        <w:spacing w:before="8"/>
        <w:rPr>
          <w:sz w:val="20"/>
        </w:rPr>
      </w:pPr>
    </w:p>
    <w:p>
      <w:pPr>
        <w:pStyle w:val="BodyText"/>
        <w:spacing w:before="1"/>
        <w:ind w:left="2039"/>
      </w:pPr>
      <w:r>
        <w:rPr/>
        <w:t>本期租赁负债的利息支出 </w:t>
      </w:r>
      <w:r>
        <w:rPr>
          <w:rFonts w:ascii="Times New Roman" w:eastAsia="Times New Roman"/>
        </w:rPr>
        <w:t>123,159,380.18 </w:t>
      </w:r>
      <w:r>
        <w:rPr/>
        <w:t>元。</w:t>
      </w:r>
    </w:p>
    <w:p>
      <w:pPr>
        <w:spacing w:after="0"/>
        <w:sectPr>
          <w:headerReference w:type="default" r:id="rId113"/>
          <w:footerReference w:type="default" r:id="rId114"/>
          <w:pgSz w:w="11910" w:h="16840"/>
          <w:pgMar w:header="876" w:footer="1214" w:top="1440" w:bottom="1400" w:left="260" w:right="0"/>
        </w:sectPr>
      </w:pPr>
    </w:p>
    <w:p>
      <w:pPr>
        <w:pStyle w:val="Heading4"/>
        <w:spacing w:line="385" w:lineRule="exact"/>
      </w:pPr>
      <w:r>
        <w:rPr>
          <w:rFonts w:ascii="Times New Roman" w:eastAsia="Times New Roman"/>
        </w:rPr>
        <w:t>55</w:t>
      </w:r>
      <w:r>
        <w:rPr/>
        <w:t>、 其他收益</w:t>
      </w:r>
    </w:p>
    <w:p>
      <w:pPr>
        <w:pStyle w:val="BodyText"/>
        <w:spacing w:before="17"/>
        <w:ind w:left="1538"/>
      </w:pPr>
      <w:r>
        <w:rPr>
          <w:w w:val="100"/>
        </w:rPr>
        <w:t> </w:t>
      </w:r>
    </w:p>
    <w:tbl>
      <w:tblPr>
        <w:tblW w:w="0" w:type="auto"/>
        <w:jc w:val="left"/>
        <w:tblInd w:w="15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500"/>
        <w:gridCol w:w="2797"/>
        <w:gridCol w:w="2620"/>
      </w:tblGrid>
      <w:tr>
        <w:trPr>
          <w:trHeight w:val="375" w:hRule="atLeast"/>
        </w:trPr>
        <w:tc>
          <w:tcPr>
            <w:tcW w:w="3500" w:type="dxa"/>
            <w:tcBorders>
              <w:bottom w:val="single" w:sz="4" w:space="0" w:color="000000"/>
              <w:right w:val="single" w:sz="4" w:space="0" w:color="000000"/>
            </w:tcBorders>
          </w:tcPr>
          <w:p>
            <w:pPr>
              <w:pStyle w:val="TableParagraph"/>
              <w:spacing w:line="356" w:lineRule="exact"/>
              <w:ind w:left="1518" w:right="1501"/>
              <w:jc w:val="center"/>
              <w:rPr>
                <w:rFonts w:ascii="Microsoft JhengHei" w:eastAsia="Microsoft JhengHei" w:hint="eastAsia"/>
                <w:b/>
                <w:sz w:val="21"/>
              </w:rPr>
            </w:pPr>
            <w:r>
              <w:rPr>
                <w:rFonts w:ascii="Microsoft JhengHei" w:eastAsia="Microsoft JhengHei" w:hint="eastAsia"/>
                <w:b/>
                <w:sz w:val="21"/>
              </w:rPr>
              <w:t>项目</w:t>
            </w:r>
          </w:p>
        </w:tc>
        <w:tc>
          <w:tcPr>
            <w:tcW w:w="2797" w:type="dxa"/>
            <w:tcBorders>
              <w:left w:val="single" w:sz="4" w:space="0" w:color="000000"/>
              <w:bottom w:val="single" w:sz="4" w:space="0" w:color="000000"/>
              <w:right w:val="single" w:sz="4" w:space="0" w:color="000000"/>
            </w:tcBorders>
          </w:tcPr>
          <w:p>
            <w:pPr>
              <w:pStyle w:val="TableParagraph"/>
              <w:spacing w:line="356" w:lineRule="exact"/>
              <w:ind w:left="880"/>
              <w:rPr>
                <w:rFonts w:ascii="Microsoft JhengHei" w:eastAsia="Microsoft JhengHei" w:hint="eastAsia"/>
                <w:b/>
                <w:sz w:val="21"/>
              </w:rPr>
            </w:pPr>
            <w:r>
              <w:rPr>
                <w:rFonts w:ascii="Microsoft JhengHei" w:eastAsia="Microsoft JhengHei" w:hint="eastAsia"/>
                <w:b/>
                <w:sz w:val="21"/>
              </w:rPr>
              <w:t>本期发生额</w:t>
            </w:r>
          </w:p>
        </w:tc>
        <w:tc>
          <w:tcPr>
            <w:tcW w:w="2620" w:type="dxa"/>
            <w:tcBorders>
              <w:left w:val="single" w:sz="4" w:space="0" w:color="000000"/>
              <w:bottom w:val="single" w:sz="4" w:space="0" w:color="000000"/>
            </w:tcBorders>
          </w:tcPr>
          <w:p>
            <w:pPr>
              <w:pStyle w:val="TableParagraph"/>
              <w:spacing w:line="356" w:lineRule="exact"/>
              <w:ind w:left="791"/>
              <w:rPr>
                <w:rFonts w:ascii="Microsoft JhengHei" w:eastAsia="Microsoft JhengHei" w:hint="eastAsia"/>
                <w:b/>
                <w:sz w:val="21"/>
              </w:rPr>
            </w:pPr>
            <w:r>
              <w:rPr>
                <w:rFonts w:ascii="Microsoft JhengHei" w:eastAsia="Microsoft JhengHei" w:hint="eastAsia"/>
                <w:b/>
                <w:sz w:val="21"/>
              </w:rPr>
              <w:t>上期发生额</w:t>
            </w:r>
          </w:p>
        </w:tc>
      </w:tr>
      <w:tr>
        <w:trPr>
          <w:trHeight w:val="374" w:hRule="atLeast"/>
        </w:trPr>
        <w:tc>
          <w:tcPr>
            <w:tcW w:w="3500"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与收益相关的政府补助</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1,081,535,480.75</w:t>
            </w:r>
          </w:p>
        </w:tc>
        <w:tc>
          <w:tcPr>
            <w:tcW w:w="2620"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1,209,403,624.81</w:t>
            </w:r>
          </w:p>
        </w:tc>
      </w:tr>
      <w:tr>
        <w:trPr>
          <w:trHeight w:val="373" w:hRule="atLeast"/>
        </w:trPr>
        <w:tc>
          <w:tcPr>
            <w:tcW w:w="3500"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与资产相关的政府补助</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69,112,340.28</w:t>
            </w:r>
          </w:p>
        </w:tc>
        <w:tc>
          <w:tcPr>
            <w:tcW w:w="2620"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72,809,404.72</w:t>
            </w:r>
          </w:p>
        </w:tc>
      </w:tr>
      <w:tr>
        <w:trPr>
          <w:trHeight w:val="371" w:hRule="atLeast"/>
        </w:trPr>
        <w:tc>
          <w:tcPr>
            <w:tcW w:w="3500" w:type="dxa"/>
            <w:tcBorders>
              <w:top w:val="single" w:sz="4" w:space="0" w:color="000000"/>
              <w:right w:val="single" w:sz="4" w:space="0" w:color="000000"/>
            </w:tcBorders>
          </w:tcPr>
          <w:p>
            <w:pPr>
              <w:pStyle w:val="TableParagraph"/>
              <w:spacing w:before="51"/>
              <w:ind w:left="1518" w:right="1501"/>
              <w:jc w:val="center"/>
              <w:rPr>
                <w:rFonts w:ascii="宋体" w:eastAsia="宋体" w:hint="eastAsia"/>
                <w:sz w:val="21"/>
              </w:rPr>
            </w:pPr>
            <w:r>
              <w:rPr>
                <w:rFonts w:ascii="宋体" w:eastAsia="宋体" w:hint="eastAsia"/>
                <w:sz w:val="21"/>
              </w:rPr>
              <w:t>合计</w:t>
            </w:r>
          </w:p>
        </w:tc>
        <w:tc>
          <w:tcPr>
            <w:tcW w:w="2797" w:type="dxa"/>
            <w:tcBorders>
              <w:top w:val="single" w:sz="4" w:space="0" w:color="000000"/>
              <w:left w:val="single" w:sz="4" w:space="0" w:color="000000"/>
              <w:right w:val="single" w:sz="4" w:space="0" w:color="000000"/>
            </w:tcBorders>
          </w:tcPr>
          <w:p>
            <w:pPr>
              <w:pStyle w:val="TableParagraph"/>
              <w:spacing w:before="58"/>
              <w:ind w:right="84"/>
              <w:jc w:val="right"/>
              <w:rPr>
                <w:sz w:val="21"/>
              </w:rPr>
            </w:pPr>
            <w:r>
              <w:rPr>
                <w:sz w:val="21"/>
              </w:rPr>
              <w:t>1,150,647,821.03</w:t>
            </w:r>
          </w:p>
        </w:tc>
        <w:tc>
          <w:tcPr>
            <w:tcW w:w="2620" w:type="dxa"/>
            <w:tcBorders>
              <w:top w:val="single" w:sz="4" w:space="0" w:color="000000"/>
              <w:left w:val="single" w:sz="4" w:space="0" w:color="000000"/>
            </w:tcBorders>
          </w:tcPr>
          <w:p>
            <w:pPr>
              <w:pStyle w:val="TableParagraph"/>
              <w:spacing w:before="58"/>
              <w:ind w:right="75"/>
              <w:jc w:val="right"/>
              <w:rPr>
                <w:sz w:val="21"/>
              </w:rPr>
            </w:pPr>
            <w:r>
              <w:rPr>
                <w:sz w:val="21"/>
              </w:rPr>
              <w:t>1,282,213,029.53</w:t>
            </w:r>
          </w:p>
        </w:tc>
      </w:tr>
    </w:tbl>
    <w:p>
      <w:pPr>
        <w:pStyle w:val="BodyText"/>
        <w:spacing w:line="267" w:lineRule="exact" w:before="3"/>
        <w:ind w:left="1538"/>
      </w:pPr>
      <w:r>
        <w:rPr>
          <w:w w:val="100"/>
        </w:rPr>
        <w:t> </w:t>
      </w:r>
    </w:p>
    <w:p>
      <w:pPr>
        <w:pStyle w:val="Heading4"/>
        <w:spacing w:line="384" w:lineRule="exact"/>
      </w:pPr>
      <w:r>
        <w:rPr>
          <w:rFonts w:ascii="Times New Roman" w:hAnsi="Times New Roman" w:eastAsia="Times New Roman"/>
        </w:rPr>
        <w:t>56</w:t>
      </w:r>
      <w:r>
        <w:rPr/>
        <w:t>、 投资收益（损失以</w:t>
      </w:r>
      <w:r>
        <w:rPr>
          <w:rFonts w:ascii="Times New Roman" w:hAnsi="Times New Roman" w:eastAsia="Times New Roman"/>
        </w:rPr>
        <w:t>“</w:t>
      </w:r>
      <w:r>
        <w:rPr/>
        <w:t>－</w:t>
      </w:r>
      <w:r>
        <w:rPr>
          <w:rFonts w:ascii="Times New Roman" w:hAnsi="Times New Roman" w:eastAsia="Times New Roman"/>
        </w:rPr>
        <w:t>”</w:t>
      </w:r>
      <w:r>
        <w:rPr/>
        <w:t>号填列）</w:t>
      </w:r>
    </w:p>
    <w:p>
      <w:pPr>
        <w:pStyle w:val="BodyText"/>
        <w:spacing w:before="15" w:after="3"/>
        <w:ind w:left="1538"/>
      </w:pPr>
      <w:r>
        <w:rPr>
          <w:w w:val="100"/>
        </w:rPr>
        <w:t> </w:t>
      </w: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771"/>
        <w:gridCol w:w="2782"/>
        <w:gridCol w:w="2497"/>
      </w:tblGrid>
      <w:tr>
        <w:trPr>
          <w:trHeight w:val="368" w:hRule="atLeast"/>
        </w:trPr>
        <w:tc>
          <w:tcPr>
            <w:tcW w:w="3771" w:type="dxa"/>
            <w:tcBorders>
              <w:bottom w:val="single" w:sz="4" w:space="0" w:color="000000"/>
              <w:right w:val="single" w:sz="4" w:space="0" w:color="000000"/>
            </w:tcBorders>
          </w:tcPr>
          <w:p>
            <w:pPr>
              <w:pStyle w:val="TableParagraph"/>
              <w:spacing w:line="349" w:lineRule="exact"/>
              <w:ind w:left="1650" w:right="1635"/>
              <w:jc w:val="center"/>
              <w:rPr>
                <w:rFonts w:ascii="Microsoft JhengHei" w:eastAsia="Microsoft JhengHei" w:hint="eastAsia"/>
                <w:b/>
                <w:sz w:val="21"/>
              </w:rPr>
            </w:pPr>
            <w:r>
              <w:rPr>
                <w:rFonts w:ascii="Microsoft JhengHei" w:eastAsia="Microsoft JhengHei" w:hint="eastAsia"/>
                <w:b/>
                <w:sz w:val="21"/>
              </w:rPr>
              <w:t>项目</w:t>
            </w:r>
          </w:p>
        </w:tc>
        <w:tc>
          <w:tcPr>
            <w:tcW w:w="2782" w:type="dxa"/>
            <w:tcBorders>
              <w:left w:val="single" w:sz="4" w:space="0" w:color="000000"/>
              <w:bottom w:val="single" w:sz="4" w:space="0" w:color="000000"/>
              <w:right w:val="single" w:sz="4" w:space="0" w:color="000000"/>
            </w:tcBorders>
          </w:tcPr>
          <w:p>
            <w:pPr>
              <w:pStyle w:val="TableParagraph"/>
              <w:spacing w:line="349" w:lineRule="exact"/>
              <w:ind w:left="873"/>
              <w:rPr>
                <w:rFonts w:ascii="Microsoft JhengHei" w:eastAsia="Microsoft JhengHei" w:hint="eastAsia"/>
                <w:b/>
                <w:sz w:val="21"/>
              </w:rPr>
            </w:pPr>
            <w:r>
              <w:rPr>
                <w:rFonts w:ascii="Microsoft JhengHei" w:eastAsia="Microsoft JhengHei" w:hint="eastAsia"/>
                <w:b/>
                <w:sz w:val="21"/>
              </w:rPr>
              <w:t>本期发生额</w:t>
            </w:r>
          </w:p>
        </w:tc>
        <w:tc>
          <w:tcPr>
            <w:tcW w:w="2497" w:type="dxa"/>
            <w:tcBorders>
              <w:left w:val="single" w:sz="4" w:space="0" w:color="000000"/>
              <w:bottom w:val="single" w:sz="4" w:space="0" w:color="000000"/>
            </w:tcBorders>
          </w:tcPr>
          <w:p>
            <w:pPr>
              <w:pStyle w:val="TableParagraph"/>
              <w:spacing w:line="349" w:lineRule="exact"/>
              <w:ind w:left="729"/>
              <w:rPr>
                <w:rFonts w:ascii="Microsoft JhengHei" w:eastAsia="Microsoft JhengHei" w:hint="eastAsia"/>
                <w:b/>
                <w:sz w:val="21"/>
              </w:rPr>
            </w:pPr>
            <w:r>
              <w:rPr>
                <w:rFonts w:ascii="Microsoft JhengHei" w:eastAsia="Microsoft JhengHei" w:hint="eastAsia"/>
                <w:b/>
                <w:sz w:val="21"/>
              </w:rPr>
              <w:t>上期发生额</w:t>
            </w:r>
          </w:p>
        </w:tc>
      </w:tr>
      <w:tr>
        <w:trPr>
          <w:trHeight w:val="369" w:hRule="atLeast"/>
        </w:trPr>
        <w:tc>
          <w:tcPr>
            <w:tcW w:w="3771"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权益法核算的长期股权投资收益</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1,619,755,825.37</w:t>
            </w:r>
          </w:p>
        </w:tc>
        <w:tc>
          <w:tcPr>
            <w:tcW w:w="2497"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1,409,211,965.00</w:t>
            </w:r>
          </w:p>
        </w:tc>
      </w:tr>
      <w:tr>
        <w:trPr>
          <w:trHeight w:val="369" w:hRule="atLeast"/>
        </w:trPr>
        <w:tc>
          <w:tcPr>
            <w:tcW w:w="3771"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处置长期股权投资产生的投资收益</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2,261,114,345.13</w:t>
            </w:r>
          </w:p>
        </w:tc>
        <w:tc>
          <w:tcPr>
            <w:tcW w:w="2497"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3,823,762,154.68</w:t>
            </w:r>
          </w:p>
        </w:tc>
      </w:tr>
      <w:tr>
        <w:trPr>
          <w:trHeight w:val="544" w:hRule="atLeast"/>
        </w:trPr>
        <w:tc>
          <w:tcPr>
            <w:tcW w:w="3771" w:type="dxa"/>
            <w:tcBorders>
              <w:top w:val="single" w:sz="4" w:space="0" w:color="000000"/>
              <w:bottom w:val="single" w:sz="4" w:space="0" w:color="000000"/>
              <w:right w:val="single" w:sz="4" w:space="0" w:color="000000"/>
            </w:tcBorders>
          </w:tcPr>
          <w:p>
            <w:pPr>
              <w:pStyle w:val="TableParagraph"/>
              <w:spacing w:before="1"/>
              <w:ind w:left="107"/>
              <w:rPr>
                <w:rFonts w:ascii="宋体" w:eastAsia="宋体" w:hint="eastAsia"/>
                <w:sz w:val="21"/>
              </w:rPr>
            </w:pPr>
            <w:r>
              <w:rPr>
                <w:rFonts w:ascii="宋体" w:eastAsia="宋体" w:hint="eastAsia"/>
                <w:sz w:val="21"/>
              </w:rPr>
              <w:t>其他权益工具投资在持有期间的投资</w:t>
            </w:r>
          </w:p>
          <w:p>
            <w:pPr>
              <w:pStyle w:val="TableParagraph"/>
              <w:spacing w:line="252" w:lineRule="exact" w:before="2"/>
              <w:ind w:left="107"/>
              <w:rPr>
                <w:rFonts w:ascii="宋体" w:eastAsia="宋体" w:hint="eastAsia"/>
                <w:sz w:val="21"/>
              </w:rPr>
            </w:pPr>
            <w:r>
              <w:rPr>
                <w:rFonts w:ascii="宋体" w:eastAsia="宋体" w:hint="eastAsia"/>
                <w:sz w:val="21"/>
              </w:rPr>
              <w:t>收益</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before="144"/>
              <w:ind w:right="84"/>
              <w:jc w:val="right"/>
              <w:rPr>
                <w:sz w:val="21"/>
              </w:rPr>
            </w:pPr>
            <w:r>
              <w:rPr>
                <w:sz w:val="21"/>
              </w:rPr>
              <w:t>21,366,723.72</w:t>
            </w:r>
          </w:p>
        </w:tc>
        <w:tc>
          <w:tcPr>
            <w:tcW w:w="2497" w:type="dxa"/>
            <w:tcBorders>
              <w:top w:val="single" w:sz="4" w:space="0" w:color="000000"/>
              <w:left w:val="single" w:sz="4" w:space="0" w:color="000000"/>
              <w:bottom w:val="single" w:sz="4" w:space="0" w:color="000000"/>
            </w:tcBorders>
          </w:tcPr>
          <w:p>
            <w:pPr>
              <w:pStyle w:val="TableParagraph"/>
              <w:spacing w:before="144"/>
              <w:ind w:right="74"/>
              <w:jc w:val="right"/>
              <w:rPr>
                <w:sz w:val="21"/>
              </w:rPr>
            </w:pPr>
            <w:r>
              <w:rPr>
                <w:sz w:val="21"/>
              </w:rPr>
              <w:t>39,133,293.28</w:t>
            </w:r>
          </w:p>
        </w:tc>
      </w:tr>
      <w:tr>
        <w:trPr>
          <w:trHeight w:val="369" w:hRule="atLeast"/>
        </w:trPr>
        <w:tc>
          <w:tcPr>
            <w:tcW w:w="3771"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理财产品收益</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88,139,276.75</w:t>
            </w:r>
          </w:p>
        </w:tc>
        <w:tc>
          <w:tcPr>
            <w:tcW w:w="2497"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168,169,628.59</w:t>
            </w:r>
          </w:p>
        </w:tc>
      </w:tr>
      <w:tr>
        <w:trPr>
          <w:trHeight w:val="544" w:hRule="atLeast"/>
        </w:trPr>
        <w:tc>
          <w:tcPr>
            <w:tcW w:w="3771" w:type="dxa"/>
            <w:tcBorders>
              <w:top w:val="single" w:sz="4" w:space="0" w:color="000000"/>
              <w:bottom w:val="single" w:sz="4" w:space="0" w:color="000000"/>
              <w:right w:val="single" w:sz="4" w:space="0" w:color="000000"/>
            </w:tcBorders>
          </w:tcPr>
          <w:p>
            <w:pPr>
              <w:pStyle w:val="TableParagraph"/>
              <w:spacing w:before="1"/>
              <w:ind w:left="107"/>
              <w:rPr>
                <w:rFonts w:ascii="宋体" w:eastAsia="宋体" w:hint="eastAsia"/>
                <w:sz w:val="21"/>
              </w:rPr>
            </w:pPr>
            <w:r>
              <w:rPr>
                <w:rFonts w:ascii="宋体" w:eastAsia="宋体" w:hint="eastAsia"/>
                <w:sz w:val="21"/>
              </w:rPr>
              <w:t>处置以公允价值计量且其变动计入当</w:t>
            </w:r>
          </w:p>
          <w:p>
            <w:pPr>
              <w:pStyle w:val="TableParagraph"/>
              <w:spacing w:line="252" w:lineRule="exact" w:before="2"/>
              <w:ind w:left="107"/>
              <w:rPr>
                <w:rFonts w:ascii="宋体" w:eastAsia="宋体" w:hint="eastAsia"/>
                <w:sz w:val="21"/>
              </w:rPr>
            </w:pPr>
            <w:r>
              <w:rPr>
                <w:rFonts w:ascii="宋体" w:eastAsia="宋体" w:hint="eastAsia"/>
                <w:sz w:val="21"/>
              </w:rPr>
              <w:t>期损益的金融资产取得的投资收益</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before="144"/>
              <w:ind w:right="84"/>
              <w:jc w:val="right"/>
              <w:rPr>
                <w:sz w:val="21"/>
              </w:rPr>
            </w:pPr>
            <w:r>
              <w:rPr>
                <w:sz w:val="21"/>
              </w:rPr>
              <w:t>69,728,041.81</w:t>
            </w:r>
          </w:p>
        </w:tc>
        <w:tc>
          <w:tcPr>
            <w:tcW w:w="2497" w:type="dxa"/>
            <w:tcBorders>
              <w:top w:val="single" w:sz="4" w:space="0" w:color="000000"/>
              <w:left w:val="single" w:sz="4" w:space="0" w:color="000000"/>
              <w:bottom w:val="single" w:sz="4" w:space="0" w:color="000000"/>
            </w:tcBorders>
          </w:tcPr>
          <w:p>
            <w:pPr>
              <w:pStyle w:val="TableParagraph"/>
              <w:spacing w:before="144"/>
              <w:ind w:right="74"/>
              <w:jc w:val="right"/>
              <w:rPr>
                <w:sz w:val="21"/>
              </w:rPr>
            </w:pPr>
            <w:r>
              <w:rPr>
                <w:sz w:val="21"/>
              </w:rPr>
              <w:t>39,262,442.79</w:t>
            </w:r>
          </w:p>
        </w:tc>
      </w:tr>
      <w:tr>
        <w:trPr>
          <w:trHeight w:val="366" w:hRule="atLeast"/>
        </w:trPr>
        <w:tc>
          <w:tcPr>
            <w:tcW w:w="3771" w:type="dxa"/>
            <w:tcBorders>
              <w:top w:val="single" w:sz="4" w:space="0" w:color="000000"/>
              <w:right w:val="single" w:sz="4" w:space="0" w:color="000000"/>
            </w:tcBorders>
          </w:tcPr>
          <w:p>
            <w:pPr>
              <w:pStyle w:val="TableParagraph"/>
              <w:spacing w:before="49"/>
              <w:ind w:left="1653" w:right="1633"/>
              <w:jc w:val="center"/>
              <w:rPr>
                <w:rFonts w:ascii="宋体" w:eastAsia="宋体" w:hint="eastAsia"/>
                <w:sz w:val="21"/>
              </w:rPr>
            </w:pPr>
            <w:r>
              <w:rPr>
                <w:rFonts w:ascii="宋体" w:eastAsia="宋体" w:hint="eastAsia"/>
                <w:sz w:val="21"/>
              </w:rPr>
              <w:t>合计</w:t>
            </w:r>
          </w:p>
        </w:tc>
        <w:tc>
          <w:tcPr>
            <w:tcW w:w="2782" w:type="dxa"/>
            <w:tcBorders>
              <w:top w:val="single" w:sz="4" w:space="0" w:color="000000"/>
              <w:left w:val="single" w:sz="4" w:space="0" w:color="000000"/>
              <w:right w:val="single" w:sz="4" w:space="0" w:color="000000"/>
            </w:tcBorders>
          </w:tcPr>
          <w:p>
            <w:pPr>
              <w:pStyle w:val="TableParagraph"/>
              <w:spacing w:before="58"/>
              <w:ind w:right="84"/>
              <w:jc w:val="right"/>
              <w:rPr>
                <w:sz w:val="21"/>
              </w:rPr>
            </w:pPr>
            <w:r>
              <w:rPr>
                <w:sz w:val="21"/>
              </w:rPr>
              <w:t>4,060,104,212.78</w:t>
            </w:r>
          </w:p>
        </w:tc>
        <w:tc>
          <w:tcPr>
            <w:tcW w:w="2497" w:type="dxa"/>
            <w:tcBorders>
              <w:top w:val="single" w:sz="4" w:space="0" w:color="000000"/>
              <w:left w:val="single" w:sz="4" w:space="0" w:color="000000"/>
            </w:tcBorders>
          </w:tcPr>
          <w:p>
            <w:pPr>
              <w:pStyle w:val="TableParagraph"/>
              <w:spacing w:before="58"/>
              <w:ind w:right="74"/>
              <w:jc w:val="right"/>
              <w:rPr>
                <w:sz w:val="21"/>
              </w:rPr>
            </w:pPr>
            <w:r>
              <w:rPr>
                <w:sz w:val="21"/>
              </w:rPr>
              <w:t>5,479,539,484.34</w:t>
            </w:r>
          </w:p>
        </w:tc>
      </w:tr>
    </w:tbl>
    <w:p>
      <w:pPr>
        <w:pStyle w:val="BodyText"/>
        <w:spacing w:line="267" w:lineRule="exact" w:before="3"/>
        <w:ind w:left="1538"/>
      </w:pPr>
      <w:r>
        <w:rPr>
          <w:w w:val="100"/>
        </w:rPr>
        <w:t> </w:t>
      </w:r>
    </w:p>
    <w:p>
      <w:pPr>
        <w:pStyle w:val="Heading4"/>
        <w:spacing w:line="384" w:lineRule="exact"/>
      </w:pPr>
      <w:r>
        <w:rPr>
          <w:rFonts w:ascii="Times New Roman" w:hAnsi="Times New Roman" w:eastAsia="Times New Roman"/>
        </w:rPr>
        <w:t>57</w:t>
      </w:r>
      <w:r>
        <w:rPr/>
        <w:t>、 公允价值变动收益（损失以</w:t>
      </w:r>
      <w:r>
        <w:rPr>
          <w:rFonts w:ascii="Times New Roman" w:hAnsi="Times New Roman" w:eastAsia="Times New Roman"/>
        </w:rPr>
        <w:t>“</w:t>
      </w:r>
      <w:r>
        <w:rPr/>
        <w:t>－</w:t>
      </w:r>
      <w:r>
        <w:rPr>
          <w:rFonts w:ascii="Times New Roman" w:hAnsi="Times New Roman" w:eastAsia="Times New Roman"/>
        </w:rPr>
        <w:t>”</w:t>
      </w:r>
      <w:r>
        <w:rPr/>
        <w:t>号填列）</w:t>
      </w:r>
    </w:p>
    <w:p>
      <w:pPr>
        <w:pStyle w:val="BodyText"/>
        <w:spacing w:before="15" w:after="3"/>
        <w:ind w:left="1538"/>
      </w:pPr>
      <w:r>
        <w:rPr>
          <w:w w:val="100"/>
        </w:rPr>
        <w:t> </w:t>
      </w: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771"/>
        <w:gridCol w:w="2782"/>
        <w:gridCol w:w="2497"/>
      </w:tblGrid>
      <w:tr>
        <w:trPr>
          <w:trHeight w:val="369" w:hRule="atLeast"/>
        </w:trPr>
        <w:tc>
          <w:tcPr>
            <w:tcW w:w="3771" w:type="dxa"/>
            <w:tcBorders>
              <w:bottom w:val="single" w:sz="4" w:space="0" w:color="000000"/>
              <w:right w:val="single" w:sz="4" w:space="0" w:color="000000"/>
            </w:tcBorders>
          </w:tcPr>
          <w:p>
            <w:pPr>
              <w:pStyle w:val="TableParagraph"/>
              <w:spacing w:line="349" w:lineRule="exact"/>
              <w:ind w:left="1650" w:right="1635"/>
              <w:jc w:val="center"/>
              <w:rPr>
                <w:rFonts w:ascii="Microsoft JhengHei" w:eastAsia="Microsoft JhengHei" w:hint="eastAsia"/>
                <w:b/>
                <w:sz w:val="21"/>
              </w:rPr>
            </w:pPr>
            <w:r>
              <w:rPr>
                <w:rFonts w:ascii="Microsoft JhengHei" w:eastAsia="Microsoft JhengHei" w:hint="eastAsia"/>
                <w:b/>
                <w:sz w:val="21"/>
              </w:rPr>
              <w:t>项目</w:t>
            </w:r>
          </w:p>
        </w:tc>
        <w:tc>
          <w:tcPr>
            <w:tcW w:w="2782" w:type="dxa"/>
            <w:tcBorders>
              <w:left w:val="single" w:sz="4" w:space="0" w:color="000000"/>
              <w:bottom w:val="single" w:sz="4" w:space="0" w:color="000000"/>
              <w:right w:val="single" w:sz="4" w:space="0" w:color="000000"/>
            </w:tcBorders>
          </w:tcPr>
          <w:p>
            <w:pPr>
              <w:pStyle w:val="TableParagraph"/>
              <w:spacing w:line="349" w:lineRule="exact"/>
              <w:ind w:left="873"/>
              <w:rPr>
                <w:rFonts w:ascii="Microsoft JhengHei" w:eastAsia="Microsoft JhengHei" w:hint="eastAsia"/>
                <w:b/>
                <w:sz w:val="21"/>
              </w:rPr>
            </w:pPr>
            <w:r>
              <w:rPr>
                <w:rFonts w:ascii="Microsoft JhengHei" w:eastAsia="Microsoft JhengHei" w:hint="eastAsia"/>
                <w:b/>
                <w:sz w:val="21"/>
              </w:rPr>
              <w:t>本期发生额</w:t>
            </w:r>
          </w:p>
        </w:tc>
        <w:tc>
          <w:tcPr>
            <w:tcW w:w="2497" w:type="dxa"/>
            <w:tcBorders>
              <w:left w:val="single" w:sz="4" w:space="0" w:color="000000"/>
              <w:bottom w:val="single" w:sz="4" w:space="0" w:color="000000"/>
            </w:tcBorders>
          </w:tcPr>
          <w:p>
            <w:pPr>
              <w:pStyle w:val="TableParagraph"/>
              <w:spacing w:line="349" w:lineRule="exact"/>
              <w:ind w:left="729"/>
              <w:rPr>
                <w:rFonts w:ascii="Microsoft JhengHei" w:eastAsia="Microsoft JhengHei" w:hint="eastAsia"/>
                <w:b/>
                <w:sz w:val="21"/>
              </w:rPr>
            </w:pPr>
            <w:r>
              <w:rPr>
                <w:rFonts w:ascii="Microsoft JhengHei" w:eastAsia="Microsoft JhengHei" w:hint="eastAsia"/>
                <w:b/>
                <w:sz w:val="21"/>
              </w:rPr>
              <w:t>上期发生额</w:t>
            </w:r>
          </w:p>
        </w:tc>
      </w:tr>
      <w:tr>
        <w:trPr>
          <w:trHeight w:val="369" w:hRule="atLeast"/>
        </w:trPr>
        <w:tc>
          <w:tcPr>
            <w:tcW w:w="3771"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远期外汇买卖合约公允价值变动</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40,882,087.10</w:t>
            </w:r>
          </w:p>
        </w:tc>
        <w:tc>
          <w:tcPr>
            <w:tcW w:w="2497"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72,176,324.08</w:t>
            </w:r>
          </w:p>
        </w:tc>
      </w:tr>
      <w:tr>
        <w:trPr>
          <w:trHeight w:val="369" w:hRule="atLeast"/>
        </w:trPr>
        <w:tc>
          <w:tcPr>
            <w:tcW w:w="3771"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理财产品公允价值变动</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4,019,028.18</w:t>
            </w:r>
          </w:p>
        </w:tc>
        <w:tc>
          <w:tcPr>
            <w:tcW w:w="2497"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19,675,848.00</w:t>
            </w:r>
          </w:p>
        </w:tc>
      </w:tr>
      <w:tr>
        <w:trPr>
          <w:trHeight w:val="369" w:hRule="atLeast"/>
        </w:trPr>
        <w:tc>
          <w:tcPr>
            <w:tcW w:w="3771"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投资基金公允价值变动</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8,351,206.56</w:t>
            </w:r>
          </w:p>
        </w:tc>
        <w:tc>
          <w:tcPr>
            <w:tcW w:w="2497"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3771"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其他</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before="55"/>
              <w:ind w:right="84"/>
              <w:jc w:val="right"/>
              <w:rPr>
                <w:sz w:val="21"/>
              </w:rPr>
            </w:pPr>
            <w:r>
              <w:rPr>
                <w:sz w:val="21"/>
              </w:rPr>
              <w:t>9,377,425.96</w:t>
            </w:r>
          </w:p>
        </w:tc>
        <w:tc>
          <w:tcPr>
            <w:tcW w:w="2497" w:type="dxa"/>
            <w:tcBorders>
              <w:top w:val="single" w:sz="4" w:space="0" w:color="000000"/>
              <w:left w:val="single" w:sz="4" w:space="0" w:color="000000"/>
              <w:bottom w:val="single" w:sz="4" w:space="0" w:color="000000"/>
            </w:tcBorders>
          </w:tcPr>
          <w:p>
            <w:pPr>
              <w:pStyle w:val="TableParagraph"/>
              <w:spacing w:before="55"/>
              <w:ind w:right="74"/>
              <w:jc w:val="right"/>
              <w:rPr>
                <w:sz w:val="21"/>
              </w:rPr>
            </w:pPr>
            <w:r>
              <w:rPr>
                <w:sz w:val="21"/>
              </w:rPr>
              <w:t>-15,135,204.55</w:t>
            </w:r>
          </w:p>
        </w:tc>
      </w:tr>
      <w:tr>
        <w:trPr>
          <w:trHeight w:val="366" w:hRule="atLeast"/>
        </w:trPr>
        <w:tc>
          <w:tcPr>
            <w:tcW w:w="3771" w:type="dxa"/>
            <w:tcBorders>
              <w:top w:val="single" w:sz="4" w:space="0" w:color="000000"/>
              <w:right w:val="single" w:sz="4" w:space="0" w:color="000000"/>
            </w:tcBorders>
          </w:tcPr>
          <w:p>
            <w:pPr>
              <w:pStyle w:val="TableParagraph"/>
              <w:spacing w:before="49"/>
              <w:ind w:left="1653" w:right="1633"/>
              <w:jc w:val="center"/>
              <w:rPr>
                <w:rFonts w:ascii="宋体" w:eastAsia="宋体" w:hint="eastAsia"/>
                <w:sz w:val="21"/>
              </w:rPr>
            </w:pPr>
            <w:r>
              <w:rPr>
                <w:rFonts w:ascii="宋体" w:eastAsia="宋体" w:hint="eastAsia"/>
                <w:sz w:val="21"/>
              </w:rPr>
              <w:t>合计</w:t>
            </w:r>
          </w:p>
        </w:tc>
        <w:tc>
          <w:tcPr>
            <w:tcW w:w="2782" w:type="dxa"/>
            <w:tcBorders>
              <w:top w:val="single" w:sz="4" w:space="0" w:color="000000"/>
              <w:left w:val="single" w:sz="4" w:space="0" w:color="000000"/>
              <w:right w:val="single" w:sz="4" w:space="0" w:color="000000"/>
            </w:tcBorders>
          </w:tcPr>
          <w:p>
            <w:pPr>
              <w:pStyle w:val="TableParagraph"/>
              <w:spacing w:before="55"/>
              <w:ind w:right="84"/>
              <w:jc w:val="right"/>
              <w:rPr>
                <w:sz w:val="21"/>
              </w:rPr>
            </w:pPr>
            <w:r>
              <w:rPr>
                <w:sz w:val="21"/>
              </w:rPr>
              <w:t>62,629,747.80</w:t>
            </w:r>
          </w:p>
        </w:tc>
        <w:tc>
          <w:tcPr>
            <w:tcW w:w="2497" w:type="dxa"/>
            <w:tcBorders>
              <w:top w:val="single" w:sz="4" w:space="0" w:color="000000"/>
              <w:left w:val="single" w:sz="4" w:space="0" w:color="000000"/>
            </w:tcBorders>
          </w:tcPr>
          <w:p>
            <w:pPr>
              <w:pStyle w:val="TableParagraph"/>
              <w:spacing w:before="55"/>
              <w:ind w:right="74"/>
              <w:jc w:val="right"/>
              <w:rPr>
                <w:sz w:val="21"/>
              </w:rPr>
            </w:pPr>
            <w:r>
              <w:rPr>
                <w:sz w:val="21"/>
              </w:rPr>
              <w:t>76,716,967.53</w:t>
            </w:r>
          </w:p>
        </w:tc>
      </w:tr>
    </w:tbl>
    <w:p>
      <w:pPr>
        <w:pStyle w:val="BodyText"/>
        <w:spacing w:line="267" w:lineRule="exact" w:before="3"/>
        <w:ind w:left="1538"/>
      </w:pPr>
      <w:r>
        <w:rPr>
          <w:w w:val="100"/>
        </w:rPr>
        <w:t> </w:t>
      </w:r>
    </w:p>
    <w:p>
      <w:pPr>
        <w:pStyle w:val="Heading4"/>
        <w:spacing w:line="384" w:lineRule="exact"/>
      </w:pPr>
      <w:r>
        <w:rPr>
          <w:rFonts w:ascii="Times New Roman" w:hAnsi="Times New Roman" w:eastAsia="Times New Roman"/>
        </w:rPr>
        <w:t>58</w:t>
      </w:r>
      <w:r>
        <w:rPr>
          <w:spacing w:val="4"/>
        </w:rPr>
        <w:t>、 信用减值损失</w:t>
      </w:r>
      <w:r>
        <w:rPr/>
        <w:t>（</w:t>
      </w:r>
      <w:r>
        <w:rPr>
          <w:spacing w:val="-2"/>
        </w:rPr>
        <w:t>损失以</w:t>
      </w:r>
      <w:r>
        <w:rPr>
          <w:rFonts w:ascii="Times New Roman" w:hAnsi="Times New Roman" w:eastAsia="Times New Roman"/>
        </w:rPr>
        <w:t>“</w:t>
      </w:r>
      <w:r>
        <w:rPr/>
        <w:t>－</w:t>
      </w:r>
      <w:r>
        <w:rPr>
          <w:rFonts w:ascii="Times New Roman" w:hAnsi="Times New Roman" w:eastAsia="Times New Roman"/>
        </w:rPr>
        <w:t>”</w:t>
      </w:r>
      <w:r>
        <w:rPr/>
        <w:t>号填列）</w:t>
      </w:r>
    </w:p>
    <w:p>
      <w:pPr>
        <w:pStyle w:val="BodyText"/>
        <w:spacing w:before="15"/>
        <w:ind w:left="1538"/>
      </w:pPr>
      <w:r>
        <w:rPr>
          <w:w w:val="100"/>
        </w:rPr>
        <w:t> </w:t>
      </w:r>
    </w:p>
    <w:tbl>
      <w:tblPr>
        <w:tblW w:w="0" w:type="auto"/>
        <w:jc w:val="left"/>
        <w:tblInd w:w="15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627"/>
        <w:gridCol w:w="2811"/>
        <w:gridCol w:w="2384"/>
      </w:tblGrid>
      <w:tr>
        <w:trPr>
          <w:trHeight w:val="371" w:hRule="atLeast"/>
        </w:trPr>
        <w:tc>
          <w:tcPr>
            <w:tcW w:w="3627" w:type="dxa"/>
            <w:tcBorders>
              <w:bottom w:val="single" w:sz="4" w:space="0" w:color="000000"/>
              <w:right w:val="single" w:sz="4" w:space="0" w:color="000000"/>
            </w:tcBorders>
          </w:tcPr>
          <w:p>
            <w:pPr>
              <w:pStyle w:val="TableParagraph"/>
              <w:spacing w:line="351" w:lineRule="exact"/>
              <w:ind w:right="1582"/>
              <w:jc w:val="right"/>
              <w:rPr>
                <w:rFonts w:ascii="Microsoft JhengHei" w:eastAsia="Microsoft JhengHei" w:hint="eastAsia"/>
                <w:b/>
                <w:sz w:val="21"/>
              </w:rPr>
            </w:pPr>
            <w:r>
              <w:rPr>
                <w:rFonts w:ascii="Microsoft JhengHei" w:eastAsia="Microsoft JhengHei" w:hint="eastAsia"/>
                <w:b/>
                <w:sz w:val="21"/>
              </w:rPr>
              <w:t>项目</w:t>
            </w:r>
          </w:p>
        </w:tc>
        <w:tc>
          <w:tcPr>
            <w:tcW w:w="2811" w:type="dxa"/>
            <w:tcBorders>
              <w:left w:val="single" w:sz="4" w:space="0" w:color="000000"/>
              <w:bottom w:val="single" w:sz="4" w:space="0" w:color="000000"/>
              <w:right w:val="single" w:sz="4" w:space="0" w:color="000000"/>
            </w:tcBorders>
          </w:tcPr>
          <w:p>
            <w:pPr>
              <w:pStyle w:val="TableParagraph"/>
              <w:spacing w:line="351" w:lineRule="exact"/>
              <w:ind w:left="888"/>
              <w:rPr>
                <w:rFonts w:ascii="Microsoft JhengHei" w:eastAsia="Microsoft JhengHei" w:hint="eastAsia"/>
                <w:b/>
                <w:sz w:val="21"/>
              </w:rPr>
            </w:pPr>
            <w:r>
              <w:rPr>
                <w:rFonts w:ascii="Microsoft JhengHei" w:eastAsia="Microsoft JhengHei" w:hint="eastAsia"/>
                <w:b/>
                <w:sz w:val="21"/>
              </w:rPr>
              <w:t>本期发生额</w:t>
            </w:r>
          </w:p>
        </w:tc>
        <w:tc>
          <w:tcPr>
            <w:tcW w:w="2384" w:type="dxa"/>
            <w:tcBorders>
              <w:left w:val="single" w:sz="4" w:space="0" w:color="000000"/>
              <w:bottom w:val="single" w:sz="4" w:space="0" w:color="000000"/>
            </w:tcBorders>
          </w:tcPr>
          <w:p>
            <w:pPr>
              <w:pStyle w:val="TableParagraph"/>
              <w:spacing w:line="351" w:lineRule="exact"/>
              <w:ind w:left="672"/>
              <w:rPr>
                <w:rFonts w:ascii="Microsoft JhengHei" w:eastAsia="Microsoft JhengHei" w:hint="eastAsia"/>
                <w:b/>
                <w:sz w:val="21"/>
              </w:rPr>
            </w:pPr>
            <w:r>
              <w:rPr>
                <w:rFonts w:ascii="Microsoft JhengHei" w:eastAsia="Microsoft JhengHei" w:hint="eastAsia"/>
                <w:b/>
                <w:sz w:val="21"/>
              </w:rPr>
              <w:t>上期发生额</w:t>
            </w:r>
          </w:p>
        </w:tc>
      </w:tr>
      <w:tr>
        <w:trPr>
          <w:trHeight w:val="369" w:hRule="atLeast"/>
        </w:trPr>
        <w:tc>
          <w:tcPr>
            <w:tcW w:w="3627"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应收款项坏账损失</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before="56"/>
              <w:ind w:right="84"/>
              <w:jc w:val="right"/>
              <w:rPr>
                <w:sz w:val="21"/>
              </w:rPr>
            </w:pPr>
            <w:r>
              <w:rPr>
                <w:sz w:val="21"/>
              </w:rPr>
              <w:t>-170,080,605.76</w:t>
            </w:r>
          </w:p>
        </w:tc>
        <w:tc>
          <w:tcPr>
            <w:tcW w:w="2384" w:type="dxa"/>
            <w:tcBorders>
              <w:top w:val="single" w:sz="4" w:space="0" w:color="000000"/>
              <w:left w:val="single" w:sz="4" w:space="0" w:color="000000"/>
              <w:bottom w:val="single" w:sz="4" w:space="0" w:color="000000"/>
            </w:tcBorders>
          </w:tcPr>
          <w:p>
            <w:pPr>
              <w:pStyle w:val="TableParagraph"/>
              <w:spacing w:before="56"/>
              <w:ind w:right="77"/>
              <w:jc w:val="right"/>
              <w:rPr>
                <w:sz w:val="21"/>
              </w:rPr>
            </w:pPr>
            <w:r>
              <w:rPr>
                <w:sz w:val="21"/>
              </w:rPr>
              <w:t>-131,659,422.73</w:t>
            </w:r>
          </w:p>
        </w:tc>
      </w:tr>
      <w:tr>
        <w:trPr>
          <w:trHeight w:val="369" w:hRule="atLeast"/>
        </w:trPr>
        <w:tc>
          <w:tcPr>
            <w:tcW w:w="3627"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合同资产减值损失</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384" w:type="dxa"/>
            <w:tcBorders>
              <w:top w:val="single" w:sz="4" w:space="0" w:color="000000"/>
              <w:left w:val="single" w:sz="4" w:space="0" w:color="000000"/>
              <w:bottom w:val="single" w:sz="4" w:space="0" w:color="000000"/>
            </w:tcBorders>
          </w:tcPr>
          <w:p>
            <w:pPr>
              <w:pStyle w:val="TableParagraph"/>
              <w:spacing w:before="55"/>
              <w:ind w:right="77"/>
              <w:jc w:val="right"/>
              <w:rPr>
                <w:sz w:val="21"/>
              </w:rPr>
            </w:pPr>
            <w:r>
              <w:rPr>
                <w:sz w:val="21"/>
              </w:rPr>
              <w:t>-3,654,196.27</w:t>
            </w:r>
          </w:p>
        </w:tc>
      </w:tr>
      <w:tr>
        <w:trPr>
          <w:trHeight w:val="366" w:hRule="atLeast"/>
        </w:trPr>
        <w:tc>
          <w:tcPr>
            <w:tcW w:w="3627"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应收票据减值损失</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before="55"/>
              <w:ind w:right="84"/>
              <w:jc w:val="right"/>
              <w:rPr>
                <w:sz w:val="21"/>
              </w:rPr>
            </w:pPr>
            <w:r>
              <w:rPr>
                <w:sz w:val="21"/>
              </w:rPr>
              <w:t>3,700,000.00</w:t>
            </w:r>
          </w:p>
        </w:tc>
        <w:tc>
          <w:tcPr>
            <w:tcW w:w="2384" w:type="dxa"/>
            <w:tcBorders>
              <w:top w:val="single" w:sz="4" w:space="0" w:color="000000"/>
              <w:left w:val="single" w:sz="4" w:space="0" w:color="000000"/>
              <w:bottom w:val="single" w:sz="4" w:space="0" w:color="000000"/>
            </w:tcBorders>
          </w:tcPr>
          <w:p>
            <w:pPr>
              <w:pStyle w:val="TableParagraph"/>
              <w:spacing w:before="55"/>
              <w:ind w:right="77"/>
              <w:jc w:val="right"/>
              <w:rPr>
                <w:sz w:val="21"/>
              </w:rPr>
            </w:pPr>
            <w:r>
              <w:rPr>
                <w:sz w:val="21"/>
              </w:rPr>
              <w:t>-15,056,696.60</w:t>
            </w:r>
          </w:p>
        </w:tc>
      </w:tr>
      <w:tr>
        <w:trPr>
          <w:trHeight w:val="368" w:hRule="atLeast"/>
        </w:trPr>
        <w:tc>
          <w:tcPr>
            <w:tcW w:w="3627" w:type="dxa"/>
            <w:tcBorders>
              <w:top w:val="single" w:sz="4" w:space="0" w:color="000000"/>
              <w:right w:val="single" w:sz="4" w:space="0" w:color="000000"/>
            </w:tcBorders>
          </w:tcPr>
          <w:p>
            <w:pPr>
              <w:pStyle w:val="TableParagraph"/>
              <w:spacing w:before="51"/>
              <w:ind w:right="1580"/>
              <w:jc w:val="right"/>
              <w:rPr>
                <w:rFonts w:ascii="宋体" w:eastAsia="宋体" w:hint="eastAsia"/>
                <w:sz w:val="21"/>
              </w:rPr>
            </w:pPr>
            <w:r>
              <w:rPr>
                <w:rFonts w:ascii="宋体" w:eastAsia="宋体" w:hint="eastAsia"/>
                <w:sz w:val="21"/>
              </w:rPr>
              <w:t>合计</w:t>
            </w:r>
          </w:p>
        </w:tc>
        <w:tc>
          <w:tcPr>
            <w:tcW w:w="2811" w:type="dxa"/>
            <w:tcBorders>
              <w:top w:val="single" w:sz="4" w:space="0" w:color="000000"/>
              <w:left w:val="single" w:sz="4" w:space="0" w:color="000000"/>
              <w:right w:val="single" w:sz="4" w:space="0" w:color="000000"/>
            </w:tcBorders>
          </w:tcPr>
          <w:p>
            <w:pPr>
              <w:pStyle w:val="TableParagraph"/>
              <w:spacing w:before="58"/>
              <w:ind w:right="84"/>
              <w:jc w:val="right"/>
              <w:rPr>
                <w:sz w:val="21"/>
              </w:rPr>
            </w:pPr>
            <w:r>
              <w:rPr>
                <w:sz w:val="21"/>
              </w:rPr>
              <w:t>-166,380,605.76</w:t>
            </w:r>
          </w:p>
        </w:tc>
        <w:tc>
          <w:tcPr>
            <w:tcW w:w="2384" w:type="dxa"/>
            <w:tcBorders>
              <w:top w:val="single" w:sz="4" w:space="0" w:color="000000"/>
              <w:left w:val="single" w:sz="4" w:space="0" w:color="000000"/>
            </w:tcBorders>
          </w:tcPr>
          <w:p>
            <w:pPr>
              <w:pStyle w:val="TableParagraph"/>
              <w:spacing w:before="58"/>
              <w:ind w:right="77"/>
              <w:jc w:val="right"/>
              <w:rPr>
                <w:sz w:val="21"/>
              </w:rPr>
            </w:pPr>
            <w:r>
              <w:rPr>
                <w:sz w:val="21"/>
              </w:rPr>
              <w:t>-150,370,315.60</w:t>
            </w:r>
          </w:p>
        </w:tc>
      </w:tr>
    </w:tbl>
    <w:p>
      <w:pPr>
        <w:pStyle w:val="BodyText"/>
        <w:spacing w:line="265" w:lineRule="exact" w:before="3"/>
        <w:ind w:left="1538"/>
      </w:pPr>
      <w:r>
        <w:rPr>
          <w:w w:val="100"/>
        </w:rPr>
        <w:t> </w:t>
      </w:r>
    </w:p>
    <w:p>
      <w:pPr>
        <w:pStyle w:val="Heading4"/>
        <w:spacing w:line="383" w:lineRule="exact"/>
      </w:pPr>
      <w:r>
        <w:rPr>
          <w:rFonts w:ascii="Times New Roman" w:hAnsi="Times New Roman" w:eastAsia="Times New Roman"/>
        </w:rPr>
        <w:t>59</w:t>
      </w:r>
      <w:r>
        <w:rPr>
          <w:spacing w:val="4"/>
        </w:rPr>
        <w:t>、 资产减值损失</w:t>
      </w:r>
      <w:r>
        <w:rPr/>
        <w:t>（</w:t>
      </w:r>
      <w:r>
        <w:rPr>
          <w:spacing w:val="-2"/>
        </w:rPr>
        <w:t>损失以</w:t>
      </w:r>
      <w:r>
        <w:rPr>
          <w:rFonts w:ascii="Times New Roman" w:hAnsi="Times New Roman" w:eastAsia="Times New Roman"/>
        </w:rPr>
        <w:t>“</w:t>
      </w:r>
      <w:r>
        <w:rPr/>
        <w:t>－</w:t>
      </w:r>
      <w:r>
        <w:rPr>
          <w:rFonts w:ascii="Times New Roman" w:hAnsi="Times New Roman" w:eastAsia="Times New Roman"/>
        </w:rPr>
        <w:t>”</w:t>
      </w:r>
      <w:r>
        <w:rPr/>
        <w:t>号填列）</w:t>
      </w:r>
    </w:p>
    <w:p>
      <w:pPr>
        <w:pStyle w:val="BodyText"/>
        <w:spacing w:before="17"/>
        <w:ind w:left="1538"/>
      </w:pPr>
      <w:r>
        <w:rPr>
          <w:w w:val="100"/>
        </w:rPr>
        <w:t> </w:t>
      </w:r>
    </w:p>
    <w:tbl>
      <w:tblPr>
        <w:tblW w:w="0" w:type="auto"/>
        <w:jc w:val="left"/>
        <w:tblInd w:w="15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627"/>
        <w:gridCol w:w="2811"/>
        <w:gridCol w:w="2384"/>
      </w:tblGrid>
      <w:tr>
        <w:trPr>
          <w:trHeight w:val="368" w:hRule="atLeast"/>
        </w:trPr>
        <w:tc>
          <w:tcPr>
            <w:tcW w:w="3627" w:type="dxa"/>
            <w:tcBorders>
              <w:right w:val="single" w:sz="4" w:space="0" w:color="000000"/>
            </w:tcBorders>
          </w:tcPr>
          <w:p>
            <w:pPr>
              <w:pStyle w:val="TableParagraph"/>
              <w:spacing w:line="348" w:lineRule="exact"/>
              <w:ind w:left="1578" w:right="1563"/>
              <w:jc w:val="center"/>
              <w:rPr>
                <w:rFonts w:ascii="Microsoft JhengHei" w:eastAsia="Microsoft JhengHei" w:hint="eastAsia"/>
                <w:b/>
                <w:sz w:val="21"/>
              </w:rPr>
            </w:pPr>
            <w:r>
              <w:rPr>
                <w:rFonts w:ascii="Microsoft JhengHei" w:eastAsia="Microsoft JhengHei" w:hint="eastAsia"/>
                <w:b/>
                <w:sz w:val="21"/>
              </w:rPr>
              <w:t>项目</w:t>
            </w:r>
          </w:p>
        </w:tc>
        <w:tc>
          <w:tcPr>
            <w:tcW w:w="2811" w:type="dxa"/>
            <w:tcBorders>
              <w:left w:val="single" w:sz="4" w:space="0" w:color="000000"/>
              <w:right w:val="single" w:sz="4" w:space="0" w:color="000000"/>
            </w:tcBorders>
          </w:tcPr>
          <w:p>
            <w:pPr>
              <w:pStyle w:val="TableParagraph"/>
              <w:spacing w:line="348" w:lineRule="exact"/>
              <w:ind w:left="888"/>
              <w:rPr>
                <w:rFonts w:ascii="Microsoft JhengHei" w:eastAsia="Microsoft JhengHei" w:hint="eastAsia"/>
                <w:b/>
                <w:sz w:val="21"/>
              </w:rPr>
            </w:pPr>
            <w:r>
              <w:rPr>
                <w:rFonts w:ascii="Microsoft JhengHei" w:eastAsia="Microsoft JhengHei" w:hint="eastAsia"/>
                <w:b/>
                <w:sz w:val="21"/>
              </w:rPr>
              <w:t>本期发生额</w:t>
            </w:r>
          </w:p>
        </w:tc>
        <w:tc>
          <w:tcPr>
            <w:tcW w:w="2384" w:type="dxa"/>
            <w:tcBorders>
              <w:left w:val="single" w:sz="4" w:space="0" w:color="000000"/>
            </w:tcBorders>
          </w:tcPr>
          <w:p>
            <w:pPr>
              <w:pStyle w:val="TableParagraph"/>
              <w:spacing w:line="348" w:lineRule="exact"/>
              <w:ind w:left="672"/>
              <w:rPr>
                <w:rFonts w:ascii="Microsoft JhengHei" w:eastAsia="Microsoft JhengHei" w:hint="eastAsia"/>
                <w:b/>
                <w:sz w:val="21"/>
              </w:rPr>
            </w:pPr>
            <w:r>
              <w:rPr>
                <w:rFonts w:ascii="Microsoft JhengHei" w:eastAsia="Microsoft JhengHei" w:hint="eastAsia"/>
                <w:b/>
                <w:sz w:val="21"/>
              </w:rPr>
              <w:t>上期发生额</w:t>
            </w:r>
          </w:p>
        </w:tc>
      </w:tr>
    </w:tbl>
    <w:p>
      <w:pPr>
        <w:spacing w:after="0" w:line="348" w:lineRule="exact"/>
        <w:rPr>
          <w:rFonts w:ascii="Microsoft JhengHei" w:eastAsia="Microsoft JhengHei" w:hint="eastAsia"/>
          <w:sz w:val="21"/>
        </w:rPr>
        <w:sectPr>
          <w:headerReference w:type="default" r:id="rId115"/>
          <w:footerReference w:type="default" r:id="rId116"/>
          <w:pgSz w:w="11910" w:h="16840"/>
          <w:pgMar w:header="876" w:footer="1203" w:top="1440" w:bottom="1400" w:left="260" w:right="0"/>
          <w:pgNumType w:start="1"/>
        </w:sectPr>
      </w:pPr>
    </w:p>
    <w:p>
      <w:pPr>
        <w:pStyle w:val="BodyText"/>
        <w:spacing w:before="2"/>
        <w:rPr>
          <w:sz w:val="5"/>
        </w:rPr>
      </w:pPr>
    </w:p>
    <w:tbl>
      <w:tblPr>
        <w:tblW w:w="0" w:type="auto"/>
        <w:jc w:val="left"/>
        <w:tblInd w:w="15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627"/>
        <w:gridCol w:w="2811"/>
        <w:gridCol w:w="2384"/>
      </w:tblGrid>
      <w:tr>
        <w:trPr>
          <w:trHeight w:val="371" w:hRule="atLeast"/>
        </w:trPr>
        <w:tc>
          <w:tcPr>
            <w:tcW w:w="3627" w:type="dxa"/>
            <w:tcBorders>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存货跌价损失</w:t>
            </w:r>
          </w:p>
        </w:tc>
        <w:tc>
          <w:tcPr>
            <w:tcW w:w="2811" w:type="dxa"/>
            <w:tcBorders>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-1,014,527,325.32</w:t>
            </w:r>
          </w:p>
        </w:tc>
        <w:tc>
          <w:tcPr>
            <w:tcW w:w="2384" w:type="dxa"/>
            <w:tcBorders>
              <w:left w:val="single" w:sz="4" w:space="0" w:color="000000"/>
              <w:bottom w:val="single" w:sz="4" w:space="0" w:color="000000"/>
            </w:tcBorders>
          </w:tcPr>
          <w:p>
            <w:pPr>
              <w:pStyle w:val="TableParagraph"/>
              <w:spacing w:before="58"/>
              <w:ind w:right="77"/>
              <w:jc w:val="right"/>
              <w:rPr>
                <w:sz w:val="21"/>
              </w:rPr>
            </w:pPr>
            <w:r>
              <w:rPr>
                <w:sz w:val="21"/>
              </w:rPr>
              <w:t>-576,400,805.50</w:t>
            </w:r>
          </w:p>
        </w:tc>
      </w:tr>
      <w:tr>
        <w:trPr>
          <w:trHeight w:val="369" w:hRule="atLeast"/>
        </w:trPr>
        <w:tc>
          <w:tcPr>
            <w:tcW w:w="3627"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其他流动资产减值损失</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before="55"/>
              <w:ind w:right="84"/>
              <w:jc w:val="right"/>
              <w:rPr>
                <w:sz w:val="21"/>
              </w:rPr>
            </w:pPr>
            <w:r>
              <w:rPr>
                <w:sz w:val="21"/>
              </w:rPr>
              <w:t>-230,024,566.63</w:t>
            </w:r>
          </w:p>
        </w:tc>
        <w:tc>
          <w:tcPr>
            <w:tcW w:w="2384" w:type="dxa"/>
            <w:tcBorders>
              <w:top w:val="single" w:sz="4" w:space="0" w:color="000000"/>
              <w:left w:val="single" w:sz="4" w:space="0" w:color="000000"/>
              <w:bottom w:val="single" w:sz="4" w:space="0" w:color="000000"/>
            </w:tcBorders>
          </w:tcPr>
          <w:p>
            <w:pPr>
              <w:pStyle w:val="TableParagraph"/>
              <w:spacing w:before="55"/>
              <w:ind w:right="77"/>
              <w:jc w:val="right"/>
              <w:rPr>
                <w:sz w:val="21"/>
              </w:rPr>
            </w:pPr>
            <w:r>
              <w:rPr>
                <w:sz w:val="21"/>
              </w:rPr>
              <w:t>-218,016,000.43</w:t>
            </w:r>
          </w:p>
        </w:tc>
      </w:tr>
      <w:tr>
        <w:trPr>
          <w:trHeight w:val="366" w:hRule="atLeast"/>
        </w:trPr>
        <w:tc>
          <w:tcPr>
            <w:tcW w:w="3627"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固定资产减值损失</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before="55"/>
              <w:ind w:right="86"/>
              <w:jc w:val="right"/>
              <w:rPr>
                <w:sz w:val="21"/>
              </w:rPr>
            </w:pPr>
            <w:r>
              <w:rPr>
                <w:sz w:val="21"/>
              </w:rPr>
              <w:t>-413,079.67</w:t>
            </w:r>
          </w:p>
        </w:tc>
        <w:tc>
          <w:tcPr>
            <w:tcW w:w="2384" w:type="dxa"/>
            <w:tcBorders>
              <w:top w:val="single" w:sz="4" w:space="0" w:color="000000"/>
              <w:left w:val="single" w:sz="4" w:space="0" w:color="000000"/>
              <w:bottom w:val="single" w:sz="4" w:space="0" w:color="000000"/>
            </w:tcBorders>
          </w:tcPr>
          <w:p>
            <w:pPr>
              <w:pStyle w:val="TableParagraph"/>
              <w:spacing w:before="55"/>
              <w:ind w:right="77"/>
              <w:jc w:val="right"/>
              <w:rPr>
                <w:sz w:val="21"/>
              </w:rPr>
            </w:pPr>
            <w:r>
              <w:rPr>
                <w:sz w:val="21"/>
              </w:rPr>
              <w:t>-1,328,135.45</w:t>
            </w:r>
          </w:p>
        </w:tc>
      </w:tr>
      <w:tr>
        <w:trPr>
          <w:trHeight w:val="369" w:hRule="atLeast"/>
        </w:trPr>
        <w:tc>
          <w:tcPr>
            <w:tcW w:w="3627"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无形资产减值损失</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-46,077,744.47</w:t>
            </w:r>
          </w:p>
        </w:tc>
        <w:tc>
          <w:tcPr>
            <w:tcW w:w="2384"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3627"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在建工程减值损失</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before="58"/>
              <w:ind w:right="86"/>
              <w:jc w:val="right"/>
              <w:rPr>
                <w:sz w:val="21"/>
              </w:rPr>
            </w:pPr>
            <w:r>
              <w:rPr>
                <w:sz w:val="21"/>
              </w:rPr>
              <w:t>-837,735.85</w:t>
            </w:r>
          </w:p>
        </w:tc>
        <w:tc>
          <w:tcPr>
            <w:tcW w:w="2384" w:type="dxa"/>
            <w:tcBorders>
              <w:top w:val="single" w:sz="4" w:space="0" w:color="000000"/>
              <w:left w:val="single" w:sz="4" w:space="0" w:color="000000"/>
              <w:bottom w:val="single" w:sz="4" w:space="0" w:color="000000"/>
            </w:tcBorders>
          </w:tcPr>
          <w:p>
            <w:pPr>
              <w:pStyle w:val="TableParagraph"/>
              <w:spacing w:before="58"/>
              <w:ind w:right="77"/>
              <w:jc w:val="right"/>
              <w:rPr>
                <w:sz w:val="21"/>
              </w:rPr>
            </w:pPr>
            <w:r>
              <w:rPr>
                <w:sz w:val="21"/>
              </w:rPr>
              <w:t>-9,619,271.50</w:t>
            </w:r>
          </w:p>
        </w:tc>
      </w:tr>
      <w:tr>
        <w:trPr>
          <w:trHeight w:val="369" w:hRule="atLeast"/>
        </w:trPr>
        <w:tc>
          <w:tcPr>
            <w:tcW w:w="3627"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长期股权投资减值损失</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-43,750,000.00</w:t>
            </w:r>
          </w:p>
        </w:tc>
        <w:tc>
          <w:tcPr>
            <w:tcW w:w="2384" w:type="dxa"/>
            <w:tcBorders>
              <w:top w:val="single" w:sz="4" w:space="0" w:color="000000"/>
              <w:left w:val="single" w:sz="4" w:space="0" w:color="000000"/>
              <w:bottom w:val="single" w:sz="4" w:space="0" w:color="000000"/>
            </w:tcBorders>
          </w:tcPr>
          <w:p>
            <w:pPr>
              <w:pStyle w:val="TableParagraph"/>
              <w:spacing w:before="58"/>
              <w:ind w:right="77"/>
              <w:jc w:val="right"/>
              <w:rPr>
                <w:sz w:val="21"/>
              </w:rPr>
            </w:pPr>
            <w:r>
              <w:rPr>
                <w:sz w:val="21"/>
              </w:rPr>
              <w:t>-55,214,487.73</w:t>
            </w:r>
          </w:p>
        </w:tc>
      </w:tr>
      <w:tr>
        <w:trPr>
          <w:trHeight w:val="368" w:hRule="atLeast"/>
        </w:trPr>
        <w:tc>
          <w:tcPr>
            <w:tcW w:w="3627" w:type="dxa"/>
            <w:tcBorders>
              <w:top w:val="single" w:sz="4" w:space="0" w:color="000000"/>
              <w:right w:val="single" w:sz="4" w:space="0" w:color="000000"/>
            </w:tcBorders>
          </w:tcPr>
          <w:p>
            <w:pPr>
              <w:pStyle w:val="TableParagraph"/>
              <w:spacing w:before="51"/>
              <w:ind w:left="1581" w:right="1561"/>
              <w:jc w:val="center"/>
              <w:rPr>
                <w:rFonts w:ascii="宋体" w:eastAsia="宋体" w:hint="eastAsia"/>
                <w:sz w:val="21"/>
              </w:rPr>
            </w:pPr>
            <w:r>
              <w:rPr>
                <w:rFonts w:ascii="宋体" w:eastAsia="宋体" w:hint="eastAsia"/>
                <w:sz w:val="21"/>
              </w:rPr>
              <w:t>合计</w:t>
            </w:r>
          </w:p>
        </w:tc>
        <w:tc>
          <w:tcPr>
            <w:tcW w:w="2811" w:type="dxa"/>
            <w:tcBorders>
              <w:top w:val="single" w:sz="4" w:space="0" w:color="000000"/>
              <w:left w:val="single" w:sz="4" w:space="0" w:color="000000"/>
              <w:right w:val="single" w:sz="4" w:space="0" w:color="000000"/>
            </w:tcBorders>
          </w:tcPr>
          <w:p>
            <w:pPr>
              <w:pStyle w:val="TableParagraph"/>
              <w:spacing w:before="58"/>
              <w:ind w:right="84"/>
              <w:jc w:val="right"/>
              <w:rPr>
                <w:sz w:val="21"/>
              </w:rPr>
            </w:pPr>
            <w:r>
              <w:rPr>
                <w:sz w:val="21"/>
              </w:rPr>
              <w:t>-1,335,630,451.94</w:t>
            </w:r>
          </w:p>
        </w:tc>
        <w:tc>
          <w:tcPr>
            <w:tcW w:w="2384" w:type="dxa"/>
            <w:tcBorders>
              <w:top w:val="single" w:sz="4" w:space="0" w:color="000000"/>
              <w:left w:val="single" w:sz="4" w:space="0" w:color="000000"/>
            </w:tcBorders>
          </w:tcPr>
          <w:p>
            <w:pPr>
              <w:pStyle w:val="TableParagraph"/>
              <w:spacing w:before="58"/>
              <w:ind w:right="77"/>
              <w:jc w:val="right"/>
              <w:rPr>
                <w:sz w:val="21"/>
              </w:rPr>
            </w:pPr>
            <w:r>
              <w:rPr>
                <w:sz w:val="21"/>
              </w:rPr>
              <w:t>-860,578,700.61</w:t>
            </w:r>
          </w:p>
        </w:tc>
      </w:tr>
    </w:tbl>
    <w:p>
      <w:pPr>
        <w:pStyle w:val="BodyText"/>
        <w:spacing w:line="265" w:lineRule="exact" w:before="4"/>
        <w:ind w:left="1538"/>
      </w:pPr>
      <w:r>
        <w:rPr>
          <w:w w:val="100"/>
        </w:rPr>
        <w:t> </w:t>
      </w:r>
    </w:p>
    <w:p>
      <w:pPr>
        <w:pStyle w:val="Heading4"/>
        <w:spacing w:line="383" w:lineRule="exact"/>
      </w:pPr>
      <w:r>
        <w:rPr>
          <w:rFonts w:ascii="Times New Roman" w:hAnsi="Times New Roman" w:eastAsia="Times New Roman"/>
        </w:rPr>
        <w:t>60</w:t>
      </w:r>
      <w:r>
        <w:rPr/>
        <w:t>、 资产处置收益（损失以</w:t>
      </w:r>
      <w:r>
        <w:rPr>
          <w:rFonts w:ascii="Times New Roman" w:hAnsi="Times New Roman" w:eastAsia="Times New Roman"/>
        </w:rPr>
        <w:t>“</w:t>
      </w:r>
      <w:r>
        <w:rPr/>
        <w:t>－</w:t>
      </w:r>
      <w:r>
        <w:rPr>
          <w:rFonts w:ascii="Times New Roman" w:hAnsi="Times New Roman" w:eastAsia="Times New Roman"/>
        </w:rPr>
        <w:t>”</w:t>
      </w:r>
      <w:r>
        <w:rPr/>
        <w:t>号填列）</w:t>
      </w:r>
    </w:p>
    <w:p>
      <w:pPr>
        <w:pStyle w:val="BodyText"/>
        <w:spacing w:before="17"/>
        <w:ind w:left="1538"/>
      </w:pPr>
      <w:r>
        <w:rPr>
          <w:w w:val="100"/>
        </w:rPr>
        <w:t> </w:t>
      </w:r>
    </w:p>
    <w:tbl>
      <w:tblPr>
        <w:tblW w:w="0" w:type="auto"/>
        <w:jc w:val="left"/>
        <w:tblInd w:w="153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682"/>
        <w:gridCol w:w="2782"/>
        <w:gridCol w:w="2408"/>
      </w:tblGrid>
      <w:tr>
        <w:trPr>
          <w:trHeight w:val="369" w:hRule="atLeast"/>
        </w:trPr>
        <w:tc>
          <w:tcPr>
            <w:tcW w:w="3682" w:type="dxa"/>
            <w:tcBorders>
              <w:bottom w:val="single" w:sz="4" w:space="0" w:color="000000"/>
              <w:right w:val="single" w:sz="4" w:space="0" w:color="000000"/>
            </w:tcBorders>
          </w:tcPr>
          <w:p>
            <w:pPr>
              <w:pStyle w:val="TableParagraph"/>
              <w:spacing w:line="349" w:lineRule="exact"/>
              <w:ind w:left="1610" w:right="1592"/>
              <w:jc w:val="center"/>
              <w:rPr>
                <w:rFonts w:ascii="Microsoft JhengHei" w:eastAsia="Microsoft JhengHei" w:hint="eastAsia"/>
                <w:b/>
                <w:sz w:val="21"/>
              </w:rPr>
            </w:pPr>
            <w:r>
              <w:rPr>
                <w:rFonts w:ascii="Microsoft JhengHei" w:eastAsia="Microsoft JhengHei" w:hint="eastAsia"/>
                <w:b/>
                <w:sz w:val="21"/>
              </w:rPr>
              <w:t>项目</w:t>
            </w:r>
          </w:p>
        </w:tc>
        <w:tc>
          <w:tcPr>
            <w:tcW w:w="2782" w:type="dxa"/>
            <w:tcBorders>
              <w:left w:val="single" w:sz="4" w:space="0" w:color="000000"/>
              <w:bottom w:val="single" w:sz="4" w:space="0" w:color="000000"/>
              <w:right w:val="single" w:sz="4" w:space="0" w:color="000000"/>
            </w:tcBorders>
          </w:tcPr>
          <w:p>
            <w:pPr>
              <w:pStyle w:val="TableParagraph"/>
              <w:spacing w:line="349" w:lineRule="exact"/>
              <w:ind w:left="873"/>
              <w:rPr>
                <w:rFonts w:ascii="Microsoft JhengHei" w:eastAsia="Microsoft JhengHei" w:hint="eastAsia"/>
                <w:b/>
                <w:sz w:val="21"/>
              </w:rPr>
            </w:pPr>
            <w:r>
              <w:rPr>
                <w:rFonts w:ascii="Microsoft JhengHei" w:eastAsia="Microsoft JhengHei" w:hint="eastAsia"/>
                <w:b/>
                <w:sz w:val="21"/>
              </w:rPr>
              <w:t>本期发生额</w:t>
            </w:r>
          </w:p>
        </w:tc>
        <w:tc>
          <w:tcPr>
            <w:tcW w:w="2408" w:type="dxa"/>
            <w:tcBorders>
              <w:left w:val="single" w:sz="4" w:space="0" w:color="000000"/>
              <w:bottom w:val="single" w:sz="4" w:space="0" w:color="000000"/>
            </w:tcBorders>
          </w:tcPr>
          <w:p>
            <w:pPr>
              <w:pStyle w:val="TableParagraph"/>
              <w:spacing w:line="349" w:lineRule="exact"/>
              <w:ind w:left="686"/>
              <w:rPr>
                <w:rFonts w:ascii="Microsoft JhengHei" w:eastAsia="Microsoft JhengHei" w:hint="eastAsia"/>
                <w:b/>
                <w:sz w:val="21"/>
              </w:rPr>
            </w:pPr>
            <w:r>
              <w:rPr>
                <w:rFonts w:ascii="Microsoft JhengHei" w:eastAsia="Microsoft JhengHei" w:hint="eastAsia"/>
                <w:b/>
                <w:sz w:val="21"/>
              </w:rPr>
              <w:t>上期发生额</w:t>
            </w:r>
          </w:p>
        </w:tc>
      </w:tr>
      <w:tr>
        <w:trPr>
          <w:trHeight w:val="369" w:hRule="atLeast"/>
        </w:trPr>
        <w:tc>
          <w:tcPr>
            <w:tcW w:w="3682"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非流动资产处置利得</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33,992,005.52</w:t>
            </w:r>
          </w:p>
        </w:tc>
        <w:tc>
          <w:tcPr>
            <w:tcW w:w="2408"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501,274,953.38</w:t>
            </w:r>
          </w:p>
        </w:tc>
      </w:tr>
      <w:tr>
        <w:trPr>
          <w:trHeight w:val="369" w:hRule="atLeast"/>
        </w:trPr>
        <w:tc>
          <w:tcPr>
            <w:tcW w:w="3682"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减</w:t>
            </w:r>
            <w:r>
              <w:rPr>
                <w:sz w:val="21"/>
              </w:rPr>
              <w:t>:</w:t>
            </w:r>
            <w:r>
              <w:rPr>
                <w:rFonts w:ascii="宋体" w:eastAsia="宋体" w:hint="eastAsia"/>
                <w:sz w:val="21"/>
              </w:rPr>
              <w:t>非流动资产处置损失</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46,804,842.58</w:t>
            </w:r>
          </w:p>
        </w:tc>
        <w:tc>
          <w:tcPr>
            <w:tcW w:w="2408"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15,547,325.37</w:t>
            </w:r>
          </w:p>
        </w:tc>
      </w:tr>
      <w:tr>
        <w:trPr>
          <w:trHeight w:val="368" w:hRule="atLeast"/>
        </w:trPr>
        <w:tc>
          <w:tcPr>
            <w:tcW w:w="3682" w:type="dxa"/>
            <w:tcBorders>
              <w:top w:val="single" w:sz="4" w:space="0" w:color="000000"/>
              <w:right w:val="single" w:sz="4" w:space="0" w:color="000000"/>
            </w:tcBorders>
          </w:tcPr>
          <w:p>
            <w:pPr>
              <w:pStyle w:val="TableParagraph"/>
              <w:spacing w:before="49"/>
              <w:ind w:left="1610" w:right="1592"/>
              <w:jc w:val="center"/>
              <w:rPr>
                <w:rFonts w:ascii="宋体" w:eastAsia="宋体" w:hint="eastAsia"/>
                <w:sz w:val="21"/>
              </w:rPr>
            </w:pPr>
            <w:r>
              <w:rPr>
                <w:rFonts w:ascii="宋体" w:eastAsia="宋体" w:hint="eastAsia"/>
                <w:sz w:val="21"/>
              </w:rPr>
              <w:t>合计</w:t>
            </w:r>
          </w:p>
        </w:tc>
        <w:tc>
          <w:tcPr>
            <w:tcW w:w="2782" w:type="dxa"/>
            <w:tcBorders>
              <w:top w:val="single" w:sz="4" w:space="0" w:color="000000"/>
              <w:left w:val="single" w:sz="4" w:space="0" w:color="000000"/>
              <w:right w:val="single" w:sz="4" w:space="0" w:color="000000"/>
            </w:tcBorders>
          </w:tcPr>
          <w:p>
            <w:pPr>
              <w:pStyle w:val="TableParagraph"/>
              <w:spacing w:before="58"/>
              <w:ind w:right="84"/>
              <w:jc w:val="right"/>
              <w:rPr>
                <w:sz w:val="21"/>
              </w:rPr>
            </w:pPr>
            <w:r>
              <w:rPr>
                <w:sz w:val="21"/>
              </w:rPr>
              <w:t>-12,812,837.06</w:t>
            </w:r>
          </w:p>
        </w:tc>
        <w:tc>
          <w:tcPr>
            <w:tcW w:w="2408" w:type="dxa"/>
            <w:tcBorders>
              <w:top w:val="single" w:sz="4" w:space="0" w:color="000000"/>
              <w:left w:val="single" w:sz="4" w:space="0" w:color="000000"/>
            </w:tcBorders>
          </w:tcPr>
          <w:p>
            <w:pPr>
              <w:pStyle w:val="TableParagraph"/>
              <w:spacing w:before="58"/>
              <w:ind w:right="74"/>
              <w:jc w:val="right"/>
              <w:rPr>
                <w:sz w:val="21"/>
              </w:rPr>
            </w:pPr>
            <w:r>
              <w:rPr>
                <w:sz w:val="21"/>
              </w:rPr>
              <w:t>485,727,628.01</w:t>
            </w:r>
          </w:p>
        </w:tc>
      </w:tr>
    </w:tbl>
    <w:p>
      <w:pPr>
        <w:pStyle w:val="BodyText"/>
        <w:spacing w:line="265" w:lineRule="exact" w:before="3"/>
        <w:ind w:left="1538"/>
      </w:pPr>
      <w:r>
        <w:rPr>
          <w:w w:val="100"/>
        </w:rPr>
        <w:t> </w:t>
      </w:r>
    </w:p>
    <w:p>
      <w:pPr>
        <w:pStyle w:val="Heading4"/>
        <w:spacing w:line="383" w:lineRule="exact"/>
      </w:pPr>
      <w:r>
        <w:rPr>
          <w:rFonts w:ascii="Times New Roman" w:eastAsia="Times New Roman"/>
        </w:rPr>
        <w:t>61</w:t>
      </w:r>
      <w:r>
        <w:rPr>
          <w:spacing w:val="4"/>
        </w:rPr>
        <w:t>、 营业外收入</w:t>
      </w:r>
    </w:p>
    <w:p>
      <w:pPr>
        <w:pStyle w:val="BodyText"/>
        <w:spacing w:before="17"/>
        <w:ind w:left="1538"/>
      </w:pPr>
      <w:r>
        <w:rPr>
          <w:w w:val="100"/>
        </w:rPr>
        <w:t> </w:t>
      </w:r>
    </w:p>
    <w:tbl>
      <w:tblPr>
        <w:tblW w:w="0" w:type="auto"/>
        <w:jc w:val="left"/>
        <w:tblInd w:w="153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538"/>
        <w:gridCol w:w="2926"/>
        <w:gridCol w:w="2408"/>
      </w:tblGrid>
      <w:tr>
        <w:trPr>
          <w:trHeight w:val="368" w:hRule="atLeast"/>
        </w:trPr>
        <w:tc>
          <w:tcPr>
            <w:tcW w:w="3538" w:type="dxa"/>
            <w:tcBorders>
              <w:bottom w:val="single" w:sz="4" w:space="0" w:color="000000"/>
              <w:right w:val="single" w:sz="4" w:space="0" w:color="000000"/>
            </w:tcBorders>
          </w:tcPr>
          <w:p>
            <w:pPr>
              <w:pStyle w:val="TableParagraph"/>
              <w:spacing w:line="349" w:lineRule="exact"/>
              <w:ind w:right="1536"/>
              <w:jc w:val="right"/>
              <w:rPr>
                <w:rFonts w:ascii="Microsoft JhengHei" w:eastAsia="Microsoft JhengHei" w:hint="eastAsia"/>
                <w:b/>
                <w:sz w:val="21"/>
              </w:rPr>
            </w:pPr>
            <w:r>
              <w:rPr>
                <w:rFonts w:ascii="Microsoft JhengHei" w:eastAsia="Microsoft JhengHei" w:hint="eastAsia"/>
                <w:b/>
                <w:sz w:val="21"/>
              </w:rPr>
              <w:t>项目</w:t>
            </w:r>
          </w:p>
        </w:tc>
        <w:tc>
          <w:tcPr>
            <w:tcW w:w="2926" w:type="dxa"/>
            <w:tcBorders>
              <w:left w:val="single" w:sz="4" w:space="0" w:color="000000"/>
              <w:bottom w:val="single" w:sz="4" w:space="0" w:color="000000"/>
              <w:right w:val="single" w:sz="4" w:space="0" w:color="000000"/>
            </w:tcBorders>
          </w:tcPr>
          <w:p>
            <w:pPr>
              <w:pStyle w:val="TableParagraph"/>
              <w:spacing w:line="349" w:lineRule="exact"/>
              <w:ind w:left="945"/>
              <w:rPr>
                <w:rFonts w:ascii="Microsoft JhengHei" w:eastAsia="Microsoft JhengHei" w:hint="eastAsia"/>
                <w:b/>
                <w:sz w:val="21"/>
              </w:rPr>
            </w:pPr>
            <w:r>
              <w:rPr>
                <w:rFonts w:ascii="Microsoft JhengHei" w:eastAsia="Microsoft JhengHei" w:hint="eastAsia"/>
                <w:b/>
                <w:sz w:val="21"/>
              </w:rPr>
              <w:t>本期发生额</w:t>
            </w:r>
          </w:p>
        </w:tc>
        <w:tc>
          <w:tcPr>
            <w:tcW w:w="2408" w:type="dxa"/>
            <w:tcBorders>
              <w:left w:val="single" w:sz="4" w:space="0" w:color="000000"/>
              <w:bottom w:val="single" w:sz="4" w:space="0" w:color="000000"/>
            </w:tcBorders>
          </w:tcPr>
          <w:p>
            <w:pPr>
              <w:pStyle w:val="TableParagraph"/>
              <w:spacing w:line="349" w:lineRule="exact"/>
              <w:ind w:left="686"/>
              <w:rPr>
                <w:rFonts w:ascii="Microsoft JhengHei" w:eastAsia="Microsoft JhengHei" w:hint="eastAsia"/>
                <w:b/>
                <w:sz w:val="21"/>
              </w:rPr>
            </w:pPr>
            <w:r>
              <w:rPr>
                <w:rFonts w:ascii="Microsoft JhengHei" w:eastAsia="Microsoft JhengHei" w:hint="eastAsia"/>
                <w:b/>
                <w:sz w:val="21"/>
              </w:rPr>
              <w:t>上期发生额</w:t>
            </w:r>
          </w:p>
        </w:tc>
      </w:tr>
      <w:tr>
        <w:trPr>
          <w:trHeight w:val="369" w:hRule="atLeast"/>
        </w:trPr>
        <w:tc>
          <w:tcPr>
            <w:tcW w:w="3538"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非流动资产处置利得</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before="58"/>
              <w:ind w:right="81"/>
              <w:jc w:val="right"/>
              <w:rPr>
                <w:sz w:val="21"/>
              </w:rPr>
            </w:pPr>
            <w:r>
              <w:rPr>
                <w:sz w:val="21"/>
              </w:rPr>
              <w:t>13,544,653.33</w:t>
            </w:r>
          </w:p>
        </w:tc>
        <w:tc>
          <w:tcPr>
            <w:tcW w:w="2408"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638,713.73</w:t>
            </w:r>
          </w:p>
        </w:tc>
      </w:tr>
      <w:tr>
        <w:trPr>
          <w:trHeight w:val="369" w:hRule="atLeast"/>
        </w:trPr>
        <w:tc>
          <w:tcPr>
            <w:tcW w:w="3538"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质量索赔和罚款</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before="58"/>
              <w:ind w:right="81"/>
              <w:jc w:val="right"/>
              <w:rPr>
                <w:sz w:val="21"/>
              </w:rPr>
            </w:pPr>
            <w:r>
              <w:rPr>
                <w:sz w:val="21"/>
              </w:rPr>
              <w:t>42,910,128.73</w:t>
            </w:r>
          </w:p>
        </w:tc>
        <w:tc>
          <w:tcPr>
            <w:tcW w:w="2408"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278,824,898.94</w:t>
            </w:r>
          </w:p>
        </w:tc>
      </w:tr>
      <w:tr>
        <w:trPr>
          <w:trHeight w:val="369" w:hRule="atLeast"/>
        </w:trPr>
        <w:tc>
          <w:tcPr>
            <w:tcW w:w="3538"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其他</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before="58"/>
              <w:ind w:right="81"/>
              <w:jc w:val="right"/>
              <w:rPr>
                <w:sz w:val="21"/>
              </w:rPr>
            </w:pPr>
            <w:r>
              <w:rPr>
                <w:sz w:val="21"/>
              </w:rPr>
              <w:t>140,989,269.00</w:t>
            </w:r>
          </w:p>
        </w:tc>
        <w:tc>
          <w:tcPr>
            <w:tcW w:w="2408"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111,507,936.07</w:t>
            </w:r>
          </w:p>
        </w:tc>
      </w:tr>
      <w:tr>
        <w:trPr>
          <w:trHeight w:val="366" w:hRule="atLeast"/>
        </w:trPr>
        <w:tc>
          <w:tcPr>
            <w:tcW w:w="3538" w:type="dxa"/>
            <w:tcBorders>
              <w:top w:val="single" w:sz="4" w:space="0" w:color="000000"/>
              <w:right w:val="single" w:sz="4" w:space="0" w:color="000000"/>
            </w:tcBorders>
          </w:tcPr>
          <w:p>
            <w:pPr>
              <w:pStyle w:val="TableParagraph"/>
              <w:spacing w:before="49"/>
              <w:ind w:right="1536"/>
              <w:jc w:val="right"/>
              <w:rPr>
                <w:rFonts w:ascii="宋体" w:eastAsia="宋体" w:hint="eastAsia"/>
                <w:sz w:val="21"/>
              </w:rPr>
            </w:pPr>
            <w:r>
              <w:rPr>
                <w:rFonts w:ascii="宋体" w:eastAsia="宋体" w:hint="eastAsia"/>
                <w:sz w:val="21"/>
              </w:rPr>
              <w:t>合计</w:t>
            </w:r>
          </w:p>
        </w:tc>
        <w:tc>
          <w:tcPr>
            <w:tcW w:w="2926" w:type="dxa"/>
            <w:tcBorders>
              <w:top w:val="single" w:sz="4" w:space="0" w:color="000000"/>
              <w:left w:val="single" w:sz="4" w:space="0" w:color="000000"/>
              <w:right w:val="single" w:sz="4" w:space="0" w:color="000000"/>
            </w:tcBorders>
          </w:tcPr>
          <w:p>
            <w:pPr>
              <w:pStyle w:val="TableParagraph"/>
              <w:spacing w:before="58"/>
              <w:ind w:right="81"/>
              <w:jc w:val="right"/>
              <w:rPr>
                <w:sz w:val="21"/>
              </w:rPr>
            </w:pPr>
            <w:r>
              <w:rPr>
                <w:sz w:val="21"/>
              </w:rPr>
              <w:t>197,444,051.06</w:t>
            </w:r>
          </w:p>
        </w:tc>
        <w:tc>
          <w:tcPr>
            <w:tcW w:w="2408" w:type="dxa"/>
            <w:tcBorders>
              <w:top w:val="single" w:sz="4" w:space="0" w:color="000000"/>
              <w:left w:val="single" w:sz="4" w:space="0" w:color="000000"/>
            </w:tcBorders>
          </w:tcPr>
          <w:p>
            <w:pPr>
              <w:pStyle w:val="TableParagraph"/>
              <w:spacing w:before="58"/>
              <w:ind w:right="74"/>
              <w:jc w:val="right"/>
              <w:rPr>
                <w:sz w:val="21"/>
              </w:rPr>
            </w:pPr>
            <w:r>
              <w:rPr>
                <w:sz w:val="21"/>
              </w:rPr>
              <w:t>390,971,548.74</w:t>
            </w:r>
          </w:p>
        </w:tc>
      </w:tr>
    </w:tbl>
    <w:p>
      <w:pPr>
        <w:pStyle w:val="BodyText"/>
        <w:spacing w:line="267" w:lineRule="exact" w:before="3"/>
        <w:ind w:left="1538"/>
      </w:pPr>
      <w:r>
        <w:rPr>
          <w:w w:val="100"/>
        </w:rPr>
        <w:t> </w:t>
      </w:r>
    </w:p>
    <w:p>
      <w:pPr>
        <w:pStyle w:val="Heading4"/>
        <w:spacing w:line="384" w:lineRule="exact"/>
      </w:pPr>
      <w:r>
        <w:rPr>
          <w:rFonts w:ascii="Times New Roman" w:eastAsia="Times New Roman"/>
        </w:rPr>
        <w:t>62</w:t>
      </w:r>
      <w:r>
        <w:rPr>
          <w:spacing w:val="4"/>
        </w:rPr>
        <w:t>、 营业外支出</w:t>
      </w:r>
    </w:p>
    <w:p>
      <w:pPr>
        <w:pStyle w:val="BodyText"/>
        <w:spacing w:before="15" w:after="3"/>
        <w:ind w:left="1538"/>
      </w:pPr>
      <w:r>
        <w:rPr>
          <w:w w:val="100"/>
        </w:rPr>
        <w:t> </w:t>
      </w:r>
    </w:p>
    <w:tbl>
      <w:tblPr>
        <w:tblW w:w="0" w:type="auto"/>
        <w:jc w:val="left"/>
        <w:tblInd w:w="16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421"/>
        <w:gridCol w:w="2929"/>
        <w:gridCol w:w="2288"/>
      </w:tblGrid>
      <w:tr>
        <w:trPr>
          <w:trHeight w:val="368" w:hRule="atLeast"/>
        </w:trPr>
        <w:tc>
          <w:tcPr>
            <w:tcW w:w="3421" w:type="dxa"/>
            <w:tcBorders>
              <w:bottom w:val="single" w:sz="4" w:space="0" w:color="000000"/>
              <w:right w:val="single" w:sz="4" w:space="0" w:color="000000"/>
            </w:tcBorders>
          </w:tcPr>
          <w:p>
            <w:pPr>
              <w:pStyle w:val="TableParagraph"/>
              <w:spacing w:line="349" w:lineRule="exact"/>
              <w:ind w:left="1475" w:right="1460"/>
              <w:jc w:val="center"/>
              <w:rPr>
                <w:rFonts w:ascii="Microsoft JhengHei" w:eastAsia="Microsoft JhengHei" w:hint="eastAsia"/>
                <w:b/>
                <w:sz w:val="21"/>
              </w:rPr>
            </w:pPr>
            <w:r>
              <w:rPr>
                <w:rFonts w:ascii="Microsoft JhengHei" w:eastAsia="Microsoft JhengHei" w:hint="eastAsia"/>
                <w:b/>
                <w:sz w:val="21"/>
              </w:rPr>
              <w:t>项目</w:t>
            </w:r>
          </w:p>
        </w:tc>
        <w:tc>
          <w:tcPr>
            <w:tcW w:w="2929" w:type="dxa"/>
            <w:tcBorders>
              <w:left w:val="single" w:sz="4" w:space="0" w:color="000000"/>
              <w:bottom w:val="single" w:sz="4" w:space="0" w:color="000000"/>
              <w:right w:val="single" w:sz="4" w:space="0" w:color="000000"/>
            </w:tcBorders>
          </w:tcPr>
          <w:p>
            <w:pPr>
              <w:pStyle w:val="TableParagraph"/>
              <w:spacing w:line="349" w:lineRule="exact"/>
              <w:ind w:left="944"/>
              <w:rPr>
                <w:rFonts w:ascii="Microsoft JhengHei" w:eastAsia="Microsoft JhengHei" w:hint="eastAsia"/>
                <w:b/>
                <w:sz w:val="21"/>
              </w:rPr>
            </w:pPr>
            <w:r>
              <w:rPr>
                <w:rFonts w:ascii="Microsoft JhengHei" w:eastAsia="Microsoft JhengHei" w:hint="eastAsia"/>
                <w:b/>
                <w:sz w:val="21"/>
              </w:rPr>
              <w:t>本期发生额</w:t>
            </w:r>
          </w:p>
        </w:tc>
        <w:tc>
          <w:tcPr>
            <w:tcW w:w="2288" w:type="dxa"/>
            <w:tcBorders>
              <w:left w:val="single" w:sz="4" w:space="0" w:color="000000"/>
              <w:bottom w:val="single" w:sz="4" w:space="0" w:color="000000"/>
            </w:tcBorders>
          </w:tcPr>
          <w:p>
            <w:pPr>
              <w:pStyle w:val="TableParagraph"/>
              <w:spacing w:line="349" w:lineRule="exact"/>
              <w:ind w:left="625"/>
              <w:rPr>
                <w:rFonts w:ascii="Microsoft JhengHei" w:eastAsia="Microsoft JhengHei" w:hint="eastAsia"/>
                <w:b/>
                <w:sz w:val="21"/>
              </w:rPr>
            </w:pPr>
            <w:r>
              <w:rPr>
                <w:rFonts w:ascii="Microsoft JhengHei" w:eastAsia="Microsoft JhengHei" w:hint="eastAsia"/>
                <w:b/>
                <w:sz w:val="21"/>
              </w:rPr>
              <w:t>上期发生额</w:t>
            </w:r>
          </w:p>
        </w:tc>
      </w:tr>
      <w:tr>
        <w:trPr>
          <w:trHeight w:val="369" w:hRule="atLeast"/>
        </w:trPr>
        <w:tc>
          <w:tcPr>
            <w:tcW w:w="3421"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非流动资产处置损失</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before="58"/>
              <w:ind w:right="85"/>
              <w:jc w:val="right"/>
              <w:rPr>
                <w:sz w:val="21"/>
              </w:rPr>
            </w:pPr>
            <w:r>
              <w:rPr>
                <w:sz w:val="21"/>
              </w:rPr>
              <w:t>112,009,363.05</w:t>
            </w:r>
          </w:p>
        </w:tc>
        <w:tc>
          <w:tcPr>
            <w:tcW w:w="2288"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89,405,090.32</w:t>
            </w:r>
          </w:p>
        </w:tc>
      </w:tr>
      <w:tr>
        <w:trPr>
          <w:trHeight w:val="369" w:hRule="atLeast"/>
        </w:trPr>
        <w:tc>
          <w:tcPr>
            <w:tcW w:w="3421"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其他</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before="58"/>
              <w:ind w:right="85"/>
              <w:jc w:val="right"/>
              <w:rPr>
                <w:sz w:val="21"/>
              </w:rPr>
            </w:pPr>
            <w:r>
              <w:rPr>
                <w:sz w:val="21"/>
              </w:rPr>
              <w:t>128,909,175.86</w:t>
            </w:r>
          </w:p>
        </w:tc>
        <w:tc>
          <w:tcPr>
            <w:tcW w:w="2288"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120,401,550.50</w:t>
            </w:r>
          </w:p>
        </w:tc>
      </w:tr>
      <w:tr>
        <w:trPr>
          <w:trHeight w:val="366" w:hRule="atLeast"/>
        </w:trPr>
        <w:tc>
          <w:tcPr>
            <w:tcW w:w="3421" w:type="dxa"/>
            <w:tcBorders>
              <w:top w:val="single" w:sz="4" w:space="0" w:color="000000"/>
              <w:right w:val="single" w:sz="4" w:space="0" w:color="000000"/>
            </w:tcBorders>
          </w:tcPr>
          <w:p>
            <w:pPr>
              <w:pStyle w:val="TableParagraph"/>
              <w:spacing w:before="49"/>
              <w:ind w:left="1478" w:right="1458"/>
              <w:jc w:val="center"/>
              <w:rPr>
                <w:rFonts w:ascii="宋体" w:eastAsia="宋体" w:hint="eastAsia"/>
                <w:sz w:val="21"/>
              </w:rPr>
            </w:pPr>
            <w:r>
              <w:rPr>
                <w:rFonts w:ascii="宋体" w:eastAsia="宋体" w:hint="eastAsia"/>
                <w:sz w:val="21"/>
              </w:rPr>
              <w:t>合计</w:t>
            </w:r>
          </w:p>
        </w:tc>
        <w:tc>
          <w:tcPr>
            <w:tcW w:w="2929" w:type="dxa"/>
            <w:tcBorders>
              <w:top w:val="single" w:sz="4" w:space="0" w:color="000000"/>
              <w:left w:val="single" w:sz="4" w:space="0" w:color="000000"/>
              <w:right w:val="single" w:sz="4" w:space="0" w:color="000000"/>
            </w:tcBorders>
          </w:tcPr>
          <w:p>
            <w:pPr>
              <w:pStyle w:val="TableParagraph"/>
              <w:spacing w:before="58"/>
              <w:ind w:right="85"/>
              <w:jc w:val="right"/>
              <w:rPr>
                <w:sz w:val="21"/>
              </w:rPr>
            </w:pPr>
            <w:r>
              <w:rPr>
                <w:sz w:val="21"/>
              </w:rPr>
              <w:t>240,918,538.91</w:t>
            </w:r>
          </w:p>
        </w:tc>
        <w:tc>
          <w:tcPr>
            <w:tcW w:w="2288" w:type="dxa"/>
            <w:tcBorders>
              <w:top w:val="single" w:sz="4" w:space="0" w:color="000000"/>
              <w:left w:val="single" w:sz="4" w:space="0" w:color="000000"/>
            </w:tcBorders>
          </w:tcPr>
          <w:p>
            <w:pPr>
              <w:pStyle w:val="TableParagraph"/>
              <w:spacing w:before="58"/>
              <w:ind w:right="75"/>
              <w:jc w:val="right"/>
              <w:rPr>
                <w:sz w:val="21"/>
              </w:rPr>
            </w:pPr>
            <w:r>
              <w:rPr>
                <w:sz w:val="21"/>
              </w:rPr>
              <w:t>209,806,640.82</w:t>
            </w:r>
          </w:p>
        </w:tc>
      </w:tr>
    </w:tbl>
    <w:p>
      <w:pPr>
        <w:pStyle w:val="BodyText"/>
        <w:spacing w:line="267" w:lineRule="exact" w:before="3"/>
        <w:ind w:left="1538"/>
      </w:pPr>
      <w:r>
        <w:rPr>
          <w:w w:val="100"/>
        </w:rPr>
        <w:t> </w:t>
      </w:r>
    </w:p>
    <w:p>
      <w:pPr>
        <w:pStyle w:val="Heading4"/>
        <w:spacing w:line="357" w:lineRule="exact"/>
      </w:pPr>
      <w:r>
        <w:rPr>
          <w:rFonts w:ascii="Times New Roman" w:eastAsia="Times New Roman"/>
        </w:rPr>
        <w:t>63</w:t>
      </w:r>
      <w:r>
        <w:rPr>
          <w:spacing w:val="4"/>
        </w:rPr>
        <w:t>、 所得税费用</w:t>
      </w:r>
    </w:p>
    <w:p>
      <w:pPr>
        <w:pStyle w:val="Heading4"/>
        <w:numPr>
          <w:ilvl w:val="0"/>
          <w:numId w:val="65"/>
        </w:numPr>
        <w:tabs>
          <w:tab w:pos="1966" w:val="left" w:leader="none"/>
        </w:tabs>
        <w:spacing w:line="359" w:lineRule="exact" w:before="0" w:after="0"/>
        <w:ind w:left="1965" w:right="0" w:hanging="428"/>
        <w:jc w:val="left"/>
      </w:pPr>
      <w:r>
        <w:rPr/>
        <w:t>所得税费用表</w:t>
      </w:r>
    </w:p>
    <w:p>
      <w:pPr>
        <w:pStyle w:val="BodyText"/>
        <w:spacing w:before="17"/>
        <w:ind w:left="1538"/>
      </w:pPr>
      <w:r>
        <w:rPr/>
        <w:t>√适用 □不适用</w:t>
      </w:r>
    </w:p>
    <w:p>
      <w:pPr>
        <w:pStyle w:val="BodyText"/>
        <w:tabs>
          <w:tab w:pos="9111" w:val="left" w:leader="none"/>
        </w:tabs>
        <w:spacing w:before="2" w:after="4"/>
        <w:ind w:left="8059"/>
      </w:pPr>
      <w:r>
        <w:rPr/>
        <w:t>单位：元</w:t>
        <w:tab/>
        <w:t>币</w:t>
      </w:r>
      <w:r>
        <w:rPr>
          <w:spacing w:val="-3"/>
        </w:rPr>
        <w:t>种</w:t>
      </w:r>
      <w:r>
        <w:rPr/>
        <w:t>：</w:t>
      </w:r>
      <w:r>
        <w:rPr>
          <w:spacing w:val="-3"/>
        </w:rPr>
        <w:t>人</w:t>
      </w:r>
      <w:r>
        <w:rPr/>
        <w:t>民币</w:t>
      </w:r>
    </w:p>
    <w:tbl>
      <w:tblPr>
        <w:tblW w:w="0" w:type="auto"/>
        <w:jc w:val="left"/>
        <w:tblInd w:w="14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217"/>
        <w:gridCol w:w="2931"/>
        <w:gridCol w:w="2914"/>
      </w:tblGrid>
      <w:tr>
        <w:trPr>
          <w:trHeight w:val="277" w:hRule="atLeast"/>
        </w:trPr>
        <w:tc>
          <w:tcPr>
            <w:tcW w:w="3217" w:type="dxa"/>
            <w:tcBorders>
              <w:bottom w:val="single" w:sz="4" w:space="0" w:color="000000"/>
              <w:right w:val="single" w:sz="4" w:space="0" w:color="000000"/>
            </w:tcBorders>
          </w:tcPr>
          <w:p>
            <w:pPr>
              <w:pStyle w:val="TableParagraph"/>
              <w:spacing w:line="258" w:lineRule="exact"/>
              <w:ind w:right="1381"/>
              <w:jc w:val="right"/>
              <w:rPr>
                <w:rFonts w:ascii="Microsoft JhengHei" w:eastAsia="Microsoft JhengHei" w:hint="eastAsia"/>
                <w:b/>
                <w:sz w:val="21"/>
              </w:rPr>
            </w:pPr>
            <w:r>
              <w:rPr>
                <w:rFonts w:ascii="Microsoft JhengHei" w:eastAsia="Microsoft JhengHei" w:hint="eastAsia"/>
                <w:b/>
                <w:sz w:val="21"/>
              </w:rPr>
              <w:t>项目</w:t>
            </w:r>
          </w:p>
        </w:tc>
        <w:tc>
          <w:tcPr>
            <w:tcW w:w="2931" w:type="dxa"/>
            <w:tcBorders>
              <w:left w:val="single" w:sz="4" w:space="0" w:color="000000"/>
              <w:bottom w:val="single" w:sz="4" w:space="0" w:color="000000"/>
              <w:right w:val="single" w:sz="4" w:space="0" w:color="000000"/>
            </w:tcBorders>
          </w:tcPr>
          <w:p>
            <w:pPr>
              <w:pStyle w:val="TableParagraph"/>
              <w:spacing w:line="258" w:lineRule="exact"/>
              <w:ind w:left="942"/>
              <w:rPr>
                <w:rFonts w:ascii="Microsoft JhengHei" w:eastAsia="Microsoft JhengHei" w:hint="eastAsia"/>
                <w:b/>
                <w:sz w:val="21"/>
              </w:rPr>
            </w:pPr>
            <w:r>
              <w:rPr>
                <w:rFonts w:ascii="Microsoft JhengHei" w:eastAsia="Microsoft JhengHei" w:hint="eastAsia"/>
                <w:b/>
                <w:sz w:val="21"/>
              </w:rPr>
              <w:t>本期发生额</w:t>
            </w:r>
          </w:p>
        </w:tc>
        <w:tc>
          <w:tcPr>
            <w:tcW w:w="2914" w:type="dxa"/>
            <w:tcBorders>
              <w:left w:val="single" w:sz="4" w:space="0" w:color="000000"/>
              <w:bottom w:val="single" w:sz="4" w:space="0" w:color="000000"/>
            </w:tcBorders>
          </w:tcPr>
          <w:p>
            <w:pPr>
              <w:pStyle w:val="TableParagraph"/>
              <w:spacing w:line="258" w:lineRule="exact"/>
              <w:ind w:left="935"/>
              <w:rPr>
                <w:rFonts w:ascii="Microsoft JhengHei" w:eastAsia="Microsoft JhengHei" w:hint="eastAsia"/>
                <w:b/>
                <w:sz w:val="21"/>
              </w:rPr>
            </w:pPr>
            <w:r>
              <w:rPr>
                <w:rFonts w:ascii="Microsoft JhengHei" w:eastAsia="Microsoft JhengHei" w:hint="eastAsia"/>
                <w:b/>
                <w:sz w:val="21"/>
              </w:rPr>
              <w:t>上期发生额</w:t>
            </w:r>
          </w:p>
        </w:tc>
      </w:tr>
      <w:tr>
        <w:trPr>
          <w:trHeight w:val="273" w:hRule="atLeast"/>
        </w:trPr>
        <w:tc>
          <w:tcPr>
            <w:tcW w:w="3217" w:type="dxa"/>
            <w:tcBorders>
              <w:top w:val="single" w:sz="4" w:space="0" w:color="000000"/>
              <w:bottom w:val="single" w:sz="4" w:space="0" w:color="000000"/>
              <w:right w:val="single" w:sz="4" w:space="0" w:color="000000"/>
            </w:tcBorders>
          </w:tcPr>
          <w:p>
            <w:pPr>
              <w:pStyle w:val="TableParagraph"/>
              <w:spacing w:line="250" w:lineRule="exact" w:before="3"/>
              <w:ind w:left="112"/>
              <w:rPr>
                <w:rFonts w:ascii="宋体" w:eastAsia="宋体" w:hint="eastAsia"/>
                <w:sz w:val="21"/>
              </w:rPr>
            </w:pPr>
            <w:r>
              <w:rPr>
                <w:rFonts w:ascii="宋体" w:eastAsia="宋体" w:hint="eastAsia"/>
                <w:sz w:val="21"/>
              </w:rPr>
              <w:t>当期所得税费用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2"/>
              <w:jc w:val="right"/>
              <w:rPr>
                <w:sz w:val="21"/>
              </w:rPr>
            </w:pPr>
            <w:r>
              <w:rPr>
                <w:sz w:val="21"/>
              </w:rPr>
              <w:t>2,115,519,024.63</w:t>
            </w:r>
          </w:p>
        </w:tc>
        <w:tc>
          <w:tcPr>
            <w:tcW w:w="2914" w:type="dxa"/>
            <w:tcBorders>
              <w:top w:val="single" w:sz="4" w:space="0" w:color="000000"/>
              <w:left w:val="single" w:sz="4" w:space="0" w:color="000000"/>
              <w:bottom w:val="single" w:sz="4" w:space="0" w:color="000000"/>
            </w:tcBorders>
          </w:tcPr>
          <w:p>
            <w:pPr>
              <w:pStyle w:val="TableParagraph"/>
              <w:spacing w:line="237" w:lineRule="exact"/>
              <w:ind w:right="86"/>
              <w:jc w:val="right"/>
              <w:rPr>
                <w:sz w:val="21"/>
              </w:rPr>
            </w:pPr>
            <w:r>
              <w:rPr>
                <w:sz w:val="21"/>
              </w:rPr>
              <w:t>1,708,340,696.65</w:t>
            </w:r>
          </w:p>
        </w:tc>
      </w:tr>
      <w:tr>
        <w:trPr>
          <w:trHeight w:val="273" w:hRule="atLeast"/>
        </w:trPr>
        <w:tc>
          <w:tcPr>
            <w:tcW w:w="3217" w:type="dxa"/>
            <w:tcBorders>
              <w:top w:val="single" w:sz="4" w:space="0" w:color="000000"/>
              <w:bottom w:val="single" w:sz="4" w:space="0" w:color="000000"/>
              <w:right w:val="single" w:sz="4" w:space="0" w:color="000000"/>
            </w:tcBorders>
          </w:tcPr>
          <w:p>
            <w:pPr>
              <w:pStyle w:val="TableParagraph"/>
              <w:spacing w:line="252" w:lineRule="exact" w:before="1"/>
              <w:ind w:left="112"/>
              <w:rPr>
                <w:rFonts w:ascii="宋体" w:eastAsia="宋体" w:hint="eastAsia"/>
                <w:sz w:val="21"/>
              </w:rPr>
            </w:pPr>
            <w:r>
              <w:rPr>
                <w:rFonts w:ascii="宋体" w:eastAsia="宋体" w:hint="eastAsia"/>
                <w:sz w:val="21"/>
              </w:rPr>
              <w:t>递延所得税费用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1"/>
              <w:jc w:val="right"/>
              <w:rPr>
                <w:sz w:val="21"/>
              </w:rPr>
            </w:pPr>
            <w:r>
              <w:rPr>
                <w:sz w:val="21"/>
              </w:rPr>
              <w:t>116,345,162.88</w:t>
            </w:r>
          </w:p>
        </w:tc>
        <w:tc>
          <w:tcPr>
            <w:tcW w:w="2914" w:type="dxa"/>
            <w:tcBorders>
              <w:top w:val="single" w:sz="4" w:space="0" w:color="000000"/>
              <w:left w:val="single" w:sz="4" w:space="0" w:color="000000"/>
              <w:bottom w:val="single" w:sz="4" w:space="0" w:color="000000"/>
            </w:tcBorders>
          </w:tcPr>
          <w:p>
            <w:pPr>
              <w:pStyle w:val="TableParagraph"/>
              <w:spacing w:line="235" w:lineRule="exact"/>
              <w:ind w:right="86"/>
              <w:jc w:val="right"/>
              <w:rPr>
                <w:sz w:val="21"/>
              </w:rPr>
            </w:pPr>
            <w:r>
              <w:rPr>
                <w:sz w:val="21"/>
              </w:rPr>
              <w:t>587,875,584.21</w:t>
            </w:r>
          </w:p>
        </w:tc>
      </w:tr>
      <w:tr>
        <w:trPr>
          <w:trHeight w:val="270" w:hRule="atLeast"/>
        </w:trPr>
        <w:tc>
          <w:tcPr>
            <w:tcW w:w="3217" w:type="dxa"/>
            <w:tcBorders>
              <w:top w:val="single" w:sz="4" w:space="0" w:color="000000"/>
              <w:right w:val="single" w:sz="4" w:space="0" w:color="000000"/>
            </w:tcBorders>
          </w:tcPr>
          <w:p>
            <w:pPr>
              <w:pStyle w:val="TableParagraph"/>
              <w:spacing w:line="249" w:lineRule="exact" w:before="1"/>
              <w:ind w:right="1378"/>
              <w:jc w:val="right"/>
              <w:rPr>
                <w:rFonts w:ascii="宋体" w:eastAsia="宋体" w:hint="eastAsia"/>
                <w:sz w:val="21"/>
              </w:rPr>
            </w:pPr>
            <w:r>
              <w:rPr>
                <w:rFonts w:ascii="宋体" w:eastAsia="宋体" w:hint="eastAsia"/>
                <w:sz w:val="21"/>
              </w:rPr>
              <w:t>合计</w:t>
            </w:r>
          </w:p>
        </w:tc>
        <w:tc>
          <w:tcPr>
            <w:tcW w:w="2931" w:type="dxa"/>
            <w:tcBorders>
              <w:top w:val="single" w:sz="4" w:space="0" w:color="000000"/>
              <w:left w:val="single" w:sz="4" w:space="0" w:color="000000"/>
              <w:right w:val="single" w:sz="4" w:space="0" w:color="000000"/>
            </w:tcBorders>
          </w:tcPr>
          <w:p>
            <w:pPr>
              <w:pStyle w:val="TableParagraph"/>
              <w:spacing w:line="235" w:lineRule="exact"/>
              <w:ind w:right="97"/>
              <w:jc w:val="right"/>
              <w:rPr>
                <w:sz w:val="21"/>
              </w:rPr>
            </w:pPr>
            <w:r>
              <w:rPr>
                <w:sz w:val="21"/>
              </w:rPr>
              <w:t>2,231,864,187.51</w:t>
            </w:r>
          </w:p>
        </w:tc>
        <w:tc>
          <w:tcPr>
            <w:tcW w:w="2914" w:type="dxa"/>
            <w:tcBorders>
              <w:top w:val="single" w:sz="4" w:space="0" w:color="000000"/>
              <w:left w:val="single" w:sz="4" w:space="0" w:color="000000"/>
            </w:tcBorders>
          </w:tcPr>
          <w:p>
            <w:pPr>
              <w:pStyle w:val="TableParagraph"/>
              <w:spacing w:line="235" w:lineRule="exact"/>
              <w:ind w:right="86"/>
              <w:jc w:val="right"/>
              <w:rPr>
                <w:sz w:val="21"/>
              </w:rPr>
            </w:pPr>
            <w:r>
              <w:rPr>
                <w:sz w:val="21"/>
              </w:rPr>
              <w:t>2,296,216,280.86</w:t>
            </w:r>
          </w:p>
        </w:tc>
      </w:tr>
    </w:tbl>
    <w:p>
      <w:pPr>
        <w:pStyle w:val="BodyText"/>
        <w:spacing w:before="3"/>
        <w:ind w:left="1538"/>
      </w:pPr>
      <w:r>
        <w:rPr>
          <w:w w:val="100"/>
        </w:rPr>
        <w:t> </w:t>
      </w:r>
    </w:p>
    <w:p>
      <w:pPr>
        <w:spacing w:after="0"/>
        <w:sectPr>
          <w:pgSz w:w="11910" w:h="16840"/>
          <w:pgMar w:header="876" w:footer="1203" w:top="1440" w:bottom="1400" w:left="260" w:right="0"/>
        </w:sectPr>
      </w:pPr>
    </w:p>
    <w:p>
      <w:pPr>
        <w:pStyle w:val="Heading4"/>
        <w:numPr>
          <w:ilvl w:val="0"/>
          <w:numId w:val="65"/>
        </w:numPr>
        <w:tabs>
          <w:tab w:pos="1966" w:val="left" w:leader="none"/>
        </w:tabs>
        <w:spacing w:line="385" w:lineRule="exact" w:before="0" w:after="0"/>
        <w:ind w:left="1965" w:right="0" w:hanging="428"/>
        <w:jc w:val="left"/>
      </w:pPr>
      <w:r>
        <w:rPr>
          <w:spacing w:val="-2"/>
        </w:rPr>
        <w:t>会计利润与所得税费用调整过程</w:t>
      </w:r>
    </w:p>
    <w:p>
      <w:pPr>
        <w:pStyle w:val="BodyText"/>
        <w:spacing w:before="17"/>
        <w:ind w:left="1538"/>
      </w:pPr>
      <w:r>
        <w:rPr/>
        <w:t>√适用 □不适用</w:t>
      </w:r>
    </w:p>
    <w:p>
      <w:pPr>
        <w:pStyle w:val="BodyText"/>
        <w:tabs>
          <w:tab w:pos="9111" w:val="left" w:leader="none"/>
        </w:tabs>
        <w:spacing w:before="2" w:after="4"/>
        <w:ind w:left="8059"/>
      </w:pPr>
      <w:r>
        <w:rPr/>
        <w:t>单位：元</w:t>
        <w:tab/>
        <w:t>币</w:t>
      </w:r>
      <w:r>
        <w:rPr>
          <w:spacing w:val="-3"/>
        </w:rPr>
        <w:t>种</w:t>
      </w:r>
      <w:r>
        <w:rPr/>
        <w:t>：</w:t>
      </w:r>
      <w:r>
        <w:rPr>
          <w:spacing w:val="-3"/>
        </w:rPr>
        <w:t>人</w:t>
      </w:r>
      <w:r>
        <w:rPr/>
        <w:t>民币</w:t>
      </w:r>
    </w:p>
    <w:tbl>
      <w:tblPr>
        <w:tblW w:w="0" w:type="auto"/>
        <w:jc w:val="left"/>
        <w:tblInd w:w="14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202"/>
        <w:gridCol w:w="1856"/>
      </w:tblGrid>
      <w:tr>
        <w:trPr>
          <w:trHeight w:val="272" w:hRule="atLeast"/>
        </w:trPr>
        <w:tc>
          <w:tcPr>
            <w:tcW w:w="7202" w:type="dxa"/>
            <w:tcBorders>
              <w:bottom w:val="single" w:sz="4" w:space="0" w:color="000000"/>
              <w:right w:val="single" w:sz="4" w:space="0" w:color="000000"/>
            </w:tcBorders>
          </w:tcPr>
          <w:p>
            <w:pPr>
              <w:pStyle w:val="TableParagraph"/>
              <w:spacing w:line="253" w:lineRule="exact"/>
              <w:ind w:left="3369" w:right="3352"/>
              <w:jc w:val="center"/>
              <w:rPr>
                <w:rFonts w:ascii="Microsoft JhengHei" w:eastAsia="Microsoft JhengHei" w:hint="eastAsia"/>
                <w:b/>
                <w:sz w:val="21"/>
              </w:rPr>
            </w:pPr>
            <w:r>
              <w:rPr>
                <w:rFonts w:ascii="Microsoft JhengHei" w:eastAsia="Microsoft JhengHei" w:hint="eastAsia"/>
                <w:b/>
                <w:sz w:val="21"/>
              </w:rPr>
              <w:t>项目</w:t>
            </w:r>
          </w:p>
        </w:tc>
        <w:tc>
          <w:tcPr>
            <w:tcW w:w="1856" w:type="dxa"/>
            <w:tcBorders>
              <w:left w:val="single" w:sz="4" w:space="0" w:color="000000"/>
              <w:bottom w:val="single" w:sz="4" w:space="0" w:color="000000"/>
            </w:tcBorders>
          </w:tcPr>
          <w:p>
            <w:pPr>
              <w:pStyle w:val="TableParagraph"/>
              <w:spacing w:line="253" w:lineRule="exact"/>
              <w:ind w:left="407"/>
              <w:rPr>
                <w:rFonts w:ascii="Microsoft JhengHei" w:eastAsia="Microsoft JhengHei" w:hint="eastAsia"/>
                <w:b/>
                <w:sz w:val="21"/>
              </w:rPr>
            </w:pPr>
            <w:r>
              <w:rPr>
                <w:rFonts w:ascii="Microsoft JhengHei" w:eastAsia="Microsoft JhengHei" w:hint="eastAsia"/>
                <w:b/>
                <w:sz w:val="21"/>
              </w:rPr>
              <w:t>本期发生额</w:t>
            </w:r>
          </w:p>
        </w:tc>
      </w:tr>
      <w:tr>
        <w:trPr>
          <w:trHeight w:val="270" w:hRule="atLeast"/>
        </w:trPr>
        <w:tc>
          <w:tcPr>
            <w:tcW w:w="7202" w:type="dxa"/>
            <w:tcBorders>
              <w:top w:val="single" w:sz="4" w:space="0" w:color="000000"/>
              <w:bottom w:val="single" w:sz="4" w:space="0" w:color="000000"/>
              <w:right w:val="single" w:sz="4" w:space="0" w:color="000000"/>
            </w:tcBorders>
          </w:tcPr>
          <w:p>
            <w:pPr>
              <w:pStyle w:val="TableParagraph"/>
              <w:spacing w:line="250" w:lineRule="exact" w:before="1"/>
              <w:ind w:left="112"/>
              <w:rPr>
                <w:rFonts w:ascii="宋体" w:eastAsia="宋体" w:hint="eastAsia"/>
                <w:sz w:val="21"/>
              </w:rPr>
            </w:pPr>
            <w:r>
              <w:rPr>
                <w:rFonts w:ascii="宋体" w:eastAsia="宋体" w:hint="eastAsia"/>
                <w:sz w:val="21"/>
              </w:rPr>
              <w:t>利润总额</w:t>
            </w:r>
          </w:p>
        </w:tc>
        <w:tc>
          <w:tcPr>
            <w:tcW w:w="1856" w:type="dxa"/>
            <w:tcBorders>
              <w:top w:val="single" w:sz="4" w:space="0" w:color="000000"/>
              <w:left w:val="single" w:sz="4" w:space="0" w:color="000000"/>
              <w:bottom w:val="single" w:sz="4" w:space="0" w:color="000000"/>
            </w:tcBorders>
          </w:tcPr>
          <w:p>
            <w:pPr>
              <w:pStyle w:val="TableParagraph"/>
              <w:spacing w:before="7"/>
              <w:ind w:right="82"/>
              <w:jc w:val="right"/>
              <w:rPr>
                <w:sz w:val="21"/>
              </w:rPr>
            </w:pPr>
            <w:r>
              <w:rPr>
                <w:sz w:val="21"/>
              </w:rPr>
              <w:t>13,554,480,464.79</w:t>
            </w:r>
          </w:p>
        </w:tc>
      </w:tr>
      <w:tr>
        <w:trPr>
          <w:trHeight w:val="273" w:hRule="atLeast"/>
        </w:trPr>
        <w:tc>
          <w:tcPr>
            <w:tcW w:w="7202" w:type="dxa"/>
            <w:tcBorders>
              <w:top w:val="single" w:sz="4" w:space="0" w:color="000000"/>
              <w:bottom w:val="single" w:sz="4" w:space="0" w:color="000000"/>
              <w:right w:val="single" w:sz="4" w:space="0" w:color="000000"/>
            </w:tcBorders>
          </w:tcPr>
          <w:p>
            <w:pPr>
              <w:pStyle w:val="TableParagraph"/>
              <w:spacing w:line="250" w:lineRule="exact" w:before="3"/>
              <w:ind w:left="112"/>
              <w:rPr>
                <w:rFonts w:ascii="宋体" w:eastAsia="宋体" w:hint="eastAsia"/>
                <w:sz w:val="21"/>
              </w:rPr>
            </w:pPr>
            <w:r>
              <w:rPr>
                <w:rFonts w:ascii="宋体" w:eastAsia="宋体" w:hint="eastAsia"/>
                <w:sz w:val="21"/>
              </w:rPr>
              <w:t>按法定</w:t>
            </w:r>
            <w:r>
              <w:rPr>
                <w:sz w:val="21"/>
              </w:rPr>
              <w:t>/</w:t>
            </w:r>
            <w:r>
              <w:rPr>
                <w:rFonts w:ascii="宋体" w:eastAsia="宋体" w:hint="eastAsia"/>
                <w:sz w:val="21"/>
              </w:rPr>
              <w:t>适用税率计算的所得税费用</w:t>
            </w:r>
          </w:p>
        </w:tc>
        <w:tc>
          <w:tcPr>
            <w:tcW w:w="1856" w:type="dxa"/>
            <w:tcBorders>
              <w:top w:val="single" w:sz="4" w:space="0" w:color="000000"/>
              <w:left w:val="single" w:sz="4" w:space="0" w:color="000000"/>
              <w:bottom w:val="single" w:sz="4" w:space="0" w:color="000000"/>
            </w:tcBorders>
          </w:tcPr>
          <w:p>
            <w:pPr>
              <w:pStyle w:val="TableParagraph"/>
              <w:spacing w:before="10"/>
              <w:ind w:right="82"/>
              <w:jc w:val="right"/>
              <w:rPr>
                <w:sz w:val="21"/>
              </w:rPr>
            </w:pPr>
            <w:r>
              <w:rPr>
                <w:sz w:val="21"/>
              </w:rPr>
              <w:t>3,388,620,116.20</w:t>
            </w:r>
          </w:p>
        </w:tc>
      </w:tr>
      <w:tr>
        <w:trPr>
          <w:trHeight w:val="273" w:hRule="atLeast"/>
        </w:trPr>
        <w:tc>
          <w:tcPr>
            <w:tcW w:w="7202" w:type="dxa"/>
            <w:tcBorders>
              <w:top w:val="single" w:sz="4" w:space="0" w:color="000000"/>
              <w:bottom w:val="single" w:sz="4" w:space="0" w:color="000000"/>
              <w:right w:val="single" w:sz="4" w:space="0" w:color="000000"/>
            </w:tcBorders>
          </w:tcPr>
          <w:p>
            <w:pPr>
              <w:pStyle w:val="TableParagraph"/>
              <w:spacing w:line="252" w:lineRule="exact" w:before="1"/>
              <w:ind w:left="112"/>
              <w:rPr>
                <w:rFonts w:ascii="宋体" w:eastAsia="宋体" w:hint="eastAsia"/>
                <w:sz w:val="21"/>
              </w:rPr>
            </w:pPr>
            <w:r>
              <w:rPr>
                <w:rFonts w:ascii="宋体" w:eastAsia="宋体" w:hint="eastAsia"/>
                <w:sz w:val="21"/>
              </w:rPr>
              <w:t>子公司适用不同税率的影响</w:t>
            </w:r>
          </w:p>
        </w:tc>
        <w:tc>
          <w:tcPr>
            <w:tcW w:w="1856" w:type="dxa"/>
            <w:tcBorders>
              <w:top w:val="single" w:sz="4" w:space="0" w:color="000000"/>
              <w:left w:val="single" w:sz="4" w:space="0" w:color="000000"/>
              <w:bottom w:val="single" w:sz="4" w:space="0" w:color="000000"/>
            </w:tcBorders>
          </w:tcPr>
          <w:p>
            <w:pPr>
              <w:pStyle w:val="TableParagraph"/>
              <w:spacing w:before="10"/>
              <w:ind w:right="82"/>
              <w:jc w:val="right"/>
              <w:rPr>
                <w:sz w:val="21"/>
              </w:rPr>
            </w:pPr>
            <w:r>
              <w:rPr>
                <w:sz w:val="21"/>
              </w:rPr>
              <w:t>-476,817,215.17</w:t>
            </w:r>
          </w:p>
        </w:tc>
      </w:tr>
      <w:tr>
        <w:trPr>
          <w:trHeight w:val="270" w:hRule="atLeast"/>
        </w:trPr>
        <w:tc>
          <w:tcPr>
            <w:tcW w:w="7202" w:type="dxa"/>
            <w:tcBorders>
              <w:top w:val="single" w:sz="4" w:space="0" w:color="000000"/>
              <w:bottom w:val="single" w:sz="4" w:space="0" w:color="000000"/>
              <w:right w:val="single" w:sz="4" w:space="0" w:color="000000"/>
            </w:tcBorders>
          </w:tcPr>
          <w:p>
            <w:pPr>
              <w:pStyle w:val="TableParagraph"/>
              <w:spacing w:line="250" w:lineRule="exact" w:before="1"/>
              <w:ind w:left="112"/>
              <w:rPr>
                <w:rFonts w:ascii="宋体" w:eastAsia="宋体" w:hint="eastAsia"/>
                <w:sz w:val="21"/>
              </w:rPr>
            </w:pPr>
            <w:r>
              <w:rPr>
                <w:rFonts w:ascii="宋体" w:eastAsia="宋体" w:hint="eastAsia"/>
                <w:sz w:val="21"/>
              </w:rPr>
              <w:t>调整以前期间所得税的影响</w:t>
            </w:r>
          </w:p>
        </w:tc>
        <w:tc>
          <w:tcPr>
            <w:tcW w:w="1856" w:type="dxa"/>
            <w:tcBorders>
              <w:top w:val="single" w:sz="4" w:space="0" w:color="000000"/>
              <w:left w:val="single" w:sz="4" w:space="0" w:color="000000"/>
              <w:bottom w:val="single" w:sz="4" w:space="0" w:color="000000"/>
            </w:tcBorders>
          </w:tcPr>
          <w:p>
            <w:pPr>
              <w:pStyle w:val="TableParagraph"/>
              <w:spacing w:before="7"/>
              <w:ind w:right="82"/>
              <w:jc w:val="right"/>
              <w:rPr>
                <w:sz w:val="21"/>
              </w:rPr>
            </w:pPr>
            <w:r>
              <w:rPr>
                <w:sz w:val="21"/>
              </w:rPr>
              <w:t>-460,426,528.21</w:t>
            </w:r>
          </w:p>
        </w:tc>
      </w:tr>
      <w:tr>
        <w:trPr>
          <w:trHeight w:val="273" w:hRule="atLeast"/>
        </w:trPr>
        <w:tc>
          <w:tcPr>
            <w:tcW w:w="7202" w:type="dxa"/>
            <w:tcBorders>
              <w:top w:val="single" w:sz="4" w:space="0" w:color="000000"/>
              <w:bottom w:val="single" w:sz="4" w:space="0" w:color="000000"/>
              <w:right w:val="single" w:sz="4" w:space="0" w:color="000000"/>
            </w:tcBorders>
          </w:tcPr>
          <w:p>
            <w:pPr>
              <w:pStyle w:val="TableParagraph"/>
              <w:spacing w:line="250" w:lineRule="exact" w:before="3"/>
              <w:ind w:left="112"/>
              <w:rPr>
                <w:rFonts w:ascii="宋体" w:eastAsia="宋体" w:hint="eastAsia"/>
                <w:sz w:val="21"/>
              </w:rPr>
            </w:pPr>
            <w:r>
              <w:rPr>
                <w:rFonts w:ascii="宋体" w:eastAsia="宋体" w:hint="eastAsia"/>
                <w:sz w:val="21"/>
              </w:rPr>
              <w:t>非应税收入的影响</w:t>
            </w:r>
          </w:p>
        </w:tc>
        <w:tc>
          <w:tcPr>
            <w:tcW w:w="1856" w:type="dxa"/>
            <w:tcBorders>
              <w:top w:val="single" w:sz="4" w:space="0" w:color="000000"/>
              <w:left w:val="single" w:sz="4" w:space="0" w:color="000000"/>
              <w:bottom w:val="single" w:sz="4" w:space="0" w:color="000000"/>
            </w:tcBorders>
          </w:tcPr>
          <w:p>
            <w:pPr>
              <w:pStyle w:val="TableParagraph"/>
              <w:spacing w:before="10"/>
              <w:ind w:right="82"/>
              <w:jc w:val="right"/>
              <w:rPr>
                <w:sz w:val="21"/>
              </w:rPr>
            </w:pPr>
            <w:r>
              <w:rPr>
                <w:sz w:val="21"/>
              </w:rPr>
              <w:t>-581,537,475.46</w:t>
            </w:r>
          </w:p>
        </w:tc>
      </w:tr>
      <w:tr>
        <w:trPr>
          <w:trHeight w:val="273" w:hRule="atLeast"/>
        </w:trPr>
        <w:tc>
          <w:tcPr>
            <w:tcW w:w="7202" w:type="dxa"/>
            <w:tcBorders>
              <w:top w:val="single" w:sz="4" w:space="0" w:color="000000"/>
              <w:bottom w:val="single" w:sz="4" w:space="0" w:color="000000"/>
              <w:right w:val="single" w:sz="4" w:space="0" w:color="000000"/>
            </w:tcBorders>
          </w:tcPr>
          <w:p>
            <w:pPr>
              <w:pStyle w:val="TableParagraph"/>
              <w:spacing w:line="252" w:lineRule="exact" w:before="1"/>
              <w:ind w:left="112"/>
              <w:rPr>
                <w:rFonts w:ascii="宋体" w:eastAsia="宋体" w:hint="eastAsia"/>
                <w:sz w:val="21"/>
              </w:rPr>
            </w:pPr>
            <w:r>
              <w:rPr>
                <w:rFonts w:ascii="宋体" w:eastAsia="宋体" w:hint="eastAsia"/>
                <w:sz w:val="21"/>
              </w:rPr>
              <w:t>不可抵扣的成本、费用和损失的影响</w:t>
            </w:r>
          </w:p>
        </w:tc>
        <w:tc>
          <w:tcPr>
            <w:tcW w:w="1856" w:type="dxa"/>
            <w:tcBorders>
              <w:top w:val="single" w:sz="4" w:space="0" w:color="000000"/>
              <w:left w:val="single" w:sz="4" w:space="0" w:color="000000"/>
              <w:bottom w:val="single" w:sz="4" w:space="0" w:color="000000"/>
            </w:tcBorders>
          </w:tcPr>
          <w:p>
            <w:pPr>
              <w:pStyle w:val="TableParagraph"/>
              <w:spacing w:before="10"/>
              <w:ind w:right="82"/>
              <w:jc w:val="right"/>
              <w:rPr>
                <w:sz w:val="21"/>
              </w:rPr>
            </w:pPr>
            <w:r>
              <w:rPr>
                <w:sz w:val="21"/>
              </w:rPr>
              <w:t>269,427,976.15</w:t>
            </w:r>
          </w:p>
        </w:tc>
      </w:tr>
      <w:tr>
        <w:trPr>
          <w:trHeight w:val="270" w:hRule="atLeast"/>
        </w:trPr>
        <w:tc>
          <w:tcPr>
            <w:tcW w:w="7202" w:type="dxa"/>
            <w:tcBorders>
              <w:top w:val="single" w:sz="4" w:space="0" w:color="000000"/>
              <w:bottom w:val="single" w:sz="4" w:space="0" w:color="000000"/>
              <w:right w:val="single" w:sz="4" w:space="0" w:color="000000"/>
            </w:tcBorders>
          </w:tcPr>
          <w:p>
            <w:pPr>
              <w:pStyle w:val="TableParagraph"/>
              <w:spacing w:line="250" w:lineRule="exact" w:before="1"/>
              <w:ind w:left="112"/>
              <w:rPr>
                <w:rFonts w:ascii="宋体" w:eastAsia="宋体" w:hint="eastAsia"/>
                <w:sz w:val="21"/>
              </w:rPr>
            </w:pPr>
            <w:r>
              <w:rPr>
                <w:rFonts w:ascii="宋体" w:eastAsia="宋体" w:hint="eastAsia"/>
                <w:sz w:val="21"/>
              </w:rPr>
              <w:t>本期未确认递延所得税资产的可抵扣暂时性差异或可抵扣亏损的影响</w:t>
            </w:r>
          </w:p>
        </w:tc>
        <w:tc>
          <w:tcPr>
            <w:tcW w:w="1856" w:type="dxa"/>
            <w:tcBorders>
              <w:top w:val="single" w:sz="4" w:space="0" w:color="000000"/>
              <w:left w:val="single" w:sz="4" w:space="0" w:color="000000"/>
              <w:bottom w:val="single" w:sz="4" w:space="0" w:color="000000"/>
            </w:tcBorders>
          </w:tcPr>
          <w:p>
            <w:pPr>
              <w:pStyle w:val="TableParagraph"/>
              <w:spacing w:before="7"/>
              <w:ind w:right="82"/>
              <w:jc w:val="right"/>
              <w:rPr>
                <w:sz w:val="21"/>
              </w:rPr>
            </w:pPr>
            <w:r>
              <w:rPr>
                <w:sz w:val="21"/>
              </w:rPr>
              <w:t>92,597,314.00</w:t>
            </w:r>
          </w:p>
        </w:tc>
      </w:tr>
      <w:tr>
        <w:trPr>
          <w:trHeight w:val="270" w:hRule="atLeast"/>
        </w:trPr>
        <w:tc>
          <w:tcPr>
            <w:tcW w:w="7202" w:type="dxa"/>
            <w:tcBorders>
              <w:top w:val="single" w:sz="4" w:space="0" w:color="000000"/>
              <w:right w:val="single" w:sz="4" w:space="0" w:color="000000"/>
            </w:tcBorders>
          </w:tcPr>
          <w:p>
            <w:pPr>
              <w:pStyle w:val="TableParagraph"/>
              <w:spacing w:line="249" w:lineRule="exact" w:before="1"/>
              <w:ind w:left="112"/>
              <w:rPr>
                <w:rFonts w:ascii="宋体" w:eastAsia="宋体" w:hint="eastAsia"/>
                <w:sz w:val="21"/>
              </w:rPr>
            </w:pPr>
            <w:r>
              <w:rPr>
                <w:rFonts w:ascii="宋体" w:eastAsia="宋体" w:hint="eastAsia"/>
                <w:sz w:val="21"/>
              </w:rPr>
              <w:t>所得税费用</w:t>
            </w:r>
          </w:p>
        </w:tc>
        <w:tc>
          <w:tcPr>
            <w:tcW w:w="1856" w:type="dxa"/>
            <w:tcBorders>
              <w:top w:val="single" w:sz="4" w:space="0" w:color="000000"/>
              <w:left w:val="single" w:sz="4" w:space="0" w:color="000000"/>
            </w:tcBorders>
          </w:tcPr>
          <w:p>
            <w:pPr>
              <w:pStyle w:val="TableParagraph"/>
              <w:spacing w:line="240" w:lineRule="exact" w:before="10"/>
              <w:ind w:right="82"/>
              <w:jc w:val="right"/>
              <w:rPr>
                <w:sz w:val="21"/>
              </w:rPr>
            </w:pPr>
            <w:r>
              <w:rPr>
                <w:sz w:val="21"/>
              </w:rPr>
              <w:t>2,231,864,187.51</w:t>
            </w:r>
          </w:p>
        </w:tc>
      </w:tr>
    </w:tbl>
    <w:p>
      <w:pPr>
        <w:pStyle w:val="BodyText"/>
        <w:spacing w:before="3"/>
        <w:ind w:left="1538"/>
      </w:pPr>
      <w:r>
        <w:rPr>
          <w:w w:val="100"/>
        </w:rPr>
        <w:t> </w:t>
      </w:r>
    </w:p>
    <w:p>
      <w:pPr>
        <w:pStyle w:val="BodyText"/>
        <w:spacing w:before="65"/>
        <w:ind w:left="1538"/>
      </w:pPr>
      <w:r>
        <w:rPr/>
        <w:t>其他说明：</w:t>
      </w:r>
    </w:p>
    <w:p>
      <w:pPr>
        <w:pStyle w:val="BodyText"/>
        <w:spacing w:before="63"/>
        <w:ind w:left="1538"/>
      </w:pPr>
      <w:r>
        <w:rPr/>
        <w:t>□适用 √不适用</w:t>
      </w:r>
    </w:p>
    <w:p>
      <w:pPr>
        <w:pStyle w:val="BodyText"/>
        <w:spacing w:before="2"/>
        <w:rPr>
          <w:sz w:val="23"/>
        </w:rPr>
      </w:pPr>
    </w:p>
    <w:p>
      <w:pPr>
        <w:pStyle w:val="Heading4"/>
        <w:spacing w:before="1"/>
      </w:pPr>
      <w:r>
        <w:rPr>
          <w:rFonts w:ascii="Times New Roman" w:eastAsia="Times New Roman"/>
        </w:rPr>
        <w:t>64</w:t>
      </w:r>
      <w:r>
        <w:rPr/>
        <w:t>、 其他综合收益</w:t>
      </w:r>
    </w:p>
    <w:p>
      <w:pPr>
        <w:pStyle w:val="BodyText"/>
        <w:spacing w:before="14"/>
        <w:ind w:left="1538"/>
      </w:pPr>
      <w:r>
        <w:rPr/>
        <w:t>√适用 □不适用</w:t>
      </w:r>
    </w:p>
    <w:p>
      <w:pPr>
        <w:pStyle w:val="BodyText"/>
        <w:spacing w:before="2"/>
        <w:ind w:left="1962"/>
      </w:pPr>
      <w:r>
        <w:rPr/>
        <w:t>详见附注七、</w:t>
      </w:r>
      <w:r>
        <w:rPr>
          <w:rFonts w:ascii="Times New Roman" w:eastAsia="Times New Roman"/>
        </w:rPr>
        <w:t>46</w:t>
      </w:r>
      <w:r>
        <w:rPr/>
        <w:t>。</w:t>
      </w:r>
    </w:p>
    <w:p>
      <w:pPr>
        <w:pStyle w:val="BodyText"/>
        <w:spacing w:before="7"/>
        <w:rPr>
          <w:sz w:val="18"/>
        </w:rPr>
      </w:pPr>
    </w:p>
    <w:p>
      <w:pPr>
        <w:pStyle w:val="Heading4"/>
      </w:pPr>
      <w:r>
        <w:rPr>
          <w:rFonts w:ascii="Times New Roman" w:eastAsia="Times New Roman"/>
        </w:rPr>
        <w:t>65</w:t>
      </w:r>
      <w:r>
        <w:rPr>
          <w:spacing w:val="-1"/>
        </w:rPr>
        <w:t>、 收到其他与经营活动有关的现金</w:t>
      </w:r>
    </w:p>
    <w:p>
      <w:pPr>
        <w:pStyle w:val="BodyText"/>
        <w:spacing w:before="14" w:after="4"/>
        <w:ind w:left="1538"/>
      </w:pPr>
      <w:r>
        <w:rPr>
          <w:w w:val="100"/>
        </w:rPr>
        <w:t> </w:t>
      </w:r>
    </w:p>
    <w:tbl>
      <w:tblPr>
        <w:tblW w:w="0" w:type="auto"/>
        <w:jc w:val="left"/>
        <w:tblInd w:w="167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415"/>
        <w:gridCol w:w="4182"/>
      </w:tblGrid>
      <w:tr>
        <w:trPr>
          <w:trHeight w:val="368" w:hRule="atLeast"/>
        </w:trPr>
        <w:tc>
          <w:tcPr>
            <w:tcW w:w="4415" w:type="dxa"/>
            <w:tcBorders>
              <w:bottom w:val="single" w:sz="4" w:space="0" w:color="000000"/>
              <w:right w:val="single" w:sz="4" w:space="0" w:color="000000"/>
            </w:tcBorders>
          </w:tcPr>
          <w:p>
            <w:pPr>
              <w:pStyle w:val="TableParagraph"/>
              <w:spacing w:line="349" w:lineRule="exact"/>
              <w:ind w:right="1978"/>
              <w:jc w:val="right"/>
              <w:rPr>
                <w:rFonts w:ascii="Microsoft JhengHei" w:eastAsia="Microsoft JhengHei" w:hint="eastAsia"/>
                <w:b/>
                <w:sz w:val="21"/>
              </w:rPr>
            </w:pPr>
            <w:r>
              <w:rPr>
                <w:rFonts w:ascii="Microsoft JhengHei" w:eastAsia="Microsoft JhengHei" w:hint="eastAsia"/>
                <w:b/>
                <w:sz w:val="21"/>
              </w:rPr>
              <w:t>项目</w:t>
            </w:r>
          </w:p>
        </w:tc>
        <w:tc>
          <w:tcPr>
            <w:tcW w:w="4182" w:type="dxa"/>
            <w:tcBorders>
              <w:left w:val="single" w:sz="4" w:space="0" w:color="000000"/>
              <w:bottom w:val="single" w:sz="4" w:space="0" w:color="000000"/>
            </w:tcBorders>
          </w:tcPr>
          <w:p>
            <w:pPr>
              <w:pStyle w:val="TableParagraph"/>
              <w:spacing w:line="349" w:lineRule="exact"/>
              <w:ind w:left="1866" w:right="1835"/>
              <w:jc w:val="center"/>
              <w:rPr>
                <w:rFonts w:ascii="Microsoft JhengHei" w:eastAsia="Microsoft JhengHei" w:hint="eastAsia"/>
                <w:b/>
                <w:sz w:val="21"/>
              </w:rPr>
            </w:pPr>
            <w:r>
              <w:rPr>
                <w:rFonts w:ascii="Microsoft JhengHei" w:eastAsia="Microsoft JhengHei" w:hint="eastAsia"/>
                <w:b/>
                <w:sz w:val="21"/>
              </w:rPr>
              <w:t>金额</w:t>
            </w:r>
          </w:p>
        </w:tc>
      </w:tr>
      <w:tr>
        <w:trPr>
          <w:trHeight w:val="369" w:hRule="atLeast"/>
        </w:trPr>
        <w:tc>
          <w:tcPr>
            <w:tcW w:w="4415" w:type="dxa"/>
            <w:tcBorders>
              <w:top w:val="single" w:sz="4" w:space="0" w:color="000000"/>
              <w:bottom w:val="single" w:sz="4" w:space="0" w:color="000000"/>
              <w:right w:val="single" w:sz="4" w:space="0" w:color="000000"/>
            </w:tcBorders>
          </w:tcPr>
          <w:p>
            <w:pPr>
              <w:pStyle w:val="TableParagraph"/>
              <w:spacing w:before="49"/>
              <w:ind w:left="104"/>
              <w:rPr>
                <w:rFonts w:ascii="宋体" w:eastAsia="宋体" w:hint="eastAsia"/>
                <w:sz w:val="21"/>
              </w:rPr>
            </w:pPr>
            <w:r>
              <w:rPr>
                <w:rFonts w:ascii="宋体" w:eastAsia="宋体" w:hint="eastAsia"/>
                <w:sz w:val="21"/>
              </w:rPr>
              <w:t>保证金及押金</w:t>
            </w:r>
          </w:p>
        </w:tc>
        <w:tc>
          <w:tcPr>
            <w:tcW w:w="4182" w:type="dxa"/>
            <w:tcBorders>
              <w:top w:val="single" w:sz="4" w:space="0" w:color="000000"/>
              <w:left w:val="single" w:sz="4" w:space="0" w:color="000000"/>
              <w:bottom w:val="single" w:sz="4" w:space="0" w:color="000000"/>
            </w:tcBorders>
          </w:tcPr>
          <w:p>
            <w:pPr>
              <w:pStyle w:val="TableParagraph"/>
              <w:spacing w:before="55"/>
              <w:ind w:right="77"/>
              <w:jc w:val="right"/>
              <w:rPr>
                <w:sz w:val="21"/>
              </w:rPr>
            </w:pPr>
            <w:r>
              <w:rPr>
                <w:sz w:val="21"/>
              </w:rPr>
              <w:t>36,789,663.37</w:t>
            </w:r>
          </w:p>
        </w:tc>
      </w:tr>
      <w:tr>
        <w:trPr>
          <w:trHeight w:val="369" w:hRule="atLeast"/>
        </w:trPr>
        <w:tc>
          <w:tcPr>
            <w:tcW w:w="4415" w:type="dxa"/>
            <w:tcBorders>
              <w:top w:val="single" w:sz="4" w:space="0" w:color="000000"/>
              <w:bottom w:val="single" w:sz="4" w:space="0" w:color="000000"/>
              <w:right w:val="single" w:sz="4" w:space="0" w:color="000000"/>
            </w:tcBorders>
          </w:tcPr>
          <w:p>
            <w:pPr>
              <w:pStyle w:val="TableParagraph"/>
              <w:spacing w:before="49"/>
              <w:ind w:left="104"/>
              <w:rPr>
                <w:rFonts w:ascii="宋体" w:eastAsia="宋体" w:hint="eastAsia"/>
                <w:sz w:val="21"/>
              </w:rPr>
            </w:pPr>
            <w:r>
              <w:rPr>
                <w:rFonts w:ascii="宋体" w:eastAsia="宋体" w:hint="eastAsia"/>
                <w:sz w:val="21"/>
              </w:rPr>
              <w:t>政府补助</w:t>
            </w:r>
          </w:p>
        </w:tc>
        <w:tc>
          <w:tcPr>
            <w:tcW w:w="4182" w:type="dxa"/>
            <w:tcBorders>
              <w:top w:val="single" w:sz="4" w:space="0" w:color="000000"/>
              <w:left w:val="single" w:sz="4" w:space="0" w:color="000000"/>
              <w:bottom w:val="single" w:sz="4" w:space="0" w:color="000000"/>
            </w:tcBorders>
          </w:tcPr>
          <w:p>
            <w:pPr>
              <w:pStyle w:val="TableParagraph"/>
              <w:spacing w:before="56"/>
              <w:ind w:right="77"/>
              <w:jc w:val="right"/>
              <w:rPr>
                <w:sz w:val="21"/>
              </w:rPr>
            </w:pPr>
            <w:r>
              <w:rPr>
                <w:sz w:val="21"/>
              </w:rPr>
              <w:t>941,626,605.90</w:t>
            </w:r>
          </w:p>
        </w:tc>
      </w:tr>
      <w:tr>
        <w:trPr>
          <w:trHeight w:val="369" w:hRule="atLeast"/>
        </w:trPr>
        <w:tc>
          <w:tcPr>
            <w:tcW w:w="4415" w:type="dxa"/>
            <w:tcBorders>
              <w:top w:val="single" w:sz="4" w:space="0" w:color="000000"/>
              <w:bottom w:val="single" w:sz="4" w:space="0" w:color="000000"/>
              <w:right w:val="single" w:sz="4" w:space="0" w:color="000000"/>
            </w:tcBorders>
          </w:tcPr>
          <w:p>
            <w:pPr>
              <w:pStyle w:val="TableParagraph"/>
              <w:spacing w:before="49"/>
              <w:ind w:left="104"/>
              <w:rPr>
                <w:rFonts w:ascii="宋体" w:eastAsia="宋体" w:hint="eastAsia"/>
                <w:sz w:val="21"/>
              </w:rPr>
            </w:pPr>
            <w:r>
              <w:rPr>
                <w:rFonts w:ascii="宋体" w:eastAsia="宋体" w:hint="eastAsia"/>
                <w:sz w:val="21"/>
              </w:rPr>
              <w:t>除政府补助外营业外收入</w:t>
            </w:r>
          </w:p>
        </w:tc>
        <w:tc>
          <w:tcPr>
            <w:tcW w:w="4182" w:type="dxa"/>
            <w:tcBorders>
              <w:top w:val="single" w:sz="4" w:space="0" w:color="000000"/>
              <w:left w:val="single" w:sz="4" w:space="0" w:color="000000"/>
              <w:bottom w:val="single" w:sz="4" w:space="0" w:color="000000"/>
            </w:tcBorders>
          </w:tcPr>
          <w:p>
            <w:pPr>
              <w:pStyle w:val="TableParagraph"/>
              <w:spacing w:before="55"/>
              <w:ind w:right="79"/>
              <w:jc w:val="right"/>
              <w:rPr>
                <w:sz w:val="21"/>
              </w:rPr>
            </w:pPr>
            <w:r>
              <w:rPr>
                <w:sz w:val="21"/>
              </w:rPr>
              <w:t>108,560,778.77</w:t>
            </w:r>
          </w:p>
        </w:tc>
      </w:tr>
      <w:tr>
        <w:trPr>
          <w:trHeight w:val="366" w:hRule="atLeast"/>
        </w:trPr>
        <w:tc>
          <w:tcPr>
            <w:tcW w:w="4415" w:type="dxa"/>
            <w:tcBorders>
              <w:top w:val="single" w:sz="4" w:space="0" w:color="000000"/>
              <w:bottom w:val="single" w:sz="4" w:space="0" w:color="000000"/>
              <w:right w:val="single" w:sz="4" w:space="0" w:color="000000"/>
            </w:tcBorders>
          </w:tcPr>
          <w:p>
            <w:pPr>
              <w:pStyle w:val="TableParagraph"/>
              <w:spacing w:before="49"/>
              <w:ind w:left="104"/>
              <w:rPr>
                <w:rFonts w:ascii="宋体" w:eastAsia="宋体" w:hint="eastAsia"/>
                <w:sz w:val="21"/>
              </w:rPr>
            </w:pPr>
            <w:r>
              <w:rPr>
                <w:rFonts w:ascii="宋体" w:eastAsia="宋体" w:hint="eastAsia"/>
                <w:sz w:val="21"/>
              </w:rPr>
              <w:t>利息收入</w:t>
            </w:r>
          </w:p>
        </w:tc>
        <w:tc>
          <w:tcPr>
            <w:tcW w:w="4182" w:type="dxa"/>
            <w:tcBorders>
              <w:top w:val="single" w:sz="4" w:space="0" w:color="000000"/>
              <w:left w:val="single" w:sz="4" w:space="0" w:color="000000"/>
              <w:bottom w:val="single" w:sz="4" w:space="0" w:color="000000"/>
            </w:tcBorders>
          </w:tcPr>
          <w:p>
            <w:pPr>
              <w:pStyle w:val="TableParagraph"/>
              <w:spacing w:before="55"/>
              <w:ind w:right="79"/>
              <w:jc w:val="right"/>
              <w:rPr>
                <w:sz w:val="21"/>
              </w:rPr>
            </w:pPr>
            <w:r>
              <w:rPr>
                <w:sz w:val="21"/>
              </w:rPr>
              <w:t>437,718,310.82</w:t>
            </w:r>
          </w:p>
        </w:tc>
      </w:tr>
      <w:tr>
        <w:trPr>
          <w:trHeight w:val="369" w:hRule="atLeast"/>
        </w:trPr>
        <w:tc>
          <w:tcPr>
            <w:tcW w:w="4415" w:type="dxa"/>
            <w:tcBorders>
              <w:top w:val="single" w:sz="4" w:space="0" w:color="000000"/>
              <w:bottom w:val="single" w:sz="4" w:space="0" w:color="000000"/>
              <w:right w:val="single" w:sz="4" w:space="0" w:color="000000"/>
            </w:tcBorders>
          </w:tcPr>
          <w:p>
            <w:pPr>
              <w:pStyle w:val="TableParagraph"/>
              <w:spacing w:before="51"/>
              <w:ind w:left="104"/>
              <w:rPr>
                <w:rFonts w:ascii="宋体" w:eastAsia="宋体" w:hint="eastAsia"/>
                <w:sz w:val="21"/>
              </w:rPr>
            </w:pPr>
            <w:r>
              <w:rPr>
                <w:rFonts w:ascii="宋体" w:eastAsia="宋体" w:hint="eastAsia"/>
                <w:sz w:val="21"/>
              </w:rPr>
              <w:t>其他</w:t>
            </w:r>
          </w:p>
        </w:tc>
        <w:tc>
          <w:tcPr>
            <w:tcW w:w="4182" w:type="dxa"/>
            <w:tcBorders>
              <w:top w:val="single" w:sz="4" w:space="0" w:color="000000"/>
              <w:left w:val="single" w:sz="4" w:space="0" w:color="000000"/>
              <w:bottom w:val="single" w:sz="4" w:space="0" w:color="000000"/>
            </w:tcBorders>
          </w:tcPr>
          <w:p>
            <w:pPr>
              <w:pStyle w:val="TableParagraph"/>
              <w:spacing w:before="58"/>
              <w:ind w:right="77"/>
              <w:jc w:val="right"/>
              <w:rPr>
                <w:sz w:val="21"/>
              </w:rPr>
            </w:pPr>
            <w:r>
              <w:rPr>
                <w:sz w:val="21"/>
              </w:rPr>
              <w:t>13,649,128.24</w:t>
            </w:r>
          </w:p>
        </w:tc>
      </w:tr>
      <w:tr>
        <w:trPr>
          <w:trHeight w:val="368" w:hRule="atLeast"/>
        </w:trPr>
        <w:tc>
          <w:tcPr>
            <w:tcW w:w="4415" w:type="dxa"/>
            <w:tcBorders>
              <w:top w:val="single" w:sz="4" w:space="0" w:color="000000"/>
              <w:right w:val="single" w:sz="4" w:space="0" w:color="000000"/>
            </w:tcBorders>
          </w:tcPr>
          <w:p>
            <w:pPr>
              <w:pStyle w:val="TableParagraph"/>
              <w:spacing w:before="51"/>
              <w:ind w:right="1976"/>
              <w:jc w:val="right"/>
              <w:rPr>
                <w:rFonts w:ascii="宋体" w:eastAsia="宋体" w:hint="eastAsia"/>
                <w:sz w:val="21"/>
              </w:rPr>
            </w:pPr>
            <w:r>
              <w:rPr>
                <w:rFonts w:ascii="宋体" w:eastAsia="宋体" w:hint="eastAsia"/>
                <w:sz w:val="21"/>
              </w:rPr>
              <w:t>合计</w:t>
            </w:r>
          </w:p>
        </w:tc>
        <w:tc>
          <w:tcPr>
            <w:tcW w:w="4182" w:type="dxa"/>
            <w:tcBorders>
              <w:top w:val="single" w:sz="4" w:space="0" w:color="000000"/>
              <w:left w:val="single" w:sz="4" w:space="0" w:color="000000"/>
            </w:tcBorders>
          </w:tcPr>
          <w:p>
            <w:pPr>
              <w:pStyle w:val="TableParagraph"/>
              <w:spacing w:before="58"/>
              <w:ind w:right="77"/>
              <w:jc w:val="right"/>
              <w:rPr>
                <w:sz w:val="21"/>
              </w:rPr>
            </w:pPr>
            <w:r>
              <w:rPr>
                <w:sz w:val="21"/>
              </w:rPr>
              <w:t>1,538,344,487.10</w:t>
            </w:r>
          </w:p>
        </w:tc>
      </w:tr>
    </w:tbl>
    <w:p>
      <w:pPr>
        <w:pStyle w:val="BodyText"/>
        <w:spacing w:line="265" w:lineRule="exact" w:before="3"/>
        <w:ind w:left="1538"/>
      </w:pPr>
      <w:r>
        <w:rPr>
          <w:w w:val="100"/>
        </w:rPr>
        <w:t> </w:t>
      </w:r>
    </w:p>
    <w:p>
      <w:pPr>
        <w:pStyle w:val="Heading4"/>
        <w:spacing w:line="383" w:lineRule="exact"/>
      </w:pPr>
      <w:r>
        <w:rPr>
          <w:rFonts w:ascii="Times New Roman" w:eastAsia="Times New Roman"/>
        </w:rPr>
        <w:t>66</w:t>
      </w:r>
      <w:r>
        <w:rPr>
          <w:spacing w:val="-1"/>
        </w:rPr>
        <w:t>、 支付其他与经营活动有关的现金</w:t>
      </w:r>
    </w:p>
    <w:p>
      <w:pPr>
        <w:pStyle w:val="BodyText"/>
        <w:spacing w:before="17"/>
        <w:ind w:left="1538"/>
      </w:pPr>
      <w:r>
        <w:rPr>
          <w:w w:val="100"/>
        </w:rPr>
        <w:t> </w:t>
      </w:r>
    </w:p>
    <w:tbl>
      <w:tblPr>
        <w:tblW w:w="0" w:type="auto"/>
        <w:jc w:val="left"/>
        <w:tblInd w:w="162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470"/>
        <w:gridCol w:w="4218"/>
      </w:tblGrid>
      <w:tr>
        <w:trPr>
          <w:trHeight w:val="368" w:hRule="atLeast"/>
        </w:trPr>
        <w:tc>
          <w:tcPr>
            <w:tcW w:w="4470" w:type="dxa"/>
            <w:tcBorders>
              <w:bottom w:val="single" w:sz="4" w:space="0" w:color="000000"/>
              <w:right w:val="single" w:sz="4" w:space="0" w:color="000000"/>
            </w:tcBorders>
          </w:tcPr>
          <w:p>
            <w:pPr>
              <w:pStyle w:val="TableParagraph"/>
              <w:spacing w:line="349" w:lineRule="exact"/>
              <w:ind w:left="2004" w:right="1986"/>
              <w:jc w:val="center"/>
              <w:rPr>
                <w:rFonts w:ascii="Microsoft JhengHei" w:eastAsia="Microsoft JhengHei" w:hint="eastAsia"/>
                <w:b/>
                <w:sz w:val="21"/>
              </w:rPr>
            </w:pPr>
            <w:r>
              <w:rPr>
                <w:rFonts w:ascii="Microsoft JhengHei" w:eastAsia="Microsoft JhengHei" w:hint="eastAsia"/>
                <w:b/>
                <w:sz w:val="21"/>
              </w:rPr>
              <w:t>项目</w:t>
            </w:r>
          </w:p>
        </w:tc>
        <w:tc>
          <w:tcPr>
            <w:tcW w:w="4218" w:type="dxa"/>
            <w:tcBorders>
              <w:left w:val="single" w:sz="4" w:space="0" w:color="000000"/>
              <w:bottom w:val="single" w:sz="4" w:space="0" w:color="000000"/>
            </w:tcBorders>
          </w:tcPr>
          <w:p>
            <w:pPr>
              <w:pStyle w:val="TableParagraph"/>
              <w:spacing w:line="349" w:lineRule="exact"/>
              <w:ind w:left="1886" w:right="1852"/>
              <w:jc w:val="center"/>
              <w:rPr>
                <w:rFonts w:ascii="Microsoft JhengHei" w:eastAsia="Microsoft JhengHei" w:hint="eastAsia"/>
                <w:b/>
                <w:sz w:val="21"/>
              </w:rPr>
            </w:pPr>
            <w:r>
              <w:rPr>
                <w:rFonts w:ascii="Microsoft JhengHei" w:eastAsia="Microsoft JhengHei" w:hint="eastAsia"/>
                <w:b/>
                <w:sz w:val="21"/>
              </w:rPr>
              <w:t>金额</w:t>
            </w:r>
          </w:p>
        </w:tc>
      </w:tr>
      <w:tr>
        <w:trPr>
          <w:trHeight w:val="369" w:hRule="atLeast"/>
        </w:trPr>
        <w:tc>
          <w:tcPr>
            <w:tcW w:w="4470"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销售费用支付的现金</w:t>
            </w:r>
          </w:p>
        </w:tc>
        <w:tc>
          <w:tcPr>
            <w:tcW w:w="4218"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14,515,419,929.81</w:t>
            </w:r>
          </w:p>
        </w:tc>
      </w:tr>
      <w:tr>
        <w:trPr>
          <w:trHeight w:val="369" w:hRule="atLeast"/>
        </w:trPr>
        <w:tc>
          <w:tcPr>
            <w:tcW w:w="4470"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管理及研发费用支付的现金</w:t>
            </w:r>
          </w:p>
        </w:tc>
        <w:tc>
          <w:tcPr>
            <w:tcW w:w="4218"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6,286,961,784.16</w:t>
            </w:r>
          </w:p>
        </w:tc>
      </w:tr>
      <w:tr>
        <w:trPr>
          <w:trHeight w:val="369" w:hRule="atLeast"/>
        </w:trPr>
        <w:tc>
          <w:tcPr>
            <w:tcW w:w="4470"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财务费用支付的现金</w:t>
            </w:r>
          </w:p>
        </w:tc>
        <w:tc>
          <w:tcPr>
            <w:tcW w:w="4218"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147,769,900.77</w:t>
            </w:r>
          </w:p>
        </w:tc>
      </w:tr>
      <w:tr>
        <w:trPr>
          <w:trHeight w:val="369" w:hRule="atLeast"/>
        </w:trPr>
        <w:tc>
          <w:tcPr>
            <w:tcW w:w="4470"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营业外支出</w:t>
            </w:r>
          </w:p>
        </w:tc>
        <w:tc>
          <w:tcPr>
            <w:tcW w:w="4218"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60,600,741.26</w:t>
            </w:r>
          </w:p>
        </w:tc>
      </w:tr>
      <w:tr>
        <w:trPr>
          <w:trHeight w:val="369" w:hRule="atLeast"/>
        </w:trPr>
        <w:tc>
          <w:tcPr>
            <w:tcW w:w="4470"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其他</w:t>
            </w:r>
          </w:p>
        </w:tc>
        <w:tc>
          <w:tcPr>
            <w:tcW w:w="4218"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80,476,736.60</w:t>
            </w:r>
          </w:p>
        </w:tc>
      </w:tr>
      <w:tr>
        <w:trPr>
          <w:trHeight w:val="366" w:hRule="atLeast"/>
        </w:trPr>
        <w:tc>
          <w:tcPr>
            <w:tcW w:w="4470" w:type="dxa"/>
            <w:tcBorders>
              <w:top w:val="single" w:sz="4" w:space="0" w:color="000000"/>
              <w:right w:val="single" w:sz="4" w:space="0" w:color="000000"/>
            </w:tcBorders>
          </w:tcPr>
          <w:p>
            <w:pPr>
              <w:pStyle w:val="TableParagraph"/>
              <w:spacing w:before="49"/>
              <w:ind w:left="2004" w:right="1986"/>
              <w:jc w:val="center"/>
              <w:rPr>
                <w:rFonts w:ascii="宋体" w:eastAsia="宋体" w:hint="eastAsia"/>
                <w:sz w:val="21"/>
              </w:rPr>
            </w:pPr>
            <w:r>
              <w:rPr>
                <w:rFonts w:ascii="宋体" w:eastAsia="宋体" w:hint="eastAsia"/>
                <w:sz w:val="21"/>
              </w:rPr>
              <w:t>合计</w:t>
            </w:r>
          </w:p>
        </w:tc>
        <w:tc>
          <w:tcPr>
            <w:tcW w:w="4218" w:type="dxa"/>
            <w:tcBorders>
              <w:top w:val="single" w:sz="4" w:space="0" w:color="000000"/>
              <w:left w:val="single" w:sz="4" w:space="0" w:color="000000"/>
            </w:tcBorders>
          </w:tcPr>
          <w:p>
            <w:pPr>
              <w:pStyle w:val="TableParagraph"/>
              <w:spacing w:before="58"/>
              <w:ind w:right="74"/>
              <w:jc w:val="right"/>
              <w:rPr>
                <w:sz w:val="21"/>
              </w:rPr>
            </w:pPr>
            <w:r>
              <w:rPr>
                <w:sz w:val="21"/>
              </w:rPr>
              <w:t>21,091,229,092.60</w:t>
            </w:r>
          </w:p>
        </w:tc>
      </w:tr>
    </w:tbl>
    <w:p>
      <w:pPr>
        <w:pStyle w:val="BodyText"/>
        <w:spacing w:before="1"/>
        <w:rPr>
          <w:sz w:val="23"/>
        </w:rPr>
      </w:pPr>
    </w:p>
    <w:p>
      <w:pPr>
        <w:pStyle w:val="Heading4"/>
        <w:spacing w:before="1"/>
      </w:pPr>
      <w:r>
        <w:rPr>
          <w:rFonts w:ascii="Times New Roman" w:eastAsia="Times New Roman"/>
        </w:rPr>
        <w:t>67</w:t>
      </w:r>
      <w:r>
        <w:rPr>
          <w:spacing w:val="-1"/>
        </w:rPr>
        <w:t>、 收到其他与投资活动有关的现金</w:t>
      </w:r>
    </w:p>
    <w:p>
      <w:pPr>
        <w:pStyle w:val="BodyText"/>
        <w:spacing w:before="16"/>
        <w:ind w:left="1538"/>
      </w:pPr>
      <w:r>
        <w:rPr>
          <w:w w:val="100"/>
        </w:rPr>
        <w:t> </w:t>
      </w:r>
    </w:p>
    <w:p>
      <w:pPr>
        <w:spacing w:after="0"/>
        <w:sectPr>
          <w:pgSz w:w="11910" w:h="16840"/>
          <w:pgMar w:header="876" w:footer="1203" w:top="1440" w:bottom="1400" w:left="260" w:right="0"/>
        </w:sectPr>
      </w:pPr>
    </w:p>
    <w:p>
      <w:pPr>
        <w:pStyle w:val="BodyText"/>
        <w:spacing w:before="2"/>
        <w:rPr>
          <w:sz w:val="5"/>
        </w:rPr>
      </w:pPr>
    </w:p>
    <w:tbl>
      <w:tblPr>
        <w:tblW w:w="0" w:type="auto"/>
        <w:jc w:val="left"/>
        <w:tblInd w:w="167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415"/>
        <w:gridCol w:w="4182"/>
      </w:tblGrid>
      <w:tr>
        <w:trPr>
          <w:trHeight w:val="371" w:hRule="atLeast"/>
        </w:trPr>
        <w:tc>
          <w:tcPr>
            <w:tcW w:w="4415" w:type="dxa"/>
            <w:tcBorders>
              <w:bottom w:val="single" w:sz="4" w:space="0" w:color="000000"/>
              <w:right w:val="single" w:sz="4" w:space="0" w:color="000000"/>
            </w:tcBorders>
          </w:tcPr>
          <w:p>
            <w:pPr>
              <w:pStyle w:val="TableParagraph"/>
              <w:spacing w:line="352" w:lineRule="exact"/>
              <w:ind w:right="1978"/>
              <w:jc w:val="right"/>
              <w:rPr>
                <w:rFonts w:ascii="Microsoft JhengHei" w:eastAsia="Microsoft JhengHei" w:hint="eastAsia"/>
                <w:b/>
                <w:sz w:val="21"/>
              </w:rPr>
            </w:pPr>
            <w:r>
              <w:rPr>
                <w:rFonts w:ascii="Microsoft JhengHei" w:eastAsia="Microsoft JhengHei" w:hint="eastAsia"/>
                <w:b/>
                <w:sz w:val="21"/>
              </w:rPr>
              <w:t>项目</w:t>
            </w:r>
          </w:p>
        </w:tc>
        <w:tc>
          <w:tcPr>
            <w:tcW w:w="4182" w:type="dxa"/>
            <w:tcBorders>
              <w:left w:val="single" w:sz="4" w:space="0" w:color="000000"/>
              <w:bottom w:val="single" w:sz="4" w:space="0" w:color="000000"/>
            </w:tcBorders>
          </w:tcPr>
          <w:p>
            <w:pPr>
              <w:pStyle w:val="TableParagraph"/>
              <w:spacing w:line="352" w:lineRule="exact"/>
              <w:ind w:left="1866" w:right="1835"/>
              <w:jc w:val="center"/>
              <w:rPr>
                <w:rFonts w:ascii="Microsoft JhengHei" w:eastAsia="Microsoft JhengHei" w:hint="eastAsia"/>
                <w:b/>
                <w:sz w:val="21"/>
              </w:rPr>
            </w:pPr>
            <w:r>
              <w:rPr>
                <w:rFonts w:ascii="Microsoft JhengHei" w:eastAsia="Microsoft JhengHei" w:hint="eastAsia"/>
                <w:b/>
                <w:sz w:val="21"/>
              </w:rPr>
              <w:t>金额</w:t>
            </w:r>
          </w:p>
        </w:tc>
      </w:tr>
      <w:tr>
        <w:trPr>
          <w:trHeight w:val="369" w:hRule="atLeast"/>
        </w:trPr>
        <w:tc>
          <w:tcPr>
            <w:tcW w:w="4415" w:type="dxa"/>
            <w:tcBorders>
              <w:top w:val="single" w:sz="4" w:space="0" w:color="000000"/>
              <w:bottom w:val="single" w:sz="4" w:space="0" w:color="000000"/>
              <w:right w:val="single" w:sz="4" w:space="0" w:color="000000"/>
            </w:tcBorders>
          </w:tcPr>
          <w:p>
            <w:pPr>
              <w:pStyle w:val="TableParagraph"/>
              <w:spacing w:before="49"/>
              <w:ind w:left="104"/>
              <w:rPr>
                <w:rFonts w:ascii="宋体" w:eastAsia="宋体" w:hint="eastAsia"/>
                <w:sz w:val="21"/>
              </w:rPr>
            </w:pPr>
            <w:r>
              <w:rPr>
                <w:rFonts w:ascii="宋体" w:eastAsia="宋体" w:hint="eastAsia"/>
                <w:sz w:val="21"/>
              </w:rPr>
              <w:t>政府退回土地出让金</w:t>
            </w:r>
          </w:p>
        </w:tc>
        <w:tc>
          <w:tcPr>
            <w:tcW w:w="4182" w:type="dxa"/>
            <w:tcBorders>
              <w:top w:val="single" w:sz="4" w:space="0" w:color="000000"/>
              <w:left w:val="single" w:sz="4" w:space="0" w:color="000000"/>
              <w:bottom w:val="single" w:sz="4" w:space="0" w:color="000000"/>
            </w:tcBorders>
          </w:tcPr>
          <w:p>
            <w:pPr>
              <w:pStyle w:val="TableParagraph"/>
              <w:spacing w:before="55"/>
              <w:ind w:right="77"/>
              <w:jc w:val="right"/>
              <w:rPr>
                <w:sz w:val="21"/>
              </w:rPr>
            </w:pPr>
            <w:r>
              <w:rPr>
                <w:sz w:val="21"/>
              </w:rPr>
              <w:t>182,950,000.00</w:t>
            </w:r>
          </w:p>
        </w:tc>
      </w:tr>
      <w:tr>
        <w:trPr>
          <w:trHeight w:val="366" w:hRule="atLeast"/>
        </w:trPr>
        <w:tc>
          <w:tcPr>
            <w:tcW w:w="4415" w:type="dxa"/>
            <w:tcBorders>
              <w:top w:val="single" w:sz="4" w:space="0" w:color="000000"/>
              <w:bottom w:val="single" w:sz="4" w:space="0" w:color="000000"/>
              <w:right w:val="single" w:sz="4" w:space="0" w:color="000000"/>
            </w:tcBorders>
          </w:tcPr>
          <w:p>
            <w:pPr>
              <w:pStyle w:val="TableParagraph"/>
              <w:spacing w:before="49"/>
              <w:ind w:left="104"/>
              <w:rPr>
                <w:rFonts w:ascii="宋体" w:eastAsia="宋体" w:hint="eastAsia"/>
                <w:sz w:val="21"/>
              </w:rPr>
            </w:pPr>
            <w:r>
              <w:rPr>
                <w:rFonts w:ascii="宋体" w:eastAsia="宋体" w:hint="eastAsia"/>
                <w:sz w:val="21"/>
              </w:rPr>
              <w:t>其他</w:t>
            </w:r>
          </w:p>
        </w:tc>
        <w:tc>
          <w:tcPr>
            <w:tcW w:w="4182" w:type="dxa"/>
            <w:tcBorders>
              <w:top w:val="single" w:sz="4" w:space="0" w:color="000000"/>
              <w:left w:val="single" w:sz="4" w:space="0" w:color="000000"/>
              <w:bottom w:val="single" w:sz="4" w:space="0" w:color="000000"/>
            </w:tcBorders>
          </w:tcPr>
          <w:p>
            <w:pPr>
              <w:pStyle w:val="TableParagraph"/>
              <w:spacing w:before="55"/>
              <w:ind w:right="77"/>
              <w:jc w:val="right"/>
              <w:rPr>
                <w:sz w:val="21"/>
              </w:rPr>
            </w:pPr>
            <w:r>
              <w:rPr>
                <w:sz w:val="21"/>
              </w:rPr>
              <w:t>4,767,849.30</w:t>
            </w:r>
          </w:p>
        </w:tc>
      </w:tr>
      <w:tr>
        <w:trPr>
          <w:trHeight w:val="368" w:hRule="atLeast"/>
        </w:trPr>
        <w:tc>
          <w:tcPr>
            <w:tcW w:w="4415" w:type="dxa"/>
            <w:tcBorders>
              <w:top w:val="single" w:sz="4" w:space="0" w:color="000000"/>
              <w:right w:val="single" w:sz="4" w:space="0" w:color="000000"/>
            </w:tcBorders>
          </w:tcPr>
          <w:p>
            <w:pPr>
              <w:pStyle w:val="TableParagraph"/>
              <w:spacing w:before="51"/>
              <w:ind w:right="1976"/>
              <w:jc w:val="right"/>
              <w:rPr>
                <w:rFonts w:ascii="宋体" w:eastAsia="宋体" w:hint="eastAsia"/>
                <w:sz w:val="21"/>
              </w:rPr>
            </w:pPr>
            <w:r>
              <w:rPr>
                <w:rFonts w:ascii="宋体" w:eastAsia="宋体" w:hint="eastAsia"/>
                <w:sz w:val="21"/>
              </w:rPr>
              <w:t>合计</w:t>
            </w:r>
          </w:p>
        </w:tc>
        <w:tc>
          <w:tcPr>
            <w:tcW w:w="4182" w:type="dxa"/>
            <w:tcBorders>
              <w:top w:val="single" w:sz="4" w:space="0" w:color="000000"/>
              <w:left w:val="single" w:sz="4" w:space="0" w:color="000000"/>
            </w:tcBorders>
          </w:tcPr>
          <w:p>
            <w:pPr>
              <w:pStyle w:val="TableParagraph"/>
              <w:spacing w:before="58"/>
              <w:ind w:right="77"/>
              <w:jc w:val="right"/>
              <w:rPr>
                <w:sz w:val="21"/>
              </w:rPr>
            </w:pPr>
            <w:r>
              <w:rPr>
                <w:sz w:val="21"/>
              </w:rPr>
              <w:t>187,717,849.30</w:t>
            </w:r>
          </w:p>
        </w:tc>
      </w:tr>
    </w:tbl>
    <w:p>
      <w:pPr>
        <w:pStyle w:val="BodyText"/>
        <w:spacing w:before="6"/>
        <w:rPr>
          <w:sz w:val="22"/>
        </w:rPr>
      </w:pPr>
    </w:p>
    <w:p>
      <w:pPr>
        <w:pStyle w:val="Heading4"/>
        <w:spacing w:before="9"/>
      </w:pPr>
      <w:r>
        <w:rPr>
          <w:rFonts w:ascii="Times New Roman" w:eastAsia="Times New Roman"/>
        </w:rPr>
        <w:t>68</w:t>
      </w:r>
      <w:r>
        <w:rPr>
          <w:spacing w:val="-1"/>
        </w:rPr>
        <w:t>、 支付其他与投资活动有关的现金</w:t>
      </w:r>
    </w:p>
    <w:p>
      <w:pPr>
        <w:pStyle w:val="BodyText"/>
        <w:spacing w:before="15"/>
        <w:ind w:left="1538"/>
      </w:pPr>
      <w:r>
        <w:rPr>
          <w:w w:val="100"/>
        </w:rPr>
        <w:t> </w:t>
      </w:r>
    </w:p>
    <w:tbl>
      <w:tblPr>
        <w:tblW w:w="0" w:type="auto"/>
        <w:jc w:val="left"/>
        <w:tblInd w:w="167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415"/>
        <w:gridCol w:w="4182"/>
      </w:tblGrid>
      <w:tr>
        <w:trPr>
          <w:trHeight w:val="371" w:hRule="atLeast"/>
        </w:trPr>
        <w:tc>
          <w:tcPr>
            <w:tcW w:w="4415" w:type="dxa"/>
            <w:tcBorders>
              <w:bottom w:val="single" w:sz="4" w:space="0" w:color="000000"/>
              <w:right w:val="single" w:sz="4" w:space="0" w:color="000000"/>
            </w:tcBorders>
          </w:tcPr>
          <w:p>
            <w:pPr>
              <w:pStyle w:val="TableParagraph"/>
              <w:spacing w:line="351" w:lineRule="exact"/>
              <w:ind w:right="1978"/>
              <w:jc w:val="right"/>
              <w:rPr>
                <w:rFonts w:ascii="Microsoft JhengHei" w:eastAsia="Microsoft JhengHei" w:hint="eastAsia"/>
                <w:b/>
                <w:sz w:val="21"/>
              </w:rPr>
            </w:pPr>
            <w:r>
              <w:rPr>
                <w:rFonts w:ascii="Microsoft JhengHei" w:eastAsia="Microsoft JhengHei" w:hint="eastAsia"/>
                <w:b/>
                <w:sz w:val="21"/>
              </w:rPr>
              <w:t>项目</w:t>
            </w:r>
          </w:p>
        </w:tc>
        <w:tc>
          <w:tcPr>
            <w:tcW w:w="4182" w:type="dxa"/>
            <w:tcBorders>
              <w:left w:val="single" w:sz="4" w:space="0" w:color="000000"/>
              <w:bottom w:val="single" w:sz="4" w:space="0" w:color="000000"/>
            </w:tcBorders>
          </w:tcPr>
          <w:p>
            <w:pPr>
              <w:pStyle w:val="TableParagraph"/>
              <w:spacing w:line="351" w:lineRule="exact"/>
              <w:ind w:left="1866" w:right="1835"/>
              <w:jc w:val="center"/>
              <w:rPr>
                <w:rFonts w:ascii="Microsoft JhengHei" w:eastAsia="Microsoft JhengHei" w:hint="eastAsia"/>
                <w:b/>
                <w:sz w:val="21"/>
              </w:rPr>
            </w:pPr>
            <w:r>
              <w:rPr>
                <w:rFonts w:ascii="Microsoft JhengHei" w:eastAsia="Microsoft JhengHei" w:hint="eastAsia"/>
                <w:b/>
                <w:sz w:val="21"/>
              </w:rPr>
              <w:t>金额</w:t>
            </w:r>
          </w:p>
        </w:tc>
      </w:tr>
      <w:tr>
        <w:trPr>
          <w:trHeight w:val="369" w:hRule="atLeast"/>
        </w:trPr>
        <w:tc>
          <w:tcPr>
            <w:tcW w:w="4415" w:type="dxa"/>
            <w:tcBorders>
              <w:top w:val="single" w:sz="4" w:space="0" w:color="000000"/>
              <w:bottom w:val="single" w:sz="4" w:space="0" w:color="000000"/>
              <w:right w:val="single" w:sz="4" w:space="0" w:color="000000"/>
            </w:tcBorders>
          </w:tcPr>
          <w:p>
            <w:pPr>
              <w:pStyle w:val="TableParagraph"/>
              <w:spacing w:before="49"/>
              <w:ind w:left="104"/>
              <w:rPr>
                <w:rFonts w:ascii="宋体" w:eastAsia="宋体" w:hint="eastAsia"/>
                <w:sz w:val="21"/>
              </w:rPr>
            </w:pPr>
            <w:r>
              <w:rPr>
                <w:rFonts w:ascii="宋体" w:eastAsia="宋体" w:hint="eastAsia"/>
                <w:sz w:val="21"/>
              </w:rPr>
              <w:t>其他</w:t>
            </w:r>
          </w:p>
        </w:tc>
        <w:tc>
          <w:tcPr>
            <w:tcW w:w="4182" w:type="dxa"/>
            <w:tcBorders>
              <w:top w:val="single" w:sz="4" w:space="0" w:color="000000"/>
              <w:left w:val="single" w:sz="4" w:space="0" w:color="000000"/>
              <w:bottom w:val="single" w:sz="4" w:space="0" w:color="000000"/>
            </w:tcBorders>
          </w:tcPr>
          <w:p>
            <w:pPr>
              <w:pStyle w:val="TableParagraph"/>
              <w:spacing w:before="55"/>
              <w:ind w:right="77"/>
              <w:jc w:val="right"/>
              <w:rPr>
                <w:sz w:val="21"/>
              </w:rPr>
            </w:pPr>
            <w:r>
              <w:rPr>
                <w:sz w:val="21"/>
              </w:rPr>
              <w:t>317,462.62</w:t>
            </w:r>
          </w:p>
        </w:tc>
      </w:tr>
      <w:tr>
        <w:trPr>
          <w:trHeight w:val="366" w:hRule="atLeast"/>
        </w:trPr>
        <w:tc>
          <w:tcPr>
            <w:tcW w:w="4415" w:type="dxa"/>
            <w:tcBorders>
              <w:top w:val="single" w:sz="4" w:space="0" w:color="000000"/>
              <w:right w:val="single" w:sz="4" w:space="0" w:color="000000"/>
            </w:tcBorders>
          </w:tcPr>
          <w:p>
            <w:pPr>
              <w:pStyle w:val="TableParagraph"/>
              <w:spacing w:before="49"/>
              <w:ind w:right="1976"/>
              <w:jc w:val="right"/>
              <w:rPr>
                <w:rFonts w:ascii="宋体" w:eastAsia="宋体" w:hint="eastAsia"/>
                <w:sz w:val="21"/>
              </w:rPr>
            </w:pPr>
            <w:r>
              <w:rPr>
                <w:rFonts w:ascii="宋体" w:eastAsia="宋体" w:hint="eastAsia"/>
                <w:sz w:val="21"/>
              </w:rPr>
              <w:t>合计</w:t>
            </w:r>
          </w:p>
        </w:tc>
        <w:tc>
          <w:tcPr>
            <w:tcW w:w="4182" w:type="dxa"/>
            <w:tcBorders>
              <w:top w:val="single" w:sz="4" w:space="0" w:color="000000"/>
              <w:left w:val="single" w:sz="4" w:space="0" w:color="000000"/>
            </w:tcBorders>
          </w:tcPr>
          <w:p>
            <w:pPr>
              <w:pStyle w:val="TableParagraph"/>
              <w:spacing w:before="55"/>
              <w:ind w:right="77"/>
              <w:jc w:val="right"/>
              <w:rPr>
                <w:sz w:val="21"/>
              </w:rPr>
            </w:pPr>
            <w:r>
              <w:rPr>
                <w:sz w:val="21"/>
              </w:rPr>
              <w:t>317,462.62</w:t>
            </w:r>
          </w:p>
        </w:tc>
      </w:tr>
    </w:tbl>
    <w:p>
      <w:pPr>
        <w:pStyle w:val="BodyText"/>
        <w:rPr>
          <w:sz w:val="20"/>
        </w:rPr>
      </w:pPr>
    </w:p>
    <w:p>
      <w:pPr>
        <w:pStyle w:val="BodyText"/>
        <w:spacing w:before="7"/>
        <w:rPr>
          <w:sz w:val="26"/>
        </w:rPr>
      </w:pPr>
    </w:p>
    <w:p>
      <w:pPr>
        <w:pStyle w:val="Heading4"/>
        <w:spacing w:before="1"/>
      </w:pPr>
      <w:r>
        <w:rPr>
          <w:rFonts w:ascii="Times New Roman" w:eastAsia="Times New Roman"/>
        </w:rPr>
        <w:t>69</w:t>
      </w:r>
      <w:r>
        <w:rPr>
          <w:spacing w:val="-1"/>
        </w:rPr>
        <w:t>、 收到其他与筹资活动有关的现金</w:t>
      </w:r>
    </w:p>
    <w:p>
      <w:pPr>
        <w:pStyle w:val="BodyText"/>
        <w:spacing w:before="16"/>
        <w:ind w:left="1538"/>
      </w:pPr>
      <w:r>
        <w:rPr>
          <w:w w:val="100"/>
        </w:rPr>
        <w:t> </w:t>
      </w:r>
    </w:p>
    <w:tbl>
      <w:tblPr>
        <w:tblW w:w="0" w:type="auto"/>
        <w:jc w:val="left"/>
        <w:tblInd w:w="167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415"/>
        <w:gridCol w:w="4182"/>
      </w:tblGrid>
      <w:tr>
        <w:trPr>
          <w:trHeight w:val="371" w:hRule="atLeast"/>
        </w:trPr>
        <w:tc>
          <w:tcPr>
            <w:tcW w:w="4415" w:type="dxa"/>
            <w:tcBorders>
              <w:bottom w:val="single" w:sz="4" w:space="0" w:color="000000"/>
              <w:right w:val="single" w:sz="4" w:space="0" w:color="000000"/>
            </w:tcBorders>
          </w:tcPr>
          <w:p>
            <w:pPr>
              <w:pStyle w:val="TableParagraph"/>
              <w:spacing w:line="351" w:lineRule="exact"/>
              <w:ind w:right="1978"/>
              <w:jc w:val="right"/>
              <w:rPr>
                <w:rFonts w:ascii="Microsoft JhengHei" w:eastAsia="Microsoft JhengHei" w:hint="eastAsia"/>
                <w:b/>
                <w:sz w:val="21"/>
              </w:rPr>
            </w:pPr>
            <w:r>
              <w:rPr>
                <w:rFonts w:ascii="Microsoft JhengHei" w:eastAsia="Microsoft JhengHei" w:hint="eastAsia"/>
                <w:b/>
                <w:sz w:val="21"/>
              </w:rPr>
              <w:t>项目</w:t>
            </w:r>
          </w:p>
        </w:tc>
        <w:tc>
          <w:tcPr>
            <w:tcW w:w="4182" w:type="dxa"/>
            <w:tcBorders>
              <w:left w:val="single" w:sz="4" w:space="0" w:color="000000"/>
              <w:bottom w:val="single" w:sz="4" w:space="0" w:color="000000"/>
            </w:tcBorders>
          </w:tcPr>
          <w:p>
            <w:pPr>
              <w:pStyle w:val="TableParagraph"/>
              <w:spacing w:line="351" w:lineRule="exact"/>
              <w:ind w:left="1866" w:right="1835"/>
              <w:jc w:val="center"/>
              <w:rPr>
                <w:rFonts w:ascii="Microsoft JhengHei" w:eastAsia="Microsoft JhengHei" w:hint="eastAsia"/>
                <w:b/>
                <w:sz w:val="21"/>
              </w:rPr>
            </w:pPr>
            <w:r>
              <w:rPr>
                <w:rFonts w:ascii="Microsoft JhengHei" w:eastAsia="Microsoft JhengHei" w:hint="eastAsia"/>
                <w:b/>
                <w:sz w:val="21"/>
              </w:rPr>
              <w:t>金额</w:t>
            </w:r>
          </w:p>
        </w:tc>
      </w:tr>
      <w:tr>
        <w:trPr>
          <w:trHeight w:val="366" w:hRule="atLeast"/>
        </w:trPr>
        <w:tc>
          <w:tcPr>
            <w:tcW w:w="4415" w:type="dxa"/>
            <w:tcBorders>
              <w:top w:val="single" w:sz="4" w:space="0" w:color="000000"/>
              <w:bottom w:val="single" w:sz="4" w:space="0" w:color="000000"/>
              <w:right w:val="single" w:sz="4" w:space="0" w:color="000000"/>
            </w:tcBorders>
          </w:tcPr>
          <w:p>
            <w:pPr>
              <w:pStyle w:val="TableParagraph"/>
              <w:spacing w:before="49"/>
              <w:ind w:left="104"/>
              <w:rPr>
                <w:rFonts w:ascii="宋体" w:eastAsia="宋体" w:hint="eastAsia"/>
                <w:sz w:val="21"/>
              </w:rPr>
            </w:pPr>
            <w:r>
              <w:rPr>
                <w:rFonts w:ascii="宋体" w:eastAsia="宋体" w:hint="eastAsia"/>
                <w:sz w:val="21"/>
              </w:rPr>
              <w:t>库存股股息</w:t>
            </w:r>
          </w:p>
        </w:tc>
        <w:tc>
          <w:tcPr>
            <w:tcW w:w="4182" w:type="dxa"/>
            <w:tcBorders>
              <w:top w:val="single" w:sz="4" w:space="0" w:color="000000"/>
              <w:left w:val="single" w:sz="4" w:space="0" w:color="000000"/>
              <w:bottom w:val="single" w:sz="4" w:space="0" w:color="000000"/>
            </w:tcBorders>
          </w:tcPr>
          <w:p>
            <w:pPr>
              <w:pStyle w:val="TableParagraph"/>
              <w:spacing w:before="55"/>
              <w:ind w:right="77"/>
              <w:jc w:val="right"/>
              <w:rPr>
                <w:sz w:val="21"/>
              </w:rPr>
            </w:pPr>
            <w:r>
              <w:rPr>
                <w:sz w:val="21"/>
              </w:rPr>
              <w:t>13,362,610.74</w:t>
            </w:r>
          </w:p>
        </w:tc>
      </w:tr>
      <w:tr>
        <w:trPr>
          <w:trHeight w:val="369" w:hRule="atLeast"/>
        </w:trPr>
        <w:tc>
          <w:tcPr>
            <w:tcW w:w="4415" w:type="dxa"/>
            <w:tcBorders>
              <w:top w:val="single" w:sz="4" w:space="0" w:color="000000"/>
              <w:bottom w:val="single" w:sz="4" w:space="0" w:color="000000"/>
              <w:right w:val="single" w:sz="4" w:space="0" w:color="000000"/>
            </w:tcBorders>
          </w:tcPr>
          <w:p>
            <w:pPr>
              <w:pStyle w:val="TableParagraph"/>
              <w:spacing w:before="51"/>
              <w:ind w:left="104"/>
              <w:rPr>
                <w:rFonts w:ascii="宋体" w:eastAsia="宋体" w:hint="eastAsia"/>
                <w:sz w:val="21"/>
              </w:rPr>
            </w:pPr>
            <w:r>
              <w:rPr>
                <w:rFonts w:ascii="宋体" w:eastAsia="宋体" w:hint="eastAsia"/>
                <w:sz w:val="21"/>
              </w:rPr>
              <w:t>其他</w:t>
            </w:r>
          </w:p>
        </w:tc>
        <w:tc>
          <w:tcPr>
            <w:tcW w:w="4182" w:type="dxa"/>
            <w:tcBorders>
              <w:top w:val="single" w:sz="4" w:space="0" w:color="000000"/>
              <w:left w:val="single" w:sz="4" w:space="0" w:color="000000"/>
              <w:bottom w:val="single" w:sz="4" w:space="0" w:color="000000"/>
            </w:tcBorders>
          </w:tcPr>
          <w:p>
            <w:pPr>
              <w:pStyle w:val="TableParagraph"/>
              <w:spacing w:before="58"/>
              <w:ind w:right="77"/>
              <w:jc w:val="right"/>
              <w:rPr>
                <w:sz w:val="21"/>
              </w:rPr>
            </w:pPr>
            <w:r>
              <w:rPr>
                <w:sz w:val="21"/>
              </w:rPr>
              <w:t>719,826.43</w:t>
            </w:r>
          </w:p>
        </w:tc>
      </w:tr>
      <w:tr>
        <w:trPr>
          <w:trHeight w:val="368" w:hRule="atLeast"/>
        </w:trPr>
        <w:tc>
          <w:tcPr>
            <w:tcW w:w="4415" w:type="dxa"/>
            <w:tcBorders>
              <w:top w:val="single" w:sz="4" w:space="0" w:color="000000"/>
              <w:right w:val="single" w:sz="4" w:space="0" w:color="000000"/>
            </w:tcBorders>
          </w:tcPr>
          <w:p>
            <w:pPr>
              <w:pStyle w:val="TableParagraph"/>
              <w:spacing w:before="51"/>
              <w:ind w:right="1976"/>
              <w:jc w:val="right"/>
              <w:rPr>
                <w:rFonts w:ascii="宋体" w:eastAsia="宋体" w:hint="eastAsia"/>
                <w:sz w:val="21"/>
              </w:rPr>
            </w:pPr>
            <w:r>
              <w:rPr>
                <w:rFonts w:ascii="宋体" w:eastAsia="宋体" w:hint="eastAsia"/>
                <w:sz w:val="21"/>
              </w:rPr>
              <w:t>合计</w:t>
            </w:r>
          </w:p>
        </w:tc>
        <w:tc>
          <w:tcPr>
            <w:tcW w:w="4182" w:type="dxa"/>
            <w:tcBorders>
              <w:top w:val="single" w:sz="4" w:space="0" w:color="000000"/>
              <w:left w:val="single" w:sz="4" w:space="0" w:color="000000"/>
            </w:tcBorders>
          </w:tcPr>
          <w:p>
            <w:pPr>
              <w:pStyle w:val="TableParagraph"/>
              <w:spacing w:before="58"/>
              <w:ind w:right="77"/>
              <w:jc w:val="right"/>
              <w:rPr>
                <w:sz w:val="21"/>
              </w:rPr>
            </w:pPr>
            <w:r>
              <w:rPr>
                <w:sz w:val="21"/>
              </w:rPr>
              <w:t>14,082,437.17</w:t>
            </w:r>
          </w:p>
        </w:tc>
      </w:tr>
    </w:tbl>
    <w:p>
      <w:pPr>
        <w:pStyle w:val="BodyText"/>
        <w:spacing w:before="12"/>
        <w:rPr>
          <w:sz w:val="22"/>
        </w:rPr>
      </w:pPr>
    </w:p>
    <w:p>
      <w:pPr>
        <w:pStyle w:val="Heading4"/>
      </w:pPr>
      <w:r>
        <w:rPr>
          <w:rFonts w:ascii="Times New Roman" w:eastAsia="Times New Roman"/>
        </w:rPr>
        <w:t>70</w:t>
      </w:r>
      <w:r>
        <w:rPr>
          <w:spacing w:val="-1"/>
        </w:rPr>
        <w:t>、 支付其他与筹资活动有关的现金</w:t>
      </w:r>
    </w:p>
    <w:p>
      <w:pPr>
        <w:pStyle w:val="BodyText"/>
        <w:spacing w:before="17"/>
        <w:ind w:left="1538"/>
      </w:pPr>
      <w:r>
        <w:rPr>
          <w:w w:val="100"/>
        </w:rPr>
        <w:t> </w:t>
      </w:r>
    </w:p>
    <w:tbl>
      <w:tblPr>
        <w:tblW w:w="0" w:type="auto"/>
        <w:jc w:val="left"/>
        <w:tblInd w:w="167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415"/>
        <w:gridCol w:w="4182"/>
      </w:tblGrid>
      <w:tr>
        <w:trPr>
          <w:trHeight w:val="371" w:hRule="atLeast"/>
        </w:trPr>
        <w:tc>
          <w:tcPr>
            <w:tcW w:w="4415" w:type="dxa"/>
            <w:tcBorders>
              <w:bottom w:val="single" w:sz="4" w:space="0" w:color="000000"/>
              <w:right w:val="single" w:sz="4" w:space="0" w:color="000000"/>
            </w:tcBorders>
          </w:tcPr>
          <w:p>
            <w:pPr>
              <w:pStyle w:val="TableParagraph"/>
              <w:spacing w:line="351" w:lineRule="exact"/>
              <w:ind w:left="1970" w:right="1959"/>
              <w:jc w:val="center"/>
              <w:rPr>
                <w:rFonts w:ascii="Microsoft JhengHei" w:eastAsia="Microsoft JhengHei" w:hint="eastAsia"/>
                <w:b/>
                <w:sz w:val="21"/>
              </w:rPr>
            </w:pPr>
            <w:r>
              <w:rPr>
                <w:rFonts w:ascii="Microsoft JhengHei" w:eastAsia="Microsoft JhengHei" w:hint="eastAsia"/>
                <w:b/>
                <w:sz w:val="21"/>
              </w:rPr>
              <w:t>项目</w:t>
            </w:r>
          </w:p>
        </w:tc>
        <w:tc>
          <w:tcPr>
            <w:tcW w:w="4182" w:type="dxa"/>
            <w:tcBorders>
              <w:left w:val="single" w:sz="4" w:space="0" w:color="000000"/>
              <w:bottom w:val="single" w:sz="4" w:space="0" w:color="000000"/>
            </w:tcBorders>
          </w:tcPr>
          <w:p>
            <w:pPr>
              <w:pStyle w:val="TableParagraph"/>
              <w:spacing w:line="351" w:lineRule="exact"/>
              <w:ind w:left="1866" w:right="1835"/>
              <w:jc w:val="center"/>
              <w:rPr>
                <w:rFonts w:ascii="Microsoft JhengHei" w:eastAsia="Microsoft JhengHei" w:hint="eastAsia"/>
                <w:b/>
                <w:sz w:val="21"/>
              </w:rPr>
            </w:pPr>
            <w:r>
              <w:rPr>
                <w:rFonts w:ascii="Microsoft JhengHei" w:eastAsia="Microsoft JhengHei" w:hint="eastAsia"/>
                <w:b/>
                <w:sz w:val="21"/>
              </w:rPr>
              <w:t>金额</w:t>
            </w:r>
          </w:p>
        </w:tc>
      </w:tr>
      <w:tr>
        <w:trPr>
          <w:trHeight w:val="366" w:hRule="atLeast"/>
        </w:trPr>
        <w:tc>
          <w:tcPr>
            <w:tcW w:w="4415" w:type="dxa"/>
            <w:tcBorders>
              <w:top w:val="single" w:sz="4" w:space="0" w:color="000000"/>
              <w:bottom w:val="single" w:sz="4" w:space="0" w:color="000000"/>
              <w:right w:val="single" w:sz="4" w:space="0" w:color="000000"/>
            </w:tcBorders>
          </w:tcPr>
          <w:p>
            <w:pPr>
              <w:pStyle w:val="TableParagraph"/>
              <w:spacing w:before="49"/>
              <w:ind w:left="104"/>
              <w:rPr>
                <w:rFonts w:ascii="宋体" w:eastAsia="宋体" w:hint="eastAsia"/>
                <w:sz w:val="21"/>
              </w:rPr>
            </w:pPr>
            <w:r>
              <w:rPr>
                <w:rFonts w:ascii="宋体" w:eastAsia="宋体" w:hint="eastAsia"/>
                <w:sz w:val="21"/>
              </w:rPr>
              <w:t>私有化方案向计划股东现金付款</w:t>
            </w:r>
          </w:p>
        </w:tc>
        <w:tc>
          <w:tcPr>
            <w:tcW w:w="4182" w:type="dxa"/>
            <w:tcBorders>
              <w:top w:val="single" w:sz="4" w:space="0" w:color="000000"/>
              <w:left w:val="single" w:sz="4" w:space="0" w:color="000000"/>
              <w:bottom w:val="single" w:sz="4" w:space="0" w:color="000000"/>
            </w:tcBorders>
          </w:tcPr>
          <w:p>
            <w:pPr>
              <w:pStyle w:val="TableParagraph"/>
              <w:spacing w:before="55"/>
              <w:ind w:right="77"/>
              <w:jc w:val="right"/>
              <w:rPr>
                <w:sz w:val="21"/>
              </w:rPr>
            </w:pPr>
            <w:r>
              <w:rPr>
                <w:sz w:val="21"/>
              </w:rPr>
              <w:t>2,512,771,135.05</w:t>
            </w:r>
          </w:p>
        </w:tc>
      </w:tr>
      <w:tr>
        <w:trPr>
          <w:trHeight w:val="369" w:hRule="atLeast"/>
        </w:trPr>
        <w:tc>
          <w:tcPr>
            <w:tcW w:w="4415" w:type="dxa"/>
            <w:tcBorders>
              <w:top w:val="single" w:sz="4" w:space="0" w:color="000000"/>
              <w:bottom w:val="single" w:sz="4" w:space="0" w:color="000000"/>
              <w:right w:val="single" w:sz="4" w:space="0" w:color="000000"/>
            </w:tcBorders>
          </w:tcPr>
          <w:p>
            <w:pPr>
              <w:pStyle w:val="TableParagraph"/>
              <w:spacing w:before="51"/>
              <w:ind w:left="104"/>
              <w:rPr>
                <w:rFonts w:ascii="宋体" w:eastAsia="宋体" w:hint="eastAsia"/>
                <w:sz w:val="21"/>
              </w:rPr>
            </w:pPr>
            <w:r>
              <w:rPr>
                <w:rFonts w:ascii="宋体" w:eastAsia="宋体" w:hint="eastAsia"/>
                <w:sz w:val="21"/>
              </w:rPr>
              <w:t>租赁支付现金</w:t>
            </w:r>
          </w:p>
        </w:tc>
        <w:tc>
          <w:tcPr>
            <w:tcW w:w="4182" w:type="dxa"/>
            <w:tcBorders>
              <w:top w:val="single" w:sz="4" w:space="0" w:color="000000"/>
              <w:left w:val="single" w:sz="4" w:space="0" w:color="000000"/>
              <w:bottom w:val="single" w:sz="4" w:space="0" w:color="000000"/>
            </w:tcBorders>
          </w:tcPr>
          <w:p>
            <w:pPr>
              <w:pStyle w:val="TableParagraph"/>
              <w:spacing w:before="58"/>
              <w:ind w:right="77"/>
              <w:jc w:val="right"/>
              <w:rPr>
                <w:sz w:val="21"/>
              </w:rPr>
            </w:pPr>
            <w:r>
              <w:rPr>
                <w:sz w:val="21"/>
              </w:rPr>
              <w:t>727,823,360.61</w:t>
            </w:r>
          </w:p>
        </w:tc>
      </w:tr>
      <w:tr>
        <w:trPr>
          <w:trHeight w:val="369" w:hRule="atLeast"/>
        </w:trPr>
        <w:tc>
          <w:tcPr>
            <w:tcW w:w="4415" w:type="dxa"/>
            <w:tcBorders>
              <w:top w:val="single" w:sz="4" w:space="0" w:color="000000"/>
              <w:bottom w:val="single" w:sz="4" w:space="0" w:color="000000"/>
              <w:right w:val="single" w:sz="4" w:space="0" w:color="000000"/>
            </w:tcBorders>
          </w:tcPr>
          <w:p>
            <w:pPr>
              <w:pStyle w:val="TableParagraph"/>
              <w:spacing w:before="51"/>
              <w:ind w:left="104"/>
              <w:rPr>
                <w:rFonts w:ascii="宋体" w:eastAsia="宋体" w:hint="eastAsia"/>
                <w:sz w:val="21"/>
              </w:rPr>
            </w:pPr>
            <w:r>
              <w:rPr>
                <w:rFonts w:ascii="宋体" w:eastAsia="宋体" w:hint="eastAsia"/>
                <w:sz w:val="21"/>
              </w:rPr>
              <w:t>少数股东撤资支付现金</w:t>
            </w:r>
          </w:p>
        </w:tc>
        <w:tc>
          <w:tcPr>
            <w:tcW w:w="4182" w:type="dxa"/>
            <w:tcBorders>
              <w:top w:val="single" w:sz="4" w:space="0" w:color="000000"/>
              <w:left w:val="single" w:sz="4" w:space="0" w:color="000000"/>
              <w:bottom w:val="single" w:sz="4" w:space="0" w:color="000000"/>
            </w:tcBorders>
          </w:tcPr>
          <w:p>
            <w:pPr>
              <w:pStyle w:val="TableParagraph"/>
              <w:spacing w:before="58"/>
              <w:ind w:right="77"/>
              <w:jc w:val="right"/>
              <w:rPr>
                <w:sz w:val="21"/>
              </w:rPr>
            </w:pPr>
            <w:r>
              <w:rPr>
                <w:sz w:val="21"/>
              </w:rPr>
              <w:t>15,199,860.00</w:t>
            </w:r>
          </w:p>
        </w:tc>
      </w:tr>
      <w:tr>
        <w:trPr>
          <w:trHeight w:val="369" w:hRule="atLeast"/>
        </w:trPr>
        <w:tc>
          <w:tcPr>
            <w:tcW w:w="4415" w:type="dxa"/>
            <w:tcBorders>
              <w:top w:val="single" w:sz="4" w:space="0" w:color="000000"/>
              <w:bottom w:val="single" w:sz="4" w:space="0" w:color="000000"/>
              <w:right w:val="single" w:sz="4" w:space="0" w:color="000000"/>
            </w:tcBorders>
          </w:tcPr>
          <w:p>
            <w:pPr>
              <w:pStyle w:val="TableParagraph"/>
              <w:spacing w:before="51"/>
              <w:ind w:left="104"/>
              <w:rPr>
                <w:rFonts w:ascii="宋体" w:eastAsia="宋体" w:hint="eastAsia"/>
                <w:sz w:val="21"/>
              </w:rPr>
            </w:pPr>
            <w:r>
              <w:rPr>
                <w:rFonts w:ascii="宋体" w:eastAsia="宋体" w:hint="eastAsia"/>
                <w:sz w:val="21"/>
              </w:rPr>
              <w:t>港股发行费用</w:t>
            </w:r>
          </w:p>
        </w:tc>
        <w:tc>
          <w:tcPr>
            <w:tcW w:w="4182" w:type="dxa"/>
            <w:tcBorders>
              <w:top w:val="single" w:sz="4" w:space="0" w:color="000000"/>
              <w:left w:val="single" w:sz="4" w:space="0" w:color="000000"/>
              <w:bottom w:val="single" w:sz="4" w:space="0" w:color="000000"/>
            </w:tcBorders>
          </w:tcPr>
          <w:p>
            <w:pPr>
              <w:pStyle w:val="TableParagraph"/>
              <w:spacing w:before="58"/>
              <w:ind w:right="77"/>
              <w:jc w:val="right"/>
              <w:rPr>
                <w:sz w:val="21"/>
              </w:rPr>
            </w:pPr>
            <w:r>
              <w:rPr>
                <w:sz w:val="21"/>
              </w:rPr>
              <w:t>48,788,179.22</w:t>
            </w:r>
          </w:p>
        </w:tc>
      </w:tr>
      <w:tr>
        <w:trPr>
          <w:trHeight w:val="368" w:hRule="atLeast"/>
        </w:trPr>
        <w:tc>
          <w:tcPr>
            <w:tcW w:w="4415" w:type="dxa"/>
            <w:tcBorders>
              <w:top w:val="single" w:sz="4" w:space="0" w:color="000000"/>
              <w:right w:val="single" w:sz="4" w:space="0" w:color="000000"/>
            </w:tcBorders>
          </w:tcPr>
          <w:p>
            <w:pPr>
              <w:pStyle w:val="TableParagraph"/>
              <w:spacing w:before="51"/>
              <w:ind w:left="1973" w:right="1957"/>
              <w:jc w:val="center"/>
              <w:rPr>
                <w:rFonts w:ascii="宋体" w:eastAsia="宋体" w:hint="eastAsia"/>
                <w:sz w:val="21"/>
              </w:rPr>
            </w:pPr>
            <w:r>
              <w:rPr>
                <w:rFonts w:ascii="宋体" w:eastAsia="宋体" w:hint="eastAsia"/>
                <w:sz w:val="21"/>
              </w:rPr>
              <w:t>合计</w:t>
            </w:r>
          </w:p>
        </w:tc>
        <w:tc>
          <w:tcPr>
            <w:tcW w:w="4182" w:type="dxa"/>
            <w:tcBorders>
              <w:top w:val="single" w:sz="4" w:space="0" w:color="000000"/>
              <w:left w:val="single" w:sz="4" w:space="0" w:color="000000"/>
            </w:tcBorders>
          </w:tcPr>
          <w:p>
            <w:pPr>
              <w:pStyle w:val="TableParagraph"/>
              <w:spacing w:before="58"/>
              <w:ind w:right="77"/>
              <w:jc w:val="right"/>
              <w:rPr>
                <w:sz w:val="21"/>
              </w:rPr>
            </w:pPr>
            <w:r>
              <w:rPr>
                <w:sz w:val="21"/>
              </w:rPr>
              <w:t>3,304,582,534.88</w:t>
            </w:r>
          </w:p>
        </w:tc>
      </w:tr>
    </w:tbl>
    <w:p>
      <w:pPr>
        <w:pStyle w:val="BodyText"/>
        <w:spacing w:line="265" w:lineRule="exact" w:before="3"/>
        <w:ind w:left="1538"/>
      </w:pPr>
      <w:r>
        <w:rPr>
          <w:w w:val="100"/>
        </w:rPr>
        <w:t> </w:t>
      </w:r>
    </w:p>
    <w:p>
      <w:pPr>
        <w:pStyle w:val="Heading4"/>
        <w:spacing w:line="383" w:lineRule="exact"/>
      </w:pPr>
      <w:r>
        <w:rPr>
          <w:rFonts w:ascii="Times New Roman" w:eastAsia="Times New Roman"/>
        </w:rPr>
        <w:t>71</w:t>
      </w:r>
      <w:r>
        <w:rPr/>
        <w:t>、 净利润调节为经营活动现金流量的信息</w:t>
      </w:r>
    </w:p>
    <w:p>
      <w:pPr>
        <w:pStyle w:val="BodyText"/>
        <w:spacing w:before="3"/>
        <w:rPr>
          <w:rFonts w:ascii="Microsoft JhengHei"/>
          <w:b/>
          <w:sz w:val="17"/>
        </w:rPr>
      </w:pPr>
    </w:p>
    <w:tbl>
      <w:tblPr>
        <w:tblW w:w="0" w:type="auto"/>
        <w:jc w:val="left"/>
        <w:tblInd w:w="159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917"/>
        <w:gridCol w:w="2486"/>
        <w:gridCol w:w="2347"/>
      </w:tblGrid>
      <w:tr>
        <w:trPr>
          <w:trHeight w:val="369" w:hRule="atLeast"/>
        </w:trPr>
        <w:tc>
          <w:tcPr>
            <w:tcW w:w="3917" w:type="dxa"/>
            <w:tcBorders>
              <w:bottom w:val="single" w:sz="4" w:space="0" w:color="000000"/>
              <w:right w:val="single" w:sz="4" w:space="0" w:color="000000"/>
            </w:tcBorders>
          </w:tcPr>
          <w:p>
            <w:pPr>
              <w:pStyle w:val="TableParagraph"/>
              <w:spacing w:before="10"/>
              <w:ind w:left="692"/>
              <w:rPr>
                <w:rFonts w:ascii="Microsoft JhengHei" w:eastAsia="Microsoft JhengHei" w:hint="eastAsia"/>
                <w:b/>
                <w:sz w:val="18"/>
              </w:rPr>
            </w:pPr>
            <w:r>
              <w:rPr>
                <w:rFonts w:ascii="Microsoft JhengHei" w:eastAsia="Microsoft JhengHei" w:hint="eastAsia"/>
                <w:b/>
                <w:sz w:val="18"/>
              </w:rPr>
              <w:t>净利润调节为经营活动现金流量</w:t>
            </w:r>
          </w:p>
        </w:tc>
        <w:tc>
          <w:tcPr>
            <w:tcW w:w="2486" w:type="dxa"/>
            <w:tcBorders>
              <w:left w:val="single" w:sz="4" w:space="0" w:color="000000"/>
              <w:bottom w:val="single" w:sz="4" w:space="0" w:color="000000"/>
              <w:right w:val="single" w:sz="4" w:space="0" w:color="000000"/>
            </w:tcBorders>
          </w:tcPr>
          <w:p>
            <w:pPr>
              <w:pStyle w:val="TableParagraph"/>
              <w:spacing w:before="10"/>
              <w:ind w:left="802"/>
              <w:rPr>
                <w:rFonts w:ascii="Microsoft JhengHei" w:eastAsia="Microsoft JhengHei" w:hint="eastAsia"/>
                <w:b/>
                <w:sz w:val="18"/>
              </w:rPr>
            </w:pPr>
            <w:r>
              <w:rPr>
                <w:rFonts w:ascii="Microsoft JhengHei" w:eastAsia="Microsoft JhengHei" w:hint="eastAsia"/>
                <w:b/>
                <w:sz w:val="18"/>
              </w:rPr>
              <w:t>本期发生额</w:t>
            </w:r>
          </w:p>
        </w:tc>
        <w:tc>
          <w:tcPr>
            <w:tcW w:w="2347" w:type="dxa"/>
            <w:tcBorders>
              <w:left w:val="single" w:sz="4" w:space="0" w:color="000000"/>
              <w:bottom w:val="single" w:sz="4" w:space="0" w:color="000000"/>
            </w:tcBorders>
          </w:tcPr>
          <w:p>
            <w:pPr>
              <w:pStyle w:val="TableParagraph"/>
              <w:spacing w:before="10"/>
              <w:ind w:left="733"/>
              <w:rPr>
                <w:rFonts w:ascii="Microsoft JhengHei" w:eastAsia="Microsoft JhengHei" w:hint="eastAsia"/>
                <w:b/>
                <w:sz w:val="18"/>
              </w:rPr>
            </w:pPr>
            <w:r>
              <w:rPr>
                <w:rFonts w:ascii="Microsoft JhengHei" w:eastAsia="Microsoft JhengHei" w:hint="eastAsia"/>
                <w:b/>
                <w:sz w:val="18"/>
              </w:rPr>
              <w:t>上期发生额</w:t>
            </w:r>
          </w:p>
        </w:tc>
      </w:tr>
      <w:tr>
        <w:trPr>
          <w:trHeight w:val="369" w:hRule="atLeast"/>
        </w:trPr>
        <w:tc>
          <w:tcPr>
            <w:tcW w:w="3917"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sz w:val="18"/>
              </w:rPr>
              <w:t>1</w:t>
            </w:r>
            <w:r>
              <w:rPr>
                <w:rFonts w:ascii="宋体" w:eastAsia="宋体" w:hint="eastAsia"/>
                <w:sz w:val="18"/>
              </w:rPr>
              <w:t>、净利润</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before="76"/>
              <w:ind w:right="85"/>
              <w:jc w:val="right"/>
              <w:rPr>
                <w:sz w:val="18"/>
              </w:rPr>
            </w:pPr>
            <w:r>
              <w:rPr>
                <w:sz w:val="18"/>
              </w:rPr>
              <w:t>11,322,616,277.28</w:t>
            </w:r>
          </w:p>
        </w:tc>
        <w:tc>
          <w:tcPr>
            <w:tcW w:w="2347" w:type="dxa"/>
            <w:tcBorders>
              <w:top w:val="single" w:sz="4" w:space="0" w:color="000000"/>
              <w:left w:val="single" w:sz="4" w:space="0" w:color="000000"/>
              <w:bottom w:val="single" w:sz="4" w:space="0" w:color="000000"/>
            </w:tcBorders>
          </w:tcPr>
          <w:p>
            <w:pPr>
              <w:pStyle w:val="TableParagraph"/>
              <w:spacing w:before="76"/>
              <w:ind w:right="75"/>
              <w:jc w:val="right"/>
              <w:rPr>
                <w:sz w:val="18"/>
              </w:rPr>
            </w:pPr>
            <w:r>
              <w:rPr>
                <w:sz w:val="18"/>
              </w:rPr>
              <w:t>12,334,392,517.10</w:t>
            </w:r>
          </w:p>
        </w:tc>
      </w:tr>
      <w:tr>
        <w:trPr>
          <w:trHeight w:val="369" w:hRule="atLeast"/>
        </w:trPr>
        <w:tc>
          <w:tcPr>
            <w:tcW w:w="3917"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加：资产减值准备</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before="76"/>
              <w:ind w:right="85"/>
              <w:jc w:val="right"/>
              <w:rPr>
                <w:sz w:val="18"/>
              </w:rPr>
            </w:pPr>
            <w:r>
              <w:rPr>
                <w:sz w:val="18"/>
              </w:rPr>
              <w:t>1,502,011,057.70</w:t>
            </w:r>
          </w:p>
        </w:tc>
        <w:tc>
          <w:tcPr>
            <w:tcW w:w="2347" w:type="dxa"/>
            <w:tcBorders>
              <w:top w:val="single" w:sz="4" w:space="0" w:color="000000"/>
              <w:left w:val="single" w:sz="4" w:space="0" w:color="000000"/>
              <w:bottom w:val="single" w:sz="4" w:space="0" w:color="000000"/>
            </w:tcBorders>
          </w:tcPr>
          <w:p>
            <w:pPr>
              <w:pStyle w:val="TableParagraph"/>
              <w:spacing w:before="76"/>
              <w:ind w:right="75"/>
              <w:jc w:val="right"/>
              <w:rPr>
                <w:sz w:val="18"/>
              </w:rPr>
            </w:pPr>
            <w:r>
              <w:rPr>
                <w:sz w:val="18"/>
              </w:rPr>
              <w:t>1,010,949,016.21</w:t>
            </w:r>
          </w:p>
        </w:tc>
      </w:tr>
      <w:tr>
        <w:trPr>
          <w:trHeight w:val="369" w:hRule="atLeast"/>
        </w:trPr>
        <w:tc>
          <w:tcPr>
            <w:tcW w:w="3917"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固定资产折旧</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before="76"/>
              <w:ind w:right="85"/>
              <w:jc w:val="right"/>
              <w:rPr>
                <w:sz w:val="18"/>
              </w:rPr>
            </w:pPr>
            <w:r>
              <w:rPr>
                <w:sz w:val="18"/>
              </w:rPr>
              <w:t>3,950,237,132.43</w:t>
            </w:r>
          </w:p>
        </w:tc>
        <w:tc>
          <w:tcPr>
            <w:tcW w:w="2347" w:type="dxa"/>
            <w:tcBorders>
              <w:top w:val="single" w:sz="4" w:space="0" w:color="000000"/>
              <w:left w:val="single" w:sz="4" w:space="0" w:color="000000"/>
              <w:bottom w:val="single" w:sz="4" w:space="0" w:color="000000"/>
            </w:tcBorders>
          </w:tcPr>
          <w:p>
            <w:pPr>
              <w:pStyle w:val="TableParagraph"/>
              <w:spacing w:before="76"/>
              <w:ind w:right="75"/>
              <w:jc w:val="right"/>
              <w:rPr>
                <w:sz w:val="18"/>
              </w:rPr>
            </w:pPr>
            <w:r>
              <w:rPr>
                <w:sz w:val="18"/>
              </w:rPr>
              <w:t>3,766,641,387.29</w:t>
            </w:r>
          </w:p>
        </w:tc>
      </w:tr>
      <w:tr>
        <w:trPr>
          <w:trHeight w:val="369" w:hRule="atLeast"/>
        </w:trPr>
        <w:tc>
          <w:tcPr>
            <w:tcW w:w="3917"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无形资产摊销</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before="76"/>
              <w:ind w:right="85"/>
              <w:jc w:val="right"/>
              <w:rPr>
                <w:sz w:val="18"/>
              </w:rPr>
            </w:pPr>
            <w:r>
              <w:rPr>
                <w:sz w:val="18"/>
              </w:rPr>
              <w:t>950,485,250.48</w:t>
            </w:r>
          </w:p>
        </w:tc>
        <w:tc>
          <w:tcPr>
            <w:tcW w:w="2347" w:type="dxa"/>
            <w:tcBorders>
              <w:top w:val="single" w:sz="4" w:space="0" w:color="000000"/>
              <w:left w:val="single" w:sz="4" w:space="0" w:color="000000"/>
              <w:bottom w:val="single" w:sz="4" w:space="0" w:color="000000"/>
            </w:tcBorders>
          </w:tcPr>
          <w:p>
            <w:pPr>
              <w:pStyle w:val="TableParagraph"/>
              <w:spacing w:before="76"/>
              <w:ind w:right="74"/>
              <w:jc w:val="right"/>
              <w:rPr>
                <w:sz w:val="18"/>
              </w:rPr>
            </w:pPr>
            <w:r>
              <w:rPr>
                <w:sz w:val="18"/>
              </w:rPr>
              <w:t>786,513,629.57</w:t>
            </w:r>
          </w:p>
        </w:tc>
      </w:tr>
      <w:tr>
        <w:trPr>
          <w:trHeight w:val="369" w:hRule="atLeast"/>
        </w:trPr>
        <w:tc>
          <w:tcPr>
            <w:tcW w:w="3917"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长期待摊费用摊销</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before="76"/>
              <w:ind w:right="85"/>
              <w:jc w:val="right"/>
              <w:rPr>
                <w:sz w:val="18"/>
              </w:rPr>
            </w:pPr>
            <w:r>
              <w:rPr>
                <w:sz w:val="18"/>
              </w:rPr>
              <w:t>188,621,231.71</w:t>
            </w:r>
          </w:p>
        </w:tc>
        <w:tc>
          <w:tcPr>
            <w:tcW w:w="2347" w:type="dxa"/>
            <w:tcBorders>
              <w:top w:val="single" w:sz="4" w:space="0" w:color="000000"/>
              <w:left w:val="single" w:sz="4" w:space="0" w:color="000000"/>
              <w:bottom w:val="single" w:sz="4" w:space="0" w:color="000000"/>
            </w:tcBorders>
          </w:tcPr>
          <w:p>
            <w:pPr>
              <w:pStyle w:val="TableParagraph"/>
              <w:spacing w:before="76"/>
              <w:ind w:right="74"/>
              <w:jc w:val="right"/>
              <w:rPr>
                <w:sz w:val="18"/>
              </w:rPr>
            </w:pPr>
            <w:r>
              <w:rPr>
                <w:sz w:val="18"/>
              </w:rPr>
              <w:t>110,134,513.81</w:t>
            </w:r>
          </w:p>
        </w:tc>
      </w:tr>
      <w:tr>
        <w:trPr>
          <w:trHeight w:val="464" w:hRule="atLeast"/>
        </w:trPr>
        <w:tc>
          <w:tcPr>
            <w:tcW w:w="3917" w:type="dxa"/>
            <w:tcBorders>
              <w:top w:val="single" w:sz="4" w:space="0" w:color="000000"/>
              <w:right w:val="single" w:sz="4" w:space="0" w:color="000000"/>
            </w:tcBorders>
          </w:tcPr>
          <w:p>
            <w:pPr>
              <w:pStyle w:val="TableParagraph"/>
              <w:spacing w:line="230" w:lineRule="exact"/>
              <w:ind w:left="107"/>
              <w:rPr>
                <w:rFonts w:ascii="宋体" w:eastAsia="宋体" w:hint="eastAsia"/>
                <w:sz w:val="18"/>
              </w:rPr>
            </w:pPr>
            <w:r>
              <w:rPr>
                <w:rFonts w:ascii="宋体" w:eastAsia="宋体" w:hint="eastAsia"/>
                <w:sz w:val="18"/>
              </w:rPr>
              <w:t>处置固定资产、无形资产和其他长期资产损失</w:t>
            </w:r>
          </w:p>
          <w:p>
            <w:pPr>
              <w:pStyle w:val="TableParagraph"/>
              <w:spacing w:line="212" w:lineRule="exact" w:before="2"/>
              <w:ind w:left="107"/>
              <w:rPr>
                <w:rFonts w:ascii="宋体" w:hAnsi="宋体" w:eastAsia="宋体" w:hint="eastAsia"/>
                <w:sz w:val="18"/>
              </w:rPr>
            </w:pPr>
            <w:r>
              <w:rPr>
                <w:rFonts w:ascii="宋体" w:hAnsi="宋体" w:eastAsia="宋体" w:hint="eastAsia"/>
                <w:sz w:val="18"/>
              </w:rPr>
              <w:t>（收益以</w:t>
            </w:r>
            <w:r>
              <w:rPr>
                <w:sz w:val="18"/>
              </w:rPr>
              <w:t>“-”</w:t>
            </w:r>
            <w:r>
              <w:rPr>
                <w:rFonts w:ascii="宋体" w:hAnsi="宋体" w:eastAsia="宋体" w:hint="eastAsia"/>
                <w:sz w:val="18"/>
              </w:rPr>
              <w:t>号填列）</w:t>
            </w:r>
          </w:p>
        </w:tc>
        <w:tc>
          <w:tcPr>
            <w:tcW w:w="2486" w:type="dxa"/>
            <w:tcBorders>
              <w:top w:val="single" w:sz="4" w:space="0" w:color="000000"/>
              <w:left w:val="single" w:sz="4" w:space="0" w:color="000000"/>
              <w:right w:val="single" w:sz="4" w:space="0" w:color="000000"/>
            </w:tcBorders>
          </w:tcPr>
          <w:p>
            <w:pPr>
              <w:pStyle w:val="TableParagraph"/>
              <w:spacing w:before="124"/>
              <w:ind w:right="85"/>
              <w:jc w:val="right"/>
              <w:rPr>
                <w:sz w:val="18"/>
              </w:rPr>
            </w:pPr>
            <w:r>
              <w:rPr>
                <w:sz w:val="18"/>
              </w:rPr>
              <w:t>111,277,546.78</w:t>
            </w:r>
          </w:p>
        </w:tc>
        <w:tc>
          <w:tcPr>
            <w:tcW w:w="2347" w:type="dxa"/>
            <w:tcBorders>
              <w:top w:val="single" w:sz="4" w:space="0" w:color="000000"/>
              <w:left w:val="single" w:sz="4" w:space="0" w:color="000000"/>
            </w:tcBorders>
          </w:tcPr>
          <w:p>
            <w:pPr>
              <w:pStyle w:val="TableParagraph"/>
              <w:spacing w:before="124"/>
              <w:ind w:right="74"/>
              <w:jc w:val="right"/>
              <w:rPr>
                <w:sz w:val="18"/>
              </w:rPr>
            </w:pPr>
            <w:r>
              <w:rPr>
                <w:sz w:val="18"/>
              </w:rPr>
              <w:t>-396,961,251.42</w:t>
            </w:r>
          </w:p>
        </w:tc>
      </w:tr>
    </w:tbl>
    <w:p>
      <w:pPr>
        <w:spacing w:after="0"/>
        <w:jc w:val="right"/>
        <w:rPr>
          <w:sz w:val="18"/>
        </w:rPr>
        <w:sectPr>
          <w:pgSz w:w="11910" w:h="16840"/>
          <w:pgMar w:header="876" w:footer="1203" w:top="1440" w:bottom="1400" w:left="260" w:right="0"/>
        </w:sectPr>
      </w:pPr>
    </w:p>
    <w:p>
      <w:pPr>
        <w:pStyle w:val="BodyText"/>
        <w:spacing w:before="11"/>
        <w:rPr>
          <w:rFonts w:ascii="Microsoft JhengHei"/>
          <w:b/>
          <w:sz w:val="3"/>
        </w:rPr>
      </w:pPr>
    </w:p>
    <w:tbl>
      <w:tblPr>
        <w:tblW w:w="0" w:type="auto"/>
        <w:jc w:val="left"/>
        <w:tblInd w:w="159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917"/>
        <w:gridCol w:w="2486"/>
        <w:gridCol w:w="2347"/>
      </w:tblGrid>
      <w:tr>
        <w:trPr>
          <w:trHeight w:val="371" w:hRule="atLeast"/>
        </w:trPr>
        <w:tc>
          <w:tcPr>
            <w:tcW w:w="3917" w:type="dxa"/>
            <w:tcBorders>
              <w:bottom w:val="single" w:sz="4" w:space="0" w:color="000000"/>
              <w:right w:val="single" w:sz="4" w:space="0" w:color="000000"/>
            </w:tcBorders>
          </w:tcPr>
          <w:p>
            <w:pPr>
              <w:pStyle w:val="TableParagraph"/>
              <w:spacing w:before="69"/>
              <w:ind w:left="107"/>
              <w:rPr>
                <w:rFonts w:ascii="宋体" w:hAnsi="宋体" w:eastAsia="宋体" w:hint="eastAsia"/>
                <w:sz w:val="18"/>
              </w:rPr>
            </w:pPr>
            <w:r>
              <w:rPr>
                <w:rFonts w:ascii="宋体" w:hAnsi="宋体" w:eastAsia="宋体" w:hint="eastAsia"/>
                <w:sz w:val="18"/>
              </w:rPr>
              <w:t>公允价值变动损益（收益以</w:t>
            </w:r>
            <w:r>
              <w:rPr>
                <w:sz w:val="18"/>
              </w:rPr>
              <w:t>“-”</w:t>
            </w:r>
            <w:r>
              <w:rPr>
                <w:rFonts w:ascii="宋体" w:hAnsi="宋体" w:eastAsia="宋体" w:hint="eastAsia"/>
                <w:sz w:val="18"/>
              </w:rPr>
              <w:t>号填列）</w:t>
            </w:r>
          </w:p>
        </w:tc>
        <w:tc>
          <w:tcPr>
            <w:tcW w:w="2486" w:type="dxa"/>
            <w:tcBorders>
              <w:left w:val="single" w:sz="4" w:space="0" w:color="000000"/>
              <w:bottom w:val="single" w:sz="4" w:space="0" w:color="000000"/>
              <w:right w:val="single" w:sz="4" w:space="0" w:color="000000"/>
            </w:tcBorders>
          </w:tcPr>
          <w:p>
            <w:pPr>
              <w:pStyle w:val="TableParagraph"/>
              <w:spacing w:before="79"/>
              <w:ind w:right="85"/>
              <w:jc w:val="right"/>
              <w:rPr>
                <w:sz w:val="18"/>
              </w:rPr>
            </w:pPr>
            <w:r>
              <w:rPr>
                <w:sz w:val="18"/>
              </w:rPr>
              <w:t>-62,629,747.80</w:t>
            </w:r>
          </w:p>
        </w:tc>
        <w:tc>
          <w:tcPr>
            <w:tcW w:w="2347" w:type="dxa"/>
            <w:tcBorders>
              <w:left w:val="single" w:sz="4" w:space="0" w:color="000000"/>
              <w:bottom w:val="single" w:sz="4" w:space="0" w:color="000000"/>
            </w:tcBorders>
          </w:tcPr>
          <w:p>
            <w:pPr>
              <w:pStyle w:val="TableParagraph"/>
              <w:spacing w:before="79"/>
              <w:ind w:right="74"/>
              <w:jc w:val="right"/>
              <w:rPr>
                <w:sz w:val="18"/>
              </w:rPr>
            </w:pPr>
            <w:r>
              <w:rPr>
                <w:sz w:val="18"/>
              </w:rPr>
              <w:t>-76,716,967.53</w:t>
            </w:r>
          </w:p>
        </w:tc>
      </w:tr>
      <w:tr>
        <w:trPr>
          <w:trHeight w:val="369" w:hRule="atLeast"/>
        </w:trPr>
        <w:tc>
          <w:tcPr>
            <w:tcW w:w="3917" w:type="dxa"/>
            <w:tcBorders>
              <w:top w:val="single" w:sz="4" w:space="0" w:color="000000"/>
              <w:bottom w:val="single" w:sz="4" w:space="0" w:color="000000"/>
              <w:right w:val="single" w:sz="4" w:space="0" w:color="000000"/>
            </w:tcBorders>
          </w:tcPr>
          <w:p>
            <w:pPr>
              <w:pStyle w:val="TableParagraph"/>
              <w:spacing w:before="67"/>
              <w:ind w:left="107"/>
              <w:rPr>
                <w:rFonts w:ascii="宋体" w:hAnsi="宋体" w:eastAsia="宋体" w:hint="eastAsia"/>
                <w:sz w:val="18"/>
              </w:rPr>
            </w:pPr>
            <w:r>
              <w:rPr>
                <w:rFonts w:ascii="宋体" w:hAnsi="宋体" w:eastAsia="宋体" w:hint="eastAsia"/>
                <w:sz w:val="18"/>
              </w:rPr>
              <w:t>财务费用（收益以</w:t>
            </w:r>
            <w:r>
              <w:rPr>
                <w:sz w:val="18"/>
              </w:rPr>
              <w:t>“-”</w:t>
            </w:r>
            <w:r>
              <w:rPr>
                <w:rFonts w:ascii="宋体" w:hAnsi="宋体" w:eastAsia="宋体" w:hint="eastAsia"/>
                <w:sz w:val="18"/>
              </w:rPr>
              <w:t>号填列）</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before="76"/>
              <w:ind w:right="85"/>
              <w:jc w:val="right"/>
              <w:rPr>
                <w:sz w:val="18"/>
              </w:rPr>
            </w:pPr>
            <w:r>
              <w:rPr>
                <w:sz w:val="18"/>
              </w:rPr>
              <w:t>1,712,106,376.89</w:t>
            </w:r>
          </w:p>
        </w:tc>
        <w:tc>
          <w:tcPr>
            <w:tcW w:w="2347" w:type="dxa"/>
            <w:tcBorders>
              <w:top w:val="single" w:sz="4" w:space="0" w:color="000000"/>
              <w:left w:val="single" w:sz="4" w:space="0" w:color="000000"/>
              <w:bottom w:val="single" w:sz="4" w:space="0" w:color="000000"/>
            </w:tcBorders>
          </w:tcPr>
          <w:p>
            <w:pPr>
              <w:pStyle w:val="TableParagraph"/>
              <w:spacing w:before="76"/>
              <w:ind w:right="75"/>
              <w:jc w:val="right"/>
              <w:rPr>
                <w:sz w:val="18"/>
              </w:rPr>
            </w:pPr>
            <w:r>
              <w:rPr>
                <w:sz w:val="18"/>
              </w:rPr>
              <w:t>1,474,704,930.97</w:t>
            </w:r>
          </w:p>
        </w:tc>
      </w:tr>
      <w:tr>
        <w:trPr>
          <w:trHeight w:val="366" w:hRule="atLeast"/>
        </w:trPr>
        <w:tc>
          <w:tcPr>
            <w:tcW w:w="3917" w:type="dxa"/>
            <w:tcBorders>
              <w:top w:val="single" w:sz="4" w:space="0" w:color="000000"/>
              <w:bottom w:val="single" w:sz="4" w:space="0" w:color="000000"/>
              <w:right w:val="single" w:sz="4" w:space="0" w:color="000000"/>
            </w:tcBorders>
          </w:tcPr>
          <w:p>
            <w:pPr>
              <w:pStyle w:val="TableParagraph"/>
              <w:spacing w:before="67"/>
              <w:ind w:left="107"/>
              <w:rPr>
                <w:rFonts w:ascii="宋体" w:hAnsi="宋体" w:eastAsia="宋体" w:hint="eastAsia"/>
                <w:sz w:val="18"/>
              </w:rPr>
            </w:pPr>
            <w:r>
              <w:rPr>
                <w:rFonts w:ascii="宋体" w:hAnsi="宋体" w:eastAsia="宋体" w:hint="eastAsia"/>
                <w:sz w:val="18"/>
              </w:rPr>
              <w:t>投资损失（收益以</w:t>
            </w:r>
            <w:r>
              <w:rPr>
                <w:sz w:val="18"/>
              </w:rPr>
              <w:t>“-”</w:t>
            </w:r>
            <w:r>
              <w:rPr>
                <w:rFonts w:ascii="宋体" w:hAnsi="宋体" w:eastAsia="宋体" w:hint="eastAsia"/>
                <w:sz w:val="18"/>
              </w:rPr>
              <w:t>号填列）</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before="76"/>
              <w:ind w:right="86"/>
              <w:jc w:val="right"/>
              <w:rPr>
                <w:sz w:val="18"/>
              </w:rPr>
            </w:pPr>
            <w:r>
              <w:rPr>
                <w:sz w:val="18"/>
              </w:rPr>
              <w:t>-4,060,104,212.78</w:t>
            </w:r>
          </w:p>
        </w:tc>
        <w:tc>
          <w:tcPr>
            <w:tcW w:w="2347" w:type="dxa"/>
            <w:tcBorders>
              <w:top w:val="single" w:sz="4" w:space="0" w:color="000000"/>
              <w:left w:val="single" w:sz="4" w:space="0" w:color="000000"/>
              <w:bottom w:val="single" w:sz="4" w:space="0" w:color="000000"/>
            </w:tcBorders>
          </w:tcPr>
          <w:p>
            <w:pPr>
              <w:pStyle w:val="TableParagraph"/>
              <w:spacing w:before="76"/>
              <w:ind w:right="75"/>
              <w:jc w:val="right"/>
              <w:rPr>
                <w:sz w:val="18"/>
              </w:rPr>
            </w:pPr>
            <w:r>
              <w:rPr>
                <w:sz w:val="18"/>
              </w:rPr>
              <w:t>-5,479,539,484.34</w:t>
            </w:r>
          </w:p>
        </w:tc>
      </w:tr>
      <w:tr>
        <w:trPr>
          <w:trHeight w:val="369" w:hRule="atLeast"/>
        </w:trPr>
        <w:tc>
          <w:tcPr>
            <w:tcW w:w="3917" w:type="dxa"/>
            <w:tcBorders>
              <w:top w:val="single" w:sz="4" w:space="0" w:color="000000"/>
              <w:bottom w:val="single" w:sz="4" w:space="0" w:color="000000"/>
              <w:right w:val="single" w:sz="4" w:space="0" w:color="000000"/>
            </w:tcBorders>
          </w:tcPr>
          <w:p>
            <w:pPr>
              <w:pStyle w:val="TableParagraph"/>
              <w:spacing w:before="69"/>
              <w:ind w:left="107"/>
              <w:rPr>
                <w:rFonts w:ascii="宋体" w:hAnsi="宋体" w:eastAsia="宋体" w:hint="eastAsia"/>
                <w:sz w:val="18"/>
              </w:rPr>
            </w:pPr>
            <w:r>
              <w:rPr>
                <w:rFonts w:ascii="宋体" w:hAnsi="宋体" w:eastAsia="宋体" w:hint="eastAsia"/>
                <w:sz w:val="18"/>
              </w:rPr>
              <w:t>递延所得税资产减少（增加以</w:t>
            </w:r>
            <w:r>
              <w:rPr>
                <w:sz w:val="18"/>
              </w:rPr>
              <w:t>“-”</w:t>
            </w:r>
            <w:r>
              <w:rPr>
                <w:rFonts w:ascii="宋体" w:hAnsi="宋体" w:eastAsia="宋体" w:hint="eastAsia"/>
                <w:sz w:val="18"/>
              </w:rPr>
              <w:t>号填列）</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before="76"/>
              <w:ind w:right="85"/>
              <w:jc w:val="right"/>
              <w:rPr>
                <w:sz w:val="18"/>
              </w:rPr>
            </w:pPr>
            <w:r>
              <w:rPr>
                <w:sz w:val="18"/>
              </w:rPr>
              <w:t>-495,054,794.76</w:t>
            </w:r>
          </w:p>
        </w:tc>
        <w:tc>
          <w:tcPr>
            <w:tcW w:w="2347" w:type="dxa"/>
            <w:tcBorders>
              <w:top w:val="single" w:sz="4" w:space="0" w:color="000000"/>
              <w:left w:val="single" w:sz="4" w:space="0" w:color="000000"/>
              <w:bottom w:val="single" w:sz="4" w:space="0" w:color="000000"/>
            </w:tcBorders>
          </w:tcPr>
          <w:p>
            <w:pPr>
              <w:pStyle w:val="TableParagraph"/>
              <w:spacing w:before="76"/>
              <w:ind w:right="74"/>
              <w:jc w:val="right"/>
              <w:rPr>
                <w:sz w:val="18"/>
              </w:rPr>
            </w:pPr>
            <w:r>
              <w:rPr>
                <w:sz w:val="18"/>
              </w:rPr>
              <w:t>631,902,444.76</w:t>
            </w:r>
          </w:p>
        </w:tc>
      </w:tr>
      <w:tr>
        <w:trPr>
          <w:trHeight w:val="369" w:hRule="atLeast"/>
        </w:trPr>
        <w:tc>
          <w:tcPr>
            <w:tcW w:w="3917" w:type="dxa"/>
            <w:tcBorders>
              <w:top w:val="single" w:sz="4" w:space="0" w:color="000000"/>
              <w:bottom w:val="single" w:sz="4" w:space="0" w:color="000000"/>
              <w:right w:val="single" w:sz="4" w:space="0" w:color="000000"/>
            </w:tcBorders>
          </w:tcPr>
          <w:p>
            <w:pPr>
              <w:pStyle w:val="TableParagraph"/>
              <w:spacing w:before="69"/>
              <w:ind w:left="107"/>
              <w:rPr>
                <w:rFonts w:ascii="宋体" w:hAnsi="宋体" w:eastAsia="宋体" w:hint="eastAsia"/>
                <w:sz w:val="18"/>
              </w:rPr>
            </w:pPr>
            <w:r>
              <w:rPr>
                <w:rFonts w:ascii="宋体" w:hAnsi="宋体" w:eastAsia="宋体" w:hint="eastAsia"/>
                <w:sz w:val="18"/>
              </w:rPr>
              <w:t>递延所得税负债增加（减少以</w:t>
            </w:r>
            <w:r>
              <w:rPr>
                <w:sz w:val="18"/>
              </w:rPr>
              <w:t>“-”</w:t>
            </w:r>
            <w:r>
              <w:rPr>
                <w:rFonts w:ascii="宋体" w:hAnsi="宋体" w:eastAsia="宋体" w:hint="eastAsia"/>
                <w:sz w:val="18"/>
              </w:rPr>
              <w:t>号填列）</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before="76"/>
              <w:ind w:right="85"/>
              <w:jc w:val="right"/>
              <w:rPr>
                <w:sz w:val="18"/>
              </w:rPr>
            </w:pPr>
            <w:r>
              <w:rPr>
                <w:sz w:val="18"/>
              </w:rPr>
              <w:t>611,399,957.64</w:t>
            </w:r>
          </w:p>
        </w:tc>
        <w:tc>
          <w:tcPr>
            <w:tcW w:w="2347" w:type="dxa"/>
            <w:tcBorders>
              <w:top w:val="single" w:sz="4" w:space="0" w:color="000000"/>
              <w:left w:val="single" w:sz="4" w:space="0" w:color="000000"/>
              <w:bottom w:val="single" w:sz="4" w:space="0" w:color="000000"/>
            </w:tcBorders>
          </w:tcPr>
          <w:p>
            <w:pPr>
              <w:pStyle w:val="TableParagraph"/>
              <w:spacing w:before="76"/>
              <w:ind w:right="74"/>
              <w:jc w:val="right"/>
              <w:rPr>
                <w:sz w:val="18"/>
              </w:rPr>
            </w:pPr>
            <w:r>
              <w:rPr>
                <w:sz w:val="18"/>
              </w:rPr>
              <w:t>-44,026,860.55</w:t>
            </w:r>
          </w:p>
        </w:tc>
      </w:tr>
      <w:tr>
        <w:trPr>
          <w:trHeight w:val="369" w:hRule="atLeast"/>
        </w:trPr>
        <w:tc>
          <w:tcPr>
            <w:tcW w:w="3917" w:type="dxa"/>
            <w:tcBorders>
              <w:top w:val="single" w:sz="4" w:space="0" w:color="000000"/>
              <w:bottom w:val="single" w:sz="4" w:space="0" w:color="000000"/>
              <w:right w:val="single" w:sz="4" w:space="0" w:color="000000"/>
            </w:tcBorders>
          </w:tcPr>
          <w:p>
            <w:pPr>
              <w:pStyle w:val="TableParagraph"/>
              <w:spacing w:before="69"/>
              <w:ind w:left="107"/>
              <w:rPr>
                <w:rFonts w:ascii="宋体" w:hAnsi="宋体" w:eastAsia="宋体" w:hint="eastAsia"/>
                <w:sz w:val="18"/>
              </w:rPr>
            </w:pPr>
            <w:r>
              <w:rPr>
                <w:rFonts w:ascii="宋体" w:hAnsi="宋体" w:eastAsia="宋体" w:hint="eastAsia"/>
                <w:sz w:val="18"/>
              </w:rPr>
              <w:t>存货的减少（增加以</w:t>
            </w:r>
            <w:r>
              <w:rPr>
                <w:sz w:val="18"/>
              </w:rPr>
              <w:t>“-”</w:t>
            </w:r>
            <w:r>
              <w:rPr>
                <w:rFonts w:ascii="宋体" w:hAnsi="宋体" w:eastAsia="宋体" w:hint="eastAsia"/>
                <w:sz w:val="18"/>
              </w:rPr>
              <w:t>号填列）</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before="76"/>
              <w:ind w:right="86"/>
              <w:jc w:val="right"/>
              <w:rPr>
                <w:sz w:val="18"/>
              </w:rPr>
            </w:pPr>
            <w:r>
              <w:rPr>
                <w:sz w:val="18"/>
              </w:rPr>
              <w:t>-3,118,305,579.15</w:t>
            </w:r>
          </w:p>
        </w:tc>
        <w:tc>
          <w:tcPr>
            <w:tcW w:w="2347" w:type="dxa"/>
            <w:tcBorders>
              <w:top w:val="single" w:sz="4" w:space="0" w:color="000000"/>
              <w:left w:val="single" w:sz="4" w:space="0" w:color="000000"/>
              <w:bottom w:val="single" w:sz="4" w:space="0" w:color="000000"/>
            </w:tcBorders>
          </w:tcPr>
          <w:p>
            <w:pPr>
              <w:pStyle w:val="TableParagraph"/>
              <w:spacing w:before="76"/>
              <w:ind w:right="75"/>
              <w:jc w:val="right"/>
              <w:rPr>
                <w:sz w:val="18"/>
              </w:rPr>
            </w:pPr>
            <w:r>
              <w:rPr>
                <w:sz w:val="18"/>
              </w:rPr>
              <w:t>-3,949,038,184.52</w:t>
            </w:r>
          </w:p>
        </w:tc>
      </w:tr>
      <w:tr>
        <w:trPr>
          <w:trHeight w:val="369" w:hRule="atLeast"/>
        </w:trPr>
        <w:tc>
          <w:tcPr>
            <w:tcW w:w="3917" w:type="dxa"/>
            <w:tcBorders>
              <w:top w:val="single" w:sz="4" w:space="0" w:color="000000"/>
              <w:bottom w:val="single" w:sz="4" w:space="0" w:color="000000"/>
              <w:right w:val="single" w:sz="4" w:space="0" w:color="000000"/>
            </w:tcBorders>
          </w:tcPr>
          <w:p>
            <w:pPr>
              <w:pStyle w:val="TableParagraph"/>
              <w:spacing w:before="69"/>
              <w:ind w:left="107"/>
              <w:rPr>
                <w:rFonts w:ascii="宋体" w:hAnsi="宋体" w:eastAsia="宋体" w:hint="eastAsia"/>
                <w:sz w:val="18"/>
              </w:rPr>
            </w:pPr>
            <w:r>
              <w:rPr>
                <w:rFonts w:ascii="宋体" w:hAnsi="宋体" w:eastAsia="宋体" w:hint="eastAsia"/>
                <w:sz w:val="18"/>
              </w:rPr>
              <w:t>经营性应收项目的减少（增加以</w:t>
            </w:r>
            <w:r>
              <w:rPr>
                <w:sz w:val="18"/>
              </w:rPr>
              <w:t>“-”</w:t>
            </w:r>
            <w:r>
              <w:rPr>
                <w:rFonts w:ascii="宋体" w:hAnsi="宋体" w:eastAsia="宋体" w:hint="eastAsia"/>
                <w:sz w:val="18"/>
              </w:rPr>
              <w:t>号填列）</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before="76"/>
              <w:ind w:right="86"/>
              <w:jc w:val="right"/>
              <w:rPr>
                <w:sz w:val="18"/>
              </w:rPr>
            </w:pPr>
            <w:r>
              <w:rPr>
                <w:sz w:val="18"/>
              </w:rPr>
              <w:t>-5,379,121,318.75</w:t>
            </w:r>
          </w:p>
        </w:tc>
        <w:tc>
          <w:tcPr>
            <w:tcW w:w="2347" w:type="dxa"/>
            <w:tcBorders>
              <w:top w:val="single" w:sz="4" w:space="0" w:color="000000"/>
              <w:left w:val="single" w:sz="4" w:space="0" w:color="000000"/>
              <w:bottom w:val="single" w:sz="4" w:space="0" w:color="000000"/>
            </w:tcBorders>
          </w:tcPr>
          <w:p>
            <w:pPr>
              <w:pStyle w:val="TableParagraph"/>
              <w:spacing w:before="76"/>
              <w:ind w:right="74"/>
              <w:jc w:val="right"/>
              <w:rPr>
                <w:sz w:val="18"/>
              </w:rPr>
            </w:pPr>
            <w:r>
              <w:rPr>
                <w:sz w:val="18"/>
              </w:rPr>
              <w:t>-908,459,449.72</w:t>
            </w:r>
          </w:p>
        </w:tc>
      </w:tr>
      <w:tr>
        <w:trPr>
          <w:trHeight w:val="369" w:hRule="atLeast"/>
        </w:trPr>
        <w:tc>
          <w:tcPr>
            <w:tcW w:w="3917" w:type="dxa"/>
            <w:tcBorders>
              <w:top w:val="single" w:sz="4" w:space="0" w:color="000000"/>
              <w:bottom w:val="single" w:sz="4" w:space="0" w:color="000000"/>
              <w:right w:val="single" w:sz="4" w:space="0" w:color="000000"/>
            </w:tcBorders>
          </w:tcPr>
          <w:p>
            <w:pPr>
              <w:pStyle w:val="TableParagraph"/>
              <w:spacing w:before="69"/>
              <w:ind w:left="107"/>
              <w:rPr>
                <w:rFonts w:ascii="宋体" w:hAnsi="宋体" w:eastAsia="宋体" w:hint="eastAsia"/>
                <w:sz w:val="18"/>
              </w:rPr>
            </w:pPr>
            <w:r>
              <w:rPr>
                <w:rFonts w:ascii="宋体" w:hAnsi="宋体" w:eastAsia="宋体" w:hint="eastAsia"/>
                <w:sz w:val="18"/>
              </w:rPr>
              <w:t>经营性应付项目的增加（减少以</w:t>
            </w:r>
            <w:r>
              <w:rPr>
                <w:sz w:val="18"/>
              </w:rPr>
              <w:t>“-”</w:t>
            </w:r>
            <w:r>
              <w:rPr>
                <w:rFonts w:ascii="宋体" w:hAnsi="宋体" w:eastAsia="宋体" w:hint="eastAsia"/>
                <w:sz w:val="18"/>
              </w:rPr>
              <w:t>号填列）</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before="76"/>
              <w:ind w:right="85"/>
              <w:jc w:val="right"/>
              <w:rPr>
                <w:sz w:val="18"/>
              </w:rPr>
            </w:pPr>
            <w:r>
              <w:rPr>
                <w:sz w:val="18"/>
              </w:rPr>
              <w:t>9,954,754,491.97</w:t>
            </w:r>
          </w:p>
        </w:tc>
        <w:tc>
          <w:tcPr>
            <w:tcW w:w="2347" w:type="dxa"/>
            <w:tcBorders>
              <w:top w:val="single" w:sz="4" w:space="0" w:color="000000"/>
              <w:left w:val="single" w:sz="4" w:space="0" w:color="000000"/>
              <w:bottom w:val="single" w:sz="4" w:space="0" w:color="000000"/>
            </w:tcBorders>
          </w:tcPr>
          <w:p>
            <w:pPr>
              <w:pStyle w:val="TableParagraph"/>
              <w:spacing w:before="76"/>
              <w:ind w:right="75"/>
              <w:jc w:val="right"/>
              <w:rPr>
                <w:sz w:val="18"/>
              </w:rPr>
            </w:pPr>
            <w:r>
              <w:rPr>
                <w:sz w:val="18"/>
              </w:rPr>
              <w:t>5,705,533,226.59</w:t>
            </w:r>
          </w:p>
        </w:tc>
      </w:tr>
      <w:tr>
        <w:trPr>
          <w:trHeight w:val="369" w:hRule="atLeast"/>
        </w:trPr>
        <w:tc>
          <w:tcPr>
            <w:tcW w:w="3917"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其他</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before="76"/>
              <w:ind w:right="85"/>
              <w:jc w:val="right"/>
              <w:rPr>
                <w:sz w:val="18"/>
              </w:rPr>
            </w:pPr>
            <w:r>
              <w:rPr>
                <w:sz w:val="18"/>
              </w:rPr>
              <w:t>410,818,045.87</w:t>
            </w:r>
          </w:p>
        </w:tc>
        <w:tc>
          <w:tcPr>
            <w:tcW w:w="2347" w:type="dxa"/>
            <w:tcBorders>
              <w:top w:val="single" w:sz="4" w:space="0" w:color="000000"/>
              <w:left w:val="single" w:sz="4" w:space="0" w:color="000000"/>
              <w:bottom w:val="single" w:sz="4" w:space="0" w:color="000000"/>
            </w:tcBorders>
          </w:tcPr>
          <w:p>
            <w:pPr>
              <w:pStyle w:val="TableParagraph"/>
              <w:spacing w:before="76"/>
              <w:ind w:right="74"/>
              <w:jc w:val="right"/>
              <w:rPr>
                <w:sz w:val="18"/>
              </w:rPr>
            </w:pPr>
            <w:r>
              <w:rPr>
                <w:sz w:val="18"/>
              </w:rPr>
              <w:t>116,601,474.51</w:t>
            </w:r>
          </w:p>
        </w:tc>
      </w:tr>
      <w:tr>
        <w:trPr>
          <w:trHeight w:val="369" w:hRule="atLeast"/>
        </w:trPr>
        <w:tc>
          <w:tcPr>
            <w:tcW w:w="3917"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经营活动产生的现金流量净额</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before="76"/>
              <w:ind w:right="85"/>
              <w:jc w:val="right"/>
              <w:rPr>
                <w:sz w:val="18"/>
              </w:rPr>
            </w:pPr>
            <w:r>
              <w:rPr>
                <w:sz w:val="18"/>
              </w:rPr>
              <w:t>17,599,111,715.51</w:t>
            </w:r>
          </w:p>
        </w:tc>
        <w:tc>
          <w:tcPr>
            <w:tcW w:w="2347" w:type="dxa"/>
            <w:tcBorders>
              <w:top w:val="single" w:sz="4" w:space="0" w:color="000000"/>
              <w:left w:val="single" w:sz="4" w:space="0" w:color="000000"/>
              <w:bottom w:val="single" w:sz="4" w:space="0" w:color="000000"/>
            </w:tcBorders>
          </w:tcPr>
          <w:p>
            <w:pPr>
              <w:pStyle w:val="TableParagraph"/>
              <w:spacing w:before="76"/>
              <w:ind w:right="75"/>
              <w:jc w:val="right"/>
              <w:rPr>
                <w:sz w:val="18"/>
              </w:rPr>
            </w:pPr>
            <w:r>
              <w:rPr>
                <w:sz w:val="18"/>
              </w:rPr>
              <w:t>15,082,630,942.73</w:t>
            </w:r>
          </w:p>
        </w:tc>
      </w:tr>
      <w:tr>
        <w:trPr>
          <w:trHeight w:val="369" w:hRule="atLeast"/>
        </w:trPr>
        <w:tc>
          <w:tcPr>
            <w:tcW w:w="3917"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sz w:val="18"/>
              </w:rPr>
              <w:t>2</w:t>
            </w:r>
            <w:r>
              <w:rPr>
                <w:rFonts w:ascii="宋体" w:eastAsia="宋体" w:hint="eastAsia"/>
                <w:sz w:val="18"/>
              </w:rPr>
              <w:t>、不涉及现金收支的重大投资和筹资活动：</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before="65"/>
              <w:ind w:right="-15"/>
              <w:jc w:val="right"/>
              <w:rPr>
                <w:rFonts w:ascii="宋体"/>
                <w:sz w:val="18"/>
              </w:rPr>
            </w:pPr>
            <w:r>
              <w:rPr>
                <w:rFonts w:ascii="宋体"/>
                <w:sz w:val="18"/>
              </w:rPr>
              <w:t> </w:t>
            </w:r>
          </w:p>
        </w:tc>
        <w:tc>
          <w:tcPr>
            <w:tcW w:w="2347" w:type="dxa"/>
            <w:tcBorders>
              <w:top w:val="single" w:sz="4" w:space="0" w:color="000000"/>
              <w:left w:val="single" w:sz="4" w:space="0" w:color="000000"/>
              <w:bottom w:val="single" w:sz="4" w:space="0" w:color="000000"/>
            </w:tcBorders>
          </w:tcPr>
          <w:p>
            <w:pPr>
              <w:pStyle w:val="TableParagraph"/>
              <w:spacing w:before="65"/>
              <w:ind w:right="-15"/>
              <w:jc w:val="right"/>
              <w:rPr>
                <w:rFonts w:ascii="宋体"/>
                <w:sz w:val="18"/>
              </w:rPr>
            </w:pPr>
            <w:r>
              <w:rPr>
                <w:rFonts w:ascii="宋体"/>
                <w:sz w:val="18"/>
              </w:rPr>
              <w:t> </w:t>
            </w:r>
          </w:p>
        </w:tc>
      </w:tr>
      <w:tr>
        <w:trPr>
          <w:trHeight w:val="369" w:hRule="atLeast"/>
        </w:trPr>
        <w:tc>
          <w:tcPr>
            <w:tcW w:w="3917"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债务转为资本</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347" w:type="dxa"/>
            <w:tcBorders>
              <w:top w:val="single" w:sz="4" w:space="0" w:color="000000"/>
              <w:left w:val="single" w:sz="4" w:space="0" w:color="000000"/>
              <w:bottom w:val="single" w:sz="4" w:space="0" w:color="000000"/>
            </w:tcBorders>
          </w:tcPr>
          <w:p>
            <w:pPr>
              <w:pStyle w:val="TableParagraph"/>
              <w:spacing w:before="76"/>
              <w:ind w:right="77"/>
              <w:jc w:val="right"/>
              <w:rPr>
                <w:sz w:val="18"/>
              </w:rPr>
            </w:pPr>
            <w:r>
              <w:rPr>
                <w:sz w:val="18"/>
              </w:rPr>
              <w:t>2,605,447,744.16</w:t>
            </w:r>
          </w:p>
        </w:tc>
      </w:tr>
      <w:tr>
        <w:trPr>
          <w:trHeight w:val="369" w:hRule="atLeast"/>
        </w:trPr>
        <w:tc>
          <w:tcPr>
            <w:tcW w:w="3917"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一年内到期的可转换公司债券</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347" w:type="dxa"/>
            <w:tcBorders>
              <w:top w:val="single" w:sz="4" w:space="0" w:color="000000"/>
              <w:left w:val="single" w:sz="4" w:space="0" w:color="000000"/>
              <w:bottom w:val="single" w:sz="4" w:space="0" w:color="000000"/>
            </w:tcBorders>
          </w:tcPr>
          <w:p>
            <w:pPr>
              <w:pStyle w:val="TableParagraph"/>
              <w:spacing w:before="64"/>
              <w:ind w:right="-15"/>
              <w:jc w:val="right"/>
              <w:rPr>
                <w:rFonts w:ascii="宋体"/>
                <w:sz w:val="18"/>
              </w:rPr>
            </w:pPr>
            <w:r>
              <w:rPr>
                <w:rFonts w:ascii="宋体"/>
                <w:sz w:val="18"/>
              </w:rPr>
              <w:t> </w:t>
            </w:r>
          </w:p>
        </w:tc>
      </w:tr>
      <w:tr>
        <w:trPr>
          <w:trHeight w:val="369" w:hRule="atLeast"/>
        </w:trPr>
        <w:tc>
          <w:tcPr>
            <w:tcW w:w="3917"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融资租入固定资产</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347" w:type="dxa"/>
            <w:tcBorders>
              <w:top w:val="single" w:sz="4" w:space="0" w:color="000000"/>
              <w:left w:val="single" w:sz="4" w:space="0" w:color="000000"/>
              <w:bottom w:val="single" w:sz="4" w:space="0" w:color="000000"/>
            </w:tcBorders>
          </w:tcPr>
          <w:p>
            <w:pPr>
              <w:pStyle w:val="TableParagraph"/>
              <w:spacing w:before="64"/>
              <w:ind w:right="-15"/>
              <w:jc w:val="right"/>
              <w:rPr>
                <w:rFonts w:ascii="宋体"/>
                <w:sz w:val="18"/>
              </w:rPr>
            </w:pPr>
            <w:r>
              <w:rPr>
                <w:rFonts w:ascii="宋体"/>
                <w:sz w:val="18"/>
              </w:rPr>
              <w:t> </w:t>
            </w:r>
          </w:p>
        </w:tc>
      </w:tr>
      <w:tr>
        <w:trPr>
          <w:trHeight w:val="366" w:hRule="atLeast"/>
        </w:trPr>
        <w:tc>
          <w:tcPr>
            <w:tcW w:w="3917"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sz w:val="18"/>
              </w:rPr>
              <w:t>3</w:t>
            </w:r>
            <w:r>
              <w:rPr>
                <w:rFonts w:ascii="宋体" w:eastAsia="宋体" w:hint="eastAsia"/>
                <w:sz w:val="18"/>
              </w:rPr>
              <w:t>、现金及现金等价物净变动情况：</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347" w:type="dxa"/>
            <w:tcBorders>
              <w:top w:val="single" w:sz="4" w:space="0" w:color="000000"/>
              <w:left w:val="single" w:sz="4" w:space="0" w:color="000000"/>
              <w:bottom w:val="single" w:sz="4" w:space="0" w:color="000000"/>
            </w:tcBorders>
          </w:tcPr>
          <w:p>
            <w:pPr>
              <w:pStyle w:val="TableParagraph"/>
              <w:spacing w:before="62"/>
              <w:ind w:right="-15"/>
              <w:jc w:val="right"/>
              <w:rPr>
                <w:rFonts w:ascii="宋体"/>
                <w:sz w:val="18"/>
              </w:rPr>
            </w:pPr>
            <w:r>
              <w:rPr>
                <w:rFonts w:ascii="宋体"/>
                <w:sz w:val="18"/>
              </w:rPr>
              <w:t> </w:t>
            </w:r>
          </w:p>
        </w:tc>
      </w:tr>
      <w:tr>
        <w:trPr>
          <w:trHeight w:val="369" w:hRule="atLeast"/>
        </w:trPr>
        <w:tc>
          <w:tcPr>
            <w:tcW w:w="3917"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现金的期末余额</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before="76"/>
              <w:ind w:right="85"/>
              <w:jc w:val="right"/>
              <w:rPr>
                <w:sz w:val="18"/>
              </w:rPr>
            </w:pPr>
            <w:r>
              <w:rPr>
                <w:sz w:val="18"/>
              </w:rPr>
              <w:t>45,635,132,638.48</w:t>
            </w:r>
          </w:p>
        </w:tc>
        <w:tc>
          <w:tcPr>
            <w:tcW w:w="2347" w:type="dxa"/>
            <w:tcBorders>
              <w:top w:val="single" w:sz="4" w:space="0" w:color="000000"/>
              <w:left w:val="single" w:sz="4" w:space="0" w:color="000000"/>
              <w:bottom w:val="single" w:sz="4" w:space="0" w:color="000000"/>
            </w:tcBorders>
          </w:tcPr>
          <w:p>
            <w:pPr>
              <w:pStyle w:val="TableParagraph"/>
              <w:spacing w:before="76"/>
              <w:ind w:right="75"/>
              <w:jc w:val="right"/>
              <w:rPr>
                <w:sz w:val="18"/>
              </w:rPr>
            </w:pPr>
            <w:r>
              <w:rPr>
                <w:sz w:val="18"/>
              </w:rPr>
              <w:t>34,962,947,399.85</w:t>
            </w:r>
          </w:p>
        </w:tc>
      </w:tr>
      <w:tr>
        <w:trPr>
          <w:trHeight w:val="369" w:hRule="atLeast"/>
        </w:trPr>
        <w:tc>
          <w:tcPr>
            <w:tcW w:w="3917"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减：现金的期初余额</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before="76"/>
              <w:ind w:right="85"/>
              <w:jc w:val="right"/>
              <w:rPr>
                <w:sz w:val="18"/>
              </w:rPr>
            </w:pPr>
            <w:r>
              <w:rPr>
                <w:sz w:val="18"/>
              </w:rPr>
              <w:t>34,962,947,399.85</w:t>
            </w:r>
          </w:p>
        </w:tc>
        <w:tc>
          <w:tcPr>
            <w:tcW w:w="2347" w:type="dxa"/>
            <w:tcBorders>
              <w:top w:val="single" w:sz="4" w:space="0" w:color="000000"/>
              <w:left w:val="single" w:sz="4" w:space="0" w:color="000000"/>
              <w:bottom w:val="single" w:sz="4" w:space="0" w:color="000000"/>
            </w:tcBorders>
          </w:tcPr>
          <w:p>
            <w:pPr>
              <w:pStyle w:val="TableParagraph"/>
              <w:spacing w:before="76"/>
              <w:ind w:right="75"/>
              <w:jc w:val="right"/>
              <w:rPr>
                <w:sz w:val="18"/>
              </w:rPr>
            </w:pPr>
            <w:r>
              <w:rPr>
                <w:sz w:val="18"/>
              </w:rPr>
              <w:t>36,560,925,755.10</w:t>
            </w:r>
          </w:p>
        </w:tc>
      </w:tr>
      <w:tr>
        <w:trPr>
          <w:trHeight w:val="369" w:hRule="atLeast"/>
        </w:trPr>
        <w:tc>
          <w:tcPr>
            <w:tcW w:w="3917"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加：现金等价物的期末余额</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before="64"/>
              <w:ind w:right="-15"/>
              <w:jc w:val="right"/>
              <w:rPr>
                <w:rFonts w:ascii="宋体"/>
                <w:sz w:val="18"/>
              </w:rPr>
            </w:pPr>
            <w:r>
              <w:rPr>
                <w:rFonts w:ascii="宋体"/>
                <w:sz w:val="18"/>
              </w:rPr>
              <w:t> </w:t>
            </w:r>
          </w:p>
        </w:tc>
        <w:tc>
          <w:tcPr>
            <w:tcW w:w="2347" w:type="dxa"/>
            <w:tcBorders>
              <w:top w:val="single" w:sz="4" w:space="0" w:color="000000"/>
              <w:left w:val="single" w:sz="4" w:space="0" w:color="000000"/>
              <w:bottom w:val="single" w:sz="4" w:space="0" w:color="000000"/>
            </w:tcBorders>
          </w:tcPr>
          <w:p>
            <w:pPr>
              <w:pStyle w:val="TableParagraph"/>
              <w:spacing w:before="64"/>
              <w:ind w:right="-15"/>
              <w:jc w:val="right"/>
              <w:rPr>
                <w:rFonts w:ascii="宋体"/>
                <w:sz w:val="18"/>
              </w:rPr>
            </w:pPr>
            <w:r>
              <w:rPr>
                <w:rFonts w:ascii="宋体"/>
                <w:sz w:val="18"/>
              </w:rPr>
              <w:t> </w:t>
            </w:r>
          </w:p>
        </w:tc>
      </w:tr>
      <w:tr>
        <w:trPr>
          <w:trHeight w:val="369" w:hRule="atLeast"/>
        </w:trPr>
        <w:tc>
          <w:tcPr>
            <w:tcW w:w="3917"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减：现金等价物的期初余额</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before="64"/>
              <w:ind w:right="-15"/>
              <w:jc w:val="right"/>
              <w:rPr>
                <w:rFonts w:ascii="宋体"/>
                <w:sz w:val="18"/>
              </w:rPr>
            </w:pPr>
            <w:r>
              <w:rPr>
                <w:rFonts w:ascii="宋体"/>
                <w:sz w:val="18"/>
              </w:rPr>
              <w:t> </w:t>
            </w:r>
          </w:p>
        </w:tc>
        <w:tc>
          <w:tcPr>
            <w:tcW w:w="2347" w:type="dxa"/>
            <w:tcBorders>
              <w:top w:val="single" w:sz="4" w:space="0" w:color="000000"/>
              <w:left w:val="single" w:sz="4" w:space="0" w:color="000000"/>
              <w:bottom w:val="single" w:sz="4" w:space="0" w:color="000000"/>
            </w:tcBorders>
          </w:tcPr>
          <w:p>
            <w:pPr>
              <w:pStyle w:val="TableParagraph"/>
              <w:spacing w:before="64"/>
              <w:ind w:right="-15"/>
              <w:jc w:val="right"/>
              <w:rPr>
                <w:rFonts w:ascii="宋体"/>
                <w:sz w:val="18"/>
              </w:rPr>
            </w:pPr>
            <w:r>
              <w:rPr>
                <w:rFonts w:ascii="宋体"/>
                <w:sz w:val="18"/>
              </w:rPr>
              <w:t> </w:t>
            </w:r>
          </w:p>
        </w:tc>
      </w:tr>
      <w:tr>
        <w:trPr>
          <w:trHeight w:val="369" w:hRule="atLeast"/>
        </w:trPr>
        <w:tc>
          <w:tcPr>
            <w:tcW w:w="3917" w:type="dxa"/>
            <w:tcBorders>
              <w:top w:val="single" w:sz="4" w:space="0" w:color="000000"/>
              <w:right w:val="single" w:sz="4" w:space="0" w:color="000000"/>
            </w:tcBorders>
          </w:tcPr>
          <w:p>
            <w:pPr>
              <w:pStyle w:val="TableParagraph"/>
              <w:spacing w:before="70"/>
              <w:ind w:left="107"/>
              <w:rPr>
                <w:rFonts w:ascii="宋体" w:eastAsia="宋体" w:hint="eastAsia"/>
                <w:sz w:val="18"/>
              </w:rPr>
            </w:pPr>
            <w:r>
              <w:rPr>
                <w:rFonts w:ascii="宋体" w:eastAsia="宋体" w:hint="eastAsia"/>
                <w:sz w:val="18"/>
              </w:rPr>
              <w:t>现金及现金等价物净增加额</w:t>
            </w:r>
          </w:p>
        </w:tc>
        <w:tc>
          <w:tcPr>
            <w:tcW w:w="2486" w:type="dxa"/>
            <w:tcBorders>
              <w:top w:val="single" w:sz="4" w:space="0" w:color="000000"/>
              <w:left w:val="single" w:sz="4" w:space="0" w:color="000000"/>
              <w:right w:val="single" w:sz="4" w:space="0" w:color="000000"/>
            </w:tcBorders>
          </w:tcPr>
          <w:p>
            <w:pPr>
              <w:pStyle w:val="TableParagraph"/>
              <w:spacing w:before="77"/>
              <w:ind w:right="85"/>
              <w:jc w:val="right"/>
              <w:rPr>
                <w:sz w:val="18"/>
              </w:rPr>
            </w:pPr>
            <w:r>
              <w:rPr>
                <w:sz w:val="18"/>
              </w:rPr>
              <w:t>10,672,185,238.63</w:t>
            </w:r>
          </w:p>
        </w:tc>
        <w:tc>
          <w:tcPr>
            <w:tcW w:w="2347" w:type="dxa"/>
            <w:tcBorders>
              <w:top w:val="single" w:sz="4" w:space="0" w:color="000000"/>
              <w:left w:val="single" w:sz="4" w:space="0" w:color="000000"/>
            </w:tcBorders>
          </w:tcPr>
          <w:p>
            <w:pPr>
              <w:pStyle w:val="TableParagraph"/>
              <w:spacing w:before="77"/>
              <w:ind w:right="75"/>
              <w:jc w:val="right"/>
              <w:rPr>
                <w:sz w:val="18"/>
              </w:rPr>
            </w:pPr>
            <w:r>
              <w:rPr>
                <w:sz w:val="18"/>
              </w:rPr>
              <w:t>-1,597,978,355.25</w:t>
            </w:r>
          </w:p>
        </w:tc>
      </w:tr>
    </w:tbl>
    <w:p>
      <w:pPr>
        <w:pStyle w:val="BodyText"/>
        <w:spacing w:line="265" w:lineRule="exact" w:before="4"/>
        <w:ind w:left="1538"/>
      </w:pPr>
      <w:r>
        <w:rPr>
          <w:w w:val="100"/>
        </w:rPr>
        <w:t> </w:t>
      </w:r>
    </w:p>
    <w:p>
      <w:pPr>
        <w:pStyle w:val="Heading4"/>
        <w:spacing w:line="383" w:lineRule="exact"/>
      </w:pPr>
      <w:r>
        <w:rPr>
          <w:rFonts w:ascii="Times New Roman" w:eastAsia="Times New Roman"/>
        </w:rPr>
        <w:t>72</w:t>
      </w:r>
      <w:r>
        <w:rPr/>
        <w:t>、 现金和现金等价物</w:t>
      </w:r>
    </w:p>
    <w:p>
      <w:pPr>
        <w:pStyle w:val="BodyText"/>
        <w:spacing w:before="17"/>
        <w:ind w:left="1538"/>
      </w:pPr>
      <w:r>
        <w:rPr>
          <w:w w:val="100"/>
        </w:rPr>
        <w:t> </w:t>
      </w:r>
    </w:p>
    <w:tbl>
      <w:tblPr>
        <w:tblW w:w="0" w:type="auto"/>
        <w:jc w:val="left"/>
        <w:tblInd w:w="163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79"/>
        <w:gridCol w:w="2489"/>
        <w:gridCol w:w="2307"/>
      </w:tblGrid>
      <w:tr>
        <w:trPr>
          <w:trHeight w:val="368" w:hRule="atLeast"/>
        </w:trPr>
        <w:tc>
          <w:tcPr>
            <w:tcW w:w="3879" w:type="dxa"/>
            <w:tcBorders>
              <w:bottom w:val="single" w:sz="4" w:space="0" w:color="000000"/>
              <w:right w:val="single" w:sz="4" w:space="0" w:color="000000"/>
            </w:tcBorders>
          </w:tcPr>
          <w:p>
            <w:pPr>
              <w:pStyle w:val="TableParagraph"/>
              <w:spacing w:before="9"/>
              <w:ind w:left="1738" w:right="1720"/>
              <w:jc w:val="center"/>
              <w:rPr>
                <w:rFonts w:ascii="Microsoft JhengHei" w:eastAsia="Microsoft JhengHei" w:hint="eastAsia"/>
                <w:b/>
                <w:sz w:val="18"/>
              </w:rPr>
            </w:pPr>
            <w:r>
              <w:rPr>
                <w:rFonts w:ascii="Microsoft JhengHei" w:eastAsia="Microsoft JhengHei" w:hint="eastAsia"/>
                <w:b/>
                <w:sz w:val="18"/>
              </w:rPr>
              <w:t>项目</w:t>
            </w:r>
          </w:p>
        </w:tc>
        <w:tc>
          <w:tcPr>
            <w:tcW w:w="2489" w:type="dxa"/>
            <w:tcBorders>
              <w:left w:val="single" w:sz="4" w:space="0" w:color="000000"/>
              <w:bottom w:val="single" w:sz="4" w:space="0" w:color="000000"/>
              <w:right w:val="single" w:sz="4" w:space="0" w:color="000000"/>
            </w:tcBorders>
          </w:tcPr>
          <w:p>
            <w:pPr>
              <w:pStyle w:val="TableParagraph"/>
              <w:spacing w:before="9"/>
              <w:ind w:left="874" w:right="845"/>
              <w:jc w:val="center"/>
              <w:rPr>
                <w:rFonts w:ascii="Microsoft JhengHei" w:eastAsia="Microsoft JhengHei" w:hint="eastAsia"/>
                <w:b/>
                <w:sz w:val="18"/>
              </w:rPr>
            </w:pPr>
            <w:r>
              <w:rPr>
                <w:rFonts w:ascii="Microsoft JhengHei" w:eastAsia="Microsoft JhengHei" w:hint="eastAsia"/>
                <w:b/>
                <w:sz w:val="18"/>
              </w:rPr>
              <w:t>期末余额</w:t>
            </w:r>
          </w:p>
        </w:tc>
        <w:tc>
          <w:tcPr>
            <w:tcW w:w="2307" w:type="dxa"/>
            <w:tcBorders>
              <w:left w:val="single" w:sz="4" w:space="0" w:color="000000"/>
              <w:bottom w:val="single" w:sz="4" w:space="0" w:color="000000"/>
            </w:tcBorders>
          </w:tcPr>
          <w:p>
            <w:pPr>
              <w:pStyle w:val="TableParagraph"/>
              <w:spacing w:before="9"/>
              <w:ind w:left="783" w:right="744"/>
              <w:jc w:val="center"/>
              <w:rPr>
                <w:rFonts w:ascii="Microsoft JhengHei" w:eastAsia="Microsoft JhengHei" w:hint="eastAsia"/>
                <w:b/>
                <w:sz w:val="18"/>
              </w:rPr>
            </w:pPr>
            <w:r>
              <w:rPr>
                <w:rFonts w:ascii="Microsoft JhengHei" w:eastAsia="Microsoft JhengHei" w:hint="eastAsia"/>
                <w:b/>
                <w:sz w:val="18"/>
              </w:rPr>
              <w:t>期初余额</w:t>
            </w:r>
          </w:p>
        </w:tc>
      </w:tr>
      <w:tr>
        <w:trPr>
          <w:trHeight w:val="369" w:hRule="atLeast"/>
        </w:trPr>
        <w:tc>
          <w:tcPr>
            <w:tcW w:w="3879"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一、现金</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before="76"/>
              <w:ind w:right="86"/>
              <w:jc w:val="right"/>
              <w:rPr>
                <w:sz w:val="18"/>
              </w:rPr>
            </w:pPr>
            <w:r>
              <w:rPr>
                <w:sz w:val="18"/>
              </w:rPr>
              <w:t>45,635,132,638.48</w:t>
            </w:r>
          </w:p>
        </w:tc>
        <w:tc>
          <w:tcPr>
            <w:tcW w:w="2307" w:type="dxa"/>
            <w:tcBorders>
              <w:top w:val="single" w:sz="4" w:space="0" w:color="000000"/>
              <w:left w:val="single" w:sz="4" w:space="0" w:color="000000"/>
              <w:bottom w:val="single" w:sz="4" w:space="0" w:color="000000"/>
            </w:tcBorders>
          </w:tcPr>
          <w:p>
            <w:pPr>
              <w:pStyle w:val="TableParagraph"/>
              <w:spacing w:before="76"/>
              <w:ind w:right="76"/>
              <w:jc w:val="right"/>
              <w:rPr>
                <w:sz w:val="18"/>
              </w:rPr>
            </w:pPr>
            <w:r>
              <w:rPr>
                <w:sz w:val="18"/>
              </w:rPr>
              <w:t>34,962,947,399.85</w:t>
            </w:r>
          </w:p>
        </w:tc>
      </w:tr>
      <w:tr>
        <w:trPr>
          <w:trHeight w:val="369" w:hRule="atLeast"/>
        </w:trPr>
        <w:tc>
          <w:tcPr>
            <w:tcW w:w="3879"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其中：库存现金</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before="76"/>
              <w:ind w:right="86"/>
              <w:jc w:val="right"/>
              <w:rPr>
                <w:sz w:val="18"/>
              </w:rPr>
            </w:pPr>
            <w:r>
              <w:rPr>
                <w:sz w:val="18"/>
              </w:rPr>
              <w:t>2,257,666.98</w:t>
            </w:r>
          </w:p>
        </w:tc>
        <w:tc>
          <w:tcPr>
            <w:tcW w:w="2307" w:type="dxa"/>
            <w:tcBorders>
              <w:top w:val="single" w:sz="4" w:space="0" w:color="000000"/>
              <w:left w:val="single" w:sz="4" w:space="0" w:color="000000"/>
              <w:bottom w:val="single" w:sz="4" w:space="0" w:color="000000"/>
            </w:tcBorders>
          </w:tcPr>
          <w:p>
            <w:pPr>
              <w:pStyle w:val="TableParagraph"/>
              <w:spacing w:before="76"/>
              <w:ind w:right="76"/>
              <w:jc w:val="right"/>
              <w:rPr>
                <w:sz w:val="18"/>
              </w:rPr>
            </w:pPr>
            <w:r>
              <w:rPr>
                <w:sz w:val="18"/>
              </w:rPr>
              <w:t>7,556,892.38</w:t>
            </w:r>
          </w:p>
        </w:tc>
      </w:tr>
      <w:tr>
        <w:trPr>
          <w:trHeight w:val="369" w:hRule="atLeast"/>
        </w:trPr>
        <w:tc>
          <w:tcPr>
            <w:tcW w:w="3879"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可随时用于支付的银行存款</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before="76"/>
              <w:ind w:right="86"/>
              <w:jc w:val="right"/>
              <w:rPr>
                <w:sz w:val="18"/>
              </w:rPr>
            </w:pPr>
            <w:r>
              <w:rPr>
                <w:sz w:val="18"/>
              </w:rPr>
              <w:t>45,306,078,417.59</w:t>
            </w:r>
          </w:p>
        </w:tc>
        <w:tc>
          <w:tcPr>
            <w:tcW w:w="2307" w:type="dxa"/>
            <w:tcBorders>
              <w:top w:val="single" w:sz="4" w:space="0" w:color="000000"/>
              <w:left w:val="single" w:sz="4" w:space="0" w:color="000000"/>
              <w:bottom w:val="single" w:sz="4" w:space="0" w:color="000000"/>
            </w:tcBorders>
          </w:tcPr>
          <w:p>
            <w:pPr>
              <w:pStyle w:val="TableParagraph"/>
              <w:spacing w:before="76"/>
              <w:ind w:right="76"/>
              <w:jc w:val="right"/>
              <w:rPr>
                <w:sz w:val="18"/>
              </w:rPr>
            </w:pPr>
            <w:r>
              <w:rPr>
                <w:sz w:val="18"/>
              </w:rPr>
              <w:t>34,502,656,877.99</w:t>
            </w:r>
          </w:p>
        </w:tc>
      </w:tr>
      <w:tr>
        <w:trPr>
          <w:trHeight w:val="369" w:hRule="atLeast"/>
        </w:trPr>
        <w:tc>
          <w:tcPr>
            <w:tcW w:w="3879"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可随时用于支付的其他货币资金</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before="76"/>
              <w:ind w:right="86"/>
              <w:jc w:val="right"/>
              <w:rPr>
                <w:sz w:val="18"/>
              </w:rPr>
            </w:pPr>
            <w:r>
              <w:rPr>
                <w:sz w:val="18"/>
              </w:rPr>
              <w:t>326,796,553.91</w:t>
            </w:r>
          </w:p>
        </w:tc>
        <w:tc>
          <w:tcPr>
            <w:tcW w:w="2307" w:type="dxa"/>
            <w:tcBorders>
              <w:top w:val="single" w:sz="4" w:space="0" w:color="000000"/>
              <w:left w:val="single" w:sz="4" w:space="0" w:color="000000"/>
              <w:bottom w:val="single" w:sz="4" w:space="0" w:color="000000"/>
            </w:tcBorders>
          </w:tcPr>
          <w:p>
            <w:pPr>
              <w:pStyle w:val="TableParagraph"/>
              <w:spacing w:before="76"/>
              <w:ind w:right="76"/>
              <w:jc w:val="right"/>
              <w:rPr>
                <w:sz w:val="18"/>
              </w:rPr>
            </w:pPr>
            <w:r>
              <w:rPr>
                <w:sz w:val="18"/>
              </w:rPr>
              <w:t>452,733,629.48</w:t>
            </w:r>
          </w:p>
        </w:tc>
      </w:tr>
      <w:tr>
        <w:trPr>
          <w:trHeight w:val="369" w:hRule="atLeast"/>
        </w:trPr>
        <w:tc>
          <w:tcPr>
            <w:tcW w:w="3879"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二、现金等价物</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307"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3879"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其中：三个月内到期的债券投资</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307"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3879"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三、期末现金及现金等价物余额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before="76"/>
              <w:ind w:right="86"/>
              <w:jc w:val="right"/>
              <w:rPr>
                <w:sz w:val="18"/>
              </w:rPr>
            </w:pPr>
            <w:r>
              <w:rPr>
                <w:sz w:val="18"/>
              </w:rPr>
              <w:t>45,635,132,638.48</w:t>
            </w:r>
          </w:p>
        </w:tc>
        <w:tc>
          <w:tcPr>
            <w:tcW w:w="2307" w:type="dxa"/>
            <w:tcBorders>
              <w:top w:val="single" w:sz="4" w:space="0" w:color="000000"/>
              <w:left w:val="single" w:sz="4" w:space="0" w:color="000000"/>
              <w:bottom w:val="single" w:sz="4" w:space="0" w:color="000000"/>
            </w:tcBorders>
          </w:tcPr>
          <w:p>
            <w:pPr>
              <w:pStyle w:val="TableParagraph"/>
              <w:spacing w:before="76"/>
              <w:ind w:right="76"/>
              <w:jc w:val="right"/>
              <w:rPr>
                <w:sz w:val="18"/>
              </w:rPr>
            </w:pPr>
            <w:r>
              <w:rPr>
                <w:sz w:val="18"/>
              </w:rPr>
              <w:t>34,962,947,399.85</w:t>
            </w:r>
          </w:p>
        </w:tc>
      </w:tr>
      <w:tr>
        <w:trPr>
          <w:trHeight w:val="464" w:hRule="atLeast"/>
        </w:trPr>
        <w:tc>
          <w:tcPr>
            <w:tcW w:w="3879" w:type="dxa"/>
            <w:tcBorders>
              <w:top w:val="single" w:sz="4" w:space="0" w:color="000000"/>
              <w:right w:val="single" w:sz="4" w:space="0" w:color="000000"/>
            </w:tcBorders>
          </w:tcPr>
          <w:p>
            <w:pPr>
              <w:pStyle w:val="TableParagraph"/>
              <w:spacing w:line="230" w:lineRule="exact"/>
              <w:ind w:left="107"/>
              <w:rPr>
                <w:rFonts w:ascii="宋体" w:eastAsia="宋体" w:hint="eastAsia"/>
                <w:sz w:val="18"/>
              </w:rPr>
            </w:pPr>
            <w:r>
              <w:rPr>
                <w:rFonts w:ascii="宋体" w:eastAsia="宋体" w:hint="eastAsia"/>
                <w:sz w:val="18"/>
              </w:rPr>
              <w:t>其中：母公司或集团内子公司使用受限制的现</w:t>
            </w:r>
          </w:p>
          <w:p>
            <w:pPr>
              <w:pStyle w:val="TableParagraph"/>
              <w:spacing w:line="212" w:lineRule="exact" w:before="2"/>
              <w:ind w:left="107"/>
              <w:rPr>
                <w:rFonts w:ascii="宋体" w:eastAsia="宋体" w:hint="eastAsia"/>
                <w:sz w:val="18"/>
              </w:rPr>
            </w:pPr>
            <w:r>
              <w:rPr>
                <w:rFonts w:ascii="宋体" w:eastAsia="宋体" w:hint="eastAsia"/>
                <w:sz w:val="18"/>
              </w:rPr>
              <w:t>金和现金等价物</w:t>
            </w:r>
          </w:p>
        </w:tc>
        <w:tc>
          <w:tcPr>
            <w:tcW w:w="2489" w:type="dxa"/>
            <w:tcBorders>
              <w:top w:val="single" w:sz="4" w:space="0" w:color="000000"/>
              <w:left w:val="single" w:sz="4" w:space="0" w:color="000000"/>
              <w:right w:val="single" w:sz="4" w:space="0" w:color="000000"/>
            </w:tcBorders>
          </w:tcPr>
          <w:p>
            <w:pPr>
              <w:pStyle w:val="TableParagraph"/>
              <w:rPr>
                <w:sz w:val="18"/>
              </w:rPr>
            </w:pPr>
          </w:p>
        </w:tc>
        <w:tc>
          <w:tcPr>
            <w:tcW w:w="2307" w:type="dxa"/>
            <w:tcBorders>
              <w:top w:val="single" w:sz="4" w:space="0" w:color="000000"/>
              <w:left w:val="single" w:sz="4" w:space="0" w:color="000000"/>
            </w:tcBorders>
          </w:tcPr>
          <w:p>
            <w:pPr>
              <w:pStyle w:val="TableParagraph"/>
              <w:rPr>
                <w:sz w:val="18"/>
              </w:rPr>
            </w:pPr>
          </w:p>
        </w:tc>
      </w:tr>
    </w:tbl>
    <w:p>
      <w:pPr>
        <w:pStyle w:val="BodyText"/>
        <w:spacing w:before="3"/>
        <w:rPr>
          <w:sz w:val="18"/>
        </w:rPr>
      </w:pPr>
    </w:p>
    <w:p>
      <w:pPr>
        <w:pStyle w:val="Heading4"/>
      </w:pPr>
      <w:r>
        <w:rPr>
          <w:rFonts w:ascii="Times New Roman" w:eastAsia="Times New Roman"/>
        </w:rPr>
        <w:t>73</w:t>
      </w:r>
      <w:r>
        <w:rPr/>
        <w:t>、 外币货币性项目</w:t>
      </w:r>
    </w:p>
    <w:p>
      <w:pPr>
        <w:pStyle w:val="BodyText"/>
        <w:spacing w:before="17"/>
        <w:ind w:left="1538"/>
      </w:pPr>
      <w:r>
        <w:rPr>
          <w:w w:val="100"/>
        </w:rPr>
        <w:t> </w:t>
      </w:r>
    </w:p>
    <w:tbl>
      <w:tblPr>
        <w:tblW w:w="0" w:type="auto"/>
        <w:jc w:val="left"/>
        <w:tblInd w:w="152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674"/>
        <w:gridCol w:w="1618"/>
        <w:gridCol w:w="919"/>
        <w:gridCol w:w="1620"/>
        <w:gridCol w:w="1524"/>
        <w:gridCol w:w="920"/>
        <w:gridCol w:w="1620"/>
      </w:tblGrid>
      <w:tr>
        <w:trPr>
          <w:trHeight w:val="358" w:hRule="atLeast"/>
        </w:trPr>
        <w:tc>
          <w:tcPr>
            <w:tcW w:w="674" w:type="dxa"/>
            <w:vMerge w:val="restart"/>
            <w:tcBorders>
              <w:right w:val="single" w:sz="4" w:space="0" w:color="000000"/>
            </w:tcBorders>
          </w:tcPr>
          <w:p>
            <w:pPr>
              <w:pStyle w:val="TableParagraph"/>
              <w:spacing w:before="6"/>
              <w:rPr>
                <w:rFonts w:ascii="宋体"/>
                <w:sz w:val="15"/>
              </w:rPr>
            </w:pPr>
          </w:p>
          <w:p>
            <w:pPr>
              <w:pStyle w:val="TableParagraph"/>
              <w:spacing w:before="1"/>
              <w:ind w:left="153"/>
              <w:rPr>
                <w:rFonts w:ascii="Microsoft JhengHei" w:eastAsia="Microsoft JhengHei" w:hint="eastAsia"/>
                <w:b/>
                <w:sz w:val="18"/>
              </w:rPr>
            </w:pPr>
            <w:r>
              <w:rPr>
                <w:rFonts w:ascii="Microsoft JhengHei" w:eastAsia="Microsoft JhengHei" w:hint="eastAsia"/>
                <w:b/>
                <w:sz w:val="18"/>
              </w:rPr>
              <w:t>项目</w:t>
            </w:r>
          </w:p>
        </w:tc>
        <w:tc>
          <w:tcPr>
            <w:tcW w:w="4157" w:type="dxa"/>
            <w:gridSpan w:val="3"/>
            <w:tcBorders>
              <w:left w:val="single" w:sz="4" w:space="0" w:color="000000"/>
              <w:bottom w:val="single" w:sz="4" w:space="0" w:color="000000"/>
              <w:right w:val="single" w:sz="4" w:space="0" w:color="000000"/>
            </w:tcBorders>
          </w:tcPr>
          <w:p>
            <w:pPr>
              <w:pStyle w:val="TableParagraph"/>
              <w:spacing w:line="329" w:lineRule="exact" w:before="9"/>
              <w:ind w:left="1707" w:right="1680"/>
              <w:jc w:val="center"/>
              <w:rPr>
                <w:rFonts w:ascii="Microsoft JhengHei" w:eastAsia="Microsoft JhengHei" w:hint="eastAsia"/>
                <w:b/>
                <w:sz w:val="18"/>
              </w:rPr>
            </w:pPr>
            <w:r>
              <w:rPr>
                <w:rFonts w:ascii="Microsoft JhengHei" w:eastAsia="Microsoft JhengHei" w:hint="eastAsia"/>
                <w:b/>
                <w:sz w:val="18"/>
              </w:rPr>
              <w:t>期末余额</w:t>
            </w:r>
          </w:p>
        </w:tc>
        <w:tc>
          <w:tcPr>
            <w:tcW w:w="4064" w:type="dxa"/>
            <w:gridSpan w:val="3"/>
            <w:tcBorders>
              <w:left w:val="single" w:sz="4" w:space="0" w:color="000000"/>
              <w:bottom w:val="single" w:sz="4" w:space="0" w:color="000000"/>
            </w:tcBorders>
          </w:tcPr>
          <w:p>
            <w:pPr>
              <w:pStyle w:val="TableParagraph"/>
              <w:spacing w:line="329" w:lineRule="exact" w:before="9"/>
              <w:ind w:left="1662" w:right="1622"/>
              <w:jc w:val="center"/>
              <w:rPr>
                <w:rFonts w:ascii="Microsoft JhengHei" w:eastAsia="Microsoft JhengHei" w:hint="eastAsia"/>
                <w:b/>
                <w:sz w:val="18"/>
              </w:rPr>
            </w:pPr>
            <w:r>
              <w:rPr>
                <w:rFonts w:ascii="Microsoft JhengHei" w:eastAsia="Microsoft JhengHei" w:hint="eastAsia"/>
                <w:b/>
                <w:sz w:val="18"/>
              </w:rPr>
              <w:t>期初余额</w:t>
            </w:r>
          </w:p>
        </w:tc>
      </w:tr>
      <w:tr>
        <w:trPr>
          <w:trHeight w:val="358" w:hRule="atLeast"/>
        </w:trPr>
        <w:tc>
          <w:tcPr>
            <w:tcW w:w="674" w:type="dxa"/>
            <w:vMerge/>
            <w:tcBorders>
              <w:top w:val="nil"/>
              <w:right w:val="single" w:sz="4" w:space="0" w:color="000000"/>
            </w:tcBorders>
          </w:tcPr>
          <w:p>
            <w:pPr>
              <w:rPr>
                <w:sz w:val="2"/>
                <w:szCs w:val="2"/>
              </w:rPr>
            </w:pPr>
          </w:p>
        </w:tc>
        <w:tc>
          <w:tcPr>
            <w:tcW w:w="1618" w:type="dxa"/>
            <w:tcBorders>
              <w:top w:val="single" w:sz="4" w:space="0" w:color="000000"/>
              <w:left w:val="single" w:sz="4" w:space="0" w:color="000000"/>
              <w:right w:val="single" w:sz="4" w:space="0" w:color="000000"/>
            </w:tcBorders>
          </w:tcPr>
          <w:p>
            <w:pPr>
              <w:pStyle w:val="TableParagraph"/>
              <w:spacing w:line="329" w:lineRule="exact"/>
              <w:ind w:left="456"/>
              <w:rPr>
                <w:rFonts w:ascii="Microsoft JhengHei" w:eastAsia="Microsoft JhengHei" w:hint="eastAsia"/>
                <w:b/>
                <w:sz w:val="18"/>
              </w:rPr>
            </w:pPr>
            <w:r>
              <w:rPr>
                <w:rFonts w:ascii="Microsoft JhengHei" w:eastAsia="Microsoft JhengHei" w:hint="eastAsia"/>
                <w:b/>
                <w:sz w:val="18"/>
              </w:rPr>
              <w:t>外币余额</w:t>
            </w:r>
          </w:p>
        </w:tc>
        <w:tc>
          <w:tcPr>
            <w:tcW w:w="919" w:type="dxa"/>
            <w:tcBorders>
              <w:top w:val="single" w:sz="4" w:space="0" w:color="000000"/>
              <w:left w:val="single" w:sz="4" w:space="0" w:color="000000"/>
              <w:right w:val="single" w:sz="4" w:space="0" w:color="000000"/>
            </w:tcBorders>
          </w:tcPr>
          <w:p>
            <w:pPr>
              <w:pStyle w:val="TableParagraph"/>
              <w:spacing w:line="329" w:lineRule="exact"/>
              <w:ind w:left="194"/>
              <w:rPr>
                <w:rFonts w:ascii="Microsoft JhengHei" w:eastAsia="Microsoft JhengHei" w:hint="eastAsia"/>
                <w:b/>
                <w:sz w:val="18"/>
              </w:rPr>
            </w:pPr>
            <w:r>
              <w:rPr>
                <w:rFonts w:ascii="Microsoft JhengHei" w:eastAsia="Microsoft JhengHei" w:hint="eastAsia"/>
                <w:b/>
                <w:sz w:val="18"/>
              </w:rPr>
              <w:t>折算汇</w:t>
            </w:r>
          </w:p>
        </w:tc>
        <w:tc>
          <w:tcPr>
            <w:tcW w:w="1620" w:type="dxa"/>
            <w:tcBorders>
              <w:top w:val="single" w:sz="4" w:space="0" w:color="000000"/>
              <w:left w:val="single" w:sz="4" w:space="0" w:color="000000"/>
              <w:right w:val="single" w:sz="4" w:space="0" w:color="000000"/>
            </w:tcBorders>
          </w:tcPr>
          <w:p>
            <w:pPr>
              <w:pStyle w:val="TableParagraph"/>
              <w:spacing w:line="329" w:lineRule="exact"/>
              <w:ind w:left="367"/>
              <w:rPr>
                <w:rFonts w:ascii="Microsoft JhengHei" w:eastAsia="Microsoft JhengHei" w:hint="eastAsia"/>
                <w:b/>
                <w:sz w:val="18"/>
              </w:rPr>
            </w:pPr>
            <w:r>
              <w:rPr>
                <w:rFonts w:ascii="Microsoft JhengHei" w:eastAsia="Microsoft JhengHei" w:hint="eastAsia"/>
                <w:b/>
                <w:sz w:val="18"/>
              </w:rPr>
              <w:t>人民币余额</w:t>
            </w:r>
          </w:p>
        </w:tc>
        <w:tc>
          <w:tcPr>
            <w:tcW w:w="1524" w:type="dxa"/>
            <w:tcBorders>
              <w:top w:val="single" w:sz="4" w:space="0" w:color="000000"/>
              <w:left w:val="single" w:sz="4" w:space="0" w:color="000000"/>
              <w:right w:val="single" w:sz="4" w:space="0" w:color="000000"/>
            </w:tcBorders>
          </w:tcPr>
          <w:p>
            <w:pPr>
              <w:pStyle w:val="TableParagraph"/>
              <w:spacing w:line="329" w:lineRule="exact"/>
              <w:ind w:left="411"/>
              <w:rPr>
                <w:rFonts w:ascii="Microsoft JhengHei" w:eastAsia="Microsoft JhengHei" w:hint="eastAsia"/>
                <w:b/>
                <w:sz w:val="18"/>
              </w:rPr>
            </w:pPr>
            <w:r>
              <w:rPr>
                <w:rFonts w:ascii="Microsoft JhengHei" w:eastAsia="Microsoft JhengHei" w:hint="eastAsia"/>
                <w:b/>
                <w:sz w:val="18"/>
              </w:rPr>
              <w:t>外币余额</w:t>
            </w:r>
          </w:p>
        </w:tc>
        <w:tc>
          <w:tcPr>
            <w:tcW w:w="920" w:type="dxa"/>
            <w:tcBorders>
              <w:top w:val="single" w:sz="4" w:space="0" w:color="000000"/>
              <w:left w:val="single" w:sz="4" w:space="0" w:color="000000"/>
              <w:right w:val="single" w:sz="4" w:space="0" w:color="000000"/>
            </w:tcBorders>
          </w:tcPr>
          <w:p>
            <w:pPr>
              <w:pStyle w:val="TableParagraph"/>
              <w:spacing w:line="329" w:lineRule="exact"/>
              <w:ind w:left="197"/>
              <w:rPr>
                <w:rFonts w:ascii="Microsoft JhengHei" w:eastAsia="Microsoft JhengHei" w:hint="eastAsia"/>
                <w:b/>
                <w:sz w:val="18"/>
              </w:rPr>
            </w:pPr>
            <w:r>
              <w:rPr>
                <w:rFonts w:ascii="Microsoft JhengHei" w:eastAsia="Microsoft JhengHei" w:hint="eastAsia"/>
                <w:b/>
                <w:sz w:val="18"/>
              </w:rPr>
              <w:t>折算汇</w:t>
            </w:r>
          </w:p>
        </w:tc>
        <w:tc>
          <w:tcPr>
            <w:tcW w:w="1620" w:type="dxa"/>
            <w:tcBorders>
              <w:top w:val="single" w:sz="4" w:space="0" w:color="000000"/>
              <w:left w:val="single" w:sz="4" w:space="0" w:color="000000"/>
            </w:tcBorders>
          </w:tcPr>
          <w:p>
            <w:pPr>
              <w:pStyle w:val="TableParagraph"/>
              <w:spacing w:line="329" w:lineRule="exact"/>
              <w:ind w:left="367"/>
              <w:rPr>
                <w:rFonts w:ascii="Microsoft JhengHei" w:eastAsia="Microsoft JhengHei" w:hint="eastAsia"/>
                <w:b/>
                <w:sz w:val="18"/>
              </w:rPr>
            </w:pPr>
            <w:r>
              <w:rPr>
                <w:rFonts w:ascii="Microsoft JhengHei" w:eastAsia="Microsoft JhengHei" w:hint="eastAsia"/>
                <w:b/>
                <w:sz w:val="18"/>
              </w:rPr>
              <w:t>人民币余额</w:t>
            </w:r>
          </w:p>
        </w:tc>
      </w:tr>
    </w:tbl>
    <w:p>
      <w:pPr>
        <w:spacing w:after="0" w:line="329" w:lineRule="exact"/>
        <w:rPr>
          <w:rFonts w:ascii="Microsoft JhengHei" w:eastAsia="Microsoft JhengHei" w:hint="eastAsia"/>
          <w:sz w:val="18"/>
        </w:rPr>
        <w:sectPr>
          <w:pgSz w:w="11910" w:h="16840"/>
          <w:pgMar w:header="876" w:footer="1203" w:top="1440" w:bottom="1400" w:left="260" w:right="0"/>
        </w:sectPr>
      </w:pPr>
    </w:p>
    <w:p>
      <w:pPr>
        <w:pStyle w:val="BodyText"/>
        <w:spacing w:before="9"/>
        <w:rPr>
          <w:rFonts w:ascii="Times New Roman"/>
          <w:sz w:val="5"/>
        </w:rPr>
      </w:pPr>
    </w:p>
    <w:tbl>
      <w:tblPr>
        <w:tblW w:w="0" w:type="auto"/>
        <w:jc w:val="left"/>
        <w:tblInd w:w="152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674"/>
        <w:gridCol w:w="1618"/>
        <w:gridCol w:w="919"/>
        <w:gridCol w:w="1620"/>
        <w:gridCol w:w="1524"/>
        <w:gridCol w:w="923"/>
        <w:gridCol w:w="1618"/>
      </w:tblGrid>
      <w:tr>
        <w:trPr>
          <w:trHeight w:val="369" w:hRule="atLeast"/>
        </w:trPr>
        <w:tc>
          <w:tcPr>
            <w:tcW w:w="674" w:type="dxa"/>
            <w:tcBorders>
              <w:bottom w:val="single" w:sz="4" w:space="0" w:color="000000"/>
              <w:right w:val="single" w:sz="4" w:space="0" w:color="000000"/>
            </w:tcBorders>
          </w:tcPr>
          <w:p>
            <w:pPr>
              <w:pStyle w:val="TableParagraph"/>
              <w:rPr>
                <w:sz w:val="18"/>
              </w:rPr>
            </w:pPr>
          </w:p>
        </w:tc>
        <w:tc>
          <w:tcPr>
            <w:tcW w:w="1618" w:type="dxa"/>
            <w:tcBorders>
              <w:left w:val="single" w:sz="4" w:space="0" w:color="000000"/>
              <w:bottom w:val="single" w:sz="4" w:space="0" w:color="000000"/>
              <w:right w:val="single" w:sz="4" w:space="0" w:color="000000"/>
            </w:tcBorders>
          </w:tcPr>
          <w:p>
            <w:pPr>
              <w:pStyle w:val="TableParagraph"/>
              <w:rPr>
                <w:sz w:val="18"/>
              </w:rPr>
            </w:pPr>
          </w:p>
        </w:tc>
        <w:tc>
          <w:tcPr>
            <w:tcW w:w="919" w:type="dxa"/>
            <w:tcBorders>
              <w:left w:val="single" w:sz="4" w:space="0" w:color="000000"/>
              <w:bottom w:val="single" w:sz="4" w:space="0" w:color="000000"/>
              <w:right w:val="single" w:sz="4" w:space="0" w:color="000000"/>
            </w:tcBorders>
          </w:tcPr>
          <w:p>
            <w:pPr>
              <w:pStyle w:val="TableParagraph"/>
              <w:spacing w:line="273" w:lineRule="exact"/>
              <w:ind w:left="25"/>
              <w:jc w:val="center"/>
              <w:rPr>
                <w:rFonts w:ascii="Microsoft JhengHei" w:eastAsia="Microsoft JhengHei" w:hint="eastAsia"/>
                <w:b/>
                <w:sz w:val="18"/>
              </w:rPr>
            </w:pPr>
            <w:r>
              <w:rPr>
                <w:rFonts w:ascii="Microsoft JhengHei" w:eastAsia="Microsoft JhengHei" w:hint="eastAsia"/>
                <w:b/>
                <w:sz w:val="18"/>
              </w:rPr>
              <w:t>率</w:t>
            </w:r>
          </w:p>
        </w:tc>
        <w:tc>
          <w:tcPr>
            <w:tcW w:w="1620" w:type="dxa"/>
            <w:tcBorders>
              <w:left w:val="single" w:sz="4" w:space="0" w:color="000000"/>
              <w:bottom w:val="single" w:sz="4" w:space="0" w:color="000000"/>
              <w:right w:val="single" w:sz="4" w:space="0" w:color="000000"/>
            </w:tcBorders>
          </w:tcPr>
          <w:p>
            <w:pPr>
              <w:pStyle w:val="TableParagraph"/>
              <w:rPr>
                <w:sz w:val="18"/>
              </w:rPr>
            </w:pPr>
          </w:p>
        </w:tc>
        <w:tc>
          <w:tcPr>
            <w:tcW w:w="1524" w:type="dxa"/>
            <w:tcBorders>
              <w:left w:val="single" w:sz="4" w:space="0" w:color="000000"/>
              <w:bottom w:val="single" w:sz="4" w:space="0" w:color="000000"/>
              <w:right w:val="single" w:sz="4" w:space="0" w:color="000000"/>
            </w:tcBorders>
          </w:tcPr>
          <w:p>
            <w:pPr>
              <w:pStyle w:val="TableParagraph"/>
              <w:rPr>
                <w:sz w:val="18"/>
              </w:rPr>
            </w:pPr>
          </w:p>
        </w:tc>
        <w:tc>
          <w:tcPr>
            <w:tcW w:w="923" w:type="dxa"/>
            <w:tcBorders>
              <w:left w:val="single" w:sz="4" w:space="0" w:color="000000"/>
              <w:bottom w:val="single" w:sz="4" w:space="0" w:color="000000"/>
              <w:right w:val="single" w:sz="4" w:space="0" w:color="000000"/>
            </w:tcBorders>
          </w:tcPr>
          <w:p>
            <w:pPr>
              <w:pStyle w:val="TableParagraph"/>
              <w:spacing w:line="273" w:lineRule="exact"/>
              <w:ind w:left="27"/>
              <w:jc w:val="center"/>
              <w:rPr>
                <w:rFonts w:ascii="Microsoft JhengHei" w:eastAsia="Microsoft JhengHei" w:hint="eastAsia"/>
                <w:b/>
                <w:sz w:val="18"/>
              </w:rPr>
            </w:pPr>
            <w:r>
              <w:rPr>
                <w:rFonts w:ascii="Microsoft JhengHei" w:eastAsia="Microsoft JhengHei" w:hint="eastAsia"/>
                <w:b/>
                <w:sz w:val="18"/>
              </w:rPr>
              <w:t>率</w:t>
            </w:r>
          </w:p>
        </w:tc>
        <w:tc>
          <w:tcPr>
            <w:tcW w:w="1618" w:type="dxa"/>
            <w:tcBorders>
              <w:left w:val="single" w:sz="4" w:space="0" w:color="000000"/>
              <w:bottom w:val="single" w:sz="4" w:space="0" w:color="000000"/>
            </w:tcBorders>
          </w:tcPr>
          <w:p>
            <w:pPr>
              <w:pStyle w:val="TableParagraph"/>
              <w:rPr>
                <w:sz w:val="18"/>
              </w:rPr>
            </w:pPr>
          </w:p>
        </w:tc>
      </w:tr>
      <w:tr>
        <w:trPr>
          <w:trHeight w:val="369" w:hRule="atLeast"/>
        </w:trPr>
        <w:tc>
          <w:tcPr>
            <w:tcW w:w="8896" w:type="dxa"/>
            <w:gridSpan w:val="7"/>
            <w:tcBorders>
              <w:top w:val="single" w:sz="4" w:space="0" w:color="000000"/>
              <w:bottom w:val="single" w:sz="4" w:space="0" w:color="000000"/>
            </w:tcBorders>
          </w:tcPr>
          <w:p>
            <w:pPr>
              <w:pStyle w:val="TableParagraph"/>
              <w:spacing w:before="67"/>
              <w:ind w:left="107"/>
              <w:rPr>
                <w:rFonts w:ascii="宋体" w:eastAsia="宋体" w:hint="eastAsia"/>
                <w:sz w:val="18"/>
              </w:rPr>
            </w:pPr>
            <w:r>
              <w:rPr>
                <w:rFonts w:ascii="宋体" w:eastAsia="宋体" w:hint="eastAsia"/>
                <w:sz w:val="18"/>
              </w:rPr>
              <w:t>货币资金</w:t>
            </w:r>
          </w:p>
        </w:tc>
      </w:tr>
      <w:tr>
        <w:trPr>
          <w:trHeight w:val="366" w:hRule="atLeast"/>
        </w:trPr>
        <w:tc>
          <w:tcPr>
            <w:tcW w:w="67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美元</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74"/>
              <w:ind w:left="393"/>
              <w:rPr>
                <w:sz w:val="18"/>
              </w:rPr>
            </w:pPr>
            <w:r>
              <w:rPr>
                <w:sz w:val="18"/>
              </w:rPr>
              <w:t>924,028,432.95</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74"/>
              <w:ind w:left="324"/>
              <w:rPr>
                <w:sz w:val="18"/>
              </w:rPr>
            </w:pPr>
            <w:r>
              <w:rPr>
                <w:sz w:val="18"/>
              </w:rPr>
              <w:t>6.5249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74"/>
              <w:ind w:right="86"/>
              <w:jc w:val="right"/>
              <w:rPr>
                <w:sz w:val="18"/>
              </w:rPr>
            </w:pPr>
            <w:r>
              <w:rPr>
                <w:sz w:val="18"/>
              </w:rPr>
              <w:t>6,029,193,122.15</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74"/>
              <w:ind w:left="300"/>
              <w:rPr>
                <w:sz w:val="18"/>
              </w:rPr>
            </w:pPr>
            <w:r>
              <w:rPr>
                <w:sz w:val="18"/>
              </w:rPr>
              <w:t>730,666,614.19</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before="74"/>
              <w:ind w:left="327"/>
              <w:rPr>
                <w:sz w:val="18"/>
              </w:rPr>
            </w:pPr>
            <w:r>
              <w:rPr>
                <w:sz w:val="18"/>
              </w:rPr>
              <w:t>6.9762</w:t>
            </w:r>
          </w:p>
        </w:tc>
        <w:tc>
          <w:tcPr>
            <w:tcW w:w="1618" w:type="dxa"/>
            <w:tcBorders>
              <w:top w:val="single" w:sz="4" w:space="0" w:color="000000"/>
              <w:left w:val="single" w:sz="4" w:space="0" w:color="000000"/>
              <w:bottom w:val="single" w:sz="4" w:space="0" w:color="000000"/>
            </w:tcBorders>
          </w:tcPr>
          <w:p>
            <w:pPr>
              <w:pStyle w:val="TableParagraph"/>
              <w:spacing w:before="74"/>
              <w:ind w:right="77"/>
              <w:jc w:val="right"/>
              <w:rPr>
                <w:sz w:val="18"/>
              </w:rPr>
            </w:pPr>
            <w:r>
              <w:rPr>
                <w:sz w:val="18"/>
              </w:rPr>
              <w:t>5,097,276,433.90</w:t>
            </w:r>
          </w:p>
        </w:tc>
      </w:tr>
      <w:tr>
        <w:trPr>
          <w:trHeight w:val="369" w:hRule="atLeast"/>
        </w:trPr>
        <w:tc>
          <w:tcPr>
            <w:tcW w:w="67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欧元</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76"/>
              <w:ind w:left="393"/>
              <w:rPr>
                <w:sz w:val="18"/>
              </w:rPr>
            </w:pPr>
            <w:r>
              <w:rPr>
                <w:sz w:val="18"/>
              </w:rPr>
              <w:t>196,320,365.21</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76"/>
              <w:ind w:left="324"/>
              <w:rPr>
                <w:sz w:val="18"/>
              </w:rPr>
            </w:pPr>
            <w:r>
              <w:rPr>
                <w:sz w:val="18"/>
              </w:rPr>
              <w:t>8.0250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76"/>
              <w:ind w:right="86"/>
              <w:jc w:val="right"/>
              <w:rPr>
                <w:sz w:val="18"/>
              </w:rPr>
            </w:pPr>
            <w:r>
              <w:rPr>
                <w:sz w:val="18"/>
              </w:rPr>
              <w:t>1,575,470,930.80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76"/>
              <w:ind w:left="300"/>
              <w:rPr>
                <w:sz w:val="18"/>
              </w:rPr>
            </w:pPr>
            <w:r>
              <w:rPr>
                <w:sz w:val="18"/>
              </w:rPr>
              <w:t>151,676,201.42</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before="76"/>
              <w:ind w:left="327"/>
              <w:rPr>
                <w:sz w:val="18"/>
              </w:rPr>
            </w:pPr>
            <w:r>
              <w:rPr>
                <w:sz w:val="18"/>
              </w:rPr>
              <w:t>7.8155</w:t>
            </w:r>
          </w:p>
        </w:tc>
        <w:tc>
          <w:tcPr>
            <w:tcW w:w="1618" w:type="dxa"/>
            <w:tcBorders>
              <w:top w:val="single" w:sz="4" w:space="0" w:color="000000"/>
              <w:left w:val="single" w:sz="4" w:space="0" w:color="000000"/>
              <w:bottom w:val="single" w:sz="4" w:space="0" w:color="000000"/>
            </w:tcBorders>
          </w:tcPr>
          <w:p>
            <w:pPr>
              <w:pStyle w:val="TableParagraph"/>
              <w:spacing w:before="76"/>
              <w:ind w:right="77"/>
              <w:jc w:val="right"/>
              <w:rPr>
                <w:sz w:val="18"/>
              </w:rPr>
            </w:pPr>
            <w:r>
              <w:rPr>
                <w:sz w:val="18"/>
              </w:rPr>
              <w:t>1,185,425,352.21</w:t>
            </w:r>
          </w:p>
        </w:tc>
      </w:tr>
      <w:tr>
        <w:trPr>
          <w:trHeight w:val="366" w:hRule="atLeast"/>
        </w:trPr>
        <w:tc>
          <w:tcPr>
            <w:tcW w:w="67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日元</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74"/>
              <w:ind w:left="259"/>
              <w:rPr>
                <w:sz w:val="18"/>
              </w:rPr>
            </w:pPr>
            <w:r>
              <w:rPr>
                <w:sz w:val="18"/>
              </w:rPr>
              <w:t>6,477,692,063.68</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74"/>
              <w:ind w:left="144"/>
              <w:rPr>
                <w:sz w:val="18"/>
              </w:rPr>
            </w:pPr>
            <w:r>
              <w:rPr>
                <w:sz w:val="18"/>
              </w:rPr>
              <w:t>0.063236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74"/>
              <w:ind w:right="85"/>
              <w:jc w:val="right"/>
              <w:rPr>
                <w:sz w:val="18"/>
              </w:rPr>
            </w:pPr>
            <w:r>
              <w:rPr>
                <w:sz w:val="18"/>
              </w:rPr>
              <w:t>409,623,335.34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74"/>
              <w:ind w:left="166"/>
              <w:rPr>
                <w:sz w:val="18"/>
              </w:rPr>
            </w:pPr>
            <w:r>
              <w:rPr>
                <w:sz w:val="18"/>
              </w:rPr>
              <w:t>3,356,863,028.27</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before="74"/>
              <w:ind w:left="147"/>
              <w:rPr>
                <w:sz w:val="18"/>
              </w:rPr>
            </w:pPr>
            <w:r>
              <w:rPr>
                <w:sz w:val="18"/>
              </w:rPr>
              <w:t>0.064086</w:t>
            </w:r>
          </w:p>
        </w:tc>
        <w:tc>
          <w:tcPr>
            <w:tcW w:w="1618" w:type="dxa"/>
            <w:tcBorders>
              <w:top w:val="single" w:sz="4" w:space="0" w:color="000000"/>
              <w:left w:val="single" w:sz="4" w:space="0" w:color="000000"/>
              <w:bottom w:val="single" w:sz="4" w:space="0" w:color="000000"/>
            </w:tcBorders>
          </w:tcPr>
          <w:p>
            <w:pPr>
              <w:pStyle w:val="TableParagraph"/>
              <w:spacing w:before="74"/>
              <w:ind w:right="76"/>
              <w:jc w:val="right"/>
              <w:rPr>
                <w:sz w:val="18"/>
              </w:rPr>
            </w:pPr>
            <w:r>
              <w:rPr>
                <w:sz w:val="18"/>
              </w:rPr>
              <w:t>215,127,924.03</w:t>
            </w:r>
          </w:p>
        </w:tc>
      </w:tr>
      <w:tr>
        <w:trPr>
          <w:trHeight w:val="369" w:hRule="atLeast"/>
        </w:trPr>
        <w:tc>
          <w:tcPr>
            <w:tcW w:w="67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港币</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76"/>
              <w:ind w:left="393"/>
              <w:rPr>
                <w:sz w:val="18"/>
              </w:rPr>
            </w:pPr>
            <w:r>
              <w:rPr>
                <w:sz w:val="18"/>
              </w:rPr>
              <w:t>834,174,659.07</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76"/>
              <w:ind w:left="324"/>
              <w:rPr>
                <w:sz w:val="18"/>
              </w:rPr>
            </w:pPr>
            <w:r>
              <w:rPr>
                <w:sz w:val="18"/>
              </w:rPr>
              <w:t>0.8416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76"/>
              <w:ind w:right="85"/>
              <w:jc w:val="right"/>
              <w:rPr>
                <w:sz w:val="18"/>
              </w:rPr>
            </w:pPr>
            <w:r>
              <w:rPr>
                <w:sz w:val="18"/>
              </w:rPr>
              <w:t>702,041,393.07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76"/>
              <w:ind w:left="300"/>
              <w:rPr>
                <w:sz w:val="18"/>
              </w:rPr>
            </w:pPr>
            <w:r>
              <w:rPr>
                <w:sz w:val="18"/>
              </w:rPr>
              <w:t>745,289,079.40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before="76"/>
              <w:ind w:left="327"/>
              <w:rPr>
                <w:sz w:val="18"/>
              </w:rPr>
            </w:pPr>
            <w:r>
              <w:rPr>
                <w:sz w:val="18"/>
              </w:rPr>
              <w:t>0.8958</w:t>
            </w:r>
          </w:p>
        </w:tc>
        <w:tc>
          <w:tcPr>
            <w:tcW w:w="1618" w:type="dxa"/>
            <w:tcBorders>
              <w:top w:val="single" w:sz="4" w:space="0" w:color="000000"/>
              <w:left w:val="single" w:sz="4" w:space="0" w:color="000000"/>
              <w:bottom w:val="single" w:sz="4" w:space="0" w:color="000000"/>
            </w:tcBorders>
          </w:tcPr>
          <w:p>
            <w:pPr>
              <w:pStyle w:val="TableParagraph"/>
              <w:spacing w:before="76"/>
              <w:ind w:right="76"/>
              <w:jc w:val="right"/>
              <w:rPr>
                <w:sz w:val="18"/>
              </w:rPr>
            </w:pPr>
            <w:r>
              <w:rPr>
                <w:sz w:val="18"/>
              </w:rPr>
              <w:t>667,629,957.33</w:t>
            </w:r>
          </w:p>
        </w:tc>
      </w:tr>
      <w:tr>
        <w:trPr>
          <w:trHeight w:val="366" w:hRule="atLeast"/>
        </w:trPr>
        <w:tc>
          <w:tcPr>
            <w:tcW w:w="67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其他</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62"/>
              <w:ind w:right="-15"/>
              <w:jc w:val="right"/>
              <w:rPr>
                <w:rFonts w:ascii="宋体"/>
                <w:sz w:val="18"/>
              </w:rPr>
            </w:pPr>
            <w:r>
              <w:rPr>
                <w:rFonts w:ascii="宋体"/>
                <w:sz w:val="18"/>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62"/>
              <w:jc w:val="right"/>
              <w:rPr>
                <w:rFonts w:ascii="宋体"/>
                <w:sz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74"/>
              <w:ind w:right="86"/>
              <w:jc w:val="right"/>
              <w:rPr>
                <w:sz w:val="18"/>
              </w:rPr>
            </w:pPr>
            <w:r>
              <w:rPr>
                <w:sz w:val="18"/>
              </w:rPr>
              <w:t>3,237,415,723.48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62"/>
              <w:ind w:right="-15"/>
              <w:jc w:val="right"/>
              <w:rPr>
                <w:rFonts w:ascii="宋体"/>
                <w:sz w:val="18"/>
              </w:rPr>
            </w:pPr>
            <w:r>
              <w:rPr>
                <w:rFonts w:ascii="宋体"/>
                <w:sz w:val="18"/>
              </w:rPr>
              <w:t> </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before="62"/>
              <w:jc w:val="right"/>
              <w:rPr>
                <w:rFonts w:ascii="宋体"/>
                <w:sz w:val="18"/>
              </w:rPr>
            </w:pPr>
            <w:r>
              <w:rPr>
                <w:rFonts w:ascii="宋体"/>
                <w:sz w:val="18"/>
              </w:rPr>
              <w:t> </w:t>
            </w:r>
          </w:p>
        </w:tc>
        <w:tc>
          <w:tcPr>
            <w:tcW w:w="1618" w:type="dxa"/>
            <w:tcBorders>
              <w:top w:val="single" w:sz="4" w:space="0" w:color="000000"/>
              <w:left w:val="single" w:sz="4" w:space="0" w:color="000000"/>
              <w:bottom w:val="single" w:sz="4" w:space="0" w:color="000000"/>
            </w:tcBorders>
          </w:tcPr>
          <w:p>
            <w:pPr>
              <w:pStyle w:val="TableParagraph"/>
              <w:spacing w:before="74"/>
              <w:ind w:right="77"/>
              <w:jc w:val="right"/>
              <w:rPr>
                <w:sz w:val="18"/>
              </w:rPr>
            </w:pPr>
            <w:r>
              <w:rPr>
                <w:sz w:val="18"/>
              </w:rPr>
              <w:t>2,043,389,309.90</w:t>
            </w:r>
          </w:p>
        </w:tc>
      </w:tr>
      <w:tr>
        <w:trPr>
          <w:trHeight w:val="369" w:hRule="atLeast"/>
        </w:trPr>
        <w:tc>
          <w:tcPr>
            <w:tcW w:w="67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小计</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64"/>
              <w:ind w:right="-15"/>
              <w:jc w:val="right"/>
              <w:rPr>
                <w:rFonts w:ascii="宋体"/>
                <w:sz w:val="18"/>
              </w:rPr>
            </w:pPr>
            <w:r>
              <w:rPr>
                <w:rFonts w:ascii="宋体"/>
                <w:sz w:val="18"/>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64"/>
              <w:jc w:val="right"/>
              <w:rPr>
                <w:rFonts w:ascii="宋体"/>
                <w:sz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76"/>
              <w:ind w:right="86"/>
              <w:jc w:val="right"/>
              <w:rPr>
                <w:sz w:val="18"/>
              </w:rPr>
            </w:pPr>
            <w:r>
              <w:rPr>
                <w:sz w:val="18"/>
              </w:rPr>
              <w:t>11,953,744,504.84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64"/>
              <w:ind w:right="-15"/>
              <w:jc w:val="right"/>
              <w:rPr>
                <w:rFonts w:ascii="宋体"/>
                <w:sz w:val="18"/>
              </w:rPr>
            </w:pPr>
            <w:r>
              <w:rPr>
                <w:rFonts w:ascii="宋体"/>
                <w:sz w:val="18"/>
              </w:rPr>
              <w:t> </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before="64"/>
              <w:jc w:val="right"/>
              <w:rPr>
                <w:rFonts w:ascii="宋体"/>
                <w:sz w:val="18"/>
              </w:rPr>
            </w:pPr>
            <w:r>
              <w:rPr>
                <w:rFonts w:ascii="宋体"/>
                <w:sz w:val="18"/>
              </w:rPr>
              <w:t> </w:t>
            </w:r>
          </w:p>
        </w:tc>
        <w:tc>
          <w:tcPr>
            <w:tcW w:w="1618" w:type="dxa"/>
            <w:tcBorders>
              <w:top w:val="single" w:sz="4" w:space="0" w:color="000000"/>
              <w:left w:val="single" w:sz="4" w:space="0" w:color="000000"/>
              <w:bottom w:val="single" w:sz="4" w:space="0" w:color="000000"/>
            </w:tcBorders>
          </w:tcPr>
          <w:p>
            <w:pPr>
              <w:pStyle w:val="TableParagraph"/>
              <w:spacing w:before="76"/>
              <w:ind w:right="77"/>
              <w:jc w:val="right"/>
              <w:rPr>
                <w:sz w:val="18"/>
              </w:rPr>
            </w:pPr>
            <w:r>
              <w:rPr>
                <w:sz w:val="18"/>
              </w:rPr>
              <w:t>9,208,848,977.37</w:t>
            </w:r>
          </w:p>
        </w:tc>
      </w:tr>
      <w:tr>
        <w:trPr>
          <w:trHeight w:val="366" w:hRule="atLeast"/>
        </w:trPr>
        <w:tc>
          <w:tcPr>
            <w:tcW w:w="8896" w:type="dxa"/>
            <w:gridSpan w:val="7"/>
            <w:tcBorders>
              <w:top w:val="single" w:sz="4" w:space="0" w:color="000000"/>
              <w:bottom w:val="single" w:sz="4" w:space="0" w:color="000000"/>
            </w:tcBorders>
          </w:tcPr>
          <w:p>
            <w:pPr>
              <w:pStyle w:val="TableParagraph"/>
              <w:spacing w:before="67"/>
              <w:ind w:left="107"/>
              <w:rPr>
                <w:rFonts w:ascii="宋体" w:eastAsia="宋体" w:hint="eastAsia"/>
                <w:sz w:val="18"/>
              </w:rPr>
            </w:pPr>
            <w:r>
              <w:rPr>
                <w:rFonts w:ascii="宋体" w:eastAsia="宋体" w:hint="eastAsia"/>
                <w:sz w:val="18"/>
              </w:rPr>
              <w:t>应收款项</w:t>
            </w:r>
          </w:p>
        </w:tc>
      </w:tr>
      <w:tr>
        <w:trPr>
          <w:trHeight w:val="369" w:hRule="atLeast"/>
        </w:trPr>
        <w:tc>
          <w:tcPr>
            <w:tcW w:w="67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美元</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76"/>
              <w:ind w:left="393"/>
              <w:rPr>
                <w:sz w:val="18"/>
              </w:rPr>
            </w:pPr>
            <w:r>
              <w:rPr>
                <w:sz w:val="18"/>
              </w:rPr>
              <w:t>670,644,124.35</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76"/>
              <w:ind w:left="324"/>
              <w:rPr>
                <w:sz w:val="18"/>
              </w:rPr>
            </w:pPr>
            <w:r>
              <w:rPr>
                <w:sz w:val="18"/>
              </w:rPr>
              <w:t>6.5249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76"/>
              <w:ind w:right="86"/>
              <w:jc w:val="right"/>
              <w:rPr>
                <w:sz w:val="18"/>
              </w:rPr>
            </w:pPr>
            <w:r>
              <w:rPr>
                <w:sz w:val="18"/>
              </w:rPr>
              <w:t>4,375,885,846.99</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76"/>
              <w:ind w:left="300"/>
              <w:rPr>
                <w:sz w:val="18"/>
              </w:rPr>
            </w:pPr>
            <w:r>
              <w:rPr>
                <w:sz w:val="18"/>
              </w:rPr>
              <w:t>269,987,662.70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before="76"/>
              <w:ind w:left="327"/>
              <w:rPr>
                <w:sz w:val="18"/>
              </w:rPr>
            </w:pPr>
            <w:r>
              <w:rPr>
                <w:sz w:val="18"/>
              </w:rPr>
              <w:t>6.9762</w:t>
            </w:r>
          </w:p>
        </w:tc>
        <w:tc>
          <w:tcPr>
            <w:tcW w:w="1618" w:type="dxa"/>
            <w:tcBorders>
              <w:top w:val="single" w:sz="4" w:space="0" w:color="000000"/>
              <w:left w:val="single" w:sz="4" w:space="0" w:color="000000"/>
              <w:bottom w:val="single" w:sz="4" w:space="0" w:color="000000"/>
            </w:tcBorders>
          </w:tcPr>
          <w:p>
            <w:pPr>
              <w:pStyle w:val="TableParagraph"/>
              <w:spacing w:before="76"/>
              <w:ind w:right="77"/>
              <w:jc w:val="right"/>
              <w:rPr>
                <w:sz w:val="18"/>
              </w:rPr>
            </w:pPr>
            <w:r>
              <w:rPr>
                <w:sz w:val="18"/>
              </w:rPr>
              <w:t>1,883,487,932.50</w:t>
            </w:r>
          </w:p>
        </w:tc>
      </w:tr>
      <w:tr>
        <w:trPr>
          <w:trHeight w:val="367" w:hRule="atLeast"/>
        </w:trPr>
        <w:tc>
          <w:tcPr>
            <w:tcW w:w="67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欧元</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74"/>
              <w:ind w:left="393"/>
              <w:rPr>
                <w:sz w:val="18"/>
              </w:rPr>
            </w:pPr>
            <w:r>
              <w:rPr>
                <w:sz w:val="18"/>
              </w:rPr>
              <w:t>416,947,689.18</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74"/>
              <w:ind w:left="324"/>
              <w:rPr>
                <w:sz w:val="18"/>
              </w:rPr>
            </w:pPr>
            <w:r>
              <w:rPr>
                <w:sz w:val="18"/>
              </w:rPr>
              <w:t>8.0250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74"/>
              <w:ind w:right="86"/>
              <w:jc w:val="right"/>
              <w:rPr>
                <w:sz w:val="18"/>
              </w:rPr>
            </w:pPr>
            <w:r>
              <w:rPr>
                <w:sz w:val="18"/>
              </w:rPr>
              <w:t>3,346,005,205.68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74"/>
              <w:ind w:left="300"/>
              <w:rPr>
                <w:sz w:val="18"/>
              </w:rPr>
            </w:pPr>
            <w:r>
              <w:rPr>
                <w:sz w:val="18"/>
              </w:rPr>
              <w:t>325,463,066.35</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before="74"/>
              <w:ind w:left="327"/>
              <w:rPr>
                <w:sz w:val="18"/>
              </w:rPr>
            </w:pPr>
            <w:r>
              <w:rPr>
                <w:sz w:val="18"/>
              </w:rPr>
              <w:t>7.8155</w:t>
            </w:r>
          </w:p>
        </w:tc>
        <w:tc>
          <w:tcPr>
            <w:tcW w:w="1618" w:type="dxa"/>
            <w:tcBorders>
              <w:top w:val="single" w:sz="4" w:space="0" w:color="000000"/>
              <w:left w:val="single" w:sz="4" w:space="0" w:color="000000"/>
              <w:bottom w:val="single" w:sz="4" w:space="0" w:color="000000"/>
            </w:tcBorders>
          </w:tcPr>
          <w:p>
            <w:pPr>
              <w:pStyle w:val="TableParagraph"/>
              <w:spacing w:before="74"/>
              <w:ind w:right="77"/>
              <w:jc w:val="right"/>
              <w:rPr>
                <w:sz w:val="18"/>
              </w:rPr>
            </w:pPr>
            <w:r>
              <w:rPr>
                <w:sz w:val="18"/>
              </w:rPr>
              <w:t>2,543,656,595.07</w:t>
            </w:r>
          </w:p>
        </w:tc>
      </w:tr>
      <w:tr>
        <w:trPr>
          <w:trHeight w:val="369" w:hRule="atLeast"/>
        </w:trPr>
        <w:tc>
          <w:tcPr>
            <w:tcW w:w="67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日元</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76"/>
              <w:ind w:left="259"/>
              <w:rPr>
                <w:sz w:val="18"/>
              </w:rPr>
            </w:pPr>
            <w:r>
              <w:rPr>
                <w:sz w:val="18"/>
              </w:rPr>
              <w:t>2,804,117,973.89</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76"/>
              <w:ind w:left="144"/>
              <w:rPr>
                <w:sz w:val="18"/>
              </w:rPr>
            </w:pPr>
            <w:r>
              <w:rPr>
                <w:sz w:val="18"/>
              </w:rPr>
              <w:t>0.063236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76"/>
              <w:ind w:right="85"/>
              <w:jc w:val="right"/>
              <w:rPr>
                <w:sz w:val="18"/>
              </w:rPr>
            </w:pPr>
            <w:r>
              <w:rPr>
                <w:sz w:val="18"/>
              </w:rPr>
              <w:t>177,321,204.20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76"/>
              <w:ind w:left="166"/>
              <w:rPr>
                <w:sz w:val="18"/>
              </w:rPr>
            </w:pPr>
            <w:r>
              <w:rPr>
                <w:sz w:val="18"/>
              </w:rPr>
              <w:t>3,829,608,370.79</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before="76"/>
              <w:ind w:left="147"/>
              <w:rPr>
                <w:sz w:val="18"/>
              </w:rPr>
            </w:pPr>
            <w:r>
              <w:rPr>
                <w:sz w:val="18"/>
              </w:rPr>
              <w:t>0.064086</w:t>
            </w:r>
          </w:p>
        </w:tc>
        <w:tc>
          <w:tcPr>
            <w:tcW w:w="1618" w:type="dxa"/>
            <w:tcBorders>
              <w:top w:val="single" w:sz="4" w:space="0" w:color="000000"/>
              <w:left w:val="single" w:sz="4" w:space="0" w:color="000000"/>
              <w:bottom w:val="single" w:sz="4" w:space="0" w:color="000000"/>
            </w:tcBorders>
          </w:tcPr>
          <w:p>
            <w:pPr>
              <w:pStyle w:val="TableParagraph"/>
              <w:spacing w:before="76"/>
              <w:ind w:right="76"/>
              <w:jc w:val="right"/>
              <w:rPr>
                <w:sz w:val="18"/>
              </w:rPr>
            </w:pPr>
            <w:r>
              <w:rPr>
                <w:sz w:val="18"/>
              </w:rPr>
              <w:t>245,424,282.05</w:t>
            </w:r>
          </w:p>
        </w:tc>
      </w:tr>
      <w:tr>
        <w:trPr>
          <w:trHeight w:val="366" w:hRule="atLeast"/>
        </w:trPr>
        <w:tc>
          <w:tcPr>
            <w:tcW w:w="67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其他</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62"/>
              <w:ind w:right="-15"/>
              <w:jc w:val="right"/>
              <w:rPr>
                <w:rFonts w:ascii="宋体"/>
                <w:sz w:val="18"/>
              </w:rPr>
            </w:pPr>
            <w:r>
              <w:rPr>
                <w:rFonts w:ascii="宋体"/>
                <w:sz w:val="18"/>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62"/>
              <w:ind w:left="115"/>
              <w:rPr>
                <w:rFonts w:ascii="宋体"/>
                <w:sz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74"/>
              <w:ind w:right="86"/>
              <w:jc w:val="right"/>
              <w:rPr>
                <w:sz w:val="18"/>
              </w:rPr>
            </w:pPr>
            <w:r>
              <w:rPr>
                <w:sz w:val="18"/>
              </w:rPr>
              <w:t>3,303,192,557.86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62"/>
              <w:ind w:left="118"/>
              <w:rPr>
                <w:rFonts w:ascii="宋体"/>
                <w:sz w:val="18"/>
              </w:rPr>
            </w:pPr>
            <w:r>
              <w:rPr>
                <w:rFonts w:ascii="宋体"/>
                <w:sz w:val="18"/>
              </w:rPr>
              <w:t> </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before="62"/>
              <w:ind w:left="118"/>
              <w:rPr>
                <w:rFonts w:ascii="宋体"/>
                <w:sz w:val="18"/>
              </w:rPr>
            </w:pPr>
            <w:r>
              <w:rPr>
                <w:rFonts w:ascii="宋体"/>
                <w:sz w:val="18"/>
              </w:rPr>
              <w:t> </w:t>
            </w:r>
          </w:p>
        </w:tc>
        <w:tc>
          <w:tcPr>
            <w:tcW w:w="1618" w:type="dxa"/>
            <w:tcBorders>
              <w:top w:val="single" w:sz="4" w:space="0" w:color="000000"/>
              <w:left w:val="single" w:sz="4" w:space="0" w:color="000000"/>
              <w:bottom w:val="single" w:sz="4" w:space="0" w:color="000000"/>
            </w:tcBorders>
          </w:tcPr>
          <w:p>
            <w:pPr>
              <w:pStyle w:val="TableParagraph"/>
              <w:spacing w:before="74"/>
              <w:ind w:right="77"/>
              <w:jc w:val="right"/>
              <w:rPr>
                <w:sz w:val="18"/>
              </w:rPr>
            </w:pPr>
            <w:r>
              <w:rPr>
                <w:sz w:val="18"/>
              </w:rPr>
              <w:t>2,931,185,158.50</w:t>
            </w:r>
          </w:p>
        </w:tc>
      </w:tr>
      <w:tr>
        <w:trPr>
          <w:trHeight w:val="369" w:hRule="atLeast"/>
        </w:trPr>
        <w:tc>
          <w:tcPr>
            <w:tcW w:w="67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小计</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64"/>
              <w:ind w:left="117"/>
              <w:rPr>
                <w:rFonts w:ascii="宋体"/>
                <w:sz w:val="18"/>
              </w:rPr>
            </w:pPr>
            <w:r>
              <w:rPr>
                <w:rFonts w:ascii="宋体"/>
                <w:sz w:val="18"/>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64"/>
              <w:ind w:left="115"/>
              <w:rPr>
                <w:rFonts w:ascii="宋体"/>
                <w:sz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76"/>
              <w:ind w:right="86"/>
              <w:jc w:val="right"/>
              <w:rPr>
                <w:sz w:val="18"/>
              </w:rPr>
            </w:pPr>
            <w:r>
              <w:rPr>
                <w:sz w:val="18"/>
              </w:rPr>
              <w:t>11,202,404,814.73</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64"/>
              <w:ind w:left="118"/>
              <w:rPr>
                <w:rFonts w:ascii="宋体"/>
                <w:sz w:val="18"/>
              </w:rPr>
            </w:pPr>
            <w:r>
              <w:rPr>
                <w:rFonts w:ascii="宋体"/>
                <w:sz w:val="18"/>
              </w:rPr>
              <w:t> </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before="64"/>
              <w:ind w:left="118"/>
              <w:rPr>
                <w:rFonts w:ascii="宋体"/>
                <w:sz w:val="18"/>
              </w:rPr>
            </w:pPr>
            <w:r>
              <w:rPr>
                <w:rFonts w:ascii="宋体"/>
                <w:sz w:val="18"/>
              </w:rPr>
              <w:t> </w:t>
            </w:r>
          </w:p>
        </w:tc>
        <w:tc>
          <w:tcPr>
            <w:tcW w:w="1618" w:type="dxa"/>
            <w:tcBorders>
              <w:top w:val="single" w:sz="4" w:space="0" w:color="000000"/>
              <w:left w:val="single" w:sz="4" w:space="0" w:color="000000"/>
              <w:bottom w:val="single" w:sz="4" w:space="0" w:color="000000"/>
            </w:tcBorders>
          </w:tcPr>
          <w:p>
            <w:pPr>
              <w:pStyle w:val="TableParagraph"/>
              <w:spacing w:before="76"/>
              <w:ind w:right="77"/>
              <w:jc w:val="right"/>
              <w:rPr>
                <w:sz w:val="18"/>
              </w:rPr>
            </w:pPr>
            <w:r>
              <w:rPr>
                <w:sz w:val="18"/>
              </w:rPr>
              <w:t>7,603,753,968.12</w:t>
            </w:r>
          </w:p>
        </w:tc>
      </w:tr>
      <w:tr>
        <w:trPr>
          <w:trHeight w:val="366" w:hRule="atLeast"/>
        </w:trPr>
        <w:tc>
          <w:tcPr>
            <w:tcW w:w="8896" w:type="dxa"/>
            <w:gridSpan w:val="7"/>
            <w:tcBorders>
              <w:top w:val="single" w:sz="4" w:space="0" w:color="000000"/>
              <w:bottom w:val="single" w:sz="4" w:space="0" w:color="000000"/>
            </w:tcBorders>
          </w:tcPr>
          <w:p>
            <w:pPr>
              <w:pStyle w:val="TableParagraph"/>
              <w:spacing w:before="67"/>
              <w:ind w:left="107"/>
              <w:rPr>
                <w:rFonts w:ascii="宋体" w:eastAsia="宋体" w:hint="eastAsia"/>
                <w:sz w:val="18"/>
              </w:rPr>
            </w:pPr>
            <w:r>
              <w:rPr>
                <w:rFonts w:ascii="宋体" w:eastAsia="宋体" w:hint="eastAsia"/>
                <w:sz w:val="18"/>
              </w:rPr>
              <w:t>短期借款</w:t>
            </w:r>
          </w:p>
        </w:tc>
      </w:tr>
      <w:tr>
        <w:trPr>
          <w:trHeight w:val="369" w:hRule="atLeast"/>
        </w:trPr>
        <w:tc>
          <w:tcPr>
            <w:tcW w:w="67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美元</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76"/>
              <w:ind w:left="393"/>
              <w:rPr>
                <w:sz w:val="18"/>
              </w:rPr>
            </w:pPr>
            <w:r>
              <w:rPr>
                <w:sz w:val="18"/>
              </w:rPr>
              <w:t>338,394,354.56</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76"/>
              <w:ind w:left="324"/>
              <w:rPr>
                <w:sz w:val="18"/>
              </w:rPr>
            </w:pPr>
            <w:r>
              <w:rPr>
                <w:sz w:val="18"/>
              </w:rPr>
              <w:t>6.5249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76"/>
              <w:ind w:right="86"/>
              <w:jc w:val="right"/>
              <w:rPr>
                <w:sz w:val="18"/>
              </w:rPr>
            </w:pPr>
            <w:r>
              <w:rPr>
                <w:sz w:val="18"/>
              </w:rPr>
              <w:t>2,207,989,324.04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76"/>
              <w:ind w:left="300"/>
              <w:rPr>
                <w:sz w:val="18"/>
              </w:rPr>
            </w:pPr>
            <w:r>
              <w:rPr>
                <w:sz w:val="18"/>
              </w:rPr>
              <w:t>521,126,042.56</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before="76"/>
              <w:ind w:left="327"/>
              <w:rPr>
                <w:sz w:val="18"/>
              </w:rPr>
            </w:pPr>
            <w:r>
              <w:rPr>
                <w:sz w:val="18"/>
              </w:rPr>
              <w:t>6.9762</w:t>
            </w:r>
          </w:p>
        </w:tc>
        <w:tc>
          <w:tcPr>
            <w:tcW w:w="1618" w:type="dxa"/>
            <w:tcBorders>
              <w:top w:val="single" w:sz="4" w:space="0" w:color="000000"/>
              <w:left w:val="single" w:sz="4" w:space="0" w:color="000000"/>
              <w:bottom w:val="single" w:sz="4" w:space="0" w:color="000000"/>
            </w:tcBorders>
          </w:tcPr>
          <w:p>
            <w:pPr>
              <w:pStyle w:val="TableParagraph"/>
              <w:spacing w:before="76"/>
              <w:ind w:right="77"/>
              <w:jc w:val="right"/>
              <w:rPr>
                <w:sz w:val="18"/>
              </w:rPr>
            </w:pPr>
            <w:r>
              <w:rPr>
                <w:sz w:val="18"/>
              </w:rPr>
              <w:t>3,635,479,498.10</w:t>
            </w:r>
          </w:p>
        </w:tc>
      </w:tr>
      <w:tr>
        <w:trPr>
          <w:trHeight w:val="366" w:hRule="atLeast"/>
        </w:trPr>
        <w:tc>
          <w:tcPr>
            <w:tcW w:w="67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欧元</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74"/>
              <w:ind w:left="393"/>
              <w:rPr>
                <w:sz w:val="18"/>
              </w:rPr>
            </w:pPr>
            <w:r>
              <w:rPr>
                <w:sz w:val="18"/>
              </w:rPr>
              <w:t>365,208,045.49</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74"/>
              <w:ind w:left="324"/>
              <w:rPr>
                <w:sz w:val="18"/>
              </w:rPr>
            </w:pPr>
            <w:r>
              <w:rPr>
                <w:sz w:val="18"/>
              </w:rPr>
              <w:t>8.0250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74"/>
              <w:ind w:right="86"/>
              <w:jc w:val="right"/>
              <w:rPr>
                <w:sz w:val="18"/>
              </w:rPr>
            </w:pPr>
            <w:r>
              <w:rPr>
                <w:sz w:val="18"/>
              </w:rPr>
              <w:t>2,930,794,565.08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74"/>
              <w:ind w:left="300"/>
              <w:rPr>
                <w:sz w:val="18"/>
              </w:rPr>
            </w:pPr>
            <w:r>
              <w:rPr>
                <w:sz w:val="18"/>
              </w:rPr>
              <w:t>320,772,912.41</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before="74"/>
              <w:ind w:left="327"/>
              <w:rPr>
                <w:sz w:val="18"/>
              </w:rPr>
            </w:pPr>
            <w:r>
              <w:rPr>
                <w:sz w:val="18"/>
              </w:rPr>
              <w:t>7.8155</w:t>
            </w:r>
          </w:p>
        </w:tc>
        <w:tc>
          <w:tcPr>
            <w:tcW w:w="1618" w:type="dxa"/>
            <w:tcBorders>
              <w:top w:val="single" w:sz="4" w:space="0" w:color="000000"/>
              <w:left w:val="single" w:sz="4" w:space="0" w:color="000000"/>
              <w:bottom w:val="single" w:sz="4" w:space="0" w:color="000000"/>
            </w:tcBorders>
          </w:tcPr>
          <w:p>
            <w:pPr>
              <w:pStyle w:val="TableParagraph"/>
              <w:spacing w:before="74"/>
              <w:ind w:right="77"/>
              <w:jc w:val="right"/>
              <w:rPr>
                <w:sz w:val="18"/>
              </w:rPr>
            </w:pPr>
            <w:r>
              <w:rPr>
                <w:sz w:val="18"/>
              </w:rPr>
              <w:t>2,507,000,696.91</w:t>
            </w:r>
          </w:p>
        </w:tc>
      </w:tr>
      <w:tr>
        <w:trPr>
          <w:trHeight w:val="369" w:hRule="atLeast"/>
        </w:trPr>
        <w:tc>
          <w:tcPr>
            <w:tcW w:w="67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日元</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76"/>
              <w:ind w:left="393"/>
              <w:rPr>
                <w:sz w:val="18"/>
              </w:rPr>
            </w:pPr>
            <w:r>
              <w:rPr>
                <w:sz w:val="18"/>
              </w:rPr>
              <w:t>559,047,191.47</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76"/>
              <w:ind w:left="144"/>
              <w:rPr>
                <w:sz w:val="18"/>
              </w:rPr>
            </w:pPr>
            <w:r>
              <w:rPr>
                <w:sz w:val="18"/>
              </w:rPr>
              <w:t>0.063236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76"/>
              <w:ind w:right="87"/>
              <w:jc w:val="right"/>
              <w:rPr>
                <w:sz w:val="18"/>
              </w:rPr>
            </w:pPr>
            <w:r>
              <w:rPr>
                <w:sz w:val="18"/>
              </w:rPr>
              <w:t>35,351,908.20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76"/>
              <w:ind w:left="166"/>
              <w:rPr>
                <w:sz w:val="18"/>
              </w:rPr>
            </w:pPr>
            <w:r>
              <w:rPr>
                <w:sz w:val="18"/>
              </w:rPr>
              <w:t>6,656,569,078.27</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before="76"/>
              <w:ind w:left="147"/>
              <w:rPr>
                <w:sz w:val="18"/>
              </w:rPr>
            </w:pPr>
            <w:r>
              <w:rPr>
                <w:sz w:val="18"/>
              </w:rPr>
              <w:t>0.064086</w:t>
            </w:r>
          </w:p>
        </w:tc>
        <w:tc>
          <w:tcPr>
            <w:tcW w:w="1618" w:type="dxa"/>
            <w:tcBorders>
              <w:top w:val="single" w:sz="4" w:space="0" w:color="000000"/>
              <w:left w:val="single" w:sz="4" w:space="0" w:color="000000"/>
              <w:bottom w:val="single" w:sz="4" w:space="0" w:color="000000"/>
            </w:tcBorders>
          </w:tcPr>
          <w:p>
            <w:pPr>
              <w:pStyle w:val="TableParagraph"/>
              <w:spacing w:before="76"/>
              <w:ind w:right="76"/>
              <w:jc w:val="right"/>
              <w:rPr>
                <w:sz w:val="18"/>
              </w:rPr>
            </w:pPr>
            <w:r>
              <w:rPr>
                <w:sz w:val="18"/>
              </w:rPr>
              <w:t>426,592,885.95</w:t>
            </w:r>
          </w:p>
        </w:tc>
      </w:tr>
      <w:tr>
        <w:trPr>
          <w:trHeight w:val="366" w:hRule="atLeast"/>
        </w:trPr>
        <w:tc>
          <w:tcPr>
            <w:tcW w:w="67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港币</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74"/>
              <w:ind w:left="259"/>
              <w:rPr>
                <w:sz w:val="18"/>
              </w:rPr>
            </w:pPr>
            <w:r>
              <w:rPr>
                <w:sz w:val="18"/>
              </w:rPr>
              <w:t>2,601,626,661.87</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74"/>
              <w:ind w:left="324"/>
              <w:rPr>
                <w:sz w:val="18"/>
              </w:rPr>
            </w:pPr>
            <w:r>
              <w:rPr>
                <w:sz w:val="18"/>
              </w:rPr>
              <w:t>0.8416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74"/>
              <w:ind w:right="86"/>
              <w:jc w:val="right"/>
              <w:rPr>
                <w:sz w:val="18"/>
              </w:rPr>
            </w:pPr>
            <w:r>
              <w:rPr>
                <w:sz w:val="18"/>
              </w:rPr>
              <w:t>2,189,528,998.63</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618"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67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其他</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65"/>
              <w:ind w:left="117"/>
              <w:rPr>
                <w:rFonts w:ascii="宋体"/>
                <w:sz w:val="18"/>
              </w:rPr>
            </w:pPr>
            <w:r>
              <w:rPr>
                <w:rFonts w:ascii="宋体"/>
                <w:sz w:val="18"/>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65"/>
              <w:ind w:left="115"/>
              <w:rPr>
                <w:rFonts w:ascii="宋体"/>
                <w:sz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77"/>
              <w:ind w:right="87"/>
              <w:jc w:val="right"/>
              <w:rPr>
                <w:sz w:val="18"/>
              </w:rPr>
            </w:pPr>
            <w:r>
              <w:rPr>
                <w:sz w:val="18"/>
              </w:rPr>
              <w:t>17,716,918.41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65"/>
              <w:ind w:right="-15"/>
              <w:jc w:val="right"/>
              <w:rPr>
                <w:rFonts w:ascii="宋体"/>
                <w:sz w:val="18"/>
              </w:rPr>
            </w:pPr>
            <w:r>
              <w:rPr>
                <w:rFonts w:ascii="宋体"/>
                <w:sz w:val="18"/>
              </w:rPr>
              <w:t> </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before="65"/>
              <w:ind w:left="118"/>
              <w:rPr>
                <w:rFonts w:ascii="宋体"/>
                <w:sz w:val="18"/>
              </w:rPr>
            </w:pPr>
            <w:r>
              <w:rPr>
                <w:rFonts w:ascii="宋体"/>
                <w:sz w:val="18"/>
              </w:rPr>
              <w:t> </w:t>
            </w:r>
          </w:p>
        </w:tc>
        <w:tc>
          <w:tcPr>
            <w:tcW w:w="1618" w:type="dxa"/>
            <w:tcBorders>
              <w:top w:val="single" w:sz="4" w:space="0" w:color="000000"/>
              <w:left w:val="single" w:sz="4" w:space="0" w:color="000000"/>
              <w:bottom w:val="single" w:sz="4" w:space="0" w:color="000000"/>
            </w:tcBorders>
          </w:tcPr>
          <w:p>
            <w:pPr>
              <w:pStyle w:val="TableParagraph"/>
              <w:spacing w:before="77"/>
              <w:ind w:right="76"/>
              <w:jc w:val="right"/>
              <w:rPr>
                <w:sz w:val="18"/>
              </w:rPr>
            </w:pPr>
            <w:r>
              <w:rPr>
                <w:sz w:val="18"/>
              </w:rPr>
              <w:t>66,592,438.54</w:t>
            </w:r>
          </w:p>
        </w:tc>
      </w:tr>
      <w:tr>
        <w:trPr>
          <w:trHeight w:val="366" w:hRule="atLeast"/>
        </w:trPr>
        <w:tc>
          <w:tcPr>
            <w:tcW w:w="67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小计</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62"/>
              <w:ind w:left="117"/>
              <w:rPr>
                <w:rFonts w:ascii="宋体"/>
                <w:sz w:val="18"/>
              </w:rPr>
            </w:pPr>
            <w:r>
              <w:rPr>
                <w:rFonts w:ascii="宋体"/>
                <w:sz w:val="18"/>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62"/>
              <w:ind w:left="115"/>
              <w:rPr>
                <w:rFonts w:ascii="宋体"/>
                <w:sz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74"/>
              <w:ind w:right="86"/>
              <w:jc w:val="right"/>
              <w:rPr>
                <w:sz w:val="18"/>
              </w:rPr>
            </w:pPr>
            <w:r>
              <w:rPr>
                <w:sz w:val="18"/>
              </w:rPr>
              <w:t>7,381,381,714.36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62"/>
              <w:ind w:left="118"/>
              <w:rPr>
                <w:rFonts w:ascii="宋体"/>
                <w:sz w:val="18"/>
              </w:rPr>
            </w:pPr>
            <w:r>
              <w:rPr>
                <w:rFonts w:ascii="宋体"/>
                <w:sz w:val="18"/>
              </w:rPr>
              <w:t> </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before="62"/>
              <w:ind w:left="118"/>
              <w:rPr>
                <w:rFonts w:ascii="宋体"/>
                <w:sz w:val="18"/>
              </w:rPr>
            </w:pPr>
            <w:r>
              <w:rPr>
                <w:rFonts w:ascii="宋体"/>
                <w:sz w:val="18"/>
              </w:rPr>
              <w:t> </w:t>
            </w:r>
          </w:p>
        </w:tc>
        <w:tc>
          <w:tcPr>
            <w:tcW w:w="1618" w:type="dxa"/>
            <w:tcBorders>
              <w:top w:val="single" w:sz="4" w:space="0" w:color="000000"/>
              <w:left w:val="single" w:sz="4" w:space="0" w:color="000000"/>
              <w:bottom w:val="single" w:sz="4" w:space="0" w:color="000000"/>
            </w:tcBorders>
          </w:tcPr>
          <w:p>
            <w:pPr>
              <w:pStyle w:val="TableParagraph"/>
              <w:spacing w:before="74"/>
              <w:ind w:right="77"/>
              <w:jc w:val="right"/>
              <w:rPr>
                <w:sz w:val="18"/>
              </w:rPr>
            </w:pPr>
            <w:r>
              <w:rPr>
                <w:sz w:val="18"/>
              </w:rPr>
              <w:t>6,635,665,519.50</w:t>
            </w:r>
          </w:p>
        </w:tc>
      </w:tr>
      <w:tr>
        <w:trPr>
          <w:trHeight w:val="369" w:hRule="atLeast"/>
        </w:trPr>
        <w:tc>
          <w:tcPr>
            <w:tcW w:w="8896" w:type="dxa"/>
            <w:gridSpan w:val="7"/>
            <w:tcBorders>
              <w:top w:val="single" w:sz="4" w:space="0" w:color="000000"/>
              <w:bottom w:val="single" w:sz="4" w:space="0" w:color="000000"/>
            </w:tcBorders>
          </w:tcPr>
          <w:p>
            <w:pPr>
              <w:pStyle w:val="TableParagraph"/>
              <w:spacing w:before="67"/>
              <w:ind w:left="107"/>
              <w:rPr>
                <w:rFonts w:ascii="宋体" w:eastAsia="宋体" w:hint="eastAsia"/>
                <w:sz w:val="18"/>
              </w:rPr>
            </w:pPr>
            <w:r>
              <w:rPr>
                <w:rFonts w:ascii="宋体" w:eastAsia="宋体" w:hint="eastAsia"/>
                <w:sz w:val="18"/>
              </w:rPr>
              <w:t>应付款项</w:t>
            </w:r>
          </w:p>
        </w:tc>
      </w:tr>
      <w:tr>
        <w:trPr>
          <w:trHeight w:val="366" w:hRule="atLeast"/>
        </w:trPr>
        <w:tc>
          <w:tcPr>
            <w:tcW w:w="67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美元</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74"/>
              <w:ind w:left="259"/>
              <w:rPr>
                <w:sz w:val="18"/>
              </w:rPr>
            </w:pPr>
            <w:r>
              <w:rPr>
                <w:sz w:val="18"/>
              </w:rPr>
              <w:t>1,686,174,380.87</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74"/>
              <w:ind w:left="324"/>
              <w:rPr>
                <w:sz w:val="18"/>
              </w:rPr>
            </w:pPr>
            <w:r>
              <w:rPr>
                <w:sz w:val="18"/>
              </w:rPr>
              <w:t>6.5249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74"/>
              <w:ind w:right="86"/>
              <w:jc w:val="right"/>
              <w:rPr>
                <w:sz w:val="18"/>
              </w:rPr>
            </w:pPr>
            <w:r>
              <w:rPr>
                <w:sz w:val="18"/>
              </w:rPr>
              <w:t>11,002,119,217.74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74"/>
              <w:ind w:left="166"/>
              <w:rPr>
                <w:sz w:val="18"/>
              </w:rPr>
            </w:pPr>
            <w:r>
              <w:rPr>
                <w:sz w:val="18"/>
              </w:rPr>
              <w:t>1,219,489,898.22</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before="74"/>
              <w:ind w:left="327"/>
              <w:rPr>
                <w:sz w:val="18"/>
              </w:rPr>
            </w:pPr>
            <w:r>
              <w:rPr>
                <w:sz w:val="18"/>
              </w:rPr>
              <w:t>6.9762</w:t>
            </w:r>
          </w:p>
        </w:tc>
        <w:tc>
          <w:tcPr>
            <w:tcW w:w="1618" w:type="dxa"/>
            <w:tcBorders>
              <w:top w:val="single" w:sz="4" w:space="0" w:color="000000"/>
              <w:left w:val="single" w:sz="4" w:space="0" w:color="000000"/>
              <w:bottom w:val="single" w:sz="4" w:space="0" w:color="000000"/>
            </w:tcBorders>
          </w:tcPr>
          <w:p>
            <w:pPr>
              <w:pStyle w:val="TableParagraph"/>
              <w:spacing w:before="74"/>
              <w:ind w:right="77"/>
              <w:jc w:val="right"/>
              <w:rPr>
                <w:sz w:val="18"/>
              </w:rPr>
            </w:pPr>
            <w:r>
              <w:rPr>
                <w:sz w:val="18"/>
              </w:rPr>
              <w:t>8,507,405,427.96</w:t>
            </w:r>
          </w:p>
        </w:tc>
      </w:tr>
      <w:tr>
        <w:trPr>
          <w:trHeight w:val="369" w:hRule="atLeast"/>
        </w:trPr>
        <w:tc>
          <w:tcPr>
            <w:tcW w:w="67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欧元</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76"/>
              <w:ind w:left="393"/>
              <w:rPr>
                <w:sz w:val="18"/>
              </w:rPr>
            </w:pPr>
            <w:r>
              <w:rPr>
                <w:sz w:val="18"/>
              </w:rPr>
              <w:t>509,699,528.76</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76"/>
              <w:ind w:left="324"/>
              <w:rPr>
                <w:sz w:val="18"/>
              </w:rPr>
            </w:pPr>
            <w:r>
              <w:rPr>
                <w:sz w:val="18"/>
              </w:rPr>
              <w:t>8.0250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76"/>
              <w:ind w:right="86"/>
              <w:jc w:val="right"/>
              <w:rPr>
                <w:sz w:val="18"/>
              </w:rPr>
            </w:pPr>
            <w:r>
              <w:rPr>
                <w:sz w:val="18"/>
              </w:rPr>
              <w:t>4,090,338,718.32</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76"/>
              <w:ind w:left="300"/>
              <w:rPr>
                <w:sz w:val="18"/>
              </w:rPr>
            </w:pPr>
            <w:r>
              <w:rPr>
                <w:sz w:val="18"/>
              </w:rPr>
              <w:t>421,042,022.97</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before="76"/>
              <w:ind w:left="327"/>
              <w:rPr>
                <w:sz w:val="18"/>
              </w:rPr>
            </w:pPr>
            <w:r>
              <w:rPr>
                <w:sz w:val="18"/>
              </w:rPr>
              <w:t>7.8155</w:t>
            </w:r>
          </w:p>
        </w:tc>
        <w:tc>
          <w:tcPr>
            <w:tcW w:w="1618" w:type="dxa"/>
            <w:tcBorders>
              <w:top w:val="single" w:sz="4" w:space="0" w:color="000000"/>
              <w:left w:val="single" w:sz="4" w:space="0" w:color="000000"/>
              <w:bottom w:val="single" w:sz="4" w:space="0" w:color="000000"/>
            </w:tcBorders>
          </w:tcPr>
          <w:p>
            <w:pPr>
              <w:pStyle w:val="TableParagraph"/>
              <w:spacing w:before="76"/>
              <w:ind w:right="77"/>
              <w:jc w:val="right"/>
              <w:rPr>
                <w:sz w:val="18"/>
              </w:rPr>
            </w:pPr>
            <w:r>
              <w:rPr>
                <w:sz w:val="18"/>
              </w:rPr>
              <w:t>3,290,653,930.56</w:t>
            </w:r>
          </w:p>
        </w:tc>
      </w:tr>
      <w:tr>
        <w:trPr>
          <w:trHeight w:val="366" w:hRule="atLeast"/>
        </w:trPr>
        <w:tc>
          <w:tcPr>
            <w:tcW w:w="67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日元</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74"/>
              <w:ind w:left="259"/>
              <w:rPr>
                <w:sz w:val="18"/>
              </w:rPr>
            </w:pPr>
            <w:r>
              <w:rPr>
                <w:sz w:val="18"/>
              </w:rPr>
              <w:t>5,948,544,811.60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74"/>
              <w:ind w:left="144"/>
              <w:rPr>
                <w:sz w:val="18"/>
              </w:rPr>
            </w:pPr>
            <w:r>
              <w:rPr>
                <w:sz w:val="18"/>
              </w:rPr>
              <w:t>0.063236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74"/>
              <w:ind w:right="85"/>
              <w:jc w:val="right"/>
              <w:rPr>
                <w:sz w:val="18"/>
              </w:rPr>
            </w:pPr>
            <w:r>
              <w:rPr>
                <w:sz w:val="18"/>
              </w:rPr>
              <w:t>376,162,179.71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74"/>
              <w:ind w:left="166"/>
              <w:rPr>
                <w:sz w:val="18"/>
              </w:rPr>
            </w:pPr>
            <w:r>
              <w:rPr>
                <w:sz w:val="18"/>
              </w:rPr>
              <w:t>5,988,441,245.39</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before="74"/>
              <w:ind w:left="147"/>
              <w:rPr>
                <w:sz w:val="18"/>
              </w:rPr>
            </w:pPr>
            <w:r>
              <w:rPr>
                <w:sz w:val="18"/>
              </w:rPr>
              <w:t>0.064086</w:t>
            </w:r>
          </w:p>
        </w:tc>
        <w:tc>
          <w:tcPr>
            <w:tcW w:w="1618" w:type="dxa"/>
            <w:tcBorders>
              <w:top w:val="single" w:sz="4" w:space="0" w:color="000000"/>
              <w:left w:val="single" w:sz="4" w:space="0" w:color="000000"/>
              <w:bottom w:val="single" w:sz="4" w:space="0" w:color="000000"/>
            </w:tcBorders>
          </w:tcPr>
          <w:p>
            <w:pPr>
              <w:pStyle w:val="TableParagraph"/>
              <w:spacing w:before="74"/>
              <w:ind w:right="76"/>
              <w:jc w:val="right"/>
              <w:rPr>
                <w:sz w:val="18"/>
              </w:rPr>
            </w:pPr>
            <w:r>
              <w:rPr>
                <w:sz w:val="18"/>
              </w:rPr>
              <w:t>383,775,245.65</w:t>
            </w:r>
          </w:p>
        </w:tc>
      </w:tr>
      <w:tr>
        <w:trPr>
          <w:trHeight w:val="467" w:hRule="atLeast"/>
        </w:trPr>
        <w:tc>
          <w:tcPr>
            <w:tcW w:w="674" w:type="dxa"/>
            <w:tcBorders>
              <w:top w:val="single" w:sz="4" w:space="0" w:color="000000"/>
              <w:bottom w:val="single" w:sz="4" w:space="0" w:color="000000"/>
              <w:right w:val="single" w:sz="4" w:space="0" w:color="000000"/>
            </w:tcBorders>
          </w:tcPr>
          <w:p>
            <w:pPr>
              <w:pStyle w:val="TableParagraph"/>
              <w:ind w:left="107"/>
              <w:rPr>
                <w:rFonts w:ascii="宋体" w:eastAsia="宋体" w:hint="eastAsia"/>
                <w:sz w:val="18"/>
              </w:rPr>
            </w:pPr>
            <w:r>
              <w:rPr>
                <w:rFonts w:ascii="宋体" w:eastAsia="宋体" w:hint="eastAsia"/>
                <w:sz w:val="18"/>
              </w:rPr>
              <w:t>新西</w:t>
            </w:r>
          </w:p>
          <w:p>
            <w:pPr>
              <w:pStyle w:val="TableParagraph"/>
              <w:spacing w:line="213" w:lineRule="exact" w:before="4"/>
              <w:ind w:left="107"/>
              <w:rPr>
                <w:rFonts w:ascii="宋体" w:eastAsia="宋体" w:hint="eastAsia"/>
                <w:sz w:val="18"/>
              </w:rPr>
            </w:pPr>
            <w:r>
              <w:rPr>
                <w:rFonts w:ascii="宋体" w:eastAsia="宋体" w:hint="eastAsia"/>
                <w:sz w:val="18"/>
              </w:rPr>
              <w:t>兰元</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127"/>
              <w:ind w:left="393"/>
              <w:rPr>
                <w:sz w:val="18"/>
              </w:rPr>
            </w:pPr>
            <w:r>
              <w:rPr>
                <w:sz w:val="18"/>
              </w:rPr>
              <w:t>184,521,657.35</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127"/>
              <w:ind w:left="324"/>
              <w:rPr>
                <w:sz w:val="18"/>
              </w:rPr>
            </w:pPr>
            <w:r>
              <w:rPr>
                <w:sz w:val="18"/>
              </w:rPr>
              <w:t>4.7050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127"/>
              <w:ind w:right="85"/>
              <w:jc w:val="right"/>
              <w:rPr>
                <w:sz w:val="18"/>
              </w:rPr>
            </w:pPr>
            <w:r>
              <w:rPr>
                <w:sz w:val="18"/>
              </w:rPr>
              <w:t>868,174,397.82</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127"/>
              <w:ind w:left="300"/>
              <w:rPr>
                <w:sz w:val="18"/>
              </w:rPr>
            </w:pPr>
            <w:r>
              <w:rPr>
                <w:sz w:val="18"/>
              </w:rPr>
              <w:t>147,674,519.27</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before="127"/>
              <w:ind w:left="327"/>
              <w:rPr>
                <w:sz w:val="18"/>
              </w:rPr>
            </w:pPr>
            <w:r>
              <w:rPr>
                <w:sz w:val="18"/>
              </w:rPr>
              <w:t>4.6973</w:t>
            </w:r>
          </w:p>
        </w:tc>
        <w:tc>
          <w:tcPr>
            <w:tcW w:w="1618" w:type="dxa"/>
            <w:tcBorders>
              <w:top w:val="single" w:sz="4" w:space="0" w:color="000000"/>
              <w:left w:val="single" w:sz="4" w:space="0" w:color="000000"/>
              <w:bottom w:val="single" w:sz="4" w:space="0" w:color="000000"/>
            </w:tcBorders>
          </w:tcPr>
          <w:p>
            <w:pPr>
              <w:pStyle w:val="TableParagraph"/>
              <w:spacing w:before="127"/>
              <w:ind w:right="76"/>
              <w:jc w:val="right"/>
              <w:rPr>
                <w:sz w:val="18"/>
              </w:rPr>
            </w:pPr>
            <w:r>
              <w:rPr>
                <w:sz w:val="18"/>
              </w:rPr>
              <w:t>693,671,519.36</w:t>
            </w:r>
          </w:p>
        </w:tc>
      </w:tr>
      <w:tr>
        <w:trPr>
          <w:trHeight w:val="366" w:hRule="atLeast"/>
        </w:trPr>
        <w:tc>
          <w:tcPr>
            <w:tcW w:w="67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其他</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64"/>
              <w:ind w:right="-15"/>
              <w:jc w:val="right"/>
              <w:rPr>
                <w:rFonts w:ascii="宋体"/>
                <w:sz w:val="18"/>
              </w:rPr>
            </w:pPr>
            <w:r>
              <w:rPr>
                <w:rFonts w:ascii="宋体"/>
                <w:sz w:val="18"/>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64"/>
              <w:ind w:left="115"/>
              <w:rPr>
                <w:rFonts w:ascii="宋体"/>
                <w:sz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76"/>
              <w:ind w:right="86"/>
              <w:jc w:val="right"/>
              <w:rPr>
                <w:sz w:val="18"/>
              </w:rPr>
            </w:pPr>
            <w:r>
              <w:rPr>
                <w:sz w:val="18"/>
              </w:rPr>
              <w:t>2,331,300,734.45</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64"/>
              <w:ind w:right="-15"/>
              <w:jc w:val="right"/>
              <w:rPr>
                <w:rFonts w:ascii="宋体"/>
                <w:sz w:val="18"/>
              </w:rPr>
            </w:pPr>
            <w:r>
              <w:rPr>
                <w:rFonts w:ascii="宋体"/>
                <w:sz w:val="18"/>
              </w:rPr>
              <w:t> </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before="64"/>
              <w:ind w:left="118"/>
              <w:rPr>
                <w:rFonts w:ascii="宋体"/>
                <w:sz w:val="18"/>
              </w:rPr>
            </w:pPr>
            <w:r>
              <w:rPr>
                <w:rFonts w:ascii="宋体"/>
                <w:sz w:val="18"/>
              </w:rPr>
              <w:t> </w:t>
            </w:r>
          </w:p>
        </w:tc>
        <w:tc>
          <w:tcPr>
            <w:tcW w:w="1618" w:type="dxa"/>
            <w:tcBorders>
              <w:top w:val="single" w:sz="4" w:space="0" w:color="000000"/>
              <w:left w:val="single" w:sz="4" w:space="0" w:color="000000"/>
              <w:bottom w:val="single" w:sz="4" w:space="0" w:color="000000"/>
            </w:tcBorders>
          </w:tcPr>
          <w:p>
            <w:pPr>
              <w:pStyle w:val="TableParagraph"/>
              <w:spacing w:before="76"/>
              <w:ind w:right="77"/>
              <w:jc w:val="right"/>
              <w:rPr>
                <w:sz w:val="18"/>
              </w:rPr>
            </w:pPr>
            <w:r>
              <w:rPr>
                <w:sz w:val="18"/>
              </w:rPr>
              <w:t>1,735,111,878.01</w:t>
            </w:r>
          </w:p>
        </w:tc>
      </w:tr>
      <w:tr>
        <w:trPr>
          <w:trHeight w:val="369" w:hRule="atLeast"/>
        </w:trPr>
        <w:tc>
          <w:tcPr>
            <w:tcW w:w="674"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小计</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64"/>
              <w:ind w:right="-15"/>
              <w:jc w:val="right"/>
              <w:rPr>
                <w:rFonts w:ascii="宋体"/>
                <w:sz w:val="18"/>
              </w:rPr>
            </w:pPr>
            <w:r>
              <w:rPr>
                <w:rFonts w:ascii="宋体"/>
                <w:sz w:val="18"/>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64"/>
              <w:ind w:left="115"/>
              <w:rPr>
                <w:rFonts w:ascii="宋体"/>
                <w:sz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76"/>
              <w:ind w:right="86"/>
              <w:jc w:val="right"/>
              <w:rPr>
                <w:sz w:val="18"/>
              </w:rPr>
            </w:pPr>
            <w:r>
              <w:rPr>
                <w:sz w:val="18"/>
              </w:rPr>
              <w:t>18,668,095,248.04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64"/>
              <w:ind w:left="118"/>
              <w:rPr>
                <w:rFonts w:ascii="宋体"/>
                <w:sz w:val="18"/>
              </w:rPr>
            </w:pPr>
            <w:r>
              <w:rPr>
                <w:rFonts w:ascii="宋体"/>
                <w:sz w:val="18"/>
              </w:rPr>
              <w:t> </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before="64"/>
              <w:ind w:left="118"/>
              <w:rPr>
                <w:rFonts w:ascii="宋体"/>
                <w:sz w:val="18"/>
              </w:rPr>
            </w:pPr>
            <w:r>
              <w:rPr>
                <w:rFonts w:ascii="宋体"/>
                <w:sz w:val="18"/>
              </w:rPr>
              <w:t> </w:t>
            </w:r>
          </w:p>
        </w:tc>
        <w:tc>
          <w:tcPr>
            <w:tcW w:w="1618" w:type="dxa"/>
            <w:tcBorders>
              <w:top w:val="single" w:sz="4" w:space="0" w:color="000000"/>
              <w:left w:val="single" w:sz="4" w:space="0" w:color="000000"/>
              <w:bottom w:val="single" w:sz="4" w:space="0" w:color="000000"/>
            </w:tcBorders>
          </w:tcPr>
          <w:p>
            <w:pPr>
              <w:pStyle w:val="TableParagraph"/>
              <w:spacing w:before="76"/>
              <w:ind w:right="77"/>
              <w:jc w:val="right"/>
              <w:rPr>
                <w:sz w:val="18"/>
              </w:rPr>
            </w:pPr>
            <w:r>
              <w:rPr>
                <w:sz w:val="18"/>
              </w:rPr>
              <w:t>14,610,618,001.54</w:t>
            </w:r>
          </w:p>
        </w:tc>
      </w:tr>
      <w:tr>
        <w:trPr>
          <w:trHeight w:val="367" w:hRule="atLeast"/>
        </w:trPr>
        <w:tc>
          <w:tcPr>
            <w:tcW w:w="8896" w:type="dxa"/>
            <w:gridSpan w:val="7"/>
            <w:tcBorders>
              <w:top w:val="single" w:sz="4" w:space="0" w:color="000000"/>
              <w:bottom w:val="single" w:sz="4" w:space="0" w:color="000000"/>
            </w:tcBorders>
          </w:tcPr>
          <w:p>
            <w:pPr>
              <w:pStyle w:val="TableParagraph"/>
              <w:spacing w:before="67"/>
              <w:ind w:left="107"/>
              <w:rPr>
                <w:rFonts w:ascii="宋体" w:eastAsia="宋体" w:hint="eastAsia"/>
                <w:sz w:val="18"/>
              </w:rPr>
            </w:pPr>
            <w:r>
              <w:rPr>
                <w:rFonts w:ascii="宋体" w:eastAsia="宋体" w:hint="eastAsia"/>
                <w:sz w:val="18"/>
              </w:rPr>
              <w:t>一年内到期的非流动负债</w:t>
            </w:r>
          </w:p>
        </w:tc>
      </w:tr>
      <w:tr>
        <w:trPr>
          <w:trHeight w:val="369" w:hRule="atLeast"/>
        </w:trPr>
        <w:tc>
          <w:tcPr>
            <w:tcW w:w="674"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美元</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76"/>
              <w:ind w:left="393"/>
              <w:rPr>
                <w:sz w:val="18"/>
              </w:rPr>
            </w:pPr>
            <w:r>
              <w:rPr>
                <w:sz w:val="18"/>
              </w:rPr>
              <w:t>460,056,675.99</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76"/>
              <w:ind w:left="324"/>
              <w:rPr>
                <w:sz w:val="18"/>
              </w:rPr>
            </w:pPr>
            <w:r>
              <w:rPr>
                <w:sz w:val="18"/>
              </w:rPr>
              <w:t>6.5249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76"/>
              <w:ind w:right="86"/>
              <w:jc w:val="right"/>
              <w:rPr>
                <w:sz w:val="18"/>
              </w:rPr>
            </w:pPr>
            <w:r>
              <w:rPr>
                <w:sz w:val="18"/>
              </w:rPr>
              <w:t>3,001,823,805.15</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76"/>
              <w:ind w:left="300"/>
              <w:rPr>
                <w:sz w:val="18"/>
              </w:rPr>
            </w:pPr>
            <w:r>
              <w:rPr>
                <w:sz w:val="18"/>
              </w:rPr>
              <w:t>692,201,069.75</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before="76"/>
              <w:ind w:left="344"/>
              <w:rPr>
                <w:sz w:val="18"/>
              </w:rPr>
            </w:pPr>
            <w:r>
              <w:rPr>
                <w:sz w:val="18"/>
              </w:rPr>
              <w:t>6.9762</w:t>
            </w:r>
          </w:p>
        </w:tc>
        <w:tc>
          <w:tcPr>
            <w:tcW w:w="1618" w:type="dxa"/>
            <w:tcBorders>
              <w:top w:val="single" w:sz="4" w:space="0" w:color="000000"/>
              <w:left w:val="single" w:sz="4" w:space="0" w:color="000000"/>
              <w:bottom w:val="single" w:sz="4" w:space="0" w:color="000000"/>
            </w:tcBorders>
          </w:tcPr>
          <w:p>
            <w:pPr>
              <w:pStyle w:val="TableParagraph"/>
              <w:spacing w:before="76"/>
              <w:ind w:right="77"/>
              <w:jc w:val="right"/>
              <w:rPr>
                <w:sz w:val="18"/>
              </w:rPr>
            </w:pPr>
            <w:r>
              <w:rPr>
                <w:sz w:val="18"/>
              </w:rPr>
              <w:t>4,828,933,102.79</w:t>
            </w:r>
          </w:p>
        </w:tc>
      </w:tr>
      <w:tr>
        <w:trPr>
          <w:trHeight w:val="366" w:hRule="atLeast"/>
        </w:trPr>
        <w:tc>
          <w:tcPr>
            <w:tcW w:w="67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欧元</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76"/>
              <w:ind w:left="393"/>
              <w:rPr>
                <w:sz w:val="18"/>
              </w:rPr>
            </w:pPr>
            <w:r>
              <w:rPr>
                <w:sz w:val="18"/>
              </w:rPr>
              <w:t>362,785,908.96</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76"/>
              <w:ind w:left="324"/>
              <w:rPr>
                <w:sz w:val="18"/>
              </w:rPr>
            </w:pPr>
            <w:r>
              <w:rPr>
                <w:sz w:val="18"/>
              </w:rPr>
              <w:t>8.0250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76"/>
              <w:ind w:right="86"/>
              <w:jc w:val="right"/>
              <w:rPr>
                <w:sz w:val="18"/>
              </w:rPr>
            </w:pPr>
            <w:r>
              <w:rPr>
                <w:sz w:val="18"/>
              </w:rPr>
              <w:t>2,911,356,919.41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76"/>
              <w:ind w:left="300"/>
              <w:rPr>
                <w:sz w:val="18"/>
              </w:rPr>
            </w:pPr>
            <w:r>
              <w:rPr>
                <w:sz w:val="18"/>
              </w:rPr>
              <w:t>104,804,376.00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before="76"/>
              <w:ind w:left="344"/>
              <w:rPr>
                <w:sz w:val="18"/>
              </w:rPr>
            </w:pPr>
            <w:r>
              <w:rPr>
                <w:sz w:val="18"/>
              </w:rPr>
              <w:t>7.8155</w:t>
            </w:r>
          </w:p>
        </w:tc>
        <w:tc>
          <w:tcPr>
            <w:tcW w:w="1618" w:type="dxa"/>
            <w:tcBorders>
              <w:top w:val="single" w:sz="4" w:space="0" w:color="000000"/>
              <w:left w:val="single" w:sz="4" w:space="0" w:color="000000"/>
              <w:bottom w:val="single" w:sz="4" w:space="0" w:color="000000"/>
            </w:tcBorders>
          </w:tcPr>
          <w:p>
            <w:pPr>
              <w:pStyle w:val="TableParagraph"/>
              <w:spacing w:before="76"/>
              <w:ind w:right="76"/>
              <w:jc w:val="right"/>
              <w:rPr>
                <w:sz w:val="18"/>
              </w:rPr>
            </w:pPr>
            <w:r>
              <w:rPr>
                <w:sz w:val="18"/>
              </w:rPr>
              <w:t>819,098,600.63</w:t>
            </w:r>
          </w:p>
        </w:tc>
      </w:tr>
      <w:tr>
        <w:trPr>
          <w:trHeight w:val="369" w:hRule="atLeast"/>
        </w:trPr>
        <w:tc>
          <w:tcPr>
            <w:tcW w:w="674"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日元</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76"/>
              <w:ind w:left="393"/>
              <w:rPr>
                <w:sz w:val="18"/>
              </w:rPr>
            </w:pPr>
            <w:r>
              <w:rPr>
                <w:sz w:val="18"/>
              </w:rPr>
              <w:t>409,229,611.46</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76"/>
              <w:ind w:left="144"/>
              <w:rPr>
                <w:sz w:val="18"/>
              </w:rPr>
            </w:pPr>
            <w:r>
              <w:rPr>
                <w:sz w:val="18"/>
              </w:rPr>
              <w:t>0.063236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76"/>
              <w:ind w:right="87"/>
              <w:jc w:val="right"/>
              <w:rPr>
                <w:sz w:val="18"/>
              </w:rPr>
            </w:pPr>
            <w:r>
              <w:rPr>
                <w:sz w:val="18"/>
              </w:rPr>
              <w:t>25,878,043.71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76"/>
              <w:ind w:left="166"/>
              <w:rPr>
                <w:sz w:val="18"/>
              </w:rPr>
            </w:pPr>
            <w:r>
              <w:rPr>
                <w:sz w:val="18"/>
              </w:rPr>
              <w:t>1,923,050,313.62</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before="76"/>
              <w:ind w:left="164"/>
              <w:rPr>
                <w:sz w:val="18"/>
              </w:rPr>
            </w:pPr>
            <w:r>
              <w:rPr>
                <w:sz w:val="18"/>
              </w:rPr>
              <w:t>0.064086</w:t>
            </w:r>
          </w:p>
        </w:tc>
        <w:tc>
          <w:tcPr>
            <w:tcW w:w="1618" w:type="dxa"/>
            <w:tcBorders>
              <w:top w:val="single" w:sz="4" w:space="0" w:color="000000"/>
              <w:left w:val="single" w:sz="4" w:space="0" w:color="000000"/>
              <w:bottom w:val="single" w:sz="4" w:space="0" w:color="000000"/>
            </w:tcBorders>
          </w:tcPr>
          <w:p>
            <w:pPr>
              <w:pStyle w:val="TableParagraph"/>
              <w:spacing w:before="76"/>
              <w:ind w:right="76"/>
              <w:jc w:val="right"/>
              <w:rPr>
                <w:sz w:val="18"/>
              </w:rPr>
            </w:pPr>
            <w:r>
              <w:rPr>
                <w:sz w:val="18"/>
              </w:rPr>
              <w:t>123,240,602.40</w:t>
            </w:r>
          </w:p>
        </w:tc>
      </w:tr>
      <w:tr>
        <w:trPr>
          <w:trHeight w:val="366" w:hRule="atLeast"/>
        </w:trPr>
        <w:tc>
          <w:tcPr>
            <w:tcW w:w="67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卢布</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76"/>
              <w:ind w:left="393"/>
              <w:rPr>
                <w:sz w:val="18"/>
              </w:rPr>
            </w:pPr>
            <w:r>
              <w:rPr>
                <w:sz w:val="18"/>
              </w:rPr>
              <w:t>172,776,559.94</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76"/>
              <w:ind w:left="144"/>
              <w:rPr>
                <w:sz w:val="18"/>
              </w:rPr>
            </w:pPr>
            <w:r>
              <w:rPr>
                <w:sz w:val="18"/>
              </w:rPr>
              <w:t>0.087700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76"/>
              <w:ind w:right="87"/>
              <w:jc w:val="right"/>
              <w:rPr>
                <w:sz w:val="18"/>
              </w:rPr>
            </w:pPr>
            <w:r>
              <w:rPr>
                <w:sz w:val="18"/>
              </w:rPr>
              <w:t>15,152,504.31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76"/>
              <w:ind w:left="300"/>
              <w:rPr>
                <w:sz w:val="18"/>
              </w:rPr>
            </w:pPr>
            <w:r>
              <w:rPr>
                <w:sz w:val="18"/>
              </w:rPr>
              <w:t>183,707,445.72</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before="76"/>
              <w:ind w:left="164"/>
              <w:rPr>
                <w:sz w:val="18"/>
              </w:rPr>
            </w:pPr>
            <w:r>
              <w:rPr>
                <w:sz w:val="18"/>
              </w:rPr>
              <w:t>0.112600</w:t>
            </w:r>
          </w:p>
        </w:tc>
        <w:tc>
          <w:tcPr>
            <w:tcW w:w="1618" w:type="dxa"/>
            <w:tcBorders>
              <w:top w:val="single" w:sz="4" w:space="0" w:color="000000"/>
              <w:left w:val="single" w:sz="4" w:space="0" w:color="000000"/>
              <w:bottom w:val="single" w:sz="4" w:space="0" w:color="000000"/>
            </w:tcBorders>
          </w:tcPr>
          <w:p>
            <w:pPr>
              <w:pStyle w:val="TableParagraph"/>
              <w:spacing w:before="76"/>
              <w:ind w:right="76"/>
              <w:jc w:val="right"/>
              <w:rPr>
                <w:sz w:val="18"/>
              </w:rPr>
            </w:pPr>
            <w:r>
              <w:rPr>
                <w:sz w:val="18"/>
              </w:rPr>
              <w:t>20,685,458.39</w:t>
            </w:r>
          </w:p>
        </w:tc>
      </w:tr>
      <w:tr>
        <w:trPr>
          <w:trHeight w:val="369" w:hRule="atLeast"/>
        </w:trPr>
        <w:tc>
          <w:tcPr>
            <w:tcW w:w="674"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其他</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64"/>
              <w:ind w:left="117"/>
              <w:rPr>
                <w:rFonts w:ascii="宋体"/>
                <w:sz w:val="18"/>
              </w:rPr>
            </w:pPr>
            <w:r>
              <w:rPr>
                <w:rFonts w:ascii="宋体"/>
                <w:sz w:val="18"/>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64"/>
              <w:ind w:left="115"/>
              <w:rPr>
                <w:rFonts w:ascii="宋体"/>
                <w:sz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76"/>
              <w:ind w:right="85"/>
              <w:jc w:val="right"/>
              <w:rPr>
                <w:sz w:val="18"/>
              </w:rPr>
            </w:pPr>
            <w:r>
              <w:rPr>
                <w:sz w:val="18"/>
              </w:rPr>
              <w:t>347,591,362.24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64"/>
              <w:ind w:right="-15"/>
              <w:jc w:val="right"/>
              <w:rPr>
                <w:rFonts w:ascii="宋体"/>
                <w:sz w:val="18"/>
              </w:rPr>
            </w:pPr>
            <w:r>
              <w:rPr>
                <w:rFonts w:ascii="宋体"/>
                <w:sz w:val="18"/>
              </w:rPr>
              <w:t> </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before="64"/>
              <w:ind w:right="-29"/>
              <w:jc w:val="right"/>
              <w:rPr>
                <w:rFonts w:ascii="宋体"/>
                <w:sz w:val="18"/>
              </w:rPr>
            </w:pPr>
            <w:r>
              <w:rPr>
                <w:rFonts w:ascii="宋体"/>
                <w:sz w:val="18"/>
              </w:rPr>
              <w:t> </w:t>
            </w:r>
          </w:p>
        </w:tc>
        <w:tc>
          <w:tcPr>
            <w:tcW w:w="1618" w:type="dxa"/>
            <w:tcBorders>
              <w:top w:val="single" w:sz="4" w:space="0" w:color="000000"/>
              <w:left w:val="single" w:sz="4" w:space="0" w:color="000000"/>
              <w:bottom w:val="single" w:sz="4" w:space="0" w:color="000000"/>
            </w:tcBorders>
          </w:tcPr>
          <w:p>
            <w:pPr>
              <w:pStyle w:val="TableParagraph"/>
              <w:spacing w:before="76"/>
              <w:ind w:right="76"/>
              <w:jc w:val="right"/>
              <w:rPr>
                <w:sz w:val="18"/>
              </w:rPr>
            </w:pPr>
            <w:r>
              <w:rPr>
                <w:sz w:val="18"/>
              </w:rPr>
              <w:t>278,535,431.52</w:t>
            </w:r>
          </w:p>
        </w:tc>
      </w:tr>
      <w:tr>
        <w:trPr>
          <w:trHeight w:val="366" w:hRule="atLeast"/>
        </w:trPr>
        <w:tc>
          <w:tcPr>
            <w:tcW w:w="67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小计</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64"/>
              <w:ind w:left="117"/>
              <w:rPr>
                <w:rFonts w:ascii="宋体"/>
                <w:sz w:val="18"/>
              </w:rPr>
            </w:pPr>
            <w:r>
              <w:rPr>
                <w:rFonts w:ascii="宋体"/>
                <w:sz w:val="18"/>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64"/>
              <w:ind w:left="115"/>
              <w:rPr>
                <w:rFonts w:ascii="宋体"/>
                <w:sz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76"/>
              <w:ind w:right="86"/>
              <w:jc w:val="right"/>
              <w:rPr>
                <w:sz w:val="18"/>
              </w:rPr>
            </w:pPr>
            <w:r>
              <w:rPr>
                <w:sz w:val="18"/>
              </w:rPr>
              <w:t>6,301,802,634.82</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64"/>
              <w:ind w:right="-15"/>
              <w:jc w:val="right"/>
              <w:rPr>
                <w:rFonts w:ascii="宋体"/>
                <w:sz w:val="18"/>
              </w:rPr>
            </w:pPr>
            <w:r>
              <w:rPr>
                <w:rFonts w:ascii="宋体"/>
                <w:sz w:val="18"/>
              </w:rPr>
              <w:t> </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before="64"/>
              <w:ind w:right="-29"/>
              <w:jc w:val="right"/>
              <w:rPr>
                <w:rFonts w:ascii="宋体"/>
                <w:sz w:val="18"/>
              </w:rPr>
            </w:pPr>
            <w:r>
              <w:rPr>
                <w:rFonts w:ascii="宋体"/>
                <w:sz w:val="18"/>
              </w:rPr>
              <w:t> </w:t>
            </w:r>
          </w:p>
        </w:tc>
        <w:tc>
          <w:tcPr>
            <w:tcW w:w="1618" w:type="dxa"/>
            <w:tcBorders>
              <w:top w:val="single" w:sz="4" w:space="0" w:color="000000"/>
              <w:left w:val="single" w:sz="4" w:space="0" w:color="000000"/>
              <w:bottom w:val="single" w:sz="4" w:space="0" w:color="000000"/>
            </w:tcBorders>
          </w:tcPr>
          <w:p>
            <w:pPr>
              <w:pStyle w:val="TableParagraph"/>
              <w:spacing w:before="76"/>
              <w:ind w:right="77"/>
              <w:jc w:val="right"/>
              <w:rPr>
                <w:sz w:val="18"/>
              </w:rPr>
            </w:pPr>
            <w:r>
              <w:rPr>
                <w:sz w:val="18"/>
              </w:rPr>
              <w:t>6,070,493,195.73</w:t>
            </w:r>
          </w:p>
        </w:tc>
      </w:tr>
      <w:tr>
        <w:trPr>
          <w:trHeight w:val="368" w:hRule="atLeast"/>
        </w:trPr>
        <w:tc>
          <w:tcPr>
            <w:tcW w:w="8896" w:type="dxa"/>
            <w:gridSpan w:val="7"/>
            <w:tcBorders>
              <w:top w:val="single" w:sz="4" w:space="0" w:color="000000"/>
            </w:tcBorders>
          </w:tcPr>
          <w:p>
            <w:pPr>
              <w:pStyle w:val="TableParagraph"/>
              <w:spacing w:before="69"/>
              <w:ind w:left="107"/>
              <w:rPr>
                <w:rFonts w:ascii="宋体" w:eastAsia="宋体" w:hint="eastAsia"/>
                <w:sz w:val="18"/>
              </w:rPr>
            </w:pPr>
            <w:r>
              <w:rPr>
                <w:rFonts w:ascii="宋体" w:eastAsia="宋体" w:hint="eastAsia"/>
                <w:sz w:val="18"/>
              </w:rPr>
              <w:t>长期借款</w:t>
            </w:r>
          </w:p>
        </w:tc>
      </w:tr>
    </w:tbl>
    <w:p>
      <w:pPr>
        <w:spacing w:after="0"/>
        <w:rPr>
          <w:rFonts w:ascii="宋体" w:eastAsia="宋体" w:hint="eastAsia"/>
          <w:sz w:val="18"/>
        </w:rPr>
        <w:sectPr>
          <w:pgSz w:w="11910" w:h="16840"/>
          <w:pgMar w:header="876" w:footer="1203" w:top="1440" w:bottom="1400" w:left="260" w:right="0"/>
        </w:sectPr>
      </w:pPr>
    </w:p>
    <w:p>
      <w:pPr>
        <w:pStyle w:val="BodyText"/>
        <w:spacing w:before="9"/>
        <w:rPr>
          <w:rFonts w:ascii="Times New Roman"/>
          <w:sz w:val="5"/>
        </w:rPr>
      </w:pPr>
    </w:p>
    <w:tbl>
      <w:tblPr>
        <w:tblW w:w="0" w:type="auto"/>
        <w:jc w:val="left"/>
        <w:tblInd w:w="152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674"/>
        <w:gridCol w:w="1618"/>
        <w:gridCol w:w="919"/>
        <w:gridCol w:w="1620"/>
        <w:gridCol w:w="1524"/>
        <w:gridCol w:w="920"/>
        <w:gridCol w:w="1620"/>
      </w:tblGrid>
      <w:tr>
        <w:trPr>
          <w:trHeight w:val="369" w:hRule="atLeast"/>
        </w:trPr>
        <w:tc>
          <w:tcPr>
            <w:tcW w:w="674" w:type="dxa"/>
            <w:tcBorders>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美元</w:t>
            </w:r>
          </w:p>
        </w:tc>
        <w:tc>
          <w:tcPr>
            <w:tcW w:w="1618" w:type="dxa"/>
            <w:tcBorders>
              <w:left w:val="single" w:sz="4" w:space="0" w:color="000000"/>
              <w:bottom w:val="single" w:sz="4" w:space="0" w:color="000000"/>
              <w:right w:val="single" w:sz="4" w:space="0" w:color="000000"/>
            </w:tcBorders>
          </w:tcPr>
          <w:p>
            <w:pPr>
              <w:pStyle w:val="TableParagraph"/>
              <w:spacing w:before="76"/>
              <w:ind w:left="259"/>
              <w:rPr>
                <w:sz w:val="18"/>
              </w:rPr>
            </w:pPr>
            <w:r>
              <w:rPr>
                <w:sz w:val="18"/>
              </w:rPr>
              <w:t>1,338,974,588.19</w:t>
            </w:r>
          </w:p>
        </w:tc>
        <w:tc>
          <w:tcPr>
            <w:tcW w:w="919" w:type="dxa"/>
            <w:tcBorders>
              <w:left w:val="single" w:sz="4" w:space="0" w:color="000000"/>
              <w:bottom w:val="single" w:sz="4" w:space="0" w:color="000000"/>
              <w:right w:val="single" w:sz="4" w:space="0" w:color="000000"/>
            </w:tcBorders>
          </w:tcPr>
          <w:p>
            <w:pPr>
              <w:pStyle w:val="TableParagraph"/>
              <w:spacing w:before="76"/>
              <w:ind w:right="87"/>
              <w:jc w:val="right"/>
              <w:rPr>
                <w:sz w:val="18"/>
              </w:rPr>
            </w:pPr>
            <w:r>
              <w:rPr>
                <w:sz w:val="18"/>
              </w:rPr>
              <w:t>6.5249</w:t>
            </w:r>
          </w:p>
        </w:tc>
        <w:tc>
          <w:tcPr>
            <w:tcW w:w="1620" w:type="dxa"/>
            <w:tcBorders>
              <w:left w:val="single" w:sz="4" w:space="0" w:color="000000"/>
              <w:bottom w:val="single" w:sz="4" w:space="0" w:color="000000"/>
              <w:right w:val="single" w:sz="4" w:space="0" w:color="000000"/>
            </w:tcBorders>
          </w:tcPr>
          <w:p>
            <w:pPr>
              <w:pStyle w:val="TableParagraph"/>
              <w:spacing w:before="76"/>
              <w:ind w:right="86"/>
              <w:jc w:val="right"/>
              <w:rPr>
                <w:sz w:val="18"/>
              </w:rPr>
            </w:pPr>
            <w:r>
              <w:rPr>
                <w:sz w:val="18"/>
              </w:rPr>
              <w:t>8,736,675,290.48</w:t>
            </w:r>
          </w:p>
        </w:tc>
        <w:tc>
          <w:tcPr>
            <w:tcW w:w="1524" w:type="dxa"/>
            <w:tcBorders>
              <w:left w:val="single" w:sz="4" w:space="0" w:color="000000"/>
              <w:bottom w:val="single" w:sz="4" w:space="0" w:color="000000"/>
              <w:right w:val="single" w:sz="4" w:space="0" w:color="000000"/>
            </w:tcBorders>
          </w:tcPr>
          <w:p>
            <w:pPr>
              <w:pStyle w:val="TableParagraph"/>
              <w:spacing w:before="76"/>
              <w:ind w:left="300"/>
              <w:rPr>
                <w:sz w:val="18"/>
              </w:rPr>
            </w:pPr>
            <w:r>
              <w:rPr>
                <w:sz w:val="18"/>
              </w:rPr>
              <w:t>876,451,371.56</w:t>
            </w:r>
          </w:p>
        </w:tc>
        <w:tc>
          <w:tcPr>
            <w:tcW w:w="920" w:type="dxa"/>
            <w:tcBorders>
              <w:left w:val="single" w:sz="4" w:space="0" w:color="000000"/>
              <w:bottom w:val="single" w:sz="4" w:space="0" w:color="000000"/>
              <w:right w:val="single" w:sz="4" w:space="0" w:color="000000"/>
            </w:tcBorders>
          </w:tcPr>
          <w:p>
            <w:pPr>
              <w:pStyle w:val="TableParagraph"/>
              <w:spacing w:before="76"/>
              <w:ind w:left="327"/>
              <w:rPr>
                <w:sz w:val="18"/>
              </w:rPr>
            </w:pPr>
            <w:r>
              <w:rPr>
                <w:sz w:val="18"/>
              </w:rPr>
              <w:t>6.9762</w:t>
            </w:r>
          </w:p>
        </w:tc>
        <w:tc>
          <w:tcPr>
            <w:tcW w:w="1620" w:type="dxa"/>
            <w:tcBorders>
              <w:left w:val="single" w:sz="4" w:space="0" w:color="000000"/>
              <w:bottom w:val="single" w:sz="4" w:space="0" w:color="000000"/>
            </w:tcBorders>
          </w:tcPr>
          <w:p>
            <w:pPr>
              <w:pStyle w:val="TableParagraph"/>
              <w:spacing w:before="76"/>
              <w:ind w:right="76"/>
              <w:jc w:val="right"/>
              <w:rPr>
                <w:sz w:val="18"/>
              </w:rPr>
            </w:pPr>
            <w:r>
              <w:rPr>
                <w:sz w:val="18"/>
              </w:rPr>
              <w:t>6,114,300,058.28</w:t>
            </w:r>
          </w:p>
        </w:tc>
      </w:tr>
      <w:tr>
        <w:trPr>
          <w:trHeight w:val="369" w:hRule="atLeast"/>
        </w:trPr>
        <w:tc>
          <w:tcPr>
            <w:tcW w:w="67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欧元</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76"/>
              <w:ind w:left="393"/>
              <w:rPr>
                <w:sz w:val="18"/>
              </w:rPr>
            </w:pPr>
            <w:r>
              <w:rPr>
                <w:sz w:val="18"/>
              </w:rPr>
              <w:t>143,342,874.39</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76"/>
              <w:ind w:right="87"/>
              <w:jc w:val="right"/>
              <w:rPr>
                <w:sz w:val="18"/>
              </w:rPr>
            </w:pPr>
            <w:r>
              <w:rPr>
                <w:sz w:val="18"/>
              </w:rPr>
              <w:t>8.0250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76"/>
              <w:ind w:right="86"/>
              <w:jc w:val="right"/>
              <w:rPr>
                <w:sz w:val="18"/>
              </w:rPr>
            </w:pPr>
            <w:r>
              <w:rPr>
                <w:sz w:val="18"/>
              </w:rPr>
              <w:t>1,150,326,567.02</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76"/>
              <w:ind w:left="300"/>
              <w:rPr>
                <w:sz w:val="18"/>
              </w:rPr>
            </w:pPr>
            <w:r>
              <w:rPr>
                <w:sz w:val="18"/>
              </w:rPr>
              <w:t>712,443,399.37</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before="76"/>
              <w:ind w:left="327"/>
              <w:rPr>
                <w:sz w:val="18"/>
              </w:rPr>
            </w:pPr>
            <w:r>
              <w:rPr>
                <w:sz w:val="18"/>
              </w:rPr>
              <w:t>7.8155</w:t>
            </w:r>
          </w:p>
        </w:tc>
        <w:tc>
          <w:tcPr>
            <w:tcW w:w="1620" w:type="dxa"/>
            <w:tcBorders>
              <w:top w:val="single" w:sz="4" w:space="0" w:color="000000"/>
              <w:left w:val="single" w:sz="4" w:space="0" w:color="000000"/>
              <w:bottom w:val="single" w:sz="4" w:space="0" w:color="000000"/>
            </w:tcBorders>
          </w:tcPr>
          <w:p>
            <w:pPr>
              <w:pStyle w:val="TableParagraph"/>
              <w:spacing w:before="76"/>
              <w:ind w:right="76"/>
              <w:jc w:val="right"/>
              <w:rPr>
                <w:sz w:val="18"/>
              </w:rPr>
            </w:pPr>
            <w:r>
              <w:rPr>
                <w:sz w:val="18"/>
              </w:rPr>
              <w:t>5,568,101,387.80</w:t>
            </w:r>
          </w:p>
        </w:tc>
      </w:tr>
      <w:tr>
        <w:trPr>
          <w:trHeight w:val="366" w:hRule="atLeast"/>
        </w:trPr>
        <w:tc>
          <w:tcPr>
            <w:tcW w:w="67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卢布</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74"/>
              <w:ind w:left="393"/>
              <w:rPr>
                <w:sz w:val="18"/>
              </w:rPr>
            </w:pPr>
            <w:r>
              <w:rPr>
                <w:sz w:val="18"/>
              </w:rPr>
              <w:t>500,000,000.00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74"/>
              <w:ind w:left="144"/>
              <w:rPr>
                <w:sz w:val="18"/>
              </w:rPr>
            </w:pPr>
            <w:r>
              <w:rPr>
                <w:sz w:val="18"/>
              </w:rPr>
              <w:t>0.087700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74"/>
              <w:ind w:right="87"/>
              <w:jc w:val="right"/>
              <w:rPr>
                <w:sz w:val="18"/>
              </w:rPr>
            </w:pPr>
            <w:r>
              <w:rPr>
                <w:sz w:val="18"/>
              </w:rPr>
              <w:t>43,850,000.00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74"/>
              <w:ind w:left="300"/>
              <w:rPr>
                <w:sz w:val="18"/>
              </w:rPr>
            </w:pPr>
            <w:r>
              <w:rPr>
                <w:sz w:val="18"/>
              </w:rPr>
              <w:t>500,000,010.04</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before="74"/>
              <w:ind w:left="147"/>
              <w:rPr>
                <w:sz w:val="18"/>
              </w:rPr>
            </w:pPr>
            <w:r>
              <w:rPr>
                <w:sz w:val="18"/>
              </w:rPr>
              <w:t>0.112600</w:t>
            </w:r>
          </w:p>
        </w:tc>
        <w:tc>
          <w:tcPr>
            <w:tcW w:w="1620" w:type="dxa"/>
            <w:tcBorders>
              <w:top w:val="single" w:sz="4" w:space="0" w:color="000000"/>
              <w:left w:val="single" w:sz="4" w:space="0" w:color="000000"/>
              <w:bottom w:val="single" w:sz="4" w:space="0" w:color="000000"/>
            </w:tcBorders>
          </w:tcPr>
          <w:p>
            <w:pPr>
              <w:pStyle w:val="TableParagraph"/>
              <w:spacing w:before="74"/>
              <w:ind w:right="75"/>
              <w:jc w:val="right"/>
              <w:rPr>
                <w:sz w:val="18"/>
              </w:rPr>
            </w:pPr>
            <w:r>
              <w:rPr>
                <w:sz w:val="18"/>
              </w:rPr>
              <w:t>56,300,001.13</w:t>
            </w:r>
          </w:p>
        </w:tc>
      </w:tr>
      <w:tr>
        <w:trPr>
          <w:trHeight w:val="467" w:hRule="atLeast"/>
        </w:trPr>
        <w:tc>
          <w:tcPr>
            <w:tcW w:w="674" w:type="dxa"/>
            <w:tcBorders>
              <w:top w:val="single" w:sz="4" w:space="0" w:color="000000"/>
              <w:bottom w:val="single" w:sz="4" w:space="0" w:color="000000"/>
              <w:right w:val="single" w:sz="4" w:space="0" w:color="000000"/>
            </w:tcBorders>
          </w:tcPr>
          <w:p>
            <w:pPr>
              <w:pStyle w:val="TableParagraph"/>
              <w:ind w:left="107"/>
              <w:rPr>
                <w:rFonts w:ascii="宋体" w:eastAsia="宋体" w:hint="eastAsia"/>
                <w:sz w:val="18"/>
              </w:rPr>
            </w:pPr>
            <w:r>
              <w:rPr>
                <w:rFonts w:ascii="宋体" w:eastAsia="宋体" w:hint="eastAsia"/>
                <w:sz w:val="18"/>
              </w:rPr>
              <w:t>新西</w:t>
            </w:r>
          </w:p>
          <w:p>
            <w:pPr>
              <w:pStyle w:val="TableParagraph"/>
              <w:spacing w:line="213" w:lineRule="exact" w:before="4"/>
              <w:ind w:left="107"/>
              <w:rPr>
                <w:rFonts w:ascii="宋体" w:eastAsia="宋体" w:hint="eastAsia"/>
                <w:sz w:val="18"/>
              </w:rPr>
            </w:pPr>
            <w:r>
              <w:rPr>
                <w:rFonts w:ascii="宋体" w:eastAsia="宋体" w:hint="eastAsia"/>
                <w:sz w:val="18"/>
              </w:rPr>
              <w:t>兰元</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127"/>
              <w:ind w:left="393"/>
              <w:rPr>
                <w:sz w:val="18"/>
              </w:rPr>
            </w:pPr>
            <w:r>
              <w:rPr>
                <w:sz w:val="18"/>
              </w:rPr>
              <w:t>319,947,612.96</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127"/>
              <w:ind w:right="87"/>
              <w:jc w:val="right"/>
              <w:rPr>
                <w:sz w:val="18"/>
              </w:rPr>
            </w:pPr>
            <w:r>
              <w:rPr>
                <w:sz w:val="18"/>
              </w:rPr>
              <w:t>4.7050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127"/>
              <w:ind w:right="86"/>
              <w:jc w:val="right"/>
              <w:rPr>
                <w:sz w:val="18"/>
              </w:rPr>
            </w:pPr>
            <w:r>
              <w:rPr>
                <w:sz w:val="18"/>
              </w:rPr>
              <w:t>1,505,353,518.98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127"/>
              <w:ind w:left="300"/>
              <w:rPr>
                <w:sz w:val="18"/>
              </w:rPr>
            </w:pPr>
            <w:r>
              <w:rPr>
                <w:sz w:val="18"/>
              </w:rPr>
              <w:t>319,915,612.92</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before="127"/>
              <w:ind w:left="327"/>
              <w:rPr>
                <w:sz w:val="18"/>
              </w:rPr>
            </w:pPr>
            <w:r>
              <w:rPr>
                <w:sz w:val="18"/>
              </w:rPr>
              <w:t>4.6973</w:t>
            </w:r>
          </w:p>
        </w:tc>
        <w:tc>
          <w:tcPr>
            <w:tcW w:w="1620" w:type="dxa"/>
            <w:tcBorders>
              <w:top w:val="single" w:sz="4" w:space="0" w:color="000000"/>
              <w:left w:val="single" w:sz="4" w:space="0" w:color="000000"/>
              <w:bottom w:val="single" w:sz="4" w:space="0" w:color="000000"/>
            </w:tcBorders>
          </w:tcPr>
          <w:p>
            <w:pPr>
              <w:pStyle w:val="TableParagraph"/>
              <w:spacing w:before="127"/>
              <w:ind w:right="76"/>
              <w:jc w:val="right"/>
              <w:rPr>
                <w:sz w:val="18"/>
              </w:rPr>
            </w:pPr>
            <w:r>
              <w:rPr>
                <w:sz w:val="18"/>
              </w:rPr>
              <w:t>1,502,739,608.57</w:t>
            </w:r>
          </w:p>
        </w:tc>
      </w:tr>
      <w:tr>
        <w:trPr>
          <w:trHeight w:val="366" w:hRule="atLeast"/>
        </w:trPr>
        <w:tc>
          <w:tcPr>
            <w:tcW w:w="67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日元</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76"/>
              <w:ind w:left="259"/>
              <w:rPr>
                <w:sz w:val="18"/>
              </w:rPr>
            </w:pPr>
            <w:r>
              <w:rPr>
                <w:sz w:val="18"/>
              </w:rPr>
              <w:t>5,861,628,375.59</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76"/>
              <w:ind w:left="144"/>
              <w:rPr>
                <w:sz w:val="18"/>
              </w:rPr>
            </w:pPr>
            <w:r>
              <w:rPr>
                <w:sz w:val="18"/>
              </w:rPr>
              <w:t>0.063236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76"/>
              <w:ind w:right="85"/>
              <w:jc w:val="right"/>
              <w:rPr>
                <w:sz w:val="18"/>
              </w:rPr>
            </w:pPr>
            <w:r>
              <w:rPr>
                <w:sz w:val="18"/>
              </w:rPr>
              <w:t>370,665,931.96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620"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674"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其他</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64"/>
              <w:ind w:right="-15"/>
              <w:jc w:val="right"/>
              <w:rPr>
                <w:rFonts w:ascii="宋体"/>
                <w:sz w:val="18"/>
              </w:rPr>
            </w:pPr>
            <w:r>
              <w:rPr>
                <w:rFonts w:ascii="宋体"/>
                <w:sz w:val="18"/>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64"/>
              <w:ind w:left="115"/>
              <w:rPr>
                <w:rFonts w:ascii="宋体"/>
                <w:sz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76"/>
              <w:ind w:right="87"/>
              <w:jc w:val="right"/>
              <w:rPr>
                <w:sz w:val="18"/>
              </w:rPr>
            </w:pPr>
            <w:r>
              <w:rPr>
                <w:sz w:val="18"/>
              </w:rPr>
              <w:t>14,544,951.38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64"/>
              <w:ind w:right="-15"/>
              <w:jc w:val="right"/>
              <w:rPr>
                <w:rFonts w:ascii="宋体"/>
                <w:sz w:val="18"/>
              </w:rPr>
            </w:pPr>
            <w:r>
              <w:rPr>
                <w:rFonts w:ascii="宋体"/>
                <w:sz w:val="18"/>
              </w:rPr>
              <w:t> </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before="64"/>
              <w:ind w:right="-15"/>
              <w:jc w:val="right"/>
              <w:rPr>
                <w:rFonts w:ascii="宋体"/>
                <w:sz w:val="18"/>
              </w:rPr>
            </w:pPr>
            <w:r>
              <w:rPr>
                <w:rFonts w:ascii="宋体"/>
                <w:sz w:val="18"/>
              </w:rPr>
              <w:t> </w:t>
            </w:r>
          </w:p>
        </w:tc>
        <w:tc>
          <w:tcPr>
            <w:tcW w:w="1620" w:type="dxa"/>
            <w:tcBorders>
              <w:top w:val="single" w:sz="4" w:space="0" w:color="000000"/>
              <w:left w:val="single" w:sz="4" w:space="0" w:color="000000"/>
              <w:bottom w:val="single" w:sz="4" w:space="0" w:color="000000"/>
            </w:tcBorders>
          </w:tcPr>
          <w:p>
            <w:pPr>
              <w:pStyle w:val="TableParagraph"/>
              <w:spacing w:before="76"/>
              <w:ind w:right="75"/>
              <w:jc w:val="right"/>
              <w:rPr>
                <w:sz w:val="18"/>
              </w:rPr>
            </w:pPr>
            <w:r>
              <w:rPr>
                <w:sz w:val="18"/>
              </w:rPr>
              <w:t>22,348,282.12</w:t>
            </w:r>
          </w:p>
        </w:tc>
      </w:tr>
      <w:tr>
        <w:trPr>
          <w:trHeight w:val="366" w:hRule="atLeast"/>
        </w:trPr>
        <w:tc>
          <w:tcPr>
            <w:tcW w:w="674" w:type="dxa"/>
            <w:tcBorders>
              <w:top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小计</w:t>
            </w:r>
          </w:p>
        </w:tc>
        <w:tc>
          <w:tcPr>
            <w:tcW w:w="1618" w:type="dxa"/>
            <w:tcBorders>
              <w:top w:val="single" w:sz="4" w:space="0" w:color="000000"/>
              <w:left w:val="single" w:sz="4" w:space="0" w:color="000000"/>
              <w:right w:val="single" w:sz="4" w:space="0" w:color="000000"/>
            </w:tcBorders>
          </w:tcPr>
          <w:p>
            <w:pPr>
              <w:pStyle w:val="TableParagraph"/>
              <w:spacing w:before="64"/>
              <w:ind w:right="-15"/>
              <w:jc w:val="right"/>
              <w:rPr>
                <w:rFonts w:ascii="宋体"/>
                <w:sz w:val="18"/>
              </w:rPr>
            </w:pPr>
            <w:r>
              <w:rPr>
                <w:rFonts w:ascii="宋体"/>
                <w:sz w:val="18"/>
              </w:rPr>
              <w:t> </w:t>
            </w:r>
          </w:p>
        </w:tc>
        <w:tc>
          <w:tcPr>
            <w:tcW w:w="919" w:type="dxa"/>
            <w:tcBorders>
              <w:top w:val="single" w:sz="4" w:space="0" w:color="000000"/>
              <w:left w:val="single" w:sz="4" w:space="0" w:color="000000"/>
              <w:right w:val="single" w:sz="4" w:space="0" w:color="000000"/>
            </w:tcBorders>
          </w:tcPr>
          <w:p>
            <w:pPr>
              <w:pStyle w:val="TableParagraph"/>
              <w:spacing w:before="64"/>
              <w:ind w:left="115"/>
              <w:rPr>
                <w:rFonts w:ascii="宋体"/>
                <w:sz w:val="18"/>
              </w:rPr>
            </w:pPr>
            <w:r>
              <w:rPr>
                <w:rFonts w:ascii="宋体"/>
                <w:sz w:val="18"/>
              </w:rPr>
              <w:t> </w:t>
            </w:r>
          </w:p>
        </w:tc>
        <w:tc>
          <w:tcPr>
            <w:tcW w:w="1620" w:type="dxa"/>
            <w:tcBorders>
              <w:top w:val="single" w:sz="4" w:space="0" w:color="000000"/>
              <w:left w:val="single" w:sz="4" w:space="0" w:color="000000"/>
              <w:right w:val="single" w:sz="4" w:space="0" w:color="000000"/>
            </w:tcBorders>
          </w:tcPr>
          <w:p>
            <w:pPr>
              <w:pStyle w:val="TableParagraph"/>
              <w:spacing w:before="76"/>
              <w:ind w:right="86"/>
              <w:jc w:val="right"/>
              <w:rPr>
                <w:sz w:val="18"/>
              </w:rPr>
            </w:pPr>
            <w:r>
              <w:rPr>
                <w:sz w:val="18"/>
              </w:rPr>
              <w:t>11,821,416,259.82</w:t>
            </w:r>
          </w:p>
        </w:tc>
        <w:tc>
          <w:tcPr>
            <w:tcW w:w="1524" w:type="dxa"/>
            <w:tcBorders>
              <w:top w:val="single" w:sz="4" w:space="0" w:color="000000"/>
              <w:left w:val="single" w:sz="4" w:space="0" w:color="000000"/>
              <w:right w:val="single" w:sz="4" w:space="0" w:color="000000"/>
            </w:tcBorders>
          </w:tcPr>
          <w:p>
            <w:pPr>
              <w:pStyle w:val="TableParagraph"/>
              <w:spacing w:before="64"/>
              <w:ind w:right="-15"/>
              <w:jc w:val="right"/>
              <w:rPr>
                <w:rFonts w:ascii="宋体"/>
                <w:sz w:val="18"/>
              </w:rPr>
            </w:pPr>
            <w:r>
              <w:rPr>
                <w:rFonts w:ascii="宋体"/>
                <w:sz w:val="18"/>
              </w:rPr>
              <w:t> </w:t>
            </w:r>
          </w:p>
        </w:tc>
        <w:tc>
          <w:tcPr>
            <w:tcW w:w="920" w:type="dxa"/>
            <w:tcBorders>
              <w:top w:val="single" w:sz="4" w:space="0" w:color="000000"/>
              <w:left w:val="single" w:sz="4" w:space="0" w:color="000000"/>
              <w:right w:val="single" w:sz="4" w:space="0" w:color="000000"/>
            </w:tcBorders>
          </w:tcPr>
          <w:p>
            <w:pPr>
              <w:pStyle w:val="TableParagraph"/>
              <w:spacing w:before="64"/>
              <w:ind w:right="-15"/>
              <w:jc w:val="right"/>
              <w:rPr>
                <w:rFonts w:ascii="宋体"/>
                <w:sz w:val="18"/>
              </w:rPr>
            </w:pPr>
            <w:r>
              <w:rPr>
                <w:rFonts w:ascii="宋体"/>
                <w:sz w:val="18"/>
              </w:rPr>
              <w:t> </w:t>
            </w:r>
          </w:p>
        </w:tc>
        <w:tc>
          <w:tcPr>
            <w:tcW w:w="1620" w:type="dxa"/>
            <w:tcBorders>
              <w:top w:val="single" w:sz="4" w:space="0" w:color="000000"/>
              <w:left w:val="single" w:sz="4" w:space="0" w:color="000000"/>
            </w:tcBorders>
          </w:tcPr>
          <w:p>
            <w:pPr>
              <w:pStyle w:val="TableParagraph"/>
              <w:spacing w:before="76"/>
              <w:ind w:right="76"/>
              <w:jc w:val="right"/>
              <w:rPr>
                <w:sz w:val="18"/>
              </w:rPr>
            </w:pPr>
            <w:r>
              <w:rPr>
                <w:sz w:val="18"/>
              </w:rPr>
              <w:t>13,263,789,337.90</w:t>
            </w:r>
          </w:p>
        </w:tc>
      </w:tr>
    </w:tbl>
    <w:p>
      <w:pPr>
        <w:pStyle w:val="BodyText"/>
        <w:spacing w:before="5"/>
        <w:rPr>
          <w:rFonts w:ascii="Times New Roman"/>
          <w:sz w:val="20"/>
        </w:rPr>
      </w:pPr>
    </w:p>
    <w:p>
      <w:pPr>
        <w:pStyle w:val="Heading4"/>
        <w:spacing w:line="359" w:lineRule="exact" w:before="2"/>
      </w:pPr>
      <w:r>
        <w:rPr/>
        <w:t>八、 合并范围的变更</w:t>
      </w:r>
    </w:p>
    <w:p>
      <w:pPr>
        <w:pStyle w:val="Heading4"/>
        <w:spacing w:line="359" w:lineRule="exact"/>
      </w:pPr>
      <w:r>
        <w:rPr>
          <w:rFonts w:ascii="Times New Roman" w:eastAsia="Times New Roman"/>
        </w:rPr>
        <w:t>1</w:t>
      </w:r>
      <w:r>
        <w:rPr/>
        <w:t>、 非同一控制下企业合并</w:t>
      </w:r>
    </w:p>
    <w:p>
      <w:pPr>
        <w:pStyle w:val="BodyText"/>
        <w:spacing w:line="265" w:lineRule="exact" w:before="17"/>
        <w:ind w:left="1538"/>
      </w:pPr>
      <w:r>
        <w:rPr/>
        <w:t>√适用 □不适用</w:t>
      </w:r>
    </w:p>
    <w:p>
      <w:pPr>
        <w:pStyle w:val="Heading4"/>
        <w:numPr>
          <w:ilvl w:val="0"/>
          <w:numId w:val="66"/>
        </w:numPr>
        <w:tabs>
          <w:tab w:pos="1966" w:val="left" w:leader="none"/>
        </w:tabs>
        <w:spacing w:line="383" w:lineRule="exact" w:before="0" w:after="0"/>
        <w:ind w:left="1965" w:right="0" w:hanging="428"/>
        <w:jc w:val="left"/>
      </w:pPr>
      <w:r>
        <w:rPr>
          <w:spacing w:val="-2"/>
        </w:rPr>
        <w:t>本期发生的非同一控制下企业合并</w:t>
      </w:r>
    </w:p>
    <w:p>
      <w:pPr>
        <w:pStyle w:val="BodyText"/>
        <w:spacing w:before="15"/>
        <w:ind w:left="1538"/>
      </w:pPr>
      <w:r>
        <w:rPr/>
        <w:t>√适用 □不适用</w:t>
      </w:r>
    </w:p>
    <w:p>
      <w:pPr>
        <w:pStyle w:val="BodyText"/>
        <w:tabs>
          <w:tab w:pos="9111" w:val="left" w:leader="none"/>
        </w:tabs>
        <w:spacing w:before="4"/>
        <w:ind w:left="8059"/>
      </w:pPr>
      <w:r>
        <w:rPr/>
        <w:t>单位：元</w:t>
        <w:tab/>
        <w:t>币</w:t>
      </w:r>
      <w:r>
        <w:rPr>
          <w:spacing w:val="-3"/>
        </w:rPr>
        <w:t>种</w:t>
      </w:r>
      <w:r>
        <w:rPr/>
        <w:t>：</w:t>
      </w:r>
      <w:r>
        <w:rPr>
          <w:spacing w:val="-3"/>
        </w:rPr>
        <w:t>人</w:t>
      </w:r>
      <w:r>
        <w:rPr/>
        <w:t>民币</w:t>
      </w:r>
    </w:p>
    <w:tbl>
      <w:tblPr>
        <w:tblW w:w="0" w:type="auto"/>
        <w:jc w:val="left"/>
        <w:tblInd w:w="8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02"/>
        <w:gridCol w:w="847"/>
        <w:gridCol w:w="1340"/>
        <w:gridCol w:w="833"/>
        <w:gridCol w:w="845"/>
        <w:gridCol w:w="806"/>
        <w:gridCol w:w="984"/>
        <w:gridCol w:w="1342"/>
        <w:gridCol w:w="1250"/>
      </w:tblGrid>
      <w:tr>
        <w:trPr>
          <w:trHeight w:val="954" w:hRule="atLeast"/>
        </w:trPr>
        <w:tc>
          <w:tcPr>
            <w:tcW w:w="1402" w:type="dxa"/>
            <w:tcBorders>
              <w:bottom w:val="single" w:sz="4" w:space="0" w:color="000000"/>
              <w:right w:val="single" w:sz="4" w:space="0" w:color="000000"/>
            </w:tcBorders>
          </w:tcPr>
          <w:p>
            <w:pPr>
              <w:pStyle w:val="TableParagraph"/>
              <w:spacing w:before="7"/>
              <w:rPr>
                <w:rFonts w:ascii="宋体"/>
                <w:sz w:val="23"/>
              </w:rPr>
            </w:pPr>
          </w:p>
          <w:p>
            <w:pPr>
              <w:pStyle w:val="TableParagraph"/>
              <w:ind w:left="155"/>
              <w:rPr>
                <w:rFonts w:ascii="Microsoft JhengHei" w:eastAsia="Microsoft JhengHei" w:hint="eastAsia"/>
                <w:b/>
                <w:sz w:val="18"/>
              </w:rPr>
            </w:pPr>
            <w:r>
              <w:rPr>
                <w:rFonts w:ascii="Microsoft JhengHei" w:eastAsia="Microsoft JhengHei" w:hint="eastAsia"/>
                <w:b/>
                <w:sz w:val="18"/>
              </w:rPr>
              <w:t>被购买方名称</w:t>
            </w:r>
          </w:p>
        </w:tc>
        <w:tc>
          <w:tcPr>
            <w:tcW w:w="847" w:type="dxa"/>
            <w:tcBorders>
              <w:left w:val="single" w:sz="4" w:space="0" w:color="000000"/>
              <w:bottom w:val="single" w:sz="4" w:space="0" w:color="000000"/>
              <w:right w:val="single" w:sz="4" w:space="0" w:color="000000"/>
            </w:tcBorders>
          </w:tcPr>
          <w:p>
            <w:pPr>
              <w:pStyle w:val="TableParagraph"/>
              <w:spacing w:before="10"/>
              <w:rPr>
                <w:rFonts w:ascii="宋体"/>
                <w:sz w:val="19"/>
              </w:rPr>
            </w:pPr>
          </w:p>
          <w:p>
            <w:pPr>
              <w:pStyle w:val="TableParagraph"/>
              <w:spacing w:line="170" w:lineRule="auto"/>
              <w:ind w:left="158" w:right="134"/>
              <w:rPr>
                <w:rFonts w:ascii="Microsoft JhengHei" w:eastAsia="Microsoft JhengHei" w:hint="eastAsia"/>
                <w:b/>
                <w:sz w:val="18"/>
              </w:rPr>
            </w:pPr>
            <w:r>
              <w:rPr>
                <w:rFonts w:ascii="Microsoft JhengHei" w:eastAsia="Microsoft JhengHei" w:hint="eastAsia"/>
                <w:b/>
                <w:sz w:val="18"/>
              </w:rPr>
              <w:t>股权取得时点</w:t>
            </w:r>
          </w:p>
        </w:tc>
        <w:tc>
          <w:tcPr>
            <w:tcW w:w="1340" w:type="dxa"/>
            <w:tcBorders>
              <w:left w:val="single" w:sz="4" w:space="0" w:color="000000"/>
              <w:bottom w:val="single" w:sz="4" w:space="0" w:color="000000"/>
              <w:right w:val="single" w:sz="4" w:space="0" w:color="000000"/>
            </w:tcBorders>
          </w:tcPr>
          <w:p>
            <w:pPr>
              <w:pStyle w:val="TableParagraph"/>
              <w:spacing w:before="7"/>
              <w:rPr>
                <w:rFonts w:ascii="宋体"/>
                <w:sz w:val="23"/>
              </w:rPr>
            </w:pPr>
          </w:p>
          <w:p>
            <w:pPr>
              <w:pStyle w:val="TableParagraph"/>
              <w:ind w:right="109"/>
              <w:jc w:val="right"/>
              <w:rPr>
                <w:rFonts w:ascii="Microsoft JhengHei" w:eastAsia="Microsoft JhengHei" w:hint="eastAsia"/>
                <w:b/>
                <w:sz w:val="18"/>
              </w:rPr>
            </w:pPr>
            <w:r>
              <w:rPr>
                <w:rFonts w:ascii="Microsoft JhengHei" w:eastAsia="Microsoft JhengHei" w:hint="eastAsia"/>
                <w:b/>
                <w:sz w:val="18"/>
              </w:rPr>
              <w:t>股权取得成本</w:t>
            </w:r>
          </w:p>
        </w:tc>
        <w:tc>
          <w:tcPr>
            <w:tcW w:w="833" w:type="dxa"/>
            <w:tcBorders>
              <w:left w:val="single" w:sz="4" w:space="0" w:color="000000"/>
              <w:bottom w:val="single" w:sz="4" w:space="0" w:color="000000"/>
              <w:right w:val="single" w:sz="4" w:space="0" w:color="000000"/>
            </w:tcBorders>
          </w:tcPr>
          <w:p>
            <w:pPr>
              <w:pStyle w:val="TableParagraph"/>
              <w:spacing w:line="168" w:lineRule="auto" w:before="141"/>
              <w:ind w:left="153" w:right="125"/>
              <w:rPr>
                <w:rFonts w:ascii="Microsoft JhengHei" w:eastAsia="Microsoft JhengHei" w:hint="eastAsia"/>
                <w:b/>
                <w:sz w:val="18"/>
              </w:rPr>
            </w:pPr>
            <w:r>
              <w:rPr>
                <w:rFonts w:ascii="Microsoft JhengHei" w:eastAsia="Microsoft JhengHei" w:hint="eastAsia"/>
                <w:b/>
                <w:spacing w:val="-6"/>
                <w:sz w:val="18"/>
              </w:rPr>
              <w:t>股权取得比例</w:t>
            </w:r>
          </w:p>
          <w:p>
            <w:pPr>
              <w:pStyle w:val="TableParagraph"/>
              <w:spacing w:line="261" w:lineRule="exact"/>
              <w:ind w:left="153"/>
              <w:rPr>
                <w:rFonts w:ascii="Microsoft JhengHei" w:eastAsia="Microsoft JhengHei" w:hint="eastAsia"/>
                <w:b/>
                <w:sz w:val="18"/>
              </w:rPr>
            </w:pPr>
            <w:r>
              <w:rPr>
                <w:rFonts w:ascii="Microsoft JhengHei" w:eastAsia="Microsoft JhengHei" w:hint="eastAsia"/>
                <w:b/>
                <w:sz w:val="18"/>
              </w:rPr>
              <w:t>（</w:t>
            </w:r>
            <w:r>
              <w:rPr>
                <w:b/>
                <w:sz w:val="18"/>
              </w:rPr>
              <w:t>%</w:t>
            </w:r>
            <w:r>
              <w:rPr>
                <w:rFonts w:ascii="Microsoft JhengHei" w:eastAsia="Microsoft JhengHei" w:hint="eastAsia"/>
                <w:b/>
                <w:sz w:val="18"/>
              </w:rPr>
              <w:t>）</w:t>
            </w:r>
          </w:p>
        </w:tc>
        <w:tc>
          <w:tcPr>
            <w:tcW w:w="845" w:type="dxa"/>
            <w:tcBorders>
              <w:left w:val="single" w:sz="4" w:space="0" w:color="000000"/>
              <w:bottom w:val="single" w:sz="4" w:space="0" w:color="000000"/>
              <w:right w:val="single" w:sz="4" w:space="0" w:color="000000"/>
            </w:tcBorders>
          </w:tcPr>
          <w:p>
            <w:pPr>
              <w:pStyle w:val="TableParagraph"/>
              <w:spacing w:before="10"/>
              <w:rPr>
                <w:rFonts w:ascii="宋体"/>
                <w:sz w:val="19"/>
              </w:rPr>
            </w:pPr>
          </w:p>
          <w:p>
            <w:pPr>
              <w:pStyle w:val="TableParagraph"/>
              <w:spacing w:line="170" w:lineRule="auto"/>
              <w:ind w:left="160" w:right="130"/>
              <w:rPr>
                <w:rFonts w:ascii="Microsoft JhengHei" w:eastAsia="Microsoft JhengHei" w:hint="eastAsia"/>
                <w:b/>
                <w:sz w:val="18"/>
              </w:rPr>
            </w:pPr>
            <w:r>
              <w:rPr>
                <w:rFonts w:ascii="Microsoft JhengHei" w:eastAsia="Microsoft JhengHei" w:hint="eastAsia"/>
                <w:b/>
                <w:sz w:val="18"/>
              </w:rPr>
              <w:t>股权取得方式</w:t>
            </w:r>
          </w:p>
        </w:tc>
        <w:tc>
          <w:tcPr>
            <w:tcW w:w="806" w:type="dxa"/>
            <w:tcBorders>
              <w:left w:val="single" w:sz="4" w:space="0" w:color="000000"/>
              <w:bottom w:val="single" w:sz="4" w:space="0" w:color="000000"/>
              <w:right w:val="single" w:sz="4" w:space="0" w:color="000000"/>
            </w:tcBorders>
          </w:tcPr>
          <w:p>
            <w:pPr>
              <w:pStyle w:val="TableParagraph"/>
              <w:spacing w:before="7"/>
              <w:rPr>
                <w:rFonts w:ascii="宋体"/>
                <w:sz w:val="23"/>
              </w:rPr>
            </w:pPr>
          </w:p>
          <w:p>
            <w:pPr>
              <w:pStyle w:val="TableParagraph"/>
              <w:ind w:left="141"/>
              <w:rPr>
                <w:rFonts w:ascii="Microsoft JhengHei" w:eastAsia="Microsoft JhengHei" w:hint="eastAsia"/>
                <w:b/>
                <w:sz w:val="18"/>
              </w:rPr>
            </w:pPr>
            <w:r>
              <w:rPr>
                <w:rFonts w:ascii="Microsoft JhengHei" w:eastAsia="Microsoft JhengHei" w:hint="eastAsia"/>
                <w:b/>
                <w:sz w:val="18"/>
              </w:rPr>
              <w:t>购买日</w:t>
            </w:r>
          </w:p>
        </w:tc>
        <w:tc>
          <w:tcPr>
            <w:tcW w:w="984" w:type="dxa"/>
            <w:tcBorders>
              <w:left w:val="single" w:sz="4" w:space="0" w:color="000000"/>
              <w:bottom w:val="single" w:sz="4" w:space="0" w:color="000000"/>
              <w:right w:val="single" w:sz="4" w:space="0" w:color="000000"/>
            </w:tcBorders>
          </w:tcPr>
          <w:p>
            <w:pPr>
              <w:pStyle w:val="TableParagraph"/>
              <w:spacing w:before="10"/>
              <w:rPr>
                <w:rFonts w:ascii="宋体"/>
                <w:sz w:val="19"/>
              </w:rPr>
            </w:pPr>
          </w:p>
          <w:p>
            <w:pPr>
              <w:pStyle w:val="TableParagraph"/>
              <w:spacing w:line="170" w:lineRule="auto"/>
              <w:ind w:left="139" w:right="110"/>
              <w:rPr>
                <w:rFonts w:ascii="Microsoft JhengHei" w:eastAsia="Microsoft JhengHei" w:hint="eastAsia"/>
                <w:b/>
                <w:sz w:val="18"/>
              </w:rPr>
            </w:pPr>
            <w:r>
              <w:rPr>
                <w:rFonts w:ascii="Microsoft JhengHei" w:eastAsia="Microsoft JhengHei" w:hint="eastAsia"/>
                <w:b/>
                <w:sz w:val="18"/>
              </w:rPr>
              <w:t>购买日的确定依据</w:t>
            </w:r>
          </w:p>
        </w:tc>
        <w:tc>
          <w:tcPr>
            <w:tcW w:w="1342" w:type="dxa"/>
            <w:tcBorders>
              <w:left w:val="single" w:sz="4" w:space="0" w:color="000000"/>
              <w:bottom w:val="single" w:sz="4" w:space="0" w:color="000000"/>
              <w:right w:val="single" w:sz="4" w:space="0" w:color="000000"/>
            </w:tcBorders>
          </w:tcPr>
          <w:p>
            <w:pPr>
              <w:pStyle w:val="TableParagraph"/>
              <w:spacing w:line="168" w:lineRule="auto" w:before="141"/>
              <w:ind w:left="137" w:right="108"/>
              <w:jc w:val="center"/>
              <w:rPr>
                <w:rFonts w:ascii="Microsoft JhengHei" w:eastAsia="Microsoft JhengHei" w:hint="eastAsia"/>
                <w:b/>
                <w:sz w:val="18"/>
              </w:rPr>
            </w:pPr>
            <w:r>
              <w:rPr>
                <w:rFonts w:ascii="Microsoft JhengHei" w:eastAsia="Microsoft JhengHei" w:hint="eastAsia"/>
                <w:b/>
                <w:sz w:val="18"/>
              </w:rPr>
              <w:t>购买日至期末被购买方的收入</w:t>
            </w:r>
          </w:p>
        </w:tc>
        <w:tc>
          <w:tcPr>
            <w:tcW w:w="1250" w:type="dxa"/>
            <w:tcBorders>
              <w:left w:val="single" w:sz="4" w:space="0" w:color="000000"/>
              <w:bottom w:val="single" w:sz="4" w:space="0" w:color="000000"/>
            </w:tcBorders>
          </w:tcPr>
          <w:p>
            <w:pPr>
              <w:pStyle w:val="TableParagraph"/>
              <w:spacing w:line="168" w:lineRule="auto" w:before="141"/>
              <w:ind w:left="182" w:right="143"/>
              <w:jc w:val="both"/>
              <w:rPr>
                <w:rFonts w:ascii="Microsoft JhengHei" w:eastAsia="Microsoft JhengHei" w:hint="eastAsia"/>
                <w:b/>
                <w:sz w:val="18"/>
              </w:rPr>
            </w:pPr>
            <w:r>
              <w:rPr>
                <w:rFonts w:ascii="Microsoft JhengHei" w:eastAsia="Microsoft JhengHei" w:hint="eastAsia"/>
                <w:b/>
                <w:sz w:val="18"/>
              </w:rPr>
              <w:t>购买日至期末被购买方的净利润</w:t>
            </w:r>
          </w:p>
        </w:tc>
      </w:tr>
      <w:tr>
        <w:trPr>
          <w:trHeight w:val="700" w:hRule="atLeast"/>
        </w:trPr>
        <w:tc>
          <w:tcPr>
            <w:tcW w:w="1402" w:type="dxa"/>
            <w:tcBorders>
              <w:top w:val="single" w:sz="4" w:space="0" w:color="000000"/>
              <w:bottom w:val="single" w:sz="4" w:space="0" w:color="000000"/>
              <w:right w:val="single" w:sz="4" w:space="0" w:color="000000"/>
            </w:tcBorders>
          </w:tcPr>
          <w:p>
            <w:pPr>
              <w:pStyle w:val="TableParagraph"/>
              <w:spacing w:line="230" w:lineRule="atLeast" w:before="2"/>
              <w:ind w:left="105" w:right="196"/>
              <w:jc w:val="both"/>
              <w:rPr>
                <w:rFonts w:ascii="宋体" w:eastAsia="宋体" w:hint="eastAsia"/>
                <w:sz w:val="18"/>
              </w:rPr>
            </w:pPr>
            <w:r>
              <w:rPr>
                <w:rFonts w:ascii="宋体" w:eastAsia="宋体" w:hint="eastAsia"/>
                <w:sz w:val="18"/>
              </w:rPr>
              <w:t>青岛日日顺乐家物联科技有限公司</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before="2"/>
              <w:ind w:left="115"/>
              <w:rPr>
                <w:rFonts w:ascii="宋体" w:eastAsia="宋体" w:hint="eastAsia"/>
                <w:sz w:val="18"/>
              </w:rPr>
            </w:pPr>
            <w:r>
              <w:rPr>
                <w:sz w:val="18"/>
              </w:rPr>
              <w:t>2020 </w:t>
            </w:r>
            <w:r>
              <w:rPr>
                <w:rFonts w:ascii="宋体" w:eastAsia="宋体" w:hint="eastAsia"/>
                <w:sz w:val="18"/>
              </w:rPr>
              <w:t>年</w:t>
            </w:r>
          </w:p>
          <w:p>
            <w:pPr>
              <w:pStyle w:val="TableParagraph"/>
              <w:spacing w:before="2"/>
              <w:ind w:left="115"/>
              <w:rPr>
                <w:rFonts w:ascii="宋体" w:eastAsia="宋体" w:hint="eastAsia"/>
                <w:sz w:val="18"/>
              </w:rPr>
            </w:pPr>
            <w:r>
              <w:rPr>
                <w:sz w:val="18"/>
              </w:rPr>
              <w:t>1 </w:t>
            </w:r>
            <w:r>
              <w:rPr>
                <w:rFonts w:ascii="宋体" w:eastAsia="宋体" w:hint="eastAsia"/>
                <w:sz w:val="18"/>
              </w:rPr>
              <w:t>月</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before="11"/>
              <w:rPr>
                <w:rFonts w:ascii="宋体"/>
                <w:sz w:val="18"/>
              </w:rPr>
            </w:pPr>
          </w:p>
          <w:p>
            <w:pPr>
              <w:pStyle w:val="TableParagraph"/>
              <w:ind w:right="87"/>
              <w:jc w:val="right"/>
              <w:rPr>
                <w:sz w:val="18"/>
              </w:rPr>
            </w:pPr>
            <w:r>
              <w:rPr>
                <w:sz w:val="18"/>
              </w:rPr>
              <w:t>578,514,747.42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before="11"/>
              <w:rPr>
                <w:rFonts w:ascii="宋体"/>
                <w:sz w:val="18"/>
              </w:rPr>
            </w:pPr>
          </w:p>
          <w:p>
            <w:pPr>
              <w:pStyle w:val="TableParagraph"/>
              <w:ind w:right="85"/>
              <w:jc w:val="right"/>
              <w:rPr>
                <w:sz w:val="18"/>
              </w:rPr>
            </w:pPr>
            <w:r>
              <w:rPr>
                <w:sz w:val="18"/>
              </w:rPr>
              <w:t>79.82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2"/>
              <w:ind w:left="117"/>
              <w:rPr>
                <w:rFonts w:ascii="宋体" w:eastAsia="宋体" w:hint="eastAsia"/>
                <w:sz w:val="18"/>
              </w:rPr>
            </w:pPr>
            <w:r>
              <w:rPr>
                <w:rFonts w:ascii="宋体" w:eastAsia="宋体" w:hint="eastAsia"/>
                <w:sz w:val="18"/>
              </w:rPr>
              <w:t>收购</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before="2"/>
              <w:ind w:left="117"/>
              <w:rPr>
                <w:rFonts w:ascii="宋体" w:eastAsia="宋体" w:hint="eastAsia"/>
                <w:sz w:val="18"/>
              </w:rPr>
            </w:pPr>
            <w:r>
              <w:rPr>
                <w:sz w:val="18"/>
              </w:rPr>
              <w:t>2020 </w:t>
            </w:r>
            <w:r>
              <w:rPr>
                <w:rFonts w:ascii="宋体" w:eastAsia="宋体" w:hint="eastAsia"/>
                <w:sz w:val="18"/>
              </w:rPr>
              <w:t>年</w:t>
            </w:r>
          </w:p>
          <w:p>
            <w:pPr>
              <w:pStyle w:val="TableParagraph"/>
              <w:spacing w:before="2"/>
              <w:ind w:left="117"/>
              <w:rPr>
                <w:rFonts w:ascii="宋体" w:eastAsia="宋体" w:hint="eastAsia"/>
                <w:sz w:val="18"/>
              </w:rPr>
            </w:pPr>
            <w:r>
              <w:rPr>
                <w:sz w:val="18"/>
              </w:rPr>
              <w:t>1 </w:t>
            </w:r>
            <w:r>
              <w:rPr>
                <w:rFonts w:ascii="宋体" w:eastAsia="宋体" w:hint="eastAsia"/>
                <w:sz w:val="18"/>
              </w:rPr>
              <w:t>月</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4"/>
              <w:rPr>
                <w:rFonts w:ascii="宋体"/>
                <w:sz w:val="18"/>
              </w:rPr>
            </w:pPr>
          </w:p>
          <w:p>
            <w:pPr>
              <w:pStyle w:val="TableParagraph"/>
              <w:ind w:left="117"/>
              <w:rPr>
                <w:rFonts w:ascii="宋体" w:eastAsia="宋体" w:hint="eastAsia"/>
                <w:sz w:val="18"/>
              </w:rPr>
            </w:pPr>
            <w:r>
              <w:rPr>
                <w:rFonts w:ascii="宋体" w:eastAsia="宋体" w:hint="eastAsia"/>
                <w:sz w:val="18"/>
              </w:rPr>
              <w:t>股权交割</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11"/>
              <w:rPr>
                <w:rFonts w:ascii="宋体"/>
                <w:sz w:val="18"/>
              </w:rPr>
            </w:pPr>
          </w:p>
          <w:p>
            <w:pPr>
              <w:pStyle w:val="TableParagraph"/>
              <w:ind w:right="86"/>
              <w:jc w:val="right"/>
              <w:rPr>
                <w:sz w:val="18"/>
              </w:rPr>
            </w:pPr>
            <w:r>
              <w:rPr>
                <w:sz w:val="18"/>
              </w:rPr>
              <w:t>236,315,323.00</w:t>
            </w:r>
          </w:p>
        </w:tc>
        <w:tc>
          <w:tcPr>
            <w:tcW w:w="1250" w:type="dxa"/>
            <w:tcBorders>
              <w:top w:val="single" w:sz="4" w:space="0" w:color="000000"/>
              <w:left w:val="single" w:sz="4" w:space="0" w:color="000000"/>
              <w:bottom w:val="single" w:sz="4" w:space="0" w:color="000000"/>
            </w:tcBorders>
          </w:tcPr>
          <w:p>
            <w:pPr>
              <w:pStyle w:val="TableParagraph"/>
              <w:spacing w:before="11"/>
              <w:rPr>
                <w:rFonts w:ascii="宋体"/>
                <w:sz w:val="18"/>
              </w:rPr>
            </w:pPr>
          </w:p>
          <w:p>
            <w:pPr>
              <w:pStyle w:val="TableParagraph"/>
              <w:ind w:right="75"/>
              <w:jc w:val="right"/>
              <w:rPr>
                <w:sz w:val="18"/>
              </w:rPr>
            </w:pPr>
            <w:r>
              <w:rPr>
                <w:sz w:val="18"/>
              </w:rPr>
              <w:t>40,005,633.26</w:t>
            </w:r>
          </w:p>
        </w:tc>
      </w:tr>
      <w:tr>
        <w:trPr>
          <w:trHeight w:val="467" w:hRule="atLeast"/>
        </w:trPr>
        <w:tc>
          <w:tcPr>
            <w:tcW w:w="1402" w:type="dxa"/>
            <w:tcBorders>
              <w:top w:val="single" w:sz="4" w:space="0" w:color="000000"/>
              <w:bottom w:val="single" w:sz="4" w:space="0" w:color="000000"/>
              <w:right w:val="single" w:sz="4" w:space="0" w:color="000000"/>
            </w:tcBorders>
          </w:tcPr>
          <w:p>
            <w:pPr>
              <w:pStyle w:val="TableParagraph"/>
              <w:spacing w:line="230" w:lineRule="atLeast" w:before="2"/>
              <w:ind w:left="105" w:right="196"/>
              <w:rPr>
                <w:rFonts w:ascii="宋体" w:eastAsia="宋体" w:hint="eastAsia"/>
                <w:sz w:val="18"/>
              </w:rPr>
            </w:pPr>
            <w:r>
              <w:rPr>
                <w:rFonts w:ascii="宋体" w:eastAsia="宋体" w:hint="eastAsia"/>
                <w:sz w:val="18"/>
              </w:rPr>
              <w:t>广东黑龙智能科技有限公司</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before="2"/>
              <w:ind w:left="115"/>
              <w:rPr>
                <w:rFonts w:ascii="宋体" w:eastAsia="宋体" w:hint="eastAsia"/>
                <w:sz w:val="18"/>
              </w:rPr>
            </w:pPr>
            <w:r>
              <w:rPr>
                <w:sz w:val="18"/>
              </w:rPr>
              <w:t>2020 </w:t>
            </w:r>
            <w:r>
              <w:rPr>
                <w:rFonts w:ascii="宋体" w:eastAsia="宋体" w:hint="eastAsia"/>
                <w:sz w:val="18"/>
              </w:rPr>
              <w:t>年</w:t>
            </w:r>
          </w:p>
          <w:p>
            <w:pPr>
              <w:pStyle w:val="TableParagraph"/>
              <w:spacing w:line="213" w:lineRule="exact" w:before="2"/>
              <w:ind w:left="115"/>
              <w:rPr>
                <w:rFonts w:ascii="宋体" w:eastAsia="宋体" w:hint="eastAsia"/>
                <w:sz w:val="18"/>
              </w:rPr>
            </w:pPr>
            <w:r>
              <w:rPr>
                <w:sz w:val="18"/>
              </w:rPr>
              <w:t>1 </w:t>
            </w:r>
            <w:r>
              <w:rPr>
                <w:rFonts w:ascii="宋体" w:eastAsia="宋体" w:hint="eastAsia"/>
                <w:sz w:val="18"/>
              </w:rPr>
              <w:t>月</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before="127"/>
              <w:ind w:right="87"/>
              <w:jc w:val="right"/>
              <w:rPr>
                <w:sz w:val="18"/>
              </w:rPr>
            </w:pPr>
            <w:r>
              <w:rPr>
                <w:sz w:val="18"/>
              </w:rPr>
              <w:t>35,493,500.00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before="127"/>
              <w:ind w:right="85"/>
              <w:jc w:val="right"/>
              <w:rPr>
                <w:sz w:val="18"/>
              </w:rPr>
            </w:pPr>
            <w:r>
              <w:rPr>
                <w:sz w:val="18"/>
              </w:rPr>
              <w:t>76.72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2"/>
              <w:ind w:left="117"/>
              <w:rPr>
                <w:rFonts w:ascii="宋体" w:eastAsia="宋体" w:hint="eastAsia"/>
                <w:sz w:val="18"/>
              </w:rPr>
            </w:pPr>
            <w:r>
              <w:rPr>
                <w:rFonts w:ascii="宋体" w:eastAsia="宋体" w:hint="eastAsia"/>
                <w:sz w:val="18"/>
              </w:rPr>
              <w:t>收购</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before="2"/>
              <w:ind w:left="117"/>
              <w:rPr>
                <w:rFonts w:ascii="宋体" w:eastAsia="宋体" w:hint="eastAsia"/>
                <w:sz w:val="18"/>
              </w:rPr>
            </w:pPr>
            <w:r>
              <w:rPr>
                <w:sz w:val="18"/>
              </w:rPr>
              <w:t>2020 </w:t>
            </w:r>
            <w:r>
              <w:rPr>
                <w:rFonts w:ascii="宋体" w:eastAsia="宋体" w:hint="eastAsia"/>
                <w:sz w:val="18"/>
              </w:rPr>
              <w:t>年</w:t>
            </w:r>
          </w:p>
          <w:p>
            <w:pPr>
              <w:pStyle w:val="TableParagraph"/>
              <w:spacing w:line="213" w:lineRule="exact" w:before="2"/>
              <w:ind w:left="117"/>
              <w:rPr>
                <w:rFonts w:ascii="宋体" w:eastAsia="宋体" w:hint="eastAsia"/>
                <w:sz w:val="18"/>
              </w:rPr>
            </w:pPr>
            <w:r>
              <w:rPr>
                <w:sz w:val="18"/>
              </w:rPr>
              <w:t>1 </w:t>
            </w:r>
            <w:r>
              <w:rPr>
                <w:rFonts w:ascii="宋体" w:eastAsia="宋体" w:hint="eastAsia"/>
                <w:sz w:val="18"/>
              </w:rPr>
              <w:t>月</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117"/>
              <w:ind w:left="117"/>
              <w:rPr>
                <w:rFonts w:ascii="宋体" w:eastAsia="宋体" w:hint="eastAsia"/>
                <w:sz w:val="18"/>
              </w:rPr>
            </w:pPr>
            <w:r>
              <w:rPr>
                <w:rFonts w:ascii="宋体" w:eastAsia="宋体" w:hint="eastAsia"/>
                <w:sz w:val="18"/>
              </w:rPr>
              <w:t>股权交割</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127"/>
              <w:ind w:right="86"/>
              <w:jc w:val="right"/>
              <w:rPr>
                <w:sz w:val="18"/>
              </w:rPr>
            </w:pPr>
            <w:r>
              <w:rPr>
                <w:sz w:val="18"/>
              </w:rPr>
              <w:t>36,835,381.31</w:t>
            </w:r>
          </w:p>
        </w:tc>
        <w:tc>
          <w:tcPr>
            <w:tcW w:w="1250" w:type="dxa"/>
            <w:tcBorders>
              <w:top w:val="single" w:sz="4" w:space="0" w:color="000000"/>
              <w:left w:val="single" w:sz="4" w:space="0" w:color="000000"/>
              <w:bottom w:val="single" w:sz="4" w:space="0" w:color="000000"/>
            </w:tcBorders>
          </w:tcPr>
          <w:p>
            <w:pPr>
              <w:pStyle w:val="TableParagraph"/>
              <w:spacing w:before="127"/>
              <w:ind w:right="75"/>
              <w:jc w:val="right"/>
              <w:rPr>
                <w:sz w:val="18"/>
              </w:rPr>
            </w:pPr>
            <w:r>
              <w:rPr>
                <w:sz w:val="18"/>
              </w:rPr>
              <w:t>-4,228,240.28</w:t>
            </w:r>
          </w:p>
        </w:tc>
      </w:tr>
      <w:tr>
        <w:trPr>
          <w:trHeight w:val="465" w:hRule="atLeast"/>
        </w:trPr>
        <w:tc>
          <w:tcPr>
            <w:tcW w:w="1402" w:type="dxa"/>
            <w:tcBorders>
              <w:top w:val="single" w:sz="4" w:space="0" w:color="000000"/>
              <w:right w:val="single" w:sz="4" w:space="0" w:color="000000"/>
            </w:tcBorders>
          </w:tcPr>
          <w:p>
            <w:pPr>
              <w:pStyle w:val="TableParagraph"/>
              <w:spacing w:line="230" w:lineRule="exact"/>
              <w:ind w:left="105"/>
              <w:rPr>
                <w:rFonts w:ascii="宋体" w:eastAsia="宋体" w:hint="eastAsia"/>
                <w:sz w:val="18"/>
              </w:rPr>
            </w:pPr>
            <w:r>
              <w:rPr>
                <w:rFonts w:ascii="宋体" w:eastAsia="宋体" w:hint="eastAsia"/>
                <w:sz w:val="18"/>
              </w:rPr>
              <w:t>青岛海瑞洁净</w:t>
            </w:r>
          </w:p>
          <w:p>
            <w:pPr>
              <w:pStyle w:val="TableParagraph"/>
              <w:spacing w:line="210" w:lineRule="exact" w:before="5"/>
              <w:ind w:left="105"/>
              <w:rPr>
                <w:rFonts w:ascii="宋体" w:eastAsia="宋体" w:hint="eastAsia"/>
                <w:sz w:val="18"/>
              </w:rPr>
            </w:pPr>
            <w:r>
              <w:rPr>
                <w:rFonts w:ascii="宋体" w:eastAsia="宋体" w:hint="eastAsia"/>
                <w:sz w:val="18"/>
              </w:rPr>
              <w:t>电子有限公司</w:t>
            </w:r>
          </w:p>
        </w:tc>
        <w:tc>
          <w:tcPr>
            <w:tcW w:w="847" w:type="dxa"/>
            <w:tcBorders>
              <w:top w:val="single" w:sz="4" w:space="0" w:color="000000"/>
              <w:left w:val="single" w:sz="4" w:space="0" w:color="000000"/>
              <w:right w:val="single" w:sz="4" w:space="0" w:color="000000"/>
            </w:tcBorders>
          </w:tcPr>
          <w:p>
            <w:pPr>
              <w:pStyle w:val="TableParagraph"/>
              <w:spacing w:line="230" w:lineRule="exact"/>
              <w:ind w:left="115"/>
              <w:rPr>
                <w:rFonts w:ascii="宋体" w:eastAsia="宋体" w:hint="eastAsia"/>
                <w:sz w:val="18"/>
              </w:rPr>
            </w:pPr>
            <w:r>
              <w:rPr>
                <w:sz w:val="18"/>
              </w:rPr>
              <w:t>2020 </w:t>
            </w:r>
            <w:r>
              <w:rPr>
                <w:rFonts w:ascii="宋体" w:eastAsia="宋体" w:hint="eastAsia"/>
                <w:sz w:val="18"/>
              </w:rPr>
              <w:t>年</w:t>
            </w:r>
          </w:p>
          <w:p>
            <w:pPr>
              <w:pStyle w:val="TableParagraph"/>
              <w:spacing w:line="210" w:lineRule="exact" w:before="5"/>
              <w:ind w:left="115"/>
              <w:rPr>
                <w:rFonts w:ascii="宋体" w:eastAsia="宋体" w:hint="eastAsia"/>
                <w:sz w:val="18"/>
              </w:rPr>
            </w:pPr>
            <w:r>
              <w:rPr>
                <w:sz w:val="18"/>
              </w:rPr>
              <w:t>7 </w:t>
            </w:r>
            <w:r>
              <w:rPr>
                <w:rFonts w:ascii="宋体" w:eastAsia="宋体" w:hint="eastAsia"/>
                <w:sz w:val="18"/>
              </w:rPr>
              <w:t>月</w:t>
            </w:r>
          </w:p>
        </w:tc>
        <w:tc>
          <w:tcPr>
            <w:tcW w:w="1340" w:type="dxa"/>
            <w:tcBorders>
              <w:top w:val="single" w:sz="4" w:space="0" w:color="000000"/>
              <w:left w:val="single" w:sz="4" w:space="0" w:color="000000"/>
              <w:right w:val="single" w:sz="4" w:space="0" w:color="000000"/>
            </w:tcBorders>
          </w:tcPr>
          <w:p>
            <w:pPr>
              <w:pStyle w:val="TableParagraph"/>
              <w:spacing w:before="125"/>
              <w:ind w:right="87"/>
              <w:jc w:val="right"/>
              <w:rPr>
                <w:sz w:val="18"/>
              </w:rPr>
            </w:pPr>
            <w:r>
              <w:rPr>
                <w:sz w:val="18"/>
              </w:rPr>
              <w:t>3,060,000.00</w:t>
            </w:r>
          </w:p>
        </w:tc>
        <w:tc>
          <w:tcPr>
            <w:tcW w:w="833" w:type="dxa"/>
            <w:tcBorders>
              <w:top w:val="single" w:sz="4" w:space="0" w:color="000000"/>
              <w:left w:val="single" w:sz="4" w:space="0" w:color="000000"/>
              <w:right w:val="single" w:sz="4" w:space="0" w:color="000000"/>
            </w:tcBorders>
          </w:tcPr>
          <w:p>
            <w:pPr>
              <w:pStyle w:val="TableParagraph"/>
              <w:spacing w:before="125"/>
              <w:ind w:right="85"/>
              <w:jc w:val="right"/>
              <w:rPr>
                <w:sz w:val="18"/>
              </w:rPr>
            </w:pPr>
            <w:r>
              <w:rPr>
                <w:sz w:val="18"/>
              </w:rPr>
              <w:t>51.00</w:t>
            </w:r>
          </w:p>
        </w:tc>
        <w:tc>
          <w:tcPr>
            <w:tcW w:w="845" w:type="dxa"/>
            <w:tcBorders>
              <w:top w:val="single" w:sz="4" w:space="0" w:color="000000"/>
              <w:left w:val="single" w:sz="4" w:space="0" w:color="000000"/>
              <w:right w:val="single" w:sz="4" w:space="0" w:color="000000"/>
            </w:tcBorders>
          </w:tcPr>
          <w:p>
            <w:pPr>
              <w:pStyle w:val="TableParagraph"/>
              <w:spacing w:line="230" w:lineRule="exact"/>
              <w:ind w:left="117"/>
              <w:rPr>
                <w:rFonts w:ascii="宋体" w:eastAsia="宋体" w:hint="eastAsia"/>
                <w:sz w:val="18"/>
              </w:rPr>
            </w:pPr>
            <w:r>
              <w:rPr>
                <w:rFonts w:ascii="宋体" w:eastAsia="宋体" w:hint="eastAsia"/>
                <w:sz w:val="18"/>
              </w:rPr>
              <w:t>收购</w:t>
            </w:r>
          </w:p>
        </w:tc>
        <w:tc>
          <w:tcPr>
            <w:tcW w:w="806" w:type="dxa"/>
            <w:tcBorders>
              <w:top w:val="single" w:sz="4" w:space="0" w:color="000000"/>
              <w:left w:val="single" w:sz="4" w:space="0" w:color="000000"/>
              <w:right w:val="single" w:sz="4" w:space="0" w:color="000000"/>
            </w:tcBorders>
          </w:tcPr>
          <w:p>
            <w:pPr>
              <w:pStyle w:val="TableParagraph"/>
              <w:spacing w:line="230" w:lineRule="exact"/>
              <w:ind w:left="117"/>
              <w:rPr>
                <w:rFonts w:ascii="宋体" w:eastAsia="宋体" w:hint="eastAsia"/>
                <w:sz w:val="18"/>
              </w:rPr>
            </w:pPr>
            <w:r>
              <w:rPr>
                <w:sz w:val="18"/>
              </w:rPr>
              <w:t>2020 </w:t>
            </w:r>
            <w:r>
              <w:rPr>
                <w:rFonts w:ascii="宋体" w:eastAsia="宋体" w:hint="eastAsia"/>
                <w:sz w:val="18"/>
              </w:rPr>
              <w:t>年</w:t>
            </w:r>
          </w:p>
          <w:p>
            <w:pPr>
              <w:pStyle w:val="TableParagraph"/>
              <w:spacing w:line="210" w:lineRule="exact" w:before="5"/>
              <w:ind w:left="117"/>
              <w:rPr>
                <w:rFonts w:ascii="宋体" w:eastAsia="宋体" w:hint="eastAsia"/>
                <w:sz w:val="18"/>
              </w:rPr>
            </w:pPr>
            <w:r>
              <w:rPr>
                <w:sz w:val="18"/>
              </w:rPr>
              <w:t>7 </w:t>
            </w:r>
            <w:r>
              <w:rPr>
                <w:rFonts w:ascii="宋体" w:eastAsia="宋体" w:hint="eastAsia"/>
                <w:sz w:val="18"/>
              </w:rPr>
              <w:t>月</w:t>
            </w:r>
          </w:p>
        </w:tc>
        <w:tc>
          <w:tcPr>
            <w:tcW w:w="984" w:type="dxa"/>
            <w:tcBorders>
              <w:top w:val="single" w:sz="4" w:space="0" w:color="000000"/>
              <w:left w:val="single" w:sz="4" w:space="0" w:color="000000"/>
              <w:right w:val="single" w:sz="4" w:space="0" w:color="000000"/>
            </w:tcBorders>
          </w:tcPr>
          <w:p>
            <w:pPr>
              <w:pStyle w:val="TableParagraph"/>
              <w:spacing w:before="117"/>
              <w:ind w:left="117"/>
              <w:rPr>
                <w:rFonts w:ascii="宋体" w:eastAsia="宋体" w:hint="eastAsia"/>
                <w:sz w:val="18"/>
              </w:rPr>
            </w:pPr>
            <w:r>
              <w:rPr>
                <w:rFonts w:ascii="宋体" w:eastAsia="宋体" w:hint="eastAsia"/>
                <w:sz w:val="18"/>
              </w:rPr>
              <w:t>股权交割</w:t>
            </w:r>
          </w:p>
        </w:tc>
        <w:tc>
          <w:tcPr>
            <w:tcW w:w="1342" w:type="dxa"/>
            <w:tcBorders>
              <w:top w:val="single" w:sz="4" w:space="0" w:color="000000"/>
              <w:left w:val="single" w:sz="4" w:space="0" w:color="000000"/>
              <w:right w:val="single" w:sz="4" w:space="0" w:color="000000"/>
            </w:tcBorders>
          </w:tcPr>
          <w:p>
            <w:pPr>
              <w:pStyle w:val="TableParagraph"/>
              <w:spacing w:before="125"/>
              <w:ind w:right="86"/>
              <w:jc w:val="right"/>
              <w:rPr>
                <w:sz w:val="18"/>
              </w:rPr>
            </w:pPr>
            <w:r>
              <w:rPr>
                <w:sz w:val="18"/>
              </w:rPr>
              <w:t>31,118,280.84</w:t>
            </w:r>
          </w:p>
        </w:tc>
        <w:tc>
          <w:tcPr>
            <w:tcW w:w="1250" w:type="dxa"/>
            <w:tcBorders>
              <w:top w:val="single" w:sz="4" w:space="0" w:color="000000"/>
              <w:left w:val="single" w:sz="4" w:space="0" w:color="000000"/>
            </w:tcBorders>
          </w:tcPr>
          <w:p>
            <w:pPr>
              <w:pStyle w:val="TableParagraph"/>
              <w:spacing w:before="125"/>
              <w:ind w:right="75"/>
              <w:jc w:val="right"/>
              <w:rPr>
                <w:sz w:val="18"/>
              </w:rPr>
            </w:pPr>
            <w:r>
              <w:rPr>
                <w:sz w:val="18"/>
              </w:rPr>
              <w:t>610,421.00</w:t>
            </w:r>
          </w:p>
        </w:tc>
      </w:tr>
    </w:tbl>
    <w:p>
      <w:pPr>
        <w:pStyle w:val="BodyText"/>
        <w:spacing w:before="9"/>
        <w:rPr>
          <w:sz w:val="17"/>
        </w:rPr>
      </w:pPr>
    </w:p>
    <w:p>
      <w:pPr>
        <w:pStyle w:val="Heading4"/>
        <w:numPr>
          <w:ilvl w:val="0"/>
          <w:numId w:val="66"/>
        </w:numPr>
        <w:tabs>
          <w:tab w:pos="1966" w:val="left" w:leader="none"/>
        </w:tabs>
        <w:spacing w:line="240" w:lineRule="auto" w:before="10" w:after="0"/>
        <w:ind w:left="1965" w:right="0" w:hanging="428"/>
        <w:jc w:val="left"/>
      </w:pPr>
      <w:r>
        <w:rPr/>
        <w:t>合并成本及商誉</w:t>
      </w:r>
    </w:p>
    <w:p>
      <w:pPr>
        <w:pStyle w:val="BodyText"/>
        <w:spacing w:before="14" w:after="4"/>
        <w:ind w:left="1538"/>
      </w:pPr>
      <w:r>
        <w:rPr>
          <w:w w:val="100"/>
        </w:rPr>
        <w:t> </w:t>
      </w:r>
    </w:p>
    <w:tbl>
      <w:tblPr>
        <w:tblW w:w="0" w:type="auto"/>
        <w:jc w:val="left"/>
        <w:tblInd w:w="169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876"/>
        <w:gridCol w:w="1702"/>
        <w:gridCol w:w="1982"/>
        <w:gridCol w:w="1985"/>
      </w:tblGrid>
      <w:tr>
        <w:trPr>
          <w:trHeight w:val="817" w:hRule="atLeast"/>
        </w:trPr>
        <w:tc>
          <w:tcPr>
            <w:tcW w:w="2876" w:type="dxa"/>
            <w:tcBorders>
              <w:bottom w:val="single" w:sz="4" w:space="0" w:color="000000"/>
              <w:right w:val="single" w:sz="4" w:space="0" w:color="000000"/>
            </w:tcBorders>
          </w:tcPr>
          <w:p>
            <w:pPr>
              <w:pStyle w:val="TableParagraph"/>
              <w:spacing w:before="12"/>
              <w:rPr>
                <w:rFonts w:ascii="宋体"/>
                <w:sz w:val="15"/>
              </w:rPr>
            </w:pPr>
          </w:p>
          <w:p>
            <w:pPr>
              <w:pStyle w:val="TableParagraph"/>
              <w:ind w:left="987" w:right="974"/>
              <w:jc w:val="center"/>
              <w:rPr>
                <w:rFonts w:ascii="Microsoft JhengHei" w:eastAsia="Microsoft JhengHei" w:hint="eastAsia"/>
                <w:b/>
                <w:sz w:val="21"/>
              </w:rPr>
            </w:pPr>
            <w:r>
              <w:rPr>
                <w:rFonts w:ascii="Microsoft JhengHei" w:eastAsia="Microsoft JhengHei" w:hint="eastAsia"/>
                <w:b/>
                <w:sz w:val="21"/>
              </w:rPr>
              <w:t>项目</w:t>
            </w:r>
          </w:p>
        </w:tc>
        <w:tc>
          <w:tcPr>
            <w:tcW w:w="1702" w:type="dxa"/>
            <w:tcBorders>
              <w:left w:val="single" w:sz="4" w:space="0" w:color="000000"/>
              <w:bottom w:val="single" w:sz="4" w:space="0" w:color="000000"/>
              <w:right w:val="single" w:sz="4" w:space="0" w:color="000000"/>
            </w:tcBorders>
          </w:tcPr>
          <w:p>
            <w:pPr>
              <w:pStyle w:val="TableParagraph"/>
              <w:spacing w:line="170" w:lineRule="auto" w:before="12"/>
              <w:ind w:left="121" w:right="89"/>
              <w:jc w:val="center"/>
              <w:rPr>
                <w:rFonts w:ascii="Microsoft JhengHei" w:eastAsia="Microsoft JhengHei" w:hint="eastAsia"/>
                <w:b/>
                <w:sz w:val="21"/>
              </w:rPr>
            </w:pPr>
            <w:r>
              <w:rPr>
                <w:rFonts w:ascii="Microsoft JhengHei" w:eastAsia="Microsoft JhengHei" w:hint="eastAsia"/>
                <w:b/>
                <w:sz w:val="21"/>
              </w:rPr>
              <w:t>青岛日日顺乐家物联科技有限公</w:t>
            </w:r>
          </w:p>
          <w:p>
            <w:pPr>
              <w:pStyle w:val="TableParagraph"/>
              <w:spacing w:line="237" w:lineRule="exact"/>
              <w:ind w:left="25"/>
              <w:jc w:val="center"/>
              <w:rPr>
                <w:rFonts w:ascii="Microsoft JhengHei" w:eastAsia="Microsoft JhengHei" w:hint="eastAsia"/>
                <w:b/>
                <w:sz w:val="21"/>
              </w:rPr>
            </w:pPr>
            <w:r>
              <w:rPr>
                <w:rFonts w:ascii="Microsoft JhengHei" w:eastAsia="Microsoft JhengHei" w:hint="eastAsia"/>
                <w:b/>
                <w:w w:val="100"/>
                <w:sz w:val="21"/>
              </w:rPr>
              <w:t>司</w:t>
            </w:r>
          </w:p>
        </w:tc>
        <w:tc>
          <w:tcPr>
            <w:tcW w:w="1982" w:type="dxa"/>
            <w:tcBorders>
              <w:left w:val="single" w:sz="4" w:space="0" w:color="000000"/>
              <w:bottom w:val="single" w:sz="4" w:space="0" w:color="000000"/>
              <w:right w:val="single" w:sz="4" w:space="0" w:color="000000"/>
            </w:tcBorders>
          </w:tcPr>
          <w:p>
            <w:pPr>
              <w:pStyle w:val="TableParagraph"/>
              <w:spacing w:line="170" w:lineRule="auto" w:before="149"/>
              <w:ind w:left="577" w:right="124" w:hanging="423"/>
              <w:rPr>
                <w:rFonts w:ascii="Microsoft JhengHei" w:eastAsia="Microsoft JhengHei" w:hint="eastAsia"/>
                <w:b/>
                <w:sz w:val="21"/>
              </w:rPr>
            </w:pPr>
            <w:r>
              <w:rPr>
                <w:rFonts w:ascii="Microsoft JhengHei" w:eastAsia="Microsoft JhengHei" w:hint="eastAsia"/>
                <w:b/>
                <w:sz w:val="21"/>
              </w:rPr>
              <w:t>广东黑龙智能科技有限公司</w:t>
            </w:r>
          </w:p>
        </w:tc>
        <w:tc>
          <w:tcPr>
            <w:tcW w:w="1985" w:type="dxa"/>
            <w:tcBorders>
              <w:left w:val="single" w:sz="4" w:space="0" w:color="000000"/>
              <w:bottom w:val="single" w:sz="4" w:space="0" w:color="000000"/>
            </w:tcBorders>
          </w:tcPr>
          <w:p>
            <w:pPr>
              <w:pStyle w:val="TableParagraph"/>
              <w:spacing w:line="170" w:lineRule="auto" w:before="149"/>
              <w:ind w:left="581" w:right="115" w:hanging="423"/>
              <w:rPr>
                <w:rFonts w:ascii="Microsoft JhengHei" w:eastAsia="Microsoft JhengHei" w:hint="eastAsia"/>
                <w:b/>
                <w:sz w:val="21"/>
              </w:rPr>
            </w:pPr>
            <w:r>
              <w:rPr>
                <w:rFonts w:ascii="Microsoft JhengHei" w:eastAsia="Microsoft JhengHei" w:hint="eastAsia"/>
                <w:b/>
                <w:sz w:val="21"/>
              </w:rPr>
              <w:t>青岛海瑞洁净电子有限公司</w:t>
            </w:r>
          </w:p>
        </w:tc>
      </w:tr>
      <w:tr>
        <w:trPr>
          <w:trHeight w:val="369" w:hRule="atLeast"/>
        </w:trPr>
        <w:tc>
          <w:tcPr>
            <w:tcW w:w="2876"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sz w:val="21"/>
              </w:rPr>
              <w:t>------</w:t>
            </w:r>
            <w:r>
              <w:rPr>
                <w:rFonts w:ascii="宋体" w:eastAsia="宋体" w:hint="eastAsia"/>
                <w:sz w:val="21"/>
              </w:rPr>
              <w:t>现金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562,420,000.00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35,493,500.00</w:t>
            </w:r>
          </w:p>
        </w:tc>
        <w:tc>
          <w:tcPr>
            <w:tcW w:w="1985" w:type="dxa"/>
            <w:tcBorders>
              <w:top w:val="single" w:sz="4" w:space="0" w:color="000000"/>
              <w:left w:val="single" w:sz="4" w:space="0" w:color="000000"/>
              <w:bottom w:val="single" w:sz="4" w:space="0" w:color="000000"/>
            </w:tcBorders>
          </w:tcPr>
          <w:p>
            <w:pPr>
              <w:pStyle w:val="TableParagraph"/>
              <w:spacing w:before="58"/>
              <w:ind w:right="73"/>
              <w:jc w:val="right"/>
              <w:rPr>
                <w:sz w:val="21"/>
              </w:rPr>
            </w:pPr>
            <w:r>
              <w:rPr>
                <w:sz w:val="21"/>
              </w:rPr>
              <w:t>3,060,000.00</w:t>
            </w:r>
          </w:p>
        </w:tc>
      </w:tr>
      <w:tr>
        <w:trPr>
          <w:trHeight w:val="369" w:hRule="atLeast"/>
        </w:trPr>
        <w:tc>
          <w:tcPr>
            <w:tcW w:w="2876"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sz w:val="21"/>
              </w:rPr>
              <w:t>------</w:t>
            </w:r>
            <w:r>
              <w:rPr>
                <w:rFonts w:ascii="宋体" w:eastAsia="宋体" w:hint="eastAsia"/>
                <w:sz w:val="21"/>
              </w:rPr>
              <w:t>或有对价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55"/>
              <w:ind w:right="84"/>
              <w:jc w:val="right"/>
              <w:rPr>
                <w:sz w:val="21"/>
              </w:rPr>
            </w:pPr>
            <w:r>
              <w:rPr>
                <w:sz w:val="21"/>
              </w:rPr>
              <w:t>16,094,747.42</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before="41"/>
              <w:ind w:right="-29"/>
              <w:jc w:val="right"/>
              <w:rPr>
                <w:rFonts w:ascii="宋体"/>
                <w:sz w:val="21"/>
              </w:rPr>
            </w:pPr>
            <w:r>
              <w:rPr>
                <w:rFonts w:ascii="宋体"/>
                <w:w w:val="100"/>
                <w:sz w:val="21"/>
              </w:rPr>
              <w:t> </w:t>
            </w:r>
          </w:p>
        </w:tc>
        <w:tc>
          <w:tcPr>
            <w:tcW w:w="1985"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2876"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合并成本合计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55"/>
              <w:ind w:right="84"/>
              <w:jc w:val="right"/>
              <w:rPr>
                <w:sz w:val="21"/>
              </w:rPr>
            </w:pPr>
            <w:r>
              <w:rPr>
                <w:sz w:val="21"/>
              </w:rPr>
              <w:t>578,514,747.42</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before="55"/>
              <w:ind w:right="83"/>
              <w:jc w:val="right"/>
              <w:rPr>
                <w:sz w:val="21"/>
              </w:rPr>
            </w:pPr>
            <w:r>
              <w:rPr>
                <w:sz w:val="21"/>
              </w:rPr>
              <w:t>35,493,500.00</w:t>
            </w:r>
          </w:p>
        </w:tc>
        <w:tc>
          <w:tcPr>
            <w:tcW w:w="1985" w:type="dxa"/>
            <w:tcBorders>
              <w:top w:val="single" w:sz="4" w:space="0" w:color="000000"/>
              <w:left w:val="single" w:sz="4" w:space="0" w:color="000000"/>
              <w:bottom w:val="single" w:sz="4" w:space="0" w:color="000000"/>
            </w:tcBorders>
          </w:tcPr>
          <w:p>
            <w:pPr>
              <w:pStyle w:val="TableParagraph"/>
              <w:spacing w:before="55"/>
              <w:ind w:right="73"/>
              <w:jc w:val="right"/>
              <w:rPr>
                <w:sz w:val="21"/>
              </w:rPr>
            </w:pPr>
            <w:r>
              <w:rPr>
                <w:sz w:val="21"/>
              </w:rPr>
              <w:t>3,060,000.00</w:t>
            </w:r>
          </w:p>
        </w:tc>
      </w:tr>
      <w:tr>
        <w:trPr>
          <w:trHeight w:val="545" w:hRule="atLeast"/>
        </w:trPr>
        <w:tc>
          <w:tcPr>
            <w:tcW w:w="2876" w:type="dxa"/>
            <w:tcBorders>
              <w:top w:val="single" w:sz="4" w:space="0" w:color="000000"/>
              <w:bottom w:val="single" w:sz="4" w:space="0" w:color="000000"/>
              <w:right w:val="single" w:sz="4" w:space="0" w:color="000000"/>
            </w:tcBorders>
          </w:tcPr>
          <w:p>
            <w:pPr>
              <w:pStyle w:val="TableParagraph"/>
              <w:spacing w:before="1"/>
              <w:ind w:left="107"/>
              <w:rPr>
                <w:rFonts w:ascii="宋体" w:eastAsia="宋体" w:hint="eastAsia"/>
                <w:sz w:val="21"/>
              </w:rPr>
            </w:pPr>
            <w:r>
              <w:rPr>
                <w:rFonts w:ascii="宋体" w:eastAsia="宋体" w:hint="eastAsia"/>
                <w:sz w:val="21"/>
              </w:rPr>
              <w:t>减：取得的可辨认</w:t>
            </w:r>
          </w:p>
          <w:p>
            <w:pPr>
              <w:pStyle w:val="TableParagraph"/>
              <w:spacing w:line="252" w:lineRule="exact" w:before="2"/>
              <w:ind w:left="107"/>
              <w:rPr>
                <w:rFonts w:ascii="宋体" w:eastAsia="宋体" w:hint="eastAsia"/>
                <w:sz w:val="21"/>
              </w:rPr>
            </w:pPr>
            <w:r>
              <w:rPr>
                <w:rFonts w:ascii="宋体" w:eastAsia="宋体" w:hint="eastAsia"/>
                <w:sz w:val="21"/>
              </w:rPr>
              <w:t>净资产公允价值份额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144"/>
              <w:ind w:right="84"/>
              <w:jc w:val="right"/>
              <w:rPr>
                <w:sz w:val="21"/>
              </w:rPr>
            </w:pPr>
            <w:r>
              <w:rPr>
                <w:sz w:val="21"/>
              </w:rPr>
              <w:t>130,500,584.86</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before="144"/>
              <w:ind w:right="83"/>
              <w:jc w:val="right"/>
              <w:rPr>
                <w:sz w:val="21"/>
              </w:rPr>
            </w:pPr>
            <w:r>
              <w:rPr>
                <w:sz w:val="21"/>
              </w:rPr>
              <w:t>27,484,377.30</w:t>
            </w:r>
          </w:p>
        </w:tc>
        <w:tc>
          <w:tcPr>
            <w:tcW w:w="1985" w:type="dxa"/>
            <w:tcBorders>
              <w:top w:val="single" w:sz="4" w:space="0" w:color="000000"/>
              <w:left w:val="single" w:sz="4" w:space="0" w:color="000000"/>
              <w:bottom w:val="single" w:sz="4" w:space="0" w:color="000000"/>
            </w:tcBorders>
          </w:tcPr>
          <w:p>
            <w:pPr>
              <w:pStyle w:val="TableParagraph"/>
              <w:spacing w:before="144"/>
              <w:ind w:right="73"/>
              <w:jc w:val="right"/>
              <w:rPr>
                <w:sz w:val="21"/>
              </w:rPr>
            </w:pPr>
            <w:r>
              <w:rPr>
                <w:sz w:val="21"/>
              </w:rPr>
              <w:t>2,022,498.78</w:t>
            </w:r>
          </w:p>
        </w:tc>
      </w:tr>
      <w:tr>
        <w:trPr>
          <w:trHeight w:val="366" w:hRule="atLeast"/>
        </w:trPr>
        <w:tc>
          <w:tcPr>
            <w:tcW w:w="2876" w:type="dxa"/>
            <w:tcBorders>
              <w:top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商誉的金额</w:t>
            </w:r>
          </w:p>
        </w:tc>
        <w:tc>
          <w:tcPr>
            <w:tcW w:w="1702" w:type="dxa"/>
            <w:tcBorders>
              <w:top w:val="single" w:sz="4" w:space="0" w:color="000000"/>
              <w:left w:val="single" w:sz="4" w:space="0" w:color="000000"/>
              <w:right w:val="single" w:sz="4" w:space="0" w:color="000000"/>
            </w:tcBorders>
          </w:tcPr>
          <w:p>
            <w:pPr>
              <w:pStyle w:val="TableParagraph"/>
              <w:spacing w:before="55"/>
              <w:ind w:right="84"/>
              <w:jc w:val="right"/>
              <w:rPr>
                <w:sz w:val="21"/>
              </w:rPr>
            </w:pPr>
            <w:r>
              <w:rPr>
                <w:sz w:val="21"/>
              </w:rPr>
              <w:t>448,014,162.56</w:t>
            </w:r>
          </w:p>
        </w:tc>
        <w:tc>
          <w:tcPr>
            <w:tcW w:w="1982" w:type="dxa"/>
            <w:tcBorders>
              <w:top w:val="single" w:sz="4" w:space="0" w:color="000000"/>
              <w:left w:val="single" w:sz="4" w:space="0" w:color="000000"/>
              <w:right w:val="single" w:sz="4" w:space="0" w:color="000000"/>
            </w:tcBorders>
          </w:tcPr>
          <w:p>
            <w:pPr>
              <w:pStyle w:val="TableParagraph"/>
              <w:spacing w:before="55"/>
              <w:ind w:right="83"/>
              <w:jc w:val="right"/>
              <w:rPr>
                <w:sz w:val="21"/>
              </w:rPr>
            </w:pPr>
            <w:r>
              <w:rPr>
                <w:sz w:val="21"/>
              </w:rPr>
              <w:t>8,009,122.70</w:t>
            </w:r>
          </w:p>
        </w:tc>
        <w:tc>
          <w:tcPr>
            <w:tcW w:w="1985" w:type="dxa"/>
            <w:tcBorders>
              <w:top w:val="single" w:sz="4" w:space="0" w:color="000000"/>
              <w:left w:val="single" w:sz="4" w:space="0" w:color="000000"/>
            </w:tcBorders>
          </w:tcPr>
          <w:p>
            <w:pPr>
              <w:pStyle w:val="TableParagraph"/>
              <w:spacing w:before="55"/>
              <w:ind w:right="73"/>
              <w:jc w:val="right"/>
              <w:rPr>
                <w:sz w:val="21"/>
              </w:rPr>
            </w:pPr>
            <w:r>
              <w:rPr>
                <w:sz w:val="21"/>
              </w:rPr>
              <w:t>1,037,501.22</w:t>
            </w:r>
          </w:p>
        </w:tc>
      </w:tr>
    </w:tbl>
    <w:p>
      <w:pPr>
        <w:pStyle w:val="BodyText"/>
        <w:spacing w:before="6"/>
        <w:rPr>
          <w:sz w:val="18"/>
        </w:rPr>
      </w:pPr>
    </w:p>
    <w:p>
      <w:pPr>
        <w:pStyle w:val="Heading4"/>
        <w:numPr>
          <w:ilvl w:val="0"/>
          <w:numId w:val="66"/>
        </w:numPr>
        <w:tabs>
          <w:tab w:pos="1966" w:val="left" w:leader="none"/>
        </w:tabs>
        <w:spacing w:line="240" w:lineRule="auto" w:before="0" w:after="0"/>
        <w:ind w:left="1965" w:right="0" w:hanging="428"/>
        <w:jc w:val="left"/>
      </w:pPr>
      <w:r>
        <w:rPr>
          <w:spacing w:val="-2"/>
        </w:rPr>
        <w:t>被购买方于购买日可辨认资产、负债</w:t>
      </w:r>
    </w:p>
    <w:p>
      <w:pPr>
        <w:pStyle w:val="BodyText"/>
        <w:spacing w:before="14" w:after="4"/>
        <w:ind w:left="1538"/>
      </w:pPr>
      <w:r>
        <w:rPr>
          <w:w w:val="100"/>
        </w:rPr>
        <w:t> </w:t>
      </w:r>
    </w:p>
    <w:tbl>
      <w:tblPr>
        <w:tblW w:w="0" w:type="auto"/>
        <w:jc w:val="left"/>
        <w:tblInd w:w="178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173"/>
        <w:gridCol w:w="2693"/>
        <w:gridCol w:w="2506"/>
      </w:tblGrid>
      <w:tr>
        <w:trPr>
          <w:trHeight w:val="368" w:hRule="atLeast"/>
        </w:trPr>
        <w:tc>
          <w:tcPr>
            <w:tcW w:w="3173" w:type="dxa"/>
            <w:vMerge w:val="restart"/>
            <w:tcBorders>
              <w:bottom w:val="single" w:sz="4" w:space="0" w:color="000000"/>
              <w:right w:val="single" w:sz="4" w:space="0" w:color="000000"/>
            </w:tcBorders>
          </w:tcPr>
          <w:p>
            <w:pPr>
              <w:pStyle w:val="TableParagraph"/>
              <w:spacing w:before="149"/>
              <w:ind w:left="1355" w:right="1337"/>
              <w:jc w:val="center"/>
              <w:rPr>
                <w:rFonts w:ascii="Microsoft JhengHei" w:eastAsia="Microsoft JhengHei" w:hint="eastAsia"/>
                <w:b/>
                <w:sz w:val="21"/>
              </w:rPr>
            </w:pPr>
            <w:r>
              <w:rPr>
                <w:rFonts w:ascii="Microsoft JhengHei" w:eastAsia="Microsoft JhengHei" w:hint="eastAsia"/>
                <w:b/>
                <w:sz w:val="21"/>
              </w:rPr>
              <w:t>项目</w:t>
            </w:r>
          </w:p>
        </w:tc>
        <w:tc>
          <w:tcPr>
            <w:tcW w:w="5199" w:type="dxa"/>
            <w:gridSpan w:val="2"/>
            <w:tcBorders>
              <w:left w:val="single" w:sz="4" w:space="0" w:color="000000"/>
              <w:bottom w:val="single" w:sz="4" w:space="0" w:color="000000"/>
            </w:tcBorders>
          </w:tcPr>
          <w:p>
            <w:pPr>
              <w:pStyle w:val="TableParagraph"/>
              <w:spacing w:line="349" w:lineRule="exact"/>
              <w:ind w:left="1027"/>
              <w:rPr>
                <w:rFonts w:ascii="Microsoft JhengHei" w:eastAsia="Microsoft JhengHei" w:hint="eastAsia"/>
                <w:b/>
                <w:sz w:val="21"/>
              </w:rPr>
            </w:pPr>
            <w:r>
              <w:rPr>
                <w:rFonts w:ascii="Microsoft JhengHei" w:eastAsia="Microsoft JhengHei" w:hint="eastAsia"/>
                <w:b/>
                <w:sz w:val="21"/>
              </w:rPr>
              <w:t>青岛日日顺乐家物联科技有限公司</w:t>
            </w:r>
          </w:p>
        </w:tc>
      </w:tr>
      <w:tr>
        <w:trPr>
          <w:trHeight w:val="369" w:hRule="atLeast"/>
        </w:trPr>
        <w:tc>
          <w:tcPr>
            <w:tcW w:w="3173" w:type="dxa"/>
            <w:vMerge/>
            <w:tcBorders>
              <w:top w:val="nil"/>
              <w:bottom w:val="single" w:sz="4" w:space="0" w:color="000000"/>
              <w:right w:val="single" w:sz="4" w:space="0" w:color="000000"/>
            </w:tcBorders>
          </w:tcPr>
          <w:p>
            <w:pPr>
              <w:rPr>
                <w:sz w:val="2"/>
                <w:szCs w:val="2"/>
              </w:rPr>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49" w:lineRule="exact"/>
              <w:ind w:left="915" w:right="886"/>
              <w:jc w:val="center"/>
              <w:rPr>
                <w:rFonts w:ascii="Microsoft JhengHei" w:eastAsia="Microsoft JhengHei" w:hint="eastAsia"/>
                <w:b/>
                <w:sz w:val="21"/>
              </w:rPr>
            </w:pPr>
            <w:r>
              <w:rPr>
                <w:rFonts w:ascii="Microsoft JhengHei" w:eastAsia="Microsoft JhengHei" w:hint="eastAsia"/>
                <w:b/>
                <w:sz w:val="21"/>
              </w:rPr>
              <w:t>公允价值</w:t>
            </w:r>
          </w:p>
        </w:tc>
        <w:tc>
          <w:tcPr>
            <w:tcW w:w="2506" w:type="dxa"/>
            <w:tcBorders>
              <w:top w:val="single" w:sz="4" w:space="0" w:color="000000"/>
              <w:left w:val="single" w:sz="4" w:space="0" w:color="000000"/>
              <w:bottom w:val="single" w:sz="4" w:space="0" w:color="000000"/>
            </w:tcBorders>
          </w:tcPr>
          <w:p>
            <w:pPr>
              <w:pStyle w:val="TableParagraph"/>
              <w:spacing w:line="349" w:lineRule="exact"/>
              <w:ind w:left="840"/>
              <w:rPr>
                <w:rFonts w:ascii="Microsoft JhengHei" w:eastAsia="Microsoft JhengHei" w:hint="eastAsia"/>
                <w:b/>
                <w:sz w:val="21"/>
              </w:rPr>
            </w:pPr>
            <w:r>
              <w:rPr>
                <w:rFonts w:ascii="Microsoft JhengHei" w:eastAsia="Microsoft JhengHei" w:hint="eastAsia"/>
                <w:b/>
                <w:sz w:val="21"/>
              </w:rPr>
              <w:t>账面价值</w:t>
            </w:r>
          </w:p>
        </w:tc>
      </w:tr>
      <w:tr>
        <w:trPr>
          <w:trHeight w:val="366" w:hRule="atLeast"/>
        </w:trPr>
        <w:tc>
          <w:tcPr>
            <w:tcW w:w="3173" w:type="dxa"/>
            <w:tcBorders>
              <w:top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货币资金</w:t>
            </w:r>
          </w:p>
        </w:tc>
        <w:tc>
          <w:tcPr>
            <w:tcW w:w="2693" w:type="dxa"/>
            <w:tcBorders>
              <w:top w:val="single" w:sz="4" w:space="0" w:color="000000"/>
              <w:left w:val="single" w:sz="4" w:space="0" w:color="000000"/>
              <w:right w:val="single" w:sz="4" w:space="0" w:color="000000"/>
            </w:tcBorders>
          </w:tcPr>
          <w:p>
            <w:pPr>
              <w:pStyle w:val="TableParagraph"/>
              <w:spacing w:before="58"/>
              <w:ind w:left="1282"/>
              <w:rPr>
                <w:sz w:val="21"/>
              </w:rPr>
            </w:pPr>
            <w:r>
              <w:rPr>
                <w:sz w:val="21"/>
              </w:rPr>
              <w:t>223,974,917.72</w:t>
            </w:r>
          </w:p>
        </w:tc>
        <w:tc>
          <w:tcPr>
            <w:tcW w:w="2506" w:type="dxa"/>
            <w:tcBorders>
              <w:top w:val="single" w:sz="4" w:space="0" w:color="000000"/>
              <w:left w:val="single" w:sz="4" w:space="0" w:color="000000"/>
            </w:tcBorders>
          </w:tcPr>
          <w:p>
            <w:pPr>
              <w:pStyle w:val="TableParagraph"/>
              <w:spacing w:before="58"/>
              <w:ind w:left="1092"/>
              <w:rPr>
                <w:sz w:val="21"/>
              </w:rPr>
            </w:pPr>
            <w:r>
              <w:rPr>
                <w:sz w:val="21"/>
              </w:rPr>
              <w:t>223,974,917.72</w:t>
            </w:r>
          </w:p>
        </w:tc>
      </w:tr>
    </w:tbl>
    <w:p>
      <w:pPr>
        <w:spacing w:after="0"/>
        <w:rPr>
          <w:sz w:val="21"/>
        </w:rPr>
        <w:sectPr>
          <w:pgSz w:w="11910" w:h="16840"/>
          <w:pgMar w:header="876" w:footer="1203" w:top="1440" w:bottom="1400" w:left="260" w:right="0"/>
        </w:sectPr>
      </w:pPr>
    </w:p>
    <w:p>
      <w:pPr>
        <w:pStyle w:val="BodyText"/>
        <w:spacing w:before="9"/>
        <w:rPr>
          <w:rFonts w:ascii="Times New Roman"/>
          <w:sz w:val="5"/>
        </w:rPr>
      </w:pPr>
    </w:p>
    <w:tbl>
      <w:tblPr>
        <w:tblW w:w="0" w:type="auto"/>
        <w:jc w:val="left"/>
        <w:tblInd w:w="178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173"/>
        <w:gridCol w:w="2693"/>
        <w:gridCol w:w="2506"/>
      </w:tblGrid>
      <w:tr>
        <w:trPr>
          <w:trHeight w:val="371" w:hRule="atLeast"/>
        </w:trPr>
        <w:tc>
          <w:tcPr>
            <w:tcW w:w="3173" w:type="dxa"/>
            <w:tcBorders>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应收款项</w:t>
            </w:r>
          </w:p>
        </w:tc>
        <w:tc>
          <w:tcPr>
            <w:tcW w:w="2693" w:type="dxa"/>
            <w:tcBorders>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15,398,428.75</w:t>
            </w:r>
          </w:p>
        </w:tc>
        <w:tc>
          <w:tcPr>
            <w:tcW w:w="2506" w:type="dxa"/>
            <w:tcBorders>
              <w:left w:val="single" w:sz="4" w:space="0" w:color="000000"/>
              <w:bottom w:val="single" w:sz="4" w:space="0" w:color="000000"/>
            </w:tcBorders>
          </w:tcPr>
          <w:p>
            <w:pPr>
              <w:pStyle w:val="TableParagraph"/>
              <w:spacing w:before="58"/>
              <w:ind w:right="75"/>
              <w:jc w:val="right"/>
              <w:rPr>
                <w:sz w:val="21"/>
              </w:rPr>
            </w:pPr>
            <w:r>
              <w:rPr>
                <w:sz w:val="21"/>
              </w:rPr>
              <w:t>15,398,428.75</w:t>
            </w:r>
          </w:p>
        </w:tc>
      </w:tr>
      <w:tr>
        <w:trPr>
          <w:trHeight w:val="369" w:hRule="atLeast"/>
        </w:trPr>
        <w:tc>
          <w:tcPr>
            <w:tcW w:w="317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其他应收款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5"/>
              <w:ind w:right="83"/>
              <w:jc w:val="right"/>
              <w:rPr>
                <w:sz w:val="21"/>
              </w:rPr>
            </w:pPr>
            <w:r>
              <w:rPr>
                <w:sz w:val="21"/>
              </w:rPr>
              <w:t>8,407,600.82</w:t>
            </w:r>
          </w:p>
        </w:tc>
        <w:tc>
          <w:tcPr>
            <w:tcW w:w="2506" w:type="dxa"/>
            <w:tcBorders>
              <w:top w:val="single" w:sz="4" w:space="0" w:color="000000"/>
              <w:left w:val="single" w:sz="4" w:space="0" w:color="000000"/>
              <w:bottom w:val="single" w:sz="4" w:space="0" w:color="000000"/>
            </w:tcBorders>
          </w:tcPr>
          <w:p>
            <w:pPr>
              <w:pStyle w:val="TableParagraph"/>
              <w:spacing w:before="55"/>
              <w:ind w:right="75"/>
              <w:jc w:val="right"/>
              <w:rPr>
                <w:sz w:val="21"/>
              </w:rPr>
            </w:pPr>
            <w:r>
              <w:rPr>
                <w:sz w:val="21"/>
              </w:rPr>
              <w:t>8,407,600.82</w:t>
            </w:r>
          </w:p>
        </w:tc>
      </w:tr>
      <w:tr>
        <w:trPr>
          <w:trHeight w:val="366" w:hRule="atLeast"/>
        </w:trPr>
        <w:tc>
          <w:tcPr>
            <w:tcW w:w="317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预付账款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5"/>
              <w:ind w:right="83"/>
              <w:jc w:val="right"/>
              <w:rPr>
                <w:sz w:val="21"/>
              </w:rPr>
            </w:pPr>
            <w:r>
              <w:rPr>
                <w:sz w:val="21"/>
              </w:rPr>
              <w:t>20,000.00</w:t>
            </w:r>
          </w:p>
        </w:tc>
        <w:tc>
          <w:tcPr>
            <w:tcW w:w="2506" w:type="dxa"/>
            <w:tcBorders>
              <w:top w:val="single" w:sz="4" w:space="0" w:color="000000"/>
              <w:left w:val="single" w:sz="4" w:space="0" w:color="000000"/>
              <w:bottom w:val="single" w:sz="4" w:space="0" w:color="000000"/>
            </w:tcBorders>
          </w:tcPr>
          <w:p>
            <w:pPr>
              <w:pStyle w:val="TableParagraph"/>
              <w:spacing w:before="55"/>
              <w:ind w:right="75"/>
              <w:jc w:val="right"/>
              <w:rPr>
                <w:sz w:val="21"/>
              </w:rPr>
            </w:pPr>
            <w:r>
              <w:rPr>
                <w:sz w:val="21"/>
              </w:rPr>
              <w:t>20,000.00</w:t>
            </w:r>
          </w:p>
        </w:tc>
      </w:tr>
      <w:tr>
        <w:trPr>
          <w:trHeight w:val="369" w:hRule="atLeast"/>
        </w:trPr>
        <w:tc>
          <w:tcPr>
            <w:tcW w:w="3173"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存货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208,069.03</w:t>
            </w:r>
          </w:p>
        </w:tc>
        <w:tc>
          <w:tcPr>
            <w:tcW w:w="2506"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208,069.03</w:t>
            </w:r>
          </w:p>
        </w:tc>
      </w:tr>
      <w:tr>
        <w:trPr>
          <w:trHeight w:val="369" w:hRule="atLeast"/>
        </w:trPr>
        <w:tc>
          <w:tcPr>
            <w:tcW w:w="3173"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固定资产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49,800,195.00</w:t>
            </w:r>
          </w:p>
        </w:tc>
        <w:tc>
          <w:tcPr>
            <w:tcW w:w="2506"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4,908,266.00</w:t>
            </w:r>
          </w:p>
        </w:tc>
      </w:tr>
      <w:tr>
        <w:trPr>
          <w:trHeight w:val="369" w:hRule="atLeast"/>
        </w:trPr>
        <w:tc>
          <w:tcPr>
            <w:tcW w:w="3173"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在建工程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837,735.85</w:t>
            </w:r>
          </w:p>
        </w:tc>
        <w:tc>
          <w:tcPr>
            <w:tcW w:w="2506"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837,735.85</w:t>
            </w:r>
          </w:p>
        </w:tc>
      </w:tr>
      <w:tr>
        <w:trPr>
          <w:trHeight w:val="369" w:hRule="atLeast"/>
        </w:trPr>
        <w:tc>
          <w:tcPr>
            <w:tcW w:w="3173"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无形资产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45,965,425.27</w:t>
            </w:r>
          </w:p>
        </w:tc>
        <w:tc>
          <w:tcPr>
            <w:tcW w:w="2506"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23,584,905.66</w:t>
            </w:r>
          </w:p>
        </w:tc>
      </w:tr>
      <w:tr>
        <w:trPr>
          <w:trHeight w:val="369" w:hRule="atLeast"/>
        </w:trPr>
        <w:tc>
          <w:tcPr>
            <w:tcW w:w="317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短期借款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-800,000.00</w:t>
            </w:r>
          </w:p>
        </w:tc>
        <w:tc>
          <w:tcPr>
            <w:tcW w:w="2506"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-800,000.00</w:t>
            </w:r>
          </w:p>
        </w:tc>
      </w:tr>
      <w:tr>
        <w:trPr>
          <w:trHeight w:val="369" w:hRule="atLeast"/>
        </w:trPr>
        <w:tc>
          <w:tcPr>
            <w:tcW w:w="317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应付款项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-78,775,509.26</w:t>
            </w:r>
          </w:p>
        </w:tc>
        <w:tc>
          <w:tcPr>
            <w:tcW w:w="2506"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-78,775,509.26</w:t>
            </w:r>
          </w:p>
        </w:tc>
      </w:tr>
      <w:tr>
        <w:trPr>
          <w:trHeight w:val="369" w:hRule="atLeast"/>
        </w:trPr>
        <w:tc>
          <w:tcPr>
            <w:tcW w:w="317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应交税费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-874,611.20</w:t>
            </w:r>
          </w:p>
        </w:tc>
        <w:tc>
          <w:tcPr>
            <w:tcW w:w="2506"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-874,611.20</w:t>
            </w:r>
          </w:p>
        </w:tc>
      </w:tr>
      <w:tr>
        <w:trPr>
          <w:trHeight w:val="369" w:hRule="atLeast"/>
        </w:trPr>
        <w:tc>
          <w:tcPr>
            <w:tcW w:w="317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应付职工薪酬</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-3,916,546.24</w:t>
            </w:r>
          </w:p>
        </w:tc>
        <w:tc>
          <w:tcPr>
            <w:tcW w:w="2506"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-3,916,546.24</w:t>
            </w:r>
          </w:p>
        </w:tc>
      </w:tr>
      <w:tr>
        <w:trPr>
          <w:trHeight w:val="369" w:hRule="atLeast"/>
        </w:trPr>
        <w:tc>
          <w:tcPr>
            <w:tcW w:w="317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其他应付款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-71,177,812.37</w:t>
            </w:r>
          </w:p>
        </w:tc>
        <w:tc>
          <w:tcPr>
            <w:tcW w:w="2506"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-71,177,812.37</w:t>
            </w:r>
          </w:p>
        </w:tc>
      </w:tr>
      <w:tr>
        <w:trPr>
          <w:trHeight w:val="369" w:hRule="atLeast"/>
        </w:trPr>
        <w:tc>
          <w:tcPr>
            <w:tcW w:w="317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合同负债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5"/>
              <w:ind w:right="83"/>
              <w:jc w:val="right"/>
              <w:rPr>
                <w:sz w:val="21"/>
              </w:rPr>
            </w:pPr>
            <w:r>
              <w:rPr>
                <w:sz w:val="21"/>
              </w:rPr>
              <w:t>-20,468,473.67</w:t>
            </w:r>
          </w:p>
        </w:tc>
        <w:tc>
          <w:tcPr>
            <w:tcW w:w="2506" w:type="dxa"/>
            <w:tcBorders>
              <w:top w:val="single" w:sz="4" w:space="0" w:color="000000"/>
              <w:left w:val="single" w:sz="4" w:space="0" w:color="000000"/>
              <w:bottom w:val="single" w:sz="4" w:space="0" w:color="000000"/>
            </w:tcBorders>
          </w:tcPr>
          <w:p>
            <w:pPr>
              <w:pStyle w:val="TableParagraph"/>
              <w:spacing w:before="55"/>
              <w:ind w:right="75"/>
              <w:jc w:val="right"/>
              <w:rPr>
                <w:sz w:val="21"/>
              </w:rPr>
            </w:pPr>
            <w:r>
              <w:rPr>
                <w:sz w:val="21"/>
              </w:rPr>
              <w:t>-20,468,473.67</w:t>
            </w:r>
          </w:p>
        </w:tc>
      </w:tr>
      <w:tr>
        <w:trPr>
          <w:trHeight w:val="369" w:hRule="atLeast"/>
        </w:trPr>
        <w:tc>
          <w:tcPr>
            <w:tcW w:w="317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递延收益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5"/>
              <w:ind w:right="83"/>
              <w:jc w:val="right"/>
              <w:rPr>
                <w:sz w:val="21"/>
              </w:rPr>
            </w:pPr>
            <w:r>
              <w:rPr>
                <w:sz w:val="21"/>
              </w:rPr>
              <w:t>-2,052,083.28</w:t>
            </w:r>
          </w:p>
        </w:tc>
        <w:tc>
          <w:tcPr>
            <w:tcW w:w="2506" w:type="dxa"/>
            <w:tcBorders>
              <w:top w:val="single" w:sz="4" w:space="0" w:color="000000"/>
              <w:left w:val="single" w:sz="4" w:space="0" w:color="000000"/>
              <w:bottom w:val="single" w:sz="4" w:space="0" w:color="000000"/>
            </w:tcBorders>
          </w:tcPr>
          <w:p>
            <w:pPr>
              <w:pStyle w:val="TableParagraph"/>
              <w:spacing w:before="55"/>
              <w:ind w:right="75"/>
              <w:jc w:val="right"/>
              <w:rPr>
                <w:sz w:val="21"/>
              </w:rPr>
            </w:pPr>
            <w:r>
              <w:rPr>
                <w:sz w:val="21"/>
              </w:rPr>
              <w:t>-2,052,083.28</w:t>
            </w:r>
          </w:p>
        </w:tc>
      </w:tr>
      <w:tr>
        <w:trPr>
          <w:trHeight w:val="366" w:hRule="atLeast"/>
        </w:trPr>
        <w:tc>
          <w:tcPr>
            <w:tcW w:w="317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净资产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5"/>
              <w:ind w:right="83"/>
              <w:jc w:val="right"/>
              <w:rPr>
                <w:sz w:val="21"/>
              </w:rPr>
            </w:pPr>
            <w:r>
              <w:rPr>
                <w:sz w:val="21"/>
              </w:rPr>
              <w:t>166,547,336.42</w:t>
            </w:r>
          </w:p>
        </w:tc>
        <w:tc>
          <w:tcPr>
            <w:tcW w:w="2506" w:type="dxa"/>
            <w:tcBorders>
              <w:top w:val="single" w:sz="4" w:space="0" w:color="000000"/>
              <w:left w:val="single" w:sz="4" w:space="0" w:color="000000"/>
              <w:bottom w:val="single" w:sz="4" w:space="0" w:color="000000"/>
            </w:tcBorders>
          </w:tcPr>
          <w:p>
            <w:pPr>
              <w:pStyle w:val="TableParagraph"/>
              <w:spacing w:before="55"/>
              <w:ind w:right="75"/>
              <w:jc w:val="right"/>
              <w:rPr>
                <w:sz w:val="21"/>
              </w:rPr>
            </w:pPr>
            <w:r>
              <w:rPr>
                <w:sz w:val="21"/>
              </w:rPr>
              <w:t>99,274,887.81</w:t>
            </w:r>
          </w:p>
        </w:tc>
      </w:tr>
      <w:tr>
        <w:trPr>
          <w:trHeight w:val="369" w:hRule="atLeast"/>
        </w:trPr>
        <w:tc>
          <w:tcPr>
            <w:tcW w:w="3173"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减：少数股东权益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-36,046,751.56</w:t>
            </w:r>
          </w:p>
        </w:tc>
        <w:tc>
          <w:tcPr>
            <w:tcW w:w="2506"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-22,474,228.14</w:t>
            </w:r>
          </w:p>
        </w:tc>
      </w:tr>
      <w:tr>
        <w:trPr>
          <w:trHeight w:val="368" w:hRule="atLeast"/>
        </w:trPr>
        <w:tc>
          <w:tcPr>
            <w:tcW w:w="3173" w:type="dxa"/>
            <w:tcBorders>
              <w:top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取得的净资产</w:t>
            </w:r>
          </w:p>
        </w:tc>
        <w:tc>
          <w:tcPr>
            <w:tcW w:w="2693" w:type="dxa"/>
            <w:tcBorders>
              <w:top w:val="single" w:sz="4" w:space="0" w:color="000000"/>
              <w:left w:val="single" w:sz="4" w:space="0" w:color="000000"/>
              <w:right w:val="single" w:sz="4" w:space="0" w:color="000000"/>
            </w:tcBorders>
          </w:tcPr>
          <w:p>
            <w:pPr>
              <w:pStyle w:val="TableParagraph"/>
              <w:spacing w:before="58"/>
              <w:ind w:right="83"/>
              <w:jc w:val="right"/>
              <w:rPr>
                <w:sz w:val="21"/>
              </w:rPr>
            </w:pPr>
            <w:r>
              <w:rPr>
                <w:sz w:val="21"/>
              </w:rPr>
              <w:t>130,500,584.86</w:t>
            </w:r>
          </w:p>
        </w:tc>
        <w:tc>
          <w:tcPr>
            <w:tcW w:w="2506" w:type="dxa"/>
            <w:tcBorders>
              <w:top w:val="single" w:sz="4" w:space="0" w:color="000000"/>
              <w:left w:val="single" w:sz="4" w:space="0" w:color="000000"/>
            </w:tcBorders>
          </w:tcPr>
          <w:p>
            <w:pPr>
              <w:pStyle w:val="TableParagraph"/>
              <w:spacing w:before="58"/>
              <w:ind w:right="75"/>
              <w:jc w:val="right"/>
              <w:rPr>
                <w:sz w:val="21"/>
              </w:rPr>
            </w:pPr>
            <w:r>
              <w:rPr>
                <w:sz w:val="21"/>
              </w:rPr>
              <w:t>76,800,659.67</w:t>
            </w:r>
          </w:p>
        </w:tc>
      </w:tr>
    </w:tbl>
    <w:p>
      <w:pPr>
        <w:pStyle w:val="BodyText"/>
        <w:rPr>
          <w:rFonts w:ascii="Times New Roman"/>
          <w:sz w:val="20"/>
        </w:rPr>
      </w:pPr>
    </w:p>
    <w:p>
      <w:pPr>
        <w:pStyle w:val="BodyText"/>
        <w:rPr>
          <w:rFonts w:ascii="Times New Roman"/>
          <w:sz w:val="20"/>
        </w:rPr>
      </w:pPr>
    </w:p>
    <w:p>
      <w:pPr>
        <w:pStyle w:val="BodyText"/>
        <w:spacing w:before="4" w:after="1"/>
        <w:rPr>
          <w:rFonts w:ascii="Times New Roman"/>
          <w:sz w:val="12"/>
        </w:rPr>
      </w:pPr>
    </w:p>
    <w:tbl>
      <w:tblPr>
        <w:tblW w:w="0" w:type="auto"/>
        <w:jc w:val="left"/>
        <w:tblInd w:w="15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262"/>
        <w:gridCol w:w="2693"/>
        <w:gridCol w:w="2552"/>
      </w:tblGrid>
      <w:tr>
        <w:trPr>
          <w:trHeight w:val="299" w:hRule="atLeast"/>
        </w:trPr>
        <w:tc>
          <w:tcPr>
            <w:tcW w:w="3262" w:type="dxa"/>
            <w:vMerge w:val="restart"/>
            <w:tcBorders>
              <w:bottom w:val="single" w:sz="4" w:space="0" w:color="000000"/>
              <w:right w:val="single" w:sz="4" w:space="0" w:color="000000"/>
            </w:tcBorders>
          </w:tcPr>
          <w:p>
            <w:pPr>
              <w:pStyle w:val="TableParagraph"/>
              <w:spacing w:before="97"/>
              <w:ind w:left="1398" w:right="1383"/>
              <w:jc w:val="center"/>
              <w:rPr>
                <w:rFonts w:ascii="Microsoft JhengHei" w:eastAsia="Microsoft JhengHei" w:hint="eastAsia"/>
                <w:b/>
                <w:sz w:val="21"/>
              </w:rPr>
            </w:pPr>
            <w:r>
              <w:rPr>
                <w:rFonts w:ascii="Microsoft JhengHei" w:eastAsia="Microsoft JhengHei" w:hint="eastAsia"/>
                <w:b/>
                <w:sz w:val="21"/>
              </w:rPr>
              <w:t>项目</w:t>
            </w:r>
          </w:p>
        </w:tc>
        <w:tc>
          <w:tcPr>
            <w:tcW w:w="5245" w:type="dxa"/>
            <w:gridSpan w:val="2"/>
            <w:tcBorders>
              <w:left w:val="single" w:sz="4" w:space="0" w:color="000000"/>
              <w:bottom w:val="single" w:sz="4" w:space="0" w:color="000000"/>
            </w:tcBorders>
          </w:tcPr>
          <w:p>
            <w:pPr>
              <w:pStyle w:val="TableParagraph"/>
              <w:spacing w:line="280" w:lineRule="exact"/>
              <w:ind w:left="1365"/>
              <w:rPr>
                <w:rFonts w:ascii="Microsoft JhengHei" w:eastAsia="Microsoft JhengHei" w:hint="eastAsia"/>
                <w:b/>
                <w:sz w:val="21"/>
              </w:rPr>
            </w:pPr>
            <w:r>
              <w:rPr>
                <w:rFonts w:ascii="Microsoft JhengHei" w:eastAsia="Microsoft JhengHei" w:hint="eastAsia"/>
                <w:b/>
                <w:sz w:val="21"/>
              </w:rPr>
              <w:t>广东黑龙智能科技有限公司</w:t>
            </w:r>
          </w:p>
        </w:tc>
      </w:tr>
      <w:tr>
        <w:trPr>
          <w:trHeight w:val="290" w:hRule="atLeast"/>
        </w:trPr>
        <w:tc>
          <w:tcPr>
            <w:tcW w:w="3262" w:type="dxa"/>
            <w:vMerge/>
            <w:tcBorders>
              <w:top w:val="nil"/>
              <w:bottom w:val="single" w:sz="4" w:space="0" w:color="000000"/>
              <w:right w:val="single" w:sz="4" w:space="0" w:color="000000"/>
            </w:tcBorders>
          </w:tcPr>
          <w:p>
            <w:pPr>
              <w:rPr>
                <w:sz w:val="2"/>
                <w:szCs w:val="2"/>
              </w:rPr>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915" w:right="887"/>
              <w:jc w:val="center"/>
              <w:rPr>
                <w:rFonts w:ascii="Microsoft JhengHei" w:eastAsia="Microsoft JhengHei" w:hint="eastAsia"/>
                <w:b/>
                <w:sz w:val="21"/>
              </w:rPr>
            </w:pPr>
            <w:r>
              <w:rPr>
                <w:rFonts w:ascii="Microsoft JhengHei" w:eastAsia="Microsoft JhengHei" w:hint="eastAsia"/>
                <w:b/>
                <w:sz w:val="21"/>
              </w:rPr>
              <w:t>公允价值</w:t>
            </w:r>
          </w:p>
        </w:tc>
        <w:tc>
          <w:tcPr>
            <w:tcW w:w="2552" w:type="dxa"/>
            <w:tcBorders>
              <w:top w:val="single" w:sz="4" w:space="0" w:color="000000"/>
              <w:left w:val="single" w:sz="4" w:space="0" w:color="000000"/>
              <w:bottom w:val="single" w:sz="4" w:space="0" w:color="000000"/>
            </w:tcBorders>
          </w:tcPr>
          <w:p>
            <w:pPr>
              <w:pStyle w:val="TableParagraph"/>
              <w:spacing w:line="270" w:lineRule="exact"/>
              <w:ind w:left="864"/>
              <w:rPr>
                <w:rFonts w:ascii="Microsoft JhengHei" w:eastAsia="Microsoft JhengHei" w:hint="eastAsia"/>
                <w:b/>
                <w:sz w:val="21"/>
              </w:rPr>
            </w:pPr>
            <w:r>
              <w:rPr>
                <w:rFonts w:ascii="Microsoft JhengHei" w:eastAsia="Microsoft JhengHei" w:hint="eastAsia"/>
                <w:b/>
                <w:sz w:val="21"/>
              </w:rPr>
              <w:t>账面价值</w:t>
            </w:r>
          </w:p>
        </w:tc>
      </w:tr>
      <w:tr>
        <w:trPr>
          <w:trHeight w:val="369" w:hRule="atLeast"/>
        </w:trPr>
        <w:tc>
          <w:tcPr>
            <w:tcW w:w="3262"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货币资金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27,557,545.48</w:t>
            </w:r>
          </w:p>
        </w:tc>
        <w:tc>
          <w:tcPr>
            <w:tcW w:w="2552" w:type="dxa"/>
            <w:tcBorders>
              <w:top w:val="single" w:sz="4" w:space="0" w:color="000000"/>
              <w:left w:val="single" w:sz="4" w:space="0" w:color="000000"/>
              <w:bottom w:val="single" w:sz="4" w:space="0" w:color="000000"/>
            </w:tcBorders>
          </w:tcPr>
          <w:p>
            <w:pPr>
              <w:pStyle w:val="TableParagraph"/>
              <w:spacing w:before="58"/>
              <w:ind w:right="73"/>
              <w:jc w:val="right"/>
              <w:rPr>
                <w:sz w:val="21"/>
              </w:rPr>
            </w:pPr>
            <w:r>
              <w:rPr>
                <w:sz w:val="21"/>
              </w:rPr>
              <w:t>27,557,545.48</w:t>
            </w:r>
          </w:p>
        </w:tc>
      </w:tr>
      <w:tr>
        <w:trPr>
          <w:trHeight w:val="369" w:hRule="atLeast"/>
        </w:trPr>
        <w:tc>
          <w:tcPr>
            <w:tcW w:w="3262"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应收票据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200,000.00</w:t>
            </w:r>
          </w:p>
        </w:tc>
        <w:tc>
          <w:tcPr>
            <w:tcW w:w="2552"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200,000.00</w:t>
            </w:r>
          </w:p>
        </w:tc>
      </w:tr>
      <w:tr>
        <w:trPr>
          <w:trHeight w:val="369" w:hRule="atLeast"/>
        </w:trPr>
        <w:tc>
          <w:tcPr>
            <w:tcW w:w="3262"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应收账款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47,300.87</w:t>
            </w:r>
          </w:p>
        </w:tc>
        <w:tc>
          <w:tcPr>
            <w:tcW w:w="2552"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47,300.87</w:t>
            </w:r>
          </w:p>
        </w:tc>
      </w:tr>
      <w:tr>
        <w:trPr>
          <w:trHeight w:val="369" w:hRule="atLeast"/>
        </w:trPr>
        <w:tc>
          <w:tcPr>
            <w:tcW w:w="3262"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预付款项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815,329.43</w:t>
            </w:r>
          </w:p>
        </w:tc>
        <w:tc>
          <w:tcPr>
            <w:tcW w:w="2552"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815,329.43</w:t>
            </w:r>
          </w:p>
        </w:tc>
      </w:tr>
      <w:tr>
        <w:trPr>
          <w:trHeight w:val="369" w:hRule="atLeast"/>
        </w:trPr>
        <w:tc>
          <w:tcPr>
            <w:tcW w:w="3262"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其他应收款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425,636.25</w:t>
            </w:r>
          </w:p>
        </w:tc>
        <w:tc>
          <w:tcPr>
            <w:tcW w:w="2552"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425,636.25</w:t>
            </w:r>
          </w:p>
        </w:tc>
      </w:tr>
      <w:tr>
        <w:trPr>
          <w:trHeight w:val="369" w:hRule="atLeast"/>
        </w:trPr>
        <w:tc>
          <w:tcPr>
            <w:tcW w:w="3262"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存货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8,904,880.16</w:t>
            </w:r>
          </w:p>
        </w:tc>
        <w:tc>
          <w:tcPr>
            <w:tcW w:w="2552" w:type="dxa"/>
            <w:tcBorders>
              <w:top w:val="single" w:sz="4" w:space="0" w:color="000000"/>
              <w:left w:val="single" w:sz="4" w:space="0" w:color="000000"/>
              <w:bottom w:val="single" w:sz="4" w:space="0" w:color="000000"/>
            </w:tcBorders>
          </w:tcPr>
          <w:p>
            <w:pPr>
              <w:pStyle w:val="TableParagraph"/>
              <w:spacing w:before="58"/>
              <w:ind w:right="73"/>
              <w:jc w:val="right"/>
              <w:rPr>
                <w:sz w:val="21"/>
              </w:rPr>
            </w:pPr>
            <w:r>
              <w:rPr>
                <w:sz w:val="21"/>
              </w:rPr>
              <w:t>8,904,880.16</w:t>
            </w:r>
          </w:p>
        </w:tc>
      </w:tr>
      <w:tr>
        <w:trPr>
          <w:trHeight w:val="369" w:hRule="atLeast"/>
        </w:trPr>
        <w:tc>
          <w:tcPr>
            <w:tcW w:w="3262"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其他资产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1,430,452.30</w:t>
            </w:r>
          </w:p>
        </w:tc>
        <w:tc>
          <w:tcPr>
            <w:tcW w:w="2552" w:type="dxa"/>
            <w:tcBorders>
              <w:top w:val="single" w:sz="4" w:space="0" w:color="000000"/>
              <w:left w:val="single" w:sz="4" w:space="0" w:color="000000"/>
              <w:bottom w:val="single" w:sz="4" w:space="0" w:color="000000"/>
            </w:tcBorders>
          </w:tcPr>
          <w:p>
            <w:pPr>
              <w:pStyle w:val="TableParagraph"/>
              <w:spacing w:before="58"/>
              <w:ind w:right="73"/>
              <w:jc w:val="right"/>
              <w:rPr>
                <w:sz w:val="21"/>
              </w:rPr>
            </w:pPr>
            <w:r>
              <w:rPr>
                <w:sz w:val="21"/>
              </w:rPr>
              <w:t>1,430,452.30</w:t>
            </w:r>
          </w:p>
        </w:tc>
      </w:tr>
      <w:tr>
        <w:trPr>
          <w:trHeight w:val="369" w:hRule="atLeast"/>
        </w:trPr>
        <w:tc>
          <w:tcPr>
            <w:tcW w:w="3262"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固定资产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5"/>
              <w:ind w:right="83"/>
              <w:jc w:val="right"/>
              <w:rPr>
                <w:sz w:val="21"/>
              </w:rPr>
            </w:pPr>
            <w:r>
              <w:rPr>
                <w:sz w:val="21"/>
              </w:rPr>
              <w:t>767,559.72</w:t>
            </w:r>
          </w:p>
        </w:tc>
        <w:tc>
          <w:tcPr>
            <w:tcW w:w="2552" w:type="dxa"/>
            <w:tcBorders>
              <w:top w:val="single" w:sz="4" w:space="0" w:color="000000"/>
              <w:left w:val="single" w:sz="4" w:space="0" w:color="000000"/>
              <w:bottom w:val="single" w:sz="4" w:space="0" w:color="000000"/>
            </w:tcBorders>
          </w:tcPr>
          <w:p>
            <w:pPr>
              <w:pStyle w:val="TableParagraph"/>
              <w:spacing w:before="55"/>
              <w:ind w:right="74"/>
              <w:jc w:val="right"/>
              <w:rPr>
                <w:sz w:val="21"/>
              </w:rPr>
            </w:pPr>
            <w:r>
              <w:rPr>
                <w:sz w:val="21"/>
              </w:rPr>
              <w:t>767,559.72</w:t>
            </w:r>
          </w:p>
        </w:tc>
      </w:tr>
      <w:tr>
        <w:trPr>
          <w:trHeight w:val="369" w:hRule="atLeast"/>
        </w:trPr>
        <w:tc>
          <w:tcPr>
            <w:tcW w:w="3262"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无形资产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6"/>
              <w:ind w:right="83"/>
              <w:jc w:val="right"/>
              <w:rPr>
                <w:sz w:val="21"/>
              </w:rPr>
            </w:pPr>
            <w:r>
              <w:rPr>
                <w:sz w:val="21"/>
              </w:rPr>
              <w:t>8,998,294.20</w:t>
            </w:r>
          </w:p>
        </w:tc>
        <w:tc>
          <w:tcPr>
            <w:tcW w:w="2552" w:type="dxa"/>
            <w:tcBorders>
              <w:top w:val="single" w:sz="4" w:space="0" w:color="000000"/>
              <w:left w:val="single" w:sz="4" w:space="0" w:color="000000"/>
              <w:bottom w:val="single" w:sz="4" w:space="0" w:color="000000"/>
            </w:tcBorders>
          </w:tcPr>
          <w:p>
            <w:pPr>
              <w:pStyle w:val="TableParagraph"/>
              <w:spacing w:before="56"/>
              <w:ind w:right="74"/>
              <w:jc w:val="right"/>
              <w:rPr>
                <w:sz w:val="21"/>
              </w:rPr>
            </w:pPr>
            <w:r>
              <w:rPr>
                <w:sz w:val="21"/>
              </w:rPr>
              <w:t>79,794.20</w:t>
            </w:r>
          </w:p>
        </w:tc>
      </w:tr>
      <w:tr>
        <w:trPr>
          <w:trHeight w:val="366" w:hRule="atLeast"/>
        </w:trPr>
        <w:tc>
          <w:tcPr>
            <w:tcW w:w="3262"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其他非流动资产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5"/>
              <w:ind w:right="83"/>
              <w:jc w:val="right"/>
              <w:rPr>
                <w:sz w:val="21"/>
              </w:rPr>
            </w:pPr>
            <w:r>
              <w:rPr>
                <w:sz w:val="21"/>
              </w:rPr>
              <w:t>221,425.59</w:t>
            </w:r>
          </w:p>
        </w:tc>
        <w:tc>
          <w:tcPr>
            <w:tcW w:w="2552" w:type="dxa"/>
            <w:tcBorders>
              <w:top w:val="single" w:sz="4" w:space="0" w:color="000000"/>
              <w:left w:val="single" w:sz="4" w:space="0" w:color="000000"/>
              <w:bottom w:val="single" w:sz="4" w:space="0" w:color="000000"/>
            </w:tcBorders>
          </w:tcPr>
          <w:p>
            <w:pPr>
              <w:pStyle w:val="TableParagraph"/>
              <w:spacing w:before="55"/>
              <w:ind w:right="74"/>
              <w:jc w:val="right"/>
              <w:rPr>
                <w:sz w:val="21"/>
              </w:rPr>
            </w:pPr>
            <w:r>
              <w:rPr>
                <w:sz w:val="21"/>
              </w:rPr>
              <w:t>221,425.59</w:t>
            </w:r>
          </w:p>
        </w:tc>
      </w:tr>
      <w:tr>
        <w:trPr>
          <w:trHeight w:val="369" w:hRule="atLeast"/>
        </w:trPr>
        <w:tc>
          <w:tcPr>
            <w:tcW w:w="3262"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应付账款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-1,964,381.05</w:t>
            </w:r>
          </w:p>
        </w:tc>
        <w:tc>
          <w:tcPr>
            <w:tcW w:w="2552"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-1,964,381.05</w:t>
            </w:r>
          </w:p>
        </w:tc>
      </w:tr>
      <w:tr>
        <w:trPr>
          <w:trHeight w:val="369" w:hRule="atLeast"/>
        </w:trPr>
        <w:tc>
          <w:tcPr>
            <w:tcW w:w="3262"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预收款项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-10,495,805.40</w:t>
            </w:r>
          </w:p>
        </w:tc>
        <w:tc>
          <w:tcPr>
            <w:tcW w:w="2552"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-10,495,805.40</w:t>
            </w:r>
          </w:p>
        </w:tc>
      </w:tr>
      <w:tr>
        <w:trPr>
          <w:trHeight w:val="369" w:hRule="atLeast"/>
        </w:trPr>
        <w:tc>
          <w:tcPr>
            <w:tcW w:w="3262"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应付职工薪酬</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-747,591.42</w:t>
            </w:r>
          </w:p>
        </w:tc>
        <w:tc>
          <w:tcPr>
            <w:tcW w:w="2552"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-747,591.42</w:t>
            </w:r>
          </w:p>
        </w:tc>
      </w:tr>
      <w:tr>
        <w:trPr>
          <w:trHeight w:val="369" w:hRule="atLeast"/>
        </w:trPr>
        <w:tc>
          <w:tcPr>
            <w:tcW w:w="3262"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应交税费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-155,049.94</w:t>
            </w:r>
          </w:p>
        </w:tc>
        <w:tc>
          <w:tcPr>
            <w:tcW w:w="2552"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-155,049.94</w:t>
            </w:r>
          </w:p>
        </w:tc>
      </w:tr>
      <w:tr>
        <w:trPr>
          <w:trHeight w:val="369" w:hRule="atLeast"/>
        </w:trPr>
        <w:tc>
          <w:tcPr>
            <w:tcW w:w="3262"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其他应付款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-179,924.13</w:t>
            </w:r>
          </w:p>
        </w:tc>
        <w:tc>
          <w:tcPr>
            <w:tcW w:w="2552"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-179,924.13</w:t>
            </w:r>
          </w:p>
        </w:tc>
      </w:tr>
      <w:tr>
        <w:trPr>
          <w:trHeight w:val="366" w:hRule="atLeast"/>
        </w:trPr>
        <w:tc>
          <w:tcPr>
            <w:tcW w:w="3262" w:type="dxa"/>
            <w:tcBorders>
              <w:top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净资产</w:t>
            </w:r>
          </w:p>
        </w:tc>
        <w:tc>
          <w:tcPr>
            <w:tcW w:w="2693" w:type="dxa"/>
            <w:tcBorders>
              <w:top w:val="single" w:sz="4" w:space="0" w:color="000000"/>
              <w:left w:val="single" w:sz="4" w:space="0" w:color="000000"/>
              <w:right w:val="single" w:sz="4" w:space="0" w:color="000000"/>
            </w:tcBorders>
          </w:tcPr>
          <w:p>
            <w:pPr>
              <w:pStyle w:val="TableParagraph"/>
              <w:spacing w:before="58"/>
              <w:ind w:right="83"/>
              <w:jc w:val="right"/>
              <w:rPr>
                <w:sz w:val="21"/>
              </w:rPr>
            </w:pPr>
            <w:r>
              <w:rPr>
                <w:sz w:val="21"/>
              </w:rPr>
              <w:t>35,825,672.06</w:t>
            </w:r>
          </w:p>
        </w:tc>
        <w:tc>
          <w:tcPr>
            <w:tcW w:w="2552" w:type="dxa"/>
            <w:tcBorders>
              <w:top w:val="single" w:sz="4" w:space="0" w:color="000000"/>
              <w:left w:val="single" w:sz="4" w:space="0" w:color="000000"/>
            </w:tcBorders>
          </w:tcPr>
          <w:p>
            <w:pPr>
              <w:pStyle w:val="TableParagraph"/>
              <w:spacing w:before="58"/>
              <w:ind w:right="73"/>
              <w:jc w:val="right"/>
              <w:rPr>
                <w:sz w:val="21"/>
              </w:rPr>
            </w:pPr>
            <w:r>
              <w:rPr>
                <w:sz w:val="21"/>
              </w:rPr>
              <w:t>26,907,172.06</w:t>
            </w:r>
          </w:p>
        </w:tc>
      </w:tr>
    </w:tbl>
    <w:p>
      <w:pPr>
        <w:spacing w:after="0"/>
        <w:jc w:val="right"/>
        <w:rPr>
          <w:sz w:val="21"/>
        </w:rPr>
        <w:sectPr>
          <w:pgSz w:w="11910" w:h="16840"/>
          <w:pgMar w:header="876" w:footer="1203" w:top="1440" w:bottom="1400" w:left="260" w:right="0"/>
        </w:sectPr>
      </w:pPr>
    </w:p>
    <w:p>
      <w:pPr>
        <w:pStyle w:val="BodyText"/>
        <w:spacing w:before="9"/>
        <w:rPr>
          <w:rFonts w:ascii="Times New Roman"/>
          <w:sz w:val="5"/>
        </w:rPr>
      </w:pPr>
    </w:p>
    <w:tbl>
      <w:tblPr>
        <w:tblW w:w="0" w:type="auto"/>
        <w:jc w:val="left"/>
        <w:tblInd w:w="15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262"/>
        <w:gridCol w:w="2693"/>
        <w:gridCol w:w="2552"/>
      </w:tblGrid>
      <w:tr>
        <w:trPr>
          <w:trHeight w:val="371" w:hRule="atLeast"/>
        </w:trPr>
        <w:tc>
          <w:tcPr>
            <w:tcW w:w="3262" w:type="dxa"/>
            <w:tcBorders>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减：少数股东权益</w:t>
            </w:r>
          </w:p>
        </w:tc>
        <w:tc>
          <w:tcPr>
            <w:tcW w:w="2693" w:type="dxa"/>
            <w:tcBorders>
              <w:left w:val="single" w:sz="4" w:space="0" w:color="000000"/>
              <w:bottom w:val="single" w:sz="4" w:space="0" w:color="000000"/>
              <w:right w:val="single" w:sz="4" w:space="0" w:color="000000"/>
            </w:tcBorders>
          </w:tcPr>
          <w:p>
            <w:pPr>
              <w:pStyle w:val="TableParagraph"/>
              <w:spacing w:before="58"/>
              <w:ind w:right="86"/>
              <w:jc w:val="right"/>
              <w:rPr>
                <w:sz w:val="21"/>
              </w:rPr>
            </w:pPr>
            <w:r>
              <w:rPr>
                <w:sz w:val="21"/>
              </w:rPr>
              <w:t>-8,341,294.76</w:t>
            </w:r>
          </w:p>
        </w:tc>
        <w:tc>
          <w:tcPr>
            <w:tcW w:w="2552" w:type="dxa"/>
            <w:tcBorders>
              <w:left w:val="single" w:sz="4" w:space="0" w:color="000000"/>
              <w:bottom w:val="single" w:sz="4" w:space="0" w:color="000000"/>
            </w:tcBorders>
          </w:tcPr>
          <w:p>
            <w:pPr>
              <w:pStyle w:val="TableParagraph"/>
              <w:spacing w:before="58"/>
              <w:ind w:right="76"/>
              <w:jc w:val="right"/>
              <w:rPr>
                <w:sz w:val="21"/>
              </w:rPr>
            </w:pPr>
            <w:r>
              <w:rPr>
                <w:sz w:val="21"/>
              </w:rPr>
              <w:t>-6,264,799.52</w:t>
            </w:r>
          </w:p>
        </w:tc>
      </w:tr>
      <w:tr>
        <w:trPr>
          <w:trHeight w:val="366" w:hRule="atLeast"/>
        </w:trPr>
        <w:tc>
          <w:tcPr>
            <w:tcW w:w="3262" w:type="dxa"/>
            <w:tcBorders>
              <w:top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取得的净资产</w:t>
            </w:r>
          </w:p>
        </w:tc>
        <w:tc>
          <w:tcPr>
            <w:tcW w:w="2693" w:type="dxa"/>
            <w:tcBorders>
              <w:top w:val="single" w:sz="4" w:space="0" w:color="000000"/>
              <w:left w:val="single" w:sz="4" w:space="0" w:color="000000"/>
              <w:right w:val="single" w:sz="4" w:space="0" w:color="000000"/>
            </w:tcBorders>
          </w:tcPr>
          <w:p>
            <w:pPr>
              <w:pStyle w:val="TableParagraph"/>
              <w:spacing w:before="55"/>
              <w:ind w:right="83"/>
              <w:jc w:val="right"/>
              <w:rPr>
                <w:sz w:val="21"/>
              </w:rPr>
            </w:pPr>
            <w:r>
              <w:rPr>
                <w:sz w:val="21"/>
              </w:rPr>
              <w:t>27,484,377.30</w:t>
            </w:r>
          </w:p>
        </w:tc>
        <w:tc>
          <w:tcPr>
            <w:tcW w:w="2552" w:type="dxa"/>
            <w:tcBorders>
              <w:top w:val="single" w:sz="4" w:space="0" w:color="000000"/>
              <w:left w:val="single" w:sz="4" w:space="0" w:color="000000"/>
            </w:tcBorders>
          </w:tcPr>
          <w:p>
            <w:pPr>
              <w:pStyle w:val="TableParagraph"/>
              <w:spacing w:before="55"/>
              <w:ind w:right="73"/>
              <w:jc w:val="right"/>
              <w:rPr>
                <w:sz w:val="21"/>
              </w:rPr>
            </w:pPr>
            <w:r>
              <w:rPr>
                <w:sz w:val="21"/>
              </w:rPr>
              <w:t>20,642,372.54</w:t>
            </w:r>
          </w:p>
        </w:tc>
      </w:tr>
    </w:tbl>
    <w:p>
      <w:pPr>
        <w:pStyle w:val="BodyText"/>
        <w:rPr>
          <w:rFonts w:ascii="Times New Roman"/>
          <w:sz w:val="20"/>
        </w:rPr>
      </w:pPr>
    </w:p>
    <w:p>
      <w:pPr>
        <w:pStyle w:val="BodyText"/>
        <w:rPr>
          <w:rFonts w:ascii="Times New Roman"/>
          <w:sz w:val="20"/>
        </w:rPr>
      </w:pPr>
    </w:p>
    <w:p>
      <w:pPr>
        <w:pStyle w:val="BodyText"/>
        <w:spacing w:before="4" w:after="1"/>
        <w:rPr>
          <w:rFonts w:ascii="Times New Roman"/>
          <w:sz w:val="12"/>
        </w:rPr>
      </w:pPr>
    </w:p>
    <w:tbl>
      <w:tblPr>
        <w:tblW w:w="0" w:type="auto"/>
        <w:jc w:val="left"/>
        <w:tblInd w:w="15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262"/>
        <w:gridCol w:w="2693"/>
        <w:gridCol w:w="2552"/>
      </w:tblGrid>
      <w:tr>
        <w:trPr>
          <w:trHeight w:val="301" w:hRule="atLeast"/>
        </w:trPr>
        <w:tc>
          <w:tcPr>
            <w:tcW w:w="3262" w:type="dxa"/>
            <w:vMerge w:val="restart"/>
            <w:tcBorders>
              <w:bottom w:val="single" w:sz="4" w:space="0" w:color="000000"/>
              <w:right w:val="single" w:sz="4" w:space="0" w:color="000000"/>
            </w:tcBorders>
          </w:tcPr>
          <w:p>
            <w:pPr>
              <w:pStyle w:val="TableParagraph"/>
              <w:spacing w:before="97"/>
              <w:ind w:left="1398" w:right="1383"/>
              <w:jc w:val="center"/>
              <w:rPr>
                <w:rFonts w:ascii="Microsoft JhengHei" w:eastAsia="Microsoft JhengHei" w:hint="eastAsia"/>
                <w:b/>
                <w:sz w:val="21"/>
              </w:rPr>
            </w:pPr>
            <w:r>
              <w:rPr>
                <w:rFonts w:ascii="Microsoft JhengHei" w:eastAsia="Microsoft JhengHei" w:hint="eastAsia"/>
                <w:b/>
                <w:sz w:val="21"/>
              </w:rPr>
              <w:t>项目</w:t>
            </w:r>
          </w:p>
        </w:tc>
        <w:tc>
          <w:tcPr>
            <w:tcW w:w="5245" w:type="dxa"/>
            <w:gridSpan w:val="2"/>
            <w:tcBorders>
              <w:left w:val="single" w:sz="4" w:space="0" w:color="000000"/>
              <w:bottom w:val="single" w:sz="4" w:space="0" w:color="000000"/>
            </w:tcBorders>
          </w:tcPr>
          <w:p>
            <w:pPr>
              <w:pStyle w:val="TableParagraph"/>
              <w:spacing w:line="282" w:lineRule="exact"/>
              <w:ind w:left="1365"/>
              <w:rPr>
                <w:rFonts w:ascii="Microsoft JhengHei" w:eastAsia="Microsoft JhengHei" w:hint="eastAsia"/>
                <w:b/>
                <w:sz w:val="21"/>
              </w:rPr>
            </w:pPr>
            <w:r>
              <w:rPr>
                <w:rFonts w:ascii="Microsoft JhengHei" w:eastAsia="Microsoft JhengHei" w:hint="eastAsia"/>
                <w:b/>
                <w:sz w:val="21"/>
              </w:rPr>
              <w:t>青岛海瑞洁净电子有限公司</w:t>
            </w:r>
          </w:p>
        </w:tc>
      </w:tr>
      <w:tr>
        <w:trPr>
          <w:trHeight w:val="290" w:hRule="atLeast"/>
        </w:trPr>
        <w:tc>
          <w:tcPr>
            <w:tcW w:w="3262" w:type="dxa"/>
            <w:vMerge/>
            <w:tcBorders>
              <w:top w:val="nil"/>
              <w:bottom w:val="single" w:sz="4" w:space="0" w:color="000000"/>
              <w:right w:val="single" w:sz="4" w:space="0" w:color="000000"/>
            </w:tcBorders>
          </w:tcPr>
          <w:p>
            <w:pPr>
              <w:rPr>
                <w:sz w:val="2"/>
                <w:szCs w:val="2"/>
              </w:rPr>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915" w:right="887"/>
              <w:jc w:val="center"/>
              <w:rPr>
                <w:rFonts w:ascii="Microsoft JhengHei" w:eastAsia="Microsoft JhengHei" w:hint="eastAsia"/>
                <w:b/>
                <w:sz w:val="21"/>
              </w:rPr>
            </w:pPr>
            <w:r>
              <w:rPr>
                <w:rFonts w:ascii="Microsoft JhengHei" w:eastAsia="Microsoft JhengHei" w:hint="eastAsia"/>
                <w:b/>
                <w:sz w:val="21"/>
              </w:rPr>
              <w:t>公允价值</w:t>
            </w:r>
          </w:p>
        </w:tc>
        <w:tc>
          <w:tcPr>
            <w:tcW w:w="2552" w:type="dxa"/>
            <w:tcBorders>
              <w:top w:val="single" w:sz="4" w:space="0" w:color="000000"/>
              <w:left w:val="single" w:sz="4" w:space="0" w:color="000000"/>
              <w:bottom w:val="single" w:sz="4" w:space="0" w:color="000000"/>
            </w:tcBorders>
          </w:tcPr>
          <w:p>
            <w:pPr>
              <w:pStyle w:val="TableParagraph"/>
              <w:spacing w:line="270" w:lineRule="exact"/>
              <w:ind w:left="864"/>
              <w:rPr>
                <w:rFonts w:ascii="Microsoft JhengHei" w:eastAsia="Microsoft JhengHei" w:hint="eastAsia"/>
                <w:b/>
                <w:sz w:val="21"/>
              </w:rPr>
            </w:pPr>
            <w:r>
              <w:rPr>
                <w:rFonts w:ascii="Microsoft JhengHei" w:eastAsia="Microsoft JhengHei" w:hint="eastAsia"/>
                <w:b/>
                <w:sz w:val="21"/>
              </w:rPr>
              <w:t>账面价值</w:t>
            </w:r>
          </w:p>
        </w:tc>
      </w:tr>
      <w:tr>
        <w:trPr>
          <w:trHeight w:val="366" w:hRule="atLeast"/>
        </w:trPr>
        <w:tc>
          <w:tcPr>
            <w:tcW w:w="3262"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货币资金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5"/>
              <w:ind w:right="83"/>
              <w:jc w:val="right"/>
              <w:rPr>
                <w:sz w:val="21"/>
              </w:rPr>
            </w:pPr>
            <w:r>
              <w:rPr>
                <w:sz w:val="21"/>
              </w:rPr>
              <w:t>2,180,498.08</w:t>
            </w:r>
          </w:p>
        </w:tc>
        <w:tc>
          <w:tcPr>
            <w:tcW w:w="2552" w:type="dxa"/>
            <w:tcBorders>
              <w:top w:val="single" w:sz="4" w:space="0" w:color="000000"/>
              <w:left w:val="single" w:sz="4" w:space="0" w:color="000000"/>
              <w:bottom w:val="single" w:sz="4" w:space="0" w:color="000000"/>
            </w:tcBorders>
          </w:tcPr>
          <w:p>
            <w:pPr>
              <w:pStyle w:val="TableParagraph"/>
              <w:spacing w:before="55"/>
              <w:ind w:right="73"/>
              <w:jc w:val="right"/>
              <w:rPr>
                <w:sz w:val="21"/>
              </w:rPr>
            </w:pPr>
            <w:r>
              <w:rPr>
                <w:sz w:val="21"/>
              </w:rPr>
              <w:t>2,180,498.08</w:t>
            </w:r>
          </w:p>
        </w:tc>
      </w:tr>
      <w:tr>
        <w:trPr>
          <w:trHeight w:val="369" w:hRule="atLeast"/>
        </w:trPr>
        <w:tc>
          <w:tcPr>
            <w:tcW w:w="3262"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应收账款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8"/>
              <w:ind w:right="86"/>
              <w:jc w:val="right"/>
              <w:rPr>
                <w:sz w:val="21"/>
              </w:rPr>
            </w:pPr>
            <w:r>
              <w:rPr>
                <w:sz w:val="21"/>
              </w:rPr>
              <w:t>245,769.68</w:t>
            </w:r>
          </w:p>
        </w:tc>
        <w:tc>
          <w:tcPr>
            <w:tcW w:w="2552" w:type="dxa"/>
            <w:tcBorders>
              <w:top w:val="single" w:sz="4" w:space="0" w:color="000000"/>
              <w:left w:val="single" w:sz="4" w:space="0" w:color="000000"/>
              <w:bottom w:val="single" w:sz="4" w:space="0" w:color="000000"/>
            </w:tcBorders>
          </w:tcPr>
          <w:p>
            <w:pPr>
              <w:pStyle w:val="TableParagraph"/>
              <w:spacing w:before="58"/>
              <w:ind w:right="76"/>
              <w:jc w:val="right"/>
              <w:rPr>
                <w:sz w:val="21"/>
              </w:rPr>
            </w:pPr>
            <w:r>
              <w:rPr>
                <w:sz w:val="21"/>
              </w:rPr>
              <w:t>245,769.68</w:t>
            </w:r>
          </w:p>
        </w:tc>
      </w:tr>
      <w:tr>
        <w:trPr>
          <w:trHeight w:val="369" w:hRule="atLeast"/>
        </w:trPr>
        <w:tc>
          <w:tcPr>
            <w:tcW w:w="3262"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预付款项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8"/>
              <w:ind w:right="86"/>
              <w:jc w:val="right"/>
              <w:rPr>
                <w:sz w:val="21"/>
              </w:rPr>
            </w:pPr>
            <w:r>
              <w:rPr>
                <w:sz w:val="21"/>
              </w:rPr>
              <w:t>585,894.25</w:t>
            </w:r>
          </w:p>
        </w:tc>
        <w:tc>
          <w:tcPr>
            <w:tcW w:w="2552" w:type="dxa"/>
            <w:tcBorders>
              <w:top w:val="single" w:sz="4" w:space="0" w:color="000000"/>
              <w:left w:val="single" w:sz="4" w:space="0" w:color="000000"/>
              <w:bottom w:val="single" w:sz="4" w:space="0" w:color="000000"/>
            </w:tcBorders>
          </w:tcPr>
          <w:p>
            <w:pPr>
              <w:pStyle w:val="TableParagraph"/>
              <w:spacing w:before="58"/>
              <w:ind w:right="76"/>
              <w:jc w:val="right"/>
              <w:rPr>
                <w:sz w:val="21"/>
              </w:rPr>
            </w:pPr>
            <w:r>
              <w:rPr>
                <w:sz w:val="21"/>
              </w:rPr>
              <w:t>585,894.25</w:t>
            </w:r>
          </w:p>
        </w:tc>
      </w:tr>
      <w:tr>
        <w:trPr>
          <w:trHeight w:val="369" w:hRule="atLeast"/>
        </w:trPr>
        <w:tc>
          <w:tcPr>
            <w:tcW w:w="3262"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其他应收款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2,139,547.65</w:t>
            </w:r>
          </w:p>
        </w:tc>
        <w:tc>
          <w:tcPr>
            <w:tcW w:w="2552" w:type="dxa"/>
            <w:tcBorders>
              <w:top w:val="single" w:sz="4" w:space="0" w:color="000000"/>
              <w:left w:val="single" w:sz="4" w:space="0" w:color="000000"/>
              <w:bottom w:val="single" w:sz="4" w:space="0" w:color="000000"/>
            </w:tcBorders>
          </w:tcPr>
          <w:p>
            <w:pPr>
              <w:pStyle w:val="TableParagraph"/>
              <w:spacing w:before="58"/>
              <w:ind w:right="73"/>
              <w:jc w:val="right"/>
              <w:rPr>
                <w:sz w:val="21"/>
              </w:rPr>
            </w:pPr>
            <w:r>
              <w:rPr>
                <w:sz w:val="21"/>
              </w:rPr>
              <w:t>2,139,547.65</w:t>
            </w:r>
          </w:p>
        </w:tc>
      </w:tr>
      <w:tr>
        <w:trPr>
          <w:trHeight w:val="369" w:hRule="atLeast"/>
        </w:trPr>
        <w:tc>
          <w:tcPr>
            <w:tcW w:w="3262" w:type="dxa"/>
            <w:tcBorders>
              <w:top w:val="single" w:sz="4" w:space="0" w:color="000000"/>
              <w:bottom w:val="single" w:sz="4" w:space="0" w:color="000000"/>
              <w:right w:val="single" w:sz="4" w:space="0" w:color="000000"/>
            </w:tcBorders>
          </w:tcPr>
          <w:p>
            <w:pPr>
              <w:pStyle w:val="TableParagraph"/>
              <w:spacing w:before="52"/>
              <w:ind w:left="107"/>
              <w:rPr>
                <w:rFonts w:ascii="宋体" w:eastAsia="宋体" w:hint="eastAsia"/>
                <w:sz w:val="21"/>
              </w:rPr>
            </w:pPr>
            <w:r>
              <w:rPr>
                <w:rFonts w:ascii="宋体" w:eastAsia="宋体" w:hint="eastAsia"/>
                <w:sz w:val="21"/>
              </w:rPr>
              <w:t>存货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8"/>
              <w:ind w:right="86"/>
              <w:jc w:val="right"/>
              <w:rPr>
                <w:sz w:val="21"/>
              </w:rPr>
            </w:pPr>
            <w:r>
              <w:rPr>
                <w:sz w:val="21"/>
              </w:rPr>
              <w:t>345,575.28</w:t>
            </w:r>
          </w:p>
        </w:tc>
        <w:tc>
          <w:tcPr>
            <w:tcW w:w="2552" w:type="dxa"/>
            <w:tcBorders>
              <w:top w:val="single" w:sz="4" w:space="0" w:color="000000"/>
              <w:left w:val="single" w:sz="4" w:space="0" w:color="000000"/>
              <w:bottom w:val="single" w:sz="4" w:space="0" w:color="000000"/>
            </w:tcBorders>
          </w:tcPr>
          <w:p>
            <w:pPr>
              <w:pStyle w:val="TableParagraph"/>
              <w:spacing w:before="58"/>
              <w:ind w:right="76"/>
              <w:jc w:val="right"/>
              <w:rPr>
                <w:sz w:val="21"/>
              </w:rPr>
            </w:pPr>
            <w:r>
              <w:rPr>
                <w:sz w:val="21"/>
              </w:rPr>
              <w:t>345,575.28</w:t>
            </w:r>
          </w:p>
        </w:tc>
      </w:tr>
      <w:tr>
        <w:trPr>
          <w:trHeight w:val="369" w:hRule="atLeast"/>
        </w:trPr>
        <w:tc>
          <w:tcPr>
            <w:tcW w:w="3262"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其他流动资产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8"/>
              <w:ind w:right="86"/>
              <w:jc w:val="right"/>
              <w:rPr>
                <w:sz w:val="21"/>
              </w:rPr>
            </w:pPr>
            <w:r>
              <w:rPr>
                <w:sz w:val="21"/>
              </w:rPr>
              <w:t>29,000.00</w:t>
            </w:r>
          </w:p>
        </w:tc>
        <w:tc>
          <w:tcPr>
            <w:tcW w:w="2552" w:type="dxa"/>
            <w:tcBorders>
              <w:top w:val="single" w:sz="4" w:space="0" w:color="000000"/>
              <w:left w:val="single" w:sz="4" w:space="0" w:color="000000"/>
              <w:bottom w:val="single" w:sz="4" w:space="0" w:color="000000"/>
            </w:tcBorders>
          </w:tcPr>
          <w:p>
            <w:pPr>
              <w:pStyle w:val="TableParagraph"/>
              <w:spacing w:before="58"/>
              <w:ind w:right="76"/>
              <w:jc w:val="right"/>
              <w:rPr>
                <w:sz w:val="21"/>
              </w:rPr>
            </w:pPr>
            <w:r>
              <w:rPr>
                <w:sz w:val="21"/>
              </w:rPr>
              <w:t>29,000.00</w:t>
            </w:r>
          </w:p>
        </w:tc>
      </w:tr>
      <w:tr>
        <w:trPr>
          <w:trHeight w:val="369" w:hRule="atLeast"/>
        </w:trPr>
        <w:tc>
          <w:tcPr>
            <w:tcW w:w="3262"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固定资产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8"/>
              <w:ind w:right="86"/>
              <w:jc w:val="right"/>
              <w:rPr>
                <w:sz w:val="21"/>
              </w:rPr>
            </w:pPr>
            <w:r>
              <w:rPr>
                <w:sz w:val="21"/>
              </w:rPr>
              <w:t>38,960.64</w:t>
            </w:r>
          </w:p>
        </w:tc>
        <w:tc>
          <w:tcPr>
            <w:tcW w:w="2552" w:type="dxa"/>
            <w:tcBorders>
              <w:top w:val="single" w:sz="4" w:space="0" w:color="000000"/>
              <w:left w:val="single" w:sz="4" w:space="0" w:color="000000"/>
              <w:bottom w:val="single" w:sz="4" w:space="0" w:color="000000"/>
            </w:tcBorders>
          </w:tcPr>
          <w:p>
            <w:pPr>
              <w:pStyle w:val="TableParagraph"/>
              <w:spacing w:before="58"/>
              <w:ind w:right="76"/>
              <w:jc w:val="right"/>
              <w:rPr>
                <w:sz w:val="21"/>
              </w:rPr>
            </w:pPr>
            <w:r>
              <w:rPr>
                <w:sz w:val="21"/>
              </w:rPr>
              <w:t>38,960.64</w:t>
            </w:r>
          </w:p>
        </w:tc>
      </w:tr>
      <w:tr>
        <w:trPr>
          <w:trHeight w:val="369" w:hRule="atLeast"/>
        </w:trPr>
        <w:tc>
          <w:tcPr>
            <w:tcW w:w="3262"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应付账款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-991,460.73</w:t>
            </w:r>
          </w:p>
        </w:tc>
        <w:tc>
          <w:tcPr>
            <w:tcW w:w="2552"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-991,460.73</w:t>
            </w:r>
          </w:p>
        </w:tc>
      </w:tr>
      <w:tr>
        <w:trPr>
          <w:trHeight w:val="369" w:hRule="atLeast"/>
        </w:trPr>
        <w:tc>
          <w:tcPr>
            <w:tcW w:w="3262"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合同负债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-244,897.66</w:t>
            </w:r>
          </w:p>
        </w:tc>
        <w:tc>
          <w:tcPr>
            <w:tcW w:w="2552"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-244,897.66</w:t>
            </w:r>
          </w:p>
        </w:tc>
      </w:tr>
      <w:tr>
        <w:trPr>
          <w:trHeight w:val="369" w:hRule="atLeast"/>
        </w:trPr>
        <w:tc>
          <w:tcPr>
            <w:tcW w:w="3262"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应付职工薪酬</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-244,854.04</w:t>
            </w:r>
          </w:p>
        </w:tc>
        <w:tc>
          <w:tcPr>
            <w:tcW w:w="2552"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-244,854.04</w:t>
            </w:r>
          </w:p>
        </w:tc>
      </w:tr>
      <w:tr>
        <w:trPr>
          <w:trHeight w:val="369" w:hRule="atLeast"/>
        </w:trPr>
        <w:tc>
          <w:tcPr>
            <w:tcW w:w="3262"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应交税费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5"/>
              <w:ind w:right="83"/>
              <w:jc w:val="right"/>
              <w:rPr>
                <w:sz w:val="21"/>
              </w:rPr>
            </w:pPr>
            <w:r>
              <w:rPr>
                <w:sz w:val="21"/>
              </w:rPr>
              <w:t>-107,319.46</w:t>
            </w:r>
          </w:p>
        </w:tc>
        <w:tc>
          <w:tcPr>
            <w:tcW w:w="2552" w:type="dxa"/>
            <w:tcBorders>
              <w:top w:val="single" w:sz="4" w:space="0" w:color="000000"/>
              <w:left w:val="single" w:sz="4" w:space="0" w:color="000000"/>
              <w:bottom w:val="single" w:sz="4" w:space="0" w:color="000000"/>
            </w:tcBorders>
          </w:tcPr>
          <w:p>
            <w:pPr>
              <w:pStyle w:val="TableParagraph"/>
              <w:spacing w:before="55"/>
              <w:ind w:right="74"/>
              <w:jc w:val="right"/>
              <w:rPr>
                <w:sz w:val="21"/>
              </w:rPr>
            </w:pPr>
            <w:r>
              <w:rPr>
                <w:sz w:val="21"/>
              </w:rPr>
              <w:t>-107,319.46</w:t>
            </w:r>
          </w:p>
        </w:tc>
      </w:tr>
      <w:tr>
        <w:trPr>
          <w:trHeight w:val="369" w:hRule="atLeast"/>
        </w:trPr>
        <w:tc>
          <w:tcPr>
            <w:tcW w:w="3262"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其他应付款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5"/>
              <w:ind w:right="86"/>
              <w:jc w:val="right"/>
              <w:rPr>
                <w:sz w:val="21"/>
              </w:rPr>
            </w:pPr>
            <w:r>
              <w:rPr>
                <w:sz w:val="21"/>
              </w:rPr>
              <w:t>-11,029.81</w:t>
            </w:r>
          </w:p>
        </w:tc>
        <w:tc>
          <w:tcPr>
            <w:tcW w:w="2552" w:type="dxa"/>
            <w:tcBorders>
              <w:top w:val="single" w:sz="4" w:space="0" w:color="000000"/>
              <w:left w:val="single" w:sz="4" w:space="0" w:color="000000"/>
              <w:bottom w:val="single" w:sz="4" w:space="0" w:color="000000"/>
            </w:tcBorders>
          </w:tcPr>
          <w:p>
            <w:pPr>
              <w:pStyle w:val="TableParagraph"/>
              <w:spacing w:before="55"/>
              <w:ind w:right="76"/>
              <w:jc w:val="right"/>
              <w:rPr>
                <w:sz w:val="21"/>
              </w:rPr>
            </w:pPr>
            <w:r>
              <w:rPr>
                <w:sz w:val="21"/>
              </w:rPr>
              <w:t>-11,029.81</w:t>
            </w:r>
          </w:p>
        </w:tc>
      </w:tr>
      <w:tr>
        <w:trPr>
          <w:trHeight w:val="366" w:hRule="atLeast"/>
        </w:trPr>
        <w:tc>
          <w:tcPr>
            <w:tcW w:w="3262"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净资产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5"/>
              <w:ind w:right="83"/>
              <w:jc w:val="right"/>
              <w:rPr>
                <w:sz w:val="21"/>
              </w:rPr>
            </w:pPr>
            <w:r>
              <w:rPr>
                <w:sz w:val="21"/>
              </w:rPr>
              <w:t>3,965,683.88</w:t>
            </w:r>
          </w:p>
        </w:tc>
        <w:tc>
          <w:tcPr>
            <w:tcW w:w="2552" w:type="dxa"/>
            <w:tcBorders>
              <w:top w:val="single" w:sz="4" w:space="0" w:color="000000"/>
              <w:left w:val="single" w:sz="4" w:space="0" w:color="000000"/>
              <w:bottom w:val="single" w:sz="4" w:space="0" w:color="000000"/>
            </w:tcBorders>
          </w:tcPr>
          <w:p>
            <w:pPr>
              <w:pStyle w:val="TableParagraph"/>
              <w:spacing w:before="55"/>
              <w:ind w:right="73"/>
              <w:jc w:val="right"/>
              <w:rPr>
                <w:sz w:val="21"/>
              </w:rPr>
            </w:pPr>
            <w:r>
              <w:rPr>
                <w:sz w:val="21"/>
              </w:rPr>
              <w:t>3,965,683.88</w:t>
            </w:r>
          </w:p>
        </w:tc>
      </w:tr>
      <w:tr>
        <w:trPr>
          <w:trHeight w:val="369" w:hRule="atLeast"/>
        </w:trPr>
        <w:tc>
          <w:tcPr>
            <w:tcW w:w="3262"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减：少数股东权益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8"/>
              <w:ind w:right="86"/>
              <w:jc w:val="right"/>
              <w:rPr>
                <w:sz w:val="21"/>
              </w:rPr>
            </w:pPr>
            <w:r>
              <w:rPr>
                <w:sz w:val="21"/>
              </w:rPr>
              <w:t>-1,943,185.10</w:t>
            </w:r>
          </w:p>
        </w:tc>
        <w:tc>
          <w:tcPr>
            <w:tcW w:w="2552" w:type="dxa"/>
            <w:tcBorders>
              <w:top w:val="single" w:sz="4" w:space="0" w:color="000000"/>
              <w:left w:val="single" w:sz="4" w:space="0" w:color="000000"/>
              <w:bottom w:val="single" w:sz="4" w:space="0" w:color="000000"/>
            </w:tcBorders>
          </w:tcPr>
          <w:p>
            <w:pPr>
              <w:pStyle w:val="TableParagraph"/>
              <w:spacing w:before="58"/>
              <w:ind w:right="76"/>
              <w:jc w:val="right"/>
              <w:rPr>
                <w:sz w:val="21"/>
              </w:rPr>
            </w:pPr>
            <w:r>
              <w:rPr>
                <w:sz w:val="21"/>
              </w:rPr>
              <w:t>-1,943,185.10</w:t>
            </w:r>
          </w:p>
        </w:tc>
      </w:tr>
      <w:tr>
        <w:trPr>
          <w:trHeight w:val="369" w:hRule="atLeast"/>
        </w:trPr>
        <w:tc>
          <w:tcPr>
            <w:tcW w:w="3262" w:type="dxa"/>
            <w:tcBorders>
              <w:top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取得的净资产</w:t>
            </w:r>
          </w:p>
        </w:tc>
        <w:tc>
          <w:tcPr>
            <w:tcW w:w="2693" w:type="dxa"/>
            <w:tcBorders>
              <w:top w:val="single" w:sz="4" w:space="0" w:color="000000"/>
              <w:left w:val="single" w:sz="4" w:space="0" w:color="000000"/>
              <w:right w:val="single" w:sz="4" w:space="0" w:color="000000"/>
            </w:tcBorders>
          </w:tcPr>
          <w:p>
            <w:pPr>
              <w:pStyle w:val="TableParagraph"/>
              <w:spacing w:before="58"/>
              <w:ind w:right="83"/>
              <w:jc w:val="right"/>
              <w:rPr>
                <w:sz w:val="21"/>
              </w:rPr>
            </w:pPr>
            <w:r>
              <w:rPr>
                <w:sz w:val="21"/>
              </w:rPr>
              <w:t>2,022,498.78</w:t>
            </w:r>
          </w:p>
        </w:tc>
        <w:tc>
          <w:tcPr>
            <w:tcW w:w="2552" w:type="dxa"/>
            <w:tcBorders>
              <w:top w:val="single" w:sz="4" w:space="0" w:color="000000"/>
              <w:left w:val="single" w:sz="4" w:space="0" w:color="000000"/>
            </w:tcBorders>
          </w:tcPr>
          <w:p>
            <w:pPr>
              <w:pStyle w:val="TableParagraph"/>
              <w:spacing w:before="58"/>
              <w:ind w:right="73"/>
              <w:jc w:val="right"/>
              <w:rPr>
                <w:sz w:val="21"/>
              </w:rPr>
            </w:pPr>
            <w:r>
              <w:rPr>
                <w:sz w:val="21"/>
              </w:rPr>
              <w:t>2,022,498.78</w:t>
            </w:r>
          </w:p>
        </w:tc>
      </w:tr>
    </w:tbl>
    <w:p>
      <w:pPr>
        <w:pStyle w:val="BodyText"/>
        <w:spacing w:before="6"/>
        <w:rPr>
          <w:rFonts w:ascii="Times New Roman"/>
          <w:sz w:val="19"/>
        </w:rPr>
      </w:pPr>
    </w:p>
    <w:p>
      <w:pPr>
        <w:pStyle w:val="Heading4"/>
        <w:spacing w:before="10"/>
      </w:pPr>
      <w:r>
        <w:rPr>
          <w:rFonts w:ascii="Times New Roman" w:eastAsia="Times New Roman"/>
        </w:rPr>
        <w:t>2</w:t>
      </w:r>
      <w:r>
        <w:rPr/>
        <w:t>、 同一控制下企业合并</w:t>
      </w:r>
    </w:p>
    <w:p>
      <w:pPr>
        <w:pStyle w:val="BodyText"/>
        <w:spacing w:before="16"/>
        <w:ind w:left="1538"/>
      </w:pPr>
      <w:r>
        <w:rPr/>
        <w:t>□适用 √不适用</w:t>
      </w:r>
    </w:p>
    <w:p>
      <w:pPr>
        <w:pStyle w:val="BodyText"/>
        <w:spacing w:before="5"/>
        <w:rPr>
          <w:sz w:val="18"/>
        </w:rPr>
      </w:pPr>
    </w:p>
    <w:p>
      <w:pPr>
        <w:pStyle w:val="Heading4"/>
      </w:pPr>
      <w:r>
        <w:rPr>
          <w:rFonts w:ascii="Times New Roman" w:eastAsia="Times New Roman"/>
        </w:rPr>
        <w:t>3</w:t>
      </w:r>
      <w:r>
        <w:rPr/>
        <w:t>、 处置子公司</w:t>
      </w:r>
    </w:p>
    <w:p>
      <w:pPr>
        <w:pStyle w:val="BodyText"/>
        <w:spacing w:before="14" w:after="4"/>
        <w:ind w:left="1538"/>
      </w:pPr>
      <w:r>
        <w:rPr/>
        <w:t>单次处置对子公司投资即丧失控制权时：</w:t>
      </w:r>
    </w:p>
    <w:tbl>
      <w:tblPr>
        <w:tblW w:w="0" w:type="auto"/>
        <w:jc w:val="left"/>
        <w:tblInd w:w="183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269"/>
        <w:gridCol w:w="1986"/>
        <w:gridCol w:w="1986"/>
        <w:gridCol w:w="1987"/>
      </w:tblGrid>
      <w:tr>
        <w:trPr>
          <w:trHeight w:val="467" w:hRule="atLeast"/>
        </w:trPr>
        <w:tc>
          <w:tcPr>
            <w:tcW w:w="2269" w:type="dxa"/>
            <w:tcBorders>
              <w:bottom w:val="single" w:sz="4" w:space="0" w:color="000000"/>
              <w:right w:val="single" w:sz="4" w:space="0" w:color="000000"/>
            </w:tcBorders>
          </w:tcPr>
          <w:p>
            <w:pPr>
              <w:pStyle w:val="TableParagraph"/>
              <w:spacing w:before="57"/>
              <w:ind w:left="934" w:right="914"/>
              <w:jc w:val="center"/>
              <w:rPr>
                <w:rFonts w:ascii="Microsoft JhengHei" w:eastAsia="Microsoft JhengHei" w:hint="eastAsia"/>
                <w:b/>
                <w:sz w:val="18"/>
              </w:rPr>
            </w:pPr>
            <w:bookmarkStart w:name="OLE_LINK12" w:id="19"/>
            <w:bookmarkEnd w:id="19"/>
            <w:r>
              <w:rPr/>
            </w:r>
            <w:r>
              <w:rPr>
                <w:rFonts w:ascii="Microsoft JhengHei" w:eastAsia="Microsoft JhengHei" w:hint="eastAsia"/>
                <w:b/>
                <w:sz w:val="18"/>
              </w:rPr>
              <w:t>项目</w:t>
            </w:r>
          </w:p>
        </w:tc>
        <w:tc>
          <w:tcPr>
            <w:tcW w:w="1986" w:type="dxa"/>
            <w:tcBorders>
              <w:left w:val="single" w:sz="4" w:space="0" w:color="000000"/>
              <w:bottom w:val="single" w:sz="4" w:space="0" w:color="000000"/>
              <w:right w:val="single" w:sz="4" w:space="0" w:color="000000"/>
            </w:tcBorders>
          </w:tcPr>
          <w:p>
            <w:pPr>
              <w:pStyle w:val="TableParagraph"/>
              <w:spacing w:line="223" w:lineRule="exact"/>
              <w:ind w:left="140" w:right="117"/>
              <w:jc w:val="center"/>
              <w:rPr>
                <w:rFonts w:ascii="Microsoft JhengHei" w:eastAsia="Microsoft JhengHei" w:hint="eastAsia"/>
                <w:b/>
                <w:sz w:val="18"/>
              </w:rPr>
            </w:pPr>
            <w:r>
              <w:rPr>
                <w:rFonts w:ascii="Microsoft JhengHei" w:eastAsia="Microsoft JhengHei" w:hint="eastAsia"/>
                <w:b/>
                <w:sz w:val="18"/>
              </w:rPr>
              <w:t>海尔卡奥斯物联生态</w:t>
            </w:r>
          </w:p>
          <w:p>
            <w:pPr>
              <w:pStyle w:val="TableParagraph"/>
              <w:spacing w:line="224" w:lineRule="exact"/>
              <w:ind w:left="140" w:right="117"/>
              <w:jc w:val="center"/>
              <w:rPr>
                <w:rFonts w:ascii="Microsoft JhengHei" w:eastAsia="Microsoft JhengHei" w:hint="eastAsia"/>
                <w:b/>
                <w:sz w:val="18"/>
              </w:rPr>
            </w:pPr>
            <w:r>
              <w:rPr>
                <w:rFonts w:ascii="Microsoft JhengHei" w:eastAsia="Microsoft JhengHei" w:hint="eastAsia"/>
                <w:b/>
                <w:sz w:val="18"/>
              </w:rPr>
              <w:t>科技有限公司</w:t>
            </w:r>
          </w:p>
        </w:tc>
        <w:tc>
          <w:tcPr>
            <w:tcW w:w="1986" w:type="dxa"/>
            <w:tcBorders>
              <w:left w:val="single" w:sz="4" w:space="0" w:color="000000"/>
              <w:bottom w:val="single" w:sz="4" w:space="0" w:color="000000"/>
              <w:right w:val="single" w:sz="4" w:space="0" w:color="000000"/>
            </w:tcBorders>
          </w:tcPr>
          <w:p>
            <w:pPr>
              <w:pStyle w:val="TableParagraph"/>
              <w:spacing w:before="25"/>
              <w:ind w:left="140" w:right="118"/>
              <w:jc w:val="center"/>
              <w:rPr>
                <w:b/>
                <w:sz w:val="18"/>
              </w:rPr>
            </w:pPr>
            <w:r>
              <w:rPr>
                <w:b/>
                <w:sz w:val="18"/>
              </w:rPr>
              <w:t>GREEN one TEC</w:t>
            </w:r>
          </w:p>
          <w:p>
            <w:pPr>
              <w:pStyle w:val="TableParagraph"/>
              <w:spacing w:before="2"/>
              <w:ind w:left="140" w:right="120"/>
              <w:jc w:val="center"/>
              <w:rPr>
                <w:b/>
                <w:sz w:val="18"/>
              </w:rPr>
            </w:pPr>
            <w:r>
              <w:rPr>
                <w:b/>
                <w:sz w:val="18"/>
              </w:rPr>
              <w:t>Solarindustrie GmbH</w:t>
            </w:r>
          </w:p>
        </w:tc>
        <w:tc>
          <w:tcPr>
            <w:tcW w:w="1987" w:type="dxa"/>
            <w:tcBorders>
              <w:left w:val="single" w:sz="4" w:space="0" w:color="000000"/>
              <w:bottom w:val="single" w:sz="4" w:space="0" w:color="000000"/>
            </w:tcBorders>
          </w:tcPr>
          <w:p>
            <w:pPr>
              <w:pStyle w:val="TableParagraph"/>
              <w:spacing w:line="223" w:lineRule="exact"/>
              <w:ind w:left="167" w:right="139"/>
              <w:jc w:val="center"/>
              <w:rPr>
                <w:rFonts w:ascii="Microsoft JhengHei" w:eastAsia="Microsoft JhengHei" w:hint="eastAsia"/>
                <w:b/>
                <w:sz w:val="18"/>
              </w:rPr>
            </w:pPr>
            <w:r>
              <w:rPr>
                <w:rFonts w:ascii="Microsoft JhengHei" w:eastAsia="Microsoft JhengHei" w:hint="eastAsia"/>
                <w:b/>
                <w:sz w:val="18"/>
              </w:rPr>
              <w:t>青岛日日顺蔚蓝机电</w:t>
            </w:r>
          </w:p>
          <w:p>
            <w:pPr>
              <w:pStyle w:val="TableParagraph"/>
              <w:spacing w:line="224" w:lineRule="exact"/>
              <w:ind w:left="167" w:right="139"/>
              <w:jc w:val="center"/>
              <w:rPr>
                <w:rFonts w:ascii="Microsoft JhengHei" w:eastAsia="Microsoft JhengHei" w:hint="eastAsia"/>
                <w:b/>
                <w:sz w:val="18"/>
              </w:rPr>
            </w:pPr>
            <w:r>
              <w:rPr>
                <w:rFonts w:ascii="Microsoft JhengHei" w:eastAsia="Microsoft JhengHei" w:hint="eastAsia"/>
                <w:b/>
                <w:sz w:val="18"/>
              </w:rPr>
              <w:t>设备有限公司</w:t>
            </w:r>
          </w:p>
        </w:tc>
      </w:tr>
      <w:tr>
        <w:trPr>
          <w:trHeight w:val="369" w:hRule="atLeast"/>
        </w:trPr>
        <w:tc>
          <w:tcPr>
            <w:tcW w:w="2269"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股权处置价款</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before="76"/>
              <w:ind w:right="88"/>
              <w:jc w:val="right"/>
              <w:rPr>
                <w:sz w:val="18"/>
              </w:rPr>
            </w:pPr>
            <w:r>
              <w:rPr>
                <w:sz w:val="18"/>
              </w:rPr>
              <w:t>5,712,055,521.94</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before="76"/>
              <w:ind w:right="89"/>
              <w:jc w:val="right"/>
              <w:rPr>
                <w:sz w:val="18"/>
              </w:rPr>
            </w:pPr>
            <w:r>
              <w:rPr>
                <w:sz w:val="18"/>
              </w:rPr>
              <w:t>32,959,727.61</w:t>
            </w:r>
          </w:p>
        </w:tc>
        <w:tc>
          <w:tcPr>
            <w:tcW w:w="1987" w:type="dxa"/>
            <w:tcBorders>
              <w:top w:val="single" w:sz="4" w:space="0" w:color="000000"/>
              <w:left w:val="single" w:sz="4" w:space="0" w:color="000000"/>
              <w:bottom w:val="single" w:sz="4" w:space="0" w:color="000000"/>
            </w:tcBorders>
          </w:tcPr>
          <w:p>
            <w:pPr>
              <w:pStyle w:val="TableParagraph"/>
              <w:spacing w:before="76"/>
              <w:ind w:right="80"/>
              <w:jc w:val="right"/>
              <w:rPr>
                <w:sz w:val="18"/>
              </w:rPr>
            </w:pPr>
            <w:r>
              <w:rPr>
                <w:sz w:val="18"/>
              </w:rPr>
              <w:t>690,000.00</w:t>
            </w:r>
          </w:p>
        </w:tc>
      </w:tr>
      <w:tr>
        <w:trPr>
          <w:trHeight w:val="369" w:hRule="atLeast"/>
        </w:trPr>
        <w:tc>
          <w:tcPr>
            <w:tcW w:w="2269"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股权处置比例</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before="76"/>
              <w:ind w:right="85"/>
              <w:jc w:val="right"/>
              <w:rPr>
                <w:sz w:val="18"/>
              </w:rPr>
            </w:pPr>
            <w:r>
              <w:rPr>
                <w:sz w:val="18"/>
              </w:rPr>
              <w:t>54.50%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before="76"/>
              <w:ind w:right="84"/>
              <w:jc w:val="right"/>
              <w:rPr>
                <w:sz w:val="18"/>
              </w:rPr>
            </w:pPr>
            <w:r>
              <w:rPr>
                <w:sz w:val="18"/>
              </w:rPr>
              <w:t>51%</w:t>
            </w:r>
          </w:p>
        </w:tc>
        <w:tc>
          <w:tcPr>
            <w:tcW w:w="1987" w:type="dxa"/>
            <w:tcBorders>
              <w:top w:val="single" w:sz="4" w:space="0" w:color="000000"/>
              <w:left w:val="single" w:sz="4" w:space="0" w:color="000000"/>
              <w:bottom w:val="single" w:sz="4" w:space="0" w:color="000000"/>
            </w:tcBorders>
          </w:tcPr>
          <w:p>
            <w:pPr>
              <w:pStyle w:val="TableParagraph"/>
              <w:spacing w:before="76"/>
              <w:ind w:right="77"/>
              <w:jc w:val="right"/>
              <w:rPr>
                <w:sz w:val="18"/>
              </w:rPr>
            </w:pPr>
            <w:r>
              <w:rPr>
                <w:sz w:val="18"/>
              </w:rPr>
              <w:t>41.20%</w:t>
            </w:r>
          </w:p>
        </w:tc>
      </w:tr>
      <w:tr>
        <w:trPr>
          <w:trHeight w:val="369" w:hRule="atLeast"/>
        </w:trPr>
        <w:tc>
          <w:tcPr>
            <w:tcW w:w="2269"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股权处置方式</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before="67"/>
              <w:ind w:left="140" w:right="116"/>
              <w:jc w:val="center"/>
              <w:rPr>
                <w:rFonts w:ascii="宋体" w:eastAsia="宋体" w:hint="eastAsia"/>
                <w:sz w:val="18"/>
              </w:rPr>
            </w:pPr>
            <w:r>
              <w:rPr>
                <w:rFonts w:ascii="宋体" w:eastAsia="宋体" w:hint="eastAsia"/>
                <w:sz w:val="18"/>
              </w:rPr>
              <w:t>处置</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before="67"/>
              <w:ind w:left="140" w:right="118"/>
              <w:jc w:val="center"/>
              <w:rPr>
                <w:rFonts w:ascii="宋体" w:eastAsia="宋体" w:hint="eastAsia"/>
                <w:sz w:val="18"/>
              </w:rPr>
            </w:pPr>
            <w:r>
              <w:rPr>
                <w:rFonts w:ascii="宋体" w:eastAsia="宋体" w:hint="eastAsia"/>
                <w:sz w:val="18"/>
              </w:rPr>
              <w:t>出售</w:t>
            </w:r>
          </w:p>
        </w:tc>
        <w:tc>
          <w:tcPr>
            <w:tcW w:w="1987" w:type="dxa"/>
            <w:tcBorders>
              <w:top w:val="single" w:sz="4" w:space="0" w:color="000000"/>
              <w:left w:val="single" w:sz="4" w:space="0" w:color="000000"/>
              <w:bottom w:val="single" w:sz="4" w:space="0" w:color="000000"/>
            </w:tcBorders>
          </w:tcPr>
          <w:p>
            <w:pPr>
              <w:pStyle w:val="TableParagraph"/>
              <w:spacing w:before="67"/>
              <w:ind w:left="167" w:right="137"/>
              <w:jc w:val="center"/>
              <w:rPr>
                <w:rFonts w:ascii="宋体" w:eastAsia="宋体" w:hint="eastAsia"/>
                <w:sz w:val="18"/>
              </w:rPr>
            </w:pPr>
            <w:r>
              <w:rPr>
                <w:rFonts w:ascii="宋体" w:eastAsia="宋体" w:hint="eastAsia"/>
                <w:sz w:val="18"/>
              </w:rPr>
              <w:t>出售</w:t>
            </w:r>
          </w:p>
        </w:tc>
      </w:tr>
      <w:tr>
        <w:trPr>
          <w:trHeight w:val="369" w:hRule="atLeast"/>
        </w:trPr>
        <w:tc>
          <w:tcPr>
            <w:tcW w:w="2269"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丧失控制权的时点</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before="76"/>
              <w:ind w:left="594"/>
              <w:rPr>
                <w:sz w:val="18"/>
              </w:rPr>
            </w:pPr>
            <w:r>
              <w:rPr>
                <w:sz w:val="18"/>
              </w:rPr>
              <w:t>2020.09.30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before="76"/>
              <w:ind w:left="593"/>
              <w:rPr>
                <w:sz w:val="18"/>
              </w:rPr>
            </w:pPr>
            <w:r>
              <w:rPr>
                <w:sz w:val="18"/>
              </w:rPr>
              <w:t>2020.12.14</w:t>
            </w:r>
          </w:p>
        </w:tc>
        <w:tc>
          <w:tcPr>
            <w:tcW w:w="1987" w:type="dxa"/>
            <w:tcBorders>
              <w:top w:val="single" w:sz="4" w:space="0" w:color="000000"/>
              <w:left w:val="single" w:sz="4" w:space="0" w:color="000000"/>
              <w:bottom w:val="single" w:sz="4" w:space="0" w:color="000000"/>
            </w:tcBorders>
          </w:tcPr>
          <w:p>
            <w:pPr>
              <w:pStyle w:val="TableParagraph"/>
              <w:spacing w:before="76"/>
              <w:ind w:left="638"/>
              <w:rPr>
                <w:sz w:val="18"/>
              </w:rPr>
            </w:pPr>
            <w:r>
              <w:rPr>
                <w:sz w:val="18"/>
              </w:rPr>
              <w:t>2020.7.28</w:t>
            </w:r>
          </w:p>
        </w:tc>
      </w:tr>
      <w:tr>
        <w:trPr>
          <w:trHeight w:val="465" w:hRule="atLeast"/>
        </w:trPr>
        <w:tc>
          <w:tcPr>
            <w:tcW w:w="2269" w:type="dxa"/>
            <w:tcBorders>
              <w:top w:val="single" w:sz="4" w:space="0" w:color="000000"/>
              <w:bottom w:val="single" w:sz="4" w:space="0" w:color="000000"/>
              <w:right w:val="single" w:sz="4" w:space="0" w:color="000000"/>
            </w:tcBorders>
          </w:tcPr>
          <w:p>
            <w:pPr>
              <w:pStyle w:val="TableParagraph"/>
              <w:spacing w:line="230" w:lineRule="exact"/>
              <w:ind w:left="107"/>
              <w:rPr>
                <w:rFonts w:ascii="宋体" w:eastAsia="宋体" w:hint="eastAsia"/>
                <w:sz w:val="18"/>
              </w:rPr>
            </w:pPr>
            <w:r>
              <w:rPr>
                <w:rFonts w:ascii="宋体" w:eastAsia="宋体" w:hint="eastAsia"/>
                <w:sz w:val="18"/>
              </w:rPr>
              <w:t>丧失控制权时点的确定依</w:t>
            </w:r>
          </w:p>
          <w:p>
            <w:pPr>
              <w:pStyle w:val="TableParagraph"/>
              <w:spacing w:line="213" w:lineRule="exact" w:before="2"/>
              <w:ind w:left="107"/>
              <w:rPr>
                <w:rFonts w:ascii="宋体" w:eastAsia="宋体" w:hint="eastAsia"/>
                <w:sz w:val="18"/>
              </w:rPr>
            </w:pPr>
            <w:r>
              <w:rPr>
                <w:rFonts w:ascii="宋体" w:eastAsia="宋体" w:hint="eastAsia"/>
                <w:sz w:val="18"/>
              </w:rPr>
              <w:t>据</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before="115"/>
              <w:ind w:left="140" w:right="116"/>
              <w:jc w:val="center"/>
              <w:rPr>
                <w:rFonts w:ascii="宋体" w:eastAsia="宋体" w:hint="eastAsia"/>
                <w:sz w:val="18"/>
              </w:rPr>
            </w:pPr>
            <w:r>
              <w:rPr>
                <w:rFonts w:ascii="宋体" w:eastAsia="宋体" w:hint="eastAsia"/>
                <w:sz w:val="18"/>
              </w:rPr>
              <w:t>转让</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before="115"/>
              <w:ind w:left="140" w:right="118"/>
              <w:jc w:val="center"/>
              <w:rPr>
                <w:rFonts w:ascii="宋体" w:eastAsia="宋体" w:hint="eastAsia"/>
                <w:sz w:val="18"/>
              </w:rPr>
            </w:pPr>
            <w:r>
              <w:rPr>
                <w:rFonts w:ascii="宋体" w:eastAsia="宋体" w:hint="eastAsia"/>
                <w:sz w:val="18"/>
              </w:rPr>
              <w:t>转让</w:t>
            </w:r>
          </w:p>
        </w:tc>
        <w:tc>
          <w:tcPr>
            <w:tcW w:w="1987" w:type="dxa"/>
            <w:tcBorders>
              <w:top w:val="single" w:sz="4" w:space="0" w:color="000000"/>
              <w:left w:val="single" w:sz="4" w:space="0" w:color="000000"/>
              <w:bottom w:val="single" w:sz="4" w:space="0" w:color="000000"/>
            </w:tcBorders>
          </w:tcPr>
          <w:p>
            <w:pPr>
              <w:pStyle w:val="TableParagraph"/>
              <w:spacing w:before="115"/>
              <w:ind w:left="167" w:right="137"/>
              <w:jc w:val="center"/>
              <w:rPr>
                <w:rFonts w:ascii="宋体" w:eastAsia="宋体" w:hint="eastAsia"/>
                <w:sz w:val="18"/>
              </w:rPr>
            </w:pPr>
            <w:r>
              <w:rPr>
                <w:rFonts w:ascii="宋体" w:eastAsia="宋体" w:hint="eastAsia"/>
                <w:sz w:val="18"/>
              </w:rPr>
              <w:t>转让</w:t>
            </w:r>
          </w:p>
        </w:tc>
      </w:tr>
      <w:tr>
        <w:trPr>
          <w:trHeight w:val="932" w:hRule="atLeast"/>
        </w:trPr>
        <w:tc>
          <w:tcPr>
            <w:tcW w:w="2269" w:type="dxa"/>
            <w:tcBorders>
              <w:top w:val="single" w:sz="4" w:space="0" w:color="000000"/>
              <w:right w:val="single" w:sz="4" w:space="0" w:color="000000"/>
            </w:tcBorders>
          </w:tcPr>
          <w:p>
            <w:pPr>
              <w:pStyle w:val="TableParagraph"/>
              <w:spacing w:line="230" w:lineRule="atLeast" w:before="2"/>
              <w:ind w:left="107" w:right="80"/>
              <w:jc w:val="both"/>
              <w:rPr>
                <w:rFonts w:ascii="宋体" w:eastAsia="宋体" w:hint="eastAsia"/>
                <w:sz w:val="18"/>
              </w:rPr>
            </w:pPr>
            <w:r>
              <w:rPr>
                <w:rFonts w:ascii="宋体" w:eastAsia="宋体" w:hint="eastAsia"/>
                <w:sz w:val="18"/>
              </w:rPr>
              <w:t>处置价款与处置投资对应的合并财务报表层面享有该子公司净资产份额的差额</w:t>
            </w:r>
          </w:p>
        </w:tc>
        <w:tc>
          <w:tcPr>
            <w:tcW w:w="1986" w:type="dxa"/>
            <w:tcBorders>
              <w:top w:val="single" w:sz="4" w:space="0" w:color="000000"/>
              <w:left w:val="single" w:sz="4" w:space="0" w:color="000000"/>
              <w:right w:val="single" w:sz="4" w:space="0" w:color="000000"/>
            </w:tcBorders>
          </w:tcPr>
          <w:p>
            <w:pPr>
              <w:pStyle w:val="TableParagraph"/>
              <w:spacing w:before="1"/>
              <w:rPr>
                <w:rFonts w:ascii="宋体"/>
                <w:sz w:val="28"/>
              </w:rPr>
            </w:pPr>
          </w:p>
          <w:p>
            <w:pPr>
              <w:pStyle w:val="TableParagraph"/>
              <w:ind w:right="88"/>
              <w:jc w:val="right"/>
              <w:rPr>
                <w:sz w:val="18"/>
              </w:rPr>
            </w:pPr>
            <w:r>
              <w:rPr>
                <w:sz w:val="18"/>
              </w:rPr>
              <w:t>2,253,845,345.42</w:t>
            </w:r>
          </w:p>
        </w:tc>
        <w:tc>
          <w:tcPr>
            <w:tcW w:w="1986" w:type="dxa"/>
            <w:tcBorders>
              <w:top w:val="single" w:sz="4" w:space="0" w:color="000000"/>
              <w:left w:val="single" w:sz="4" w:space="0" w:color="000000"/>
              <w:right w:val="single" w:sz="4" w:space="0" w:color="000000"/>
            </w:tcBorders>
          </w:tcPr>
          <w:p>
            <w:pPr>
              <w:pStyle w:val="TableParagraph"/>
              <w:spacing w:before="1"/>
              <w:rPr>
                <w:rFonts w:ascii="宋体"/>
                <w:sz w:val="28"/>
              </w:rPr>
            </w:pPr>
          </w:p>
          <w:p>
            <w:pPr>
              <w:pStyle w:val="TableParagraph"/>
              <w:ind w:right="89"/>
              <w:jc w:val="right"/>
              <w:rPr>
                <w:sz w:val="18"/>
              </w:rPr>
            </w:pPr>
            <w:r>
              <w:rPr>
                <w:sz w:val="18"/>
              </w:rPr>
              <w:t>-6,313,363.61</w:t>
            </w:r>
          </w:p>
        </w:tc>
        <w:tc>
          <w:tcPr>
            <w:tcW w:w="1987" w:type="dxa"/>
            <w:tcBorders>
              <w:top w:val="single" w:sz="4" w:space="0" w:color="000000"/>
              <w:left w:val="single" w:sz="4" w:space="0" w:color="000000"/>
            </w:tcBorders>
          </w:tcPr>
          <w:p>
            <w:pPr>
              <w:pStyle w:val="TableParagraph"/>
              <w:spacing w:before="1"/>
              <w:rPr>
                <w:rFonts w:ascii="宋体"/>
                <w:sz w:val="28"/>
              </w:rPr>
            </w:pPr>
          </w:p>
          <w:p>
            <w:pPr>
              <w:pStyle w:val="TableParagraph"/>
              <w:ind w:right="80"/>
              <w:jc w:val="right"/>
              <w:rPr>
                <w:sz w:val="18"/>
              </w:rPr>
            </w:pPr>
            <w:r>
              <w:rPr>
                <w:sz w:val="18"/>
              </w:rPr>
              <w:t>178,087.73</w:t>
            </w:r>
          </w:p>
        </w:tc>
      </w:tr>
    </w:tbl>
    <w:p>
      <w:pPr>
        <w:spacing w:after="0"/>
        <w:jc w:val="right"/>
        <w:rPr>
          <w:sz w:val="18"/>
        </w:rPr>
        <w:sectPr>
          <w:pgSz w:w="11910" w:h="16840"/>
          <w:pgMar w:header="876" w:footer="1203" w:top="1440" w:bottom="1400" w:left="260" w:right="0"/>
        </w:sectPr>
      </w:pPr>
    </w:p>
    <w:p>
      <w:pPr>
        <w:pStyle w:val="Heading4"/>
        <w:spacing w:line="385" w:lineRule="exact"/>
      </w:pPr>
      <w:r>
        <w:rPr>
          <w:rFonts w:ascii="Times New Roman" w:eastAsia="Times New Roman"/>
        </w:rPr>
        <w:t>4</w:t>
      </w:r>
      <w:r>
        <w:rPr/>
        <w:t>、 终止经营披露</w:t>
      </w:r>
    </w:p>
    <w:p>
      <w:pPr>
        <w:pStyle w:val="BodyText"/>
        <w:spacing w:before="10"/>
        <w:rPr>
          <w:rFonts w:ascii="Microsoft JhengHei"/>
          <w:b/>
          <w:sz w:val="13"/>
        </w:rPr>
      </w:pPr>
    </w:p>
    <w:p>
      <w:pPr>
        <w:pStyle w:val="BodyText"/>
        <w:spacing w:before="1"/>
        <w:ind w:left="1641"/>
      </w:pPr>
      <w:r>
        <w:rPr/>
        <w:t>公司子公司上年度处置青岛日日顺物流有限公司，构成终止经营，相关财务信息披露如下：</w:t>
      </w:r>
    </w:p>
    <w:p>
      <w:pPr>
        <w:pStyle w:val="BodyText"/>
        <w:spacing w:before="10"/>
        <w:rPr>
          <w:sz w:val="25"/>
        </w:rPr>
      </w:pPr>
    </w:p>
    <w:p>
      <w:pPr>
        <w:pStyle w:val="ListParagraph"/>
        <w:numPr>
          <w:ilvl w:val="1"/>
          <w:numId w:val="66"/>
        </w:numPr>
        <w:tabs>
          <w:tab w:pos="2171" w:val="left" w:leader="none"/>
        </w:tabs>
        <w:spacing w:line="240" w:lineRule="auto" w:before="0" w:after="0"/>
        <w:ind w:left="2170" w:right="0" w:hanging="530"/>
        <w:jc w:val="left"/>
        <w:rPr>
          <w:sz w:val="21"/>
        </w:rPr>
      </w:pPr>
      <w:r>
        <w:rPr>
          <w:spacing w:val="-3"/>
          <w:sz w:val="21"/>
        </w:rPr>
        <w:t>终止经营损益</w:t>
      </w:r>
    </w:p>
    <w:p>
      <w:pPr>
        <w:pStyle w:val="BodyText"/>
        <w:spacing w:before="11"/>
        <w:rPr>
          <w:sz w:val="25"/>
        </w:rPr>
      </w:pPr>
    </w:p>
    <w:p>
      <w:pPr>
        <w:pStyle w:val="BodyText"/>
        <w:ind w:left="1850"/>
      </w:pPr>
      <w:r>
        <w:rPr/>
        <w:t>①终止经营净利润（净亏损以</w:t>
      </w:r>
      <w:r>
        <w:rPr>
          <w:rFonts w:ascii="Times New Roman" w:hAnsi="Times New Roman" w:eastAsia="Times New Roman"/>
        </w:rPr>
        <w:t>“</w:t>
      </w:r>
      <w:r>
        <w:rPr/>
        <w:t>－</w:t>
      </w:r>
      <w:r>
        <w:rPr>
          <w:rFonts w:ascii="Times New Roman" w:hAnsi="Times New Roman" w:eastAsia="Times New Roman"/>
        </w:rPr>
        <w:t>”</w:t>
      </w:r>
      <w:r>
        <w:rPr/>
        <w:t>号填列）</w:t>
      </w:r>
    </w:p>
    <w:p>
      <w:pPr>
        <w:pStyle w:val="BodyText"/>
        <w:spacing w:before="3"/>
        <w:rPr>
          <w:sz w:val="12"/>
        </w:rPr>
      </w:pPr>
    </w:p>
    <w:tbl>
      <w:tblPr>
        <w:tblW w:w="0" w:type="auto"/>
        <w:jc w:val="left"/>
        <w:tblInd w:w="183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693"/>
        <w:gridCol w:w="2837"/>
        <w:gridCol w:w="2693"/>
      </w:tblGrid>
      <w:tr>
        <w:trPr>
          <w:trHeight w:val="368" w:hRule="atLeast"/>
        </w:trPr>
        <w:tc>
          <w:tcPr>
            <w:tcW w:w="2693" w:type="dxa"/>
            <w:tcBorders>
              <w:bottom w:val="single" w:sz="4" w:space="0" w:color="000000"/>
              <w:right w:val="single" w:sz="4" w:space="0" w:color="000000"/>
            </w:tcBorders>
          </w:tcPr>
          <w:p>
            <w:pPr>
              <w:pStyle w:val="TableParagraph"/>
              <w:spacing w:line="349" w:lineRule="exact"/>
              <w:ind w:left="897" w:right="879"/>
              <w:jc w:val="center"/>
              <w:rPr>
                <w:rFonts w:ascii="Microsoft JhengHei" w:eastAsia="Microsoft JhengHei" w:hint="eastAsia"/>
                <w:b/>
                <w:sz w:val="21"/>
              </w:rPr>
            </w:pPr>
            <w:r>
              <w:rPr>
                <w:rFonts w:ascii="Microsoft JhengHei" w:eastAsia="Microsoft JhengHei" w:hint="eastAsia"/>
                <w:b/>
                <w:sz w:val="21"/>
              </w:rPr>
              <w:t>项目</w:t>
            </w:r>
          </w:p>
        </w:tc>
        <w:tc>
          <w:tcPr>
            <w:tcW w:w="2837" w:type="dxa"/>
            <w:tcBorders>
              <w:left w:val="single" w:sz="4" w:space="0" w:color="000000"/>
              <w:bottom w:val="single" w:sz="4" w:space="0" w:color="000000"/>
              <w:right w:val="single" w:sz="4" w:space="0" w:color="000000"/>
            </w:tcBorders>
          </w:tcPr>
          <w:p>
            <w:pPr>
              <w:pStyle w:val="TableParagraph"/>
              <w:spacing w:line="349" w:lineRule="exact"/>
              <w:ind w:left="1195" w:right="1171"/>
              <w:jc w:val="center"/>
              <w:rPr>
                <w:rFonts w:ascii="Microsoft JhengHei" w:eastAsia="Microsoft JhengHei" w:hint="eastAsia"/>
                <w:b/>
                <w:sz w:val="21"/>
              </w:rPr>
            </w:pPr>
            <w:r>
              <w:rPr>
                <w:rFonts w:ascii="Microsoft JhengHei" w:eastAsia="Microsoft JhengHei" w:hint="eastAsia"/>
                <w:b/>
                <w:sz w:val="21"/>
              </w:rPr>
              <w:t>本期</w:t>
            </w:r>
          </w:p>
        </w:tc>
        <w:tc>
          <w:tcPr>
            <w:tcW w:w="2693" w:type="dxa"/>
            <w:tcBorders>
              <w:left w:val="single" w:sz="4" w:space="0" w:color="000000"/>
              <w:bottom w:val="single" w:sz="4" w:space="0" w:color="000000"/>
            </w:tcBorders>
          </w:tcPr>
          <w:p>
            <w:pPr>
              <w:pStyle w:val="TableParagraph"/>
              <w:spacing w:line="349" w:lineRule="exact"/>
              <w:ind w:left="914" w:right="879"/>
              <w:jc w:val="center"/>
              <w:rPr>
                <w:rFonts w:ascii="Microsoft JhengHei" w:eastAsia="Microsoft JhengHei" w:hint="eastAsia"/>
                <w:b/>
                <w:sz w:val="21"/>
              </w:rPr>
            </w:pPr>
            <w:r>
              <w:rPr>
                <w:rFonts w:ascii="Microsoft JhengHei" w:eastAsia="Microsoft JhengHei" w:hint="eastAsia"/>
                <w:b/>
                <w:sz w:val="21"/>
              </w:rPr>
              <w:t>上年同期</w:t>
            </w:r>
          </w:p>
        </w:tc>
      </w:tr>
      <w:tr>
        <w:trPr>
          <w:trHeight w:val="369" w:hRule="atLeast"/>
        </w:trPr>
        <w:tc>
          <w:tcPr>
            <w:tcW w:w="269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营业收入</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693" w:type="dxa"/>
            <w:tcBorders>
              <w:top w:val="single" w:sz="4" w:space="0" w:color="000000"/>
              <w:left w:val="single" w:sz="4" w:space="0" w:color="000000"/>
              <w:bottom w:val="single" w:sz="4" w:space="0" w:color="000000"/>
            </w:tcBorders>
          </w:tcPr>
          <w:p>
            <w:pPr>
              <w:pStyle w:val="TableParagraph"/>
              <w:spacing w:before="58"/>
              <w:ind w:right="76"/>
              <w:jc w:val="right"/>
              <w:rPr>
                <w:sz w:val="21"/>
              </w:rPr>
            </w:pPr>
            <w:r>
              <w:rPr>
                <w:sz w:val="21"/>
              </w:rPr>
              <w:t>4,907,810,524.82</w:t>
            </w:r>
          </w:p>
        </w:tc>
      </w:tr>
      <w:tr>
        <w:trPr>
          <w:trHeight w:val="369" w:hRule="atLeast"/>
        </w:trPr>
        <w:tc>
          <w:tcPr>
            <w:tcW w:w="269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减</w:t>
            </w:r>
            <w:r>
              <w:rPr>
                <w:sz w:val="21"/>
              </w:rPr>
              <w:t>:</w:t>
            </w:r>
            <w:r>
              <w:rPr>
                <w:rFonts w:ascii="宋体" w:eastAsia="宋体" w:hint="eastAsia"/>
                <w:sz w:val="21"/>
              </w:rPr>
              <w:t>成本费用及其他</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693" w:type="dxa"/>
            <w:tcBorders>
              <w:top w:val="single" w:sz="4" w:space="0" w:color="000000"/>
              <w:left w:val="single" w:sz="4" w:space="0" w:color="000000"/>
              <w:bottom w:val="single" w:sz="4" w:space="0" w:color="000000"/>
            </w:tcBorders>
          </w:tcPr>
          <w:p>
            <w:pPr>
              <w:pStyle w:val="TableParagraph"/>
              <w:spacing w:before="58"/>
              <w:ind w:right="76"/>
              <w:jc w:val="right"/>
              <w:rPr>
                <w:sz w:val="21"/>
              </w:rPr>
            </w:pPr>
            <w:r>
              <w:rPr>
                <w:sz w:val="21"/>
              </w:rPr>
              <w:t>4,710,367,482.14</w:t>
            </w:r>
          </w:p>
        </w:tc>
      </w:tr>
      <w:tr>
        <w:trPr>
          <w:trHeight w:val="369" w:hRule="atLeast"/>
        </w:trPr>
        <w:tc>
          <w:tcPr>
            <w:tcW w:w="269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利润总额</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693"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197,443,042.68</w:t>
            </w:r>
          </w:p>
        </w:tc>
      </w:tr>
      <w:tr>
        <w:trPr>
          <w:trHeight w:val="369" w:hRule="atLeast"/>
        </w:trPr>
        <w:tc>
          <w:tcPr>
            <w:tcW w:w="269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减</w:t>
            </w:r>
            <w:r>
              <w:rPr>
                <w:sz w:val="21"/>
              </w:rPr>
              <w:t>:</w:t>
            </w:r>
            <w:r>
              <w:rPr>
                <w:rFonts w:ascii="宋体" w:eastAsia="宋体" w:hint="eastAsia"/>
                <w:sz w:val="21"/>
              </w:rPr>
              <w:t>所得税费用</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693"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46,936,990.15</w:t>
            </w:r>
          </w:p>
        </w:tc>
      </w:tr>
      <w:tr>
        <w:trPr>
          <w:trHeight w:val="366" w:hRule="atLeast"/>
        </w:trPr>
        <w:tc>
          <w:tcPr>
            <w:tcW w:w="2693" w:type="dxa"/>
            <w:tcBorders>
              <w:top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净利润</w:t>
            </w:r>
          </w:p>
        </w:tc>
        <w:tc>
          <w:tcPr>
            <w:tcW w:w="2837" w:type="dxa"/>
            <w:tcBorders>
              <w:top w:val="single" w:sz="4" w:space="0" w:color="000000"/>
              <w:left w:val="single" w:sz="4" w:space="0" w:color="000000"/>
              <w:right w:val="single" w:sz="4" w:space="0" w:color="000000"/>
            </w:tcBorders>
          </w:tcPr>
          <w:p>
            <w:pPr>
              <w:pStyle w:val="TableParagraph"/>
              <w:rPr>
                <w:sz w:val="20"/>
              </w:rPr>
            </w:pPr>
          </w:p>
        </w:tc>
        <w:tc>
          <w:tcPr>
            <w:tcW w:w="2693" w:type="dxa"/>
            <w:tcBorders>
              <w:top w:val="single" w:sz="4" w:space="0" w:color="000000"/>
              <w:left w:val="single" w:sz="4" w:space="0" w:color="000000"/>
            </w:tcBorders>
          </w:tcPr>
          <w:p>
            <w:pPr>
              <w:pStyle w:val="TableParagraph"/>
              <w:spacing w:before="58"/>
              <w:ind w:right="75"/>
              <w:jc w:val="right"/>
              <w:rPr>
                <w:sz w:val="21"/>
              </w:rPr>
            </w:pPr>
            <w:r>
              <w:rPr>
                <w:sz w:val="21"/>
              </w:rPr>
              <w:t>150,506,052.53</w:t>
            </w:r>
          </w:p>
        </w:tc>
      </w:tr>
    </w:tbl>
    <w:p>
      <w:pPr>
        <w:pStyle w:val="BodyText"/>
        <w:spacing w:before="1"/>
        <w:rPr>
          <w:sz w:val="23"/>
        </w:rPr>
      </w:pPr>
    </w:p>
    <w:p>
      <w:pPr>
        <w:pStyle w:val="BodyText"/>
        <w:ind w:left="1850"/>
      </w:pPr>
      <w:r>
        <w:rPr/>
        <w:t>②终止经营处置损益</w:t>
      </w:r>
    </w:p>
    <w:p>
      <w:pPr>
        <w:pStyle w:val="BodyText"/>
        <w:spacing w:before="3" w:after="1"/>
        <w:rPr>
          <w:sz w:val="12"/>
        </w:rPr>
      </w:pPr>
    </w:p>
    <w:tbl>
      <w:tblPr>
        <w:tblW w:w="0" w:type="auto"/>
        <w:jc w:val="left"/>
        <w:tblInd w:w="183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693"/>
        <w:gridCol w:w="2837"/>
        <w:gridCol w:w="2693"/>
      </w:tblGrid>
      <w:tr>
        <w:trPr>
          <w:trHeight w:val="368" w:hRule="atLeast"/>
        </w:trPr>
        <w:tc>
          <w:tcPr>
            <w:tcW w:w="2693" w:type="dxa"/>
            <w:tcBorders>
              <w:bottom w:val="single" w:sz="4" w:space="0" w:color="000000"/>
              <w:right w:val="single" w:sz="4" w:space="0" w:color="000000"/>
            </w:tcBorders>
          </w:tcPr>
          <w:p>
            <w:pPr>
              <w:pStyle w:val="TableParagraph"/>
              <w:spacing w:line="349" w:lineRule="exact"/>
              <w:ind w:left="897" w:right="879"/>
              <w:jc w:val="center"/>
              <w:rPr>
                <w:rFonts w:ascii="Microsoft JhengHei" w:eastAsia="Microsoft JhengHei" w:hint="eastAsia"/>
                <w:b/>
                <w:sz w:val="21"/>
              </w:rPr>
            </w:pPr>
            <w:r>
              <w:rPr>
                <w:rFonts w:ascii="Microsoft JhengHei" w:eastAsia="Microsoft JhengHei" w:hint="eastAsia"/>
                <w:b/>
                <w:sz w:val="21"/>
              </w:rPr>
              <w:t>项目</w:t>
            </w:r>
          </w:p>
        </w:tc>
        <w:tc>
          <w:tcPr>
            <w:tcW w:w="2837" w:type="dxa"/>
            <w:tcBorders>
              <w:left w:val="single" w:sz="4" w:space="0" w:color="000000"/>
              <w:bottom w:val="single" w:sz="4" w:space="0" w:color="000000"/>
              <w:right w:val="single" w:sz="4" w:space="0" w:color="000000"/>
            </w:tcBorders>
          </w:tcPr>
          <w:p>
            <w:pPr>
              <w:pStyle w:val="TableParagraph"/>
              <w:spacing w:line="349" w:lineRule="exact"/>
              <w:ind w:left="1195" w:right="1171"/>
              <w:jc w:val="center"/>
              <w:rPr>
                <w:rFonts w:ascii="Microsoft JhengHei" w:eastAsia="Microsoft JhengHei" w:hint="eastAsia"/>
                <w:b/>
                <w:sz w:val="21"/>
              </w:rPr>
            </w:pPr>
            <w:r>
              <w:rPr>
                <w:rFonts w:ascii="Microsoft JhengHei" w:eastAsia="Microsoft JhengHei" w:hint="eastAsia"/>
                <w:b/>
                <w:sz w:val="21"/>
              </w:rPr>
              <w:t>本期</w:t>
            </w:r>
          </w:p>
        </w:tc>
        <w:tc>
          <w:tcPr>
            <w:tcW w:w="2693" w:type="dxa"/>
            <w:tcBorders>
              <w:left w:val="single" w:sz="4" w:space="0" w:color="000000"/>
              <w:bottom w:val="single" w:sz="4" w:space="0" w:color="000000"/>
            </w:tcBorders>
          </w:tcPr>
          <w:p>
            <w:pPr>
              <w:pStyle w:val="TableParagraph"/>
              <w:spacing w:line="349" w:lineRule="exact"/>
              <w:ind w:left="914" w:right="879"/>
              <w:jc w:val="center"/>
              <w:rPr>
                <w:rFonts w:ascii="Microsoft JhengHei" w:eastAsia="Microsoft JhengHei" w:hint="eastAsia"/>
                <w:b/>
                <w:sz w:val="21"/>
              </w:rPr>
            </w:pPr>
            <w:r>
              <w:rPr>
                <w:rFonts w:ascii="Microsoft JhengHei" w:eastAsia="Microsoft JhengHei" w:hint="eastAsia"/>
                <w:b/>
                <w:sz w:val="21"/>
              </w:rPr>
              <w:t>上年同期</w:t>
            </w:r>
          </w:p>
        </w:tc>
      </w:tr>
      <w:tr>
        <w:trPr>
          <w:trHeight w:val="369" w:hRule="atLeast"/>
        </w:trPr>
        <w:tc>
          <w:tcPr>
            <w:tcW w:w="2693"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终止经营处置损益总额</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693" w:type="dxa"/>
            <w:tcBorders>
              <w:top w:val="single" w:sz="4" w:space="0" w:color="000000"/>
              <w:left w:val="single" w:sz="4" w:space="0" w:color="000000"/>
              <w:bottom w:val="single" w:sz="4" w:space="0" w:color="000000"/>
            </w:tcBorders>
          </w:tcPr>
          <w:p>
            <w:pPr>
              <w:pStyle w:val="TableParagraph"/>
              <w:spacing w:before="58"/>
              <w:ind w:right="76"/>
              <w:jc w:val="right"/>
              <w:rPr>
                <w:sz w:val="21"/>
              </w:rPr>
            </w:pPr>
            <w:r>
              <w:rPr>
                <w:sz w:val="21"/>
              </w:rPr>
              <w:t>3,827,277,573.26</w:t>
            </w:r>
          </w:p>
        </w:tc>
      </w:tr>
      <w:tr>
        <w:trPr>
          <w:trHeight w:val="369" w:hRule="atLeast"/>
        </w:trPr>
        <w:tc>
          <w:tcPr>
            <w:tcW w:w="2693"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减</w:t>
            </w:r>
            <w:r>
              <w:rPr>
                <w:sz w:val="21"/>
              </w:rPr>
              <w:t>:</w:t>
            </w:r>
            <w:r>
              <w:rPr>
                <w:rFonts w:ascii="宋体" w:eastAsia="宋体" w:hint="eastAsia"/>
                <w:sz w:val="21"/>
              </w:rPr>
              <w:t>所得税费用</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693"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664,918,329.45</w:t>
            </w:r>
          </w:p>
        </w:tc>
      </w:tr>
      <w:tr>
        <w:trPr>
          <w:trHeight w:val="368" w:hRule="atLeast"/>
        </w:trPr>
        <w:tc>
          <w:tcPr>
            <w:tcW w:w="2693" w:type="dxa"/>
            <w:tcBorders>
              <w:top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终止经营处置损益净额</w:t>
            </w:r>
          </w:p>
        </w:tc>
        <w:tc>
          <w:tcPr>
            <w:tcW w:w="2837" w:type="dxa"/>
            <w:tcBorders>
              <w:top w:val="single" w:sz="4" w:space="0" w:color="000000"/>
              <w:left w:val="single" w:sz="4" w:space="0" w:color="000000"/>
              <w:right w:val="single" w:sz="4" w:space="0" w:color="000000"/>
            </w:tcBorders>
          </w:tcPr>
          <w:p>
            <w:pPr>
              <w:pStyle w:val="TableParagraph"/>
              <w:rPr>
                <w:sz w:val="20"/>
              </w:rPr>
            </w:pPr>
          </w:p>
        </w:tc>
        <w:tc>
          <w:tcPr>
            <w:tcW w:w="2693" w:type="dxa"/>
            <w:tcBorders>
              <w:top w:val="single" w:sz="4" w:space="0" w:color="000000"/>
              <w:left w:val="single" w:sz="4" w:space="0" w:color="000000"/>
            </w:tcBorders>
          </w:tcPr>
          <w:p>
            <w:pPr>
              <w:pStyle w:val="TableParagraph"/>
              <w:spacing w:before="58"/>
              <w:ind w:right="76"/>
              <w:jc w:val="right"/>
              <w:rPr>
                <w:sz w:val="21"/>
              </w:rPr>
            </w:pPr>
            <w:r>
              <w:rPr>
                <w:sz w:val="21"/>
              </w:rPr>
              <w:t>3,162,359,243.81</w:t>
            </w:r>
          </w:p>
        </w:tc>
      </w:tr>
    </w:tbl>
    <w:p>
      <w:pPr>
        <w:pStyle w:val="BodyText"/>
        <w:spacing w:before="1"/>
        <w:rPr>
          <w:sz w:val="23"/>
        </w:rPr>
      </w:pPr>
    </w:p>
    <w:p>
      <w:pPr>
        <w:pStyle w:val="ListParagraph"/>
        <w:numPr>
          <w:ilvl w:val="1"/>
          <w:numId w:val="66"/>
        </w:numPr>
        <w:tabs>
          <w:tab w:pos="2171" w:val="left" w:leader="none"/>
        </w:tabs>
        <w:spacing w:line="240" w:lineRule="auto" w:before="0" w:after="0"/>
        <w:ind w:left="2170" w:right="0" w:hanging="530"/>
        <w:jc w:val="left"/>
        <w:rPr>
          <w:sz w:val="21"/>
        </w:rPr>
      </w:pPr>
      <w:r>
        <w:rPr>
          <w:spacing w:val="-3"/>
          <w:sz w:val="21"/>
        </w:rPr>
        <w:t>终止经营现金流量</w:t>
      </w:r>
    </w:p>
    <w:p>
      <w:pPr>
        <w:pStyle w:val="BodyText"/>
        <w:spacing w:before="4"/>
        <w:rPr>
          <w:sz w:val="12"/>
        </w:rPr>
      </w:pPr>
    </w:p>
    <w:tbl>
      <w:tblPr>
        <w:tblW w:w="0" w:type="auto"/>
        <w:jc w:val="left"/>
        <w:tblInd w:w="183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693"/>
        <w:gridCol w:w="2837"/>
        <w:gridCol w:w="2693"/>
      </w:tblGrid>
      <w:tr>
        <w:trPr>
          <w:trHeight w:val="368" w:hRule="atLeast"/>
        </w:trPr>
        <w:tc>
          <w:tcPr>
            <w:tcW w:w="2693" w:type="dxa"/>
            <w:tcBorders>
              <w:bottom w:val="single" w:sz="4" w:space="0" w:color="000000"/>
              <w:right w:val="single" w:sz="4" w:space="0" w:color="000000"/>
            </w:tcBorders>
          </w:tcPr>
          <w:p>
            <w:pPr>
              <w:pStyle w:val="TableParagraph"/>
              <w:spacing w:line="349" w:lineRule="exact"/>
              <w:ind w:left="897" w:right="879"/>
              <w:jc w:val="center"/>
              <w:rPr>
                <w:rFonts w:ascii="Microsoft JhengHei" w:eastAsia="Microsoft JhengHei" w:hint="eastAsia"/>
                <w:b/>
                <w:sz w:val="21"/>
              </w:rPr>
            </w:pPr>
            <w:r>
              <w:rPr>
                <w:rFonts w:ascii="Microsoft JhengHei" w:eastAsia="Microsoft JhengHei" w:hint="eastAsia"/>
                <w:b/>
                <w:sz w:val="21"/>
              </w:rPr>
              <w:t>项目</w:t>
            </w:r>
          </w:p>
        </w:tc>
        <w:tc>
          <w:tcPr>
            <w:tcW w:w="2837" w:type="dxa"/>
            <w:tcBorders>
              <w:left w:val="single" w:sz="4" w:space="0" w:color="000000"/>
              <w:bottom w:val="single" w:sz="4" w:space="0" w:color="000000"/>
              <w:right w:val="single" w:sz="4" w:space="0" w:color="000000"/>
            </w:tcBorders>
          </w:tcPr>
          <w:p>
            <w:pPr>
              <w:pStyle w:val="TableParagraph"/>
              <w:spacing w:line="349" w:lineRule="exact"/>
              <w:ind w:left="1195" w:right="1171"/>
              <w:jc w:val="center"/>
              <w:rPr>
                <w:rFonts w:ascii="Microsoft JhengHei" w:eastAsia="Microsoft JhengHei" w:hint="eastAsia"/>
                <w:b/>
                <w:sz w:val="21"/>
              </w:rPr>
            </w:pPr>
            <w:r>
              <w:rPr>
                <w:rFonts w:ascii="Microsoft JhengHei" w:eastAsia="Microsoft JhengHei" w:hint="eastAsia"/>
                <w:b/>
                <w:sz w:val="21"/>
              </w:rPr>
              <w:t>本期</w:t>
            </w:r>
          </w:p>
        </w:tc>
        <w:tc>
          <w:tcPr>
            <w:tcW w:w="2693" w:type="dxa"/>
            <w:tcBorders>
              <w:left w:val="single" w:sz="4" w:space="0" w:color="000000"/>
              <w:bottom w:val="single" w:sz="4" w:space="0" w:color="000000"/>
            </w:tcBorders>
          </w:tcPr>
          <w:p>
            <w:pPr>
              <w:pStyle w:val="TableParagraph"/>
              <w:spacing w:line="349" w:lineRule="exact"/>
              <w:ind w:left="914" w:right="879"/>
              <w:jc w:val="center"/>
              <w:rPr>
                <w:rFonts w:ascii="Microsoft JhengHei" w:eastAsia="Microsoft JhengHei" w:hint="eastAsia"/>
                <w:b/>
                <w:sz w:val="21"/>
              </w:rPr>
            </w:pPr>
            <w:r>
              <w:rPr>
                <w:rFonts w:ascii="Microsoft JhengHei" w:eastAsia="Microsoft JhengHei" w:hint="eastAsia"/>
                <w:b/>
                <w:sz w:val="21"/>
              </w:rPr>
              <w:t>上年同期</w:t>
            </w:r>
          </w:p>
        </w:tc>
      </w:tr>
      <w:tr>
        <w:trPr>
          <w:trHeight w:val="369" w:hRule="atLeast"/>
        </w:trPr>
        <w:tc>
          <w:tcPr>
            <w:tcW w:w="269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经营活动现金流量</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693"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-160,498,574.34</w:t>
            </w:r>
          </w:p>
        </w:tc>
      </w:tr>
      <w:tr>
        <w:trPr>
          <w:trHeight w:val="369" w:hRule="atLeast"/>
        </w:trPr>
        <w:tc>
          <w:tcPr>
            <w:tcW w:w="269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投资活动现金流量</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693"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19,567,060.81</w:t>
            </w:r>
          </w:p>
        </w:tc>
      </w:tr>
      <w:tr>
        <w:trPr>
          <w:trHeight w:val="366" w:hRule="atLeast"/>
        </w:trPr>
        <w:tc>
          <w:tcPr>
            <w:tcW w:w="2693" w:type="dxa"/>
            <w:tcBorders>
              <w:top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筹资活动现金流量</w:t>
            </w:r>
          </w:p>
        </w:tc>
        <w:tc>
          <w:tcPr>
            <w:tcW w:w="2837" w:type="dxa"/>
            <w:tcBorders>
              <w:top w:val="single" w:sz="4" w:space="0" w:color="000000"/>
              <w:left w:val="single" w:sz="4" w:space="0" w:color="000000"/>
              <w:right w:val="single" w:sz="4" w:space="0" w:color="000000"/>
            </w:tcBorders>
          </w:tcPr>
          <w:p>
            <w:pPr>
              <w:pStyle w:val="TableParagraph"/>
              <w:rPr>
                <w:sz w:val="20"/>
              </w:rPr>
            </w:pPr>
          </w:p>
        </w:tc>
        <w:tc>
          <w:tcPr>
            <w:tcW w:w="2693" w:type="dxa"/>
            <w:tcBorders>
              <w:top w:val="single" w:sz="4" w:space="0" w:color="000000"/>
              <w:left w:val="single" w:sz="4" w:space="0" w:color="000000"/>
            </w:tcBorders>
          </w:tcPr>
          <w:p>
            <w:pPr>
              <w:pStyle w:val="TableParagraph"/>
              <w:spacing w:before="58"/>
              <w:ind w:right="75"/>
              <w:jc w:val="right"/>
              <w:rPr>
                <w:sz w:val="21"/>
              </w:rPr>
            </w:pPr>
            <w:r>
              <w:rPr>
                <w:sz w:val="21"/>
              </w:rPr>
              <w:t>-283,463,745.83</w:t>
            </w:r>
          </w:p>
        </w:tc>
      </w:tr>
    </w:tbl>
    <w:p>
      <w:pPr>
        <w:pStyle w:val="BodyText"/>
        <w:spacing w:before="1"/>
        <w:rPr>
          <w:sz w:val="23"/>
        </w:rPr>
      </w:pPr>
    </w:p>
    <w:p>
      <w:pPr>
        <w:pStyle w:val="ListParagraph"/>
        <w:numPr>
          <w:ilvl w:val="1"/>
          <w:numId w:val="66"/>
        </w:numPr>
        <w:tabs>
          <w:tab w:pos="2171" w:val="left" w:leader="none"/>
        </w:tabs>
        <w:spacing w:line="240" w:lineRule="auto" w:before="0" w:after="0"/>
        <w:ind w:left="2170" w:right="0" w:hanging="530"/>
        <w:jc w:val="left"/>
        <w:rPr>
          <w:sz w:val="21"/>
        </w:rPr>
      </w:pPr>
      <w:r>
        <w:rPr>
          <w:spacing w:val="-3"/>
          <w:sz w:val="21"/>
        </w:rPr>
        <w:t>终止经营净利润</w:t>
      </w:r>
    </w:p>
    <w:p>
      <w:pPr>
        <w:pStyle w:val="BodyText"/>
        <w:spacing w:before="3" w:after="1"/>
        <w:rPr>
          <w:sz w:val="12"/>
        </w:rPr>
      </w:pPr>
    </w:p>
    <w:tbl>
      <w:tblPr>
        <w:tblW w:w="0" w:type="auto"/>
        <w:jc w:val="left"/>
        <w:tblInd w:w="183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29"/>
        <w:gridCol w:w="2127"/>
        <w:gridCol w:w="2269"/>
      </w:tblGrid>
      <w:tr>
        <w:trPr>
          <w:trHeight w:val="368" w:hRule="atLeast"/>
        </w:trPr>
        <w:tc>
          <w:tcPr>
            <w:tcW w:w="3829" w:type="dxa"/>
            <w:tcBorders>
              <w:bottom w:val="single" w:sz="4" w:space="0" w:color="000000"/>
              <w:right w:val="single" w:sz="4" w:space="0" w:color="000000"/>
            </w:tcBorders>
          </w:tcPr>
          <w:p>
            <w:pPr>
              <w:pStyle w:val="TableParagraph"/>
              <w:spacing w:line="349" w:lineRule="exact"/>
              <w:ind w:left="1682" w:right="1666"/>
              <w:jc w:val="center"/>
              <w:rPr>
                <w:rFonts w:ascii="Microsoft JhengHei" w:eastAsia="Microsoft JhengHei" w:hint="eastAsia"/>
                <w:b/>
                <w:sz w:val="21"/>
              </w:rPr>
            </w:pPr>
            <w:r>
              <w:rPr>
                <w:rFonts w:ascii="Microsoft JhengHei" w:eastAsia="Microsoft JhengHei" w:hint="eastAsia"/>
                <w:b/>
                <w:sz w:val="21"/>
              </w:rPr>
              <w:t>项目</w:t>
            </w:r>
          </w:p>
        </w:tc>
        <w:tc>
          <w:tcPr>
            <w:tcW w:w="2127" w:type="dxa"/>
            <w:tcBorders>
              <w:left w:val="single" w:sz="4" w:space="0" w:color="000000"/>
              <w:bottom w:val="single" w:sz="4" w:space="0" w:color="000000"/>
              <w:right w:val="single" w:sz="4" w:space="0" w:color="000000"/>
            </w:tcBorders>
          </w:tcPr>
          <w:p>
            <w:pPr>
              <w:pStyle w:val="TableParagraph"/>
              <w:spacing w:line="349" w:lineRule="exact"/>
              <w:ind w:left="106" w:right="78"/>
              <w:jc w:val="center"/>
              <w:rPr>
                <w:rFonts w:ascii="Microsoft JhengHei" w:eastAsia="Microsoft JhengHei" w:hint="eastAsia"/>
                <w:b/>
                <w:sz w:val="21"/>
              </w:rPr>
            </w:pPr>
            <w:r>
              <w:rPr>
                <w:rFonts w:ascii="Microsoft JhengHei" w:eastAsia="Microsoft JhengHei" w:hint="eastAsia"/>
                <w:b/>
                <w:sz w:val="21"/>
              </w:rPr>
              <w:t>本期</w:t>
            </w:r>
          </w:p>
        </w:tc>
        <w:tc>
          <w:tcPr>
            <w:tcW w:w="2269" w:type="dxa"/>
            <w:tcBorders>
              <w:left w:val="single" w:sz="4" w:space="0" w:color="000000"/>
              <w:bottom w:val="single" w:sz="4" w:space="0" w:color="000000"/>
            </w:tcBorders>
          </w:tcPr>
          <w:p>
            <w:pPr>
              <w:pStyle w:val="TableParagraph"/>
              <w:spacing w:line="349" w:lineRule="exact"/>
              <w:ind w:left="721"/>
              <w:rPr>
                <w:rFonts w:ascii="Microsoft JhengHei" w:eastAsia="Microsoft JhengHei" w:hint="eastAsia"/>
                <w:b/>
                <w:sz w:val="21"/>
              </w:rPr>
            </w:pPr>
            <w:r>
              <w:rPr>
                <w:rFonts w:ascii="Microsoft JhengHei" w:eastAsia="Microsoft JhengHei" w:hint="eastAsia"/>
                <w:b/>
                <w:sz w:val="21"/>
              </w:rPr>
              <w:t>上年同期</w:t>
            </w:r>
          </w:p>
        </w:tc>
      </w:tr>
      <w:tr>
        <w:trPr>
          <w:trHeight w:val="369" w:hRule="atLeast"/>
        </w:trPr>
        <w:tc>
          <w:tcPr>
            <w:tcW w:w="3829" w:type="dxa"/>
            <w:tcBorders>
              <w:top w:val="single" w:sz="4" w:space="0" w:color="000000"/>
              <w:bottom w:val="single" w:sz="4" w:space="0" w:color="000000"/>
              <w:right w:val="single" w:sz="4" w:space="0" w:color="000000"/>
            </w:tcBorders>
          </w:tcPr>
          <w:p>
            <w:pPr>
              <w:pStyle w:val="TableParagraph"/>
              <w:spacing w:before="51"/>
              <w:ind w:left="107" w:right="-29"/>
              <w:rPr>
                <w:rFonts w:ascii="宋体" w:hAnsi="宋体" w:eastAsia="宋体" w:hint="eastAsia"/>
                <w:sz w:val="21"/>
              </w:rPr>
            </w:pPr>
            <w:r>
              <w:rPr>
                <w:rFonts w:ascii="宋体" w:hAnsi="宋体" w:eastAsia="宋体" w:hint="eastAsia"/>
                <w:spacing w:val="-8"/>
                <w:sz w:val="21"/>
              </w:rPr>
              <w:t>终止经营净利润</w:t>
            </w:r>
            <w:r>
              <w:rPr>
                <w:rFonts w:ascii="宋体" w:hAnsi="宋体" w:eastAsia="宋体" w:hint="eastAsia"/>
                <w:sz w:val="21"/>
              </w:rPr>
              <w:t>（</w:t>
            </w:r>
            <w:r>
              <w:rPr>
                <w:rFonts w:ascii="宋体" w:hAnsi="宋体" w:eastAsia="宋体" w:hint="eastAsia"/>
                <w:spacing w:val="-3"/>
                <w:sz w:val="21"/>
              </w:rPr>
              <w:t>净亏损以</w:t>
            </w:r>
            <w:r>
              <w:rPr>
                <w:sz w:val="21"/>
              </w:rPr>
              <w:t>“</w:t>
            </w:r>
            <w:r>
              <w:rPr>
                <w:rFonts w:ascii="宋体" w:hAnsi="宋体" w:eastAsia="宋体" w:hint="eastAsia"/>
                <w:sz w:val="21"/>
              </w:rPr>
              <w:t>－</w:t>
            </w:r>
            <w:r>
              <w:rPr>
                <w:sz w:val="21"/>
              </w:rPr>
              <w:t>”</w:t>
            </w:r>
            <w:r>
              <w:rPr>
                <w:rFonts w:ascii="宋体" w:hAnsi="宋体" w:eastAsia="宋体" w:hint="eastAsia"/>
                <w:spacing w:val="-2"/>
                <w:sz w:val="21"/>
              </w:rPr>
              <w:t>号填列</w:t>
            </w:r>
            <w:r>
              <w:rPr>
                <w:rFonts w:ascii="宋体" w:hAnsi="宋体" w:eastAsia="宋体" w:hint="eastAsia"/>
                <w:sz w:val="21"/>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269" w:type="dxa"/>
            <w:tcBorders>
              <w:top w:val="single" w:sz="4" w:space="0" w:color="000000"/>
              <w:left w:val="single" w:sz="4" w:space="0" w:color="000000"/>
              <w:bottom w:val="single" w:sz="4" w:space="0" w:color="000000"/>
            </w:tcBorders>
          </w:tcPr>
          <w:p>
            <w:pPr>
              <w:pStyle w:val="TableParagraph"/>
              <w:spacing w:before="58"/>
              <w:ind w:left="697"/>
              <w:rPr>
                <w:sz w:val="21"/>
              </w:rPr>
            </w:pPr>
            <w:r>
              <w:rPr>
                <w:sz w:val="21"/>
              </w:rPr>
              <w:t>3,312,865,296.34</w:t>
            </w:r>
          </w:p>
        </w:tc>
      </w:tr>
      <w:tr>
        <w:trPr>
          <w:trHeight w:val="369" w:hRule="atLeast"/>
        </w:trPr>
        <w:tc>
          <w:tcPr>
            <w:tcW w:w="3829"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归属于母公司股东的部分</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269" w:type="dxa"/>
            <w:tcBorders>
              <w:top w:val="single" w:sz="4" w:space="0" w:color="000000"/>
              <w:left w:val="single" w:sz="4" w:space="0" w:color="000000"/>
              <w:bottom w:val="single" w:sz="4" w:space="0" w:color="000000"/>
            </w:tcBorders>
          </w:tcPr>
          <w:p>
            <w:pPr>
              <w:pStyle w:val="TableParagraph"/>
              <w:spacing w:before="58"/>
              <w:ind w:left="697"/>
              <w:rPr>
                <w:sz w:val="21"/>
              </w:rPr>
            </w:pPr>
            <w:r>
              <w:rPr>
                <w:sz w:val="21"/>
              </w:rPr>
              <w:t>1,491,299,457.32</w:t>
            </w:r>
          </w:p>
        </w:tc>
      </w:tr>
      <w:tr>
        <w:trPr>
          <w:trHeight w:val="368" w:hRule="atLeast"/>
        </w:trPr>
        <w:tc>
          <w:tcPr>
            <w:tcW w:w="3829" w:type="dxa"/>
            <w:tcBorders>
              <w:top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归属于少数股东的部分</w:t>
            </w:r>
          </w:p>
        </w:tc>
        <w:tc>
          <w:tcPr>
            <w:tcW w:w="2127" w:type="dxa"/>
            <w:tcBorders>
              <w:top w:val="single" w:sz="4" w:space="0" w:color="000000"/>
              <w:left w:val="single" w:sz="4" w:space="0" w:color="000000"/>
              <w:right w:val="single" w:sz="4" w:space="0" w:color="000000"/>
            </w:tcBorders>
          </w:tcPr>
          <w:p>
            <w:pPr>
              <w:pStyle w:val="TableParagraph"/>
              <w:rPr>
                <w:sz w:val="20"/>
              </w:rPr>
            </w:pPr>
          </w:p>
        </w:tc>
        <w:tc>
          <w:tcPr>
            <w:tcW w:w="2269" w:type="dxa"/>
            <w:tcBorders>
              <w:top w:val="single" w:sz="4" w:space="0" w:color="000000"/>
              <w:left w:val="single" w:sz="4" w:space="0" w:color="000000"/>
            </w:tcBorders>
          </w:tcPr>
          <w:p>
            <w:pPr>
              <w:pStyle w:val="TableParagraph"/>
              <w:spacing w:before="58"/>
              <w:ind w:left="697"/>
              <w:rPr>
                <w:sz w:val="21"/>
              </w:rPr>
            </w:pPr>
            <w:r>
              <w:rPr>
                <w:sz w:val="21"/>
              </w:rPr>
              <w:t>1,821,565,839.02</w:t>
            </w:r>
          </w:p>
        </w:tc>
      </w:tr>
    </w:tbl>
    <w:p>
      <w:pPr>
        <w:pStyle w:val="BodyText"/>
        <w:spacing w:before="3"/>
        <w:rPr>
          <w:sz w:val="18"/>
        </w:rPr>
      </w:pPr>
    </w:p>
    <w:p>
      <w:pPr>
        <w:pStyle w:val="Heading4"/>
      </w:pPr>
      <w:r>
        <w:rPr>
          <w:rFonts w:ascii="Times New Roman" w:eastAsia="Times New Roman"/>
        </w:rPr>
        <w:t>5</w:t>
      </w:r>
      <w:r>
        <w:rPr/>
        <w:t>、 其他原因的合并范围变动</w:t>
      </w:r>
    </w:p>
    <w:p>
      <w:pPr>
        <w:pStyle w:val="BodyText"/>
        <w:spacing w:before="17"/>
        <w:ind w:left="1538"/>
      </w:pPr>
      <w:r>
        <w:rPr/>
        <w:t>说明其他原因导致的合并范围变动（如，新设子公司、清算子公司等）及其相关情况：</w:t>
      </w:r>
    </w:p>
    <w:p>
      <w:pPr>
        <w:pStyle w:val="BodyText"/>
        <w:spacing w:before="139"/>
        <w:ind w:left="1962"/>
      </w:pPr>
      <w:r>
        <w:rPr/>
        <w:t>√适用 □不适用</w:t>
      </w:r>
    </w:p>
    <w:p>
      <w:pPr>
        <w:pStyle w:val="ListParagraph"/>
        <w:numPr>
          <w:ilvl w:val="2"/>
          <w:numId w:val="66"/>
        </w:numPr>
        <w:tabs>
          <w:tab w:pos="2487" w:val="left" w:leader="none"/>
        </w:tabs>
        <w:spacing w:line="240" w:lineRule="auto" w:before="139" w:after="0"/>
        <w:ind w:left="2487" w:right="0" w:hanging="529"/>
        <w:jc w:val="left"/>
        <w:rPr>
          <w:sz w:val="21"/>
        </w:rPr>
      </w:pPr>
      <w:r>
        <w:rPr>
          <w:spacing w:val="-3"/>
          <w:sz w:val="21"/>
        </w:rPr>
        <w:t>本公司于本期出资设立了全资子公司海尔智家体验云生态科技有限公司。</w:t>
      </w:r>
    </w:p>
    <w:p>
      <w:pPr>
        <w:spacing w:after="0" w:line="240" w:lineRule="auto"/>
        <w:jc w:val="left"/>
        <w:rPr>
          <w:sz w:val="21"/>
        </w:rPr>
        <w:sectPr>
          <w:headerReference w:type="default" r:id="rId117"/>
          <w:footerReference w:type="default" r:id="rId118"/>
          <w:pgSz w:w="11910" w:h="16840"/>
          <w:pgMar w:header="876" w:footer="1214" w:top="1440" w:bottom="1400" w:left="260" w:right="0"/>
        </w:sectPr>
      </w:pPr>
    </w:p>
    <w:p>
      <w:pPr>
        <w:pStyle w:val="ListParagraph"/>
        <w:numPr>
          <w:ilvl w:val="2"/>
          <w:numId w:val="66"/>
        </w:numPr>
        <w:tabs>
          <w:tab w:pos="2485" w:val="left" w:leader="none"/>
        </w:tabs>
        <w:spacing w:line="367" w:lineRule="auto" w:before="68" w:after="0"/>
        <w:ind w:left="1538" w:right="1268" w:firstLine="419"/>
        <w:jc w:val="left"/>
        <w:rPr>
          <w:sz w:val="21"/>
        </w:rPr>
      </w:pPr>
      <w:r>
        <w:rPr>
          <w:spacing w:val="-3"/>
          <w:sz w:val="21"/>
        </w:rPr>
        <w:t>本公司之子公司海尔智家体验云生态科技有限公司于本期出资设立了全资子公司海尔</w:t>
      </w:r>
      <w:r>
        <w:rPr>
          <w:sz w:val="21"/>
        </w:rPr>
        <w:t>智家（</w:t>
      </w:r>
      <w:r>
        <w:rPr>
          <w:spacing w:val="-2"/>
          <w:sz w:val="21"/>
        </w:rPr>
        <w:t>青岛</w:t>
      </w:r>
      <w:r>
        <w:rPr>
          <w:spacing w:val="-3"/>
          <w:sz w:val="21"/>
        </w:rPr>
        <w:t>）网络有限公司。</w:t>
      </w:r>
    </w:p>
    <w:p>
      <w:pPr>
        <w:pStyle w:val="ListParagraph"/>
        <w:numPr>
          <w:ilvl w:val="2"/>
          <w:numId w:val="66"/>
        </w:numPr>
        <w:tabs>
          <w:tab w:pos="2485" w:val="left" w:leader="none"/>
        </w:tabs>
        <w:spacing w:line="364" w:lineRule="auto" w:before="0" w:after="0"/>
        <w:ind w:left="1538" w:right="1268" w:firstLine="419"/>
        <w:jc w:val="left"/>
        <w:rPr>
          <w:sz w:val="21"/>
        </w:rPr>
      </w:pPr>
      <w:r>
        <w:rPr>
          <w:spacing w:val="-3"/>
          <w:sz w:val="21"/>
        </w:rPr>
        <w:t>本公司之子公司海尔智家体验云生态科技有限公司于本期出资设立了全资子公司海尔</w:t>
      </w:r>
      <w:r>
        <w:rPr>
          <w:sz w:val="21"/>
        </w:rPr>
        <w:t>智家（</w:t>
      </w:r>
      <w:r>
        <w:rPr>
          <w:spacing w:val="-2"/>
          <w:sz w:val="21"/>
        </w:rPr>
        <w:t>青岛</w:t>
      </w:r>
      <w:r>
        <w:rPr>
          <w:spacing w:val="-3"/>
          <w:sz w:val="21"/>
        </w:rPr>
        <w:t>）网络运营有限公司。</w:t>
      </w:r>
    </w:p>
    <w:p>
      <w:pPr>
        <w:pStyle w:val="ListParagraph"/>
        <w:numPr>
          <w:ilvl w:val="2"/>
          <w:numId w:val="66"/>
        </w:numPr>
        <w:tabs>
          <w:tab w:pos="2485" w:val="left" w:leader="none"/>
        </w:tabs>
        <w:spacing w:line="364" w:lineRule="auto" w:before="0" w:after="0"/>
        <w:ind w:left="1538" w:right="1268" w:firstLine="419"/>
        <w:jc w:val="left"/>
        <w:rPr>
          <w:sz w:val="21"/>
        </w:rPr>
      </w:pPr>
      <w:r>
        <w:rPr>
          <w:spacing w:val="-3"/>
          <w:sz w:val="21"/>
        </w:rPr>
        <w:t>本公司之子公司青岛海尔特种电冰柜有限公司于本期出资设立了全资子公司青岛酒联网物联科技有限公司。</w:t>
      </w:r>
    </w:p>
    <w:p>
      <w:pPr>
        <w:pStyle w:val="ListParagraph"/>
        <w:numPr>
          <w:ilvl w:val="2"/>
          <w:numId w:val="66"/>
        </w:numPr>
        <w:tabs>
          <w:tab w:pos="2487" w:val="left" w:leader="none"/>
        </w:tabs>
        <w:spacing w:line="240" w:lineRule="auto" w:before="0" w:after="0"/>
        <w:ind w:left="2487" w:right="0" w:hanging="529"/>
        <w:jc w:val="left"/>
        <w:rPr>
          <w:sz w:val="21"/>
        </w:rPr>
      </w:pPr>
      <w:r>
        <w:rPr>
          <w:spacing w:val="-3"/>
          <w:sz w:val="21"/>
        </w:rPr>
        <w:t>本公司于本期出资设立了全资子公司青岛海达诚采购服务有限公司。</w:t>
      </w:r>
    </w:p>
    <w:p>
      <w:pPr>
        <w:pStyle w:val="ListParagraph"/>
        <w:numPr>
          <w:ilvl w:val="2"/>
          <w:numId w:val="66"/>
        </w:numPr>
        <w:tabs>
          <w:tab w:pos="2485" w:val="left" w:leader="none"/>
        </w:tabs>
        <w:spacing w:line="364" w:lineRule="auto" w:before="133" w:after="0"/>
        <w:ind w:left="1538" w:right="1268" w:firstLine="419"/>
        <w:jc w:val="left"/>
        <w:rPr>
          <w:sz w:val="21"/>
        </w:rPr>
      </w:pPr>
      <w:r>
        <w:rPr>
          <w:spacing w:val="-3"/>
          <w:sz w:val="21"/>
        </w:rPr>
        <w:t>本公司之子公司青岛海尔空调电子有限公司于本期出资设立了全资子公司青岛菱海空</w:t>
      </w:r>
      <w:r>
        <w:rPr>
          <w:spacing w:val="-2"/>
          <w:sz w:val="21"/>
        </w:rPr>
        <w:t>调设备有限公司。</w:t>
      </w:r>
    </w:p>
    <w:p>
      <w:pPr>
        <w:pStyle w:val="ListParagraph"/>
        <w:numPr>
          <w:ilvl w:val="2"/>
          <w:numId w:val="66"/>
        </w:numPr>
        <w:tabs>
          <w:tab w:pos="2485" w:val="left" w:leader="none"/>
        </w:tabs>
        <w:spacing w:line="367" w:lineRule="auto" w:before="0" w:after="0"/>
        <w:ind w:left="1538" w:right="1268" w:firstLine="419"/>
        <w:jc w:val="left"/>
        <w:rPr>
          <w:sz w:val="21"/>
        </w:rPr>
      </w:pPr>
      <w:r>
        <w:rPr>
          <w:spacing w:val="-3"/>
          <w:sz w:val="21"/>
        </w:rPr>
        <w:t>本公司之子公司青岛海尔空调器有限总公司于本期出资设立了全资子公司北京海享汇</w:t>
      </w:r>
      <w:r>
        <w:rPr>
          <w:spacing w:val="-2"/>
          <w:sz w:val="21"/>
        </w:rPr>
        <w:t>科技有限公司。</w:t>
      </w:r>
    </w:p>
    <w:p>
      <w:pPr>
        <w:pStyle w:val="ListParagraph"/>
        <w:numPr>
          <w:ilvl w:val="2"/>
          <w:numId w:val="66"/>
        </w:numPr>
        <w:tabs>
          <w:tab w:pos="2485" w:val="left" w:leader="none"/>
        </w:tabs>
        <w:spacing w:line="364" w:lineRule="auto" w:before="0" w:after="0"/>
        <w:ind w:left="1538" w:right="1268" w:firstLine="419"/>
        <w:jc w:val="left"/>
        <w:rPr>
          <w:sz w:val="21"/>
        </w:rPr>
      </w:pPr>
      <w:r>
        <w:rPr>
          <w:spacing w:val="-3"/>
          <w:sz w:val="21"/>
        </w:rPr>
        <w:t>本公司之子公司青岛云裳羽衣物联科技有限公司于本期出资设立了全资子公司重庆云裳衣联科技有限公司。</w:t>
      </w:r>
    </w:p>
    <w:p>
      <w:pPr>
        <w:pStyle w:val="ListParagraph"/>
        <w:numPr>
          <w:ilvl w:val="2"/>
          <w:numId w:val="66"/>
        </w:numPr>
        <w:tabs>
          <w:tab w:pos="2485" w:val="left" w:leader="none"/>
        </w:tabs>
        <w:spacing w:line="364" w:lineRule="auto" w:before="0" w:after="0"/>
        <w:ind w:left="1538" w:right="1268" w:firstLine="419"/>
        <w:jc w:val="left"/>
        <w:rPr>
          <w:sz w:val="21"/>
        </w:rPr>
      </w:pPr>
      <w:r>
        <w:rPr>
          <w:spacing w:val="-3"/>
          <w:sz w:val="21"/>
        </w:rPr>
        <w:t>本公司之子公司青岛云裳羽衣物联科技有限公司于本期出资设立了全资子公司深圳云裳衣联科技有限公司。</w:t>
      </w:r>
    </w:p>
    <w:p>
      <w:pPr>
        <w:pStyle w:val="ListParagraph"/>
        <w:numPr>
          <w:ilvl w:val="2"/>
          <w:numId w:val="66"/>
        </w:numPr>
        <w:tabs>
          <w:tab w:pos="2593" w:val="left" w:leader="none"/>
        </w:tabs>
        <w:spacing w:line="240" w:lineRule="auto" w:before="0" w:after="0"/>
        <w:ind w:left="2592" w:right="0" w:hanging="635"/>
        <w:jc w:val="left"/>
        <w:rPr>
          <w:sz w:val="21"/>
        </w:rPr>
      </w:pPr>
      <w:r>
        <w:rPr>
          <w:spacing w:val="-3"/>
          <w:sz w:val="21"/>
        </w:rPr>
        <w:t>本公司于本期出资设立了全资子公司青岛海享学人力资源有限公司。</w:t>
      </w:r>
    </w:p>
    <w:p>
      <w:pPr>
        <w:pStyle w:val="Heading4"/>
        <w:spacing w:line="359" w:lineRule="exact" w:before="122"/>
      </w:pPr>
      <w:r>
        <w:rPr/>
        <w:t>九、 在其他主体中的权益</w:t>
      </w:r>
    </w:p>
    <w:p>
      <w:pPr>
        <w:pStyle w:val="Heading4"/>
        <w:spacing w:line="359" w:lineRule="exact"/>
      </w:pPr>
      <w:r>
        <w:rPr>
          <w:rFonts w:ascii="Times New Roman" w:eastAsia="Times New Roman"/>
        </w:rPr>
        <w:t>1</w:t>
      </w:r>
      <w:r>
        <w:rPr/>
        <w:t>、 在子公司中的权益</w:t>
      </w:r>
    </w:p>
    <w:p>
      <w:pPr>
        <w:pStyle w:val="ListParagraph"/>
        <w:numPr>
          <w:ilvl w:val="0"/>
          <w:numId w:val="67"/>
        </w:numPr>
        <w:tabs>
          <w:tab w:pos="2067" w:val="left" w:leader="none"/>
        </w:tabs>
        <w:spacing w:line="240" w:lineRule="auto" w:before="190" w:after="0"/>
        <w:ind w:left="2067" w:right="0" w:hanging="529"/>
        <w:jc w:val="left"/>
        <w:rPr>
          <w:sz w:val="21"/>
        </w:rPr>
      </w:pPr>
      <w:r>
        <w:rPr>
          <w:spacing w:val="-2"/>
          <w:sz w:val="21"/>
        </w:rPr>
        <w:t>企业集团的构成</w:t>
      </w:r>
    </w:p>
    <w:p>
      <w:pPr>
        <w:pStyle w:val="BodyText"/>
        <w:spacing w:before="3"/>
        <w:rPr>
          <w:sz w:val="12"/>
        </w:rPr>
      </w:pPr>
    </w:p>
    <w:tbl>
      <w:tblPr>
        <w:tblW w:w="0" w:type="auto"/>
        <w:jc w:val="left"/>
        <w:tblInd w:w="175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64"/>
        <w:gridCol w:w="994"/>
        <w:gridCol w:w="992"/>
        <w:gridCol w:w="1561"/>
        <w:gridCol w:w="992"/>
        <w:gridCol w:w="995"/>
        <w:gridCol w:w="934"/>
      </w:tblGrid>
      <w:tr>
        <w:trPr>
          <w:trHeight w:val="368" w:hRule="atLeast"/>
        </w:trPr>
        <w:tc>
          <w:tcPr>
            <w:tcW w:w="1964" w:type="dxa"/>
            <w:vMerge w:val="restart"/>
            <w:tcBorders>
              <w:bottom w:val="single" w:sz="4" w:space="0" w:color="000000"/>
              <w:right w:val="single" w:sz="4" w:space="0" w:color="000000"/>
            </w:tcBorders>
          </w:tcPr>
          <w:p>
            <w:pPr>
              <w:pStyle w:val="TableParagraph"/>
              <w:spacing w:before="11"/>
              <w:rPr>
                <w:rFonts w:ascii="宋体"/>
                <w:sz w:val="13"/>
              </w:rPr>
            </w:pPr>
          </w:p>
          <w:p>
            <w:pPr>
              <w:pStyle w:val="TableParagraph"/>
              <w:ind w:left="527"/>
              <w:rPr>
                <w:rFonts w:ascii="Microsoft JhengHei" w:eastAsia="Microsoft JhengHei" w:hint="eastAsia"/>
                <w:b/>
                <w:sz w:val="18"/>
              </w:rPr>
            </w:pPr>
            <w:r>
              <w:rPr>
                <w:rFonts w:ascii="Microsoft JhengHei" w:eastAsia="Microsoft JhengHei" w:hint="eastAsia"/>
                <w:b/>
                <w:sz w:val="18"/>
              </w:rPr>
              <w:t>子公司名称</w:t>
            </w:r>
          </w:p>
        </w:tc>
        <w:tc>
          <w:tcPr>
            <w:tcW w:w="994" w:type="dxa"/>
            <w:vMerge w:val="restart"/>
            <w:tcBorders>
              <w:left w:val="single" w:sz="4" w:space="0" w:color="000000"/>
              <w:bottom w:val="single" w:sz="4" w:space="0" w:color="000000"/>
              <w:right w:val="single" w:sz="4" w:space="0" w:color="000000"/>
            </w:tcBorders>
          </w:tcPr>
          <w:p>
            <w:pPr>
              <w:pStyle w:val="TableParagraph"/>
              <w:spacing w:line="194" w:lineRule="auto" w:before="88"/>
              <w:ind w:left="414" w:right="116" w:hanging="272"/>
              <w:rPr>
                <w:rFonts w:ascii="Microsoft JhengHei" w:eastAsia="Microsoft JhengHei" w:hint="eastAsia"/>
                <w:b/>
                <w:sz w:val="18"/>
              </w:rPr>
            </w:pPr>
            <w:r>
              <w:rPr>
                <w:rFonts w:ascii="Microsoft JhengHei" w:eastAsia="Microsoft JhengHei" w:hint="eastAsia"/>
                <w:b/>
                <w:sz w:val="18"/>
              </w:rPr>
              <w:t>主要经营地</w:t>
            </w:r>
          </w:p>
        </w:tc>
        <w:tc>
          <w:tcPr>
            <w:tcW w:w="992" w:type="dxa"/>
            <w:vMerge w:val="restart"/>
            <w:tcBorders>
              <w:left w:val="single" w:sz="4" w:space="0" w:color="000000"/>
              <w:bottom w:val="single" w:sz="4" w:space="0" w:color="000000"/>
              <w:right w:val="single" w:sz="4" w:space="0" w:color="000000"/>
            </w:tcBorders>
          </w:tcPr>
          <w:p>
            <w:pPr>
              <w:pStyle w:val="TableParagraph"/>
              <w:spacing w:before="11"/>
              <w:rPr>
                <w:rFonts w:ascii="宋体"/>
                <w:sz w:val="13"/>
              </w:rPr>
            </w:pPr>
          </w:p>
          <w:p>
            <w:pPr>
              <w:pStyle w:val="TableParagraph"/>
              <w:ind w:left="229"/>
              <w:rPr>
                <w:rFonts w:ascii="Microsoft JhengHei" w:eastAsia="Microsoft JhengHei" w:hint="eastAsia"/>
                <w:b/>
                <w:sz w:val="18"/>
              </w:rPr>
            </w:pPr>
            <w:r>
              <w:rPr>
                <w:rFonts w:ascii="Microsoft JhengHei" w:eastAsia="Microsoft JhengHei" w:hint="eastAsia"/>
                <w:b/>
                <w:sz w:val="18"/>
              </w:rPr>
              <w:t>注册地</w:t>
            </w:r>
          </w:p>
        </w:tc>
        <w:tc>
          <w:tcPr>
            <w:tcW w:w="1561" w:type="dxa"/>
            <w:vMerge w:val="restart"/>
            <w:tcBorders>
              <w:left w:val="single" w:sz="4" w:space="0" w:color="000000"/>
              <w:bottom w:val="single" w:sz="4" w:space="0" w:color="000000"/>
              <w:right w:val="single" w:sz="4" w:space="0" w:color="000000"/>
            </w:tcBorders>
          </w:tcPr>
          <w:p>
            <w:pPr>
              <w:pStyle w:val="TableParagraph"/>
              <w:spacing w:before="11"/>
              <w:rPr>
                <w:rFonts w:ascii="宋体"/>
                <w:sz w:val="13"/>
              </w:rPr>
            </w:pPr>
          </w:p>
          <w:p>
            <w:pPr>
              <w:pStyle w:val="TableParagraph"/>
              <w:ind w:left="425"/>
              <w:rPr>
                <w:rFonts w:ascii="Microsoft JhengHei" w:eastAsia="Microsoft JhengHei" w:hint="eastAsia"/>
                <w:b/>
                <w:sz w:val="18"/>
              </w:rPr>
            </w:pPr>
            <w:r>
              <w:rPr>
                <w:rFonts w:ascii="Microsoft JhengHei" w:eastAsia="Microsoft JhengHei" w:hint="eastAsia"/>
                <w:b/>
                <w:sz w:val="18"/>
              </w:rPr>
              <w:t>业务性质</w:t>
            </w:r>
          </w:p>
        </w:tc>
        <w:tc>
          <w:tcPr>
            <w:tcW w:w="1987" w:type="dxa"/>
            <w:gridSpan w:val="2"/>
            <w:tcBorders>
              <w:left w:val="single" w:sz="4" w:space="0" w:color="000000"/>
              <w:bottom w:val="single" w:sz="4" w:space="0" w:color="000000"/>
              <w:right w:val="single" w:sz="4" w:space="0" w:color="000000"/>
            </w:tcBorders>
          </w:tcPr>
          <w:p>
            <w:pPr>
              <w:pStyle w:val="TableParagraph"/>
              <w:spacing w:line="319" w:lineRule="exact"/>
              <w:ind w:left="364"/>
              <w:rPr>
                <w:rFonts w:ascii="Microsoft JhengHei" w:eastAsia="Microsoft JhengHei" w:hint="eastAsia"/>
                <w:b/>
                <w:sz w:val="18"/>
              </w:rPr>
            </w:pPr>
            <w:r>
              <w:rPr>
                <w:rFonts w:ascii="Microsoft JhengHei" w:eastAsia="Microsoft JhengHei" w:hint="eastAsia"/>
                <w:b/>
                <w:sz w:val="18"/>
              </w:rPr>
              <w:t>持股比例（</w:t>
            </w:r>
            <w:r>
              <w:rPr>
                <w:b/>
                <w:sz w:val="18"/>
              </w:rPr>
              <w:t>%</w:t>
            </w:r>
            <w:r>
              <w:rPr>
                <w:rFonts w:ascii="Microsoft JhengHei" w:eastAsia="Microsoft JhengHei" w:hint="eastAsia"/>
                <w:b/>
                <w:sz w:val="18"/>
              </w:rPr>
              <w:t>）</w:t>
            </w:r>
          </w:p>
        </w:tc>
        <w:tc>
          <w:tcPr>
            <w:tcW w:w="934" w:type="dxa"/>
            <w:vMerge w:val="restart"/>
            <w:tcBorders>
              <w:left w:val="single" w:sz="4" w:space="0" w:color="000000"/>
              <w:bottom w:val="single" w:sz="4" w:space="0" w:color="000000"/>
            </w:tcBorders>
          </w:tcPr>
          <w:p>
            <w:pPr>
              <w:pStyle w:val="TableParagraph"/>
              <w:spacing w:line="194" w:lineRule="auto" w:before="88"/>
              <w:ind w:left="380" w:right="172" w:hanging="183"/>
              <w:rPr>
                <w:rFonts w:ascii="Microsoft JhengHei" w:eastAsia="Microsoft JhengHei" w:hint="eastAsia"/>
                <w:b/>
                <w:sz w:val="18"/>
              </w:rPr>
            </w:pPr>
            <w:r>
              <w:rPr>
                <w:rFonts w:ascii="Microsoft JhengHei" w:eastAsia="Microsoft JhengHei" w:hint="eastAsia"/>
                <w:b/>
                <w:sz w:val="18"/>
              </w:rPr>
              <w:t>取得方式</w:t>
            </w:r>
          </w:p>
        </w:tc>
      </w:tr>
      <w:tr>
        <w:trPr>
          <w:trHeight w:val="369" w:hRule="atLeast"/>
        </w:trPr>
        <w:tc>
          <w:tcPr>
            <w:tcW w:w="1964" w:type="dxa"/>
            <w:vMerge/>
            <w:tcBorders>
              <w:top w:val="nil"/>
              <w:bottom w:val="single" w:sz="4" w:space="0" w:color="000000"/>
              <w:right w:val="single" w:sz="4" w:space="0" w:color="000000"/>
            </w:tcBorders>
          </w:tcPr>
          <w:p>
            <w:pPr>
              <w:rPr>
                <w:sz w:val="2"/>
                <w:szCs w:val="2"/>
              </w:rPr>
            </w:pPr>
          </w:p>
        </w:tc>
        <w:tc>
          <w:tcPr>
            <w:tcW w:w="994" w:type="dxa"/>
            <w:vMerge/>
            <w:tcBorders>
              <w:top w:val="nil"/>
              <w:left w:val="single" w:sz="4" w:space="0" w:color="000000"/>
              <w:bottom w:val="single" w:sz="4" w:space="0" w:color="000000"/>
              <w:right w:val="single" w:sz="4" w:space="0" w:color="000000"/>
            </w:tcBorders>
          </w:tcPr>
          <w:p>
            <w:pPr>
              <w:rPr>
                <w:sz w:val="2"/>
                <w:szCs w:val="2"/>
              </w:rPr>
            </w:pPr>
          </w:p>
        </w:tc>
        <w:tc>
          <w:tcPr>
            <w:tcW w:w="992" w:type="dxa"/>
            <w:vMerge/>
            <w:tcBorders>
              <w:top w:val="nil"/>
              <w:left w:val="single" w:sz="4" w:space="0" w:color="000000"/>
              <w:bottom w:val="single" w:sz="4" w:space="0" w:color="000000"/>
              <w:right w:val="single" w:sz="4" w:space="0" w:color="000000"/>
            </w:tcBorders>
          </w:tcPr>
          <w:p>
            <w:pPr>
              <w:rPr>
                <w:sz w:val="2"/>
                <w:szCs w:val="2"/>
              </w:rPr>
            </w:pPr>
          </w:p>
        </w:tc>
        <w:tc>
          <w:tcPr>
            <w:tcW w:w="1561" w:type="dxa"/>
            <w:vMerge/>
            <w:tcBorders>
              <w:top w:val="nil"/>
              <w:left w:val="single" w:sz="4" w:space="0" w:color="000000"/>
              <w:bottom w:val="single" w:sz="4" w:space="0" w:color="000000"/>
              <w:right w:val="single" w:sz="4" w:space="0" w:color="000000"/>
            </w:tcBorders>
          </w:tcPr>
          <w:p>
            <w:pPr>
              <w:rPr>
                <w:sz w:val="2"/>
                <w:szCs w:val="2"/>
              </w:rPr>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exact"/>
              <w:ind w:left="319"/>
              <w:rPr>
                <w:rFonts w:ascii="Microsoft JhengHei" w:eastAsia="Microsoft JhengHei" w:hint="eastAsia"/>
                <w:b/>
                <w:sz w:val="18"/>
              </w:rPr>
            </w:pPr>
            <w:r>
              <w:rPr>
                <w:rFonts w:ascii="Microsoft JhengHei" w:eastAsia="Microsoft JhengHei" w:hint="eastAsia"/>
                <w:b/>
                <w:sz w:val="18"/>
              </w:rPr>
              <w:t>直接</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319" w:lineRule="exact"/>
              <w:ind w:left="321"/>
              <w:rPr>
                <w:rFonts w:ascii="Microsoft JhengHei" w:eastAsia="Microsoft JhengHei" w:hint="eastAsia"/>
                <w:b/>
                <w:sz w:val="18"/>
              </w:rPr>
            </w:pPr>
            <w:r>
              <w:rPr>
                <w:rFonts w:ascii="Microsoft JhengHei" w:eastAsia="Microsoft JhengHei" w:hint="eastAsia"/>
                <w:b/>
                <w:sz w:val="18"/>
              </w:rPr>
              <w:t>间接</w:t>
            </w:r>
          </w:p>
        </w:tc>
        <w:tc>
          <w:tcPr>
            <w:tcW w:w="934" w:type="dxa"/>
            <w:vMerge/>
            <w:tcBorders>
              <w:top w:val="nil"/>
              <w:left w:val="single" w:sz="4" w:space="0" w:color="000000"/>
              <w:bottom w:val="single" w:sz="4" w:space="0" w:color="000000"/>
            </w:tcBorders>
          </w:tcPr>
          <w:p>
            <w:pPr>
              <w:rPr>
                <w:sz w:val="2"/>
                <w:szCs w:val="2"/>
              </w:rPr>
            </w:pPr>
          </w:p>
        </w:tc>
      </w:tr>
      <w:tr>
        <w:trPr>
          <w:trHeight w:val="1166" w:hRule="atLeast"/>
        </w:trPr>
        <w:tc>
          <w:tcPr>
            <w:tcW w:w="1964" w:type="dxa"/>
            <w:tcBorders>
              <w:top w:val="single" w:sz="4" w:space="0" w:color="000000"/>
              <w:bottom w:val="single" w:sz="4" w:space="0" w:color="000000"/>
              <w:right w:val="single" w:sz="4" w:space="0" w:color="000000"/>
            </w:tcBorders>
          </w:tcPr>
          <w:p>
            <w:pPr>
              <w:pStyle w:val="TableParagraph"/>
              <w:rPr>
                <w:rFonts w:ascii="宋体"/>
                <w:sz w:val="18"/>
              </w:rPr>
            </w:pPr>
          </w:p>
          <w:p>
            <w:pPr>
              <w:pStyle w:val="TableParagraph"/>
              <w:spacing w:line="242" w:lineRule="auto" w:before="119"/>
              <w:ind w:left="104" w:right="217"/>
              <w:rPr>
                <w:rFonts w:ascii="宋体" w:eastAsia="宋体" w:hint="eastAsia"/>
                <w:sz w:val="18"/>
              </w:rPr>
            </w:pPr>
            <w:r>
              <w:rPr>
                <w:rFonts w:ascii="宋体" w:eastAsia="宋体" w:hint="eastAsia"/>
                <w:sz w:val="18"/>
              </w:rPr>
              <w:t>海尔电器集团有限公司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18"/>
              </w:rPr>
            </w:pPr>
          </w:p>
          <w:p>
            <w:pPr>
              <w:pStyle w:val="TableParagraph"/>
              <w:spacing w:line="242" w:lineRule="auto" w:before="119"/>
              <w:ind w:left="234" w:right="118" w:hanging="92"/>
              <w:rPr>
                <w:rFonts w:ascii="宋体" w:eastAsia="宋体" w:hint="eastAsia"/>
                <w:sz w:val="18"/>
              </w:rPr>
            </w:pPr>
            <w:r>
              <w:rPr>
                <w:rFonts w:ascii="宋体" w:eastAsia="宋体" w:hint="eastAsia"/>
                <w:sz w:val="18"/>
              </w:rPr>
              <w:t>中国大陆及香港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20"/>
              </w:rPr>
            </w:pPr>
          </w:p>
          <w:p>
            <w:pPr>
              <w:pStyle w:val="TableParagraph"/>
              <w:rPr>
                <w:rFonts w:ascii="宋体"/>
                <w:sz w:val="17"/>
              </w:rPr>
            </w:pPr>
          </w:p>
          <w:p>
            <w:pPr>
              <w:pStyle w:val="TableParagraph"/>
              <w:spacing w:before="1"/>
              <w:ind w:left="99" w:right="77"/>
              <w:jc w:val="center"/>
              <w:rPr>
                <w:sz w:val="18"/>
              </w:rPr>
            </w:pPr>
            <w:r>
              <w:rPr>
                <w:sz w:val="18"/>
              </w:rPr>
              <w:t>Bermuda</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ind w:left="115"/>
              <w:rPr>
                <w:rFonts w:ascii="宋体" w:eastAsia="宋体" w:hint="eastAsia"/>
                <w:sz w:val="18"/>
              </w:rPr>
            </w:pPr>
            <w:r>
              <w:rPr>
                <w:rFonts w:ascii="宋体" w:eastAsia="宋体" w:hint="eastAsia"/>
                <w:sz w:val="18"/>
              </w:rPr>
              <w:t>此公司为集团公司，主要从事投</w:t>
            </w:r>
            <w:r>
              <w:rPr>
                <w:rFonts w:ascii="宋体" w:eastAsia="宋体" w:hint="eastAsia"/>
                <w:spacing w:val="-4"/>
                <w:sz w:val="18"/>
              </w:rPr>
              <w:t>资控股、洗衣机、</w:t>
            </w:r>
            <w:r>
              <w:rPr>
                <w:rFonts w:ascii="宋体" w:eastAsia="宋体" w:hint="eastAsia"/>
                <w:sz w:val="18"/>
              </w:rPr>
              <w:t>热水器生产销</w:t>
            </w:r>
          </w:p>
          <w:p>
            <w:pPr>
              <w:pStyle w:val="TableParagraph"/>
              <w:spacing w:line="213" w:lineRule="exact" w:before="1"/>
              <w:ind w:left="115"/>
              <w:rPr>
                <w:rFonts w:ascii="宋体" w:eastAsia="宋体" w:hint="eastAsia"/>
                <w:sz w:val="18"/>
              </w:rPr>
            </w:pPr>
            <w:r>
              <w:rPr>
                <w:rFonts w:ascii="宋体" w:eastAsia="宋体" w:hint="eastAsia"/>
                <w:sz w:val="18"/>
              </w:rPr>
              <w:t>售、分销服务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20"/>
              </w:rPr>
            </w:pPr>
          </w:p>
          <w:p>
            <w:pPr>
              <w:pStyle w:val="TableParagraph"/>
              <w:rPr>
                <w:rFonts w:ascii="宋体"/>
                <w:sz w:val="17"/>
              </w:rPr>
            </w:pPr>
          </w:p>
          <w:p>
            <w:pPr>
              <w:pStyle w:val="TableParagraph"/>
              <w:spacing w:before="1"/>
              <w:ind w:right="88"/>
              <w:jc w:val="right"/>
              <w:rPr>
                <w:sz w:val="18"/>
              </w:rPr>
            </w:pPr>
            <w:r>
              <w:rPr>
                <w:sz w:val="18"/>
              </w:rPr>
              <w:t>68.26</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20"/>
              </w:rPr>
            </w:pPr>
          </w:p>
          <w:p>
            <w:pPr>
              <w:pStyle w:val="TableParagraph"/>
              <w:rPr>
                <w:rFonts w:ascii="宋体"/>
                <w:sz w:val="17"/>
              </w:rPr>
            </w:pPr>
          </w:p>
          <w:p>
            <w:pPr>
              <w:pStyle w:val="TableParagraph"/>
              <w:spacing w:before="1"/>
              <w:ind w:right="91"/>
              <w:jc w:val="right"/>
              <w:rPr>
                <w:sz w:val="18"/>
              </w:rPr>
            </w:pPr>
            <w:r>
              <w:rPr>
                <w:sz w:val="18"/>
              </w:rPr>
              <w:t>31.74</w:t>
            </w:r>
          </w:p>
        </w:tc>
        <w:tc>
          <w:tcPr>
            <w:tcW w:w="934" w:type="dxa"/>
            <w:tcBorders>
              <w:top w:val="single" w:sz="4" w:space="0" w:color="000000"/>
              <w:left w:val="single" w:sz="4" w:space="0" w:color="000000"/>
              <w:bottom w:val="single" w:sz="4" w:space="0" w:color="000000"/>
            </w:tcBorders>
          </w:tcPr>
          <w:p>
            <w:pPr>
              <w:pStyle w:val="TableParagraph"/>
              <w:rPr>
                <w:rFonts w:ascii="宋体"/>
                <w:sz w:val="18"/>
              </w:rPr>
            </w:pPr>
          </w:p>
          <w:p>
            <w:pPr>
              <w:pStyle w:val="TableParagraph"/>
              <w:spacing w:line="242" w:lineRule="auto" w:before="119"/>
              <w:ind w:left="111" w:right="260"/>
              <w:rPr>
                <w:rFonts w:ascii="宋体" w:eastAsia="宋体" w:hint="eastAsia"/>
                <w:sz w:val="18"/>
              </w:rPr>
            </w:pPr>
            <w:r>
              <w:rPr>
                <w:rFonts w:ascii="宋体" w:eastAsia="宋体" w:hint="eastAsia"/>
                <w:sz w:val="18"/>
              </w:rPr>
              <w:t>同一控制合并</w:t>
            </w:r>
          </w:p>
        </w:tc>
      </w:tr>
      <w:tr>
        <w:trPr>
          <w:trHeight w:val="935" w:hRule="atLeast"/>
        </w:trPr>
        <w:tc>
          <w:tcPr>
            <w:tcW w:w="1964" w:type="dxa"/>
            <w:tcBorders>
              <w:top w:val="single" w:sz="4" w:space="0" w:color="000000"/>
              <w:bottom w:val="single" w:sz="4" w:space="0" w:color="000000"/>
              <w:right w:val="single" w:sz="4" w:space="0" w:color="000000"/>
            </w:tcBorders>
          </w:tcPr>
          <w:p>
            <w:pPr>
              <w:pStyle w:val="TableParagraph"/>
              <w:tabs>
                <w:tab w:pos="776" w:val="left" w:leader="none"/>
              </w:tabs>
              <w:spacing w:before="153"/>
              <w:ind w:left="104" w:right="326"/>
              <w:rPr>
                <w:sz w:val="18"/>
              </w:rPr>
            </w:pPr>
            <w:r>
              <w:rPr>
                <w:sz w:val="18"/>
              </w:rPr>
              <w:t>Haier</w:t>
              <w:tab/>
              <w:t>U.S. Appliance </w:t>
            </w:r>
            <w:r>
              <w:rPr>
                <w:spacing w:val="-3"/>
                <w:sz w:val="18"/>
              </w:rPr>
              <w:t>Solutions, </w:t>
            </w:r>
            <w:r>
              <w:rPr>
                <w:sz w:val="18"/>
              </w:rPr>
              <w:t>Inc.</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18"/>
              </w:rPr>
            </w:pPr>
          </w:p>
          <w:p>
            <w:pPr>
              <w:pStyle w:val="TableParagraph"/>
              <w:spacing w:before="122"/>
              <w:ind w:left="141" w:right="118"/>
              <w:jc w:val="center"/>
              <w:rPr>
                <w:rFonts w:ascii="宋体" w:eastAsia="宋体" w:hint="eastAsia"/>
                <w:sz w:val="18"/>
              </w:rPr>
            </w:pPr>
            <w:r>
              <w:rPr>
                <w:rFonts w:ascii="宋体" w:eastAsia="宋体" w:hint="eastAsia"/>
                <w:sz w:val="18"/>
              </w:rPr>
              <w:t>美国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18"/>
              </w:rPr>
            </w:pPr>
          </w:p>
          <w:p>
            <w:pPr>
              <w:pStyle w:val="TableParagraph"/>
              <w:spacing w:before="122"/>
              <w:ind w:left="99" w:right="80"/>
              <w:jc w:val="center"/>
              <w:rPr>
                <w:rFonts w:ascii="宋体" w:eastAsia="宋体" w:hint="eastAsia"/>
                <w:sz w:val="18"/>
              </w:rPr>
            </w:pPr>
            <w:r>
              <w:rPr>
                <w:rFonts w:ascii="宋体" w:eastAsia="宋体" w:hint="eastAsia"/>
                <w:sz w:val="18"/>
              </w:rPr>
              <w:t>美国</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2"/>
              <w:ind w:left="115" w:right="173"/>
              <w:jc w:val="both"/>
              <w:rPr>
                <w:rFonts w:ascii="宋体" w:eastAsia="宋体" w:hint="eastAsia"/>
                <w:sz w:val="18"/>
              </w:rPr>
            </w:pPr>
            <w:r>
              <w:rPr>
                <w:rFonts w:ascii="宋体" w:eastAsia="宋体" w:hint="eastAsia"/>
                <w:sz w:val="18"/>
              </w:rPr>
              <w:t>此公司为集团公司，主要从事家用电器生产经销业务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
              <w:rPr>
                <w:rFonts w:ascii="宋体"/>
                <w:sz w:val="25"/>
              </w:rPr>
            </w:pPr>
          </w:p>
          <w:p>
            <w:pPr>
              <w:pStyle w:val="TableParagraph"/>
              <w:spacing w:before="1"/>
              <w:ind w:right="195"/>
              <w:jc w:val="right"/>
              <w:rPr>
                <w:rFonts w:ascii="宋体"/>
                <w:sz w:val="21"/>
              </w:rPr>
            </w:pPr>
            <w:r>
              <w:rPr>
                <w:rFonts w:ascii="宋体"/>
                <w:w w:val="100"/>
                <w:sz w:val="21"/>
              </w:rPr>
              <w:t> </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
              <w:rPr>
                <w:rFonts w:ascii="宋体"/>
                <w:sz w:val="28"/>
              </w:rPr>
            </w:pPr>
          </w:p>
          <w:p>
            <w:pPr>
              <w:pStyle w:val="TableParagraph"/>
              <w:ind w:left="395"/>
              <w:rPr>
                <w:sz w:val="18"/>
              </w:rPr>
            </w:pPr>
            <w:r>
              <w:rPr>
                <w:sz w:val="18"/>
              </w:rPr>
              <w:t>100.00</w:t>
            </w:r>
          </w:p>
        </w:tc>
        <w:tc>
          <w:tcPr>
            <w:tcW w:w="934" w:type="dxa"/>
            <w:tcBorders>
              <w:top w:val="single" w:sz="4" w:space="0" w:color="000000"/>
              <w:left w:val="single" w:sz="4" w:space="0" w:color="000000"/>
              <w:bottom w:val="single" w:sz="4" w:space="0" w:color="000000"/>
            </w:tcBorders>
          </w:tcPr>
          <w:p>
            <w:pPr>
              <w:pStyle w:val="TableParagraph"/>
              <w:rPr>
                <w:rFonts w:ascii="宋体"/>
                <w:sz w:val="18"/>
              </w:rPr>
            </w:pPr>
          </w:p>
          <w:p>
            <w:pPr>
              <w:pStyle w:val="TableParagraph"/>
              <w:spacing w:before="122"/>
              <w:ind w:left="111"/>
              <w:rPr>
                <w:rFonts w:ascii="宋体" w:eastAsia="宋体" w:hint="eastAsia"/>
                <w:sz w:val="18"/>
              </w:rPr>
            </w:pPr>
            <w:r>
              <w:rPr>
                <w:rFonts w:ascii="宋体" w:eastAsia="宋体" w:hint="eastAsia"/>
                <w:sz w:val="18"/>
              </w:rPr>
              <w:t>设立</w:t>
            </w:r>
          </w:p>
        </w:tc>
      </w:tr>
      <w:tr>
        <w:trPr>
          <w:trHeight w:val="701" w:hRule="atLeast"/>
        </w:trPr>
        <w:tc>
          <w:tcPr>
            <w:tcW w:w="1964" w:type="dxa"/>
            <w:tcBorders>
              <w:top w:val="single" w:sz="4" w:space="0" w:color="000000"/>
              <w:bottom w:val="single" w:sz="4" w:space="0" w:color="000000"/>
              <w:right w:val="single" w:sz="4" w:space="0" w:color="000000"/>
            </w:tcBorders>
          </w:tcPr>
          <w:p>
            <w:pPr>
              <w:pStyle w:val="TableParagraph"/>
              <w:spacing w:line="244" w:lineRule="auto" w:before="115"/>
              <w:ind w:left="104" w:right="217"/>
              <w:rPr>
                <w:rFonts w:ascii="宋体" w:eastAsia="宋体" w:hint="eastAsia"/>
                <w:sz w:val="18"/>
              </w:rPr>
            </w:pPr>
            <w:r>
              <w:rPr>
                <w:rFonts w:ascii="宋体" w:eastAsia="宋体" w:hint="eastAsia"/>
                <w:sz w:val="18"/>
              </w:rPr>
              <w:t>海尔新加坡投资控股有限公司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ind w:left="143" w:right="118"/>
              <w:jc w:val="center"/>
              <w:rPr>
                <w:rFonts w:ascii="宋体" w:eastAsia="宋体" w:hint="eastAsia"/>
                <w:sz w:val="18"/>
              </w:rPr>
            </w:pPr>
            <w:r>
              <w:rPr>
                <w:rFonts w:ascii="宋体" w:eastAsia="宋体" w:hint="eastAsia"/>
                <w:sz w:val="18"/>
              </w:rPr>
              <w:t>新加坡及其他海外</w:t>
            </w:r>
          </w:p>
          <w:p>
            <w:pPr>
              <w:pStyle w:val="TableParagraph"/>
              <w:spacing w:line="215" w:lineRule="exact"/>
              <w:ind w:left="141" w:right="118"/>
              <w:jc w:val="center"/>
              <w:rPr>
                <w:rFonts w:ascii="宋体" w:eastAsia="宋体" w:hint="eastAsia"/>
                <w:sz w:val="18"/>
              </w:rPr>
            </w:pPr>
            <w:r>
              <w:rPr>
                <w:rFonts w:ascii="宋体" w:eastAsia="宋体" w:hint="eastAsia"/>
                <w:sz w:val="18"/>
              </w:rPr>
              <w:t>地区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2"/>
              <w:rPr>
                <w:rFonts w:ascii="宋体"/>
                <w:sz w:val="18"/>
              </w:rPr>
            </w:pPr>
          </w:p>
          <w:p>
            <w:pPr>
              <w:pStyle w:val="TableParagraph"/>
              <w:ind w:left="99" w:right="78"/>
              <w:jc w:val="center"/>
              <w:rPr>
                <w:rFonts w:ascii="宋体" w:eastAsia="宋体" w:hint="eastAsia"/>
                <w:sz w:val="18"/>
              </w:rPr>
            </w:pPr>
            <w:r>
              <w:rPr>
                <w:rFonts w:ascii="宋体" w:eastAsia="宋体" w:hint="eastAsia"/>
                <w:sz w:val="18"/>
              </w:rPr>
              <w:t>新加坡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ind w:left="115" w:right="173"/>
              <w:rPr>
                <w:rFonts w:ascii="宋体" w:eastAsia="宋体" w:hint="eastAsia"/>
                <w:sz w:val="18"/>
              </w:rPr>
            </w:pPr>
            <w:r>
              <w:rPr>
                <w:rFonts w:ascii="宋体" w:eastAsia="宋体" w:hint="eastAsia"/>
                <w:sz w:val="18"/>
              </w:rPr>
              <w:t>此公司为集团公司，家用电器生</w:t>
            </w:r>
          </w:p>
          <w:p>
            <w:pPr>
              <w:pStyle w:val="TableParagraph"/>
              <w:spacing w:line="215" w:lineRule="exact"/>
              <w:ind w:left="115"/>
              <w:rPr>
                <w:rFonts w:ascii="宋体" w:eastAsia="宋体" w:hint="eastAsia"/>
                <w:sz w:val="18"/>
              </w:rPr>
            </w:pPr>
            <w:r>
              <w:rPr>
                <w:rFonts w:ascii="宋体" w:eastAsia="宋体" w:hint="eastAsia"/>
                <w:sz w:val="18"/>
              </w:rPr>
              <w:t>产经销业务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2"/>
              <w:rPr>
                <w:rFonts w:ascii="宋体"/>
                <w:sz w:val="18"/>
              </w:rPr>
            </w:pPr>
          </w:p>
          <w:p>
            <w:pPr>
              <w:pStyle w:val="TableParagraph"/>
              <w:ind w:left="395"/>
              <w:rPr>
                <w:sz w:val="18"/>
              </w:rPr>
            </w:pPr>
            <w:r>
              <w:rPr>
                <w:sz w:val="18"/>
              </w:rPr>
              <w:t>100.00</w:t>
            </w:r>
          </w:p>
        </w:tc>
        <w:tc>
          <w:tcPr>
            <w:tcW w:w="934" w:type="dxa"/>
            <w:tcBorders>
              <w:top w:val="single" w:sz="4" w:space="0" w:color="000000"/>
              <w:left w:val="single" w:sz="4" w:space="0" w:color="000000"/>
              <w:bottom w:val="single" w:sz="4" w:space="0" w:color="000000"/>
            </w:tcBorders>
          </w:tcPr>
          <w:p>
            <w:pPr>
              <w:pStyle w:val="TableParagraph"/>
              <w:spacing w:line="244" w:lineRule="auto" w:before="115"/>
              <w:ind w:left="111" w:right="260"/>
              <w:rPr>
                <w:rFonts w:ascii="宋体" w:eastAsia="宋体" w:hint="eastAsia"/>
                <w:sz w:val="18"/>
              </w:rPr>
            </w:pPr>
            <w:r>
              <w:rPr>
                <w:rFonts w:ascii="宋体" w:eastAsia="宋体" w:hint="eastAsia"/>
                <w:sz w:val="18"/>
              </w:rPr>
              <w:t>同一控制合并</w:t>
            </w:r>
          </w:p>
        </w:tc>
      </w:tr>
      <w:tr>
        <w:trPr>
          <w:trHeight w:val="933" w:hRule="atLeast"/>
        </w:trPr>
        <w:tc>
          <w:tcPr>
            <w:tcW w:w="1964" w:type="dxa"/>
            <w:tcBorders>
              <w:top w:val="single" w:sz="4" w:space="0" w:color="000000"/>
              <w:bottom w:val="single" w:sz="4" w:space="0" w:color="000000"/>
              <w:right w:val="single" w:sz="4" w:space="0" w:color="000000"/>
            </w:tcBorders>
          </w:tcPr>
          <w:p>
            <w:pPr>
              <w:pStyle w:val="TableParagraph"/>
              <w:spacing w:before="151"/>
              <w:ind w:left="104" w:right="401"/>
              <w:jc w:val="both"/>
              <w:rPr>
                <w:sz w:val="18"/>
              </w:rPr>
            </w:pPr>
            <w:r>
              <w:rPr>
                <w:sz w:val="18"/>
              </w:rPr>
              <w:t>Haier New Zealand Investment Holding Company Limited</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18"/>
              </w:rPr>
            </w:pPr>
          </w:p>
          <w:p>
            <w:pPr>
              <w:pStyle w:val="TableParagraph"/>
              <w:spacing w:before="119"/>
              <w:ind w:left="143" w:right="118"/>
              <w:jc w:val="center"/>
              <w:rPr>
                <w:rFonts w:ascii="宋体" w:eastAsia="宋体" w:hint="eastAsia"/>
                <w:sz w:val="18"/>
              </w:rPr>
            </w:pPr>
            <w:r>
              <w:rPr>
                <w:rFonts w:ascii="宋体" w:eastAsia="宋体" w:hint="eastAsia"/>
                <w:sz w:val="18"/>
              </w:rPr>
              <w:t>新西兰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18"/>
              </w:rPr>
            </w:pPr>
          </w:p>
          <w:p>
            <w:pPr>
              <w:pStyle w:val="TableParagraph"/>
              <w:spacing w:before="119"/>
              <w:ind w:left="99" w:right="78"/>
              <w:jc w:val="center"/>
              <w:rPr>
                <w:rFonts w:ascii="宋体" w:eastAsia="宋体" w:hint="eastAsia"/>
                <w:sz w:val="18"/>
              </w:rPr>
            </w:pPr>
            <w:r>
              <w:rPr>
                <w:rFonts w:ascii="宋体" w:eastAsia="宋体" w:hint="eastAsia"/>
                <w:sz w:val="18"/>
              </w:rPr>
              <w:t>新西兰</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ind w:left="115" w:right="173"/>
              <w:jc w:val="both"/>
              <w:rPr>
                <w:rFonts w:ascii="宋体" w:eastAsia="宋体" w:hint="eastAsia"/>
                <w:sz w:val="18"/>
              </w:rPr>
            </w:pPr>
            <w:r>
              <w:rPr>
                <w:rFonts w:ascii="宋体" w:eastAsia="宋体" w:hint="eastAsia"/>
                <w:sz w:val="18"/>
              </w:rPr>
              <w:t>此公司为集团公司，主要从事家用电器生产经销</w:t>
            </w:r>
          </w:p>
          <w:p>
            <w:pPr>
              <w:pStyle w:val="TableParagraph"/>
              <w:spacing w:line="213" w:lineRule="exact" w:before="2"/>
              <w:ind w:left="115"/>
              <w:rPr>
                <w:rFonts w:ascii="宋体" w:eastAsia="宋体" w:hint="eastAsia"/>
                <w:sz w:val="18"/>
              </w:rPr>
            </w:pPr>
            <w:r>
              <w:rPr>
                <w:rFonts w:ascii="宋体" w:eastAsia="宋体" w:hint="eastAsia"/>
                <w:sz w:val="18"/>
              </w:rPr>
              <w:t>业务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1"/>
              <w:rPr>
                <w:rFonts w:ascii="宋体"/>
                <w:sz w:val="27"/>
              </w:rPr>
            </w:pPr>
          </w:p>
          <w:p>
            <w:pPr>
              <w:pStyle w:val="TableParagraph"/>
              <w:ind w:left="395"/>
              <w:rPr>
                <w:sz w:val="18"/>
              </w:rPr>
            </w:pPr>
            <w:r>
              <w:rPr>
                <w:sz w:val="18"/>
              </w:rPr>
              <w:t>100.00</w:t>
            </w:r>
          </w:p>
        </w:tc>
        <w:tc>
          <w:tcPr>
            <w:tcW w:w="934" w:type="dxa"/>
            <w:tcBorders>
              <w:top w:val="single" w:sz="4" w:space="0" w:color="000000"/>
              <w:left w:val="single" w:sz="4" w:space="0" w:color="000000"/>
              <w:bottom w:val="single" w:sz="4" w:space="0" w:color="000000"/>
            </w:tcBorders>
          </w:tcPr>
          <w:p>
            <w:pPr>
              <w:pStyle w:val="TableParagraph"/>
              <w:spacing w:before="1"/>
              <w:rPr>
                <w:rFonts w:ascii="宋体"/>
                <w:sz w:val="18"/>
              </w:rPr>
            </w:pPr>
          </w:p>
          <w:p>
            <w:pPr>
              <w:pStyle w:val="TableParagraph"/>
              <w:spacing w:line="242" w:lineRule="auto" w:before="1"/>
              <w:ind w:left="111" w:right="260"/>
              <w:rPr>
                <w:rFonts w:ascii="宋体" w:eastAsia="宋体" w:hint="eastAsia"/>
                <w:sz w:val="18"/>
              </w:rPr>
            </w:pPr>
            <w:r>
              <w:rPr>
                <w:rFonts w:ascii="宋体" w:eastAsia="宋体" w:hint="eastAsia"/>
                <w:sz w:val="18"/>
              </w:rPr>
              <w:t>同一控制合并</w:t>
            </w:r>
          </w:p>
        </w:tc>
      </w:tr>
      <w:tr>
        <w:trPr>
          <w:trHeight w:val="933" w:hRule="atLeast"/>
        </w:trPr>
        <w:tc>
          <w:tcPr>
            <w:tcW w:w="1964" w:type="dxa"/>
            <w:tcBorders>
              <w:top w:val="single" w:sz="4" w:space="0" w:color="000000"/>
              <w:bottom w:val="single" w:sz="4" w:space="0" w:color="000000"/>
              <w:right w:val="single" w:sz="4" w:space="0" w:color="000000"/>
            </w:tcBorders>
          </w:tcPr>
          <w:p>
            <w:pPr>
              <w:pStyle w:val="TableParagraph"/>
              <w:spacing w:before="11"/>
              <w:rPr>
                <w:rFonts w:ascii="宋体"/>
                <w:sz w:val="27"/>
              </w:rPr>
            </w:pPr>
          </w:p>
          <w:p>
            <w:pPr>
              <w:pStyle w:val="TableParagraph"/>
              <w:ind w:left="104"/>
              <w:rPr>
                <w:sz w:val="18"/>
              </w:rPr>
            </w:pPr>
            <w:r>
              <w:rPr>
                <w:sz w:val="18"/>
              </w:rPr>
              <w:t>Candy S.p.A</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18"/>
              </w:rPr>
            </w:pPr>
          </w:p>
          <w:p>
            <w:pPr>
              <w:pStyle w:val="TableParagraph"/>
              <w:spacing w:before="119"/>
              <w:ind w:left="141" w:right="118"/>
              <w:jc w:val="center"/>
              <w:rPr>
                <w:rFonts w:ascii="宋体" w:eastAsia="宋体" w:hint="eastAsia"/>
                <w:sz w:val="18"/>
              </w:rPr>
            </w:pPr>
            <w:r>
              <w:rPr>
                <w:rFonts w:ascii="宋体" w:eastAsia="宋体" w:hint="eastAsia"/>
                <w:sz w:val="18"/>
              </w:rPr>
              <w:t>欧洲</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18"/>
              </w:rPr>
            </w:pPr>
          </w:p>
          <w:p>
            <w:pPr>
              <w:pStyle w:val="TableParagraph"/>
              <w:spacing w:before="119"/>
              <w:ind w:left="99" w:right="78"/>
              <w:jc w:val="center"/>
              <w:rPr>
                <w:rFonts w:ascii="宋体" w:eastAsia="宋体" w:hint="eastAsia"/>
                <w:sz w:val="18"/>
              </w:rPr>
            </w:pPr>
            <w:r>
              <w:rPr>
                <w:rFonts w:ascii="宋体" w:eastAsia="宋体" w:hint="eastAsia"/>
                <w:sz w:val="18"/>
              </w:rPr>
              <w:t>意大利</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ind w:left="115" w:right="173"/>
              <w:jc w:val="both"/>
              <w:rPr>
                <w:rFonts w:ascii="宋体" w:eastAsia="宋体" w:hint="eastAsia"/>
                <w:sz w:val="18"/>
              </w:rPr>
            </w:pPr>
            <w:r>
              <w:rPr>
                <w:rFonts w:ascii="宋体" w:eastAsia="宋体" w:hint="eastAsia"/>
                <w:sz w:val="18"/>
              </w:rPr>
              <w:t>此公司为集团公司，主要从事家用电器生产经销</w:t>
            </w:r>
          </w:p>
          <w:p>
            <w:pPr>
              <w:pStyle w:val="TableParagraph"/>
              <w:spacing w:line="213" w:lineRule="exact" w:before="2"/>
              <w:ind w:left="115"/>
              <w:rPr>
                <w:rFonts w:ascii="宋体" w:eastAsia="宋体" w:hint="eastAsia"/>
                <w:sz w:val="18"/>
              </w:rPr>
            </w:pPr>
            <w:r>
              <w:rPr>
                <w:rFonts w:ascii="宋体" w:eastAsia="宋体" w:hint="eastAsia"/>
                <w:sz w:val="18"/>
              </w:rPr>
              <w:t>业务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1"/>
              <w:rPr>
                <w:rFonts w:ascii="宋体"/>
                <w:sz w:val="27"/>
              </w:rPr>
            </w:pPr>
          </w:p>
          <w:p>
            <w:pPr>
              <w:pStyle w:val="TableParagraph"/>
              <w:ind w:left="395"/>
              <w:rPr>
                <w:sz w:val="18"/>
              </w:rPr>
            </w:pPr>
            <w:r>
              <w:rPr>
                <w:sz w:val="18"/>
              </w:rPr>
              <w:t>100.00</w:t>
            </w:r>
          </w:p>
        </w:tc>
        <w:tc>
          <w:tcPr>
            <w:tcW w:w="934" w:type="dxa"/>
            <w:tcBorders>
              <w:top w:val="single" w:sz="4" w:space="0" w:color="000000"/>
              <w:left w:val="single" w:sz="4" w:space="0" w:color="000000"/>
              <w:bottom w:val="single" w:sz="4" w:space="0" w:color="000000"/>
            </w:tcBorders>
          </w:tcPr>
          <w:p>
            <w:pPr>
              <w:pStyle w:val="TableParagraph"/>
              <w:spacing w:line="242" w:lineRule="auto" w:before="117"/>
              <w:ind w:left="111" w:right="260"/>
              <w:jc w:val="both"/>
              <w:rPr>
                <w:rFonts w:ascii="宋体" w:eastAsia="宋体" w:hint="eastAsia"/>
                <w:sz w:val="18"/>
              </w:rPr>
            </w:pPr>
            <w:r>
              <w:rPr>
                <w:rFonts w:ascii="宋体" w:eastAsia="宋体" w:hint="eastAsia"/>
                <w:sz w:val="18"/>
              </w:rPr>
              <w:t>非同一控制合并</w:t>
            </w:r>
          </w:p>
        </w:tc>
      </w:tr>
      <w:tr>
        <w:trPr>
          <w:trHeight w:val="464" w:hRule="atLeast"/>
        </w:trPr>
        <w:tc>
          <w:tcPr>
            <w:tcW w:w="1964" w:type="dxa"/>
            <w:tcBorders>
              <w:top w:val="single" w:sz="4" w:space="0" w:color="000000"/>
              <w:right w:val="single" w:sz="4" w:space="0" w:color="000000"/>
            </w:tcBorders>
          </w:tcPr>
          <w:p>
            <w:pPr>
              <w:pStyle w:val="TableParagraph"/>
              <w:spacing w:line="230" w:lineRule="exact"/>
              <w:ind w:left="104"/>
              <w:rPr>
                <w:rFonts w:ascii="宋体" w:eastAsia="宋体" w:hint="eastAsia"/>
                <w:sz w:val="18"/>
              </w:rPr>
            </w:pPr>
            <w:r>
              <w:rPr>
                <w:rFonts w:ascii="宋体" w:eastAsia="宋体" w:hint="eastAsia"/>
                <w:sz w:val="18"/>
              </w:rPr>
              <w:t>青岛海尔空调器有限</w:t>
            </w:r>
          </w:p>
          <w:p>
            <w:pPr>
              <w:pStyle w:val="TableParagraph"/>
              <w:spacing w:line="210" w:lineRule="exact" w:before="4"/>
              <w:ind w:left="104"/>
              <w:rPr>
                <w:rFonts w:ascii="宋体" w:eastAsia="宋体" w:hint="eastAsia"/>
                <w:sz w:val="18"/>
              </w:rPr>
            </w:pPr>
            <w:r>
              <w:rPr>
                <w:rFonts w:ascii="宋体" w:eastAsia="宋体" w:hint="eastAsia"/>
                <w:sz w:val="18"/>
              </w:rPr>
              <w:t>总公司</w:t>
            </w:r>
          </w:p>
        </w:tc>
        <w:tc>
          <w:tcPr>
            <w:tcW w:w="994" w:type="dxa"/>
            <w:tcBorders>
              <w:top w:val="single" w:sz="4" w:space="0" w:color="000000"/>
              <w:left w:val="single" w:sz="4" w:space="0" w:color="000000"/>
              <w:right w:val="single" w:sz="4" w:space="0" w:color="000000"/>
            </w:tcBorders>
          </w:tcPr>
          <w:p>
            <w:pPr>
              <w:pStyle w:val="TableParagraph"/>
              <w:spacing w:line="230" w:lineRule="exact"/>
              <w:ind w:left="122" w:right="99"/>
              <w:jc w:val="center"/>
              <w:rPr>
                <w:rFonts w:ascii="宋体" w:eastAsia="宋体" w:hint="eastAsia"/>
                <w:sz w:val="18"/>
              </w:rPr>
            </w:pPr>
            <w:r>
              <w:rPr>
                <w:rFonts w:ascii="宋体" w:eastAsia="宋体" w:hint="eastAsia"/>
                <w:sz w:val="18"/>
              </w:rPr>
              <w:t>青岛高科</w:t>
            </w:r>
          </w:p>
          <w:p>
            <w:pPr>
              <w:pStyle w:val="TableParagraph"/>
              <w:spacing w:line="210" w:lineRule="exact" w:before="4"/>
              <w:ind w:left="25"/>
              <w:jc w:val="center"/>
              <w:rPr>
                <w:rFonts w:ascii="宋体" w:eastAsia="宋体" w:hint="eastAsia"/>
                <w:sz w:val="18"/>
              </w:rPr>
            </w:pPr>
            <w:r>
              <w:rPr>
                <w:rFonts w:ascii="宋体" w:eastAsia="宋体" w:hint="eastAsia"/>
                <w:sz w:val="18"/>
              </w:rPr>
              <w:t>园</w:t>
            </w:r>
          </w:p>
        </w:tc>
        <w:tc>
          <w:tcPr>
            <w:tcW w:w="992" w:type="dxa"/>
            <w:tcBorders>
              <w:top w:val="single" w:sz="4" w:space="0" w:color="000000"/>
              <w:left w:val="single" w:sz="4" w:space="0" w:color="000000"/>
              <w:right w:val="single" w:sz="4" w:space="0" w:color="000000"/>
            </w:tcBorders>
          </w:tcPr>
          <w:p>
            <w:pPr>
              <w:pStyle w:val="TableParagraph"/>
              <w:spacing w:line="230" w:lineRule="exact"/>
              <w:ind w:left="99" w:right="80"/>
              <w:jc w:val="center"/>
              <w:rPr>
                <w:rFonts w:ascii="宋体" w:eastAsia="宋体" w:hint="eastAsia"/>
                <w:sz w:val="18"/>
              </w:rPr>
            </w:pPr>
            <w:r>
              <w:rPr>
                <w:rFonts w:ascii="宋体" w:eastAsia="宋体" w:hint="eastAsia"/>
                <w:sz w:val="18"/>
              </w:rPr>
              <w:t>青岛高科</w:t>
            </w:r>
          </w:p>
          <w:p>
            <w:pPr>
              <w:pStyle w:val="TableParagraph"/>
              <w:spacing w:line="210" w:lineRule="exact" w:before="4"/>
              <w:ind w:left="21"/>
              <w:jc w:val="center"/>
              <w:rPr>
                <w:rFonts w:ascii="宋体" w:eastAsia="宋体" w:hint="eastAsia"/>
                <w:sz w:val="18"/>
              </w:rPr>
            </w:pPr>
            <w:r>
              <w:rPr>
                <w:rFonts w:ascii="宋体" w:eastAsia="宋体" w:hint="eastAsia"/>
                <w:sz w:val="18"/>
              </w:rPr>
              <w:t>园</w:t>
            </w:r>
          </w:p>
        </w:tc>
        <w:tc>
          <w:tcPr>
            <w:tcW w:w="1561" w:type="dxa"/>
            <w:tcBorders>
              <w:top w:val="single" w:sz="4" w:space="0" w:color="000000"/>
              <w:left w:val="single" w:sz="4" w:space="0" w:color="000000"/>
              <w:right w:val="single" w:sz="4" w:space="0" w:color="000000"/>
            </w:tcBorders>
          </w:tcPr>
          <w:p>
            <w:pPr>
              <w:pStyle w:val="TableParagraph"/>
              <w:spacing w:line="230" w:lineRule="exact"/>
              <w:ind w:left="115"/>
              <w:rPr>
                <w:rFonts w:ascii="宋体" w:eastAsia="宋体" w:hint="eastAsia"/>
                <w:sz w:val="18"/>
              </w:rPr>
            </w:pPr>
            <w:r>
              <w:rPr>
                <w:rFonts w:ascii="宋体" w:eastAsia="宋体" w:hint="eastAsia"/>
                <w:sz w:val="18"/>
              </w:rPr>
              <w:t>家用空调器的生</w:t>
            </w:r>
          </w:p>
          <w:p>
            <w:pPr>
              <w:pStyle w:val="TableParagraph"/>
              <w:spacing w:line="210" w:lineRule="exact" w:before="4"/>
              <w:ind w:left="115"/>
              <w:rPr>
                <w:rFonts w:ascii="宋体" w:eastAsia="宋体" w:hint="eastAsia"/>
                <w:sz w:val="18"/>
              </w:rPr>
            </w:pPr>
            <w:r>
              <w:rPr>
                <w:rFonts w:ascii="宋体" w:eastAsia="宋体" w:hint="eastAsia"/>
                <w:sz w:val="18"/>
              </w:rPr>
              <w:t>产与经营</w:t>
            </w:r>
          </w:p>
        </w:tc>
        <w:tc>
          <w:tcPr>
            <w:tcW w:w="992" w:type="dxa"/>
            <w:tcBorders>
              <w:top w:val="single" w:sz="4" w:space="0" w:color="000000"/>
              <w:left w:val="single" w:sz="4" w:space="0" w:color="000000"/>
              <w:right w:val="single" w:sz="4" w:space="0" w:color="000000"/>
            </w:tcBorders>
          </w:tcPr>
          <w:p>
            <w:pPr>
              <w:pStyle w:val="TableParagraph"/>
              <w:spacing w:before="124"/>
              <w:ind w:right="88"/>
              <w:jc w:val="right"/>
              <w:rPr>
                <w:sz w:val="18"/>
              </w:rPr>
            </w:pPr>
            <w:r>
              <w:rPr>
                <w:sz w:val="18"/>
              </w:rPr>
              <w:t>100.00</w:t>
            </w:r>
          </w:p>
        </w:tc>
        <w:tc>
          <w:tcPr>
            <w:tcW w:w="995" w:type="dxa"/>
            <w:tcBorders>
              <w:top w:val="single" w:sz="4" w:space="0" w:color="000000"/>
              <w:left w:val="single" w:sz="4" w:space="0" w:color="000000"/>
              <w:right w:val="single" w:sz="4" w:space="0" w:color="000000"/>
            </w:tcBorders>
          </w:tcPr>
          <w:p>
            <w:pPr>
              <w:pStyle w:val="TableParagraph"/>
              <w:spacing w:before="112"/>
              <w:ind w:right="2"/>
              <w:jc w:val="right"/>
              <w:rPr>
                <w:rFonts w:ascii="宋体"/>
                <w:sz w:val="18"/>
              </w:rPr>
            </w:pPr>
            <w:r>
              <w:rPr>
                <w:rFonts w:ascii="宋体"/>
                <w:sz w:val="18"/>
              </w:rPr>
              <w:t> </w:t>
            </w:r>
          </w:p>
        </w:tc>
        <w:tc>
          <w:tcPr>
            <w:tcW w:w="934" w:type="dxa"/>
            <w:tcBorders>
              <w:top w:val="single" w:sz="4" w:space="0" w:color="000000"/>
              <w:left w:val="single" w:sz="4" w:space="0" w:color="000000"/>
            </w:tcBorders>
          </w:tcPr>
          <w:p>
            <w:pPr>
              <w:pStyle w:val="TableParagraph"/>
              <w:spacing w:line="230" w:lineRule="exact"/>
              <w:ind w:left="111"/>
              <w:rPr>
                <w:rFonts w:ascii="宋体" w:eastAsia="宋体" w:hint="eastAsia"/>
                <w:sz w:val="18"/>
              </w:rPr>
            </w:pPr>
            <w:r>
              <w:rPr>
                <w:rFonts w:ascii="宋体" w:eastAsia="宋体" w:hint="eastAsia"/>
                <w:sz w:val="18"/>
              </w:rPr>
              <w:t>同一控</w:t>
            </w:r>
          </w:p>
          <w:p>
            <w:pPr>
              <w:pStyle w:val="TableParagraph"/>
              <w:spacing w:line="210" w:lineRule="exact" w:before="4"/>
              <w:ind w:left="111"/>
              <w:rPr>
                <w:rFonts w:ascii="宋体" w:eastAsia="宋体" w:hint="eastAsia"/>
                <w:sz w:val="18"/>
              </w:rPr>
            </w:pPr>
            <w:r>
              <w:rPr>
                <w:rFonts w:ascii="宋体" w:eastAsia="宋体" w:hint="eastAsia"/>
                <w:sz w:val="18"/>
              </w:rPr>
              <w:t>制合并</w:t>
            </w:r>
          </w:p>
        </w:tc>
      </w:tr>
    </w:tbl>
    <w:p>
      <w:pPr>
        <w:spacing w:after="0" w:line="210" w:lineRule="exact"/>
        <w:rPr>
          <w:rFonts w:ascii="宋体" w:eastAsia="宋体" w:hint="eastAsia"/>
          <w:sz w:val="18"/>
        </w:rPr>
        <w:sectPr>
          <w:headerReference w:type="default" r:id="rId119"/>
          <w:footerReference w:type="default" r:id="rId120"/>
          <w:pgSz w:w="11910" w:h="16840"/>
          <w:pgMar w:header="876" w:footer="1184" w:top="1440" w:bottom="1380" w:left="260" w:right="0"/>
          <w:pgNumType w:start="1"/>
        </w:sectPr>
      </w:pPr>
    </w:p>
    <w:p>
      <w:pPr>
        <w:pStyle w:val="BodyText"/>
        <w:spacing w:before="9"/>
        <w:rPr>
          <w:rFonts w:ascii="Times New Roman"/>
          <w:sz w:val="5"/>
        </w:rPr>
      </w:pPr>
    </w:p>
    <w:tbl>
      <w:tblPr>
        <w:tblW w:w="0" w:type="auto"/>
        <w:jc w:val="left"/>
        <w:tblInd w:w="175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64"/>
        <w:gridCol w:w="994"/>
        <w:gridCol w:w="992"/>
        <w:gridCol w:w="1561"/>
        <w:gridCol w:w="992"/>
        <w:gridCol w:w="995"/>
        <w:gridCol w:w="934"/>
      </w:tblGrid>
      <w:tr>
        <w:trPr>
          <w:trHeight w:val="467" w:hRule="atLeast"/>
        </w:trPr>
        <w:tc>
          <w:tcPr>
            <w:tcW w:w="1964" w:type="dxa"/>
            <w:tcBorders>
              <w:bottom w:val="single" w:sz="4" w:space="0" w:color="000000"/>
              <w:right w:val="single" w:sz="4" w:space="0" w:color="000000"/>
            </w:tcBorders>
          </w:tcPr>
          <w:p>
            <w:pPr>
              <w:pStyle w:val="TableParagraph"/>
              <w:spacing w:before="2"/>
              <w:ind w:left="104"/>
              <w:rPr>
                <w:rFonts w:ascii="宋体" w:eastAsia="宋体" w:hint="eastAsia"/>
                <w:sz w:val="18"/>
              </w:rPr>
            </w:pPr>
            <w:r>
              <w:rPr>
                <w:rFonts w:ascii="宋体" w:eastAsia="宋体" w:hint="eastAsia"/>
                <w:sz w:val="18"/>
              </w:rPr>
              <w:t>贵州海尔电器有限公</w:t>
            </w:r>
          </w:p>
          <w:p>
            <w:pPr>
              <w:pStyle w:val="TableParagraph"/>
              <w:spacing w:line="213" w:lineRule="exact" w:before="2"/>
              <w:ind w:left="104"/>
              <w:rPr>
                <w:rFonts w:ascii="宋体" w:eastAsia="宋体" w:hint="eastAsia"/>
                <w:sz w:val="18"/>
              </w:rPr>
            </w:pPr>
            <w:r>
              <w:rPr>
                <w:rFonts w:ascii="宋体" w:eastAsia="宋体" w:hint="eastAsia"/>
                <w:sz w:val="18"/>
              </w:rPr>
              <w:t>司</w:t>
            </w:r>
          </w:p>
        </w:tc>
        <w:tc>
          <w:tcPr>
            <w:tcW w:w="994" w:type="dxa"/>
            <w:tcBorders>
              <w:left w:val="single" w:sz="4" w:space="0" w:color="000000"/>
              <w:bottom w:val="single" w:sz="4" w:space="0" w:color="000000"/>
              <w:right w:val="single" w:sz="4" w:space="0" w:color="000000"/>
            </w:tcBorders>
          </w:tcPr>
          <w:p>
            <w:pPr>
              <w:pStyle w:val="TableParagraph"/>
              <w:spacing w:before="2"/>
              <w:ind w:left="143"/>
              <w:rPr>
                <w:rFonts w:ascii="宋体" w:eastAsia="宋体" w:hint="eastAsia"/>
                <w:sz w:val="18"/>
              </w:rPr>
            </w:pPr>
            <w:r>
              <w:rPr>
                <w:rFonts w:ascii="宋体" w:eastAsia="宋体" w:hint="eastAsia"/>
                <w:sz w:val="18"/>
              </w:rPr>
              <w:t>贵州遵义</w:t>
            </w:r>
          </w:p>
          <w:p>
            <w:pPr>
              <w:pStyle w:val="TableParagraph"/>
              <w:spacing w:line="213" w:lineRule="exact" w:before="2"/>
              <w:ind w:left="234"/>
              <w:rPr>
                <w:rFonts w:ascii="宋体" w:eastAsia="宋体" w:hint="eastAsia"/>
                <w:sz w:val="18"/>
              </w:rPr>
            </w:pPr>
            <w:r>
              <w:rPr>
                <w:rFonts w:ascii="宋体" w:eastAsia="宋体" w:hint="eastAsia"/>
                <w:sz w:val="18"/>
              </w:rPr>
              <w:t>汇川区</w:t>
            </w:r>
          </w:p>
        </w:tc>
        <w:tc>
          <w:tcPr>
            <w:tcW w:w="992" w:type="dxa"/>
            <w:tcBorders>
              <w:left w:val="single" w:sz="4" w:space="0" w:color="000000"/>
              <w:bottom w:val="single" w:sz="4" w:space="0" w:color="000000"/>
              <w:right w:val="single" w:sz="4" w:space="0" w:color="000000"/>
            </w:tcBorders>
          </w:tcPr>
          <w:p>
            <w:pPr>
              <w:pStyle w:val="TableParagraph"/>
              <w:spacing w:before="2"/>
              <w:ind w:left="140"/>
              <w:rPr>
                <w:rFonts w:ascii="宋体" w:eastAsia="宋体" w:hint="eastAsia"/>
                <w:sz w:val="18"/>
              </w:rPr>
            </w:pPr>
            <w:r>
              <w:rPr>
                <w:rFonts w:ascii="宋体" w:eastAsia="宋体" w:hint="eastAsia"/>
                <w:sz w:val="18"/>
              </w:rPr>
              <w:t>贵州遵义</w:t>
            </w:r>
          </w:p>
          <w:p>
            <w:pPr>
              <w:pStyle w:val="TableParagraph"/>
              <w:spacing w:line="213" w:lineRule="exact" w:before="2"/>
              <w:ind w:left="231"/>
              <w:rPr>
                <w:rFonts w:ascii="宋体" w:eastAsia="宋体" w:hint="eastAsia"/>
                <w:sz w:val="18"/>
              </w:rPr>
            </w:pPr>
            <w:r>
              <w:rPr>
                <w:rFonts w:ascii="宋体" w:eastAsia="宋体" w:hint="eastAsia"/>
                <w:sz w:val="18"/>
              </w:rPr>
              <w:t>汇川区</w:t>
            </w:r>
          </w:p>
        </w:tc>
        <w:tc>
          <w:tcPr>
            <w:tcW w:w="1561" w:type="dxa"/>
            <w:tcBorders>
              <w:left w:val="single" w:sz="4" w:space="0" w:color="000000"/>
              <w:bottom w:val="single" w:sz="4" w:space="0" w:color="000000"/>
              <w:right w:val="single" w:sz="4" w:space="0" w:color="000000"/>
            </w:tcBorders>
          </w:tcPr>
          <w:p>
            <w:pPr>
              <w:pStyle w:val="TableParagraph"/>
              <w:spacing w:before="119"/>
              <w:ind w:left="115"/>
              <w:rPr>
                <w:rFonts w:ascii="宋体" w:eastAsia="宋体" w:hint="eastAsia"/>
                <w:sz w:val="18"/>
              </w:rPr>
            </w:pPr>
            <w:r>
              <w:rPr>
                <w:rFonts w:ascii="宋体" w:eastAsia="宋体" w:hint="eastAsia"/>
                <w:sz w:val="18"/>
              </w:rPr>
              <w:t>电冰箱生产销售</w:t>
            </w:r>
          </w:p>
        </w:tc>
        <w:tc>
          <w:tcPr>
            <w:tcW w:w="992" w:type="dxa"/>
            <w:tcBorders>
              <w:left w:val="single" w:sz="4" w:space="0" w:color="000000"/>
              <w:bottom w:val="single" w:sz="4" w:space="0" w:color="000000"/>
              <w:right w:val="single" w:sz="4" w:space="0" w:color="000000"/>
            </w:tcBorders>
          </w:tcPr>
          <w:p>
            <w:pPr>
              <w:pStyle w:val="TableParagraph"/>
              <w:spacing w:before="127"/>
              <w:ind w:right="88"/>
              <w:jc w:val="right"/>
              <w:rPr>
                <w:sz w:val="18"/>
              </w:rPr>
            </w:pPr>
            <w:r>
              <w:rPr>
                <w:sz w:val="18"/>
              </w:rPr>
              <w:t>59.00</w:t>
            </w:r>
          </w:p>
        </w:tc>
        <w:tc>
          <w:tcPr>
            <w:tcW w:w="995" w:type="dxa"/>
            <w:tcBorders>
              <w:left w:val="single" w:sz="4" w:space="0" w:color="000000"/>
              <w:bottom w:val="single" w:sz="4" w:space="0" w:color="000000"/>
              <w:right w:val="single" w:sz="4" w:space="0" w:color="000000"/>
            </w:tcBorders>
          </w:tcPr>
          <w:p>
            <w:pPr>
              <w:pStyle w:val="TableParagraph"/>
              <w:spacing w:before="115"/>
              <w:ind w:right="2"/>
              <w:jc w:val="right"/>
              <w:rPr>
                <w:rFonts w:ascii="宋体"/>
                <w:sz w:val="18"/>
              </w:rPr>
            </w:pPr>
            <w:r>
              <w:rPr>
                <w:rFonts w:ascii="宋体"/>
                <w:sz w:val="18"/>
              </w:rPr>
              <w:t> </w:t>
            </w:r>
          </w:p>
        </w:tc>
        <w:tc>
          <w:tcPr>
            <w:tcW w:w="934" w:type="dxa"/>
            <w:tcBorders>
              <w:left w:val="single" w:sz="4" w:space="0" w:color="000000"/>
              <w:bottom w:val="single" w:sz="4" w:space="0" w:color="000000"/>
            </w:tcBorders>
          </w:tcPr>
          <w:p>
            <w:pPr>
              <w:pStyle w:val="TableParagraph"/>
              <w:spacing w:before="2"/>
              <w:ind w:left="111"/>
              <w:rPr>
                <w:rFonts w:ascii="宋体" w:eastAsia="宋体" w:hint="eastAsia"/>
                <w:sz w:val="18"/>
              </w:rPr>
            </w:pPr>
            <w:r>
              <w:rPr>
                <w:rFonts w:ascii="宋体" w:eastAsia="宋体" w:hint="eastAsia"/>
                <w:sz w:val="18"/>
              </w:rPr>
              <w:t>同一控</w:t>
            </w:r>
          </w:p>
          <w:p>
            <w:pPr>
              <w:pStyle w:val="TableParagraph"/>
              <w:spacing w:line="213" w:lineRule="exact" w:before="2"/>
              <w:ind w:left="111"/>
              <w:rPr>
                <w:rFonts w:ascii="宋体" w:eastAsia="宋体" w:hint="eastAsia"/>
                <w:sz w:val="18"/>
              </w:rPr>
            </w:pPr>
            <w:r>
              <w:rPr>
                <w:rFonts w:ascii="宋体" w:eastAsia="宋体" w:hint="eastAsia"/>
                <w:sz w:val="18"/>
              </w:rPr>
              <w:t>制合并</w:t>
            </w:r>
          </w:p>
        </w:tc>
      </w:tr>
      <w:tr>
        <w:trPr>
          <w:trHeight w:val="467" w:hRule="atLeast"/>
        </w:trPr>
        <w:tc>
          <w:tcPr>
            <w:tcW w:w="1964" w:type="dxa"/>
            <w:tcBorders>
              <w:top w:val="single" w:sz="4" w:space="0" w:color="000000"/>
              <w:bottom w:val="single" w:sz="4" w:space="0" w:color="000000"/>
              <w:right w:val="single" w:sz="4" w:space="0" w:color="000000"/>
            </w:tcBorders>
          </w:tcPr>
          <w:p>
            <w:pPr>
              <w:pStyle w:val="TableParagraph"/>
              <w:spacing w:line="230" w:lineRule="atLeast" w:before="2"/>
              <w:ind w:left="104" w:right="217"/>
              <w:rPr>
                <w:rFonts w:ascii="宋体" w:eastAsia="宋体" w:hint="eastAsia"/>
                <w:sz w:val="18"/>
              </w:rPr>
            </w:pPr>
            <w:r>
              <w:rPr>
                <w:rFonts w:ascii="宋体" w:eastAsia="宋体" w:hint="eastAsia"/>
                <w:sz w:val="18"/>
              </w:rPr>
              <w:t>合肥海尔空调器有限公司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2"/>
              <w:ind w:left="234" w:right="118" w:hanging="92"/>
              <w:rPr>
                <w:rFonts w:ascii="宋体" w:eastAsia="宋体" w:hint="eastAsia"/>
                <w:sz w:val="18"/>
              </w:rPr>
            </w:pPr>
            <w:r>
              <w:rPr>
                <w:rFonts w:ascii="宋体" w:eastAsia="宋体" w:hint="eastAsia"/>
                <w:sz w:val="18"/>
              </w:rPr>
              <w:t>合肥海尔工业园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2"/>
              <w:ind w:left="231" w:right="119" w:hanging="92"/>
              <w:rPr>
                <w:rFonts w:ascii="宋体" w:eastAsia="宋体" w:hint="eastAsia"/>
                <w:sz w:val="18"/>
              </w:rPr>
            </w:pPr>
            <w:r>
              <w:rPr>
                <w:rFonts w:ascii="宋体" w:eastAsia="宋体" w:hint="eastAsia"/>
                <w:sz w:val="18"/>
              </w:rPr>
              <w:t>合肥海尔工业园</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117"/>
              <w:ind w:left="115"/>
              <w:rPr>
                <w:rFonts w:ascii="宋体" w:eastAsia="宋体" w:hint="eastAsia"/>
                <w:sz w:val="18"/>
              </w:rPr>
            </w:pPr>
            <w:r>
              <w:rPr>
                <w:rFonts w:ascii="宋体" w:eastAsia="宋体" w:hint="eastAsia"/>
                <w:sz w:val="18"/>
              </w:rPr>
              <w:t>空调器生产销售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27"/>
              <w:ind w:right="88"/>
              <w:jc w:val="right"/>
              <w:rPr>
                <w:sz w:val="18"/>
              </w:rPr>
            </w:pPr>
            <w:r>
              <w:rPr>
                <w:sz w:val="18"/>
              </w:rPr>
              <w:t>99.22</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15"/>
              <w:ind w:right="2"/>
              <w:jc w:val="right"/>
              <w:rPr>
                <w:rFonts w:ascii="宋体"/>
                <w:sz w:val="18"/>
              </w:rPr>
            </w:pPr>
            <w:r>
              <w:rPr>
                <w:rFonts w:ascii="宋体"/>
                <w:sz w:val="18"/>
              </w:rPr>
              <w:t> </w:t>
            </w:r>
          </w:p>
        </w:tc>
        <w:tc>
          <w:tcPr>
            <w:tcW w:w="934" w:type="dxa"/>
            <w:tcBorders>
              <w:top w:val="single" w:sz="4" w:space="0" w:color="000000"/>
              <w:left w:val="single" w:sz="4" w:space="0" w:color="000000"/>
              <w:bottom w:val="single" w:sz="4" w:space="0" w:color="000000"/>
            </w:tcBorders>
          </w:tcPr>
          <w:p>
            <w:pPr>
              <w:pStyle w:val="TableParagraph"/>
              <w:spacing w:line="230" w:lineRule="atLeast" w:before="2"/>
              <w:ind w:left="111" w:right="260"/>
              <w:rPr>
                <w:rFonts w:ascii="宋体" w:eastAsia="宋体" w:hint="eastAsia"/>
                <w:sz w:val="18"/>
              </w:rPr>
            </w:pPr>
            <w:r>
              <w:rPr>
                <w:rFonts w:ascii="宋体" w:eastAsia="宋体" w:hint="eastAsia"/>
                <w:sz w:val="18"/>
              </w:rPr>
              <w:t>同一控制合并</w:t>
            </w:r>
          </w:p>
        </w:tc>
      </w:tr>
      <w:tr>
        <w:trPr>
          <w:trHeight w:val="467" w:hRule="atLeast"/>
        </w:trPr>
        <w:tc>
          <w:tcPr>
            <w:tcW w:w="1964" w:type="dxa"/>
            <w:tcBorders>
              <w:top w:val="single" w:sz="4" w:space="0" w:color="000000"/>
              <w:bottom w:val="single" w:sz="4" w:space="0" w:color="000000"/>
              <w:right w:val="single" w:sz="4" w:space="0" w:color="000000"/>
            </w:tcBorders>
          </w:tcPr>
          <w:p>
            <w:pPr>
              <w:pStyle w:val="TableParagraph"/>
              <w:ind w:left="104"/>
              <w:rPr>
                <w:rFonts w:ascii="宋体" w:eastAsia="宋体" w:hint="eastAsia"/>
                <w:sz w:val="18"/>
              </w:rPr>
            </w:pPr>
            <w:r>
              <w:rPr>
                <w:rFonts w:ascii="宋体" w:eastAsia="宋体" w:hint="eastAsia"/>
                <w:sz w:val="18"/>
              </w:rPr>
              <w:t>武汉海尔电器股份有</w:t>
            </w:r>
          </w:p>
          <w:p>
            <w:pPr>
              <w:pStyle w:val="TableParagraph"/>
              <w:spacing w:line="213" w:lineRule="exact" w:before="4"/>
              <w:ind w:left="104"/>
              <w:rPr>
                <w:rFonts w:ascii="宋体" w:eastAsia="宋体" w:hint="eastAsia"/>
                <w:sz w:val="18"/>
              </w:rPr>
            </w:pPr>
            <w:r>
              <w:rPr>
                <w:rFonts w:ascii="宋体" w:eastAsia="宋体" w:hint="eastAsia"/>
                <w:sz w:val="18"/>
              </w:rPr>
              <w:t>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ind w:left="143"/>
              <w:rPr>
                <w:rFonts w:ascii="宋体" w:eastAsia="宋体" w:hint="eastAsia"/>
                <w:sz w:val="18"/>
              </w:rPr>
            </w:pPr>
            <w:r>
              <w:rPr>
                <w:rFonts w:ascii="宋体" w:eastAsia="宋体" w:hint="eastAsia"/>
                <w:sz w:val="18"/>
              </w:rPr>
              <w:t>武汉海尔</w:t>
            </w:r>
          </w:p>
          <w:p>
            <w:pPr>
              <w:pStyle w:val="TableParagraph"/>
              <w:spacing w:line="213" w:lineRule="exact" w:before="4"/>
              <w:ind w:left="234"/>
              <w:rPr>
                <w:rFonts w:ascii="宋体" w:eastAsia="宋体" w:hint="eastAsia"/>
                <w:sz w:val="18"/>
              </w:rPr>
            </w:pPr>
            <w:r>
              <w:rPr>
                <w:rFonts w:ascii="宋体" w:eastAsia="宋体" w:hint="eastAsia"/>
                <w:sz w:val="18"/>
              </w:rPr>
              <w:t>工业园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ind w:left="140"/>
              <w:rPr>
                <w:rFonts w:ascii="宋体" w:eastAsia="宋体" w:hint="eastAsia"/>
                <w:sz w:val="18"/>
              </w:rPr>
            </w:pPr>
            <w:r>
              <w:rPr>
                <w:rFonts w:ascii="宋体" w:eastAsia="宋体" w:hint="eastAsia"/>
                <w:sz w:val="18"/>
              </w:rPr>
              <w:t>武汉海尔</w:t>
            </w:r>
          </w:p>
          <w:p>
            <w:pPr>
              <w:pStyle w:val="TableParagraph"/>
              <w:spacing w:line="213" w:lineRule="exact" w:before="4"/>
              <w:ind w:left="231"/>
              <w:rPr>
                <w:rFonts w:ascii="宋体" w:eastAsia="宋体" w:hint="eastAsia"/>
                <w:sz w:val="18"/>
              </w:rPr>
            </w:pPr>
            <w:r>
              <w:rPr>
                <w:rFonts w:ascii="宋体" w:eastAsia="宋体" w:hint="eastAsia"/>
                <w:sz w:val="18"/>
              </w:rPr>
              <w:t>工业园</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117"/>
              <w:ind w:left="115"/>
              <w:rPr>
                <w:rFonts w:ascii="宋体" w:eastAsia="宋体" w:hint="eastAsia"/>
                <w:sz w:val="18"/>
              </w:rPr>
            </w:pPr>
            <w:r>
              <w:rPr>
                <w:rFonts w:ascii="宋体" w:eastAsia="宋体" w:hint="eastAsia"/>
                <w:sz w:val="18"/>
              </w:rPr>
              <w:t>空调器生产销售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24"/>
              <w:ind w:right="88"/>
              <w:jc w:val="right"/>
              <w:rPr>
                <w:sz w:val="18"/>
              </w:rPr>
            </w:pPr>
            <w:r>
              <w:rPr>
                <w:sz w:val="18"/>
              </w:rPr>
              <w:t>60.00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12"/>
              <w:ind w:right="2"/>
              <w:jc w:val="right"/>
              <w:rPr>
                <w:rFonts w:ascii="宋体"/>
                <w:sz w:val="18"/>
              </w:rPr>
            </w:pPr>
            <w:r>
              <w:rPr>
                <w:rFonts w:ascii="宋体"/>
                <w:sz w:val="18"/>
              </w:rPr>
              <w:t> </w:t>
            </w:r>
          </w:p>
        </w:tc>
        <w:tc>
          <w:tcPr>
            <w:tcW w:w="934" w:type="dxa"/>
            <w:tcBorders>
              <w:top w:val="single" w:sz="4" w:space="0" w:color="000000"/>
              <w:left w:val="single" w:sz="4" w:space="0" w:color="000000"/>
              <w:bottom w:val="single" w:sz="4" w:space="0" w:color="000000"/>
            </w:tcBorders>
          </w:tcPr>
          <w:p>
            <w:pPr>
              <w:pStyle w:val="TableParagraph"/>
              <w:ind w:left="111"/>
              <w:rPr>
                <w:rFonts w:ascii="宋体" w:eastAsia="宋体" w:hint="eastAsia"/>
                <w:sz w:val="18"/>
              </w:rPr>
            </w:pPr>
            <w:r>
              <w:rPr>
                <w:rFonts w:ascii="宋体" w:eastAsia="宋体" w:hint="eastAsia"/>
                <w:sz w:val="18"/>
              </w:rPr>
              <w:t>同一控</w:t>
            </w:r>
          </w:p>
          <w:p>
            <w:pPr>
              <w:pStyle w:val="TableParagraph"/>
              <w:spacing w:line="213" w:lineRule="exact" w:before="4"/>
              <w:ind w:left="111"/>
              <w:rPr>
                <w:rFonts w:ascii="宋体" w:eastAsia="宋体" w:hint="eastAsia"/>
                <w:sz w:val="18"/>
              </w:rPr>
            </w:pPr>
            <w:r>
              <w:rPr>
                <w:rFonts w:ascii="宋体" w:eastAsia="宋体" w:hint="eastAsia"/>
                <w:sz w:val="18"/>
              </w:rPr>
              <w:t>制合并</w:t>
            </w:r>
          </w:p>
        </w:tc>
      </w:tr>
      <w:tr>
        <w:trPr>
          <w:trHeight w:val="467" w:hRule="atLeast"/>
        </w:trPr>
        <w:tc>
          <w:tcPr>
            <w:tcW w:w="1964" w:type="dxa"/>
            <w:tcBorders>
              <w:top w:val="single" w:sz="4" w:space="0" w:color="000000"/>
              <w:bottom w:val="single" w:sz="4" w:space="0" w:color="000000"/>
              <w:right w:val="single" w:sz="4" w:space="0" w:color="000000"/>
            </w:tcBorders>
          </w:tcPr>
          <w:p>
            <w:pPr>
              <w:pStyle w:val="TableParagraph"/>
              <w:ind w:left="104"/>
              <w:rPr>
                <w:rFonts w:ascii="宋体" w:eastAsia="宋体" w:hint="eastAsia"/>
                <w:sz w:val="18"/>
              </w:rPr>
            </w:pPr>
            <w:r>
              <w:rPr>
                <w:rFonts w:ascii="宋体" w:eastAsia="宋体" w:hint="eastAsia"/>
                <w:sz w:val="18"/>
              </w:rPr>
              <w:t>青岛海尔空调电子有</w:t>
            </w:r>
          </w:p>
          <w:p>
            <w:pPr>
              <w:pStyle w:val="TableParagraph"/>
              <w:spacing w:line="215" w:lineRule="exact" w:before="2"/>
              <w:ind w:left="104"/>
              <w:rPr>
                <w:rFonts w:ascii="宋体" w:eastAsia="宋体" w:hint="eastAsia"/>
                <w:sz w:val="18"/>
              </w:rPr>
            </w:pPr>
            <w:r>
              <w:rPr>
                <w:rFonts w:ascii="宋体" w:eastAsia="宋体" w:hint="eastAsia"/>
                <w:sz w:val="18"/>
              </w:rPr>
              <w:t>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ind w:left="122" w:right="99"/>
              <w:jc w:val="center"/>
              <w:rPr>
                <w:rFonts w:ascii="宋体" w:eastAsia="宋体" w:hint="eastAsia"/>
                <w:sz w:val="18"/>
              </w:rPr>
            </w:pPr>
            <w:r>
              <w:rPr>
                <w:rFonts w:ascii="宋体" w:eastAsia="宋体" w:hint="eastAsia"/>
                <w:sz w:val="18"/>
              </w:rPr>
              <w:t>青岛开发</w:t>
            </w:r>
          </w:p>
          <w:p>
            <w:pPr>
              <w:pStyle w:val="TableParagraph"/>
              <w:spacing w:line="215" w:lineRule="exact" w:before="2"/>
              <w:ind w:left="25"/>
              <w:jc w:val="center"/>
              <w:rPr>
                <w:rFonts w:ascii="宋体" w:eastAsia="宋体" w:hint="eastAsia"/>
                <w:sz w:val="18"/>
              </w:rPr>
            </w:pPr>
            <w:r>
              <w:rPr>
                <w:rFonts w:ascii="宋体" w:eastAsia="宋体" w:hint="eastAsia"/>
                <w:sz w:val="18"/>
              </w:rPr>
              <w:t>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ind w:left="99" w:right="80"/>
              <w:jc w:val="center"/>
              <w:rPr>
                <w:rFonts w:ascii="宋体" w:eastAsia="宋体" w:hint="eastAsia"/>
                <w:sz w:val="18"/>
              </w:rPr>
            </w:pPr>
            <w:r>
              <w:rPr>
                <w:rFonts w:ascii="宋体" w:eastAsia="宋体" w:hint="eastAsia"/>
                <w:sz w:val="18"/>
              </w:rPr>
              <w:t>青岛开发</w:t>
            </w:r>
          </w:p>
          <w:p>
            <w:pPr>
              <w:pStyle w:val="TableParagraph"/>
              <w:spacing w:line="215" w:lineRule="exact" w:before="2"/>
              <w:ind w:left="21"/>
              <w:jc w:val="center"/>
              <w:rPr>
                <w:rFonts w:ascii="宋体" w:eastAsia="宋体" w:hint="eastAsia"/>
                <w:sz w:val="18"/>
              </w:rPr>
            </w:pPr>
            <w:r>
              <w:rPr>
                <w:rFonts w:ascii="宋体" w:eastAsia="宋体" w:hint="eastAsia"/>
                <w:sz w:val="18"/>
              </w:rPr>
              <w:t>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117"/>
              <w:ind w:left="115"/>
              <w:rPr>
                <w:rFonts w:ascii="宋体" w:eastAsia="宋体" w:hint="eastAsia"/>
                <w:sz w:val="18"/>
              </w:rPr>
            </w:pPr>
            <w:r>
              <w:rPr>
                <w:rFonts w:ascii="宋体" w:eastAsia="宋体" w:hint="eastAsia"/>
                <w:sz w:val="18"/>
              </w:rPr>
              <w:t>空调器生产销售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24"/>
              <w:ind w:right="88"/>
              <w:jc w:val="right"/>
              <w:rPr>
                <w:sz w:val="18"/>
              </w:rPr>
            </w:pPr>
            <w:r>
              <w:rPr>
                <w:sz w:val="18"/>
              </w:rPr>
              <w:t>99.54</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12"/>
              <w:ind w:right="2"/>
              <w:jc w:val="right"/>
              <w:rPr>
                <w:rFonts w:ascii="宋体"/>
                <w:sz w:val="18"/>
              </w:rPr>
            </w:pPr>
            <w:r>
              <w:rPr>
                <w:rFonts w:ascii="宋体"/>
                <w:sz w:val="18"/>
              </w:rPr>
              <w:t> </w:t>
            </w:r>
          </w:p>
        </w:tc>
        <w:tc>
          <w:tcPr>
            <w:tcW w:w="934" w:type="dxa"/>
            <w:tcBorders>
              <w:top w:val="single" w:sz="4" w:space="0" w:color="000000"/>
              <w:left w:val="single" w:sz="4" w:space="0" w:color="000000"/>
              <w:bottom w:val="single" w:sz="4" w:space="0" w:color="000000"/>
            </w:tcBorders>
          </w:tcPr>
          <w:p>
            <w:pPr>
              <w:pStyle w:val="TableParagraph"/>
              <w:ind w:left="111"/>
              <w:rPr>
                <w:rFonts w:ascii="宋体" w:eastAsia="宋体" w:hint="eastAsia"/>
                <w:sz w:val="18"/>
              </w:rPr>
            </w:pPr>
            <w:r>
              <w:rPr>
                <w:rFonts w:ascii="宋体" w:eastAsia="宋体" w:hint="eastAsia"/>
                <w:sz w:val="18"/>
              </w:rPr>
              <w:t>同一控</w:t>
            </w:r>
          </w:p>
          <w:p>
            <w:pPr>
              <w:pStyle w:val="TableParagraph"/>
              <w:spacing w:line="215" w:lineRule="exact" w:before="2"/>
              <w:ind w:left="111"/>
              <w:rPr>
                <w:rFonts w:ascii="宋体" w:eastAsia="宋体" w:hint="eastAsia"/>
                <w:sz w:val="18"/>
              </w:rPr>
            </w:pPr>
            <w:r>
              <w:rPr>
                <w:rFonts w:ascii="宋体" w:eastAsia="宋体" w:hint="eastAsia"/>
                <w:sz w:val="18"/>
              </w:rPr>
              <w:t>制合并</w:t>
            </w:r>
          </w:p>
        </w:tc>
      </w:tr>
      <w:tr>
        <w:trPr>
          <w:trHeight w:val="465" w:hRule="atLeast"/>
        </w:trPr>
        <w:tc>
          <w:tcPr>
            <w:tcW w:w="1964" w:type="dxa"/>
            <w:tcBorders>
              <w:top w:val="single" w:sz="4" w:space="0" w:color="000000"/>
              <w:bottom w:val="single" w:sz="4" w:space="0" w:color="000000"/>
              <w:right w:val="single" w:sz="4" w:space="0" w:color="000000"/>
            </w:tcBorders>
          </w:tcPr>
          <w:p>
            <w:pPr>
              <w:pStyle w:val="TableParagraph"/>
              <w:ind w:left="104"/>
              <w:rPr>
                <w:rFonts w:ascii="宋体" w:eastAsia="宋体" w:hint="eastAsia"/>
                <w:sz w:val="18"/>
              </w:rPr>
            </w:pPr>
            <w:r>
              <w:rPr>
                <w:rFonts w:ascii="宋体" w:eastAsia="宋体" w:hint="eastAsia"/>
                <w:sz w:val="18"/>
              </w:rPr>
              <w:t>青岛海尔信息塑胶研</w:t>
            </w:r>
          </w:p>
          <w:p>
            <w:pPr>
              <w:pStyle w:val="TableParagraph"/>
              <w:spacing w:line="213" w:lineRule="exact" w:before="2"/>
              <w:ind w:left="104"/>
              <w:rPr>
                <w:rFonts w:ascii="宋体" w:eastAsia="宋体" w:hint="eastAsia"/>
                <w:sz w:val="18"/>
              </w:rPr>
            </w:pPr>
            <w:r>
              <w:rPr>
                <w:rFonts w:ascii="宋体" w:eastAsia="宋体" w:hint="eastAsia"/>
                <w:sz w:val="18"/>
              </w:rPr>
              <w:t>制有限公司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ind w:left="122" w:right="99"/>
              <w:jc w:val="center"/>
              <w:rPr>
                <w:rFonts w:ascii="宋体" w:eastAsia="宋体" w:hint="eastAsia"/>
                <w:sz w:val="18"/>
              </w:rPr>
            </w:pPr>
            <w:r>
              <w:rPr>
                <w:rFonts w:ascii="宋体" w:eastAsia="宋体" w:hint="eastAsia"/>
                <w:sz w:val="18"/>
              </w:rPr>
              <w:t>青岛高科</w:t>
            </w:r>
          </w:p>
          <w:p>
            <w:pPr>
              <w:pStyle w:val="TableParagraph"/>
              <w:spacing w:line="213" w:lineRule="exact" w:before="2"/>
              <w:ind w:left="25"/>
              <w:jc w:val="center"/>
              <w:rPr>
                <w:rFonts w:ascii="宋体" w:eastAsia="宋体" w:hint="eastAsia"/>
                <w:sz w:val="18"/>
              </w:rPr>
            </w:pPr>
            <w:r>
              <w:rPr>
                <w:rFonts w:ascii="宋体" w:eastAsia="宋体" w:hint="eastAsia"/>
                <w:sz w:val="18"/>
              </w:rPr>
              <w:t>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ind w:left="99" w:right="80"/>
              <w:jc w:val="center"/>
              <w:rPr>
                <w:rFonts w:ascii="宋体" w:eastAsia="宋体" w:hint="eastAsia"/>
                <w:sz w:val="18"/>
              </w:rPr>
            </w:pPr>
            <w:r>
              <w:rPr>
                <w:rFonts w:ascii="宋体" w:eastAsia="宋体" w:hint="eastAsia"/>
                <w:sz w:val="18"/>
              </w:rPr>
              <w:t>青岛高科</w:t>
            </w:r>
          </w:p>
          <w:p>
            <w:pPr>
              <w:pStyle w:val="TableParagraph"/>
              <w:spacing w:line="213" w:lineRule="exact" w:before="2"/>
              <w:ind w:left="21"/>
              <w:jc w:val="center"/>
              <w:rPr>
                <w:rFonts w:ascii="宋体" w:eastAsia="宋体" w:hint="eastAsia"/>
                <w:sz w:val="18"/>
              </w:rPr>
            </w:pPr>
            <w:r>
              <w:rPr>
                <w:rFonts w:ascii="宋体" w:eastAsia="宋体" w:hint="eastAsia"/>
                <w:sz w:val="18"/>
              </w:rPr>
              <w:t>园</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115"/>
              <w:ind w:left="115"/>
              <w:rPr>
                <w:rFonts w:ascii="宋体" w:eastAsia="宋体" w:hint="eastAsia"/>
                <w:sz w:val="18"/>
              </w:rPr>
            </w:pPr>
            <w:r>
              <w:rPr>
                <w:rFonts w:ascii="宋体" w:eastAsia="宋体" w:hint="eastAsia"/>
                <w:sz w:val="18"/>
              </w:rPr>
              <w:t>塑料制品制造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24"/>
              <w:ind w:right="88"/>
              <w:jc w:val="right"/>
              <w:rPr>
                <w:sz w:val="18"/>
              </w:rPr>
            </w:pPr>
            <w:r>
              <w:rPr>
                <w:sz w:val="18"/>
              </w:rPr>
              <w:t>100.00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12"/>
              <w:ind w:right="2"/>
              <w:jc w:val="right"/>
              <w:rPr>
                <w:rFonts w:ascii="宋体"/>
                <w:sz w:val="18"/>
              </w:rPr>
            </w:pPr>
            <w:r>
              <w:rPr>
                <w:rFonts w:ascii="宋体"/>
                <w:sz w:val="18"/>
              </w:rPr>
              <w:t> </w:t>
            </w:r>
          </w:p>
        </w:tc>
        <w:tc>
          <w:tcPr>
            <w:tcW w:w="934" w:type="dxa"/>
            <w:tcBorders>
              <w:top w:val="single" w:sz="4" w:space="0" w:color="000000"/>
              <w:left w:val="single" w:sz="4" w:space="0" w:color="000000"/>
              <w:bottom w:val="single" w:sz="4" w:space="0" w:color="000000"/>
            </w:tcBorders>
          </w:tcPr>
          <w:p>
            <w:pPr>
              <w:pStyle w:val="TableParagraph"/>
              <w:ind w:left="111"/>
              <w:rPr>
                <w:rFonts w:ascii="宋体" w:eastAsia="宋体" w:hint="eastAsia"/>
                <w:sz w:val="18"/>
              </w:rPr>
            </w:pPr>
            <w:r>
              <w:rPr>
                <w:rFonts w:ascii="宋体" w:eastAsia="宋体" w:hint="eastAsia"/>
                <w:sz w:val="18"/>
              </w:rPr>
              <w:t>同一控</w:t>
            </w:r>
          </w:p>
          <w:p>
            <w:pPr>
              <w:pStyle w:val="TableParagraph"/>
              <w:spacing w:line="213" w:lineRule="exact" w:before="2"/>
              <w:ind w:left="111"/>
              <w:rPr>
                <w:rFonts w:ascii="宋体" w:eastAsia="宋体" w:hint="eastAsia"/>
                <w:sz w:val="18"/>
              </w:rPr>
            </w:pPr>
            <w:r>
              <w:rPr>
                <w:rFonts w:ascii="宋体" w:eastAsia="宋体" w:hint="eastAsia"/>
                <w:sz w:val="18"/>
              </w:rPr>
              <w:t>制合并</w:t>
            </w:r>
          </w:p>
        </w:tc>
      </w:tr>
      <w:tr>
        <w:trPr>
          <w:trHeight w:val="467" w:hRule="atLeast"/>
        </w:trPr>
        <w:tc>
          <w:tcPr>
            <w:tcW w:w="1964" w:type="dxa"/>
            <w:tcBorders>
              <w:top w:val="single" w:sz="4" w:space="0" w:color="000000"/>
              <w:bottom w:val="single" w:sz="4" w:space="0" w:color="000000"/>
              <w:right w:val="single" w:sz="4" w:space="0" w:color="000000"/>
            </w:tcBorders>
          </w:tcPr>
          <w:p>
            <w:pPr>
              <w:pStyle w:val="TableParagraph"/>
              <w:ind w:left="104"/>
              <w:rPr>
                <w:rFonts w:ascii="宋体" w:eastAsia="宋体" w:hint="eastAsia"/>
                <w:sz w:val="18"/>
              </w:rPr>
            </w:pPr>
            <w:r>
              <w:rPr>
                <w:rFonts w:ascii="宋体" w:eastAsia="宋体" w:hint="eastAsia"/>
                <w:sz w:val="18"/>
              </w:rPr>
              <w:t>大连海尔精密制品有</w:t>
            </w:r>
          </w:p>
          <w:p>
            <w:pPr>
              <w:pStyle w:val="TableParagraph"/>
              <w:spacing w:line="213" w:lineRule="exact" w:before="4"/>
              <w:ind w:left="104"/>
              <w:rPr>
                <w:rFonts w:ascii="宋体" w:eastAsia="宋体" w:hint="eastAsia"/>
                <w:sz w:val="18"/>
              </w:rPr>
            </w:pPr>
            <w:r>
              <w:rPr>
                <w:rFonts w:ascii="宋体" w:eastAsia="宋体" w:hint="eastAsia"/>
                <w:sz w:val="18"/>
              </w:rPr>
              <w:t>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ind w:left="143"/>
              <w:rPr>
                <w:rFonts w:ascii="宋体" w:eastAsia="宋体" w:hint="eastAsia"/>
                <w:sz w:val="18"/>
              </w:rPr>
            </w:pPr>
            <w:r>
              <w:rPr>
                <w:rFonts w:ascii="宋体" w:eastAsia="宋体" w:hint="eastAsia"/>
                <w:sz w:val="18"/>
              </w:rPr>
              <w:t>大连出口</w:t>
            </w:r>
          </w:p>
          <w:p>
            <w:pPr>
              <w:pStyle w:val="TableParagraph"/>
              <w:spacing w:line="213" w:lineRule="exact" w:before="4"/>
              <w:ind w:left="234"/>
              <w:rPr>
                <w:rFonts w:ascii="宋体" w:eastAsia="宋体" w:hint="eastAsia"/>
                <w:sz w:val="18"/>
              </w:rPr>
            </w:pPr>
            <w:r>
              <w:rPr>
                <w:rFonts w:ascii="宋体" w:eastAsia="宋体" w:hint="eastAsia"/>
                <w:sz w:val="18"/>
              </w:rPr>
              <w:t>加工区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ind w:left="140"/>
              <w:rPr>
                <w:rFonts w:ascii="宋体" w:eastAsia="宋体" w:hint="eastAsia"/>
                <w:sz w:val="18"/>
              </w:rPr>
            </w:pPr>
            <w:r>
              <w:rPr>
                <w:rFonts w:ascii="宋体" w:eastAsia="宋体" w:hint="eastAsia"/>
                <w:sz w:val="18"/>
              </w:rPr>
              <w:t>大连出口</w:t>
            </w:r>
          </w:p>
          <w:p>
            <w:pPr>
              <w:pStyle w:val="TableParagraph"/>
              <w:spacing w:line="213" w:lineRule="exact" w:before="4"/>
              <w:ind w:left="231"/>
              <w:rPr>
                <w:rFonts w:ascii="宋体" w:eastAsia="宋体" w:hint="eastAsia"/>
                <w:sz w:val="18"/>
              </w:rPr>
            </w:pPr>
            <w:r>
              <w:rPr>
                <w:rFonts w:ascii="宋体" w:eastAsia="宋体" w:hint="eastAsia"/>
                <w:sz w:val="18"/>
              </w:rPr>
              <w:t>加工区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ind w:left="115"/>
              <w:rPr>
                <w:rFonts w:ascii="宋体" w:eastAsia="宋体" w:hint="eastAsia"/>
                <w:sz w:val="18"/>
              </w:rPr>
            </w:pPr>
            <w:r>
              <w:rPr>
                <w:rFonts w:ascii="宋体" w:eastAsia="宋体" w:hint="eastAsia"/>
                <w:sz w:val="18"/>
              </w:rPr>
              <w:t>精密塑胶的生产</w:t>
            </w:r>
          </w:p>
          <w:p>
            <w:pPr>
              <w:pStyle w:val="TableParagraph"/>
              <w:spacing w:line="213" w:lineRule="exact" w:before="4"/>
              <w:ind w:left="115"/>
              <w:rPr>
                <w:rFonts w:ascii="宋体" w:eastAsia="宋体" w:hint="eastAsia"/>
                <w:sz w:val="18"/>
              </w:rPr>
            </w:pPr>
            <w:r>
              <w:rPr>
                <w:rFonts w:ascii="宋体" w:eastAsia="宋体" w:hint="eastAsia"/>
                <w:sz w:val="18"/>
              </w:rPr>
              <w:t>销售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27"/>
              <w:ind w:right="88"/>
              <w:jc w:val="right"/>
              <w:rPr>
                <w:sz w:val="18"/>
              </w:rPr>
            </w:pPr>
            <w:r>
              <w:rPr>
                <w:sz w:val="18"/>
              </w:rPr>
              <w:t>90.00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15"/>
              <w:ind w:right="2"/>
              <w:jc w:val="right"/>
              <w:rPr>
                <w:rFonts w:ascii="宋体"/>
                <w:sz w:val="18"/>
              </w:rPr>
            </w:pPr>
            <w:r>
              <w:rPr>
                <w:rFonts w:ascii="宋体"/>
                <w:sz w:val="18"/>
              </w:rPr>
              <w:t> </w:t>
            </w:r>
          </w:p>
        </w:tc>
        <w:tc>
          <w:tcPr>
            <w:tcW w:w="934" w:type="dxa"/>
            <w:tcBorders>
              <w:top w:val="single" w:sz="4" w:space="0" w:color="000000"/>
              <w:left w:val="single" w:sz="4" w:space="0" w:color="000000"/>
              <w:bottom w:val="single" w:sz="4" w:space="0" w:color="000000"/>
            </w:tcBorders>
          </w:tcPr>
          <w:p>
            <w:pPr>
              <w:pStyle w:val="TableParagraph"/>
              <w:ind w:left="111"/>
              <w:rPr>
                <w:rFonts w:ascii="宋体" w:eastAsia="宋体" w:hint="eastAsia"/>
                <w:sz w:val="18"/>
              </w:rPr>
            </w:pPr>
            <w:r>
              <w:rPr>
                <w:rFonts w:ascii="宋体" w:eastAsia="宋体" w:hint="eastAsia"/>
                <w:sz w:val="18"/>
              </w:rPr>
              <w:t>同一控</w:t>
            </w:r>
          </w:p>
          <w:p>
            <w:pPr>
              <w:pStyle w:val="TableParagraph"/>
              <w:spacing w:line="213" w:lineRule="exact" w:before="4"/>
              <w:ind w:left="111"/>
              <w:rPr>
                <w:rFonts w:ascii="宋体" w:eastAsia="宋体" w:hint="eastAsia"/>
                <w:sz w:val="18"/>
              </w:rPr>
            </w:pPr>
            <w:r>
              <w:rPr>
                <w:rFonts w:ascii="宋体" w:eastAsia="宋体" w:hint="eastAsia"/>
                <w:sz w:val="18"/>
              </w:rPr>
              <w:t>制合并</w:t>
            </w:r>
          </w:p>
        </w:tc>
      </w:tr>
      <w:tr>
        <w:trPr>
          <w:trHeight w:val="700" w:hRule="atLeast"/>
        </w:trPr>
        <w:tc>
          <w:tcPr>
            <w:tcW w:w="1964" w:type="dxa"/>
            <w:tcBorders>
              <w:top w:val="single" w:sz="4" w:space="0" w:color="000000"/>
              <w:bottom w:val="single" w:sz="4" w:space="0" w:color="000000"/>
              <w:right w:val="single" w:sz="4" w:space="0" w:color="000000"/>
            </w:tcBorders>
          </w:tcPr>
          <w:p>
            <w:pPr>
              <w:pStyle w:val="TableParagraph"/>
              <w:spacing w:line="242" w:lineRule="auto" w:before="117"/>
              <w:ind w:left="104" w:right="217"/>
              <w:rPr>
                <w:rFonts w:ascii="宋体" w:eastAsia="宋体" w:hint="eastAsia"/>
                <w:sz w:val="18"/>
              </w:rPr>
            </w:pPr>
            <w:r>
              <w:rPr>
                <w:rFonts w:ascii="宋体" w:eastAsia="宋体" w:hint="eastAsia"/>
                <w:sz w:val="18"/>
              </w:rPr>
              <w:t>合肥海尔塑胶有限公司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ind w:left="143" w:right="118"/>
              <w:jc w:val="center"/>
              <w:rPr>
                <w:rFonts w:ascii="宋体" w:eastAsia="宋体" w:hint="eastAsia"/>
                <w:sz w:val="18"/>
              </w:rPr>
            </w:pPr>
            <w:r>
              <w:rPr>
                <w:rFonts w:ascii="宋体" w:eastAsia="宋体" w:hint="eastAsia"/>
                <w:sz w:val="18"/>
              </w:rPr>
              <w:t>合肥经济技术开发</w:t>
            </w:r>
          </w:p>
          <w:p>
            <w:pPr>
              <w:pStyle w:val="TableParagraph"/>
              <w:spacing w:line="213" w:lineRule="exact" w:before="2"/>
              <w:ind w:left="25"/>
              <w:jc w:val="center"/>
              <w:rPr>
                <w:rFonts w:ascii="宋体" w:eastAsia="宋体" w:hint="eastAsia"/>
                <w:sz w:val="18"/>
              </w:rPr>
            </w:pPr>
            <w:r>
              <w:rPr>
                <w:rFonts w:ascii="宋体" w:eastAsia="宋体" w:hint="eastAsia"/>
                <w:sz w:val="18"/>
              </w:rPr>
              <w:t>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ind w:left="140" w:right="119"/>
              <w:jc w:val="center"/>
              <w:rPr>
                <w:rFonts w:ascii="宋体" w:eastAsia="宋体" w:hint="eastAsia"/>
                <w:sz w:val="18"/>
              </w:rPr>
            </w:pPr>
            <w:r>
              <w:rPr>
                <w:rFonts w:ascii="宋体" w:eastAsia="宋体" w:hint="eastAsia"/>
                <w:sz w:val="18"/>
              </w:rPr>
              <w:t>合肥经济技术开发</w:t>
            </w:r>
          </w:p>
          <w:p>
            <w:pPr>
              <w:pStyle w:val="TableParagraph"/>
              <w:spacing w:line="213" w:lineRule="exact" w:before="2"/>
              <w:ind w:left="21"/>
              <w:jc w:val="center"/>
              <w:rPr>
                <w:rFonts w:ascii="宋体" w:eastAsia="宋体" w:hint="eastAsia"/>
                <w:sz w:val="18"/>
              </w:rPr>
            </w:pPr>
            <w:r>
              <w:rPr>
                <w:rFonts w:ascii="宋体" w:eastAsia="宋体" w:hint="eastAsia"/>
                <w:sz w:val="18"/>
              </w:rPr>
              <w:t>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2"/>
              <w:rPr>
                <w:sz w:val="20"/>
              </w:rPr>
            </w:pPr>
          </w:p>
          <w:p>
            <w:pPr>
              <w:pStyle w:val="TableParagraph"/>
              <w:ind w:left="115"/>
              <w:rPr>
                <w:rFonts w:ascii="宋体" w:eastAsia="宋体" w:hint="eastAsia"/>
                <w:sz w:val="18"/>
              </w:rPr>
            </w:pPr>
            <w:r>
              <w:rPr>
                <w:rFonts w:ascii="宋体" w:eastAsia="宋体" w:hint="eastAsia"/>
                <w:sz w:val="18"/>
              </w:rPr>
              <w:t>塑料件生产销售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1"/>
              </w:rPr>
            </w:pPr>
          </w:p>
          <w:p>
            <w:pPr>
              <w:pStyle w:val="TableParagraph"/>
              <w:ind w:right="88"/>
              <w:jc w:val="right"/>
              <w:rPr>
                <w:sz w:val="18"/>
              </w:rPr>
            </w:pPr>
            <w:r>
              <w:rPr>
                <w:sz w:val="18"/>
              </w:rPr>
              <w:t>77.36</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rPr>
                <w:sz w:val="21"/>
              </w:rPr>
            </w:pPr>
          </w:p>
          <w:p>
            <w:pPr>
              <w:pStyle w:val="TableParagraph"/>
              <w:ind w:right="91"/>
              <w:jc w:val="right"/>
              <w:rPr>
                <w:sz w:val="18"/>
              </w:rPr>
            </w:pPr>
            <w:r>
              <w:rPr>
                <w:sz w:val="18"/>
              </w:rPr>
              <w:t>4.83</w:t>
            </w:r>
          </w:p>
        </w:tc>
        <w:tc>
          <w:tcPr>
            <w:tcW w:w="934" w:type="dxa"/>
            <w:tcBorders>
              <w:top w:val="single" w:sz="4" w:space="0" w:color="000000"/>
              <w:left w:val="single" w:sz="4" w:space="0" w:color="000000"/>
              <w:bottom w:val="single" w:sz="4" w:space="0" w:color="000000"/>
            </w:tcBorders>
          </w:tcPr>
          <w:p>
            <w:pPr>
              <w:pStyle w:val="TableParagraph"/>
              <w:spacing w:line="242" w:lineRule="auto" w:before="117"/>
              <w:ind w:left="111" w:right="260"/>
              <w:rPr>
                <w:rFonts w:ascii="宋体" w:eastAsia="宋体" w:hint="eastAsia"/>
                <w:sz w:val="18"/>
              </w:rPr>
            </w:pPr>
            <w:r>
              <w:rPr>
                <w:rFonts w:ascii="宋体" w:eastAsia="宋体" w:hint="eastAsia"/>
                <w:sz w:val="18"/>
              </w:rPr>
              <w:t>同一控制合并</w:t>
            </w:r>
          </w:p>
        </w:tc>
      </w:tr>
      <w:tr>
        <w:trPr>
          <w:trHeight w:val="700" w:hRule="atLeast"/>
        </w:trPr>
        <w:tc>
          <w:tcPr>
            <w:tcW w:w="1964" w:type="dxa"/>
            <w:tcBorders>
              <w:top w:val="single" w:sz="4" w:space="0" w:color="000000"/>
              <w:bottom w:val="single" w:sz="4" w:space="0" w:color="000000"/>
              <w:right w:val="single" w:sz="4" w:space="0" w:color="000000"/>
            </w:tcBorders>
          </w:tcPr>
          <w:p>
            <w:pPr>
              <w:pStyle w:val="TableParagraph"/>
              <w:spacing w:line="242" w:lineRule="auto" w:before="118"/>
              <w:ind w:left="104" w:right="217"/>
              <w:rPr>
                <w:rFonts w:ascii="宋体" w:eastAsia="宋体" w:hint="eastAsia"/>
                <w:sz w:val="18"/>
              </w:rPr>
            </w:pPr>
            <w:r>
              <w:rPr>
                <w:rFonts w:ascii="宋体" w:eastAsia="宋体" w:hint="eastAsia"/>
                <w:sz w:val="18"/>
              </w:rPr>
              <w:t>青岛美尔塑料粉末有限公司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18"/>
              <w:ind w:left="414" w:right="118" w:hanging="272"/>
              <w:rPr>
                <w:rFonts w:ascii="宋体" w:eastAsia="宋体" w:hint="eastAsia"/>
                <w:sz w:val="18"/>
              </w:rPr>
            </w:pPr>
            <w:r>
              <w:rPr>
                <w:rFonts w:ascii="宋体" w:eastAsia="宋体" w:hint="eastAsia"/>
                <w:sz w:val="18"/>
              </w:rPr>
              <w:t>青岛开发区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18"/>
              <w:ind w:left="411" w:right="119" w:hanging="272"/>
              <w:rPr>
                <w:rFonts w:ascii="宋体" w:eastAsia="宋体" w:hint="eastAsia"/>
                <w:sz w:val="18"/>
              </w:rPr>
            </w:pPr>
            <w:r>
              <w:rPr>
                <w:rFonts w:ascii="宋体" w:eastAsia="宋体" w:hint="eastAsia"/>
                <w:sz w:val="18"/>
              </w:rPr>
              <w:t>青岛开发区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ind w:left="115" w:right="173"/>
              <w:rPr>
                <w:rFonts w:ascii="宋体" w:eastAsia="宋体" w:hint="eastAsia"/>
                <w:sz w:val="18"/>
              </w:rPr>
            </w:pPr>
            <w:r>
              <w:rPr>
                <w:rFonts w:ascii="宋体" w:eastAsia="宋体" w:hint="eastAsia"/>
                <w:sz w:val="18"/>
              </w:rPr>
              <w:t>生产塑料粉末、塑料板材及高性</w:t>
            </w:r>
          </w:p>
          <w:p>
            <w:pPr>
              <w:pStyle w:val="TableParagraph"/>
              <w:spacing w:line="213" w:lineRule="exact" w:before="2"/>
              <w:ind w:left="115"/>
              <w:rPr>
                <w:rFonts w:ascii="宋体" w:eastAsia="宋体" w:hint="eastAsia"/>
                <w:sz w:val="18"/>
              </w:rPr>
            </w:pPr>
            <w:r>
              <w:rPr>
                <w:rFonts w:ascii="宋体" w:eastAsia="宋体" w:hint="eastAsia"/>
                <w:sz w:val="18"/>
              </w:rPr>
              <w:t>能涂料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
              <w:rPr>
                <w:sz w:val="21"/>
              </w:rPr>
            </w:pPr>
          </w:p>
          <w:p>
            <w:pPr>
              <w:pStyle w:val="TableParagraph"/>
              <w:ind w:right="88"/>
              <w:jc w:val="right"/>
              <w:rPr>
                <w:sz w:val="18"/>
              </w:rPr>
            </w:pPr>
            <w:r>
              <w:rPr>
                <w:sz w:val="18"/>
              </w:rPr>
              <w:t>40.00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
              <w:rPr>
                <w:sz w:val="21"/>
              </w:rPr>
            </w:pPr>
          </w:p>
          <w:p>
            <w:pPr>
              <w:pStyle w:val="TableParagraph"/>
              <w:ind w:right="91"/>
              <w:jc w:val="right"/>
              <w:rPr>
                <w:sz w:val="18"/>
              </w:rPr>
            </w:pPr>
            <w:r>
              <w:rPr>
                <w:sz w:val="18"/>
              </w:rPr>
              <w:t>60.00</w:t>
            </w:r>
          </w:p>
        </w:tc>
        <w:tc>
          <w:tcPr>
            <w:tcW w:w="934" w:type="dxa"/>
            <w:tcBorders>
              <w:top w:val="single" w:sz="4" w:space="0" w:color="000000"/>
              <w:left w:val="single" w:sz="4" w:space="0" w:color="000000"/>
              <w:bottom w:val="single" w:sz="4" w:space="0" w:color="000000"/>
            </w:tcBorders>
          </w:tcPr>
          <w:p>
            <w:pPr>
              <w:pStyle w:val="TableParagraph"/>
              <w:spacing w:line="242" w:lineRule="auto" w:before="118"/>
              <w:ind w:left="111" w:right="260"/>
              <w:rPr>
                <w:rFonts w:ascii="宋体" w:eastAsia="宋体" w:hint="eastAsia"/>
                <w:sz w:val="18"/>
              </w:rPr>
            </w:pPr>
            <w:r>
              <w:rPr>
                <w:rFonts w:ascii="宋体" w:eastAsia="宋体" w:hint="eastAsia"/>
                <w:sz w:val="18"/>
              </w:rPr>
              <w:t>同一控制合并</w:t>
            </w:r>
          </w:p>
        </w:tc>
      </w:tr>
      <w:tr>
        <w:trPr>
          <w:trHeight w:val="700" w:hRule="atLeast"/>
        </w:trPr>
        <w:tc>
          <w:tcPr>
            <w:tcW w:w="1964" w:type="dxa"/>
            <w:tcBorders>
              <w:top w:val="single" w:sz="4" w:space="0" w:color="000000"/>
              <w:bottom w:val="single" w:sz="4" w:space="0" w:color="000000"/>
              <w:right w:val="single" w:sz="4" w:space="0" w:color="000000"/>
            </w:tcBorders>
          </w:tcPr>
          <w:p>
            <w:pPr>
              <w:pStyle w:val="TableParagraph"/>
              <w:spacing w:line="242" w:lineRule="auto" w:before="117"/>
              <w:ind w:left="104" w:right="217"/>
              <w:rPr>
                <w:rFonts w:ascii="宋体" w:eastAsia="宋体" w:hint="eastAsia"/>
                <w:sz w:val="18"/>
              </w:rPr>
            </w:pPr>
            <w:r>
              <w:rPr>
                <w:rFonts w:ascii="宋体" w:eastAsia="宋体" w:hint="eastAsia"/>
                <w:sz w:val="18"/>
              </w:rPr>
              <w:t>重庆海尔精密塑胶有限公司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17"/>
              <w:ind w:left="323" w:right="118" w:hanging="180"/>
              <w:rPr>
                <w:rFonts w:ascii="宋体" w:eastAsia="宋体" w:hint="eastAsia"/>
                <w:sz w:val="18"/>
              </w:rPr>
            </w:pPr>
            <w:r>
              <w:rPr>
                <w:rFonts w:ascii="宋体" w:eastAsia="宋体" w:hint="eastAsia"/>
                <w:sz w:val="18"/>
              </w:rPr>
              <w:t>重庆市江北区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17"/>
              <w:ind w:left="320" w:right="119" w:hanging="180"/>
              <w:rPr>
                <w:rFonts w:ascii="宋体" w:eastAsia="宋体" w:hint="eastAsia"/>
                <w:sz w:val="18"/>
              </w:rPr>
            </w:pPr>
            <w:r>
              <w:rPr>
                <w:rFonts w:ascii="宋体" w:eastAsia="宋体" w:hint="eastAsia"/>
                <w:sz w:val="18"/>
              </w:rPr>
              <w:t>重庆市江北区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ind w:left="115" w:right="173"/>
              <w:rPr>
                <w:rFonts w:ascii="宋体" w:eastAsia="宋体" w:hint="eastAsia"/>
                <w:sz w:val="18"/>
              </w:rPr>
            </w:pPr>
            <w:r>
              <w:rPr>
                <w:rFonts w:ascii="宋体" w:eastAsia="宋体" w:hint="eastAsia"/>
                <w:sz w:val="18"/>
              </w:rPr>
              <w:t>塑料制品、钣金制品、电子产品</w:t>
            </w:r>
          </w:p>
          <w:p>
            <w:pPr>
              <w:pStyle w:val="TableParagraph"/>
              <w:spacing w:line="213" w:lineRule="exact" w:before="2"/>
              <w:ind w:left="115"/>
              <w:rPr>
                <w:rFonts w:ascii="宋体" w:eastAsia="宋体" w:hint="eastAsia"/>
                <w:sz w:val="18"/>
              </w:rPr>
            </w:pPr>
            <w:r>
              <w:rPr>
                <w:rFonts w:ascii="宋体" w:eastAsia="宋体" w:hint="eastAsia"/>
                <w:sz w:val="18"/>
              </w:rPr>
              <w:t>和七金件</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1"/>
              </w:rPr>
            </w:pPr>
          </w:p>
          <w:p>
            <w:pPr>
              <w:pStyle w:val="TableParagraph"/>
              <w:ind w:right="88"/>
              <w:jc w:val="right"/>
              <w:rPr>
                <w:sz w:val="18"/>
              </w:rPr>
            </w:pPr>
            <w:r>
              <w:rPr>
                <w:sz w:val="18"/>
              </w:rPr>
              <w:t>90.00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rPr>
                <w:sz w:val="21"/>
              </w:rPr>
            </w:pPr>
          </w:p>
          <w:p>
            <w:pPr>
              <w:pStyle w:val="TableParagraph"/>
              <w:ind w:right="91"/>
              <w:jc w:val="right"/>
              <w:rPr>
                <w:sz w:val="18"/>
              </w:rPr>
            </w:pPr>
            <w:r>
              <w:rPr>
                <w:sz w:val="18"/>
              </w:rPr>
              <w:t>10.00</w:t>
            </w:r>
          </w:p>
        </w:tc>
        <w:tc>
          <w:tcPr>
            <w:tcW w:w="934" w:type="dxa"/>
            <w:tcBorders>
              <w:top w:val="single" w:sz="4" w:space="0" w:color="000000"/>
              <w:left w:val="single" w:sz="4" w:space="0" w:color="000000"/>
              <w:bottom w:val="single" w:sz="4" w:space="0" w:color="000000"/>
            </w:tcBorders>
          </w:tcPr>
          <w:p>
            <w:pPr>
              <w:pStyle w:val="TableParagraph"/>
              <w:spacing w:line="242" w:lineRule="auto" w:before="117"/>
              <w:ind w:left="111" w:right="260"/>
              <w:rPr>
                <w:rFonts w:ascii="宋体" w:eastAsia="宋体" w:hint="eastAsia"/>
                <w:sz w:val="18"/>
              </w:rPr>
            </w:pPr>
            <w:r>
              <w:rPr>
                <w:rFonts w:ascii="宋体" w:eastAsia="宋体" w:hint="eastAsia"/>
                <w:sz w:val="18"/>
              </w:rPr>
              <w:t>同一控制合并</w:t>
            </w:r>
          </w:p>
        </w:tc>
      </w:tr>
      <w:tr>
        <w:trPr>
          <w:trHeight w:val="467" w:hRule="atLeast"/>
        </w:trPr>
        <w:tc>
          <w:tcPr>
            <w:tcW w:w="1964" w:type="dxa"/>
            <w:tcBorders>
              <w:top w:val="single" w:sz="4" w:space="0" w:color="000000"/>
              <w:bottom w:val="single" w:sz="4" w:space="0" w:color="000000"/>
              <w:right w:val="single" w:sz="4" w:space="0" w:color="000000"/>
            </w:tcBorders>
          </w:tcPr>
          <w:p>
            <w:pPr>
              <w:pStyle w:val="TableParagraph"/>
              <w:spacing w:line="230" w:lineRule="exact"/>
              <w:ind w:left="104"/>
              <w:rPr>
                <w:rFonts w:ascii="宋体" w:eastAsia="宋体" w:hint="eastAsia"/>
                <w:sz w:val="18"/>
              </w:rPr>
            </w:pPr>
            <w:r>
              <w:rPr>
                <w:rFonts w:ascii="宋体" w:eastAsia="宋体" w:hint="eastAsia"/>
                <w:sz w:val="18"/>
              </w:rPr>
              <w:t>青岛海尔电冰箱有限</w:t>
            </w:r>
          </w:p>
          <w:p>
            <w:pPr>
              <w:pStyle w:val="TableParagraph"/>
              <w:spacing w:line="215" w:lineRule="exact" w:before="2"/>
              <w:ind w:left="104"/>
              <w:rPr>
                <w:rFonts w:ascii="宋体" w:eastAsia="宋体" w:hint="eastAsia"/>
                <w:sz w:val="18"/>
              </w:rPr>
            </w:pPr>
            <w:r>
              <w:rPr>
                <w:rFonts w:ascii="宋体" w:eastAsia="宋体" w:hint="eastAsia"/>
                <w:sz w:val="18"/>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22" w:right="99"/>
              <w:jc w:val="center"/>
              <w:rPr>
                <w:rFonts w:ascii="宋体" w:eastAsia="宋体" w:hint="eastAsia"/>
                <w:sz w:val="18"/>
              </w:rPr>
            </w:pPr>
            <w:r>
              <w:rPr>
                <w:rFonts w:ascii="宋体" w:eastAsia="宋体" w:hint="eastAsia"/>
                <w:sz w:val="18"/>
              </w:rPr>
              <w:t>青岛高科</w:t>
            </w:r>
          </w:p>
          <w:p>
            <w:pPr>
              <w:pStyle w:val="TableParagraph"/>
              <w:spacing w:line="215" w:lineRule="exact" w:before="2"/>
              <w:ind w:left="25"/>
              <w:jc w:val="center"/>
              <w:rPr>
                <w:rFonts w:ascii="宋体" w:eastAsia="宋体" w:hint="eastAsia"/>
                <w:sz w:val="18"/>
              </w:rPr>
            </w:pPr>
            <w:r>
              <w:rPr>
                <w:rFonts w:ascii="宋体" w:eastAsia="宋体" w:hint="eastAsia"/>
                <w:sz w:val="18"/>
              </w:rPr>
              <w:t>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9" w:right="80"/>
              <w:jc w:val="center"/>
              <w:rPr>
                <w:rFonts w:ascii="宋体" w:eastAsia="宋体" w:hint="eastAsia"/>
                <w:sz w:val="18"/>
              </w:rPr>
            </w:pPr>
            <w:r>
              <w:rPr>
                <w:rFonts w:ascii="宋体" w:eastAsia="宋体" w:hint="eastAsia"/>
                <w:sz w:val="18"/>
              </w:rPr>
              <w:t>青岛高科</w:t>
            </w:r>
          </w:p>
          <w:p>
            <w:pPr>
              <w:pStyle w:val="TableParagraph"/>
              <w:spacing w:line="215" w:lineRule="exact" w:before="2"/>
              <w:ind w:left="21"/>
              <w:jc w:val="center"/>
              <w:rPr>
                <w:rFonts w:ascii="宋体" w:eastAsia="宋体" w:hint="eastAsia"/>
                <w:sz w:val="18"/>
              </w:rPr>
            </w:pPr>
            <w:r>
              <w:rPr>
                <w:rFonts w:ascii="宋体" w:eastAsia="宋体" w:hint="eastAsia"/>
                <w:sz w:val="18"/>
              </w:rPr>
              <w:t>园</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5"/>
              <w:rPr>
                <w:rFonts w:ascii="宋体" w:eastAsia="宋体" w:hint="eastAsia"/>
                <w:sz w:val="18"/>
              </w:rPr>
            </w:pPr>
            <w:r>
              <w:rPr>
                <w:rFonts w:ascii="宋体" w:eastAsia="宋体" w:hint="eastAsia"/>
                <w:sz w:val="18"/>
              </w:rPr>
              <w:t>无氟电冰箱加工</w:t>
            </w:r>
          </w:p>
          <w:p>
            <w:pPr>
              <w:pStyle w:val="TableParagraph"/>
              <w:spacing w:line="215" w:lineRule="exact" w:before="2"/>
              <w:ind w:left="115"/>
              <w:rPr>
                <w:rFonts w:ascii="宋体" w:eastAsia="宋体" w:hint="eastAsia"/>
                <w:sz w:val="18"/>
              </w:rPr>
            </w:pPr>
            <w:r>
              <w:rPr>
                <w:rFonts w:ascii="宋体" w:eastAsia="宋体" w:hint="eastAsia"/>
                <w:sz w:val="18"/>
              </w:rPr>
              <w:t>制造等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24"/>
              <w:ind w:right="88"/>
              <w:jc w:val="right"/>
              <w:rPr>
                <w:sz w:val="18"/>
              </w:rPr>
            </w:pPr>
            <w:r>
              <w:rPr>
                <w:sz w:val="18"/>
              </w:rPr>
              <w:t>100.00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12"/>
              <w:ind w:right="2"/>
              <w:jc w:val="right"/>
              <w:rPr>
                <w:rFonts w:ascii="宋体"/>
                <w:sz w:val="18"/>
              </w:rPr>
            </w:pPr>
            <w:r>
              <w:rPr>
                <w:rFonts w:ascii="宋体"/>
                <w:sz w:val="18"/>
              </w:rPr>
              <w:t> </w:t>
            </w:r>
          </w:p>
        </w:tc>
        <w:tc>
          <w:tcPr>
            <w:tcW w:w="934" w:type="dxa"/>
            <w:tcBorders>
              <w:top w:val="single" w:sz="4" w:space="0" w:color="000000"/>
              <w:left w:val="single" w:sz="4" w:space="0" w:color="000000"/>
              <w:bottom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r>
        <w:trPr>
          <w:trHeight w:val="465" w:hRule="atLeast"/>
        </w:trPr>
        <w:tc>
          <w:tcPr>
            <w:tcW w:w="1964" w:type="dxa"/>
            <w:tcBorders>
              <w:top w:val="single" w:sz="4" w:space="0" w:color="000000"/>
              <w:bottom w:val="single" w:sz="4" w:space="0" w:color="000000"/>
              <w:right w:val="single" w:sz="4" w:space="0" w:color="000000"/>
            </w:tcBorders>
          </w:tcPr>
          <w:p>
            <w:pPr>
              <w:pStyle w:val="TableParagraph"/>
              <w:spacing w:line="230" w:lineRule="exact"/>
              <w:ind w:left="104"/>
              <w:rPr>
                <w:sz w:val="18"/>
              </w:rPr>
            </w:pPr>
            <w:r>
              <w:rPr>
                <w:rFonts w:ascii="宋体" w:eastAsia="宋体" w:hint="eastAsia"/>
                <w:sz w:val="18"/>
              </w:rPr>
              <w:t>青岛海尔电冰箱</w:t>
            </w:r>
            <w:r>
              <w:rPr>
                <w:sz w:val="18"/>
              </w:rPr>
              <w:t>(</w:t>
            </w:r>
            <w:r>
              <w:rPr>
                <w:rFonts w:ascii="宋体" w:eastAsia="宋体" w:hint="eastAsia"/>
                <w:sz w:val="18"/>
              </w:rPr>
              <w:t>国际</w:t>
            </w:r>
            <w:r>
              <w:rPr>
                <w:sz w:val="18"/>
              </w:rPr>
              <w:t>)</w:t>
            </w:r>
          </w:p>
          <w:p>
            <w:pPr>
              <w:pStyle w:val="TableParagraph"/>
              <w:spacing w:line="213" w:lineRule="exact" w:before="2"/>
              <w:ind w:left="104"/>
              <w:rPr>
                <w:rFonts w:ascii="宋体" w:eastAsia="宋体" w:hint="eastAsia"/>
                <w:sz w:val="18"/>
              </w:rPr>
            </w:pPr>
            <w:r>
              <w:rPr>
                <w:rFonts w:ascii="宋体" w:eastAsia="宋体" w:hint="eastAsia"/>
                <w:sz w:val="18"/>
              </w:rPr>
              <w:t>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43"/>
              <w:rPr>
                <w:rFonts w:ascii="宋体" w:eastAsia="宋体" w:hint="eastAsia"/>
                <w:sz w:val="18"/>
              </w:rPr>
            </w:pPr>
            <w:r>
              <w:rPr>
                <w:rFonts w:ascii="宋体" w:eastAsia="宋体" w:hint="eastAsia"/>
                <w:sz w:val="18"/>
              </w:rPr>
              <w:t>青岛平度</w:t>
            </w:r>
          </w:p>
          <w:p>
            <w:pPr>
              <w:pStyle w:val="TableParagraph"/>
              <w:spacing w:line="213" w:lineRule="exact" w:before="2"/>
              <w:ind w:left="234"/>
              <w:rPr>
                <w:rFonts w:ascii="宋体" w:eastAsia="宋体" w:hint="eastAsia"/>
                <w:sz w:val="18"/>
              </w:rPr>
            </w:pPr>
            <w:r>
              <w:rPr>
                <w:rFonts w:ascii="宋体" w:eastAsia="宋体" w:hint="eastAsia"/>
                <w:sz w:val="18"/>
              </w:rPr>
              <w:t>开发区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40"/>
              <w:rPr>
                <w:rFonts w:ascii="宋体" w:eastAsia="宋体" w:hint="eastAsia"/>
                <w:sz w:val="18"/>
              </w:rPr>
            </w:pPr>
            <w:r>
              <w:rPr>
                <w:rFonts w:ascii="宋体" w:eastAsia="宋体" w:hint="eastAsia"/>
                <w:sz w:val="18"/>
              </w:rPr>
              <w:t>青岛平度</w:t>
            </w:r>
          </w:p>
          <w:p>
            <w:pPr>
              <w:pStyle w:val="TableParagraph"/>
              <w:spacing w:line="213" w:lineRule="exact" w:before="2"/>
              <w:ind w:left="231"/>
              <w:rPr>
                <w:rFonts w:ascii="宋体" w:eastAsia="宋体" w:hint="eastAsia"/>
                <w:sz w:val="18"/>
              </w:rPr>
            </w:pPr>
            <w:r>
              <w:rPr>
                <w:rFonts w:ascii="宋体" w:eastAsia="宋体" w:hint="eastAsia"/>
                <w:sz w:val="18"/>
              </w:rPr>
              <w:t>开发区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5"/>
              <w:rPr>
                <w:rFonts w:ascii="宋体" w:eastAsia="宋体" w:hint="eastAsia"/>
                <w:sz w:val="18"/>
              </w:rPr>
            </w:pPr>
            <w:r>
              <w:rPr>
                <w:rFonts w:ascii="宋体" w:eastAsia="宋体" w:hint="eastAsia"/>
                <w:sz w:val="18"/>
              </w:rPr>
              <w:t>电冰箱加工制造</w:t>
            </w:r>
          </w:p>
          <w:p>
            <w:pPr>
              <w:pStyle w:val="TableParagraph"/>
              <w:spacing w:line="213" w:lineRule="exact" w:before="2"/>
              <w:ind w:left="115"/>
              <w:rPr>
                <w:rFonts w:ascii="宋体" w:eastAsia="宋体" w:hint="eastAsia"/>
                <w:sz w:val="18"/>
              </w:rPr>
            </w:pPr>
            <w:r>
              <w:rPr>
                <w:rFonts w:ascii="宋体" w:eastAsia="宋体" w:hint="eastAsia"/>
                <w:sz w:val="18"/>
              </w:rPr>
              <w:t>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24"/>
              <w:ind w:right="88"/>
              <w:jc w:val="right"/>
              <w:rPr>
                <w:sz w:val="18"/>
              </w:rPr>
            </w:pPr>
            <w:r>
              <w:rPr>
                <w:sz w:val="18"/>
              </w:rPr>
              <w:t>100.00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12"/>
              <w:ind w:right="2"/>
              <w:jc w:val="right"/>
              <w:rPr>
                <w:rFonts w:ascii="宋体"/>
                <w:sz w:val="18"/>
              </w:rPr>
            </w:pPr>
            <w:r>
              <w:rPr>
                <w:rFonts w:ascii="宋体"/>
                <w:sz w:val="18"/>
              </w:rPr>
              <w:t> </w:t>
            </w:r>
          </w:p>
        </w:tc>
        <w:tc>
          <w:tcPr>
            <w:tcW w:w="934" w:type="dxa"/>
            <w:tcBorders>
              <w:top w:val="single" w:sz="4" w:space="0" w:color="000000"/>
              <w:left w:val="single" w:sz="4" w:space="0" w:color="000000"/>
              <w:bottom w:val="single" w:sz="4" w:space="0" w:color="000000"/>
            </w:tcBorders>
          </w:tcPr>
          <w:p>
            <w:pPr>
              <w:pStyle w:val="TableParagraph"/>
              <w:spacing w:before="115"/>
              <w:ind w:left="111"/>
              <w:rPr>
                <w:rFonts w:ascii="宋体" w:eastAsia="宋体" w:hint="eastAsia"/>
                <w:sz w:val="18"/>
              </w:rPr>
            </w:pPr>
            <w:r>
              <w:rPr>
                <w:rFonts w:ascii="宋体" w:eastAsia="宋体" w:hint="eastAsia"/>
                <w:sz w:val="18"/>
              </w:rPr>
              <w:t>设立</w:t>
            </w:r>
          </w:p>
        </w:tc>
      </w:tr>
      <w:tr>
        <w:trPr>
          <w:trHeight w:val="467" w:hRule="atLeast"/>
        </w:trPr>
        <w:tc>
          <w:tcPr>
            <w:tcW w:w="1964" w:type="dxa"/>
            <w:tcBorders>
              <w:top w:val="single" w:sz="4" w:space="0" w:color="000000"/>
              <w:bottom w:val="single" w:sz="4" w:space="0" w:color="000000"/>
              <w:right w:val="single" w:sz="4" w:space="0" w:color="000000"/>
            </w:tcBorders>
          </w:tcPr>
          <w:p>
            <w:pPr>
              <w:pStyle w:val="TableParagraph"/>
              <w:ind w:left="104"/>
              <w:rPr>
                <w:rFonts w:ascii="宋体" w:eastAsia="宋体" w:hint="eastAsia"/>
                <w:sz w:val="18"/>
              </w:rPr>
            </w:pPr>
            <w:r>
              <w:rPr>
                <w:rFonts w:ascii="宋体" w:eastAsia="宋体" w:hint="eastAsia"/>
                <w:sz w:val="18"/>
              </w:rPr>
              <w:t>青岛家电工艺装备研</w:t>
            </w:r>
          </w:p>
          <w:p>
            <w:pPr>
              <w:pStyle w:val="TableParagraph"/>
              <w:spacing w:line="213" w:lineRule="exact" w:before="4"/>
              <w:ind w:left="104"/>
              <w:rPr>
                <w:rFonts w:ascii="宋体" w:eastAsia="宋体" w:hint="eastAsia"/>
                <w:sz w:val="18"/>
              </w:rPr>
            </w:pPr>
            <w:r>
              <w:rPr>
                <w:rFonts w:ascii="宋体" w:eastAsia="宋体" w:hint="eastAsia"/>
                <w:sz w:val="18"/>
              </w:rPr>
              <w:t>究所</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ind w:left="122" w:right="99"/>
              <w:jc w:val="center"/>
              <w:rPr>
                <w:rFonts w:ascii="宋体" w:eastAsia="宋体" w:hint="eastAsia"/>
                <w:sz w:val="18"/>
              </w:rPr>
            </w:pPr>
            <w:r>
              <w:rPr>
                <w:rFonts w:ascii="宋体" w:eastAsia="宋体" w:hint="eastAsia"/>
                <w:sz w:val="18"/>
              </w:rPr>
              <w:t>青岛高科</w:t>
            </w:r>
          </w:p>
          <w:p>
            <w:pPr>
              <w:pStyle w:val="TableParagraph"/>
              <w:spacing w:line="213" w:lineRule="exact" w:before="4"/>
              <w:ind w:left="25"/>
              <w:jc w:val="center"/>
              <w:rPr>
                <w:rFonts w:ascii="宋体" w:eastAsia="宋体" w:hint="eastAsia"/>
                <w:sz w:val="18"/>
              </w:rPr>
            </w:pPr>
            <w:r>
              <w:rPr>
                <w:rFonts w:ascii="宋体" w:eastAsia="宋体" w:hint="eastAsia"/>
                <w:sz w:val="18"/>
              </w:rPr>
              <w:t>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ind w:left="99" w:right="80"/>
              <w:jc w:val="center"/>
              <w:rPr>
                <w:rFonts w:ascii="宋体" w:eastAsia="宋体" w:hint="eastAsia"/>
                <w:sz w:val="18"/>
              </w:rPr>
            </w:pPr>
            <w:r>
              <w:rPr>
                <w:rFonts w:ascii="宋体" w:eastAsia="宋体" w:hint="eastAsia"/>
                <w:sz w:val="18"/>
              </w:rPr>
              <w:t>青岛高科</w:t>
            </w:r>
          </w:p>
          <w:p>
            <w:pPr>
              <w:pStyle w:val="TableParagraph"/>
              <w:spacing w:line="213" w:lineRule="exact" w:before="4"/>
              <w:ind w:left="21"/>
              <w:jc w:val="center"/>
              <w:rPr>
                <w:rFonts w:ascii="宋体" w:eastAsia="宋体" w:hint="eastAsia"/>
                <w:sz w:val="18"/>
              </w:rPr>
            </w:pPr>
            <w:r>
              <w:rPr>
                <w:rFonts w:ascii="宋体" w:eastAsia="宋体" w:hint="eastAsia"/>
                <w:sz w:val="18"/>
              </w:rPr>
              <w:t>园</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ind w:left="115"/>
              <w:rPr>
                <w:rFonts w:ascii="宋体" w:eastAsia="宋体" w:hint="eastAsia"/>
                <w:sz w:val="18"/>
              </w:rPr>
            </w:pPr>
            <w:r>
              <w:rPr>
                <w:rFonts w:ascii="宋体" w:eastAsia="宋体" w:hint="eastAsia"/>
                <w:sz w:val="18"/>
              </w:rPr>
              <w:t>家电模具、工艺</w:t>
            </w:r>
          </w:p>
          <w:p>
            <w:pPr>
              <w:pStyle w:val="TableParagraph"/>
              <w:spacing w:line="213" w:lineRule="exact" w:before="4"/>
              <w:ind w:left="115"/>
              <w:rPr>
                <w:rFonts w:ascii="宋体" w:eastAsia="宋体" w:hint="eastAsia"/>
                <w:sz w:val="18"/>
              </w:rPr>
            </w:pPr>
            <w:r>
              <w:rPr>
                <w:rFonts w:ascii="宋体" w:eastAsia="宋体" w:hint="eastAsia"/>
                <w:sz w:val="18"/>
              </w:rPr>
              <w:t>装备研制等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27"/>
              <w:ind w:right="88"/>
              <w:jc w:val="right"/>
              <w:rPr>
                <w:sz w:val="18"/>
              </w:rPr>
            </w:pPr>
            <w:r>
              <w:rPr>
                <w:sz w:val="18"/>
              </w:rPr>
              <w:t>100.00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15"/>
              <w:ind w:right="2"/>
              <w:jc w:val="right"/>
              <w:rPr>
                <w:rFonts w:ascii="宋体"/>
                <w:sz w:val="18"/>
              </w:rPr>
            </w:pPr>
            <w:r>
              <w:rPr>
                <w:rFonts w:ascii="宋体"/>
                <w:sz w:val="18"/>
              </w:rPr>
              <w:t> </w:t>
            </w:r>
          </w:p>
        </w:tc>
        <w:tc>
          <w:tcPr>
            <w:tcW w:w="934" w:type="dxa"/>
            <w:tcBorders>
              <w:top w:val="single" w:sz="4" w:space="0" w:color="000000"/>
              <w:left w:val="single" w:sz="4" w:space="0" w:color="000000"/>
              <w:bottom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r>
        <w:trPr>
          <w:trHeight w:val="467" w:hRule="atLeast"/>
        </w:trPr>
        <w:tc>
          <w:tcPr>
            <w:tcW w:w="1964" w:type="dxa"/>
            <w:tcBorders>
              <w:top w:val="single" w:sz="4" w:space="0" w:color="000000"/>
              <w:bottom w:val="single" w:sz="4" w:space="0" w:color="000000"/>
              <w:right w:val="single" w:sz="4" w:space="0" w:color="000000"/>
            </w:tcBorders>
          </w:tcPr>
          <w:p>
            <w:pPr>
              <w:pStyle w:val="TableParagraph"/>
              <w:ind w:left="104"/>
              <w:rPr>
                <w:rFonts w:ascii="宋体" w:eastAsia="宋体" w:hint="eastAsia"/>
                <w:sz w:val="18"/>
              </w:rPr>
            </w:pPr>
            <w:r>
              <w:rPr>
                <w:rFonts w:ascii="宋体" w:eastAsia="宋体" w:hint="eastAsia"/>
                <w:sz w:val="18"/>
              </w:rPr>
              <w:t>青岛海尔成套家电服</w:t>
            </w:r>
          </w:p>
          <w:p>
            <w:pPr>
              <w:pStyle w:val="TableParagraph"/>
              <w:spacing w:line="215" w:lineRule="exact" w:before="2"/>
              <w:ind w:left="104"/>
              <w:rPr>
                <w:rFonts w:ascii="宋体" w:eastAsia="宋体" w:hint="eastAsia"/>
                <w:sz w:val="18"/>
              </w:rPr>
            </w:pPr>
            <w:r>
              <w:rPr>
                <w:rFonts w:ascii="宋体" w:eastAsia="宋体" w:hint="eastAsia"/>
                <w:sz w:val="18"/>
              </w:rPr>
              <w:t>务有限公司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ind w:left="122" w:right="99"/>
              <w:jc w:val="center"/>
              <w:rPr>
                <w:rFonts w:ascii="宋体" w:eastAsia="宋体" w:hint="eastAsia"/>
                <w:sz w:val="18"/>
              </w:rPr>
            </w:pPr>
            <w:r>
              <w:rPr>
                <w:rFonts w:ascii="宋体" w:eastAsia="宋体" w:hint="eastAsia"/>
                <w:sz w:val="18"/>
              </w:rPr>
              <w:t>青岛高科</w:t>
            </w:r>
          </w:p>
          <w:p>
            <w:pPr>
              <w:pStyle w:val="TableParagraph"/>
              <w:spacing w:line="215" w:lineRule="exact" w:before="2"/>
              <w:ind w:left="25"/>
              <w:jc w:val="center"/>
              <w:rPr>
                <w:rFonts w:ascii="宋体" w:eastAsia="宋体" w:hint="eastAsia"/>
                <w:sz w:val="18"/>
              </w:rPr>
            </w:pPr>
            <w:r>
              <w:rPr>
                <w:rFonts w:ascii="宋体" w:eastAsia="宋体" w:hint="eastAsia"/>
                <w:sz w:val="18"/>
              </w:rPr>
              <w:t>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ind w:left="99" w:right="80"/>
              <w:jc w:val="center"/>
              <w:rPr>
                <w:rFonts w:ascii="宋体" w:eastAsia="宋体" w:hint="eastAsia"/>
                <w:sz w:val="18"/>
              </w:rPr>
            </w:pPr>
            <w:r>
              <w:rPr>
                <w:rFonts w:ascii="宋体" w:eastAsia="宋体" w:hint="eastAsia"/>
                <w:sz w:val="18"/>
              </w:rPr>
              <w:t>青岛高科</w:t>
            </w:r>
          </w:p>
          <w:p>
            <w:pPr>
              <w:pStyle w:val="TableParagraph"/>
              <w:spacing w:line="215" w:lineRule="exact" w:before="2"/>
              <w:ind w:left="21"/>
              <w:jc w:val="center"/>
              <w:rPr>
                <w:rFonts w:ascii="宋体" w:eastAsia="宋体" w:hint="eastAsia"/>
                <w:sz w:val="18"/>
              </w:rPr>
            </w:pPr>
            <w:r>
              <w:rPr>
                <w:rFonts w:ascii="宋体" w:eastAsia="宋体" w:hint="eastAsia"/>
                <w:sz w:val="18"/>
              </w:rPr>
              <w:t>园</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ind w:left="115"/>
              <w:rPr>
                <w:rFonts w:ascii="宋体" w:eastAsia="宋体" w:hint="eastAsia"/>
                <w:sz w:val="18"/>
              </w:rPr>
            </w:pPr>
            <w:r>
              <w:rPr>
                <w:rFonts w:ascii="宋体" w:eastAsia="宋体" w:hint="eastAsia"/>
                <w:sz w:val="18"/>
              </w:rPr>
              <w:t>健康系列小家电</w:t>
            </w:r>
          </w:p>
          <w:p>
            <w:pPr>
              <w:pStyle w:val="TableParagraph"/>
              <w:spacing w:line="215" w:lineRule="exact" w:before="2"/>
              <w:ind w:left="115"/>
              <w:rPr>
                <w:rFonts w:ascii="宋体" w:eastAsia="宋体" w:hint="eastAsia"/>
                <w:sz w:val="18"/>
              </w:rPr>
            </w:pPr>
            <w:r>
              <w:rPr>
                <w:rFonts w:ascii="宋体" w:eastAsia="宋体" w:hint="eastAsia"/>
                <w:sz w:val="18"/>
              </w:rPr>
              <w:t>研制销售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24"/>
              <w:ind w:right="88"/>
              <w:jc w:val="right"/>
              <w:rPr>
                <w:sz w:val="18"/>
              </w:rPr>
            </w:pPr>
            <w:r>
              <w:rPr>
                <w:sz w:val="18"/>
              </w:rPr>
              <w:t>98.33</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12"/>
              <w:ind w:right="2"/>
              <w:jc w:val="right"/>
              <w:rPr>
                <w:rFonts w:ascii="宋体"/>
                <w:sz w:val="18"/>
              </w:rPr>
            </w:pPr>
            <w:r>
              <w:rPr>
                <w:rFonts w:ascii="宋体"/>
                <w:sz w:val="18"/>
              </w:rPr>
              <w:t> </w:t>
            </w:r>
          </w:p>
        </w:tc>
        <w:tc>
          <w:tcPr>
            <w:tcW w:w="934" w:type="dxa"/>
            <w:tcBorders>
              <w:top w:val="single" w:sz="4" w:space="0" w:color="000000"/>
              <w:left w:val="single" w:sz="4" w:space="0" w:color="000000"/>
              <w:bottom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r>
        <w:trPr>
          <w:trHeight w:val="465" w:hRule="atLeast"/>
        </w:trPr>
        <w:tc>
          <w:tcPr>
            <w:tcW w:w="1964" w:type="dxa"/>
            <w:tcBorders>
              <w:top w:val="single" w:sz="4" w:space="0" w:color="000000"/>
              <w:bottom w:val="single" w:sz="4" w:space="0" w:color="000000"/>
              <w:right w:val="single" w:sz="4" w:space="0" w:color="000000"/>
            </w:tcBorders>
          </w:tcPr>
          <w:p>
            <w:pPr>
              <w:pStyle w:val="TableParagraph"/>
              <w:ind w:left="104"/>
              <w:rPr>
                <w:rFonts w:ascii="宋体" w:eastAsia="宋体" w:hint="eastAsia"/>
                <w:sz w:val="18"/>
              </w:rPr>
            </w:pPr>
            <w:r>
              <w:rPr>
                <w:rFonts w:ascii="宋体" w:eastAsia="宋体" w:hint="eastAsia"/>
                <w:sz w:val="18"/>
              </w:rPr>
              <w:t>青岛海尔特种电冰箱</w:t>
            </w:r>
          </w:p>
          <w:p>
            <w:pPr>
              <w:pStyle w:val="TableParagraph"/>
              <w:spacing w:line="213" w:lineRule="exact" w:before="2"/>
              <w:ind w:left="104"/>
              <w:rPr>
                <w:rFonts w:ascii="宋体" w:eastAsia="宋体" w:hint="eastAsia"/>
                <w:sz w:val="18"/>
              </w:rPr>
            </w:pPr>
            <w:r>
              <w:rPr>
                <w:rFonts w:ascii="宋体" w:eastAsia="宋体" w:hint="eastAsia"/>
                <w:sz w:val="18"/>
              </w:rPr>
              <w:t>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ind w:left="122" w:right="99"/>
              <w:jc w:val="center"/>
              <w:rPr>
                <w:rFonts w:ascii="宋体" w:eastAsia="宋体" w:hint="eastAsia"/>
                <w:sz w:val="18"/>
              </w:rPr>
            </w:pPr>
            <w:r>
              <w:rPr>
                <w:rFonts w:ascii="宋体" w:eastAsia="宋体" w:hint="eastAsia"/>
                <w:sz w:val="18"/>
              </w:rPr>
              <w:t>青岛开发</w:t>
            </w:r>
          </w:p>
          <w:p>
            <w:pPr>
              <w:pStyle w:val="TableParagraph"/>
              <w:spacing w:line="213" w:lineRule="exact" w:before="2"/>
              <w:ind w:left="25"/>
              <w:jc w:val="center"/>
              <w:rPr>
                <w:rFonts w:ascii="宋体" w:eastAsia="宋体" w:hint="eastAsia"/>
                <w:sz w:val="18"/>
              </w:rPr>
            </w:pPr>
            <w:r>
              <w:rPr>
                <w:rFonts w:ascii="宋体" w:eastAsia="宋体" w:hint="eastAsia"/>
                <w:sz w:val="18"/>
              </w:rPr>
              <w:t>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ind w:left="99" w:right="80"/>
              <w:jc w:val="center"/>
              <w:rPr>
                <w:rFonts w:ascii="宋体" w:eastAsia="宋体" w:hint="eastAsia"/>
                <w:sz w:val="18"/>
              </w:rPr>
            </w:pPr>
            <w:r>
              <w:rPr>
                <w:rFonts w:ascii="宋体" w:eastAsia="宋体" w:hint="eastAsia"/>
                <w:sz w:val="18"/>
              </w:rPr>
              <w:t>青岛开发</w:t>
            </w:r>
          </w:p>
          <w:p>
            <w:pPr>
              <w:pStyle w:val="TableParagraph"/>
              <w:spacing w:line="213" w:lineRule="exact" w:before="2"/>
              <w:ind w:left="21"/>
              <w:jc w:val="center"/>
              <w:rPr>
                <w:rFonts w:ascii="宋体" w:eastAsia="宋体" w:hint="eastAsia"/>
                <w:sz w:val="18"/>
              </w:rPr>
            </w:pPr>
            <w:r>
              <w:rPr>
                <w:rFonts w:ascii="宋体" w:eastAsia="宋体" w:hint="eastAsia"/>
                <w:sz w:val="18"/>
              </w:rPr>
              <w:t>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ind w:left="115"/>
              <w:rPr>
                <w:rFonts w:ascii="宋体" w:eastAsia="宋体" w:hint="eastAsia"/>
                <w:sz w:val="18"/>
              </w:rPr>
            </w:pPr>
            <w:r>
              <w:rPr>
                <w:rFonts w:ascii="宋体" w:eastAsia="宋体" w:hint="eastAsia"/>
                <w:sz w:val="18"/>
              </w:rPr>
              <w:t>无氟电冰箱生产</w:t>
            </w:r>
          </w:p>
          <w:p>
            <w:pPr>
              <w:pStyle w:val="TableParagraph"/>
              <w:spacing w:line="213" w:lineRule="exact" w:before="2"/>
              <w:ind w:left="115"/>
              <w:rPr>
                <w:rFonts w:ascii="宋体" w:eastAsia="宋体" w:hint="eastAsia"/>
                <w:sz w:val="18"/>
              </w:rPr>
            </w:pPr>
            <w:r>
              <w:rPr>
                <w:rFonts w:ascii="宋体" w:eastAsia="宋体" w:hint="eastAsia"/>
                <w:sz w:val="18"/>
              </w:rPr>
              <w:t>销售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24"/>
              <w:ind w:right="88"/>
              <w:jc w:val="right"/>
              <w:rPr>
                <w:sz w:val="18"/>
              </w:rPr>
            </w:pPr>
            <w:r>
              <w:rPr>
                <w:sz w:val="18"/>
              </w:rPr>
              <w:t>100.00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12"/>
              <w:ind w:right="2"/>
              <w:jc w:val="right"/>
              <w:rPr>
                <w:rFonts w:ascii="宋体"/>
                <w:sz w:val="18"/>
              </w:rPr>
            </w:pPr>
            <w:r>
              <w:rPr>
                <w:rFonts w:ascii="宋体"/>
                <w:sz w:val="18"/>
              </w:rPr>
              <w:t> </w:t>
            </w:r>
          </w:p>
        </w:tc>
        <w:tc>
          <w:tcPr>
            <w:tcW w:w="934" w:type="dxa"/>
            <w:tcBorders>
              <w:top w:val="single" w:sz="4" w:space="0" w:color="000000"/>
              <w:left w:val="single" w:sz="4" w:space="0" w:color="000000"/>
              <w:bottom w:val="single" w:sz="4" w:space="0" w:color="000000"/>
            </w:tcBorders>
          </w:tcPr>
          <w:p>
            <w:pPr>
              <w:pStyle w:val="TableParagraph"/>
              <w:spacing w:before="115"/>
              <w:ind w:left="111"/>
              <w:rPr>
                <w:rFonts w:ascii="宋体" w:eastAsia="宋体" w:hint="eastAsia"/>
                <w:sz w:val="18"/>
              </w:rPr>
            </w:pPr>
            <w:r>
              <w:rPr>
                <w:rFonts w:ascii="宋体" w:eastAsia="宋体" w:hint="eastAsia"/>
                <w:sz w:val="18"/>
              </w:rPr>
              <w:t>设立</w:t>
            </w:r>
          </w:p>
        </w:tc>
      </w:tr>
      <w:tr>
        <w:trPr>
          <w:trHeight w:val="467" w:hRule="atLeast"/>
        </w:trPr>
        <w:tc>
          <w:tcPr>
            <w:tcW w:w="1964" w:type="dxa"/>
            <w:tcBorders>
              <w:top w:val="single" w:sz="4" w:space="0" w:color="000000"/>
              <w:bottom w:val="single" w:sz="4" w:space="0" w:color="000000"/>
              <w:right w:val="single" w:sz="4" w:space="0" w:color="000000"/>
            </w:tcBorders>
          </w:tcPr>
          <w:p>
            <w:pPr>
              <w:pStyle w:val="TableParagraph"/>
              <w:ind w:left="104"/>
              <w:rPr>
                <w:rFonts w:ascii="宋体" w:eastAsia="宋体" w:hint="eastAsia"/>
                <w:sz w:val="18"/>
              </w:rPr>
            </w:pPr>
            <w:r>
              <w:rPr>
                <w:rFonts w:ascii="宋体" w:eastAsia="宋体" w:hint="eastAsia"/>
                <w:sz w:val="18"/>
              </w:rPr>
              <w:t>青岛海尔洗碗机有限</w:t>
            </w:r>
          </w:p>
          <w:p>
            <w:pPr>
              <w:pStyle w:val="TableParagraph"/>
              <w:spacing w:line="213" w:lineRule="exact" w:before="4"/>
              <w:ind w:left="104"/>
              <w:rPr>
                <w:rFonts w:ascii="宋体" w:eastAsia="宋体" w:hint="eastAsia"/>
                <w:sz w:val="18"/>
              </w:rPr>
            </w:pPr>
            <w:r>
              <w:rPr>
                <w:rFonts w:ascii="宋体" w:eastAsia="宋体" w:hint="eastAsia"/>
                <w:sz w:val="18"/>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ind w:left="122" w:right="99"/>
              <w:jc w:val="center"/>
              <w:rPr>
                <w:rFonts w:ascii="宋体" w:eastAsia="宋体" w:hint="eastAsia"/>
                <w:sz w:val="18"/>
              </w:rPr>
            </w:pPr>
            <w:r>
              <w:rPr>
                <w:rFonts w:ascii="宋体" w:eastAsia="宋体" w:hint="eastAsia"/>
                <w:sz w:val="18"/>
              </w:rPr>
              <w:t>青岛开发</w:t>
            </w:r>
          </w:p>
          <w:p>
            <w:pPr>
              <w:pStyle w:val="TableParagraph"/>
              <w:spacing w:line="213" w:lineRule="exact" w:before="4"/>
              <w:ind w:left="25"/>
              <w:jc w:val="center"/>
              <w:rPr>
                <w:rFonts w:ascii="宋体" w:eastAsia="宋体" w:hint="eastAsia"/>
                <w:sz w:val="18"/>
              </w:rPr>
            </w:pPr>
            <w:r>
              <w:rPr>
                <w:rFonts w:ascii="宋体" w:eastAsia="宋体" w:hint="eastAsia"/>
                <w:sz w:val="18"/>
              </w:rPr>
              <w:t>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ind w:left="99" w:right="80"/>
              <w:jc w:val="center"/>
              <w:rPr>
                <w:rFonts w:ascii="宋体" w:eastAsia="宋体" w:hint="eastAsia"/>
                <w:sz w:val="18"/>
              </w:rPr>
            </w:pPr>
            <w:r>
              <w:rPr>
                <w:rFonts w:ascii="宋体" w:eastAsia="宋体" w:hint="eastAsia"/>
                <w:sz w:val="18"/>
              </w:rPr>
              <w:t>青岛开发</w:t>
            </w:r>
          </w:p>
          <w:p>
            <w:pPr>
              <w:pStyle w:val="TableParagraph"/>
              <w:spacing w:line="213" w:lineRule="exact" w:before="4"/>
              <w:ind w:left="21"/>
              <w:jc w:val="center"/>
              <w:rPr>
                <w:rFonts w:ascii="宋体" w:eastAsia="宋体" w:hint="eastAsia"/>
                <w:sz w:val="18"/>
              </w:rPr>
            </w:pPr>
            <w:r>
              <w:rPr>
                <w:rFonts w:ascii="宋体" w:eastAsia="宋体" w:hint="eastAsia"/>
                <w:sz w:val="18"/>
              </w:rPr>
              <w:t>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ind w:left="115"/>
              <w:rPr>
                <w:rFonts w:ascii="宋体" w:eastAsia="宋体" w:hint="eastAsia"/>
                <w:sz w:val="18"/>
              </w:rPr>
            </w:pPr>
            <w:r>
              <w:rPr>
                <w:rFonts w:ascii="宋体" w:eastAsia="宋体" w:hint="eastAsia"/>
                <w:sz w:val="18"/>
              </w:rPr>
              <w:t>洗碗机、燃气灶</w:t>
            </w:r>
          </w:p>
          <w:p>
            <w:pPr>
              <w:pStyle w:val="TableParagraph"/>
              <w:spacing w:line="213" w:lineRule="exact" w:before="4"/>
              <w:ind w:left="115"/>
              <w:rPr>
                <w:rFonts w:ascii="宋体" w:eastAsia="宋体" w:hint="eastAsia"/>
                <w:sz w:val="18"/>
              </w:rPr>
            </w:pPr>
            <w:r>
              <w:rPr>
                <w:rFonts w:ascii="宋体" w:eastAsia="宋体" w:hint="eastAsia"/>
                <w:sz w:val="18"/>
              </w:rPr>
              <w:t>等加工制造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27"/>
              <w:ind w:right="88"/>
              <w:jc w:val="right"/>
              <w:rPr>
                <w:sz w:val="18"/>
              </w:rPr>
            </w:pPr>
            <w:r>
              <w:rPr>
                <w:sz w:val="18"/>
              </w:rPr>
              <w:t>100.00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15"/>
              <w:ind w:right="2"/>
              <w:jc w:val="right"/>
              <w:rPr>
                <w:rFonts w:ascii="宋体"/>
                <w:sz w:val="18"/>
              </w:rPr>
            </w:pPr>
            <w:r>
              <w:rPr>
                <w:rFonts w:ascii="宋体"/>
                <w:sz w:val="18"/>
              </w:rPr>
              <w:t> </w:t>
            </w:r>
          </w:p>
        </w:tc>
        <w:tc>
          <w:tcPr>
            <w:tcW w:w="934" w:type="dxa"/>
            <w:tcBorders>
              <w:top w:val="single" w:sz="4" w:space="0" w:color="000000"/>
              <w:left w:val="single" w:sz="4" w:space="0" w:color="000000"/>
              <w:bottom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r>
        <w:trPr>
          <w:trHeight w:val="700" w:hRule="atLeast"/>
        </w:trPr>
        <w:tc>
          <w:tcPr>
            <w:tcW w:w="1964" w:type="dxa"/>
            <w:tcBorders>
              <w:top w:val="single" w:sz="4" w:space="0" w:color="000000"/>
              <w:bottom w:val="single" w:sz="4" w:space="0" w:color="000000"/>
              <w:right w:val="single" w:sz="4" w:space="0" w:color="000000"/>
            </w:tcBorders>
          </w:tcPr>
          <w:p>
            <w:pPr>
              <w:pStyle w:val="TableParagraph"/>
              <w:spacing w:line="242" w:lineRule="auto" w:before="117"/>
              <w:ind w:left="104" w:right="217"/>
              <w:rPr>
                <w:rFonts w:ascii="宋体" w:eastAsia="宋体" w:hint="eastAsia"/>
                <w:sz w:val="18"/>
              </w:rPr>
            </w:pPr>
            <w:r>
              <w:rPr>
                <w:rFonts w:ascii="宋体" w:eastAsia="宋体" w:hint="eastAsia"/>
                <w:sz w:val="18"/>
              </w:rPr>
              <w:t>青岛海尔特种电冰柜有限公司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17"/>
              <w:ind w:left="414" w:right="118" w:hanging="272"/>
              <w:rPr>
                <w:rFonts w:ascii="宋体" w:eastAsia="宋体" w:hint="eastAsia"/>
                <w:sz w:val="18"/>
              </w:rPr>
            </w:pPr>
            <w:r>
              <w:rPr>
                <w:rFonts w:ascii="宋体" w:eastAsia="宋体" w:hint="eastAsia"/>
                <w:sz w:val="18"/>
              </w:rPr>
              <w:t>青岛开发区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17"/>
              <w:ind w:left="411" w:right="119" w:hanging="272"/>
              <w:rPr>
                <w:rFonts w:ascii="宋体" w:eastAsia="宋体" w:hint="eastAsia"/>
                <w:sz w:val="18"/>
              </w:rPr>
            </w:pPr>
            <w:r>
              <w:rPr>
                <w:rFonts w:ascii="宋体" w:eastAsia="宋体" w:hint="eastAsia"/>
                <w:sz w:val="18"/>
              </w:rPr>
              <w:t>青岛开发区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ind w:left="115" w:right="173"/>
              <w:rPr>
                <w:rFonts w:ascii="宋体" w:eastAsia="宋体" w:hint="eastAsia"/>
                <w:sz w:val="18"/>
              </w:rPr>
            </w:pPr>
            <w:r>
              <w:rPr>
                <w:rFonts w:ascii="宋体" w:eastAsia="宋体" w:hint="eastAsia"/>
                <w:sz w:val="18"/>
              </w:rPr>
              <w:t>电冰柜及其他制冷产品研制生产</w:t>
            </w:r>
          </w:p>
          <w:p>
            <w:pPr>
              <w:pStyle w:val="TableParagraph"/>
              <w:spacing w:line="213" w:lineRule="exact" w:before="2"/>
              <w:ind w:left="115"/>
              <w:rPr>
                <w:rFonts w:ascii="宋体" w:eastAsia="宋体" w:hint="eastAsia"/>
                <w:sz w:val="18"/>
              </w:rPr>
            </w:pPr>
            <w:r>
              <w:rPr>
                <w:rFonts w:ascii="宋体" w:eastAsia="宋体" w:hint="eastAsia"/>
                <w:sz w:val="18"/>
              </w:rPr>
              <w:t>销售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1"/>
              </w:rPr>
            </w:pPr>
          </w:p>
          <w:p>
            <w:pPr>
              <w:pStyle w:val="TableParagraph"/>
              <w:ind w:right="88"/>
              <w:jc w:val="right"/>
              <w:rPr>
                <w:sz w:val="18"/>
              </w:rPr>
            </w:pPr>
            <w:r>
              <w:rPr>
                <w:sz w:val="18"/>
              </w:rPr>
              <w:t>96.06</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rPr>
                <w:sz w:val="20"/>
              </w:rPr>
            </w:pPr>
          </w:p>
          <w:p>
            <w:pPr>
              <w:pStyle w:val="TableParagraph"/>
              <w:ind w:right="2"/>
              <w:jc w:val="right"/>
              <w:rPr>
                <w:rFonts w:ascii="宋体"/>
                <w:sz w:val="18"/>
              </w:rPr>
            </w:pPr>
            <w:r>
              <w:rPr>
                <w:rFonts w:ascii="宋体"/>
                <w:sz w:val="18"/>
              </w:rPr>
              <w:t> </w:t>
            </w:r>
          </w:p>
        </w:tc>
        <w:tc>
          <w:tcPr>
            <w:tcW w:w="934" w:type="dxa"/>
            <w:tcBorders>
              <w:top w:val="single" w:sz="4" w:space="0" w:color="000000"/>
              <w:left w:val="single" w:sz="4" w:space="0" w:color="000000"/>
              <w:bottom w:val="single" w:sz="4" w:space="0" w:color="000000"/>
            </w:tcBorders>
          </w:tcPr>
          <w:p>
            <w:pPr>
              <w:pStyle w:val="TableParagraph"/>
              <w:spacing w:before="2"/>
              <w:rPr>
                <w:sz w:val="20"/>
              </w:rPr>
            </w:pPr>
          </w:p>
          <w:p>
            <w:pPr>
              <w:pStyle w:val="TableParagraph"/>
              <w:ind w:left="111"/>
              <w:rPr>
                <w:rFonts w:ascii="宋体" w:eastAsia="宋体" w:hint="eastAsia"/>
                <w:sz w:val="18"/>
              </w:rPr>
            </w:pPr>
            <w:r>
              <w:rPr>
                <w:rFonts w:ascii="宋体" w:eastAsia="宋体" w:hint="eastAsia"/>
                <w:sz w:val="18"/>
              </w:rPr>
              <w:t>设立</w:t>
            </w:r>
          </w:p>
        </w:tc>
      </w:tr>
      <w:tr>
        <w:trPr>
          <w:trHeight w:val="467" w:hRule="atLeast"/>
        </w:trPr>
        <w:tc>
          <w:tcPr>
            <w:tcW w:w="1964" w:type="dxa"/>
            <w:tcBorders>
              <w:top w:val="single" w:sz="4" w:space="0" w:color="000000"/>
              <w:bottom w:val="single" w:sz="4" w:space="0" w:color="000000"/>
              <w:right w:val="single" w:sz="4" w:space="0" w:color="000000"/>
            </w:tcBorders>
          </w:tcPr>
          <w:p>
            <w:pPr>
              <w:pStyle w:val="TableParagraph"/>
              <w:ind w:left="104"/>
              <w:rPr>
                <w:rFonts w:ascii="宋体" w:eastAsia="宋体" w:hint="eastAsia"/>
                <w:sz w:val="18"/>
              </w:rPr>
            </w:pPr>
            <w:r>
              <w:rPr>
                <w:rFonts w:ascii="宋体" w:eastAsia="宋体" w:hint="eastAsia"/>
                <w:sz w:val="18"/>
              </w:rPr>
              <w:t>大连海尔空调器有限</w:t>
            </w:r>
          </w:p>
          <w:p>
            <w:pPr>
              <w:pStyle w:val="TableParagraph"/>
              <w:spacing w:line="215" w:lineRule="exact" w:before="2"/>
              <w:ind w:left="104"/>
              <w:rPr>
                <w:rFonts w:ascii="宋体" w:eastAsia="宋体" w:hint="eastAsia"/>
                <w:sz w:val="18"/>
              </w:rPr>
            </w:pPr>
            <w:r>
              <w:rPr>
                <w:rFonts w:ascii="宋体" w:eastAsia="宋体" w:hint="eastAsia"/>
                <w:sz w:val="18"/>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ind w:left="143"/>
              <w:rPr>
                <w:rFonts w:ascii="宋体" w:eastAsia="宋体" w:hint="eastAsia"/>
                <w:sz w:val="18"/>
              </w:rPr>
            </w:pPr>
            <w:r>
              <w:rPr>
                <w:rFonts w:ascii="宋体" w:eastAsia="宋体" w:hint="eastAsia"/>
                <w:sz w:val="18"/>
              </w:rPr>
              <w:t>大连出口</w:t>
            </w:r>
          </w:p>
          <w:p>
            <w:pPr>
              <w:pStyle w:val="TableParagraph"/>
              <w:spacing w:line="215" w:lineRule="exact" w:before="2"/>
              <w:ind w:left="234"/>
              <w:rPr>
                <w:rFonts w:ascii="宋体" w:eastAsia="宋体" w:hint="eastAsia"/>
                <w:sz w:val="18"/>
              </w:rPr>
            </w:pPr>
            <w:r>
              <w:rPr>
                <w:rFonts w:ascii="宋体" w:eastAsia="宋体" w:hint="eastAsia"/>
                <w:sz w:val="18"/>
              </w:rPr>
              <w:t>加工区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ind w:left="140"/>
              <w:rPr>
                <w:rFonts w:ascii="宋体" w:eastAsia="宋体" w:hint="eastAsia"/>
                <w:sz w:val="18"/>
              </w:rPr>
            </w:pPr>
            <w:r>
              <w:rPr>
                <w:rFonts w:ascii="宋体" w:eastAsia="宋体" w:hint="eastAsia"/>
                <w:sz w:val="18"/>
              </w:rPr>
              <w:t>大连出口</w:t>
            </w:r>
          </w:p>
          <w:p>
            <w:pPr>
              <w:pStyle w:val="TableParagraph"/>
              <w:spacing w:line="215" w:lineRule="exact" w:before="2"/>
              <w:ind w:left="231"/>
              <w:rPr>
                <w:rFonts w:ascii="宋体" w:eastAsia="宋体" w:hint="eastAsia"/>
                <w:sz w:val="18"/>
              </w:rPr>
            </w:pPr>
            <w:r>
              <w:rPr>
                <w:rFonts w:ascii="宋体" w:eastAsia="宋体" w:hint="eastAsia"/>
                <w:sz w:val="18"/>
              </w:rPr>
              <w:t>加工区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117"/>
              <w:ind w:left="115"/>
              <w:rPr>
                <w:rFonts w:ascii="宋体" w:eastAsia="宋体" w:hint="eastAsia"/>
                <w:sz w:val="18"/>
              </w:rPr>
            </w:pPr>
            <w:r>
              <w:rPr>
                <w:rFonts w:ascii="宋体" w:eastAsia="宋体" w:hint="eastAsia"/>
                <w:sz w:val="18"/>
              </w:rPr>
              <w:t>空调器加工制造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24"/>
              <w:ind w:right="88"/>
              <w:jc w:val="right"/>
              <w:rPr>
                <w:sz w:val="18"/>
              </w:rPr>
            </w:pPr>
            <w:r>
              <w:rPr>
                <w:sz w:val="18"/>
              </w:rPr>
              <w:t>90.00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12"/>
              <w:ind w:right="2"/>
              <w:jc w:val="right"/>
              <w:rPr>
                <w:rFonts w:ascii="宋体"/>
                <w:sz w:val="18"/>
              </w:rPr>
            </w:pPr>
            <w:r>
              <w:rPr>
                <w:rFonts w:ascii="宋体"/>
                <w:sz w:val="18"/>
              </w:rPr>
              <w:t> </w:t>
            </w:r>
          </w:p>
        </w:tc>
        <w:tc>
          <w:tcPr>
            <w:tcW w:w="934" w:type="dxa"/>
            <w:tcBorders>
              <w:top w:val="single" w:sz="4" w:space="0" w:color="000000"/>
              <w:left w:val="single" w:sz="4" w:space="0" w:color="000000"/>
              <w:bottom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r>
        <w:trPr>
          <w:trHeight w:val="465" w:hRule="atLeast"/>
        </w:trPr>
        <w:tc>
          <w:tcPr>
            <w:tcW w:w="1964" w:type="dxa"/>
            <w:tcBorders>
              <w:top w:val="single" w:sz="4" w:space="0" w:color="000000"/>
              <w:bottom w:val="single" w:sz="4" w:space="0" w:color="000000"/>
              <w:right w:val="single" w:sz="4" w:space="0" w:color="000000"/>
            </w:tcBorders>
          </w:tcPr>
          <w:p>
            <w:pPr>
              <w:pStyle w:val="TableParagraph"/>
              <w:ind w:left="104"/>
              <w:rPr>
                <w:rFonts w:ascii="宋体" w:eastAsia="宋体" w:hint="eastAsia"/>
                <w:sz w:val="18"/>
              </w:rPr>
            </w:pPr>
            <w:r>
              <w:rPr>
                <w:rFonts w:ascii="宋体" w:eastAsia="宋体" w:hint="eastAsia"/>
                <w:sz w:val="18"/>
              </w:rPr>
              <w:t>大连海尔电冰箱有限</w:t>
            </w:r>
          </w:p>
          <w:p>
            <w:pPr>
              <w:pStyle w:val="TableParagraph"/>
              <w:spacing w:line="213" w:lineRule="exact" w:before="2"/>
              <w:ind w:left="104"/>
              <w:rPr>
                <w:rFonts w:ascii="宋体" w:eastAsia="宋体" w:hint="eastAsia"/>
                <w:sz w:val="18"/>
              </w:rPr>
            </w:pPr>
            <w:r>
              <w:rPr>
                <w:rFonts w:ascii="宋体" w:eastAsia="宋体" w:hint="eastAsia"/>
                <w:sz w:val="18"/>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ind w:left="143"/>
              <w:rPr>
                <w:rFonts w:ascii="宋体" w:eastAsia="宋体" w:hint="eastAsia"/>
                <w:sz w:val="18"/>
              </w:rPr>
            </w:pPr>
            <w:r>
              <w:rPr>
                <w:rFonts w:ascii="宋体" w:eastAsia="宋体" w:hint="eastAsia"/>
                <w:sz w:val="18"/>
              </w:rPr>
              <w:t>大连出口</w:t>
            </w:r>
          </w:p>
          <w:p>
            <w:pPr>
              <w:pStyle w:val="TableParagraph"/>
              <w:spacing w:line="213" w:lineRule="exact" w:before="2"/>
              <w:ind w:left="234"/>
              <w:rPr>
                <w:rFonts w:ascii="宋体" w:eastAsia="宋体" w:hint="eastAsia"/>
                <w:sz w:val="18"/>
              </w:rPr>
            </w:pPr>
            <w:r>
              <w:rPr>
                <w:rFonts w:ascii="宋体" w:eastAsia="宋体" w:hint="eastAsia"/>
                <w:sz w:val="18"/>
              </w:rPr>
              <w:t>加工区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ind w:left="140"/>
              <w:rPr>
                <w:rFonts w:ascii="宋体" w:eastAsia="宋体" w:hint="eastAsia"/>
                <w:sz w:val="18"/>
              </w:rPr>
            </w:pPr>
            <w:r>
              <w:rPr>
                <w:rFonts w:ascii="宋体" w:eastAsia="宋体" w:hint="eastAsia"/>
                <w:sz w:val="18"/>
              </w:rPr>
              <w:t>大连出口</w:t>
            </w:r>
          </w:p>
          <w:p>
            <w:pPr>
              <w:pStyle w:val="TableParagraph"/>
              <w:spacing w:line="213" w:lineRule="exact" w:before="2"/>
              <w:ind w:left="231"/>
              <w:rPr>
                <w:rFonts w:ascii="宋体" w:eastAsia="宋体" w:hint="eastAsia"/>
                <w:sz w:val="18"/>
              </w:rPr>
            </w:pPr>
            <w:r>
              <w:rPr>
                <w:rFonts w:ascii="宋体" w:eastAsia="宋体" w:hint="eastAsia"/>
                <w:sz w:val="18"/>
              </w:rPr>
              <w:t>加工区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115"/>
              <w:ind w:left="115"/>
              <w:rPr>
                <w:rFonts w:ascii="宋体" w:eastAsia="宋体" w:hint="eastAsia"/>
                <w:sz w:val="18"/>
              </w:rPr>
            </w:pPr>
            <w:r>
              <w:rPr>
                <w:rFonts w:ascii="宋体" w:eastAsia="宋体" w:hint="eastAsia"/>
                <w:sz w:val="18"/>
              </w:rPr>
              <w:t>电冰箱加工制造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24"/>
              <w:ind w:right="88"/>
              <w:jc w:val="right"/>
              <w:rPr>
                <w:sz w:val="18"/>
              </w:rPr>
            </w:pPr>
            <w:r>
              <w:rPr>
                <w:sz w:val="18"/>
              </w:rPr>
              <w:t>90.00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12"/>
              <w:ind w:right="2"/>
              <w:jc w:val="right"/>
              <w:rPr>
                <w:rFonts w:ascii="宋体"/>
                <w:sz w:val="18"/>
              </w:rPr>
            </w:pPr>
            <w:r>
              <w:rPr>
                <w:rFonts w:ascii="宋体"/>
                <w:sz w:val="18"/>
              </w:rPr>
              <w:t> </w:t>
            </w:r>
          </w:p>
        </w:tc>
        <w:tc>
          <w:tcPr>
            <w:tcW w:w="934" w:type="dxa"/>
            <w:tcBorders>
              <w:top w:val="single" w:sz="4" w:space="0" w:color="000000"/>
              <w:left w:val="single" w:sz="4" w:space="0" w:color="000000"/>
              <w:bottom w:val="single" w:sz="4" w:space="0" w:color="000000"/>
            </w:tcBorders>
          </w:tcPr>
          <w:p>
            <w:pPr>
              <w:pStyle w:val="TableParagraph"/>
              <w:spacing w:before="115"/>
              <w:ind w:left="111"/>
              <w:rPr>
                <w:rFonts w:ascii="宋体" w:eastAsia="宋体" w:hint="eastAsia"/>
                <w:sz w:val="18"/>
              </w:rPr>
            </w:pPr>
            <w:r>
              <w:rPr>
                <w:rFonts w:ascii="宋体" w:eastAsia="宋体" w:hint="eastAsia"/>
                <w:sz w:val="18"/>
              </w:rPr>
              <w:t>设立</w:t>
            </w:r>
          </w:p>
        </w:tc>
      </w:tr>
      <w:tr>
        <w:trPr>
          <w:trHeight w:val="700" w:hRule="atLeast"/>
        </w:trPr>
        <w:tc>
          <w:tcPr>
            <w:tcW w:w="1964" w:type="dxa"/>
            <w:tcBorders>
              <w:top w:val="single" w:sz="4" w:space="0" w:color="000000"/>
              <w:bottom w:val="single" w:sz="4" w:space="0" w:color="000000"/>
              <w:right w:val="single" w:sz="4" w:space="0" w:color="000000"/>
            </w:tcBorders>
          </w:tcPr>
          <w:p>
            <w:pPr>
              <w:pStyle w:val="TableParagraph"/>
              <w:spacing w:line="242" w:lineRule="auto" w:before="117"/>
              <w:ind w:left="104" w:right="217"/>
              <w:rPr>
                <w:rFonts w:ascii="宋体" w:eastAsia="宋体" w:hint="eastAsia"/>
                <w:sz w:val="18"/>
              </w:rPr>
            </w:pPr>
            <w:r>
              <w:rPr>
                <w:rFonts w:ascii="宋体" w:eastAsia="宋体" w:hint="eastAsia"/>
                <w:sz w:val="18"/>
              </w:rPr>
              <w:t>青岛海尔电子塑胶有限公司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17"/>
              <w:ind w:left="414" w:right="118" w:hanging="272"/>
              <w:rPr>
                <w:rFonts w:ascii="宋体" w:eastAsia="宋体" w:hint="eastAsia"/>
                <w:sz w:val="18"/>
              </w:rPr>
            </w:pPr>
            <w:r>
              <w:rPr>
                <w:rFonts w:ascii="宋体" w:eastAsia="宋体" w:hint="eastAsia"/>
                <w:sz w:val="18"/>
              </w:rPr>
              <w:t>青岛开发区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17"/>
              <w:ind w:left="411" w:right="119" w:hanging="272"/>
              <w:rPr>
                <w:rFonts w:ascii="宋体" w:eastAsia="宋体" w:hint="eastAsia"/>
                <w:sz w:val="18"/>
              </w:rPr>
            </w:pPr>
            <w:r>
              <w:rPr>
                <w:rFonts w:ascii="宋体" w:eastAsia="宋体" w:hint="eastAsia"/>
                <w:sz w:val="18"/>
              </w:rPr>
              <w:t>青岛开发区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2"/>
              <w:ind w:left="115" w:right="173"/>
              <w:jc w:val="both"/>
              <w:rPr>
                <w:rFonts w:ascii="宋体" w:eastAsia="宋体" w:hint="eastAsia"/>
                <w:sz w:val="18"/>
              </w:rPr>
            </w:pPr>
            <w:r>
              <w:rPr>
                <w:rFonts w:ascii="宋体" w:eastAsia="宋体" w:hint="eastAsia"/>
                <w:sz w:val="18"/>
              </w:rPr>
              <w:t>塑胶、电子及制品开发、组装、销售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1"/>
              </w:rPr>
            </w:pPr>
          </w:p>
          <w:p>
            <w:pPr>
              <w:pStyle w:val="TableParagraph"/>
              <w:ind w:right="88"/>
              <w:jc w:val="right"/>
              <w:rPr>
                <w:sz w:val="18"/>
              </w:rPr>
            </w:pPr>
            <w:r>
              <w:rPr>
                <w:sz w:val="18"/>
              </w:rPr>
              <w:t>80.00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rPr>
                <w:sz w:val="20"/>
              </w:rPr>
            </w:pPr>
          </w:p>
          <w:p>
            <w:pPr>
              <w:pStyle w:val="TableParagraph"/>
              <w:ind w:right="2"/>
              <w:jc w:val="right"/>
              <w:rPr>
                <w:rFonts w:ascii="宋体"/>
                <w:sz w:val="18"/>
              </w:rPr>
            </w:pPr>
            <w:r>
              <w:rPr>
                <w:rFonts w:ascii="宋体"/>
                <w:sz w:val="18"/>
              </w:rPr>
              <w:t> </w:t>
            </w:r>
          </w:p>
        </w:tc>
        <w:tc>
          <w:tcPr>
            <w:tcW w:w="934" w:type="dxa"/>
            <w:tcBorders>
              <w:top w:val="single" w:sz="4" w:space="0" w:color="000000"/>
              <w:left w:val="single" w:sz="4" w:space="0" w:color="000000"/>
              <w:bottom w:val="single" w:sz="4" w:space="0" w:color="000000"/>
            </w:tcBorders>
          </w:tcPr>
          <w:p>
            <w:pPr>
              <w:pStyle w:val="TableParagraph"/>
              <w:spacing w:before="5"/>
              <w:rPr>
                <w:sz w:val="20"/>
              </w:rPr>
            </w:pPr>
          </w:p>
          <w:p>
            <w:pPr>
              <w:pStyle w:val="TableParagraph"/>
              <w:ind w:left="111"/>
              <w:rPr>
                <w:rFonts w:ascii="宋体" w:eastAsia="宋体" w:hint="eastAsia"/>
                <w:sz w:val="18"/>
              </w:rPr>
            </w:pPr>
            <w:r>
              <w:rPr>
                <w:rFonts w:ascii="宋体" w:eastAsia="宋体" w:hint="eastAsia"/>
                <w:sz w:val="18"/>
              </w:rPr>
              <w:t>设立</w:t>
            </w:r>
          </w:p>
        </w:tc>
      </w:tr>
      <w:tr>
        <w:trPr>
          <w:trHeight w:val="701" w:hRule="atLeast"/>
        </w:trPr>
        <w:tc>
          <w:tcPr>
            <w:tcW w:w="1964" w:type="dxa"/>
            <w:tcBorders>
              <w:top w:val="single" w:sz="4" w:space="0" w:color="000000"/>
              <w:bottom w:val="single" w:sz="4" w:space="0" w:color="000000"/>
              <w:right w:val="single" w:sz="4" w:space="0" w:color="000000"/>
            </w:tcBorders>
          </w:tcPr>
          <w:p>
            <w:pPr>
              <w:pStyle w:val="TableParagraph"/>
              <w:spacing w:line="242" w:lineRule="auto" w:before="117"/>
              <w:ind w:left="104" w:right="217"/>
              <w:rPr>
                <w:rFonts w:ascii="宋体" w:eastAsia="宋体" w:hint="eastAsia"/>
                <w:sz w:val="18"/>
              </w:rPr>
            </w:pPr>
            <w:r>
              <w:rPr>
                <w:rFonts w:ascii="宋体" w:eastAsia="宋体" w:hint="eastAsia"/>
                <w:sz w:val="18"/>
              </w:rPr>
              <w:t>武汉海尔电冰柜有限公司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2"/>
              <w:ind w:left="143" w:right="118"/>
              <w:jc w:val="center"/>
              <w:rPr>
                <w:rFonts w:ascii="宋体" w:eastAsia="宋体" w:hint="eastAsia"/>
                <w:sz w:val="18"/>
              </w:rPr>
            </w:pPr>
            <w:r>
              <w:rPr>
                <w:rFonts w:ascii="宋体" w:eastAsia="宋体" w:hint="eastAsia"/>
                <w:sz w:val="18"/>
              </w:rPr>
              <w:t>武汉经济开发区高科园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2"/>
              <w:ind w:left="140" w:right="119"/>
              <w:jc w:val="center"/>
              <w:rPr>
                <w:rFonts w:ascii="宋体" w:eastAsia="宋体" w:hint="eastAsia"/>
                <w:sz w:val="18"/>
              </w:rPr>
            </w:pPr>
            <w:r>
              <w:rPr>
                <w:rFonts w:ascii="宋体" w:eastAsia="宋体" w:hint="eastAsia"/>
                <w:sz w:val="18"/>
              </w:rPr>
              <w:t>武汉经济开发区高科园</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2"/>
              <w:ind w:left="115" w:right="173"/>
              <w:jc w:val="both"/>
              <w:rPr>
                <w:rFonts w:ascii="宋体" w:eastAsia="宋体" w:hint="eastAsia"/>
                <w:sz w:val="18"/>
              </w:rPr>
            </w:pPr>
            <w:r>
              <w:rPr>
                <w:rFonts w:ascii="宋体" w:eastAsia="宋体" w:hint="eastAsia"/>
                <w:sz w:val="18"/>
              </w:rPr>
              <w:t>电冰柜及其他制冷产品研制生产销售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1"/>
              </w:rPr>
            </w:pPr>
          </w:p>
          <w:p>
            <w:pPr>
              <w:pStyle w:val="TableParagraph"/>
              <w:ind w:right="88"/>
              <w:jc w:val="right"/>
              <w:rPr>
                <w:sz w:val="18"/>
              </w:rPr>
            </w:pPr>
            <w:r>
              <w:rPr>
                <w:sz w:val="18"/>
              </w:rPr>
              <w:t>95.00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rPr>
                <w:sz w:val="21"/>
              </w:rPr>
            </w:pPr>
          </w:p>
          <w:p>
            <w:pPr>
              <w:pStyle w:val="TableParagraph"/>
              <w:ind w:right="91"/>
              <w:jc w:val="right"/>
              <w:rPr>
                <w:sz w:val="18"/>
              </w:rPr>
            </w:pPr>
            <w:r>
              <w:rPr>
                <w:sz w:val="18"/>
              </w:rPr>
              <w:t>5.00</w:t>
            </w:r>
          </w:p>
        </w:tc>
        <w:tc>
          <w:tcPr>
            <w:tcW w:w="934" w:type="dxa"/>
            <w:tcBorders>
              <w:top w:val="single" w:sz="4" w:space="0" w:color="000000"/>
              <w:left w:val="single" w:sz="4" w:space="0" w:color="000000"/>
              <w:bottom w:val="single" w:sz="4" w:space="0" w:color="000000"/>
            </w:tcBorders>
          </w:tcPr>
          <w:p>
            <w:pPr>
              <w:pStyle w:val="TableParagraph"/>
              <w:spacing w:before="5"/>
              <w:rPr>
                <w:sz w:val="20"/>
              </w:rPr>
            </w:pPr>
          </w:p>
          <w:p>
            <w:pPr>
              <w:pStyle w:val="TableParagraph"/>
              <w:ind w:left="111"/>
              <w:rPr>
                <w:rFonts w:ascii="宋体" w:eastAsia="宋体" w:hint="eastAsia"/>
                <w:sz w:val="18"/>
              </w:rPr>
            </w:pPr>
            <w:r>
              <w:rPr>
                <w:rFonts w:ascii="宋体" w:eastAsia="宋体" w:hint="eastAsia"/>
                <w:sz w:val="18"/>
              </w:rPr>
              <w:t>设立</w:t>
            </w:r>
          </w:p>
        </w:tc>
      </w:tr>
      <w:tr>
        <w:trPr>
          <w:trHeight w:val="700" w:hRule="atLeast"/>
        </w:trPr>
        <w:tc>
          <w:tcPr>
            <w:tcW w:w="1964" w:type="dxa"/>
            <w:tcBorders>
              <w:top w:val="single" w:sz="4" w:space="0" w:color="000000"/>
              <w:bottom w:val="single" w:sz="4" w:space="0" w:color="000000"/>
              <w:right w:val="single" w:sz="4" w:space="0" w:color="000000"/>
            </w:tcBorders>
          </w:tcPr>
          <w:p>
            <w:pPr>
              <w:pStyle w:val="TableParagraph"/>
              <w:spacing w:line="242" w:lineRule="auto" w:before="117"/>
              <w:ind w:left="104" w:right="217"/>
              <w:rPr>
                <w:rFonts w:ascii="宋体" w:eastAsia="宋体" w:hint="eastAsia"/>
                <w:sz w:val="18"/>
              </w:rPr>
            </w:pPr>
            <w:r>
              <w:rPr>
                <w:rFonts w:ascii="宋体" w:eastAsia="宋体" w:hint="eastAsia"/>
                <w:sz w:val="18"/>
              </w:rPr>
              <w:t>青岛海达瑞采购服务有限公司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17"/>
              <w:ind w:left="414" w:right="118" w:hanging="272"/>
              <w:rPr>
                <w:rFonts w:ascii="宋体" w:eastAsia="宋体" w:hint="eastAsia"/>
                <w:sz w:val="18"/>
              </w:rPr>
            </w:pPr>
            <w:r>
              <w:rPr>
                <w:rFonts w:ascii="宋体" w:eastAsia="宋体" w:hint="eastAsia"/>
                <w:sz w:val="18"/>
              </w:rPr>
              <w:t>青岛高科园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17"/>
              <w:ind w:left="411" w:right="119" w:hanging="272"/>
              <w:rPr>
                <w:rFonts w:ascii="宋体" w:eastAsia="宋体" w:hint="eastAsia"/>
                <w:sz w:val="18"/>
              </w:rPr>
            </w:pPr>
            <w:r>
              <w:rPr>
                <w:rFonts w:ascii="宋体" w:eastAsia="宋体" w:hint="eastAsia"/>
                <w:sz w:val="18"/>
              </w:rPr>
              <w:t>青岛高科园</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5"/>
              <w:rPr>
                <w:rFonts w:ascii="宋体" w:eastAsia="宋体" w:hint="eastAsia"/>
                <w:sz w:val="18"/>
              </w:rPr>
            </w:pPr>
            <w:r>
              <w:rPr>
                <w:rFonts w:ascii="宋体" w:eastAsia="宋体" w:hint="eastAsia"/>
                <w:sz w:val="18"/>
              </w:rPr>
              <w:t>开发、采购、销</w:t>
            </w:r>
          </w:p>
          <w:p>
            <w:pPr>
              <w:pStyle w:val="TableParagraph"/>
              <w:spacing w:line="230" w:lineRule="atLeast" w:before="4"/>
              <w:ind w:left="115" w:right="173"/>
              <w:rPr>
                <w:rFonts w:ascii="宋体" w:eastAsia="宋体" w:hint="eastAsia"/>
                <w:sz w:val="18"/>
              </w:rPr>
            </w:pPr>
            <w:r>
              <w:rPr>
                <w:rFonts w:ascii="宋体" w:eastAsia="宋体" w:hint="eastAsia"/>
                <w:sz w:val="18"/>
              </w:rPr>
              <w:t>售电器产品及部件</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1"/>
              </w:rPr>
            </w:pPr>
          </w:p>
          <w:p>
            <w:pPr>
              <w:pStyle w:val="TableParagraph"/>
              <w:ind w:right="88"/>
              <w:jc w:val="right"/>
              <w:rPr>
                <w:sz w:val="18"/>
              </w:rPr>
            </w:pPr>
            <w:r>
              <w:rPr>
                <w:sz w:val="18"/>
              </w:rPr>
              <w:t>98.00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rPr>
                <w:sz w:val="21"/>
              </w:rPr>
            </w:pPr>
          </w:p>
          <w:p>
            <w:pPr>
              <w:pStyle w:val="TableParagraph"/>
              <w:ind w:right="91"/>
              <w:jc w:val="right"/>
              <w:rPr>
                <w:sz w:val="18"/>
              </w:rPr>
            </w:pPr>
            <w:r>
              <w:rPr>
                <w:sz w:val="18"/>
              </w:rPr>
              <w:t>2.00</w:t>
            </w:r>
          </w:p>
        </w:tc>
        <w:tc>
          <w:tcPr>
            <w:tcW w:w="934" w:type="dxa"/>
            <w:tcBorders>
              <w:top w:val="single" w:sz="4" w:space="0" w:color="000000"/>
              <w:left w:val="single" w:sz="4" w:space="0" w:color="000000"/>
              <w:bottom w:val="single" w:sz="4" w:space="0" w:color="000000"/>
            </w:tcBorders>
          </w:tcPr>
          <w:p>
            <w:pPr>
              <w:pStyle w:val="TableParagraph"/>
              <w:spacing w:before="5"/>
              <w:rPr>
                <w:sz w:val="20"/>
              </w:rPr>
            </w:pPr>
          </w:p>
          <w:p>
            <w:pPr>
              <w:pStyle w:val="TableParagraph"/>
              <w:ind w:left="111"/>
              <w:rPr>
                <w:rFonts w:ascii="宋体" w:eastAsia="宋体" w:hint="eastAsia"/>
                <w:sz w:val="18"/>
              </w:rPr>
            </w:pPr>
            <w:r>
              <w:rPr>
                <w:rFonts w:ascii="宋体" w:eastAsia="宋体" w:hint="eastAsia"/>
                <w:sz w:val="18"/>
              </w:rPr>
              <w:t>设立</w:t>
            </w:r>
          </w:p>
        </w:tc>
      </w:tr>
      <w:tr>
        <w:trPr>
          <w:trHeight w:val="933" w:hRule="atLeast"/>
        </w:trPr>
        <w:tc>
          <w:tcPr>
            <w:tcW w:w="1964" w:type="dxa"/>
            <w:tcBorders>
              <w:top w:val="single" w:sz="4" w:space="0" w:color="000000"/>
              <w:bottom w:val="single" w:sz="4" w:space="0" w:color="000000"/>
              <w:right w:val="single" w:sz="4" w:space="0" w:color="000000"/>
            </w:tcBorders>
          </w:tcPr>
          <w:p>
            <w:pPr>
              <w:pStyle w:val="TableParagraph"/>
              <w:spacing w:before="5"/>
              <w:rPr>
                <w:sz w:val="20"/>
              </w:rPr>
            </w:pPr>
          </w:p>
          <w:p>
            <w:pPr>
              <w:pStyle w:val="TableParagraph"/>
              <w:spacing w:line="242" w:lineRule="auto"/>
              <w:ind w:left="104" w:right="217"/>
              <w:rPr>
                <w:rFonts w:ascii="宋体" w:eastAsia="宋体" w:hint="eastAsia"/>
                <w:sz w:val="18"/>
              </w:rPr>
            </w:pPr>
            <w:r>
              <w:rPr>
                <w:rFonts w:ascii="宋体" w:eastAsia="宋体" w:hint="eastAsia"/>
                <w:sz w:val="18"/>
              </w:rPr>
              <w:t>青岛海尔智能家电科技有限公司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5"/>
              <w:rPr>
                <w:sz w:val="20"/>
              </w:rPr>
            </w:pPr>
          </w:p>
          <w:p>
            <w:pPr>
              <w:pStyle w:val="TableParagraph"/>
              <w:spacing w:line="242" w:lineRule="auto"/>
              <w:ind w:left="414" w:right="118" w:hanging="272"/>
              <w:rPr>
                <w:rFonts w:ascii="宋体" w:eastAsia="宋体" w:hint="eastAsia"/>
                <w:sz w:val="18"/>
              </w:rPr>
            </w:pPr>
            <w:r>
              <w:rPr>
                <w:rFonts w:ascii="宋体" w:eastAsia="宋体" w:hint="eastAsia"/>
                <w:sz w:val="18"/>
              </w:rPr>
              <w:t>青岛高科园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5"/>
              <w:rPr>
                <w:sz w:val="20"/>
              </w:rPr>
            </w:pPr>
          </w:p>
          <w:p>
            <w:pPr>
              <w:pStyle w:val="TableParagraph"/>
              <w:spacing w:line="242" w:lineRule="auto"/>
              <w:ind w:left="411" w:right="119" w:hanging="272"/>
              <w:rPr>
                <w:rFonts w:ascii="宋体" w:eastAsia="宋体" w:hint="eastAsia"/>
                <w:sz w:val="18"/>
              </w:rPr>
            </w:pPr>
            <w:r>
              <w:rPr>
                <w:rFonts w:ascii="宋体" w:eastAsia="宋体" w:hint="eastAsia"/>
                <w:sz w:val="18"/>
              </w:rPr>
              <w:t>青岛高科园</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ind w:left="115" w:right="173"/>
              <w:jc w:val="both"/>
              <w:rPr>
                <w:rFonts w:ascii="宋体" w:eastAsia="宋体" w:hint="eastAsia"/>
                <w:sz w:val="18"/>
              </w:rPr>
            </w:pPr>
            <w:r>
              <w:rPr>
                <w:rFonts w:ascii="宋体" w:eastAsia="宋体" w:hint="eastAsia"/>
                <w:sz w:val="18"/>
              </w:rPr>
              <w:t>家电、通讯、电子产品、网络工程技术开发与应</w:t>
            </w:r>
          </w:p>
          <w:p>
            <w:pPr>
              <w:pStyle w:val="TableParagraph"/>
              <w:spacing w:line="213" w:lineRule="exact" w:before="2"/>
              <w:ind w:left="115"/>
              <w:rPr>
                <w:rFonts w:ascii="宋体" w:eastAsia="宋体" w:hint="eastAsia"/>
                <w:sz w:val="18"/>
              </w:rPr>
            </w:pPr>
            <w:r>
              <w:rPr>
                <w:rFonts w:ascii="宋体" w:eastAsia="宋体" w:hint="eastAsia"/>
                <w:sz w:val="18"/>
              </w:rPr>
              <w:t>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p>
            <w:pPr>
              <w:pStyle w:val="TableParagraph"/>
              <w:spacing w:before="129"/>
              <w:ind w:right="88"/>
              <w:jc w:val="right"/>
              <w:rPr>
                <w:sz w:val="18"/>
              </w:rPr>
            </w:pPr>
            <w:r>
              <w:rPr>
                <w:sz w:val="18"/>
              </w:rPr>
              <w:t>98.91</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rPr>
                <w:sz w:val="20"/>
              </w:rPr>
            </w:pPr>
          </w:p>
          <w:p>
            <w:pPr>
              <w:pStyle w:val="TableParagraph"/>
              <w:spacing w:before="129"/>
              <w:ind w:right="91"/>
              <w:jc w:val="right"/>
              <w:rPr>
                <w:sz w:val="18"/>
              </w:rPr>
            </w:pPr>
            <w:r>
              <w:rPr>
                <w:sz w:val="18"/>
              </w:rPr>
              <w:t>1.09</w:t>
            </w:r>
          </w:p>
        </w:tc>
        <w:tc>
          <w:tcPr>
            <w:tcW w:w="934" w:type="dxa"/>
            <w:tcBorders>
              <w:top w:val="single" w:sz="4" w:space="0" w:color="000000"/>
              <w:left w:val="single" w:sz="4" w:space="0" w:color="000000"/>
              <w:bottom w:val="single" w:sz="4" w:space="0" w:color="000000"/>
            </w:tcBorders>
          </w:tcPr>
          <w:p>
            <w:pPr>
              <w:pStyle w:val="TableParagraph"/>
              <w:rPr>
                <w:sz w:val="18"/>
              </w:rPr>
            </w:pPr>
          </w:p>
          <w:p>
            <w:pPr>
              <w:pStyle w:val="TableParagraph"/>
              <w:spacing w:before="143"/>
              <w:ind w:left="111"/>
              <w:rPr>
                <w:rFonts w:ascii="宋体" w:eastAsia="宋体" w:hint="eastAsia"/>
                <w:sz w:val="18"/>
              </w:rPr>
            </w:pPr>
            <w:r>
              <w:rPr>
                <w:rFonts w:ascii="宋体" w:eastAsia="宋体" w:hint="eastAsia"/>
                <w:sz w:val="18"/>
              </w:rPr>
              <w:t>设立</w:t>
            </w:r>
          </w:p>
        </w:tc>
      </w:tr>
      <w:tr>
        <w:trPr>
          <w:trHeight w:val="467" w:hRule="atLeast"/>
        </w:trPr>
        <w:tc>
          <w:tcPr>
            <w:tcW w:w="1964" w:type="dxa"/>
            <w:tcBorders>
              <w:top w:val="single" w:sz="4" w:space="0" w:color="000000"/>
              <w:bottom w:val="single" w:sz="4" w:space="0" w:color="000000"/>
              <w:right w:val="single" w:sz="4" w:space="0" w:color="000000"/>
            </w:tcBorders>
          </w:tcPr>
          <w:p>
            <w:pPr>
              <w:pStyle w:val="TableParagraph"/>
              <w:spacing w:line="230" w:lineRule="atLeast" w:before="2"/>
              <w:ind w:left="104" w:right="217"/>
              <w:rPr>
                <w:rFonts w:ascii="宋体" w:eastAsia="宋体" w:hint="eastAsia"/>
                <w:sz w:val="18"/>
              </w:rPr>
            </w:pPr>
            <w:r>
              <w:rPr>
                <w:rFonts w:ascii="宋体" w:eastAsia="宋体" w:hint="eastAsia"/>
                <w:sz w:val="18"/>
              </w:rPr>
              <w:t>重庆海尔空调器有限公司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2"/>
              <w:ind w:left="323" w:right="118" w:hanging="180"/>
              <w:rPr>
                <w:rFonts w:ascii="宋体" w:eastAsia="宋体" w:hint="eastAsia"/>
                <w:sz w:val="18"/>
              </w:rPr>
            </w:pPr>
            <w:r>
              <w:rPr>
                <w:rFonts w:ascii="宋体" w:eastAsia="宋体" w:hint="eastAsia"/>
                <w:sz w:val="18"/>
              </w:rPr>
              <w:t>重庆市江北区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2"/>
              <w:ind w:left="320" w:right="119" w:hanging="180"/>
              <w:rPr>
                <w:rFonts w:ascii="宋体" w:eastAsia="宋体" w:hint="eastAsia"/>
                <w:sz w:val="18"/>
              </w:rPr>
            </w:pPr>
            <w:r>
              <w:rPr>
                <w:rFonts w:ascii="宋体" w:eastAsia="宋体" w:hint="eastAsia"/>
                <w:sz w:val="18"/>
              </w:rPr>
              <w:t>重庆市江北区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2"/>
              <w:ind w:left="115" w:right="173"/>
              <w:rPr>
                <w:rFonts w:ascii="宋体" w:eastAsia="宋体" w:hint="eastAsia"/>
                <w:sz w:val="18"/>
              </w:rPr>
            </w:pPr>
            <w:r>
              <w:rPr>
                <w:rFonts w:ascii="宋体" w:eastAsia="宋体" w:hint="eastAsia"/>
                <w:sz w:val="18"/>
              </w:rPr>
              <w:t>空调器等的制造与销售。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27"/>
              <w:ind w:right="88"/>
              <w:jc w:val="right"/>
              <w:rPr>
                <w:sz w:val="18"/>
              </w:rPr>
            </w:pPr>
            <w:r>
              <w:rPr>
                <w:sz w:val="18"/>
              </w:rPr>
              <w:t>76.92</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27"/>
              <w:ind w:right="91"/>
              <w:jc w:val="right"/>
              <w:rPr>
                <w:sz w:val="18"/>
              </w:rPr>
            </w:pPr>
            <w:r>
              <w:rPr>
                <w:sz w:val="18"/>
              </w:rPr>
              <w:t>23.08</w:t>
            </w:r>
          </w:p>
        </w:tc>
        <w:tc>
          <w:tcPr>
            <w:tcW w:w="934" w:type="dxa"/>
            <w:tcBorders>
              <w:top w:val="single" w:sz="4" w:space="0" w:color="000000"/>
              <w:left w:val="single" w:sz="4" w:space="0" w:color="000000"/>
              <w:bottom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r>
        <w:trPr>
          <w:trHeight w:val="699" w:hRule="atLeast"/>
        </w:trPr>
        <w:tc>
          <w:tcPr>
            <w:tcW w:w="1964" w:type="dxa"/>
            <w:tcBorders>
              <w:top w:val="single" w:sz="4" w:space="0" w:color="000000"/>
              <w:right w:val="single" w:sz="4" w:space="0" w:color="000000"/>
            </w:tcBorders>
          </w:tcPr>
          <w:p>
            <w:pPr>
              <w:pStyle w:val="TableParagraph"/>
              <w:spacing w:line="242" w:lineRule="auto" w:before="117"/>
              <w:ind w:left="104" w:right="217"/>
              <w:rPr>
                <w:rFonts w:ascii="宋体" w:eastAsia="宋体" w:hint="eastAsia"/>
                <w:sz w:val="18"/>
              </w:rPr>
            </w:pPr>
            <w:r>
              <w:rPr>
                <w:rFonts w:ascii="宋体" w:eastAsia="宋体" w:hint="eastAsia"/>
                <w:sz w:val="18"/>
              </w:rPr>
              <w:t>青岛海尔精密制品有限公司</w:t>
            </w:r>
          </w:p>
        </w:tc>
        <w:tc>
          <w:tcPr>
            <w:tcW w:w="994" w:type="dxa"/>
            <w:tcBorders>
              <w:top w:val="single" w:sz="4" w:space="0" w:color="000000"/>
              <w:left w:val="single" w:sz="4" w:space="0" w:color="000000"/>
              <w:right w:val="single" w:sz="4" w:space="0" w:color="000000"/>
            </w:tcBorders>
          </w:tcPr>
          <w:p>
            <w:pPr>
              <w:pStyle w:val="TableParagraph"/>
              <w:spacing w:line="242" w:lineRule="auto" w:before="117"/>
              <w:ind w:left="234" w:right="118" w:hanging="92"/>
              <w:rPr>
                <w:rFonts w:ascii="宋体" w:eastAsia="宋体" w:hint="eastAsia"/>
                <w:sz w:val="18"/>
              </w:rPr>
            </w:pPr>
            <w:r>
              <w:rPr>
                <w:rFonts w:ascii="宋体" w:eastAsia="宋体" w:hint="eastAsia"/>
                <w:sz w:val="18"/>
              </w:rPr>
              <w:t>胶南市前湾港路</w:t>
            </w:r>
          </w:p>
        </w:tc>
        <w:tc>
          <w:tcPr>
            <w:tcW w:w="992" w:type="dxa"/>
            <w:tcBorders>
              <w:top w:val="single" w:sz="4" w:space="0" w:color="000000"/>
              <w:left w:val="single" w:sz="4" w:space="0" w:color="000000"/>
              <w:right w:val="single" w:sz="4" w:space="0" w:color="000000"/>
            </w:tcBorders>
          </w:tcPr>
          <w:p>
            <w:pPr>
              <w:pStyle w:val="TableParagraph"/>
              <w:spacing w:line="242" w:lineRule="auto" w:before="117"/>
              <w:ind w:left="231" w:right="119" w:hanging="92"/>
              <w:rPr>
                <w:rFonts w:ascii="宋体" w:eastAsia="宋体" w:hint="eastAsia"/>
                <w:sz w:val="18"/>
              </w:rPr>
            </w:pPr>
            <w:r>
              <w:rPr>
                <w:rFonts w:ascii="宋体" w:eastAsia="宋体" w:hint="eastAsia"/>
                <w:sz w:val="18"/>
              </w:rPr>
              <w:t>胶南市前湾港路</w:t>
            </w:r>
          </w:p>
        </w:tc>
        <w:tc>
          <w:tcPr>
            <w:tcW w:w="1561" w:type="dxa"/>
            <w:tcBorders>
              <w:top w:val="single" w:sz="4" w:space="0" w:color="000000"/>
              <w:left w:val="single" w:sz="4" w:space="0" w:color="000000"/>
              <w:right w:val="single" w:sz="4" w:space="0" w:color="000000"/>
            </w:tcBorders>
          </w:tcPr>
          <w:p>
            <w:pPr>
              <w:pStyle w:val="TableParagraph"/>
              <w:spacing w:line="230" w:lineRule="exact"/>
              <w:ind w:left="115"/>
              <w:rPr>
                <w:rFonts w:ascii="宋体" w:eastAsia="宋体" w:hint="eastAsia"/>
                <w:sz w:val="18"/>
              </w:rPr>
            </w:pPr>
            <w:r>
              <w:rPr>
                <w:rFonts w:ascii="宋体" w:eastAsia="宋体" w:hint="eastAsia"/>
                <w:sz w:val="18"/>
              </w:rPr>
              <w:t>家电用精密塑</w:t>
            </w:r>
          </w:p>
          <w:p>
            <w:pPr>
              <w:pStyle w:val="TableParagraph"/>
              <w:spacing w:line="230" w:lineRule="atLeast" w:before="4"/>
              <w:ind w:left="115" w:right="-15"/>
              <w:rPr>
                <w:rFonts w:ascii="宋体" w:eastAsia="宋体" w:hint="eastAsia"/>
                <w:sz w:val="18"/>
              </w:rPr>
            </w:pPr>
            <w:r>
              <w:rPr>
                <w:rFonts w:ascii="宋体" w:eastAsia="宋体" w:hint="eastAsia"/>
                <w:spacing w:val="-3"/>
                <w:sz w:val="18"/>
              </w:rPr>
              <w:t>胶、钣金、模具、电子制品的开</w:t>
            </w:r>
          </w:p>
        </w:tc>
        <w:tc>
          <w:tcPr>
            <w:tcW w:w="992" w:type="dxa"/>
            <w:tcBorders>
              <w:top w:val="single" w:sz="4" w:space="0" w:color="000000"/>
              <w:left w:val="single" w:sz="4" w:space="0" w:color="000000"/>
              <w:right w:val="single" w:sz="4" w:space="0" w:color="000000"/>
            </w:tcBorders>
          </w:tcPr>
          <w:p>
            <w:pPr>
              <w:pStyle w:val="TableParagraph"/>
              <w:rPr>
                <w:sz w:val="20"/>
              </w:rPr>
            </w:pPr>
          </w:p>
          <w:p>
            <w:pPr>
              <w:pStyle w:val="TableParagraph"/>
              <w:ind w:right="1"/>
              <w:jc w:val="right"/>
              <w:rPr>
                <w:rFonts w:ascii="宋体"/>
                <w:sz w:val="18"/>
              </w:rPr>
            </w:pPr>
            <w:r>
              <w:rPr>
                <w:rFonts w:ascii="宋体"/>
                <w:sz w:val="18"/>
              </w:rPr>
              <w:t> </w:t>
            </w:r>
          </w:p>
        </w:tc>
        <w:tc>
          <w:tcPr>
            <w:tcW w:w="995" w:type="dxa"/>
            <w:tcBorders>
              <w:top w:val="single" w:sz="4" w:space="0" w:color="000000"/>
              <w:left w:val="single" w:sz="4" w:space="0" w:color="000000"/>
              <w:right w:val="single" w:sz="4" w:space="0" w:color="000000"/>
            </w:tcBorders>
          </w:tcPr>
          <w:p>
            <w:pPr>
              <w:pStyle w:val="TableParagraph"/>
              <w:rPr>
                <w:sz w:val="21"/>
              </w:rPr>
            </w:pPr>
          </w:p>
          <w:p>
            <w:pPr>
              <w:pStyle w:val="TableParagraph"/>
              <w:ind w:right="91"/>
              <w:jc w:val="right"/>
              <w:rPr>
                <w:sz w:val="18"/>
              </w:rPr>
            </w:pPr>
            <w:r>
              <w:rPr>
                <w:sz w:val="18"/>
              </w:rPr>
              <w:t>70.00</w:t>
            </w:r>
          </w:p>
        </w:tc>
        <w:tc>
          <w:tcPr>
            <w:tcW w:w="934" w:type="dxa"/>
            <w:tcBorders>
              <w:top w:val="single" w:sz="4" w:space="0" w:color="000000"/>
              <w:left w:val="single" w:sz="4" w:space="0" w:color="000000"/>
            </w:tcBorders>
          </w:tcPr>
          <w:p>
            <w:pPr>
              <w:pStyle w:val="TableParagraph"/>
              <w:spacing w:before="4"/>
              <w:rPr>
                <w:sz w:val="20"/>
              </w:rPr>
            </w:pPr>
          </w:p>
          <w:p>
            <w:pPr>
              <w:pStyle w:val="TableParagraph"/>
              <w:spacing w:before="1"/>
              <w:ind w:left="111"/>
              <w:rPr>
                <w:rFonts w:ascii="宋体" w:eastAsia="宋体" w:hint="eastAsia"/>
                <w:sz w:val="18"/>
              </w:rPr>
            </w:pPr>
            <w:r>
              <w:rPr>
                <w:rFonts w:ascii="宋体" w:eastAsia="宋体" w:hint="eastAsia"/>
                <w:sz w:val="18"/>
              </w:rPr>
              <w:t>设立</w:t>
            </w:r>
          </w:p>
        </w:tc>
      </w:tr>
    </w:tbl>
    <w:p>
      <w:pPr>
        <w:spacing w:after="0"/>
        <w:rPr>
          <w:rFonts w:ascii="宋体" w:eastAsia="宋体" w:hint="eastAsia"/>
          <w:sz w:val="18"/>
        </w:rPr>
        <w:sectPr>
          <w:pgSz w:w="11910" w:h="16840"/>
          <w:pgMar w:header="876" w:footer="1184" w:top="1440" w:bottom="1400" w:left="260" w:right="0"/>
        </w:sectPr>
      </w:pPr>
    </w:p>
    <w:p>
      <w:pPr>
        <w:pStyle w:val="BodyText"/>
        <w:spacing w:before="9"/>
        <w:rPr>
          <w:rFonts w:ascii="Times New Roman"/>
          <w:sz w:val="5"/>
        </w:rPr>
      </w:pPr>
    </w:p>
    <w:tbl>
      <w:tblPr>
        <w:tblW w:w="0" w:type="auto"/>
        <w:jc w:val="left"/>
        <w:tblInd w:w="175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64"/>
        <w:gridCol w:w="994"/>
        <w:gridCol w:w="992"/>
        <w:gridCol w:w="1561"/>
        <w:gridCol w:w="992"/>
        <w:gridCol w:w="995"/>
        <w:gridCol w:w="934"/>
      </w:tblGrid>
      <w:tr>
        <w:trPr>
          <w:trHeight w:val="371" w:hRule="atLeast"/>
        </w:trPr>
        <w:tc>
          <w:tcPr>
            <w:tcW w:w="1964" w:type="dxa"/>
            <w:tcBorders>
              <w:bottom w:val="single" w:sz="4" w:space="0" w:color="000000"/>
              <w:right w:val="single" w:sz="4" w:space="0" w:color="000000"/>
            </w:tcBorders>
          </w:tcPr>
          <w:p>
            <w:pPr>
              <w:pStyle w:val="TableParagraph"/>
              <w:rPr>
                <w:sz w:val="18"/>
              </w:rPr>
            </w:pPr>
          </w:p>
        </w:tc>
        <w:tc>
          <w:tcPr>
            <w:tcW w:w="994" w:type="dxa"/>
            <w:tcBorders>
              <w:left w:val="single" w:sz="4" w:space="0" w:color="000000"/>
              <w:bottom w:val="single" w:sz="4" w:space="0" w:color="000000"/>
              <w:right w:val="single" w:sz="4" w:space="0" w:color="000000"/>
            </w:tcBorders>
          </w:tcPr>
          <w:p>
            <w:pPr>
              <w:pStyle w:val="TableParagraph"/>
              <w:rPr>
                <w:sz w:val="18"/>
              </w:rPr>
            </w:pPr>
          </w:p>
        </w:tc>
        <w:tc>
          <w:tcPr>
            <w:tcW w:w="992" w:type="dxa"/>
            <w:tcBorders>
              <w:left w:val="single" w:sz="4" w:space="0" w:color="000000"/>
              <w:bottom w:val="single" w:sz="4" w:space="0" w:color="000000"/>
              <w:right w:val="single" w:sz="4" w:space="0" w:color="000000"/>
            </w:tcBorders>
          </w:tcPr>
          <w:p>
            <w:pPr>
              <w:pStyle w:val="TableParagraph"/>
              <w:rPr>
                <w:sz w:val="18"/>
              </w:rPr>
            </w:pPr>
          </w:p>
        </w:tc>
        <w:tc>
          <w:tcPr>
            <w:tcW w:w="1561" w:type="dxa"/>
            <w:tcBorders>
              <w:left w:val="single" w:sz="4" w:space="0" w:color="000000"/>
              <w:bottom w:val="single" w:sz="4" w:space="0" w:color="000000"/>
              <w:right w:val="single" w:sz="4" w:space="0" w:color="000000"/>
            </w:tcBorders>
          </w:tcPr>
          <w:p>
            <w:pPr>
              <w:pStyle w:val="TableParagraph"/>
              <w:spacing w:before="2"/>
              <w:ind w:left="115"/>
              <w:rPr>
                <w:rFonts w:ascii="宋体" w:eastAsia="宋体" w:hint="eastAsia"/>
                <w:sz w:val="18"/>
              </w:rPr>
            </w:pPr>
            <w:r>
              <w:rPr>
                <w:rFonts w:ascii="宋体" w:eastAsia="宋体" w:hint="eastAsia"/>
                <w:sz w:val="18"/>
              </w:rPr>
              <w:t>发、生产</w:t>
            </w:r>
          </w:p>
        </w:tc>
        <w:tc>
          <w:tcPr>
            <w:tcW w:w="992" w:type="dxa"/>
            <w:tcBorders>
              <w:left w:val="single" w:sz="4" w:space="0" w:color="000000"/>
              <w:bottom w:val="single" w:sz="4" w:space="0" w:color="000000"/>
              <w:right w:val="single" w:sz="4" w:space="0" w:color="000000"/>
            </w:tcBorders>
          </w:tcPr>
          <w:p>
            <w:pPr>
              <w:pStyle w:val="TableParagraph"/>
              <w:rPr>
                <w:sz w:val="18"/>
              </w:rPr>
            </w:pPr>
          </w:p>
        </w:tc>
        <w:tc>
          <w:tcPr>
            <w:tcW w:w="995" w:type="dxa"/>
            <w:tcBorders>
              <w:left w:val="single" w:sz="4" w:space="0" w:color="000000"/>
              <w:bottom w:val="single" w:sz="4" w:space="0" w:color="000000"/>
              <w:right w:val="single" w:sz="4" w:space="0" w:color="000000"/>
            </w:tcBorders>
          </w:tcPr>
          <w:p>
            <w:pPr>
              <w:pStyle w:val="TableParagraph"/>
              <w:rPr>
                <w:sz w:val="18"/>
              </w:rPr>
            </w:pPr>
          </w:p>
        </w:tc>
        <w:tc>
          <w:tcPr>
            <w:tcW w:w="934" w:type="dxa"/>
            <w:tcBorders>
              <w:left w:val="single" w:sz="4" w:space="0" w:color="000000"/>
              <w:bottom w:val="single" w:sz="4" w:space="0" w:color="000000"/>
            </w:tcBorders>
          </w:tcPr>
          <w:p>
            <w:pPr>
              <w:pStyle w:val="TableParagraph"/>
              <w:rPr>
                <w:sz w:val="18"/>
              </w:rPr>
            </w:pPr>
          </w:p>
        </w:tc>
      </w:tr>
      <w:tr>
        <w:trPr>
          <w:trHeight w:val="465" w:hRule="atLeast"/>
        </w:trPr>
        <w:tc>
          <w:tcPr>
            <w:tcW w:w="1964" w:type="dxa"/>
            <w:tcBorders>
              <w:top w:val="single" w:sz="4" w:space="0" w:color="000000"/>
              <w:bottom w:val="single" w:sz="4" w:space="0" w:color="000000"/>
              <w:right w:val="single" w:sz="4" w:space="0" w:color="000000"/>
            </w:tcBorders>
          </w:tcPr>
          <w:p>
            <w:pPr>
              <w:pStyle w:val="TableParagraph"/>
              <w:ind w:left="104"/>
              <w:rPr>
                <w:rFonts w:ascii="宋体" w:eastAsia="宋体" w:hint="eastAsia"/>
                <w:sz w:val="18"/>
              </w:rPr>
            </w:pPr>
            <w:r>
              <w:rPr>
                <w:rFonts w:ascii="宋体" w:eastAsia="宋体" w:hint="eastAsia"/>
                <w:sz w:val="18"/>
              </w:rPr>
              <w:t>青岛海尔空调制冷设</w:t>
            </w:r>
          </w:p>
          <w:p>
            <w:pPr>
              <w:pStyle w:val="TableParagraph"/>
              <w:spacing w:line="213" w:lineRule="exact" w:before="2"/>
              <w:ind w:left="104"/>
              <w:rPr>
                <w:rFonts w:ascii="宋体" w:eastAsia="宋体" w:hint="eastAsia"/>
                <w:sz w:val="18"/>
              </w:rPr>
            </w:pPr>
            <w:r>
              <w:rPr>
                <w:rFonts w:ascii="宋体" w:eastAsia="宋体" w:hint="eastAsia"/>
                <w:sz w:val="18"/>
              </w:rPr>
              <w:t>备有限公司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ind w:left="122" w:right="99"/>
              <w:jc w:val="center"/>
              <w:rPr>
                <w:rFonts w:ascii="宋体" w:eastAsia="宋体" w:hint="eastAsia"/>
                <w:sz w:val="18"/>
              </w:rPr>
            </w:pPr>
            <w:r>
              <w:rPr>
                <w:rFonts w:ascii="宋体" w:eastAsia="宋体" w:hint="eastAsia"/>
                <w:sz w:val="18"/>
              </w:rPr>
              <w:t>青岛胶南</w:t>
            </w:r>
          </w:p>
          <w:p>
            <w:pPr>
              <w:pStyle w:val="TableParagraph"/>
              <w:spacing w:line="213" w:lineRule="exact" w:before="2"/>
              <w:ind w:left="25"/>
              <w:jc w:val="center"/>
              <w:rPr>
                <w:rFonts w:ascii="宋体" w:eastAsia="宋体" w:hint="eastAsia"/>
                <w:sz w:val="18"/>
              </w:rPr>
            </w:pPr>
            <w:r>
              <w:rPr>
                <w:rFonts w:ascii="宋体" w:eastAsia="宋体" w:hint="eastAsia"/>
                <w:sz w:val="18"/>
              </w:rPr>
              <w:t>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ind w:left="99" w:right="80"/>
              <w:jc w:val="center"/>
              <w:rPr>
                <w:rFonts w:ascii="宋体" w:eastAsia="宋体" w:hint="eastAsia"/>
                <w:sz w:val="18"/>
              </w:rPr>
            </w:pPr>
            <w:r>
              <w:rPr>
                <w:rFonts w:ascii="宋体" w:eastAsia="宋体" w:hint="eastAsia"/>
                <w:sz w:val="18"/>
              </w:rPr>
              <w:t>青岛胶南</w:t>
            </w:r>
          </w:p>
          <w:p>
            <w:pPr>
              <w:pStyle w:val="TableParagraph"/>
              <w:spacing w:line="213" w:lineRule="exact" w:before="2"/>
              <w:ind w:left="21"/>
              <w:jc w:val="center"/>
              <w:rPr>
                <w:rFonts w:ascii="宋体" w:eastAsia="宋体" w:hint="eastAsia"/>
                <w:sz w:val="18"/>
              </w:rPr>
            </w:pPr>
            <w:r>
              <w:rPr>
                <w:rFonts w:ascii="宋体" w:eastAsia="宋体" w:hint="eastAsia"/>
                <w:sz w:val="18"/>
              </w:rPr>
              <w:t>市</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ind w:left="115"/>
              <w:rPr>
                <w:rFonts w:ascii="宋体" w:eastAsia="宋体" w:hint="eastAsia"/>
                <w:sz w:val="18"/>
              </w:rPr>
            </w:pPr>
            <w:r>
              <w:rPr>
                <w:rFonts w:ascii="宋体" w:eastAsia="宋体" w:hint="eastAsia"/>
                <w:sz w:val="18"/>
              </w:rPr>
              <w:t>家用电器、电子</w:t>
            </w:r>
          </w:p>
          <w:p>
            <w:pPr>
              <w:pStyle w:val="TableParagraph"/>
              <w:spacing w:line="213" w:lineRule="exact" w:before="2"/>
              <w:ind w:left="115"/>
              <w:rPr>
                <w:rFonts w:ascii="宋体" w:eastAsia="宋体" w:hint="eastAsia"/>
                <w:sz w:val="18"/>
              </w:rPr>
            </w:pPr>
            <w:r>
              <w:rPr>
                <w:rFonts w:ascii="宋体" w:eastAsia="宋体" w:hint="eastAsia"/>
                <w:sz w:val="18"/>
              </w:rPr>
              <w:t>产品的生产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2"/>
              <w:ind w:right="1"/>
              <w:jc w:val="right"/>
              <w:rPr>
                <w:rFonts w:ascii="宋体"/>
                <w:sz w:val="18"/>
              </w:rPr>
            </w:pPr>
            <w:r>
              <w:rPr>
                <w:rFonts w:ascii="宋体"/>
                <w:sz w:val="18"/>
              </w:rPr>
              <w:t> </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24"/>
              <w:ind w:left="395"/>
              <w:rPr>
                <w:sz w:val="18"/>
              </w:rPr>
            </w:pPr>
            <w:r>
              <w:rPr>
                <w:sz w:val="18"/>
              </w:rPr>
              <w:t>100.00</w:t>
            </w:r>
          </w:p>
        </w:tc>
        <w:tc>
          <w:tcPr>
            <w:tcW w:w="934" w:type="dxa"/>
            <w:tcBorders>
              <w:top w:val="single" w:sz="4" w:space="0" w:color="000000"/>
              <w:left w:val="single" w:sz="4" w:space="0" w:color="000000"/>
              <w:bottom w:val="single" w:sz="4" w:space="0" w:color="000000"/>
            </w:tcBorders>
          </w:tcPr>
          <w:p>
            <w:pPr>
              <w:pStyle w:val="TableParagraph"/>
              <w:spacing w:before="115"/>
              <w:ind w:left="111"/>
              <w:rPr>
                <w:rFonts w:ascii="宋体" w:eastAsia="宋体" w:hint="eastAsia"/>
                <w:sz w:val="18"/>
              </w:rPr>
            </w:pPr>
            <w:r>
              <w:rPr>
                <w:rFonts w:ascii="宋体" w:eastAsia="宋体" w:hint="eastAsia"/>
                <w:sz w:val="18"/>
              </w:rPr>
              <w:t>设立</w:t>
            </w:r>
          </w:p>
        </w:tc>
      </w:tr>
      <w:tr>
        <w:trPr>
          <w:trHeight w:val="467" w:hRule="atLeast"/>
        </w:trPr>
        <w:tc>
          <w:tcPr>
            <w:tcW w:w="1964" w:type="dxa"/>
            <w:tcBorders>
              <w:top w:val="single" w:sz="4" w:space="0" w:color="000000"/>
              <w:bottom w:val="single" w:sz="4" w:space="0" w:color="000000"/>
              <w:right w:val="single" w:sz="4" w:space="0" w:color="000000"/>
            </w:tcBorders>
          </w:tcPr>
          <w:p>
            <w:pPr>
              <w:pStyle w:val="TableParagraph"/>
              <w:spacing w:line="230" w:lineRule="atLeast" w:before="2"/>
              <w:ind w:left="104" w:right="217"/>
              <w:rPr>
                <w:rFonts w:ascii="宋体" w:eastAsia="宋体" w:hint="eastAsia"/>
                <w:sz w:val="18"/>
              </w:rPr>
            </w:pPr>
            <w:r>
              <w:rPr>
                <w:rFonts w:ascii="宋体" w:eastAsia="宋体" w:hint="eastAsia"/>
                <w:sz w:val="18"/>
              </w:rPr>
              <w:t>大连保税区海尔空调器贸易有限公司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2"/>
              <w:ind w:left="234" w:right="118" w:hanging="92"/>
              <w:rPr>
                <w:rFonts w:ascii="宋体" w:eastAsia="宋体" w:hint="eastAsia"/>
                <w:sz w:val="18"/>
              </w:rPr>
            </w:pPr>
            <w:r>
              <w:rPr>
                <w:rFonts w:ascii="宋体" w:eastAsia="宋体" w:hint="eastAsia"/>
                <w:sz w:val="18"/>
              </w:rPr>
              <w:t>大连出口加工区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2"/>
              <w:ind w:left="231" w:right="119" w:hanging="92"/>
              <w:rPr>
                <w:rFonts w:ascii="宋体" w:eastAsia="宋体" w:hint="eastAsia"/>
                <w:sz w:val="18"/>
              </w:rPr>
            </w:pPr>
            <w:r>
              <w:rPr>
                <w:rFonts w:ascii="宋体" w:eastAsia="宋体" w:hint="eastAsia"/>
                <w:sz w:val="18"/>
              </w:rPr>
              <w:t>大连出口加工区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117"/>
              <w:ind w:left="115"/>
              <w:rPr>
                <w:rFonts w:ascii="宋体" w:eastAsia="宋体" w:hint="eastAsia"/>
                <w:sz w:val="18"/>
              </w:rPr>
            </w:pPr>
            <w:r>
              <w:rPr>
                <w:rFonts w:ascii="宋体" w:eastAsia="宋体" w:hint="eastAsia"/>
                <w:sz w:val="18"/>
              </w:rPr>
              <w:t>国内贸易</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5"/>
              <w:ind w:right="1"/>
              <w:jc w:val="right"/>
              <w:rPr>
                <w:rFonts w:ascii="宋体"/>
                <w:sz w:val="18"/>
              </w:rPr>
            </w:pPr>
            <w:r>
              <w:rPr>
                <w:rFonts w:ascii="宋体"/>
                <w:sz w:val="18"/>
              </w:rPr>
              <w:t> </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27"/>
              <w:ind w:left="395"/>
              <w:rPr>
                <w:sz w:val="18"/>
              </w:rPr>
            </w:pPr>
            <w:r>
              <w:rPr>
                <w:sz w:val="18"/>
              </w:rPr>
              <w:t>100.00</w:t>
            </w:r>
          </w:p>
        </w:tc>
        <w:tc>
          <w:tcPr>
            <w:tcW w:w="934" w:type="dxa"/>
            <w:tcBorders>
              <w:top w:val="single" w:sz="4" w:space="0" w:color="000000"/>
              <w:left w:val="single" w:sz="4" w:space="0" w:color="000000"/>
              <w:bottom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r>
        <w:trPr>
          <w:trHeight w:val="467" w:hRule="atLeast"/>
        </w:trPr>
        <w:tc>
          <w:tcPr>
            <w:tcW w:w="1964" w:type="dxa"/>
            <w:tcBorders>
              <w:top w:val="single" w:sz="4" w:space="0" w:color="000000"/>
              <w:bottom w:val="single" w:sz="4" w:space="0" w:color="000000"/>
              <w:right w:val="single" w:sz="4" w:space="0" w:color="000000"/>
            </w:tcBorders>
          </w:tcPr>
          <w:p>
            <w:pPr>
              <w:pStyle w:val="TableParagraph"/>
              <w:ind w:left="104"/>
              <w:rPr>
                <w:rFonts w:ascii="宋体" w:eastAsia="宋体" w:hint="eastAsia"/>
                <w:sz w:val="18"/>
              </w:rPr>
            </w:pPr>
            <w:r>
              <w:rPr>
                <w:rFonts w:ascii="宋体" w:eastAsia="宋体" w:hint="eastAsia"/>
                <w:sz w:val="18"/>
              </w:rPr>
              <w:t>大连保税区海尔电冰</w:t>
            </w:r>
          </w:p>
          <w:p>
            <w:pPr>
              <w:pStyle w:val="TableParagraph"/>
              <w:spacing w:line="215" w:lineRule="exact" w:before="2"/>
              <w:ind w:left="104"/>
              <w:rPr>
                <w:rFonts w:ascii="宋体" w:eastAsia="宋体" w:hint="eastAsia"/>
                <w:sz w:val="18"/>
              </w:rPr>
            </w:pPr>
            <w:r>
              <w:rPr>
                <w:rFonts w:ascii="宋体" w:eastAsia="宋体" w:hint="eastAsia"/>
                <w:sz w:val="18"/>
              </w:rPr>
              <w:t>箱贸易有限公司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ind w:left="143"/>
              <w:rPr>
                <w:rFonts w:ascii="宋体" w:eastAsia="宋体" w:hint="eastAsia"/>
                <w:sz w:val="18"/>
              </w:rPr>
            </w:pPr>
            <w:r>
              <w:rPr>
                <w:rFonts w:ascii="宋体" w:eastAsia="宋体" w:hint="eastAsia"/>
                <w:sz w:val="18"/>
              </w:rPr>
              <w:t>大连出口</w:t>
            </w:r>
          </w:p>
          <w:p>
            <w:pPr>
              <w:pStyle w:val="TableParagraph"/>
              <w:spacing w:line="215" w:lineRule="exact" w:before="2"/>
              <w:ind w:left="234"/>
              <w:rPr>
                <w:rFonts w:ascii="宋体" w:eastAsia="宋体" w:hint="eastAsia"/>
                <w:sz w:val="18"/>
              </w:rPr>
            </w:pPr>
            <w:r>
              <w:rPr>
                <w:rFonts w:ascii="宋体" w:eastAsia="宋体" w:hint="eastAsia"/>
                <w:sz w:val="18"/>
              </w:rPr>
              <w:t>加工区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ind w:left="140"/>
              <w:rPr>
                <w:rFonts w:ascii="宋体" w:eastAsia="宋体" w:hint="eastAsia"/>
                <w:sz w:val="18"/>
              </w:rPr>
            </w:pPr>
            <w:r>
              <w:rPr>
                <w:rFonts w:ascii="宋体" w:eastAsia="宋体" w:hint="eastAsia"/>
                <w:sz w:val="18"/>
              </w:rPr>
              <w:t>大连出口</w:t>
            </w:r>
          </w:p>
          <w:p>
            <w:pPr>
              <w:pStyle w:val="TableParagraph"/>
              <w:spacing w:line="215" w:lineRule="exact" w:before="2"/>
              <w:ind w:left="231"/>
              <w:rPr>
                <w:rFonts w:ascii="宋体" w:eastAsia="宋体" w:hint="eastAsia"/>
                <w:sz w:val="18"/>
              </w:rPr>
            </w:pPr>
            <w:r>
              <w:rPr>
                <w:rFonts w:ascii="宋体" w:eastAsia="宋体" w:hint="eastAsia"/>
                <w:sz w:val="18"/>
              </w:rPr>
              <w:t>加工区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117"/>
              <w:ind w:left="115"/>
              <w:rPr>
                <w:rFonts w:ascii="宋体" w:eastAsia="宋体" w:hint="eastAsia"/>
                <w:sz w:val="18"/>
              </w:rPr>
            </w:pPr>
            <w:r>
              <w:rPr>
                <w:rFonts w:ascii="宋体" w:eastAsia="宋体" w:hint="eastAsia"/>
                <w:sz w:val="18"/>
              </w:rPr>
              <w:t>国内贸易</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2"/>
              <w:ind w:right="1"/>
              <w:jc w:val="right"/>
              <w:rPr>
                <w:rFonts w:ascii="宋体"/>
                <w:sz w:val="18"/>
              </w:rPr>
            </w:pPr>
            <w:r>
              <w:rPr>
                <w:rFonts w:ascii="宋体"/>
                <w:sz w:val="18"/>
              </w:rPr>
              <w:t> </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24"/>
              <w:ind w:left="395"/>
              <w:rPr>
                <w:sz w:val="18"/>
              </w:rPr>
            </w:pPr>
            <w:r>
              <w:rPr>
                <w:sz w:val="18"/>
              </w:rPr>
              <w:t>100.00</w:t>
            </w:r>
          </w:p>
        </w:tc>
        <w:tc>
          <w:tcPr>
            <w:tcW w:w="934" w:type="dxa"/>
            <w:tcBorders>
              <w:top w:val="single" w:sz="4" w:space="0" w:color="000000"/>
              <w:left w:val="single" w:sz="4" w:space="0" w:color="000000"/>
              <w:bottom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r>
        <w:trPr>
          <w:trHeight w:val="465" w:hRule="atLeast"/>
        </w:trPr>
        <w:tc>
          <w:tcPr>
            <w:tcW w:w="1964" w:type="dxa"/>
            <w:tcBorders>
              <w:top w:val="single" w:sz="4" w:space="0" w:color="000000"/>
              <w:bottom w:val="single" w:sz="4" w:space="0" w:color="000000"/>
              <w:right w:val="single" w:sz="4" w:space="0" w:color="000000"/>
            </w:tcBorders>
          </w:tcPr>
          <w:p>
            <w:pPr>
              <w:pStyle w:val="TableParagraph"/>
              <w:ind w:left="104"/>
              <w:rPr>
                <w:rFonts w:ascii="宋体" w:eastAsia="宋体" w:hint="eastAsia"/>
                <w:sz w:val="18"/>
              </w:rPr>
            </w:pPr>
            <w:r>
              <w:rPr>
                <w:rFonts w:ascii="宋体" w:eastAsia="宋体" w:hint="eastAsia"/>
                <w:sz w:val="18"/>
              </w:rPr>
              <w:t>重庆海尔家电销售有</w:t>
            </w:r>
          </w:p>
          <w:p>
            <w:pPr>
              <w:pStyle w:val="TableParagraph"/>
              <w:spacing w:line="213" w:lineRule="exact" w:before="2"/>
              <w:ind w:left="104"/>
              <w:rPr>
                <w:rFonts w:ascii="宋体" w:eastAsia="宋体" w:hint="eastAsia"/>
                <w:sz w:val="18"/>
              </w:rPr>
            </w:pPr>
            <w:r>
              <w:rPr>
                <w:rFonts w:ascii="宋体" w:eastAsia="宋体" w:hint="eastAsia"/>
                <w:sz w:val="18"/>
              </w:rPr>
              <w:t>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ind w:left="122" w:right="99"/>
              <w:jc w:val="center"/>
              <w:rPr>
                <w:rFonts w:ascii="宋体" w:eastAsia="宋体" w:hint="eastAsia"/>
                <w:sz w:val="18"/>
              </w:rPr>
            </w:pPr>
            <w:r>
              <w:rPr>
                <w:rFonts w:ascii="宋体" w:eastAsia="宋体" w:hint="eastAsia"/>
                <w:sz w:val="18"/>
              </w:rPr>
              <w:t>重庆市江</w:t>
            </w:r>
          </w:p>
          <w:p>
            <w:pPr>
              <w:pStyle w:val="TableParagraph"/>
              <w:spacing w:line="213" w:lineRule="exact" w:before="2"/>
              <w:ind w:left="141" w:right="118"/>
              <w:jc w:val="center"/>
              <w:rPr>
                <w:rFonts w:ascii="宋体" w:eastAsia="宋体" w:hint="eastAsia"/>
                <w:sz w:val="18"/>
              </w:rPr>
            </w:pPr>
            <w:r>
              <w:rPr>
                <w:rFonts w:ascii="宋体" w:eastAsia="宋体" w:hint="eastAsia"/>
                <w:sz w:val="18"/>
              </w:rPr>
              <w:t>北区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ind w:left="99" w:right="80"/>
              <w:jc w:val="center"/>
              <w:rPr>
                <w:rFonts w:ascii="宋体" w:eastAsia="宋体" w:hint="eastAsia"/>
                <w:sz w:val="18"/>
              </w:rPr>
            </w:pPr>
            <w:r>
              <w:rPr>
                <w:rFonts w:ascii="宋体" w:eastAsia="宋体" w:hint="eastAsia"/>
                <w:sz w:val="18"/>
              </w:rPr>
              <w:t>重庆市江</w:t>
            </w:r>
          </w:p>
          <w:p>
            <w:pPr>
              <w:pStyle w:val="TableParagraph"/>
              <w:spacing w:line="213" w:lineRule="exact" w:before="2"/>
              <w:ind w:left="99" w:right="80"/>
              <w:jc w:val="center"/>
              <w:rPr>
                <w:rFonts w:ascii="宋体" w:eastAsia="宋体" w:hint="eastAsia"/>
                <w:sz w:val="18"/>
              </w:rPr>
            </w:pPr>
            <w:r>
              <w:rPr>
                <w:rFonts w:ascii="宋体" w:eastAsia="宋体" w:hint="eastAsia"/>
                <w:sz w:val="18"/>
              </w:rPr>
              <w:t>北区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117"/>
              <w:ind w:left="115"/>
              <w:rPr>
                <w:rFonts w:ascii="宋体" w:eastAsia="宋体" w:hint="eastAsia"/>
                <w:sz w:val="18"/>
              </w:rPr>
            </w:pPr>
            <w:r>
              <w:rPr>
                <w:rFonts w:ascii="宋体" w:eastAsia="宋体" w:hint="eastAsia"/>
                <w:sz w:val="18"/>
              </w:rPr>
              <w:t>家电销售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24"/>
              <w:ind w:right="1"/>
              <w:jc w:val="right"/>
              <w:rPr>
                <w:rFonts w:ascii="宋体"/>
                <w:sz w:val="18"/>
              </w:rPr>
            </w:pPr>
            <w:r>
              <w:rPr>
                <w:sz w:val="18"/>
              </w:rPr>
              <w:t>95.00</w:t>
            </w:r>
            <w:r>
              <w:rPr>
                <w:rFonts w:ascii="宋体"/>
                <w:sz w:val="18"/>
              </w:rPr>
              <w:t> </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24"/>
              <w:ind w:right="2"/>
              <w:jc w:val="right"/>
              <w:rPr>
                <w:rFonts w:ascii="宋体"/>
                <w:sz w:val="18"/>
              </w:rPr>
            </w:pPr>
            <w:r>
              <w:rPr>
                <w:sz w:val="18"/>
              </w:rPr>
              <w:t>5.00</w:t>
            </w:r>
            <w:r>
              <w:rPr>
                <w:rFonts w:ascii="宋体"/>
                <w:sz w:val="18"/>
              </w:rPr>
              <w:t> </w:t>
            </w:r>
          </w:p>
        </w:tc>
        <w:tc>
          <w:tcPr>
            <w:tcW w:w="934" w:type="dxa"/>
            <w:tcBorders>
              <w:top w:val="single" w:sz="4" w:space="0" w:color="000000"/>
              <w:left w:val="single" w:sz="4" w:space="0" w:color="000000"/>
              <w:bottom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r>
        <w:trPr>
          <w:trHeight w:val="467" w:hRule="atLeast"/>
        </w:trPr>
        <w:tc>
          <w:tcPr>
            <w:tcW w:w="1964" w:type="dxa"/>
            <w:tcBorders>
              <w:top w:val="single" w:sz="4" w:space="0" w:color="000000"/>
              <w:bottom w:val="single" w:sz="4" w:space="0" w:color="000000"/>
              <w:right w:val="single" w:sz="4" w:space="0" w:color="000000"/>
            </w:tcBorders>
          </w:tcPr>
          <w:p>
            <w:pPr>
              <w:pStyle w:val="TableParagraph"/>
              <w:spacing w:line="230" w:lineRule="atLeast" w:before="2"/>
              <w:ind w:left="104" w:right="217"/>
              <w:rPr>
                <w:rFonts w:ascii="宋体" w:eastAsia="宋体" w:hint="eastAsia"/>
                <w:sz w:val="18"/>
              </w:rPr>
            </w:pPr>
            <w:r>
              <w:rPr>
                <w:rFonts w:ascii="宋体" w:eastAsia="宋体" w:hint="eastAsia"/>
                <w:sz w:val="18"/>
              </w:rPr>
              <w:t>重庆海尔制冷电器有限公司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2"/>
              <w:ind w:left="323" w:right="118" w:hanging="180"/>
              <w:rPr>
                <w:rFonts w:ascii="宋体" w:eastAsia="宋体" w:hint="eastAsia"/>
                <w:sz w:val="18"/>
              </w:rPr>
            </w:pPr>
            <w:r>
              <w:rPr>
                <w:rFonts w:ascii="宋体" w:eastAsia="宋体" w:hint="eastAsia"/>
                <w:sz w:val="18"/>
              </w:rPr>
              <w:t>重庆市江北区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2"/>
              <w:ind w:left="320" w:right="119" w:hanging="180"/>
              <w:rPr>
                <w:rFonts w:ascii="宋体" w:eastAsia="宋体" w:hint="eastAsia"/>
                <w:sz w:val="18"/>
              </w:rPr>
            </w:pPr>
            <w:r>
              <w:rPr>
                <w:rFonts w:ascii="宋体" w:eastAsia="宋体" w:hint="eastAsia"/>
                <w:sz w:val="18"/>
              </w:rPr>
              <w:t>重庆市江北区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117"/>
              <w:ind w:left="115"/>
              <w:rPr>
                <w:rFonts w:ascii="宋体" w:eastAsia="宋体" w:hint="eastAsia"/>
                <w:sz w:val="18"/>
              </w:rPr>
            </w:pPr>
            <w:r>
              <w:rPr>
                <w:rFonts w:ascii="宋体" w:eastAsia="宋体" w:hint="eastAsia"/>
                <w:sz w:val="18"/>
              </w:rPr>
              <w:t>电冰箱加工制造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27"/>
              <w:ind w:right="88"/>
              <w:jc w:val="right"/>
              <w:rPr>
                <w:sz w:val="18"/>
              </w:rPr>
            </w:pPr>
            <w:r>
              <w:rPr>
                <w:sz w:val="18"/>
              </w:rPr>
              <w:t>84.95</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27"/>
              <w:ind w:right="91"/>
              <w:jc w:val="right"/>
              <w:rPr>
                <w:sz w:val="18"/>
              </w:rPr>
            </w:pPr>
            <w:r>
              <w:rPr>
                <w:sz w:val="18"/>
              </w:rPr>
              <w:t>15.05</w:t>
            </w:r>
          </w:p>
        </w:tc>
        <w:tc>
          <w:tcPr>
            <w:tcW w:w="934" w:type="dxa"/>
            <w:tcBorders>
              <w:top w:val="single" w:sz="4" w:space="0" w:color="000000"/>
              <w:left w:val="single" w:sz="4" w:space="0" w:color="000000"/>
              <w:bottom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r>
        <w:trPr>
          <w:trHeight w:val="467" w:hRule="atLeast"/>
        </w:trPr>
        <w:tc>
          <w:tcPr>
            <w:tcW w:w="1964" w:type="dxa"/>
            <w:tcBorders>
              <w:top w:val="single" w:sz="4" w:space="0" w:color="000000"/>
              <w:bottom w:val="single" w:sz="4" w:space="0" w:color="000000"/>
              <w:right w:val="single" w:sz="4" w:space="0" w:color="000000"/>
            </w:tcBorders>
          </w:tcPr>
          <w:p>
            <w:pPr>
              <w:pStyle w:val="TableParagraph"/>
              <w:spacing w:line="230" w:lineRule="exact"/>
              <w:ind w:left="104"/>
              <w:rPr>
                <w:rFonts w:ascii="宋体" w:eastAsia="宋体" w:hint="eastAsia"/>
                <w:sz w:val="18"/>
              </w:rPr>
            </w:pPr>
            <w:r>
              <w:rPr>
                <w:rFonts w:ascii="宋体" w:eastAsia="宋体" w:hint="eastAsia"/>
                <w:sz w:val="18"/>
              </w:rPr>
              <w:t>合肥海尔电冰箱有限</w:t>
            </w:r>
          </w:p>
          <w:p>
            <w:pPr>
              <w:pStyle w:val="TableParagraph"/>
              <w:spacing w:line="213" w:lineRule="exact" w:before="4"/>
              <w:ind w:left="104"/>
              <w:rPr>
                <w:rFonts w:ascii="宋体" w:eastAsia="宋体" w:hint="eastAsia"/>
                <w:sz w:val="18"/>
              </w:rPr>
            </w:pPr>
            <w:r>
              <w:rPr>
                <w:rFonts w:ascii="宋体" w:eastAsia="宋体" w:hint="eastAsia"/>
                <w:sz w:val="18"/>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43"/>
              <w:rPr>
                <w:rFonts w:ascii="宋体" w:eastAsia="宋体" w:hint="eastAsia"/>
                <w:sz w:val="18"/>
              </w:rPr>
            </w:pPr>
            <w:r>
              <w:rPr>
                <w:rFonts w:ascii="宋体" w:eastAsia="宋体" w:hint="eastAsia"/>
                <w:sz w:val="18"/>
              </w:rPr>
              <w:t>合肥海尔</w:t>
            </w:r>
          </w:p>
          <w:p>
            <w:pPr>
              <w:pStyle w:val="TableParagraph"/>
              <w:spacing w:line="213" w:lineRule="exact" w:before="4"/>
              <w:ind w:left="234"/>
              <w:rPr>
                <w:rFonts w:ascii="宋体" w:eastAsia="宋体" w:hint="eastAsia"/>
                <w:sz w:val="18"/>
              </w:rPr>
            </w:pPr>
            <w:r>
              <w:rPr>
                <w:rFonts w:ascii="宋体" w:eastAsia="宋体" w:hint="eastAsia"/>
                <w:sz w:val="18"/>
              </w:rPr>
              <w:t>工业园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40"/>
              <w:rPr>
                <w:rFonts w:ascii="宋体" w:eastAsia="宋体" w:hint="eastAsia"/>
                <w:sz w:val="18"/>
              </w:rPr>
            </w:pPr>
            <w:r>
              <w:rPr>
                <w:rFonts w:ascii="宋体" w:eastAsia="宋体" w:hint="eastAsia"/>
                <w:sz w:val="18"/>
              </w:rPr>
              <w:t>合肥海尔</w:t>
            </w:r>
          </w:p>
          <w:p>
            <w:pPr>
              <w:pStyle w:val="TableParagraph"/>
              <w:spacing w:line="213" w:lineRule="exact" w:before="4"/>
              <w:ind w:left="231"/>
              <w:rPr>
                <w:rFonts w:ascii="宋体" w:eastAsia="宋体" w:hint="eastAsia"/>
                <w:sz w:val="18"/>
              </w:rPr>
            </w:pPr>
            <w:r>
              <w:rPr>
                <w:rFonts w:ascii="宋体" w:eastAsia="宋体" w:hint="eastAsia"/>
                <w:sz w:val="18"/>
              </w:rPr>
              <w:t>工业园</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117"/>
              <w:ind w:left="115"/>
              <w:rPr>
                <w:rFonts w:ascii="宋体" w:eastAsia="宋体" w:hint="eastAsia"/>
                <w:sz w:val="18"/>
              </w:rPr>
            </w:pPr>
            <w:r>
              <w:rPr>
                <w:rFonts w:ascii="宋体" w:eastAsia="宋体" w:hint="eastAsia"/>
                <w:sz w:val="18"/>
              </w:rPr>
              <w:t>电冰箱加工制造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24"/>
              <w:ind w:right="88"/>
              <w:jc w:val="right"/>
              <w:rPr>
                <w:sz w:val="18"/>
              </w:rPr>
            </w:pPr>
            <w:r>
              <w:rPr>
                <w:sz w:val="18"/>
              </w:rPr>
              <w:t>100.00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12"/>
              <w:ind w:right="2"/>
              <w:jc w:val="right"/>
              <w:rPr>
                <w:rFonts w:ascii="宋体"/>
                <w:sz w:val="18"/>
              </w:rPr>
            </w:pPr>
            <w:r>
              <w:rPr>
                <w:rFonts w:ascii="宋体"/>
                <w:sz w:val="18"/>
              </w:rPr>
              <w:t> </w:t>
            </w:r>
          </w:p>
        </w:tc>
        <w:tc>
          <w:tcPr>
            <w:tcW w:w="934" w:type="dxa"/>
            <w:tcBorders>
              <w:top w:val="single" w:sz="4" w:space="0" w:color="000000"/>
              <w:left w:val="single" w:sz="4" w:space="0" w:color="000000"/>
              <w:bottom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r>
        <w:trPr>
          <w:trHeight w:val="467" w:hRule="atLeast"/>
        </w:trPr>
        <w:tc>
          <w:tcPr>
            <w:tcW w:w="1964" w:type="dxa"/>
            <w:tcBorders>
              <w:top w:val="single" w:sz="4" w:space="0" w:color="000000"/>
              <w:bottom w:val="single" w:sz="4" w:space="0" w:color="000000"/>
              <w:right w:val="single" w:sz="4" w:space="0" w:color="000000"/>
            </w:tcBorders>
          </w:tcPr>
          <w:p>
            <w:pPr>
              <w:pStyle w:val="TableParagraph"/>
              <w:spacing w:line="230" w:lineRule="exact"/>
              <w:ind w:left="104"/>
              <w:rPr>
                <w:rFonts w:ascii="宋体" w:eastAsia="宋体" w:hint="eastAsia"/>
                <w:sz w:val="18"/>
              </w:rPr>
            </w:pPr>
            <w:r>
              <w:rPr>
                <w:rFonts w:ascii="宋体" w:eastAsia="宋体" w:hint="eastAsia"/>
                <w:sz w:val="18"/>
              </w:rPr>
              <w:t>武汉海尔能源动力有</w:t>
            </w:r>
          </w:p>
          <w:p>
            <w:pPr>
              <w:pStyle w:val="TableParagraph"/>
              <w:spacing w:line="215" w:lineRule="exact" w:before="2"/>
              <w:ind w:left="104"/>
              <w:rPr>
                <w:rFonts w:ascii="宋体" w:eastAsia="宋体" w:hint="eastAsia"/>
                <w:sz w:val="18"/>
              </w:rPr>
            </w:pPr>
            <w:r>
              <w:rPr>
                <w:rFonts w:ascii="宋体" w:eastAsia="宋体" w:hint="eastAsia"/>
                <w:sz w:val="18"/>
              </w:rPr>
              <w:t>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43"/>
              <w:rPr>
                <w:rFonts w:ascii="宋体" w:eastAsia="宋体" w:hint="eastAsia"/>
                <w:sz w:val="18"/>
              </w:rPr>
            </w:pPr>
            <w:r>
              <w:rPr>
                <w:rFonts w:ascii="宋体" w:eastAsia="宋体" w:hint="eastAsia"/>
                <w:sz w:val="18"/>
              </w:rPr>
              <w:t>武汉海尔</w:t>
            </w:r>
          </w:p>
          <w:p>
            <w:pPr>
              <w:pStyle w:val="TableParagraph"/>
              <w:spacing w:line="215" w:lineRule="exact" w:before="2"/>
              <w:ind w:left="234"/>
              <w:rPr>
                <w:rFonts w:ascii="宋体" w:eastAsia="宋体" w:hint="eastAsia"/>
                <w:sz w:val="18"/>
              </w:rPr>
            </w:pPr>
            <w:r>
              <w:rPr>
                <w:rFonts w:ascii="宋体" w:eastAsia="宋体" w:hint="eastAsia"/>
                <w:sz w:val="18"/>
              </w:rPr>
              <w:t>工业园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40"/>
              <w:rPr>
                <w:rFonts w:ascii="宋体" w:eastAsia="宋体" w:hint="eastAsia"/>
                <w:sz w:val="18"/>
              </w:rPr>
            </w:pPr>
            <w:r>
              <w:rPr>
                <w:rFonts w:ascii="宋体" w:eastAsia="宋体" w:hint="eastAsia"/>
                <w:sz w:val="18"/>
              </w:rPr>
              <w:t>武汉海尔</w:t>
            </w:r>
          </w:p>
          <w:p>
            <w:pPr>
              <w:pStyle w:val="TableParagraph"/>
              <w:spacing w:line="215" w:lineRule="exact" w:before="2"/>
              <w:ind w:left="231"/>
              <w:rPr>
                <w:rFonts w:ascii="宋体" w:eastAsia="宋体" w:hint="eastAsia"/>
                <w:sz w:val="18"/>
              </w:rPr>
            </w:pPr>
            <w:r>
              <w:rPr>
                <w:rFonts w:ascii="宋体" w:eastAsia="宋体" w:hint="eastAsia"/>
                <w:sz w:val="18"/>
              </w:rPr>
              <w:t>工业园</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117"/>
              <w:ind w:left="115"/>
              <w:rPr>
                <w:rFonts w:ascii="宋体" w:eastAsia="宋体" w:hint="eastAsia"/>
                <w:sz w:val="18"/>
              </w:rPr>
            </w:pPr>
            <w:r>
              <w:rPr>
                <w:rFonts w:ascii="宋体" w:eastAsia="宋体" w:hint="eastAsia"/>
                <w:sz w:val="18"/>
              </w:rPr>
              <w:t>能源服务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2"/>
              <w:ind w:right="1"/>
              <w:jc w:val="right"/>
              <w:rPr>
                <w:rFonts w:ascii="宋体"/>
                <w:sz w:val="18"/>
              </w:rPr>
            </w:pPr>
            <w:r>
              <w:rPr>
                <w:rFonts w:ascii="宋体"/>
                <w:sz w:val="18"/>
              </w:rPr>
              <w:t> </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24"/>
              <w:ind w:right="91"/>
              <w:jc w:val="right"/>
              <w:rPr>
                <w:sz w:val="18"/>
              </w:rPr>
            </w:pPr>
            <w:r>
              <w:rPr>
                <w:sz w:val="18"/>
              </w:rPr>
              <w:t>75.00</w:t>
            </w:r>
          </w:p>
        </w:tc>
        <w:tc>
          <w:tcPr>
            <w:tcW w:w="934" w:type="dxa"/>
            <w:tcBorders>
              <w:top w:val="single" w:sz="4" w:space="0" w:color="000000"/>
              <w:left w:val="single" w:sz="4" w:space="0" w:color="000000"/>
              <w:bottom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r>
        <w:trPr>
          <w:trHeight w:val="465" w:hRule="atLeast"/>
        </w:trPr>
        <w:tc>
          <w:tcPr>
            <w:tcW w:w="1964" w:type="dxa"/>
            <w:tcBorders>
              <w:top w:val="single" w:sz="4" w:space="0" w:color="000000"/>
              <w:bottom w:val="single" w:sz="4" w:space="0" w:color="000000"/>
              <w:right w:val="single" w:sz="4" w:space="0" w:color="000000"/>
            </w:tcBorders>
          </w:tcPr>
          <w:p>
            <w:pPr>
              <w:pStyle w:val="TableParagraph"/>
              <w:ind w:left="104"/>
              <w:rPr>
                <w:rFonts w:ascii="宋体" w:eastAsia="宋体" w:hint="eastAsia"/>
                <w:sz w:val="18"/>
              </w:rPr>
            </w:pPr>
            <w:r>
              <w:rPr>
                <w:rFonts w:ascii="宋体" w:eastAsia="宋体" w:hint="eastAsia"/>
                <w:sz w:val="18"/>
              </w:rPr>
              <w:t>青岛海尔中央空调工</w:t>
            </w:r>
          </w:p>
          <w:p>
            <w:pPr>
              <w:pStyle w:val="TableParagraph"/>
              <w:spacing w:line="213" w:lineRule="exact" w:before="2"/>
              <w:ind w:left="104"/>
              <w:rPr>
                <w:rFonts w:ascii="宋体" w:eastAsia="宋体" w:hint="eastAsia"/>
                <w:sz w:val="18"/>
              </w:rPr>
            </w:pPr>
            <w:r>
              <w:rPr>
                <w:rFonts w:ascii="宋体" w:eastAsia="宋体" w:hint="eastAsia"/>
                <w:sz w:val="18"/>
              </w:rPr>
              <w:t>程有限公司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ind w:left="122" w:right="99"/>
              <w:jc w:val="center"/>
              <w:rPr>
                <w:rFonts w:ascii="宋体" w:eastAsia="宋体" w:hint="eastAsia"/>
                <w:sz w:val="18"/>
              </w:rPr>
            </w:pPr>
            <w:r>
              <w:rPr>
                <w:rFonts w:ascii="宋体" w:eastAsia="宋体" w:hint="eastAsia"/>
                <w:sz w:val="18"/>
              </w:rPr>
              <w:t>青岛开发</w:t>
            </w:r>
          </w:p>
          <w:p>
            <w:pPr>
              <w:pStyle w:val="TableParagraph"/>
              <w:spacing w:line="213" w:lineRule="exact" w:before="2"/>
              <w:ind w:left="25"/>
              <w:jc w:val="center"/>
              <w:rPr>
                <w:rFonts w:ascii="宋体" w:eastAsia="宋体" w:hint="eastAsia"/>
                <w:sz w:val="18"/>
              </w:rPr>
            </w:pPr>
            <w:r>
              <w:rPr>
                <w:rFonts w:ascii="宋体" w:eastAsia="宋体" w:hint="eastAsia"/>
                <w:sz w:val="18"/>
              </w:rPr>
              <w:t>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ind w:left="99" w:right="80"/>
              <w:jc w:val="center"/>
              <w:rPr>
                <w:rFonts w:ascii="宋体" w:eastAsia="宋体" w:hint="eastAsia"/>
                <w:sz w:val="18"/>
              </w:rPr>
            </w:pPr>
            <w:r>
              <w:rPr>
                <w:rFonts w:ascii="宋体" w:eastAsia="宋体" w:hint="eastAsia"/>
                <w:sz w:val="18"/>
              </w:rPr>
              <w:t>青岛开发</w:t>
            </w:r>
          </w:p>
          <w:p>
            <w:pPr>
              <w:pStyle w:val="TableParagraph"/>
              <w:spacing w:line="213" w:lineRule="exact" w:before="2"/>
              <w:ind w:left="21"/>
              <w:jc w:val="center"/>
              <w:rPr>
                <w:rFonts w:ascii="宋体" w:eastAsia="宋体" w:hint="eastAsia"/>
                <w:sz w:val="18"/>
              </w:rPr>
            </w:pPr>
            <w:r>
              <w:rPr>
                <w:rFonts w:ascii="宋体" w:eastAsia="宋体" w:hint="eastAsia"/>
                <w:sz w:val="18"/>
              </w:rPr>
              <w:t>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115"/>
              <w:ind w:left="115"/>
              <w:rPr>
                <w:rFonts w:ascii="宋体" w:eastAsia="宋体" w:hint="eastAsia"/>
                <w:sz w:val="18"/>
              </w:rPr>
            </w:pPr>
            <w:r>
              <w:rPr>
                <w:rFonts w:ascii="宋体" w:eastAsia="宋体" w:hint="eastAsia"/>
                <w:sz w:val="18"/>
              </w:rPr>
              <w:t>空调制冷工程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3"/>
              <w:ind w:right="1"/>
              <w:jc w:val="right"/>
              <w:rPr>
                <w:rFonts w:ascii="宋体"/>
                <w:sz w:val="18"/>
              </w:rPr>
            </w:pPr>
            <w:r>
              <w:rPr>
                <w:rFonts w:ascii="宋体"/>
                <w:sz w:val="18"/>
              </w:rPr>
              <w:t> </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25"/>
              <w:ind w:left="395"/>
              <w:rPr>
                <w:sz w:val="18"/>
              </w:rPr>
            </w:pPr>
            <w:r>
              <w:rPr>
                <w:sz w:val="18"/>
              </w:rPr>
              <w:t>100.00</w:t>
            </w:r>
          </w:p>
        </w:tc>
        <w:tc>
          <w:tcPr>
            <w:tcW w:w="934" w:type="dxa"/>
            <w:tcBorders>
              <w:top w:val="single" w:sz="4" w:space="0" w:color="000000"/>
              <w:left w:val="single" w:sz="4" w:space="0" w:color="000000"/>
              <w:bottom w:val="single" w:sz="4" w:space="0" w:color="000000"/>
            </w:tcBorders>
          </w:tcPr>
          <w:p>
            <w:pPr>
              <w:pStyle w:val="TableParagraph"/>
              <w:spacing w:before="115"/>
              <w:ind w:left="111"/>
              <w:rPr>
                <w:rFonts w:ascii="宋体" w:eastAsia="宋体" w:hint="eastAsia"/>
                <w:sz w:val="18"/>
              </w:rPr>
            </w:pPr>
            <w:r>
              <w:rPr>
                <w:rFonts w:ascii="宋体" w:eastAsia="宋体" w:hint="eastAsia"/>
                <w:sz w:val="18"/>
              </w:rPr>
              <w:t>设立</w:t>
            </w:r>
          </w:p>
        </w:tc>
      </w:tr>
      <w:tr>
        <w:trPr>
          <w:trHeight w:val="467" w:hRule="atLeast"/>
        </w:trPr>
        <w:tc>
          <w:tcPr>
            <w:tcW w:w="1964" w:type="dxa"/>
            <w:tcBorders>
              <w:top w:val="single" w:sz="4" w:space="0" w:color="000000"/>
              <w:bottom w:val="single" w:sz="4" w:space="0" w:color="000000"/>
              <w:right w:val="single" w:sz="4" w:space="0" w:color="000000"/>
            </w:tcBorders>
          </w:tcPr>
          <w:p>
            <w:pPr>
              <w:pStyle w:val="TableParagraph"/>
              <w:ind w:left="104"/>
              <w:rPr>
                <w:rFonts w:ascii="宋体" w:eastAsia="宋体" w:hint="eastAsia"/>
                <w:sz w:val="18"/>
              </w:rPr>
            </w:pPr>
            <w:r>
              <w:rPr>
                <w:rFonts w:ascii="宋体" w:eastAsia="宋体" w:hint="eastAsia"/>
                <w:sz w:val="18"/>
              </w:rPr>
              <w:t>重庆日日顺电器销售</w:t>
            </w:r>
          </w:p>
          <w:p>
            <w:pPr>
              <w:pStyle w:val="TableParagraph"/>
              <w:spacing w:line="213" w:lineRule="exact" w:before="4"/>
              <w:ind w:left="104"/>
              <w:rPr>
                <w:rFonts w:ascii="宋体" w:eastAsia="宋体" w:hint="eastAsia"/>
                <w:sz w:val="18"/>
              </w:rPr>
            </w:pPr>
            <w:r>
              <w:rPr>
                <w:rFonts w:ascii="宋体" w:eastAsia="宋体" w:hint="eastAsia"/>
                <w:sz w:val="18"/>
              </w:rPr>
              <w:t>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ind w:left="122" w:right="99"/>
              <w:jc w:val="center"/>
              <w:rPr>
                <w:rFonts w:ascii="宋体" w:eastAsia="宋体" w:hint="eastAsia"/>
                <w:sz w:val="18"/>
              </w:rPr>
            </w:pPr>
            <w:r>
              <w:rPr>
                <w:rFonts w:ascii="宋体" w:eastAsia="宋体" w:hint="eastAsia"/>
                <w:sz w:val="18"/>
              </w:rPr>
              <w:t>重庆市江</w:t>
            </w:r>
          </w:p>
          <w:p>
            <w:pPr>
              <w:pStyle w:val="TableParagraph"/>
              <w:spacing w:line="213" w:lineRule="exact" w:before="4"/>
              <w:ind w:left="141" w:right="118"/>
              <w:jc w:val="center"/>
              <w:rPr>
                <w:rFonts w:ascii="宋体" w:eastAsia="宋体" w:hint="eastAsia"/>
                <w:sz w:val="18"/>
              </w:rPr>
            </w:pPr>
            <w:r>
              <w:rPr>
                <w:rFonts w:ascii="宋体" w:eastAsia="宋体" w:hint="eastAsia"/>
                <w:sz w:val="18"/>
              </w:rPr>
              <w:t>北区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ind w:left="99" w:right="80"/>
              <w:jc w:val="center"/>
              <w:rPr>
                <w:rFonts w:ascii="宋体" w:eastAsia="宋体" w:hint="eastAsia"/>
                <w:sz w:val="18"/>
              </w:rPr>
            </w:pPr>
            <w:r>
              <w:rPr>
                <w:rFonts w:ascii="宋体" w:eastAsia="宋体" w:hint="eastAsia"/>
                <w:sz w:val="18"/>
              </w:rPr>
              <w:t>重庆市江</w:t>
            </w:r>
          </w:p>
          <w:p>
            <w:pPr>
              <w:pStyle w:val="TableParagraph"/>
              <w:spacing w:line="213" w:lineRule="exact" w:before="4"/>
              <w:ind w:left="99" w:right="80"/>
              <w:jc w:val="center"/>
              <w:rPr>
                <w:rFonts w:ascii="宋体" w:eastAsia="宋体" w:hint="eastAsia"/>
                <w:sz w:val="18"/>
              </w:rPr>
            </w:pPr>
            <w:r>
              <w:rPr>
                <w:rFonts w:ascii="宋体" w:eastAsia="宋体" w:hint="eastAsia"/>
                <w:sz w:val="18"/>
              </w:rPr>
              <w:t>北区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ind w:left="115"/>
              <w:rPr>
                <w:rFonts w:ascii="宋体" w:eastAsia="宋体" w:hint="eastAsia"/>
                <w:sz w:val="18"/>
              </w:rPr>
            </w:pPr>
            <w:r>
              <w:rPr>
                <w:rFonts w:ascii="宋体" w:eastAsia="宋体" w:hint="eastAsia"/>
                <w:sz w:val="18"/>
              </w:rPr>
              <w:t>家电及电子产品</w:t>
            </w:r>
          </w:p>
          <w:p>
            <w:pPr>
              <w:pStyle w:val="TableParagraph"/>
              <w:spacing w:line="213" w:lineRule="exact" w:before="4"/>
              <w:ind w:left="115"/>
              <w:rPr>
                <w:rFonts w:ascii="宋体" w:eastAsia="宋体" w:hint="eastAsia"/>
                <w:sz w:val="18"/>
              </w:rPr>
            </w:pPr>
            <w:r>
              <w:rPr>
                <w:rFonts w:ascii="宋体" w:eastAsia="宋体" w:hint="eastAsia"/>
                <w:sz w:val="18"/>
              </w:rPr>
              <w:t>销售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5"/>
              <w:ind w:right="1"/>
              <w:jc w:val="right"/>
              <w:rPr>
                <w:rFonts w:ascii="宋体"/>
                <w:sz w:val="18"/>
              </w:rPr>
            </w:pPr>
            <w:r>
              <w:rPr>
                <w:rFonts w:ascii="宋体"/>
                <w:sz w:val="18"/>
              </w:rPr>
              <w:t> </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27"/>
              <w:ind w:right="91"/>
              <w:jc w:val="right"/>
              <w:rPr>
                <w:sz w:val="18"/>
              </w:rPr>
            </w:pPr>
            <w:r>
              <w:rPr>
                <w:sz w:val="18"/>
              </w:rPr>
              <w:t>51.00</w:t>
            </w:r>
          </w:p>
        </w:tc>
        <w:tc>
          <w:tcPr>
            <w:tcW w:w="934" w:type="dxa"/>
            <w:tcBorders>
              <w:top w:val="single" w:sz="4" w:space="0" w:color="000000"/>
              <w:left w:val="single" w:sz="4" w:space="0" w:color="000000"/>
              <w:bottom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r>
        <w:trPr>
          <w:trHeight w:val="467" w:hRule="atLeast"/>
        </w:trPr>
        <w:tc>
          <w:tcPr>
            <w:tcW w:w="1964" w:type="dxa"/>
            <w:tcBorders>
              <w:top w:val="single" w:sz="4" w:space="0" w:color="000000"/>
              <w:bottom w:val="single" w:sz="4" w:space="0" w:color="000000"/>
              <w:right w:val="single" w:sz="4" w:space="0" w:color="000000"/>
            </w:tcBorders>
          </w:tcPr>
          <w:p>
            <w:pPr>
              <w:pStyle w:val="TableParagraph"/>
              <w:spacing w:line="230" w:lineRule="exact"/>
              <w:ind w:left="104"/>
              <w:rPr>
                <w:rFonts w:ascii="宋体" w:eastAsia="宋体" w:hint="eastAsia"/>
                <w:sz w:val="18"/>
              </w:rPr>
            </w:pPr>
            <w:r>
              <w:rPr>
                <w:rFonts w:ascii="宋体" w:eastAsia="宋体" w:hint="eastAsia"/>
                <w:sz w:val="18"/>
              </w:rPr>
              <w:t>青岛海尔（胶州）空调</w:t>
            </w:r>
          </w:p>
          <w:p>
            <w:pPr>
              <w:pStyle w:val="TableParagraph"/>
              <w:spacing w:line="215" w:lineRule="exact" w:before="2"/>
              <w:ind w:left="104"/>
              <w:rPr>
                <w:rFonts w:ascii="宋体" w:eastAsia="宋体" w:hint="eastAsia"/>
                <w:sz w:val="18"/>
              </w:rPr>
            </w:pPr>
            <w:r>
              <w:rPr>
                <w:rFonts w:ascii="宋体" w:eastAsia="宋体" w:hint="eastAsia"/>
                <w:sz w:val="18"/>
              </w:rPr>
              <w:t>器有限公司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17"/>
              <w:ind w:left="122" w:right="99"/>
              <w:jc w:val="center"/>
              <w:rPr>
                <w:rFonts w:ascii="宋体" w:eastAsia="宋体" w:hint="eastAsia"/>
                <w:sz w:val="18"/>
              </w:rPr>
            </w:pPr>
            <w:r>
              <w:rPr>
                <w:rFonts w:ascii="宋体" w:eastAsia="宋体" w:hint="eastAsia"/>
                <w:sz w:val="18"/>
              </w:rPr>
              <w:t>青岛胶州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7"/>
              <w:ind w:left="99" w:right="80"/>
              <w:jc w:val="center"/>
              <w:rPr>
                <w:rFonts w:ascii="宋体" w:eastAsia="宋体" w:hint="eastAsia"/>
                <w:sz w:val="18"/>
              </w:rPr>
            </w:pPr>
            <w:r>
              <w:rPr>
                <w:rFonts w:ascii="宋体" w:eastAsia="宋体" w:hint="eastAsia"/>
                <w:sz w:val="18"/>
              </w:rPr>
              <w:t>青岛胶州</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117"/>
              <w:ind w:left="115"/>
              <w:rPr>
                <w:rFonts w:ascii="宋体" w:eastAsia="宋体" w:hint="eastAsia"/>
                <w:sz w:val="18"/>
              </w:rPr>
            </w:pPr>
            <w:r>
              <w:rPr>
                <w:rFonts w:ascii="宋体" w:eastAsia="宋体" w:hint="eastAsia"/>
                <w:sz w:val="18"/>
              </w:rPr>
              <w:t>空调器生产销售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2"/>
              <w:ind w:right="1"/>
              <w:jc w:val="right"/>
              <w:rPr>
                <w:rFonts w:ascii="宋体"/>
                <w:sz w:val="18"/>
              </w:rPr>
            </w:pPr>
            <w:r>
              <w:rPr>
                <w:rFonts w:ascii="宋体"/>
                <w:sz w:val="18"/>
              </w:rPr>
              <w:t> </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24"/>
              <w:ind w:left="395"/>
              <w:rPr>
                <w:sz w:val="18"/>
              </w:rPr>
            </w:pPr>
            <w:r>
              <w:rPr>
                <w:sz w:val="18"/>
              </w:rPr>
              <w:t>100.00</w:t>
            </w:r>
          </w:p>
        </w:tc>
        <w:tc>
          <w:tcPr>
            <w:tcW w:w="934" w:type="dxa"/>
            <w:tcBorders>
              <w:top w:val="single" w:sz="4" w:space="0" w:color="000000"/>
              <w:left w:val="single" w:sz="4" w:space="0" w:color="000000"/>
              <w:bottom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r>
        <w:trPr>
          <w:trHeight w:val="700" w:hRule="atLeast"/>
        </w:trPr>
        <w:tc>
          <w:tcPr>
            <w:tcW w:w="1964" w:type="dxa"/>
            <w:tcBorders>
              <w:top w:val="single" w:sz="4" w:space="0" w:color="000000"/>
              <w:bottom w:val="single" w:sz="4" w:space="0" w:color="000000"/>
              <w:right w:val="single" w:sz="4" w:space="0" w:color="000000"/>
            </w:tcBorders>
          </w:tcPr>
          <w:p>
            <w:pPr>
              <w:pStyle w:val="TableParagraph"/>
              <w:spacing w:line="244" w:lineRule="auto" w:before="115"/>
              <w:ind w:left="104" w:right="217"/>
              <w:rPr>
                <w:rFonts w:ascii="宋体" w:eastAsia="宋体" w:hint="eastAsia"/>
                <w:sz w:val="18"/>
              </w:rPr>
            </w:pPr>
            <w:r>
              <w:rPr>
                <w:rFonts w:ascii="宋体" w:eastAsia="宋体" w:hint="eastAsia"/>
                <w:sz w:val="18"/>
              </w:rPr>
              <w:t>青岛海尔部品有限公司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2"/>
              <w:rPr>
                <w:sz w:val="20"/>
              </w:rPr>
            </w:pPr>
          </w:p>
          <w:p>
            <w:pPr>
              <w:pStyle w:val="TableParagraph"/>
              <w:ind w:left="122" w:right="99"/>
              <w:jc w:val="center"/>
              <w:rPr>
                <w:rFonts w:ascii="宋体" w:eastAsia="宋体" w:hint="eastAsia"/>
                <w:sz w:val="18"/>
              </w:rPr>
            </w:pPr>
            <w:r>
              <w:rPr>
                <w:rFonts w:ascii="宋体" w:eastAsia="宋体" w:hint="eastAsia"/>
                <w:sz w:val="18"/>
              </w:rPr>
              <w:t>青岛胶州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2"/>
              <w:rPr>
                <w:sz w:val="20"/>
              </w:rPr>
            </w:pPr>
          </w:p>
          <w:p>
            <w:pPr>
              <w:pStyle w:val="TableParagraph"/>
              <w:ind w:left="99" w:right="80"/>
              <w:jc w:val="center"/>
              <w:rPr>
                <w:rFonts w:ascii="宋体" w:eastAsia="宋体" w:hint="eastAsia"/>
                <w:sz w:val="18"/>
              </w:rPr>
            </w:pPr>
            <w:r>
              <w:rPr>
                <w:rFonts w:ascii="宋体" w:eastAsia="宋体" w:hint="eastAsia"/>
                <w:sz w:val="18"/>
              </w:rPr>
              <w:t>青岛胶州</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ind w:left="115" w:right="173"/>
              <w:rPr>
                <w:rFonts w:ascii="宋体" w:eastAsia="宋体" w:hint="eastAsia"/>
                <w:sz w:val="18"/>
              </w:rPr>
            </w:pPr>
            <w:r>
              <w:rPr>
                <w:rFonts w:ascii="宋体" w:eastAsia="宋体" w:hint="eastAsia"/>
                <w:sz w:val="18"/>
              </w:rPr>
              <w:t>塑胶、钣金精密制品的制造及销</w:t>
            </w:r>
          </w:p>
          <w:p>
            <w:pPr>
              <w:pStyle w:val="TableParagraph"/>
              <w:spacing w:line="215" w:lineRule="exact"/>
              <w:ind w:left="115"/>
              <w:rPr>
                <w:rFonts w:ascii="宋体" w:eastAsia="宋体" w:hint="eastAsia"/>
                <w:sz w:val="18"/>
              </w:rPr>
            </w:pPr>
            <w:r>
              <w:rPr>
                <w:rFonts w:ascii="宋体" w:eastAsia="宋体" w:hint="eastAsia"/>
                <w:sz w:val="18"/>
              </w:rPr>
              <w:t>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p>
            <w:pPr>
              <w:pStyle w:val="TableParagraph"/>
              <w:ind w:right="1"/>
              <w:jc w:val="right"/>
              <w:rPr>
                <w:rFonts w:ascii="宋体"/>
                <w:sz w:val="18"/>
              </w:rPr>
            </w:pPr>
            <w:r>
              <w:rPr>
                <w:rFonts w:ascii="宋体"/>
                <w:sz w:val="18"/>
              </w:rPr>
              <w:t> </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rPr>
                <w:sz w:val="21"/>
              </w:rPr>
            </w:pPr>
          </w:p>
          <w:p>
            <w:pPr>
              <w:pStyle w:val="TableParagraph"/>
              <w:ind w:left="395"/>
              <w:rPr>
                <w:sz w:val="18"/>
              </w:rPr>
            </w:pPr>
            <w:r>
              <w:rPr>
                <w:sz w:val="18"/>
              </w:rPr>
              <w:t>100.00</w:t>
            </w:r>
          </w:p>
        </w:tc>
        <w:tc>
          <w:tcPr>
            <w:tcW w:w="934" w:type="dxa"/>
            <w:tcBorders>
              <w:top w:val="single" w:sz="4" w:space="0" w:color="000000"/>
              <w:left w:val="single" w:sz="4" w:space="0" w:color="000000"/>
              <w:bottom w:val="single" w:sz="4" w:space="0" w:color="000000"/>
            </w:tcBorders>
          </w:tcPr>
          <w:p>
            <w:pPr>
              <w:pStyle w:val="TableParagraph"/>
              <w:spacing w:before="2"/>
              <w:rPr>
                <w:sz w:val="20"/>
              </w:rPr>
            </w:pPr>
          </w:p>
          <w:p>
            <w:pPr>
              <w:pStyle w:val="TableParagraph"/>
              <w:ind w:left="111"/>
              <w:rPr>
                <w:rFonts w:ascii="宋体" w:eastAsia="宋体" w:hint="eastAsia"/>
                <w:sz w:val="18"/>
              </w:rPr>
            </w:pPr>
            <w:r>
              <w:rPr>
                <w:rFonts w:ascii="宋体" w:eastAsia="宋体" w:hint="eastAsia"/>
                <w:sz w:val="18"/>
              </w:rPr>
              <w:t>设立</w:t>
            </w:r>
          </w:p>
        </w:tc>
      </w:tr>
      <w:tr>
        <w:trPr>
          <w:trHeight w:val="465" w:hRule="atLeast"/>
        </w:trPr>
        <w:tc>
          <w:tcPr>
            <w:tcW w:w="1964" w:type="dxa"/>
            <w:tcBorders>
              <w:top w:val="single" w:sz="4" w:space="0" w:color="000000"/>
              <w:bottom w:val="single" w:sz="4" w:space="0" w:color="000000"/>
              <w:right w:val="single" w:sz="4" w:space="0" w:color="000000"/>
            </w:tcBorders>
          </w:tcPr>
          <w:p>
            <w:pPr>
              <w:pStyle w:val="TableParagraph"/>
              <w:spacing w:line="230" w:lineRule="exact"/>
              <w:ind w:left="104"/>
              <w:rPr>
                <w:rFonts w:ascii="宋体" w:eastAsia="宋体" w:hint="eastAsia"/>
                <w:sz w:val="18"/>
              </w:rPr>
            </w:pPr>
            <w:r>
              <w:rPr>
                <w:rFonts w:ascii="宋体" w:eastAsia="宋体" w:hint="eastAsia"/>
                <w:sz w:val="18"/>
              </w:rPr>
              <w:t>海尔股份</w:t>
            </w:r>
            <w:r>
              <w:rPr>
                <w:sz w:val="18"/>
              </w:rPr>
              <w:t>(</w:t>
            </w:r>
            <w:r>
              <w:rPr>
                <w:rFonts w:ascii="宋体" w:eastAsia="宋体" w:hint="eastAsia"/>
                <w:sz w:val="18"/>
              </w:rPr>
              <w:t>香港</w:t>
            </w:r>
            <w:r>
              <w:rPr>
                <w:sz w:val="18"/>
              </w:rPr>
              <w:t>)</w:t>
            </w:r>
            <w:r>
              <w:rPr>
                <w:rFonts w:ascii="宋体" w:eastAsia="宋体" w:hint="eastAsia"/>
                <w:sz w:val="18"/>
              </w:rPr>
              <w:t>有限公</w:t>
            </w:r>
          </w:p>
          <w:p>
            <w:pPr>
              <w:pStyle w:val="TableParagraph"/>
              <w:spacing w:line="213" w:lineRule="exact" w:before="2"/>
              <w:ind w:left="104"/>
              <w:rPr>
                <w:rFonts w:ascii="宋体" w:eastAsia="宋体" w:hint="eastAsia"/>
                <w:sz w:val="18"/>
              </w:rPr>
            </w:pPr>
            <w:r>
              <w:rPr>
                <w:rFonts w:ascii="宋体" w:eastAsia="宋体" w:hint="eastAsia"/>
                <w:sz w:val="18"/>
              </w:rPr>
              <w:t>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15"/>
              <w:ind w:left="141" w:right="118"/>
              <w:jc w:val="center"/>
              <w:rPr>
                <w:rFonts w:ascii="宋体" w:eastAsia="宋体" w:hint="eastAsia"/>
                <w:sz w:val="18"/>
              </w:rPr>
            </w:pPr>
            <w:r>
              <w:rPr>
                <w:rFonts w:ascii="宋体" w:eastAsia="宋体" w:hint="eastAsia"/>
                <w:sz w:val="18"/>
              </w:rPr>
              <w:t>香港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5"/>
              <w:ind w:left="99" w:right="80"/>
              <w:jc w:val="center"/>
              <w:rPr>
                <w:rFonts w:ascii="宋体" w:eastAsia="宋体" w:hint="eastAsia"/>
                <w:sz w:val="18"/>
              </w:rPr>
            </w:pPr>
            <w:r>
              <w:rPr>
                <w:rFonts w:ascii="宋体" w:eastAsia="宋体" w:hint="eastAsia"/>
                <w:sz w:val="18"/>
              </w:rPr>
              <w:t>香港</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115"/>
              <w:ind w:left="115"/>
              <w:rPr>
                <w:rFonts w:ascii="宋体" w:eastAsia="宋体" w:hint="eastAsia"/>
                <w:sz w:val="18"/>
              </w:rPr>
            </w:pPr>
            <w:r>
              <w:rPr>
                <w:rFonts w:ascii="宋体" w:eastAsia="宋体" w:hint="eastAsia"/>
                <w:sz w:val="18"/>
              </w:rPr>
              <w:t>投资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24"/>
              <w:ind w:right="88"/>
              <w:jc w:val="right"/>
              <w:rPr>
                <w:sz w:val="18"/>
              </w:rPr>
            </w:pPr>
            <w:r>
              <w:rPr>
                <w:sz w:val="18"/>
              </w:rPr>
              <w:t>100.00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12"/>
              <w:ind w:right="2"/>
              <w:jc w:val="right"/>
              <w:rPr>
                <w:rFonts w:ascii="宋体"/>
                <w:sz w:val="18"/>
              </w:rPr>
            </w:pPr>
            <w:r>
              <w:rPr>
                <w:rFonts w:ascii="宋体"/>
                <w:sz w:val="18"/>
              </w:rPr>
              <w:t> </w:t>
            </w:r>
          </w:p>
        </w:tc>
        <w:tc>
          <w:tcPr>
            <w:tcW w:w="934" w:type="dxa"/>
            <w:tcBorders>
              <w:top w:val="single" w:sz="4" w:space="0" w:color="000000"/>
              <w:left w:val="single" w:sz="4" w:space="0" w:color="000000"/>
              <w:bottom w:val="single" w:sz="4" w:space="0" w:color="000000"/>
            </w:tcBorders>
          </w:tcPr>
          <w:p>
            <w:pPr>
              <w:pStyle w:val="TableParagraph"/>
              <w:spacing w:before="115"/>
              <w:ind w:left="111"/>
              <w:rPr>
                <w:rFonts w:ascii="宋体" w:eastAsia="宋体" w:hint="eastAsia"/>
                <w:sz w:val="18"/>
              </w:rPr>
            </w:pPr>
            <w:r>
              <w:rPr>
                <w:rFonts w:ascii="宋体" w:eastAsia="宋体" w:hint="eastAsia"/>
                <w:sz w:val="18"/>
              </w:rPr>
              <w:t>设立</w:t>
            </w:r>
          </w:p>
        </w:tc>
      </w:tr>
      <w:tr>
        <w:trPr>
          <w:trHeight w:val="414" w:hRule="atLeast"/>
        </w:trPr>
        <w:tc>
          <w:tcPr>
            <w:tcW w:w="1964" w:type="dxa"/>
            <w:tcBorders>
              <w:top w:val="single" w:sz="4" w:space="0" w:color="000000"/>
              <w:bottom w:val="single" w:sz="4" w:space="0" w:color="000000"/>
              <w:right w:val="single" w:sz="4" w:space="0" w:color="000000"/>
            </w:tcBorders>
          </w:tcPr>
          <w:p>
            <w:pPr>
              <w:pStyle w:val="TableParagraph"/>
              <w:spacing w:line="202" w:lineRule="exact"/>
              <w:ind w:left="104"/>
              <w:rPr>
                <w:sz w:val="18"/>
              </w:rPr>
            </w:pPr>
            <w:r>
              <w:rPr>
                <w:sz w:val="18"/>
              </w:rPr>
              <w:t>Harvest International</w:t>
            </w:r>
          </w:p>
          <w:p>
            <w:pPr>
              <w:pStyle w:val="TableParagraph"/>
              <w:spacing w:line="191" w:lineRule="exact" w:before="2"/>
              <w:ind w:left="104"/>
              <w:rPr>
                <w:sz w:val="18"/>
              </w:rPr>
            </w:pPr>
            <w:r>
              <w:rPr>
                <w:sz w:val="18"/>
              </w:rPr>
              <w:t>Company</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91"/>
              <w:ind w:left="122" w:right="99"/>
              <w:jc w:val="center"/>
              <w:rPr>
                <w:rFonts w:ascii="宋体" w:eastAsia="宋体" w:hint="eastAsia"/>
                <w:sz w:val="18"/>
              </w:rPr>
            </w:pPr>
            <w:r>
              <w:rPr>
                <w:rFonts w:ascii="宋体" w:eastAsia="宋体" w:hint="eastAsia"/>
                <w:sz w:val="18"/>
              </w:rPr>
              <w:t>开曼群岛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91"/>
              <w:ind w:left="99" w:right="80"/>
              <w:jc w:val="center"/>
              <w:rPr>
                <w:rFonts w:ascii="宋体" w:eastAsia="宋体" w:hint="eastAsia"/>
                <w:sz w:val="18"/>
              </w:rPr>
            </w:pPr>
            <w:r>
              <w:rPr>
                <w:rFonts w:ascii="宋体" w:eastAsia="宋体" w:hint="eastAsia"/>
                <w:sz w:val="18"/>
              </w:rPr>
              <w:t>开曼群岛</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91"/>
              <w:ind w:left="115"/>
              <w:rPr>
                <w:rFonts w:ascii="宋体" w:eastAsia="宋体" w:hint="eastAsia"/>
                <w:sz w:val="18"/>
              </w:rPr>
            </w:pPr>
            <w:r>
              <w:rPr>
                <w:rFonts w:ascii="宋体" w:eastAsia="宋体" w:hint="eastAsia"/>
                <w:sz w:val="18"/>
              </w:rPr>
              <w:t>投资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00"/>
              <w:ind w:left="395"/>
              <w:rPr>
                <w:sz w:val="18"/>
              </w:rPr>
            </w:pPr>
            <w:r>
              <w:rPr>
                <w:sz w:val="18"/>
              </w:rPr>
              <w:t>100.00</w:t>
            </w:r>
          </w:p>
        </w:tc>
        <w:tc>
          <w:tcPr>
            <w:tcW w:w="934" w:type="dxa"/>
            <w:tcBorders>
              <w:top w:val="single" w:sz="4" w:space="0" w:color="000000"/>
              <w:left w:val="single" w:sz="4" w:space="0" w:color="000000"/>
              <w:bottom w:val="single" w:sz="4" w:space="0" w:color="000000"/>
            </w:tcBorders>
          </w:tcPr>
          <w:p>
            <w:pPr>
              <w:pStyle w:val="TableParagraph"/>
              <w:spacing w:before="91"/>
              <w:ind w:left="111"/>
              <w:rPr>
                <w:rFonts w:ascii="宋体" w:eastAsia="宋体" w:hint="eastAsia"/>
                <w:sz w:val="18"/>
              </w:rPr>
            </w:pPr>
            <w:r>
              <w:rPr>
                <w:rFonts w:ascii="宋体" w:eastAsia="宋体" w:hint="eastAsia"/>
                <w:sz w:val="18"/>
              </w:rPr>
              <w:t>设立</w:t>
            </w:r>
          </w:p>
        </w:tc>
      </w:tr>
      <w:tr>
        <w:trPr>
          <w:trHeight w:val="467" w:hRule="atLeast"/>
        </w:trPr>
        <w:tc>
          <w:tcPr>
            <w:tcW w:w="1964" w:type="dxa"/>
            <w:tcBorders>
              <w:top w:val="single" w:sz="4" w:space="0" w:color="000000"/>
              <w:bottom w:val="single" w:sz="4" w:space="0" w:color="000000"/>
              <w:right w:val="single" w:sz="4" w:space="0" w:color="000000"/>
            </w:tcBorders>
          </w:tcPr>
          <w:p>
            <w:pPr>
              <w:pStyle w:val="TableParagraph"/>
              <w:spacing w:line="230" w:lineRule="exact"/>
              <w:ind w:left="104"/>
              <w:rPr>
                <w:rFonts w:ascii="宋体" w:eastAsia="宋体" w:hint="eastAsia"/>
                <w:sz w:val="18"/>
              </w:rPr>
            </w:pPr>
            <w:r>
              <w:rPr>
                <w:rFonts w:ascii="宋体" w:eastAsia="宋体" w:hint="eastAsia"/>
                <w:sz w:val="18"/>
              </w:rPr>
              <w:t>沈阳海尔电冰箱有限</w:t>
            </w:r>
          </w:p>
          <w:p>
            <w:pPr>
              <w:pStyle w:val="TableParagraph"/>
              <w:spacing w:line="215" w:lineRule="exact" w:before="2"/>
              <w:ind w:left="104"/>
              <w:rPr>
                <w:rFonts w:ascii="宋体" w:eastAsia="宋体" w:hint="eastAsia"/>
                <w:sz w:val="18"/>
              </w:rPr>
            </w:pPr>
            <w:r>
              <w:rPr>
                <w:rFonts w:ascii="宋体" w:eastAsia="宋体" w:hint="eastAsia"/>
                <w:sz w:val="18"/>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43"/>
              <w:rPr>
                <w:rFonts w:ascii="宋体" w:eastAsia="宋体" w:hint="eastAsia"/>
                <w:sz w:val="18"/>
              </w:rPr>
            </w:pPr>
            <w:r>
              <w:rPr>
                <w:rFonts w:ascii="宋体" w:eastAsia="宋体" w:hint="eastAsia"/>
                <w:sz w:val="18"/>
              </w:rPr>
              <w:t>沈阳市沈</w:t>
            </w:r>
          </w:p>
          <w:p>
            <w:pPr>
              <w:pStyle w:val="TableParagraph"/>
              <w:spacing w:line="215" w:lineRule="exact" w:before="2"/>
              <w:ind w:left="234"/>
              <w:rPr>
                <w:rFonts w:ascii="宋体" w:eastAsia="宋体" w:hint="eastAsia"/>
                <w:sz w:val="18"/>
              </w:rPr>
            </w:pPr>
            <w:r>
              <w:rPr>
                <w:rFonts w:ascii="宋体" w:eastAsia="宋体" w:hint="eastAsia"/>
                <w:sz w:val="18"/>
              </w:rPr>
              <w:t>北新区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40"/>
              <w:rPr>
                <w:rFonts w:ascii="宋体" w:eastAsia="宋体" w:hint="eastAsia"/>
                <w:sz w:val="18"/>
              </w:rPr>
            </w:pPr>
            <w:r>
              <w:rPr>
                <w:rFonts w:ascii="宋体" w:eastAsia="宋体" w:hint="eastAsia"/>
                <w:sz w:val="18"/>
              </w:rPr>
              <w:t>沈阳市沈</w:t>
            </w:r>
          </w:p>
          <w:p>
            <w:pPr>
              <w:pStyle w:val="TableParagraph"/>
              <w:spacing w:line="215" w:lineRule="exact" w:before="2"/>
              <w:ind w:left="231"/>
              <w:rPr>
                <w:rFonts w:ascii="宋体" w:eastAsia="宋体" w:hint="eastAsia"/>
                <w:sz w:val="18"/>
              </w:rPr>
            </w:pPr>
            <w:r>
              <w:rPr>
                <w:rFonts w:ascii="宋体" w:eastAsia="宋体" w:hint="eastAsia"/>
                <w:sz w:val="18"/>
              </w:rPr>
              <w:t>北新区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117"/>
              <w:ind w:left="115"/>
              <w:rPr>
                <w:rFonts w:ascii="宋体" w:eastAsia="宋体" w:hint="eastAsia"/>
                <w:sz w:val="18"/>
              </w:rPr>
            </w:pPr>
            <w:r>
              <w:rPr>
                <w:rFonts w:ascii="宋体" w:eastAsia="宋体" w:hint="eastAsia"/>
                <w:sz w:val="18"/>
              </w:rPr>
              <w:t>电冰箱生产销售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24"/>
              <w:ind w:right="88"/>
              <w:jc w:val="right"/>
              <w:rPr>
                <w:sz w:val="18"/>
              </w:rPr>
            </w:pPr>
            <w:r>
              <w:rPr>
                <w:sz w:val="18"/>
              </w:rPr>
              <w:t>100.00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12"/>
              <w:ind w:right="2"/>
              <w:jc w:val="right"/>
              <w:rPr>
                <w:rFonts w:ascii="宋体"/>
                <w:sz w:val="18"/>
              </w:rPr>
            </w:pPr>
            <w:r>
              <w:rPr>
                <w:rFonts w:ascii="宋体"/>
                <w:sz w:val="18"/>
              </w:rPr>
              <w:t> </w:t>
            </w:r>
          </w:p>
        </w:tc>
        <w:tc>
          <w:tcPr>
            <w:tcW w:w="934" w:type="dxa"/>
            <w:tcBorders>
              <w:top w:val="single" w:sz="4" w:space="0" w:color="000000"/>
              <w:left w:val="single" w:sz="4" w:space="0" w:color="000000"/>
              <w:bottom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r>
        <w:trPr>
          <w:trHeight w:val="465" w:hRule="atLeast"/>
        </w:trPr>
        <w:tc>
          <w:tcPr>
            <w:tcW w:w="1964" w:type="dxa"/>
            <w:tcBorders>
              <w:top w:val="single" w:sz="4" w:space="0" w:color="000000"/>
              <w:bottom w:val="single" w:sz="4" w:space="0" w:color="000000"/>
              <w:right w:val="single" w:sz="4" w:space="0" w:color="000000"/>
            </w:tcBorders>
          </w:tcPr>
          <w:p>
            <w:pPr>
              <w:pStyle w:val="TableParagraph"/>
              <w:ind w:left="104"/>
              <w:rPr>
                <w:rFonts w:ascii="宋体" w:eastAsia="宋体" w:hint="eastAsia"/>
                <w:sz w:val="18"/>
              </w:rPr>
            </w:pPr>
            <w:r>
              <w:rPr>
                <w:rFonts w:ascii="宋体" w:eastAsia="宋体" w:hint="eastAsia"/>
                <w:sz w:val="18"/>
              </w:rPr>
              <w:t>佛山海尔电冰柜有限</w:t>
            </w:r>
          </w:p>
          <w:p>
            <w:pPr>
              <w:pStyle w:val="TableParagraph"/>
              <w:spacing w:line="213" w:lineRule="exact" w:before="2"/>
              <w:ind w:left="104"/>
              <w:rPr>
                <w:rFonts w:ascii="宋体" w:eastAsia="宋体" w:hint="eastAsia"/>
                <w:sz w:val="18"/>
              </w:rPr>
            </w:pPr>
            <w:r>
              <w:rPr>
                <w:rFonts w:ascii="宋体" w:eastAsia="宋体" w:hint="eastAsia"/>
                <w:sz w:val="18"/>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ind w:left="122" w:right="99"/>
              <w:jc w:val="center"/>
              <w:rPr>
                <w:rFonts w:ascii="宋体" w:eastAsia="宋体" w:hint="eastAsia"/>
                <w:sz w:val="18"/>
              </w:rPr>
            </w:pPr>
            <w:r>
              <w:rPr>
                <w:rFonts w:ascii="宋体" w:eastAsia="宋体" w:hint="eastAsia"/>
                <w:sz w:val="18"/>
              </w:rPr>
              <w:t>佛山市三</w:t>
            </w:r>
          </w:p>
          <w:p>
            <w:pPr>
              <w:pStyle w:val="TableParagraph"/>
              <w:spacing w:line="213" w:lineRule="exact" w:before="2"/>
              <w:ind w:left="141" w:right="118"/>
              <w:jc w:val="center"/>
              <w:rPr>
                <w:rFonts w:ascii="宋体" w:eastAsia="宋体" w:hint="eastAsia"/>
                <w:sz w:val="18"/>
              </w:rPr>
            </w:pPr>
            <w:r>
              <w:rPr>
                <w:rFonts w:ascii="宋体" w:eastAsia="宋体" w:hint="eastAsia"/>
                <w:sz w:val="18"/>
              </w:rPr>
              <w:t>水区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ind w:left="99" w:right="80"/>
              <w:jc w:val="center"/>
              <w:rPr>
                <w:rFonts w:ascii="宋体" w:eastAsia="宋体" w:hint="eastAsia"/>
                <w:sz w:val="18"/>
              </w:rPr>
            </w:pPr>
            <w:r>
              <w:rPr>
                <w:rFonts w:ascii="宋体" w:eastAsia="宋体" w:hint="eastAsia"/>
                <w:sz w:val="18"/>
              </w:rPr>
              <w:t>佛山市三</w:t>
            </w:r>
          </w:p>
          <w:p>
            <w:pPr>
              <w:pStyle w:val="TableParagraph"/>
              <w:spacing w:line="213" w:lineRule="exact" w:before="2"/>
              <w:ind w:left="99" w:right="80"/>
              <w:jc w:val="center"/>
              <w:rPr>
                <w:rFonts w:ascii="宋体" w:eastAsia="宋体" w:hint="eastAsia"/>
                <w:sz w:val="18"/>
              </w:rPr>
            </w:pPr>
            <w:r>
              <w:rPr>
                <w:rFonts w:ascii="宋体" w:eastAsia="宋体" w:hint="eastAsia"/>
                <w:sz w:val="18"/>
              </w:rPr>
              <w:t>水区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115"/>
              <w:ind w:left="115"/>
              <w:rPr>
                <w:rFonts w:ascii="宋体" w:eastAsia="宋体" w:hint="eastAsia"/>
                <w:sz w:val="18"/>
              </w:rPr>
            </w:pPr>
            <w:r>
              <w:rPr>
                <w:rFonts w:ascii="宋体" w:eastAsia="宋体" w:hint="eastAsia"/>
                <w:sz w:val="18"/>
              </w:rPr>
              <w:t>电冰柜生产销售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25"/>
              <w:ind w:right="88"/>
              <w:jc w:val="right"/>
              <w:rPr>
                <w:sz w:val="18"/>
              </w:rPr>
            </w:pPr>
            <w:r>
              <w:rPr>
                <w:sz w:val="18"/>
              </w:rPr>
              <w:t>100.00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13"/>
              <w:ind w:right="2"/>
              <w:jc w:val="right"/>
              <w:rPr>
                <w:rFonts w:ascii="宋体"/>
                <w:sz w:val="18"/>
              </w:rPr>
            </w:pPr>
            <w:r>
              <w:rPr>
                <w:rFonts w:ascii="宋体"/>
                <w:sz w:val="18"/>
              </w:rPr>
              <w:t> </w:t>
            </w:r>
          </w:p>
        </w:tc>
        <w:tc>
          <w:tcPr>
            <w:tcW w:w="934" w:type="dxa"/>
            <w:tcBorders>
              <w:top w:val="single" w:sz="4" w:space="0" w:color="000000"/>
              <w:left w:val="single" w:sz="4" w:space="0" w:color="000000"/>
              <w:bottom w:val="single" w:sz="4" w:space="0" w:color="000000"/>
            </w:tcBorders>
          </w:tcPr>
          <w:p>
            <w:pPr>
              <w:pStyle w:val="TableParagraph"/>
              <w:spacing w:before="115"/>
              <w:ind w:left="111"/>
              <w:rPr>
                <w:rFonts w:ascii="宋体" w:eastAsia="宋体" w:hint="eastAsia"/>
                <w:sz w:val="18"/>
              </w:rPr>
            </w:pPr>
            <w:r>
              <w:rPr>
                <w:rFonts w:ascii="宋体" w:eastAsia="宋体" w:hint="eastAsia"/>
                <w:sz w:val="18"/>
              </w:rPr>
              <w:t>设立</w:t>
            </w:r>
          </w:p>
        </w:tc>
      </w:tr>
      <w:tr>
        <w:trPr>
          <w:trHeight w:val="700" w:hRule="atLeast"/>
        </w:trPr>
        <w:tc>
          <w:tcPr>
            <w:tcW w:w="1964" w:type="dxa"/>
            <w:tcBorders>
              <w:top w:val="single" w:sz="4" w:space="0" w:color="000000"/>
              <w:bottom w:val="single" w:sz="4" w:space="0" w:color="000000"/>
              <w:right w:val="single" w:sz="4" w:space="0" w:color="000000"/>
            </w:tcBorders>
          </w:tcPr>
          <w:p>
            <w:pPr>
              <w:pStyle w:val="TableParagraph"/>
              <w:spacing w:line="242" w:lineRule="auto" w:before="117"/>
              <w:ind w:left="104" w:right="217"/>
              <w:rPr>
                <w:rFonts w:ascii="宋体" w:eastAsia="宋体" w:hint="eastAsia"/>
                <w:sz w:val="18"/>
              </w:rPr>
            </w:pPr>
            <w:r>
              <w:rPr>
                <w:rFonts w:ascii="宋体" w:eastAsia="宋体" w:hint="eastAsia"/>
                <w:sz w:val="18"/>
              </w:rPr>
              <w:t>郑州海尔空调器有限公司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2"/>
              <w:ind w:left="143" w:right="118"/>
              <w:jc w:val="center"/>
              <w:rPr>
                <w:rFonts w:ascii="宋体" w:eastAsia="宋体" w:hint="eastAsia"/>
                <w:sz w:val="18"/>
              </w:rPr>
            </w:pPr>
            <w:r>
              <w:rPr>
                <w:rFonts w:ascii="宋体" w:eastAsia="宋体" w:hint="eastAsia"/>
                <w:sz w:val="18"/>
              </w:rPr>
              <w:t>郑州经济技术开发区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2"/>
              <w:ind w:left="140" w:right="119"/>
              <w:jc w:val="center"/>
              <w:rPr>
                <w:rFonts w:ascii="宋体" w:eastAsia="宋体" w:hint="eastAsia"/>
                <w:sz w:val="18"/>
              </w:rPr>
            </w:pPr>
            <w:r>
              <w:rPr>
                <w:rFonts w:ascii="宋体" w:eastAsia="宋体" w:hint="eastAsia"/>
                <w:sz w:val="18"/>
              </w:rPr>
              <w:t>郑州经济技术开发区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5"/>
              <w:rPr>
                <w:sz w:val="20"/>
              </w:rPr>
            </w:pPr>
          </w:p>
          <w:p>
            <w:pPr>
              <w:pStyle w:val="TableParagraph"/>
              <w:ind w:left="115"/>
              <w:rPr>
                <w:rFonts w:ascii="宋体" w:eastAsia="宋体" w:hint="eastAsia"/>
                <w:sz w:val="18"/>
              </w:rPr>
            </w:pPr>
            <w:r>
              <w:rPr>
                <w:rFonts w:ascii="宋体" w:eastAsia="宋体" w:hint="eastAsia"/>
                <w:sz w:val="18"/>
              </w:rPr>
              <w:t>空调生产销售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1"/>
              </w:rPr>
            </w:pPr>
          </w:p>
          <w:p>
            <w:pPr>
              <w:pStyle w:val="TableParagraph"/>
              <w:ind w:right="88"/>
              <w:jc w:val="right"/>
              <w:rPr>
                <w:sz w:val="18"/>
              </w:rPr>
            </w:pPr>
            <w:r>
              <w:rPr>
                <w:sz w:val="18"/>
              </w:rPr>
              <w:t>100.00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rPr>
                <w:sz w:val="20"/>
              </w:rPr>
            </w:pPr>
          </w:p>
          <w:p>
            <w:pPr>
              <w:pStyle w:val="TableParagraph"/>
              <w:ind w:right="2"/>
              <w:jc w:val="right"/>
              <w:rPr>
                <w:rFonts w:ascii="宋体"/>
                <w:sz w:val="18"/>
              </w:rPr>
            </w:pPr>
            <w:r>
              <w:rPr>
                <w:rFonts w:ascii="宋体"/>
                <w:sz w:val="18"/>
              </w:rPr>
              <w:t> </w:t>
            </w:r>
          </w:p>
        </w:tc>
        <w:tc>
          <w:tcPr>
            <w:tcW w:w="934" w:type="dxa"/>
            <w:tcBorders>
              <w:top w:val="single" w:sz="4" w:space="0" w:color="000000"/>
              <w:left w:val="single" w:sz="4" w:space="0" w:color="000000"/>
              <w:bottom w:val="single" w:sz="4" w:space="0" w:color="000000"/>
            </w:tcBorders>
          </w:tcPr>
          <w:p>
            <w:pPr>
              <w:pStyle w:val="TableParagraph"/>
              <w:spacing w:before="5"/>
              <w:rPr>
                <w:sz w:val="20"/>
              </w:rPr>
            </w:pPr>
          </w:p>
          <w:p>
            <w:pPr>
              <w:pStyle w:val="TableParagraph"/>
              <w:ind w:left="111"/>
              <w:rPr>
                <w:rFonts w:ascii="宋体" w:eastAsia="宋体" w:hint="eastAsia"/>
                <w:sz w:val="18"/>
              </w:rPr>
            </w:pPr>
            <w:r>
              <w:rPr>
                <w:rFonts w:ascii="宋体" w:eastAsia="宋体" w:hint="eastAsia"/>
                <w:sz w:val="18"/>
              </w:rPr>
              <w:t>设立</w:t>
            </w:r>
          </w:p>
        </w:tc>
      </w:tr>
      <w:tr>
        <w:trPr>
          <w:trHeight w:val="700" w:hRule="atLeast"/>
        </w:trPr>
        <w:tc>
          <w:tcPr>
            <w:tcW w:w="1964" w:type="dxa"/>
            <w:tcBorders>
              <w:top w:val="single" w:sz="4" w:space="0" w:color="000000"/>
              <w:bottom w:val="single" w:sz="4" w:space="0" w:color="000000"/>
              <w:right w:val="single" w:sz="4" w:space="0" w:color="000000"/>
            </w:tcBorders>
          </w:tcPr>
          <w:p>
            <w:pPr>
              <w:pStyle w:val="TableParagraph"/>
              <w:spacing w:line="242" w:lineRule="auto" w:before="117"/>
              <w:ind w:left="104" w:right="217"/>
              <w:rPr>
                <w:rFonts w:ascii="宋体" w:eastAsia="宋体" w:hint="eastAsia"/>
                <w:sz w:val="18"/>
              </w:rPr>
            </w:pPr>
            <w:r>
              <w:rPr>
                <w:rFonts w:ascii="宋体" w:eastAsia="宋体" w:hint="eastAsia"/>
                <w:sz w:val="18"/>
              </w:rPr>
              <w:t>青岛海达源采购服务有限公司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17"/>
              <w:ind w:left="414" w:right="118" w:hanging="272"/>
              <w:rPr>
                <w:rFonts w:ascii="宋体" w:eastAsia="宋体" w:hint="eastAsia"/>
                <w:sz w:val="18"/>
              </w:rPr>
            </w:pPr>
            <w:r>
              <w:rPr>
                <w:rFonts w:ascii="宋体" w:eastAsia="宋体" w:hint="eastAsia"/>
                <w:sz w:val="18"/>
              </w:rPr>
              <w:t>青岛开发区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17"/>
              <w:ind w:left="411" w:right="119" w:hanging="272"/>
              <w:rPr>
                <w:rFonts w:ascii="宋体" w:eastAsia="宋体" w:hint="eastAsia"/>
                <w:sz w:val="18"/>
              </w:rPr>
            </w:pPr>
            <w:r>
              <w:rPr>
                <w:rFonts w:ascii="宋体" w:eastAsia="宋体" w:hint="eastAsia"/>
                <w:sz w:val="18"/>
              </w:rPr>
              <w:t>青岛开发区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5"/>
              <w:rPr>
                <w:rFonts w:ascii="宋体" w:eastAsia="宋体" w:hint="eastAsia"/>
                <w:sz w:val="18"/>
              </w:rPr>
            </w:pPr>
            <w:r>
              <w:rPr>
                <w:rFonts w:ascii="宋体" w:eastAsia="宋体" w:hint="eastAsia"/>
                <w:sz w:val="18"/>
              </w:rPr>
              <w:t>开发、采购、销</w:t>
            </w:r>
          </w:p>
          <w:p>
            <w:pPr>
              <w:pStyle w:val="TableParagraph"/>
              <w:spacing w:line="230" w:lineRule="atLeast" w:before="4"/>
              <w:ind w:left="115" w:right="173"/>
              <w:rPr>
                <w:rFonts w:ascii="宋体" w:eastAsia="宋体" w:hint="eastAsia"/>
                <w:sz w:val="18"/>
              </w:rPr>
            </w:pPr>
            <w:r>
              <w:rPr>
                <w:rFonts w:ascii="宋体" w:eastAsia="宋体" w:hint="eastAsia"/>
                <w:sz w:val="18"/>
              </w:rPr>
              <w:t>售电器产品及部件</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1"/>
              </w:rPr>
            </w:pPr>
          </w:p>
          <w:p>
            <w:pPr>
              <w:pStyle w:val="TableParagraph"/>
              <w:ind w:right="88"/>
              <w:jc w:val="right"/>
              <w:rPr>
                <w:sz w:val="18"/>
              </w:rPr>
            </w:pPr>
            <w:r>
              <w:rPr>
                <w:sz w:val="18"/>
              </w:rPr>
              <w:t>100.00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rPr>
                <w:sz w:val="20"/>
              </w:rPr>
            </w:pPr>
          </w:p>
          <w:p>
            <w:pPr>
              <w:pStyle w:val="TableParagraph"/>
              <w:ind w:right="2"/>
              <w:jc w:val="right"/>
              <w:rPr>
                <w:rFonts w:ascii="宋体"/>
                <w:sz w:val="18"/>
              </w:rPr>
            </w:pPr>
            <w:r>
              <w:rPr>
                <w:rFonts w:ascii="宋体"/>
                <w:sz w:val="18"/>
              </w:rPr>
              <w:t> </w:t>
            </w:r>
          </w:p>
        </w:tc>
        <w:tc>
          <w:tcPr>
            <w:tcW w:w="934" w:type="dxa"/>
            <w:tcBorders>
              <w:top w:val="single" w:sz="4" w:space="0" w:color="000000"/>
              <w:left w:val="single" w:sz="4" w:space="0" w:color="000000"/>
              <w:bottom w:val="single" w:sz="4" w:space="0" w:color="000000"/>
            </w:tcBorders>
          </w:tcPr>
          <w:p>
            <w:pPr>
              <w:pStyle w:val="TableParagraph"/>
              <w:spacing w:before="5"/>
              <w:rPr>
                <w:sz w:val="20"/>
              </w:rPr>
            </w:pPr>
          </w:p>
          <w:p>
            <w:pPr>
              <w:pStyle w:val="TableParagraph"/>
              <w:ind w:left="111"/>
              <w:rPr>
                <w:rFonts w:ascii="宋体" w:eastAsia="宋体" w:hint="eastAsia"/>
                <w:sz w:val="18"/>
              </w:rPr>
            </w:pPr>
            <w:r>
              <w:rPr>
                <w:rFonts w:ascii="宋体" w:eastAsia="宋体" w:hint="eastAsia"/>
                <w:sz w:val="18"/>
              </w:rPr>
              <w:t>设立</w:t>
            </w:r>
          </w:p>
        </w:tc>
      </w:tr>
      <w:tr>
        <w:trPr>
          <w:trHeight w:val="467" w:hRule="atLeast"/>
        </w:trPr>
        <w:tc>
          <w:tcPr>
            <w:tcW w:w="1964" w:type="dxa"/>
            <w:tcBorders>
              <w:top w:val="single" w:sz="4" w:space="0" w:color="000000"/>
              <w:bottom w:val="single" w:sz="4" w:space="0" w:color="000000"/>
              <w:right w:val="single" w:sz="4" w:space="0" w:color="000000"/>
            </w:tcBorders>
          </w:tcPr>
          <w:p>
            <w:pPr>
              <w:pStyle w:val="TableParagraph"/>
              <w:spacing w:line="230" w:lineRule="exact"/>
              <w:ind w:left="104"/>
              <w:rPr>
                <w:rFonts w:ascii="宋体" w:eastAsia="宋体" w:hint="eastAsia"/>
                <w:sz w:val="18"/>
              </w:rPr>
            </w:pPr>
            <w:r>
              <w:rPr>
                <w:rFonts w:ascii="宋体" w:eastAsia="宋体" w:hint="eastAsia"/>
                <w:sz w:val="18"/>
              </w:rPr>
              <w:t>青岛海尔智能技术研</w:t>
            </w:r>
          </w:p>
          <w:p>
            <w:pPr>
              <w:pStyle w:val="TableParagraph"/>
              <w:spacing w:line="213" w:lineRule="exact" w:before="4"/>
              <w:ind w:left="104"/>
              <w:rPr>
                <w:rFonts w:ascii="宋体" w:eastAsia="宋体" w:hint="eastAsia"/>
                <w:sz w:val="18"/>
              </w:rPr>
            </w:pPr>
            <w:r>
              <w:rPr>
                <w:rFonts w:ascii="宋体" w:eastAsia="宋体" w:hint="eastAsia"/>
                <w:sz w:val="18"/>
              </w:rPr>
              <w:t>发有限公司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22" w:right="99"/>
              <w:jc w:val="center"/>
              <w:rPr>
                <w:rFonts w:ascii="宋体" w:eastAsia="宋体" w:hint="eastAsia"/>
                <w:sz w:val="18"/>
              </w:rPr>
            </w:pPr>
            <w:r>
              <w:rPr>
                <w:rFonts w:ascii="宋体" w:eastAsia="宋体" w:hint="eastAsia"/>
                <w:sz w:val="18"/>
              </w:rPr>
              <w:t>青岛高科</w:t>
            </w:r>
          </w:p>
          <w:p>
            <w:pPr>
              <w:pStyle w:val="TableParagraph"/>
              <w:spacing w:line="213" w:lineRule="exact" w:before="4"/>
              <w:ind w:left="25"/>
              <w:jc w:val="center"/>
              <w:rPr>
                <w:rFonts w:ascii="宋体" w:eastAsia="宋体" w:hint="eastAsia"/>
                <w:sz w:val="18"/>
              </w:rPr>
            </w:pPr>
            <w:r>
              <w:rPr>
                <w:rFonts w:ascii="宋体" w:eastAsia="宋体" w:hint="eastAsia"/>
                <w:sz w:val="18"/>
              </w:rPr>
              <w:t>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9" w:right="80"/>
              <w:jc w:val="center"/>
              <w:rPr>
                <w:rFonts w:ascii="宋体" w:eastAsia="宋体" w:hint="eastAsia"/>
                <w:sz w:val="18"/>
              </w:rPr>
            </w:pPr>
            <w:r>
              <w:rPr>
                <w:rFonts w:ascii="宋体" w:eastAsia="宋体" w:hint="eastAsia"/>
                <w:sz w:val="18"/>
              </w:rPr>
              <w:t>青岛高科</w:t>
            </w:r>
          </w:p>
          <w:p>
            <w:pPr>
              <w:pStyle w:val="TableParagraph"/>
              <w:spacing w:line="213" w:lineRule="exact" w:before="4"/>
              <w:ind w:left="21"/>
              <w:jc w:val="center"/>
              <w:rPr>
                <w:rFonts w:ascii="宋体" w:eastAsia="宋体" w:hint="eastAsia"/>
                <w:sz w:val="18"/>
              </w:rPr>
            </w:pPr>
            <w:r>
              <w:rPr>
                <w:rFonts w:ascii="宋体" w:eastAsia="宋体" w:hint="eastAsia"/>
                <w:sz w:val="18"/>
              </w:rPr>
              <w:t>园</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5"/>
              <w:rPr>
                <w:rFonts w:ascii="宋体" w:eastAsia="宋体" w:hint="eastAsia"/>
                <w:sz w:val="18"/>
              </w:rPr>
            </w:pPr>
            <w:r>
              <w:rPr>
                <w:rFonts w:ascii="宋体" w:eastAsia="宋体" w:hint="eastAsia"/>
                <w:sz w:val="18"/>
              </w:rPr>
              <w:t>家电产品的开</w:t>
            </w:r>
          </w:p>
          <w:p>
            <w:pPr>
              <w:pStyle w:val="TableParagraph"/>
              <w:spacing w:line="213" w:lineRule="exact" w:before="4"/>
              <w:ind w:left="115"/>
              <w:rPr>
                <w:rFonts w:ascii="宋体" w:eastAsia="宋体" w:hint="eastAsia"/>
                <w:sz w:val="18"/>
              </w:rPr>
            </w:pPr>
            <w:r>
              <w:rPr>
                <w:rFonts w:ascii="宋体" w:eastAsia="宋体" w:hint="eastAsia"/>
                <w:sz w:val="18"/>
              </w:rPr>
              <w:t>发、研究</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27"/>
              <w:ind w:right="88"/>
              <w:jc w:val="right"/>
              <w:rPr>
                <w:sz w:val="18"/>
              </w:rPr>
            </w:pPr>
            <w:r>
              <w:rPr>
                <w:sz w:val="18"/>
              </w:rPr>
              <w:t>100.00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15"/>
              <w:ind w:right="2"/>
              <w:jc w:val="right"/>
              <w:rPr>
                <w:rFonts w:ascii="宋体"/>
                <w:sz w:val="18"/>
              </w:rPr>
            </w:pPr>
            <w:r>
              <w:rPr>
                <w:rFonts w:ascii="宋体"/>
                <w:sz w:val="18"/>
              </w:rPr>
              <w:t> </w:t>
            </w:r>
          </w:p>
        </w:tc>
        <w:tc>
          <w:tcPr>
            <w:tcW w:w="934" w:type="dxa"/>
            <w:tcBorders>
              <w:top w:val="single" w:sz="4" w:space="0" w:color="000000"/>
              <w:left w:val="single" w:sz="4" w:space="0" w:color="000000"/>
              <w:bottom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r>
        <w:trPr>
          <w:trHeight w:val="700" w:hRule="atLeast"/>
        </w:trPr>
        <w:tc>
          <w:tcPr>
            <w:tcW w:w="1964" w:type="dxa"/>
            <w:tcBorders>
              <w:top w:val="single" w:sz="4" w:space="0" w:color="000000"/>
              <w:bottom w:val="single" w:sz="4" w:space="0" w:color="000000"/>
              <w:right w:val="single" w:sz="4" w:space="0" w:color="000000"/>
            </w:tcBorders>
          </w:tcPr>
          <w:p>
            <w:pPr>
              <w:pStyle w:val="TableParagraph"/>
              <w:spacing w:line="242" w:lineRule="auto" w:before="117"/>
              <w:ind w:left="104" w:right="217"/>
              <w:rPr>
                <w:rFonts w:ascii="宋体" w:eastAsia="宋体" w:hint="eastAsia"/>
                <w:sz w:val="18"/>
              </w:rPr>
            </w:pPr>
            <w:r>
              <w:rPr>
                <w:rFonts w:ascii="宋体" w:eastAsia="宋体" w:hint="eastAsia"/>
                <w:sz w:val="18"/>
              </w:rPr>
              <w:t>青岛海日高科模型有限公司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17"/>
              <w:ind w:left="414" w:right="118" w:hanging="272"/>
              <w:rPr>
                <w:rFonts w:ascii="宋体" w:eastAsia="宋体" w:hint="eastAsia"/>
                <w:sz w:val="18"/>
              </w:rPr>
            </w:pPr>
            <w:r>
              <w:rPr>
                <w:rFonts w:ascii="宋体" w:eastAsia="宋体" w:hint="eastAsia"/>
                <w:sz w:val="18"/>
              </w:rPr>
              <w:t>青岛高科园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17"/>
              <w:ind w:left="411" w:right="119" w:hanging="272"/>
              <w:rPr>
                <w:rFonts w:ascii="宋体" w:eastAsia="宋体" w:hint="eastAsia"/>
                <w:sz w:val="18"/>
              </w:rPr>
            </w:pPr>
            <w:r>
              <w:rPr>
                <w:rFonts w:ascii="宋体" w:eastAsia="宋体" w:hint="eastAsia"/>
                <w:sz w:val="18"/>
              </w:rPr>
              <w:t>青岛高科园</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ind w:left="115" w:right="173"/>
              <w:rPr>
                <w:rFonts w:ascii="宋体" w:eastAsia="宋体" w:hint="eastAsia"/>
                <w:sz w:val="18"/>
              </w:rPr>
            </w:pPr>
            <w:r>
              <w:rPr>
                <w:rFonts w:ascii="宋体" w:eastAsia="宋体" w:hint="eastAsia"/>
                <w:sz w:val="18"/>
              </w:rPr>
              <w:t>设计、生产、销售：产品模型、</w:t>
            </w:r>
          </w:p>
          <w:p>
            <w:pPr>
              <w:pStyle w:val="TableParagraph"/>
              <w:spacing w:line="213" w:lineRule="exact" w:before="2"/>
              <w:ind w:left="115"/>
              <w:rPr>
                <w:rFonts w:ascii="宋体" w:eastAsia="宋体" w:hint="eastAsia"/>
                <w:sz w:val="18"/>
              </w:rPr>
            </w:pPr>
            <w:r>
              <w:rPr>
                <w:rFonts w:ascii="宋体" w:eastAsia="宋体" w:hint="eastAsia"/>
                <w:sz w:val="18"/>
              </w:rPr>
              <w:t>模具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p>
            <w:pPr>
              <w:pStyle w:val="TableParagraph"/>
              <w:ind w:right="1"/>
              <w:jc w:val="right"/>
              <w:rPr>
                <w:rFonts w:ascii="宋体"/>
                <w:sz w:val="18"/>
              </w:rPr>
            </w:pPr>
            <w:r>
              <w:rPr>
                <w:rFonts w:ascii="宋体"/>
                <w:sz w:val="18"/>
              </w:rPr>
              <w:t> </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rPr>
                <w:sz w:val="21"/>
              </w:rPr>
            </w:pPr>
          </w:p>
          <w:p>
            <w:pPr>
              <w:pStyle w:val="TableParagraph"/>
              <w:ind w:left="395"/>
              <w:rPr>
                <w:sz w:val="18"/>
              </w:rPr>
            </w:pPr>
            <w:r>
              <w:rPr>
                <w:sz w:val="18"/>
              </w:rPr>
              <w:t>100.00</w:t>
            </w:r>
          </w:p>
        </w:tc>
        <w:tc>
          <w:tcPr>
            <w:tcW w:w="934" w:type="dxa"/>
            <w:tcBorders>
              <w:top w:val="single" w:sz="4" w:space="0" w:color="000000"/>
              <w:left w:val="single" w:sz="4" w:space="0" w:color="000000"/>
              <w:bottom w:val="single" w:sz="4" w:space="0" w:color="000000"/>
            </w:tcBorders>
          </w:tcPr>
          <w:p>
            <w:pPr>
              <w:pStyle w:val="TableParagraph"/>
              <w:spacing w:line="242" w:lineRule="auto" w:before="117"/>
              <w:ind w:left="111" w:right="260"/>
              <w:rPr>
                <w:rFonts w:ascii="宋体" w:eastAsia="宋体" w:hint="eastAsia"/>
                <w:sz w:val="18"/>
              </w:rPr>
            </w:pPr>
            <w:r>
              <w:rPr>
                <w:rFonts w:ascii="宋体" w:eastAsia="宋体" w:hint="eastAsia"/>
                <w:sz w:val="18"/>
              </w:rPr>
              <w:t>同一控制合并</w:t>
            </w:r>
          </w:p>
        </w:tc>
      </w:tr>
      <w:tr>
        <w:trPr>
          <w:trHeight w:val="467" w:hRule="atLeast"/>
        </w:trPr>
        <w:tc>
          <w:tcPr>
            <w:tcW w:w="1964" w:type="dxa"/>
            <w:tcBorders>
              <w:top w:val="single" w:sz="4" w:space="0" w:color="000000"/>
              <w:bottom w:val="single" w:sz="4" w:space="0" w:color="000000"/>
              <w:right w:val="single" w:sz="4" w:space="0" w:color="000000"/>
            </w:tcBorders>
          </w:tcPr>
          <w:p>
            <w:pPr>
              <w:pStyle w:val="TableParagraph"/>
              <w:ind w:left="104"/>
              <w:rPr>
                <w:rFonts w:ascii="宋体" w:eastAsia="宋体" w:hint="eastAsia"/>
                <w:sz w:val="18"/>
              </w:rPr>
            </w:pPr>
            <w:r>
              <w:rPr>
                <w:rFonts w:ascii="宋体" w:eastAsia="宋体" w:hint="eastAsia"/>
                <w:sz w:val="18"/>
              </w:rPr>
              <w:t>青岛海高设计制造有</w:t>
            </w:r>
          </w:p>
          <w:p>
            <w:pPr>
              <w:pStyle w:val="TableParagraph"/>
              <w:spacing w:line="215" w:lineRule="exact" w:before="2"/>
              <w:ind w:left="104"/>
              <w:rPr>
                <w:rFonts w:ascii="宋体" w:eastAsia="宋体" w:hint="eastAsia"/>
                <w:sz w:val="18"/>
              </w:rPr>
            </w:pPr>
            <w:r>
              <w:rPr>
                <w:rFonts w:ascii="宋体" w:eastAsia="宋体" w:hint="eastAsia"/>
                <w:sz w:val="18"/>
              </w:rPr>
              <w:t>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ind w:left="122" w:right="99"/>
              <w:jc w:val="center"/>
              <w:rPr>
                <w:rFonts w:ascii="宋体" w:eastAsia="宋体" w:hint="eastAsia"/>
                <w:sz w:val="18"/>
              </w:rPr>
            </w:pPr>
            <w:r>
              <w:rPr>
                <w:rFonts w:ascii="宋体" w:eastAsia="宋体" w:hint="eastAsia"/>
                <w:sz w:val="18"/>
              </w:rPr>
              <w:t>青岛高科</w:t>
            </w:r>
          </w:p>
          <w:p>
            <w:pPr>
              <w:pStyle w:val="TableParagraph"/>
              <w:spacing w:line="215" w:lineRule="exact" w:before="2"/>
              <w:ind w:left="25"/>
              <w:jc w:val="center"/>
              <w:rPr>
                <w:rFonts w:ascii="宋体" w:eastAsia="宋体" w:hint="eastAsia"/>
                <w:sz w:val="18"/>
              </w:rPr>
            </w:pPr>
            <w:r>
              <w:rPr>
                <w:rFonts w:ascii="宋体" w:eastAsia="宋体" w:hint="eastAsia"/>
                <w:sz w:val="18"/>
              </w:rPr>
              <w:t>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ind w:left="99" w:right="80"/>
              <w:jc w:val="center"/>
              <w:rPr>
                <w:rFonts w:ascii="宋体" w:eastAsia="宋体" w:hint="eastAsia"/>
                <w:sz w:val="18"/>
              </w:rPr>
            </w:pPr>
            <w:r>
              <w:rPr>
                <w:rFonts w:ascii="宋体" w:eastAsia="宋体" w:hint="eastAsia"/>
                <w:sz w:val="18"/>
              </w:rPr>
              <w:t>青岛高科</w:t>
            </w:r>
          </w:p>
          <w:p>
            <w:pPr>
              <w:pStyle w:val="TableParagraph"/>
              <w:spacing w:line="215" w:lineRule="exact" w:before="2"/>
              <w:ind w:left="21"/>
              <w:jc w:val="center"/>
              <w:rPr>
                <w:rFonts w:ascii="宋体" w:eastAsia="宋体" w:hint="eastAsia"/>
                <w:sz w:val="18"/>
              </w:rPr>
            </w:pPr>
            <w:r>
              <w:rPr>
                <w:rFonts w:ascii="宋体" w:eastAsia="宋体" w:hint="eastAsia"/>
                <w:sz w:val="18"/>
              </w:rPr>
              <w:t>园</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ind w:left="115"/>
              <w:rPr>
                <w:rFonts w:ascii="宋体" w:eastAsia="宋体" w:hint="eastAsia"/>
                <w:sz w:val="18"/>
              </w:rPr>
            </w:pPr>
            <w:r>
              <w:rPr>
                <w:rFonts w:ascii="宋体" w:eastAsia="宋体" w:hint="eastAsia"/>
                <w:sz w:val="18"/>
              </w:rPr>
              <w:t>工业产品设计、</w:t>
            </w:r>
          </w:p>
          <w:p>
            <w:pPr>
              <w:pStyle w:val="TableParagraph"/>
              <w:spacing w:line="215" w:lineRule="exact" w:before="2"/>
              <w:ind w:left="115"/>
              <w:rPr>
                <w:rFonts w:ascii="宋体" w:eastAsia="宋体" w:hint="eastAsia"/>
                <w:sz w:val="18"/>
              </w:rPr>
            </w:pPr>
            <w:r>
              <w:rPr>
                <w:rFonts w:ascii="宋体" w:eastAsia="宋体" w:hint="eastAsia"/>
                <w:sz w:val="18"/>
              </w:rPr>
              <w:t>模型样机制作</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2"/>
              <w:ind w:right="1"/>
              <w:jc w:val="right"/>
              <w:rPr>
                <w:rFonts w:ascii="宋体"/>
                <w:sz w:val="18"/>
              </w:rPr>
            </w:pPr>
            <w:r>
              <w:rPr>
                <w:rFonts w:ascii="宋体"/>
                <w:sz w:val="18"/>
              </w:rPr>
              <w:t> </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24"/>
              <w:ind w:right="91"/>
              <w:jc w:val="right"/>
              <w:rPr>
                <w:sz w:val="18"/>
              </w:rPr>
            </w:pPr>
            <w:r>
              <w:rPr>
                <w:sz w:val="18"/>
              </w:rPr>
              <w:t>75.00</w:t>
            </w:r>
          </w:p>
        </w:tc>
        <w:tc>
          <w:tcPr>
            <w:tcW w:w="934" w:type="dxa"/>
            <w:tcBorders>
              <w:top w:val="single" w:sz="4" w:space="0" w:color="000000"/>
              <w:left w:val="single" w:sz="4" w:space="0" w:color="000000"/>
              <w:bottom w:val="single" w:sz="4" w:space="0" w:color="000000"/>
            </w:tcBorders>
          </w:tcPr>
          <w:p>
            <w:pPr>
              <w:pStyle w:val="TableParagraph"/>
              <w:ind w:left="111"/>
              <w:rPr>
                <w:rFonts w:ascii="宋体" w:eastAsia="宋体" w:hint="eastAsia"/>
                <w:sz w:val="18"/>
              </w:rPr>
            </w:pPr>
            <w:r>
              <w:rPr>
                <w:rFonts w:ascii="宋体" w:eastAsia="宋体" w:hint="eastAsia"/>
                <w:sz w:val="18"/>
              </w:rPr>
              <w:t>同一控</w:t>
            </w:r>
          </w:p>
          <w:p>
            <w:pPr>
              <w:pStyle w:val="TableParagraph"/>
              <w:spacing w:line="215" w:lineRule="exact" w:before="2"/>
              <w:ind w:left="111"/>
              <w:rPr>
                <w:rFonts w:ascii="宋体" w:eastAsia="宋体" w:hint="eastAsia"/>
                <w:sz w:val="18"/>
              </w:rPr>
            </w:pPr>
            <w:r>
              <w:rPr>
                <w:rFonts w:ascii="宋体" w:eastAsia="宋体" w:hint="eastAsia"/>
                <w:sz w:val="18"/>
              </w:rPr>
              <w:t>制合并</w:t>
            </w:r>
          </w:p>
        </w:tc>
      </w:tr>
      <w:tr>
        <w:trPr>
          <w:trHeight w:val="465" w:hRule="atLeast"/>
        </w:trPr>
        <w:tc>
          <w:tcPr>
            <w:tcW w:w="1964" w:type="dxa"/>
            <w:tcBorders>
              <w:top w:val="single" w:sz="4" w:space="0" w:color="000000"/>
              <w:bottom w:val="single" w:sz="4" w:space="0" w:color="000000"/>
              <w:right w:val="single" w:sz="4" w:space="0" w:color="000000"/>
            </w:tcBorders>
          </w:tcPr>
          <w:p>
            <w:pPr>
              <w:pStyle w:val="TableParagraph"/>
              <w:ind w:left="104"/>
              <w:rPr>
                <w:rFonts w:ascii="宋体" w:eastAsia="宋体" w:hint="eastAsia"/>
                <w:sz w:val="18"/>
              </w:rPr>
            </w:pPr>
            <w:r>
              <w:rPr>
                <w:rFonts w:ascii="宋体" w:eastAsia="宋体" w:hint="eastAsia"/>
                <w:sz w:val="18"/>
              </w:rPr>
              <w:t>北京海尔广科数字技</w:t>
            </w:r>
          </w:p>
          <w:p>
            <w:pPr>
              <w:pStyle w:val="TableParagraph"/>
              <w:spacing w:line="213" w:lineRule="exact" w:before="2"/>
              <w:ind w:left="104"/>
              <w:rPr>
                <w:rFonts w:ascii="宋体" w:eastAsia="宋体" w:hint="eastAsia"/>
                <w:sz w:val="18"/>
              </w:rPr>
            </w:pPr>
            <w:r>
              <w:rPr>
                <w:rFonts w:ascii="宋体" w:eastAsia="宋体" w:hint="eastAsia"/>
                <w:sz w:val="18"/>
              </w:rPr>
              <w:t>术有限公司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15"/>
              <w:ind w:left="141" w:right="118"/>
              <w:jc w:val="center"/>
              <w:rPr>
                <w:rFonts w:ascii="宋体" w:eastAsia="宋体" w:hint="eastAsia"/>
                <w:sz w:val="18"/>
              </w:rPr>
            </w:pPr>
            <w:r>
              <w:rPr>
                <w:rFonts w:ascii="宋体" w:eastAsia="宋体" w:hint="eastAsia"/>
                <w:sz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5"/>
              <w:ind w:left="99" w:right="80"/>
              <w:jc w:val="center"/>
              <w:rPr>
                <w:rFonts w:ascii="宋体" w:eastAsia="宋体" w:hint="eastAsia"/>
                <w:sz w:val="18"/>
              </w:rPr>
            </w:pPr>
            <w:r>
              <w:rPr>
                <w:rFonts w:ascii="宋体" w:eastAsia="宋体" w:hint="eastAsia"/>
                <w:sz w:val="18"/>
              </w:rPr>
              <w:t>北京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ind w:left="115"/>
              <w:rPr>
                <w:rFonts w:ascii="宋体" w:eastAsia="宋体" w:hint="eastAsia"/>
                <w:sz w:val="18"/>
              </w:rPr>
            </w:pPr>
            <w:r>
              <w:rPr>
                <w:rFonts w:ascii="宋体" w:eastAsia="宋体" w:hint="eastAsia"/>
                <w:sz w:val="18"/>
              </w:rPr>
              <w:t>技术开发推广转</w:t>
            </w:r>
          </w:p>
          <w:p>
            <w:pPr>
              <w:pStyle w:val="TableParagraph"/>
              <w:spacing w:line="213" w:lineRule="exact" w:before="2"/>
              <w:ind w:left="115"/>
              <w:rPr>
                <w:rFonts w:ascii="宋体" w:eastAsia="宋体" w:hint="eastAsia"/>
                <w:sz w:val="18"/>
              </w:rPr>
            </w:pPr>
            <w:r>
              <w:rPr>
                <w:rFonts w:ascii="宋体" w:eastAsia="宋体" w:hint="eastAsia"/>
                <w:sz w:val="18"/>
              </w:rPr>
              <w:t>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3"/>
              <w:ind w:right="1"/>
              <w:jc w:val="right"/>
              <w:rPr>
                <w:rFonts w:ascii="宋体"/>
                <w:sz w:val="18"/>
              </w:rPr>
            </w:pPr>
            <w:r>
              <w:rPr>
                <w:rFonts w:ascii="宋体"/>
                <w:sz w:val="18"/>
              </w:rPr>
              <w:t> </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25"/>
              <w:ind w:right="91"/>
              <w:jc w:val="right"/>
              <w:rPr>
                <w:sz w:val="18"/>
              </w:rPr>
            </w:pPr>
            <w:r>
              <w:rPr>
                <w:sz w:val="18"/>
              </w:rPr>
              <w:t>55.00</w:t>
            </w:r>
          </w:p>
        </w:tc>
        <w:tc>
          <w:tcPr>
            <w:tcW w:w="934" w:type="dxa"/>
            <w:tcBorders>
              <w:top w:val="single" w:sz="4" w:space="0" w:color="000000"/>
              <w:left w:val="single" w:sz="4" w:space="0" w:color="000000"/>
              <w:bottom w:val="single" w:sz="4" w:space="0" w:color="000000"/>
            </w:tcBorders>
          </w:tcPr>
          <w:p>
            <w:pPr>
              <w:pStyle w:val="TableParagraph"/>
              <w:ind w:left="111"/>
              <w:rPr>
                <w:rFonts w:ascii="宋体" w:eastAsia="宋体" w:hint="eastAsia"/>
                <w:sz w:val="18"/>
              </w:rPr>
            </w:pPr>
            <w:r>
              <w:rPr>
                <w:rFonts w:ascii="宋体" w:eastAsia="宋体" w:hint="eastAsia"/>
                <w:sz w:val="18"/>
              </w:rPr>
              <w:t>同一控</w:t>
            </w:r>
          </w:p>
          <w:p>
            <w:pPr>
              <w:pStyle w:val="TableParagraph"/>
              <w:spacing w:line="213" w:lineRule="exact" w:before="2"/>
              <w:ind w:left="111"/>
              <w:rPr>
                <w:rFonts w:ascii="宋体" w:eastAsia="宋体" w:hint="eastAsia"/>
                <w:sz w:val="18"/>
              </w:rPr>
            </w:pPr>
            <w:r>
              <w:rPr>
                <w:rFonts w:ascii="宋体" w:eastAsia="宋体" w:hint="eastAsia"/>
                <w:sz w:val="18"/>
              </w:rPr>
              <w:t>制合并</w:t>
            </w:r>
          </w:p>
        </w:tc>
      </w:tr>
      <w:tr>
        <w:trPr>
          <w:trHeight w:val="467" w:hRule="atLeast"/>
        </w:trPr>
        <w:tc>
          <w:tcPr>
            <w:tcW w:w="1964" w:type="dxa"/>
            <w:tcBorders>
              <w:top w:val="single" w:sz="4" w:space="0" w:color="000000"/>
              <w:bottom w:val="single" w:sz="4" w:space="0" w:color="000000"/>
              <w:right w:val="single" w:sz="4" w:space="0" w:color="000000"/>
            </w:tcBorders>
          </w:tcPr>
          <w:p>
            <w:pPr>
              <w:pStyle w:val="TableParagraph"/>
              <w:spacing w:line="230" w:lineRule="atLeast" w:before="2"/>
              <w:ind w:left="104" w:right="217"/>
              <w:rPr>
                <w:rFonts w:ascii="宋体" w:eastAsia="宋体" w:hint="eastAsia"/>
                <w:sz w:val="18"/>
              </w:rPr>
            </w:pPr>
            <w:r>
              <w:rPr>
                <w:rFonts w:ascii="宋体" w:eastAsia="宋体" w:hint="eastAsia"/>
                <w:sz w:val="18"/>
              </w:rPr>
              <w:t>上海海尔医疗科技有限公司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17"/>
              <w:ind w:left="141" w:right="118"/>
              <w:jc w:val="center"/>
              <w:rPr>
                <w:rFonts w:ascii="宋体" w:eastAsia="宋体" w:hint="eastAsia"/>
                <w:sz w:val="18"/>
              </w:rPr>
            </w:pPr>
            <w:r>
              <w:rPr>
                <w:rFonts w:ascii="宋体" w:eastAsia="宋体" w:hint="eastAsia"/>
                <w:sz w:val="18"/>
              </w:rPr>
              <w:t>上海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7"/>
              <w:ind w:left="99" w:right="80"/>
              <w:jc w:val="center"/>
              <w:rPr>
                <w:rFonts w:ascii="宋体" w:eastAsia="宋体" w:hint="eastAsia"/>
                <w:sz w:val="18"/>
              </w:rPr>
            </w:pPr>
            <w:r>
              <w:rPr>
                <w:rFonts w:ascii="宋体" w:eastAsia="宋体" w:hint="eastAsia"/>
                <w:sz w:val="18"/>
              </w:rPr>
              <w:t>上海</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2"/>
              <w:ind w:left="115" w:right="353"/>
              <w:rPr>
                <w:rFonts w:ascii="宋体" w:eastAsia="宋体" w:hint="eastAsia"/>
                <w:sz w:val="18"/>
              </w:rPr>
            </w:pPr>
            <w:r>
              <w:rPr>
                <w:rFonts w:ascii="宋体" w:eastAsia="宋体" w:hint="eastAsia"/>
                <w:sz w:val="18"/>
              </w:rPr>
              <w:t>医疗设备的批发、零售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5"/>
              <w:ind w:right="1"/>
              <w:jc w:val="right"/>
              <w:rPr>
                <w:rFonts w:ascii="宋体"/>
                <w:sz w:val="18"/>
              </w:rPr>
            </w:pPr>
            <w:r>
              <w:rPr>
                <w:rFonts w:ascii="宋体"/>
                <w:sz w:val="18"/>
              </w:rPr>
              <w:t> </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27"/>
              <w:ind w:left="395"/>
              <w:rPr>
                <w:sz w:val="18"/>
              </w:rPr>
            </w:pPr>
            <w:r>
              <w:rPr>
                <w:sz w:val="18"/>
              </w:rPr>
              <w:t>100.00</w:t>
            </w:r>
          </w:p>
        </w:tc>
        <w:tc>
          <w:tcPr>
            <w:tcW w:w="934" w:type="dxa"/>
            <w:tcBorders>
              <w:top w:val="single" w:sz="4" w:space="0" w:color="000000"/>
              <w:left w:val="single" w:sz="4" w:space="0" w:color="000000"/>
              <w:bottom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r>
        <w:trPr>
          <w:trHeight w:val="467" w:hRule="atLeast"/>
        </w:trPr>
        <w:tc>
          <w:tcPr>
            <w:tcW w:w="1964" w:type="dxa"/>
            <w:tcBorders>
              <w:top w:val="single" w:sz="4" w:space="0" w:color="000000"/>
              <w:bottom w:val="single" w:sz="4" w:space="0" w:color="000000"/>
              <w:right w:val="single" w:sz="4" w:space="0" w:color="000000"/>
            </w:tcBorders>
          </w:tcPr>
          <w:p>
            <w:pPr>
              <w:pStyle w:val="TableParagraph"/>
              <w:spacing w:line="230" w:lineRule="exact"/>
              <w:ind w:left="104"/>
              <w:rPr>
                <w:rFonts w:ascii="宋体" w:eastAsia="宋体" w:hint="eastAsia"/>
                <w:sz w:val="18"/>
              </w:rPr>
            </w:pPr>
            <w:r>
              <w:rPr>
                <w:rFonts w:ascii="宋体" w:eastAsia="宋体" w:hint="eastAsia"/>
                <w:sz w:val="18"/>
              </w:rPr>
              <w:t>青岛海尔科技有限公</w:t>
            </w:r>
          </w:p>
          <w:p>
            <w:pPr>
              <w:pStyle w:val="TableParagraph"/>
              <w:spacing w:line="215" w:lineRule="exact" w:before="2"/>
              <w:ind w:left="104"/>
              <w:rPr>
                <w:rFonts w:ascii="宋体" w:eastAsia="宋体" w:hint="eastAsia"/>
                <w:sz w:val="18"/>
              </w:rPr>
            </w:pPr>
            <w:r>
              <w:rPr>
                <w:rFonts w:ascii="宋体" w:eastAsia="宋体" w:hint="eastAsia"/>
                <w:sz w:val="18"/>
              </w:rPr>
              <w:t>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17"/>
              <w:ind w:left="141" w:right="118"/>
              <w:jc w:val="center"/>
              <w:rPr>
                <w:rFonts w:ascii="宋体" w:eastAsia="宋体" w:hint="eastAsia"/>
                <w:sz w:val="18"/>
              </w:rPr>
            </w:pPr>
            <w:r>
              <w:rPr>
                <w:rFonts w:ascii="宋体" w:eastAsia="宋体" w:hint="eastAsia"/>
                <w:sz w:val="18"/>
              </w:rPr>
              <w:t>青岛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7"/>
              <w:ind w:left="99" w:right="80"/>
              <w:jc w:val="center"/>
              <w:rPr>
                <w:rFonts w:ascii="宋体" w:eastAsia="宋体" w:hint="eastAsia"/>
                <w:sz w:val="18"/>
              </w:rPr>
            </w:pPr>
            <w:r>
              <w:rPr>
                <w:rFonts w:ascii="宋体" w:eastAsia="宋体" w:hint="eastAsia"/>
                <w:sz w:val="18"/>
              </w:rPr>
              <w:t>青岛</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5"/>
              <w:rPr>
                <w:rFonts w:ascii="宋体" w:eastAsia="宋体" w:hint="eastAsia"/>
                <w:sz w:val="18"/>
              </w:rPr>
            </w:pPr>
            <w:r>
              <w:rPr>
                <w:rFonts w:ascii="宋体" w:eastAsia="宋体" w:hint="eastAsia"/>
                <w:sz w:val="18"/>
              </w:rPr>
              <w:t>软件、信息产品</w:t>
            </w:r>
          </w:p>
          <w:p>
            <w:pPr>
              <w:pStyle w:val="TableParagraph"/>
              <w:spacing w:line="215" w:lineRule="exact" w:before="2"/>
              <w:ind w:left="115"/>
              <w:rPr>
                <w:rFonts w:ascii="宋体" w:eastAsia="宋体" w:hint="eastAsia"/>
                <w:sz w:val="18"/>
              </w:rPr>
            </w:pPr>
            <w:r>
              <w:rPr>
                <w:rFonts w:ascii="宋体" w:eastAsia="宋体" w:hint="eastAsia"/>
                <w:sz w:val="18"/>
              </w:rPr>
              <w:t>开发、销售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24"/>
              <w:ind w:right="88"/>
              <w:jc w:val="right"/>
              <w:rPr>
                <w:sz w:val="18"/>
              </w:rPr>
            </w:pPr>
            <w:r>
              <w:rPr>
                <w:sz w:val="18"/>
              </w:rPr>
              <w:t>100.00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34" w:type="dxa"/>
            <w:tcBorders>
              <w:top w:val="single" w:sz="4" w:space="0" w:color="000000"/>
              <w:left w:val="single" w:sz="4" w:space="0" w:color="000000"/>
              <w:bottom w:val="single" w:sz="4" w:space="0" w:color="000000"/>
            </w:tcBorders>
          </w:tcPr>
          <w:p>
            <w:pPr>
              <w:pStyle w:val="TableParagraph"/>
              <w:spacing w:line="230" w:lineRule="exact"/>
              <w:ind w:left="111"/>
              <w:rPr>
                <w:rFonts w:ascii="宋体" w:eastAsia="宋体" w:hint="eastAsia"/>
                <w:sz w:val="18"/>
              </w:rPr>
            </w:pPr>
            <w:r>
              <w:rPr>
                <w:rFonts w:ascii="宋体" w:eastAsia="宋体" w:hint="eastAsia"/>
                <w:sz w:val="18"/>
              </w:rPr>
              <w:t>同一控</w:t>
            </w:r>
          </w:p>
          <w:p>
            <w:pPr>
              <w:pStyle w:val="TableParagraph"/>
              <w:spacing w:line="215" w:lineRule="exact" w:before="2"/>
              <w:ind w:left="111"/>
              <w:rPr>
                <w:rFonts w:ascii="宋体" w:eastAsia="宋体" w:hint="eastAsia"/>
                <w:sz w:val="18"/>
              </w:rPr>
            </w:pPr>
            <w:r>
              <w:rPr>
                <w:rFonts w:ascii="宋体" w:eastAsia="宋体" w:hint="eastAsia"/>
                <w:sz w:val="18"/>
              </w:rPr>
              <w:t>制合并</w:t>
            </w:r>
          </w:p>
        </w:tc>
      </w:tr>
      <w:tr>
        <w:trPr>
          <w:trHeight w:val="465" w:hRule="atLeast"/>
        </w:trPr>
        <w:tc>
          <w:tcPr>
            <w:tcW w:w="1964" w:type="dxa"/>
            <w:tcBorders>
              <w:top w:val="single" w:sz="4" w:space="0" w:color="000000"/>
              <w:bottom w:val="single" w:sz="4" w:space="0" w:color="000000"/>
              <w:right w:val="single" w:sz="4" w:space="0" w:color="000000"/>
            </w:tcBorders>
          </w:tcPr>
          <w:p>
            <w:pPr>
              <w:pStyle w:val="TableParagraph"/>
              <w:spacing w:line="230" w:lineRule="exact"/>
              <w:ind w:left="104"/>
              <w:rPr>
                <w:rFonts w:ascii="宋体" w:eastAsia="宋体" w:hint="eastAsia"/>
                <w:sz w:val="18"/>
              </w:rPr>
            </w:pPr>
            <w:r>
              <w:rPr>
                <w:rFonts w:ascii="宋体" w:eastAsia="宋体" w:hint="eastAsia"/>
                <w:sz w:val="18"/>
              </w:rPr>
              <w:t>青岛海尔科技投资有</w:t>
            </w:r>
          </w:p>
          <w:p>
            <w:pPr>
              <w:pStyle w:val="TableParagraph"/>
              <w:spacing w:line="213" w:lineRule="exact" w:before="2"/>
              <w:ind w:left="104"/>
              <w:rPr>
                <w:rFonts w:ascii="宋体" w:eastAsia="宋体" w:hint="eastAsia"/>
                <w:sz w:val="18"/>
              </w:rPr>
            </w:pPr>
            <w:r>
              <w:rPr>
                <w:rFonts w:ascii="宋体" w:eastAsia="宋体" w:hint="eastAsia"/>
                <w:sz w:val="18"/>
              </w:rPr>
              <w:t>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17"/>
              <w:ind w:left="141" w:right="118"/>
              <w:jc w:val="center"/>
              <w:rPr>
                <w:rFonts w:ascii="宋体" w:eastAsia="宋体" w:hint="eastAsia"/>
                <w:sz w:val="18"/>
              </w:rPr>
            </w:pPr>
            <w:r>
              <w:rPr>
                <w:rFonts w:ascii="宋体" w:eastAsia="宋体" w:hint="eastAsia"/>
                <w:sz w:val="18"/>
              </w:rPr>
              <w:t>青岛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7"/>
              <w:ind w:left="99" w:right="80"/>
              <w:jc w:val="center"/>
              <w:rPr>
                <w:rFonts w:ascii="宋体" w:eastAsia="宋体" w:hint="eastAsia"/>
                <w:sz w:val="18"/>
              </w:rPr>
            </w:pPr>
            <w:r>
              <w:rPr>
                <w:rFonts w:ascii="宋体" w:eastAsia="宋体" w:hint="eastAsia"/>
                <w:sz w:val="18"/>
              </w:rPr>
              <w:t>青岛</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117"/>
              <w:ind w:left="115"/>
              <w:rPr>
                <w:rFonts w:ascii="宋体" w:eastAsia="宋体" w:hint="eastAsia"/>
                <w:sz w:val="18"/>
              </w:rPr>
            </w:pPr>
            <w:r>
              <w:rPr>
                <w:rFonts w:ascii="宋体" w:eastAsia="宋体" w:hint="eastAsia"/>
                <w:sz w:val="18"/>
              </w:rPr>
              <w:t>创业投资、咨询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24"/>
              <w:ind w:right="88"/>
              <w:jc w:val="right"/>
              <w:rPr>
                <w:sz w:val="18"/>
              </w:rPr>
            </w:pPr>
            <w:r>
              <w:rPr>
                <w:sz w:val="18"/>
              </w:rPr>
              <w:t>100.00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34" w:type="dxa"/>
            <w:tcBorders>
              <w:top w:val="single" w:sz="4" w:space="0" w:color="000000"/>
              <w:left w:val="single" w:sz="4" w:space="0" w:color="000000"/>
              <w:bottom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r>
        <w:trPr>
          <w:trHeight w:val="467" w:hRule="atLeast"/>
        </w:trPr>
        <w:tc>
          <w:tcPr>
            <w:tcW w:w="1964" w:type="dxa"/>
            <w:tcBorders>
              <w:top w:val="single" w:sz="4" w:space="0" w:color="000000"/>
              <w:bottom w:val="single" w:sz="4" w:space="0" w:color="000000"/>
              <w:right w:val="single" w:sz="4" w:space="0" w:color="000000"/>
            </w:tcBorders>
          </w:tcPr>
          <w:p>
            <w:pPr>
              <w:pStyle w:val="TableParagraph"/>
              <w:spacing w:line="230" w:lineRule="atLeast" w:before="2"/>
              <w:ind w:left="104" w:right="217"/>
              <w:rPr>
                <w:rFonts w:ascii="宋体" w:eastAsia="宋体" w:hint="eastAsia"/>
                <w:sz w:val="18"/>
              </w:rPr>
            </w:pPr>
            <w:r>
              <w:rPr>
                <w:rFonts w:ascii="宋体" w:eastAsia="宋体" w:hint="eastAsia"/>
                <w:sz w:val="18"/>
              </w:rPr>
              <w:t>青岛卡萨帝智慧生活家电有限公司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17"/>
              <w:ind w:left="141" w:right="118"/>
              <w:jc w:val="center"/>
              <w:rPr>
                <w:rFonts w:ascii="宋体" w:eastAsia="宋体" w:hint="eastAsia"/>
                <w:sz w:val="18"/>
              </w:rPr>
            </w:pPr>
            <w:r>
              <w:rPr>
                <w:rFonts w:ascii="宋体" w:eastAsia="宋体" w:hint="eastAsia"/>
                <w:sz w:val="18"/>
              </w:rPr>
              <w:t>青岛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7"/>
              <w:ind w:left="99" w:right="80"/>
              <w:jc w:val="center"/>
              <w:rPr>
                <w:rFonts w:ascii="宋体" w:eastAsia="宋体" w:hint="eastAsia"/>
                <w:sz w:val="18"/>
              </w:rPr>
            </w:pPr>
            <w:r>
              <w:rPr>
                <w:rFonts w:ascii="宋体" w:eastAsia="宋体" w:hint="eastAsia"/>
                <w:sz w:val="18"/>
              </w:rPr>
              <w:t>青岛</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2"/>
              <w:ind w:left="115"/>
              <w:rPr>
                <w:rFonts w:ascii="宋体" w:eastAsia="宋体" w:hint="eastAsia"/>
                <w:sz w:val="18"/>
              </w:rPr>
            </w:pPr>
            <w:r>
              <w:rPr>
                <w:rFonts w:ascii="宋体" w:eastAsia="宋体" w:hint="eastAsia"/>
                <w:spacing w:val="-4"/>
                <w:sz w:val="18"/>
              </w:rPr>
              <w:t>电器研制、生产、</w:t>
            </w:r>
            <w:r>
              <w:rPr>
                <w:rFonts w:ascii="宋体" w:eastAsia="宋体" w:hint="eastAsia"/>
                <w:sz w:val="18"/>
              </w:rPr>
              <w:t>销售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27"/>
              <w:ind w:left="395"/>
              <w:rPr>
                <w:sz w:val="18"/>
              </w:rPr>
            </w:pPr>
            <w:r>
              <w:rPr>
                <w:sz w:val="18"/>
              </w:rPr>
              <w:t>100.00</w:t>
            </w:r>
          </w:p>
        </w:tc>
        <w:tc>
          <w:tcPr>
            <w:tcW w:w="934" w:type="dxa"/>
            <w:tcBorders>
              <w:top w:val="single" w:sz="4" w:space="0" w:color="000000"/>
              <w:left w:val="single" w:sz="4" w:space="0" w:color="000000"/>
              <w:bottom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r>
        <w:trPr>
          <w:trHeight w:val="464" w:hRule="atLeast"/>
        </w:trPr>
        <w:tc>
          <w:tcPr>
            <w:tcW w:w="1964" w:type="dxa"/>
            <w:tcBorders>
              <w:top w:val="single" w:sz="4" w:space="0" w:color="000000"/>
              <w:right w:val="single" w:sz="4" w:space="0" w:color="000000"/>
            </w:tcBorders>
          </w:tcPr>
          <w:p>
            <w:pPr>
              <w:pStyle w:val="TableParagraph"/>
              <w:spacing w:line="230" w:lineRule="exact"/>
              <w:ind w:left="104"/>
              <w:rPr>
                <w:rFonts w:ascii="宋体" w:eastAsia="宋体" w:hint="eastAsia"/>
                <w:sz w:val="18"/>
              </w:rPr>
            </w:pPr>
            <w:r>
              <w:rPr>
                <w:rFonts w:ascii="宋体" w:eastAsia="宋体" w:hint="eastAsia"/>
                <w:sz w:val="18"/>
              </w:rPr>
              <w:t>青岛海创源家电销售</w:t>
            </w:r>
          </w:p>
          <w:p>
            <w:pPr>
              <w:pStyle w:val="TableParagraph"/>
              <w:spacing w:line="210" w:lineRule="exact" w:before="4"/>
              <w:ind w:left="104"/>
              <w:rPr>
                <w:rFonts w:ascii="宋体" w:eastAsia="宋体" w:hint="eastAsia"/>
                <w:sz w:val="18"/>
              </w:rPr>
            </w:pPr>
            <w:r>
              <w:rPr>
                <w:rFonts w:ascii="宋体" w:eastAsia="宋体" w:hint="eastAsia"/>
                <w:sz w:val="18"/>
              </w:rPr>
              <w:t>有限公司</w:t>
            </w:r>
          </w:p>
        </w:tc>
        <w:tc>
          <w:tcPr>
            <w:tcW w:w="994" w:type="dxa"/>
            <w:tcBorders>
              <w:top w:val="single" w:sz="4" w:space="0" w:color="000000"/>
              <w:left w:val="single" w:sz="4" w:space="0" w:color="000000"/>
              <w:right w:val="single" w:sz="4" w:space="0" w:color="000000"/>
            </w:tcBorders>
          </w:tcPr>
          <w:p>
            <w:pPr>
              <w:pStyle w:val="TableParagraph"/>
              <w:spacing w:before="117"/>
              <w:ind w:left="141" w:right="118"/>
              <w:jc w:val="center"/>
              <w:rPr>
                <w:rFonts w:ascii="宋体" w:eastAsia="宋体" w:hint="eastAsia"/>
                <w:sz w:val="18"/>
              </w:rPr>
            </w:pPr>
            <w:r>
              <w:rPr>
                <w:rFonts w:ascii="宋体" w:eastAsia="宋体" w:hint="eastAsia"/>
                <w:sz w:val="18"/>
              </w:rPr>
              <w:t>青岛</w:t>
            </w:r>
          </w:p>
        </w:tc>
        <w:tc>
          <w:tcPr>
            <w:tcW w:w="992" w:type="dxa"/>
            <w:tcBorders>
              <w:top w:val="single" w:sz="4" w:space="0" w:color="000000"/>
              <w:left w:val="single" w:sz="4" w:space="0" w:color="000000"/>
              <w:right w:val="single" w:sz="4" w:space="0" w:color="000000"/>
            </w:tcBorders>
          </w:tcPr>
          <w:p>
            <w:pPr>
              <w:pStyle w:val="TableParagraph"/>
              <w:spacing w:before="117"/>
              <w:ind w:left="99" w:right="80"/>
              <w:jc w:val="center"/>
              <w:rPr>
                <w:rFonts w:ascii="宋体" w:eastAsia="宋体" w:hint="eastAsia"/>
                <w:sz w:val="18"/>
              </w:rPr>
            </w:pPr>
            <w:r>
              <w:rPr>
                <w:rFonts w:ascii="宋体" w:eastAsia="宋体" w:hint="eastAsia"/>
                <w:sz w:val="18"/>
              </w:rPr>
              <w:t>青岛</w:t>
            </w:r>
          </w:p>
        </w:tc>
        <w:tc>
          <w:tcPr>
            <w:tcW w:w="1561" w:type="dxa"/>
            <w:tcBorders>
              <w:top w:val="single" w:sz="4" w:space="0" w:color="000000"/>
              <w:left w:val="single" w:sz="4" w:space="0" w:color="000000"/>
              <w:right w:val="single" w:sz="4" w:space="0" w:color="000000"/>
            </w:tcBorders>
          </w:tcPr>
          <w:p>
            <w:pPr>
              <w:pStyle w:val="TableParagraph"/>
              <w:spacing w:line="230" w:lineRule="exact"/>
              <w:ind w:left="115"/>
              <w:rPr>
                <w:rFonts w:ascii="宋体" w:eastAsia="宋体" w:hint="eastAsia"/>
                <w:sz w:val="18"/>
              </w:rPr>
            </w:pPr>
            <w:r>
              <w:rPr>
                <w:rFonts w:ascii="宋体" w:eastAsia="宋体" w:hint="eastAsia"/>
                <w:sz w:val="18"/>
              </w:rPr>
              <w:t>销售家用电器、</w:t>
            </w:r>
          </w:p>
          <w:p>
            <w:pPr>
              <w:pStyle w:val="TableParagraph"/>
              <w:spacing w:line="210" w:lineRule="exact" w:before="4"/>
              <w:ind w:left="115"/>
              <w:rPr>
                <w:rFonts w:ascii="宋体" w:eastAsia="宋体" w:hint="eastAsia"/>
                <w:sz w:val="18"/>
              </w:rPr>
            </w:pPr>
            <w:r>
              <w:rPr>
                <w:rFonts w:ascii="宋体" w:eastAsia="宋体" w:hint="eastAsia"/>
                <w:sz w:val="18"/>
              </w:rPr>
              <w:t>数码产品</w:t>
            </w:r>
          </w:p>
        </w:tc>
        <w:tc>
          <w:tcPr>
            <w:tcW w:w="992" w:type="dxa"/>
            <w:tcBorders>
              <w:top w:val="single" w:sz="4" w:space="0" w:color="000000"/>
              <w:left w:val="single" w:sz="4" w:space="0" w:color="000000"/>
              <w:right w:val="single" w:sz="4" w:space="0" w:color="000000"/>
            </w:tcBorders>
          </w:tcPr>
          <w:p>
            <w:pPr>
              <w:pStyle w:val="TableParagraph"/>
              <w:rPr>
                <w:sz w:val="18"/>
              </w:rPr>
            </w:pPr>
          </w:p>
        </w:tc>
        <w:tc>
          <w:tcPr>
            <w:tcW w:w="995" w:type="dxa"/>
            <w:tcBorders>
              <w:top w:val="single" w:sz="4" w:space="0" w:color="000000"/>
              <w:left w:val="single" w:sz="4" w:space="0" w:color="000000"/>
              <w:right w:val="single" w:sz="4" w:space="0" w:color="000000"/>
            </w:tcBorders>
          </w:tcPr>
          <w:p>
            <w:pPr>
              <w:pStyle w:val="TableParagraph"/>
              <w:spacing w:before="124"/>
              <w:ind w:left="395"/>
              <w:rPr>
                <w:sz w:val="18"/>
              </w:rPr>
            </w:pPr>
            <w:r>
              <w:rPr>
                <w:sz w:val="18"/>
              </w:rPr>
              <w:t>100.00</w:t>
            </w:r>
          </w:p>
        </w:tc>
        <w:tc>
          <w:tcPr>
            <w:tcW w:w="934" w:type="dxa"/>
            <w:tcBorders>
              <w:top w:val="single" w:sz="4" w:space="0" w:color="000000"/>
              <w:left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bl>
    <w:p>
      <w:pPr>
        <w:spacing w:after="0"/>
        <w:rPr>
          <w:rFonts w:ascii="宋体" w:eastAsia="宋体" w:hint="eastAsia"/>
          <w:sz w:val="18"/>
        </w:rPr>
        <w:sectPr>
          <w:pgSz w:w="11910" w:h="16840"/>
          <w:pgMar w:header="876" w:footer="1184" w:top="1440" w:bottom="1400" w:left="260" w:right="0"/>
        </w:sectPr>
      </w:pPr>
    </w:p>
    <w:p>
      <w:pPr>
        <w:pStyle w:val="BodyText"/>
        <w:spacing w:before="9"/>
        <w:rPr>
          <w:rFonts w:ascii="Times New Roman"/>
          <w:sz w:val="5"/>
        </w:rPr>
      </w:pPr>
    </w:p>
    <w:tbl>
      <w:tblPr>
        <w:tblW w:w="0" w:type="auto"/>
        <w:jc w:val="left"/>
        <w:tblInd w:w="175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64"/>
        <w:gridCol w:w="994"/>
        <w:gridCol w:w="992"/>
        <w:gridCol w:w="1561"/>
        <w:gridCol w:w="992"/>
        <w:gridCol w:w="995"/>
        <w:gridCol w:w="934"/>
      </w:tblGrid>
      <w:tr>
        <w:trPr>
          <w:trHeight w:val="467" w:hRule="atLeast"/>
        </w:trPr>
        <w:tc>
          <w:tcPr>
            <w:tcW w:w="1964" w:type="dxa"/>
            <w:tcBorders>
              <w:bottom w:val="single" w:sz="4" w:space="0" w:color="000000"/>
              <w:right w:val="single" w:sz="4" w:space="0" w:color="000000"/>
            </w:tcBorders>
          </w:tcPr>
          <w:p>
            <w:pPr>
              <w:pStyle w:val="TableParagraph"/>
              <w:spacing w:before="2"/>
              <w:ind w:left="104"/>
              <w:rPr>
                <w:rFonts w:ascii="宋体" w:eastAsia="宋体" w:hint="eastAsia"/>
                <w:sz w:val="18"/>
              </w:rPr>
            </w:pPr>
            <w:r>
              <w:rPr>
                <w:rFonts w:ascii="宋体" w:eastAsia="宋体" w:hint="eastAsia"/>
                <w:sz w:val="18"/>
              </w:rPr>
              <w:t>海尔海外电器产业有</w:t>
            </w:r>
          </w:p>
          <w:p>
            <w:pPr>
              <w:pStyle w:val="TableParagraph"/>
              <w:spacing w:line="213" w:lineRule="exact" w:before="2"/>
              <w:ind w:left="104"/>
              <w:rPr>
                <w:rFonts w:ascii="宋体" w:eastAsia="宋体" w:hint="eastAsia"/>
                <w:sz w:val="18"/>
              </w:rPr>
            </w:pPr>
            <w:r>
              <w:rPr>
                <w:rFonts w:ascii="宋体" w:eastAsia="宋体" w:hint="eastAsia"/>
                <w:sz w:val="18"/>
              </w:rPr>
              <w:t>限公司</w:t>
            </w:r>
          </w:p>
        </w:tc>
        <w:tc>
          <w:tcPr>
            <w:tcW w:w="994" w:type="dxa"/>
            <w:tcBorders>
              <w:left w:val="single" w:sz="4" w:space="0" w:color="000000"/>
              <w:bottom w:val="single" w:sz="4" w:space="0" w:color="000000"/>
              <w:right w:val="single" w:sz="4" w:space="0" w:color="000000"/>
            </w:tcBorders>
          </w:tcPr>
          <w:p>
            <w:pPr>
              <w:pStyle w:val="TableParagraph"/>
              <w:spacing w:before="119"/>
              <w:ind w:left="141" w:right="118"/>
              <w:jc w:val="center"/>
              <w:rPr>
                <w:rFonts w:ascii="宋体" w:eastAsia="宋体" w:hint="eastAsia"/>
                <w:sz w:val="18"/>
              </w:rPr>
            </w:pPr>
            <w:r>
              <w:rPr>
                <w:rFonts w:ascii="宋体" w:eastAsia="宋体" w:hint="eastAsia"/>
                <w:sz w:val="18"/>
              </w:rPr>
              <w:t>青岛</w:t>
            </w:r>
          </w:p>
        </w:tc>
        <w:tc>
          <w:tcPr>
            <w:tcW w:w="992" w:type="dxa"/>
            <w:tcBorders>
              <w:left w:val="single" w:sz="4" w:space="0" w:color="000000"/>
              <w:bottom w:val="single" w:sz="4" w:space="0" w:color="000000"/>
              <w:right w:val="single" w:sz="4" w:space="0" w:color="000000"/>
            </w:tcBorders>
          </w:tcPr>
          <w:p>
            <w:pPr>
              <w:pStyle w:val="TableParagraph"/>
              <w:spacing w:before="119"/>
              <w:ind w:left="99" w:right="80"/>
              <w:jc w:val="center"/>
              <w:rPr>
                <w:rFonts w:ascii="宋体" w:eastAsia="宋体" w:hint="eastAsia"/>
                <w:sz w:val="18"/>
              </w:rPr>
            </w:pPr>
            <w:r>
              <w:rPr>
                <w:rFonts w:ascii="宋体" w:eastAsia="宋体" w:hint="eastAsia"/>
                <w:sz w:val="18"/>
              </w:rPr>
              <w:t>青岛</w:t>
            </w:r>
          </w:p>
        </w:tc>
        <w:tc>
          <w:tcPr>
            <w:tcW w:w="1561" w:type="dxa"/>
            <w:tcBorders>
              <w:left w:val="single" w:sz="4" w:space="0" w:color="000000"/>
              <w:bottom w:val="single" w:sz="4" w:space="0" w:color="000000"/>
              <w:right w:val="single" w:sz="4" w:space="0" w:color="000000"/>
            </w:tcBorders>
          </w:tcPr>
          <w:p>
            <w:pPr>
              <w:pStyle w:val="TableParagraph"/>
              <w:spacing w:before="2"/>
              <w:ind w:left="115"/>
              <w:rPr>
                <w:rFonts w:ascii="宋体" w:eastAsia="宋体" w:hint="eastAsia"/>
                <w:sz w:val="18"/>
              </w:rPr>
            </w:pPr>
            <w:r>
              <w:rPr>
                <w:rFonts w:ascii="宋体" w:eastAsia="宋体" w:hint="eastAsia"/>
                <w:sz w:val="18"/>
              </w:rPr>
              <w:t>家用电器销售、</w:t>
            </w:r>
          </w:p>
          <w:p>
            <w:pPr>
              <w:pStyle w:val="TableParagraph"/>
              <w:spacing w:line="213" w:lineRule="exact" w:before="2"/>
              <w:ind w:left="115"/>
              <w:rPr>
                <w:rFonts w:ascii="宋体" w:eastAsia="宋体" w:hint="eastAsia"/>
                <w:sz w:val="18"/>
              </w:rPr>
            </w:pPr>
            <w:r>
              <w:rPr>
                <w:rFonts w:ascii="宋体" w:eastAsia="宋体" w:hint="eastAsia"/>
                <w:sz w:val="18"/>
              </w:rPr>
              <w:t>国际货运代理</w:t>
            </w:r>
          </w:p>
        </w:tc>
        <w:tc>
          <w:tcPr>
            <w:tcW w:w="992" w:type="dxa"/>
            <w:tcBorders>
              <w:left w:val="single" w:sz="4" w:space="0" w:color="000000"/>
              <w:bottom w:val="single" w:sz="4" w:space="0" w:color="000000"/>
              <w:right w:val="single" w:sz="4" w:space="0" w:color="000000"/>
            </w:tcBorders>
          </w:tcPr>
          <w:p>
            <w:pPr>
              <w:pStyle w:val="TableParagraph"/>
              <w:spacing w:before="127"/>
              <w:ind w:right="88"/>
              <w:jc w:val="right"/>
              <w:rPr>
                <w:sz w:val="18"/>
              </w:rPr>
            </w:pPr>
            <w:r>
              <w:rPr>
                <w:sz w:val="18"/>
              </w:rPr>
              <w:t>100.00</w:t>
            </w:r>
          </w:p>
        </w:tc>
        <w:tc>
          <w:tcPr>
            <w:tcW w:w="995" w:type="dxa"/>
            <w:tcBorders>
              <w:left w:val="single" w:sz="4" w:space="0" w:color="000000"/>
              <w:bottom w:val="single" w:sz="4" w:space="0" w:color="000000"/>
              <w:right w:val="single" w:sz="4" w:space="0" w:color="000000"/>
            </w:tcBorders>
          </w:tcPr>
          <w:p>
            <w:pPr>
              <w:pStyle w:val="TableParagraph"/>
              <w:rPr>
                <w:sz w:val="18"/>
              </w:rPr>
            </w:pPr>
          </w:p>
        </w:tc>
        <w:tc>
          <w:tcPr>
            <w:tcW w:w="934" w:type="dxa"/>
            <w:tcBorders>
              <w:left w:val="single" w:sz="4" w:space="0" w:color="000000"/>
              <w:bottom w:val="single" w:sz="4" w:space="0" w:color="000000"/>
            </w:tcBorders>
          </w:tcPr>
          <w:p>
            <w:pPr>
              <w:pStyle w:val="TableParagraph"/>
              <w:spacing w:before="119"/>
              <w:ind w:left="111"/>
              <w:rPr>
                <w:rFonts w:ascii="宋体" w:eastAsia="宋体" w:hint="eastAsia"/>
                <w:sz w:val="18"/>
              </w:rPr>
            </w:pPr>
            <w:r>
              <w:rPr>
                <w:rFonts w:ascii="宋体" w:eastAsia="宋体" w:hint="eastAsia"/>
                <w:sz w:val="18"/>
              </w:rPr>
              <w:t>设立</w:t>
            </w:r>
          </w:p>
        </w:tc>
      </w:tr>
      <w:tr>
        <w:trPr>
          <w:trHeight w:val="467" w:hRule="atLeast"/>
        </w:trPr>
        <w:tc>
          <w:tcPr>
            <w:tcW w:w="1964" w:type="dxa"/>
            <w:tcBorders>
              <w:top w:val="single" w:sz="4" w:space="0" w:color="000000"/>
              <w:bottom w:val="single" w:sz="4" w:space="0" w:color="000000"/>
              <w:right w:val="single" w:sz="4" w:space="0" w:color="000000"/>
            </w:tcBorders>
          </w:tcPr>
          <w:p>
            <w:pPr>
              <w:pStyle w:val="TableParagraph"/>
              <w:spacing w:line="230" w:lineRule="atLeast" w:before="2"/>
              <w:ind w:left="104" w:right="25"/>
              <w:rPr>
                <w:rFonts w:ascii="宋体" w:eastAsia="宋体" w:hint="eastAsia"/>
                <w:sz w:val="18"/>
              </w:rPr>
            </w:pPr>
            <w:r>
              <w:rPr>
                <w:rFonts w:ascii="宋体" w:eastAsia="宋体" w:hint="eastAsia"/>
                <w:sz w:val="18"/>
              </w:rPr>
              <w:t>海尔集团（大连）电器产业有限公司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17"/>
              <w:ind w:left="141" w:right="118"/>
              <w:jc w:val="center"/>
              <w:rPr>
                <w:rFonts w:ascii="宋体" w:eastAsia="宋体" w:hint="eastAsia"/>
                <w:sz w:val="18"/>
              </w:rPr>
            </w:pPr>
            <w:r>
              <w:rPr>
                <w:rFonts w:ascii="宋体" w:eastAsia="宋体" w:hint="eastAsia"/>
                <w:sz w:val="18"/>
              </w:rPr>
              <w:t>大连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7"/>
              <w:ind w:left="99" w:right="80"/>
              <w:jc w:val="center"/>
              <w:rPr>
                <w:rFonts w:ascii="宋体" w:eastAsia="宋体" w:hint="eastAsia"/>
                <w:sz w:val="18"/>
              </w:rPr>
            </w:pPr>
            <w:r>
              <w:rPr>
                <w:rFonts w:ascii="宋体" w:eastAsia="宋体" w:hint="eastAsia"/>
                <w:sz w:val="18"/>
              </w:rPr>
              <w:t>大连</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2"/>
              <w:ind w:left="115" w:right="173"/>
              <w:rPr>
                <w:rFonts w:ascii="宋体" w:eastAsia="宋体" w:hint="eastAsia"/>
                <w:sz w:val="18"/>
              </w:rPr>
            </w:pPr>
            <w:r>
              <w:rPr>
                <w:rFonts w:ascii="宋体" w:eastAsia="宋体" w:hint="eastAsia"/>
                <w:sz w:val="18"/>
              </w:rPr>
              <w:t>家用电器销售、国际货运代理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27"/>
              <w:ind w:right="88"/>
              <w:jc w:val="right"/>
              <w:rPr>
                <w:sz w:val="18"/>
              </w:rPr>
            </w:pPr>
            <w:r>
              <w:rPr>
                <w:sz w:val="18"/>
              </w:rPr>
              <w:t>100.00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34" w:type="dxa"/>
            <w:tcBorders>
              <w:top w:val="single" w:sz="4" w:space="0" w:color="000000"/>
              <w:left w:val="single" w:sz="4" w:space="0" w:color="000000"/>
              <w:bottom w:val="single" w:sz="4" w:space="0" w:color="000000"/>
            </w:tcBorders>
          </w:tcPr>
          <w:p>
            <w:pPr>
              <w:pStyle w:val="TableParagraph"/>
              <w:spacing w:line="230" w:lineRule="atLeast" w:before="2"/>
              <w:ind w:left="111" w:right="260"/>
              <w:rPr>
                <w:rFonts w:ascii="宋体" w:eastAsia="宋体" w:hint="eastAsia"/>
                <w:sz w:val="18"/>
              </w:rPr>
            </w:pPr>
            <w:r>
              <w:rPr>
                <w:rFonts w:ascii="宋体" w:eastAsia="宋体" w:hint="eastAsia"/>
                <w:sz w:val="18"/>
              </w:rPr>
              <w:t>同一控制合并</w:t>
            </w:r>
          </w:p>
        </w:tc>
      </w:tr>
      <w:tr>
        <w:trPr>
          <w:trHeight w:val="467" w:hRule="atLeast"/>
        </w:trPr>
        <w:tc>
          <w:tcPr>
            <w:tcW w:w="1964" w:type="dxa"/>
            <w:tcBorders>
              <w:top w:val="single" w:sz="4" w:space="0" w:color="000000"/>
              <w:bottom w:val="single" w:sz="4" w:space="0" w:color="000000"/>
              <w:right w:val="single" w:sz="4" w:space="0" w:color="000000"/>
            </w:tcBorders>
          </w:tcPr>
          <w:p>
            <w:pPr>
              <w:pStyle w:val="TableParagraph"/>
              <w:ind w:left="104"/>
              <w:rPr>
                <w:rFonts w:ascii="宋体" w:eastAsia="宋体" w:hint="eastAsia"/>
                <w:sz w:val="18"/>
              </w:rPr>
            </w:pPr>
            <w:r>
              <w:rPr>
                <w:rFonts w:ascii="宋体" w:eastAsia="宋体" w:hint="eastAsia"/>
                <w:sz w:val="18"/>
              </w:rPr>
              <w:t>青岛海尔中央空调有</w:t>
            </w:r>
          </w:p>
          <w:p>
            <w:pPr>
              <w:pStyle w:val="TableParagraph"/>
              <w:spacing w:line="213" w:lineRule="exact" w:before="4"/>
              <w:ind w:left="104"/>
              <w:rPr>
                <w:rFonts w:ascii="宋体" w:eastAsia="宋体" w:hint="eastAsia"/>
                <w:sz w:val="18"/>
              </w:rPr>
            </w:pPr>
            <w:r>
              <w:rPr>
                <w:rFonts w:ascii="宋体" w:eastAsia="宋体" w:hint="eastAsia"/>
                <w:sz w:val="18"/>
              </w:rPr>
              <w:t>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17"/>
              <w:ind w:left="141" w:right="118"/>
              <w:jc w:val="center"/>
              <w:rPr>
                <w:rFonts w:ascii="宋体" w:eastAsia="宋体" w:hint="eastAsia"/>
                <w:sz w:val="18"/>
              </w:rPr>
            </w:pPr>
            <w:r>
              <w:rPr>
                <w:rFonts w:ascii="宋体" w:eastAsia="宋体" w:hint="eastAsia"/>
                <w:sz w:val="18"/>
              </w:rPr>
              <w:t>青岛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7"/>
              <w:ind w:left="99" w:right="80"/>
              <w:jc w:val="center"/>
              <w:rPr>
                <w:rFonts w:ascii="宋体" w:eastAsia="宋体" w:hint="eastAsia"/>
                <w:sz w:val="18"/>
              </w:rPr>
            </w:pPr>
            <w:r>
              <w:rPr>
                <w:rFonts w:ascii="宋体" w:eastAsia="宋体" w:hint="eastAsia"/>
                <w:sz w:val="18"/>
              </w:rPr>
              <w:t>青岛</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ind w:left="115"/>
              <w:rPr>
                <w:rFonts w:ascii="宋体" w:eastAsia="宋体" w:hint="eastAsia"/>
                <w:sz w:val="18"/>
              </w:rPr>
            </w:pPr>
            <w:r>
              <w:rPr>
                <w:rFonts w:ascii="宋体" w:eastAsia="宋体" w:hint="eastAsia"/>
                <w:sz w:val="18"/>
              </w:rPr>
              <w:t>空调器、制冷设</w:t>
            </w:r>
          </w:p>
          <w:p>
            <w:pPr>
              <w:pStyle w:val="TableParagraph"/>
              <w:spacing w:line="213" w:lineRule="exact" w:before="4"/>
              <w:ind w:left="115"/>
              <w:rPr>
                <w:rFonts w:ascii="宋体" w:eastAsia="宋体" w:hint="eastAsia"/>
                <w:sz w:val="18"/>
              </w:rPr>
            </w:pPr>
            <w:r>
              <w:rPr>
                <w:rFonts w:ascii="宋体" w:eastAsia="宋体" w:hint="eastAsia"/>
                <w:sz w:val="18"/>
              </w:rPr>
              <w:t>备的生产与销售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24"/>
              <w:ind w:right="92"/>
              <w:jc w:val="right"/>
              <w:rPr>
                <w:sz w:val="18"/>
              </w:rPr>
            </w:pPr>
            <w:r>
              <w:rPr>
                <w:sz w:val="18"/>
              </w:rPr>
              <w:t>100.00</w:t>
            </w:r>
          </w:p>
        </w:tc>
        <w:tc>
          <w:tcPr>
            <w:tcW w:w="934" w:type="dxa"/>
            <w:tcBorders>
              <w:top w:val="single" w:sz="4" w:space="0" w:color="000000"/>
              <w:left w:val="single" w:sz="4" w:space="0" w:color="000000"/>
              <w:bottom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r>
        <w:trPr>
          <w:trHeight w:val="467" w:hRule="atLeast"/>
        </w:trPr>
        <w:tc>
          <w:tcPr>
            <w:tcW w:w="1964" w:type="dxa"/>
            <w:tcBorders>
              <w:top w:val="single" w:sz="4" w:space="0" w:color="000000"/>
              <w:bottom w:val="single" w:sz="4" w:space="0" w:color="000000"/>
              <w:right w:val="single" w:sz="4" w:space="0" w:color="000000"/>
            </w:tcBorders>
          </w:tcPr>
          <w:p>
            <w:pPr>
              <w:pStyle w:val="TableParagraph"/>
              <w:ind w:left="104"/>
              <w:rPr>
                <w:rFonts w:ascii="宋体" w:eastAsia="宋体" w:hint="eastAsia"/>
                <w:sz w:val="18"/>
              </w:rPr>
            </w:pPr>
            <w:r>
              <w:rPr>
                <w:rFonts w:ascii="宋体" w:eastAsia="宋体" w:hint="eastAsia"/>
                <w:sz w:val="18"/>
              </w:rPr>
              <w:t>北京海尔云厨科技有</w:t>
            </w:r>
          </w:p>
          <w:p>
            <w:pPr>
              <w:pStyle w:val="TableParagraph"/>
              <w:spacing w:line="215" w:lineRule="exact" w:before="2"/>
              <w:ind w:left="104"/>
              <w:rPr>
                <w:rFonts w:ascii="宋体" w:eastAsia="宋体" w:hint="eastAsia"/>
                <w:sz w:val="18"/>
              </w:rPr>
            </w:pPr>
            <w:r>
              <w:rPr>
                <w:rFonts w:ascii="宋体" w:eastAsia="宋体" w:hint="eastAsia"/>
                <w:sz w:val="18"/>
              </w:rPr>
              <w:t>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17"/>
              <w:ind w:left="141" w:right="118"/>
              <w:jc w:val="center"/>
              <w:rPr>
                <w:rFonts w:ascii="宋体" w:eastAsia="宋体" w:hint="eastAsia"/>
                <w:sz w:val="18"/>
              </w:rPr>
            </w:pPr>
            <w:r>
              <w:rPr>
                <w:rFonts w:ascii="宋体" w:eastAsia="宋体" w:hint="eastAsia"/>
                <w:sz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7"/>
              <w:ind w:left="99" w:right="80"/>
              <w:jc w:val="center"/>
              <w:rPr>
                <w:rFonts w:ascii="宋体" w:eastAsia="宋体" w:hint="eastAsia"/>
                <w:sz w:val="18"/>
              </w:rPr>
            </w:pPr>
            <w:r>
              <w:rPr>
                <w:rFonts w:ascii="宋体" w:eastAsia="宋体" w:hint="eastAsia"/>
                <w:sz w:val="18"/>
              </w:rPr>
              <w:t>北京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ind w:left="115"/>
              <w:rPr>
                <w:rFonts w:ascii="宋体" w:eastAsia="宋体" w:hint="eastAsia"/>
                <w:sz w:val="18"/>
              </w:rPr>
            </w:pPr>
            <w:r>
              <w:rPr>
                <w:rFonts w:ascii="宋体" w:eastAsia="宋体" w:hint="eastAsia"/>
                <w:sz w:val="18"/>
              </w:rPr>
              <w:t>技术开发推广转</w:t>
            </w:r>
          </w:p>
          <w:p>
            <w:pPr>
              <w:pStyle w:val="TableParagraph"/>
              <w:spacing w:line="215" w:lineRule="exact" w:before="2"/>
              <w:ind w:left="115"/>
              <w:rPr>
                <w:rFonts w:ascii="宋体" w:eastAsia="宋体" w:hint="eastAsia"/>
                <w:sz w:val="18"/>
              </w:rPr>
            </w:pPr>
            <w:r>
              <w:rPr>
                <w:rFonts w:ascii="宋体" w:eastAsia="宋体" w:hint="eastAsia"/>
                <w:sz w:val="18"/>
              </w:rPr>
              <w:t>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24"/>
              <w:ind w:right="91"/>
              <w:jc w:val="right"/>
              <w:rPr>
                <w:sz w:val="18"/>
              </w:rPr>
            </w:pPr>
            <w:r>
              <w:rPr>
                <w:sz w:val="18"/>
              </w:rPr>
              <w:t>95.77</w:t>
            </w:r>
          </w:p>
        </w:tc>
        <w:tc>
          <w:tcPr>
            <w:tcW w:w="934" w:type="dxa"/>
            <w:tcBorders>
              <w:top w:val="single" w:sz="4" w:space="0" w:color="000000"/>
              <w:left w:val="single" w:sz="4" w:space="0" w:color="000000"/>
              <w:bottom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r>
        <w:trPr>
          <w:trHeight w:val="465" w:hRule="atLeast"/>
        </w:trPr>
        <w:tc>
          <w:tcPr>
            <w:tcW w:w="1964" w:type="dxa"/>
            <w:tcBorders>
              <w:top w:val="single" w:sz="4" w:space="0" w:color="000000"/>
              <w:bottom w:val="single" w:sz="4" w:space="0" w:color="000000"/>
              <w:right w:val="single" w:sz="4" w:space="0" w:color="000000"/>
            </w:tcBorders>
          </w:tcPr>
          <w:p>
            <w:pPr>
              <w:pStyle w:val="TableParagraph"/>
              <w:ind w:left="104"/>
              <w:rPr>
                <w:rFonts w:ascii="宋体" w:eastAsia="宋体" w:hint="eastAsia"/>
                <w:sz w:val="18"/>
              </w:rPr>
            </w:pPr>
            <w:r>
              <w:rPr>
                <w:rFonts w:ascii="宋体" w:eastAsia="宋体" w:hint="eastAsia"/>
                <w:sz w:val="18"/>
              </w:rPr>
              <w:t>重庆海尔家电销售合</w:t>
            </w:r>
          </w:p>
          <w:p>
            <w:pPr>
              <w:pStyle w:val="TableParagraph"/>
              <w:spacing w:line="213" w:lineRule="exact" w:before="2"/>
              <w:ind w:left="104"/>
              <w:rPr>
                <w:rFonts w:ascii="宋体" w:eastAsia="宋体" w:hint="eastAsia"/>
                <w:sz w:val="18"/>
              </w:rPr>
            </w:pPr>
            <w:r>
              <w:rPr>
                <w:rFonts w:ascii="宋体" w:eastAsia="宋体" w:hint="eastAsia"/>
                <w:sz w:val="18"/>
              </w:rPr>
              <w:t>肥有限公司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15"/>
              <w:ind w:left="141" w:right="118"/>
              <w:jc w:val="center"/>
              <w:rPr>
                <w:rFonts w:ascii="宋体" w:eastAsia="宋体" w:hint="eastAsia"/>
                <w:sz w:val="18"/>
              </w:rPr>
            </w:pPr>
            <w:r>
              <w:rPr>
                <w:rFonts w:ascii="宋体" w:eastAsia="宋体" w:hint="eastAsia"/>
                <w:sz w:val="18"/>
              </w:rPr>
              <w:t>合肥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5"/>
              <w:ind w:left="99" w:right="80"/>
              <w:jc w:val="center"/>
              <w:rPr>
                <w:rFonts w:ascii="宋体" w:eastAsia="宋体" w:hint="eastAsia"/>
                <w:sz w:val="18"/>
              </w:rPr>
            </w:pPr>
            <w:r>
              <w:rPr>
                <w:rFonts w:ascii="宋体" w:eastAsia="宋体" w:hint="eastAsia"/>
                <w:sz w:val="18"/>
              </w:rPr>
              <w:t>合肥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115"/>
              <w:ind w:left="115"/>
              <w:rPr>
                <w:rFonts w:ascii="宋体" w:eastAsia="宋体" w:hint="eastAsia"/>
                <w:sz w:val="18"/>
              </w:rPr>
            </w:pPr>
            <w:r>
              <w:rPr>
                <w:rFonts w:ascii="宋体" w:eastAsia="宋体" w:hint="eastAsia"/>
                <w:sz w:val="18"/>
              </w:rPr>
              <w:t>家电销售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24"/>
              <w:ind w:right="92"/>
              <w:jc w:val="right"/>
              <w:rPr>
                <w:sz w:val="18"/>
              </w:rPr>
            </w:pPr>
            <w:r>
              <w:rPr>
                <w:sz w:val="18"/>
              </w:rPr>
              <w:t>100.00</w:t>
            </w:r>
          </w:p>
        </w:tc>
        <w:tc>
          <w:tcPr>
            <w:tcW w:w="934" w:type="dxa"/>
            <w:tcBorders>
              <w:top w:val="single" w:sz="4" w:space="0" w:color="000000"/>
              <w:left w:val="single" w:sz="4" w:space="0" w:color="000000"/>
              <w:bottom w:val="single" w:sz="4" w:space="0" w:color="000000"/>
            </w:tcBorders>
          </w:tcPr>
          <w:p>
            <w:pPr>
              <w:pStyle w:val="TableParagraph"/>
              <w:spacing w:before="115"/>
              <w:ind w:left="111"/>
              <w:rPr>
                <w:rFonts w:ascii="宋体" w:eastAsia="宋体" w:hint="eastAsia"/>
                <w:sz w:val="18"/>
              </w:rPr>
            </w:pPr>
            <w:r>
              <w:rPr>
                <w:rFonts w:ascii="宋体" w:eastAsia="宋体" w:hint="eastAsia"/>
                <w:sz w:val="18"/>
              </w:rPr>
              <w:t>设立</w:t>
            </w:r>
          </w:p>
        </w:tc>
      </w:tr>
      <w:tr>
        <w:trPr>
          <w:trHeight w:val="467" w:hRule="atLeast"/>
        </w:trPr>
        <w:tc>
          <w:tcPr>
            <w:tcW w:w="1964" w:type="dxa"/>
            <w:tcBorders>
              <w:top w:val="single" w:sz="4" w:space="0" w:color="000000"/>
              <w:bottom w:val="single" w:sz="4" w:space="0" w:color="000000"/>
              <w:right w:val="single" w:sz="4" w:space="0" w:color="000000"/>
            </w:tcBorders>
          </w:tcPr>
          <w:p>
            <w:pPr>
              <w:pStyle w:val="TableParagraph"/>
              <w:ind w:left="104"/>
              <w:rPr>
                <w:rFonts w:ascii="宋体" w:eastAsia="宋体" w:hint="eastAsia"/>
                <w:sz w:val="18"/>
              </w:rPr>
            </w:pPr>
            <w:r>
              <w:rPr>
                <w:rFonts w:ascii="宋体" w:eastAsia="宋体" w:hint="eastAsia"/>
                <w:sz w:val="18"/>
              </w:rPr>
              <w:t>北京海尔中幼网络传</w:t>
            </w:r>
          </w:p>
          <w:p>
            <w:pPr>
              <w:pStyle w:val="TableParagraph"/>
              <w:spacing w:line="213" w:lineRule="exact" w:before="4"/>
              <w:ind w:left="104"/>
              <w:rPr>
                <w:rFonts w:ascii="宋体" w:eastAsia="宋体" w:hint="eastAsia"/>
                <w:sz w:val="18"/>
              </w:rPr>
            </w:pPr>
            <w:r>
              <w:rPr>
                <w:rFonts w:ascii="宋体" w:eastAsia="宋体" w:hint="eastAsia"/>
                <w:sz w:val="18"/>
              </w:rPr>
              <w:t>媒有限公司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17"/>
              <w:ind w:left="141" w:right="118"/>
              <w:jc w:val="center"/>
              <w:rPr>
                <w:rFonts w:ascii="宋体" w:eastAsia="宋体" w:hint="eastAsia"/>
                <w:sz w:val="18"/>
              </w:rPr>
            </w:pPr>
            <w:r>
              <w:rPr>
                <w:rFonts w:ascii="宋体" w:eastAsia="宋体" w:hint="eastAsia"/>
                <w:sz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7"/>
              <w:ind w:left="99" w:right="80"/>
              <w:jc w:val="center"/>
              <w:rPr>
                <w:rFonts w:ascii="宋体" w:eastAsia="宋体" w:hint="eastAsia"/>
                <w:sz w:val="18"/>
              </w:rPr>
            </w:pPr>
            <w:r>
              <w:rPr>
                <w:rFonts w:ascii="宋体" w:eastAsia="宋体" w:hint="eastAsia"/>
                <w:sz w:val="18"/>
              </w:rPr>
              <w:t>北京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117"/>
              <w:ind w:left="115"/>
              <w:rPr>
                <w:rFonts w:ascii="宋体" w:eastAsia="宋体" w:hint="eastAsia"/>
                <w:sz w:val="18"/>
              </w:rPr>
            </w:pPr>
            <w:r>
              <w:rPr>
                <w:rFonts w:ascii="宋体" w:eastAsia="宋体" w:hint="eastAsia"/>
                <w:sz w:val="18"/>
              </w:rPr>
              <w:t>广播电视节目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27"/>
              <w:ind w:right="91"/>
              <w:jc w:val="right"/>
              <w:rPr>
                <w:sz w:val="18"/>
              </w:rPr>
            </w:pPr>
            <w:r>
              <w:rPr>
                <w:sz w:val="18"/>
              </w:rPr>
              <w:t>51.00</w:t>
            </w:r>
          </w:p>
        </w:tc>
        <w:tc>
          <w:tcPr>
            <w:tcW w:w="934" w:type="dxa"/>
            <w:tcBorders>
              <w:top w:val="single" w:sz="4" w:space="0" w:color="000000"/>
              <w:left w:val="single" w:sz="4" w:space="0" w:color="000000"/>
              <w:bottom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r>
        <w:trPr>
          <w:trHeight w:val="467" w:hRule="atLeast"/>
        </w:trPr>
        <w:tc>
          <w:tcPr>
            <w:tcW w:w="1964" w:type="dxa"/>
            <w:tcBorders>
              <w:top w:val="single" w:sz="4" w:space="0" w:color="000000"/>
              <w:bottom w:val="single" w:sz="4" w:space="0" w:color="000000"/>
              <w:right w:val="single" w:sz="4" w:space="0" w:color="000000"/>
            </w:tcBorders>
          </w:tcPr>
          <w:p>
            <w:pPr>
              <w:pStyle w:val="TableParagraph"/>
              <w:ind w:left="104"/>
              <w:rPr>
                <w:rFonts w:ascii="宋体" w:eastAsia="宋体" w:hint="eastAsia"/>
                <w:sz w:val="18"/>
              </w:rPr>
            </w:pPr>
            <w:r>
              <w:rPr>
                <w:rFonts w:ascii="宋体" w:eastAsia="宋体" w:hint="eastAsia"/>
                <w:sz w:val="18"/>
              </w:rPr>
              <w:t>青岛卫玺智能科技有</w:t>
            </w:r>
          </w:p>
          <w:p>
            <w:pPr>
              <w:pStyle w:val="TableParagraph"/>
              <w:spacing w:line="215" w:lineRule="exact" w:before="2"/>
              <w:ind w:left="104"/>
              <w:rPr>
                <w:rFonts w:ascii="宋体" w:eastAsia="宋体" w:hint="eastAsia"/>
                <w:sz w:val="18"/>
              </w:rPr>
            </w:pPr>
            <w:r>
              <w:rPr>
                <w:rFonts w:ascii="宋体" w:eastAsia="宋体" w:hint="eastAsia"/>
                <w:sz w:val="18"/>
              </w:rPr>
              <w:t>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17"/>
              <w:ind w:left="141" w:right="118"/>
              <w:jc w:val="center"/>
              <w:rPr>
                <w:rFonts w:ascii="宋体" w:eastAsia="宋体" w:hint="eastAsia"/>
                <w:sz w:val="18"/>
              </w:rPr>
            </w:pPr>
            <w:r>
              <w:rPr>
                <w:rFonts w:ascii="宋体" w:eastAsia="宋体" w:hint="eastAsia"/>
                <w:sz w:val="18"/>
              </w:rPr>
              <w:t>青岛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7"/>
              <w:ind w:left="99" w:right="80"/>
              <w:jc w:val="center"/>
              <w:rPr>
                <w:rFonts w:ascii="宋体" w:eastAsia="宋体" w:hint="eastAsia"/>
                <w:sz w:val="18"/>
              </w:rPr>
            </w:pPr>
            <w:r>
              <w:rPr>
                <w:rFonts w:ascii="宋体" w:eastAsia="宋体" w:hint="eastAsia"/>
                <w:sz w:val="18"/>
              </w:rPr>
              <w:t>青岛</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117"/>
              <w:ind w:left="115"/>
              <w:rPr>
                <w:rFonts w:ascii="宋体" w:eastAsia="宋体" w:hint="eastAsia"/>
                <w:sz w:val="18"/>
              </w:rPr>
            </w:pPr>
            <w:r>
              <w:rPr>
                <w:rFonts w:ascii="宋体" w:eastAsia="宋体" w:hint="eastAsia"/>
                <w:sz w:val="18"/>
              </w:rPr>
              <w:t>智能卫浴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24"/>
              <w:ind w:right="91"/>
              <w:jc w:val="right"/>
              <w:rPr>
                <w:sz w:val="18"/>
              </w:rPr>
            </w:pPr>
            <w:r>
              <w:rPr>
                <w:sz w:val="18"/>
              </w:rPr>
              <w:t>71.43</w:t>
            </w:r>
          </w:p>
        </w:tc>
        <w:tc>
          <w:tcPr>
            <w:tcW w:w="934" w:type="dxa"/>
            <w:tcBorders>
              <w:top w:val="single" w:sz="4" w:space="0" w:color="000000"/>
              <w:left w:val="single" w:sz="4" w:space="0" w:color="000000"/>
              <w:bottom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r>
        <w:trPr>
          <w:trHeight w:val="465" w:hRule="atLeast"/>
        </w:trPr>
        <w:tc>
          <w:tcPr>
            <w:tcW w:w="1964" w:type="dxa"/>
            <w:tcBorders>
              <w:top w:val="single" w:sz="4" w:space="0" w:color="000000"/>
              <w:bottom w:val="single" w:sz="4" w:space="0" w:color="000000"/>
              <w:right w:val="single" w:sz="4" w:space="0" w:color="000000"/>
            </w:tcBorders>
          </w:tcPr>
          <w:p>
            <w:pPr>
              <w:pStyle w:val="TableParagraph"/>
              <w:ind w:left="104"/>
              <w:rPr>
                <w:rFonts w:ascii="宋体" w:eastAsia="宋体" w:hint="eastAsia"/>
                <w:sz w:val="18"/>
              </w:rPr>
            </w:pPr>
            <w:r>
              <w:rPr>
                <w:rFonts w:ascii="宋体" w:eastAsia="宋体" w:hint="eastAsia"/>
                <w:sz w:val="18"/>
              </w:rPr>
              <w:t>海尔优家智能科技（北</w:t>
            </w:r>
          </w:p>
          <w:p>
            <w:pPr>
              <w:pStyle w:val="TableParagraph"/>
              <w:spacing w:line="213" w:lineRule="exact" w:before="2"/>
              <w:ind w:left="104"/>
              <w:rPr>
                <w:rFonts w:ascii="宋体" w:eastAsia="宋体" w:hint="eastAsia"/>
                <w:sz w:val="18"/>
              </w:rPr>
            </w:pPr>
            <w:r>
              <w:rPr>
                <w:rFonts w:ascii="宋体" w:eastAsia="宋体" w:hint="eastAsia"/>
                <w:sz w:val="18"/>
              </w:rPr>
              <w:t>京）有限公司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15"/>
              <w:ind w:left="141" w:right="118"/>
              <w:jc w:val="center"/>
              <w:rPr>
                <w:rFonts w:ascii="宋体" w:eastAsia="宋体" w:hint="eastAsia"/>
                <w:sz w:val="18"/>
              </w:rPr>
            </w:pPr>
            <w:r>
              <w:rPr>
                <w:rFonts w:ascii="宋体" w:eastAsia="宋体" w:hint="eastAsia"/>
                <w:sz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5"/>
              <w:ind w:left="99" w:right="80"/>
              <w:jc w:val="center"/>
              <w:rPr>
                <w:rFonts w:ascii="宋体" w:eastAsia="宋体" w:hint="eastAsia"/>
                <w:sz w:val="18"/>
              </w:rPr>
            </w:pPr>
            <w:r>
              <w:rPr>
                <w:rFonts w:ascii="宋体" w:eastAsia="宋体" w:hint="eastAsia"/>
                <w:sz w:val="18"/>
              </w:rPr>
              <w:t>北京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115"/>
              <w:ind w:left="115"/>
              <w:rPr>
                <w:rFonts w:ascii="宋体" w:eastAsia="宋体" w:hint="eastAsia"/>
                <w:sz w:val="18"/>
              </w:rPr>
            </w:pPr>
            <w:r>
              <w:rPr>
                <w:rFonts w:ascii="宋体" w:eastAsia="宋体" w:hint="eastAsia"/>
                <w:sz w:val="18"/>
              </w:rPr>
              <w:t>软件开发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24"/>
              <w:ind w:right="88"/>
              <w:jc w:val="right"/>
              <w:rPr>
                <w:sz w:val="18"/>
              </w:rPr>
            </w:pPr>
            <w:r>
              <w:rPr>
                <w:sz w:val="18"/>
              </w:rPr>
              <w:t>100.00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34" w:type="dxa"/>
            <w:tcBorders>
              <w:top w:val="single" w:sz="4" w:space="0" w:color="000000"/>
              <w:left w:val="single" w:sz="4" w:space="0" w:color="000000"/>
              <w:bottom w:val="single" w:sz="4" w:space="0" w:color="000000"/>
            </w:tcBorders>
          </w:tcPr>
          <w:p>
            <w:pPr>
              <w:pStyle w:val="TableParagraph"/>
              <w:spacing w:before="115"/>
              <w:ind w:left="111"/>
              <w:rPr>
                <w:rFonts w:ascii="宋体" w:eastAsia="宋体" w:hint="eastAsia"/>
                <w:sz w:val="18"/>
              </w:rPr>
            </w:pPr>
            <w:r>
              <w:rPr>
                <w:rFonts w:ascii="宋体" w:eastAsia="宋体" w:hint="eastAsia"/>
                <w:sz w:val="18"/>
              </w:rPr>
              <w:t>设立</w:t>
            </w:r>
          </w:p>
        </w:tc>
      </w:tr>
      <w:tr>
        <w:trPr>
          <w:trHeight w:val="467" w:hRule="atLeast"/>
        </w:trPr>
        <w:tc>
          <w:tcPr>
            <w:tcW w:w="1964" w:type="dxa"/>
            <w:tcBorders>
              <w:top w:val="single" w:sz="4" w:space="0" w:color="000000"/>
              <w:bottom w:val="single" w:sz="4" w:space="0" w:color="000000"/>
              <w:right w:val="single" w:sz="4" w:space="0" w:color="000000"/>
            </w:tcBorders>
          </w:tcPr>
          <w:p>
            <w:pPr>
              <w:pStyle w:val="TableParagraph"/>
              <w:spacing w:line="230" w:lineRule="atLeast" w:before="2"/>
              <w:ind w:left="104" w:right="97"/>
              <w:rPr>
                <w:rFonts w:ascii="宋体" w:eastAsia="宋体" w:hint="eastAsia"/>
                <w:sz w:val="18"/>
              </w:rPr>
            </w:pPr>
            <w:r>
              <w:rPr>
                <w:rFonts w:ascii="宋体" w:eastAsia="宋体" w:hint="eastAsia"/>
                <w:sz w:val="18"/>
              </w:rPr>
              <w:t>海尔</w:t>
            </w:r>
            <w:r>
              <w:rPr>
                <w:sz w:val="18"/>
              </w:rPr>
              <w:t>(</w:t>
            </w:r>
            <w:r>
              <w:rPr>
                <w:rFonts w:ascii="宋体" w:eastAsia="宋体" w:hint="eastAsia"/>
                <w:sz w:val="18"/>
              </w:rPr>
              <w:t>上海</w:t>
            </w:r>
            <w:r>
              <w:rPr>
                <w:sz w:val="18"/>
              </w:rPr>
              <w:t>)</w:t>
            </w:r>
            <w:r>
              <w:rPr>
                <w:rFonts w:ascii="宋体" w:eastAsia="宋体" w:hint="eastAsia"/>
                <w:sz w:val="18"/>
              </w:rPr>
              <w:t>电器有限公司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17"/>
              <w:ind w:left="141" w:right="118"/>
              <w:jc w:val="center"/>
              <w:rPr>
                <w:rFonts w:ascii="宋体" w:eastAsia="宋体" w:hint="eastAsia"/>
                <w:sz w:val="18"/>
              </w:rPr>
            </w:pPr>
            <w:r>
              <w:rPr>
                <w:rFonts w:ascii="宋体" w:eastAsia="宋体" w:hint="eastAsia"/>
                <w:sz w:val="18"/>
              </w:rPr>
              <w:t>上海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7"/>
              <w:ind w:left="99" w:right="80"/>
              <w:jc w:val="center"/>
              <w:rPr>
                <w:rFonts w:ascii="宋体" w:eastAsia="宋体" w:hint="eastAsia"/>
                <w:sz w:val="18"/>
              </w:rPr>
            </w:pPr>
            <w:r>
              <w:rPr>
                <w:rFonts w:ascii="宋体" w:eastAsia="宋体" w:hint="eastAsia"/>
                <w:sz w:val="18"/>
              </w:rPr>
              <w:t>上海</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2"/>
              <w:ind w:left="115" w:right="173"/>
              <w:rPr>
                <w:rFonts w:ascii="宋体" w:eastAsia="宋体" w:hint="eastAsia"/>
                <w:sz w:val="18"/>
              </w:rPr>
            </w:pPr>
            <w:r>
              <w:rPr>
                <w:rFonts w:ascii="宋体" w:eastAsia="宋体" w:hint="eastAsia"/>
                <w:sz w:val="18"/>
              </w:rPr>
              <w:t>家用电器销售、研发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27"/>
              <w:ind w:right="88"/>
              <w:jc w:val="right"/>
              <w:rPr>
                <w:sz w:val="18"/>
              </w:rPr>
            </w:pPr>
            <w:r>
              <w:rPr>
                <w:sz w:val="18"/>
              </w:rPr>
              <w:t>100.00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34" w:type="dxa"/>
            <w:tcBorders>
              <w:top w:val="single" w:sz="4" w:space="0" w:color="000000"/>
              <w:left w:val="single" w:sz="4" w:space="0" w:color="000000"/>
              <w:bottom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r>
        <w:trPr>
          <w:trHeight w:val="467" w:hRule="atLeast"/>
        </w:trPr>
        <w:tc>
          <w:tcPr>
            <w:tcW w:w="1964" w:type="dxa"/>
            <w:tcBorders>
              <w:top w:val="single" w:sz="4" w:space="0" w:color="000000"/>
              <w:bottom w:val="single" w:sz="4" w:space="0" w:color="000000"/>
              <w:right w:val="single" w:sz="4" w:space="0" w:color="000000"/>
            </w:tcBorders>
          </w:tcPr>
          <w:p>
            <w:pPr>
              <w:pStyle w:val="TableParagraph"/>
              <w:ind w:left="104"/>
              <w:rPr>
                <w:rFonts w:ascii="宋体" w:eastAsia="宋体" w:hint="eastAsia"/>
                <w:sz w:val="18"/>
              </w:rPr>
            </w:pPr>
            <w:r>
              <w:rPr>
                <w:rFonts w:ascii="宋体" w:eastAsia="宋体" w:hint="eastAsia"/>
                <w:sz w:val="18"/>
              </w:rPr>
              <w:t>上海海尔众智坊创客</w:t>
            </w:r>
          </w:p>
          <w:p>
            <w:pPr>
              <w:pStyle w:val="TableParagraph"/>
              <w:spacing w:line="215" w:lineRule="exact" w:before="2"/>
              <w:ind w:left="104"/>
              <w:rPr>
                <w:rFonts w:ascii="宋体" w:eastAsia="宋体" w:hint="eastAsia"/>
                <w:sz w:val="18"/>
              </w:rPr>
            </w:pPr>
            <w:r>
              <w:rPr>
                <w:rFonts w:ascii="宋体" w:eastAsia="宋体" w:hint="eastAsia"/>
                <w:sz w:val="18"/>
              </w:rPr>
              <w:t>空间管理有限公司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17"/>
              <w:ind w:left="141" w:right="118"/>
              <w:jc w:val="center"/>
              <w:rPr>
                <w:rFonts w:ascii="宋体" w:eastAsia="宋体" w:hint="eastAsia"/>
                <w:sz w:val="18"/>
              </w:rPr>
            </w:pPr>
            <w:r>
              <w:rPr>
                <w:rFonts w:ascii="宋体" w:eastAsia="宋体" w:hint="eastAsia"/>
                <w:sz w:val="18"/>
              </w:rPr>
              <w:t>上海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7"/>
              <w:ind w:left="99" w:right="80"/>
              <w:jc w:val="center"/>
              <w:rPr>
                <w:rFonts w:ascii="宋体" w:eastAsia="宋体" w:hint="eastAsia"/>
                <w:sz w:val="18"/>
              </w:rPr>
            </w:pPr>
            <w:r>
              <w:rPr>
                <w:rFonts w:ascii="宋体" w:eastAsia="宋体" w:hint="eastAsia"/>
                <w:sz w:val="18"/>
              </w:rPr>
              <w:t>上海</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ind w:left="115"/>
              <w:rPr>
                <w:rFonts w:ascii="宋体" w:eastAsia="宋体" w:hint="eastAsia"/>
                <w:sz w:val="18"/>
              </w:rPr>
            </w:pPr>
            <w:r>
              <w:rPr>
                <w:rFonts w:ascii="宋体" w:eastAsia="宋体" w:hint="eastAsia"/>
                <w:sz w:val="18"/>
              </w:rPr>
              <w:t>企业管理咨询、</w:t>
            </w:r>
          </w:p>
          <w:p>
            <w:pPr>
              <w:pStyle w:val="TableParagraph"/>
              <w:spacing w:line="215" w:lineRule="exact" w:before="2"/>
              <w:ind w:left="115"/>
              <w:rPr>
                <w:rFonts w:ascii="宋体" w:eastAsia="宋体" w:hint="eastAsia"/>
                <w:sz w:val="18"/>
              </w:rPr>
            </w:pPr>
            <w:r>
              <w:rPr>
                <w:rFonts w:ascii="宋体" w:eastAsia="宋体" w:hint="eastAsia"/>
                <w:sz w:val="18"/>
              </w:rPr>
              <w:t>创客经营管理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24"/>
              <w:ind w:right="88"/>
              <w:jc w:val="right"/>
              <w:rPr>
                <w:sz w:val="18"/>
              </w:rPr>
            </w:pPr>
            <w:r>
              <w:rPr>
                <w:sz w:val="18"/>
              </w:rPr>
              <w:t>100.00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12"/>
              <w:ind w:left="108"/>
              <w:jc w:val="center"/>
              <w:rPr>
                <w:rFonts w:ascii="宋体"/>
                <w:sz w:val="18"/>
              </w:rPr>
            </w:pPr>
            <w:r>
              <w:rPr>
                <w:rFonts w:ascii="宋体"/>
                <w:sz w:val="18"/>
              </w:rPr>
              <w:t> </w:t>
            </w:r>
          </w:p>
        </w:tc>
        <w:tc>
          <w:tcPr>
            <w:tcW w:w="934" w:type="dxa"/>
            <w:tcBorders>
              <w:top w:val="single" w:sz="4" w:space="0" w:color="000000"/>
              <w:left w:val="single" w:sz="4" w:space="0" w:color="000000"/>
              <w:bottom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r>
        <w:trPr>
          <w:trHeight w:val="465" w:hRule="atLeast"/>
        </w:trPr>
        <w:tc>
          <w:tcPr>
            <w:tcW w:w="1964" w:type="dxa"/>
            <w:tcBorders>
              <w:top w:val="single" w:sz="4" w:space="0" w:color="000000"/>
              <w:bottom w:val="single" w:sz="4" w:space="0" w:color="000000"/>
              <w:right w:val="single" w:sz="4" w:space="0" w:color="000000"/>
            </w:tcBorders>
          </w:tcPr>
          <w:p>
            <w:pPr>
              <w:pStyle w:val="TableParagraph"/>
              <w:ind w:left="104"/>
              <w:rPr>
                <w:rFonts w:ascii="宋体" w:eastAsia="宋体" w:hint="eastAsia"/>
                <w:sz w:val="18"/>
              </w:rPr>
            </w:pPr>
            <w:r>
              <w:rPr>
                <w:rFonts w:ascii="宋体" w:eastAsia="宋体" w:hint="eastAsia"/>
                <w:sz w:val="18"/>
              </w:rPr>
              <w:t>青岛海尔智慧厨房电</w:t>
            </w:r>
          </w:p>
          <w:p>
            <w:pPr>
              <w:pStyle w:val="TableParagraph"/>
              <w:spacing w:line="213" w:lineRule="exact" w:before="2"/>
              <w:ind w:left="104"/>
              <w:rPr>
                <w:rFonts w:ascii="宋体" w:eastAsia="宋体" w:hint="eastAsia"/>
                <w:sz w:val="18"/>
              </w:rPr>
            </w:pPr>
            <w:r>
              <w:rPr>
                <w:rFonts w:ascii="宋体" w:eastAsia="宋体" w:hint="eastAsia"/>
                <w:sz w:val="18"/>
              </w:rPr>
              <w:t>器有限公司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17"/>
              <w:ind w:left="141" w:right="118"/>
              <w:jc w:val="center"/>
              <w:rPr>
                <w:rFonts w:ascii="宋体" w:eastAsia="宋体" w:hint="eastAsia"/>
                <w:sz w:val="18"/>
              </w:rPr>
            </w:pPr>
            <w:r>
              <w:rPr>
                <w:rFonts w:ascii="宋体" w:eastAsia="宋体" w:hint="eastAsia"/>
                <w:sz w:val="18"/>
              </w:rPr>
              <w:t>青岛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7"/>
              <w:ind w:left="99" w:right="80"/>
              <w:jc w:val="center"/>
              <w:rPr>
                <w:rFonts w:ascii="宋体" w:eastAsia="宋体" w:hint="eastAsia"/>
                <w:sz w:val="18"/>
              </w:rPr>
            </w:pPr>
            <w:r>
              <w:rPr>
                <w:rFonts w:ascii="宋体" w:eastAsia="宋体" w:hint="eastAsia"/>
                <w:sz w:val="18"/>
              </w:rPr>
              <w:t>青岛</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ind w:left="115"/>
              <w:rPr>
                <w:rFonts w:ascii="宋体" w:eastAsia="宋体" w:hint="eastAsia"/>
                <w:sz w:val="18"/>
              </w:rPr>
            </w:pPr>
            <w:r>
              <w:rPr>
                <w:rFonts w:ascii="宋体" w:eastAsia="宋体" w:hint="eastAsia"/>
                <w:sz w:val="18"/>
              </w:rPr>
              <w:t>厨房智慧家电生</w:t>
            </w:r>
          </w:p>
          <w:p>
            <w:pPr>
              <w:pStyle w:val="TableParagraph"/>
              <w:spacing w:line="213" w:lineRule="exact" w:before="2"/>
              <w:ind w:left="115"/>
              <w:rPr>
                <w:rFonts w:ascii="宋体" w:eastAsia="宋体" w:hint="eastAsia"/>
                <w:sz w:val="18"/>
              </w:rPr>
            </w:pPr>
            <w:r>
              <w:rPr>
                <w:rFonts w:ascii="宋体" w:eastAsia="宋体" w:hint="eastAsia"/>
                <w:sz w:val="18"/>
              </w:rPr>
              <w:t>产、销售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2"/>
              <w:ind w:left="111"/>
              <w:jc w:val="center"/>
              <w:rPr>
                <w:rFonts w:ascii="宋体"/>
                <w:sz w:val="18"/>
              </w:rPr>
            </w:pPr>
            <w:r>
              <w:rPr>
                <w:rFonts w:ascii="宋体"/>
                <w:sz w:val="18"/>
              </w:rPr>
              <w:t> </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24"/>
              <w:ind w:left="253"/>
              <w:rPr>
                <w:sz w:val="18"/>
              </w:rPr>
            </w:pPr>
            <w:r>
              <w:rPr>
                <w:sz w:val="18"/>
              </w:rPr>
              <w:t>100.00</w:t>
            </w:r>
          </w:p>
        </w:tc>
        <w:tc>
          <w:tcPr>
            <w:tcW w:w="934" w:type="dxa"/>
            <w:tcBorders>
              <w:top w:val="single" w:sz="4" w:space="0" w:color="000000"/>
              <w:left w:val="single" w:sz="4" w:space="0" w:color="000000"/>
              <w:bottom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r>
        <w:trPr>
          <w:trHeight w:val="467" w:hRule="atLeast"/>
        </w:trPr>
        <w:tc>
          <w:tcPr>
            <w:tcW w:w="1964" w:type="dxa"/>
            <w:tcBorders>
              <w:top w:val="single" w:sz="4" w:space="0" w:color="000000"/>
              <w:bottom w:val="single" w:sz="4" w:space="0" w:color="000000"/>
              <w:right w:val="single" w:sz="4" w:space="0" w:color="000000"/>
            </w:tcBorders>
          </w:tcPr>
          <w:p>
            <w:pPr>
              <w:pStyle w:val="TableParagraph"/>
              <w:spacing w:line="230" w:lineRule="atLeast" w:before="2"/>
              <w:ind w:left="104" w:right="97"/>
              <w:rPr>
                <w:rFonts w:ascii="宋体" w:eastAsia="宋体" w:hint="eastAsia"/>
                <w:sz w:val="18"/>
              </w:rPr>
            </w:pPr>
            <w:r>
              <w:rPr>
                <w:rFonts w:ascii="宋体" w:eastAsia="宋体" w:hint="eastAsia"/>
                <w:sz w:val="18"/>
              </w:rPr>
              <w:t>际壹电器</w:t>
            </w:r>
            <w:r>
              <w:rPr>
                <w:sz w:val="18"/>
              </w:rPr>
              <w:t>(</w:t>
            </w:r>
            <w:r>
              <w:rPr>
                <w:rFonts w:ascii="宋体" w:eastAsia="宋体" w:hint="eastAsia"/>
                <w:sz w:val="18"/>
              </w:rPr>
              <w:t>上海</w:t>
            </w:r>
            <w:r>
              <w:rPr>
                <w:sz w:val="18"/>
              </w:rPr>
              <w:t>)</w:t>
            </w:r>
            <w:r>
              <w:rPr>
                <w:rFonts w:ascii="宋体" w:eastAsia="宋体" w:hint="eastAsia"/>
                <w:sz w:val="18"/>
              </w:rPr>
              <w:t>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17"/>
              <w:ind w:left="141" w:right="118"/>
              <w:jc w:val="center"/>
              <w:rPr>
                <w:rFonts w:ascii="宋体" w:eastAsia="宋体" w:hint="eastAsia"/>
                <w:sz w:val="18"/>
              </w:rPr>
            </w:pPr>
            <w:r>
              <w:rPr>
                <w:rFonts w:ascii="宋体" w:eastAsia="宋体" w:hint="eastAsia"/>
                <w:sz w:val="18"/>
              </w:rPr>
              <w:t>上海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7"/>
              <w:ind w:left="99" w:right="80"/>
              <w:jc w:val="center"/>
              <w:rPr>
                <w:rFonts w:ascii="宋体" w:eastAsia="宋体" w:hint="eastAsia"/>
                <w:sz w:val="18"/>
              </w:rPr>
            </w:pPr>
            <w:r>
              <w:rPr>
                <w:rFonts w:ascii="宋体" w:eastAsia="宋体" w:hint="eastAsia"/>
                <w:sz w:val="18"/>
              </w:rPr>
              <w:t>上海</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117"/>
              <w:ind w:left="115"/>
              <w:rPr>
                <w:rFonts w:ascii="宋体" w:eastAsia="宋体" w:hint="eastAsia"/>
                <w:sz w:val="18"/>
              </w:rPr>
            </w:pPr>
            <w:r>
              <w:rPr>
                <w:rFonts w:ascii="宋体" w:eastAsia="宋体" w:hint="eastAsia"/>
                <w:sz w:val="18"/>
              </w:rPr>
              <w:t>家用电器销售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5"/>
              <w:ind w:left="111"/>
              <w:jc w:val="center"/>
              <w:rPr>
                <w:rFonts w:ascii="宋体"/>
                <w:sz w:val="18"/>
              </w:rPr>
            </w:pPr>
            <w:r>
              <w:rPr>
                <w:rFonts w:ascii="宋体"/>
                <w:sz w:val="18"/>
              </w:rPr>
              <w:t> </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27"/>
              <w:ind w:left="253"/>
              <w:rPr>
                <w:sz w:val="18"/>
              </w:rPr>
            </w:pPr>
            <w:r>
              <w:rPr>
                <w:sz w:val="18"/>
              </w:rPr>
              <w:t>100.00</w:t>
            </w:r>
          </w:p>
        </w:tc>
        <w:tc>
          <w:tcPr>
            <w:tcW w:w="934" w:type="dxa"/>
            <w:tcBorders>
              <w:top w:val="single" w:sz="4" w:space="0" w:color="000000"/>
              <w:left w:val="single" w:sz="4" w:space="0" w:color="000000"/>
              <w:bottom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r>
        <w:trPr>
          <w:trHeight w:val="700" w:hRule="atLeast"/>
        </w:trPr>
        <w:tc>
          <w:tcPr>
            <w:tcW w:w="1964" w:type="dxa"/>
            <w:tcBorders>
              <w:top w:val="single" w:sz="4" w:space="0" w:color="000000"/>
              <w:bottom w:val="single" w:sz="4" w:space="0" w:color="000000"/>
              <w:right w:val="single" w:sz="4" w:space="0" w:color="000000"/>
            </w:tcBorders>
          </w:tcPr>
          <w:p>
            <w:pPr>
              <w:pStyle w:val="TableParagraph"/>
              <w:spacing w:line="242" w:lineRule="auto" w:before="117"/>
              <w:ind w:left="104" w:right="217"/>
              <w:rPr>
                <w:rFonts w:ascii="宋体" w:eastAsia="宋体" w:hint="eastAsia"/>
                <w:sz w:val="18"/>
              </w:rPr>
            </w:pPr>
            <w:r>
              <w:rPr>
                <w:rFonts w:ascii="宋体" w:eastAsia="宋体" w:hint="eastAsia"/>
                <w:sz w:val="18"/>
              </w:rPr>
              <w:t>青岛好品海瑞信息技术有限公司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5"/>
              <w:rPr>
                <w:sz w:val="20"/>
              </w:rPr>
            </w:pPr>
          </w:p>
          <w:p>
            <w:pPr>
              <w:pStyle w:val="TableParagraph"/>
              <w:ind w:left="141" w:right="118"/>
              <w:jc w:val="center"/>
              <w:rPr>
                <w:rFonts w:ascii="宋体" w:eastAsia="宋体" w:hint="eastAsia"/>
                <w:sz w:val="18"/>
              </w:rPr>
            </w:pPr>
            <w:r>
              <w:rPr>
                <w:rFonts w:ascii="宋体" w:eastAsia="宋体" w:hint="eastAsia"/>
                <w:sz w:val="18"/>
              </w:rPr>
              <w:t>青岛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5"/>
              <w:rPr>
                <w:sz w:val="20"/>
              </w:rPr>
            </w:pPr>
          </w:p>
          <w:p>
            <w:pPr>
              <w:pStyle w:val="TableParagraph"/>
              <w:ind w:left="99" w:right="80"/>
              <w:jc w:val="center"/>
              <w:rPr>
                <w:rFonts w:ascii="宋体" w:eastAsia="宋体" w:hint="eastAsia"/>
                <w:sz w:val="18"/>
              </w:rPr>
            </w:pPr>
            <w:r>
              <w:rPr>
                <w:rFonts w:ascii="宋体" w:eastAsia="宋体" w:hint="eastAsia"/>
                <w:sz w:val="18"/>
              </w:rPr>
              <w:t>青岛</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ind w:left="115"/>
              <w:rPr>
                <w:rFonts w:ascii="宋体" w:eastAsia="宋体" w:hint="eastAsia"/>
                <w:sz w:val="18"/>
              </w:rPr>
            </w:pPr>
            <w:r>
              <w:rPr>
                <w:rFonts w:ascii="宋体" w:eastAsia="宋体" w:hint="eastAsia"/>
                <w:sz w:val="18"/>
              </w:rPr>
              <w:t>开发、采购、销</w:t>
            </w:r>
          </w:p>
          <w:p>
            <w:pPr>
              <w:pStyle w:val="TableParagraph"/>
              <w:spacing w:line="230" w:lineRule="atLeast" w:before="4"/>
              <w:ind w:left="115" w:right="173"/>
              <w:rPr>
                <w:rFonts w:ascii="宋体" w:eastAsia="宋体" w:hint="eastAsia"/>
                <w:sz w:val="18"/>
              </w:rPr>
            </w:pPr>
            <w:r>
              <w:rPr>
                <w:rFonts w:ascii="宋体" w:eastAsia="宋体" w:hint="eastAsia"/>
                <w:sz w:val="18"/>
              </w:rPr>
              <w:t>售电器产品及部件</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0"/>
              </w:rPr>
            </w:pPr>
          </w:p>
          <w:p>
            <w:pPr>
              <w:pStyle w:val="TableParagraph"/>
              <w:ind w:left="111"/>
              <w:jc w:val="center"/>
              <w:rPr>
                <w:rFonts w:ascii="宋体"/>
                <w:sz w:val="18"/>
              </w:rPr>
            </w:pPr>
            <w:r>
              <w:rPr>
                <w:rFonts w:ascii="宋体"/>
                <w:sz w:val="18"/>
              </w:rPr>
              <w:t> </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rPr>
                <w:sz w:val="21"/>
              </w:rPr>
            </w:pPr>
          </w:p>
          <w:p>
            <w:pPr>
              <w:pStyle w:val="TableParagraph"/>
              <w:ind w:left="253"/>
              <w:rPr>
                <w:sz w:val="18"/>
              </w:rPr>
            </w:pPr>
            <w:r>
              <w:rPr>
                <w:sz w:val="18"/>
              </w:rPr>
              <w:t>100.00</w:t>
            </w:r>
          </w:p>
        </w:tc>
        <w:tc>
          <w:tcPr>
            <w:tcW w:w="934" w:type="dxa"/>
            <w:tcBorders>
              <w:top w:val="single" w:sz="4" w:space="0" w:color="000000"/>
              <w:left w:val="single" w:sz="4" w:space="0" w:color="000000"/>
              <w:bottom w:val="single" w:sz="4" w:space="0" w:color="000000"/>
            </w:tcBorders>
          </w:tcPr>
          <w:p>
            <w:pPr>
              <w:pStyle w:val="TableParagraph"/>
              <w:spacing w:before="5"/>
              <w:rPr>
                <w:sz w:val="20"/>
              </w:rPr>
            </w:pPr>
          </w:p>
          <w:p>
            <w:pPr>
              <w:pStyle w:val="TableParagraph"/>
              <w:ind w:left="111"/>
              <w:rPr>
                <w:rFonts w:ascii="宋体" w:eastAsia="宋体" w:hint="eastAsia"/>
                <w:sz w:val="18"/>
              </w:rPr>
            </w:pPr>
            <w:r>
              <w:rPr>
                <w:rFonts w:ascii="宋体" w:eastAsia="宋体" w:hint="eastAsia"/>
                <w:sz w:val="18"/>
              </w:rPr>
              <w:t>设立</w:t>
            </w:r>
          </w:p>
        </w:tc>
      </w:tr>
      <w:tr>
        <w:trPr>
          <w:trHeight w:val="467" w:hRule="atLeast"/>
        </w:trPr>
        <w:tc>
          <w:tcPr>
            <w:tcW w:w="1964" w:type="dxa"/>
            <w:tcBorders>
              <w:top w:val="single" w:sz="4" w:space="0" w:color="000000"/>
              <w:bottom w:val="single" w:sz="4" w:space="0" w:color="000000"/>
              <w:right w:val="single" w:sz="4" w:space="0" w:color="000000"/>
            </w:tcBorders>
          </w:tcPr>
          <w:p>
            <w:pPr>
              <w:pStyle w:val="TableParagraph"/>
              <w:spacing w:line="230" w:lineRule="exact"/>
              <w:ind w:left="104"/>
              <w:rPr>
                <w:rFonts w:ascii="宋体" w:eastAsia="宋体" w:hint="eastAsia"/>
                <w:sz w:val="18"/>
              </w:rPr>
            </w:pPr>
            <w:r>
              <w:rPr>
                <w:rFonts w:ascii="宋体" w:eastAsia="宋体" w:hint="eastAsia"/>
                <w:sz w:val="18"/>
              </w:rPr>
              <w:t>青岛海尔特种制冷电</w:t>
            </w:r>
          </w:p>
          <w:p>
            <w:pPr>
              <w:pStyle w:val="TableParagraph"/>
              <w:spacing w:line="213" w:lineRule="exact" w:before="4"/>
              <w:ind w:left="104"/>
              <w:rPr>
                <w:rFonts w:ascii="宋体" w:eastAsia="宋体" w:hint="eastAsia"/>
                <w:sz w:val="18"/>
              </w:rPr>
            </w:pPr>
            <w:r>
              <w:rPr>
                <w:rFonts w:ascii="宋体" w:eastAsia="宋体" w:hint="eastAsia"/>
                <w:sz w:val="18"/>
              </w:rPr>
              <w:t>器有限公司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17"/>
              <w:ind w:left="141" w:right="118"/>
              <w:jc w:val="center"/>
              <w:rPr>
                <w:rFonts w:ascii="宋体" w:eastAsia="宋体" w:hint="eastAsia"/>
                <w:sz w:val="18"/>
              </w:rPr>
            </w:pPr>
            <w:r>
              <w:rPr>
                <w:rFonts w:ascii="宋体" w:eastAsia="宋体" w:hint="eastAsia"/>
                <w:sz w:val="18"/>
              </w:rPr>
              <w:t>青岛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7"/>
              <w:ind w:left="99" w:right="80"/>
              <w:jc w:val="center"/>
              <w:rPr>
                <w:rFonts w:ascii="宋体" w:eastAsia="宋体" w:hint="eastAsia"/>
                <w:sz w:val="18"/>
              </w:rPr>
            </w:pPr>
            <w:r>
              <w:rPr>
                <w:rFonts w:ascii="宋体" w:eastAsia="宋体" w:hint="eastAsia"/>
                <w:sz w:val="18"/>
              </w:rPr>
              <w:t>青岛</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5"/>
              <w:rPr>
                <w:rFonts w:ascii="宋体" w:eastAsia="宋体" w:hint="eastAsia"/>
                <w:sz w:val="18"/>
              </w:rPr>
            </w:pPr>
            <w:r>
              <w:rPr>
                <w:rFonts w:ascii="宋体" w:eastAsia="宋体" w:hint="eastAsia"/>
                <w:sz w:val="18"/>
              </w:rPr>
              <w:t>家用电器生产、</w:t>
            </w:r>
          </w:p>
          <w:p>
            <w:pPr>
              <w:pStyle w:val="TableParagraph"/>
              <w:spacing w:line="213" w:lineRule="exact" w:before="4"/>
              <w:ind w:left="115"/>
              <w:rPr>
                <w:rFonts w:ascii="宋体" w:eastAsia="宋体" w:hint="eastAsia"/>
                <w:sz w:val="18"/>
              </w:rPr>
            </w:pPr>
            <w:r>
              <w:rPr>
                <w:rFonts w:ascii="宋体" w:eastAsia="宋体" w:hint="eastAsia"/>
                <w:sz w:val="18"/>
              </w:rPr>
              <w:t>销售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2"/>
              <w:ind w:left="111"/>
              <w:jc w:val="center"/>
              <w:rPr>
                <w:rFonts w:ascii="宋体"/>
                <w:sz w:val="18"/>
              </w:rPr>
            </w:pPr>
            <w:r>
              <w:rPr>
                <w:rFonts w:ascii="宋体"/>
                <w:sz w:val="18"/>
              </w:rPr>
              <w:t> </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24"/>
              <w:ind w:left="253"/>
              <w:rPr>
                <w:sz w:val="18"/>
              </w:rPr>
            </w:pPr>
            <w:r>
              <w:rPr>
                <w:sz w:val="18"/>
              </w:rPr>
              <w:t>100.00</w:t>
            </w:r>
          </w:p>
        </w:tc>
        <w:tc>
          <w:tcPr>
            <w:tcW w:w="934" w:type="dxa"/>
            <w:tcBorders>
              <w:top w:val="single" w:sz="4" w:space="0" w:color="000000"/>
              <w:left w:val="single" w:sz="4" w:space="0" w:color="000000"/>
              <w:bottom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r>
        <w:trPr>
          <w:trHeight w:val="465" w:hRule="atLeast"/>
        </w:trPr>
        <w:tc>
          <w:tcPr>
            <w:tcW w:w="1964" w:type="dxa"/>
            <w:tcBorders>
              <w:top w:val="single" w:sz="4" w:space="0" w:color="000000"/>
              <w:bottom w:val="single" w:sz="4" w:space="0" w:color="000000"/>
              <w:right w:val="single" w:sz="4" w:space="0" w:color="000000"/>
            </w:tcBorders>
          </w:tcPr>
          <w:p>
            <w:pPr>
              <w:pStyle w:val="TableParagraph"/>
              <w:spacing w:line="230" w:lineRule="exact"/>
              <w:ind w:left="104"/>
              <w:rPr>
                <w:rFonts w:ascii="宋体" w:eastAsia="宋体" w:hint="eastAsia"/>
                <w:sz w:val="18"/>
              </w:rPr>
            </w:pPr>
            <w:r>
              <w:rPr>
                <w:rFonts w:ascii="宋体" w:eastAsia="宋体" w:hint="eastAsia"/>
                <w:sz w:val="18"/>
              </w:rPr>
              <w:t>北京零微科技有限公</w:t>
            </w:r>
          </w:p>
          <w:p>
            <w:pPr>
              <w:pStyle w:val="TableParagraph"/>
              <w:spacing w:line="213" w:lineRule="exact" w:before="2"/>
              <w:ind w:left="104"/>
              <w:rPr>
                <w:rFonts w:ascii="宋体" w:eastAsia="宋体" w:hint="eastAsia"/>
                <w:sz w:val="18"/>
              </w:rPr>
            </w:pPr>
            <w:r>
              <w:rPr>
                <w:rFonts w:ascii="宋体" w:eastAsia="宋体" w:hint="eastAsia"/>
                <w:sz w:val="18"/>
              </w:rPr>
              <w:t>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17"/>
              <w:ind w:left="141" w:right="118"/>
              <w:jc w:val="center"/>
              <w:rPr>
                <w:rFonts w:ascii="宋体" w:eastAsia="宋体" w:hint="eastAsia"/>
                <w:sz w:val="18"/>
              </w:rPr>
            </w:pPr>
            <w:r>
              <w:rPr>
                <w:rFonts w:ascii="宋体" w:eastAsia="宋体" w:hint="eastAsia"/>
                <w:sz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7"/>
              <w:ind w:left="99" w:right="80"/>
              <w:jc w:val="center"/>
              <w:rPr>
                <w:rFonts w:ascii="宋体" w:eastAsia="宋体" w:hint="eastAsia"/>
                <w:sz w:val="18"/>
              </w:rPr>
            </w:pPr>
            <w:r>
              <w:rPr>
                <w:rFonts w:ascii="宋体" w:eastAsia="宋体" w:hint="eastAsia"/>
                <w:sz w:val="18"/>
              </w:rPr>
              <w:t>北京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117"/>
              <w:ind w:left="115"/>
              <w:rPr>
                <w:rFonts w:ascii="宋体" w:eastAsia="宋体" w:hint="eastAsia"/>
                <w:sz w:val="18"/>
              </w:rPr>
            </w:pPr>
            <w:r>
              <w:rPr>
                <w:rFonts w:ascii="宋体" w:eastAsia="宋体" w:hint="eastAsia"/>
                <w:sz w:val="18"/>
              </w:rPr>
              <w:t>技术开发推广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2"/>
              <w:ind w:left="111"/>
              <w:jc w:val="center"/>
              <w:rPr>
                <w:rFonts w:ascii="宋体"/>
                <w:sz w:val="18"/>
              </w:rPr>
            </w:pPr>
            <w:r>
              <w:rPr>
                <w:rFonts w:ascii="宋体"/>
                <w:sz w:val="18"/>
              </w:rPr>
              <w:t> </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24"/>
              <w:ind w:left="299"/>
              <w:rPr>
                <w:sz w:val="18"/>
              </w:rPr>
            </w:pPr>
            <w:r>
              <w:rPr>
                <w:sz w:val="18"/>
              </w:rPr>
              <w:t>55.00</w:t>
            </w:r>
          </w:p>
        </w:tc>
        <w:tc>
          <w:tcPr>
            <w:tcW w:w="934" w:type="dxa"/>
            <w:tcBorders>
              <w:top w:val="single" w:sz="4" w:space="0" w:color="000000"/>
              <w:left w:val="single" w:sz="4" w:space="0" w:color="000000"/>
              <w:bottom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r>
        <w:trPr>
          <w:trHeight w:val="467" w:hRule="atLeast"/>
        </w:trPr>
        <w:tc>
          <w:tcPr>
            <w:tcW w:w="1964" w:type="dxa"/>
            <w:tcBorders>
              <w:top w:val="single" w:sz="4" w:space="0" w:color="000000"/>
              <w:bottom w:val="single" w:sz="4" w:space="0" w:color="000000"/>
              <w:right w:val="single" w:sz="4" w:space="0" w:color="000000"/>
            </w:tcBorders>
          </w:tcPr>
          <w:p>
            <w:pPr>
              <w:pStyle w:val="TableParagraph"/>
              <w:spacing w:line="230" w:lineRule="atLeast" w:before="2"/>
              <w:ind w:left="104" w:right="217"/>
              <w:rPr>
                <w:rFonts w:ascii="宋体" w:eastAsia="宋体" w:hint="eastAsia"/>
                <w:sz w:val="18"/>
              </w:rPr>
            </w:pPr>
            <w:r>
              <w:rPr>
                <w:rFonts w:ascii="宋体" w:eastAsia="宋体" w:hint="eastAsia"/>
                <w:sz w:val="18"/>
              </w:rPr>
              <w:t>莱阳海尔智慧厨房电器有限公司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17"/>
              <w:ind w:left="141" w:right="118"/>
              <w:jc w:val="center"/>
              <w:rPr>
                <w:rFonts w:ascii="宋体" w:eastAsia="宋体" w:hint="eastAsia"/>
                <w:sz w:val="18"/>
              </w:rPr>
            </w:pPr>
            <w:r>
              <w:rPr>
                <w:rFonts w:ascii="宋体" w:eastAsia="宋体" w:hint="eastAsia"/>
                <w:sz w:val="18"/>
              </w:rPr>
              <w:t>莱阳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7"/>
              <w:ind w:left="99" w:right="80"/>
              <w:jc w:val="center"/>
              <w:rPr>
                <w:rFonts w:ascii="宋体" w:eastAsia="宋体" w:hint="eastAsia"/>
                <w:sz w:val="18"/>
              </w:rPr>
            </w:pPr>
            <w:r>
              <w:rPr>
                <w:rFonts w:ascii="宋体" w:eastAsia="宋体" w:hint="eastAsia"/>
                <w:sz w:val="18"/>
              </w:rPr>
              <w:t>莱阳</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2"/>
              <w:ind w:left="115" w:right="173"/>
              <w:rPr>
                <w:rFonts w:ascii="宋体" w:eastAsia="宋体" w:hint="eastAsia"/>
                <w:sz w:val="18"/>
              </w:rPr>
            </w:pPr>
            <w:r>
              <w:rPr>
                <w:rFonts w:ascii="宋体" w:eastAsia="宋体" w:hint="eastAsia"/>
                <w:sz w:val="18"/>
              </w:rPr>
              <w:t>家用电器生产、销售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5"/>
              <w:ind w:left="111"/>
              <w:jc w:val="center"/>
              <w:rPr>
                <w:rFonts w:ascii="宋体"/>
                <w:sz w:val="18"/>
              </w:rPr>
            </w:pPr>
            <w:r>
              <w:rPr>
                <w:rFonts w:ascii="宋体"/>
                <w:sz w:val="18"/>
              </w:rPr>
              <w:t> </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27"/>
              <w:ind w:left="253"/>
              <w:rPr>
                <w:sz w:val="18"/>
              </w:rPr>
            </w:pPr>
            <w:r>
              <w:rPr>
                <w:sz w:val="18"/>
              </w:rPr>
              <w:t>100.00</w:t>
            </w:r>
          </w:p>
        </w:tc>
        <w:tc>
          <w:tcPr>
            <w:tcW w:w="934" w:type="dxa"/>
            <w:tcBorders>
              <w:top w:val="single" w:sz="4" w:space="0" w:color="000000"/>
              <w:left w:val="single" w:sz="4" w:space="0" w:color="000000"/>
              <w:bottom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r>
        <w:trPr>
          <w:trHeight w:val="467" w:hRule="atLeast"/>
        </w:trPr>
        <w:tc>
          <w:tcPr>
            <w:tcW w:w="1964" w:type="dxa"/>
            <w:tcBorders>
              <w:top w:val="single" w:sz="4" w:space="0" w:color="000000"/>
              <w:bottom w:val="single" w:sz="4" w:space="0" w:color="000000"/>
              <w:right w:val="single" w:sz="4" w:space="0" w:color="000000"/>
            </w:tcBorders>
          </w:tcPr>
          <w:p>
            <w:pPr>
              <w:pStyle w:val="TableParagraph"/>
              <w:spacing w:line="230" w:lineRule="exact"/>
              <w:ind w:left="104"/>
              <w:rPr>
                <w:rFonts w:ascii="宋体" w:eastAsia="宋体" w:hint="eastAsia"/>
                <w:sz w:val="18"/>
              </w:rPr>
            </w:pPr>
            <w:r>
              <w:rPr>
                <w:rFonts w:ascii="宋体" w:eastAsia="宋体" w:hint="eastAsia"/>
                <w:sz w:val="18"/>
              </w:rPr>
              <w:t>合肥海尔空调电子有</w:t>
            </w:r>
          </w:p>
          <w:p>
            <w:pPr>
              <w:pStyle w:val="TableParagraph"/>
              <w:spacing w:line="213" w:lineRule="exact" w:before="4"/>
              <w:ind w:left="104"/>
              <w:rPr>
                <w:rFonts w:ascii="宋体" w:eastAsia="宋体" w:hint="eastAsia"/>
                <w:sz w:val="18"/>
              </w:rPr>
            </w:pPr>
            <w:r>
              <w:rPr>
                <w:rFonts w:ascii="宋体" w:eastAsia="宋体" w:hint="eastAsia"/>
                <w:sz w:val="18"/>
              </w:rPr>
              <w:t>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17"/>
              <w:ind w:left="141" w:right="118"/>
              <w:jc w:val="center"/>
              <w:rPr>
                <w:rFonts w:ascii="宋体" w:eastAsia="宋体" w:hint="eastAsia"/>
                <w:sz w:val="18"/>
              </w:rPr>
            </w:pPr>
            <w:r>
              <w:rPr>
                <w:rFonts w:ascii="宋体" w:eastAsia="宋体" w:hint="eastAsia"/>
                <w:sz w:val="18"/>
              </w:rPr>
              <w:t>合肥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7"/>
              <w:ind w:left="99" w:right="80"/>
              <w:jc w:val="center"/>
              <w:rPr>
                <w:rFonts w:ascii="宋体" w:eastAsia="宋体" w:hint="eastAsia"/>
                <w:sz w:val="18"/>
              </w:rPr>
            </w:pPr>
            <w:r>
              <w:rPr>
                <w:rFonts w:ascii="宋体" w:eastAsia="宋体" w:hint="eastAsia"/>
                <w:sz w:val="18"/>
              </w:rPr>
              <w:t>合肥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5"/>
              <w:rPr>
                <w:rFonts w:ascii="宋体" w:eastAsia="宋体" w:hint="eastAsia"/>
                <w:sz w:val="18"/>
              </w:rPr>
            </w:pPr>
            <w:r>
              <w:rPr>
                <w:rFonts w:ascii="宋体" w:eastAsia="宋体" w:hint="eastAsia"/>
                <w:sz w:val="18"/>
              </w:rPr>
              <w:t>家用电器生产、</w:t>
            </w:r>
          </w:p>
          <w:p>
            <w:pPr>
              <w:pStyle w:val="TableParagraph"/>
              <w:spacing w:line="213" w:lineRule="exact" w:before="4"/>
              <w:ind w:left="115"/>
              <w:rPr>
                <w:rFonts w:ascii="宋体" w:eastAsia="宋体" w:hint="eastAsia"/>
                <w:sz w:val="18"/>
              </w:rPr>
            </w:pPr>
            <w:r>
              <w:rPr>
                <w:rFonts w:ascii="宋体" w:eastAsia="宋体" w:hint="eastAsia"/>
                <w:sz w:val="18"/>
              </w:rPr>
              <w:t>销售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2"/>
              <w:ind w:left="111"/>
              <w:jc w:val="center"/>
              <w:rPr>
                <w:rFonts w:ascii="宋体"/>
                <w:sz w:val="18"/>
              </w:rPr>
            </w:pPr>
            <w:r>
              <w:rPr>
                <w:rFonts w:ascii="宋体"/>
                <w:sz w:val="18"/>
              </w:rPr>
              <w:t> </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24"/>
              <w:ind w:left="253"/>
              <w:rPr>
                <w:sz w:val="18"/>
              </w:rPr>
            </w:pPr>
            <w:r>
              <w:rPr>
                <w:sz w:val="18"/>
              </w:rPr>
              <w:t>100.00</w:t>
            </w:r>
          </w:p>
        </w:tc>
        <w:tc>
          <w:tcPr>
            <w:tcW w:w="934" w:type="dxa"/>
            <w:tcBorders>
              <w:top w:val="single" w:sz="4" w:space="0" w:color="000000"/>
              <w:left w:val="single" w:sz="4" w:space="0" w:color="000000"/>
              <w:bottom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r>
        <w:trPr>
          <w:trHeight w:val="467" w:hRule="atLeast"/>
        </w:trPr>
        <w:tc>
          <w:tcPr>
            <w:tcW w:w="1964" w:type="dxa"/>
            <w:tcBorders>
              <w:top w:val="single" w:sz="4" w:space="0" w:color="000000"/>
              <w:bottom w:val="single" w:sz="4" w:space="0" w:color="000000"/>
              <w:right w:val="single" w:sz="4" w:space="0" w:color="000000"/>
            </w:tcBorders>
          </w:tcPr>
          <w:p>
            <w:pPr>
              <w:pStyle w:val="TableParagraph"/>
              <w:ind w:left="104"/>
              <w:rPr>
                <w:rFonts w:ascii="宋体" w:eastAsia="宋体" w:hint="eastAsia"/>
                <w:sz w:val="18"/>
              </w:rPr>
            </w:pPr>
            <w:r>
              <w:rPr>
                <w:rFonts w:ascii="宋体" w:eastAsia="宋体" w:hint="eastAsia"/>
                <w:sz w:val="18"/>
              </w:rPr>
              <w:t>泰州海尔医疗科技有</w:t>
            </w:r>
          </w:p>
          <w:p>
            <w:pPr>
              <w:pStyle w:val="TableParagraph"/>
              <w:spacing w:line="215" w:lineRule="exact" w:before="2"/>
              <w:ind w:left="104"/>
              <w:rPr>
                <w:rFonts w:ascii="宋体" w:eastAsia="宋体" w:hint="eastAsia"/>
                <w:sz w:val="18"/>
              </w:rPr>
            </w:pPr>
            <w:r>
              <w:rPr>
                <w:rFonts w:ascii="宋体" w:eastAsia="宋体" w:hint="eastAsia"/>
                <w:sz w:val="18"/>
              </w:rPr>
              <w:t>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17"/>
              <w:ind w:left="141" w:right="118"/>
              <w:jc w:val="center"/>
              <w:rPr>
                <w:rFonts w:ascii="宋体" w:eastAsia="宋体" w:hint="eastAsia"/>
                <w:sz w:val="18"/>
              </w:rPr>
            </w:pPr>
            <w:r>
              <w:rPr>
                <w:rFonts w:ascii="宋体" w:eastAsia="宋体" w:hint="eastAsia"/>
                <w:sz w:val="18"/>
              </w:rPr>
              <w:t>泰州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7"/>
              <w:ind w:left="99" w:right="80"/>
              <w:jc w:val="center"/>
              <w:rPr>
                <w:rFonts w:ascii="宋体" w:eastAsia="宋体" w:hint="eastAsia"/>
                <w:sz w:val="18"/>
              </w:rPr>
            </w:pPr>
            <w:r>
              <w:rPr>
                <w:rFonts w:ascii="宋体" w:eastAsia="宋体" w:hint="eastAsia"/>
                <w:sz w:val="18"/>
              </w:rPr>
              <w:t>泰州</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117"/>
              <w:ind w:left="115"/>
              <w:rPr>
                <w:rFonts w:ascii="宋体" w:eastAsia="宋体" w:hint="eastAsia"/>
                <w:sz w:val="18"/>
              </w:rPr>
            </w:pPr>
            <w:r>
              <w:rPr>
                <w:rFonts w:ascii="宋体" w:eastAsia="宋体" w:hint="eastAsia"/>
                <w:sz w:val="18"/>
              </w:rPr>
              <w:t>医疗研发推广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2"/>
              <w:ind w:left="111"/>
              <w:jc w:val="center"/>
              <w:rPr>
                <w:rFonts w:ascii="宋体"/>
                <w:sz w:val="18"/>
              </w:rPr>
            </w:pPr>
            <w:r>
              <w:rPr>
                <w:rFonts w:ascii="宋体"/>
                <w:sz w:val="18"/>
              </w:rPr>
              <w:t> </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24"/>
              <w:ind w:left="253"/>
              <w:rPr>
                <w:sz w:val="18"/>
              </w:rPr>
            </w:pPr>
            <w:r>
              <w:rPr>
                <w:sz w:val="18"/>
              </w:rPr>
              <w:t>100.00</w:t>
            </w:r>
          </w:p>
        </w:tc>
        <w:tc>
          <w:tcPr>
            <w:tcW w:w="934" w:type="dxa"/>
            <w:tcBorders>
              <w:top w:val="single" w:sz="4" w:space="0" w:color="000000"/>
              <w:left w:val="single" w:sz="4" w:space="0" w:color="000000"/>
              <w:bottom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r>
        <w:trPr>
          <w:trHeight w:val="465" w:hRule="atLeast"/>
        </w:trPr>
        <w:tc>
          <w:tcPr>
            <w:tcW w:w="1964" w:type="dxa"/>
            <w:tcBorders>
              <w:top w:val="single" w:sz="4" w:space="0" w:color="000000"/>
              <w:bottom w:val="single" w:sz="4" w:space="0" w:color="000000"/>
              <w:right w:val="single" w:sz="4" w:space="0" w:color="000000"/>
            </w:tcBorders>
          </w:tcPr>
          <w:p>
            <w:pPr>
              <w:pStyle w:val="TableParagraph"/>
              <w:spacing w:line="230" w:lineRule="exact"/>
              <w:ind w:left="104"/>
              <w:rPr>
                <w:rFonts w:ascii="宋体" w:eastAsia="宋体" w:hint="eastAsia"/>
                <w:sz w:val="18"/>
              </w:rPr>
            </w:pPr>
            <w:r>
              <w:rPr>
                <w:rFonts w:ascii="宋体" w:eastAsia="宋体" w:hint="eastAsia"/>
                <w:sz w:val="18"/>
              </w:rPr>
              <w:t>海尔（上海）家电研发</w:t>
            </w:r>
          </w:p>
          <w:p>
            <w:pPr>
              <w:pStyle w:val="TableParagraph"/>
              <w:spacing w:line="213" w:lineRule="exact" w:before="2"/>
              <w:ind w:left="104"/>
              <w:rPr>
                <w:rFonts w:ascii="宋体" w:eastAsia="宋体" w:hint="eastAsia"/>
                <w:sz w:val="18"/>
              </w:rPr>
            </w:pPr>
            <w:r>
              <w:rPr>
                <w:rFonts w:ascii="宋体" w:eastAsia="宋体" w:hint="eastAsia"/>
                <w:sz w:val="18"/>
              </w:rPr>
              <w:t>中心有限公司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15"/>
              <w:ind w:left="141" w:right="118"/>
              <w:jc w:val="center"/>
              <w:rPr>
                <w:rFonts w:ascii="宋体" w:eastAsia="宋体" w:hint="eastAsia"/>
                <w:sz w:val="18"/>
              </w:rPr>
            </w:pPr>
            <w:r>
              <w:rPr>
                <w:rFonts w:ascii="宋体" w:eastAsia="宋体" w:hint="eastAsia"/>
                <w:sz w:val="18"/>
              </w:rPr>
              <w:t>上海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5"/>
              <w:ind w:left="99" w:right="80"/>
              <w:jc w:val="center"/>
              <w:rPr>
                <w:rFonts w:ascii="宋体" w:eastAsia="宋体" w:hint="eastAsia"/>
                <w:sz w:val="18"/>
              </w:rPr>
            </w:pPr>
            <w:r>
              <w:rPr>
                <w:rFonts w:ascii="宋体" w:eastAsia="宋体" w:hint="eastAsia"/>
                <w:sz w:val="18"/>
              </w:rPr>
              <w:t>上海</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115"/>
              <w:ind w:left="115"/>
              <w:rPr>
                <w:rFonts w:ascii="宋体" w:eastAsia="宋体" w:hint="eastAsia"/>
                <w:sz w:val="18"/>
              </w:rPr>
            </w:pPr>
            <w:r>
              <w:rPr>
                <w:rFonts w:ascii="宋体" w:eastAsia="宋体" w:hint="eastAsia"/>
                <w:sz w:val="18"/>
              </w:rPr>
              <w:t>家用电器研发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24"/>
              <w:ind w:left="253"/>
              <w:rPr>
                <w:sz w:val="18"/>
              </w:rPr>
            </w:pPr>
            <w:r>
              <w:rPr>
                <w:sz w:val="18"/>
              </w:rPr>
              <w:t>100.00</w:t>
            </w:r>
          </w:p>
        </w:tc>
        <w:tc>
          <w:tcPr>
            <w:tcW w:w="934" w:type="dxa"/>
            <w:tcBorders>
              <w:top w:val="single" w:sz="4" w:space="0" w:color="000000"/>
              <w:left w:val="single" w:sz="4" w:space="0" w:color="000000"/>
              <w:bottom w:val="single" w:sz="4" w:space="0" w:color="000000"/>
            </w:tcBorders>
          </w:tcPr>
          <w:p>
            <w:pPr>
              <w:pStyle w:val="TableParagraph"/>
              <w:spacing w:before="115"/>
              <w:ind w:left="111"/>
              <w:rPr>
                <w:rFonts w:ascii="宋体" w:eastAsia="宋体" w:hint="eastAsia"/>
                <w:sz w:val="18"/>
              </w:rPr>
            </w:pPr>
            <w:r>
              <w:rPr>
                <w:rFonts w:ascii="宋体" w:eastAsia="宋体" w:hint="eastAsia"/>
                <w:sz w:val="18"/>
              </w:rPr>
              <w:t>设立</w:t>
            </w:r>
          </w:p>
        </w:tc>
      </w:tr>
      <w:tr>
        <w:trPr>
          <w:trHeight w:val="700" w:hRule="atLeast"/>
        </w:trPr>
        <w:tc>
          <w:tcPr>
            <w:tcW w:w="1964" w:type="dxa"/>
            <w:tcBorders>
              <w:top w:val="single" w:sz="4" w:space="0" w:color="000000"/>
              <w:bottom w:val="single" w:sz="4" w:space="0" w:color="000000"/>
              <w:right w:val="single" w:sz="4" w:space="0" w:color="000000"/>
            </w:tcBorders>
          </w:tcPr>
          <w:p>
            <w:pPr>
              <w:pStyle w:val="TableParagraph"/>
              <w:spacing w:line="242" w:lineRule="auto" w:before="117"/>
              <w:ind w:left="104" w:right="25"/>
              <w:rPr>
                <w:rFonts w:ascii="宋体" w:eastAsia="宋体" w:hint="eastAsia"/>
                <w:sz w:val="18"/>
              </w:rPr>
            </w:pPr>
            <w:r>
              <w:rPr>
                <w:rFonts w:ascii="宋体" w:eastAsia="宋体" w:hint="eastAsia"/>
                <w:sz w:val="18"/>
              </w:rPr>
              <w:t>海尔（深圳）研发有限责任公司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5"/>
              <w:rPr>
                <w:sz w:val="20"/>
              </w:rPr>
            </w:pPr>
          </w:p>
          <w:p>
            <w:pPr>
              <w:pStyle w:val="TableParagraph"/>
              <w:ind w:left="141" w:right="118"/>
              <w:jc w:val="center"/>
              <w:rPr>
                <w:rFonts w:ascii="宋体" w:eastAsia="宋体" w:hint="eastAsia"/>
                <w:sz w:val="18"/>
              </w:rPr>
            </w:pPr>
            <w:r>
              <w:rPr>
                <w:rFonts w:ascii="宋体" w:eastAsia="宋体" w:hint="eastAsia"/>
                <w:sz w:val="18"/>
              </w:rPr>
              <w:t>深圳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5"/>
              <w:rPr>
                <w:sz w:val="20"/>
              </w:rPr>
            </w:pPr>
          </w:p>
          <w:p>
            <w:pPr>
              <w:pStyle w:val="TableParagraph"/>
              <w:ind w:left="99" w:right="80"/>
              <w:jc w:val="center"/>
              <w:rPr>
                <w:rFonts w:ascii="宋体" w:eastAsia="宋体" w:hint="eastAsia"/>
                <w:sz w:val="18"/>
              </w:rPr>
            </w:pPr>
            <w:r>
              <w:rPr>
                <w:rFonts w:ascii="宋体" w:eastAsia="宋体" w:hint="eastAsia"/>
                <w:sz w:val="18"/>
              </w:rPr>
              <w:t>深圳</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5"/>
              <w:rPr>
                <w:rFonts w:ascii="宋体" w:eastAsia="宋体" w:hint="eastAsia"/>
                <w:sz w:val="18"/>
              </w:rPr>
            </w:pPr>
            <w:r>
              <w:rPr>
                <w:rFonts w:ascii="宋体" w:eastAsia="宋体" w:hint="eastAsia"/>
                <w:sz w:val="18"/>
              </w:rPr>
              <w:t>家用及商用电器</w:t>
            </w:r>
          </w:p>
          <w:p>
            <w:pPr>
              <w:pStyle w:val="TableParagraph"/>
              <w:spacing w:line="230" w:lineRule="atLeast" w:before="4"/>
              <w:ind w:left="115" w:right="173"/>
              <w:rPr>
                <w:rFonts w:ascii="宋体" w:eastAsia="宋体" w:hint="eastAsia"/>
                <w:sz w:val="18"/>
              </w:rPr>
            </w:pPr>
            <w:r>
              <w:rPr>
                <w:rFonts w:ascii="宋体" w:eastAsia="宋体" w:hint="eastAsia"/>
                <w:sz w:val="18"/>
              </w:rPr>
              <w:t>的开发、研究、技术服务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rPr>
                <w:sz w:val="21"/>
              </w:rPr>
            </w:pPr>
          </w:p>
          <w:p>
            <w:pPr>
              <w:pStyle w:val="TableParagraph"/>
              <w:ind w:left="253"/>
              <w:rPr>
                <w:sz w:val="18"/>
              </w:rPr>
            </w:pPr>
            <w:r>
              <w:rPr>
                <w:sz w:val="18"/>
              </w:rPr>
              <w:t>100.00</w:t>
            </w:r>
          </w:p>
        </w:tc>
        <w:tc>
          <w:tcPr>
            <w:tcW w:w="934" w:type="dxa"/>
            <w:tcBorders>
              <w:top w:val="single" w:sz="4" w:space="0" w:color="000000"/>
              <w:left w:val="single" w:sz="4" w:space="0" w:color="000000"/>
              <w:bottom w:val="single" w:sz="4" w:space="0" w:color="000000"/>
            </w:tcBorders>
          </w:tcPr>
          <w:p>
            <w:pPr>
              <w:pStyle w:val="TableParagraph"/>
              <w:spacing w:before="5"/>
              <w:rPr>
                <w:sz w:val="20"/>
              </w:rPr>
            </w:pPr>
          </w:p>
          <w:p>
            <w:pPr>
              <w:pStyle w:val="TableParagraph"/>
              <w:ind w:left="111"/>
              <w:rPr>
                <w:rFonts w:ascii="宋体" w:eastAsia="宋体" w:hint="eastAsia"/>
                <w:sz w:val="18"/>
              </w:rPr>
            </w:pPr>
            <w:r>
              <w:rPr>
                <w:rFonts w:ascii="宋体" w:eastAsia="宋体" w:hint="eastAsia"/>
                <w:sz w:val="18"/>
              </w:rPr>
              <w:t>设立</w:t>
            </w:r>
          </w:p>
        </w:tc>
      </w:tr>
      <w:tr>
        <w:trPr>
          <w:trHeight w:val="467" w:hRule="atLeast"/>
        </w:trPr>
        <w:tc>
          <w:tcPr>
            <w:tcW w:w="1964" w:type="dxa"/>
            <w:tcBorders>
              <w:top w:val="single" w:sz="4" w:space="0" w:color="000000"/>
              <w:bottom w:val="single" w:sz="4" w:space="0" w:color="000000"/>
              <w:right w:val="single" w:sz="4" w:space="0" w:color="000000"/>
            </w:tcBorders>
          </w:tcPr>
          <w:p>
            <w:pPr>
              <w:pStyle w:val="TableParagraph"/>
              <w:spacing w:line="230" w:lineRule="exact"/>
              <w:ind w:left="104"/>
              <w:rPr>
                <w:rFonts w:ascii="宋体" w:eastAsia="宋体" w:hint="eastAsia"/>
                <w:sz w:val="18"/>
              </w:rPr>
            </w:pPr>
            <w:r>
              <w:rPr>
                <w:rFonts w:ascii="宋体" w:eastAsia="宋体" w:hint="eastAsia"/>
                <w:sz w:val="18"/>
              </w:rPr>
              <w:t>广州海尔空调器有限</w:t>
            </w:r>
          </w:p>
          <w:p>
            <w:pPr>
              <w:pStyle w:val="TableParagraph"/>
              <w:spacing w:line="213" w:lineRule="exact" w:before="4"/>
              <w:ind w:left="104"/>
              <w:rPr>
                <w:rFonts w:ascii="宋体" w:eastAsia="宋体" w:hint="eastAsia"/>
                <w:sz w:val="18"/>
              </w:rPr>
            </w:pPr>
            <w:r>
              <w:rPr>
                <w:rFonts w:ascii="宋体" w:eastAsia="宋体" w:hint="eastAsia"/>
                <w:sz w:val="18"/>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17"/>
              <w:ind w:left="141" w:right="118"/>
              <w:jc w:val="center"/>
              <w:rPr>
                <w:rFonts w:ascii="宋体" w:eastAsia="宋体" w:hint="eastAsia"/>
                <w:sz w:val="18"/>
              </w:rPr>
            </w:pPr>
            <w:r>
              <w:rPr>
                <w:rFonts w:ascii="宋体" w:eastAsia="宋体" w:hint="eastAsia"/>
                <w:sz w:val="18"/>
              </w:rPr>
              <w:t>广东</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7"/>
              <w:ind w:left="99" w:right="80"/>
              <w:jc w:val="center"/>
              <w:rPr>
                <w:rFonts w:ascii="宋体" w:eastAsia="宋体" w:hint="eastAsia"/>
                <w:sz w:val="18"/>
              </w:rPr>
            </w:pPr>
            <w:r>
              <w:rPr>
                <w:rFonts w:ascii="宋体" w:eastAsia="宋体" w:hint="eastAsia"/>
                <w:sz w:val="18"/>
              </w:rPr>
              <w:t>广东</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5"/>
              <w:rPr>
                <w:rFonts w:ascii="宋体" w:eastAsia="宋体" w:hint="eastAsia"/>
                <w:sz w:val="18"/>
              </w:rPr>
            </w:pPr>
            <w:r>
              <w:rPr>
                <w:rFonts w:ascii="宋体" w:eastAsia="宋体" w:hint="eastAsia"/>
                <w:sz w:val="18"/>
              </w:rPr>
              <w:t>制冷、空调设备</w:t>
            </w:r>
          </w:p>
          <w:p>
            <w:pPr>
              <w:pStyle w:val="TableParagraph"/>
              <w:spacing w:line="213" w:lineRule="exact" w:before="4"/>
              <w:ind w:left="115"/>
              <w:rPr>
                <w:rFonts w:ascii="宋体" w:eastAsia="宋体" w:hint="eastAsia"/>
                <w:sz w:val="18"/>
              </w:rPr>
            </w:pPr>
            <w:r>
              <w:rPr>
                <w:rFonts w:ascii="宋体" w:eastAsia="宋体" w:hint="eastAsia"/>
                <w:sz w:val="18"/>
              </w:rPr>
              <w:t>制造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27"/>
              <w:ind w:left="253"/>
              <w:rPr>
                <w:sz w:val="18"/>
              </w:rPr>
            </w:pPr>
            <w:r>
              <w:rPr>
                <w:sz w:val="18"/>
              </w:rPr>
              <w:t>100.00</w:t>
            </w:r>
          </w:p>
        </w:tc>
        <w:tc>
          <w:tcPr>
            <w:tcW w:w="934" w:type="dxa"/>
            <w:tcBorders>
              <w:top w:val="single" w:sz="4" w:space="0" w:color="000000"/>
              <w:left w:val="single" w:sz="4" w:space="0" w:color="000000"/>
              <w:bottom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r>
        <w:trPr>
          <w:trHeight w:val="1401" w:hRule="atLeast"/>
        </w:trPr>
        <w:tc>
          <w:tcPr>
            <w:tcW w:w="1964" w:type="dxa"/>
            <w:tcBorders>
              <w:top w:val="single" w:sz="4" w:space="0" w:color="000000"/>
              <w:bottom w:val="single" w:sz="4" w:space="0" w:color="000000"/>
              <w:right w:val="single" w:sz="4" w:space="0" w:color="000000"/>
            </w:tcBorders>
          </w:tcPr>
          <w:p>
            <w:pPr>
              <w:pStyle w:val="TableParagraph"/>
              <w:rPr>
                <w:sz w:val="18"/>
              </w:rPr>
            </w:pPr>
          </w:p>
          <w:p>
            <w:pPr>
              <w:pStyle w:val="TableParagraph"/>
              <w:spacing w:before="8"/>
              <w:rPr>
                <w:sz w:val="22"/>
              </w:rPr>
            </w:pPr>
          </w:p>
          <w:p>
            <w:pPr>
              <w:pStyle w:val="TableParagraph"/>
              <w:spacing w:line="242" w:lineRule="auto"/>
              <w:ind w:left="104" w:right="217"/>
              <w:rPr>
                <w:rFonts w:ascii="宋体" w:eastAsia="宋体" w:hint="eastAsia"/>
                <w:sz w:val="18"/>
              </w:rPr>
            </w:pPr>
            <w:r>
              <w:rPr>
                <w:rFonts w:ascii="宋体" w:eastAsia="宋体" w:hint="eastAsia"/>
                <w:sz w:val="18"/>
              </w:rPr>
              <w:t>青岛云裳羽衣物联科技有限公司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spacing w:before="8"/>
              <w:rPr>
                <w:sz w:val="14"/>
              </w:rPr>
            </w:pPr>
          </w:p>
          <w:p>
            <w:pPr>
              <w:pStyle w:val="TableParagraph"/>
              <w:ind w:left="141" w:right="118"/>
              <w:jc w:val="center"/>
              <w:rPr>
                <w:rFonts w:ascii="宋体" w:eastAsia="宋体" w:hint="eastAsia"/>
                <w:sz w:val="18"/>
              </w:rPr>
            </w:pPr>
            <w:r>
              <w:rPr>
                <w:rFonts w:ascii="宋体" w:eastAsia="宋体" w:hint="eastAsia"/>
                <w:sz w:val="18"/>
              </w:rPr>
              <w:t>青岛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spacing w:before="8"/>
              <w:rPr>
                <w:sz w:val="14"/>
              </w:rPr>
            </w:pPr>
          </w:p>
          <w:p>
            <w:pPr>
              <w:pStyle w:val="TableParagraph"/>
              <w:ind w:left="99" w:right="80"/>
              <w:jc w:val="center"/>
              <w:rPr>
                <w:rFonts w:ascii="宋体" w:eastAsia="宋体" w:hint="eastAsia"/>
                <w:sz w:val="18"/>
              </w:rPr>
            </w:pPr>
            <w:r>
              <w:rPr>
                <w:rFonts w:ascii="宋体" w:eastAsia="宋体" w:hint="eastAsia"/>
                <w:sz w:val="18"/>
              </w:rPr>
              <w:t>青岛</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115" w:right="173"/>
              <w:rPr>
                <w:rFonts w:ascii="宋体" w:eastAsia="宋体" w:hint="eastAsia"/>
                <w:sz w:val="18"/>
              </w:rPr>
            </w:pPr>
            <w:r>
              <w:rPr>
                <w:rFonts w:ascii="宋体" w:eastAsia="宋体" w:hint="eastAsia"/>
                <w:sz w:val="18"/>
              </w:rPr>
              <w:t>物联网技术研 </w:t>
            </w:r>
            <w:r>
              <w:rPr>
                <w:rFonts w:ascii="宋体" w:eastAsia="宋体" w:hint="eastAsia"/>
                <w:spacing w:val="-3"/>
                <w:sz w:val="18"/>
              </w:rPr>
              <w:t>发、销售家用电器、数码产品及</w:t>
            </w:r>
          </w:p>
          <w:p>
            <w:pPr>
              <w:pStyle w:val="TableParagraph"/>
              <w:spacing w:line="242" w:lineRule="auto"/>
              <w:ind w:left="115"/>
              <w:rPr>
                <w:rFonts w:ascii="宋体" w:eastAsia="宋体" w:hint="eastAsia"/>
                <w:sz w:val="18"/>
              </w:rPr>
            </w:pPr>
            <w:r>
              <w:rPr>
                <w:rFonts w:ascii="宋体" w:eastAsia="宋体" w:hint="eastAsia"/>
                <w:spacing w:val="-5"/>
                <w:sz w:val="18"/>
              </w:rPr>
              <w:t>配件、服装鞋帽、</w:t>
            </w:r>
            <w:r>
              <w:rPr>
                <w:rFonts w:ascii="宋体" w:eastAsia="宋体" w:hint="eastAsia"/>
                <w:sz w:val="18"/>
              </w:rPr>
              <w:t>纺织品、日用百</w:t>
            </w:r>
          </w:p>
          <w:p>
            <w:pPr>
              <w:pStyle w:val="TableParagraph"/>
              <w:spacing w:line="215" w:lineRule="exact"/>
              <w:ind w:left="115"/>
              <w:rPr>
                <w:rFonts w:ascii="宋体" w:eastAsia="宋体" w:hint="eastAsia"/>
                <w:sz w:val="18"/>
              </w:rPr>
            </w:pPr>
            <w:r>
              <w:rPr>
                <w:rFonts w:ascii="宋体" w:eastAsia="宋体" w:hint="eastAsia"/>
                <w:sz w:val="18"/>
              </w:rPr>
              <w:t>货、家具。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rPr>
                <w:sz w:val="20"/>
              </w:rPr>
            </w:pPr>
          </w:p>
          <w:p>
            <w:pPr>
              <w:pStyle w:val="TableParagraph"/>
              <w:rPr>
                <w:sz w:val="20"/>
              </w:rPr>
            </w:pPr>
          </w:p>
          <w:p>
            <w:pPr>
              <w:pStyle w:val="TableParagraph"/>
              <w:spacing w:before="133"/>
              <w:ind w:left="299"/>
              <w:rPr>
                <w:sz w:val="18"/>
              </w:rPr>
            </w:pPr>
            <w:r>
              <w:rPr>
                <w:sz w:val="18"/>
              </w:rPr>
              <w:t>70.00</w:t>
            </w:r>
          </w:p>
        </w:tc>
        <w:tc>
          <w:tcPr>
            <w:tcW w:w="934" w:type="dxa"/>
            <w:tcBorders>
              <w:top w:val="single" w:sz="4" w:space="0" w:color="000000"/>
              <w:left w:val="single" w:sz="4" w:space="0" w:color="000000"/>
              <w:bottom w:val="single" w:sz="4" w:space="0" w:color="000000"/>
            </w:tcBorders>
          </w:tcPr>
          <w:p>
            <w:pPr>
              <w:pStyle w:val="TableParagraph"/>
              <w:rPr>
                <w:sz w:val="18"/>
              </w:rPr>
            </w:pPr>
          </w:p>
          <w:p>
            <w:pPr>
              <w:pStyle w:val="TableParagraph"/>
              <w:rPr>
                <w:sz w:val="18"/>
              </w:rPr>
            </w:pPr>
          </w:p>
          <w:p>
            <w:pPr>
              <w:pStyle w:val="TableParagraph"/>
              <w:spacing w:before="8"/>
              <w:rPr>
                <w:sz w:val="14"/>
              </w:rPr>
            </w:pPr>
          </w:p>
          <w:p>
            <w:pPr>
              <w:pStyle w:val="TableParagraph"/>
              <w:ind w:left="111"/>
              <w:rPr>
                <w:rFonts w:ascii="宋体" w:eastAsia="宋体" w:hint="eastAsia"/>
                <w:sz w:val="18"/>
              </w:rPr>
            </w:pPr>
            <w:r>
              <w:rPr>
                <w:rFonts w:ascii="宋体" w:eastAsia="宋体" w:hint="eastAsia"/>
                <w:sz w:val="18"/>
              </w:rPr>
              <w:t>设立</w:t>
            </w:r>
          </w:p>
        </w:tc>
      </w:tr>
      <w:tr>
        <w:trPr>
          <w:trHeight w:val="465" w:hRule="atLeast"/>
        </w:trPr>
        <w:tc>
          <w:tcPr>
            <w:tcW w:w="1964" w:type="dxa"/>
            <w:tcBorders>
              <w:top w:val="single" w:sz="4" w:space="0" w:color="000000"/>
              <w:bottom w:val="single" w:sz="4" w:space="0" w:color="000000"/>
              <w:right w:val="single" w:sz="4" w:space="0" w:color="000000"/>
            </w:tcBorders>
          </w:tcPr>
          <w:p>
            <w:pPr>
              <w:pStyle w:val="TableParagraph"/>
              <w:spacing w:line="230" w:lineRule="exact"/>
              <w:ind w:left="104"/>
              <w:rPr>
                <w:rFonts w:ascii="宋体" w:eastAsia="宋体" w:hint="eastAsia"/>
                <w:sz w:val="18"/>
              </w:rPr>
            </w:pPr>
            <w:r>
              <w:rPr>
                <w:rFonts w:ascii="宋体" w:eastAsia="宋体" w:hint="eastAsia"/>
                <w:sz w:val="18"/>
              </w:rPr>
              <w:t>海寓（上海）智能科技</w:t>
            </w:r>
          </w:p>
          <w:p>
            <w:pPr>
              <w:pStyle w:val="TableParagraph"/>
              <w:spacing w:line="213" w:lineRule="exact" w:before="2"/>
              <w:ind w:left="104"/>
              <w:rPr>
                <w:rFonts w:ascii="宋体" w:eastAsia="宋体" w:hint="eastAsia"/>
                <w:sz w:val="18"/>
              </w:rPr>
            </w:pPr>
            <w:r>
              <w:rPr>
                <w:rFonts w:ascii="宋体" w:eastAsia="宋体" w:hint="eastAsia"/>
                <w:sz w:val="18"/>
              </w:rPr>
              <w:t>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15"/>
              <w:ind w:left="141" w:right="118"/>
              <w:jc w:val="center"/>
              <w:rPr>
                <w:rFonts w:ascii="宋体" w:eastAsia="宋体" w:hint="eastAsia"/>
                <w:sz w:val="18"/>
              </w:rPr>
            </w:pPr>
            <w:r>
              <w:rPr>
                <w:rFonts w:ascii="宋体" w:eastAsia="宋体" w:hint="eastAsia"/>
                <w:sz w:val="18"/>
              </w:rPr>
              <w:t>上海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5"/>
              <w:ind w:left="99" w:right="80"/>
              <w:jc w:val="center"/>
              <w:rPr>
                <w:rFonts w:ascii="宋体" w:eastAsia="宋体" w:hint="eastAsia"/>
                <w:sz w:val="18"/>
              </w:rPr>
            </w:pPr>
            <w:r>
              <w:rPr>
                <w:rFonts w:ascii="宋体" w:eastAsia="宋体" w:hint="eastAsia"/>
                <w:sz w:val="18"/>
              </w:rPr>
              <w:t>上海</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5"/>
              <w:rPr>
                <w:rFonts w:ascii="宋体" w:eastAsia="宋体" w:hint="eastAsia"/>
                <w:sz w:val="18"/>
              </w:rPr>
            </w:pPr>
            <w:r>
              <w:rPr>
                <w:rFonts w:ascii="宋体" w:eastAsia="宋体" w:hint="eastAsia"/>
                <w:sz w:val="18"/>
              </w:rPr>
              <w:t>公寓、智能化设</w:t>
            </w:r>
          </w:p>
          <w:p>
            <w:pPr>
              <w:pStyle w:val="TableParagraph"/>
              <w:spacing w:line="213" w:lineRule="exact" w:before="2"/>
              <w:ind w:left="115"/>
              <w:rPr>
                <w:rFonts w:ascii="宋体" w:eastAsia="宋体" w:hint="eastAsia"/>
                <w:sz w:val="18"/>
              </w:rPr>
            </w:pPr>
            <w:r>
              <w:rPr>
                <w:rFonts w:ascii="宋体" w:eastAsia="宋体" w:hint="eastAsia"/>
                <w:sz w:val="18"/>
              </w:rPr>
              <w:t>备等租赁</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24"/>
              <w:ind w:left="299"/>
              <w:rPr>
                <w:sz w:val="18"/>
              </w:rPr>
            </w:pPr>
            <w:r>
              <w:rPr>
                <w:sz w:val="18"/>
              </w:rPr>
              <w:t>70.00</w:t>
            </w:r>
          </w:p>
        </w:tc>
        <w:tc>
          <w:tcPr>
            <w:tcW w:w="934" w:type="dxa"/>
            <w:tcBorders>
              <w:top w:val="single" w:sz="4" w:space="0" w:color="000000"/>
              <w:left w:val="single" w:sz="4" w:space="0" w:color="000000"/>
              <w:bottom w:val="single" w:sz="4" w:space="0" w:color="000000"/>
            </w:tcBorders>
          </w:tcPr>
          <w:p>
            <w:pPr>
              <w:pStyle w:val="TableParagraph"/>
              <w:spacing w:before="115"/>
              <w:ind w:left="111"/>
              <w:rPr>
                <w:rFonts w:ascii="宋体" w:eastAsia="宋体" w:hint="eastAsia"/>
                <w:sz w:val="18"/>
              </w:rPr>
            </w:pPr>
            <w:r>
              <w:rPr>
                <w:rFonts w:ascii="宋体" w:eastAsia="宋体" w:hint="eastAsia"/>
                <w:sz w:val="18"/>
              </w:rPr>
              <w:t>设立</w:t>
            </w:r>
          </w:p>
        </w:tc>
      </w:tr>
      <w:tr>
        <w:trPr>
          <w:trHeight w:val="467" w:hRule="atLeast"/>
        </w:trPr>
        <w:tc>
          <w:tcPr>
            <w:tcW w:w="1964" w:type="dxa"/>
            <w:tcBorders>
              <w:top w:val="single" w:sz="4" w:space="0" w:color="000000"/>
              <w:bottom w:val="single" w:sz="4" w:space="0" w:color="000000"/>
              <w:right w:val="single" w:sz="4" w:space="0" w:color="000000"/>
            </w:tcBorders>
          </w:tcPr>
          <w:p>
            <w:pPr>
              <w:pStyle w:val="TableParagraph"/>
              <w:spacing w:line="230" w:lineRule="atLeast" w:before="2"/>
              <w:ind w:left="104" w:right="217"/>
              <w:rPr>
                <w:rFonts w:ascii="宋体" w:eastAsia="宋体" w:hint="eastAsia"/>
                <w:sz w:val="18"/>
              </w:rPr>
            </w:pPr>
            <w:r>
              <w:rPr>
                <w:rFonts w:ascii="宋体" w:eastAsia="宋体" w:hint="eastAsia"/>
                <w:sz w:val="18"/>
              </w:rPr>
              <w:t>青岛海知投资管理有限公司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17"/>
              <w:ind w:left="141" w:right="118"/>
              <w:jc w:val="center"/>
              <w:rPr>
                <w:rFonts w:ascii="宋体" w:eastAsia="宋体" w:hint="eastAsia"/>
                <w:sz w:val="18"/>
              </w:rPr>
            </w:pPr>
            <w:r>
              <w:rPr>
                <w:rFonts w:ascii="宋体" w:eastAsia="宋体" w:hint="eastAsia"/>
                <w:sz w:val="18"/>
              </w:rPr>
              <w:t>青岛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7"/>
              <w:ind w:left="99" w:right="80"/>
              <w:jc w:val="center"/>
              <w:rPr>
                <w:rFonts w:ascii="宋体" w:eastAsia="宋体" w:hint="eastAsia"/>
                <w:sz w:val="18"/>
              </w:rPr>
            </w:pPr>
            <w:r>
              <w:rPr>
                <w:rFonts w:ascii="宋体" w:eastAsia="宋体" w:hint="eastAsia"/>
                <w:sz w:val="18"/>
              </w:rPr>
              <w:t>青岛</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2"/>
              <w:ind w:left="115" w:right="173"/>
              <w:rPr>
                <w:rFonts w:ascii="宋体" w:eastAsia="宋体" w:hint="eastAsia"/>
                <w:sz w:val="18"/>
              </w:rPr>
            </w:pPr>
            <w:r>
              <w:rPr>
                <w:rFonts w:ascii="宋体" w:eastAsia="宋体" w:hint="eastAsia"/>
                <w:sz w:val="18"/>
              </w:rPr>
              <w:t>资产管理、股权投资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27"/>
              <w:ind w:left="253"/>
              <w:rPr>
                <w:sz w:val="18"/>
              </w:rPr>
            </w:pPr>
            <w:r>
              <w:rPr>
                <w:sz w:val="18"/>
              </w:rPr>
              <w:t>100.00</w:t>
            </w:r>
          </w:p>
        </w:tc>
        <w:tc>
          <w:tcPr>
            <w:tcW w:w="934" w:type="dxa"/>
            <w:tcBorders>
              <w:top w:val="single" w:sz="4" w:space="0" w:color="000000"/>
              <w:left w:val="single" w:sz="4" w:space="0" w:color="000000"/>
              <w:bottom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r>
        <w:trPr>
          <w:trHeight w:val="467" w:hRule="atLeast"/>
        </w:trPr>
        <w:tc>
          <w:tcPr>
            <w:tcW w:w="1964" w:type="dxa"/>
            <w:tcBorders>
              <w:top w:val="single" w:sz="4" w:space="0" w:color="000000"/>
              <w:bottom w:val="single" w:sz="4" w:space="0" w:color="000000"/>
              <w:right w:val="single" w:sz="4" w:space="0" w:color="000000"/>
            </w:tcBorders>
          </w:tcPr>
          <w:p>
            <w:pPr>
              <w:pStyle w:val="TableParagraph"/>
              <w:spacing w:line="230" w:lineRule="exact"/>
              <w:ind w:left="104"/>
              <w:rPr>
                <w:rFonts w:ascii="宋体" w:eastAsia="宋体" w:hint="eastAsia"/>
                <w:sz w:val="18"/>
              </w:rPr>
            </w:pPr>
            <w:r>
              <w:rPr>
                <w:rFonts w:ascii="宋体" w:eastAsia="宋体" w:hint="eastAsia"/>
                <w:sz w:val="18"/>
              </w:rPr>
              <w:t>青岛极家云智能科技</w:t>
            </w:r>
          </w:p>
          <w:p>
            <w:pPr>
              <w:pStyle w:val="TableParagraph"/>
              <w:spacing w:line="213" w:lineRule="exact" w:before="4"/>
              <w:ind w:left="104"/>
              <w:rPr>
                <w:rFonts w:ascii="宋体" w:eastAsia="宋体" w:hint="eastAsia"/>
                <w:sz w:val="18"/>
              </w:rPr>
            </w:pPr>
            <w:r>
              <w:rPr>
                <w:rFonts w:ascii="宋体" w:eastAsia="宋体" w:hint="eastAsia"/>
                <w:sz w:val="18"/>
              </w:rPr>
              <w:t>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17"/>
              <w:ind w:left="141" w:right="118"/>
              <w:jc w:val="center"/>
              <w:rPr>
                <w:rFonts w:ascii="宋体" w:eastAsia="宋体" w:hint="eastAsia"/>
                <w:sz w:val="18"/>
              </w:rPr>
            </w:pPr>
            <w:r>
              <w:rPr>
                <w:rFonts w:ascii="宋体" w:eastAsia="宋体" w:hint="eastAsia"/>
                <w:sz w:val="18"/>
              </w:rPr>
              <w:t>青岛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7"/>
              <w:ind w:left="99" w:right="80"/>
              <w:jc w:val="center"/>
              <w:rPr>
                <w:rFonts w:ascii="宋体" w:eastAsia="宋体" w:hint="eastAsia"/>
                <w:sz w:val="18"/>
              </w:rPr>
            </w:pPr>
            <w:r>
              <w:rPr>
                <w:rFonts w:ascii="宋体" w:eastAsia="宋体" w:hint="eastAsia"/>
                <w:sz w:val="18"/>
              </w:rPr>
              <w:t>青岛</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5"/>
              <w:rPr>
                <w:rFonts w:ascii="宋体" w:eastAsia="宋体" w:hint="eastAsia"/>
                <w:sz w:val="18"/>
              </w:rPr>
            </w:pPr>
            <w:r>
              <w:rPr>
                <w:rFonts w:ascii="宋体" w:eastAsia="宋体" w:hint="eastAsia"/>
                <w:sz w:val="18"/>
              </w:rPr>
              <w:t>研发、销售照明</w:t>
            </w:r>
          </w:p>
          <w:p>
            <w:pPr>
              <w:pStyle w:val="TableParagraph"/>
              <w:spacing w:line="213" w:lineRule="exact" w:before="4"/>
              <w:ind w:left="115"/>
              <w:rPr>
                <w:rFonts w:ascii="宋体" w:eastAsia="宋体" w:hint="eastAsia"/>
                <w:sz w:val="18"/>
              </w:rPr>
            </w:pPr>
            <w:r>
              <w:rPr>
                <w:rFonts w:ascii="宋体" w:eastAsia="宋体" w:hint="eastAsia"/>
                <w:sz w:val="18"/>
              </w:rPr>
              <w:t>电器等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24"/>
              <w:ind w:left="299"/>
              <w:rPr>
                <w:sz w:val="18"/>
              </w:rPr>
            </w:pPr>
            <w:r>
              <w:rPr>
                <w:sz w:val="18"/>
              </w:rPr>
              <w:t>80.00</w:t>
            </w:r>
          </w:p>
        </w:tc>
        <w:tc>
          <w:tcPr>
            <w:tcW w:w="934" w:type="dxa"/>
            <w:tcBorders>
              <w:top w:val="single" w:sz="4" w:space="0" w:color="000000"/>
              <w:left w:val="single" w:sz="4" w:space="0" w:color="000000"/>
              <w:bottom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r>
        <w:trPr>
          <w:trHeight w:val="464" w:hRule="atLeast"/>
        </w:trPr>
        <w:tc>
          <w:tcPr>
            <w:tcW w:w="1964" w:type="dxa"/>
            <w:tcBorders>
              <w:top w:val="single" w:sz="4" w:space="0" w:color="000000"/>
              <w:right w:val="single" w:sz="4" w:space="0" w:color="000000"/>
            </w:tcBorders>
          </w:tcPr>
          <w:p>
            <w:pPr>
              <w:pStyle w:val="TableParagraph"/>
              <w:spacing w:line="230" w:lineRule="exact"/>
              <w:ind w:left="104"/>
              <w:rPr>
                <w:rFonts w:ascii="宋体" w:eastAsia="宋体" w:hint="eastAsia"/>
                <w:sz w:val="18"/>
              </w:rPr>
            </w:pPr>
            <w:r>
              <w:rPr>
                <w:rFonts w:ascii="宋体" w:eastAsia="宋体" w:hint="eastAsia"/>
                <w:sz w:val="18"/>
              </w:rPr>
              <w:t>青岛海美汇管理咨询</w:t>
            </w:r>
          </w:p>
          <w:p>
            <w:pPr>
              <w:pStyle w:val="TableParagraph"/>
              <w:spacing w:line="212" w:lineRule="exact" w:before="2"/>
              <w:ind w:left="104"/>
              <w:rPr>
                <w:rFonts w:ascii="宋体" w:eastAsia="宋体" w:hint="eastAsia"/>
                <w:sz w:val="18"/>
              </w:rPr>
            </w:pPr>
            <w:r>
              <w:rPr>
                <w:rFonts w:ascii="宋体" w:eastAsia="宋体" w:hint="eastAsia"/>
                <w:sz w:val="18"/>
              </w:rPr>
              <w:t>有限公司</w:t>
            </w:r>
          </w:p>
        </w:tc>
        <w:tc>
          <w:tcPr>
            <w:tcW w:w="994" w:type="dxa"/>
            <w:tcBorders>
              <w:top w:val="single" w:sz="4" w:space="0" w:color="000000"/>
              <w:left w:val="single" w:sz="4" w:space="0" w:color="000000"/>
              <w:right w:val="single" w:sz="4" w:space="0" w:color="000000"/>
            </w:tcBorders>
          </w:tcPr>
          <w:p>
            <w:pPr>
              <w:pStyle w:val="TableParagraph"/>
              <w:spacing w:before="117"/>
              <w:ind w:left="141" w:right="118"/>
              <w:jc w:val="center"/>
              <w:rPr>
                <w:rFonts w:ascii="宋体" w:eastAsia="宋体" w:hint="eastAsia"/>
                <w:sz w:val="18"/>
              </w:rPr>
            </w:pPr>
            <w:r>
              <w:rPr>
                <w:rFonts w:ascii="宋体" w:eastAsia="宋体" w:hint="eastAsia"/>
                <w:sz w:val="18"/>
              </w:rPr>
              <w:t>青岛</w:t>
            </w:r>
          </w:p>
        </w:tc>
        <w:tc>
          <w:tcPr>
            <w:tcW w:w="992" w:type="dxa"/>
            <w:tcBorders>
              <w:top w:val="single" w:sz="4" w:space="0" w:color="000000"/>
              <w:left w:val="single" w:sz="4" w:space="0" w:color="000000"/>
              <w:right w:val="single" w:sz="4" w:space="0" w:color="000000"/>
            </w:tcBorders>
          </w:tcPr>
          <w:p>
            <w:pPr>
              <w:pStyle w:val="TableParagraph"/>
              <w:spacing w:before="117"/>
              <w:ind w:left="99" w:right="80"/>
              <w:jc w:val="center"/>
              <w:rPr>
                <w:rFonts w:ascii="宋体" w:eastAsia="宋体" w:hint="eastAsia"/>
                <w:sz w:val="18"/>
              </w:rPr>
            </w:pPr>
            <w:r>
              <w:rPr>
                <w:rFonts w:ascii="宋体" w:eastAsia="宋体" w:hint="eastAsia"/>
                <w:sz w:val="18"/>
              </w:rPr>
              <w:t>青岛</w:t>
            </w:r>
          </w:p>
        </w:tc>
        <w:tc>
          <w:tcPr>
            <w:tcW w:w="1561" w:type="dxa"/>
            <w:tcBorders>
              <w:top w:val="single" w:sz="4" w:space="0" w:color="000000"/>
              <w:left w:val="single" w:sz="4" w:space="0" w:color="000000"/>
              <w:right w:val="single" w:sz="4" w:space="0" w:color="000000"/>
            </w:tcBorders>
          </w:tcPr>
          <w:p>
            <w:pPr>
              <w:pStyle w:val="TableParagraph"/>
              <w:spacing w:line="230" w:lineRule="exact"/>
              <w:ind w:left="115"/>
              <w:rPr>
                <w:rFonts w:ascii="宋体" w:eastAsia="宋体" w:hint="eastAsia"/>
                <w:sz w:val="18"/>
              </w:rPr>
            </w:pPr>
            <w:r>
              <w:rPr>
                <w:rFonts w:ascii="宋体" w:eastAsia="宋体" w:hint="eastAsia"/>
                <w:sz w:val="18"/>
              </w:rPr>
              <w:t>租赁和商务服务</w:t>
            </w:r>
          </w:p>
          <w:p>
            <w:pPr>
              <w:pStyle w:val="TableParagraph"/>
              <w:spacing w:line="212" w:lineRule="exact" w:before="2"/>
              <w:ind w:left="115"/>
              <w:rPr>
                <w:rFonts w:ascii="宋体" w:eastAsia="宋体" w:hint="eastAsia"/>
                <w:sz w:val="18"/>
              </w:rPr>
            </w:pPr>
            <w:r>
              <w:rPr>
                <w:rFonts w:ascii="宋体" w:eastAsia="宋体" w:hint="eastAsia"/>
                <w:sz w:val="18"/>
              </w:rPr>
              <w:t>业</w:t>
            </w:r>
          </w:p>
        </w:tc>
        <w:tc>
          <w:tcPr>
            <w:tcW w:w="992" w:type="dxa"/>
            <w:tcBorders>
              <w:top w:val="single" w:sz="4" w:space="0" w:color="000000"/>
              <w:left w:val="single" w:sz="4" w:space="0" w:color="000000"/>
              <w:right w:val="single" w:sz="4" w:space="0" w:color="000000"/>
            </w:tcBorders>
          </w:tcPr>
          <w:p>
            <w:pPr>
              <w:pStyle w:val="TableParagraph"/>
              <w:spacing w:before="112"/>
              <w:ind w:left="111"/>
              <w:jc w:val="center"/>
              <w:rPr>
                <w:rFonts w:ascii="宋体"/>
                <w:sz w:val="18"/>
              </w:rPr>
            </w:pPr>
            <w:r>
              <w:rPr>
                <w:rFonts w:ascii="宋体"/>
                <w:sz w:val="18"/>
              </w:rPr>
              <w:t> </w:t>
            </w:r>
          </w:p>
        </w:tc>
        <w:tc>
          <w:tcPr>
            <w:tcW w:w="995" w:type="dxa"/>
            <w:tcBorders>
              <w:top w:val="single" w:sz="4" w:space="0" w:color="000000"/>
              <w:left w:val="single" w:sz="4" w:space="0" w:color="000000"/>
              <w:right w:val="single" w:sz="4" w:space="0" w:color="000000"/>
            </w:tcBorders>
          </w:tcPr>
          <w:p>
            <w:pPr>
              <w:pStyle w:val="TableParagraph"/>
              <w:spacing w:before="124"/>
              <w:ind w:left="253"/>
              <w:rPr>
                <w:sz w:val="18"/>
              </w:rPr>
            </w:pPr>
            <w:r>
              <w:rPr>
                <w:sz w:val="18"/>
              </w:rPr>
              <w:t>100.00</w:t>
            </w:r>
          </w:p>
        </w:tc>
        <w:tc>
          <w:tcPr>
            <w:tcW w:w="934" w:type="dxa"/>
            <w:tcBorders>
              <w:top w:val="single" w:sz="4" w:space="0" w:color="000000"/>
              <w:left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bl>
    <w:p>
      <w:pPr>
        <w:spacing w:after="0"/>
        <w:rPr>
          <w:rFonts w:ascii="宋体" w:eastAsia="宋体" w:hint="eastAsia"/>
          <w:sz w:val="18"/>
        </w:rPr>
        <w:sectPr>
          <w:pgSz w:w="11910" w:h="16840"/>
          <w:pgMar w:header="876" w:footer="1184" w:top="1440" w:bottom="1380" w:left="260" w:right="0"/>
        </w:sectPr>
      </w:pPr>
    </w:p>
    <w:p>
      <w:pPr>
        <w:pStyle w:val="BodyText"/>
        <w:spacing w:before="9"/>
        <w:rPr>
          <w:rFonts w:ascii="Times New Roman"/>
          <w:sz w:val="5"/>
        </w:rPr>
      </w:pPr>
    </w:p>
    <w:tbl>
      <w:tblPr>
        <w:tblW w:w="0" w:type="auto"/>
        <w:jc w:val="left"/>
        <w:tblInd w:w="175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64"/>
        <w:gridCol w:w="994"/>
        <w:gridCol w:w="992"/>
        <w:gridCol w:w="1561"/>
        <w:gridCol w:w="992"/>
        <w:gridCol w:w="995"/>
        <w:gridCol w:w="934"/>
      </w:tblGrid>
      <w:tr>
        <w:trPr>
          <w:trHeight w:val="467" w:hRule="atLeast"/>
        </w:trPr>
        <w:tc>
          <w:tcPr>
            <w:tcW w:w="1964" w:type="dxa"/>
            <w:tcBorders>
              <w:bottom w:val="single" w:sz="4" w:space="0" w:color="000000"/>
              <w:right w:val="single" w:sz="4" w:space="0" w:color="000000"/>
            </w:tcBorders>
          </w:tcPr>
          <w:p>
            <w:pPr>
              <w:pStyle w:val="TableParagraph"/>
              <w:spacing w:before="2"/>
              <w:ind w:left="104"/>
              <w:rPr>
                <w:rFonts w:ascii="宋体" w:eastAsia="宋体" w:hint="eastAsia"/>
                <w:sz w:val="18"/>
              </w:rPr>
            </w:pPr>
            <w:r>
              <w:rPr>
                <w:rFonts w:ascii="宋体" w:eastAsia="宋体" w:hint="eastAsia"/>
                <w:sz w:val="18"/>
              </w:rPr>
              <w:t>无锡云裳衣联网科技</w:t>
            </w:r>
          </w:p>
          <w:p>
            <w:pPr>
              <w:pStyle w:val="TableParagraph"/>
              <w:spacing w:line="213" w:lineRule="exact" w:before="2"/>
              <w:ind w:left="104"/>
              <w:rPr>
                <w:rFonts w:ascii="宋体" w:eastAsia="宋体" w:hint="eastAsia"/>
                <w:sz w:val="18"/>
              </w:rPr>
            </w:pPr>
            <w:r>
              <w:rPr>
                <w:rFonts w:ascii="宋体" w:eastAsia="宋体" w:hint="eastAsia"/>
                <w:sz w:val="18"/>
              </w:rPr>
              <w:t>有限公司</w:t>
            </w:r>
          </w:p>
        </w:tc>
        <w:tc>
          <w:tcPr>
            <w:tcW w:w="994" w:type="dxa"/>
            <w:tcBorders>
              <w:left w:val="single" w:sz="4" w:space="0" w:color="000000"/>
              <w:bottom w:val="single" w:sz="4" w:space="0" w:color="000000"/>
              <w:right w:val="single" w:sz="4" w:space="0" w:color="000000"/>
            </w:tcBorders>
          </w:tcPr>
          <w:p>
            <w:pPr>
              <w:pStyle w:val="TableParagraph"/>
              <w:spacing w:before="119"/>
              <w:ind w:left="141" w:right="118"/>
              <w:jc w:val="center"/>
              <w:rPr>
                <w:rFonts w:ascii="宋体" w:eastAsia="宋体" w:hint="eastAsia"/>
                <w:sz w:val="18"/>
              </w:rPr>
            </w:pPr>
            <w:r>
              <w:rPr>
                <w:rFonts w:ascii="宋体" w:eastAsia="宋体" w:hint="eastAsia"/>
                <w:sz w:val="18"/>
              </w:rPr>
              <w:t>无锡</w:t>
            </w:r>
          </w:p>
        </w:tc>
        <w:tc>
          <w:tcPr>
            <w:tcW w:w="992" w:type="dxa"/>
            <w:tcBorders>
              <w:left w:val="single" w:sz="4" w:space="0" w:color="000000"/>
              <w:bottom w:val="single" w:sz="4" w:space="0" w:color="000000"/>
              <w:right w:val="single" w:sz="4" w:space="0" w:color="000000"/>
            </w:tcBorders>
          </w:tcPr>
          <w:p>
            <w:pPr>
              <w:pStyle w:val="TableParagraph"/>
              <w:spacing w:before="119"/>
              <w:ind w:left="99" w:right="80"/>
              <w:jc w:val="center"/>
              <w:rPr>
                <w:rFonts w:ascii="宋体" w:eastAsia="宋体" w:hint="eastAsia"/>
                <w:sz w:val="18"/>
              </w:rPr>
            </w:pPr>
            <w:r>
              <w:rPr>
                <w:rFonts w:ascii="宋体" w:eastAsia="宋体" w:hint="eastAsia"/>
                <w:sz w:val="18"/>
              </w:rPr>
              <w:t>无锡</w:t>
            </w:r>
          </w:p>
        </w:tc>
        <w:tc>
          <w:tcPr>
            <w:tcW w:w="1561" w:type="dxa"/>
            <w:tcBorders>
              <w:left w:val="single" w:sz="4" w:space="0" w:color="000000"/>
              <w:bottom w:val="single" w:sz="4" w:space="0" w:color="000000"/>
              <w:right w:val="single" w:sz="4" w:space="0" w:color="000000"/>
            </w:tcBorders>
          </w:tcPr>
          <w:p>
            <w:pPr>
              <w:pStyle w:val="TableParagraph"/>
              <w:spacing w:before="119"/>
              <w:ind w:left="115"/>
              <w:rPr>
                <w:rFonts w:ascii="宋体" w:eastAsia="宋体" w:hint="eastAsia"/>
                <w:sz w:val="18"/>
              </w:rPr>
            </w:pPr>
            <w:r>
              <w:rPr>
                <w:rFonts w:ascii="宋体" w:eastAsia="宋体" w:hint="eastAsia"/>
                <w:sz w:val="18"/>
              </w:rPr>
              <w:t>物联网技术研发</w:t>
            </w:r>
          </w:p>
        </w:tc>
        <w:tc>
          <w:tcPr>
            <w:tcW w:w="992" w:type="dxa"/>
            <w:tcBorders>
              <w:left w:val="single" w:sz="4" w:space="0" w:color="000000"/>
              <w:bottom w:val="single" w:sz="4" w:space="0" w:color="000000"/>
              <w:right w:val="single" w:sz="4" w:space="0" w:color="000000"/>
            </w:tcBorders>
          </w:tcPr>
          <w:p>
            <w:pPr>
              <w:pStyle w:val="TableParagraph"/>
              <w:spacing w:before="115"/>
              <w:ind w:left="111"/>
              <w:jc w:val="center"/>
              <w:rPr>
                <w:rFonts w:ascii="宋体"/>
                <w:sz w:val="18"/>
              </w:rPr>
            </w:pPr>
            <w:r>
              <w:rPr>
                <w:rFonts w:ascii="宋体"/>
                <w:sz w:val="18"/>
              </w:rPr>
              <w:t> </w:t>
            </w:r>
          </w:p>
        </w:tc>
        <w:tc>
          <w:tcPr>
            <w:tcW w:w="995" w:type="dxa"/>
            <w:tcBorders>
              <w:left w:val="single" w:sz="4" w:space="0" w:color="000000"/>
              <w:bottom w:val="single" w:sz="4" w:space="0" w:color="000000"/>
              <w:right w:val="single" w:sz="4" w:space="0" w:color="000000"/>
            </w:tcBorders>
          </w:tcPr>
          <w:p>
            <w:pPr>
              <w:pStyle w:val="TableParagraph"/>
              <w:spacing w:before="127"/>
              <w:ind w:left="253"/>
              <w:rPr>
                <w:sz w:val="18"/>
              </w:rPr>
            </w:pPr>
            <w:r>
              <w:rPr>
                <w:sz w:val="18"/>
              </w:rPr>
              <w:t>100.00</w:t>
            </w:r>
          </w:p>
        </w:tc>
        <w:tc>
          <w:tcPr>
            <w:tcW w:w="934" w:type="dxa"/>
            <w:tcBorders>
              <w:left w:val="single" w:sz="4" w:space="0" w:color="000000"/>
              <w:bottom w:val="single" w:sz="4" w:space="0" w:color="000000"/>
            </w:tcBorders>
          </w:tcPr>
          <w:p>
            <w:pPr>
              <w:pStyle w:val="TableParagraph"/>
              <w:spacing w:before="119"/>
              <w:ind w:left="111"/>
              <w:rPr>
                <w:rFonts w:ascii="宋体" w:eastAsia="宋体" w:hint="eastAsia"/>
                <w:sz w:val="18"/>
              </w:rPr>
            </w:pPr>
            <w:r>
              <w:rPr>
                <w:rFonts w:ascii="宋体" w:eastAsia="宋体" w:hint="eastAsia"/>
                <w:sz w:val="18"/>
              </w:rPr>
              <w:t>设立</w:t>
            </w:r>
          </w:p>
        </w:tc>
      </w:tr>
      <w:tr>
        <w:trPr>
          <w:trHeight w:val="467" w:hRule="atLeast"/>
        </w:trPr>
        <w:tc>
          <w:tcPr>
            <w:tcW w:w="1964" w:type="dxa"/>
            <w:tcBorders>
              <w:top w:val="single" w:sz="4" w:space="0" w:color="000000"/>
              <w:bottom w:val="single" w:sz="4" w:space="0" w:color="000000"/>
              <w:right w:val="single" w:sz="4" w:space="0" w:color="000000"/>
            </w:tcBorders>
          </w:tcPr>
          <w:p>
            <w:pPr>
              <w:pStyle w:val="TableParagraph"/>
              <w:spacing w:line="230" w:lineRule="atLeast" w:before="2"/>
              <w:ind w:left="104" w:right="217"/>
              <w:rPr>
                <w:rFonts w:ascii="宋体" w:eastAsia="宋体" w:hint="eastAsia"/>
                <w:sz w:val="18"/>
              </w:rPr>
            </w:pPr>
            <w:r>
              <w:rPr>
                <w:rFonts w:ascii="宋体" w:eastAsia="宋体" w:hint="eastAsia"/>
                <w:sz w:val="18"/>
              </w:rPr>
              <w:t>青岛国创智能家电研究院有限公司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17"/>
              <w:ind w:left="141" w:right="118"/>
              <w:jc w:val="center"/>
              <w:rPr>
                <w:rFonts w:ascii="宋体" w:eastAsia="宋体" w:hint="eastAsia"/>
                <w:sz w:val="18"/>
              </w:rPr>
            </w:pPr>
            <w:r>
              <w:rPr>
                <w:rFonts w:ascii="宋体" w:eastAsia="宋体" w:hint="eastAsia"/>
                <w:sz w:val="18"/>
              </w:rPr>
              <w:t>青岛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7"/>
              <w:ind w:left="99" w:right="80"/>
              <w:jc w:val="center"/>
              <w:rPr>
                <w:rFonts w:ascii="宋体" w:eastAsia="宋体" w:hint="eastAsia"/>
                <w:sz w:val="18"/>
              </w:rPr>
            </w:pPr>
            <w:r>
              <w:rPr>
                <w:rFonts w:ascii="宋体" w:eastAsia="宋体" w:hint="eastAsia"/>
                <w:sz w:val="18"/>
              </w:rPr>
              <w:t>青岛</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2"/>
              <w:ind w:left="115" w:right="173"/>
              <w:rPr>
                <w:rFonts w:ascii="宋体" w:eastAsia="宋体" w:hint="eastAsia"/>
                <w:sz w:val="18"/>
              </w:rPr>
            </w:pPr>
            <w:r>
              <w:rPr>
                <w:rFonts w:ascii="宋体" w:eastAsia="宋体" w:hint="eastAsia"/>
                <w:sz w:val="18"/>
              </w:rPr>
              <w:t>科学研究和技术服务业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5"/>
              <w:ind w:left="111"/>
              <w:jc w:val="center"/>
              <w:rPr>
                <w:rFonts w:ascii="宋体"/>
                <w:sz w:val="18"/>
              </w:rPr>
            </w:pPr>
            <w:r>
              <w:rPr>
                <w:rFonts w:ascii="宋体"/>
                <w:sz w:val="18"/>
              </w:rPr>
              <w:t> </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27"/>
              <w:ind w:left="299"/>
              <w:rPr>
                <w:sz w:val="18"/>
              </w:rPr>
            </w:pPr>
            <w:r>
              <w:rPr>
                <w:sz w:val="18"/>
              </w:rPr>
              <w:t>37.75</w:t>
            </w:r>
          </w:p>
        </w:tc>
        <w:tc>
          <w:tcPr>
            <w:tcW w:w="934" w:type="dxa"/>
            <w:tcBorders>
              <w:top w:val="single" w:sz="4" w:space="0" w:color="000000"/>
              <w:left w:val="single" w:sz="4" w:space="0" w:color="000000"/>
              <w:bottom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r>
        <w:trPr>
          <w:trHeight w:val="467" w:hRule="atLeast"/>
        </w:trPr>
        <w:tc>
          <w:tcPr>
            <w:tcW w:w="1964" w:type="dxa"/>
            <w:tcBorders>
              <w:top w:val="single" w:sz="4" w:space="0" w:color="000000"/>
              <w:bottom w:val="single" w:sz="4" w:space="0" w:color="000000"/>
              <w:right w:val="single" w:sz="4" w:space="0" w:color="000000"/>
            </w:tcBorders>
          </w:tcPr>
          <w:p>
            <w:pPr>
              <w:pStyle w:val="TableParagraph"/>
              <w:ind w:left="104"/>
              <w:rPr>
                <w:rFonts w:ascii="宋体" w:eastAsia="宋体" w:hint="eastAsia"/>
                <w:sz w:val="18"/>
              </w:rPr>
            </w:pPr>
            <w:r>
              <w:rPr>
                <w:rFonts w:ascii="宋体" w:eastAsia="宋体" w:hint="eastAsia"/>
                <w:sz w:val="18"/>
              </w:rPr>
              <w:t>杭州甘道智能科技有</w:t>
            </w:r>
          </w:p>
          <w:p>
            <w:pPr>
              <w:pStyle w:val="TableParagraph"/>
              <w:spacing w:line="213" w:lineRule="exact" w:before="4"/>
              <w:ind w:left="104"/>
              <w:rPr>
                <w:rFonts w:ascii="宋体" w:eastAsia="宋体" w:hint="eastAsia"/>
                <w:sz w:val="18"/>
              </w:rPr>
            </w:pPr>
            <w:r>
              <w:rPr>
                <w:rFonts w:ascii="宋体" w:eastAsia="宋体" w:hint="eastAsia"/>
                <w:sz w:val="18"/>
              </w:rPr>
              <w:t>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17"/>
              <w:ind w:left="141" w:right="118"/>
              <w:jc w:val="center"/>
              <w:rPr>
                <w:rFonts w:ascii="宋体" w:eastAsia="宋体" w:hint="eastAsia"/>
                <w:sz w:val="18"/>
              </w:rPr>
            </w:pPr>
            <w:r>
              <w:rPr>
                <w:rFonts w:ascii="宋体" w:eastAsia="宋体" w:hint="eastAsia"/>
                <w:sz w:val="18"/>
              </w:rPr>
              <w:t>杭州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7"/>
              <w:ind w:left="99" w:right="80"/>
              <w:jc w:val="center"/>
              <w:rPr>
                <w:rFonts w:ascii="宋体" w:eastAsia="宋体" w:hint="eastAsia"/>
                <w:sz w:val="18"/>
              </w:rPr>
            </w:pPr>
            <w:r>
              <w:rPr>
                <w:rFonts w:ascii="宋体" w:eastAsia="宋体" w:hint="eastAsia"/>
                <w:sz w:val="18"/>
              </w:rPr>
              <w:t>杭州</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117"/>
              <w:ind w:left="115"/>
              <w:rPr>
                <w:rFonts w:ascii="宋体" w:eastAsia="宋体" w:hint="eastAsia"/>
                <w:sz w:val="18"/>
              </w:rPr>
            </w:pPr>
            <w:r>
              <w:rPr>
                <w:rFonts w:ascii="宋体" w:eastAsia="宋体" w:hint="eastAsia"/>
                <w:sz w:val="18"/>
              </w:rPr>
              <w:t>技术开发、服务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2"/>
              <w:ind w:left="111"/>
              <w:jc w:val="center"/>
              <w:rPr>
                <w:rFonts w:ascii="宋体"/>
                <w:sz w:val="18"/>
              </w:rPr>
            </w:pPr>
            <w:r>
              <w:rPr>
                <w:rFonts w:ascii="宋体"/>
                <w:sz w:val="18"/>
              </w:rPr>
              <w:t> </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24"/>
              <w:ind w:left="299"/>
              <w:rPr>
                <w:sz w:val="18"/>
              </w:rPr>
            </w:pPr>
            <w:r>
              <w:rPr>
                <w:sz w:val="18"/>
              </w:rPr>
              <w:t>52.58</w:t>
            </w:r>
          </w:p>
        </w:tc>
        <w:tc>
          <w:tcPr>
            <w:tcW w:w="934" w:type="dxa"/>
            <w:tcBorders>
              <w:top w:val="single" w:sz="4" w:space="0" w:color="000000"/>
              <w:left w:val="single" w:sz="4" w:space="0" w:color="000000"/>
              <w:bottom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r>
        <w:trPr>
          <w:trHeight w:val="700" w:hRule="atLeast"/>
        </w:trPr>
        <w:tc>
          <w:tcPr>
            <w:tcW w:w="1964" w:type="dxa"/>
            <w:tcBorders>
              <w:top w:val="single" w:sz="4" w:space="0" w:color="000000"/>
              <w:bottom w:val="single" w:sz="4" w:space="0" w:color="000000"/>
              <w:right w:val="single" w:sz="4" w:space="0" w:color="000000"/>
            </w:tcBorders>
          </w:tcPr>
          <w:p>
            <w:pPr>
              <w:pStyle w:val="TableParagraph"/>
              <w:spacing w:line="242" w:lineRule="auto" w:before="117"/>
              <w:ind w:left="104" w:right="217"/>
              <w:rPr>
                <w:rFonts w:ascii="宋体" w:eastAsia="宋体" w:hint="eastAsia"/>
                <w:sz w:val="18"/>
              </w:rPr>
            </w:pPr>
            <w:r>
              <w:rPr>
                <w:rFonts w:ascii="宋体" w:eastAsia="宋体" w:hint="eastAsia"/>
                <w:sz w:val="18"/>
              </w:rPr>
              <w:t>青岛海达诚采购服务有限公司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2"/>
              <w:rPr>
                <w:sz w:val="20"/>
              </w:rPr>
            </w:pPr>
          </w:p>
          <w:p>
            <w:pPr>
              <w:pStyle w:val="TableParagraph"/>
              <w:ind w:left="141" w:right="118"/>
              <w:jc w:val="center"/>
              <w:rPr>
                <w:rFonts w:ascii="宋体" w:eastAsia="宋体" w:hint="eastAsia"/>
                <w:sz w:val="18"/>
              </w:rPr>
            </w:pPr>
            <w:r>
              <w:rPr>
                <w:rFonts w:ascii="宋体" w:eastAsia="宋体" w:hint="eastAsia"/>
                <w:sz w:val="18"/>
              </w:rPr>
              <w:t>青岛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2"/>
              <w:rPr>
                <w:sz w:val="20"/>
              </w:rPr>
            </w:pPr>
          </w:p>
          <w:p>
            <w:pPr>
              <w:pStyle w:val="TableParagraph"/>
              <w:ind w:left="99" w:right="80"/>
              <w:jc w:val="center"/>
              <w:rPr>
                <w:rFonts w:ascii="宋体" w:eastAsia="宋体" w:hint="eastAsia"/>
                <w:sz w:val="18"/>
              </w:rPr>
            </w:pPr>
            <w:r>
              <w:rPr>
                <w:rFonts w:ascii="宋体" w:eastAsia="宋体" w:hint="eastAsia"/>
                <w:sz w:val="18"/>
              </w:rPr>
              <w:t>青岛</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ind w:left="115" w:right="173"/>
              <w:rPr>
                <w:rFonts w:ascii="宋体" w:eastAsia="宋体" w:hint="eastAsia"/>
                <w:sz w:val="18"/>
              </w:rPr>
            </w:pPr>
            <w:r>
              <w:rPr>
                <w:rFonts w:ascii="宋体" w:eastAsia="宋体" w:hint="eastAsia"/>
                <w:sz w:val="18"/>
              </w:rPr>
              <w:t>开发、采购、销售电器产品及部</w:t>
            </w:r>
          </w:p>
          <w:p>
            <w:pPr>
              <w:pStyle w:val="TableParagraph"/>
              <w:spacing w:line="213" w:lineRule="exact" w:before="2"/>
              <w:ind w:left="115"/>
              <w:rPr>
                <w:rFonts w:ascii="宋体" w:eastAsia="宋体" w:hint="eastAsia"/>
                <w:sz w:val="18"/>
              </w:rPr>
            </w:pPr>
            <w:r>
              <w:rPr>
                <w:rFonts w:ascii="宋体" w:eastAsia="宋体" w:hint="eastAsia"/>
                <w:sz w:val="18"/>
              </w:rPr>
              <w:t>件</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1"/>
              </w:rPr>
            </w:pPr>
          </w:p>
          <w:p>
            <w:pPr>
              <w:pStyle w:val="TableParagraph"/>
              <w:ind w:left="99" w:right="77"/>
              <w:jc w:val="center"/>
              <w:rPr>
                <w:sz w:val="18"/>
              </w:rPr>
            </w:pPr>
            <w:r>
              <w:rPr>
                <w:sz w:val="18"/>
              </w:rPr>
              <w:t>100.00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34" w:type="dxa"/>
            <w:tcBorders>
              <w:top w:val="single" w:sz="4" w:space="0" w:color="000000"/>
              <w:left w:val="single" w:sz="4" w:space="0" w:color="000000"/>
              <w:bottom w:val="single" w:sz="4" w:space="0" w:color="000000"/>
            </w:tcBorders>
          </w:tcPr>
          <w:p>
            <w:pPr>
              <w:pStyle w:val="TableParagraph"/>
              <w:spacing w:before="2"/>
              <w:rPr>
                <w:sz w:val="20"/>
              </w:rPr>
            </w:pPr>
          </w:p>
          <w:p>
            <w:pPr>
              <w:pStyle w:val="TableParagraph"/>
              <w:ind w:left="111"/>
              <w:rPr>
                <w:rFonts w:ascii="宋体" w:eastAsia="宋体" w:hint="eastAsia"/>
                <w:sz w:val="18"/>
              </w:rPr>
            </w:pPr>
            <w:r>
              <w:rPr>
                <w:rFonts w:ascii="宋体" w:eastAsia="宋体" w:hint="eastAsia"/>
                <w:sz w:val="18"/>
              </w:rPr>
              <w:t>设立</w:t>
            </w:r>
          </w:p>
        </w:tc>
      </w:tr>
      <w:tr>
        <w:trPr>
          <w:trHeight w:val="700" w:hRule="atLeast"/>
        </w:trPr>
        <w:tc>
          <w:tcPr>
            <w:tcW w:w="1964" w:type="dxa"/>
            <w:tcBorders>
              <w:top w:val="single" w:sz="4" w:space="0" w:color="000000"/>
              <w:bottom w:val="single" w:sz="4" w:space="0" w:color="000000"/>
              <w:right w:val="single" w:sz="4" w:space="0" w:color="000000"/>
            </w:tcBorders>
          </w:tcPr>
          <w:p>
            <w:pPr>
              <w:pStyle w:val="TableParagraph"/>
              <w:spacing w:line="242" w:lineRule="auto" w:before="117"/>
              <w:ind w:left="104" w:right="217"/>
              <w:rPr>
                <w:rFonts w:ascii="宋体" w:eastAsia="宋体" w:hint="eastAsia"/>
                <w:sz w:val="18"/>
              </w:rPr>
            </w:pPr>
            <w:r>
              <w:rPr>
                <w:rFonts w:ascii="宋体" w:eastAsia="宋体" w:hint="eastAsia"/>
                <w:sz w:val="18"/>
              </w:rPr>
              <w:t>广东黑龙智能科技有限公司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2"/>
              <w:rPr>
                <w:sz w:val="20"/>
              </w:rPr>
            </w:pPr>
          </w:p>
          <w:p>
            <w:pPr>
              <w:pStyle w:val="TableParagraph"/>
              <w:ind w:left="141" w:right="118"/>
              <w:jc w:val="center"/>
              <w:rPr>
                <w:rFonts w:ascii="宋体" w:eastAsia="宋体" w:hint="eastAsia"/>
                <w:sz w:val="18"/>
              </w:rPr>
            </w:pPr>
            <w:r>
              <w:rPr>
                <w:rFonts w:ascii="宋体" w:eastAsia="宋体" w:hint="eastAsia"/>
                <w:sz w:val="18"/>
              </w:rPr>
              <w:t>广州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2"/>
              <w:rPr>
                <w:sz w:val="20"/>
              </w:rPr>
            </w:pPr>
          </w:p>
          <w:p>
            <w:pPr>
              <w:pStyle w:val="TableParagraph"/>
              <w:ind w:left="99" w:right="80"/>
              <w:jc w:val="center"/>
              <w:rPr>
                <w:rFonts w:ascii="宋体" w:eastAsia="宋体" w:hint="eastAsia"/>
                <w:sz w:val="18"/>
              </w:rPr>
            </w:pPr>
            <w:r>
              <w:rPr>
                <w:rFonts w:ascii="宋体" w:eastAsia="宋体" w:hint="eastAsia"/>
                <w:sz w:val="18"/>
              </w:rPr>
              <w:t>广州</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17"/>
              <w:ind w:left="115" w:right="173"/>
              <w:rPr>
                <w:rFonts w:ascii="宋体" w:eastAsia="宋体" w:hint="eastAsia"/>
                <w:sz w:val="18"/>
              </w:rPr>
            </w:pPr>
            <w:r>
              <w:rPr>
                <w:rFonts w:ascii="宋体" w:eastAsia="宋体" w:hint="eastAsia"/>
                <w:sz w:val="18"/>
              </w:rPr>
              <w:t>科学研究和技术服务业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rPr>
                <w:sz w:val="21"/>
              </w:rPr>
            </w:pPr>
          </w:p>
          <w:p>
            <w:pPr>
              <w:pStyle w:val="TableParagraph"/>
              <w:ind w:left="299"/>
              <w:rPr>
                <w:sz w:val="18"/>
              </w:rPr>
            </w:pPr>
            <w:r>
              <w:rPr>
                <w:sz w:val="18"/>
              </w:rPr>
              <w:t>76.72</w:t>
            </w:r>
          </w:p>
        </w:tc>
        <w:tc>
          <w:tcPr>
            <w:tcW w:w="934" w:type="dxa"/>
            <w:tcBorders>
              <w:top w:val="single" w:sz="4" w:space="0" w:color="000000"/>
              <w:left w:val="single" w:sz="4" w:space="0" w:color="000000"/>
              <w:bottom w:val="single" w:sz="4" w:space="0" w:color="000000"/>
            </w:tcBorders>
          </w:tcPr>
          <w:p>
            <w:pPr>
              <w:pStyle w:val="TableParagraph"/>
              <w:spacing w:line="242" w:lineRule="auto"/>
              <w:ind w:left="111" w:right="260"/>
              <w:rPr>
                <w:rFonts w:ascii="宋体" w:eastAsia="宋体" w:hint="eastAsia"/>
                <w:sz w:val="18"/>
              </w:rPr>
            </w:pPr>
            <w:r>
              <w:rPr>
                <w:rFonts w:ascii="宋体" w:eastAsia="宋体" w:hint="eastAsia"/>
                <w:sz w:val="18"/>
              </w:rPr>
              <w:t>非同一控制合</w:t>
            </w:r>
          </w:p>
          <w:p>
            <w:pPr>
              <w:pStyle w:val="TableParagraph"/>
              <w:spacing w:line="213" w:lineRule="exact" w:before="2"/>
              <w:ind w:left="111"/>
              <w:rPr>
                <w:rFonts w:ascii="宋体" w:eastAsia="宋体" w:hint="eastAsia"/>
                <w:sz w:val="18"/>
              </w:rPr>
            </w:pPr>
            <w:r>
              <w:rPr>
                <w:rFonts w:ascii="宋体" w:eastAsia="宋体" w:hint="eastAsia"/>
                <w:sz w:val="18"/>
              </w:rPr>
              <w:t>并</w:t>
            </w:r>
          </w:p>
        </w:tc>
      </w:tr>
      <w:tr>
        <w:trPr>
          <w:trHeight w:val="465" w:hRule="atLeast"/>
        </w:trPr>
        <w:tc>
          <w:tcPr>
            <w:tcW w:w="1964" w:type="dxa"/>
            <w:tcBorders>
              <w:top w:val="single" w:sz="4" w:space="0" w:color="000000"/>
              <w:bottom w:val="single" w:sz="4" w:space="0" w:color="000000"/>
              <w:right w:val="single" w:sz="4" w:space="0" w:color="000000"/>
            </w:tcBorders>
          </w:tcPr>
          <w:p>
            <w:pPr>
              <w:pStyle w:val="TableParagraph"/>
              <w:spacing w:line="230" w:lineRule="exact"/>
              <w:ind w:left="104"/>
              <w:rPr>
                <w:rFonts w:ascii="宋体" w:eastAsia="宋体" w:hint="eastAsia"/>
                <w:sz w:val="18"/>
              </w:rPr>
            </w:pPr>
            <w:r>
              <w:rPr>
                <w:rFonts w:ascii="宋体" w:eastAsia="宋体" w:hint="eastAsia"/>
                <w:sz w:val="18"/>
              </w:rPr>
              <w:t>北京海享汇科技有限</w:t>
            </w:r>
          </w:p>
          <w:p>
            <w:pPr>
              <w:pStyle w:val="TableParagraph"/>
              <w:spacing w:line="213" w:lineRule="exact" w:before="2"/>
              <w:ind w:left="104"/>
              <w:rPr>
                <w:rFonts w:ascii="宋体" w:eastAsia="宋体" w:hint="eastAsia"/>
                <w:sz w:val="18"/>
              </w:rPr>
            </w:pPr>
            <w:r>
              <w:rPr>
                <w:rFonts w:ascii="宋体" w:eastAsia="宋体" w:hint="eastAsia"/>
                <w:sz w:val="18"/>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17"/>
              <w:ind w:left="141" w:right="118"/>
              <w:jc w:val="center"/>
              <w:rPr>
                <w:rFonts w:ascii="宋体" w:eastAsia="宋体" w:hint="eastAsia"/>
                <w:sz w:val="18"/>
              </w:rPr>
            </w:pPr>
            <w:r>
              <w:rPr>
                <w:rFonts w:ascii="宋体" w:eastAsia="宋体" w:hint="eastAsia"/>
                <w:sz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7"/>
              <w:ind w:left="99" w:right="80"/>
              <w:jc w:val="center"/>
              <w:rPr>
                <w:rFonts w:ascii="宋体" w:eastAsia="宋体" w:hint="eastAsia"/>
                <w:sz w:val="18"/>
              </w:rPr>
            </w:pPr>
            <w:r>
              <w:rPr>
                <w:rFonts w:ascii="宋体" w:eastAsia="宋体" w:hint="eastAsia"/>
                <w:sz w:val="18"/>
              </w:rPr>
              <w:t>北京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5"/>
              <w:rPr>
                <w:rFonts w:ascii="宋体" w:eastAsia="宋体" w:hint="eastAsia"/>
                <w:sz w:val="18"/>
              </w:rPr>
            </w:pPr>
            <w:r>
              <w:rPr>
                <w:rFonts w:ascii="宋体" w:eastAsia="宋体" w:hint="eastAsia"/>
                <w:sz w:val="18"/>
              </w:rPr>
              <w:t>科学研究和技术</w:t>
            </w:r>
          </w:p>
          <w:p>
            <w:pPr>
              <w:pStyle w:val="TableParagraph"/>
              <w:spacing w:line="213" w:lineRule="exact" w:before="2"/>
              <w:ind w:left="115"/>
              <w:rPr>
                <w:rFonts w:ascii="宋体" w:eastAsia="宋体" w:hint="eastAsia"/>
                <w:sz w:val="18"/>
              </w:rPr>
            </w:pPr>
            <w:r>
              <w:rPr>
                <w:rFonts w:ascii="宋体" w:eastAsia="宋体" w:hint="eastAsia"/>
                <w:sz w:val="18"/>
              </w:rPr>
              <w:t>服务业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24"/>
              <w:ind w:left="253"/>
              <w:rPr>
                <w:sz w:val="18"/>
              </w:rPr>
            </w:pPr>
            <w:r>
              <w:rPr>
                <w:sz w:val="18"/>
              </w:rPr>
              <w:t>100.00</w:t>
            </w:r>
          </w:p>
        </w:tc>
        <w:tc>
          <w:tcPr>
            <w:tcW w:w="934" w:type="dxa"/>
            <w:tcBorders>
              <w:top w:val="single" w:sz="4" w:space="0" w:color="000000"/>
              <w:left w:val="single" w:sz="4" w:space="0" w:color="000000"/>
              <w:bottom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r>
        <w:trPr>
          <w:trHeight w:val="1401" w:hRule="atLeast"/>
        </w:trPr>
        <w:tc>
          <w:tcPr>
            <w:tcW w:w="1964" w:type="dxa"/>
            <w:tcBorders>
              <w:top w:val="single" w:sz="4" w:space="0" w:color="000000"/>
              <w:bottom w:val="single" w:sz="4" w:space="0" w:color="000000"/>
              <w:right w:val="single" w:sz="4" w:space="0" w:color="000000"/>
            </w:tcBorders>
          </w:tcPr>
          <w:p>
            <w:pPr>
              <w:pStyle w:val="TableParagraph"/>
              <w:rPr>
                <w:sz w:val="18"/>
              </w:rPr>
            </w:pPr>
          </w:p>
          <w:p>
            <w:pPr>
              <w:pStyle w:val="TableParagraph"/>
              <w:spacing w:before="8"/>
              <w:rPr>
                <w:sz w:val="22"/>
              </w:rPr>
            </w:pPr>
          </w:p>
          <w:p>
            <w:pPr>
              <w:pStyle w:val="TableParagraph"/>
              <w:spacing w:line="242" w:lineRule="auto"/>
              <w:ind w:left="104" w:right="217"/>
              <w:rPr>
                <w:rFonts w:ascii="宋体" w:eastAsia="宋体" w:hint="eastAsia"/>
                <w:sz w:val="18"/>
              </w:rPr>
            </w:pPr>
            <w:r>
              <w:rPr>
                <w:rFonts w:ascii="宋体" w:eastAsia="宋体" w:hint="eastAsia"/>
                <w:sz w:val="18"/>
              </w:rPr>
              <w:t>青岛海瑞洁净电子有限公司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spacing w:before="11"/>
              <w:rPr>
                <w:sz w:val="14"/>
              </w:rPr>
            </w:pPr>
          </w:p>
          <w:p>
            <w:pPr>
              <w:pStyle w:val="TableParagraph"/>
              <w:ind w:left="141" w:right="118"/>
              <w:jc w:val="center"/>
              <w:rPr>
                <w:rFonts w:ascii="宋体" w:eastAsia="宋体" w:hint="eastAsia"/>
                <w:sz w:val="18"/>
              </w:rPr>
            </w:pPr>
            <w:r>
              <w:rPr>
                <w:rFonts w:ascii="宋体" w:eastAsia="宋体" w:hint="eastAsia"/>
                <w:sz w:val="18"/>
              </w:rPr>
              <w:t>青岛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rPr>
                <w:sz w:val="18"/>
              </w:rPr>
            </w:pPr>
          </w:p>
          <w:p>
            <w:pPr>
              <w:pStyle w:val="TableParagraph"/>
              <w:spacing w:before="11"/>
              <w:rPr>
                <w:sz w:val="14"/>
              </w:rPr>
            </w:pPr>
          </w:p>
          <w:p>
            <w:pPr>
              <w:pStyle w:val="TableParagraph"/>
              <w:ind w:left="99" w:right="80"/>
              <w:jc w:val="center"/>
              <w:rPr>
                <w:rFonts w:ascii="宋体" w:eastAsia="宋体" w:hint="eastAsia"/>
                <w:sz w:val="18"/>
              </w:rPr>
            </w:pPr>
            <w:r>
              <w:rPr>
                <w:rFonts w:ascii="宋体" w:eastAsia="宋体" w:hint="eastAsia"/>
                <w:sz w:val="18"/>
              </w:rPr>
              <w:t>青岛</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
              <w:ind w:left="115"/>
              <w:rPr>
                <w:rFonts w:ascii="宋体" w:eastAsia="宋体" w:hint="eastAsia"/>
                <w:sz w:val="18"/>
              </w:rPr>
            </w:pPr>
            <w:r>
              <w:rPr>
                <w:rFonts w:ascii="宋体" w:eastAsia="宋体" w:hint="eastAsia"/>
                <w:sz w:val="18"/>
              </w:rPr>
              <w:t>仪器仪表的技术</w:t>
            </w:r>
            <w:r>
              <w:rPr>
                <w:rFonts w:ascii="宋体" w:eastAsia="宋体" w:hint="eastAsia"/>
                <w:spacing w:val="-5"/>
                <w:sz w:val="18"/>
              </w:rPr>
              <w:t>研究，电子设备、</w:t>
            </w:r>
            <w:r>
              <w:rPr>
                <w:rFonts w:ascii="宋体" w:eastAsia="宋体" w:hint="eastAsia"/>
                <w:sz w:val="18"/>
              </w:rPr>
              <w:t>半导体材料的技术研究、开发、转让、咨询及服</w:t>
            </w:r>
          </w:p>
          <w:p>
            <w:pPr>
              <w:pStyle w:val="TableParagraph"/>
              <w:spacing w:line="213" w:lineRule="exact" w:before="2"/>
              <w:ind w:left="115"/>
              <w:rPr>
                <w:rFonts w:ascii="宋体" w:eastAsia="宋体" w:hint="eastAsia"/>
                <w:sz w:val="18"/>
              </w:rPr>
            </w:pPr>
            <w:r>
              <w:rPr>
                <w:rFonts w:ascii="宋体" w:eastAsia="宋体" w:hint="eastAsia"/>
                <w:sz w:val="18"/>
              </w:rPr>
              <w:t>务等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rPr>
                <w:sz w:val="20"/>
              </w:rPr>
            </w:pPr>
          </w:p>
          <w:p>
            <w:pPr>
              <w:pStyle w:val="TableParagraph"/>
              <w:rPr>
                <w:sz w:val="20"/>
              </w:rPr>
            </w:pPr>
          </w:p>
          <w:p>
            <w:pPr>
              <w:pStyle w:val="TableParagraph"/>
              <w:spacing w:before="133"/>
              <w:ind w:left="299"/>
              <w:rPr>
                <w:sz w:val="18"/>
              </w:rPr>
            </w:pPr>
            <w:r>
              <w:rPr>
                <w:sz w:val="18"/>
              </w:rPr>
              <w:t>51.00</w:t>
            </w:r>
          </w:p>
        </w:tc>
        <w:tc>
          <w:tcPr>
            <w:tcW w:w="934" w:type="dxa"/>
            <w:tcBorders>
              <w:top w:val="single" w:sz="4" w:space="0" w:color="000000"/>
              <w:left w:val="single" w:sz="4" w:space="0" w:color="000000"/>
              <w:bottom w:val="single" w:sz="4" w:space="0" w:color="000000"/>
            </w:tcBorders>
          </w:tcPr>
          <w:p>
            <w:pPr>
              <w:pStyle w:val="TableParagraph"/>
              <w:rPr>
                <w:sz w:val="18"/>
              </w:rPr>
            </w:pPr>
          </w:p>
          <w:p>
            <w:pPr>
              <w:pStyle w:val="TableParagraph"/>
              <w:spacing w:line="242" w:lineRule="auto" w:before="146"/>
              <w:ind w:left="111" w:right="260"/>
              <w:jc w:val="both"/>
              <w:rPr>
                <w:rFonts w:ascii="宋体" w:eastAsia="宋体" w:hint="eastAsia"/>
                <w:sz w:val="18"/>
              </w:rPr>
            </w:pPr>
            <w:r>
              <w:rPr>
                <w:rFonts w:ascii="宋体" w:eastAsia="宋体" w:hint="eastAsia"/>
                <w:sz w:val="18"/>
              </w:rPr>
              <w:t>非同一控制合并</w:t>
            </w:r>
          </w:p>
        </w:tc>
      </w:tr>
      <w:tr>
        <w:trPr>
          <w:trHeight w:val="700" w:hRule="atLeast"/>
        </w:trPr>
        <w:tc>
          <w:tcPr>
            <w:tcW w:w="1964" w:type="dxa"/>
            <w:tcBorders>
              <w:top w:val="single" w:sz="4" w:space="0" w:color="000000"/>
              <w:bottom w:val="single" w:sz="4" w:space="0" w:color="000000"/>
              <w:right w:val="single" w:sz="4" w:space="0" w:color="000000"/>
            </w:tcBorders>
          </w:tcPr>
          <w:p>
            <w:pPr>
              <w:pStyle w:val="TableParagraph"/>
              <w:spacing w:line="242" w:lineRule="auto" w:before="117"/>
              <w:ind w:left="104" w:right="217"/>
              <w:rPr>
                <w:rFonts w:ascii="宋体" w:eastAsia="宋体" w:hint="eastAsia"/>
                <w:sz w:val="18"/>
              </w:rPr>
            </w:pPr>
            <w:r>
              <w:rPr>
                <w:rFonts w:ascii="宋体" w:eastAsia="宋体" w:hint="eastAsia"/>
                <w:sz w:val="18"/>
              </w:rPr>
              <w:t>海尔智家体验云生态科技有限公司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5"/>
              <w:rPr>
                <w:sz w:val="20"/>
              </w:rPr>
            </w:pPr>
          </w:p>
          <w:p>
            <w:pPr>
              <w:pStyle w:val="TableParagraph"/>
              <w:ind w:left="141" w:right="118"/>
              <w:jc w:val="center"/>
              <w:rPr>
                <w:rFonts w:ascii="宋体" w:eastAsia="宋体" w:hint="eastAsia"/>
                <w:sz w:val="18"/>
              </w:rPr>
            </w:pPr>
            <w:r>
              <w:rPr>
                <w:rFonts w:ascii="宋体" w:eastAsia="宋体" w:hint="eastAsia"/>
                <w:sz w:val="18"/>
              </w:rPr>
              <w:t>青岛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5"/>
              <w:rPr>
                <w:sz w:val="20"/>
              </w:rPr>
            </w:pPr>
          </w:p>
          <w:p>
            <w:pPr>
              <w:pStyle w:val="TableParagraph"/>
              <w:ind w:left="99" w:right="80"/>
              <w:jc w:val="center"/>
              <w:rPr>
                <w:rFonts w:ascii="宋体" w:eastAsia="宋体" w:hint="eastAsia"/>
                <w:sz w:val="18"/>
              </w:rPr>
            </w:pPr>
            <w:r>
              <w:rPr>
                <w:rFonts w:ascii="宋体" w:eastAsia="宋体" w:hint="eastAsia"/>
                <w:sz w:val="18"/>
              </w:rPr>
              <w:t>青岛</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ind w:left="115"/>
              <w:rPr>
                <w:rFonts w:ascii="宋体" w:eastAsia="宋体" w:hint="eastAsia"/>
                <w:sz w:val="18"/>
              </w:rPr>
            </w:pPr>
            <w:r>
              <w:rPr>
                <w:rFonts w:ascii="宋体" w:eastAsia="宋体" w:hint="eastAsia"/>
                <w:sz w:val="18"/>
              </w:rPr>
              <w:t>智能家居产品的</w:t>
            </w:r>
          </w:p>
          <w:p>
            <w:pPr>
              <w:pStyle w:val="TableParagraph"/>
              <w:spacing w:line="230" w:lineRule="atLeast" w:before="4"/>
              <w:ind w:left="115" w:right="173"/>
              <w:rPr>
                <w:rFonts w:ascii="宋体" w:eastAsia="宋体" w:hint="eastAsia"/>
                <w:sz w:val="18"/>
              </w:rPr>
            </w:pPr>
            <w:r>
              <w:rPr>
                <w:rFonts w:ascii="宋体" w:eastAsia="宋体" w:hint="eastAsia"/>
                <w:sz w:val="18"/>
              </w:rPr>
              <w:t>技术开发、全屋家居定制等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21"/>
              </w:rPr>
            </w:pPr>
          </w:p>
          <w:p>
            <w:pPr>
              <w:pStyle w:val="TableParagraph"/>
              <w:ind w:left="99" w:right="77"/>
              <w:jc w:val="center"/>
              <w:rPr>
                <w:sz w:val="18"/>
              </w:rPr>
            </w:pPr>
            <w:r>
              <w:rPr>
                <w:sz w:val="18"/>
              </w:rPr>
              <w:t>100.00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34" w:type="dxa"/>
            <w:tcBorders>
              <w:top w:val="single" w:sz="4" w:space="0" w:color="000000"/>
              <w:left w:val="single" w:sz="4" w:space="0" w:color="000000"/>
              <w:bottom w:val="single" w:sz="4" w:space="0" w:color="000000"/>
            </w:tcBorders>
          </w:tcPr>
          <w:p>
            <w:pPr>
              <w:pStyle w:val="TableParagraph"/>
              <w:spacing w:before="5"/>
              <w:rPr>
                <w:sz w:val="20"/>
              </w:rPr>
            </w:pPr>
          </w:p>
          <w:p>
            <w:pPr>
              <w:pStyle w:val="TableParagraph"/>
              <w:ind w:left="111"/>
              <w:rPr>
                <w:rFonts w:ascii="宋体" w:eastAsia="宋体" w:hint="eastAsia"/>
                <w:sz w:val="18"/>
              </w:rPr>
            </w:pPr>
            <w:r>
              <w:rPr>
                <w:rFonts w:ascii="宋体" w:eastAsia="宋体" w:hint="eastAsia"/>
                <w:sz w:val="18"/>
              </w:rPr>
              <w:t>设立</w:t>
            </w:r>
          </w:p>
        </w:tc>
      </w:tr>
      <w:tr>
        <w:trPr>
          <w:trHeight w:val="467" w:hRule="atLeast"/>
        </w:trPr>
        <w:tc>
          <w:tcPr>
            <w:tcW w:w="1964" w:type="dxa"/>
            <w:tcBorders>
              <w:top w:val="single" w:sz="4" w:space="0" w:color="000000"/>
              <w:bottom w:val="single" w:sz="4" w:space="0" w:color="000000"/>
              <w:right w:val="single" w:sz="4" w:space="0" w:color="000000"/>
            </w:tcBorders>
          </w:tcPr>
          <w:p>
            <w:pPr>
              <w:pStyle w:val="TableParagraph"/>
              <w:ind w:left="104"/>
              <w:rPr>
                <w:rFonts w:ascii="宋体" w:eastAsia="宋体" w:hint="eastAsia"/>
                <w:sz w:val="18"/>
              </w:rPr>
            </w:pPr>
            <w:r>
              <w:rPr>
                <w:rFonts w:ascii="宋体" w:eastAsia="宋体" w:hint="eastAsia"/>
                <w:sz w:val="18"/>
              </w:rPr>
              <w:t>海尔智家（青岛）网络</w:t>
            </w:r>
          </w:p>
          <w:p>
            <w:pPr>
              <w:pStyle w:val="TableParagraph"/>
              <w:spacing w:line="213" w:lineRule="exact" w:before="4"/>
              <w:ind w:left="104"/>
              <w:rPr>
                <w:rFonts w:ascii="宋体" w:eastAsia="宋体" w:hint="eastAsia"/>
                <w:sz w:val="18"/>
              </w:rPr>
            </w:pPr>
            <w:r>
              <w:rPr>
                <w:rFonts w:ascii="宋体" w:eastAsia="宋体" w:hint="eastAsia"/>
                <w:sz w:val="18"/>
              </w:rPr>
              <w:t>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17"/>
              <w:ind w:left="141" w:right="118"/>
              <w:jc w:val="center"/>
              <w:rPr>
                <w:rFonts w:ascii="宋体" w:eastAsia="宋体" w:hint="eastAsia"/>
                <w:sz w:val="18"/>
              </w:rPr>
            </w:pPr>
            <w:r>
              <w:rPr>
                <w:rFonts w:ascii="宋体" w:eastAsia="宋体" w:hint="eastAsia"/>
                <w:sz w:val="18"/>
              </w:rPr>
              <w:t>青岛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7"/>
              <w:ind w:left="99" w:right="80"/>
              <w:jc w:val="center"/>
              <w:rPr>
                <w:rFonts w:ascii="宋体" w:eastAsia="宋体" w:hint="eastAsia"/>
                <w:sz w:val="18"/>
              </w:rPr>
            </w:pPr>
            <w:r>
              <w:rPr>
                <w:rFonts w:ascii="宋体" w:eastAsia="宋体" w:hint="eastAsia"/>
                <w:sz w:val="18"/>
              </w:rPr>
              <w:t>青岛</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ind w:left="115"/>
              <w:rPr>
                <w:rFonts w:ascii="宋体" w:eastAsia="宋体" w:hint="eastAsia"/>
                <w:sz w:val="18"/>
              </w:rPr>
            </w:pPr>
            <w:r>
              <w:rPr>
                <w:rFonts w:ascii="宋体" w:eastAsia="宋体" w:hint="eastAsia"/>
                <w:spacing w:val="-4"/>
                <w:sz w:val="18"/>
              </w:rPr>
              <w:t>技术服务、开发、</w:t>
            </w:r>
          </w:p>
          <w:p>
            <w:pPr>
              <w:pStyle w:val="TableParagraph"/>
              <w:spacing w:line="213" w:lineRule="exact" w:before="4"/>
              <w:ind w:left="115"/>
              <w:rPr>
                <w:rFonts w:ascii="宋体" w:eastAsia="宋体" w:hint="eastAsia"/>
                <w:sz w:val="18"/>
              </w:rPr>
            </w:pPr>
            <w:r>
              <w:rPr>
                <w:rFonts w:ascii="宋体" w:eastAsia="宋体" w:hint="eastAsia"/>
                <w:sz w:val="18"/>
              </w:rPr>
              <w:t>咨询、转让等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27"/>
              <w:ind w:left="253"/>
              <w:rPr>
                <w:sz w:val="18"/>
              </w:rPr>
            </w:pPr>
            <w:r>
              <w:rPr>
                <w:sz w:val="18"/>
              </w:rPr>
              <w:t>100.00</w:t>
            </w:r>
          </w:p>
        </w:tc>
        <w:tc>
          <w:tcPr>
            <w:tcW w:w="934" w:type="dxa"/>
            <w:tcBorders>
              <w:top w:val="single" w:sz="4" w:space="0" w:color="000000"/>
              <w:left w:val="single" w:sz="4" w:space="0" w:color="000000"/>
              <w:bottom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r>
        <w:trPr>
          <w:trHeight w:val="933" w:hRule="atLeast"/>
        </w:trPr>
        <w:tc>
          <w:tcPr>
            <w:tcW w:w="1964" w:type="dxa"/>
            <w:tcBorders>
              <w:top w:val="single" w:sz="4" w:space="0" w:color="000000"/>
              <w:bottom w:val="single" w:sz="4" w:space="0" w:color="000000"/>
              <w:right w:val="single" w:sz="4" w:space="0" w:color="000000"/>
            </w:tcBorders>
          </w:tcPr>
          <w:p>
            <w:pPr>
              <w:pStyle w:val="TableParagraph"/>
              <w:spacing w:before="2"/>
              <w:rPr>
                <w:sz w:val="20"/>
              </w:rPr>
            </w:pPr>
          </w:p>
          <w:p>
            <w:pPr>
              <w:pStyle w:val="TableParagraph"/>
              <w:spacing w:line="244" w:lineRule="auto"/>
              <w:ind w:left="104" w:right="25"/>
              <w:rPr>
                <w:rFonts w:ascii="宋体" w:eastAsia="宋体" w:hint="eastAsia"/>
                <w:sz w:val="18"/>
              </w:rPr>
            </w:pPr>
            <w:r>
              <w:rPr>
                <w:rFonts w:ascii="宋体" w:eastAsia="宋体" w:hint="eastAsia"/>
                <w:sz w:val="18"/>
              </w:rPr>
              <w:t>海尔智家（青岛）网络运营有限公司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spacing w:before="143"/>
              <w:ind w:left="141" w:right="118"/>
              <w:jc w:val="center"/>
              <w:rPr>
                <w:rFonts w:ascii="宋体" w:eastAsia="宋体" w:hint="eastAsia"/>
                <w:sz w:val="18"/>
              </w:rPr>
            </w:pPr>
            <w:r>
              <w:rPr>
                <w:rFonts w:ascii="宋体" w:eastAsia="宋体" w:hint="eastAsia"/>
                <w:sz w:val="18"/>
              </w:rPr>
              <w:t>青岛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spacing w:before="143"/>
              <w:ind w:left="99" w:right="80"/>
              <w:jc w:val="center"/>
              <w:rPr>
                <w:rFonts w:ascii="宋体" w:eastAsia="宋体" w:hint="eastAsia"/>
                <w:sz w:val="18"/>
              </w:rPr>
            </w:pPr>
            <w:r>
              <w:rPr>
                <w:rFonts w:ascii="宋体" w:eastAsia="宋体" w:hint="eastAsia"/>
                <w:sz w:val="18"/>
              </w:rPr>
              <w:t>青岛</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ind w:left="115" w:right="173"/>
              <w:jc w:val="both"/>
              <w:rPr>
                <w:rFonts w:ascii="宋体" w:eastAsia="宋体" w:hint="eastAsia"/>
                <w:sz w:val="18"/>
              </w:rPr>
            </w:pPr>
            <w:r>
              <w:rPr>
                <w:rFonts w:ascii="宋体" w:eastAsia="宋体" w:hint="eastAsia"/>
                <w:sz w:val="18"/>
              </w:rPr>
              <w:t>住宅室内装饰装修、施工专业作业、特种设备安</w:t>
            </w:r>
          </w:p>
          <w:p>
            <w:pPr>
              <w:pStyle w:val="TableParagraph"/>
              <w:spacing w:line="213" w:lineRule="exact" w:before="2"/>
              <w:ind w:left="115"/>
              <w:rPr>
                <w:rFonts w:ascii="宋体" w:eastAsia="宋体" w:hint="eastAsia"/>
                <w:sz w:val="18"/>
              </w:rPr>
            </w:pPr>
            <w:r>
              <w:rPr>
                <w:rFonts w:ascii="宋体" w:eastAsia="宋体" w:hint="eastAsia"/>
                <w:sz w:val="18"/>
              </w:rPr>
              <w:t>装改造修理等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rPr>
                <w:sz w:val="20"/>
              </w:rPr>
            </w:pPr>
          </w:p>
          <w:p>
            <w:pPr>
              <w:pStyle w:val="TableParagraph"/>
              <w:spacing w:before="127"/>
              <w:ind w:left="253"/>
              <w:rPr>
                <w:sz w:val="18"/>
              </w:rPr>
            </w:pPr>
            <w:r>
              <w:rPr>
                <w:sz w:val="18"/>
              </w:rPr>
              <w:t>100.00</w:t>
            </w:r>
          </w:p>
        </w:tc>
        <w:tc>
          <w:tcPr>
            <w:tcW w:w="934" w:type="dxa"/>
            <w:tcBorders>
              <w:top w:val="single" w:sz="4" w:space="0" w:color="000000"/>
              <w:left w:val="single" w:sz="4" w:space="0" w:color="000000"/>
              <w:bottom w:val="single" w:sz="4" w:space="0" w:color="000000"/>
            </w:tcBorders>
          </w:tcPr>
          <w:p>
            <w:pPr>
              <w:pStyle w:val="TableParagraph"/>
              <w:rPr>
                <w:sz w:val="18"/>
              </w:rPr>
            </w:pPr>
          </w:p>
          <w:p>
            <w:pPr>
              <w:pStyle w:val="TableParagraph"/>
              <w:spacing w:before="143"/>
              <w:ind w:left="111"/>
              <w:rPr>
                <w:rFonts w:ascii="宋体" w:eastAsia="宋体" w:hint="eastAsia"/>
                <w:sz w:val="18"/>
              </w:rPr>
            </w:pPr>
            <w:r>
              <w:rPr>
                <w:rFonts w:ascii="宋体" w:eastAsia="宋体" w:hint="eastAsia"/>
                <w:sz w:val="18"/>
              </w:rPr>
              <w:t>设立</w:t>
            </w:r>
          </w:p>
        </w:tc>
      </w:tr>
      <w:tr>
        <w:trPr>
          <w:trHeight w:val="933" w:hRule="atLeast"/>
        </w:trPr>
        <w:tc>
          <w:tcPr>
            <w:tcW w:w="1964" w:type="dxa"/>
            <w:tcBorders>
              <w:top w:val="single" w:sz="4" w:space="0" w:color="000000"/>
              <w:bottom w:val="single" w:sz="4" w:space="0" w:color="000000"/>
              <w:right w:val="single" w:sz="4" w:space="0" w:color="000000"/>
            </w:tcBorders>
          </w:tcPr>
          <w:p>
            <w:pPr>
              <w:pStyle w:val="TableParagraph"/>
              <w:spacing w:before="5"/>
              <w:rPr>
                <w:sz w:val="20"/>
              </w:rPr>
            </w:pPr>
          </w:p>
          <w:p>
            <w:pPr>
              <w:pStyle w:val="TableParagraph"/>
              <w:spacing w:line="242" w:lineRule="auto"/>
              <w:ind w:left="104" w:right="217"/>
              <w:rPr>
                <w:rFonts w:ascii="宋体" w:eastAsia="宋体" w:hint="eastAsia"/>
                <w:sz w:val="18"/>
              </w:rPr>
            </w:pPr>
            <w:r>
              <w:rPr>
                <w:rFonts w:ascii="宋体" w:eastAsia="宋体" w:hint="eastAsia"/>
                <w:sz w:val="18"/>
              </w:rPr>
              <w:t>青岛酒联网物联科技有限公司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spacing w:before="143"/>
              <w:ind w:left="141" w:right="118"/>
              <w:jc w:val="center"/>
              <w:rPr>
                <w:rFonts w:ascii="宋体" w:eastAsia="宋体" w:hint="eastAsia"/>
                <w:sz w:val="18"/>
              </w:rPr>
            </w:pPr>
            <w:r>
              <w:rPr>
                <w:rFonts w:ascii="宋体" w:eastAsia="宋体" w:hint="eastAsia"/>
                <w:sz w:val="18"/>
              </w:rPr>
              <w:t>青岛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spacing w:before="143"/>
              <w:ind w:left="99" w:right="80"/>
              <w:jc w:val="center"/>
              <w:rPr>
                <w:rFonts w:ascii="宋体" w:eastAsia="宋体" w:hint="eastAsia"/>
                <w:sz w:val="18"/>
              </w:rPr>
            </w:pPr>
            <w:r>
              <w:rPr>
                <w:rFonts w:ascii="宋体" w:eastAsia="宋体" w:hint="eastAsia"/>
                <w:sz w:val="18"/>
              </w:rPr>
              <w:t>青岛</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115"/>
              <w:rPr>
                <w:rFonts w:ascii="宋体" w:eastAsia="宋体" w:hint="eastAsia"/>
                <w:sz w:val="18"/>
              </w:rPr>
            </w:pPr>
            <w:r>
              <w:rPr>
                <w:rFonts w:ascii="宋体" w:eastAsia="宋体" w:hint="eastAsia"/>
                <w:sz w:val="18"/>
              </w:rPr>
              <w:t>城市配送运输服</w:t>
            </w:r>
            <w:r>
              <w:rPr>
                <w:rFonts w:ascii="宋体" w:eastAsia="宋体" w:hint="eastAsia"/>
                <w:spacing w:val="-5"/>
                <w:sz w:val="18"/>
              </w:rPr>
              <w:t>务、货物进出口、</w:t>
            </w:r>
            <w:r>
              <w:rPr>
                <w:rFonts w:ascii="宋体" w:eastAsia="宋体" w:hint="eastAsia"/>
                <w:sz w:val="18"/>
              </w:rPr>
              <w:t>技术进出口、食</w:t>
            </w:r>
          </w:p>
          <w:p>
            <w:pPr>
              <w:pStyle w:val="TableParagraph"/>
              <w:spacing w:line="208" w:lineRule="exact"/>
              <w:ind w:left="115"/>
              <w:rPr>
                <w:rFonts w:ascii="宋体" w:eastAsia="宋体" w:hint="eastAsia"/>
                <w:sz w:val="18"/>
              </w:rPr>
            </w:pPr>
            <w:r>
              <w:rPr>
                <w:rFonts w:ascii="宋体" w:eastAsia="宋体" w:hint="eastAsia"/>
                <w:sz w:val="18"/>
              </w:rPr>
              <w:t>品经营等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rPr>
                <w:sz w:val="20"/>
              </w:rPr>
            </w:pPr>
          </w:p>
          <w:p>
            <w:pPr>
              <w:pStyle w:val="TableParagraph"/>
              <w:spacing w:before="130"/>
              <w:ind w:left="253"/>
              <w:rPr>
                <w:sz w:val="18"/>
              </w:rPr>
            </w:pPr>
            <w:r>
              <w:rPr>
                <w:sz w:val="18"/>
              </w:rPr>
              <w:t>100.00</w:t>
            </w:r>
          </w:p>
        </w:tc>
        <w:tc>
          <w:tcPr>
            <w:tcW w:w="934" w:type="dxa"/>
            <w:tcBorders>
              <w:top w:val="single" w:sz="4" w:space="0" w:color="000000"/>
              <w:left w:val="single" w:sz="4" w:space="0" w:color="000000"/>
              <w:bottom w:val="single" w:sz="4" w:space="0" w:color="000000"/>
            </w:tcBorders>
          </w:tcPr>
          <w:p>
            <w:pPr>
              <w:pStyle w:val="TableParagraph"/>
              <w:rPr>
                <w:sz w:val="18"/>
              </w:rPr>
            </w:pPr>
          </w:p>
          <w:p>
            <w:pPr>
              <w:pStyle w:val="TableParagraph"/>
              <w:spacing w:before="143"/>
              <w:ind w:left="111"/>
              <w:rPr>
                <w:rFonts w:ascii="宋体" w:eastAsia="宋体" w:hint="eastAsia"/>
                <w:sz w:val="18"/>
              </w:rPr>
            </w:pPr>
            <w:r>
              <w:rPr>
                <w:rFonts w:ascii="宋体" w:eastAsia="宋体" w:hint="eastAsia"/>
                <w:sz w:val="18"/>
              </w:rPr>
              <w:t>设立</w:t>
            </w:r>
          </w:p>
        </w:tc>
      </w:tr>
      <w:tr>
        <w:trPr>
          <w:trHeight w:val="467" w:hRule="atLeast"/>
        </w:trPr>
        <w:tc>
          <w:tcPr>
            <w:tcW w:w="1964" w:type="dxa"/>
            <w:tcBorders>
              <w:top w:val="single" w:sz="4" w:space="0" w:color="000000"/>
              <w:bottom w:val="single" w:sz="4" w:space="0" w:color="000000"/>
              <w:right w:val="single" w:sz="4" w:space="0" w:color="000000"/>
            </w:tcBorders>
          </w:tcPr>
          <w:p>
            <w:pPr>
              <w:pStyle w:val="TableParagraph"/>
              <w:spacing w:line="230" w:lineRule="atLeast" w:before="2"/>
              <w:ind w:left="104" w:right="217"/>
              <w:rPr>
                <w:rFonts w:ascii="宋体" w:eastAsia="宋体" w:hint="eastAsia"/>
                <w:sz w:val="18"/>
              </w:rPr>
            </w:pPr>
            <w:r>
              <w:rPr>
                <w:rFonts w:ascii="宋体" w:eastAsia="宋体" w:hint="eastAsia"/>
                <w:sz w:val="18"/>
              </w:rPr>
              <w:t>青岛菱海空调设备有限公司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17"/>
              <w:ind w:left="141" w:right="118"/>
              <w:jc w:val="center"/>
              <w:rPr>
                <w:rFonts w:ascii="宋体" w:eastAsia="宋体" w:hint="eastAsia"/>
                <w:sz w:val="18"/>
              </w:rPr>
            </w:pPr>
            <w:r>
              <w:rPr>
                <w:rFonts w:ascii="宋体" w:eastAsia="宋体" w:hint="eastAsia"/>
                <w:sz w:val="18"/>
              </w:rPr>
              <w:t>青岛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7"/>
              <w:ind w:left="99" w:right="80"/>
              <w:jc w:val="center"/>
              <w:rPr>
                <w:rFonts w:ascii="宋体" w:eastAsia="宋体" w:hint="eastAsia"/>
                <w:sz w:val="18"/>
              </w:rPr>
            </w:pPr>
            <w:r>
              <w:rPr>
                <w:rFonts w:ascii="宋体" w:eastAsia="宋体" w:hint="eastAsia"/>
                <w:sz w:val="18"/>
              </w:rPr>
              <w:t>青岛</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2"/>
              <w:ind w:left="115" w:right="173"/>
              <w:rPr>
                <w:rFonts w:ascii="宋体" w:eastAsia="宋体" w:hint="eastAsia"/>
                <w:sz w:val="18"/>
              </w:rPr>
            </w:pPr>
            <w:r>
              <w:rPr>
                <w:rFonts w:ascii="宋体" w:eastAsia="宋体" w:hint="eastAsia"/>
                <w:sz w:val="18"/>
              </w:rPr>
              <w:t>空调器、制冷设备的生产销售等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27"/>
              <w:ind w:left="253"/>
              <w:rPr>
                <w:sz w:val="18"/>
              </w:rPr>
            </w:pPr>
            <w:r>
              <w:rPr>
                <w:sz w:val="18"/>
              </w:rPr>
              <w:t>100.00</w:t>
            </w:r>
          </w:p>
        </w:tc>
        <w:tc>
          <w:tcPr>
            <w:tcW w:w="934" w:type="dxa"/>
            <w:tcBorders>
              <w:top w:val="single" w:sz="4" w:space="0" w:color="000000"/>
              <w:left w:val="single" w:sz="4" w:space="0" w:color="000000"/>
              <w:bottom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r>
        <w:trPr>
          <w:trHeight w:val="933" w:hRule="atLeast"/>
        </w:trPr>
        <w:tc>
          <w:tcPr>
            <w:tcW w:w="1964" w:type="dxa"/>
            <w:tcBorders>
              <w:top w:val="single" w:sz="4" w:space="0" w:color="000000"/>
              <w:bottom w:val="single" w:sz="4" w:space="0" w:color="000000"/>
              <w:right w:val="single" w:sz="4" w:space="0" w:color="000000"/>
            </w:tcBorders>
          </w:tcPr>
          <w:p>
            <w:pPr>
              <w:pStyle w:val="TableParagraph"/>
              <w:spacing w:before="2"/>
              <w:rPr>
                <w:sz w:val="20"/>
              </w:rPr>
            </w:pPr>
          </w:p>
          <w:p>
            <w:pPr>
              <w:pStyle w:val="TableParagraph"/>
              <w:spacing w:line="244" w:lineRule="auto"/>
              <w:ind w:left="104" w:right="217"/>
              <w:rPr>
                <w:rFonts w:ascii="宋体" w:eastAsia="宋体" w:hint="eastAsia"/>
                <w:sz w:val="18"/>
              </w:rPr>
            </w:pPr>
            <w:r>
              <w:rPr>
                <w:rFonts w:ascii="宋体" w:eastAsia="宋体" w:hint="eastAsia"/>
                <w:sz w:val="18"/>
              </w:rPr>
              <w:t>重庆云裳衣联科技有限公司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spacing w:before="143"/>
              <w:ind w:left="141" w:right="118"/>
              <w:jc w:val="center"/>
              <w:rPr>
                <w:rFonts w:ascii="宋体" w:eastAsia="宋体" w:hint="eastAsia"/>
                <w:sz w:val="18"/>
              </w:rPr>
            </w:pPr>
            <w:r>
              <w:rPr>
                <w:rFonts w:ascii="宋体" w:eastAsia="宋体" w:hint="eastAsia"/>
                <w:sz w:val="18"/>
              </w:rPr>
              <w:t>重庆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spacing w:before="143"/>
              <w:ind w:left="99" w:right="80"/>
              <w:jc w:val="center"/>
              <w:rPr>
                <w:rFonts w:ascii="宋体" w:eastAsia="宋体" w:hint="eastAsia"/>
                <w:sz w:val="18"/>
              </w:rPr>
            </w:pPr>
            <w:r>
              <w:rPr>
                <w:rFonts w:ascii="宋体" w:eastAsia="宋体" w:hint="eastAsia"/>
                <w:sz w:val="18"/>
              </w:rPr>
              <w:t>重庆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ind w:left="115" w:right="173"/>
              <w:jc w:val="both"/>
              <w:rPr>
                <w:rFonts w:ascii="宋体" w:eastAsia="宋体" w:hint="eastAsia"/>
                <w:sz w:val="18"/>
              </w:rPr>
            </w:pPr>
            <w:r>
              <w:rPr>
                <w:rFonts w:ascii="宋体" w:eastAsia="宋体" w:hint="eastAsia"/>
                <w:sz w:val="18"/>
              </w:rPr>
              <w:t>食品经营、货物进出口、技术进出口、互联网信</w:t>
            </w:r>
          </w:p>
          <w:p>
            <w:pPr>
              <w:pStyle w:val="TableParagraph"/>
              <w:spacing w:line="213" w:lineRule="exact" w:before="2"/>
              <w:ind w:left="115"/>
              <w:rPr>
                <w:rFonts w:ascii="宋体" w:eastAsia="宋体" w:hint="eastAsia"/>
                <w:sz w:val="18"/>
              </w:rPr>
            </w:pPr>
            <w:r>
              <w:rPr>
                <w:rFonts w:ascii="宋体" w:eastAsia="宋体" w:hint="eastAsia"/>
                <w:sz w:val="18"/>
              </w:rPr>
              <w:t>息服务等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rPr>
                <w:sz w:val="20"/>
              </w:rPr>
            </w:pPr>
          </w:p>
          <w:p>
            <w:pPr>
              <w:pStyle w:val="TableParagraph"/>
              <w:spacing w:before="129"/>
              <w:ind w:left="253"/>
              <w:rPr>
                <w:sz w:val="18"/>
              </w:rPr>
            </w:pPr>
            <w:r>
              <w:rPr>
                <w:sz w:val="18"/>
              </w:rPr>
              <w:t>100.00</w:t>
            </w:r>
          </w:p>
        </w:tc>
        <w:tc>
          <w:tcPr>
            <w:tcW w:w="934" w:type="dxa"/>
            <w:tcBorders>
              <w:top w:val="single" w:sz="4" w:space="0" w:color="000000"/>
              <w:left w:val="single" w:sz="4" w:space="0" w:color="000000"/>
              <w:bottom w:val="single" w:sz="4" w:space="0" w:color="000000"/>
            </w:tcBorders>
          </w:tcPr>
          <w:p>
            <w:pPr>
              <w:pStyle w:val="TableParagraph"/>
              <w:rPr>
                <w:sz w:val="18"/>
              </w:rPr>
            </w:pPr>
          </w:p>
          <w:p>
            <w:pPr>
              <w:pStyle w:val="TableParagraph"/>
              <w:spacing w:before="143"/>
              <w:ind w:left="111"/>
              <w:rPr>
                <w:rFonts w:ascii="宋体" w:eastAsia="宋体" w:hint="eastAsia"/>
                <w:sz w:val="18"/>
              </w:rPr>
            </w:pPr>
            <w:r>
              <w:rPr>
                <w:rFonts w:ascii="宋体" w:eastAsia="宋体" w:hint="eastAsia"/>
                <w:sz w:val="18"/>
              </w:rPr>
              <w:t>设立</w:t>
            </w:r>
          </w:p>
        </w:tc>
      </w:tr>
      <w:tr>
        <w:trPr>
          <w:trHeight w:val="1168" w:hRule="atLeast"/>
        </w:trPr>
        <w:tc>
          <w:tcPr>
            <w:tcW w:w="1964" w:type="dxa"/>
            <w:tcBorders>
              <w:top w:val="single" w:sz="4" w:space="0" w:color="000000"/>
              <w:bottom w:val="single" w:sz="4" w:space="0" w:color="000000"/>
              <w:right w:val="single" w:sz="4" w:space="0" w:color="000000"/>
            </w:tcBorders>
          </w:tcPr>
          <w:p>
            <w:pPr>
              <w:pStyle w:val="TableParagraph"/>
              <w:rPr>
                <w:sz w:val="18"/>
              </w:rPr>
            </w:pPr>
          </w:p>
          <w:p>
            <w:pPr>
              <w:pStyle w:val="TableParagraph"/>
              <w:spacing w:line="244" w:lineRule="auto" w:before="143"/>
              <w:ind w:left="104" w:right="217"/>
              <w:rPr>
                <w:rFonts w:ascii="宋体" w:eastAsia="宋体" w:hint="eastAsia"/>
                <w:sz w:val="18"/>
              </w:rPr>
            </w:pPr>
            <w:r>
              <w:rPr>
                <w:rFonts w:ascii="宋体" w:eastAsia="宋体" w:hint="eastAsia"/>
                <w:sz w:val="18"/>
              </w:rPr>
              <w:t>深圳云裳衣联科技有限公司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spacing w:before="7"/>
              <w:rPr>
                <w:sz w:val="22"/>
              </w:rPr>
            </w:pPr>
          </w:p>
          <w:p>
            <w:pPr>
              <w:pStyle w:val="TableParagraph"/>
              <w:spacing w:before="1"/>
              <w:ind w:left="141" w:right="118"/>
              <w:jc w:val="center"/>
              <w:rPr>
                <w:rFonts w:ascii="宋体" w:eastAsia="宋体" w:hint="eastAsia"/>
                <w:sz w:val="18"/>
              </w:rPr>
            </w:pPr>
            <w:r>
              <w:rPr>
                <w:rFonts w:ascii="宋体" w:eastAsia="宋体" w:hint="eastAsia"/>
                <w:sz w:val="18"/>
              </w:rPr>
              <w:t>深圳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18"/>
              </w:rPr>
            </w:pPr>
          </w:p>
          <w:p>
            <w:pPr>
              <w:pStyle w:val="TableParagraph"/>
              <w:spacing w:before="7"/>
              <w:rPr>
                <w:sz w:val="22"/>
              </w:rPr>
            </w:pPr>
          </w:p>
          <w:p>
            <w:pPr>
              <w:pStyle w:val="TableParagraph"/>
              <w:spacing w:before="1"/>
              <w:ind w:left="99" w:right="80"/>
              <w:jc w:val="center"/>
              <w:rPr>
                <w:rFonts w:ascii="宋体" w:eastAsia="宋体" w:hint="eastAsia"/>
                <w:sz w:val="18"/>
              </w:rPr>
            </w:pPr>
            <w:r>
              <w:rPr>
                <w:rFonts w:ascii="宋体" w:eastAsia="宋体" w:hint="eastAsia"/>
                <w:sz w:val="18"/>
              </w:rPr>
              <w:t>深圳</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ind w:left="115" w:right="91"/>
              <w:rPr>
                <w:rFonts w:ascii="宋体" w:eastAsia="宋体" w:hint="eastAsia"/>
                <w:sz w:val="18"/>
              </w:rPr>
            </w:pPr>
            <w:r>
              <w:rPr>
                <w:rFonts w:ascii="宋体" w:eastAsia="宋体" w:hint="eastAsia"/>
                <w:sz w:val="18"/>
              </w:rPr>
              <w:t>经营进出口业 务、互联网、物联网、大数据、</w:t>
            </w:r>
            <w:r>
              <w:rPr>
                <w:sz w:val="18"/>
              </w:rPr>
              <w:t>AI</w:t>
            </w:r>
            <w:r>
              <w:rPr>
                <w:rFonts w:ascii="宋体" w:eastAsia="宋体" w:hint="eastAsia"/>
                <w:spacing w:val="-38"/>
                <w:sz w:val="18"/>
              </w:rPr>
              <w:t>、</w:t>
            </w:r>
            <w:r>
              <w:rPr>
                <w:sz w:val="18"/>
              </w:rPr>
              <w:t>AR</w:t>
            </w:r>
            <w:r>
              <w:rPr>
                <w:spacing w:val="-5"/>
                <w:sz w:val="18"/>
              </w:rPr>
              <w:t> </w:t>
            </w:r>
            <w:r>
              <w:rPr>
                <w:rFonts w:ascii="宋体" w:eastAsia="宋体" w:hint="eastAsia"/>
                <w:spacing w:val="-4"/>
                <w:sz w:val="18"/>
              </w:rPr>
              <w:t>的技术服</w:t>
            </w:r>
          </w:p>
          <w:p>
            <w:pPr>
              <w:pStyle w:val="TableParagraph"/>
              <w:spacing w:line="213" w:lineRule="exact" w:before="4"/>
              <w:ind w:left="115"/>
              <w:rPr>
                <w:rFonts w:ascii="宋体" w:eastAsia="宋体" w:hint="eastAsia"/>
                <w:sz w:val="18"/>
              </w:rPr>
            </w:pPr>
            <w:r>
              <w:rPr>
                <w:rFonts w:ascii="宋体" w:eastAsia="宋体" w:hint="eastAsia"/>
                <w:sz w:val="18"/>
              </w:rPr>
              <w:t>务等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rPr>
                <w:sz w:val="20"/>
              </w:rPr>
            </w:pPr>
          </w:p>
          <w:p>
            <w:pPr>
              <w:pStyle w:val="TableParagraph"/>
              <w:spacing w:before="3"/>
              <w:rPr>
                <w:sz w:val="21"/>
              </w:rPr>
            </w:pPr>
          </w:p>
          <w:p>
            <w:pPr>
              <w:pStyle w:val="TableParagraph"/>
              <w:ind w:left="253"/>
              <w:rPr>
                <w:sz w:val="18"/>
              </w:rPr>
            </w:pPr>
            <w:r>
              <w:rPr>
                <w:sz w:val="18"/>
              </w:rPr>
              <w:t>100.00</w:t>
            </w:r>
          </w:p>
        </w:tc>
        <w:tc>
          <w:tcPr>
            <w:tcW w:w="934" w:type="dxa"/>
            <w:tcBorders>
              <w:top w:val="single" w:sz="4" w:space="0" w:color="000000"/>
              <w:left w:val="single" w:sz="4" w:space="0" w:color="000000"/>
              <w:bottom w:val="single" w:sz="4" w:space="0" w:color="000000"/>
            </w:tcBorders>
          </w:tcPr>
          <w:p>
            <w:pPr>
              <w:pStyle w:val="TableParagraph"/>
              <w:rPr>
                <w:sz w:val="18"/>
              </w:rPr>
            </w:pPr>
          </w:p>
          <w:p>
            <w:pPr>
              <w:pStyle w:val="TableParagraph"/>
              <w:spacing w:before="7"/>
              <w:rPr>
                <w:sz w:val="22"/>
              </w:rPr>
            </w:pPr>
          </w:p>
          <w:p>
            <w:pPr>
              <w:pStyle w:val="TableParagraph"/>
              <w:spacing w:before="1"/>
              <w:ind w:left="111"/>
              <w:rPr>
                <w:rFonts w:ascii="宋体" w:eastAsia="宋体" w:hint="eastAsia"/>
                <w:sz w:val="18"/>
              </w:rPr>
            </w:pPr>
            <w:r>
              <w:rPr>
                <w:rFonts w:ascii="宋体" w:eastAsia="宋体" w:hint="eastAsia"/>
                <w:sz w:val="18"/>
              </w:rPr>
              <w:t>设立</w:t>
            </w:r>
          </w:p>
        </w:tc>
      </w:tr>
      <w:tr>
        <w:trPr>
          <w:trHeight w:val="465" w:hRule="atLeast"/>
        </w:trPr>
        <w:tc>
          <w:tcPr>
            <w:tcW w:w="1964" w:type="dxa"/>
            <w:tcBorders>
              <w:top w:val="single" w:sz="4" w:space="0" w:color="000000"/>
              <w:bottom w:val="single" w:sz="4" w:space="0" w:color="000000"/>
              <w:right w:val="single" w:sz="4" w:space="0" w:color="000000"/>
            </w:tcBorders>
          </w:tcPr>
          <w:p>
            <w:pPr>
              <w:pStyle w:val="TableParagraph"/>
              <w:ind w:left="104"/>
              <w:rPr>
                <w:rFonts w:ascii="宋体" w:eastAsia="宋体" w:hint="eastAsia"/>
                <w:sz w:val="18"/>
              </w:rPr>
            </w:pPr>
            <w:r>
              <w:rPr>
                <w:rFonts w:ascii="宋体" w:eastAsia="宋体" w:hint="eastAsia"/>
                <w:sz w:val="18"/>
              </w:rPr>
              <w:t>青岛海享学人力资源</w:t>
            </w:r>
          </w:p>
          <w:p>
            <w:pPr>
              <w:pStyle w:val="TableParagraph"/>
              <w:spacing w:line="213" w:lineRule="exact" w:before="2"/>
              <w:ind w:left="104"/>
              <w:rPr>
                <w:rFonts w:ascii="宋体" w:eastAsia="宋体" w:hint="eastAsia"/>
                <w:sz w:val="18"/>
              </w:rPr>
            </w:pPr>
            <w:r>
              <w:rPr>
                <w:rFonts w:ascii="宋体" w:eastAsia="宋体" w:hint="eastAsia"/>
                <w:sz w:val="18"/>
              </w:rPr>
              <w:t>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17"/>
              <w:ind w:left="141" w:right="118"/>
              <w:jc w:val="center"/>
              <w:rPr>
                <w:rFonts w:ascii="宋体" w:eastAsia="宋体" w:hint="eastAsia"/>
                <w:sz w:val="18"/>
              </w:rPr>
            </w:pPr>
            <w:r>
              <w:rPr>
                <w:rFonts w:ascii="宋体" w:eastAsia="宋体" w:hint="eastAsia"/>
                <w:sz w:val="18"/>
              </w:rPr>
              <w:t>青岛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17"/>
              <w:ind w:left="99" w:right="80"/>
              <w:jc w:val="center"/>
              <w:rPr>
                <w:rFonts w:ascii="宋体" w:eastAsia="宋体" w:hint="eastAsia"/>
                <w:sz w:val="18"/>
              </w:rPr>
            </w:pPr>
            <w:r>
              <w:rPr>
                <w:rFonts w:ascii="宋体" w:eastAsia="宋体" w:hint="eastAsia"/>
                <w:sz w:val="18"/>
              </w:rPr>
              <w:t>青岛</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117"/>
              <w:ind w:left="115"/>
              <w:rPr>
                <w:rFonts w:ascii="宋体" w:eastAsia="宋体" w:hint="eastAsia"/>
                <w:sz w:val="18"/>
              </w:rPr>
            </w:pPr>
            <w:r>
              <w:rPr>
                <w:rFonts w:ascii="宋体" w:eastAsia="宋体" w:hint="eastAsia"/>
                <w:sz w:val="18"/>
              </w:rPr>
              <w:t>职业中介活动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24"/>
              <w:ind w:left="99" w:right="77"/>
              <w:jc w:val="center"/>
              <w:rPr>
                <w:sz w:val="18"/>
              </w:rPr>
            </w:pPr>
            <w:r>
              <w:rPr>
                <w:sz w:val="18"/>
              </w:rPr>
              <w:t>100.00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934" w:type="dxa"/>
            <w:tcBorders>
              <w:top w:val="single" w:sz="4" w:space="0" w:color="000000"/>
              <w:left w:val="single" w:sz="4" w:space="0" w:color="000000"/>
              <w:bottom w:val="single" w:sz="4" w:space="0" w:color="000000"/>
            </w:tcBorders>
          </w:tcPr>
          <w:p>
            <w:pPr>
              <w:pStyle w:val="TableParagraph"/>
              <w:spacing w:before="117"/>
              <w:ind w:left="111"/>
              <w:rPr>
                <w:rFonts w:ascii="宋体" w:eastAsia="宋体" w:hint="eastAsia"/>
                <w:sz w:val="18"/>
              </w:rPr>
            </w:pPr>
            <w:r>
              <w:rPr>
                <w:rFonts w:ascii="宋体" w:eastAsia="宋体" w:hint="eastAsia"/>
                <w:sz w:val="18"/>
              </w:rPr>
              <w:t>设立</w:t>
            </w:r>
          </w:p>
        </w:tc>
      </w:tr>
      <w:tr>
        <w:trPr>
          <w:trHeight w:val="700" w:hRule="atLeast"/>
        </w:trPr>
        <w:tc>
          <w:tcPr>
            <w:tcW w:w="1964" w:type="dxa"/>
            <w:tcBorders>
              <w:top w:val="single" w:sz="4" w:space="0" w:color="000000"/>
              <w:right w:val="single" w:sz="4" w:space="0" w:color="000000"/>
            </w:tcBorders>
          </w:tcPr>
          <w:p>
            <w:pPr>
              <w:pStyle w:val="TableParagraph"/>
              <w:spacing w:line="230" w:lineRule="atLeast" w:before="2"/>
              <w:ind w:left="104" w:right="217"/>
              <w:jc w:val="both"/>
              <w:rPr>
                <w:rFonts w:ascii="宋体" w:eastAsia="宋体" w:hint="eastAsia"/>
                <w:sz w:val="18"/>
              </w:rPr>
            </w:pPr>
            <w:r>
              <w:rPr>
                <w:rFonts w:ascii="宋体" w:eastAsia="宋体" w:hint="eastAsia"/>
                <w:sz w:val="18"/>
              </w:rPr>
              <w:t>青岛海恒丰电器销售服务有限公司等小微公司</w:t>
            </w:r>
          </w:p>
        </w:tc>
        <w:tc>
          <w:tcPr>
            <w:tcW w:w="994" w:type="dxa"/>
            <w:tcBorders>
              <w:top w:val="single" w:sz="4" w:space="0" w:color="000000"/>
              <w:left w:val="single" w:sz="4" w:space="0" w:color="000000"/>
              <w:right w:val="single" w:sz="4" w:space="0" w:color="000000"/>
            </w:tcBorders>
          </w:tcPr>
          <w:p>
            <w:pPr>
              <w:pStyle w:val="TableParagraph"/>
              <w:spacing w:before="5"/>
              <w:rPr>
                <w:sz w:val="20"/>
              </w:rPr>
            </w:pPr>
          </w:p>
          <w:p>
            <w:pPr>
              <w:pStyle w:val="TableParagraph"/>
              <w:ind w:left="141" w:right="118"/>
              <w:jc w:val="center"/>
              <w:rPr>
                <w:rFonts w:ascii="宋体" w:eastAsia="宋体" w:hint="eastAsia"/>
                <w:sz w:val="18"/>
              </w:rPr>
            </w:pPr>
            <w:r>
              <w:rPr>
                <w:rFonts w:ascii="宋体" w:eastAsia="宋体" w:hint="eastAsia"/>
                <w:sz w:val="18"/>
              </w:rPr>
              <w:t>各地</w:t>
            </w:r>
          </w:p>
        </w:tc>
        <w:tc>
          <w:tcPr>
            <w:tcW w:w="992" w:type="dxa"/>
            <w:tcBorders>
              <w:top w:val="single" w:sz="4" w:space="0" w:color="000000"/>
              <w:left w:val="single" w:sz="4" w:space="0" w:color="000000"/>
              <w:right w:val="single" w:sz="4" w:space="0" w:color="000000"/>
            </w:tcBorders>
          </w:tcPr>
          <w:p>
            <w:pPr>
              <w:pStyle w:val="TableParagraph"/>
              <w:spacing w:before="5"/>
              <w:rPr>
                <w:sz w:val="20"/>
              </w:rPr>
            </w:pPr>
          </w:p>
          <w:p>
            <w:pPr>
              <w:pStyle w:val="TableParagraph"/>
              <w:ind w:left="99" w:right="80"/>
              <w:jc w:val="center"/>
              <w:rPr>
                <w:rFonts w:ascii="宋体" w:eastAsia="宋体" w:hint="eastAsia"/>
                <w:sz w:val="18"/>
              </w:rPr>
            </w:pPr>
            <w:r>
              <w:rPr>
                <w:rFonts w:ascii="宋体" w:eastAsia="宋体" w:hint="eastAsia"/>
                <w:sz w:val="18"/>
              </w:rPr>
              <w:t>各地</w:t>
            </w:r>
          </w:p>
        </w:tc>
        <w:tc>
          <w:tcPr>
            <w:tcW w:w="1561" w:type="dxa"/>
            <w:tcBorders>
              <w:top w:val="single" w:sz="4" w:space="0" w:color="000000"/>
              <w:left w:val="single" w:sz="4" w:space="0" w:color="000000"/>
              <w:right w:val="single" w:sz="4" w:space="0" w:color="000000"/>
            </w:tcBorders>
          </w:tcPr>
          <w:p>
            <w:pPr>
              <w:pStyle w:val="TableParagraph"/>
              <w:spacing w:before="5"/>
              <w:rPr>
                <w:sz w:val="20"/>
              </w:rPr>
            </w:pPr>
          </w:p>
          <w:p>
            <w:pPr>
              <w:pStyle w:val="TableParagraph"/>
              <w:ind w:left="115"/>
              <w:rPr>
                <w:rFonts w:ascii="宋体" w:eastAsia="宋体" w:hint="eastAsia"/>
                <w:sz w:val="18"/>
              </w:rPr>
            </w:pPr>
            <w:r>
              <w:rPr>
                <w:rFonts w:ascii="宋体" w:eastAsia="宋体" w:hint="eastAsia"/>
                <w:sz w:val="18"/>
              </w:rPr>
              <w:t>销售家用电器等</w:t>
            </w:r>
          </w:p>
        </w:tc>
        <w:tc>
          <w:tcPr>
            <w:tcW w:w="992" w:type="dxa"/>
            <w:tcBorders>
              <w:top w:val="single" w:sz="4" w:space="0" w:color="000000"/>
              <w:left w:val="single" w:sz="4" w:space="0" w:color="000000"/>
              <w:right w:val="single" w:sz="4" w:space="0" w:color="000000"/>
            </w:tcBorders>
          </w:tcPr>
          <w:p>
            <w:pPr>
              <w:pStyle w:val="TableParagraph"/>
              <w:rPr>
                <w:sz w:val="18"/>
              </w:rPr>
            </w:pPr>
          </w:p>
        </w:tc>
        <w:tc>
          <w:tcPr>
            <w:tcW w:w="995" w:type="dxa"/>
            <w:tcBorders>
              <w:top w:val="single" w:sz="4" w:space="0" w:color="000000"/>
              <w:left w:val="single" w:sz="4" w:space="0" w:color="000000"/>
              <w:right w:val="single" w:sz="4" w:space="0" w:color="000000"/>
            </w:tcBorders>
          </w:tcPr>
          <w:p>
            <w:pPr>
              <w:pStyle w:val="TableParagraph"/>
              <w:rPr>
                <w:sz w:val="18"/>
              </w:rPr>
            </w:pPr>
          </w:p>
        </w:tc>
        <w:tc>
          <w:tcPr>
            <w:tcW w:w="934" w:type="dxa"/>
            <w:tcBorders>
              <w:top w:val="single" w:sz="4" w:space="0" w:color="000000"/>
              <w:left w:val="single" w:sz="4" w:space="0" w:color="000000"/>
            </w:tcBorders>
          </w:tcPr>
          <w:p>
            <w:pPr>
              <w:pStyle w:val="TableParagraph"/>
              <w:spacing w:before="5"/>
              <w:rPr>
                <w:sz w:val="20"/>
              </w:rPr>
            </w:pPr>
          </w:p>
          <w:p>
            <w:pPr>
              <w:pStyle w:val="TableParagraph"/>
              <w:ind w:left="111"/>
              <w:rPr>
                <w:rFonts w:ascii="宋体" w:eastAsia="宋体" w:hint="eastAsia"/>
                <w:sz w:val="18"/>
              </w:rPr>
            </w:pPr>
            <w:r>
              <w:rPr>
                <w:rFonts w:ascii="宋体" w:eastAsia="宋体" w:hint="eastAsia"/>
                <w:sz w:val="18"/>
              </w:rPr>
              <w:t>设立</w:t>
            </w:r>
          </w:p>
        </w:tc>
      </w:tr>
    </w:tbl>
    <w:p>
      <w:pPr>
        <w:pStyle w:val="BodyText"/>
        <w:rPr>
          <w:rFonts w:ascii="Times New Roman"/>
          <w:sz w:val="20"/>
        </w:rPr>
      </w:pPr>
    </w:p>
    <w:p>
      <w:pPr>
        <w:pStyle w:val="BodyText"/>
        <w:spacing w:before="11"/>
        <w:rPr>
          <w:rFonts w:ascii="Times New Roman"/>
          <w:sz w:val="18"/>
        </w:rPr>
      </w:pPr>
    </w:p>
    <w:p>
      <w:pPr>
        <w:pStyle w:val="BodyText"/>
        <w:ind w:left="1958"/>
      </w:pPr>
      <w:r>
        <w:rPr/>
        <w:t>将拥有其半数或半数以下股权的子公司纳入合并财务报表范围的原因说明：</w:t>
      </w:r>
    </w:p>
    <w:p>
      <w:pPr>
        <w:pStyle w:val="BodyText"/>
        <w:spacing w:before="6"/>
        <w:rPr>
          <w:sz w:val="16"/>
        </w:rPr>
      </w:pPr>
    </w:p>
    <w:p>
      <w:pPr>
        <w:pStyle w:val="BodyText"/>
        <w:spacing w:line="427" w:lineRule="auto"/>
        <w:ind w:left="1538" w:right="1277" w:firstLine="419"/>
      </w:pPr>
      <w:r>
        <w:rPr/>
        <w:t>本报告期期末公司对青岛海恒丰电器销售服务有限公司等小微公司的财务和经营决策具有实质控制权，故将其纳入合并财务报表范围。</w:t>
      </w:r>
    </w:p>
    <w:p>
      <w:pPr>
        <w:pStyle w:val="ListParagraph"/>
        <w:numPr>
          <w:ilvl w:val="0"/>
          <w:numId w:val="67"/>
        </w:numPr>
        <w:tabs>
          <w:tab w:pos="2067" w:val="left" w:leader="none"/>
        </w:tabs>
        <w:spacing w:line="240" w:lineRule="auto" w:before="2" w:after="0"/>
        <w:ind w:left="2067" w:right="0" w:hanging="529"/>
        <w:jc w:val="left"/>
        <w:rPr>
          <w:sz w:val="21"/>
        </w:rPr>
      </w:pPr>
      <w:r>
        <w:rPr>
          <w:spacing w:val="-3"/>
          <w:sz w:val="21"/>
        </w:rPr>
        <w:t>重要的非全资子公司</w:t>
      </w:r>
    </w:p>
    <w:p>
      <w:pPr>
        <w:spacing w:after="0" w:line="240" w:lineRule="auto"/>
        <w:jc w:val="left"/>
        <w:rPr>
          <w:sz w:val="21"/>
        </w:rPr>
        <w:sectPr>
          <w:pgSz w:w="11910" w:h="16840"/>
          <w:pgMar w:header="876" w:footer="1184" w:top="1440" w:bottom="1400" w:left="260" w:right="0"/>
        </w:sectPr>
      </w:pPr>
    </w:p>
    <w:p>
      <w:pPr>
        <w:pStyle w:val="BodyText"/>
        <w:spacing w:before="7" w:after="1"/>
        <w:rPr>
          <w:sz w:val="26"/>
        </w:rPr>
      </w:pPr>
    </w:p>
    <w:tbl>
      <w:tblPr>
        <w:tblW w:w="0" w:type="auto"/>
        <w:jc w:val="left"/>
        <w:tblInd w:w="129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533"/>
        <w:gridCol w:w="1416"/>
        <w:gridCol w:w="1844"/>
        <w:gridCol w:w="1844"/>
        <w:gridCol w:w="1721"/>
      </w:tblGrid>
      <w:tr>
        <w:trPr>
          <w:trHeight w:val="467" w:hRule="atLeast"/>
        </w:trPr>
        <w:tc>
          <w:tcPr>
            <w:tcW w:w="2533" w:type="dxa"/>
            <w:tcBorders>
              <w:bottom w:val="single" w:sz="4" w:space="0" w:color="000000"/>
              <w:right w:val="single" w:sz="4" w:space="0" w:color="000000"/>
            </w:tcBorders>
          </w:tcPr>
          <w:p>
            <w:pPr>
              <w:pStyle w:val="TableParagraph"/>
              <w:spacing w:before="57"/>
              <w:ind w:left="812"/>
              <w:rPr>
                <w:rFonts w:ascii="Microsoft JhengHei" w:eastAsia="Microsoft JhengHei" w:hint="eastAsia"/>
                <w:b/>
                <w:sz w:val="18"/>
              </w:rPr>
            </w:pPr>
            <w:r>
              <w:rPr>
                <w:rFonts w:ascii="Microsoft JhengHei" w:eastAsia="Microsoft JhengHei" w:hint="eastAsia"/>
                <w:b/>
                <w:sz w:val="18"/>
              </w:rPr>
              <w:t>子公司名称</w:t>
            </w:r>
          </w:p>
        </w:tc>
        <w:tc>
          <w:tcPr>
            <w:tcW w:w="1416" w:type="dxa"/>
            <w:tcBorders>
              <w:left w:val="single" w:sz="4" w:space="0" w:color="000000"/>
              <w:bottom w:val="single" w:sz="4" w:space="0" w:color="000000"/>
              <w:right w:val="single" w:sz="4" w:space="0" w:color="000000"/>
            </w:tcBorders>
          </w:tcPr>
          <w:p>
            <w:pPr>
              <w:pStyle w:val="TableParagraph"/>
              <w:spacing w:line="223" w:lineRule="exact"/>
              <w:ind w:left="154" w:right="127"/>
              <w:jc w:val="center"/>
              <w:rPr>
                <w:rFonts w:ascii="Microsoft JhengHei" w:eastAsia="Microsoft JhengHei" w:hint="eastAsia"/>
                <w:b/>
                <w:sz w:val="18"/>
              </w:rPr>
            </w:pPr>
            <w:r>
              <w:rPr>
                <w:rFonts w:ascii="Microsoft JhengHei" w:eastAsia="Microsoft JhengHei" w:hint="eastAsia"/>
                <w:b/>
                <w:sz w:val="18"/>
              </w:rPr>
              <w:t>少数股东的持</w:t>
            </w:r>
          </w:p>
          <w:p>
            <w:pPr>
              <w:pStyle w:val="TableParagraph"/>
              <w:spacing w:line="224" w:lineRule="exact"/>
              <w:ind w:left="154" w:right="127"/>
              <w:jc w:val="center"/>
              <w:rPr>
                <w:rFonts w:ascii="Microsoft JhengHei" w:eastAsia="Microsoft JhengHei" w:hint="eastAsia"/>
                <w:b/>
                <w:sz w:val="18"/>
              </w:rPr>
            </w:pPr>
            <w:r>
              <w:rPr>
                <w:rFonts w:ascii="Microsoft JhengHei" w:eastAsia="Microsoft JhengHei" w:hint="eastAsia"/>
                <w:b/>
                <w:sz w:val="18"/>
              </w:rPr>
              <w:t>股比例</w:t>
            </w:r>
          </w:p>
        </w:tc>
        <w:tc>
          <w:tcPr>
            <w:tcW w:w="1844" w:type="dxa"/>
            <w:tcBorders>
              <w:left w:val="single" w:sz="4" w:space="0" w:color="000000"/>
              <w:bottom w:val="single" w:sz="4" w:space="0" w:color="000000"/>
              <w:right w:val="single" w:sz="4" w:space="0" w:color="000000"/>
            </w:tcBorders>
          </w:tcPr>
          <w:p>
            <w:pPr>
              <w:pStyle w:val="TableParagraph"/>
              <w:spacing w:line="223" w:lineRule="exact"/>
              <w:ind w:left="38" w:right="12"/>
              <w:jc w:val="center"/>
              <w:rPr>
                <w:rFonts w:ascii="Microsoft JhengHei" w:eastAsia="Microsoft JhengHei" w:hint="eastAsia"/>
                <w:b/>
                <w:sz w:val="18"/>
              </w:rPr>
            </w:pPr>
            <w:r>
              <w:rPr>
                <w:rFonts w:ascii="Microsoft JhengHei" w:eastAsia="Microsoft JhengHei" w:hint="eastAsia"/>
                <w:b/>
                <w:sz w:val="18"/>
              </w:rPr>
              <w:t>本期归属于少数股东</w:t>
            </w:r>
          </w:p>
          <w:p>
            <w:pPr>
              <w:pStyle w:val="TableParagraph"/>
              <w:spacing w:line="224" w:lineRule="exact"/>
              <w:ind w:left="38" w:right="12"/>
              <w:jc w:val="center"/>
              <w:rPr>
                <w:rFonts w:ascii="Microsoft JhengHei" w:eastAsia="Microsoft JhengHei" w:hint="eastAsia"/>
                <w:b/>
                <w:sz w:val="18"/>
              </w:rPr>
            </w:pPr>
            <w:r>
              <w:rPr>
                <w:rFonts w:ascii="Microsoft JhengHei" w:eastAsia="Microsoft JhengHei" w:hint="eastAsia"/>
                <w:b/>
                <w:sz w:val="18"/>
              </w:rPr>
              <w:t>的损益</w:t>
            </w:r>
          </w:p>
        </w:tc>
        <w:tc>
          <w:tcPr>
            <w:tcW w:w="1844" w:type="dxa"/>
            <w:tcBorders>
              <w:left w:val="single" w:sz="4" w:space="0" w:color="000000"/>
              <w:bottom w:val="single" w:sz="4" w:space="0" w:color="000000"/>
              <w:right w:val="single" w:sz="4" w:space="0" w:color="000000"/>
            </w:tcBorders>
          </w:tcPr>
          <w:p>
            <w:pPr>
              <w:pStyle w:val="TableParagraph"/>
              <w:spacing w:line="223" w:lineRule="exact"/>
              <w:ind w:left="37" w:right="12"/>
              <w:jc w:val="center"/>
              <w:rPr>
                <w:rFonts w:ascii="Microsoft JhengHei" w:eastAsia="Microsoft JhengHei" w:hint="eastAsia"/>
                <w:b/>
                <w:sz w:val="18"/>
              </w:rPr>
            </w:pPr>
            <w:r>
              <w:rPr>
                <w:rFonts w:ascii="Microsoft JhengHei" w:eastAsia="Microsoft JhengHei" w:hint="eastAsia"/>
                <w:b/>
                <w:sz w:val="18"/>
              </w:rPr>
              <w:t>本期向少数股东宣告</w:t>
            </w:r>
          </w:p>
          <w:p>
            <w:pPr>
              <w:pStyle w:val="TableParagraph"/>
              <w:spacing w:line="224" w:lineRule="exact"/>
              <w:ind w:left="38" w:right="12"/>
              <w:jc w:val="center"/>
              <w:rPr>
                <w:rFonts w:ascii="Microsoft JhengHei" w:eastAsia="Microsoft JhengHei" w:hint="eastAsia"/>
                <w:b/>
                <w:sz w:val="18"/>
              </w:rPr>
            </w:pPr>
            <w:r>
              <w:rPr>
                <w:rFonts w:ascii="Microsoft JhengHei" w:eastAsia="Microsoft JhengHei" w:hint="eastAsia"/>
                <w:b/>
                <w:sz w:val="18"/>
              </w:rPr>
              <w:t>分配的股利</w:t>
            </w:r>
          </w:p>
        </w:tc>
        <w:tc>
          <w:tcPr>
            <w:tcW w:w="1721" w:type="dxa"/>
            <w:tcBorders>
              <w:left w:val="single" w:sz="4" w:space="0" w:color="000000"/>
              <w:bottom w:val="single" w:sz="4" w:space="0" w:color="000000"/>
            </w:tcBorders>
          </w:tcPr>
          <w:p>
            <w:pPr>
              <w:pStyle w:val="TableParagraph"/>
              <w:spacing w:line="223" w:lineRule="exact"/>
              <w:ind w:left="136" w:right="84"/>
              <w:jc w:val="center"/>
              <w:rPr>
                <w:rFonts w:ascii="Microsoft JhengHei" w:eastAsia="Microsoft JhengHei" w:hint="eastAsia"/>
                <w:b/>
                <w:sz w:val="18"/>
              </w:rPr>
            </w:pPr>
            <w:r>
              <w:rPr>
                <w:rFonts w:ascii="Microsoft JhengHei" w:eastAsia="Microsoft JhengHei" w:hint="eastAsia"/>
                <w:b/>
                <w:sz w:val="18"/>
              </w:rPr>
              <w:t>期末少数股东权益</w:t>
            </w:r>
          </w:p>
          <w:p>
            <w:pPr>
              <w:pStyle w:val="TableParagraph"/>
              <w:spacing w:line="224" w:lineRule="exact"/>
              <w:ind w:left="136" w:right="83"/>
              <w:jc w:val="center"/>
              <w:rPr>
                <w:rFonts w:ascii="Microsoft JhengHei" w:eastAsia="Microsoft JhengHei" w:hint="eastAsia"/>
                <w:b/>
                <w:sz w:val="18"/>
              </w:rPr>
            </w:pPr>
            <w:r>
              <w:rPr>
                <w:rFonts w:ascii="Microsoft JhengHei" w:eastAsia="Microsoft JhengHei" w:hint="eastAsia"/>
                <w:b/>
                <w:sz w:val="18"/>
              </w:rPr>
              <w:t>余额</w:t>
            </w:r>
          </w:p>
        </w:tc>
      </w:tr>
      <w:tr>
        <w:trPr>
          <w:trHeight w:val="369" w:hRule="atLeast"/>
        </w:trPr>
        <w:tc>
          <w:tcPr>
            <w:tcW w:w="2533"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贵州海尔电器有限公司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76"/>
              <w:ind w:right="84"/>
              <w:jc w:val="right"/>
              <w:rPr>
                <w:sz w:val="18"/>
              </w:rPr>
            </w:pPr>
            <w:r>
              <w:rPr>
                <w:sz w:val="18"/>
              </w:rPr>
              <w:t>41.00%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before="76"/>
              <w:ind w:right="87"/>
              <w:jc w:val="right"/>
              <w:rPr>
                <w:sz w:val="18"/>
              </w:rPr>
            </w:pPr>
            <w:r>
              <w:rPr>
                <w:sz w:val="18"/>
              </w:rPr>
              <w:t>6,817,457.62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before="76"/>
              <w:ind w:left="709"/>
              <w:rPr>
                <w:sz w:val="18"/>
              </w:rPr>
            </w:pPr>
            <w:r>
              <w:rPr>
                <w:sz w:val="18"/>
              </w:rPr>
              <w:t>12,300,000.00</w:t>
            </w:r>
          </w:p>
        </w:tc>
        <w:tc>
          <w:tcPr>
            <w:tcW w:w="1721" w:type="dxa"/>
            <w:tcBorders>
              <w:top w:val="single" w:sz="4" w:space="0" w:color="000000"/>
              <w:left w:val="single" w:sz="4" w:space="0" w:color="000000"/>
              <w:bottom w:val="single" w:sz="4" w:space="0" w:color="000000"/>
            </w:tcBorders>
          </w:tcPr>
          <w:p>
            <w:pPr>
              <w:pStyle w:val="TableParagraph"/>
              <w:spacing w:before="76"/>
              <w:ind w:right="77"/>
              <w:jc w:val="right"/>
              <w:rPr>
                <w:sz w:val="18"/>
              </w:rPr>
            </w:pPr>
            <w:r>
              <w:rPr>
                <w:sz w:val="18"/>
              </w:rPr>
              <w:t>106,640,019.90</w:t>
            </w:r>
          </w:p>
        </w:tc>
      </w:tr>
      <w:tr>
        <w:trPr>
          <w:trHeight w:val="366" w:hRule="atLeast"/>
        </w:trPr>
        <w:tc>
          <w:tcPr>
            <w:tcW w:w="2533" w:type="dxa"/>
            <w:tcBorders>
              <w:top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武汉海尔电器股份有限公司</w:t>
            </w:r>
          </w:p>
        </w:tc>
        <w:tc>
          <w:tcPr>
            <w:tcW w:w="1416" w:type="dxa"/>
            <w:tcBorders>
              <w:top w:val="single" w:sz="4" w:space="0" w:color="000000"/>
              <w:left w:val="single" w:sz="4" w:space="0" w:color="000000"/>
              <w:right w:val="single" w:sz="4" w:space="0" w:color="000000"/>
            </w:tcBorders>
          </w:tcPr>
          <w:p>
            <w:pPr>
              <w:pStyle w:val="TableParagraph"/>
              <w:spacing w:before="76"/>
              <w:ind w:right="84"/>
              <w:jc w:val="right"/>
              <w:rPr>
                <w:sz w:val="18"/>
              </w:rPr>
            </w:pPr>
            <w:r>
              <w:rPr>
                <w:sz w:val="18"/>
              </w:rPr>
              <w:t>40.00%</w:t>
            </w:r>
          </w:p>
        </w:tc>
        <w:tc>
          <w:tcPr>
            <w:tcW w:w="1844" w:type="dxa"/>
            <w:tcBorders>
              <w:top w:val="single" w:sz="4" w:space="0" w:color="000000"/>
              <w:left w:val="single" w:sz="4" w:space="0" w:color="000000"/>
              <w:right w:val="single" w:sz="4" w:space="0" w:color="000000"/>
            </w:tcBorders>
          </w:tcPr>
          <w:p>
            <w:pPr>
              <w:pStyle w:val="TableParagraph"/>
              <w:spacing w:before="76"/>
              <w:ind w:right="87"/>
              <w:jc w:val="right"/>
              <w:rPr>
                <w:sz w:val="18"/>
              </w:rPr>
            </w:pPr>
            <w:r>
              <w:rPr>
                <w:sz w:val="18"/>
              </w:rPr>
              <w:t>-14,260,238.49</w:t>
            </w:r>
          </w:p>
        </w:tc>
        <w:tc>
          <w:tcPr>
            <w:tcW w:w="1844" w:type="dxa"/>
            <w:tcBorders>
              <w:top w:val="single" w:sz="4" w:space="0" w:color="000000"/>
              <w:left w:val="single" w:sz="4" w:space="0" w:color="000000"/>
              <w:right w:val="single" w:sz="4" w:space="0" w:color="000000"/>
            </w:tcBorders>
          </w:tcPr>
          <w:p>
            <w:pPr>
              <w:pStyle w:val="TableParagraph"/>
              <w:rPr>
                <w:sz w:val="18"/>
              </w:rPr>
            </w:pPr>
          </w:p>
        </w:tc>
        <w:tc>
          <w:tcPr>
            <w:tcW w:w="1721" w:type="dxa"/>
            <w:tcBorders>
              <w:top w:val="single" w:sz="4" w:space="0" w:color="000000"/>
              <w:left w:val="single" w:sz="4" w:space="0" w:color="000000"/>
            </w:tcBorders>
          </w:tcPr>
          <w:p>
            <w:pPr>
              <w:pStyle w:val="TableParagraph"/>
              <w:spacing w:before="76"/>
              <w:ind w:right="77"/>
              <w:jc w:val="right"/>
              <w:rPr>
                <w:sz w:val="18"/>
              </w:rPr>
            </w:pPr>
            <w:r>
              <w:rPr>
                <w:sz w:val="18"/>
              </w:rPr>
              <w:t>250,923,005.84</w:t>
            </w:r>
          </w:p>
        </w:tc>
      </w:tr>
    </w:tbl>
    <w:p>
      <w:pPr>
        <w:pStyle w:val="BodyText"/>
        <w:spacing w:before="1"/>
        <w:rPr>
          <w:sz w:val="13"/>
        </w:rPr>
      </w:pPr>
    </w:p>
    <w:p>
      <w:pPr>
        <w:pStyle w:val="ListParagraph"/>
        <w:numPr>
          <w:ilvl w:val="0"/>
          <w:numId w:val="67"/>
        </w:numPr>
        <w:tabs>
          <w:tab w:pos="2067" w:val="left" w:leader="none"/>
        </w:tabs>
        <w:spacing w:line="240" w:lineRule="auto" w:before="78" w:after="0"/>
        <w:ind w:left="2067" w:right="0" w:hanging="529"/>
        <w:jc w:val="left"/>
        <w:rPr>
          <w:sz w:val="21"/>
        </w:rPr>
      </w:pPr>
      <w:r>
        <w:rPr>
          <w:spacing w:val="-3"/>
          <w:sz w:val="21"/>
        </w:rPr>
        <w:t>重要的非全资子公司的主要财务信息</w:t>
      </w:r>
    </w:p>
    <w:p>
      <w:pPr>
        <w:pStyle w:val="BodyText"/>
        <w:spacing w:before="2" w:after="4"/>
        <w:ind w:left="1538"/>
      </w:pPr>
      <w:r>
        <w:rPr>
          <w:w w:val="100"/>
        </w:rPr>
        <w:t> </w:t>
      </w:r>
    </w:p>
    <w:tbl>
      <w:tblPr>
        <w:tblW w:w="0" w:type="auto"/>
        <w:jc w:val="left"/>
        <w:tblInd w:w="124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26"/>
        <w:gridCol w:w="1351"/>
        <w:gridCol w:w="1418"/>
        <w:gridCol w:w="1418"/>
        <w:gridCol w:w="1415"/>
        <w:gridCol w:w="1276"/>
        <w:gridCol w:w="1340"/>
      </w:tblGrid>
      <w:tr>
        <w:trPr>
          <w:trHeight w:val="368" w:hRule="atLeast"/>
        </w:trPr>
        <w:tc>
          <w:tcPr>
            <w:tcW w:w="1226" w:type="dxa"/>
            <w:vMerge w:val="restart"/>
            <w:tcBorders>
              <w:bottom w:val="single" w:sz="4" w:space="0" w:color="000000"/>
              <w:right w:val="single" w:sz="4" w:space="0" w:color="000000"/>
            </w:tcBorders>
          </w:tcPr>
          <w:p>
            <w:pPr>
              <w:pStyle w:val="TableParagraph"/>
              <w:spacing w:before="7"/>
              <w:rPr>
                <w:rFonts w:ascii="宋体"/>
                <w:sz w:val="15"/>
              </w:rPr>
            </w:pPr>
          </w:p>
          <w:p>
            <w:pPr>
              <w:pStyle w:val="TableParagraph"/>
              <w:ind w:left="167"/>
              <w:rPr>
                <w:rFonts w:ascii="Microsoft JhengHei" w:eastAsia="Microsoft JhengHei" w:hint="eastAsia"/>
                <w:b/>
                <w:sz w:val="18"/>
              </w:rPr>
            </w:pPr>
            <w:r>
              <w:rPr>
                <w:rFonts w:ascii="Microsoft JhengHei" w:eastAsia="Microsoft JhengHei" w:hint="eastAsia"/>
                <w:b/>
                <w:sz w:val="18"/>
              </w:rPr>
              <w:t>子公司名称</w:t>
            </w:r>
          </w:p>
        </w:tc>
        <w:tc>
          <w:tcPr>
            <w:tcW w:w="8218" w:type="dxa"/>
            <w:gridSpan w:val="6"/>
            <w:tcBorders>
              <w:left w:val="single" w:sz="4" w:space="0" w:color="000000"/>
              <w:bottom w:val="single" w:sz="4" w:space="0" w:color="000000"/>
            </w:tcBorders>
          </w:tcPr>
          <w:p>
            <w:pPr>
              <w:pStyle w:val="TableParagraph"/>
              <w:spacing w:before="9"/>
              <w:ind w:left="3750" w:right="3688"/>
              <w:jc w:val="center"/>
              <w:rPr>
                <w:rFonts w:ascii="Microsoft JhengHei" w:eastAsia="Microsoft JhengHei" w:hint="eastAsia"/>
                <w:b/>
                <w:sz w:val="18"/>
              </w:rPr>
            </w:pPr>
            <w:r>
              <w:rPr>
                <w:rFonts w:ascii="Microsoft JhengHei" w:eastAsia="Microsoft JhengHei" w:hint="eastAsia"/>
                <w:b/>
                <w:sz w:val="18"/>
              </w:rPr>
              <w:t>期末余额</w:t>
            </w:r>
          </w:p>
        </w:tc>
      </w:tr>
      <w:tr>
        <w:trPr>
          <w:trHeight w:val="369" w:hRule="atLeast"/>
        </w:trPr>
        <w:tc>
          <w:tcPr>
            <w:tcW w:w="1226" w:type="dxa"/>
            <w:vMerge/>
            <w:tcBorders>
              <w:top w:val="nil"/>
              <w:bottom w:val="single" w:sz="4" w:space="0" w:color="000000"/>
              <w:right w:val="single" w:sz="4" w:space="0" w:color="000000"/>
            </w:tcBorders>
          </w:tcPr>
          <w:p>
            <w:pPr>
              <w:rPr>
                <w:sz w:val="2"/>
                <w:szCs w:val="2"/>
              </w:rPr>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7"/>
              <w:ind w:left="324"/>
              <w:rPr>
                <w:rFonts w:ascii="Microsoft JhengHei" w:eastAsia="Microsoft JhengHei" w:hint="eastAsia"/>
                <w:b/>
                <w:sz w:val="18"/>
              </w:rPr>
            </w:pPr>
            <w:r>
              <w:rPr>
                <w:rFonts w:ascii="Microsoft JhengHei" w:eastAsia="Microsoft JhengHei" w:hint="eastAsia"/>
                <w:b/>
                <w:sz w:val="18"/>
              </w:rPr>
              <w:t>流动资产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before="7"/>
              <w:ind w:left="296"/>
              <w:rPr>
                <w:rFonts w:ascii="Microsoft JhengHei" w:eastAsia="Microsoft JhengHei" w:hint="eastAsia"/>
                <w:b/>
                <w:sz w:val="18"/>
              </w:rPr>
            </w:pPr>
            <w:r>
              <w:rPr>
                <w:rFonts w:ascii="Microsoft JhengHei" w:eastAsia="Microsoft JhengHei" w:hint="eastAsia"/>
                <w:b/>
                <w:sz w:val="18"/>
              </w:rPr>
              <w:t>非流动资产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before="7"/>
              <w:ind w:left="356"/>
              <w:rPr>
                <w:rFonts w:ascii="Microsoft JhengHei" w:eastAsia="Microsoft JhengHei" w:hint="eastAsia"/>
                <w:b/>
                <w:sz w:val="18"/>
              </w:rPr>
            </w:pPr>
            <w:r>
              <w:rPr>
                <w:rFonts w:ascii="Microsoft JhengHei" w:eastAsia="Microsoft JhengHei" w:hint="eastAsia"/>
                <w:b/>
                <w:sz w:val="18"/>
              </w:rPr>
              <w:t>资产合计</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before="7"/>
              <w:ind w:left="354"/>
              <w:rPr>
                <w:rFonts w:ascii="Microsoft JhengHei" w:eastAsia="Microsoft JhengHei" w:hint="eastAsia"/>
                <w:b/>
                <w:sz w:val="18"/>
              </w:rPr>
            </w:pPr>
            <w:r>
              <w:rPr>
                <w:rFonts w:ascii="Microsoft JhengHei" w:eastAsia="Microsoft JhengHei" w:hint="eastAsia"/>
                <w:b/>
                <w:sz w:val="18"/>
              </w:rPr>
              <w:t>流动负债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before="7"/>
              <w:ind w:left="226"/>
              <w:rPr>
                <w:rFonts w:ascii="Microsoft JhengHei" w:eastAsia="Microsoft JhengHei" w:hint="eastAsia"/>
                <w:b/>
                <w:sz w:val="18"/>
              </w:rPr>
            </w:pPr>
            <w:r>
              <w:rPr>
                <w:rFonts w:ascii="Microsoft JhengHei" w:eastAsia="Microsoft JhengHei" w:hint="eastAsia"/>
                <w:b/>
                <w:sz w:val="18"/>
              </w:rPr>
              <w:t>非流动负债</w:t>
            </w:r>
          </w:p>
        </w:tc>
        <w:tc>
          <w:tcPr>
            <w:tcW w:w="1340" w:type="dxa"/>
            <w:tcBorders>
              <w:top w:val="single" w:sz="4" w:space="0" w:color="000000"/>
              <w:left w:val="single" w:sz="4" w:space="0" w:color="000000"/>
              <w:bottom w:val="single" w:sz="4" w:space="0" w:color="000000"/>
            </w:tcBorders>
          </w:tcPr>
          <w:p>
            <w:pPr>
              <w:pStyle w:val="TableParagraph"/>
              <w:spacing w:before="7"/>
              <w:ind w:left="321"/>
              <w:rPr>
                <w:rFonts w:ascii="Microsoft JhengHei" w:eastAsia="Microsoft JhengHei" w:hint="eastAsia"/>
                <w:b/>
                <w:sz w:val="18"/>
              </w:rPr>
            </w:pPr>
            <w:r>
              <w:rPr>
                <w:rFonts w:ascii="Microsoft JhengHei" w:eastAsia="Microsoft JhengHei" w:hint="eastAsia"/>
                <w:b/>
                <w:sz w:val="18"/>
              </w:rPr>
              <w:t>负债合计</w:t>
            </w:r>
          </w:p>
        </w:tc>
      </w:tr>
      <w:tr>
        <w:trPr>
          <w:trHeight w:val="467" w:hRule="atLeast"/>
        </w:trPr>
        <w:tc>
          <w:tcPr>
            <w:tcW w:w="1226" w:type="dxa"/>
            <w:tcBorders>
              <w:top w:val="single" w:sz="4" w:space="0" w:color="000000"/>
              <w:bottom w:val="single" w:sz="4" w:space="0" w:color="000000"/>
              <w:right w:val="single" w:sz="4" w:space="0" w:color="000000"/>
            </w:tcBorders>
          </w:tcPr>
          <w:p>
            <w:pPr>
              <w:pStyle w:val="TableParagraph"/>
              <w:ind w:left="105"/>
              <w:rPr>
                <w:rFonts w:ascii="宋体" w:eastAsia="宋体" w:hint="eastAsia"/>
                <w:sz w:val="18"/>
              </w:rPr>
            </w:pPr>
            <w:r>
              <w:rPr>
                <w:rFonts w:ascii="宋体" w:eastAsia="宋体" w:hint="eastAsia"/>
                <w:sz w:val="18"/>
              </w:rPr>
              <w:t>贵州海尔电</w:t>
            </w:r>
          </w:p>
          <w:p>
            <w:pPr>
              <w:pStyle w:val="TableParagraph"/>
              <w:spacing w:line="215" w:lineRule="exact" w:before="2"/>
              <w:ind w:left="105"/>
              <w:rPr>
                <w:rFonts w:ascii="宋体" w:eastAsia="宋体" w:hint="eastAsia"/>
                <w:sz w:val="18"/>
              </w:rPr>
            </w:pPr>
            <w:r>
              <w:rPr>
                <w:rFonts w:ascii="宋体" w:eastAsia="宋体" w:hint="eastAsia"/>
                <w:sz w:val="18"/>
              </w:rPr>
              <w:t>器有限公司</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140"/>
              <w:ind w:left="314"/>
              <w:rPr>
                <w:sz w:val="15"/>
              </w:rPr>
            </w:pPr>
            <w:r>
              <w:rPr>
                <w:sz w:val="15"/>
              </w:rPr>
              <w:t>598,503,571.44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before="140"/>
              <w:ind w:right="86"/>
              <w:jc w:val="right"/>
              <w:rPr>
                <w:sz w:val="15"/>
              </w:rPr>
            </w:pPr>
            <w:r>
              <w:rPr>
                <w:sz w:val="15"/>
              </w:rPr>
              <w:t>99,869,513.40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before="140"/>
              <w:ind w:right="86"/>
              <w:jc w:val="right"/>
              <w:rPr>
                <w:sz w:val="15"/>
              </w:rPr>
            </w:pPr>
            <w:r>
              <w:rPr>
                <w:sz w:val="15"/>
              </w:rPr>
              <w:t>698,373,084.84</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before="140"/>
              <w:ind w:left="378"/>
              <w:rPr>
                <w:sz w:val="15"/>
              </w:rPr>
            </w:pPr>
            <w:r>
              <w:rPr>
                <w:sz w:val="15"/>
              </w:rPr>
              <w:t>432,050,892.47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before="140"/>
              <w:ind w:right="81"/>
              <w:jc w:val="right"/>
              <w:rPr>
                <w:sz w:val="15"/>
              </w:rPr>
            </w:pPr>
            <w:r>
              <w:rPr>
                <w:sz w:val="15"/>
              </w:rPr>
              <w:t>6,224,582.87</w:t>
            </w:r>
          </w:p>
        </w:tc>
        <w:tc>
          <w:tcPr>
            <w:tcW w:w="1340" w:type="dxa"/>
            <w:tcBorders>
              <w:top w:val="single" w:sz="4" w:space="0" w:color="000000"/>
              <w:left w:val="single" w:sz="4" w:space="0" w:color="000000"/>
              <w:bottom w:val="single" w:sz="4" w:space="0" w:color="000000"/>
            </w:tcBorders>
          </w:tcPr>
          <w:p>
            <w:pPr>
              <w:pStyle w:val="TableParagraph"/>
              <w:spacing w:before="140"/>
              <w:ind w:left="306"/>
              <w:rPr>
                <w:sz w:val="15"/>
              </w:rPr>
            </w:pPr>
            <w:r>
              <w:rPr>
                <w:sz w:val="15"/>
              </w:rPr>
              <w:t>438,275,475.34</w:t>
            </w:r>
          </w:p>
        </w:tc>
      </w:tr>
      <w:tr>
        <w:trPr>
          <w:trHeight w:val="698" w:hRule="atLeast"/>
        </w:trPr>
        <w:tc>
          <w:tcPr>
            <w:tcW w:w="1226" w:type="dxa"/>
            <w:tcBorders>
              <w:top w:val="single" w:sz="4" w:space="0" w:color="000000"/>
              <w:right w:val="single" w:sz="4" w:space="0" w:color="000000"/>
            </w:tcBorders>
          </w:tcPr>
          <w:p>
            <w:pPr>
              <w:pStyle w:val="TableParagraph"/>
              <w:ind w:left="105"/>
              <w:rPr>
                <w:rFonts w:ascii="宋体" w:eastAsia="宋体" w:hint="eastAsia"/>
                <w:sz w:val="18"/>
              </w:rPr>
            </w:pPr>
            <w:r>
              <w:rPr>
                <w:rFonts w:ascii="宋体" w:eastAsia="宋体" w:hint="eastAsia"/>
                <w:sz w:val="18"/>
              </w:rPr>
              <w:t>武汉海尔电</w:t>
            </w:r>
          </w:p>
          <w:p>
            <w:pPr>
              <w:pStyle w:val="TableParagraph"/>
              <w:spacing w:line="230" w:lineRule="atLeast" w:before="2"/>
              <w:ind w:left="105" w:right="200"/>
              <w:rPr>
                <w:rFonts w:ascii="宋体" w:eastAsia="宋体" w:hint="eastAsia"/>
                <w:sz w:val="18"/>
              </w:rPr>
            </w:pPr>
            <w:r>
              <w:rPr>
                <w:rFonts w:ascii="宋体" w:eastAsia="宋体" w:hint="eastAsia"/>
                <w:sz w:val="18"/>
              </w:rPr>
              <w:t>器股份有限公司</w:t>
            </w:r>
          </w:p>
        </w:tc>
        <w:tc>
          <w:tcPr>
            <w:tcW w:w="1351" w:type="dxa"/>
            <w:tcBorders>
              <w:top w:val="single" w:sz="4" w:space="0" w:color="000000"/>
              <w:left w:val="single" w:sz="4" w:space="0" w:color="000000"/>
              <w:right w:val="single" w:sz="4" w:space="0" w:color="000000"/>
            </w:tcBorders>
          </w:tcPr>
          <w:p>
            <w:pPr>
              <w:pStyle w:val="TableParagraph"/>
              <w:spacing w:before="2"/>
              <w:rPr>
                <w:rFonts w:ascii="宋体"/>
                <w:sz w:val="20"/>
              </w:rPr>
            </w:pPr>
          </w:p>
          <w:p>
            <w:pPr>
              <w:pStyle w:val="TableParagraph"/>
              <w:ind w:left="314"/>
              <w:rPr>
                <w:sz w:val="15"/>
              </w:rPr>
            </w:pPr>
            <w:r>
              <w:rPr>
                <w:sz w:val="15"/>
              </w:rPr>
              <w:t>857,372,778.47</w:t>
            </w:r>
          </w:p>
        </w:tc>
        <w:tc>
          <w:tcPr>
            <w:tcW w:w="1418" w:type="dxa"/>
            <w:tcBorders>
              <w:top w:val="single" w:sz="4" w:space="0" w:color="000000"/>
              <w:left w:val="single" w:sz="4" w:space="0" w:color="000000"/>
              <w:right w:val="single" w:sz="4" w:space="0" w:color="000000"/>
            </w:tcBorders>
          </w:tcPr>
          <w:p>
            <w:pPr>
              <w:pStyle w:val="TableParagraph"/>
              <w:spacing w:before="2"/>
              <w:rPr>
                <w:rFonts w:ascii="宋体"/>
                <w:sz w:val="20"/>
              </w:rPr>
            </w:pPr>
          </w:p>
          <w:p>
            <w:pPr>
              <w:pStyle w:val="TableParagraph"/>
              <w:ind w:right="87"/>
              <w:jc w:val="right"/>
              <w:rPr>
                <w:sz w:val="15"/>
              </w:rPr>
            </w:pPr>
            <w:r>
              <w:rPr>
                <w:sz w:val="15"/>
              </w:rPr>
              <w:t>162,182,594.22</w:t>
            </w:r>
          </w:p>
        </w:tc>
        <w:tc>
          <w:tcPr>
            <w:tcW w:w="1418" w:type="dxa"/>
            <w:tcBorders>
              <w:top w:val="single" w:sz="4" w:space="0" w:color="000000"/>
              <w:left w:val="single" w:sz="4" w:space="0" w:color="000000"/>
              <w:right w:val="single" w:sz="4" w:space="0" w:color="000000"/>
            </w:tcBorders>
          </w:tcPr>
          <w:p>
            <w:pPr>
              <w:pStyle w:val="TableParagraph"/>
              <w:spacing w:before="2"/>
              <w:rPr>
                <w:rFonts w:ascii="宋体"/>
                <w:sz w:val="20"/>
              </w:rPr>
            </w:pPr>
          </w:p>
          <w:p>
            <w:pPr>
              <w:pStyle w:val="TableParagraph"/>
              <w:ind w:right="86"/>
              <w:jc w:val="right"/>
              <w:rPr>
                <w:sz w:val="15"/>
              </w:rPr>
            </w:pPr>
            <w:r>
              <w:rPr>
                <w:sz w:val="15"/>
              </w:rPr>
              <w:t>1,019,555,372.69</w:t>
            </w:r>
          </w:p>
        </w:tc>
        <w:tc>
          <w:tcPr>
            <w:tcW w:w="1415" w:type="dxa"/>
            <w:tcBorders>
              <w:top w:val="single" w:sz="4" w:space="0" w:color="000000"/>
              <w:left w:val="single" w:sz="4" w:space="0" w:color="000000"/>
              <w:right w:val="single" w:sz="4" w:space="0" w:color="000000"/>
            </w:tcBorders>
          </w:tcPr>
          <w:p>
            <w:pPr>
              <w:pStyle w:val="TableParagraph"/>
              <w:spacing w:before="2"/>
              <w:rPr>
                <w:rFonts w:ascii="宋体"/>
                <w:sz w:val="20"/>
              </w:rPr>
            </w:pPr>
          </w:p>
          <w:p>
            <w:pPr>
              <w:pStyle w:val="TableParagraph"/>
              <w:ind w:left="378"/>
              <w:rPr>
                <w:sz w:val="15"/>
              </w:rPr>
            </w:pPr>
            <w:r>
              <w:rPr>
                <w:sz w:val="15"/>
              </w:rPr>
              <w:t>392,247,858.10</w:t>
            </w:r>
          </w:p>
        </w:tc>
        <w:tc>
          <w:tcPr>
            <w:tcW w:w="1276" w:type="dxa"/>
            <w:tcBorders>
              <w:top w:val="single" w:sz="4" w:space="0" w:color="000000"/>
              <w:left w:val="single" w:sz="4" w:space="0" w:color="000000"/>
              <w:right w:val="single" w:sz="4" w:space="0" w:color="000000"/>
            </w:tcBorders>
          </w:tcPr>
          <w:p>
            <w:pPr>
              <w:pStyle w:val="TableParagraph"/>
              <w:spacing w:before="5"/>
              <w:rPr>
                <w:rFonts w:ascii="宋体"/>
                <w:sz w:val="19"/>
              </w:rPr>
            </w:pPr>
          </w:p>
          <w:p>
            <w:pPr>
              <w:pStyle w:val="TableParagraph"/>
              <w:ind w:right="6"/>
              <w:jc w:val="right"/>
              <w:rPr>
                <w:rFonts w:ascii="宋体"/>
                <w:sz w:val="15"/>
              </w:rPr>
            </w:pPr>
            <w:r>
              <w:rPr>
                <w:rFonts w:ascii="宋体"/>
                <w:w w:val="100"/>
                <w:sz w:val="15"/>
              </w:rPr>
              <w:t> </w:t>
            </w:r>
          </w:p>
        </w:tc>
        <w:tc>
          <w:tcPr>
            <w:tcW w:w="1340" w:type="dxa"/>
            <w:tcBorders>
              <w:top w:val="single" w:sz="4" w:space="0" w:color="000000"/>
              <w:left w:val="single" w:sz="4" w:space="0" w:color="000000"/>
            </w:tcBorders>
          </w:tcPr>
          <w:p>
            <w:pPr>
              <w:pStyle w:val="TableParagraph"/>
              <w:spacing w:before="2"/>
              <w:rPr>
                <w:rFonts w:ascii="宋体"/>
                <w:sz w:val="20"/>
              </w:rPr>
            </w:pPr>
          </w:p>
          <w:p>
            <w:pPr>
              <w:pStyle w:val="TableParagraph"/>
              <w:ind w:left="306"/>
              <w:rPr>
                <w:sz w:val="15"/>
              </w:rPr>
            </w:pPr>
            <w:r>
              <w:rPr>
                <w:sz w:val="15"/>
              </w:rPr>
              <w:t>392,247,858.10</w:t>
            </w:r>
          </w:p>
        </w:tc>
      </w:tr>
    </w:tbl>
    <w:p>
      <w:pPr>
        <w:pStyle w:val="BodyText"/>
        <w:spacing w:before="123"/>
        <w:ind w:left="1538"/>
      </w:pPr>
      <w:r>
        <w:rPr/>
        <w:t>续表</w:t>
      </w:r>
    </w:p>
    <w:p>
      <w:pPr>
        <w:pStyle w:val="BodyText"/>
        <w:spacing w:before="8"/>
        <w:rPr>
          <w:sz w:val="9"/>
        </w:rPr>
      </w:pPr>
    </w:p>
    <w:tbl>
      <w:tblPr>
        <w:tblW w:w="0" w:type="auto"/>
        <w:jc w:val="left"/>
        <w:tblInd w:w="124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26"/>
        <w:gridCol w:w="1351"/>
        <w:gridCol w:w="1418"/>
        <w:gridCol w:w="1418"/>
        <w:gridCol w:w="1415"/>
        <w:gridCol w:w="1276"/>
        <w:gridCol w:w="1340"/>
      </w:tblGrid>
      <w:tr>
        <w:trPr>
          <w:trHeight w:val="368" w:hRule="atLeast"/>
        </w:trPr>
        <w:tc>
          <w:tcPr>
            <w:tcW w:w="1226" w:type="dxa"/>
            <w:vMerge w:val="restart"/>
            <w:tcBorders>
              <w:bottom w:val="single" w:sz="4" w:space="0" w:color="000000"/>
              <w:right w:val="single" w:sz="4" w:space="0" w:color="000000"/>
            </w:tcBorders>
          </w:tcPr>
          <w:p>
            <w:pPr>
              <w:pStyle w:val="TableParagraph"/>
              <w:spacing w:before="4"/>
              <w:rPr>
                <w:rFonts w:ascii="宋体"/>
                <w:sz w:val="15"/>
              </w:rPr>
            </w:pPr>
          </w:p>
          <w:p>
            <w:pPr>
              <w:pStyle w:val="TableParagraph"/>
              <w:ind w:left="167"/>
              <w:rPr>
                <w:rFonts w:ascii="Microsoft JhengHei" w:eastAsia="Microsoft JhengHei" w:hint="eastAsia"/>
                <w:b/>
                <w:sz w:val="18"/>
              </w:rPr>
            </w:pPr>
            <w:r>
              <w:rPr>
                <w:rFonts w:ascii="Microsoft JhengHei" w:eastAsia="Microsoft JhengHei" w:hint="eastAsia"/>
                <w:b/>
                <w:sz w:val="18"/>
              </w:rPr>
              <w:t>子公司名称</w:t>
            </w:r>
          </w:p>
        </w:tc>
        <w:tc>
          <w:tcPr>
            <w:tcW w:w="8218" w:type="dxa"/>
            <w:gridSpan w:val="6"/>
            <w:tcBorders>
              <w:left w:val="single" w:sz="4" w:space="0" w:color="000000"/>
              <w:bottom w:val="single" w:sz="4" w:space="0" w:color="000000"/>
            </w:tcBorders>
          </w:tcPr>
          <w:p>
            <w:pPr>
              <w:pStyle w:val="TableParagraph"/>
              <w:spacing w:before="7"/>
              <w:ind w:left="3750" w:right="3688"/>
              <w:jc w:val="center"/>
              <w:rPr>
                <w:rFonts w:ascii="Microsoft JhengHei" w:eastAsia="Microsoft JhengHei" w:hint="eastAsia"/>
                <w:b/>
                <w:sz w:val="18"/>
              </w:rPr>
            </w:pPr>
            <w:r>
              <w:rPr>
                <w:rFonts w:ascii="Microsoft JhengHei" w:eastAsia="Microsoft JhengHei" w:hint="eastAsia"/>
                <w:b/>
                <w:sz w:val="18"/>
              </w:rPr>
              <w:t>期初余额</w:t>
            </w:r>
          </w:p>
        </w:tc>
      </w:tr>
      <w:tr>
        <w:trPr>
          <w:trHeight w:val="369" w:hRule="atLeast"/>
        </w:trPr>
        <w:tc>
          <w:tcPr>
            <w:tcW w:w="1226" w:type="dxa"/>
            <w:vMerge/>
            <w:tcBorders>
              <w:top w:val="nil"/>
              <w:bottom w:val="single" w:sz="4" w:space="0" w:color="000000"/>
              <w:right w:val="single" w:sz="4" w:space="0" w:color="000000"/>
            </w:tcBorders>
          </w:tcPr>
          <w:p>
            <w:pPr>
              <w:rPr>
                <w:sz w:val="2"/>
                <w:szCs w:val="2"/>
              </w:rPr>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7"/>
              <w:ind w:left="324"/>
              <w:rPr>
                <w:rFonts w:ascii="Microsoft JhengHei" w:eastAsia="Microsoft JhengHei" w:hint="eastAsia"/>
                <w:b/>
                <w:sz w:val="18"/>
              </w:rPr>
            </w:pPr>
            <w:r>
              <w:rPr>
                <w:rFonts w:ascii="Microsoft JhengHei" w:eastAsia="Microsoft JhengHei" w:hint="eastAsia"/>
                <w:b/>
                <w:sz w:val="18"/>
              </w:rPr>
              <w:t>流动资产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before="7"/>
              <w:ind w:left="296"/>
              <w:rPr>
                <w:rFonts w:ascii="Microsoft JhengHei" w:eastAsia="Microsoft JhengHei" w:hint="eastAsia"/>
                <w:b/>
                <w:sz w:val="18"/>
              </w:rPr>
            </w:pPr>
            <w:r>
              <w:rPr>
                <w:rFonts w:ascii="Microsoft JhengHei" w:eastAsia="Microsoft JhengHei" w:hint="eastAsia"/>
                <w:b/>
                <w:sz w:val="18"/>
              </w:rPr>
              <w:t>非流动资产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before="7"/>
              <w:ind w:left="356"/>
              <w:rPr>
                <w:rFonts w:ascii="Microsoft JhengHei" w:eastAsia="Microsoft JhengHei" w:hint="eastAsia"/>
                <w:b/>
                <w:sz w:val="18"/>
              </w:rPr>
            </w:pPr>
            <w:r>
              <w:rPr>
                <w:rFonts w:ascii="Microsoft JhengHei" w:eastAsia="Microsoft JhengHei" w:hint="eastAsia"/>
                <w:b/>
                <w:sz w:val="18"/>
              </w:rPr>
              <w:t>资产合计</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before="7"/>
              <w:ind w:left="354"/>
              <w:rPr>
                <w:rFonts w:ascii="Microsoft JhengHei" w:eastAsia="Microsoft JhengHei" w:hint="eastAsia"/>
                <w:b/>
                <w:sz w:val="18"/>
              </w:rPr>
            </w:pPr>
            <w:r>
              <w:rPr>
                <w:rFonts w:ascii="Microsoft JhengHei" w:eastAsia="Microsoft JhengHei" w:hint="eastAsia"/>
                <w:b/>
                <w:sz w:val="18"/>
              </w:rPr>
              <w:t>流动负债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before="7"/>
              <w:ind w:left="226"/>
              <w:rPr>
                <w:rFonts w:ascii="Microsoft JhengHei" w:eastAsia="Microsoft JhengHei" w:hint="eastAsia"/>
                <w:b/>
                <w:sz w:val="18"/>
              </w:rPr>
            </w:pPr>
            <w:r>
              <w:rPr>
                <w:rFonts w:ascii="Microsoft JhengHei" w:eastAsia="Microsoft JhengHei" w:hint="eastAsia"/>
                <w:b/>
                <w:sz w:val="18"/>
              </w:rPr>
              <w:t>非流动负债</w:t>
            </w:r>
          </w:p>
        </w:tc>
        <w:tc>
          <w:tcPr>
            <w:tcW w:w="1340" w:type="dxa"/>
            <w:tcBorders>
              <w:top w:val="single" w:sz="4" w:space="0" w:color="000000"/>
              <w:left w:val="single" w:sz="4" w:space="0" w:color="000000"/>
              <w:bottom w:val="single" w:sz="4" w:space="0" w:color="000000"/>
            </w:tcBorders>
          </w:tcPr>
          <w:p>
            <w:pPr>
              <w:pStyle w:val="TableParagraph"/>
              <w:spacing w:before="7"/>
              <w:ind w:left="321"/>
              <w:rPr>
                <w:rFonts w:ascii="Microsoft JhengHei" w:eastAsia="Microsoft JhengHei" w:hint="eastAsia"/>
                <w:b/>
                <w:sz w:val="18"/>
              </w:rPr>
            </w:pPr>
            <w:r>
              <w:rPr>
                <w:rFonts w:ascii="Microsoft JhengHei" w:eastAsia="Microsoft JhengHei" w:hint="eastAsia"/>
                <w:b/>
                <w:sz w:val="18"/>
              </w:rPr>
              <w:t>负债合计</w:t>
            </w:r>
          </w:p>
        </w:tc>
      </w:tr>
      <w:tr>
        <w:trPr>
          <w:trHeight w:val="465" w:hRule="atLeast"/>
        </w:trPr>
        <w:tc>
          <w:tcPr>
            <w:tcW w:w="1226" w:type="dxa"/>
            <w:tcBorders>
              <w:top w:val="single" w:sz="4" w:space="0" w:color="000000"/>
              <w:bottom w:val="single" w:sz="4" w:space="0" w:color="000000"/>
              <w:right w:val="single" w:sz="4" w:space="0" w:color="000000"/>
            </w:tcBorders>
          </w:tcPr>
          <w:p>
            <w:pPr>
              <w:pStyle w:val="TableParagraph"/>
              <w:spacing w:line="230" w:lineRule="exact"/>
              <w:ind w:left="105"/>
              <w:rPr>
                <w:rFonts w:ascii="宋体" w:eastAsia="宋体" w:hint="eastAsia"/>
                <w:sz w:val="18"/>
              </w:rPr>
            </w:pPr>
            <w:r>
              <w:rPr>
                <w:rFonts w:ascii="宋体" w:eastAsia="宋体" w:hint="eastAsia"/>
                <w:sz w:val="18"/>
              </w:rPr>
              <w:t>贵州海尔电</w:t>
            </w:r>
          </w:p>
          <w:p>
            <w:pPr>
              <w:pStyle w:val="TableParagraph"/>
              <w:spacing w:line="213" w:lineRule="exact" w:before="2"/>
              <w:ind w:left="105"/>
              <w:rPr>
                <w:rFonts w:ascii="宋体" w:eastAsia="宋体" w:hint="eastAsia"/>
                <w:sz w:val="18"/>
              </w:rPr>
            </w:pPr>
            <w:r>
              <w:rPr>
                <w:rFonts w:ascii="宋体" w:eastAsia="宋体" w:hint="eastAsia"/>
                <w:sz w:val="18"/>
              </w:rPr>
              <w:t>器有限公司</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140"/>
              <w:ind w:left="314"/>
              <w:rPr>
                <w:sz w:val="15"/>
              </w:rPr>
            </w:pPr>
            <w:r>
              <w:rPr>
                <w:sz w:val="15"/>
              </w:rPr>
              <w:t>395,985,056.11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before="140"/>
              <w:ind w:right="86"/>
              <w:jc w:val="right"/>
              <w:rPr>
                <w:sz w:val="15"/>
              </w:rPr>
            </w:pPr>
            <w:r>
              <w:rPr>
                <w:sz w:val="15"/>
              </w:rPr>
              <w:t>62,937,392.59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before="140"/>
              <w:ind w:right="86"/>
              <w:jc w:val="right"/>
              <w:rPr>
                <w:sz w:val="15"/>
              </w:rPr>
            </w:pPr>
            <w:r>
              <w:rPr>
                <w:sz w:val="15"/>
              </w:rPr>
              <w:t>458,922,448.70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before="140"/>
              <w:ind w:left="378"/>
              <w:rPr>
                <w:sz w:val="15"/>
              </w:rPr>
            </w:pPr>
            <w:r>
              <w:rPr>
                <w:sz w:val="15"/>
              </w:rPr>
              <w:t>177,929,542.31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before="140"/>
              <w:ind w:right="81"/>
              <w:jc w:val="right"/>
              <w:rPr>
                <w:sz w:val="15"/>
              </w:rPr>
            </w:pPr>
            <w:r>
              <w:rPr>
                <w:sz w:val="15"/>
              </w:rPr>
              <w:t>7,523,242.30</w:t>
            </w:r>
          </w:p>
        </w:tc>
        <w:tc>
          <w:tcPr>
            <w:tcW w:w="1340" w:type="dxa"/>
            <w:tcBorders>
              <w:top w:val="single" w:sz="4" w:space="0" w:color="000000"/>
              <w:left w:val="single" w:sz="4" w:space="0" w:color="000000"/>
              <w:bottom w:val="single" w:sz="4" w:space="0" w:color="000000"/>
            </w:tcBorders>
          </w:tcPr>
          <w:p>
            <w:pPr>
              <w:pStyle w:val="TableParagraph"/>
              <w:spacing w:before="140"/>
              <w:ind w:left="306"/>
              <w:rPr>
                <w:sz w:val="15"/>
              </w:rPr>
            </w:pPr>
            <w:r>
              <w:rPr>
                <w:sz w:val="15"/>
              </w:rPr>
              <w:t>185,452,784.61</w:t>
            </w:r>
          </w:p>
        </w:tc>
      </w:tr>
      <w:tr>
        <w:trPr>
          <w:trHeight w:val="699" w:hRule="atLeast"/>
        </w:trPr>
        <w:tc>
          <w:tcPr>
            <w:tcW w:w="1226" w:type="dxa"/>
            <w:tcBorders>
              <w:top w:val="single" w:sz="4" w:space="0" w:color="000000"/>
              <w:right w:val="single" w:sz="4" w:space="0" w:color="000000"/>
            </w:tcBorders>
          </w:tcPr>
          <w:p>
            <w:pPr>
              <w:pStyle w:val="TableParagraph"/>
              <w:spacing w:line="230" w:lineRule="atLeast" w:before="2"/>
              <w:ind w:left="105" w:right="200"/>
              <w:jc w:val="both"/>
              <w:rPr>
                <w:rFonts w:ascii="宋体" w:eastAsia="宋体" w:hint="eastAsia"/>
                <w:sz w:val="18"/>
              </w:rPr>
            </w:pPr>
            <w:r>
              <w:rPr>
                <w:rFonts w:ascii="宋体" w:eastAsia="宋体" w:hint="eastAsia"/>
                <w:sz w:val="18"/>
              </w:rPr>
              <w:t>武汉海尔电器股份有限公司</w:t>
            </w:r>
          </w:p>
        </w:tc>
        <w:tc>
          <w:tcPr>
            <w:tcW w:w="1351" w:type="dxa"/>
            <w:tcBorders>
              <w:top w:val="single" w:sz="4" w:space="0" w:color="000000"/>
              <w:left w:val="single" w:sz="4" w:space="0" w:color="000000"/>
              <w:right w:val="single" w:sz="4" w:space="0" w:color="000000"/>
            </w:tcBorders>
          </w:tcPr>
          <w:p>
            <w:pPr>
              <w:pStyle w:val="TableParagraph"/>
              <w:spacing w:before="4"/>
              <w:rPr>
                <w:rFonts w:ascii="宋体"/>
                <w:sz w:val="20"/>
              </w:rPr>
            </w:pPr>
          </w:p>
          <w:p>
            <w:pPr>
              <w:pStyle w:val="TableParagraph"/>
              <w:ind w:left="314"/>
              <w:rPr>
                <w:sz w:val="15"/>
              </w:rPr>
            </w:pPr>
            <w:r>
              <w:rPr>
                <w:sz w:val="15"/>
              </w:rPr>
              <w:t>968,026,486.23</w:t>
            </w:r>
          </w:p>
        </w:tc>
        <w:tc>
          <w:tcPr>
            <w:tcW w:w="1418" w:type="dxa"/>
            <w:tcBorders>
              <w:top w:val="single" w:sz="4" w:space="0" w:color="000000"/>
              <w:left w:val="single" w:sz="4" w:space="0" w:color="000000"/>
              <w:right w:val="single" w:sz="4" w:space="0" w:color="000000"/>
            </w:tcBorders>
          </w:tcPr>
          <w:p>
            <w:pPr>
              <w:pStyle w:val="TableParagraph"/>
              <w:spacing w:before="4"/>
              <w:rPr>
                <w:rFonts w:ascii="宋体"/>
                <w:sz w:val="20"/>
              </w:rPr>
            </w:pPr>
          </w:p>
          <w:p>
            <w:pPr>
              <w:pStyle w:val="TableParagraph"/>
              <w:ind w:right="87"/>
              <w:jc w:val="right"/>
              <w:rPr>
                <w:sz w:val="15"/>
              </w:rPr>
            </w:pPr>
            <w:r>
              <w:rPr>
                <w:sz w:val="15"/>
              </w:rPr>
              <w:t>159,403,524.03</w:t>
            </w:r>
          </w:p>
        </w:tc>
        <w:tc>
          <w:tcPr>
            <w:tcW w:w="1418" w:type="dxa"/>
            <w:tcBorders>
              <w:top w:val="single" w:sz="4" w:space="0" w:color="000000"/>
              <w:left w:val="single" w:sz="4" w:space="0" w:color="000000"/>
              <w:right w:val="single" w:sz="4" w:space="0" w:color="000000"/>
            </w:tcBorders>
          </w:tcPr>
          <w:p>
            <w:pPr>
              <w:pStyle w:val="TableParagraph"/>
              <w:spacing w:before="4"/>
              <w:rPr>
                <w:rFonts w:ascii="宋体"/>
                <w:sz w:val="20"/>
              </w:rPr>
            </w:pPr>
          </w:p>
          <w:p>
            <w:pPr>
              <w:pStyle w:val="TableParagraph"/>
              <w:ind w:right="86"/>
              <w:jc w:val="right"/>
              <w:rPr>
                <w:sz w:val="15"/>
              </w:rPr>
            </w:pPr>
            <w:r>
              <w:rPr>
                <w:sz w:val="15"/>
              </w:rPr>
              <w:t>1,127,430,010.26</w:t>
            </w:r>
          </w:p>
        </w:tc>
        <w:tc>
          <w:tcPr>
            <w:tcW w:w="1415" w:type="dxa"/>
            <w:tcBorders>
              <w:top w:val="single" w:sz="4" w:space="0" w:color="000000"/>
              <w:left w:val="single" w:sz="4" w:space="0" w:color="000000"/>
              <w:right w:val="single" w:sz="4" w:space="0" w:color="000000"/>
            </w:tcBorders>
          </w:tcPr>
          <w:p>
            <w:pPr>
              <w:pStyle w:val="TableParagraph"/>
              <w:spacing w:before="4"/>
              <w:rPr>
                <w:rFonts w:ascii="宋体"/>
                <w:sz w:val="20"/>
              </w:rPr>
            </w:pPr>
          </w:p>
          <w:p>
            <w:pPr>
              <w:pStyle w:val="TableParagraph"/>
              <w:ind w:left="378"/>
              <w:rPr>
                <w:sz w:val="15"/>
              </w:rPr>
            </w:pPr>
            <w:r>
              <w:rPr>
                <w:sz w:val="15"/>
              </w:rPr>
              <w:t>464,471,899.44</w:t>
            </w:r>
          </w:p>
        </w:tc>
        <w:tc>
          <w:tcPr>
            <w:tcW w:w="1276" w:type="dxa"/>
            <w:tcBorders>
              <w:top w:val="single" w:sz="4" w:space="0" w:color="000000"/>
              <w:left w:val="single" w:sz="4" w:space="0" w:color="000000"/>
              <w:right w:val="single" w:sz="4" w:space="0" w:color="000000"/>
            </w:tcBorders>
          </w:tcPr>
          <w:p>
            <w:pPr>
              <w:pStyle w:val="TableParagraph"/>
              <w:spacing w:before="7"/>
              <w:rPr>
                <w:rFonts w:ascii="宋体"/>
                <w:sz w:val="19"/>
              </w:rPr>
            </w:pPr>
          </w:p>
          <w:p>
            <w:pPr>
              <w:pStyle w:val="TableParagraph"/>
              <w:ind w:right="6"/>
              <w:jc w:val="right"/>
              <w:rPr>
                <w:rFonts w:ascii="宋体"/>
                <w:sz w:val="15"/>
              </w:rPr>
            </w:pPr>
            <w:r>
              <w:rPr>
                <w:rFonts w:ascii="宋体"/>
                <w:w w:val="100"/>
                <w:sz w:val="15"/>
              </w:rPr>
              <w:t> </w:t>
            </w:r>
          </w:p>
        </w:tc>
        <w:tc>
          <w:tcPr>
            <w:tcW w:w="1340" w:type="dxa"/>
            <w:tcBorders>
              <w:top w:val="single" w:sz="4" w:space="0" w:color="000000"/>
              <w:left w:val="single" w:sz="4" w:space="0" w:color="000000"/>
            </w:tcBorders>
          </w:tcPr>
          <w:p>
            <w:pPr>
              <w:pStyle w:val="TableParagraph"/>
              <w:spacing w:before="4"/>
              <w:rPr>
                <w:rFonts w:ascii="宋体"/>
                <w:sz w:val="20"/>
              </w:rPr>
            </w:pPr>
          </w:p>
          <w:p>
            <w:pPr>
              <w:pStyle w:val="TableParagraph"/>
              <w:ind w:left="306"/>
              <w:rPr>
                <w:sz w:val="15"/>
              </w:rPr>
            </w:pPr>
            <w:r>
              <w:rPr>
                <w:sz w:val="15"/>
              </w:rPr>
              <w:t>464,471,899.44</w:t>
            </w:r>
          </w:p>
        </w:tc>
      </w:tr>
    </w:tbl>
    <w:p>
      <w:pPr>
        <w:pStyle w:val="BodyText"/>
        <w:spacing w:before="1"/>
        <w:rPr>
          <w:sz w:val="19"/>
        </w:rPr>
      </w:pPr>
    </w:p>
    <w:tbl>
      <w:tblPr>
        <w:tblW w:w="0" w:type="auto"/>
        <w:jc w:val="left"/>
        <w:tblInd w:w="12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713"/>
        <w:gridCol w:w="1673"/>
        <w:gridCol w:w="1561"/>
        <w:gridCol w:w="1712"/>
        <w:gridCol w:w="1882"/>
      </w:tblGrid>
      <w:tr>
        <w:trPr>
          <w:trHeight w:val="369" w:hRule="atLeast"/>
        </w:trPr>
        <w:tc>
          <w:tcPr>
            <w:tcW w:w="2713" w:type="dxa"/>
            <w:vMerge w:val="restart"/>
            <w:tcBorders>
              <w:bottom w:val="single" w:sz="4" w:space="0" w:color="000000"/>
              <w:right w:val="single" w:sz="4" w:space="0" w:color="000000"/>
            </w:tcBorders>
          </w:tcPr>
          <w:p>
            <w:pPr>
              <w:pStyle w:val="TableParagraph"/>
              <w:spacing w:before="5"/>
              <w:rPr>
                <w:rFonts w:ascii="宋体"/>
                <w:sz w:val="15"/>
              </w:rPr>
            </w:pPr>
          </w:p>
          <w:p>
            <w:pPr>
              <w:pStyle w:val="TableParagraph"/>
              <w:ind w:left="911"/>
              <w:rPr>
                <w:rFonts w:ascii="Microsoft JhengHei" w:eastAsia="Microsoft JhengHei" w:hint="eastAsia"/>
                <w:b/>
                <w:sz w:val="18"/>
              </w:rPr>
            </w:pPr>
            <w:r>
              <w:rPr>
                <w:rFonts w:ascii="Microsoft JhengHei" w:eastAsia="Microsoft JhengHei" w:hint="eastAsia"/>
                <w:b/>
                <w:sz w:val="18"/>
              </w:rPr>
              <w:t>子公司名称</w:t>
            </w:r>
          </w:p>
        </w:tc>
        <w:tc>
          <w:tcPr>
            <w:tcW w:w="6828" w:type="dxa"/>
            <w:gridSpan w:val="4"/>
            <w:tcBorders>
              <w:left w:val="single" w:sz="4" w:space="0" w:color="000000"/>
              <w:bottom w:val="single" w:sz="4" w:space="0" w:color="000000"/>
            </w:tcBorders>
          </w:tcPr>
          <w:p>
            <w:pPr>
              <w:pStyle w:val="TableParagraph"/>
              <w:spacing w:before="7"/>
              <w:ind w:left="2959" w:right="2909"/>
              <w:jc w:val="center"/>
              <w:rPr>
                <w:rFonts w:ascii="Microsoft JhengHei" w:eastAsia="Microsoft JhengHei" w:hint="eastAsia"/>
                <w:b/>
                <w:sz w:val="18"/>
              </w:rPr>
            </w:pPr>
            <w:r>
              <w:rPr>
                <w:rFonts w:ascii="Microsoft JhengHei" w:eastAsia="Microsoft JhengHei" w:hint="eastAsia"/>
                <w:b/>
                <w:sz w:val="18"/>
              </w:rPr>
              <w:t>本期发生额</w:t>
            </w:r>
          </w:p>
        </w:tc>
      </w:tr>
      <w:tr>
        <w:trPr>
          <w:trHeight w:val="369" w:hRule="atLeast"/>
        </w:trPr>
        <w:tc>
          <w:tcPr>
            <w:tcW w:w="2713" w:type="dxa"/>
            <w:vMerge/>
            <w:tcBorders>
              <w:top w:val="nil"/>
              <w:bottom w:val="single" w:sz="4" w:space="0" w:color="000000"/>
              <w:right w:val="single" w:sz="4" w:space="0" w:color="000000"/>
            </w:tcBorders>
          </w:tcPr>
          <w:p>
            <w:pPr>
              <w:rPr>
                <w:sz w:val="2"/>
                <w:szCs w:val="2"/>
              </w:rPr>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before="7"/>
              <w:ind w:left="484"/>
              <w:rPr>
                <w:rFonts w:ascii="Microsoft JhengHei" w:eastAsia="Microsoft JhengHei" w:hint="eastAsia"/>
                <w:b/>
                <w:sz w:val="18"/>
              </w:rPr>
            </w:pPr>
            <w:r>
              <w:rPr>
                <w:rFonts w:ascii="Microsoft JhengHei" w:eastAsia="Microsoft JhengHei" w:hint="eastAsia"/>
                <w:b/>
                <w:sz w:val="18"/>
              </w:rPr>
              <w:t>营业收入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7"/>
              <w:ind w:left="517"/>
              <w:rPr>
                <w:rFonts w:ascii="Microsoft JhengHei" w:eastAsia="Microsoft JhengHei" w:hint="eastAsia"/>
                <w:b/>
                <w:sz w:val="18"/>
              </w:rPr>
            </w:pPr>
            <w:r>
              <w:rPr>
                <w:rFonts w:ascii="Microsoft JhengHei" w:eastAsia="Microsoft JhengHei" w:hint="eastAsia"/>
                <w:b/>
                <w:sz w:val="18"/>
              </w:rPr>
              <w:t>净利润</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before="7"/>
              <w:ind w:left="320"/>
              <w:rPr>
                <w:rFonts w:ascii="Microsoft JhengHei" w:eastAsia="Microsoft JhengHei" w:hint="eastAsia"/>
                <w:b/>
                <w:sz w:val="18"/>
              </w:rPr>
            </w:pPr>
            <w:r>
              <w:rPr>
                <w:rFonts w:ascii="Microsoft JhengHei" w:eastAsia="Microsoft JhengHei" w:hint="eastAsia"/>
                <w:b/>
                <w:sz w:val="18"/>
              </w:rPr>
              <w:t>综合收益总额</w:t>
            </w:r>
          </w:p>
        </w:tc>
        <w:tc>
          <w:tcPr>
            <w:tcW w:w="1882" w:type="dxa"/>
            <w:tcBorders>
              <w:top w:val="single" w:sz="4" w:space="0" w:color="000000"/>
              <w:left w:val="single" w:sz="4" w:space="0" w:color="000000"/>
              <w:bottom w:val="single" w:sz="4" w:space="0" w:color="000000"/>
            </w:tcBorders>
          </w:tcPr>
          <w:p>
            <w:pPr>
              <w:pStyle w:val="TableParagraph"/>
              <w:spacing w:before="7"/>
              <w:ind w:left="226"/>
              <w:rPr>
                <w:rFonts w:ascii="Microsoft JhengHei" w:eastAsia="Microsoft JhengHei" w:hint="eastAsia"/>
                <w:b/>
                <w:sz w:val="18"/>
              </w:rPr>
            </w:pPr>
            <w:r>
              <w:rPr>
                <w:rFonts w:ascii="Microsoft JhengHei" w:eastAsia="Microsoft JhengHei" w:hint="eastAsia"/>
                <w:b/>
                <w:sz w:val="18"/>
              </w:rPr>
              <w:t>经营活动现金流量</w:t>
            </w:r>
          </w:p>
        </w:tc>
      </w:tr>
      <w:tr>
        <w:trPr>
          <w:trHeight w:val="369" w:hRule="atLeast"/>
        </w:trPr>
        <w:tc>
          <w:tcPr>
            <w:tcW w:w="2713"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贵州海尔电器有限公司</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before="76"/>
              <w:ind w:right="87"/>
              <w:jc w:val="right"/>
              <w:rPr>
                <w:sz w:val="18"/>
              </w:rPr>
            </w:pPr>
            <w:r>
              <w:rPr>
                <w:sz w:val="18"/>
              </w:rPr>
              <w:t>1,108,361,158.81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76"/>
              <w:ind w:right="88"/>
              <w:jc w:val="right"/>
              <w:rPr>
                <w:sz w:val="18"/>
              </w:rPr>
            </w:pPr>
            <w:r>
              <w:rPr>
                <w:sz w:val="18"/>
              </w:rPr>
              <w:t>16,627,945.41</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before="76"/>
              <w:ind w:right="88"/>
              <w:jc w:val="right"/>
              <w:rPr>
                <w:sz w:val="18"/>
              </w:rPr>
            </w:pPr>
            <w:r>
              <w:rPr>
                <w:sz w:val="18"/>
              </w:rPr>
              <w:t>16,627,945.41</w:t>
            </w:r>
          </w:p>
        </w:tc>
        <w:tc>
          <w:tcPr>
            <w:tcW w:w="1882" w:type="dxa"/>
            <w:tcBorders>
              <w:top w:val="single" w:sz="4" w:space="0" w:color="000000"/>
              <w:left w:val="single" w:sz="4" w:space="0" w:color="000000"/>
              <w:bottom w:val="single" w:sz="4" w:space="0" w:color="000000"/>
            </w:tcBorders>
          </w:tcPr>
          <w:p>
            <w:pPr>
              <w:pStyle w:val="TableParagraph"/>
              <w:spacing w:before="76"/>
              <w:ind w:right="78"/>
              <w:jc w:val="right"/>
              <w:rPr>
                <w:sz w:val="18"/>
              </w:rPr>
            </w:pPr>
            <w:r>
              <w:rPr>
                <w:sz w:val="18"/>
              </w:rPr>
              <w:t>-182,379,402.95</w:t>
            </w:r>
          </w:p>
        </w:tc>
      </w:tr>
      <w:tr>
        <w:trPr>
          <w:trHeight w:val="366" w:hRule="atLeast"/>
        </w:trPr>
        <w:tc>
          <w:tcPr>
            <w:tcW w:w="2713" w:type="dxa"/>
            <w:tcBorders>
              <w:top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武汉海尔电器股份有限公司</w:t>
            </w:r>
          </w:p>
        </w:tc>
        <w:tc>
          <w:tcPr>
            <w:tcW w:w="1673" w:type="dxa"/>
            <w:tcBorders>
              <w:top w:val="single" w:sz="4" w:space="0" w:color="000000"/>
              <w:left w:val="single" w:sz="4" w:space="0" w:color="000000"/>
              <w:right w:val="single" w:sz="4" w:space="0" w:color="000000"/>
            </w:tcBorders>
          </w:tcPr>
          <w:p>
            <w:pPr>
              <w:pStyle w:val="TableParagraph"/>
              <w:spacing w:before="76"/>
              <w:ind w:right="87"/>
              <w:jc w:val="right"/>
              <w:rPr>
                <w:sz w:val="18"/>
              </w:rPr>
            </w:pPr>
            <w:r>
              <w:rPr>
                <w:sz w:val="18"/>
              </w:rPr>
              <w:t>1,226,979,947.42</w:t>
            </w:r>
          </w:p>
        </w:tc>
        <w:tc>
          <w:tcPr>
            <w:tcW w:w="1561" w:type="dxa"/>
            <w:tcBorders>
              <w:top w:val="single" w:sz="4" w:space="0" w:color="000000"/>
              <w:left w:val="single" w:sz="4" w:space="0" w:color="000000"/>
              <w:right w:val="single" w:sz="4" w:space="0" w:color="000000"/>
            </w:tcBorders>
          </w:tcPr>
          <w:p>
            <w:pPr>
              <w:pStyle w:val="TableParagraph"/>
              <w:spacing w:before="76"/>
              <w:ind w:right="88"/>
              <w:jc w:val="right"/>
              <w:rPr>
                <w:sz w:val="18"/>
              </w:rPr>
            </w:pPr>
            <w:r>
              <w:rPr>
                <w:sz w:val="18"/>
              </w:rPr>
              <w:t>-35,650,596.23</w:t>
            </w:r>
          </w:p>
        </w:tc>
        <w:tc>
          <w:tcPr>
            <w:tcW w:w="1712" w:type="dxa"/>
            <w:tcBorders>
              <w:top w:val="single" w:sz="4" w:space="0" w:color="000000"/>
              <w:left w:val="single" w:sz="4" w:space="0" w:color="000000"/>
              <w:right w:val="single" w:sz="4" w:space="0" w:color="000000"/>
            </w:tcBorders>
          </w:tcPr>
          <w:p>
            <w:pPr>
              <w:pStyle w:val="TableParagraph"/>
              <w:spacing w:before="76"/>
              <w:ind w:right="88"/>
              <w:jc w:val="right"/>
              <w:rPr>
                <w:sz w:val="18"/>
              </w:rPr>
            </w:pPr>
            <w:r>
              <w:rPr>
                <w:sz w:val="18"/>
              </w:rPr>
              <w:t>-35,650,596.23</w:t>
            </w:r>
          </w:p>
        </w:tc>
        <w:tc>
          <w:tcPr>
            <w:tcW w:w="1882" w:type="dxa"/>
            <w:tcBorders>
              <w:top w:val="single" w:sz="4" w:space="0" w:color="000000"/>
              <w:left w:val="single" w:sz="4" w:space="0" w:color="000000"/>
            </w:tcBorders>
          </w:tcPr>
          <w:p>
            <w:pPr>
              <w:pStyle w:val="TableParagraph"/>
              <w:spacing w:before="76"/>
              <w:ind w:right="78"/>
              <w:jc w:val="right"/>
              <w:rPr>
                <w:sz w:val="18"/>
              </w:rPr>
            </w:pPr>
            <w:r>
              <w:rPr>
                <w:sz w:val="18"/>
              </w:rPr>
              <w:t>-102,707,239.57</w:t>
            </w:r>
          </w:p>
        </w:tc>
      </w:tr>
    </w:tbl>
    <w:p>
      <w:pPr>
        <w:pStyle w:val="BodyText"/>
        <w:spacing w:before="3" w:after="4"/>
        <w:ind w:left="1538"/>
      </w:pPr>
      <w:r>
        <w:rPr>
          <w:spacing w:val="-2"/>
        </w:rPr>
        <w:t>续表</w:t>
      </w:r>
      <w:r>
        <w:rPr/>
        <w:t> </w:t>
      </w:r>
    </w:p>
    <w:tbl>
      <w:tblPr>
        <w:tblW w:w="0" w:type="auto"/>
        <w:jc w:val="left"/>
        <w:tblInd w:w="118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854"/>
        <w:gridCol w:w="1673"/>
        <w:gridCol w:w="1558"/>
        <w:gridCol w:w="1801"/>
        <w:gridCol w:w="1688"/>
      </w:tblGrid>
      <w:tr>
        <w:trPr>
          <w:trHeight w:val="368" w:hRule="atLeast"/>
        </w:trPr>
        <w:tc>
          <w:tcPr>
            <w:tcW w:w="2854" w:type="dxa"/>
            <w:vMerge w:val="restart"/>
            <w:tcBorders>
              <w:bottom w:val="single" w:sz="4" w:space="0" w:color="000000"/>
              <w:right w:val="single" w:sz="4" w:space="0" w:color="000000"/>
            </w:tcBorders>
          </w:tcPr>
          <w:p>
            <w:pPr>
              <w:pStyle w:val="TableParagraph"/>
              <w:spacing w:before="4"/>
              <w:rPr>
                <w:rFonts w:ascii="宋体"/>
                <w:sz w:val="15"/>
              </w:rPr>
            </w:pPr>
          </w:p>
          <w:p>
            <w:pPr>
              <w:pStyle w:val="TableParagraph"/>
              <w:ind w:left="962" w:right="932"/>
              <w:jc w:val="center"/>
              <w:rPr>
                <w:rFonts w:ascii="Microsoft JhengHei" w:eastAsia="Microsoft JhengHei" w:hint="eastAsia"/>
                <w:b/>
                <w:sz w:val="18"/>
              </w:rPr>
            </w:pPr>
            <w:r>
              <w:rPr>
                <w:rFonts w:ascii="Microsoft JhengHei" w:eastAsia="Microsoft JhengHei" w:hint="eastAsia"/>
                <w:b/>
                <w:sz w:val="18"/>
              </w:rPr>
              <w:t>子公司名称</w:t>
            </w:r>
          </w:p>
        </w:tc>
        <w:tc>
          <w:tcPr>
            <w:tcW w:w="6720" w:type="dxa"/>
            <w:gridSpan w:val="4"/>
            <w:tcBorders>
              <w:left w:val="single" w:sz="4" w:space="0" w:color="000000"/>
              <w:bottom w:val="single" w:sz="4" w:space="0" w:color="000000"/>
            </w:tcBorders>
          </w:tcPr>
          <w:p>
            <w:pPr>
              <w:pStyle w:val="TableParagraph"/>
              <w:spacing w:before="7"/>
              <w:ind w:left="2904" w:right="2855"/>
              <w:jc w:val="center"/>
              <w:rPr>
                <w:rFonts w:ascii="Microsoft JhengHei" w:eastAsia="Microsoft JhengHei" w:hint="eastAsia"/>
                <w:b/>
                <w:sz w:val="18"/>
              </w:rPr>
            </w:pPr>
            <w:r>
              <w:rPr>
                <w:rFonts w:ascii="Microsoft JhengHei" w:eastAsia="Microsoft JhengHei" w:hint="eastAsia"/>
                <w:b/>
                <w:sz w:val="18"/>
              </w:rPr>
              <w:t>上期发生额</w:t>
            </w:r>
          </w:p>
        </w:tc>
      </w:tr>
      <w:tr>
        <w:trPr>
          <w:trHeight w:val="369" w:hRule="atLeast"/>
        </w:trPr>
        <w:tc>
          <w:tcPr>
            <w:tcW w:w="2854" w:type="dxa"/>
            <w:vMerge/>
            <w:tcBorders>
              <w:top w:val="nil"/>
              <w:bottom w:val="single" w:sz="4" w:space="0" w:color="000000"/>
              <w:right w:val="single" w:sz="4" w:space="0" w:color="000000"/>
            </w:tcBorders>
          </w:tcPr>
          <w:p>
            <w:pPr>
              <w:rPr>
                <w:sz w:val="2"/>
                <w:szCs w:val="2"/>
              </w:rPr>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before="7"/>
              <w:ind w:left="482"/>
              <w:rPr>
                <w:rFonts w:ascii="Microsoft JhengHei" w:eastAsia="Microsoft JhengHei" w:hint="eastAsia"/>
                <w:b/>
                <w:sz w:val="18"/>
              </w:rPr>
            </w:pPr>
            <w:r>
              <w:rPr>
                <w:rFonts w:ascii="Microsoft JhengHei" w:eastAsia="Microsoft JhengHei" w:hint="eastAsia"/>
                <w:b/>
                <w:sz w:val="18"/>
              </w:rPr>
              <w:t>营业收入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before="7"/>
              <w:ind w:left="516"/>
              <w:rPr>
                <w:rFonts w:ascii="Microsoft JhengHei" w:eastAsia="Microsoft JhengHei" w:hint="eastAsia"/>
                <w:b/>
                <w:sz w:val="18"/>
              </w:rPr>
            </w:pPr>
            <w:r>
              <w:rPr>
                <w:rFonts w:ascii="Microsoft JhengHei" w:eastAsia="Microsoft JhengHei" w:hint="eastAsia"/>
                <w:b/>
                <w:sz w:val="18"/>
              </w:rPr>
              <w:t>净利润</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7"/>
              <w:ind w:left="366"/>
              <w:rPr>
                <w:rFonts w:ascii="Microsoft JhengHei" w:eastAsia="Microsoft JhengHei" w:hint="eastAsia"/>
                <w:b/>
                <w:sz w:val="18"/>
              </w:rPr>
            </w:pPr>
            <w:r>
              <w:rPr>
                <w:rFonts w:ascii="Microsoft JhengHei" w:eastAsia="Microsoft JhengHei" w:hint="eastAsia"/>
                <w:b/>
                <w:sz w:val="18"/>
              </w:rPr>
              <w:t>综合收益总额</w:t>
            </w:r>
          </w:p>
        </w:tc>
        <w:tc>
          <w:tcPr>
            <w:tcW w:w="1688" w:type="dxa"/>
            <w:tcBorders>
              <w:top w:val="single" w:sz="4" w:space="0" w:color="000000"/>
              <w:left w:val="single" w:sz="4" w:space="0" w:color="000000"/>
              <w:bottom w:val="single" w:sz="4" w:space="0" w:color="000000"/>
            </w:tcBorders>
          </w:tcPr>
          <w:p>
            <w:pPr>
              <w:pStyle w:val="TableParagraph"/>
              <w:spacing w:before="7"/>
              <w:ind w:right="92"/>
              <w:jc w:val="right"/>
              <w:rPr>
                <w:rFonts w:ascii="Microsoft JhengHei" w:eastAsia="Microsoft JhengHei" w:hint="eastAsia"/>
                <w:b/>
                <w:sz w:val="18"/>
              </w:rPr>
            </w:pPr>
            <w:r>
              <w:rPr>
                <w:rFonts w:ascii="Microsoft JhengHei" w:eastAsia="Microsoft JhengHei" w:hint="eastAsia"/>
                <w:b/>
                <w:sz w:val="18"/>
              </w:rPr>
              <w:t>经营活动现金流量</w:t>
            </w:r>
          </w:p>
        </w:tc>
      </w:tr>
      <w:tr>
        <w:trPr>
          <w:trHeight w:val="369" w:hRule="atLeast"/>
        </w:trPr>
        <w:tc>
          <w:tcPr>
            <w:tcW w:w="2854"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贵州海尔电器有限公司</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before="76"/>
              <w:ind w:right="89"/>
              <w:jc w:val="right"/>
              <w:rPr>
                <w:sz w:val="18"/>
              </w:rPr>
            </w:pPr>
            <w:r>
              <w:rPr>
                <w:sz w:val="18"/>
              </w:rPr>
              <w:t>1,408,675,861.26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before="76"/>
              <w:ind w:right="86"/>
              <w:jc w:val="right"/>
              <w:rPr>
                <w:sz w:val="18"/>
              </w:rPr>
            </w:pPr>
            <w:r>
              <w:rPr>
                <w:sz w:val="18"/>
              </w:rPr>
              <w:t>31,010,981.05</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76"/>
              <w:ind w:right="87"/>
              <w:jc w:val="right"/>
              <w:rPr>
                <w:sz w:val="18"/>
              </w:rPr>
            </w:pPr>
            <w:r>
              <w:rPr>
                <w:sz w:val="18"/>
              </w:rPr>
              <w:t>31,010,981.05</w:t>
            </w:r>
          </w:p>
        </w:tc>
        <w:tc>
          <w:tcPr>
            <w:tcW w:w="1688" w:type="dxa"/>
            <w:tcBorders>
              <w:top w:val="single" w:sz="4" w:space="0" w:color="000000"/>
              <w:left w:val="single" w:sz="4" w:space="0" w:color="000000"/>
              <w:bottom w:val="single" w:sz="4" w:space="0" w:color="000000"/>
            </w:tcBorders>
          </w:tcPr>
          <w:p>
            <w:pPr>
              <w:pStyle w:val="TableParagraph"/>
              <w:spacing w:before="76"/>
              <w:ind w:right="77"/>
              <w:jc w:val="right"/>
              <w:rPr>
                <w:sz w:val="18"/>
              </w:rPr>
            </w:pPr>
            <w:r>
              <w:rPr>
                <w:sz w:val="18"/>
              </w:rPr>
              <w:t>168,289,320.95</w:t>
            </w:r>
          </w:p>
        </w:tc>
      </w:tr>
      <w:tr>
        <w:trPr>
          <w:trHeight w:val="366" w:hRule="atLeast"/>
        </w:trPr>
        <w:tc>
          <w:tcPr>
            <w:tcW w:w="2854" w:type="dxa"/>
            <w:tcBorders>
              <w:top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武汉海尔电器股份有限公司</w:t>
            </w:r>
          </w:p>
        </w:tc>
        <w:tc>
          <w:tcPr>
            <w:tcW w:w="1673" w:type="dxa"/>
            <w:tcBorders>
              <w:top w:val="single" w:sz="4" w:space="0" w:color="000000"/>
              <w:left w:val="single" w:sz="4" w:space="0" w:color="000000"/>
              <w:right w:val="single" w:sz="4" w:space="0" w:color="000000"/>
            </w:tcBorders>
          </w:tcPr>
          <w:p>
            <w:pPr>
              <w:pStyle w:val="TableParagraph"/>
              <w:spacing w:before="76"/>
              <w:ind w:right="89"/>
              <w:jc w:val="right"/>
              <w:rPr>
                <w:sz w:val="18"/>
              </w:rPr>
            </w:pPr>
            <w:r>
              <w:rPr>
                <w:sz w:val="18"/>
              </w:rPr>
              <w:t>1,996,073,968.98</w:t>
            </w:r>
          </w:p>
        </w:tc>
        <w:tc>
          <w:tcPr>
            <w:tcW w:w="1558" w:type="dxa"/>
            <w:tcBorders>
              <w:top w:val="single" w:sz="4" w:space="0" w:color="000000"/>
              <w:left w:val="single" w:sz="4" w:space="0" w:color="000000"/>
              <w:right w:val="single" w:sz="4" w:space="0" w:color="000000"/>
            </w:tcBorders>
          </w:tcPr>
          <w:p>
            <w:pPr>
              <w:pStyle w:val="TableParagraph"/>
              <w:spacing w:before="76"/>
              <w:ind w:right="86"/>
              <w:jc w:val="right"/>
              <w:rPr>
                <w:sz w:val="18"/>
              </w:rPr>
            </w:pPr>
            <w:r>
              <w:rPr>
                <w:sz w:val="18"/>
              </w:rPr>
              <w:t>63,100,531.13</w:t>
            </w:r>
          </w:p>
        </w:tc>
        <w:tc>
          <w:tcPr>
            <w:tcW w:w="1801" w:type="dxa"/>
            <w:tcBorders>
              <w:top w:val="single" w:sz="4" w:space="0" w:color="000000"/>
              <w:left w:val="single" w:sz="4" w:space="0" w:color="000000"/>
              <w:right w:val="single" w:sz="4" w:space="0" w:color="000000"/>
            </w:tcBorders>
          </w:tcPr>
          <w:p>
            <w:pPr>
              <w:pStyle w:val="TableParagraph"/>
              <w:spacing w:before="76"/>
              <w:ind w:right="87"/>
              <w:jc w:val="right"/>
              <w:rPr>
                <w:sz w:val="18"/>
              </w:rPr>
            </w:pPr>
            <w:r>
              <w:rPr>
                <w:sz w:val="18"/>
              </w:rPr>
              <w:t>63,100,531.13</w:t>
            </w:r>
          </w:p>
        </w:tc>
        <w:tc>
          <w:tcPr>
            <w:tcW w:w="1688" w:type="dxa"/>
            <w:tcBorders>
              <w:top w:val="single" w:sz="4" w:space="0" w:color="000000"/>
              <w:left w:val="single" w:sz="4" w:space="0" w:color="000000"/>
            </w:tcBorders>
          </w:tcPr>
          <w:p>
            <w:pPr>
              <w:pStyle w:val="TableParagraph"/>
              <w:spacing w:before="76"/>
              <w:ind w:right="77"/>
              <w:jc w:val="right"/>
              <w:rPr>
                <w:sz w:val="18"/>
              </w:rPr>
            </w:pPr>
            <w:r>
              <w:rPr>
                <w:sz w:val="18"/>
              </w:rPr>
              <w:t>254,103,821.03</w:t>
            </w:r>
          </w:p>
        </w:tc>
      </w:tr>
    </w:tbl>
    <w:p>
      <w:pPr>
        <w:pStyle w:val="BodyText"/>
        <w:spacing w:line="267" w:lineRule="exact" w:before="3"/>
        <w:ind w:left="1538"/>
      </w:pPr>
      <w:r>
        <w:rPr>
          <w:w w:val="100"/>
        </w:rPr>
        <w:t> </w:t>
      </w:r>
    </w:p>
    <w:p>
      <w:pPr>
        <w:pStyle w:val="Heading4"/>
        <w:spacing w:line="384" w:lineRule="exact"/>
      </w:pPr>
      <w:r>
        <w:rPr>
          <w:rFonts w:ascii="Times New Roman" w:eastAsia="Times New Roman"/>
        </w:rPr>
        <w:t>2</w:t>
      </w:r>
      <w:r>
        <w:rPr/>
        <w:t>、 在子公司的所有者权益份额发生变化且仍控制子公司的交易</w:t>
      </w:r>
    </w:p>
    <w:p>
      <w:pPr>
        <w:pStyle w:val="BodyText"/>
        <w:spacing w:line="265" w:lineRule="exact" w:before="15"/>
        <w:ind w:left="1538"/>
      </w:pPr>
      <w:r>
        <w:rPr/>
        <w:t>√适用 □不适用</w:t>
      </w:r>
    </w:p>
    <w:p>
      <w:pPr>
        <w:pStyle w:val="Heading4"/>
        <w:numPr>
          <w:ilvl w:val="0"/>
          <w:numId w:val="68"/>
        </w:numPr>
        <w:tabs>
          <w:tab w:pos="1963" w:val="left" w:leader="none"/>
        </w:tabs>
        <w:spacing w:line="383" w:lineRule="exact" w:before="0" w:after="0"/>
        <w:ind w:left="1962" w:right="0" w:hanging="425"/>
        <w:jc w:val="left"/>
      </w:pPr>
      <w:r>
        <w:rPr>
          <w:spacing w:val="-2"/>
        </w:rPr>
        <w:t>在子公司所有者权益份额的变化情况的说明</w:t>
      </w:r>
    </w:p>
    <w:p>
      <w:pPr>
        <w:pStyle w:val="BodyText"/>
        <w:spacing w:before="16"/>
        <w:ind w:left="1538"/>
        <w:jc w:val="both"/>
      </w:pPr>
      <w:r>
        <w:rPr/>
        <w:t>√适用 □不适用</w:t>
      </w:r>
    </w:p>
    <w:p>
      <w:pPr>
        <w:pStyle w:val="BodyText"/>
        <w:spacing w:line="364" w:lineRule="auto" w:before="3"/>
        <w:ind w:left="1538" w:right="1273" w:firstLine="424"/>
        <w:jc w:val="both"/>
      </w:pPr>
      <w:r>
        <w:rPr/>
        <w:t>子公司海尔电器集团有限公司本期少数股东行权等导致公司持股比例变动；公司非同比例增资对子公司持股比例变动；公司及公司子公司收购少数股权导致公司持股比例变动；公司子公司少数股东增资导致公司持股比例变动。</w:t>
      </w:r>
    </w:p>
    <w:p>
      <w:pPr>
        <w:spacing w:after="0" w:line="364" w:lineRule="auto"/>
        <w:jc w:val="both"/>
        <w:sectPr>
          <w:pgSz w:w="11910" w:h="16840"/>
          <w:pgMar w:header="876" w:footer="1184" w:top="1440" w:bottom="1400" w:left="260" w:right="0"/>
        </w:sectPr>
      </w:pPr>
    </w:p>
    <w:p>
      <w:pPr>
        <w:pStyle w:val="Heading4"/>
        <w:numPr>
          <w:ilvl w:val="0"/>
          <w:numId w:val="68"/>
        </w:numPr>
        <w:tabs>
          <w:tab w:pos="1963" w:val="left" w:leader="none"/>
        </w:tabs>
        <w:spacing w:line="385" w:lineRule="exact" w:before="0" w:after="0"/>
        <w:ind w:left="1962" w:right="0" w:hanging="425"/>
        <w:jc w:val="left"/>
      </w:pPr>
      <w:r>
        <w:rPr>
          <w:spacing w:val="-3"/>
        </w:rPr>
        <w:t>交易对于少数股东权益及归属于母公司所有者权益的影响：</w:t>
      </w:r>
    </w:p>
    <w:p>
      <w:pPr>
        <w:pStyle w:val="BodyText"/>
        <w:spacing w:before="17"/>
        <w:ind w:left="1538"/>
      </w:pPr>
      <w:r>
        <w:rPr>
          <w:w w:val="100"/>
        </w:rPr>
        <w:t> </w:t>
      </w:r>
    </w:p>
    <w:tbl>
      <w:tblPr>
        <w:tblW w:w="0" w:type="auto"/>
        <w:jc w:val="left"/>
        <w:tblInd w:w="135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788"/>
        <w:gridCol w:w="2876"/>
        <w:gridCol w:w="2559"/>
      </w:tblGrid>
      <w:tr>
        <w:trPr>
          <w:trHeight w:val="371" w:hRule="atLeast"/>
        </w:trPr>
        <w:tc>
          <w:tcPr>
            <w:tcW w:w="3788" w:type="dxa"/>
            <w:tcBorders>
              <w:bottom w:val="single" w:sz="4" w:space="0" w:color="000000"/>
              <w:right w:val="single" w:sz="4" w:space="0" w:color="000000"/>
            </w:tcBorders>
          </w:tcPr>
          <w:p>
            <w:pPr>
              <w:pStyle w:val="TableParagraph"/>
              <w:spacing w:line="346" w:lineRule="exact"/>
              <w:ind w:left="1871" w:right="1436"/>
              <w:jc w:val="center"/>
              <w:rPr>
                <w:rFonts w:ascii="Microsoft JhengHei" w:eastAsia="Microsoft JhengHei" w:hint="eastAsia"/>
                <w:b/>
                <w:sz w:val="21"/>
              </w:rPr>
            </w:pPr>
            <w:r>
              <w:rPr>
                <w:rFonts w:ascii="Microsoft JhengHei" w:eastAsia="Microsoft JhengHei" w:hint="eastAsia"/>
                <w:b/>
                <w:sz w:val="21"/>
              </w:rPr>
              <w:t>项目</w:t>
            </w:r>
          </w:p>
        </w:tc>
        <w:tc>
          <w:tcPr>
            <w:tcW w:w="2876" w:type="dxa"/>
            <w:tcBorders>
              <w:left w:val="single" w:sz="4" w:space="0" w:color="000000"/>
              <w:bottom w:val="single" w:sz="4" w:space="0" w:color="000000"/>
              <w:right w:val="single" w:sz="4" w:space="0" w:color="000000"/>
            </w:tcBorders>
          </w:tcPr>
          <w:p>
            <w:pPr>
              <w:pStyle w:val="TableParagraph"/>
              <w:spacing w:line="346" w:lineRule="exact"/>
              <w:ind w:left="390"/>
              <w:rPr>
                <w:rFonts w:ascii="Microsoft JhengHei" w:eastAsia="Microsoft JhengHei" w:hint="eastAsia"/>
                <w:b/>
                <w:sz w:val="21"/>
              </w:rPr>
            </w:pPr>
            <w:r>
              <w:rPr>
                <w:rFonts w:ascii="Microsoft JhengHei" w:eastAsia="Microsoft JhengHei" w:hint="eastAsia"/>
                <w:b/>
                <w:sz w:val="21"/>
              </w:rPr>
              <w:t>海尔电器集团有限公司</w:t>
            </w:r>
          </w:p>
        </w:tc>
        <w:tc>
          <w:tcPr>
            <w:tcW w:w="2559" w:type="dxa"/>
            <w:tcBorders>
              <w:left w:val="single" w:sz="4" w:space="0" w:color="000000"/>
              <w:bottom w:val="single" w:sz="4" w:space="0" w:color="000000"/>
            </w:tcBorders>
          </w:tcPr>
          <w:p>
            <w:pPr>
              <w:pStyle w:val="TableParagraph"/>
              <w:spacing w:line="346" w:lineRule="exact"/>
              <w:ind w:left="1058" w:right="1020"/>
              <w:jc w:val="center"/>
              <w:rPr>
                <w:rFonts w:ascii="Microsoft JhengHei" w:eastAsia="Microsoft JhengHei" w:hint="eastAsia"/>
                <w:b/>
                <w:sz w:val="21"/>
              </w:rPr>
            </w:pPr>
            <w:r>
              <w:rPr>
                <w:rFonts w:ascii="Microsoft JhengHei" w:eastAsia="Microsoft JhengHei" w:hint="eastAsia"/>
                <w:b/>
                <w:sz w:val="21"/>
              </w:rPr>
              <w:t>其他</w:t>
            </w:r>
          </w:p>
        </w:tc>
      </w:tr>
      <w:tr>
        <w:trPr>
          <w:trHeight w:val="369" w:hRule="atLeast"/>
        </w:trPr>
        <w:tc>
          <w:tcPr>
            <w:tcW w:w="3788" w:type="dxa"/>
            <w:tcBorders>
              <w:top w:val="single" w:sz="4" w:space="0" w:color="000000"/>
              <w:bottom w:val="single" w:sz="4" w:space="0" w:color="000000"/>
              <w:right w:val="single" w:sz="4" w:space="0" w:color="000000"/>
            </w:tcBorders>
          </w:tcPr>
          <w:p>
            <w:pPr>
              <w:pStyle w:val="TableParagraph"/>
              <w:spacing w:before="27"/>
              <w:ind w:left="107"/>
              <w:rPr>
                <w:rFonts w:ascii="宋体" w:eastAsia="宋体" w:hint="eastAsia"/>
                <w:sz w:val="21"/>
              </w:rPr>
            </w:pPr>
            <w:r>
              <w:rPr>
                <w:rFonts w:ascii="宋体" w:eastAsia="宋体" w:hint="eastAsia"/>
                <w:sz w:val="21"/>
              </w:rPr>
              <w:t>购买成本</w:t>
            </w:r>
            <w:r>
              <w:rPr>
                <w:sz w:val="21"/>
              </w:rPr>
              <w:t>/</w:t>
            </w:r>
            <w:r>
              <w:rPr>
                <w:rFonts w:ascii="宋体" w:eastAsia="宋体" w:hint="eastAsia"/>
                <w:sz w:val="21"/>
              </w:rPr>
              <w:t>处置对价合计</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before="55"/>
              <w:ind w:right="89"/>
              <w:jc w:val="right"/>
              <w:rPr>
                <w:sz w:val="21"/>
              </w:rPr>
            </w:pPr>
            <w:r>
              <w:rPr>
                <w:sz w:val="21"/>
              </w:rPr>
              <w:t>4,961,050,949.05</w:t>
            </w:r>
          </w:p>
        </w:tc>
        <w:tc>
          <w:tcPr>
            <w:tcW w:w="2559" w:type="dxa"/>
            <w:tcBorders>
              <w:top w:val="single" w:sz="4" w:space="0" w:color="000000"/>
              <w:left w:val="single" w:sz="4" w:space="0" w:color="000000"/>
              <w:bottom w:val="single" w:sz="4" w:space="0" w:color="000000"/>
            </w:tcBorders>
          </w:tcPr>
          <w:p>
            <w:pPr>
              <w:pStyle w:val="TableParagraph"/>
              <w:spacing w:before="55"/>
              <w:ind w:right="74"/>
              <w:jc w:val="right"/>
              <w:rPr>
                <w:sz w:val="21"/>
              </w:rPr>
            </w:pPr>
            <w:r>
              <w:rPr>
                <w:sz w:val="21"/>
              </w:rPr>
              <w:t>156,758,850.97</w:t>
            </w:r>
          </w:p>
        </w:tc>
      </w:tr>
      <w:tr>
        <w:trPr>
          <w:trHeight w:val="626" w:hRule="atLeast"/>
        </w:trPr>
        <w:tc>
          <w:tcPr>
            <w:tcW w:w="3788" w:type="dxa"/>
            <w:tcBorders>
              <w:top w:val="single" w:sz="4" w:space="0" w:color="000000"/>
              <w:bottom w:val="single" w:sz="4" w:space="0" w:color="000000"/>
              <w:right w:val="single" w:sz="4" w:space="0" w:color="000000"/>
            </w:tcBorders>
          </w:tcPr>
          <w:p>
            <w:pPr>
              <w:pStyle w:val="TableParagraph"/>
              <w:spacing w:before="1"/>
              <w:ind w:left="107"/>
              <w:rPr>
                <w:rFonts w:ascii="宋体" w:eastAsia="宋体" w:hint="eastAsia"/>
                <w:sz w:val="21"/>
              </w:rPr>
            </w:pPr>
            <w:r>
              <w:rPr>
                <w:rFonts w:ascii="宋体" w:eastAsia="宋体" w:hint="eastAsia"/>
                <w:sz w:val="21"/>
              </w:rPr>
              <w:t>减：按取得</w:t>
            </w:r>
            <w:r>
              <w:rPr>
                <w:sz w:val="21"/>
              </w:rPr>
              <w:t>/</w:t>
            </w:r>
            <w:r>
              <w:rPr>
                <w:rFonts w:ascii="宋体" w:eastAsia="宋体" w:hint="eastAsia"/>
                <w:sz w:val="21"/>
              </w:rPr>
              <w:t>处置的股权比例计算的子公</w:t>
            </w:r>
          </w:p>
          <w:p>
            <w:pPr>
              <w:pStyle w:val="TableParagraph"/>
              <w:spacing w:before="43"/>
              <w:ind w:left="107"/>
              <w:rPr>
                <w:rFonts w:ascii="宋体" w:eastAsia="宋体" w:hint="eastAsia"/>
                <w:sz w:val="21"/>
              </w:rPr>
            </w:pPr>
            <w:r>
              <w:rPr>
                <w:rFonts w:ascii="宋体" w:eastAsia="宋体" w:hint="eastAsia"/>
                <w:sz w:val="21"/>
              </w:rPr>
              <w:t>司净资产份额</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before="185"/>
              <w:ind w:right="87"/>
              <w:jc w:val="right"/>
              <w:rPr>
                <w:sz w:val="21"/>
              </w:rPr>
            </w:pPr>
            <w:r>
              <w:rPr>
                <w:sz w:val="21"/>
              </w:rPr>
              <w:t>17,468,756,530.27</w:t>
            </w:r>
          </w:p>
        </w:tc>
        <w:tc>
          <w:tcPr>
            <w:tcW w:w="2559" w:type="dxa"/>
            <w:tcBorders>
              <w:top w:val="single" w:sz="4" w:space="0" w:color="000000"/>
              <w:left w:val="single" w:sz="4" w:space="0" w:color="000000"/>
              <w:bottom w:val="single" w:sz="4" w:space="0" w:color="000000"/>
            </w:tcBorders>
          </w:tcPr>
          <w:p>
            <w:pPr>
              <w:pStyle w:val="TableParagraph"/>
              <w:spacing w:before="185"/>
              <w:ind w:right="74"/>
              <w:jc w:val="right"/>
              <w:rPr>
                <w:sz w:val="21"/>
              </w:rPr>
            </w:pPr>
            <w:r>
              <w:rPr>
                <w:sz w:val="21"/>
              </w:rPr>
              <w:t>544,730,801.95</w:t>
            </w:r>
          </w:p>
        </w:tc>
      </w:tr>
      <w:tr>
        <w:trPr>
          <w:trHeight w:val="369" w:hRule="atLeast"/>
        </w:trPr>
        <w:tc>
          <w:tcPr>
            <w:tcW w:w="3788" w:type="dxa"/>
            <w:tcBorders>
              <w:top w:val="single" w:sz="4" w:space="0" w:color="000000"/>
              <w:bottom w:val="single" w:sz="4" w:space="0" w:color="000000"/>
              <w:right w:val="single" w:sz="4" w:space="0" w:color="000000"/>
            </w:tcBorders>
          </w:tcPr>
          <w:p>
            <w:pPr>
              <w:pStyle w:val="TableParagraph"/>
              <w:spacing w:before="27"/>
              <w:ind w:left="107"/>
              <w:rPr>
                <w:rFonts w:ascii="宋体" w:eastAsia="宋体" w:hint="eastAsia"/>
                <w:sz w:val="21"/>
              </w:rPr>
            </w:pPr>
            <w:r>
              <w:rPr>
                <w:rFonts w:ascii="宋体" w:eastAsia="宋体" w:hint="eastAsia"/>
                <w:sz w:val="21"/>
              </w:rPr>
              <w:t>差额</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before="55"/>
              <w:ind w:right="87"/>
              <w:jc w:val="right"/>
              <w:rPr>
                <w:sz w:val="21"/>
              </w:rPr>
            </w:pPr>
            <w:r>
              <w:rPr>
                <w:sz w:val="21"/>
              </w:rPr>
              <w:t>12,507,705,581.22</w:t>
            </w:r>
          </w:p>
        </w:tc>
        <w:tc>
          <w:tcPr>
            <w:tcW w:w="2559" w:type="dxa"/>
            <w:tcBorders>
              <w:top w:val="single" w:sz="4" w:space="0" w:color="000000"/>
              <w:left w:val="single" w:sz="4" w:space="0" w:color="000000"/>
              <w:bottom w:val="single" w:sz="4" w:space="0" w:color="000000"/>
            </w:tcBorders>
          </w:tcPr>
          <w:p>
            <w:pPr>
              <w:pStyle w:val="TableParagraph"/>
              <w:spacing w:before="55"/>
              <w:ind w:right="74"/>
              <w:jc w:val="right"/>
              <w:rPr>
                <w:sz w:val="21"/>
              </w:rPr>
            </w:pPr>
            <w:r>
              <w:rPr>
                <w:sz w:val="21"/>
              </w:rPr>
              <w:t>387,971,950.98</w:t>
            </w:r>
          </w:p>
        </w:tc>
      </w:tr>
      <w:tr>
        <w:trPr>
          <w:trHeight w:val="366" w:hRule="atLeast"/>
        </w:trPr>
        <w:tc>
          <w:tcPr>
            <w:tcW w:w="3788" w:type="dxa"/>
            <w:tcBorders>
              <w:top w:val="single" w:sz="4" w:space="0" w:color="000000"/>
              <w:right w:val="single" w:sz="4" w:space="0" w:color="000000"/>
            </w:tcBorders>
          </w:tcPr>
          <w:p>
            <w:pPr>
              <w:pStyle w:val="TableParagraph"/>
              <w:spacing w:before="27"/>
              <w:ind w:left="107"/>
              <w:rPr>
                <w:rFonts w:ascii="宋体" w:eastAsia="宋体" w:hint="eastAsia"/>
                <w:sz w:val="21"/>
              </w:rPr>
            </w:pPr>
            <w:r>
              <w:rPr>
                <w:rFonts w:ascii="宋体" w:eastAsia="宋体" w:hint="eastAsia"/>
                <w:sz w:val="21"/>
              </w:rPr>
              <w:t>其中：调增资本公积</w:t>
            </w:r>
          </w:p>
        </w:tc>
        <w:tc>
          <w:tcPr>
            <w:tcW w:w="2876" w:type="dxa"/>
            <w:tcBorders>
              <w:top w:val="single" w:sz="4" w:space="0" w:color="000000"/>
              <w:left w:val="single" w:sz="4" w:space="0" w:color="000000"/>
              <w:right w:val="single" w:sz="4" w:space="0" w:color="000000"/>
            </w:tcBorders>
          </w:tcPr>
          <w:p>
            <w:pPr>
              <w:pStyle w:val="TableParagraph"/>
              <w:spacing w:before="55"/>
              <w:ind w:right="87"/>
              <w:jc w:val="right"/>
              <w:rPr>
                <w:sz w:val="21"/>
              </w:rPr>
            </w:pPr>
            <w:r>
              <w:rPr>
                <w:sz w:val="21"/>
              </w:rPr>
              <w:t>12,507,705,581.22</w:t>
            </w:r>
          </w:p>
        </w:tc>
        <w:tc>
          <w:tcPr>
            <w:tcW w:w="2559" w:type="dxa"/>
            <w:tcBorders>
              <w:top w:val="single" w:sz="4" w:space="0" w:color="000000"/>
              <w:left w:val="single" w:sz="4" w:space="0" w:color="000000"/>
            </w:tcBorders>
          </w:tcPr>
          <w:p>
            <w:pPr>
              <w:pStyle w:val="TableParagraph"/>
              <w:spacing w:before="55"/>
              <w:ind w:right="74"/>
              <w:jc w:val="right"/>
              <w:rPr>
                <w:sz w:val="21"/>
              </w:rPr>
            </w:pPr>
            <w:r>
              <w:rPr>
                <w:sz w:val="21"/>
              </w:rPr>
              <w:t>387,971,950.98</w:t>
            </w:r>
          </w:p>
        </w:tc>
      </w:tr>
    </w:tbl>
    <w:p>
      <w:pPr>
        <w:pStyle w:val="BodyText"/>
        <w:spacing w:line="267" w:lineRule="exact" w:before="3"/>
        <w:ind w:left="1538"/>
      </w:pPr>
      <w:r>
        <w:rPr>
          <w:w w:val="100"/>
        </w:rPr>
        <w:t> </w:t>
      </w:r>
    </w:p>
    <w:p>
      <w:pPr>
        <w:pStyle w:val="Heading4"/>
        <w:spacing w:line="384" w:lineRule="exact"/>
      </w:pPr>
      <w:r>
        <w:rPr>
          <w:rFonts w:ascii="Times New Roman" w:eastAsia="Times New Roman"/>
        </w:rPr>
        <w:t>3</w:t>
      </w:r>
      <w:r>
        <w:rPr/>
        <w:t>、 在合营企业或联营企业中的权益</w:t>
      </w:r>
    </w:p>
    <w:p>
      <w:pPr>
        <w:pStyle w:val="BodyText"/>
        <w:spacing w:before="15"/>
        <w:ind w:left="1538"/>
      </w:pPr>
      <w:r>
        <w:rPr/>
        <w:t>√适用 □不适用</w:t>
      </w:r>
    </w:p>
    <w:p>
      <w:pPr>
        <w:pStyle w:val="ListParagraph"/>
        <w:numPr>
          <w:ilvl w:val="0"/>
          <w:numId w:val="69"/>
        </w:numPr>
        <w:tabs>
          <w:tab w:pos="2067" w:val="left" w:leader="none"/>
        </w:tabs>
        <w:spacing w:line="240" w:lineRule="auto" w:before="175" w:after="0"/>
        <w:ind w:left="2067" w:right="0" w:hanging="529"/>
        <w:jc w:val="left"/>
        <w:rPr>
          <w:sz w:val="21"/>
        </w:rPr>
      </w:pPr>
      <w:r>
        <w:rPr>
          <w:spacing w:val="-2"/>
          <w:sz w:val="21"/>
        </w:rPr>
        <w:t>联营企业</w:t>
      </w:r>
    </w:p>
    <w:p>
      <w:pPr>
        <w:pStyle w:val="BodyText"/>
        <w:spacing w:before="3"/>
        <w:rPr>
          <w:sz w:val="12"/>
        </w:rPr>
      </w:pPr>
    </w:p>
    <w:tbl>
      <w:tblPr>
        <w:tblW w:w="0" w:type="auto"/>
        <w:jc w:val="left"/>
        <w:tblInd w:w="128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536"/>
        <w:gridCol w:w="1275"/>
        <w:gridCol w:w="994"/>
        <w:gridCol w:w="1416"/>
        <w:gridCol w:w="994"/>
        <w:gridCol w:w="1164"/>
      </w:tblGrid>
      <w:tr>
        <w:trPr>
          <w:trHeight w:val="467" w:hRule="atLeast"/>
        </w:trPr>
        <w:tc>
          <w:tcPr>
            <w:tcW w:w="3536" w:type="dxa"/>
            <w:tcBorders>
              <w:bottom w:val="single" w:sz="4" w:space="0" w:color="000000"/>
              <w:right w:val="single" w:sz="4" w:space="0" w:color="000000"/>
            </w:tcBorders>
          </w:tcPr>
          <w:p>
            <w:pPr>
              <w:pStyle w:val="TableParagraph"/>
              <w:spacing w:before="60"/>
              <w:ind w:left="1203" w:right="1193"/>
              <w:jc w:val="center"/>
              <w:rPr>
                <w:rFonts w:ascii="Microsoft JhengHei" w:eastAsia="Microsoft JhengHei" w:hint="eastAsia"/>
                <w:b/>
                <w:sz w:val="18"/>
              </w:rPr>
            </w:pPr>
            <w:r>
              <w:rPr>
                <w:rFonts w:ascii="Microsoft JhengHei" w:eastAsia="Microsoft JhengHei" w:hint="eastAsia"/>
                <w:b/>
                <w:sz w:val="18"/>
              </w:rPr>
              <w:t>联营企业名称</w:t>
            </w:r>
          </w:p>
        </w:tc>
        <w:tc>
          <w:tcPr>
            <w:tcW w:w="1275" w:type="dxa"/>
            <w:tcBorders>
              <w:left w:val="single" w:sz="4" w:space="0" w:color="000000"/>
              <w:bottom w:val="single" w:sz="4" w:space="0" w:color="000000"/>
              <w:right w:val="single" w:sz="4" w:space="0" w:color="000000"/>
            </w:tcBorders>
          </w:tcPr>
          <w:p>
            <w:pPr>
              <w:pStyle w:val="TableParagraph"/>
              <w:spacing w:before="60"/>
              <w:ind w:left="173" w:right="148"/>
              <w:jc w:val="center"/>
              <w:rPr>
                <w:rFonts w:ascii="Microsoft JhengHei" w:eastAsia="Microsoft JhengHei" w:hint="eastAsia"/>
                <w:b/>
                <w:sz w:val="18"/>
              </w:rPr>
            </w:pPr>
            <w:r>
              <w:rPr>
                <w:rFonts w:ascii="Microsoft JhengHei" w:eastAsia="Microsoft JhengHei" w:hint="eastAsia"/>
                <w:b/>
                <w:sz w:val="18"/>
              </w:rPr>
              <w:t>主要经营地</w:t>
            </w:r>
          </w:p>
        </w:tc>
        <w:tc>
          <w:tcPr>
            <w:tcW w:w="994" w:type="dxa"/>
            <w:tcBorders>
              <w:left w:val="single" w:sz="4" w:space="0" w:color="000000"/>
              <w:bottom w:val="single" w:sz="4" w:space="0" w:color="000000"/>
              <w:right w:val="single" w:sz="4" w:space="0" w:color="000000"/>
            </w:tcBorders>
          </w:tcPr>
          <w:p>
            <w:pPr>
              <w:pStyle w:val="TableParagraph"/>
              <w:spacing w:before="60"/>
              <w:ind w:left="140" w:right="118"/>
              <w:jc w:val="center"/>
              <w:rPr>
                <w:rFonts w:ascii="Microsoft JhengHei" w:eastAsia="Microsoft JhengHei" w:hint="eastAsia"/>
                <w:b/>
                <w:sz w:val="18"/>
              </w:rPr>
            </w:pPr>
            <w:r>
              <w:rPr>
                <w:rFonts w:ascii="Microsoft JhengHei" w:eastAsia="Microsoft JhengHei" w:hint="eastAsia"/>
                <w:b/>
                <w:sz w:val="18"/>
              </w:rPr>
              <w:t>注册地</w:t>
            </w:r>
          </w:p>
        </w:tc>
        <w:tc>
          <w:tcPr>
            <w:tcW w:w="1416" w:type="dxa"/>
            <w:tcBorders>
              <w:left w:val="single" w:sz="4" w:space="0" w:color="000000"/>
              <w:bottom w:val="single" w:sz="4" w:space="0" w:color="000000"/>
              <w:right w:val="single" w:sz="4" w:space="0" w:color="000000"/>
            </w:tcBorders>
          </w:tcPr>
          <w:p>
            <w:pPr>
              <w:pStyle w:val="TableParagraph"/>
              <w:spacing w:before="60"/>
              <w:ind w:left="148" w:right="129"/>
              <w:jc w:val="center"/>
              <w:rPr>
                <w:rFonts w:ascii="Microsoft JhengHei" w:eastAsia="Microsoft JhengHei" w:hint="eastAsia"/>
                <w:b/>
                <w:sz w:val="18"/>
              </w:rPr>
            </w:pPr>
            <w:r>
              <w:rPr>
                <w:rFonts w:ascii="Microsoft JhengHei" w:eastAsia="Microsoft JhengHei" w:hint="eastAsia"/>
                <w:b/>
                <w:sz w:val="18"/>
              </w:rPr>
              <w:t>业务性质</w:t>
            </w:r>
          </w:p>
        </w:tc>
        <w:tc>
          <w:tcPr>
            <w:tcW w:w="994" w:type="dxa"/>
            <w:tcBorders>
              <w:left w:val="single" w:sz="4" w:space="0" w:color="000000"/>
              <w:bottom w:val="single" w:sz="4" w:space="0" w:color="000000"/>
              <w:right w:val="single" w:sz="4" w:space="0" w:color="000000"/>
            </w:tcBorders>
          </w:tcPr>
          <w:p>
            <w:pPr>
              <w:pStyle w:val="TableParagraph"/>
              <w:spacing w:before="60"/>
              <w:ind w:left="123" w:right="98"/>
              <w:jc w:val="center"/>
              <w:rPr>
                <w:rFonts w:ascii="Microsoft JhengHei" w:eastAsia="Microsoft JhengHei" w:hint="eastAsia"/>
                <w:b/>
                <w:sz w:val="18"/>
              </w:rPr>
            </w:pPr>
            <w:r>
              <w:rPr>
                <w:rFonts w:ascii="Microsoft JhengHei" w:eastAsia="Microsoft JhengHei" w:hint="eastAsia"/>
                <w:b/>
                <w:sz w:val="18"/>
              </w:rPr>
              <w:t>持股比例</w:t>
            </w:r>
          </w:p>
        </w:tc>
        <w:tc>
          <w:tcPr>
            <w:tcW w:w="1164" w:type="dxa"/>
            <w:tcBorders>
              <w:left w:val="single" w:sz="4" w:space="0" w:color="000000"/>
              <w:bottom w:val="single" w:sz="4" w:space="0" w:color="000000"/>
            </w:tcBorders>
          </w:tcPr>
          <w:p>
            <w:pPr>
              <w:pStyle w:val="TableParagraph"/>
              <w:spacing w:line="224" w:lineRule="exact"/>
              <w:ind w:left="138"/>
              <w:rPr>
                <w:rFonts w:ascii="Microsoft JhengHei" w:eastAsia="Microsoft JhengHei" w:hint="eastAsia"/>
                <w:b/>
                <w:sz w:val="18"/>
              </w:rPr>
            </w:pPr>
            <w:r>
              <w:rPr>
                <w:rFonts w:ascii="Microsoft JhengHei" w:eastAsia="Microsoft JhengHei" w:hint="eastAsia"/>
                <w:b/>
                <w:sz w:val="18"/>
              </w:rPr>
              <w:t>对投资的会</w:t>
            </w:r>
          </w:p>
          <w:p>
            <w:pPr>
              <w:pStyle w:val="TableParagraph"/>
              <w:spacing w:line="223" w:lineRule="exact"/>
              <w:ind w:left="138"/>
              <w:rPr>
                <w:rFonts w:ascii="Microsoft JhengHei" w:eastAsia="Microsoft JhengHei" w:hint="eastAsia"/>
                <w:b/>
                <w:sz w:val="18"/>
              </w:rPr>
            </w:pPr>
            <w:r>
              <w:rPr>
                <w:rFonts w:ascii="Microsoft JhengHei" w:eastAsia="Microsoft JhengHei" w:hint="eastAsia"/>
                <w:b/>
                <w:sz w:val="18"/>
              </w:rPr>
              <w:t>计处理方法</w:t>
            </w:r>
          </w:p>
        </w:tc>
      </w:tr>
      <w:tr>
        <w:trPr>
          <w:trHeight w:val="369" w:hRule="atLeast"/>
        </w:trPr>
        <w:tc>
          <w:tcPr>
            <w:tcW w:w="3536" w:type="dxa"/>
            <w:tcBorders>
              <w:top w:val="single" w:sz="4" w:space="0" w:color="000000"/>
              <w:bottom w:val="single" w:sz="4" w:space="0" w:color="000000"/>
              <w:right w:val="single" w:sz="4" w:space="0" w:color="000000"/>
            </w:tcBorders>
          </w:tcPr>
          <w:p>
            <w:pPr>
              <w:pStyle w:val="TableParagraph"/>
              <w:spacing w:before="69"/>
              <w:ind w:left="105"/>
              <w:rPr>
                <w:rFonts w:ascii="宋体" w:eastAsia="宋体" w:hint="eastAsia"/>
                <w:sz w:val="18"/>
              </w:rPr>
            </w:pPr>
            <w:r>
              <w:rPr>
                <w:rFonts w:ascii="宋体" w:eastAsia="宋体" w:hint="eastAsia"/>
                <w:sz w:val="18"/>
              </w:rPr>
              <w:t>海尔集团财务有限责任公司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9"/>
              <w:ind w:left="173" w:right="148"/>
              <w:jc w:val="center"/>
              <w:rPr>
                <w:rFonts w:ascii="宋体" w:eastAsia="宋体" w:hint="eastAsia"/>
                <w:sz w:val="18"/>
              </w:rPr>
            </w:pPr>
            <w:r>
              <w:rPr>
                <w:rFonts w:ascii="宋体" w:eastAsia="宋体" w:hint="eastAsia"/>
                <w:sz w:val="18"/>
              </w:rPr>
              <w:t>青岛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69"/>
              <w:ind w:left="140" w:right="118"/>
              <w:jc w:val="center"/>
              <w:rPr>
                <w:rFonts w:ascii="宋体" w:eastAsia="宋体" w:hint="eastAsia"/>
                <w:sz w:val="18"/>
              </w:rPr>
            </w:pPr>
            <w:r>
              <w:rPr>
                <w:rFonts w:ascii="宋体" w:eastAsia="宋体" w:hint="eastAsia"/>
                <w:sz w:val="18"/>
              </w:rPr>
              <w:t>青岛</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69"/>
              <w:ind w:left="151" w:right="129"/>
              <w:jc w:val="center"/>
              <w:rPr>
                <w:rFonts w:ascii="宋体" w:eastAsia="宋体" w:hint="eastAsia"/>
                <w:sz w:val="18"/>
              </w:rPr>
            </w:pPr>
            <w:r>
              <w:rPr>
                <w:rFonts w:ascii="宋体" w:eastAsia="宋体" w:hint="eastAsia"/>
                <w:sz w:val="18"/>
              </w:rPr>
              <w:t>金融业务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76"/>
              <w:ind w:left="143" w:right="115"/>
              <w:jc w:val="center"/>
              <w:rPr>
                <w:sz w:val="18"/>
              </w:rPr>
            </w:pPr>
            <w:r>
              <w:rPr>
                <w:sz w:val="18"/>
              </w:rPr>
              <w:t>42.00%</w:t>
            </w:r>
          </w:p>
        </w:tc>
        <w:tc>
          <w:tcPr>
            <w:tcW w:w="1164" w:type="dxa"/>
            <w:tcBorders>
              <w:top w:val="single" w:sz="4" w:space="0" w:color="000000"/>
              <w:left w:val="single" w:sz="4" w:space="0" w:color="000000"/>
              <w:bottom w:val="single" w:sz="4" w:space="0" w:color="000000"/>
            </w:tcBorders>
          </w:tcPr>
          <w:p>
            <w:pPr>
              <w:pStyle w:val="TableParagraph"/>
              <w:spacing w:before="69"/>
              <w:ind w:left="300" w:right="263"/>
              <w:jc w:val="center"/>
              <w:rPr>
                <w:rFonts w:ascii="宋体" w:eastAsia="宋体" w:hint="eastAsia"/>
                <w:sz w:val="18"/>
              </w:rPr>
            </w:pPr>
            <w:r>
              <w:rPr>
                <w:rFonts w:ascii="宋体" w:eastAsia="宋体" w:hint="eastAsia"/>
                <w:sz w:val="18"/>
              </w:rPr>
              <w:t>权益法</w:t>
            </w:r>
          </w:p>
        </w:tc>
      </w:tr>
      <w:tr>
        <w:trPr>
          <w:trHeight w:val="369" w:hRule="atLeast"/>
        </w:trPr>
        <w:tc>
          <w:tcPr>
            <w:tcW w:w="3536" w:type="dxa"/>
            <w:tcBorders>
              <w:top w:val="single" w:sz="4" w:space="0" w:color="000000"/>
              <w:bottom w:val="single" w:sz="4" w:space="0" w:color="000000"/>
              <w:right w:val="single" w:sz="4" w:space="0" w:color="000000"/>
            </w:tcBorders>
          </w:tcPr>
          <w:p>
            <w:pPr>
              <w:pStyle w:val="TableParagraph"/>
              <w:spacing w:before="69"/>
              <w:ind w:left="105"/>
              <w:rPr>
                <w:rFonts w:ascii="宋体" w:eastAsia="宋体" w:hint="eastAsia"/>
                <w:sz w:val="18"/>
              </w:rPr>
            </w:pPr>
            <w:r>
              <w:rPr>
                <w:rFonts w:ascii="宋体" w:eastAsia="宋体" w:hint="eastAsia"/>
                <w:sz w:val="18"/>
              </w:rPr>
              <w:t>青岛银行股份有限公司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9"/>
              <w:ind w:left="173" w:right="148"/>
              <w:jc w:val="center"/>
              <w:rPr>
                <w:rFonts w:ascii="宋体" w:eastAsia="宋体" w:hint="eastAsia"/>
                <w:sz w:val="18"/>
              </w:rPr>
            </w:pPr>
            <w:r>
              <w:rPr>
                <w:rFonts w:ascii="宋体" w:eastAsia="宋体" w:hint="eastAsia"/>
                <w:sz w:val="18"/>
              </w:rPr>
              <w:t>青岛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69"/>
              <w:ind w:left="140" w:right="118"/>
              <w:jc w:val="center"/>
              <w:rPr>
                <w:rFonts w:ascii="宋体" w:eastAsia="宋体" w:hint="eastAsia"/>
                <w:sz w:val="18"/>
              </w:rPr>
            </w:pPr>
            <w:r>
              <w:rPr>
                <w:rFonts w:ascii="宋体" w:eastAsia="宋体" w:hint="eastAsia"/>
                <w:sz w:val="18"/>
              </w:rPr>
              <w:t>青岛</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69"/>
              <w:ind w:left="151" w:right="129"/>
              <w:jc w:val="center"/>
              <w:rPr>
                <w:rFonts w:ascii="宋体" w:eastAsia="宋体" w:hint="eastAsia"/>
                <w:sz w:val="18"/>
              </w:rPr>
            </w:pPr>
            <w:r>
              <w:rPr>
                <w:rFonts w:ascii="宋体" w:eastAsia="宋体" w:hint="eastAsia"/>
                <w:sz w:val="18"/>
              </w:rPr>
              <w:t>商业银行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76"/>
              <w:ind w:left="143" w:right="115"/>
              <w:jc w:val="center"/>
              <w:rPr>
                <w:sz w:val="18"/>
              </w:rPr>
            </w:pPr>
            <w:r>
              <w:rPr>
                <w:sz w:val="18"/>
              </w:rPr>
              <w:t>8.13%</w:t>
            </w:r>
          </w:p>
        </w:tc>
        <w:tc>
          <w:tcPr>
            <w:tcW w:w="1164" w:type="dxa"/>
            <w:tcBorders>
              <w:top w:val="single" w:sz="4" w:space="0" w:color="000000"/>
              <w:left w:val="single" w:sz="4" w:space="0" w:color="000000"/>
              <w:bottom w:val="single" w:sz="4" w:space="0" w:color="000000"/>
            </w:tcBorders>
          </w:tcPr>
          <w:p>
            <w:pPr>
              <w:pStyle w:val="TableParagraph"/>
              <w:spacing w:before="69"/>
              <w:ind w:left="300" w:right="263"/>
              <w:jc w:val="center"/>
              <w:rPr>
                <w:rFonts w:ascii="宋体" w:eastAsia="宋体" w:hint="eastAsia"/>
                <w:sz w:val="18"/>
              </w:rPr>
            </w:pPr>
            <w:r>
              <w:rPr>
                <w:rFonts w:ascii="宋体" w:eastAsia="宋体" w:hint="eastAsia"/>
                <w:sz w:val="18"/>
              </w:rPr>
              <w:t>权益法</w:t>
            </w:r>
          </w:p>
        </w:tc>
      </w:tr>
      <w:tr>
        <w:trPr>
          <w:trHeight w:val="369" w:hRule="atLeast"/>
        </w:trPr>
        <w:tc>
          <w:tcPr>
            <w:tcW w:w="3536" w:type="dxa"/>
            <w:tcBorders>
              <w:top w:val="single" w:sz="4" w:space="0" w:color="000000"/>
              <w:bottom w:val="single" w:sz="4" w:space="0" w:color="000000"/>
              <w:right w:val="single" w:sz="4" w:space="0" w:color="000000"/>
            </w:tcBorders>
          </w:tcPr>
          <w:p>
            <w:pPr>
              <w:pStyle w:val="TableParagraph"/>
              <w:spacing w:before="69"/>
              <w:ind w:left="105"/>
              <w:rPr>
                <w:rFonts w:ascii="宋体" w:eastAsia="宋体" w:hint="eastAsia"/>
                <w:sz w:val="18"/>
              </w:rPr>
            </w:pPr>
            <w:r>
              <w:rPr>
                <w:rFonts w:ascii="宋体" w:eastAsia="宋体" w:hint="eastAsia"/>
                <w:sz w:val="18"/>
              </w:rPr>
              <w:t>卧龙电气（济南）电机有限公司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9"/>
              <w:ind w:left="173" w:right="148"/>
              <w:jc w:val="center"/>
              <w:rPr>
                <w:rFonts w:ascii="宋体" w:eastAsia="宋体" w:hint="eastAsia"/>
                <w:sz w:val="18"/>
              </w:rPr>
            </w:pPr>
            <w:r>
              <w:rPr>
                <w:rFonts w:ascii="宋体" w:eastAsia="宋体" w:hint="eastAsia"/>
                <w:sz w:val="18"/>
              </w:rPr>
              <w:t>济南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69"/>
              <w:ind w:left="140" w:right="118"/>
              <w:jc w:val="center"/>
              <w:rPr>
                <w:rFonts w:ascii="宋体" w:eastAsia="宋体" w:hint="eastAsia"/>
                <w:sz w:val="18"/>
              </w:rPr>
            </w:pPr>
            <w:r>
              <w:rPr>
                <w:rFonts w:ascii="宋体" w:eastAsia="宋体" w:hint="eastAsia"/>
                <w:sz w:val="18"/>
              </w:rPr>
              <w:t>济南</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69"/>
              <w:ind w:left="151" w:right="129"/>
              <w:jc w:val="center"/>
              <w:rPr>
                <w:rFonts w:ascii="宋体" w:eastAsia="宋体" w:hint="eastAsia"/>
                <w:sz w:val="18"/>
              </w:rPr>
            </w:pPr>
            <w:r>
              <w:rPr>
                <w:rFonts w:ascii="宋体" w:eastAsia="宋体" w:hint="eastAsia"/>
                <w:sz w:val="18"/>
              </w:rPr>
              <w:t>电机制造</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76"/>
              <w:ind w:left="143" w:right="115"/>
              <w:jc w:val="center"/>
              <w:rPr>
                <w:sz w:val="18"/>
              </w:rPr>
            </w:pPr>
            <w:r>
              <w:rPr>
                <w:sz w:val="18"/>
              </w:rPr>
              <w:t>30.00%</w:t>
            </w:r>
          </w:p>
        </w:tc>
        <w:tc>
          <w:tcPr>
            <w:tcW w:w="1164" w:type="dxa"/>
            <w:tcBorders>
              <w:top w:val="single" w:sz="4" w:space="0" w:color="000000"/>
              <w:left w:val="single" w:sz="4" w:space="0" w:color="000000"/>
              <w:bottom w:val="single" w:sz="4" w:space="0" w:color="000000"/>
            </w:tcBorders>
          </w:tcPr>
          <w:p>
            <w:pPr>
              <w:pStyle w:val="TableParagraph"/>
              <w:spacing w:before="69"/>
              <w:ind w:left="300" w:right="263"/>
              <w:jc w:val="center"/>
              <w:rPr>
                <w:rFonts w:ascii="宋体" w:eastAsia="宋体" w:hint="eastAsia"/>
                <w:sz w:val="18"/>
              </w:rPr>
            </w:pPr>
            <w:r>
              <w:rPr>
                <w:rFonts w:ascii="宋体" w:eastAsia="宋体" w:hint="eastAsia"/>
                <w:sz w:val="18"/>
              </w:rPr>
              <w:t>权益法</w:t>
            </w:r>
          </w:p>
        </w:tc>
      </w:tr>
      <w:tr>
        <w:trPr>
          <w:trHeight w:val="369" w:hRule="atLeast"/>
        </w:trPr>
        <w:tc>
          <w:tcPr>
            <w:tcW w:w="3536" w:type="dxa"/>
            <w:tcBorders>
              <w:top w:val="single" w:sz="4" w:space="0" w:color="000000"/>
              <w:bottom w:val="single" w:sz="4" w:space="0" w:color="000000"/>
              <w:right w:val="single" w:sz="4" w:space="0" w:color="000000"/>
            </w:tcBorders>
          </w:tcPr>
          <w:p>
            <w:pPr>
              <w:pStyle w:val="TableParagraph"/>
              <w:spacing w:before="69"/>
              <w:ind w:left="105"/>
              <w:rPr>
                <w:rFonts w:ascii="宋体" w:eastAsia="宋体" w:hint="eastAsia"/>
                <w:sz w:val="18"/>
              </w:rPr>
            </w:pPr>
            <w:r>
              <w:rPr>
                <w:rFonts w:ascii="宋体" w:eastAsia="宋体" w:hint="eastAsia"/>
                <w:sz w:val="18"/>
              </w:rPr>
              <w:t>青岛河钢新材料科技股份有限公司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9"/>
              <w:ind w:left="173" w:right="148"/>
              <w:jc w:val="center"/>
              <w:rPr>
                <w:rFonts w:ascii="宋体" w:eastAsia="宋体" w:hint="eastAsia"/>
                <w:sz w:val="18"/>
              </w:rPr>
            </w:pPr>
            <w:r>
              <w:rPr>
                <w:rFonts w:ascii="宋体" w:eastAsia="宋体" w:hint="eastAsia"/>
                <w:sz w:val="18"/>
              </w:rPr>
              <w:t>青岛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69"/>
              <w:ind w:left="140" w:right="118"/>
              <w:jc w:val="center"/>
              <w:rPr>
                <w:rFonts w:ascii="宋体" w:eastAsia="宋体" w:hint="eastAsia"/>
                <w:sz w:val="18"/>
              </w:rPr>
            </w:pPr>
            <w:r>
              <w:rPr>
                <w:rFonts w:ascii="宋体" w:eastAsia="宋体" w:hint="eastAsia"/>
                <w:sz w:val="18"/>
              </w:rPr>
              <w:t>青岛</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69"/>
              <w:ind w:left="151" w:right="129"/>
              <w:jc w:val="center"/>
              <w:rPr>
                <w:rFonts w:ascii="宋体" w:eastAsia="宋体" w:hint="eastAsia"/>
                <w:sz w:val="18"/>
              </w:rPr>
            </w:pPr>
            <w:r>
              <w:rPr>
                <w:rFonts w:ascii="宋体" w:eastAsia="宋体" w:hint="eastAsia"/>
                <w:sz w:val="18"/>
              </w:rPr>
              <w:t>钢板制造</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76"/>
              <w:ind w:left="143" w:right="115"/>
              <w:jc w:val="center"/>
              <w:rPr>
                <w:sz w:val="18"/>
              </w:rPr>
            </w:pPr>
            <w:r>
              <w:rPr>
                <w:sz w:val="18"/>
              </w:rPr>
              <w:t>25.65%</w:t>
            </w:r>
          </w:p>
        </w:tc>
        <w:tc>
          <w:tcPr>
            <w:tcW w:w="1164" w:type="dxa"/>
            <w:tcBorders>
              <w:top w:val="single" w:sz="4" w:space="0" w:color="000000"/>
              <w:left w:val="single" w:sz="4" w:space="0" w:color="000000"/>
              <w:bottom w:val="single" w:sz="4" w:space="0" w:color="000000"/>
            </w:tcBorders>
          </w:tcPr>
          <w:p>
            <w:pPr>
              <w:pStyle w:val="TableParagraph"/>
              <w:spacing w:before="69"/>
              <w:ind w:left="300" w:right="263"/>
              <w:jc w:val="center"/>
              <w:rPr>
                <w:rFonts w:ascii="宋体" w:eastAsia="宋体" w:hint="eastAsia"/>
                <w:sz w:val="18"/>
              </w:rPr>
            </w:pPr>
            <w:r>
              <w:rPr>
                <w:rFonts w:ascii="宋体" w:eastAsia="宋体" w:hint="eastAsia"/>
                <w:sz w:val="18"/>
              </w:rPr>
              <w:t>权益法</w:t>
            </w:r>
          </w:p>
        </w:tc>
      </w:tr>
      <w:tr>
        <w:trPr>
          <w:trHeight w:val="467" w:hRule="atLeast"/>
        </w:trPr>
        <w:tc>
          <w:tcPr>
            <w:tcW w:w="3536" w:type="dxa"/>
            <w:tcBorders>
              <w:top w:val="single" w:sz="4" w:space="0" w:color="000000"/>
              <w:bottom w:val="single" w:sz="4" w:space="0" w:color="000000"/>
              <w:right w:val="single" w:sz="4" w:space="0" w:color="000000"/>
            </w:tcBorders>
          </w:tcPr>
          <w:p>
            <w:pPr>
              <w:pStyle w:val="TableParagraph"/>
              <w:ind w:left="105"/>
              <w:rPr>
                <w:rFonts w:ascii="宋体" w:eastAsia="宋体" w:hint="eastAsia"/>
                <w:sz w:val="18"/>
              </w:rPr>
            </w:pPr>
            <w:r>
              <w:rPr>
                <w:rFonts w:ascii="宋体" w:eastAsia="宋体" w:hint="eastAsia"/>
                <w:sz w:val="18"/>
              </w:rPr>
              <w:t>青岛海尔赛富智慧家庭创业投资中心</w:t>
            </w:r>
            <w:r>
              <w:rPr>
                <w:sz w:val="18"/>
              </w:rPr>
              <w:t>(</w:t>
            </w:r>
            <w:r>
              <w:rPr>
                <w:rFonts w:ascii="宋体" w:eastAsia="宋体" w:hint="eastAsia"/>
                <w:sz w:val="18"/>
              </w:rPr>
              <w:t>有限</w:t>
            </w:r>
          </w:p>
          <w:p>
            <w:pPr>
              <w:pStyle w:val="TableParagraph"/>
              <w:spacing w:line="213" w:lineRule="exact" w:before="4"/>
              <w:ind w:left="105"/>
              <w:rPr>
                <w:sz w:val="18"/>
              </w:rPr>
            </w:pPr>
            <w:r>
              <w:rPr>
                <w:rFonts w:ascii="宋体" w:eastAsia="宋体" w:hint="eastAsia"/>
                <w:sz w:val="18"/>
              </w:rPr>
              <w:t>合伙</w:t>
            </w:r>
            <w:r>
              <w:rPr>
                <w:sz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117"/>
              <w:ind w:left="173" w:right="148"/>
              <w:jc w:val="center"/>
              <w:rPr>
                <w:rFonts w:ascii="宋体" w:eastAsia="宋体" w:hint="eastAsia"/>
                <w:sz w:val="18"/>
              </w:rPr>
            </w:pPr>
            <w:r>
              <w:rPr>
                <w:rFonts w:ascii="宋体" w:eastAsia="宋体" w:hint="eastAsia"/>
                <w:sz w:val="18"/>
              </w:rPr>
              <w:t>青岛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17"/>
              <w:ind w:left="140" w:right="118"/>
              <w:jc w:val="center"/>
              <w:rPr>
                <w:rFonts w:ascii="宋体" w:eastAsia="宋体" w:hint="eastAsia"/>
                <w:sz w:val="18"/>
              </w:rPr>
            </w:pPr>
            <w:r>
              <w:rPr>
                <w:rFonts w:ascii="宋体" w:eastAsia="宋体" w:hint="eastAsia"/>
                <w:sz w:val="18"/>
              </w:rPr>
              <w:t>青岛</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117"/>
              <w:ind w:left="151" w:right="129"/>
              <w:jc w:val="center"/>
              <w:rPr>
                <w:rFonts w:ascii="宋体" w:eastAsia="宋体" w:hint="eastAsia"/>
                <w:sz w:val="18"/>
              </w:rPr>
            </w:pPr>
            <w:r>
              <w:rPr>
                <w:rFonts w:ascii="宋体" w:eastAsia="宋体" w:hint="eastAsia"/>
                <w:sz w:val="18"/>
              </w:rPr>
              <w:t>创业投资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24"/>
              <w:ind w:left="143" w:right="115"/>
              <w:jc w:val="center"/>
              <w:rPr>
                <w:sz w:val="18"/>
              </w:rPr>
            </w:pPr>
            <w:r>
              <w:rPr>
                <w:sz w:val="18"/>
              </w:rPr>
              <w:t>63.13%</w:t>
            </w:r>
          </w:p>
        </w:tc>
        <w:tc>
          <w:tcPr>
            <w:tcW w:w="1164" w:type="dxa"/>
            <w:tcBorders>
              <w:top w:val="single" w:sz="4" w:space="0" w:color="000000"/>
              <w:left w:val="single" w:sz="4" w:space="0" w:color="000000"/>
              <w:bottom w:val="single" w:sz="4" w:space="0" w:color="000000"/>
            </w:tcBorders>
          </w:tcPr>
          <w:p>
            <w:pPr>
              <w:pStyle w:val="TableParagraph"/>
              <w:spacing w:before="117"/>
              <w:ind w:left="300" w:right="263"/>
              <w:jc w:val="center"/>
              <w:rPr>
                <w:rFonts w:ascii="宋体" w:eastAsia="宋体" w:hint="eastAsia"/>
                <w:sz w:val="18"/>
              </w:rPr>
            </w:pPr>
            <w:r>
              <w:rPr>
                <w:rFonts w:ascii="宋体" w:eastAsia="宋体" w:hint="eastAsia"/>
                <w:sz w:val="18"/>
              </w:rPr>
              <w:t>权益法</w:t>
            </w:r>
          </w:p>
        </w:tc>
      </w:tr>
      <w:tr>
        <w:trPr>
          <w:trHeight w:val="369" w:hRule="atLeast"/>
        </w:trPr>
        <w:tc>
          <w:tcPr>
            <w:tcW w:w="3536" w:type="dxa"/>
            <w:tcBorders>
              <w:top w:val="single" w:sz="4" w:space="0" w:color="000000"/>
              <w:bottom w:val="single" w:sz="4" w:space="0" w:color="000000"/>
              <w:right w:val="single" w:sz="4" w:space="0" w:color="000000"/>
            </w:tcBorders>
          </w:tcPr>
          <w:p>
            <w:pPr>
              <w:pStyle w:val="TableParagraph"/>
              <w:spacing w:before="67"/>
              <w:ind w:left="105"/>
              <w:rPr>
                <w:rFonts w:ascii="宋体" w:eastAsia="宋体" w:hint="eastAsia"/>
                <w:sz w:val="18"/>
              </w:rPr>
            </w:pPr>
            <w:r>
              <w:rPr>
                <w:rFonts w:ascii="宋体" w:eastAsia="宋体" w:hint="eastAsia"/>
                <w:sz w:val="18"/>
              </w:rPr>
              <w:t>三菱重工海尔（青岛）空调机有限公司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7"/>
              <w:ind w:left="173" w:right="148"/>
              <w:jc w:val="center"/>
              <w:rPr>
                <w:rFonts w:ascii="宋体" w:eastAsia="宋体" w:hint="eastAsia"/>
                <w:sz w:val="18"/>
              </w:rPr>
            </w:pPr>
            <w:r>
              <w:rPr>
                <w:rFonts w:ascii="宋体" w:eastAsia="宋体" w:hint="eastAsia"/>
                <w:sz w:val="18"/>
              </w:rPr>
              <w:t>青岛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67"/>
              <w:ind w:left="140" w:right="118"/>
              <w:jc w:val="center"/>
              <w:rPr>
                <w:rFonts w:ascii="宋体" w:eastAsia="宋体" w:hint="eastAsia"/>
                <w:sz w:val="18"/>
              </w:rPr>
            </w:pPr>
            <w:r>
              <w:rPr>
                <w:rFonts w:ascii="宋体" w:eastAsia="宋体" w:hint="eastAsia"/>
                <w:sz w:val="18"/>
              </w:rPr>
              <w:t>青岛</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67"/>
              <w:ind w:left="151" w:right="129"/>
              <w:jc w:val="center"/>
              <w:rPr>
                <w:rFonts w:ascii="宋体" w:eastAsia="宋体" w:hint="eastAsia"/>
                <w:sz w:val="18"/>
              </w:rPr>
            </w:pPr>
            <w:r>
              <w:rPr>
                <w:rFonts w:ascii="宋体" w:eastAsia="宋体" w:hint="eastAsia"/>
                <w:sz w:val="18"/>
              </w:rPr>
              <w:t>家电制造</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76"/>
              <w:ind w:left="143" w:right="115"/>
              <w:jc w:val="center"/>
              <w:rPr>
                <w:sz w:val="18"/>
              </w:rPr>
            </w:pPr>
            <w:r>
              <w:rPr>
                <w:sz w:val="18"/>
              </w:rPr>
              <w:t>45.00%</w:t>
            </w:r>
          </w:p>
        </w:tc>
        <w:tc>
          <w:tcPr>
            <w:tcW w:w="1164" w:type="dxa"/>
            <w:tcBorders>
              <w:top w:val="single" w:sz="4" w:space="0" w:color="000000"/>
              <w:left w:val="single" w:sz="4" w:space="0" w:color="000000"/>
              <w:bottom w:val="single" w:sz="4" w:space="0" w:color="000000"/>
            </w:tcBorders>
          </w:tcPr>
          <w:p>
            <w:pPr>
              <w:pStyle w:val="TableParagraph"/>
              <w:spacing w:before="67"/>
              <w:ind w:left="300" w:right="263"/>
              <w:jc w:val="center"/>
              <w:rPr>
                <w:rFonts w:ascii="宋体" w:eastAsia="宋体" w:hint="eastAsia"/>
                <w:sz w:val="18"/>
              </w:rPr>
            </w:pPr>
            <w:r>
              <w:rPr>
                <w:rFonts w:ascii="宋体" w:eastAsia="宋体" w:hint="eastAsia"/>
                <w:sz w:val="18"/>
              </w:rPr>
              <w:t>权益法</w:t>
            </w:r>
          </w:p>
        </w:tc>
      </w:tr>
      <w:tr>
        <w:trPr>
          <w:trHeight w:val="369" w:hRule="atLeast"/>
        </w:trPr>
        <w:tc>
          <w:tcPr>
            <w:tcW w:w="3536" w:type="dxa"/>
            <w:tcBorders>
              <w:top w:val="single" w:sz="4" w:space="0" w:color="000000"/>
              <w:bottom w:val="single" w:sz="4" w:space="0" w:color="000000"/>
              <w:right w:val="single" w:sz="4" w:space="0" w:color="000000"/>
            </w:tcBorders>
          </w:tcPr>
          <w:p>
            <w:pPr>
              <w:pStyle w:val="TableParagraph"/>
              <w:spacing w:before="67"/>
              <w:ind w:left="105"/>
              <w:rPr>
                <w:rFonts w:ascii="宋体" w:eastAsia="宋体" w:hint="eastAsia"/>
                <w:sz w:val="18"/>
              </w:rPr>
            </w:pPr>
            <w:r>
              <w:rPr>
                <w:rFonts w:ascii="宋体" w:eastAsia="宋体" w:hint="eastAsia"/>
                <w:sz w:val="18"/>
              </w:rPr>
              <w:t>青岛海尔开利冷冻设备有限公司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7"/>
              <w:ind w:left="173" w:right="148"/>
              <w:jc w:val="center"/>
              <w:rPr>
                <w:rFonts w:ascii="宋体" w:eastAsia="宋体" w:hint="eastAsia"/>
                <w:sz w:val="18"/>
              </w:rPr>
            </w:pPr>
            <w:r>
              <w:rPr>
                <w:rFonts w:ascii="宋体" w:eastAsia="宋体" w:hint="eastAsia"/>
                <w:sz w:val="18"/>
              </w:rPr>
              <w:t>青岛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67"/>
              <w:ind w:left="140" w:right="118"/>
              <w:jc w:val="center"/>
              <w:rPr>
                <w:rFonts w:ascii="宋体" w:eastAsia="宋体" w:hint="eastAsia"/>
                <w:sz w:val="18"/>
              </w:rPr>
            </w:pPr>
            <w:r>
              <w:rPr>
                <w:rFonts w:ascii="宋体" w:eastAsia="宋体" w:hint="eastAsia"/>
                <w:sz w:val="18"/>
              </w:rPr>
              <w:t>青岛</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67"/>
              <w:ind w:left="151" w:right="129"/>
              <w:jc w:val="center"/>
              <w:rPr>
                <w:rFonts w:ascii="宋体" w:eastAsia="宋体" w:hint="eastAsia"/>
                <w:sz w:val="18"/>
              </w:rPr>
            </w:pPr>
            <w:r>
              <w:rPr>
                <w:rFonts w:ascii="宋体" w:eastAsia="宋体" w:hint="eastAsia"/>
                <w:sz w:val="18"/>
              </w:rPr>
              <w:t>家电制造</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77"/>
              <w:ind w:left="143" w:right="115"/>
              <w:jc w:val="center"/>
              <w:rPr>
                <w:sz w:val="18"/>
              </w:rPr>
            </w:pPr>
            <w:r>
              <w:rPr>
                <w:sz w:val="18"/>
              </w:rPr>
              <w:t>49.00%</w:t>
            </w:r>
          </w:p>
        </w:tc>
        <w:tc>
          <w:tcPr>
            <w:tcW w:w="1164" w:type="dxa"/>
            <w:tcBorders>
              <w:top w:val="single" w:sz="4" w:space="0" w:color="000000"/>
              <w:left w:val="single" w:sz="4" w:space="0" w:color="000000"/>
              <w:bottom w:val="single" w:sz="4" w:space="0" w:color="000000"/>
            </w:tcBorders>
          </w:tcPr>
          <w:p>
            <w:pPr>
              <w:pStyle w:val="TableParagraph"/>
              <w:spacing w:before="67"/>
              <w:ind w:left="300" w:right="263"/>
              <w:jc w:val="center"/>
              <w:rPr>
                <w:rFonts w:ascii="宋体" w:eastAsia="宋体" w:hint="eastAsia"/>
                <w:sz w:val="18"/>
              </w:rPr>
            </w:pPr>
            <w:r>
              <w:rPr>
                <w:rFonts w:ascii="宋体" w:eastAsia="宋体" w:hint="eastAsia"/>
                <w:sz w:val="18"/>
              </w:rPr>
              <w:t>权益法</w:t>
            </w:r>
          </w:p>
        </w:tc>
      </w:tr>
      <w:tr>
        <w:trPr>
          <w:trHeight w:val="369" w:hRule="atLeast"/>
        </w:trPr>
        <w:tc>
          <w:tcPr>
            <w:tcW w:w="3536" w:type="dxa"/>
            <w:tcBorders>
              <w:top w:val="single" w:sz="4" w:space="0" w:color="000000"/>
              <w:bottom w:val="single" w:sz="4" w:space="0" w:color="000000"/>
              <w:right w:val="single" w:sz="4" w:space="0" w:color="000000"/>
            </w:tcBorders>
          </w:tcPr>
          <w:p>
            <w:pPr>
              <w:pStyle w:val="TableParagraph"/>
              <w:spacing w:before="67"/>
              <w:ind w:left="105"/>
              <w:rPr>
                <w:rFonts w:ascii="宋体" w:eastAsia="宋体" w:hint="eastAsia"/>
                <w:sz w:val="18"/>
              </w:rPr>
            </w:pPr>
            <w:r>
              <w:rPr>
                <w:rFonts w:ascii="宋体" w:eastAsia="宋体" w:hint="eastAsia"/>
                <w:sz w:val="18"/>
              </w:rPr>
              <w:t>青岛海尔多媒体有限公司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7"/>
              <w:ind w:left="173" w:right="148"/>
              <w:jc w:val="center"/>
              <w:rPr>
                <w:rFonts w:ascii="宋体" w:eastAsia="宋体" w:hint="eastAsia"/>
                <w:sz w:val="18"/>
              </w:rPr>
            </w:pPr>
            <w:r>
              <w:rPr>
                <w:rFonts w:ascii="宋体" w:eastAsia="宋体" w:hint="eastAsia"/>
                <w:sz w:val="18"/>
              </w:rPr>
              <w:t>青岛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67"/>
              <w:ind w:left="140" w:right="118"/>
              <w:jc w:val="center"/>
              <w:rPr>
                <w:rFonts w:ascii="宋体" w:eastAsia="宋体" w:hint="eastAsia"/>
                <w:sz w:val="18"/>
              </w:rPr>
            </w:pPr>
            <w:r>
              <w:rPr>
                <w:rFonts w:ascii="宋体" w:eastAsia="宋体" w:hint="eastAsia"/>
                <w:sz w:val="18"/>
              </w:rPr>
              <w:t>青岛</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67"/>
              <w:ind w:left="151" w:right="129"/>
              <w:jc w:val="center"/>
              <w:rPr>
                <w:rFonts w:ascii="宋体" w:eastAsia="宋体" w:hint="eastAsia"/>
                <w:sz w:val="18"/>
              </w:rPr>
            </w:pPr>
            <w:r>
              <w:rPr>
                <w:rFonts w:ascii="宋体" w:eastAsia="宋体" w:hint="eastAsia"/>
                <w:sz w:val="18"/>
              </w:rPr>
              <w:t>电视研发销售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76"/>
              <w:ind w:left="143" w:right="115"/>
              <w:jc w:val="center"/>
              <w:rPr>
                <w:sz w:val="18"/>
              </w:rPr>
            </w:pPr>
            <w:r>
              <w:rPr>
                <w:sz w:val="18"/>
              </w:rPr>
              <w:t>20.20%</w:t>
            </w:r>
          </w:p>
        </w:tc>
        <w:tc>
          <w:tcPr>
            <w:tcW w:w="1164" w:type="dxa"/>
            <w:tcBorders>
              <w:top w:val="single" w:sz="4" w:space="0" w:color="000000"/>
              <w:left w:val="single" w:sz="4" w:space="0" w:color="000000"/>
              <w:bottom w:val="single" w:sz="4" w:space="0" w:color="000000"/>
            </w:tcBorders>
          </w:tcPr>
          <w:p>
            <w:pPr>
              <w:pStyle w:val="TableParagraph"/>
              <w:spacing w:before="67"/>
              <w:ind w:left="300" w:right="263"/>
              <w:jc w:val="center"/>
              <w:rPr>
                <w:rFonts w:ascii="宋体" w:eastAsia="宋体" w:hint="eastAsia"/>
                <w:sz w:val="18"/>
              </w:rPr>
            </w:pPr>
            <w:r>
              <w:rPr>
                <w:rFonts w:ascii="宋体" w:eastAsia="宋体" w:hint="eastAsia"/>
                <w:sz w:val="18"/>
              </w:rPr>
              <w:t>权益法</w:t>
            </w:r>
          </w:p>
        </w:tc>
      </w:tr>
      <w:tr>
        <w:trPr>
          <w:trHeight w:val="369" w:hRule="atLeast"/>
        </w:trPr>
        <w:tc>
          <w:tcPr>
            <w:tcW w:w="3536" w:type="dxa"/>
            <w:tcBorders>
              <w:top w:val="single" w:sz="4" w:space="0" w:color="000000"/>
              <w:bottom w:val="single" w:sz="4" w:space="0" w:color="000000"/>
              <w:right w:val="single" w:sz="4" w:space="0" w:color="000000"/>
            </w:tcBorders>
          </w:tcPr>
          <w:p>
            <w:pPr>
              <w:pStyle w:val="TableParagraph"/>
              <w:spacing w:before="67"/>
              <w:ind w:left="105"/>
              <w:rPr>
                <w:rFonts w:ascii="宋体" w:eastAsia="宋体" w:hint="eastAsia"/>
                <w:sz w:val="18"/>
              </w:rPr>
            </w:pPr>
            <w:r>
              <w:rPr>
                <w:rFonts w:ascii="宋体" w:eastAsia="宋体" w:hint="eastAsia"/>
                <w:sz w:val="18"/>
              </w:rPr>
              <w:t>合肥飞尔智能科技有限公司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7"/>
              <w:ind w:left="173" w:right="148"/>
              <w:jc w:val="center"/>
              <w:rPr>
                <w:rFonts w:ascii="宋体" w:eastAsia="宋体" w:hint="eastAsia"/>
                <w:sz w:val="18"/>
              </w:rPr>
            </w:pPr>
            <w:r>
              <w:rPr>
                <w:rFonts w:ascii="宋体" w:eastAsia="宋体" w:hint="eastAsia"/>
                <w:sz w:val="18"/>
              </w:rPr>
              <w:t>合肥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67"/>
              <w:ind w:left="140" w:right="118"/>
              <w:jc w:val="center"/>
              <w:rPr>
                <w:rFonts w:ascii="宋体" w:eastAsia="宋体" w:hint="eastAsia"/>
                <w:sz w:val="18"/>
              </w:rPr>
            </w:pPr>
            <w:r>
              <w:rPr>
                <w:rFonts w:ascii="宋体" w:eastAsia="宋体" w:hint="eastAsia"/>
                <w:sz w:val="18"/>
              </w:rPr>
              <w:t>合肥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67"/>
              <w:ind w:left="151" w:right="129"/>
              <w:jc w:val="center"/>
              <w:rPr>
                <w:rFonts w:ascii="宋体" w:eastAsia="宋体" w:hint="eastAsia"/>
                <w:sz w:val="18"/>
              </w:rPr>
            </w:pPr>
            <w:r>
              <w:rPr>
                <w:rFonts w:ascii="宋体" w:eastAsia="宋体" w:hint="eastAsia"/>
                <w:sz w:val="18"/>
              </w:rPr>
              <w:t>技术开发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76"/>
              <w:ind w:left="143" w:right="115"/>
              <w:jc w:val="center"/>
              <w:rPr>
                <w:sz w:val="18"/>
              </w:rPr>
            </w:pPr>
            <w:r>
              <w:rPr>
                <w:sz w:val="18"/>
              </w:rPr>
              <w:t>40.00%</w:t>
            </w:r>
          </w:p>
        </w:tc>
        <w:tc>
          <w:tcPr>
            <w:tcW w:w="1164" w:type="dxa"/>
            <w:tcBorders>
              <w:top w:val="single" w:sz="4" w:space="0" w:color="000000"/>
              <w:left w:val="single" w:sz="4" w:space="0" w:color="000000"/>
              <w:bottom w:val="single" w:sz="4" w:space="0" w:color="000000"/>
            </w:tcBorders>
          </w:tcPr>
          <w:p>
            <w:pPr>
              <w:pStyle w:val="TableParagraph"/>
              <w:spacing w:before="67"/>
              <w:ind w:left="300" w:right="263"/>
              <w:jc w:val="center"/>
              <w:rPr>
                <w:rFonts w:ascii="宋体" w:eastAsia="宋体" w:hint="eastAsia"/>
                <w:sz w:val="18"/>
              </w:rPr>
            </w:pPr>
            <w:r>
              <w:rPr>
                <w:rFonts w:ascii="宋体" w:eastAsia="宋体" w:hint="eastAsia"/>
                <w:sz w:val="18"/>
              </w:rPr>
              <w:t>权益法</w:t>
            </w:r>
          </w:p>
        </w:tc>
      </w:tr>
      <w:tr>
        <w:trPr>
          <w:trHeight w:val="366" w:hRule="atLeast"/>
        </w:trPr>
        <w:tc>
          <w:tcPr>
            <w:tcW w:w="3536" w:type="dxa"/>
            <w:tcBorders>
              <w:top w:val="single" w:sz="4" w:space="0" w:color="000000"/>
              <w:bottom w:val="single" w:sz="4" w:space="0" w:color="000000"/>
              <w:right w:val="single" w:sz="4" w:space="0" w:color="000000"/>
            </w:tcBorders>
          </w:tcPr>
          <w:p>
            <w:pPr>
              <w:pStyle w:val="TableParagraph"/>
              <w:spacing w:before="67"/>
              <w:ind w:left="105"/>
              <w:rPr>
                <w:rFonts w:ascii="宋体" w:eastAsia="宋体" w:hint="eastAsia"/>
                <w:sz w:val="18"/>
              </w:rPr>
            </w:pPr>
            <w:r>
              <w:rPr>
                <w:rFonts w:ascii="宋体" w:eastAsia="宋体" w:hint="eastAsia"/>
                <w:sz w:val="18"/>
              </w:rPr>
              <w:t>北京海狸先生网络科技有限公司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7"/>
              <w:ind w:left="173" w:right="148"/>
              <w:jc w:val="center"/>
              <w:rPr>
                <w:rFonts w:ascii="宋体" w:eastAsia="宋体" w:hint="eastAsia"/>
                <w:sz w:val="18"/>
              </w:rPr>
            </w:pPr>
            <w:r>
              <w:rPr>
                <w:rFonts w:ascii="宋体" w:eastAsia="宋体" w:hint="eastAsia"/>
                <w:sz w:val="18"/>
              </w:rPr>
              <w:t>北京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67"/>
              <w:ind w:left="140" w:right="118"/>
              <w:jc w:val="center"/>
              <w:rPr>
                <w:rFonts w:ascii="宋体" w:eastAsia="宋体" w:hint="eastAsia"/>
                <w:sz w:val="18"/>
              </w:rPr>
            </w:pPr>
            <w:r>
              <w:rPr>
                <w:rFonts w:ascii="宋体" w:eastAsia="宋体" w:hint="eastAsia"/>
                <w:sz w:val="18"/>
              </w:rPr>
              <w:t>北京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67"/>
              <w:ind w:left="151" w:right="129"/>
              <w:jc w:val="center"/>
              <w:rPr>
                <w:rFonts w:ascii="宋体" w:eastAsia="宋体" w:hint="eastAsia"/>
                <w:sz w:val="18"/>
              </w:rPr>
            </w:pPr>
            <w:r>
              <w:rPr>
                <w:rFonts w:ascii="宋体" w:eastAsia="宋体" w:hint="eastAsia"/>
                <w:sz w:val="18"/>
              </w:rPr>
              <w:t>技术开发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74"/>
              <w:ind w:left="143" w:right="115"/>
              <w:jc w:val="center"/>
              <w:rPr>
                <w:sz w:val="18"/>
              </w:rPr>
            </w:pPr>
            <w:r>
              <w:rPr>
                <w:sz w:val="18"/>
              </w:rPr>
              <w:t>29.03%</w:t>
            </w:r>
          </w:p>
        </w:tc>
        <w:tc>
          <w:tcPr>
            <w:tcW w:w="1164" w:type="dxa"/>
            <w:tcBorders>
              <w:top w:val="single" w:sz="4" w:space="0" w:color="000000"/>
              <w:left w:val="single" w:sz="4" w:space="0" w:color="000000"/>
              <w:bottom w:val="single" w:sz="4" w:space="0" w:color="000000"/>
            </w:tcBorders>
          </w:tcPr>
          <w:p>
            <w:pPr>
              <w:pStyle w:val="TableParagraph"/>
              <w:spacing w:before="67"/>
              <w:ind w:left="300" w:right="263"/>
              <w:jc w:val="center"/>
              <w:rPr>
                <w:rFonts w:ascii="宋体" w:eastAsia="宋体" w:hint="eastAsia"/>
                <w:sz w:val="18"/>
              </w:rPr>
            </w:pPr>
            <w:r>
              <w:rPr>
                <w:rFonts w:ascii="宋体" w:eastAsia="宋体" w:hint="eastAsia"/>
                <w:sz w:val="18"/>
              </w:rPr>
              <w:t>权益法</w:t>
            </w:r>
          </w:p>
        </w:tc>
      </w:tr>
      <w:tr>
        <w:trPr>
          <w:trHeight w:val="369" w:hRule="atLeast"/>
        </w:trPr>
        <w:tc>
          <w:tcPr>
            <w:tcW w:w="3536" w:type="dxa"/>
            <w:tcBorders>
              <w:top w:val="single" w:sz="4" w:space="0" w:color="000000"/>
              <w:bottom w:val="single" w:sz="4" w:space="0" w:color="000000"/>
              <w:right w:val="single" w:sz="4" w:space="0" w:color="000000"/>
            </w:tcBorders>
          </w:tcPr>
          <w:p>
            <w:pPr>
              <w:pStyle w:val="TableParagraph"/>
              <w:spacing w:before="69"/>
              <w:ind w:left="105"/>
              <w:rPr>
                <w:rFonts w:ascii="宋体" w:eastAsia="宋体" w:hint="eastAsia"/>
                <w:sz w:val="18"/>
              </w:rPr>
            </w:pPr>
            <w:r>
              <w:rPr>
                <w:rFonts w:ascii="宋体" w:eastAsia="宋体" w:hint="eastAsia"/>
                <w:sz w:val="18"/>
              </w:rPr>
              <w:t>北京小焙科技有限公司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9"/>
              <w:ind w:left="173" w:right="148"/>
              <w:jc w:val="center"/>
              <w:rPr>
                <w:rFonts w:ascii="宋体" w:eastAsia="宋体" w:hint="eastAsia"/>
                <w:sz w:val="18"/>
              </w:rPr>
            </w:pPr>
            <w:r>
              <w:rPr>
                <w:rFonts w:ascii="宋体" w:eastAsia="宋体" w:hint="eastAsia"/>
                <w:sz w:val="18"/>
              </w:rPr>
              <w:t>北京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69"/>
              <w:ind w:left="140" w:right="118"/>
              <w:jc w:val="center"/>
              <w:rPr>
                <w:rFonts w:ascii="宋体" w:eastAsia="宋体" w:hint="eastAsia"/>
                <w:sz w:val="18"/>
              </w:rPr>
            </w:pPr>
            <w:r>
              <w:rPr>
                <w:rFonts w:ascii="宋体" w:eastAsia="宋体" w:hint="eastAsia"/>
                <w:sz w:val="18"/>
              </w:rPr>
              <w:t>北京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69"/>
              <w:ind w:left="151" w:right="129"/>
              <w:jc w:val="center"/>
              <w:rPr>
                <w:rFonts w:ascii="宋体" w:eastAsia="宋体" w:hint="eastAsia"/>
                <w:sz w:val="18"/>
              </w:rPr>
            </w:pPr>
            <w:r>
              <w:rPr>
                <w:rFonts w:ascii="宋体" w:eastAsia="宋体" w:hint="eastAsia"/>
                <w:sz w:val="18"/>
              </w:rPr>
              <w:t>家电销售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76"/>
              <w:ind w:left="143" w:right="115"/>
              <w:jc w:val="center"/>
              <w:rPr>
                <w:sz w:val="18"/>
              </w:rPr>
            </w:pPr>
            <w:r>
              <w:rPr>
                <w:sz w:val="18"/>
              </w:rPr>
              <w:t>42.75%</w:t>
            </w:r>
          </w:p>
        </w:tc>
        <w:tc>
          <w:tcPr>
            <w:tcW w:w="1164" w:type="dxa"/>
            <w:tcBorders>
              <w:top w:val="single" w:sz="4" w:space="0" w:color="000000"/>
              <w:left w:val="single" w:sz="4" w:space="0" w:color="000000"/>
              <w:bottom w:val="single" w:sz="4" w:space="0" w:color="000000"/>
            </w:tcBorders>
          </w:tcPr>
          <w:p>
            <w:pPr>
              <w:pStyle w:val="TableParagraph"/>
              <w:spacing w:before="69"/>
              <w:ind w:left="300" w:right="263"/>
              <w:jc w:val="center"/>
              <w:rPr>
                <w:rFonts w:ascii="宋体" w:eastAsia="宋体" w:hint="eastAsia"/>
                <w:sz w:val="18"/>
              </w:rPr>
            </w:pPr>
            <w:r>
              <w:rPr>
                <w:rFonts w:ascii="宋体" w:eastAsia="宋体" w:hint="eastAsia"/>
                <w:sz w:val="18"/>
              </w:rPr>
              <w:t>权益法</w:t>
            </w:r>
          </w:p>
        </w:tc>
      </w:tr>
      <w:tr>
        <w:trPr>
          <w:trHeight w:val="467" w:hRule="atLeast"/>
        </w:trPr>
        <w:tc>
          <w:tcPr>
            <w:tcW w:w="3536" w:type="dxa"/>
            <w:tcBorders>
              <w:top w:val="single" w:sz="4" w:space="0" w:color="000000"/>
              <w:bottom w:val="single" w:sz="4" w:space="0" w:color="000000"/>
              <w:right w:val="single" w:sz="4" w:space="0" w:color="000000"/>
            </w:tcBorders>
          </w:tcPr>
          <w:p>
            <w:pPr>
              <w:pStyle w:val="TableParagraph"/>
              <w:spacing w:before="117"/>
              <w:ind w:left="105"/>
              <w:rPr>
                <w:rFonts w:ascii="宋体" w:eastAsia="宋体" w:hint="eastAsia"/>
                <w:sz w:val="18"/>
              </w:rPr>
            </w:pPr>
            <w:r>
              <w:rPr>
                <w:rFonts w:ascii="宋体" w:eastAsia="宋体" w:hint="eastAsia"/>
                <w:sz w:val="18"/>
              </w:rPr>
              <w:t>北京一数科技有限公司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117"/>
              <w:ind w:left="173" w:right="148"/>
              <w:jc w:val="center"/>
              <w:rPr>
                <w:rFonts w:ascii="宋体" w:eastAsia="宋体" w:hint="eastAsia"/>
                <w:sz w:val="18"/>
              </w:rPr>
            </w:pPr>
            <w:r>
              <w:rPr>
                <w:rFonts w:ascii="宋体" w:eastAsia="宋体" w:hint="eastAsia"/>
                <w:sz w:val="18"/>
              </w:rPr>
              <w:t>北京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17"/>
              <w:ind w:left="140" w:right="118"/>
              <w:jc w:val="center"/>
              <w:rPr>
                <w:rFonts w:ascii="宋体" w:eastAsia="宋体" w:hint="eastAsia"/>
                <w:sz w:val="18"/>
              </w:rPr>
            </w:pPr>
            <w:r>
              <w:rPr>
                <w:rFonts w:ascii="宋体" w:eastAsia="宋体" w:hint="eastAsia"/>
                <w:sz w:val="18"/>
              </w:rPr>
              <w:t>北京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2"/>
              <w:ind w:left="442" w:right="149" w:hanging="269"/>
              <w:rPr>
                <w:rFonts w:ascii="宋体" w:eastAsia="宋体" w:hint="eastAsia"/>
                <w:sz w:val="18"/>
              </w:rPr>
            </w:pPr>
            <w:r>
              <w:rPr>
                <w:rFonts w:ascii="宋体" w:eastAsia="宋体" w:hint="eastAsia"/>
                <w:sz w:val="18"/>
              </w:rPr>
              <w:t>技术服务进出口业务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27"/>
              <w:ind w:left="143" w:right="115"/>
              <w:jc w:val="center"/>
              <w:rPr>
                <w:sz w:val="18"/>
              </w:rPr>
            </w:pPr>
            <w:r>
              <w:rPr>
                <w:sz w:val="18"/>
              </w:rPr>
              <w:t>42.61%</w:t>
            </w:r>
          </w:p>
        </w:tc>
        <w:tc>
          <w:tcPr>
            <w:tcW w:w="1164" w:type="dxa"/>
            <w:tcBorders>
              <w:top w:val="single" w:sz="4" w:space="0" w:color="000000"/>
              <w:left w:val="single" w:sz="4" w:space="0" w:color="000000"/>
              <w:bottom w:val="single" w:sz="4" w:space="0" w:color="000000"/>
            </w:tcBorders>
          </w:tcPr>
          <w:p>
            <w:pPr>
              <w:pStyle w:val="TableParagraph"/>
              <w:spacing w:before="117"/>
              <w:ind w:left="300" w:right="263"/>
              <w:jc w:val="center"/>
              <w:rPr>
                <w:rFonts w:ascii="宋体" w:eastAsia="宋体" w:hint="eastAsia"/>
                <w:sz w:val="18"/>
              </w:rPr>
            </w:pPr>
            <w:r>
              <w:rPr>
                <w:rFonts w:ascii="宋体" w:eastAsia="宋体" w:hint="eastAsia"/>
                <w:sz w:val="18"/>
              </w:rPr>
              <w:t>权益法</w:t>
            </w:r>
          </w:p>
        </w:tc>
      </w:tr>
      <w:tr>
        <w:trPr>
          <w:trHeight w:val="369" w:hRule="atLeast"/>
        </w:trPr>
        <w:tc>
          <w:tcPr>
            <w:tcW w:w="3536" w:type="dxa"/>
            <w:tcBorders>
              <w:top w:val="single" w:sz="4" w:space="0" w:color="000000"/>
              <w:bottom w:val="single" w:sz="4" w:space="0" w:color="000000"/>
              <w:right w:val="single" w:sz="4" w:space="0" w:color="000000"/>
            </w:tcBorders>
          </w:tcPr>
          <w:p>
            <w:pPr>
              <w:pStyle w:val="TableParagraph"/>
              <w:spacing w:before="67"/>
              <w:ind w:left="105"/>
              <w:rPr>
                <w:rFonts w:ascii="宋体" w:eastAsia="宋体" w:hint="eastAsia"/>
                <w:sz w:val="18"/>
              </w:rPr>
            </w:pPr>
            <w:r>
              <w:rPr>
                <w:rFonts w:ascii="宋体" w:eastAsia="宋体" w:hint="eastAsia"/>
                <w:sz w:val="18"/>
              </w:rPr>
              <w:t>深圳根元环保科技有限公司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7"/>
              <w:ind w:left="173" w:right="148"/>
              <w:jc w:val="center"/>
              <w:rPr>
                <w:rFonts w:ascii="宋体" w:eastAsia="宋体" w:hint="eastAsia"/>
                <w:sz w:val="18"/>
              </w:rPr>
            </w:pPr>
            <w:r>
              <w:rPr>
                <w:rFonts w:ascii="宋体" w:eastAsia="宋体" w:hint="eastAsia"/>
                <w:sz w:val="18"/>
              </w:rPr>
              <w:t>深圳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67"/>
              <w:ind w:left="140" w:right="118"/>
              <w:jc w:val="center"/>
              <w:rPr>
                <w:rFonts w:ascii="宋体" w:eastAsia="宋体" w:hint="eastAsia"/>
                <w:sz w:val="18"/>
              </w:rPr>
            </w:pPr>
            <w:r>
              <w:rPr>
                <w:rFonts w:ascii="宋体" w:eastAsia="宋体" w:hint="eastAsia"/>
                <w:sz w:val="18"/>
              </w:rPr>
              <w:t>深圳</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67"/>
              <w:ind w:left="151" w:right="129"/>
              <w:jc w:val="center"/>
              <w:rPr>
                <w:rFonts w:ascii="宋体" w:eastAsia="宋体" w:hint="eastAsia"/>
                <w:sz w:val="18"/>
              </w:rPr>
            </w:pPr>
            <w:r>
              <w:rPr>
                <w:rFonts w:ascii="宋体" w:eastAsia="宋体" w:hint="eastAsia"/>
                <w:sz w:val="18"/>
              </w:rPr>
              <w:t>技术咨询服务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76"/>
              <w:ind w:left="143" w:right="115"/>
              <w:jc w:val="center"/>
              <w:rPr>
                <w:sz w:val="18"/>
              </w:rPr>
            </w:pPr>
            <w:r>
              <w:rPr>
                <w:sz w:val="18"/>
              </w:rPr>
              <w:t>18.77%</w:t>
            </w:r>
          </w:p>
        </w:tc>
        <w:tc>
          <w:tcPr>
            <w:tcW w:w="1164" w:type="dxa"/>
            <w:tcBorders>
              <w:top w:val="single" w:sz="4" w:space="0" w:color="000000"/>
              <w:left w:val="single" w:sz="4" w:space="0" w:color="000000"/>
              <w:bottom w:val="single" w:sz="4" w:space="0" w:color="000000"/>
            </w:tcBorders>
          </w:tcPr>
          <w:p>
            <w:pPr>
              <w:pStyle w:val="TableParagraph"/>
              <w:spacing w:before="67"/>
              <w:ind w:left="300" w:right="263"/>
              <w:jc w:val="center"/>
              <w:rPr>
                <w:rFonts w:ascii="宋体" w:eastAsia="宋体" w:hint="eastAsia"/>
                <w:sz w:val="18"/>
              </w:rPr>
            </w:pPr>
            <w:r>
              <w:rPr>
                <w:rFonts w:ascii="宋体" w:eastAsia="宋体" w:hint="eastAsia"/>
                <w:sz w:val="18"/>
              </w:rPr>
              <w:t>权益法</w:t>
            </w:r>
          </w:p>
        </w:tc>
      </w:tr>
      <w:tr>
        <w:trPr>
          <w:trHeight w:val="369" w:hRule="atLeast"/>
        </w:trPr>
        <w:tc>
          <w:tcPr>
            <w:tcW w:w="3536" w:type="dxa"/>
            <w:tcBorders>
              <w:top w:val="single" w:sz="4" w:space="0" w:color="000000"/>
              <w:bottom w:val="single" w:sz="4" w:space="0" w:color="000000"/>
              <w:right w:val="single" w:sz="4" w:space="0" w:color="000000"/>
            </w:tcBorders>
          </w:tcPr>
          <w:p>
            <w:pPr>
              <w:pStyle w:val="TableParagraph"/>
              <w:spacing w:before="67"/>
              <w:ind w:left="105"/>
              <w:rPr>
                <w:rFonts w:ascii="宋体" w:eastAsia="宋体" w:hint="eastAsia"/>
                <w:sz w:val="18"/>
              </w:rPr>
            </w:pPr>
            <w:r>
              <w:rPr>
                <w:rFonts w:ascii="宋体" w:eastAsia="宋体" w:hint="eastAsia"/>
                <w:sz w:val="18"/>
              </w:rPr>
              <w:t>青岛海慕投资管理有限公司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7"/>
              <w:ind w:left="173" w:right="148"/>
              <w:jc w:val="center"/>
              <w:rPr>
                <w:rFonts w:ascii="宋体" w:eastAsia="宋体" w:hint="eastAsia"/>
                <w:sz w:val="18"/>
              </w:rPr>
            </w:pPr>
            <w:r>
              <w:rPr>
                <w:rFonts w:ascii="宋体" w:eastAsia="宋体" w:hint="eastAsia"/>
                <w:sz w:val="18"/>
              </w:rPr>
              <w:t>青岛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67"/>
              <w:ind w:left="140" w:right="118"/>
              <w:jc w:val="center"/>
              <w:rPr>
                <w:rFonts w:ascii="宋体" w:eastAsia="宋体" w:hint="eastAsia"/>
                <w:sz w:val="18"/>
              </w:rPr>
            </w:pPr>
            <w:r>
              <w:rPr>
                <w:rFonts w:ascii="宋体" w:eastAsia="宋体" w:hint="eastAsia"/>
                <w:sz w:val="18"/>
              </w:rPr>
              <w:t>青岛</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67"/>
              <w:ind w:left="151" w:right="129"/>
              <w:jc w:val="center"/>
              <w:rPr>
                <w:rFonts w:ascii="宋体" w:eastAsia="宋体" w:hint="eastAsia"/>
                <w:sz w:val="18"/>
              </w:rPr>
            </w:pPr>
            <w:r>
              <w:rPr>
                <w:rFonts w:ascii="宋体" w:eastAsia="宋体" w:hint="eastAsia"/>
                <w:sz w:val="18"/>
              </w:rPr>
              <w:t>投资管理</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76"/>
              <w:ind w:left="143" w:right="115"/>
              <w:jc w:val="center"/>
              <w:rPr>
                <w:sz w:val="18"/>
              </w:rPr>
            </w:pPr>
            <w:r>
              <w:rPr>
                <w:sz w:val="18"/>
              </w:rPr>
              <w:t>49.00%</w:t>
            </w:r>
          </w:p>
        </w:tc>
        <w:tc>
          <w:tcPr>
            <w:tcW w:w="1164" w:type="dxa"/>
            <w:tcBorders>
              <w:top w:val="single" w:sz="4" w:space="0" w:color="000000"/>
              <w:left w:val="single" w:sz="4" w:space="0" w:color="000000"/>
              <w:bottom w:val="single" w:sz="4" w:space="0" w:color="000000"/>
            </w:tcBorders>
          </w:tcPr>
          <w:p>
            <w:pPr>
              <w:pStyle w:val="TableParagraph"/>
              <w:spacing w:before="67"/>
              <w:ind w:left="300" w:right="263"/>
              <w:jc w:val="center"/>
              <w:rPr>
                <w:rFonts w:ascii="宋体" w:eastAsia="宋体" w:hint="eastAsia"/>
                <w:sz w:val="18"/>
              </w:rPr>
            </w:pPr>
            <w:r>
              <w:rPr>
                <w:rFonts w:ascii="宋体" w:eastAsia="宋体" w:hint="eastAsia"/>
                <w:sz w:val="18"/>
              </w:rPr>
              <w:t>权益法</w:t>
            </w:r>
          </w:p>
        </w:tc>
      </w:tr>
      <w:tr>
        <w:trPr>
          <w:trHeight w:val="369" w:hRule="atLeast"/>
        </w:trPr>
        <w:tc>
          <w:tcPr>
            <w:tcW w:w="3536" w:type="dxa"/>
            <w:tcBorders>
              <w:top w:val="single" w:sz="4" w:space="0" w:color="000000"/>
              <w:bottom w:val="single" w:sz="4" w:space="0" w:color="000000"/>
              <w:right w:val="single" w:sz="4" w:space="0" w:color="000000"/>
            </w:tcBorders>
          </w:tcPr>
          <w:p>
            <w:pPr>
              <w:pStyle w:val="TableParagraph"/>
              <w:spacing w:before="67"/>
              <w:ind w:left="105"/>
              <w:rPr>
                <w:sz w:val="18"/>
              </w:rPr>
            </w:pPr>
            <w:r>
              <w:rPr>
                <w:rFonts w:ascii="宋体" w:eastAsia="宋体" w:hint="eastAsia"/>
                <w:sz w:val="18"/>
              </w:rPr>
              <w:t>青岛海慕智家投资合伙企业</w:t>
            </w:r>
            <w:r>
              <w:rPr>
                <w:sz w:val="18"/>
              </w:rPr>
              <w:t>(</w:t>
            </w:r>
            <w:r>
              <w:rPr>
                <w:rFonts w:ascii="宋体" w:eastAsia="宋体" w:hint="eastAsia"/>
                <w:sz w:val="18"/>
              </w:rPr>
              <w:t>有限合伙</w:t>
            </w:r>
            <w:r>
              <w:rPr>
                <w:sz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7"/>
              <w:ind w:left="173" w:right="148"/>
              <w:jc w:val="center"/>
              <w:rPr>
                <w:rFonts w:ascii="宋体" w:eastAsia="宋体" w:hint="eastAsia"/>
                <w:sz w:val="18"/>
              </w:rPr>
            </w:pPr>
            <w:r>
              <w:rPr>
                <w:rFonts w:ascii="宋体" w:eastAsia="宋体" w:hint="eastAsia"/>
                <w:sz w:val="18"/>
              </w:rPr>
              <w:t>青岛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67"/>
              <w:ind w:left="140" w:right="118"/>
              <w:jc w:val="center"/>
              <w:rPr>
                <w:rFonts w:ascii="宋体" w:eastAsia="宋体" w:hint="eastAsia"/>
                <w:sz w:val="18"/>
              </w:rPr>
            </w:pPr>
            <w:r>
              <w:rPr>
                <w:rFonts w:ascii="宋体" w:eastAsia="宋体" w:hint="eastAsia"/>
                <w:sz w:val="18"/>
              </w:rPr>
              <w:t>青岛</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67"/>
              <w:ind w:left="151" w:right="129"/>
              <w:jc w:val="center"/>
              <w:rPr>
                <w:rFonts w:ascii="宋体" w:eastAsia="宋体" w:hint="eastAsia"/>
                <w:sz w:val="18"/>
              </w:rPr>
            </w:pPr>
            <w:r>
              <w:rPr>
                <w:rFonts w:ascii="宋体" w:eastAsia="宋体" w:hint="eastAsia"/>
                <w:sz w:val="18"/>
              </w:rPr>
              <w:t>投资管理</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76"/>
              <w:ind w:left="143" w:right="115"/>
              <w:jc w:val="center"/>
              <w:rPr>
                <w:sz w:val="18"/>
              </w:rPr>
            </w:pPr>
            <w:r>
              <w:rPr>
                <w:sz w:val="18"/>
              </w:rPr>
              <w:t>24.00%</w:t>
            </w:r>
          </w:p>
        </w:tc>
        <w:tc>
          <w:tcPr>
            <w:tcW w:w="1164" w:type="dxa"/>
            <w:tcBorders>
              <w:top w:val="single" w:sz="4" w:space="0" w:color="000000"/>
              <w:left w:val="single" w:sz="4" w:space="0" w:color="000000"/>
              <w:bottom w:val="single" w:sz="4" w:space="0" w:color="000000"/>
            </w:tcBorders>
          </w:tcPr>
          <w:p>
            <w:pPr>
              <w:pStyle w:val="TableParagraph"/>
              <w:spacing w:before="67"/>
              <w:ind w:left="300" w:right="263"/>
              <w:jc w:val="center"/>
              <w:rPr>
                <w:rFonts w:ascii="宋体" w:eastAsia="宋体" w:hint="eastAsia"/>
                <w:sz w:val="18"/>
              </w:rPr>
            </w:pPr>
            <w:r>
              <w:rPr>
                <w:rFonts w:ascii="宋体" w:eastAsia="宋体" w:hint="eastAsia"/>
                <w:sz w:val="18"/>
              </w:rPr>
              <w:t>权益法</w:t>
            </w:r>
          </w:p>
        </w:tc>
      </w:tr>
      <w:tr>
        <w:trPr>
          <w:trHeight w:val="369" w:hRule="atLeast"/>
        </w:trPr>
        <w:tc>
          <w:tcPr>
            <w:tcW w:w="3536" w:type="dxa"/>
            <w:tcBorders>
              <w:top w:val="single" w:sz="4" w:space="0" w:color="000000"/>
              <w:bottom w:val="single" w:sz="4" w:space="0" w:color="000000"/>
              <w:right w:val="single" w:sz="4" w:space="0" w:color="000000"/>
            </w:tcBorders>
          </w:tcPr>
          <w:p>
            <w:pPr>
              <w:pStyle w:val="TableParagraph"/>
              <w:spacing w:before="67"/>
              <w:ind w:left="105"/>
              <w:rPr>
                <w:rFonts w:ascii="宋体" w:eastAsia="宋体" w:hint="eastAsia"/>
                <w:sz w:val="18"/>
              </w:rPr>
            </w:pPr>
            <w:r>
              <w:rPr>
                <w:rFonts w:ascii="宋体" w:eastAsia="宋体" w:hint="eastAsia"/>
                <w:sz w:val="18"/>
              </w:rPr>
              <w:t>广州合赢投资合伙企业（有限合伙）</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7"/>
              <w:ind w:left="173" w:right="148"/>
              <w:jc w:val="center"/>
              <w:rPr>
                <w:rFonts w:ascii="宋体" w:eastAsia="宋体" w:hint="eastAsia"/>
                <w:sz w:val="18"/>
              </w:rPr>
            </w:pPr>
            <w:r>
              <w:rPr>
                <w:rFonts w:ascii="宋体" w:eastAsia="宋体" w:hint="eastAsia"/>
                <w:sz w:val="18"/>
              </w:rPr>
              <w:t>广州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67"/>
              <w:ind w:left="140" w:right="118"/>
              <w:jc w:val="center"/>
              <w:rPr>
                <w:rFonts w:ascii="宋体" w:eastAsia="宋体" w:hint="eastAsia"/>
                <w:sz w:val="18"/>
              </w:rPr>
            </w:pPr>
            <w:r>
              <w:rPr>
                <w:rFonts w:ascii="宋体" w:eastAsia="宋体" w:hint="eastAsia"/>
                <w:sz w:val="18"/>
              </w:rPr>
              <w:t>广州</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67"/>
              <w:ind w:left="151" w:right="129"/>
              <w:jc w:val="center"/>
              <w:rPr>
                <w:rFonts w:ascii="宋体" w:eastAsia="宋体" w:hint="eastAsia"/>
                <w:sz w:val="18"/>
              </w:rPr>
            </w:pPr>
            <w:r>
              <w:rPr>
                <w:rFonts w:ascii="宋体" w:eastAsia="宋体" w:hint="eastAsia"/>
                <w:sz w:val="18"/>
              </w:rPr>
              <w:t>投资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77"/>
              <w:ind w:left="143" w:right="115"/>
              <w:jc w:val="center"/>
              <w:rPr>
                <w:sz w:val="18"/>
              </w:rPr>
            </w:pPr>
            <w:r>
              <w:rPr>
                <w:sz w:val="18"/>
              </w:rPr>
              <w:t>50.00%</w:t>
            </w:r>
          </w:p>
        </w:tc>
        <w:tc>
          <w:tcPr>
            <w:tcW w:w="1164" w:type="dxa"/>
            <w:tcBorders>
              <w:top w:val="single" w:sz="4" w:space="0" w:color="000000"/>
              <w:left w:val="single" w:sz="4" w:space="0" w:color="000000"/>
              <w:bottom w:val="single" w:sz="4" w:space="0" w:color="000000"/>
            </w:tcBorders>
          </w:tcPr>
          <w:p>
            <w:pPr>
              <w:pStyle w:val="TableParagraph"/>
              <w:spacing w:before="67"/>
              <w:ind w:left="300" w:right="263"/>
              <w:jc w:val="center"/>
              <w:rPr>
                <w:rFonts w:ascii="宋体" w:eastAsia="宋体" w:hint="eastAsia"/>
                <w:sz w:val="18"/>
              </w:rPr>
            </w:pPr>
            <w:r>
              <w:rPr>
                <w:rFonts w:ascii="宋体" w:eastAsia="宋体" w:hint="eastAsia"/>
                <w:sz w:val="18"/>
              </w:rPr>
              <w:t>权益法</w:t>
            </w:r>
          </w:p>
        </w:tc>
      </w:tr>
      <w:tr>
        <w:trPr>
          <w:trHeight w:val="369" w:hRule="atLeast"/>
        </w:trPr>
        <w:tc>
          <w:tcPr>
            <w:tcW w:w="3536" w:type="dxa"/>
            <w:tcBorders>
              <w:top w:val="single" w:sz="4" w:space="0" w:color="000000"/>
              <w:bottom w:val="single" w:sz="4" w:space="0" w:color="000000"/>
              <w:right w:val="single" w:sz="4" w:space="0" w:color="000000"/>
            </w:tcBorders>
          </w:tcPr>
          <w:p>
            <w:pPr>
              <w:pStyle w:val="TableParagraph"/>
              <w:spacing w:before="67"/>
              <w:ind w:left="105"/>
              <w:rPr>
                <w:rFonts w:ascii="宋体" w:eastAsia="宋体" w:hint="eastAsia"/>
                <w:sz w:val="18"/>
              </w:rPr>
            </w:pPr>
            <w:r>
              <w:rPr>
                <w:rFonts w:ascii="宋体" w:eastAsia="宋体" w:hint="eastAsia"/>
                <w:sz w:val="18"/>
              </w:rPr>
              <w:t>青岛家哇云网络科技有限公司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7"/>
              <w:ind w:left="173" w:right="148"/>
              <w:jc w:val="center"/>
              <w:rPr>
                <w:rFonts w:ascii="宋体" w:eastAsia="宋体" w:hint="eastAsia"/>
                <w:sz w:val="18"/>
              </w:rPr>
            </w:pPr>
            <w:r>
              <w:rPr>
                <w:rFonts w:ascii="宋体" w:eastAsia="宋体" w:hint="eastAsia"/>
                <w:sz w:val="18"/>
              </w:rPr>
              <w:t>青岛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67"/>
              <w:ind w:left="140" w:right="118"/>
              <w:jc w:val="center"/>
              <w:rPr>
                <w:rFonts w:ascii="宋体" w:eastAsia="宋体" w:hint="eastAsia"/>
                <w:sz w:val="18"/>
              </w:rPr>
            </w:pPr>
            <w:r>
              <w:rPr>
                <w:rFonts w:ascii="宋体" w:eastAsia="宋体" w:hint="eastAsia"/>
                <w:sz w:val="18"/>
              </w:rPr>
              <w:t>青岛</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67"/>
              <w:ind w:left="151" w:right="129"/>
              <w:jc w:val="center"/>
              <w:rPr>
                <w:rFonts w:ascii="宋体" w:eastAsia="宋体" w:hint="eastAsia"/>
                <w:sz w:val="18"/>
              </w:rPr>
            </w:pPr>
            <w:r>
              <w:rPr>
                <w:rFonts w:ascii="宋体" w:eastAsia="宋体" w:hint="eastAsia"/>
                <w:sz w:val="18"/>
              </w:rPr>
              <w:t>家居在线服务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76"/>
              <w:ind w:left="143" w:right="115"/>
              <w:jc w:val="center"/>
              <w:rPr>
                <w:sz w:val="18"/>
              </w:rPr>
            </w:pPr>
            <w:r>
              <w:rPr>
                <w:sz w:val="18"/>
              </w:rPr>
              <w:t>24.93%</w:t>
            </w:r>
          </w:p>
        </w:tc>
        <w:tc>
          <w:tcPr>
            <w:tcW w:w="1164" w:type="dxa"/>
            <w:tcBorders>
              <w:top w:val="single" w:sz="4" w:space="0" w:color="000000"/>
              <w:left w:val="single" w:sz="4" w:space="0" w:color="000000"/>
              <w:bottom w:val="single" w:sz="4" w:space="0" w:color="000000"/>
            </w:tcBorders>
          </w:tcPr>
          <w:p>
            <w:pPr>
              <w:pStyle w:val="TableParagraph"/>
              <w:spacing w:before="67"/>
              <w:ind w:left="300" w:right="263"/>
              <w:jc w:val="center"/>
              <w:rPr>
                <w:rFonts w:ascii="宋体" w:eastAsia="宋体" w:hint="eastAsia"/>
                <w:sz w:val="18"/>
              </w:rPr>
            </w:pPr>
            <w:r>
              <w:rPr>
                <w:rFonts w:ascii="宋体" w:eastAsia="宋体" w:hint="eastAsia"/>
                <w:sz w:val="18"/>
              </w:rPr>
              <w:t>权益法</w:t>
            </w:r>
          </w:p>
        </w:tc>
      </w:tr>
      <w:tr>
        <w:trPr>
          <w:trHeight w:val="465" w:hRule="atLeast"/>
        </w:trPr>
        <w:tc>
          <w:tcPr>
            <w:tcW w:w="3536" w:type="dxa"/>
            <w:tcBorders>
              <w:top w:val="single" w:sz="4" w:space="0" w:color="000000"/>
              <w:bottom w:val="single" w:sz="4" w:space="0" w:color="000000"/>
              <w:right w:val="single" w:sz="4" w:space="0" w:color="000000"/>
            </w:tcBorders>
          </w:tcPr>
          <w:p>
            <w:pPr>
              <w:pStyle w:val="TableParagraph"/>
              <w:spacing w:before="115"/>
              <w:ind w:left="105"/>
              <w:rPr>
                <w:rFonts w:ascii="宋体" w:eastAsia="宋体" w:hint="eastAsia"/>
                <w:sz w:val="18"/>
              </w:rPr>
            </w:pPr>
            <w:r>
              <w:rPr>
                <w:rFonts w:ascii="宋体" w:eastAsia="宋体" w:hint="eastAsia"/>
                <w:sz w:val="18"/>
              </w:rPr>
              <w:t>青岛日日顺服务有限公司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115"/>
              <w:ind w:left="173" w:right="148"/>
              <w:jc w:val="center"/>
              <w:rPr>
                <w:rFonts w:ascii="宋体" w:eastAsia="宋体" w:hint="eastAsia"/>
                <w:sz w:val="18"/>
              </w:rPr>
            </w:pPr>
            <w:r>
              <w:rPr>
                <w:rFonts w:ascii="宋体" w:eastAsia="宋体" w:hint="eastAsia"/>
                <w:sz w:val="18"/>
              </w:rPr>
              <w:t>青岛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15"/>
              <w:ind w:left="140" w:right="118"/>
              <w:jc w:val="center"/>
              <w:rPr>
                <w:rFonts w:ascii="宋体" w:eastAsia="宋体" w:hint="eastAsia"/>
                <w:sz w:val="18"/>
              </w:rPr>
            </w:pPr>
            <w:r>
              <w:rPr>
                <w:rFonts w:ascii="宋体" w:eastAsia="宋体" w:hint="eastAsia"/>
                <w:sz w:val="18"/>
              </w:rPr>
              <w:t>青岛</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ind w:left="151" w:right="129"/>
              <w:jc w:val="center"/>
              <w:rPr>
                <w:rFonts w:ascii="宋体" w:eastAsia="宋体" w:hint="eastAsia"/>
                <w:sz w:val="18"/>
              </w:rPr>
            </w:pPr>
            <w:r>
              <w:rPr>
                <w:rFonts w:ascii="宋体" w:eastAsia="宋体" w:hint="eastAsia"/>
                <w:sz w:val="18"/>
              </w:rPr>
              <w:t>水设备技术服</w:t>
            </w:r>
          </w:p>
          <w:p>
            <w:pPr>
              <w:pStyle w:val="TableParagraph"/>
              <w:spacing w:line="213" w:lineRule="exact" w:before="2"/>
              <w:ind w:left="19"/>
              <w:jc w:val="center"/>
              <w:rPr>
                <w:rFonts w:ascii="宋体" w:eastAsia="宋体" w:hint="eastAsia"/>
                <w:sz w:val="18"/>
              </w:rPr>
            </w:pPr>
            <w:r>
              <w:rPr>
                <w:rFonts w:ascii="宋体" w:eastAsia="宋体" w:hint="eastAsia"/>
                <w:sz w:val="18"/>
              </w:rPr>
              <w:t>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24"/>
              <w:ind w:left="143" w:right="115"/>
              <w:jc w:val="center"/>
              <w:rPr>
                <w:sz w:val="18"/>
              </w:rPr>
            </w:pPr>
            <w:r>
              <w:rPr>
                <w:sz w:val="18"/>
              </w:rPr>
              <w:t>24.02%</w:t>
            </w:r>
          </w:p>
        </w:tc>
        <w:tc>
          <w:tcPr>
            <w:tcW w:w="1164" w:type="dxa"/>
            <w:tcBorders>
              <w:top w:val="single" w:sz="4" w:space="0" w:color="000000"/>
              <w:left w:val="single" w:sz="4" w:space="0" w:color="000000"/>
              <w:bottom w:val="single" w:sz="4" w:space="0" w:color="000000"/>
            </w:tcBorders>
          </w:tcPr>
          <w:p>
            <w:pPr>
              <w:pStyle w:val="TableParagraph"/>
              <w:spacing w:before="115"/>
              <w:ind w:left="300" w:right="263"/>
              <w:jc w:val="center"/>
              <w:rPr>
                <w:rFonts w:ascii="宋体" w:eastAsia="宋体" w:hint="eastAsia"/>
                <w:sz w:val="18"/>
              </w:rPr>
            </w:pPr>
            <w:r>
              <w:rPr>
                <w:rFonts w:ascii="宋体" w:eastAsia="宋体" w:hint="eastAsia"/>
                <w:sz w:val="18"/>
              </w:rPr>
              <w:t>权益法</w:t>
            </w:r>
          </w:p>
        </w:tc>
      </w:tr>
      <w:tr>
        <w:trPr>
          <w:trHeight w:val="369" w:hRule="atLeast"/>
        </w:trPr>
        <w:tc>
          <w:tcPr>
            <w:tcW w:w="3536" w:type="dxa"/>
            <w:tcBorders>
              <w:top w:val="single" w:sz="4" w:space="0" w:color="000000"/>
              <w:bottom w:val="single" w:sz="4" w:space="0" w:color="000000"/>
              <w:right w:val="single" w:sz="4" w:space="0" w:color="000000"/>
            </w:tcBorders>
          </w:tcPr>
          <w:p>
            <w:pPr>
              <w:pStyle w:val="TableParagraph"/>
              <w:spacing w:before="69"/>
              <w:ind w:left="105"/>
              <w:rPr>
                <w:rFonts w:ascii="宋体" w:eastAsia="宋体" w:hint="eastAsia"/>
                <w:sz w:val="18"/>
              </w:rPr>
            </w:pPr>
            <w:r>
              <w:rPr>
                <w:rFonts w:ascii="宋体" w:eastAsia="宋体" w:hint="eastAsia"/>
                <w:sz w:val="18"/>
              </w:rPr>
              <w:t>冰戟（上海）企业管理有限公司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9"/>
              <w:ind w:left="173" w:right="148"/>
              <w:jc w:val="center"/>
              <w:rPr>
                <w:rFonts w:ascii="宋体" w:eastAsia="宋体" w:hint="eastAsia"/>
                <w:sz w:val="18"/>
              </w:rPr>
            </w:pPr>
            <w:r>
              <w:rPr>
                <w:rFonts w:ascii="宋体" w:eastAsia="宋体" w:hint="eastAsia"/>
                <w:sz w:val="18"/>
              </w:rPr>
              <w:t>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69"/>
              <w:ind w:left="140" w:right="118"/>
              <w:jc w:val="center"/>
              <w:rPr>
                <w:rFonts w:ascii="宋体" w:eastAsia="宋体" w:hint="eastAsia"/>
                <w:sz w:val="18"/>
              </w:rPr>
            </w:pPr>
            <w:r>
              <w:rPr>
                <w:rFonts w:ascii="宋体" w:eastAsia="宋体" w:hint="eastAsia"/>
                <w:sz w:val="18"/>
              </w:rPr>
              <w:t>上海</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69"/>
              <w:ind w:left="151" w:right="129"/>
              <w:jc w:val="center"/>
              <w:rPr>
                <w:rFonts w:ascii="宋体" w:eastAsia="宋体" w:hint="eastAsia"/>
                <w:sz w:val="18"/>
              </w:rPr>
            </w:pPr>
            <w:r>
              <w:rPr>
                <w:rFonts w:ascii="宋体" w:eastAsia="宋体" w:hint="eastAsia"/>
                <w:sz w:val="18"/>
              </w:rPr>
              <w:t>投资管理</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76"/>
              <w:ind w:left="143" w:right="115"/>
              <w:jc w:val="center"/>
              <w:rPr>
                <w:sz w:val="18"/>
              </w:rPr>
            </w:pPr>
            <w:r>
              <w:rPr>
                <w:sz w:val="18"/>
              </w:rPr>
              <w:t>45.00%</w:t>
            </w:r>
          </w:p>
        </w:tc>
        <w:tc>
          <w:tcPr>
            <w:tcW w:w="1164" w:type="dxa"/>
            <w:tcBorders>
              <w:top w:val="single" w:sz="4" w:space="0" w:color="000000"/>
              <w:left w:val="single" w:sz="4" w:space="0" w:color="000000"/>
              <w:bottom w:val="single" w:sz="4" w:space="0" w:color="000000"/>
            </w:tcBorders>
          </w:tcPr>
          <w:p>
            <w:pPr>
              <w:pStyle w:val="TableParagraph"/>
              <w:spacing w:before="69"/>
              <w:ind w:left="300" w:right="263"/>
              <w:jc w:val="center"/>
              <w:rPr>
                <w:rFonts w:ascii="宋体" w:eastAsia="宋体" w:hint="eastAsia"/>
                <w:sz w:val="18"/>
              </w:rPr>
            </w:pPr>
            <w:r>
              <w:rPr>
                <w:rFonts w:ascii="宋体" w:eastAsia="宋体" w:hint="eastAsia"/>
                <w:sz w:val="18"/>
              </w:rPr>
              <w:t>权益法</w:t>
            </w:r>
          </w:p>
        </w:tc>
      </w:tr>
      <w:tr>
        <w:trPr>
          <w:trHeight w:val="369" w:hRule="atLeast"/>
        </w:trPr>
        <w:tc>
          <w:tcPr>
            <w:tcW w:w="3536" w:type="dxa"/>
            <w:tcBorders>
              <w:top w:val="single" w:sz="4" w:space="0" w:color="000000"/>
              <w:bottom w:val="single" w:sz="4" w:space="0" w:color="000000"/>
              <w:right w:val="single" w:sz="4" w:space="0" w:color="000000"/>
            </w:tcBorders>
          </w:tcPr>
          <w:p>
            <w:pPr>
              <w:pStyle w:val="TableParagraph"/>
              <w:spacing w:before="69"/>
              <w:ind w:left="105"/>
              <w:rPr>
                <w:rFonts w:ascii="宋体" w:eastAsia="宋体" w:hint="eastAsia"/>
                <w:sz w:val="18"/>
              </w:rPr>
            </w:pPr>
            <w:r>
              <w:rPr>
                <w:rFonts w:ascii="宋体" w:eastAsia="宋体" w:hint="eastAsia"/>
                <w:sz w:val="18"/>
              </w:rPr>
              <w:t>优瑾（上海）企业管理有限公司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9"/>
              <w:ind w:left="173" w:right="148"/>
              <w:jc w:val="center"/>
              <w:rPr>
                <w:rFonts w:ascii="宋体" w:eastAsia="宋体" w:hint="eastAsia"/>
                <w:sz w:val="18"/>
              </w:rPr>
            </w:pPr>
            <w:r>
              <w:rPr>
                <w:rFonts w:ascii="宋体" w:eastAsia="宋体" w:hint="eastAsia"/>
                <w:sz w:val="18"/>
              </w:rPr>
              <w:t>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69"/>
              <w:ind w:left="140" w:right="118"/>
              <w:jc w:val="center"/>
              <w:rPr>
                <w:rFonts w:ascii="宋体" w:eastAsia="宋体" w:hint="eastAsia"/>
                <w:sz w:val="18"/>
              </w:rPr>
            </w:pPr>
            <w:r>
              <w:rPr>
                <w:rFonts w:ascii="宋体" w:eastAsia="宋体" w:hint="eastAsia"/>
                <w:sz w:val="18"/>
              </w:rPr>
              <w:t>上海</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69"/>
              <w:ind w:left="151" w:right="129"/>
              <w:jc w:val="center"/>
              <w:rPr>
                <w:rFonts w:ascii="宋体" w:eastAsia="宋体" w:hint="eastAsia"/>
                <w:sz w:val="18"/>
              </w:rPr>
            </w:pPr>
            <w:r>
              <w:rPr>
                <w:rFonts w:ascii="宋体" w:eastAsia="宋体" w:hint="eastAsia"/>
                <w:sz w:val="18"/>
              </w:rPr>
              <w:t>投资管理</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76"/>
              <w:ind w:left="143" w:right="115"/>
              <w:jc w:val="center"/>
              <w:rPr>
                <w:sz w:val="18"/>
              </w:rPr>
            </w:pPr>
            <w:r>
              <w:rPr>
                <w:sz w:val="18"/>
              </w:rPr>
              <w:t>45.00%</w:t>
            </w:r>
          </w:p>
        </w:tc>
        <w:tc>
          <w:tcPr>
            <w:tcW w:w="1164" w:type="dxa"/>
            <w:tcBorders>
              <w:top w:val="single" w:sz="4" w:space="0" w:color="000000"/>
              <w:left w:val="single" w:sz="4" w:space="0" w:color="000000"/>
              <w:bottom w:val="single" w:sz="4" w:space="0" w:color="000000"/>
            </w:tcBorders>
          </w:tcPr>
          <w:p>
            <w:pPr>
              <w:pStyle w:val="TableParagraph"/>
              <w:spacing w:before="69"/>
              <w:ind w:left="300" w:right="263"/>
              <w:jc w:val="center"/>
              <w:rPr>
                <w:rFonts w:ascii="宋体" w:eastAsia="宋体" w:hint="eastAsia"/>
                <w:sz w:val="18"/>
              </w:rPr>
            </w:pPr>
            <w:r>
              <w:rPr>
                <w:rFonts w:ascii="宋体" w:eastAsia="宋体" w:hint="eastAsia"/>
                <w:sz w:val="18"/>
              </w:rPr>
              <w:t>权益法</w:t>
            </w:r>
          </w:p>
        </w:tc>
      </w:tr>
      <w:tr>
        <w:trPr>
          <w:trHeight w:val="369" w:hRule="atLeast"/>
        </w:trPr>
        <w:tc>
          <w:tcPr>
            <w:tcW w:w="3536" w:type="dxa"/>
            <w:tcBorders>
              <w:top w:val="single" w:sz="4" w:space="0" w:color="000000"/>
              <w:bottom w:val="single" w:sz="4" w:space="0" w:color="000000"/>
              <w:right w:val="single" w:sz="4" w:space="0" w:color="000000"/>
            </w:tcBorders>
          </w:tcPr>
          <w:p>
            <w:pPr>
              <w:pStyle w:val="TableParagraph"/>
              <w:spacing w:before="69"/>
              <w:ind w:left="105"/>
              <w:rPr>
                <w:rFonts w:ascii="宋体" w:eastAsia="宋体" w:hint="eastAsia"/>
                <w:sz w:val="18"/>
              </w:rPr>
            </w:pPr>
            <w:r>
              <w:rPr>
                <w:rFonts w:ascii="宋体" w:eastAsia="宋体" w:hint="eastAsia"/>
                <w:sz w:val="18"/>
              </w:rPr>
              <w:t>日日顺（上海）投资有限公司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9"/>
              <w:ind w:left="173" w:right="148"/>
              <w:jc w:val="center"/>
              <w:rPr>
                <w:rFonts w:ascii="宋体" w:eastAsia="宋体" w:hint="eastAsia"/>
                <w:sz w:val="18"/>
              </w:rPr>
            </w:pPr>
            <w:r>
              <w:rPr>
                <w:rFonts w:ascii="宋体" w:eastAsia="宋体" w:hint="eastAsia"/>
                <w:sz w:val="18"/>
              </w:rPr>
              <w:t>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69"/>
              <w:ind w:left="140" w:right="118"/>
              <w:jc w:val="center"/>
              <w:rPr>
                <w:rFonts w:ascii="宋体" w:eastAsia="宋体" w:hint="eastAsia"/>
                <w:sz w:val="18"/>
              </w:rPr>
            </w:pPr>
            <w:r>
              <w:rPr>
                <w:rFonts w:ascii="宋体" w:eastAsia="宋体" w:hint="eastAsia"/>
                <w:sz w:val="18"/>
              </w:rPr>
              <w:t>上海</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69"/>
              <w:ind w:left="151" w:right="129"/>
              <w:jc w:val="center"/>
              <w:rPr>
                <w:rFonts w:ascii="宋体" w:eastAsia="宋体" w:hint="eastAsia"/>
                <w:sz w:val="18"/>
              </w:rPr>
            </w:pPr>
            <w:r>
              <w:rPr>
                <w:rFonts w:ascii="宋体" w:eastAsia="宋体" w:hint="eastAsia"/>
                <w:sz w:val="18"/>
              </w:rPr>
              <w:t>投资管理</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76"/>
              <w:ind w:left="143" w:right="115"/>
              <w:jc w:val="center"/>
              <w:rPr>
                <w:sz w:val="18"/>
              </w:rPr>
            </w:pPr>
            <w:r>
              <w:rPr>
                <w:sz w:val="18"/>
              </w:rPr>
              <w:t>45.00%</w:t>
            </w:r>
          </w:p>
        </w:tc>
        <w:tc>
          <w:tcPr>
            <w:tcW w:w="1164" w:type="dxa"/>
            <w:tcBorders>
              <w:top w:val="single" w:sz="4" w:space="0" w:color="000000"/>
              <w:left w:val="single" w:sz="4" w:space="0" w:color="000000"/>
              <w:bottom w:val="single" w:sz="4" w:space="0" w:color="000000"/>
            </w:tcBorders>
          </w:tcPr>
          <w:p>
            <w:pPr>
              <w:pStyle w:val="TableParagraph"/>
              <w:spacing w:before="69"/>
              <w:ind w:left="300" w:right="263"/>
              <w:jc w:val="center"/>
              <w:rPr>
                <w:rFonts w:ascii="宋体" w:eastAsia="宋体" w:hint="eastAsia"/>
                <w:sz w:val="18"/>
              </w:rPr>
            </w:pPr>
            <w:r>
              <w:rPr>
                <w:rFonts w:ascii="宋体" w:eastAsia="宋体" w:hint="eastAsia"/>
                <w:sz w:val="18"/>
              </w:rPr>
              <w:t>权益法</w:t>
            </w:r>
          </w:p>
        </w:tc>
      </w:tr>
      <w:tr>
        <w:trPr>
          <w:trHeight w:val="464" w:hRule="atLeast"/>
        </w:trPr>
        <w:tc>
          <w:tcPr>
            <w:tcW w:w="3536" w:type="dxa"/>
            <w:tcBorders>
              <w:top w:val="single" w:sz="4" w:space="0" w:color="000000"/>
              <w:right w:val="single" w:sz="4" w:space="0" w:color="000000"/>
            </w:tcBorders>
          </w:tcPr>
          <w:p>
            <w:pPr>
              <w:pStyle w:val="TableParagraph"/>
              <w:spacing w:before="117"/>
              <w:ind w:left="105"/>
              <w:rPr>
                <w:rFonts w:ascii="宋体" w:eastAsia="宋体" w:hint="eastAsia"/>
                <w:sz w:val="18"/>
              </w:rPr>
            </w:pPr>
            <w:r>
              <w:rPr>
                <w:rFonts w:ascii="宋体" w:eastAsia="宋体" w:hint="eastAsia"/>
                <w:sz w:val="18"/>
              </w:rPr>
              <w:t>倍世海尔饮水科技有限公司</w:t>
            </w:r>
          </w:p>
        </w:tc>
        <w:tc>
          <w:tcPr>
            <w:tcW w:w="1275" w:type="dxa"/>
            <w:tcBorders>
              <w:top w:val="single" w:sz="4" w:space="0" w:color="000000"/>
              <w:left w:val="single" w:sz="4" w:space="0" w:color="000000"/>
              <w:right w:val="single" w:sz="4" w:space="0" w:color="000000"/>
            </w:tcBorders>
          </w:tcPr>
          <w:p>
            <w:pPr>
              <w:pStyle w:val="TableParagraph"/>
              <w:spacing w:before="117"/>
              <w:ind w:left="173" w:right="148"/>
              <w:jc w:val="center"/>
              <w:rPr>
                <w:rFonts w:ascii="宋体" w:eastAsia="宋体" w:hint="eastAsia"/>
                <w:sz w:val="18"/>
              </w:rPr>
            </w:pPr>
            <w:r>
              <w:rPr>
                <w:rFonts w:ascii="宋体" w:eastAsia="宋体" w:hint="eastAsia"/>
                <w:sz w:val="18"/>
              </w:rPr>
              <w:t>青岛</w:t>
            </w:r>
          </w:p>
        </w:tc>
        <w:tc>
          <w:tcPr>
            <w:tcW w:w="994" w:type="dxa"/>
            <w:tcBorders>
              <w:top w:val="single" w:sz="4" w:space="0" w:color="000000"/>
              <w:left w:val="single" w:sz="4" w:space="0" w:color="000000"/>
              <w:right w:val="single" w:sz="4" w:space="0" w:color="000000"/>
            </w:tcBorders>
          </w:tcPr>
          <w:p>
            <w:pPr>
              <w:pStyle w:val="TableParagraph"/>
              <w:spacing w:before="117"/>
              <w:ind w:left="140" w:right="118"/>
              <w:jc w:val="center"/>
              <w:rPr>
                <w:rFonts w:ascii="宋体" w:eastAsia="宋体" w:hint="eastAsia"/>
                <w:sz w:val="18"/>
              </w:rPr>
            </w:pPr>
            <w:r>
              <w:rPr>
                <w:rFonts w:ascii="宋体" w:eastAsia="宋体" w:hint="eastAsia"/>
                <w:sz w:val="18"/>
              </w:rPr>
              <w:t>青岛</w:t>
            </w:r>
          </w:p>
        </w:tc>
        <w:tc>
          <w:tcPr>
            <w:tcW w:w="1416" w:type="dxa"/>
            <w:tcBorders>
              <w:top w:val="single" w:sz="4" w:space="0" w:color="000000"/>
              <w:left w:val="single" w:sz="4" w:space="0" w:color="000000"/>
              <w:right w:val="single" w:sz="4" w:space="0" w:color="000000"/>
            </w:tcBorders>
          </w:tcPr>
          <w:p>
            <w:pPr>
              <w:pStyle w:val="TableParagraph"/>
              <w:ind w:left="151" w:right="129"/>
              <w:jc w:val="center"/>
              <w:rPr>
                <w:rFonts w:ascii="宋体" w:eastAsia="宋体" w:hint="eastAsia"/>
                <w:sz w:val="18"/>
              </w:rPr>
            </w:pPr>
            <w:r>
              <w:rPr>
                <w:rFonts w:ascii="宋体" w:eastAsia="宋体" w:hint="eastAsia"/>
                <w:sz w:val="18"/>
              </w:rPr>
              <w:t>水设备技术开</w:t>
            </w:r>
          </w:p>
          <w:p>
            <w:pPr>
              <w:pStyle w:val="TableParagraph"/>
              <w:spacing w:line="210" w:lineRule="exact" w:before="4"/>
              <w:ind w:left="148" w:right="129"/>
              <w:jc w:val="center"/>
              <w:rPr>
                <w:rFonts w:ascii="宋体" w:eastAsia="宋体" w:hint="eastAsia"/>
                <w:sz w:val="18"/>
              </w:rPr>
            </w:pPr>
            <w:r>
              <w:rPr>
                <w:rFonts w:ascii="宋体" w:eastAsia="宋体" w:hint="eastAsia"/>
                <w:sz w:val="18"/>
              </w:rPr>
              <w:t>发服务</w:t>
            </w:r>
          </w:p>
        </w:tc>
        <w:tc>
          <w:tcPr>
            <w:tcW w:w="994" w:type="dxa"/>
            <w:tcBorders>
              <w:top w:val="single" w:sz="4" w:space="0" w:color="000000"/>
              <w:left w:val="single" w:sz="4" w:space="0" w:color="000000"/>
              <w:right w:val="single" w:sz="4" w:space="0" w:color="000000"/>
            </w:tcBorders>
          </w:tcPr>
          <w:p>
            <w:pPr>
              <w:pStyle w:val="TableParagraph"/>
              <w:spacing w:before="124"/>
              <w:ind w:left="143" w:right="115"/>
              <w:jc w:val="center"/>
              <w:rPr>
                <w:sz w:val="18"/>
              </w:rPr>
            </w:pPr>
            <w:r>
              <w:rPr>
                <w:sz w:val="18"/>
              </w:rPr>
              <w:t>49.00%</w:t>
            </w:r>
          </w:p>
        </w:tc>
        <w:tc>
          <w:tcPr>
            <w:tcW w:w="1164" w:type="dxa"/>
            <w:tcBorders>
              <w:top w:val="single" w:sz="4" w:space="0" w:color="000000"/>
              <w:left w:val="single" w:sz="4" w:space="0" w:color="000000"/>
            </w:tcBorders>
          </w:tcPr>
          <w:p>
            <w:pPr>
              <w:pStyle w:val="TableParagraph"/>
              <w:spacing w:before="117"/>
              <w:ind w:left="300" w:right="263"/>
              <w:jc w:val="center"/>
              <w:rPr>
                <w:rFonts w:ascii="宋体" w:eastAsia="宋体" w:hint="eastAsia"/>
                <w:sz w:val="18"/>
              </w:rPr>
            </w:pPr>
            <w:r>
              <w:rPr>
                <w:rFonts w:ascii="宋体" w:eastAsia="宋体" w:hint="eastAsia"/>
                <w:sz w:val="18"/>
              </w:rPr>
              <w:t>权益法</w:t>
            </w:r>
          </w:p>
        </w:tc>
      </w:tr>
    </w:tbl>
    <w:p>
      <w:pPr>
        <w:spacing w:after="0"/>
        <w:jc w:val="center"/>
        <w:rPr>
          <w:rFonts w:ascii="宋体" w:eastAsia="宋体" w:hint="eastAsia"/>
          <w:sz w:val="18"/>
        </w:rPr>
        <w:sectPr>
          <w:pgSz w:w="11910" w:h="16840"/>
          <w:pgMar w:header="876" w:footer="1184" w:top="1440" w:bottom="1400" w:left="260" w:right="0"/>
        </w:sectPr>
      </w:pPr>
    </w:p>
    <w:p>
      <w:pPr>
        <w:pStyle w:val="BodyText"/>
        <w:spacing w:before="2"/>
        <w:rPr>
          <w:sz w:val="5"/>
        </w:rPr>
      </w:pPr>
    </w:p>
    <w:tbl>
      <w:tblPr>
        <w:tblW w:w="0" w:type="auto"/>
        <w:jc w:val="left"/>
        <w:tblInd w:w="128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536"/>
        <w:gridCol w:w="1275"/>
        <w:gridCol w:w="994"/>
        <w:gridCol w:w="1416"/>
        <w:gridCol w:w="994"/>
        <w:gridCol w:w="1164"/>
      </w:tblGrid>
      <w:tr>
        <w:trPr>
          <w:trHeight w:val="467" w:hRule="atLeast"/>
        </w:trPr>
        <w:tc>
          <w:tcPr>
            <w:tcW w:w="3536" w:type="dxa"/>
            <w:tcBorders>
              <w:bottom w:val="single" w:sz="4" w:space="0" w:color="000000"/>
              <w:right w:val="single" w:sz="4" w:space="0" w:color="000000"/>
            </w:tcBorders>
          </w:tcPr>
          <w:p>
            <w:pPr>
              <w:pStyle w:val="TableParagraph"/>
              <w:spacing w:before="2"/>
              <w:ind w:left="105"/>
              <w:rPr>
                <w:rFonts w:ascii="宋体" w:eastAsia="宋体" w:hint="eastAsia"/>
                <w:sz w:val="18"/>
              </w:rPr>
            </w:pPr>
            <w:r>
              <w:rPr>
                <w:rFonts w:ascii="宋体" w:eastAsia="宋体" w:hint="eastAsia"/>
                <w:sz w:val="18"/>
              </w:rPr>
              <w:t>汇智翔顺股权投资基金（青岛）合伙企业</w:t>
            </w:r>
          </w:p>
          <w:p>
            <w:pPr>
              <w:pStyle w:val="TableParagraph"/>
              <w:spacing w:line="213" w:lineRule="exact" w:before="2"/>
              <w:ind w:left="105"/>
              <w:rPr>
                <w:rFonts w:ascii="宋体" w:eastAsia="宋体" w:hint="eastAsia"/>
                <w:sz w:val="18"/>
              </w:rPr>
            </w:pPr>
            <w:r>
              <w:rPr>
                <w:rFonts w:ascii="宋体" w:eastAsia="宋体" w:hint="eastAsia"/>
                <w:sz w:val="18"/>
              </w:rPr>
              <w:t>（有限合伙）</w:t>
            </w:r>
          </w:p>
        </w:tc>
        <w:tc>
          <w:tcPr>
            <w:tcW w:w="1275" w:type="dxa"/>
            <w:tcBorders>
              <w:left w:val="single" w:sz="4" w:space="0" w:color="000000"/>
              <w:bottom w:val="single" w:sz="4" w:space="0" w:color="000000"/>
              <w:right w:val="single" w:sz="4" w:space="0" w:color="000000"/>
            </w:tcBorders>
          </w:tcPr>
          <w:p>
            <w:pPr>
              <w:pStyle w:val="TableParagraph"/>
              <w:spacing w:before="119"/>
              <w:ind w:left="173" w:right="148"/>
              <w:jc w:val="center"/>
              <w:rPr>
                <w:rFonts w:ascii="宋体" w:eastAsia="宋体" w:hint="eastAsia"/>
                <w:sz w:val="18"/>
              </w:rPr>
            </w:pPr>
            <w:r>
              <w:rPr>
                <w:rFonts w:ascii="宋体" w:eastAsia="宋体" w:hint="eastAsia"/>
                <w:sz w:val="18"/>
              </w:rPr>
              <w:t>青岛</w:t>
            </w:r>
          </w:p>
        </w:tc>
        <w:tc>
          <w:tcPr>
            <w:tcW w:w="994" w:type="dxa"/>
            <w:tcBorders>
              <w:left w:val="single" w:sz="4" w:space="0" w:color="000000"/>
              <w:bottom w:val="single" w:sz="4" w:space="0" w:color="000000"/>
              <w:right w:val="single" w:sz="4" w:space="0" w:color="000000"/>
            </w:tcBorders>
          </w:tcPr>
          <w:p>
            <w:pPr>
              <w:pStyle w:val="TableParagraph"/>
              <w:spacing w:before="119"/>
              <w:ind w:left="140" w:right="118"/>
              <w:jc w:val="center"/>
              <w:rPr>
                <w:rFonts w:ascii="宋体" w:eastAsia="宋体" w:hint="eastAsia"/>
                <w:sz w:val="18"/>
              </w:rPr>
            </w:pPr>
            <w:r>
              <w:rPr>
                <w:rFonts w:ascii="宋体" w:eastAsia="宋体" w:hint="eastAsia"/>
                <w:sz w:val="18"/>
              </w:rPr>
              <w:t>青岛</w:t>
            </w:r>
          </w:p>
        </w:tc>
        <w:tc>
          <w:tcPr>
            <w:tcW w:w="1416" w:type="dxa"/>
            <w:tcBorders>
              <w:left w:val="single" w:sz="4" w:space="0" w:color="000000"/>
              <w:bottom w:val="single" w:sz="4" w:space="0" w:color="000000"/>
              <w:right w:val="single" w:sz="4" w:space="0" w:color="000000"/>
            </w:tcBorders>
          </w:tcPr>
          <w:p>
            <w:pPr>
              <w:pStyle w:val="TableParagraph"/>
              <w:spacing w:before="119"/>
              <w:ind w:left="151" w:right="129"/>
              <w:jc w:val="center"/>
              <w:rPr>
                <w:rFonts w:ascii="宋体" w:eastAsia="宋体" w:hint="eastAsia"/>
                <w:sz w:val="18"/>
              </w:rPr>
            </w:pPr>
            <w:r>
              <w:rPr>
                <w:rFonts w:ascii="宋体" w:eastAsia="宋体" w:hint="eastAsia"/>
                <w:sz w:val="18"/>
              </w:rPr>
              <w:t>投资管理</w:t>
            </w:r>
          </w:p>
        </w:tc>
        <w:tc>
          <w:tcPr>
            <w:tcW w:w="994" w:type="dxa"/>
            <w:tcBorders>
              <w:left w:val="single" w:sz="4" w:space="0" w:color="000000"/>
              <w:bottom w:val="single" w:sz="4" w:space="0" w:color="000000"/>
              <w:right w:val="single" w:sz="4" w:space="0" w:color="000000"/>
            </w:tcBorders>
          </w:tcPr>
          <w:p>
            <w:pPr>
              <w:pStyle w:val="TableParagraph"/>
              <w:spacing w:before="127"/>
              <w:ind w:left="143" w:right="115"/>
              <w:jc w:val="center"/>
              <w:rPr>
                <w:sz w:val="18"/>
              </w:rPr>
            </w:pPr>
            <w:r>
              <w:rPr>
                <w:sz w:val="18"/>
              </w:rPr>
              <w:t>30.00%</w:t>
            </w:r>
          </w:p>
        </w:tc>
        <w:tc>
          <w:tcPr>
            <w:tcW w:w="1164" w:type="dxa"/>
            <w:tcBorders>
              <w:left w:val="single" w:sz="4" w:space="0" w:color="000000"/>
              <w:bottom w:val="single" w:sz="4" w:space="0" w:color="000000"/>
            </w:tcBorders>
          </w:tcPr>
          <w:p>
            <w:pPr>
              <w:pStyle w:val="TableParagraph"/>
              <w:spacing w:before="119"/>
              <w:ind w:left="300" w:right="263"/>
              <w:jc w:val="center"/>
              <w:rPr>
                <w:rFonts w:ascii="宋体" w:eastAsia="宋体" w:hint="eastAsia"/>
                <w:sz w:val="18"/>
              </w:rPr>
            </w:pPr>
            <w:r>
              <w:rPr>
                <w:rFonts w:ascii="宋体" w:eastAsia="宋体" w:hint="eastAsia"/>
                <w:sz w:val="18"/>
              </w:rPr>
              <w:t>权益法</w:t>
            </w:r>
          </w:p>
        </w:tc>
      </w:tr>
      <w:tr>
        <w:trPr>
          <w:trHeight w:val="369" w:hRule="atLeast"/>
        </w:trPr>
        <w:tc>
          <w:tcPr>
            <w:tcW w:w="3536" w:type="dxa"/>
            <w:tcBorders>
              <w:top w:val="single" w:sz="4" w:space="0" w:color="000000"/>
              <w:bottom w:val="single" w:sz="4" w:space="0" w:color="000000"/>
              <w:right w:val="single" w:sz="4" w:space="0" w:color="000000"/>
            </w:tcBorders>
          </w:tcPr>
          <w:p>
            <w:pPr>
              <w:pStyle w:val="TableParagraph"/>
              <w:spacing w:before="69"/>
              <w:ind w:left="105"/>
              <w:rPr>
                <w:rFonts w:ascii="宋体" w:eastAsia="宋体" w:hint="eastAsia"/>
                <w:sz w:val="18"/>
              </w:rPr>
            </w:pPr>
            <w:r>
              <w:rPr>
                <w:rFonts w:ascii="宋体" w:eastAsia="宋体" w:hint="eastAsia"/>
                <w:sz w:val="18"/>
              </w:rPr>
              <w:t>青岛日日顺汇智投资有限责任公司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9"/>
              <w:ind w:left="173" w:right="148"/>
              <w:jc w:val="center"/>
              <w:rPr>
                <w:rFonts w:ascii="宋体" w:eastAsia="宋体" w:hint="eastAsia"/>
                <w:sz w:val="18"/>
              </w:rPr>
            </w:pPr>
            <w:r>
              <w:rPr>
                <w:rFonts w:ascii="宋体" w:eastAsia="宋体" w:hint="eastAsia"/>
                <w:sz w:val="18"/>
              </w:rPr>
              <w:t>青岛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69"/>
              <w:ind w:left="140" w:right="118"/>
              <w:jc w:val="center"/>
              <w:rPr>
                <w:rFonts w:ascii="宋体" w:eastAsia="宋体" w:hint="eastAsia"/>
                <w:sz w:val="18"/>
              </w:rPr>
            </w:pPr>
            <w:r>
              <w:rPr>
                <w:rFonts w:ascii="宋体" w:eastAsia="宋体" w:hint="eastAsia"/>
                <w:sz w:val="18"/>
              </w:rPr>
              <w:t>青岛</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69"/>
              <w:ind w:left="151" w:right="129"/>
              <w:jc w:val="center"/>
              <w:rPr>
                <w:rFonts w:ascii="宋体" w:eastAsia="宋体" w:hint="eastAsia"/>
                <w:sz w:val="18"/>
              </w:rPr>
            </w:pPr>
            <w:r>
              <w:rPr>
                <w:rFonts w:ascii="宋体" w:eastAsia="宋体" w:hint="eastAsia"/>
                <w:sz w:val="18"/>
              </w:rPr>
              <w:t>投资管理</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76"/>
              <w:ind w:left="143" w:right="115"/>
              <w:jc w:val="center"/>
              <w:rPr>
                <w:sz w:val="18"/>
              </w:rPr>
            </w:pPr>
            <w:r>
              <w:rPr>
                <w:sz w:val="18"/>
              </w:rPr>
              <w:t>50.00%</w:t>
            </w:r>
          </w:p>
        </w:tc>
        <w:tc>
          <w:tcPr>
            <w:tcW w:w="1164" w:type="dxa"/>
            <w:tcBorders>
              <w:top w:val="single" w:sz="4" w:space="0" w:color="000000"/>
              <w:left w:val="single" w:sz="4" w:space="0" w:color="000000"/>
              <w:bottom w:val="single" w:sz="4" w:space="0" w:color="000000"/>
            </w:tcBorders>
          </w:tcPr>
          <w:p>
            <w:pPr>
              <w:pStyle w:val="TableParagraph"/>
              <w:spacing w:before="69"/>
              <w:ind w:left="300" w:right="263"/>
              <w:jc w:val="center"/>
              <w:rPr>
                <w:rFonts w:ascii="宋体" w:eastAsia="宋体" w:hint="eastAsia"/>
                <w:sz w:val="18"/>
              </w:rPr>
            </w:pPr>
            <w:r>
              <w:rPr>
                <w:rFonts w:ascii="宋体" w:eastAsia="宋体" w:hint="eastAsia"/>
                <w:sz w:val="18"/>
              </w:rPr>
              <w:t>权益法</w:t>
            </w:r>
          </w:p>
        </w:tc>
      </w:tr>
      <w:tr>
        <w:trPr>
          <w:trHeight w:val="369" w:hRule="atLeast"/>
        </w:trPr>
        <w:tc>
          <w:tcPr>
            <w:tcW w:w="3536" w:type="dxa"/>
            <w:tcBorders>
              <w:top w:val="single" w:sz="4" w:space="0" w:color="000000"/>
              <w:bottom w:val="single" w:sz="4" w:space="0" w:color="000000"/>
              <w:right w:val="single" w:sz="4" w:space="0" w:color="000000"/>
            </w:tcBorders>
          </w:tcPr>
          <w:p>
            <w:pPr>
              <w:pStyle w:val="TableParagraph"/>
              <w:spacing w:before="69"/>
              <w:ind w:left="105"/>
              <w:rPr>
                <w:rFonts w:ascii="宋体" w:eastAsia="宋体" w:hint="eastAsia"/>
                <w:sz w:val="18"/>
              </w:rPr>
            </w:pPr>
            <w:r>
              <w:rPr>
                <w:rFonts w:ascii="宋体" w:eastAsia="宋体" w:hint="eastAsia"/>
                <w:sz w:val="18"/>
              </w:rPr>
              <w:t>美菱卡迪洗衣机有限公司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9"/>
              <w:ind w:left="173" w:right="148"/>
              <w:jc w:val="center"/>
              <w:rPr>
                <w:rFonts w:ascii="宋体" w:eastAsia="宋体" w:hint="eastAsia"/>
                <w:sz w:val="18"/>
              </w:rPr>
            </w:pPr>
            <w:r>
              <w:rPr>
                <w:rFonts w:ascii="宋体" w:eastAsia="宋体" w:hint="eastAsia"/>
                <w:sz w:val="18"/>
              </w:rPr>
              <w:t>合肥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69"/>
              <w:ind w:left="140" w:right="118"/>
              <w:jc w:val="center"/>
              <w:rPr>
                <w:rFonts w:ascii="宋体" w:eastAsia="宋体" w:hint="eastAsia"/>
                <w:sz w:val="18"/>
              </w:rPr>
            </w:pPr>
            <w:r>
              <w:rPr>
                <w:rFonts w:ascii="宋体" w:eastAsia="宋体" w:hint="eastAsia"/>
                <w:sz w:val="18"/>
              </w:rPr>
              <w:t>合肥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69"/>
              <w:ind w:left="151" w:right="129"/>
              <w:jc w:val="center"/>
              <w:rPr>
                <w:rFonts w:ascii="宋体" w:eastAsia="宋体" w:hint="eastAsia"/>
                <w:sz w:val="18"/>
              </w:rPr>
            </w:pPr>
            <w:r>
              <w:rPr>
                <w:rFonts w:ascii="宋体" w:eastAsia="宋体" w:hint="eastAsia"/>
                <w:sz w:val="18"/>
              </w:rPr>
              <w:t>家电制造</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76"/>
              <w:ind w:left="143" w:right="115"/>
              <w:jc w:val="center"/>
              <w:rPr>
                <w:sz w:val="18"/>
              </w:rPr>
            </w:pPr>
            <w:r>
              <w:rPr>
                <w:sz w:val="18"/>
              </w:rPr>
              <w:t>40.00%</w:t>
            </w:r>
          </w:p>
        </w:tc>
        <w:tc>
          <w:tcPr>
            <w:tcW w:w="1164" w:type="dxa"/>
            <w:tcBorders>
              <w:top w:val="single" w:sz="4" w:space="0" w:color="000000"/>
              <w:left w:val="single" w:sz="4" w:space="0" w:color="000000"/>
              <w:bottom w:val="single" w:sz="4" w:space="0" w:color="000000"/>
            </w:tcBorders>
          </w:tcPr>
          <w:p>
            <w:pPr>
              <w:pStyle w:val="TableParagraph"/>
              <w:spacing w:before="69"/>
              <w:ind w:left="300" w:right="263"/>
              <w:jc w:val="center"/>
              <w:rPr>
                <w:rFonts w:ascii="宋体" w:eastAsia="宋体" w:hint="eastAsia"/>
                <w:sz w:val="18"/>
              </w:rPr>
            </w:pPr>
            <w:r>
              <w:rPr>
                <w:rFonts w:ascii="宋体" w:eastAsia="宋体" w:hint="eastAsia"/>
                <w:sz w:val="18"/>
              </w:rPr>
              <w:t>权益法</w:t>
            </w:r>
          </w:p>
        </w:tc>
      </w:tr>
      <w:tr>
        <w:trPr>
          <w:trHeight w:val="369" w:hRule="atLeast"/>
        </w:trPr>
        <w:tc>
          <w:tcPr>
            <w:tcW w:w="3536" w:type="dxa"/>
            <w:tcBorders>
              <w:top w:val="single" w:sz="4" w:space="0" w:color="000000"/>
              <w:bottom w:val="single" w:sz="4" w:space="0" w:color="000000"/>
              <w:right w:val="single" w:sz="4" w:space="0" w:color="000000"/>
            </w:tcBorders>
          </w:tcPr>
          <w:p>
            <w:pPr>
              <w:pStyle w:val="TableParagraph"/>
              <w:spacing w:before="69"/>
              <w:ind w:left="105"/>
              <w:rPr>
                <w:rFonts w:ascii="宋体" w:eastAsia="宋体" w:hint="eastAsia"/>
                <w:sz w:val="18"/>
              </w:rPr>
            </w:pPr>
            <w:r>
              <w:rPr>
                <w:rFonts w:ascii="宋体" w:eastAsia="宋体" w:hint="eastAsia"/>
                <w:sz w:val="18"/>
              </w:rPr>
              <w:t>青岛海尔模具有限公司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9"/>
              <w:ind w:left="173" w:right="148"/>
              <w:jc w:val="center"/>
              <w:rPr>
                <w:rFonts w:ascii="宋体" w:eastAsia="宋体" w:hint="eastAsia"/>
                <w:sz w:val="18"/>
              </w:rPr>
            </w:pPr>
            <w:r>
              <w:rPr>
                <w:rFonts w:ascii="宋体" w:eastAsia="宋体" w:hint="eastAsia"/>
                <w:sz w:val="18"/>
              </w:rPr>
              <w:t>青岛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69"/>
              <w:ind w:left="140" w:right="118"/>
              <w:jc w:val="center"/>
              <w:rPr>
                <w:rFonts w:ascii="宋体" w:eastAsia="宋体" w:hint="eastAsia"/>
                <w:sz w:val="18"/>
              </w:rPr>
            </w:pPr>
            <w:r>
              <w:rPr>
                <w:rFonts w:ascii="宋体" w:eastAsia="宋体" w:hint="eastAsia"/>
                <w:sz w:val="18"/>
              </w:rPr>
              <w:t>青岛</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69"/>
              <w:ind w:left="151" w:right="129"/>
              <w:jc w:val="center"/>
              <w:rPr>
                <w:rFonts w:ascii="宋体" w:eastAsia="宋体" w:hint="eastAsia"/>
                <w:sz w:val="18"/>
              </w:rPr>
            </w:pPr>
            <w:r>
              <w:rPr>
                <w:rFonts w:ascii="宋体" w:eastAsia="宋体" w:hint="eastAsia"/>
                <w:sz w:val="18"/>
              </w:rPr>
              <w:t>模具加工制造</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76"/>
              <w:ind w:left="143" w:right="115"/>
              <w:jc w:val="center"/>
              <w:rPr>
                <w:sz w:val="18"/>
              </w:rPr>
            </w:pPr>
            <w:r>
              <w:rPr>
                <w:sz w:val="18"/>
              </w:rPr>
              <w:t>25.00%</w:t>
            </w:r>
          </w:p>
        </w:tc>
        <w:tc>
          <w:tcPr>
            <w:tcW w:w="1164" w:type="dxa"/>
            <w:tcBorders>
              <w:top w:val="single" w:sz="4" w:space="0" w:color="000000"/>
              <w:left w:val="single" w:sz="4" w:space="0" w:color="000000"/>
              <w:bottom w:val="single" w:sz="4" w:space="0" w:color="000000"/>
            </w:tcBorders>
          </w:tcPr>
          <w:p>
            <w:pPr>
              <w:pStyle w:val="TableParagraph"/>
              <w:spacing w:before="69"/>
              <w:ind w:left="300" w:right="263"/>
              <w:jc w:val="center"/>
              <w:rPr>
                <w:rFonts w:ascii="宋体" w:eastAsia="宋体" w:hint="eastAsia"/>
                <w:sz w:val="18"/>
              </w:rPr>
            </w:pPr>
            <w:r>
              <w:rPr>
                <w:rFonts w:ascii="宋体" w:eastAsia="宋体" w:hint="eastAsia"/>
                <w:sz w:val="18"/>
              </w:rPr>
              <w:t>权益法</w:t>
            </w:r>
          </w:p>
        </w:tc>
      </w:tr>
      <w:tr>
        <w:trPr>
          <w:trHeight w:val="369" w:hRule="atLeast"/>
        </w:trPr>
        <w:tc>
          <w:tcPr>
            <w:tcW w:w="3536" w:type="dxa"/>
            <w:tcBorders>
              <w:top w:val="single" w:sz="4" w:space="0" w:color="000000"/>
              <w:bottom w:val="single" w:sz="4" w:space="0" w:color="000000"/>
              <w:right w:val="single" w:sz="4" w:space="0" w:color="000000"/>
            </w:tcBorders>
          </w:tcPr>
          <w:p>
            <w:pPr>
              <w:pStyle w:val="TableParagraph"/>
              <w:spacing w:before="69"/>
              <w:ind w:left="105"/>
              <w:rPr>
                <w:rFonts w:ascii="宋体" w:eastAsia="宋体" w:hint="eastAsia"/>
                <w:sz w:val="18"/>
              </w:rPr>
            </w:pPr>
            <w:r>
              <w:rPr>
                <w:rFonts w:ascii="宋体" w:eastAsia="宋体" w:hint="eastAsia"/>
                <w:sz w:val="18"/>
              </w:rPr>
              <w:t>湖南电机株式会社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9"/>
              <w:ind w:left="173" w:right="148"/>
              <w:jc w:val="center"/>
              <w:rPr>
                <w:rFonts w:ascii="宋体" w:eastAsia="宋体" w:hint="eastAsia"/>
                <w:sz w:val="18"/>
              </w:rPr>
            </w:pPr>
            <w:r>
              <w:rPr>
                <w:rFonts w:ascii="宋体" w:eastAsia="宋体" w:hint="eastAsia"/>
                <w:sz w:val="18"/>
              </w:rPr>
              <w:t>日本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69"/>
              <w:ind w:left="140" w:right="118"/>
              <w:jc w:val="center"/>
              <w:rPr>
                <w:rFonts w:ascii="宋体" w:eastAsia="宋体" w:hint="eastAsia"/>
                <w:sz w:val="18"/>
              </w:rPr>
            </w:pPr>
            <w:r>
              <w:rPr>
                <w:rFonts w:ascii="宋体" w:eastAsia="宋体" w:hint="eastAsia"/>
                <w:sz w:val="18"/>
              </w:rPr>
              <w:t>日本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69"/>
              <w:ind w:left="151" w:right="129"/>
              <w:jc w:val="center"/>
              <w:rPr>
                <w:rFonts w:ascii="宋体" w:eastAsia="宋体" w:hint="eastAsia"/>
                <w:sz w:val="18"/>
              </w:rPr>
            </w:pPr>
            <w:r>
              <w:rPr>
                <w:rFonts w:ascii="宋体" w:eastAsia="宋体" w:hint="eastAsia"/>
                <w:sz w:val="18"/>
              </w:rPr>
              <w:t>电机制造</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76"/>
              <w:ind w:left="143" w:right="115"/>
              <w:jc w:val="center"/>
              <w:rPr>
                <w:sz w:val="18"/>
              </w:rPr>
            </w:pPr>
            <w:r>
              <w:rPr>
                <w:sz w:val="18"/>
              </w:rPr>
              <w:t>50.00%</w:t>
            </w:r>
          </w:p>
        </w:tc>
        <w:tc>
          <w:tcPr>
            <w:tcW w:w="1164" w:type="dxa"/>
            <w:tcBorders>
              <w:top w:val="single" w:sz="4" w:space="0" w:color="000000"/>
              <w:left w:val="single" w:sz="4" w:space="0" w:color="000000"/>
              <w:bottom w:val="single" w:sz="4" w:space="0" w:color="000000"/>
            </w:tcBorders>
          </w:tcPr>
          <w:p>
            <w:pPr>
              <w:pStyle w:val="TableParagraph"/>
              <w:spacing w:before="69"/>
              <w:ind w:left="300" w:right="263"/>
              <w:jc w:val="center"/>
              <w:rPr>
                <w:rFonts w:ascii="宋体" w:eastAsia="宋体" w:hint="eastAsia"/>
                <w:sz w:val="18"/>
              </w:rPr>
            </w:pPr>
            <w:r>
              <w:rPr>
                <w:rFonts w:ascii="宋体" w:eastAsia="宋体" w:hint="eastAsia"/>
                <w:sz w:val="18"/>
              </w:rPr>
              <w:t>权益法</w:t>
            </w:r>
          </w:p>
        </w:tc>
      </w:tr>
      <w:tr>
        <w:trPr>
          <w:trHeight w:val="369" w:hRule="atLeast"/>
        </w:trPr>
        <w:tc>
          <w:tcPr>
            <w:tcW w:w="3536" w:type="dxa"/>
            <w:tcBorders>
              <w:top w:val="single" w:sz="4" w:space="0" w:color="000000"/>
              <w:bottom w:val="single" w:sz="4" w:space="0" w:color="000000"/>
              <w:right w:val="single" w:sz="4" w:space="0" w:color="000000"/>
            </w:tcBorders>
          </w:tcPr>
          <w:p>
            <w:pPr>
              <w:pStyle w:val="TableParagraph"/>
              <w:spacing w:before="69"/>
              <w:ind w:left="105"/>
              <w:rPr>
                <w:rFonts w:ascii="宋体" w:eastAsia="宋体" w:hint="eastAsia"/>
                <w:sz w:val="18"/>
              </w:rPr>
            </w:pPr>
            <w:r>
              <w:rPr>
                <w:sz w:val="18"/>
              </w:rPr>
              <w:t>HPZ </w:t>
            </w:r>
            <w:r>
              <w:rPr>
                <w:rFonts w:ascii="宋体" w:eastAsia="宋体" w:hint="eastAsia"/>
                <w:sz w:val="18"/>
              </w:rPr>
              <w:t>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9"/>
              <w:ind w:left="173" w:right="148"/>
              <w:jc w:val="center"/>
              <w:rPr>
                <w:rFonts w:ascii="宋体" w:eastAsia="宋体" w:hint="eastAsia"/>
                <w:sz w:val="18"/>
              </w:rPr>
            </w:pPr>
            <w:r>
              <w:rPr>
                <w:rFonts w:ascii="宋体" w:eastAsia="宋体" w:hint="eastAsia"/>
                <w:sz w:val="18"/>
              </w:rPr>
              <w:t>尼日利亚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69"/>
              <w:ind w:left="121" w:right="99"/>
              <w:jc w:val="center"/>
              <w:rPr>
                <w:rFonts w:ascii="宋体" w:eastAsia="宋体" w:hint="eastAsia"/>
                <w:sz w:val="18"/>
              </w:rPr>
            </w:pPr>
            <w:r>
              <w:rPr>
                <w:rFonts w:ascii="宋体" w:eastAsia="宋体" w:hint="eastAsia"/>
                <w:sz w:val="18"/>
              </w:rPr>
              <w:t>尼日利亚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69"/>
              <w:ind w:left="151" w:right="129"/>
              <w:jc w:val="center"/>
              <w:rPr>
                <w:rFonts w:ascii="宋体" w:eastAsia="宋体" w:hint="eastAsia"/>
                <w:sz w:val="18"/>
              </w:rPr>
            </w:pPr>
            <w:r>
              <w:rPr>
                <w:rFonts w:ascii="宋体" w:eastAsia="宋体" w:hint="eastAsia"/>
                <w:sz w:val="18"/>
              </w:rPr>
              <w:t>家电制造</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76"/>
              <w:ind w:left="143" w:right="115"/>
              <w:jc w:val="center"/>
              <w:rPr>
                <w:sz w:val="18"/>
              </w:rPr>
            </w:pPr>
            <w:r>
              <w:rPr>
                <w:sz w:val="18"/>
              </w:rPr>
              <w:t>25.01%</w:t>
            </w:r>
          </w:p>
        </w:tc>
        <w:tc>
          <w:tcPr>
            <w:tcW w:w="1164" w:type="dxa"/>
            <w:tcBorders>
              <w:top w:val="single" w:sz="4" w:space="0" w:color="000000"/>
              <w:left w:val="single" w:sz="4" w:space="0" w:color="000000"/>
              <w:bottom w:val="single" w:sz="4" w:space="0" w:color="000000"/>
            </w:tcBorders>
          </w:tcPr>
          <w:p>
            <w:pPr>
              <w:pStyle w:val="TableParagraph"/>
              <w:spacing w:before="69"/>
              <w:ind w:left="300" w:right="263"/>
              <w:jc w:val="center"/>
              <w:rPr>
                <w:rFonts w:ascii="宋体" w:eastAsia="宋体" w:hint="eastAsia"/>
                <w:sz w:val="18"/>
              </w:rPr>
            </w:pPr>
            <w:r>
              <w:rPr>
                <w:rFonts w:ascii="宋体" w:eastAsia="宋体" w:hint="eastAsia"/>
                <w:sz w:val="18"/>
              </w:rPr>
              <w:t>权益法</w:t>
            </w:r>
          </w:p>
        </w:tc>
      </w:tr>
      <w:tr>
        <w:trPr>
          <w:trHeight w:val="369" w:hRule="atLeast"/>
        </w:trPr>
        <w:tc>
          <w:tcPr>
            <w:tcW w:w="3536" w:type="dxa"/>
            <w:tcBorders>
              <w:top w:val="single" w:sz="4" w:space="0" w:color="000000"/>
              <w:bottom w:val="single" w:sz="4" w:space="0" w:color="000000"/>
              <w:right w:val="single" w:sz="4" w:space="0" w:color="000000"/>
            </w:tcBorders>
          </w:tcPr>
          <w:p>
            <w:pPr>
              <w:pStyle w:val="TableParagraph"/>
              <w:spacing w:before="67"/>
              <w:ind w:left="105"/>
              <w:rPr>
                <w:rFonts w:ascii="宋体" w:eastAsia="宋体" w:hint="eastAsia"/>
                <w:sz w:val="18"/>
              </w:rPr>
            </w:pPr>
            <w:r>
              <w:rPr>
                <w:sz w:val="18"/>
              </w:rPr>
              <w:t>HNR </w:t>
            </w:r>
            <w:r>
              <w:rPr>
                <w:rFonts w:ascii="宋体" w:eastAsia="宋体" w:hint="eastAsia"/>
                <w:sz w:val="18"/>
              </w:rPr>
              <w:t>私营有限公司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7"/>
              <w:ind w:left="173" w:right="148"/>
              <w:jc w:val="center"/>
              <w:rPr>
                <w:rFonts w:ascii="宋体" w:eastAsia="宋体" w:hint="eastAsia"/>
                <w:sz w:val="18"/>
              </w:rPr>
            </w:pPr>
            <w:r>
              <w:rPr>
                <w:rFonts w:ascii="宋体" w:eastAsia="宋体" w:hint="eastAsia"/>
                <w:sz w:val="18"/>
              </w:rPr>
              <w:t>巴基斯坦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67"/>
              <w:ind w:left="121" w:right="99"/>
              <w:jc w:val="center"/>
              <w:rPr>
                <w:rFonts w:ascii="宋体" w:eastAsia="宋体" w:hint="eastAsia"/>
                <w:sz w:val="18"/>
              </w:rPr>
            </w:pPr>
            <w:r>
              <w:rPr>
                <w:rFonts w:ascii="宋体" w:eastAsia="宋体" w:hint="eastAsia"/>
                <w:sz w:val="18"/>
              </w:rPr>
              <w:t>巴基斯坦</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67"/>
              <w:ind w:left="151" w:right="129"/>
              <w:jc w:val="center"/>
              <w:rPr>
                <w:rFonts w:ascii="宋体" w:eastAsia="宋体" w:hint="eastAsia"/>
                <w:sz w:val="18"/>
              </w:rPr>
            </w:pPr>
            <w:r>
              <w:rPr>
                <w:rFonts w:ascii="宋体" w:eastAsia="宋体" w:hint="eastAsia"/>
                <w:sz w:val="18"/>
              </w:rPr>
              <w:t>家电制造</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76"/>
              <w:ind w:left="143" w:right="115"/>
              <w:jc w:val="center"/>
              <w:rPr>
                <w:sz w:val="18"/>
              </w:rPr>
            </w:pPr>
            <w:r>
              <w:rPr>
                <w:sz w:val="18"/>
              </w:rPr>
              <w:t>31.72%</w:t>
            </w:r>
          </w:p>
        </w:tc>
        <w:tc>
          <w:tcPr>
            <w:tcW w:w="1164" w:type="dxa"/>
            <w:tcBorders>
              <w:top w:val="single" w:sz="4" w:space="0" w:color="000000"/>
              <w:left w:val="single" w:sz="4" w:space="0" w:color="000000"/>
              <w:bottom w:val="single" w:sz="4" w:space="0" w:color="000000"/>
            </w:tcBorders>
          </w:tcPr>
          <w:p>
            <w:pPr>
              <w:pStyle w:val="TableParagraph"/>
              <w:spacing w:before="67"/>
              <w:ind w:left="300" w:right="263"/>
              <w:jc w:val="center"/>
              <w:rPr>
                <w:rFonts w:ascii="宋体" w:eastAsia="宋体" w:hint="eastAsia"/>
                <w:sz w:val="18"/>
              </w:rPr>
            </w:pPr>
            <w:r>
              <w:rPr>
                <w:rFonts w:ascii="宋体" w:eastAsia="宋体" w:hint="eastAsia"/>
                <w:sz w:val="18"/>
              </w:rPr>
              <w:t>权益法</w:t>
            </w:r>
          </w:p>
        </w:tc>
      </w:tr>
      <w:tr>
        <w:trPr>
          <w:trHeight w:val="369" w:hRule="atLeast"/>
        </w:trPr>
        <w:tc>
          <w:tcPr>
            <w:tcW w:w="3536" w:type="dxa"/>
            <w:tcBorders>
              <w:top w:val="single" w:sz="4" w:space="0" w:color="000000"/>
              <w:bottom w:val="single" w:sz="4" w:space="0" w:color="000000"/>
              <w:right w:val="single" w:sz="4" w:space="0" w:color="000000"/>
            </w:tcBorders>
          </w:tcPr>
          <w:p>
            <w:pPr>
              <w:pStyle w:val="TableParagraph"/>
              <w:spacing w:before="76"/>
              <w:ind w:left="105"/>
              <w:rPr>
                <w:sz w:val="18"/>
              </w:rPr>
            </w:pPr>
            <w:r>
              <w:rPr>
                <w:sz w:val="18"/>
              </w:rPr>
              <w:t>Haier Raya Electric S.A.E</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7"/>
              <w:ind w:left="173" w:right="148"/>
              <w:jc w:val="center"/>
              <w:rPr>
                <w:rFonts w:ascii="宋体" w:eastAsia="宋体" w:hint="eastAsia"/>
                <w:sz w:val="18"/>
              </w:rPr>
            </w:pPr>
            <w:r>
              <w:rPr>
                <w:rFonts w:ascii="宋体" w:eastAsia="宋体" w:hint="eastAsia"/>
                <w:sz w:val="18"/>
              </w:rPr>
              <w:t>埃及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67"/>
              <w:ind w:left="140" w:right="118"/>
              <w:jc w:val="center"/>
              <w:rPr>
                <w:rFonts w:ascii="宋体" w:eastAsia="宋体" w:hint="eastAsia"/>
                <w:sz w:val="18"/>
              </w:rPr>
            </w:pPr>
            <w:r>
              <w:rPr>
                <w:rFonts w:ascii="宋体" w:eastAsia="宋体" w:hint="eastAsia"/>
                <w:sz w:val="18"/>
              </w:rPr>
              <w:t>埃及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67"/>
              <w:ind w:left="151" w:right="129"/>
              <w:jc w:val="center"/>
              <w:rPr>
                <w:rFonts w:ascii="宋体" w:eastAsia="宋体" w:hint="eastAsia"/>
                <w:sz w:val="18"/>
              </w:rPr>
            </w:pPr>
            <w:r>
              <w:rPr>
                <w:rFonts w:ascii="宋体" w:eastAsia="宋体" w:hint="eastAsia"/>
                <w:sz w:val="18"/>
              </w:rPr>
              <w:t>家电制造</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76"/>
              <w:ind w:left="143" w:right="115"/>
              <w:jc w:val="center"/>
              <w:rPr>
                <w:sz w:val="18"/>
              </w:rPr>
            </w:pPr>
            <w:r>
              <w:rPr>
                <w:sz w:val="18"/>
              </w:rPr>
              <w:t>15.00%</w:t>
            </w:r>
          </w:p>
        </w:tc>
        <w:tc>
          <w:tcPr>
            <w:tcW w:w="1164" w:type="dxa"/>
            <w:tcBorders>
              <w:top w:val="single" w:sz="4" w:space="0" w:color="000000"/>
              <w:left w:val="single" w:sz="4" w:space="0" w:color="000000"/>
              <w:bottom w:val="single" w:sz="4" w:space="0" w:color="000000"/>
            </w:tcBorders>
          </w:tcPr>
          <w:p>
            <w:pPr>
              <w:pStyle w:val="TableParagraph"/>
              <w:spacing w:before="67"/>
              <w:ind w:left="300" w:right="263"/>
              <w:jc w:val="center"/>
              <w:rPr>
                <w:rFonts w:ascii="宋体" w:eastAsia="宋体" w:hint="eastAsia"/>
                <w:sz w:val="18"/>
              </w:rPr>
            </w:pPr>
            <w:r>
              <w:rPr>
                <w:rFonts w:ascii="宋体" w:eastAsia="宋体" w:hint="eastAsia"/>
                <w:sz w:val="18"/>
              </w:rPr>
              <w:t>权益法</w:t>
            </w:r>
          </w:p>
        </w:tc>
      </w:tr>
      <w:tr>
        <w:trPr>
          <w:trHeight w:val="369" w:hRule="atLeast"/>
        </w:trPr>
        <w:tc>
          <w:tcPr>
            <w:tcW w:w="3536" w:type="dxa"/>
            <w:tcBorders>
              <w:top w:val="single" w:sz="4" w:space="0" w:color="000000"/>
              <w:bottom w:val="single" w:sz="4" w:space="0" w:color="000000"/>
              <w:right w:val="single" w:sz="4" w:space="0" w:color="000000"/>
            </w:tcBorders>
          </w:tcPr>
          <w:p>
            <w:pPr>
              <w:pStyle w:val="TableParagraph"/>
              <w:spacing w:before="76"/>
              <w:ind w:left="105"/>
              <w:rPr>
                <w:sz w:val="18"/>
              </w:rPr>
            </w:pPr>
            <w:r>
              <w:rPr>
                <w:sz w:val="18"/>
              </w:rPr>
              <w:t>Controladora Mabe S.A.deC.V.</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7"/>
              <w:ind w:left="172" w:right="150"/>
              <w:jc w:val="center"/>
              <w:rPr>
                <w:rFonts w:ascii="宋体" w:eastAsia="宋体" w:hint="eastAsia"/>
                <w:sz w:val="18"/>
              </w:rPr>
            </w:pPr>
            <w:r>
              <w:rPr>
                <w:rFonts w:ascii="宋体" w:eastAsia="宋体" w:hint="eastAsia"/>
                <w:sz w:val="18"/>
              </w:rPr>
              <w:t>墨西哥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67"/>
              <w:ind w:left="143" w:right="118"/>
              <w:jc w:val="center"/>
              <w:rPr>
                <w:rFonts w:ascii="宋体" w:eastAsia="宋体" w:hint="eastAsia"/>
                <w:sz w:val="18"/>
              </w:rPr>
            </w:pPr>
            <w:r>
              <w:rPr>
                <w:rFonts w:ascii="宋体" w:eastAsia="宋体" w:hint="eastAsia"/>
                <w:sz w:val="18"/>
              </w:rPr>
              <w:t>墨西哥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67"/>
              <w:ind w:left="151" w:right="129"/>
              <w:jc w:val="center"/>
              <w:rPr>
                <w:rFonts w:ascii="宋体" w:eastAsia="宋体" w:hint="eastAsia"/>
                <w:sz w:val="18"/>
              </w:rPr>
            </w:pPr>
            <w:r>
              <w:rPr>
                <w:rFonts w:ascii="宋体" w:eastAsia="宋体" w:hint="eastAsia"/>
                <w:sz w:val="18"/>
              </w:rPr>
              <w:t>家电制造</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76"/>
              <w:ind w:left="143" w:right="115"/>
              <w:jc w:val="center"/>
              <w:rPr>
                <w:sz w:val="18"/>
              </w:rPr>
            </w:pPr>
            <w:r>
              <w:rPr>
                <w:sz w:val="18"/>
              </w:rPr>
              <w:t>48.41%</w:t>
            </w:r>
          </w:p>
        </w:tc>
        <w:tc>
          <w:tcPr>
            <w:tcW w:w="1164" w:type="dxa"/>
            <w:tcBorders>
              <w:top w:val="single" w:sz="4" w:space="0" w:color="000000"/>
              <w:left w:val="single" w:sz="4" w:space="0" w:color="000000"/>
              <w:bottom w:val="single" w:sz="4" w:space="0" w:color="000000"/>
            </w:tcBorders>
          </w:tcPr>
          <w:p>
            <w:pPr>
              <w:pStyle w:val="TableParagraph"/>
              <w:spacing w:before="67"/>
              <w:ind w:left="300" w:right="263"/>
              <w:jc w:val="center"/>
              <w:rPr>
                <w:rFonts w:ascii="宋体" w:eastAsia="宋体" w:hint="eastAsia"/>
                <w:sz w:val="18"/>
              </w:rPr>
            </w:pPr>
            <w:r>
              <w:rPr>
                <w:rFonts w:ascii="宋体" w:eastAsia="宋体" w:hint="eastAsia"/>
                <w:sz w:val="18"/>
              </w:rPr>
              <w:t>权益法</w:t>
            </w:r>
          </w:p>
        </w:tc>
      </w:tr>
      <w:tr>
        <w:trPr>
          <w:trHeight w:val="465" w:hRule="atLeast"/>
        </w:trPr>
        <w:tc>
          <w:tcPr>
            <w:tcW w:w="3536" w:type="dxa"/>
            <w:tcBorders>
              <w:top w:val="single" w:sz="4" w:space="0" w:color="000000"/>
              <w:right w:val="single" w:sz="4" w:space="0" w:color="000000"/>
            </w:tcBorders>
          </w:tcPr>
          <w:p>
            <w:pPr>
              <w:pStyle w:val="TableParagraph"/>
              <w:spacing w:before="21"/>
              <w:ind w:left="105" w:right="1276"/>
              <w:rPr>
                <w:sz w:val="18"/>
              </w:rPr>
            </w:pPr>
            <w:r>
              <w:rPr>
                <w:sz w:val="18"/>
              </w:rPr>
              <w:t>Middle East Air conditioning Company,Limited</w:t>
            </w:r>
          </w:p>
        </w:tc>
        <w:tc>
          <w:tcPr>
            <w:tcW w:w="1275" w:type="dxa"/>
            <w:tcBorders>
              <w:top w:val="single" w:sz="4" w:space="0" w:color="000000"/>
              <w:left w:val="single" w:sz="4" w:space="0" w:color="000000"/>
              <w:right w:val="single" w:sz="4" w:space="0" w:color="000000"/>
            </w:tcBorders>
          </w:tcPr>
          <w:p>
            <w:pPr>
              <w:pStyle w:val="TableParagraph"/>
              <w:spacing w:before="118"/>
              <w:ind w:left="172" w:right="150"/>
              <w:jc w:val="center"/>
              <w:rPr>
                <w:rFonts w:ascii="宋体" w:eastAsia="宋体" w:hint="eastAsia"/>
                <w:sz w:val="18"/>
              </w:rPr>
            </w:pPr>
            <w:r>
              <w:rPr>
                <w:rFonts w:ascii="宋体" w:eastAsia="宋体" w:hint="eastAsia"/>
                <w:sz w:val="18"/>
              </w:rPr>
              <w:t>沙特阿拉伯</w:t>
            </w:r>
          </w:p>
        </w:tc>
        <w:tc>
          <w:tcPr>
            <w:tcW w:w="994" w:type="dxa"/>
            <w:tcBorders>
              <w:top w:val="single" w:sz="4" w:space="0" w:color="000000"/>
              <w:left w:val="single" w:sz="4" w:space="0" w:color="000000"/>
              <w:right w:val="single" w:sz="4" w:space="0" w:color="000000"/>
            </w:tcBorders>
          </w:tcPr>
          <w:p>
            <w:pPr>
              <w:pStyle w:val="TableParagraph"/>
              <w:spacing w:line="230" w:lineRule="exact"/>
              <w:ind w:left="121" w:right="99"/>
              <w:jc w:val="center"/>
              <w:rPr>
                <w:rFonts w:ascii="宋体" w:eastAsia="宋体" w:hint="eastAsia"/>
                <w:sz w:val="18"/>
              </w:rPr>
            </w:pPr>
            <w:r>
              <w:rPr>
                <w:rFonts w:ascii="宋体" w:eastAsia="宋体" w:hint="eastAsia"/>
                <w:sz w:val="18"/>
              </w:rPr>
              <w:t>沙特阿拉</w:t>
            </w:r>
          </w:p>
          <w:p>
            <w:pPr>
              <w:pStyle w:val="TableParagraph"/>
              <w:spacing w:line="212" w:lineRule="exact" w:before="2"/>
              <w:ind w:left="25"/>
              <w:jc w:val="center"/>
              <w:rPr>
                <w:rFonts w:ascii="宋体" w:eastAsia="宋体" w:hint="eastAsia"/>
                <w:sz w:val="18"/>
              </w:rPr>
            </w:pPr>
            <w:r>
              <w:rPr>
                <w:rFonts w:ascii="宋体" w:eastAsia="宋体" w:hint="eastAsia"/>
                <w:sz w:val="18"/>
              </w:rPr>
              <w:t>伯</w:t>
            </w:r>
          </w:p>
        </w:tc>
        <w:tc>
          <w:tcPr>
            <w:tcW w:w="1416" w:type="dxa"/>
            <w:tcBorders>
              <w:top w:val="single" w:sz="4" w:space="0" w:color="000000"/>
              <w:left w:val="single" w:sz="4" w:space="0" w:color="000000"/>
              <w:right w:val="single" w:sz="4" w:space="0" w:color="000000"/>
            </w:tcBorders>
          </w:tcPr>
          <w:p>
            <w:pPr>
              <w:pStyle w:val="TableParagraph"/>
              <w:spacing w:before="118"/>
              <w:ind w:left="151" w:right="129"/>
              <w:jc w:val="center"/>
              <w:rPr>
                <w:rFonts w:ascii="宋体" w:eastAsia="宋体" w:hint="eastAsia"/>
                <w:sz w:val="18"/>
              </w:rPr>
            </w:pPr>
            <w:r>
              <w:rPr>
                <w:rFonts w:ascii="宋体" w:eastAsia="宋体" w:hint="eastAsia"/>
                <w:sz w:val="18"/>
              </w:rPr>
              <w:t>家电销售</w:t>
            </w:r>
          </w:p>
        </w:tc>
        <w:tc>
          <w:tcPr>
            <w:tcW w:w="994" w:type="dxa"/>
            <w:tcBorders>
              <w:top w:val="single" w:sz="4" w:space="0" w:color="000000"/>
              <w:left w:val="single" w:sz="4" w:space="0" w:color="000000"/>
              <w:right w:val="single" w:sz="4" w:space="0" w:color="000000"/>
            </w:tcBorders>
          </w:tcPr>
          <w:p>
            <w:pPr>
              <w:pStyle w:val="TableParagraph"/>
              <w:spacing w:before="125"/>
              <w:ind w:left="143" w:right="115"/>
              <w:jc w:val="center"/>
              <w:rPr>
                <w:sz w:val="18"/>
              </w:rPr>
            </w:pPr>
            <w:r>
              <w:rPr>
                <w:sz w:val="18"/>
              </w:rPr>
              <w:t>49.00%</w:t>
            </w:r>
          </w:p>
        </w:tc>
        <w:tc>
          <w:tcPr>
            <w:tcW w:w="1164" w:type="dxa"/>
            <w:tcBorders>
              <w:top w:val="single" w:sz="4" w:space="0" w:color="000000"/>
              <w:left w:val="single" w:sz="4" w:space="0" w:color="000000"/>
            </w:tcBorders>
          </w:tcPr>
          <w:p>
            <w:pPr>
              <w:pStyle w:val="TableParagraph"/>
              <w:spacing w:before="118"/>
              <w:ind w:left="300" w:right="263"/>
              <w:jc w:val="center"/>
              <w:rPr>
                <w:rFonts w:ascii="宋体" w:eastAsia="宋体" w:hint="eastAsia"/>
                <w:sz w:val="18"/>
              </w:rPr>
            </w:pPr>
            <w:r>
              <w:rPr>
                <w:rFonts w:ascii="宋体" w:eastAsia="宋体" w:hint="eastAsia"/>
                <w:sz w:val="18"/>
              </w:rPr>
              <w:t>权益法</w:t>
            </w:r>
          </w:p>
        </w:tc>
      </w:tr>
    </w:tbl>
    <w:p>
      <w:pPr>
        <w:pStyle w:val="BodyText"/>
        <w:spacing w:before="4"/>
        <w:ind w:left="1538"/>
      </w:pPr>
      <w:r>
        <w:rPr>
          <w:w w:val="100"/>
        </w:rPr>
        <w:t> </w:t>
      </w:r>
    </w:p>
    <w:p>
      <w:pPr>
        <w:pStyle w:val="ListParagraph"/>
        <w:numPr>
          <w:ilvl w:val="0"/>
          <w:numId w:val="69"/>
        </w:numPr>
        <w:tabs>
          <w:tab w:pos="2067" w:val="left" w:leader="none"/>
        </w:tabs>
        <w:spacing w:line="240" w:lineRule="auto" w:before="2" w:after="0"/>
        <w:ind w:left="2067" w:right="0" w:hanging="529"/>
        <w:jc w:val="left"/>
        <w:rPr>
          <w:sz w:val="21"/>
        </w:rPr>
      </w:pPr>
      <w:r>
        <w:rPr>
          <w:spacing w:val="-3"/>
          <w:sz w:val="21"/>
        </w:rPr>
        <w:t>重要联营企业的主要财务信息</w:t>
      </w:r>
    </w:p>
    <w:p>
      <w:pPr>
        <w:pStyle w:val="BodyText"/>
        <w:spacing w:before="178"/>
        <w:ind w:left="1958"/>
      </w:pPr>
      <w:r>
        <w:rPr/>
        <w:t>①重要联营企业的基本情况：</w:t>
      </w:r>
    </w:p>
    <w:p>
      <w:pPr>
        <w:pStyle w:val="BodyText"/>
        <w:spacing w:before="5"/>
        <w:rPr>
          <w:sz w:val="16"/>
        </w:rPr>
      </w:pPr>
    </w:p>
    <w:p>
      <w:pPr>
        <w:pStyle w:val="ListParagraph"/>
        <w:numPr>
          <w:ilvl w:val="0"/>
          <w:numId w:val="70"/>
        </w:numPr>
        <w:tabs>
          <w:tab w:pos="2106" w:val="left" w:leader="none"/>
        </w:tabs>
        <w:spacing w:line="240" w:lineRule="auto" w:before="1" w:after="0"/>
        <w:ind w:left="2105" w:right="0" w:hanging="148"/>
        <w:jc w:val="left"/>
        <w:rPr>
          <w:sz w:val="21"/>
        </w:rPr>
      </w:pPr>
      <w:r>
        <w:rPr>
          <w:spacing w:val="-3"/>
          <w:sz w:val="21"/>
        </w:rPr>
        <w:t>海尔集团财务有限责任公司</w:t>
      </w:r>
      <w:r>
        <w:rPr>
          <w:rFonts w:ascii="Times New Roman" w:hAnsi="Times New Roman" w:eastAsia="Times New Roman"/>
          <w:sz w:val="21"/>
        </w:rPr>
        <w:t>(</w:t>
      </w:r>
      <w:r>
        <w:rPr>
          <w:spacing w:val="-2"/>
          <w:sz w:val="21"/>
        </w:rPr>
        <w:t>以下简称</w:t>
      </w:r>
      <w:r>
        <w:rPr>
          <w:rFonts w:ascii="Times New Roman" w:hAnsi="Times New Roman" w:eastAsia="Times New Roman"/>
          <w:spacing w:val="-3"/>
          <w:sz w:val="21"/>
        </w:rPr>
        <w:t>“</w:t>
      </w:r>
      <w:r>
        <w:rPr>
          <w:spacing w:val="-3"/>
          <w:sz w:val="21"/>
        </w:rPr>
        <w:t>财务公司</w:t>
      </w:r>
      <w:r>
        <w:rPr>
          <w:rFonts w:ascii="Times New Roman" w:hAnsi="Times New Roman" w:eastAsia="Times New Roman"/>
          <w:sz w:val="21"/>
        </w:rPr>
        <w:t>”)</w:t>
      </w:r>
      <w:r>
        <w:rPr>
          <w:sz w:val="21"/>
        </w:rPr>
        <w:t>由海尔集团公司及其下属</w:t>
      </w:r>
      <w:r>
        <w:rPr>
          <w:rFonts w:ascii="Times New Roman" w:hAnsi="Times New Roman" w:eastAsia="Times New Roman"/>
          <w:sz w:val="21"/>
        </w:rPr>
        <w:t>3</w:t>
      </w:r>
      <w:r>
        <w:rPr>
          <w:rFonts w:ascii="Times New Roman" w:hAnsi="Times New Roman" w:eastAsia="Times New Roman"/>
          <w:spacing w:val="-22"/>
          <w:sz w:val="21"/>
        </w:rPr>
        <w:t> </w:t>
      </w:r>
      <w:r>
        <w:rPr>
          <w:spacing w:val="-2"/>
          <w:sz w:val="21"/>
        </w:rPr>
        <w:t>家成员企业出</w:t>
      </w:r>
    </w:p>
    <w:p>
      <w:pPr>
        <w:pStyle w:val="BodyText"/>
        <w:spacing w:before="5"/>
        <w:rPr>
          <w:sz w:val="16"/>
        </w:rPr>
      </w:pPr>
    </w:p>
    <w:p>
      <w:pPr>
        <w:pStyle w:val="BodyText"/>
        <w:spacing w:line="427" w:lineRule="auto" w:before="1"/>
        <w:ind w:left="1538" w:right="1253"/>
      </w:pPr>
      <w:r>
        <w:rPr/>
        <w:t>资设立。企业注册地及主要经营场所：青岛市崂山区海尔路 </w:t>
      </w:r>
      <w:r>
        <w:rPr>
          <w:rFonts w:ascii="Times New Roman" w:eastAsia="Times New Roman"/>
        </w:rPr>
        <w:t>178-2 </w:t>
      </w:r>
      <w:r>
        <w:rPr/>
        <w:t>号裕龙国际中心。本公司的子公司持有财务公司的股权比例合计为 </w:t>
      </w:r>
      <w:r>
        <w:rPr>
          <w:rFonts w:ascii="Times New Roman" w:eastAsia="Times New Roman"/>
        </w:rPr>
        <w:t>42.00%</w:t>
      </w:r>
      <w:r>
        <w:rPr/>
        <w:t>。</w:t>
      </w:r>
    </w:p>
    <w:p>
      <w:pPr>
        <w:pStyle w:val="ListParagraph"/>
        <w:numPr>
          <w:ilvl w:val="0"/>
          <w:numId w:val="70"/>
        </w:numPr>
        <w:tabs>
          <w:tab w:pos="2170" w:val="left" w:leader="none"/>
        </w:tabs>
        <w:spacing w:line="427" w:lineRule="auto" w:before="2" w:after="0"/>
        <w:ind w:left="1538" w:right="1268" w:firstLine="419"/>
        <w:jc w:val="left"/>
        <w:rPr>
          <w:sz w:val="21"/>
        </w:rPr>
      </w:pPr>
      <w:r>
        <w:rPr>
          <w:rFonts w:ascii="Times New Roman" w:hAnsi="Times New Roman" w:eastAsia="Times New Roman"/>
          <w:sz w:val="21"/>
        </w:rPr>
        <w:t>Controladora</w:t>
      </w:r>
      <w:r>
        <w:rPr>
          <w:rFonts w:ascii="Times New Roman" w:hAnsi="Times New Roman" w:eastAsia="Times New Roman"/>
          <w:spacing w:val="2"/>
          <w:sz w:val="21"/>
        </w:rPr>
        <w:t> </w:t>
      </w:r>
      <w:r>
        <w:rPr>
          <w:rFonts w:ascii="Times New Roman" w:hAnsi="Times New Roman" w:eastAsia="Times New Roman"/>
          <w:sz w:val="21"/>
        </w:rPr>
        <w:t>Mabe</w:t>
      </w:r>
      <w:r>
        <w:rPr>
          <w:rFonts w:ascii="Times New Roman" w:hAnsi="Times New Roman" w:eastAsia="Times New Roman"/>
          <w:spacing w:val="3"/>
          <w:sz w:val="21"/>
        </w:rPr>
        <w:t> </w:t>
      </w:r>
      <w:r>
        <w:rPr>
          <w:rFonts w:ascii="Times New Roman" w:hAnsi="Times New Roman" w:eastAsia="Times New Roman"/>
          <w:sz w:val="21"/>
        </w:rPr>
        <w:t>S.A.deC.V. (</w:t>
      </w:r>
      <w:r>
        <w:rPr>
          <w:spacing w:val="-3"/>
          <w:sz w:val="21"/>
        </w:rPr>
        <w:t>以下简称</w:t>
      </w:r>
      <w:r>
        <w:rPr>
          <w:rFonts w:ascii="Times New Roman" w:hAnsi="Times New Roman" w:eastAsia="Times New Roman"/>
          <w:sz w:val="21"/>
        </w:rPr>
        <w:t>“MABE”)</w:t>
      </w:r>
      <w:r>
        <w:rPr>
          <w:spacing w:val="-8"/>
          <w:sz w:val="21"/>
        </w:rPr>
        <w:t>由通用电气公司参与出资设立。</w:t>
      </w:r>
      <w:r>
        <w:rPr>
          <w:rFonts w:ascii="Times New Roman" w:hAnsi="Times New Roman" w:eastAsia="Times New Roman"/>
          <w:sz w:val="21"/>
        </w:rPr>
        <w:t>2016</w:t>
      </w:r>
      <w:r>
        <w:rPr>
          <w:rFonts w:ascii="Times New Roman" w:hAnsi="Times New Roman" w:eastAsia="Times New Roman"/>
          <w:spacing w:val="-1"/>
          <w:sz w:val="21"/>
        </w:rPr>
        <w:t> </w:t>
      </w:r>
      <w:r>
        <w:rPr>
          <w:spacing w:val="-26"/>
          <w:sz w:val="21"/>
        </w:rPr>
        <w:t>年 </w:t>
      </w:r>
      <w:r>
        <w:rPr>
          <w:rFonts w:ascii="Times New Roman" w:hAnsi="Times New Roman" w:eastAsia="Times New Roman"/>
          <w:sz w:val="21"/>
        </w:rPr>
        <w:t>6 </w:t>
      </w:r>
      <w:r>
        <w:rPr>
          <w:spacing w:val="-6"/>
          <w:sz w:val="21"/>
        </w:rPr>
        <w:t>月，本公司的子公司收购通用电气公司持有 </w:t>
      </w:r>
      <w:r>
        <w:rPr>
          <w:rFonts w:ascii="Times New Roman" w:hAnsi="Times New Roman" w:eastAsia="Times New Roman"/>
          <w:sz w:val="21"/>
        </w:rPr>
        <w:t>MABE</w:t>
      </w:r>
      <w:r>
        <w:rPr>
          <w:rFonts w:ascii="Times New Roman" w:hAnsi="Times New Roman" w:eastAsia="Times New Roman"/>
          <w:spacing w:val="7"/>
          <w:sz w:val="21"/>
        </w:rPr>
        <w:t> </w:t>
      </w:r>
      <w:r>
        <w:rPr>
          <w:spacing w:val="-22"/>
          <w:sz w:val="21"/>
        </w:rPr>
        <w:t>的 </w:t>
      </w:r>
      <w:r>
        <w:rPr>
          <w:rFonts w:ascii="Times New Roman" w:hAnsi="Times New Roman" w:eastAsia="Times New Roman"/>
          <w:sz w:val="21"/>
        </w:rPr>
        <w:t>48.41%</w:t>
      </w:r>
      <w:r>
        <w:rPr>
          <w:spacing w:val="-3"/>
          <w:sz w:val="21"/>
        </w:rPr>
        <w:t>的股权。企业注册地及主要经营场</w:t>
      </w:r>
      <w:r>
        <w:rPr>
          <w:spacing w:val="-7"/>
          <w:sz w:val="21"/>
        </w:rPr>
        <w:t>所：墨西哥。本公司的子公司持有 </w:t>
      </w:r>
      <w:r>
        <w:rPr>
          <w:rFonts w:ascii="Times New Roman" w:hAnsi="Times New Roman" w:eastAsia="Times New Roman"/>
          <w:sz w:val="21"/>
        </w:rPr>
        <w:t>MABE</w:t>
      </w:r>
      <w:r>
        <w:rPr>
          <w:rFonts w:ascii="Times New Roman" w:hAnsi="Times New Roman" w:eastAsia="Times New Roman"/>
          <w:spacing w:val="-1"/>
          <w:sz w:val="21"/>
        </w:rPr>
        <w:t> </w:t>
      </w:r>
      <w:r>
        <w:rPr>
          <w:spacing w:val="-8"/>
          <w:sz w:val="21"/>
        </w:rPr>
        <w:t>的股权比例合计约为 </w:t>
      </w:r>
      <w:r>
        <w:rPr>
          <w:rFonts w:ascii="Times New Roman" w:hAnsi="Times New Roman" w:eastAsia="Times New Roman"/>
          <w:sz w:val="21"/>
        </w:rPr>
        <w:t>48.41%</w:t>
      </w:r>
      <w:r>
        <w:rPr>
          <w:sz w:val="21"/>
        </w:rPr>
        <w:t>。</w:t>
      </w:r>
    </w:p>
    <w:p>
      <w:pPr>
        <w:pStyle w:val="BodyText"/>
        <w:spacing w:before="3"/>
        <w:ind w:left="1958"/>
      </w:pPr>
      <w:r>
        <w:rPr/>
        <w:t>②重要联营企业的财务信息：</w:t>
      </w:r>
    </w:p>
    <w:p>
      <w:pPr>
        <w:pStyle w:val="BodyText"/>
        <w:spacing w:before="3" w:after="1"/>
        <w:rPr>
          <w:sz w:val="12"/>
        </w:rPr>
      </w:pPr>
    </w:p>
    <w:tbl>
      <w:tblPr>
        <w:tblW w:w="0" w:type="auto"/>
        <w:jc w:val="left"/>
        <w:tblInd w:w="15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560"/>
        <w:gridCol w:w="2552"/>
        <w:gridCol w:w="2552"/>
      </w:tblGrid>
      <w:tr>
        <w:trPr>
          <w:trHeight w:val="359" w:hRule="atLeast"/>
        </w:trPr>
        <w:tc>
          <w:tcPr>
            <w:tcW w:w="3560" w:type="dxa"/>
            <w:vMerge w:val="restart"/>
            <w:tcBorders>
              <w:bottom w:val="single" w:sz="4" w:space="0" w:color="000000"/>
              <w:right w:val="single" w:sz="4" w:space="0" w:color="000000"/>
            </w:tcBorders>
          </w:tcPr>
          <w:p>
            <w:pPr>
              <w:pStyle w:val="TableParagraph"/>
              <w:spacing w:before="11"/>
              <w:rPr>
                <w:rFonts w:ascii="宋体"/>
                <w:sz w:val="14"/>
              </w:rPr>
            </w:pPr>
          </w:p>
          <w:p>
            <w:pPr>
              <w:pStyle w:val="TableParagraph"/>
              <w:ind w:left="1547" w:right="1532"/>
              <w:jc w:val="center"/>
              <w:rPr>
                <w:rFonts w:ascii="Microsoft JhengHei" w:eastAsia="Microsoft JhengHei" w:hint="eastAsia"/>
                <w:b/>
                <w:sz w:val="21"/>
              </w:rPr>
            </w:pPr>
            <w:r>
              <w:rPr>
                <w:rFonts w:ascii="Microsoft JhengHei" w:eastAsia="Microsoft JhengHei" w:hint="eastAsia"/>
                <w:b/>
                <w:sz w:val="21"/>
              </w:rPr>
              <w:t>项目</w:t>
            </w:r>
          </w:p>
        </w:tc>
        <w:tc>
          <w:tcPr>
            <w:tcW w:w="5104" w:type="dxa"/>
            <w:gridSpan w:val="2"/>
            <w:tcBorders>
              <w:left w:val="single" w:sz="4" w:space="0" w:color="000000"/>
              <w:bottom w:val="single" w:sz="4" w:space="0" w:color="000000"/>
            </w:tcBorders>
          </w:tcPr>
          <w:p>
            <w:pPr>
              <w:pStyle w:val="TableParagraph"/>
              <w:spacing w:line="339" w:lineRule="exact"/>
              <w:ind w:left="2118" w:right="2086"/>
              <w:jc w:val="center"/>
              <w:rPr>
                <w:rFonts w:ascii="Microsoft JhengHei" w:eastAsia="Microsoft JhengHei" w:hint="eastAsia"/>
                <w:b/>
                <w:sz w:val="21"/>
              </w:rPr>
            </w:pPr>
            <w:r>
              <w:rPr>
                <w:rFonts w:ascii="Microsoft JhengHei" w:eastAsia="Microsoft JhengHei" w:hint="eastAsia"/>
                <w:b/>
                <w:sz w:val="21"/>
              </w:rPr>
              <w:t>财务公司</w:t>
            </w:r>
          </w:p>
        </w:tc>
      </w:tr>
      <w:tr>
        <w:trPr>
          <w:trHeight w:val="417" w:hRule="atLeast"/>
        </w:trPr>
        <w:tc>
          <w:tcPr>
            <w:tcW w:w="3560" w:type="dxa"/>
            <w:vMerge/>
            <w:tcBorders>
              <w:top w:val="nil"/>
              <w:bottom w:val="single" w:sz="4" w:space="0" w:color="000000"/>
              <w:right w:val="single" w:sz="4" w:space="0" w:color="000000"/>
            </w:tcBorders>
          </w:tcPr>
          <w:p>
            <w:pPr>
              <w:rPr>
                <w:sz w:val="2"/>
                <w:szCs w:val="2"/>
              </w:rPr>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before="6"/>
              <w:ind w:left="304"/>
              <w:rPr>
                <w:rFonts w:ascii="Microsoft JhengHei" w:eastAsia="Microsoft JhengHei" w:hint="eastAsia"/>
                <w:b/>
                <w:sz w:val="21"/>
              </w:rPr>
            </w:pPr>
            <w:r>
              <w:rPr>
                <w:rFonts w:ascii="Microsoft JhengHei" w:eastAsia="Microsoft JhengHei" w:hint="eastAsia"/>
                <w:b/>
                <w:sz w:val="21"/>
              </w:rPr>
              <w:t>期末余额</w:t>
            </w:r>
            <w:r>
              <w:rPr>
                <w:b/>
                <w:sz w:val="21"/>
              </w:rPr>
              <w:t>/</w:t>
            </w:r>
            <w:r>
              <w:rPr>
                <w:rFonts w:ascii="Microsoft JhengHei" w:eastAsia="Microsoft JhengHei" w:hint="eastAsia"/>
                <w:b/>
                <w:sz w:val="21"/>
              </w:rPr>
              <w:t>本期发生额</w:t>
            </w:r>
          </w:p>
        </w:tc>
        <w:tc>
          <w:tcPr>
            <w:tcW w:w="2552" w:type="dxa"/>
            <w:tcBorders>
              <w:top w:val="single" w:sz="4" w:space="0" w:color="000000"/>
              <w:left w:val="single" w:sz="4" w:space="0" w:color="000000"/>
              <w:bottom w:val="single" w:sz="4" w:space="0" w:color="000000"/>
            </w:tcBorders>
          </w:tcPr>
          <w:p>
            <w:pPr>
              <w:pStyle w:val="TableParagraph"/>
              <w:spacing w:before="6"/>
              <w:ind w:left="306"/>
              <w:rPr>
                <w:rFonts w:ascii="Microsoft JhengHei" w:eastAsia="Microsoft JhengHei" w:hint="eastAsia"/>
                <w:b/>
                <w:sz w:val="21"/>
              </w:rPr>
            </w:pPr>
            <w:r>
              <w:rPr>
                <w:rFonts w:ascii="Microsoft JhengHei" w:eastAsia="Microsoft JhengHei" w:hint="eastAsia"/>
                <w:b/>
                <w:sz w:val="21"/>
              </w:rPr>
              <w:t>期初余额</w:t>
            </w:r>
            <w:r>
              <w:rPr>
                <w:b/>
                <w:sz w:val="21"/>
              </w:rPr>
              <w:t>/</w:t>
            </w:r>
            <w:r>
              <w:rPr>
                <w:rFonts w:ascii="Microsoft JhengHei" w:eastAsia="Microsoft JhengHei" w:hint="eastAsia"/>
                <w:b/>
                <w:sz w:val="21"/>
              </w:rPr>
              <w:t>上期发生额</w:t>
            </w:r>
          </w:p>
        </w:tc>
      </w:tr>
      <w:tr>
        <w:trPr>
          <w:trHeight w:val="369" w:hRule="atLeast"/>
        </w:trPr>
        <w:tc>
          <w:tcPr>
            <w:tcW w:w="3560"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流动资产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before="58"/>
              <w:ind w:left="875"/>
              <w:rPr>
                <w:sz w:val="21"/>
              </w:rPr>
            </w:pPr>
            <w:r>
              <w:rPr>
                <w:sz w:val="21"/>
              </w:rPr>
              <w:t>62,750,087,810.02</w:t>
            </w:r>
          </w:p>
        </w:tc>
        <w:tc>
          <w:tcPr>
            <w:tcW w:w="2552"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61,570,216,228.62</w:t>
            </w:r>
          </w:p>
        </w:tc>
      </w:tr>
      <w:tr>
        <w:trPr>
          <w:trHeight w:val="369" w:hRule="atLeast"/>
        </w:trPr>
        <w:tc>
          <w:tcPr>
            <w:tcW w:w="3560"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非流动资产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before="58"/>
              <w:ind w:left="875"/>
              <w:rPr>
                <w:sz w:val="21"/>
              </w:rPr>
            </w:pPr>
            <w:r>
              <w:rPr>
                <w:sz w:val="21"/>
              </w:rPr>
              <w:t>12,907,238,025.07</w:t>
            </w:r>
          </w:p>
        </w:tc>
        <w:tc>
          <w:tcPr>
            <w:tcW w:w="2552"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5,905,904,013.65</w:t>
            </w:r>
          </w:p>
        </w:tc>
      </w:tr>
      <w:tr>
        <w:trPr>
          <w:trHeight w:val="369" w:hRule="atLeast"/>
        </w:trPr>
        <w:tc>
          <w:tcPr>
            <w:tcW w:w="3560"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资产合计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before="58"/>
              <w:ind w:left="875"/>
              <w:rPr>
                <w:sz w:val="21"/>
              </w:rPr>
            </w:pPr>
            <w:r>
              <w:rPr>
                <w:sz w:val="21"/>
              </w:rPr>
              <w:t>75,657,325,835.09</w:t>
            </w:r>
          </w:p>
        </w:tc>
        <w:tc>
          <w:tcPr>
            <w:tcW w:w="2552"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67,476,120,242.27</w:t>
            </w:r>
          </w:p>
        </w:tc>
      </w:tr>
      <w:tr>
        <w:trPr>
          <w:trHeight w:val="369" w:hRule="atLeast"/>
        </w:trPr>
        <w:tc>
          <w:tcPr>
            <w:tcW w:w="3560"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流动负债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before="58"/>
              <w:ind w:left="875"/>
              <w:rPr>
                <w:sz w:val="21"/>
              </w:rPr>
            </w:pPr>
            <w:r>
              <w:rPr>
                <w:sz w:val="21"/>
              </w:rPr>
              <w:t>59,895,340,204.39</w:t>
            </w:r>
          </w:p>
        </w:tc>
        <w:tc>
          <w:tcPr>
            <w:tcW w:w="2552"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52,896,669,320.65</w:t>
            </w:r>
          </w:p>
        </w:tc>
      </w:tr>
      <w:tr>
        <w:trPr>
          <w:trHeight w:val="369" w:hRule="atLeast"/>
        </w:trPr>
        <w:tc>
          <w:tcPr>
            <w:tcW w:w="3560"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非流动负债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before="58"/>
              <w:ind w:left="1137"/>
              <w:rPr>
                <w:sz w:val="21"/>
              </w:rPr>
            </w:pPr>
            <w:r>
              <w:rPr>
                <w:sz w:val="21"/>
              </w:rPr>
              <w:t>223,325,462.63</w:t>
            </w:r>
          </w:p>
        </w:tc>
        <w:tc>
          <w:tcPr>
            <w:tcW w:w="2552"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268,470,616.43</w:t>
            </w:r>
          </w:p>
        </w:tc>
      </w:tr>
      <w:tr>
        <w:trPr>
          <w:trHeight w:val="369" w:hRule="atLeast"/>
        </w:trPr>
        <w:tc>
          <w:tcPr>
            <w:tcW w:w="3560"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负债合计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before="58"/>
              <w:ind w:left="875"/>
              <w:rPr>
                <w:sz w:val="21"/>
              </w:rPr>
            </w:pPr>
            <w:r>
              <w:rPr>
                <w:sz w:val="21"/>
              </w:rPr>
              <w:t>60,118,665,667.02</w:t>
            </w:r>
          </w:p>
        </w:tc>
        <w:tc>
          <w:tcPr>
            <w:tcW w:w="2552"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53,165,139,937.08</w:t>
            </w:r>
          </w:p>
        </w:tc>
      </w:tr>
      <w:tr>
        <w:trPr>
          <w:trHeight w:val="369" w:hRule="atLeast"/>
        </w:trPr>
        <w:tc>
          <w:tcPr>
            <w:tcW w:w="3560"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少数股东权益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before="44"/>
              <w:ind w:right="-15"/>
              <w:jc w:val="right"/>
              <w:rPr>
                <w:rFonts w:ascii="宋体"/>
                <w:sz w:val="21"/>
              </w:rPr>
            </w:pPr>
            <w:r>
              <w:rPr>
                <w:rFonts w:ascii="宋体"/>
                <w:w w:val="100"/>
                <w:sz w:val="21"/>
              </w:rPr>
              <w:t> </w:t>
            </w:r>
          </w:p>
        </w:tc>
        <w:tc>
          <w:tcPr>
            <w:tcW w:w="2552"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3560"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归属于母公司股东权益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before="55"/>
              <w:ind w:left="875"/>
              <w:rPr>
                <w:sz w:val="21"/>
              </w:rPr>
            </w:pPr>
            <w:r>
              <w:rPr>
                <w:sz w:val="21"/>
              </w:rPr>
              <w:t>15,538,660,168.07</w:t>
            </w:r>
          </w:p>
        </w:tc>
        <w:tc>
          <w:tcPr>
            <w:tcW w:w="2552" w:type="dxa"/>
            <w:tcBorders>
              <w:top w:val="single" w:sz="4" w:space="0" w:color="000000"/>
              <w:left w:val="single" w:sz="4" w:space="0" w:color="000000"/>
              <w:bottom w:val="single" w:sz="4" w:space="0" w:color="000000"/>
            </w:tcBorders>
          </w:tcPr>
          <w:p>
            <w:pPr>
              <w:pStyle w:val="TableParagraph"/>
              <w:spacing w:before="55"/>
              <w:ind w:right="75"/>
              <w:jc w:val="right"/>
              <w:rPr>
                <w:sz w:val="21"/>
              </w:rPr>
            </w:pPr>
            <w:r>
              <w:rPr>
                <w:sz w:val="21"/>
              </w:rPr>
              <w:t>14,310,980,305.19</w:t>
            </w:r>
          </w:p>
        </w:tc>
      </w:tr>
      <w:tr>
        <w:trPr>
          <w:trHeight w:val="544" w:hRule="atLeast"/>
        </w:trPr>
        <w:tc>
          <w:tcPr>
            <w:tcW w:w="3560" w:type="dxa"/>
            <w:tcBorders>
              <w:top w:val="single" w:sz="4" w:space="0" w:color="000000"/>
              <w:bottom w:val="single" w:sz="4" w:space="0" w:color="000000"/>
              <w:right w:val="single" w:sz="4" w:space="0" w:color="000000"/>
            </w:tcBorders>
          </w:tcPr>
          <w:p>
            <w:pPr>
              <w:pStyle w:val="TableParagraph"/>
              <w:spacing w:before="1"/>
              <w:ind w:left="318"/>
              <w:rPr>
                <w:rFonts w:ascii="宋体" w:eastAsia="宋体" w:hint="eastAsia"/>
                <w:sz w:val="21"/>
              </w:rPr>
            </w:pPr>
            <w:r>
              <w:rPr>
                <w:rFonts w:ascii="宋体" w:eastAsia="宋体" w:hint="eastAsia"/>
                <w:sz w:val="21"/>
              </w:rPr>
              <w:t>其中</w:t>
            </w:r>
            <w:r>
              <w:rPr>
                <w:sz w:val="21"/>
              </w:rPr>
              <w:t>:</w:t>
            </w:r>
            <w:r>
              <w:rPr>
                <w:rFonts w:ascii="宋体" w:eastAsia="宋体" w:hint="eastAsia"/>
                <w:sz w:val="21"/>
              </w:rPr>
              <w:t>按持股比例计算的净资产份</w:t>
            </w:r>
          </w:p>
          <w:p>
            <w:pPr>
              <w:pStyle w:val="TableParagraph"/>
              <w:spacing w:line="252" w:lineRule="exact" w:before="2"/>
              <w:ind w:left="107"/>
              <w:rPr>
                <w:rFonts w:ascii="宋体" w:eastAsia="宋体" w:hint="eastAsia"/>
                <w:sz w:val="21"/>
              </w:rPr>
            </w:pPr>
            <w:r>
              <w:rPr>
                <w:rFonts w:ascii="宋体" w:eastAsia="宋体" w:hint="eastAsia"/>
                <w:w w:val="100"/>
                <w:sz w:val="21"/>
              </w:rPr>
              <w:t>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before="144"/>
              <w:ind w:left="979"/>
              <w:rPr>
                <w:sz w:val="21"/>
              </w:rPr>
            </w:pPr>
            <w:r>
              <w:rPr>
                <w:sz w:val="21"/>
              </w:rPr>
              <w:t>6,526,237,270.60</w:t>
            </w:r>
          </w:p>
        </w:tc>
        <w:tc>
          <w:tcPr>
            <w:tcW w:w="2552" w:type="dxa"/>
            <w:tcBorders>
              <w:top w:val="single" w:sz="4" w:space="0" w:color="000000"/>
              <w:left w:val="single" w:sz="4" w:space="0" w:color="000000"/>
              <w:bottom w:val="single" w:sz="4" w:space="0" w:color="000000"/>
            </w:tcBorders>
          </w:tcPr>
          <w:p>
            <w:pPr>
              <w:pStyle w:val="TableParagraph"/>
              <w:spacing w:before="144"/>
              <w:ind w:right="74"/>
              <w:jc w:val="right"/>
              <w:rPr>
                <w:sz w:val="21"/>
              </w:rPr>
            </w:pPr>
            <w:r>
              <w:rPr>
                <w:sz w:val="21"/>
              </w:rPr>
              <w:t>6,010,611,728.26</w:t>
            </w:r>
          </w:p>
        </w:tc>
      </w:tr>
      <w:tr>
        <w:trPr>
          <w:trHeight w:val="369" w:hRule="atLeast"/>
        </w:trPr>
        <w:tc>
          <w:tcPr>
            <w:tcW w:w="3560"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营业收入</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before="58"/>
              <w:ind w:left="979"/>
              <w:rPr>
                <w:sz w:val="21"/>
              </w:rPr>
            </w:pPr>
            <w:r>
              <w:rPr>
                <w:sz w:val="21"/>
              </w:rPr>
              <w:t>2,225,723,222.45</w:t>
            </w:r>
          </w:p>
        </w:tc>
        <w:tc>
          <w:tcPr>
            <w:tcW w:w="2552"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2,540,718,904.25</w:t>
            </w:r>
          </w:p>
        </w:tc>
      </w:tr>
      <w:tr>
        <w:trPr>
          <w:trHeight w:val="366" w:hRule="atLeast"/>
        </w:trPr>
        <w:tc>
          <w:tcPr>
            <w:tcW w:w="3560" w:type="dxa"/>
            <w:tcBorders>
              <w:top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净利润</w:t>
            </w:r>
          </w:p>
        </w:tc>
        <w:tc>
          <w:tcPr>
            <w:tcW w:w="2552" w:type="dxa"/>
            <w:tcBorders>
              <w:top w:val="single" w:sz="4" w:space="0" w:color="000000"/>
              <w:left w:val="single" w:sz="4" w:space="0" w:color="000000"/>
              <w:right w:val="single" w:sz="4" w:space="0" w:color="000000"/>
            </w:tcBorders>
          </w:tcPr>
          <w:p>
            <w:pPr>
              <w:pStyle w:val="TableParagraph"/>
              <w:spacing w:before="55"/>
              <w:ind w:left="979"/>
              <w:rPr>
                <w:sz w:val="21"/>
              </w:rPr>
            </w:pPr>
            <w:r>
              <w:rPr>
                <w:sz w:val="21"/>
              </w:rPr>
              <w:t>1,550,909,520.81</w:t>
            </w:r>
          </w:p>
        </w:tc>
        <w:tc>
          <w:tcPr>
            <w:tcW w:w="2552" w:type="dxa"/>
            <w:tcBorders>
              <w:top w:val="single" w:sz="4" w:space="0" w:color="000000"/>
              <w:left w:val="single" w:sz="4" w:space="0" w:color="000000"/>
            </w:tcBorders>
          </w:tcPr>
          <w:p>
            <w:pPr>
              <w:pStyle w:val="TableParagraph"/>
              <w:spacing w:before="55"/>
              <w:ind w:right="74"/>
              <w:jc w:val="right"/>
              <w:rPr>
                <w:sz w:val="21"/>
              </w:rPr>
            </w:pPr>
            <w:r>
              <w:rPr>
                <w:sz w:val="21"/>
              </w:rPr>
              <w:t>1,719,606,817.98</w:t>
            </w:r>
          </w:p>
        </w:tc>
      </w:tr>
    </w:tbl>
    <w:p>
      <w:pPr>
        <w:spacing w:after="0"/>
        <w:jc w:val="right"/>
        <w:rPr>
          <w:sz w:val="21"/>
        </w:rPr>
        <w:sectPr>
          <w:pgSz w:w="11910" w:h="16840"/>
          <w:pgMar w:header="876" w:footer="1184" w:top="1440" w:bottom="1400" w:left="260" w:right="0"/>
        </w:sectPr>
      </w:pPr>
    </w:p>
    <w:p>
      <w:pPr>
        <w:pStyle w:val="BodyText"/>
        <w:spacing w:before="2"/>
        <w:rPr>
          <w:sz w:val="5"/>
        </w:rPr>
      </w:pPr>
    </w:p>
    <w:tbl>
      <w:tblPr>
        <w:tblW w:w="0" w:type="auto"/>
        <w:jc w:val="left"/>
        <w:tblInd w:w="15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560"/>
        <w:gridCol w:w="2552"/>
        <w:gridCol w:w="2552"/>
      </w:tblGrid>
      <w:tr>
        <w:trPr>
          <w:trHeight w:val="371" w:hRule="atLeast"/>
        </w:trPr>
        <w:tc>
          <w:tcPr>
            <w:tcW w:w="3560" w:type="dxa"/>
            <w:tcBorders>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其他综合收益</w:t>
            </w:r>
          </w:p>
        </w:tc>
        <w:tc>
          <w:tcPr>
            <w:tcW w:w="2552" w:type="dxa"/>
            <w:tcBorders>
              <w:left w:val="single" w:sz="4" w:space="0" w:color="000000"/>
              <w:bottom w:val="single" w:sz="4" w:space="0" w:color="000000"/>
              <w:right w:val="single" w:sz="4" w:space="0" w:color="000000"/>
            </w:tcBorders>
          </w:tcPr>
          <w:p>
            <w:pPr>
              <w:pStyle w:val="TableParagraph"/>
              <w:spacing w:before="58"/>
              <w:ind w:right="87"/>
              <w:jc w:val="right"/>
              <w:rPr>
                <w:sz w:val="21"/>
              </w:rPr>
            </w:pPr>
            <w:r>
              <w:rPr>
                <w:sz w:val="21"/>
              </w:rPr>
              <w:t>-23,229,657.93</w:t>
            </w:r>
          </w:p>
        </w:tc>
        <w:tc>
          <w:tcPr>
            <w:tcW w:w="2552" w:type="dxa"/>
            <w:tcBorders>
              <w:left w:val="single" w:sz="4" w:space="0" w:color="000000"/>
              <w:bottom w:val="single" w:sz="4" w:space="0" w:color="000000"/>
            </w:tcBorders>
          </w:tcPr>
          <w:p>
            <w:pPr>
              <w:pStyle w:val="TableParagraph"/>
              <w:spacing w:before="58"/>
              <w:ind w:right="74"/>
              <w:jc w:val="right"/>
              <w:rPr>
                <w:sz w:val="21"/>
              </w:rPr>
            </w:pPr>
            <w:r>
              <w:rPr>
                <w:sz w:val="21"/>
              </w:rPr>
              <w:t>20,044,108.65</w:t>
            </w:r>
          </w:p>
        </w:tc>
      </w:tr>
      <w:tr>
        <w:trPr>
          <w:trHeight w:val="369" w:hRule="atLeast"/>
        </w:trPr>
        <w:tc>
          <w:tcPr>
            <w:tcW w:w="3560"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综合收益总额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before="55"/>
              <w:ind w:right="87"/>
              <w:jc w:val="right"/>
              <w:rPr>
                <w:sz w:val="21"/>
              </w:rPr>
            </w:pPr>
            <w:r>
              <w:rPr>
                <w:sz w:val="21"/>
              </w:rPr>
              <w:t>1,527,679,862.88</w:t>
            </w:r>
          </w:p>
        </w:tc>
        <w:tc>
          <w:tcPr>
            <w:tcW w:w="2552" w:type="dxa"/>
            <w:tcBorders>
              <w:top w:val="single" w:sz="4" w:space="0" w:color="000000"/>
              <w:left w:val="single" w:sz="4" w:space="0" w:color="000000"/>
              <w:bottom w:val="single" w:sz="4" w:space="0" w:color="000000"/>
            </w:tcBorders>
          </w:tcPr>
          <w:p>
            <w:pPr>
              <w:pStyle w:val="TableParagraph"/>
              <w:spacing w:before="55"/>
              <w:ind w:right="74"/>
              <w:jc w:val="right"/>
              <w:rPr>
                <w:sz w:val="21"/>
              </w:rPr>
            </w:pPr>
            <w:r>
              <w:rPr>
                <w:sz w:val="21"/>
              </w:rPr>
              <w:t>1,739,650,926.63</w:t>
            </w:r>
          </w:p>
        </w:tc>
      </w:tr>
      <w:tr>
        <w:trPr>
          <w:trHeight w:val="366" w:hRule="atLeast"/>
        </w:trPr>
        <w:tc>
          <w:tcPr>
            <w:tcW w:w="3560" w:type="dxa"/>
            <w:tcBorders>
              <w:top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本年度收到的来自联营企业的股利</w:t>
            </w:r>
          </w:p>
        </w:tc>
        <w:tc>
          <w:tcPr>
            <w:tcW w:w="2552" w:type="dxa"/>
            <w:tcBorders>
              <w:top w:val="single" w:sz="4" w:space="0" w:color="000000"/>
              <w:left w:val="single" w:sz="4" w:space="0" w:color="000000"/>
              <w:right w:val="single" w:sz="4" w:space="0" w:color="000000"/>
            </w:tcBorders>
          </w:tcPr>
          <w:p>
            <w:pPr>
              <w:pStyle w:val="TableParagraph"/>
              <w:spacing w:before="55"/>
              <w:ind w:right="87"/>
              <w:jc w:val="right"/>
              <w:rPr>
                <w:sz w:val="21"/>
              </w:rPr>
            </w:pPr>
            <w:r>
              <w:rPr>
                <w:sz w:val="21"/>
              </w:rPr>
              <w:t>126,000,000.00</w:t>
            </w:r>
          </w:p>
        </w:tc>
        <w:tc>
          <w:tcPr>
            <w:tcW w:w="2552" w:type="dxa"/>
            <w:tcBorders>
              <w:top w:val="single" w:sz="4" w:space="0" w:color="000000"/>
              <w:left w:val="single" w:sz="4" w:space="0" w:color="000000"/>
            </w:tcBorders>
          </w:tcPr>
          <w:p>
            <w:pPr>
              <w:pStyle w:val="TableParagraph"/>
              <w:spacing w:before="55"/>
              <w:ind w:right="74"/>
              <w:jc w:val="right"/>
              <w:rPr>
                <w:sz w:val="21"/>
              </w:rPr>
            </w:pPr>
            <w:r>
              <w:rPr>
                <w:sz w:val="21"/>
              </w:rPr>
              <w:t>126,000,000.00</w:t>
            </w:r>
          </w:p>
        </w:tc>
      </w:tr>
    </w:tbl>
    <w:p>
      <w:pPr>
        <w:pStyle w:val="BodyText"/>
        <w:spacing w:before="4"/>
        <w:ind w:left="1958"/>
      </w:pPr>
      <w:r>
        <w:rPr/>
        <w:t>续表 </w:t>
      </w:r>
    </w:p>
    <w:tbl>
      <w:tblPr>
        <w:tblW w:w="0" w:type="auto"/>
        <w:jc w:val="left"/>
        <w:tblInd w:w="15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560"/>
        <w:gridCol w:w="2552"/>
        <w:gridCol w:w="2552"/>
      </w:tblGrid>
      <w:tr>
        <w:trPr>
          <w:trHeight w:val="361" w:hRule="atLeast"/>
        </w:trPr>
        <w:tc>
          <w:tcPr>
            <w:tcW w:w="3560" w:type="dxa"/>
            <w:vMerge w:val="restart"/>
            <w:tcBorders>
              <w:bottom w:val="single" w:sz="4" w:space="0" w:color="000000"/>
              <w:right w:val="single" w:sz="4" w:space="0" w:color="000000"/>
            </w:tcBorders>
          </w:tcPr>
          <w:p>
            <w:pPr>
              <w:pStyle w:val="TableParagraph"/>
              <w:spacing w:before="11"/>
              <w:rPr>
                <w:rFonts w:ascii="宋体"/>
                <w:sz w:val="14"/>
              </w:rPr>
            </w:pPr>
          </w:p>
          <w:p>
            <w:pPr>
              <w:pStyle w:val="TableParagraph"/>
              <w:ind w:left="1547" w:right="1532"/>
              <w:jc w:val="center"/>
              <w:rPr>
                <w:rFonts w:ascii="Microsoft JhengHei" w:eastAsia="Microsoft JhengHei" w:hint="eastAsia"/>
                <w:b/>
                <w:sz w:val="21"/>
              </w:rPr>
            </w:pPr>
            <w:r>
              <w:rPr>
                <w:rFonts w:ascii="Microsoft JhengHei" w:eastAsia="Microsoft JhengHei" w:hint="eastAsia"/>
                <w:b/>
                <w:sz w:val="21"/>
              </w:rPr>
              <w:t>项目</w:t>
            </w:r>
          </w:p>
        </w:tc>
        <w:tc>
          <w:tcPr>
            <w:tcW w:w="5104" w:type="dxa"/>
            <w:gridSpan w:val="2"/>
            <w:tcBorders>
              <w:left w:val="single" w:sz="4" w:space="0" w:color="000000"/>
              <w:bottom w:val="single" w:sz="4" w:space="0" w:color="000000"/>
            </w:tcBorders>
          </w:tcPr>
          <w:p>
            <w:pPr>
              <w:pStyle w:val="TableParagraph"/>
              <w:spacing w:before="60"/>
              <w:ind w:left="2117" w:right="2086"/>
              <w:jc w:val="center"/>
              <w:rPr>
                <w:b/>
                <w:sz w:val="21"/>
              </w:rPr>
            </w:pPr>
            <w:r>
              <w:rPr>
                <w:b/>
                <w:sz w:val="21"/>
              </w:rPr>
              <w:t>MABE</w:t>
            </w:r>
          </w:p>
        </w:tc>
      </w:tr>
      <w:tr>
        <w:trPr>
          <w:trHeight w:val="417" w:hRule="atLeast"/>
        </w:trPr>
        <w:tc>
          <w:tcPr>
            <w:tcW w:w="3560" w:type="dxa"/>
            <w:vMerge/>
            <w:tcBorders>
              <w:top w:val="nil"/>
              <w:bottom w:val="single" w:sz="4" w:space="0" w:color="000000"/>
              <w:right w:val="single" w:sz="4" w:space="0" w:color="000000"/>
            </w:tcBorders>
          </w:tcPr>
          <w:p>
            <w:pPr>
              <w:rPr>
                <w:sz w:val="2"/>
                <w:szCs w:val="2"/>
              </w:rPr>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before="3"/>
              <w:ind w:left="304"/>
              <w:rPr>
                <w:rFonts w:ascii="Microsoft JhengHei" w:eastAsia="Microsoft JhengHei" w:hint="eastAsia"/>
                <w:b/>
                <w:sz w:val="21"/>
              </w:rPr>
            </w:pPr>
            <w:r>
              <w:rPr>
                <w:rFonts w:ascii="Microsoft JhengHei" w:eastAsia="Microsoft JhengHei" w:hint="eastAsia"/>
                <w:b/>
                <w:sz w:val="21"/>
              </w:rPr>
              <w:t>期末余额</w:t>
            </w:r>
            <w:r>
              <w:rPr>
                <w:b/>
                <w:sz w:val="21"/>
              </w:rPr>
              <w:t>/</w:t>
            </w:r>
            <w:r>
              <w:rPr>
                <w:rFonts w:ascii="Microsoft JhengHei" w:eastAsia="Microsoft JhengHei" w:hint="eastAsia"/>
                <w:b/>
                <w:sz w:val="21"/>
              </w:rPr>
              <w:t>本期发生额</w:t>
            </w:r>
          </w:p>
        </w:tc>
        <w:tc>
          <w:tcPr>
            <w:tcW w:w="2552" w:type="dxa"/>
            <w:tcBorders>
              <w:top w:val="single" w:sz="4" w:space="0" w:color="000000"/>
              <w:left w:val="single" w:sz="4" w:space="0" w:color="000000"/>
              <w:bottom w:val="single" w:sz="4" w:space="0" w:color="000000"/>
            </w:tcBorders>
          </w:tcPr>
          <w:p>
            <w:pPr>
              <w:pStyle w:val="TableParagraph"/>
              <w:spacing w:before="3"/>
              <w:ind w:left="306"/>
              <w:rPr>
                <w:rFonts w:ascii="Microsoft JhengHei" w:eastAsia="Microsoft JhengHei" w:hint="eastAsia"/>
                <w:b/>
                <w:sz w:val="21"/>
              </w:rPr>
            </w:pPr>
            <w:r>
              <w:rPr>
                <w:rFonts w:ascii="Microsoft JhengHei" w:eastAsia="Microsoft JhengHei" w:hint="eastAsia"/>
                <w:b/>
                <w:sz w:val="21"/>
              </w:rPr>
              <w:t>期初余额</w:t>
            </w:r>
            <w:r>
              <w:rPr>
                <w:b/>
                <w:sz w:val="21"/>
              </w:rPr>
              <w:t>/</w:t>
            </w:r>
            <w:r>
              <w:rPr>
                <w:rFonts w:ascii="Microsoft JhengHei" w:eastAsia="Microsoft JhengHei" w:hint="eastAsia"/>
                <w:b/>
                <w:sz w:val="21"/>
              </w:rPr>
              <w:t>上期发生额</w:t>
            </w:r>
          </w:p>
        </w:tc>
      </w:tr>
      <w:tr>
        <w:trPr>
          <w:trHeight w:val="369" w:hRule="atLeast"/>
        </w:trPr>
        <w:tc>
          <w:tcPr>
            <w:tcW w:w="3560"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流动资产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before="58"/>
              <w:ind w:left="979"/>
              <w:rPr>
                <w:sz w:val="21"/>
              </w:rPr>
            </w:pPr>
            <w:r>
              <w:rPr>
                <w:sz w:val="21"/>
              </w:rPr>
              <w:t>7,027,493,472.30</w:t>
            </w:r>
          </w:p>
        </w:tc>
        <w:tc>
          <w:tcPr>
            <w:tcW w:w="2552" w:type="dxa"/>
            <w:tcBorders>
              <w:top w:val="single" w:sz="4" w:space="0" w:color="000000"/>
              <w:left w:val="single" w:sz="4" w:space="0" w:color="000000"/>
              <w:bottom w:val="single" w:sz="4" w:space="0" w:color="000000"/>
            </w:tcBorders>
          </w:tcPr>
          <w:p>
            <w:pPr>
              <w:pStyle w:val="TableParagraph"/>
              <w:spacing w:before="58"/>
              <w:ind w:left="981"/>
              <w:rPr>
                <w:sz w:val="21"/>
              </w:rPr>
            </w:pPr>
            <w:r>
              <w:rPr>
                <w:sz w:val="21"/>
              </w:rPr>
              <w:t>6,554,356,162.20</w:t>
            </w:r>
          </w:p>
        </w:tc>
      </w:tr>
      <w:tr>
        <w:trPr>
          <w:trHeight w:val="369" w:hRule="atLeast"/>
        </w:trPr>
        <w:tc>
          <w:tcPr>
            <w:tcW w:w="3560"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非流动资产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before="58"/>
              <w:ind w:left="875"/>
              <w:rPr>
                <w:sz w:val="21"/>
              </w:rPr>
            </w:pPr>
            <w:r>
              <w:rPr>
                <w:sz w:val="21"/>
              </w:rPr>
              <w:t>11,216,277,000.40</w:t>
            </w:r>
          </w:p>
        </w:tc>
        <w:tc>
          <w:tcPr>
            <w:tcW w:w="2552" w:type="dxa"/>
            <w:tcBorders>
              <w:top w:val="single" w:sz="4" w:space="0" w:color="000000"/>
              <w:left w:val="single" w:sz="4" w:space="0" w:color="000000"/>
              <w:bottom w:val="single" w:sz="4" w:space="0" w:color="000000"/>
            </w:tcBorders>
          </w:tcPr>
          <w:p>
            <w:pPr>
              <w:pStyle w:val="TableParagraph"/>
              <w:spacing w:before="58"/>
              <w:ind w:left="877"/>
              <w:rPr>
                <w:sz w:val="21"/>
              </w:rPr>
            </w:pPr>
            <w:r>
              <w:rPr>
                <w:sz w:val="21"/>
              </w:rPr>
              <w:t>11,976,635,517.00</w:t>
            </w:r>
          </w:p>
        </w:tc>
      </w:tr>
      <w:tr>
        <w:trPr>
          <w:trHeight w:val="369" w:hRule="atLeast"/>
        </w:trPr>
        <w:tc>
          <w:tcPr>
            <w:tcW w:w="3560"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资产合计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before="55"/>
              <w:ind w:left="875"/>
              <w:rPr>
                <w:sz w:val="21"/>
              </w:rPr>
            </w:pPr>
            <w:r>
              <w:rPr>
                <w:sz w:val="21"/>
              </w:rPr>
              <w:t>18,243,770,472.70</w:t>
            </w:r>
          </w:p>
        </w:tc>
        <w:tc>
          <w:tcPr>
            <w:tcW w:w="2552" w:type="dxa"/>
            <w:tcBorders>
              <w:top w:val="single" w:sz="4" w:space="0" w:color="000000"/>
              <w:left w:val="single" w:sz="4" w:space="0" w:color="000000"/>
              <w:bottom w:val="single" w:sz="4" w:space="0" w:color="000000"/>
            </w:tcBorders>
          </w:tcPr>
          <w:p>
            <w:pPr>
              <w:pStyle w:val="TableParagraph"/>
              <w:spacing w:before="55"/>
              <w:ind w:left="877"/>
              <w:rPr>
                <w:sz w:val="21"/>
              </w:rPr>
            </w:pPr>
            <w:r>
              <w:rPr>
                <w:sz w:val="21"/>
              </w:rPr>
              <w:t>18,530,991,679.20</w:t>
            </w:r>
          </w:p>
        </w:tc>
      </w:tr>
      <w:tr>
        <w:trPr>
          <w:trHeight w:val="369" w:hRule="atLeast"/>
        </w:trPr>
        <w:tc>
          <w:tcPr>
            <w:tcW w:w="3560"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流动负债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before="55"/>
              <w:ind w:left="979"/>
              <w:rPr>
                <w:sz w:val="21"/>
              </w:rPr>
            </w:pPr>
            <w:r>
              <w:rPr>
                <w:sz w:val="21"/>
              </w:rPr>
              <w:t>8,595,818,436.30</w:t>
            </w:r>
          </w:p>
        </w:tc>
        <w:tc>
          <w:tcPr>
            <w:tcW w:w="2552" w:type="dxa"/>
            <w:tcBorders>
              <w:top w:val="single" w:sz="4" w:space="0" w:color="000000"/>
              <w:left w:val="single" w:sz="4" w:space="0" w:color="000000"/>
              <w:bottom w:val="single" w:sz="4" w:space="0" w:color="000000"/>
            </w:tcBorders>
          </w:tcPr>
          <w:p>
            <w:pPr>
              <w:pStyle w:val="TableParagraph"/>
              <w:spacing w:before="55"/>
              <w:ind w:left="981"/>
              <w:rPr>
                <w:sz w:val="21"/>
              </w:rPr>
            </w:pPr>
            <w:r>
              <w:rPr>
                <w:sz w:val="21"/>
              </w:rPr>
              <w:t>8,493,118,880.40</w:t>
            </w:r>
          </w:p>
        </w:tc>
      </w:tr>
      <w:tr>
        <w:trPr>
          <w:trHeight w:val="367" w:hRule="atLeast"/>
        </w:trPr>
        <w:tc>
          <w:tcPr>
            <w:tcW w:w="3560"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非流动负债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before="56"/>
              <w:ind w:left="979"/>
              <w:rPr>
                <w:sz w:val="21"/>
              </w:rPr>
            </w:pPr>
            <w:r>
              <w:rPr>
                <w:sz w:val="21"/>
              </w:rPr>
              <w:t>4,994,869,674.10</w:t>
            </w:r>
          </w:p>
        </w:tc>
        <w:tc>
          <w:tcPr>
            <w:tcW w:w="2552" w:type="dxa"/>
            <w:tcBorders>
              <w:top w:val="single" w:sz="4" w:space="0" w:color="000000"/>
              <w:left w:val="single" w:sz="4" w:space="0" w:color="000000"/>
              <w:bottom w:val="single" w:sz="4" w:space="0" w:color="000000"/>
            </w:tcBorders>
          </w:tcPr>
          <w:p>
            <w:pPr>
              <w:pStyle w:val="TableParagraph"/>
              <w:spacing w:before="56"/>
              <w:ind w:left="981"/>
              <w:rPr>
                <w:sz w:val="21"/>
              </w:rPr>
            </w:pPr>
            <w:r>
              <w:rPr>
                <w:sz w:val="21"/>
              </w:rPr>
              <w:t>5,735,182,853.40</w:t>
            </w:r>
          </w:p>
        </w:tc>
      </w:tr>
      <w:tr>
        <w:trPr>
          <w:trHeight w:val="369" w:hRule="atLeast"/>
        </w:trPr>
        <w:tc>
          <w:tcPr>
            <w:tcW w:w="3560"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负债合计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before="58"/>
              <w:ind w:left="875"/>
              <w:rPr>
                <w:sz w:val="21"/>
              </w:rPr>
            </w:pPr>
            <w:r>
              <w:rPr>
                <w:sz w:val="21"/>
              </w:rPr>
              <w:t>13,590,688,110.40</w:t>
            </w:r>
          </w:p>
        </w:tc>
        <w:tc>
          <w:tcPr>
            <w:tcW w:w="2552" w:type="dxa"/>
            <w:tcBorders>
              <w:top w:val="single" w:sz="4" w:space="0" w:color="000000"/>
              <w:left w:val="single" w:sz="4" w:space="0" w:color="000000"/>
              <w:bottom w:val="single" w:sz="4" w:space="0" w:color="000000"/>
            </w:tcBorders>
          </w:tcPr>
          <w:p>
            <w:pPr>
              <w:pStyle w:val="TableParagraph"/>
              <w:spacing w:before="58"/>
              <w:ind w:left="877"/>
              <w:rPr>
                <w:sz w:val="21"/>
              </w:rPr>
            </w:pPr>
            <w:r>
              <w:rPr>
                <w:sz w:val="21"/>
              </w:rPr>
              <w:t>14,228,301,733.80</w:t>
            </w:r>
          </w:p>
        </w:tc>
      </w:tr>
      <w:tr>
        <w:trPr>
          <w:trHeight w:val="369" w:hRule="atLeast"/>
        </w:trPr>
        <w:tc>
          <w:tcPr>
            <w:tcW w:w="3560"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少数股东权益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before="44"/>
              <w:ind w:right="-15"/>
              <w:jc w:val="right"/>
              <w:rPr>
                <w:rFonts w:ascii="宋体"/>
                <w:sz w:val="21"/>
              </w:rPr>
            </w:pPr>
            <w:r>
              <w:rPr>
                <w:rFonts w:ascii="宋体"/>
                <w:w w:val="100"/>
                <w:sz w:val="21"/>
              </w:rPr>
              <w:t> </w:t>
            </w:r>
          </w:p>
        </w:tc>
        <w:tc>
          <w:tcPr>
            <w:tcW w:w="2552" w:type="dxa"/>
            <w:tcBorders>
              <w:top w:val="single" w:sz="4" w:space="0" w:color="000000"/>
              <w:left w:val="single" w:sz="4" w:space="0" w:color="000000"/>
              <w:bottom w:val="single" w:sz="4" w:space="0" w:color="000000"/>
            </w:tcBorders>
          </w:tcPr>
          <w:p>
            <w:pPr>
              <w:pStyle w:val="TableParagraph"/>
              <w:spacing w:before="44"/>
              <w:ind w:right="-29"/>
              <w:jc w:val="right"/>
              <w:rPr>
                <w:rFonts w:ascii="宋体"/>
                <w:sz w:val="21"/>
              </w:rPr>
            </w:pPr>
            <w:r>
              <w:rPr>
                <w:rFonts w:ascii="宋体"/>
                <w:w w:val="100"/>
                <w:sz w:val="21"/>
              </w:rPr>
              <w:t> </w:t>
            </w:r>
          </w:p>
        </w:tc>
      </w:tr>
      <w:tr>
        <w:trPr>
          <w:trHeight w:val="369" w:hRule="atLeast"/>
        </w:trPr>
        <w:tc>
          <w:tcPr>
            <w:tcW w:w="3560"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归属于母公司股东权益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before="58"/>
              <w:ind w:left="979"/>
              <w:rPr>
                <w:sz w:val="21"/>
              </w:rPr>
            </w:pPr>
            <w:r>
              <w:rPr>
                <w:sz w:val="21"/>
              </w:rPr>
              <w:t>4,653,082,362.30</w:t>
            </w:r>
          </w:p>
        </w:tc>
        <w:tc>
          <w:tcPr>
            <w:tcW w:w="2552" w:type="dxa"/>
            <w:tcBorders>
              <w:top w:val="single" w:sz="4" w:space="0" w:color="000000"/>
              <w:left w:val="single" w:sz="4" w:space="0" w:color="000000"/>
              <w:bottom w:val="single" w:sz="4" w:space="0" w:color="000000"/>
            </w:tcBorders>
          </w:tcPr>
          <w:p>
            <w:pPr>
              <w:pStyle w:val="TableParagraph"/>
              <w:spacing w:before="58"/>
              <w:ind w:left="981"/>
              <w:rPr>
                <w:sz w:val="21"/>
              </w:rPr>
            </w:pPr>
            <w:r>
              <w:rPr>
                <w:sz w:val="21"/>
              </w:rPr>
              <w:t>4,302,689,945.40</w:t>
            </w:r>
          </w:p>
        </w:tc>
      </w:tr>
      <w:tr>
        <w:trPr>
          <w:trHeight w:val="369" w:hRule="atLeast"/>
        </w:trPr>
        <w:tc>
          <w:tcPr>
            <w:tcW w:w="3560"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其中</w:t>
            </w:r>
            <w:r>
              <w:rPr>
                <w:sz w:val="21"/>
              </w:rPr>
              <w:t>:</w:t>
            </w:r>
            <w:r>
              <w:rPr>
                <w:rFonts w:ascii="宋体" w:eastAsia="宋体" w:hint="eastAsia"/>
                <w:sz w:val="21"/>
              </w:rPr>
              <w:t>按持股比例计算的净资产份额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before="58"/>
              <w:ind w:left="979"/>
              <w:rPr>
                <w:sz w:val="21"/>
              </w:rPr>
            </w:pPr>
            <w:r>
              <w:rPr>
                <w:sz w:val="21"/>
              </w:rPr>
              <w:t>2,252,780,519.54</w:t>
            </w:r>
          </w:p>
        </w:tc>
        <w:tc>
          <w:tcPr>
            <w:tcW w:w="2552" w:type="dxa"/>
            <w:tcBorders>
              <w:top w:val="single" w:sz="4" w:space="0" w:color="000000"/>
              <w:left w:val="single" w:sz="4" w:space="0" w:color="000000"/>
              <w:bottom w:val="single" w:sz="4" w:space="0" w:color="000000"/>
            </w:tcBorders>
          </w:tcPr>
          <w:p>
            <w:pPr>
              <w:pStyle w:val="TableParagraph"/>
              <w:spacing w:before="58"/>
              <w:ind w:left="981"/>
              <w:rPr>
                <w:sz w:val="21"/>
              </w:rPr>
            </w:pPr>
            <w:r>
              <w:rPr>
                <w:sz w:val="21"/>
              </w:rPr>
              <w:t>2,083,138,731.69</w:t>
            </w:r>
          </w:p>
        </w:tc>
      </w:tr>
      <w:tr>
        <w:trPr>
          <w:trHeight w:val="369" w:hRule="atLeast"/>
        </w:trPr>
        <w:tc>
          <w:tcPr>
            <w:tcW w:w="3560"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营业收入</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before="58"/>
              <w:ind w:left="875"/>
              <w:rPr>
                <w:sz w:val="21"/>
              </w:rPr>
            </w:pPr>
            <w:r>
              <w:rPr>
                <w:sz w:val="21"/>
              </w:rPr>
              <w:t>22,635,962,656.46</w:t>
            </w:r>
          </w:p>
        </w:tc>
        <w:tc>
          <w:tcPr>
            <w:tcW w:w="2552" w:type="dxa"/>
            <w:tcBorders>
              <w:top w:val="single" w:sz="4" w:space="0" w:color="000000"/>
              <w:left w:val="single" w:sz="4" w:space="0" w:color="000000"/>
              <w:bottom w:val="single" w:sz="4" w:space="0" w:color="000000"/>
            </w:tcBorders>
          </w:tcPr>
          <w:p>
            <w:pPr>
              <w:pStyle w:val="TableParagraph"/>
              <w:spacing w:before="58"/>
              <w:ind w:left="877"/>
              <w:rPr>
                <w:sz w:val="21"/>
              </w:rPr>
            </w:pPr>
            <w:r>
              <w:rPr>
                <w:sz w:val="21"/>
              </w:rPr>
              <w:t>22,678,063,972.00</w:t>
            </w:r>
          </w:p>
        </w:tc>
      </w:tr>
      <w:tr>
        <w:trPr>
          <w:trHeight w:val="369" w:hRule="atLeast"/>
        </w:trPr>
        <w:tc>
          <w:tcPr>
            <w:tcW w:w="3560"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净利润</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before="58"/>
              <w:ind w:left="979"/>
              <w:rPr>
                <w:sz w:val="21"/>
              </w:rPr>
            </w:pPr>
            <w:r>
              <w:rPr>
                <w:sz w:val="21"/>
              </w:rPr>
              <w:t>1,178,080,251.29</w:t>
            </w:r>
          </w:p>
        </w:tc>
        <w:tc>
          <w:tcPr>
            <w:tcW w:w="2552" w:type="dxa"/>
            <w:tcBorders>
              <w:top w:val="single" w:sz="4" w:space="0" w:color="000000"/>
              <w:left w:val="single" w:sz="4" w:space="0" w:color="000000"/>
              <w:bottom w:val="single" w:sz="4" w:space="0" w:color="000000"/>
            </w:tcBorders>
          </w:tcPr>
          <w:p>
            <w:pPr>
              <w:pStyle w:val="TableParagraph"/>
              <w:spacing w:before="58"/>
              <w:ind w:left="1139"/>
              <w:rPr>
                <w:sz w:val="21"/>
              </w:rPr>
            </w:pPr>
            <w:r>
              <w:rPr>
                <w:sz w:val="21"/>
              </w:rPr>
              <w:t>730,090,236.00</w:t>
            </w:r>
          </w:p>
        </w:tc>
      </w:tr>
      <w:tr>
        <w:trPr>
          <w:trHeight w:val="369" w:hRule="atLeast"/>
        </w:trPr>
        <w:tc>
          <w:tcPr>
            <w:tcW w:w="3560"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其他综合收益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before="58"/>
              <w:ind w:left="1067"/>
              <w:rPr>
                <w:sz w:val="21"/>
              </w:rPr>
            </w:pPr>
            <w:r>
              <w:rPr>
                <w:sz w:val="21"/>
              </w:rPr>
              <w:t>-621,068,708.04</w:t>
            </w:r>
          </w:p>
        </w:tc>
        <w:tc>
          <w:tcPr>
            <w:tcW w:w="2552" w:type="dxa"/>
            <w:tcBorders>
              <w:top w:val="single" w:sz="4" w:space="0" w:color="000000"/>
              <w:left w:val="single" w:sz="4" w:space="0" w:color="000000"/>
              <w:bottom w:val="single" w:sz="4" w:space="0" w:color="000000"/>
            </w:tcBorders>
          </w:tcPr>
          <w:p>
            <w:pPr>
              <w:pStyle w:val="TableParagraph"/>
              <w:spacing w:before="58"/>
              <w:ind w:left="1245"/>
              <w:rPr>
                <w:sz w:val="21"/>
              </w:rPr>
            </w:pPr>
            <w:r>
              <w:rPr>
                <w:sz w:val="21"/>
              </w:rPr>
              <w:t>89,711,280.60</w:t>
            </w:r>
          </w:p>
        </w:tc>
      </w:tr>
      <w:tr>
        <w:trPr>
          <w:trHeight w:val="369" w:hRule="atLeast"/>
        </w:trPr>
        <w:tc>
          <w:tcPr>
            <w:tcW w:w="3560"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综合收益总额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before="58"/>
              <w:ind w:left="1137"/>
              <w:rPr>
                <w:sz w:val="21"/>
              </w:rPr>
            </w:pPr>
            <w:r>
              <w:rPr>
                <w:sz w:val="21"/>
              </w:rPr>
              <w:t>557,011,543.25</w:t>
            </w:r>
          </w:p>
        </w:tc>
        <w:tc>
          <w:tcPr>
            <w:tcW w:w="2552" w:type="dxa"/>
            <w:tcBorders>
              <w:top w:val="single" w:sz="4" w:space="0" w:color="000000"/>
              <w:left w:val="single" w:sz="4" w:space="0" w:color="000000"/>
              <w:bottom w:val="single" w:sz="4" w:space="0" w:color="000000"/>
            </w:tcBorders>
          </w:tcPr>
          <w:p>
            <w:pPr>
              <w:pStyle w:val="TableParagraph"/>
              <w:spacing w:before="58"/>
              <w:ind w:left="1139"/>
              <w:rPr>
                <w:sz w:val="21"/>
              </w:rPr>
            </w:pPr>
            <w:r>
              <w:rPr>
                <w:sz w:val="21"/>
              </w:rPr>
              <w:t>819,801,516.60</w:t>
            </w:r>
          </w:p>
        </w:tc>
      </w:tr>
      <w:tr>
        <w:trPr>
          <w:trHeight w:val="366" w:hRule="atLeast"/>
        </w:trPr>
        <w:tc>
          <w:tcPr>
            <w:tcW w:w="3560" w:type="dxa"/>
            <w:tcBorders>
              <w:top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本年度收到的来自联营企业的股利</w:t>
            </w:r>
          </w:p>
        </w:tc>
        <w:tc>
          <w:tcPr>
            <w:tcW w:w="2552" w:type="dxa"/>
            <w:tcBorders>
              <w:top w:val="single" w:sz="4" w:space="0" w:color="000000"/>
              <w:left w:val="single" w:sz="4" w:space="0" w:color="000000"/>
              <w:right w:val="single" w:sz="4" w:space="0" w:color="000000"/>
            </w:tcBorders>
          </w:tcPr>
          <w:p>
            <w:pPr>
              <w:pStyle w:val="TableParagraph"/>
              <w:spacing w:before="58"/>
              <w:ind w:left="1243"/>
              <w:rPr>
                <w:sz w:val="21"/>
              </w:rPr>
            </w:pPr>
            <w:r>
              <w:rPr>
                <w:sz w:val="21"/>
              </w:rPr>
              <w:t>80,179,730.91</w:t>
            </w:r>
          </w:p>
        </w:tc>
        <w:tc>
          <w:tcPr>
            <w:tcW w:w="2552" w:type="dxa"/>
            <w:tcBorders>
              <w:top w:val="single" w:sz="4" w:space="0" w:color="000000"/>
              <w:left w:val="single" w:sz="4" w:space="0" w:color="000000"/>
            </w:tcBorders>
          </w:tcPr>
          <w:p>
            <w:pPr>
              <w:pStyle w:val="TableParagraph"/>
              <w:spacing w:before="58"/>
              <w:ind w:left="1245"/>
              <w:rPr>
                <w:sz w:val="21"/>
              </w:rPr>
            </w:pPr>
            <w:r>
              <w:rPr>
                <w:sz w:val="21"/>
              </w:rPr>
              <w:t>66,718,276.58</w:t>
            </w:r>
          </w:p>
        </w:tc>
      </w:tr>
    </w:tbl>
    <w:p>
      <w:pPr>
        <w:pStyle w:val="BodyText"/>
        <w:rPr>
          <w:sz w:val="20"/>
        </w:rPr>
      </w:pPr>
    </w:p>
    <w:p>
      <w:pPr>
        <w:pStyle w:val="ListParagraph"/>
        <w:numPr>
          <w:ilvl w:val="0"/>
          <w:numId w:val="69"/>
        </w:numPr>
        <w:tabs>
          <w:tab w:pos="2787" w:val="left" w:leader="none"/>
        </w:tabs>
        <w:spacing w:line="240" w:lineRule="auto" w:before="162" w:after="0"/>
        <w:ind w:left="2787" w:right="0" w:hanging="529"/>
        <w:jc w:val="left"/>
        <w:rPr>
          <w:sz w:val="21"/>
        </w:rPr>
      </w:pPr>
      <w:r>
        <w:rPr>
          <w:spacing w:val="-3"/>
          <w:sz w:val="21"/>
        </w:rPr>
        <w:t>不重要的联营企业的汇总财务信息</w:t>
      </w:r>
    </w:p>
    <w:p>
      <w:pPr>
        <w:pStyle w:val="BodyText"/>
        <w:spacing w:before="3"/>
        <w:rPr>
          <w:sz w:val="12"/>
        </w:rPr>
      </w:pPr>
    </w:p>
    <w:tbl>
      <w:tblPr>
        <w:tblW w:w="0" w:type="auto"/>
        <w:jc w:val="left"/>
        <w:tblInd w:w="161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614"/>
        <w:gridCol w:w="2129"/>
        <w:gridCol w:w="1962"/>
      </w:tblGrid>
      <w:tr>
        <w:trPr>
          <w:trHeight w:val="625" w:hRule="atLeast"/>
        </w:trPr>
        <w:tc>
          <w:tcPr>
            <w:tcW w:w="4614" w:type="dxa"/>
            <w:tcBorders>
              <w:bottom w:val="single" w:sz="4" w:space="0" w:color="000000"/>
              <w:right w:val="single" w:sz="4" w:space="0" w:color="000000"/>
            </w:tcBorders>
          </w:tcPr>
          <w:p>
            <w:pPr>
              <w:pStyle w:val="TableParagraph"/>
              <w:spacing w:before="89"/>
              <w:ind w:left="1550" w:right="1533"/>
              <w:jc w:val="center"/>
              <w:rPr>
                <w:rFonts w:ascii="Microsoft JhengHei" w:eastAsia="Microsoft JhengHei" w:hint="eastAsia"/>
                <w:b/>
                <w:sz w:val="21"/>
              </w:rPr>
            </w:pPr>
            <w:r>
              <w:rPr>
                <w:rFonts w:ascii="Microsoft JhengHei" w:eastAsia="Microsoft JhengHei" w:hint="eastAsia"/>
                <w:b/>
                <w:sz w:val="21"/>
              </w:rPr>
              <w:t>对联营企业投资</w:t>
            </w:r>
          </w:p>
        </w:tc>
        <w:tc>
          <w:tcPr>
            <w:tcW w:w="2129" w:type="dxa"/>
            <w:tcBorders>
              <w:left w:val="single" w:sz="4" w:space="0" w:color="000000"/>
              <w:bottom w:val="single" w:sz="4" w:space="0" w:color="000000"/>
              <w:right w:val="single" w:sz="4" w:space="0" w:color="000000"/>
            </w:tcBorders>
          </w:tcPr>
          <w:p>
            <w:pPr>
              <w:pStyle w:val="TableParagraph"/>
              <w:spacing w:line="282" w:lineRule="exact"/>
              <w:ind w:left="185" w:right="155"/>
              <w:jc w:val="center"/>
              <w:rPr>
                <w:rFonts w:ascii="Microsoft JhengHei" w:eastAsia="Microsoft JhengHei" w:hint="eastAsia"/>
                <w:b/>
                <w:sz w:val="21"/>
              </w:rPr>
            </w:pPr>
            <w:r>
              <w:rPr>
                <w:rFonts w:ascii="Microsoft JhengHei" w:eastAsia="Microsoft JhengHei" w:hint="eastAsia"/>
                <w:b/>
                <w:sz w:val="21"/>
              </w:rPr>
              <w:t>期末余额</w:t>
            </w:r>
            <w:r>
              <w:rPr>
                <w:b/>
                <w:sz w:val="21"/>
              </w:rPr>
              <w:t>/</w:t>
            </w:r>
            <w:r>
              <w:rPr>
                <w:rFonts w:ascii="Microsoft JhengHei" w:eastAsia="Microsoft JhengHei" w:hint="eastAsia"/>
                <w:b/>
                <w:sz w:val="21"/>
              </w:rPr>
              <w:t>本期发生</w:t>
            </w:r>
          </w:p>
          <w:p>
            <w:pPr>
              <w:pStyle w:val="TableParagraph"/>
              <w:spacing w:line="324" w:lineRule="exact"/>
              <w:ind w:left="25"/>
              <w:jc w:val="center"/>
              <w:rPr>
                <w:rFonts w:ascii="Microsoft JhengHei" w:eastAsia="Microsoft JhengHei" w:hint="eastAsia"/>
                <w:b/>
                <w:sz w:val="21"/>
              </w:rPr>
            </w:pPr>
            <w:r>
              <w:rPr>
                <w:rFonts w:ascii="Microsoft JhengHei" w:eastAsia="Microsoft JhengHei" w:hint="eastAsia"/>
                <w:b/>
                <w:w w:val="100"/>
                <w:sz w:val="21"/>
              </w:rPr>
              <w:t>额</w:t>
            </w:r>
          </w:p>
        </w:tc>
        <w:tc>
          <w:tcPr>
            <w:tcW w:w="1962" w:type="dxa"/>
            <w:tcBorders>
              <w:left w:val="single" w:sz="4" w:space="0" w:color="000000"/>
              <w:bottom w:val="single" w:sz="4" w:space="0" w:color="000000"/>
            </w:tcBorders>
          </w:tcPr>
          <w:p>
            <w:pPr>
              <w:pStyle w:val="TableParagraph"/>
              <w:spacing w:line="282" w:lineRule="exact"/>
              <w:ind w:left="101" w:right="62"/>
              <w:jc w:val="center"/>
              <w:rPr>
                <w:rFonts w:ascii="Microsoft JhengHei" w:eastAsia="Microsoft JhengHei" w:hint="eastAsia"/>
                <w:b/>
                <w:sz w:val="21"/>
              </w:rPr>
            </w:pPr>
            <w:r>
              <w:rPr>
                <w:rFonts w:ascii="Microsoft JhengHei" w:eastAsia="Microsoft JhengHei" w:hint="eastAsia"/>
                <w:b/>
                <w:sz w:val="21"/>
              </w:rPr>
              <w:t>期初余额</w:t>
            </w:r>
            <w:r>
              <w:rPr>
                <w:b/>
                <w:sz w:val="21"/>
              </w:rPr>
              <w:t>/</w:t>
            </w:r>
            <w:r>
              <w:rPr>
                <w:rFonts w:ascii="Microsoft JhengHei" w:eastAsia="Microsoft JhengHei" w:hint="eastAsia"/>
                <w:b/>
                <w:sz w:val="21"/>
              </w:rPr>
              <w:t>上期发生</w:t>
            </w:r>
          </w:p>
          <w:p>
            <w:pPr>
              <w:pStyle w:val="TableParagraph"/>
              <w:spacing w:line="324" w:lineRule="exact"/>
              <w:ind w:left="35"/>
              <w:jc w:val="center"/>
              <w:rPr>
                <w:rFonts w:ascii="Microsoft JhengHei" w:eastAsia="Microsoft JhengHei" w:hint="eastAsia"/>
                <w:b/>
                <w:sz w:val="21"/>
              </w:rPr>
            </w:pPr>
            <w:r>
              <w:rPr>
                <w:rFonts w:ascii="Microsoft JhengHei" w:eastAsia="Microsoft JhengHei" w:hint="eastAsia"/>
                <w:b/>
                <w:w w:val="100"/>
                <w:sz w:val="21"/>
              </w:rPr>
              <w:t>额</w:t>
            </w:r>
          </w:p>
        </w:tc>
      </w:tr>
      <w:tr>
        <w:trPr>
          <w:trHeight w:val="369" w:hRule="atLeast"/>
        </w:trPr>
        <w:tc>
          <w:tcPr>
            <w:tcW w:w="4614"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青岛银行股份有限公司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before="58"/>
              <w:ind w:right="86"/>
              <w:jc w:val="right"/>
              <w:rPr>
                <w:sz w:val="21"/>
              </w:rPr>
            </w:pPr>
            <w:r>
              <w:rPr>
                <w:sz w:val="21"/>
              </w:rPr>
              <w:t>2,463,096,567.92</w:t>
            </w:r>
          </w:p>
        </w:tc>
        <w:tc>
          <w:tcPr>
            <w:tcW w:w="1962" w:type="dxa"/>
            <w:tcBorders>
              <w:top w:val="single" w:sz="4" w:space="0" w:color="000000"/>
              <w:left w:val="single" w:sz="4" w:space="0" w:color="000000"/>
              <w:bottom w:val="single" w:sz="4" w:space="0" w:color="000000"/>
            </w:tcBorders>
          </w:tcPr>
          <w:p>
            <w:pPr>
              <w:pStyle w:val="TableParagraph"/>
              <w:spacing w:before="58"/>
              <w:ind w:right="77"/>
              <w:jc w:val="right"/>
              <w:rPr>
                <w:sz w:val="21"/>
              </w:rPr>
            </w:pPr>
            <w:r>
              <w:rPr>
                <w:sz w:val="21"/>
              </w:rPr>
              <w:t>2,586,957,693.97</w:t>
            </w:r>
          </w:p>
        </w:tc>
      </w:tr>
      <w:tr>
        <w:trPr>
          <w:trHeight w:val="484" w:hRule="atLeast"/>
        </w:trPr>
        <w:tc>
          <w:tcPr>
            <w:tcW w:w="4614" w:type="dxa"/>
            <w:tcBorders>
              <w:top w:val="single" w:sz="4" w:space="0" w:color="000000"/>
              <w:bottom w:val="single" w:sz="4" w:space="0" w:color="000000"/>
              <w:right w:val="single" w:sz="4" w:space="0" w:color="000000"/>
            </w:tcBorders>
          </w:tcPr>
          <w:p>
            <w:pPr>
              <w:pStyle w:val="TableParagraph"/>
              <w:spacing w:before="106"/>
              <w:ind w:left="107"/>
              <w:rPr>
                <w:rFonts w:ascii="宋体" w:eastAsia="宋体" w:hint="eastAsia"/>
                <w:sz w:val="21"/>
              </w:rPr>
            </w:pPr>
            <w:r>
              <w:rPr>
                <w:rFonts w:ascii="宋体" w:eastAsia="宋体" w:hint="eastAsia"/>
                <w:sz w:val="21"/>
              </w:rPr>
              <w:t>卧龙电气（济南）电机有限公司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before="115"/>
              <w:ind w:right="84"/>
              <w:jc w:val="right"/>
              <w:rPr>
                <w:sz w:val="21"/>
              </w:rPr>
            </w:pPr>
            <w:r>
              <w:rPr>
                <w:sz w:val="21"/>
              </w:rPr>
              <w:t>143,847,870.70</w:t>
            </w:r>
          </w:p>
        </w:tc>
        <w:tc>
          <w:tcPr>
            <w:tcW w:w="1962" w:type="dxa"/>
            <w:tcBorders>
              <w:top w:val="single" w:sz="4" w:space="0" w:color="000000"/>
              <w:left w:val="single" w:sz="4" w:space="0" w:color="000000"/>
              <w:bottom w:val="single" w:sz="4" w:space="0" w:color="000000"/>
            </w:tcBorders>
          </w:tcPr>
          <w:p>
            <w:pPr>
              <w:pStyle w:val="TableParagraph"/>
              <w:spacing w:before="5"/>
              <w:rPr>
                <w:rFonts w:ascii="宋体"/>
                <w:sz w:val="18"/>
              </w:rPr>
            </w:pPr>
          </w:p>
          <w:p>
            <w:pPr>
              <w:pStyle w:val="TableParagraph"/>
              <w:spacing w:line="229" w:lineRule="exact"/>
              <w:ind w:right="77"/>
              <w:jc w:val="right"/>
              <w:rPr>
                <w:sz w:val="21"/>
              </w:rPr>
            </w:pPr>
            <w:r>
              <w:rPr>
                <w:sz w:val="21"/>
              </w:rPr>
              <w:t>123,555,578.44</w:t>
            </w:r>
          </w:p>
        </w:tc>
      </w:tr>
      <w:tr>
        <w:trPr>
          <w:trHeight w:val="482" w:hRule="atLeast"/>
        </w:trPr>
        <w:tc>
          <w:tcPr>
            <w:tcW w:w="4614" w:type="dxa"/>
            <w:tcBorders>
              <w:top w:val="single" w:sz="4" w:space="0" w:color="000000"/>
              <w:bottom w:val="single" w:sz="4" w:space="0" w:color="000000"/>
              <w:right w:val="single" w:sz="4" w:space="0" w:color="000000"/>
            </w:tcBorders>
          </w:tcPr>
          <w:p>
            <w:pPr>
              <w:pStyle w:val="TableParagraph"/>
              <w:spacing w:before="106"/>
              <w:ind w:left="107"/>
              <w:rPr>
                <w:rFonts w:ascii="宋体" w:eastAsia="宋体" w:hint="eastAsia"/>
                <w:sz w:val="21"/>
              </w:rPr>
            </w:pPr>
            <w:r>
              <w:rPr>
                <w:rFonts w:ascii="宋体" w:eastAsia="宋体" w:hint="eastAsia"/>
                <w:sz w:val="21"/>
              </w:rPr>
              <w:t>青岛河钢新材料科技股份有限公司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before="113"/>
              <w:ind w:right="84"/>
              <w:jc w:val="right"/>
              <w:rPr>
                <w:sz w:val="21"/>
              </w:rPr>
            </w:pPr>
            <w:r>
              <w:rPr>
                <w:sz w:val="21"/>
              </w:rPr>
              <w:t>297,154,935.85</w:t>
            </w:r>
          </w:p>
        </w:tc>
        <w:tc>
          <w:tcPr>
            <w:tcW w:w="1962" w:type="dxa"/>
            <w:tcBorders>
              <w:top w:val="single" w:sz="4" w:space="0" w:color="000000"/>
              <w:left w:val="single" w:sz="4" w:space="0" w:color="000000"/>
              <w:bottom w:val="single" w:sz="4" w:space="0" w:color="000000"/>
            </w:tcBorders>
          </w:tcPr>
          <w:p>
            <w:pPr>
              <w:pStyle w:val="TableParagraph"/>
              <w:spacing w:before="2"/>
              <w:rPr>
                <w:rFonts w:ascii="宋体"/>
                <w:sz w:val="18"/>
              </w:rPr>
            </w:pPr>
          </w:p>
          <w:p>
            <w:pPr>
              <w:pStyle w:val="TableParagraph"/>
              <w:spacing w:line="229" w:lineRule="exact"/>
              <w:ind w:right="77"/>
              <w:jc w:val="right"/>
              <w:rPr>
                <w:sz w:val="21"/>
              </w:rPr>
            </w:pPr>
            <w:r>
              <w:rPr>
                <w:sz w:val="21"/>
              </w:rPr>
              <w:t>280,063,773.80</w:t>
            </w:r>
          </w:p>
        </w:tc>
      </w:tr>
      <w:tr>
        <w:trPr>
          <w:trHeight w:val="369" w:hRule="atLeast"/>
        </w:trPr>
        <w:tc>
          <w:tcPr>
            <w:tcW w:w="4614" w:type="dxa"/>
            <w:tcBorders>
              <w:top w:val="single" w:sz="4" w:space="0" w:color="000000"/>
              <w:bottom w:val="single" w:sz="4" w:space="0" w:color="000000"/>
              <w:right w:val="single" w:sz="4" w:space="0" w:color="000000"/>
            </w:tcBorders>
          </w:tcPr>
          <w:p>
            <w:pPr>
              <w:pStyle w:val="TableParagraph"/>
              <w:spacing w:before="49"/>
              <w:ind w:left="107"/>
              <w:rPr>
                <w:sz w:val="21"/>
              </w:rPr>
            </w:pPr>
            <w:r>
              <w:rPr>
                <w:rFonts w:ascii="宋体" w:eastAsia="宋体" w:hint="eastAsia"/>
                <w:sz w:val="21"/>
              </w:rPr>
              <w:t>青岛海尔赛富智慧家庭创业投资中心</w:t>
            </w:r>
            <w:r>
              <w:rPr>
                <w:sz w:val="21"/>
              </w:rPr>
              <w:t>(</w:t>
            </w:r>
            <w:r>
              <w:rPr>
                <w:rFonts w:ascii="宋体" w:eastAsia="宋体" w:hint="eastAsia"/>
                <w:sz w:val="21"/>
              </w:rPr>
              <w:t>有限合伙</w:t>
            </w:r>
            <w:r>
              <w:rPr>
                <w:sz w:val="21"/>
              </w:rPr>
              <w:t>)</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385,797,036.73</w:t>
            </w:r>
          </w:p>
        </w:tc>
        <w:tc>
          <w:tcPr>
            <w:tcW w:w="1962"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434,540,103.12</w:t>
            </w:r>
          </w:p>
        </w:tc>
      </w:tr>
      <w:tr>
        <w:trPr>
          <w:trHeight w:val="369" w:hRule="atLeast"/>
        </w:trPr>
        <w:tc>
          <w:tcPr>
            <w:tcW w:w="4614"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三菱重工海尔（青岛）空调机有限公司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654,581,961.84</w:t>
            </w:r>
          </w:p>
        </w:tc>
        <w:tc>
          <w:tcPr>
            <w:tcW w:w="1962"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643,056,436.86</w:t>
            </w:r>
          </w:p>
        </w:tc>
      </w:tr>
      <w:tr>
        <w:trPr>
          <w:trHeight w:val="369" w:hRule="atLeast"/>
        </w:trPr>
        <w:tc>
          <w:tcPr>
            <w:tcW w:w="4614"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青岛海尔开利冷冻设备有限公司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415,298,165.93</w:t>
            </w:r>
          </w:p>
        </w:tc>
        <w:tc>
          <w:tcPr>
            <w:tcW w:w="1962"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395,933,487.26</w:t>
            </w:r>
          </w:p>
        </w:tc>
      </w:tr>
      <w:tr>
        <w:trPr>
          <w:trHeight w:val="369" w:hRule="atLeast"/>
        </w:trPr>
        <w:tc>
          <w:tcPr>
            <w:tcW w:w="4614"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青岛海尔多媒体有限公司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328,987,205.07</w:t>
            </w:r>
          </w:p>
        </w:tc>
        <w:tc>
          <w:tcPr>
            <w:tcW w:w="1962"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432,386,801.26</w:t>
            </w:r>
          </w:p>
        </w:tc>
      </w:tr>
      <w:tr>
        <w:trPr>
          <w:trHeight w:val="369" w:hRule="atLeast"/>
        </w:trPr>
        <w:tc>
          <w:tcPr>
            <w:tcW w:w="4614"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青岛海尔软件投资有限公司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962" w:type="dxa"/>
            <w:tcBorders>
              <w:top w:val="single" w:sz="4" w:space="0" w:color="000000"/>
              <w:left w:val="single" w:sz="4" w:space="0" w:color="000000"/>
              <w:bottom w:val="single" w:sz="4" w:space="0" w:color="000000"/>
            </w:tcBorders>
          </w:tcPr>
          <w:p>
            <w:pPr>
              <w:pStyle w:val="TableParagraph"/>
              <w:spacing w:before="55"/>
              <w:ind w:right="75"/>
              <w:jc w:val="right"/>
              <w:rPr>
                <w:sz w:val="21"/>
              </w:rPr>
            </w:pPr>
            <w:r>
              <w:rPr>
                <w:sz w:val="21"/>
              </w:rPr>
              <w:t>19,636,136.75</w:t>
            </w:r>
          </w:p>
        </w:tc>
      </w:tr>
      <w:tr>
        <w:trPr>
          <w:trHeight w:val="369" w:hRule="atLeast"/>
        </w:trPr>
        <w:tc>
          <w:tcPr>
            <w:tcW w:w="4614"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合肥飞尔智能科技有限公司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before="55"/>
              <w:ind w:right="84"/>
              <w:jc w:val="right"/>
              <w:rPr>
                <w:sz w:val="21"/>
              </w:rPr>
            </w:pPr>
            <w:r>
              <w:rPr>
                <w:sz w:val="21"/>
              </w:rPr>
              <w:t>1,491,024.72</w:t>
            </w:r>
          </w:p>
        </w:tc>
        <w:tc>
          <w:tcPr>
            <w:tcW w:w="1962" w:type="dxa"/>
            <w:tcBorders>
              <w:top w:val="single" w:sz="4" w:space="0" w:color="000000"/>
              <w:left w:val="single" w:sz="4" w:space="0" w:color="000000"/>
              <w:bottom w:val="single" w:sz="4" w:space="0" w:color="000000"/>
            </w:tcBorders>
          </w:tcPr>
          <w:p>
            <w:pPr>
              <w:pStyle w:val="TableParagraph"/>
              <w:spacing w:before="55"/>
              <w:ind w:right="75"/>
              <w:jc w:val="right"/>
              <w:rPr>
                <w:sz w:val="21"/>
              </w:rPr>
            </w:pPr>
            <w:r>
              <w:rPr>
                <w:sz w:val="21"/>
              </w:rPr>
              <w:t>758,188.30</w:t>
            </w:r>
          </w:p>
        </w:tc>
      </w:tr>
      <w:tr>
        <w:trPr>
          <w:trHeight w:val="366" w:hRule="atLeast"/>
        </w:trPr>
        <w:tc>
          <w:tcPr>
            <w:tcW w:w="4614"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青岛新奥海智能源有限公司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962" w:type="dxa"/>
            <w:tcBorders>
              <w:top w:val="single" w:sz="4" w:space="0" w:color="000000"/>
              <w:left w:val="single" w:sz="4" w:space="0" w:color="000000"/>
              <w:bottom w:val="single" w:sz="4" w:space="0" w:color="000000"/>
            </w:tcBorders>
          </w:tcPr>
          <w:p>
            <w:pPr>
              <w:pStyle w:val="TableParagraph"/>
              <w:spacing w:before="55"/>
              <w:ind w:right="75"/>
              <w:jc w:val="right"/>
              <w:rPr>
                <w:sz w:val="21"/>
              </w:rPr>
            </w:pPr>
            <w:r>
              <w:rPr>
                <w:sz w:val="21"/>
              </w:rPr>
              <w:t>25,966,044.95</w:t>
            </w:r>
          </w:p>
        </w:tc>
      </w:tr>
      <w:tr>
        <w:trPr>
          <w:trHeight w:val="368" w:hRule="atLeast"/>
        </w:trPr>
        <w:tc>
          <w:tcPr>
            <w:tcW w:w="4614" w:type="dxa"/>
            <w:tcBorders>
              <w:top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青岛中再海纳环境服务有限公司</w:t>
            </w:r>
          </w:p>
        </w:tc>
        <w:tc>
          <w:tcPr>
            <w:tcW w:w="2129" w:type="dxa"/>
            <w:tcBorders>
              <w:top w:val="single" w:sz="4" w:space="0" w:color="000000"/>
              <w:left w:val="single" w:sz="4" w:space="0" w:color="000000"/>
              <w:right w:val="single" w:sz="4" w:space="0" w:color="000000"/>
            </w:tcBorders>
          </w:tcPr>
          <w:p>
            <w:pPr>
              <w:pStyle w:val="TableParagraph"/>
              <w:rPr>
                <w:sz w:val="20"/>
              </w:rPr>
            </w:pPr>
          </w:p>
        </w:tc>
        <w:tc>
          <w:tcPr>
            <w:tcW w:w="1962" w:type="dxa"/>
            <w:tcBorders>
              <w:top w:val="single" w:sz="4" w:space="0" w:color="000000"/>
              <w:left w:val="single" w:sz="4" w:space="0" w:color="000000"/>
            </w:tcBorders>
          </w:tcPr>
          <w:p>
            <w:pPr>
              <w:pStyle w:val="TableParagraph"/>
              <w:spacing w:before="58"/>
              <w:ind w:right="75"/>
              <w:jc w:val="right"/>
              <w:rPr>
                <w:sz w:val="21"/>
              </w:rPr>
            </w:pPr>
            <w:r>
              <w:rPr>
                <w:sz w:val="21"/>
              </w:rPr>
              <w:t>2,261,258.70</w:t>
            </w:r>
          </w:p>
        </w:tc>
      </w:tr>
    </w:tbl>
    <w:p>
      <w:pPr>
        <w:spacing w:after="0"/>
        <w:jc w:val="right"/>
        <w:rPr>
          <w:sz w:val="21"/>
        </w:rPr>
        <w:sectPr>
          <w:pgSz w:w="11910" w:h="16840"/>
          <w:pgMar w:header="876" w:footer="1184" w:top="1440" w:bottom="1400" w:left="260" w:right="0"/>
        </w:sectPr>
      </w:pPr>
    </w:p>
    <w:p>
      <w:pPr>
        <w:pStyle w:val="BodyText"/>
        <w:spacing w:before="2"/>
        <w:rPr>
          <w:sz w:val="5"/>
        </w:rPr>
      </w:pPr>
    </w:p>
    <w:tbl>
      <w:tblPr>
        <w:tblW w:w="0" w:type="auto"/>
        <w:jc w:val="left"/>
        <w:tblInd w:w="161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614"/>
        <w:gridCol w:w="2129"/>
        <w:gridCol w:w="1962"/>
      </w:tblGrid>
      <w:tr>
        <w:trPr>
          <w:trHeight w:val="371" w:hRule="atLeast"/>
        </w:trPr>
        <w:tc>
          <w:tcPr>
            <w:tcW w:w="4614" w:type="dxa"/>
            <w:tcBorders>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山东海必达大数据有限公司</w:t>
            </w:r>
          </w:p>
        </w:tc>
        <w:tc>
          <w:tcPr>
            <w:tcW w:w="2129" w:type="dxa"/>
            <w:tcBorders>
              <w:left w:val="single" w:sz="4" w:space="0" w:color="000000"/>
              <w:bottom w:val="single" w:sz="4" w:space="0" w:color="000000"/>
              <w:right w:val="single" w:sz="4" w:space="0" w:color="000000"/>
            </w:tcBorders>
          </w:tcPr>
          <w:p>
            <w:pPr>
              <w:pStyle w:val="TableParagraph"/>
              <w:rPr>
                <w:sz w:val="20"/>
              </w:rPr>
            </w:pPr>
          </w:p>
        </w:tc>
        <w:tc>
          <w:tcPr>
            <w:tcW w:w="1962" w:type="dxa"/>
            <w:tcBorders>
              <w:left w:val="single" w:sz="4" w:space="0" w:color="000000"/>
              <w:bottom w:val="single" w:sz="4" w:space="0" w:color="000000"/>
            </w:tcBorders>
          </w:tcPr>
          <w:p>
            <w:pPr>
              <w:pStyle w:val="TableParagraph"/>
              <w:spacing w:before="58"/>
              <w:ind w:right="75"/>
              <w:jc w:val="right"/>
              <w:rPr>
                <w:sz w:val="21"/>
              </w:rPr>
            </w:pPr>
            <w:r>
              <w:rPr>
                <w:sz w:val="21"/>
              </w:rPr>
              <w:t>5,332,640.10</w:t>
            </w:r>
          </w:p>
        </w:tc>
      </w:tr>
      <w:tr>
        <w:trPr>
          <w:trHeight w:val="369" w:hRule="atLeast"/>
        </w:trPr>
        <w:tc>
          <w:tcPr>
            <w:tcW w:w="4614"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北京海狸先生网络科技有限公司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before="55"/>
              <w:ind w:right="84"/>
              <w:jc w:val="right"/>
              <w:rPr>
                <w:sz w:val="21"/>
              </w:rPr>
            </w:pPr>
            <w:r>
              <w:rPr>
                <w:sz w:val="21"/>
              </w:rPr>
              <w:t>7,507,759.75</w:t>
            </w:r>
          </w:p>
        </w:tc>
        <w:tc>
          <w:tcPr>
            <w:tcW w:w="1962" w:type="dxa"/>
            <w:tcBorders>
              <w:top w:val="single" w:sz="4" w:space="0" w:color="000000"/>
              <w:left w:val="single" w:sz="4" w:space="0" w:color="000000"/>
              <w:bottom w:val="single" w:sz="4" w:space="0" w:color="000000"/>
            </w:tcBorders>
          </w:tcPr>
          <w:p>
            <w:pPr>
              <w:pStyle w:val="TableParagraph"/>
              <w:spacing w:before="55"/>
              <w:ind w:right="75"/>
              <w:jc w:val="right"/>
              <w:rPr>
                <w:sz w:val="21"/>
              </w:rPr>
            </w:pPr>
            <w:r>
              <w:rPr>
                <w:sz w:val="21"/>
              </w:rPr>
              <w:t>3,757,759.75</w:t>
            </w:r>
          </w:p>
        </w:tc>
      </w:tr>
      <w:tr>
        <w:trPr>
          <w:trHeight w:val="366" w:hRule="atLeast"/>
        </w:trPr>
        <w:tc>
          <w:tcPr>
            <w:tcW w:w="4614"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北京小焙科技有限公司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before="55"/>
              <w:ind w:right="84"/>
              <w:jc w:val="right"/>
              <w:rPr>
                <w:sz w:val="21"/>
              </w:rPr>
            </w:pPr>
            <w:r>
              <w:rPr>
                <w:sz w:val="21"/>
              </w:rPr>
              <w:t>2,687,341.82</w:t>
            </w:r>
          </w:p>
        </w:tc>
        <w:tc>
          <w:tcPr>
            <w:tcW w:w="1962" w:type="dxa"/>
            <w:tcBorders>
              <w:top w:val="single" w:sz="4" w:space="0" w:color="000000"/>
              <w:left w:val="single" w:sz="4" w:space="0" w:color="000000"/>
              <w:bottom w:val="single" w:sz="4" w:space="0" w:color="000000"/>
            </w:tcBorders>
          </w:tcPr>
          <w:p>
            <w:pPr>
              <w:pStyle w:val="TableParagraph"/>
              <w:spacing w:before="55"/>
              <w:ind w:right="75"/>
              <w:jc w:val="right"/>
              <w:rPr>
                <w:sz w:val="21"/>
              </w:rPr>
            </w:pPr>
            <w:r>
              <w:rPr>
                <w:sz w:val="21"/>
              </w:rPr>
              <w:t>2,687,341.82</w:t>
            </w:r>
          </w:p>
        </w:tc>
      </w:tr>
      <w:tr>
        <w:trPr>
          <w:trHeight w:val="369" w:hRule="atLeast"/>
        </w:trPr>
        <w:tc>
          <w:tcPr>
            <w:tcW w:w="4614"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北京一数科技有限公司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32,365,969.45</w:t>
            </w:r>
          </w:p>
        </w:tc>
        <w:tc>
          <w:tcPr>
            <w:tcW w:w="1962"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5,862,115.78</w:t>
            </w:r>
          </w:p>
        </w:tc>
      </w:tr>
      <w:tr>
        <w:trPr>
          <w:trHeight w:val="369" w:hRule="atLeast"/>
        </w:trPr>
        <w:tc>
          <w:tcPr>
            <w:tcW w:w="4614"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深圳根元环保科技有限公司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6,914,487.73</w:t>
            </w:r>
          </w:p>
        </w:tc>
        <w:tc>
          <w:tcPr>
            <w:tcW w:w="1962"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6,914,487.73</w:t>
            </w:r>
          </w:p>
        </w:tc>
      </w:tr>
      <w:tr>
        <w:trPr>
          <w:trHeight w:val="369" w:hRule="atLeast"/>
        </w:trPr>
        <w:tc>
          <w:tcPr>
            <w:tcW w:w="4614"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青岛海慕投资管理有限公司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2,349,240.51</w:t>
            </w:r>
          </w:p>
        </w:tc>
        <w:tc>
          <w:tcPr>
            <w:tcW w:w="1962"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2,198,276.46</w:t>
            </w:r>
          </w:p>
        </w:tc>
      </w:tr>
      <w:tr>
        <w:trPr>
          <w:trHeight w:val="369" w:hRule="atLeast"/>
        </w:trPr>
        <w:tc>
          <w:tcPr>
            <w:tcW w:w="4614" w:type="dxa"/>
            <w:tcBorders>
              <w:top w:val="single" w:sz="4" w:space="0" w:color="000000"/>
              <w:bottom w:val="single" w:sz="4" w:space="0" w:color="000000"/>
              <w:right w:val="single" w:sz="4" w:space="0" w:color="000000"/>
            </w:tcBorders>
          </w:tcPr>
          <w:p>
            <w:pPr>
              <w:pStyle w:val="TableParagraph"/>
              <w:spacing w:before="51"/>
              <w:ind w:left="107"/>
              <w:rPr>
                <w:sz w:val="21"/>
              </w:rPr>
            </w:pPr>
            <w:r>
              <w:rPr>
                <w:rFonts w:ascii="宋体" w:eastAsia="宋体" w:hint="eastAsia"/>
                <w:sz w:val="21"/>
              </w:rPr>
              <w:t>青岛海慕智家投资合伙企业</w:t>
            </w:r>
            <w:r>
              <w:rPr>
                <w:sz w:val="21"/>
              </w:rPr>
              <w:t>(</w:t>
            </w:r>
            <w:r>
              <w:rPr>
                <w:rFonts w:ascii="宋体" w:eastAsia="宋体" w:hint="eastAsia"/>
                <w:sz w:val="21"/>
              </w:rPr>
              <w:t>有限合伙</w:t>
            </w:r>
            <w:r>
              <w:rPr>
                <w:sz w:val="21"/>
              </w:rPr>
              <w:t>)</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47,870,696.66</w:t>
            </w:r>
          </w:p>
        </w:tc>
        <w:tc>
          <w:tcPr>
            <w:tcW w:w="1962"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48,046,197.64</w:t>
            </w:r>
          </w:p>
        </w:tc>
      </w:tr>
      <w:tr>
        <w:trPr>
          <w:trHeight w:val="369" w:hRule="atLeast"/>
        </w:trPr>
        <w:tc>
          <w:tcPr>
            <w:tcW w:w="4614"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广州合赢投资合伙企业（有限合伙）</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288,209,197.58</w:t>
            </w:r>
          </w:p>
        </w:tc>
        <w:tc>
          <w:tcPr>
            <w:tcW w:w="1962"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219,198,634.81</w:t>
            </w:r>
          </w:p>
        </w:tc>
      </w:tr>
      <w:tr>
        <w:trPr>
          <w:trHeight w:val="369" w:hRule="atLeast"/>
        </w:trPr>
        <w:tc>
          <w:tcPr>
            <w:tcW w:w="4614"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青岛家哇云网络科技有限公司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2,629,009.63</w:t>
            </w:r>
          </w:p>
        </w:tc>
        <w:tc>
          <w:tcPr>
            <w:tcW w:w="1962"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3,168,859.99</w:t>
            </w:r>
          </w:p>
        </w:tc>
      </w:tr>
      <w:tr>
        <w:trPr>
          <w:trHeight w:val="369" w:hRule="atLeast"/>
        </w:trPr>
        <w:tc>
          <w:tcPr>
            <w:tcW w:w="4614"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青岛日日顺服务有限公司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33,010,000.00</w:t>
            </w:r>
          </w:p>
        </w:tc>
        <w:tc>
          <w:tcPr>
            <w:tcW w:w="1962"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4614"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冰戟（上海）企业管理有限公司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928,444,178.47</w:t>
            </w:r>
          </w:p>
        </w:tc>
        <w:tc>
          <w:tcPr>
            <w:tcW w:w="1962"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894,539,765.00</w:t>
            </w:r>
          </w:p>
        </w:tc>
      </w:tr>
      <w:tr>
        <w:trPr>
          <w:trHeight w:val="369" w:hRule="atLeast"/>
        </w:trPr>
        <w:tc>
          <w:tcPr>
            <w:tcW w:w="4614"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优瑾（上海）企业管理有限公司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1,687,262,142.67</w:t>
            </w:r>
          </w:p>
        </w:tc>
        <w:tc>
          <w:tcPr>
            <w:tcW w:w="1962"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1,625,617,754.55</w:t>
            </w:r>
          </w:p>
        </w:tc>
      </w:tr>
      <w:tr>
        <w:trPr>
          <w:trHeight w:val="369" w:hRule="atLeast"/>
        </w:trPr>
        <w:tc>
          <w:tcPr>
            <w:tcW w:w="4614"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日日顺（上海）投资有限公司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before="55"/>
              <w:ind w:right="84"/>
              <w:jc w:val="right"/>
              <w:rPr>
                <w:sz w:val="21"/>
              </w:rPr>
            </w:pPr>
            <w:r>
              <w:rPr>
                <w:sz w:val="21"/>
              </w:rPr>
              <w:t>3,066,931,168.49</w:t>
            </w:r>
          </w:p>
        </w:tc>
        <w:tc>
          <w:tcPr>
            <w:tcW w:w="1962" w:type="dxa"/>
            <w:tcBorders>
              <w:top w:val="single" w:sz="4" w:space="0" w:color="000000"/>
              <w:left w:val="single" w:sz="4" w:space="0" w:color="000000"/>
              <w:bottom w:val="single" w:sz="4" w:space="0" w:color="000000"/>
            </w:tcBorders>
          </w:tcPr>
          <w:p>
            <w:pPr>
              <w:pStyle w:val="TableParagraph"/>
              <w:spacing w:before="55"/>
              <w:ind w:right="75"/>
              <w:jc w:val="right"/>
              <w:rPr>
                <w:sz w:val="21"/>
              </w:rPr>
            </w:pPr>
            <w:r>
              <w:rPr>
                <w:sz w:val="21"/>
              </w:rPr>
              <w:t>2,954,850,462.82</w:t>
            </w:r>
          </w:p>
        </w:tc>
      </w:tr>
      <w:tr>
        <w:trPr>
          <w:trHeight w:val="369" w:hRule="atLeast"/>
        </w:trPr>
        <w:tc>
          <w:tcPr>
            <w:tcW w:w="4614"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倍世海尔饮水科技有限公司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before="55"/>
              <w:ind w:right="84"/>
              <w:jc w:val="right"/>
              <w:rPr>
                <w:sz w:val="21"/>
              </w:rPr>
            </w:pPr>
            <w:r>
              <w:rPr>
                <w:sz w:val="21"/>
              </w:rPr>
              <w:t>33,455,159.59</w:t>
            </w:r>
          </w:p>
        </w:tc>
        <w:tc>
          <w:tcPr>
            <w:tcW w:w="1962" w:type="dxa"/>
            <w:tcBorders>
              <w:top w:val="single" w:sz="4" w:space="0" w:color="000000"/>
              <w:left w:val="single" w:sz="4" w:space="0" w:color="000000"/>
              <w:bottom w:val="single" w:sz="4" w:space="0" w:color="000000"/>
            </w:tcBorders>
          </w:tcPr>
          <w:p>
            <w:pPr>
              <w:pStyle w:val="TableParagraph"/>
              <w:spacing w:before="55"/>
              <w:ind w:right="75"/>
              <w:jc w:val="right"/>
              <w:rPr>
                <w:sz w:val="21"/>
              </w:rPr>
            </w:pPr>
            <w:r>
              <w:rPr>
                <w:sz w:val="21"/>
              </w:rPr>
              <w:t>21,725,345.26</w:t>
            </w:r>
          </w:p>
        </w:tc>
      </w:tr>
      <w:tr>
        <w:trPr>
          <w:trHeight w:val="544" w:hRule="atLeast"/>
        </w:trPr>
        <w:tc>
          <w:tcPr>
            <w:tcW w:w="4614" w:type="dxa"/>
            <w:tcBorders>
              <w:top w:val="single" w:sz="4" w:space="0" w:color="000000"/>
              <w:bottom w:val="single" w:sz="4" w:space="0" w:color="000000"/>
              <w:right w:val="single" w:sz="4" w:space="0" w:color="000000"/>
            </w:tcBorders>
          </w:tcPr>
          <w:p>
            <w:pPr>
              <w:pStyle w:val="TableParagraph"/>
              <w:spacing w:before="1"/>
              <w:ind w:left="107"/>
              <w:rPr>
                <w:rFonts w:ascii="宋体" w:eastAsia="宋体" w:hint="eastAsia"/>
                <w:sz w:val="21"/>
              </w:rPr>
            </w:pPr>
            <w:r>
              <w:rPr>
                <w:rFonts w:ascii="宋体" w:eastAsia="宋体" w:hint="eastAsia"/>
                <w:sz w:val="21"/>
              </w:rPr>
              <w:t>汇智翔顺股权投资基金（青岛）合伙企业（有限</w:t>
            </w:r>
          </w:p>
          <w:p>
            <w:pPr>
              <w:pStyle w:val="TableParagraph"/>
              <w:spacing w:line="252" w:lineRule="exact" w:before="2"/>
              <w:ind w:left="107"/>
              <w:rPr>
                <w:rFonts w:ascii="宋体" w:eastAsia="宋体" w:hint="eastAsia"/>
                <w:sz w:val="21"/>
              </w:rPr>
            </w:pPr>
            <w:r>
              <w:rPr>
                <w:rFonts w:ascii="宋体" w:eastAsia="宋体" w:hint="eastAsia"/>
                <w:sz w:val="21"/>
              </w:rPr>
              <w:t>合伙）</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before="144"/>
              <w:ind w:right="84"/>
              <w:jc w:val="right"/>
              <w:rPr>
                <w:sz w:val="21"/>
              </w:rPr>
            </w:pPr>
            <w:r>
              <w:rPr>
                <w:sz w:val="21"/>
              </w:rPr>
              <w:t>120,000,000.00</w:t>
            </w:r>
          </w:p>
        </w:tc>
        <w:tc>
          <w:tcPr>
            <w:tcW w:w="1962"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4614"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青岛日日顺汇智投资有限责任公司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before="55"/>
              <w:ind w:right="84"/>
              <w:jc w:val="right"/>
              <w:rPr>
                <w:sz w:val="21"/>
              </w:rPr>
            </w:pPr>
            <w:r>
              <w:rPr>
                <w:sz w:val="21"/>
              </w:rPr>
              <w:t>2,100,000.00</w:t>
            </w:r>
          </w:p>
        </w:tc>
        <w:tc>
          <w:tcPr>
            <w:tcW w:w="1962"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4614"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美菱卡迪洗衣机有限公司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before="55"/>
              <w:ind w:right="84"/>
              <w:jc w:val="right"/>
              <w:rPr>
                <w:sz w:val="21"/>
              </w:rPr>
            </w:pPr>
            <w:r>
              <w:rPr>
                <w:sz w:val="21"/>
              </w:rPr>
              <w:t>22,558,307.10</w:t>
            </w:r>
          </w:p>
        </w:tc>
        <w:tc>
          <w:tcPr>
            <w:tcW w:w="1962" w:type="dxa"/>
            <w:tcBorders>
              <w:top w:val="single" w:sz="4" w:space="0" w:color="000000"/>
              <w:left w:val="single" w:sz="4" w:space="0" w:color="000000"/>
              <w:bottom w:val="single" w:sz="4" w:space="0" w:color="000000"/>
            </w:tcBorders>
          </w:tcPr>
          <w:p>
            <w:pPr>
              <w:pStyle w:val="TableParagraph"/>
              <w:spacing w:before="55"/>
              <w:ind w:right="75"/>
              <w:jc w:val="right"/>
              <w:rPr>
                <w:sz w:val="21"/>
              </w:rPr>
            </w:pPr>
            <w:r>
              <w:rPr>
                <w:sz w:val="21"/>
              </w:rPr>
              <w:t>23,222,136.38</w:t>
            </w:r>
          </w:p>
        </w:tc>
      </w:tr>
      <w:tr>
        <w:trPr>
          <w:trHeight w:val="366" w:hRule="atLeast"/>
        </w:trPr>
        <w:tc>
          <w:tcPr>
            <w:tcW w:w="4614"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青岛海尔模具有限公司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before="55"/>
              <w:ind w:right="84"/>
              <w:jc w:val="right"/>
              <w:rPr>
                <w:sz w:val="21"/>
              </w:rPr>
            </w:pPr>
            <w:r>
              <w:rPr>
                <w:sz w:val="21"/>
              </w:rPr>
              <w:t>259,696,084.44</w:t>
            </w:r>
          </w:p>
        </w:tc>
        <w:tc>
          <w:tcPr>
            <w:tcW w:w="1962"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4614"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湖南电机株式会社</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77,561,552.87</w:t>
            </w:r>
          </w:p>
        </w:tc>
        <w:tc>
          <w:tcPr>
            <w:tcW w:w="1962"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71,196,748.97</w:t>
            </w:r>
          </w:p>
        </w:tc>
      </w:tr>
      <w:tr>
        <w:trPr>
          <w:trHeight w:val="369" w:hRule="atLeast"/>
        </w:trPr>
        <w:tc>
          <w:tcPr>
            <w:tcW w:w="4614"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sz w:val="21"/>
              </w:rPr>
              <w:t>HNR </w:t>
            </w:r>
            <w:r>
              <w:rPr>
                <w:rFonts w:ascii="宋体" w:eastAsia="宋体" w:hint="eastAsia"/>
                <w:sz w:val="21"/>
              </w:rPr>
              <w:t>私营有限公司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92,141,887.27</w:t>
            </w:r>
          </w:p>
        </w:tc>
        <w:tc>
          <w:tcPr>
            <w:tcW w:w="1962"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104,557,145.65</w:t>
            </w:r>
          </w:p>
        </w:tc>
      </w:tr>
      <w:tr>
        <w:trPr>
          <w:trHeight w:val="369" w:hRule="atLeast"/>
        </w:trPr>
        <w:tc>
          <w:tcPr>
            <w:tcW w:w="4614"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sz w:val="21"/>
              </w:rPr>
              <w:t>HPZ </w:t>
            </w:r>
            <w:r>
              <w:rPr>
                <w:rFonts w:ascii="宋体" w:eastAsia="宋体" w:hint="eastAsia"/>
                <w:sz w:val="21"/>
              </w:rPr>
              <w:t>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66,827,745.66</w:t>
            </w:r>
          </w:p>
        </w:tc>
        <w:tc>
          <w:tcPr>
            <w:tcW w:w="1962"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78,149,551.49</w:t>
            </w:r>
          </w:p>
        </w:tc>
      </w:tr>
      <w:tr>
        <w:trPr>
          <w:trHeight w:val="369" w:hRule="atLeast"/>
        </w:trPr>
        <w:tc>
          <w:tcPr>
            <w:tcW w:w="4614" w:type="dxa"/>
            <w:tcBorders>
              <w:top w:val="single" w:sz="4" w:space="0" w:color="000000"/>
              <w:bottom w:val="single" w:sz="4" w:space="0" w:color="000000"/>
              <w:right w:val="single" w:sz="4" w:space="0" w:color="000000"/>
            </w:tcBorders>
          </w:tcPr>
          <w:p>
            <w:pPr>
              <w:pStyle w:val="TableParagraph"/>
              <w:spacing w:before="58"/>
              <w:ind w:left="107"/>
              <w:rPr>
                <w:sz w:val="21"/>
              </w:rPr>
            </w:pPr>
            <w:r>
              <w:rPr>
                <w:sz w:val="21"/>
              </w:rPr>
              <w:t>Haier Raya Electric S.A.E</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10,741,234.10</w:t>
            </w:r>
          </w:p>
        </w:tc>
        <w:tc>
          <w:tcPr>
            <w:tcW w:w="1962"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4614" w:type="dxa"/>
            <w:tcBorders>
              <w:top w:val="single" w:sz="4" w:space="0" w:color="000000"/>
              <w:bottom w:val="single" w:sz="4" w:space="0" w:color="000000"/>
              <w:right w:val="single" w:sz="4" w:space="0" w:color="000000"/>
            </w:tcBorders>
          </w:tcPr>
          <w:p>
            <w:pPr>
              <w:pStyle w:val="TableParagraph"/>
              <w:spacing w:before="58"/>
              <w:ind w:left="107"/>
              <w:rPr>
                <w:sz w:val="21"/>
              </w:rPr>
            </w:pPr>
            <w:r>
              <w:rPr>
                <w:sz w:val="21"/>
              </w:rPr>
              <w:t>MiddleEast Air conditioning Company,Limited</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19,002,595.66</w:t>
            </w:r>
          </w:p>
        </w:tc>
        <w:tc>
          <w:tcPr>
            <w:tcW w:w="1962"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19,002,595.66</w:t>
            </w:r>
          </w:p>
        </w:tc>
      </w:tr>
      <w:tr>
        <w:trPr>
          <w:trHeight w:val="369" w:hRule="atLeast"/>
        </w:trPr>
        <w:tc>
          <w:tcPr>
            <w:tcW w:w="4614" w:type="dxa"/>
            <w:tcBorders>
              <w:top w:val="single" w:sz="4" w:space="0" w:color="000000"/>
              <w:bottom w:val="single" w:sz="4" w:space="0" w:color="000000"/>
              <w:right w:val="single" w:sz="4" w:space="0" w:color="000000"/>
            </w:tcBorders>
          </w:tcPr>
          <w:p>
            <w:pPr>
              <w:pStyle w:val="TableParagraph"/>
              <w:spacing w:before="49"/>
              <w:ind w:left="1465"/>
              <w:rPr>
                <w:rFonts w:ascii="宋体" w:eastAsia="宋体" w:hint="eastAsia"/>
                <w:sz w:val="21"/>
              </w:rPr>
            </w:pPr>
            <w:r>
              <w:rPr>
                <w:rFonts w:ascii="宋体" w:eastAsia="宋体" w:hint="eastAsia"/>
                <w:sz w:val="21"/>
              </w:rPr>
              <w:t>投资账面价值合计</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11,500,520,528.21</w:t>
            </w:r>
          </w:p>
        </w:tc>
        <w:tc>
          <w:tcPr>
            <w:tcW w:w="1962"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11,035,143,323.27</w:t>
            </w:r>
          </w:p>
        </w:tc>
      </w:tr>
      <w:tr>
        <w:trPr>
          <w:trHeight w:val="544" w:hRule="atLeast"/>
        </w:trPr>
        <w:tc>
          <w:tcPr>
            <w:tcW w:w="4614" w:type="dxa"/>
            <w:tcBorders>
              <w:top w:val="single" w:sz="4" w:space="0" w:color="000000"/>
              <w:bottom w:val="single" w:sz="4" w:space="0" w:color="000000"/>
              <w:right w:val="single" w:sz="4" w:space="0" w:color="000000"/>
            </w:tcBorders>
          </w:tcPr>
          <w:p>
            <w:pPr>
              <w:pStyle w:val="TableParagraph"/>
              <w:spacing w:before="1"/>
              <w:ind w:left="107"/>
              <w:rPr>
                <w:rFonts w:ascii="宋体" w:eastAsia="宋体" w:hint="eastAsia"/>
                <w:sz w:val="21"/>
              </w:rPr>
            </w:pPr>
            <w:r>
              <w:rPr>
                <w:rFonts w:ascii="宋体" w:eastAsia="宋体" w:hint="eastAsia"/>
                <w:sz w:val="21"/>
              </w:rPr>
              <w:t>下列各项联营企业财务数据按持股比例计算的</w:t>
            </w:r>
          </w:p>
          <w:p>
            <w:pPr>
              <w:pStyle w:val="TableParagraph"/>
              <w:spacing w:line="250" w:lineRule="exact" w:before="4"/>
              <w:ind w:left="107"/>
              <w:rPr>
                <w:rFonts w:ascii="宋体" w:eastAsia="宋体" w:hint="eastAsia"/>
                <w:sz w:val="21"/>
              </w:rPr>
            </w:pPr>
            <w:r>
              <w:rPr>
                <w:rFonts w:ascii="宋体" w:eastAsia="宋体" w:hint="eastAsia"/>
                <w:sz w:val="21"/>
              </w:rPr>
              <w:t>合计数</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962"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4614"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sz w:val="21"/>
              </w:rPr>
              <w:t>--</w:t>
            </w:r>
            <w:r>
              <w:rPr>
                <w:rFonts w:ascii="宋体" w:eastAsia="宋体" w:hint="eastAsia"/>
                <w:sz w:val="21"/>
              </w:rPr>
              <w:t>净利润</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414,201,314.50</w:t>
            </w:r>
          </w:p>
        </w:tc>
        <w:tc>
          <w:tcPr>
            <w:tcW w:w="1962"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333,505,373.87</w:t>
            </w:r>
          </w:p>
        </w:tc>
      </w:tr>
      <w:tr>
        <w:trPr>
          <w:trHeight w:val="369" w:hRule="atLeast"/>
        </w:trPr>
        <w:tc>
          <w:tcPr>
            <w:tcW w:w="4614"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sz w:val="21"/>
              </w:rPr>
              <w:t>--</w:t>
            </w:r>
            <w:r>
              <w:rPr>
                <w:rFonts w:ascii="宋体" w:eastAsia="宋体" w:hint="eastAsia"/>
                <w:sz w:val="21"/>
              </w:rPr>
              <w:t>其他综合收益</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-13,968,841.53</w:t>
            </w:r>
          </w:p>
        </w:tc>
        <w:tc>
          <w:tcPr>
            <w:tcW w:w="1962"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62,556,871.90</w:t>
            </w:r>
          </w:p>
        </w:tc>
      </w:tr>
      <w:tr>
        <w:trPr>
          <w:trHeight w:val="366" w:hRule="atLeast"/>
        </w:trPr>
        <w:tc>
          <w:tcPr>
            <w:tcW w:w="4614" w:type="dxa"/>
            <w:tcBorders>
              <w:top w:val="single" w:sz="4" w:space="0" w:color="000000"/>
              <w:right w:val="single" w:sz="4" w:space="0" w:color="000000"/>
            </w:tcBorders>
          </w:tcPr>
          <w:p>
            <w:pPr>
              <w:pStyle w:val="TableParagraph"/>
              <w:spacing w:before="49"/>
              <w:ind w:left="107"/>
              <w:rPr>
                <w:rFonts w:ascii="宋体" w:eastAsia="宋体" w:hint="eastAsia"/>
                <w:sz w:val="21"/>
              </w:rPr>
            </w:pPr>
            <w:r>
              <w:rPr>
                <w:sz w:val="21"/>
              </w:rPr>
              <w:t>--</w:t>
            </w:r>
            <w:r>
              <w:rPr>
                <w:rFonts w:ascii="宋体" w:eastAsia="宋体" w:hint="eastAsia"/>
                <w:sz w:val="21"/>
              </w:rPr>
              <w:t>综合收益总额</w:t>
            </w:r>
          </w:p>
        </w:tc>
        <w:tc>
          <w:tcPr>
            <w:tcW w:w="2129" w:type="dxa"/>
            <w:tcBorders>
              <w:top w:val="single" w:sz="4" w:space="0" w:color="000000"/>
              <w:left w:val="single" w:sz="4" w:space="0" w:color="000000"/>
              <w:right w:val="single" w:sz="4" w:space="0" w:color="000000"/>
            </w:tcBorders>
          </w:tcPr>
          <w:p>
            <w:pPr>
              <w:pStyle w:val="TableParagraph"/>
              <w:spacing w:before="58"/>
              <w:ind w:right="84"/>
              <w:jc w:val="right"/>
              <w:rPr>
                <w:sz w:val="21"/>
              </w:rPr>
            </w:pPr>
            <w:r>
              <w:rPr>
                <w:sz w:val="21"/>
              </w:rPr>
              <w:t>400,232,472.97</w:t>
            </w:r>
          </w:p>
        </w:tc>
        <w:tc>
          <w:tcPr>
            <w:tcW w:w="1962" w:type="dxa"/>
            <w:tcBorders>
              <w:top w:val="single" w:sz="4" w:space="0" w:color="000000"/>
              <w:left w:val="single" w:sz="4" w:space="0" w:color="000000"/>
            </w:tcBorders>
          </w:tcPr>
          <w:p>
            <w:pPr>
              <w:pStyle w:val="TableParagraph"/>
              <w:spacing w:before="58"/>
              <w:ind w:right="75"/>
              <w:jc w:val="right"/>
              <w:rPr>
                <w:sz w:val="21"/>
              </w:rPr>
            </w:pPr>
            <w:r>
              <w:rPr>
                <w:sz w:val="21"/>
              </w:rPr>
              <w:t>396,062,245.77</w:t>
            </w:r>
          </w:p>
        </w:tc>
      </w:tr>
    </w:tbl>
    <w:p>
      <w:pPr>
        <w:pStyle w:val="BodyText"/>
        <w:spacing w:line="267" w:lineRule="exact" w:before="4"/>
        <w:ind w:left="1538"/>
      </w:pPr>
      <w:r>
        <w:rPr>
          <w:w w:val="100"/>
        </w:rPr>
        <w:t> </w:t>
      </w:r>
    </w:p>
    <w:p>
      <w:pPr>
        <w:pStyle w:val="Heading4"/>
        <w:spacing w:line="384" w:lineRule="exact"/>
      </w:pPr>
      <w:r>
        <w:rPr/>
        <w:t>十、 分部信息</w:t>
      </w:r>
    </w:p>
    <w:p>
      <w:pPr>
        <w:pStyle w:val="BodyText"/>
        <w:spacing w:before="15"/>
        <w:ind w:left="1538"/>
        <w:jc w:val="both"/>
      </w:pPr>
      <w:r>
        <w:rPr/>
        <w:t>√适用 □不适用</w:t>
      </w:r>
    </w:p>
    <w:p>
      <w:pPr>
        <w:pStyle w:val="BodyText"/>
        <w:spacing w:line="480" w:lineRule="exact" w:before="3"/>
        <w:ind w:left="1538" w:right="1267" w:firstLine="419"/>
        <w:jc w:val="both"/>
      </w:pPr>
      <w:r>
        <w:rPr>
          <w:spacing w:val="-3"/>
        </w:rPr>
        <w:t>本公司主要经营家用电器生产、销售与服务业务，家电上游配件制造业务，及第三方产品分</w:t>
      </w:r>
      <w:r>
        <w:rPr>
          <w:spacing w:val="-6"/>
        </w:rPr>
        <w:t>销及售后业务。本公司共包括 </w:t>
      </w:r>
      <w:r>
        <w:rPr>
          <w:rFonts w:ascii="Times New Roman" w:eastAsia="Times New Roman"/>
        </w:rPr>
        <w:t>3 </w:t>
      </w:r>
      <w:r>
        <w:rPr>
          <w:spacing w:val="-3"/>
        </w:rPr>
        <w:t>个业务分部：（</w:t>
      </w:r>
      <w:r>
        <w:rPr>
          <w:rFonts w:ascii="Times New Roman" w:eastAsia="Times New Roman"/>
          <w:spacing w:val="-3"/>
        </w:rPr>
        <w:t>1</w:t>
      </w:r>
      <w:r>
        <w:rPr>
          <w:spacing w:val="-3"/>
        </w:rPr>
        <w:t>）中国智慧家庭业务分部</w:t>
      </w:r>
      <w:r>
        <w:rPr/>
        <w:t>（</w:t>
      </w:r>
      <w:r>
        <w:rPr>
          <w:rFonts w:ascii="Times New Roman" w:eastAsia="Times New Roman"/>
        </w:rPr>
        <w:t>2</w:t>
      </w:r>
      <w:r>
        <w:rPr/>
        <w:t>）</w:t>
      </w:r>
      <w:r>
        <w:rPr>
          <w:spacing w:val="-3"/>
        </w:rPr>
        <w:t>海外家电与智慧</w:t>
      </w:r>
      <w:r>
        <w:rPr>
          <w:spacing w:val="-3"/>
          <w:w w:val="100"/>
        </w:rPr>
        <w:t>家庭业务分部</w:t>
      </w:r>
      <w:r>
        <w:rPr>
          <w:spacing w:val="-152"/>
          <w:w w:val="100"/>
        </w:rPr>
        <w:t>；</w:t>
      </w:r>
      <w:r>
        <w:rPr>
          <w:spacing w:val="-1"/>
          <w:w w:val="100"/>
        </w:rPr>
        <w:t>（</w:t>
      </w:r>
      <w:r>
        <w:rPr>
          <w:rFonts w:ascii="Times New Roman" w:eastAsia="Times New Roman"/>
          <w:spacing w:val="-3"/>
          <w:w w:val="100"/>
        </w:rPr>
        <w:t>3</w:t>
      </w:r>
      <w:r>
        <w:rPr>
          <w:spacing w:val="-77"/>
          <w:w w:val="100"/>
        </w:rPr>
        <w:t>）</w:t>
      </w:r>
      <w:r>
        <w:rPr>
          <w:spacing w:val="-11"/>
          <w:w w:val="100"/>
        </w:rPr>
        <w:t>其他业务分部。公司管理层按照该划分评价各分部经营业绩并分配公司资源。</w:t>
      </w:r>
      <w:r>
        <w:rPr>
          <w:spacing w:val="-6"/>
        </w:rPr>
        <w:t>各业务分部之间的销售主要按市场价格进行。</w:t>
      </w:r>
    </w:p>
    <w:p>
      <w:pPr>
        <w:spacing w:after="0" w:line="480" w:lineRule="exact"/>
        <w:jc w:val="both"/>
        <w:sectPr>
          <w:headerReference w:type="default" r:id="rId121"/>
          <w:footerReference w:type="default" r:id="rId122"/>
          <w:pgSz w:w="11910" w:h="16840"/>
          <w:pgMar w:header="876" w:footer="1214" w:top="1440" w:bottom="1400" w:left="260" w:right="0"/>
        </w:sectPr>
      </w:pPr>
    </w:p>
    <w:p>
      <w:pPr>
        <w:pStyle w:val="BodyText"/>
        <w:spacing w:before="9"/>
        <w:rPr>
          <w:sz w:val="12"/>
        </w:rPr>
      </w:pPr>
    </w:p>
    <w:p>
      <w:pPr>
        <w:pStyle w:val="ListParagraph"/>
        <w:numPr>
          <w:ilvl w:val="0"/>
          <w:numId w:val="71"/>
        </w:numPr>
        <w:tabs>
          <w:tab w:pos="2487" w:val="left" w:leader="none"/>
        </w:tabs>
        <w:spacing w:line="240" w:lineRule="auto" w:before="78" w:after="0"/>
        <w:ind w:left="2487" w:right="0" w:hanging="529"/>
        <w:jc w:val="left"/>
        <w:rPr>
          <w:sz w:val="21"/>
        </w:rPr>
      </w:pPr>
      <w:r>
        <w:rPr>
          <w:spacing w:val="-3"/>
          <w:sz w:val="21"/>
        </w:rPr>
        <w:t>中国智慧家庭业务分部，包括：</w:t>
      </w:r>
    </w:p>
    <w:p>
      <w:pPr>
        <w:pStyle w:val="BodyText"/>
        <w:spacing w:before="6"/>
        <w:rPr>
          <w:sz w:val="16"/>
        </w:rPr>
      </w:pPr>
    </w:p>
    <w:p>
      <w:pPr>
        <w:pStyle w:val="BodyText"/>
        <w:tabs>
          <w:tab w:pos="2377" w:val="left" w:leader="none"/>
        </w:tabs>
        <w:ind w:left="1895"/>
      </w:pPr>
      <w:r>
        <w:rPr/>
        <w:t>①</w:t>
        <w:tab/>
      </w:r>
      <w:r>
        <w:rPr>
          <w:spacing w:val="-3"/>
        </w:rPr>
        <w:t>食联网解决方案：主要为冰箱</w:t>
      </w:r>
      <w:r>
        <w:rPr>
          <w:rFonts w:ascii="Times New Roman" w:hAnsi="Times New Roman" w:eastAsia="Times New Roman"/>
        </w:rPr>
        <w:t>/</w:t>
      </w:r>
      <w:r>
        <w:rPr>
          <w:spacing w:val="-3"/>
        </w:rPr>
        <w:t>冷柜、厨电产品的生产与销售。</w:t>
      </w:r>
    </w:p>
    <w:p>
      <w:pPr>
        <w:pStyle w:val="BodyText"/>
        <w:spacing w:before="6"/>
        <w:rPr>
          <w:sz w:val="16"/>
        </w:rPr>
      </w:pPr>
    </w:p>
    <w:p>
      <w:pPr>
        <w:pStyle w:val="BodyText"/>
        <w:tabs>
          <w:tab w:pos="2377" w:val="left" w:leader="none"/>
        </w:tabs>
        <w:ind w:left="1895"/>
      </w:pPr>
      <w:r>
        <w:rPr/>
        <w:t>②</w:t>
        <w:tab/>
      </w:r>
      <w:r>
        <w:rPr>
          <w:spacing w:val="-3"/>
        </w:rPr>
        <w:t>衣联网解决方案：主要为洗衣机产品的生产与销售。</w:t>
      </w:r>
    </w:p>
    <w:p>
      <w:pPr>
        <w:pStyle w:val="BodyText"/>
        <w:spacing w:before="6"/>
        <w:rPr>
          <w:sz w:val="16"/>
        </w:rPr>
      </w:pPr>
    </w:p>
    <w:p>
      <w:pPr>
        <w:pStyle w:val="BodyText"/>
        <w:tabs>
          <w:tab w:pos="2377" w:val="left" w:leader="none"/>
        </w:tabs>
        <w:ind w:left="1895"/>
      </w:pPr>
      <w:r>
        <w:rPr/>
        <w:t>③</w:t>
        <w:tab/>
      </w:r>
      <w:r>
        <w:rPr>
          <w:spacing w:val="-3"/>
        </w:rPr>
        <w:t>空气能源解决方案：主要为空调产品的生产与销售。</w:t>
      </w:r>
    </w:p>
    <w:p>
      <w:pPr>
        <w:pStyle w:val="BodyText"/>
        <w:spacing w:before="6"/>
        <w:rPr>
          <w:sz w:val="16"/>
        </w:rPr>
      </w:pPr>
    </w:p>
    <w:p>
      <w:pPr>
        <w:pStyle w:val="BodyText"/>
        <w:tabs>
          <w:tab w:pos="2377" w:val="left" w:leader="none"/>
        </w:tabs>
        <w:ind w:left="1895"/>
      </w:pPr>
      <w:r>
        <w:rPr/>
        <w:t>④</w:t>
        <w:tab/>
      </w:r>
      <w:r>
        <w:rPr>
          <w:spacing w:val="-3"/>
        </w:rPr>
        <w:t>全屋用水解决方案：主要为热水器及净水产品等水家电的生产与销售。</w:t>
      </w:r>
    </w:p>
    <w:p>
      <w:pPr>
        <w:pStyle w:val="BodyText"/>
        <w:spacing w:before="6"/>
        <w:rPr>
          <w:sz w:val="16"/>
        </w:rPr>
      </w:pPr>
    </w:p>
    <w:p>
      <w:pPr>
        <w:pStyle w:val="ListParagraph"/>
        <w:numPr>
          <w:ilvl w:val="0"/>
          <w:numId w:val="71"/>
        </w:numPr>
        <w:tabs>
          <w:tab w:pos="2425" w:val="left" w:leader="none"/>
        </w:tabs>
        <w:spacing w:line="240" w:lineRule="auto" w:before="0" w:after="0"/>
        <w:ind w:left="2424" w:right="0" w:hanging="530"/>
        <w:jc w:val="left"/>
        <w:rPr>
          <w:sz w:val="21"/>
        </w:rPr>
      </w:pPr>
      <w:r>
        <w:rPr>
          <w:spacing w:val="-6"/>
          <w:sz w:val="21"/>
        </w:rPr>
        <w:t>海外家电与智慧家庭业务分部，主要包括 </w:t>
      </w:r>
      <w:r>
        <w:rPr>
          <w:rFonts w:ascii="Times New Roman" w:eastAsia="Times New Roman"/>
          <w:spacing w:val="-2"/>
          <w:sz w:val="21"/>
        </w:rPr>
        <w:t>GEA</w:t>
      </w:r>
      <w:r>
        <w:rPr>
          <w:sz w:val="21"/>
        </w:rPr>
        <w:t>、</w:t>
      </w:r>
      <w:r>
        <w:rPr>
          <w:rFonts w:ascii="Times New Roman" w:eastAsia="Times New Roman"/>
          <w:sz w:val="21"/>
        </w:rPr>
        <w:t>FPA</w:t>
      </w:r>
      <w:r>
        <w:rPr>
          <w:spacing w:val="-3"/>
          <w:sz w:val="21"/>
        </w:rPr>
        <w:t>、</w:t>
      </w:r>
      <w:r>
        <w:rPr>
          <w:rFonts w:ascii="Times New Roman" w:eastAsia="Times New Roman"/>
          <w:sz w:val="21"/>
        </w:rPr>
        <w:t>Candy</w:t>
      </w:r>
      <w:r>
        <w:rPr>
          <w:rFonts w:ascii="Times New Roman" w:eastAsia="Times New Roman"/>
          <w:spacing w:val="-4"/>
          <w:sz w:val="21"/>
        </w:rPr>
        <w:t> </w:t>
      </w:r>
      <w:r>
        <w:rPr>
          <w:spacing w:val="-2"/>
          <w:sz w:val="21"/>
        </w:rPr>
        <w:t>等海外业务板块。</w:t>
      </w:r>
    </w:p>
    <w:p>
      <w:pPr>
        <w:pStyle w:val="BodyText"/>
        <w:spacing w:before="6"/>
        <w:rPr>
          <w:sz w:val="16"/>
        </w:rPr>
      </w:pPr>
    </w:p>
    <w:p>
      <w:pPr>
        <w:pStyle w:val="ListParagraph"/>
        <w:numPr>
          <w:ilvl w:val="0"/>
          <w:numId w:val="71"/>
        </w:numPr>
        <w:tabs>
          <w:tab w:pos="2425" w:val="left" w:leader="none"/>
        </w:tabs>
        <w:spacing w:line="240" w:lineRule="auto" w:before="0" w:after="0"/>
        <w:ind w:left="2424" w:right="0" w:hanging="530"/>
        <w:jc w:val="left"/>
        <w:rPr>
          <w:sz w:val="21"/>
        </w:rPr>
      </w:pPr>
      <w:r>
        <w:rPr>
          <w:spacing w:val="-3"/>
          <w:sz w:val="21"/>
        </w:rPr>
        <w:t>其他业务分部：主要包括渠道、装备部品、生活小家电业务及其他。</w:t>
      </w:r>
    </w:p>
    <w:p>
      <w:pPr>
        <w:pStyle w:val="BodyText"/>
        <w:spacing w:before="6"/>
        <w:rPr>
          <w:sz w:val="16"/>
        </w:rPr>
      </w:pPr>
    </w:p>
    <w:p>
      <w:pPr>
        <w:pStyle w:val="BodyText"/>
        <w:spacing w:line="427" w:lineRule="auto"/>
        <w:ind w:left="1538" w:right="1273" w:firstLine="424"/>
        <w:jc w:val="both"/>
      </w:pPr>
      <w:r>
        <w:rPr/>
        <w:t>由于总部统一管理或不纳入分部管理的考核范围，分部资产总额不包含：货币资金、交易性金融资产、衍生金融资产、应收股利、持有待售资产、其他流动资产、其他权益工具投资、长期应收款、长期股权投资、商誉、递延所得税资产；分部负债总额不包含：长、短期借款、交易性金融负债、衍生金融负债、应付股利、应交税费、持有待售负债、应付债券、递延所得税负债、其他非流动负债；分部利润不包含：财务费用、公允价值变动损益、投资收益、资产处置收益、其他收益中非即征即退增值税的部分、营业外收支及所得税费用。</w:t>
      </w:r>
    </w:p>
    <w:p>
      <w:pPr>
        <w:pStyle w:val="BodyText"/>
        <w:spacing w:before="10"/>
        <w:rPr>
          <w:sz w:val="28"/>
        </w:rPr>
      </w:pPr>
    </w:p>
    <w:p>
      <w:pPr>
        <w:pStyle w:val="ListParagraph"/>
        <w:numPr>
          <w:ilvl w:val="0"/>
          <w:numId w:val="72"/>
        </w:numPr>
        <w:tabs>
          <w:tab w:pos="2173" w:val="left" w:leader="none"/>
        </w:tabs>
        <w:spacing w:line="535" w:lineRule="auto" w:before="1" w:after="0"/>
        <w:ind w:left="1643" w:right="8003" w:firstLine="0"/>
        <w:jc w:val="left"/>
        <w:rPr>
          <w:sz w:val="21"/>
        </w:rPr>
      </w:pPr>
      <w:r>
        <w:rPr/>
        <w:pict>
          <v:shape style="position:absolute;margin-left:83.783997pt;margin-top:45.370007pt;width:443.25pt;height:196.85pt;mso-position-horizontal-relative:page;mso-position-vertical-relative:paragraph;z-index:251671552"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33"/>
                    <w:gridCol w:w="1417"/>
                    <w:gridCol w:w="1414"/>
                    <w:gridCol w:w="1417"/>
                    <w:gridCol w:w="1417"/>
                    <w:gridCol w:w="1727"/>
                  </w:tblGrid>
                  <w:tr>
                    <w:trPr>
                      <w:trHeight w:val="368" w:hRule="atLeast"/>
                    </w:trPr>
                    <w:tc>
                      <w:tcPr>
                        <w:tcW w:w="1433" w:type="dxa"/>
                        <w:vMerge w:val="restart"/>
                        <w:tcBorders>
                          <w:bottom w:val="single" w:sz="4" w:space="0" w:color="000000"/>
                          <w:right w:val="single" w:sz="4" w:space="0" w:color="000000"/>
                        </w:tcBorders>
                      </w:tcPr>
                      <w:p>
                        <w:pPr>
                          <w:pStyle w:val="TableParagraph"/>
                          <w:rPr>
                            <w:rFonts w:ascii="宋体"/>
                            <w:sz w:val="18"/>
                          </w:rPr>
                        </w:pPr>
                      </w:p>
                      <w:p>
                        <w:pPr>
                          <w:pStyle w:val="TableParagraph"/>
                          <w:spacing w:before="7"/>
                          <w:rPr>
                            <w:rFonts w:ascii="宋体"/>
                            <w:sz w:val="14"/>
                          </w:rPr>
                        </w:pPr>
                      </w:p>
                      <w:p>
                        <w:pPr>
                          <w:pStyle w:val="TableParagraph"/>
                          <w:ind w:left="354"/>
                          <w:rPr>
                            <w:rFonts w:ascii="Microsoft JhengHei" w:eastAsia="Microsoft JhengHei" w:hint="eastAsia"/>
                            <w:b/>
                            <w:sz w:val="18"/>
                          </w:rPr>
                        </w:pPr>
                        <w:r>
                          <w:rPr>
                            <w:rFonts w:ascii="Microsoft JhengHei" w:eastAsia="Microsoft JhengHei" w:hint="eastAsia"/>
                            <w:b/>
                            <w:sz w:val="18"/>
                          </w:rPr>
                          <w:t>分部信息</w:t>
                        </w:r>
                      </w:p>
                    </w:tc>
                    <w:tc>
                      <w:tcPr>
                        <w:tcW w:w="7392" w:type="dxa"/>
                        <w:gridSpan w:val="5"/>
                        <w:tcBorders>
                          <w:left w:val="single" w:sz="4" w:space="0" w:color="000000"/>
                          <w:bottom w:val="single" w:sz="4" w:space="0" w:color="000000"/>
                        </w:tcBorders>
                      </w:tcPr>
                      <w:p>
                        <w:pPr>
                          <w:pStyle w:val="TableParagraph"/>
                          <w:spacing w:line="319" w:lineRule="exact"/>
                          <w:ind w:left="2960" w:right="2931"/>
                          <w:jc w:val="center"/>
                          <w:rPr>
                            <w:rFonts w:ascii="Microsoft JhengHei" w:eastAsia="Microsoft JhengHei" w:hint="eastAsia"/>
                            <w:b/>
                            <w:sz w:val="18"/>
                          </w:rPr>
                        </w:pPr>
                        <w:r>
                          <w:rPr>
                            <w:rFonts w:ascii="Microsoft JhengHei" w:eastAsia="Microsoft JhengHei" w:hint="eastAsia"/>
                            <w:b/>
                            <w:sz w:val="18"/>
                          </w:rPr>
                          <w:t>中国智慧家庭业务</w:t>
                        </w:r>
                      </w:p>
                    </w:tc>
                  </w:tr>
                  <w:tr>
                    <w:trPr>
                      <w:trHeight w:val="467" w:hRule="atLeast"/>
                    </w:trPr>
                    <w:tc>
                      <w:tcPr>
                        <w:tcW w:w="1433" w:type="dxa"/>
                        <w:vMerge/>
                        <w:tcBorders>
                          <w:top w:val="nil"/>
                          <w:bottom w:val="single" w:sz="4" w:space="0" w:color="000000"/>
                          <w:right w:val="single" w:sz="4" w:space="0" w:color="000000"/>
                        </w:tcBorders>
                      </w:tcPr>
                      <w:p>
                        <w:pPr>
                          <w:rPr>
                            <w:sz w:val="2"/>
                            <w:szCs w:val="2"/>
                          </w:rPr>
                        </w:pPr>
                      </w:p>
                    </w:tc>
                    <w:tc>
                      <w:tcPr>
                        <w:tcW w:w="28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789"/>
                          <w:rPr>
                            <w:rFonts w:ascii="Microsoft JhengHei" w:eastAsia="Microsoft JhengHei" w:hint="eastAsia"/>
                            <w:b/>
                            <w:sz w:val="18"/>
                          </w:rPr>
                        </w:pPr>
                        <w:r>
                          <w:rPr>
                            <w:rFonts w:ascii="Microsoft JhengHei" w:eastAsia="Microsoft JhengHei" w:hint="eastAsia"/>
                            <w:b/>
                            <w:sz w:val="18"/>
                          </w:rPr>
                          <w:t>食联网解决方案</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55" w:right="130"/>
                          <w:jc w:val="center"/>
                          <w:rPr>
                            <w:rFonts w:ascii="Microsoft JhengHei" w:eastAsia="Microsoft JhengHei" w:hint="eastAsia"/>
                            <w:b/>
                            <w:sz w:val="18"/>
                          </w:rPr>
                        </w:pPr>
                        <w:r>
                          <w:rPr>
                            <w:rFonts w:ascii="Microsoft JhengHei" w:eastAsia="Microsoft JhengHei" w:hint="eastAsia"/>
                            <w:b/>
                            <w:sz w:val="18"/>
                          </w:rPr>
                          <w:t>空气能源解决</w:t>
                        </w:r>
                      </w:p>
                      <w:p>
                        <w:pPr>
                          <w:pStyle w:val="TableParagraph"/>
                          <w:spacing w:line="224" w:lineRule="exact"/>
                          <w:ind w:left="155" w:right="129"/>
                          <w:jc w:val="center"/>
                          <w:rPr>
                            <w:rFonts w:ascii="Microsoft JhengHei" w:eastAsia="Microsoft JhengHei" w:hint="eastAsia"/>
                            <w:b/>
                            <w:sz w:val="18"/>
                          </w:rPr>
                        </w:pPr>
                        <w:r>
                          <w:rPr>
                            <w:rFonts w:ascii="Microsoft JhengHei" w:eastAsia="Microsoft JhengHei" w:hint="eastAsia"/>
                            <w:b/>
                            <w:sz w:val="18"/>
                          </w:rPr>
                          <w:t>方案</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54" w:right="131"/>
                          <w:jc w:val="center"/>
                          <w:rPr>
                            <w:rFonts w:ascii="Microsoft JhengHei" w:eastAsia="Microsoft JhengHei" w:hint="eastAsia"/>
                            <w:b/>
                            <w:sz w:val="18"/>
                          </w:rPr>
                        </w:pPr>
                        <w:r>
                          <w:rPr>
                            <w:rFonts w:ascii="Microsoft JhengHei" w:eastAsia="Microsoft JhengHei" w:hint="eastAsia"/>
                            <w:b/>
                            <w:sz w:val="18"/>
                          </w:rPr>
                          <w:t>衣联网解决方</w:t>
                        </w:r>
                      </w:p>
                      <w:p>
                        <w:pPr>
                          <w:pStyle w:val="TableParagraph"/>
                          <w:spacing w:line="224" w:lineRule="exact"/>
                          <w:ind w:left="22"/>
                          <w:jc w:val="center"/>
                          <w:rPr>
                            <w:rFonts w:ascii="Microsoft JhengHei" w:eastAsia="Microsoft JhengHei" w:hint="eastAsia"/>
                            <w:b/>
                            <w:sz w:val="18"/>
                          </w:rPr>
                        </w:pPr>
                        <w:r>
                          <w:rPr>
                            <w:rFonts w:ascii="Microsoft JhengHei" w:eastAsia="Microsoft JhengHei" w:hint="eastAsia"/>
                            <w:b/>
                            <w:sz w:val="18"/>
                          </w:rPr>
                          <w:t>案</w:t>
                        </w:r>
                      </w:p>
                    </w:tc>
                    <w:tc>
                      <w:tcPr>
                        <w:tcW w:w="1727" w:type="dxa"/>
                        <w:tcBorders>
                          <w:top w:val="single" w:sz="4" w:space="0" w:color="000000"/>
                          <w:left w:val="single" w:sz="4" w:space="0" w:color="000000"/>
                          <w:bottom w:val="single" w:sz="4" w:space="0" w:color="000000"/>
                        </w:tcBorders>
                      </w:tcPr>
                      <w:p>
                        <w:pPr>
                          <w:pStyle w:val="TableParagraph"/>
                          <w:spacing w:before="58"/>
                          <w:ind w:right="114"/>
                          <w:jc w:val="right"/>
                          <w:rPr>
                            <w:rFonts w:ascii="Microsoft JhengHei" w:eastAsia="Microsoft JhengHei" w:hint="eastAsia"/>
                            <w:b/>
                            <w:sz w:val="18"/>
                          </w:rPr>
                        </w:pPr>
                        <w:r>
                          <w:rPr>
                            <w:rFonts w:ascii="Microsoft JhengHei" w:eastAsia="Microsoft JhengHei" w:hint="eastAsia"/>
                            <w:b/>
                            <w:sz w:val="18"/>
                          </w:rPr>
                          <w:t>全屋用水解决方案</w:t>
                        </w:r>
                      </w:p>
                    </w:tc>
                  </w:tr>
                  <w:tr>
                    <w:trPr>
                      <w:trHeight w:val="369" w:hRule="atLeast"/>
                    </w:trPr>
                    <w:tc>
                      <w:tcPr>
                        <w:tcW w:w="1433" w:type="dxa"/>
                        <w:vMerge/>
                        <w:tcBorders>
                          <w:top w:val="nil"/>
                          <w:bottom w:val="single" w:sz="4" w:space="0" w:color="000000"/>
                          <w:right w:val="single" w:sz="4" w:space="0" w:color="000000"/>
                        </w:tcBorders>
                      </w:tcPr>
                      <w:p>
                        <w:pPr>
                          <w:rPr>
                            <w:sz w:val="2"/>
                            <w:szCs w:val="2"/>
                          </w:rPr>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before="7"/>
                          <w:ind w:left="328"/>
                          <w:rPr>
                            <w:rFonts w:ascii="Microsoft JhengHei" w:eastAsia="Microsoft JhengHei" w:hint="eastAsia"/>
                            <w:b/>
                            <w:sz w:val="18"/>
                          </w:rPr>
                        </w:pPr>
                        <w:r>
                          <w:rPr>
                            <w:rFonts w:ascii="Microsoft JhengHei" w:eastAsia="Microsoft JhengHei" w:hint="eastAsia"/>
                            <w:b/>
                            <w:sz w:val="18"/>
                          </w:rPr>
                          <w:t>冰箱</w:t>
                        </w:r>
                        <w:r>
                          <w:rPr>
                            <w:b/>
                            <w:sz w:val="18"/>
                          </w:rPr>
                          <w:t>/</w:t>
                        </w:r>
                        <w:r>
                          <w:rPr>
                            <w:rFonts w:ascii="Microsoft JhengHei" w:eastAsia="Microsoft JhengHei" w:hint="eastAsia"/>
                            <w:b/>
                            <w:sz w:val="18"/>
                          </w:rPr>
                          <w:t>冷柜</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before="7"/>
                          <w:ind w:left="514" w:right="490"/>
                          <w:jc w:val="center"/>
                          <w:rPr>
                            <w:rFonts w:ascii="Microsoft JhengHei" w:eastAsia="Microsoft JhengHei" w:hint="eastAsia"/>
                            <w:b/>
                            <w:sz w:val="18"/>
                          </w:rPr>
                        </w:pPr>
                        <w:r>
                          <w:rPr>
                            <w:rFonts w:ascii="Microsoft JhengHei" w:eastAsia="Microsoft JhengHei" w:hint="eastAsia"/>
                            <w:b/>
                            <w:sz w:val="18"/>
                          </w:rPr>
                          <w:t>厨电</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before="7"/>
                          <w:ind w:left="155" w:right="129"/>
                          <w:jc w:val="center"/>
                          <w:rPr>
                            <w:rFonts w:ascii="Microsoft JhengHei" w:eastAsia="Microsoft JhengHei" w:hint="eastAsia"/>
                            <w:b/>
                            <w:sz w:val="18"/>
                          </w:rPr>
                        </w:pPr>
                        <w:r>
                          <w:rPr>
                            <w:rFonts w:ascii="Microsoft JhengHei" w:eastAsia="Microsoft JhengHei" w:hint="eastAsia"/>
                            <w:b/>
                            <w:sz w:val="18"/>
                          </w:rPr>
                          <w:t>空调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before="7"/>
                          <w:ind w:left="444"/>
                          <w:rPr>
                            <w:rFonts w:ascii="Microsoft JhengHei" w:eastAsia="Microsoft JhengHei" w:hint="eastAsia"/>
                            <w:b/>
                            <w:sz w:val="18"/>
                          </w:rPr>
                        </w:pPr>
                        <w:r>
                          <w:rPr>
                            <w:rFonts w:ascii="Microsoft JhengHei" w:eastAsia="Microsoft JhengHei" w:hint="eastAsia"/>
                            <w:b/>
                            <w:sz w:val="18"/>
                          </w:rPr>
                          <w:t>洗衣机</w:t>
                        </w:r>
                      </w:p>
                    </w:tc>
                    <w:tc>
                      <w:tcPr>
                        <w:tcW w:w="1727" w:type="dxa"/>
                        <w:tcBorders>
                          <w:top w:val="single" w:sz="4" w:space="0" w:color="000000"/>
                          <w:left w:val="single" w:sz="4" w:space="0" w:color="000000"/>
                          <w:bottom w:val="single" w:sz="4" w:space="0" w:color="000000"/>
                        </w:tcBorders>
                      </w:tcPr>
                      <w:p>
                        <w:pPr>
                          <w:pStyle w:val="TableParagraph"/>
                          <w:spacing w:line="319" w:lineRule="exact"/>
                          <w:ind w:left="597"/>
                          <w:rPr>
                            <w:rFonts w:ascii="Microsoft JhengHei" w:eastAsia="Microsoft JhengHei" w:hint="eastAsia"/>
                            <w:b/>
                            <w:sz w:val="18"/>
                          </w:rPr>
                        </w:pPr>
                        <w:r>
                          <w:rPr>
                            <w:rFonts w:ascii="Microsoft JhengHei" w:eastAsia="Microsoft JhengHei" w:hint="eastAsia"/>
                            <w:b/>
                            <w:sz w:val="18"/>
                          </w:rPr>
                          <w:t>水家电</w:t>
                        </w:r>
                      </w:p>
                    </w:tc>
                  </w:tr>
                  <w:tr>
                    <w:trPr>
                      <w:trHeight w:val="369" w:hRule="atLeast"/>
                    </w:trPr>
                    <w:tc>
                      <w:tcPr>
                        <w:tcW w:w="1433"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分部收入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before="88"/>
                          <w:ind w:right="89"/>
                          <w:jc w:val="right"/>
                          <w:rPr>
                            <w:sz w:val="16"/>
                          </w:rPr>
                        </w:pPr>
                        <w:r>
                          <w:rPr>
                            <w:sz w:val="16"/>
                          </w:rPr>
                          <w:t>34,392,366,627.27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before="88"/>
                          <w:ind w:right="89"/>
                          <w:jc w:val="right"/>
                          <w:rPr>
                            <w:sz w:val="16"/>
                          </w:rPr>
                        </w:pPr>
                        <w:r>
                          <w:rPr>
                            <w:sz w:val="16"/>
                          </w:rPr>
                          <w:t>2,772,514,504.29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before="88"/>
                          <w:ind w:right="88"/>
                          <w:jc w:val="right"/>
                          <w:rPr>
                            <w:sz w:val="16"/>
                          </w:rPr>
                        </w:pPr>
                        <w:r>
                          <w:rPr>
                            <w:sz w:val="16"/>
                          </w:rPr>
                          <w:t>25,512,310,018.54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before="88"/>
                          <w:ind w:right="88"/>
                          <w:jc w:val="right"/>
                          <w:rPr>
                            <w:sz w:val="16"/>
                          </w:rPr>
                        </w:pPr>
                        <w:r>
                          <w:rPr>
                            <w:sz w:val="16"/>
                          </w:rPr>
                          <w:t>25,985,087,875.74</w:t>
                        </w:r>
                      </w:p>
                    </w:tc>
                    <w:tc>
                      <w:tcPr>
                        <w:tcW w:w="1727" w:type="dxa"/>
                        <w:tcBorders>
                          <w:top w:val="single" w:sz="4" w:space="0" w:color="000000"/>
                          <w:left w:val="single" w:sz="4" w:space="0" w:color="000000"/>
                          <w:bottom w:val="single" w:sz="4" w:space="0" w:color="000000"/>
                        </w:tcBorders>
                      </w:tcPr>
                      <w:p>
                        <w:pPr>
                          <w:pStyle w:val="TableParagraph"/>
                          <w:spacing w:before="88"/>
                          <w:ind w:right="79"/>
                          <w:jc w:val="right"/>
                          <w:rPr>
                            <w:sz w:val="16"/>
                          </w:rPr>
                        </w:pPr>
                        <w:r>
                          <w:rPr>
                            <w:sz w:val="16"/>
                          </w:rPr>
                          <w:t>10,217,370,018.95</w:t>
                        </w:r>
                      </w:p>
                    </w:tc>
                  </w:tr>
                  <w:tr>
                    <w:trPr>
                      <w:trHeight w:val="369" w:hRule="atLeast"/>
                    </w:trPr>
                    <w:tc>
                      <w:tcPr>
                        <w:tcW w:w="1433"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其中：对外收入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before="88"/>
                          <w:ind w:right="89"/>
                          <w:jc w:val="right"/>
                          <w:rPr>
                            <w:sz w:val="16"/>
                          </w:rPr>
                        </w:pPr>
                        <w:r>
                          <w:rPr>
                            <w:sz w:val="16"/>
                          </w:rPr>
                          <w:t>30,571,800,331.77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before="88"/>
                          <w:ind w:right="89"/>
                          <w:jc w:val="right"/>
                          <w:rPr>
                            <w:sz w:val="16"/>
                          </w:rPr>
                        </w:pPr>
                        <w:r>
                          <w:rPr>
                            <w:sz w:val="16"/>
                          </w:rPr>
                          <w:t>2,636,709,451.75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before="88"/>
                          <w:ind w:right="88"/>
                          <w:jc w:val="right"/>
                          <w:rPr>
                            <w:sz w:val="16"/>
                          </w:rPr>
                        </w:pPr>
                        <w:r>
                          <w:rPr>
                            <w:sz w:val="16"/>
                          </w:rPr>
                          <w:t>21,867,508,645.86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before="88"/>
                          <w:ind w:right="88"/>
                          <w:jc w:val="right"/>
                          <w:rPr>
                            <w:sz w:val="16"/>
                          </w:rPr>
                        </w:pPr>
                        <w:r>
                          <w:rPr>
                            <w:sz w:val="16"/>
                          </w:rPr>
                          <w:t>22,482,809,819.55</w:t>
                        </w:r>
                      </w:p>
                    </w:tc>
                    <w:tc>
                      <w:tcPr>
                        <w:tcW w:w="1727" w:type="dxa"/>
                        <w:tcBorders>
                          <w:top w:val="single" w:sz="4" w:space="0" w:color="000000"/>
                          <w:left w:val="single" w:sz="4" w:space="0" w:color="000000"/>
                          <w:bottom w:val="single" w:sz="4" w:space="0" w:color="000000"/>
                        </w:tcBorders>
                      </w:tcPr>
                      <w:p>
                        <w:pPr>
                          <w:pStyle w:val="TableParagraph"/>
                          <w:spacing w:before="88"/>
                          <w:ind w:right="79"/>
                          <w:jc w:val="right"/>
                          <w:rPr>
                            <w:sz w:val="16"/>
                          </w:rPr>
                        </w:pPr>
                        <w:r>
                          <w:rPr>
                            <w:sz w:val="16"/>
                          </w:rPr>
                          <w:t>9,832,880,899.81</w:t>
                        </w:r>
                      </w:p>
                    </w:tc>
                  </w:tr>
                  <w:tr>
                    <w:trPr>
                      <w:trHeight w:val="369" w:hRule="atLeast"/>
                    </w:trPr>
                    <w:tc>
                      <w:tcPr>
                        <w:tcW w:w="1433"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分部间收入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before="85"/>
                          <w:ind w:right="90"/>
                          <w:jc w:val="right"/>
                          <w:rPr>
                            <w:sz w:val="16"/>
                          </w:rPr>
                        </w:pPr>
                        <w:r>
                          <w:rPr>
                            <w:sz w:val="16"/>
                          </w:rPr>
                          <w:t>3,820,566,295.50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before="85"/>
                          <w:ind w:right="89"/>
                          <w:jc w:val="right"/>
                          <w:rPr>
                            <w:sz w:val="16"/>
                          </w:rPr>
                        </w:pPr>
                        <w:r>
                          <w:rPr>
                            <w:sz w:val="16"/>
                          </w:rPr>
                          <w:t>135,805,052.54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before="85"/>
                          <w:ind w:right="88"/>
                          <w:jc w:val="right"/>
                          <w:rPr>
                            <w:sz w:val="16"/>
                          </w:rPr>
                        </w:pPr>
                        <w:r>
                          <w:rPr>
                            <w:sz w:val="16"/>
                          </w:rPr>
                          <w:t>3,644,801,372.68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before="85"/>
                          <w:ind w:right="89"/>
                          <w:jc w:val="right"/>
                          <w:rPr>
                            <w:sz w:val="16"/>
                          </w:rPr>
                        </w:pPr>
                        <w:r>
                          <w:rPr>
                            <w:sz w:val="16"/>
                          </w:rPr>
                          <w:t>3,502,278,056.19</w:t>
                        </w:r>
                      </w:p>
                    </w:tc>
                    <w:tc>
                      <w:tcPr>
                        <w:tcW w:w="1727" w:type="dxa"/>
                        <w:tcBorders>
                          <w:top w:val="single" w:sz="4" w:space="0" w:color="000000"/>
                          <w:left w:val="single" w:sz="4" w:space="0" w:color="000000"/>
                          <w:bottom w:val="single" w:sz="4" w:space="0" w:color="000000"/>
                        </w:tcBorders>
                      </w:tcPr>
                      <w:p>
                        <w:pPr>
                          <w:pStyle w:val="TableParagraph"/>
                          <w:spacing w:before="85"/>
                          <w:ind w:right="79"/>
                          <w:jc w:val="right"/>
                          <w:rPr>
                            <w:sz w:val="16"/>
                          </w:rPr>
                        </w:pPr>
                        <w:r>
                          <w:rPr>
                            <w:sz w:val="16"/>
                          </w:rPr>
                          <w:t>384,489,119.14</w:t>
                        </w:r>
                      </w:p>
                    </w:tc>
                  </w:tr>
                  <w:tr>
                    <w:trPr>
                      <w:trHeight w:val="369" w:hRule="atLeast"/>
                    </w:trPr>
                    <w:tc>
                      <w:tcPr>
                        <w:tcW w:w="1433"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分部总成本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before="85"/>
                          <w:ind w:right="89"/>
                          <w:jc w:val="right"/>
                          <w:rPr>
                            <w:sz w:val="16"/>
                          </w:rPr>
                        </w:pPr>
                        <w:r>
                          <w:rPr>
                            <w:sz w:val="16"/>
                          </w:rPr>
                          <w:t>32,050,102,593.72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before="85"/>
                          <w:ind w:right="89"/>
                          <w:jc w:val="right"/>
                          <w:rPr>
                            <w:sz w:val="16"/>
                          </w:rPr>
                        </w:pPr>
                        <w:r>
                          <w:rPr>
                            <w:sz w:val="16"/>
                          </w:rPr>
                          <w:t>2,732,391,511.07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before="85"/>
                          <w:ind w:right="88"/>
                          <w:jc w:val="right"/>
                          <w:rPr>
                            <w:sz w:val="16"/>
                          </w:rPr>
                        </w:pPr>
                        <w:r>
                          <w:rPr>
                            <w:sz w:val="16"/>
                          </w:rPr>
                          <w:t>25,412,035,059.34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before="85"/>
                          <w:ind w:right="88"/>
                          <w:jc w:val="right"/>
                          <w:rPr>
                            <w:sz w:val="16"/>
                          </w:rPr>
                        </w:pPr>
                        <w:r>
                          <w:rPr>
                            <w:sz w:val="16"/>
                          </w:rPr>
                          <w:t>23,785,181,115.90</w:t>
                        </w:r>
                      </w:p>
                    </w:tc>
                    <w:tc>
                      <w:tcPr>
                        <w:tcW w:w="1727" w:type="dxa"/>
                        <w:tcBorders>
                          <w:top w:val="single" w:sz="4" w:space="0" w:color="000000"/>
                          <w:left w:val="single" w:sz="4" w:space="0" w:color="000000"/>
                          <w:bottom w:val="single" w:sz="4" w:space="0" w:color="000000"/>
                        </w:tcBorders>
                      </w:tcPr>
                      <w:p>
                        <w:pPr>
                          <w:pStyle w:val="TableParagraph"/>
                          <w:spacing w:before="85"/>
                          <w:ind w:right="79"/>
                          <w:jc w:val="right"/>
                          <w:rPr>
                            <w:sz w:val="16"/>
                          </w:rPr>
                        </w:pPr>
                        <w:r>
                          <w:rPr>
                            <w:sz w:val="16"/>
                          </w:rPr>
                          <w:t>9,051,888,737.91</w:t>
                        </w:r>
                      </w:p>
                    </w:tc>
                  </w:tr>
                  <w:tr>
                    <w:trPr>
                      <w:trHeight w:val="366" w:hRule="atLeast"/>
                    </w:trPr>
                    <w:tc>
                      <w:tcPr>
                        <w:tcW w:w="1433"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分部利润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before="85"/>
                          <w:ind w:right="90"/>
                          <w:jc w:val="right"/>
                          <w:rPr>
                            <w:sz w:val="16"/>
                          </w:rPr>
                        </w:pPr>
                        <w:r>
                          <w:rPr>
                            <w:sz w:val="16"/>
                          </w:rPr>
                          <w:t>2,342,264,033.55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before="85"/>
                          <w:ind w:right="89"/>
                          <w:jc w:val="right"/>
                          <w:rPr>
                            <w:sz w:val="16"/>
                          </w:rPr>
                        </w:pPr>
                        <w:r>
                          <w:rPr>
                            <w:sz w:val="16"/>
                          </w:rPr>
                          <w:t>40,122,993.22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before="85"/>
                          <w:ind w:right="88"/>
                          <w:jc w:val="right"/>
                          <w:rPr>
                            <w:sz w:val="16"/>
                          </w:rPr>
                        </w:pPr>
                        <w:r>
                          <w:rPr>
                            <w:sz w:val="16"/>
                          </w:rPr>
                          <w:t>100,274,959.20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before="85"/>
                          <w:ind w:right="89"/>
                          <w:jc w:val="right"/>
                          <w:rPr>
                            <w:sz w:val="16"/>
                          </w:rPr>
                        </w:pPr>
                        <w:r>
                          <w:rPr>
                            <w:sz w:val="16"/>
                          </w:rPr>
                          <w:t>2,199,906,759.84</w:t>
                        </w:r>
                      </w:p>
                    </w:tc>
                    <w:tc>
                      <w:tcPr>
                        <w:tcW w:w="1727" w:type="dxa"/>
                        <w:tcBorders>
                          <w:top w:val="single" w:sz="4" w:space="0" w:color="000000"/>
                          <w:left w:val="single" w:sz="4" w:space="0" w:color="000000"/>
                          <w:bottom w:val="single" w:sz="4" w:space="0" w:color="000000"/>
                        </w:tcBorders>
                      </w:tcPr>
                      <w:p>
                        <w:pPr>
                          <w:pStyle w:val="TableParagraph"/>
                          <w:spacing w:before="85"/>
                          <w:ind w:right="79"/>
                          <w:jc w:val="right"/>
                          <w:rPr>
                            <w:sz w:val="16"/>
                          </w:rPr>
                        </w:pPr>
                        <w:r>
                          <w:rPr>
                            <w:sz w:val="16"/>
                          </w:rPr>
                          <w:t>1,165,481,281.04</w:t>
                        </w:r>
                      </w:p>
                    </w:tc>
                  </w:tr>
                  <w:tr>
                    <w:trPr>
                      <w:trHeight w:val="369" w:hRule="atLeast"/>
                    </w:trPr>
                    <w:tc>
                      <w:tcPr>
                        <w:tcW w:w="1433" w:type="dxa"/>
                        <w:tcBorders>
                          <w:top w:val="single" w:sz="4" w:space="0" w:color="000000"/>
                          <w:bottom w:val="single" w:sz="4" w:space="0" w:color="000000"/>
                          <w:right w:val="single" w:sz="4" w:space="0" w:color="000000"/>
                        </w:tcBorders>
                      </w:tcPr>
                      <w:p>
                        <w:pPr>
                          <w:pStyle w:val="TableParagraph"/>
                          <w:spacing w:before="70"/>
                          <w:ind w:left="107"/>
                          <w:rPr>
                            <w:rFonts w:ascii="宋体" w:eastAsia="宋体" w:hint="eastAsia"/>
                            <w:sz w:val="18"/>
                          </w:rPr>
                        </w:pPr>
                        <w:r>
                          <w:rPr>
                            <w:rFonts w:ascii="宋体" w:eastAsia="宋体" w:hint="eastAsia"/>
                            <w:sz w:val="18"/>
                          </w:rPr>
                          <w:t>分部资产总额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before="88"/>
                          <w:ind w:right="89"/>
                          <w:jc w:val="right"/>
                          <w:rPr>
                            <w:sz w:val="16"/>
                          </w:rPr>
                        </w:pPr>
                        <w:r>
                          <w:rPr>
                            <w:sz w:val="16"/>
                          </w:rPr>
                          <w:t>11,689,348,816.41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before="88"/>
                          <w:ind w:right="89"/>
                          <w:jc w:val="right"/>
                          <w:rPr>
                            <w:sz w:val="16"/>
                          </w:rPr>
                        </w:pPr>
                        <w:r>
                          <w:rPr>
                            <w:sz w:val="16"/>
                          </w:rPr>
                          <w:t>2,532,594,848.74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before="88"/>
                          <w:ind w:right="88"/>
                          <w:jc w:val="right"/>
                          <w:rPr>
                            <w:sz w:val="16"/>
                          </w:rPr>
                        </w:pPr>
                        <w:r>
                          <w:rPr>
                            <w:sz w:val="16"/>
                          </w:rPr>
                          <w:t>20,925,304,799.58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before="88"/>
                          <w:ind w:right="88"/>
                          <w:jc w:val="right"/>
                          <w:rPr>
                            <w:sz w:val="16"/>
                          </w:rPr>
                        </w:pPr>
                        <w:r>
                          <w:rPr>
                            <w:sz w:val="16"/>
                          </w:rPr>
                          <w:t>10,136,244,423.99</w:t>
                        </w:r>
                      </w:p>
                    </w:tc>
                    <w:tc>
                      <w:tcPr>
                        <w:tcW w:w="1727" w:type="dxa"/>
                        <w:tcBorders>
                          <w:top w:val="single" w:sz="4" w:space="0" w:color="000000"/>
                          <w:left w:val="single" w:sz="4" w:space="0" w:color="000000"/>
                          <w:bottom w:val="single" w:sz="4" w:space="0" w:color="000000"/>
                        </w:tcBorders>
                      </w:tcPr>
                      <w:p>
                        <w:pPr>
                          <w:pStyle w:val="TableParagraph"/>
                          <w:spacing w:before="88"/>
                          <w:ind w:right="79"/>
                          <w:jc w:val="right"/>
                          <w:rPr>
                            <w:sz w:val="16"/>
                          </w:rPr>
                        </w:pPr>
                        <w:r>
                          <w:rPr>
                            <w:sz w:val="16"/>
                          </w:rPr>
                          <w:t>4,136,849,021.24</w:t>
                        </w:r>
                      </w:p>
                    </w:tc>
                  </w:tr>
                  <w:tr>
                    <w:trPr>
                      <w:trHeight w:val="368" w:hRule="atLeast"/>
                    </w:trPr>
                    <w:tc>
                      <w:tcPr>
                        <w:tcW w:w="1433" w:type="dxa"/>
                        <w:tcBorders>
                          <w:top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分部负债总额</w:t>
                        </w:r>
                      </w:p>
                    </w:tc>
                    <w:tc>
                      <w:tcPr>
                        <w:tcW w:w="1417" w:type="dxa"/>
                        <w:tcBorders>
                          <w:top w:val="single" w:sz="4" w:space="0" w:color="000000"/>
                          <w:left w:val="single" w:sz="4" w:space="0" w:color="000000"/>
                          <w:right w:val="single" w:sz="4" w:space="0" w:color="000000"/>
                        </w:tcBorders>
                      </w:tcPr>
                      <w:p>
                        <w:pPr>
                          <w:pStyle w:val="TableParagraph"/>
                          <w:spacing w:before="88"/>
                          <w:ind w:right="89"/>
                          <w:jc w:val="right"/>
                          <w:rPr>
                            <w:sz w:val="16"/>
                          </w:rPr>
                        </w:pPr>
                        <w:r>
                          <w:rPr>
                            <w:sz w:val="16"/>
                          </w:rPr>
                          <w:t>29,205,929,335.98</w:t>
                        </w:r>
                      </w:p>
                    </w:tc>
                    <w:tc>
                      <w:tcPr>
                        <w:tcW w:w="1414" w:type="dxa"/>
                        <w:tcBorders>
                          <w:top w:val="single" w:sz="4" w:space="0" w:color="000000"/>
                          <w:left w:val="single" w:sz="4" w:space="0" w:color="000000"/>
                          <w:right w:val="single" w:sz="4" w:space="0" w:color="000000"/>
                        </w:tcBorders>
                      </w:tcPr>
                      <w:p>
                        <w:pPr>
                          <w:pStyle w:val="TableParagraph"/>
                          <w:spacing w:before="88"/>
                          <w:ind w:right="89"/>
                          <w:jc w:val="right"/>
                          <w:rPr>
                            <w:sz w:val="16"/>
                          </w:rPr>
                        </w:pPr>
                        <w:r>
                          <w:rPr>
                            <w:sz w:val="16"/>
                          </w:rPr>
                          <w:t>1,538,646,245.07</w:t>
                        </w:r>
                      </w:p>
                    </w:tc>
                    <w:tc>
                      <w:tcPr>
                        <w:tcW w:w="1417" w:type="dxa"/>
                        <w:tcBorders>
                          <w:top w:val="single" w:sz="4" w:space="0" w:color="000000"/>
                          <w:left w:val="single" w:sz="4" w:space="0" w:color="000000"/>
                          <w:right w:val="single" w:sz="4" w:space="0" w:color="000000"/>
                        </w:tcBorders>
                      </w:tcPr>
                      <w:p>
                        <w:pPr>
                          <w:pStyle w:val="TableParagraph"/>
                          <w:spacing w:before="88"/>
                          <w:ind w:right="88"/>
                          <w:jc w:val="right"/>
                          <w:rPr>
                            <w:sz w:val="16"/>
                          </w:rPr>
                        </w:pPr>
                        <w:r>
                          <w:rPr>
                            <w:sz w:val="16"/>
                          </w:rPr>
                          <w:t>13,440,305,435.84</w:t>
                        </w:r>
                      </w:p>
                    </w:tc>
                    <w:tc>
                      <w:tcPr>
                        <w:tcW w:w="1417" w:type="dxa"/>
                        <w:tcBorders>
                          <w:top w:val="single" w:sz="4" w:space="0" w:color="000000"/>
                          <w:left w:val="single" w:sz="4" w:space="0" w:color="000000"/>
                          <w:right w:val="single" w:sz="4" w:space="0" w:color="000000"/>
                        </w:tcBorders>
                      </w:tcPr>
                      <w:p>
                        <w:pPr>
                          <w:pStyle w:val="TableParagraph"/>
                          <w:spacing w:before="88"/>
                          <w:ind w:right="89"/>
                          <w:jc w:val="right"/>
                          <w:rPr>
                            <w:sz w:val="16"/>
                          </w:rPr>
                        </w:pPr>
                        <w:r>
                          <w:rPr>
                            <w:sz w:val="16"/>
                          </w:rPr>
                          <w:t>8,218,924,225.44</w:t>
                        </w:r>
                      </w:p>
                    </w:tc>
                    <w:tc>
                      <w:tcPr>
                        <w:tcW w:w="1727" w:type="dxa"/>
                        <w:tcBorders>
                          <w:top w:val="single" w:sz="4" w:space="0" w:color="000000"/>
                          <w:left w:val="single" w:sz="4" w:space="0" w:color="000000"/>
                        </w:tcBorders>
                      </w:tcPr>
                      <w:p>
                        <w:pPr>
                          <w:pStyle w:val="TableParagraph"/>
                          <w:spacing w:before="88"/>
                          <w:ind w:right="79"/>
                          <w:jc w:val="right"/>
                          <w:rPr>
                            <w:sz w:val="16"/>
                          </w:rPr>
                        </w:pPr>
                        <w:r>
                          <w:rPr>
                            <w:sz w:val="16"/>
                          </w:rPr>
                          <w:t>5,108,347,965.67</w:t>
                        </w:r>
                      </w:p>
                    </w:tc>
                  </w:tr>
                </w:tbl>
                <w:p>
                  <w:pPr>
                    <w:pStyle w:val="BodyText"/>
                  </w:pPr>
                </w:p>
              </w:txbxContent>
            </v:textbox>
            <w10:wrap type="none"/>
          </v:shape>
        </w:pict>
      </w:r>
      <w:r>
        <w:rPr>
          <w:spacing w:val="-5"/>
          <w:sz w:val="21"/>
        </w:rPr>
        <w:t>报告分部的信息</w:t>
      </w:r>
      <w:r>
        <w:rPr>
          <w:spacing w:val="-2"/>
          <w:sz w:val="21"/>
        </w:rPr>
        <w:t>本期分部信息</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4"/>
        </w:rPr>
      </w:pPr>
    </w:p>
    <w:p>
      <w:pPr>
        <w:pStyle w:val="BodyText"/>
        <w:ind w:left="1538"/>
      </w:pPr>
      <w:r>
        <w:rPr/>
        <w:t>续表</w:t>
      </w:r>
    </w:p>
    <w:tbl>
      <w:tblPr>
        <w:tblW w:w="0" w:type="auto"/>
        <w:jc w:val="left"/>
        <w:tblInd w:w="14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98"/>
        <w:gridCol w:w="1907"/>
        <w:gridCol w:w="1842"/>
        <w:gridCol w:w="1702"/>
        <w:gridCol w:w="1844"/>
      </w:tblGrid>
      <w:tr>
        <w:trPr>
          <w:trHeight w:val="1148" w:hRule="atLeast"/>
        </w:trPr>
        <w:tc>
          <w:tcPr>
            <w:tcW w:w="1498" w:type="dxa"/>
            <w:tcBorders>
              <w:bottom w:val="single" w:sz="4" w:space="0" w:color="000000"/>
              <w:right w:val="single" w:sz="4" w:space="0" w:color="000000"/>
            </w:tcBorders>
          </w:tcPr>
          <w:p>
            <w:pPr>
              <w:pStyle w:val="TableParagraph"/>
              <w:rPr>
                <w:rFonts w:ascii="宋体"/>
                <w:sz w:val="18"/>
              </w:rPr>
            </w:pPr>
          </w:p>
          <w:p>
            <w:pPr>
              <w:pStyle w:val="TableParagraph"/>
              <w:spacing w:before="148"/>
              <w:ind w:left="388"/>
              <w:rPr>
                <w:rFonts w:ascii="Microsoft JhengHei" w:eastAsia="Microsoft JhengHei" w:hint="eastAsia"/>
                <w:b/>
                <w:sz w:val="18"/>
              </w:rPr>
            </w:pPr>
            <w:r>
              <w:rPr>
                <w:rFonts w:ascii="Microsoft JhengHei" w:eastAsia="Microsoft JhengHei" w:hint="eastAsia"/>
                <w:b/>
                <w:sz w:val="18"/>
              </w:rPr>
              <w:t>分部信息</w:t>
            </w:r>
          </w:p>
        </w:tc>
        <w:tc>
          <w:tcPr>
            <w:tcW w:w="1907" w:type="dxa"/>
            <w:tcBorders>
              <w:left w:val="single" w:sz="4" w:space="0" w:color="000000"/>
              <w:bottom w:val="single" w:sz="4" w:space="0" w:color="000000"/>
              <w:right w:val="single" w:sz="4" w:space="0" w:color="000000"/>
            </w:tcBorders>
          </w:tcPr>
          <w:p>
            <w:pPr>
              <w:pStyle w:val="TableParagraph"/>
              <w:spacing w:before="8"/>
              <w:rPr>
                <w:rFonts w:ascii="宋体"/>
                <w:sz w:val="22"/>
              </w:rPr>
            </w:pPr>
          </w:p>
          <w:p>
            <w:pPr>
              <w:pStyle w:val="TableParagraph"/>
              <w:spacing w:line="194" w:lineRule="auto"/>
              <w:ind w:left="779" w:right="122" w:hanging="635"/>
              <w:rPr>
                <w:rFonts w:ascii="Microsoft JhengHei" w:eastAsia="Microsoft JhengHei" w:hint="eastAsia"/>
                <w:b/>
                <w:sz w:val="18"/>
              </w:rPr>
            </w:pPr>
            <w:r>
              <w:rPr>
                <w:rFonts w:ascii="Microsoft JhengHei" w:eastAsia="Microsoft JhengHei" w:hint="eastAsia"/>
                <w:b/>
                <w:sz w:val="18"/>
              </w:rPr>
              <w:t>海外家电与智慧家庭业务</w:t>
            </w:r>
          </w:p>
        </w:tc>
        <w:tc>
          <w:tcPr>
            <w:tcW w:w="1842" w:type="dxa"/>
            <w:tcBorders>
              <w:left w:val="single" w:sz="4" w:space="0" w:color="000000"/>
              <w:bottom w:val="single" w:sz="4" w:space="0" w:color="000000"/>
              <w:right w:val="single" w:sz="4" w:space="0" w:color="000000"/>
            </w:tcBorders>
          </w:tcPr>
          <w:p>
            <w:pPr>
              <w:pStyle w:val="TableParagraph"/>
              <w:rPr>
                <w:rFonts w:ascii="宋体"/>
                <w:sz w:val="18"/>
              </w:rPr>
            </w:pPr>
          </w:p>
          <w:p>
            <w:pPr>
              <w:pStyle w:val="TableParagraph"/>
              <w:spacing w:before="148"/>
              <w:ind w:left="567"/>
              <w:rPr>
                <w:rFonts w:ascii="Microsoft JhengHei" w:eastAsia="Microsoft JhengHei" w:hint="eastAsia"/>
                <w:b/>
                <w:sz w:val="18"/>
              </w:rPr>
            </w:pPr>
            <w:r>
              <w:rPr>
                <w:rFonts w:ascii="Microsoft JhengHei" w:eastAsia="Microsoft JhengHei" w:hint="eastAsia"/>
                <w:b/>
                <w:sz w:val="18"/>
              </w:rPr>
              <w:t>其他业务</w:t>
            </w:r>
          </w:p>
        </w:tc>
        <w:tc>
          <w:tcPr>
            <w:tcW w:w="1702" w:type="dxa"/>
            <w:tcBorders>
              <w:left w:val="single" w:sz="4" w:space="0" w:color="000000"/>
              <w:bottom w:val="single" w:sz="4" w:space="0" w:color="000000"/>
              <w:right w:val="single" w:sz="4" w:space="0" w:color="000000"/>
            </w:tcBorders>
          </w:tcPr>
          <w:p>
            <w:pPr>
              <w:pStyle w:val="TableParagraph"/>
              <w:rPr>
                <w:rFonts w:ascii="宋体"/>
                <w:sz w:val="18"/>
              </w:rPr>
            </w:pPr>
          </w:p>
          <w:p>
            <w:pPr>
              <w:pStyle w:val="TableParagraph"/>
              <w:spacing w:before="148"/>
              <w:ind w:left="405"/>
              <w:rPr>
                <w:rFonts w:ascii="Microsoft JhengHei" w:eastAsia="Microsoft JhengHei" w:hint="eastAsia"/>
                <w:b/>
                <w:sz w:val="18"/>
              </w:rPr>
            </w:pPr>
            <w:r>
              <w:rPr>
                <w:rFonts w:ascii="Microsoft JhengHei" w:eastAsia="Microsoft JhengHei" w:hint="eastAsia"/>
                <w:b/>
                <w:sz w:val="18"/>
              </w:rPr>
              <w:t>分部间抵销</w:t>
            </w:r>
          </w:p>
        </w:tc>
        <w:tc>
          <w:tcPr>
            <w:tcW w:w="1844" w:type="dxa"/>
            <w:tcBorders>
              <w:left w:val="single" w:sz="4" w:space="0" w:color="000000"/>
              <w:bottom w:val="single" w:sz="4" w:space="0" w:color="000000"/>
            </w:tcBorders>
          </w:tcPr>
          <w:p>
            <w:pPr>
              <w:pStyle w:val="TableParagraph"/>
              <w:rPr>
                <w:rFonts w:ascii="宋体"/>
                <w:sz w:val="18"/>
              </w:rPr>
            </w:pPr>
          </w:p>
          <w:p>
            <w:pPr>
              <w:pStyle w:val="TableParagraph"/>
              <w:spacing w:before="148"/>
              <w:ind w:left="729" w:right="695"/>
              <w:jc w:val="center"/>
              <w:rPr>
                <w:rFonts w:ascii="Microsoft JhengHei" w:eastAsia="Microsoft JhengHei" w:hint="eastAsia"/>
                <w:b/>
                <w:sz w:val="18"/>
              </w:rPr>
            </w:pPr>
            <w:r>
              <w:rPr>
                <w:rFonts w:ascii="Microsoft JhengHei" w:eastAsia="Microsoft JhengHei" w:hint="eastAsia"/>
                <w:b/>
                <w:sz w:val="18"/>
              </w:rPr>
              <w:t>合计</w:t>
            </w:r>
          </w:p>
        </w:tc>
      </w:tr>
      <w:tr>
        <w:trPr>
          <w:trHeight w:val="369" w:hRule="atLeast"/>
        </w:trPr>
        <w:tc>
          <w:tcPr>
            <w:tcW w:w="1498"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分部收入</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before="85"/>
              <w:ind w:right="90"/>
              <w:jc w:val="right"/>
              <w:rPr>
                <w:sz w:val="16"/>
              </w:rPr>
            </w:pPr>
            <w:r>
              <w:rPr>
                <w:sz w:val="16"/>
              </w:rPr>
              <w:t>100,622,879,428.15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before="85"/>
              <w:ind w:left="543"/>
              <w:rPr>
                <w:sz w:val="16"/>
              </w:rPr>
            </w:pPr>
            <w:r>
              <w:rPr>
                <w:sz w:val="16"/>
              </w:rPr>
              <w:t>92,630,833,819.87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85"/>
              <w:ind w:right="88"/>
              <w:jc w:val="right"/>
              <w:rPr>
                <w:sz w:val="16"/>
              </w:rPr>
            </w:pPr>
            <w:r>
              <w:rPr>
                <w:sz w:val="16"/>
              </w:rPr>
              <w:t>-82,407,541,193.37</w:t>
            </w:r>
          </w:p>
        </w:tc>
        <w:tc>
          <w:tcPr>
            <w:tcW w:w="1844" w:type="dxa"/>
            <w:tcBorders>
              <w:top w:val="single" w:sz="4" w:space="0" w:color="000000"/>
              <w:left w:val="single" w:sz="4" w:space="0" w:color="000000"/>
              <w:bottom w:val="single" w:sz="4" w:space="0" w:color="000000"/>
            </w:tcBorders>
          </w:tcPr>
          <w:p>
            <w:pPr>
              <w:pStyle w:val="TableParagraph"/>
              <w:spacing w:before="85"/>
              <w:ind w:right="80"/>
              <w:jc w:val="right"/>
              <w:rPr>
                <w:sz w:val="16"/>
              </w:rPr>
            </w:pPr>
            <w:r>
              <w:rPr>
                <w:sz w:val="16"/>
              </w:rPr>
              <w:t>209,725,821,099.44</w:t>
            </w:r>
          </w:p>
        </w:tc>
      </w:tr>
      <w:tr>
        <w:trPr>
          <w:trHeight w:val="366" w:hRule="atLeast"/>
        </w:trPr>
        <w:tc>
          <w:tcPr>
            <w:tcW w:w="1498" w:type="dxa"/>
            <w:tcBorders>
              <w:top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其中：对外收入</w:t>
            </w:r>
          </w:p>
        </w:tc>
        <w:tc>
          <w:tcPr>
            <w:tcW w:w="1907" w:type="dxa"/>
            <w:tcBorders>
              <w:top w:val="single" w:sz="4" w:space="0" w:color="000000"/>
              <w:left w:val="single" w:sz="4" w:space="0" w:color="000000"/>
              <w:right w:val="single" w:sz="4" w:space="0" w:color="000000"/>
            </w:tcBorders>
          </w:tcPr>
          <w:p>
            <w:pPr>
              <w:pStyle w:val="TableParagraph"/>
              <w:spacing w:before="85"/>
              <w:ind w:right="90"/>
              <w:jc w:val="right"/>
              <w:rPr>
                <w:sz w:val="16"/>
              </w:rPr>
            </w:pPr>
            <w:r>
              <w:rPr>
                <w:sz w:val="16"/>
              </w:rPr>
              <w:t>100,043,920,934.59</w:t>
            </w:r>
          </w:p>
        </w:tc>
        <w:tc>
          <w:tcPr>
            <w:tcW w:w="1842" w:type="dxa"/>
            <w:tcBorders>
              <w:top w:val="single" w:sz="4" w:space="0" w:color="000000"/>
              <w:left w:val="single" w:sz="4" w:space="0" w:color="000000"/>
              <w:right w:val="single" w:sz="4" w:space="0" w:color="000000"/>
            </w:tcBorders>
          </w:tcPr>
          <w:p>
            <w:pPr>
              <w:pStyle w:val="TableParagraph"/>
              <w:spacing w:before="85"/>
              <w:ind w:left="543"/>
              <w:rPr>
                <w:sz w:val="16"/>
              </w:rPr>
            </w:pPr>
            <w:r>
              <w:rPr>
                <w:sz w:val="16"/>
              </w:rPr>
              <w:t>22,290,191,016.11</w:t>
            </w:r>
          </w:p>
        </w:tc>
        <w:tc>
          <w:tcPr>
            <w:tcW w:w="1702" w:type="dxa"/>
            <w:tcBorders>
              <w:top w:val="single" w:sz="4" w:space="0" w:color="000000"/>
              <w:left w:val="single" w:sz="4" w:space="0" w:color="000000"/>
              <w:right w:val="single" w:sz="4" w:space="0" w:color="000000"/>
            </w:tcBorders>
          </w:tcPr>
          <w:p>
            <w:pPr>
              <w:pStyle w:val="TableParagraph"/>
              <w:spacing w:before="85"/>
              <w:ind w:right="88"/>
              <w:jc w:val="right"/>
              <w:rPr>
                <w:sz w:val="16"/>
              </w:rPr>
            </w:pPr>
            <w:r>
              <w:rPr>
                <w:w w:val="100"/>
                <w:sz w:val="16"/>
              </w:rPr>
              <w:t>-</w:t>
            </w:r>
          </w:p>
        </w:tc>
        <w:tc>
          <w:tcPr>
            <w:tcW w:w="1844" w:type="dxa"/>
            <w:tcBorders>
              <w:top w:val="single" w:sz="4" w:space="0" w:color="000000"/>
              <w:left w:val="single" w:sz="4" w:space="0" w:color="000000"/>
            </w:tcBorders>
          </w:tcPr>
          <w:p>
            <w:pPr>
              <w:pStyle w:val="TableParagraph"/>
              <w:spacing w:before="85"/>
              <w:ind w:right="80"/>
              <w:jc w:val="right"/>
              <w:rPr>
                <w:sz w:val="16"/>
              </w:rPr>
            </w:pPr>
            <w:r>
              <w:rPr>
                <w:sz w:val="16"/>
              </w:rPr>
              <w:t>209,725,821,099.44</w:t>
            </w:r>
          </w:p>
        </w:tc>
      </w:tr>
    </w:tbl>
    <w:p>
      <w:pPr>
        <w:spacing w:after="0"/>
        <w:jc w:val="right"/>
        <w:rPr>
          <w:sz w:val="16"/>
        </w:rPr>
        <w:sectPr>
          <w:headerReference w:type="default" r:id="rId123"/>
          <w:footerReference w:type="default" r:id="rId124"/>
          <w:pgSz w:w="11910" w:h="16840"/>
          <w:pgMar w:header="876" w:footer="1192" w:top="1440" w:bottom="1380" w:left="260" w:right="0"/>
        </w:sectPr>
      </w:pPr>
    </w:p>
    <w:p>
      <w:pPr>
        <w:pStyle w:val="BodyText"/>
        <w:spacing w:before="2"/>
        <w:rPr>
          <w:sz w:val="5"/>
        </w:rPr>
      </w:pPr>
    </w:p>
    <w:tbl>
      <w:tblPr>
        <w:tblW w:w="0" w:type="auto"/>
        <w:jc w:val="left"/>
        <w:tblInd w:w="14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98"/>
        <w:gridCol w:w="1907"/>
        <w:gridCol w:w="1842"/>
        <w:gridCol w:w="1702"/>
        <w:gridCol w:w="1844"/>
      </w:tblGrid>
      <w:tr>
        <w:trPr>
          <w:trHeight w:val="371" w:hRule="atLeast"/>
        </w:trPr>
        <w:tc>
          <w:tcPr>
            <w:tcW w:w="1498" w:type="dxa"/>
            <w:tcBorders>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分部间收入</w:t>
            </w:r>
          </w:p>
        </w:tc>
        <w:tc>
          <w:tcPr>
            <w:tcW w:w="1907" w:type="dxa"/>
            <w:tcBorders>
              <w:left w:val="single" w:sz="4" w:space="0" w:color="000000"/>
              <w:bottom w:val="single" w:sz="4" w:space="0" w:color="000000"/>
              <w:right w:val="single" w:sz="4" w:space="0" w:color="000000"/>
            </w:tcBorders>
          </w:tcPr>
          <w:p>
            <w:pPr>
              <w:pStyle w:val="TableParagraph"/>
              <w:spacing w:before="88"/>
              <w:ind w:right="89"/>
              <w:jc w:val="right"/>
              <w:rPr>
                <w:sz w:val="16"/>
              </w:rPr>
            </w:pPr>
            <w:r>
              <w:rPr>
                <w:sz w:val="16"/>
              </w:rPr>
              <w:t>578,958,493.56</w:t>
            </w:r>
          </w:p>
        </w:tc>
        <w:tc>
          <w:tcPr>
            <w:tcW w:w="1842" w:type="dxa"/>
            <w:tcBorders>
              <w:left w:val="single" w:sz="4" w:space="0" w:color="000000"/>
              <w:bottom w:val="single" w:sz="4" w:space="0" w:color="000000"/>
              <w:right w:val="single" w:sz="4" w:space="0" w:color="000000"/>
            </w:tcBorders>
          </w:tcPr>
          <w:p>
            <w:pPr>
              <w:pStyle w:val="TableParagraph"/>
              <w:spacing w:before="88"/>
              <w:ind w:right="86"/>
              <w:jc w:val="right"/>
              <w:rPr>
                <w:sz w:val="16"/>
              </w:rPr>
            </w:pPr>
            <w:r>
              <w:rPr>
                <w:sz w:val="16"/>
              </w:rPr>
              <w:t>70,340,642,803.76</w:t>
            </w:r>
          </w:p>
        </w:tc>
        <w:tc>
          <w:tcPr>
            <w:tcW w:w="1702" w:type="dxa"/>
            <w:tcBorders>
              <w:left w:val="single" w:sz="4" w:space="0" w:color="000000"/>
              <w:bottom w:val="single" w:sz="4" w:space="0" w:color="000000"/>
              <w:right w:val="single" w:sz="4" w:space="0" w:color="000000"/>
            </w:tcBorders>
          </w:tcPr>
          <w:p>
            <w:pPr>
              <w:pStyle w:val="TableParagraph"/>
              <w:spacing w:before="88"/>
              <w:ind w:right="88"/>
              <w:jc w:val="right"/>
              <w:rPr>
                <w:sz w:val="16"/>
              </w:rPr>
            </w:pPr>
            <w:r>
              <w:rPr>
                <w:sz w:val="16"/>
              </w:rPr>
              <w:t>-82,407,541,193.37</w:t>
            </w:r>
          </w:p>
        </w:tc>
        <w:tc>
          <w:tcPr>
            <w:tcW w:w="1844" w:type="dxa"/>
            <w:tcBorders>
              <w:left w:val="single" w:sz="4" w:space="0" w:color="000000"/>
              <w:bottom w:val="single" w:sz="4" w:space="0" w:color="000000"/>
            </w:tcBorders>
          </w:tcPr>
          <w:p>
            <w:pPr>
              <w:pStyle w:val="TableParagraph"/>
              <w:spacing w:before="88"/>
              <w:ind w:right="78"/>
              <w:jc w:val="right"/>
              <w:rPr>
                <w:sz w:val="16"/>
              </w:rPr>
            </w:pPr>
            <w:r>
              <w:rPr>
                <w:w w:val="100"/>
                <w:sz w:val="16"/>
              </w:rPr>
              <w:t>-</w:t>
            </w:r>
          </w:p>
        </w:tc>
      </w:tr>
      <w:tr>
        <w:trPr>
          <w:trHeight w:val="369" w:hRule="atLeast"/>
        </w:trPr>
        <w:tc>
          <w:tcPr>
            <w:tcW w:w="1498"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分部总成本</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before="85"/>
              <w:ind w:right="90"/>
              <w:jc w:val="right"/>
              <w:rPr>
                <w:sz w:val="16"/>
              </w:rPr>
            </w:pPr>
            <w:r>
              <w:rPr>
                <w:sz w:val="16"/>
              </w:rPr>
              <w:t>96,622,453,341.44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before="85"/>
              <w:ind w:right="86"/>
              <w:jc w:val="right"/>
              <w:rPr>
                <w:sz w:val="16"/>
              </w:rPr>
            </w:pPr>
            <w:r>
              <w:rPr>
                <w:sz w:val="16"/>
              </w:rPr>
              <w:t>92,637,421,017.84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85"/>
              <w:ind w:right="88"/>
              <w:jc w:val="right"/>
              <w:rPr>
                <w:sz w:val="16"/>
              </w:rPr>
            </w:pPr>
            <w:r>
              <w:rPr>
                <w:sz w:val="16"/>
              </w:rPr>
              <w:t>-82,404,978,118.43</w:t>
            </w:r>
          </w:p>
        </w:tc>
        <w:tc>
          <w:tcPr>
            <w:tcW w:w="1844" w:type="dxa"/>
            <w:tcBorders>
              <w:top w:val="single" w:sz="4" w:space="0" w:color="000000"/>
              <w:left w:val="single" w:sz="4" w:space="0" w:color="000000"/>
              <w:bottom w:val="single" w:sz="4" w:space="0" w:color="000000"/>
            </w:tcBorders>
          </w:tcPr>
          <w:p>
            <w:pPr>
              <w:pStyle w:val="TableParagraph"/>
              <w:spacing w:before="85"/>
              <w:ind w:right="80"/>
              <w:jc w:val="right"/>
              <w:rPr>
                <w:sz w:val="16"/>
              </w:rPr>
            </w:pPr>
            <w:r>
              <w:rPr>
                <w:sz w:val="16"/>
              </w:rPr>
              <w:t>199,886,495,258.79</w:t>
            </w:r>
          </w:p>
        </w:tc>
      </w:tr>
      <w:tr>
        <w:trPr>
          <w:trHeight w:val="366" w:hRule="atLeast"/>
        </w:trPr>
        <w:tc>
          <w:tcPr>
            <w:tcW w:w="1498"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分部利润</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before="85"/>
              <w:ind w:right="90"/>
              <w:jc w:val="right"/>
              <w:rPr>
                <w:sz w:val="16"/>
              </w:rPr>
            </w:pPr>
            <w:r>
              <w:rPr>
                <w:sz w:val="16"/>
              </w:rPr>
              <w:t>4,000,426,086.71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before="85"/>
              <w:ind w:right="86"/>
              <w:jc w:val="right"/>
              <w:rPr>
                <w:sz w:val="16"/>
              </w:rPr>
            </w:pPr>
            <w:r>
              <w:rPr>
                <w:sz w:val="16"/>
              </w:rPr>
              <w:t>-6,587,197.97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85"/>
              <w:ind w:right="88"/>
              <w:jc w:val="right"/>
              <w:rPr>
                <w:sz w:val="16"/>
              </w:rPr>
            </w:pPr>
            <w:r>
              <w:rPr>
                <w:sz w:val="16"/>
              </w:rPr>
              <w:t>-2,563,074.94</w:t>
            </w:r>
          </w:p>
        </w:tc>
        <w:tc>
          <w:tcPr>
            <w:tcW w:w="1844" w:type="dxa"/>
            <w:tcBorders>
              <w:top w:val="single" w:sz="4" w:space="0" w:color="000000"/>
              <w:left w:val="single" w:sz="4" w:space="0" w:color="000000"/>
              <w:bottom w:val="single" w:sz="4" w:space="0" w:color="000000"/>
            </w:tcBorders>
          </w:tcPr>
          <w:p>
            <w:pPr>
              <w:pStyle w:val="TableParagraph"/>
              <w:spacing w:before="85"/>
              <w:ind w:right="79"/>
              <w:jc w:val="right"/>
              <w:rPr>
                <w:sz w:val="16"/>
              </w:rPr>
            </w:pPr>
            <w:r>
              <w:rPr>
                <w:sz w:val="16"/>
              </w:rPr>
              <w:t>9,839,325,840.65</w:t>
            </w:r>
          </w:p>
        </w:tc>
      </w:tr>
      <w:tr>
        <w:trPr>
          <w:trHeight w:val="369" w:hRule="atLeast"/>
        </w:trPr>
        <w:tc>
          <w:tcPr>
            <w:tcW w:w="1498"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分部资产总额</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before="88"/>
              <w:ind w:right="90"/>
              <w:jc w:val="right"/>
              <w:rPr>
                <w:sz w:val="16"/>
              </w:rPr>
            </w:pPr>
            <w:r>
              <w:rPr>
                <w:sz w:val="16"/>
              </w:rPr>
              <w:t>50,763,259,766.21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before="88"/>
              <w:ind w:right="86"/>
              <w:jc w:val="right"/>
              <w:rPr>
                <w:sz w:val="16"/>
              </w:rPr>
            </w:pPr>
            <w:r>
              <w:rPr>
                <w:sz w:val="16"/>
              </w:rPr>
              <w:t>56,983,696,562.09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before="88"/>
              <w:ind w:right="88"/>
              <w:jc w:val="right"/>
              <w:rPr>
                <w:sz w:val="16"/>
              </w:rPr>
            </w:pPr>
            <w:r>
              <w:rPr>
                <w:sz w:val="16"/>
              </w:rPr>
              <w:t>-54,985,101,891.27</w:t>
            </w:r>
          </w:p>
        </w:tc>
        <w:tc>
          <w:tcPr>
            <w:tcW w:w="1844" w:type="dxa"/>
            <w:tcBorders>
              <w:top w:val="single" w:sz="4" w:space="0" w:color="000000"/>
              <w:left w:val="single" w:sz="4" w:space="0" w:color="000000"/>
              <w:bottom w:val="single" w:sz="4" w:space="0" w:color="000000"/>
            </w:tcBorders>
          </w:tcPr>
          <w:p>
            <w:pPr>
              <w:pStyle w:val="TableParagraph"/>
              <w:spacing w:before="88"/>
              <w:ind w:right="80"/>
              <w:jc w:val="right"/>
              <w:rPr>
                <w:sz w:val="16"/>
              </w:rPr>
            </w:pPr>
            <w:r>
              <w:rPr>
                <w:sz w:val="16"/>
              </w:rPr>
              <w:t>102,182,196,346.99</w:t>
            </w:r>
          </w:p>
        </w:tc>
      </w:tr>
      <w:tr>
        <w:trPr>
          <w:trHeight w:val="368" w:hRule="atLeast"/>
        </w:trPr>
        <w:tc>
          <w:tcPr>
            <w:tcW w:w="1498" w:type="dxa"/>
            <w:tcBorders>
              <w:top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分部负债总额</w:t>
            </w:r>
          </w:p>
        </w:tc>
        <w:tc>
          <w:tcPr>
            <w:tcW w:w="1907" w:type="dxa"/>
            <w:tcBorders>
              <w:top w:val="single" w:sz="4" w:space="0" w:color="000000"/>
              <w:left w:val="single" w:sz="4" w:space="0" w:color="000000"/>
              <w:right w:val="single" w:sz="4" w:space="0" w:color="000000"/>
            </w:tcBorders>
          </w:tcPr>
          <w:p>
            <w:pPr>
              <w:pStyle w:val="TableParagraph"/>
              <w:spacing w:before="88"/>
              <w:ind w:right="90"/>
              <w:jc w:val="right"/>
              <w:rPr>
                <w:sz w:val="16"/>
              </w:rPr>
            </w:pPr>
            <w:r>
              <w:rPr>
                <w:sz w:val="16"/>
              </w:rPr>
              <w:t>31,137,719,930.78</w:t>
            </w:r>
          </w:p>
        </w:tc>
        <w:tc>
          <w:tcPr>
            <w:tcW w:w="1842" w:type="dxa"/>
            <w:tcBorders>
              <w:top w:val="single" w:sz="4" w:space="0" w:color="000000"/>
              <w:left w:val="single" w:sz="4" w:space="0" w:color="000000"/>
              <w:right w:val="single" w:sz="4" w:space="0" w:color="000000"/>
            </w:tcBorders>
          </w:tcPr>
          <w:p>
            <w:pPr>
              <w:pStyle w:val="TableParagraph"/>
              <w:spacing w:before="88"/>
              <w:ind w:right="86"/>
              <w:jc w:val="right"/>
              <w:rPr>
                <w:sz w:val="16"/>
              </w:rPr>
            </w:pPr>
            <w:r>
              <w:rPr>
                <w:sz w:val="16"/>
              </w:rPr>
              <w:t>60,169,129,987.26</w:t>
            </w:r>
          </w:p>
        </w:tc>
        <w:tc>
          <w:tcPr>
            <w:tcW w:w="1702" w:type="dxa"/>
            <w:tcBorders>
              <w:top w:val="single" w:sz="4" w:space="0" w:color="000000"/>
              <w:left w:val="single" w:sz="4" w:space="0" w:color="000000"/>
              <w:right w:val="single" w:sz="4" w:space="0" w:color="000000"/>
            </w:tcBorders>
          </w:tcPr>
          <w:p>
            <w:pPr>
              <w:pStyle w:val="TableParagraph"/>
              <w:spacing w:before="88"/>
              <w:ind w:right="88"/>
              <w:jc w:val="right"/>
              <w:rPr>
                <w:sz w:val="16"/>
              </w:rPr>
            </w:pPr>
            <w:r>
              <w:rPr>
                <w:sz w:val="16"/>
              </w:rPr>
              <w:t>-54,845,121,209.94</w:t>
            </w:r>
          </w:p>
        </w:tc>
        <w:tc>
          <w:tcPr>
            <w:tcW w:w="1844" w:type="dxa"/>
            <w:tcBorders>
              <w:top w:val="single" w:sz="4" w:space="0" w:color="000000"/>
              <w:left w:val="single" w:sz="4" w:space="0" w:color="000000"/>
            </w:tcBorders>
          </w:tcPr>
          <w:p>
            <w:pPr>
              <w:pStyle w:val="TableParagraph"/>
              <w:spacing w:before="88"/>
              <w:ind w:right="78"/>
              <w:jc w:val="right"/>
              <w:rPr>
                <w:sz w:val="16"/>
              </w:rPr>
            </w:pPr>
            <w:r>
              <w:rPr>
                <w:sz w:val="16"/>
              </w:rPr>
              <w:t>93,973,881,916.10</w:t>
            </w:r>
          </w:p>
        </w:tc>
      </w:tr>
    </w:tbl>
    <w:p>
      <w:pPr>
        <w:pStyle w:val="BodyText"/>
        <w:rPr>
          <w:sz w:val="20"/>
        </w:rPr>
      </w:pPr>
    </w:p>
    <w:p>
      <w:pPr>
        <w:pStyle w:val="BodyText"/>
        <w:rPr>
          <w:sz w:val="20"/>
        </w:rPr>
      </w:pPr>
    </w:p>
    <w:p>
      <w:pPr>
        <w:pStyle w:val="BodyText"/>
        <w:spacing w:before="1"/>
        <w:rPr>
          <w:sz w:val="15"/>
        </w:rPr>
      </w:pPr>
    </w:p>
    <w:p>
      <w:pPr>
        <w:pStyle w:val="BodyText"/>
        <w:spacing w:before="71"/>
        <w:ind w:left="1958"/>
      </w:pPr>
      <w:r>
        <w:rPr/>
        <w:t>上年同期分部信息</w:t>
      </w:r>
    </w:p>
    <w:p>
      <w:pPr>
        <w:pStyle w:val="BodyText"/>
        <w:spacing w:before="3" w:after="1"/>
        <w:rPr>
          <w:sz w:val="12"/>
        </w:r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579"/>
        <w:gridCol w:w="1464"/>
        <w:gridCol w:w="1463"/>
        <w:gridCol w:w="1463"/>
        <w:gridCol w:w="1607"/>
        <w:gridCol w:w="1606"/>
      </w:tblGrid>
      <w:tr>
        <w:trPr>
          <w:trHeight w:val="267" w:hRule="atLeast"/>
        </w:trPr>
        <w:tc>
          <w:tcPr>
            <w:tcW w:w="1579" w:type="dxa"/>
            <w:vMerge w:val="restart"/>
            <w:tcBorders>
              <w:bottom w:val="single" w:sz="4" w:space="0" w:color="000000"/>
              <w:right w:val="single" w:sz="4" w:space="0" w:color="000000"/>
            </w:tcBorders>
          </w:tcPr>
          <w:p>
            <w:pPr>
              <w:pStyle w:val="TableParagraph"/>
              <w:rPr>
                <w:rFonts w:ascii="宋体"/>
                <w:sz w:val="18"/>
              </w:rPr>
            </w:pPr>
          </w:p>
          <w:p>
            <w:pPr>
              <w:pStyle w:val="TableParagraph"/>
              <w:spacing w:before="119"/>
              <w:ind w:left="426"/>
              <w:rPr>
                <w:rFonts w:ascii="Microsoft JhengHei" w:eastAsia="Microsoft JhengHei" w:hint="eastAsia"/>
                <w:b/>
                <w:sz w:val="18"/>
              </w:rPr>
            </w:pPr>
            <w:r>
              <w:rPr>
                <w:rFonts w:ascii="Microsoft JhengHei" w:eastAsia="Microsoft JhengHei" w:hint="eastAsia"/>
                <w:b/>
                <w:sz w:val="18"/>
              </w:rPr>
              <w:t>分部信息</w:t>
            </w:r>
          </w:p>
        </w:tc>
        <w:tc>
          <w:tcPr>
            <w:tcW w:w="7603" w:type="dxa"/>
            <w:gridSpan w:val="5"/>
            <w:tcBorders>
              <w:left w:val="single" w:sz="4" w:space="0" w:color="000000"/>
              <w:bottom w:val="single" w:sz="4" w:space="0" w:color="000000"/>
            </w:tcBorders>
          </w:tcPr>
          <w:p>
            <w:pPr>
              <w:pStyle w:val="TableParagraph"/>
              <w:spacing w:line="248" w:lineRule="exact"/>
              <w:ind w:left="3071" w:right="3031"/>
              <w:jc w:val="center"/>
              <w:rPr>
                <w:rFonts w:ascii="Microsoft JhengHei" w:eastAsia="Microsoft JhengHei" w:hint="eastAsia"/>
                <w:b/>
                <w:sz w:val="18"/>
              </w:rPr>
            </w:pPr>
            <w:r>
              <w:rPr>
                <w:rFonts w:ascii="Microsoft JhengHei" w:eastAsia="Microsoft JhengHei" w:hint="eastAsia"/>
                <w:b/>
                <w:sz w:val="18"/>
              </w:rPr>
              <w:t>中国智慧家庭业务</w:t>
            </w:r>
          </w:p>
        </w:tc>
      </w:tr>
      <w:tr>
        <w:trPr>
          <w:trHeight w:val="537" w:hRule="atLeast"/>
        </w:trPr>
        <w:tc>
          <w:tcPr>
            <w:tcW w:w="1579" w:type="dxa"/>
            <w:vMerge/>
            <w:tcBorders>
              <w:top w:val="nil"/>
              <w:bottom w:val="single" w:sz="4" w:space="0" w:color="000000"/>
              <w:right w:val="single" w:sz="4" w:space="0" w:color="000000"/>
            </w:tcBorders>
          </w:tcPr>
          <w:p>
            <w:pPr>
              <w:rPr>
                <w:sz w:val="2"/>
                <w:szCs w:val="2"/>
              </w:rPr>
            </w:pPr>
          </w:p>
        </w:tc>
        <w:tc>
          <w:tcPr>
            <w:tcW w:w="29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2"/>
              <w:ind w:left="838"/>
              <w:rPr>
                <w:rFonts w:ascii="Microsoft JhengHei" w:eastAsia="Microsoft JhengHei" w:hint="eastAsia"/>
                <w:b/>
                <w:sz w:val="18"/>
              </w:rPr>
            </w:pPr>
            <w:r>
              <w:rPr>
                <w:rFonts w:ascii="Microsoft JhengHei" w:eastAsia="Microsoft JhengHei" w:hint="eastAsia"/>
                <w:b/>
                <w:sz w:val="18"/>
              </w:rPr>
              <w:t>食联网解决方案</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3" w:right="150"/>
              <w:jc w:val="center"/>
              <w:rPr>
                <w:rFonts w:ascii="Microsoft JhengHei" w:eastAsia="Microsoft JhengHei" w:hint="eastAsia"/>
                <w:b/>
                <w:sz w:val="18"/>
              </w:rPr>
            </w:pPr>
            <w:r>
              <w:rPr>
                <w:rFonts w:ascii="Microsoft JhengHei" w:eastAsia="Microsoft JhengHei" w:hint="eastAsia"/>
                <w:b/>
                <w:sz w:val="18"/>
              </w:rPr>
              <w:t>空气能源解决</w:t>
            </w:r>
          </w:p>
          <w:p>
            <w:pPr>
              <w:pStyle w:val="TableParagraph"/>
              <w:spacing w:line="280" w:lineRule="exact"/>
              <w:ind w:left="183" w:right="149"/>
              <w:jc w:val="center"/>
              <w:rPr>
                <w:rFonts w:ascii="Microsoft JhengHei" w:eastAsia="Microsoft JhengHei" w:hint="eastAsia"/>
                <w:b/>
                <w:sz w:val="18"/>
              </w:rPr>
            </w:pPr>
            <w:r>
              <w:rPr>
                <w:rFonts w:ascii="Microsoft JhengHei" w:eastAsia="Microsoft JhengHei" w:hint="eastAsia"/>
                <w:b/>
                <w:sz w:val="18"/>
              </w:rPr>
              <w:t>方案</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before="72"/>
              <w:ind w:left="182"/>
              <w:rPr>
                <w:rFonts w:ascii="Microsoft JhengHei" w:eastAsia="Microsoft JhengHei" w:hint="eastAsia"/>
                <w:b/>
                <w:sz w:val="18"/>
              </w:rPr>
            </w:pPr>
            <w:r>
              <w:rPr>
                <w:rFonts w:ascii="Microsoft JhengHei" w:eastAsia="Microsoft JhengHei" w:hint="eastAsia"/>
                <w:b/>
                <w:sz w:val="18"/>
              </w:rPr>
              <w:t>衣联网解决方案</w:t>
            </w:r>
          </w:p>
        </w:tc>
        <w:tc>
          <w:tcPr>
            <w:tcW w:w="1606" w:type="dxa"/>
            <w:tcBorders>
              <w:top w:val="single" w:sz="4" w:space="0" w:color="000000"/>
              <w:left w:val="single" w:sz="4" w:space="0" w:color="000000"/>
              <w:bottom w:val="single" w:sz="4" w:space="0" w:color="000000"/>
            </w:tcBorders>
          </w:tcPr>
          <w:p>
            <w:pPr>
              <w:pStyle w:val="TableParagraph"/>
              <w:spacing w:line="238" w:lineRule="exact"/>
              <w:ind w:left="166" w:right="119"/>
              <w:jc w:val="center"/>
              <w:rPr>
                <w:rFonts w:ascii="Microsoft JhengHei" w:eastAsia="Microsoft JhengHei" w:hint="eastAsia"/>
                <w:b/>
                <w:sz w:val="18"/>
              </w:rPr>
            </w:pPr>
            <w:r>
              <w:rPr>
                <w:rFonts w:ascii="Microsoft JhengHei" w:eastAsia="Microsoft JhengHei" w:hint="eastAsia"/>
                <w:b/>
                <w:sz w:val="18"/>
              </w:rPr>
              <w:t>全屋用水解决方</w:t>
            </w:r>
          </w:p>
          <w:p>
            <w:pPr>
              <w:pStyle w:val="TableParagraph"/>
              <w:spacing w:line="280" w:lineRule="exact"/>
              <w:ind w:left="47"/>
              <w:jc w:val="center"/>
              <w:rPr>
                <w:rFonts w:ascii="Microsoft JhengHei" w:eastAsia="Microsoft JhengHei" w:hint="eastAsia"/>
                <w:b/>
                <w:sz w:val="18"/>
              </w:rPr>
            </w:pPr>
            <w:r>
              <w:rPr>
                <w:rFonts w:ascii="Microsoft JhengHei" w:eastAsia="Microsoft JhengHei" w:hint="eastAsia"/>
                <w:b/>
                <w:sz w:val="18"/>
              </w:rPr>
              <w:t>案</w:t>
            </w:r>
          </w:p>
        </w:tc>
      </w:tr>
      <w:tr>
        <w:trPr>
          <w:trHeight w:val="268" w:hRule="atLeast"/>
        </w:trPr>
        <w:tc>
          <w:tcPr>
            <w:tcW w:w="1579" w:type="dxa"/>
            <w:vMerge/>
            <w:tcBorders>
              <w:top w:val="nil"/>
              <w:bottom w:val="single" w:sz="4" w:space="0" w:color="000000"/>
              <w:right w:val="single" w:sz="4" w:space="0" w:color="000000"/>
            </w:tcBorders>
          </w:tcPr>
          <w:p>
            <w:pPr>
              <w:rPr>
                <w:sz w:val="2"/>
                <w:szCs w:val="2"/>
              </w:rPr>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52"/>
              <w:rPr>
                <w:rFonts w:ascii="Microsoft JhengHei" w:eastAsia="Microsoft JhengHei" w:hint="eastAsia"/>
                <w:b/>
                <w:sz w:val="18"/>
              </w:rPr>
            </w:pPr>
            <w:r>
              <w:rPr>
                <w:rFonts w:ascii="Microsoft JhengHei" w:eastAsia="Microsoft JhengHei" w:hint="eastAsia"/>
                <w:b/>
                <w:sz w:val="18"/>
              </w:rPr>
              <w:t>冰箱</w:t>
            </w:r>
            <w:r>
              <w:rPr>
                <w:b/>
                <w:sz w:val="18"/>
              </w:rPr>
              <w:t>/</w:t>
            </w:r>
            <w:r>
              <w:rPr>
                <w:rFonts w:ascii="Microsoft JhengHei" w:eastAsia="Microsoft JhengHei" w:hint="eastAsia"/>
                <w:b/>
                <w:sz w:val="18"/>
              </w:rPr>
              <w:t>冷柜</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81" w:right="150"/>
              <w:jc w:val="center"/>
              <w:rPr>
                <w:rFonts w:ascii="Microsoft JhengHei" w:eastAsia="Microsoft JhengHei" w:hint="eastAsia"/>
                <w:b/>
                <w:sz w:val="18"/>
              </w:rPr>
            </w:pPr>
            <w:r>
              <w:rPr>
                <w:rFonts w:ascii="Microsoft JhengHei" w:eastAsia="Microsoft JhengHei" w:hint="eastAsia"/>
                <w:b/>
                <w:sz w:val="18"/>
              </w:rPr>
              <w:t>厨电</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83" w:right="149"/>
              <w:jc w:val="center"/>
              <w:rPr>
                <w:rFonts w:ascii="Microsoft JhengHei" w:eastAsia="Microsoft JhengHei" w:hint="eastAsia"/>
                <w:b/>
                <w:sz w:val="18"/>
              </w:rPr>
            </w:pPr>
            <w:r>
              <w:rPr>
                <w:rFonts w:ascii="Microsoft JhengHei" w:eastAsia="Microsoft JhengHei" w:hint="eastAsia"/>
                <w:b/>
                <w:sz w:val="18"/>
              </w:rPr>
              <w:t>空调</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42"/>
              <w:rPr>
                <w:rFonts w:ascii="Microsoft JhengHei" w:eastAsia="Microsoft JhengHei" w:hint="eastAsia"/>
                <w:b/>
                <w:sz w:val="18"/>
              </w:rPr>
            </w:pPr>
            <w:r>
              <w:rPr>
                <w:rFonts w:ascii="Microsoft JhengHei" w:eastAsia="Microsoft JhengHei" w:hint="eastAsia"/>
                <w:b/>
                <w:sz w:val="18"/>
              </w:rPr>
              <w:t>洗衣机</w:t>
            </w:r>
          </w:p>
        </w:tc>
        <w:tc>
          <w:tcPr>
            <w:tcW w:w="1606" w:type="dxa"/>
            <w:tcBorders>
              <w:top w:val="single" w:sz="4" w:space="0" w:color="000000"/>
              <w:left w:val="single" w:sz="4" w:space="0" w:color="000000"/>
              <w:bottom w:val="single" w:sz="4" w:space="0" w:color="000000"/>
            </w:tcBorders>
          </w:tcPr>
          <w:p>
            <w:pPr>
              <w:pStyle w:val="TableParagraph"/>
              <w:spacing w:line="248" w:lineRule="exact"/>
              <w:ind w:left="546"/>
              <w:rPr>
                <w:rFonts w:ascii="Microsoft JhengHei" w:eastAsia="Microsoft JhengHei" w:hint="eastAsia"/>
                <w:b/>
                <w:sz w:val="18"/>
              </w:rPr>
            </w:pPr>
            <w:r>
              <w:rPr>
                <w:rFonts w:ascii="Microsoft JhengHei" w:eastAsia="Microsoft JhengHei" w:hint="eastAsia"/>
                <w:b/>
                <w:sz w:val="18"/>
              </w:rPr>
              <w:t>水家电</w:t>
            </w:r>
          </w:p>
        </w:tc>
      </w:tr>
      <w:tr>
        <w:trPr>
          <w:trHeight w:val="369" w:hRule="atLeast"/>
        </w:trPr>
        <w:tc>
          <w:tcPr>
            <w:tcW w:w="1579"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分部收入</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88"/>
              <w:ind w:right="86"/>
              <w:jc w:val="right"/>
              <w:rPr>
                <w:sz w:val="16"/>
              </w:rPr>
            </w:pPr>
            <w:r>
              <w:rPr>
                <w:sz w:val="16"/>
              </w:rPr>
              <w:t>32,750,326,078.30</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before="88"/>
              <w:ind w:right="84"/>
              <w:jc w:val="right"/>
              <w:rPr>
                <w:sz w:val="16"/>
              </w:rPr>
            </w:pPr>
            <w:r>
              <w:rPr>
                <w:sz w:val="16"/>
              </w:rPr>
              <w:t>2,439,910,684.24</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before="88"/>
              <w:ind w:right="83"/>
              <w:jc w:val="right"/>
              <w:rPr>
                <w:sz w:val="16"/>
              </w:rPr>
            </w:pPr>
            <w:r>
              <w:rPr>
                <w:sz w:val="16"/>
              </w:rPr>
              <w:t>23,492,695,375.69</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before="88"/>
              <w:ind w:right="82"/>
              <w:jc w:val="right"/>
              <w:rPr>
                <w:sz w:val="16"/>
              </w:rPr>
            </w:pPr>
            <w:r>
              <w:rPr>
                <w:sz w:val="16"/>
              </w:rPr>
              <w:t>24,444,678,571.04</w:t>
            </w:r>
          </w:p>
        </w:tc>
        <w:tc>
          <w:tcPr>
            <w:tcW w:w="1606" w:type="dxa"/>
            <w:tcBorders>
              <w:top w:val="single" w:sz="4" w:space="0" w:color="000000"/>
              <w:left w:val="single" w:sz="4" w:space="0" w:color="000000"/>
              <w:bottom w:val="single" w:sz="4" w:space="0" w:color="000000"/>
            </w:tcBorders>
          </w:tcPr>
          <w:p>
            <w:pPr>
              <w:pStyle w:val="TableParagraph"/>
              <w:spacing w:before="88"/>
              <w:ind w:right="69"/>
              <w:jc w:val="right"/>
              <w:rPr>
                <w:sz w:val="16"/>
              </w:rPr>
            </w:pPr>
            <w:r>
              <w:rPr>
                <w:sz w:val="16"/>
              </w:rPr>
              <w:t>9,596,820,492.67</w:t>
            </w:r>
          </w:p>
        </w:tc>
      </w:tr>
      <w:tr>
        <w:trPr>
          <w:trHeight w:val="369" w:hRule="atLeast"/>
        </w:trPr>
        <w:tc>
          <w:tcPr>
            <w:tcW w:w="1579"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其中：对外收入</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88"/>
              <w:ind w:right="86"/>
              <w:jc w:val="right"/>
              <w:rPr>
                <w:sz w:val="16"/>
              </w:rPr>
            </w:pPr>
            <w:r>
              <w:rPr>
                <w:sz w:val="16"/>
              </w:rPr>
              <w:t>30,426,716,732.19</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before="88"/>
              <w:ind w:right="84"/>
              <w:jc w:val="right"/>
              <w:rPr>
                <w:sz w:val="16"/>
              </w:rPr>
            </w:pPr>
            <w:r>
              <w:rPr>
                <w:sz w:val="16"/>
              </w:rPr>
              <w:t>2,153,844,464.99</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before="88"/>
              <w:ind w:right="83"/>
              <w:jc w:val="right"/>
              <w:rPr>
                <w:sz w:val="16"/>
              </w:rPr>
            </w:pPr>
            <w:r>
              <w:rPr>
                <w:sz w:val="16"/>
              </w:rPr>
              <w:t>20,366,461,301.32</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before="88"/>
              <w:ind w:right="82"/>
              <w:jc w:val="right"/>
              <w:rPr>
                <w:sz w:val="16"/>
              </w:rPr>
            </w:pPr>
            <w:r>
              <w:rPr>
                <w:sz w:val="16"/>
              </w:rPr>
              <w:t>22,113,172,727.02</w:t>
            </w:r>
          </w:p>
        </w:tc>
        <w:tc>
          <w:tcPr>
            <w:tcW w:w="1606" w:type="dxa"/>
            <w:tcBorders>
              <w:top w:val="single" w:sz="4" w:space="0" w:color="000000"/>
              <w:left w:val="single" w:sz="4" w:space="0" w:color="000000"/>
              <w:bottom w:val="single" w:sz="4" w:space="0" w:color="000000"/>
            </w:tcBorders>
          </w:tcPr>
          <w:p>
            <w:pPr>
              <w:pStyle w:val="TableParagraph"/>
              <w:spacing w:before="88"/>
              <w:ind w:right="69"/>
              <w:jc w:val="right"/>
              <w:rPr>
                <w:sz w:val="16"/>
              </w:rPr>
            </w:pPr>
            <w:r>
              <w:rPr>
                <w:sz w:val="16"/>
              </w:rPr>
              <w:t>9,521,215,941.39</w:t>
            </w:r>
          </w:p>
        </w:tc>
      </w:tr>
      <w:tr>
        <w:trPr>
          <w:trHeight w:val="369" w:hRule="atLeast"/>
        </w:trPr>
        <w:tc>
          <w:tcPr>
            <w:tcW w:w="1579"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分部间收入</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88"/>
              <w:ind w:right="86"/>
              <w:jc w:val="right"/>
              <w:rPr>
                <w:sz w:val="16"/>
              </w:rPr>
            </w:pPr>
            <w:r>
              <w:rPr>
                <w:sz w:val="16"/>
              </w:rPr>
              <w:t>2,323,609,346.11</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before="88"/>
              <w:ind w:right="84"/>
              <w:jc w:val="right"/>
              <w:rPr>
                <w:sz w:val="16"/>
              </w:rPr>
            </w:pPr>
            <w:r>
              <w:rPr>
                <w:sz w:val="16"/>
              </w:rPr>
              <w:t>286,066,219.25</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before="88"/>
              <w:ind w:right="83"/>
              <w:jc w:val="right"/>
              <w:rPr>
                <w:sz w:val="16"/>
              </w:rPr>
            </w:pPr>
            <w:r>
              <w:rPr>
                <w:sz w:val="16"/>
              </w:rPr>
              <w:t>3,126,234,074.37</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before="88"/>
              <w:ind w:right="82"/>
              <w:jc w:val="right"/>
              <w:rPr>
                <w:sz w:val="16"/>
              </w:rPr>
            </w:pPr>
            <w:r>
              <w:rPr>
                <w:sz w:val="16"/>
              </w:rPr>
              <w:t>2,331,505,844.02</w:t>
            </w:r>
          </w:p>
        </w:tc>
        <w:tc>
          <w:tcPr>
            <w:tcW w:w="1606" w:type="dxa"/>
            <w:tcBorders>
              <w:top w:val="single" w:sz="4" w:space="0" w:color="000000"/>
              <w:left w:val="single" w:sz="4" w:space="0" w:color="000000"/>
              <w:bottom w:val="single" w:sz="4" w:space="0" w:color="000000"/>
            </w:tcBorders>
          </w:tcPr>
          <w:p>
            <w:pPr>
              <w:pStyle w:val="TableParagraph"/>
              <w:spacing w:before="88"/>
              <w:ind w:right="69"/>
              <w:jc w:val="right"/>
              <w:rPr>
                <w:sz w:val="16"/>
              </w:rPr>
            </w:pPr>
            <w:r>
              <w:rPr>
                <w:sz w:val="16"/>
              </w:rPr>
              <w:t>75,604,551.28</w:t>
            </w:r>
          </w:p>
        </w:tc>
      </w:tr>
      <w:tr>
        <w:trPr>
          <w:trHeight w:val="369" w:hRule="atLeast"/>
        </w:trPr>
        <w:tc>
          <w:tcPr>
            <w:tcW w:w="1579"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分部总成本</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88"/>
              <w:ind w:right="86"/>
              <w:jc w:val="right"/>
              <w:rPr>
                <w:sz w:val="16"/>
              </w:rPr>
            </w:pPr>
            <w:r>
              <w:rPr>
                <w:sz w:val="16"/>
              </w:rPr>
              <w:t>30,638,715,948.74</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before="88"/>
              <w:ind w:right="84"/>
              <w:jc w:val="right"/>
              <w:rPr>
                <w:sz w:val="16"/>
              </w:rPr>
            </w:pPr>
            <w:r>
              <w:rPr>
                <w:sz w:val="16"/>
              </w:rPr>
              <w:t>2,417,186,983.20</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before="88"/>
              <w:ind w:right="83"/>
              <w:jc w:val="right"/>
              <w:rPr>
                <w:sz w:val="16"/>
              </w:rPr>
            </w:pPr>
            <w:r>
              <w:rPr>
                <w:sz w:val="16"/>
              </w:rPr>
              <w:t>23,480,758,896.26</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before="88"/>
              <w:ind w:right="82"/>
              <w:jc w:val="right"/>
              <w:rPr>
                <w:sz w:val="16"/>
              </w:rPr>
            </w:pPr>
            <w:r>
              <w:rPr>
                <w:sz w:val="16"/>
              </w:rPr>
              <w:t>22,325,534,630.18</w:t>
            </w:r>
          </w:p>
        </w:tc>
        <w:tc>
          <w:tcPr>
            <w:tcW w:w="1606" w:type="dxa"/>
            <w:tcBorders>
              <w:top w:val="single" w:sz="4" w:space="0" w:color="000000"/>
              <w:left w:val="single" w:sz="4" w:space="0" w:color="000000"/>
              <w:bottom w:val="single" w:sz="4" w:space="0" w:color="000000"/>
            </w:tcBorders>
          </w:tcPr>
          <w:p>
            <w:pPr>
              <w:pStyle w:val="TableParagraph"/>
              <w:spacing w:before="88"/>
              <w:ind w:right="69"/>
              <w:jc w:val="right"/>
              <w:rPr>
                <w:sz w:val="16"/>
              </w:rPr>
            </w:pPr>
            <w:r>
              <w:rPr>
                <w:sz w:val="16"/>
              </w:rPr>
              <w:t>8,479,922,900.93</w:t>
            </w:r>
          </w:p>
        </w:tc>
      </w:tr>
      <w:tr>
        <w:trPr>
          <w:trHeight w:val="369" w:hRule="atLeast"/>
        </w:trPr>
        <w:tc>
          <w:tcPr>
            <w:tcW w:w="1579"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分部利润</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85"/>
              <w:ind w:right="86"/>
              <w:jc w:val="right"/>
              <w:rPr>
                <w:sz w:val="16"/>
              </w:rPr>
            </w:pPr>
            <w:r>
              <w:rPr>
                <w:sz w:val="16"/>
              </w:rPr>
              <w:t>2,111,610,129.56</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before="85"/>
              <w:ind w:right="84"/>
              <w:jc w:val="right"/>
              <w:rPr>
                <w:sz w:val="16"/>
              </w:rPr>
            </w:pPr>
            <w:r>
              <w:rPr>
                <w:sz w:val="16"/>
              </w:rPr>
              <w:t>22,723,701.04</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before="85"/>
              <w:ind w:right="82"/>
              <w:jc w:val="right"/>
              <w:rPr>
                <w:sz w:val="16"/>
              </w:rPr>
            </w:pPr>
            <w:r>
              <w:rPr>
                <w:sz w:val="16"/>
              </w:rPr>
              <w:t>11,936,479.43</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before="85"/>
              <w:ind w:right="82"/>
              <w:jc w:val="right"/>
              <w:rPr>
                <w:sz w:val="16"/>
              </w:rPr>
            </w:pPr>
            <w:r>
              <w:rPr>
                <w:sz w:val="16"/>
              </w:rPr>
              <w:t>2,119,143,940.86</w:t>
            </w:r>
          </w:p>
        </w:tc>
        <w:tc>
          <w:tcPr>
            <w:tcW w:w="1606" w:type="dxa"/>
            <w:tcBorders>
              <w:top w:val="single" w:sz="4" w:space="0" w:color="000000"/>
              <w:left w:val="single" w:sz="4" w:space="0" w:color="000000"/>
              <w:bottom w:val="single" w:sz="4" w:space="0" w:color="000000"/>
            </w:tcBorders>
          </w:tcPr>
          <w:p>
            <w:pPr>
              <w:pStyle w:val="TableParagraph"/>
              <w:spacing w:before="85"/>
              <w:ind w:right="69"/>
              <w:jc w:val="right"/>
              <w:rPr>
                <w:sz w:val="16"/>
              </w:rPr>
            </w:pPr>
            <w:r>
              <w:rPr>
                <w:sz w:val="16"/>
              </w:rPr>
              <w:t>1,116,897,591.74</w:t>
            </w:r>
          </w:p>
        </w:tc>
      </w:tr>
      <w:tr>
        <w:trPr>
          <w:trHeight w:val="369" w:hRule="atLeast"/>
        </w:trPr>
        <w:tc>
          <w:tcPr>
            <w:tcW w:w="1579"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分部资产总额</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85"/>
              <w:ind w:right="86"/>
              <w:jc w:val="right"/>
              <w:rPr>
                <w:sz w:val="16"/>
              </w:rPr>
            </w:pPr>
            <w:r>
              <w:rPr>
                <w:sz w:val="16"/>
              </w:rPr>
              <w:t>10,182,685,599.34</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before="85"/>
              <w:ind w:right="84"/>
              <w:jc w:val="right"/>
              <w:rPr>
                <w:sz w:val="16"/>
              </w:rPr>
            </w:pPr>
            <w:r>
              <w:rPr>
                <w:sz w:val="16"/>
              </w:rPr>
              <w:t>1,601,295,526.79</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before="85"/>
              <w:ind w:right="83"/>
              <w:jc w:val="right"/>
              <w:rPr>
                <w:sz w:val="16"/>
              </w:rPr>
            </w:pPr>
            <w:r>
              <w:rPr>
                <w:sz w:val="16"/>
              </w:rPr>
              <w:t>16,080,937,914.13</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before="85"/>
              <w:ind w:right="82"/>
              <w:jc w:val="right"/>
              <w:rPr>
                <w:sz w:val="16"/>
              </w:rPr>
            </w:pPr>
            <w:r>
              <w:rPr>
                <w:sz w:val="16"/>
              </w:rPr>
              <w:t>9,674,956,522.67</w:t>
            </w:r>
          </w:p>
        </w:tc>
        <w:tc>
          <w:tcPr>
            <w:tcW w:w="1606" w:type="dxa"/>
            <w:tcBorders>
              <w:top w:val="single" w:sz="4" w:space="0" w:color="000000"/>
              <w:left w:val="single" w:sz="4" w:space="0" w:color="000000"/>
              <w:bottom w:val="single" w:sz="4" w:space="0" w:color="000000"/>
            </w:tcBorders>
          </w:tcPr>
          <w:p>
            <w:pPr>
              <w:pStyle w:val="TableParagraph"/>
              <w:spacing w:before="85"/>
              <w:ind w:right="69"/>
              <w:jc w:val="right"/>
              <w:rPr>
                <w:sz w:val="16"/>
              </w:rPr>
            </w:pPr>
            <w:r>
              <w:rPr>
                <w:sz w:val="16"/>
              </w:rPr>
              <w:t>3,321,820,888.60</w:t>
            </w:r>
          </w:p>
        </w:tc>
      </w:tr>
      <w:tr>
        <w:trPr>
          <w:trHeight w:val="366" w:hRule="atLeast"/>
        </w:trPr>
        <w:tc>
          <w:tcPr>
            <w:tcW w:w="1579" w:type="dxa"/>
            <w:tcBorders>
              <w:top w:val="single" w:sz="4" w:space="0" w:color="000000"/>
              <w:right w:val="single" w:sz="4" w:space="0" w:color="000000"/>
            </w:tcBorders>
          </w:tcPr>
          <w:p>
            <w:pPr>
              <w:pStyle w:val="TableParagraph"/>
              <w:spacing w:before="48"/>
              <w:ind w:left="107"/>
              <w:rPr>
                <w:rFonts w:ascii="宋体" w:eastAsia="宋体" w:hint="eastAsia"/>
                <w:sz w:val="18"/>
              </w:rPr>
            </w:pPr>
            <w:r>
              <w:rPr>
                <w:rFonts w:ascii="宋体" w:eastAsia="宋体" w:hint="eastAsia"/>
                <w:sz w:val="18"/>
              </w:rPr>
              <w:t>分部负债总额</w:t>
            </w:r>
          </w:p>
        </w:tc>
        <w:tc>
          <w:tcPr>
            <w:tcW w:w="1464" w:type="dxa"/>
            <w:tcBorders>
              <w:top w:val="single" w:sz="4" w:space="0" w:color="000000"/>
              <w:left w:val="single" w:sz="4" w:space="0" w:color="000000"/>
              <w:right w:val="single" w:sz="4" w:space="0" w:color="000000"/>
            </w:tcBorders>
          </w:tcPr>
          <w:p>
            <w:pPr>
              <w:pStyle w:val="TableParagraph"/>
              <w:spacing w:before="85"/>
              <w:ind w:right="86"/>
              <w:jc w:val="right"/>
              <w:rPr>
                <w:sz w:val="16"/>
              </w:rPr>
            </w:pPr>
            <w:r>
              <w:rPr>
                <w:sz w:val="16"/>
              </w:rPr>
              <w:t>30,598,595,271.84</w:t>
            </w:r>
          </w:p>
        </w:tc>
        <w:tc>
          <w:tcPr>
            <w:tcW w:w="1463" w:type="dxa"/>
            <w:tcBorders>
              <w:top w:val="single" w:sz="4" w:space="0" w:color="000000"/>
              <w:left w:val="single" w:sz="4" w:space="0" w:color="000000"/>
              <w:right w:val="single" w:sz="4" w:space="0" w:color="000000"/>
            </w:tcBorders>
          </w:tcPr>
          <w:p>
            <w:pPr>
              <w:pStyle w:val="TableParagraph"/>
              <w:spacing w:before="85"/>
              <w:ind w:right="84"/>
              <w:jc w:val="right"/>
              <w:rPr>
                <w:sz w:val="16"/>
              </w:rPr>
            </w:pPr>
            <w:r>
              <w:rPr>
                <w:sz w:val="16"/>
              </w:rPr>
              <w:t>1,468,196,660.29</w:t>
            </w:r>
          </w:p>
        </w:tc>
        <w:tc>
          <w:tcPr>
            <w:tcW w:w="1463" w:type="dxa"/>
            <w:tcBorders>
              <w:top w:val="single" w:sz="4" w:space="0" w:color="000000"/>
              <w:left w:val="single" w:sz="4" w:space="0" w:color="000000"/>
              <w:right w:val="single" w:sz="4" w:space="0" w:color="000000"/>
            </w:tcBorders>
          </w:tcPr>
          <w:p>
            <w:pPr>
              <w:pStyle w:val="TableParagraph"/>
              <w:spacing w:before="85"/>
              <w:ind w:right="83"/>
              <w:jc w:val="right"/>
              <w:rPr>
                <w:sz w:val="16"/>
              </w:rPr>
            </w:pPr>
            <w:r>
              <w:rPr>
                <w:sz w:val="16"/>
              </w:rPr>
              <w:t>8,590,183,771.36</w:t>
            </w:r>
          </w:p>
        </w:tc>
        <w:tc>
          <w:tcPr>
            <w:tcW w:w="1607" w:type="dxa"/>
            <w:tcBorders>
              <w:top w:val="single" w:sz="4" w:space="0" w:color="000000"/>
              <w:left w:val="single" w:sz="4" w:space="0" w:color="000000"/>
              <w:right w:val="single" w:sz="4" w:space="0" w:color="000000"/>
            </w:tcBorders>
          </w:tcPr>
          <w:p>
            <w:pPr>
              <w:pStyle w:val="TableParagraph"/>
              <w:spacing w:before="85"/>
              <w:ind w:right="82"/>
              <w:jc w:val="right"/>
              <w:rPr>
                <w:sz w:val="16"/>
              </w:rPr>
            </w:pPr>
            <w:r>
              <w:rPr>
                <w:sz w:val="16"/>
              </w:rPr>
              <w:t>7,447,258,502.94</w:t>
            </w:r>
          </w:p>
        </w:tc>
        <w:tc>
          <w:tcPr>
            <w:tcW w:w="1606" w:type="dxa"/>
            <w:tcBorders>
              <w:top w:val="single" w:sz="4" w:space="0" w:color="000000"/>
              <w:left w:val="single" w:sz="4" w:space="0" w:color="000000"/>
            </w:tcBorders>
          </w:tcPr>
          <w:p>
            <w:pPr>
              <w:pStyle w:val="TableParagraph"/>
              <w:spacing w:before="85"/>
              <w:ind w:right="69"/>
              <w:jc w:val="right"/>
              <w:rPr>
                <w:sz w:val="16"/>
              </w:rPr>
            </w:pPr>
            <w:r>
              <w:rPr>
                <w:sz w:val="16"/>
              </w:rPr>
              <w:t>4,135,690,962.81</w:t>
            </w:r>
          </w:p>
        </w:tc>
      </w:tr>
    </w:tbl>
    <w:p>
      <w:pPr>
        <w:pStyle w:val="BodyText"/>
        <w:spacing w:before="123"/>
        <w:ind w:left="1538"/>
      </w:pPr>
      <w:r>
        <w:rPr/>
        <w:t>续表</w:t>
      </w:r>
    </w:p>
    <w:p>
      <w:pPr>
        <w:pStyle w:val="BodyText"/>
        <w:spacing w:before="6"/>
        <w:rPr>
          <w:sz w:val="9"/>
        </w:r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639"/>
        <w:gridCol w:w="1791"/>
        <w:gridCol w:w="1860"/>
        <w:gridCol w:w="1863"/>
        <w:gridCol w:w="1896"/>
      </w:tblGrid>
      <w:tr>
        <w:trPr>
          <w:trHeight w:val="627" w:hRule="atLeast"/>
        </w:trPr>
        <w:tc>
          <w:tcPr>
            <w:tcW w:w="1639" w:type="dxa"/>
            <w:tcBorders>
              <w:bottom w:val="single" w:sz="4" w:space="0" w:color="000000"/>
              <w:right w:val="single" w:sz="4" w:space="0" w:color="000000"/>
            </w:tcBorders>
          </w:tcPr>
          <w:p>
            <w:pPr>
              <w:pStyle w:val="TableParagraph"/>
              <w:spacing w:before="89"/>
              <w:ind w:left="397"/>
              <w:rPr>
                <w:rFonts w:ascii="Microsoft JhengHei" w:eastAsia="Microsoft JhengHei" w:hint="eastAsia"/>
                <w:b/>
                <w:sz w:val="21"/>
              </w:rPr>
            </w:pPr>
            <w:r>
              <w:rPr>
                <w:rFonts w:ascii="Microsoft JhengHei" w:eastAsia="Microsoft JhengHei" w:hint="eastAsia"/>
                <w:b/>
                <w:sz w:val="21"/>
              </w:rPr>
              <w:t>分部信息</w:t>
            </w:r>
          </w:p>
        </w:tc>
        <w:tc>
          <w:tcPr>
            <w:tcW w:w="1791" w:type="dxa"/>
            <w:tcBorders>
              <w:left w:val="single" w:sz="4" w:space="0" w:color="000000"/>
              <w:bottom w:val="single" w:sz="4" w:space="0" w:color="000000"/>
              <w:right w:val="single" w:sz="4" w:space="0" w:color="000000"/>
            </w:tcBorders>
          </w:tcPr>
          <w:p>
            <w:pPr>
              <w:pStyle w:val="TableParagraph"/>
              <w:spacing w:line="283" w:lineRule="exact"/>
              <w:ind w:left="149" w:right="121"/>
              <w:jc w:val="center"/>
              <w:rPr>
                <w:rFonts w:ascii="Microsoft JhengHei" w:eastAsia="Microsoft JhengHei" w:hint="eastAsia"/>
                <w:b/>
                <w:sz w:val="21"/>
              </w:rPr>
            </w:pPr>
            <w:r>
              <w:rPr>
                <w:rFonts w:ascii="Microsoft JhengHei" w:eastAsia="Microsoft JhengHei" w:hint="eastAsia"/>
                <w:b/>
                <w:sz w:val="21"/>
              </w:rPr>
              <w:t>海外家电与智慧</w:t>
            </w:r>
          </w:p>
          <w:p>
            <w:pPr>
              <w:pStyle w:val="TableParagraph"/>
              <w:spacing w:line="325" w:lineRule="exact"/>
              <w:ind w:left="149" w:right="120"/>
              <w:jc w:val="center"/>
              <w:rPr>
                <w:rFonts w:ascii="Microsoft JhengHei" w:eastAsia="Microsoft JhengHei" w:hint="eastAsia"/>
                <w:b/>
                <w:sz w:val="21"/>
              </w:rPr>
            </w:pPr>
            <w:r>
              <w:rPr>
                <w:rFonts w:ascii="Microsoft JhengHei" w:eastAsia="Microsoft JhengHei" w:hint="eastAsia"/>
                <w:b/>
                <w:sz w:val="21"/>
              </w:rPr>
              <w:t>家庭业务</w:t>
            </w:r>
          </w:p>
        </w:tc>
        <w:tc>
          <w:tcPr>
            <w:tcW w:w="1860" w:type="dxa"/>
            <w:tcBorders>
              <w:left w:val="single" w:sz="4" w:space="0" w:color="000000"/>
              <w:bottom w:val="single" w:sz="4" w:space="0" w:color="000000"/>
              <w:right w:val="single" w:sz="4" w:space="0" w:color="000000"/>
            </w:tcBorders>
          </w:tcPr>
          <w:p>
            <w:pPr>
              <w:pStyle w:val="TableParagraph"/>
              <w:spacing w:before="89"/>
              <w:ind w:left="518"/>
              <w:rPr>
                <w:rFonts w:ascii="Microsoft JhengHei" w:eastAsia="Microsoft JhengHei" w:hint="eastAsia"/>
                <w:b/>
                <w:sz w:val="21"/>
              </w:rPr>
            </w:pPr>
            <w:r>
              <w:rPr>
                <w:rFonts w:ascii="Microsoft JhengHei" w:eastAsia="Microsoft JhengHei" w:hint="eastAsia"/>
                <w:b/>
                <w:sz w:val="21"/>
              </w:rPr>
              <w:t>其他业务</w:t>
            </w:r>
          </w:p>
        </w:tc>
        <w:tc>
          <w:tcPr>
            <w:tcW w:w="1863" w:type="dxa"/>
            <w:tcBorders>
              <w:left w:val="single" w:sz="4" w:space="0" w:color="000000"/>
              <w:bottom w:val="single" w:sz="4" w:space="0" w:color="000000"/>
              <w:right w:val="single" w:sz="4" w:space="0" w:color="000000"/>
            </w:tcBorders>
          </w:tcPr>
          <w:p>
            <w:pPr>
              <w:pStyle w:val="TableParagraph"/>
              <w:spacing w:before="89"/>
              <w:ind w:left="413"/>
              <w:rPr>
                <w:rFonts w:ascii="Microsoft JhengHei" w:eastAsia="Microsoft JhengHei" w:hint="eastAsia"/>
                <w:b/>
                <w:sz w:val="21"/>
              </w:rPr>
            </w:pPr>
            <w:r>
              <w:rPr>
                <w:rFonts w:ascii="Microsoft JhengHei" w:eastAsia="Microsoft JhengHei" w:hint="eastAsia"/>
                <w:b/>
                <w:sz w:val="21"/>
              </w:rPr>
              <w:t>分部间抵销</w:t>
            </w:r>
          </w:p>
        </w:tc>
        <w:tc>
          <w:tcPr>
            <w:tcW w:w="1896" w:type="dxa"/>
            <w:tcBorders>
              <w:left w:val="single" w:sz="4" w:space="0" w:color="000000"/>
              <w:bottom w:val="single" w:sz="4" w:space="0" w:color="000000"/>
            </w:tcBorders>
          </w:tcPr>
          <w:p>
            <w:pPr>
              <w:pStyle w:val="TableParagraph"/>
              <w:spacing w:before="89"/>
              <w:ind w:left="725" w:right="690"/>
              <w:jc w:val="center"/>
              <w:rPr>
                <w:rFonts w:ascii="Microsoft JhengHei" w:eastAsia="Microsoft JhengHei" w:hint="eastAsia"/>
                <w:b/>
                <w:sz w:val="21"/>
              </w:rPr>
            </w:pPr>
            <w:r>
              <w:rPr>
                <w:rFonts w:ascii="Microsoft JhengHei" w:eastAsia="Microsoft JhengHei" w:hint="eastAsia"/>
                <w:b/>
                <w:sz w:val="21"/>
              </w:rPr>
              <w:t>合计</w:t>
            </w:r>
          </w:p>
        </w:tc>
      </w:tr>
      <w:tr>
        <w:trPr>
          <w:trHeight w:val="369" w:hRule="atLeast"/>
        </w:trPr>
        <w:tc>
          <w:tcPr>
            <w:tcW w:w="1639"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分部收入</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92,913,936,593.05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88,576,700,061.08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before="58"/>
              <w:ind w:right="86"/>
              <w:jc w:val="right"/>
              <w:rPr>
                <w:sz w:val="21"/>
              </w:rPr>
            </w:pPr>
            <w:r>
              <w:rPr>
                <w:sz w:val="21"/>
              </w:rPr>
              <w:t>-73,453,084,599.50</w:t>
            </w:r>
          </w:p>
        </w:tc>
        <w:tc>
          <w:tcPr>
            <w:tcW w:w="1896" w:type="dxa"/>
            <w:tcBorders>
              <w:top w:val="single" w:sz="4" w:space="0" w:color="000000"/>
              <w:left w:val="single" w:sz="4" w:space="0" w:color="000000"/>
              <w:bottom w:val="single" w:sz="4" w:space="0" w:color="000000"/>
            </w:tcBorders>
          </w:tcPr>
          <w:p>
            <w:pPr>
              <w:pStyle w:val="TableParagraph"/>
              <w:spacing w:before="58"/>
              <w:ind w:right="73"/>
              <w:jc w:val="right"/>
              <w:rPr>
                <w:sz w:val="21"/>
              </w:rPr>
            </w:pPr>
            <w:r>
              <w:rPr>
                <w:sz w:val="21"/>
              </w:rPr>
              <w:t>200,761,983,256.57</w:t>
            </w:r>
          </w:p>
        </w:tc>
      </w:tr>
      <w:tr>
        <w:trPr>
          <w:trHeight w:val="369" w:hRule="atLeast"/>
        </w:trPr>
        <w:tc>
          <w:tcPr>
            <w:tcW w:w="1639"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其中：对外收入</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92,392,836,342.58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23,787,735,747.08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896" w:type="dxa"/>
            <w:tcBorders>
              <w:top w:val="single" w:sz="4" w:space="0" w:color="000000"/>
              <w:left w:val="single" w:sz="4" w:space="0" w:color="000000"/>
              <w:bottom w:val="single" w:sz="4" w:space="0" w:color="000000"/>
            </w:tcBorders>
          </w:tcPr>
          <w:p>
            <w:pPr>
              <w:pStyle w:val="TableParagraph"/>
              <w:spacing w:before="58"/>
              <w:ind w:right="73"/>
              <w:jc w:val="right"/>
              <w:rPr>
                <w:sz w:val="21"/>
              </w:rPr>
            </w:pPr>
            <w:r>
              <w:rPr>
                <w:sz w:val="21"/>
              </w:rPr>
              <w:t>200,761,983,256.57</w:t>
            </w:r>
          </w:p>
        </w:tc>
      </w:tr>
      <w:tr>
        <w:trPr>
          <w:trHeight w:val="369" w:hRule="atLeast"/>
        </w:trPr>
        <w:tc>
          <w:tcPr>
            <w:tcW w:w="1639"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分部间收入</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521,100,250.47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64,788,964,314.00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before="58"/>
              <w:ind w:right="86"/>
              <w:jc w:val="right"/>
              <w:rPr>
                <w:sz w:val="21"/>
              </w:rPr>
            </w:pPr>
            <w:r>
              <w:rPr>
                <w:sz w:val="21"/>
              </w:rPr>
              <w:t>-73,453,084,599.50</w:t>
            </w:r>
          </w:p>
        </w:tc>
        <w:tc>
          <w:tcPr>
            <w:tcW w:w="1896" w:type="dxa"/>
            <w:tcBorders>
              <w:top w:val="single" w:sz="4" w:space="0" w:color="000000"/>
              <w:left w:val="single" w:sz="4" w:space="0" w:color="000000"/>
              <w:bottom w:val="single" w:sz="4" w:space="0" w:color="000000"/>
            </w:tcBorders>
          </w:tcPr>
          <w:p>
            <w:pPr>
              <w:pStyle w:val="TableParagraph"/>
              <w:rPr>
                <w:sz w:val="18"/>
              </w:rPr>
            </w:pPr>
          </w:p>
        </w:tc>
      </w:tr>
      <w:tr>
        <w:trPr>
          <w:trHeight w:val="369" w:hRule="atLeast"/>
        </w:trPr>
        <w:tc>
          <w:tcPr>
            <w:tcW w:w="1639"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分部总成本</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before="55"/>
              <w:ind w:right="84"/>
              <w:jc w:val="right"/>
              <w:rPr>
                <w:sz w:val="21"/>
              </w:rPr>
            </w:pPr>
            <w:r>
              <w:rPr>
                <w:sz w:val="21"/>
              </w:rPr>
              <w:t>89,758,855,043.71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before="55"/>
              <w:ind w:right="83"/>
              <w:jc w:val="right"/>
              <w:rPr>
                <w:sz w:val="21"/>
              </w:rPr>
            </w:pPr>
            <w:r>
              <w:rPr>
                <w:sz w:val="21"/>
              </w:rPr>
              <w:t>88,359,287,313.74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before="55"/>
              <w:ind w:right="86"/>
              <w:jc w:val="right"/>
              <w:rPr>
                <w:sz w:val="21"/>
              </w:rPr>
            </w:pPr>
            <w:r>
              <w:rPr>
                <w:sz w:val="21"/>
              </w:rPr>
              <w:t>-73,496,036,895.98</w:t>
            </w:r>
          </w:p>
        </w:tc>
        <w:tc>
          <w:tcPr>
            <w:tcW w:w="1896" w:type="dxa"/>
            <w:tcBorders>
              <w:top w:val="single" w:sz="4" w:space="0" w:color="000000"/>
              <w:left w:val="single" w:sz="4" w:space="0" w:color="000000"/>
              <w:bottom w:val="single" w:sz="4" w:space="0" w:color="000000"/>
            </w:tcBorders>
          </w:tcPr>
          <w:p>
            <w:pPr>
              <w:pStyle w:val="TableParagraph"/>
              <w:spacing w:before="55"/>
              <w:ind w:right="73"/>
              <w:jc w:val="right"/>
              <w:rPr>
                <w:sz w:val="21"/>
              </w:rPr>
            </w:pPr>
            <w:r>
              <w:rPr>
                <w:sz w:val="21"/>
              </w:rPr>
              <w:t>191,964,224,820.78</w:t>
            </w:r>
          </w:p>
        </w:tc>
      </w:tr>
      <w:tr>
        <w:trPr>
          <w:trHeight w:val="369" w:hRule="atLeast"/>
        </w:trPr>
        <w:tc>
          <w:tcPr>
            <w:tcW w:w="1639"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分部利润</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before="55"/>
              <w:ind w:right="84"/>
              <w:jc w:val="right"/>
              <w:rPr>
                <w:sz w:val="21"/>
              </w:rPr>
            </w:pPr>
            <w:r>
              <w:rPr>
                <w:sz w:val="21"/>
              </w:rPr>
              <w:t>3,155,081,549.34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before="55"/>
              <w:ind w:right="83"/>
              <w:jc w:val="right"/>
              <w:rPr>
                <w:sz w:val="21"/>
              </w:rPr>
            </w:pPr>
            <w:r>
              <w:rPr>
                <w:sz w:val="21"/>
              </w:rPr>
              <w:t>217,412,747.34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before="55"/>
              <w:ind w:right="86"/>
              <w:jc w:val="right"/>
              <w:rPr>
                <w:sz w:val="21"/>
              </w:rPr>
            </w:pPr>
            <w:r>
              <w:rPr>
                <w:sz w:val="21"/>
              </w:rPr>
              <w:t>42,952,296.48</w:t>
            </w:r>
          </w:p>
        </w:tc>
        <w:tc>
          <w:tcPr>
            <w:tcW w:w="1896" w:type="dxa"/>
            <w:tcBorders>
              <w:top w:val="single" w:sz="4" w:space="0" w:color="000000"/>
              <w:left w:val="single" w:sz="4" w:space="0" w:color="000000"/>
              <w:bottom w:val="single" w:sz="4" w:space="0" w:color="000000"/>
            </w:tcBorders>
          </w:tcPr>
          <w:p>
            <w:pPr>
              <w:pStyle w:val="TableParagraph"/>
              <w:spacing w:before="55"/>
              <w:ind w:right="73"/>
              <w:jc w:val="right"/>
              <w:rPr>
                <w:sz w:val="21"/>
              </w:rPr>
            </w:pPr>
            <w:r>
              <w:rPr>
                <w:sz w:val="21"/>
              </w:rPr>
              <w:t>8,797,758,435.79</w:t>
            </w:r>
          </w:p>
        </w:tc>
      </w:tr>
      <w:tr>
        <w:trPr>
          <w:trHeight w:val="366" w:hRule="atLeast"/>
        </w:trPr>
        <w:tc>
          <w:tcPr>
            <w:tcW w:w="1639"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分部资产总额</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before="55"/>
              <w:ind w:right="84"/>
              <w:jc w:val="right"/>
              <w:rPr>
                <w:sz w:val="21"/>
              </w:rPr>
            </w:pPr>
            <w:r>
              <w:rPr>
                <w:sz w:val="21"/>
              </w:rPr>
              <w:t>45,754,466,477.11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before="55"/>
              <w:ind w:right="83"/>
              <w:jc w:val="right"/>
              <w:rPr>
                <w:sz w:val="21"/>
              </w:rPr>
            </w:pPr>
            <w:r>
              <w:rPr>
                <w:sz w:val="21"/>
              </w:rPr>
              <w:t>48,931,878,145.26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before="55"/>
              <w:ind w:right="86"/>
              <w:jc w:val="right"/>
              <w:rPr>
                <w:sz w:val="21"/>
              </w:rPr>
            </w:pPr>
            <w:r>
              <w:rPr>
                <w:sz w:val="21"/>
              </w:rPr>
              <w:t>-38,979,895,269.93</w:t>
            </w:r>
          </w:p>
        </w:tc>
        <w:tc>
          <w:tcPr>
            <w:tcW w:w="1896" w:type="dxa"/>
            <w:tcBorders>
              <w:top w:val="single" w:sz="4" w:space="0" w:color="000000"/>
              <w:left w:val="single" w:sz="4" w:space="0" w:color="000000"/>
              <w:bottom w:val="single" w:sz="4" w:space="0" w:color="000000"/>
            </w:tcBorders>
          </w:tcPr>
          <w:p>
            <w:pPr>
              <w:pStyle w:val="TableParagraph"/>
              <w:spacing w:before="55"/>
              <w:ind w:right="73"/>
              <w:jc w:val="right"/>
              <w:rPr>
                <w:sz w:val="21"/>
              </w:rPr>
            </w:pPr>
            <w:r>
              <w:rPr>
                <w:sz w:val="21"/>
              </w:rPr>
              <w:t>96,568,145,803.97</w:t>
            </w:r>
          </w:p>
        </w:tc>
      </w:tr>
      <w:tr>
        <w:trPr>
          <w:trHeight w:val="368" w:hRule="atLeast"/>
        </w:trPr>
        <w:tc>
          <w:tcPr>
            <w:tcW w:w="1639" w:type="dxa"/>
            <w:tcBorders>
              <w:top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分部负债总额</w:t>
            </w:r>
          </w:p>
        </w:tc>
        <w:tc>
          <w:tcPr>
            <w:tcW w:w="1791" w:type="dxa"/>
            <w:tcBorders>
              <w:top w:val="single" w:sz="4" w:space="0" w:color="000000"/>
              <w:left w:val="single" w:sz="4" w:space="0" w:color="000000"/>
              <w:right w:val="single" w:sz="4" w:space="0" w:color="000000"/>
            </w:tcBorders>
          </w:tcPr>
          <w:p>
            <w:pPr>
              <w:pStyle w:val="TableParagraph"/>
              <w:spacing w:before="58"/>
              <w:ind w:right="84"/>
              <w:jc w:val="right"/>
              <w:rPr>
                <w:sz w:val="21"/>
              </w:rPr>
            </w:pPr>
            <w:r>
              <w:rPr>
                <w:sz w:val="21"/>
              </w:rPr>
              <w:t>24,233,067,377.15</w:t>
            </w:r>
          </w:p>
        </w:tc>
        <w:tc>
          <w:tcPr>
            <w:tcW w:w="1860" w:type="dxa"/>
            <w:tcBorders>
              <w:top w:val="single" w:sz="4" w:space="0" w:color="000000"/>
              <w:left w:val="single" w:sz="4" w:space="0" w:color="000000"/>
              <w:right w:val="single" w:sz="4" w:space="0" w:color="000000"/>
            </w:tcBorders>
          </w:tcPr>
          <w:p>
            <w:pPr>
              <w:pStyle w:val="TableParagraph"/>
              <w:spacing w:before="58"/>
              <w:ind w:right="83"/>
              <w:jc w:val="right"/>
              <w:rPr>
                <w:sz w:val="21"/>
              </w:rPr>
            </w:pPr>
            <w:r>
              <w:rPr>
                <w:sz w:val="21"/>
              </w:rPr>
              <w:t>48,310,739,488.06</w:t>
            </w:r>
          </w:p>
        </w:tc>
        <w:tc>
          <w:tcPr>
            <w:tcW w:w="1863" w:type="dxa"/>
            <w:tcBorders>
              <w:top w:val="single" w:sz="4" w:space="0" w:color="000000"/>
              <w:left w:val="single" w:sz="4" w:space="0" w:color="000000"/>
              <w:right w:val="single" w:sz="4" w:space="0" w:color="000000"/>
            </w:tcBorders>
          </w:tcPr>
          <w:p>
            <w:pPr>
              <w:pStyle w:val="TableParagraph"/>
              <w:spacing w:before="58"/>
              <w:ind w:right="86"/>
              <w:jc w:val="right"/>
              <w:rPr>
                <w:sz w:val="21"/>
              </w:rPr>
            </w:pPr>
            <w:r>
              <w:rPr>
                <w:sz w:val="21"/>
              </w:rPr>
              <w:t>-39,098,430,484.39</w:t>
            </w:r>
          </w:p>
        </w:tc>
        <w:tc>
          <w:tcPr>
            <w:tcW w:w="1896" w:type="dxa"/>
            <w:tcBorders>
              <w:top w:val="single" w:sz="4" w:space="0" w:color="000000"/>
              <w:left w:val="single" w:sz="4" w:space="0" w:color="000000"/>
            </w:tcBorders>
          </w:tcPr>
          <w:p>
            <w:pPr>
              <w:pStyle w:val="TableParagraph"/>
              <w:spacing w:before="58"/>
              <w:ind w:right="73"/>
              <w:jc w:val="right"/>
              <w:rPr>
                <w:sz w:val="21"/>
              </w:rPr>
            </w:pPr>
            <w:r>
              <w:rPr>
                <w:sz w:val="21"/>
              </w:rPr>
              <w:t>85,685,301,550.06</w:t>
            </w:r>
          </w:p>
        </w:tc>
      </w:tr>
    </w:tbl>
    <w:p>
      <w:pPr>
        <w:pStyle w:val="ListParagraph"/>
        <w:numPr>
          <w:ilvl w:val="0"/>
          <w:numId w:val="72"/>
        </w:numPr>
        <w:tabs>
          <w:tab w:pos="2173" w:val="left" w:leader="none"/>
        </w:tabs>
        <w:spacing w:line="240" w:lineRule="auto" w:before="177" w:after="0"/>
        <w:ind w:left="2172" w:right="0" w:hanging="530"/>
        <w:jc w:val="left"/>
        <w:rPr>
          <w:sz w:val="21"/>
        </w:rPr>
      </w:pPr>
      <w:r>
        <w:rPr>
          <w:spacing w:val="-2"/>
          <w:sz w:val="21"/>
        </w:rPr>
        <w:t>地区信息</w:t>
      </w:r>
    </w:p>
    <w:p>
      <w:pPr>
        <w:pStyle w:val="BodyText"/>
        <w:spacing w:before="10"/>
        <w:rPr>
          <w:sz w:val="25"/>
        </w:rPr>
      </w:pPr>
    </w:p>
    <w:p>
      <w:pPr>
        <w:pStyle w:val="BodyText"/>
        <w:spacing w:line="427" w:lineRule="auto"/>
        <w:ind w:left="1538" w:right="1270" w:firstLine="419"/>
      </w:pPr>
      <w:r>
        <w:rPr>
          <w:spacing w:val="-6"/>
        </w:rPr>
        <w:t>根据披露口径的需要，本公司</w:t>
      </w:r>
      <w:r>
        <w:rPr>
          <w:rFonts w:ascii="Times New Roman" w:hAnsi="Times New Roman" w:eastAsia="Times New Roman"/>
          <w:spacing w:val="-3"/>
        </w:rPr>
        <w:t>“</w:t>
      </w:r>
      <w:r>
        <w:rPr>
          <w:spacing w:val="-2"/>
        </w:rPr>
        <w:t>其他国家</w:t>
      </w:r>
      <w:r>
        <w:rPr>
          <w:rFonts w:ascii="Times New Roman" w:hAnsi="Times New Roman" w:eastAsia="Times New Roman"/>
        </w:rPr>
        <w:t>/</w:t>
      </w:r>
      <w:r>
        <w:rPr>
          <w:spacing w:val="-2"/>
        </w:rPr>
        <w:t>地区</w:t>
      </w:r>
      <w:r>
        <w:rPr>
          <w:rFonts w:ascii="Times New Roman" w:hAnsi="Times New Roman" w:eastAsia="Times New Roman"/>
        </w:rPr>
        <w:t>”</w:t>
      </w:r>
      <w:r>
        <w:rPr>
          <w:spacing w:val="-3"/>
        </w:rPr>
        <w:t>为除中国大陆外所有国家</w:t>
      </w:r>
      <w:r>
        <w:rPr>
          <w:rFonts w:ascii="Times New Roman" w:hAnsi="Times New Roman" w:eastAsia="Times New Roman"/>
          <w:spacing w:val="-4"/>
        </w:rPr>
        <w:t>/</w:t>
      </w:r>
      <w:r>
        <w:rPr>
          <w:spacing w:val="-15"/>
        </w:rPr>
        <w:t>地区</w:t>
      </w:r>
      <w:r>
        <w:rPr/>
        <w:t>（</w:t>
      </w:r>
      <w:r>
        <w:rPr>
          <w:spacing w:val="-8"/>
        </w:rPr>
        <w:t>包括香港、澳</w:t>
      </w:r>
      <w:r>
        <w:rPr>
          <w:spacing w:val="-5"/>
        </w:rPr>
        <w:t>门特别行政区和台湾</w:t>
      </w:r>
      <w:r>
        <w:rPr/>
        <w:t>）。</w:t>
      </w:r>
    </w:p>
    <w:p>
      <w:pPr>
        <w:pStyle w:val="Heading4"/>
        <w:spacing w:before="53"/>
        <w:ind w:left="1960"/>
      </w:pPr>
      <w:r>
        <w:rPr/>
        <w:t>对外交易收入</w:t>
      </w:r>
    </w:p>
    <w:p>
      <w:pPr>
        <w:pStyle w:val="BodyText"/>
        <w:spacing w:before="17"/>
        <w:rPr>
          <w:rFonts w:ascii="Microsoft JhengHei"/>
          <w:b/>
          <w:sz w:val="5"/>
        </w:r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749"/>
        <w:gridCol w:w="3222"/>
        <w:gridCol w:w="3076"/>
      </w:tblGrid>
      <w:tr>
        <w:trPr>
          <w:trHeight w:val="368" w:hRule="atLeast"/>
        </w:trPr>
        <w:tc>
          <w:tcPr>
            <w:tcW w:w="2749" w:type="dxa"/>
            <w:tcBorders>
              <w:right w:val="single" w:sz="4" w:space="0" w:color="000000"/>
            </w:tcBorders>
          </w:tcPr>
          <w:p>
            <w:pPr>
              <w:pStyle w:val="TableParagraph"/>
              <w:spacing w:line="346" w:lineRule="exact"/>
              <w:ind w:left="1139" w:right="1124"/>
              <w:jc w:val="center"/>
              <w:rPr>
                <w:rFonts w:ascii="Microsoft JhengHei" w:eastAsia="Microsoft JhengHei" w:hint="eastAsia"/>
                <w:b/>
                <w:sz w:val="21"/>
              </w:rPr>
            </w:pPr>
            <w:r>
              <w:rPr>
                <w:rFonts w:ascii="Microsoft JhengHei" w:eastAsia="Microsoft JhengHei" w:hint="eastAsia"/>
                <w:b/>
                <w:sz w:val="21"/>
              </w:rPr>
              <w:t>项目</w:t>
            </w:r>
          </w:p>
        </w:tc>
        <w:tc>
          <w:tcPr>
            <w:tcW w:w="3222" w:type="dxa"/>
            <w:tcBorders>
              <w:left w:val="single" w:sz="4" w:space="0" w:color="000000"/>
              <w:right w:val="single" w:sz="4" w:space="0" w:color="000000"/>
            </w:tcBorders>
          </w:tcPr>
          <w:p>
            <w:pPr>
              <w:pStyle w:val="TableParagraph"/>
              <w:spacing w:line="346" w:lineRule="exact"/>
              <w:ind w:left="1088"/>
              <w:rPr>
                <w:rFonts w:ascii="Microsoft JhengHei" w:eastAsia="Microsoft JhengHei" w:hint="eastAsia"/>
                <w:b/>
                <w:sz w:val="21"/>
              </w:rPr>
            </w:pPr>
            <w:r>
              <w:rPr>
                <w:rFonts w:ascii="Microsoft JhengHei" w:eastAsia="Microsoft JhengHei" w:hint="eastAsia"/>
                <w:b/>
                <w:sz w:val="21"/>
              </w:rPr>
              <w:t>本期发生额</w:t>
            </w:r>
          </w:p>
        </w:tc>
        <w:tc>
          <w:tcPr>
            <w:tcW w:w="3076" w:type="dxa"/>
            <w:tcBorders>
              <w:left w:val="single" w:sz="4" w:space="0" w:color="000000"/>
            </w:tcBorders>
          </w:tcPr>
          <w:p>
            <w:pPr>
              <w:pStyle w:val="TableParagraph"/>
              <w:spacing w:line="346" w:lineRule="exact"/>
              <w:ind w:left="1016"/>
              <w:rPr>
                <w:rFonts w:ascii="Microsoft JhengHei" w:eastAsia="Microsoft JhengHei" w:hint="eastAsia"/>
                <w:b/>
                <w:sz w:val="21"/>
              </w:rPr>
            </w:pPr>
            <w:r>
              <w:rPr>
                <w:rFonts w:ascii="Microsoft JhengHei" w:eastAsia="Microsoft JhengHei" w:hint="eastAsia"/>
                <w:b/>
                <w:sz w:val="21"/>
              </w:rPr>
              <w:t>上期发生额</w:t>
            </w:r>
          </w:p>
        </w:tc>
      </w:tr>
    </w:tbl>
    <w:p>
      <w:pPr>
        <w:spacing w:after="0" w:line="346" w:lineRule="exact"/>
        <w:rPr>
          <w:rFonts w:ascii="Microsoft JhengHei" w:eastAsia="Microsoft JhengHei" w:hint="eastAsia"/>
          <w:sz w:val="21"/>
        </w:rPr>
        <w:sectPr>
          <w:headerReference w:type="default" r:id="rId125"/>
          <w:footerReference w:type="default" r:id="rId126"/>
          <w:pgSz w:w="11910" w:h="16840"/>
          <w:pgMar w:header="876" w:footer="1184" w:top="1440" w:bottom="1380" w:left="260" w:right="0"/>
          <w:pgNumType w:start="2"/>
        </w:sectPr>
      </w:pPr>
    </w:p>
    <w:p>
      <w:pPr>
        <w:pStyle w:val="BodyText"/>
        <w:spacing w:before="11"/>
        <w:rPr>
          <w:rFonts w:ascii="Microsoft JhengHei"/>
          <w:b/>
          <w:sz w:val="3"/>
        </w:r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749"/>
        <w:gridCol w:w="3222"/>
        <w:gridCol w:w="3076"/>
      </w:tblGrid>
      <w:tr>
        <w:trPr>
          <w:trHeight w:val="371" w:hRule="atLeast"/>
        </w:trPr>
        <w:tc>
          <w:tcPr>
            <w:tcW w:w="2749" w:type="dxa"/>
            <w:tcBorders>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中国大陆地区</w:t>
            </w:r>
          </w:p>
        </w:tc>
        <w:tc>
          <w:tcPr>
            <w:tcW w:w="3222" w:type="dxa"/>
            <w:tcBorders>
              <w:left w:val="single" w:sz="4" w:space="0" w:color="000000"/>
              <w:bottom w:val="single" w:sz="4" w:space="0" w:color="000000"/>
              <w:right w:val="single" w:sz="4" w:space="0" w:color="000000"/>
            </w:tcBorders>
          </w:tcPr>
          <w:p>
            <w:pPr>
              <w:pStyle w:val="TableParagraph"/>
              <w:spacing w:before="58"/>
              <w:ind w:right="88"/>
              <w:jc w:val="right"/>
              <w:rPr>
                <w:sz w:val="21"/>
              </w:rPr>
            </w:pPr>
            <w:r>
              <w:rPr>
                <w:sz w:val="21"/>
              </w:rPr>
              <w:t>107,678,156,386.81</w:t>
            </w:r>
          </w:p>
        </w:tc>
        <w:tc>
          <w:tcPr>
            <w:tcW w:w="3076" w:type="dxa"/>
            <w:tcBorders>
              <w:left w:val="single" w:sz="4" w:space="0" w:color="000000"/>
              <w:bottom w:val="single" w:sz="4" w:space="0" w:color="000000"/>
            </w:tcBorders>
          </w:tcPr>
          <w:p>
            <w:pPr>
              <w:pStyle w:val="TableParagraph"/>
              <w:spacing w:before="58"/>
              <w:ind w:right="78"/>
              <w:jc w:val="right"/>
              <w:rPr>
                <w:sz w:val="21"/>
              </w:rPr>
            </w:pPr>
            <w:r>
              <w:rPr>
                <w:sz w:val="21"/>
              </w:rPr>
              <w:t>106,643,054,818.57</w:t>
            </w:r>
          </w:p>
        </w:tc>
      </w:tr>
      <w:tr>
        <w:trPr>
          <w:trHeight w:val="369" w:hRule="atLeast"/>
        </w:trPr>
        <w:tc>
          <w:tcPr>
            <w:tcW w:w="2749"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其他国家</w:t>
            </w:r>
            <w:r>
              <w:rPr>
                <w:sz w:val="21"/>
              </w:rPr>
              <w:t>/</w:t>
            </w:r>
            <w:r>
              <w:rPr>
                <w:rFonts w:ascii="宋体" w:eastAsia="宋体" w:hint="eastAsia"/>
                <w:sz w:val="21"/>
              </w:rPr>
              <w:t>地区</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before="55"/>
              <w:ind w:right="88"/>
              <w:jc w:val="right"/>
              <w:rPr>
                <w:sz w:val="21"/>
              </w:rPr>
            </w:pPr>
            <w:r>
              <w:rPr>
                <w:sz w:val="21"/>
              </w:rPr>
              <w:t>102,047,664,712.63</w:t>
            </w:r>
          </w:p>
        </w:tc>
        <w:tc>
          <w:tcPr>
            <w:tcW w:w="3076" w:type="dxa"/>
            <w:tcBorders>
              <w:top w:val="single" w:sz="4" w:space="0" w:color="000000"/>
              <w:left w:val="single" w:sz="4" w:space="0" w:color="000000"/>
              <w:bottom w:val="single" w:sz="4" w:space="0" w:color="000000"/>
            </w:tcBorders>
          </w:tcPr>
          <w:p>
            <w:pPr>
              <w:pStyle w:val="TableParagraph"/>
              <w:spacing w:before="55"/>
              <w:ind w:right="78"/>
              <w:jc w:val="right"/>
              <w:rPr>
                <w:sz w:val="21"/>
              </w:rPr>
            </w:pPr>
            <w:r>
              <w:rPr>
                <w:sz w:val="21"/>
              </w:rPr>
              <w:t>94,118,928,438.00</w:t>
            </w:r>
          </w:p>
        </w:tc>
      </w:tr>
      <w:tr>
        <w:trPr>
          <w:trHeight w:val="366" w:hRule="atLeast"/>
        </w:trPr>
        <w:tc>
          <w:tcPr>
            <w:tcW w:w="2749" w:type="dxa"/>
            <w:tcBorders>
              <w:top w:val="single" w:sz="4" w:space="0" w:color="000000"/>
              <w:bottom w:val="single" w:sz="4" w:space="0" w:color="000000"/>
              <w:right w:val="single" w:sz="4" w:space="0" w:color="000000"/>
            </w:tcBorders>
          </w:tcPr>
          <w:p>
            <w:pPr>
              <w:pStyle w:val="TableParagraph"/>
              <w:spacing w:before="49"/>
              <w:ind w:left="527"/>
              <w:rPr>
                <w:sz w:val="21"/>
              </w:rPr>
            </w:pPr>
            <w:r>
              <w:rPr>
                <w:rFonts w:ascii="宋体" w:eastAsia="宋体" w:hint="eastAsia"/>
                <w:sz w:val="21"/>
              </w:rPr>
              <w:t>其中</w:t>
            </w:r>
            <w:r>
              <w:rPr>
                <w:sz w:val="21"/>
              </w:rPr>
              <w:t>:</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3076" w:type="dxa"/>
            <w:tcBorders>
              <w:top w:val="single" w:sz="4" w:space="0" w:color="000000"/>
              <w:left w:val="single" w:sz="4" w:space="0" w:color="000000"/>
              <w:bottom w:val="single" w:sz="4" w:space="0" w:color="000000"/>
            </w:tcBorders>
          </w:tcPr>
          <w:p>
            <w:pPr>
              <w:pStyle w:val="TableParagraph"/>
              <w:spacing w:before="42"/>
              <w:ind w:right="-29"/>
              <w:jc w:val="right"/>
              <w:rPr>
                <w:rFonts w:ascii="宋体"/>
                <w:sz w:val="21"/>
              </w:rPr>
            </w:pPr>
            <w:r>
              <w:rPr>
                <w:rFonts w:ascii="宋体"/>
                <w:w w:val="100"/>
                <w:sz w:val="21"/>
              </w:rPr>
              <w:t> </w:t>
            </w:r>
          </w:p>
        </w:tc>
      </w:tr>
      <w:tr>
        <w:trPr>
          <w:trHeight w:val="369" w:hRule="atLeast"/>
        </w:trPr>
        <w:tc>
          <w:tcPr>
            <w:tcW w:w="2749" w:type="dxa"/>
            <w:tcBorders>
              <w:top w:val="single" w:sz="4" w:space="0" w:color="000000"/>
              <w:bottom w:val="single" w:sz="4" w:space="0" w:color="000000"/>
              <w:right w:val="single" w:sz="4" w:space="0" w:color="000000"/>
            </w:tcBorders>
          </w:tcPr>
          <w:p>
            <w:pPr>
              <w:pStyle w:val="TableParagraph"/>
              <w:spacing w:before="51"/>
              <w:ind w:left="527"/>
              <w:rPr>
                <w:rFonts w:ascii="宋体" w:eastAsia="宋体" w:hint="eastAsia"/>
                <w:sz w:val="21"/>
              </w:rPr>
            </w:pPr>
            <w:r>
              <w:rPr>
                <w:rFonts w:ascii="宋体" w:eastAsia="宋体" w:hint="eastAsia"/>
                <w:sz w:val="21"/>
              </w:rPr>
              <w:t>美洲</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before="58"/>
              <w:ind w:right="88"/>
              <w:jc w:val="right"/>
              <w:rPr>
                <w:sz w:val="21"/>
              </w:rPr>
            </w:pPr>
            <w:r>
              <w:rPr>
                <w:sz w:val="21"/>
              </w:rPr>
              <w:t>63,704,731,841.17</w:t>
            </w:r>
          </w:p>
        </w:tc>
        <w:tc>
          <w:tcPr>
            <w:tcW w:w="3076" w:type="dxa"/>
            <w:tcBorders>
              <w:top w:val="single" w:sz="4" w:space="0" w:color="000000"/>
              <w:left w:val="single" w:sz="4" w:space="0" w:color="000000"/>
              <w:bottom w:val="single" w:sz="4" w:space="0" w:color="000000"/>
            </w:tcBorders>
          </w:tcPr>
          <w:p>
            <w:pPr>
              <w:pStyle w:val="TableParagraph"/>
              <w:spacing w:before="58"/>
              <w:ind w:right="78"/>
              <w:jc w:val="right"/>
              <w:rPr>
                <w:sz w:val="21"/>
              </w:rPr>
            </w:pPr>
            <w:r>
              <w:rPr>
                <w:sz w:val="21"/>
              </w:rPr>
              <w:t>57,921,805,254.95</w:t>
            </w:r>
          </w:p>
        </w:tc>
      </w:tr>
      <w:tr>
        <w:trPr>
          <w:trHeight w:val="369" w:hRule="atLeast"/>
        </w:trPr>
        <w:tc>
          <w:tcPr>
            <w:tcW w:w="2749" w:type="dxa"/>
            <w:tcBorders>
              <w:top w:val="single" w:sz="4" w:space="0" w:color="000000"/>
              <w:bottom w:val="single" w:sz="4" w:space="0" w:color="000000"/>
              <w:right w:val="single" w:sz="4" w:space="0" w:color="000000"/>
            </w:tcBorders>
          </w:tcPr>
          <w:p>
            <w:pPr>
              <w:pStyle w:val="TableParagraph"/>
              <w:spacing w:before="51"/>
              <w:ind w:left="527"/>
              <w:rPr>
                <w:rFonts w:ascii="宋体" w:eastAsia="宋体" w:hint="eastAsia"/>
                <w:sz w:val="21"/>
              </w:rPr>
            </w:pPr>
            <w:r>
              <w:rPr>
                <w:rFonts w:ascii="宋体" w:eastAsia="宋体" w:hint="eastAsia"/>
                <w:sz w:val="21"/>
              </w:rPr>
              <w:t>澳洲</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before="58"/>
              <w:ind w:right="88"/>
              <w:jc w:val="right"/>
              <w:rPr>
                <w:sz w:val="21"/>
              </w:rPr>
            </w:pPr>
            <w:r>
              <w:rPr>
                <w:sz w:val="21"/>
              </w:rPr>
              <w:t>5,978,691,773.66</w:t>
            </w:r>
          </w:p>
        </w:tc>
        <w:tc>
          <w:tcPr>
            <w:tcW w:w="3076" w:type="dxa"/>
            <w:tcBorders>
              <w:top w:val="single" w:sz="4" w:space="0" w:color="000000"/>
              <w:left w:val="single" w:sz="4" w:space="0" w:color="000000"/>
              <w:bottom w:val="single" w:sz="4" w:space="0" w:color="000000"/>
            </w:tcBorders>
          </w:tcPr>
          <w:p>
            <w:pPr>
              <w:pStyle w:val="TableParagraph"/>
              <w:spacing w:before="58"/>
              <w:ind w:right="78"/>
              <w:jc w:val="right"/>
              <w:rPr>
                <w:sz w:val="21"/>
              </w:rPr>
            </w:pPr>
            <w:r>
              <w:rPr>
                <w:sz w:val="21"/>
              </w:rPr>
              <w:t>5,351,975,416.93</w:t>
            </w:r>
          </w:p>
        </w:tc>
      </w:tr>
      <w:tr>
        <w:trPr>
          <w:trHeight w:val="369" w:hRule="atLeast"/>
        </w:trPr>
        <w:tc>
          <w:tcPr>
            <w:tcW w:w="2749" w:type="dxa"/>
            <w:tcBorders>
              <w:top w:val="single" w:sz="4" w:space="0" w:color="000000"/>
              <w:bottom w:val="single" w:sz="4" w:space="0" w:color="000000"/>
              <w:right w:val="single" w:sz="4" w:space="0" w:color="000000"/>
            </w:tcBorders>
          </w:tcPr>
          <w:p>
            <w:pPr>
              <w:pStyle w:val="TableParagraph"/>
              <w:spacing w:before="51"/>
              <w:ind w:left="527"/>
              <w:rPr>
                <w:rFonts w:ascii="宋体" w:eastAsia="宋体" w:hint="eastAsia"/>
                <w:sz w:val="21"/>
              </w:rPr>
            </w:pPr>
            <w:r>
              <w:rPr>
                <w:rFonts w:ascii="宋体" w:eastAsia="宋体" w:hint="eastAsia"/>
                <w:sz w:val="21"/>
              </w:rPr>
              <w:t>南亚</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before="58"/>
              <w:ind w:right="88"/>
              <w:jc w:val="right"/>
              <w:rPr>
                <w:sz w:val="21"/>
              </w:rPr>
            </w:pPr>
            <w:r>
              <w:rPr>
                <w:sz w:val="21"/>
              </w:rPr>
              <w:t>5,471,774,634.45</w:t>
            </w:r>
          </w:p>
        </w:tc>
        <w:tc>
          <w:tcPr>
            <w:tcW w:w="3076" w:type="dxa"/>
            <w:tcBorders>
              <w:top w:val="single" w:sz="4" w:space="0" w:color="000000"/>
              <w:left w:val="single" w:sz="4" w:space="0" w:color="000000"/>
              <w:bottom w:val="single" w:sz="4" w:space="0" w:color="000000"/>
            </w:tcBorders>
          </w:tcPr>
          <w:p>
            <w:pPr>
              <w:pStyle w:val="TableParagraph"/>
              <w:spacing w:before="58"/>
              <w:ind w:right="78"/>
              <w:jc w:val="right"/>
              <w:rPr>
                <w:sz w:val="21"/>
              </w:rPr>
            </w:pPr>
            <w:r>
              <w:rPr>
                <w:sz w:val="21"/>
              </w:rPr>
              <w:t>6,339,528,301.47</w:t>
            </w:r>
          </w:p>
        </w:tc>
      </w:tr>
      <w:tr>
        <w:trPr>
          <w:trHeight w:val="369" w:hRule="atLeast"/>
        </w:trPr>
        <w:tc>
          <w:tcPr>
            <w:tcW w:w="2749" w:type="dxa"/>
            <w:tcBorders>
              <w:top w:val="single" w:sz="4" w:space="0" w:color="000000"/>
              <w:bottom w:val="single" w:sz="4" w:space="0" w:color="000000"/>
              <w:right w:val="single" w:sz="4" w:space="0" w:color="000000"/>
            </w:tcBorders>
          </w:tcPr>
          <w:p>
            <w:pPr>
              <w:pStyle w:val="TableParagraph"/>
              <w:spacing w:before="51"/>
              <w:ind w:left="527"/>
              <w:rPr>
                <w:rFonts w:ascii="宋体" w:eastAsia="宋体" w:hint="eastAsia"/>
                <w:sz w:val="21"/>
              </w:rPr>
            </w:pPr>
            <w:r>
              <w:rPr>
                <w:rFonts w:ascii="宋体" w:eastAsia="宋体" w:hint="eastAsia"/>
                <w:sz w:val="21"/>
              </w:rPr>
              <w:t>欧洲</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before="58"/>
              <w:ind w:right="88"/>
              <w:jc w:val="right"/>
              <w:rPr>
                <w:sz w:val="21"/>
              </w:rPr>
            </w:pPr>
            <w:r>
              <w:rPr>
                <w:sz w:val="21"/>
              </w:rPr>
              <w:t>16,512,783,759.03</w:t>
            </w:r>
          </w:p>
        </w:tc>
        <w:tc>
          <w:tcPr>
            <w:tcW w:w="3076" w:type="dxa"/>
            <w:tcBorders>
              <w:top w:val="single" w:sz="4" w:space="0" w:color="000000"/>
              <w:left w:val="single" w:sz="4" w:space="0" w:color="000000"/>
              <w:bottom w:val="single" w:sz="4" w:space="0" w:color="000000"/>
            </w:tcBorders>
          </w:tcPr>
          <w:p>
            <w:pPr>
              <w:pStyle w:val="TableParagraph"/>
              <w:spacing w:before="58"/>
              <w:ind w:right="78"/>
              <w:jc w:val="right"/>
              <w:rPr>
                <w:sz w:val="21"/>
              </w:rPr>
            </w:pPr>
            <w:r>
              <w:rPr>
                <w:sz w:val="21"/>
              </w:rPr>
              <w:t>15,194,566,954.73</w:t>
            </w:r>
          </w:p>
        </w:tc>
      </w:tr>
      <w:tr>
        <w:trPr>
          <w:trHeight w:val="369" w:hRule="atLeast"/>
        </w:trPr>
        <w:tc>
          <w:tcPr>
            <w:tcW w:w="2749" w:type="dxa"/>
            <w:tcBorders>
              <w:top w:val="single" w:sz="4" w:space="0" w:color="000000"/>
              <w:bottom w:val="single" w:sz="4" w:space="0" w:color="000000"/>
              <w:right w:val="single" w:sz="4" w:space="0" w:color="000000"/>
            </w:tcBorders>
          </w:tcPr>
          <w:p>
            <w:pPr>
              <w:pStyle w:val="TableParagraph"/>
              <w:spacing w:before="49"/>
              <w:ind w:left="527"/>
              <w:rPr>
                <w:rFonts w:ascii="宋体" w:eastAsia="宋体" w:hint="eastAsia"/>
                <w:sz w:val="21"/>
              </w:rPr>
            </w:pPr>
            <w:r>
              <w:rPr>
                <w:rFonts w:ascii="宋体" w:eastAsia="宋体" w:hint="eastAsia"/>
                <w:sz w:val="21"/>
              </w:rPr>
              <w:t>东南亚</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before="58"/>
              <w:ind w:right="88"/>
              <w:jc w:val="right"/>
              <w:rPr>
                <w:sz w:val="21"/>
              </w:rPr>
            </w:pPr>
            <w:r>
              <w:rPr>
                <w:sz w:val="21"/>
              </w:rPr>
              <w:t>4,122,964,419.05</w:t>
            </w:r>
          </w:p>
        </w:tc>
        <w:tc>
          <w:tcPr>
            <w:tcW w:w="3076" w:type="dxa"/>
            <w:tcBorders>
              <w:top w:val="single" w:sz="4" w:space="0" w:color="000000"/>
              <w:left w:val="single" w:sz="4" w:space="0" w:color="000000"/>
              <w:bottom w:val="single" w:sz="4" w:space="0" w:color="000000"/>
            </w:tcBorders>
          </w:tcPr>
          <w:p>
            <w:pPr>
              <w:pStyle w:val="TableParagraph"/>
              <w:spacing w:before="58"/>
              <w:ind w:right="78"/>
              <w:jc w:val="right"/>
              <w:rPr>
                <w:sz w:val="21"/>
              </w:rPr>
            </w:pPr>
            <w:r>
              <w:rPr>
                <w:sz w:val="21"/>
              </w:rPr>
              <w:t>3,705,563,558.54</w:t>
            </w:r>
          </w:p>
        </w:tc>
      </w:tr>
      <w:tr>
        <w:trPr>
          <w:trHeight w:val="369" w:hRule="atLeast"/>
        </w:trPr>
        <w:tc>
          <w:tcPr>
            <w:tcW w:w="2749" w:type="dxa"/>
            <w:tcBorders>
              <w:top w:val="single" w:sz="4" w:space="0" w:color="000000"/>
              <w:bottom w:val="single" w:sz="4" w:space="0" w:color="000000"/>
              <w:right w:val="single" w:sz="4" w:space="0" w:color="000000"/>
            </w:tcBorders>
          </w:tcPr>
          <w:p>
            <w:pPr>
              <w:pStyle w:val="TableParagraph"/>
              <w:spacing w:before="49"/>
              <w:ind w:left="527"/>
              <w:rPr>
                <w:rFonts w:ascii="宋体" w:eastAsia="宋体" w:hint="eastAsia"/>
                <w:sz w:val="21"/>
              </w:rPr>
            </w:pPr>
            <w:r>
              <w:rPr>
                <w:rFonts w:ascii="宋体" w:eastAsia="宋体" w:hint="eastAsia"/>
                <w:sz w:val="21"/>
              </w:rPr>
              <w:t>中东非</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before="58"/>
              <w:ind w:right="88"/>
              <w:jc w:val="right"/>
              <w:rPr>
                <w:sz w:val="21"/>
              </w:rPr>
            </w:pPr>
            <w:r>
              <w:rPr>
                <w:sz w:val="21"/>
              </w:rPr>
              <w:t>1,205,510,726.84</w:t>
            </w:r>
          </w:p>
        </w:tc>
        <w:tc>
          <w:tcPr>
            <w:tcW w:w="3076" w:type="dxa"/>
            <w:tcBorders>
              <w:top w:val="single" w:sz="4" w:space="0" w:color="000000"/>
              <w:left w:val="single" w:sz="4" w:space="0" w:color="000000"/>
              <w:bottom w:val="single" w:sz="4" w:space="0" w:color="000000"/>
            </w:tcBorders>
          </w:tcPr>
          <w:p>
            <w:pPr>
              <w:pStyle w:val="TableParagraph"/>
              <w:spacing w:before="58"/>
              <w:ind w:right="78"/>
              <w:jc w:val="right"/>
              <w:rPr>
                <w:sz w:val="21"/>
              </w:rPr>
            </w:pPr>
            <w:r>
              <w:rPr>
                <w:sz w:val="21"/>
              </w:rPr>
              <w:t>1,117,998,276.01</w:t>
            </w:r>
          </w:p>
        </w:tc>
      </w:tr>
      <w:tr>
        <w:trPr>
          <w:trHeight w:val="369" w:hRule="atLeast"/>
        </w:trPr>
        <w:tc>
          <w:tcPr>
            <w:tcW w:w="2749" w:type="dxa"/>
            <w:tcBorders>
              <w:top w:val="single" w:sz="4" w:space="0" w:color="000000"/>
              <w:bottom w:val="single" w:sz="4" w:space="0" w:color="000000"/>
              <w:right w:val="single" w:sz="4" w:space="0" w:color="000000"/>
            </w:tcBorders>
          </w:tcPr>
          <w:p>
            <w:pPr>
              <w:pStyle w:val="TableParagraph"/>
              <w:spacing w:before="49"/>
              <w:ind w:left="527"/>
              <w:rPr>
                <w:rFonts w:ascii="宋体" w:eastAsia="宋体" w:hint="eastAsia"/>
                <w:sz w:val="21"/>
              </w:rPr>
            </w:pPr>
            <w:r>
              <w:rPr>
                <w:rFonts w:ascii="宋体" w:eastAsia="宋体" w:hint="eastAsia"/>
                <w:sz w:val="21"/>
              </w:rPr>
              <w:t>日本</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before="58"/>
              <w:ind w:right="88"/>
              <w:jc w:val="right"/>
              <w:rPr>
                <w:sz w:val="21"/>
              </w:rPr>
            </w:pPr>
            <w:r>
              <w:rPr>
                <w:sz w:val="21"/>
              </w:rPr>
              <w:t>3,613,139,400.23</w:t>
            </w:r>
          </w:p>
        </w:tc>
        <w:tc>
          <w:tcPr>
            <w:tcW w:w="3076" w:type="dxa"/>
            <w:tcBorders>
              <w:top w:val="single" w:sz="4" w:space="0" w:color="000000"/>
              <w:left w:val="single" w:sz="4" w:space="0" w:color="000000"/>
              <w:bottom w:val="single" w:sz="4" w:space="0" w:color="000000"/>
            </w:tcBorders>
          </w:tcPr>
          <w:p>
            <w:pPr>
              <w:pStyle w:val="TableParagraph"/>
              <w:spacing w:before="58"/>
              <w:ind w:right="78"/>
              <w:jc w:val="right"/>
              <w:rPr>
                <w:sz w:val="21"/>
              </w:rPr>
            </w:pPr>
            <w:r>
              <w:rPr>
                <w:sz w:val="21"/>
              </w:rPr>
              <w:t>3,248,939,012.25</w:t>
            </w:r>
          </w:p>
        </w:tc>
      </w:tr>
      <w:tr>
        <w:trPr>
          <w:trHeight w:val="369" w:hRule="atLeast"/>
        </w:trPr>
        <w:tc>
          <w:tcPr>
            <w:tcW w:w="2749" w:type="dxa"/>
            <w:tcBorders>
              <w:top w:val="single" w:sz="4" w:space="0" w:color="000000"/>
              <w:bottom w:val="single" w:sz="4" w:space="0" w:color="000000"/>
              <w:right w:val="single" w:sz="4" w:space="0" w:color="000000"/>
            </w:tcBorders>
          </w:tcPr>
          <w:p>
            <w:pPr>
              <w:pStyle w:val="TableParagraph"/>
              <w:spacing w:before="49"/>
              <w:ind w:left="527"/>
              <w:rPr>
                <w:rFonts w:ascii="宋体" w:eastAsia="宋体" w:hint="eastAsia"/>
                <w:sz w:val="21"/>
              </w:rPr>
            </w:pPr>
            <w:r>
              <w:rPr>
                <w:rFonts w:ascii="宋体" w:eastAsia="宋体" w:hint="eastAsia"/>
                <w:sz w:val="21"/>
              </w:rPr>
              <w:t>其他</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before="58"/>
              <w:ind w:right="88"/>
              <w:jc w:val="right"/>
              <w:rPr>
                <w:sz w:val="21"/>
              </w:rPr>
            </w:pPr>
            <w:r>
              <w:rPr>
                <w:sz w:val="21"/>
              </w:rPr>
              <w:t>1,438,068,158.20</w:t>
            </w:r>
          </w:p>
        </w:tc>
        <w:tc>
          <w:tcPr>
            <w:tcW w:w="3076" w:type="dxa"/>
            <w:tcBorders>
              <w:top w:val="single" w:sz="4" w:space="0" w:color="000000"/>
              <w:left w:val="single" w:sz="4" w:space="0" w:color="000000"/>
              <w:bottom w:val="single" w:sz="4" w:space="0" w:color="000000"/>
            </w:tcBorders>
          </w:tcPr>
          <w:p>
            <w:pPr>
              <w:pStyle w:val="TableParagraph"/>
              <w:spacing w:before="58"/>
              <w:ind w:right="78"/>
              <w:jc w:val="right"/>
              <w:rPr>
                <w:sz w:val="21"/>
              </w:rPr>
            </w:pPr>
            <w:r>
              <w:rPr>
                <w:sz w:val="21"/>
              </w:rPr>
              <w:t>1,238,551,663.12</w:t>
            </w:r>
          </w:p>
        </w:tc>
      </w:tr>
      <w:tr>
        <w:trPr>
          <w:trHeight w:val="366" w:hRule="atLeast"/>
        </w:trPr>
        <w:tc>
          <w:tcPr>
            <w:tcW w:w="2749" w:type="dxa"/>
            <w:tcBorders>
              <w:top w:val="single" w:sz="4" w:space="0" w:color="000000"/>
              <w:right w:val="single" w:sz="4" w:space="0" w:color="000000"/>
            </w:tcBorders>
          </w:tcPr>
          <w:p>
            <w:pPr>
              <w:pStyle w:val="TableParagraph"/>
              <w:spacing w:before="49"/>
              <w:ind w:left="1142" w:right="1122"/>
              <w:jc w:val="center"/>
              <w:rPr>
                <w:rFonts w:ascii="宋体" w:eastAsia="宋体" w:hint="eastAsia"/>
                <w:sz w:val="21"/>
              </w:rPr>
            </w:pPr>
            <w:r>
              <w:rPr>
                <w:rFonts w:ascii="宋体" w:eastAsia="宋体" w:hint="eastAsia"/>
                <w:sz w:val="21"/>
              </w:rPr>
              <w:t>合计</w:t>
            </w:r>
          </w:p>
        </w:tc>
        <w:tc>
          <w:tcPr>
            <w:tcW w:w="3222" w:type="dxa"/>
            <w:tcBorders>
              <w:top w:val="single" w:sz="4" w:space="0" w:color="000000"/>
              <w:left w:val="single" w:sz="4" w:space="0" w:color="000000"/>
              <w:right w:val="single" w:sz="4" w:space="0" w:color="000000"/>
            </w:tcBorders>
          </w:tcPr>
          <w:p>
            <w:pPr>
              <w:pStyle w:val="TableParagraph"/>
              <w:spacing w:before="58"/>
              <w:ind w:right="88"/>
              <w:jc w:val="right"/>
              <w:rPr>
                <w:sz w:val="21"/>
              </w:rPr>
            </w:pPr>
            <w:r>
              <w:rPr>
                <w:sz w:val="21"/>
              </w:rPr>
              <w:t>209,725,821,099.44</w:t>
            </w:r>
          </w:p>
        </w:tc>
        <w:tc>
          <w:tcPr>
            <w:tcW w:w="3076" w:type="dxa"/>
            <w:tcBorders>
              <w:top w:val="single" w:sz="4" w:space="0" w:color="000000"/>
              <w:left w:val="single" w:sz="4" w:space="0" w:color="000000"/>
            </w:tcBorders>
          </w:tcPr>
          <w:p>
            <w:pPr>
              <w:pStyle w:val="TableParagraph"/>
              <w:spacing w:before="58"/>
              <w:ind w:right="78"/>
              <w:jc w:val="right"/>
              <w:rPr>
                <w:sz w:val="21"/>
              </w:rPr>
            </w:pPr>
            <w:r>
              <w:rPr>
                <w:sz w:val="21"/>
              </w:rPr>
              <w:t>200,761,983,256.57</w:t>
            </w:r>
          </w:p>
        </w:tc>
      </w:tr>
    </w:tbl>
    <w:p>
      <w:pPr>
        <w:pStyle w:val="Heading4"/>
        <w:spacing w:before="55"/>
        <w:ind w:left="1950"/>
      </w:pPr>
      <w:r>
        <w:rPr/>
        <w:t>非流动资产总额</w:t>
      </w:r>
    </w:p>
    <w:p>
      <w:pPr>
        <w:pStyle w:val="BodyText"/>
        <w:spacing w:before="2"/>
        <w:rPr>
          <w:rFonts w:ascii="Microsoft JhengHei"/>
          <w:b/>
          <w:sz w:val="4"/>
        </w:r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749"/>
        <w:gridCol w:w="3222"/>
        <w:gridCol w:w="3076"/>
      </w:tblGrid>
      <w:tr>
        <w:trPr>
          <w:trHeight w:val="368" w:hRule="atLeast"/>
        </w:trPr>
        <w:tc>
          <w:tcPr>
            <w:tcW w:w="2749" w:type="dxa"/>
            <w:tcBorders>
              <w:bottom w:val="single" w:sz="4" w:space="0" w:color="000000"/>
              <w:right w:val="single" w:sz="4" w:space="0" w:color="000000"/>
            </w:tcBorders>
          </w:tcPr>
          <w:p>
            <w:pPr>
              <w:pStyle w:val="TableParagraph"/>
              <w:spacing w:line="346" w:lineRule="exact"/>
              <w:ind w:right="1143"/>
              <w:jc w:val="right"/>
              <w:rPr>
                <w:rFonts w:ascii="Microsoft JhengHei" w:eastAsia="Microsoft JhengHei" w:hint="eastAsia"/>
                <w:b/>
                <w:sz w:val="21"/>
              </w:rPr>
            </w:pPr>
            <w:r>
              <w:rPr>
                <w:rFonts w:ascii="Microsoft JhengHei" w:eastAsia="Microsoft JhengHei" w:hint="eastAsia"/>
                <w:b/>
                <w:sz w:val="21"/>
              </w:rPr>
              <w:t>项目</w:t>
            </w:r>
          </w:p>
        </w:tc>
        <w:tc>
          <w:tcPr>
            <w:tcW w:w="3222" w:type="dxa"/>
            <w:tcBorders>
              <w:left w:val="single" w:sz="4" w:space="0" w:color="000000"/>
              <w:bottom w:val="single" w:sz="4" w:space="0" w:color="000000"/>
              <w:right w:val="single" w:sz="4" w:space="0" w:color="000000"/>
            </w:tcBorders>
          </w:tcPr>
          <w:p>
            <w:pPr>
              <w:pStyle w:val="TableParagraph"/>
              <w:spacing w:line="346" w:lineRule="exact"/>
              <w:ind w:left="1176" w:right="1155"/>
              <w:jc w:val="center"/>
              <w:rPr>
                <w:rFonts w:ascii="Microsoft JhengHei" w:eastAsia="Microsoft JhengHei" w:hint="eastAsia"/>
                <w:b/>
                <w:sz w:val="21"/>
              </w:rPr>
            </w:pPr>
            <w:r>
              <w:rPr>
                <w:rFonts w:ascii="Microsoft JhengHei" w:eastAsia="Microsoft JhengHei" w:hint="eastAsia"/>
                <w:b/>
                <w:sz w:val="21"/>
              </w:rPr>
              <w:t>期末余额</w:t>
            </w:r>
          </w:p>
        </w:tc>
        <w:tc>
          <w:tcPr>
            <w:tcW w:w="3076" w:type="dxa"/>
            <w:tcBorders>
              <w:left w:val="single" w:sz="4" w:space="0" w:color="000000"/>
              <w:bottom w:val="single" w:sz="4" w:space="0" w:color="000000"/>
            </w:tcBorders>
          </w:tcPr>
          <w:p>
            <w:pPr>
              <w:pStyle w:val="TableParagraph"/>
              <w:spacing w:line="346" w:lineRule="exact"/>
              <w:ind w:left="1104" w:right="1072"/>
              <w:jc w:val="center"/>
              <w:rPr>
                <w:rFonts w:ascii="Microsoft JhengHei" w:eastAsia="Microsoft JhengHei" w:hint="eastAsia"/>
                <w:b/>
                <w:sz w:val="21"/>
              </w:rPr>
            </w:pPr>
            <w:r>
              <w:rPr>
                <w:rFonts w:ascii="Microsoft JhengHei" w:eastAsia="Microsoft JhengHei" w:hint="eastAsia"/>
                <w:b/>
                <w:sz w:val="21"/>
              </w:rPr>
              <w:t>期初余额</w:t>
            </w:r>
          </w:p>
        </w:tc>
      </w:tr>
      <w:tr>
        <w:trPr>
          <w:trHeight w:val="369" w:hRule="atLeast"/>
        </w:trPr>
        <w:tc>
          <w:tcPr>
            <w:tcW w:w="2749"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中国大陆地区</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before="58"/>
              <w:ind w:right="88"/>
              <w:jc w:val="right"/>
              <w:rPr>
                <w:sz w:val="21"/>
              </w:rPr>
            </w:pPr>
            <w:r>
              <w:rPr>
                <w:sz w:val="21"/>
              </w:rPr>
              <w:t>14,715,132,308.86</w:t>
            </w:r>
          </w:p>
        </w:tc>
        <w:tc>
          <w:tcPr>
            <w:tcW w:w="3076" w:type="dxa"/>
            <w:tcBorders>
              <w:top w:val="single" w:sz="4" w:space="0" w:color="000000"/>
              <w:left w:val="single" w:sz="4" w:space="0" w:color="000000"/>
              <w:bottom w:val="single" w:sz="4" w:space="0" w:color="000000"/>
            </w:tcBorders>
          </w:tcPr>
          <w:p>
            <w:pPr>
              <w:pStyle w:val="TableParagraph"/>
              <w:spacing w:before="58"/>
              <w:ind w:right="78"/>
              <w:jc w:val="right"/>
              <w:rPr>
                <w:sz w:val="21"/>
              </w:rPr>
            </w:pPr>
            <w:r>
              <w:rPr>
                <w:sz w:val="21"/>
              </w:rPr>
              <w:t>14,257,835,282.97</w:t>
            </w:r>
          </w:p>
        </w:tc>
      </w:tr>
      <w:tr>
        <w:trPr>
          <w:trHeight w:val="369" w:hRule="atLeast"/>
        </w:trPr>
        <w:tc>
          <w:tcPr>
            <w:tcW w:w="2749"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其他国家</w:t>
            </w:r>
            <w:r>
              <w:rPr>
                <w:sz w:val="21"/>
              </w:rPr>
              <w:t>/</w:t>
            </w:r>
            <w:r>
              <w:rPr>
                <w:rFonts w:ascii="宋体" w:eastAsia="宋体" w:hint="eastAsia"/>
                <w:sz w:val="21"/>
              </w:rPr>
              <w:t>地区</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before="58"/>
              <w:ind w:right="88"/>
              <w:jc w:val="right"/>
              <w:rPr>
                <w:sz w:val="21"/>
              </w:rPr>
            </w:pPr>
            <w:r>
              <w:rPr>
                <w:sz w:val="21"/>
              </w:rPr>
              <w:t>25,212,638,556.86</w:t>
            </w:r>
          </w:p>
        </w:tc>
        <w:tc>
          <w:tcPr>
            <w:tcW w:w="3076" w:type="dxa"/>
            <w:tcBorders>
              <w:top w:val="single" w:sz="4" w:space="0" w:color="000000"/>
              <w:left w:val="single" w:sz="4" w:space="0" w:color="000000"/>
              <w:bottom w:val="single" w:sz="4" w:space="0" w:color="000000"/>
            </w:tcBorders>
          </w:tcPr>
          <w:p>
            <w:pPr>
              <w:pStyle w:val="TableParagraph"/>
              <w:spacing w:before="58"/>
              <w:ind w:right="78"/>
              <w:jc w:val="right"/>
              <w:rPr>
                <w:sz w:val="21"/>
              </w:rPr>
            </w:pPr>
            <w:r>
              <w:rPr>
                <w:sz w:val="21"/>
              </w:rPr>
              <w:t>25,259,765,320.54</w:t>
            </w:r>
          </w:p>
        </w:tc>
      </w:tr>
      <w:tr>
        <w:trPr>
          <w:trHeight w:val="366" w:hRule="atLeast"/>
        </w:trPr>
        <w:tc>
          <w:tcPr>
            <w:tcW w:w="2749" w:type="dxa"/>
            <w:tcBorders>
              <w:top w:val="single" w:sz="4" w:space="0" w:color="000000"/>
              <w:right w:val="single" w:sz="4" w:space="0" w:color="000000"/>
            </w:tcBorders>
          </w:tcPr>
          <w:p>
            <w:pPr>
              <w:pStyle w:val="TableParagraph"/>
              <w:spacing w:before="49"/>
              <w:ind w:right="1141"/>
              <w:jc w:val="right"/>
              <w:rPr>
                <w:rFonts w:ascii="宋体" w:eastAsia="宋体" w:hint="eastAsia"/>
                <w:sz w:val="21"/>
              </w:rPr>
            </w:pPr>
            <w:r>
              <w:rPr>
                <w:rFonts w:ascii="宋体" w:eastAsia="宋体" w:hint="eastAsia"/>
                <w:sz w:val="21"/>
              </w:rPr>
              <w:t>合计</w:t>
            </w:r>
          </w:p>
        </w:tc>
        <w:tc>
          <w:tcPr>
            <w:tcW w:w="3222" w:type="dxa"/>
            <w:tcBorders>
              <w:top w:val="single" w:sz="4" w:space="0" w:color="000000"/>
              <w:left w:val="single" w:sz="4" w:space="0" w:color="000000"/>
              <w:right w:val="single" w:sz="4" w:space="0" w:color="000000"/>
            </w:tcBorders>
          </w:tcPr>
          <w:p>
            <w:pPr>
              <w:pStyle w:val="TableParagraph"/>
              <w:spacing w:before="58"/>
              <w:ind w:right="88"/>
              <w:jc w:val="right"/>
              <w:rPr>
                <w:sz w:val="21"/>
              </w:rPr>
            </w:pPr>
            <w:r>
              <w:rPr>
                <w:sz w:val="21"/>
              </w:rPr>
              <w:t>39,927,770,865.72</w:t>
            </w:r>
          </w:p>
        </w:tc>
        <w:tc>
          <w:tcPr>
            <w:tcW w:w="3076" w:type="dxa"/>
            <w:tcBorders>
              <w:top w:val="single" w:sz="4" w:space="0" w:color="000000"/>
              <w:left w:val="single" w:sz="4" w:space="0" w:color="000000"/>
            </w:tcBorders>
          </w:tcPr>
          <w:p>
            <w:pPr>
              <w:pStyle w:val="TableParagraph"/>
              <w:spacing w:before="58"/>
              <w:ind w:right="78"/>
              <w:jc w:val="right"/>
              <w:rPr>
                <w:sz w:val="21"/>
              </w:rPr>
            </w:pPr>
            <w:r>
              <w:rPr>
                <w:sz w:val="21"/>
              </w:rPr>
              <w:t>39,517,600,603.51</w:t>
            </w:r>
          </w:p>
        </w:tc>
      </w:tr>
    </w:tbl>
    <w:p>
      <w:pPr>
        <w:pStyle w:val="BodyText"/>
        <w:spacing w:before="2"/>
        <w:rPr>
          <w:rFonts w:ascii="Microsoft JhengHei"/>
          <w:b/>
          <w:sz w:val="16"/>
        </w:rPr>
      </w:pPr>
    </w:p>
    <w:p>
      <w:pPr>
        <w:pStyle w:val="BodyText"/>
        <w:spacing w:line="429" w:lineRule="auto"/>
        <w:ind w:left="1538" w:right="1268" w:firstLine="419"/>
      </w:pPr>
      <w:r>
        <w:rPr>
          <w:spacing w:val="-3"/>
        </w:rPr>
        <w:t>非流动资产总额不包括</w:t>
      </w:r>
      <w:r>
        <w:rPr>
          <w:rFonts w:ascii="Times New Roman" w:eastAsia="Times New Roman"/>
        </w:rPr>
        <w:t>:</w:t>
      </w:r>
      <w:r>
        <w:rPr>
          <w:spacing w:val="-8"/>
        </w:rPr>
        <w:t>其他权益工具投资、长期应收款、长期股权投资、商誉、递延所得税</w:t>
      </w:r>
      <w:r>
        <w:rPr>
          <w:spacing w:val="-5"/>
        </w:rPr>
        <w:t>资产、其他非流动金融资产。</w:t>
      </w:r>
    </w:p>
    <w:p>
      <w:pPr>
        <w:pStyle w:val="Heading4"/>
        <w:spacing w:before="177"/>
      </w:pPr>
      <w:r>
        <w:rPr/>
        <w:t>十一、 公允价值的披露</w:t>
      </w:r>
    </w:p>
    <w:p>
      <w:pPr>
        <w:pStyle w:val="Heading4"/>
        <w:spacing w:before="178"/>
      </w:pPr>
      <w:r>
        <w:rPr>
          <w:rFonts w:ascii="Times New Roman" w:eastAsia="Times New Roman"/>
        </w:rPr>
        <w:t>1</w:t>
      </w:r>
      <w:r>
        <w:rPr/>
        <w:t>、以公允价值计量的资产和负债</w:t>
      </w:r>
    </w:p>
    <w:p>
      <w:pPr>
        <w:pStyle w:val="BodyText"/>
        <w:spacing w:before="7"/>
        <w:rPr>
          <w:rFonts w:ascii="Microsoft JhengHei"/>
          <w:b/>
          <w:sz w:val="15"/>
        </w:rPr>
      </w:pPr>
    </w:p>
    <w:p>
      <w:pPr>
        <w:pStyle w:val="BodyText"/>
        <w:spacing w:line="427" w:lineRule="auto" w:before="1"/>
        <w:ind w:left="1538" w:right="1337" w:firstLine="359"/>
      </w:pPr>
      <w:r>
        <w:rPr/>
        <w:t>公允价值计量结果所属的层次，由对公允价值计量整体而言具有重要意义的输入值所属的最低层次决定：</w:t>
      </w:r>
    </w:p>
    <w:p>
      <w:pPr>
        <w:pStyle w:val="BodyText"/>
        <w:spacing w:before="2"/>
        <w:ind w:left="1898"/>
      </w:pPr>
      <w:r>
        <w:rPr/>
        <w:t>第一层次：相同资产或负债在活跃市场上未经调整的报价。</w:t>
      </w:r>
    </w:p>
    <w:p>
      <w:pPr>
        <w:pStyle w:val="BodyText"/>
        <w:spacing w:before="6"/>
        <w:rPr>
          <w:sz w:val="16"/>
        </w:rPr>
      </w:pPr>
    </w:p>
    <w:p>
      <w:pPr>
        <w:pStyle w:val="BodyText"/>
        <w:spacing w:line="427" w:lineRule="auto"/>
        <w:ind w:left="1898" w:right="2600"/>
      </w:pPr>
      <w:r>
        <w:rPr/>
        <w:t>第二层次：除第一层次输入值外相关资产或负债直接或间接可观察的输入值。第三层次：相关资产或负债的不可观察输入值。</w:t>
      </w:r>
    </w:p>
    <w:p>
      <w:pPr>
        <w:pStyle w:val="BodyText"/>
        <w:spacing w:before="2" w:after="38"/>
        <w:ind w:left="1898"/>
      </w:pPr>
      <w:r>
        <w:rPr/>
        <w:t>期末</w:t>
      </w: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182"/>
        <w:gridCol w:w="1687"/>
        <w:gridCol w:w="1807"/>
        <w:gridCol w:w="1687"/>
        <w:gridCol w:w="1684"/>
      </w:tblGrid>
      <w:tr>
        <w:trPr>
          <w:trHeight w:val="325" w:hRule="atLeast"/>
        </w:trPr>
        <w:tc>
          <w:tcPr>
            <w:tcW w:w="2182" w:type="dxa"/>
            <w:vMerge w:val="restart"/>
            <w:tcBorders>
              <w:bottom w:val="single" w:sz="4" w:space="0" w:color="000000"/>
              <w:right w:val="single" w:sz="4" w:space="0" w:color="000000"/>
            </w:tcBorders>
          </w:tcPr>
          <w:p>
            <w:pPr>
              <w:pStyle w:val="TableParagraph"/>
              <w:spacing w:before="1"/>
              <w:rPr>
                <w:rFonts w:ascii="宋体"/>
                <w:sz w:val="29"/>
              </w:rPr>
            </w:pPr>
          </w:p>
          <w:p>
            <w:pPr>
              <w:pStyle w:val="TableParagraph"/>
              <w:ind w:left="858" w:right="843"/>
              <w:jc w:val="center"/>
              <w:rPr>
                <w:rFonts w:ascii="Microsoft JhengHei" w:eastAsia="Microsoft JhengHei" w:hint="eastAsia"/>
                <w:b/>
                <w:sz w:val="21"/>
              </w:rPr>
            </w:pPr>
            <w:r>
              <w:rPr>
                <w:rFonts w:ascii="Microsoft JhengHei" w:eastAsia="Microsoft JhengHei" w:hint="eastAsia"/>
                <w:b/>
                <w:sz w:val="21"/>
              </w:rPr>
              <w:t>项目</w:t>
            </w:r>
          </w:p>
        </w:tc>
        <w:tc>
          <w:tcPr>
            <w:tcW w:w="6865" w:type="dxa"/>
            <w:gridSpan w:val="4"/>
            <w:tcBorders>
              <w:left w:val="single" w:sz="4" w:space="0" w:color="000000"/>
              <w:bottom w:val="single" w:sz="4" w:space="0" w:color="000000"/>
            </w:tcBorders>
          </w:tcPr>
          <w:p>
            <w:pPr>
              <w:pStyle w:val="TableParagraph"/>
              <w:spacing w:line="306" w:lineRule="exact"/>
              <w:ind w:left="2161" w:right="2123"/>
              <w:jc w:val="center"/>
              <w:rPr>
                <w:rFonts w:ascii="Microsoft JhengHei" w:eastAsia="Microsoft JhengHei" w:hint="eastAsia"/>
                <w:b/>
                <w:sz w:val="21"/>
              </w:rPr>
            </w:pPr>
            <w:r>
              <w:rPr>
                <w:rFonts w:ascii="Microsoft JhengHei" w:eastAsia="Microsoft JhengHei" w:hint="eastAsia"/>
                <w:b/>
                <w:sz w:val="21"/>
              </w:rPr>
              <w:t>公允价值计量使用的输入值</w:t>
            </w:r>
          </w:p>
        </w:tc>
      </w:tr>
      <w:tr>
        <w:trPr>
          <w:trHeight w:val="815" w:hRule="atLeast"/>
        </w:trPr>
        <w:tc>
          <w:tcPr>
            <w:tcW w:w="2182" w:type="dxa"/>
            <w:vMerge/>
            <w:tcBorders>
              <w:top w:val="nil"/>
              <w:bottom w:val="single" w:sz="4" w:space="0" w:color="000000"/>
              <w:right w:val="single" w:sz="4" w:space="0" w:color="000000"/>
            </w:tcBorders>
          </w:tcPr>
          <w:p>
            <w:pPr>
              <w:rPr>
                <w:sz w:val="2"/>
                <w:szCs w:val="2"/>
              </w:rPr>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329" w:lineRule="exact" w:before="68"/>
              <w:ind w:left="220"/>
              <w:rPr>
                <w:rFonts w:ascii="Microsoft JhengHei" w:eastAsia="Microsoft JhengHei" w:hint="eastAsia"/>
                <w:b/>
                <w:sz w:val="21"/>
              </w:rPr>
            </w:pPr>
            <w:r>
              <w:rPr>
                <w:rFonts w:ascii="Microsoft JhengHei" w:eastAsia="Microsoft JhengHei" w:hint="eastAsia"/>
                <w:b/>
                <w:sz w:val="21"/>
              </w:rPr>
              <w:t>活跃市场报价</w:t>
            </w:r>
          </w:p>
          <w:p>
            <w:pPr>
              <w:pStyle w:val="TableParagraph"/>
              <w:spacing w:line="329" w:lineRule="exact"/>
              <w:ind w:left="220"/>
              <w:rPr>
                <w:rFonts w:ascii="Microsoft JhengHei" w:eastAsia="Microsoft JhengHei" w:hint="eastAsia"/>
                <w:b/>
                <w:sz w:val="21"/>
              </w:rPr>
            </w:pPr>
            <w:r>
              <w:rPr>
                <w:rFonts w:ascii="Microsoft JhengHei" w:eastAsia="Microsoft JhengHei" w:hint="eastAsia"/>
                <w:b/>
                <w:sz w:val="21"/>
              </w:rPr>
              <w:t>（第一层次）</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168" w:lineRule="auto" w:before="15"/>
              <w:ind w:left="592" w:right="354" w:hanging="209"/>
              <w:rPr>
                <w:rFonts w:ascii="Microsoft JhengHei" w:eastAsia="Microsoft JhengHei" w:hint="eastAsia"/>
                <w:b/>
                <w:sz w:val="21"/>
              </w:rPr>
            </w:pPr>
            <w:r>
              <w:rPr>
                <w:rFonts w:ascii="Microsoft JhengHei" w:eastAsia="Microsoft JhengHei" w:hint="eastAsia"/>
                <w:b/>
                <w:sz w:val="21"/>
              </w:rPr>
              <w:t>重要可观察输入值</w:t>
            </w:r>
          </w:p>
          <w:p>
            <w:pPr>
              <w:pStyle w:val="TableParagraph"/>
              <w:spacing w:line="239" w:lineRule="exact"/>
              <w:ind w:left="278"/>
              <w:rPr>
                <w:rFonts w:ascii="Microsoft JhengHei" w:eastAsia="Microsoft JhengHei" w:hint="eastAsia"/>
                <w:b/>
                <w:sz w:val="21"/>
              </w:rPr>
            </w:pPr>
            <w:r>
              <w:rPr>
                <w:rFonts w:ascii="Microsoft JhengHei" w:eastAsia="Microsoft JhengHei" w:hint="eastAsia"/>
                <w:b/>
                <w:sz w:val="21"/>
              </w:rPr>
              <w:t>（第二层次）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168" w:lineRule="auto" w:before="15"/>
              <w:ind w:left="535" w:right="186" w:hanging="315"/>
              <w:rPr>
                <w:rFonts w:ascii="Microsoft JhengHei" w:eastAsia="Microsoft JhengHei" w:hint="eastAsia"/>
                <w:b/>
                <w:sz w:val="21"/>
              </w:rPr>
            </w:pPr>
            <w:r>
              <w:rPr>
                <w:rFonts w:ascii="Microsoft JhengHei" w:eastAsia="Microsoft JhengHei" w:hint="eastAsia"/>
                <w:b/>
                <w:sz w:val="21"/>
              </w:rPr>
              <w:t>重要不可观察输入值</w:t>
            </w:r>
          </w:p>
          <w:p>
            <w:pPr>
              <w:pStyle w:val="TableParagraph"/>
              <w:spacing w:line="239" w:lineRule="exact"/>
              <w:ind w:left="221"/>
              <w:rPr>
                <w:rFonts w:ascii="Microsoft JhengHei" w:eastAsia="Microsoft JhengHei" w:hint="eastAsia"/>
                <w:b/>
                <w:sz w:val="21"/>
              </w:rPr>
            </w:pPr>
            <w:r>
              <w:rPr>
                <w:rFonts w:ascii="Microsoft JhengHei" w:eastAsia="Microsoft JhengHei" w:hint="eastAsia"/>
                <w:b/>
                <w:sz w:val="21"/>
              </w:rPr>
              <w:t>（第三层次）</w:t>
            </w:r>
          </w:p>
        </w:tc>
        <w:tc>
          <w:tcPr>
            <w:tcW w:w="1684" w:type="dxa"/>
            <w:tcBorders>
              <w:top w:val="single" w:sz="4" w:space="0" w:color="000000"/>
              <w:left w:val="single" w:sz="4" w:space="0" w:color="000000"/>
              <w:bottom w:val="single" w:sz="4" w:space="0" w:color="000000"/>
            </w:tcBorders>
          </w:tcPr>
          <w:p>
            <w:pPr>
              <w:pStyle w:val="TableParagraph"/>
              <w:spacing w:before="10"/>
              <w:rPr>
                <w:rFonts w:ascii="宋体"/>
                <w:sz w:val="15"/>
              </w:rPr>
            </w:pPr>
          </w:p>
          <w:p>
            <w:pPr>
              <w:pStyle w:val="TableParagraph"/>
              <w:ind w:left="623" w:right="580"/>
              <w:jc w:val="center"/>
              <w:rPr>
                <w:rFonts w:ascii="Microsoft JhengHei" w:eastAsia="Microsoft JhengHei" w:hint="eastAsia"/>
                <w:b/>
                <w:sz w:val="21"/>
              </w:rPr>
            </w:pPr>
            <w:r>
              <w:rPr>
                <w:rFonts w:ascii="Microsoft JhengHei" w:eastAsia="Microsoft JhengHei" w:hint="eastAsia"/>
                <w:b/>
                <w:sz w:val="21"/>
              </w:rPr>
              <w:t>合计</w:t>
            </w:r>
          </w:p>
        </w:tc>
      </w:tr>
      <w:tr>
        <w:trPr>
          <w:trHeight w:val="368" w:hRule="atLeast"/>
        </w:trPr>
        <w:tc>
          <w:tcPr>
            <w:tcW w:w="2182" w:type="dxa"/>
            <w:tcBorders>
              <w:top w:val="single" w:sz="4" w:space="0" w:color="000000"/>
              <w:right w:val="single" w:sz="4" w:space="0" w:color="000000"/>
            </w:tcBorders>
          </w:tcPr>
          <w:p>
            <w:pPr>
              <w:pStyle w:val="TableParagraph"/>
              <w:spacing w:line="349" w:lineRule="exact"/>
              <w:ind w:left="107"/>
              <w:rPr>
                <w:rFonts w:ascii="Microsoft JhengHei" w:eastAsia="Microsoft JhengHei" w:hint="eastAsia"/>
                <w:b/>
                <w:sz w:val="21"/>
              </w:rPr>
            </w:pPr>
            <w:r>
              <w:rPr>
                <w:rFonts w:ascii="Microsoft JhengHei" w:eastAsia="Microsoft JhengHei" w:hint="eastAsia"/>
                <w:b/>
                <w:sz w:val="21"/>
              </w:rPr>
              <w:t>持续的公允价值计量</w:t>
            </w:r>
          </w:p>
        </w:tc>
        <w:tc>
          <w:tcPr>
            <w:tcW w:w="1687" w:type="dxa"/>
            <w:tcBorders>
              <w:top w:val="single" w:sz="4" w:space="0" w:color="000000"/>
              <w:left w:val="single" w:sz="4" w:space="0" w:color="000000"/>
              <w:right w:val="single" w:sz="4" w:space="0" w:color="000000"/>
            </w:tcBorders>
          </w:tcPr>
          <w:p>
            <w:pPr>
              <w:pStyle w:val="TableParagraph"/>
              <w:spacing w:before="44"/>
              <w:ind w:right="-29"/>
              <w:jc w:val="right"/>
              <w:rPr>
                <w:rFonts w:ascii="宋体"/>
                <w:sz w:val="21"/>
              </w:rPr>
            </w:pPr>
            <w:r>
              <w:rPr>
                <w:rFonts w:ascii="宋体"/>
                <w:w w:val="100"/>
                <w:sz w:val="21"/>
              </w:rPr>
              <w:t> </w:t>
            </w:r>
          </w:p>
        </w:tc>
        <w:tc>
          <w:tcPr>
            <w:tcW w:w="1807" w:type="dxa"/>
            <w:tcBorders>
              <w:top w:val="single" w:sz="4" w:space="0" w:color="000000"/>
              <w:left w:val="single" w:sz="4" w:space="0" w:color="000000"/>
              <w:right w:val="single" w:sz="4" w:space="0" w:color="000000"/>
            </w:tcBorders>
          </w:tcPr>
          <w:p>
            <w:pPr>
              <w:pStyle w:val="TableParagraph"/>
              <w:spacing w:before="44"/>
              <w:ind w:right="-29"/>
              <w:jc w:val="right"/>
              <w:rPr>
                <w:rFonts w:ascii="宋体"/>
                <w:sz w:val="21"/>
              </w:rPr>
            </w:pPr>
            <w:r>
              <w:rPr>
                <w:rFonts w:ascii="宋体"/>
                <w:w w:val="100"/>
                <w:sz w:val="21"/>
              </w:rPr>
              <w:t> </w:t>
            </w:r>
          </w:p>
        </w:tc>
        <w:tc>
          <w:tcPr>
            <w:tcW w:w="1687" w:type="dxa"/>
            <w:tcBorders>
              <w:top w:val="single" w:sz="4" w:space="0" w:color="000000"/>
              <w:left w:val="single" w:sz="4" w:space="0" w:color="000000"/>
              <w:right w:val="single" w:sz="4" w:space="0" w:color="000000"/>
            </w:tcBorders>
          </w:tcPr>
          <w:p>
            <w:pPr>
              <w:pStyle w:val="TableParagraph"/>
              <w:rPr>
                <w:sz w:val="20"/>
              </w:rPr>
            </w:pPr>
          </w:p>
        </w:tc>
        <w:tc>
          <w:tcPr>
            <w:tcW w:w="1684" w:type="dxa"/>
            <w:tcBorders>
              <w:top w:val="single" w:sz="4" w:space="0" w:color="000000"/>
              <w:left w:val="single" w:sz="4" w:space="0" w:color="000000"/>
            </w:tcBorders>
          </w:tcPr>
          <w:p>
            <w:pPr>
              <w:pStyle w:val="TableParagraph"/>
              <w:spacing w:before="44"/>
              <w:ind w:right="-44"/>
              <w:jc w:val="right"/>
              <w:rPr>
                <w:rFonts w:ascii="宋体"/>
                <w:sz w:val="21"/>
              </w:rPr>
            </w:pPr>
            <w:r>
              <w:rPr>
                <w:rFonts w:ascii="宋体"/>
                <w:w w:val="100"/>
                <w:sz w:val="21"/>
              </w:rPr>
              <w:t> </w:t>
            </w:r>
          </w:p>
        </w:tc>
      </w:tr>
    </w:tbl>
    <w:p>
      <w:pPr>
        <w:spacing w:after="0"/>
        <w:jc w:val="right"/>
        <w:rPr>
          <w:rFonts w:ascii="宋体"/>
          <w:sz w:val="21"/>
        </w:rPr>
        <w:sectPr>
          <w:pgSz w:w="11910" w:h="16840"/>
          <w:pgMar w:header="876" w:footer="1184" w:top="1440" w:bottom="1400" w:left="260" w:right="0"/>
        </w:sectPr>
      </w:pPr>
    </w:p>
    <w:p>
      <w:pPr>
        <w:pStyle w:val="BodyText"/>
        <w:spacing w:before="2"/>
        <w:rPr>
          <w:sz w:val="5"/>
        </w:r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182"/>
        <w:gridCol w:w="1687"/>
        <w:gridCol w:w="1807"/>
        <w:gridCol w:w="1687"/>
        <w:gridCol w:w="1684"/>
      </w:tblGrid>
      <w:tr>
        <w:trPr>
          <w:trHeight w:val="371" w:hRule="atLeast"/>
        </w:trPr>
        <w:tc>
          <w:tcPr>
            <w:tcW w:w="2182" w:type="dxa"/>
            <w:tcBorders>
              <w:bottom w:val="single" w:sz="4" w:space="0" w:color="000000"/>
              <w:right w:val="single" w:sz="4" w:space="0" w:color="000000"/>
            </w:tcBorders>
          </w:tcPr>
          <w:p>
            <w:pPr>
              <w:pStyle w:val="TableParagraph"/>
              <w:spacing w:line="352" w:lineRule="exact"/>
              <w:ind w:left="107"/>
              <w:rPr>
                <w:rFonts w:ascii="Microsoft JhengHei" w:eastAsia="Microsoft JhengHei" w:hint="eastAsia"/>
                <w:b/>
                <w:sz w:val="21"/>
              </w:rPr>
            </w:pPr>
            <w:r>
              <w:rPr>
                <w:rFonts w:ascii="Microsoft JhengHei" w:eastAsia="Microsoft JhengHei" w:hint="eastAsia"/>
                <w:b/>
                <w:sz w:val="21"/>
              </w:rPr>
              <w:t>交易性金融资产</w:t>
            </w:r>
          </w:p>
        </w:tc>
        <w:tc>
          <w:tcPr>
            <w:tcW w:w="1687" w:type="dxa"/>
            <w:tcBorders>
              <w:left w:val="single" w:sz="4" w:space="0" w:color="000000"/>
              <w:bottom w:val="single" w:sz="4" w:space="0" w:color="000000"/>
              <w:right w:val="single" w:sz="4" w:space="0" w:color="000000"/>
            </w:tcBorders>
          </w:tcPr>
          <w:p>
            <w:pPr>
              <w:pStyle w:val="TableParagraph"/>
              <w:spacing w:before="58"/>
              <w:ind w:left="275"/>
              <w:rPr>
                <w:sz w:val="21"/>
              </w:rPr>
            </w:pPr>
            <w:r>
              <w:rPr>
                <w:sz w:val="21"/>
              </w:rPr>
              <w:t>113,759,845.57</w:t>
            </w:r>
          </w:p>
        </w:tc>
        <w:tc>
          <w:tcPr>
            <w:tcW w:w="1807" w:type="dxa"/>
            <w:tcBorders>
              <w:left w:val="single" w:sz="4" w:space="0" w:color="000000"/>
              <w:bottom w:val="single" w:sz="4" w:space="0" w:color="000000"/>
              <w:right w:val="single" w:sz="4" w:space="0" w:color="000000"/>
            </w:tcBorders>
          </w:tcPr>
          <w:p>
            <w:pPr>
              <w:pStyle w:val="TableParagraph"/>
              <w:spacing w:before="58"/>
              <w:ind w:left="235"/>
              <w:rPr>
                <w:sz w:val="21"/>
              </w:rPr>
            </w:pPr>
            <w:r>
              <w:rPr>
                <w:sz w:val="21"/>
              </w:rPr>
              <w:t>1,967,483,015.21</w:t>
            </w:r>
          </w:p>
        </w:tc>
        <w:tc>
          <w:tcPr>
            <w:tcW w:w="1687" w:type="dxa"/>
            <w:tcBorders>
              <w:left w:val="single" w:sz="4" w:space="0" w:color="000000"/>
              <w:bottom w:val="single" w:sz="4" w:space="0" w:color="000000"/>
              <w:right w:val="single" w:sz="4" w:space="0" w:color="000000"/>
            </w:tcBorders>
          </w:tcPr>
          <w:p>
            <w:pPr>
              <w:pStyle w:val="TableParagraph"/>
              <w:spacing w:before="58"/>
              <w:ind w:right="82"/>
              <w:jc w:val="right"/>
              <w:rPr>
                <w:sz w:val="21"/>
              </w:rPr>
            </w:pPr>
            <w:r>
              <w:rPr>
                <w:sz w:val="21"/>
              </w:rPr>
              <w:t>83,949,637.05</w:t>
            </w:r>
          </w:p>
        </w:tc>
        <w:tc>
          <w:tcPr>
            <w:tcW w:w="1684" w:type="dxa"/>
            <w:tcBorders>
              <w:left w:val="single" w:sz="4" w:space="0" w:color="000000"/>
              <w:bottom w:val="single" w:sz="4" w:space="0" w:color="000000"/>
            </w:tcBorders>
          </w:tcPr>
          <w:p>
            <w:pPr>
              <w:pStyle w:val="TableParagraph"/>
              <w:spacing w:before="58"/>
              <w:ind w:right="69"/>
              <w:jc w:val="right"/>
              <w:rPr>
                <w:sz w:val="21"/>
              </w:rPr>
            </w:pPr>
            <w:r>
              <w:rPr>
                <w:sz w:val="21"/>
              </w:rPr>
              <w:t>2,165,192,497.83</w:t>
            </w:r>
          </w:p>
        </w:tc>
      </w:tr>
      <w:tr>
        <w:trPr>
          <w:trHeight w:val="369" w:hRule="atLeast"/>
        </w:trPr>
        <w:tc>
          <w:tcPr>
            <w:tcW w:w="2182"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其中：银行理财产品</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41"/>
              <w:ind w:right="-29"/>
              <w:jc w:val="right"/>
              <w:rPr>
                <w:rFonts w:ascii="宋体"/>
                <w:sz w:val="21"/>
              </w:rPr>
            </w:pPr>
            <w:r>
              <w:rPr>
                <w:rFonts w:ascii="宋体"/>
                <w:w w:val="100"/>
                <w:sz w:val="21"/>
              </w:rPr>
              <w:t> </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55"/>
              <w:ind w:left="235"/>
              <w:rPr>
                <w:sz w:val="21"/>
              </w:rPr>
            </w:pPr>
            <w:r>
              <w:rPr>
                <w:sz w:val="21"/>
              </w:rPr>
              <w:t>1,862,036,322.21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41"/>
              <w:ind w:right="-29"/>
              <w:jc w:val="right"/>
              <w:rPr>
                <w:rFonts w:ascii="宋体"/>
                <w:sz w:val="21"/>
              </w:rPr>
            </w:pPr>
            <w:r>
              <w:rPr>
                <w:rFonts w:ascii="宋体"/>
                <w:w w:val="100"/>
                <w:sz w:val="21"/>
              </w:rPr>
              <w:t> </w:t>
            </w:r>
          </w:p>
        </w:tc>
        <w:tc>
          <w:tcPr>
            <w:tcW w:w="1684" w:type="dxa"/>
            <w:tcBorders>
              <w:top w:val="single" w:sz="4" w:space="0" w:color="000000"/>
              <w:left w:val="single" w:sz="4" w:space="0" w:color="000000"/>
              <w:bottom w:val="single" w:sz="4" w:space="0" w:color="000000"/>
            </w:tcBorders>
          </w:tcPr>
          <w:p>
            <w:pPr>
              <w:pStyle w:val="TableParagraph"/>
              <w:spacing w:before="55"/>
              <w:ind w:right="69"/>
              <w:jc w:val="right"/>
              <w:rPr>
                <w:sz w:val="21"/>
              </w:rPr>
            </w:pPr>
            <w:r>
              <w:rPr>
                <w:sz w:val="21"/>
              </w:rPr>
              <w:t>1,862,036,322.21</w:t>
            </w:r>
          </w:p>
        </w:tc>
      </w:tr>
      <w:tr>
        <w:trPr>
          <w:trHeight w:val="366" w:hRule="atLeast"/>
        </w:trPr>
        <w:tc>
          <w:tcPr>
            <w:tcW w:w="2182" w:type="dxa"/>
            <w:tcBorders>
              <w:top w:val="single" w:sz="4" w:space="0" w:color="000000"/>
              <w:bottom w:val="single" w:sz="4" w:space="0" w:color="000000"/>
              <w:right w:val="single" w:sz="4" w:space="0" w:color="000000"/>
            </w:tcBorders>
          </w:tcPr>
          <w:p>
            <w:pPr>
              <w:pStyle w:val="TableParagraph"/>
              <w:spacing w:before="49"/>
              <w:ind w:right="158"/>
              <w:jc w:val="right"/>
              <w:rPr>
                <w:rFonts w:ascii="宋体" w:eastAsia="宋体" w:hint="eastAsia"/>
                <w:sz w:val="21"/>
              </w:rPr>
            </w:pPr>
            <w:r>
              <w:rPr>
                <w:rFonts w:ascii="宋体" w:eastAsia="宋体" w:hint="eastAsia"/>
                <w:sz w:val="21"/>
              </w:rPr>
              <w:t>远期外汇合约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42"/>
              <w:ind w:right="-29"/>
              <w:jc w:val="right"/>
              <w:rPr>
                <w:rFonts w:ascii="宋体"/>
                <w:sz w:val="21"/>
              </w:rPr>
            </w:pPr>
            <w:r>
              <w:rPr>
                <w:rFonts w:ascii="宋体"/>
                <w:w w:val="100"/>
                <w:sz w:val="21"/>
              </w:rPr>
              <w:t> </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55"/>
              <w:ind w:right="85"/>
              <w:jc w:val="right"/>
              <w:rPr>
                <w:sz w:val="21"/>
              </w:rPr>
            </w:pPr>
            <w:r>
              <w:rPr>
                <w:sz w:val="21"/>
              </w:rPr>
              <w:t>105,446,693.00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42"/>
              <w:ind w:right="-29"/>
              <w:jc w:val="right"/>
              <w:rPr>
                <w:rFonts w:ascii="宋体"/>
                <w:sz w:val="21"/>
              </w:rPr>
            </w:pPr>
            <w:r>
              <w:rPr>
                <w:rFonts w:ascii="宋体"/>
                <w:w w:val="100"/>
                <w:sz w:val="21"/>
              </w:rPr>
              <w:t> </w:t>
            </w:r>
          </w:p>
        </w:tc>
        <w:tc>
          <w:tcPr>
            <w:tcW w:w="1684" w:type="dxa"/>
            <w:tcBorders>
              <w:top w:val="single" w:sz="4" w:space="0" w:color="000000"/>
              <w:left w:val="single" w:sz="4" w:space="0" w:color="000000"/>
              <w:bottom w:val="single" w:sz="4" w:space="0" w:color="000000"/>
            </w:tcBorders>
          </w:tcPr>
          <w:p>
            <w:pPr>
              <w:pStyle w:val="TableParagraph"/>
              <w:spacing w:before="55"/>
              <w:ind w:right="69"/>
              <w:jc w:val="right"/>
              <w:rPr>
                <w:sz w:val="21"/>
              </w:rPr>
            </w:pPr>
            <w:r>
              <w:rPr>
                <w:sz w:val="21"/>
              </w:rPr>
              <w:t>105,446,693.00</w:t>
            </w:r>
          </w:p>
        </w:tc>
      </w:tr>
      <w:tr>
        <w:trPr>
          <w:trHeight w:val="369" w:hRule="atLeast"/>
        </w:trPr>
        <w:tc>
          <w:tcPr>
            <w:tcW w:w="2182" w:type="dxa"/>
            <w:tcBorders>
              <w:top w:val="single" w:sz="4" w:space="0" w:color="000000"/>
              <w:bottom w:val="single" w:sz="4" w:space="0" w:color="000000"/>
              <w:right w:val="single" w:sz="4" w:space="0" w:color="000000"/>
            </w:tcBorders>
          </w:tcPr>
          <w:p>
            <w:pPr>
              <w:pStyle w:val="TableParagraph"/>
              <w:spacing w:before="51"/>
              <w:ind w:left="738"/>
              <w:rPr>
                <w:rFonts w:ascii="宋体" w:eastAsia="宋体" w:hint="eastAsia"/>
                <w:sz w:val="21"/>
              </w:rPr>
            </w:pPr>
            <w:r>
              <w:rPr>
                <w:rFonts w:ascii="宋体" w:eastAsia="宋体" w:hint="eastAsia"/>
                <w:sz w:val="21"/>
              </w:rPr>
              <w:t>投资基金</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58"/>
              <w:ind w:left="275"/>
              <w:rPr>
                <w:sz w:val="21"/>
              </w:rPr>
            </w:pPr>
            <w:r>
              <w:rPr>
                <w:sz w:val="21"/>
              </w:rPr>
              <w:t>113,759,845.57</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44"/>
              <w:ind w:right="-29"/>
              <w:jc w:val="right"/>
              <w:rPr>
                <w:rFonts w:ascii="宋体"/>
                <w:sz w:val="21"/>
              </w:rPr>
            </w:pPr>
            <w:r>
              <w:rPr>
                <w:rFonts w:ascii="宋体"/>
                <w:w w:val="100"/>
                <w:sz w:val="21"/>
              </w:rPr>
              <w:t> </w:t>
            </w:r>
          </w:p>
        </w:tc>
        <w:tc>
          <w:tcPr>
            <w:tcW w:w="1684" w:type="dxa"/>
            <w:tcBorders>
              <w:top w:val="single" w:sz="4" w:space="0" w:color="000000"/>
              <w:left w:val="single" w:sz="4" w:space="0" w:color="000000"/>
              <w:bottom w:val="single" w:sz="4" w:space="0" w:color="000000"/>
            </w:tcBorders>
          </w:tcPr>
          <w:p>
            <w:pPr>
              <w:pStyle w:val="TableParagraph"/>
              <w:spacing w:before="58"/>
              <w:ind w:right="69"/>
              <w:jc w:val="right"/>
              <w:rPr>
                <w:sz w:val="21"/>
              </w:rPr>
            </w:pPr>
            <w:r>
              <w:rPr>
                <w:sz w:val="21"/>
              </w:rPr>
              <w:t>113,759,845.57</w:t>
            </w:r>
          </w:p>
        </w:tc>
      </w:tr>
      <w:tr>
        <w:trPr>
          <w:trHeight w:val="369" w:hRule="atLeast"/>
        </w:trPr>
        <w:tc>
          <w:tcPr>
            <w:tcW w:w="2182" w:type="dxa"/>
            <w:tcBorders>
              <w:top w:val="single" w:sz="4" w:space="0" w:color="000000"/>
              <w:bottom w:val="single" w:sz="4" w:space="0" w:color="000000"/>
              <w:right w:val="single" w:sz="4" w:space="0" w:color="000000"/>
            </w:tcBorders>
          </w:tcPr>
          <w:p>
            <w:pPr>
              <w:pStyle w:val="TableParagraph"/>
              <w:spacing w:before="51"/>
              <w:ind w:right="158"/>
              <w:jc w:val="right"/>
              <w:rPr>
                <w:rFonts w:ascii="宋体" w:eastAsia="宋体" w:hint="eastAsia"/>
                <w:sz w:val="21"/>
              </w:rPr>
            </w:pPr>
            <w:r>
              <w:rPr>
                <w:rFonts w:ascii="宋体" w:eastAsia="宋体" w:hint="eastAsia"/>
                <w:sz w:val="21"/>
              </w:rPr>
              <w:t>权益工具投资</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44"/>
              <w:ind w:right="-29"/>
              <w:jc w:val="right"/>
              <w:rPr>
                <w:rFonts w:ascii="宋体"/>
                <w:sz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58"/>
              <w:ind w:right="82"/>
              <w:jc w:val="right"/>
              <w:rPr>
                <w:sz w:val="21"/>
              </w:rPr>
            </w:pPr>
            <w:r>
              <w:rPr>
                <w:sz w:val="21"/>
              </w:rPr>
              <w:t>83,949,637.05</w:t>
            </w:r>
          </w:p>
        </w:tc>
        <w:tc>
          <w:tcPr>
            <w:tcW w:w="1684" w:type="dxa"/>
            <w:tcBorders>
              <w:top w:val="single" w:sz="4" w:space="0" w:color="000000"/>
              <w:left w:val="single" w:sz="4" w:space="0" w:color="000000"/>
              <w:bottom w:val="single" w:sz="4" w:space="0" w:color="000000"/>
            </w:tcBorders>
          </w:tcPr>
          <w:p>
            <w:pPr>
              <w:pStyle w:val="TableParagraph"/>
              <w:spacing w:before="58"/>
              <w:ind w:right="69"/>
              <w:jc w:val="right"/>
              <w:rPr>
                <w:sz w:val="21"/>
              </w:rPr>
            </w:pPr>
            <w:r>
              <w:rPr>
                <w:sz w:val="21"/>
              </w:rPr>
              <w:t>83,949,637.05</w:t>
            </w:r>
          </w:p>
        </w:tc>
      </w:tr>
      <w:tr>
        <w:trPr>
          <w:trHeight w:val="369" w:hRule="atLeast"/>
        </w:trPr>
        <w:tc>
          <w:tcPr>
            <w:tcW w:w="2182" w:type="dxa"/>
            <w:tcBorders>
              <w:top w:val="single" w:sz="4" w:space="0" w:color="000000"/>
              <w:bottom w:val="single" w:sz="4" w:space="0" w:color="000000"/>
              <w:right w:val="single" w:sz="4" w:space="0" w:color="000000"/>
            </w:tcBorders>
          </w:tcPr>
          <w:p>
            <w:pPr>
              <w:pStyle w:val="TableParagraph"/>
              <w:spacing w:line="349" w:lineRule="exact"/>
              <w:ind w:left="107"/>
              <w:rPr>
                <w:rFonts w:ascii="Microsoft JhengHei" w:eastAsia="Microsoft JhengHei" w:hint="eastAsia"/>
                <w:b/>
                <w:sz w:val="21"/>
              </w:rPr>
            </w:pPr>
            <w:r>
              <w:rPr>
                <w:rFonts w:ascii="Microsoft JhengHei" w:eastAsia="Microsoft JhengHei" w:hint="eastAsia"/>
                <w:b/>
                <w:sz w:val="21"/>
              </w:rPr>
              <w:t>衍生金融资产</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58"/>
              <w:ind w:right="85"/>
              <w:jc w:val="right"/>
              <w:rPr>
                <w:sz w:val="21"/>
              </w:rPr>
            </w:pPr>
            <w:r>
              <w:rPr>
                <w:sz w:val="21"/>
              </w:rPr>
              <w:t>77,839,006.63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44"/>
              <w:ind w:right="-29"/>
              <w:jc w:val="right"/>
              <w:rPr>
                <w:rFonts w:ascii="宋体"/>
                <w:sz w:val="21"/>
              </w:rPr>
            </w:pPr>
            <w:r>
              <w:rPr>
                <w:rFonts w:ascii="宋体"/>
                <w:w w:val="100"/>
                <w:sz w:val="21"/>
              </w:rPr>
              <w:t> </w:t>
            </w:r>
          </w:p>
        </w:tc>
        <w:tc>
          <w:tcPr>
            <w:tcW w:w="1684" w:type="dxa"/>
            <w:tcBorders>
              <w:top w:val="single" w:sz="4" w:space="0" w:color="000000"/>
              <w:left w:val="single" w:sz="4" w:space="0" w:color="000000"/>
              <w:bottom w:val="single" w:sz="4" w:space="0" w:color="000000"/>
            </w:tcBorders>
          </w:tcPr>
          <w:p>
            <w:pPr>
              <w:pStyle w:val="TableParagraph"/>
              <w:spacing w:before="58"/>
              <w:ind w:right="69"/>
              <w:jc w:val="right"/>
              <w:rPr>
                <w:sz w:val="21"/>
              </w:rPr>
            </w:pPr>
            <w:r>
              <w:rPr>
                <w:sz w:val="21"/>
              </w:rPr>
              <w:t>77,839,006.63</w:t>
            </w:r>
          </w:p>
        </w:tc>
      </w:tr>
      <w:tr>
        <w:trPr>
          <w:trHeight w:val="369" w:hRule="atLeast"/>
        </w:trPr>
        <w:tc>
          <w:tcPr>
            <w:tcW w:w="2182"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其中：远期外汇合约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58"/>
              <w:ind w:right="85"/>
              <w:jc w:val="right"/>
              <w:rPr>
                <w:sz w:val="21"/>
              </w:rPr>
            </w:pPr>
            <w:r>
              <w:rPr>
                <w:sz w:val="21"/>
              </w:rPr>
              <w:t>52,194,232.55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44"/>
              <w:ind w:right="-29"/>
              <w:jc w:val="right"/>
              <w:rPr>
                <w:rFonts w:ascii="宋体"/>
                <w:sz w:val="21"/>
              </w:rPr>
            </w:pPr>
            <w:r>
              <w:rPr>
                <w:rFonts w:ascii="宋体"/>
                <w:w w:val="100"/>
                <w:sz w:val="21"/>
              </w:rPr>
              <w:t> </w:t>
            </w:r>
          </w:p>
        </w:tc>
        <w:tc>
          <w:tcPr>
            <w:tcW w:w="1684" w:type="dxa"/>
            <w:tcBorders>
              <w:top w:val="single" w:sz="4" w:space="0" w:color="000000"/>
              <w:left w:val="single" w:sz="4" w:space="0" w:color="000000"/>
              <w:bottom w:val="single" w:sz="4" w:space="0" w:color="000000"/>
            </w:tcBorders>
          </w:tcPr>
          <w:p>
            <w:pPr>
              <w:pStyle w:val="TableParagraph"/>
              <w:spacing w:before="58"/>
              <w:ind w:right="69"/>
              <w:jc w:val="right"/>
              <w:rPr>
                <w:sz w:val="21"/>
              </w:rPr>
            </w:pPr>
            <w:r>
              <w:rPr>
                <w:sz w:val="21"/>
              </w:rPr>
              <w:t>52,194,232.55</w:t>
            </w:r>
          </w:p>
        </w:tc>
      </w:tr>
      <w:tr>
        <w:trPr>
          <w:trHeight w:val="369" w:hRule="atLeast"/>
        </w:trPr>
        <w:tc>
          <w:tcPr>
            <w:tcW w:w="2182" w:type="dxa"/>
            <w:tcBorders>
              <w:top w:val="single" w:sz="4" w:space="0" w:color="000000"/>
              <w:bottom w:val="single" w:sz="4" w:space="0" w:color="000000"/>
              <w:right w:val="single" w:sz="4" w:space="0" w:color="000000"/>
            </w:tcBorders>
          </w:tcPr>
          <w:p>
            <w:pPr>
              <w:pStyle w:val="TableParagraph"/>
              <w:spacing w:before="49"/>
              <w:ind w:right="158"/>
              <w:jc w:val="right"/>
              <w:rPr>
                <w:rFonts w:ascii="宋体" w:eastAsia="宋体" w:hint="eastAsia"/>
                <w:sz w:val="21"/>
              </w:rPr>
            </w:pPr>
            <w:r>
              <w:rPr>
                <w:rFonts w:ascii="宋体" w:eastAsia="宋体" w:hint="eastAsia"/>
                <w:sz w:val="21"/>
              </w:rPr>
              <w:t>远期商品合约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44"/>
              <w:ind w:right="-29"/>
              <w:jc w:val="right"/>
              <w:rPr>
                <w:rFonts w:ascii="宋体"/>
                <w:sz w:val="21"/>
              </w:rPr>
            </w:pPr>
            <w:r>
              <w:rPr>
                <w:rFonts w:ascii="宋体"/>
                <w:w w:val="100"/>
                <w:sz w:val="21"/>
              </w:rPr>
              <w:t> </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58"/>
              <w:ind w:right="85"/>
              <w:jc w:val="right"/>
              <w:rPr>
                <w:sz w:val="21"/>
              </w:rPr>
            </w:pPr>
            <w:r>
              <w:rPr>
                <w:sz w:val="21"/>
              </w:rPr>
              <w:t>25,644,774.08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44"/>
              <w:ind w:right="-29"/>
              <w:jc w:val="right"/>
              <w:rPr>
                <w:rFonts w:ascii="宋体"/>
                <w:sz w:val="21"/>
              </w:rPr>
            </w:pPr>
            <w:r>
              <w:rPr>
                <w:rFonts w:ascii="宋体"/>
                <w:w w:val="100"/>
                <w:sz w:val="21"/>
              </w:rPr>
              <w:t> </w:t>
            </w:r>
          </w:p>
        </w:tc>
        <w:tc>
          <w:tcPr>
            <w:tcW w:w="1684" w:type="dxa"/>
            <w:tcBorders>
              <w:top w:val="single" w:sz="4" w:space="0" w:color="000000"/>
              <w:left w:val="single" w:sz="4" w:space="0" w:color="000000"/>
              <w:bottom w:val="single" w:sz="4" w:space="0" w:color="000000"/>
            </w:tcBorders>
          </w:tcPr>
          <w:p>
            <w:pPr>
              <w:pStyle w:val="TableParagraph"/>
              <w:spacing w:before="58"/>
              <w:ind w:right="69"/>
              <w:jc w:val="right"/>
              <w:rPr>
                <w:sz w:val="21"/>
              </w:rPr>
            </w:pPr>
            <w:r>
              <w:rPr>
                <w:sz w:val="21"/>
              </w:rPr>
              <w:t>25,644,774.08</w:t>
            </w:r>
          </w:p>
        </w:tc>
      </w:tr>
      <w:tr>
        <w:trPr>
          <w:trHeight w:val="369" w:hRule="atLeast"/>
        </w:trPr>
        <w:tc>
          <w:tcPr>
            <w:tcW w:w="2182" w:type="dxa"/>
            <w:tcBorders>
              <w:top w:val="single" w:sz="4" w:space="0" w:color="000000"/>
              <w:bottom w:val="single" w:sz="4" w:space="0" w:color="000000"/>
              <w:right w:val="single" w:sz="4" w:space="0" w:color="000000"/>
            </w:tcBorders>
          </w:tcPr>
          <w:p>
            <w:pPr>
              <w:pStyle w:val="TableParagraph"/>
              <w:spacing w:line="349" w:lineRule="exact"/>
              <w:ind w:left="107"/>
              <w:rPr>
                <w:rFonts w:ascii="Microsoft JhengHei" w:eastAsia="Microsoft JhengHei" w:hint="eastAsia"/>
                <w:b/>
                <w:sz w:val="21"/>
              </w:rPr>
            </w:pPr>
            <w:r>
              <w:rPr>
                <w:rFonts w:ascii="Microsoft JhengHei" w:eastAsia="Microsoft JhengHei" w:hint="eastAsia"/>
                <w:b/>
                <w:sz w:val="21"/>
              </w:rPr>
              <w:t>其他权益工具</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19,802,461.70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58"/>
              <w:ind w:left="118"/>
              <w:rPr>
                <w:sz w:val="21"/>
              </w:rPr>
            </w:pPr>
            <w:r>
              <w:rPr>
                <w:sz w:val="21"/>
              </w:rPr>
              <w:t>2,639,322,803.84</w:t>
            </w:r>
          </w:p>
        </w:tc>
        <w:tc>
          <w:tcPr>
            <w:tcW w:w="1684" w:type="dxa"/>
            <w:tcBorders>
              <w:top w:val="single" w:sz="4" w:space="0" w:color="000000"/>
              <w:left w:val="single" w:sz="4" w:space="0" w:color="000000"/>
              <w:bottom w:val="single" w:sz="4" w:space="0" w:color="000000"/>
            </w:tcBorders>
          </w:tcPr>
          <w:p>
            <w:pPr>
              <w:pStyle w:val="TableParagraph"/>
              <w:spacing w:before="58"/>
              <w:ind w:right="69"/>
              <w:jc w:val="right"/>
              <w:rPr>
                <w:sz w:val="21"/>
              </w:rPr>
            </w:pPr>
            <w:r>
              <w:rPr>
                <w:sz w:val="21"/>
              </w:rPr>
              <w:t>2,659,125,265.54</w:t>
            </w:r>
          </w:p>
        </w:tc>
      </w:tr>
      <w:tr>
        <w:trPr>
          <w:trHeight w:val="1363" w:hRule="atLeast"/>
        </w:trPr>
        <w:tc>
          <w:tcPr>
            <w:tcW w:w="2182" w:type="dxa"/>
            <w:tcBorders>
              <w:top w:val="single" w:sz="4" w:space="0" w:color="000000"/>
              <w:bottom w:val="single" w:sz="4" w:space="0" w:color="000000"/>
              <w:right w:val="single" w:sz="4" w:space="0" w:color="000000"/>
            </w:tcBorders>
          </w:tcPr>
          <w:p>
            <w:pPr>
              <w:pStyle w:val="TableParagraph"/>
              <w:spacing w:before="1"/>
              <w:ind w:left="107"/>
              <w:rPr>
                <w:rFonts w:ascii="宋体" w:eastAsia="宋体" w:hint="eastAsia"/>
                <w:sz w:val="21"/>
              </w:rPr>
            </w:pPr>
            <w:r>
              <w:rPr>
                <w:rFonts w:ascii="宋体" w:eastAsia="宋体" w:hint="eastAsia"/>
                <w:spacing w:val="-3"/>
                <w:sz w:val="21"/>
              </w:rPr>
              <w:t>其中：以公允价值计</w:t>
            </w:r>
          </w:p>
          <w:p>
            <w:pPr>
              <w:pStyle w:val="TableParagraph"/>
              <w:spacing w:line="242" w:lineRule="auto" w:before="5"/>
              <w:ind w:left="738" w:right="158"/>
              <w:jc w:val="both"/>
              <w:rPr>
                <w:rFonts w:ascii="宋体" w:eastAsia="宋体" w:hint="eastAsia"/>
                <w:sz w:val="21"/>
              </w:rPr>
            </w:pPr>
            <w:r>
              <w:rPr>
                <w:rFonts w:ascii="宋体" w:eastAsia="宋体" w:hint="eastAsia"/>
                <w:spacing w:val="-5"/>
                <w:sz w:val="21"/>
              </w:rPr>
              <w:t>量且其变动动计入其他综合收益的权益工</w:t>
            </w:r>
          </w:p>
          <w:p>
            <w:pPr>
              <w:pStyle w:val="TableParagraph"/>
              <w:spacing w:line="252" w:lineRule="exact" w:before="1"/>
              <w:ind w:right="471"/>
              <w:jc w:val="center"/>
              <w:rPr>
                <w:rFonts w:ascii="宋体" w:eastAsia="宋体" w:hint="eastAsia"/>
                <w:sz w:val="21"/>
              </w:rPr>
            </w:pPr>
            <w:r>
              <w:rPr>
                <w:rFonts w:ascii="宋体" w:eastAsia="宋体" w:hint="eastAsia"/>
                <w:w w:val="100"/>
                <w:sz w:val="21"/>
              </w:rPr>
              <w:t>具</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22"/>
              </w:rPr>
            </w:pPr>
          </w:p>
          <w:p>
            <w:pPr>
              <w:pStyle w:val="TableParagraph"/>
              <w:spacing w:before="4"/>
              <w:rPr>
                <w:rFonts w:ascii="宋体"/>
                <w:sz w:val="21"/>
              </w:rPr>
            </w:pPr>
          </w:p>
          <w:p>
            <w:pPr>
              <w:pStyle w:val="TableParagraph"/>
              <w:ind w:right="83"/>
              <w:jc w:val="right"/>
              <w:rPr>
                <w:sz w:val="21"/>
              </w:rPr>
            </w:pPr>
            <w:r>
              <w:rPr>
                <w:sz w:val="21"/>
              </w:rPr>
              <w:t>19,802,461.70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rPr>
                <w:rFonts w:ascii="宋体"/>
                <w:sz w:val="22"/>
              </w:rPr>
            </w:pPr>
          </w:p>
          <w:p>
            <w:pPr>
              <w:pStyle w:val="TableParagraph"/>
              <w:spacing w:before="4"/>
              <w:rPr>
                <w:rFonts w:ascii="宋体"/>
                <w:sz w:val="21"/>
              </w:rPr>
            </w:pPr>
          </w:p>
          <w:p>
            <w:pPr>
              <w:pStyle w:val="TableParagraph"/>
              <w:ind w:left="118"/>
              <w:rPr>
                <w:sz w:val="21"/>
              </w:rPr>
            </w:pPr>
            <w:r>
              <w:rPr>
                <w:sz w:val="21"/>
              </w:rPr>
              <w:t>2,639,322,803.84</w:t>
            </w:r>
          </w:p>
        </w:tc>
        <w:tc>
          <w:tcPr>
            <w:tcW w:w="1684" w:type="dxa"/>
            <w:tcBorders>
              <w:top w:val="single" w:sz="4" w:space="0" w:color="000000"/>
              <w:left w:val="single" w:sz="4" w:space="0" w:color="000000"/>
              <w:bottom w:val="single" w:sz="4" w:space="0" w:color="000000"/>
            </w:tcBorders>
          </w:tcPr>
          <w:p>
            <w:pPr>
              <w:pStyle w:val="TableParagraph"/>
              <w:rPr>
                <w:rFonts w:ascii="宋体"/>
                <w:sz w:val="22"/>
              </w:rPr>
            </w:pPr>
          </w:p>
          <w:p>
            <w:pPr>
              <w:pStyle w:val="TableParagraph"/>
              <w:spacing w:before="4"/>
              <w:rPr>
                <w:rFonts w:ascii="宋体"/>
                <w:sz w:val="21"/>
              </w:rPr>
            </w:pPr>
          </w:p>
          <w:p>
            <w:pPr>
              <w:pStyle w:val="TableParagraph"/>
              <w:ind w:right="69"/>
              <w:jc w:val="right"/>
              <w:rPr>
                <w:sz w:val="21"/>
              </w:rPr>
            </w:pPr>
            <w:r>
              <w:rPr>
                <w:sz w:val="21"/>
              </w:rPr>
              <w:t>2,659,125,265.54</w:t>
            </w:r>
          </w:p>
        </w:tc>
      </w:tr>
      <w:tr>
        <w:trPr>
          <w:trHeight w:val="366" w:hRule="atLeast"/>
        </w:trPr>
        <w:tc>
          <w:tcPr>
            <w:tcW w:w="2182" w:type="dxa"/>
            <w:tcBorders>
              <w:top w:val="single" w:sz="4" w:space="0" w:color="000000"/>
              <w:bottom w:val="single" w:sz="4" w:space="0" w:color="000000"/>
              <w:right w:val="single" w:sz="4" w:space="0" w:color="000000"/>
            </w:tcBorders>
          </w:tcPr>
          <w:p>
            <w:pPr>
              <w:pStyle w:val="TableParagraph"/>
              <w:spacing w:line="347" w:lineRule="exact"/>
              <w:ind w:left="107"/>
              <w:rPr>
                <w:rFonts w:ascii="Microsoft JhengHei" w:eastAsia="Microsoft JhengHei" w:hint="eastAsia"/>
                <w:b/>
                <w:sz w:val="21"/>
              </w:rPr>
            </w:pPr>
            <w:r>
              <w:rPr>
                <w:rFonts w:ascii="Microsoft JhengHei" w:eastAsia="Microsoft JhengHei" w:hint="eastAsia"/>
                <w:b/>
                <w:sz w:val="21"/>
              </w:rPr>
              <w:t>其他非流动资产</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42"/>
              <w:ind w:right="-29"/>
              <w:jc w:val="right"/>
              <w:rPr>
                <w:rFonts w:ascii="宋体"/>
                <w:sz w:val="21"/>
              </w:rPr>
            </w:pPr>
            <w:r>
              <w:rPr>
                <w:rFonts w:ascii="宋体"/>
                <w:w w:val="100"/>
                <w:sz w:val="21"/>
              </w:rPr>
              <w:t> </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55"/>
              <w:ind w:right="85"/>
              <w:jc w:val="right"/>
              <w:rPr>
                <w:sz w:val="21"/>
              </w:rPr>
            </w:pPr>
            <w:r>
              <w:rPr>
                <w:sz w:val="21"/>
              </w:rPr>
              <w:t>46,832,494.61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84" w:type="dxa"/>
            <w:tcBorders>
              <w:top w:val="single" w:sz="4" w:space="0" w:color="000000"/>
              <w:left w:val="single" w:sz="4" w:space="0" w:color="000000"/>
              <w:bottom w:val="single" w:sz="4" w:space="0" w:color="000000"/>
            </w:tcBorders>
          </w:tcPr>
          <w:p>
            <w:pPr>
              <w:pStyle w:val="TableParagraph"/>
              <w:spacing w:before="55"/>
              <w:ind w:right="69"/>
              <w:jc w:val="right"/>
              <w:rPr>
                <w:sz w:val="21"/>
              </w:rPr>
            </w:pPr>
            <w:r>
              <w:rPr>
                <w:sz w:val="21"/>
              </w:rPr>
              <w:t>46,832,494.61</w:t>
            </w:r>
          </w:p>
        </w:tc>
      </w:tr>
      <w:tr>
        <w:trPr>
          <w:trHeight w:val="546" w:hRule="atLeast"/>
        </w:trPr>
        <w:tc>
          <w:tcPr>
            <w:tcW w:w="2182" w:type="dxa"/>
            <w:tcBorders>
              <w:top w:val="single" w:sz="4" w:space="0" w:color="000000"/>
              <w:bottom w:val="single" w:sz="4" w:space="0" w:color="000000"/>
              <w:right w:val="single" w:sz="4" w:space="0" w:color="000000"/>
            </w:tcBorders>
          </w:tcPr>
          <w:p>
            <w:pPr>
              <w:pStyle w:val="TableParagraph"/>
              <w:spacing w:line="270" w:lineRule="atLeast" w:before="2"/>
              <w:ind w:left="738" w:right="158" w:hanging="632"/>
              <w:rPr>
                <w:rFonts w:ascii="宋体" w:eastAsia="宋体" w:hint="eastAsia"/>
                <w:sz w:val="21"/>
              </w:rPr>
            </w:pPr>
            <w:r>
              <w:rPr>
                <w:rFonts w:ascii="宋体" w:eastAsia="宋体" w:hint="eastAsia"/>
                <w:sz w:val="21"/>
              </w:rPr>
              <w:t>其中：其他非流动财务资产</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133"/>
              <w:ind w:right="-29"/>
              <w:jc w:val="right"/>
              <w:rPr>
                <w:rFonts w:ascii="宋体"/>
                <w:sz w:val="21"/>
              </w:rPr>
            </w:pPr>
            <w:r>
              <w:rPr>
                <w:rFonts w:ascii="宋体"/>
                <w:w w:val="100"/>
                <w:sz w:val="21"/>
              </w:rPr>
              <w:t> </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147"/>
              <w:ind w:right="85"/>
              <w:jc w:val="right"/>
              <w:rPr>
                <w:sz w:val="21"/>
              </w:rPr>
            </w:pPr>
            <w:r>
              <w:rPr>
                <w:sz w:val="21"/>
              </w:rPr>
              <w:t>46,832,494.61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84" w:type="dxa"/>
            <w:tcBorders>
              <w:top w:val="single" w:sz="4" w:space="0" w:color="000000"/>
              <w:left w:val="single" w:sz="4" w:space="0" w:color="000000"/>
              <w:bottom w:val="single" w:sz="4" w:space="0" w:color="000000"/>
            </w:tcBorders>
          </w:tcPr>
          <w:p>
            <w:pPr>
              <w:pStyle w:val="TableParagraph"/>
              <w:spacing w:before="147"/>
              <w:ind w:right="69"/>
              <w:jc w:val="right"/>
              <w:rPr>
                <w:sz w:val="21"/>
              </w:rPr>
            </w:pPr>
            <w:r>
              <w:rPr>
                <w:sz w:val="21"/>
              </w:rPr>
              <w:t>46,832,494.61</w:t>
            </w:r>
          </w:p>
        </w:tc>
      </w:tr>
      <w:tr>
        <w:trPr>
          <w:trHeight w:val="366" w:hRule="atLeast"/>
        </w:trPr>
        <w:tc>
          <w:tcPr>
            <w:tcW w:w="2182" w:type="dxa"/>
            <w:tcBorders>
              <w:top w:val="single" w:sz="4" w:space="0" w:color="000000"/>
              <w:bottom w:val="single" w:sz="4" w:space="0" w:color="000000"/>
              <w:right w:val="single" w:sz="4" w:space="0" w:color="000000"/>
            </w:tcBorders>
          </w:tcPr>
          <w:p>
            <w:pPr>
              <w:pStyle w:val="TableParagraph"/>
              <w:spacing w:line="347" w:lineRule="exact"/>
              <w:ind w:left="107"/>
              <w:rPr>
                <w:rFonts w:ascii="Microsoft JhengHei" w:eastAsia="Microsoft JhengHei" w:hint="eastAsia"/>
                <w:b/>
                <w:sz w:val="21"/>
              </w:rPr>
            </w:pPr>
            <w:r>
              <w:rPr>
                <w:rFonts w:ascii="Microsoft JhengHei" w:eastAsia="Microsoft JhengHei" w:hint="eastAsia"/>
                <w:b/>
                <w:sz w:val="21"/>
              </w:rPr>
              <w:t>交易性金融负债</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55"/>
              <w:ind w:right="85"/>
              <w:jc w:val="right"/>
              <w:rPr>
                <w:sz w:val="21"/>
              </w:rPr>
            </w:pPr>
            <w:r>
              <w:rPr>
                <w:sz w:val="21"/>
              </w:rPr>
              <w:t>26,952,508.66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41"/>
              <w:ind w:right="-29"/>
              <w:jc w:val="right"/>
              <w:rPr>
                <w:rFonts w:ascii="宋体"/>
                <w:sz w:val="21"/>
              </w:rPr>
            </w:pPr>
            <w:r>
              <w:rPr>
                <w:rFonts w:ascii="宋体"/>
                <w:w w:val="100"/>
                <w:sz w:val="21"/>
              </w:rPr>
              <w:t> </w:t>
            </w:r>
          </w:p>
        </w:tc>
        <w:tc>
          <w:tcPr>
            <w:tcW w:w="1684" w:type="dxa"/>
            <w:tcBorders>
              <w:top w:val="single" w:sz="4" w:space="0" w:color="000000"/>
              <w:left w:val="single" w:sz="4" w:space="0" w:color="000000"/>
              <w:bottom w:val="single" w:sz="4" w:space="0" w:color="000000"/>
            </w:tcBorders>
          </w:tcPr>
          <w:p>
            <w:pPr>
              <w:pStyle w:val="TableParagraph"/>
              <w:spacing w:before="55"/>
              <w:ind w:right="69"/>
              <w:jc w:val="right"/>
              <w:rPr>
                <w:sz w:val="21"/>
              </w:rPr>
            </w:pPr>
            <w:r>
              <w:rPr>
                <w:sz w:val="21"/>
              </w:rPr>
              <w:t>26,952,508.66</w:t>
            </w:r>
          </w:p>
        </w:tc>
      </w:tr>
      <w:tr>
        <w:trPr>
          <w:trHeight w:val="369" w:hRule="atLeast"/>
        </w:trPr>
        <w:tc>
          <w:tcPr>
            <w:tcW w:w="2182"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其中：远期外汇合约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58"/>
              <w:ind w:right="85"/>
              <w:jc w:val="right"/>
              <w:rPr>
                <w:sz w:val="21"/>
              </w:rPr>
            </w:pPr>
            <w:r>
              <w:rPr>
                <w:sz w:val="21"/>
              </w:rPr>
              <w:t>26,952,508.66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44"/>
              <w:ind w:right="-29"/>
              <w:jc w:val="right"/>
              <w:rPr>
                <w:rFonts w:ascii="宋体"/>
                <w:sz w:val="21"/>
              </w:rPr>
            </w:pPr>
            <w:r>
              <w:rPr>
                <w:rFonts w:ascii="宋体"/>
                <w:w w:val="100"/>
                <w:sz w:val="21"/>
              </w:rPr>
              <w:t> </w:t>
            </w:r>
          </w:p>
        </w:tc>
        <w:tc>
          <w:tcPr>
            <w:tcW w:w="1684" w:type="dxa"/>
            <w:tcBorders>
              <w:top w:val="single" w:sz="4" w:space="0" w:color="000000"/>
              <w:left w:val="single" w:sz="4" w:space="0" w:color="000000"/>
              <w:bottom w:val="single" w:sz="4" w:space="0" w:color="000000"/>
            </w:tcBorders>
          </w:tcPr>
          <w:p>
            <w:pPr>
              <w:pStyle w:val="TableParagraph"/>
              <w:spacing w:before="58"/>
              <w:ind w:right="69"/>
              <w:jc w:val="right"/>
              <w:rPr>
                <w:sz w:val="21"/>
              </w:rPr>
            </w:pPr>
            <w:r>
              <w:rPr>
                <w:sz w:val="21"/>
              </w:rPr>
              <w:t>26,952,508.66</w:t>
            </w:r>
          </w:p>
        </w:tc>
      </w:tr>
      <w:tr>
        <w:trPr>
          <w:trHeight w:val="369" w:hRule="atLeast"/>
        </w:trPr>
        <w:tc>
          <w:tcPr>
            <w:tcW w:w="2182" w:type="dxa"/>
            <w:tcBorders>
              <w:top w:val="single" w:sz="4" w:space="0" w:color="000000"/>
              <w:bottom w:val="single" w:sz="4" w:space="0" w:color="000000"/>
              <w:right w:val="single" w:sz="4" w:space="0" w:color="000000"/>
            </w:tcBorders>
          </w:tcPr>
          <w:p>
            <w:pPr>
              <w:pStyle w:val="TableParagraph"/>
              <w:spacing w:line="349" w:lineRule="exact"/>
              <w:ind w:left="107"/>
              <w:rPr>
                <w:rFonts w:ascii="Microsoft JhengHei" w:eastAsia="Microsoft JhengHei" w:hint="eastAsia"/>
                <w:b/>
                <w:sz w:val="21"/>
              </w:rPr>
            </w:pPr>
            <w:r>
              <w:rPr>
                <w:rFonts w:ascii="Microsoft JhengHei" w:eastAsia="Microsoft JhengHei" w:hint="eastAsia"/>
                <w:b/>
                <w:sz w:val="21"/>
              </w:rPr>
              <w:t>衍生金融负债</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58"/>
              <w:ind w:right="85"/>
              <w:jc w:val="right"/>
              <w:rPr>
                <w:sz w:val="21"/>
              </w:rPr>
            </w:pPr>
            <w:r>
              <w:rPr>
                <w:sz w:val="21"/>
              </w:rPr>
              <w:t>239,582,532.90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84" w:type="dxa"/>
            <w:tcBorders>
              <w:top w:val="single" w:sz="4" w:space="0" w:color="000000"/>
              <w:left w:val="single" w:sz="4" w:space="0" w:color="000000"/>
              <w:bottom w:val="single" w:sz="4" w:space="0" w:color="000000"/>
            </w:tcBorders>
          </w:tcPr>
          <w:p>
            <w:pPr>
              <w:pStyle w:val="TableParagraph"/>
              <w:spacing w:before="58"/>
              <w:ind w:right="69"/>
              <w:jc w:val="right"/>
              <w:rPr>
                <w:sz w:val="21"/>
              </w:rPr>
            </w:pPr>
            <w:r>
              <w:rPr>
                <w:sz w:val="21"/>
              </w:rPr>
              <w:t>239,582,532.90</w:t>
            </w:r>
          </w:p>
        </w:tc>
      </w:tr>
      <w:tr>
        <w:trPr>
          <w:trHeight w:val="369" w:hRule="atLeast"/>
        </w:trPr>
        <w:tc>
          <w:tcPr>
            <w:tcW w:w="2182"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其中：远期外汇合约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58"/>
              <w:ind w:right="85"/>
              <w:jc w:val="right"/>
              <w:rPr>
                <w:sz w:val="21"/>
              </w:rPr>
            </w:pPr>
            <w:r>
              <w:rPr>
                <w:sz w:val="21"/>
              </w:rPr>
              <w:t>188,695,788.30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44"/>
              <w:ind w:right="-29"/>
              <w:jc w:val="right"/>
              <w:rPr>
                <w:rFonts w:ascii="宋体"/>
                <w:sz w:val="21"/>
              </w:rPr>
            </w:pPr>
            <w:r>
              <w:rPr>
                <w:rFonts w:ascii="宋体"/>
                <w:w w:val="100"/>
                <w:sz w:val="21"/>
              </w:rPr>
              <w:t> </w:t>
            </w:r>
          </w:p>
        </w:tc>
        <w:tc>
          <w:tcPr>
            <w:tcW w:w="1684" w:type="dxa"/>
            <w:tcBorders>
              <w:top w:val="single" w:sz="4" w:space="0" w:color="000000"/>
              <w:left w:val="single" w:sz="4" w:space="0" w:color="000000"/>
              <w:bottom w:val="single" w:sz="4" w:space="0" w:color="000000"/>
            </w:tcBorders>
          </w:tcPr>
          <w:p>
            <w:pPr>
              <w:pStyle w:val="TableParagraph"/>
              <w:spacing w:before="58"/>
              <w:ind w:right="69"/>
              <w:jc w:val="right"/>
              <w:rPr>
                <w:sz w:val="21"/>
              </w:rPr>
            </w:pPr>
            <w:r>
              <w:rPr>
                <w:sz w:val="21"/>
              </w:rPr>
              <w:t>188,695,788.30</w:t>
            </w:r>
          </w:p>
        </w:tc>
      </w:tr>
      <w:tr>
        <w:trPr>
          <w:trHeight w:val="369" w:hRule="atLeast"/>
        </w:trPr>
        <w:tc>
          <w:tcPr>
            <w:tcW w:w="2182" w:type="dxa"/>
            <w:tcBorders>
              <w:top w:val="single" w:sz="4" w:space="0" w:color="000000"/>
              <w:right w:val="single" w:sz="4" w:space="0" w:color="000000"/>
            </w:tcBorders>
          </w:tcPr>
          <w:p>
            <w:pPr>
              <w:pStyle w:val="TableParagraph"/>
              <w:spacing w:before="51"/>
              <w:ind w:right="158"/>
              <w:jc w:val="right"/>
              <w:rPr>
                <w:rFonts w:ascii="宋体" w:eastAsia="宋体" w:hint="eastAsia"/>
                <w:sz w:val="21"/>
              </w:rPr>
            </w:pPr>
            <w:r>
              <w:rPr>
                <w:rFonts w:ascii="宋体" w:eastAsia="宋体" w:hint="eastAsia"/>
                <w:sz w:val="21"/>
              </w:rPr>
              <w:t>利率互换协议</w:t>
            </w:r>
          </w:p>
        </w:tc>
        <w:tc>
          <w:tcPr>
            <w:tcW w:w="1687" w:type="dxa"/>
            <w:tcBorders>
              <w:top w:val="single" w:sz="4" w:space="0" w:color="000000"/>
              <w:left w:val="single" w:sz="4" w:space="0" w:color="000000"/>
              <w:right w:val="single" w:sz="4" w:space="0" w:color="000000"/>
            </w:tcBorders>
          </w:tcPr>
          <w:p>
            <w:pPr>
              <w:pStyle w:val="TableParagraph"/>
              <w:spacing w:before="44"/>
              <w:ind w:right="-29"/>
              <w:jc w:val="right"/>
              <w:rPr>
                <w:rFonts w:ascii="宋体"/>
                <w:sz w:val="21"/>
              </w:rPr>
            </w:pPr>
            <w:r>
              <w:rPr>
                <w:rFonts w:ascii="宋体"/>
                <w:w w:val="100"/>
                <w:sz w:val="21"/>
              </w:rPr>
              <w:t> </w:t>
            </w:r>
          </w:p>
        </w:tc>
        <w:tc>
          <w:tcPr>
            <w:tcW w:w="1807" w:type="dxa"/>
            <w:tcBorders>
              <w:top w:val="single" w:sz="4" w:space="0" w:color="000000"/>
              <w:left w:val="single" w:sz="4" w:space="0" w:color="000000"/>
              <w:right w:val="single" w:sz="4" w:space="0" w:color="000000"/>
            </w:tcBorders>
          </w:tcPr>
          <w:p>
            <w:pPr>
              <w:pStyle w:val="TableParagraph"/>
              <w:spacing w:before="58"/>
              <w:ind w:right="85"/>
              <w:jc w:val="right"/>
              <w:rPr>
                <w:sz w:val="21"/>
              </w:rPr>
            </w:pPr>
            <w:r>
              <w:rPr>
                <w:sz w:val="21"/>
              </w:rPr>
              <w:t>50,886,744.60</w:t>
            </w:r>
          </w:p>
        </w:tc>
        <w:tc>
          <w:tcPr>
            <w:tcW w:w="1687" w:type="dxa"/>
            <w:tcBorders>
              <w:top w:val="single" w:sz="4" w:space="0" w:color="000000"/>
              <w:left w:val="single" w:sz="4" w:space="0" w:color="000000"/>
              <w:right w:val="single" w:sz="4" w:space="0" w:color="000000"/>
            </w:tcBorders>
          </w:tcPr>
          <w:p>
            <w:pPr>
              <w:pStyle w:val="TableParagraph"/>
              <w:spacing w:before="44"/>
              <w:ind w:right="-29"/>
              <w:jc w:val="right"/>
              <w:rPr>
                <w:rFonts w:ascii="宋体"/>
                <w:sz w:val="21"/>
              </w:rPr>
            </w:pPr>
            <w:r>
              <w:rPr>
                <w:rFonts w:ascii="宋体"/>
                <w:w w:val="100"/>
                <w:sz w:val="21"/>
              </w:rPr>
              <w:t> </w:t>
            </w:r>
          </w:p>
        </w:tc>
        <w:tc>
          <w:tcPr>
            <w:tcW w:w="1684" w:type="dxa"/>
            <w:tcBorders>
              <w:top w:val="single" w:sz="4" w:space="0" w:color="000000"/>
              <w:left w:val="single" w:sz="4" w:space="0" w:color="000000"/>
            </w:tcBorders>
          </w:tcPr>
          <w:p>
            <w:pPr>
              <w:pStyle w:val="TableParagraph"/>
              <w:spacing w:before="58"/>
              <w:ind w:right="69"/>
              <w:jc w:val="right"/>
              <w:rPr>
                <w:sz w:val="21"/>
              </w:rPr>
            </w:pPr>
            <w:r>
              <w:rPr>
                <w:sz w:val="21"/>
              </w:rPr>
              <w:t>50,886,744.60</w:t>
            </w:r>
          </w:p>
        </w:tc>
      </w:tr>
    </w:tbl>
    <w:p>
      <w:pPr>
        <w:pStyle w:val="BodyText"/>
        <w:spacing w:before="3"/>
        <w:rPr>
          <w:sz w:val="8"/>
        </w:rPr>
      </w:pPr>
    </w:p>
    <w:p>
      <w:pPr>
        <w:pStyle w:val="BodyText"/>
        <w:spacing w:before="72" w:after="37"/>
        <w:ind w:left="1898"/>
      </w:pPr>
      <w:r>
        <w:rPr/>
        <w:t>期初</w:t>
      </w: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182"/>
        <w:gridCol w:w="1687"/>
        <w:gridCol w:w="1807"/>
        <w:gridCol w:w="1687"/>
        <w:gridCol w:w="1684"/>
      </w:tblGrid>
      <w:tr>
        <w:trPr>
          <w:trHeight w:val="323" w:hRule="atLeast"/>
        </w:trPr>
        <w:tc>
          <w:tcPr>
            <w:tcW w:w="2182" w:type="dxa"/>
            <w:vMerge w:val="restart"/>
            <w:tcBorders>
              <w:bottom w:val="single" w:sz="4" w:space="0" w:color="000000"/>
              <w:right w:val="single" w:sz="4" w:space="0" w:color="000000"/>
            </w:tcBorders>
          </w:tcPr>
          <w:p>
            <w:pPr>
              <w:pStyle w:val="TableParagraph"/>
              <w:spacing w:before="11"/>
              <w:rPr>
                <w:rFonts w:ascii="宋体"/>
                <w:sz w:val="28"/>
              </w:rPr>
            </w:pPr>
          </w:p>
          <w:p>
            <w:pPr>
              <w:pStyle w:val="TableParagraph"/>
              <w:ind w:left="858" w:right="843"/>
              <w:jc w:val="center"/>
              <w:rPr>
                <w:rFonts w:ascii="Microsoft JhengHei" w:eastAsia="Microsoft JhengHei" w:hint="eastAsia"/>
                <w:b/>
                <w:sz w:val="21"/>
              </w:rPr>
            </w:pPr>
            <w:r>
              <w:rPr>
                <w:rFonts w:ascii="Microsoft JhengHei" w:eastAsia="Microsoft JhengHei" w:hint="eastAsia"/>
                <w:b/>
                <w:sz w:val="21"/>
              </w:rPr>
              <w:t>项目</w:t>
            </w:r>
          </w:p>
        </w:tc>
        <w:tc>
          <w:tcPr>
            <w:tcW w:w="6865" w:type="dxa"/>
            <w:gridSpan w:val="4"/>
            <w:tcBorders>
              <w:left w:val="single" w:sz="4" w:space="0" w:color="000000"/>
              <w:bottom w:val="single" w:sz="4" w:space="0" w:color="000000"/>
            </w:tcBorders>
          </w:tcPr>
          <w:p>
            <w:pPr>
              <w:pStyle w:val="TableParagraph"/>
              <w:spacing w:line="303" w:lineRule="exact"/>
              <w:ind w:left="2161" w:right="2123"/>
              <w:jc w:val="center"/>
              <w:rPr>
                <w:rFonts w:ascii="Microsoft JhengHei" w:eastAsia="Microsoft JhengHei" w:hint="eastAsia"/>
                <w:b/>
                <w:sz w:val="21"/>
              </w:rPr>
            </w:pPr>
            <w:r>
              <w:rPr>
                <w:rFonts w:ascii="Microsoft JhengHei" w:eastAsia="Microsoft JhengHei" w:hint="eastAsia"/>
                <w:b/>
                <w:sz w:val="21"/>
              </w:rPr>
              <w:t>公允价值计量使用的输入值</w:t>
            </w:r>
          </w:p>
        </w:tc>
      </w:tr>
      <w:tr>
        <w:trPr>
          <w:trHeight w:val="817" w:hRule="atLeast"/>
        </w:trPr>
        <w:tc>
          <w:tcPr>
            <w:tcW w:w="2182" w:type="dxa"/>
            <w:vMerge/>
            <w:tcBorders>
              <w:top w:val="nil"/>
              <w:bottom w:val="single" w:sz="4" w:space="0" w:color="000000"/>
              <w:right w:val="single" w:sz="4" w:space="0" w:color="000000"/>
            </w:tcBorders>
          </w:tcPr>
          <w:p>
            <w:pPr>
              <w:rPr>
                <w:sz w:val="2"/>
                <w:szCs w:val="2"/>
              </w:rPr>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330" w:lineRule="exact" w:before="68"/>
              <w:ind w:left="220"/>
              <w:rPr>
                <w:rFonts w:ascii="Microsoft JhengHei" w:eastAsia="Microsoft JhengHei" w:hint="eastAsia"/>
                <w:b/>
                <w:sz w:val="21"/>
              </w:rPr>
            </w:pPr>
            <w:r>
              <w:rPr>
                <w:rFonts w:ascii="Microsoft JhengHei" w:eastAsia="Microsoft JhengHei" w:hint="eastAsia"/>
                <w:b/>
                <w:sz w:val="21"/>
              </w:rPr>
              <w:t>活跃市场报价</w:t>
            </w:r>
          </w:p>
          <w:p>
            <w:pPr>
              <w:pStyle w:val="TableParagraph"/>
              <w:spacing w:line="330" w:lineRule="exact"/>
              <w:ind w:left="220"/>
              <w:rPr>
                <w:rFonts w:ascii="Microsoft JhengHei" w:eastAsia="Microsoft JhengHei" w:hint="eastAsia"/>
                <w:b/>
                <w:sz w:val="21"/>
              </w:rPr>
            </w:pPr>
            <w:r>
              <w:rPr>
                <w:rFonts w:ascii="Microsoft JhengHei" w:eastAsia="Microsoft JhengHei" w:hint="eastAsia"/>
                <w:b/>
                <w:sz w:val="21"/>
              </w:rPr>
              <w:t>（第一层次）</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170" w:lineRule="auto" w:before="12"/>
              <w:ind w:left="592" w:right="354" w:hanging="209"/>
              <w:rPr>
                <w:rFonts w:ascii="Microsoft JhengHei" w:eastAsia="Microsoft JhengHei" w:hint="eastAsia"/>
                <w:b/>
                <w:sz w:val="21"/>
              </w:rPr>
            </w:pPr>
            <w:r>
              <w:rPr>
                <w:rFonts w:ascii="Microsoft JhengHei" w:eastAsia="Microsoft JhengHei" w:hint="eastAsia"/>
                <w:b/>
                <w:sz w:val="21"/>
              </w:rPr>
              <w:t>重要可观察输入值</w:t>
            </w:r>
          </w:p>
          <w:p>
            <w:pPr>
              <w:pStyle w:val="TableParagraph"/>
              <w:spacing w:line="237" w:lineRule="exact"/>
              <w:ind w:left="278"/>
              <w:rPr>
                <w:rFonts w:ascii="Microsoft JhengHei" w:eastAsia="Microsoft JhengHei" w:hint="eastAsia"/>
                <w:b/>
                <w:sz w:val="21"/>
              </w:rPr>
            </w:pPr>
            <w:r>
              <w:rPr>
                <w:rFonts w:ascii="Microsoft JhengHei" w:eastAsia="Microsoft JhengHei" w:hint="eastAsia"/>
                <w:b/>
                <w:sz w:val="21"/>
              </w:rPr>
              <w:t>（第二层次）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170" w:lineRule="auto" w:before="12"/>
              <w:ind w:left="535" w:right="186" w:hanging="315"/>
              <w:rPr>
                <w:rFonts w:ascii="Microsoft JhengHei" w:eastAsia="Microsoft JhengHei" w:hint="eastAsia"/>
                <w:b/>
                <w:sz w:val="21"/>
              </w:rPr>
            </w:pPr>
            <w:r>
              <w:rPr>
                <w:rFonts w:ascii="Microsoft JhengHei" w:eastAsia="Microsoft JhengHei" w:hint="eastAsia"/>
                <w:b/>
                <w:sz w:val="21"/>
              </w:rPr>
              <w:t>重要不可观察输入值</w:t>
            </w:r>
          </w:p>
          <w:p>
            <w:pPr>
              <w:pStyle w:val="TableParagraph"/>
              <w:spacing w:line="237" w:lineRule="exact"/>
              <w:ind w:left="221"/>
              <w:rPr>
                <w:rFonts w:ascii="Microsoft JhengHei" w:eastAsia="Microsoft JhengHei" w:hint="eastAsia"/>
                <w:b/>
                <w:sz w:val="21"/>
              </w:rPr>
            </w:pPr>
            <w:r>
              <w:rPr>
                <w:rFonts w:ascii="Microsoft JhengHei" w:eastAsia="Microsoft JhengHei" w:hint="eastAsia"/>
                <w:b/>
                <w:sz w:val="21"/>
              </w:rPr>
              <w:t>（第三层次）</w:t>
            </w:r>
          </w:p>
        </w:tc>
        <w:tc>
          <w:tcPr>
            <w:tcW w:w="1684" w:type="dxa"/>
            <w:tcBorders>
              <w:top w:val="single" w:sz="4" w:space="0" w:color="000000"/>
              <w:left w:val="single" w:sz="4" w:space="0" w:color="000000"/>
              <w:bottom w:val="single" w:sz="4" w:space="0" w:color="000000"/>
            </w:tcBorders>
          </w:tcPr>
          <w:p>
            <w:pPr>
              <w:pStyle w:val="TableParagraph"/>
              <w:rPr>
                <w:rFonts w:ascii="宋体"/>
                <w:sz w:val="16"/>
              </w:rPr>
            </w:pPr>
          </w:p>
          <w:p>
            <w:pPr>
              <w:pStyle w:val="TableParagraph"/>
              <w:ind w:left="623" w:right="580"/>
              <w:jc w:val="center"/>
              <w:rPr>
                <w:rFonts w:ascii="Microsoft JhengHei" w:eastAsia="Microsoft JhengHei" w:hint="eastAsia"/>
                <w:b/>
                <w:sz w:val="21"/>
              </w:rPr>
            </w:pPr>
            <w:r>
              <w:rPr>
                <w:rFonts w:ascii="Microsoft JhengHei" w:eastAsia="Microsoft JhengHei" w:hint="eastAsia"/>
                <w:b/>
                <w:sz w:val="21"/>
              </w:rPr>
              <w:t>合计</w:t>
            </w:r>
          </w:p>
        </w:tc>
      </w:tr>
      <w:tr>
        <w:trPr>
          <w:trHeight w:val="369" w:hRule="atLeast"/>
        </w:trPr>
        <w:tc>
          <w:tcPr>
            <w:tcW w:w="2182" w:type="dxa"/>
            <w:tcBorders>
              <w:top w:val="single" w:sz="4" w:space="0" w:color="000000"/>
              <w:bottom w:val="single" w:sz="4" w:space="0" w:color="000000"/>
              <w:right w:val="single" w:sz="4" w:space="0" w:color="000000"/>
            </w:tcBorders>
          </w:tcPr>
          <w:p>
            <w:pPr>
              <w:pStyle w:val="TableParagraph"/>
              <w:spacing w:line="349" w:lineRule="exact"/>
              <w:ind w:left="107"/>
              <w:rPr>
                <w:rFonts w:ascii="Microsoft JhengHei" w:eastAsia="Microsoft JhengHei" w:hint="eastAsia"/>
                <w:b/>
                <w:sz w:val="21"/>
              </w:rPr>
            </w:pPr>
            <w:r>
              <w:rPr>
                <w:rFonts w:ascii="Microsoft JhengHei" w:eastAsia="Microsoft JhengHei" w:hint="eastAsia"/>
                <w:b/>
                <w:sz w:val="21"/>
              </w:rPr>
              <w:t>持续的公允价值计量</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42"/>
              <w:ind w:right="-29"/>
              <w:jc w:val="right"/>
              <w:rPr>
                <w:rFonts w:ascii="宋体"/>
                <w:sz w:val="21"/>
              </w:rPr>
            </w:pPr>
            <w:r>
              <w:rPr>
                <w:rFonts w:ascii="宋体"/>
                <w:w w:val="100"/>
                <w:sz w:val="21"/>
              </w:rPr>
              <w:t> </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42"/>
              <w:ind w:right="-29"/>
              <w:jc w:val="right"/>
              <w:rPr>
                <w:rFonts w:ascii="宋体"/>
                <w:sz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84" w:type="dxa"/>
            <w:tcBorders>
              <w:top w:val="single" w:sz="4" w:space="0" w:color="000000"/>
              <w:left w:val="single" w:sz="4" w:space="0" w:color="000000"/>
              <w:bottom w:val="single" w:sz="4" w:space="0" w:color="000000"/>
            </w:tcBorders>
          </w:tcPr>
          <w:p>
            <w:pPr>
              <w:pStyle w:val="TableParagraph"/>
              <w:spacing w:before="42"/>
              <w:ind w:right="-44"/>
              <w:jc w:val="right"/>
              <w:rPr>
                <w:rFonts w:ascii="宋体"/>
                <w:sz w:val="21"/>
              </w:rPr>
            </w:pPr>
            <w:r>
              <w:rPr>
                <w:rFonts w:ascii="宋体"/>
                <w:w w:val="100"/>
                <w:sz w:val="21"/>
              </w:rPr>
              <w:t> </w:t>
            </w:r>
          </w:p>
        </w:tc>
      </w:tr>
      <w:tr>
        <w:trPr>
          <w:trHeight w:val="369" w:hRule="atLeast"/>
        </w:trPr>
        <w:tc>
          <w:tcPr>
            <w:tcW w:w="2182" w:type="dxa"/>
            <w:tcBorders>
              <w:top w:val="single" w:sz="4" w:space="0" w:color="000000"/>
              <w:bottom w:val="single" w:sz="4" w:space="0" w:color="000000"/>
              <w:right w:val="single" w:sz="4" w:space="0" w:color="000000"/>
            </w:tcBorders>
          </w:tcPr>
          <w:p>
            <w:pPr>
              <w:pStyle w:val="TableParagraph"/>
              <w:spacing w:line="349" w:lineRule="exact"/>
              <w:ind w:left="107"/>
              <w:rPr>
                <w:rFonts w:ascii="Microsoft JhengHei" w:eastAsia="Microsoft JhengHei" w:hint="eastAsia"/>
                <w:b/>
                <w:sz w:val="21"/>
              </w:rPr>
            </w:pPr>
            <w:r>
              <w:rPr>
                <w:rFonts w:ascii="Microsoft JhengHei" w:eastAsia="Microsoft JhengHei" w:hint="eastAsia"/>
                <w:b/>
                <w:sz w:val="21"/>
              </w:rPr>
              <w:t>交易性金融资产</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55"/>
              <w:ind w:right="83"/>
              <w:jc w:val="right"/>
              <w:rPr>
                <w:sz w:val="21"/>
              </w:rPr>
            </w:pPr>
            <w:r>
              <w:rPr>
                <w:sz w:val="21"/>
              </w:rPr>
              <w:t>400,433.88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55"/>
              <w:ind w:right="85"/>
              <w:jc w:val="right"/>
              <w:rPr>
                <w:sz w:val="21"/>
              </w:rPr>
            </w:pPr>
            <w:r>
              <w:rPr>
                <w:sz w:val="21"/>
              </w:rPr>
              <w:t>283,548,675.00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55"/>
              <w:ind w:right="82"/>
              <w:jc w:val="right"/>
              <w:rPr>
                <w:sz w:val="21"/>
              </w:rPr>
            </w:pPr>
            <w:r>
              <w:rPr>
                <w:sz w:val="21"/>
              </w:rPr>
              <w:t>24,185,898.17</w:t>
            </w:r>
          </w:p>
        </w:tc>
        <w:tc>
          <w:tcPr>
            <w:tcW w:w="1684" w:type="dxa"/>
            <w:tcBorders>
              <w:top w:val="single" w:sz="4" w:space="0" w:color="000000"/>
              <w:left w:val="single" w:sz="4" w:space="0" w:color="000000"/>
              <w:bottom w:val="single" w:sz="4" w:space="0" w:color="000000"/>
            </w:tcBorders>
          </w:tcPr>
          <w:p>
            <w:pPr>
              <w:pStyle w:val="TableParagraph"/>
              <w:spacing w:before="55"/>
              <w:ind w:left="277"/>
              <w:rPr>
                <w:sz w:val="21"/>
              </w:rPr>
            </w:pPr>
            <w:r>
              <w:rPr>
                <w:sz w:val="21"/>
              </w:rPr>
              <w:t>308,135,007.05</w:t>
            </w:r>
          </w:p>
        </w:tc>
      </w:tr>
      <w:tr>
        <w:trPr>
          <w:trHeight w:val="369" w:hRule="atLeast"/>
        </w:trPr>
        <w:tc>
          <w:tcPr>
            <w:tcW w:w="2182"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其中：银行理财产品</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41"/>
              <w:ind w:right="-29"/>
              <w:jc w:val="right"/>
              <w:rPr>
                <w:rFonts w:ascii="宋体"/>
                <w:sz w:val="21"/>
              </w:rPr>
            </w:pPr>
            <w:r>
              <w:rPr>
                <w:rFonts w:ascii="宋体"/>
                <w:w w:val="100"/>
                <w:sz w:val="21"/>
              </w:rPr>
              <w:t> </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55"/>
              <w:ind w:right="85"/>
              <w:jc w:val="right"/>
              <w:rPr>
                <w:sz w:val="21"/>
              </w:rPr>
            </w:pPr>
            <w:r>
              <w:rPr>
                <w:sz w:val="21"/>
              </w:rPr>
              <w:t>198,614,361.33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41"/>
              <w:ind w:right="-29"/>
              <w:jc w:val="right"/>
              <w:rPr>
                <w:rFonts w:ascii="宋体"/>
                <w:sz w:val="21"/>
              </w:rPr>
            </w:pPr>
            <w:r>
              <w:rPr>
                <w:rFonts w:ascii="宋体"/>
                <w:w w:val="100"/>
                <w:sz w:val="21"/>
              </w:rPr>
              <w:t> </w:t>
            </w:r>
          </w:p>
        </w:tc>
        <w:tc>
          <w:tcPr>
            <w:tcW w:w="1684" w:type="dxa"/>
            <w:tcBorders>
              <w:top w:val="single" w:sz="4" w:space="0" w:color="000000"/>
              <w:left w:val="single" w:sz="4" w:space="0" w:color="000000"/>
              <w:bottom w:val="single" w:sz="4" w:space="0" w:color="000000"/>
            </w:tcBorders>
          </w:tcPr>
          <w:p>
            <w:pPr>
              <w:pStyle w:val="TableParagraph"/>
              <w:spacing w:before="55"/>
              <w:ind w:left="277"/>
              <w:rPr>
                <w:sz w:val="21"/>
              </w:rPr>
            </w:pPr>
            <w:r>
              <w:rPr>
                <w:sz w:val="21"/>
              </w:rPr>
              <w:t>198,614,361.33</w:t>
            </w:r>
          </w:p>
        </w:tc>
      </w:tr>
      <w:tr>
        <w:trPr>
          <w:trHeight w:val="366" w:hRule="atLeast"/>
        </w:trPr>
        <w:tc>
          <w:tcPr>
            <w:tcW w:w="2182" w:type="dxa"/>
            <w:tcBorders>
              <w:top w:val="single" w:sz="4" w:space="0" w:color="000000"/>
              <w:bottom w:val="single" w:sz="4" w:space="0" w:color="000000"/>
              <w:right w:val="single" w:sz="4" w:space="0" w:color="000000"/>
            </w:tcBorders>
          </w:tcPr>
          <w:p>
            <w:pPr>
              <w:pStyle w:val="TableParagraph"/>
              <w:spacing w:before="49"/>
              <w:ind w:right="158"/>
              <w:jc w:val="right"/>
              <w:rPr>
                <w:rFonts w:ascii="宋体" w:eastAsia="宋体" w:hint="eastAsia"/>
                <w:sz w:val="21"/>
              </w:rPr>
            </w:pPr>
            <w:r>
              <w:rPr>
                <w:rFonts w:ascii="宋体" w:eastAsia="宋体" w:hint="eastAsia"/>
                <w:sz w:val="21"/>
              </w:rPr>
              <w:t>远期外汇合约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42"/>
              <w:ind w:right="-29"/>
              <w:jc w:val="right"/>
              <w:rPr>
                <w:rFonts w:ascii="宋体"/>
                <w:sz w:val="21"/>
              </w:rPr>
            </w:pPr>
            <w:r>
              <w:rPr>
                <w:rFonts w:ascii="宋体"/>
                <w:w w:val="100"/>
                <w:sz w:val="21"/>
              </w:rPr>
              <w:t> </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55"/>
              <w:ind w:right="85"/>
              <w:jc w:val="right"/>
              <w:rPr>
                <w:sz w:val="21"/>
              </w:rPr>
            </w:pPr>
            <w:r>
              <w:rPr>
                <w:sz w:val="21"/>
              </w:rPr>
              <w:t>84,934,313.67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42"/>
              <w:ind w:right="-29"/>
              <w:jc w:val="right"/>
              <w:rPr>
                <w:rFonts w:ascii="宋体"/>
                <w:sz w:val="21"/>
              </w:rPr>
            </w:pPr>
            <w:r>
              <w:rPr>
                <w:rFonts w:ascii="宋体"/>
                <w:w w:val="100"/>
                <w:sz w:val="21"/>
              </w:rPr>
              <w:t> </w:t>
            </w:r>
          </w:p>
        </w:tc>
        <w:tc>
          <w:tcPr>
            <w:tcW w:w="1684" w:type="dxa"/>
            <w:tcBorders>
              <w:top w:val="single" w:sz="4" w:space="0" w:color="000000"/>
              <w:left w:val="single" w:sz="4" w:space="0" w:color="000000"/>
              <w:bottom w:val="single" w:sz="4" w:space="0" w:color="000000"/>
            </w:tcBorders>
          </w:tcPr>
          <w:p>
            <w:pPr>
              <w:pStyle w:val="TableParagraph"/>
              <w:spacing w:before="55"/>
              <w:ind w:right="69"/>
              <w:jc w:val="right"/>
              <w:rPr>
                <w:sz w:val="21"/>
              </w:rPr>
            </w:pPr>
            <w:r>
              <w:rPr>
                <w:sz w:val="21"/>
              </w:rPr>
              <w:t>84,934,313.67</w:t>
            </w:r>
          </w:p>
        </w:tc>
      </w:tr>
      <w:tr>
        <w:trPr>
          <w:trHeight w:val="369" w:hRule="atLeast"/>
        </w:trPr>
        <w:tc>
          <w:tcPr>
            <w:tcW w:w="2182" w:type="dxa"/>
            <w:tcBorders>
              <w:top w:val="single" w:sz="4" w:space="0" w:color="000000"/>
              <w:bottom w:val="single" w:sz="4" w:space="0" w:color="000000"/>
              <w:right w:val="single" w:sz="4" w:space="0" w:color="000000"/>
            </w:tcBorders>
          </w:tcPr>
          <w:p>
            <w:pPr>
              <w:pStyle w:val="TableParagraph"/>
              <w:spacing w:before="52"/>
              <w:ind w:right="158"/>
              <w:jc w:val="right"/>
              <w:rPr>
                <w:rFonts w:ascii="宋体" w:eastAsia="宋体" w:hint="eastAsia"/>
                <w:sz w:val="21"/>
              </w:rPr>
            </w:pPr>
            <w:r>
              <w:rPr>
                <w:rFonts w:ascii="宋体" w:eastAsia="宋体" w:hint="eastAsia"/>
                <w:sz w:val="21"/>
              </w:rPr>
              <w:t>权益工具投资</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400,433.88</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44"/>
              <w:ind w:right="-29"/>
              <w:jc w:val="right"/>
              <w:rPr>
                <w:rFonts w:ascii="宋体"/>
                <w:sz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58"/>
              <w:ind w:right="82"/>
              <w:jc w:val="right"/>
              <w:rPr>
                <w:sz w:val="21"/>
              </w:rPr>
            </w:pPr>
            <w:r>
              <w:rPr>
                <w:sz w:val="21"/>
              </w:rPr>
              <w:t>24,185,898.17</w:t>
            </w:r>
          </w:p>
        </w:tc>
        <w:tc>
          <w:tcPr>
            <w:tcW w:w="1684" w:type="dxa"/>
            <w:tcBorders>
              <w:top w:val="single" w:sz="4" w:space="0" w:color="000000"/>
              <w:left w:val="single" w:sz="4" w:space="0" w:color="000000"/>
              <w:bottom w:val="single" w:sz="4" w:space="0" w:color="000000"/>
            </w:tcBorders>
          </w:tcPr>
          <w:p>
            <w:pPr>
              <w:pStyle w:val="TableParagraph"/>
              <w:spacing w:before="58"/>
              <w:ind w:right="69"/>
              <w:jc w:val="right"/>
              <w:rPr>
                <w:sz w:val="21"/>
              </w:rPr>
            </w:pPr>
            <w:r>
              <w:rPr>
                <w:sz w:val="21"/>
              </w:rPr>
              <w:t>24,586,332.05</w:t>
            </w:r>
          </w:p>
        </w:tc>
      </w:tr>
      <w:tr>
        <w:trPr>
          <w:trHeight w:val="369" w:hRule="atLeast"/>
        </w:trPr>
        <w:tc>
          <w:tcPr>
            <w:tcW w:w="2182" w:type="dxa"/>
            <w:tcBorders>
              <w:top w:val="single" w:sz="4" w:space="0" w:color="000000"/>
              <w:bottom w:val="single" w:sz="4" w:space="0" w:color="000000"/>
              <w:right w:val="single" w:sz="4" w:space="0" w:color="000000"/>
            </w:tcBorders>
          </w:tcPr>
          <w:p>
            <w:pPr>
              <w:pStyle w:val="TableParagraph"/>
              <w:spacing w:line="349" w:lineRule="exact"/>
              <w:ind w:left="107"/>
              <w:rPr>
                <w:rFonts w:ascii="Microsoft JhengHei" w:eastAsia="Microsoft JhengHei" w:hint="eastAsia"/>
                <w:b/>
                <w:sz w:val="21"/>
              </w:rPr>
            </w:pPr>
            <w:r>
              <w:rPr>
                <w:rFonts w:ascii="Microsoft JhengHei" w:eastAsia="Microsoft JhengHei" w:hint="eastAsia"/>
                <w:b/>
                <w:sz w:val="21"/>
              </w:rPr>
              <w:t>衍生金融资产</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44"/>
              <w:ind w:right="-29"/>
              <w:jc w:val="right"/>
              <w:rPr>
                <w:rFonts w:ascii="宋体"/>
                <w:sz w:val="21"/>
              </w:rPr>
            </w:pPr>
            <w:r>
              <w:rPr>
                <w:rFonts w:ascii="宋体"/>
                <w:w w:val="100"/>
                <w:sz w:val="21"/>
              </w:rPr>
              <w:t> </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58"/>
              <w:ind w:right="85"/>
              <w:jc w:val="right"/>
              <w:rPr>
                <w:sz w:val="21"/>
              </w:rPr>
            </w:pPr>
            <w:r>
              <w:rPr>
                <w:sz w:val="21"/>
              </w:rPr>
              <w:t>19,158,132.45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44"/>
              <w:ind w:right="-29"/>
              <w:jc w:val="right"/>
              <w:rPr>
                <w:rFonts w:ascii="宋体"/>
                <w:sz w:val="21"/>
              </w:rPr>
            </w:pPr>
            <w:r>
              <w:rPr>
                <w:rFonts w:ascii="宋体"/>
                <w:w w:val="100"/>
                <w:sz w:val="21"/>
              </w:rPr>
              <w:t> </w:t>
            </w:r>
          </w:p>
        </w:tc>
        <w:tc>
          <w:tcPr>
            <w:tcW w:w="1684" w:type="dxa"/>
            <w:tcBorders>
              <w:top w:val="single" w:sz="4" w:space="0" w:color="000000"/>
              <w:left w:val="single" w:sz="4" w:space="0" w:color="000000"/>
              <w:bottom w:val="single" w:sz="4" w:space="0" w:color="000000"/>
            </w:tcBorders>
          </w:tcPr>
          <w:p>
            <w:pPr>
              <w:pStyle w:val="TableParagraph"/>
              <w:spacing w:before="58"/>
              <w:ind w:right="69"/>
              <w:jc w:val="right"/>
              <w:rPr>
                <w:sz w:val="21"/>
              </w:rPr>
            </w:pPr>
            <w:r>
              <w:rPr>
                <w:sz w:val="21"/>
              </w:rPr>
              <w:t>19,158,132.45</w:t>
            </w:r>
          </w:p>
        </w:tc>
      </w:tr>
      <w:tr>
        <w:trPr>
          <w:trHeight w:val="369" w:hRule="atLeast"/>
        </w:trPr>
        <w:tc>
          <w:tcPr>
            <w:tcW w:w="2182"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其中：远期外汇合约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44"/>
              <w:ind w:right="-29"/>
              <w:jc w:val="right"/>
              <w:rPr>
                <w:rFonts w:ascii="宋体"/>
                <w:sz w:val="21"/>
              </w:rPr>
            </w:pPr>
            <w:r>
              <w:rPr>
                <w:rFonts w:ascii="宋体"/>
                <w:w w:val="100"/>
                <w:sz w:val="21"/>
              </w:rPr>
              <w:t> </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58"/>
              <w:ind w:right="85"/>
              <w:jc w:val="right"/>
              <w:rPr>
                <w:sz w:val="21"/>
              </w:rPr>
            </w:pPr>
            <w:r>
              <w:rPr>
                <w:sz w:val="21"/>
              </w:rPr>
              <w:t>17,241,833.10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44"/>
              <w:ind w:right="-29"/>
              <w:jc w:val="right"/>
              <w:rPr>
                <w:rFonts w:ascii="宋体"/>
                <w:sz w:val="21"/>
              </w:rPr>
            </w:pPr>
            <w:r>
              <w:rPr>
                <w:rFonts w:ascii="宋体"/>
                <w:w w:val="100"/>
                <w:sz w:val="21"/>
              </w:rPr>
              <w:t> </w:t>
            </w:r>
          </w:p>
        </w:tc>
        <w:tc>
          <w:tcPr>
            <w:tcW w:w="1684" w:type="dxa"/>
            <w:tcBorders>
              <w:top w:val="single" w:sz="4" w:space="0" w:color="000000"/>
              <w:left w:val="single" w:sz="4" w:space="0" w:color="000000"/>
              <w:bottom w:val="single" w:sz="4" w:space="0" w:color="000000"/>
            </w:tcBorders>
          </w:tcPr>
          <w:p>
            <w:pPr>
              <w:pStyle w:val="TableParagraph"/>
              <w:spacing w:before="58"/>
              <w:ind w:right="69"/>
              <w:jc w:val="right"/>
              <w:rPr>
                <w:sz w:val="21"/>
              </w:rPr>
            </w:pPr>
            <w:r>
              <w:rPr>
                <w:sz w:val="21"/>
              </w:rPr>
              <w:t>17,241,833.10</w:t>
            </w:r>
          </w:p>
        </w:tc>
      </w:tr>
      <w:tr>
        <w:trPr>
          <w:trHeight w:val="369" w:hRule="atLeast"/>
        </w:trPr>
        <w:tc>
          <w:tcPr>
            <w:tcW w:w="2182" w:type="dxa"/>
            <w:tcBorders>
              <w:top w:val="single" w:sz="4" w:space="0" w:color="000000"/>
              <w:bottom w:val="single" w:sz="4" w:space="0" w:color="000000"/>
              <w:right w:val="single" w:sz="4" w:space="0" w:color="000000"/>
            </w:tcBorders>
          </w:tcPr>
          <w:p>
            <w:pPr>
              <w:pStyle w:val="TableParagraph"/>
              <w:spacing w:before="49"/>
              <w:ind w:right="158"/>
              <w:jc w:val="right"/>
              <w:rPr>
                <w:rFonts w:ascii="宋体" w:eastAsia="宋体" w:hint="eastAsia"/>
                <w:sz w:val="21"/>
              </w:rPr>
            </w:pPr>
            <w:r>
              <w:rPr>
                <w:rFonts w:ascii="宋体" w:eastAsia="宋体" w:hint="eastAsia"/>
                <w:sz w:val="21"/>
              </w:rPr>
              <w:t>远期商品合约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44"/>
              <w:ind w:right="-29"/>
              <w:jc w:val="right"/>
              <w:rPr>
                <w:rFonts w:ascii="宋体"/>
                <w:sz w:val="21"/>
              </w:rPr>
            </w:pPr>
            <w:r>
              <w:rPr>
                <w:rFonts w:ascii="宋体"/>
                <w:w w:val="100"/>
                <w:sz w:val="21"/>
              </w:rPr>
              <w:t> </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58"/>
              <w:ind w:right="85"/>
              <w:jc w:val="right"/>
              <w:rPr>
                <w:sz w:val="21"/>
              </w:rPr>
            </w:pPr>
            <w:r>
              <w:rPr>
                <w:sz w:val="21"/>
              </w:rPr>
              <w:t>1,916,299.35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44"/>
              <w:ind w:right="-29"/>
              <w:jc w:val="right"/>
              <w:rPr>
                <w:rFonts w:ascii="宋体"/>
                <w:sz w:val="21"/>
              </w:rPr>
            </w:pPr>
            <w:r>
              <w:rPr>
                <w:rFonts w:ascii="宋体"/>
                <w:w w:val="100"/>
                <w:sz w:val="21"/>
              </w:rPr>
              <w:t> </w:t>
            </w:r>
          </w:p>
        </w:tc>
        <w:tc>
          <w:tcPr>
            <w:tcW w:w="1684" w:type="dxa"/>
            <w:tcBorders>
              <w:top w:val="single" w:sz="4" w:space="0" w:color="000000"/>
              <w:left w:val="single" w:sz="4" w:space="0" w:color="000000"/>
              <w:bottom w:val="single" w:sz="4" w:space="0" w:color="000000"/>
            </w:tcBorders>
          </w:tcPr>
          <w:p>
            <w:pPr>
              <w:pStyle w:val="TableParagraph"/>
              <w:spacing w:before="58"/>
              <w:ind w:right="69"/>
              <w:jc w:val="right"/>
              <w:rPr>
                <w:sz w:val="21"/>
              </w:rPr>
            </w:pPr>
            <w:r>
              <w:rPr>
                <w:sz w:val="21"/>
              </w:rPr>
              <w:t>1,916,299.35</w:t>
            </w:r>
          </w:p>
        </w:tc>
      </w:tr>
      <w:tr>
        <w:trPr>
          <w:trHeight w:val="369" w:hRule="atLeast"/>
        </w:trPr>
        <w:tc>
          <w:tcPr>
            <w:tcW w:w="2182" w:type="dxa"/>
            <w:tcBorders>
              <w:top w:val="single" w:sz="4" w:space="0" w:color="000000"/>
              <w:bottom w:val="single" w:sz="4" w:space="0" w:color="000000"/>
              <w:right w:val="single" w:sz="4" w:space="0" w:color="000000"/>
            </w:tcBorders>
          </w:tcPr>
          <w:p>
            <w:pPr>
              <w:pStyle w:val="TableParagraph"/>
              <w:spacing w:line="349" w:lineRule="exact"/>
              <w:ind w:left="107"/>
              <w:rPr>
                <w:rFonts w:ascii="Microsoft JhengHei" w:eastAsia="Microsoft JhengHei" w:hint="eastAsia"/>
                <w:b/>
                <w:sz w:val="21"/>
              </w:rPr>
            </w:pPr>
            <w:r>
              <w:rPr>
                <w:rFonts w:ascii="Microsoft JhengHei" w:eastAsia="Microsoft JhengHei" w:hint="eastAsia"/>
                <w:b/>
                <w:sz w:val="21"/>
              </w:rPr>
              <w:t>其他权益工具</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19,467,066.04</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58"/>
              <w:ind w:left="118"/>
              <w:rPr>
                <w:sz w:val="21"/>
              </w:rPr>
            </w:pPr>
            <w:r>
              <w:rPr>
                <w:sz w:val="21"/>
              </w:rPr>
              <w:t>1,376,492,812.88</w:t>
            </w:r>
          </w:p>
        </w:tc>
        <w:tc>
          <w:tcPr>
            <w:tcW w:w="1684" w:type="dxa"/>
            <w:tcBorders>
              <w:top w:val="single" w:sz="4" w:space="0" w:color="000000"/>
              <w:left w:val="single" w:sz="4" w:space="0" w:color="000000"/>
              <w:bottom w:val="single" w:sz="4" w:space="0" w:color="000000"/>
            </w:tcBorders>
          </w:tcPr>
          <w:p>
            <w:pPr>
              <w:pStyle w:val="TableParagraph"/>
              <w:spacing w:before="58"/>
              <w:ind w:left="119"/>
              <w:rPr>
                <w:sz w:val="21"/>
              </w:rPr>
            </w:pPr>
            <w:r>
              <w:rPr>
                <w:sz w:val="21"/>
              </w:rPr>
              <w:t>1,395,959,878.92</w:t>
            </w:r>
          </w:p>
        </w:tc>
      </w:tr>
      <w:tr>
        <w:trPr>
          <w:trHeight w:val="1088" w:hRule="atLeast"/>
        </w:trPr>
        <w:tc>
          <w:tcPr>
            <w:tcW w:w="2182" w:type="dxa"/>
            <w:tcBorders>
              <w:top w:val="single" w:sz="4" w:space="0" w:color="000000"/>
              <w:right w:val="single" w:sz="4" w:space="0" w:color="000000"/>
            </w:tcBorders>
          </w:tcPr>
          <w:p>
            <w:pPr>
              <w:pStyle w:val="TableParagraph"/>
              <w:spacing w:before="1"/>
              <w:ind w:right="158"/>
              <w:jc w:val="right"/>
              <w:rPr>
                <w:rFonts w:ascii="宋体" w:eastAsia="宋体" w:hint="eastAsia"/>
                <w:sz w:val="21"/>
              </w:rPr>
            </w:pPr>
            <w:r>
              <w:rPr>
                <w:rFonts w:ascii="宋体" w:eastAsia="宋体" w:hint="eastAsia"/>
                <w:spacing w:val="-3"/>
                <w:sz w:val="21"/>
              </w:rPr>
              <w:t>其中：以公允价值计</w:t>
            </w:r>
          </w:p>
          <w:p>
            <w:pPr>
              <w:pStyle w:val="TableParagraph"/>
              <w:spacing w:line="242" w:lineRule="auto" w:before="4"/>
              <w:ind w:left="738" w:right="158"/>
              <w:jc w:val="right"/>
              <w:rPr>
                <w:rFonts w:ascii="宋体" w:eastAsia="宋体" w:hint="eastAsia"/>
                <w:sz w:val="21"/>
              </w:rPr>
            </w:pPr>
            <w:r>
              <w:rPr>
                <w:rFonts w:ascii="宋体" w:eastAsia="宋体" w:hint="eastAsia"/>
                <w:spacing w:val="-5"/>
                <w:sz w:val="21"/>
              </w:rPr>
              <w:t>量且其变动动计入其他综合</w:t>
            </w:r>
          </w:p>
          <w:p>
            <w:pPr>
              <w:pStyle w:val="TableParagraph"/>
              <w:spacing w:line="249" w:lineRule="exact" w:before="1"/>
              <w:ind w:right="158"/>
              <w:jc w:val="right"/>
              <w:rPr>
                <w:rFonts w:ascii="宋体" w:eastAsia="宋体" w:hint="eastAsia"/>
                <w:sz w:val="21"/>
              </w:rPr>
            </w:pPr>
            <w:r>
              <w:rPr>
                <w:rFonts w:ascii="宋体" w:eastAsia="宋体" w:hint="eastAsia"/>
                <w:spacing w:val="-2"/>
                <w:sz w:val="21"/>
              </w:rPr>
              <w:t>收益的权益工</w:t>
            </w:r>
          </w:p>
        </w:tc>
        <w:tc>
          <w:tcPr>
            <w:tcW w:w="1687" w:type="dxa"/>
            <w:tcBorders>
              <w:top w:val="single" w:sz="4" w:space="0" w:color="000000"/>
              <w:left w:val="single" w:sz="4" w:space="0" w:color="000000"/>
              <w:right w:val="single" w:sz="4" w:space="0" w:color="000000"/>
            </w:tcBorders>
          </w:tcPr>
          <w:p>
            <w:pPr>
              <w:pStyle w:val="TableParagraph"/>
              <w:spacing w:before="8"/>
              <w:rPr>
                <w:rFonts w:ascii="宋体"/>
                <w:sz w:val="32"/>
              </w:rPr>
            </w:pPr>
          </w:p>
          <w:p>
            <w:pPr>
              <w:pStyle w:val="TableParagraph"/>
              <w:ind w:right="83"/>
              <w:jc w:val="right"/>
              <w:rPr>
                <w:sz w:val="21"/>
              </w:rPr>
            </w:pPr>
            <w:r>
              <w:rPr>
                <w:sz w:val="21"/>
              </w:rPr>
              <w:t>19,467,066.04</w:t>
            </w:r>
          </w:p>
        </w:tc>
        <w:tc>
          <w:tcPr>
            <w:tcW w:w="1807" w:type="dxa"/>
            <w:tcBorders>
              <w:top w:val="single" w:sz="4" w:space="0" w:color="000000"/>
              <w:left w:val="single" w:sz="4" w:space="0" w:color="000000"/>
              <w:right w:val="single" w:sz="4" w:space="0" w:color="000000"/>
            </w:tcBorders>
          </w:tcPr>
          <w:p>
            <w:pPr>
              <w:pStyle w:val="TableParagraph"/>
              <w:rPr>
                <w:sz w:val="20"/>
              </w:rPr>
            </w:pPr>
          </w:p>
        </w:tc>
        <w:tc>
          <w:tcPr>
            <w:tcW w:w="1687" w:type="dxa"/>
            <w:tcBorders>
              <w:top w:val="single" w:sz="4" w:space="0" w:color="000000"/>
              <w:left w:val="single" w:sz="4" w:space="0" w:color="000000"/>
              <w:right w:val="single" w:sz="4" w:space="0" w:color="000000"/>
            </w:tcBorders>
          </w:tcPr>
          <w:p>
            <w:pPr>
              <w:pStyle w:val="TableParagraph"/>
              <w:spacing w:before="8"/>
              <w:rPr>
                <w:rFonts w:ascii="宋体"/>
                <w:sz w:val="32"/>
              </w:rPr>
            </w:pPr>
          </w:p>
          <w:p>
            <w:pPr>
              <w:pStyle w:val="TableParagraph"/>
              <w:ind w:left="118"/>
              <w:rPr>
                <w:sz w:val="21"/>
              </w:rPr>
            </w:pPr>
            <w:r>
              <w:rPr>
                <w:sz w:val="21"/>
              </w:rPr>
              <w:t>1,376,492,812.88</w:t>
            </w:r>
          </w:p>
        </w:tc>
        <w:tc>
          <w:tcPr>
            <w:tcW w:w="1684" w:type="dxa"/>
            <w:tcBorders>
              <w:top w:val="single" w:sz="4" w:space="0" w:color="000000"/>
              <w:left w:val="single" w:sz="4" w:space="0" w:color="000000"/>
            </w:tcBorders>
          </w:tcPr>
          <w:p>
            <w:pPr>
              <w:pStyle w:val="TableParagraph"/>
              <w:spacing w:before="8"/>
              <w:rPr>
                <w:rFonts w:ascii="宋体"/>
                <w:sz w:val="32"/>
              </w:rPr>
            </w:pPr>
          </w:p>
          <w:p>
            <w:pPr>
              <w:pStyle w:val="TableParagraph"/>
              <w:ind w:left="119"/>
              <w:rPr>
                <w:sz w:val="21"/>
              </w:rPr>
            </w:pPr>
            <w:r>
              <w:rPr>
                <w:sz w:val="21"/>
              </w:rPr>
              <w:t>1,395,959,878.92</w:t>
            </w:r>
          </w:p>
        </w:tc>
      </w:tr>
    </w:tbl>
    <w:p>
      <w:pPr>
        <w:spacing w:after="0"/>
        <w:rPr>
          <w:sz w:val="21"/>
        </w:rPr>
        <w:sectPr>
          <w:pgSz w:w="11910" w:h="16840"/>
          <w:pgMar w:header="876" w:footer="1184" w:top="1440" w:bottom="1380" w:left="260" w:right="0"/>
        </w:sectPr>
      </w:pPr>
    </w:p>
    <w:p>
      <w:pPr>
        <w:pStyle w:val="BodyText"/>
        <w:spacing w:before="2"/>
        <w:rPr>
          <w:sz w:val="5"/>
        </w:r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182"/>
        <w:gridCol w:w="1687"/>
        <w:gridCol w:w="1807"/>
        <w:gridCol w:w="1687"/>
        <w:gridCol w:w="1684"/>
      </w:tblGrid>
      <w:tr>
        <w:trPr>
          <w:trHeight w:val="371" w:hRule="atLeast"/>
        </w:trPr>
        <w:tc>
          <w:tcPr>
            <w:tcW w:w="2182" w:type="dxa"/>
            <w:tcBorders>
              <w:bottom w:val="single" w:sz="4" w:space="0" w:color="000000"/>
              <w:right w:val="single" w:sz="4" w:space="0" w:color="000000"/>
            </w:tcBorders>
          </w:tcPr>
          <w:p>
            <w:pPr>
              <w:pStyle w:val="TableParagraph"/>
              <w:spacing w:before="3"/>
              <w:ind w:right="471"/>
              <w:jc w:val="center"/>
              <w:rPr>
                <w:rFonts w:ascii="宋体" w:eastAsia="宋体" w:hint="eastAsia"/>
                <w:sz w:val="21"/>
              </w:rPr>
            </w:pPr>
            <w:r>
              <w:rPr>
                <w:rFonts w:ascii="宋体" w:eastAsia="宋体" w:hint="eastAsia"/>
                <w:w w:val="100"/>
                <w:sz w:val="21"/>
              </w:rPr>
              <w:t>具</w:t>
            </w:r>
          </w:p>
        </w:tc>
        <w:tc>
          <w:tcPr>
            <w:tcW w:w="1687" w:type="dxa"/>
            <w:tcBorders>
              <w:left w:val="single" w:sz="4" w:space="0" w:color="000000"/>
              <w:bottom w:val="single" w:sz="4" w:space="0" w:color="000000"/>
              <w:right w:val="single" w:sz="4" w:space="0" w:color="000000"/>
            </w:tcBorders>
          </w:tcPr>
          <w:p>
            <w:pPr>
              <w:pStyle w:val="TableParagraph"/>
              <w:rPr>
                <w:sz w:val="20"/>
              </w:rPr>
            </w:pPr>
          </w:p>
        </w:tc>
        <w:tc>
          <w:tcPr>
            <w:tcW w:w="1807" w:type="dxa"/>
            <w:tcBorders>
              <w:left w:val="single" w:sz="4" w:space="0" w:color="000000"/>
              <w:bottom w:val="single" w:sz="4" w:space="0" w:color="000000"/>
              <w:right w:val="single" w:sz="4" w:space="0" w:color="000000"/>
            </w:tcBorders>
          </w:tcPr>
          <w:p>
            <w:pPr>
              <w:pStyle w:val="TableParagraph"/>
              <w:rPr>
                <w:sz w:val="20"/>
              </w:rPr>
            </w:pPr>
          </w:p>
        </w:tc>
        <w:tc>
          <w:tcPr>
            <w:tcW w:w="1687" w:type="dxa"/>
            <w:tcBorders>
              <w:left w:val="single" w:sz="4" w:space="0" w:color="000000"/>
              <w:bottom w:val="single" w:sz="4" w:space="0" w:color="000000"/>
              <w:right w:val="single" w:sz="4" w:space="0" w:color="000000"/>
            </w:tcBorders>
          </w:tcPr>
          <w:p>
            <w:pPr>
              <w:pStyle w:val="TableParagraph"/>
              <w:rPr>
                <w:sz w:val="20"/>
              </w:rPr>
            </w:pPr>
          </w:p>
        </w:tc>
        <w:tc>
          <w:tcPr>
            <w:tcW w:w="1684" w:type="dxa"/>
            <w:tcBorders>
              <w:left w:val="single" w:sz="4" w:space="0" w:color="000000"/>
              <w:bottom w:val="single" w:sz="4" w:space="0" w:color="000000"/>
            </w:tcBorders>
          </w:tcPr>
          <w:p>
            <w:pPr>
              <w:pStyle w:val="TableParagraph"/>
              <w:rPr>
                <w:sz w:val="20"/>
              </w:rPr>
            </w:pPr>
          </w:p>
        </w:tc>
      </w:tr>
      <w:tr>
        <w:trPr>
          <w:trHeight w:val="369" w:hRule="atLeast"/>
        </w:trPr>
        <w:tc>
          <w:tcPr>
            <w:tcW w:w="2182" w:type="dxa"/>
            <w:tcBorders>
              <w:top w:val="single" w:sz="4" w:space="0" w:color="000000"/>
              <w:bottom w:val="single" w:sz="4" w:space="0" w:color="000000"/>
              <w:right w:val="single" w:sz="4" w:space="0" w:color="000000"/>
            </w:tcBorders>
          </w:tcPr>
          <w:p>
            <w:pPr>
              <w:pStyle w:val="TableParagraph"/>
              <w:spacing w:line="322" w:lineRule="exact" w:before="27"/>
              <w:ind w:left="107"/>
              <w:rPr>
                <w:rFonts w:ascii="Microsoft JhengHei" w:eastAsia="Microsoft JhengHei" w:hint="eastAsia"/>
                <w:b/>
                <w:sz w:val="21"/>
              </w:rPr>
            </w:pPr>
            <w:r>
              <w:rPr>
                <w:rFonts w:ascii="Microsoft JhengHei" w:eastAsia="Microsoft JhengHei" w:hint="eastAsia"/>
                <w:b/>
                <w:sz w:val="21"/>
              </w:rPr>
              <w:t>其他非流动金融资产</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41"/>
              <w:ind w:right="-29"/>
              <w:jc w:val="right"/>
              <w:rPr>
                <w:rFonts w:ascii="宋体"/>
                <w:sz w:val="21"/>
              </w:rPr>
            </w:pPr>
            <w:r>
              <w:rPr>
                <w:rFonts w:ascii="宋体"/>
                <w:w w:val="100"/>
                <w:sz w:val="21"/>
              </w:rPr>
              <w:t> </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55"/>
              <w:ind w:right="85"/>
              <w:jc w:val="right"/>
              <w:rPr>
                <w:sz w:val="21"/>
              </w:rPr>
            </w:pPr>
            <w:r>
              <w:rPr>
                <w:sz w:val="21"/>
              </w:rPr>
              <w:t>294,547,364.47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41"/>
              <w:ind w:right="-29"/>
              <w:jc w:val="right"/>
              <w:rPr>
                <w:rFonts w:ascii="宋体"/>
                <w:sz w:val="21"/>
              </w:rPr>
            </w:pPr>
            <w:r>
              <w:rPr>
                <w:rFonts w:ascii="宋体"/>
                <w:w w:val="100"/>
                <w:sz w:val="21"/>
              </w:rPr>
              <w:t> </w:t>
            </w:r>
          </w:p>
        </w:tc>
        <w:tc>
          <w:tcPr>
            <w:tcW w:w="1684" w:type="dxa"/>
            <w:tcBorders>
              <w:top w:val="single" w:sz="4" w:space="0" w:color="000000"/>
              <w:left w:val="single" w:sz="4" w:space="0" w:color="000000"/>
              <w:bottom w:val="single" w:sz="4" w:space="0" w:color="000000"/>
            </w:tcBorders>
          </w:tcPr>
          <w:p>
            <w:pPr>
              <w:pStyle w:val="TableParagraph"/>
              <w:spacing w:before="55"/>
              <w:ind w:right="69"/>
              <w:jc w:val="right"/>
              <w:rPr>
                <w:sz w:val="21"/>
              </w:rPr>
            </w:pPr>
            <w:r>
              <w:rPr>
                <w:sz w:val="21"/>
              </w:rPr>
              <w:t>294,547,364.47</w:t>
            </w:r>
          </w:p>
        </w:tc>
      </w:tr>
      <w:tr>
        <w:trPr>
          <w:trHeight w:val="366" w:hRule="atLeast"/>
        </w:trPr>
        <w:tc>
          <w:tcPr>
            <w:tcW w:w="2182"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其中：银行理财产品</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42"/>
              <w:ind w:right="-29"/>
              <w:jc w:val="right"/>
              <w:rPr>
                <w:rFonts w:ascii="宋体"/>
                <w:sz w:val="21"/>
              </w:rPr>
            </w:pPr>
            <w:r>
              <w:rPr>
                <w:rFonts w:ascii="宋体"/>
                <w:w w:val="100"/>
                <w:sz w:val="21"/>
              </w:rPr>
              <w:t> </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55"/>
              <w:ind w:right="85"/>
              <w:jc w:val="right"/>
              <w:rPr>
                <w:sz w:val="21"/>
              </w:rPr>
            </w:pPr>
            <w:r>
              <w:rPr>
                <w:sz w:val="21"/>
              </w:rPr>
              <w:t>294,547,364.47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42"/>
              <w:ind w:right="-29"/>
              <w:jc w:val="right"/>
              <w:rPr>
                <w:rFonts w:ascii="宋体"/>
                <w:sz w:val="21"/>
              </w:rPr>
            </w:pPr>
            <w:r>
              <w:rPr>
                <w:rFonts w:ascii="宋体"/>
                <w:w w:val="100"/>
                <w:sz w:val="21"/>
              </w:rPr>
              <w:t> </w:t>
            </w:r>
          </w:p>
        </w:tc>
        <w:tc>
          <w:tcPr>
            <w:tcW w:w="1684" w:type="dxa"/>
            <w:tcBorders>
              <w:top w:val="single" w:sz="4" w:space="0" w:color="000000"/>
              <w:left w:val="single" w:sz="4" w:space="0" w:color="000000"/>
              <w:bottom w:val="single" w:sz="4" w:space="0" w:color="000000"/>
            </w:tcBorders>
          </w:tcPr>
          <w:p>
            <w:pPr>
              <w:pStyle w:val="TableParagraph"/>
              <w:spacing w:before="55"/>
              <w:ind w:right="69"/>
              <w:jc w:val="right"/>
              <w:rPr>
                <w:sz w:val="21"/>
              </w:rPr>
            </w:pPr>
            <w:r>
              <w:rPr>
                <w:sz w:val="21"/>
              </w:rPr>
              <w:t>294,547,364.47</w:t>
            </w:r>
          </w:p>
        </w:tc>
      </w:tr>
      <w:tr>
        <w:trPr>
          <w:trHeight w:val="369" w:hRule="atLeast"/>
        </w:trPr>
        <w:tc>
          <w:tcPr>
            <w:tcW w:w="2182" w:type="dxa"/>
            <w:tcBorders>
              <w:top w:val="single" w:sz="4" w:space="0" w:color="000000"/>
              <w:bottom w:val="single" w:sz="4" w:space="0" w:color="000000"/>
              <w:right w:val="single" w:sz="4" w:space="0" w:color="000000"/>
            </w:tcBorders>
          </w:tcPr>
          <w:p>
            <w:pPr>
              <w:pStyle w:val="TableParagraph"/>
              <w:spacing w:line="349" w:lineRule="exact"/>
              <w:ind w:left="107"/>
              <w:rPr>
                <w:rFonts w:ascii="Microsoft JhengHei" w:eastAsia="Microsoft JhengHei" w:hint="eastAsia"/>
                <w:b/>
                <w:sz w:val="21"/>
              </w:rPr>
            </w:pPr>
            <w:r>
              <w:rPr>
                <w:rFonts w:ascii="Microsoft JhengHei" w:eastAsia="Microsoft JhengHei" w:hint="eastAsia"/>
                <w:b/>
                <w:sz w:val="21"/>
              </w:rPr>
              <w:t>其他非流动资产</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44"/>
              <w:ind w:right="-29"/>
              <w:jc w:val="right"/>
              <w:rPr>
                <w:rFonts w:ascii="宋体"/>
                <w:sz w:val="21"/>
              </w:rPr>
            </w:pPr>
            <w:r>
              <w:rPr>
                <w:rFonts w:ascii="宋体"/>
                <w:w w:val="100"/>
                <w:sz w:val="21"/>
              </w:rPr>
              <w:t> </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58"/>
              <w:ind w:right="85"/>
              <w:jc w:val="right"/>
              <w:rPr>
                <w:sz w:val="21"/>
              </w:rPr>
            </w:pPr>
            <w:r>
              <w:rPr>
                <w:sz w:val="21"/>
              </w:rPr>
              <w:t>62,836,363.78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58"/>
              <w:ind w:right="82"/>
              <w:jc w:val="right"/>
              <w:rPr>
                <w:sz w:val="21"/>
              </w:rPr>
            </w:pPr>
            <w:r>
              <w:rPr>
                <w:sz w:val="21"/>
              </w:rPr>
              <w:t>14,220,964.80</w:t>
            </w:r>
          </w:p>
        </w:tc>
        <w:tc>
          <w:tcPr>
            <w:tcW w:w="1684" w:type="dxa"/>
            <w:tcBorders>
              <w:top w:val="single" w:sz="4" w:space="0" w:color="000000"/>
              <w:left w:val="single" w:sz="4" w:space="0" w:color="000000"/>
              <w:bottom w:val="single" w:sz="4" w:space="0" w:color="000000"/>
            </w:tcBorders>
          </w:tcPr>
          <w:p>
            <w:pPr>
              <w:pStyle w:val="TableParagraph"/>
              <w:spacing w:before="58"/>
              <w:ind w:right="69"/>
              <w:jc w:val="right"/>
              <w:rPr>
                <w:sz w:val="21"/>
              </w:rPr>
            </w:pPr>
            <w:r>
              <w:rPr>
                <w:sz w:val="21"/>
              </w:rPr>
              <w:t>77,057,328.58</w:t>
            </w:r>
          </w:p>
        </w:tc>
      </w:tr>
      <w:tr>
        <w:trPr>
          <w:trHeight w:val="546" w:hRule="atLeast"/>
        </w:trPr>
        <w:tc>
          <w:tcPr>
            <w:tcW w:w="2182" w:type="dxa"/>
            <w:tcBorders>
              <w:top w:val="single" w:sz="4" w:space="0" w:color="000000"/>
              <w:bottom w:val="single" w:sz="4" w:space="0" w:color="000000"/>
              <w:right w:val="single" w:sz="4" w:space="0" w:color="000000"/>
            </w:tcBorders>
          </w:tcPr>
          <w:p>
            <w:pPr>
              <w:pStyle w:val="TableParagraph"/>
              <w:spacing w:line="270" w:lineRule="atLeast" w:before="2"/>
              <w:ind w:left="738" w:right="158" w:hanging="632"/>
              <w:rPr>
                <w:rFonts w:ascii="宋体" w:eastAsia="宋体" w:hint="eastAsia"/>
                <w:sz w:val="21"/>
              </w:rPr>
            </w:pPr>
            <w:r>
              <w:rPr>
                <w:rFonts w:ascii="宋体" w:eastAsia="宋体" w:hint="eastAsia"/>
                <w:sz w:val="21"/>
              </w:rPr>
              <w:t>其中：其他非流动财务资产</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133"/>
              <w:ind w:right="-29"/>
              <w:jc w:val="right"/>
              <w:rPr>
                <w:rFonts w:ascii="宋体"/>
                <w:sz w:val="21"/>
              </w:rPr>
            </w:pPr>
            <w:r>
              <w:rPr>
                <w:rFonts w:ascii="宋体"/>
                <w:w w:val="100"/>
                <w:sz w:val="21"/>
              </w:rPr>
              <w:t> </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147"/>
              <w:ind w:right="85"/>
              <w:jc w:val="right"/>
              <w:rPr>
                <w:sz w:val="21"/>
              </w:rPr>
            </w:pPr>
            <w:r>
              <w:rPr>
                <w:sz w:val="21"/>
              </w:rPr>
              <w:t>62,836,363.78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147"/>
              <w:ind w:right="82"/>
              <w:jc w:val="right"/>
              <w:rPr>
                <w:sz w:val="21"/>
              </w:rPr>
            </w:pPr>
            <w:r>
              <w:rPr>
                <w:sz w:val="21"/>
              </w:rPr>
              <w:t>14,220,964.80</w:t>
            </w:r>
          </w:p>
        </w:tc>
        <w:tc>
          <w:tcPr>
            <w:tcW w:w="1684" w:type="dxa"/>
            <w:tcBorders>
              <w:top w:val="single" w:sz="4" w:space="0" w:color="000000"/>
              <w:left w:val="single" w:sz="4" w:space="0" w:color="000000"/>
              <w:bottom w:val="single" w:sz="4" w:space="0" w:color="000000"/>
            </w:tcBorders>
          </w:tcPr>
          <w:p>
            <w:pPr>
              <w:pStyle w:val="TableParagraph"/>
              <w:spacing w:before="147"/>
              <w:ind w:right="69"/>
              <w:jc w:val="right"/>
              <w:rPr>
                <w:sz w:val="21"/>
              </w:rPr>
            </w:pPr>
            <w:r>
              <w:rPr>
                <w:sz w:val="21"/>
              </w:rPr>
              <w:t>77,057,328.58</w:t>
            </w:r>
          </w:p>
        </w:tc>
      </w:tr>
      <w:tr>
        <w:trPr>
          <w:trHeight w:val="366" w:hRule="atLeast"/>
        </w:trPr>
        <w:tc>
          <w:tcPr>
            <w:tcW w:w="2182" w:type="dxa"/>
            <w:tcBorders>
              <w:top w:val="single" w:sz="4" w:space="0" w:color="000000"/>
              <w:bottom w:val="single" w:sz="4" w:space="0" w:color="000000"/>
              <w:right w:val="single" w:sz="4" w:space="0" w:color="000000"/>
            </w:tcBorders>
          </w:tcPr>
          <w:p>
            <w:pPr>
              <w:pStyle w:val="TableParagraph"/>
              <w:spacing w:line="347" w:lineRule="exact"/>
              <w:ind w:left="107"/>
              <w:rPr>
                <w:rFonts w:ascii="Microsoft JhengHei" w:eastAsia="Microsoft JhengHei" w:hint="eastAsia"/>
                <w:b/>
                <w:sz w:val="21"/>
              </w:rPr>
            </w:pPr>
            <w:r>
              <w:rPr>
                <w:rFonts w:ascii="Microsoft JhengHei" w:eastAsia="Microsoft JhengHei" w:hint="eastAsia"/>
                <w:b/>
                <w:sz w:val="21"/>
              </w:rPr>
              <w:t>交易性金融负债</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55"/>
              <w:ind w:right="85"/>
              <w:jc w:val="right"/>
              <w:rPr>
                <w:sz w:val="21"/>
              </w:rPr>
            </w:pPr>
            <w:r>
              <w:rPr>
                <w:sz w:val="21"/>
              </w:rPr>
              <w:t>42,799,173.35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42"/>
              <w:ind w:right="-29"/>
              <w:jc w:val="right"/>
              <w:rPr>
                <w:rFonts w:ascii="宋体"/>
                <w:sz w:val="21"/>
              </w:rPr>
            </w:pPr>
            <w:r>
              <w:rPr>
                <w:rFonts w:ascii="宋体"/>
                <w:w w:val="100"/>
                <w:sz w:val="21"/>
              </w:rPr>
              <w:t> </w:t>
            </w:r>
          </w:p>
        </w:tc>
        <w:tc>
          <w:tcPr>
            <w:tcW w:w="1684" w:type="dxa"/>
            <w:tcBorders>
              <w:top w:val="single" w:sz="4" w:space="0" w:color="000000"/>
              <w:left w:val="single" w:sz="4" w:space="0" w:color="000000"/>
              <w:bottom w:val="single" w:sz="4" w:space="0" w:color="000000"/>
            </w:tcBorders>
          </w:tcPr>
          <w:p>
            <w:pPr>
              <w:pStyle w:val="TableParagraph"/>
              <w:spacing w:before="55"/>
              <w:ind w:right="69"/>
              <w:jc w:val="right"/>
              <w:rPr>
                <w:sz w:val="21"/>
              </w:rPr>
            </w:pPr>
            <w:r>
              <w:rPr>
                <w:sz w:val="21"/>
              </w:rPr>
              <w:t>42,799,173.35</w:t>
            </w:r>
          </w:p>
        </w:tc>
      </w:tr>
      <w:tr>
        <w:trPr>
          <w:trHeight w:val="369" w:hRule="atLeast"/>
        </w:trPr>
        <w:tc>
          <w:tcPr>
            <w:tcW w:w="2182"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其中：远期外汇合约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58"/>
              <w:ind w:right="85"/>
              <w:jc w:val="right"/>
              <w:rPr>
                <w:sz w:val="21"/>
              </w:rPr>
            </w:pPr>
            <w:r>
              <w:rPr>
                <w:sz w:val="21"/>
              </w:rPr>
              <w:t>42,799,173.35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44"/>
              <w:ind w:right="-29"/>
              <w:jc w:val="right"/>
              <w:rPr>
                <w:rFonts w:ascii="宋体"/>
                <w:sz w:val="21"/>
              </w:rPr>
            </w:pPr>
            <w:r>
              <w:rPr>
                <w:rFonts w:ascii="宋体"/>
                <w:w w:val="100"/>
                <w:sz w:val="21"/>
              </w:rPr>
              <w:t> </w:t>
            </w:r>
          </w:p>
        </w:tc>
        <w:tc>
          <w:tcPr>
            <w:tcW w:w="1684" w:type="dxa"/>
            <w:tcBorders>
              <w:top w:val="single" w:sz="4" w:space="0" w:color="000000"/>
              <w:left w:val="single" w:sz="4" w:space="0" w:color="000000"/>
              <w:bottom w:val="single" w:sz="4" w:space="0" w:color="000000"/>
            </w:tcBorders>
          </w:tcPr>
          <w:p>
            <w:pPr>
              <w:pStyle w:val="TableParagraph"/>
              <w:spacing w:before="58"/>
              <w:ind w:right="69"/>
              <w:jc w:val="right"/>
              <w:rPr>
                <w:sz w:val="21"/>
              </w:rPr>
            </w:pPr>
            <w:r>
              <w:rPr>
                <w:sz w:val="21"/>
              </w:rPr>
              <w:t>42,799,173.35</w:t>
            </w:r>
          </w:p>
        </w:tc>
      </w:tr>
      <w:tr>
        <w:trPr>
          <w:trHeight w:val="369" w:hRule="atLeast"/>
        </w:trPr>
        <w:tc>
          <w:tcPr>
            <w:tcW w:w="2182" w:type="dxa"/>
            <w:tcBorders>
              <w:top w:val="single" w:sz="4" w:space="0" w:color="000000"/>
              <w:bottom w:val="single" w:sz="4" w:space="0" w:color="000000"/>
              <w:right w:val="single" w:sz="4" w:space="0" w:color="000000"/>
            </w:tcBorders>
          </w:tcPr>
          <w:p>
            <w:pPr>
              <w:pStyle w:val="TableParagraph"/>
              <w:spacing w:line="349" w:lineRule="exact"/>
              <w:ind w:left="107"/>
              <w:rPr>
                <w:rFonts w:ascii="Microsoft JhengHei" w:eastAsia="Microsoft JhengHei" w:hint="eastAsia"/>
                <w:b/>
                <w:sz w:val="21"/>
              </w:rPr>
            </w:pPr>
            <w:r>
              <w:rPr>
                <w:rFonts w:ascii="Microsoft JhengHei" w:eastAsia="Microsoft JhengHei" w:hint="eastAsia"/>
                <w:b/>
                <w:sz w:val="21"/>
              </w:rPr>
              <w:t>衍生金融负债</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58"/>
              <w:ind w:right="85"/>
              <w:jc w:val="right"/>
              <w:rPr>
                <w:sz w:val="21"/>
              </w:rPr>
            </w:pPr>
            <w:r>
              <w:rPr>
                <w:sz w:val="21"/>
              </w:rPr>
              <w:t>99,548,853.97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84" w:type="dxa"/>
            <w:tcBorders>
              <w:top w:val="single" w:sz="4" w:space="0" w:color="000000"/>
              <w:left w:val="single" w:sz="4" w:space="0" w:color="000000"/>
              <w:bottom w:val="single" w:sz="4" w:space="0" w:color="000000"/>
            </w:tcBorders>
          </w:tcPr>
          <w:p>
            <w:pPr>
              <w:pStyle w:val="TableParagraph"/>
              <w:spacing w:before="58"/>
              <w:ind w:right="69"/>
              <w:jc w:val="right"/>
              <w:rPr>
                <w:sz w:val="21"/>
              </w:rPr>
            </w:pPr>
            <w:r>
              <w:rPr>
                <w:sz w:val="21"/>
              </w:rPr>
              <w:t>99,548,853.97</w:t>
            </w:r>
          </w:p>
        </w:tc>
      </w:tr>
      <w:tr>
        <w:trPr>
          <w:trHeight w:val="369" w:hRule="atLeast"/>
        </w:trPr>
        <w:tc>
          <w:tcPr>
            <w:tcW w:w="2182"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其中：远期外汇合约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58"/>
              <w:ind w:right="85"/>
              <w:jc w:val="right"/>
              <w:rPr>
                <w:sz w:val="21"/>
              </w:rPr>
            </w:pPr>
            <w:r>
              <w:rPr>
                <w:sz w:val="21"/>
              </w:rPr>
              <w:t>85,557,428.14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44"/>
              <w:ind w:right="-29"/>
              <w:jc w:val="right"/>
              <w:rPr>
                <w:rFonts w:ascii="宋体"/>
                <w:sz w:val="21"/>
              </w:rPr>
            </w:pPr>
            <w:r>
              <w:rPr>
                <w:rFonts w:ascii="宋体"/>
                <w:w w:val="100"/>
                <w:sz w:val="21"/>
              </w:rPr>
              <w:t> </w:t>
            </w:r>
          </w:p>
        </w:tc>
        <w:tc>
          <w:tcPr>
            <w:tcW w:w="1684" w:type="dxa"/>
            <w:tcBorders>
              <w:top w:val="single" w:sz="4" w:space="0" w:color="000000"/>
              <w:left w:val="single" w:sz="4" w:space="0" w:color="000000"/>
              <w:bottom w:val="single" w:sz="4" w:space="0" w:color="000000"/>
            </w:tcBorders>
          </w:tcPr>
          <w:p>
            <w:pPr>
              <w:pStyle w:val="TableParagraph"/>
              <w:spacing w:before="58"/>
              <w:ind w:right="69"/>
              <w:jc w:val="right"/>
              <w:rPr>
                <w:sz w:val="21"/>
              </w:rPr>
            </w:pPr>
            <w:r>
              <w:rPr>
                <w:sz w:val="21"/>
              </w:rPr>
              <w:t>85,557,428.14</w:t>
            </w:r>
          </w:p>
        </w:tc>
      </w:tr>
      <w:tr>
        <w:trPr>
          <w:trHeight w:val="369" w:hRule="atLeast"/>
        </w:trPr>
        <w:tc>
          <w:tcPr>
            <w:tcW w:w="2182" w:type="dxa"/>
            <w:tcBorders>
              <w:top w:val="single" w:sz="4" w:space="0" w:color="000000"/>
              <w:bottom w:val="single" w:sz="4" w:space="0" w:color="000000"/>
              <w:right w:val="single" w:sz="4" w:space="0" w:color="000000"/>
            </w:tcBorders>
          </w:tcPr>
          <w:p>
            <w:pPr>
              <w:pStyle w:val="TableParagraph"/>
              <w:spacing w:before="52"/>
              <w:ind w:left="738"/>
              <w:rPr>
                <w:rFonts w:ascii="宋体" w:eastAsia="宋体" w:hint="eastAsia"/>
                <w:sz w:val="21"/>
              </w:rPr>
            </w:pPr>
            <w:r>
              <w:rPr>
                <w:rFonts w:ascii="宋体" w:eastAsia="宋体" w:hint="eastAsia"/>
                <w:sz w:val="21"/>
              </w:rPr>
              <w:t>利率互换协议</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45"/>
              <w:ind w:right="-29"/>
              <w:jc w:val="right"/>
              <w:rPr>
                <w:rFonts w:ascii="宋体"/>
                <w:sz w:val="21"/>
              </w:rPr>
            </w:pPr>
            <w:r>
              <w:rPr>
                <w:rFonts w:ascii="宋体"/>
                <w:w w:val="100"/>
                <w:sz w:val="21"/>
              </w:rPr>
              <w:t> </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58"/>
              <w:ind w:right="85"/>
              <w:jc w:val="right"/>
              <w:rPr>
                <w:sz w:val="21"/>
              </w:rPr>
            </w:pPr>
            <w:r>
              <w:rPr>
                <w:sz w:val="21"/>
              </w:rPr>
              <w:t>13,991,425.83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45"/>
              <w:ind w:right="-29"/>
              <w:jc w:val="right"/>
              <w:rPr>
                <w:rFonts w:ascii="宋体"/>
                <w:sz w:val="21"/>
              </w:rPr>
            </w:pPr>
            <w:r>
              <w:rPr>
                <w:rFonts w:ascii="宋体"/>
                <w:w w:val="100"/>
                <w:sz w:val="21"/>
              </w:rPr>
              <w:t> </w:t>
            </w:r>
          </w:p>
        </w:tc>
        <w:tc>
          <w:tcPr>
            <w:tcW w:w="1684" w:type="dxa"/>
            <w:tcBorders>
              <w:top w:val="single" w:sz="4" w:space="0" w:color="000000"/>
              <w:left w:val="single" w:sz="4" w:space="0" w:color="000000"/>
              <w:bottom w:val="single" w:sz="4" w:space="0" w:color="000000"/>
            </w:tcBorders>
          </w:tcPr>
          <w:p>
            <w:pPr>
              <w:pStyle w:val="TableParagraph"/>
              <w:spacing w:before="58"/>
              <w:ind w:right="69"/>
              <w:jc w:val="right"/>
              <w:rPr>
                <w:sz w:val="21"/>
              </w:rPr>
            </w:pPr>
            <w:r>
              <w:rPr>
                <w:sz w:val="21"/>
              </w:rPr>
              <w:t>13,991,425.83</w:t>
            </w:r>
          </w:p>
        </w:tc>
      </w:tr>
      <w:tr>
        <w:trPr>
          <w:trHeight w:val="369" w:hRule="atLeast"/>
        </w:trPr>
        <w:tc>
          <w:tcPr>
            <w:tcW w:w="2182" w:type="dxa"/>
            <w:tcBorders>
              <w:top w:val="single" w:sz="4" w:space="0" w:color="000000"/>
              <w:bottom w:val="single" w:sz="4" w:space="0" w:color="000000"/>
              <w:right w:val="single" w:sz="4" w:space="0" w:color="000000"/>
            </w:tcBorders>
          </w:tcPr>
          <w:p>
            <w:pPr>
              <w:pStyle w:val="TableParagraph"/>
              <w:spacing w:line="349" w:lineRule="exact"/>
              <w:ind w:left="107"/>
              <w:rPr>
                <w:rFonts w:ascii="Microsoft JhengHei" w:eastAsia="Microsoft JhengHei" w:hint="eastAsia"/>
                <w:b/>
                <w:sz w:val="21"/>
              </w:rPr>
            </w:pPr>
            <w:r>
              <w:rPr>
                <w:rFonts w:ascii="Microsoft JhengHei" w:eastAsia="Microsoft JhengHei" w:hint="eastAsia"/>
                <w:b/>
                <w:sz w:val="21"/>
              </w:rPr>
              <w:t>其他非流动负债</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44"/>
              <w:ind w:right="-29"/>
              <w:jc w:val="right"/>
              <w:rPr>
                <w:rFonts w:ascii="宋体"/>
                <w:sz w:val="21"/>
              </w:rPr>
            </w:pPr>
            <w:r>
              <w:rPr>
                <w:rFonts w:ascii="宋体"/>
                <w:w w:val="100"/>
                <w:sz w:val="21"/>
              </w:rPr>
              <w:t> </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58"/>
              <w:ind w:right="82"/>
              <w:jc w:val="right"/>
              <w:rPr>
                <w:sz w:val="21"/>
              </w:rPr>
            </w:pPr>
            <w:r>
              <w:rPr>
                <w:sz w:val="21"/>
              </w:rPr>
              <w:t>54,598,203.27</w:t>
            </w:r>
          </w:p>
        </w:tc>
        <w:tc>
          <w:tcPr>
            <w:tcW w:w="1684" w:type="dxa"/>
            <w:tcBorders>
              <w:top w:val="single" w:sz="4" w:space="0" w:color="000000"/>
              <w:left w:val="single" w:sz="4" w:space="0" w:color="000000"/>
              <w:bottom w:val="single" w:sz="4" w:space="0" w:color="000000"/>
            </w:tcBorders>
          </w:tcPr>
          <w:p>
            <w:pPr>
              <w:pStyle w:val="TableParagraph"/>
              <w:spacing w:before="58"/>
              <w:ind w:right="69"/>
              <w:jc w:val="right"/>
              <w:rPr>
                <w:sz w:val="21"/>
              </w:rPr>
            </w:pPr>
            <w:r>
              <w:rPr>
                <w:sz w:val="21"/>
              </w:rPr>
              <w:t>54,598,203.27</w:t>
            </w:r>
          </w:p>
        </w:tc>
      </w:tr>
      <w:tr>
        <w:trPr>
          <w:trHeight w:val="543" w:hRule="atLeast"/>
        </w:trPr>
        <w:tc>
          <w:tcPr>
            <w:tcW w:w="2182" w:type="dxa"/>
            <w:tcBorders>
              <w:top w:val="single" w:sz="4" w:space="0" w:color="000000"/>
              <w:right w:val="single" w:sz="4" w:space="0" w:color="000000"/>
            </w:tcBorders>
          </w:tcPr>
          <w:p>
            <w:pPr>
              <w:pStyle w:val="TableParagraph"/>
              <w:spacing w:before="1"/>
              <w:ind w:right="158"/>
              <w:jc w:val="right"/>
              <w:rPr>
                <w:rFonts w:ascii="宋体" w:eastAsia="宋体" w:hint="eastAsia"/>
                <w:sz w:val="21"/>
              </w:rPr>
            </w:pPr>
            <w:r>
              <w:rPr>
                <w:rFonts w:ascii="宋体" w:eastAsia="宋体" w:hint="eastAsia"/>
                <w:spacing w:val="-3"/>
                <w:sz w:val="21"/>
              </w:rPr>
              <w:t>其中：对少数股东权</w:t>
            </w:r>
          </w:p>
          <w:p>
            <w:pPr>
              <w:pStyle w:val="TableParagraph"/>
              <w:spacing w:line="249" w:lineRule="exact" w:before="4"/>
              <w:ind w:right="158"/>
              <w:jc w:val="right"/>
              <w:rPr>
                <w:rFonts w:ascii="宋体" w:eastAsia="宋体" w:hint="eastAsia"/>
                <w:sz w:val="21"/>
              </w:rPr>
            </w:pPr>
            <w:r>
              <w:rPr>
                <w:rFonts w:ascii="宋体" w:eastAsia="宋体" w:hint="eastAsia"/>
                <w:spacing w:val="-2"/>
                <w:sz w:val="21"/>
              </w:rPr>
              <w:t>益的回购义务</w:t>
            </w:r>
          </w:p>
        </w:tc>
        <w:tc>
          <w:tcPr>
            <w:tcW w:w="1687" w:type="dxa"/>
            <w:tcBorders>
              <w:top w:val="single" w:sz="4" w:space="0" w:color="000000"/>
              <w:left w:val="single" w:sz="4" w:space="0" w:color="000000"/>
              <w:right w:val="single" w:sz="4" w:space="0" w:color="000000"/>
            </w:tcBorders>
          </w:tcPr>
          <w:p>
            <w:pPr>
              <w:pStyle w:val="TableParagraph"/>
              <w:spacing w:before="130"/>
              <w:ind w:right="-29"/>
              <w:jc w:val="right"/>
              <w:rPr>
                <w:rFonts w:ascii="宋体"/>
                <w:sz w:val="21"/>
              </w:rPr>
            </w:pPr>
            <w:r>
              <w:rPr>
                <w:rFonts w:ascii="宋体"/>
                <w:w w:val="100"/>
                <w:sz w:val="21"/>
              </w:rPr>
              <w:t> </w:t>
            </w:r>
          </w:p>
        </w:tc>
        <w:tc>
          <w:tcPr>
            <w:tcW w:w="1807" w:type="dxa"/>
            <w:tcBorders>
              <w:top w:val="single" w:sz="4" w:space="0" w:color="000000"/>
              <w:left w:val="single" w:sz="4" w:space="0" w:color="000000"/>
              <w:right w:val="single" w:sz="4" w:space="0" w:color="000000"/>
            </w:tcBorders>
          </w:tcPr>
          <w:p>
            <w:pPr>
              <w:pStyle w:val="TableParagraph"/>
              <w:spacing w:before="130"/>
              <w:ind w:right="-29"/>
              <w:jc w:val="right"/>
              <w:rPr>
                <w:rFonts w:ascii="宋体"/>
                <w:sz w:val="21"/>
              </w:rPr>
            </w:pPr>
            <w:r>
              <w:rPr>
                <w:rFonts w:ascii="宋体"/>
                <w:w w:val="100"/>
                <w:sz w:val="21"/>
              </w:rPr>
              <w:t> </w:t>
            </w:r>
          </w:p>
        </w:tc>
        <w:tc>
          <w:tcPr>
            <w:tcW w:w="1687" w:type="dxa"/>
            <w:tcBorders>
              <w:top w:val="single" w:sz="4" w:space="0" w:color="000000"/>
              <w:left w:val="single" w:sz="4" w:space="0" w:color="000000"/>
              <w:right w:val="single" w:sz="4" w:space="0" w:color="000000"/>
            </w:tcBorders>
          </w:tcPr>
          <w:p>
            <w:pPr>
              <w:pStyle w:val="TableParagraph"/>
              <w:spacing w:before="144"/>
              <w:ind w:right="82"/>
              <w:jc w:val="right"/>
              <w:rPr>
                <w:sz w:val="21"/>
              </w:rPr>
            </w:pPr>
            <w:r>
              <w:rPr>
                <w:sz w:val="21"/>
              </w:rPr>
              <w:t>54,598,203.27</w:t>
            </w:r>
          </w:p>
        </w:tc>
        <w:tc>
          <w:tcPr>
            <w:tcW w:w="1684" w:type="dxa"/>
            <w:tcBorders>
              <w:top w:val="single" w:sz="4" w:space="0" w:color="000000"/>
              <w:left w:val="single" w:sz="4" w:space="0" w:color="000000"/>
            </w:tcBorders>
          </w:tcPr>
          <w:p>
            <w:pPr>
              <w:pStyle w:val="TableParagraph"/>
              <w:spacing w:before="144"/>
              <w:ind w:right="69"/>
              <w:jc w:val="right"/>
              <w:rPr>
                <w:sz w:val="21"/>
              </w:rPr>
            </w:pPr>
            <w:r>
              <w:rPr>
                <w:sz w:val="21"/>
              </w:rPr>
              <w:t>54,598,203.27</w:t>
            </w:r>
          </w:p>
        </w:tc>
      </w:tr>
    </w:tbl>
    <w:p>
      <w:pPr>
        <w:pStyle w:val="BodyText"/>
        <w:spacing w:line="242" w:lineRule="auto" w:before="4"/>
        <w:ind w:left="1538" w:right="1273" w:firstLine="424"/>
      </w:pPr>
      <w:r>
        <w:rPr/>
        <w:t>对于在活跃市场上交易的金融工具，本公司以其活跃市场报价确定其公允价值；对于不在活跃市场上交易的金融工具，本公司采用估值技术确定其公允价值。 </w:t>
      </w:r>
    </w:p>
    <w:p>
      <w:pPr>
        <w:pStyle w:val="BodyText"/>
        <w:spacing w:before="2"/>
        <w:ind w:left="1538"/>
      </w:pPr>
      <w:r>
        <w:rPr>
          <w:w w:val="100"/>
        </w:rPr>
        <w:t> </w:t>
      </w:r>
    </w:p>
    <w:p>
      <w:pPr>
        <w:pStyle w:val="BodyText"/>
        <w:spacing w:before="7"/>
        <w:rPr>
          <w:sz w:val="17"/>
        </w:rPr>
      </w:pPr>
    </w:p>
    <w:p>
      <w:pPr>
        <w:pStyle w:val="Heading4"/>
      </w:pPr>
      <w:r>
        <w:rPr>
          <w:rFonts w:ascii="Times New Roman" w:eastAsia="Times New Roman"/>
        </w:rPr>
        <w:t>2</w:t>
      </w:r>
      <w:r>
        <w:rPr/>
        <w:t>、持续第二层次公允价值计量项目公允价值的确定依据</w:t>
      </w:r>
    </w:p>
    <w:p>
      <w:pPr>
        <w:pStyle w:val="BodyText"/>
        <w:spacing w:before="17" w:after="1"/>
        <w:rPr>
          <w:rFonts w:ascii="Microsoft JhengHei"/>
          <w:b/>
          <w:sz w:val="5"/>
        </w:rPr>
      </w:pPr>
    </w:p>
    <w:tbl>
      <w:tblPr>
        <w:tblW w:w="0" w:type="auto"/>
        <w:jc w:val="left"/>
        <w:tblInd w:w="158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349"/>
        <w:gridCol w:w="2778"/>
        <w:gridCol w:w="2656"/>
      </w:tblGrid>
      <w:tr>
        <w:trPr>
          <w:trHeight w:val="416" w:hRule="atLeast"/>
        </w:trPr>
        <w:tc>
          <w:tcPr>
            <w:tcW w:w="3349" w:type="dxa"/>
            <w:tcBorders>
              <w:bottom w:val="single" w:sz="4" w:space="0" w:color="000000"/>
              <w:right w:val="single" w:sz="4" w:space="0" w:color="000000"/>
            </w:tcBorders>
          </w:tcPr>
          <w:p>
            <w:pPr>
              <w:pStyle w:val="TableParagraph"/>
              <w:spacing w:before="5"/>
              <w:ind w:left="1442" w:right="1427"/>
              <w:jc w:val="center"/>
              <w:rPr>
                <w:rFonts w:ascii="Microsoft JhengHei" w:eastAsia="Microsoft JhengHei" w:hint="eastAsia"/>
                <w:b/>
                <w:sz w:val="21"/>
              </w:rPr>
            </w:pPr>
            <w:r>
              <w:rPr>
                <w:rFonts w:ascii="Microsoft JhengHei" w:eastAsia="Microsoft JhengHei" w:hint="eastAsia"/>
                <w:b/>
                <w:sz w:val="21"/>
              </w:rPr>
              <w:t>项目</w:t>
            </w:r>
          </w:p>
        </w:tc>
        <w:tc>
          <w:tcPr>
            <w:tcW w:w="2778" w:type="dxa"/>
            <w:tcBorders>
              <w:left w:val="single" w:sz="4" w:space="0" w:color="000000"/>
              <w:bottom w:val="single" w:sz="4" w:space="0" w:color="000000"/>
              <w:right w:val="single" w:sz="4" w:space="0" w:color="000000"/>
            </w:tcBorders>
          </w:tcPr>
          <w:p>
            <w:pPr>
              <w:pStyle w:val="TableParagraph"/>
              <w:spacing w:before="5"/>
              <w:ind w:left="764"/>
              <w:rPr>
                <w:rFonts w:ascii="Microsoft JhengHei" w:eastAsia="Microsoft JhengHei" w:hint="eastAsia"/>
                <w:b/>
                <w:sz w:val="21"/>
              </w:rPr>
            </w:pPr>
            <w:r>
              <w:rPr>
                <w:rFonts w:ascii="Microsoft JhengHei" w:eastAsia="Microsoft JhengHei" w:hint="eastAsia"/>
                <w:b/>
                <w:sz w:val="21"/>
              </w:rPr>
              <w:t>期末公允价值</w:t>
            </w:r>
          </w:p>
        </w:tc>
        <w:tc>
          <w:tcPr>
            <w:tcW w:w="2656" w:type="dxa"/>
            <w:tcBorders>
              <w:left w:val="single" w:sz="4" w:space="0" w:color="000000"/>
              <w:bottom w:val="single" w:sz="4" w:space="0" w:color="000000"/>
            </w:tcBorders>
          </w:tcPr>
          <w:p>
            <w:pPr>
              <w:pStyle w:val="TableParagraph"/>
              <w:spacing w:before="5"/>
              <w:ind w:left="913"/>
              <w:rPr>
                <w:rFonts w:ascii="Microsoft JhengHei" w:eastAsia="Microsoft JhengHei" w:hint="eastAsia"/>
                <w:b/>
                <w:sz w:val="21"/>
              </w:rPr>
            </w:pPr>
            <w:r>
              <w:rPr>
                <w:rFonts w:ascii="Microsoft JhengHei" w:eastAsia="Microsoft JhengHei" w:hint="eastAsia"/>
                <w:b/>
                <w:sz w:val="21"/>
              </w:rPr>
              <w:t>估值技术</w:t>
            </w:r>
          </w:p>
        </w:tc>
      </w:tr>
      <w:tr>
        <w:trPr>
          <w:trHeight w:val="359" w:hRule="atLeast"/>
        </w:trPr>
        <w:tc>
          <w:tcPr>
            <w:tcW w:w="3349" w:type="dxa"/>
            <w:tcBorders>
              <w:top w:val="single" w:sz="4" w:space="0" w:color="000000"/>
              <w:bottom w:val="single" w:sz="4" w:space="0" w:color="000000"/>
              <w:right w:val="single" w:sz="4" w:space="0" w:color="000000"/>
            </w:tcBorders>
          </w:tcPr>
          <w:p>
            <w:pPr>
              <w:pStyle w:val="TableParagraph"/>
              <w:spacing w:line="340" w:lineRule="exact"/>
              <w:ind w:left="107"/>
              <w:rPr>
                <w:rFonts w:ascii="Microsoft JhengHei" w:eastAsia="Microsoft JhengHei" w:hint="eastAsia"/>
                <w:b/>
                <w:sz w:val="21"/>
              </w:rPr>
            </w:pPr>
            <w:r>
              <w:rPr>
                <w:rFonts w:ascii="Microsoft JhengHei" w:eastAsia="Microsoft JhengHei" w:hint="eastAsia"/>
                <w:b/>
                <w:sz w:val="21"/>
              </w:rPr>
              <w:t>交易性金融资产</w:t>
            </w:r>
          </w:p>
        </w:tc>
        <w:tc>
          <w:tcPr>
            <w:tcW w:w="277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656" w:type="dxa"/>
            <w:tcBorders>
              <w:top w:val="single" w:sz="4" w:space="0" w:color="000000"/>
              <w:left w:val="single" w:sz="4" w:space="0" w:color="000000"/>
              <w:bottom w:val="single" w:sz="4" w:space="0" w:color="000000"/>
            </w:tcBorders>
          </w:tcPr>
          <w:p>
            <w:pPr>
              <w:pStyle w:val="TableParagraph"/>
              <w:rPr>
                <w:sz w:val="20"/>
              </w:rPr>
            </w:pPr>
          </w:p>
        </w:tc>
      </w:tr>
      <w:tr>
        <w:trPr>
          <w:trHeight w:val="403" w:hRule="atLeast"/>
        </w:trPr>
        <w:tc>
          <w:tcPr>
            <w:tcW w:w="3349" w:type="dxa"/>
            <w:tcBorders>
              <w:top w:val="single" w:sz="4" w:space="0" w:color="000000"/>
              <w:bottom w:val="single" w:sz="4" w:space="0" w:color="000000"/>
              <w:right w:val="single" w:sz="4" w:space="0" w:color="000000"/>
            </w:tcBorders>
          </w:tcPr>
          <w:p>
            <w:pPr>
              <w:pStyle w:val="TableParagraph"/>
              <w:spacing w:before="66"/>
              <w:ind w:left="107"/>
              <w:rPr>
                <w:rFonts w:ascii="宋体" w:eastAsia="宋体" w:hint="eastAsia"/>
                <w:sz w:val="21"/>
              </w:rPr>
            </w:pPr>
            <w:r>
              <w:rPr>
                <w:rFonts w:ascii="宋体" w:eastAsia="宋体" w:hint="eastAsia"/>
                <w:sz w:val="21"/>
              </w:rPr>
              <w:t>其中：银行理财产品</w:t>
            </w:r>
          </w:p>
        </w:tc>
        <w:tc>
          <w:tcPr>
            <w:tcW w:w="2778" w:type="dxa"/>
            <w:tcBorders>
              <w:top w:val="single" w:sz="4" w:space="0" w:color="000000"/>
              <w:left w:val="single" w:sz="4" w:space="0" w:color="000000"/>
              <w:bottom w:val="single" w:sz="4" w:space="0" w:color="000000"/>
              <w:right w:val="single" w:sz="4" w:space="0" w:color="000000"/>
            </w:tcBorders>
          </w:tcPr>
          <w:p>
            <w:pPr>
              <w:pStyle w:val="TableParagraph"/>
              <w:spacing w:before="75"/>
              <w:ind w:right="85"/>
              <w:jc w:val="right"/>
              <w:rPr>
                <w:sz w:val="21"/>
              </w:rPr>
            </w:pPr>
            <w:r>
              <w:rPr>
                <w:sz w:val="21"/>
              </w:rPr>
              <w:t>1,862,036,322.21</w:t>
            </w:r>
          </w:p>
        </w:tc>
        <w:tc>
          <w:tcPr>
            <w:tcW w:w="2656" w:type="dxa"/>
            <w:tcBorders>
              <w:top w:val="single" w:sz="4" w:space="0" w:color="000000"/>
              <w:left w:val="single" w:sz="4" w:space="0" w:color="000000"/>
              <w:bottom w:val="single" w:sz="4" w:space="0" w:color="000000"/>
            </w:tcBorders>
          </w:tcPr>
          <w:p>
            <w:pPr>
              <w:pStyle w:val="TableParagraph"/>
              <w:spacing w:before="66"/>
              <w:ind w:left="809"/>
              <w:rPr>
                <w:rFonts w:ascii="宋体" w:eastAsia="宋体" w:hint="eastAsia"/>
                <w:sz w:val="21"/>
              </w:rPr>
            </w:pPr>
            <w:r>
              <w:rPr>
                <w:rFonts w:ascii="宋体" w:eastAsia="宋体" w:hint="eastAsia"/>
                <w:sz w:val="21"/>
              </w:rPr>
              <w:t>现金流折现</w:t>
            </w:r>
          </w:p>
        </w:tc>
      </w:tr>
      <w:tr>
        <w:trPr>
          <w:trHeight w:val="359" w:hRule="atLeast"/>
        </w:trPr>
        <w:tc>
          <w:tcPr>
            <w:tcW w:w="3349" w:type="dxa"/>
            <w:tcBorders>
              <w:top w:val="single" w:sz="4" w:space="0" w:color="000000"/>
              <w:bottom w:val="single" w:sz="4" w:space="0" w:color="000000"/>
              <w:right w:val="single" w:sz="4" w:space="0" w:color="000000"/>
            </w:tcBorders>
          </w:tcPr>
          <w:p>
            <w:pPr>
              <w:pStyle w:val="TableParagraph"/>
              <w:spacing w:before="44"/>
              <w:ind w:left="107"/>
              <w:rPr>
                <w:rFonts w:ascii="宋体" w:eastAsia="宋体" w:hint="eastAsia"/>
                <w:sz w:val="21"/>
              </w:rPr>
            </w:pPr>
            <w:r>
              <w:rPr>
                <w:rFonts w:ascii="宋体" w:eastAsia="宋体" w:hint="eastAsia"/>
                <w:sz w:val="21"/>
              </w:rPr>
              <w:t>远期外汇合约</w:t>
            </w:r>
          </w:p>
        </w:tc>
        <w:tc>
          <w:tcPr>
            <w:tcW w:w="2778" w:type="dxa"/>
            <w:tcBorders>
              <w:top w:val="single" w:sz="4" w:space="0" w:color="000000"/>
              <w:left w:val="single" w:sz="4" w:space="0" w:color="000000"/>
              <w:bottom w:val="single" w:sz="4" w:space="0" w:color="000000"/>
              <w:right w:val="single" w:sz="4" w:space="0" w:color="000000"/>
            </w:tcBorders>
          </w:tcPr>
          <w:p>
            <w:pPr>
              <w:pStyle w:val="TableParagraph"/>
              <w:spacing w:before="53"/>
              <w:ind w:right="85"/>
              <w:jc w:val="right"/>
              <w:rPr>
                <w:sz w:val="21"/>
              </w:rPr>
            </w:pPr>
            <w:r>
              <w:rPr>
                <w:sz w:val="21"/>
              </w:rPr>
              <w:t>105,446,693.00</w:t>
            </w:r>
          </w:p>
        </w:tc>
        <w:tc>
          <w:tcPr>
            <w:tcW w:w="2656" w:type="dxa"/>
            <w:tcBorders>
              <w:top w:val="single" w:sz="4" w:space="0" w:color="000000"/>
              <w:left w:val="single" w:sz="4" w:space="0" w:color="000000"/>
              <w:bottom w:val="single" w:sz="4" w:space="0" w:color="000000"/>
            </w:tcBorders>
          </w:tcPr>
          <w:p>
            <w:pPr>
              <w:pStyle w:val="TableParagraph"/>
              <w:spacing w:before="44"/>
              <w:ind w:left="495"/>
              <w:rPr>
                <w:rFonts w:ascii="宋体" w:eastAsia="宋体" w:hint="eastAsia"/>
                <w:sz w:val="21"/>
              </w:rPr>
            </w:pPr>
            <w:r>
              <w:rPr>
                <w:rFonts w:ascii="宋体" w:eastAsia="宋体" w:hint="eastAsia"/>
                <w:sz w:val="21"/>
              </w:rPr>
              <w:t>类似产品银行报价</w:t>
            </w:r>
          </w:p>
        </w:tc>
      </w:tr>
      <w:tr>
        <w:trPr>
          <w:trHeight w:val="359" w:hRule="atLeast"/>
        </w:trPr>
        <w:tc>
          <w:tcPr>
            <w:tcW w:w="3349" w:type="dxa"/>
            <w:tcBorders>
              <w:top w:val="single" w:sz="4" w:space="0" w:color="000000"/>
              <w:bottom w:val="single" w:sz="4" w:space="0" w:color="000000"/>
              <w:right w:val="single" w:sz="4" w:space="0" w:color="000000"/>
            </w:tcBorders>
          </w:tcPr>
          <w:p>
            <w:pPr>
              <w:pStyle w:val="TableParagraph"/>
              <w:spacing w:line="340" w:lineRule="exact"/>
              <w:ind w:left="107"/>
              <w:rPr>
                <w:rFonts w:ascii="Microsoft JhengHei" w:eastAsia="Microsoft JhengHei" w:hint="eastAsia"/>
                <w:b/>
                <w:sz w:val="21"/>
              </w:rPr>
            </w:pPr>
            <w:r>
              <w:rPr>
                <w:rFonts w:ascii="Microsoft JhengHei" w:eastAsia="Microsoft JhengHei" w:hint="eastAsia"/>
                <w:b/>
                <w:sz w:val="21"/>
              </w:rPr>
              <w:t>衍生金融资产</w:t>
            </w:r>
          </w:p>
        </w:tc>
        <w:tc>
          <w:tcPr>
            <w:tcW w:w="2778" w:type="dxa"/>
            <w:tcBorders>
              <w:top w:val="single" w:sz="4" w:space="0" w:color="000000"/>
              <w:left w:val="single" w:sz="4" w:space="0" w:color="000000"/>
              <w:bottom w:val="single" w:sz="4" w:space="0" w:color="000000"/>
              <w:right w:val="single" w:sz="4" w:space="0" w:color="000000"/>
            </w:tcBorders>
          </w:tcPr>
          <w:p>
            <w:pPr>
              <w:pStyle w:val="TableParagraph"/>
              <w:spacing w:before="39"/>
              <w:ind w:right="-29"/>
              <w:jc w:val="right"/>
              <w:rPr>
                <w:rFonts w:ascii="宋体"/>
                <w:sz w:val="21"/>
              </w:rPr>
            </w:pPr>
            <w:r>
              <w:rPr>
                <w:rFonts w:ascii="宋体"/>
                <w:w w:val="100"/>
                <w:sz w:val="21"/>
              </w:rPr>
              <w:t> </w:t>
            </w:r>
          </w:p>
        </w:tc>
        <w:tc>
          <w:tcPr>
            <w:tcW w:w="2656" w:type="dxa"/>
            <w:tcBorders>
              <w:top w:val="single" w:sz="4" w:space="0" w:color="000000"/>
              <w:left w:val="single" w:sz="4" w:space="0" w:color="000000"/>
              <w:bottom w:val="single" w:sz="4" w:space="0" w:color="000000"/>
            </w:tcBorders>
          </w:tcPr>
          <w:p>
            <w:pPr>
              <w:pStyle w:val="TableParagraph"/>
              <w:rPr>
                <w:sz w:val="20"/>
              </w:rPr>
            </w:pPr>
          </w:p>
        </w:tc>
      </w:tr>
      <w:tr>
        <w:trPr>
          <w:trHeight w:val="357" w:hRule="atLeast"/>
        </w:trPr>
        <w:tc>
          <w:tcPr>
            <w:tcW w:w="3349" w:type="dxa"/>
            <w:tcBorders>
              <w:top w:val="single" w:sz="4" w:space="0" w:color="000000"/>
              <w:bottom w:val="single" w:sz="4" w:space="0" w:color="000000"/>
              <w:right w:val="single" w:sz="4" w:space="0" w:color="000000"/>
            </w:tcBorders>
          </w:tcPr>
          <w:p>
            <w:pPr>
              <w:pStyle w:val="TableParagraph"/>
              <w:spacing w:before="44"/>
              <w:ind w:left="107"/>
              <w:rPr>
                <w:rFonts w:ascii="宋体" w:eastAsia="宋体" w:hint="eastAsia"/>
                <w:sz w:val="21"/>
              </w:rPr>
            </w:pPr>
            <w:r>
              <w:rPr>
                <w:rFonts w:ascii="宋体" w:eastAsia="宋体" w:hint="eastAsia"/>
                <w:sz w:val="21"/>
              </w:rPr>
              <w:t>其中：远期外汇合约</w:t>
            </w:r>
          </w:p>
        </w:tc>
        <w:tc>
          <w:tcPr>
            <w:tcW w:w="2778" w:type="dxa"/>
            <w:tcBorders>
              <w:top w:val="single" w:sz="4" w:space="0" w:color="000000"/>
              <w:left w:val="single" w:sz="4" w:space="0" w:color="000000"/>
              <w:bottom w:val="single" w:sz="4" w:space="0" w:color="000000"/>
              <w:right w:val="single" w:sz="4" w:space="0" w:color="000000"/>
            </w:tcBorders>
          </w:tcPr>
          <w:p>
            <w:pPr>
              <w:pStyle w:val="TableParagraph"/>
              <w:spacing w:before="51"/>
              <w:ind w:right="85"/>
              <w:jc w:val="right"/>
              <w:rPr>
                <w:sz w:val="21"/>
              </w:rPr>
            </w:pPr>
            <w:r>
              <w:rPr>
                <w:sz w:val="21"/>
              </w:rPr>
              <w:t>52,194,232.55</w:t>
            </w:r>
          </w:p>
        </w:tc>
        <w:tc>
          <w:tcPr>
            <w:tcW w:w="2656" w:type="dxa"/>
            <w:tcBorders>
              <w:top w:val="single" w:sz="4" w:space="0" w:color="000000"/>
              <w:left w:val="single" w:sz="4" w:space="0" w:color="000000"/>
              <w:bottom w:val="single" w:sz="4" w:space="0" w:color="000000"/>
            </w:tcBorders>
          </w:tcPr>
          <w:p>
            <w:pPr>
              <w:pStyle w:val="TableParagraph"/>
              <w:spacing w:before="44"/>
              <w:ind w:left="495"/>
              <w:rPr>
                <w:rFonts w:ascii="宋体" w:eastAsia="宋体" w:hint="eastAsia"/>
                <w:sz w:val="21"/>
              </w:rPr>
            </w:pPr>
            <w:r>
              <w:rPr>
                <w:rFonts w:ascii="宋体" w:eastAsia="宋体" w:hint="eastAsia"/>
                <w:sz w:val="21"/>
              </w:rPr>
              <w:t>类似产品银行报价</w:t>
            </w:r>
          </w:p>
        </w:tc>
      </w:tr>
      <w:tr>
        <w:trPr>
          <w:trHeight w:val="359" w:hRule="atLeast"/>
        </w:trPr>
        <w:tc>
          <w:tcPr>
            <w:tcW w:w="3349" w:type="dxa"/>
            <w:tcBorders>
              <w:top w:val="single" w:sz="4" w:space="0" w:color="000000"/>
              <w:bottom w:val="single" w:sz="4" w:space="0" w:color="000000"/>
              <w:right w:val="single" w:sz="4" w:space="0" w:color="000000"/>
            </w:tcBorders>
          </w:tcPr>
          <w:p>
            <w:pPr>
              <w:pStyle w:val="TableParagraph"/>
              <w:spacing w:before="46"/>
              <w:ind w:left="107"/>
              <w:rPr>
                <w:rFonts w:ascii="宋体" w:eastAsia="宋体" w:hint="eastAsia"/>
                <w:sz w:val="21"/>
              </w:rPr>
            </w:pPr>
            <w:r>
              <w:rPr>
                <w:rFonts w:ascii="宋体" w:eastAsia="宋体" w:hint="eastAsia"/>
                <w:sz w:val="21"/>
              </w:rPr>
              <w:t>远期商品合约</w:t>
            </w:r>
          </w:p>
        </w:tc>
        <w:tc>
          <w:tcPr>
            <w:tcW w:w="2778" w:type="dxa"/>
            <w:tcBorders>
              <w:top w:val="single" w:sz="4" w:space="0" w:color="000000"/>
              <w:left w:val="single" w:sz="4" w:space="0" w:color="000000"/>
              <w:bottom w:val="single" w:sz="4" w:space="0" w:color="000000"/>
              <w:right w:val="single" w:sz="4" w:space="0" w:color="000000"/>
            </w:tcBorders>
          </w:tcPr>
          <w:p>
            <w:pPr>
              <w:pStyle w:val="TableParagraph"/>
              <w:spacing w:before="53"/>
              <w:ind w:right="85"/>
              <w:jc w:val="right"/>
              <w:rPr>
                <w:sz w:val="21"/>
              </w:rPr>
            </w:pPr>
            <w:r>
              <w:rPr>
                <w:sz w:val="21"/>
              </w:rPr>
              <w:t>25,644,774.08</w:t>
            </w:r>
          </w:p>
        </w:tc>
        <w:tc>
          <w:tcPr>
            <w:tcW w:w="2656" w:type="dxa"/>
            <w:tcBorders>
              <w:top w:val="single" w:sz="4" w:space="0" w:color="000000"/>
              <w:left w:val="single" w:sz="4" w:space="0" w:color="000000"/>
              <w:bottom w:val="single" w:sz="4" w:space="0" w:color="000000"/>
            </w:tcBorders>
          </w:tcPr>
          <w:p>
            <w:pPr>
              <w:pStyle w:val="TableParagraph"/>
              <w:spacing w:before="46"/>
              <w:ind w:left="178"/>
              <w:rPr>
                <w:rFonts w:ascii="宋体" w:eastAsia="宋体" w:hint="eastAsia"/>
                <w:sz w:val="21"/>
              </w:rPr>
            </w:pPr>
            <w:r>
              <w:rPr>
                <w:rFonts w:ascii="宋体" w:eastAsia="宋体" w:hint="eastAsia"/>
                <w:sz w:val="21"/>
              </w:rPr>
              <w:t>类似商品期货交易所报价</w:t>
            </w:r>
          </w:p>
        </w:tc>
      </w:tr>
      <w:tr>
        <w:trPr>
          <w:trHeight w:val="359" w:hRule="atLeast"/>
        </w:trPr>
        <w:tc>
          <w:tcPr>
            <w:tcW w:w="3349" w:type="dxa"/>
            <w:tcBorders>
              <w:top w:val="single" w:sz="4" w:space="0" w:color="000000"/>
              <w:bottom w:val="single" w:sz="4" w:space="0" w:color="000000"/>
              <w:right w:val="single" w:sz="4" w:space="0" w:color="000000"/>
            </w:tcBorders>
          </w:tcPr>
          <w:p>
            <w:pPr>
              <w:pStyle w:val="TableParagraph"/>
              <w:spacing w:line="340" w:lineRule="exact"/>
              <w:ind w:left="107"/>
              <w:rPr>
                <w:rFonts w:ascii="Microsoft JhengHei" w:eastAsia="Microsoft JhengHei" w:hint="eastAsia"/>
                <w:b/>
                <w:sz w:val="21"/>
              </w:rPr>
            </w:pPr>
            <w:r>
              <w:rPr>
                <w:rFonts w:ascii="Microsoft JhengHei" w:eastAsia="Microsoft JhengHei" w:hint="eastAsia"/>
                <w:b/>
                <w:sz w:val="21"/>
              </w:rPr>
              <w:t>其他非流动资产</w:t>
            </w:r>
          </w:p>
        </w:tc>
        <w:tc>
          <w:tcPr>
            <w:tcW w:w="2778"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656" w:type="dxa"/>
            <w:tcBorders>
              <w:top w:val="single" w:sz="4" w:space="0" w:color="000000"/>
              <w:left w:val="single" w:sz="4" w:space="0" w:color="000000"/>
              <w:bottom w:val="single" w:sz="4" w:space="0" w:color="000000"/>
            </w:tcBorders>
          </w:tcPr>
          <w:p>
            <w:pPr>
              <w:pStyle w:val="TableParagraph"/>
              <w:rPr>
                <w:sz w:val="20"/>
              </w:rPr>
            </w:pPr>
          </w:p>
        </w:tc>
      </w:tr>
      <w:tr>
        <w:trPr>
          <w:trHeight w:val="602" w:hRule="atLeast"/>
        </w:trPr>
        <w:tc>
          <w:tcPr>
            <w:tcW w:w="3349" w:type="dxa"/>
            <w:tcBorders>
              <w:top w:val="single" w:sz="4" w:space="0" w:color="000000"/>
              <w:bottom w:val="single" w:sz="4" w:space="0" w:color="000000"/>
              <w:right w:val="single" w:sz="4" w:space="0" w:color="000000"/>
            </w:tcBorders>
          </w:tcPr>
          <w:p>
            <w:pPr>
              <w:pStyle w:val="TableParagraph"/>
              <w:spacing w:before="166"/>
              <w:ind w:left="107"/>
              <w:rPr>
                <w:rFonts w:ascii="宋体" w:eastAsia="宋体" w:hint="eastAsia"/>
                <w:sz w:val="21"/>
              </w:rPr>
            </w:pPr>
            <w:r>
              <w:rPr>
                <w:rFonts w:ascii="宋体" w:eastAsia="宋体" w:hint="eastAsia"/>
                <w:sz w:val="21"/>
              </w:rPr>
              <w:t>其中：其他非流动财务资产</w:t>
            </w:r>
          </w:p>
        </w:tc>
        <w:tc>
          <w:tcPr>
            <w:tcW w:w="2778" w:type="dxa"/>
            <w:tcBorders>
              <w:top w:val="single" w:sz="4" w:space="0" w:color="000000"/>
              <w:left w:val="single" w:sz="4" w:space="0" w:color="000000"/>
              <w:bottom w:val="single" w:sz="4" w:space="0" w:color="000000"/>
              <w:right w:val="single" w:sz="4" w:space="0" w:color="000000"/>
            </w:tcBorders>
          </w:tcPr>
          <w:p>
            <w:pPr>
              <w:pStyle w:val="TableParagraph"/>
              <w:spacing w:before="173"/>
              <w:ind w:right="85"/>
              <w:jc w:val="right"/>
              <w:rPr>
                <w:sz w:val="21"/>
              </w:rPr>
            </w:pPr>
            <w:r>
              <w:rPr>
                <w:sz w:val="21"/>
              </w:rPr>
              <w:t>46,832,494.61</w:t>
            </w:r>
          </w:p>
        </w:tc>
        <w:tc>
          <w:tcPr>
            <w:tcW w:w="2656" w:type="dxa"/>
            <w:tcBorders>
              <w:top w:val="single" w:sz="4" w:space="0" w:color="000000"/>
              <w:left w:val="single" w:sz="4" w:space="0" w:color="000000"/>
              <w:bottom w:val="single" w:sz="4" w:space="0" w:color="000000"/>
            </w:tcBorders>
          </w:tcPr>
          <w:p>
            <w:pPr>
              <w:pStyle w:val="TableParagraph"/>
              <w:spacing w:before="166"/>
              <w:ind w:left="809"/>
              <w:rPr>
                <w:rFonts w:ascii="宋体" w:eastAsia="宋体" w:hint="eastAsia"/>
                <w:sz w:val="21"/>
              </w:rPr>
            </w:pPr>
            <w:r>
              <w:rPr>
                <w:rFonts w:ascii="宋体" w:eastAsia="宋体" w:hint="eastAsia"/>
                <w:sz w:val="21"/>
              </w:rPr>
              <w:t>近期交易法</w:t>
            </w:r>
          </w:p>
        </w:tc>
      </w:tr>
      <w:tr>
        <w:trPr>
          <w:trHeight w:val="359" w:hRule="atLeast"/>
        </w:trPr>
        <w:tc>
          <w:tcPr>
            <w:tcW w:w="3349" w:type="dxa"/>
            <w:tcBorders>
              <w:top w:val="single" w:sz="4" w:space="0" w:color="000000"/>
              <w:bottom w:val="single" w:sz="4" w:space="0" w:color="000000"/>
              <w:right w:val="single" w:sz="4" w:space="0" w:color="000000"/>
            </w:tcBorders>
          </w:tcPr>
          <w:p>
            <w:pPr>
              <w:pStyle w:val="TableParagraph"/>
              <w:spacing w:line="340" w:lineRule="exact"/>
              <w:ind w:left="107"/>
              <w:rPr>
                <w:rFonts w:ascii="Microsoft JhengHei" w:eastAsia="Microsoft JhengHei" w:hint="eastAsia"/>
                <w:b/>
                <w:sz w:val="21"/>
              </w:rPr>
            </w:pPr>
            <w:r>
              <w:rPr>
                <w:rFonts w:ascii="Microsoft JhengHei" w:eastAsia="Microsoft JhengHei" w:hint="eastAsia"/>
                <w:b/>
                <w:sz w:val="21"/>
              </w:rPr>
              <w:t>交易性金融负债</w:t>
            </w:r>
          </w:p>
        </w:tc>
        <w:tc>
          <w:tcPr>
            <w:tcW w:w="2778" w:type="dxa"/>
            <w:tcBorders>
              <w:top w:val="single" w:sz="4" w:space="0" w:color="000000"/>
              <w:left w:val="single" w:sz="4" w:space="0" w:color="000000"/>
              <w:bottom w:val="single" w:sz="4" w:space="0" w:color="000000"/>
              <w:right w:val="single" w:sz="4" w:space="0" w:color="000000"/>
            </w:tcBorders>
          </w:tcPr>
          <w:p>
            <w:pPr>
              <w:pStyle w:val="TableParagraph"/>
              <w:spacing w:before="39"/>
              <w:ind w:right="-29"/>
              <w:jc w:val="right"/>
              <w:rPr>
                <w:rFonts w:ascii="宋体"/>
                <w:sz w:val="21"/>
              </w:rPr>
            </w:pPr>
            <w:r>
              <w:rPr>
                <w:rFonts w:ascii="宋体"/>
                <w:w w:val="100"/>
                <w:sz w:val="21"/>
              </w:rPr>
              <w:t> </w:t>
            </w:r>
          </w:p>
        </w:tc>
        <w:tc>
          <w:tcPr>
            <w:tcW w:w="2656" w:type="dxa"/>
            <w:tcBorders>
              <w:top w:val="single" w:sz="4" w:space="0" w:color="000000"/>
              <w:left w:val="single" w:sz="4" w:space="0" w:color="000000"/>
              <w:bottom w:val="single" w:sz="4" w:space="0" w:color="000000"/>
            </w:tcBorders>
          </w:tcPr>
          <w:p>
            <w:pPr>
              <w:pStyle w:val="TableParagraph"/>
              <w:rPr>
                <w:sz w:val="20"/>
              </w:rPr>
            </w:pPr>
          </w:p>
        </w:tc>
      </w:tr>
      <w:tr>
        <w:trPr>
          <w:trHeight w:val="357" w:hRule="atLeast"/>
        </w:trPr>
        <w:tc>
          <w:tcPr>
            <w:tcW w:w="3349" w:type="dxa"/>
            <w:tcBorders>
              <w:top w:val="single" w:sz="4" w:space="0" w:color="000000"/>
              <w:bottom w:val="single" w:sz="4" w:space="0" w:color="000000"/>
              <w:right w:val="single" w:sz="4" w:space="0" w:color="000000"/>
            </w:tcBorders>
          </w:tcPr>
          <w:p>
            <w:pPr>
              <w:pStyle w:val="TableParagraph"/>
              <w:spacing w:before="44"/>
              <w:ind w:left="107"/>
              <w:rPr>
                <w:rFonts w:ascii="宋体" w:eastAsia="宋体" w:hint="eastAsia"/>
                <w:sz w:val="21"/>
              </w:rPr>
            </w:pPr>
            <w:r>
              <w:rPr>
                <w:rFonts w:ascii="宋体" w:eastAsia="宋体" w:hint="eastAsia"/>
                <w:sz w:val="21"/>
              </w:rPr>
              <w:t>其中：远期外汇合约</w:t>
            </w:r>
          </w:p>
        </w:tc>
        <w:tc>
          <w:tcPr>
            <w:tcW w:w="2778" w:type="dxa"/>
            <w:tcBorders>
              <w:top w:val="single" w:sz="4" w:space="0" w:color="000000"/>
              <w:left w:val="single" w:sz="4" w:space="0" w:color="000000"/>
              <w:bottom w:val="single" w:sz="4" w:space="0" w:color="000000"/>
              <w:right w:val="single" w:sz="4" w:space="0" w:color="000000"/>
            </w:tcBorders>
          </w:tcPr>
          <w:p>
            <w:pPr>
              <w:pStyle w:val="TableParagraph"/>
              <w:spacing w:before="51"/>
              <w:ind w:right="85"/>
              <w:jc w:val="right"/>
              <w:rPr>
                <w:sz w:val="21"/>
              </w:rPr>
            </w:pPr>
            <w:r>
              <w:rPr>
                <w:sz w:val="21"/>
              </w:rPr>
              <w:t>26,952,508.66</w:t>
            </w:r>
          </w:p>
        </w:tc>
        <w:tc>
          <w:tcPr>
            <w:tcW w:w="2656" w:type="dxa"/>
            <w:tcBorders>
              <w:top w:val="single" w:sz="4" w:space="0" w:color="000000"/>
              <w:left w:val="single" w:sz="4" w:space="0" w:color="000000"/>
              <w:bottom w:val="single" w:sz="4" w:space="0" w:color="000000"/>
            </w:tcBorders>
          </w:tcPr>
          <w:p>
            <w:pPr>
              <w:pStyle w:val="TableParagraph"/>
              <w:spacing w:before="44"/>
              <w:ind w:left="495"/>
              <w:rPr>
                <w:rFonts w:ascii="宋体" w:eastAsia="宋体" w:hint="eastAsia"/>
                <w:sz w:val="21"/>
              </w:rPr>
            </w:pPr>
            <w:r>
              <w:rPr>
                <w:rFonts w:ascii="宋体" w:eastAsia="宋体" w:hint="eastAsia"/>
                <w:sz w:val="21"/>
              </w:rPr>
              <w:t>类似产品银行报价</w:t>
            </w:r>
          </w:p>
        </w:tc>
      </w:tr>
      <w:tr>
        <w:trPr>
          <w:trHeight w:val="360" w:hRule="atLeast"/>
        </w:trPr>
        <w:tc>
          <w:tcPr>
            <w:tcW w:w="3349" w:type="dxa"/>
            <w:tcBorders>
              <w:top w:val="single" w:sz="4" w:space="0" w:color="000000"/>
              <w:bottom w:val="single" w:sz="4" w:space="0" w:color="000000"/>
              <w:right w:val="single" w:sz="4" w:space="0" w:color="000000"/>
            </w:tcBorders>
          </w:tcPr>
          <w:p>
            <w:pPr>
              <w:pStyle w:val="TableParagraph"/>
              <w:spacing w:line="340" w:lineRule="exact"/>
              <w:ind w:left="107"/>
              <w:rPr>
                <w:rFonts w:ascii="Microsoft JhengHei" w:eastAsia="Microsoft JhengHei" w:hint="eastAsia"/>
                <w:b/>
                <w:sz w:val="21"/>
              </w:rPr>
            </w:pPr>
            <w:r>
              <w:rPr>
                <w:rFonts w:ascii="Microsoft JhengHei" w:eastAsia="Microsoft JhengHei" w:hint="eastAsia"/>
                <w:b/>
                <w:sz w:val="21"/>
              </w:rPr>
              <w:t>衍生金融负债</w:t>
            </w:r>
          </w:p>
        </w:tc>
        <w:tc>
          <w:tcPr>
            <w:tcW w:w="2778" w:type="dxa"/>
            <w:tcBorders>
              <w:top w:val="single" w:sz="4" w:space="0" w:color="000000"/>
              <w:left w:val="single" w:sz="4" w:space="0" w:color="000000"/>
              <w:bottom w:val="single" w:sz="4" w:space="0" w:color="000000"/>
              <w:right w:val="single" w:sz="4" w:space="0" w:color="000000"/>
            </w:tcBorders>
          </w:tcPr>
          <w:p>
            <w:pPr>
              <w:pStyle w:val="TableParagraph"/>
              <w:spacing w:before="40"/>
              <w:ind w:right="-29"/>
              <w:jc w:val="right"/>
              <w:rPr>
                <w:rFonts w:ascii="宋体"/>
                <w:sz w:val="21"/>
              </w:rPr>
            </w:pPr>
            <w:r>
              <w:rPr>
                <w:rFonts w:ascii="宋体"/>
                <w:w w:val="100"/>
                <w:sz w:val="21"/>
              </w:rPr>
              <w:t> </w:t>
            </w:r>
          </w:p>
        </w:tc>
        <w:tc>
          <w:tcPr>
            <w:tcW w:w="2656" w:type="dxa"/>
            <w:tcBorders>
              <w:top w:val="single" w:sz="4" w:space="0" w:color="000000"/>
              <w:left w:val="single" w:sz="4" w:space="0" w:color="000000"/>
              <w:bottom w:val="single" w:sz="4" w:space="0" w:color="000000"/>
            </w:tcBorders>
          </w:tcPr>
          <w:p>
            <w:pPr>
              <w:pStyle w:val="TableParagraph"/>
              <w:spacing w:before="40"/>
              <w:ind w:left="141"/>
              <w:jc w:val="center"/>
              <w:rPr>
                <w:rFonts w:ascii="宋体"/>
                <w:sz w:val="21"/>
              </w:rPr>
            </w:pPr>
            <w:r>
              <w:rPr>
                <w:rFonts w:ascii="宋体"/>
                <w:w w:val="100"/>
                <w:sz w:val="21"/>
              </w:rPr>
              <w:t> </w:t>
            </w:r>
          </w:p>
        </w:tc>
      </w:tr>
      <w:tr>
        <w:trPr>
          <w:trHeight w:val="359" w:hRule="atLeast"/>
        </w:trPr>
        <w:tc>
          <w:tcPr>
            <w:tcW w:w="3349" w:type="dxa"/>
            <w:tcBorders>
              <w:top w:val="single" w:sz="4" w:space="0" w:color="000000"/>
              <w:bottom w:val="single" w:sz="4" w:space="0" w:color="000000"/>
              <w:right w:val="single" w:sz="4" w:space="0" w:color="000000"/>
            </w:tcBorders>
          </w:tcPr>
          <w:p>
            <w:pPr>
              <w:pStyle w:val="TableParagraph"/>
              <w:spacing w:before="44"/>
              <w:ind w:left="107"/>
              <w:rPr>
                <w:rFonts w:ascii="宋体" w:eastAsia="宋体" w:hint="eastAsia"/>
                <w:sz w:val="21"/>
              </w:rPr>
            </w:pPr>
            <w:r>
              <w:rPr>
                <w:rFonts w:ascii="宋体" w:eastAsia="宋体" w:hint="eastAsia"/>
                <w:sz w:val="21"/>
              </w:rPr>
              <w:t>其中：远期外汇合约</w:t>
            </w:r>
          </w:p>
        </w:tc>
        <w:tc>
          <w:tcPr>
            <w:tcW w:w="2778" w:type="dxa"/>
            <w:tcBorders>
              <w:top w:val="single" w:sz="4" w:space="0" w:color="000000"/>
              <w:left w:val="single" w:sz="4" w:space="0" w:color="000000"/>
              <w:bottom w:val="single" w:sz="4" w:space="0" w:color="000000"/>
              <w:right w:val="single" w:sz="4" w:space="0" w:color="000000"/>
            </w:tcBorders>
          </w:tcPr>
          <w:p>
            <w:pPr>
              <w:pStyle w:val="TableParagraph"/>
              <w:spacing w:before="53"/>
              <w:ind w:right="85"/>
              <w:jc w:val="right"/>
              <w:rPr>
                <w:sz w:val="21"/>
              </w:rPr>
            </w:pPr>
            <w:r>
              <w:rPr>
                <w:sz w:val="21"/>
              </w:rPr>
              <w:t>188,695,788.30</w:t>
            </w:r>
          </w:p>
        </w:tc>
        <w:tc>
          <w:tcPr>
            <w:tcW w:w="2656" w:type="dxa"/>
            <w:tcBorders>
              <w:top w:val="single" w:sz="4" w:space="0" w:color="000000"/>
              <w:left w:val="single" w:sz="4" w:space="0" w:color="000000"/>
              <w:bottom w:val="single" w:sz="4" w:space="0" w:color="000000"/>
            </w:tcBorders>
          </w:tcPr>
          <w:p>
            <w:pPr>
              <w:pStyle w:val="TableParagraph"/>
              <w:spacing w:before="44"/>
              <w:ind w:left="495"/>
              <w:rPr>
                <w:rFonts w:ascii="宋体" w:eastAsia="宋体" w:hint="eastAsia"/>
                <w:sz w:val="21"/>
              </w:rPr>
            </w:pPr>
            <w:r>
              <w:rPr>
                <w:rFonts w:ascii="宋体" w:eastAsia="宋体" w:hint="eastAsia"/>
                <w:sz w:val="21"/>
              </w:rPr>
              <w:t>类似产品银行报价</w:t>
            </w:r>
          </w:p>
        </w:tc>
      </w:tr>
      <w:tr>
        <w:trPr>
          <w:trHeight w:val="356" w:hRule="atLeast"/>
        </w:trPr>
        <w:tc>
          <w:tcPr>
            <w:tcW w:w="3349" w:type="dxa"/>
            <w:tcBorders>
              <w:top w:val="single" w:sz="4" w:space="0" w:color="000000"/>
              <w:right w:val="single" w:sz="4" w:space="0" w:color="000000"/>
            </w:tcBorders>
          </w:tcPr>
          <w:p>
            <w:pPr>
              <w:pStyle w:val="TableParagraph"/>
              <w:spacing w:before="44"/>
              <w:ind w:left="738"/>
              <w:rPr>
                <w:rFonts w:ascii="宋体" w:eastAsia="宋体" w:hint="eastAsia"/>
                <w:sz w:val="21"/>
              </w:rPr>
            </w:pPr>
            <w:r>
              <w:rPr>
                <w:rFonts w:ascii="宋体" w:eastAsia="宋体" w:hint="eastAsia"/>
                <w:sz w:val="21"/>
              </w:rPr>
              <w:t>利率互换协议</w:t>
            </w:r>
          </w:p>
        </w:tc>
        <w:tc>
          <w:tcPr>
            <w:tcW w:w="2778" w:type="dxa"/>
            <w:tcBorders>
              <w:top w:val="single" w:sz="4" w:space="0" w:color="000000"/>
              <w:left w:val="single" w:sz="4" w:space="0" w:color="000000"/>
              <w:right w:val="single" w:sz="4" w:space="0" w:color="000000"/>
            </w:tcBorders>
          </w:tcPr>
          <w:p>
            <w:pPr>
              <w:pStyle w:val="TableParagraph"/>
              <w:spacing w:before="53"/>
              <w:ind w:right="85"/>
              <w:jc w:val="right"/>
              <w:rPr>
                <w:sz w:val="21"/>
              </w:rPr>
            </w:pPr>
            <w:r>
              <w:rPr>
                <w:sz w:val="21"/>
              </w:rPr>
              <w:t>50,886,744.60</w:t>
            </w:r>
          </w:p>
        </w:tc>
        <w:tc>
          <w:tcPr>
            <w:tcW w:w="2656" w:type="dxa"/>
            <w:tcBorders>
              <w:top w:val="single" w:sz="4" w:space="0" w:color="000000"/>
              <w:left w:val="single" w:sz="4" w:space="0" w:color="000000"/>
            </w:tcBorders>
          </w:tcPr>
          <w:p>
            <w:pPr>
              <w:pStyle w:val="TableParagraph"/>
              <w:spacing w:before="44"/>
              <w:ind w:left="495"/>
              <w:rPr>
                <w:rFonts w:ascii="宋体" w:eastAsia="宋体" w:hint="eastAsia"/>
                <w:sz w:val="21"/>
              </w:rPr>
            </w:pPr>
            <w:r>
              <w:rPr>
                <w:rFonts w:ascii="宋体" w:eastAsia="宋体" w:hint="eastAsia"/>
                <w:sz w:val="21"/>
              </w:rPr>
              <w:t>类似产品银行报价</w:t>
            </w:r>
          </w:p>
        </w:tc>
      </w:tr>
    </w:tbl>
    <w:p>
      <w:pPr>
        <w:pStyle w:val="BodyText"/>
        <w:spacing w:before="9"/>
        <w:rPr>
          <w:rFonts w:ascii="Microsoft JhengHei"/>
          <w:b/>
          <w:sz w:val="25"/>
        </w:rPr>
      </w:pPr>
    </w:p>
    <w:p>
      <w:pPr>
        <w:pStyle w:val="Heading4"/>
      </w:pPr>
      <w:r>
        <w:rPr>
          <w:rFonts w:ascii="Times New Roman" w:eastAsia="Times New Roman"/>
        </w:rPr>
        <w:t>3</w:t>
      </w:r>
      <w:r>
        <w:rPr/>
        <w:t>、持续第三层次公允价值计量重大项目，采用的估值技术和重要参数的信息</w:t>
      </w:r>
    </w:p>
    <w:p>
      <w:pPr>
        <w:pStyle w:val="BodyText"/>
        <w:spacing w:before="17" w:after="1"/>
        <w:rPr>
          <w:rFonts w:ascii="Microsoft JhengHei"/>
          <w:b/>
          <w:sz w:val="5"/>
        </w:r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13"/>
        <w:gridCol w:w="1587"/>
        <w:gridCol w:w="797"/>
        <w:gridCol w:w="1109"/>
        <w:gridCol w:w="1135"/>
        <w:gridCol w:w="3108"/>
      </w:tblGrid>
      <w:tr>
        <w:trPr>
          <w:trHeight w:val="699" w:hRule="atLeast"/>
        </w:trPr>
        <w:tc>
          <w:tcPr>
            <w:tcW w:w="1313" w:type="dxa"/>
            <w:tcBorders>
              <w:right w:val="single" w:sz="4" w:space="0" w:color="000000"/>
            </w:tcBorders>
          </w:tcPr>
          <w:p>
            <w:pPr>
              <w:pStyle w:val="TableParagraph"/>
              <w:spacing w:before="9"/>
              <w:rPr>
                <w:rFonts w:ascii="Microsoft JhengHei"/>
                <w:b/>
                <w:sz w:val="9"/>
              </w:rPr>
            </w:pPr>
          </w:p>
          <w:p>
            <w:pPr>
              <w:pStyle w:val="TableParagraph"/>
              <w:ind w:left="76" w:right="60"/>
              <w:jc w:val="center"/>
              <w:rPr>
                <w:rFonts w:ascii="Microsoft JhengHei" w:eastAsia="Microsoft JhengHei" w:hint="eastAsia"/>
                <w:b/>
                <w:sz w:val="18"/>
              </w:rPr>
            </w:pPr>
            <w:r>
              <w:rPr>
                <w:rFonts w:ascii="Microsoft JhengHei" w:eastAsia="Microsoft JhengHei" w:hint="eastAsia"/>
                <w:b/>
                <w:sz w:val="18"/>
              </w:rPr>
              <w:t>项目</w:t>
            </w:r>
          </w:p>
        </w:tc>
        <w:tc>
          <w:tcPr>
            <w:tcW w:w="1587" w:type="dxa"/>
            <w:tcBorders>
              <w:left w:val="single" w:sz="4" w:space="0" w:color="000000"/>
              <w:right w:val="single" w:sz="4" w:space="0" w:color="000000"/>
            </w:tcBorders>
          </w:tcPr>
          <w:p>
            <w:pPr>
              <w:pStyle w:val="TableParagraph"/>
              <w:spacing w:before="9"/>
              <w:rPr>
                <w:rFonts w:ascii="Microsoft JhengHei"/>
                <w:b/>
                <w:sz w:val="9"/>
              </w:rPr>
            </w:pPr>
          </w:p>
          <w:p>
            <w:pPr>
              <w:pStyle w:val="TableParagraph"/>
              <w:ind w:left="256"/>
              <w:rPr>
                <w:rFonts w:ascii="Microsoft JhengHei" w:eastAsia="Microsoft JhengHei" w:hint="eastAsia"/>
                <w:b/>
                <w:sz w:val="18"/>
              </w:rPr>
            </w:pPr>
            <w:r>
              <w:rPr>
                <w:rFonts w:ascii="Microsoft JhengHei" w:eastAsia="Microsoft JhengHei" w:hint="eastAsia"/>
                <w:b/>
                <w:sz w:val="18"/>
              </w:rPr>
              <w:t>期末公允价值</w:t>
            </w:r>
          </w:p>
        </w:tc>
        <w:tc>
          <w:tcPr>
            <w:tcW w:w="797" w:type="dxa"/>
            <w:tcBorders>
              <w:left w:val="single" w:sz="4" w:space="0" w:color="000000"/>
              <w:right w:val="single" w:sz="4" w:space="0" w:color="000000"/>
            </w:tcBorders>
          </w:tcPr>
          <w:p>
            <w:pPr>
              <w:pStyle w:val="TableParagraph"/>
              <w:spacing w:line="168" w:lineRule="auto" w:before="129"/>
              <w:ind w:left="316" w:right="106" w:hanging="180"/>
              <w:rPr>
                <w:rFonts w:ascii="Microsoft JhengHei" w:eastAsia="Microsoft JhengHei" w:hint="eastAsia"/>
                <w:b/>
                <w:sz w:val="18"/>
              </w:rPr>
            </w:pPr>
            <w:r>
              <w:rPr>
                <w:rFonts w:ascii="Microsoft JhengHei" w:eastAsia="Microsoft JhengHei" w:hint="eastAsia"/>
                <w:b/>
                <w:sz w:val="18"/>
              </w:rPr>
              <w:t>估值技术</w:t>
            </w:r>
          </w:p>
        </w:tc>
        <w:tc>
          <w:tcPr>
            <w:tcW w:w="1109" w:type="dxa"/>
            <w:tcBorders>
              <w:left w:val="single" w:sz="4" w:space="0" w:color="000000"/>
              <w:right w:val="single" w:sz="4" w:space="0" w:color="000000"/>
            </w:tcBorders>
          </w:tcPr>
          <w:p>
            <w:pPr>
              <w:pStyle w:val="TableParagraph"/>
              <w:spacing w:line="170" w:lineRule="auto" w:before="9"/>
              <w:ind w:left="200" w:right="173"/>
              <w:rPr>
                <w:rFonts w:ascii="Microsoft JhengHei" w:eastAsia="Microsoft JhengHei" w:hint="eastAsia"/>
                <w:b/>
                <w:sz w:val="18"/>
              </w:rPr>
            </w:pPr>
            <w:r>
              <w:rPr>
                <w:rFonts w:ascii="Microsoft JhengHei" w:eastAsia="Microsoft JhengHei" w:hint="eastAsia"/>
                <w:b/>
                <w:spacing w:val="-4"/>
                <w:sz w:val="18"/>
              </w:rPr>
              <w:t>重大无法观察的输</w:t>
            </w:r>
          </w:p>
          <w:p>
            <w:pPr>
              <w:pStyle w:val="TableParagraph"/>
              <w:spacing w:line="200" w:lineRule="exact"/>
              <w:ind w:left="289"/>
              <w:rPr>
                <w:rFonts w:ascii="Microsoft JhengHei" w:eastAsia="Microsoft JhengHei" w:hint="eastAsia"/>
                <w:b/>
                <w:sz w:val="18"/>
              </w:rPr>
            </w:pPr>
            <w:r>
              <w:rPr>
                <w:rFonts w:ascii="Microsoft JhengHei" w:eastAsia="Microsoft JhengHei" w:hint="eastAsia"/>
                <w:b/>
                <w:sz w:val="18"/>
              </w:rPr>
              <w:t>入数据</w:t>
            </w:r>
          </w:p>
        </w:tc>
        <w:tc>
          <w:tcPr>
            <w:tcW w:w="1135" w:type="dxa"/>
            <w:tcBorders>
              <w:left w:val="single" w:sz="4" w:space="0" w:color="000000"/>
              <w:right w:val="single" w:sz="4" w:space="0" w:color="000000"/>
            </w:tcBorders>
          </w:tcPr>
          <w:p>
            <w:pPr>
              <w:pStyle w:val="TableParagraph"/>
              <w:spacing w:before="9"/>
              <w:rPr>
                <w:rFonts w:ascii="Microsoft JhengHei"/>
                <w:b/>
                <w:sz w:val="9"/>
              </w:rPr>
            </w:pPr>
          </w:p>
          <w:p>
            <w:pPr>
              <w:pStyle w:val="TableParagraph"/>
              <w:ind w:left="395"/>
              <w:rPr>
                <w:rFonts w:ascii="Microsoft JhengHei" w:eastAsia="Microsoft JhengHei" w:hint="eastAsia"/>
                <w:b/>
                <w:sz w:val="18"/>
              </w:rPr>
            </w:pPr>
            <w:r>
              <w:rPr>
                <w:rFonts w:ascii="Microsoft JhengHei" w:eastAsia="Microsoft JhengHei" w:hint="eastAsia"/>
                <w:b/>
                <w:sz w:val="18"/>
              </w:rPr>
              <w:t>范围</w:t>
            </w:r>
          </w:p>
        </w:tc>
        <w:tc>
          <w:tcPr>
            <w:tcW w:w="3108" w:type="dxa"/>
            <w:tcBorders>
              <w:left w:val="single" w:sz="4" w:space="0" w:color="000000"/>
            </w:tcBorders>
          </w:tcPr>
          <w:p>
            <w:pPr>
              <w:pStyle w:val="TableParagraph"/>
              <w:spacing w:before="9"/>
              <w:rPr>
                <w:rFonts w:ascii="Microsoft JhengHei"/>
                <w:b/>
                <w:sz w:val="9"/>
              </w:rPr>
            </w:pPr>
          </w:p>
          <w:p>
            <w:pPr>
              <w:pStyle w:val="TableParagraph"/>
              <w:ind w:left="388"/>
              <w:rPr>
                <w:rFonts w:ascii="Microsoft JhengHei" w:eastAsia="Microsoft JhengHei" w:hint="eastAsia"/>
                <w:b/>
                <w:sz w:val="18"/>
              </w:rPr>
            </w:pPr>
            <w:r>
              <w:rPr>
                <w:rFonts w:ascii="Microsoft JhengHei" w:eastAsia="Microsoft JhengHei" w:hint="eastAsia"/>
                <w:b/>
                <w:sz w:val="18"/>
              </w:rPr>
              <w:t>输入数据对公允价值的敏感度</w:t>
            </w:r>
          </w:p>
        </w:tc>
      </w:tr>
    </w:tbl>
    <w:p>
      <w:pPr>
        <w:spacing w:after="0"/>
        <w:rPr>
          <w:rFonts w:ascii="Microsoft JhengHei" w:eastAsia="Microsoft JhengHei" w:hint="eastAsia"/>
          <w:sz w:val="18"/>
        </w:rPr>
        <w:sectPr>
          <w:pgSz w:w="11910" w:h="16840"/>
          <w:pgMar w:header="876" w:footer="1184" w:top="1440" w:bottom="1400" w:left="260" w:right="0"/>
        </w:sectPr>
      </w:pPr>
    </w:p>
    <w:p>
      <w:pPr>
        <w:pStyle w:val="BodyText"/>
        <w:spacing w:before="11"/>
        <w:rPr>
          <w:rFonts w:ascii="Microsoft JhengHei"/>
          <w:b/>
          <w:sz w:val="3"/>
        </w:r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13"/>
        <w:gridCol w:w="1587"/>
        <w:gridCol w:w="797"/>
        <w:gridCol w:w="1109"/>
        <w:gridCol w:w="1135"/>
        <w:gridCol w:w="3108"/>
      </w:tblGrid>
      <w:tr>
        <w:trPr>
          <w:trHeight w:val="597" w:hRule="atLeast"/>
        </w:trPr>
        <w:tc>
          <w:tcPr>
            <w:tcW w:w="1313" w:type="dxa"/>
            <w:tcBorders>
              <w:bottom w:val="single" w:sz="4" w:space="0" w:color="000000"/>
              <w:right w:val="single" w:sz="4" w:space="0" w:color="000000"/>
            </w:tcBorders>
          </w:tcPr>
          <w:p>
            <w:pPr>
              <w:pStyle w:val="TableParagraph"/>
              <w:spacing w:before="122"/>
              <w:ind w:left="105"/>
              <w:rPr>
                <w:rFonts w:ascii="Microsoft JhengHei" w:eastAsia="Microsoft JhengHei" w:hint="eastAsia"/>
                <w:b/>
                <w:sz w:val="18"/>
              </w:rPr>
            </w:pPr>
            <w:r>
              <w:rPr>
                <w:rFonts w:ascii="Microsoft JhengHei" w:eastAsia="Microsoft JhengHei" w:hint="eastAsia"/>
                <w:b/>
                <w:sz w:val="18"/>
              </w:rPr>
              <w:t>其他权益工具</w:t>
            </w:r>
          </w:p>
        </w:tc>
        <w:tc>
          <w:tcPr>
            <w:tcW w:w="1587" w:type="dxa"/>
            <w:tcBorders>
              <w:left w:val="single" w:sz="4" w:space="0" w:color="000000"/>
              <w:bottom w:val="single" w:sz="4" w:space="0" w:color="000000"/>
              <w:right w:val="single" w:sz="4" w:space="0" w:color="000000"/>
            </w:tcBorders>
          </w:tcPr>
          <w:p>
            <w:pPr>
              <w:pStyle w:val="TableParagraph"/>
              <w:rPr>
                <w:sz w:val="18"/>
              </w:rPr>
            </w:pPr>
          </w:p>
        </w:tc>
        <w:tc>
          <w:tcPr>
            <w:tcW w:w="797" w:type="dxa"/>
            <w:tcBorders>
              <w:left w:val="single" w:sz="4" w:space="0" w:color="000000"/>
              <w:bottom w:val="single" w:sz="4" w:space="0" w:color="000000"/>
              <w:right w:val="single" w:sz="4" w:space="0" w:color="000000"/>
            </w:tcBorders>
          </w:tcPr>
          <w:p>
            <w:pPr>
              <w:pStyle w:val="TableParagraph"/>
              <w:rPr>
                <w:sz w:val="18"/>
              </w:rPr>
            </w:pPr>
          </w:p>
        </w:tc>
        <w:tc>
          <w:tcPr>
            <w:tcW w:w="1109" w:type="dxa"/>
            <w:tcBorders>
              <w:left w:val="single" w:sz="4" w:space="0" w:color="000000"/>
              <w:bottom w:val="single" w:sz="4" w:space="0" w:color="000000"/>
              <w:right w:val="single" w:sz="4" w:space="0" w:color="000000"/>
            </w:tcBorders>
          </w:tcPr>
          <w:p>
            <w:pPr>
              <w:pStyle w:val="TableParagraph"/>
              <w:rPr>
                <w:sz w:val="18"/>
              </w:rPr>
            </w:pPr>
          </w:p>
        </w:tc>
        <w:tc>
          <w:tcPr>
            <w:tcW w:w="1135" w:type="dxa"/>
            <w:tcBorders>
              <w:left w:val="single" w:sz="4" w:space="0" w:color="000000"/>
              <w:bottom w:val="single" w:sz="4" w:space="0" w:color="000000"/>
              <w:right w:val="single" w:sz="4" w:space="0" w:color="000000"/>
            </w:tcBorders>
          </w:tcPr>
          <w:p>
            <w:pPr>
              <w:pStyle w:val="TableParagraph"/>
              <w:rPr>
                <w:sz w:val="18"/>
              </w:rPr>
            </w:pPr>
          </w:p>
        </w:tc>
        <w:tc>
          <w:tcPr>
            <w:tcW w:w="3108" w:type="dxa"/>
            <w:tcBorders>
              <w:left w:val="single" w:sz="4" w:space="0" w:color="000000"/>
              <w:bottom w:val="single" w:sz="4" w:space="0" w:color="000000"/>
            </w:tcBorders>
          </w:tcPr>
          <w:p>
            <w:pPr>
              <w:pStyle w:val="TableParagraph"/>
              <w:rPr>
                <w:sz w:val="18"/>
              </w:rPr>
            </w:pPr>
          </w:p>
        </w:tc>
      </w:tr>
      <w:tr>
        <w:trPr>
          <w:trHeight w:val="2385" w:hRule="atLeast"/>
        </w:trPr>
        <w:tc>
          <w:tcPr>
            <w:tcW w:w="1313" w:type="dxa"/>
            <w:tcBorders>
              <w:top w:val="single" w:sz="4" w:space="0" w:color="000000"/>
              <w:bottom w:val="single" w:sz="4" w:space="0" w:color="000000"/>
              <w:right w:val="single" w:sz="4" w:space="0" w:color="000000"/>
            </w:tcBorders>
          </w:tcPr>
          <w:p>
            <w:pPr>
              <w:pStyle w:val="TableParagraph"/>
              <w:rPr>
                <w:rFonts w:ascii="Microsoft JhengHei"/>
                <w:b/>
                <w:sz w:val="18"/>
              </w:rPr>
            </w:pPr>
          </w:p>
          <w:p>
            <w:pPr>
              <w:pStyle w:val="TableParagraph"/>
              <w:rPr>
                <w:rFonts w:ascii="Microsoft JhengHei"/>
                <w:b/>
                <w:sz w:val="18"/>
              </w:rPr>
            </w:pPr>
          </w:p>
          <w:p>
            <w:pPr>
              <w:pStyle w:val="TableParagraph"/>
              <w:spacing w:before="14"/>
              <w:rPr>
                <w:rFonts w:ascii="Microsoft JhengHei"/>
                <w:b/>
                <w:sz w:val="9"/>
              </w:rPr>
            </w:pPr>
          </w:p>
          <w:p>
            <w:pPr>
              <w:pStyle w:val="TableParagraph"/>
              <w:spacing w:line="242" w:lineRule="auto"/>
              <w:ind w:left="107" w:right="84"/>
              <w:jc w:val="both"/>
              <w:rPr>
                <w:rFonts w:ascii="宋体" w:eastAsia="宋体" w:hint="eastAsia"/>
                <w:sz w:val="18"/>
              </w:rPr>
            </w:pPr>
            <w:r>
              <w:rPr>
                <w:rFonts w:ascii="宋体" w:eastAsia="宋体" w:hint="eastAsia"/>
                <w:spacing w:val="-7"/>
                <w:sz w:val="18"/>
              </w:rPr>
              <w:t>其中：</w:t>
            </w:r>
            <w:r>
              <w:rPr>
                <w:spacing w:val="-18"/>
                <w:sz w:val="18"/>
              </w:rPr>
              <w:t>1</w:t>
            </w:r>
            <w:r>
              <w:rPr>
                <w:rFonts w:ascii="宋体" w:eastAsia="宋体" w:hint="eastAsia"/>
                <w:spacing w:val="-18"/>
                <w:sz w:val="18"/>
              </w:rPr>
              <w:t>、中国</w:t>
            </w:r>
            <w:r>
              <w:rPr>
                <w:rFonts w:ascii="宋体" w:eastAsia="宋体" w:hint="eastAsia"/>
                <w:sz w:val="18"/>
              </w:rPr>
              <w:t>石化销售股份有限公司</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rPr>
                <w:rFonts w:ascii="Microsoft JhengHei"/>
                <w:b/>
                <w:sz w:val="20"/>
              </w:rPr>
            </w:pPr>
          </w:p>
          <w:p>
            <w:pPr>
              <w:pStyle w:val="TableParagraph"/>
              <w:rPr>
                <w:rFonts w:ascii="Microsoft JhengHei"/>
                <w:b/>
                <w:sz w:val="20"/>
              </w:rPr>
            </w:pPr>
          </w:p>
          <w:p>
            <w:pPr>
              <w:pStyle w:val="TableParagraph"/>
              <w:spacing w:before="18"/>
              <w:rPr>
                <w:rFonts w:ascii="Microsoft JhengHei"/>
                <w:b/>
                <w:sz w:val="18"/>
              </w:rPr>
            </w:pPr>
          </w:p>
          <w:p>
            <w:pPr>
              <w:pStyle w:val="TableParagraph"/>
              <w:ind w:right="92"/>
              <w:jc w:val="right"/>
              <w:rPr>
                <w:sz w:val="18"/>
              </w:rPr>
            </w:pPr>
            <w:r>
              <w:rPr>
                <w:sz w:val="18"/>
              </w:rPr>
              <w:t>1,117,637,000.00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rPr>
                <w:rFonts w:ascii="Microsoft JhengHei"/>
                <w:b/>
                <w:sz w:val="18"/>
              </w:rPr>
            </w:pPr>
          </w:p>
          <w:p>
            <w:pPr>
              <w:pStyle w:val="TableParagraph"/>
              <w:rPr>
                <w:rFonts w:ascii="Microsoft JhengHei"/>
                <w:b/>
                <w:sz w:val="18"/>
              </w:rPr>
            </w:pPr>
          </w:p>
          <w:p>
            <w:pPr>
              <w:pStyle w:val="TableParagraph"/>
              <w:spacing w:before="10"/>
              <w:rPr>
                <w:rFonts w:ascii="Microsoft JhengHei"/>
                <w:b/>
                <w:sz w:val="22"/>
              </w:rPr>
            </w:pPr>
          </w:p>
          <w:p>
            <w:pPr>
              <w:pStyle w:val="TableParagraph"/>
              <w:spacing w:before="1"/>
              <w:ind w:right="106"/>
              <w:jc w:val="right"/>
              <w:rPr>
                <w:rFonts w:ascii="宋体" w:eastAsia="宋体" w:hint="eastAsia"/>
                <w:sz w:val="18"/>
              </w:rPr>
            </w:pPr>
            <w:r>
              <w:rPr>
                <w:rFonts w:ascii="宋体" w:eastAsia="宋体" w:hint="eastAsia"/>
                <w:sz w:val="18"/>
              </w:rPr>
              <w:t>市场法</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before="13"/>
              <w:rPr>
                <w:rFonts w:ascii="Microsoft JhengHei"/>
                <w:b/>
                <w:sz w:val="26"/>
              </w:rPr>
            </w:pPr>
          </w:p>
          <w:p>
            <w:pPr>
              <w:pStyle w:val="TableParagraph"/>
              <w:spacing w:line="242" w:lineRule="auto"/>
              <w:ind w:left="116" w:right="168"/>
              <w:rPr>
                <w:rFonts w:ascii="宋体" w:eastAsia="宋体" w:hint="eastAsia"/>
                <w:sz w:val="18"/>
              </w:rPr>
            </w:pPr>
            <w:r>
              <w:rPr>
                <w:sz w:val="18"/>
              </w:rPr>
              <w:t>1</w:t>
            </w:r>
            <w:r>
              <w:rPr>
                <w:rFonts w:ascii="宋体" w:eastAsia="宋体" w:hint="eastAsia"/>
                <w:sz w:val="18"/>
              </w:rPr>
              <w:t>、同行的平均市盈率倍数</w:t>
            </w:r>
          </w:p>
          <w:p>
            <w:pPr>
              <w:pStyle w:val="TableParagraph"/>
              <w:spacing w:line="242" w:lineRule="auto" w:before="2"/>
              <w:ind w:left="116" w:right="168"/>
              <w:rPr>
                <w:rFonts w:ascii="宋体" w:eastAsia="宋体" w:hint="eastAsia"/>
                <w:sz w:val="18"/>
              </w:rPr>
            </w:pPr>
            <w:r>
              <w:rPr>
                <w:sz w:val="18"/>
              </w:rPr>
              <w:t>2</w:t>
            </w:r>
            <w:r>
              <w:rPr>
                <w:rFonts w:ascii="宋体" w:eastAsia="宋体" w:hint="eastAsia"/>
                <w:sz w:val="18"/>
              </w:rPr>
              <w:t>、缺乏市场流动性折让</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rPr>
                <w:rFonts w:ascii="Microsoft JhengHei"/>
                <w:b/>
                <w:sz w:val="20"/>
              </w:rPr>
            </w:pPr>
          </w:p>
          <w:p>
            <w:pPr>
              <w:pStyle w:val="TableParagraph"/>
              <w:spacing w:before="9"/>
              <w:rPr>
                <w:rFonts w:ascii="Microsoft JhengHei"/>
                <w:b/>
                <w:sz w:val="19"/>
              </w:rPr>
            </w:pPr>
          </w:p>
          <w:p>
            <w:pPr>
              <w:pStyle w:val="TableParagraph"/>
              <w:spacing w:line="242" w:lineRule="auto" w:before="1"/>
              <w:ind w:left="117" w:right="330"/>
              <w:rPr>
                <w:sz w:val="18"/>
              </w:rPr>
            </w:pPr>
            <w:r>
              <w:rPr>
                <w:sz w:val="18"/>
              </w:rPr>
              <w:t>1</w:t>
            </w:r>
            <w:r>
              <w:rPr>
                <w:rFonts w:ascii="宋体" w:eastAsia="宋体" w:hint="eastAsia"/>
                <w:sz w:val="18"/>
              </w:rPr>
              <w:t>、</w:t>
            </w:r>
            <w:r>
              <w:rPr>
                <w:sz w:val="18"/>
              </w:rPr>
              <w:t>17.77 </w:t>
            </w:r>
            <w:r>
              <w:rPr>
                <w:rFonts w:ascii="宋体" w:eastAsia="宋体" w:hint="eastAsia"/>
                <w:sz w:val="18"/>
              </w:rPr>
              <w:t>至 </w:t>
            </w:r>
            <w:r>
              <w:rPr>
                <w:sz w:val="18"/>
              </w:rPr>
              <w:t>18.13 2</w:t>
            </w:r>
            <w:r>
              <w:rPr>
                <w:rFonts w:ascii="宋体" w:eastAsia="宋体" w:hint="eastAsia"/>
                <w:sz w:val="18"/>
              </w:rPr>
              <w:t>、</w:t>
            </w:r>
            <w:r>
              <w:rPr>
                <w:sz w:val="18"/>
              </w:rPr>
              <w:t>11% </w:t>
            </w:r>
            <w:r>
              <w:rPr>
                <w:rFonts w:ascii="宋体" w:eastAsia="宋体" w:hint="eastAsia"/>
                <w:sz w:val="18"/>
              </w:rPr>
              <w:t>至 </w:t>
            </w:r>
            <w:r>
              <w:rPr>
                <w:sz w:val="18"/>
              </w:rPr>
              <w:t>13%</w:t>
            </w:r>
          </w:p>
        </w:tc>
        <w:tc>
          <w:tcPr>
            <w:tcW w:w="3108" w:type="dxa"/>
            <w:tcBorders>
              <w:top w:val="single" w:sz="4" w:space="0" w:color="000000"/>
              <w:left w:val="single" w:sz="4" w:space="0" w:color="000000"/>
              <w:bottom w:val="single" w:sz="4" w:space="0" w:color="000000"/>
            </w:tcBorders>
          </w:tcPr>
          <w:p>
            <w:pPr>
              <w:pStyle w:val="TableParagraph"/>
              <w:spacing w:before="13"/>
              <w:rPr>
                <w:rFonts w:ascii="Microsoft JhengHei"/>
                <w:b/>
                <w:sz w:val="26"/>
              </w:rPr>
            </w:pPr>
          </w:p>
          <w:p>
            <w:pPr>
              <w:pStyle w:val="TableParagraph"/>
              <w:ind w:left="117"/>
              <w:rPr>
                <w:rFonts w:ascii="宋体" w:eastAsia="宋体" w:hint="eastAsia"/>
                <w:sz w:val="18"/>
              </w:rPr>
            </w:pPr>
            <w:r>
              <w:rPr>
                <w:sz w:val="18"/>
              </w:rPr>
              <w:t>1</w:t>
            </w:r>
            <w:r>
              <w:rPr>
                <w:rFonts w:ascii="宋体" w:eastAsia="宋体" w:hint="eastAsia"/>
                <w:sz w:val="18"/>
              </w:rPr>
              <w:t>、可比较公司的平均市盈率倍数增加</w:t>
            </w:r>
          </w:p>
          <w:p>
            <w:pPr>
              <w:pStyle w:val="TableParagraph"/>
              <w:spacing w:line="242" w:lineRule="auto" w:before="5"/>
              <w:ind w:left="117" w:right="15"/>
              <w:rPr>
                <w:rFonts w:ascii="宋体" w:eastAsia="宋体" w:hint="eastAsia"/>
                <w:sz w:val="18"/>
              </w:rPr>
            </w:pPr>
            <w:r>
              <w:rPr>
                <w:rFonts w:ascii="宋体" w:eastAsia="宋体" w:hint="eastAsia"/>
                <w:sz w:val="18"/>
              </w:rPr>
              <w:t>（減少）</w:t>
            </w:r>
            <w:r>
              <w:rPr>
                <w:sz w:val="18"/>
              </w:rPr>
              <w:t>1%</w:t>
            </w:r>
            <w:r>
              <w:rPr>
                <w:rFonts w:ascii="宋体" w:eastAsia="宋体" w:hint="eastAsia"/>
                <w:sz w:val="18"/>
              </w:rPr>
              <w:t>将导致公允价值增加（減少）人民币 </w:t>
            </w:r>
            <w:r>
              <w:rPr>
                <w:sz w:val="18"/>
              </w:rPr>
              <w:t>11,177,000.00 </w:t>
            </w:r>
            <w:r>
              <w:rPr>
                <w:rFonts w:ascii="宋体" w:eastAsia="宋体" w:hint="eastAsia"/>
                <w:sz w:val="18"/>
              </w:rPr>
              <w:t>元。</w:t>
            </w:r>
          </w:p>
          <w:p>
            <w:pPr>
              <w:pStyle w:val="TableParagraph"/>
              <w:spacing w:line="230" w:lineRule="exact"/>
              <w:ind w:left="117" w:right="-15"/>
              <w:rPr>
                <w:rFonts w:ascii="宋体" w:eastAsia="宋体" w:hint="eastAsia"/>
                <w:sz w:val="18"/>
              </w:rPr>
            </w:pPr>
            <w:r>
              <w:rPr>
                <w:sz w:val="18"/>
              </w:rPr>
              <w:t>2</w:t>
            </w:r>
            <w:r>
              <w:rPr>
                <w:rFonts w:ascii="宋体" w:eastAsia="宋体" w:hint="eastAsia"/>
                <w:sz w:val="18"/>
              </w:rPr>
              <w:t>、缺乏市场流通性折让增加（減少）</w:t>
            </w:r>
          </w:p>
          <w:p>
            <w:pPr>
              <w:pStyle w:val="TableParagraph"/>
              <w:spacing w:line="242" w:lineRule="auto" w:before="5"/>
              <w:ind w:left="117" w:right="15"/>
              <w:rPr>
                <w:rFonts w:ascii="宋体" w:eastAsia="宋体" w:hint="eastAsia"/>
                <w:sz w:val="18"/>
              </w:rPr>
            </w:pPr>
            <w:r>
              <w:rPr>
                <w:sz w:val="18"/>
              </w:rPr>
              <w:t>1%</w:t>
            </w:r>
            <w:r>
              <w:rPr>
                <w:rFonts w:ascii="宋体" w:eastAsia="宋体" w:hint="eastAsia"/>
                <w:sz w:val="18"/>
              </w:rPr>
              <w:t>将导致公允价值減少（增加）人民币 </w:t>
            </w:r>
            <w:r>
              <w:rPr>
                <w:sz w:val="18"/>
              </w:rPr>
              <w:t>12,701,000.00 </w:t>
            </w:r>
            <w:r>
              <w:rPr>
                <w:rFonts w:ascii="宋体" w:eastAsia="宋体" w:hint="eastAsia"/>
                <w:sz w:val="18"/>
              </w:rPr>
              <w:t>元。</w:t>
            </w:r>
          </w:p>
        </w:tc>
      </w:tr>
      <w:tr>
        <w:trPr>
          <w:trHeight w:val="2385" w:hRule="atLeast"/>
        </w:trPr>
        <w:tc>
          <w:tcPr>
            <w:tcW w:w="1313" w:type="dxa"/>
            <w:tcBorders>
              <w:top w:val="single" w:sz="4" w:space="0" w:color="000000"/>
              <w:right w:val="single" w:sz="4" w:space="0" w:color="000000"/>
            </w:tcBorders>
          </w:tcPr>
          <w:p>
            <w:pPr>
              <w:pStyle w:val="TableParagraph"/>
              <w:rPr>
                <w:rFonts w:ascii="Microsoft JhengHei"/>
                <w:b/>
                <w:sz w:val="18"/>
              </w:rPr>
            </w:pPr>
          </w:p>
          <w:p>
            <w:pPr>
              <w:pStyle w:val="TableParagraph"/>
              <w:rPr>
                <w:rFonts w:ascii="Microsoft JhengHei"/>
                <w:b/>
                <w:sz w:val="18"/>
              </w:rPr>
            </w:pPr>
          </w:p>
          <w:p>
            <w:pPr>
              <w:pStyle w:val="TableParagraph"/>
              <w:spacing w:before="15"/>
              <w:rPr>
                <w:rFonts w:ascii="Microsoft JhengHei"/>
                <w:b/>
                <w:sz w:val="9"/>
              </w:rPr>
            </w:pPr>
          </w:p>
          <w:p>
            <w:pPr>
              <w:pStyle w:val="TableParagraph"/>
              <w:spacing w:line="242" w:lineRule="auto"/>
              <w:ind w:left="107" w:right="86"/>
              <w:jc w:val="both"/>
              <w:rPr>
                <w:rFonts w:ascii="宋体" w:eastAsia="宋体" w:hint="eastAsia"/>
                <w:sz w:val="18"/>
              </w:rPr>
            </w:pPr>
            <w:r>
              <w:rPr>
                <w:sz w:val="18"/>
              </w:rPr>
              <w:t>2</w:t>
            </w:r>
            <w:r>
              <w:rPr>
                <w:rFonts w:ascii="宋体" w:eastAsia="宋体" w:hint="eastAsia"/>
                <w:spacing w:val="-16"/>
                <w:sz w:val="18"/>
              </w:rPr>
              <w:t>、海尔卡奥斯</w:t>
            </w:r>
            <w:r>
              <w:rPr>
                <w:rFonts w:ascii="宋体" w:eastAsia="宋体" w:hint="eastAsia"/>
                <w:sz w:val="18"/>
              </w:rPr>
              <w:t>物联生态科技有限公司</w:t>
            </w:r>
          </w:p>
        </w:tc>
        <w:tc>
          <w:tcPr>
            <w:tcW w:w="1587" w:type="dxa"/>
            <w:tcBorders>
              <w:top w:val="single" w:sz="4" w:space="0" w:color="000000"/>
              <w:left w:val="single" w:sz="4" w:space="0" w:color="000000"/>
              <w:right w:val="single" w:sz="4" w:space="0" w:color="000000"/>
            </w:tcBorders>
          </w:tcPr>
          <w:p>
            <w:pPr>
              <w:pStyle w:val="TableParagraph"/>
              <w:rPr>
                <w:rFonts w:ascii="Microsoft JhengHei"/>
                <w:b/>
                <w:sz w:val="20"/>
              </w:rPr>
            </w:pPr>
          </w:p>
          <w:p>
            <w:pPr>
              <w:pStyle w:val="TableParagraph"/>
              <w:rPr>
                <w:rFonts w:ascii="Microsoft JhengHei"/>
                <w:b/>
                <w:sz w:val="20"/>
              </w:rPr>
            </w:pPr>
          </w:p>
          <w:p>
            <w:pPr>
              <w:pStyle w:val="TableParagraph"/>
              <w:rPr>
                <w:rFonts w:ascii="Microsoft JhengHei"/>
                <w:b/>
                <w:sz w:val="19"/>
              </w:rPr>
            </w:pPr>
          </w:p>
          <w:p>
            <w:pPr>
              <w:pStyle w:val="TableParagraph"/>
              <w:ind w:right="90"/>
              <w:jc w:val="right"/>
              <w:rPr>
                <w:sz w:val="18"/>
              </w:rPr>
            </w:pPr>
            <w:r>
              <w:rPr>
                <w:sz w:val="18"/>
              </w:rPr>
              <w:t>1,396,555,521.94</w:t>
            </w:r>
          </w:p>
        </w:tc>
        <w:tc>
          <w:tcPr>
            <w:tcW w:w="797" w:type="dxa"/>
            <w:tcBorders>
              <w:top w:val="single" w:sz="4" w:space="0" w:color="000000"/>
              <w:left w:val="single" w:sz="4" w:space="0" w:color="000000"/>
              <w:right w:val="single" w:sz="4" w:space="0" w:color="000000"/>
            </w:tcBorders>
          </w:tcPr>
          <w:p>
            <w:pPr>
              <w:pStyle w:val="TableParagraph"/>
              <w:rPr>
                <w:rFonts w:ascii="Microsoft JhengHei"/>
                <w:b/>
                <w:sz w:val="18"/>
              </w:rPr>
            </w:pPr>
          </w:p>
          <w:p>
            <w:pPr>
              <w:pStyle w:val="TableParagraph"/>
              <w:rPr>
                <w:rFonts w:ascii="Microsoft JhengHei"/>
                <w:b/>
                <w:sz w:val="18"/>
              </w:rPr>
            </w:pPr>
          </w:p>
          <w:p>
            <w:pPr>
              <w:pStyle w:val="TableParagraph"/>
              <w:spacing w:before="11"/>
              <w:rPr>
                <w:rFonts w:ascii="Microsoft JhengHei"/>
                <w:b/>
                <w:sz w:val="22"/>
              </w:rPr>
            </w:pPr>
          </w:p>
          <w:p>
            <w:pPr>
              <w:pStyle w:val="TableParagraph"/>
              <w:ind w:right="106"/>
              <w:jc w:val="right"/>
              <w:rPr>
                <w:rFonts w:ascii="宋体" w:eastAsia="宋体" w:hint="eastAsia"/>
                <w:sz w:val="18"/>
              </w:rPr>
            </w:pPr>
            <w:r>
              <w:rPr>
                <w:rFonts w:ascii="宋体" w:eastAsia="宋体" w:hint="eastAsia"/>
                <w:sz w:val="18"/>
              </w:rPr>
              <w:t>市场法</w:t>
            </w:r>
          </w:p>
        </w:tc>
        <w:tc>
          <w:tcPr>
            <w:tcW w:w="1109" w:type="dxa"/>
            <w:tcBorders>
              <w:top w:val="single" w:sz="4" w:space="0" w:color="000000"/>
              <w:left w:val="single" w:sz="4" w:space="0" w:color="000000"/>
              <w:right w:val="single" w:sz="4" w:space="0" w:color="000000"/>
            </w:tcBorders>
          </w:tcPr>
          <w:p>
            <w:pPr>
              <w:pStyle w:val="TableParagraph"/>
              <w:spacing w:before="13"/>
              <w:rPr>
                <w:rFonts w:ascii="Microsoft JhengHei"/>
                <w:b/>
                <w:sz w:val="26"/>
              </w:rPr>
            </w:pPr>
          </w:p>
          <w:p>
            <w:pPr>
              <w:pStyle w:val="TableParagraph"/>
              <w:spacing w:line="244" w:lineRule="auto"/>
              <w:ind w:left="116" w:right="168"/>
              <w:rPr>
                <w:rFonts w:ascii="宋体" w:eastAsia="宋体" w:hint="eastAsia"/>
                <w:sz w:val="18"/>
              </w:rPr>
            </w:pPr>
            <w:r>
              <w:rPr>
                <w:sz w:val="18"/>
              </w:rPr>
              <w:t>1</w:t>
            </w:r>
            <w:r>
              <w:rPr>
                <w:rFonts w:ascii="宋体" w:eastAsia="宋体" w:hint="eastAsia"/>
                <w:sz w:val="18"/>
              </w:rPr>
              <w:t>、同行的平均市净率倍数</w:t>
            </w:r>
          </w:p>
          <w:p>
            <w:pPr>
              <w:pStyle w:val="TableParagraph"/>
              <w:spacing w:line="242" w:lineRule="auto"/>
              <w:ind w:left="116" w:right="168"/>
              <w:rPr>
                <w:rFonts w:ascii="宋体" w:eastAsia="宋体" w:hint="eastAsia"/>
                <w:sz w:val="18"/>
              </w:rPr>
            </w:pPr>
            <w:r>
              <w:rPr>
                <w:sz w:val="18"/>
              </w:rPr>
              <w:t>2</w:t>
            </w:r>
            <w:r>
              <w:rPr>
                <w:rFonts w:ascii="宋体" w:eastAsia="宋体" w:hint="eastAsia"/>
                <w:sz w:val="18"/>
              </w:rPr>
              <w:t>、缺乏市场流动性折让</w:t>
            </w:r>
          </w:p>
        </w:tc>
        <w:tc>
          <w:tcPr>
            <w:tcW w:w="1135" w:type="dxa"/>
            <w:tcBorders>
              <w:top w:val="single" w:sz="4" w:space="0" w:color="000000"/>
              <w:left w:val="single" w:sz="4" w:space="0" w:color="000000"/>
              <w:right w:val="single" w:sz="4" w:space="0" w:color="000000"/>
            </w:tcBorders>
          </w:tcPr>
          <w:p>
            <w:pPr>
              <w:pStyle w:val="TableParagraph"/>
              <w:rPr>
                <w:rFonts w:ascii="Microsoft JhengHei"/>
                <w:b/>
                <w:sz w:val="20"/>
              </w:rPr>
            </w:pPr>
          </w:p>
          <w:p>
            <w:pPr>
              <w:pStyle w:val="TableParagraph"/>
              <w:spacing w:before="10"/>
              <w:rPr>
                <w:rFonts w:ascii="Microsoft JhengHei"/>
                <w:b/>
                <w:sz w:val="19"/>
              </w:rPr>
            </w:pPr>
          </w:p>
          <w:p>
            <w:pPr>
              <w:pStyle w:val="TableParagraph"/>
              <w:spacing w:line="242" w:lineRule="auto"/>
              <w:ind w:left="117" w:right="401"/>
              <w:jc w:val="both"/>
              <w:rPr>
                <w:sz w:val="18"/>
              </w:rPr>
            </w:pPr>
            <w:r>
              <w:rPr>
                <w:sz w:val="18"/>
              </w:rPr>
              <w:t>1</w:t>
            </w:r>
            <w:r>
              <w:rPr>
                <w:rFonts w:ascii="宋体" w:eastAsia="宋体" w:hint="eastAsia"/>
                <w:sz w:val="18"/>
              </w:rPr>
              <w:t>、</w:t>
            </w:r>
            <w:r>
              <w:rPr>
                <w:sz w:val="18"/>
              </w:rPr>
              <w:t>2.93 </w:t>
            </w:r>
            <w:r>
              <w:rPr>
                <w:rFonts w:ascii="宋体" w:eastAsia="宋体" w:hint="eastAsia"/>
                <w:sz w:val="18"/>
              </w:rPr>
              <w:t>至 </w:t>
            </w:r>
            <w:r>
              <w:rPr>
                <w:sz w:val="18"/>
              </w:rPr>
              <w:t>2.99 2</w:t>
            </w:r>
            <w:r>
              <w:rPr>
                <w:rFonts w:ascii="宋体" w:eastAsia="宋体" w:hint="eastAsia"/>
                <w:sz w:val="18"/>
              </w:rPr>
              <w:t>、</w:t>
            </w:r>
            <w:r>
              <w:rPr>
                <w:sz w:val="18"/>
              </w:rPr>
              <w:t>36% </w:t>
            </w:r>
            <w:r>
              <w:rPr>
                <w:rFonts w:ascii="宋体" w:eastAsia="宋体" w:hint="eastAsia"/>
                <w:sz w:val="18"/>
              </w:rPr>
              <w:t>至 </w:t>
            </w:r>
            <w:r>
              <w:rPr>
                <w:sz w:val="18"/>
              </w:rPr>
              <w:t>38%</w:t>
            </w:r>
          </w:p>
        </w:tc>
        <w:tc>
          <w:tcPr>
            <w:tcW w:w="3108" w:type="dxa"/>
            <w:tcBorders>
              <w:top w:val="single" w:sz="4" w:space="0" w:color="000000"/>
              <w:left w:val="single" w:sz="4" w:space="0" w:color="000000"/>
            </w:tcBorders>
          </w:tcPr>
          <w:p>
            <w:pPr>
              <w:pStyle w:val="TableParagraph"/>
              <w:spacing w:before="13"/>
              <w:rPr>
                <w:rFonts w:ascii="Microsoft JhengHei"/>
                <w:b/>
                <w:sz w:val="26"/>
              </w:rPr>
            </w:pPr>
          </w:p>
          <w:p>
            <w:pPr>
              <w:pStyle w:val="TableParagraph"/>
              <w:ind w:left="117"/>
              <w:rPr>
                <w:rFonts w:ascii="宋体" w:eastAsia="宋体" w:hint="eastAsia"/>
                <w:sz w:val="18"/>
              </w:rPr>
            </w:pPr>
            <w:r>
              <w:rPr>
                <w:sz w:val="18"/>
              </w:rPr>
              <w:t>1</w:t>
            </w:r>
            <w:r>
              <w:rPr>
                <w:rFonts w:ascii="宋体" w:eastAsia="宋体" w:hint="eastAsia"/>
                <w:sz w:val="18"/>
              </w:rPr>
              <w:t>、可比较公司的平均市净率倍数增加</w:t>
            </w:r>
          </w:p>
          <w:p>
            <w:pPr>
              <w:pStyle w:val="TableParagraph"/>
              <w:spacing w:line="242" w:lineRule="auto" w:before="6"/>
              <w:ind w:left="117" w:right="15"/>
              <w:rPr>
                <w:rFonts w:ascii="宋体" w:eastAsia="宋体" w:hint="eastAsia"/>
                <w:sz w:val="18"/>
              </w:rPr>
            </w:pPr>
            <w:r>
              <w:rPr>
                <w:rFonts w:ascii="宋体" w:eastAsia="宋体" w:hint="eastAsia"/>
                <w:sz w:val="18"/>
              </w:rPr>
              <w:t>（減少）</w:t>
            </w:r>
            <w:r>
              <w:rPr>
                <w:sz w:val="18"/>
              </w:rPr>
              <w:t>1%</w:t>
            </w:r>
            <w:r>
              <w:rPr>
                <w:rFonts w:ascii="宋体" w:eastAsia="宋体" w:hint="eastAsia"/>
                <w:sz w:val="18"/>
              </w:rPr>
              <w:t>将导致公允价值增加（減少）人民币 </w:t>
            </w:r>
            <w:r>
              <w:rPr>
                <w:sz w:val="18"/>
              </w:rPr>
              <w:t>13,313,000.00 </w:t>
            </w:r>
            <w:r>
              <w:rPr>
                <w:rFonts w:ascii="宋体" w:eastAsia="宋体" w:hint="eastAsia"/>
                <w:sz w:val="18"/>
              </w:rPr>
              <w:t>元。</w:t>
            </w:r>
          </w:p>
          <w:p>
            <w:pPr>
              <w:pStyle w:val="TableParagraph"/>
              <w:spacing w:line="230" w:lineRule="exact"/>
              <w:ind w:left="117" w:right="-15"/>
              <w:rPr>
                <w:rFonts w:ascii="宋体" w:eastAsia="宋体" w:hint="eastAsia"/>
                <w:sz w:val="18"/>
              </w:rPr>
            </w:pPr>
            <w:r>
              <w:rPr>
                <w:sz w:val="18"/>
              </w:rPr>
              <w:t>2</w:t>
            </w:r>
            <w:r>
              <w:rPr>
                <w:rFonts w:ascii="宋体" w:eastAsia="宋体" w:hint="eastAsia"/>
                <w:sz w:val="18"/>
              </w:rPr>
              <w:t>、缺乏市场流通性折让增加（減少）</w:t>
            </w:r>
          </w:p>
          <w:p>
            <w:pPr>
              <w:pStyle w:val="TableParagraph"/>
              <w:spacing w:line="244" w:lineRule="auto" w:before="2"/>
              <w:ind w:left="117" w:right="15"/>
              <w:rPr>
                <w:rFonts w:ascii="宋体" w:eastAsia="宋体" w:hint="eastAsia"/>
                <w:sz w:val="18"/>
              </w:rPr>
            </w:pPr>
            <w:r>
              <w:rPr>
                <w:sz w:val="18"/>
              </w:rPr>
              <w:t>1%</w:t>
            </w:r>
            <w:r>
              <w:rPr>
                <w:rFonts w:ascii="宋体" w:eastAsia="宋体" w:hint="eastAsia"/>
                <w:sz w:val="18"/>
              </w:rPr>
              <w:t>将导致公允价值減少（增加）人民币 </w:t>
            </w:r>
            <w:r>
              <w:rPr>
                <w:sz w:val="18"/>
              </w:rPr>
              <w:t>21,188,000.00 </w:t>
            </w:r>
            <w:r>
              <w:rPr>
                <w:rFonts w:ascii="宋体" w:eastAsia="宋体" w:hint="eastAsia"/>
                <w:sz w:val="18"/>
              </w:rPr>
              <w:t>元。</w:t>
            </w:r>
          </w:p>
        </w:tc>
      </w:tr>
    </w:tbl>
    <w:p>
      <w:pPr>
        <w:pStyle w:val="BodyText"/>
        <w:spacing w:before="2"/>
        <w:rPr>
          <w:rFonts w:ascii="Microsoft JhengHei"/>
          <w:b/>
          <w:sz w:val="20"/>
        </w:rPr>
      </w:pPr>
    </w:p>
    <w:p>
      <w:pPr>
        <w:pStyle w:val="Heading4"/>
        <w:spacing w:before="9"/>
        <w:ind w:left="1898"/>
      </w:pPr>
      <w:r>
        <w:rPr>
          <w:rFonts w:ascii="Times New Roman" w:eastAsia="Times New Roman"/>
        </w:rPr>
        <w:t>4</w:t>
      </w:r>
      <w:r>
        <w:rPr/>
        <w:t>、不以公允价值计量的金融工具</w:t>
      </w:r>
    </w:p>
    <w:p>
      <w:pPr>
        <w:pStyle w:val="BodyText"/>
        <w:spacing w:before="17"/>
        <w:rPr>
          <w:rFonts w:ascii="Microsoft JhengHei"/>
          <w:b/>
          <w:sz w:val="5"/>
        </w:rPr>
      </w:pPr>
    </w:p>
    <w:tbl>
      <w:tblPr>
        <w:tblW w:w="0" w:type="auto"/>
        <w:jc w:val="left"/>
        <w:tblInd w:w="158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96"/>
        <w:gridCol w:w="2557"/>
        <w:gridCol w:w="2329"/>
      </w:tblGrid>
      <w:tr>
        <w:trPr>
          <w:trHeight w:val="416" w:hRule="atLeast"/>
        </w:trPr>
        <w:tc>
          <w:tcPr>
            <w:tcW w:w="3896" w:type="dxa"/>
            <w:tcBorders>
              <w:bottom w:val="single" w:sz="4" w:space="0" w:color="000000"/>
              <w:right w:val="single" w:sz="4" w:space="0" w:color="000000"/>
            </w:tcBorders>
          </w:tcPr>
          <w:p>
            <w:pPr>
              <w:pStyle w:val="TableParagraph"/>
              <w:spacing w:before="5"/>
              <w:ind w:left="1713" w:right="1703"/>
              <w:jc w:val="center"/>
              <w:rPr>
                <w:rFonts w:ascii="Microsoft JhengHei" w:eastAsia="Microsoft JhengHei" w:hint="eastAsia"/>
                <w:b/>
                <w:sz w:val="21"/>
              </w:rPr>
            </w:pPr>
            <w:r>
              <w:rPr>
                <w:rFonts w:ascii="Microsoft JhengHei" w:eastAsia="Microsoft JhengHei" w:hint="eastAsia"/>
                <w:b/>
                <w:sz w:val="21"/>
              </w:rPr>
              <w:t>项目</w:t>
            </w:r>
          </w:p>
        </w:tc>
        <w:tc>
          <w:tcPr>
            <w:tcW w:w="2557" w:type="dxa"/>
            <w:tcBorders>
              <w:left w:val="single" w:sz="4" w:space="0" w:color="000000"/>
              <w:bottom w:val="single" w:sz="4" w:space="0" w:color="000000"/>
              <w:right w:val="single" w:sz="4" w:space="0" w:color="000000"/>
            </w:tcBorders>
          </w:tcPr>
          <w:p>
            <w:pPr>
              <w:pStyle w:val="TableParagraph"/>
              <w:spacing w:before="5"/>
              <w:ind w:left="655"/>
              <w:rPr>
                <w:rFonts w:ascii="Microsoft JhengHei" w:eastAsia="Microsoft JhengHei" w:hint="eastAsia"/>
                <w:b/>
                <w:sz w:val="21"/>
              </w:rPr>
            </w:pPr>
            <w:r>
              <w:rPr>
                <w:rFonts w:ascii="Microsoft JhengHei" w:eastAsia="Microsoft JhengHei" w:hint="eastAsia"/>
                <w:b/>
                <w:sz w:val="21"/>
              </w:rPr>
              <w:t>期末账面价值</w:t>
            </w:r>
          </w:p>
        </w:tc>
        <w:tc>
          <w:tcPr>
            <w:tcW w:w="2329" w:type="dxa"/>
            <w:tcBorders>
              <w:left w:val="single" w:sz="4" w:space="0" w:color="000000"/>
              <w:bottom w:val="single" w:sz="4" w:space="0" w:color="000000"/>
            </w:tcBorders>
          </w:tcPr>
          <w:p>
            <w:pPr>
              <w:pStyle w:val="TableParagraph"/>
              <w:spacing w:before="5"/>
              <w:ind w:left="538"/>
              <w:rPr>
                <w:rFonts w:ascii="Microsoft JhengHei" w:eastAsia="Microsoft JhengHei" w:hint="eastAsia"/>
                <w:b/>
                <w:sz w:val="21"/>
              </w:rPr>
            </w:pPr>
            <w:r>
              <w:rPr>
                <w:rFonts w:ascii="Microsoft JhengHei" w:eastAsia="Microsoft JhengHei" w:hint="eastAsia"/>
                <w:b/>
                <w:sz w:val="21"/>
              </w:rPr>
              <w:t>期末公允价值</w:t>
            </w:r>
          </w:p>
        </w:tc>
      </w:tr>
      <w:tr>
        <w:trPr>
          <w:trHeight w:val="359" w:hRule="atLeast"/>
        </w:trPr>
        <w:tc>
          <w:tcPr>
            <w:tcW w:w="3896" w:type="dxa"/>
            <w:tcBorders>
              <w:top w:val="single" w:sz="4" w:space="0" w:color="000000"/>
              <w:right w:val="single" w:sz="4" w:space="0" w:color="000000"/>
            </w:tcBorders>
          </w:tcPr>
          <w:p>
            <w:pPr>
              <w:pStyle w:val="TableParagraph"/>
              <w:spacing w:before="46"/>
              <w:ind w:left="105"/>
              <w:rPr>
                <w:rFonts w:ascii="宋体" w:eastAsia="宋体" w:hint="eastAsia"/>
                <w:sz w:val="21"/>
              </w:rPr>
            </w:pPr>
            <w:r>
              <w:rPr>
                <w:rFonts w:ascii="宋体" w:eastAsia="宋体" w:hint="eastAsia"/>
                <w:sz w:val="21"/>
              </w:rPr>
              <w:t>应付债券（可转换公司债券）</w:t>
            </w:r>
          </w:p>
        </w:tc>
        <w:tc>
          <w:tcPr>
            <w:tcW w:w="2557" w:type="dxa"/>
            <w:tcBorders>
              <w:top w:val="single" w:sz="4" w:space="0" w:color="000000"/>
              <w:left w:val="single" w:sz="4" w:space="0" w:color="000000"/>
              <w:right w:val="single" w:sz="4" w:space="0" w:color="000000"/>
            </w:tcBorders>
          </w:tcPr>
          <w:p>
            <w:pPr>
              <w:pStyle w:val="TableParagraph"/>
              <w:spacing w:before="53"/>
              <w:ind w:left="986"/>
              <w:rPr>
                <w:sz w:val="21"/>
              </w:rPr>
            </w:pPr>
            <w:r>
              <w:rPr>
                <w:sz w:val="21"/>
              </w:rPr>
              <w:t>6,713,501,050.27</w:t>
            </w:r>
          </w:p>
        </w:tc>
        <w:tc>
          <w:tcPr>
            <w:tcW w:w="2329" w:type="dxa"/>
            <w:tcBorders>
              <w:top w:val="single" w:sz="4" w:space="0" w:color="000000"/>
              <w:left w:val="single" w:sz="4" w:space="0" w:color="000000"/>
            </w:tcBorders>
          </w:tcPr>
          <w:p>
            <w:pPr>
              <w:pStyle w:val="TableParagraph"/>
              <w:spacing w:before="53"/>
              <w:ind w:left="757"/>
              <w:rPr>
                <w:sz w:val="21"/>
              </w:rPr>
            </w:pPr>
            <w:r>
              <w:rPr>
                <w:sz w:val="21"/>
              </w:rPr>
              <w:t>6,746,725,887.00</w:t>
            </w:r>
          </w:p>
        </w:tc>
      </w:tr>
    </w:tbl>
    <w:p>
      <w:pPr>
        <w:pStyle w:val="BodyText"/>
        <w:spacing w:line="364" w:lineRule="auto" w:before="124"/>
        <w:ind w:left="1538" w:right="1270" w:firstLine="424"/>
        <w:jc w:val="both"/>
      </w:pPr>
      <w:r>
        <w:rPr>
          <w:spacing w:val="-3"/>
        </w:rPr>
        <w:t>不以公允价值计量的金融资产和金融负债包括：货币资金、应收票据、应收账款、其他应收</w:t>
      </w:r>
      <w:r>
        <w:rPr>
          <w:spacing w:val="-16"/>
        </w:rPr>
        <w:t>款、其他流动资产、长短期借款、应付票据、应付账款、其他应付款、长期应付款、应付债券等， </w:t>
      </w:r>
      <w:r>
        <w:rPr>
          <w:spacing w:val="-7"/>
        </w:rPr>
        <w:t>除上述披露应付债券账面价值和公允价值差异外，本期末不以公允价值计量的金融资产和金融负</w:t>
      </w:r>
      <w:r>
        <w:rPr>
          <w:spacing w:val="-5"/>
        </w:rPr>
        <w:t>债的账面价值与公允价值相差较小。</w:t>
      </w:r>
      <w:r>
        <w:rPr/>
        <w:t> </w:t>
      </w:r>
    </w:p>
    <w:p>
      <w:pPr>
        <w:pStyle w:val="BodyText"/>
        <w:spacing w:before="11"/>
        <w:rPr>
          <w:sz w:val="17"/>
        </w:rPr>
      </w:pPr>
    </w:p>
    <w:p>
      <w:pPr>
        <w:pStyle w:val="Heading4"/>
      </w:pPr>
      <w:r>
        <w:rPr/>
        <w:t>十二、 关联方及关联交易</w:t>
      </w:r>
    </w:p>
    <w:p>
      <w:pPr>
        <w:pStyle w:val="Heading4"/>
        <w:spacing w:before="56"/>
        <w:ind w:left="1950"/>
      </w:pPr>
      <w:r>
        <w:rPr/>
        <w:t>（一）关联方认定标准说明</w:t>
      </w:r>
    </w:p>
    <w:p>
      <w:pPr>
        <w:pStyle w:val="BodyText"/>
        <w:spacing w:before="8"/>
        <w:rPr>
          <w:rFonts w:ascii="Microsoft JhengHei"/>
          <w:b/>
          <w:sz w:val="14"/>
        </w:rPr>
      </w:pPr>
    </w:p>
    <w:p>
      <w:pPr>
        <w:pStyle w:val="BodyText"/>
        <w:spacing w:line="427" w:lineRule="auto"/>
        <w:ind w:left="1538" w:right="1267" w:firstLine="359"/>
        <w:jc w:val="both"/>
      </w:pPr>
      <w:r>
        <w:rPr>
          <w:spacing w:val="-7"/>
        </w:rPr>
        <w:t>根据《企业会计准则第 </w:t>
      </w:r>
      <w:r>
        <w:rPr>
          <w:rFonts w:ascii="Times New Roman" w:hAnsi="Times New Roman" w:eastAsia="Times New Roman"/>
        </w:rPr>
        <w:t>36 </w:t>
      </w:r>
      <w:r>
        <w:rPr/>
        <w:t>号</w:t>
      </w:r>
      <w:r>
        <w:rPr>
          <w:rFonts w:ascii="Times New Roman" w:hAnsi="Times New Roman" w:eastAsia="Times New Roman"/>
        </w:rPr>
        <w:t>—</w:t>
      </w:r>
      <w:r>
        <w:rPr>
          <w:spacing w:val="-7"/>
        </w:rPr>
        <w:t>关联方披露》，一方控制、共同控制另一方或对另一方施加重</w:t>
      </w:r>
      <w:r>
        <w:rPr>
          <w:spacing w:val="-5"/>
        </w:rPr>
        <w:t>大影响，以及两方或两方以上同受一方控制、共同控制或重大影响的，构成关联方。</w:t>
      </w:r>
    </w:p>
    <w:p>
      <w:pPr>
        <w:pStyle w:val="BodyText"/>
        <w:spacing w:line="427" w:lineRule="auto" w:before="3"/>
        <w:ind w:left="1538" w:right="1268" w:firstLine="359"/>
        <w:jc w:val="both"/>
      </w:pPr>
      <w:r>
        <w:rPr>
          <w:spacing w:val="-4"/>
        </w:rPr>
        <w:t>根据《上市公司信息披露管理办法》</w:t>
      </w:r>
      <w:r>
        <w:rPr>
          <w:spacing w:val="-3"/>
        </w:rPr>
        <w:t>（</w:t>
      </w:r>
      <w:r>
        <w:rPr>
          <w:spacing w:val="-6"/>
        </w:rPr>
        <w:t>中国证券监督管理委员会令第 </w:t>
      </w:r>
      <w:r>
        <w:rPr>
          <w:rFonts w:ascii="Times New Roman" w:eastAsia="Times New Roman"/>
        </w:rPr>
        <w:t>40 </w:t>
      </w:r>
      <w:r>
        <w:rPr/>
        <w:t>号</w:t>
      </w:r>
      <w:r>
        <w:rPr>
          <w:spacing w:val="-9"/>
        </w:rPr>
        <w:t>）</w:t>
      </w:r>
      <w:r>
        <w:rPr>
          <w:spacing w:val="-4"/>
        </w:rPr>
        <w:t>，将特定情形的</w:t>
      </w:r>
      <w:r>
        <w:rPr>
          <w:spacing w:val="-3"/>
        </w:rPr>
        <w:t>关联法人和关联自然人也认定为关联方。</w:t>
      </w:r>
    </w:p>
    <w:p>
      <w:pPr>
        <w:pStyle w:val="Heading4"/>
        <w:spacing w:line="305" w:lineRule="exact"/>
        <w:ind w:left="1950"/>
      </w:pPr>
      <w:r>
        <w:rPr/>
        <w:t>（二）关联方关系</w:t>
      </w:r>
    </w:p>
    <w:p>
      <w:pPr>
        <w:pStyle w:val="Heading4"/>
        <w:spacing w:before="27"/>
      </w:pPr>
      <w:r>
        <w:rPr>
          <w:rFonts w:ascii="Times New Roman" w:eastAsia="Times New Roman"/>
        </w:rPr>
        <w:t>1</w:t>
      </w:r>
      <w:r>
        <w:rPr/>
        <w:t>、 本公司的母公司及其他持有本公司股份的公司有关信息</w:t>
      </w:r>
    </w:p>
    <w:p>
      <w:pPr>
        <w:spacing w:after="0"/>
        <w:sectPr>
          <w:pgSz w:w="11910" w:h="16840"/>
          <w:pgMar w:header="876" w:footer="1184" w:top="1440" w:bottom="1400" w:left="260" w:right="0"/>
        </w:sectPr>
      </w:pPr>
    </w:p>
    <w:p>
      <w:pPr>
        <w:pStyle w:val="BodyText"/>
        <w:spacing w:before="11"/>
        <w:rPr>
          <w:rFonts w:ascii="Microsoft JhengHei"/>
          <w:b/>
          <w:sz w:val="3"/>
        </w:rPr>
      </w:pPr>
    </w:p>
    <w:tbl>
      <w:tblPr>
        <w:tblW w:w="0" w:type="auto"/>
        <w:jc w:val="left"/>
        <w:tblInd w:w="169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06"/>
        <w:gridCol w:w="920"/>
        <w:gridCol w:w="1179"/>
        <w:gridCol w:w="1275"/>
        <w:gridCol w:w="852"/>
        <w:gridCol w:w="869"/>
        <w:gridCol w:w="973"/>
        <w:gridCol w:w="1174"/>
      </w:tblGrid>
      <w:tr>
        <w:trPr>
          <w:trHeight w:val="467" w:hRule="atLeast"/>
        </w:trPr>
        <w:tc>
          <w:tcPr>
            <w:tcW w:w="1306" w:type="dxa"/>
            <w:tcBorders>
              <w:bottom w:val="single" w:sz="4" w:space="0" w:color="000000"/>
              <w:right w:val="single" w:sz="4" w:space="0" w:color="000000"/>
            </w:tcBorders>
          </w:tcPr>
          <w:p>
            <w:pPr>
              <w:pStyle w:val="TableParagraph"/>
              <w:spacing w:before="60"/>
              <w:ind w:left="87" w:right="72"/>
              <w:jc w:val="center"/>
              <w:rPr>
                <w:rFonts w:ascii="Microsoft JhengHei" w:eastAsia="Microsoft JhengHei" w:hint="eastAsia"/>
                <w:b/>
                <w:sz w:val="18"/>
              </w:rPr>
            </w:pPr>
            <w:r>
              <w:rPr>
                <w:rFonts w:ascii="Microsoft JhengHei" w:eastAsia="Microsoft JhengHei" w:hint="eastAsia"/>
                <w:b/>
                <w:sz w:val="18"/>
              </w:rPr>
              <w:t>企业名称</w:t>
            </w:r>
          </w:p>
        </w:tc>
        <w:tc>
          <w:tcPr>
            <w:tcW w:w="920" w:type="dxa"/>
            <w:tcBorders>
              <w:left w:val="single" w:sz="4" w:space="0" w:color="000000"/>
              <w:bottom w:val="single" w:sz="4" w:space="0" w:color="000000"/>
              <w:right w:val="single" w:sz="4" w:space="0" w:color="000000"/>
            </w:tcBorders>
          </w:tcPr>
          <w:p>
            <w:pPr>
              <w:pStyle w:val="TableParagraph"/>
              <w:spacing w:line="224" w:lineRule="exact"/>
              <w:ind w:left="174" w:right="155"/>
              <w:jc w:val="center"/>
              <w:rPr>
                <w:rFonts w:ascii="Microsoft JhengHei" w:eastAsia="Microsoft JhengHei" w:hint="eastAsia"/>
                <w:b/>
                <w:sz w:val="18"/>
              </w:rPr>
            </w:pPr>
            <w:r>
              <w:rPr>
                <w:rFonts w:ascii="Microsoft JhengHei" w:eastAsia="Microsoft JhengHei" w:hint="eastAsia"/>
                <w:b/>
                <w:sz w:val="18"/>
              </w:rPr>
              <w:t>企业类</w:t>
            </w:r>
          </w:p>
          <w:p>
            <w:pPr>
              <w:pStyle w:val="TableParagraph"/>
              <w:spacing w:line="223" w:lineRule="exact"/>
              <w:ind w:left="17"/>
              <w:jc w:val="center"/>
              <w:rPr>
                <w:rFonts w:ascii="Microsoft JhengHei" w:eastAsia="Microsoft JhengHei" w:hint="eastAsia"/>
                <w:b/>
                <w:sz w:val="18"/>
              </w:rPr>
            </w:pPr>
            <w:r>
              <w:rPr>
                <w:rFonts w:ascii="Microsoft JhengHei" w:eastAsia="Microsoft JhengHei" w:hint="eastAsia"/>
                <w:b/>
                <w:sz w:val="18"/>
              </w:rPr>
              <w:t>型</w:t>
            </w:r>
          </w:p>
        </w:tc>
        <w:tc>
          <w:tcPr>
            <w:tcW w:w="1179" w:type="dxa"/>
            <w:tcBorders>
              <w:left w:val="single" w:sz="4" w:space="0" w:color="000000"/>
              <w:bottom w:val="single" w:sz="4" w:space="0" w:color="000000"/>
              <w:right w:val="single" w:sz="4" w:space="0" w:color="000000"/>
            </w:tcBorders>
          </w:tcPr>
          <w:p>
            <w:pPr>
              <w:pStyle w:val="TableParagraph"/>
              <w:spacing w:before="60"/>
              <w:ind w:left="90" w:right="69"/>
              <w:jc w:val="center"/>
              <w:rPr>
                <w:rFonts w:ascii="Microsoft JhengHei" w:eastAsia="Microsoft JhengHei" w:hint="eastAsia"/>
                <w:b/>
                <w:sz w:val="18"/>
              </w:rPr>
            </w:pPr>
            <w:r>
              <w:rPr>
                <w:rFonts w:ascii="Microsoft JhengHei" w:eastAsia="Microsoft JhengHei" w:hint="eastAsia"/>
                <w:b/>
                <w:sz w:val="18"/>
              </w:rPr>
              <w:t>注册地址</w:t>
            </w:r>
          </w:p>
        </w:tc>
        <w:tc>
          <w:tcPr>
            <w:tcW w:w="1275" w:type="dxa"/>
            <w:tcBorders>
              <w:left w:val="single" w:sz="4" w:space="0" w:color="000000"/>
              <w:bottom w:val="single" w:sz="4" w:space="0" w:color="000000"/>
              <w:right w:val="single" w:sz="4" w:space="0" w:color="000000"/>
            </w:tcBorders>
          </w:tcPr>
          <w:p>
            <w:pPr>
              <w:pStyle w:val="TableParagraph"/>
              <w:spacing w:before="60"/>
              <w:ind w:left="281"/>
              <w:rPr>
                <w:rFonts w:ascii="Microsoft JhengHei" w:eastAsia="Microsoft JhengHei" w:hint="eastAsia"/>
                <w:b/>
                <w:sz w:val="18"/>
              </w:rPr>
            </w:pPr>
            <w:r>
              <w:rPr>
                <w:rFonts w:ascii="Microsoft JhengHei" w:eastAsia="Microsoft JhengHei" w:hint="eastAsia"/>
                <w:b/>
                <w:sz w:val="18"/>
              </w:rPr>
              <w:t>注册资本</w:t>
            </w:r>
          </w:p>
        </w:tc>
        <w:tc>
          <w:tcPr>
            <w:tcW w:w="852" w:type="dxa"/>
            <w:tcBorders>
              <w:left w:val="single" w:sz="4" w:space="0" w:color="000000"/>
              <w:bottom w:val="single" w:sz="4" w:space="0" w:color="000000"/>
              <w:right w:val="single" w:sz="4" w:space="0" w:color="000000"/>
            </w:tcBorders>
          </w:tcPr>
          <w:p>
            <w:pPr>
              <w:pStyle w:val="TableParagraph"/>
              <w:spacing w:line="224" w:lineRule="exact"/>
              <w:ind w:left="161"/>
              <w:rPr>
                <w:rFonts w:ascii="Microsoft JhengHei" w:eastAsia="Microsoft JhengHei" w:hint="eastAsia"/>
                <w:b/>
                <w:sz w:val="18"/>
              </w:rPr>
            </w:pPr>
            <w:r>
              <w:rPr>
                <w:rFonts w:ascii="Microsoft JhengHei" w:eastAsia="Microsoft JhengHei" w:hint="eastAsia"/>
                <w:b/>
                <w:sz w:val="18"/>
              </w:rPr>
              <w:t>法定代</w:t>
            </w:r>
          </w:p>
          <w:p>
            <w:pPr>
              <w:pStyle w:val="TableParagraph"/>
              <w:spacing w:line="223" w:lineRule="exact"/>
              <w:ind w:left="250"/>
              <w:rPr>
                <w:rFonts w:ascii="Microsoft JhengHei" w:eastAsia="Microsoft JhengHei" w:hint="eastAsia"/>
                <w:b/>
                <w:sz w:val="18"/>
              </w:rPr>
            </w:pPr>
            <w:r>
              <w:rPr>
                <w:rFonts w:ascii="Microsoft JhengHei" w:eastAsia="Microsoft JhengHei" w:hint="eastAsia"/>
                <w:b/>
                <w:sz w:val="18"/>
              </w:rPr>
              <w:t>表人</w:t>
            </w:r>
          </w:p>
        </w:tc>
        <w:tc>
          <w:tcPr>
            <w:tcW w:w="869" w:type="dxa"/>
            <w:tcBorders>
              <w:left w:val="single" w:sz="4" w:space="0" w:color="000000"/>
              <w:bottom w:val="single" w:sz="4" w:space="0" w:color="000000"/>
              <w:right w:val="single" w:sz="4" w:space="0" w:color="000000"/>
            </w:tcBorders>
          </w:tcPr>
          <w:p>
            <w:pPr>
              <w:pStyle w:val="TableParagraph"/>
              <w:spacing w:line="224" w:lineRule="exact"/>
              <w:ind w:left="168"/>
              <w:rPr>
                <w:rFonts w:ascii="Microsoft JhengHei" w:eastAsia="Microsoft JhengHei" w:hint="eastAsia"/>
                <w:b/>
                <w:sz w:val="18"/>
              </w:rPr>
            </w:pPr>
            <w:r>
              <w:rPr>
                <w:rFonts w:ascii="Microsoft JhengHei" w:eastAsia="Microsoft JhengHei" w:hint="eastAsia"/>
                <w:b/>
                <w:sz w:val="18"/>
              </w:rPr>
              <w:t>与本公</w:t>
            </w:r>
          </w:p>
          <w:p>
            <w:pPr>
              <w:pStyle w:val="TableParagraph"/>
              <w:spacing w:line="223" w:lineRule="exact"/>
              <w:ind w:left="166"/>
              <w:rPr>
                <w:rFonts w:ascii="Microsoft JhengHei" w:eastAsia="Microsoft JhengHei" w:hint="eastAsia"/>
                <w:b/>
                <w:sz w:val="18"/>
              </w:rPr>
            </w:pPr>
            <w:r>
              <w:rPr>
                <w:rFonts w:ascii="Microsoft JhengHei" w:eastAsia="Microsoft JhengHei" w:hint="eastAsia"/>
                <w:b/>
                <w:sz w:val="18"/>
              </w:rPr>
              <w:t>司关系</w:t>
            </w:r>
          </w:p>
        </w:tc>
        <w:tc>
          <w:tcPr>
            <w:tcW w:w="973" w:type="dxa"/>
            <w:tcBorders>
              <w:left w:val="single" w:sz="4" w:space="0" w:color="000000"/>
              <w:bottom w:val="single" w:sz="4" w:space="0" w:color="000000"/>
              <w:right w:val="single" w:sz="4" w:space="0" w:color="000000"/>
            </w:tcBorders>
          </w:tcPr>
          <w:p>
            <w:pPr>
              <w:pStyle w:val="TableParagraph"/>
              <w:spacing w:line="224" w:lineRule="exact"/>
              <w:ind w:left="132"/>
              <w:rPr>
                <w:rFonts w:ascii="Microsoft JhengHei" w:eastAsia="Microsoft JhengHei" w:hint="eastAsia"/>
                <w:b/>
                <w:sz w:val="18"/>
              </w:rPr>
            </w:pPr>
            <w:r>
              <w:rPr>
                <w:rFonts w:ascii="Microsoft JhengHei" w:eastAsia="Microsoft JhengHei" w:hint="eastAsia"/>
                <w:b/>
                <w:sz w:val="18"/>
              </w:rPr>
              <w:t>对本公司</w:t>
            </w:r>
          </w:p>
          <w:p>
            <w:pPr>
              <w:pStyle w:val="TableParagraph"/>
              <w:spacing w:line="223" w:lineRule="exact"/>
              <w:ind w:left="130"/>
              <w:rPr>
                <w:rFonts w:ascii="Microsoft JhengHei" w:eastAsia="Microsoft JhengHei" w:hint="eastAsia"/>
                <w:b/>
                <w:sz w:val="18"/>
              </w:rPr>
            </w:pPr>
            <w:r>
              <w:rPr>
                <w:rFonts w:ascii="Microsoft JhengHei" w:eastAsia="Microsoft JhengHei" w:hint="eastAsia"/>
                <w:b/>
                <w:sz w:val="18"/>
              </w:rPr>
              <w:t>持股比例</w:t>
            </w:r>
          </w:p>
        </w:tc>
        <w:tc>
          <w:tcPr>
            <w:tcW w:w="1174" w:type="dxa"/>
            <w:tcBorders>
              <w:left w:val="single" w:sz="4" w:space="0" w:color="000000"/>
              <w:bottom w:val="single" w:sz="4" w:space="0" w:color="000000"/>
            </w:tcBorders>
          </w:tcPr>
          <w:p>
            <w:pPr>
              <w:pStyle w:val="TableParagraph"/>
              <w:spacing w:line="224" w:lineRule="exact"/>
              <w:ind w:left="141"/>
              <w:rPr>
                <w:rFonts w:ascii="Microsoft JhengHei" w:eastAsia="Microsoft JhengHei" w:hint="eastAsia"/>
                <w:b/>
                <w:sz w:val="18"/>
              </w:rPr>
            </w:pPr>
            <w:r>
              <w:rPr>
                <w:rFonts w:ascii="Microsoft JhengHei" w:eastAsia="Microsoft JhengHei" w:hint="eastAsia"/>
                <w:b/>
                <w:sz w:val="18"/>
              </w:rPr>
              <w:t>对本公司表</w:t>
            </w:r>
          </w:p>
          <w:p>
            <w:pPr>
              <w:pStyle w:val="TableParagraph"/>
              <w:spacing w:line="223" w:lineRule="exact"/>
              <w:ind w:left="230"/>
              <w:rPr>
                <w:rFonts w:ascii="Microsoft JhengHei" w:eastAsia="Microsoft JhengHei" w:hint="eastAsia"/>
                <w:b/>
                <w:sz w:val="18"/>
              </w:rPr>
            </w:pPr>
            <w:r>
              <w:rPr>
                <w:rFonts w:ascii="Microsoft JhengHei" w:eastAsia="Microsoft JhengHei" w:hint="eastAsia"/>
                <w:b/>
                <w:sz w:val="18"/>
              </w:rPr>
              <w:t>决权比例</w:t>
            </w:r>
          </w:p>
        </w:tc>
      </w:tr>
      <w:tr>
        <w:trPr>
          <w:trHeight w:val="700" w:hRule="atLeast"/>
        </w:trPr>
        <w:tc>
          <w:tcPr>
            <w:tcW w:w="1306" w:type="dxa"/>
            <w:tcBorders>
              <w:top w:val="single" w:sz="4" w:space="0" w:color="000000"/>
              <w:bottom w:val="single" w:sz="4" w:space="0" w:color="000000"/>
              <w:right w:val="single" w:sz="4" w:space="0" w:color="000000"/>
            </w:tcBorders>
          </w:tcPr>
          <w:p>
            <w:pPr>
              <w:pStyle w:val="TableParagraph"/>
              <w:spacing w:before="14"/>
              <w:rPr>
                <w:rFonts w:ascii="Microsoft JhengHei"/>
                <w:b/>
                <w:sz w:val="12"/>
              </w:rPr>
            </w:pPr>
          </w:p>
          <w:p>
            <w:pPr>
              <w:pStyle w:val="TableParagraph"/>
              <w:ind w:left="87" w:right="79"/>
              <w:jc w:val="center"/>
              <w:rPr>
                <w:rFonts w:ascii="宋体" w:eastAsia="宋体" w:hint="eastAsia"/>
                <w:sz w:val="18"/>
              </w:rPr>
            </w:pPr>
            <w:r>
              <w:rPr>
                <w:rFonts w:ascii="宋体" w:eastAsia="宋体" w:hint="eastAsia"/>
                <w:sz w:val="18"/>
              </w:rPr>
              <w:t>海尔集团公司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2"/>
              <w:ind w:left="196" w:right="171"/>
              <w:jc w:val="center"/>
              <w:rPr>
                <w:rFonts w:ascii="宋体" w:eastAsia="宋体" w:hint="eastAsia"/>
                <w:sz w:val="18"/>
              </w:rPr>
            </w:pPr>
            <w:r>
              <w:rPr>
                <w:rFonts w:ascii="宋体" w:eastAsia="宋体" w:hint="eastAsia"/>
                <w:sz w:val="18"/>
              </w:rPr>
              <w:t>集体所有制企业</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17"/>
              <w:ind w:left="325" w:right="121" w:hanging="180"/>
              <w:rPr>
                <w:rFonts w:ascii="宋体" w:eastAsia="宋体" w:hint="eastAsia"/>
                <w:sz w:val="18"/>
              </w:rPr>
            </w:pPr>
            <w:r>
              <w:rPr>
                <w:rFonts w:ascii="宋体" w:eastAsia="宋体" w:hint="eastAsia"/>
                <w:sz w:val="18"/>
              </w:rPr>
              <w:t>青岛高科园海尔园</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3"/>
              <w:rPr>
                <w:rFonts w:ascii="Microsoft JhengHei"/>
                <w:b/>
                <w:sz w:val="13"/>
              </w:rPr>
            </w:pPr>
          </w:p>
          <w:p>
            <w:pPr>
              <w:pStyle w:val="TableParagraph"/>
              <w:ind w:right="88"/>
              <w:jc w:val="right"/>
              <w:rPr>
                <w:sz w:val="18"/>
              </w:rPr>
            </w:pPr>
            <w:r>
              <w:rPr>
                <w:sz w:val="18"/>
              </w:rPr>
              <w:t>311,180,000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14"/>
              <w:rPr>
                <w:rFonts w:ascii="Microsoft JhengHei"/>
                <w:b/>
                <w:sz w:val="12"/>
              </w:rPr>
            </w:pPr>
          </w:p>
          <w:p>
            <w:pPr>
              <w:pStyle w:val="TableParagraph"/>
              <w:ind w:left="143" w:right="118"/>
              <w:jc w:val="center"/>
              <w:rPr>
                <w:rFonts w:ascii="宋体" w:eastAsia="宋体" w:hint="eastAsia"/>
                <w:sz w:val="18"/>
              </w:rPr>
            </w:pPr>
            <w:r>
              <w:rPr>
                <w:rFonts w:ascii="宋体" w:eastAsia="宋体" w:hint="eastAsia"/>
                <w:sz w:val="18"/>
              </w:rPr>
              <w:t>张瑞敏</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before="14"/>
              <w:rPr>
                <w:rFonts w:ascii="Microsoft JhengHei"/>
                <w:b/>
                <w:sz w:val="12"/>
              </w:rPr>
            </w:pPr>
          </w:p>
          <w:p>
            <w:pPr>
              <w:pStyle w:val="TableParagraph"/>
              <w:ind w:left="168"/>
              <w:rPr>
                <w:rFonts w:ascii="宋体" w:eastAsia="宋体" w:hint="eastAsia"/>
                <w:sz w:val="18"/>
              </w:rPr>
            </w:pPr>
            <w:r>
              <w:rPr>
                <w:rFonts w:ascii="宋体" w:eastAsia="宋体" w:hint="eastAsia"/>
                <w:sz w:val="18"/>
              </w:rPr>
              <w:t>母公司</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3"/>
              <w:rPr>
                <w:rFonts w:ascii="Microsoft JhengHei"/>
                <w:b/>
                <w:sz w:val="13"/>
              </w:rPr>
            </w:pPr>
          </w:p>
          <w:p>
            <w:pPr>
              <w:pStyle w:val="TableParagraph"/>
              <w:ind w:left="271" w:right="246"/>
              <w:jc w:val="center"/>
              <w:rPr>
                <w:sz w:val="18"/>
              </w:rPr>
            </w:pPr>
            <w:r>
              <w:rPr>
                <w:sz w:val="18"/>
              </w:rPr>
              <w:t>11.88</w:t>
            </w:r>
          </w:p>
        </w:tc>
        <w:tc>
          <w:tcPr>
            <w:tcW w:w="1174" w:type="dxa"/>
            <w:tcBorders>
              <w:top w:val="single" w:sz="4" w:space="0" w:color="000000"/>
              <w:left w:val="single" w:sz="4" w:space="0" w:color="000000"/>
              <w:bottom w:val="single" w:sz="4" w:space="0" w:color="000000"/>
            </w:tcBorders>
          </w:tcPr>
          <w:p>
            <w:pPr>
              <w:pStyle w:val="TableParagraph"/>
              <w:spacing w:before="3"/>
              <w:rPr>
                <w:rFonts w:ascii="Microsoft JhengHei"/>
                <w:b/>
                <w:sz w:val="13"/>
              </w:rPr>
            </w:pPr>
          </w:p>
          <w:p>
            <w:pPr>
              <w:pStyle w:val="TableParagraph"/>
              <w:ind w:left="372" w:right="337"/>
              <w:jc w:val="center"/>
              <w:rPr>
                <w:sz w:val="18"/>
              </w:rPr>
            </w:pPr>
            <w:r>
              <w:rPr>
                <w:sz w:val="18"/>
              </w:rPr>
              <w:t>11.88</w:t>
            </w:r>
          </w:p>
        </w:tc>
      </w:tr>
      <w:tr>
        <w:trPr>
          <w:trHeight w:val="700" w:hRule="atLeast"/>
        </w:trPr>
        <w:tc>
          <w:tcPr>
            <w:tcW w:w="1306" w:type="dxa"/>
            <w:tcBorders>
              <w:top w:val="single" w:sz="4" w:space="0" w:color="000000"/>
              <w:bottom w:val="single" w:sz="4" w:space="0" w:color="000000"/>
              <w:right w:val="single" w:sz="4" w:space="0" w:color="000000"/>
            </w:tcBorders>
          </w:tcPr>
          <w:p>
            <w:pPr>
              <w:pStyle w:val="TableParagraph"/>
              <w:spacing w:line="242" w:lineRule="auto" w:before="117"/>
              <w:ind w:left="107" w:right="96"/>
              <w:rPr>
                <w:rFonts w:ascii="宋体" w:eastAsia="宋体" w:hint="eastAsia"/>
                <w:sz w:val="18"/>
              </w:rPr>
            </w:pPr>
            <w:r>
              <w:rPr>
                <w:rFonts w:ascii="宋体" w:eastAsia="宋体" w:hint="eastAsia"/>
                <w:sz w:val="18"/>
              </w:rPr>
              <w:t>海尔卡奥斯股份有限公司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17"/>
              <w:ind w:left="196" w:right="171"/>
              <w:rPr>
                <w:rFonts w:ascii="宋体" w:eastAsia="宋体" w:hint="eastAsia"/>
                <w:sz w:val="18"/>
              </w:rPr>
            </w:pPr>
            <w:r>
              <w:rPr>
                <w:rFonts w:ascii="宋体" w:eastAsia="宋体" w:hint="eastAsia"/>
                <w:sz w:val="18"/>
              </w:rPr>
              <w:t>股份有限公司</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17"/>
              <w:ind w:left="325" w:right="121" w:hanging="180"/>
              <w:rPr>
                <w:rFonts w:ascii="宋体" w:eastAsia="宋体" w:hint="eastAsia"/>
                <w:sz w:val="18"/>
              </w:rPr>
            </w:pPr>
            <w:r>
              <w:rPr>
                <w:rFonts w:ascii="宋体" w:eastAsia="宋体" w:hint="eastAsia"/>
                <w:sz w:val="18"/>
              </w:rPr>
              <w:t>青岛高科园海尔园</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3"/>
              <w:rPr>
                <w:rFonts w:ascii="Microsoft JhengHei"/>
                <w:b/>
                <w:sz w:val="13"/>
              </w:rPr>
            </w:pPr>
          </w:p>
          <w:p>
            <w:pPr>
              <w:pStyle w:val="TableParagraph"/>
              <w:ind w:right="88"/>
              <w:jc w:val="right"/>
              <w:rPr>
                <w:sz w:val="18"/>
              </w:rPr>
            </w:pPr>
            <w:r>
              <w:rPr>
                <w:sz w:val="18"/>
              </w:rPr>
              <w:t>631,930,635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14"/>
              <w:rPr>
                <w:rFonts w:ascii="Microsoft JhengHei"/>
                <w:b/>
                <w:sz w:val="12"/>
              </w:rPr>
            </w:pPr>
          </w:p>
          <w:p>
            <w:pPr>
              <w:pStyle w:val="TableParagraph"/>
              <w:ind w:left="143" w:right="118"/>
              <w:jc w:val="center"/>
              <w:rPr>
                <w:rFonts w:ascii="宋体" w:eastAsia="宋体" w:hint="eastAsia"/>
                <w:sz w:val="18"/>
              </w:rPr>
            </w:pPr>
            <w:r>
              <w:rPr>
                <w:rFonts w:ascii="宋体" w:eastAsia="宋体" w:hint="eastAsia"/>
                <w:sz w:val="18"/>
              </w:rPr>
              <w:t>张瑞敏</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2"/>
              <w:ind w:left="168" w:right="148"/>
              <w:jc w:val="center"/>
              <w:rPr>
                <w:rFonts w:ascii="宋体" w:eastAsia="宋体" w:hint="eastAsia"/>
                <w:sz w:val="18"/>
              </w:rPr>
            </w:pPr>
            <w:r>
              <w:rPr>
                <w:rFonts w:ascii="宋体" w:eastAsia="宋体" w:hint="eastAsia"/>
                <w:sz w:val="18"/>
              </w:rPr>
              <w:t>母公司的子公司</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3"/>
              <w:rPr>
                <w:rFonts w:ascii="Microsoft JhengHei"/>
                <w:b/>
                <w:sz w:val="13"/>
              </w:rPr>
            </w:pPr>
          </w:p>
          <w:p>
            <w:pPr>
              <w:pStyle w:val="TableParagraph"/>
              <w:ind w:left="271" w:right="246"/>
              <w:jc w:val="center"/>
              <w:rPr>
                <w:sz w:val="18"/>
              </w:rPr>
            </w:pPr>
            <w:r>
              <w:rPr>
                <w:sz w:val="18"/>
              </w:rPr>
              <w:t>13.94</w:t>
            </w:r>
          </w:p>
        </w:tc>
        <w:tc>
          <w:tcPr>
            <w:tcW w:w="1174" w:type="dxa"/>
            <w:tcBorders>
              <w:top w:val="single" w:sz="4" w:space="0" w:color="000000"/>
              <w:left w:val="single" w:sz="4" w:space="0" w:color="000000"/>
              <w:bottom w:val="single" w:sz="4" w:space="0" w:color="000000"/>
            </w:tcBorders>
          </w:tcPr>
          <w:p>
            <w:pPr>
              <w:pStyle w:val="TableParagraph"/>
              <w:spacing w:before="3"/>
              <w:rPr>
                <w:rFonts w:ascii="Microsoft JhengHei"/>
                <w:b/>
                <w:sz w:val="13"/>
              </w:rPr>
            </w:pPr>
          </w:p>
          <w:p>
            <w:pPr>
              <w:pStyle w:val="TableParagraph"/>
              <w:ind w:left="372" w:right="337"/>
              <w:jc w:val="center"/>
              <w:rPr>
                <w:sz w:val="18"/>
              </w:rPr>
            </w:pPr>
            <w:r>
              <w:rPr>
                <w:sz w:val="18"/>
              </w:rPr>
              <w:t>13.94</w:t>
            </w:r>
          </w:p>
        </w:tc>
      </w:tr>
      <w:tr>
        <w:trPr>
          <w:trHeight w:val="830" w:hRule="atLeast"/>
        </w:trPr>
        <w:tc>
          <w:tcPr>
            <w:tcW w:w="1306" w:type="dxa"/>
            <w:tcBorders>
              <w:top w:val="single" w:sz="4" w:space="0" w:color="000000"/>
              <w:bottom w:val="single" w:sz="4" w:space="0" w:color="000000"/>
              <w:right w:val="single" w:sz="4" w:space="0" w:color="000000"/>
            </w:tcBorders>
          </w:tcPr>
          <w:p>
            <w:pPr>
              <w:pStyle w:val="TableParagraph"/>
              <w:spacing w:line="204" w:lineRule="exact"/>
              <w:ind w:left="107"/>
              <w:rPr>
                <w:sz w:val="18"/>
              </w:rPr>
            </w:pPr>
            <w:r>
              <w:rPr>
                <w:sz w:val="18"/>
              </w:rPr>
              <w:t>HCH (HK)</w:t>
            </w:r>
          </w:p>
          <w:p>
            <w:pPr>
              <w:pStyle w:val="TableParagraph"/>
              <w:spacing w:line="206" w:lineRule="exact" w:before="3"/>
              <w:ind w:left="107" w:right="219"/>
              <w:rPr>
                <w:sz w:val="18"/>
              </w:rPr>
            </w:pPr>
            <w:r>
              <w:rPr>
                <w:sz w:val="18"/>
              </w:rPr>
              <w:t>Investment Management Co.,Limited</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64"/>
              <w:ind w:left="196" w:right="171"/>
              <w:jc w:val="both"/>
              <w:rPr>
                <w:rFonts w:ascii="宋体" w:eastAsia="宋体" w:hint="eastAsia"/>
                <w:sz w:val="18"/>
              </w:rPr>
            </w:pPr>
            <w:r>
              <w:rPr>
                <w:rFonts w:ascii="宋体" w:eastAsia="宋体" w:hint="eastAsia"/>
                <w:sz w:val="18"/>
              </w:rPr>
              <w:t>私人股份有限公司</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before="3"/>
              <w:rPr>
                <w:rFonts w:ascii="Microsoft JhengHei"/>
                <w:b/>
                <w:sz w:val="16"/>
              </w:rPr>
            </w:pPr>
          </w:p>
          <w:p>
            <w:pPr>
              <w:pStyle w:val="TableParagraph"/>
              <w:ind w:left="93" w:right="69"/>
              <w:jc w:val="center"/>
              <w:rPr>
                <w:rFonts w:ascii="宋体" w:eastAsia="宋体" w:hint="eastAsia"/>
                <w:sz w:val="18"/>
              </w:rPr>
            </w:pPr>
            <w:r>
              <w:rPr>
                <w:rFonts w:ascii="宋体" w:eastAsia="宋体" w:hint="eastAsia"/>
                <w:sz w:val="18"/>
              </w:rPr>
              <w:t>香港</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3"/>
              <w:rPr>
                <w:rFonts w:ascii="Microsoft JhengHei"/>
                <w:b/>
                <w:sz w:val="16"/>
              </w:rPr>
            </w:pPr>
          </w:p>
          <w:p>
            <w:pPr>
              <w:pStyle w:val="TableParagraph"/>
              <w:ind w:left="192"/>
              <w:rPr>
                <w:rFonts w:ascii="宋体" w:eastAsia="宋体" w:hint="eastAsia"/>
                <w:sz w:val="18"/>
              </w:rPr>
            </w:pPr>
            <w:r>
              <w:rPr>
                <w:sz w:val="18"/>
              </w:rPr>
              <w:t>10,000 </w:t>
            </w:r>
            <w:r>
              <w:rPr>
                <w:rFonts w:ascii="宋体" w:eastAsia="宋体" w:hint="eastAsia"/>
                <w:sz w:val="18"/>
              </w:rPr>
              <w:t>港币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12"/>
              <w:rPr>
                <w:rFonts w:ascii="Microsoft JhengHei"/>
                <w:b/>
                <w:sz w:val="16"/>
              </w:rPr>
            </w:pPr>
          </w:p>
          <w:p>
            <w:pPr>
              <w:pStyle w:val="TableParagraph"/>
              <w:ind w:left="25"/>
              <w:jc w:val="center"/>
              <w:rPr>
                <w:sz w:val="18"/>
              </w:rPr>
            </w:pPr>
            <w:r>
              <w:rPr>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64"/>
              <w:ind w:left="168" w:right="148"/>
              <w:jc w:val="both"/>
              <w:rPr>
                <w:rFonts w:ascii="宋体" w:eastAsia="宋体" w:hint="eastAsia"/>
                <w:sz w:val="18"/>
              </w:rPr>
            </w:pPr>
            <w:r>
              <w:rPr>
                <w:rFonts w:ascii="宋体" w:eastAsia="宋体" w:hint="eastAsia"/>
                <w:sz w:val="18"/>
              </w:rPr>
              <w:t>母公司的一致行动人</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12"/>
              <w:rPr>
                <w:rFonts w:ascii="Microsoft JhengHei"/>
                <w:b/>
                <w:sz w:val="16"/>
              </w:rPr>
            </w:pPr>
          </w:p>
          <w:p>
            <w:pPr>
              <w:pStyle w:val="TableParagraph"/>
              <w:ind w:left="271" w:right="246"/>
              <w:jc w:val="center"/>
              <w:rPr>
                <w:sz w:val="18"/>
              </w:rPr>
            </w:pPr>
            <w:r>
              <w:rPr>
                <w:sz w:val="18"/>
              </w:rPr>
              <w:t>5.97</w:t>
            </w:r>
          </w:p>
        </w:tc>
        <w:tc>
          <w:tcPr>
            <w:tcW w:w="1174" w:type="dxa"/>
            <w:tcBorders>
              <w:top w:val="single" w:sz="4" w:space="0" w:color="000000"/>
              <w:left w:val="single" w:sz="4" w:space="0" w:color="000000"/>
              <w:bottom w:val="single" w:sz="4" w:space="0" w:color="000000"/>
            </w:tcBorders>
          </w:tcPr>
          <w:p>
            <w:pPr>
              <w:pStyle w:val="TableParagraph"/>
              <w:spacing w:before="12"/>
              <w:rPr>
                <w:rFonts w:ascii="Microsoft JhengHei"/>
                <w:b/>
                <w:sz w:val="16"/>
              </w:rPr>
            </w:pPr>
          </w:p>
          <w:p>
            <w:pPr>
              <w:pStyle w:val="TableParagraph"/>
              <w:ind w:left="372" w:right="337"/>
              <w:jc w:val="center"/>
              <w:rPr>
                <w:sz w:val="18"/>
              </w:rPr>
            </w:pPr>
            <w:r>
              <w:rPr>
                <w:sz w:val="18"/>
              </w:rPr>
              <w:t>5.97</w:t>
            </w:r>
          </w:p>
        </w:tc>
      </w:tr>
      <w:tr>
        <w:trPr>
          <w:trHeight w:val="697" w:hRule="atLeast"/>
        </w:trPr>
        <w:tc>
          <w:tcPr>
            <w:tcW w:w="1306" w:type="dxa"/>
            <w:tcBorders>
              <w:top w:val="single" w:sz="4" w:space="0" w:color="000000"/>
              <w:bottom w:val="single" w:sz="4" w:space="0" w:color="000000"/>
              <w:right w:val="single" w:sz="4" w:space="0" w:color="000000"/>
            </w:tcBorders>
          </w:tcPr>
          <w:p>
            <w:pPr>
              <w:pStyle w:val="TableParagraph"/>
              <w:spacing w:line="242" w:lineRule="auto"/>
              <w:ind w:left="107" w:right="96"/>
              <w:rPr>
                <w:rFonts w:ascii="宋体" w:eastAsia="宋体" w:hint="eastAsia"/>
                <w:sz w:val="18"/>
              </w:rPr>
            </w:pPr>
            <w:r>
              <w:rPr>
                <w:rFonts w:ascii="宋体" w:eastAsia="宋体" w:hint="eastAsia"/>
                <w:sz w:val="18"/>
              </w:rPr>
              <w:t>青岛海尔创业投资咨询有限</w:t>
            </w:r>
          </w:p>
          <w:p>
            <w:pPr>
              <w:pStyle w:val="TableParagraph"/>
              <w:spacing w:line="212" w:lineRule="exact"/>
              <w:ind w:left="107"/>
              <w:rPr>
                <w:rFonts w:ascii="宋体" w:eastAsia="宋体" w:hint="eastAsia"/>
                <w:sz w:val="18"/>
              </w:rPr>
            </w:pPr>
            <w:r>
              <w:rPr>
                <w:rFonts w:ascii="宋体" w:eastAsia="宋体" w:hint="eastAsia"/>
                <w:sz w:val="18"/>
              </w:rPr>
              <w:t>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15"/>
              <w:ind w:left="196" w:right="171"/>
              <w:rPr>
                <w:rFonts w:ascii="宋体" w:eastAsia="宋体" w:hint="eastAsia"/>
                <w:sz w:val="18"/>
              </w:rPr>
            </w:pPr>
            <w:r>
              <w:rPr>
                <w:rFonts w:ascii="宋体" w:eastAsia="宋体" w:hint="eastAsia"/>
                <w:sz w:val="18"/>
              </w:rPr>
              <w:t>有限责任公司</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15"/>
              <w:ind w:left="505" w:right="121" w:hanging="360"/>
              <w:rPr>
                <w:rFonts w:ascii="宋体" w:eastAsia="宋体" w:hint="eastAsia"/>
                <w:sz w:val="18"/>
              </w:rPr>
            </w:pPr>
            <w:r>
              <w:rPr>
                <w:rFonts w:ascii="宋体" w:eastAsia="宋体" w:hint="eastAsia"/>
                <w:sz w:val="18"/>
              </w:rPr>
              <w:t>青岛市保税区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rPr>
                <w:rFonts w:ascii="Microsoft JhengHei"/>
                <w:b/>
                <w:sz w:val="13"/>
              </w:rPr>
            </w:pPr>
          </w:p>
          <w:p>
            <w:pPr>
              <w:pStyle w:val="TableParagraph"/>
              <w:ind w:right="88"/>
              <w:jc w:val="right"/>
              <w:rPr>
                <w:sz w:val="18"/>
              </w:rPr>
            </w:pPr>
            <w:r>
              <w:rPr>
                <w:sz w:val="18"/>
              </w:rPr>
              <w:t>923,000,000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11"/>
              <w:rPr>
                <w:rFonts w:ascii="Microsoft JhengHei"/>
                <w:b/>
                <w:sz w:val="12"/>
              </w:rPr>
            </w:pPr>
          </w:p>
          <w:p>
            <w:pPr>
              <w:pStyle w:val="TableParagraph"/>
              <w:spacing w:before="1"/>
              <w:ind w:left="143" w:right="118"/>
              <w:jc w:val="center"/>
              <w:rPr>
                <w:rFonts w:ascii="宋体" w:eastAsia="宋体" w:hint="eastAsia"/>
                <w:sz w:val="18"/>
              </w:rPr>
            </w:pPr>
            <w:r>
              <w:rPr>
                <w:rFonts w:ascii="宋体" w:eastAsia="宋体" w:hint="eastAsia"/>
                <w:sz w:val="18"/>
              </w:rPr>
              <w:t>周云杰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ind w:left="168" w:right="148"/>
              <w:rPr>
                <w:rFonts w:ascii="宋体" w:eastAsia="宋体" w:hint="eastAsia"/>
                <w:sz w:val="18"/>
              </w:rPr>
            </w:pPr>
            <w:r>
              <w:rPr>
                <w:rFonts w:ascii="宋体" w:eastAsia="宋体" w:hint="eastAsia"/>
                <w:spacing w:val="-6"/>
                <w:sz w:val="18"/>
              </w:rPr>
              <w:t>母公司的一致</w:t>
            </w:r>
          </w:p>
          <w:p>
            <w:pPr>
              <w:pStyle w:val="TableParagraph"/>
              <w:spacing w:line="212" w:lineRule="exact"/>
              <w:ind w:left="168"/>
              <w:rPr>
                <w:rFonts w:ascii="宋体" w:eastAsia="宋体" w:hint="eastAsia"/>
                <w:sz w:val="18"/>
              </w:rPr>
            </w:pPr>
            <w:r>
              <w:rPr>
                <w:rFonts w:ascii="宋体" w:eastAsia="宋体" w:hint="eastAsia"/>
                <w:sz w:val="18"/>
              </w:rPr>
              <w:t>行动人</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rPr>
                <w:rFonts w:ascii="Microsoft JhengHei"/>
                <w:b/>
                <w:sz w:val="13"/>
              </w:rPr>
            </w:pPr>
          </w:p>
          <w:p>
            <w:pPr>
              <w:pStyle w:val="TableParagraph"/>
              <w:ind w:left="271" w:right="246"/>
              <w:jc w:val="center"/>
              <w:rPr>
                <w:sz w:val="18"/>
              </w:rPr>
            </w:pPr>
            <w:r>
              <w:rPr>
                <w:sz w:val="18"/>
              </w:rPr>
              <w:t>1.91</w:t>
            </w:r>
          </w:p>
        </w:tc>
        <w:tc>
          <w:tcPr>
            <w:tcW w:w="1174" w:type="dxa"/>
            <w:tcBorders>
              <w:top w:val="single" w:sz="4" w:space="0" w:color="000000"/>
              <w:left w:val="single" w:sz="4" w:space="0" w:color="000000"/>
              <w:bottom w:val="single" w:sz="4" w:space="0" w:color="000000"/>
            </w:tcBorders>
          </w:tcPr>
          <w:p>
            <w:pPr>
              <w:pStyle w:val="TableParagraph"/>
              <w:rPr>
                <w:rFonts w:ascii="Microsoft JhengHei"/>
                <w:b/>
                <w:sz w:val="13"/>
              </w:rPr>
            </w:pPr>
          </w:p>
          <w:p>
            <w:pPr>
              <w:pStyle w:val="TableParagraph"/>
              <w:ind w:left="372" w:right="337"/>
              <w:jc w:val="center"/>
              <w:rPr>
                <w:sz w:val="18"/>
              </w:rPr>
            </w:pPr>
            <w:r>
              <w:rPr>
                <w:sz w:val="18"/>
              </w:rPr>
              <w:t>1.91</w:t>
            </w:r>
          </w:p>
        </w:tc>
      </w:tr>
      <w:tr>
        <w:trPr>
          <w:trHeight w:val="701" w:hRule="atLeast"/>
        </w:trPr>
        <w:tc>
          <w:tcPr>
            <w:tcW w:w="1306" w:type="dxa"/>
            <w:tcBorders>
              <w:top w:val="single" w:sz="4" w:space="0" w:color="000000"/>
              <w:bottom w:val="single" w:sz="4" w:space="0" w:color="000000"/>
              <w:right w:val="single" w:sz="4" w:space="0" w:color="000000"/>
            </w:tcBorders>
          </w:tcPr>
          <w:p>
            <w:pPr>
              <w:pStyle w:val="TableParagraph"/>
              <w:spacing w:line="242" w:lineRule="auto" w:before="2"/>
              <w:ind w:left="107" w:right="96"/>
              <w:rPr>
                <w:rFonts w:ascii="宋体" w:eastAsia="宋体" w:hint="eastAsia"/>
                <w:sz w:val="18"/>
              </w:rPr>
            </w:pPr>
            <w:r>
              <w:rPr>
                <w:rFonts w:ascii="宋体" w:eastAsia="宋体" w:hint="eastAsia"/>
                <w:spacing w:val="-3"/>
                <w:sz w:val="18"/>
              </w:rPr>
              <w:t>青岛海创智管</w:t>
            </w:r>
            <w:r>
              <w:rPr>
                <w:rFonts w:ascii="宋体" w:eastAsia="宋体" w:hint="eastAsia"/>
                <w:sz w:val="18"/>
              </w:rPr>
              <w:t>理咨询企业</w:t>
            </w:r>
          </w:p>
          <w:p>
            <w:pPr>
              <w:pStyle w:val="TableParagraph"/>
              <w:spacing w:line="213" w:lineRule="exact"/>
              <w:ind w:left="107"/>
              <w:rPr>
                <w:sz w:val="18"/>
              </w:rPr>
            </w:pPr>
            <w:r>
              <w:rPr>
                <w:sz w:val="18"/>
              </w:rPr>
              <w:t>(</w:t>
            </w:r>
            <w:r>
              <w:rPr>
                <w:rFonts w:ascii="宋体" w:eastAsia="宋体" w:hint="eastAsia"/>
                <w:sz w:val="18"/>
              </w:rPr>
              <w:t>有限合伙</w:t>
            </w:r>
            <w:r>
              <w:rPr>
                <w:sz w:val="18"/>
              </w:rPr>
              <w:t>)</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17"/>
              <w:ind w:left="196" w:right="171"/>
              <w:rPr>
                <w:rFonts w:ascii="宋体" w:eastAsia="宋体" w:hint="eastAsia"/>
                <w:sz w:val="18"/>
              </w:rPr>
            </w:pPr>
            <w:r>
              <w:rPr>
                <w:rFonts w:ascii="宋体" w:eastAsia="宋体" w:hint="eastAsia"/>
                <w:sz w:val="18"/>
              </w:rPr>
              <w:t>有限合伙企业</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17"/>
              <w:ind w:left="325" w:right="121" w:hanging="180"/>
              <w:rPr>
                <w:rFonts w:ascii="宋体" w:eastAsia="宋体" w:hint="eastAsia"/>
                <w:sz w:val="18"/>
              </w:rPr>
            </w:pPr>
            <w:r>
              <w:rPr>
                <w:rFonts w:ascii="宋体" w:eastAsia="宋体" w:hint="eastAsia"/>
                <w:sz w:val="18"/>
              </w:rPr>
              <w:t>青岛高科园海尔园</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3"/>
              <w:rPr>
                <w:rFonts w:ascii="Microsoft JhengHei"/>
                <w:b/>
                <w:sz w:val="13"/>
              </w:rPr>
            </w:pPr>
          </w:p>
          <w:p>
            <w:pPr>
              <w:pStyle w:val="TableParagraph"/>
              <w:ind w:right="88"/>
              <w:jc w:val="right"/>
              <w:rPr>
                <w:sz w:val="18"/>
              </w:rPr>
            </w:pPr>
            <w:r>
              <w:rPr>
                <w:sz w:val="18"/>
              </w:rPr>
              <w:t>1,053,306,000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14"/>
              <w:rPr>
                <w:rFonts w:ascii="Microsoft JhengHei"/>
                <w:b/>
                <w:sz w:val="12"/>
              </w:rPr>
            </w:pPr>
          </w:p>
          <w:p>
            <w:pPr>
              <w:pStyle w:val="TableParagraph"/>
              <w:spacing w:before="1"/>
              <w:ind w:left="143" w:right="118"/>
              <w:jc w:val="center"/>
              <w:rPr>
                <w:rFonts w:ascii="宋体" w:eastAsia="宋体" w:hint="eastAsia"/>
                <w:sz w:val="18"/>
              </w:rPr>
            </w:pPr>
            <w:r>
              <w:rPr>
                <w:rFonts w:ascii="宋体" w:eastAsia="宋体" w:hint="eastAsia"/>
                <w:sz w:val="18"/>
              </w:rPr>
              <w:t>张瑞敏</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before="2"/>
              <w:ind w:left="168"/>
              <w:rPr>
                <w:rFonts w:ascii="宋体" w:eastAsia="宋体" w:hint="eastAsia"/>
                <w:sz w:val="18"/>
              </w:rPr>
            </w:pPr>
            <w:r>
              <w:rPr>
                <w:rFonts w:ascii="宋体" w:eastAsia="宋体" w:hint="eastAsia"/>
                <w:sz w:val="18"/>
              </w:rPr>
              <w:t>母公司</w:t>
            </w:r>
          </w:p>
          <w:p>
            <w:pPr>
              <w:pStyle w:val="TableParagraph"/>
              <w:spacing w:line="230" w:lineRule="atLeast" w:before="3"/>
              <w:ind w:left="168" w:right="148"/>
              <w:rPr>
                <w:rFonts w:ascii="宋体" w:eastAsia="宋体" w:hint="eastAsia"/>
                <w:sz w:val="18"/>
              </w:rPr>
            </w:pPr>
            <w:r>
              <w:rPr>
                <w:rFonts w:ascii="宋体" w:eastAsia="宋体" w:hint="eastAsia"/>
                <w:spacing w:val="-6"/>
                <w:sz w:val="18"/>
              </w:rPr>
              <w:t>的一致行动人</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3"/>
              <w:rPr>
                <w:rFonts w:ascii="Microsoft JhengHei"/>
                <w:b/>
                <w:sz w:val="13"/>
              </w:rPr>
            </w:pPr>
          </w:p>
          <w:p>
            <w:pPr>
              <w:pStyle w:val="TableParagraph"/>
              <w:ind w:left="271" w:right="246"/>
              <w:jc w:val="center"/>
              <w:rPr>
                <w:sz w:val="18"/>
              </w:rPr>
            </w:pPr>
            <w:r>
              <w:rPr>
                <w:sz w:val="18"/>
              </w:rPr>
              <w:t>0.81</w:t>
            </w:r>
          </w:p>
        </w:tc>
        <w:tc>
          <w:tcPr>
            <w:tcW w:w="1174" w:type="dxa"/>
            <w:tcBorders>
              <w:top w:val="single" w:sz="4" w:space="0" w:color="000000"/>
              <w:left w:val="single" w:sz="4" w:space="0" w:color="000000"/>
              <w:bottom w:val="single" w:sz="4" w:space="0" w:color="000000"/>
            </w:tcBorders>
          </w:tcPr>
          <w:p>
            <w:pPr>
              <w:pStyle w:val="TableParagraph"/>
              <w:spacing w:before="3"/>
              <w:rPr>
                <w:rFonts w:ascii="Microsoft JhengHei"/>
                <w:b/>
                <w:sz w:val="13"/>
              </w:rPr>
            </w:pPr>
          </w:p>
          <w:p>
            <w:pPr>
              <w:pStyle w:val="TableParagraph"/>
              <w:ind w:left="372" w:right="337"/>
              <w:jc w:val="center"/>
              <w:rPr>
                <w:sz w:val="18"/>
              </w:rPr>
            </w:pPr>
            <w:r>
              <w:rPr>
                <w:sz w:val="18"/>
              </w:rPr>
              <w:t>0.81</w:t>
            </w:r>
          </w:p>
        </w:tc>
      </w:tr>
      <w:tr>
        <w:trPr>
          <w:trHeight w:val="700" w:hRule="atLeast"/>
        </w:trPr>
        <w:tc>
          <w:tcPr>
            <w:tcW w:w="1306" w:type="dxa"/>
            <w:tcBorders>
              <w:top w:val="single" w:sz="4" w:space="0" w:color="000000"/>
              <w:right w:val="single" w:sz="4" w:space="0" w:color="000000"/>
            </w:tcBorders>
          </w:tcPr>
          <w:p>
            <w:pPr>
              <w:pStyle w:val="TableParagraph"/>
              <w:spacing w:before="35"/>
              <w:ind w:left="107" w:right="239"/>
              <w:rPr>
                <w:sz w:val="18"/>
              </w:rPr>
            </w:pPr>
            <w:r>
              <w:rPr>
                <w:sz w:val="18"/>
              </w:rPr>
              <w:t>Haier International Co., Limited</w:t>
            </w:r>
          </w:p>
        </w:tc>
        <w:tc>
          <w:tcPr>
            <w:tcW w:w="920" w:type="dxa"/>
            <w:tcBorders>
              <w:top w:val="single" w:sz="4" w:space="0" w:color="000000"/>
              <w:left w:val="single" w:sz="4" w:space="0" w:color="000000"/>
              <w:right w:val="single" w:sz="4" w:space="0" w:color="000000"/>
            </w:tcBorders>
          </w:tcPr>
          <w:p>
            <w:pPr>
              <w:pStyle w:val="TableParagraph"/>
              <w:spacing w:line="244" w:lineRule="auto" w:before="117"/>
              <w:ind w:left="196" w:right="171"/>
              <w:rPr>
                <w:rFonts w:ascii="宋体" w:eastAsia="宋体" w:hint="eastAsia"/>
                <w:sz w:val="18"/>
              </w:rPr>
            </w:pPr>
            <w:r>
              <w:rPr>
                <w:rFonts w:ascii="宋体" w:eastAsia="宋体" w:hint="eastAsia"/>
                <w:sz w:val="18"/>
              </w:rPr>
              <w:t>有限责任公司</w:t>
            </w:r>
          </w:p>
        </w:tc>
        <w:tc>
          <w:tcPr>
            <w:tcW w:w="1179" w:type="dxa"/>
            <w:tcBorders>
              <w:top w:val="single" w:sz="4" w:space="0" w:color="000000"/>
              <w:left w:val="single" w:sz="4" w:space="0" w:color="000000"/>
              <w:right w:val="single" w:sz="4" w:space="0" w:color="000000"/>
            </w:tcBorders>
          </w:tcPr>
          <w:p>
            <w:pPr>
              <w:pStyle w:val="TableParagraph"/>
              <w:spacing w:before="14"/>
              <w:rPr>
                <w:rFonts w:ascii="Microsoft JhengHei"/>
                <w:b/>
                <w:sz w:val="12"/>
              </w:rPr>
            </w:pPr>
          </w:p>
          <w:p>
            <w:pPr>
              <w:pStyle w:val="TableParagraph"/>
              <w:ind w:left="93" w:right="69"/>
              <w:jc w:val="center"/>
              <w:rPr>
                <w:rFonts w:ascii="宋体" w:eastAsia="宋体" w:hint="eastAsia"/>
                <w:sz w:val="18"/>
              </w:rPr>
            </w:pPr>
            <w:r>
              <w:rPr>
                <w:rFonts w:ascii="宋体" w:eastAsia="宋体" w:hint="eastAsia"/>
                <w:sz w:val="18"/>
              </w:rPr>
              <w:t>香港</w:t>
            </w:r>
          </w:p>
        </w:tc>
        <w:tc>
          <w:tcPr>
            <w:tcW w:w="1275" w:type="dxa"/>
            <w:tcBorders>
              <w:top w:val="single" w:sz="4" w:space="0" w:color="000000"/>
              <w:left w:val="single" w:sz="4" w:space="0" w:color="000000"/>
              <w:right w:val="single" w:sz="4" w:space="0" w:color="000000"/>
            </w:tcBorders>
          </w:tcPr>
          <w:p>
            <w:pPr>
              <w:pStyle w:val="TableParagraph"/>
              <w:spacing w:before="14"/>
              <w:rPr>
                <w:rFonts w:ascii="Microsoft JhengHei"/>
                <w:b/>
                <w:sz w:val="12"/>
              </w:rPr>
            </w:pPr>
          </w:p>
          <w:p>
            <w:pPr>
              <w:pStyle w:val="TableParagraph"/>
              <w:ind w:right="86"/>
              <w:jc w:val="right"/>
              <w:rPr>
                <w:rFonts w:ascii="宋体" w:eastAsia="宋体" w:hint="eastAsia"/>
                <w:sz w:val="18"/>
              </w:rPr>
            </w:pPr>
            <w:r>
              <w:rPr>
                <w:sz w:val="18"/>
              </w:rPr>
              <w:t>10,000 </w:t>
            </w:r>
            <w:r>
              <w:rPr>
                <w:rFonts w:ascii="宋体" w:eastAsia="宋体" w:hint="eastAsia"/>
                <w:sz w:val="18"/>
              </w:rPr>
              <w:t>港币</w:t>
            </w:r>
          </w:p>
        </w:tc>
        <w:tc>
          <w:tcPr>
            <w:tcW w:w="852" w:type="dxa"/>
            <w:tcBorders>
              <w:top w:val="single" w:sz="4" w:space="0" w:color="000000"/>
              <w:left w:val="single" w:sz="4" w:space="0" w:color="000000"/>
              <w:right w:val="single" w:sz="4" w:space="0" w:color="000000"/>
            </w:tcBorders>
          </w:tcPr>
          <w:p>
            <w:pPr>
              <w:pStyle w:val="TableParagraph"/>
              <w:spacing w:before="3"/>
              <w:rPr>
                <w:rFonts w:ascii="Microsoft JhengHei"/>
                <w:b/>
                <w:sz w:val="13"/>
              </w:rPr>
            </w:pPr>
          </w:p>
          <w:p>
            <w:pPr>
              <w:pStyle w:val="TableParagraph"/>
              <w:ind w:left="25"/>
              <w:jc w:val="center"/>
              <w:rPr>
                <w:sz w:val="18"/>
              </w:rPr>
            </w:pPr>
            <w:r>
              <w:rPr>
                <w:sz w:val="18"/>
              </w:rPr>
              <w:t>/</w:t>
            </w:r>
          </w:p>
        </w:tc>
        <w:tc>
          <w:tcPr>
            <w:tcW w:w="869" w:type="dxa"/>
            <w:tcBorders>
              <w:top w:val="single" w:sz="4" w:space="0" w:color="000000"/>
              <w:left w:val="single" w:sz="4" w:space="0" w:color="000000"/>
              <w:right w:val="single" w:sz="4" w:space="0" w:color="000000"/>
            </w:tcBorders>
          </w:tcPr>
          <w:p>
            <w:pPr>
              <w:pStyle w:val="TableParagraph"/>
              <w:spacing w:line="230" w:lineRule="atLeast" w:before="2"/>
              <w:ind w:left="168" w:right="148"/>
              <w:jc w:val="both"/>
              <w:rPr>
                <w:rFonts w:ascii="宋体" w:eastAsia="宋体" w:hint="eastAsia"/>
                <w:sz w:val="18"/>
              </w:rPr>
            </w:pPr>
            <w:r>
              <w:rPr>
                <w:rFonts w:ascii="宋体" w:eastAsia="宋体" w:hint="eastAsia"/>
                <w:sz w:val="18"/>
              </w:rPr>
              <w:t>母公司的一致行动人</w:t>
            </w:r>
          </w:p>
        </w:tc>
        <w:tc>
          <w:tcPr>
            <w:tcW w:w="973" w:type="dxa"/>
            <w:tcBorders>
              <w:top w:val="single" w:sz="4" w:space="0" w:color="000000"/>
              <w:left w:val="single" w:sz="4" w:space="0" w:color="000000"/>
              <w:right w:val="single" w:sz="4" w:space="0" w:color="000000"/>
            </w:tcBorders>
          </w:tcPr>
          <w:p>
            <w:pPr>
              <w:pStyle w:val="TableParagraph"/>
              <w:spacing w:before="3"/>
              <w:rPr>
                <w:rFonts w:ascii="Microsoft JhengHei"/>
                <w:b/>
                <w:sz w:val="13"/>
              </w:rPr>
            </w:pPr>
          </w:p>
          <w:p>
            <w:pPr>
              <w:pStyle w:val="TableParagraph"/>
              <w:ind w:left="271" w:right="246"/>
              <w:jc w:val="center"/>
              <w:rPr>
                <w:sz w:val="18"/>
              </w:rPr>
            </w:pPr>
            <w:r>
              <w:rPr>
                <w:sz w:val="18"/>
              </w:rPr>
              <w:t>0.63</w:t>
            </w:r>
          </w:p>
        </w:tc>
        <w:tc>
          <w:tcPr>
            <w:tcW w:w="1174" w:type="dxa"/>
            <w:tcBorders>
              <w:top w:val="single" w:sz="4" w:space="0" w:color="000000"/>
              <w:left w:val="single" w:sz="4" w:space="0" w:color="000000"/>
            </w:tcBorders>
          </w:tcPr>
          <w:p>
            <w:pPr>
              <w:pStyle w:val="TableParagraph"/>
              <w:spacing w:before="3"/>
              <w:rPr>
                <w:rFonts w:ascii="Microsoft JhengHei"/>
                <w:b/>
                <w:sz w:val="13"/>
              </w:rPr>
            </w:pPr>
          </w:p>
          <w:p>
            <w:pPr>
              <w:pStyle w:val="TableParagraph"/>
              <w:ind w:left="372" w:right="337"/>
              <w:jc w:val="center"/>
              <w:rPr>
                <w:sz w:val="18"/>
              </w:rPr>
            </w:pPr>
            <w:r>
              <w:rPr>
                <w:sz w:val="18"/>
              </w:rPr>
              <w:t>0.63</w:t>
            </w:r>
          </w:p>
        </w:tc>
      </w:tr>
    </w:tbl>
    <w:p>
      <w:pPr>
        <w:pStyle w:val="BodyText"/>
        <w:spacing w:line="265" w:lineRule="exact" w:before="4"/>
        <w:ind w:left="1538"/>
      </w:pPr>
      <w:r>
        <w:rPr>
          <w:w w:val="100"/>
        </w:rPr>
        <w:t> </w:t>
      </w:r>
    </w:p>
    <w:p>
      <w:pPr>
        <w:pStyle w:val="Heading4"/>
        <w:spacing w:line="383" w:lineRule="exact"/>
      </w:pPr>
      <w:r>
        <w:rPr>
          <w:rFonts w:ascii="Times New Roman" w:eastAsia="Times New Roman"/>
        </w:rPr>
        <w:t>2</w:t>
      </w:r>
      <w:r>
        <w:rPr/>
        <w:t>、 本企业的子公司情况</w:t>
      </w:r>
    </w:p>
    <w:p>
      <w:pPr>
        <w:pStyle w:val="BodyText"/>
        <w:spacing w:before="17"/>
        <w:ind w:left="1962"/>
      </w:pPr>
      <w:r>
        <w:rPr/>
        <w:t>本企业子公司的情况详见附注九、</w:t>
      </w:r>
      <w:r>
        <w:rPr>
          <w:rFonts w:ascii="Times New Roman" w:eastAsia="Times New Roman"/>
        </w:rPr>
        <w:t>1 </w:t>
      </w:r>
      <w:r>
        <w:rPr/>
        <w:t>子公司权益披露。</w:t>
      </w:r>
    </w:p>
    <w:p>
      <w:pPr>
        <w:pStyle w:val="BodyText"/>
        <w:tabs>
          <w:tab w:pos="2805" w:val="left" w:leader="none"/>
        </w:tabs>
        <w:spacing w:before="139"/>
        <w:ind w:left="1962"/>
      </w:pPr>
      <w:r>
        <w:rPr/>
        <w:t>□适用</w:t>
        <w:tab/>
      </w:r>
      <w:r>
        <w:rPr>
          <w:spacing w:val="-3"/>
        </w:rPr>
        <w:t>√</w:t>
      </w:r>
      <w:r>
        <w:rPr/>
        <w:t>不</w:t>
      </w:r>
      <w:r>
        <w:rPr>
          <w:spacing w:val="-3"/>
        </w:rPr>
        <w:t>适</w:t>
      </w:r>
      <w:r>
        <w:rPr/>
        <w:t>用</w:t>
      </w:r>
    </w:p>
    <w:p>
      <w:pPr>
        <w:pStyle w:val="BodyText"/>
        <w:rPr>
          <w:sz w:val="29"/>
        </w:rPr>
      </w:pPr>
    </w:p>
    <w:p>
      <w:pPr>
        <w:pStyle w:val="Heading4"/>
      </w:pPr>
      <w:r>
        <w:rPr>
          <w:rFonts w:ascii="Times New Roman" w:eastAsia="Times New Roman"/>
        </w:rPr>
        <w:t>3</w:t>
      </w:r>
      <w:r>
        <w:rPr/>
        <w:t>、 本企业合营和联营企业情况</w:t>
      </w:r>
    </w:p>
    <w:p>
      <w:pPr>
        <w:pStyle w:val="BodyText"/>
        <w:spacing w:before="151"/>
        <w:ind w:left="1538"/>
      </w:pPr>
      <w:r>
        <w:rPr/>
        <w:t>本企业重要的合营或联营企业详见附注五、</w:t>
      </w:r>
      <w:r>
        <w:rPr>
          <w:rFonts w:ascii="Times New Roman" w:eastAsia="Times New Roman"/>
        </w:rPr>
        <w:t>11 </w:t>
      </w:r>
      <w:r>
        <w:rPr/>
        <w:t>及本附注九、</w:t>
      </w:r>
      <w:r>
        <w:rPr>
          <w:rFonts w:ascii="Times New Roman" w:eastAsia="Times New Roman"/>
        </w:rPr>
        <w:t>3</w:t>
      </w:r>
      <w:r>
        <w:rPr/>
        <w:t>。</w:t>
      </w:r>
    </w:p>
    <w:p>
      <w:pPr>
        <w:pStyle w:val="BodyText"/>
        <w:spacing w:before="140"/>
        <w:ind w:left="1962"/>
      </w:pPr>
      <w:r>
        <w:rPr/>
        <w:t>□适用 √不适用</w:t>
      </w:r>
    </w:p>
    <w:p>
      <w:pPr>
        <w:pStyle w:val="BodyText"/>
        <w:spacing w:line="364" w:lineRule="auto" w:before="141"/>
        <w:ind w:left="1538" w:right="1277"/>
      </w:pPr>
      <w:r>
        <w:rPr>
          <w:spacing w:val="-3"/>
        </w:rPr>
        <w:t>本期与本公司发生关联方交易，或前期与本公司发生关联方交易形成余额的其他合营或联营企业情况如下</w:t>
      </w:r>
    </w:p>
    <w:p>
      <w:pPr>
        <w:pStyle w:val="BodyText"/>
        <w:spacing w:line="364" w:lineRule="auto"/>
        <w:ind w:left="1538" w:right="8104" w:firstLine="424"/>
      </w:pPr>
      <w:r>
        <w:rPr>
          <w:spacing w:val="-3"/>
        </w:rPr>
        <w:t>□适用 √不适用</w:t>
      </w:r>
      <w:r>
        <w:rPr>
          <w:spacing w:val="-1"/>
        </w:rPr>
        <w:t>其他说明</w:t>
      </w:r>
    </w:p>
    <w:p>
      <w:pPr>
        <w:pStyle w:val="BodyText"/>
        <w:spacing w:line="267" w:lineRule="exact"/>
        <w:ind w:left="1962"/>
      </w:pPr>
      <w:r>
        <w:rPr/>
        <w:t>□适用 √不适用</w:t>
      </w:r>
    </w:p>
    <w:p>
      <w:pPr>
        <w:pStyle w:val="BodyText"/>
        <w:spacing w:before="3"/>
        <w:rPr>
          <w:sz w:val="18"/>
        </w:rPr>
      </w:pPr>
    </w:p>
    <w:p>
      <w:pPr>
        <w:pStyle w:val="Heading4"/>
      </w:pPr>
      <w:r>
        <w:rPr>
          <w:rFonts w:ascii="Times New Roman" w:eastAsia="Times New Roman"/>
        </w:rPr>
        <w:t>4</w:t>
      </w:r>
      <w:r>
        <w:rPr/>
        <w:t>、 其他关联方情况</w:t>
      </w:r>
    </w:p>
    <w:p>
      <w:pPr>
        <w:pStyle w:val="BodyText"/>
        <w:spacing w:before="17"/>
        <w:ind w:left="1538"/>
      </w:pPr>
      <w:r>
        <w:rPr/>
        <w:t>√适用 □不适用</w:t>
      </w: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980"/>
        <w:gridCol w:w="5070"/>
      </w:tblGrid>
      <w:tr>
        <w:trPr>
          <w:trHeight w:val="273" w:hRule="atLeast"/>
        </w:trPr>
        <w:tc>
          <w:tcPr>
            <w:tcW w:w="3980" w:type="dxa"/>
            <w:tcBorders>
              <w:bottom w:val="single" w:sz="4" w:space="0" w:color="000000"/>
              <w:right w:val="single" w:sz="4" w:space="0" w:color="000000"/>
            </w:tcBorders>
          </w:tcPr>
          <w:p>
            <w:pPr>
              <w:pStyle w:val="TableParagraph"/>
              <w:spacing w:line="253" w:lineRule="exact"/>
              <w:ind w:left="1249"/>
              <w:rPr>
                <w:rFonts w:ascii="Microsoft JhengHei" w:eastAsia="Microsoft JhengHei" w:hint="eastAsia"/>
                <w:b/>
                <w:sz w:val="21"/>
              </w:rPr>
            </w:pPr>
            <w:r>
              <w:rPr>
                <w:rFonts w:ascii="Microsoft JhengHei" w:eastAsia="Microsoft JhengHei" w:hint="eastAsia"/>
                <w:b/>
                <w:sz w:val="21"/>
              </w:rPr>
              <w:t>其他关联方名称</w:t>
            </w:r>
          </w:p>
        </w:tc>
        <w:tc>
          <w:tcPr>
            <w:tcW w:w="5070" w:type="dxa"/>
            <w:tcBorders>
              <w:left w:val="single" w:sz="4" w:space="0" w:color="000000"/>
              <w:bottom w:val="single" w:sz="4" w:space="0" w:color="000000"/>
            </w:tcBorders>
          </w:tcPr>
          <w:p>
            <w:pPr>
              <w:pStyle w:val="TableParagraph"/>
              <w:spacing w:line="253" w:lineRule="exact"/>
              <w:ind w:left="1262" w:right="1227"/>
              <w:jc w:val="center"/>
              <w:rPr>
                <w:rFonts w:ascii="Microsoft JhengHei" w:eastAsia="Microsoft JhengHei" w:hint="eastAsia"/>
                <w:b/>
                <w:sz w:val="21"/>
              </w:rPr>
            </w:pPr>
            <w:r>
              <w:rPr>
                <w:rFonts w:ascii="Microsoft JhengHei" w:eastAsia="Microsoft JhengHei" w:hint="eastAsia"/>
                <w:b/>
                <w:sz w:val="21"/>
              </w:rPr>
              <w:t>其他关联方与本企业关系</w:t>
            </w:r>
          </w:p>
        </w:tc>
      </w:tr>
      <w:tr>
        <w:trPr>
          <w:trHeight w:val="273" w:hRule="atLeast"/>
        </w:trPr>
        <w:tc>
          <w:tcPr>
            <w:tcW w:w="3980" w:type="dxa"/>
            <w:tcBorders>
              <w:top w:val="single" w:sz="4" w:space="0" w:color="000000"/>
              <w:bottom w:val="single" w:sz="4" w:space="0" w:color="000000"/>
              <w:right w:val="single" w:sz="4" w:space="0" w:color="000000"/>
            </w:tcBorders>
          </w:tcPr>
          <w:p>
            <w:pPr>
              <w:pStyle w:val="TableParagraph"/>
              <w:spacing w:line="250" w:lineRule="exact" w:before="3"/>
              <w:ind w:left="107"/>
              <w:rPr>
                <w:rFonts w:ascii="宋体" w:eastAsia="宋体" w:hint="eastAsia"/>
                <w:sz w:val="21"/>
              </w:rPr>
            </w:pPr>
            <w:r>
              <w:rPr>
                <w:rFonts w:ascii="宋体" w:eastAsia="宋体" w:hint="eastAsia"/>
                <w:sz w:val="21"/>
              </w:rPr>
              <w:t>重庆众链能源科技有限公司</w:t>
            </w:r>
          </w:p>
        </w:tc>
        <w:tc>
          <w:tcPr>
            <w:tcW w:w="5070" w:type="dxa"/>
            <w:tcBorders>
              <w:top w:val="single" w:sz="4" w:space="0" w:color="000000"/>
              <w:left w:val="single" w:sz="4" w:space="0" w:color="000000"/>
              <w:bottom w:val="single" w:sz="4" w:space="0" w:color="000000"/>
            </w:tcBorders>
          </w:tcPr>
          <w:p>
            <w:pPr>
              <w:pStyle w:val="TableParagraph"/>
              <w:spacing w:line="250" w:lineRule="exact" w:before="3"/>
              <w:ind w:left="1262" w:right="1227"/>
              <w:jc w:val="center"/>
              <w:rPr>
                <w:rFonts w:ascii="宋体" w:eastAsia="宋体" w:hint="eastAsia"/>
                <w:sz w:val="21"/>
              </w:rPr>
            </w:pPr>
            <w:r>
              <w:rPr>
                <w:rFonts w:ascii="宋体" w:eastAsia="宋体" w:hint="eastAsia"/>
                <w:sz w:val="21"/>
              </w:rPr>
              <w:t>海尔集团附属公司</w:t>
            </w:r>
          </w:p>
        </w:tc>
      </w:tr>
      <w:tr>
        <w:trPr>
          <w:trHeight w:val="273" w:hRule="atLeast"/>
        </w:trPr>
        <w:tc>
          <w:tcPr>
            <w:tcW w:w="3980"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重庆海尔物流有限公司</w:t>
            </w:r>
          </w:p>
        </w:tc>
        <w:tc>
          <w:tcPr>
            <w:tcW w:w="5070" w:type="dxa"/>
            <w:tcBorders>
              <w:top w:val="single" w:sz="4" w:space="0" w:color="000000"/>
              <w:left w:val="single" w:sz="4" w:space="0" w:color="000000"/>
              <w:bottom w:val="single" w:sz="4" w:space="0" w:color="000000"/>
            </w:tcBorders>
          </w:tcPr>
          <w:p>
            <w:pPr>
              <w:pStyle w:val="TableParagraph"/>
              <w:spacing w:line="252" w:lineRule="exact" w:before="1"/>
              <w:ind w:left="1262" w:right="1227"/>
              <w:jc w:val="center"/>
              <w:rPr>
                <w:rFonts w:ascii="宋体" w:eastAsia="宋体" w:hint="eastAsia"/>
                <w:sz w:val="21"/>
              </w:rPr>
            </w:pPr>
            <w:r>
              <w:rPr>
                <w:rFonts w:ascii="宋体" w:eastAsia="宋体" w:hint="eastAsia"/>
                <w:sz w:val="21"/>
              </w:rPr>
              <w:t>海尔集团附属公司</w:t>
            </w:r>
          </w:p>
        </w:tc>
      </w:tr>
      <w:tr>
        <w:trPr>
          <w:trHeight w:val="270" w:hRule="atLeast"/>
        </w:trPr>
        <w:tc>
          <w:tcPr>
            <w:tcW w:w="3980"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重庆海尔电器销售有限公司</w:t>
            </w:r>
          </w:p>
        </w:tc>
        <w:tc>
          <w:tcPr>
            <w:tcW w:w="5070" w:type="dxa"/>
            <w:tcBorders>
              <w:top w:val="single" w:sz="4" w:space="0" w:color="000000"/>
              <w:left w:val="single" w:sz="4" w:space="0" w:color="000000"/>
              <w:bottom w:val="single" w:sz="4" w:space="0" w:color="000000"/>
            </w:tcBorders>
          </w:tcPr>
          <w:p>
            <w:pPr>
              <w:pStyle w:val="TableParagraph"/>
              <w:spacing w:line="250" w:lineRule="exact" w:before="1"/>
              <w:ind w:left="1262" w:right="1227"/>
              <w:jc w:val="center"/>
              <w:rPr>
                <w:rFonts w:ascii="宋体" w:eastAsia="宋体" w:hint="eastAsia"/>
                <w:sz w:val="21"/>
              </w:rPr>
            </w:pPr>
            <w:r>
              <w:rPr>
                <w:rFonts w:ascii="宋体" w:eastAsia="宋体" w:hint="eastAsia"/>
                <w:sz w:val="21"/>
              </w:rPr>
              <w:t>海尔集团附属公司</w:t>
            </w:r>
          </w:p>
        </w:tc>
      </w:tr>
      <w:tr>
        <w:trPr>
          <w:trHeight w:val="273" w:hRule="atLeast"/>
        </w:trPr>
        <w:tc>
          <w:tcPr>
            <w:tcW w:w="3980" w:type="dxa"/>
            <w:tcBorders>
              <w:top w:val="single" w:sz="4" w:space="0" w:color="000000"/>
              <w:bottom w:val="single" w:sz="4" w:space="0" w:color="000000"/>
              <w:right w:val="single" w:sz="4" w:space="0" w:color="000000"/>
            </w:tcBorders>
          </w:tcPr>
          <w:p>
            <w:pPr>
              <w:pStyle w:val="TableParagraph"/>
              <w:spacing w:line="250" w:lineRule="exact" w:before="3"/>
              <w:ind w:left="107"/>
              <w:rPr>
                <w:rFonts w:ascii="宋体" w:eastAsia="宋体" w:hint="eastAsia"/>
                <w:sz w:val="21"/>
              </w:rPr>
            </w:pPr>
            <w:r>
              <w:rPr>
                <w:rFonts w:ascii="宋体" w:eastAsia="宋体" w:hint="eastAsia"/>
                <w:sz w:val="21"/>
              </w:rPr>
              <w:t>郑州海尔新能源科技有限公司</w:t>
            </w:r>
          </w:p>
        </w:tc>
        <w:tc>
          <w:tcPr>
            <w:tcW w:w="5070" w:type="dxa"/>
            <w:tcBorders>
              <w:top w:val="single" w:sz="4" w:space="0" w:color="000000"/>
              <w:left w:val="single" w:sz="4" w:space="0" w:color="000000"/>
              <w:bottom w:val="single" w:sz="4" w:space="0" w:color="000000"/>
            </w:tcBorders>
          </w:tcPr>
          <w:p>
            <w:pPr>
              <w:pStyle w:val="TableParagraph"/>
              <w:spacing w:line="250" w:lineRule="exact" w:before="3"/>
              <w:ind w:left="1262" w:right="1227"/>
              <w:jc w:val="center"/>
              <w:rPr>
                <w:rFonts w:ascii="宋体" w:eastAsia="宋体" w:hint="eastAsia"/>
                <w:sz w:val="21"/>
              </w:rPr>
            </w:pPr>
            <w:r>
              <w:rPr>
                <w:rFonts w:ascii="宋体" w:eastAsia="宋体" w:hint="eastAsia"/>
                <w:sz w:val="21"/>
              </w:rPr>
              <w:t>海尔集团附属公司</w:t>
            </w:r>
          </w:p>
        </w:tc>
      </w:tr>
      <w:tr>
        <w:trPr>
          <w:trHeight w:val="273" w:hRule="atLeast"/>
        </w:trPr>
        <w:tc>
          <w:tcPr>
            <w:tcW w:w="3980"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勇狮(香港)有限公司</w:t>
            </w:r>
          </w:p>
        </w:tc>
        <w:tc>
          <w:tcPr>
            <w:tcW w:w="5070" w:type="dxa"/>
            <w:tcBorders>
              <w:top w:val="single" w:sz="4" w:space="0" w:color="000000"/>
              <w:left w:val="single" w:sz="4" w:space="0" w:color="000000"/>
              <w:bottom w:val="single" w:sz="4" w:space="0" w:color="000000"/>
            </w:tcBorders>
          </w:tcPr>
          <w:p>
            <w:pPr>
              <w:pStyle w:val="TableParagraph"/>
              <w:spacing w:line="252" w:lineRule="exact" w:before="1"/>
              <w:ind w:left="1262" w:right="1227"/>
              <w:jc w:val="center"/>
              <w:rPr>
                <w:rFonts w:ascii="宋体" w:eastAsia="宋体" w:hint="eastAsia"/>
                <w:sz w:val="21"/>
              </w:rPr>
            </w:pPr>
            <w:r>
              <w:rPr>
                <w:rFonts w:ascii="宋体" w:eastAsia="宋体" w:hint="eastAsia"/>
                <w:sz w:val="21"/>
              </w:rPr>
              <w:t>海尔集团附属公司</w:t>
            </w:r>
          </w:p>
        </w:tc>
      </w:tr>
      <w:tr>
        <w:trPr>
          <w:trHeight w:val="270" w:hRule="atLeast"/>
        </w:trPr>
        <w:tc>
          <w:tcPr>
            <w:tcW w:w="3980"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上海路辔供应链管理有限公司</w:t>
            </w:r>
          </w:p>
        </w:tc>
        <w:tc>
          <w:tcPr>
            <w:tcW w:w="5070" w:type="dxa"/>
            <w:tcBorders>
              <w:top w:val="single" w:sz="4" w:space="0" w:color="000000"/>
              <w:left w:val="single" w:sz="4" w:space="0" w:color="000000"/>
              <w:bottom w:val="single" w:sz="4" w:space="0" w:color="000000"/>
            </w:tcBorders>
          </w:tcPr>
          <w:p>
            <w:pPr>
              <w:pStyle w:val="TableParagraph"/>
              <w:spacing w:line="250" w:lineRule="exact" w:before="1"/>
              <w:ind w:left="1262" w:right="1227"/>
              <w:jc w:val="center"/>
              <w:rPr>
                <w:rFonts w:ascii="宋体" w:eastAsia="宋体" w:hint="eastAsia"/>
                <w:sz w:val="21"/>
              </w:rPr>
            </w:pPr>
            <w:r>
              <w:rPr>
                <w:rFonts w:ascii="宋体" w:eastAsia="宋体" w:hint="eastAsia"/>
                <w:sz w:val="21"/>
              </w:rPr>
              <w:t>海尔集团附属公司</w:t>
            </w:r>
          </w:p>
        </w:tc>
      </w:tr>
      <w:tr>
        <w:trPr>
          <w:trHeight w:val="273" w:hRule="atLeast"/>
        </w:trPr>
        <w:tc>
          <w:tcPr>
            <w:tcW w:w="3980"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日日顺供应链科技股份有限公司</w:t>
            </w:r>
          </w:p>
        </w:tc>
        <w:tc>
          <w:tcPr>
            <w:tcW w:w="5070" w:type="dxa"/>
            <w:tcBorders>
              <w:top w:val="single" w:sz="4" w:space="0" w:color="000000"/>
              <w:left w:val="single" w:sz="4" w:space="0" w:color="000000"/>
              <w:bottom w:val="single" w:sz="4" w:space="0" w:color="000000"/>
            </w:tcBorders>
          </w:tcPr>
          <w:p>
            <w:pPr>
              <w:pStyle w:val="TableParagraph"/>
              <w:spacing w:line="252" w:lineRule="exact" w:before="1"/>
              <w:ind w:left="1262" w:right="1227"/>
              <w:jc w:val="center"/>
              <w:rPr>
                <w:rFonts w:ascii="宋体" w:eastAsia="宋体" w:hint="eastAsia"/>
                <w:sz w:val="21"/>
              </w:rPr>
            </w:pPr>
            <w:r>
              <w:rPr>
                <w:rFonts w:ascii="宋体" w:eastAsia="宋体" w:hint="eastAsia"/>
                <w:sz w:val="21"/>
              </w:rPr>
              <w:t>海尔集团附属公司</w:t>
            </w:r>
          </w:p>
        </w:tc>
      </w:tr>
      <w:tr>
        <w:trPr>
          <w:trHeight w:val="273" w:hRule="atLeast"/>
        </w:trPr>
        <w:tc>
          <w:tcPr>
            <w:tcW w:w="3980"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青岛日日顺供应链有限公司</w:t>
            </w:r>
          </w:p>
        </w:tc>
        <w:tc>
          <w:tcPr>
            <w:tcW w:w="5070" w:type="dxa"/>
            <w:tcBorders>
              <w:top w:val="single" w:sz="4" w:space="0" w:color="000000"/>
              <w:left w:val="single" w:sz="4" w:space="0" w:color="000000"/>
              <w:bottom w:val="single" w:sz="4" w:space="0" w:color="000000"/>
            </w:tcBorders>
          </w:tcPr>
          <w:p>
            <w:pPr>
              <w:pStyle w:val="TableParagraph"/>
              <w:spacing w:line="252" w:lineRule="exact" w:before="1"/>
              <w:ind w:left="1262" w:right="1227"/>
              <w:jc w:val="center"/>
              <w:rPr>
                <w:rFonts w:ascii="宋体" w:eastAsia="宋体" w:hint="eastAsia"/>
                <w:sz w:val="21"/>
              </w:rPr>
            </w:pPr>
            <w:r>
              <w:rPr>
                <w:rFonts w:ascii="宋体" w:eastAsia="宋体" w:hint="eastAsia"/>
                <w:sz w:val="21"/>
              </w:rPr>
              <w:t>海尔集团附属公司</w:t>
            </w:r>
          </w:p>
        </w:tc>
      </w:tr>
      <w:tr>
        <w:trPr>
          <w:trHeight w:val="270" w:hRule="atLeast"/>
        </w:trPr>
        <w:tc>
          <w:tcPr>
            <w:tcW w:w="3980" w:type="dxa"/>
            <w:tcBorders>
              <w:top w:val="single" w:sz="4" w:space="0" w:color="000000"/>
              <w:right w:val="single" w:sz="4" w:space="0" w:color="000000"/>
            </w:tcBorders>
          </w:tcPr>
          <w:p>
            <w:pPr>
              <w:pStyle w:val="TableParagraph"/>
              <w:spacing w:line="249" w:lineRule="exact" w:before="1"/>
              <w:ind w:left="107"/>
              <w:rPr>
                <w:rFonts w:ascii="宋体" w:eastAsia="宋体" w:hint="eastAsia"/>
                <w:sz w:val="21"/>
              </w:rPr>
            </w:pPr>
            <w:r>
              <w:rPr>
                <w:rFonts w:ascii="宋体" w:eastAsia="宋体" w:hint="eastAsia"/>
                <w:sz w:val="21"/>
              </w:rPr>
              <w:t>青岛海尔兄弟动漫产业有限公司</w:t>
            </w:r>
          </w:p>
        </w:tc>
        <w:tc>
          <w:tcPr>
            <w:tcW w:w="5070" w:type="dxa"/>
            <w:tcBorders>
              <w:top w:val="single" w:sz="4" w:space="0" w:color="000000"/>
              <w:left w:val="single" w:sz="4" w:space="0" w:color="000000"/>
            </w:tcBorders>
          </w:tcPr>
          <w:p>
            <w:pPr>
              <w:pStyle w:val="TableParagraph"/>
              <w:spacing w:line="249" w:lineRule="exact" w:before="1"/>
              <w:ind w:left="1262" w:right="1227"/>
              <w:jc w:val="center"/>
              <w:rPr>
                <w:rFonts w:ascii="宋体" w:eastAsia="宋体" w:hint="eastAsia"/>
                <w:sz w:val="21"/>
              </w:rPr>
            </w:pPr>
            <w:r>
              <w:rPr>
                <w:rFonts w:ascii="宋体" w:eastAsia="宋体" w:hint="eastAsia"/>
                <w:sz w:val="21"/>
              </w:rPr>
              <w:t>海尔集团附属公司</w:t>
            </w:r>
          </w:p>
        </w:tc>
      </w:tr>
    </w:tbl>
    <w:p>
      <w:pPr>
        <w:spacing w:after="0" w:line="249" w:lineRule="exact"/>
        <w:jc w:val="center"/>
        <w:rPr>
          <w:rFonts w:ascii="宋体" w:eastAsia="宋体" w:hint="eastAsia"/>
          <w:sz w:val="21"/>
        </w:rPr>
        <w:sectPr>
          <w:pgSz w:w="11910" w:h="16840"/>
          <w:pgMar w:header="876" w:footer="1184" w:top="1440" w:bottom="1400" w:left="260" w:right="0"/>
        </w:sectPr>
      </w:pPr>
    </w:p>
    <w:p>
      <w:pPr>
        <w:pStyle w:val="BodyText"/>
        <w:spacing w:before="2"/>
        <w:rPr>
          <w:sz w:val="5"/>
        </w:r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980"/>
        <w:gridCol w:w="5070"/>
      </w:tblGrid>
      <w:tr>
        <w:trPr>
          <w:trHeight w:val="273" w:hRule="atLeast"/>
        </w:trPr>
        <w:tc>
          <w:tcPr>
            <w:tcW w:w="3980" w:type="dxa"/>
            <w:tcBorders>
              <w:bottom w:val="single" w:sz="4" w:space="0" w:color="000000"/>
              <w:right w:val="single" w:sz="4" w:space="0" w:color="000000"/>
            </w:tcBorders>
          </w:tcPr>
          <w:p>
            <w:pPr>
              <w:pStyle w:val="TableParagraph"/>
              <w:spacing w:line="250" w:lineRule="exact" w:before="3"/>
              <w:ind w:left="107"/>
              <w:rPr>
                <w:rFonts w:ascii="宋体" w:eastAsia="宋体" w:hint="eastAsia"/>
                <w:sz w:val="21"/>
              </w:rPr>
            </w:pPr>
            <w:r>
              <w:rPr>
                <w:rFonts w:ascii="宋体" w:eastAsia="宋体" w:hint="eastAsia"/>
                <w:sz w:val="21"/>
              </w:rPr>
              <w:t>青岛海尔特种塑料研制开发有限公司</w:t>
            </w:r>
          </w:p>
        </w:tc>
        <w:tc>
          <w:tcPr>
            <w:tcW w:w="5070" w:type="dxa"/>
            <w:tcBorders>
              <w:left w:val="single" w:sz="4" w:space="0" w:color="000000"/>
              <w:bottom w:val="single" w:sz="4" w:space="0" w:color="000000"/>
            </w:tcBorders>
          </w:tcPr>
          <w:p>
            <w:pPr>
              <w:pStyle w:val="TableParagraph"/>
              <w:spacing w:line="250" w:lineRule="exact" w:before="3"/>
              <w:ind w:left="1262" w:right="1227"/>
              <w:jc w:val="center"/>
              <w:rPr>
                <w:rFonts w:ascii="宋体" w:eastAsia="宋体" w:hint="eastAsia"/>
                <w:sz w:val="21"/>
              </w:rPr>
            </w:pPr>
            <w:r>
              <w:rPr>
                <w:rFonts w:ascii="宋体" w:eastAsia="宋体" w:hint="eastAsia"/>
                <w:sz w:val="21"/>
              </w:rPr>
              <w:t>海尔集团附属公司</w:t>
            </w:r>
          </w:p>
        </w:tc>
      </w:tr>
      <w:tr>
        <w:trPr>
          <w:trHeight w:val="273" w:hRule="atLeast"/>
        </w:trPr>
        <w:tc>
          <w:tcPr>
            <w:tcW w:w="3980" w:type="dxa"/>
            <w:tcBorders>
              <w:top w:val="single" w:sz="4" w:space="0" w:color="000000"/>
              <w:bottom w:val="single" w:sz="4" w:space="0" w:color="000000"/>
              <w:right w:val="single" w:sz="4" w:space="0" w:color="000000"/>
            </w:tcBorders>
          </w:tcPr>
          <w:p>
            <w:pPr>
              <w:pStyle w:val="TableParagraph"/>
              <w:spacing w:line="250" w:lineRule="exact" w:before="3"/>
              <w:ind w:left="107"/>
              <w:rPr>
                <w:rFonts w:ascii="宋体" w:eastAsia="宋体" w:hint="eastAsia"/>
                <w:sz w:val="21"/>
              </w:rPr>
            </w:pPr>
            <w:r>
              <w:rPr>
                <w:rFonts w:ascii="宋体" w:eastAsia="宋体" w:hint="eastAsia"/>
                <w:sz w:val="21"/>
              </w:rPr>
              <w:t>青岛海尔零部件采购有限公司</w:t>
            </w:r>
          </w:p>
        </w:tc>
        <w:tc>
          <w:tcPr>
            <w:tcW w:w="5070" w:type="dxa"/>
            <w:tcBorders>
              <w:top w:val="single" w:sz="4" w:space="0" w:color="000000"/>
              <w:left w:val="single" w:sz="4" w:space="0" w:color="000000"/>
              <w:bottom w:val="single" w:sz="4" w:space="0" w:color="000000"/>
            </w:tcBorders>
          </w:tcPr>
          <w:p>
            <w:pPr>
              <w:pStyle w:val="TableParagraph"/>
              <w:spacing w:line="250" w:lineRule="exact" w:before="3"/>
              <w:ind w:left="1262" w:right="1227"/>
              <w:jc w:val="center"/>
              <w:rPr>
                <w:rFonts w:ascii="宋体" w:eastAsia="宋体" w:hint="eastAsia"/>
                <w:sz w:val="21"/>
              </w:rPr>
            </w:pPr>
            <w:r>
              <w:rPr>
                <w:rFonts w:ascii="宋体" w:eastAsia="宋体" w:hint="eastAsia"/>
                <w:sz w:val="21"/>
              </w:rPr>
              <w:t>海尔集团附属公司</w:t>
            </w:r>
          </w:p>
        </w:tc>
      </w:tr>
      <w:tr>
        <w:trPr>
          <w:trHeight w:val="273" w:hRule="atLeast"/>
        </w:trPr>
        <w:tc>
          <w:tcPr>
            <w:tcW w:w="3980"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青岛海尔国际贸易有限公司</w:t>
            </w:r>
          </w:p>
        </w:tc>
        <w:tc>
          <w:tcPr>
            <w:tcW w:w="5070" w:type="dxa"/>
            <w:tcBorders>
              <w:top w:val="single" w:sz="4" w:space="0" w:color="000000"/>
              <w:left w:val="single" w:sz="4" w:space="0" w:color="000000"/>
              <w:bottom w:val="single" w:sz="4" w:space="0" w:color="000000"/>
            </w:tcBorders>
          </w:tcPr>
          <w:p>
            <w:pPr>
              <w:pStyle w:val="TableParagraph"/>
              <w:spacing w:line="252" w:lineRule="exact" w:before="1"/>
              <w:ind w:left="1262" w:right="1227"/>
              <w:jc w:val="center"/>
              <w:rPr>
                <w:rFonts w:ascii="宋体" w:eastAsia="宋体" w:hint="eastAsia"/>
                <w:sz w:val="21"/>
              </w:rPr>
            </w:pPr>
            <w:r>
              <w:rPr>
                <w:rFonts w:ascii="宋体" w:eastAsia="宋体" w:hint="eastAsia"/>
                <w:sz w:val="21"/>
              </w:rPr>
              <w:t>海尔集团附属公司</w:t>
            </w:r>
          </w:p>
        </w:tc>
      </w:tr>
      <w:tr>
        <w:trPr>
          <w:trHeight w:val="270" w:hRule="atLeast"/>
        </w:trPr>
        <w:tc>
          <w:tcPr>
            <w:tcW w:w="3980"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青岛海尔国际旅行社有限公司</w:t>
            </w:r>
          </w:p>
        </w:tc>
        <w:tc>
          <w:tcPr>
            <w:tcW w:w="5070" w:type="dxa"/>
            <w:tcBorders>
              <w:top w:val="single" w:sz="4" w:space="0" w:color="000000"/>
              <w:left w:val="single" w:sz="4" w:space="0" w:color="000000"/>
              <w:bottom w:val="single" w:sz="4" w:space="0" w:color="000000"/>
            </w:tcBorders>
          </w:tcPr>
          <w:p>
            <w:pPr>
              <w:pStyle w:val="TableParagraph"/>
              <w:spacing w:line="250" w:lineRule="exact" w:before="1"/>
              <w:ind w:left="1262" w:right="1227"/>
              <w:jc w:val="center"/>
              <w:rPr>
                <w:rFonts w:ascii="宋体" w:eastAsia="宋体" w:hint="eastAsia"/>
                <w:sz w:val="21"/>
              </w:rPr>
            </w:pPr>
            <w:r>
              <w:rPr>
                <w:rFonts w:ascii="宋体" w:eastAsia="宋体" w:hint="eastAsia"/>
                <w:sz w:val="21"/>
              </w:rPr>
              <w:t>海尔集团附属公司</w:t>
            </w:r>
          </w:p>
        </w:tc>
      </w:tr>
      <w:tr>
        <w:trPr>
          <w:trHeight w:val="273" w:hRule="atLeast"/>
        </w:trPr>
        <w:tc>
          <w:tcPr>
            <w:tcW w:w="3980"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青岛海尔产城创集团有限公司</w:t>
            </w:r>
          </w:p>
        </w:tc>
        <w:tc>
          <w:tcPr>
            <w:tcW w:w="5070" w:type="dxa"/>
            <w:tcBorders>
              <w:top w:val="single" w:sz="4" w:space="0" w:color="000000"/>
              <w:left w:val="single" w:sz="4" w:space="0" w:color="000000"/>
              <w:bottom w:val="single" w:sz="4" w:space="0" w:color="000000"/>
            </w:tcBorders>
          </w:tcPr>
          <w:p>
            <w:pPr>
              <w:pStyle w:val="TableParagraph"/>
              <w:spacing w:line="252" w:lineRule="exact" w:before="1"/>
              <w:ind w:left="1262" w:right="1227"/>
              <w:jc w:val="center"/>
              <w:rPr>
                <w:rFonts w:ascii="宋体" w:eastAsia="宋体" w:hint="eastAsia"/>
                <w:sz w:val="21"/>
              </w:rPr>
            </w:pPr>
            <w:r>
              <w:rPr>
                <w:rFonts w:ascii="宋体" w:eastAsia="宋体" w:hint="eastAsia"/>
                <w:sz w:val="21"/>
              </w:rPr>
              <w:t>海尔集团附属公司</w:t>
            </w:r>
          </w:p>
        </w:tc>
      </w:tr>
      <w:tr>
        <w:trPr>
          <w:trHeight w:val="273" w:hRule="atLeast"/>
        </w:trPr>
        <w:tc>
          <w:tcPr>
            <w:tcW w:w="3980"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莱阳海尔电器有限公司</w:t>
            </w:r>
          </w:p>
        </w:tc>
        <w:tc>
          <w:tcPr>
            <w:tcW w:w="5070" w:type="dxa"/>
            <w:tcBorders>
              <w:top w:val="single" w:sz="4" w:space="0" w:color="000000"/>
              <w:left w:val="single" w:sz="4" w:space="0" w:color="000000"/>
              <w:bottom w:val="single" w:sz="4" w:space="0" w:color="000000"/>
            </w:tcBorders>
          </w:tcPr>
          <w:p>
            <w:pPr>
              <w:pStyle w:val="TableParagraph"/>
              <w:spacing w:line="252" w:lineRule="exact" w:before="1"/>
              <w:ind w:left="1262" w:right="1227"/>
              <w:jc w:val="center"/>
              <w:rPr>
                <w:rFonts w:ascii="宋体" w:eastAsia="宋体" w:hint="eastAsia"/>
                <w:sz w:val="21"/>
              </w:rPr>
            </w:pPr>
            <w:r>
              <w:rPr>
                <w:rFonts w:ascii="宋体" w:eastAsia="宋体" w:hint="eastAsia"/>
                <w:sz w:val="21"/>
              </w:rPr>
              <w:t>海尔集团附属公司</w:t>
            </w:r>
          </w:p>
        </w:tc>
      </w:tr>
      <w:tr>
        <w:trPr>
          <w:trHeight w:val="270" w:hRule="atLeast"/>
        </w:trPr>
        <w:tc>
          <w:tcPr>
            <w:tcW w:w="3980"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合肥海尔物流有限公司</w:t>
            </w:r>
          </w:p>
        </w:tc>
        <w:tc>
          <w:tcPr>
            <w:tcW w:w="5070" w:type="dxa"/>
            <w:tcBorders>
              <w:top w:val="single" w:sz="4" w:space="0" w:color="000000"/>
              <w:left w:val="single" w:sz="4" w:space="0" w:color="000000"/>
              <w:bottom w:val="single" w:sz="4" w:space="0" w:color="000000"/>
            </w:tcBorders>
          </w:tcPr>
          <w:p>
            <w:pPr>
              <w:pStyle w:val="TableParagraph"/>
              <w:spacing w:line="250" w:lineRule="exact" w:before="1"/>
              <w:ind w:left="1262" w:right="1227"/>
              <w:jc w:val="center"/>
              <w:rPr>
                <w:rFonts w:ascii="宋体" w:eastAsia="宋体" w:hint="eastAsia"/>
                <w:sz w:val="21"/>
              </w:rPr>
            </w:pPr>
            <w:r>
              <w:rPr>
                <w:rFonts w:ascii="宋体" w:eastAsia="宋体" w:hint="eastAsia"/>
                <w:sz w:val="21"/>
              </w:rPr>
              <w:t>海尔集团附属公司</w:t>
            </w:r>
          </w:p>
        </w:tc>
      </w:tr>
      <w:tr>
        <w:trPr>
          <w:trHeight w:val="273" w:hRule="atLeast"/>
        </w:trPr>
        <w:tc>
          <w:tcPr>
            <w:tcW w:w="3980"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海尔集团电器产业有限公司</w:t>
            </w:r>
          </w:p>
        </w:tc>
        <w:tc>
          <w:tcPr>
            <w:tcW w:w="5070" w:type="dxa"/>
            <w:tcBorders>
              <w:top w:val="single" w:sz="4" w:space="0" w:color="000000"/>
              <w:left w:val="single" w:sz="4" w:space="0" w:color="000000"/>
              <w:bottom w:val="single" w:sz="4" w:space="0" w:color="000000"/>
            </w:tcBorders>
          </w:tcPr>
          <w:p>
            <w:pPr>
              <w:pStyle w:val="TableParagraph"/>
              <w:spacing w:line="252" w:lineRule="exact" w:before="1"/>
              <w:ind w:left="1262" w:right="1227"/>
              <w:jc w:val="center"/>
              <w:rPr>
                <w:rFonts w:ascii="宋体" w:eastAsia="宋体" w:hint="eastAsia"/>
                <w:sz w:val="21"/>
              </w:rPr>
            </w:pPr>
            <w:r>
              <w:rPr>
                <w:rFonts w:ascii="宋体" w:eastAsia="宋体" w:hint="eastAsia"/>
                <w:sz w:val="21"/>
              </w:rPr>
              <w:t>海尔集团附属公司</w:t>
            </w:r>
          </w:p>
        </w:tc>
      </w:tr>
      <w:tr>
        <w:trPr>
          <w:trHeight w:val="273" w:hRule="atLeast"/>
        </w:trPr>
        <w:tc>
          <w:tcPr>
            <w:tcW w:w="3980"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海尔集团财务有限责任公司</w:t>
            </w:r>
          </w:p>
        </w:tc>
        <w:tc>
          <w:tcPr>
            <w:tcW w:w="5070" w:type="dxa"/>
            <w:tcBorders>
              <w:top w:val="single" w:sz="4" w:space="0" w:color="000000"/>
              <w:left w:val="single" w:sz="4" w:space="0" w:color="000000"/>
              <w:bottom w:val="single" w:sz="4" w:space="0" w:color="000000"/>
            </w:tcBorders>
          </w:tcPr>
          <w:p>
            <w:pPr>
              <w:pStyle w:val="TableParagraph"/>
              <w:spacing w:line="252" w:lineRule="exact" w:before="1"/>
              <w:ind w:left="1262" w:right="1227"/>
              <w:jc w:val="center"/>
              <w:rPr>
                <w:rFonts w:ascii="宋体" w:eastAsia="宋体" w:hint="eastAsia"/>
                <w:sz w:val="21"/>
              </w:rPr>
            </w:pPr>
            <w:r>
              <w:rPr>
                <w:rFonts w:ascii="宋体" w:eastAsia="宋体" w:hint="eastAsia"/>
                <w:sz w:val="21"/>
              </w:rPr>
              <w:t>海尔集团附属公司</w:t>
            </w:r>
          </w:p>
        </w:tc>
      </w:tr>
      <w:tr>
        <w:trPr>
          <w:trHeight w:val="270" w:hRule="atLeast"/>
        </w:trPr>
        <w:tc>
          <w:tcPr>
            <w:tcW w:w="3980"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大连海尔国际贸易有限公司</w:t>
            </w:r>
          </w:p>
        </w:tc>
        <w:tc>
          <w:tcPr>
            <w:tcW w:w="5070" w:type="dxa"/>
            <w:tcBorders>
              <w:top w:val="single" w:sz="4" w:space="0" w:color="000000"/>
              <w:left w:val="single" w:sz="4" w:space="0" w:color="000000"/>
              <w:bottom w:val="single" w:sz="4" w:space="0" w:color="000000"/>
            </w:tcBorders>
          </w:tcPr>
          <w:p>
            <w:pPr>
              <w:pStyle w:val="TableParagraph"/>
              <w:spacing w:line="250" w:lineRule="exact" w:before="1"/>
              <w:ind w:left="1262" w:right="1227"/>
              <w:jc w:val="center"/>
              <w:rPr>
                <w:rFonts w:ascii="宋体" w:eastAsia="宋体" w:hint="eastAsia"/>
                <w:sz w:val="21"/>
              </w:rPr>
            </w:pPr>
            <w:r>
              <w:rPr>
                <w:rFonts w:ascii="宋体" w:eastAsia="宋体" w:hint="eastAsia"/>
                <w:sz w:val="21"/>
              </w:rPr>
              <w:t>海尔集团附属公司</w:t>
            </w:r>
          </w:p>
        </w:tc>
      </w:tr>
      <w:tr>
        <w:trPr>
          <w:trHeight w:val="273" w:hRule="atLeast"/>
        </w:trPr>
        <w:tc>
          <w:tcPr>
            <w:tcW w:w="3980"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青岛鼎新电子科技有限公司</w:t>
            </w:r>
          </w:p>
        </w:tc>
        <w:tc>
          <w:tcPr>
            <w:tcW w:w="5070" w:type="dxa"/>
            <w:tcBorders>
              <w:top w:val="single" w:sz="4" w:space="0" w:color="000000"/>
              <w:left w:val="single" w:sz="4" w:space="0" w:color="000000"/>
              <w:bottom w:val="single" w:sz="4" w:space="0" w:color="000000"/>
            </w:tcBorders>
          </w:tcPr>
          <w:p>
            <w:pPr>
              <w:pStyle w:val="TableParagraph"/>
              <w:spacing w:line="252" w:lineRule="exact" w:before="1"/>
              <w:ind w:left="1262" w:right="1227"/>
              <w:jc w:val="center"/>
              <w:rPr>
                <w:rFonts w:ascii="宋体" w:eastAsia="宋体" w:hint="eastAsia"/>
                <w:sz w:val="21"/>
              </w:rPr>
            </w:pPr>
            <w:r>
              <w:rPr>
                <w:rFonts w:ascii="宋体" w:eastAsia="宋体" w:hint="eastAsia"/>
                <w:sz w:val="21"/>
              </w:rPr>
              <w:t>海尔集团附属公司</w:t>
            </w:r>
          </w:p>
        </w:tc>
      </w:tr>
      <w:tr>
        <w:trPr>
          <w:trHeight w:val="270" w:hRule="atLeast"/>
        </w:trPr>
        <w:tc>
          <w:tcPr>
            <w:tcW w:w="3980"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卡奥斯创智物联科技有限公司</w:t>
            </w:r>
          </w:p>
        </w:tc>
        <w:tc>
          <w:tcPr>
            <w:tcW w:w="5070" w:type="dxa"/>
            <w:tcBorders>
              <w:top w:val="single" w:sz="4" w:space="0" w:color="000000"/>
              <w:left w:val="single" w:sz="4" w:space="0" w:color="000000"/>
              <w:bottom w:val="single" w:sz="4" w:space="0" w:color="000000"/>
            </w:tcBorders>
          </w:tcPr>
          <w:p>
            <w:pPr>
              <w:pStyle w:val="TableParagraph"/>
              <w:spacing w:line="250" w:lineRule="exact" w:before="1"/>
              <w:ind w:left="1262" w:right="1227"/>
              <w:jc w:val="center"/>
              <w:rPr>
                <w:rFonts w:ascii="宋体" w:eastAsia="宋体" w:hint="eastAsia"/>
                <w:sz w:val="21"/>
              </w:rPr>
            </w:pPr>
            <w:r>
              <w:rPr>
                <w:rFonts w:ascii="宋体" w:eastAsia="宋体" w:hint="eastAsia"/>
                <w:sz w:val="21"/>
              </w:rPr>
              <w:t>海尔集团附属公司</w:t>
            </w:r>
          </w:p>
        </w:tc>
      </w:tr>
      <w:tr>
        <w:trPr>
          <w:trHeight w:val="273" w:hRule="atLeast"/>
        </w:trPr>
        <w:tc>
          <w:tcPr>
            <w:tcW w:w="3980" w:type="dxa"/>
            <w:tcBorders>
              <w:top w:val="single" w:sz="4" w:space="0" w:color="000000"/>
              <w:bottom w:val="single" w:sz="4" w:space="0" w:color="000000"/>
              <w:right w:val="single" w:sz="4" w:space="0" w:color="000000"/>
            </w:tcBorders>
          </w:tcPr>
          <w:p>
            <w:pPr>
              <w:pStyle w:val="TableParagraph"/>
              <w:spacing w:line="250" w:lineRule="exact" w:before="3"/>
              <w:ind w:left="107"/>
              <w:rPr>
                <w:rFonts w:ascii="宋体" w:eastAsia="宋体" w:hint="eastAsia"/>
                <w:sz w:val="21"/>
              </w:rPr>
            </w:pPr>
            <w:r>
              <w:rPr>
                <w:rFonts w:ascii="宋体" w:eastAsia="宋体" w:hint="eastAsia"/>
                <w:sz w:val="21"/>
              </w:rPr>
              <w:t>海尔数字科技(青岛)有限公司</w:t>
            </w:r>
          </w:p>
        </w:tc>
        <w:tc>
          <w:tcPr>
            <w:tcW w:w="5070" w:type="dxa"/>
            <w:tcBorders>
              <w:top w:val="single" w:sz="4" w:space="0" w:color="000000"/>
              <w:left w:val="single" w:sz="4" w:space="0" w:color="000000"/>
              <w:bottom w:val="single" w:sz="4" w:space="0" w:color="000000"/>
            </w:tcBorders>
          </w:tcPr>
          <w:p>
            <w:pPr>
              <w:pStyle w:val="TableParagraph"/>
              <w:spacing w:line="250" w:lineRule="exact" w:before="3"/>
              <w:ind w:left="1262" w:right="1227"/>
              <w:jc w:val="center"/>
              <w:rPr>
                <w:rFonts w:ascii="宋体" w:eastAsia="宋体" w:hint="eastAsia"/>
                <w:sz w:val="21"/>
              </w:rPr>
            </w:pPr>
            <w:r>
              <w:rPr>
                <w:rFonts w:ascii="宋体" w:eastAsia="宋体" w:hint="eastAsia"/>
                <w:sz w:val="21"/>
              </w:rPr>
              <w:t>海尔集团附属公司</w:t>
            </w:r>
          </w:p>
        </w:tc>
      </w:tr>
      <w:tr>
        <w:trPr>
          <w:trHeight w:val="273" w:hRule="atLeast"/>
        </w:trPr>
        <w:tc>
          <w:tcPr>
            <w:tcW w:w="3980"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青岛海尔新材料研发有限公司</w:t>
            </w:r>
          </w:p>
        </w:tc>
        <w:tc>
          <w:tcPr>
            <w:tcW w:w="5070" w:type="dxa"/>
            <w:tcBorders>
              <w:top w:val="single" w:sz="4" w:space="0" w:color="000000"/>
              <w:left w:val="single" w:sz="4" w:space="0" w:color="000000"/>
              <w:bottom w:val="single" w:sz="4" w:space="0" w:color="000000"/>
            </w:tcBorders>
          </w:tcPr>
          <w:p>
            <w:pPr>
              <w:pStyle w:val="TableParagraph"/>
              <w:spacing w:line="252" w:lineRule="exact" w:before="1"/>
              <w:ind w:left="1262" w:right="1227"/>
              <w:jc w:val="center"/>
              <w:rPr>
                <w:rFonts w:ascii="宋体" w:eastAsia="宋体" w:hint="eastAsia"/>
                <w:sz w:val="21"/>
              </w:rPr>
            </w:pPr>
            <w:r>
              <w:rPr>
                <w:rFonts w:ascii="宋体" w:eastAsia="宋体" w:hint="eastAsia"/>
                <w:sz w:val="21"/>
              </w:rPr>
              <w:t>海尔集团附属公司联营企业</w:t>
            </w:r>
          </w:p>
        </w:tc>
      </w:tr>
      <w:tr>
        <w:trPr>
          <w:trHeight w:val="270" w:hRule="atLeast"/>
        </w:trPr>
        <w:tc>
          <w:tcPr>
            <w:tcW w:w="3980"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青岛海尔模具有限公司</w:t>
            </w:r>
          </w:p>
        </w:tc>
        <w:tc>
          <w:tcPr>
            <w:tcW w:w="5070" w:type="dxa"/>
            <w:tcBorders>
              <w:top w:val="single" w:sz="4" w:space="0" w:color="000000"/>
              <w:left w:val="single" w:sz="4" w:space="0" w:color="000000"/>
              <w:bottom w:val="single" w:sz="4" w:space="0" w:color="000000"/>
            </w:tcBorders>
          </w:tcPr>
          <w:p>
            <w:pPr>
              <w:pStyle w:val="TableParagraph"/>
              <w:spacing w:line="250" w:lineRule="exact" w:before="1"/>
              <w:ind w:left="1262" w:right="1227"/>
              <w:jc w:val="center"/>
              <w:rPr>
                <w:rFonts w:ascii="宋体" w:eastAsia="宋体" w:hint="eastAsia"/>
                <w:sz w:val="21"/>
              </w:rPr>
            </w:pPr>
            <w:r>
              <w:rPr>
                <w:rFonts w:ascii="宋体" w:eastAsia="宋体" w:hint="eastAsia"/>
                <w:sz w:val="21"/>
              </w:rPr>
              <w:t>海尔集团附属公司</w:t>
            </w:r>
          </w:p>
        </w:tc>
      </w:tr>
      <w:tr>
        <w:trPr>
          <w:trHeight w:val="273" w:hRule="atLeast"/>
        </w:trPr>
        <w:tc>
          <w:tcPr>
            <w:tcW w:w="3980" w:type="dxa"/>
            <w:tcBorders>
              <w:top w:val="single" w:sz="4" w:space="0" w:color="000000"/>
              <w:bottom w:val="single" w:sz="4" w:space="0" w:color="000000"/>
              <w:right w:val="single" w:sz="4" w:space="0" w:color="000000"/>
            </w:tcBorders>
          </w:tcPr>
          <w:p>
            <w:pPr>
              <w:pStyle w:val="TableParagraph"/>
              <w:spacing w:line="250" w:lineRule="exact" w:before="3"/>
              <w:ind w:left="107"/>
              <w:rPr>
                <w:rFonts w:ascii="宋体" w:eastAsia="宋体" w:hint="eastAsia"/>
                <w:sz w:val="21"/>
              </w:rPr>
            </w:pPr>
            <w:r>
              <w:rPr>
                <w:rFonts w:ascii="宋体" w:eastAsia="宋体" w:hint="eastAsia"/>
                <w:sz w:val="21"/>
              </w:rPr>
              <w:t>卧龙电气(济南)电机有限公司</w:t>
            </w:r>
          </w:p>
        </w:tc>
        <w:tc>
          <w:tcPr>
            <w:tcW w:w="5070" w:type="dxa"/>
            <w:tcBorders>
              <w:top w:val="single" w:sz="4" w:space="0" w:color="000000"/>
              <w:left w:val="single" w:sz="4" w:space="0" w:color="000000"/>
              <w:bottom w:val="single" w:sz="4" w:space="0" w:color="000000"/>
            </w:tcBorders>
          </w:tcPr>
          <w:p>
            <w:pPr>
              <w:pStyle w:val="TableParagraph"/>
              <w:spacing w:line="250" w:lineRule="exact" w:before="3"/>
              <w:ind w:left="1262" w:right="1227"/>
              <w:jc w:val="center"/>
              <w:rPr>
                <w:rFonts w:ascii="宋体" w:eastAsia="宋体" w:hint="eastAsia"/>
                <w:sz w:val="21"/>
              </w:rPr>
            </w:pPr>
            <w:r>
              <w:rPr>
                <w:rFonts w:ascii="宋体" w:eastAsia="宋体" w:hint="eastAsia"/>
                <w:sz w:val="21"/>
              </w:rPr>
              <w:t>联营企业</w:t>
            </w:r>
          </w:p>
        </w:tc>
      </w:tr>
      <w:tr>
        <w:trPr>
          <w:trHeight w:val="273" w:hRule="atLeast"/>
        </w:trPr>
        <w:tc>
          <w:tcPr>
            <w:tcW w:w="3980"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青岛海尔软件投资有限公司</w:t>
            </w:r>
          </w:p>
        </w:tc>
        <w:tc>
          <w:tcPr>
            <w:tcW w:w="5070" w:type="dxa"/>
            <w:tcBorders>
              <w:top w:val="single" w:sz="4" w:space="0" w:color="000000"/>
              <w:left w:val="single" w:sz="4" w:space="0" w:color="000000"/>
              <w:bottom w:val="single" w:sz="4" w:space="0" w:color="000000"/>
            </w:tcBorders>
          </w:tcPr>
          <w:p>
            <w:pPr>
              <w:pStyle w:val="TableParagraph"/>
              <w:spacing w:line="252" w:lineRule="exact" w:before="1"/>
              <w:ind w:left="1262" w:right="1227"/>
              <w:jc w:val="center"/>
              <w:rPr>
                <w:rFonts w:ascii="宋体" w:eastAsia="宋体" w:hint="eastAsia"/>
                <w:sz w:val="21"/>
              </w:rPr>
            </w:pPr>
            <w:r>
              <w:rPr>
                <w:rFonts w:ascii="宋体" w:eastAsia="宋体" w:hint="eastAsia"/>
                <w:sz w:val="21"/>
              </w:rPr>
              <w:t>联营企业</w:t>
            </w:r>
          </w:p>
        </w:tc>
      </w:tr>
      <w:tr>
        <w:trPr>
          <w:trHeight w:val="270" w:hRule="atLeast"/>
        </w:trPr>
        <w:tc>
          <w:tcPr>
            <w:tcW w:w="3980"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sz w:val="21"/>
              </w:rPr>
            </w:pPr>
            <w:r>
              <w:rPr>
                <w:rFonts w:ascii="宋体"/>
                <w:sz w:val="21"/>
              </w:rPr>
              <w:t>HPZ Ltd</w:t>
            </w:r>
          </w:p>
        </w:tc>
        <w:tc>
          <w:tcPr>
            <w:tcW w:w="5070" w:type="dxa"/>
            <w:tcBorders>
              <w:top w:val="single" w:sz="4" w:space="0" w:color="000000"/>
              <w:left w:val="single" w:sz="4" w:space="0" w:color="000000"/>
              <w:bottom w:val="single" w:sz="4" w:space="0" w:color="000000"/>
            </w:tcBorders>
          </w:tcPr>
          <w:p>
            <w:pPr>
              <w:pStyle w:val="TableParagraph"/>
              <w:spacing w:line="250" w:lineRule="exact" w:before="1"/>
              <w:ind w:left="1262" w:right="1227"/>
              <w:jc w:val="center"/>
              <w:rPr>
                <w:rFonts w:ascii="宋体" w:eastAsia="宋体" w:hint="eastAsia"/>
                <w:sz w:val="21"/>
              </w:rPr>
            </w:pPr>
            <w:r>
              <w:rPr>
                <w:rFonts w:ascii="宋体" w:eastAsia="宋体" w:hint="eastAsia"/>
                <w:sz w:val="21"/>
              </w:rPr>
              <w:t>联营企业</w:t>
            </w:r>
          </w:p>
        </w:tc>
      </w:tr>
      <w:tr>
        <w:trPr>
          <w:trHeight w:val="273" w:hRule="atLeast"/>
        </w:trPr>
        <w:tc>
          <w:tcPr>
            <w:tcW w:w="3980"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HNR 私营有限公司</w:t>
            </w:r>
          </w:p>
        </w:tc>
        <w:tc>
          <w:tcPr>
            <w:tcW w:w="5070" w:type="dxa"/>
            <w:tcBorders>
              <w:top w:val="single" w:sz="4" w:space="0" w:color="000000"/>
              <w:left w:val="single" w:sz="4" w:space="0" w:color="000000"/>
              <w:bottom w:val="single" w:sz="4" w:space="0" w:color="000000"/>
            </w:tcBorders>
          </w:tcPr>
          <w:p>
            <w:pPr>
              <w:pStyle w:val="TableParagraph"/>
              <w:spacing w:line="252" w:lineRule="exact" w:before="1"/>
              <w:ind w:left="1262" w:right="1227"/>
              <w:jc w:val="center"/>
              <w:rPr>
                <w:rFonts w:ascii="宋体" w:eastAsia="宋体" w:hint="eastAsia"/>
                <w:sz w:val="21"/>
              </w:rPr>
            </w:pPr>
            <w:r>
              <w:rPr>
                <w:rFonts w:ascii="宋体" w:eastAsia="宋体" w:hint="eastAsia"/>
                <w:sz w:val="21"/>
              </w:rPr>
              <w:t>联营企业</w:t>
            </w:r>
          </w:p>
        </w:tc>
      </w:tr>
      <w:tr>
        <w:trPr>
          <w:trHeight w:val="273" w:hRule="atLeast"/>
        </w:trPr>
        <w:tc>
          <w:tcPr>
            <w:tcW w:w="3980"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sz w:val="21"/>
              </w:rPr>
            </w:pPr>
            <w:r>
              <w:rPr>
                <w:rFonts w:ascii="宋体"/>
                <w:sz w:val="21"/>
              </w:rPr>
              <w:t>Controladora Mabe S.A.deC.V.</w:t>
            </w:r>
          </w:p>
        </w:tc>
        <w:tc>
          <w:tcPr>
            <w:tcW w:w="5070" w:type="dxa"/>
            <w:tcBorders>
              <w:top w:val="single" w:sz="4" w:space="0" w:color="000000"/>
              <w:left w:val="single" w:sz="4" w:space="0" w:color="000000"/>
              <w:bottom w:val="single" w:sz="4" w:space="0" w:color="000000"/>
            </w:tcBorders>
          </w:tcPr>
          <w:p>
            <w:pPr>
              <w:pStyle w:val="TableParagraph"/>
              <w:spacing w:line="252" w:lineRule="exact" w:before="1"/>
              <w:ind w:left="1262" w:right="1227"/>
              <w:jc w:val="center"/>
              <w:rPr>
                <w:rFonts w:ascii="宋体" w:eastAsia="宋体" w:hint="eastAsia"/>
                <w:sz w:val="21"/>
              </w:rPr>
            </w:pPr>
            <w:r>
              <w:rPr>
                <w:rFonts w:ascii="宋体" w:eastAsia="宋体" w:hint="eastAsia"/>
                <w:sz w:val="21"/>
              </w:rPr>
              <w:t>联营企业</w:t>
            </w:r>
          </w:p>
        </w:tc>
      </w:tr>
      <w:tr>
        <w:trPr>
          <w:trHeight w:val="270" w:hRule="atLeast"/>
        </w:trPr>
        <w:tc>
          <w:tcPr>
            <w:tcW w:w="3980"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合肥河钢新材料科技有限公司</w:t>
            </w:r>
          </w:p>
        </w:tc>
        <w:tc>
          <w:tcPr>
            <w:tcW w:w="5070" w:type="dxa"/>
            <w:tcBorders>
              <w:top w:val="single" w:sz="4" w:space="0" w:color="000000"/>
              <w:left w:val="single" w:sz="4" w:space="0" w:color="000000"/>
              <w:bottom w:val="single" w:sz="4" w:space="0" w:color="000000"/>
            </w:tcBorders>
          </w:tcPr>
          <w:p>
            <w:pPr>
              <w:pStyle w:val="TableParagraph"/>
              <w:spacing w:line="250" w:lineRule="exact" w:before="1"/>
              <w:ind w:left="1262" w:right="1225"/>
              <w:jc w:val="center"/>
              <w:rPr>
                <w:rFonts w:ascii="宋体" w:eastAsia="宋体" w:hint="eastAsia"/>
                <w:sz w:val="21"/>
              </w:rPr>
            </w:pPr>
            <w:r>
              <w:rPr>
                <w:rFonts w:ascii="宋体" w:eastAsia="宋体" w:hint="eastAsia"/>
                <w:sz w:val="21"/>
              </w:rPr>
              <w:t>联营企业子公司</w:t>
            </w:r>
          </w:p>
        </w:tc>
      </w:tr>
      <w:tr>
        <w:trPr>
          <w:trHeight w:val="270" w:hRule="atLeast"/>
        </w:trPr>
        <w:tc>
          <w:tcPr>
            <w:tcW w:w="3980" w:type="dxa"/>
            <w:tcBorders>
              <w:top w:val="single" w:sz="4" w:space="0" w:color="000000"/>
              <w:right w:val="single" w:sz="4" w:space="0" w:color="000000"/>
            </w:tcBorders>
          </w:tcPr>
          <w:p>
            <w:pPr>
              <w:pStyle w:val="TableParagraph"/>
              <w:spacing w:line="249" w:lineRule="exact" w:before="1"/>
              <w:ind w:left="107"/>
              <w:rPr>
                <w:rFonts w:ascii="宋体" w:eastAsia="宋体" w:hint="eastAsia"/>
                <w:sz w:val="21"/>
              </w:rPr>
            </w:pPr>
            <w:r>
              <w:rPr>
                <w:rFonts w:ascii="宋体" w:eastAsia="宋体" w:hint="eastAsia"/>
                <w:sz w:val="21"/>
              </w:rPr>
              <w:t>青岛河钢复合新材料科技有限公司</w:t>
            </w:r>
          </w:p>
        </w:tc>
        <w:tc>
          <w:tcPr>
            <w:tcW w:w="5070" w:type="dxa"/>
            <w:tcBorders>
              <w:top w:val="single" w:sz="4" w:space="0" w:color="000000"/>
              <w:left w:val="single" w:sz="4" w:space="0" w:color="000000"/>
            </w:tcBorders>
          </w:tcPr>
          <w:p>
            <w:pPr>
              <w:pStyle w:val="TableParagraph"/>
              <w:spacing w:line="249" w:lineRule="exact" w:before="1"/>
              <w:ind w:left="1262" w:right="1225"/>
              <w:jc w:val="center"/>
              <w:rPr>
                <w:rFonts w:ascii="宋体" w:eastAsia="宋体" w:hint="eastAsia"/>
                <w:sz w:val="21"/>
              </w:rPr>
            </w:pPr>
            <w:r>
              <w:rPr>
                <w:rFonts w:ascii="宋体" w:eastAsia="宋体" w:hint="eastAsia"/>
                <w:sz w:val="21"/>
              </w:rPr>
              <w:t>联营企业子公司</w:t>
            </w:r>
          </w:p>
        </w:tc>
      </w:tr>
    </w:tbl>
    <w:p>
      <w:pPr>
        <w:pStyle w:val="BodyText"/>
        <w:rPr>
          <w:sz w:val="26"/>
        </w:rPr>
      </w:pPr>
    </w:p>
    <w:p>
      <w:pPr>
        <w:pStyle w:val="Heading4"/>
        <w:spacing w:before="3"/>
        <w:ind w:left="1950"/>
      </w:pPr>
      <w:r>
        <w:rPr/>
        <w:t>（三）关联方交易情况</w:t>
      </w:r>
    </w:p>
    <w:p>
      <w:pPr>
        <w:pStyle w:val="BodyText"/>
        <w:spacing w:before="11"/>
        <w:rPr>
          <w:rFonts w:ascii="Microsoft JhengHei"/>
          <w:b/>
          <w:sz w:val="14"/>
        </w:rPr>
      </w:pPr>
    </w:p>
    <w:p>
      <w:pPr>
        <w:pStyle w:val="BodyText"/>
        <w:ind w:left="1895"/>
      </w:pPr>
      <w:r>
        <w:rPr>
          <w:rFonts w:ascii="Times New Roman" w:eastAsia="Times New Roman"/>
        </w:rPr>
        <w:t>1</w:t>
      </w:r>
      <w:r>
        <w:rPr/>
        <w:t>、本公司向关联方采购货物及服务有关明细资料如下：</w:t>
      </w:r>
    </w:p>
    <w:p>
      <w:pPr>
        <w:pStyle w:val="BodyText"/>
        <w:spacing w:before="3"/>
        <w:rPr>
          <w:sz w:val="12"/>
        </w:rPr>
      </w:pPr>
    </w:p>
    <w:tbl>
      <w:tblPr>
        <w:tblW w:w="0" w:type="auto"/>
        <w:jc w:val="left"/>
        <w:tblInd w:w="15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673"/>
        <w:gridCol w:w="2655"/>
        <w:gridCol w:w="2478"/>
      </w:tblGrid>
      <w:tr>
        <w:trPr>
          <w:trHeight w:val="368" w:hRule="atLeast"/>
        </w:trPr>
        <w:tc>
          <w:tcPr>
            <w:tcW w:w="3673" w:type="dxa"/>
            <w:tcBorders>
              <w:bottom w:val="single" w:sz="4" w:space="0" w:color="000000"/>
              <w:right w:val="single" w:sz="4" w:space="0" w:color="000000"/>
            </w:tcBorders>
          </w:tcPr>
          <w:p>
            <w:pPr>
              <w:pStyle w:val="TableParagraph"/>
              <w:spacing w:line="349" w:lineRule="exact"/>
              <w:ind w:left="1290" w:right="1273"/>
              <w:jc w:val="center"/>
              <w:rPr>
                <w:rFonts w:ascii="Microsoft JhengHei" w:eastAsia="Microsoft JhengHei" w:hint="eastAsia"/>
                <w:b/>
                <w:sz w:val="21"/>
              </w:rPr>
            </w:pPr>
            <w:r>
              <w:rPr>
                <w:rFonts w:ascii="Microsoft JhengHei" w:eastAsia="Microsoft JhengHei" w:hint="eastAsia"/>
                <w:b/>
                <w:sz w:val="21"/>
              </w:rPr>
              <w:t>关联方名称</w:t>
            </w:r>
          </w:p>
        </w:tc>
        <w:tc>
          <w:tcPr>
            <w:tcW w:w="2655" w:type="dxa"/>
            <w:tcBorders>
              <w:left w:val="single" w:sz="4" w:space="0" w:color="000000"/>
              <w:bottom w:val="single" w:sz="4" w:space="0" w:color="000000"/>
              <w:right w:val="single" w:sz="4" w:space="0" w:color="000000"/>
            </w:tcBorders>
          </w:tcPr>
          <w:p>
            <w:pPr>
              <w:pStyle w:val="TableParagraph"/>
              <w:spacing w:line="349" w:lineRule="exact"/>
              <w:ind w:left="808"/>
              <w:rPr>
                <w:rFonts w:ascii="Microsoft JhengHei" w:eastAsia="Microsoft JhengHei" w:hint="eastAsia"/>
                <w:b/>
                <w:sz w:val="21"/>
              </w:rPr>
            </w:pPr>
            <w:r>
              <w:rPr>
                <w:rFonts w:ascii="Microsoft JhengHei" w:eastAsia="Microsoft JhengHei" w:hint="eastAsia"/>
                <w:b/>
                <w:sz w:val="21"/>
              </w:rPr>
              <w:t>本期发生额</w:t>
            </w:r>
          </w:p>
        </w:tc>
        <w:tc>
          <w:tcPr>
            <w:tcW w:w="2478" w:type="dxa"/>
            <w:tcBorders>
              <w:left w:val="single" w:sz="4" w:space="0" w:color="000000"/>
              <w:bottom w:val="single" w:sz="4" w:space="0" w:color="000000"/>
            </w:tcBorders>
          </w:tcPr>
          <w:p>
            <w:pPr>
              <w:pStyle w:val="TableParagraph"/>
              <w:spacing w:line="349" w:lineRule="exact"/>
              <w:ind w:left="719"/>
              <w:rPr>
                <w:rFonts w:ascii="Microsoft JhengHei" w:eastAsia="Microsoft JhengHei" w:hint="eastAsia"/>
                <w:b/>
                <w:sz w:val="21"/>
              </w:rPr>
            </w:pPr>
            <w:r>
              <w:rPr>
                <w:rFonts w:ascii="Microsoft JhengHei" w:eastAsia="Microsoft JhengHei" w:hint="eastAsia"/>
                <w:b/>
                <w:sz w:val="21"/>
              </w:rPr>
              <w:t>上期发生额</w:t>
            </w:r>
          </w:p>
        </w:tc>
      </w:tr>
      <w:tr>
        <w:trPr>
          <w:trHeight w:val="369" w:hRule="atLeast"/>
        </w:trPr>
        <w:tc>
          <w:tcPr>
            <w:tcW w:w="3673" w:type="dxa"/>
            <w:tcBorders>
              <w:top w:val="single" w:sz="4" w:space="0" w:color="000000"/>
              <w:bottom w:val="single" w:sz="4" w:space="0" w:color="000000"/>
              <w:right w:val="single" w:sz="4" w:space="0" w:color="000000"/>
            </w:tcBorders>
          </w:tcPr>
          <w:p>
            <w:pPr>
              <w:pStyle w:val="TableParagraph"/>
              <w:spacing w:before="58"/>
              <w:ind w:left="107"/>
              <w:rPr>
                <w:sz w:val="21"/>
              </w:rPr>
            </w:pPr>
            <w:r>
              <w:rPr>
                <w:sz w:val="21"/>
              </w:rPr>
              <w:t>Controladora Mabe S.A.deC.V.</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before="58"/>
              <w:ind w:right="87"/>
              <w:jc w:val="right"/>
              <w:rPr>
                <w:sz w:val="21"/>
              </w:rPr>
            </w:pPr>
            <w:r>
              <w:rPr>
                <w:sz w:val="21"/>
              </w:rPr>
              <w:t>11,999,474,973.38</w:t>
            </w:r>
          </w:p>
        </w:tc>
        <w:tc>
          <w:tcPr>
            <w:tcW w:w="2478" w:type="dxa"/>
            <w:tcBorders>
              <w:top w:val="single" w:sz="4" w:space="0" w:color="000000"/>
              <w:left w:val="single" w:sz="4" w:space="0" w:color="000000"/>
              <w:bottom w:val="single" w:sz="4" w:space="0" w:color="000000"/>
            </w:tcBorders>
          </w:tcPr>
          <w:p>
            <w:pPr>
              <w:pStyle w:val="TableParagraph"/>
              <w:spacing w:before="58"/>
              <w:ind w:right="77"/>
              <w:jc w:val="right"/>
              <w:rPr>
                <w:sz w:val="21"/>
              </w:rPr>
            </w:pPr>
            <w:r>
              <w:rPr>
                <w:sz w:val="21"/>
              </w:rPr>
              <w:t>11,619,586,690.71</w:t>
            </w:r>
          </w:p>
        </w:tc>
      </w:tr>
      <w:tr>
        <w:trPr>
          <w:trHeight w:val="369" w:hRule="atLeast"/>
        </w:trPr>
        <w:tc>
          <w:tcPr>
            <w:tcW w:w="367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青岛海尔零部件采购有限公司</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before="55"/>
              <w:ind w:right="87"/>
              <w:jc w:val="right"/>
              <w:rPr>
                <w:sz w:val="21"/>
              </w:rPr>
            </w:pPr>
            <w:r>
              <w:rPr>
                <w:sz w:val="21"/>
              </w:rPr>
              <w:t>4,846,802,255.37</w:t>
            </w:r>
          </w:p>
        </w:tc>
        <w:tc>
          <w:tcPr>
            <w:tcW w:w="2478" w:type="dxa"/>
            <w:tcBorders>
              <w:top w:val="single" w:sz="4" w:space="0" w:color="000000"/>
              <w:left w:val="single" w:sz="4" w:space="0" w:color="000000"/>
              <w:bottom w:val="single" w:sz="4" w:space="0" w:color="000000"/>
            </w:tcBorders>
          </w:tcPr>
          <w:p>
            <w:pPr>
              <w:pStyle w:val="TableParagraph"/>
              <w:spacing w:before="55"/>
              <w:ind w:right="77"/>
              <w:jc w:val="right"/>
              <w:rPr>
                <w:sz w:val="21"/>
              </w:rPr>
            </w:pPr>
            <w:r>
              <w:rPr>
                <w:sz w:val="21"/>
              </w:rPr>
              <w:t>5,953,684,963.48</w:t>
            </w:r>
          </w:p>
        </w:tc>
      </w:tr>
      <w:tr>
        <w:trPr>
          <w:trHeight w:val="369" w:hRule="atLeast"/>
        </w:trPr>
        <w:tc>
          <w:tcPr>
            <w:tcW w:w="367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日日顺供应链科技股份有限公司</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before="55"/>
              <w:ind w:right="84"/>
              <w:jc w:val="right"/>
              <w:rPr>
                <w:sz w:val="21"/>
              </w:rPr>
            </w:pPr>
            <w:r>
              <w:rPr>
                <w:sz w:val="21"/>
              </w:rPr>
              <w:t>4,738,194,290.17</w:t>
            </w:r>
          </w:p>
        </w:tc>
        <w:tc>
          <w:tcPr>
            <w:tcW w:w="2478" w:type="dxa"/>
            <w:tcBorders>
              <w:top w:val="single" w:sz="4" w:space="0" w:color="000000"/>
              <w:left w:val="single" w:sz="4" w:space="0" w:color="000000"/>
              <w:bottom w:val="single" w:sz="4" w:space="0" w:color="000000"/>
            </w:tcBorders>
          </w:tcPr>
          <w:p>
            <w:pPr>
              <w:pStyle w:val="TableParagraph"/>
              <w:spacing w:before="55"/>
              <w:ind w:right="77"/>
              <w:jc w:val="right"/>
              <w:rPr>
                <w:sz w:val="21"/>
              </w:rPr>
            </w:pPr>
            <w:r>
              <w:rPr>
                <w:sz w:val="21"/>
              </w:rPr>
              <w:t>2,578,446,466.54</w:t>
            </w:r>
          </w:p>
        </w:tc>
      </w:tr>
      <w:tr>
        <w:trPr>
          <w:trHeight w:val="366" w:hRule="atLeast"/>
        </w:trPr>
        <w:tc>
          <w:tcPr>
            <w:tcW w:w="367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重庆海尔电器销售有限公司</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before="55"/>
              <w:ind w:right="87"/>
              <w:jc w:val="right"/>
              <w:rPr>
                <w:sz w:val="21"/>
              </w:rPr>
            </w:pPr>
            <w:r>
              <w:rPr>
                <w:sz w:val="21"/>
              </w:rPr>
              <w:t>3,551,418,241.21</w:t>
            </w:r>
          </w:p>
        </w:tc>
        <w:tc>
          <w:tcPr>
            <w:tcW w:w="2478" w:type="dxa"/>
            <w:tcBorders>
              <w:top w:val="single" w:sz="4" w:space="0" w:color="000000"/>
              <w:left w:val="single" w:sz="4" w:space="0" w:color="000000"/>
              <w:bottom w:val="single" w:sz="4" w:space="0" w:color="000000"/>
            </w:tcBorders>
          </w:tcPr>
          <w:p>
            <w:pPr>
              <w:pStyle w:val="TableParagraph"/>
              <w:spacing w:before="55"/>
              <w:ind w:right="77"/>
              <w:jc w:val="right"/>
              <w:rPr>
                <w:sz w:val="21"/>
              </w:rPr>
            </w:pPr>
            <w:r>
              <w:rPr>
                <w:sz w:val="21"/>
              </w:rPr>
              <w:t>3,898,627,675.37</w:t>
            </w:r>
          </w:p>
        </w:tc>
      </w:tr>
      <w:tr>
        <w:trPr>
          <w:trHeight w:val="369" w:hRule="atLeast"/>
        </w:trPr>
        <w:tc>
          <w:tcPr>
            <w:tcW w:w="3673"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sz w:val="21"/>
              </w:rPr>
              <w:t>HNR </w:t>
            </w:r>
            <w:r>
              <w:rPr>
                <w:rFonts w:ascii="宋体" w:eastAsia="宋体" w:hint="eastAsia"/>
                <w:sz w:val="21"/>
              </w:rPr>
              <w:t>私营有限公司</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before="58"/>
              <w:ind w:right="87"/>
              <w:jc w:val="right"/>
              <w:rPr>
                <w:sz w:val="21"/>
              </w:rPr>
            </w:pPr>
            <w:r>
              <w:rPr>
                <w:sz w:val="21"/>
              </w:rPr>
              <w:t>2,018,249,351.88</w:t>
            </w:r>
          </w:p>
        </w:tc>
        <w:tc>
          <w:tcPr>
            <w:tcW w:w="2478" w:type="dxa"/>
            <w:tcBorders>
              <w:top w:val="single" w:sz="4" w:space="0" w:color="000000"/>
              <w:left w:val="single" w:sz="4" w:space="0" w:color="000000"/>
              <w:bottom w:val="single" w:sz="4" w:space="0" w:color="000000"/>
            </w:tcBorders>
          </w:tcPr>
          <w:p>
            <w:pPr>
              <w:pStyle w:val="TableParagraph"/>
              <w:spacing w:before="58"/>
              <w:ind w:right="77"/>
              <w:jc w:val="right"/>
              <w:rPr>
                <w:sz w:val="21"/>
              </w:rPr>
            </w:pPr>
            <w:r>
              <w:rPr>
                <w:sz w:val="21"/>
              </w:rPr>
              <w:t>1,956,294,467.87</w:t>
            </w:r>
          </w:p>
        </w:tc>
      </w:tr>
      <w:tr>
        <w:trPr>
          <w:trHeight w:val="369" w:hRule="atLeast"/>
        </w:trPr>
        <w:tc>
          <w:tcPr>
            <w:tcW w:w="3673"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重庆海尔物流有限公司</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before="58"/>
              <w:ind w:right="87"/>
              <w:jc w:val="right"/>
              <w:rPr>
                <w:sz w:val="21"/>
              </w:rPr>
            </w:pPr>
            <w:r>
              <w:rPr>
                <w:sz w:val="21"/>
              </w:rPr>
              <w:t>1,877,957,019.48</w:t>
            </w:r>
          </w:p>
        </w:tc>
        <w:tc>
          <w:tcPr>
            <w:tcW w:w="2478" w:type="dxa"/>
            <w:tcBorders>
              <w:top w:val="single" w:sz="4" w:space="0" w:color="000000"/>
              <w:left w:val="single" w:sz="4" w:space="0" w:color="000000"/>
              <w:bottom w:val="single" w:sz="4" w:space="0" w:color="000000"/>
            </w:tcBorders>
          </w:tcPr>
          <w:p>
            <w:pPr>
              <w:pStyle w:val="TableParagraph"/>
              <w:spacing w:before="58"/>
              <w:ind w:right="77"/>
              <w:jc w:val="right"/>
              <w:rPr>
                <w:sz w:val="21"/>
              </w:rPr>
            </w:pPr>
            <w:r>
              <w:rPr>
                <w:sz w:val="21"/>
              </w:rPr>
              <w:t>1,907,965,982.80</w:t>
            </w:r>
          </w:p>
        </w:tc>
      </w:tr>
      <w:tr>
        <w:trPr>
          <w:trHeight w:val="369" w:hRule="atLeast"/>
        </w:trPr>
        <w:tc>
          <w:tcPr>
            <w:tcW w:w="3673"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合肥海尔物流有限公司</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1,690,523,334.50</w:t>
            </w:r>
          </w:p>
        </w:tc>
        <w:tc>
          <w:tcPr>
            <w:tcW w:w="2478" w:type="dxa"/>
            <w:tcBorders>
              <w:top w:val="single" w:sz="4" w:space="0" w:color="000000"/>
              <w:left w:val="single" w:sz="4" w:space="0" w:color="000000"/>
              <w:bottom w:val="single" w:sz="4" w:space="0" w:color="000000"/>
            </w:tcBorders>
          </w:tcPr>
          <w:p>
            <w:pPr>
              <w:pStyle w:val="TableParagraph"/>
              <w:spacing w:before="58"/>
              <w:ind w:right="77"/>
              <w:jc w:val="right"/>
              <w:rPr>
                <w:sz w:val="21"/>
              </w:rPr>
            </w:pPr>
            <w:r>
              <w:rPr>
                <w:sz w:val="21"/>
              </w:rPr>
              <w:t>1,942,921,087.20</w:t>
            </w:r>
          </w:p>
        </w:tc>
      </w:tr>
      <w:tr>
        <w:trPr>
          <w:trHeight w:val="369" w:hRule="atLeast"/>
        </w:trPr>
        <w:tc>
          <w:tcPr>
            <w:tcW w:w="367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青岛海尔国际贸易有限公司</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985,309,249.11</w:t>
            </w:r>
          </w:p>
        </w:tc>
        <w:tc>
          <w:tcPr>
            <w:tcW w:w="2478" w:type="dxa"/>
            <w:tcBorders>
              <w:top w:val="single" w:sz="4" w:space="0" w:color="000000"/>
              <w:left w:val="single" w:sz="4" w:space="0" w:color="000000"/>
              <w:bottom w:val="single" w:sz="4" w:space="0" w:color="000000"/>
            </w:tcBorders>
          </w:tcPr>
          <w:p>
            <w:pPr>
              <w:pStyle w:val="TableParagraph"/>
              <w:spacing w:before="58"/>
              <w:ind w:right="77"/>
              <w:jc w:val="right"/>
              <w:rPr>
                <w:sz w:val="21"/>
              </w:rPr>
            </w:pPr>
            <w:r>
              <w:rPr>
                <w:sz w:val="21"/>
              </w:rPr>
              <w:t>1,175,534,219.93</w:t>
            </w:r>
          </w:p>
        </w:tc>
      </w:tr>
      <w:tr>
        <w:trPr>
          <w:trHeight w:val="369" w:hRule="atLeast"/>
        </w:trPr>
        <w:tc>
          <w:tcPr>
            <w:tcW w:w="367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合肥河钢新材料科技有限公司</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906,960,612.06</w:t>
            </w:r>
          </w:p>
        </w:tc>
        <w:tc>
          <w:tcPr>
            <w:tcW w:w="2478"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828,466,593.38</w:t>
            </w:r>
          </w:p>
        </w:tc>
      </w:tr>
      <w:tr>
        <w:trPr>
          <w:trHeight w:val="369" w:hRule="atLeast"/>
        </w:trPr>
        <w:tc>
          <w:tcPr>
            <w:tcW w:w="367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青岛河钢复合新材料科技有限公司</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778,581,344.26</w:t>
            </w:r>
          </w:p>
        </w:tc>
        <w:tc>
          <w:tcPr>
            <w:tcW w:w="2478"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634,888,355.57</w:t>
            </w:r>
          </w:p>
        </w:tc>
      </w:tr>
      <w:tr>
        <w:trPr>
          <w:trHeight w:val="369" w:hRule="atLeast"/>
        </w:trPr>
        <w:tc>
          <w:tcPr>
            <w:tcW w:w="367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卧龙电气</w:t>
            </w:r>
            <w:r>
              <w:rPr>
                <w:sz w:val="21"/>
              </w:rPr>
              <w:t>(</w:t>
            </w:r>
            <w:r>
              <w:rPr>
                <w:rFonts w:ascii="宋体" w:eastAsia="宋体" w:hint="eastAsia"/>
                <w:sz w:val="21"/>
              </w:rPr>
              <w:t>济南</w:t>
            </w:r>
            <w:r>
              <w:rPr>
                <w:sz w:val="21"/>
              </w:rPr>
              <w:t>)</w:t>
            </w:r>
            <w:r>
              <w:rPr>
                <w:rFonts w:ascii="宋体" w:eastAsia="宋体" w:hint="eastAsia"/>
                <w:sz w:val="21"/>
              </w:rPr>
              <w:t>电机有限公司</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773,829,886.35</w:t>
            </w:r>
          </w:p>
        </w:tc>
        <w:tc>
          <w:tcPr>
            <w:tcW w:w="2478"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730,664,069.32</w:t>
            </w:r>
          </w:p>
        </w:tc>
      </w:tr>
      <w:tr>
        <w:trPr>
          <w:trHeight w:val="369" w:hRule="atLeast"/>
        </w:trPr>
        <w:tc>
          <w:tcPr>
            <w:tcW w:w="367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青岛海尔特种塑料研制开发有限公司</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before="58"/>
              <w:ind w:right="84"/>
              <w:jc w:val="right"/>
              <w:rPr>
                <w:sz w:val="21"/>
              </w:rPr>
            </w:pPr>
            <w:r>
              <w:rPr>
                <w:sz w:val="21"/>
              </w:rPr>
              <w:t>684,474,886.19</w:t>
            </w:r>
          </w:p>
        </w:tc>
        <w:tc>
          <w:tcPr>
            <w:tcW w:w="2478"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666,523,746.13</w:t>
            </w:r>
          </w:p>
        </w:tc>
      </w:tr>
      <w:tr>
        <w:trPr>
          <w:trHeight w:val="369" w:hRule="atLeast"/>
        </w:trPr>
        <w:tc>
          <w:tcPr>
            <w:tcW w:w="367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卡奥斯创智物联科技有限公司</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before="55"/>
              <w:ind w:right="84"/>
              <w:jc w:val="right"/>
              <w:rPr>
                <w:sz w:val="21"/>
              </w:rPr>
            </w:pPr>
            <w:r>
              <w:rPr>
                <w:sz w:val="21"/>
              </w:rPr>
              <w:t>555,538,358.70</w:t>
            </w:r>
          </w:p>
        </w:tc>
        <w:tc>
          <w:tcPr>
            <w:tcW w:w="2478"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367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海尔数字科技</w:t>
            </w:r>
            <w:r>
              <w:rPr>
                <w:sz w:val="21"/>
              </w:rPr>
              <w:t>(</w:t>
            </w:r>
            <w:r>
              <w:rPr>
                <w:rFonts w:ascii="宋体" w:eastAsia="宋体" w:hint="eastAsia"/>
                <w:sz w:val="21"/>
              </w:rPr>
              <w:t>青岛</w:t>
            </w:r>
            <w:r>
              <w:rPr>
                <w:sz w:val="21"/>
              </w:rPr>
              <w:t>)</w:t>
            </w:r>
            <w:r>
              <w:rPr>
                <w:rFonts w:ascii="宋体" w:eastAsia="宋体" w:hint="eastAsia"/>
                <w:sz w:val="21"/>
              </w:rPr>
              <w:t>有限公司</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before="55"/>
              <w:ind w:right="84"/>
              <w:jc w:val="right"/>
              <w:rPr>
                <w:sz w:val="21"/>
              </w:rPr>
            </w:pPr>
            <w:r>
              <w:rPr>
                <w:sz w:val="21"/>
              </w:rPr>
              <w:t>451,153,566.88</w:t>
            </w:r>
          </w:p>
        </w:tc>
        <w:tc>
          <w:tcPr>
            <w:tcW w:w="2478" w:type="dxa"/>
            <w:tcBorders>
              <w:top w:val="single" w:sz="4" w:space="0" w:color="000000"/>
              <w:left w:val="single" w:sz="4" w:space="0" w:color="000000"/>
              <w:bottom w:val="single" w:sz="4" w:space="0" w:color="000000"/>
            </w:tcBorders>
          </w:tcPr>
          <w:p>
            <w:pPr>
              <w:pStyle w:val="TableParagraph"/>
              <w:rPr>
                <w:sz w:val="20"/>
              </w:rPr>
            </w:pPr>
          </w:p>
        </w:tc>
      </w:tr>
      <w:tr>
        <w:trPr>
          <w:trHeight w:val="366" w:hRule="atLeast"/>
        </w:trPr>
        <w:tc>
          <w:tcPr>
            <w:tcW w:w="3673" w:type="dxa"/>
            <w:tcBorders>
              <w:top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大连海尔国际贸易有限公司</w:t>
            </w:r>
          </w:p>
        </w:tc>
        <w:tc>
          <w:tcPr>
            <w:tcW w:w="2655" w:type="dxa"/>
            <w:tcBorders>
              <w:top w:val="single" w:sz="4" w:space="0" w:color="000000"/>
              <w:left w:val="single" w:sz="4" w:space="0" w:color="000000"/>
              <w:right w:val="single" w:sz="4" w:space="0" w:color="000000"/>
            </w:tcBorders>
          </w:tcPr>
          <w:p>
            <w:pPr>
              <w:pStyle w:val="TableParagraph"/>
              <w:spacing w:before="55"/>
              <w:ind w:right="84"/>
              <w:jc w:val="right"/>
              <w:rPr>
                <w:sz w:val="21"/>
              </w:rPr>
            </w:pPr>
            <w:r>
              <w:rPr>
                <w:sz w:val="21"/>
              </w:rPr>
              <w:t>438,594,789.44</w:t>
            </w:r>
          </w:p>
        </w:tc>
        <w:tc>
          <w:tcPr>
            <w:tcW w:w="2478" w:type="dxa"/>
            <w:tcBorders>
              <w:top w:val="single" w:sz="4" w:space="0" w:color="000000"/>
              <w:left w:val="single" w:sz="4" w:space="0" w:color="000000"/>
            </w:tcBorders>
          </w:tcPr>
          <w:p>
            <w:pPr>
              <w:pStyle w:val="TableParagraph"/>
              <w:spacing w:before="55"/>
              <w:ind w:right="75"/>
              <w:jc w:val="right"/>
              <w:rPr>
                <w:sz w:val="21"/>
              </w:rPr>
            </w:pPr>
            <w:r>
              <w:rPr>
                <w:sz w:val="21"/>
              </w:rPr>
              <w:t>449,760,851.95</w:t>
            </w:r>
          </w:p>
        </w:tc>
      </w:tr>
    </w:tbl>
    <w:p>
      <w:pPr>
        <w:spacing w:after="0"/>
        <w:jc w:val="right"/>
        <w:rPr>
          <w:sz w:val="21"/>
        </w:rPr>
        <w:sectPr>
          <w:pgSz w:w="11910" w:h="16840"/>
          <w:pgMar w:header="876" w:footer="1184" w:top="1440" w:bottom="1400" w:left="260" w:right="0"/>
        </w:sectPr>
      </w:pPr>
    </w:p>
    <w:p>
      <w:pPr>
        <w:pStyle w:val="BodyText"/>
        <w:spacing w:before="2"/>
        <w:rPr>
          <w:sz w:val="5"/>
        </w:rPr>
      </w:pPr>
    </w:p>
    <w:tbl>
      <w:tblPr>
        <w:tblW w:w="0" w:type="auto"/>
        <w:jc w:val="left"/>
        <w:tblInd w:w="15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673"/>
        <w:gridCol w:w="2655"/>
        <w:gridCol w:w="2478"/>
      </w:tblGrid>
      <w:tr>
        <w:trPr>
          <w:trHeight w:val="371" w:hRule="atLeast"/>
        </w:trPr>
        <w:tc>
          <w:tcPr>
            <w:tcW w:w="3673" w:type="dxa"/>
            <w:tcBorders>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其他关联方</w:t>
            </w:r>
          </w:p>
        </w:tc>
        <w:tc>
          <w:tcPr>
            <w:tcW w:w="2655" w:type="dxa"/>
            <w:tcBorders>
              <w:left w:val="single" w:sz="4" w:space="0" w:color="000000"/>
              <w:bottom w:val="single" w:sz="4" w:space="0" w:color="000000"/>
              <w:right w:val="single" w:sz="4" w:space="0" w:color="000000"/>
            </w:tcBorders>
          </w:tcPr>
          <w:p>
            <w:pPr>
              <w:pStyle w:val="TableParagraph"/>
              <w:spacing w:before="58"/>
              <w:ind w:right="87"/>
              <w:jc w:val="right"/>
              <w:rPr>
                <w:sz w:val="21"/>
              </w:rPr>
            </w:pPr>
            <w:r>
              <w:rPr>
                <w:sz w:val="21"/>
              </w:rPr>
              <w:t>2,984,257,987.87</w:t>
            </w:r>
          </w:p>
        </w:tc>
        <w:tc>
          <w:tcPr>
            <w:tcW w:w="2478" w:type="dxa"/>
            <w:tcBorders>
              <w:left w:val="single" w:sz="4" w:space="0" w:color="000000"/>
              <w:bottom w:val="single" w:sz="4" w:space="0" w:color="000000"/>
            </w:tcBorders>
          </w:tcPr>
          <w:p>
            <w:pPr>
              <w:pStyle w:val="TableParagraph"/>
              <w:spacing w:before="58"/>
              <w:ind w:right="77"/>
              <w:jc w:val="right"/>
              <w:rPr>
                <w:sz w:val="21"/>
              </w:rPr>
            </w:pPr>
            <w:r>
              <w:rPr>
                <w:sz w:val="21"/>
              </w:rPr>
              <w:t>1,618,213,218.22</w:t>
            </w:r>
          </w:p>
        </w:tc>
      </w:tr>
      <w:tr>
        <w:trPr>
          <w:trHeight w:val="366" w:hRule="atLeast"/>
        </w:trPr>
        <w:tc>
          <w:tcPr>
            <w:tcW w:w="3673" w:type="dxa"/>
            <w:tcBorders>
              <w:top w:val="single" w:sz="4" w:space="0" w:color="000000"/>
              <w:right w:val="single" w:sz="4" w:space="0" w:color="000000"/>
            </w:tcBorders>
          </w:tcPr>
          <w:p>
            <w:pPr>
              <w:pStyle w:val="TableParagraph"/>
              <w:spacing w:before="49"/>
              <w:ind w:left="1290" w:right="1273"/>
              <w:jc w:val="center"/>
              <w:rPr>
                <w:rFonts w:ascii="宋体" w:eastAsia="宋体" w:hint="eastAsia"/>
                <w:sz w:val="21"/>
              </w:rPr>
            </w:pPr>
            <w:r>
              <w:rPr>
                <w:rFonts w:ascii="宋体" w:eastAsia="宋体" w:hint="eastAsia"/>
                <w:sz w:val="21"/>
              </w:rPr>
              <w:t>合计</w:t>
            </w:r>
          </w:p>
        </w:tc>
        <w:tc>
          <w:tcPr>
            <w:tcW w:w="2655" w:type="dxa"/>
            <w:tcBorders>
              <w:top w:val="single" w:sz="4" w:space="0" w:color="000000"/>
              <w:left w:val="single" w:sz="4" w:space="0" w:color="000000"/>
              <w:right w:val="single" w:sz="4" w:space="0" w:color="000000"/>
            </w:tcBorders>
          </w:tcPr>
          <w:p>
            <w:pPr>
              <w:pStyle w:val="TableParagraph"/>
              <w:spacing w:before="55"/>
              <w:ind w:right="87"/>
              <w:jc w:val="right"/>
              <w:rPr>
                <w:sz w:val="21"/>
              </w:rPr>
            </w:pPr>
            <w:r>
              <w:rPr>
                <w:sz w:val="21"/>
              </w:rPr>
              <w:t>39,281,320,146.85</w:t>
            </w:r>
          </w:p>
        </w:tc>
        <w:tc>
          <w:tcPr>
            <w:tcW w:w="2478" w:type="dxa"/>
            <w:tcBorders>
              <w:top w:val="single" w:sz="4" w:space="0" w:color="000000"/>
              <w:left w:val="single" w:sz="4" w:space="0" w:color="000000"/>
            </w:tcBorders>
          </w:tcPr>
          <w:p>
            <w:pPr>
              <w:pStyle w:val="TableParagraph"/>
              <w:spacing w:before="55"/>
              <w:ind w:right="77"/>
              <w:jc w:val="right"/>
              <w:rPr>
                <w:sz w:val="21"/>
              </w:rPr>
            </w:pPr>
            <w:r>
              <w:rPr>
                <w:sz w:val="21"/>
              </w:rPr>
              <w:t>35,961,578,388.47</w:t>
            </w:r>
          </w:p>
        </w:tc>
      </w:tr>
    </w:tbl>
    <w:p>
      <w:pPr>
        <w:pStyle w:val="BodyText"/>
        <w:spacing w:before="9"/>
        <w:rPr>
          <w:sz w:val="7"/>
        </w:rPr>
      </w:pPr>
    </w:p>
    <w:p>
      <w:pPr>
        <w:pStyle w:val="BodyText"/>
        <w:spacing w:before="78"/>
        <w:ind w:left="1895"/>
      </w:pPr>
      <w:r>
        <w:rPr>
          <w:rFonts w:ascii="Times New Roman" w:eastAsia="Times New Roman"/>
        </w:rPr>
        <w:t>2</w:t>
      </w:r>
      <w:r>
        <w:rPr/>
        <w:t>、本公司向关联方销售货物有关明细资料如下：</w:t>
      </w:r>
    </w:p>
    <w:p>
      <w:pPr>
        <w:pStyle w:val="BodyText"/>
        <w:spacing w:before="3" w:after="1"/>
        <w:rPr>
          <w:sz w:val="12"/>
        </w:rPr>
      </w:pPr>
    </w:p>
    <w:tbl>
      <w:tblPr>
        <w:tblW w:w="0" w:type="auto"/>
        <w:jc w:val="left"/>
        <w:tblInd w:w="17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675"/>
        <w:gridCol w:w="2463"/>
        <w:gridCol w:w="2317"/>
      </w:tblGrid>
      <w:tr>
        <w:trPr>
          <w:trHeight w:val="339" w:hRule="atLeast"/>
        </w:trPr>
        <w:tc>
          <w:tcPr>
            <w:tcW w:w="3675" w:type="dxa"/>
            <w:tcBorders>
              <w:bottom w:val="single" w:sz="4" w:space="0" w:color="000000"/>
              <w:right w:val="single" w:sz="4" w:space="0" w:color="000000"/>
            </w:tcBorders>
          </w:tcPr>
          <w:p>
            <w:pPr>
              <w:pStyle w:val="TableParagraph"/>
              <w:spacing w:line="320" w:lineRule="exact"/>
              <w:ind w:left="1292" w:right="1272"/>
              <w:jc w:val="center"/>
              <w:rPr>
                <w:rFonts w:ascii="Microsoft JhengHei" w:eastAsia="Microsoft JhengHei" w:hint="eastAsia"/>
                <w:b/>
                <w:sz w:val="21"/>
              </w:rPr>
            </w:pPr>
            <w:r>
              <w:rPr>
                <w:rFonts w:ascii="Microsoft JhengHei" w:eastAsia="Microsoft JhengHei" w:hint="eastAsia"/>
                <w:b/>
                <w:sz w:val="21"/>
              </w:rPr>
              <w:t>关联方名称</w:t>
            </w:r>
          </w:p>
        </w:tc>
        <w:tc>
          <w:tcPr>
            <w:tcW w:w="2463" w:type="dxa"/>
            <w:tcBorders>
              <w:left w:val="single" w:sz="4" w:space="0" w:color="000000"/>
              <w:bottom w:val="single" w:sz="4" w:space="0" w:color="000000"/>
              <w:right w:val="single" w:sz="4" w:space="0" w:color="000000"/>
            </w:tcBorders>
          </w:tcPr>
          <w:p>
            <w:pPr>
              <w:pStyle w:val="TableParagraph"/>
              <w:spacing w:line="320" w:lineRule="exact"/>
              <w:ind w:left="712"/>
              <w:rPr>
                <w:rFonts w:ascii="Microsoft JhengHei" w:eastAsia="Microsoft JhengHei" w:hint="eastAsia"/>
                <w:b/>
                <w:sz w:val="21"/>
              </w:rPr>
            </w:pPr>
            <w:r>
              <w:rPr>
                <w:rFonts w:ascii="Microsoft JhengHei" w:eastAsia="Microsoft JhengHei" w:hint="eastAsia"/>
                <w:b/>
                <w:sz w:val="21"/>
              </w:rPr>
              <w:t>本期发生额</w:t>
            </w:r>
          </w:p>
        </w:tc>
        <w:tc>
          <w:tcPr>
            <w:tcW w:w="2317" w:type="dxa"/>
            <w:tcBorders>
              <w:left w:val="single" w:sz="4" w:space="0" w:color="000000"/>
              <w:bottom w:val="single" w:sz="4" w:space="0" w:color="000000"/>
            </w:tcBorders>
          </w:tcPr>
          <w:p>
            <w:pPr>
              <w:pStyle w:val="TableParagraph"/>
              <w:spacing w:line="320" w:lineRule="exact"/>
              <w:ind w:left="640"/>
              <w:rPr>
                <w:rFonts w:ascii="Microsoft JhengHei" w:eastAsia="Microsoft JhengHei" w:hint="eastAsia"/>
                <w:b/>
                <w:sz w:val="21"/>
              </w:rPr>
            </w:pPr>
            <w:r>
              <w:rPr>
                <w:rFonts w:ascii="Microsoft JhengHei" w:eastAsia="Microsoft JhengHei" w:hint="eastAsia"/>
                <w:b/>
                <w:sz w:val="21"/>
              </w:rPr>
              <w:t>上期发生额</w:t>
            </w:r>
          </w:p>
        </w:tc>
      </w:tr>
      <w:tr>
        <w:trPr>
          <w:trHeight w:val="359" w:hRule="atLeast"/>
        </w:trPr>
        <w:tc>
          <w:tcPr>
            <w:tcW w:w="3675" w:type="dxa"/>
            <w:tcBorders>
              <w:top w:val="single" w:sz="4" w:space="0" w:color="000000"/>
              <w:bottom w:val="single" w:sz="4" w:space="0" w:color="000000"/>
              <w:right w:val="single" w:sz="4" w:space="0" w:color="000000"/>
            </w:tcBorders>
          </w:tcPr>
          <w:p>
            <w:pPr>
              <w:pStyle w:val="TableParagraph"/>
              <w:spacing w:before="44"/>
              <w:ind w:left="107"/>
              <w:rPr>
                <w:rFonts w:ascii="宋体" w:eastAsia="宋体" w:hint="eastAsia"/>
                <w:sz w:val="21"/>
              </w:rPr>
            </w:pPr>
            <w:r>
              <w:rPr>
                <w:rFonts w:ascii="宋体" w:eastAsia="宋体" w:hint="eastAsia"/>
                <w:sz w:val="21"/>
              </w:rPr>
              <w:t>青岛海尔特种塑料研制开发有限公司</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51"/>
              <w:ind w:right="84"/>
              <w:jc w:val="right"/>
              <w:rPr>
                <w:sz w:val="21"/>
              </w:rPr>
            </w:pPr>
            <w:r>
              <w:rPr>
                <w:sz w:val="21"/>
              </w:rPr>
              <w:t>623,502,863.63</w:t>
            </w:r>
          </w:p>
        </w:tc>
        <w:tc>
          <w:tcPr>
            <w:tcW w:w="2317" w:type="dxa"/>
            <w:tcBorders>
              <w:top w:val="single" w:sz="4" w:space="0" w:color="000000"/>
              <w:left w:val="single" w:sz="4" w:space="0" w:color="000000"/>
              <w:bottom w:val="single" w:sz="4" w:space="0" w:color="000000"/>
            </w:tcBorders>
          </w:tcPr>
          <w:p>
            <w:pPr>
              <w:pStyle w:val="TableParagraph"/>
              <w:spacing w:before="51"/>
              <w:ind w:right="74"/>
              <w:jc w:val="right"/>
              <w:rPr>
                <w:sz w:val="21"/>
              </w:rPr>
            </w:pPr>
            <w:r>
              <w:rPr>
                <w:sz w:val="21"/>
              </w:rPr>
              <w:t>594,580,472.70</w:t>
            </w:r>
          </w:p>
        </w:tc>
      </w:tr>
      <w:tr>
        <w:trPr>
          <w:trHeight w:val="357" w:hRule="atLeast"/>
        </w:trPr>
        <w:tc>
          <w:tcPr>
            <w:tcW w:w="3675" w:type="dxa"/>
            <w:tcBorders>
              <w:top w:val="single" w:sz="4" w:space="0" w:color="000000"/>
              <w:bottom w:val="single" w:sz="4" w:space="0" w:color="000000"/>
              <w:right w:val="single" w:sz="4" w:space="0" w:color="000000"/>
            </w:tcBorders>
          </w:tcPr>
          <w:p>
            <w:pPr>
              <w:pStyle w:val="TableParagraph"/>
              <w:spacing w:before="44"/>
              <w:ind w:left="107"/>
              <w:rPr>
                <w:rFonts w:ascii="宋体" w:eastAsia="宋体" w:hint="eastAsia"/>
                <w:sz w:val="21"/>
              </w:rPr>
            </w:pPr>
            <w:r>
              <w:rPr>
                <w:rFonts w:ascii="宋体" w:eastAsia="宋体" w:hint="eastAsia"/>
                <w:sz w:val="21"/>
              </w:rPr>
              <w:t>青岛海尔国际贸易有限公司</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51"/>
              <w:ind w:right="84"/>
              <w:jc w:val="right"/>
              <w:rPr>
                <w:sz w:val="21"/>
              </w:rPr>
            </w:pPr>
            <w:r>
              <w:rPr>
                <w:sz w:val="21"/>
              </w:rPr>
              <w:t>587,335,502.32</w:t>
            </w:r>
          </w:p>
        </w:tc>
        <w:tc>
          <w:tcPr>
            <w:tcW w:w="2317" w:type="dxa"/>
            <w:tcBorders>
              <w:top w:val="single" w:sz="4" w:space="0" w:color="000000"/>
              <w:left w:val="single" w:sz="4" w:space="0" w:color="000000"/>
              <w:bottom w:val="single" w:sz="4" w:space="0" w:color="000000"/>
            </w:tcBorders>
          </w:tcPr>
          <w:p>
            <w:pPr>
              <w:pStyle w:val="TableParagraph"/>
              <w:spacing w:before="51"/>
              <w:ind w:right="74"/>
              <w:jc w:val="right"/>
              <w:rPr>
                <w:sz w:val="21"/>
              </w:rPr>
            </w:pPr>
            <w:r>
              <w:rPr>
                <w:sz w:val="21"/>
              </w:rPr>
              <w:t>577,344,117.36</w:t>
            </w:r>
          </w:p>
        </w:tc>
      </w:tr>
      <w:tr>
        <w:trPr>
          <w:trHeight w:val="359" w:hRule="atLeast"/>
        </w:trPr>
        <w:tc>
          <w:tcPr>
            <w:tcW w:w="3675" w:type="dxa"/>
            <w:tcBorders>
              <w:top w:val="single" w:sz="4" w:space="0" w:color="000000"/>
              <w:bottom w:val="single" w:sz="4" w:space="0" w:color="000000"/>
              <w:right w:val="single" w:sz="4" w:space="0" w:color="000000"/>
            </w:tcBorders>
          </w:tcPr>
          <w:p>
            <w:pPr>
              <w:pStyle w:val="TableParagraph"/>
              <w:spacing w:before="53"/>
              <w:ind w:left="107"/>
              <w:rPr>
                <w:sz w:val="21"/>
              </w:rPr>
            </w:pPr>
            <w:r>
              <w:rPr>
                <w:sz w:val="21"/>
              </w:rPr>
              <w:t>Controladora Mabe S.A.deC.V.</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53"/>
              <w:ind w:right="84"/>
              <w:jc w:val="right"/>
              <w:rPr>
                <w:sz w:val="21"/>
              </w:rPr>
            </w:pPr>
            <w:r>
              <w:rPr>
                <w:sz w:val="21"/>
              </w:rPr>
              <w:t>556,773,753.65</w:t>
            </w:r>
          </w:p>
        </w:tc>
        <w:tc>
          <w:tcPr>
            <w:tcW w:w="2317" w:type="dxa"/>
            <w:tcBorders>
              <w:top w:val="single" w:sz="4" w:space="0" w:color="000000"/>
              <w:left w:val="single" w:sz="4" w:space="0" w:color="000000"/>
              <w:bottom w:val="single" w:sz="4" w:space="0" w:color="000000"/>
            </w:tcBorders>
          </w:tcPr>
          <w:p>
            <w:pPr>
              <w:pStyle w:val="TableParagraph"/>
              <w:spacing w:before="53"/>
              <w:ind w:right="74"/>
              <w:jc w:val="right"/>
              <w:rPr>
                <w:sz w:val="21"/>
              </w:rPr>
            </w:pPr>
            <w:r>
              <w:rPr>
                <w:sz w:val="21"/>
              </w:rPr>
              <w:t>375,146,095.66</w:t>
            </w:r>
          </w:p>
        </w:tc>
      </w:tr>
      <w:tr>
        <w:trPr>
          <w:trHeight w:val="359" w:hRule="atLeast"/>
        </w:trPr>
        <w:tc>
          <w:tcPr>
            <w:tcW w:w="3675" w:type="dxa"/>
            <w:tcBorders>
              <w:top w:val="single" w:sz="4" w:space="0" w:color="000000"/>
              <w:bottom w:val="single" w:sz="4" w:space="0" w:color="000000"/>
              <w:right w:val="single" w:sz="4" w:space="0" w:color="000000"/>
            </w:tcBorders>
          </w:tcPr>
          <w:p>
            <w:pPr>
              <w:pStyle w:val="TableParagraph"/>
              <w:spacing w:before="44"/>
              <w:ind w:left="107"/>
              <w:rPr>
                <w:rFonts w:ascii="宋体" w:eastAsia="宋体" w:hint="eastAsia"/>
                <w:sz w:val="21"/>
              </w:rPr>
            </w:pPr>
            <w:r>
              <w:rPr>
                <w:sz w:val="21"/>
              </w:rPr>
              <w:t>HNR </w:t>
            </w:r>
            <w:r>
              <w:rPr>
                <w:rFonts w:ascii="宋体" w:eastAsia="宋体" w:hint="eastAsia"/>
                <w:sz w:val="21"/>
              </w:rPr>
              <w:t>私营有限公司</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53"/>
              <w:ind w:right="84"/>
              <w:jc w:val="right"/>
              <w:rPr>
                <w:sz w:val="21"/>
              </w:rPr>
            </w:pPr>
            <w:r>
              <w:rPr>
                <w:sz w:val="21"/>
              </w:rPr>
              <w:t>434,316,420.93</w:t>
            </w:r>
          </w:p>
        </w:tc>
        <w:tc>
          <w:tcPr>
            <w:tcW w:w="2317" w:type="dxa"/>
            <w:tcBorders>
              <w:top w:val="single" w:sz="4" w:space="0" w:color="000000"/>
              <w:left w:val="single" w:sz="4" w:space="0" w:color="000000"/>
              <w:bottom w:val="single" w:sz="4" w:space="0" w:color="000000"/>
            </w:tcBorders>
          </w:tcPr>
          <w:p>
            <w:pPr>
              <w:pStyle w:val="TableParagraph"/>
              <w:spacing w:before="53"/>
              <w:ind w:right="74"/>
              <w:jc w:val="right"/>
              <w:rPr>
                <w:sz w:val="21"/>
              </w:rPr>
            </w:pPr>
            <w:r>
              <w:rPr>
                <w:sz w:val="21"/>
              </w:rPr>
              <w:t>436,216,032.46</w:t>
            </w:r>
          </w:p>
        </w:tc>
      </w:tr>
      <w:tr>
        <w:trPr>
          <w:trHeight w:val="359" w:hRule="atLeast"/>
        </w:trPr>
        <w:tc>
          <w:tcPr>
            <w:tcW w:w="3675" w:type="dxa"/>
            <w:tcBorders>
              <w:top w:val="single" w:sz="4" w:space="0" w:color="000000"/>
              <w:bottom w:val="single" w:sz="4" w:space="0" w:color="000000"/>
              <w:right w:val="single" w:sz="4" w:space="0" w:color="000000"/>
            </w:tcBorders>
          </w:tcPr>
          <w:p>
            <w:pPr>
              <w:pStyle w:val="TableParagraph"/>
              <w:spacing w:before="44"/>
              <w:ind w:left="107"/>
              <w:rPr>
                <w:rFonts w:ascii="宋体" w:eastAsia="宋体" w:hint="eastAsia"/>
                <w:sz w:val="21"/>
              </w:rPr>
            </w:pPr>
            <w:r>
              <w:rPr>
                <w:rFonts w:ascii="宋体" w:eastAsia="宋体" w:hint="eastAsia"/>
                <w:sz w:val="21"/>
              </w:rPr>
              <w:t>卧龙电气</w:t>
            </w:r>
            <w:r>
              <w:rPr>
                <w:sz w:val="21"/>
              </w:rPr>
              <w:t>(</w:t>
            </w:r>
            <w:r>
              <w:rPr>
                <w:rFonts w:ascii="宋体" w:eastAsia="宋体" w:hint="eastAsia"/>
                <w:sz w:val="21"/>
              </w:rPr>
              <w:t>济南</w:t>
            </w:r>
            <w:r>
              <w:rPr>
                <w:sz w:val="21"/>
              </w:rPr>
              <w:t>)</w:t>
            </w:r>
            <w:r>
              <w:rPr>
                <w:rFonts w:ascii="宋体" w:eastAsia="宋体" w:hint="eastAsia"/>
                <w:sz w:val="21"/>
              </w:rPr>
              <w:t>电机有限公司</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51"/>
              <w:ind w:right="84"/>
              <w:jc w:val="right"/>
              <w:rPr>
                <w:sz w:val="21"/>
              </w:rPr>
            </w:pPr>
            <w:r>
              <w:rPr>
                <w:sz w:val="21"/>
              </w:rPr>
              <w:t>255,821,037.02</w:t>
            </w:r>
          </w:p>
        </w:tc>
        <w:tc>
          <w:tcPr>
            <w:tcW w:w="2317" w:type="dxa"/>
            <w:tcBorders>
              <w:top w:val="single" w:sz="4" w:space="0" w:color="000000"/>
              <w:left w:val="single" w:sz="4" w:space="0" w:color="000000"/>
              <w:bottom w:val="single" w:sz="4" w:space="0" w:color="000000"/>
            </w:tcBorders>
          </w:tcPr>
          <w:p>
            <w:pPr>
              <w:pStyle w:val="TableParagraph"/>
              <w:spacing w:before="51"/>
              <w:ind w:right="74"/>
              <w:jc w:val="right"/>
              <w:rPr>
                <w:sz w:val="21"/>
              </w:rPr>
            </w:pPr>
            <w:r>
              <w:rPr>
                <w:sz w:val="21"/>
              </w:rPr>
              <w:t>314,689,017.25</w:t>
            </w:r>
          </w:p>
        </w:tc>
      </w:tr>
      <w:tr>
        <w:trPr>
          <w:trHeight w:val="357" w:hRule="atLeast"/>
        </w:trPr>
        <w:tc>
          <w:tcPr>
            <w:tcW w:w="3675" w:type="dxa"/>
            <w:tcBorders>
              <w:top w:val="single" w:sz="4" w:space="0" w:color="000000"/>
              <w:bottom w:val="single" w:sz="4" w:space="0" w:color="000000"/>
              <w:right w:val="single" w:sz="4" w:space="0" w:color="000000"/>
            </w:tcBorders>
          </w:tcPr>
          <w:p>
            <w:pPr>
              <w:pStyle w:val="TableParagraph"/>
              <w:spacing w:before="44"/>
              <w:ind w:left="107"/>
              <w:rPr>
                <w:rFonts w:ascii="宋体" w:eastAsia="宋体" w:hint="eastAsia"/>
                <w:sz w:val="21"/>
              </w:rPr>
            </w:pPr>
            <w:r>
              <w:rPr>
                <w:rFonts w:ascii="宋体" w:eastAsia="宋体" w:hint="eastAsia"/>
                <w:sz w:val="21"/>
              </w:rPr>
              <w:t>青岛海尔新材料研发有限公司</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51"/>
              <w:ind w:right="84"/>
              <w:jc w:val="right"/>
              <w:rPr>
                <w:sz w:val="21"/>
              </w:rPr>
            </w:pPr>
            <w:r>
              <w:rPr>
                <w:sz w:val="21"/>
              </w:rPr>
              <w:t>244,043,627.12</w:t>
            </w:r>
          </w:p>
        </w:tc>
        <w:tc>
          <w:tcPr>
            <w:tcW w:w="2317" w:type="dxa"/>
            <w:tcBorders>
              <w:top w:val="single" w:sz="4" w:space="0" w:color="000000"/>
              <w:left w:val="single" w:sz="4" w:space="0" w:color="000000"/>
              <w:bottom w:val="single" w:sz="4" w:space="0" w:color="000000"/>
            </w:tcBorders>
          </w:tcPr>
          <w:p>
            <w:pPr>
              <w:pStyle w:val="TableParagraph"/>
              <w:spacing w:before="51"/>
              <w:ind w:right="74"/>
              <w:jc w:val="right"/>
              <w:rPr>
                <w:sz w:val="21"/>
              </w:rPr>
            </w:pPr>
            <w:r>
              <w:rPr>
                <w:sz w:val="21"/>
              </w:rPr>
              <w:t>489,949,910.45</w:t>
            </w:r>
          </w:p>
        </w:tc>
      </w:tr>
      <w:tr>
        <w:trPr>
          <w:trHeight w:val="359" w:hRule="atLeast"/>
        </w:trPr>
        <w:tc>
          <w:tcPr>
            <w:tcW w:w="3675" w:type="dxa"/>
            <w:tcBorders>
              <w:top w:val="single" w:sz="4" w:space="0" w:color="000000"/>
              <w:bottom w:val="single" w:sz="4" w:space="0" w:color="000000"/>
              <w:right w:val="single" w:sz="4" w:space="0" w:color="000000"/>
            </w:tcBorders>
          </w:tcPr>
          <w:p>
            <w:pPr>
              <w:pStyle w:val="TableParagraph"/>
              <w:spacing w:before="46"/>
              <w:ind w:left="107"/>
              <w:rPr>
                <w:rFonts w:ascii="宋体" w:eastAsia="宋体" w:hint="eastAsia"/>
                <w:sz w:val="21"/>
              </w:rPr>
            </w:pPr>
            <w:r>
              <w:rPr>
                <w:rFonts w:ascii="宋体" w:eastAsia="宋体" w:hint="eastAsia"/>
                <w:sz w:val="21"/>
              </w:rPr>
              <w:t>青岛海尔国际旅行社有限公司</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53"/>
              <w:ind w:right="84"/>
              <w:jc w:val="right"/>
              <w:rPr>
                <w:sz w:val="21"/>
              </w:rPr>
            </w:pPr>
            <w:r>
              <w:rPr>
                <w:sz w:val="21"/>
              </w:rPr>
              <w:t>141,625,117.57</w:t>
            </w:r>
          </w:p>
        </w:tc>
        <w:tc>
          <w:tcPr>
            <w:tcW w:w="2317" w:type="dxa"/>
            <w:tcBorders>
              <w:top w:val="single" w:sz="4" w:space="0" w:color="000000"/>
              <w:left w:val="single" w:sz="4" w:space="0" w:color="000000"/>
              <w:bottom w:val="single" w:sz="4" w:space="0" w:color="000000"/>
            </w:tcBorders>
          </w:tcPr>
          <w:p>
            <w:pPr>
              <w:pStyle w:val="TableParagraph"/>
              <w:spacing w:before="53"/>
              <w:ind w:right="74"/>
              <w:jc w:val="right"/>
              <w:rPr>
                <w:sz w:val="21"/>
              </w:rPr>
            </w:pPr>
            <w:r>
              <w:rPr>
                <w:sz w:val="21"/>
              </w:rPr>
              <w:t>303,939,917.85</w:t>
            </w:r>
          </w:p>
        </w:tc>
      </w:tr>
      <w:tr>
        <w:trPr>
          <w:trHeight w:val="359" w:hRule="atLeast"/>
        </w:trPr>
        <w:tc>
          <w:tcPr>
            <w:tcW w:w="3675" w:type="dxa"/>
            <w:tcBorders>
              <w:top w:val="single" w:sz="4" w:space="0" w:color="000000"/>
              <w:bottom w:val="single" w:sz="4" w:space="0" w:color="000000"/>
              <w:right w:val="single" w:sz="4" w:space="0" w:color="000000"/>
            </w:tcBorders>
          </w:tcPr>
          <w:p>
            <w:pPr>
              <w:pStyle w:val="TableParagraph"/>
              <w:spacing w:before="44"/>
              <w:ind w:left="107"/>
              <w:rPr>
                <w:rFonts w:ascii="宋体" w:eastAsia="宋体" w:hint="eastAsia"/>
                <w:sz w:val="21"/>
              </w:rPr>
            </w:pPr>
            <w:r>
              <w:rPr>
                <w:rFonts w:ascii="宋体" w:eastAsia="宋体" w:hint="eastAsia"/>
                <w:sz w:val="21"/>
              </w:rPr>
              <w:t>重庆众链能源科技有限公司</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53"/>
              <w:ind w:right="84"/>
              <w:jc w:val="right"/>
              <w:rPr>
                <w:sz w:val="21"/>
              </w:rPr>
            </w:pPr>
            <w:r>
              <w:rPr>
                <w:sz w:val="21"/>
              </w:rPr>
              <w:t>131,192,245.12</w:t>
            </w:r>
          </w:p>
        </w:tc>
        <w:tc>
          <w:tcPr>
            <w:tcW w:w="2317" w:type="dxa"/>
            <w:tcBorders>
              <w:top w:val="single" w:sz="4" w:space="0" w:color="000000"/>
              <w:left w:val="single" w:sz="4" w:space="0" w:color="000000"/>
              <w:bottom w:val="single" w:sz="4" w:space="0" w:color="000000"/>
            </w:tcBorders>
          </w:tcPr>
          <w:p>
            <w:pPr>
              <w:pStyle w:val="TableParagraph"/>
              <w:spacing w:before="53"/>
              <w:ind w:right="77"/>
              <w:jc w:val="right"/>
              <w:rPr>
                <w:sz w:val="21"/>
              </w:rPr>
            </w:pPr>
            <w:r>
              <w:rPr>
                <w:sz w:val="21"/>
              </w:rPr>
              <w:t>69,050,191.75</w:t>
            </w:r>
          </w:p>
        </w:tc>
      </w:tr>
      <w:tr>
        <w:trPr>
          <w:trHeight w:val="359" w:hRule="atLeast"/>
        </w:trPr>
        <w:tc>
          <w:tcPr>
            <w:tcW w:w="3675" w:type="dxa"/>
            <w:tcBorders>
              <w:top w:val="single" w:sz="4" w:space="0" w:color="000000"/>
              <w:bottom w:val="single" w:sz="4" w:space="0" w:color="000000"/>
              <w:right w:val="single" w:sz="4" w:space="0" w:color="000000"/>
            </w:tcBorders>
          </w:tcPr>
          <w:p>
            <w:pPr>
              <w:pStyle w:val="TableParagraph"/>
              <w:spacing w:before="44"/>
              <w:ind w:left="107"/>
              <w:rPr>
                <w:rFonts w:ascii="宋体" w:eastAsia="宋体" w:hint="eastAsia"/>
                <w:sz w:val="21"/>
              </w:rPr>
            </w:pPr>
            <w:r>
              <w:rPr>
                <w:rFonts w:ascii="宋体" w:eastAsia="宋体" w:hint="eastAsia"/>
                <w:sz w:val="21"/>
              </w:rPr>
              <w:t>郑州海尔新能源科技有限公司</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51"/>
              <w:ind w:right="84"/>
              <w:jc w:val="right"/>
              <w:rPr>
                <w:sz w:val="21"/>
              </w:rPr>
            </w:pPr>
            <w:r>
              <w:rPr>
                <w:sz w:val="21"/>
              </w:rPr>
              <w:t>127,925,411.56</w:t>
            </w:r>
          </w:p>
        </w:tc>
        <w:tc>
          <w:tcPr>
            <w:tcW w:w="2317" w:type="dxa"/>
            <w:tcBorders>
              <w:top w:val="single" w:sz="4" w:space="0" w:color="000000"/>
              <w:left w:val="single" w:sz="4" w:space="0" w:color="000000"/>
              <w:bottom w:val="single" w:sz="4" w:space="0" w:color="000000"/>
            </w:tcBorders>
          </w:tcPr>
          <w:p>
            <w:pPr>
              <w:pStyle w:val="TableParagraph"/>
              <w:spacing w:before="51"/>
              <w:ind w:right="77"/>
              <w:jc w:val="right"/>
              <w:rPr>
                <w:sz w:val="21"/>
              </w:rPr>
            </w:pPr>
            <w:r>
              <w:rPr>
                <w:sz w:val="21"/>
              </w:rPr>
              <w:t>4,181,134.08</w:t>
            </w:r>
          </w:p>
        </w:tc>
      </w:tr>
      <w:tr>
        <w:trPr>
          <w:trHeight w:val="357" w:hRule="atLeast"/>
        </w:trPr>
        <w:tc>
          <w:tcPr>
            <w:tcW w:w="3675" w:type="dxa"/>
            <w:tcBorders>
              <w:top w:val="single" w:sz="4" w:space="0" w:color="000000"/>
              <w:bottom w:val="single" w:sz="4" w:space="0" w:color="000000"/>
              <w:right w:val="single" w:sz="4" w:space="0" w:color="000000"/>
            </w:tcBorders>
          </w:tcPr>
          <w:p>
            <w:pPr>
              <w:pStyle w:val="TableParagraph"/>
              <w:spacing w:before="44"/>
              <w:ind w:left="107"/>
              <w:rPr>
                <w:rFonts w:ascii="宋体" w:eastAsia="宋体" w:hint="eastAsia"/>
                <w:sz w:val="21"/>
              </w:rPr>
            </w:pPr>
            <w:r>
              <w:rPr>
                <w:rFonts w:ascii="宋体" w:eastAsia="宋体" w:hint="eastAsia"/>
                <w:sz w:val="21"/>
              </w:rPr>
              <w:t>青岛河钢复合新材料科技有限公司</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51"/>
              <w:ind w:right="84"/>
              <w:jc w:val="right"/>
              <w:rPr>
                <w:sz w:val="21"/>
              </w:rPr>
            </w:pPr>
            <w:r>
              <w:rPr>
                <w:sz w:val="21"/>
              </w:rPr>
              <w:t>109,952,152.66</w:t>
            </w:r>
          </w:p>
        </w:tc>
        <w:tc>
          <w:tcPr>
            <w:tcW w:w="2317" w:type="dxa"/>
            <w:tcBorders>
              <w:top w:val="single" w:sz="4" w:space="0" w:color="000000"/>
              <w:left w:val="single" w:sz="4" w:space="0" w:color="000000"/>
              <w:bottom w:val="single" w:sz="4" w:space="0" w:color="000000"/>
            </w:tcBorders>
          </w:tcPr>
          <w:p>
            <w:pPr>
              <w:pStyle w:val="TableParagraph"/>
              <w:spacing w:before="51"/>
              <w:ind w:right="74"/>
              <w:jc w:val="right"/>
              <w:rPr>
                <w:sz w:val="21"/>
              </w:rPr>
            </w:pPr>
            <w:r>
              <w:rPr>
                <w:sz w:val="21"/>
              </w:rPr>
              <w:t>301,875,325.92</w:t>
            </w:r>
          </w:p>
        </w:tc>
      </w:tr>
      <w:tr>
        <w:trPr>
          <w:trHeight w:val="359" w:hRule="atLeast"/>
        </w:trPr>
        <w:tc>
          <w:tcPr>
            <w:tcW w:w="3675" w:type="dxa"/>
            <w:tcBorders>
              <w:top w:val="single" w:sz="4" w:space="0" w:color="000000"/>
              <w:bottom w:val="single" w:sz="4" w:space="0" w:color="000000"/>
              <w:right w:val="single" w:sz="4" w:space="0" w:color="000000"/>
            </w:tcBorders>
          </w:tcPr>
          <w:p>
            <w:pPr>
              <w:pStyle w:val="TableParagraph"/>
              <w:spacing w:before="46"/>
              <w:ind w:left="107"/>
              <w:rPr>
                <w:rFonts w:ascii="宋体" w:eastAsia="宋体" w:hint="eastAsia"/>
                <w:sz w:val="21"/>
              </w:rPr>
            </w:pPr>
            <w:r>
              <w:rPr>
                <w:rFonts w:ascii="宋体" w:eastAsia="宋体" w:hint="eastAsia"/>
                <w:sz w:val="21"/>
              </w:rPr>
              <w:t>其他关联方</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53"/>
              <w:ind w:right="84"/>
              <w:jc w:val="right"/>
              <w:rPr>
                <w:sz w:val="21"/>
              </w:rPr>
            </w:pPr>
            <w:r>
              <w:rPr>
                <w:sz w:val="21"/>
              </w:rPr>
              <w:t>947,340,846.98</w:t>
            </w:r>
          </w:p>
        </w:tc>
        <w:tc>
          <w:tcPr>
            <w:tcW w:w="2317" w:type="dxa"/>
            <w:tcBorders>
              <w:top w:val="single" w:sz="4" w:space="0" w:color="000000"/>
              <w:left w:val="single" w:sz="4" w:space="0" w:color="000000"/>
              <w:bottom w:val="single" w:sz="4" w:space="0" w:color="000000"/>
            </w:tcBorders>
          </w:tcPr>
          <w:p>
            <w:pPr>
              <w:pStyle w:val="TableParagraph"/>
              <w:spacing w:before="53"/>
              <w:ind w:right="74"/>
              <w:jc w:val="right"/>
              <w:rPr>
                <w:sz w:val="21"/>
              </w:rPr>
            </w:pPr>
            <w:r>
              <w:rPr>
                <w:sz w:val="21"/>
              </w:rPr>
              <w:t>733,625,149.31</w:t>
            </w:r>
          </w:p>
        </w:tc>
      </w:tr>
      <w:tr>
        <w:trPr>
          <w:trHeight w:val="356" w:hRule="atLeast"/>
        </w:trPr>
        <w:tc>
          <w:tcPr>
            <w:tcW w:w="3675" w:type="dxa"/>
            <w:tcBorders>
              <w:top w:val="single" w:sz="4" w:space="0" w:color="000000"/>
              <w:right w:val="single" w:sz="4" w:space="0" w:color="000000"/>
            </w:tcBorders>
          </w:tcPr>
          <w:p>
            <w:pPr>
              <w:pStyle w:val="TableParagraph"/>
              <w:spacing w:before="44"/>
              <w:ind w:left="1292" w:right="1272"/>
              <w:jc w:val="center"/>
              <w:rPr>
                <w:rFonts w:ascii="宋体" w:eastAsia="宋体" w:hint="eastAsia"/>
                <w:sz w:val="21"/>
              </w:rPr>
            </w:pPr>
            <w:r>
              <w:rPr>
                <w:rFonts w:ascii="宋体" w:eastAsia="宋体" w:hint="eastAsia"/>
                <w:sz w:val="21"/>
              </w:rPr>
              <w:t>合计</w:t>
            </w:r>
          </w:p>
        </w:tc>
        <w:tc>
          <w:tcPr>
            <w:tcW w:w="2463" w:type="dxa"/>
            <w:tcBorders>
              <w:top w:val="single" w:sz="4" w:space="0" w:color="000000"/>
              <w:left w:val="single" w:sz="4" w:space="0" w:color="000000"/>
              <w:right w:val="single" w:sz="4" w:space="0" w:color="000000"/>
            </w:tcBorders>
          </w:tcPr>
          <w:p>
            <w:pPr>
              <w:pStyle w:val="TableParagraph"/>
              <w:spacing w:before="53"/>
              <w:ind w:right="84"/>
              <w:jc w:val="right"/>
              <w:rPr>
                <w:sz w:val="21"/>
              </w:rPr>
            </w:pPr>
            <w:r>
              <w:rPr>
                <w:sz w:val="21"/>
              </w:rPr>
              <w:t>4,159,828,978.57</w:t>
            </w:r>
          </w:p>
        </w:tc>
        <w:tc>
          <w:tcPr>
            <w:tcW w:w="2317" w:type="dxa"/>
            <w:tcBorders>
              <w:top w:val="single" w:sz="4" w:space="0" w:color="000000"/>
              <w:left w:val="single" w:sz="4" w:space="0" w:color="000000"/>
            </w:tcBorders>
          </w:tcPr>
          <w:p>
            <w:pPr>
              <w:pStyle w:val="TableParagraph"/>
              <w:spacing w:before="53"/>
              <w:ind w:right="77"/>
              <w:jc w:val="right"/>
              <w:rPr>
                <w:sz w:val="21"/>
              </w:rPr>
            </w:pPr>
            <w:r>
              <w:rPr>
                <w:sz w:val="21"/>
              </w:rPr>
              <w:t>4,200,597,364.78</w:t>
            </w:r>
          </w:p>
        </w:tc>
      </w:tr>
    </w:tbl>
    <w:p>
      <w:pPr>
        <w:pStyle w:val="BodyText"/>
        <w:spacing w:before="176"/>
        <w:ind w:left="1895"/>
      </w:pPr>
      <w:r>
        <w:rPr>
          <w:rFonts w:ascii="Times New Roman" w:eastAsia="Times New Roman"/>
        </w:rPr>
        <w:t>3</w:t>
      </w:r>
      <w:r>
        <w:rPr/>
        <w:t>、关联方未结算项目金额</w:t>
      </w:r>
    </w:p>
    <w:p>
      <w:pPr>
        <w:pStyle w:val="BodyText"/>
        <w:spacing w:before="3"/>
        <w:rPr>
          <w:sz w:val="12"/>
        </w:rPr>
      </w:pPr>
    </w:p>
    <w:tbl>
      <w:tblPr>
        <w:tblW w:w="0" w:type="auto"/>
        <w:jc w:val="left"/>
        <w:tblInd w:w="17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641"/>
        <w:gridCol w:w="2551"/>
        <w:gridCol w:w="2263"/>
      </w:tblGrid>
      <w:tr>
        <w:trPr>
          <w:trHeight w:val="371" w:hRule="atLeast"/>
        </w:trPr>
        <w:tc>
          <w:tcPr>
            <w:tcW w:w="3641" w:type="dxa"/>
            <w:tcBorders>
              <w:bottom w:val="single" w:sz="4" w:space="0" w:color="000000"/>
              <w:right w:val="single" w:sz="4" w:space="0" w:color="000000"/>
            </w:tcBorders>
          </w:tcPr>
          <w:p>
            <w:pPr>
              <w:pStyle w:val="TableParagraph"/>
              <w:spacing w:line="351" w:lineRule="exact"/>
              <w:ind w:left="1079"/>
              <w:rPr>
                <w:rFonts w:ascii="Microsoft JhengHei" w:eastAsia="Microsoft JhengHei" w:hint="eastAsia"/>
                <w:b/>
                <w:sz w:val="21"/>
              </w:rPr>
            </w:pPr>
            <w:r>
              <w:rPr>
                <w:rFonts w:ascii="Microsoft JhengHei" w:eastAsia="Microsoft JhengHei" w:hint="eastAsia"/>
                <w:b/>
                <w:sz w:val="21"/>
              </w:rPr>
              <w:t>项目及客户名称</w:t>
            </w:r>
          </w:p>
        </w:tc>
        <w:tc>
          <w:tcPr>
            <w:tcW w:w="2551" w:type="dxa"/>
            <w:tcBorders>
              <w:left w:val="single" w:sz="4" w:space="0" w:color="000000"/>
              <w:bottom w:val="single" w:sz="4" w:space="0" w:color="000000"/>
              <w:right w:val="single" w:sz="4" w:space="0" w:color="000000"/>
            </w:tcBorders>
          </w:tcPr>
          <w:p>
            <w:pPr>
              <w:pStyle w:val="TableParagraph"/>
              <w:spacing w:line="351" w:lineRule="exact"/>
              <w:ind w:left="949" w:right="921"/>
              <w:jc w:val="center"/>
              <w:rPr>
                <w:rFonts w:ascii="Microsoft JhengHei" w:eastAsia="Microsoft JhengHei" w:hint="eastAsia"/>
                <w:b/>
                <w:sz w:val="21"/>
              </w:rPr>
            </w:pPr>
            <w:r>
              <w:rPr>
                <w:rFonts w:ascii="Microsoft JhengHei" w:eastAsia="Microsoft JhengHei" w:hint="eastAsia"/>
                <w:b/>
                <w:sz w:val="21"/>
              </w:rPr>
              <w:t>期末数</w:t>
            </w:r>
          </w:p>
        </w:tc>
        <w:tc>
          <w:tcPr>
            <w:tcW w:w="2263" w:type="dxa"/>
            <w:tcBorders>
              <w:left w:val="single" w:sz="4" w:space="0" w:color="000000"/>
              <w:bottom w:val="single" w:sz="4" w:space="0" w:color="000000"/>
            </w:tcBorders>
          </w:tcPr>
          <w:p>
            <w:pPr>
              <w:pStyle w:val="TableParagraph"/>
              <w:spacing w:line="351" w:lineRule="exact"/>
              <w:ind w:left="806" w:right="767"/>
              <w:jc w:val="center"/>
              <w:rPr>
                <w:rFonts w:ascii="Microsoft JhengHei" w:eastAsia="Microsoft JhengHei" w:hint="eastAsia"/>
                <w:b/>
                <w:sz w:val="21"/>
              </w:rPr>
            </w:pPr>
            <w:r>
              <w:rPr>
                <w:rFonts w:ascii="Microsoft JhengHei" w:eastAsia="Microsoft JhengHei" w:hint="eastAsia"/>
                <w:b/>
                <w:sz w:val="21"/>
              </w:rPr>
              <w:t>期初数</w:t>
            </w:r>
          </w:p>
        </w:tc>
      </w:tr>
      <w:tr>
        <w:trPr>
          <w:trHeight w:val="367" w:hRule="atLeast"/>
        </w:trPr>
        <w:tc>
          <w:tcPr>
            <w:tcW w:w="8455" w:type="dxa"/>
            <w:gridSpan w:val="3"/>
            <w:tcBorders>
              <w:top w:val="single" w:sz="4" w:space="0" w:color="000000"/>
              <w:bottom w:val="single" w:sz="4" w:space="0" w:color="000000"/>
            </w:tcBorders>
          </w:tcPr>
          <w:p>
            <w:pPr>
              <w:pStyle w:val="TableParagraph"/>
              <w:spacing w:line="347" w:lineRule="exact"/>
              <w:ind w:left="104"/>
              <w:rPr>
                <w:rFonts w:ascii="宋体" w:eastAsia="宋体" w:hint="eastAsia"/>
                <w:sz w:val="21"/>
              </w:rPr>
            </w:pPr>
            <w:r>
              <w:rPr>
                <w:rFonts w:ascii="Microsoft JhengHei" w:eastAsia="Microsoft JhengHei" w:hint="eastAsia"/>
                <w:b/>
                <w:sz w:val="21"/>
              </w:rPr>
              <w:t>应收票据：</w:t>
            </w:r>
            <w:r>
              <w:rPr>
                <w:rFonts w:ascii="宋体" w:eastAsia="宋体" w:hint="eastAsia"/>
                <w:sz w:val="21"/>
              </w:rPr>
              <w:t>  </w:t>
            </w:r>
            <w:r>
              <w:rPr>
                <w:rFonts w:ascii="宋体" w:eastAsia="宋体" w:hint="eastAsia"/>
                <w:w w:val="100"/>
                <w:sz w:val="21"/>
              </w:rPr>
              <w:t> </w:t>
            </w:r>
          </w:p>
        </w:tc>
      </w:tr>
      <w:tr>
        <w:trPr>
          <w:trHeight w:val="369" w:hRule="atLeast"/>
        </w:trPr>
        <w:tc>
          <w:tcPr>
            <w:tcW w:w="3641" w:type="dxa"/>
            <w:tcBorders>
              <w:top w:val="single" w:sz="4" w:space="0" w:color="000000"/>
              <w:bottom w:val="single" w:sz="4" w:space="0" w:color="000000"/>
              <w:right w:val="single" w:sz="4" w:space="0" w:color="000000"/>
            </w:tcBorders>
          </w:tcPr>
          <w:p>
            <w:pPr>
              <w:pStyle w:val="TableParagraph"/>
              <w:spacing w:before="51"/>
              <w:ind w:left="104"/>
              <w:rPr>
                <w:rFonts w:ascii="宋体" w:eastAsia="宋体" w:hint="eastAsia"/>
                <w:sz w:val="21"/>
              </w:rPr>
            </w:pPr>
            <w:r>
              <w:rPr>
                <w:rFonts w:ascii="宋体" w:eastAsia="宋体" w:hint="eastAsia"/>
                <w:sz w:val="21"/>
              </w:rPr>
              <w:t>青岛海尔新材料研发有限公司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263" w:type="dxa"/>
            <w:tcBorders>
              <w:top w:val="single" w:sz="4" w:space="0" w:color="000000"/>
              <w:left w:val="single" w:sz="4" w:space="0" w:color="000000"/>
              <w:bottom w:val="single" w:sz="4" w:space="0" w:color="000000"/>
            </w:tcBorders>
          </w:tcPr>
          <w:p>
            <w:pPr>
              <w:pStyle w:val="TableParagraph"/>
              <w:spacing w:before="58"/>
              <w:ind w:right="72"/>
              <w:jc w:val="right"/>
              <w:rPr>
                <w:sz w:val="21"/>
              </w:rPr>
            </w:pPr>
            <w:r>
              <w:rPr>
                <w:sz w:val="21"/>
              </w:rPr>
              <w:t>5,000,000.00</w:t>
            </w:r>
          </w:p>
        </w:tc>
      </w:tr>
      <w:tr>
        <w:trPr>
          <w:trHeight w:val="369" w:hRule="atLeast"/>
        </w:trPr>
        <w:tc>
          <w:tcPr>
            <w:tcW w:w="3641" w:type="dxa"/>
            <w:tcBorders>
              <w:top w:val="single" w:sz="4" w:space="0" w:color="000000"/>
              <w:bottom w:val="single" w:sz="4" w:space="0" w:color="000000"/>
              <w:right w:val="single" w:sz="4" w:space="0" w:color="000000"/>
            </w:tcBorders>
          </w:tcPr>
          <w:p>
            <w:pPr>
              <w:pStyle w:val="TableParagraph"/>
              <w:spacing w:before="51"/>
              <w:ind w:left="104"/>
              <w:rPr>
                <w:rFonts w:ascii="宋体" w:eastAsia="宋体" w:hint="eastAsia"/>
                <w:sz w:val="21"/>
              </w:rPr>
            </w:pPr>
            <w:r>
              <w:rPr>
                <w:rFonts w:ascii="宋体" w:eastAsia="宋体" w:hint="eastAsia"/>
                <w:sz w:val="21"/>
              </w:rPr>
              <w:t>其他关联方</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1,106,165.28</w:t>
            </w:r>
          </w:p>
        </w:tc>
        <w:tc>
          <w:tcPr>
            <w:tcW w:w="2263" w:type="dxa"/>
            <w:tcBorders>
              <w:top w:val="single" w:sz="4" w:space="0" w:color="000000"/>
              <w:left w:val="single" w:sz="4" w:space="0" w:color="000000"/>
              <w:bottom w:val="single" w:sz="4" w:space="0" w:color="000000"/>
            </w:tcBorders>
          </w:tcPr>
          <w:p>
            <w:pPr>
              <w:pStyle w:val="TableParagraph"/>
              <w:spacing w:before="58"/>
              <w:ind w:right="72"/>
              <w:jc w:val="right"/>
              <w:rPr>
                <w:sz w:val="21"/>
              </w:rPr>
            </w:pPr>
            <w:r>
              <w:rPr>
                <w:sz w:val="21"/>
              </w:rPr>
              <w:t>18,658,821.43</w:t>
            </w:r>
          </w:p>
        </w:tc>
      </w:tr>
      <w:tr>
        <w:trPr>
          <w:trHeight w:val="369" w:hRule="atLeast"/>
        </w:trPr>
        <w:tc>
          <w:tcPr>
            <w:tcW w:w="8455" w:type="dxa"/>
            <w:gridSpan w:val="3"/>
            <w:tcBorders>
              <w:top w:val="single" w:sz="4" w:space="0" w:color="000000"/>
              <w:bottom w:val="single" w:sz="4" w:space="0" w:color="000000"/>
            </w:tcBorders>
          </w:tcPr>
          <w:p>
            <w:pPr>
              <w:pStyle w:val="TableParagraph"/>
              <w:spacing w:line="349" w:lineRule="exact"/>
              <w:ind w:left="104"/>
              <w:rPr>
                <w:rFonts w:ascii="宋体" w:eastAsia="宋体" w:hint="eastAsia"/>
                <w:sz w:val="21"/>
              </w:rPr>
            </w:pPr>
            <w:r>
              <w:rPr>
                <w:rFonts w:ascii="Microsoft JhengHei" w:eastAsia="Microsoft JhengHei" w:hint="eastAsia"/>
                <w:b/>
                <w:sz w:val="21"/>
              </w:rPr>
              <w:t>应收股利：</w:t>
            </w:r>
            <w:r>
              <w:rPr>
                <w:rFonts w:ascii="宋体" w:eastAsia="宋体" w:hint="eastAsia"/>
                <w:sz w:val="21"/>
              </w:rPr>
              <w:t> </w:t>
            </w:r>
          </w:p>
        </w:tc>
      </w:tr>
      <w:tr>
        <w:trPr>
          <w:trHeight w:val="369" w:hRule="atLeast"/>
        </w:trPr>
        <w:tc>
          <w:tcPr>
            <w:tcW w:w="3641" w:type="dxa"/>
            <w:tcBorders>
              <w:top w:val="single" w:sz="4" w:space="0" w:color="000000"/>
              <w:bottom w:val="single" w:sz="4" w:space="0" w:color="000000"/>
              <w:right w:val="single" w:sz="4" w:space="0" w:color="000000"/>
            </w:tcBorders>
          </w:tcPr>
          <w:p>
            <w:pPr>
              <w:pStyle w:val="TableParagraph"/>
              <w:spacing w:before="51"/>
              <w:ind w:left="104"/>
              <w:rPr>
                <w:rFonts w:ascii="宋体" w:eastAsia="宋体" w:hint="eastAsia"/>
                <w:sz w:val="21"/>
              </w:rPr>
            </w:pPr>
            <w:r>
              <w:rPr>
                <w:rFonts w:ascii="宋体" w:eastAsia="宋体" w:hint="eastAsia"/>
                <w:sz w:val="21"/>
              </w:rPr>
              <w:t>青岛海尔软件投资有限公司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263" w:type="dxa"/>
            <w:tcBorders>
              <w:top w:val="single" w:sz="4" w:space="0" w:color="000000"/>
              <w:left w:val="single" w:sz="4" w:space="0" w:color="000000"/>
              <w:bottom w:val="single" w:sz="4" w:space="0" w:color="000000"/>
            </w:tcBorders>
          </w:tcPr>
          <w:p>
            <w:pPr>
              <w:pStyle w:val="TableParagraph"/>
              <w:spacing w:before="58"/>
              <w:ind w:right="72"/>
              <w:jc w:val="right"/>
              <w:rPr>
                <w:sz w:val="21"/>
              </w:rPr>
            </w:pPr>
            <w:r>
              <w:rPr>
                <w:sz w:val="21"/>
              </w:rPr>
              <w:t>4,524,472.84</w:t>
            </w:r>
          </w:p>
        </w:tc>
      </w:tr>
      <w:tr>
        <w:trPr>
          <w:trHeight w:val="369" w:hRule="atLeast"/>
        </w:trPr>
        <w:tc>
          <w:tcPr>
            <w:tcW w:w="8455" w:type="dxa"/>
            <w:gridSpan w:val="3"/>
            <w:tcBorders>
              <w:top w:val="single" w:sz="4" w:space="0" w:color="000000"/>
              <w:bottom w:val="single" w:sz="4" w:space="0" w:color="000000"/>
            </w:tcBorders>
          </w:tcPr>
          <w:p>
            <w:pPr>
              <w:pStyle w:val="TableParagraph"/>
              <w:spacing w:line="349" w:lineRule="exact"/>
              <w:ind w:left="104"/>
              <w:rPr>
                <w:rFonts w:ascii="Microsoft JhengHei" w:eastAsia="Microsoft JhengHei" w:hint="eastAsia"/>
                <w:b/>
                <w:sz w:val="21"/>
              </w:rPr>
            </w:pPr>
            <w:r>
              <w:rPr>
                <w:rFonts w:ascii="Microsoft JhengHei" w:eastAsia="Microsoft JhengHei" w:hint="eastAsia"/>
                <w:b/>
                <w:sz w:val="21"/>
              </w:rPr>
              <w:t>应收账款：</w:t>
            </w:r>
          </w:p>
        </w:tc>
      </w:tr>
      <w:tr>
        <w:trPr>
          <w:trHeight w:val="369" w:hRule="atLeast"/>
        </w:trPr>
        <w:tc>
          <w:tcPr>
            <w:tcW w:w="3641" w:type="dxa"/>
            <w:tcBorders>
              <w:top w:val="single" w:sz="4" w:space="0" w:color="000000"/>
              <w:bottom w:val="single" w:sz="4" w:space="0" w:color="000000"/>
              <w:right w:val="single" w:sz="4" w:space="0" w:color="000000"/>
            </w:tcBorders>
          </w:tcPr>
          <w:p>
            <w:pPr>
              <w:pStyle w:val="TableParagraph"/>
              <w:spacing w:before="49"/>
              <w:ind w:left="104"/>
              <w:rPr>
                <w:rFonts w:ascii="宋体" w:eastAsia="宋体" w:hint="eastAsia"/>
                <w:sz w:val="21"/>
              </w:rPr>
            </w:pPr>
            <w:r>
              <w:rPr>
                <w:sz w:val="21"/>
              </w:rPr>
              <w:t>HNR </w:t>
            </w:r>
            <w:r>
              <w:rPr>
                <w:rFonts w:ascii="宋体" w:eastAsia="宋体" w:hint="eastAsia"/>
                <w:sz w:val="21"/>
              </w:rPr>
              <w:t>私营有限公司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388,679,073.55</w:t>
            </w:r>
          </w:p>
        </w:tc>
        <w:tc>
          <w:tcPr>
            <w:tcW w:w="2263" w:type="dxa"/>
            <w:tcBorders>
              <w:top w:val="single" w:sz="4" w:space="0" w:color="000000"/>
              <w:left w:val="single" w:sz="4" w:space="0" w:color="000000"/>
              <w:bottom w:val="single" w:sz="4" w:space="0" w:color="000000"/>
            </w:tcBorders>
          </w:tcPr>
          <w:p>
            <w:pPr>
              <w:pStyle w:val="TableParagraph"/>
              <w:spacing w:before="58"/>
              <w:ind w:right="72"/>
              <w:jc w:val="right"/>
              <w:rPr>
                <w:sz w:val="21"/>
              </w:rPr>
            </w:pPr>
            <w:r>
              <w:rPr>
                <w:sz w:val="21"/>
              </w:rPr>
              <w:t>420,113,418.64</w:t>
            </w:r>
          </w:p>
        </w:tc>
      </w:tr>
      <w:tr>
        <w:trPr>
          <w:trHeight w:val="369" w:hRule="atLeast"/>
        </w:trPr>
        <w:tc>
          <w:tcPr>
            <w:tcW w:w="3641" w:type="dxa"/>
            <w:tcBorders>
              <w:top w:val="single" w:sz="4" w:space="0" w:color="000000"/>
              <w:bottom w:val="single" w:sz="4" w:space="0" w:color="000000"/>
              <w:right w:val="single" w:sz="4" w:space="0" w:color="000000"/>
            </w:tcBorders>
          </w:tcPr>
          <w:p>
            <w:pPr>
              <w:pStyle w:val="TableParagraph"/>
              <w:spacing w:before="49"/>
              <w:ind w:left="104"/>
              <w:rPr>
                <w:rFonts w:ascii="宋体" w:eastAsia="宋体" w:hint="eastAsia"/>
                <w:sz w:val="21"/>
              </w:rPr>
            </w:pPr>
            <w:r>
              <w:rPr>
                <w:rFonts w:ascii="宋体" w:eastAsia="宋体" w:hint="eastAsia"/>
                <w:sz w:val="21"/>
              </w:rPr>
              <w:t>青岛海尔特种塑料研制开发有限公司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187,101,398.95</w:t>
            </w:r>
          </w:p>
        </w:tc>
        <w:tc>
          <w:tcPr>
            <w:tcW w:w="2263"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32,485,794.84</w:t>
            </w:r>
          </w:p>
        </w:tc>
      </w:tr>
      <w:tr>
        <w:trPr>
          <w:trHeight w:val="369" w:hRule="atLeast"/>
        </w:trPr>
        <w:tc>
          <w:tcPr>
            <w:tcW w:w="3641" w:type="dxa"/>
            <w:tcBorders>
              <w:top w:val="single" w:sz="4" w:space="0" w:color="000000"/>
              <w:bottom w:val="single" w:sz="4" w:space="0" w:color="000000"/>
              <w:right w:val="single" w:sz="4" w:space="0" w:color="000000"/>
            </w:tcBorders>
          </w:tcPr>
          <w:p>
            <w:pPr>
              <w:pStyle w:val="TableParagraph"/>
              <w:spacing w:before="49"/>
              <w:ind w:left="104"/>
              <w:rPr>
                <w:rFonts w:ascii="宋体" w:eastAsia="宋体" w:hint="eastAsia"/>
                <w:sz w:val="21"/>
              </w:rPr>
            </w:pPr>
            <w:r>
              <w:rPr>
                <w:rFonts w:ascii="宋体" w:eastAsia="宋体" w:hint="eastAsia"/>
                <w:sz w:val="21"/>
              </w:rPr>
              <w:t>重庆海尔电器销售有限公司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144,072,335.03</w:t>
            </w:r>
          </w:p>
        </w:tc>
        <w:tc>
          <w:tcPr>
            <w:tcW w:w="2263" w:type="dxa"/>
            <w:tcBorders>
              <w:top w:val="single" w:sz="4" w:space="0" w:color="000000"/>
              <w:left w:val="single" w:sz="4" w:space="0" w:color="000000"/>
              <w:bottom w:val="single" w:sz="4" w:space="0" w:color="000000"/>
            </w:tcBorders>
          </w:tcPr>
          <w:p>
            <w:pPr>
              <w:pStyle w:val="TableParagraph"/>
              <w:spacing w:before="58"/>
              <w:ind w:right="72"/>
              <w:jc w:val="right"/>
              <w:rPr>
                <w:sz w:val="21"/>
              </w:rPr>
            </w:pPr>
            <w:r>
              <w:rPr>
                <w:sz w:val="21"/>
              </w:rPr>
              <w:t>108,719,296.71</w:t>
            </w:r>
          </w:p>
        </w:tc>
      </w:tr>
      <w:tr>
        <w:trPr>
          <w:trHeight w:val="369" w:hRule="atLeast"/>
        </w:trPr>
        <w:tc>
          <w:tcPr>
            <w:tcW w:w="3641" w:type="dxa"/>
            <w:tcBorders>
              <w:top w:val="single" w:sz="4" w:space="0" w:color="000000"/>
              <w:bottom w:val="single" w:sz="4" w:space="0" w:color="000000"/>
              <w:right w:val="single" w:sz="4" w:space="0" w:color="000000"/>
            </w:tcBorders>
          </w:tcPr>
          <w:p>
            <w:pPr>
              <w:pStyle w:val="TableParagraph"/>
              <w:spacing w:before="49"/>
              <w:ind w:left="104"/>
              <w:rPr>
                <w:rFonts w:ascii="宋体" w:eastAsia="宋体" w:hint="eastAsia"/>
                <w:sz w:val="21"/>
              </w:rPr>
            </w:pPr>
            <w:r>
              <w:rPr>
                <w:rFonts w:ascii="宋体" w:eastAsia="宋体" w:hint="eastAsia"/>
                <w:sz w:val="21"/>
              </w:rPr>
              <w:t>青岛海尔国际旅行社有限公司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113,933,378.64</w:t>
            </w:r>
          </w:p>
        </w:tc>
        <w:tc>
          <w:tcPr>
            <w:tcW w:w="2263" w:type="dxa"/>
            <w:tcBorders>
              <w:top w:val="single" w:sz="4" w:space="0" w:color="000000"/>
              <w:left w:val="single" w:sz="4" w:space="0" w:color="000000"/>
              <w:bottom w:val="single" w:sz="4" w:space="0" w:color="000000"/>
            </w:tcBorders>
          </w:tcPr>
          <w:p>
            <w:pPr>
              <w:pStyle w:val="TableParagraph"/>
              <w:spacing w:before="58"/>
              <w:ind w:right="72"/>
              <w:jc w:val="right"/>
              <w:rPr>
                <w:sz w:val="21"/>
              </w:rPr>
            </w:pPr>
            <w:r>
              <w:rPr>
                <w:sz w:val="21"/>
              </w:rPr>
              <w:t>112,821,150.93</w:t>
            </w:r>
          </w:p>
        </w:tc>
      </w:tr>
      <w:tr>
        <w:trPr>
          <w:trHeight w:val="369" w:hRule="atLeast"/>
        </w:trPr>
        <w:tc>
          <w:tcPr>
            <w:tcW w:w="3641" w:type="dxa"/>
            <w:tcBorders>
              <w:top w:val="single" w:sz="4" w:space="0" w:color="000000"/>
              <w:bottom w:val="single" w:sz="4" w:space="0" w:color="000000"/>
              <w:right w:val="single" w:sz="4" w:space="0" w:color="000000"/>
            </w:tcBorders>
          </w:tcPr>
          <w:p>
            <w:pPr>
              <w:pStyle w:val="TableParagraph"/>
              <w:spacing w:before="49"/>
              <w:ind w:left="104"/>
              <w:rPr>
                <w:rFonts w:ascii="宋体" w:eastAsia="宋体" w:hint="eastAsia"/>
                <w:sz w:val="21"/>
              </w:rPr>
            </w:pPr>
            <w:r>
              <w:rPr>
                <w:rFonts w:ascii="宋体" w:eastAsia="宋体" w:hint="eastAsia"/>
                <w:sz w:val="21"/>
              </w:rPr>
              <w:t>海尔集团电器产业有限公司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before="55"/>
              <w:ind w:right="83"/>
              <w:jc w:val="right"/>
              <w:rPr>
                <w:sz w:val="21"/>
              </w:rPr>
            </w:pPr>
            <w:r>
              <w:rPr>
                <w:sz w:val="21"/>
              </w:rPr>
              <w:t>113,495,244.55</w:t>
            </w:r>
          </w:p>
        </w:tc>
        <w:tc>
          <w:tcPr>
            <w:tcW w:w="2263" w:type="dxa"/>
            <w:tcBorders>
              <w:top w:val="single" w:sz="4" w:space="0" w:color="000000"/>
              <w:left w:val="single" w:sz="4" w:space="0" w:color="000000"/>
              <w:bottom w:val="single" w:sz="4" w:space="0" w:color="000000"/>
            </w:tcBorders>
          </w:tcPr>
          <w:p>
            <w:pPr>
              <w:pStyle w:val="TableParagraph"/>
              <w:spacing w:before="55"/>
              <w:ind w:right="74"/>
              <w:jc w:val="right"/>
              <w:rPr>
                <w:sz w:val="21"/>
              </w:rPr>
            </w:pPr>
            <w:r>
              <w:rPr>
                <w:sz w:val="21"/>
              </w:rPr>
              <w:t>96,399,344.74</w:t>
            </w:r>
          </w:p>
        </w:tc>
      </w:tr>
      <w:tr>
        <w:trPr>
          <w:trHeight w:val="369" w:hRule="atLeast"/>
        </w:trPr>
        <w:tc>
          <w:tcPr>
            <w:tcW w:w="3641" w:type="dxa"/>
            <w:tcBorders>
              <w:top w:val="single" w:sz="4" w:space="0" w:color="000000"/>
              <w:bottom w:val="single" w:sz="4" w:space="0" w:color="000000"/>
              <w:right w:val="single" w:sz="4" w:space="0" w:color="000000"/>
            </w:tcBorders>
          </w:tcPr>
          <w:p>
            <w:pPr>
              <w:pStyle w:val="TableParagraph"/>
              <w:spacing w:before="55"/>
              <w:ind w:left="104"/>
              <w:rPr>
                <w:sz w:val="21"/>
              </w:rPr>
            </w:pPr>
            <w:r>
              <w:rPr>
                <w:sz w:val="21"/>
              </w:rPr>
              <w:t>Controladora Mabe S.A.deC.V.</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before="55"/>
              <w:ind w:right="85"/>
              <w:jc w:val="right"/>
              <w:rPr>
                <w:sz w:val="21"/>
              </w:rPr>
            </w:pPr>
            <w:r>
              <w:rPr>
                <w:sz w:val="21"/>
              </w:rPr>
              <w:t>81,498,939.68</w:t>
            </w:r>
          </w:p>
        </w:tc>
        <w:tc>
          <w:tcPr>
            <w:tcW w:w="2263" w:type="dxa"/>
            <w:tcBorders>
              <w:top w:val="single" w:sz="4" w:space="0" w:color="000000"/>
              <w:left w:val="single" w:sz="4" w:space="0" w:color="000000"/>
              <w:bottom w:val="single" w:sz="4" w:space="0" w:color="000000"/>
            </w:tcBorders>
          </w:tcPr>
          <w:p>
            <w:pPr>
              <w:pStyle w:val="TableParagraph"/>
              <w:spacing w:before="55"/>
              <w:ind w:right="74"/>
              <w:jc w:val="right"/>
              <w:rPr>
                <w:sz w:val="21"/>
              </w:rPr>
            </w:pPr>
            <w:r>
              <w:rPr>
                <w:sz w:val="21"/>
              </w:rPr>
              <w:t>86,399,338.60</w:t>
            </w:r>
          </w:p>
        </w:tc>
      </w:tr>
      <w:tr>
        <w:trPr>
          <w:trHeight w:val="366" w:hRule="atLeast"/>
        </w:trPr>
        <w:tc>
          <w:tcPr>
            <w:tcW w:w="3641" w:type="dxa"/>
            <w:tcBorders>
              <w:top w:val="single" w:sz="4" w:space="0" w:color="000000"/>
              <w:bottom w:val="single" w:sz="4" w:space="0" w:color="000000"/>
              <w:right w:val="single" w:sz="4" w:space="0" w:color="000000"/>
            </w:tcBorders>
          </w:tcPr>
          <w:p>
            <w:pPr>
              <w:pStyle w:val="TableParagraph"/>
              <w:spacing w:before="49"/>
              <w:ind w:left="104"/>
              <w:rPr>
                <w:rFonts w:ascii="宋体" w:eastAsia="宋体" w:hint="eastAsia"/>
                <w:sz w:val="21"/>
              </w:rPr>
            </w:pPr>
            <w:r>
              <w:rPr>
                <w:rFonts w:ascii="宋体" w:eastAsia="宋体" w:hint="eastAsia"/>
                <w:sz w:val="21"/>
              </w:rPr>
              <w:t>海尔数字科技</w:t>
            </w:r>
            <w:r>
              <w:rPr>
                <w:sz w:val="21"/>
              </w:rPr>
              <w:t>(</w:t>
            </w:r>
            <w:r>
              <w:rPr>
                <w:rFonts w:ascii="宋体" w:eastAsia="宋体" w:hint="eastAsia"/>
                <w:sz w:val="21"/>
              </w:rPr>
              <w:t>青岛</w:t>
            </w:r>
            <w:r>
              <w:rPr>
                <w:sz w:val="21"/>
              </w:rPr>
              <w:t>)</w:t>
            </w:r>
            <w:r>
              <w:rPr>
                <w:rFonts w:ascii="宋体" w:eastAsia="宋体" w:hint="eastAsia"/>
                <w:sz w:val="21"/>
              </w:rPr>
              <w:t>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before="55"/>
              <w:ind w:right="85"/>
              <w:jc w:val="right"/>
              <w:rPr>
                <w:sz w:val="21"/>
              </w:rPr>
            </w:pPr>
            <w:r>
              <w:rPr>
                <w:sz w:val="21"/>
              </w:rPr>
              <w:t>80,254,328.37</w:t>
            </w:r>
          </w:p>
        </w:tc>
        <w:tc>
          <w:tcPr>
            <w:tcW w:w="2263"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3641" w:type="dxa"/>
            <w:tcBorders>
              <w:top w:val="single" w:sz="4" w:space="0" w:color="000000"/>
              <w:bottom w:val="single" w:sz="4" w:space="0" w:color="000000"/>
              <w:right w:val="single" w:sz="4" w:space="0" w:color="000000"/>
            </w:tcBorders>
          </w:tcPr>
          <w:p>
            <w:pPr>
              <w:pStyle w:val="TableParagraph"/>
              <w:spacing w:before="51"/>
              <w:ind w:left="104"/>
              <w:rPr>
                <w:rFonts w:ascii="宋体" w:eastAsia="宋体" w:hint="eastAsia"/>
                <w:sz w:val="21"/>
              </w:rPr>
            </w:pPr>
            <w:r>
              <w:rPr>
                <w:rFonts w:ascii="宋体" w:eastAsia="宋体" w:hint="eastAsia"/>
                <w:sz w:val="21"/>
              </w:rPr>
              <w:t>青岛海尔国际贸易有限公司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before="58"/>
              <w:ind w:right="85"/>
              <w:jc w:val="right"/>
              <w:rPr>
                <w:sz w:val="21"/>
              </w:rPr>
            </w:pPr>
            <w:r>
              <w:rPr>
                <w:sz w:val="21"/>
              </w:rPr>
              <w:t>72,248,862.19</w:t>
            </w:r>
          </w:p>
        </w:tc>
        <w:tc>
          <w:tcPr>
            <w:tcW w:w="2263"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31,247,321.37</w:t>
            </w:r>
          </w:p>
        </w:tc>
      </w:tr>
      <w:tr>
        <w:trPr>
          <w:trHeight w:val="369" w:hRule="atLeast"/>
        </w:trPr>
        <w:tc>
          <w:tcPr>
            <w:tcW w:w="3641" w:type="dxa"/>
            <w:tcBorders>
              <w:top w:val="single" w:sz="4" w:space="0" w:color="000000"/>
              <w:bottom w:val="single" w:sz="4" w:space="0" w:color="000000"/>
              <w:right w:val="single" w:sz="4" w:space="0" w:color="000000"/>
            </w:tcBorders>
          </w:tcPr>
          <w:p>
            <w:pPr>
              <w:pStyle w:val="TableParagraph"/>
              <w:spacing w:before="51"/>
              <w:ind w:left="104"/>
              <w:rPr>
                <w:rFonts w:ascii="宋体" w:eastAsia="宋体" w:hint="eastAsia"/>
                <w:sz w:val="21"/>
              </w:rPr>
            </w:pPr>
            <w:r>
              <w:rPr>
                <w:rFonts w:ascii="宋体" w:eastAsia="宋体" w:hint="eastAsia"/>
                <w:sz w:val="21"/>
              </w:rPr>
              <w:t>其他关联方</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380,204,495.12</w:t>
            </w:r>
          </w:p>
        </w:tc>
        <w:tc>
          <w:tcPr>
            <w:tcW w:w="2263" w:type="dxa"/>
            <w:tcBorders>
              <w:top w:val="single" w:sz="4" w:space="0" w:color="000000"/>
              <w:left w:val="single" w:sz="4" w:space="0" w:color="000000"/>
              <w:bottom w:val="single" w:sz="4" w:space="0" w:color="000000"/>
            </w:tcBorders>
          </w:tcPr>
          <w:p>
            <w:pPr>
              <w:pStyle w:val="TableParagraph"/>
              <w:spacing w:before="58"/>
              <w:ind w:right="72"/>
              <w:jc w:val="right"/>
              <w:rPr>
                <w:sz w:val="21"/>
              </w:rPr>
            </w:pPr>
            <w:r>
              <w:rPr>
                <w:sz w:val="21"/>
              </w:rPr>
              <w:t>453,623,180.21</w:t>
            </w:r>
          </w:p>
        </w:tc>
      </w:tr>
      <w:tr>
        <w:trPr>
          <w:trHeight w:val="369" w:hRule="atLeast"/>
        </w:trPr>
        <w:tc>
          <w:tcPr>
            <w:tcW w:w="8455" w:type="dxa"/>
            <w:gridSpan w:val="3"/>
            <w:tcBorders>
              <w:top w:val="single" w:sz="4" w:space="0" w:color="000000"/>
              <w:bottom w:val="single" w:sz="4" w:space="0" w:color="000000"/>
            </w:tcBorders>
          </w:tcPr>
          <w:p>
            <w:pPr>
              <w:pStyle w:val="TableParagraph"/>
              <w:spacing w:line="349" w:lineRule="exact"/>
              <w:ind w:left="104"/>
              <w:rPr>
                <w:rFonts w:ascii="Microsoft JhengHei" w:eastAsia="Microsoft JhengHei" w:hint="eastAsia"/>
                <w:b/>
                <w:sz w:val="21"/>
              </w:rPr>
            </w:pPr>
            <w:r>
              <w:rPr>
                <w:rFonts w:ascii="Microsoft JhengHei" w:eastAsia="Microsoft JhengHei" w:hint="eastAsia"/>
                <w:b/>
                <w:sz w:val="21"/>
              </w:rPr>
              <w:t>预付款项：</w:t>
            </w:r>
          </w:p>
        </w:tc>
      </w:tr>
      <w:tr>
        <w:trPr>
          <w:trHeight w:val="371" w:hRule="atLeast"/>
        </w:trPr>
        <w:tc>
          <w:tcPr>
            <w:tcW w:w="3641" w:type="dxa"/>
            <w:tcBorders>
              <w:top w:val="single" w:sz="4" w:space="0" w:color="000000"/>
              <w:right w:val="single" w:sz="4" w:space="0" w:color="000000"/>
            </w:tcBorders>
          </w:tcPr>
          <w:p>
            <w:pPr>
              <w:pStyle w:val="TableParagraph"/>
              <w:spacing w:before="51"/>
              <w:ind w:left="104"/>
              <w:rPr>
                <w:rFonts w:ascii="宋体" w:eastAsia="宋体" w:hint="eastAsia"/>
                <w:sz w:val="21"/>
              </w:rPr>
            </w:pPr>
            <w:r>
              <w:rPr>
                <w:rFonts w:ascii="宋体" w:eastAsia="宋体" w:hint="eastAsia"/>
                <w:sz w:val="21"/>
              </w:rPr>
              <w:t>青岛海尔国际贸易有限公司</w:t>
            </w:r>
          </w:p>
        </w:tc>
        <w:tc>
          <w:tcPr>
            <w:tcW w:w="2551" w:type="dxa"/>
            <w:tcBorders>
              <w:top w:val="single" w:sz="4" w:space="0" w:color="000000"/>
              <w:left w:val="single" w:sz="4" w:space="0" w:color="000000"/>
              <w:right w:val="single" w:sz="4" w:space="0" w:color="000000"/>
            </w:tcBorders>
          </w:tcPr>
          <w:p>
            <w:pPr>
              <w:pStyle w:val="TableParagraph"/>
              <w:spacing w:before="58"/>
              <w:ind w:right="85"/>
              <w:jc w:val="right"/>
              <w:rPr>
                <w:sz w:val="21"/>
              </w:rPr>
            </w:pPr>
            <w:r>
              <w:rPr>
                <w:sz w:val="21"/>
              </w:rPr>
              <w:t>80,759,659.73</w:t>
            </w:r>
          </w:p>
        </w:tc>
        <w:tc>
          <w:tcPr>
            <w:tcW w:w="2263" w:type="dxa"/>
            <w:tcBorders>
              <w:top w:val="single" w:sz="4" w:space="0" w:color="000000"/>
              <w:left w:val="single" w:sz="4" w:space="0" w:color="000000"/>
            </w:tcBorders>
          </w:tcPr>
          <w:p>
            <w:pPr>
              <w:pStyle w:val="TableParagraph"/>
              <w:spacing w:before="58"/>
              <w:ind w:right="74"/>
              <w:jc w:val="right"/>
              <w:rPr>
                <w:sz w:val="21"/>
              </w:rPr>
            </w:pPr>
            <w:r>
              <w:rPr>
                <w:sz w:val="21"/>
              </w:rPr>
              <w:t>23,318,702.14</w:t>
            </w:r>
          </w:p>
        </w:tc>
      </w:tr>
    </w:tbl>
    <w:p>
      <w:pPr>
        <w:spacing w:after="0"/>
        <w:jc w:val="right"/>
        <w:rPr>
          <w:sz w:val="21"/>
        </w:rPr>
        <w:sectPr>
          <w:pgSz w:w="11910" w:h="16840"/>
          <w:pgMar w:header="876" w:footer="1184" w:top="1440" w:bottom="1400" w:left="260" w:right="0"/>
        </w:sectPr>
      </w:pPr>
    </w:p>
    <w:p>
      <w:pPr>
        <w:pStyle w:val="BodyText"/>
        <w:spacing w:before="9"/>
        <w:rPr>
          <w:rFonts w:ascii="Times New Roman"/>
          <w:sz w:val="5"/>
        </w:rPr>
      </w:pPr>
    </w:p>
    <w:tbl>
      <w:tblPr>
        <w:tblW w:w="0" w:type="auto"/>
        <w:jc w:val="left"/>
        <w:tblInd w:w="17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641"/>
        <w:gridCol w:w="2551"/>
        <w:gridCol w:w="2263"/>
      </w:tblGrid>
      <w:tr>
        <w:trPr>
          <w:trHeight w:val="371" w:hRule="atLeast"/>
        </w:trPr>
        <w:tc>
          <w:tcPr>
            <w:tcW w:w="3641" w:type="dxa"/>
            <w:tcBorders>
              <w:bottom w:val="single" w:sz="4" w:space="0" w:color="000000"/>
              <w:right w:val="single" w:sz="4" w:space="0" w:color="000000"/>
            </w:tcBorders>
          </w:tcPr>
          <w:p>
            <w:pPr>
              <w:pStyle w:val="TableParagraph"/>
              <w:spacing w:before="51"/>
              <w:ind w:left="104"/>
              <w:rPr>
                <w:rFonts w:ascii="宋体" w:eastAsia="宋体" w:hint="eastAsia"/>
                <w:sz w:val="21"/>
              </w:rPr>
            </w:pPr>
            <w:r>
              <w:rPr>
                <w:sz w:val="21"/>
              </w:rPr>
              <w:t>HNR </w:t>
            </w:r>
            <w:r>
              <w:rPr>
                <w:rFonts w:ascii="宋体" w:eastAsia="宋体" w:hint="eastAsia"/>
                <w:sz w:val="21"/>
              </w:rPr>
              <w:t>私营有限公司</w:t>
            </w:r>
          </w:p>
        </w:tc>
        <w:tc>
          <w:tcPr>
            <w:tcW w:w="2551" w:type="dxa"/>
            <w:tcBorders>
              <w:left w:val="single" w:sz="4" w:space="0" w:color="000000"/>
              <w:bottom w:val="single" w:sz="4" w:space="0" w:color="000000"/>
              <w:right w:val="single" w:sz="4" w:space="0" w:color="000000"/>
            </w:tcBorders>
          </w:tcPr>
          <w:p>
            <w:pPr>
              <w:pStyle w:val="TableParagraph"/>
              <w:spacing w:before="58"/>
              <w:ind w:right="85"/>
              <w:jc w:val="right"/>
              <w:rPr>
                <w:sz w:val="21"/>
              </w:rPr>
            </w:pPr>
            <w:r>
              <w:rPr>
                <w:sz w:val="21"/>
              </w:rPr>
              <w:t>78,420,575.44</w:t>
            </w:r>
          </w:p>
        </w:tc>
        <w:tc>
          <w:tcPr>
            <w:tcW w:w="2263" w:type="dxa"/>
            <w:tcBorders>
              <w:left w:val="single" w:sz="4" w:space="0" w:color="000000"/>
              <w:bottom w:val="single" w:sz="4" w:space="0" w:color="000000"/>
            </w:tcBorders>
          </w:tcPr>
          <w:p>
            <w:pPr>
              <w:pStyle w:val="TableParagraph"/>
              <w:spacing w:before="58"/>
              <w:ind w:right="74"/>
              <w:jc w:val="right"/>
              <w:rPr>
                <w:sz w:val="21"/>
              </w:rPr>
            </w:pPr>
            <w:r>
              <w:rPr>
                <w:sz w:val="21"/>
              </w:rPr>
              <w:t>66,648,390.11</w:t>
            </w:r>
          </w:p>
        </w:tc>
      </w:tr>
      <w:tr>
        <w:trPr>
          <w:trHeight w:val="369" w:hRule="atLeast"/>
        </w:trPr>
        <w:tc>
          <w:tcPr>
            <w:tcW w:w="3641" w:type="dxa"/>
            <w:tcBorders>
              <w:top w:val="single" w:sz="4" w:space="0" w:color="000000"/>
              <w:bottom w:val="single" w:sz="4" w:space="0" w:color="000000"/>
              <w:right w:val="single" w:sz="4" w:space="0" w:color="000000"/>
            </w:tcBorders>
          </w:tcPr>
          <w:p>
            <w:pPr>
              <w:pStyle w:val="TableParagraph"/>
              <w:spacing w:before="49"/>
              <w:ind w:left="104"/>
              <w:rPr>
                <w:rFonts w:ascii="宋体" w:eastAsia="宋体" w:hint="eastAsia"/>
                <w:sz w:val="21"/>
              </w:rPr>
            </w:pPr>
            <w:r>
              <w:rPr>
                <w:rFonts w:ascii="宋体" w:eastAsia="宋体" w:hint="eastAsia"/>
                <w:sz w:val="21"/>
              </w:rPr>
              <w:t>青岛海尔模具有限公司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before="55"/>
              <w:ind w:right="85"/>
              <w:jc w:val="right"/>
              <w:rPr>
                <w:sz w:val="21"/>
              </w:rPr>
            </w:pPr>
            <w:r>
              <w:rPr>
                <w:sz w:val="21"/>
              </w:rPr>
              <w:t>32,695,754.10</w:t>
            </w:r>
          </w:p>
        </w:tc>
        <w:tc>
          <w:tcPr>
            <w:tcW w:w="2263" w:type="dxa"/>
            <w:tcBorders>
              <w:top w:val="single" w:sz="4" w:space="0" w:color="000000"/>
              <w:left w:val="single" w:sz="4" w:space="0" w:color="000000"/>
              <w:bottom w:val="single" w:sz="4" w:space="0" w:color="000000"/>
            </w:tcBorders>
          </w:tcPr>
          <w:p>
            <w:pPr>
              <w:pStyle w:val="TableParagraph"/>
              <w:rPr>
                <w:sz w:val="20"/>
              </w:rPr>
            </w:pPr>
          </w:p>
        </w:tc>
      </w:tr>
      <w:tr>
        <w:trPr>
          <w:trHeight w:val="366" w:hRule="atLeast"/>
        </w:trPr>
        <w:tc>
          <w:tcPr>
            <w:tcW w:w="3641" w:type="dxa"/>
            <w:tcBorders>
              <w:top w:val="single" w:sz="4" w:space="0" w:color="000000"/>
              <w:bottom w:val="single" w:sz="4" w:space="0" w:color="000000"/>
              <w:right w:val="single" w:sz="4" w:space="0" w:color="000000"/>
            </w:tcBorders>
          </w:tcPr>
          <w:p>
            <w:pPr>
              <w:pStyle w:val="TableParagraph"/>
              <w:spacing w:before="49"/>
              <w:ind w:left="104"/>
              <w:rPr>
                <w:rFonts w:ascii="宋体" w:eastAsia="宋体" w:hint="eastAsia"/>
                <w:sz w:val="21"/>
              </w:rPr>
            </w:pPr>
            <w:r>
              <w:rPr>
                <w:rFonts w:ascii="宋体" w:eastAsia="宋体" w:hint="eastAsia"/>
                <w:sz w:val="21"/>
              </w:rPr>
              <w:t>青岛海尔国际旅行社有限公司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before="55"/>
              <w:ind w:right="85"/>
              <w:jc w:val="right"/>
              <w:rPr>
                <w:sz w:val="21"/>
              </w:rPr>
            </w:pPr>
            <w:r>
              <w:rPr>
                <w:sz w:val="21"/>
              </w:rPr>
              <w:t>26,860,737.70</w:t>
            </w:r>
          </w:p>
        </w:tc>
        <w:tc>
          <w:tcPr>
            <w:tcW w:w="2263" w:type="dxa"/>
            <w:tcBorders>
              <w:top w:val="single" w:sz="4" w:space="0" w:color="000000"/>
              <w:left w:val="single" w:sz="4" w:space="0" w:color="000000"/>
              <w:bottom w:val="single" w:sz="4" w:space="0" w:color="000000"/>
            </w:tcBorders>
          </w:tcPr>
          <w:p>
            <w:pPr>
              <w:pStyle w:val="TableParagraph"/>
              <w:spacing w:before="55"/>
              <w:ind w:right="74"/>
              <w:jc w:val="right"/>
              <w:rPr>
                <w:sz w:val="21"/>
              </w:rPr>
            </w:pPr>
            <w:r>
              <w:rPr>
                <w:sz w:val="21"/>
              </w:rPr>
              <w:t>24,450,705.51</w:t>
            </w:r>
          </w:p>
        </w:tc>
      </w:tr>
      <w:tr>
        <w:trPr>
          <w:trHeight w:val="369" w:hRule="atLeast"/>
        </w:trPr>
        <w:tc>
          <w:tcPr>
            <w:tcW w:w="3641" w:type="dxa"/>
            <w:tcBorders>
              <w:top w:val="single" w:sz="4" w:space="0" w:color="000000"/>
              <w:bottom w:val="single" w:sz="4" w:space="0" w:color="000000"/>
              <w:right w:val="single" w:sz="4" w:space="0" w:color="000000"/>
            </w:tcBorders>
          </w:tcPr>
          <w:p>
            <w:pPr>
              <w:pStyle w:val="TableParagraph"/>
              <w:spacing w:before="51"/>
              <w:ind w:left="104"/>
              <w:rPr>
                <w:rFonts w:ascii="宋体" w:eastAsia="宋体" w:hint="eastAsia"/>
                <w:sz w:val="21"/>
              </w:rPr>
            </w:pPr>
            <w:r>
              <w:rPr>
                <w:rFonts w:ascii="宋体" w:eastAsia="宋体" w:hint="eastAsia"/>
                <w:sz w:val="21"/>
              </w:rPr>
              <w:t>其他关联方</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before="58"/>
              <w:ind w:right="85"/>
              <w:jc w:val="right"/>
              <w:rPr>
                <w:sz w:val="21"/>
              </w:rPr>
            </w:pPr>
            <w:r>
              <w:rPr>
                <w:sz w:val="21"/>
              </w:rPr>
              <w:t>61,908,776.76</w:t>
            </w:r>
          </w:p>
        </w:tc>
        <w:tc>
          <w:tcPr>
            <w:tcW w:w="2263" w:type="dxa"/>
            <w:tcBorders>
              <w:top w:val="single" w:sz="4" w:space="0" w:color="000000"/>
              <w:left w:val="single" w:sz="4" w:space="0" w:color="000000"/>
              <w:bottom w:val="single" w:sz="4" w:space="0" w:color="000000"/>
            </w:tcBorders>
          </w:tcPr>
          <w:p>
            <w:pPr>
              <w:pStyle w:val="TableParagraph"/>
              <w:spacing w:before="58"/>
              <w:ind w:right="72"/>
              <w:jc w:val="right"/>
              <w:rPr>
                <w:sz w:val="21"/>
              </w:rPr>
            </w:pPr>
            <w:r>
              <w:rPr>
                <w:sz w:val="21"/>
              </w:rPr>
              <w:t>411,883,880.41</w:t>
            </w:r>
          </w:p>
        </w:tc>
      </w:tr>
      <w:tr>
        <w:trPr>
          <w:trHeight w:val="369" w:hRule="atLeast"/>
        </w:trPr>
        <w:tc>
          <w:tcPr>
            <w:tcW w:w="8455" w:type="dxa"/>
            <w:gridSpan w:val="3"/>
            <w:tcBorders>
              <w:top w:val="single" w:sz="4" w:space="0" w:color="000000"/>
              <w:bottom w:val="single" w:sz="4" w:space="0" w:color="000000"/>
            </w:tcBorders>
          </w:tcPr>
          <w:p>
            <w:pPr>
              <w:pStyle w:val="TableParagraph"/>
              <w:spacing w:line="349" w:lineRule="exact"/>
              <w:ind w:left="104"/>
              <w:rPr>
                <w:rFonts w:ascii="Microsoft JhengHei" w:eastAsia="Microsoft JhengHei" w:hint="eastAsia"/>
                <w:b/>
                <w:sz w:val="21"/>
              </w:rPr>
            </w:pPr>
            <w:r>
              <w:rPr>
                <w:rFonts w:ascii="Microsoft JhengHei" w:eastAsia="Microsoft JhengHei" w:hint="eastAsia"/>
                <w:b/>
                <w:sz w:val="21"/>
              </w:rPr>
              <w:t>应收利息：</w:t>
            </w:r>
          </w:p>
        </w:tc>
      </w:tr>
      <w:tr>
        <w:trPr>
          <w:trHeight w:val="369" w:hRule="atLeast"/>
        </w:trPr>
        <w:tc>
          <w:tcPr>
            <w:tcW w:w="3641" w:type="dxa"/>
            <w:tcBorders>
              <w:top w:val="single" w:sz="4" w:space="0" w:color="000000"/>
              <w:bottom w:val="single" w:sz="4" w:space="0" w:color="000000"/>
              <w:right w:val="single" w:sz="4" w:space="0" w:color="000000"/>
            </w:tcBorders>
          </w:tcPr>
          <w:p>
            <w:pPr>
              <w:pStyle w:val="TableParagraph"/>
              <w:spacing w:before="51"/>
              <w:ind w:left="104"/>
              <w:rPr>
                <w:rFonts w:ascii="宋体" w:eastAsia="宋体" w:hint="eastAsia"/>
                <w:sz w:val="21"/>
              </w:rPr>
            </w:pPr>
            <w:r>
              <w:rPr>
                <w:rFonts w:ascii="宋体" w:eastAsia="宋体" w:hint="eastAsia"/>
                <w:sz w:val="21"/>
              </w:rPr>
              <w:t>海尔集团财务有限责任公司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120,777,203.01</w:t>
            </w:r>
          </w:p>
        </w:tc>
        <w:tc>
          <w:tcPr>
            <w:tcW w:w="2263"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49,797,510.75</w:t>
            </w:r>
          </w:p>
        </w:tc>
      </w:tr>
      <w:tr>
        <w:trPr>
          <w:trHeight w:val="369" w:hRule="atLeast"/>
        </w:trPr>
        <w:tc>
          <w:tcPr>
            <w:tcW w:w="8455" w:type="dxa"/>
            <w:gridSpan w:val="3"/>
            <w:tcBorders>
              <w:top w:val="single" w:sz="4" w:space="0" w:color="000000"/>
              <w:bottom w:val="single" w:sz="4" w:space="0" w:color="000000"/>
            </w:tcBorders>
          </w:tcPr>
          <w:p>
            <w:pPr>
              <w:pStyle w:val="TableParagraph"/>
              <w:spacing w:line="349" w:lineRule="exact"/>
              <w:ind w:left="104"/>
              <w:rPr>
                <w:rFonts w:ascii="Microsoft JhengHei" w:eastAsia="Microsoft JhengHei" w:hint="eastAsia"/>
                <w:b/>
                <w:sz w:val="21"/>
              </w:rPr>
            </w:pPr>
            <w:r>
              <w:rPr>
                <w:rFonts w:ascii="Microsoft JhengHei" w:eastAsia="Microsoft JhengHei" w:hint="eastAsia"/>
                <w:b/>
                <w:sz w:val="21"/>
              </w:rPr>
              <w:t>其他应收款：</w:t>
            </w:r>
          </w:p>
        </w:tc>
      </w:tr>
      <w:tr>
        <w:trPr>
          <w:trHeight w:val="369" w:hRule="atLeast"/>
        </w:trPr>
        <w:tc>
          <w:tcPr>
            <w:tcW w:w="3641" w:type="dxa"/>
            <w:tcBorders>
              <w:top w:val="single" w:sz="4" w:space="0" w:color="000000"/>
              <w:bottom w:val="single" w:sz="4" w:space="0" w:color="000000"/>
              <w:right w:val="single" w:sz="4" w:space="0" w:color="000000"/>
            </w:tcBorders>
          </w:tcPr>
          <w:p>
            <w:pPr>
              <w:pStyle w:val="TableParagraph"/>
              <w:spacing w:before="1"/>
              <w:ind w:left="104"/>
              <w:rPr>
                <w:rFonts w:ascii="宋体" w:eastAsia="宋体" w:hint="eastAsia"/>
                <w:sz w:val="21"/>
              </w:rPr>
            </w:pPr>
            <w:r>
              <w:rPr>
                <w:rFonts w:ascii="宋体" w:eastAsia="宋体" w:hint="eastAsia"/>
                <w:sz w:val="21"/>
              </w:rPr>
              <w:t>青岛海尔产城创集团有限公司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before="58"/>
              <w:ind w:right="85"/>
              <w:jc w:val="right"/>
              <w:rPr>
                <w:sz w:val="21"/>
              </w:rPr>
            </w:pPr>
            <w:r>
              <w:rPr>
                <w:sz w:val="21"/>
              </w:rPr>
              <w:t>88,640,000.00</w:t>
            </w:r>
          </w:p>
        </w:tc>
        <w:tc>
          <w:tcPr>
            <w:tcW w:w="2263"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88,640,000.00</w:t>
            </w:r>
          </w:p>
        </w:tc>
      </w:tr>
      <w:tr>
        <w:trPr>
          <w:trHeight w:val="369" w:hRule="atLeast"/>
        </w:trPr>
        <w:tc>
          <w:tcPr>
            <w:tcW w:w="3641" w:type="dxa"/>
            <w:tcBorders>
              <w:top w:val="single" w:sz="4" w:space="0" w:color="000000"/>
              <w:bottom w:val="single" w:sz="4" w:space="0" w:color="000000"/>
              <w:right w:val="single" w:sz="4" w:space="0" w:color="000000"/>
            </w:tcBorders>
          </w:tcPr>
          <w:p>
            <w:pPr>
              <w:pStyle w:val="TableParagraph"/>
              <w:spacing w:before="49"/>
              <w:ind w:left="104"/>
              <w:rPr>
                <w:rFonts w:ascii="宋体" w:eastAsia="宋体" w:hint="eastAsia"/>
                <w:sz w:val="21"/>
              </w:rPr>
            </w:pPr>
            <w:r>
              <w:rPr>
                <w:rFonts w:ascii="宋体" w:eastAsia="宋体" w:hint="eastAsia"/>
                <w:sz w:val="21"/>
              </w:rPr>
              <w:t>其他关联方</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186,306,992.77</w:t>
            </w:r>
          </w:p>
        </w:tc>
        <w:tc>
          <w:tcPr>
            <w:tcW w:w="2263" w:type="dxa"/>
            <w:tcBorders>
              <w:top w:val="single" w:sz="4" w:space="0" w:color="000000"/>
              <w:left w:val="single" w:sz="4" w:space="0" w:color="000000"/>
              <w:bottom w:val="single" w:sz="4" w:space="0" w:color="000000"/>
            </w:tcBorders>
          </w:tcPr>
          <w:p>
            <w:pPr>
              <w:pStyle w:val="TableParagraph"/>
              <w:spacing w:before="58"/>
              <w:ind w:right="72"/>
              <w:jc w:val="right"/>
              <w:rPr>
                <w:sz w:val="21"/>
              </w:rPr>
            </w:pPr>
            <w:r>
              <w:rPr>
                <w:sz w:val="21"/>
              </w:rPr>
              <w:t>371,011,761.45</w:t>
            </w:r>
          </w:p>
        </w:tc>
      </w:tr>
      <w:tr>
        <w:trPr>
          <w:trHeight w:val="369" w:hRule="atLeast"/>
        </w:trPr>
        <w:tc>
          <w:tcPr>
            <w:tcW w:w="8455" w:type="dxa"/>
            <w:gridSpan w:val="3"/>
            <w:tcBorders>
              <w:top w:val="single" w:sz="4" w:space="0" w:color="000000"/>
              <w:bottom w:val="single" w:sz="4" w:space="0" w:color="000000"/>
            </w:tcBorders>
          </w:tcPr>
          <w:p>
            <w:pPr>
              <w:pStyle w:val="TableParagraph"/>
              <w:spacing w:line="349" w:lineRule="exact"/>
              <w:ind w:left="104"/>
              <w:rPr>
                <w:rFonts w:ascii="宋体" w:eastAsia="宋体" w:hint="eastAsia"/>
                <w:sz w:val="21"/>
              </w:rPr>
            </w:pPr>
            <w:r>
              <w:rPr>
                <w:rFonts w:ascii="Microsoft JhengHei" w:eastAsia="Microsoft JhengHei" w:hint="eastAsia"/>
                <w:b/>
                <w:sz w:val="21"/>
              </w:rPr>
              <w:t>应付票据：</w:t>
            </w:r>
            <w:r>
              <w:rPr>
                <w:rFonts w:ascii="宋体" w:eastAsia="宋体" w:hint="eastAsia"/>
                <w:sz w:val="21"/>
              </w:rPr>
              <w:t> </w:t>
            </w:r>
          </w:p>
        </w:tc>
      </w:tr>
      <w:tr>
        <w:trPr>
          <w:trHeight w:val="369" w:hRule="atLeast"/>
        </w:trPr>
        <w:tc>
          <w:tcPr>
            <w:tcW w:w="3641" w:type="dxa"/>
            <w:tcBorders>
              <w:top w:val="single" w:sz="4" w:space="0" w:color="000000"/>
              <w:bottom w:val="single" w:sz="4" w:space="0" w:color="000000"/>
              <w:right w:val="single" w:sz="4" w:space="0" w:color="000000"/>
            </w:tcBorders>
          </w:tcPr>
          <w:p>
            <w:pPr>
              <w:pStyle w:val="TableParagraph"/>
              <w:spacing w:before="49"/>
              <w:ind w:left="104"/>
              <w:rPr>
                <w:rFonts w:ascii="宋体" w:eastAsia="宋体" w:hint="eastAsia"/>
                <w:sz w:val="21"/>
              </w:rPr>
            </w:pPr>
            <w:r>
              <w:rPr>
                <w:rFonts w:ascii="宋体" w:eastAsia="宋体" w:hint="eastAsia"/>
                <w:sz w:val="21"/>
              </w:rPr>
              <w:t>莱阳海尔电器有限公司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before="58"/>
              <w:ind w:right="85"/>
              <w:jc w:val="right"/>
              <w:rPr>
                <w:sz w:val="21"/>
              </w:rPr>
            </w:pPr>
            <w:r>
              <w:rPr>
                <w:sz w:val="21"/>
              </w:rPr>
              <w:t>49,720,701.09</w:t>
            </w:r>
          </w:p>
        </w:tc>
        <w:tc>
          <w:tcPr>
            <w:tcW w:w="2263" w:type="dxa"/>
            <w:tcBorders>
              <w:top w:val="single" w:sz="4" w:space="0" w:color="000000"/>
              <w:left w:val="single" w:sz="4" w:space="0" w:color="000000"/>
              <w:bottom w:val="single" w:sz="4" w:space="0" w:color="000000"/>
            </w:tcBorders>
          </w:tcPr>
          <w:p>
            <w:pPr>
              <w:pStyle w:val="TableParagraph"/>
              <w:spacing w:before="58"/>
              <w:ind w:right="72"/>
              <w:jc w:val="right"/>
              <w:rPr>
                <w:sz w:val="21"/>
              </w:rPr>
            </w:pPr>
            <w:r>
              <w:rPr>
                <w:sz w:val="21"/>
              </w:rPr>
              <w:t>39,208,909.70</w:t>
            </w:r>
          </w:p>
        </w:tc>
      </w:tr>
      <w:tr>
        <w:trPr>
          <w:trHeight w:val="369" w:hRule="atLeast"/>
        </w:trPr>
        <w:tc>
          <w:tcPr>
            <w:tcW w:w="3641" w:type="dxa"/>
            <w:tcBorders>
              <w:top w:val="single" w:sz="4" w:space="0" w:color="000000"/>
              <w:bottom w:val="single" w:sz="4" w:space="0" w:color="000000"/>
              <w:right w:val="single" w:sz="4" w:space="0" w:color="000000"/>
            </w:tcBorders>
          </w:tcPr>
          <w:p>
            <w:pPr>
              <w:pStyle w:val="TableParagraph"/>
              <w:spacing w:before="49"/>
              <w:ind w:left="104"/>
              <w:rPr>
                <w:rFonts w:ascii="宋体" w:eastAsia="宋体" w:hint="eastAsia"/>
                <w:sz w:val="21"/>
              </w:rPr>
            </w:pPr>
            <w:r>
              <w:rPr>
                <w:rFonts w:ascii="宋体" w:eastAsia="宋体" w:hint="eastAsia"/>
                <w:sz w:val="21"/>
              </w:rPr>
              <w:t>其他关联方</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before="58"/>
              <w:ind w:right="85"/>
              <w:jc w:val="right"/>
              <w:rPr>
                <w:sz w:val="21"/>
              </w:rPr>
            </w:pPr>
            <w:r>
              <w:rPr>
                <w:sz w:val="21"/>
              </w:rPr>
              <w:t>56,956,689.86</w:t>
            </w:r>
          </w:p>
        </w:tc>
        <w:tc>
          <w:tcPr>
            <w:tcW w:w="2263" w:type="dxa"/>
            <w:tcBorders>
              <w:top w:val="single" w:sz="4" w:space="0" w:color="000000"/>
              <w:left w:val="single" w:sz="4" w:space="0" w:color="000000"/>
              <w:bottom w:val="single" w:sz="4" w:space="0" w:color="000000"/>
            </w:tcBorders>
          </w:tcPr>
          <w:p>
            <w:pPr>
              <w:pStyle w:val="TableParagraph"/>
              <w:spacing w:before="58"/>
              <w:ind w:right="72"/>
              <w:jc w:val="right"/>
              <w:rPr>
                <w:sz w:val="21"/>
              </w:rPr>
            </w:pPr>
            <w:r>
              <w:rPr>
                <w:sz w:val="21"/>
              </w:rPr>
              <w:t>28,684,896.03</w:t>
            </w:r>
          </w:p>
        </w:tc>
      </w:tr>
      <w:tr>
        <w:trPr>
          <w:trHeight w:val="369" w:hRule="atLeast"/>
        </w:trPr>
        <w:tc>
          <w:tcPr>
            <w:tcW w:w="8455" w:type="dxa"/>
            <w:gridSpan w:val="3"/>
            <w:tcBorders>
              <w:top w:val="single" w:sz="4" w:space="0" w:color="000000"/>
              <w:bottom w:val="single" w:sz="4" w:space="0" w:color="000000"/>
            </w:tcBorders>
          </w:tcPr>
          <w:p>
            <w:pPr>
              <w:pStyle w:val="TableParagraph"/>
              <w:spacing w:line="349" w:lineRule="exact"/>
              <w:ind w:left="104"/>
              <w:rPr>
                <w:rFonts w:ascii="Microsoft JhengHei" w:eastAsia="Microsoft JhengHei" w:hint="eastAsia"/>
                <w:b/>
                <w:sz w:val="21"/>
              </w:rPr>
            </w:pPr>
            <w:r>
              <w:rPr>
                <w:rFonts w:ascii="Microsoft JhengHei" w:eastAsia="Microsoft JhengHei" w:hint="eastAsia"/>
                <w:b/>
                <w:sz w:val="21"/>
              </w:rPr>
              <w:t>应付账款：</w:t>
            </w:r>
          </w:p>
        </w:tc>
      </w:tr>
      <w:tr>
        <w:trPr>
          <w:trHeight w:val="369" w:hRule="atLeast"/>
        </w:trPr>
        <w:tc>
          <w:tcPr>
            <w:tcW w:w="3641" w:type="dxa"/>
            <w:tcBorders>
              <w:top w:val="single" w:sz="4" w:space="0" w:color="000000"/>
              <w:bottom w:val="single" w:sz="4" w:space="0" w:color="000000"/>
              <w:right w:val="single" w:sz="4" w:space="0" w:color="000000"/>
            </w:tcBorders>
          </w:tcPr>
          <w:p>
            <w:pPr>
              <w:pStyle w:val="TableParagraph"/>
              <w:spacing w:before="49"/>
              <w:ind w:left="104"/>
              <w:rPr>
                <w:rFonts w:ascii="宋体" w:eastAsia="宋体" w:hint="eastAsia"/>
                <w:sz w:val="21"/>
              </w:rPr>
            </w:pPr>
            <w:r>
              <w:rPr>
                <w:rFonts w:ascii="宋体" w:eastAsia="宋体" w:hint="eastAsia"/>
                <w:sz w:val="21"/>
              </w:rPr>
              <w:t>青岛海尔零部件采购有限公司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before="55"/>
              <w:ind w:right="83"/>
              <w:jc w:val="right"/>
              <w:rPr>
                <w:sz w:val="21"/>
              </w:rPr>
            </w:pPr>
            <w:r>
              <w:rPr>
                <w:sz w:val="21"/>
              </w:rPr>
              <w:t>1,647,724,215.65</w:t>
            </w:r>
          </w:p>
        </w:tc>
        <w:tc>
          <w:tcPr>
            <w:tcW w:w="2263" w:type="dxa"/>
            <w:tcBorders>
              <w:top w:val="single" w:sz="4" w:space="0" w:color="000000"/>
              <w:left w:val="single" w:sz="4" w:space="0" w:color="000000"/>
              <w:bottom w:val="single" w:sz="4" w:space="0" w:color="000000"/>
            </w:tcBorders>
          </w:tcPr>
          <w:p>
            <w:pPr>
              <w:pStyle w:val="TableParagraph"/>
              <w:spacing w:before="55"/>
              <w:ind w:right="74"/>
              <w:jc w:val="right"/>
              <w:rPr>
                <w:sz w:val="21"/>
              </w:rPr>
            </w:pPr>
            <w:r>
              <w:rPr>
                <w:sz w:val="21"/>
              </w:rPr>
              <w:t>1,968,841,996.69</w:t>
            </w:r>
          </w:p>
        </w:tc>
      </w:tr>
      <w:tr>
        <w:trPr>
          <w:trHeight w:val="366" w:hRule="atLeast"/>
        </w:trPr>
        <w:tc>
          <w:tcPr>
            <w:tcW w:w="3641" w:type="dxa"/>
            <w:tcBorders>
              <w:top w:val="single" w:sz="4" w:space="0" w:color="000000"/>
              <w:bottom w:val="single" w:sz="4" w:space="0" w:color="000000"/>
              <w:right w:val="single" w:sz="4" w:space="0" w:color="000000"/>
            </w:tcBorders>
          </w:tcPr>
          <w:p>
            <w:pPr>
              <w:pStyle w:val="TableParagraph"/>
              <w:spacing w:before="49"/>
              <w:ind w:left="104"/>
              <w:rPr>
                <w:rFonts w:ascii="宋体" w:eastAsia="宋体" w:hint="eastAsia"/>
                <w:sz w:val="21"/>
              </w:rPr>
            </w:pPr>
            <w:r>
              <w:rPr>
                <w:rFonts w:ascii="宋体" w:eastAsia="宋体" w:hint="eastAsia"/>
                <w:sz w:val="21"/>
              </w:rPr>
              <w:t>卡奥斯创智物联科技有限公司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before="55"/>
              <w:ind w:right="83"/>
              <w:jc w:val="right"/>
              <w:rPr>
                <w:sz w:val="21"/>
              </w:rPr>
            </w:pPr>
            <w:r>
              <w:rPr>
                <w:sz w:val="21"/>
              </w:rPr>
              <w:t>671,426,347.70</w:t>
            </w:r>
          </w:p>
        </w:tc>
        <w:tc>
          <w:tcPr>
            <w:tcW w:w="2263"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3641" w:type="dxa"/>
            <w:tcBorders>
              <w:top w:val="single" w:sz="4" w:space="0" w:color="000000"/>
              <w:bottom w:val="single" w:sz="4" w:space="0" w:color="000000"/>
              <w:right w:val="single" w:sz="4" w:space="0" w:color="000000"/>
            </w:tcBorders>
          </w:tcPr>
          <w:p>
            <w:pPr>
              <w:pStyle w:val="TableParagraph"/>
              <w:spacing w:before="51"/>
              <w:ind w:left="104"/>
              <w:rPr>
                <w:rFonts w:ascii="宋体" w:eastAsia="宋体" w:hint="eastAsia"/>
                <w:sz w:val="21"/>
              </w:rPr>
            </w:pPr>
            <w:r>
              <w:rPr>
                <w:rFonts w:ascii="宋体" w:eastAsia="宋体" w:hint="eastAsia"/>
                <w:sz w:val="21"/>
              </w:rPr>
              <w:t>重庆海尔电器销售有限公司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407,357,263.21</w:t>
            </w:r>
          </w:p>
        </w:tc>
        <w:tc>
          <w:tcPr>
            <w:tcW w:w="2263"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1,061,806,342.30</w:t>
            </w:r>
          </w:p>
        </w:tc>
      </w:tr>
      <w:tr>
        <w:trPr>
          <w:trHeight w:val="369" w:hRule="atLeast"/>
        </w:trPr>
        <w:tc>
          <w:tcPr>
            <w:tcW w:w="3641" w:type="dxa"/>
            <w:tcBorders>
              <w:top w:val="single" w:sz="4" w:space="0" w:color="000000"/>
              <w:bottom w:val="single" w:sz="4" w:space="0" w:color="000000"/>
              <w:right w:val="single" w:sz="4" w:space="0" w:color="000000"/>
            </w:tcBorders>
          </w:tcPr>
          <w:p>
            <w:pPr>
              <w:pStyle w:val="TableParagraph"/>
              <w:spacing w:before="58"/>
              <w:ind w:left="104"/>
              <w:rPr>
                <w:sz w:val="21"/>
              </w:rPr>
            </w:pPr>
            <w:r>
              <w:rPr>
                <w:sz w:val="21"/>
              </w:rPr>
              <w:t>Controladora Mabe S.A.deC.V.</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316,079,431.43</w:t>
            </w:r>
          </w:p>
        </w:tc>
        <w:tc>
          <w:tcPr>
            <w:tcW w:w="2263" w:type="dxa"/>
            <w:tcBorders>
              <w:top w:val="single" w:sz="4" w:space="0" w:color="000000"/>
              <w:left w:val="single" w:sz="4" w:space="0" w:color="000000"/>
              <w:bottom w:val="single" w:sz="4" w:space="0" w:color="000000"/>
            </w:tcBorders>
          </w:tcPr>
          <w:p>
            <w:pPr>
              <w:pStyle w:val="TableParagraph"/>
              <w:spacing w:before="58"/>
              <w:ind w:right="72"/>
              <w:jc w:val="right"/>
              <w:rPr>
                <w:sz w:val="21"/>
              </w:rPr>
            </w:pPr>
            <w:r>
              <w:rPr>
                <w:sz w:val="21"/>
              </w:rPr>
              <w:t>230,300,308.48</w:t>
            </w:r>
          </w:p>
        </w:tc>
      </w:tr>
      <w:tr>
        <w:trPr>
          <w:trHeight w:val="369" w:hRule="atLeast"/>
        </w:trPr>
        <w:tc>
          <w:tcPr>
            <w:tcW w:w="3641" w:type="dxa"/>
            <w:tcBorders>
              <w:top w:val="single" w:sz="4" w:space="0" w:color="000000"/>
              <w:bottom w:val="single" w:sz="4" w:space="0" w:color="000000"/>
              <w:right w:val="single" w:sz="4" w:space="0" w:color="000000"/>
            </w:tcBorders>
          </w:tcPr>
          <w:p>
            <w:pPr>
              <w:pStyle w:val="TableParagraph"/>
              <w:spacing w:before="51"/>
              <w:ind w:left="104"/>
              <w:rPr>
                <w:rFonts w:ascii="宋体" w:eastAsia="宋体" w:hint="eastAsia"/>
                <w:sz w:val="21"/>
              </w:rPr>
            </w:pPr>
            <w:r>
              <w:rPr>
                <w:rFonts w:ascii="宋体" w:eastAsia="宋体" w:hint="eastAsia"/>
                <w:sz w:val="21"/>
              </w:rPr>
              <w:t>青岛海尔特种塑料研制开发有限公司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295,609,746.74</w:t>
            </w:r>
          </w:p>
        </w:tc>
        <w:tc>
          <w:tcPr>
            <w:tcW w:w="2263"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69,159,088.68</w:t>
            </w:r>
          </w:p>
        </w:tc>
      </w:tr>
      <w:tr>
        <w:trPr>
          <w:trHeight w:val="369" w:hRule="atLeast"/>
        </w:trPr>
        <w:tc>
          <w:tcPr>
            <w:tcW w:w="3641" w:type="dxa"/>
            <w:tcBorders>
              <w:top w:val="single" w:sz="4" w:space="0" w:color="000000"/>
              <w:bottom w:val="single" w:sz="4" w:space="0" w:color="000000"/>
              <w:right w:val="single" w:sz="4" w:space="0" w:color="000000"/>
            </w:tcBorders>
          </w:tcPr>
          <w:p>
            <w:pPr>
              <w:pStyle w:val="TableParagraph"/>
              <w:spacing w:before="51"/>
              <w:ind w:left="104"/>
              <w:rPr>
                <w:rFonts w:ascii="宋体" w:eastAsia="宋体" w:hint="eastAsia"/>
                <w:sz w:val="21"/>
              </w:rPr>
            </w:pPr>
            <w:r>
              <w:rPr>
                <w:rFonts w:ascii="宋体" w:eastAsia="宋体" w:hint="eastAsia"/>
                <w:sz w:val="21"/>
              </w:rPr>
              <w:t>重庆海尔物流有限公司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290,743,396.11</w:t>
            </w:r>
          </w:p>
        </w:tc>
        <w:tc>
          <w:tcPr>
            <w:tcW w:w="2263" w:type="dxa"/>
            <w:tcBorders>
              <w:top w:val="single" w:sz="4" w:space="0" w:color="000000"/>
              <w:left w:val="single" w:sz="4" w:space="0" w:color="000000"/>
              <w:bottom w:val="single" w:sz="4" w:space="0" w:color="000000"/>
            </w:tcBorders>
          </w:tcPr>
          <w:p>
            <w:pPr>
              <w:pStyle w:val="TableParagraph"/>
              <w:spacing w:before="58"/>
              <w:ind w:right="72"/>
              <w:jc w:val="right"/>
              <w:rPr>
                <w:sz w:val="21"/>
              </w:rPr>
            </w:pPr>
            <w:r>
              <w:rPr>
                <w:sz w:val="21"/>
              </w:rPr>
              <w:t>132,648,041.70</w:t>
            </w:r>
          </w:p>
        </w:tc>
      </w:tr>
      <w:tr>
        <w:trPr>
          <w:trHeight w:val="369" w:hRule="atLeast"/>
        </w:trPr>
        <w:tc>
          <w:tcPr>
            <w:tcW w:w="3641" w:type="dxa"/>
            <w:tcBorders>
              <w:top w:val="single" w:sz="4" w:space="0" w:color="000000"/>
              <w:bottom w:val="single" w:sz="4" w:space="0" w:color="000000"/>
              <w:right w:val="single" w:sz="4" w:space="0" w:color="000000"/>
            </w:tcBorders>
          </w:tcPr>
          <w:p>
            <w:pPr>
              <w:pStyle w:val="TableParagraph"/>
              <w:spacing w:before="49"/>
              <w:ind w:left="104"/>
              <w:rPr>
                <w:rFonts w:ascii="宋体" w:eastAsia="宋体" w:hint="eastAsia"/>
                <w:sz w:val="21"/>
              </w:rPr>
            </w:pPr>
            <w:r>
              <w:rPr>
                <w:rFonts w:ascii="宋体" w:eastAsia="宋体" w:hint="eastAsia"/>
                <w:sz w:val="21"/>
              </w:rPr>
              <w:t>青岛鼎新电子科技有限公司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249,323,037.13</w:t>
            </w:r>
          </w:p>
        </w:tc>
        <w:tc>
          <w:tcPr>
            <w:tcW w:w="2263"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3641" w:type="dxa"/>
            <w:tcBorders>
              <w:top w:val="single" w:sz="4" w:space="0" w:color="000000"/>
              <w:bottom w:val="single" w:sz="4" w:space="0" w:color="000000"/>
              <w:right w:val="single" w:sz="4" w:space="0" w:color="000000"/>
            </w:tcBorders>
          </w:tcPr>
          <w:p>
            <w:pPr>
              <w:pStyle w:val="TableParagraph"/>
              <w:spacing w:before="49"/>
              <w:ind w:left="104"/>
              <w:rPr>
                <w:rFonts w:ascii="宋体" w:eastAsia="宋体" w:hint="eastAsia"/>
                <w:sz w:val="21"/>
              </w:rPr>
            </w:pPr>
            <w:r>
              <w:rPr>
                <w:rFonts w:ascii="宋体" w:eastAsia="宋体" w:hint="eastAsia"/>
                <w:sz w:val="21"/>
              </w:rPr>
              <w:t>合肥海尔物流有限公司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242,590,693.06</w:t>
            </w:r>
          </w:p>
        </w:tc>
        <w:tc>
          <w:tcPr>
            <w:tcW w:w="2263"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75,628,528.77</w:t>
            </w:r>
          </w:p>
        </w:tc>
      </w:tr>
      <w:tr>
        <w:trPr>
          <w:trHeight w:val="369" w:hRule="atLeast"/>
        </w:trPr>
        <w:tc>
          <w:tcPr>
            <w:tcW w:w="3641" w:type="dxa"/>
            <w:tcBorders>
              <w:top w:val="single" w:sz="4" w:space="0" w:color="000000"/>
              <w:bottom w:val="single" w:sz="4" w:space="0" w:color="000000"/>
              <w:right w:val="single" w:sz="4" w:space="0" w:color="000000"/>
            </w:tcBorders>
          </w:tcPr>
          <w:p>
            <w:pPr>
              <w:pStyle w:val="TableParagraph"/>
              <w:spacing w:before="49"/>
              <w:ind w:left="104"/>
              <w:rPr>
                <w:rFonts w:ascii="宋体" w:eastAsia="宋体" w:hint="eastAsia"/>
                <w:sz w:val="21"/>
              </w:rPr>
            </w:pPr>
            <w:r>
              <w:rPr>
                <w:rFonts w:ascii="宋体" w:eastAsia="宋体" w:hint="eastAsia"/>
                <w:sz w:val="21"/>
              </w:rPr>
              <w:t>大连海尔国际贸易有限公司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197,461,939.55</w:t>
            </w:r>
          </w:p>
        </w:tc>
        <w:tc>
          <w:tcPr>
            <w:tcW w:w="2263" w:type="dxa"/>
            <w:tcBorders>
              <w:top w:val="single" w:sz="4" w:space="0" w:color="000000"/>
              <w:left w:val="single" w:sz="4" w:space="0" w:color="000000"/>
              <w:bottom w:val="single" w:sz="4" w:space="0" w:color="000000"/>
            </w:tcBorders>
          </w:tcPr>
          <w:p>
            <w:pPr>
              <w:pStyle w:val="TableParagraph"/>
              <w:spacing w:before="58"/>
              <w:ind w:right="72"/>
              <w:jc w:val="right"/>
              <w:rPr>
                <w:sz w:val="21"/>
              </w:rPr>
            </w:pPr>
            <w:r>
              <w:rPr>
                <w:sz w:val="21"/>
              </w:rPr>
              <w:t>156,594,556.64</w:t>
            </w:r>
          </w:p>
        </w:tc>
      </w:tr>
      <w:tr>
        <w:trPr>
          <w:trHeight w:val="369" w:hRule="atLeast"/>
        </w:trPr>
        <w:tc>
          <w:tcPr>
            <w:tcW w:w="3641" w:type="dxa"/>
            <w:tcBorders>
              <w:top w:val="single" w:sz="4" w:space="0" w:color="000000"/>
              <w:bottom w:val="single" w:sz="4" w:space="0" w:color="000000"/>
              <w:right w:val="single" w:sz="4" w:space="0" w:color="000000"/>
            </w:tcBorders>
          </w:tcPr>
          <w:p>
            <w:pPr>
              <w:pStyle w:val="TableParagraph"/>
              <w:spacing w:before="49"/>
              <w:ind w:left="104"/>
              <w:rPr>
                <w:rFonts w:ascii="宋体" w:eastAsia="宋体" w:hint="eastAsia"/>
                <w:sz w:val="21"/>
              </w:rPr>
            </w:pPr>
            <w:r>
              <w:rPr>
                <w:rFonts w:ascii="宋体" w:eastAsia="宋体" w:hint="eastAsia"/>
                <w:sz w:val="21"/>
              </w:rPr>
              <w:t>其他关联方</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before="58"/>
              <w:ind w:right="85"/>
              <w:jc w:val="right"/>
              <w:rPr>
                <w:sz w:val="21"/>
              </w:rPr>
            </w:pPr>
            <w:r>
              <w:rPr>
                <w:sz w:val="21"/>
              </w:rPr>
              <w:t>1,139,449,286.63</w:t>
            </w:r>
          </w:p>
        </w:tc>
        <w:tc>
          <w:tcPr>
            <w:tcW w:w="2263" w:type="dxa"/>
            <w:tcBorders>
              <w:top w:val="single" w:sz="4" w:space="0" w:color="000000"/>
              <w:left w:val="single" w:sz="4" w:space="0" w:color="000000"/>
              <w:bottom w:val="single" w:sz="4" w:space="0" w:color="000000"/>
            </w:tcBorders>
          </w:tcPr>
          <w:p>
            <w:pPr>
              <w:pStyle w:val="TableParagraph"/>
              <w:spacing w:before="58"/>
              <w:ind w:right="72"/>
              <w:jc w:val="right"/>
              <w:rPr>
                <w:sz w:val="21"/>
              </w:rPr>
            </w:pPr>
            <w:r>
              <w:rPr>
                <w:sz w:val="21"/>
              </w:rPr>
              <w:t>581,613,269.94</w:t>
            </w:r>
          </w:p>
        </w:tc>
      </w:tr>
      <w:tr>
        <w:trPr>
          <w:trHeight w:val="369" w:hRule="atLeast"/>
        </w:trPr>
        <w:tc>
          <w:tcPr>
            <w:tcW w:w="8455" w:type="dxa"/>
            <w:gridSpan w:val="3"/>
            <w:tcBorders>
              <w:top w:val="single" w:sz="4" w:space="0" w:color="000000"/>
              <w:bottom w:val="single" w:sz="4" w:space="0" w:color="000000"/>
            </w:tcBorders>
          </w:tcPr>
          <w:p>
            <w:pPr>
              <w:pStyle w:val="TableParagraph"/>
              <w:spacing w:line="349" w:lineRule="exact"/>
              <w:ind w:left="104"/>
              <w:rPr>
                <w:rFonts w:ascii="Microsoft JhengHei" w:eastAsia="Microsoft JhengHei" w:hint="eastAsia"/>
                <w:b/>
                <w:sz w:val="21"/>
              </w:rPr>
            </w:pPr>
            <w:r>
              <w:rPr>
                <w:rFonts w:ascii="Microsoft JhengHei" w:eastAsia="Microsoft JhengHei" w:hint="eastAsia"/>
                <w:b/>
                <w:sz w:val="21"/>
              </w:rPr>
              <w:t>合同负债：</w:t>
            </w:r>
          </w:p>
        </w:tc>
      </w:tr>
      <w:tr>
        <w:trPr>
          <w:trHeight w:val="369" w:hRule="atLeast"/>
        </w:trPr>
        <w:tc>
          <w:tcPr>
            <w:tcW w:w="3641" w:type="dxa"/>
            <w:tcBorders>
              <w:top w:val="single" w:sz="4" w:space="0" w:color="000000"/>
              <w:bottom w:val="single" w:sz="4" w:space="0" w:color="000000"/>
              <w:right w:val="single" w:sz="4" w:space="0" w:color="000000"/>
            </w:tcBorders>
          </w:tcPr>
          <w:p>
            <w:pPr>
              <w:pStyle w:val="TableParagraph"/>
              <w:spacing w:before="49"/>
              <w:ind w:left="104"/>
              <w:rPr>
                <w:rFonts w:ascii="宋体" w:eastAsia="宋体" w:hint="eastAsia"/>
                <w:sz w:val="21"/>
              </w:rPr>
            </w:pPr>
            <w:r>
              <w:rPr>
                <w:rFonts w:ascii="宋体" w:eastAsia="宋体" w:hint="eastAsia"/>
                <w:sz w:val="21"/>
              </w:rPr>
              <w:t>重庆众链能源科技有限公司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before="55"/>
              <w:ind w:right="85"/>
              <w:jc w:val="right"/>
              <w:rPr>
                <w:sz w:val="21"/>
              </w:rPr>
            </w:pPr>
            <w:r>
              <w:rPr>
                <w:sz w:val="21"/>
              </w:rPr>
              <w:t>17,210,554.92</w:t>
            </w:r>
          </w:p>
        </w:tc>
        <w:tc>
          <w:tcPr>
            <w:tcW w:w="2263" w:type="dxa"/>
            <w:tcBorders>
              <w:top w:val="single" w:sz="4" w:space="0" w:color="000000"/>
              <w:left w:val="single" w:sz="4" w:space="0" w:color="000000"/>
              <w:bottom w:val="single" w:sz="4" w:space="0" w:color="000000"/>
            </w:tcBorders>
          </w:tcPr>
          <w:p>
            <w:pPr>
              <w:pStyle w:val="TableParagraph"/>
              <w:rPr>
                <w:sz w:val="20"/>
              </w:rPr>
            </w:pPr>
          </w:p>
        </w:tc>
      </w:tr>
      <w:tr>
        <w:trPr>
          <w:trHeight w:val="369" w:hRule="atLeast"/>
        </w:trPr>
        <w:tc>
          <w:tcPr>
            <w:tcW w:w="3641" w:type="dxa"/>
            <w:tcBorders>
              <w:top w:val="single" w:sz="4" w:space="0" w:color="000000"/>
              <w:bottom w:val="single" w:sz="4" w:space="0" w:color="000000"/>
              <w:right w:val="single" w:sz="4" w:space="0" w:color="000000"/>
            </w:tcBorders>
          </w:tcPr>
          <w:p>
            <w:pPr>
              <w:pStyle w:val="TableParagraph"/>
              <w:spacing w:before="55"/>
              <w:ind w:left="104"/>
              <w:rPr>
                <w:sz w:val="21"/>
              </w:rPr>
            </w:pPr>
            <w:r>
              <w:rPr>
                <w:sz w:val="21"/>
              </w:rPr>
              <w:t>HPZ Ltd</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before="55"/>
              <w:ind w:right="85"/>
              <w:jc w:val="right"/>
              <w:rPr>
                <w:sz w:val="21"/>
              </w:rPr>
            </w:pPr>
            <w:r>
              <w:rPr>
                <w:sz w:val="21"/>
              </w:rPr>
              <w:t>3,071,563.35</w:t>
            </w:r>
          </w:p>
        </w:tc>
        <w:tc>
          <w:tcPr>
            <w:tcW w:w="2263" w:type="dxa"/>
            <w:tcBorders>
              <w:top w:val="single" w:sz="4" w:space="0" w:color="000000"/>
              <w:left w:val="single" w:sz="4" w:space="0" w:color="000000"/>
              <w:bottom w:val="single" w:sz="4" w:space="0" w:color="000000"/>
            </w:tcBorders>
          </w:tcPr>
          <w:p>
            <w:pPr>
              <w:pStyle w:val="TableParagraph"/>
              <w:spacing w:before="55"/>
              <w:ind w:right="74"/>
              <w:jc w:val="right"/>
              <w:rPr>
                <w:sz w:val="21"/>
              </w:rPr>
            </w:pPr>
            <w:r>
              <w:rPr>
                <w:sz w:val="21"/>
              </w:rPr>
              <w:t>3,358,729.30</w:t>
            </w:r>
          </w:p>
        </w:tc>
      </w:tr>
      <w:tr>
        <w:trPr>
          <w:trHeight w:val="366" w:hRule="atLeast"/>
        </w:trPr>
        <w:tc>
          <w:tcPr>
            <w:tcW w:w="3641" w:type="dxa"/>
            <w:tcBorders>
              <w:top w:val="single" w:sz="4" w:space="0" w:color="000000"/>
              <w:bottom w:val="single" w:sz="4" w:space="0" w:color="000000"/>
              <w:right w:val="single" w:sz="4" w:space="0" w:color="000000"/>
            </w:tcBorders>
          </w:tcPr>
          <w:p>
            <w:pPr>
              <w:pStyle w:val="TableParagraph"/>
              <w:spacing w:before="49"/>
              <w:ind w:left="104"/>
              <w:rPr>
                <w:rFonts w:ascii="宋体" w:eastAsia="宋体" w:hint="eastAsia"/>
                <w:sz w:val="21"/>
              </w:rPr>
            </w:pPr>
            <w:r>
              <w:rPr>
                <w:rFonts w:ascii="宋体" w:eastAsia="宋体" w:hint="eastAsia"/>
                <w:sz w:val="21"/>
              </w:rPr>
              <w:t>青岛海尔新材料研发有限公司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before="55"/>
              <w:ind w:right="85"/>
              <w:jc w:val="right"/>
              <w:rPr>
                <w:sz w:val="21"/>
              </w:rPr>
            </w:pPr>
            <w:r>
              <w:rPr>
                <w:sz w:val="21"/>
              </w:rPr>
              <w:t>2,823,650.93</w:t>
            </w:r>
          </w:p>
        </w:tc>
        <w:tc>
          <w:tcPr>
            <w:tcW w:w="2263" w:type="dxa"/>
            <w:tcBorders>
              <w:top w:val="single" w:sz="4" w:space="0" w:color="000000"/>
              <w:left w:val="single" w:sz="4" w:space="0" w:color="000000"/>
              <w:bottom w:val="single" w:sz="4" w:space="0" w:color="000000"/>
            </w:tcBorders>
          </w:tcPr>
          <w:p>
            <w:pPr>
              <w:pStyle w:val="TableParagraph"/>
              <w:spacing w:before="55"/>
              <w:ind w:right="74"/>
              <w:jc w:val="right"/>
              <w:rPr>
                <w:sz w:val="21"/>
              </w:rPr>
            </w:pPr>
            <w:r>
              <w:rPr>
                <w:sz w:val="21"/>
              </w:rPr>
              <w:t>6,373,064.84</w:t>
            </w:r>
          </w:p>
        </w:tc>
      </w:tr>
      <w:tr>
        <w:trPr>
          <w:trHeight w:val="369" w:hRule="atLeast"/>
        </w:trPr>
        <w:tc>
          <w:tcPr>
            <w:tcW w:w="3641" w:type="dxa"/>
            <w:tcBorders>
              <w:top w:val="single" w:sz="4" w:space="0" w:color="000000"/>
              <w:bottom w:val="single" w:sz="4" w:space="0" w:color="000000"/>
              <w:right w:val="single" w:sz="4" w:space="0" w:color="000000"/>
            </w:tcBorders>
          </w:tcPr>
          <w:p>
            <w:pPr>
              <w:pStyle w:val="TableParagraph"/>
              <w:spacing w:before="51"/>
              <w:ind w:left="104"/>
              <w:rPr>
                <w:rFonts w:ascii="宋体" w:eastAsia="宋体" w:hint="eastAsia"/>
                <w:sz w:val="21"/>
              </w:rPr>
            </w:pPr>
            <w:r>
              <w:rPr>
                <w:rFonts w:ascii="宋体" w:eastAsia="宋体" w:hint="eastAsia"/>
                <w:sz w:val="21"/>
              </w:rPr>
              <w:t>卧龙电气</w:t>
            </w:r>
            <w:r>
              <w:rPr>
                <w:sz w:val="21"/>
              </w:rPr>
              <w:t>(</w:t>
            </w:r>
            <w:r>
              <w:rPr>
                <w:rFonts w:ascii="宋体" w:eastAsia="宋体" w:hint="eastAsia"/>
                <w:sz w:val="21"/>
              </w:rPr>
              <w:t>济南</w:t>
            </w:r>
            <w:r>
              <w:rPr>
                <w:sz w:val="21"/>
              </w:rPr>
              <w:t>)</w:t>
            </w:r>
            <w:r>
              <w:rPr>
                <w:rFonts w:ascii="宋体" w:eastAsia="宋体" w:hint="eastAsia"/>
                <w:sz w:val="21"/>
              </w:rPr>
              <w:t>电机有限公司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520,294.42</w:t>
            </w:r>
          </w:p>
        </w:tc>
        <w:tc>
          <w:tcPr>
            <w:tcW w:w="2263"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15,580,146.24</w:t>
            </w:r>
          </w:p>
        </w:tc>
      </w:tr>
      <w:tr>
        <w:trPr>
          <w:trHeight w:val="369" w:hRule="atLeast"/>
        </w:trPr>
        <w:tc>
          <w:tcPr>
            <w:tcW w:w="3641" w:type="dxa"/>
            <w:tcBorders>
              <w:top w:val="single" w:sz="4" w:space="0" w:color="000000"/>
              <w:bottom w:val="single" w:sz="4" w:space="0" w:color="000000"/>
              <w:right w:val="single" w:sz="4" w:space="0" w:color="000000"/>
            </w:tcBorders>
          </w:tcPr>
          <w:p>
            <w:pPr>
              <w:pStyle w:val="TableParagraph"/>
              <w:spacing w:before="51"/>
              <w:ind w:left="104"/>
              <w:rPr>
                <w:rFonts w:ascii="宋体" w:eastAsia="宋体" w:hint="eastAsia"/>
                <w:sz w:val="21"/>
              </w:rPr>
            </w:pPr>
            <w:r>
              <w:rPr>
                <w:rFonts w:ascii="宋体" w:eastAsia="宋体" w:hint="eastAsia"/>
                <w:sz w:val="21"/>
              </w:rPr>
              <w:t>其他关联方</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before="58"/>
              <w:ind w:right="85"/>
              <w:jc w:val="right"/>
              <w:rPr>
                <w:sz w:val="21"/>
              </w:rPr>
            </w:pPr>
            <w:r>
              <w:rPr>
                <w:sz w:val="21"/>
              </w:rPr>
              <w:t>13,764,755.25</w:t>
            </w:r>
          </w:p>
        </w:tc>
        <w:tc>
          <w:tcPr>
            <w:tcW w:w="2263" w:type="dxa"/>
            <w:tcBorders>
              <w:top w:val="single" w:sz="4" w:space="0" w:color="000000"/>
              <w:left w:val="single" w:sz="4" w:space="0" w:color="000000"/>
              <w:bottom w:val="single" w:sz="4" w:space="0" w:color="000000"/>
            </w:tcBorders>
          </w:tcPr>
          <w:p>
            <w:pPr>
              <w:pStyle w:val="TableParagraph"/>
              <w:spacing w:before="58"/>
              <w:ind w:right="74"/>
              <w:jc w:val="right"/>
              <w:rPr>
                <w:sz w:val="21"/>
              </w:rPr>
            </w:pPr>
            <w:r>
              <w:rPr>
                <w:sz w:val="21"/>
              </w:rPr>
              <w:t>19,171,412.42</w:t>
            </w:r>
          </w:p>
        </w:tc>
      </w:tr>
      <w:tr>
        <w:trPr>
          <w:trHeight w:val="369" w:hRule="atLeast"/>
        </w:trPr>
        <w:tc>
          <w:tcPr>
            <w:tcW w:w="8455" w:type="dxa"/>
            <w:gridSpan w:val="3"/>
            <w:tcBorders>
              <w:top w:val="single" w:sz="4" w:space="0" w:color="000000"/>
              <w:bottom w:val="single" w:sz="4" w:space="0" w:color="000000"/>
            </w:tcBorders>
          </w:tcPr>
          <w:p>
            <w:pPr>
              <w:pStyle w:val="TableParagraph"/>
              <w:spacing w:line="349" w:lineRule="exact"/>
              <w:ind w:left="104"/>
              <w:rPr>
                <w:rFonts w:ascii="Microsoft JhengHei" w:eastAsia="Microsoft JhengHei" w:hint="eastAsia"/>
                <w:b/>
                <w:sz w:val="21"/>
              </w:rPr>
            </w:pPr>
            <w:r>
              <w:rPr>
                <w:rFonts w:ascii="Microsoft JhengHei" w:eastAsia="Microsoft JhengHei" w:hint="eastAsia"/>
                <w:b/>
                <w:sz w:val="21"/>
              </w:rPr>
              <w:t>其他应付款：</w:t>
            </w:r>
          </w:p>
        </w:tc>
      </w:tr>
      <w:tr>
        <w:trPr>
          <w:trHeight w:val="369" w:hRule="atLeast"/>
        </w:trPr>
        <w:tc>
          <w:tcPr>
            <w:tcW w:w="3641" w:type="dxa"/>
            <w:tcBorders>
              <w:top w:val="single" w:sz="4" w:space="0" w:color="000000"/>
              <w:bottom w:val="single" w:sz="4" w:space="0" w:color="000000"/>
              <w:right w:val="single" w:sz="4" w:space="0" w:color="000000"/>
            </w:tcBorders>
          </w:tcPr>
          <w:p>
            <w:pPr>
              <w:pStyle w:val="TableParagraph"/>
              <w:spacing w:before="51"/>
              <w:ind w:left="104"/>
              <w:rPr>
                <w:rFonts w:ascii="宋体" w:eastAsia="宋体" w:hint="eastAsia"/>
                <w:sz w:val="21"/>
              </w:rPr>
            </w:pPr>
            <w:r>
              <w:rPr>
                <w:rFonts w:ascii="宋体" w:eastAsia="宋体" w:hint="eastAsia"/>
                <w:sz w:val="21"/>
              </w:rPr>
              <w:t>日日顺供应链科技股份有限公司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790,674,332.08</w:t>
            </w:r>
          </w:p>
        </w:tc>
        <w:tc>
          <w:tcPr>
            <w:tcW w:w="2263" w:type="dxa"/>
            <w:tcBorders>
              <w:top w:val="single" w:sz="4" w:space="0" w:color="000000"/>
              <w:left w:val="single" w:sz="4" w:space="0" w:color="000000"/>
              <w:bottom w:val="single" w:sz="4" w:space="0" w:color="000000"/>
            </w:tcBorders>
          </w:tcPr>
          <w:p>
            <w:pPr>
              <w:pStyle w:val="TableParagraph"/>
              <w:spacing w:before="58"/>
              <w:ind w:right="72"/>
              <w:jc w:val="right"/>
              <w:rPr>
                <w:sz w:val="21"/>
              </w:rPr>
            </w:pPr>
            <w:r>
              <w:rPr>
                <w:sz w:val="21"/>
              </w:rPr>
              <w:t>571,867,437.60</w:t>
            </w:r>
          </w:p>
        </w:tc>
      </w:tr>
      <w:tr>
        <w:trPr>
          <w:trHeight w:val="369" w:hRule="atLeast"/>
        </w:trPr>
        <w:tc>
          <w:tcPr>
            <w:tcW w:w="3641" w:type="dxa"/>
            <w:tcBorders>
              <w:top w:val="single" w:sz="4" w:space="0" w:color="000000"/>
              <w:bottom w:val="single" w:sz="4" w:space="0" w:color="000000"/>
              <w:right w:val="single" w:sz="4" w:space="0" w:color="000000"/>
            </w:tcBorders>
          </w:tcPr>
          <w:p>
            <w:pPr>
              <w:pStyle w:val="TableParagraph"/>
              <w:spacing w:before="49"/>
              <w:ind w:left="104"/>
              <w:rPr>
                <w:rFonts w:ascii="宋体" w:eastAsia="宋体" w:hint="eastAsia"/>
                <w:sz w:val="21"/>
              </w:rPr>
            </w:pPr>
            <w:r>
              <w:rPr>
                <w:rFonts w:ascii="宋体" w:eastAsia="宋体" w:hint="eastAsia"/>
                <w:sz w:val="21"/>
              </w:rPr>
              <w:t>上海路辔供应链管理有限公司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183,123,979.68</w:t>
            </w:r>
          </w:p>
        </w:tc>
        <w:tc>
          <w:tcPr>
            <w:tcW w:w="2263" w:type="dxa"/>
            <w:tcBorders>
              <w:top w:val="single" w:sz="4" w:space="0" w:color="000000"/>
              <w:left w:val="single" w:sz="4" w:space="0" w:color="000000"/>
              <w:bottom w:val="single" w:sz="4" w:space="0" w:color="000000"/>
            </w:tcBorders>
          </w:tcPr>
          <w:p>
            <w:pPr>
              <w:pStyle w:val="TableParagraph"/>
              <w:spacing w:before="58"/>
              <w:ind w:right="72"/>
              <w:jc w:val="right"/>
              <w:rPr>
                <w:sz w:val="21"/>
              </w:rPr>
            </w:pPr>
            <w:r>
              <w:rPr>
                <w:sz w:val="21"/>
              </w:rPr>
              <w:t>103,450,224.91</w:t>
            </w:r>
          </w:p>
        </w:tc>
      </w:tr>
      <w:tr>
        <w:trPr>
          <w:trHeight w:val="369" w:hRule="atLeast"/>
        </w:trPr>
        <w:tc>
          <w:tcPr>
            <w:tcW w:w="3641" w:type="dxa"/>
            <w:tcBorders>
              <w:top w:val="single" w:sz="4" w:space="0" w:color="000000"/>
              <w:bottom w:val="single" w:sz="4" w:space="0" w:color="000000"/>
              <w:right w:val="single" w:sz="4" w:space="0" w:color="000000"/>
            </w:tcBorders>
          </w:tcPr>
          <w:p>
            <w:pPr>
              <w:pStyle w:val="TableParagraph"/>
              <w:spacing w:before="49"/>
              <w:ind w:left="104"/>
              <w:rPr>
                <w:rFonts w:ascii="宋体" w:eastAsia="宋体" w:hint="eastAsia"/>
                <w:sz w:val="21"/>
              </w:rPr>
            </w:pPr>
            <w:r>
              <w:rPr>
                <w:rFonts w:ascii="宋体" w:eastAsia="宋体" w:hint="eastAsia"/>
                <w:sz w:val="21"/>
              </w:rPr>
              <w:t>青岛海尔兄弟动漫产业有限公司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111,835,378.00</w:t>
            </w:r>
          </w:p>
        </w:tc>
        <w:tc>
          <w:tcPr>
            <w:tcW w:w="2263" w:type="dxa"/>
            <w:tcBorders>
              <w:top w:val="single" w:sz="4" w:space="0" w:color="000000"/>
              <w:left w:val="single" w:sz="4" w:space="0" w:color="000000"/>
              <w:bottom w:val="single" w:sz="4" w:space="0" w:color="000000"/>
            </w:tcBorders>
          </w:tcPr>
          <w:p>
            <w:pPr>
              <w:pStyle w:val="TableParagraph"/>
              <w:spacing w:before="58"/>
              <w:ind w:right="72"/>
              <w:jc w:val="right"/>
              <w:rPr>
                <w:sz w:val="21"/>
              </w:rPr>
            </w:pPr>
            <w:r>
              <w:rPr>
                <w:sz w:val="21"/>
              </w:rPr>
              <w:t>274,526,190.97</w:t>
            </w:r>
          </w:p>
        </w:tc>
      </w:tr>
      <w:tr>
        <w:trPr>
          <w:trHeight w:val="369" w:hRule="atLeast"/>
        </w:trPr>
        <w:tc>
          <w:tcPr>
            <w:tcW w:w="3641" w:type="dxa"/>
            <w:tcBorders>
              <w:top w:val="single" w:sz="4" w:space="0" w:color="000000"/>
              <w:bottom w:val="single" w:sz="4" w:space="0" w:color="000000"/>
              <w:right w:val="single" w:sz="4" w:space="0" w:color="000000"/>
            </w:tcBorders>
          </w:tcPr>
          <w:p>
            <w:pPr>
              <w:pStyle w:val="TableParagraph"/>
              <w:spacing w:before="49"/>
              <w:ind w:left="104"/>
              <w:rPr>
                <w:rFonts w:ascii="宋体" w:eastAsia="宋体" w:hint="eastAsia"/>
                <w:sz w:val="21"/>
              </w:rPr>
            </w:pPr>
            <w:r>
              <w:rPr>
                <w:rFonts w:ascii="宋体" w:eastAsia="宋体" w:hint="eastAsia"/>
                <w:sz w:val="21"/>
              </w:rPr>
              <w:t>青岛日日顺供应链有限公司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before="58"/>
              <w:ind w:right="85"/>
              <w:jc w:val="right"/>
              <w:rPr>
                <w:sz w:val="21"/>
              </w:rPr>
            </w:pPr>
            <w:r>
              <w:rPr>
                <w:sz w:val="21"/>
              </w:rPr>
              <w:t>77,995,078.37</w:t>
            </w:r>
          </w:p>
        </w:tc>
        <w:tc>
          <w:tcPr>
            <w:tcW w:w="2263" w:type="dxa"/>
            <w:tcBorders>
              <w:top w:val="single" w:sz="4" w:space="0" w:color="000000"/>
              <w:left w:val="single" w:sz="4" w:space="0" w:color="000000"/>
              <w:bottom w:val="single" w:sz="4" w:space="0" w:color="000000"/>
            </w:tcBorders>
          </w:tcPr>
          <w:p>
            <w:pPr>
              <w:pStyle w:val="TableParagraph"/>
              <w:spacing w:before="58"/>
              <w:ind w:right="72"/>
              <w:jc w:val="right"/>
              <w:rPr>
                <w:sz w:val="21"/>
              </w:rPr>
            </w:pPr>
            <w:r>
              <w:rPr>
                <w:sz w:val="21"/>
              </w:rPr>
              <w:t>187,341,850.29</w:t>
            </w:r>
          </w:p>
        </w:tc>
      </w:tr>
      <w:tr>
        <w:trPr>
          <w:trHeight w:val="369" w:hRule="atLeast"/>
        </w:trPr>
        <w:tc>
          <w:tcPr>
            <w:tcW w:w="3641" w:type="dxa"/>
            <w:tcBorders>
              <w:top w:val="single" w:sz="4" w:space="0" w:color="000000"/>
              <w:bottom w:val="single" w:sz="4" w:space="0" w:color="000000"/>
              <w:right w:val="single" w:sz="4" w:space="0" w:color="000000"/>
            </w:tcBorders>
          </w:tcPr>
          <w:p>
            <w:pPr>
              <w:pStyle w:val="TableParagraph"/>
              <w:spacing w:before="49"/>
              <w:ind w:left="104"/>
              <w:rPr>
                <w:rFonts w:ascii="宋体" w:eastAsia="宋体" w:hint="eastAsia"/>
                <w:sz w:val="21"/>
              </w:rPr>
            </w:pPr>
            <w:r>
              <w:rPr>
                <w:rFonts w:ascii="宋体" w:eastAsia="宋体" w:hint="eastAsia"/>
                <w:sz w:val="21"/>
              </w:rPr>
              <w:t>其他关联方</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before="58"/>
              <w:ind w:right="83"/>
              <w:jc w:val="right"/>
              <w:rPr>
                <w:sz w:val="21"/>
              </w:rPr>
            </w:pPr>
            <w:r>
              <w:rPr>
                <w:sz w:val="21"/>
              </w:rPr>
              <w:t>380,850,955.03</w:t>
            </w:r>
          </w:p>
        </w:tc>
        <w:tc>
          <w:tcPr>
            <w:tcW w:w="2263" w:type="dxa"/>
            <w:tcBorders>
              <w:top w:val="single" w:sz="4" w:space="0" w:color="000000"/>
              <w:left w:val="single" w:sz="4" w:space="0" w:color="000000"/>
              <w:bottom w:val="single" w:sz="4" w:space="0" w:color="000000"/>
            </w:tcBorders>
          </w:tcPr>
          <w:p>
            <w:pPr>
              <w:pStyle w:val="TableParagraph"/>
              <w:spacing w:before="58"/>
              <w:ind w:right="72"/>
              <w:jc w:val="right"/>
              <w:rPr>
                <w:sz w:val="21"/>
              </w:rPr>
            </w:pPr>
            <w:r>
              <w:rPr>
                <w:sz w:val="21"/>
              </w:rPr>
              <w:t>366,620,589.49</w:t>
            </w:r>
          </w:p>
        </w:tc>
      </w:tr>
      <w:tr>
        <w:trPr>
          <w:trHeight w:val="368" w:hRule="atLeast"/>
        </w:trPr>
        <w:tc>
          <w:tcPr>
            <w:tcW w:w="8455" w:type="dxa"/>
            <w:gridSpan w:val="3"/>
            <w:tcBorders>
              <w:top w:val="single" w:sz="4" w:space="0" w:color="000000"/>
            </w:tcBorders>
          </w:tcPr>
          <w:p>
            <w:pPr>
              <w:pStyle w:val="TableParagraph"/>
              <w:spacing w:line="349" w:lineRule="exact"/>
              <w:ind w:left="104"/>
              <w:rPr>
                <w:rFonts w:ascii="Microsoft JhengHei" w:eastAsia="Microsoft JhengHei" w:hint="eastAsia"/>
                <w:b/>
                <w:sz w:val="21"/>
              </w:rPr>
            </w:pPr>
            <w:r>
              <w:rPr>
                <w:rFonts w:ascii="Microsoft JhengHei" w:eastAsia="Microsoft JhengHei" w:hint="eastAsia"/>
                <w:b/>
                <w:sz w:val="21"/>
              </w:rPr>
              <w:t>应付利息：</w:t>
            </w:r>
          </w:p>
        </w:tc>
      </w:tr>
    </w:tbl>
    <w:p>
      <w:pPr>
        <w:spacing w:after="0" w:line="349" w:lineRule="exact"/>
        <w:rPr>
          <w:rFonts w:ascii="Microsoft JhengHei" w:eastAsia="Microsoft JhengHei" w:hint="eastAsia"/>
          <w:sz w:val="21"/>
        </w:rPr>
        <w:sectPr>
          <w:headerReference w:type="default" r:id="rId127"/>
          <w:footerReference w:type="default" r:id="rId128"/>
          <w:pgSz w:w="11910" w:h="16840"/>
          <w:pgMar w:header="876" w:footer="1214" w:top="1440" w:bottom="1400" w:left="260" w:right="0"/>
        </w:sectPr>
      </w:pPr>
    </w:p>
    <w:p>
      <w:pPr>
        <w:pStyle w:val="BodyText"/>
        <w:spacing w:before="9"/>
        <w:rPr>
          <w:rFonts w:ascii="Times New Roman"/>
          <w:sz w:val="5"/>
        </w:rPr>
      </w:pPr>
    </w:p>
    <w:tbl>
      <w:tblPr>
        <w:tblW w:w="0" w:type="auto"/>
        <w:jc w:val="left"/>
        <w:tblInd w:w="17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641"/>
        <w:gridCol w:w="2551"/>
        <w:gridCol w:w="2263"/>
      </w:tblGrid>
      <w:tr>
        <w:trPr>
          <w:trHeight w:val="371" w:hRule="atLeast"/>
        </w:trPr>
        <w:tc>
          <w:tcPr>
            <w:tcW w:w="3641" w:type="dxa"/>
            <w:tcBorders>
              <w:bottom w:val="single" w:sz="4" w:space="0" w:color="000000"/>
              <w:right w:val="single" w:sz="4" w:space="0" w:color="000000"/>
            </w:tcBorders>
          </w:tcPr>
          <w:p>
            <w:pPr>
              <w:pStyle w:val="TableParagraph"/>
              <w:spacing w:before="51"/>
              <w:ind w:left="104"/>
              <w:rPr>
                <w:rFonts w:ascii="宋体" w:eastAsia="宋体" w:hint="eastAsia"/>
                <w:sz w:val="21"/>
              </w:rPr>
            </w:pPr>
            <w:r>
              <w:rPr>
                <w:rFonts w:ascii="宋体" w:eastAsia="宋体" w:hint="eastAsia"/>
                <w:sz w:val="21"/>
              </w:rPr>
              <w:t>海尔集团财务有限责任公司</w:t>
            </w:r>
          </w:p>
        </w:tc>
        <w:tc>
          <w:tcPr>
            <w:tcW w:w="2551" w:type="dxa"/>
            <w:tcBorders>
              <w:left w:val="single" w:sz="4" w:space="0" w:color="000000"/>
              <w:bottom w:val="single" w:sz="4" w:space="0" w:color="000000"/>
              <w:right w:val="single" w:sz="4" w:space="0" w:color="000000"/>
            </w:tcBorders>
          </w:tcPr>
          <w:p>
            <w:pPr>
              <w:pStyle w:val="TableParagraph"/>
              <w:spacing w:before="58"/>
              <w:ind w:left="1349"/>
              <w:rPr>
                <w:sz w:val="21"/>
              </w:rPr>
            </w:pPr>
            <w:r>
              <w:rPr>
                <w:sz w:val="21"/>
              </w:rPr>
              <w:t>2,808,989.55</w:t>
            </w:r>
          </w:p>
        </w:tc>
        <w:tc>
          <w:tcPr>
            <w:tcW w:w="2263" w:type="dxa"/>
            <w:tcBorders>
              <w:left w:val="single" w:sz="4" w:space="0" w:color="000000"/>
              <w:bottom w:val="single" w:sz="4" w:space="0" w:color="000000"/>
            </w:tcBorders>
          </w:tcPr>
          <w:p>
            <w:pPr>
              <w:pStyle w:val="TableParagraph"/>
              <w:spacing w:before="58"/>
              <w:ind w:right="74"/>
              <w:jc w:val="right"/>
              <w:rPr>
                <w:sz w:val="21"/>
              </w:rPr>
            </w:pPr>
            <w:r>
              <w:rPr>
                <w:sz w:val="21"/>
              </w:rPr>
              <w:t>11,288,860.64</w:t>
            </w:r>
          </w:p>
        </w:tc>
      </w:tr>
      <w:tr>
        <w:trPr>
          <w:trHeight w:val="369" w:hRule="atLeast"/>
        </w:trPr>
        <w:tc>
          <w:tcPr>
            <w:tcW w:w="8455" w:type="dxa"/>
            <w:gridSpan w:val="3"/>
            <w:tcBorders>
              <w:top w:val="single" w:sz="4" w:space="0" w:color="000000"/>
              <w:bottom w:val="single" w:sz="4" w:space="0" w:color="000000"/>
            </w:tcBorders>
          </w:tcPr>
          <w:p>
            <w:pPr>
              <w:pStyle w:val="TableParagraph"/>
              <w:spacing w:line="349" w:lineRule="exact"/>
              <w:ind w:left="104"/>
              <w:rPr>
                <w:rFonts w:ascii="宋体" w:eastAsia="宋体" w:hint="eastAsia"/>
                <w:sz w:val="21"/>
              </w:rPr>
            </w:pPr>
            <w:r>
              <w:rPr>
                <w:rFonts w:ascii="Microsoft JhengHei" w:eastAsia="Microsoft JhengHei" w:hint="eastAsia"/>
                <w:b/>
                <w:sz w:val="21"/>
              </w:rPr>
              <w:t>应付股利：</w:t>
            </w:r>
            <w:r>
              <w:rPr>
                <w:rFonts w:ascii="宋体" w:eastAsia="宋体" w:hint="eastAsia"/>
                <w:sz w:val="21"/>
              </w:rPr>
              <w:t> </w:t>
            </w:r>
          </w:p>
        </w:tc>
      </w:tr>
      <w:tr>
        <w:trPr>
          <w:trHeight w:val="366" w:hRule="atLeast"/>
        </w:trPr>
        <w:tc>
          <w:tcPr>
            <w:tcW w:w="3641" w:type="dxa"/>
            <w:tcBorders>
              <w:top w:val="single" w:sz="4" w:space="0" w:color="000000"/>
              <w:bottom w:val="single" w:sz="4" w:space="0" w:color="000000"/>
              <w:right w:val="single" w:sz="4" w:space="0" w:color="000000"/>
            </w:tcBorders>
          </w:tcPr>
          <w:p>
            <w:pPr>
              <w:pStyle w:val="TableParagraph"/>
              <w:spacing w:before="49"/>
              <w:ind w:left="104"/>
              <w:rPr>
                <w:rFonts w:ascii="宋体" w:eastAsia="宋体" w:hint="eastAsia"/>
                <w:sz w:val="21"/>
              </w:rPr>
            </w:pPr>
            <w:r>
              <w:rPr>
                <w:rFonts w:ascii="宋体" w:eastAsia="宋体" w:hint="eastAsia"/>
                <w:sz w:val="21"/>
              </w:rPr>
              <w:t>勇狮（香港）有限公司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263" w:type="dxa"/>
            <w:tcBorders>
              <w:top w:val="single" w:sz="4" w:space="0" w:color="000000"/>
              <w:left w:val="single" w:sz="4" w:space="0" w:color="000000"/>
              <w:bottom w:val="single" w:sz="4" w:space="0" w:color="000000"/>
            </w:tcBorders>
          </w:tcPr>
          <w:p>
            <w:pPr>
              <w:pStyle w:val="TableParagraph"/>
              <w:spacing w:before="55"/>
              <w:ind w:right="72"/>
              <w:jc w:val="right"/>
              <w:rPr>
                <w:sz w:val="21"/>
              </w:rPr>
            </w:pPr>
            <w:r>
              <w:rPr>
                <w:sz w:val="21"/>
              </w:rPr>
              <w:t>122,756,874.10</w:t>
            </w:r>
          </w:p>
        </w:tc>
      </w:tr>
      <w:tr>
        <w:trPr>
          <w:trHeight w:val="368" w:hRule="atLeast"/>
        </w:trPr>
        <w:tc>
          <w:tcPr>
            <w:tcW w:w="3641" w:type="dxa"/>
            <w:tcBorders>
              <w:top w:val="single" w:sz="4" w:space="0" w:color="000000"/>
              <w:right w:val="single" w:sz="4" w:space="0" w:color="000000"/>
            </w:tcBorders>
          </w:tcPr>
          <w:p>
            <w:pPr>
              <w:pStyle w:val="TableParagraph"/>
              <w:spacing w:before="51"/>
              <w:ind w:left="104"/>
              <w:rPr>
                <w:rFonts w:ascii="宋体" w:eastAsia="宋体" w:hint="eastAsia"/>
                <w:sz w:val="21"/>
              </w:rPr>
            </w:pPr>
            <w:r>
              <w:rPr>
                <w:rFonts w:ascii="宋体" w:eastAsia="宋体" w:hint="eastAsia"/>
                <w:sz w:val="21"/>
              </w:rPr>
              <w:t>其他关联方</w:t>
            </w:r>
          </w:p>
        </w:tc>
        <w:tc>
          <w:tcPr>
            <w:tcW w:w="2551" w:type="dxa"/>
            <w:tcBorders>
              <w:top w:val="single" w:sz="4" w:space="0" w:color="000000"/>
              <w:left w:val="single" w:sz="4" w:space="0" w:color="000000"/>
              <w:right w:val="single" w:sz="4" w:space="0" w:color="000000"/>
            </w:tcBorders>
          </w:tcPr>
          <w:p>
            <w:pPr>
              <w:pStyle w:val="TableParagraph"/>
              <w:rPr>
                <w:sz w:val="20"/>
              </w:rPr>
            </w:pPr>
          </w:p>
        </w:tc>
        <w:tc>
          <w:tcPr>
            <w:tcW w:w="2263" w:type="dxa"/>
            <w:tcBorders>
              <w:top w:val="single" w:sz="4" w:space="0" w:color="000000"/>
              <w:left w:val="single" w:sz="4" w:space="0" w:color="000000"/>
            </w:tcBorders>
          </w:tcPr>
          <w:p>
            <w:pPr>
              <w:pStyle w:val="TableParagraph"/>
              <w:spacing w:before="58"/>
              <w:ind w:right="72"/>
              <w:jc w:val="right"/>
              <w:rPr>
                <w:sz w:val="21"/>
              </w:rPr>
            </w:pPr>
            <w:r>
              <w:rPr>
                <w:sz w:val="21"/>
              </w:rPr>
              <w:t>14,040,737.31</w:t>
            </w:r>
          </w:p>
        </w:tc>
      </w:tr>
    </w:tbl>
    <w:p>
      <w:pPr>
        <w:pStyle w:val="BodyText"/>
        <w:spacing w:before="6"/>
        <w:rPr>
          <w:rFonts w:ascii="Times New Roman"/>
          <w:sz w:val="8"/>
        </w:rPr>
      </w:pPr>
    </w:p>
    <w:p>
      <w:pPr>
        <w:pStyle w:val="BodyText"/>
        <w:spacing w:before="79"/>
        <w:ind w:left="1895"/>
      </w:pPr>
      <w:r>
        <w:rPr>
          <w:rFonts w:ascii="Times New Roman" w:eastAsia="Times New Roman"/>
        </w:rPr>
        <w:t>4</w:t>
      </w:r>
      <w:r>
        <w:rPr/>
        <w:t>、其他关联交易</w:t>
      </w:r>
    </w:p>
    <w:p>
      <w:pPr>
        <w:pStyle w:val="BodyText"/>
        <w:spacing w:before="10"/>
        <w:rPr>
          <w:sz w:val="25"/>
        </w:rPr>
      </w:pPr>
    </w:p>
    <w:p>
      <w:pPr>
        <w:pStyle w:val="ListParagraph"/>
        <w:numPr>
          <w:ilvl w:val="1"/>
          <w:numId w:val="72"/>
        </w:numPr>
        <w:tabs>
          <w:tab w:pos="2427" w:val="left" w:leader="none"/>
        </w:tabs>
        <w:spacing w:line="240" w:lineRule="auto" w:before="0" w:after="0"/>
        <w:ind w:left="2427" w:right="0" w:hanging="529"/>
        <w:jc w:val="left"/>
        <w:rPr>
          <w:sz w:val="19"/>
        </w:rPr>
      </w:pPr>
      <w:r>
        <w:rPr>
          <w:spacing w:val="-5"/>
          <w:sz w:val="21"/>
        </w:rPr>
        <w:t>公司子公司与海尔集团财务有限责任公司签订借款合同，截至 </w:t>
      </w:r>
      <w:r>
        <w:rPr>
          <w:rFonts w:ascii="Times New Roman" w:eastAsia="Times New Roman"/>
          <w:sz w:val="21"/>
        </w:rPr>
        <w:t>2020</w:t>
      </w:r>
      <w:r>
        <w:rPr>
          <w:rFonts w:ascii="Times New Roman" w:eastAsia="Times New Roman"/>
          <w:spacing w:val="13"/>
          <w:sz w:val="21"/>
        </w:rPr>
        <w:t> </w:t>
      </w:r>
      <w:r>
        <w:rPr>
          <w:spacing w:val="-20"/>
          <w:sz w:val="21"/>
        </w:rPr>
        <w:t>年 </w:t>
      </w:r>
      <w:r>
        <w:rPr>
          <w:rFonts w:ascii="Times New Roman" w:eastAsia="Times New Roman"/>
          <w:sz w:val="21"/>
        </w:rPr>
        <w:t>12</w:t>
      </w:r>
      <w:r>
        <w:rPr>
          <w:rFonts w:ascii="Times New Roman" w:eastAsia="Times New Roman"/>
          <w:spacing w:val="13"/>
          <w:sz w:val="21"/>
        </w:rPr>
        <w:t> </w:t>
      </w:r>
      <w:r>
        <w:rPr>
          <w:spacing w:val="-20"/>
          <w:sz w:val="21"/>
        </w:rPr>
        <w:t>月 </w:t>
      </w:r>
      <w:r>
        <w:rPr>
          <w:rFonts w:ascii="Times New Roman" w:eastAsia="Times New Roman"/>
          <w:sz w:val="21"/>
        </w:rPr>
        <w:t>31</w:t>
      </w:r>
      <w:r>
        <w:rPr>
          <w:rFonts w:ascii="Times New Roman" w:eastAsia="Times New Roman"/>
          <w:spacing w:val="10"/>
          <w:sz w:val="21"/>
        </w:rPr>
        <w:t> </w:t>
      </w:r>
      <w:r>
        <w:rPr>
          <w:spacing w:val="-2"/>
          <w:sz w:val="21"/>
        </w:rPr>
        <w:t>日止借</w:t>
      </w:r>
    </w:p>
    <w:p>
      <w:pPr>
        <w:pStyle w:val="BodyText"/>
        <w:spacing w:before="6"/>
        <w:rPr>
          <w:sz w:val="16"/>
        </w:rPr>
      </w:pPr>
    </w:p>
    <w:p>
      <w:pPr>
        <w:pStyle w:val="BodyText"/>
        <w:ind w:left="1470" w:right="1320"/>
        <w:jc w:val="center"/>
      </w:pPr>
      <w:r>
        <w:rPr/>
        <w:t>款金额为 </w:t>
      </w:r>
      <w:r>
        <w:rPr>
          <w:rFonts w:ascii="Times New Roman" w:eastAsia="Times New Roman"/>
        </w:rPr>
        <w:t>4.54 </w:t>
      </w:r>
      <w:r>
        <w:rPr/>
        <w:t>亿元，本期公司对海尔集团财务有限责任公司合计的借款利息费用为 </w:t>
      </w:r>
      <w:r>
        <w:rPr>
          <w:rFonts w:ascii="Times New Roman" w:eastAsia="Times New Roman"/>
        </w:rPr>
        <w:t>0.87 </w:t>
      </w:r>
      <w:r>
        <w:rPr/>
        <w:t>亿元。</w:t>
      </w:r>
    </w:p>
    <w:p>
      <w:pPr>
        <w:pStyle w:val="BodyText"/>
        <w:spacing w:before="10"/>
        <w:rPr>
          <w:sz w:val="20"/>
        </w:rPr>
      </w:pPr>
    </w:p>
    <w:p>
      <w:pPr>
        <w:pStyle w:val="ListParagraph"/>
        <w:numPr>
          <w:ilvl w:val="1"/>
          <w:numId w:val="72"/>
        </w:numPr>
        <w:tabs>
          <w:tab w:pos="2487" w:val="left" w:leader="none"/>
        </w:tabs>
        <w:spacing w:line="240" w:lineRule="auto" w:before="0" w:after="0"/>
        <w:ind w:left="2487" w:right="0" w:hanging="529"/>
        <w:jc w:val="left"/>
        <w:rPr>
          <w:sz w:val="19"/>
        </w:rPr>
      </w:pPr>
      <w:r>
        <w:rPr>
          <w:spacing w:val="-3"/>
          <w:sz w:val="21"/>
        </w:rPr>
        <w:t>本期公司及子公司自海尔集团财务有限责任公司取得的存款利息收入为</w:t>
      </w:r>
      <w:r>
        <w:rPr>
          <w:rFonts w:ascii="Times New Roman" w:eastAsia="Times New Roman"/>
          <w:sz w:val="21"/>
        </w:rPr>
        <w:t>1.58</w:t>
      </w:r>
      <w:r>
        <w:rPr>
          <w:spacing w:val="-2"/>
          <w:sz w:val="21"/>
        </w:rPr>
        <w:t>亿元。</w:t>
      </w:r>
    </w:p>
    <w:p>
      <w:pPr>
        <w:pStyle w:val="BodyText"/>
        <w:spacing w:before="9"/>
        <w:rPr>
          <w:sz w:val="19"/>
        </w:rPr>
      </w:pPr>
    </w:p>
    <w:p>
      <w:pPr>
        <w:pStyle w:val="ListParagraph"/>
        <w:numPr>
          <w:ilvl w:val="1"/>
          <w:numId w:val="72"/>
        </w:numPr>
        <w:tabs>
          <w:tab w:pos="2487" w:val="left" w:leader="none"/>
        </w:tabs>
        <w:spacing w:line="240" w:lineRule="auto" w:before="0" w:after="0"/>
        <w:ind w:left="2487" w:right="0" w:hanging="529"/>
        <w:jc w:val="left"/>
        <w:rPr>
          <w:color w:val="2D74B5"/>
          <w:sz w:val="19"/>
        </w:rPr>
      </w:pPr>
      <w:r>
        <w:rPr>
          <w:spacing w:val="-3"/>
          <w:sz w:val="21"/>
        </w:rPr>
        <w:t>本期公司及子公司自关联方承租的用于生产经营的租赁支出为</w:t>
      </w:r>
      <w:r>
        <w:rPr>
          <w:rFonts w:ascii="Times New Roman" w:eastAsia="Times New Roman"/>
          <w:sz w:val="21"/>
        </w:rPr>
        <w:t>1.14</w:t>
      </w:r>
      <w:r>
        <w:rPr>
          <w:spacing w:val="-2"/>
          <w:sz w:val="21"/>
        </w:rPr>
        <w:t>亿元。</w:t>
      </w:r>
    </w:p>
    <w:p>
      <w:pPr>
        <w:pStyle w:val="BodyText"/>
        <w:spacing w:before="6"/>
        <w:rPr>
          <w:sz w:val="19"/>
        </w:rPr>
      </w:pPr>
    </w:p>
    <w:p>
      <w:pPr>
        <w:pStyle w:val="ListParagraph"/>
        <w:numPr>
          <w:ilvl w:val="1"/>
          <w:numId w:val="72"/>
        </w:numPr>
        <w:tabs>
          <w:tab w:pos="2487" w:val="left" w:leader="none"/>
        </w:tabs>
        <w:spacing w:line="357" w:lineRule="auto" w:before="0" w:after="0"/>
        <w:ind w:left="1538" w:right="1094" w:firstLine="419"/>
        <w:jc w:val="left"/>
        <w:rPr>
          <w:sz w:val="19"/>
        </w:rPr>
      </w:pPr>
      <w:r>
        <w:rPr>
          <w:spacing w:val="-2"/>
          <w:sz w:val="21"/>
        </w:rPr>
        <w:t>公司于</w:t>
      </w:r>
      <w:r>
        <w:rPr>
          <w:rFonts w:ascii="Times New Roman" w:eastAsia="Times New Roman"/>
          <w:sz w:val="21"/>
        </w:rPr>
        <w:t>2020</w:t>
      </w:r>
      <w:r>
        <w:rPr>
          <w:sz w:val="21"/>
        </w:rPr>
        <w:t>年</w:t>
      </w:r>
      <w:r>
        <w:rPr>
          <w:rFonts w:ascii="Times New Roman" w:eastAsia="Times New Roman"/>
          <w:sz w:val="21"/>
        </w:rPr>
        <w:t>9</w:t>
      </w:r>
      <w:r>
        <w:rPr>
          <w:sz w:val="21"/>
        </w:rPr>
        <w:t>月</w:t>
      </w:r>
      <w:r>
        <w:rPr>
          <w:rFonts w:ascii="Times New Roman" w:eastAsia="Times New Roman"/>
          <w:spacing w:val="-3"/>
          <w:sz w:val="21"/>
        </w:rPr>
        <w:t>1</w:t>
      </w:r>
      <w:r>
        <w:rPr>
          <w:spacing w:val="-3"/>
          <w:sz w:val="21"/>
        </w:rPr>
        <w:t>日召开了</w:t>
      </w:r>
      <w:r>
        <w:rPr>
          <w:rFonts w:ascii="Times New Roman" w:eastAsia="Times New Roman"/>
          <w:sz w:val="21"/>
        </w:rPr>
        <w:t>2020</w:t>
      </w:r>
      <w:r>
        <w:rPr>
          <w:spacing w:val="-7"/>
          <w:sz w:val="21"/>
        </w:rPr>
        <w:t>年第二次临时股东大会并通过了《关于公司转让海尔卡</w:t>
      </w:r>
      <w:r>
        <w:rPr>
          <w:spacing w:val="-5"/>
          <w:sz w:val="21"/>
        </w:rPr>
        <w:t>奥斯物联生态科技有限公司</w:t>
      </w:r>
      <w:r>
        <w:rPr>
          <w:rFonts w:ascii="Times New Roman" w:eastAsia="Times New Roman"/>
          <w:sz w:val="21"/>
        </w:rPr>
        <w:t>54.50%</w:t>
      </w:r>
      <w:r>
        <w:rPr>
          <w:spacing w:val="-4"/>
          <w:sz w:val="21"/>
        </w:rPr>
        <w:t>股权暨关联交易的议案》。根据公司与青岛海尔生态投资有限 </w:t>
      </w:r>
      <w:r>
        <w:rPr>
          <w:spacing w:val="-16"/>
          <w:sz w:val="21"/>
        </w:rPr>
        <w:t>公司签署的《股权转让协议》，公司以</w:t>
      </w:r>
      <w:r>
        <w:rPr>
          <w:rFonts w:ascii="Times New Roman" w:eastAsia="Times New Roman"/>
          <w:sz w:val="21"/>
        </w:rPr>
        <w:t>40.6</w:t>
      </w:r>
      <w:r>
        <w:rPr>
          <w:spacing w:val="-3"/>
          <w:sz w:val="21"/>
        </w:rPr>
        <w:t>亿元的价格向海尔生态投资转让公司持有的卡奥斯</w:t>
      </w:r>
      <w:r>
        <w:rPr>
          <w:rFonts w:ascii="Times New Roman" w:eastAsia="Times New Roman"/>
          <w:sz w:val="21"/>
        </w:rPr>
        <w:t>54.50% </w:t>
      </w:r>
      <w:r>
        <w:rPr>
          <w:sz w:val="21"/>
        </w:rPr>
        <w:t>股权。</w:t>
      </w:r>
    </w:p>
    <w:p>
      <w:pPr>
        <w:pStyle w:val="Heading4"/>
        <w:spacing w:before="48"/>
        <w:ind w:left="1960"/>
      </w:pPr>
      <w:r>
        <w:rPr/>
        <w:t>（四）定价政策</w:t>
      </w:r>
    </w:p>
    <w:p>
      <w:pPr>
        <w:pStyle w:val="BodyText"/>
        <w:spacing w:before="1"/>
        <w:rPr>
          <w:rFonts w:ascii="Microsoft JhengHei"/>
          <w:b/>
          <w:sz w:val="11"/>
        </w:rPr>
      </w:pPr>
    </w:p>
    <w:p>
      <w:pPr>
        <w:pStyle w:val="BodyText"/>
        <w:ind w:left="1958"/>
      </w:pPr>
      <w:r>
        <w:rPr>
          <w:rFonts w:ascii="Times New Roman" w:eastAsia="Times New Roman"/>
        </w:rPr>
        <w:t>1</w:t>
      </w:r>
      <w:r>
        <w:rPr/>
        <w:t>、关联销售</w:t>
      </w:r>
    </w:p>
    <w:p>
      <w:pPr>
        <w:pStyle w:val="BodyText"/>
        <w:spacing w:before="12"/>
        <w:rPr>
          <w:sz w:val="18"/>
        </w:rPr>
      </w:pPr>
    </w:p>
    <w:p>
      <w:pPr>
        <w:pStyle w:val="BodyText"/>
        <w:spacing w:line="348" w:lineRule="auto"/>
        <w:ind w:left="1538" w:right="1270" w:firstLine="419"/>
        <w:jc w:val="both"/>
      </w:pPr>
      <w:r>
        <w:rPr>
          <w:spacing w:val="-3"/>
        </w:rPr>
        <w:t>部分关联方通过本公司自主采购平台采购零部件、从本公司采购电器等待售产品，以及因业务需求由本公司提供售后服务、研发服务、房屋租赁等业务。</w:t>
      </w:r>
      <w:r>
        <w:rPr>
          <w:rFonts w:ascii="Times New Roman" w:eastAsia="Times New Roman"/>
        </w:rPr>
        <w:t>2020 </w:t>
      </w:r>
      <w:r>
        <w:rPr>
          <w:spacing w:val="-22"/>
        </w:rPr>
        <w:t>年 </w:t>
      </w:r>
      <w:r>
        <w:rPr>
          <w:rFonts w:ascii="Times New Roman" w:eastAsia="Times New Roman"/>
        </w:rPr>
        <w:t>11 </w:t>
      </w:r>
      <w:r>
        <w:rPr>
          <w:spacing w:val="-3"/>
        </w:rPr>
        <w:t>月，根据前期关联交易执行情况以及香港上市的相关要求，公司与海尔集团公司在原执行合同的基础上，新修订并签订了《产品及物料销售框架协议》《服务提供框架协议》《物业租赁框架协议》，对销售类关联交易内容进行约定，其中定价原则包括由双方根据不逊于由本公司向独立第三方提供服务的价格按</w:t>
      </w:r>
      <w:r>
        <w:rPr>
          <w:spacing w:val="-22"/>
        </w:rPr>
        <w:t>公平原则商定等，确保关联交易公允、合理。协议有效期为自上市日期起至 </w:t>
      </w:r>
      <w:r>
        <w:rPr>
          <w:rFonts w:ascii="Times New Roman" w:eastAsia="Times New Roman"/>
        </w:rPr>
        <w:t>2022 </w:t>
      </w:r>
      <w:r>
        <w:rPr>
          <w:spacing w:val="-23"/>
        </w:rPr>
        <w:t>年 </w:t>
      </w:r>
      <w:r>
        <w:rPr>
          <w:rFonts w:ascii="Times New Roman" w:eastAsia="Times New Roman"/>
        </w:rPr>
        <w:t>12 </w:t>
      </w:r>
      <w:r>
        <w:rPr>
          <w:spacing w:val="-23"/>
        </w:rPr>
        <w:t>月 </w:t>
      </w:r>
      <w:r>
        <w:rPr>
          <w:rFonts w:ascii="Times New Roman" w:eastAsia="Times New Roman"/>
        </w:rPr>
        <w:t>31 </w:t>
      </w:r>
      <w:r>
        <w:rPr>
          <w:spacing w:val="-2"/>
        </w:rPr>
        <w:t>日止， </w:t>
      </w:r>
      <w:r>
        <w:rPr>
          <w:spacing w:val="-3"/>
        </w:rPr>
        <w:t>届满后可再续期三年。</w:t>
      </w:r>
    </w:p>
    <w:p>
      <w:pPr>
        <w:pStyle w:val="BodyText"/>
        <w:spacing w:before="121"/>
        <w:ind w:left="1958"/>
      </w:pPr>
      <w:r>
        <w:rPr>
          <w:rFonts w:ascii="Times New Roman" w:eastAsia="Times New Roman"/>
        </w:rPr>
        <w:t>2</w:t>
      </w:r>
      <w:r>
        <w:rPr/>
        <w:t>、关联采购</w:t>
      </w:r>
    </w:p>
    <w:p>
      <w:pPr>
        <w:pStyle w:val="BodyText"/>
        <w:spacing w:before="8"/>
        <w:rPr>
          <w:sz w:val="18"/>
        </w:rPr>
      </w:pPr>
    </w:p>
    <w:p>
      <w:pPr>
        <w:pStyle w:val="BodyText"/>
        <w:spacing w:line="348" w:lineRule="auto" w:before="1"/>
        <w:ind w:left="1538" w:right="1268" w:firstLine="419"/>
        <w:jc w:val="both"/>
      </w:pPr>
      <w:r>
        <w:rPr>
          <w:spacing w:val="-3"/>
        </w:rPr>
        <w:t>公司除通过自主采购平台进行采购外，部分原材料等通过委托海尔集团公司及其附属公司采购物资，另外公司委托海尔集团下属公司向公司提供物流配送、能源电力、基础研究检测、设备</w:t>
      </w:r>
      <w:r>
        <w:rPr>
          <w:spacing w:val="-8"/>
        </w:rPr>
        <w:t>租赁、房屋租赁及维修、绿化保洁、礼品采购、设计、咨询和各类订票以及其他服务等。</w:t>
      </w:r>
      <w:r>
        <w:rPr>
          <w:rFonts w:ascii="Times New Roman" w:eastAsia="Times New Roman"/>
        </w:rPr>
        <w:t>2020 </w:t>
      </w:r>
      <w:r>
        <w:rPr/>
        <w:t>年</w:t>
      </w:r>
      <w:r>
        <w:rPr>
          <w:rFonts w:ascii="Times New Roman" w:eastAsia="Times New Roman"/>
        </w:rPr>
        <w:t>11</w:t>
      </w:r>
      <w:r>
        <w:rPr>
          <w:rFonts w:ascii="Times New Roman" w:eastAsia="Times New Roman"/>
          <w:spacing w:val="35"/>
        </w:rPr>
        <w:t> </w:t>
      </w:r>
      <w:r>
        <w:rPr>
          <w:spacing w:val="-7"/>
        </w:rPr>
        <w:t>月，根据前期关联交易执行情况以及香港上市的相关要求，公司与海尔集团公司在原执行合同</w:t>
      </w:r>
      <w:r>
        <w:rPr>
          <w:spacing w:val="-5"/>
        </w:rPr>
        <w:t>的基础上，新修订并签订了《产品及物料采购框架协议》《服务采购框架协议》《物业承租框架</w:t>
      </w:r>
      <w:r>
        <w:rPr>
          <w:spacing w:val="-4"/>
        </w:rPr>
        <w:t>协议》，对采购类关联交易内容进行约定，其中定价原则包括由双方根据不逊于独立第三方向本</w:t>
      </w:r>
      <w:r>
        <w:rPr>
          <w:spacing w:val="-3"/>
        </w:rPr>
        <w:t>公司提供服务的价格按公平原则商定等，确保关联交易公允、合理。协议有效期为自上市日期起</w:t>
      </w:r>
      <w:r>
        <w:rPr>
          <w:spacing w:val="-28"/>
        </w:rPr>
        <w:t>至 </w:t>
      </w:r>
      <w:r>
        <w:rPr>
          <w:rFonts w:ascii="Times New Roman" w:eastAsia="Times New Roman"/>
        </w:rPr>
        <w:t>2022 </w:t>
      </w:r>
      <w:r>
        <w:rPr>
          <w:spacing w:val="-28"/>
        </w:rPr>
        <w:t>年 </w:t>
      </w:r>
      <w:r>
        <w:rPr>
          <w:rFonts w:ascii="Times New Roman" w:eastAsia="Times New Roman"/>
        </w:rPr>
        <w:t>12 </w:t>
      </w:r>
      <w:r>
        <w:rPr>
          <w:spacing w:val="-26"/>
        </w:rPr>
        <w:t>月 </w:t>
      </w:r>
      <w:r>
        <w:rPr>
          <w:rFonts w:ascii="Times New Roman" w:eastAsia="Times New Roman"/>
        </w:rPr>
        <w:t>31 </w:t>
      </w:r>
      <w:r>
        <w:rPr>
          <w:spacing w:val="-3"/>
        </w:rPr>
        <w:t>日止，届满后可再续期三年。</w:t>
      </w:r>
    </w:p>
    <w:p>
      <w:pPr>
        <w:spacing w:after="0" w:line="348" w:lineRule="auto"/>
        <w:jc w:val="both"/>
        <w:sectPr>
          <w:headerReference w:type="default" r:id="rId129"/>
          <w:footerReference w:type="default" r:id="rId130"/>
          <w:pgSz w:w="11910" w:h="16840"/>
          <w:pgMar w:header="876" w:footer="1214" w:top="1440" w:bottom="1400" w:left="260" w:right="0"/>
          <w:pgNumType w:start="1"/>
        </w:sectPr>
      </w:pPr>
    </w:p>
    <w:p>
      <w:pPr>
        <w:pStyle w:val="BodyText"/>
        <w:spacing w:before="169"/>
        <w:ind w:left="1958"/>
      </w:pPr>
      <w:r>
        <w:rPr>
          <w:rFonts w:ascii="Times New Roman" w:eastAsia="Times New Roman"/>
        </w:rPr>
        <w:t>3</w:t>
      </w:r>
      <w:r>
        <w:rPr/>
        <w:t>、金融类</w:t>
      </w:r>
    </w:p>
    <w:p>
      <w:pPr>
        <w:pStyle w:val="BodyText"/>
        <w:spacing w:before="11"/>
        <w:rPr>
          <w:sz w:val="18"/>
        </w:rPr>
      </w:pPr>
    </w:p>
    <w:p>
      <w:pPr>
        <w:pStyle w:val="BodyText"/>
        <w:spacing w:line="348" w:lineRule="auto" w:before="1"/>
        <w:ind w:left="1538" w:right="1162" w:firstLine="347"/>
      </w:pPr>
      <w:r>
        <w:rPr>
          <w:spacing w:val="-3"/>
        </w:rPr>
        <w:t>公司所需的部分存贷款、贴现、外汇衍生品业务等金融类业务由海尔集团公司及其下属公司 等提供相应的服务，根据公司与海尔集团公司等签订的《金融服务协议》，金融业务以不逊于市场公允商业原则确定价格，公司有权在了解市场价格的前提下，结合自身利益决定是否与其保持合作关系，也可根据实际情况在履行该协议的同时由其他金融服务机构提供相关的金融服务。基于规避外汇波动风险等的诉求，公司所需的部分外汇衍生品等业务，可能在经多方寻源比较后选择海尔集团财务有限责任公司等进行操作，公司将秉承安全稳健、适度合理的原则，确保所有外汇资金业务均需有正常合理的业务背景，杜绝投机行为；同时公司外汇资金交易明确了各级审批权限、管理定位和职责，杜绝人为操作风险，并在有效地控制风险的前提下提高对风险的应对速度。</w:t>
      </w:r>
      <w:r>
        <w:rPr>
          <w:rFonts w:ascii="Times New Roman" w:eastAsia="Times New Roman"/>
          <w:spacing w:val="-3"/>
        </w:rPr>
        <w:t>2020 </w:t>
      </w:r>
      <w:r>
        <w:rPr>
          <w:spacing w:val="-22"/>
        </w:rPr>
        <w:t>年 </w:t>
      </w:r>
      <w:r>
        <w:rPr>
          <w:rFonts w:ascii="Times New Roman" w:eastAsia="Times New Roman"/>
        </w:rPr>
        <w:t>11 </w:t>
      </w:r>
      <w:r>
        <w:rPr>
          <w:spacing w:val="-3"/>
        </w:rPr>
        <w:t>月，根据前期关联交易执行情况以及香港上市的相关要求，公司与海尔集团公司在原执行合同的基础上，新修订并签订了《金融服务框架协议》，对金融类关联交易进行约定， </w:t>
      </w:r>
      <w:r>
        <w:rPr>
          <w:spacing w:val="-7"/>
        </w:rPr>
        <w:t>其中定价原则包括存款利率不低于所列大型银行最高利率、贷款利率不逊于市场价格等定价原则， 确保关联交易公允、合理。协议有效期为自上市日期起至公司 </w:t>
      </w:r>
      <w:r>
        <w:rPr>
          <w:rFonts w:ascii="Times New Roman" w:eastAsia="Times New Roman"/>
        </w:rPr>
        <w:t>2021 </w:t>
      </w:r>
      <w:r>
        <w:rPr>
          <w:spacing w:val="-12"/>
        </w:rPr>
        <w:t>年召开的 </w:t>
      </w:r>
      <w:r>
        <w:rPr>
          <w:rFonts w:ascii="Times New Roman" w:eastAsia="Times New Roman"/>
        </w:rPr>
        <w:t>2020 </w:t>
      </w:r>
      <w:r>
        <w:rPr>
          <w:spacing w:val="-3"/>
        </w:rPr>
        <w:t>年年度股东大会为止，届满后可再续期三年。</w:t>
      </w:r>
    </w:p>
    <w:p>
      <w:pPr>
        <w:pStyle w:val="BodyText"/>
        <w:spacing w:before="124"/>
        <w:ind w:left="1958"/>
      </w:pPr>
      <w:r>
        <w:rPr>
          <w:rFonts w:ascii="Times New Roman" w:eastAsia="Times New Roman"/>
        </w:rPr>
        <w:t>4</w:t>
      </w:r>
      <w:r>
        <w:rPr/>
        <w:t>、其他</w:t>
      </w:r>
    </w:p>
    <w:p>
      <w:pPr>
        <w:pStyle w:val="BodyText"/>
        <w:spacing w:before="8"/>
        <w:rPr>
          <w:sz w:val="19"/>
        </w:rPr>
      </w:pPr>
    </w:p>
    <w:p>
      <w:pPr>
        <w:pStyle w:val="BodyText"/>
        <w:spacing w:line="357" w:lineRule="auto" w:before="1"/>
        <w:ind w:left="1538" w:right="1277" w:firstLine="419"/>
        <w:jc w:val="both"/>
      </w:pPr>
      <w:r>
        <w:rPr>
          <w:spacing w:val="-13"/>
        </w:rPr>
        <w:t>公司于 </w:t>
      </w:r>
      <w:r>
        <w:rPr>
          <w:rFonts w:ascii="Times New Roman" w:eastAsia="Times New Roman"/>
        </w:rPr>
        <w:t>2020 </w:t>
      </w:r>
      <w:r>
        <w:rPr>
          <w:spacing w:val="-23"/>
        </w:rPr>
        <w:t>年 </w:t>
      </w:r>
      <w:r>
        <w:rPr>
          <w:rFonts w:ascii="Times New Roman" w:eastAsia="Times New Roman"/>
        </w:rPr>
        <w:t>11 </w:t>
      </w:r>
      <w:r>
        <w:rPr>
          <w:spacing w:val="-3"/>
        </w:rPr>
        <w:t>月与海尔集团公司等签订《知识产权许可框架协议》。根据该协议，海尔集团已同意零对价授予或促使其附属公司及联系人授予本公司许可，可将其所有知识产权，包括但不限于商标、专利、版权及标识等用于公司的产品、包装、服务及业务介绍文件。知识产权许可框架协议的日期自上市日期起永久有效。当该等特定知识产权届满且并未由海尔集团续期，则我们使用知识产权许可框架协议项下若干知识产权的权利即告终止。</w:t>
      </w:r>
      <w:r>
        <w:rPr/>
        <w:t> </w:t>
      </w:r>
    </w:p>
    <w:p>
      <w:pPr>
        <w:pStyle w:val="Heading4"/>
        <w:spacing w:before="108"/>
      </w:pPr>
      <w:r>
        <w:rPr/>
        <w:t>十三、 股份支付</w:t>
      </w:r>
    </w:p>
    <w:p>
      <w:pPr>
        <w:pStyle w:val="Heading4"/>
        <w:spacing w:before="82"/>
      </w:pPr>
      <w:r>
        <w:rPr>
          <w:rFonts w:ascii="Times New Roman" w:eastAsia="Times New Roman"/>
        </w:rPr>
        <w:t>1</w:t>
      </w:r>
      <w:r>
        <w:rPr/>
        <w:t>、 股份支付总体情况</w:t>
      </w:r>
    </w:p>
    <w:p>
      <w:pPr>
        <w:pStyle w:val="BodyText"/>
        <w:spacing w:before="153"/>
        <w:ind w:left="1962"/>
      </w:pPr>
      <w:r>
        <w:rPr/>
        <w:t>□适用 √不适用 </w:t>
      </w:r>
      <w:r>
        <w:rPr>
          <w:w w:val="100"/>
        </w:rPr>
        <w:t> </w:t>
      </w:r>
    </w:p>
    <w:p>
      <w:pPr>
        <w:pStyle w:val="BodyText"/>
        <w:spacing w:before="5"/>
        <w:rPr>
          <w:sz w:val="24"/>
        </w:rPr>
      </w:pPr>
    </w:p>
    <w:p>
      <w:pPr>
        <w:pStyle w:val="Heading4"/>
      </w:pPr>
      <w:r>
        <w:rPr/>
        <w:t>十四、 或有事项</w:t>
      </w:r>
    </w:p>
    <w:p>
      <w:pPr>
        <w:spacing w:line="302" w:lineRule="auto" w:before="91"/>
        <w:ind w:left="1538" w:right="4114" w:firstLine="211"/>
        <w:jc w:val="left"/>
        <w:rPr>
          <w:rFonts w:ascii="Microsoft JhengHei" w:eastAsia="Microsoft JhengHei" w:hint="eastAsia"/>
          <w:b/>
          <w:sz w:val="21"/>
        </w:rPr>
      </w:pPr>
      <w:r>
        <w:rPr>
          <w:spacing w:val="-17"/>
          <w:sz w:val="21"/>
        </w:rPr>
        <w:t>截止 </w:t>
      </w:r>
      <w:r>
        <w:rPr>
          <w:rFonts w:ascii="Times New Roman" w:eastAsia="Times New Roman"/>
          <w:sz w:val="21"/>
        </w:rPr>
        <w:t>2020 </w:t>
      </w:r>
      <w:r>
        <w:rPr>
          <w:spacing w:val="-25"/>
          <w:sz w:val="21"/>
        </w:rPr>
        <w:t>年 </w:t>
      </w:r>
      <w:r>
        <w:rPr>
          <w:rFonts w:ascii="Times New Roman" w:eastAsia="Times New Roman"/>
          <w:sz w:val="21"/>
        </w:rPr>
        <w:t>12 </w:t>
      </w:r>
      <w:r>
        <w:rPr>
          <w:spacing w:val="-25"/>
          <w:sz w:val="21"/>
        </w:rPr>
        <w:t>月 </w:t>
      </w:r>
      <w:r>
        <w:rPr>
          <w:rFonts w:ascii="Times New Roman" w:eastAsia="Times New Roman"/>
          <w:sz w:val="21"/>
        </w:rPr>
        <w:t>31 </w:t>
      </w:r>
      <w:r>
        <w:rPr>
          <w:spacing w:val="-3"/>
          <w:sz w:val="21"/>
        </w:rPr>
        <w:t>日，本公司无需要披露的重要或有事项。</w:t>
      </w:r>
      <w:r>
        <w:rPr>
          <w:rFonts w:ascii="Microsoft JhengHei" w:eastAsia="Microsoft JhengHei" w:hint="eastAsia"/>
          <w:b/>
          <w:sz w:val="21"/>
        </w:rPr>
        <w:t>十五、 资产负债表日后事项</w:t>
      </w:r>
    </w:p>
    <w:p>
      <w:pPr>
        <w:pStyle w:val="BodyText"/>
        <w:spacing w:line="260" w:lineRule="exact"/>
        <w:ind w:left="1962"/>
      </w:pPr>
      <w:r>
        <w:rPr>
          <w:rFonts w:ascii="Times New Roman" w:eastAsia="Times New Roman"/>
        </w:rPr>
        <w:t>1</w:t>
      </w:r>
      <w:r>
        <w:rPr>
          <w:spacing w:val="-14"/>
        </w:rPr>
        <w:t>、根据本公司 </w:t>
      </w:r>
      <w:r>
        <w:rPr>
          <w:rFonts w:ascii="Times New Roman" w:eastAsia="Times New Roman"/>
        </w:rPr>
        <w:t>2021</w:t>
      </w:r>
      <w:r>
        <w:rPr>
          <w:rFonts w:ascii="Times New Roman" w:eastAsia="Times New Roman"/>
          <w:spacing w:val="7"/>
        </w:rPr>
        <w:t> </w:t>
      </w:r>
      <w:r>
        <w:rPr>
          <w:spacing w:val="-24"/>
        </w:rPr>
        <w:t>年 </w:t>
      </w:r>
      <w:r>
        <w:rPr>
          <w:rFonts w:ascii="Times New Roman" w:eastAsia="Times New Roman"/>
        </w:rPr>
        <w:t>3</w:t>
      </w:r>
      <w:r>
        <w:rPr>
          <w:rFonts w:ascii="Times New Roman" w:eastAsia="Times New Roman"/>
          <w:spacing w:val="4"/>
        </w:rPr>
        <w:t> </w:t>
      </w:r>
      <w:r>
        <w:rPr>
          <w:spacing w:val="-23"/>
        </w:rPr>
        <w:t>月 </w:t>
      </w:r>
      <w:r>
        <w:rPr>
          <w:rFonts w:ascii="Times New Roman" w:eastAsia="Times New Roman"/>
        </w:rPr>
        <w:t>30</w:t>
      </w:r>
      <w:r>
        <w:rPr>
          <w:rFonts w:ascii="Times New Roman" w:eastAsia="Times New Roman"/>
          <w:spacing w:val="4"/>
        </w:rPr>
        <w:t> </w:t>
      </w:r>
      <w:r>
        <w:rPr>
          <w:spacing w:val="-8"/>
        </w:rPr>
        <w:t>日第十届董事会第十七次会议，本年的利润分配预案为：以未</w:t>
      </w:r>
    </w:p>
    <w:p>
      <w:pPr>
        <w:pStyle w:val="BodyText"/>
        <w:spacing w:before="139"/>
        <w:ind w:left="1538"/>
        <w:jc w:val="both"/>
        <w:rPr>
          <w:rFonts w:ascii="Times New Roman" w:eastAsia="Times New Roman"/>
        </w:rPr>
      </w:pPr>
      <w:r>
        <w:rPr>
          <w:spacing w:val="-5"/>
        </w:rPr>
        <w:t>来实施分配方案时股权登记日扣除回购专户上已回购股份后的总股本为基数，向全体股东按每 </w:t>
      </w:r>
      <w:r>
        <w:rPr>
          <w:rFonts w:ascii="Times New Roman" w:eastAsia="Times New Roman"/>
          <w:spacing w:val="-3"/>
        </w:rPr>
        <w:t>10</w:t>
      </w:r>
    </w:p>
    <w:p>
      <w:pPr>
        <w:pStyle w:val="BodyText"/>
        <w:spacing w:before="141"/>
        <w:ind w:left="1538"/>
        <w:jc w:val="both"/>
      </w:pPr>
      <w:r>
        <w:rPr/>
        <w:t>股派发现金股利人民币 </w:t>
      </w:r>
      <w:r>
        <w:rPr>
          <w:rFonts w:ascii="Times New Roman" w:eastAsia="Times New Roman"/>
        </w:rPr>
        <w:t>3.66 </w:t>
      </w:r>
      <w:r>
        <w:rPr/>
        <w:t>元（含税）。</w:t>
      </w:r>
    </w:p>
    <w:p>
      <w:pPr>
        <w:pStyle w:val="BodyText"/>
        <w:spacing w:line="364" w:lineRule="auto" w:before="139"/>
        <w:ind w:left="1538" w:right="1267" w:firstLine="419"/>
        <w:jc w:val="both"/>
      </w:pPr>
      <w:r>
        <w:rPr>
          <w:rFonts w:ascii="Times New Roman" w:eastAsia="Times New Roman"/>
        </w:rPr>
        <w:t>2</w:t>
      </w:r>
      <w:r>
        <w:rPr>
          <w:spacing w:val="-6"/>
        </w:rPr>
        <w:t>、公司于 </w:t>
      </w:r>
      <w:r>
        <w:rPr>
          <w:rFonts w:ascii="Times New Roman" w:eastAsia="Times New Roman"/>
        </w:rPr>
        <w:t>2021 </w:t>
      </w:r>
      <w:r>
        <w:rPr>
          <w:spacing w:val="4"/>
        </w:rPr>
        <w:t>年 </w:t>
      </w:r>
      <w:r>
        <w:rPr>
          <w:rFonts w:ascii="Times New Roman" w:eastAsia="Times New Roman"/>
        </w:rPr>
        <w:t>3 </w:t>
      </w:r>
      <w:r>
        <w:rPr>
          <w:spacing w:val="2"/>
        </w:rPr>
        <w:t>月 </w:t>
      </w:r>
      <w:r>
        <w:rPr>
          <w:rFonts w:ascii="Times New Roman" w:eastAsia="Times New Roman"/>
        </w:rPr>
        <w:t>5 </w:t>
      </w:r>
      <w:r>
        <w:rPr>
          <w:spacing w:val="-7"/>
        </w:rPr>
        <w:t>日召开了第十届董事会第十六次会议，审议通过了《海尔智家股</w:t>
      </w:r>
      <w:r>
        <w:rPr>
          <w:spacing w:val="-5"/>
        </w:rPr>
        <w:t>份有限公司关于回购部分社会公众股份方案的议案》，同意公司以集中竞价的方式使用自有资金</w:t>
      </w:r>
      <w:r>
        <w:rPr>
          <w:spacing w:val="-6"/>
        </w:rPr>
        <w:t>回购部分公司股份，回购价格为不超过人民币 </w:t>
      </w:r>
      <w:r>
        <w:rPr>
          <w:rFonts w:ascii="Times New Roman" w:eastAsia="Times New Roman"/>
        </w:rPr>
        <w:t>46 </w:t>
      </w:r>
      <w:r>
        <w:rPr/>
        <w:t>元</w:t>
      </w:r>
      <w:r>
        <w:rPr>
          <w:rFonts w:ascii="Times New Roman" w:eastAsia="Times New Roman"/>
        </w:rPr>
        <w:t>/</w:t>
      </w:r>
      <w:r>
        <w:rPr>
          <w:spacing w:val="-3"/>
        </w:rPr>
        <w:t>股，拟回购金额不超过人民币 </w:t>
      </w:r>
      <w:r>
        <w:rPr>
          <w:rFonts w:ascii="Times New Roman" w:eastAsia="Times New Roman"/>
        </w:rPr>
        <w:t>40 </w:t>
      </w:r>
      <w:r>
        <w:rPr>
          <w:spacing w:val="-3"/>
        </w:rPr>
        <w:t>亿元且不</w:t>
      </w:r>
    </w:p>
    <w:p>
      <w:pPr>
        <w:spacing w:after="0" w:line="364" w:lineRule="auto"/>
        <w:jc w:val="both"/>
        <w:sectPr>
          <w:pgSz w:w="11910" w:h="16840"/>
          <w:pgMar w:header="876" w:footer="1214" w:top="1440" w:bottom="1400" w:left="260" w:right="0"/>
        </w:sectPr>
      </w:pPr>
    </w:p>
    <w:p>
      <w:pPr>
        <w:pStyle w:val="BodyText"/>
        <w:spacing w:line="364" w:lineRule="auto" w:before="68"/>
        <w:ind w:left="1538" w:right="1162"/>
        <w:jc w:val="both"/>
      </w:pPr>
      <w:r>
        <w:rPr>
          <w:spacing w:val="2"/>
        </w:rPr>
        <w:t>低于 </w:t>
      </w:r>
      <w:r>
        <w:rPr>
          <w:rFonts w:ascii="Times New Roman" w:eastAsia="Times New Roman"/>
        </w:rPr>
        <w:t>20 </w:t>
      </w:r>
      <w:r>
        <w:rPr>
          <w:spacing w:val="-3"/>
        </w:rPr>
        <w:t>亿元，实施期限为自董事会审议通过回购股份方案之日起 </w:t>
      </w:r>
      <w:r>
        <w:rPr>
          <w:rFonts w:ascii="Times New Roman" w:eastAsia="Times New Roman"/>
        </w:rPr>
        <w:t>12</w:t>
      </w:r>
      <w:r>
        <w:rPr>
          <w:rFonts w:ascii="Times New Roman" w:eastAsia="Times New Roman"/>
          <w:spacing w:val="3"/>
        </w:rPr>
        <w:t>  </w:t>
      </w:r>
      <w:r>
        <w:rPr>
          <w:spacing w:val="-3"/>
        </w:rPr>
        <w:t>个月内，资金来源为公司</w:t>
      </w:r>
      <w:r>
        <w:rPr>
          <w:spacing w:val="-2"/>
        </w:rPr>
        <w:t>自有资金，回购股份的种类为本公司发行的 </w:t>
      </w:r>
      <w:r>
        <w:rPr>
          <w:rFonts w:ascii="Times New Roman" w:eastAsia="Times New Roman"/>
        </w:rPr>
        <w:t>A </w:t>
      </w:r>
      <w:r>
        <w:rPr/>
        <w:t>股股票，按照本次回购金额上限及回购价格上限</w:t>
      </w:r>
      <w:r>
        <w:rPr>
          <w:spacing w:val="-5"/>
        </w:rPr>
        <w:t>测算，拟回购股份数量的上限为 </w:t>
      </w:r>
      <w:r>
        <w:rPr>
          <w:rFonts w:ascii="Times New Roman" w:eastAsia="Times New Roman"/>
        </w:rPr>
        <w:t>8,696 </w:t>
      </w:r>
      <w:r>
        <w:rPr>
          <w:spacing w:val="-4"/>
        </w:rPr>
        <w:t>万股，占公司目前总股本约 </w:t>
      </w:r>
      <w:r>
        <w:rPr>
          <w:rFonts w:ascii="Times New Roman" w:eastAsia="Times New Roman"/>
          <w:spacing w:val="-5"/>
        </w:rPr>
        <w:t>0.94%</w:t>
      </w:r>
      <w:r>
        <w:rPr>
          <w:spacing w:val="-3"/>
        </w:rPr>
        <w:t>，具体回购股份的数量</w:t>
      </w:r>
      <w:r>
        <w:rPr>
          <w:spacing w:val="-11"/>
        </w:rPr>
        <w:t>以回购期满时实际回购的股份数量为准。截至本财务报表批准报出日，公司已经回购 </w:t>
      </w:r>
      <w:r>
        <w:rPr>
          <w:rFonts w:ascii="Times New Roman" w:eastAsia="Times New Roman"/>
        </w:rPr>
        <w:t>271.58 </w:t>
      </w:r>
      <w:r>
        <w:rPr>
          <w:spacing w:val="-2"/>
        </w:rPr>
        <w:t>万股，</w:t>
      </w:r>
    </w:p>
    <w:p>
      <w:pPr>
        <w:pStyle w:val="BodyText"/>
        <w:spacing w:line="268" w:lineRule="exact"/>
        <w:ind w:left="1538"/>
        <w:jc w:val="both"/>
      </w:pPr>
      <w:r>
        <w:rPr/>
        <w:t>回购金额为 </w:t>
      </w:r>
      <w:r>
        <w:rPr>
          <w:rFonts w:ascii="Times New Roman" w:eastAsia="Times New Roman"/>
        </w:rPr>
        <w:t>8,063 </w:t>
      </w:r>
      <w:r>
        <w:rPr>
          <w:sz w:val="20"/>
        </w:rPr>
        <w:t>万</w:t>
      </w:r>
      <w:r>
        <w:rPr/>
        <w:t>元。</w:t>
      </w:r>
    </w:p>
    <w:p>
      <w:pPr>
        <w:pStyle w:val="BodyText"/>
        <w:spacing w:before="1"/>
        <w:rPr>
          <w:sz w:val="28"/>
        </w:rPr>
      </w:pPr>
    </w:p>
    <w:p>
      <w:pPr>
        <w:pStyle w:val="BodyText"/>
        <w:spacing w:line="348" w:lineRule="auto"/>
        <w:ind w:left="1538" w:right="1267" w:firstLine="419"/>
        <w:jc w:val="both"/>
      </w:pPr>
      <w:r>
        <w:rPr>
          <w:rFonts w:ascii="Times New Roman" w:eastAsia="Times New Roman"/>
        </w:rPr>
        <w:t>3</w:t>
      </w:r>
      <w:r>
        <w:rPr>
          <w:spacing w:val="-13"/>
        </w:rPr>
        <w:t>、截至 </w:t>
      </w:r>
      <w:r>
        <w:rPr>
          <w:rFonts w:ascii="Times New Roman" w:eastAsia="Times New Roman"/>
        </w:rPr>
        <w:t>2021 </w:t>
      </w:r>
      <w:r>
        <w:rPr>
          <w:spacing w:val="-21"/>
        </w:rPr>
        <w:t>年 </w:t>
      </w:r>
      <w:r>
        <w:rPr>
          <w:rFonts w:ascii="Times New Roman" w:eastAsia="Times New Roman"/>
        </w:rPr>
        <w:t>2 </w:t>
      </w:r>
      <w:r>
        <w:rPr>
          <w:spacing w:val="-22"/>
        </w:rPr>
        <w:t>月 </w:t>
      </w:r>
      <w:r>
        <w:rPr>
          <w:rFonts w:ascii="Times New Roman" w:eastAsia="Times New Roman"/>
        </w:rPr>
        <w:t>28 </w:t>
      </w:r>
      <w:r>
        <w:rPr>
          <w:spacing w:val="-8"/>
        </w:rPr>
        <w:t>日， 累计有 </w:t>
      </w:r>
      <w:r>
        <w:rPr>
          <w:rFonts w:ascii="Times New Roman" w:eastAsia="Times New Roman"/>
        </w:rPr>
        <w:t>4,842,000,000.00 </w:t>
      </w:r>
      <w:r>
        <w:rPr>
          <w:spacing w:val="-17"/>
        </w:rPr>
        <w:t>港元 </w:t>
      </w:r>
      <w:r>
        <w:rPr>
          <w:rFonts w:ascii="Times New Roman" w:eastAsia="Times New Roman"/>
        </w:rPr>
        <w:t>H </w:t>
      </w:r>
      <w:r>
        <w:rPr>
          <w:spacing w:val="-3"/>
        </w:rPr>
        <w:t>股可转债转换为公司股份，因</w:t>
      </w:r>
      <w:r>
        <w:rPr>
          <w:spacing w:val="-7"/>
        </w:rPr>
        <w:t>转股形成的股份数量为 </w:t>
      </w:r>
      <w:r>
        <w:rPr>
          <w:rFonts w:ascii="Times New Roman" w:eastAsia="Times New Roman"/>
        </w:rPr>
        <w:t>257,048,627 </w:t>
      </w:r>
      <w:r>
        <w:rPr>
          <w:spacing w:val="-26"/>
        </w:rPr>
        <w:t>股，占 </w:t>
      </w:r>
      <w:r>
        <w:rPr>
          <w:rFonts w:ascii="Times New Roman" w:eastAsia="Times New Roman"/>
        </w:rPr>
        <w:t>H </w:t>
      </w:r>
      <w:r>
        <w:rPr>
          <w:spacing w:val="-6"/>
        </w:rPr>
        <w:t>股可转债转股前公司已发行股份总额的 </w:t>
      </w:r>
      <w:r>
        <w:rPr>
          <w:rFonts w:ascii="Times New Roman" w:eastAsia="Times New Roman"/>
        </w:rPr>
        <w:t>2.85%</w:t>
      </w:r>
      <w:r>
        <w:rPr>
          <w:spacing w:val="-19"/>
        </w:rPr>
        <w:t>。截至</w:t>
      </w:r>
      <w:r>
        <w:rPr>
          <w:rFonts w:ascii="Times New Roman" w:eastAsia="Times New Roman"/>
          <w:spacing w:val="-19"/>
        </w:rPr>
        <w:t>2021 </w:t>
      </w:r>
      <w:r>
        <w:rPr>
          <w:spacing w:val="-21"/>
        </w:rPr>
        <w:t>年 </w:t>
      </w:r>
      <w:r>
        <w:rPr>
          <w:rFonts w:ascii="Times New Roman" w:eastAsia="Times New Roman"/>
        </w:rPr>
        <w:t>2 </w:t>
      </w:r>
      <w:r>
        <w:rPr>
          <w:spacing w:val="-21"/>
        </w:rPr>
        <w:t>月 </w:t>
      </w:r>
      <w:r>
        <w:rPr>
          <w:rFonts w:ascii="Times New Roman" w:eastAsia="Times New Roman"/>
        </w:rPr>
        <w:t>28 </w:t>
      </w:r>
      <w:r>
        <w:rPr>
          <w:spacing w:val="-9"/>
        </w:rPr>
        <w:t>日，尚未转股的 </w:t>
      </w:r>
      <w:r>
        <w:rPr>
          <w:rFonts w:ascii="Times New Roman" w:eastAsia="Times New Roman"/>
        </w:rPr>
        <w:t>H </w:t>
      </w:r>
      <w:r>
        <w:rPr>
          <w:spacing w:val="-9"/>
        </w:rPr>
        <w:t>股可转债金额为 </w:t>
      </w:r>
      <w:r>
        <w:rPr>
          <w:rFonts w:ascii="Times New Roman" w:eastAsia="Times New Roman"/>
        </w:rPr>
        <w:t>3,151,000,000.00 </w:t>
      </w:r>
      <w:r>
        <w:rPr>
          <w:spacing w:val="-12"/>
        </w:rPr>
        <w:t>港元，占 </w:t>
      </w:r>
      <w:r>
        <w:rPr>
          <w:rFonts w:ascii="Times New Roman" w:eastAsia="Times New Roman"/>
        </w:rPr>
        <w:t>H </w:t>
      </w:r>
      <w:r>
        <w:rPr>
          <w:spacing w:val="-3"/>
        </w:rPr>
        <w:t>股可转债发行总</w:t>
      </w:r>
      <w:r>
        <w:rPr>
          <w:spacing w:val="-12"/>
        </w:rPr>
        <w:t>量的比例为 </w:t>
      </w:r>
      <w:r>
        <w:rPr>
          <w:rFonts w:ascii="Times New Roman" w:eastAsia="Times New Roman"/>
        </w:rPr>
        <w:t>39.42%</w:t>
      </w:r>
      <w:r>
        <w:rPr/>
        <w:t>。</w:t>
      </w:r>
    </w:p>
    <w:p>
      <w:pPr>
        <w:pStyle w:val="BodyText"/>
        <w:spacing w:before="120"/>
        <w:ind w:left="1958"/>
      </w:pPr>
      <w:r>
        <w:rPr>
          <w:rFonts w:ascii="Times New Roman" w:eastAsia="Times New Roman"/>
        </w:rPr>
        <w:t>4</w:t>
      </w:r>
      <w:r>
        <w:rPr/>
        <w:t>、本公司无需要披露的其他重要资产负债表日后事项。 </w:t>
      </w:r>
    </w:p>
    <w:p>
      <w:pPr>
        <w:pStyle w:val="BodyText"/>
        <w:spacing w:before="3"/>
        <w:rPr>
          <w:sz w:val="29"/>
        </w:rPr>
      </w:pPr>
    </w:p>
    <w:p>
      <w:pPr>
        <w:pStyle w:val="Heading4"/>
      </w:pPr>
      <w:r>
        <w:rPr/>
        <w:t>十六、 与金融工具相关的风险</w:t>
      </w:r>
    </w:p>
    <w:p>
      <w:pPr>
        <w:pStyle w:val="BodyText"/>
        <w:spacing w:before="14"/>
        <w:ind w:left="1962"/>
      </w:pPr>
      <w:r>
        <w:rPr/>
        <w:t>√适用 □不适用</w:t>
      </w:r>
    </w:p>
    <w:p>
      <w:pPr>
        <w:pStyle w:val="BodyText"/>
        <w:spacing w:before="10"/>
        <w:rPr>
          <w:sz w:val="17"/>
        </w:rPr>
      </w:pPr>
    </w:p>
    <w:p>
      <w:pPr>
        <w:pStyle w:val="Heading4"/>
        <w:spacing w:line="372" w:lineRule="auto"/>
        <w:ind w:left="1898" w:right="5318"/>
      </w:pPr>
      <w:r>
        <w:rPr/>
        <w:pict>
          <v:shape style="position:absolute;margin-left:83.783997pt;margin-top:54.765812pt;width:454.65pt;height:244.15pt;mso-position-horizontal-relative:page;mso-position-vertical-relative:paragraph;z-index:251672576"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182"/>
                    <w:gridCol w:w="1841"/>
                    <w:gridCol w:w="1664"/>
                    <w:gridCol w:w="1686"/>
                    <w:gridCol w:w="1678"/>
                  </w:tblGrid>
                  <w:tr>
                    <w:trPr>
                      <w:trHeight w:val="323" w:hRule="atLeast"/>
                    </w:trPr>
                    <w:tc>
                      <w:tcPr>
                        <w:tcW w:w="2182" w:type="dxa"/>
                        <w:vMerge w:val="restart"/>
                        <w:tcBorders>
                          <w:bottom w:val="single" w:sz="4" w:space="0" w:color="000000"/>
                          <w:right w:val="single" w:sz="4" w:space="0" w:color="000000"/>
                        </w:tcBorders>
                      </w:tcPr>
                      <w:p>
                        <w:pPr>
                          <w:pStyle w:val="TableParagraph"/>
                          <w:spacing w:before="9"/>
                          <w:rPr>
                            <w:rFonts w:ascii="Microsoft JhengHei"/>
                            <w:b/>
                            <w:sz w:val="18"/>
                          </w:rPr>
                        </w:pPr>
                      </w:p>
                      <w:p>
                        <w:pPr>
                          <w:pStyle w:val="TableParagraph"/>
                          <w:ind w:left="858" w:right="838"/>
                          <w:jc w:val="center"/>
                          <w:rPr>
                            <w:rFonts w:ascii="Microsoft JhengHei" w:eastAsia="Microsoft JhengHei" w:hint="eastAsia"/>
                            <w:b/>
                            <w:sz w:val="18"/>
                          </w:rPr>
                        </w:pPr>
                        <w:r>
                          <w:rPr>
                            <w:rFonts w:ascii="Microsoft JhengHei" w:eastAsia="Microsoft JhengHei" w:hint="eastAsia"/>
                            <w:b/>
                            <w:sz w:val="18"/>
                          </w:rPr>
                          <w:t>项目</w:t>
                        </w:r>
                      </w:p>
                    </w:tc>
                    <w:tc>
                      <w:tcPr>
                        <w:tcW w:w="6869" w:type="dxa"/>
                        <w:gridSpan w:val="4"/>
                        <w:tcBorders>
                          <w:left w:val="single" w:sz="4" w:space="0" w:color="000000"/>
                          <w:bottom w:val="single" w:sz="4" w:space="0" w:color="000000"/>
                        </w:tcBorders>
                      </w:tcPr>
                      <w:p>
                        <w:pPr>
                          <w:pStyle w:val="TableParagraph"/>
                          <w:spacing w:line="271" w:lineRule="exact"/>
                          <w:ind w:left="3063" w:right="3026"/>
                          <w:jc w:val="center"/>
                          <w:rPr>
                            <w:rFonts w:ascii="Microsoft JhengHei" w:eastAsia="Microsoft JhengHei" w:hint="eastAsia"/>
                            <w:b/>
                            <w:sz w:val="18"/>
                          </w:rPr>
                        </w:pPr>
                        <w:r>
                          <w:rPr>
                            <w:rFonts w:ascii="Microsoft JhengHei" w:eastAsia="Microsoft JhengHei" w:hint="eastAsia"/>
                            <w:b/>
                            <w:sz w:val="18"/>
                          </w:rPr>
                          <w:t>期末余额</w:t>
                        </w:r>
                      </w:p>
                    </w:tc>
                  </w:tr>
                  <w:tr>
                    <w:trPr>
                      <w:trHeight w:val="700" w:hRule="atLeast"/>
                    </w:trPr>
                    <w:tc>
                      <w:tcPr>
                        <w:tcW w:w="2182" w:type="dxa"/>
                        <w:vMerge/>
                        <w:tcBorders>
                          <w:top w:val="nil"/>
                          <w:bottom w:val="single" w:sz="4" w:space="0" w:color="000000"/>
                          <w:right w:val="single" w:sz="4" w:space="0" w:color="000000"/>
                        </w:tcBorders>
                      </w:tcPr>
                      <w:p>
                        <w:pPr>
                          <w:rPr>
                            <w:sz w:val="2"/>
                            <w:szCs w:val="2"/>
                          </w:rPr>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68" w:lineRule="auto" w:before="12"/>
                          <w:ind w:left="206" w:right="178"/>
                          <w:jc w:val="center"/>
                          <w:rPr>
                            <w:rFonts w:ascii="Microsoft JhengHei" w:eastAsia="Microsoft JhengHei" w:hint="eastAsia"/>
                            <w:b/>
                            <w:sz w:val="18"/>
                          </w:rPr>
                        </w:pPr>
                        <w:r>
                          <w:rPr>
                            <w:rFonts w:ascii="Microsoft JhengHei" w:eastAsia="Microsoft JhengHei" w:hint="eastAsia"/>
                            <w:b/>
                            <w:sz w:val="18"/>
                          </w:rPr>
                          <w:t>以公允价值计量且其变动计入当期损</w:t>
                        </w:r>
                      </w:p>
                      <w:p>
                        <w:pPr>
                          <w:pStyle w:val="TableParagraph"/>
                          <w:spacing w:line="205" w:lineRule="exact"/>
                          <w:ind w:left="203" w:right="178"/>
                          <w:jc w:val="center"/>
                          <w:rPr>
                            <w:rFonts w:ascii="Microsoft JhengHei" w:eastAsia="Microsoft JhengHei" w:hint="eastAsia"/>
                            <w:b/>
                            <w:sz w:val="18"/>
                          </w:rPr>
                        </w:pPr>
                        <w:r>
                          <w:rPr>
                            <w:rFonts w:ascii="Microsoft JhengHei" w:eastAsia="Microsoft JhengHei" w:hint="eastAsia"/>
                            <w:b/>
                            <w:sz w:val="18"/>
                          </w:rPr>
                          <w:t>益的金融资产</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before="7"/>
                          <w:rPr>
                            <w:rFonts w:ascii="Microsoft JhengHei"/>
                            <w:b/>
                            <w:sz w:val="9"/>
                          </w:rPr>
                        </w:pPr>
                      </w:p>
                      <w:p>
                        <w:pPr>
                          <w:pStyle w:val="TableParagraph"/>
                          <w:ind w:left="208"/>
                          <w:rPr>
                            <w:rFonts w:ascii="Microsoft JhengHei" w:eastAsia="Microsoft JhengHei" w:hint="eastAsia"/>
                            <w:b/>
                            <w:sz w:val="18"/>
                          </w:rPr>
                        </w:pPr>
                        <w:r>
                          <w:rPr>
                            <w:rFonts w:ascii="Microsoft JhengHei" w:eastAsia="Microsoft JhengHei" w:hint="eastAsia"/>
                            <w:b/>
                            <w:sz w:val="18"/>
                          </w:rPr>
                          <w:t>以摊余成本计量</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168" w:lineRule="auto" w:before="12"/>
                          <w:ind w:left="128" w:right="100"/>
                          <w:rPr>
                            <w:rFonts w:ascii="Microsoft JhengHei" w:eastAsia="Microsoft JhengHei" w:hint="eastAsia"/>
                            <w:b/>
                            <w:sz w:val="18"/>
                          </w:rPr>
                        </w:pPr>
                        <w:r>
                          <w:rPr>
                            <w:rFonts w:ascii="Microsoft JhengHei" w:eastAsia="Microsoft JhengHei" w:hint="eastAsia"/>
                            <w:b/>
                            <w:spacing w:val="-2"/>
                            <w:sz w:val="18"/>
                          </w:rPr>
                          <w:t>以公允价值计量且其变动计入其他综</w:t>
                        </w:r>
                      </w:p>
                      <w:p>
                        <w:pPr>
                          <w:pStyle w:val="TableParagraph"/>
                          <w:spacing w:line="205" w:lineRule="exact"/>
                          <w:ind w:left="128"/>
                          <w:rPr>
                            <w:rFonts w:ascii="Microsoft JhengHei" w:eastAsia="Microsoft JhengHei" w:hint="eastAsia"/>
                            <w:b/>
                            <w:sz w:val="18"/>
                          </w:rPr>
                        </w:pPr>
                        <w:r>
                          <w:rPr>
                            <w:rFonts w:ascii="Microsoft JhengHei" w:eastAsia="Microsoft JhengHei" w:hint="eastAsia"/>
                            <w:b/>
                            <w:sz w:val="18"/>
                          </w:rPr>
                          <w:t>合收益的金融资产</w:t>
                        </w:r>
                      </w:p>
                    </w:tc>
                    <w:tc>
                      <w:tcPr>
                        <w:tcW w:w="1678" w:type="dxa"/>
                        <w:tcBorders>
                          <w:top w:val="single" w:sz="4" w:space="0" w:color="000000"/>
                          <w:left w:val="single" w:sz="4" w:space="0" w:color="000000"/>
                          <w:bottom w:val="single" w:sz="4" w:space="0" w:color="000000"/>
                        </w:tcBorders>
                      </w:tcPr>
                      <w:p>
                        <w:pPr>
                          <w:pStyle w:val="TableParagraph"/>
                          <w:spacing w:before="7"/>
                          <w:rPr>
                            <w:rFonts w:ascii="Microsoft JhengHei"/>
                            <w:b/>
                            <w:sz w:val="9"/>
                          </w:rPr>
                        </w:pPr>
                      </w:p>
                      <w:p>
                        <w:pPr>
                          <w:pStyle w:val="TableParagraph"/>
                          <w:ind w:left="99" w:right="61"/>
                          <w:jc w:val="center"/>
                          <w:rPr>
                            <w:rFonts w:ascii="Microsoft JhengHei" w:eastAsia="Microsoft JhengHei" w:hint="eastAsia"/>
                            <w:b/>
                            <w:sz w:val="18"/>
                          </w:rPr>
                        </w:pPr>
                        <w:r>
                          <w:rPr>
                            <w:rFonts w:ascii="Microsoft JhengHei" w:eastAsia="Microsoft JhengHei" w:hint="eastAsia"/>
                            <w:b/>
                            <w:sz w:val="18"/>
                          </w:rPr>
                          <w:t>合计</w:t>
                        </w:r>
                      </w:p>
                    </w:tc>
                  </w:tr>
                  <w:tr>
                    <w:trPr>
                      <w:trHeight w:val="369" w:hRule="atLeast"/>
                    </w:trPr>
                    <w:tc>
                      <w:tcPr>
                        <w:tcW w:w="2182"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货币资金</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before="76"/>
                          <w:ind w:right="87"/>
                          <w:jc w:val="right"/>
                          <w:rPr>
                            <w:sz w:val="18"/>
                          </w:rPr>
                        </w:pPr>
                        <w:r>
                          <w:rPr>
                            <w:sz w:val="18"/>
                          </w:rPr>
                          <w:t>46,461,329,426.91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678" w:type="dxa"/>
                        <w:tcBorders>
                          <w:top w:val="single" w:sz="4" w:space="0" w:color="000000"/>
                          <w:left w:val="single" w:sz="4" w:space="0" w:color="000000"/>
                          <w:bottom w:val="single" w:sz="4" w:space="0" w:color="000000"/>
                        </w:tcBorders>
                      </w:tcPr>
                      <w:p>
                        <w:pPr>
                          <w:pStyle w:val="TableParagraph"/>
                          <w:spacing w:before="76"/>
                          <w:ind w:right="78"/>
                          <w:jc w:val="right"/>
                          <w:rPr>
                            <w:sz w:val="18"/>
                          </w:rPr>
                        </w:pPr>
                        <w:r>
                          <w:rPr>
                            <w:sz w:val="18"/>
                          </w:rPr>
                          <w:t>46,461,329,426.91</w:t>
                        </w:r>
                      </w:p>
                    </w:tc>
                  </w:tr>
                  <w:tr>
                    <w:trPr>
                      <w:trHeight w:val="369" w:hRule="atLeast"/>
                    </w:trPr>
                    <w:tc>
                      <w:tcPr>
                        <w:tcW w:w="2182"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交易性金融资产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before="76"/>
                          <w:ind w:right="87"/>
                          <w:jc w:val="right"/>
                          <w:rPr>
                            <w:sz w:val="18"/>
                          </w:rPr>
                        </w:pPr>
                        <w:r>
                          <w:rPr>
                            <w:sz w:val="18"/>
                          </w:rPr>
                          <w:t>2,165,192,497.83</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678" w:type="dxa"/>
                        <w:tcBorders>
                          <w:top w:val="single" w:sz="4" w:space="0" w:color="000000"/>
                          <w:left w:val="single" w:sz="4" w:space="0" w:color="000000"/>
                          <w:bottom w:val="single" w:sz="4" w:space="0" w:color="000000"/>
                        </w:tcBorders>
                      </w:tcPr>
                      <w:p>
                        <w:pPr>
                          <w:pStyle w:val="TableParagraph"/>
                          <w:spacing w:before="76"/>
                          <w:ind w:right="78"/>
                          <w:jc w:val="right"/>
                          <w:rPr>
                            <w:sz w:val="18"/>
                          </w:rPr>
                        </w:pPr>
                        <w:r>
                          <w:rPr>
                            <w:sz w:val="18"/>
                          </w:rPr>
                          <w:t>2,165,192,497.83</w:t>
                        </w:r>
                      </w:p>
                    </w:tc>
                  </w:tr>
                  <w:tr>
                    <w:trPr>
                      <w:trHeight w:val="369" w:hRule="atLeast"/>
                    </w:trPr>
                    <w:tc>
                      <w:tcPr>
                        <w:tcW w:w="2182"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衍生金融资产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before="76"/>
                          <w:ind w:right="88"/>
                          <w:jc w:val="right"/>
                          <w:rPr>
                            <w:sz w:val="18"/>
                          </w:rPr>
                        </w:pPr>
                        <w:r>
                          <w:rPr>
                            <w:sz w:val="18"/>
                          </w:rPr>
                          <w:t>77,839,006.63</w:t>
                        </w:r>
                      </w:p>
                    </w:tc>
                    <w:tc>
                      <w:tcPr>
                        <w:tcW w:w="1678" w:type="dxa"/>
                        <w:tcBorders>
                          <w:top w:val="single" w:sz="4" w:space="0" w:color="000000"/>
                          <w:left w:val="single" w:sz="4" w:space="0" w:color="000000"/>
                          <w:bottom w:val="single" w:sz="4" w:space="0" w:color="000000"/>
                        </w:tcBorders>
                      </w:tcPr>
                      <w:p>
                        <w:pPr>
                          <w:pStyle w:val="TableParagraph"/>
                          <w:spacing w:before="76"/>
                          <w:ind w:right="78"/>
                          <w:jc w:val="right"/>
                          <w:rPr>
                            <w:sz w:val="18"/>
                          </w:rPr>
                        </w:pPr>
                        <w:r>
                          <w:rPr>
                            <w:sz w:val="18"/>
                          </w:rPr>
                          <w:t>77,839,006.63</w:t>
                        </w:r>
                      </w:p>
                    </w:tc>
                  </w:tr>
                  <w:tr>
                    <w:trPr>
                      <w:trHeight w:val="369" w:hRule="atLeast"/>
                    </w:trPr>
                    <w:tc>
                      <w:tcPr>
                        <w:tcW w:w="2182"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应收票据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before="76"/>
                          <w:ind w:right="87"/>
                          <w:jc w:val="right"/>
                          <w:rPr>
                            <w:sz w:val="18"/>
                          </w:rPr>
                        </w:pPr>
                        <w:r>
                          <w:rPr>
                            <w:sz w:val="18"/>
                          </w:rPr>
                          <w:t>14,136,349,754.34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678" w:type="dxa"/>
                        <w:tcBorders>
                          <w:top w:val="single" w:sz="4" w:space="0" w:color="000000"/>
                          <w:left w:val="single" w:sz="4" w:space="0" w:color="000000"/>
                          <w:bottom w:val="single" w:sz="4" w:space="0" w:color="000000"/>
                        </w:tcBorders>
                      </w:tcPr>
                      <w:p>
                        <w:pPr>
                          <w:pStyle w:val="TableParagraph"/>
                          <w:spacing w:before="76"/>
                          <w:ind w:right="78"/>
                          <w:jc w:val="right"/>
                          <w:rPr>
                            <w:sz w:val="18"/>
                          </w:rPr>
                        </w:pPr>
                        <w:r>
                          <w:rPr>
                            <w:sz w:val="18"/>
                          </w:rPr>
                          <w:t>14,136,349,754.34</w:t>
                        </w:r>
                      </w:p>
                    </w:tc>
                  </w:tr>
                  <w:tr>
                    <w:trPr>
                      <w:trHeight w:val="369" w:hRule="atLeast"/>
                    </w:trPr>
                    <w:tc>
                      <w:tcPr>
                        <w:tcW w:w="2182"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应收账款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before="76"/>
                          <w:ind w:right="87"/>
                          <w:jc w:val="right"/>
                          <w:rPr>
                            <w:sz w:val="18"/>
                          </w:rPr>
                        </w:pPr>
                        <w:r>
                          <w:rPr>
                            <w:sz w:val="18"/>
                          </w:rPr>
                          <w:t>15,930,024,286.67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678" w:type="dxa"/>
                        <w:tcBorders>
                          <w:top w:val="single" w:sz="4" w:space="0" w:color="000000"/>
                          <w:left w:val="single" w:sz="4" w:space="0" w:color="000000"/>
                          <w:bottom w:val="single" w:sz="4" w:space="0" w:color="000000"/>
                        </w:tcBorders>
                      </w:tcPr>
                      <w:p>
                        <w:pPr>
                          <w:pStyle w:val="TableParagraph"/>
                          <w:spacing w:before="76"/>
                          <w:ind w:right="78"/>
                          <w:jc w:val="right"/>
                          <w:rPr>
                            <w:sz w:val="18"/>
                          </w:rPr>
                        </w:pPr>
                        <w:r>
                          <w:rPr>
                            <w:sz w:val="18"/>
                          </w:rPr>
                          <w:t>15,930,024,286.67</w:t>
                        </w:r>
                      </w:p>
                    </w:tc>
                  </w:tr>
                  <w:tr>
                    <w:trPr>
                      <w:trHeight w:val="369" w:hRule="atLeast"/>
                    </w:trPr>
                    <w:tc>
                      <w:tcPr>
                        <w:tcW w:w="2182"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其他应收款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before="76"/>
                          <w:ind w:right="87"/>
                          <w:jc w:val="right"/>
                          <w:rPr>
                            <w:sz w:val="18"/>
                          </w:rPr>
                        </w:pPr>
                        <w:r>
                          <w:rPr>
                            <w:sz w:val="18"/>
                          </w:rPr>
                          <w:t>1,717,152,945.65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678" w:type="dxa"/>
                        <w:tcBorders>
                          <w:top w:val="single" w:sz="4" w:space="0" w:color="000000"/>
                          <w:left w:val="single" w:sz="4" w:space="0" w:color="000000"/>
                          <w:bottom w:val="single" w:sz="4" w:space="0" w:color="000000"/>
                        </w:tcBorders>
                      </w:tcPr>
                      <w:p>
                        <w:pPr>
                          <w:pStyle w:val="TableParagraph"/>
                          <w:spacing w:before="76"/>
                          <w:ind w:right="78"/>
                          <w:jc w:val="right"/>
                          <w:rPr>
                            <w:sz w:val="18"/>
                          </w:rPr>
                        </w:pPr>
                        <w:r>
                          <w:rPr>
                            <w:sz w:val="18"/>
                          </w:rPr>
                          <w:t>1,717,152,945.65</w:t>
                        </w:r>
                      </w:p>
                    </w:tc>
                  </w:tr>
                  <w:tr>
                    <w:trPr>
                      <w:trHeight w:val="366" w:hRule="atLeast"/>
                    </w:trPr>
                    <w:tc>
                      <w:tcPr>
                        <w:tcW w:w="2182"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其他流动资产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before="74"/>
                          <w:ind w:right="87"/>
                          <w:jc w:val="right"/>
                          <w:rPr>
                            <w:sz w:val="18"/>
                          </w:rPr>
                        </w:pPr>
                        <w:r>
                          <w:rPr>
                            <w:sz w:val="18"/>
                          </w:rPr>
                          <w:t>554,131,037.76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678" w:type="dxa"/>
                        <w:tcBorders>
                          <w:top w:val="single" w:sz="4" w:space="0" w:color="000000"/>
                          <w:left w:val="single" w:sz="4" w:space="0" w:color="000000"/>
                          <w:bottom w:val="single" w:sz="4" w:space="0" w:color="000000"/>
                        </w:tcBorders>
                      </w:tcPr>
                      <w:p>
                        <w:pPr>
                          <w:pStyle w:val="TableParagraph"/>
                          <w:spacing w:before="74"/>
                          <w:ind w:right="78"/>
                          <w:jc w:val="right"/>
                          <w:rPr>
                            <w:sz w:val="18"/>
                          </w:rPr>
                        </w:pPr>
                        <w:r>
                          <w:rPr>
                            <w:sz w:val="18"/>
                          </w:rPr>
                          <w:t>554,131,037.76</w:t>
                        </w:r>
                      </w:p>
                    </w:tc>
                  </w:tr>
                  <w:tr>
                    <w:trPr>
                      <w:trHeight w:val="369" w:hRule="atLeast"/>
                    </w:trPr>
                    <w:tc>
                      <w:tcPr>
                        <w:tcW w:w="2182"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长期应收款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before="76"/>
                          <w:ind w:right="87"/>
                          <w:jc w:val="right"/>
                          <w:rPr>
                            <w:sz w:val="18"/>
                          </w:rPr>
                        </w:pPr>
                        <w:r>
                          <w:rPr>
                            <w:sz w:val="18"/>
                          </w:rPr>
                          <w:t>330,588,978.97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678" w:type="dxa"/>
                        <w:tcBorders>
                          <w:top w:val="single" w:sz="4" w:space="0" w:color="000000"/>
                          <w:left w:val="single" w:sz="4" w:space="0" w:color="000000"/>
                          <w:bottom w:val="single" w:sz="4" w:space="0" w:color="000000"/>
                        </w:tcBorders>
                      </w:tcPr>
                      <w:p>
                        <w:pPr>
                          <w:pStyle w:val="TableParagraph"/>
                          <w:spacing w:before="76"/>
                          <w:ind w:right="78"/>
                          <w:jc w:val="right"/>
                          <w:rPr>
                            <w:sz w:val="18"/>
                          </w:rPr>
                        </w:pPr>
                        <w:r>
                          <w:rPr>
                            <w:sz w:val="18"/>
                          </w:rPr>
                          <w:t>330,588,978.97</w:t>
                        </w:r>
                      </w:p>
                    </w:tc>
                  </w:tr>
                  <w:tr>
                    <w:trPr>
                      <w:trHeight w:val="369" w:hRule="atLeast"/>
                    </w:trPr>
                    <w:tc>
                      <w:tcPr>
                        <w:tcW w:w="2182"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其他权益工具</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before="76"/>
                          <w:ind w:right="88"/>
                          <w:jc w:val="right"/>
                          <w:rPr>
                            <w:sz w:val="18"/>
                          </w:rPr>
                        </w:pPr>
                        <w:r>
                          <w:rPr>
                            <w:sz w:val="18"/>
                          </w:rPr>
                          <w:t>2,659,125,265.54</w:t>
                        </w:r>
                      </w:p>
                    </w:tc>
                    <w:tc>
                      <w:tcPr>
                        <w:tcW w:w="1678" w:type="dxa"/>
                        <w:tcBorders>
                          <w:top w:val="single" w:sz="4" w:space="0" w:color="000000"/>
                          <w:left w:val="single" w:sz="4" w:space="0" w:color="000000"/>
                          <w:bottom w:val="single" w:sz="4" w:space="0" w:color="000000"/>
                        </w:tcBorders>
                      </w:tcPr>
                      <w:p>
                        <w:pPr>
                          <w:pStyle w:val="TableParagraph"/>
                          <w:spacing w:before="76"/>
                          <w:ind w:right="78"/>
                          <w:jc w:val="right"/>
                          <w:rPr>
                            <w:sz w:val="18"/>
                          </w:rPr>
                        </w:pPr>
                        <w:r>
                          <w:rPr>
                            <w:sz w:val="18"/>
                          </w:rPr>
                          <w:t>2,659,125,265.54</w:t>
                        </w:r>
                      </w:p>
                    </w:tc>
                  </w:tr>
                  <w:tr>
                    <w:trPr>
                      <w:trHeight w:val="368" w:hRule="atLeast"/>
                    </w:trPr>
                    <w:tc>
                      <w:tcPr>
                        <w:tcW w:w="2182" w:type="dxa"/>
                        <w:tcBorders>
                          <w:top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其他非流动资产</w:t>
                        </w:r>
                      </w:p>
                    </w:tc>
                    <w:tc>
                      <w:tcPr>
                        <w:tcW w:w="1841" w:type="dxa"/>
                        <w:tcBorders>
                          <w:top w:val="single" w:sz="4" w:space="0" w:color="000000"/>
                          <w:left w:val="single" w:sz="4" w:space="0" w:color="000000"/>
                          <w:right w:val="single" w:sz="4" w:space="0" w:color="000000"/>
                        </w:tcBorders>
                      </w:tcPr>
                      <w:p>
                        <w:pPr>
                          <w:pStyle w:val="TableParagraph"/>
                          <w:spacing w:before="76"/>
                          <w:ind w:right="86"/>
                          <w:jc w:val="right"/>
                          <w:rPr>
                            <w:sz w:val="18"/>
                          </w:rPr>
                        </w:pPr>
                        <w:r>
                          <w:rPr>
                            <w:sz w:val="18"/>
                          </w:rPr>
                          <w:t>46,832,494.61</w:t>
                        </w:r>
                      </w:p>
                    </w:tc>
                    <w:tc>
                      <w:tcPr>
                        <w:tcW w:w="1664" w:type="dxa"/>
                        <w:tcBorders>
                          <w:top w:val="single" w:sz="4" w:space="0" w:color="000000"/>
                          <w:left w:val="single" w:sz="4" w:space="0" w:color="000000"/>
                          <w:right w:val="single" w:sz="4" w:space="0" w:color="000000"/>
                        </w:tcBorders>
                      </w:tcPr>
                      <w:p>
                        <w:pPr>
                          <w:pStyle w:val="TableParagraph"/>
                          <w:rPr>
                            <w:sz w:val="18"/>
                          </w:rPr>
                        </w:pPr>
                      </w:p>
                    </w:tc>
                    <w:tc>
                      <w:tcPr>
                        <w:tcW w:w="1686" w:type="dxa"/>
                        <w:tcBorders>
                          <w:top w:val="single" w:sz="4" w:space="0" w:color="000000"/>
                          <w:left w:val="single" w:sz="4" w:space="0" w:color="000000"/>
                          <w:right w:val="single" w:sz="4" w:space="0" w:color="000000"/>
                        </w:tcBorders>
                      </w:tcPr>
                      <w:p>
                        <w:pPr>
                          <w:pStyle w:val="TableParagraph"/>
                          <w:rPr>
                            <w:sz w:val="18"/>
                          </w:rPr>
                        </w:pPr>
                      </w:p>
                    </w:tc>
                    <w:tc>
                      <w:tcPr>
                        <w:tcW w:w="1678" w:type="dxa"/>
                        <w:tcBorders>
                          <w:top w:val="single" w:sz="4" w:space="0" w:color="000000"/>
                          <w:left w:val="single" w:sz="4" w:space="0" w:color="000000"/>
                        </w:tcBorders>
                      </w:tcPr>
                      <w:p>
                        <w:pPr>
                          <w:pStyle w:val="TableParagraph"/>
                          <w:spacing w:before="76"/>
                          <w:ind w:right="78"/>
                          <w:jc w:val="right"/>
                          <w:rPr>
                            <w:sz w:val="18"/>
                          </w:rPr>
                        </w:pPr>
                        <w:r>
                          <w:rPr>
                            <w:sz w:val="18"/>
                          </w:rPr>
                          <w:t>46,832,494.61</w:t>
                        </w:r>
                      </w:p>
                    </w:tc>
                  </w:tr>
                </w:tbl>
                <w:p>
                  <w:pPr>
                    <w:pStyle w:val="BodyText"/>
                  </w:pPr>
                </w:p>
              </w:txbxContent>
            </v:textbox>
            <w10:wrap type="none"/>
          </v:shape>
        </w:pict>
      </w:r>
      <w:r>
        <w:rPr/>
        <w:t>资产负债表日的各类金融工具的账面价值如下： 金融资产</w:t>
      </w: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spacing w:before="6"/>
        <w:rPr>
          <w:rFonts w:ascii="Microsoft JhengHei"/>
          <w:b/>
          <w:sz w:val="12"/>
        </w:rPr>
      </w:pPr>
    </w:p>
    <w:p>
      <w:pPr>
        <w:pStyle w:val="Heading4"/>
        <w:spacing w:before="1"/>
      </w:pPr>
      <w:r>
        <w:rPr/>
        <w:t>金融资产（续）</w:t>
      </w:r>
    </w:p>
    <w:p>
      <w:pPr>
        <w:pStyle w:val="BodyText"/>
        <w:spacing w:before="17"/>
        <w:rPr>
          <w:rFonts w:ascii="Microsoft JhengHei"/>
          <w:b/>
          <w:sz w:val="5"/>
        </w:r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182"/>
        <w:gridCol w:w="1841"/>
        <w:gridCol w:w="1664"/>
        <w:gridCol w:w="1686"/>
        <w:gridCol w:w="1678"/>
      </w:tblGrid>
      <w:tr>
        <w:trPr>
          <w:trHeight w:val="323" w:hRule="atLeast"/>
        </w:trPr>
        <w:tc>
          <w:tcPr>
            <w:tcW w:w="2182" w:type="dxa"/>
            <w:vMerge w:val="restart"/>
            <w:tcBorders>
              <w:bottom w:val="single" w:sz="4" w:space="0" w:color="000000"/>
              <w:right w:val="single" w:sz="4" w:space="0" w:color="000000"/>
            </w:tcBorders>
          </w:tcPr>
          <w:p>
            <w:pPr>
              <w:pStyle w:val="TableParagraph"/>
              <w:spacing w:before="9"/>
              <w:rPr>
                <w:rFonts w:ascii="Microsoft JhengHei"/>
                <w:b/>
                <w:sz w:val="18"/>
              </w:rPr>
            </w:pPr>
          </w:p>
          <w:p>
            <w:pPr>
              <w:pStyle w:val="TableParagraph"/>
              <w:ind w:left="858" w:right="838"/>
              <w:jc w:val="center"/>
              <w:rPr>
                <w:rFonts w:ascii="Microsoft JhengHei" w:eastAsia="Microsoft JhengHei" w:hint="eastAsia"/>
                <w:b/>
                <w:sz w:val="18"/>
              </w:rPr>
            </w:pPr>
            <w:r>
              <w:rPr>
                <w:rFonts w:ascii="Microsoft JhengHei" w:eastAsia="Microsoft JhengHei" w:hint="eastAsia"/>
                <w:b/>
                <w:sz w:val="18"/>
              </w:rPr>
              <w:t>项目</w:t>
            </w:r>
          </w:p>
        </w:tc>
        <w:tc>
          <w:tcPr>
            <w:tcW w:w="6869" w:type="dxa"/>
            <w:gridSpan w:val="4"/>
            <w:tcBorders>
              <w:left w:val="single" w:sz="4" w:space="0" w:color="000000"/>
              <w:bottom w:val="single" w:sz="4" w:space="0" w:color="000000"/>
            </w:tcBorders>
          </w:tcPr>
          <w:p>
            <w:pPr>
              <w:pStyle w:val="TableParagraph"/>
              <w:spacing w:line="271" w:lineRule="exact"/>
              <w:ind w:left="3063" w:right="3026"/>
              <w:jc w:val="center"/>
              <w:rPr>
                <w:rFonts w:ascii="Microsoft JhengHei" w:eastAsia="Microsoft JhengHei" w:hint="eastAsia"/>
                <w:b/>
                <w:sz w:val="18"/>
              </w:rPr>
            </w:pPr>
            <w:r>
              <w:rPr>
                <w:rFonts w:ascii="Microsoft JhengHei" w:eastAsia="Microsoft JhengHei" w:hint="eastAsia"/>
                <w:b/>
                <w:sz w:val="18"/>
              </w:rPr>
              <w:t>期初余额</w:t>
            </w:r>
          </w:p>
        </w:tc>
      </w:tr>
      <w:tr>
        <w:trPr>
          <w:trHeight w:val="700" w:hRule="atLeast"/>
        </w:trPr>
        <w:tc>
          <w:tcPr>
            <w:tcW w:w="2182" w:type="dxa"/>
            <w:vMerge/>
            <w:tcBorders>
              <w:top w:val="nil"/>
              <w:bottom w:val="single" w:sz="4" w:space="0" w:color="000000"/>
              <w:right w:val="single" w:sz="4" w:space="0" w:color="000000"/>
            </w:tcBorders>
          </w:tcPr>
          <w:p>
            <w:pPr>
              <w:rPr>
                <w:sz w:val="2"/>
                <w:szCs w:val="2"/>
              </w:rPr>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170" w:lineRule="auto" w:before="10"/>
              <w:ind w:left="206" w:right="178"/>
              <w:jc w:val="center"/>
              <w:rPr>
                <w:rFonts w:ascii="Microsoft JhengHei" w:eastAsia="Microsoft JhengHei" w:hint="eastAsia"/>
                <w:b/>
                <w:sz w:val="18"/>
              </w:rPr>
            </w:pPr>
            <w:r>
              <w:rPr>
                <w:rFonts w:ascii="Microsoft JhengHei" w:eastAsia="Microsoft JhengHei" w:hint="eastAsia"/>
                <w:b/>
                <w:sz w:val="18"/>
              </w:rPr>
              <w:t>以公允价值计量且其变动计入当期损</w:t>
            </w:r>
          </w:p>
          <w:p>
            <w:pPr>
              <w:pStyle w:val="TableParagraph"/>
              <w:spacing w:line="201" w:lineRule="exact"/>
              <w:ind w:left="203" w:right="178"/>
              <w:jc w:val="center"/>
              <w:rPr>
                <w:rFonts w:ascii="Microsoft JhengHei" w:eastAsia="Microsoft JhengHei" w:hint="eastAsia"/>
                <w:b/>
                <w:sz w:val="18"/>
              </w:rPr>
            </w:pPr>
            <w:r>
              <w:rPr>
                <w:rFonts w:ascii="Microsoft JhengHei" w:eastAsia="Microsoft JhengHei" w:hint="eastAsia"/>
                <w:b/>
                <w:sz w:val="18"/>
              </w:rPr>
              <w:t>益的金融资产</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before="10"/>
              <w:rPr>
                <w:rFonts w:ascii="Microsoft JhengHei"/>
                <w:b/>
                <w:sz w:val="9"/>
              </w:rPr>
            </w:pPr>
          </w:p>
          <w:p>
            <w:pPr>
              <w:pStyle w:val="TableParagraph"/>
              <w:ind w:left="208"/>
              <w:rPr>
                <w:rFonts w:ascii="Microsoft JhengHei" w:eastAsia="Microsoft JhengHei" w:hint="eastAsia"/>
                <w:b/>
                <w:sz w:val="18"/>
              </w:rPr>
            </w:pPr>
            <w:r>
              <w:rPr>
                <w:rFonts w:ascii="Microsoft JhengHei" w:eastAsia="Microsoft JhengHei" w:hint="eastAsia"/>
                <w:b/>
                <w:sz w:val="18"/>
              </w:rPr>
              <w:t>以摊余成本计量</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170" w:lineRule="auto" w:before="10"/>
              <w:ind w:left="128" w:right="100"/>
              <w:rPr>
                <w:rFonts w:ascii="Microsoft JhengHei" w:eastAsia="Microsoft JhengHei" w:hint="eastAsia"/>
                <w:b/>
                <w:sz w:val="18"/>
              </w:rPr>
            </w:pPr>
            <w:r>
              <w:rPr>
                <w:rFonts w:ascii="Microsoft JhengHei" w:eastAsia="Microsoft JhengHei" w:hint="eastAsia"/>
                <w:b/>
                <w:spacing w:val="-2"/>
                <w:sz w:val="18"/>
              </w:rPr>
              <w:t>以公允价值计量且其变动计入其他综</w:t>
            </w:r>
          </w:p>
          <w:p>
            <w:pPr>
              <w:pStyle w:val="TableParagraph"/>
              <w:spacing w:line="201" w:lineRule="exact"/>
              <w:ind w:left="128"/>
              <w:rPr>
                <w:rFonts w:ascii="Microsoft JhengHei" w:eastAsia="Microsoft JhengHei" w:hint="eastAsia"/>
                <w:b/>
                <w:sz w:val="18"/>
              </w:rPr>
            </w:pPr>
            <w:r>
              <w:rPr>
                <w:rFonts w:ascii="Microsoft JhengHei" w:eastAsia="Microsoft JhengHei" w:hint="eastAsia"/>
                <w:b/>
                <w:sz w:val="18"/>
              </w:rPr>
              <w:t>合收益的金融资产</w:t>
            </w:r>
          </w:p>
        </w:tc>
        <w:tc>
          <w:tcPr>
            <w:tcW w:w="1678" w:type="dxa"/>
            <w:tcBorders>
              <w:top w:val="single" w:sz="4" w:space="0" w:color="000000"/>
              <w:left w:val="single" w:sz="4" w:space="0" w:color="000000"/>
              <w:bottom w:val="single" w:sz="4" w:space="0" w:color="000000"/>
            </w:tcBorders>
          </w:tcPr>
          <w:p>
            <w:pPr>
              <w:pStyle w:val="TableParagraph"/>
              <w:spacing w:before="10"/>
              <w:rPr>
                <w:rFonts w:ascii="Microsoft JhengHei"/>
                <w:b/>
                <w:sz w:val="9"/>
              </w:rPr>
            </w:pPr>
          </w:p>
          <w:p>
            <w:pPr>
              <w:pStyle w:val="TableParagraph"/>
              <w:ind w:left="99" w:right="61"/>
              <w:jc w:val="center"/>
              <w:rPr>
                <w:rFonts w:ascii="Microsoft JhengHei" w:eastAsia="Microsoft JhengHei" w:hint="eastAsia"/>
                <w:b/>
                <w:sz w:val="18"/>
              </w:rPr>
            </w:pPr>
            <w:r>
              <w:rPr>
                <w:rFonts w:ascii="Microsoft JhengHei" w:eastAsia="Microsoft JhengHei" w:hint="eastAsia"/>
                <w:b/>
                <w:sz w:val="18"/>
              </w:rPr>
              <w:t>合计</w:t>
            </w:r>
          </w:p>
        </w:tc>
      </w:tr>
      <w:tr>
        <w:trPr>
          <w:trHeight w:val="368" w:hRule="atLeast"/>
        </w:trPr>
        <w:tc>
          <w:tcPr>
            <w:tcW w:w="2182" w:type="dxa"/>
            <w:tcBorders>
              <w:top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货币资金</w:t>
            </w:r>
          </w:p>
        </w:tc>
        <w:tc>
          <w:tcPr>
            <w:tcW w:w="1841" w:type="dxa"/>
            <w:tcBorders>
              <w:top w:val="single" w:sz="4" w:space="0" w:color="000000"/>
              <w:left w:val="single" w:sz="4" w:space="0" w:color="000000"/>
              <w:right w:val="single" w:sz="4" w:space="0" w:color="000000"/>
            </w:tcBorders>
          </w:tcPr>
          <w:p>
            <w:pPr>
              <w:pStyle w:val="TableParagraph"/>
              <w:rPr>
                <w:sz w:val="18"/>
              </w:rPr>
            </w:pPr>
          </w:p>
        </w:tc>
        <w:tc>
          <w:tcPr>
            <w:tcW w:w="1664" w:type="dxa"/>
            <w:tcBorders>
              <w:top w:val="single" w:sz="4" w:space="0" w:color="000000"/>
              <w:left w:val="single" w:sz="4" w:space="0" w:color="000000"/>
              <w:right w:val="single" w:sz="4" w:space="0" w:color="000000"/>
            </w:tcBorders>
          </w:tcPr>
          <w:p>
            <w:pPr>
              <w:pStyle w:val="TableParagraph"/>
              <w:spacing w:before="76"/>
              <w:ind w:left="213"/>
              <w:rPr>
                <w:sz w:val="18"/>
              </w:rPr>
            </w:pPr>
            <w:r>
              <w:rPr>
                <w:sz w:val="18"/>
              </w:rPr>
              <w:t>36,178,815,683.25</w:t>
            </w:r>
          </w:p>
        </w:tc>
        <w:tc>
          <w:tcPr>
            <w:tcW w:w="1686" w:type="dxa"/>
            <w:tcBorders>
              <w:top w:val="single" w:sz="4" w:space="0" w:color="000000"/>
              <w:left w:val="single" w:sz="4" w:space="0" w:color="000000"/>
              <w:right w:val="single" w:sz="4" w:space="0" w:color="000000"/>
            </w:tcBorders>
          </w:tcPr>
          <w:p>
            <w:pPr>
              <w:pStyle w:val="TableParagraph"/>
              <w:rPr>
                <w:sz w:val="18"/>
              </w:rPr>
            </w:pPr>
          </w:p>
        </w:tc>
        <w:tc>
          <w:tcPr>
            <w:tcW w:w="1678" w:type="dxa"/>
            <w:tcBorders>
              <w:top w:val="single" w:sz="4" w:space="0" w:color="000000"/>
              <w:left w:val="single" w:sz="4" w:space="0" w:color="000000"/>
            </w:tcBorders>
          </w:tcPr>
          <w:p>
            <w:pPr>
              <w:pStyle w:val="TableParagraph"/>
              <w:spacing w:before="76"/>
              <w:ind w:left="207" w:right="61"/>
              <w:jc w:val="center"/>
              <w:rPr>
                <w:sz w:val="18"/>
              </w:rPr>
            </w:pPr>
            <w:r>
              <w:rPr>
                <w:sz w:val="18"/>
              </w:rPr>
              <w:t>36,178,815,683.25</w:t>
            </w:r>
          </w:p>
        </w:tc>
      </w:tr>
    </w:tbl>
    <w:p>
      <w:pPr>
        <w:spacing w:after="0"/>
        <w:jc w:val="center"/>
        <w:rPr>
          <w:sz w:val="18"/>
        </w:rPr>
        <w:sectPr>
          <w:pgSz w:w="11910" w:h="16840"/>
          <w:pgMar w:header="876" w:footer="1214" w:top="1440" w:bottom="1400" w:left="260" w:right="0"/>
        </w:sectPr>
      </w:pPr>
    </w:p>
    <w:p>
      <w:pPr>
        <w:pStyle w:val="BodyText"/>
        <w:spacing w:before="11"/>
        <w:rPr>
          <w:rFonts w:ascii="Microsoft JhengHei"/>
          <w:b/>
          <w:sz w:val="3"/>
        </w:r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182"/>
        <w:gridCol w:w="1841"/>
        <w:gridCol w:w="1664"/>
        <w:gridCol w:w="1686"/>
        <w:gridCol w:w="1678"/>
      </w:tblGrid>
      <w:tr>
        <w:trPr>
          <w:trHeight w:val="371" w:hRule="atLeast"/>
        </w:trPr>
        <w:tc>
          <w:tcPr>
            <w:tcW w:w="2182" w:type="dxa"/>
            <w:tcBorders>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交易性金融资产</w:t>
            </w:r>
          </w:p>
        </w:tc>
        <w:tc>
          <w:tcPr>
            <w:tcW w:w="1841" w:type="dxa"/>
            <w:tcBorders>
              <w:left w:val="single" w:sz="4" w:space="0" w:color="000000"/>
              <w:bottom w:val="single" w:sz="4" w:space="0" w:color="000000"/>
              <w:right w:val="single" w:sz="4" w:space="0" w:color="000000"/>
            </w:tcBorders>
          </w:tcPr>
          <w:p>
            <w:pPr>
              <w:pStyle w:val="TableParagraph"/>
              <w:spacing w:before="79"/>
              <w:ind w:right="86"/>
              <w:jc w:val="right"/>
              <w:rPr>
                <w:sz w:val="18"/>
              </w:rPr>
            </w:pPr>
            <w:r>
              <w:rPr>
                <w:sz w:val="18"/>
              </w:rPr>
              <w:t>308,135,007.05</w:t>
            </w:r>
          </w:p>
        </w:tc>
        <w:tc>
          <w:tcPr>
            <w:tcW w:w="1664" w:type="dxa"/>
            <w:tcBorders>
              <w:left w:val="single" w:sz="4" w:space="0" w:color="000000"/>
              <w:bottom w:val="single" w:sz="4" w:space="0" w:color="000000"/>
              <w:right w:val="single" w:sz="4" w:space="0" w:color="000000"/>
            </w:tcBorders>
          </w:tcPr>
          <w:p>
            <w:pPr>
              <w:pStyle w:val="TableParagraph"/>
              <w:rPr>
                <w:sz w:val="18"/>
              </w:rPr>
            </w:pPr>
          </w:p>
        </w:tc>
        <w:tc>
          <w:tcPr>
            <w:tcW w:w="1686" w:type="dxa"/>
            <w:tcBorders>
              <w:left w:val="single" w:sz="4" w:space="0" w:color="000000"/>
              <w:bottom w:val="single" w:sz="4" w:space="0" w:color="000000"/>
              <w:right w:val="single" w:sz="4" w:space="0" w:color="000000"/>
            </w:tcBorders>
          </w:tcPr>
          <w:p>
            <w:pPr>
              <w:pStyle w:val="TableParagraph"/>
              <w:rPr>
                <w:sz w:val="18"/>
              </w:rPr>
            </w:pPr>
          </w:p>
        </w:tc>
        <w:tc>
          <w:tcPr>
            <w:tcW w:w="1678" w:type="dxa"/>
            <w:tcBorders>
              <w:left w:val="single" w:sz="4" w:space="0" w:color="000000"/>
              <w:bottom w:val="single" w:sz="4" w:space="0" w:color="000000"/>
            </w:tcBorders>
          </w:tcPr>
          <w:p>
            <w:pPr>
              <w:pStyle w:val="TableParagraph"/>
              <w:spacing w:before="79"/>
              <w:ind w:right="78"/>
              <w:jc w:val="right"/>
              <w:rPr>
                <w:sz w:val="18"/>
              </w:rPr>
            </w:pPr>
            <w:r>
              <w:rPr>
                <w:sz w:val="18"/>
              </w:rPr>
              <w:t>308,135,007.05</w:t>
            </w:r>
          </w:p>
        </w:tc>
      </w:tr>
      <w:tr>
        <w:trPr>
          <w:trHeight w:val="369" w:hRule="atLeast"/>
        </w:trPr>
        <w:tc>
          <w:tcPr>
            <w:tcW w:w="2182"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衍生金融资产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before="76"/>
              <w:ind w:right="88"/>
              <w:jc w:val="right"/>
              <w:rPr>
                <w:sz w:val="18"/>
              </w:rPr>
            </w:pPr>
            <w:r>
              <w:rPr>
                <w:sz w:val="18"/>
              </w:rPr>
              <w:t>19,158,132.45</w:t>
            </w:r>
          </w:p>
        </w:tc>
        <w:tc>
          <w:tcPr>
            <w:tcW w:w="1678" w:type="dxa"/>
            <w:tcBorders>
              <w:top w:val="single" w:sz="4" w:space="0" w:color="000000"/>
              <w:left w:val="single" w:sz="4" w:space="0" w:color="000000"/>
              <w:bottom w:val="single" w:sz="4" w:space="0" w:color="000000"/>
            </w:tcBorders>
          </w:tcPr>
          <w:p>
            <w:pPr>
              <w:pStyle w:val="TableParagraph"/>
              <w:spacing w:before="76"/>
              <w:ind w:right="78"/>
              <w:jc w:val="right"/>
              <w:rPr>
                <w:sz w:val="18"/>
              </w:rPr>
            </w:pPr>
            <w:r>
              <w:rPr>
                <w:sz w:val="18"/>
              </w:rPr>
              <w:t>19,158,132.45</w:t>
            </w:r>
          </w:p>
        </w:tc>
      </w:tr>
      <w:tr>
        <w:trPr>
          <w:trHeight w:val="366" w:hRule="atLeast"/>
        </w:trPr>
        <w:tc>
          <w:tcPr>
            <w:tcW w:w="2182"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应收票据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before="76"/>
              <w:ind w:right="87"/>
              <w:jc w:val="right"/>
              <w:rPr>
                <w:sz w:val="18"/>
              </w:rPr>
            </w:pPr>
            <w:r>
              <w:rPr>
                <w:sz w:val="18"/>
              </w:rPr>
              <w:t>13,951,419,893.96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678" w:type="dxa"/>
            <w:tcBorders>
              <w:top w:val="single" w:sz="4" w:space="0" w:color="000000"/>
              <w:left w:val="single" w:sz="4" w:space="0" w:color="000000"/>
              <w:bottom w:val="single" w:sz="4" w:space="0" w:color="000000"/>
            </w:tcBorders>
          </w:tcPr>
          <w:p>
            <w:pPr>
              <w:pStyle w:val="TableParagraph"/>
              <w:spacing w:before="76"/>
              <w:ind w:right="78"/>
              <w:jc w:val="right"/>
              <w:rPr>
                <w:sz w:val="18"/>
              </w:rPr>
            </w:pPr>
            <w:r>
              <w:rPr>
                <w:sz w:val="18"/>
              </w:rPr>
              <w:t>13,951,419,893.96</w:t>
            </w:r>
          </w:p>
        </w:tc>
      </w:tr>
      <w:tr>
        <w:trPr>
          <w:trHeight w:val="369" w:hRule="atLeast"/>
        </w:trPr>
        <w:tc>
          <w:tcPr>
            <w:tcW w:w="2182"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应收账款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before="76"/>
              <w:ind w:right="87"/>
              <w:jc w:val="right"/>
              <w:rPr>
                <w:sz w:val="18"/>
              </w:rPr>
            </w:pPr>
            <w:r>
              <w:rPr>
                <w:sz w:val="18"/>
              </w:rPr>
              <w:t>11,015,871,060.09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678" w:type="dxa"/>
            <w:tcBorders>
              <w:top w:val="single" w:sz="4" w:space="0" w:color="000000"/>
              <w:left w:val="single" w:sz="4" w:space="0" w:color="000000"/>
              <w:bottom w:val="single" w:sz="4" w:space="0" w:color="000000"/>
            </w:tcBorders>
          </w:tcPr>
          <w:p>
            <w:pPr>
              <w:pStyle w:val="TableParagraph"/>
              <w:spacing w:before="76"/>
              <w:ind w:right="78"/>
              <w:jc w:val="right"/>
              <w:rPr>
                <w:sz w:val="18"/>
              </w:rPr>
            </w:pPr>
            <w:r>
              <w:rPr>
                <w:sz w:val="18"/>
              </w:rPr>
              <w:t>11,015,871,060.09</w:t>
            </w:r>
          </w:p>
        </w:tc>
      </w:tr>
      <w:tr>
        <w:trPr>
          <w:trHeight w:val="369" w:hRule="atLeast"/>
        </w:trPr>
        <w:tc>
          <w:tcPr>
            <w:tcW w:w="2182"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其他应收款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before="76"/>
              <w:ind w:right="87"/>
              <w:jc w:val="right"/>
              <w:rPr>
                <w:sz w:val="18"/>
              </w:rPr>
            </w:pPr>
            <w:r>
              <w:rPr>
                <w:sz w:val="18"/>
              </w:rPr>
              <w:t>2,163,517,802.50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678" w:type="dxa"/>
            <w:tcBorders>
              <w:top w:val="single" w:sz="4" w:space="0" w:color="000000"/>
              <w:left w:val="single" w:sz="4" w:space="0" w:color="000000"/>
              <w:bottom w:val="single" w:sz="4" w:space="0" w:color="000000"/>
            </w:tcBorders>
          </w:tcPr>
          <w:p>
            <w:pPr>
              <w:pStyle w:val="TableParagraph"/>
              <w:spacing w:before="76"/>
              <w:ind w:right="78"/>
              <w:jc w:val="right"/>
              <w:rPr>
                <w:sz w:val="18"/>
              </w:rPr>
            </w:pPr>
            <w:r>
              <w:rPr>
                <w:sz w:val="18"/>
              </w:rPr>
              <w:t>2,163,517,802.50</w:t>
            </w:r>
          </w:p>
        </w:tc>
      </w:tr>
      <w:tr>
        <w:trPr>
          <w:trHeight w:val="369" w:hRule="atLeast"/>
        </w:trPr>
        <w:tc>
          <w:tcPr>
            <w:tcW w:w="2182"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其他流动资产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before="76"/>
              <w:ind w:right="87"/>
              <w:jc w:val="right"/>
              <w:rPr>
                <w:sz w:val="18"/>
              </w:rPr>
            </w:pPr>
            <w:r>
              <w:rPr>
                <w:sz w:val="18"/>
              </w:rPr>
              <w:t>3,981,314,321.50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678" w:type="dxa"/>
            <w:tcBorders>
              <w:top w:val="single" w:sz="4" w:space="0" w:color="000000"/>
              <w:left w:val="single" w:sz="4" w:space="0" w:color="000000"/>
              <w:bottom w:val="single" w:sz="4" w:space="0" w:color="000000"/>
            </w:tcBorders>
          </w:tcPr>
          <w:p>
            <w:pPr>
              <w:pStyle w:val="TableParagraph"/>
              <w:spacing w:before="76"/>
              <w:ind w:right="78"/>
              <w:jc w:val="right"/>
              <w:rPr>
                <w:sz w:val="18"/>
              </w:rPr>
            </w:pPr>
            <w:r>
              <w:rPr>
                <w:sz w:val="18"/>
              </w:rPr>
              <w:t>3,981,314,321.50</w:t>
            </w:r>
          </w:p>
        </w:tc>
      </w:tr>
      <w:tr>
        <w:trPr>
          <w:trHeight w:val="369" w:hRule="atLeast"/>
        </w:trPr>
        <w:tc>
          <w:tcPr>
            <w:tcW w:w="2182"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长期应收款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before="76"/>
              <w:ind w:right="87"/>
              <w:jc w:val="right"/>
              <w:rPr>
                <w:sz w:val="18"/>
              </w:rPr>
            </w:pPr>
            <w:r>
              <w:rPr>
                <w:sz w:val="18"/>
              </w:rPr>
              <w:t>307,588,203.00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678" w:type="dxa"/>
            <w:tcBorders>
              <w:top w:val="single" w:sz="4" w:space="0" w:color="000000"/>
              <w:left w:val="single" w:sz="4" w:space="0" w:color="000000"/>
              <w:bottom w:val="single" w:sz="4" w:space="0" w:color="000000"/>
            </w:tcBorders>
          </w:tcPr>
          <w:p>
            <w:pPr>
              <w:pStyle w:val="TableParagraph"/>
              <w:spacing w:before="76"/>
              <w:ind w:right="78"/>
              <w:jc w:val="right"/>
              <w:rPr>
                <w:sz w:val="18"/>
              </w:rPr>
            </w:pPr>
            <w:r>
              <w:rPr>
                <w:sz w:val="18"/>
              </w:rPr>
              <w:t>307,588,203.00</w:t>
            </w:r>
          </w:p>
        </w:tc>
      </w:tr>
      <w:tr>
        <w:trPr>
          <w:trHeight w:val="369" w:hRule="atLeast"/>
        </w:trPr>
        <w:tc>
          <w:tcPr>
            <w:tcW w:w="2182"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其他权益工具</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before="76"/>
              <w:ind w:right="88"/>
              <w:jc w:val="right"/>
              <w:rPr>
                <w:sz w:val="18"/>
              </w:rPr>
            </w:pPr>
            <w:r>
              <w:rPr>
                <w:sz w:val="18"/>
              </w:rPr>
              <w:t>1,395,959,878.92</w:t>
            </w:r>
          </w:p>
        </w:tc>
        <w:tc>
          <w:tcPr>
            <w:tcW w:w="1678" w:type="dxa"/>
            <w:tcBorders>
              <w:top w:val="single" w:sz="4" w:space="0" w:color="000000"/>
              <w:left w:val="single" w:sz="4" w:space="0" w:color="000000"/>
              <w:bottom w:val="single" w:sz="4" w:space="0" w:color="000000"/>
            </w:tcBorders>
          </w:tcPr>
          <w:p>
            <w:pPr>
              <w:pStyle w:val="TableParagraph"/>
              <w:spacing w:before="76"/>
              <w:ind w:right="78"/>
              <w:jc w:val="right"/>
              <w:rPr>
                <w:sz w:val="18"/>
              </w:rPr>
            </w:pPr>
            <w:r>
              <w:rPr>
                <w:sz w:val="18"/>
              </w:rPr>
              <w:t>1,395,959,878.92</w:t>
            </w:r>
          </w:p>
        </w:tc>
      </w:tr>
      <w:tr>
        <w:trPr>
          <w:trHeight w:val="369" w:hRule="atLeast"/>
        </w:trPr>
        <w:tc>
          <w:tcPr>
            <w:tcW w:w="2182"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其他非流动金融资产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before="76"/>
              <w:ind w:right="86"/>
              <w:jc w:val="right"/>
              <w:rPr>
                <w:sz w:val="18"/>
              </w:rPr>
            </w:pPr>
            <w:r>
              <w:rPr>
                <w:sz w:val="18"/>
              </w:rPr>
              <w:t>294,547,364.47</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1678" w:type="dxa"/>
            <w:tcBorders>
              <w:top w:val="single" w:sz="4" w:space="0" w:color="000000"/>
              <w:left w:val="single" w:sz="4" w:space="0" w:color="000000"/>
              <w:bottom w:val="single" w:sz="4" w:space="0" w:color="000000"/>
            </w:tcBorders>
          </w:tcPr>
          <w:p>
            <w:pPr>
              <w:pStyle w:val="TableParagraph"/>
              <w:spacing w:before="76"/>
              <w:ind w:right="78"/>
              <w:jc w:val="right"/>
              <w:rPr>
                <w:sz w:val="18"/>
              </w:rPr>
            </w:pPr>
            <w:r>
              <w:rPr>
                <w:sz w:val="18"/>
              </w:rPr>
              <w:t>294,547,364.47</w:t>
            </w:r>
          </w:p>
        </w:tc>
      </w:tr>
      <w:tr>
        <w:trPr>
          <w:trHeight w:val="366" w:hRule="atLeast"/>
        </w:trPr>
        <w:tc>
          <w:tcPr>
            <w:tcW w:w="2182" w:type="dxa"/>
            <w:tcBorders>
              <w:top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其他非流动资产</w:t>
            </w:r>
          </w:p>
        </w:tc>
        <w:tc>
          <w:tcPr>
            <w:tcW w:w="1841" w:type="dxa"/>
            <w:tcBorders>
              <w:top w:val="single" w:sz="4" w:space="0" w:color="000000"/>
              <w:left w:val="single" w:sz="4" w:space="0" w:color="000000"/>
              <w:right w:val="single" w:sz="4" w:space="0" w:color="000000"/>
            </w:tcBorders>
          </w:tcPr>
          <w:p>
            <w:pPr>
              <w:pStyle w:val="TableParagraph"/>
              <w:spacing w:before="76"/>
              <w:ind w:right="86"/>
              <w:jc w:val="right"/>
              <w:rPr>
                <w:sz w:val="18"/>
              </w:rPr>
            </w:pPr>
            <w:r>
              <w:rPr>
                <w:sz w:val="18"/>
              </w:rPr>
              <w:t>77,057,328.58</w:t>
            </w:r>
          </w:p>
        </w:tc>
        <w:tc>
          <w:tcPr>
            <w:tcW w:w="1664" w:type="dxa"/>
            <w:tcBorders>
              <w:top w:val="single" w:sz="4" w:space="0" w:color="000000"/>
              <w:left w:val="single" w:sz="4" w:space="0" w:color="000000"/>
              <w:right w:val="single" w:sz="4" w:space="0" w:color="000000"/>
            </w:tcBorders>
          </w:tcPr>
          <w:p>
            <w:pPr>
              <w:pStyle w:val="TableParagraph"/>
              <w:rPr>
                <w:sz w:val="18"/>
              </w:rPr>
            </w:pPr>
          </w:p>
        </w:tc>
        <w:tc>
          <w:tcPr>
            <w:tcW w:w="1686" w:type="dxa"/>
            <w:tcBorders>
              <w:top w:val="single" w:sz="4" w:space="0" w:color="000000"/>
              <w:left w:val="single" w:sz="4" w:space="0" w:color="000000"/>
              <w:right w:val="single" w:sz="4" w:space="0" w:color="000000"/>
            </w:tcBorders>
          </w:tcPr>
          <w:p>
            <w:pPr>
              <w:pStyle w:val="TableParagraph"/>
              <w:rPr>
                <w:sz w:val="18"/>
              </w:rPr>
            </w:pPr>
          </w:p>
        </w:tc>
        <w:tc>
          <w:tcPr>
            <w:tcW w:w="1678" w:type="dxa"/>
            <w:tcBorders>
              <w:top w:val="single" w:sz="4" w:space="0" w:color="000000"/>
              <w:left w:val="single" w:sz="4" w:space="0" w:color="000000"/>
            </w:tcBorders>
          </w:tcPr>
          <w:p>
            <w:pPr>
              <w:pStyle w:val="TableParagraph"/>
              <w:spacing w:before="76"/>
              <w:ind w:right="78"/>
              <w:jc w:val="right"/>
              <w:rPr>
                <w:sz w:val="18"/>
              </w:rPr>
            </w:pPr>
            <w:r>
              <w:rPr>
                <w:sz w:val="18"/>
              </w:rPr>
              <w:t>77,057,328.58</w:t>
            </w:r>
          </w:p>
        </w:tc>
      </w:tr>
    </w:tbl>
    <w:p>
      <w:pPr>
        <w:pStyle w:val="BodyText"/>
        <w:spacing w:before="5"/>
        <w:rPr>
          <w:rFonts w:ascii="Microsoft JhengHei"/>
          <w:b/>
          <w:sz w:val="12"/>
        </w:rPr>
      </w:pPr>
    </w:p>
    <w:p>
      <w:pPr>
        <w:pStyle w:val="Heading4"/>
        <w:spacing w:before="2"/>
      </w:pPr>
      <w:r>
        <w:rPr/>
        <w:t>金融负债</w:t>
      </w:r>
    </w:p>
    <w:p>
      <w:pPr>
        <w:pStyle w:val="BodyText"/>
        <w:spacing w:before="17"/>
        <w:rPr>
          <w:rFonts w:ascii="Microsoft JhengHei"/>
          <w:b/>
          <w:sz w:val="5"/>
        </w:r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185"/>
        <w:gridCol w:w="2319"/>
        <w:gridCol w:w="2343"/>
        <w:gridCol w:w="2204"/>
      </w:tblGrid>
      <w:tr>
        <w:trPr>
          <w:trHeight w:val="325" w:hRule="atLeast"/>
        </w:trPr>
        <w:tc>
          <w:tcPr>
            <w:tcW w:w="2185" w:type="dxa"/>
            <w:vMerge w:val="restart"/>
            <w:tcBorders>
              <w:bottom w:val="single" w:sz="4" w:space="0" w:color="000000"/>
              <w:right w:val="single" w:sz="4" w:space="0" w:color="000000"/>
            </w:tcBorders>
          </w:tcPr>
          <w:p>
            <w:pPr>
              <w:pStyle w:val="TableParagraph"/>
              <w:spacing w:before="4"/>
              <w:rPr>
                <w:rFonts w:ascii="Microsoft JhengHei"/>
                <w:b/>
                <w:sz w:val="12"/>
              </w:rPr>
            </w:pPr>
          </w:p>
          <w:p>
            <w:pPr>
              <w:pStyle w:val="TableParagraph"/>
              <w:spacing w:before="1"/>
              <w:ind w:left="115" w:right="98"/>
              <w:jc w:val="center"/>
              <w:rPr>
                <w:rFonts w:ascii="Microsoft JhengHei" w:eastAsia="Microsoft JhengHei" w:hint="eastAsia"/>
                <w:b/>
                <w:sz w:val="18"/>
              </w:rPr>
            </w:pPr>
            <w:r>
              <w:rPr>
                <w:rFonts w:ascii="Microsoft JhengHei" w:eastAsia="Microsoft JhengHei" w:hint="eastAsia"/>
                <w:b/>
                <w:sz w:val="18"/>
              </w:rPr>
              <w:t>项目</w:t>
            </w:r>
          </w:p>
        </w:tc>
        <w:tc>
          <w:tcPr>
            <w:tcW w:w="6866" w:type="dxa"/>
            <w:gridSpan w:val="3"/>
            <w:tcBorders>
              <w:left w:val="single" w:sz="4" w:space="0" w:color="000000"/>
              <w:bottom w:val="single" w:sz="4" w:space="0" w:color="000000"/>
            </w:tcBorders>
          </w:tcPr>
          <w:p>
            <w:pPr>
              <w:pStyle w:val="TableParagraph"/>
              <w:spacing w:line="273" w:lineRule="exact"/>
              <w:ind w:left="3060" w:right="3026"/>
              <w:jc w:val="center"/>
              <w:rPr>
                <w:rFonts w:ascii="Microsoft JhengHei" w:eastAsia="Microsoft JhengHei" w:hint="eastAsia"/>
                <w:b/>
                <w:sz w:val="18"/>
              </w:rPr>
            </w:pPr>
            <w:r>
              <w:rPr>
                <w:rFonts w:ascii="Microsoft JhengHei" w:eastAsia="Microsoft JhengHei" w:hint="eastAsia"/>
                <w:b/>
                <w:sz w:val="18"/>
              </w:rPr>
              <w:t>期末余额</w:t>
            </w:r>
          </w:p>
        </w:tc>
      </w:tr>
      <w:tr>
        <w:trPr>
          <w:trHeight w:val="467" w:hRule="atLeast"/>
        </w:trPr>
        <w:tc>
          <w:tcPr>
            <w:tcW w:w="2185" w:type="dxa"/>
            <w:vMerge/>
            <w:tcBorders>
              <w:top w:val="nil"/>
              <w:bottom w:val="single" w:sz="4" w:space="0" w:color="000000"/>
              <w:right w:val="single" w:sz="4" w:space="0" w:color="000000"/>
            </w:tcBorders>
          </w:tcPr>
          <w:p>
            <w:pPr>
              <w:rPr>
                <w:sz w:val="2"/>
                <w:szCs w:val="2"/>
              </w:rPr>
            </w:pP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55" w:right="134"/>
              <w:jc w:val="center"/>
              <w:rPr>
                <w:rFonts w:ascii="Microsoft JhengHei" w:eastAsia="Microsoft JhengHei" w:hint="eastAsia"/>
                <w:b/>
                <w:sz w:val="18"/>
              </w:rPr>
            </w:pPr>
            <w:r>
              <w:rPr>
                <w:rFonts w:ascii="Microsoft JhengHei" w:eastAsia="Microsoft JhengHei" w:hint="eastAsia"/>
                <w:b/>
                <w:sz w:val="18"/>
              </w:rPr>
              <w:t>以公允价值计量的金融负</w:t>
            </w:r>
          </w:p>
          <w:p>
            <w:pPr>
              <w:pStyle w:val="TableParagraph"/>
              <w:spacing w:line="225" w:lineRule="exact"/>
              <w:ind w:left="24"/>
              <w:jc w:val="center"/>
              <w:rPr>
                <w:rFonts w:ascii="Microsoft JhengHei" w:eastAsia="Microsoft JhengHei" w:hint="eastAsia"/>
                <w:b/>
                <w:sz w:val="18"/>
              </w:rPr>
            </w:pPr>
            <w:r>
              <w:rPr>
                <w:rFonts w:ascii="Microsoft JhengHei" w:eastAsia="Microsoft JhengHei" w:hint="eastAsia"/>
                <w:b/>
                <w:sz w:val="18"/>
              </w:rPr>
              <w:t>债</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68" w:right="142"/>
              <w:jc w:val="center"/>
              <w:rPr>
                <w:rFonts w:ascii="Microsoft JhengHei" w:eastAsia="Microsoft JhengHei" w:hint="eastAsia"/>
                <w:b/>
                <w:sz w:val="18"/>
              </w:rPr>
            </w:pPr>
            <w:r>
              <w:rPr>
                <w:rFonts w:ascii="Microsoft JhengHei" w:eastAsia="Microsoft JhengHei" w:hint="eastAsia"/>
                <w:b/>
                <w:sz w:val="18"/>
              </w:rPr>
              <w:t>以摊余成本计量的金融负</w:t>
            </w:r>
          </w:p>
          <w:p>
            <w:pPr>
              <w:pStyle w:val="TableParagraph"/>
              <w:spacing w:line="225" w:lineRule="exact"/>
              <w:ind w:left="24"/>
              <w:jc w:val="center"/>
              <w:rPr>
                <w:rFonts w:ascii="Microsoft JhengHei" w:eastAsia="Microsoft JhengHei" w:hint="eastAsia"/>
                <w:b/>
                <w:sz w:val="18"/>
              </w:rPr>
            </w:pPr>
            <w:r>
              <w:rPr>
                <w:rFonts w:ascii="Microsoft JhengHei" w:eastAsia="Microsoft JhengHei" w:hint="eastAsia"/>
                <w:b/>
                <w:sz w:val="18"/>
              </w:rPr>
              <w:t>债</w:t>
            </w:r>
          </w:p>
        </w:tc>
        <w:tc>
          <w:tcPr>
            <w:tcW w:w="2204" w:type="dxa"/>
            <w:tcBorders>
              <w:top w:val="single" w:sz="4" w:space="0" w:color="000000"/>
              <w:left w:val="single" w:sz="4" w:space="0" w:color="000000"/>
              <w:bottom w:val="single" w:sz="4" w:space="0" w:color="000000"/>
            </w:tcBorders>
          </w:tcPr>
          <w:p>
            <w:pPr>
              <w:pStyle w:val="TableParagraph"/>
              <w:spacing w:before="58"/>
              <w:ind w:left="770" w:right="734"/>
              <w:jc w:val="center"/>
              <w:rPr>
                <w:rFonts w:ascii="Microsoft JhengHei" w:eastAsia="Microsoft JhengHei" w:hint="eastAsia"/>
                <w:b/>
                <w:sz w:val="18"/>
              </w:rPr>
            </w:pPr>
            <w:r>
              <w:rPr>
                <w:rFonts w:ascii="Microsoft JhengHei" w:eastAsia="Microsoft JhengHei" w:hint="eastAsia"/>
                <w:b/>
                <w:sz w:val="18"/>
              </w:rPr>
              <w:t>合计</w:t>
            </w:r>
          </w:p>
        </w:tc>
      </w:tr>
      <w:tr>
        <w:trPr>
          <w:trHeight w:val="369" w:hRule="atLeast"/>
        </w:trPr>
        <w:tc>
          <w:tcPr>
            <w:tcW w:w="2185"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短期借款</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64"/>
              <w:ind w:right="-15"/>
              <w:jc w:val="right"/>
              <w:rPr>
                <w:rFonts w:ascii="宋体"/>
                <w:sz w:val="18"/>
              </w:rPr>
            </w:pPr>
            <w:r>
              <w:rPr>
                <w:rFonts w:ascii="宋体"/>
                <w:sz w:val="18"/>
              </w:rPr>
              <w:t>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before="76"/>
              <w:ind w:right="88"/>
              <w:jc w:val="right"/>
              <w:rPr>
                <w:sz w:val="18"/>
              </w:rPr>
            </w:pPr>
            <w:r>
              <w:rPr>
                <w:sz w:val="18"/>
              </w:rPr>
              <w:t>7,687,908,165.88</w:t>
            </w:r>
          </w:p>
        </w:tc>
        <w:tc>
          <w:tcPr>
            <w:tcW w:w="2204" w:type="dxa"/>
            <w:tcBorders>
              <w:top w:val="single" w:sz="4" w:space="0" w:color="000000"/>
              <w:left w:val="single" w:sz="4" w:space="0" w:color="000000"/>
              <w:bottom w:val="single" w:sz="4" w:space="0" w:color="000000"/>
            </w:tcBorders>
          </w:tcPr>
          <w:p>
            <w:pPr>
              <w:pStyle w:val="TableParagraph"/>
              <w:spacing w:before="76"/>
              <w:ind w:right="78"/>
              <w:jc w:val="right"/>
              <w:rPr>
                <w:sz w:val="18"/>
              </w:rPr>
            </w:pPr>
            <w:r>
              <w:rPr>
                <w:sz w:val="18"/>
              </w:rPr>
              <w:t>7,687,908,165.88</w:t>
            </w:r>
          </w:p>
        </w:tc>
      </w:tr>
      <w:tr>
        <w:trPr>
          <w:trHeight w:val="366" w:hRule="atLeast"/>
        </w:trPr>
        <w:tc>
          <w:tcPr>
            <w:tcW w:w="2185"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交易性金融负债</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74"/>
              <w:ind w:right="87"/>
              <w:jc w:val="right"/>
              <w:rPr>
                <w:sz w:val="18"/>
              </w:rPr>
            </w:pPr>
            <w:r>
              <w:rPr>
                <w:sz w:val="18"/>
              </w:rPr>
              <w:t>26,952,508.66</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before="62"/>
              <w:ind w:right="-15"/>
              <w:jc w:val="right"/>
              <w:rPr>
                <w:rFonts w:ascii="宋体"/>
                <w:sz w:val="18"/>
              </w:rPr>
            </w:pPr>
            <w:r>
              <w:rPr>
                <w:rFonts w:ascii="宋体"/>
                <w:sz w:val="18"/>
              </w:rPr>
              <w:t> </w:t>
            </w:r>
          </w:p>
        </w:tc>
        <w:tc>
          <w:tcPr>
            <w:tcW w:w="2204" w:type="dxa"/>
            <w:tcBorders>
              <w:top w:val="single" w:sz="4" w:space="0" w:color="000000"/>
              <w:left w:val="single" w:sz="4" w:space="0" w:color="000000"/>
              <w:bottom w:val="single" w:sz="4" w:space="0" w:color="000000"/>
            </w:tcBorders>
          </w:tcPr>
          <w:p>
            <w:pPr>
              <w:pStyle w:val="TableParagraph"/>
              <w:spacing w:before="74"/>
              <w:ind w:right="78"/>
              <w:jc w:val="right"/>
              <w:rPr>
                <w:sz w:val="18"/>
              </w:rPr>
            </w:pPr>
            <w:r>
              <w:rPr>
                <w:sz w:val="18"/>
              </w:rPr>
              <w:t>26,952,508.66</w:t>
            </w:r>
          </w:p>
        </w:tc>
      </w:tr>
      <w:tr>
        <w:trPr>
          <w:trHeight w:val="369" w:hRule="atLeast"/>
        </w:trPr>
        <w:tc>
          <w:tcPr>
            <w:tcW w:w="2185"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衍生金融负债</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76"/>
              <w:ind w:right="87"/>
              <w:jc w:val="right"/>
              <w:rPr>
                <w:sz w:val="18"/>
              </w:rPr>
            </w:pPr>
            <w:r>
              <w:rPr>
                <w:sz w:val="18"/>
              </w:rPr>
              <w:t>239,582,532.90</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before="64"/>
              <w:ind w:right="-15"/>
              <w:jc w:val="right"/>
              <w:rPr>
                <w:rFonts w:ascii="宋体"/>
                <w:sz w:val="18"/>
              </w:rPr>
            </w:pPr>
            <w:r>
              <w:rPr>
                <w:rFonts w:ascii="宋体"/>
                <w:sz w:val="18"/>
              </w:rPr>
              <w:t> </w:t>
            </w:r>
          </w:p>
        </w:tc>
        <w:tc>
          <w:tcPr>
            <w:tcW w:w="2204" w:type="dxa"/>
            <w:tcBorders>
              <w:top w:val="single" w:sz="4" w:space="0" w:color="000000"/>
              <w:left w:val="single" w:sz="4" w:space="0" w:color="000000"/>
              <w:bottom w:val="single" w:sz="4" w:space="0" w:color="000000"/>
            </w:tcBorders>
          </w:tcPr>
          <w:p>
            <w:pPr>
              <w:pStyle w:val="TableParagraph"/>
              <w:spacing w:before="76"/>
              <w:ind w:right="78"/>
              <w:jc w:val="right"/>
              <w:rPr>
                <w:sz w:val="18"/>
              </w:rPr>
            </w:pPr>
            <w:r>
              <w:rPr>
                <w:sz w:val="18"/>
              </w:rPr>
              <w:t>239,582,532.90</w:t>
            </w:r>
          </w:p>
        </w:tc>
      </w:tr>
      <w:tr>
        <w:trPr>
          <w:trHeight w:val="369" w:hRule="atLeast"/>
        </w:trPr>
        <w:tc>
          <w:tcPr>
            <w:tcW w:w="2185"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应付票据</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64"/>
              <w:ind w:right="-15"/>
              <w:jc w:val="right"/>
              <w:rPr>
                <w:rFonts w:ascii="宋体"/>
                <w:sz w:val="18"/>
              </w:rPr>
            </w:pPr>
            <w:r>
              <w:rPr>
                <w:rFonts w:ascii="宋体"/>
                <w:sz w:val="18"/>
              </w:rPr>
              <w:t>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before="76"/>
              <w:ind w:right="88"/>
              <w:jc w:val="right"/>
              <w:rPr>
                <w:sz w:val="18"/>
              </w:rPr>
            </w:pPr>
            <w:r>
              <w:rPr>
                <w:sz w:val="18"/>
              </w:rPr>
              <w:t>21,236,057,053.67</w:t>
            </w:r>
          </w:p>
        </w:tc>
        <w:tc>
          <w:tcPr>
            <w:tcW w:w="2204" w:type="dxa"/>
            <w:tcBorders>
              <w:top w:val="single" w:sz="4" w:space="0" w:color="000000"/>
              <w:left w:val="single" w:sz="4" w:space="0" w:color="000000"/>
              <w:bottom w:val="single" w:sz="4" w:space="0" w:color="000000"/>
            </w:tcBorders>
          </w:tcPr>
          <w:p>
            <w:pPr>
              <w:pStyle w:val="TableParagraph"/>
              <w:spacing w:before="76"/>
              <w:ind w:right="78"/>
              <w:jc w:val="right"/>
              <w:rPr>
                <w:sz w:val="18"/>
              </w:rPr>
            </w:pPr>
            <w:r>
              <w:rPr>
                <w:sz w:val="18"/>
              </w:rPr>
              <w:t>21,236,057,053.67</w:t>
            </w:r>
          </w:p>
        </w:tc>
      </w:tr>
      <w:tr>
        <w:trPr>
          <w:trHeight w:val="369" w:hRule="atLeast"/>
        </w:trPr>
        <w:tc>
          <w:tcPr>
            <w:tcW w:w="2185"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应付账款</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64"/>
              <w:ind w:right="-15"/>
              <w:jc w:val="right"/>
              <w:rPr>
                <w:rFonts w:ascii="宋体"/>
                <w:sz w:val="18"/>
              </w:rPr>
            </w:pPr>
            <w:r>
              <w:rPr>
                <w:rFonts w:ascii="宋体"/>
                <w:sz w:val="18"/>
              </w:rPr>
              <w:t>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before="76"/>
              <w:ind w:right="88"/>
              <w:jc w:val="right"/>
              <w:rPr>
                <w:sz w:val="18"/>
              </w:rPr>
            </w:pPr>
            <w:r>
              <w:rPr>
                <w:sz w:val="18"/>
              </w:rPr>
              <w:t>36,302,971,944.48</w:t>
            </w:r>
          </w:p>
        </w:tc>
        <w:tc>
          <w:tcPr>
            <w:tcW w:w="2204" w:type="dxa"/>
            <w:tcBorders>
              <w:top w:val="single" w:sz="4" w:space="0" w:color="000000"/>
              <w:left w:val="single" w:sz="4" w:space="0" w:color="000000"/>
              <w:bottom w:val="single" w:sz="4" w:space="0" w:color="000000"/>
            </w:tcBorders>
          </w:tcPr>
          <w:p>
            <w:pPr>
              <w:pStyle w:val="TableParagraph"/>
              <w:spacing w:before="76"/>
              <w:ind w:right="78"/>
              <w:jc w:val="right"/>
              <w:rPr>
                <w:sz w:val="18"/>
              </w:rPr>
            </w:pPr>
            <w:r>
              <w:rPr>
                <w:sz w:val="18"/>
              </w:rPr>
              <w:t>36,302,971,944.48</w:t>
            </w:r>
          </w:p>
        </w:tc>
      </w:tr>
      <w:tr>
        <w:trPr>
          <w:trHeight w:val="369" w:hRule="atLeast"/>
        </w:trPr>
        <w:tc>
          <w:tcPr>
            <w:tcW w:w="2185" w:type="dxa"/>
            <w:tcBorders>
              <w:top w:val="single" w:sz="4" w:space="0" w:color="000000"/>
              <w:bottom w:val="single" w:sz="4" w:space="0" w:color="000000"/>
              <w:right w:val="single" w:sz="4" w:space="0" w:color="000000"/>
            </w:tcBorders>
          </w:tcPr>
          <w:p>
            <w:pPr>
              <w:pStyle w:val="TableParagraph"/>
              <w:spacing w:before="70"/>
              <w:ind w:left="107"/>
              <w:rPr>
                <w:rFonts w:ascii="宋体" w:eastAsia="宋体" w:hint="eastAsia"/>
                <w:sz w:val="18"/>
              </w:rPr>
            </w:pPr>
            <w:r>
              <w:rPr>
                <w:rFonts w:ascii="宋体" w:eastAsia="宋体" w:hint="eastAsia"/>
                <w:sz w:val="18"/>
              </w:rPr>
              <w:t>其他应付款</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65"/>
              <w:ind w:right="-15"/>
              <w:jc w:val="right"/>
              <w:rPr>
                <w:rFonts w:ascii="宋体"/>
                <w:sz w:val="18"/>
              </w:rPr>
            </w:pPr>
            <w:r>
              <w:rPr>
                <w:rFonts w:ascii="宋体"/>
                <w:sz w:val="18"/>
              </w:rPr>
              <w:t>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before="77"/>
              <w:ind w:right="88"/>
              <w:jc w:val="right"/>
              <w:rPr>
                <w:sz w:val="18"/>
              </w:rPr>
            </w:pPr>
            <w:r>
              <w:rPr>
                <w:sz w:val="18"/>
              </w:rPr>
              <w:t>17,056,156,167.28</w:t>
            </w:r>
          </w:p>
        </w:tc>
        <w:tc>
          <w:tcPr>
            <w:tcW w:w="2204" w:type="dxa"/>
            <w:tcBorders>
              <w:top w:val="single" w:sz="4" w:space="0" w:color="000000"/>
              <w:left w:val="single" w:sz="4" w:space="0" w:color="000000"/>
              <w:bottom w:val="single" w:sz="4" w:space="0" w:color="000000"/>
            </w:tcBorders>
          </w:tcPr>
          <w:p>
            <w:pPr>
              <w:pStyle w:val="TableParagraph"/>
              <w:spacing w:before="77"/>
              <w:ind w:right="78"/>
              <w:jc w:val="right"/>
              <w:rPr>
                <w:sz w:val="18"/>
              </w:rPr>
            </w:pPr>
            <w:r>
              <w:rPr>
                <w:sz w:val="18"/>
              </w:rPr>
              <w:t>17,056,156,167.28</w:t>
            </w:r>
          </w:p>
        </w:tc>
      </w:tr>
      <w:tr>
        <w:trPr>
          <w:trHeight w:val="467" w:hRule="atLeast"/>
        </w:trPr>
        <w:tc>
          <w:tcPr>
            <w:tcW w:w="2185" w:type="dxa"/>
            <w:tcBorders>
              <w:top w:val="single" w:sz="4" w:space="0" w:color="000000"/>
              <w:bottom w:val="single" w:sz="4" w:space="0" w:color="000000"/>
              <w:right w:val="single" w:sz="4" w:space="0" w:color="000000"/>
            </w:tcBorders>
          </w:tcPr>
          <w:p>
            <w:pPr>
              <w:pStyle w:val="TableParagraph"/>
              <w:spacing w:line="230" w:lineRule="exact"/>
              <w:ind w:left="107"/>
              <w:rPr>
                <w:rFonts w:ascii="宋体" w:eastAsia="宋体" w:hint="eastAsia"/>
                <w:sz w:val="18"/>
              </w:rPr>
            </w:pPr>
            <w:r>
              <w:rPr>
                <w:rFonts w:ascii="宋体" w:eastAsia="宋体" w:hint="eastAsia"/>
                <w:sz w:val="18"/>
              </w:rPr>
              <w:t>一年内到期的非流动负</w:t>
            </w:r>
          </w:p>
          <w:p>
            <w:pPr>
              <w:pStyle w:val="TableParagraph"/>
              <w:spacing w:line="213" w:lineRule="exact" w:before="4"/>
              <w:ind w:left="107"/>
              <w:rPr>
                <w:rFonts w:ascii="宋体" w:eastAsia="宋体" w:hint="eastAsia"/>
                <w:sz w:val="18"/>
              </w:rPr>
            </w:pPr>
            <w:r>
              <w:rPr>
                <w:rFonts w:ascii="宋体" w:eastAsia="宋体" w:hint="eastAsia"/>
                <w:sz w:val="18"/>
              </w:rPr>
              <w:t>债</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112"/>
              <w:ind w:right="-15"/>
              <w:jc w:val="right"/>
              <w:rPr>
                <w:rFonts w:ascii="宋体"/>
                <w:sz w:val="18"/>
              </w:rPr>
            </w:pPr>
            <w:r>
              <w:rPr>
                <w:rFonts w:ascii="宋体"/>
                <w:sz w:val="18"/>
              </w:rPr>
              <w:t>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before="124"/>
              <w:ind w:right="88"/>
              <w:jc w:val="right"/>
              <w:rPr>
                <w:sz w:val="18"/>
              </w:rPr>
            </w:pPr>
            <w:r>
              <w:rPr>
                <w:sz w:val="18"/>
              </w:rPr>
              <w:t>4,950,555,670.08</w:t>
            </w:r>
          </w:p>
        </w:tc>
        <w:tc>
          <w:tcPr>
            <w:tcW w:w="2204" w:type="dxa"/>
            <w:tcBorders>
              <w:top w:val="single" w:sz="4" w:space="0" w:color="000000"/>
              <w:left w:val="single" w:sz="4" w:space="0" w:color="000000"/>
              <w:bottom w:val="single" w:sz="4" w:space="0" w:color="000000"/>
            </w:tcBorders>
          </w:tcPr>
          <w:p>
            <w:pPr>
              <w:pStyle w:val="TableParagraph"/>
              <w:spacing w:before="124"/>
              <w:ind w:right="78"/>
              <w:jc w:val="right"/>
              <w:rPr>
                <w:sz w:val="18"/>
              </w:rPr>
            </w:pPr>
            <w:r>
              <w:rPr>
                <w:sz w:val="18"/>
              </w:rPr>
              <w:t>4,950,555,670.08</w:t>
            </w:r>
          </w:p>
        </w:tc>
      </w:tr>
      <w:tr>
        <w:trPr>
          <w:trHeight w:val="369" w:hRule="atLeast"/>
        </w:trPr>
        <w:tc>
          <w:tcPr>
            <w:tcW w:w="2185"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其他流动负债</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64"/>
              <w:ind w:right="-15"/>
              <w:jc w:val="right"/>
              <w:rPr>
                <w:rFonts w:ascii="宋体"/>
                <w:sz w:val="18"/>
              </w:rPr>
            </w:pPr>
            <w:r>
              <w:rPr>
                <w:rFonts w:ascii="宋体"/>
                <w:sz w:val="18"/>
              </w:rPr>
              <w:t>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before="76"/>
              <w:ind w:right="88"/>
              <w:jc w:val="right"/>
              <w:rPr>
                <w:sz w:val="18"/>
              </w:rPr>
            </w:pPr>
            <w:r>
              <w:rPr>
                <w:sz w:val="18"/>
              </w:rPr>
              <w:t>5,535,262,500.00</w:t>
            </w:r>
          </w:p>
        </w:tc>
        <w:tc>
          <w:tcPr>
            <w:tcW w:w="2204" w:type="dxa"/>
            <w:tcBorders>
              <w:top w:val="single" w:sz="4" w:space="0" w:color="000000"/>
              <w:left w:val="single" w:sz="4" w:space="0" w:color="000000"/>
              <w:bottom w:val="single" w:sz="4" w:space="0" w:color="000000"/>
            </w:tcBorders>
          </w:tcPr>
          <w:p>
            <w:pPr>
              <w:pStyle w:val="TableParagraph"/>
              <w:spacing w:before="76"/>
              <w:ind w:right="78"/>
              <w:jc w:val="right"/>
              <w:rPr>
                <w:sz w:val="18"/>
              </w:rPr>
            </w:pPr>
            <w:r>
              <w:rPr>
                <w:sz w:val="18"/>
              </w:rPr>
              <w:t>5,535,262,500.00</w:t>
            </w:r>
          </w:p>
        </w:tc>
      </w:tr>
      <w:tr>
        <w:trPr>
          <w:trHeight w:val="369" w:hRule="atLeast"/>
        </w:trPr>
        <w:tc>
          <w:tcPr>
            <w:tcW w:w="2185"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长期借款</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64"/>
              <w:ind w:right="-15"/>
              <w:jc w:val="right"/>
              <w:rPr>
                <w:rFonts w:ascii="宋体"/>
                <w:sz w:val="18"/>
              </w:rPr>
            </w:pPr>
            <w:r>
              <w:rPr>
                <w:rFonts w:ascii="宋体"/>
                <w:sz w:val="18"/>
              </w:rPr>
              <w:t>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before="76"/>
              <w:ind w:right="88"/>
              <w:jc w:val="right"/>
              <w:rPr>
                <w:sz w:val="18"/>
              </w:rPr>
            </w:pPr>
            <w:r>
              <w:rPr>
                <w:sz w:val="18"/>
              </w:rPr>
              <w:t>11,821,416,259.81</w:t>
            </w:r>
          </w:p>
        </w:tc>
        <w:tc>
          <w:tcPr>
            <w:tcW w:w="2204" w:type="dxa"/>
            <w:tcBorders>
              <w:top w:val="single" w:sz="4" w:space="0" w:color="000000"/>
              <w:left w:val="single" w:sz="4" w:space="0" w:color="000000"/>
              <w:bottom w:val="single" w:sz="4" w:space="0" w:color="000000"/>
            </w:tcBorders>
          </w:tcPr>
          <w:p>
            <w:pPr>
              <w:pStyle w:val="TableParagraph"/>
              <w:spacing w:before="76"/>
              <w:ind w:right="78"/>
              <w:jc w:val="right"/>
              <w:rPr>
                <w:sz w:val="18"/>
              </w:rPr>
            </w:pPr>
            <w:r>
              <w:rPr>
                <w:sz w:val="18"/>
              </w:rPr>
              <w:t>11,821,416,259.81</w:t>
            </w:r>
          </w:p>
        </w:tc>
      </w:tr>
      <w:tr>
        <w:trPr>
          <w:trHeight w:val="369" w:hRule="atLeast"/>
        </w:trPr>
        <w:tc>
          <w:tcPr>
            <w:tcW w:w="2185"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应付债券</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64"/>
              <w:ind w:right="-15"/>
              <w:jc w:val="right"/>
              <w:rPr>
                <w:rFonts w:ascii="宋体"/>
                <w:sz w:val="18"/>
              </w:rPr>
            </w:pPr>
            <w:r>
              <w:rPr>
                <w:rFonts w:ascii="宋体"/>
                <w:sz w:val="18"/>
              </w:rPr>
              <w:t>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before="76"/>
              <w:ind w:right="88"/>
              <w:jc w:val="right"/>
              <w:rPr>
                <w:sz w:val="18"/>
              </w:rPr>
            </w:pPr>
            <w:r>
              <w:rPr>
                <w:sz w:val="18"/>
              </w:rPr>
              <w:t>6,713,501,050.27</w:t>
            </w:r>
          </w:p>
        </w:tc>
        <w:tc>
          <w:tcPr>
            <w:tcW w:w="2204" w:type="dxa"/>
            <w:tcBorders>
              <w:top w:val="single" w:sz="4" w:space="0" w:color="000000"/>
              <w:left w:val="single" w:sz="4" w:space="0" w:color="000000"/>
              <w:bottom w:val="single" w:sz="4" w:space="0" w:color="000000"/>
            </w:tcBorders>
          </w:tcPr>
          <w:p>
            <w:pPr>
              <w:pStyle w:val="TableParagraph"/>
              <w:spacing w:before="76"/>
              <w:ind w:right="78"/>
              <w:jc w:val="right"/>
              <w:rPr>
                <w:sz w:val="18"/>
              </w:rPr>
            </w:pPr>
            <w:r>
              <w:rPr>
                <w:sz w:val="18"/>
              </w:rPr>
              <w:t>6,713,501,050.27</w:t>
            </w:r>
          </w:p>
        </w:tc>
      </w:tr>
      <w:tr>
        <w:trPr>
          <w:trHeight w:val="366" w:hRule="atLeast"/>
        </w:trPr>
        <w:tc>
          <w:tcPr>
            <w:tcW w:w="2185" w:type="dxa"/>
            <w:tcBorders>
              <w:top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长期应付款</w:t>
            </w:r>
          </w:p>
        </w:tc>
        <w:tc>
          <w:tcPr>
            <w:tcW w:w="2319" w:type="dxa"/>
            <w:tcBorders>
              <w:top w:val="single" w:sz="4" w:space="0" w:color="000000"/>
              <w:left w:val="single" w:sz="4" w:space="0" w:color="000000"/>
              <w:right w:val="single" w:sz="4" w:space="0" w:color="000000"/>
            </w:tcBorders>
          </w:tcPr>
          <w:p>
            <w:pPr>
              <w:pStyle w:val="TableParagraph"/>
              <w:spacing w:before="62"/>
              <w:ind w:right="-15"/>
              <w:jc w:val="right"/>
              <w:rPr>
                <w:rFonts w:ascii="宋体"/>
                <w:sz w:val="18"/>
              </w:rPr>
            </w:pPr>
            <w:r>
              <w:rPr>
                <w:rFonts w:ascii="宋体"/>
                <w:sz w:val="18"/>
              </w:rPr>
              <w:t> </w:t>
            </w:r>
          </w:p>
        </w:tc>
        <w:tc>
          <w:tcPr>
            <w:tcW w:w="2343" w:type="dxa"/>
            <w:tcBorders>
              <w:top w:val="single" w:sz="4" w:space="0" w:color="000000"/>
              <w:left w:val="single" w:sz="4" w:space="0" w:color="000000"/>
              <w:right w:val="single" w:sz="4" w:space="0" w:color="000000"/>
            </w:tcBorders>
          </w:tcPr>
          <w:p>
            <w:pPr>
              <w:pStyle w:val="TableParagraph"/>
              <w:spacing w:before="74"/>
              <w:ind w:right="89"/>
              <w:jc w:val="right"/>
              <w:rPr>
                <w:sz w:val="18"/>
              </w:rPr>
            </w:pPr>
            <w:r>
              <w:rPr>
                <w:sz w:val="18"/>
              </w:rPr>
              <w:t>98,203,261.27</w:t>
            </w:r>
          </w:p>
        </w:tc>
        <w:tc>
          <w:tcPr>
            <w:tcW w:w="2204" w:type="dxa"/>
            <w:tcBorders>
              <w:top w:val="single" w:sz="4" w:space="0" w:color="000000"/>
              <w:left w:val="single" w:sz="4" w:space="0" w:color="000000"/>
            </w:tcBorders>
          </w:tcPr>
          <w:p>
            <w:pPr>
              <w:pStyle w:val="TableParagraph"/>
              <w:spacing w:before="74"/>
              <w:ind w:right="78"/>
              <w:jc w:val="right"/>
              <w:rPr>
                <w:sz w:val="18"/>
              </w:rPr>
            </w:pPr>
            <w:r>
              <w:rPr>
                <w:sz w:val="18"/>
              </w:rPr>
              <w:t>98,203,261.27</w:t>
            </w:r>
          </w:p>
        </w:tc>
      </w:tr>
    </w:tbl>
    <w:p>
      <w:pPr>
        <w:pStyle w:val="BodyText"/>
        <w:spacing w:before="6"/>
        <w:rPr>
          <w:rFonts w:ascii="Microsoft JhengHei"/>
          <w:b/>
          <w:sz w:val="12"/>
        </w:rPr>
      </w:pPr>
    </w:p>
    <w:p>
      <w:pPr>
        <w:pStyle w:val="Heading4"/>
      </w:pPr>
      <w:r>
        <w:rPr/>
        <w:t>金融负债（续）</w:t>
      </w:r>
    </w:p>
    <w:p>
      <w:pPr>
        <w:pStyle w:val="BodyText"/>
        <w:spacing w:before="17"/>
        <w:rPr>
          <w:rFonts w:ascii="Microsoft JhengHei"/>
          <w:b/>
          <w:sz w:val="5"/>
        </w:r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088"/>
        <w:gridCol w:w="2415"/>
        <w:gridCol w:w="2343"/>
        <w:gridCol w:w="2199"/>
      </w:tblGrid>
      <w:tr>
        <w:trPr>
          <w:trHeight w:val="318" w:hRule="atLeast"/>
        </w:trPr>
        <w:tc>
          <w:tcPr>
            <w:tcW w:w="2088" w:type="dxa"/>
            <w:vMerge w:val="restart"/>
            <w:tcBorders>
              <w:bottom w:val="single" w:sz="4" w:space="0" w:color="000000"/>
              <w:right w:val="single" w:sz="6" w:space="0" w:color="000000"/>
            </w:tcBorders>
          </w:tcPr>
          <w:p>
            <w:pPr>
              <w:pStyle w:val="TableParagraph"/>
              <w:spacing w:before="2"/>
              <w:rPr>
                <w:rFonts w:ascii="Microsoft JhengHei"/>
                <w:b/>
                <w:sz w:val="12"/>
              </w:rPr>
            </w:pPr>
          </w:p>
          <w:p>
            <w:pPr>
              <w:pStyle w:val="TableParagraph"/>
              <w:ind w:left="843" w:right="822"/>
              <w:jc w:val="center"/>
              <w:rPr>
                <w:rFonts w:ascii="Microsoft JhengHei" w:eastAsia="Microsoft JhengHei" w:hint="eastAsia"/>
                <w:b/>
                <w:sz w:val="18"/>
              </w:rPr>
            </w:pPr>
            <w:r>
              <w:rPr>
                <w:rFonts w:ascii="Microsoft JhengHei" w:eastAsia="Microsoft JhengHei" w:hint="eastAsia"/>
                <w:b/>
                <w:sz w:val="18"/>
              </w:rPr>
              <w:t>项目</w:t>
            </w:r>
          </w:p>
        </w:tc>
        <w:tc>
          <w:tcPr>
            <w:tcW w:w="6957" w:type="dxa"/>
            <w:gridSpan w:val="3"/>
            <w:tcBorders>
              <w:left w:val="single" w:sz="6" w:space="0" w:color="000000"/>
              <w:bottom w:val="single" w:sz="4" w:space="0" w:color="000000"/>
            </w:tcBorders>
          </w:tcPr>
          <w:p>
            <w:pPr>
              <w:pStyle w:val="TableParagraph"/>
              <w:spacing w:line="271" w:lineRule="exact"/>
              <w:ind w:left="3101" w:right="3073"/>
              <w:jc w:val="center"/>
              <w:rPr>
                <w:rFonts w:ascii="Microsoft JhengHei" w:eastAsia="Microsoft JhengHei" w:hint="eastAsia"/>
                <w:b/>
                <w:sz w:val="18"/>
              </w:rPr>
            </w:pPr>
            <w:r>
              <w:rPr>
                <w:rFonts w:ascii="Microsoft JhengHei" w:eastAsia="Microsoft JhengHei" w:hint="eastAsia"/>
                <w:b/>
                <w:sz w:val="18"/>
              </w:rPr>
              <w:t>期初余额</w:t>
            </w:r>
          </w:p>
        </w:tc>
      </w:tr>
      <w:tr>
        <w:trPr>
          <w:trHeight w:val="468" w:hRule="atLeast"/>
        </w:trPr>
        <w:tc>
          <w:tcPr>
            <w:tcW w:w="2088" w:type="dxa"/>
            <w:vMerge/>
            <w:tcBorders>
              <w:top w:val="nil"/>
              <w:bottom w:val="single" w:sz="4" w:space="0" w:color="000000"/>
              <w:right w:val="single" w:sz="6" w:space="0" w:color="000000"/>
            </w:tcBorders>
          </w:tcPr>
          <w:p>
            <w:pPr>
              <w:rPr>
                <w:sz w:val="2"/>
                <w:szCs w:val="2"/>
              </w:rPr>
            </w:pPr>
          </w:p>
        </w:tc>
        <w:tc>
          <w:tcPr>
            <w:tcW w:w="2415" w:type="dxa"/>
            <w:tcBorders>
              <w:top w:val="single" w:sz="4" w:space="0" w:color="000000"/>
              <w:left w:val="single" w:sz="6" w:space="0" w:color="000000"/>
              <w:bottom w:val="single" w:sz="4" w:space="0" w:color="000000"/>
              <w:right w:val="single" w:sz="4" w:space="0" w:color="000000"/>
            </w:tcBorders>
          </w:tcPr>
          <w:p>
            <w:pPr>
              <w:pStyle w:val="TableParagraph"/>
              <w:spacing w:before="58"/>
              <w:ind w:left="127"/>
              <w:rPr>
                <w:rFonts w:ascii="Microsoft JhengHei" w:eastAsia="Microsoft JhengHei" w:hint="eastAsia"/>
                <w:b/>
                <w:sz w:val="18"/>
              </w:rPr>
            </w:pPr>
            <w:r>
              <w:rPr>
                <w:rFonts w:ascii="Microsoft JhengHei" w:eastAsia="Microsoft JhengHei" w:hint="eastAsia"/>
                <w:b/>
                <w:sz w:val="18"/>
              </w:rPr>
              <w:t>以公允价值计量的金融负债</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69" w:right="141"/>
              <w:jc w:val="center"/>
              <w:rPr>
                <w:rFonts w:ascii="Microsoft JhengHei" w:eastAsia="Microsoft JhengHei" w:hint="eastAsia"/>
                <w:b/>
                <w:sz w:val="18"/>
              </w:rPr>
            </w:pPr>
            <w:r>
              <w:rPr>
                <w:rFonts w:ascii="Microsoft JhengHei" w:eastAsia="Microsoft JhengHei" w:hint="eastAsia"/>
                <w:b/>
                <w:sz w:val="18"/>
              </w:rPr>
              <w:t>以摊余成本计量的金融负</w:t>
            </w:r>
          </w:p>
          <w:p>
            <w:pPr>
              <w:pStyle w:val="TableParagraph"/>
              <w:spacing w:line="223" w:lineRule="exact"/>
              <w:ind w:left="26"/>
              <w:jc w:val="center"/>
              <w:rPr>
                <w:rFonts w:ascii="Microsoft JhengHei" w:eastAsia="Microsoft JhengHei" w:hint="eastAsia"/>
                <w:b/>
                <w:sz w:val="18"/>
              </w:rPr>
            </w:pPr>
            <w:r>
              <w:rPr>
                <w:rFonts w:ascii="Microsoft JhengHei" w:eastAsia="Microsoft JhengHei" w:hint="eastAsia"/>
                <w:b/>
                <w:sz w:val="18"/>
              </w:rPr>
              <w:t>债</w:t>
            </w:r>
          </w:p>
        </w:tc>
        <w:tc>
          <w:tcPr>
            <w:tcW w:w="2199" w:type="dxa"/>
            <w:tcBorders>
              <w:top w:val="single" w:sz="4" w:space="0" w:color="000000"/>
              <w:left w:val="single" w:sz="4" w:space="0" w:color="000000"/>
              <w:bottom w:val="single" w:sz="4" w:space="0" w:color="000000"/>
            </w:tcBorders>
          </w:tcPr>
          <w:p>
            <w:pPr>
              <w:pStyle w:val="TableParagraph"/>
              <w:spacing w:before="58"/>
              <w:ind w:left="908" w:right="870"/>
              <w:jc w:val="center"/>
              <w:rPr>
                <w:rFonts w:ascii="Microsoft JhengHei" w:eastAsia="Microsoft JhengHei" w:hint="eastAsia"/>
                <w:b/>
                <w:sz w:val="18"/>
              </w:rPr>
            </w:pPr>
            <w:r>
              <w:rPr>
                <w:rFonts w:ascii="Microsoft JhengHei" w:eastAsia="Microsoft JhengHei" w:hint="eastAsia"/>
                <w:b/>
                <w:sz w:val="18"/>
              </w:rPr>
              <w:t>合计</w:t>
            </w:r>
          </w:p>
        </w:tc>
      </w:tr>
      <w:tr>
        <w:trPr>
          <w:trHeight w:val="364" w:hRule="atLeast"/>
        </w:trPr>
        <w:tc>
          <w:tcPr>
            <w:tcW w:w="2088" w:type="dxa"/>
            <w:tcBorders>
              <w:top w:val="single" w:sz="4" w:space="0" w:color="000000"/>
              <w:bottom w:val="single" w:sz="4" w:space="0" w:color="000000"/>
              <w:right w:val="single" w:sz="6" w:space="0" w:color="000000"/>
            </w:tcBorders>
          </w:tcPr>
          <w:p>
            <w:pPr>
              <w:pStyle w:val="TableParagraph"/>
              <w:spacing w:before="64"/>
              <w:ind w:left="107"/>
              <w:rPr>
                <w:rFonts w:ascii="宋体" w:eastAsia="宋体" w:hint="eastAsia"/>
                <w:sz w:val="18"/>
              </w:rPr>
            </w:pPr>
            <w:r>
              <w:rPr>
                <w:rFonts w:ascii="宋体" w:eastAsia="宋体" w:hint="eastAsia"/>
                <w:sz w:val="18"/>
              </w:rPr>
              <w:t>短期借款</w:t>
            </w:r>
          </w:p>
        </w:tc>
        <w:tc>
          <w:tcPr>
            <w:tcW w:w="2415" w:type="dxa"/>
            <w:tcBorders>
              <w:top w:val="single" w:sz="4" w:space="0" w:color="000000"/>
              <w:left w:val="single" w:sz="6" w:space="0" w:color="000000"/>
              <w:bottom w:val="single" w:sz="4" w:space="0" w:color="000000"/>
              <w:right w:val="single" w:sz="4" w:space="0" w:color="000000"/>
            </w:tcBorders>
          </w:tcPr>
          <w:p>
            <w:pPr>
              <w:pStyle w:val="TableParagraph"/>
              <w:spacing w:before="62"/>
              <w:ind w:right="-15"/>
              <w:jc w:val="right"/>
              <w:rPr>
                <w:rFonts w:ascii="宋体"/>
                <w:sz w:val="18"/>
              </w:rPr>
            </w:pPr>
            <w:r>
              <w:rPr>
                <w:rFonts w:ascii="宋体"/>
                <w:sz w:val="18"/>
              </w:rPr>
              <w:t>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before="74"/>
              <w:ind w:right="87"/>
              <w:jc w:val="right"/>
              <w:rPr>
                <w:sz w:val="18"/>
              </w:rPr>
            </w:pPr>
            <w:r>
              <w:rPr>
                <w:sz w:val="18"/>
              </w:rPr>
              <w:t>8,585,049,237.18</w:t>
            </w:r>
          </w:p>
        </w:tc>
        <w:tc>
          <w:tcPr>
            <w:tcW w:w="2199" w:type="dxa"/>
            <w:tcBorders>
              <w:top w:val="single" w:sz="4" w:space="0" w:color="000000"/>
              <w:left w:val="single" w:sz="4" w:space="0" w:color="000000"/>
              <w:bottom w:val="single" w:sz="4" w:space="0" w:color="000000"/>
            </w:tcBorders>
          </w:tcPr>
          <w:p>
            <w:pPr>
              <w:pStyle w:val="TableParagraph"/>
              <w:spacing w:before="74"/>
              <w:ind w:right="79"/>
              <w:jc w:val="right"/>
              <w:rPr>
                <w:sz w:val="18"/>
              </w:rPr>
            </w:pPr>
            <w:r>
              <w:rPr>
                <w:sz w:val="18"/>
              </w:rPr>
              <w:t>8,585,049,237.18</w:t>
            </w:r>
          </w:p>
        </w:tc>
      </w:tr>
      <w:tr>
        <w:trPr>
          <w:trHeight w:val="364" w:hRule="atLeast"/>
        </w:trPr>
        <w:tc>
          <w:tcPr>
            <w:tcW w:w="2088" w:type="dxa"/>
            <w:tcBorders>
              <w:top w:val="single" w:sz="4" w:space="0" w:color="000000"/>
              <w:bottom w:val="single" w:sz="4" w:space="0" w:color="000000"/>
              <w:right w:val="single" w:sz="6" w:space="0" w:color="000000"/>
            </w:tcBorders>
          </w:tcPr>
          <w:p>
            <w:pPr>
              <w:pStyle w:val="TableParagraph"/>
              <w:spacing w:before="64"/>
              <w:ind w:left="107"/>
              <w:rPr>
                <w:rFonts w:ascii="宋体" w:eastAsia="宋体" w:hint="eastAsia"/>
                <w:sz w:val="18"/>
              </w:rPr>
            </w:pPr>
            <w:r>
              <w:rPr>
                <w:rFonts w:ascii="宋体" w:eastAsia="宋体" w:hint="eastAsia"/>
                <w:sz w:val="18"/>
              </w:rPr>
              <w:t>交易性金融负债</w:t>
            </w:r>
          </w:p>
        </w:tc>
        <w:tc>
          <w:tcPr>
            <w:tcW w:w="2415" w:type="dxa"/>
            <w:tcBorders>
              <w:top w:val="single" w:sz="4" w:space="0" w:color="000000"/>
              <w:left w:val="single" w:sz="6" w:space="0" w:color="000000"/>
              <w:bottom w:val="single" w:sz="4" w:space="0" w:color="000000"/>
              <w:right w:val="single" w:sz="4" w:space="0" w:color="000000"/>
            </w:tcBorders>
          </w:tcPr>
          <w:p>
            <w:pPr>
              <w:pStyle w:val="TableParagraph"/>
              <w:spacing w:before="74"/>
              <w:ind w:right="86"/>
              <w:jc w:val="right"/>
              <w:rPr>
                <w:sz w:val="18"/>
              </w:rPr>
            </w:pPr>
            <w:r>
              <w:rPr>
                <w:sz w:val="18"/>
              </w:rPr>
              <w:t>42,799,173.35</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before="62"/>
              <w:ind w:right="-15"/>
              <w:jc w:val="right"/>
              <w:rPr>
                <w:rFonts w:ascii="宋体"/>
                <w:sz w:val="18"/>
              </w:rPr>
            </w:pPr>
            <w:r>
              <w:rPr>
                <w:rFonts w:ascii="宋体"/>
                <w:sz w:val="18"/>
              </w:rPr>
              <w:t> </w:t>
            </w:r>
          </w:p>
        </w:tc>
        <w:tc>
          <w:tcPr>
            <w:tcW w:w="2199" w:type="dxa"/>
            <w:tcBorders>
              <w:top w:val="single" w:sz="4" w:space="0" w:color="000000"/>
              <w:left w:val="single" w:sz="4" w:space="0" w:color="000000"/>
              <w:bottom w:val="single" w:sz="4" w:space="0" w:color="000000"/>
            </w:tcBorders>
          </w:tcPr>
          <w:p>
            <w:pPr>
              <w:pStyle w:val="TableParagraph"/>
              <w:spacing w:before="74"/>
              <w:ind w:right="79"/>
              <w:jc w:val="right"/>
              <w:rPr>
                <w:sz w:val="18"/>
              </w:rPr>
            </w:pPr>
            <w:r>
              <w:rPr>
                <w:sz w:val="18"/>
              </w:rPr>
              <w:t>42,799,173.35</w:t>
            </w:r>
          </w:p>
        </w:tc>
      </w:tr>
      <w:tr>
        <w:trPr>
          <w:trHeight w:val="364" w:hRule="atLeast"/>
        </w:trPr>
        <w:tc>
          <w:tcPr>
            <w:tcW w:w="2088" w:type="dxa"/>
            <w:tcBorders>
              <w:top w:val="single" w:sz="4" w:space="0" w:color="000000"/>
              <w:bottom w:val="single" w:sz="4" w:space="0" w:color="000000"/>
              <w:right w:val="single" w:sz="6" w:space="0" w:color="000000"/>
            </w:tcBorders>
          </w:tcPr>
          <w:p>
            <w:pPr>
              <w:pStyle w:val="TableParagraph"/>
              <w:spacing w:before="64"/>
              <w:ind w:left="107"/>
              <w:rPr>
                <w:rFonts w:ascii="宋体" w:eastAsia="宋体" w:hint="eastAsia"/>
                <w:sz w:val="18"/>
              </w:rPr>
            </w:pPr>
            <w:r>
              <w:rPr>
                <w:rFonts w:ascii="宋体" w:eastAsia="宋体" w:hint="eastAsia"/>
                <w:sz w:val="18"/>
              </w:rPr>
              <w:t>衍生金融负债</w:t>
            </w:r>
          </w:p>
        </w:tc>
        <w:tc>
          <w:tcPr>
            <w:tcW w:w="2415" w:type="dxa"/>
            <w:tcBorders>
              <w:top w:val="single" w:sz="4" w:space="0" w:color="000000"/>
              <w:left w:val="single" w:sz="6" w:space="0" w:color="000000"/>
              <w:bottom w:val="single" w:sz="4" w:space="0" w:color="000000"/>
              <w:right w:val="single" w:sz="4" w:space="0" w:color="000000"/>
            </w:tcBorders>
          </w:tcPr>
          <w:p>
            <w:pPr>
              <w:pStyle w:val="TableParagraph"/>
              <w:spacing w:before="74"/>
              <w:ind w:right="-15"/>
              <w:jc w:val="right"/>
              <w:rPr>
                <w:rFonts w:ascii="宋体"/>
                <w:sz w:val="18"/>
              </w:rPr>
            </w:pPr>
            <w:r>
              <w:rPr>
                <w:sz w:val="18"/>
              </w:rPr>
              <w:t>99,548,853.97</w:t>
            </w:r>
            <w:r>
              <w:rPr>
                <w:rFonts w:ascii="宋体"/>
                <w:sz w:val="18"/>
              </w:rPr>
              <w:t>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before="62"/>
              <w:ind w:right="-15"/>
              <w:jc w:val="right"/>
              <w:rPr>
                <w:rFonts w:ascii="宋体"/>
                <w:sz w:val="18"/>
              </w:rPr>
            </w:pPr>
            <w:r>
              <w:rPr>
                <w:rFonts w:ascii="宋体"/>
                <w:sz w:val="18"/>
              </w:rPr>
              <w:t> </w:t>
            </w:r>
          </w:p>
        </w:tc>
        <w:tc>
          <w:tcPr>
            <w:tcW w:w="2199" w:type="dxa"/>
            <w:tcBorders>
              <w:top w:val="single" w:sz="4" w:space="0" w:color="000000"/>
              <w:left w:val="single" w:sz="4" w:space="0" w:color="000000"/>
              <w:bottom w:val="single" w:sz="4" w:space="0" w:color="000000"/>
            </w:tcBorders>
          </w:tcPr>
          <w:p>
            <w:pPr>
              <w:pStyle w:val="TableParagraph"/>
              <w:spacing w:before="74"/>
              <w:ind w:right="79"/>
              <w:jc w:val="right"/>
              <w:rPr>
                <w:sz w:val="18"/>
              </w:rPr>
            </w:pPr>
            <w:r>
              <w:rPr>
                <w:sz w:val="18"/>
              </w:rPr>
              <w:t>99,548,853.97</w:t>
            </w:r>
          </w:p>
        </w:tc>
      </w:tr>
      <w:tr>
        <w:trPr>
          <w:trHeight w:val="361" w:hRule="atLeast"/>
        </w:trPr>
        <w:tc>
          <w:tcPr>
            <w:tcW w:w="2088" w:type="dxa"/>
            <w:tcBorders>
              <w:top w:val="single" w:sz="4" w:space="0" w:color="000000"/>
              <w:bottom w:val="single" w:sz="4" w:space="0" w:color="000000"/>
              <w:right w:val="single" w:sz="6" w:space="0" w:color="000000"/>
            </w:tcBorders>
          </w:tcPr>
          <w:p>
            <w:pPr>
              <w:pStyle w:val="TableParagraph"/>
              <w:spacing w:before="64"/>
              <w:ind w:left="107"/>
              <w:rPr>
                <w:rFonts w:ascii="宋体" w:eastAsia="宋体" w:hint="eastAsia"/>
                <w:sz w:val="18"/>
              </w:rPr>
            </w:pPr>
            <w:r>
              <w:rPr>
                <w:rFonts w:ascii="宋体" w:eastAsia="宋体" w:hint="eastAsia"/>
                <w:sz w:val="18"/>
              </w:rPr>
              <w:t>应付票据</w:t>
            </w:r>
          </w:p>
        </w:tc>
        <w:tc>
          <w:tcPr>
            <w:tcW w:w="2415" w:type="dxa"/>
            <w:tcBorders>
              <w:top w:val="single" w:sz="4" w:space="0" w:color="000000"/>
              <w:left w:val="single" w:sz="6" w:space="0" w:color="000000"/>
              <w:bottom w:val="single" w:sz="4" w:space="0" w:color="000000"/>
              <w:right w:val="single" w:sz="4" w:space="0" w:color="000000"/>
            </w:tcBorders>
          </w:tcPr>
          <w:p>
            <w:pPr>
              <w:pStyle w:val="TableParagraph"/>
              <w:spacing w:before="59"/>
              <w:ind w:right="-15"/>
              <w:jc w:val="right"/>
              <w:rPr>
                <w:rFonts w:ascii="宋体"/>
                <w:sz w:val="18"/>
              </w:rPr>
            </w:pPr>
            <w:r>
              <w:rPr>
                <w:rFonts w:ascii="宋体"/>
                <w:sz w:val="18"/>
              </w:rPr>
              <w:t>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before="71"/>
              <w:ind w:right="87"/>
              <w:jc w:val="right"/>
              <w:rPr>
                <w:sz w:val="18"/>
              </w:rPr>
            </w:pPr>
            <w:r>
              <w:rPr>
                <w:sz w:val="18"/>
              </w:rPr>
              <w:t>19,308,538,776.92</w:t>
            </w:r>
          </w:p>
        </w:tc>
        <w:tc>
          <w:tcPr>
            <w:tcW w:w="2199" w:type="dxa"/>
            <w:tcBorders>
              <w:top w:val="single" w:sz="4" w:space="0" w:color="000000"/>
              <w:left w:val="single" w:sz="4" w:space="0" w:color="000000"/>
              <w:bottom w:val="single" w:sz="4" w:space="0" w:color="000000"/>
            </w:tcBorders>
          </w:tcPr>
          <w:p>
            <w:pPr>
              <w:pStyle w:val="TableParagraph"/>
              <w:spacing w:before="71"/>
              <w:ind w:right="79"/>
              <w:jc w:val="right"/>
              <w:rPr>
                <w:sz w:val="18"/>
              </w:rPr>
            </w:pPr>
            <w:r>
              <w:rPr>
                <w:sz w:val="18"/>
              </w:rPr>
              <w:t>19,308,538,776.92</w:t>
            </w:r>
          </w:p>
        </w:tc>
      </w:tr>
      <w:tr>
        <w:trPr>
          <w:trHeight w:val="364" w:hRule="atLeast"/>
        </w:trPr>
        <w:tc>
          <w:tcPr>
            <w:tcW w:w="2088" w:type="dxa"/>
            <w:tcBorders>
              <w:top w:val="single" w:sz="4" w:space="0" w:color="000000"/>
              <w:bottom w:val="single" w:sz="4" w:space="0" w:color="000000"/>
              <w:right w:val="single" w:sz="6" w:space="0" w:color="000000"/>
            </w:tcBorders>
          </w:tcPr>
          <w:p>
            <w:pPr>
              <w:pStyle w:val="TableParagraph"/>
              <w:spacing w:before="67"/>
              <w:ind w:left="107"/>
              <w:rPr>
                <w:rFonts w:ascii="宋体" w:eastAsia="宋体" w:hint="eastAsia"/>
                <w:sz w:val="18"/>
              </w:rPr>
            </w:pPr>
            <w:r>
              <w:rPr>
                <w:rFonts w:ascii="宋体" w:eastAsia="宋体" w:hint="eastAsia"/>
                <w:sz w:val="18"/>
              </w:rPr>
              <w:t>应付账款</w:t>
            </w:r>
          </w:p>
        </w:tc>
        <w:tc>
          <w:tcPr>
            <w:tcW w:w="2415" w:type="dxa"/>
            <w:tcBorders>
              <w:top w:val="single" w:sz="4" w:space="0" w:color="000000"/>
              <w:left w:val="single" w:sz="6" w:space="0" w:color="000000"/>
              <w:bottom w:val="single" w:sz="4" w:space="0" w:color="000000"/>
              <w:right w:val="single" w:sz="4" w:space="0" w:color="000000"/>
            </w:tcBorders>
          </w:tcPr>
          <w:p>
            <w:pPr>
              <w:pStyle w:val="TableParagraph"/>
              <w:spacing w:before="62"/>
              <w:ind w:right="-15"/>
              <w:jc w:val="right"/>
              <w:rPr>
                <w:rFonts w:ascii="宋体"/>
                <w:sz w:val="18"/>
              </w:rPr>
            </w:pPr>
            <w:r>
              <w:rPr>
                <w:rFonts w:ascii="宋体"/>
                <w:sz w:val="18"/>
              </w:rPr>
              <w:t>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before="74"/>
              <w:ind w:right="87"/>
              <w:jc w:val="right"/>
              <w:rPr>
                <w:sz w:val="18"/>
              </w:rPr>
            </w:pPr>
            <w:r>
              <w:rPr>
                <w:sz w:val="18"/>
              </w:rPr>
              <w:t>33,750,567,046.28</w:t>
            </w:r>
          </w:p>
        </w:tc>
        <w:tc>
          <w:tcPr>
            <w:tcW w:w="2199" w:type="dxa"/>
            <w:tcBorders>
              <w:top w:val="single" w:sz="4" w:space="0" w:color="000000"/>
              <w:left w:val="single" w:sz="4" w:space="0" w:color="000000"/>
              <w:bottom w:val="single" w:sz="4" w:space="0" w:color="000000"/>
            </w:tcBorders>
          </w:tcPr>
          <w:p>
            <w:pPr>
              <w:pStyle w:val="TableParagraph"/>
              <w:spacing w:before="74"/>
              <w:ind w:right="79"/>
              <w:jc w:val="right"/>
              <w:rPr>
                <w:sz w:val="18"/>
              </w:rPr>
            </w:pPr>
            <w:r>
              <w:rPr>
                <w:sz w:val="18"/>
              </w:rPr>
              <w:t>33,750,567,046.28</w:t>
            </w:r>
          </w:p>
        </w:tc>
      </w:tr>
      <w:tr>
        <w:trPr>
          <w:trHeight w:val="363" w:hRule="atLeast"/>
        </w:trPr>
        <w:tc>
          <w:tcPr>
            <w:tcW w:w="2088" w:type="dxa"/>
            <w:tcBorders>
              <w:top w:val="single" w:sz="4" w:space="0" w:color="000000"/>
              <w:right w:val="single" w:sz="6" w:space="0" w:color="000000"/>
            </w:tcBorders>
          </w:tcPr>
          <w:p>
            <w:pPr>
              <w:pStyle w:val="TableParagraph"/>
              <w:spacing w:before="67"/>
              <w:ind w:left="107"/>
              <w:rPr>
                <w:rFonts w:ascii="宋体" w:eastAsia="宋体" w:hint="eastAsia"/>
                <w:sz w:val="18"/>
              </w:rPr>
            </w:pPr>
            <w:r>
              <w:rPr>
                <w:rFonts w:ascii="宋体" w:eastAsia="宋体" w:hint="eastAsia"/>
                <w:sz w:val="18"/>
              </w:rPr>
              <w:t>其他应付款</w:t>
            </w:r>
          </w:p>
        </w:tc>
        <w:tc>
          <w:tcPr>
            <w:tcW w:w="2415" w:type="dxa"/>
            <w:tcBorders>
              <w:top w:val="single" w:sz="4" w:space="0" w:color="000000"/>
              <w:left w:val="single" w:sz="6" w:space="0" w:color="000000"/>
              <w:right w:val="single" w:sz="4" w:space="0" w:color="000000"/>
            </w:tcBorders>
          </w:tcPr>
          <w:p>
            <w:pPr>
              <w:pStyle w:val="TableParagraph"/>
              <w:spacing w:before="62"/>
              <w:ind w:right="-15"/>
              <w:jc w:val="right"/>
              <w:rPr>
                <w:rFonts w:ascii="宋体"/>
                <w:sz w:val="18"/>
              </w:rPr>
            </w:pPr>
            <w:r>
              <w:rPr>
                <w:rFonts w:ascii="宋体"/>
                <w:sz w:val="18"/>
              </w:rPr>
              <w:t> </w:t>
            </w:r>
          </w:p>
        </w:tc>
        <w:tc>
          <w:tcPr>
            <w:tcW w:w="2343" w:type="dxa"/>
            <w:tcBorders>
              <w:top w:val="single" w:sz="4" w:space="0" w:color="000000"/>
              <w:left w:val="single" w:sz="4" w:space="0" w:color="000000"/>
              <w:right w:val="single" w:sz="4" w:space="0" w:color="000000"/>
            </w:tcBorders>
          </w:tcPr>
          <w:p>
            <w:pPr>
              <w:pStyle w:val="TableParagraph"/>
              <w:spacing w:before="74"/>
              <w:ind w:right="87"/>
              <w:jc w:val="right"/>
              <w:rPr>
                <w:sz w:val="18"/>
              </w:rPr>
            </w:pPr>
            <w:r>
              <w:rPr>
                <w:sz w:val="18"/>
              </w:rPr>
              <w:t>15,156,392,521.82</w:t>
            </w:r>
          </w:p>
        </w:tc>
        <w:tc>
          <w:tcPr>
            <w:tcW w:w="2199" w:type="dxa"/>
            <w:tcBorders>
              <w:top w:val="single" w:sz="4" w:space="0" w:color="000000"/>
              <w:left w:val="single" w:sz="4" w:space="0" w:color="000000"/>
            </w:tcBorders>
          </w:tcPr>
          <w:p>
            <w:pPr>
              <w:pStyle w:val="TableParagraph"/>
              <w:spacing w:before="74"/>
              <w:ind w:right="79"/>
              <w:jc w:val="right"/>
              <w:rPr>
                <w:sz w:val="18"/>
              </w:rPr>
            </w:pPr>
            <w:r>
              <w:rPr>
                <w:sz w:val="18"/>
              </w:rPr>
              <w:t>15,156,392,521.82</w:t>
            </w:r>
          </w:p>
        </w:tc>
      </w:tr>
    </w:tbl>
    <w:p>
      <w:pPr>
        <w:spacing w:after="0"/>
        <w:jc w:val="right"/>
        <w:rPr>
          <w:sz w:val="18"/>
        </w:rPr>
        <w:sectPr>
          <w:pgSz w:w="11910" w:h="16840"/>
          <w:pgMar w:header="876" w:footer="1214" w:top="1440" w:bottom="1400" w:left="260" w:right="0"/>
        </w:sectPr>
      </w:pPr>
    </w:p>
    <w:p>
      <w:pPr>
        <w:pStyle w:val="BodyText"/>
        <w:spacing w:before="11"/>
        <w:rPr>
          <w:rFonts w:ascii="Microsoft JhengHei"/>
          <w:b/>
          <w:sz w:val="3"/>
        </w:r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088"/>
        <w:gridCol w:w="2415"/>
        <w:gridCol w:w="2343"/>
        <w:gridCol w:w="2199"/>
      </w:tblGrid>
      <w:tr>
        <w:trPr>
          <w:trHeight w:val="467" w:hRule="atLeast"/>
        </w:trPr>
        <w:tc>
          <w:tcPr>
            <w:tcW w:w="2088" w:type="dxa"/>
            <w:tcBorders>
              <w:bottom w:val="single" w:sz="4" w:space="0" w:color="000000"/>
              <w:right w:val="single" w:sz="6" w:space="0" w:color="000000"/>
            </w:tcBorders>
          </w:tcPr>
          <w:p>
            <w:pPr>
              <w:pStyle w:val="TableParagraph"/>
              <w:spacing w:before="2"/>
              <w:ind w:left="107"/>
              <w:rPr>
                <w:rFonts w:ascii="宋体" w:eastAsia="宋体" w:hint="eastAsia"/>
                <w:sz w:val="18"/>
              </w:rPr>
            </w:pPr>
            <w:r>
              <w:rPr>
                <w:rFonts w:ascii="宋体" w:eastAsia="宋体" w:hint="eastAsia"/>
                <w:sz w:val="18"/>
              </w:rPr>
              <w:t>一年内到期的非流动负</w:t>
            </w:r>
          </w:p>
          <w:p>
            <w:pPr>
              <w:pStyle w:val="TableParagraph"/>
              <w:spacing w:line="213" w:lineRule="exact" w:before="2"/>
              <w:ind w:left="107"/>
              <w:rPr>
                <w:rFonts w:ascii="宋体" w:eastAsia="宋体" w:hint="eastAsia"/>
                <w:sz w:val="18"/>
              </w:rPr>
            </w:pPr>
            <w:r>
              <w:rPr>
                <w:rFonts w:ascii="宋体" w:eastAsia="宋体" w:hint="eastAsia"/>
                <w:sz w:val="18"/>
              </w:rPr>
              <w:t>债</w:t>
            </w:r>
          </w:p>
        </w:tc>
        <w:tc>
          <w:tcPr>
            <w:tcW w:w="2415" w:type="dxa"/>
            <w:tcBorders>
              <w:left w:val="single" w:sz="6" w:space="0" w:color="000000"/>
              <w:bottom w:val="single" w:sz="4" w:space="0" w:color="000000"/>
              <w:right w:val="single" w:sz="4" w:space="0" w:color="000000"/>
            </w:tcBorders>
          </w:tcPr>
          <w:p>
            <w:pPr>
              <w:pStyle w:val="TableParagraph"/>
              <w:spacing w:before="115"/>
              <w:ind w:right="-15"/>
              <w:jc w:val="right"/>
              <w:rPr>
                <w:rFonts w:ascii="宋体"/>
                <w:sz w:val="18"/>
              </w:rPr>
            </w:pPr>
            <w:r>
              <w:rPr>
                <w:rFonts w:ascii="宋体"/>
                <w:sz w:val="18"/>
              </w:rPr>
              <w:t> </w:t>
            </w:r>
          </w:p>
        </w:tc>
        <w:tc>
          <w:tcPr>
            <w:tcW w:w="2343" w:type="dxa"/>
            <w:tcBorders>
              <w:left w:val="single" w:sz="4" w:space="0" w:color="000000"/>
              <w:bottom w:val="single" w:sz="4" w:space="0" w:color="000000"/>
              <w:right w:val="single" w:sz="4" w:space="0" w:color="000000"/>
            </w:tcBorders>
          </w:tcPr>
          <w:p>
            <w:pPr>
              <w:pStyle w:val="TableParagraph"/>
              <w:spacing w:before="127"/>
              <w:ind w:right="87"/>
              <w:jc w:val="right"/>
              <w:rPr>
                <w:sz w:val="18"/>
              </w:rPr>
            </w:pPr>
            <w:r>
              <w:rPr>
                <w:sz w:val="18"/>
              </w:rPr>
              <w:t>4,730,070,447.82</w:t>
            </w:r>
          </w:p>
        </w:tc>
        <w:tc>
          <w:tcPr>
            <w:tcW w:w="2199" w:type="dxa"/>
            <w:tcBorders>
              <w:left w:val="single" w:sz="4" w:space="0" w:color="000000"/>
              <w:bottom w:val="single" w:sz="4" w:space="0" w:color="000000"/>
            </w:tcBorders>
          </w:tcPr>
          <w:p>
            <w:pPr>
              <w:pStyle w:val="TableParagraph"/>
              <w:spacing w:before="127"/>
              <w:ind w:right="79"/>
              <w:jc w:val="right"/>
              <w:rPr>
                <w:sz w:val="18"/>
              </w:rPr>
            </w:pPr>
            <w:r>
              <w:rPr>
                <w:sz w:val="18"/>
              </w:rPr>
              <w:t>4,730,070,447.82</w:t>
            </w:r>
          </w:p>
        </w:tc>
      </w:tr>
      <w:tr>
        <w:trPr>
          <w:trHeight w:val="364" w:hRule="atLeast"/>
        </w:trPr>
        <w:tc>
          <w:tcPr>
            <w:tcW w:w="2088" w:type="dxa"/>
            <w:tcBorders>
              <w:top w:val="single" w:sz="4" w:space="0" w:color="000000"/>
              <w:bottom w:val="single" w:sz="4" w:space="0" w:color="000000"/>
              <w:right w:val="single" w:sz="6" w:space="0" w:color="000000"/>
            </w:tcBorders>
          </w:tcPr>
          <w:p>
            <w:pPr>
              <w:pStyle w:val="TableParagraph"/>
              <w:spacing w:before="67"/>
              <w:ind w:left="107"/>
              <w:rPr>
                <w:rFonts w:ascii="宋体" w:eastAsia="宋体" w:hint="eastAsia"/>
                <w:sz w:val="18"/>
              </w:rPr>
            </w:pPr>
            <w:r>
              <w:rPr>
                <w:rFonts w:ascii="宋体" w:eastAsia="宋体" w:hint="eastAsia"/>
                <w:sz w:val="18"/>
              </w:rPr>
              <w:t>长期借款</w:t>
            </w:r>
          </w:p>
        </w:tc>
        <w:tc>
          <w:tcPr>
            <w:tcW w:w="2415" w:type="dxa"/>
            <w:tcBorders>
              <w:top w:val="single" w:sz="4" w:space="0" w:color="000000"/>
              <w:left w:val="single" w:sz="6" w:space="0" w:color="000000"/>
              <w:bottom w:val="single" w:sz="4" w:space="0" w:color="000000"/>
              <w:right w:val="single" w:sz="4" w:space="0" w:color="000000"/>
            </w:tcBorders>
          </w:tcPr>
          <w:p>
            <w:pPr>
              <w:pStyle w:val="TableParagraph"/>
              <w:spacing w:before="62"/>
              <w:ind w:right="-15"/>
              <w:jc w:val="right"/>
              <w:rPr>
                <w:rFonts w:ascii="宋体"/>
                <w:sz w:val="18"/>
              </w:rPr>
            </w:pPr>
            <w:r>
              <w:rPr>
                <w:rFonts w:ascii="宋体"/>
                <w:sz w:val="18"/>
              </w:rPr>
              <w:t>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before="74"/>
              <w:ind w:right="87"/>
              <w:jc w:val="right"/>
              <w:rPr>
                <w:sz w:val="18"/>
              </w:rPr>
            </w:pPr>
            <w:r>
              <w:rPr>
                <w:sz w:val="18"/>
              </w:rPr>
              <w:t>13,276,452,935.56</w:t>
            </w:r>
          </w:p>
        </w:tc>
        <w:tc>
          <w:tcPr>
            <w:tcW w:w="2199" w:type="dxa"/>
            <w:tcBorders>
              <w:top w:val="single" w:sz="4" w:space="0" w:color="000000"/>
              <w:left w:val="single" w:sz="4" w:space="0" w:color="000000"/>
              <w:bottom w:val="single" w:sz="4" w:space="0" w:color="000000"/>
            </w:tcBorders>
          </w:tcPr>
          <w:p>
            <w:pPr>
              <w:pStyle w:val="TableParagraph"/>
              <w:spacing w:before="74"/>
              <w:ind w:right="79"/>
              <w:jc w:val="right"/>
              <w:rPr>
                <w:sz w:val="18"/>
              </w:rPr>
            </w:pPr>
            <w:r>
              <w:rPr>
                <w:sz w:val="18"/>
              </w:rPr>
              <w:t>13,276,452,935.56</w:t>
            </w:r>
          </w:p>
        </w:tc>
      </w:tr>
      <w:tr>
        <w:trPr>
          <w:trHeight w:val="364" w:hRule="atLeast"/>
        </w:trPr>
        <w:tc>
          <w:tcPr>
            <w:tcW w:w="2088" w:type="dxa"/>
            <w:tcBorders>
              <w:top w:val="single" w:sz="4" w:space="0" w:color="000000"/>
              <w:bottom w:val="single" w:sz="4" w:space="0" w:color="000000"/>
              <w:right w:val="single" w:sz="6" w:space="0" w:color="000000"/>
            </w:tcBorders>
          </w:tcPr>
          <w:p>
            <w:pPr>
              <w:pStyle w:val="TableParagraph"/>
              <w:spacing w:before="67"/>
              <w:ind w:left="107"/>
              <w:rPr>
                <w:rFonts w:ascii="宋体" w:eastAsia="宋体" w:hint="eastAsia"/>
                <w:sz w:val="18"/>
              </w:rPr>
            </w:pPr>
            <w:r>
              <w:rPr>
                <w:rFonts w:ascii="宋体" w:eastAsia="宋体" w:hint="eastAsia"/>
                <w:sz w:val="18"/>
              </w:rPr>
              <w:t>应付债券</w:t>
            </w:r>
          </w:p>
        </w:tc>
        <w:tc>
          <w:tcPr>
            <w:tcW w:w="2415" w:type="dxa"/>
            <w:tcBorders>
              <w:top w:val="single" w:sz="4" w:space="0" w:color="000000"/>
              <w:left w:val="single" w:sz="6" w:space="0" w:color="000000"/>
              <w:bottom w:val="single" w:sz="4" w:space="0" w:color="000000"/>
              <w:right w:val="single" w:sz="4" w:space="0" w:color="000000"/>
            </w:tcBorders>
          </w:tcPr>
          <w:p>
            <w:pPr>
              <w:pStyle w:val="TableParagraph"/>
              <w:spacing w:before="62"/>
              <w:ind w:right="-15"/>
              <w:jc w:val="right"/>
              <w:rPr>
                <w:rFonts w:ascii="宋体"/>
                <w:sz w:val="18"/>
              </w:rPr>
            </w:pPr>
            <w:r>
              <w:rPr>
                <w:rFonts w:ascii="宋体"/>
                <w:sz w:val="18"/>
              </w:rPr>
              <w:t>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before="74"/>
              <w:ind w:right="87"/>
              <w:jc w:val="right"/>
              <w:rPr>
                <w:sz w:val="18"/>
              </w:rPr>
            </w:pPr>
            <w:r>
              <w:rPr>
                <w:sz w:val="18"/>
              </w:rPr>
              <w:t>7,004,585,761.43</w:t>
            </w:r>
          </w:p>
        </w:tc>
        <w:tc>
          <w:tcPr>
            <w:tcW w:w="2199" w:type="dxa"/>
            <w:tcBorders>
              <w:top w:val="single" w:sz="4" w:space="0" w:color="000000"/>
              <w:left w:val="single" w:sz="4" w:space="0" w:color="000000"/>
              <w:bottom w:val="single" w:sz="4" w:space="0" w:color="000000"/>
            </w:tcBorders>
          </w:tcPr>
          <w:p>
            <w:pPr>
              <w:pStyle w:val="TableParagraph"/>
              <w:spacing w:before="74"/>
              <w:ind w:right="79"/>
              <w:jc w:val="right"/>
              <w:rPr>
                <w:sz w:val="18"/>
              </w:rPr>
            </w:pPr>
            <w:r>
              <w:rPr>
                <w:sz w:val="18"/>
              </w:rPr>
              <w:t>7,004,585,761.43</w:t>
            </w:r>
          </w:p>
        </w:tc>
      </w:tr>
      <w:tr>
        <w:trPr>
          <w:trHeight w:val="364" w:hRule="atLeast"/>
        </w:trPr>
        <w:tc>
          <w:tcPr>
            <w:tcW w:w="2088" w:type="dxa"/>
            <w:tcBorders>
              <w:top w:val="single" w:sz="4" w:space="0" w:color="000000"/>
              <w:bottom w:val="single" w:sz="4" w:space="0" w:color="000000"/>
              <w:right w:val="single" w:sz="6" w:space="0" w:color="000000"/>
            </w:tcBorders>
          </w:tcPr>
          <w:p>
            <w:pPr>
              <w:pStyle w:val="TableParagraph"/>
              <w:spacing w:before="64"/>
              <w:ind w:left="107"/>
              <w:rPr>
                <w:rFonts w:ascii="宋体" w:eastAsia="宋体" w:hint="eastAsia"/>
                <w:sz w:val="18"/>
              </w:rPr>
            </w:pPr>
            <w:r>
              <w:rPr>
                <w:rFonts w:ascii="宋体" w:eastAsia="宋体" w:hint="eastAsia"/>
                <w:sz w:val="18"/>
              </w:rPr>
              <w:t>长期应付款</w:t>
            </w:r>
          </w:p>
        </w:tc>
        <w:tc>
          <w:tcPr>
            <w:tcW w:w="2415" w:type="dxa"/>
            <w:tcBorders>
              <w:top w:val="single" w:sz="4" w:space="0" w:color="000000"/>
              <w:left w:val="single" w:sz="6" w:space="0" w:color="000000"/>
              <w:bottom w:val="single" w:sz="4" w:space="0" w:color="000000"/>
              <w:right w:val="single" w:sz="4" w:space="0" w:color="000000"/>
            </w:tcBorders>
          </w:tcPr>
          <w:p>
            <w:pPr>
              <w:pStyle w:val="TableParagraph"/>
              <w:spacing w:before="62"/>
              <w:ind w:right="-15"/>
              <w:jc w:val="right"/>
              <w:rPr>
                <w:rFonts w:ascii="宋体"/>
                <w:sz w:val="18"/>
              </w:rPr>
            </w:pPr>
            <w:r>
              <w:rPr>
                <w:rFonts w:ascii="宋体"/>
                <w:sz w:val="18"/>
              </w:rPr>
              <w:t> </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before="74"/>
              <w:ind w:right="86"/>
              <w:jc w:val="right"/>
              <w:rPr>
                <w:sz w:val="18"/>
              </w:rPr>
            </w:pPr>
            <w:r>
              <w:rPr>
                <w:sz w:val="18"/>
              </w:rPr>
              <w:t>142,342,718.45</w:t>
            </w:r>
          </w:p>
        </w:tc>
        <w:tc>
          <w:tcPr>
            <w:tcW w:w="2199" w:type="dxa"/>
            <w:tcBorders>
              <w:top w:val="single" w:sz="4" w:space="0" w:color="000000"/>
              <w:left w:val="single" w:sz="4" w:space="0" w:color="000000"/>
              <w:bottom w:val="single" w:sz="4" w:space="0" w:color="000000"/>
            </w:tcBorders>
          </w:tcPr>
          <w:p>
            <w:pPr>
              <w:pStyle w:val="TableParagraph"/>
              <w:spacing w:before="74"/>
              <w:ind w:right="79"/>
              <w:jc w:val="right"/>
              <w:rPr>
                <w:sz w:val="18"/>
              </w:rPr>
            </w:pPr>
            <w:r>
              <w:rPr>
                <w:sz w:val="18"/>
              </w:rPr>
              <w:t>142,342,718.45</w:t>
            </w:r>
          </w:p>
        </w:tc>
      </w:tr>
      <w:tr>
        <w:trPr>
          <w:trHeight w:val="361" w:hRule="atLeast"/>
        </w:trPr>
        <w:tc>
          <w:tcPr>
            <w:tcW w:w="2088" w:type="dxa"/>
            <w:tcBorders>
              <w:top w:val="single" w:sz="4" w:space="0" w:color="000000"/>
              <w:right w:val="single" w:sz="6" w:space="0" w:color="000000"/>
            </w:tcBorders>
          </w:tcPr>
          <w:p>
            <w:pPr>
              <w:pStyle w:val="TableParagraph"/>
              <w:spacing w:before="64"/>
              <w:ind w:left="107"/>
              <w:rPr>
                <w:rFonts w:ascii="宋体" w:eastAsia="宋体" w:hint="eastAsia"/>
                <w:sz w:val="18"/>
              </w:rPr>
            </w:pPr>
            <w:r>
              <w:rPr>
                <w:rFonts w:ascii="宋体" w:eastAsia="宋体" w:hint="eastAsia"/>
                <w:sz w:val="18"/>
              </w:rPr>
              <w:t>其他非流动负债</w:t>
            </w:r>
          </w:p>
        </w:tc>
        <w:tc>
          <w:tcPr>
            <w:tcW w:w="2415" w:type="dxa"/>
            <w:tcBorders>
              <w:top w:val="single" w:sz="4" w:space="0" w:color="000000"/>
              <w:left w:val="single" w:sz="6" w:space="0" w:color="000000"/>
              <w:right w:val="single" w:sz="4" w:space="0" w:color="000000"/>
            </w:tcBorders>
          </w:tcPr>
          <w:p>
            <w:pPr>
              <w:pStyle w:val="TableParagraph"/>
              <w:spacing w:before="74"/>
              <w:ind w:right="86"/>
              <w:jc w:val="right"/>
              <w:rPr>
                <w:sz w:val="18"/>
              </w:rPr>
            </w:pPr>
            <w:r>
              <w:rPr>
                <w:sz w:val="18"/>
              </w:rPr>
              <w:t>54,598,203.27</w:t>
            </w:r>
          </w:p>
        </w:tc>
        <w:tc>
          <w:tcPr>
            <w:tcW w:w="2343" w:type="dxa"/>
            <w:tcBorders>
              <w:top w:val="single" w:sz="4" w:space="0" w:color="000000"/>
              <w:left w:val="single" w:sz="4" w:space="0" w:color="000000"/>
              <w:right w:val="single" w:sz="4" w:space="0" w:color="000000"/>
            </w:tcBorders>
          </w:tcPr>
          <w:p>
            <w:pPr>
              <w:pStyle w:val="TableParagraph"/>
              <w:spacing w:before="62"/>
              <w:ind w:right="-15"/>
              <w:jc w:val="right"/>
              <w:rPr>
                <w:rFonts w:ascii="宋体"/>
                <w:sz w:val="18"/>
              </w:rPr>
            </w:pPr>
            <w:r>
              <w:rPr>
                <w:rFonts w:ascii="宋体"/>
                <w:sz w:val="18"/>
              </w:rPr>
              <w:t> </w:t>
            </w:r>
          </w:p>
        </w:tc>
        <w:tc>
          <w:tcPr>
            <w:tcW w:w="2199" w:type="dxa"/>
            <w:tcBorders>
              <w:top w:val="single" w:sz="4" w:space="0" w:color="000000"/>
              <w:left w:val="single" w:sz="4" w:space="0" w:color="000000"/>
            </w:tcBorders>
          </w:tcPr>
          <w:p>
            <w:pPr>
              <w:pStyle w:val="TableParagraph"/>
              <w:spacing w:before="74"/>
              <w:ind w:right="79"/>
              <w:jc w:val="right"/>
              <w:rPr>
                <w:sz w:val="18"/>
              </w:rPr>
            </w:pPr>
            <w:r>
              <w:rPr>
                <w:sz w:val="18"/>
              </w:rPr>
              <w:t>54,598,203.27</w:t>
            </w:r>
          </w:p>
        </w:tc>
      </w:tr>
    </w:tbl>
    <w:p>
      <w:pPr>
        <w:pStyle w:val="BodyText"/>
        <w:spacing w:before="17"/>
        <w:rPr>
          <w:rFonts w:ascii="Microsoft JhengHei"/>
          <w:b/>
          <w:sz w:val="4"/>
        </w:rPr>
      </w:pPr>
    </w:p>
    <w:p>
      <w:pPr>
        <w:pStyle w:val="BodyText"/>
        <w:spacing w:line="357" w:lineRule="auto" w:before="72"/>
        <w:ind w:left="1538" w:right="1277" w:firstLine="419"/>
        <w:jc w:val="both"/>
      </w:pPr>
      <w:r>
        <w:rPr/>
        <w:t>本公司各项金融工具的详细情况说明请见本附注七相关项目。与这些金融工具有关的风险， 以及公司为降低这些风险所采取的风险管理政策如下所述。公司管理层对这些风险敞口进行管理和监控以确保将上述风险控制在限定的范围之内。</w:t>
      </w:r>
    </w:p>
    <w:p>
      <w:pPr>
        <w:pStyle w:val="BodyText"/>
        <w:spacing w:before="48"/>
        <w:ind w:left="1965"/>
        <w:jc w:val="both"/>
      </w:pPr>
      <w:r>
        <w:rPr>
          <w:rFonts w:ascii="Times New Roman" w:eastAsia="Times New Roman"/>
        </w:rPr>
        <w:t>1</w:t>
      </w:r>
      <w:r>
        <w:rPr/>
        <w:t>、 信用风险</w:t>
      </w:r>
    </w:p>
    <w:p>
      <w:pPr>
        <w:pStyle w:val="BodyText"/>
        <w:spacing w:line="357" w:lineRule="auto" w:before="180"/>
        <w:ind w:left="1538" w:right="1277" w:firstLine="419"/>
      </w:pPr>
      <w:r>
        <w:rPr/>
        <w:t>本公司的信用风险主要产生于银行存款、应收票据、应收账款、应收利息、其他应收款及理财产品等。</w:t>
      </w:r>
    </w:p>
    <w:p>
      <w:pPr>
        <w:pStyle w:val="BodyText"/>
        <w:spacing w:line="357" w:lineRule="auto" w:before="50"/>
        <w:ind w:left="1538" w:right="1267"/>
        <w:jc w:val="both"/>
      </w:pPr>
      <w:r>
        <w:rPr>
          <w:spacing w:val="-17"/>
        </w:rPr>
        <w:t>（</w:t>
      </w:r>
      <w:r>
        <w:rPr>
          <w:rFonts w:ascii="Times New Roman" w:eastAsia="Times New Roman"/>
          <w:spacing w:val="-17"/>
        </w:rPr>
        <w:t>1</w:t>
      </w:r>
      <w:r>
        <w:rPr>
          <w:spacing w:val="-17"/>
        </w:rPr>
        <w:t>）</w:t>
      </w:r>
      <w:r>
        <w:rPr>
          <w:spacing w:val="-5"/>
        </w:rPr>
        <w:t>本公司银行存款及理财产品主要存放于海尔集团财务有限责任公司、国有银行和其它大中型</w:t>
      </w:r>
      <w:r>
        <w:rPr>
          <w:spacing w:val="-4"/>
        </w:rPr>
        <w:t>上市银行。应收利息主要为存放于上述银行的定期存款产生的应计利息。本集团认为其不存在重</w:t>
      </w:r>
      <w:r>
        <w:rPr>
          <w:spacing w:val="-6"/>
        </w:rPr>
        <w:t>大的信用风险，不会产生因对方单位违约而导致的任何重大损失。</w:t>
      </w:r>
      <w:r>
        <w:rPr>
          <w:spacing w:val="-7"/>
        </w:rPr>
        <w:t>（</w:t>
      </w:r>
      <w:r>
        <w:rPr>
          <w:rFonts w:ascii="Times New Roman" w:eastAsia="Times New Roman"/>
          <w:spacing w:val="-7"/>
        </w:rPr>
        <w:t>2</w:t>
      </w:r>
      <w:r>
        <w:rPr>
          <w:spacing w:val="-7"/>
        </w:rPr>
        <w:t>）应收账款、应收票据：本</w:t>
      </w:r>
      <w:r>
        <w:rPr>
          <w:spacing w:val="-5"/>
        </w:rPr>
        <w:t>公司仅与经认可的、信誉良好的第三方进行交易。按照本公司的政策，需对所有要求采用信用方</w:t>
      </w:r>
      <w:r>
        <w:rPr>
          <w:spacing w:val="-4"/>
        </w:rPr>
        <w:t>式进行交易的客户进行信用审核，并合理确定账期。本公司对应收账款余额进行持续监控并对大</w:t>
      </w:r>
      <w:r>
        <w:rPr>
          <w:spacing w:val="-7"/>
        </w:rPr>
        <w:t>额授信客户的应收款项购买信用保险，以确保本公司不致面临重大坏账风险。</w:t>
      </w:r>
      <w:r>
        <w:rPr>
          <w:spacing w:val="-9"/>
        </w:rPr>
        <w:t>（</w:t>
      </w:r>
      <w:r>
        <w:rPr>
          <w:rFonts w:ascii="Times New Roman" w:eastAsia="Times New Roman"/>
          <w:spacing w:val="-9"/>
        </w:rPr>
        <w:t>3</w:t>
      </w:r>
      <w:r>
        <w:rPr>
          <w:spacing w:val="-9"/>
        </w:rPr>
        <w:t>）</w:t>
      </w:r>
      <w:r>
        <w:rPr>
          <w:spacing w:val="-3"/>
        </w:rPr>
        <w:t>本公司的其他应收款主要系应收出口退税款、往来借款、备用金等，公司根据历史发生情况对此等款项与相关经济业务加强了管理并持续监控，以确保本公司重大坏账风险可控并进一步降低。</w:t>
      </w:r>
    </w:p>
    <w:p>
      <w:pPr>
        <w:pStyle w:val="BodyText"/>
        <w:spacing w:before="43"/>
        <w:ind w:left="1965"/>
        <w:jc w:val="both"/>
      </w:pPr>
      <w:r>
        <w:rPr>
          <w:rFonts w:ascii="Times New Roman" w:eastAsia="Times New Roman"/>
        </w:rPr>
        <w:t>2</w:t>
      </w:r>
      <w:r>
        <w:rPr/>
        <w:t>、 流动风险</w:t>
      </w:r>
    </w:p>
    <w:p>
      <w:pPr>
        <w:pStyle w:val="BodyText"/>
        <w:spacing w:line="357" w:lineRule="auto" w:before="180"/>
        <w:ind w:left="1538" w:right="1268" w:firstLine="419"/>
        <w:jc w:val="both"/>
      </w:pPr>
      <w:r>
        <w:rPr>
          <w:spacing w:val="-15"/>
        </w:rPr>
        <w:t>流动风险，是指企业在履行与金融负债有关的义务时遇到资金短缺的风险。为控制该项风险， </w:t>
      </w:r>
      <w:r>
        <w:rPr>
          <w:spacing w:val="-7"/>
        </w:rPr>
        <w:t>本公司综合运用票据结算、银行借款等多种融资手段，保持融资持续性与灵活性之间的平衡。本</w:t>
      </w:r>
      <w:r>
        <w:rPr>
          <w:spacing w:val="-5"/>
        </w:rPr>
        <w:t>公司已从多家商业银行取得银行授信额度以满足营运资金需求和资本开支。</w:t>
      </w:r>
    </w:p>
    <w:p>
      <w:pPr>
        <w:pStyle w:val="BodyText"/>
        <w:spacing w:before="47"/>
        <w:ind w:left="1965"/>
        <w:jc w:val="both"/>
      </w:pPr>
      <w:r>
        <w:rPr>
          <w:rFonts w:ascii="Times New Roman" w:eastAsia="Times New Roman"/>
        </w:rPr>
        <w:t>3</w:t>
      </w:r>
      <w:r>
        <w:rPr/>
        <w:t>、 汇率风险</w:t>
      </w:r>
    </w:p>
    <w:p>
      <w:pPr>
        <w:pStyle w:val="BodyText"/>
        <w:spacing w:line="242" w:lineRule="auto" w:before="75"/>
        <w:ind w:left="1538" w:right="1277" w:firstLine="419"/>
      </w:pPr>
      <w:r>
        <w:rPr/>
        <w:t>本公司的业务位于中国大陆、美国、日本、东南亚、南亚、中东非、欧洲及澳洲等，主要业务以人民币、美元及其他货币结算。</w:t>
      </w:r>
    </w:p>
    <w:p>
      <w:pPr>
        <w:pStyle w:val="BodyText"/>
        <w:spacing w:line="357" w:lineRule="auto" w:before="159"/>
        <w:ind w:left="1538" w:right="1277" w:firstLine="419"/>
        <w:jc w:val="both"/>
      </w:pPr>
      <w:r>
        <w:rPr/>
        <w:t>本公司海外公司的外币资产和负债及未来的外币交易存在汇率波动风险。本公司财务部门负责监控外币交易和外币资产及负债的规模，以最大程度降低面临的汇率波动风险；本公司以签署远期外汇合约的方式来达到规避汇率波动风险的目的。</w:t>
      </w:r>
    </w:p>
    <w:p>
      <w:pPr>
        <w:spacing w:line="363" w:lineRule="exact" w:before="0"/>
        <w:ind w:left="1965" w:right="0" w:firstLine="0"/>
        <w:jc w:val="both"/>
        <w:rPr>
          <w:sz w:val="21"/>
        </w:rPr>
      </w:pPr>
      <w:r>
        <w:rPr>
          <w:rFonts w:ascii="Times New Roman" w:eastAsia="Times New Roman"/>
          <w:b/>
          <w:sz w:val="21"/>
        </w:rPr>
        <w:t>4</w:t>
      </w:r>
      <w:r>
        <w:rPr>
          <w:rFonts w:ascii="Microsoft JhengHei" w:eastAsia="Microsoft JhengHei" w:hint="eastAsia"/>
          <w:b/>
          <w:sz w:val="21"/>
        </w:rPr>
        <w:t>、 </w:t>
      </w:r>
      <w:r>
        <w:rPr>
          <w:sz w:val="21"/>
        </w:rPr>
        <w:t>利率风险</w:t>
      </w:r>
    </w:p>
    <w:p>
      <w:pPr>
        <w:pStyle w:val="BodyText"/>
        <w:spacing w:line="357" w:lineRule="auto" w:before="135"/>
        <w:ind w:left="1538" w:right="1273" w:firstLine="424"/>
        <w:jc w:val="both"/>
      </w:pPr>
      <w:r>
        <w:rPr/>
        <w:t>本公司的利率风险主要产生于长短期银行借款及应付债券等带息债务。浮动利率的金融负债使本公司面临现金流量利率风险，固定利率的金融负债使本公司面临公允价值利率风险。本集团根据当时的市场环境来决定固定利率及浮动利率合同的相对比例。</w:t>
      </w:r>
    </w:p>
    <w:p>
      <w:pPr>
        <w:spacing w:after="0" w:line="357" w:lineRule="auto"/>
        <w:jc w:val="both"/>
        <w:sectPr>
          <w:pgSz w:w="11910" w:h="16840"/>
          <w:pgMar w:header="876" w:footer="1214" w:top="1440" w:bottom="1400" w:left="260" w:right="0"/>
        </w:sectPr>
      </w:pPr>
    </w:p>
    <w:p>
      <w:pPr>
        <w:pStyle w:val="Heading4"/>
        <w:spacing w:line="385" w:lineRule="exact"/>
      </w:pPr>
      <w:r>
        <w:rPr/>
        <w:t>十七、 其他重要事项</w:t>
      </w:r>
    </w:p>
    <w:p>
      <w:pPr>
        <w:pStyle w:val="BodyText"/>
        <w:spacing w:line="348" w:lineRule="auto" w:before="178"/>
        <w:ind w:left="1538" w:right="1162" w:firstLine="419"/>
      </w:pPr>
      <w:r>
        <w:rPr>
          <w:rFonts w:ascii="Times New Roman" w:hAnsi="Times New Roman" w:eastAsia="Times New Roman"/>
        </w:rPr>
        <w:t>1</w:t>
      </w:r>
      <w:r>
        <w:rPr>
          <w:spacing w:val="-12"/>
        </w:rPr>
        <w:t>、</w:t>
      </w:r>
      <w:r>
        <w:rPr>
          <w:rFonts w:ascii="Times New Roman" w:hAnsi="Times New Roman" w:eastAsia="Times New Roman"/>
        </w:rPr>
        <w:t>2020 </w:t>
      </w:r>
      <w:r>
        <w:rPr>
          <w:spacing w:val="-24"/>
        </w:rPr>
        <w:t>年 </w:t>
      </w:r>
      <w:r>
        <w:rPr>
          <w:rFonts w:ascii="Times New Roman" w:hAnsi="Times New Roman" w:eastAsia="Times New Roman"/>
        </w:rPr>
        <w:t>7 </w:t>
      </w:r>
      <w:r>
        <w:rPr>
          <w:spacing w:val="-24"/>
        </w:rPr>
        <w:t>月 </w:t>
      </w:r>
      <w:r>
        <w:rPr>
          <w:rFonts w:ascii="Times New Roman" w:hAnsi="Times New Roman" w:eastAsia="Times New Roman"/>
        </w:rPr>
        <w:t>30 </w:t>
      </w:r>
      <w:r>
        <w:rPr>
          <w:spacing w:val="-6"/>
        </w:rPr>
        <w:t>日，第十届董事会第十次会议逐项审议通过《关于本次重大资产重组具体方案的议案》。方案概述：公司作为要约人请求海尔电器集团有限公司</w:t>
      </w:r>
      <w:r>
        <w:rPr/>
        <w:t>（</w:t>
      </w:r>
      <w:r>
        <w:rPr>
          <w:spacing w:val="-2"/>
        </w:rPr>
        <w:t>以下简称</w:t>
      </w:r>
      <w:r>
        <w:rPr>
          <w:rFonts w:ascii="Times New Roman" w:hAnsi="Times New Roman" w:eastAsia="Times New Roman"/>
        </w:rPr>
        <w:t>“</w:t>
      </w:r>
      <w:r>
        <w:rPr/>
        <w:t>海尔电器</w:t>
      </w:r>
      <w:r>
        <w:rPr>
          <w:rFonts w:ascii="Times New Roman" w:hAnsi="Times New Roman" w:eastAsia="Times New Roman"/>
        </w:rPr>
        <w:t>”</w:t>
      </w:r>
      <w:r>
        <w:rPr/>
        <w:t>） </w:t>
      </w:r>
      <w:r>
        <w:rPr>
          <w:spacing w:val="-3"/>
        </w:rPr>
        <w:t>董事会在先决条件达成后，向海尔电器除公司及公司子公司以外的所有持有海尔电器已发行或在协议安排记录日前可能发行的股份（以下简称</w:t>
      </w:r>
      <w:r>
        <w:rPr>
          <w:rFonts w:ascii="Times New Roman" w:hAnsi="Times New Roman" w:eastAsia="Times New Roman"/>
          <w:spacing w:val="-3"/>
        </w:rPr>
        <w:t>“</w:t>
      </w:r>
      <w:r>
        <w:rPr>
          <w:spacing w:val="-3"/>
        </w:rPr>
        <w:t>计划股份</w:t>
      </w:r>
      <w:r>
        <w:rPr>
          <w:rFonts w:ascii="Times New Roman" w:hAnsi="Times New Roman" w:eastAsia="Times New Roman"/>
          <w:spacing w:val="-3"/>
        </w:rPr>
        <w:t>”</w:t>
      </w:r>
      <w:r>
        <w:rPr>
          <w:spacing w:val="-3"/>
        </w:rPr>
        <w:t>）的股东（以下简称</w:t>
      </w:r>
      <w:r>
        <w:rPr>
          <w:rFonts w:ascii="Times New Roman" w:hAnsi="Times New Roman" w:eastAsia="Times New Roman"/>
          <w:spacing w:val="-3"/>
        </w:rPr>
        <w:t>“</w:t>
      </w:r>
      <w:r>
        <w:rPr>
          <w:spacing w:val="-3"/>
        </w:rPr>
        <w:t>计划股东</w:t>
      </w:r>
      <w:r>
        <w:rPr>
          <w:rFonts w:ascii="Times New Roman" w:hAnsi="Times New Roman" w:eastAsia="Times New Roman"/>
          <w:spacing w:val="-3"/>
        </w:rPr>
        <w:t>”</w:t>
      </w:r>
      <w:r>
        <w:rPr>
          <w:spacing w:val="-3"/>
        </w:rPr>
        <w:t>）提出</w:t>
      </w:r>
      <w:r>
        <w:rPr>
          <w:spacing w:val="-4"/>
        </w:rPr>
        <w:t>以协议安排方式私有化海尔电器的提议，该提议将根据百慕大公司法第 </w:t>
      </w:r>
      <w:r>
        <w:rPr>
          <w:rFonts w:ascii="Times New Roman" w:hAnsi="Times New Roman" w:eastAsia="Times New Roman"/>
        </w:rPr>
        <w:t>99 </w:t>
      </w:r>
      <w:r>
        <w:rPr>
          <w:spacing w:val="-3"/>
        </w:rPr>
        <w:t>条以涉及</w:t>
      </w:r>
      <w:r>
        <w:rPr/>
        <w:t>（</w:t>
      </w:r>
      <w:r>
        <w:rPr>
          <w:spacing w:val="-3"/>
        </w:rPr>
        <w:t>其中包括</w:t>
      </w:r>
      <w:r>
        <w:rPr/>
        <w:t>） </w:t>
      </w:r>
      <w:r>
        <w:rPr>
          <w:spacing w:val="-1"/>
        </w:rPr>
        <w:t>注销所有计划股份的协议安排</w:t>
      </w:r>
      <w:r>
        <w:rPr/>
        <w:t>（以下简称</w:t>
      </w:r>
      <w:r>
        <w:rPr>
          <w:rFonts w:ascii="Times New Roman" w:hAnsi="Times New Roman" w:eastAsia="Times New Roman"/>
        </w:rPr>
        <w:t>“</w:t>
      </w:r>
      <w:r>
        <w:rPr/>
        <w:t>协议安排</w:t>
      </w:r>
      <w:r>
        <w:rPr>
          <w:rFonts w:ascii="Times New Roman" w:hAnsi="Times New Roman" w:eastAsia="Times New Roman"/>
        </w:rPr>
        <w:t>”</w:t>
      </w:r>
      <w:r>
        <w:rPr/>
        <w:t>）</w:t>
      </w:r>
      <w:r>
        <w:rPr>
          <w:spacing w:val="-2"/>
        </w:rPr>
        <w:t>的方式进行，计划股东将获得公司新发行</w:t>
      </w:r>
      <w:r>
        <w:rPr>
          <w:spacing w:val="-4"/>
        </w:rPr>
        <w:t>的 </w:t>
      </w:r>
      <w:r>
        <w:rPr>
          <w:rFonts w:ascii="Times New Roman" w:hAnsi="Times New Roman" w:eastAsia="Times New Roman"/>
        </w:rPr>
        <w:t>H </w:t>
      </w:r>
      <w:r>
        <w:rPr>
          <w:spacing w:val="-3"/>
        </w:rPr>
        <w:t>股股票及海尔电器支付的现金付款。协议安排具体将通过如下步骤实现</w:t>
      </w:r>
      <w:r>
        <w:rPr/>
        <w:t>：（</w:t>
      </w:r>
      <w:r>
        <w:rPr>
          <w:rFonts w:ascii="Times New Roman" w:hAnsi="Times New Roman" w:eastAsia="Times New Roman"/>
        </w:rPr>
        <w:t>1</w:t>
      </w:r>
      <w:r>
        <w:rPr/>
        <w:t>）</w:t>
      </w:r>
      <w:r>
        <w:rPr>
          <w:spacing w:val="-3"/>
        </w:rPr>
        <w:t>所有计划股份将被注销；</w:t>
      </w:r>
      <w:r>
        <w:rPr/>
        <w:t>（</w:t>
      </w:r>
      <w:r>
        <w:rPr>
          <w:rFonts w:ascii="Times New Roman" w:hAnsi="Times New Roman" w:eastAsia="Times New Roman"/>
        </w:rPr>
        <w:t>2</w:t>
      </w:r>
      <w:r>
        <w:rPr/>
        <w:t>）</w:t>
      </w:r>
      <w:r>
        <w:rPr>
          <w:spacing w:val="-15"/>
        </w:rPr>
        <w:t>就每 </w:t>
      </w:r>
      <w:r>
        <w:rPr>
          <w:rFonts w:ascii="Times New Roman" w:hAnsi="Times New Roman" w:eastAsia="Times New Roman"/>
        </w:rPr>
        <w:t>1 </w:t>
      </w:r>
      <w:r>
        <w:rPr>
          <w:spacing w:val="-6"/>
        </w:rPr>
        <w:t>股被注销的计划股份，计划股东将获得 </w:t>
      </w:r>
      <w:r>
        <w:rPr>
          <w:rFonts w:ascii="Times New Roman" w:hAnsi="Times New Roman" w:eastAsia="Times New Roman"/>
        </w:rPr>
        <w:t>1.60 </w:t>
      </w:r>
      <w:r>
        <w:rPr>
          <w:spacing w:val="-9"/>
        </w:rPr>
        <w:t>股公司新发行的 </w:t>
      </w:r>
      <w:r>
        <w:rPr>
          <w:rFonts w:ascii="Times New Roman" w:hAnsi="Times New Roman" w:eastAsia="Times New Roman"/>
        </w:rPr>
        <w:t>H </w:t>
      </w:r>
      <w:r>
        <w:rPr>
          <w:spacing w:val="-2"/>
        </w:rPr>
        <w:t>股股份</w:t>
      </w:r>
      <w:r>
        <w:rPr>
          <w:spacing w:val="-5"/>
        </w:rPr>
        <w:t>及 </w:t>
      </w:r>
      <w:r>
        <w:rPr>
          <w:rFonts w:ascii="Times New Roman" w:hAnsi="Times New Roman" w:eastAsia="Times New Roman"/>
        </w:rPr>
        <w:t>1.95 </w:t>
      </w:r>
      <w:r>
        <w:rPr>
          <w:spacing w:val="-3"/>
        </w:rPr>
        <w:t>港元海尔电器支付的现金付款；</w:t>
      </w:r>
      <w:r>
        <w:rPr/>
        <w:t>（</w:t>
      </w:r>
      <w:r>
        <w:rPr>
          <w:rFonts w:ascii="Times New Roman" w:hAnsi="Times New Roman" w:eastAsia="Times New Roman"/>
        </w:rPr>
        <w:t>3</w:t>
      </w:r>
      <w:r>
        <w:rPr/>
        <w:t>）</w:t>
      </w:r>
      <w:r>
        <w:rPr>
          <w:spacing w:val="-3"/>
        </w:rPr>
        <w:t>海尔电器将通过注销计划股份的方式减少已发行股份，并在股本减少后立即向公司发行与注销的计划股份数量相同的新股份，使海尔电器的已发行</w:t>
      </w:r>
      <w:r>
        <w:rPr>
          <w:spacing w:val="-7"/>
        </w:rPr>
        <w:t>股份增加至注销计划股份之前的数额；以及</w:t>
      </w:r>
      <w:r>
        <w:rPr>
          <w:spacing w:val="-9"/>
        </w:rPr>
        <w:t>（</w:t>
      </w:r>
      <w:r>
        <w:rPr>
          <w:rFonts w:ascii="Times New Roman" w:hAnsi="Times New Roman" w:eastAsia="Times New Roman"/>
          <w:spacing w:val="-9"/>
        </w:rPr>
        <w:t>4</w:t>
      </w:r>
      <w:r>
        <w:rPr>
          <w:spacing w:val="-9"/>
        </w:rPr>
        <w:t>）</w:t>
      </w:r>
      <w:r>
        <w:rPr>
          <w:spacing w:val="-6"/>
        </w:rPr>
        <w:t>在该计划生效后，从海尔电器的股本溢价及其他储备科目中减少相当于注销计划股份的现金付款的金额。协议安排生效后：</w:t>
      </w:r>
      <w:r>
        <w:rPr>
          <w:spacing w:val="-19"/>
        </w:rPr>
        <w:t>（</w:t>
      </w:r>
      <w:r>
        <w:rPr>
          <w:rFonts w:ascii="Times New Roman" w:hAnsi="Times New Roman" w:eastAsia="Times New Roman"/>
          <w:spacing w:val="-19"/>
        </w:rPr>
        <w:t>1</w:t>
      </w:r>
      <w:r>
        <w:rPr>
          <w:spacing w:val="-19"/>
        </w:rPr>
        <w:t>）</w:t>
      </w:r>
      <w:r>
        <w:rPr>
          <w:spacing w:val="-3"/>
        </w:rPr>
        <w:t>海尔电器将从香港联交所退市并成为公司的全资或控股子公司</w:t>
      </w:r>
      <w:r>
        <w:rPr/>
        <w:t>（</w:t>
      </w:r>
      <w:r>
        <w:rPr>
          <w:rFonts w:ascii="Times New Roman" w:hAnsi="Times New Roman" w:eastAsia="Times New Roman"/>
        </w:rPr>
        <w:t>2</w:t>
      </w:r>
      <w:r>
        <w:rPr/>
        <w:t>）</w:t>
      </w:r>
      <w:r>
        <w:rPr>
          <w:spacing w:val="-3"/>
        </w:rPr>
        <w:t>公司 </w:t>
      </w:r>
      <w:r>
        <w:rPr>
          <w:rFonts w:ascii="Times New Roman" w:hAnsi="Times New Roman" w:eastAsia="Times New Roman"/>
        </w:rPr>
        <w:t>H </w:t>
      </w:r>
      <w:r>
        <w:rPr>
          <w:spacing w:val="-3"/>
        </w:rPr>
        <w:t>股以介绍方式在香港联交所主板上市并挂牌交易，</w:t>
      </w:r>
      <w:r>
        <w:rPr/>
        <w:t>（</w:t>
      </w:r>
      <w:r>
        <w:rPr>
          <w:rFonts w:ascii="Times New Roman" w:hAnsi="Times New Roman" w:eastAsia="Times New Roman"/>
        </w:rPr>
        <w:t>3</w:t>
      </w:r>
      <w:r>
        <w:rPr/>
        <w:t>）</w:t>
      </w:r>
      <w:r>
        <w:rPr>
          <w:spacing w:val="2"/>
        </w:rPr>
        <w:t>计划股东将成为公司</w:t>
      </w:r>
      <w:r>
        <w:rPr>
          <w:rFonts w:ascii="Times New Roman" w:hAnsi="Times New Roman" w:eastAsia="Times New Roman"/>
        </w:rPr>
        <w:t>H </w:t>
      </w:r>
      <w:r>
        <w:rPr>
          <w:spacing w:val="-1"/>
        </w:rPr>
        <w:t>股股东。</w:t>
      </w:r>
    </w:p>
    <w:p>
      <w:pPr>
        <w:pStyle w:val="BodyText"/>
        <w:spacing w:before="118"/>
        <w:ind w:right="1268"/>
        <w:jc w:val="right"/>
      </w:pPr>
      <w:r>
        <w:rPr/>
        <w:t>本次</w:t>
      </w:r>
      <w:r>
        <w:rPr>
          <w:sz w:val="20"/>
        </w:rPr>
        <w:t>私有化方案</w:t>
      </w:r>
      <w:r>
        <w:rPr>
          <w:spacing w:val="-23"/>
        </w:rPr>
        <w:t>于 </w:t>
      </w:r>
      <w:r>
        <w:rPr>
          <w:rFonts w:ascii="Times New Roman" w:eastAsia="Times New Roman"/>
        </w:rPr>
        <w:t>2020</w:t>
      </w:r>
      <w:r>
        <w:rPr>
          <w:rFonts w:ascii="Times New Roman" w:eastAsia="Times New Roman"/>
          <w:spacing w:val="8"/>
        </w:rPr>
        <w:t> </w:t>
      </w:r>
      <w:r>
        <w:rPr>
          <w:spacing w:val="-24"/>
        </w:rPr>
        <w:t>年 </w:t>
      </w:r>
      <w:r>
        <w:rPr>
          <w:rFonts w:ascii="Times New Roman" w:eastAsia="Times New Roman"/>
        </w:rPr>
        <w:t>12</w:t>
      </w:r>
      <w:r>
        <w:rPr>
          <w:rFonts w:ascii="Times New Roman" w:eastAsia="Times New Roman"/>
          <w:spacing w:val="8"/>
        </w:rPr>
        <w:t> </w:t>
      </w:r>
      <w:r>
        <w:rPr>
          <w:spacing w:val="-23"/>
        </w:rPr>
        <w:t>月 </w:t>
      </w:r>
      <w:r>
        <w:rPr>
          <w:rFonts w:ascii="Times New Roman" w:eastAsia="Times New Roman"/>
        </w:rPr>
        <w:t>21</w:t>
      </w:r>
      <w:r>
        <w:rPr>
          <w:rFonts w:ascii="Times New Roman" w:eastAsia="Times New Roman"/>
          <w:spacing w:val="5"/>
        </w:rPr>
        <w:t> </w:t>
      </w:r>
      <w:r>
        <w:rPr/>
        <w:t>日</w:t>
      </w:r>
      <w:r>
        <w:rPr>
          <w:spacing w:val="-3"/>
        </w:rPr>
        <w:t>（百慕大时间</w:t>
      </w:r>
      <w:r>
        <w:rPr/>
        <w:t>）</w:t>
      </w:r>
      <w:r>
        <w:rPr>
          <w:spacing w:val="-8"/>
        </w:rPr>
        <w:t>生效；海尔电器于 </w:t>
      </w:r>
      <w:r>
        <w:rPr>
          <w:rFonts w:ascii="Times New Roman" w:eastAsia="Times New Roman"/>
        </w:rPr>
        <w:t>2020</w:t>
      </w:r>
      <w:r>
        <w:rPr>
          <w:rFonts w:ascii="Times New Roman" w:eastAsia="Times New Roman"/>
          <w:spacing w:val="4"/>
        </w:rPr>
        <w:t> </w:t>
      </w:r>
      <w:r>
        <w:rPr>
          <w:spacing w:val="-23"/>
        </w:rPr>
        <w:t>年 </w:t>
      </w:r>
      <w:r>
        <w:rPr>
          <w:rFonts w:ascii="Times New Roman" w:eastAsia="Times New Roman"/>
        </w:rPr>
        <w:t>12</w:t>
      </w:r>
      <w:r>
        <w:rPr>
          <w:rFonts w:ascii="Times New Roman" w:eastAsia="Times New Roman"/>
          <w:spacing w:val="8"/>
        </w:rPr>
        <w:t> </w:t>
      </w:r>
      <w:r>
        <w:rPr>
          <w:spacing w:val="-24"/>
        </w:rPr>
        <w:t>月 </w:t>
      </w:r>
      <w:r>
        <w:rPr>
          <w:rFonts w:ascii="Times New Roman" w:eastAsia="Times New Roman"/>
        </w:rPr>
        <w:t>23</w:t>
      </w:r>
      <w:r>
        <w:rPr>
          <w:rFonts w:ascii="Times New Roman" w:eastAsia="Times New Roman"/>
          <w:spacing w:val="8"/>
        </w:rPr>
        <w:t> </w:t>
      </w:r>
      <w:r>
        <w:rPr/>
        <w:t>日</w:t>
      </w:r>
    </w:p>
    <w:p>
      <w:pPr>
        <w:pStyle w:val="BodyText"/>
        <w:spacing w:before="120"/>
        <w:ind w:right="1270"/>
        <w:jc w:val="right"/>
        <w:rPr>
          <w:rFonts w:ascii="Times New Roman" w:eastAsia="Times New Roman"/>
        </w:rPr>
      </w:pPr>
      <w:r>
        <w:rPr>
          <w:spacing w:val="-16"/>
        </w:rPr>
        <w:t>上午 </w:t>
      </w:r>
      <w:r>
        <w:rPr>
          <w:rFonts w:ascii="Times New Roman" w:eastAsia="Times New Roman"/>
        </w:rPr>
        <w:t>9:00</w:t>
      </w:r>
      <w:r>
        <w:rPr>
          <w:rFonts w:ascii="Times New Roman" w:eastAsia="Times New Roman"/>
          <w:spacing w:val="7"/>
        </w:rPr>
        <w:t> </w:t>
      </w:r>
      <w:r>
        <w:rPr>
          <w:spacing w:val="-13"/>
        </w:rPr>
        <w:t>时</w:t>
      </w:r>
      <w:r>
        <w:rPr/>
        <w:t>（</w:t>
      </w:r>
      <w:r>
        <w:rPr>
          <w:spacing w:val="-3"/>
        </w:rPr>
        <w:t>北京时间</w:t>
      </w:r>
      <w:r>
        <w:rPr>
          <w:spacing w:val="-13"/>
        </w:rPr>
        <w:t>）</w:t>
      </w:r>
      <w:r>
        <w:rPr>
          <w:spacing w:val="-3"/>
        </w:rPr>
        <w:t>起于香港联交所退市，成为公司的全资子公司；公司</w:t>
      </w:r>
      <w:r>
        <w:rPr>
          <w:rFonts w:ascii="Times New Roman" w:eastAsia="Times New Roman"/>
        </w:rPr>
        <w:t>H</w:t>
      </w:r>
      <w:r>
        <w:rPr>
          <w:rFonts w:ascii="Times New Roman" w:eastAsia="Times New Roman"/>
          <w:spacing w:val="8"/>
        </w:rPr>
        <w:t> </w:t>
      </w:r>
      <w:r>
        <w:rPr>
          <w:spacing w:val="-17"/>
        </w:rPr>
        <w:t>股于 </w:t>
      </w:r>
      <w:r>
        <w:rPr>
          <w:rFonts w:ascii="Times New Roman" w:eastAsia="Times New Roman"/>
        </w:rPr>
        <w:t>2020</w:t>
      </w:r>
      <w:r>
        <w:rPr>
          <w:rFonts w:ascii="Times New Roman" w:eastAsia="Times New Roman"/>
          <w:spacing w:val="7"/>
        </w:rPr>
        <w:t> </w:t>
      </w:r>
      <w:r>
        <w:rPr>
          <w:spacing w:val="-25"/>
        </w:rPr>
        <w:t>年 </w:t>
      </w:r>
      <w:r>
        <w:rPr>
          <w:rFonts w:ascii="Times New Roman" w:eastAsia="Times New Roman"/>
        </w:rPr>
        <w:t>12</w:t>
      </w:r>
    </w:p>
    <w:p>
      <w:pPr>
        <w:pStyle w:val="BodyText"/>
        <w:spacing w:before="122"/>
        <w:ind w:right="1268"/>
        <w:jc w:val="right"/>
      </w:pPr>
      <w:r>
        <w:rPr>
          <w:spacing w:val="-14"/>
        </w:rPr>
        <w:t>月 </w:t>
      </w:r>
      <w:r>
        <w:rPr>
          <w:rFonts w:ascii="Times New Roman" w:eastAsia="Times New Roman"/>
        </w:rPr>
        <w:t>23</w:t>
      </w:r>
      <w:r>
        <w:rPr>
          <w:rFonts w:ascii="Times New Roman" w:eastAsia="Times New Roman"/>
          <w:spacing w:val="24"/>
        </w:rPr>
        <w:t> </w:t>
      </w:r>
      <w:r>
        <w:rPr>
          <w:spacing w:val="-9"/>
        </w:rPr>
        <w:t>日上午 </w:t>
      </w:r>
      <w:r>
        <w:rPr>
          <w:rFonts w:ascii="Times New Roman" w:eastAsia="Times New Roman"/>
        </w:rPr>
        <w:t>9:00</w:t>
      </w:r>
      <w:r>
        <w:rPr>
          <w:rFonts w:ascii="Times New Roman" w:eastAsia="Times New Roman"/>
          <w:spacing w:val="25"/>
        </w:rPr>
        <w:t> </w:t>
      </w:r>
      <w:r>
        <w:rPr>
          <w:spacing w:val="-3"/>
        </w:rPr>
        <w:t>时</w:t>
      </w:r>
      <w:r>
        <w:rPr/>
        <w:t>（</w:t>
      </w:r>
      <w:r>
        <w:rPr>
          <w:spacing w:val="-3"/>
        </w:rPr>
        <w:t>北京时间</w:t>
      </w:r>
      <w:r>
        <w:rPr/>
        <w:t>）</w:t>
      </w:r>
      <w:r>
        <w:rPr>
          <w:spacing w:val="-3"/>
        </w:rPr>
        <w:t>起通过介绍方式在香港联交所主板上市并挂牌交易，计划股东</w:t>
      </w:r>
    </w:p>
    <w:p>
      <w:pPr>
        <w:pStyle w:val="BodyText"/>
        <w:spacing w:before="120"/>
        <w:ind w:right="1268"/>
        <w:jc w:val="right"/>
      </w:pPr>
      <w:r>
        <w:rPr/>
        <w:t>（</w:t>
      </w:r>
      <w:r>
        <w:rPr>
          <w:spacing w:val="-3"/>
        </w:rPr>
        <w:t>非合资格境外股东除外</w:t>
      </w:r>
      <w:r>
        <w:rPr>
          <w:spacing w:val="-82"/>
        </w:rPr>
        <w:t>）</w:t>
      </w:r>
      <w:r>
        <w:rPr>
          <w:spacing w:val="-11"/>
        </w:rPr>
        <w:t>成为公司 </w:t>
      </w:r>
      <w:r>
        <w:rPr>
          <w:rFonts w:ascii="Times New Roman" w:eastAsia="Times New Roman"/>
        </w:rPr>
        <w:t>H</w:t>
      </w:r>
      <w:r>
        <w:rPr>
          <w:rFonts w:ascii="Times New Roman" w:eastAsia="Times New Roman"/>
          <w:spacing w:val="5"/>
        </w:rPr>
        <w:t> </w:t>
      </w:r>
      <w:r>
        <w:rPr>
          <w:spacing w:val="-19"/>
        </w:rPr>
        <w:t>股股东，发行的 </w:t>
      </w:r>
      <w:r>
        <w:rPr>
          <w:rFonts w:ascii="Times New Roman" w:eastAsia="Times New Roman"/>
        </w:rPr>
        <w:t>H</w:t>
      </w:r>
      <w:r>
        <w:rPr>
          <w:rFonts w:ascii="Times New Roman" w:eastAsia="Times New Roman"/>
          <w:spacing w:val="7"/>
        </w:rPr>
        <w:t> </w:t>
      </w:r>
      <w:r>
        <w:rPr>
          <w:spacing w:val="-10"/>
        </w:rPr>
        <w:t>股股票数量为 </w:t>
      </w:r>
      <w:r>
        <w:rPr>
          <w:rFonts w:ascii="Times New Roman" w:eastAsia="Times New Roman"/>
        </w:rPr>
        <w:t>2,448,279,814</w:t>
      </w:r>
      <w:r>
        <w:rPr>
          <w:rFonts w:ascii="Times New Roman" w:eastAsia="Times New Roman"/>
          <w:spacing w:val="3"/>
        </w:rPr>
        <w:t> </w:t>
      </w:r>
      <w:r>
        <w:rPr>
          <w:spacing w:val="-9"/>
        </w:rPr>
        <w:t>股；</w:t>
      </w:r>
      <w:r>
        <w:rPr>
          <w:rFonts w:ascii="Times New Roman" w:eastAsia="Times New Roman"/>
          <w:spacing w:val="-17"/>
        </w:rPr>
        <w:t>2020</w:t>
      </w:r>
      <w:r>
        <w:rPr>
          <w:rFonts w:ascii="Times New Roman" w:eastAsia="Times New Roman"/>
          <w:spacing w:val="-15"/>
        </w:rPr>
        <w:t>   </w:t>
      </w:r>
      <w:r>
        <w:rPr/>
        <w:t>年</w:t>
      </w:r>
    </w:p>
    <w:p>
      <w:pPr>
        <w:pStyle w:val="BodyText"/>
        <w:spacing w:before="122"/>
        <w:ind w:left="1538"/>
      </w:pPr>
      <w:r>
        <w:rPr>
          <w:rFonts w:ascii="Times New Roman" w:eastAsia="Times New Roman"/>
        </w:rPr>
        <w:t>12 </w:t>
      </w:r>
      <w:r>
        <w:rPr/>
        <w:t>月 </w:t>
      </w:r>
      <w:r>
        <w:rPr>
          <w:rFonts w:ascii="Times New Roman" w:eastAsia="Times New Roman"/>
        </w:rPr>
        <w:t>24 </w:t>
      </w:r>
      <w:r>
        <w:rPr/>
        <w:t>日，海尔电器就每 </w:t>
      </w:r>
      <w:r>
        <w:rPr>
          <w:rFonts w:ascii="Times New Roman" w:eastAsia="Times New Roman"/>
        </w:rPr>
        <w:t>1 </w:t>
      </w:r>
      <w:r>
        <w:rPr/>
        <w:t>股被注销的计划股份向计划股东寄发支票支付 </w:t>
      </w:r>
      <w:r>
        <w:rPr>
          <w:rFonts w:ascii="Times New Roman" w:eastAsia="Times New Roman"/>
        </w:rPr>
        <w:t>1.95 </w:t>
      </w:r>
      <w:r>
        <w:rPr/>
        <w:t>港元现金付款。</w:t>
      </w:r>
    </w:p>
    <w:p>
      <w:pPr>
        <w:spacing w:line="460" w:lineRule="atLeast" w:before="49"/>
        <w:ind w:left="1538" w:right="6008" w:firstLine="419"/>
        <w:jc w:val="left"/>
        <w:rPr>
          <w:rFonts w:ascii="Microsoft JhengHei" w:eastAsia="Microsoft JhengHei" w:hint="eastAsia"/>
          <w:b/>
          <w:sz w:val="21"/>
        </w:rPr>
      </w:pPr>
      <w:r>
        <w:rPr>
          <w:rFonts w:ascii="Times New Roman" w:eastAsia="Times New Roman"/>
          <w:sz w:val="21"/>
        </w:rPr>
        <w:t>2</w:t>
      </w:r>
      <w:r>
        <w:rPr>
          <w:sz w:val="21"/>
        </w:rPr>
        <w:t>、本公司无需要披露的其他重要事项。</w:t>
      </w:r>
      <w:r>
        <w:rPr>
          <w:rFonts w:ascii="Microsoft JhengHei" w:eastAsia="Microsoft JhengHei" w:hint="eastAsia"/>
          <w:b/>
          <w:sz w:val="21"/>
        </w:rPr>
        <w:t>十八、 母公司财务报表主要项目注释</w:t>
      </w:r>
    </w:p>
    <w:p>
      <w:pPr>
        <w:pStyle w:val="Heading4"/>
        <w:spacing w:line="329" w:lineRule="exact"/>
      </w:pPr>
      <w:r>
        <w:rPr>
          <w:rFonts w:ascii="Times New Roman" w:eastAsia="Times New Roman"/>
        </w:rPr>
        <w:t>1</w:t>
      </w:r>
      <w:r>
        <w:rPr/>
        <w:t>、 应收账款</w:t>
      </w:r>
    </w:p>
    <w:p>
      <w:pPr>
        <w:pStyle w:val="BodyText"/>
        <w:spacing w:before="17"/>
        <w:ind w:left="1538"/>
      </w:pPr>
      <w:r>
        <w:rPr>
          <w:w w:val="100"/>
        </w:rPr>
        <w:t> </w:t>
      </w:r>
    </w:p>
    <w:tbl>
      <w:tblPr>
        <w:tblW w:w="0" w:type="auto"/>
        <w:jc w:val="left"/>
        <w:tblInd w:w="15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351"/>
        <w:gridCol w:w="2782"/>
        <w:gridCol w:w="2657"/>
      </w:tblGrid>
      <w:tr>
        <w:trPr>
          <w:trHeight w:val="419" w:hRule="atLeast"/>
        </w:trPr>
        <w:tc>
          <w:tcPr>
            <w:tcW w:w="3351" w:type="dxa"/>
            <w:tcBorders>
              <w:bottom w:val="single" w:sz="4" w:space="0" w:color="000000"/>
              <w:right w:val="single" w:sz="4" w:space="0" w:color="000000"/>
            </w:tcBorders>
          </w:tcPr>
          <w:p>
            <w:pPr>
              <w:pStyle w:val="TableParagraph"/>
              <w:spacing w:before="33"/>
              <w:ind w:left="1454" w:right="1436"/>
              <w:jc w:val="center"/>
              <w:rPr>
                <w:rFonts w:ascii="Microsoft JhengHei" w:eastAsia="Microsoft JhengHei" w:hint="eastAsia"/>
                <w:b/>
                <w:sz w:val="18"/>
              </w:rPr>
            </w:pPr>
            <w:r>
              <w:rPr>
                <w:rFonts w:ascii="Microsoft JhengHei" w:eastAsia="Microsoft JhengHei" w:hint="eastAsia"/>
                <w:b/>
                <w:sz w:val="18"/>
              </w:rPr>
              <w:t>账龄</w:t>
            </w:r>
          </w:p>
        </w:tc>
        <w:tc>
          <w:tcPr>
            <w:tcW w:w="2782" w:type="dxa"/>
            <w:tcBorders>
              <w:left w:val="single" w:sz="4" w:space="0" w:color="000000"/>
              <w:bottom w:val="single" w:sz="4" w:space="0" w:color="000000"/>
              <w:right w:val="single" w:sz="4" w:space="0" w:color="000000"/>
            </w:tcBorders>
          </w:tcPr>
          <w:p>
            <w:pPr>
              <w:pStyle w:val="TableParagraph"/>
              <w:spacing w:before="33"/>
              <w:ind w:left="959" w:right="931"/>
              <w:jc w:val="center"/>
              <w:rPr>
                <w:rFonts w:ascii="Microsoft JhengHei" w:eastAsia="Microsoft JhengHei" w:hint="eastAsia"/>
                <w:b/>
                <w:sz w:val="18"/>
              </w:rPr>
            </w:pPr>
            <w:r>
              <w:rPr>
                <w:rFonts w:ascii="Microsoft JhengHei" w:eastAsia="Microsoft JhengHei" w:hint="eastAsia"/>
                <w:b/>
                <w:sz w:val="18"/>
              </w:rPr>
              <w:t>期末余额</w:t>
            </w:r>
          </w:p>
        </w:tc>
        <w:tc>
          <w:tcPr>
            <w:tcW w:w="2657" w:type="dxa"/>
            <w:tcBorders>
              <w:left w:val="single" w:sz="4" w:space="0" w:color="000000"/>
              <w:bottom w:val="single" w:sz="4" w:space="0" w:color="000000"/>
            </w:tcBorders>
          </w:tcPr>
          <w:p>
            <w:pPr>
              <w:pStyle w:val="TableParagraph"/>
              <w:spacing w:before="33"/>
              <w:ind w:left="914" w:right="880"/>
              <w:jc w:val="center"/>
              <w:rPr>
                <w:rFonts w:ascii="Microsoft JhengHei" w:eastAsia="Microsoft JhengHei" w:hint="eastAsia"/>
                <w:b/>
                <w:sz w:val="18"/>
              </w:rPr>
            </w:pPr>
            <w:r>
              <w:rPr>
                <w:rFonts w:ascii="Microsoft JhengHei" w:eastAsia="Microsoft JhengHei" w:hint="eastAsia"/>
                <w:b/>
                <w:sz w:val="18"/>
              </w:rPr>
              <w:t>期初余额</w:t>
            </w:r>
          </w:p>
        </w:tc>
      </w:tr>
      <w:tr>
        <w:trPr>
          <w:trHeight w:val="357" w:hRule="atLeast"/>
        </w:trPr>
        <w:tc>
          <w:tcPr>
            <w:tcW w:w="3351" w:type="dxa"/>
            <w:tcBorders>
              <w:top w:val="single" w:sz="4" w:space="0" w:color="000000"/>
              <w:bottom w:val="single" w:sz="4" w:space="0" w:color="000000"/>
              <w:right w:val="single" w:sz="4" w:space="0" w:color="000000"/>
            </w:tcBorders>
          </w:tcPr>
          <w:p>
            <w:pPr>
              <w:pStyle w:val="TableParagraph"/>
              <w:spacing w:before="62"/>
              <w:ind w:left="105"/>
              <w:rPr>
                <w:rFonts w:ascii="宋体" w:eastAsia="宋体" w:hint="eastAsia"/>
                <w:sz w:val="18"/>
              </w:rPr>
            </w:pPr>
            <w:r>
              <w:rPr>
                <w:sz w:val="18"/>
              </w:rPr>
              <w:t>1 </w:t>
            </w:r>
            <w:r>
              <w:rPr>
                <w:rFonts w:ascii="宋体" w:eastAsia="宋体" w:hint="eastAsia"/>
                <w:sz w:val="18"/>
              </w:rPr>
              <w:t>年以内</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before="69"/>
              <w:ind w:right="87"/>
              <w:jc w:val="right"/>
              <w:rPr>
                <w:sz w:val="18"/>
              </w:rPr>
            </w:pPr>
            <w:r>
              <w:rPr>
                <w:sz w:val="18"/>
              </w:rPr>
              <w:t>5,491,427,973.11</w:t>
            </w:r>
          </w:p>
        </w:tc>
        <w:tc>
          <w:tcPr>
            <w:tcW w:w="2657" w:type="dxa"/>
            <w:tcBorders>
              <w:top w:val="single" w:sz="4" w:space="0" w:color="000000"/>
              <w:left w:val="single" w:sz="4" w:space="0" w:color="000000"/>
              <w:bottom w:val="single" w:sz="4" w:space="0" w:color="000000"/>
            </w:tcBorders>
          </w:tcPr>
          <w:p>
            <w:pPr>
              <w:pStyle w:val="TableParagraph"/>
              <w:spacing w:before="69"/>
              <w:ind w:right="76"/>
              <w:jc w:val="right"/>
              <w:rPr>
                <w:sz w:val="18"/>
              </w:rPr>
            </w:pPr>
            <w:r>
              <w:rPr>
                <w:sz w:val="18"/>
              </w:rPr>
              <w:t>1,175,031,729.66</w:t>
            </w:r>
          </w:p>
        </w:tc>
      </w:tr>
      <w:tr>
        <w:trPr>
          <w:trHeight w:val="359" w:hRule="atLeast"/>
        </w:trPr>
        <w:tc>
          <w:tcPr>
            <w:tcW w:w="3351" w:type="dxa"/>
            <w:tcBorders>
              <w:top w:val="single" w:sz="4" w:space="0" w:color="000000"/>
              <w:bottom w:val="single" w:sz="4" w:space="0" w:color="000000"/>
              <w:right w:val="single" w:sz="4" w:space="0" w:color="000000"/>
            </w:tcBorders>
          </w:tcPr>
          <w:p>
            <w:pPr>
              <w:pStyle w:val="TableParagraph"/>
              <w:spacing w:before="64"/>
              <w:ind w:left="105"/>
              <w:rPr>
                <w:rFonts w:ascii="宋体" w:eastAsia="宋体" w:hint="eastAsia"/>
                <w:sz w:val="18"/>
              </w:rPr>
            </w:pPr>
            <w:r>
              <w:rPr>
                <w:sz w:val="18"/>
              </w:rPr>
              <w:t>1-2 </w:t>
            </w:r>
            <w:r>
              <w:rPr>
                <w:rFonts w:ascii="宋体" w:eastAsia="宋体" w:hint="eastAsia"/>
                <w:sz w:val="18"/>
              </w:rPr>
              <w:t>年</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before="71"/>
              <w:ind w:right="86"/>
              <w:jc w:val="right"/>
              <w:rPr>
                <w:sz w:val="18"/>
              </w:rPr>
            </w:pPr>
            <w:r>
              <w:rPr>
                <w:sz w:val="18"/>
              </w:rPr>
              <w:t>416,430.64</w:t>
            </w:r>
          </w:p>
        </w:tc>
        <w:tc>
          <w:tcPr>
            <w:tcW w:w="2657" w:type="dxa"/>
            <w:tcBorders>
              <w:top w:val="single" w:sz="4" w:space="0" w:color="000000"/>
              <w:left w:val="single" w:sz="4" w:space="0" w:color="000000"/>
              <w:bottom w:val="single" w:sz="4" w:space="0" w:color="000000"/>
            </w:tcBorders>
          </w:tcPr>
          <w:p>
            <w:pPr>
              <w:pStyle w:val="TableParagraph"/>
              <w:spacing w:before="71"/>
              <w:ind w:right="76"/>
              <w:jc w:val="right"/>
              <w:rPr>
                <w:sz w:val="18"/>
              </w:rPr>
            </w:pPr>
            <w:r>
              <w:rPr>
                <w:sz w:val="18"/>
              </w:rPr>
              <w:t>7,798,791.09</w:t>
            </w:r>
          </w:p>
        </w:tc>
      </w:tr>
      <w:tr>
        <w:trPr>
          <w:trHeight w:val="360" w:hRule="atLeast"/>
        </w:trPr>
        <w:tc>
          <w:tcPr>
            <w:tcW w:w="3351" w:type="dxa"/>
            <w:tcBorders>
              <w:top w:val="single" w:sz="4" w:space="0" w:color="000000"/>
              <w:bottom w:val="single" w:sz="4" w:space="0" w:color="000000"/>
              <w:right w:val="single" w:sz="4" w:space="0" w:color="000000"/>
            </w:tcBorders>
          </w:tcPr>
          <w:p>
            <w:pPr>
              <w:pStyle w:val="TableParagraph"/>
              <w:spacing w:before="62"/>
              <w:ind w:left="105"/>
              <w:rPr>
                <w:rFonts w:ascii="宋体" w:eastAsia="宋体" w:hint="eastAsia"/>
                <w:sz w:val="18"/>
              </w:rPr>
            </w:pPr>
            <w:r>
              <w:rPr>
                <w:sz w:val="18"/>
              </w:rPr>
              <w:t>2-3 </w:t>
            </w:r>
            <w:r>
              <w:rPr>
                <w:rFonts w:ascii="宋体" w:eastAsia="宋体" w:hint="eastAsia"/>
                <w:sz w:val="18"/>
              </w:rPr>
              <w:t>年</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657" w:type="dxa"/>
            <w:tcBorders>
              <w:top w:val="single" w:sz="4" w:space="0" w:color="000000"/>
              <w:left w:val="single" w:sz="4" w:space="0" w:color="000000"/>
              <w:bottom w:val="single" w:sz="4" w:space="0" w:color="000000"/>
            </w:tcBorders>
          </w:tcPr>
          <w:p>
            <w:pPr>
              <w:pStyle w:val="TableParagraph"/>
              <w:spacing w:before="60"/>
              <w:ind w:right="-15"/>
              <w:jc w:val="right"/>
              <w:rPr>
                <w:rFonts w:ascii="宋体"/>
                <w:sz w:val="18"/>
              </w:rPr>
            </w:pPr>
            <w:r>
              <w:rPr>
                <w:rFonts w:ascii="宋体"/>
                <w:sz w:val="18"/>
              </w:rPr>
              <w:t> </w:t>
            </w:r>
          </w:p>
        </w:tc>
      </w:tr>
      <w:tr>
        <w:trPr>
          <w:trHeight w:val="359" w:hRule="atLeast"/>
        </w:trPr>
        <w:tc>
          <w:tcPr>
            <w:tcW w:w="3351" w:type="dxa"/>
            <w:tcBorders>
              <w:top w:val="single" w:sz="4" w:space="0" w:color="000000"/>
              <w:bottom w:val="single" w:sz="4" w:space="0" w:color="000000"/>
              <w:right w:val="single" w:sz="4" w:space="0" w:color="000000"/>
            </w:tcBorders>
          </w:tcPr>
          <w:p>
            <w:pPr>
              <w:pStyle w:val="TableParagraph"/>
              <w:spacing w:before="62"/>
              <w:ind w:left="105"/>
              <w:rPr>
                <w:rFonts w:ascii="宋体" w:eastAsia="宋体" w:hint="eastAsia"/>
                <w:sz w:val="18"/>
              </w:rPr>
            </w:pPr>
            <w:r>
              <w:rPr>
                <w:sz w:val="18"/>
              </w:rPr>
              <w:t>3 </w:t>
            </w:r>
            <w:r>
              <w:rPr>
                <w:rFonts w:ascii="宋体" w:eastAsia="宋体" w:hint="eastAsia"/>
                <w:sz w:val="18"/>
              </w:rPr>
              <w:t>年以上</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2657" w:type="dxa"/>
            <w:tcBorders>
              <w:top w:val="single" w:sz="4" w:space="0" w:color="000000"/>
              <w:left w:val="single" w:sz="4" w:space="0" w:color="000000"/>
              <w:bottom w:val="single" w:sz="4" w:space="0" w:color="000000"/>
            </w:tcBorders>
          </w:tcPr>
          <w:p>
            <w:pPr>
              <w:pStyle w:val="TableParagraph"/>
              <w:spacing w:before="59"/>
              <w:ind w:right="-15"/>
              <w:jc w:val="right"/>
              <w:rPr>
                <w:rFonts w:ascii="宋体"/>
                <w:sz w:val="18"/>
              </w:rPr>
            </w:pPr>
            <w:r>
              <w:rPr>
                <w:rFonts w:ascii="宋体"/>
                <w:sz w:val="18"/>
              </w:rPr>
              <w:t> </w:t>
            </w:r>
          </w:p>
        </w:tc>
      </w:tr>
      <w:tr>
        <w:trPr>
          <w:trHeight w:val="357" w:hRule="atLeast"/>
        </w:trPr>
        <w:tc>
          <w:tcPr>
            <w:tcW w:w="3351" w:type="dxa"/>
            <w:tcBorders>
              <w:top w:val="single" w:sz="4" w:space="0" w:color="000000"/>
              <w:bottom w:val="single" w:sz="4" w:space="0" w:color="000000"/>
              <w:right w:val="single" w:sz="4" w:space="0" w:color="000000"/>
            </w:tcBorders>
          </w:tcPr>
          <w:p>
            <w:pPr>
              <w:pStyle w:val="TableParagraph"/>
              <w:spacing w:before="62"/>
              <w:ind w:right="1116"/>
              <w:jc w:val="right"/>
              <w:rPr>
                <w:rFonts w:ascii="宋体" w:eastAsia="宋体" w:hint="eastAsia"/>
                <w:sz w:val="18"/>
              </w:rPr>
            </w:pPr>
            <w:r>
              <w:rPr>
                <w:rFonts w:ascii="宋体" w:eastAsia="宋体" w:hint="eastAsia"/>
                <w:sz w:val="18"/>
              </w:rPr>
              <w:t>应收账款余额</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before="69"/>
              <w:ind w:right="87"/>
              <w:jc w:val="right"/>
              <w:rPr>
                <w:sz w:val="18"/>
              </w:rPr>
            </w:pPr>
            <w:r>
              <w:rPr>
                <w:sz w:val="18"/>
              </w:rPr>
              <w:t>5,491,844,403.75</w:t>
            </w:r>
          </w:p>
        </w:tc>
        <w:tc>
          <w:tcPr>
            <w:tcW w:w="2657" w:type="dxa"/>
            <w:tcBorders>
              <w:top w:val="single" w:sz="4" w:space="0" w:color="000000"/>
              <w:left w:val="single" w:sz="4" w:space="0" w:color="000000"/>
              <w:bottom w:val="single" w:sz="4" w:space="0" w:color="000000"/>
            </w:tcBorders>
          </w:tcPr>
          <w:p>
            <w:pPr>
              <w:pStyle w:val="TableParagraph"/>
              <w:spacing w:before="69"/>
              <w:ind w:right="76"/>
              <w:jc w:val="right"/>
              <w:rPr>
                <w:sz w:val="18"/>
              </w:rPr>
            </w:pPr>
            <w:r>
              <w:rPr>
                <w:sz w:val="18"/>
              </w:rPr>
              <w:t>1,182,830,520.75</w:t>
            </w:r>
          </w:p>
        </w:tc>
      </w:tr>
      <w:tr>
        <w:trPr>
          <w:trHeight w:val="359" w:hRule="atLeast"/>
        </w:trPr>
        <w:tc>
          <w:tcPr>
            <w:tcW w:w="3351" w:type="dxa"/>
            <w:tcBorders>
              <w:top w:val="single" w:sz="4" w:space="0" w:color="000000"/>
              <w:bottom w:val="single" w:sz="4" w:space="0" w:color="000000"/>
              <w:right w:val="single" w:sz="4" w:space="0" w:color="000000"/>
            </w:tcBorders>
          </w:tcPr>
          <w:p>
            <w:pPr>
              <w:pStyle w:val="TableParagraph"/>
              <w:spacing w:before="64"/>
              <w:ind w:left="105"/>
              <w:rPr>
                <w:rFonts w:ascii="宋体" w:eastAsia="宋体" w:hint="eastAsia"/>
                <w:sz w:val="18"/>
              </w:rPr>
            </w:pPr>
            <w:r>
              <w:rPr>
                <w:rFonts w:ascii="宋体" w:eastAsia="宋体" w:hint="eastAsia"/>
                <w:sz w:val="18"/>
              </w:rPr>
              <w:t>坏账准备</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before="71"/>
              <w:ind w:right="86"/>
              <w:jc w:val="right"/>
              <w:rPr>
                <w:sz w:val="18"/>
              </w:rPr>
            </w:pPr>
            <w:r>
              <w:rPr>
                <w:sz w:val="18"/>
              </w:rPr>
              <w:t>308,333.33</w:t>
            </w:r>
          </w:p>
        </w:tc>
        <w:tc>
          <w:tcPr>
            <w:tcW w:w="2657" w:type="dxa"/>
            <w:tcBorders>
              <w:top w:val="single" w:sz="4" w:space="0" w:color="000000"/>
              <w:left w:val="single" w:sz="4" w:space="0" w:color="000000"/>
              <w:bottom w:val="single" w:sz="4" w:space="0" w:color="000000"/>
            </w:tcBorders>
          </w:tcPr>
          <w:p>
            <w:pPr>
              <w:pStyle w:val="TableParagraph"/>
              <w:spacing w:before="71"/>
              <w:ind w:right="76"/>
              <w:jc w:val="right"/>
              <w:rPr>
                <w:sz w:val="18"/>
              </w:rPr>
            </w:pPr>
            <w:r>
              <w:rPr>
                <w:sz w:val="18"/>
              </w:rPr>
              <w:t>596,039.26</w:t>
            </w:r>
          </w:p>
        </w:tc>
      </w:tr>
      <w:tr>
        <w:trPr>
          <w:trHeight w:val="356" w:hRule="atLeast"/>
        </w:trPr>
        <w:tc>
          <w:tcPr>
            <w:tcW w:w="3351" w:type="dxa"/>
            <w:tcBorders>
              <w:top w:val="single" w:sz="4" w:space="0" w:color="000000"/>
              <w:right w:val="single" w:sz="4" w:space="0" w:color="000000"/>
            </w:tcBorders>
          </w:tcPr>
          <w:p>
            <w:pPr>
              <w:pStyle w:val="TableParagraph"/>
              <w:spacing w:before="62"/>
              <w:ind w:right="1116"/>
              <w:jc w:val="right"/>
              <w:rPr>
                <w:rFonts w:ascii="宋体" w:eastAsia="宋体" w:hint="eastAsia"/>
                <w:sz w:val="18"/>
              </w:rPr>
            </w:pPr>
            <w:r>
              <w:rPr>
                <w:rFonts w:ascii="宋体" w:eastAsia="宋体" w:hint="eastAsia"/>
                <w:sz w:val="18"/>
              </w:rPr>
              <w:t>应收账款净额</w:t>
            </w:r>
          </w:p>
        </w:tc>
        <w:tc>
          <w:tcPr>
            <w:tcW w:w="2782" w:type="dxa"/>
            <w:tcBorders>
              <w:top w:val="single" w:sz="4" w:space="0" w:color="000000"/>
              <w:left w:val="single" w:sz="4" w:space="0" w:color="000000"/>
              <w:right w:val="single" w:sz="4" w:space="0" w:color="000000"/>
            </w:tcBorders>
          </w:tcPr>
          <w:p>
            <w:pPr>
              <w:pStyle w:val="TableParagraph"/>
              <w:spacing w:before="71"/>
              <w:ind w:right="87"/>
              <w:jc w:val="right"/>
              <w:rPr>
                <w:sz w:val="18"/>
              </w:rPr>
            </w:pPr>
            <w:r>
              <w:rPr>
                <w:sz w:val="18"/>
              </w:rPr>
              <w:t>5,491,536,070.42</w:t>
            </w:r>
          </w:p>
        </w:tc>
        <w:tc>
          <w:tcPr>
            <w:tcW w:w="2657" w:type="dxa"/>
            <w:tcBorders>
              <w:top w:val="single" w:sz="4" w:space="0" w:color="000000"/>
              <w:left w:val="single" w:sz="4" w:space="0" w:color="000000"/>
            </w:tcBorders>
          </w:tcPr>
          <w:p>
            <w:pPr>
              <w:pStyle w:val="TableParagraph"/>
              <w:spacing w:before="71"/>
              <w:ind w:right="76"/>
              <w:jc w:val="right"/>
              <w:rPr>
                <w:sz w:val="18"/>
              </w:rPr>
            </w:pPr>
            <w:r>
              <w:rPr>
                <w:sz w:val="18"/>
              </w:rPr>
              <w:t>1,182,234,481.49</w:t>
            </w:r>
          </w:p>
        </w:tc>
      </w:tr>
    </w:tbl>
    <w:p>
      <w:pPr>
        <w:pStyle w:val="BodyText"/>
        <w:spacing w:line="427" w:lineRule="auto" w:before="176"/>
        <w:ind w:left="2169" w:right="1268"/>
      </w:pPr>
      <w:r>
        <w:rPr>
          <w:spacing w:val="-10"/>
        </w:rPr>
        <w:t>期末应收账款中前 </w:t>
      </w:r>
      <w:r>
        <w:rPr>
          <w:rFonts w:ascii="Times New Roman" w:eastAsia="Times New Roman"/>
        </w:rPr>
        <w:t>5 </w:t>
      </w:r>
      <w:r>
        <w:rPr>
          <w:spacing w:val="-11"/>
        </w:rPr>
        <w:t>名的金额总计为 </w:t>
      </w:r>
      <w:r>
        <w:rPr>
          <w:rFonts w:ascii="Times New Roman" w:eastAsia="Times New Roman"/>
        </w:rPr>
        <w:t>5,476,236,719.34 </w:t>
      </w:r>
      <w:r>
        <w:rPr>
          <w:spacing w:val="-16"/>
        </w:rPr>
        <w:t>元，占应收账款账面余额的 </w:t>
      </w:r>
      <w:r>
        <w:rPr>
          <w:rFonts w:ascii="Times New Roman" w:eastAsia="Times New Roman"/>
        </w:rPr>
        <w:t>99.72%</w:t>
      </w:r>
      <w:r>
        <w:rPr/>
        <w:t>。</w:t>
      </w:r>
      <w:r>
        <w:rPr>
          <w:spacing w:val="-3"/>
        </w:rPr>
        <w:t>本期应收账款坏账准备变动情况：</w:t>
      </w:r>
    </w:p>
    <w:p>
      <w:pPr>
        <w:spacing w:after="0" w:line="427" w:lineRule="auto"/>
        <w:sectPr>
          <w:pgSz w:w="11910" w:h="16840"/>
          <w:pgMar w:header="876" w:footer="1214" w:top="1440" w:bottom="1400" w:left="260" w:right="0"/>
        </w:sectPr>
      </w:pPr>
    </w:p>
    <w:p>
      <w:pPr>
        <w:pStyle w:val="BodyText"/>
        <w:spacing w:before="2"/>
        <w:rPr>
          <w:sz w:val="5"/>
        </w:rPr>
      </w:pPr>
    </w:p>
    <w:tbl>
      <w:tblPr>
        <w:tblW w:w="0" w:type="auto"/>
        <w:jc w:val="left"/>
        <w:tblInd w:w="152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57"/>
        <w:gridCol w:w="1460"/>
        <w:gridCol w:w="1421"/>
        <w:gridCol w:w="1357"/>
        <w:gridCol w:w="1201"/>
        <w:gridCol w:w="1180"/>
        <w:gridCol w:w="1110"/>
      </w:tblGrid>
      <w:tr>
        <w:trPr>
          <w:trHeight w:val="371" w:hRule="atLeast"/>
        </w:trPr>
        <w:tc>
          <w:tcPr>
            <w:tcW w:w="1157" w:type="dxa"/>
            <w:vMerge w:val="restart"/>
            <w:tcBorders>
              <w:bottom w:val="single" w:sz="4" w:space="0" w:color="000000"/>
              <w:right w:val="single" w:sz="4" w:space="0" w:color="000000"/>
            </w:tcBorders>
          </w:tcPr>
          <w:p>
            <w:pPr>
              <w:pStyle w:val="TableParagraph"/>
              <w:spacing w:before="7"/>
              <w:rPr>
                <w:rFonts w:ascii="宋体"/>
                <w:sz w:val="15"/>
              </w:rPr>
            </w:pPr>
          </w:p>
          <w:p>
            <w:pPr>
              <w:pStyle w:val="TableParagraph"/>
              <w:ind w:left="395"/>
              <w:rPr>
                <w:rFonts w:ascii="Microsoft JhengHei" w:eastAsia="Microsoft JhengHei" w:hint="eastAsia"/>
                <w:b/>
                <w:sz w:val="18"/>
              </w:rPr>
            </w:pPr>
            <w:r>
              <w:rPr>
                <w:rFonts w:ascii="Microsoft JhengHei" w:eastAsia="Microsoft JhengHei" w:hint="eastAsia"/>
                <w:b/>
                <w:sz w:val="18"/>
              </w:rPr>
              <w:t>项目</w:t>
            </w:r>
          </w:p>
        </w:tc>
        <w:tc>
          <w:tcPr>
            <w:tcW w:w="1460" w:type="dxa"/>
            <w:vMerge w:val="restart"/>
            <w:tcBorders>
              <w:left w:val="single" w:sz="4" w:space="0" w:color="000000"/>
              <w:bottom w:val="single" w:sz="4" w:space="0" w:color="000000"/>
              <w:right w:val="single" w:sz="4" w:space="0" w:color="000000"/>
            </w:tcBorders>
          </w:tcPr>
          <w:p>
            <w:pPr>
              <w:pStyle w:val="TableParagraph"/>
              <w:spacing w:before="7"/>
              <w:rPr>
                <w:rFonts w:ascii="宋体"/>
                <w:sz w:val="15"/>
              </w:rPr>
            </w:pPr>
          </w:p>
          <w:p>
            <w:pPr>
              <w:pStyle w:val="TableParagraph"/>
              <w:ind w:left="376"/>
              <w:rPr>
                <w:rFonts w:ascii="Microsoft JhengHei" w:eastAsia="Microsoft JhengHei" w:hint="eastAsia"/>
                <w:b/>
                <w:sz w:val="18"/>
              </w:rPr>
            </w:pPr>
            <w:r>
              <w:rPr>
                <w:rFonts w:ascii="Microsoft JhengHei" w:eastAsia="Microsoft JhengHei" w:hint="eastAsia"/>
                <w:b/>
                <w:sz w:val="18"/>
              </w:rPr>
              <w:t>期初余额</w:t>
            </w:r>
          </w:p>
        </w:tc>
        <w:tc>
          <w:tcPr>
            <w:tcW w:w="2778" w:type="dxa"/>
            <w:gridSpan w:val="2"/>
            <w:tcBorders>
              <w:left w:val="single" w:sz="4" w:space="0" w:color="000000"/>
              <w:bottom w:val="single" w:sz="4" w:space="0" w:color="000000"/>
              <w:right w:val="single" w:sz="4" w:space="0" w:color="000000"/>
            </w:tcBorders>
          </w:tcPr>
          <w:p>
            <w:pPr>
              <w:pStyle w:val="TableParagraph"/>
              <w:spacing w:before="10"/>
              <w:ind w:left="1017" w:right="991"/>
              <w:jc w:val="center"/>
              <w:rPr>
                <w:rFonts w:ascii="Microsoft JhengHei" w:eastAsia="Microsoft JhengHei" w:hint="eastAsia"/>
                <w:b/>
                <w:sz w:val="18"/>
              </w:rPr>
            </w:pPr>
            <w:r>
              <w:rPr>
                <w:rFonts w:ascii="Microsoft JhengHei" w:eastAsia="Microsoft JhengHei" w:hint="eastAsia"/>
                <w:b/>
                <w:sz w:val="18"/>
              </w:rPr>
              <w:t>本期增加</w:t>
            </w:r>
          </w:p>
        </w:tc>
        <w:tc>
          <w:tcPr>
            <w:tcW w:w="2381" w:type="dxa"/>
            <w:gridSpan w:val="2"/>
            <w:tcBorders>
              <w:left w:val="single" w:sz="4" w:space="0" w:color="000000"/>
              <w:bottom w:val="single" w:sz="4" w:space="0" w:color="000000"/>
              <w:right w:val="single" w:sz="4" w:space="0" w:color="000000"/>
            </w:tcBorders>
          </w:tcPr>
          <w:p>
            <w:pPr>
              <w:pStyle w:val="TableParagraph"/>
              <w:spacing w:before="10"/>
              <w:ind w:left="817" w:right="794"/>
              <w:jc w:val="center"/>
              <w:rPr>
                <w:rFonts w:ascii="Microsoft JhengHei" w:eastAsia="Microsoft JhengHei" w:hint="eastAsia"/>
                <w:b/>
                <w:sz w:val="18"/>
              </w:rPr>
            </w:pPr>
            <w:r>
              <w:rPr>
                <w:rFonts w:ascii="Microsoft JhengHei" w:eastAsia="Microsoft JhengHei" w:hint="eastAsia"/>
                <w:b/>
                <w:sz w:val="18"/>
              </w:rPr>
              <w:t>本期减少</w:t>
            </w:r>
          </w:p>
        </w:tc>
        <w:tc>
          <w:tcPr>
            <w:tcW w:w="1110" w:type="dxa"/>
            <w:vMerge w:val="restart"/>
            <w:tcBorders>
              <w:left w:val="single" w:sz="4" w:space="0" w:color="000000"/>
              <w:bottom w:val="single" w:sz="4" w:space="0" w:color="000000"/>
            </w:tcBorders>
          </w:tcPr>
          <w:p>
            <w:pPr>
              <w:pStyle w:val="TableParagraph"/>
              <w:spacing w:before="7"/>
              <w:rPr>
                <w:rFonts w:ascii="宋体"/>
                <w:sz w:val="15"/>
              </w:rPr>
            </w:pPr>
          </w:p>
          <w:p>
            <w:pPr>
              <w:pStyle w:val="TableParagraph"/>
              <w:ind w:left="198"/>
              <w:rPr>
                <w:rFonts w:ascii="Microsoft JhengHei" w:eastAsia="Microsoft JhengHei" w:hint="eastAsia"/>
                <w:b/>
                <w:sz w:val="18"/>
              </w:rPr>
            </w:pPr>
            <w:r>
              <w:rPr>
                <w:rFonts w:ascii="Microsoft JhengHei" w:eastAsia="Microsoft JhengHei" w:hint="eastAsia"/>
                <w:b/>
                <w:sz w:val="18"/>
              </w:rPr>
              <w:t>期末余额</w:t>
            </w:r>
          </w:p>
        </w:tc>
      </w:tr>
      <w:tr>
        <w:trPr>
          <w:trHeight w:val="369" w:hRule="atLeast"/>
        </w:trPr>
        <w:tc>
          <w:tcPr>
            <w:tcW w:w="1157" w:type="dxa"/>
            <w:vMerge/>
            <w:tcBorders>
              <w:top w:val="nil"/>
              <w:bottom w:val="single" w:sz="4" w:space="0" w:color="000000"/>
              <w:right w:val="single" w:sz="4" w:space="0" w:color="000000"/>
            </w:tcBorders>
          </w:tcPr>
          <w:p>
            <w:pPr>
              <w:rPr>
                <w:sz w:val="2"/>
                <w:szCs w:val="2"/>
              </w:rPr>
            </w:pPr>
          </w:p>
        </w:tc>
        <w:tc>
          <w:tcPr>
            <w:tcW w:w="1460" w:type="dxa"/>
            <w:vMerge/>
            <w:tcBorders>
              <w:top w:val="nil"/>
              <w:left w:val="single" w:sz="4" w:space="0" w:color="000000"/>
              <w:bottom w:val="single" w:sz="4" w:space="0" w:color="000000"/>
              <w:right w:val="single" w:sz="4" w:space="0" w:color="000000"/>
            </w:tcBorders>
          </w:tcPr>
          <w:p>
            <w:pPr>
              <w:rPr>
                <w:sz w:val="2"/>
                <w:szCs w:val="2"/>
              </w:rPr>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7"/>
              <w:ind w:left="356"/>
              <w:rPr>
                <w:rFonts w:ascii="Microsoft JhengHei" w:eastAsia="Microsoft JhengHei" w:hint="eastAsia"/>
                <w:b/>
                <w:sz w:val="18"/>
              </w:rPr>
            </w:pPr>
            <w:r>
              <w:rPr>
                <w:rFonts w:ascii="Microsoft JhengHei" w:eastAsia="Microsoft JhengHei" w:hint="eastAsia"/>
                <w:b/>
                <w:sz w:val="18"/>
              </w:rPr>
              <w:t>本期计提</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before="7"/>
              <w:ind w:left="323"/>
              <w:rPr>
                <w:rFonts w:ascii="Microsoft JhengHei" w:eastAsia="Microsoft JhengHei" w:hint="eastAsia"/>
                <w:b/>
                <w:sz w:val="18"/>
              </w:rPr>
            </w:pPr>
            <w:r>
              <w:rPr>
                <w:rFonts w:ascii="Microsoft JhengHei" w:eastAsia="Microsoft JhengHei" w:hint="eastAsia"/>
                <w:b/>
                <w:sz w:val="18"/>
              </w:rPr>
              <w:t>其他增加</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before="7"/>
              <w:ind w:left="336"/>
              <w:rPr>
                <w:rFonts w:ascii="Microsoft JhengHei" w:eastAsia="Microsoft JhengHei" w:hint="eastAsia"/>
                <w:b/>
                <w:sz w:val="18"/>
              </w:rPr>
            </w:pPr>
            <w:r>
              <w:rPr>
                <w:rFonts w:ascii="Microsoft JhengHei" w:eastAsia="Microsoft JhengHei" w:hint="eastAsia"/>
                <w:b/>
                <w:sz w:val="18"/>
              </w:rPr>
              <w:t>转回数</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before="7"/>
              <w:ind w:left="143"/>
              <w:rPr>
                <w:rFonts w:ascii="Microsoft JhengHei" w:eastAsia="Microsoft JhengHei" w:hint="eastAsia"/>
                <w:b/>
                <w:sz w:val="18"/>
              </w:rPr>
            </w:pPr>
            <w:r>
              <w:rPr>
                <w:rFonts w:ascii="Microsoft JhengHei" w:eastAsia="Microsoft JhengHei" w:hint="eastAsia"/>
                <w:b/>
                <w:sz w:val="18"/>
              </w:rPr>
              <w:t>转销及其他</w:t>
            </w:r>
          </w:p>
        </w:tc>
        <w:tc>
          <w:tcPr>
            <w:tcW w:w="1110" w:type="dxa"/>
            <w:vMerge/>
            <w:tcBorders>
              <w:top w:val="nil"/>
              <w:left w:val="single" w:sz="4" w:space="0" w:color="000000"/>
              <w:bottom w:val="single" w:sz="4" w:space="0" w:color="000000"/>
            </w:tcBorders>
          </w:tcPr>
          <w:p>
            <w:pPr>
              <w:rPr>
                <w:sz w:val="2"/>
                <w:szCs w:val="2"/>
              </w:rPr>
            </w:pPr>
          </w:p>
        </w:tc>
      </w:tr>
      <w:tr>
        <w:trPr>
          <w:trHeight w:val="366" w:hRule="atLeast"/>
        </w:trPr>
        <w:tc>
          <w:tcPr>
            <w:tcW w:w="1157" w:type="dxa"/>
            <w:tcBorders>
              <w:top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坏账准备</w:t>
            </w:r>
          </w:p>
        </w:tc>
        <w:tc>
          <w:tcPr>
            <w:tcW w:w="1460" w:type="dxa"/>
            <w:tcBorders>
              <w:top w:val="single" w:sz="4" w:space="0" w:color="000000"/>
              <w:left w:val="single" w:sz="4" w:space="0" w:color="000000"/>
              <w:right w:val="single" w:sz="4" w:space="0" w:color="000000"/>
            </w:tcBorders>
          </w:tcPr>
          <w:p>
            <w:pPr>
              <w:pStyle w:val="TableParagraph"/>
              <w:spacing w:before="76"/>
              <w:ind w:left="549"/>
              <w:rPr>
                <w:sz w:val="18"/>
              </w:rPr>
            </w:pPr>
            <w:r>
              <w:rPr>
                <w:sz w:val="18"/>
              </w:rPr>
              <w:t>596,039.26</w:t>
            </w:r>
          </w:p>
        </w:tc>
        <w:tc>
          <w:tcPr>
            <w:tcW w:w="1421" w:type="dxa"/>
            <w:tcBorders>
              <w:top w:val="single" w:sz="4" w:space="0" w:color="000000"/>
              <w:left w:val="single" w:sz="4" w:space="0" w:color="000000"/>
              <w:right w:val="single" w:sz="4" w:space="0" w:color="000000"/>
            </w:tcBorders>
          </w:tcPr>
          <w:p>
            <w:pPr>
              <w:pStyle w:val="TableParagraph"/>
              <w:rPr>
                <w:sz w:val="18"/>
              </w:rPr>
            </w:pPr>
          </w:p>
        </w:tc>
        <w:tc>
          <w:tcPr>
            <w:tcW w:w="1357" w:type="dxa"/>
            <w:tcBorders>
              <w:top w:val="single" w:sz="4" w:space="0" w:color="000000"/>
              <w:left w:val="single" w:sz="4" w:space="0" w:color="000000"/>
              <w:right w:val="single" w:sz="4" w:space="0" w:color="000000"/>
            </w:tcBorders>
          </w:tcPr>
          <w:p>
            <w:pPr>
              <w:pStyle w:val="TableParagraph"/>
              <w:rPr>
                <w:sz w:val="18"/>
              </w:rPr>
            </w:pPr>
          </w:p>
        </w:tc>
        <w:tc>
          <w:tcPr>
            <w:tcW w:w="1201" w:type="dxa"/>
            <w:tcBorders>
              <w:top w:val="single" w:sz="4" w:space="0" w:color="000000"/>
              <w:left w:val="single" w:sz="4" w:space="0" w:color="000000"/>
              <w:right w:val="single" w:sz="4" w:space="0" w:color="000000"/>
            </w:tcBorders>
          </w:tcPr>
          <w:p>
            <w:pPr>
              <w:pStyle w:val="TableParagraph"/>
              <w:spacing w:before="76"/>
              <w:ind w:left="288"/>
              <w:rPr>
                <w:sz w:val="18"/>
              </w:rPr>
            </w:pPr>
            <w:r>
              <w:rPr>
                <w:sz w:val="18"/>
              </w:rPr>
              <w:t>287,705.93</w:t>
            </w:r>
          </w:p>
        </w:tc>
        <w:tc>
          <w:tcPr>
            <w:tcW w:w="1180" w:type="dxa"/>
            <w:tcBorders>
              <w:top w:val="single" w:sz="4" w:space="0" w:color="000000"/>
              <w:left w:val="single" w:sz="4" w:space="0" w:color="000000"/>
              <w:right w:val="single" w:sz="4" w:space="0" w:color="000000"/>
            </w:tcBorders>
          </w:tcPr>
          <w:p>
            <w:pPr>
              <w:pStyle w:val="TableParagraph"/>
              <w:rPr>
                <w:sz w:val="18"/>
              </w:rPr>
            </w:pPr>
          </w:p>
        </w:tc>
        <w:tc>
          <w:tcPr>
            <w:tcW w:w="1110" w:type="dxa"/>
            <w:tcBorders>
              <w:top w:val="single" w:sz="4" w:space="0" w:color="000000"/>
              <w:left w:val="single" w:sz="4" w:space="0" w:color="000000"/>
            </w:tcBorders>
          </w:tcPr>
          <w:p>
            <w:pPr>
              <w:pStyle w:val="TableParagraph"/>
              <w:spacing w:before="76"/>
              <w:ind w:left="195"/>
              <w:rPr>
                <w:sz w:val="18"/>
              </w:rPr>
            </w:pPr>
            <w:r>
              <w:rPr>
                <w:sz w:val="18"/>
              </w:rPr>
              <w:t>308,333.33</w:t>
            </w:r>
          </w:p>
        </w:tc>
      </w:tr>
    </w:tbl>
    <w:p>
      <w:pPr>
        <w:pStyle w:val="BodyText"/>
        <w:spacing w:line="265" w:lineRule="exact" w:before="4"/>
        <w:ind w:left="1538"/>
      </w:pPr>
      <w:r>
        <w:rPr>
          <w:w w:val="100"/>
        </w:rPr>
        <w:t> </w:t>
      </w:r>
    </w:p>
    <w:p>
      <w:pPr>
        <w:pStyle w:val="Heading4"/>
        <w:spacing w:line="206" w:lineRule="auto" w:before="36"/>
        <w:ind w:right="8625"/>
      </w:pPr>
      <w:r>
        <w:rPr>
          <w:rFonts w:ascii="Times New Roman" w:eastAsia="Times New Roman"/>
        </w:rPr>
        <w:t>2</w:t>
      </w:r>
      <w:r>
        <w:rPr/>
        <w:t>、 其他应收款项目列示</w:t>
      </w:r>
    </w:p>
    <w:p>
      <w:pPr>
        <w:pStyle w:val="BodyText"/>
        <w:spacing w:before="31"/>
        <w:ind w:left="1962"/>
      </w:pPr>
      <w:r>
        <w:rPr/>
        <w:t>√适用 □不适用</w:t>
      </w:r>
    </w:p>
    <w:p>
      <w:pPr>
        <w:pStyle w:val="BodyText"/>
        <w:tabs>
          <w:tab w:pos="9111" w:val="left" w:leader="none"/>
        </w:tabs>
        <w:spacing w:before="4"/>
        <w:ind w:left="8059"/>
      </w:pPr>
      <w:r>
        <w:rPr/>
        <w:t>单位：元</w:t>
        <w:tab/>
        <w:t>币</w:t>
      </w:r>
      <w:r>
        <w:rPr>
          <w:spacing w:val="-3"/>
        </w:rPr>
        <w:t>种</w:t>
      </w:r>
      <w:r>
        <w:rPr/>
        <w:t>：</w:t>
      </w:r>
      <w:r>
        <w:rPr>
          <w:spacing w:val="-3"/>
        </w:rPr>
        <w:t>人</w:t>
      </w:r>
      <w:r>
        <w:rPr/>
        <w:t>民币</w:t>
      </w: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193"/>
        <w:gridCol w:w="2936"/>
        <w:gridCol w:w="2922"/>
      </w:tblGrid>
      <w:tr>
        <w:trPr>
          <w:trHeight w:val="272" w:hRule="atLeast"/>
        </w:trPr>
        <w:tc>
          <w:tcPr>
            <w:tcW w:w="3193" w:type="dxa"/>
            <w:tcBorders>
              <w:bottom w:val="single" w:sz="4" w:space="0" w:color="000000"/>
              <w:right w:val="single" w:sz="4" w:space="0" w:color="000000"/>
            </w:tcBorders>
          </w:tcPr>
          <w:p>
            <w:pPr>
              <w:pStyle w:val="TableParagraph"/>
              <w:spacing w:line="250" w:lineRule="exact" w:before="3"/>
              <w:ind w:right="1364"/>
              <w:jc w:val="right"/>
              <w:rPr>
                <w:rFonts w:ascii="宋体" w:eastAsia="宋体" w:hint="eastAsia"/>
                <w:sz w:val="21"/>
              </w:rPr>
            </w:pPr>
            <w:r>
              <w:rPr>
                <w:rFonts w:ascii="宋体" w:eastAsia="宋体" w:hint="eastAsia"/>
                <w:sz w:val="21"/>
              </w:rPr>
              <w:t>项目</w:t>
            </w:r>
          </w:p>
        </w:tc>
        <w:tc>
          <w:tcPr>
            <w:tcW w:w="2936" w:type="dxa"/>
            <w:tcBorders>
              <w:left w:val="single" w:sz="4" w:space="0" w:color="000000"/>
              <w:bottom w:val="single" w:sz="4" w:space="0" w:color="000000"/>
              <w:right w:val="single" w:sz="4" w:space="0" w:color="000000"/>
            </w:tcBorders>
          </w:tcPr>
          <w:p>
            <w:pPr>
              <w:pStyle w:val="TableParagraph"/>
              <w:spacing w:line="250" w:lineRule="exact" w:before="3"/>
              <w:ind w:left="1036" w:right="1009"/>
              <w:jc w:val="center"/>
              <w:rPr>
                <w:rFonts w:ascii="宋体" w:eastAsia="宋体" w:hint="eastAsia"/>
                <w:sz w:val="21"/>
              </w:rPr>
            </w:pPr>
            <w:r>
              <w:rPr>
                <w:rFonts w:ascii="宋体" w:eastAsia="宋体" w:hint="eastAsia"/>
                <w:sz w:val="21"/>
              </w:rPr>
              <w:t>期末余额</w:t>
            </w:r>
          </w:p>
        </w:tc>
        <w:tc>
          <w:tcPr>
            <w:tcW w:w="2922" w:type="dxa"/>
            <w:tcBorders>
              <w:left w:val="single" w:sz="4" w:space="0" w:color="000000"/>
              <w:bottom w:val="single" w:sz="4" w:space="0" w:color="000000"/>
            </w:tcBorders>
          </w:tcPr>
          <w:p>
            <w:pPr>
              <w:pStyle w:val="TableParagraph"/>
              <w:spacing w:line="250" w:lineRule="exact" w:before="3"/>
              <w:ind w:left="1029" w:right="992"/>
              <w:jc w:val="center"/>
              <w:rPr>
                <w:rFonts w:ascii="宋体" w:eastAsia="宋体" w:hint="eastAsia"/>
                <w:sz w:val="21"/>
              </w:rPr>
            </w:pPr>
            <w:r>
              <w:rPr>
                <w:rFonts w:ascii="宋体" w:eastAsia="宋体" w:hint="eastAsia"/>
                <w:sz w:val="21"/>
              </w:rPr>
              <w:t>期初余额</w:t>
            </w:r>
          </w:p>
        </w:tc>
      </w:tr>
      <w:tr>
        <w:trPr>
          <w:trHeight w:val="273" w:hRule="atLeast"/>
        </w:trPr>
        <w:tc>
          <w:tcPr>
            <w:tcW w:w="3193" w:type="dxa"/>
            <w:tcBorders>
              <w:top w:val="single" w:sz="4" w:space="0" w:color="000000"/>
              <w:bottom w:val="single" w:sz="4" w:space="0" w:color="000000"/>
              <w:right w:val="single" w:sz="4" w:space="0" w:color="000000"/>
            </w:tcBorders>
          </w:tcPr>
          <w:p>
            <w:pPr>
              <w:pStyle w:val="TableParagraph"/>
              <w:spacing w:line="250" w:lineRule="exact" w:before="3"/>
              <w:ind w:left="107"/>
              <w:rPr>
                <w:rFonts w:ascii="宋体" w:eastAsia="宋体" w:hint="eastAsia"/>
                <w:sz w:val="21"/>
              </w:rPr>
            </w:pPr>
            <w:r>
              <w:rPr>
                <w:rFonts w:ascii="宋体" w:eastAsia="宋体" w:hint="eastAsia"/>
                <w:sz w:val="21"/>
              </w:rPr>
              <w:t>应收利息</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before="10"/>
              <w:ind w:right="89"/>
              <w:jc w:val="right"/>
              <w:rPr>
                <w:sz w:val="21"/>
              </w:rPr>
            </w:pPr>
            <w:r>
              <w:rPr>
                <w:sz w:val="21"/>
              </w:rPr>
              <w:t>38,582,434.11</w:t>
            </w:r>
          </w:p>
        </w:tc>
        <w:tc>
          <w:tcPr>
            <w:tcW w:w="2922" w:type="dxa"/>
            <w:tcBorders>
              <w:top w:val="single" w:sz="4" w:space="0" w:color="000000"/>
              <w:left w:val="single" w:sz="4" w:space="0" w:color="000000"/>
              <w:bottom w:val="single" w:sz="4" w:space="0" w:color="000000"/>
            </w:tcBorders>
          </w:tcPr>
          <w:p>
            <w:pPr>
              <w:pStyle w:val="TableParagraph"/>
              <w:spacing w:before="10"/>
              <w:ind w:right="80"/>
              <w:jc w:val="right"/>
              <w:rPr>
                <w:sz w:val="21"/>
              </w:rPr>
            </w:pPr>
            <w:r>
              <w:rPr>
                <w:sz w:val="21"/>
              </w:rPr>
              <w:t>16,753,860.49</w:t>
            </w:r>
          </w:p>
        </w:tc>
      </w:tr>
      <w:tr>
        <w:trPr>
          <w:trHeight w:val="273" w:hRule="atLeast"/>
        </w:trPr>
        <w:tc>
          <w:tcPr>
            <w:tcW w:w="3193"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应收股利</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922" w:type="dxa"/>
            <w:tcBorders>
              <w:top w:val="single" w:sz="4" w:space="0" w:color="000000"/>
              <w:left w:val="single" w:sz="4" w:space="0" w:color="000000"/>
              <w:bottom w:val="single" w:sz="4" w:space="0" w:color="000000"/>
            </w:tcBorders>
          </w:tcPr>
          <w:p>
            <w:pPr>
              <w:pStyle w:val="TableParagraph"/>
              <w:spacing w:before="10"/>
              <w:ind w:right="80"/>
              <w:jc w:val="right"/>
              <w:rPr>
                <w:sz w:val="21"/>
              </w:rPr>
            </w:pPr>
            <w:r>
              <w:rPr>
                <w:sz w:val="21"/>
              </w:rPr>
              <w:t>3,836,055,151.41</w:t>
            </w:r>
          </w:p>
        </w:tc>
      </w:tr>
      <w:tr>
        <w:trPr>
          <w:trHeight w:val="271" w:hRule="atLeast"/>
        </w:trPr>
        <w:tc>
          <w:tcPr>
            <w:tcW w:w="3193"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其他应收款</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before="7"/>
              <w:ind w:right="90"/>
              <w:jc w:val="right"/>
              <w:rPr>
                <w:sz w:val="21"/>
              </w:rPr>
            </w:pPr>
            <w:r>
              <w:rPr>
                <w:sz w:val="21"/>
              </w:rPr>
              <w:t>3,867,790,953.50</w:t>
            </w:r>
          </w:p>
        </w:tc>
        <w:tc>
          <w:tcPr>
            <w:tcW w:w="2922" w:type="dxa"/>
            <w:tcBorders>
              <w:top w:val="single" w:sz="4" w:space="0" w:color="000000"/>
              <w:left w:val="single" w:sz="4" w:space="0" w:color="000000"/>
              <w:bottom w:val="single" w:sz="4" w:space="0" w:color="000000"/>
            </w:tcBorders>
          </w:tcPr>
          <w:p>
            <w:pPr>
              <w:pStyle w:val="TableParagraph"/>
              <w:spacing w:before="7"/>
              <w:ind w:right="80"/>
              <w:jc w:val="right"/>
              <w:rPr>
                <w:sz w:val="21"/>
              </w:rPr>
            </w:pPr>
            <w:r>
              <w:rPr>
                <w:sz w:val="21"/>
              </w:rPr>
              <w:t>2,032,943,893.84</w:t>
            </w:r>
          </w:p>
        </w:tc>
      </w:tr>
      <w:tr>
        <w:trPr>
          <w:trHeight w:val="270" w:hRule="atLeast"/>
        </w:trPr>
        <w:tc>
          <w:tcPr>
            <w:tcW w:w="3193" w:type="dxa"/>
            <w:tcBorders>
              <w:top w:val="single" w:sz="4" w:space="0" w:color="000000"/>
              <w:right w:val="single" w:sz="4" w:space="0" w:color="000000"/>
            </w:tcBorders>
          </w:tcPr>
          <w:p>
            <w:pPr>
              <w:pStyle w:val="TableParagraph"/>
              <w:spacing w:line="249" w:lineRule="exact" w:before="1"/>
              <w:ind w:right="1364"/>
              <w:jc w:val="right"/>
              <w:rPr>
                <w:rFonts w:ascii="宋体" w:eastAsia="宋体" w:hint="eastAsia"/>
                <w:sz w:val="21"/>
              </w:rPr>
            </w:pPr>
            <w:r>
              <w:rPr>
                <w:rFonts w:ascii="宋体" w:eastAsia="宋体" w:hint="eastAsia"/>
                <w:sz w:val="21"/>
              </w:rPr>
              <w:t>合计</w:t>
            </w:r>
          </w:p>
        </w:tc>
        <w:tc>
          <w:tcPr>
            <w:tcW w:w="2936" w:type="dxa"/>
            <w:tcBorders>
              <w:top w:val="single" w:sz="4" w:space="0" w:color="000000"/>
              <w:left w:val="single" w:sz="4" w:space="0" w:color="000000"/>
              <w:right w:val="single" w:sz="4" w:space="0" w:color="000000"/>
            </w:tcBorders>
          </w:tcPr>
          <w:p>
            <w:pPr>
              <w:pStyle w:val="TableParagraph"/>
              <w:spacing w:line="240" w:lineRule="exact" w:before="10"/>
              <w:ind w:right="85"/>
              <w:jc w:val="right"/>
              <w:rPr>
                <w:sz w:val="21"/>
              </w:rPr>
            </w:pPr>
            <w:r>
              <w:rPr>
                <w:sz w:val="21"/>
              </w:rPr>
              <w:t>3,906,373,387.61</w:t>
            </w:r>
          </w:p>
        </w:tc>
        <w:tc>
          <w:tcPr>
            <w:tcW w:w="2922" w:type="dxa"/>
            <w:tcBorders>
              <w:top w:val="single" w:sz="4" w:space="0" w:color="000000"/>
              <w:left w:val="single" w:sz="4" w:space="0" w:color="000000"/>
            </w:tcBorders>
          </w:tcPr>
          <w:p>
            <w:pPr>
              <w:pStyle w:val="TableParagraph"/>
              <w:spacing w:line="240" w:lineRule="exact" w:before="10"/>
              <w:ind w:right="75"/>
              <w:jc w:val="right"/>
              <w:rPr>
                <w:sz w:val="21"/>
              </w:rPr>
            </w:pPr>
            <w:r>
              <w:rPr>
                <w:sz w:val="21"/>
              </w:rPr>
              <w:t>5,885,752,905.74</w:t>
            </w:r>
          </w:p>
        </w:tc>
      </w:tr>
    </w:tbl>
    <w:p>
      <w:pPr>
        <w:pStyle w:val="BodyText"/>
        <w:rPr>
          <w:sz w:val="20"/>
        </w:rPr>
      </w:pPr>
    </w:p>
    <w:p>
      <w:pPr>
        <w:pStyle w:val="BodyText"/>
        <w:spacing w:before="12"/>
        <w:rPr>
          <w:sz w:val="15"/>
        </w:rPr>
      </w:pPr>
    </w:p>
    <w:p>
      <w:pPr>
        <w:pStyle w:val="ListParagraph"/>
        <w:numPr>
          <w:ilvl w:val="0"/>
          <w:numId w:val="73"/>
        </w:numPr>
        <w:tabs>
          <w:tab w:pos="529" w:val="left" w:leader="none"/>
        </w:tabs>
        <w:spacing w:line="240" w:lineRule="auto" w:before="78" w:after="0"/>
        <w:ind w:left="2568" w:right="8182" w:hanging="2569"/>
        <w:jc w:val="right"/>
        <w:rPr>
          <w:rFonts w:ascii="Calibri" w:eastAsia="Calibri"/>
          <w:sz w:val="21"/>
        </w:rPr>
      </w:pPr>
      <w:r>
        <w:rPr>
          <w:spacing w:val="-3"/>
          <w:sz w:val="21"/>
        </w:rPr>
        <w:t>应收利息</w:t>
      </w:r>
      <w:r>
        <w:rPr>
          <w:rFonts w:ascii="Calibri" w:eastAsia="Calibri"/>
          <w:sz w:val="21"/>
        </w:rPr>
        <w:t>:</w:t>
      </w:r>
    </w:p>
    <w:p>
      <w:pPr>
        <w:pStyle w:val="BodyText"/>
        <w:spacing w:before="1"/>
        <w:rPr>
          <w:rFonts w:ascii="Calibri"/>
          <w:sz w:val="12"/>
        </w:rPr>
      </w:pPr>
    </w:p>
    <w:tbl>
      <w:tblPr>
        <w:tblW w:w="0" w:type="auto"/>
        <w:jc w:val="left"/>
        <w:tblInd w:w="15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351"/>
        <w:gridCol w:w="2782"/>
        <w:gridCol w:w="2657"/>
      </w:tblGrid>
      <w:tr>
        <w:trPr>
          <w:trHeight w:val="416" w:hRule="atLeast"/>
        </w:trPr>
        <w:tc>
          <w:tcPr>
            <w:tcW w:w="3351" w:type="dxa"/>
            <w:tcBorders>
              <w:bottom w:val="single" w:sz="4" w:space="0" w:color="000000"/>
              <w:right w:val="single" w:sz="4" w:space="0" w:color="000000"/>
            </w:tcBorders>
          </w:tcPr>
          <w:p>
            <w:pPr>
              <w:pStyle w:val="TableParagraph"/>
              <w:spacing w:before="33"/>
              <w:ind w:right="1472"/>
              <w:jc w:val="right"/>
              <w:rPr>
                <w:rFonts w:ascii="Microsoft JhengHei" w:eastAsia="Microsoft JhengHei" w:hint="eastAsia"/>
                <w:b/>
                <w:sz w:val="18"/>
              </w:rPr>
            </w:pPr>
            <w:r>
              <w:rPr>
                <w:rFonts w:ascii="Microsoft JhengHei" w:eastAsia="Microsoft JhengHei" w:hint="eastAsia"/>
                <w:b/>
                <w:sz w:val="18"/>
              </w:rPr>
              <w:t>账龄</w:t>
            </w:r>
          </w:p>
        </w:tc>
        <w:tc>
          <w:tcPr>
            <w:tcW w:w="2782" w:type="dxa"/>
            <w:tcBorders>
              <w:left w:val="single" w:sz="4" w:space="0" w:color="000000"/>
              <w:bottom w:val="single" w:sz="4" w:space="0" w:color="000000"/>
              <w:right w:val="single" w:sz="4" w:space="0" w:color="000000"/>
            </w:tcBorders>
          </w:tcPr>
          <w:p>
            <w:pPr>
              <w:pStyle w:val="TableParagraph"/>
              <w:spacing w:before="33"/>
              <w:ind w:left="959" w:right="931"/>
              <w:jc w:val="center"/>
              <w:rPr>
                <w:rFonts w:ascii="Microsoft JhengHei" w:eastAsia="Microsoft JhengHei" w:hint="eastAsia"/>
                <w:b/>
                <w:sz w:val="18"/>
              </w:rPr>
            </w:pPr>
            <w:r>
              <w:rPr>
                <w:rFonts w:ascii="Microsoft JhengHei" w:eastAsia="Microsoft JhengHei" w:hint="eastAsia"/>
                <w:b/>
                <w:sz w:val="18"/>
              </w:rPr>
              <w:t>期末余额</w:t>
            </w:r>
          </w:p>
        </w:tc>
        <w:tc>
          <w:tcPr>
            <w:tcW w:w="2657" w:type="dxa"/>
            <w:tcBorders>
              <w:left w:val="single" w:sz="4" w:space="0" w:color="000000"/>
              <w:bottom w:val="single" w:sz="4" w:space="0" w:color="000000"/>
            </w:tcBorders>
          </w:tcPr>
          <w:p>
            <w:pPr>
              <w:pStyle w:val="TableParagraph"/>
              <w:spacing w:before="33"/>
              <w:ind w:left="914" w:right="880"/>
              <w:jc w:val="center"/>
              <w:rPr>
                <w:rFonts w:ascii="Microsoft JhengHei" w:eastAsia="Microsoft JhengHei" w:hint="eastAsia"/>
                <w:b/>
                <w:sz w:val="18"/>
              </w:rPr>
            </w:pPr>
            <w:r>
              <w:rPr>
                <w:rFonts w:ascii="Microsoft JhengHei" w:eastAsia="Microsoft JhengHei" w:hint="eastAsia"/>
                <w:b/>
                <w:sz w:val="18"/>
              </w:rPr>
              <w:t>期初余额</w:t>
            </w:r>
          </w:p>
        </w:tc>
      </w:tr>
      <w:tr>
        <w:trPr>
          <w:trHeight w:val="359" w:hRule="atLeast"/>
        </w:trPr>
        <w:tc>
          <w:tcPr>
            <w:tcW w:w="3351" w:type="dxa"/>
            <w:tcBorders>
              <w:top w:val="single" w:sz="4" w:space="0" w:color="000000"/>
              <w:bottom w:val="single" w:sz="4" w:space="0" w:color="000000"/>
              <w:right w:val="single" w:sz="4" w:space="0" w:color="000000"/>
            </w:tcBorders>
          </w:tcPr>
          <w:p>
            <w:pPr>
              <w:pStyle w:val="TableParagraph"/>
              <w:spacing w:before="64"/>
              <w:ind w:left="105"/>
              <w:rPr>
                <w:rFonts w:ascii="宋体" w:eastAsia="宋体" w:hint="eastAsia"/>
                <w:sz w:val="18"/>
              </w:rPr>
            </w:pPr>
            <w:r>
              <w:rPr>
                <w:sz w:val="18"/>
              </w:rPr>
              <w:t>1 </w:t>
            </w:r>
            <w:r>
              <w:rPr>
                <w:rFonts w:ascii="宋体" w:eastAsia="宋体" w:hint="eastAsia"/>
                <w:sz w:val="18"/>
              </w:rPr>
              <w:t>年以内</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before="71"/>
              <w:ind w:right="86"/>
              <w:jc w:val="right"/>
              <w:rPr>
                <w:sz w:val="18"/>
              </w:rPr>
            </w:pPr>
            <w:r>
              <w:rPr>
                <w:sz w:val="18"/>
              </w:rPr>
              <w:t>38,582,434.11</w:t>
            </w:r>
          </w:p>
        </w:tc>
        <w:tc>
          <w:tcPr>
            <w:tcW w:w="2657" w:type="dxa"/>
            <w:tcBorders>
              <w:top w:val="single" w:sz="4" w:space="0" w:color="000000"/>
              <w:left w:val="single" w:sz="4" w:space="0" w:color="000000"/>
              <w:bottom w:val="single" w:sz="4" w:space="0" w:color="000000"/>
            </w:tcBorders>
          </w:tcPr>
          <w:p>
            <w:pPr>
              <w:pStyle w:val="TableParagraph"/>
              <w:spacing w:before="71"/>
              <w:ind w:right="76"/>
              <w:jc w:val="right"/>
              <w:rPr>
                <w:sz w:val="18"/>
              </w:rPr>
            </w:pPr>
            <w:r>
              <w:rPr>
                <w:sz w:val="18"/>
              </w:rPr>
              <w:t>16,753,860.49</w:t>
            </w:r>
          </w:p>
        </w:tc>
      </w:tr>
      <w:tr>
        <w:trPr>
          <w:trHeight w:val="359" w:hRule="atLeast"/>
        </w:trPr>
        <w:tc>
          <w:tcPr>
            <w:tcW w:w="3351" w:type="dxa"/>
            <w:tcBorders>
              <w:top w:val="single" w:sz="4" w:space="0" w:color="000000"/>
              <w:bottom w:val="single" w:sz="4" w:space="0" w:color="000000"/>
              <w:right w:val="single" w:sz="4" w:space="0" w:color="000000"/>
            </w:tcBorders>
          </w:tcPr>
          <w:p>
            <w:pPr>
              <w:pStyle w:val="TableParagraph"/>
              <w:spacing w:before="64"/>
              <w:ind w:left="105"/>
              <w:rPr>
                <w:rFonts w:ascii="宋体" w:eastAsia="宋体" w:hint="eastAsia"/>
                <w:sz w:val="18"/>
              </w:rPr>
            </w:pPr>
            <w:r>
              <w:rPr>
                <w:sz w:val="18"/>
              </w:rPr>
              <w:t>1 </w:t>
            </w:r>
            <w:r>
              <w:rPr>
                <w:rFonts w:ascii="宋体" w:eastAsia="宋体" w:hint="eastAsia"/>
                <w:sz w:val="18"/>
              </w:rPr>
              <w:t>年以上</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before="59"/>
              <w:ind w:right="-15"/>
              <w:jc w:val="right"/>
              <w:rPr>
                <w:rFonts w:ascii="宋体"/>
                <w:sz w:val="18"/>
              </w:rPr>
            </w:pPr>
            <w:r>
              <w:rPr>
                <w:rFonts w:ascii="宋体"/>
                <w:sz w:val="18"/>
              </w:rPr>
              <w:t> </w:t>
            </w:r>
          </w:p>
        </w:tc>
        <w:tc>
          <w:tcPr>
            <w:tcW w:w="2657" w:type="dxa"/>
            <w:tcBorders>
              <w:top w:val="single" w:sz="4" w:space="0" w:color="000000"/>
              <w:left w:val="single" w:sz="4" w:space="0" w:color="000000"/>
              <w:bottom w:val="single" w:sz="4" w:space="0" w:color="000000"/>
            </w:tcBorders>
          </w:tcPr>
          <w:p>
            <w:pPr>
              <w:pStyle w:val="TableParagraph"/>
              <w:spacing w:before="59"/>
              <w:ind w:right="-15"/>
              <w:jc w:val="right"/>
              <w:rPr>
                <w:rFonts w:ascii="宋体"/>
                <w:sz w:val="18"/>
              </w:rPr>
            </w:pPr>
            <w:r>
              <w:rPr>
                <w:rFonts w:ascii="宋体"/>
                <w:sz w:val="18"/>
              </w:rPr>
              <w:t> </w:t>
            </w:r>
          </w:p>
        </w:tc>
      </w:tr>
      <w:tr>
        <w:trPr>
          <w:trHeight w:val="356" w:hRule="atLeast"/>
        </w:trPr>
        <w:tc>
          <w:tcPr>
            <w:tcW w:w="3351" w:type="dxa"/>
            <w:tcBorders>
              <w:top w:val="single" w:sz="4" w:space="0" w:color="000000"/>
              <w:right w:val="single" w:sz="4" w:space="0" w:color="000000"/>
            </w:tcBorders>
          </w:tcPr>
          <w:p>
            <w:pPr>
              <w:pStyle w:val="TableParagraph"/>
              <w:spacing w:before="62"/>
              <w:ind w:right="1476"/>
              <w:jc w:val="right"/>
              <w:rPr>
                <w:rFonts w:ascii="宋体" w:eastAsia="宋体" w:hint="eastAsia"/>
                <w:sz w:val="18"/>
              </w:rPr>
            </w:pPr>
            <w:r>
              <w:rPr>
                <w:rFonts w:ascii="宋体" w:eastAsia="宋体" w:hint="eastAsia"/>
                <w:sz w:val="18"/>
              </w:rPr>
              <w:t>合计</w:t>
            </w:r>
          </w:p>
        </w:tc>
        <w:tc>
          <w:tcPr>
            <w:tcW w:w="2782" w:type="dxa"/>
            <w:tcBorders>
              <w:top w:val="single" w:sz="4" w:space="0" w:color="000000"/>
              <w:left w:val="single" w:sz="4" w:space="0" w:color="000000"/>
              <w:right w:val="single" w:sz="4" w:space="0" w:color="000000"/>
            </w:tcBorders>
          </w:tcPr>
          <w:p>
            <w:pPr>
              <w:pStyle w:val="TableParagraph"/>
              <w:spacing w:before="71"/>
              <w:ind w:right="86"/>
              <w:jc w:val="right"/>
              <w:rPr>
                <w:sz w:val="18"/>
              </w:rPr>
            </w:pPr>
            <w:r>
              <w:rPr>
                <w:sz w:val="18"/>
              </w:rPr>
              <w:t>38,582,434.11</w:t>
            </w:r>
          </w:p>
        </w:tc>
        <w:tc>
          <w:tcPr>
            <w:tcW w:w="2657" w:type="dxa"/>
            <w:tcBorders>
              <w:top w:val="single" w:sz="4" w:space="0" w:color="000000"/>
              <w:left w:val="single" w:sz="4" w:space="0" w:color="000000"/>
            </w:tcBorders>
          </w:tcPr>
          <w:p>
            <w:pPr>
              <w:pStyle w:val="TableParagraph"/>
              <w:spacing w:before="71"/>
              <w:ind w:right="76"/>
              <w:jc w:val="right"/>
              <w:rPr>
                <w:sz w:val="18"/>
              </w:rPr>
            </w:pPr>
            <w:r>
              <w:rPr>
                <w:sz w:val="18"/>
              </w:rPr>
              <w:t>16,753,860.49</w:t>
            </w:r>
          </w:p>
        </w:tc>
      </w:tr>
    </w:tbl>
    <w:p>
      <w:pPr>
        <w:pStyle w:val="BodyText"/>
        <w:rPr>
          <w:rFonts w:ascii="Calibri"/>
          <w:sz w:val="24"/>
        </w:rPr>
      </w:pPr>
    </w:p>
    <w:p>
      <w:pPr>
        <w:pStyle w:val="BodyText"/>
        <w:spacing w:before="2"/>
        <w:rPr>
          <w:rFonts w:ascii="Calibri"/>
          <w:sz w:val="20"/>
        </w:rPr>
      </w:pPr>
    </w:p>
    <w:p>
      <w:pPr>
        <w:pStyle w:val="ListParagraph"/>
        <w:numPr>
          <w:ilvl w:val="0"/>
          <w:numId w:val="73"/>
        </w:numPr>
        <w:tabs>
          <w:tab w:pos="529" w:val="left" w:leader="none"/>
        </w:tabs>
        <w:spacing w:line="240" w:lineRule="auto" w:before="0" w:after="0"/>
        <w:ind w:left="2568" w:right="8182" w:hanging="2569"/>
        <w:jc w:val="right"/>
        <w:rPr>
          <w:rFonts w:ascii="Calibri" w:eastAsia="Calibri"/>
          <w:sz w:val="21"/>
        </w:rPr>
      </w:pPr>
      <w:r>
        <w:rPr>
          <w:spacing w:val="-3"/>
          <w:sz w:val="21"/>
        </w:rPr>
        <w:t>应收股利</w:t>
      </w:r>
      <w:r>
        <w:rPr>
          <w:rFonts w:ascii="Calibri" w:eastAsia="Calibri"/>
          <w:sz w:val="21"/>
        </w:rPr>
        <w:t>:</w:t>
      </w:r>
    </w:p>
    <w:p>
      <w:pPr>
        <w:pStyle w:val="BodyText"/>
        <w:spacing w:after="1"/>
        <w:rPr>
          <w:rFonts w:ascii="Calibri"/>
          <w:sz w:val="12"/>
        </w:rPr>
      </w:pPr>
    </w:p>
    <w:tbl>
      <w:tblPr>
        <w:tblW w:w="0" w:type="auto"/>
        <w:jc w:val="left"/>
        <w:tblInd w:w="15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351"/>
        <w:gridCol w:w="2782"/>
        <w:gridCol w:w="2657"/>
      </w:tblGrid>
      <w:tr>
        <w:trPr>
          <w:trHeight w:val="416" w:hRule="atLeast"/>
        </w:trPr>
        <w:tc>
          <w:tcPr>
            <w:tcW w:w="3351" w:type="dxa"/>
            <w:tcBorders>
              <w:bottom w:val="single" w:sz="4" w:space="0" w:color="000000"/>
              <w:right w:val="single" w:sz="4" w:space="0" w:color="000000"/>
            </w:tcBorders>
          </w:tcPr>
          <w:p>
            <w:pPr>
              <w:pStyle w:val="TableParagraph"/>
              <w:spacing w:before="33"/>
              <w:ind w:right="1472"/>
              <w:jc w:val="right"/>
              <w:rPr>
                <w:rFonts w:ascii="Microsoft JhengHei" w:eastAsia="Microsoft JhengHei" w:hint="eastAsia"/>
                <w:b/>
                <w:sz w:val="18"/>
              </w:rPr>
            </w:pPr>
            <w:r>
              <w:rPr>
                <w:rFonts w:ascii="Microsoft JhengHei" w:eastAsia="Microsoft JhengHei" w:hint="eastAsia"/>
                <w:b/>
                <w:sz w:val="18"/>
              </w:rPr>
              <w:t>账龄</w:t>
            </w:r>
          </w:p>
        </w:tc>
        <w:tc>
          <w:tcPr>
            <w:tcW w:w="2782" w:type="dxa"/>
            <w:tcBorders>
              <w:left w:val="single" w:sz="4" w:space="0" w:color="000000"/>
              <w:bottom w:val="single" w:sz="4" w:space="0" w:color="000000"/>
              <w:right w:val="single" w:sz="4" w:space="0" w:color="000000"/>
            </w:tcBorders>
          </w:tcPr>
          <w:p>
            <w:pPr>
              <w:pStyle w:val="TableParagraph"/>
              <w:spacing w:before="33"/>
              <w:ind w:left="959" w:right="931"/>
              <w:jc w:val="center"/>
              <w:rPr>
                <w:rFonts w:ascii="Microsoft JhengHei" w:eastAsia="Microsoft JhengHei" w:hint="eastAsia"/>
                <w:b/>
                <w:sz w:val="18"/>
              </w:rPr>
            </w:pPr>
            <w:r>
              <w:rPr>
                <w:rFonts w:ascii="Microsoft JhengHei" w:eastAsia="Microsoft JhengHei" w:hint="eastAsia"/>
                <w:b/>
                <w:sz w:val="18"/>
              </w:rPr>
              <w:t>期末余额</w:t>
            </w:r>
          </w:p>
        </w:tc>
        <w:tc>
          <w:tcPr>
            <w:tcW w:w="2657" w:type="dxa"/>
            <w:tcBorders>
              <w:left w:val="single" w:sz="4" w:space="0" w:color="000000"/>
              <w:bottom w:val="single" w:sz="4" w:space="0" w:color="000000"/>
            </w:tcBorders>
          </w:tcPr>
          <w:p>
            <w:pPr>
              <w:pStyle w:val="TableParagraph"/>
              <w:spacing w:before="33"/>
              <w:ind w:left="914" w:right="880"/>
              <w:jc w:val="center"/>
              <w:rPr>
                <w:rFonts w:ascii="Microsoft JhengHei" w:eastAsia="Microsoft JhengHei" w:hint="eastAsia"/>
                <w:b/>
                <w:sz w:val="18"/>
              </w:rPr>
            </w:pPr>
            <w:r>
              <w:rPr>
                <w:rFonts w:ascii="Microsoft JhengHei" w:eastAsia="Microsoft JhengHei" w:hint="eastAsia"/>
                <w:b/>
                <w:sz w:val="18"/>
              </w:rPr>
              <w:t>期初余额</w:t>
            </w:r>
          </w:p>
        </w:tc>
      </w:tr>
      <w:tr>
        <w:trPr>
          <w:trHeight w:val="359" w:hRule="atLeast"/>
        </w:trPr>
        <w:tc>
          <w:tcPr>
            <w:tcW w:w="3351" w:type="dxa"/>
            <w:tcBorders>
              <w:top w:val="single" w:sz="4" w:space="0" w:color="000000"/>
              <w:bottom w:val="single" w:sz="4" w:space="0" w:color="000000"/>
              <w:right w:val="single" w:sz="4" w:space="0" w:color="000000"/>
            </w:tcBorders>
          </w:tcPr>
          <w:p>
            <w:pPr>
              <w:pStyle w:val="TableParagraph"/>
              <w:spacing w:before="64"/>
              <w:ind w:left="105"/>
              <w:rPr>
                <w:rFonts w:ascii="宋体" w:eastAsia="宋体" w:hint="eastAsia"/>
                <w:sz w:val="18"/>
              </w:rPr>
            </w:pPr>
            <w:r>
              <w:rPr>
                <w:sz w:val="18"/>
              </w:rPr>
              <w:t>1 </w:t>
            </w:r>
            <w:r>
              <w:rPr>
                <w:rFonts w:ascii="宋体" w:eastAsia="宋体" w:hint="eastAsia"/>
                <w:sz w:val="18"/>
              </w:rPr>
              <w:t>年以内</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rPr>
                <w:sz w:val="18"/>
              </w:rPr>
            </w:pPr>
          </w:p>
        </w:tc>
        <w:tc>
          <w:tcPr>
            <w:tcW w:w="2657" w:type="dxa"/>
            <w:tcBorders>
              <w:top w:val="single" w:sz="4" w:space="0" w:color="000000"/>
              <w:left w:val="single" w:sz="4" w:space="0" w:color="000000"/>
              <w:bottom w:val="single" w:sz="4" w:space="0" w:color="000000"/>
            </w:tcBorders>
          </w:tcPr>
          <w:p>
            <w:pPr>
              <w:pStyle w:val="TableParagraph"/>
              <w:spacing w:before="71"/>
              <w:ind w:right="76"/>
              <w:jc w:val="right"/>
              <w:rPr>
                <w:sz w:val="18"/>
              </w:rPr>
            </w:pPr>
            <w:r>
              <w:rPr>
                <w:sz w:val="18"/>
              </w:rPr>
              <w:t>3,836,055,151.41</w:t>
            </w:r>
          </w:p>
        </w:tc>
      </w:tr>
      <w:tr>
        <w:trPr>
          <w:trHeight w:val="359" w:hRule="atLeast"/>
        </w:trPr>
        <w:tc>
          <w:tcPr>
            <w:tcW w:w="3351" w:type="dxa"/>
            <w:tcBorders>
              <w:top w:val="single" w:sz="4" w:space="0" w:color="000000"/>
              <w:bottom w:val="single" w:sz="4" w:space="0" w:color="000000"/>
              <w:right w:val="single" w:sz="4" w:space="0" w:color="000000"/>
            </w:tcBorders>
          </w:tcPr>
          <w:p>
            <w:pPr>
              <w:pStyle w:val="TableParagraph"/>
              <w:spacing w:before="62"/>
              <w:ind w:left="105"/>
              <w:rPr>
                <w:rFonts w:ascii="宋体" w:eastAsia="宋体" w:hint="eastAsia"/>
                <w:sz w:val="18"/>
              </w:rPr>
            </w:pPr>
            <w:r>
              <w:rPr>
                <w:sz w:val="18"/>
              </w:rPr>
              <w:t>1 </w:t>
            </w:r>
            <w:r>
              <w:rPr>
                <w:rFonts w:ascii="宋体" w:eastAsia="宋体" w:hint="eastAsia"/>
                <w:sz w:val="18"/>
              </w:rPr>
              <w:t>年以上</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before="60"/>
              <w:ind w:right="-15"/>
              <w:jc w:val="right"/>
              <w:rPr>
                <w:rFonts w:ascii="宋体"/>
                <w:sz w:val="18"/>
              </w:rPr>
            </w:pPr>
            <w:r>
              <w:rPr>
                <w:rFonts w:ascii="宋体"/>
                <w:sz w:val="18"/>
              </w:rPr>
              <w:t> </w:t>
            </w:r>
          </w:p>
        </w:tc>
        <w:tc>
          <w:tcPr>
            <w:tcW w:w="2657" w:type="dxa"/>
            <w:tcBorders>
              <w:top w:val="single" w:sz="4" w:space="0" w:color="000000"/>
              <w:left w:val="single" w:sz="4" w:space="0" w:color="000000"/>
              <w:bottom w:val="single" w:sz="4" w:space="0" w:color="000000"/>
            </w:tcBorders>
          </w:tcPr>
          <w:p>
            <w:pPr>
              <w:pStyle w:val="TableParagraph"/>
              <w:spacing w:before="60"/>
              <w:ind w:right="-15"/>
              <w:jc w:val="right"/>
              <w:rPr>
                <w:rFonts w:ascii="宋体"/>
                <w:sz w:val="18"/>
              </w:rPr>
            </w:pPr>
            <w:r>
              <w:rPr>
                <w:rFonts w:ascii="宋体"/>
                <w:sz w:val="18"/>
              </w:rPr>
              <w:t> </w:t>
            </w:r>
          </w:p>
        </w:tc>
      </w:tr>
      <w:tr>
        <w:trPr>
          <w:trHeight w:val="356" w:hRule="atLeast"/>
        </w:trPr>
        <w:tc>
          <w:tcPr>
            <w:tcW w:w="3351" w:type="dxa"/>
            <w:tcBorders>
              <w:top w:val="single" w:sz="4" w:space="0" w:color="000000"/>
              <w:right w:val="single" w:sz="4" w:space="0" w:color="000000"/>
            </w:tcBorders>
          </w:tcPr>
          <w:p>
            <w:pPr>
              <w:pStyle w:val="TableParagraph"/>
              <w:spacing w:before="62"/>
              <w:ind w:right="1476"/>
              <w:jc w:val="right"/>
              <w:rPr>
                <w:rFonts w:ascii="宋体" w:eastAsia="宋体" w:hint="eastAsia"/>
                <w:sz w:val="18"/>
              </w:rPr>
            </w:pPr>
            <w:r>
              <w:rPr>
                <w:rFonts w:ascii="宋体" w:eastAsia="宋体" w:hint="eastAsia"/>
                <w:sz w:val="18"/>
              </w:rPr>
              <w:t>合计</w:t>
            </w:r>
          </w:p>
        </w:tc>
        <w:tc>
          <w:tcPr>
            <w:tcW w:w="2782" w:type="dxa"/>
            <w:tcBorders>
              <w:top w:val="single" w:sz="4" w:space="0" w:color="000000"/>
              <w:left w:val="single" w:sz="4" w:space="0" w:color="000000"/>
              <w:right w:val="single" w:sz="4" w:space="0" w:color="000000"/>
            </w:tcBorders>
          </w:tcPr>
          <w:p>
            <w:pPr>
              <w:pStyle w:val="TableParagraph"/>
              <w:rPr>
                <w:sz w:val="18"/>
              </w:rPr>
            </w:pPr>
          </w:p>
        </w:tc>
        <w:tc>
          <w:tcPr>
            <w:tcW w:w="2657" w:type="dxa"/>
            <w:tcBorders>
              <w:top w:val="single" w:sz="4" w:space="0" w:color="000000"/>
              <w:left w:val="single" w:sz="4" w:space="0" w:color="000000"/>
            </w:tcBorders>
          </w:tcPr>
          <w:p>
            <w:pPr>
              <w:pStyle w:val="TableParagraph"/>
              <w:spacing w:before="71"/>
              <w:ind w:right="76"/>
              <w:jc w:val="right"/>
              <w:rPr>
                <w:sz w:val="18"/>
              </w:rPr>
            </w:pPr>
            <w:r>
              <w:rPr>
                <w:sz w:val="18"/>
              </w:rPr>
              <w:t>3,836,055,151.41</w:t>
            </w:r>
          </w:p>
        </w:tc>
      </w:tr>
    </w:tbl>
    <w:p>
      <w:pPr>
        <w:pStyle w:val="BodyText"/>
        <w:spacing w:line="267" w:lineRule="exact" w:before="3"/>
        <w:ind w:left="1538"/>
      </w:pPr>
      <w:r>
        <w:rPr>
          <w:w w:val="100"/>
        </w:rPr>
        <w:t> </w:t>
      </w:r>
    </w:p>
    <w:p>
      <w:pPr>
        <w:pStyle w:val="Heading4"/>
        <w:spacing w:line="384" w:lineRule="exact"/>
      </w:pPr>
      <w:r>
        <w:rPr/>
        <w:t>其他应收款</w:t>
      </w:r>
    </w:p>
    <w:p>
      <w:pPr>
        <w:pStyle w:val="BodyText"/>
        <w:spacing w:before="3"/>
        <w:rPr>
          <w:rFonts w:ascii="Microsoft JhengHei"/>
          <w:b/>
          <w:sz w:val="10"/>
        </w:rPr>
      </w:pPr>
    </w:p>
    <w:p>
      <w:pPr>
        <w:pStyle w:val="ListParagraph"/>
        <w:numPr>
          <w:ilvl w:val="0"/>
          <w:numId w:val="73"/>
        </w:numPr>
        <w:tabs>
          <w:tab w:pos="529" w:val="left" w:leader="none"/>
        </w:tabs>
        <w:spacing w:line="240" w:lineRule="auto" w:before="1" w:after="0"/>
        <w:ind w:left="2427" w:right="8110" w:hanging="2427"/>
        <w:jc w:val="right"/>
        <w:rPr>
          <w:rFonts w:ascii="Times New Roman" w:eastAsia="Times New Roman"/>
          <w:sz w:val="21"/>
        </w:rPr>
      </w:pPr>
      <w:r>
        <w:rPr>
          <w:spacing w:val="-3"/>
          <w:sz w:val="21"/>
        </w:rPr>
        <w:t>其他应收款</w:t>
      </w:r>
      <w:r>
        <w:rPr>
          <w:rFonts w:ascii="Times New Roman" w:eastAsia="Times New Roman"/>
          <w:sz w:val="21"/>
        </w:rPr>
        <w:t>:</w:t>
      </w:r>
    </w:p>
    <w:p>
      <w:pPr>
        <w:pStyle w:val="BodyText"/>
        <w:spacing w:before="3"/>
        <w:rPr>
          <w:rFonts w:ascii="Times New Roman"/>
          <w:sz w:val="18"/>
        </w:rPr>
      </w:pPr>
    </w:p>
    <w:p>
      <w:pPr>
        <w:pStyle w:val="BodyText"/>
        <w:tabs>
          <w:tab w:pos="2315" w:val="left" w:leader="none"/>
        </w:tabs>
        <w:spacing w:before="1"/>
        <w:ind w:left="1895"/>
      </w:pPr>
      <w:r>
        <w:rPr/>
        <w:t>①</w:t>
        <w:tab/>
      </w:r>
      <w:r>
        <w:rPr>
          <w:spacing w:val="-3"/>
        </w:rPr>
        <w:t>其他应收款按账龄披露如下：</w:t>
      </w:r>
    </w:p>
    <w:p>
      <w:pPr>
        <w:pStyle w:val="BodyText"/>
        <w:spacing w:before="3"/>
        <w:rPr>
          <w:sz w:val="12"/>
        </w:rPr>
      </w:pPr>
    </w:p>
    <w:tbl>
      <w:tblPr>
        <w:tblW w:w="0" w:type="auto"/>
        <w:jc w:val="left"/>
        <w:tblInd w:w="15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351"/>
        <w:gridCol w:w="2782"/>
        <w:gridCol w:w="2657"/>
      </w:tblGrid>
      <w:tr>
        <w:trPr>
          <w:trHeight w:val="416" w:hRule="atLeast"/>
        </w:trPr>
        <w:tc>
          <w:tcPr>
            <w:tcW w:w="3351" w:type="dxa"/>
            <w:tcBorders>
              <w:bottom w:val="single" w:sz="4" w:space="0" w:color="000000"/>
              <w:right w:val="single" w:sz="4" w:space="0" w:color="000000"/>
            </w:tcBorders>
          </w:tcPr>
          <w:p>
            <w:pPr>
              <w:pStyle w:val="TableParagraph"/>
              <w:spacing w:before="33"/>
              <w:ind w:left="1454" w:right="1436"/>
              <w:jc w:val="center"/>
              <w:rPr>
                <w:rFonts w:ascii="Microsoft JhengHei" w:eastAsia="Microsoft JhengHei" w:hint="eastAsia"/>
                <w:b/>
                <w:sz w:val="18"/>
              </w:rPr>
            </w:pPr>
            <w:r>
              <w:rPr>
                <w:rFonts w:ascii="Microsoft JhengHei" w:eastAsia="Microsoft JhengHei" w:hint="eastAsia"/>
                <w:b/>
                <w:sz w:val="18"/>
              </w:rPr>
              <w:t>账龄</w:t>
            </w:r>
          </w:p>
        </w:tc>
        <w:tc>
          <w:tcPr>
            <w:tcW w:w="2782" w:type="dxa"/>
            <w:tcBorders>
              <w:left w:val="single" w:sz="4" w:space="0" w:color="000000"/>
              <w:bottom w:val="single" w:sz="4" w:space="0" w:color="000000"/>
              <w:right w:val="single" w:sz="4" w:space="0" w:color="000000"/>
            </w:tcBorders>
          </w:tcPr>
          <w:p>
            <w:pPr>
              <w:pStyle w:val="TableParagraph"/>
              <w:spacing w:before="33"/>
              <w:ind w:left="959" w:right="931"/>
              <w:jc w:val="center"/>
              <w:rPr>
                <w:rFonts w:ascii="Microsoft JhengHei" w:eastAsia="Microsoft JhengHei" w:hint="eastAsia"/>
                <w:b/>
                <w:sz w:val="18"/>
              </w:rPr>
            </w:pPr>
            <w:r>
              <w:rPr>
                <w:rFonts w:ascii="Microsoft JhengHei" w:eastAsia="Microsoft JhengHei" w:hint="eastAsia"/>
                <w:b/>
                <w:sz w:val="18"/>
              </w:rPr>
              <w:t>期末余额</w:t>
            </w:r>
          </w:p>
        </w:tc>
        <w:tc>
          <w:tcPr>
            <w:tcW w:w="2657" w:type="dxa"/>
            <w:tcBorders>
              <w:left w:val="single" w:sz="4" w:space="0" w:color="000000"/>
              <w:bottom w:val="single" w:sz="4" w:space="0" w:color="000000"/>
            </w:tcBorders>
          </w:tcPr>
          <w:p>
            <w:pPr>
              <w:pStyle w:val="TableParagraph"/>
              <w:spacing w:before="33"/>
              <w:ind w:left="914" w:right="880"/>
              <w:jc w:val="center"/>
              <w:rPr>
                <w:rFonts w:ascii="Microsoft JhengHei" w:eastAsia="Microsoft JhengHei" w:hint="eastAsia"/>
                <w:b/>
                <w:sz w:val="18"/>
              </w:rPr>
            </w:pPr>
            <w:r>
              <w:rPr>
                <w:rFonts w:ascii="Microsoft JhengHei" w:eastAsia="Microsoft JhengHei" w:hint="eastAsia"/>
                <w:b/>
                <w:sz w:val="18"/>
              </w:rPr>
              <w:t>期初余额</w:t>
            </w:r>
          </w:p>
        </w:tc>
      </w:tr>
      <w:tr>
        <w:trPr>
          <w:trHeight w:val="359" w:hRule="atLeast"/>
        </w:trPr>
        <w:tc>
          <w:tcPr>
            <w:tcW w:w="3351" w:type="dxa"/>
            <w:tcBorders>
              <w:top w:val="single" w:sz="4" w:space="0" w:color="000000"/>
              <w:bottom w:val="single" w:sz="4" w:space="0" w:color="000000"/>
              <w:right w:val="single" w:sz="4" w:space="0" w:color="000000"/>
            </w:tcBorders>
          </w:tcPr>
          <w:p>
            <w:pPr>
              <w:pStyle w:val="TableParagraph"/>
              <w:spacing w:before="64"/>
              <w:ind w:left="105"/>
              <w:rPr>
                <w:rFonts w:ascii="宋体" w:eastAsia="宋体" w:hint="eastAsia"/>
                <w:sz w:val="18"/>
              </w:rPr>
            </w:pPr>
            <w:r>
              <w:rPr>
                <w:sz w:val="18"/>
              </w:rPr>
              <w:t>1 </w:t>
            </w:r>
            <w:r>
              <w:rPr>
                <w:rFonts w:ascii="宋体" w:eastAsia="宋体" w:hint="eastAsia"/>
                <w:sz w:val="18"/>
              </w:rPr>
              <w:t>年以内</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before="71"/>
              <w:ind w:right="87"/>
              <w:jc w:val="right"/>
              <w:rPr>
                <w:sz w:val="18"/>
              </w:rPr>
            </w:pPr>
            <w:r>
              <w:rPr>
                <w:sz w:val="18"/>
              </w:rPr>
              <w:t>3,501,616,045.85</w:t>
            </w:r>
          </w:p>
        </w:tc>
        <w:tc>
          <w:tcPr>
            <w:tcW w:w="2657" w:type="dxa"/>
            <w:tcBorders>
              <w:top w:val="single" w:sz="4" w:space="0" w:color="000000"/>
              <w:left w:val="single" w:sz="4" w:space="0" w:color="000000"/>
              <w:bottom w:val="single" w:sz="4" w:space="0" w:color="000000"/>
            </w:tcBorders>
          </w:tcPr>
          <w:p>
            <w:pPr>
              <w:pStyle w:val="TableParagraph"/>
              <w:spacing w:before="71"/>
              <w:ind w:right="76"/>
              <w:jc w:val="right"/>
              <w:rPr>
                <w:sz w:val="18"/>
              </w:rPr>
            </w:pPr>
            <w:r>
              <w:rPr>
                <w:sz w:val="18"/>
              </w:rPr>
              <w:t>2,033,022,986.42</w:t>
            </w:r>
          </w:p>
        </w:tc>
      </w:tr>
      <w:tr>
        <w:trPr>
          <w:trHeight w:val="359" w:hRule="atLeast"/>
        </w:trPr>
        <w:tc>
          <w:tcPr>
            <w:tcW w:w="3351" w:type="dxa"/>
            <w:tcBorders>
              <w:top w:val="single" w:sz="4" w:space="0" w:color="000000"/>
              <w:bottom w:val="single" w:sz="4" w:space="0" w:color="000000"/>
              <w:right w:val="single" w:sz="4" w:space="0" w:color="000000"/>
            </w:tcBorders>
          </w:tcPr>
          <w:p>
            <w:pPr>
              <w:pStyle w:val="TableParagraph"/>
              <w:spacing w:before="62"/>
              <w:ind w:left="105"/>
              <w:rPr>
                <w:rFonts w:ascii="宋体" w:eastAsia="宋体" w:hint="eastAsia"/>
                <w:sz w:val="18"/>
              </w:rPr>
            </w:pPr>
            <w:r>
              <w:rPr>
                <w:sz w:val="18"/>
              </w:rPr>
              <w:t>1 </w:t>
            </w:r>
            <w:r>
              <w:rPr>
                <w:rFonts w:ascii="宋体" w:eastAsia="宋体" w:hint="eastAsia"/>
                <w:sz w:val="18"/>
              </w:rPr>
              <w:t>年以上</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before="71"/>
              <w:ind w:right="89"/>
              <w:jc w:val="right"/>
              <w:rPr>
                <w:sz w:val="18"/>
              </w:rPr>
            </w:pPr>
            <w:r>
              <w:rPr>
                <w:sz w:val="18"/>
              </w:rPr>
              <w:t>366,178,683.57</w:t>
            </w:r>
          </w:p>
        </w:tc>
        <w:tc>
          <w:tcPr>
            <w:tcW w:w="2657" w:type="dxa"/>
            <w:tcBorders>
              <w:top w:val="single" w:sz="4" w:space="0" w:color="000000"/>
              <w:left w:val="single" w:sz="4" w:space="0" w:color="000000"/>
              <w:bottom w:val="single" w:sz="4" w:space="0" w:color="000000"/>
            </w:tcBorders>
          </w:tcPr>
          <w:p>
            <w:pPr>
              <w:pStyle w:val="TableParagraph"/>
              <w:spacing w:before="59"/>
              <w:ind w:right="-15"/>
              <w:jc w:val="right"/>
              <w:rPr>
                <w:rFonts w:ascii="宋体"/>
                <w:sz w:val="18"/>
              </w:rPr>
            </w:pPr>
            <w:r>
              <w:rPr>
                <w:rFonts w:ascii="宋体"/>
                <w:sz w:val="18"/>
              </w:rPr>
              <w:t> </w:t>
            </w:r>
          </w:p>
        </w:tc>
      </w:tr>
      <w:tr>
        <w:trPr>
          <w:trHeight w:val="359" w:hRule="atLeast"/>
        </w:trPr>
        <w:tc>
          <w:tcPr>
            <w:tcW w:w="3351" w:type="dxa"/>
            <w:tcBorders>
              <w:top w:val="single" w:sz="4" w:space="0" w:color="000000"/>
              <w:bottom w:val="single" w:sz="4" w:space="0" w:color="000000"/>
              <w:right w:val="single" w:sz="4" w:space="0" w:color="000000"/>
            </w:tcBorders>
          </w:tcPr>
          <w:p>
            <w:pPr>
              <w:pStyle w:val="TableParagraph"/>
              <w:spacing w:before="62"/>
              <w:ind w:right="1025"/>
              <w:jc w:val="right"/>
              <w:rPr>
                <w:rFonts w:ascii="宋体" w:eastAsia="宋体" w:hint="eastAsia"/>
                <w:sz w:val="18"/>
              </w:rPr>
            </w:pPr>
            <w:r>
              <w:rPr>
                <w:rFonts w:ascii="宋体" w:eastAsia="宋体" w:hint="eastAsia"/>
                <w:sz w:val="18"/>
              </w:rPr>
              <w:t>其他应收款余额</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before="71"/>
              <w:ind w:right="87"/>
              <w:jc w:val="right"/>
              <w:rPr>
                <w:sz w:val="18"/>
              </w:rPr>
            </w:pPr>
            <w:r>
              <w:rPr>
                <w:sz w:val="18"/>
              </w:rPr>
              <w:t>3,867,794,729.42</w:t>
            </w:r>
          </w:p>
        </w:tc>
        <w:tc>
          <w:tcPr>
            <w:tcW w:w="2657" w:type="dxa"/>
            <w:tcBorders>
              <w:top w:val="single" w:sz="4" w:space="0" w:color="000000"/>
              <w:left w:val="single" w:sz="4" w:space="0" w:color="000000"/>
              <w:bottom w:val="single" w:sz="4" w:space="0" w:color="000000"/>
            </w:tcBorders>
          </w:tcPr>
          <w:p>
            <w:pPr>
              <w:pStyle w:val="TableParagraph"/>
              <w:spacing w:before="71"/>
              <w:ind w:right="76"/>
              <w:jc w:val="right"/>
              <w:rPr>
                <w:sz w:val="18"/>
              </w:rPr>
            </w:pPr>
            <w:r>
              <w:rPr>
                <w:sz w:val="18"/>
              </w:rPr>
              <w:t>2,033,022,986.42</w:t>
            </w:r>
          </w:p>
        </w:tc>
      </w:tr>
      <w:tr>
        <w:trPr>
          <w:trHeight w:val="357" w:hRule="atLeast"/>
        </w:trPr>
        <w:tc>
          <w:tcPr>
            <w:tcW w:w="3351" w:type="dxa"/>
            <w:tcBorders>
              <w:top w:val="single" w:sz="4" w:space="0" w:color="000000"/>
              <w:bottom w:val="single" w:sz="4" w:space="0" w:color="000000"/>
              <w:right w:val="single" w:sz="4" w:space="0" w:color="000000"/>
            </w:tcBorders>
          </w:tcPr>
          <w:p>
            <w:pPr>
              <w:pStyle w:val="TableParagraph"/>
              <w:spacing w:before="62"/>
              <w:ind w:left="105"/>
              <w:rPr>
                <w:rFonts w:ascii="宋体" w:eastAsia="宋体" w:hint="eastAsia"/>
                <w:sz w:val="18"/>
              </w:rPr>
            </w:pPr>
            <w:r>
              <w:rPr>
                <w:rFonts w:ascii="宋体" w:eastAsia="宋体" w:hint="eastAsia"/>
                <w:sz w:val="18"/>
              </w:rPr>
              <w:t>坏账准备</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before="69"/>
              <w:ind w:right="86"/>
              <w:jc w:val="right"/>
              <w:rPr>
                <w:sz w:val="18"/>
              </w:rPr>
            </w:pPr>
            <w:r>
              <w:rPr>
                <w:sz w:val="18"/>
              </w:rPr>
              <w:t>3,775.92</w:t>
            </w:r>
          </w:p>
        </w:tc>
        <w:tc>
          <w:tcPr>
            <w:tcW w:w="2657" w:type="dxa"/>
            <w:tcBorders>
              <w:top w:val="single" w:sz="4" w:space="0" w:color="000000"/>
              <w:left w:val="single" w:sz="4" w:space="0" w:color="000000"/>
              <w:bottom w:val="single" w:sz="4" w:space="0" w:color="000000"/>
            </w:tcBorders>
          </w:tcPr>
          <w:p>
            <w:pPr>
              <w:pStyle w:val="TableParagraph"/>
              <w:spacing w:before="69"/>
              <w:ind w:right="75"/>
              <w:jc w:val="right"/>
              <w:rPr>
                <w:sz w:val="18"/>
              </w:rPr>
            </w:pPr>
            <w:r>
              <w:rPr>
                <w:sz w:val="18"/>
              </w:rPr>
              <w:t>79,092.58</w:t>
            </w:r>
          </w:p>
        </w:tc>
      </w:tr>
      <w:tr>
        <w:trPr>
          <w:trHeight w:val="359" w:hRule="atLeast"/>
        </w:trPr>
        <w:tc>
          <w:tcPr>
            <w:tcW w:w="3351" w:type="dxa"/>
            <w:tcBorders>
              <w:top w:val="single" w:sz="4" w:space="0" w:color="000000"/>
              <w:right w:val="single" w:sz="4" w:space="0" w:color="000000"/>
            </w:tcBorders>
          </w:tcPr>
          <w:p>
            <w:pPr>
              <w:pStyle w:val="TableParagraph"/>
              <w:spacing w:before="64"/>
              <w:ind w:right="1025"/>
              <w:jc w:val="right"/>
              <w:rPr>
                <w:rFonts w:ascii="宋体" w:eastAsia="宋体" w:hint="eastAsia"/>
                <w:sz w:val="18"/>
              </w:rPr>
            </w:pPr>
            <w:r>
              <w:rPr>
                <w:rFonts w:ascii="宋体" w:eastAsia="宋体" w:hint="eastAsia"/>
                <w:sz w:val="18"/>
              </w:rPr>
              <w:t>其他应收款净额</w:t>
            </w:r>
          </w:p>
        </w:tc>
        <w:tc>
          <w:tcPr>
            <w:tcW w:w="2782" w:type="dxa"/>
            <w:tcBorders>
              <w:top w:val="single" w:sz="4" w:space="0" w:color="000000"/>
              <w:left w:val="single" w:sz="4" w:space="0" w:color="000000"/>
              <w:right w:val="single" w:sz="4" w:space="0" w:color="000000"/>
            </w:tcBorders>
          </w:tcPr>
          <w:p>
            <w:pPr>
              <w:pStyle w:val="TableParagraph"/>
              <w:spacing w:before="71"/>
              <w:ind w:right="87"/>
              <w:jc w:val="right"/>
              <w:rPr>
                <w:sz w:val="18"/>
              </w:rPr>
            </w:pPr>
            <w:r>
              <w:rPr>
                <w:sz w:val="18"/>
              </w:rPr>
              <w:t>3,867,790,953.50</w:t>
            </w:r>
          </w:p>
        </w:tc>
        <w:tc>
          <w:tcPr>
            <w:tcW w:w="2657" w:type="dxa"/>
            <w:tcBorders>
              <w:top w:val="single" w:sz="4" w:space="0" w:color="000000"/>
              <w:left w:val="single" w:sz="4" w:space="0" w:color="000000"/>
            </w:tcBorders>
          </w:tcPr>
          <w:p>
            <w:pPr>
              <w:pStyle w:val="TableParagraph"/>
              <w:spacing w:before="71"/>
              <w:ind w:right="76"/>
              <w:jc w:val="right"/>
              <w:rPr>
                <w:sz w:val="18"/>
              </w:rPr>
            </w:pPr>
            <w:r>
              <w:rPr>
                <w:sz w:val="18"/>
              </w:rPr>
              <w:t>2,032,943,893.84</w:t>
            </w:r>
          </w:p>
        </w:tc>
      </w:tr>
    </w:tbl>
    <w:p>
      <w:pPr>
        <w:spacing w:after="0"/>
        <w:jc w:val="right"/>
        <w:rPr>
          <w:sz w:val="18"/>
        </w:rPr>
        <w:sectPr>
          <w:pgSz w:w="11910" w:h="16840"/>
          <w:pgMar w:header="876" w:footer="1214" w:top="1440" w:bottom="1400" w:left="260" w:right="0"/>
        </w:sectPr>
      </w:pPr>
    </w:p>
    <w:p>
      <w:pPr>
        <w:pStyle w:val="BodyText"/>
        <w:spacing w:before="9"/>
        <w:rPr>
          <w:sz w:val="12"/>
        </w:rPr>
      </w:pPr>
    </w:p>
    <w:p>
      <w:pPr>
        <w:pStyle w:val="BodyText"/>
        <w:tabs>
          <w:tab w:pos="2315" w:val="left" w:leader="none"/>
        </w:tabs>
        <w:spacing w:before="78"/>
        <w:ind w:left="1895"/>
      </w:pPr>
      <w:r>
        <w:rPr/>
        <w:t>②</w:t>
        <w:tab/>
      </w:r>
      <w:r>
        <w:rPr>
          <w:spacing w:val="-4"/>
        </w:rPr>
        <w:t>期末其他应收款中前 </w:t>
      </w:r>
      <w:r>
        <w:rPr>
          <w:rFonts w:ascii="Times New Roman" w:hAnsi="Times New Roman" w:eastAsia="Times New Roman"/>
        </w:rPr>
        <w:t>5</w:t>
      </w:r>
      <w:r>
        <w:rPr>
          <w:rFonts w:ascii="Times New Roman" w:hAnsi="Times New Roman" w:eastAsia="Times New Roman"/>
          <w:spacing w:val="46"/>
        </w:rPr>
        <w:t> </w:t>
      </w:r>
      <w:r>
        <w:rPr>
          <w:spacing w:val="-4"/>
        </w:rPr>
        <w:t>名的金额总计为 </w:t>
      </w:r>
      <w:r>
        <w:rPr>
          <w:rFonts w:ascii="Times New Roman" w:hAnsi="Times New Roman" w:eastAsia="Times New Roman"/>
        </w:rPr>
        <w:t>2,323,889,275.75</w:t>
      </w:r>
      <w:r>
        <w:rPr>
          <w:rFonts w:ascii="Times New Roman" w:hAnsi="Times New Roman" w:eastAsia="Times New Roman"/>
          <w:spacing w:val="44"/>
        </w:rPr>
        <w:t> </w:t>
      </w:r>
      <w:r>
        <w:rPr>
          <w:spacing w:val="-3"/>
        </w:rPr>
        <w:t>元，占其他应收款账面余额的</w:t>
      </w:r>
    </w:p>
    <w:p>
      <w:pPr>
        <w:pStyle w:val="BodyText"/>
        <w:spacing w:before="7"/>
        <w:rPr>
          <w:sz w:val="17"/>
        </w:rPr>
      </w:pPr>
    </w:p>
    <w:p>
      <w:pPr>
        <w:pStyle w:val="BodyText"/>
        <w:ind w:left="2315"/>
        <w:rPr>
          <w:rFonts w:ascii="Times New Roman"/>
        </w:rPr>
      </w:pPr>
      <w:r>
        <w:rPr>
          <w:rFonts w:ascii="Times New Roman"/>
        </w:rPr>
        <w:t>60.08%</w:t>
      </w:r>
    </w:p>
    <w:p>
      <w:pPr>
        <w:pStyle w:val="BodyText"/>
        <w:spacing w:before="6"/>
        <w:rPr>
          <w:rFonts w:ascii="Times New Roman"/>
          <w:sz w:val="19"/>
        </w:rPr>
      </w:pPr>
    </w:p>
    <w:p>
      <w:pPr>
        <w:pStyle w:val="BodyText"/>
        <w:tabs>
          <w:tab w:pos="2315" w:val="left" w:leader="none"/>
        </w:tabs>
        <w:spacing w:before="1"/>
        <w:ind w:left="1895"/>
      </w:pPr>
      <w:r>
        <w:rPr/>
        <w:t>③</w:t>
        <w:tab/>
      </w:r>
      <w:r>
        <w:rPr>
          <w:spacing w:val="-3"/>
        </w:rPr>
        <w:t>本期其他应收款坏账准备变动情况：</w:t>
      </w:r>
    </w:p>
    <w:p>
      <w:pPr>
        <w:pStyle w:val="BodyText"/>
        <w:spacing w:before="3"/>
        <w:rPr>
          <w:sz w:val="12"/>
        </w:rPr>
      </w:pPr>
    </w:p>
    <w:tbl>
      <w:tblPr>
        <w:tblW w:w="0" w:type="auto"/>
        <w:jc w:val="left"/>
        <w:tblInd w:w="152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57"/>
        <w:gridCol w:w="1460"/>
        <w:gridCol w:w="1421"/>
        <w:gridCol w:w="1357"/>
        <w:gridCol w:w="1201"/>
        <w:gridCol w:w="1180"/>
        <w:gridCol w:w="1110"/>
      </w:tblGrid>
      <w:tr>
        <w:trPr>
          <w:trHeight w:val="371" w:hRule="atLeast"/>
        </w:trPr>
        <w:tc>
          <w:tcPr>
            <w:tcW w:w="1157" w:type="dxa"/>
            <w:vMerge w:val="restart"/>
            <w:tcBorders>
              <w:bottom w:val="single" w:sz="4" w:space="0" w:color="000000"/>
              <w:right w:val="single" w:sz="4" w:space="0" w:color="000000"/>
            </w:tcBorders>
          </w:tcPr>
          <w:p>
            <w:pPr>
              <w:pStyle w:val="TableParagraph"/>
              <w:spacing w:before="7"/>
              <w:rPr>
                <w:rFonts w:ascii="宋体"/>
                <w:sz w:val="15"/>
              </w:rPr>
            </w:pPr>
          </w:p>
          <w:p>
            <w:pPr>
              <w:pStyle w:val="TableParagraph"/>
              <w:ind w:left="395"/>
              <w:rPr>
                <w:rFonts w:ascii="Microsoft JhengHei" w:eastAsia="Microsoft JhengHei" w:hint="eastAsia"/>
                <w:b/>
                <w:sz w:val="18"/>
              </w:rPr>
            </w:pPr>
            <w:r>
              <w:rPr>
                <w:rFonts w:ascii="Microsoft JhengHei" w:eastAsia="Microsoft JhengHei" w:hint="eastAsia"/>
                <w:b/>
                <w:sz w:val="18"/>
              </w:rPr>
              <w:t>项目</w:t>
            </w:r>
          </w:p>
        </w:tc>
        <w:tc>
          <w:tcPr>
            <w:tcW w:w="1460" w:type="dxa"/>
            <w:vMerge w:val="restart"/>
            <w:tcBorders>
              <w:left w:val="single" w:sz="4" w:space="0" w:color="000000"/>
              <w:bottom w:val="single" w:sz="4" w:space="0" w:color="000000"/>
              <w:right w:val="single" w:sz="4" w:space="0" w:color="000000"/>
            </w:tcBorders>
          </w:tcPr>
          <w:p>
            <w:pPr>
              <w:pStyle w:val="TableParagraph"/>
              <w:spacing w:before="7"/>
              <w:rPr>
                <w:rFonts w:ascii="宋体"/>
                <w:sz w:val="15"/>
              </w:rPr>
            </w:pPr>
          </w:p>
          <w:p>
            <w:pPr>
              <w:pStyle w:val="TableParagraph"/>
              <w:ind w:left="376"/>
              <w:rPr>
                <w:rFonts w:ascii="Microsoft JhengHei" w:eastAsia="Microsoft JhengHei" w:hint="eastAsia"/>
                <w:b/>
                <w:sz w:val="18"/>
              </w:rPr>
            </w:pPr>
            <w:r>
              <w:rPr>
                <w:rFonts w:ascii="Microsoft JhengHei" w:eastAsia="Microsoft JhengHei" w:hint="eastAsia"/>
                <w:b/>
                <w:sz w:val="18"/>
              </w:rPr>
              <w:t>期初余额</w:t>
            </w:r>
          </w:p>
        </w:tc>
        <w:tc>
          <w:tcPr>
            <w:tcW w:w="2778" w:type="dxa"/>
            <w:gridSpan w:val="2"/>
            <w:tcBorders>
              <w:left w:val="single" w:sz="4" w:space="0" w:color="000000"/>
              <w:bottom w:val="single" w:sz="4" w:space="0" w:color="000000"/>
              <w:right w:val="single" w:sz="4" w:space="0" w:color="000000"/>
            </w:tcBorders>
          </w:tcPr>
          <w:p>
            <w:pPr>
              <w:pStyle w:val="TableParagraph"/>
              <w:spacing w:before="9"/>
              <w:ind w:left="1017" w:right="991"/>
              <w:jc w:val="center"/>
              <w:rPr>
                <w:rFonts w:ascii="Microsoft JhengHei" w:eastAsia="Microsoft JhengHei" w:hint="eastAsia"/>
                <w:b/>
                <w:sz w:val="18"/>
              </w:rPr>
            </w:pPr>
            <w:r>
              <w:rPr>
                <w:rFonts w:ascii="Microsoft JhengHei" w:eastAsia="Microsoft JhengHei" w:hint="eastAsia"/>
                <w:b/>
                <w:sz w:val="18"/>
              </w:rPr>
              <w:t>本期增加</w:t>
            </w:r>
          </w:p>
        </w:tc>
        <w:tc>
          <w:tcPr>
            <w:tcW w:w="2381" w:type="dxa"/>
            <w:gridSpan w:val="2"/>
            <w:tcBorders>
              <w:left w:val="single" w:sz="4" w:space="0" w:color="000000"/>
              <w:bottom w:val="single" w:sz="4" w:space="0" w:color="000000"/>
              <w:right w:val="single" w:sz="4" w:space="0" w:color="000000"/>
            </w:tcBorders>
          </w:tcPr>
          <w:p>
            <w:pPr>
              <w:pStyle w:val="TableParagraph"/>
              <w:spacing w:before="9"/>
              <w:ind w:left="817" w:right="794"/>
              <w:jc w:val="center"/>
              <w:rPr>
                <w:rFonts w:ascii="Microsoft JhengHei" w:eastAsia="Microsoft JhengHei" w:hint="eastAsia"/>
                <w:b/>
                <w:sz w:val="18"/>
              </w:rPr>
            </w:pPr>
            <w:r>
              <w:rPr>
                <w:rFonts w:ascii="Microsoft JhengHei" w:eastAsia="Microsoft JhengHei" w:hint="eastAsia"/>
                <w:b/>
                <w:sz w:val="18"/>
              </w:rPr>
              <w:t>本期减少</w:t>
            </w:r>
          </w:p>
        </w:tc>
        <w:tc>
          <w:tcPr>
            <w:tcW w:w="1110" w:type="dxa"/>
            <w:vMerge w:val="restart"/>
            <w:tcBorders>
              <w:left w:val="single" w:sz="4" w:space="0" w:color="000000"/>
              <w:bottom w:val="single" w:sz="4" w:space="0" w:color="000000"/>
            </w:tcBorders>
          </w:tcPr>
          <w:p>
            <w:pPr>
              <w:pStyle w:val="TableParagraph"/>
              <w:spacing w:before="7"/>
              <w:rPr>
                <w:rFonts w:ascii="宋体"/>
                <w:sz w:val="15"/>
              </w:rPr>
            </w:pPr>
          </w:p>
          <w:p>
            <w:pPr>
              <w:pStyle w:val="TableParagraph"/>
              <w:ind w:left="198"/>
              <w:rPr>
                <w:rFonts w:ascii="Microsoft JhengHei" w:eastAsia="Microsoft JhengHei" w:hint="eastAsia"/>
                <w:b/>
                <w:sz w:val="18"/>
              </w:rPr>
            </w:pPr>
            <w:r>
              <w:rPr>
                <w:rFonts w:ascii="Microsoft JhengHei" w:eastAsia="Microsoft JhengHei" w:hint="eastAsia"/>
                <w:b/>
                <w:sz w:val="18"/>
              </w:rPr>
              <w:t>期末余额</w:t>
            </w:r>
          </w:p>
        </w:tc>
      </w:tr>
      <w:tr>
        <w:trPr>
          <w:trHeight w:val="369" w:hRule="atLeast"/>
        </w:trPr>
        <w:tc>
          <w:tcPr>
            <w:tcW w:w="1157" w:type="dxa"/>
            <w:vMerge/>
            <w:tcBorders>
              <w:top w:val="nil"/>
              <w:bottom w:val="single" w:sz="4" w:space="0" w:color="000000"/>
              <w:right w:val="single" w:sz="4" w:space="0" w:color="000000"/>
            </w:tcBorders>
          </w:tcPr>
          <w:p>
            <w:pPr>
              <w:rPr>
                <w:sz w:val="2"/>
                <w:szCs w:val="2"/>
              </w:rPr>
            </w:pPr>
          </w:p>
        </w:tc>
        <w:tc>
          <w:tcPr>
            <w:tcW w:w="1460" w:type="dxa"/>
            <w:vMerge/>
            <w:tcBorders>
              <w:top w:val="nil"/>
              <w:left w:val="single" w:sz="4" w:space="0" w:color="000000"/>
              <w:bottom w:val="single" w:sz="4" w:space="0" w:color="000000"/>
              <w:right w:val="single" w:sz="4" w:space="0" w:color="000000"/>
            </w:tcBorders>
          </w:tcPr>
          <w:p>
            <w:pPr>
              <w:rPr>
                <w:sz w:val="2"/>
                <w:szCs w:val="2"/>
              </w:rPr>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7"/>
              <w:ind w:left="356"/>
              <w:rPr>
                <w:rFonts w:ascii="Microsoft JhengHei" w:eastAsia="Microsoft JhengHei" w:hint="eastAsia"/>
                <w:b/>
                <w:sz w:val="18"/>
              </w:rPr>
            </w:pPr>
            <w:r>
              <w:rPr>
                <w:rFonts w:ascii="Microsoft JhengHei" w:eastAsia="Microsoft JhengHei" w:hint="eastAsia"/>
                <w:b/>
                <w:sz w:val="18"/>
              </w:rPr>
              <w:t>本期计提</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before="7"/>
              <w:ind w:left="323"/>
              <w:rPr>
                <w:rFonts w:ascii="Microsoft JhengHei" w:eastAsia="Microsoft JhengHei" w:hint="eastAsia"/>
                <w:b/>
                <w:sz w:val="18"/>
              </w:rPr>
            </w:pPr>
            <w:r>
              <w:rPr>
                <w:rFonts w:ascii="Microsoft JhengHei" w:eastAsia="Microsoft JhengHei" w:hint="eastAsia"/>
                <w:b/>
                <w:sz w:val="18"/>
              </w:rPr>
              <w:t>其他增加</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before="7"/>
              <w:ind w:left="336"/>
              <w:rPr>
                <w:rFonts w:ascii="Microsoft JhengHei" w:eastAsia="Microsoft JhengHei" w:hint="eastAsia"/>
                <w:b/>
                <w:sz w:val="18"/>
              </w:rPr>
            </w:pPr>
            <w:r>
              <w:rPr>
                <w:rFonts w:ascii="Microsoft JhengHei" w:eastAsia="Microsoft JhengHei" w:hint="eastAsia"/>
                <w:b/>
                <w:sz w:val="18"/>
              </w:rPr>
              <w:t>转回数</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before="7"/>
              <w:ind w:left="143"/>
              <w:rPr>
                <w:rFonts w:ascii="Microsoft JhengHei" w:eastAsia="Microsoft JhengHei" w:hint="eastAsia"/>
                <w:b/>
                <w:sz w:val="18"/>
              </w:rPr>
            </w:pPr>
            <w:r>
              <w:rPr>
                <w:rFonts w:ascii="Microsoft JhengHei" w:eastAsia="Microsoft JhengHei" w:hint="eastAsia"/>
                <w:b/>
                <w:sz w:val="18"/>
              </w:rPr>
              <w:t>转销及其他</w:t>
            </w:r>
          </w:p>
        </w:tc>
        <w:tc>
          <w:tcPr>
            <w:tcW w:w="1110" w:type="dxa"/>
            <w:vMerge/>
            <w:tcBorders>
              <w:top w:val="nil"/>
              <w:left w:val="single" w:sz="4" w:space="0" w:color="000000"/>
              <w:bottom w:val="single" w:sz="4" w:space="0" w:color="000000"/>
            </w:tcBorders>
          </w:tcPr>
          <w:p>
            <w:pPr>
              <w:rPr>
                <w:sz w:val="2"/>
                <w:szCs w:val="2"/>
              </w:rPr>
            </w:pPr>
          </w:p>
        </w:tc>
      </w:tr>
      <w:tr>
        <w:trPr>
          <w:trHeight w:val="366" w:hRule="atLeast"/>
        </w:trPr>
        <w:tc>
          <w:tcPr>
            <w:tcW w:w="1157" w:type="dxa"/>
            <w:tcBorders>
              <w:top w:val="single" w:sz="4" w:space="0" w:color="000000"/>
              <w:right w:val="single" w:sz="4" w:space="0" w:color="000000"/>
            </w:tcBorders>
          </w:tcPr>
          <w:p>
            <w:pPr>
              <w:pStyle w:val="TableParagraph"/>
              <w:spacing w:before="67"/>
              <w:ind w:left="215"/>
              <w:rPr>
                <w:rFonts w:ascii="宋体" w:eastAsia="宋体" w:hint="eastAsia"/>
                <w:sz w:val="18"/>
              </w:rPr>
            </w:pPr>
            <w:r>
              <w:rPr>
                <w:rFonts w:ascii="宋体" w:eastAsia="宋体" w:hint="eastAsia"/>
                <w:sz w:val="18"/>
              </w:rPr>
              <w:t>坏账准备</w:t>
            </w:r>
          </w:p>
        </w:tc>
        <w:tc>
          <w:tcPr>
            <w:tcW w:w="1460" w:type="dxa"/>
            <w:tcBorders>
              <w:top w:val="single" w:sz="4" w:space="0" w:color="000000"/>
              <w:left w:val="single" w:sz="4" w:space="0" w:color="000000"/>
              <w:right w:val="single" w:sz="4" w:space="0" w:color="000000"/>
            </w:tcBorders>
          </w:tcPr>
          <w:p>
            <w:pPr>
              <w:pStyle w:val="TableParagraph"/>
              <w:spacing w:before="76"/>
              <w:ind w:left="640"/>
              <w:rPr>
                <w:sz w:val="18"/>
              </w:rPr>
            </w:pPr>
            <w:r>
              <w:rPr>
                <w:sz w:val="18"/>
              </w:rPr>
              <w:t>79,092.58</w:t>
            </w:r>
          </w:p>
        </w:tc>
        <w:tc>
          <w:tcPr>
            <w:tcW w:w="1421" w:type="dxa"/>
            <w:tcBorders>
              <w:top w:val="single" w:sz="4" w:space="0" w:color="000000"/>
              <w:left w:val="single" w:sz="4" w:space="0" w:color="000000"/>
              <w:right w:val="single" w:sz="4" w:space="0" w:color="000000"/>
            </w:tcBorders>
          </w:tcPr>
          <w:p>
            <w:pPr>
              <w:pStyle w:val="TableParagraph"/>
              <w:rPr>
                <w:sz w:val="16"/>
              </w:rPr>
            </w:pPr>
          </w:p>
        </w:tc>
        <w:tc>
          <w:tcPr>
            <w:tcW w:w="1357" w:type="dxa"/>
            <w:tcBorders>
              <w:top w:val="single" w:sz="4" w:space="0" w:color="000000"/>
              <w:left w:val="single" w:sz="4" w:space="0" w:color="000000"/>
              <w:right w:val="single" w:sz="4" w:space="0" w:color="000000"/>
            </w:tcBorders>
          </w:tcPr>
          <w:p>
            <w:pPr>
              <w:pStyle w:val="TableParagraph"/>
              <w:rPr>
                <w:sz w:val="16"/>
              </w:rPr>
            </w:pPr>
          </w:p>
        </w:tc>
        <w:tc>
          <w:tcPr>
            <w:tcW w:w="1201" w:type="dxa"/>
            <w:tcBorders>
              <w:top w:val="single" w:sz="4" w:space="0" w:color="000000"/>
              <w:left w:val="single" w:sz="4" w:space="0" w:color="000000"/>
              <w:right w:val="single" w:sz="4" w:space="0" w:color="000000"/>
            </w:tcBorders>
          </w:tcPr>
          <w:p>
            <w:pPr>
              <w:pStyle w:val="TableParagraph"/>
              <w:spacing w:before="76"/>
              <w:ind w:left="380"/>
              <w:rPr>
                <w:sz w:val="18"/>
              </w:rPr>
            </w:pPr>
            <w:r>
              <w:rPr>
                <w:sz w:val="18"/>
              </w:rPr>
              <w:t>75,316.66</w:t>
            </w:r>
          </w:p>
        </w:tc>
        <w:tc>
          <w:tcPr>
            <w:tcW w:w="1180" w:type="dxa"/>
            <w:tcBorders>
              <w:top w:val="single" w:sz="4" w:space="0" w:color="000000"/>
              <w:left w:val="single" w:sz="4" w:space="0" w:color="000000"/>
              <w:right w:val="single" w:sz="4" w:space="0" w:color="000000"/>
            </w:tcBorders>
          </w:tcPr>
          <w:p>
            <w:pPr>
              <w:pStyle w:val="TableParagraph"/>
              <w:rPr>
                <w:sz w:val="16"/>
              </w:rPr>
            </w:pPr>
          </w:p>
        </w:tc>
        <w:tc>
          <w:tcPr>
            <w:tcW w:w="1110" w:type="dxa"/>
            <w:tcBorders>
              <w:top w:val="single" w:sz="4" w:space="0" w:color="000000"/>
              <w:left w:val="single" w:sz="4" w:space="0" w:color="000000"/>
            </w:tcBorders>
          </w:tcPr>
          <w:p>
            <w:pPr>
              <w:pStyle w:val="TableParagraph"/>
              <w:spacing w:before="76"/>
              <w:ind w:left="375"/>
              <w:rPr>
                <w:sz w:val="18"/>
              </w:rPr>
            </w:pPr>
            <w:r>
              <w:rPr>
                <w:sz w:val="18"/>
              </w:rPr>
              <w:t>3,775.92</w:t>
            </w:r>
          </w:p>
        </w:tc>
      </w:tr>
    </w:tbl>
    <w:p>
      <w:pPr>
        <w:pStyle w:val="BodyText"/>
        <w:spacing w:line="265" w:lineRule="exact" w:before="3"/>
        <w:ind w:left="1538"/>
      </w:pPr>
      <w:r>
        <w:rPr>
          <w:w w:val="100"/>
        </w:rPr>
        <w:t> </w:t>
      </w:r>
    </w:p>
    <w:p>
      <w:pPr>
        <w:pStyle w:val="Heading4"/>
        <w:spacing w:line="383" w:lineRule="exact"/>
      </w:pPr>
      <w:r>
        <w:rPr>
          <w:rFonts w:ascii="Times New Roman" w:eastAsia="Times New Roman"/>
        </w:rPr>
        <w:t>3</w:t>
      </w:r>
      <w:r>
        <w:rPr/>
        <w:t>、 长期股权投资</w:t>
      </w:r>
    </w:p>
    <w:p>
      <w:pPr>
        <w:pStyle w:val="BodyText"/>
        <w:spacing w:before="17"/>
        <w:ind w:left="1962"/>
      </w:pPr>
      <w:r>
        <w:rPr/>
        <w:t>√适用 □不适用</w:t>
      </w:r>
    </w:p>
    <w:p>
      <w:pPr>
        <w:pStyle w:val="BodyText"/>
        <w:rPr>
          <w:sz w:val="18"/>
        </w:rPr>
      </w:pPr>
    </w:p>
    <w:p>
      <w:pPr>
        <w:pStyle w:val="ListParagraph"/>
        <w:numPr>
          <w:ilvl w:val="0"/>
          <w:numId w:val="74"/>
        </w:numPr>
        <w:tabs>
          <w:tab w:pos="2490" w:val="left" w:leader="none"/>
        </w:tabs>
        <w:spacing w:line="240" w:lineRule="auto" w:before="0" w:after="0"/>
        <w:ind w:left="2489" w:right="0" w:hanging="530"/>
        <w:jc w:val="left"/>
        <w:rPr>
          <w:sz w:val="21"/>
        </w:rPr>
      </w:pPr>
      <w:r>
        <w:rPr>
          <w:spacing w:val="-3"/>
          <w:sz w:val="21"/>
        </w:rPr>
        <w:t>长期股权投资明细：</w:t>
      </w:r>
    </w:p>
    <w:p>
      <w:pPr>
        <w:pStyle w:val="BodyText"/>
        <w:spacing w:before="2"/>
        <w:rPr>
          <w:sz w:val="11"/>
        </w:rPr>
      </w:pPr>
    </w:p>
    <w:tbl>
      <w:tblPr>
        <w:tblW w:w="0" w:type="auto"/>
        <w:jc w:val="left"/>
        <w:tblInd w:w="162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965"/>
        <w:gridCol w:w="1568"/>
        <w:gridCol w:w="1342"/>
        <w:gridCol w:w="1566"/>
        <w:gridCol w:w="1251"/>
      </w:tblGrid>
      <w:tr>
        <w:trPr>
          <w:trHeight w:val="368" w:hRule="atLeast"/>
        </w:trPr>
        <w:tc>
          <w:tcPr>
            <w:tcW w:w="2965" w:type="dxa"/>
            <w:vMerge w:val="restart"/>
            <w:tcBorders>
              <w:bottom w:val="single" w:sz="4" w:space="0" w:color="000000"/>
              <w:right w:val="single" w:sz="4" w:space="0" w:color="000000"/>
            </w:tcBorders>
          </w:tcPr>
          <w:p>
            <w:pPr>
              <w:pStyle w:val="TableParagraph"/>
              <w:spacing w:before="7"/>
              <w:rPr>
                <w:rFonts w:ascii="宋体"/>
                <w:sz w:val="15"/>
              </w:rPr>
            </w:pPr>
          </w:p>
          <w:p>
            <w:pPr>
              <w:pStyle w:val="TableParagraph"/>
              <w:ind w:left="1280" w:right="1265"/>
              <w:jc w:val="center"/>
              <w:rPr>
                <w:rFonts w:ascii="Microsoft JhengHei" w:eastAsia="Microsoft JhengHei" w:hint="eastAsia"/>
                <w:b/>
                <w:sz w:val="18"/>
              </w:rPr>
            </w:pPr>
            <w:r>
              <w:rPr>
                <w:rFonts w:ascii="Microsoft JhengHei" w:eastAsia="Microsoft JhengHei" w:hint="eastAsia"/>
                <w:b/>
                <w:sz w:val="18"/>
              </w:rPr>
              <w:t>项目</w:t>
            </w:r>
          </w:p>
        </w:tc>
        <w:tc>
          <w:tcPr>
            <w:tcW w:w="2910" w:type="dxa"/>
            <w:gridSpan w:val="2"/>
            <w:tcBorders>
              <w:left w:val="single" w:sz="4" w:space="0" w:color="000000"/>
              <w:bottom w:val="single" w:sz="4" w:space="0" w:color="000000"/>
              <w:right w:val="single" w:sz="4" w:space="0" w:color="000000"/>
            </w:tcBorders>
          </w:tcPr>
          <w:p>
            <w:pPr>
              <w:pStyle w:val="TableParagraph"/>
              <w:spacing w:before="9"/>
              <w:ind w:left="1082" w:right="1058"/>
              <w:jc w:val="center"/>
              <w:rPr>
                <w:rFonts w:ascii="Microsoft JhengHei" w:eastAsia="Microsoft JhengHei" w:hint="eastAsia"/>
                <w:b/>
                <w:sz w:val="18"/>
              </w:rPr>
            </w:pPr>
            <w:r>
              <w:rPr>
                <w:rFonts w:ascii="Microsoft JhengHei" w:eastAsia="Microsoft JhengHei" w:hint="eastAsia"/>
                <w:b/>
                <w:sz w:val="18"/>
              </w:rPr>
              <w:t>期末余额</w:t>
            </w:r>
          </w:p>
        </w:tc>
        <w:tc>
          <w:tcPr>
            <w:tcW w:w="2817" w:type="dxa"/>
            <w:gridSpan w:val="2"/>
            <w:tcBorders>
              <w:left w:val="single" w:sz="4" w:space="0" w:color="000000"/>
              <w:bottom w:val="single" w:sz="4" w:space="0" w:color="000000"/>
            </w:tcBorders>
          </w:tcPr>
          <w:p>
            <w:pPr>
              <w:pStyle w:val="TableParagraph"/>
              <w:spacing w:before="9"/>
              <w:ind w:left="1033" w:right="1003"/>
              <w:jc w:val="center"/>
              <w:rPr>
                <w:rFonts w:ascii="Microsoft JhengHei" w:eastAsia="Microsoft JhengHei" w:hint="eastAsia"/>
                <w:b/>
                <w:sz w:val="18"/>
              </w:rPr>
            </w:pPr>
            <w:r>
              <w:rPr>
                <w:rFonts w:ascii="Microsoft JhengHei" w:eastAsia="Microsoft JhengHei" w:hint="eastAsia"/>
                <w:b/>
                <w:sz w:val="18"/>
              </w:rPr>
              <w:t>期初余额</w:t>
            </w:r>
          </w:p>
        </w:tc>
      </w:tr>
      <w:tr>
        <w:trPr>
          <w:trHeight w:val="369" w:hRule="atLeast"/>
        </w:trPr>
        <w:tc>
          <w:tcPr>
            <w:tcW w:w="2965" w:type="dxa"/>
            <w:vMerge/>
            <w:tcBorders>
              <w:top w:val="nil"/>
              <w:bottom w:val="single" w:sz="4" w:space="0" w:color="000000"/>
              <w:right w:val="single" w:sz="4" w:space="0" w:color="000000"/>
            </w:tcBorders>
          </w:tcPr>
          <w:p>
            <w:pPr>
              <w:rPr>
                <w:sz w:val="2"/>
                <w:szCs w:val="2"/>
              </w:rPr>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before="10"/>
              <w:ind w:left="431"/>
              <w:rPr>
                <w:rFonts w:ascii="Microsoft JhengHei" w:eastAsia="Microsoft JhengHei" w:hint="eastAsia"/>
                <w:b/>
                <w:sz w:val="18"/>
              </w:rPr>
            </w:pPr>
            <w:r>
              <w:rPr>
                <w:rFonts w:ascii="Microsoft JhengHei" w:eastAsia="Microsoft JhengHei" w:hint="eastAsia"/>
                <w:b/>
                <w:sz w:val="18"/>
              </w:rPr>
              <w:t>账面余额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10"/>
              <w:ind w:left="318"/>
              <w:rPr>
                <w:rFonts w:ascii="Microsoft JhengHei" w:eastAsia="Microsoft JhengHei" w:hint="eastAsia"/>
                <w:b/>
                <w:sz w:val="18"/>
              </w:rPr>
            </w:pPr>
            <w:r>
              <w:rPr>
                <w:rFonts w:ascii="Microsoft JhengHei" w:eastAsia="Microsoft JhengHei" w:hint="eastAsia"/>
                <w:b/>
                <w:sz w:val="18"/>
              </w:rPr>
              <w:t>减值准备</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before="10"/>
              <w:ind w:left="93" w:right="71"/>
              <w:jc w:val="center"/>
              <w:rPr>
                <w:rFonts w:ascii="Microsoft JhengHei" w:eastAsia="Microsoft JhengHei" w:hint="eastAsia"/>
                <w:b/>
                <w:sz w:val="18"/>
              </w:rPr>
            </w:pPr>
            <w:r>
              <w:rPr>
                <w:rFonts w:ascii="Microsoft JhengHei" w:eastAsia="Microsoft JhengHei" w:hint="eastAsia"/>
                <w:b/>
                <w:sz w:val="18"/>
              </w:rPr>
              <w:t>账面余额</w:t>
            </w:r>
          </w:p>
        </w:tc>
        <w:tc>
          <w:tcPr>
            <w:tcW w:w="1251" w:type="dxa"/>
            <w:tcBorders>
              <w:top w:val="single" w:sz="4" w:space="0" w:color="000000"/>
              <w:left w:val="single" w:sz="4" w:space="0" w:color="000000"/>
              <w:bottom w:val="single" w:sz="4" w:space="0" w:color="000000"/>
            </w:tcBorders>
          </w:tcPr>
          <w:p>
            <w:pPr>
              <w:pStyle w:val="TableParagraph"/>
              <w:spacing w:before="10"/>
              <w:ind w:left="271"/>
              <w:rPr>
                <w:rFonts w:ascii="Microsoft JhengHei" w:eastAsia="Microsoft JhengHei" w:hint="eastAsia"/>
                <w:b/>
                <w:sz w:val="18"/>
              </w:rPr>
            </w:pPr>
            <w:r>
              <w:rPr>
                <w:rFonts w:ascii="Microsoft JhengHei" w:eastAsia="Microsoft JhengHei" w:hint="eastAsia"/>
                <w:b/>
                <w:sz w:val="18"/>
              </w:rPr>
              <w:t>减值准备</w:t>
            </w:r>
          </w:p>
        </w:tc>
      </w:tr>
      <w:tr>
        <w:trPr>
          <w:trHeight w:val="369" w:hRule="atLeast"/>
        </w:trPr>
        <w:tc>
          <w:tcPr>
            <w:tcW w:w="2965" w:type="dxa"/>
            <w:tcBorders>
              <w:top w:val="single" w:sz="4" w:space="0" w:color="000000"/>
              <w:bottom w:val="single" w:sz="4" w:space="0" w:color="000000"/>
              <w:right w:val="single" w:sz="4" w:space="0" w:color="000000"/>
            </w:tcBorders>
          </w:tcPr>
          <w:p>
            <w:pPr>
              <w:pStyle w:val="TableParagraph"/>
              <w:spacing w:line="213" w:lineRule="exact" w:before="136"/>
              <w:ind w:left="105"/>
              <w:rPr>
                <w:rFonts w:ascii="宋体" w:eastAsia="宋体" w:hint="eastAsia"/>
                <w:sz w:val="18"/>
              </w:rPr>
            </w:pPr>
            <w:r>
              <w:rPr>
                <w:rFonts w:ascii="宋体" w:eastAsia="宋体" w:hint="eastAsia"/>
                <w:sz w:val="18"/>
              </w:rPr>
              <w:t>长期股权投资</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before="146"/>
              <w:ind w:left="114"/>
              <w:jc w:val="center"/>
              <w:rPr>
                <w:rFonts w:ascii="宋体"/>
                <w:sz w:val="18"/>
              </w:rPr>
            </w:pPr>
            <w:r>
              <w:rPr>
                <w:rFonts w:ascii="宋体"/>
                <w:sz w:val="18"/>
              </w:rPr>
              <w:t> </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before="146"/>
              <w:ind w:left="110"/>
              <w:jc w:val="center"/>
              <w:rPr>
                <w:rFonts w:ascii="宋体"/>
                <w:sz w:val="18"/>
              </w:rPr>
            </w:pPr>
            <w:r>
              <w:rPr>
                <w:rFonts w:ascii="宋体"/>
                <w:sz w:val="18"/>
              </w:rPr>
              <w:t> </w:t>
            </w:r>
          </w:p>
        </w:tc>
        <w:tc>
          <w:tcPr>
            <w:tcW w:w="1251" w:type="dxa"/>
            <w:tcBorders>
              <w:top w:val="single" w:sz="4" w:space="0" w:color="000000"/>
              <w:left w:val="single" w:sz="4" w:space="0" w:color="000000"/>
              <w:bottom w:val="single" w:sz="4" w:space="0" w:color="000000"/>
            </w:tcBorders>
          </w:tcPr>
          <w:p>
            <w:pPr>
              <w:pStyle w:val="TableParagraph"/>
              <w:spacing w:line="203" w:lineRule="exact" w:before="146"/>
              <w:ind w:left="122"/>
              <w:jc w:val="center"/>
              <w:rPr>
                <w:rFonts w:ascii="宋体"/>
                <w:sz w:val="18"/>
              </w:rPr>
            </w:pPr>
            <w:r>
              <w:rPr>
                <w:rFonts w:ascii="宋体"/>
                <w:sz w:val="18"/>
              </w:rPr>
              <w:t> </w:t>
            </w:r>
          </w:p>
        </w:tc>
      </w:tr>
      <w:tr>
        <w:trPr>
          <w:trHeight w:val="369" w:hRule="atLeast"/>
        </w:trPr>
        <w:tc>
          <w:tcPr>
            <w:tcW w:w="2965" w:type="dxa"/>
            <w:tcBorders>
              <w:top w:val="single" w:sz="4" w:space="0" w:color="000000"/>
              <w:bottom w:val="single" w:sz="4" w:space="0" w:color="000000"/>
              <w:right w:val="single" w:sz="4" w:space="0" w:color="000000"/>
            </w:tcBorders>
          </w:tcPr>
          <w:p>
            <w:pPr>
              <w:pStyle w:val="TableParagraph"/>
              <w:spacing w:before="69"/>
              <w:ind w:left="155"/>
              <w:rPr>
                <w:rFonts w:ascii="宋体" w:eastAsia="宋体" w:hint="eastAsia"/>
                <w:sz w:val="18"/>
              </w:rPr>
            </w:pPr>
            <w:r>
              <w:rPr>
                <w:rFonts w:ascii="宋体" w:eastAsia="宋体" w:hint="eastAsia"/>
                <w:sz w:val="18"/>
              </w:rPr>
              <w:t>其中：对子公司的长期股权投资</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before="76"/>
              <w:ind w:right="88"/>
              <w:jc w:val="right"/>
              <w:rPr>
                <w:sz w:val="18"/>
              </w:rPr>
            </w:pPr>
            <w:r>
              <w:rPr>
                <w:sz w:val="18"/>
              </w:rPr>
              <w:t>49,231,447,092.82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76"/>
              <w:ind w:right="87"/>
              <w:jc w:val="right"/>
              <w:rPr>
                <w:sz w:val="18"/>
              </w:rPr>
            </w:pPr>
            <w:r>
              <w:rPr>
                <w:sz w:val="18"/>
              </w:rPr>
              <w:t>7,100,000.00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before="76"/>
              <w:ind w:left="93" w:right="71"/>
              <w:jc w:val="center"/>
              <w:rPr>
                <w:sz w:val="18"/>
              </w:rPr>
            </w:pPr>
            <w:r>
              <w:rPr>
                <w:sz w:val="18"/>
              </w:rPr>
              <w:t>32,396,253,033.48</w:t>
            </w:r>
          </w:p>
        </w:tc>
        <w:tc>
          <w:tcPr>
            <w:tcW w:w="1251" w:type="dxa"/>
            <w:tcBorders>
              <w:top w:val="single" w:sz="4" w:space="0" w:color="000000"/>
              <w:left w:val="single" w:sz="4" w:space="0" w:color="000000"/>
              <w:bottom w:val="single" w:sz="4" w:space="0" w:color="000000"/>
            </w:tcBorders>
          </w:tcPr>
          <w:p>
            <w:pPr>
              <w:pStyle w:val="TableParagraph"/>
              <w:spacing w:before="76"/>
              <w:ind w:right="78"/>
              <w:jc w:val="right"/>
              <w:rPr>
                <w:sz w:val="18"/>
              </w:rPr>
            </w:pPr>
            <w:r>
              <w:rPr>
                <w:sz w:val="18"/>
              </w:rPr>
              <w:t>7,100,000.00</w:t>
            </w:r>
          </w:p>
        </w:tc>
      </w:tr>
      <w:tr>
        <w:trPr>
          <w:trHeight w:val="369" w:hRule="atLeast"/>
        </w:trPr>
        <w:tc>
          <w:tcPr>
            <w:tcW w:w="2965" w:type="dxa"/>
            <w:tcBorders>
              <w:top w:val="single" w:sz="4" w:space="0" w:color="000000"/>
              <w:bottom w:val="single" w:sz="4" w:space="0" w:color="000000"/>
              <w:right w:val="single" w:sz="4" w:space="0" w:color="000000"/>
            </w:tcBorders>
          </w:tcPr>
          <w:p>
            <w:pPr>
              <w:pStyle w:val="TableParagraph"/>
              <w:spacing w:before="69"/>
              <w:ind w:left="695"/>
              <w:rPr>
                <w:rFonts w:ascii="宋体" w:eastAsia="宋体" w:hint="eastAsia"/>
                <w:sz w:val="18"/>
              </w:rPr>
            </w:pPr>
            <w:r>
              <w:rPr>
                <w:rFonts w:ascii="宋体" w:eastAsia="宋体" w:hint="eastAsia"/>
                <w:sz w:val="18"/>
              </w:rPr>
              <w:t>对联营企业的长期股权投资</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before="76"/>
              <w:ind w:right="88"/>
              <w:jc w:val="right"/>
              <w:rPr>
                <w:sz w:val="18"/>
              </w:rPr>
            </w:pPr>
            <w:r>
              <w:rPr>
                <w:sz w:val="18"/>
              </w:rPr>
              <w:t>3,175,179,977.39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76"/>
              <w:ind w:right="87"/>
              <w:jc w:val="right"/>
              <w:rPr>
                <w:sz w:val="18"/>
              </w:rPr>
            </w:pPr>
            <w:r>
              <w:rPr>
                <w:sz w:val="18"/>
              </w:rPr>
              <w:t>109,300,000.00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before="76"/>
              <w:ind w:left="184" w:right="71"/>
              <w:jc w:val="center"/>
              <w:rPr>
                <w:sz w:val="18"/>
              </w:rPr>
            </w:pPr>
            <w:r>
              <w:rPr>
                <w:sz w:val="18"/>
              </w:rPr>
              <w:t>3,246,627,336.72</w:t>
            </w:r>
          </w:p>
        </w:tc>
        <w:tc>
          <w:tcPr>
            <w:tcW w:w="1251" w:type="dxa"/>
            <w:tcBorders>
              <w:top w:val="single" w:sz="4" w:space="0" w:color="000000"/>
              <w:left w:val="single" w:sz="4" w:space="0" w:color="000000"/>
              <w:bottom w:val="single" w:sz="4" w:space="0" w:color="000000"/>
            </w:tcBorders>
          </w:tcPr>
          <w:p>
            <w:pPr>
              <w:pStyle w:val="TableParagraph"/>
              <w:spacing w:before="76"/>
              <w:ind w:right="79"/>
              <w:jc w:val="right"/>
              <w:rPr>
                <w:sz w:val="18"/>
              </w:rPr>
            </w:pPr>
            <w:r>
              <w:rPr>
                <w:sz w:val="18"/>
              </w:rPr>
              <w:t>69,300,000.00</w:t>
            </w:r>
          </w:p>
        </w:tc>
      </w:tr>
      <w:tr>
        <w:trPr>
          <w:trHeight w:val="366" w:hRule="atLeast"/>
        </w:trPr>
        <w:tc>
          <w:tcPr>
            <w:tcW w:w="2965" w:type="dxa"/>
            <w:tcBorders>
              <w:top w:val="single" w:sz="4" w:space="0" w:color="000000"/>
              <w:right w:val="single" w:sz="4" w:space="0" w:color="000000"/>
            </w:tcBorders>
          </w:tcPr>
          <w:p>
            <w:pPr>
              <w:pStyle w:val="TableParagraph"/>
              <w:spacing w:before="67"/>
              <w:ind w:left="1280" w:right="1265"/>
              <w:jc w:val="center"/>
              <w:rPr>
                <w:rFonts w:ascii="宋体" w:eastAsia="宋体" w:hint="eastAsia"/>
                <w:sz w:val="18"/>
              </w:rPr>
            </w:pPr>
            <w:r>
              <w:rPr>
                <w:rFonts w:ascii="宋体" w:eastAsia="宋体" w:hint="eastAsia"/>
                <w:sz w:val="18"/>
              </w:rPr>
              <w:t>合计</w:t>
            </w:r>
          </w:p>
        </w:tc>
        <w:tc>
          <w:tcPr>
            <w:tcW w:w="1568" w:type="dxa"/>
            <w:tcBorders>
              <w:top w:val="single" w:sz="4" w:space="0" w:color="000000"/>
              <w:left w:val="single" w:sz="4" w:space="0" w:color="000000"/>
              <w:right w:val="single" w:sz="4" w:space="0" w:color="000000"/>
            </w:tcBorders>
          </w:tcPr>
          <w:p>
            <w:pPr>
              <w:pStyle w:val="TableParagraph"/>
              <w:spacing w:before="76"/>
              <w:ind w:right="88"/>
              <w:jc w:val="right"/>
              <w:rPr>
                <w:sz w:val="18"/>
              </w:rPr>
            </w:pPr>
            <w:r>
              <w:rPr>
                <w:sz w:val="18"/>
              </w:rPr>
              <w:t>52,406,627,070.21</w:t>
            </w:r>
          </w:p>
        </w:tc>
        <w:tc>
          <w:tcPr>
            <w:tcW w:w="1342" w:type="dxa"/>
            <w:tcBorders>
              <w:top w:val="single" w:sz="4" w:space="0" w:color="000000"/>
              <w:left w:val="single" w:sz="4" w:space="0" w:color="000000"/>
              <w:right w:val="single" w:sz="4" w:space="0" w:color="000000"/>
            </w:tcBorders>
          </w:tcPr>
          <w:p>
            <w:pPr>
              <w:pStyle w:val="TableParagraph"/>
              <w:spacing w:before="76"/>
              <w:ind w:right="87"/>
              <w:jc w:val="right"/>
              <w:rPr>
                <w:sz w:val="18"/>
              </w:rPr>
            </w:pPr>
            <w:r>
              <w:rPr>
                <w:sz w:val="18"/>
              </w:rPr>
              <w:t>116,400,000.00</w:t>
            </w:r>
          </w:p>
        </w:tc>
        <w:tc>
          <w:tcPr>
            <w:tcW w:w="1566" w:type="dxa"/>
            <w:tcBorders>
              <w:top w:val="single" w:sz="4" w:space="0" w:color="000000"/>
              <w:left w:val="single" w:sz="4" w:space="0" w:color="000000"/>
              <w:right w:val="single" w:sz="4" w:space="0" w:color="000000"/>
            </w:tcBorders>
          </w:tcPr>
          <w:p>
            <w:pPr>
              <w:pStyle w:val="TableParagraph"/>
              <w:spacing w:before="76"/>
              <w:ind w:left="93" w:right="71"/>
              <w:jc w:val="center"/>
              <w:rPr>
                <w:sz w:val="18"/>
              </w:rPr>
            </w:pPr>
            <w:r>
              <w:rPr>
                <w:sz w:val="18"/>
              </w:rPr>
              <w:t>35,642,880,370.20</w:t>
            </w:r>
          </w:p>
        </w:tc>
        <w:tc>
          <w:tcPr>
            <w:tcW w:w="1251" w:type="dxa"/>
            <w:tcBorders>
              <w:top w:val="single" w:sz="4" w:space="0" w:color="000000"/>
              <w:left w:val="single" w:sz="4" w:space="0" w:color="000000"/>
            </w:tcBorders>
          </w:tcPr>
          <w:p>
            <w:pPr>
              <w:pStyle w:val="TableParagraph"/>
              <w:spacing w:before="76"/>
              <w:ind w:right="79"/>
              <w:jc w:val="right"/>
              <w:rPr>
                <w:sz w:val="18"/>
              </w:rPr>
            </w:pPr>
            <w:r>
              <w:rPr>
                <w:sz w:val="18"/>
              </w:rPr>
              <w:t>76,400,000.00</w:t>
            </w:r>
          </w:p>
        </w:tc>
      </w:tr>
    </w:tbl>
    <w:p>
      <w:pPr>
        <w:pStyle w:val="BodyText"/>
        <w:rPr>
          <w:sz w:val="22"/>
        </w:rPr>
      </w:pPr>
    </w:p>
    <w:p>
      <w:pPr>
        <w:pStyle w:val="ListParagraph"/>
        <w:numPr>
          <w:ilvl w:val="0"/>
          <w:numId w:val="74"/>
        </w:numPr>
        <w:tabs>
          <w:tab w:pos="2490" w:val="left" w:leader="none"/>
        </w:tabs>
        <w:spacing w:line="240" w:lineRule="auto" w:before="192" w:after="0"/>
        <w:ind w:left="2489" w:right="0" w:hanging="530"/>
        <w:jc w:val="left"/>
        <w:rPr>
          <w:sz w:val="21"/>
        </w:rPr>
      </w:pPr>
      <w:r>
        <w:rPr>
          <w:spacing w:val="-3"/>
          <w:sz w:val="21"/>
        </w:rPr>
        <w:t>对子公司的长期股权投资</w:t>
      </w:r>
    </w:p>
    <w:p>
      <w:pPr>
        <w:pStyle w:val="BodyText"/>
        <w:spacing w:before="2"/>
        <w:rPr>
          <w:sz w:val="11"/>
        </w:r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473"/>
        <w:gridCol w:w="1618"/>
        <w:gridCol w:w="1462"/>
        <w:gridCol w:w="1460"/>
        <w:gridCol w:w="1037"/>
      </w:tblGrid>
      <w:tr>
        <w:trPr>
          <w:trHeight w:val="908" w:hRule="atLeast"/>
        </w:trPr>
        <w:tc>
          <w:tcPr>
            <w:tcW w:w="3473" w:type="dxa"/>
            <w:tcBorders>
              <w:bottom w:val="single" w:sz="4" w:space="0" w:color="000000"/>
              <w:right w:val="single" w:sz="4" w:space="0" w:color="000000"/>
            </w:tcBorders>
          </w:tcPr>
          <w:p>
            <w:pPr>
              <w:pStyle w:val="TableParagraph"/>
              <w:spacing w:before="9"/>
              <w:rPr>
                <w:rFonts w:ascii="宋体"/>
                <w:sz w:val="21"/>
              </w:rPr>
            </w:pPr>
          </w:p>
          <w:p>
            <w:pPr>
              <w:pStyle w:val="TableParagraph"/>
              <w:ind w:left="1103"/>
              <w:rPr>
                <w:rFonts w:ascii="Microsoft JhengHei" w:eastAsia="Microsoft JhengHei" w:hint="eastAsia"/>
                <w:b/>
                <w:sz w:val="18"/>
              </w:rPr>
            </w:pPr>
            <w:r>
              <w:rPr>
                <w:rFonts w:ascii="Microsoft JhengHei" w:eastAsia="Microsoft JhengHei" w:hint="eastAsia"/>
                <w:b/>
                <w:sz w:val="18"/>
              </w:rPr>
              <w:t>被投资公司名称</w:t>
            </w:r>
          </w:p>
        </w:tc>
        <w:tc>
          <w:tcPr>
            <w:tcW w:w="1618" w:type="dxa"/>
            <w:tcBorders>
              <w:left w:val="single" w:sz="4" w:space="0" w:color="000000"/>
              <w:bottom w:val="single" w:sz="4" w:space="0" w:color="000000"/>
              <w:right w:val="single" w:sz="4" w:space="0" w:color="000000"/>
            </w:tcBorders>
          </w:tcPr>
          <w:p>
            <w:pPr>
              <w:pStyle w:val="TableParagraph"/>
              <w:spacing w:before="9"/>
              <w:rPr>
                <w:rFonts w:ascii="宋体"/>
                <w:sz w:val="21"/>
              </w:rPr>
            </w:pPr>
          </w:p>
          <w:p>
            <w:pPr>
              <w:pStyle w:val="TableParagraph"/>
              <w:ind w:left="456"/>
              <w:rPr>
                <w:rFonts w:ascii="Microsoft JhengHei" w:eastAsia="Microsoft JhengHei" w:hint="eastAsia"/>
                <w:b/>
                <w:sz w:val="18"/>
              </w:rPr>
            </w:pPr>
            <w:r>
              <w:rPr>
                <w:rFonts w:ascii="Microsoft JhengHei" w:eastAsia="Microsoft JhengHei" w:hint="eastAsia"/>
                <w:b/>
                <w:sz w:val="18"/>
              </w:rPr>
              <w:t>期初余额</w:t>
            </w:r>
          </w:p>
        </w:tc>
        <w:tc>
          <w:tcPr>
            <w:tcW w:w="1462" w:type="dxa"/>
            <w:tcBorders>
              <w:left w:val="single" w:sz="4" w:space="0" w:color="000000"/>
              <w:bottom w:val="single" w:sz="4" w:space="0" w:color="000000"/>
              <w:right w:val="single" w:sz="4" w:space="0" w:color="000000"/>
            </w:tcBorders>
          </w:tcPr>
          <w:p>
            <w:pPr>
              <w:pStyle w:val="TableParagraph"/>
              <w:spacing w:before="9"/>
              <w:rPr>
                <w:rFonts w:ascii="宋体"/>
                <w:sz w:val="21"/>
              </w:rPr>
            </w:pPr>
          </w:p>
          <w:p>
            <w:pPr>
              <w:pStyle w:val="TableParagraph"/>
              <w:ind w:left="290"/>
              <w:rPr>
                <w:rFonts w:ascii="Microsoft JhengHei" w:eastAsia="Microsoft JhengHei" w:hint="eastAsia"/>
                <w:b/>
                <w:sz w:val="18"/>
              </w:rPr>
            </w:pPr>
            <w:r>
              <w:rPr>
                <w:rFonts w:ascii="Microsoft JhengHei" w:eastAsia="Microsoft JhengHei" w:hint="eastAsia"/>
                <w:b/>
                <w:sz w:val="18"/>
              </w:rPr>
              <w:t>本期增减额</w:t>
            </w:r>
          </w:p>
        </w:tc>
        <w:tc>
          <w:tcPr>
            <w:tcW w:w="1460" w:type="dxa"/>
            <w:tcBorders>
              <w:left w:val="single" w:sz="4" w:space="0" w:color="000000"/>
              <w:bottom w:val="single" w:sz="4" w:space="0" w:color="000000"/>
              <w:right w:val="single" w:sz="4" w:space="0" w:color="000000"/>
            </w:tcBorders>
          </w:tcPr>
          <w:p>
            <w:pPr>
              <w:pStyle w:val="TableParagraph"/>
              <w:spacing w:before="9"/>
              <w:rPr>
                <w:rFonts w:ascii="宋体"/>
                <w:sz w:val="21"/>
              </w:rPr>
            </w:pPr>
          </w:p>
          <w:p>
            <w:pPr>
              <w:pStyle w:val="TableParagraph"/>
              <w:ind w:left="376"/>
              <w:rPr>
                <w:rFonts w:ascii="Microsoft JhengHei" w:eastAsia="Microsoft JhengHei" w:hint="eastAsia"/>
                <w:b/>
                <w:sz w:val="18"/>
              </w:rPr>
            </w:pPr>
            <w:r>
              <w:rPr>
                <w:rFonts w:ascii="Microsoft JhengHei" w:eastAsia="Microsoft JhengHei" w:hint="eastAsia"/>
                <w:b/>
                <w:sz w:val="18"/>
              </w:rPr>
              <w:t>期末余额</w:t>
            </w:r>
          </w:p>
        </w:tc>
        <w:tc>
          <w:tcPr>
            <w:tcW w:w="1037" w:type="dxa"/>
            <w:tcBorders>
              <w:left w:val="single" w:sz="4" w:space="0" w:color="000000"/>
              <w:bottom w:val="single" w:sz="4" w:space="0" w:color="000000"/>
            </w:tcBorders>
          </w:tcPr>
          <w:p>
            <w:pPr>
              <w:pStyle w:val="TableParagraph"/>
              <w:spacing w:before="1"/>
              <w:rPr>
                <w:rFonts w:ascii="宋体"/>
                <w:sz w:val="18"/>
              </w:rPr>
            </w:pPr>
          </w:p>
          <w:p>
            <w:pPr>
              <w:pStyle w:val="TableParagraph"/>
              <w:spacing w:line="168" w:lineRule="auto" w:before="1"/>
              <w:ind w:left="165" w:right="127"/>
              <w:rPr>
                <w:rFonts w:ascii="Microsoft JhengHei" w:eastAsia="Microsoft JhengHei" w:hint="eastAsia"/>
                <w:b/>
                <w:sz w:val="18"/>
              </w:rPr>
            </w:pPr>
            <w:r>
              <w:rPr>
                <w:rFonts w:ascii="Microsoft JhengHei" w:eastAsia="Microsoft JhengHei" w:hint="eastAsia"/>
                <w:b/>
                <w:sz w:val="18"/>
              </w:rPr>
              <w:t>减值准备期末余额</w:t>
            </w:r>
          </w:p>
        </w:tc>
      </w:tr>
      <w:tr>
        <w:trPr>
          <w:trHeight w:val="366" w:hRule="atLeast"/>
        </w:trPr>
        <w:tc>
          <w:tcPr>
            <w:tcW w:w="3473" w:type="dxa"/>
            <w:tcBorders>
              <w:top w:val="single" w:sz="4" w:space="0" w:color="000000"/>
              <w:bottom w:val="single" w:sz="4" w:space="0" w:color="000000"/>
              <w:right w:val="single" w:sz="4" w:space="0" w:color="000000"/>
            </w:tcBorders>
          </w:tcPr>
          <w:p>
            <w:pPr>
              <w:pStyle w:val="TableParagraph"/>
              <w:spacing w:before="7"/>
              <w:ind w:left="107"/>
              <w:rPr>
                <w:rFonts w:ascii="Microsoft JhengHei" w:eastAsia="Microsoft JhengHei" w:hint="eastAsia"/>
                <w:b/>
                <w:sz w:val="18"/>
              </w:rPr>
            </w:pPr>
            <w:r>
              <w:rPr>
                <w:rFonts w:ascii="Microsoft JhengHei" w:eastAsia="Microsoft JhengHei" w:hint="eastAsia"/>
                <w:b/>
                <w:sz w:val="18"/>
              </w:rPr>
              <w:t>一、子公司：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35"/>
              <w:ind w:right="10"/>
              <w:jc w:val="right"/>
              <w:rPr>
                <w:rFonts w:ascii="Microsoft JhengHei"/>
                <w:b/>
                <w:sz w:val="15"/>
              </w:rPr>
            </w:pPr>
            <w:r>
              <w:rPr>
                <w:rFonts w:ascii="Microsoft JhengHei"/>
                <w:b/>
                <w:w w:val="201"/>
                <w:sz w:val="15"/>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35"/>
              <w:ind w:right="11"/>
              <w:jc w:val="right"/>
              <w:rPr>
                <w:rFonts w:ascii="Microsoft JhengHei"/>
                <w:b/>
                <w:sz w:val="15"/>
              </w:rPr>
            </w:pPr>
            <w:r>
              <w:rPr>
                <w:rFonts w:ascii="Microsoft JhengHei"/>
                <w:b/>
                <w:w w:val="201"/>
                <w:sz w:val="15"/>
              </w:rPr>
              <w:t> </w:t>
            </w:r>
          </w:p>
        </w:tc>
        <w:tc>
          <w:tcPr>
            <w:tcW w:w="1037" w:type="dxa"/>
            <w:tcBorders>
              <w:top w:val="single" w:sz="4" w:space="0" w:color="000000"/>
              <w:left w:val="single" w:sz="4" w:space="0" w:color="000000"/>
              <w:bottom w:val="single" w:sz="4" w:space="0" w:color="000000"/>
            </w:tcBorders>
          </w:tcPr>
          <w:p>
            <w:pPr>
              <w:pStyle w:val="TableParagraph"/>
              <w:spacing w:before="35"/>
              <w:ind w:right="1"/>
              <w:jc w:val="right"/>
              <w:rPr>
                <w:rFonts w:ascii="Microsoft JhengHei"/>
                <w:b/>
                <w:sz w:val="15"/>
              </w:rPr>
            </w:pPr>
            <w:r>
              <w:rPr>
                <w:rFonts w:ascii="Microsoft JhengHei"/>
                <w:b/>
                <w:w w:val="201"/>
                <w:sz w:val="15"/>
              </w:rPr>
              <w:t> </w:t>
            </w:r>
          </w:p>
        </w:tc>
      </w:tr>
      <w:tr>
        <w:trPr>
          <w:trHeight w:val="369" w:hRule="atLeast"/>
        </w:trPr>
        <w:tc>
          <w:tcPr>
            <w:tcW w:w="3473"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重庆海尔家电销售有限公司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95"/>
              <w:ind w:right="86"/>
              <w:jc w:val="right"/>
              <w:rPr>
                <w:sz w:val="15"/>
              </w:rPr>
            </w:pPr>
            <w:r>
              <w:rPr>
                <w:sz w:val="15"/>
              </w:rPr>
              <w:t>9,500,000.00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5"/>
              <w:ind w:right="86"/>
              <w:jc w:val="right"/>
              <w:rPr>
                <w:sz w:val="15"/>
              </w:rPr>
            </w:pPr>
            <w:r>
              <w:rPr>
                <w:sz w:val="15"/>
              </w:rPr>
              <w:t>9,500,000.00</w:t>
            </w: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73"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海尔集团大连电器产业有限公司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34,735,489.79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34,735,489.79</w:t>
            </w: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73"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青岛海尔电冰箱有限公司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402,667,504.64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2"/>
              <w:ind w:right="87"/>
              <w:jc w:val="right"/>
              <w:rPr>
                <w:sz w:val="15"/>
              </w:rPr>
            </w:pPr>
            <w:r>
              <w:rPr>
                <w:sz w:val="15"/>
              </w:rPr>
              <w:t>402,667,504.64</w:t>
            </w: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73"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青岛海尔特种电冰箱有限公司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329,832,047.28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2"/>
              <w:ind w:right="87"/>
              <w:jc w:val="right"/>
              <w:rPr>
                <w:sz w:val="15"/>
              </w:rPr>
            </w:pPr>
            <w:r>
              <w:rPr>
                <w:sz w:val="15"/>
              </w:rPr>
              <w:t>329,832,047.28</w:t>
            </w: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73"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青岛海尔信息塑胶研制有限公司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102,888,407.30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2"/>
              <w:ind w:right="87"/>
              <w:jc w:val="right"/>
              <w:rPr>
                <w:sz w:val="15"/>
              </w:rPr>
            </w:pPr>
            <w:r>
              <w:rPr>
                <w:sz w:val="15"/>
              </w:rPr>
              <w:t>102,888,407.30</w:t>
            </w: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73"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大连海尔精密制品有限公司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93"/>
              <w:ind w:right="86"/>
              <w:jc w:val="right"/>
              <w:rPr>
                <w:sz w:val="15"/>
              </w:rPr>
            </w:pPr>
            <w:r>
              <w:rPr>
                <w:sz w:val="15"/>
              </w:rPr>
              <w:t>41,836,159.33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3"/>
              <w:ind w:right="86"/>
              <w:jc w:val="right"/>
              <w:rPr>
                <w:sz w:val="15"/>
              </w:rPr>
            </w:pPr>
            <w:r>
              <w:rPr>
                <w:sz w:val="15"/>
              </w:rPr>
              <w:t>41,836,159.33</w:t>
            </w: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73"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合肥海尔塑胶有限公司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42,660,583.21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42,660,583.21</w:t>
            </w: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73"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青岛海尔科技有限公司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16,817,162.03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16,817,162.03</w:t>
            </w: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73"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青岛家电工艺装备研究所</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66,778,810.80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66,778,810.80</w:t>
            </w: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73"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青岛美尔塑料粉末有限公司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24,327,257.77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24,327,257.77</w:t>
            </w: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73"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重庆海尔精密塑胶有限公司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47,811,283.24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47,811,283.24</w:t>
            </w: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6" w:hRule="atLeast"/>
        </w:trPr>
        <w:tc>
          <w:tcPr>
            <w:tcW w:w="3473"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青岛海尔电子塑胶有限公司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48,000,000.00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48,000,000.00</w:t>
            </w: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8" w:hRule="atLeast"/>
        </w:trPr>
        <w:tc>
          <w:tcPr>
            <w:tcW w:w="3473" w:type="dxa"/>
            <w:tcBorders>
              <w:top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大连海尔电冰箱有限公司</w:t>
            </w:r>
          </w:p>
        </w:tc>
        <w:tc>
          <w:tcPr>
            <w:tcW w:w="1618" w:type="dxa"/>
            <w:tcBorders>
              <w:top w:val="single" w:sz="4" w:space="0" w:color="000000"/>
              <w:left w:val="single" w:sz="4" w:space="0" w:color="000000"/>
              <w:right w:val="single" w:sz="4" w:space="0" w:color="000000"/>
            </w:tcBorders>
          </w:tcPr>
          <w:p>
            <w:pPr>
              <w:pStyle w:val="TableParagraph"/>
              <w:spacing w:before="95"/>
              <w:ind w:right="86"/>
              <w:jc w:val="right"/>
              <w:rPr>
                <w:sz w:val="15"/>
              </w:rPr>
            </w:pPr>
            <w:r>
              <w:rPr>
                <w:sz w:val="15"/>
              </w:rPr>
              <w:t>99,000,000.00</w:t>
            </w:r>
          </w:p>
        </w:tc>
        <w:tc>
          <w:tcPr>
            <w:tcW w:w="1462" w:type="dxa"/>
            <w:tcBorders>
              <w:top w:val="single" w:sz="4" w:space="0" w:color="000000"/>
              <w:left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right w:val="single" w:sz="4" w:space="0" w:color="000000"/>
            </w:tcBorders>
          </w:tcPr>
          <w:p>
            <w:pPr>
              <w:pStyle w:val="TableParagraph"/>
              <w:spacing w:before="95"/>
              <w:ind w:right="86"/>
              <w:jc w:val="right"/>
              <w:rPr>
                <w:sz w:val="15"/>
              </w:rPr>
            </w:pPr>
            <w:r>
              <w:rPr>
                <w:sz w:val="15"/>
              </w:rPr>
              <w:t>99,000,000.00</w:t>
            </w:r>
          </w:p>
        </w:tc>
        <w:tc>
          <w:tcPr>
            <w:tcW w:w="1037" w:type="dxa"/>
            <w:tcBorders>
              <w:top w:val="single" w:sz="4" w:space="0" w:color="000000"/>
              <w:left w:val="single" w:sz="4" w:space="0" w:color="000000"/>
            </w:tcBorders>
          </w:tcPr>
          <w:p>
            <w:pPr>
              <w:pStyle w:val="TableParagraph"/>
              <w:rPr>
                <w:sz w:val="16"/>
              </w:rPr>
            </w:pPr>
          </w:p>
        </w:tc>
      </w:tr>
    </w:tbl>
    <w:p>
      <w:pPr>
        <w:spacing w:after="0"/>
        <w:rPr>
          <w:sz w:val="16"/>
        </w:rPr>
        <w:sectPr>
          <w:pgSz w:w="11910" w:h="16840"/>
          <w:pgMar w:header="876" w:footer="1214" w:top="1440" w:bottom="1400" w:left="260" w:right="0"/>
        </w:sectPr>
      </w:pPr>
    </w:p>
    <w:p>
      <w:pPr>
        <w:pStyle w:val="BodyText"/>
        <w:spacing w:before="2"/>
        <w:rPr>
          <w:sz w:val="5"/>
        </w:rPr>
      </w:pP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473"/>
        <w:gridCol w:w="1618"/>
        <w:gridCol w:w="1462"/>
        <w:gridCol w:w="1460"/>
        <w:gridCol w:w="1037"/>
      </w:tblGrid>
      <w:tr>
        <w:trPr>
          <w:trHeight w:val="371" w:hRule="atLeast"/>
        </w:trPr>
        <w:tc>
          <w:tcPr>
            <w:tcW w:w="3473" w:type="dxa"/>
            <w:tcBorders>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大连海尔空调器有限公司</w:t>
            </w:r>
          </w:p>
        </w:tc>
        <w:tc>
          <w:tcPr>
            <w:tcW w:w="1618" w:type="dxa"/>
            <w:tcBorders>
              <w:left w:val="single" w:sz="4" w:space="0" w:color="000000"/>
              <w:bottom w:val="single" w:sz="4" w:space="0" w:color="000000"/>
              <w:right w:val="single" w:sz="4" w:space="0" w:color="000000"/>
            </w:tcBorders>
          </w:tcPr>
          <w:p>
            <w:pPr>
              <w:pStyle w:val="TableParagraph"/>
              <w:spacing w:before="95"/>
              <w:ind w:right="86"/>
              <w:jc w:val="right"/>
              <w:rPr>
                <w:sz w:val="15"/>
              </w:rPr>
            </w:pPr>
            <w:r>
              <w:rPr>
                <w:sz w:val="15"/>
              </w:rPr>
              <w:t>99,000,000.00</w:t>
            </w:r>
          </w:p>
        </w:tc>
        <w:tc>
          <w:tcPr>
            <w:tcW w:w="1462" w:type="dxa"/>
            <w:tcBorders>
              <w:left w:val="single" w:sz="4" w:space="0" w:color="000000"/>
              <w:bottom w:val="single" w:sz="4" w:space="0" w:color="000000"/>
              <w:right w:val="single" w:sz="4" w:space="0" w:color="000000"/>
            </w:tcBorders>
          </w:tcPr>
          <w:p>
            <w:pPr>
              <w:pStyle w:val="TableParagraph"/>
              <w:rPr>
                <w:sz w:val="16"/>
              </w:rPr>
            </w:pPr>
          </w:p>
        </w:tc>
        <w:tc>
          <w:tcPr>
            <w:tcW w:w="1460" w:type="dxa"/>
            <w:tcBorders>
              <w:left w:val="single" w:sz="4" w:space="0" w:color="000000"/>
              <w:bottom w:val="single" w:sz="4" w:space="0" w:color="000000"/>
              <w:right w:val="single" w:sz="4" w:space="0" w:color="000000"/>
            </w:tcBorders>
          </w:tcPr>
          <w:p>
            <w:pPr>
              <w:pStyle w:val="TableParagraph"/>
              <w:spacing w:before="95"/>
              <w:ind w:right="86"/>
              <w:jc w:val="right"/>
              <w:rPr>
                <w:sz w:val="15"/>
              </w:rPr>
            </w:pPr>
            <w:r>
              <w:rPr>
                <w:sz w:val="15"/>
              </w:rPr>
              <w:t>99,000,000.00</w:t>
            </w:r>
          </w:p>
        </w:tc>
        <w:tc>
          <w:tcPr>
            <w:tcW w:w="1037" w:type="dxa"/>
            <w:tcBorders>
              <w:left w:val="single" w:sz="4" w:space="0" w:color="000000"/>
              <w:bottom w:val="single" w:sz="4" w:space="0" w:color="000000"/>
            </w:tcBorders>
          </w:tcPr>
          <w:p>
            <w:pPr>
              <w:pStyle w:val="TableParagraph"/>
              <w:rPr>
                <w:sz w:val="16"/>
              </w:rPr>
            </w:pPr>
          </w:p>
        </w:tc>
      </w:tr>
      <w:tr>
        <w:trPr>
          <w:trHeight w:val="369" w:hRule="atLeast"/>
        </w:trPr>
        <w:tc>
          <w:tcPr>
            <w:tcW w:w="3473"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贵州海尔电器有限公司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96,904,371.71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96,904,371.71</w:t>
            </w: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6" w:hRule="atLeast"/>
        </w:trPr>
        <w:tc>
          <w:tcPr>
            <w:tcW w:w="3473"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合肥海尔空调器有限公司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67,110,323.85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67,110,323.85</w:t>
            </w: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73"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青岛海尔电冰箱</w:t>
            </w:r>
            <w:r>
              <w:rPr>
                <w:sz w:val="18"/>
              </w:rPr>
              <w:t>(</w:t>
            </w:r>
            <w:r>
              <w:rPr>
                <w:rFonts w:ascii="宋体" w:eastAsia="宋体" w:hint="eastAsia"/>
                <w:sz w:val="18"/>
              </w:rPr>
              <w:t>国际</w:t>
            </w:r>
            <w:r>
              <w:rPr>
                <w:sz w:val="18"/>
              </w:rPr>
              <w:t>)</w:t>
            </w:r>
            <w:r>
              <w:rPr>
                <w:rFonts w:ascii="宋体" w:eastAsia="宋体" w:hint="eastAsia"/>
                <w:sz w:val="18"/>
              </w:rPr>
              <w:t>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95"/>
              <w:ind w:right="86"/>
              <w:jc w:val="right"/>
              <w:rPr>
                <w:sz w:val="15"/>
              </w:rPr>
            </w:pPr>
            <w:r>
              <w:rPr>
                <w:sz w:val="15"/>
              </w:rPr>
              <w:t>238,758,240.85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5"/>
              <w:ind w:right="87"/>
              <w:jc w:val="right"/>
              <w:rPr>
                <w:sz w:val="15"/>
              </w:rPr>
            </w:pPr>
            <w:r>
              <w:rPr>
                <w:sz w:val="15"/>
              </w:rPr>
              <w:t>238,758,240.85</w:t>
            </w: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73"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青岛海尔空调电子有限公司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95"/>
              <w:ind w:right="86"/>
              <w:jc w:val="right"/>
              <w:rPr>
                <w:sz w:val="15"/>
              </w:rPr>
            </w:pPr>
            <w:r>
              <w:rPr>
                <w:sz w:val="15"/>
              </w:rPr>
              <w:t>1,113,433,044.51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5"/>
              <w:ind w:right="87"/>
              <w:jc w:val="right"/>
              <w:rPr>
                <w:sz w:val="15"/>
              </w:rPr>
            </w:pPr>
            <w:r>
              <w:rPr>
                <w:sz w:val="15"/>
              </w:rPr>
              <w:t>1,113,433,044.51</w:t>
            </w: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73"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青岛海尔空调器有限总公司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220,636,306.02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2"/>
              <w:ind w:right="87"/>
              <w:jc w:val="right"/>
              <w:rPr>
                <w:sz w:val="15"/>
              </w:rPr>
            </w:pPr>
            <w:r>
              <w:rPr>
                <w:sz w:val="15"/>
              </w:rPr>
              <w:t>220,636,306.02</w:t>
            </w: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73"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青岛海尔特种电冰柜有限公司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442,684,262.76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2"/>
              <w:ind w:right="87"/>
              <w:jc w:val="right"/>
              <w:rPr>
                <w:sz w:val="15"/>
              </w:rPr>
            </w:pPr>
            <w:r>
              <w:rPr>
                <w:sz w:val="15"/>
              </w:rPr>
              <w:t>442,684,262.76</w:t>
            </w: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73"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青岛海尔洗碗机有限公司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206,594,292.82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2"/>
              <w:ind w:right="87"/>
              <w:jc w:val="right"/>
              <w:rPr>
                <w:sz w:val="15"/>
              </w:rPr>
            </w:pPr>
            <w:r>
              <w:rPr>
                <w:sz w:val="15"/>
              </w:rPr>
              <w:t>206,594,292.82</w:t>
            </w: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73"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武汉海尔电冰柜有限公司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47,310,000.00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47,310,000.00</w:t>
            </w: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73"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武汉海尔电器股份有限公司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100,715,445.04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2"/>
              <w:ind w:right="87"/>
              <w:jc w:val="right"/>
              <w:rPr>
                <w:sz w:val="15"/>
              </w:rPr>
            </w:pPr>
            <w:r>
              <w:rPr>
                <w:sz w:val="15"/>
              </w:rPr>
              <w:t>100,715,445.04</w:t>
            </w: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73"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重庆海尔空调器有限公司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93"/>
              <w:ind w:right="86"/>
              <w:jc w:val="right"/>
              <w:rPr>
                <w:sz w:val="15"/>
              </w:rPr>
            </w:pPr>
            <w:r>
              <w:rPr>
                <w:sz w:val="15"/>
              </w:rPr>
              <w:t>100,000,000.00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3"/>
              <w:ind w:right="87"/>
              <w:jc w:val="right"/>
              <w:rPr>
                <w:sz w:val="15"/>
              </w:rPr>
            </w:pPr>
            <w:r>
              <w:rPr>
                <w:sz w:val="15"/>
              </w:rPr>
              <w:t>100,000,000.00</w:t>
            </w: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73"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合肥海尔电冰箱有限公司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49,000,000.00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49,000,000.00</w:t>
            </w: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73"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青岛海尔成套家电服务有限公司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118,000,000.00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2"/>
              <w:ind w:right="87"/>
              <w:jc w:val="right"/>
              <w:rPr>
                <w:sz w:val="15"/>
              </w:rPr>
            </w:pPr>
            <w:r>
              <w:rPr>
                <w:sz w:val="15"/>
              </w:rPr>
              <w:t>118,000,000.00</w:t>
            </w: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73"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重庆海尔制冷电器有限公司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91,750,000.00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91,750,000.00</w:t>
            </w: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6" w:hRule="atLeast"/>
        </w:trPr>
        <w:tc>
          <w:tcPr>
            <w:tcW w:w="3473"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上海海尔众智坊创客空间管理有限公司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2,000,000.00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2,000,000.00</w:t>
            </w: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73"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海尔卡奥斯物联生态科技有限公司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95"/>
              <w:ind w:right="86"/>
              <w:jc w:val="right"/>
              <w:rPr>
                <w:sz w:val="15"/>
              </w:rPr>
            </w:pPr>
            <w:r>
              <w:rPr>
                <w:sz w:val="15"/>
              </w:rPr>
              <w:t>897,454,010.03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95"/>
              <w:ind w:right="83"/>
              <w:jc w:val="right"/>
              <w:rPr>
                <w:sz w:val="15"/>
              </w:rPr>
            </w:pPr>
            <w:r>
              <w:rPr>
                <w:sz w:val="15"/>
              </w:rPr>
              <w:t>-897,454,010.03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73"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青岛海尔特种制冷电器有限公司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95"/>
              <w:ind w:right="86"/>
              <w:jc w:val="right"/>
              <w:rPr>
                <w:sz w:val="15"/>
              </w:rPr>
            </w:pPr>
            <w:r>
              <w:rPr>
                <w:sz w:val="15"/>
              </w:rPr>
              <w:t>100,000,000.00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5"/>
              <w:ind w:right="87"/>
              <w:jc w:val="right"/>
              <w:rPr>
                <w:sz w:val="15"/>
              </w:rPr>
            </w:pPr>
            <w:r>
              <w:rPr>
                <w:sz w:val="15"/>
              </w:rPr>
              <w:t>100,000,000.00</w:t>
            </w: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73"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海尔股份</w:t>
            </w:r>
            <w:r>
              <w:rPr>
                <w:sz w:val="18"/>
              </w:rPr>
              <w:t>(</w:t>
            </w:r>
            <w:r>
              <w:rPr>
                <w:rFonts w:ascii="宋体" w:eastAsia="宋体" w:hint="eastAsia"/>
                <w:sz w:val="18"/>
              </w:rPr>
              <w:t>香港</w:t>
            </w:r>
            <w:r>
              <w:rPr>
                <w:sz w:val="18"/>
              </w:rPr>
              <w:t>)</w:t>
            </w:r>
            <w:r>
              <w:rPr>
                <w:rFonts w:ascii="宋体" w:eastAsia="宋体" w:hint="eastAsia"/>
                <w:sz w:val="18"/>
              </w:rPr>
              <w:t>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25,076,411,626.24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92"/>
              <w:ind w:right="83"/>
              <w:jc w:val="right"/>
              <w:rPr>
                <w:sz w:val="15"/>
              </w:rPr>
            </w:pPr>
            <w:r>
              <w:rPr>
                <w:sz w:val="15"/>
              </w:rPr>
              <w:t>946,370,900.00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2"/>
              <w:ind w:right="87"/>
              <w:jc w:val="right"/>
              <w:rPr>
                <w:sz w:val="15"/>
              </w:rPr>
            </w:pPr>
            <w:r>
              <w:rPr>
                <w:sz w:val="15"/>
              </w:rPr>
              <w:t>26,022,782,526.24</w:t>
            </w: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73"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沈阳海尔电冰箱有限公司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100,000,000.00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2"/>
              <w:ind w:right="87"/>
              <w:jc w:val="right"/>
              <w:rPr>
                <w:sz w:val="15"/>
              </w:rPr>
            </w:pPr>
            <w:r>
              <w:rPr>
                <w:sz w:val="15"/>
              </w:rPr>
              <w:t>100,000,000.00</w:t>
            </w: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73" w:type="dxa"/>
            <w:tcBorders>
              <w:top w:val="single" w:sz="4" w:space="0" w:color="000000"/>
              <w:bottom w:val="single" w:sz="4" w:space="0" w:color="000000"/>
              <w:right w:val="single" w:sz="4" w:space="0" w:color="000000"/>
            </w:tcBorders>
          </w:tcPr>
          <w:p>
            <w:pPr>
              <w:pStyle w:val="TableParagraph"/>
              <w:spacing w:before="70"/>
              <w:ind w:left="107"/>
              <w:rPr>
                <w:rFonts w:ascii="宋体" w:eastAsia="宋体" w:hint="eastAsia"/>
                <w:sz w:val="18"/>
              </w:rPr>
            </w:pPr>
            <w:r>
              <w:rPr>
                <w:rFonts w:ascii="宋体" w:eastAsia="宋体" w:hint="eastAsia"/>
                <w:sz w:val="18"/>
              </w:rPr>
              <w:t>佛山海尔电冰柜有限公司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93"/>
              <w:ind w:right="86"/>
              <w:jc w:val="right"/>
              <w:rPr>
                <w:sz w:val="15"/>
              </w:rPr>
            </w:pPr>
            <w:r>
              <w:rPr>
                <w:sz w:val="15"/>
              </w:rPr>
              <w:t>100,000,000.00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3"/>
              <w:ind w:right="87"/>
              <w:jc w:val="right"/>
              <w:rPr>
                <w:sz w:val="15"/>
              </w:rPr>
            </w:pPr>
            <w:r>
              <w:rPr>
                <w:sz w:val="15"/>
              </w:rPr>
              <w:t>100,000,000.00</w:t>
            </w: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73"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郑州海尔空调器有限公司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100,000,000.00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2"/>
              <w:ind w:right="87"/>
              <w:jc w:val="right"/>
              <w:rPr>
                <w:sz w:val="15"/>
              </w:rPr>
            </w:pPr>
            <w:r>
              <w:rPr>
                <w:sz w:val="15"/>
              </w:rPr>
              <w:t>100,000,000.00</w:t>
            </w: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73"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青岛海达源采购服务有限公司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20,000,000.00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20,000,000.00</w:t>
            </w: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73"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青岛海尔智能技术研发有限公司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130,000,000.00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2"/>
              <w:ind w:right="87"/>
              <w:jc w:val="right"/>
              <w:rPr>
                <w:sz w:val="15"/>
              </w:rPr>
            </w:pPr>
            <w:r>
              <w:rPr>
                <w:sz w:val="15"/>
              </w:rPr>
              <w:t>130,000,000.00</w:t>
            </w: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73"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青岛海尔科技投资有限公司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302,105,635.00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92"/>
              <w:ind w:right="83"/>
              <w:jc w:val="right"/>
              <w:rPr>
                <w:sz w:val="15"/>
              </w:rPr>
            </w:pPr>
            <w:r>
              <w:rPr>
                <w:sz w:val="15"/>
              </w:rPr>
              <w:t>65,400,000.00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2"/>
              <w:ind w:right="87"/>
              <w:jc w:val="right"/>
              <w:rPr>
                <w:sz w:val="15"/>
              </w:rPr>
            </w:pPr>
            <w:r>
              <w:rPr>
                <w:sz w:val="15"/>
              </w:rPr>
              <w:t>367,505,635.00</w:t>
            </w: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73"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青岛卡萨帝智慧生活家电有限公司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10,000,000.00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10,000,000.00</w:t>
            </w: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73"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海尔海外电器产业有限公司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40,000,000.00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92"/>
              <w:ind w:right="83"/>
              <w:jc w:val="right"/>
              <w:rPr>
                <w:sz w:val="15"/>
              </w:rPr>
            </w:pPr>
            <w:r>
              <w:rPr>
                <w:sz w:val="15"/>
              </w:rPr>
              <w:t>460,000,000.00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2"/>
              <w:ind w:right="87"/>
              <w:jc w:val="right"/>
              <w:rPr>
                <w:sz w:val="15"/>
              </w:rPr>
            </w:pPr>
            <w:r>
              <w:rPr>
                <w:sz w:val="15"/>
              </w:rPr>
              <w:t>500,000,000.00</w:t>
            </w: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6" w:hRule="atLeast"/>
        </w:trPr>
        <w:tc>
          <w:tcPr>
            <w:tcW w:w="3473"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海尔</w:t>
            </w:r>
            <w:r>
              <w:rPr>
                <w:sz w:val="18"/>
              </w:rPr>
              <w:t>(</w:t>
            </w:r>
            <w:r>
              <w:rPr>
                <w:rFonts w:ascii="宋体" w:eastAsia="宋体" w:hint="eastAsia"/>
                <w:sz w:val="18"/>
              </w:rPr>
              <w:t>上海</w:t>
            </w:r>
            <w:r>
              <w:rPr>
                <w:sz w:val="18"/>
              </w:rPr>
              <w:t>)</w:t>
            </w:r>
            <w:r>
              <w:rPr>
                <w:rFonts w:ascii="宋体" w:eastAsia="宋体" w:hint="eastAsia"/>
                <w:sz w:val="18"/>
              </w:rPr>
              <w:t>电器有限公司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12,500,000.00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12,500,000.00</w:t>
            </w: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73"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海尔优家智能科技</w:t>
            </w:r>
            <w:r>
              <w:rPr>
                <w:sz w:val="18"/>
              </w:rPr>
              <w:t>(</w:t>
            </w:r>
            <w:r>
              <w:rPr>
                <w:rFonts w:ascii="宋体" w:eastAsia="宋体" w:hint="eastAsia"/>
                <w:sz w:val="18"/>
              </w:rPr>
              <w:t>北京</w:t>
            </w:r>
            <w:r>
              <w:rPr>
                <w:sz w:val="18"/>
              </w:rPr>
              <w:t>)</w:t>
            </w:r>
            <w:r>
              <w:rPr>
                <w:rFonts w:ascii="宋体" w:eastAsia="宋体" w:hint="eastAsia"/>
                <w:sz w:val="18"/>
              </w:rPr>
              <w:t>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95"/>
              <w:ind w:right="86"/>
              <w:jc w:val="right"/>
              <w:rPr>
                <w:sz w:val="15"/>
              </w:rPr>
            </w:pPr>
            <w:r>
              <w:rPr>
                <w:sz w:val="15"/>
              </w:rPr>
              <w:t>143,000,000.00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5"/>
              <w:ind w:right="87"/>
              <w:jc w:val="right"/>
              <w:rPr>
                <w:sz w:val="15"/>
              </w:rPr>
            </w:pPr>
            <w:r>
              <w:rPr>
                <w:sz w:val="15"/>
              </w:rPr>
              <w:t>143,000,000.00</w:t>
            </w: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73"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海尔电器集团有限公司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95"/>
              <w:ind w:right="86"/>
              <w:jc w:val="right"/>
              <w:rPr>
                <w:sz w:val="15"/>
              </w:rPr>
            </w:pPr>
            <w:r>
              <w:rPr>
                <w:sz w:val="15"/>
              </w:rPr>
              <w:t>669,830,769.26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95"/>
              <w:ind w:right="84"/>
              <w:jc w:val="right"/>
              <w:rPr>
                <w:sz w:val="15"/>
              </w:rPr>
            </w:pPr>
            <w:r>
              <w:rPr>
                <w:sz w:val="15"/>
              </w:rPr>
              <w:t>16,060,877,169.37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5"/>
              <w:ind w:right="87"/>
              <w:jc w:val="right"/>
              <w:rPr>
                <w:sz w:val="15"/>
              </w:rPr>
            </w:pPr>
            <w:r>
              <w:rPr>
                <w:sz w:val="15"/>
              </w:rPr>
              <w:t>16,730,707,938.63</w:t>
            </w:r>
          </w:p>
        </w:tc>
        <w:tc>
          <w:tcPr>
            <w:tcW w:w="1037" w:type="dxa"/>
            <w:tcBorders>
              <w:top w:val="single" w:sz="4" w:space="0" w:color="000000"/>
              <w:left w:val="single" w:sz="4" w:space="0" w:color="000000"/>
              <w:bottom w:val="single" w:sz="4" w:space="0" w:color="000000"/>
            </w:tcBorders>
          </w:tcPr>
          <w:p>
            <w:pPr>
              <w:pStyle w:val="TableParagraph"/>
              <w:spacing w:before="95"/>
              <w:ind w:right="76"/>
              <w:jc w:val="right"/>
              <w:rPr>
                <w:sz w:val="15"/>
              </w:rPr>
            </w:pPr>
            <w:r>
              <w:rPr>
                <w:sz w:val="15"/>
              </w:rPr>
              <w:t>7,100,000.00</w:t>
            </w:r>
          </w:p>
        </w:tc>
      </w:tr>
      <w:tr>
        <w:trPr>
          <w:trHeight w:val="369" w:hRule="atLeast"/>
        </w:trPr>
        <w:tc>
          <w:tcPr>
            <w:tcW w:w="3473"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青岛海达瑞采购服务有限公司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107,800,000.00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2"/>
              <w:ind w:right="87"/>
              <w:jc w:val="right"/>
              <w:rPr>
                <w:sz w:val="15"/>
              </w:rPr>
            </w:pPr>
            <w:r>
              <w:rPr>
                <w:sz w:val="15"/>
              </w:rPr>
              <w:t>107,800,000.00</w:t>
            </w: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73"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青岛海尔智能家电有限公司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92"/>
              <w:ind w:right="86"/>
              <w:jc w:val="right"/>
              <w:rPr>
                <w:sz w:val="15"/>
              </w:rPr>
            </w:pPr>
            <w:r>
              <w:rPr>
                <w:sz w:val="15"/>
              </w:rPr>
              <w:t>326,400,000.00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2"/>
              <w:ind w:right="87"/>
              <w:jc w:val="right"/>
              <w:rPr>
                <w:sz w:val="15"/>
              </w:rPr>
            </w:pPr>
            <w:r>
              <w:rPr>
                <w:sz w:val="15"/>
              </w:rPr>
              <w:t>326,400,000.00</w:t>
            </w: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73" w:type="dxa"/>
            <w:tcBorders>
              <w:top w:val="single" w:sz="4" w:space="0" w:color="000000"/>
              <w:bottom w:val="single" w:sz="4" w:space="0" w:color="000000"/>
              <w:right w:val="single" w:sz="4" w:space="0" w:color="000000"/>
            </w:tcBorders>
          </w:tcPr>
          <w:p>
            <w:pPr>
              <w:pStyle w:val="TableParagraph"/>
              <w:spacing w:before="69"/>
              <w:ind w:left="107"/>
              <w:rPr>
                <w:rFonts w:ascii="宋体" w:eastAsia="宋体" w:hint="eastAsia"/>
                <w:sz w:val="18"/>
              </w:rPr>
            </w:pPr>
            <w:r>
              <w:rPr>
                <w:rFonts w:ascii="宋体" w:eastAsia="宋体" w:hint="eastAsia"/>
                <w:sz w:val="18"/>
              </w:rPr>
              <w:t>青岛海达诚采购服务有限公司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92"/>
              <w:ind w:right="83"/>
              <w:jc w:val="right"/>
              <w:rPr>
                <w:sz w:val="15"/>
              </w:rPr>
            </w:pPr>
            <w:r>
              <w:rPr>
                <w:sz w:val="15"/>
              </w:rPr>
              <w:t>100,000,000.00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2"/>
              <w:ind w:right="87"/>
              <w:jc w:val="right"/>
              <w:rPr>
                <w:sz w:val="15"/>
              </w:rPr>
            </w:pPr>
            <w:r>
              <w:rPr>
                <w:sz w:val="15"/>
              </w:rPr>
              <w:t>100,000,000.00</w:t>
            </w: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473"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海尔智家体验云生态科技有限公司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92"/>
              <w:ind w:right="83"/>
              <w:jc w:val="right"/>
              <w:rPr>
                <w:sz w:val="15"/>
              </w:rPr>
            </w:pPr>
            <w:r>
              <w:rPr>
                <w:sz w:val="15"/>
              </w:rPr>
              <w:t>100,000,000.00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92"/>
              <w:ind w:right="87"/>
              <w:jc w:val="right"/>
              <w:rPr>
                <w:sz w:val="15"/>
              </w:rPr>
            </w:pPr>
            <w:r>
              <w:rPr>
                <w:sz w:val="15"/>
              </w:rPr>
              <w:t>100,000,000.00</w:t>
            </w:r>
          </w:p>
        </w:tc>
        <w:tc>
          <w:tcPr>
            <w:tcW w:w="1037" w:type="dxa"/>
            <w:tcBorders>
              <w:top w:val="single" w:sz="4" w:space="0" w:color="000000"/>
              <w:left w:val="single" w:sz="4" w:space="0" w:color="000000"/>
              <w:bottom w:val="single" w:sz="4" w:space="0" w:color="000000"/>
            </w:tcBorders>
          </w:tcPr>
          <w:p>
            <w:pPr>
              <w:pStyle w:val="TableParagraph"/>
              <w:rPr>
                <w:sz w:val="16"/>
              </w:rPr>
            </w:pPr>
          </w:p>
        </w:tc>
      </w:tr>
      <w:tr>
        <w:trPr>
          <w:trHeight w:val="366" w:hRule="atLeast"/>
        </w:trPr>
        <w:tc>
          <w:tcPr>
            <w:tcW w:w="3473" w:type="dxa"/>
            <w:tcBorders>
              <w:top w:val="single" w:sz="4" w:space="0" w:color="000000"/>
              <w:right w:val="single" w:sz="4" w:space="0" w:color="000000"/>
            </w:tcBorders>
          </w:tcPr>
          <w:p>
            <w:pPr>
              <w:pStyle w:val="TableParagraph"/>
              <w:spacing w:before="67"/>
              <w:ind w:left="1534" w:right="1518"/>
              <w:jc w:val="center"/>
              <w:rPr>
                <w:rFonts w:ascii="宋体" w:eastAsia="宋体" w:hint="eastAsia"/>
                <w:sz w:val="18"/>
              </w:rPr>
            </w:pPr>
            <w:r>
              <w:rPr>
                <w:rFonts w:ascii="宋体" w:eastAsia="宋体" w:hint="eastAsia"/>
                <w:sz w:val="18"/>
              </w:rPr>
              <w:t>合计</w:t>
            </w:r>
          </w:p>
        </w:tc>
        <w:tc>
          <w:tcPr>
            <w:tcW w:w="1618" w:type="dxa"/>
            <w:tcBorders>
              <w:top w:val="single" w:sz="4" w:space="0" w:color="000000"/>
              <w:left w:val="single" w:sz="4" w:space="0" w:color="000000"/>
              <w:right w:val="single" w:sz="4" w:space="0" w:color="000000"/>
            </w:tcBorders>
          </w:tcPr>
          <w:p>
            <w:pPr>
              <w:pStyle w:val="TableParagraph"/>
              <w:spacing w:before="92"/>
              <w:ind w:right="86"/>
              <w:jc w:val="right"/>
              <w:rPr>
                <w:sz w:val="15"/>
              </w:rPr>
            </w:pPr>
            <w:r>
              <w:rPr>
                <w:sz w:val="15"/>
              </w:rPr>
              <w:t>32,396,253,033.48</w:t>
            </w:r>
          </w:p>
        </w:tc>
        <w:tc>
          <w:tcPr>
            <w:tcW w:w="1462" w:type="dxa"/>
            <w:tcBorders>
              <w:top w:val="single" w:sz="4" w:space="0" w:color="000000"/>
              <w:left w:val="single" w:sz="4" w:space="0" w:color="000000"/>
              <w:right w:val="single" w:sz="4" w:space="0" w:color="000000"/>
            </w:tcBorders>
          </w:tcPr>
          <w:p>
            <w:pPr>
              <w:pStyle w:val="TableParagraph"/>
              <w:spacing w:before="92"/>
              <w:ind w:right="84"/>
              <w:jc w:val="right"/>
              <w:rPr>
                <w:sz w:val="15"/>
              </w:rPr>
            </w:pPr>
            <w:r>
              <w:rPr>
                <w:sz w:val="15"/>
              </w:rPr>
              <w:t>16,835,194,059.34</w:t>
            </w:r>
          </w:p>
        </w:tc>
        <w:tc>
          <w:tcPr>
            <w:tcW w:w="1460" w:type="dxa"/>
            <w:tcBorders>
              <w:top w:val="single" w:sz="4" w:space="0" w:color="000000"/>
              <w:left w:val="single" w:sz="4" w:space="0" w:color="000000"/>
              <w:right w:val="single" w:sz="4" w:space="0" w:color="000000"/>
            </w:tcBorders>
          </w:tcPr>
          <w:p>
            <w:pPr>
              <w:pStyle w:val="TableParagraph"/>
              <w:spacing w:before="92"/>
              <w:ind w:right="87"/>
              <w:jc w:val="right"/>
              <w:rPr>
                <w:sz w:val="15"/>
              </w:rPr>
            </w:pPr>
            <w:r>
              <w:rPr>
                <w:sz w:val="15"/>
              </w:rPr>
              <w:t>49,231,447,092.82</w:t>
            </w:r>
          </w:p>
        </w:tc>
        <w:tc>
          <w:tcPr>
            <w:tcW w:w="1037" w:type="dxa"/>
            <w:tcBorders>
              <w:top w:val="single" w:sz="4" w:space="0" w:color="000000"/>
              <w:left w:val="single" w:sz="4" w:space="0" w:color="000000"/>
            </w:tcBorders>
          </w:tcPr>
          <w:p>
            <w:pPr>
              <w:pStyle w:val="TableParagraph"/>
              <w:spacing w:before="92"/>
              <w:ind w:right="76"/>
              <w:jc w:val="right"/>
              <w:rPr>
                <w:sz w:val="15"/>
              </w:rPr>
            </w:pPr>
            <w:r>
              <w:rPr>
                <w:sz w:val="15"/>
              </w:rPr>
              <w:t>7,100,000.00</w:t>
            </w:r>
          </w:p>
        </w:tc>
      </w:tr>
    </w:tbl>
    <w:p>
      <w:pPr>
        <w:pStyle w:val="BodyText"/>
        <w:rPr>
          <w:sz w:val="20"/>
        </w:rPr>
      </w:pPr>
    </w:p>
    <w:p>
      <w:pPr>
        <w:pStyle w:val="BodyText"/>
        <w:spacing w:before="6"/>
        <w:rPr>
          <w:sz w:val="19"/>
        </w:rPr>
      </w:pPr>
    </w:p>
    <w:p>
      <w:pPr>
        <w:pStyle w:val="ListParagraph"/>
        <w:numPr>
          <w:ilvl w:val="0"/>
          <w:numId w:val="74"/>
        </w:numPr>
        <w:tabs>
          <w:tab w:pos="2490" w:val="left" w:leader="none"/>
        </w:tabs>
        <w:spacing w:line="240" w:lineRule="auto" w:before="0" w:after="0"/>
        <w:ind w:left="2489" w:right="0" w:hanging="530"/>
        <w:jc w:val="left"/>
        <w:rPr>
          <w:sz w:val="21"/>
        </w:rPr>
      </w:pPr>
      <w:r>
        <w:rPr>
          <w:spacing w:val="-3"/>
          <w:sz w:val="21"/>
        </w:rPr>
        <w:t>对联营企业的长期股权投资</w:t>
      </w:r>
    </w:p>
    <w:p>
      <w:pPr>
        <w:spacing w:after="0" w:line="240" w:lineRule="auto"/>
        <w:jc w:val="left"/>
        <w:rPr>
          <w:sz w:val="21"/>
        </w:rPr>
        <w:sectPr>
          <w:pgSz w:w="11910" w:h="16840"/>
          <w:pgMar w:header="876" w:footer="1214" w:top="1440" w:bottom="1400" w:left="260" w:right="0"/>
        </w:sectPr>
      </w:pPr>
    </w:p>
    <w:p>
      <w:pPr>
        <w:pStyle w:val="BodyText"/>
        <w:spacing w:before="2"/>
        <w:rPr>
          <w:sz w:val="5"/>
        </w:rPr>
      </w:pPr>
    </w:p>
    <w:tbl>
      <w:tblPr>
        <w:tblW w:w="0" w:type="auto"/>
        <w:jc w:val="left"/>
        <w:tblInd w:w="121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91"/>
        <w:gridCol w:w="1308"/>
        <w:gridCol w:w="1307"/>
        <w:gridCol w:w="1243"/>
        <w:gridCol w:w="1243"/>
        <w:gridCol w:w="1318"/>
        <w:gridCol w:w="1193"/>
      </w:tblGrid>
      <w:tr>
        <w:trPr>
          <w:trHeight w:val="510" w:hRule="atLeast"/>
        </w:trPr>
        <w:tc>
          <w:tcPr>
            <w:tcW w:w="1891" w:type="dxa"/>
            <w:vMerge w:val="restart"/>
            <w:tcBorders>
              <w:bottom w:val="single" w:sz="4" w:space="0" w:color="000000"/>
              <w:right w:val="single" w:sz="4" w:space="0" w:color="000000"/>
            </w:tcBorders>
          </w:tcPr>
          <w:p>
            <w:pPr>
              <w:pStyle w:val="TableParagraph"/>
              <w:spacing w:before="8"/>
              <w:rPr>
                <w:rFonts w:ascii="宋体"/>
                <w:sz w:val="26"/>
              </w:rPr>
            </w:pPr>
          </w:p>
          <w:p>
            <w:pPr>
              <w:pStyle w:val="TableParagraph"/>
              <w:ind w:left="311"/>
              <w:rPr>
                <w:rFonts w:ascii="Microsoft JhengHei" w:eastAsia="Microsoft JhengHei" w:hint="eastAsia"/>
                <w:b/>
                <w:sz w:val="18"/>
              </w:rPr>
            </w:pPr>
            <w:r>
              <w:rPr>
                <w:rFonts w:ascii="Microsoft JhengHei" w:eastAsia="Microsoft JhengHei" w:hint="eastAsia"/>
                <w:b/>
                <w:sz w:val="18"/>
              </w:rPr>
              <w:t>被投资公司名称</w:t>
            </w:r>
          </w:p>
        </w:tc>
        <w:tc>
          <w:tcPr>
            <w:tcW w:w="1308" w:type="dxa"/>
            <w:vMerge w:val="restart"/>
            <w:tcBorders>
              <w:left w:val="single" w:sz="4" w:space="0" w:color="000000"/>
              <w:bottom w:val="single" w:sz="4" w:space="0" w:color="000000"/>
              <w:right w:val="single" w:sz="4" w:space="0" w:color="000000"/>
            </w:tcBorders>
          </w:tcPr>
          <w:p>
            <w:pPr>
              <w:pStyle w:val="TableParagraph"/>
              <w:spacing w:before="8"/>
              <w:rPr>
                <w:rFonts w:ascii="宋体"/>
                <w:sz w:val="26"/>
              </w:rPr>
            </w:pPr>
          </w:p>
          <w:p>
            <w:pPr>
              <w:pStyle w:val="TableParagraph"/>
              <w:ind w:left="302"/>
              <w:rPr>
                <w:rFonts w:ascii="Microsoft JhengHei" w:eastAsia="Microsoft JhengHei" w:hint="eastAsia"/>
                <w:b/>
                <w:sz w:val="18"/>
              </w:rPr>
            </w:pPr>
            <w:r>
              <w:rPr>
                <w:rFonts w:ascii="Microsoft JhengHei" w:eastAsia="Microsoft JhengHei" w:hint="eastAsia"/>
                <w:b/>
                <w:sz w:val="18"/>
              </w:rPr>
              <w:t>期初余额</w:t>
            </w:r>
          </w:p>
        </w:tc>
        <w:tc>
          <w:tcPr>
            <w:tcW w:w="3793" w:type="dxa"/>
            <w:gridSpan w:val="3"/>
            <w:tcBorders>
              <w:left w:val="single" w:sz="4" w:space="0" w:color="000000"/>
              <w:bottom w:val="single" w:sz="4" w:space="0" w:color="000000"/>
              <w:right w:val="single" w:sz="4" w:space="0" w:color="000000"/>
            </w:tcBorders>
          </w:tcPr>
          <w:p>
            <w:pPr>
              <w:pStyle w:val="TableParagraph"/>
              <w:spacing w:before="82"/>
              <w:ind w:left="1436" w:right="1407"/>
              <w:jc w:val="center"/>
              <w:rPr>
                <w:rFonts w:ascii="Microsoft JhengHei" w:eastAsia="Microsoft JhengHei" w:hint="eastAsia"/>
                <w:b/>
                <w:sz w:val="18"/>
              </w:rPr>
            </w:pPr>
            <w:r>
              <w:rPr>
                <w:rFonts w:ascii="Microsoft JhengHei" w:eastAsia="Microsoft JhengHei" w:hint="eastAsia"/>
                <w:b/>
                <w:sz w:val="18"/>
              </w:rPr>
              <w:t>本期增减额</w:t>
            </w:r>
          </w:p>
        </w:tc>
        <w:tc>
          <w:tcPr>
            <w:tcW w:w="1318" w:type="dxa"/>
            <w:vMerge w:val="restart"/>
            <w:tcBorders>
              <w:left w:val="single" w:sz="4" w:space="0" w:color="000000"/>
              <w:bottom w:val="single" w:sz="4" w:space="0" w:color="000000"/>
              <w:right w:val="single" w:sz="4" w:space="0" w:color="000000"/>
            </w:tcBorders>
          </w:tcPr>
          <w:p>
            <w:pPr>
              <w:pStyle w:val="TableParagraph"/>
              <w:spacing w:before="8"/>
              <w:rPr>
                <w:rFonts w:ascii="宋体"/>
                <w:sz w:val="26"/>
              </w:rPr>
            </w:pPr>
          </w:p>
          <w:p>
            <w:pPr>
              <w:pStyle w:val="TableParagraph"/>
              <w:ind w:left="309"/>
              <w:rPr>
                <w:rFonts w:ascii="Microsoft JhengHei" w:eastAsia="Microsoft JhengHei" w:hint="eastAsia"/>
                <w:b/>
                <w:sz w:val="18"/>
              </w:rPr>
            </w:pPr>
            <w:r>
              <w:rPr>
                <w:rFonts w:ascii="Microsoft JhengHei" w:eastAsia="Microsoft JhengHei" w:hint="eastAsia"/>
                <w:b/>
                <w:sz w:val="18"/>
              </w:rPr>
              <w:t>期末余额</w:t>
            </w:r>
          </w:p>
        </w:tc>
        <w:tc>
          <w:tcPr>
            <w:tcW w:w="1193" w:type="dxa"/>
            <w:vMerge w:val="restart"/>
            <w:tcBorders>
              <w:left w:val="single" w:sz="4" w:space="0" w:color="000000"/>
              <w:bottom w:val="single" w:sz="4" w:space="0" w:color="000000"/>
            </w:tcBorders>
          </w:tcPr>
          <w:p>
            <w:pPr>
              <w:pStyle w:val="TableParagraph"/>
              <w:spacing w:before="11"/>
              <w:rPr>
                <w:rFonts w:ascii="宋体"/>
                <w:sz w:val="22"/>
              </w:rPr>
            </w:pPr>
          </w:p>
          <w:p>
            <w:pPr>
              <w:pStyle w:val="TableParagraph"/>
              <w:spacing w:line="170" w:lineRule="auto"/>
              <w:ind w:left="336" w:right="112" w:hanging="180"/>
              <w:rPr>
                <w:rFonts w:ascii="Microsoft JhengHei" w:eastAsia="Microsoft JhengHei" w:hint="eastAsia"/>
                <w:b/>
                <w:sz w:val="18"/>
              </w:rPr>
            </w:pPr>
            <w:r>
              <w:rPr>
                <w:rFonts w:ascii="Microsoft JhengHei" w:eastAsia="Microsoft JhengHei" w:hint="eastAsia"/>
                <w:b/>
                <w:sz w:val="18"/>
              </w:rPr>
              <w:t>期末计提减值准备</w:t>
            </w:r>
          </w:p>
        </w:tc>
      </w:tr>
      <w:tr>
        <w:trPr>
          <w:trHeight w:val="510" w:hRule="atLeast"/>
        </w:trPr>
        <w:tc>
          <w:tcPr>
            <w:tcW w:w="1891" w:type="dxa"/>
            <w:vMerge/>
            <w:tcBorders>
              <w:top w:val="nil"/>
              <w:bottom w:val="single" w:sz="4" w:space="0" w:color="000000"/>
              <w:right w:val="single" w:sz="4" w:space="0" w:color="000000"/>
            </w:tcBorders>
          </w:tcPr>
          <w:p>
            <w:pPr>
              <w:rPr>
                <w:sz w:val="2"/>
                <w:szCs w:val="2"/>
              </w:rPr>
            </w:pPr>
          </w:p>
        </w:tc>
        <w:tc>
          <w:tcPr>
            <w:tcW w:w="1308" w:type="dxa"/>
            <w:vMerge/>
            <w:tcBorders>
              <w:top w:val="nil"/>
              <w:left w:val="single" w:sz="4" w:space="0" w:color="000000"/>
              <w:bottom w:val="single" w:sz="4" w:space="0" w:color="000000"/>
              <w:right w:val="single" w:sz="4" w:space="0" w:color="000000"/>
            </w:tcBorders>
          </w:tcPr>
          <w:p>
            <w:pPr>
              <w:rPr>
                <w:sz w:val="2"/>
                <w:szCs w:val="2"/>
              </w:rPr>
            </w:pP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before="79"/>
              <w:ind w:left="302"/>
              <w:rPr>
                <w:rFonts w:ascii="Microsoft JhengHei" w:eastAsia="Microsoft JhengHei" w:hint="eastAsia"/>
                <w:b/>
                <w:sz w:val="18"/>
              </w:rPr>
            </w:pPr>
            <w:r>
              <w:rPr>
                <w:rFonts w:ascii="Microsoft JhengHei" w:eastAsia="Microsoft JhengHei" w:hint="eastAsia"/>
                <w:b/>
                <w:sz w:val="18"/>
              </w:rPr>
              <w:t>本期增减</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79"/>
              <w:rPr>
                <w:rFonts w:ascii="Microsoft JhengHei" w:eastAsia="Microsoft JhengHei" w:hint="eastAsia"/>
                <w:b/>
                <w:sz w:val="18"/>
              </w:rPr>
            </w:pPr>
            <w:r>
              <w:rPr>
                <w:rFonts w:ascii="Microsoft JhengHei" w:eastAsia="Microsoft JhengHei" w:hint="eastAsia"/>
                <w:b/>
                <w:sz w:val="18"/>
              </w:rPr>
              <w:t>权益法下确</w:t>
            </w:r>
          </w:p>
          <w:p>
            <w:pPr>
              <w:pStyle w:val="TableParagraph"/>
              <w:spacing w:line="245" w:lineRule="exact"/>
              <w:ind w:left="179"/>
              <w:rPr>
                <w:rFonts w:ascii="Microsoft JhengHei" w:eastAsia="Microsoft JhengHei" w:hint="eastAsia"/>
                <w:b/>
                <w:sz w:val="18"/>
              </w:rPr>
            </w:pPr>
            <w:r>
              <w:rPr>
                <w:rFonts w:ascii="Microsoft JhengHei" w:eastAsia="Microsoft JhengHei" w:hint="eastAsia"/>
                <w:b/>
                <w:sz w:val="18"/>
              </w:rPr>
              <w:t>认投资收益</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before="79"/>
              <w:ind w:left="98" w:right="65"/>
              <w:jc w:val="center"/>
              <w:rPr>
                <w:rFonts w:ascii="Microsoft JhengHei" w:eastAsia="Microsoft JhengHei" w:hint="eastAsia"/>
                <w:b/>
                <w:sz w:val="18"/>
              </w:rPr>
            </w:pPr>
            <w:r>
              <w:rPr>
                <w:rFonts w:ascii="Microsoft JhengHei" w:eastAsia="Microsoft JhengHei" w:hint="eastAsia"/>
                <w:b/>
                <w:sz w:val="18"/>
              </w:rPr>
              <w:t>其他</w:t>
            </w:r>
          </w:p>
        </w:tc>
        <w:tc>
          <w:tcPr>
            <w:tcW w:w="1318" w:type="dxa"/>
            <w:vMerge/>
            <w:tcBorders>
              <w:top w:val="nil"/>
              <w:left w:val="single" w:sz="4" w:space="0" w:color="000000"/>
              <w:bottom w:val="single" w:sz="4" w:space="0" w:color="000000"/>
              <w:right w:val="single" w:sz="4" w:space="0" w:color="000000"/>
            </w:tcBorders>
          </w:tcPr>
          <w:p>
            <w:pPr>
              <w:rPr>
                <w:sz w:val="2"/>
                <w:szCs w:val="2"/>
              </w:rPr>
            </w:pPr>
          </w:p>
        </w:tc>
        <w:tc>
          <w:tcPr>
            <w:tcW w:w="1193" w:type="dxa"/>
            <w:vMerge/>
            <w:tcBorders>
              <w:top w:val="nil"/>
              <w:left w:val="single" w:sz="4" w:space="0" w:color="000000"/>
              <w:bottom w:val="single" w:sz="4" w:space="0" w:color="000000"/>
            </w:tcBorders>
          </w:tcPr>
          <w:p>
            <w:pPr>
              <w:rPr>
                <w:sz w:val="2"/>
                <w:szCs w:val="2"/>
              </w:rPr>
            </w:pPr>
          </w:p>
        </w:tc>
      </w:tr>
      <w:tr>
        <w:trPr>
          <w:trHeight w:val="467" w:hRule="atLeast"/>
        </w:trPr>
        <w:tc>
          <w:tcPr>
            <w:tcW w:w="1891" w:type="dxa"/>
            <w:tcBorders>
              <w:top w:val="single" w:sz="4" w:space="0" w:color="000000"/>
              <w:bottom w:val="single" w:sz="4" w:space="0" w:color="000000"/>
              <w:right w:val="single" w:sz="4" w:space="0" w:color="000000"/>
            </w:tcBorders>
          </w:tcPr>
          <w:p>
            <w:pPr>
              <w:pStyle w:val="TableParagraph"/>
              <w:ind w:left="107"/>
              <w:rPr>
                <w:rFonts w:ascii="宋体" w:eastAsia="宋体" w:hint="eastAsia"/>
                <w:sz w:val="18"/>
              </w:rPr>
            </w:pPr>
            <w:r>
              <w:rPr>
                <w:rFonts w:ascii="宋体" w:eastAsia="宋体" w:hint="eastAsia"/>
                <w:sz w:val="18"/>
              </w:rPr>
              <w:t>卧龙电气（济南）电</w:t>
            </w:r>
          </w:p>
          <w:p>
            <w:pPr>
              <w:pStyle w:val="TableParagraph"/>
              <w:spacing w:line="213" w:lineRule="exact" w:before="4"/>
              <w:ind w:left="107"/>
              <w:rPr>
                <w:rFonts w:ascii="宋体" w:eastAsia="宋体" w:hint="eastAsia"/>
                <w:sz w:val="18"/>
              </w:rPr>
            </w:pPr>
            <w:r>
              <w:rPr>
                <w:rFonts w:ascii="宋体" w:eastAsia="宋体" w:hint="eastAsia"/>
                <w:sz w:val="18"/>
              </w:rPr>
              <w:t>机有限公司</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143"/>
              <w:ind w:right="86"/>
              <w:jc w:val="right"/>
              <w:rPr>
                <w:sz w:val="15"/>
              </w:rPr>
            </w:pPr>
            <w:r>
              <w:rPr>
                <w:sz w:val="15"/>
              </w:rPr>
              <w:t>115,907,764.18</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before="143"/>
              <w:ind w:left="214" w:right="21"/>
              <w:jc w:val="center"/>
              <w:rPr>
                <w:sz w:val="15"/>
              </w:rPr>
            </w:pPr>
            <w:r>
              <w:rPr>
                <w:sz w:val="15"/>
              </w:rPr>
              <w:t>20,802,146.55</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before="143"/>
              <w:ind w:right="84"/>
              <w:jc w:val="right"/>
              <w:rPr>
                <w:sz w:val="15"/>
              </w:rPr>
            </w:pPr>
            <w:r>
              <w:rPr>
                <w:sz w:val="15"/>
              </w:rPr>
              <w:t>136,709,910.73</w:t>
            </w:r>
          </w:p>
        </w:tc>
        <w:tc>
          <w:tcPr>
            <w:tcW w:w="1193" w:type="dxa"/>
            <w:tcBorders>
              <w:top w:val="single" w:sz="4" w:space="0" w:color="000000"/>
              <w:left w:val="single" w:sz="4" w:space="0" w:color="000000"/>
              <w:bottom w:val="single" w:sz="4" w:space="0" w:color="000000"/>
            </w:tcBorders>
          </w:tcPr>
          <w:p>
            <w:pPr>
              <w:pStyle w:val="TableParagraph"/>
              <w:rPr>
                <w:sz w:val="16"/>
              </w:rPr>
            </w:pPr>
          </w:p>
        </w:tc>
      </w:tr>
      <w:tr>
        <w:trPr>
          <w:trHeight w:val="700" w:hRule="atLeast"/>
        </w:trPr>
        <w:tc>
          <w:tcPr>
            <w:tcW w:w="1891" w:type="dxa"/>
            <w:tcBorders>
              <w:top w:val="single" w:sz="4" w:space="0" w:color="000000"/>
              <w:bottom w:val="single" w:sz="4" w:space="0" w:color="000000"/>
              <w:right w:val="single" w:sz="4" w:space="0" w:color="000000"/>
            </w:tcBorders>
          </w:tcPr>
          <w:p>
            <w:pPr>
              <w:pStyle w:val="TableParagraph"/>
              <w:ind w:left="107"/>
              <w:rPr>
                <w:rFonts w:ascii="宋体" w:eastAsia="宋体" w:hint="eastAsia"/>
                <w:sz w:val="18"/>
              </w:rPr>
            </w:pPr>
            <w:r>
              <w:rPr>
                <w:rFonts w:ascii="宋体" w:eastAsia="宋体" w:hint="eastAsia"/>
                <w:sz w:val="18"/>
              </w:rPr>
              <w:t>青岛海尔赛富智慧家</w:t>
            </w:r>
          </w:p>
          <w:p>
            <w:pPr>
              <w:pStyle w:val="TableParagraph"/>
              <w:spacing w:line="230" w:lineRule="atLeast" w:before="2"/>
              <w:ind w:left="107" w:right="261"/>
              <w:rPr>
                <w:sz w:val="18"/>
              </w:rPr>
            </w:pPr>
            <w:r>
              <w:rPr>
                <w:rFonts w:ascii="宋体" w:eastAsia="宋体" w:hint="eastAsia"/>
                <w:sz w:val="18"/>
              </w:rPr>
              <w:t>庭创业投资中心</w:t>
            </w:r>
            <w:r>
              <w:rPr>
                <w:sz w:val="18"/>
              </w:rPr>
              <w:t>(</w:t>
            </w:r>
            <w:r>
              <w:rPr>
                <w:rFonts w:ascii="宋体" w:eastAsia="宋体" w:hint="eastAsia"/>
                <w:sz w:val="18"/>
              </w:rPr>
              <w:t>有限合伙</w:t>
            </w:r>
            <w:r>
              <w:rPr>
                <w:sz w:val="18"/>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1"/>
              <w:rPr>
                <w:rFonts w:ascii="宋体"/>
                <w:sz w:val="20"/>
              </w:rPr>
            </w:pPr>
          </w:p>
          <w:p>
            <w:pPr>
              <w:pStyle w:val="TableParagraph"/>
              <w:spacing w:before="1"/>
              <w:ind w:right="86"/>
              <w:jc w:val="right"/>
              <w:rPr>
                <w:sz w:val="15"/>
              </w:rPr>
            </w:pPr>
            <w:r>
              <w:rPr>
                <w:sz w:val="15"/>
              </w:rPr>
              <w:t>434,540,103.12</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before="1"/>
              <w:rPr>
                <w:rFonts w:ascii="宋体"/>
                <w:sz w:val="20"/>
              </w:rPr>
            </w:pPr>
          </w:p>
          <w:p>
            <w:pPr>
              <w:pStyle w:val="TableParagraph"/>
              <w:spacing w:before="1"/>
              <w:ind w:left="214" w:right="21"/>
              <w:jc w:val="center"/>
              <w:rPr>
                <w:sz w:val="15"/>
              </w:rPr>
            </w:pPr>
            <w:r>
              <w:rPr>
                <w:sz w:val="15"/>
              </w:rPr>
              <w:t>13,247,135.49</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before="1"/>
              <w:rPr>
                <w:rFonts w:ascii="宋体"/>
                <w:sz w:val="20"/>
              </w:rPr>
            </w:pPr>
          </w:p>
          <w:p>
            <w:pPr>
              <w:pStyle w:val="TableParagraph"/>
              <w:spacing w:before="1"/>
              <w:ind w:left="214" w:right="65"/>
              <w:jc w:val="center"/>
              <w:rPr>
                <w:sz w:val="15"/>
              </w:rPr>
            </w:pPr>
            <w:r>
              <w:rPr>
                <w:sz w:val="15"/>
              </w:rPr>
              <w:t>-61,990,201.88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before="1"/>
              <w:rPr>
                <w:rFonts w:ascii="宋体"/>
                <w:sz w:val="20"/>
              </w:rPr>
            </w:pPr>
          </w:p>
          <w:p>
            <w:pPr>
              <w:pStyle w:val="TableParagraph"/>
              <w:spacing w:before="1"/>
              <w:ind w:right="84"/>
              <w:jc w:val="right"/>
              <w:rPr>
                <w:sz w:val="15"/>
              </w:rPr>
            </w:pPr>
            <w:r>
              <w:rPr>
                <w:sz w:val="15"/>
              </w:rPr>
              <w:t>385,797,036.73</w:t>
            </w:r>
          </w:p>
        </w:tc>
        <w:tc>
          <w:tcPr>
            <w:tcW w:w="1193" w:type="dxa"/>
            <w:tcBorders>
              <w:top w:val="single" w:sz="4" w:space="0" w:color="000000"/>
              <w:left w:val="single" w:sz="4" w:space="0" w:color="000000"/>
              <w:bottom w:val="single" w:sz="4" w:space="0" w:color="000000"/>
            </w:tcBorders>
          </w:tcPr>
          <w:p>
            <w:pPr>
              <w:pStyle w:val="TableParagraph"/>
              <w:rPr>
                <w:sz w:val="16"/>
              </w:rPr>
            </w:pPr>
          </w:p>
        </w:tc>
      </w:tr>
      <w:tr>
        <w:trPr>
          <w:trHeight w:val="465" w:hRule="atLeast"/>
        </w:trPr>
        <w:tc>
          <w:tcPr>
            <w:tcW w:w="1891" w:type="dxa"/>
            <w:tcBorders>
              <w:top w:val="single" w:sz="4" w:space="0" w:color="000000"/>
              <w:bottom w:val="single" w:sz="4" w:space="0" w:color="000000"/>
              <w:right w:val="single" w:sz="4" w:space="0" w:color="000000"/>
            </w:tcBorders>
          </w:tcPr>
          <w:p>
            <w:pPr>
              <w:pStyle w:val="TableParagraph"/>
              <w:spacing w:line="230" w:lineRule="exact"/>
              <w:ind w:left="107"/>
              <w:rPr>
                <w:rFonts w:ascii="宋体" w:eastAsia="宋体" w:hint="eastAsia"/>
                <w:sz w:val="18"/>
              </w:rPr>
            </w:pPr>
            <w:r>
              <w:rPr>
                <w:rFonts w:ascii="宋体" w:eastAsia="宋体" w:hint="eastAsia"/>
                <w:sz w:val="18"/>
              </w:rPr>
              <w:t>青岛银行股份有限公</w:t>
            </w:r>
          </w:p>
          <w:p>
            <w:pPr>
              <w:pStyle w:val="TableParagraph"/>
              <w:spacing w:line="213" w:lineRule="exact" w:before="2"/>
              <w:ind w:left="107"/>
              <w:rPr>
                <w:rFonts w:ascii="宋体" w:eastAsia="宋体" w:hint="eastAsia"/>
                <w:sz w:val="18"/>
              </w:rPr>
            </w:pPr>
            <w:r>
              <w:rPr>
                <w:rFonts w:ascii="宋体" w:eastAsia="宋体" w:hint="eastAsia"/>
                <w:sz w:val="18"/>
              </w:rPr>
              <w:t>司</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140"/>
              <w:ind w:right="86"/>
              <w:jc w:val="right"/>
              <w:rPr>
                <w:sz w:val="15"/>
              </w:rPr>
            </w:pPr>
            <w:r>
              <w:rPr>
                <w:sz w:val="15"/>
              </w:rPr>
              <w:t>963,844,234.82</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before="140"/>
              <w:ind w:left="214" w:right="21"/>
              <w:jc w:val="center"/>
              <w:rPr>
                <w:sz w:val="15"/>
              </w:rPr>
            </w:pPr>
            <w:r>
              <w:rPr>
                <w:sz w:val="15"/>
              </w:rPr>
              <w:t>61,124,634.14</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before="140"/>
              <w:ind w:left="214" w:right="65"/>
              <w:jc w:val="center"/>
              <w:rPr>
                <w:sz w:val="15"/>
              </w:rPr>
            </w:pPr>
            <w:r>
              <w:rPr>
                <w:sz w:val="15"/>
              </w:rPr>
              <w:t>-49,212,843.14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before="140"/>
              <w:ind w:right="84"/>
              <w:jc w:val="right"/>
              <w:rPr>
                <w:sz w:val="15"/>
              </w:rPr>
            </w:pPr>
            <w:r>
              <w:rPr>
                <w:sz w:val="15"/>
              </w:rPr>
              <w:t>975,756,025.82</w:t>
            </w:r>
          </w:p>
        </w:tc>
        <w:tc>
          <w:tcPr>
            <w:tcW w:w="1193" w:type="dxa"/>
            <w:tcBorders>
              <w:top w:val="single" w:sz="4" w:space="0" w:color="000000"/>
              <w:left w:val="single" w:sz="4" w:space="0" w:color="000000"/>
              <w:bottom w:val="single" w:sz="4" w:space="0" w:color="000000"/>
            </w:tcBorders>
          </w:tcPr>
          <w:p>
            <w:pPr>
              <w:pStyle w:val="TableParagraph"/>
              <w:rPr>
                <w:sz w:val="16"/>
              </w:rPr>
            </w:pPr>
          </w:p>
        </w:tc>
      </w:tr>
      <w:tr>
        <w:trPr>
          <w:trHeight w:val="467" w:hRule="atLeast"/>
        </w:trPr>
        <w:tc>
          <w:tcPr>
            <w:tcW w:w="1891" w:type="dxa"/>
            <w:tcBorders>
              <w:top w:val="single" w:sz="4" w:space="0" w:color="000000"/>
              <w:bottom w:val="single" w:sz="4" w:space="0" w:color="000000"/>
              <w:right w:val="single" w:sz="4" w:space="0" w:color="000000"/>
            </w:tcBorders>
          </w:tcPr>
          <w:p>
            <w:pPr>
              <w:pStyle w:val="TableParagraph"/>
              <w:spacing w:line="230" w:lineRule="atLeast" w:before="2"/>
              <w:ind w:left="107" w:right="-15"/>
              <w:rPr>
                <w:rFonts w:ascii="宋体" w:eastAsia="宋体" w:hint="eastAsia"/>
                <w:sz w:val="18"/>
              </w:rPr>
            </w:pPr>
            <w:r>
              <w:rPr>
                <w:rFonts w:ascii="宋体" w:eastAsia="宋体" w:hint="eastAsia"/>
                <w:spacing w:val="-7"/>
                <w:sz w:val="18"/>
              </w:rPr>
              <w:t>三菱重工海尔</w:t>
            </w:r>
            <w:r>
              <w:rPr>
                <w:rFonts w:ascii="宋体" w:eastAsia="宋体" w:hint="eastAsia"/>
                <w:sz w:val="18"/>
              </w:rPr>
              <w:t>（青岛） 空调机有限公司</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143"/>
              <w:ind w:right="86"/>
              <w:jc w:val="right"/>
              <w:rPr>
                <w:sz w:val="15"/>
              </w:rPr>
            </w:pPr>
            <w:r>
              <w:rPr>
                <w:sz w:val="15"/>
              </w:rPr>
              <w:t>643,056,436.86</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before="143"/>
              <w:ind w:left="214" w:right="21"/>
              <w:jc w:val="center"/>
              <w:rPr>
                <w:sz w:val="15"/>
              </w:rPr>
            </w:pPr>
            <w:r>
              <w:rPr>
                <w:sz w:val="15"/>
              </w:rPr>
              <w:t>83,525,524.98</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before="143"/>
              <w:ind w:left="214" w:right="65"/>
              <w:jc w:val="center"/>
              <w:rPr>
                <w:sz w:val="15"/>
              </w:rPr>
            </w:pPr>
            <w:r>
              <w:rPr>
                <w:sz w:val="15"/>
              </w:rPr>
              <w:t>-72,000,000.00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before="143"/>
              <w:ind w:right="84"/>
              <w:jc w:val="right"/>
              <w:rPr>
                <w:sz w:val="15"/>
              </w:rPr>
            </w:pPr>
            <w:r>
              <w:rPr>
                <w:sz w:val="15"/>
              </w:rPr>
              <w:t>654,581,961.84</w:t>
            </w:r>
          </w:p>
        </w:tc>
        <w:tc>
          <w:tcPr>
            <w:tcW w:w="1193" w:type="dxa"/>
            <w:tcBorders>
              <w:top w:val="single" w:sz="4" w:space="0" w:color="000000"/>
              <w:left w:val="single" w:sz="4" w:space="0" w:color="000000"/>
              <w:bottom w:val="single" w:sz="4" w:space="0" w:color="000000"/>
            </w:tcBorders>
          </w:tcPr>
          <w:p>
            <w:pPr>
              <w:pStyle w:val="TableParagraph"/>
              <w:rPr>
                <w:sz w:val="16"/>
              </w:rPr>
            </w:pPr>
          </w:p>
        </w:tc>
      </w:tr>
      <w:tr>
        <w:trPr>
          <w:trHeight w:val="467" w:hRule="atLeast"/>
        </w:trPr>
        <w:tc>
          <w:tcPr>
            <w:tcW w:w="1891" w:type="dxa"/>
            <w:tcBorders>
              <w:top w:val="single" w:sz="4" w:space="0" w:color="000000"/>
              <w:bottom w:val="single" w:sz="4" w:space="0" w:color="000000"/>
              <w:right w:val="single" w:sz="4" w:space="0" w:color="000000"/>
            </w:tcBorders>
          </w:tcPr>
          <w:p>
            <w:pPr>
              <w:pStyle w:val="TableParagraph"/>
              <w:spacing w:line="230" w:lineRule="exact"/>
              <w:ind w:left="107"/>
              <w:rPr>
                <w:rFonts w:ascii="宋体" w:eastAsia="宋体" w:hint="eastAsia"/>
                <w:sz w:val="18"/>
              </w:rPr>
            </w:pPr>
            <w:r>
              <w:rPr>
                <w:rFonts w:ascii="宋体" w:eastAsia="宋体" w:hint="eastAsia"/>
                <w:sz w:val="18"/>
              </w:rPr>
              <w:t>青岛海尔开利冷冻设</w:t>
            </w:r>
          </w:p>
          <w:p>
            <w:pPr>
              <w:pStyle w:val="TableParagraph"/>
              <w:spacing w:line="213" w:lineRule="exact" w:before="4"/>
              <w:ind w:left="107"/>
              <w:rPr>
                <w:rFonts w:ascii="宋体" w:eastAsia="宋体" w:hint="eastAsia"/>
                <w:sz w:val="18"/>
              </w:rPr>
            </w:pPr>
            <w:r>
              <w:rPr>
                <w:rFonts w:ascii="宋体" w:eastAsia="宋体" w:hint="eastAsia"/>
                <w:sz w:val="18"/>
              </w:rPr>
              <w:t>备有限公司</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143"/>
              <w:ind w:right="86"/>
              <w:jc w:val="right"/>
              <w:rPr>
                <w:sz w:val="15"/>
              </w:rPr>
            </w:pPr>
            <w:r>
              <w:rPr>
                <w:sz w:val="15"/>
              </w:rPr>
              <w:t>395,933,487.26</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before="143"/>
              <w:ind w:left="214" w:right="21"/>
              <w:jc w:val="center"/>
              <w:rPr>
                <w:sz w:val="15"/>
              </w:rPr>
            </w:pPr>
            <w:r>
              <w:rPr>
                <w:sz w:val="15"/>
              </w:rPr>
              <w:t>19,364,678.67</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before="143"/>
              <w:ind w:right="84"/>
              <w:jc w:val="right"/>
              <w:rPr>
                <w:sz w:val="15"/>
              </w:rPr>
            </w:pPr>
            <w:r>
              <w:rPr>
                <w:sz w:val="15"/>
              </w:rPr>
              <w:t>415,298,165.93</w:t>
            </w:r>
          </w:p>
        </w:tc>
        <w:tc>
          <w:tcPr>
            <w:tcW w:w="1193" w:type="dxa"/>
            <w:tcBorders>
              <w:top w:val="single" w:sz="4" w:space="0" w:color="000000"/>
              <w:left w:val="single" w:sz="4" w:space="0" w:color="000000"/>
              <w:bottom w:val="single" w:sz="4" w:space="0" w:color="000000"/>
            </w:tcBorders>
          </w:tcPr>
          <w:p>
            <w:pPr>
              <w:pStyle w:val="TableParagraph"/>
              <w:spacing w:before="143"/>
              <w:ind w:right="73"/>
              <w:jc w:val="right"/>
              <w:rPr>
                <w:sz w:val="15"/>
              </w:rPr>
            </w:pPr>
            <w:r>
              <w:rPr>
                <w:sz w:val="15"/>
              </w:rPr>
              <w:t>21,000,000.00</w:t>
            </w:r>
          </w:p>
        </w:tc>
      </w:tr>
      <w:tr>
        <w:trPr>
          <w:trHeight w:val="468" w:hRule="atLeast"/>
        </w:trPr>
        <w:tc>
          <w:tcPr>
            <w:tcW w:w="1891" w:type="dxa"/>
            <w:tcBorders>
              <w:top w:val="single" w:sz="4" w:space="0" w:color="000000"/>
              <w:bottom w:val="single" w:sz="4" w:space="0" w:color="000000"/>
              <w:right w:val="single" w:sz="4" w:space="0" w:color="000000"/>
            </w:tcBorders>
          </w:tcPr>
          <w:p>
            <w:pPr>
              <w:pStyle w:val="TableParagraph"/>
              <w:ind w:left="107"/>
              <w:rPr>
                <w:rFonts w:ascii="宋体" w:eastAsia="宋体" w:hint="eastAsia"/>
                <w:sz w:val="18"/>
              </w:rPr>
            </w:pPr>
            <w:r>
              <w:rPr>
                <w:rFonts w:ascii="宋体" w:eastAsia="宋体" w:hint="eastAsia"/>
                <w:sz w:val="18"/>
              </w:rPr>
              <w:t>青岛海尔多媒体有限</w:t>
            </w:r>
          </w:p>
          <w:p>
            <w:pPr>
              <w:pStyle w:val="TableParagraph"/>
              <w:spacing w:line="215" w:lineRule="exact" w:before="2"/>
              <w:ind w:left="107"/>
              <w:rPr>
                <w:rFonts w:ascii="宋体" w:eastAsia="宋体" w:hint="eastAsia"/>
                <w:sz w:val="18"/>
              </w:rPr>
            </w:pPr>
            <w:r>
              <w:rPr>
                <w:rFonts w:ascii="宋体" w:eastAsia="宋体" w:hint="eastAsia"/>
                <w:sz w:val="18"/>
              </w:rPr>
              <w:t>公司</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141"/>
              <w:ind w:right="86"/>
              <w:jc w:val="right"/>
              <w:rPr>
                <w:sz w:val="15"/>
              </w:rPr>
            </w:pPr>
            <w:r>
              <w:rPr>
                <w:sz w:val="15"/>
              </w:rPr>
              <w:t>432,386,801.25</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before="141"/>
              <w:ind w:left="133" w:right="65"/>
              <w:jc w:val="center"/>
              <w:rPr>
                <w:sz w:val="15"/>
              </w:rPr>
            </w:pPr>
            <w:r>
              <w:rPr>
                <w:sz w:val="15"/>
              </w:rPr>
              <w:t>-103,399,596.19</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before="141"/>
              <w:ind w:right="84"/>
              <w:jc w:val="right"/>
              <w:rPr>
                <w:sz w:val="15"/>
              </w:rPr>
            </w:pPr>
            <w:r>
              <w:rPr>
                <w:sz w:val="15"/>
              </w:rPr>
              <w:t>328,987,205.06</w:t>
            </w:r>
          </w:p>
        </w:tc>
        <w:tc>
          <w:tcPr>
            <w:tcW w:w="1193" w:type="dxa"/>
            <w:tcBorders>
              <w:top w:val="single" w:sz="4" w:space="0" w:color="000000"/>
              <w:left w:val="single" w:sz="4" w:space="0" w:color="000000"/>
              <w:bottom w:val="single" w:sz="4" w:space="0" w:color="000000"/>
            </w:tcBorders>
          </w:tcPr>
          <w:p>
            <w:pPr>
              <w:pStyle w:val="TableParagraph"/>
              <w:spacing w:before="141"/>
              <w:ind w:right="73"/>
              <w:jc w:val="right"/>
              <w:rPr>
                <w:sz w:val="15"/>
              </w:rPr>
            </w:pPr>
            <w:r>
              <w:rPr>
                <w:sz w:val="15"/>
              </w:rPr>
              <w:t>88,300,000.00</w:t>
            </w:r>
          </w:p>
        </w:tc>
      </w:tr>
      <w:tr>
        <w:trPr>
          <w:trHeight w:val="465" w:hRule="atLeast"/>
        </w:trPr>
        <w:tc>
          <w:tcPr>
            <w:tcW w:w="1891" w:type="dxa"/>
            <w:tcBorders>
              <w:top w:val="single" w:sz="4" w:space="0" w:color="000000"/>
              <w:bottom w:val="single" w:sz="4" w:space="0" w:color="000000"/>
              <w:right w:val="single" w:sz="4" w:space="0" w:color="000000"/>
            </w:tcBorders>
          </w:tcPr>
          <w:p>
            <w:pPr>
              <w:pStyle w:val="TableParagraph"/>
              <w:ind w:left="107"/>
              <w:rPr>
                <w:rFonts w:ascii="宋体" w:eastAsia="宋体" w:hint="eastAsia"/>
                <w:sz w:val="18"/>
              </w:rPr>
            </w:pPr>
            <w:r>
              <w:rPr>
                <w:rFonts w:ascii="宋体" w:eastAsia="宋体" w:hint="eastAsia"/>
                <w:sz w:val="18"/>
              </w:rPr>
              <w:t>青岛河钢新材料科技</w:t>
            </w:r>
          </w:p>
          <w:p>
            <w:pPr>
              <w:pStyle w:val="TableParagraph"/>
              <w:spacing w:line="213" w:lineRule="exact" w:before="2"/>
              <w:ind w:left="107"/>
              <w:rPr>
                <w:rFonts w:ascii="宋体" w:eastAsia="宋体" w:hint="eastAsia"/>
                <w:sz w:val="18"/>
              </w:rPr>
            </w:pPr>
            <w:r>
              <w:rPr>
                <w:rFonts w:ascii="宋体" w:eastAsia="宋体" w:hint="eastAsia"/>
                <w:sz w:val="18"/>
              </w:rPr>
              <w:t>股份有限公司</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140"/>
              <w:ind w:right="86"/>
              <w:jc w:val="right"/>
              <w:rPr>
                <w:sz w:val="15"/>
              </w:rPr>
            </w:pPr>
            <w:r>
              <w:rPr>
                <w:sz w:val="15"/>
              </w:rPr>
              <w:t>260,958,509.23</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before="140"/>
              <w:ind w:left="214" w:right="21"/>
              <w:jc w:val="center"/>
              <w:rPr>
                <w:sz w:val="15"/>
              </w:rPr>
            </w:pPr>
            <w:r>
              <w:rPr>
                <w:sz w:val="15"/>
              </w:rPr>
              <w:t>17,091,162.05</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rPr>
                <w:sz w:val="16"/>
              </w:rPr>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before="140"/>
              <w:ind w:right="84"/>
              <w:jc w:val="right"/>
              <w:rPr>
                <w:sz w:val="15"/>
              </w:rPr>
            </w:pPr>
            <w:r>
              <w:rPr>
                <w:sz w:val="15"/>
              </w:rPr>
              <w:t>278,049,671.28</w:t>
            </w:r>
          </w:p>
        </w:tc>
        <w:tc>
          <w:tcPr>
            <w:tcW w:w="1193" w:type="dxa"/>
            <w:tcBorders>
              <w:top w:val="single" w:sz="4" w:space="0" w:color="000000"/>
              <w:left w:val="single" w:sz="4" w:space="0" w:color="000000"/>
              <w:bottom w:val="single" w:sz="4" w:space="0" w:color="000000"/>
            </w:tcBorders>
          </w:tcPr>
          <w:p>
            <w:pPr>
              <w:pStyle w:val="TableParagraph"/>
              <w:rPr>
                <w:sz w:val="16"/>
              </w:rPr>
            </w:pPr>
          </w:p>
        </w:tc>
      </w:tr>
      <w:tr>
        <w:trPr>
          <w:trHeight w:val="368" w:hRule="atLeast"/>
        </w:trPr>
        <w:tc>
          <w:tcPr>
            <w:tcW w:w="1891" w:type="dxa"/>
            <w:tcBorders>
              <w:top w:val="single" w:sz="4" w:space="0" w:color="000000"/>
              <w:right w:val="single" w:sz="4" w:space="0" w:color="000000"/>
            </w:tcBorders>
          </w:tcPr>
          <w:p>
            <w:pPr>
              <w:pStyle w:val="TableParagraph"/>
              <w:spacing w:before="69"/>
              <w:ind w:left="744" w:right="726"/>
              <w:jc w:val="center"/>
              <w:rPr>
                <w:rFonts w:ascii="宋体" w:eastAsia="宋体" w:hint="eastAsia"/>
                <w:sz w:val="18"/>
              </w:rPr>
            </w:pPr>
            <w:r>
              <w:rPr>
                <w:rFonts w:ascii="宋体" w:eastAsia="宋体" w:hint="eastAsia"/>
                <w:sz w:val="18"/>
              </w:rPr>
              <w:t>合计</w:t>
            </w:r>
          </w:p>
        </w:tc>
        <w:tc>
          <w:tcPr>
            <w:tcW w:w="1308" w:type="dxa"/>
            <w:tcBorders>
              <w:top w:val="single" w:sz="4" w:space="0" w:color="000000"/>
              <w:left w:val="single" w:sz="4" w:space="0" w:color="000000"/>
              <w:right w:val="single" w:sz="4" w:space="0" w:color="000000"/>
            </w:tcBorders>
          </w:tcPr>
          <w:p>
            <w:pPr>
              <w:pStyle w:val="TableParagraph"/>
              <w:spacing w:before="92"/>
              <w:ind w:right="86"/>
              <w:jc w:val="right"/>
              <w:rPr>
                <w:sz w:val="15"/>
              </w:rPr>
            </w:pPr>
            <w:r>
              <w:rPr>
                <w:sz w:val="15"/>
              </w:rPr>
              <w:t>3,246,627,336.72</w:t>
            </w:r>
          </w:p>
        </w:tc>
        <w:tc>
          <w:tcPr>
            <w:tcW w:w="1307" w:type="dxa"/>
            <w:tcBorders>
              <w:top w:val="single" w:sz="4" w:space="0" w:color="000000"/>
              <w:left w:val="single" w:sz="4" w:space="0" w:color="000000"/>
              <w:right w:val="single" w:sz="4" w:space="0" w:color="000000"/>
            </w:tcBorders>
          </w:tcPr>
          <w:p>
            <w:pPr>
              <w:pStyle w:val="TableParagraph"/>
              <w:rPr>
                <w:sz w:val="16"/>
              </w:rPr>
            </w:pPr>
          </w:p>
        </w:tc>
        <w:tc>
          <w:tcPr>
            <w:tcW w:w="1243" w:type="dxa"/>
            <w:tcBorders>
              <w:top w:val="single" w:sz="4" w:space="0" w:color="000000"/>
              <w:left w:val="single" w:sz="4" w:space="0" w:color="000000"/>
              <w:right w:val="single" w:sz="4" w:space="0" w:color="000000"/>
            </w:tcBorders>
          </w:tcPr>
          <w:p>
            <w:pPr>
              <w:pStyle w:val="TableParagraph"/>
              <w:spacing w:before="92"/>
              <w:ind w:left="136" w:right="20"/>
              <w:jc w:val="center"/>
              <w:rPr>
                <w:sz w:val="15"/>
              </w:rPr>
            </w:pPr>
            <w:r>
              <w:rPr>
                <w:sz w:val="15"/>
              </w:rPr>
              <w:t>111,755,685.69</w:t>
            </w:r>
          </w:p>
        </w:tc>
        <w:tc>
          <w:tcPr>
            <w:tcW w:w="1243" w:type="dxa"/>
            <w:tcBorders>
              <w:top w:val="single" w:sz="4" w:space="0" w:color="000000"/>
              <w:left w:val="single" w:sz="4" w:space="0" w:color="000000"/>
              <w:right w:val="single" w:sz="4" w:space="0" w:color="000000"/>
            </w:tcBorders>
          </w:tcPr>
          <w:p>
            <w:pPr>
              <w:pStyle w:val="TableParagraph"/>
              <w:spacing w:before="92"/>
              <w:ind w:left="136" w:right="62"/>
              <w:jc w:val="center"/>
              <w:rPr>
                <w:sz w:val="15"/>
              </w:rPr>
            </w:pPr>
            <w:r>
              <w:rPr>
                <w:sz w:val="15"/>
              </w:rPr>
              <w:t>-183,203,045.02</w:t>
            </w:r>
          </w:p>
        </w:tc>
        <w:tc>
          <w:tcPr>
            <w:tcW w:w="1318" w:type="dxa"/>
            <w:tcBorders>
              <w:top w:val="single" w:sz="4" w:space="0" w:color="000000"/>
              <w:left w:val="single" w:sz="4" w:space="0" w:color="000000"/>
              <w:right w:val="single" w:sz="4" w:space="0" w:color="000000"/>
            </w:tcBorders>
          </w:tcPr>
          <w:p>
            <w:pPr>
              <w:pStyle w:val="TableParagraph"/>
              <w:spacing w:before="92"/>
              <w:ind w:right="84"/>
              <w:jc w:val="right"/>
              <w:rPr>
                <w:sz w:val="15"/>
              </w:rPr>
            </w:pPr>
            <w:r>
              <w:rPr>
                <w:sz w:val="15"/>
              </w:rPr>
              <w:t>3,175,179,977.39</w:t>
            </w:r>
          </w:p>
        </w:tc>
        <w:tc>
          <w:tcPr>
            <w:tcW w:w="1193" w:type="dxa"/>
            <w:tcBorders>
              <w:top w:val="single" w:sz="4" w:space="0" w:color="000000"/>
              <w:left w:val="single" w:sz="4" w:space="0" w:color="000000"/>
            </w:tcBorders>
          </w:tcPr>
          <w:p>
            <w:pPr>
              <w:pStyle w:val="TableParagraph"/>
              <w:spacing w:before="92"/>
              <w:ind w:right="73"/>
              <w:jc w:val="right"/>
              <w:rPr>
                <w:sz w:val="15"/>
              </w:rPr>
            </w:pPr>
            <w:r>
              <w:rPr>
                <w:sz w:val="15"/>
              </w:rPr>
              <w:t>109,300,000.00</w:t>
            </w:r>
          </w:p>
        </w:tc>
      </w:tr>
    </w:tbl>
    <w:p>
      <w:pPr>
        <w:pStyle w:val="BodyText"/>
        <w:spacing w:line="265" w:lineRule="exact" w:before="4"/>
        <w:ind w:left="1538"/>
      </w:pPr>
      <w:r>
        <w:rPr>
          <w:w w:val="100"/>
        </w:rPr>
        <w:t> </w:t>
      </w:r>
    </w:p>
    <w:p>
      <w:pPr>
        <w:pStyle w:val="Heading4"/>
        <w:spacing w:line="356" w:lineRule="exact"/>
      </w:pPr>
      <w:r>
        <w:rPr>
          <w:rFonts w:ascii="Times New Roman" w:eastAsia="Times New Roman"/>
        </w:rPr>
        <w:t>4</w:t>
      </w:r>
      <w:r>
        <w:rPr/>
        <w:t>、 营业收入和营业成本</w:t>
      </w:r>
    </w:p>
    <w:p>
      <w:pPr>
        <w:pStyle w:val="Heading4"/>
        <w:spacing w:line="360" w:lineRule="exact"/>
      </w:pPr>
      <w:r>
        <w:rPr>
          <w:rFonts w:ascii="Times New Roman" w:eastAsia="Times New Roman"/>
        </w:rPr>
        <w:t>(1). </w:t>
      </w:r>
      <w:r>
        <w:rPr/>
        <w:t>营业收入和营业成本情况</w:t>
      </w:r>
    </w:p>
    <w:p>
      <w:pPr>
        <w:pStyle w:val="BodyText"/>
        <w:tabs>
          <w:tab w:pos="2805" w:val="left" w:leader="none"/>
        </w:tabs>
        <w:spacing w:before="15"/>
        <w:ind w:left="1962"/>
      </w:pPr>
      <w:r>
        <w:rPr/>
        <w:t>√适用</w:t>
        <w:tab/>
      </w:r>
      <w:r>
        <w:rPr>
          <w:spacing w:val="-3"/>
        </w:rPr>
        <w:t>□</w:t>
      </w:r>
      <w:r>
        <w:rPr/>
        <w:t>不</w:t>
      </w:r>
      <w:r>
        <w:rPr>
          <w:spacing w:val="-3"/>
        </w:rPr>
        <w:t>适</w:t>
      </w:r>
      <w:r>
        <w:rPr/>
        <w:t>用</w:t>
      </w:r>
    </w:p>
    <w:p>
      <w:pPr>
        <w:pStyle w:val="BodyText"/>
        <w:tabs>
          <w:tab w:pos="9111" w:val="left" w:leader="none"/>
        </w:tabs>
        <w:spacing w:before="4"/>
        <w:ind w:left="8059"/>
      </w:pPr>
      <w:r>
        <w:rPr/>
        <w:t>单位：元</w:t>
        <w:tab/>
        <w:t>币</w:t>
      </w:r>
      <w:r>
        <w:rPr>
          <w:spacing w:val="-3"/>
        </w:rPr>
        <w:t>种</w:t>
      </w:r>
      <w:r>
        <w:rPr/>
        <w:t>：</w:t>
      </w:r>
      <w:r>
        <w:rPr>
          <w:spacing w:val="-3"/>
        </w:rPr>
        <w:t>人</w:t>
      </w:r>
      <w:r>
        <w:rPr/>
        <w:t>民币</w:t>
      </w:r>
    </w:p>
    <w:tbl>
      <w:tblPr>
        <w:tblW w:w="0" w:type="auto"/>
        <w:jc w:val="left"/>
        <w:tblInd w:w="14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05"/>
        <w:gridCol w:w="1688"/>
        <w:gridCol w:w="1686"/>
        <w:gridCol w:w="1689"/>
        <w:gridCol w:w="1686"/>
      </w:tblGrid>
      <w:tr>
        <w:trPr>
          <w:trHeight w:val="272" w:hRule="atLeast"/>
        </w:trPr>
        <w:tc>
          <w:tcPr>
            <w:tcW w:w="2305" w:type="dxa"/>
            <w:vMerge w:val="restart"/>
            <w:tcBorders>
              <w:bottom w:val="single" w:sz="4" w:space="0" w:color="000000"/>
              <w:right w:val="single" w:sz="4" w:space="0" w:color="000000"/>
            </w:tcBorders>
          </w:tcPr>
          <w:p>
            <w:pPr>
              <w:pStyle w:val="TableParagraph"/>
              <w:spacing w:before="142"/>
              <w:ind w:left="921" w:right="904"/>
              <w:jc w:val="center"/>
              <w:rPr>
                <w:rFonts w:ascii="宋体" w:eastAsia="宋体" w:hint="eastAsia"/>
                <w:sz w:val="21"/>
              </w:rPr>
            </w:pPr>
            <w:r>
              <w:rPr>
                <w:rFonts w:ascii="宋体" w:eastAsia="宋体" w:hint="eastAsia"/>
                <w:sz w:val="21"/>
              </w:rPr>
              <w:t>项目</w:t>
            </w:r>
          </w:p>
        </w:tc>
        <w:tc>
          <w:tcPr>
            <w:tcW w:w="3374" w:type="dxa"/>
            <w:gridSpan w:val="2"/>
            <w:tcBorders>
              <w:left w:val="single" w:sz="4" w:space="0" w:color="000000"/>
              <w:bottom w:val="single" w:sz="4" w:space="0" w:color="000000"/>
              <w:right w:val="single" w:sz="4" w:space="0" w:color="000000"/>
            </w:tcBorders>
          </w:tcPr>
          <w:p>
            <w:pPr>
              <w:pStyle w:val="TableParagraph"/>
              <w:spacing w:line="250" w:lineRule="exact" w:before="3"/>
              <w:ind w:left="1149" w:right="1124"/>
              <w:jc w:val="center"/>
              <w:rPr>
                <w:rFonts w:ascii="宋体" w:eastAsia="宋体" w:hint="eastAsia"/>
                <w:sz w:val="21"/>
              </w:rPr>
            </w:pPr>
            <w:r>
              <w:rPr>
                <w:rFonts w:ascii="宋体" w:eastAsia="宋体" w:hint="eastAsia"/>
                <w:sz w:val="21"/>
              </w:rPr>
              <w:t>本期发生额</w:t>
            </w:r>
          </w:p>
        </w:tc>
        <w:tc>
          <w:tcPr>
            <w:tcW w:w="3375" w:type="dxa"/>
            <w:gridSpan w:val="2"/>
            <w:tcBorders>
              <w:left w:val="single" w:sz="4" w:space="0" w:color="000000"/>
              <w:bottom w:val="single" w:sz="4" w:space="0" w:color="000000"/>
            </w:tcBorders>
          </w:tcPr>
          <w:p>
            <w:pPr>
              <w:pStyle w:val="TableParagraph"/>
              <w:spacing w:line="250" w:lineRule="exact" w:before="3"/>
              <w:ind w:left="1148" w:right="1117"/>
              <w:jc w:val="center"/>
              <w:rPr>
                <w:rFonts w:ascii="宋体" w:eastAsia="宋体" w:hint="eastAsia"/>
                <w:sz w:val="21"/>
              </w:rPr>
            </w:pPr>
            <w:r>
              <w:rPr>
                <w:rFonts w:ascii="宋体" w:eastAsia="宋体" w:hint="eastAsia"/>
                <w:sz w:val="21"/>
              </w:rPr>
              <w:t>上期发生额</w:t>
            </w:r>
          </w:p>
        </w:tc>
      </w:tr>
      <w:tr>
        <w:trPr>
          <w:trHeight w:val="273" w:hRule="atLeast"/>
        </w:trPr>
        <w:tc>
          <w:tcPr>
            <w:tcW w:w="2305" w:type="dxa"/>
            <w:vMerge/>
            <w:tcBorders>
              <w:top w:val="nil"/>
              <w:bottom w:val="single" w:sz="4" w:space="0" w:color="000000"/>
              <w:right w:val="single" w:sz="4" w:space="0" w:color="000000"/>
            </w:tcBorders>
          </w:tcPr>
          <w:p>
            <w:pPr>
              <w:rPr>
                <w:sz w:val="2"/>
                <w:szCs w:val="2"/>
              </w:rPr>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12" w:right="83"/>
              <w:jc w:val="center"/>
              <w:rPr>
                <w:rFonts w:ascii="宋体" w:eastAsia="宋体" w:hint="eastAsia"/>
                <w:sz w:val="21"/>
              </w:rPr>
            </w:pPr>
            <w:r>
              <w:rPr>
                <w:rFonts w:ascii="宋体" w:eastAsia="宋体" w:hint="eastAsia"/>
                <w:sz w:val="21"/>
              </w:rPr>
              <w:t>收入</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623" w:right="593"/>
              <w:jc w:val="center"/>
              <w:rPr>
                <w:rFonts w:ascii="宋体" w:eastAsia="宋体" w:hint="eastAsia"/>
                <w:sz w:val="21"/>
              </w:rPr>
            </w:pPr>
            <w:r>
              <w:rPr>
                <w:rFonts w:ascii="宋体" w:eastAsia="宋体" w:hint="eastAsia"/>
                <w:sz w:val="21"/>
              </w:rPr>
              <w:t>成本</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left="193" w:right="168"/>
              <w:jc w:val="center"/>
              <w:rPr>
                <w:rFonts w:ascii="宋体" w:eastAsia="宋体" w:hint="eastAsia"/>
                <w:sz w:val="21"/>
              </w:rPr>
            </w:pPr>
            <w:r>
              <w:rPr>
                <w:rFonts w:ascii="宋体" w:eastAsia="宋体" w:hint="eastAsia"/>
                <w:sz w:val="21"/>
              </w:rPr>
              <w:t>收入</w:t>
            </w:r>
          </w:p>
        </w:tc>
        <w:tc>
          <w:tcPr>
            <w:tcW w:w="1686" w:type="dxa"/>
            <w:tcBorders>
              <w:top w:val="single" w:sz="4" w:space="0" w:color="000000"/>
              <w:left w:val="single" w:sz="4" w:space="0" w:color="000000"/>
              <w:bottom w:val="single" w:sz="4" w:space="0" w:color="000000"/>
            </w:tcBorders>
          </w:tcPr>
          <w:p>
            <w:pPr>
              <w:pStyle w:val="TableParagraph"/>
              <w:spacing w:line="252" w:lineRule="exact" w:before="1"/>
              <w:ind w:left="620" w:right="585"/>
              <w:jc w:val="center"/>
              <w:rPr>
                <w:rFonts w:ascii="宋体" w:eastAsia="宋体" w:hint="eastAsia"/>
                <w:sz w:val="21"/>
              </w:rPr>
            </w:pPr>
            <w:r>
              <w:rPr>
                <w:rFonts w:ascii="宋体" w:eastAsia="宋体" w:hint="eastAsia"/>
                <w:sz w:val="21"/>
              </w:rPr>
              <w:t>成本</w:t>
            </w:r>
          </w:p>
        </w:tc>
      </w:tr>
      <w:tr>
        <w:trPr>
          <w:trHeight w:val="271" w:hRule="atLeast"/>
        </w:trPr>
        <w:tc>
          <w:tcPr>
            <w:tcW w:w="2305" w:type="dxa"/>
            <w:tcBorders>
              <w:top w:val="single" w:sz="4" w:space="0" w:color="000000"/>
              <w:bottom w:val="single" w:sz="4" w:space="0" w:color="000000"/>
              <w:right w:val="single" w:sz="4" w:space="0" w:color="000000"/>
            </w:tcBorders>
          </w:tcPr>
          <w:p>
            <w:pPr>
              <w:pStyle w:val="TableParagraph"/>
              <w:spacing w:line="250" w:lineRule="exact" w:before="1"/>
              <w:ind w:left="107"/>
              <w:rPr>
                <w:rFonts w:ascii="宋体" w:eastAsia="宋体" w:hint="eastAsia"/>
                <w:sz w:val="21"/>
              </w:rPr>
            </w:pPr>
            <w:r>
              <w:rPr>
                <w:rFonts w:ascii="宋体" w:eastAsia="宋体" w:hint="eastAsia"/>
                <w:sz w:val="21"/>
              </w:rPr>
              <w:t>主营业务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5"/>
              <w:jc w:val="right"/>
              <w:rPr>
                <w:sz w:val="21"/>
              </w:rPr>
            </w:pPr>
            <w:r>
              <w:rPr>
                <w:sz w:val="21"/>
              </w:rPr>
              <w:t>7,221,635,652.63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4"/>
              <w:jc w:val="right"/>
              <w:rPr>
                <w:sz w:val="21"/>
              </w:rPr>
            </w:pPr>
            <w:r>
              <w:rPr>
                <w:sz w:val="21"/>
              </w:rPr>
              <w:t>5,941,477,236.22</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7"/>
              <w:jc w:val="right"/>
              <w:rPr>
                <w:sz w:val="21"/>
              </w:rPr>
            </w:pPr>
            <w:r>
              <w:rPr>
                <w:sz w:val="21"/>
              </w:rPr>
              <w:t>6,466,328,591.49</w:t>
            </w:r>
          </w:p>
        </w:tc>
        <w:tc>
          <w:tcPr>
            <w:tcW w:w="1686"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5,016,605,810.47</w:t>
            </w:r>
          </w:p>
        </w:tc>
      </w:tr>
      <w:tr>
        <w:trPr>
          <w:trHeight w:val="273" w:hRule="atLeast"/>
        </w:trPr>
        <w:tc>
          <w:tcPr>
            <w:tcW w:w="2305" w:type="dxa"/>
            <w:tcBorders>
              <w:top w:val="single" w:sz="4" w:space="0" w:color="000000"/>
              <w:bottom w:val="single" w:sz="4" w:space="0" w:color="000000"/>
              <w:right w:val="single" w:sz="4" w:space="0" w:color="000000"/>
            </w:tcBorders>
          </w:tcPr>
          <w:p>
            <w:pPr>
              <w:pStyle w:val="TableParagraph"/>
              <w:spacing w:line="252" w:lineRule="exact" w:before="1"/>
              <w:ind w:left="107"/>
              <w:rPr>
                <w:rFonts w:ascii="宋体" w:eastAsia="宋体" w:hint="eastAsia"/>
                <w:sz w:val="21"/>
              </w:rPr>
            </w:pPr>
            <w:r>
              <w:rPr>
                <w:rFonts w:ascii="宋体" w:eastAsia="宋体" w:hint="eastAsia"/>
                <w:sz w:val="21"/>
              </w:rPr>
              <w:t>其他业务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5"/>
              <w:jc w:val="right"/>
              <w:rPr>
                <w:sz w:val="21"/>
              </w:rPr>
            </w:pPr>
            <w:r>
              <w:rPr>
                <w:sz w:val="21"/>
              </w:rPr>
              <w:t>146,005,360.76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4"/>
              <w:jc w:val="right"/>
              <w:rPr>
                <w:sz w:val="21"/>
              </w:rPr>
            </w:pPr>
            <w:r>
              <w:rPr>
                <w:sz w:val="21"/>
              </w:rPr>
              <w:t>126,176,580.13</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7"/>
              <w:jc w:val="right"/>
              <w:rPr>
                <w:sz w:val="21"/>
              </w:rPr>
            </w:pPr>
            <w:r>
              <w:rPr>
                <w:sz w:val="21"/>
              </w:rPr>
              <w:t>171,526,897.13</w:t>
            </w:r>
          </w:p>
        </w:tc>
        <w:tc>
          <w:tcPr>
            <w:tcW w:w="1686" w:type="dxa"/>
            <w:tcBorders>
              <w:top w:val="single" w:sz="4" w:space="0" w:color="000000"/>
              <w:left w:val="single" w:sz="4" w:space="0" w:color="000000"/>
              <w:bottom w:val="single" w:sz="4" w:space="0" w:color="000000"/>
            </w:tcBorders>
          </w:tcPr>
          <w:p>
            <w:pPr>
              <w:pStyle w:val="TableParagraph"/>
              <w:spacing w:line="235" w:lineRule="exact"/>
              <w:ind w:right="76"/>
              <w:jc w:val="right"/>
              <w:rPr>
                <w:sz w:val="21"/>
              </w:rPr>
            </w:pPr>
            <w:r>
              <w:rPr>
                <w:sz w:val="21"/>
              </w:rPr>
              <w:t>144,140,329.73</w:t>
            </w:r>
          </w:p>
        </w:tc>
      </w:tr>
      <w:tr>
        <w:trPr>
          <w:trHeight w:val="270" w:hRule="atLeast"/>
        </w:trPr>
        <w:tc>
          <w:tcPr>
            <w:tcW w:w="2305" w:type="dxa"/>
            <w:tcBorders>
              <w:top w:val="single" w:sz="4" w:space="0" w:color="000000"/>
              <w:right w:val="single" w:sz="4" w:space="0" w:color="000000"/>
            </w:tcBorders>
          </w:tcPr>
          <w:p>
            <w:pPr>
              <w:pStyle w:val="TableParagraph"/>
              <w:spacing w:line="249" w:lineRule="exact" w:before="1"/>
              <w:ind w:left="921" w:right="904"/>
              <w:jc w:val="center"/>
              <w:rPr>
                <w:rFonts w:ascii="宋体" w:eastAsia="宋体" w:hint="eastAsia"/>
                <w:sz w:val="21"/>
              </w:rPr>
            </w:pPr>
            <w:r>
              <w:rPr>
                <w:rFonts w:ascii="宋体" w:eastAsia="宋体" w:hint="eastAsia"/>
                <w:sz w:val="21"/>
              </w:rPr>
              <w:t>合计</w:t>
            </w:r>
          </w:p>
        </w:tc>
        <w:tc>
          <w:tcPr>
            <w:tcW w:w="1688" w:type="dxa"/>
            <w:tcBorders>
              <w:top w:val="single" w:sz="4" w:space="0" w:color="000000"/>
              <w:left w:val="single" w:sz="4" w:space="0" w:color="000000"/>
              <w:right w:val="single" w:sz="4" w:space="0" w:color="000000"/>
            </w:tcBorders>
          </w:tcPr>
          <w:p>
            <w:pPr>
              <w:pStyle w:val="TableParagraph"/>
              <w:spacing w:line="235" w:lineRule="exact"/>
              <w:ind w:right="85"/>
              <w:jc w:val="right"/>
              <w:rPr>
                <w:sz w:val="21"/>
              </w:rPr>
            </w:pPr>
            <w:r>
              <w:rPr>
                <w:sz w:val="21"/>
              </w:rPr>
              <w:t>7,367,641,013.39</w:t>
            </w:r>
          </w:p>
        </w:tc>
        <w:tc>
          <w:tcPr>
            <w:tcW w:w="1686" w:type="dxa"/>
            <w:tcBorders>
              <w:top w:val="single" w:sz="4" w:space="0" w:color="000000"/>
              <w:left w:val="single" w:sz="4" w:space="0" w:color="000000"/>
              <w:right w:val="single" w:sz="4" w:space="0" w:color="000000"/>
            </w:tcBorders>
          </w:tcPr>
          <w:p>
            <w:pPr>
              <w:pStyle w:val="TableParagraph"/>
              <w:spacing w:line="235" w:lineRule="exact"/>
              <w:ind w:right="84"/>
              <w:jc w:val="right"/>
              <w:rPr>
                <w:sz w:val="21"/>
              </w:rPr>
            </w:pPr>
            <w:r>
              <w:rPr>
                <w:sz w:val="21"/>
              </w:rPr>
              <w:t>6,067,653,816.35</w:t>
            </w:r>
          </w:p>
        </w:tc>
        <w:tc>
          <w:tcPr>
            <w:tcW w:w="1689" w:type="dxa"/>
            <w:tcBorders>
              <w:top w:val="single" w:sz="4" w:space="0" w:color="000000"/>
              <w:left w:val="single" w:sz="4" w:space="0" w:color="000000"/>
              <w:right w:val="single" w:sz="4" w:space="0" w:color="000000"/>
            </w:tcBorders>
          </w:tcPr>
          <w:p>
            <w:pPr>
              <w:pStyle w:val="TableParagraph"/>
              <w:spacing w:line="235" w:lineRule="exact"/>
              <w:ind w:right="87"/>
              <w:jc w:val="right"/>
              <w:rPr>
                <w:sz w:val="21"/>
              </w:rPr>
            </w:pPr>
            <w:r>
              <w:rPr>
                <w:sz w:val="21"/>
              </w:rPr>
              <w:t>6,637,855,488.62</w:t>
            </w:r>
          </w:p>
        </w:tc>
        <w:tc>
          <w:tcPr>
            <w:tcW w:w="1686" w:type="dxa"/>
            <w:tcBorders>
              <w:top w:val="single" w:sz="4" w:space="0" w:color="000000"/>
              <w:left w:val="single" w:sz="4" w:space="0" w:color="000000"/>
            </w:tcBorders>
          </w:tcPr>
          <w:p>
            <w:pPr>
              <w:pStyle w:val="TableParagraph"/>
              <w:spacing w:line="235" w:lineRule="exact"/>
              <w:ind w:right="76"/>
              <w:jc w:val="right"/>
              <w:rPr>
                <w:sz w:val="21"/>
              </w:rPr>
            </w:pPr>
            <w:r>
              <w:rPr>
                <w:sz w:val="21"/>
              </w:rPr>
              <w:t>5,160,746,140.20</w:t>
            </w:r>
          </w:p>
        </w:tc>
      </w:tr>
    </w:tbl>
    <w:p>
      <w:pPr>
        <w:pStyle w:val="BodyText"/>
        <w:spacing w:line="267" w:lineRule="exact" w:before="3"/>
        <w:ind w:left="1538"/>
      </w:pPr>
      <w:r>
        <w:rPr>
          <w:w w:val="100"/>
        </w:rPr>
        <w:t> </w:t>
      </w:r>
    </w:p>
    <w:p>
      <w:pPr>
        <w:pStyle w:val="Heading4"/>
        <w:spacing w:line="384" w:lineRule="exact"/>
      </w:pPr>
      <w:r>
        <w:rPr>
          <w:rFonts w:ascii="Times New Roman" w:eastAsia="Times New Roman"/>
        </w:rPr>
        <w:t>5</w:t>
      </w:r>
      <w:r>
        <w:rPr/>
        <w:t>、 投资收益</w:t>
      </w:r>
    </w:p>
    <w:p>
      <w:pPr>
        <w:pStyle w:val="BodyText"/>
        <w:spacing w:before="15" w:after="3"/>
        <w:ind w:left="1538"/>
      </w:pPr>
      <w:r>
        <w:rPr>
          <w:w w:val="100"/>
        </w:rPr>
        <w:t> </w:t>
      </w:r>
    </w:p>
    <w:tbl>
      <w:tblPr>
        <w:tblW w:w="0" w:type="auto"/>
        <w:jc w:val="left"/>
        <w:tblInd w:w="153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12"/>
        <w:gridCol w:w="2578"/>
        <w:gridCol w:w="2487"/>
      </w:tblGrid>
      <w:tr>
        <w:trPr>
          <w:trHeight w:val="368" w:hRule="atLeast"/>
        </w:trPr>
        <w:tc>
          <w:tcPr>
            <w:tcW w:w="3812" w:type="dxa"/>
            <w:tcBorders>
              <w:bottom w:val="single" w:sz="4" w:space="0" w:color="000000"/>
              <w:right w:val="single" w:sz="4" w:space="0" w:color="000000"/>
            </w:tcBorders>
          </w:tcPr>
          <w:p>
            <w:pPr>
              <w:pStyle w:val="TableParagraph"/>
              <w:spacing w:before="7"/>
              <w:ind w:left="1704" w:right="1687"/>
              <w:jc w:val="center"/>
              <w:rPr>
                <w:rFonts w:ascii="Microsoft JhengHei" w:eastAsia="Microsoft JhengHei" w:hint="eastAsia"/>
                <w:b/>
                <w:sz w:val="18"/>
              </w:rPr>
            </w:pPr>
            <w:r>
              <w:rPr>
                <w:rFonts w:ascii="Microsoft JhengHei" w:eastAsia="Microsoft JhengHei" w:hint="eastAsia"/>
                <w:b/>
                <w:sz w:val="18"/>
              </w:rPr>
              <w:t>项目</w:t>
            </w:r>
          </w:p>
        </w:tc>
        <w:tc>
          <w:tcPr>
            <w:tcW w:w="2578" w:type="dxa"/>
            <w:tcBorders>
              <w:left w:val="single" w:sz="4" w:space="0" w:color="000000"/>
              <w:bottom w:val="single" w:sz="4" w:space="0" w:color="000000"/>
              <w:right w:val="single" w:sz="4" w:space="0" w:color="000000"/>
            </w:tcBorders>
          </w:tcPr>
          <w:p>
            <w:pPr>
              <w:pStyle w:val="TableParagraph"/>
              <w:spacing w:before="7"/>
              <w:ind w:left="847"/>
              <w:rPr>
                <w:rFonts w:ascii="Microsoft JhengHei" w:eastAsia="Microsoft JhengHei" w:hint="eastAsia"/>
                <w:b/>
                <w:sz w:val="18"/>
              </w:rPr>
            </w:pPr>
            <w:r>
              <w:rPr>
                <w:rFonts w:ascii="Microsoft JhengHei" w:eastAsia="Microsoft JhengHei" w:hint="eastAsia"/>
                <w:b/>
                <w:sz w:val="18"/>
              </w:rPr>
              <w:t>本期发生额</w:t>
            </w:r>
          </w:p>
        </w:tc>
        <w:tc>
          <w:tcPr>
            <w:tcW w:w="2487" w:type="dxa"/>
            <w:tcBorders>
              <w:left w:val="single" w:sz="4" w:space="0" w:color="000000"/>
              <w:bottom w:val="single" w:sz="4" w:space="0" w:color="000000"/>
            </w:tcBorders>
          </w:tcPr>
          <w:p>
            <w:pPr>
              <w:pStyle w:val="TableParagraph"/>
              <w:spacing w:before="7"/>
              <w:ind w:left="799"/>
              <w:rPr>
                <w:rFonts w:ascii="Microsoft JhengHei" w:eastAsia="Microsoft JhengHei" w:hint="eastAsia"/>
                <w:b/>
                <w:sz w:val="18"/>
              </w:rPr>
            </w:pPr>
            <w:r>
              <w:rPr>
                <w:rFonts w:ascii="Microsoft JhengHei" w:eastAsia="Microsoft JhengHei" w:hint="eastAsia"/>
                <w:b/>
                <w:sz w:val="18"/>
              </w:rPr>
              <w:t>上期发生额</w:t>
            </w:r>
          </w:p>
        </w:tc>
      </w:tr>
      <w:tr>
        <w:trPr>
          <w:trHeight w:val="369" w:hRule="atLeast"/>
        </w:trPr>
        <w:tc>
          <w:tcPr>
            <w:tcW w:w="3812"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权益法核算的长期股权投资收益</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before="76"/>
              <w:ind w:right="89"/>
              <w:jc w:val="right"/>
              <w:rPr>
                <w:sz w:val="18"/>
              </w:rPr>
            </w:pPr>
            <w:r>
              <w:rPr>
                <w:sz w:val="18"/>
              </w:rPr>
              <w:t>111,755,685.69</w:t>
            </w:r>
          </w:p>
        </w:tc>
        <w:tc>
          <w:tcPr>
            <w:tcW w:w="2487" w:type="dxa"/>
            <w:tcBorders>
              <w:top w:val="single" w:sz="4" w:space="0" w:color="000000"/>
              <w:left w:val="single" w:sz="4" w:space="0" w:color="000000"/>
              <w:bottom w:val="single" w:sz="4" w:space="0" w:color="000000"/>
            </w:tcBorders>
          </w:tcPr>
          <w:p>
            <w:pPr>
              <w:pStyle w:val="TableParagraph"/>
              <w:spacing w:before="76"/>
              <w:ind w:right="81"/>
              <w:jc w:val="right"/>
              <w:rPr>
                <w:sz w:val="18"/>
              </w:rPr>
            </w:pPr>
            <w:r>
              <w:rPr>
                <w:sz w:val="18"/>
              </w:rPr>
              <w:t>187,969,031.39</w:t>
            </w:r>
          </w:p>
        </w:tc>
      </w:tr>
      <w:tr>
        <w:trPr>
          <w:trHeight w:val="369" w:hRule="atLeast"/>
        </w:trPr>
        <w:tc>
          <w:tcPr>
            <w:tcW w:w="3812"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处置长期股权投资的投资收益</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before="76"/>
              <w:ind w:right="89"/>
              <w:jc w:val="right"/>
              <w:rPr>
                <w:sz w:val="18"/>
              </w:rPr>
            </w:pPr>
            <w:r>
              <w:rPr>
                <w:sz w:val="18"/>
              </w:rPr>
              <w:t>3,962,491,511.91</w:t>
            </w:r>
          </w:p>
        </w:tc>
        <w:tc>
          <w:tcPr>
            <w:tcW w:w="2487" w:type="dxa"/>
            <w:tcBorders>
              <w:top w:val="single" w:sz="4" w:space="0" w:color="000000"/>
              <w:left w:val="single" w:sz="4" w:space="0" w:color="000000"/>
              <w:bottom w:val="single" w:sz="4" w:space="0" w:color="000000"/>
            </w:tcBorders>
          </w:tcPr>
          <w:p>
            <w:pPr>
              <w:pStyle w:val="TableParagraph"/>
              <w:rPr>
                <w:sz w:val="16"/>
              </w:rPr>
            </w:pPr>
          </w:p>
        </w:tc>
      </w:tr>
      <w:tr>
        <w:trPr>
          <w:trHeight w:val="369" w:hRule="atLeast"/>
        </w:trPr>
        <w:tc>
          <w:tcPr>
            <w:tcW w:w="3812"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成本法核算的长期股权投资收益</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before="76"/>
              <w:ind w:right="89"/>
              <w:jc w:val="right"/>
              <w:rPr>
                <w:sz w:val="18"/>
              </w:rPr>
            </w:pPr>
            <w:r>
              <w:rPr>
                <w:sz w:val="18"/>
              </w:rPr>
              <w:t>191,366,562.30</w:t>
            </w:r>
          </w:p>
        </w:tc>
        <w:tc>
          <w:tcPr>
            <w:tcW w:w="2487" w:type="dxa"/>
            <w:tcBorders>
              <w:top w:val="single" w:sz="4" w:space="0" w:color="000000"/>
              <w:left w:val="single" w:sz="4" w:space="0" w:color="000000"/>
              <w:bottom w:val="single" w:sz="4" w:space="0" w:color="000000"/>
            </w:tcBorders>
          </w:tcPr>
          <w:p>
            <w:pPr>
              <w:pStyle w:val="TableParagraph"/>
              <w:spacing w:before="76"/>
              <w:ind w:right="81"/>
              <w:jc w:val="right"/>
              <w:rPr>
                <w:sz w:val="18"/>
              </w:rPr>
            </w:pPr>
            <w:r>
              <w:rPr>
                <w:sz w:val="18"/>
              </w:rPr>
              <w:t>3,314,994,904.38</w:t>
            </w:r>
          </w:p>
        </w:tc>
      </w:tr>
      <w:tr>
        <w:trPr>
          <w:trHeight w:val="366" w:hRule="atLeast"/>
        </w:trPr>
        <w:tc>
          <w:tcPr>
            <w:tcW w:w="3812" w:type="dxa"/>
            <w:tcBorders>
              <w:top w:val="single" w:sz="4" w:space="0" w:color="000000"/>
              <w:bottom w:val="single" w:sz="4" w:space="0" w:color="000000"/>
              <w:right w:val="single" w:sz="4" w:space="0" w:color="000000"/>
            </w:tcBorders>
          </w:tcPr>
          <w:p>
            <w:pPr>
              <w:pStyle w:val="TableParagraph"/>
              <w:spacing w:before="67"/>
              <w:ind w:left="107"/>
              <w:rPr>
                <w:rFonts w:ascii="宋体" w:eastAsia="宋体" w:hint="eastAsia"/>
                <w:sz w:val="18"/>
              </w:rPr>
            </w:pPr>
            <w:r>
              <w:rPr>
                <w:rFonts w:ascii="宋体" w:eastAsia="宋体" w:hint="eastAsia"/>
                <w:sz w:val="18"/>
              </w:rPr>
              <w:t>理财产品收益</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before="74"/>
              <w:ind w:right="86"/>
              <w:jc w:val="right"/>
              <w:rPr>
                <w:sz w:val="18"/>
              </w:rPr>
            </w:pPr>
            <w:r>
              <w:rPr>
                <w:sz w:val="18"/>
              </w:rPr>
              <w:t>17,628,284.37</w:t>
            </w:r>
          </w:p>
        </w:tc>
        <w:tc>
          <w:tcPr>
            <w:tcW w:w="2487" w:type="dxa"/>
            <w:tcBorders>
              <w:top w:val="single" w:sz="4" w:space="0" w:color="000000"/>
              <w:left w:val="single" w:sz="4" w:space="0" w:color="000000"/>
              <w:bottom w:val="single" w:sz="4" w:space="0" w:color="000000"/>
            </w:tcBorders>
          </w:tcPr>
          <w:p>
            <w:pPr>
              <w:pStyle w:val="TableParagraph"/>
              <w:spacing w:before="74"/>
              <w:ind w:right="79"/>
              <w:jc w:val="right"/>
              <w:rPr>
                <w:sz w:val="18"/>
              </w:rPr>
            </w:pPr>
            <w:r>
              <w:rPr>
                <w:sz w:val="18"/>
              </w:rPr>
              <w:t>33,645,544.43</w:t>
            </w:r>
          </w:p>
        </w:tc>
      </w:tr>
      <w:tr>
        <w:trPr>
          <w:trHeight w:val="369" w:hRule="atLeast"/>
        </w:trPr>
        <w:tc>
          <w:tcPr>
            <w:tcW w:w="3812" w:type="dxa"/>
            <w:tcBorders>
              <w:top w:val="single" w:sz="4" w:space="0" w:color="000000"/>
              <w:bottom w:val="single" w:sz="4" w:space="0" w:color="000000"/>
              <w:right w:val="single" w:sz="4" w:space="0" w:color="000000"/>
            </w:tcBorders>
          </w:tcPr>
          <w:p>
            <w:pPr>
              <w:pStyle w:val="TableParagraph"/>
              <w:spacing w:before="70"/>
              <w:ind w:left="107"/>
              <w:rPr>
                <w:rFonts w:ascii="宋体" w:eastAsia="宋体" w:hint="eastAsia"/>
                <w:sz w:val="18"/>
              </w:rPr>
            </w:pPr>
            <w:r>
              <w:rPr>
                <w:rFonts w:ascii="宋体" w:eastAsia="宋体" w:hint="eastAsia"/>
                <w:sz w:val="18"/>
              </w:rPr>
              <w:t>其他权益工具投资在持有期间的投资收益</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before="77"/>
              <w:ind w:right="86"/>
              <w:jc w:val="right"/>
              <w:rPr>
                <w:sz w:val="18"/>
              </w:rPr>
            </w:pPr>
            <w:r>
              <w:rPr>
                <w:sz w:val="18"/>
              </w:rPr>
              <w:t>268,193.52</w:t>
            </w:r>
          </w:p>
        </w:tc>
        <w:tc>
          <w:tcPr>
            <w:tcW w:w="2487" w:type="dxa"/>
            <w:tcBorders>
              <w:top w:val="single" w:sz="4" w:space="0" w:color="000000"/>
              <w:left w:val="single" w:sz="4" w:space="0" w:color="000000"/>
              <w:bottom w:val="single" w:sz="4" w:space="0" w:color="000000"/>
            </w:tcBorders>
          </w:tcPr>
          <w:p>
            <w:pPr>
              <w:pStyle w:val="TableParagraph"/>
              <w:spacing w:before="77"/>
              <w:ind w:right="78"/>
              <w:jc w:val="right"/>
              <w:rPr>
                <w:sz w:val="18"/>
              </w:rPr>
            </w:pPr>
            <w:r>
              <w:rPr>
                <w:sz w:val="18"/>
              </w:rPr>
              <w:t>255,422.40</w:t>
            </w:r>
          </w:p>
        </w:tc>
      </w:tr>
      <w:tr>
        <w:trPr>
          <w:trHeight w:val="368" w:hRule="atLeast"/>
        </w:trPr>
        <w:tc>
          <w:tcPr>
            <w:tcW w:w="3812" w:type="dxa"/>
            <w:tcBorders>
              <w:top w:val="single" w:sz="4" w:space="0" w:color="000000"/>
              <w:right w:val="single" w:sz="4" w:space="0" w:color="000000"/>
            </w:tcBorders>
          </w:tcPr>
          <w:p>
            <w:pPr>
              <w:pStyle w:val="TableParagraph"/>
              <w:spacing w:before="69"/>
              <w:ind w:left="1704" w:right="1687"/>
              <w:jc w:val="center"/>
              <w:rPr>
                <w:rFonts w:ascii="宋体" w:eastAsia="宋体" w:hint="eastAsia"/>
                <w:sz w:val="18"/>
              </w:rPr>
            </w:pPr>
            <w:r>
              <w:rPr>
                <w:rFonts w:ascii="宋体" w:eastAsia="宋体" w:hint="eastAsia"/>
                <w:sz w:val="18"/>
              </w:rPr>
              <w:t>合计</w:t>
            </w:r>
          </w:p>
        </w:tc>
        <w:tc>
          <w:tcPr>
            <w:tcW w:w="2578" w:type="dxa"/>
            <w:tcBorders>
              <w:top w:val="single" w:sz="4" w:space="0" w:color="000000"/>
              <w:left w:val="single" w:sz="4" w:space="0" w:color="000000"/>
              <w:right w:val="single" w:sz="4" w:space="0" w:color="000000"/>
            </w:tcBorders>
          </w:tcPr>
          <w:p>
            <w:pPr>
              <w:pStyle w:val="TableParagraph"/>
              <w:spacing w:before="76"/>
              <w:ind w:right="89"/>
              <w:jc w:val="right"/>
              <w:rPr>
                <w:sz w:val="18"/>
              </w:rPr>
            </w:pPr>
            <w:r>
              <w:rPr>
                <w:sz w:val="18"/>
              </w:rPr>
              <w:t>4,283,510,237.79</w:t>
            </w:r>
          </w:p>
        </w:tc>
        <w:tc>
          <w:tcPr>
            <w:tcW w:w="2487" w:type="dxa"/>
            <w:tcBorders>
              <w:top w:val="single" w:sz="4" w:space="0" w:color="000000"/>
              <w:left w:val="single" w:sz="4" w:space="0" w:color="000000"/>
            </w:tcBorders>
          </w:tcPr>
          <w:p>
            <w:pPr>
              <w:pStyle w:val="TableParagraph"/>
              <w:spacing w:before="76"/>
              <w:ind w:right="81"/>
              <w:jc w:val="right"/>
              <w:rPr>
                <w:sz w:val="18"/>
              </w:rPr>
            </w:pPr>
            <w:r>
              <w:rPr>
                <w:sz w:val="18"/>
              </w:rPr>
              <w:t>3,536,864,902.60</w:t>
            </w:r>
          </w:p>
        </w:tc>
      </w:tr>
    </w:tbl>
    <w:p>
      <w:pPr>
        <w:pStyle w:val="BodyText"/>
        <w:spacing w:line="265" w:lineRule="exact" w:before="3"/>
        <w:ind w:left="1538"/>
      </w:pPr>
      <w:r>
        <w:rPr>
          <w:w w:val="100"/>
        </w:rPr>
        <w:t> </w:t>
      </w:r>
    </w:p>
    <w:p>
      <w:pPr>
        <w:pStyle w:val="Heading4"/>
        <w:spacing w:line="383" w:lineRule="exact"/>
      </w:pPr>
      <w:r>
        <w:rPr/>
        <w:t>十九、 补充资料</w:t>
      </w:r>
    </w:p>
    <w:p>
      <w:pPr>
        <w:pStyle w:val="Heading4"/>
        <w:spacing w:before="116"/>
        <w:ind w:left="1960"/>
      </w:pPr>
      <w:r>
        <w:rPr>
          <w:rFonts w:ascii="Times New Roman" w:eastAsia="Times New Roman"/>
        </w:rPr>
        <w:t>1</w:t>
      </w:r>
      <w:r>
        <w:rPr/>
        <w:t>、基本每股收益和稀释每股收益</w:t>
      </w:r>
    </w:p>
    <w:p>
      <w:pPr>
        <w:pStyle w:val="BodyText"/>
        <w:rPr>
          <w:rFonts w:ascii="Microsoft JhengHei"/>
          <w:b/>
          <w:sz w:val="5"/>
        </w:rPr>
      </w:pPr>
    </w:p>
    <w:tbl>
      <w:tblPr>
        <w:tblW w:w="0" w:type="auto"/>
        <w:jc w:val="left"/>
        <w:tblInd w:w="15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129"/>
        <w:gridCol w:w="1274"/>
        <w:gridCol w:w="1985"/>
        <w:gridCol w:w="1274"/>
        <w:gridCol w:w="1986"/>
      </w:tblGrid>
      <w:tr>
        <w:trPr>
          <w:trHeight w:val="361" w:hRule="atLeast"/>
        </w:trPr>
        <w:tc>
          <w:tcPr>
            <w:tcW w:w="2129" w:type="dxa"/>
            <w:vMerge w:val="restart"/>
            <w:tcBorders>
              <w:right w:val="single" w:sz="4" w:space="0" w:color="000000"/>
            </w:tcBorders>
          </w:tcPr>
          <w:p>
            <w:pPr>
              <w:pStyle w:val="TableParagraph"/>
              <w:spacing w:before="15"/>
              <w:rPr>
                <w:rFonts w:ascii="Microsoft JhengHei"/>
                <w:b/>
                <w:sz w:val="10"/>
              </w:rPr>
            </w:pPr>
          </w:p>
          <w:p>
            <w:pPr>
              <w:pStyle w:val="TableParagraph"/>
              <w:ind w:left="862" w:right="846"/>
              <w:jc w:val="center"/>
              <w:rPr>
                <w:rFonts w:ascii="Microsoft JhengHei" w:eastAsia="Microsoft JhengHei" w:hint="eastAsia"/>
                <w:b/>
                <w:sz w:val="18"/>
              </w:rPr>
            </w:pPr>
            <w:r>
              <w:rPr>
                <w:rFonts w:ascii="Microsoft JhengHei" w:eastAsia="Microsoft JhengHei" w:hint="eastAsia"/>
                <w:b/>
                <w:sz w:val="18"/>
              </w:rPr>
              <w:t>项目</w:t>
            </w:r>
          </w:p>
        </w:tc>
        <w:tc>
          <w:tcPr>
            <w:tcW w:w="3259" w:type="dxa"/>
            <w:gridSpan w:val="2"/>
            <w:tcBorders>
              <w:left w:val="single" w:sz="4" w:space="0" w:color="000000"/>
              <w:bottom w:val="single" w:sz="4" w:space="0" w:color="000000"/>
              <w:right w:val="single" w:sz="4" w:space="0" w:color="000000"/>
            </w:tcBorders>
          </w:tcPr>
          <w:p>
            <w:pPr>
              <w:pStyle w:val="TableParagraph"/>
              <w:spacing w:before="9"/>
              <w:ind w:left="1255" w:right="1233"/>
              <w:jc w:val="center"/>
              <w:rPr>
                <w:rFonts w:ascii="Microsoft JhengHei" w:eastAsia="Microsoft JhengHei" w:hint="eastAsia"/>
                <w:b/>
                <w:sz w:val="18"/>
              </w:rPr>
            </w:pPr>
            <w:r>
              <w:rPr>
                <w:rFonts w:ascii="Microsoft JhengHei" w:eastAsia="Microsoft JhengHei" w:hint="eastAsia"/>
                <w:b/>
                <w:sz w:val="18"/>
              </w:rPr>
              <w:t>本期金额</w:t>
            </w:r>
          </w:p>
        </w:tc>
        <w:tc>
          <w:tcPr>
            <w:tcW w:w="3260" w:type="dxa"/>
            <w:gridSpan w:val="2"/>
            <w:tcBorders>
              <w:left w:val="single" w:sz="4" w:space="0" w:color="000000"/>
              <w:bottom w:val="single" w:sz="4" w:space="0" w:color="000000"/>
            </w:tcBorders>
          </w:tcPr>
          <w:p>
            <w:pPr>
              <w:pStyle w:val="TableParagraph"/>
              <w:spacing w:before="9"/>
              <w:ind w:left="1256" w:right="1224"/>
              <w:jc w:val="center"/>
              <w:rPr>
                <w:rFonts w:ascii="Microsoft JhengHei" w:eastAsia="Microsoft JhengHei" w:hint="eastAsia"/>
                <w:b/>
                <w:sz w:val="18"/>
              </w:rPr>
            </w:pPr>
            <w:r>
              <w:rPr>
                <w:rFonts w:ascii="Microsoft JhengHei" w:eastAsia="Microsoft JhengHei" w:hint="eastAsia"/>
                <w:b/>
                <w:sz w:val="18"/>
              </w:rPr>
              <w:t>上期金额</w:t>
            </w:r>
          </w:p>
        </w:tc>
      </w:tr>
      <w:tr>
        <w:trPr>
          <w:trHeight w:val="358" w:hRule="atLeast"/>
        </w:trPr>
        <w:tc>
          <w:tcPr>
            <w:tcW w:w="2129" w:type="dxa"/>
            <w:vMerge/>
            <w:tcBorders>
              <w:top w:val="nil"/>
              <w:right w:val="single" w:sz="4" w:space="0" w:color="000000"/>
            </w:tcBorders>
          </w:tcPr>
          <w:p>
            <w:pPr>
              <w:rPr>
                <w:sz w:val="2"/>
                <w:szCs w:val="2"/>
              </w:rPr>
            </w:pPr>
          </w:p>
        </w:tc>
        <w:tc>
          <w:tcPr>
            <w:tcW w:w="1274" w:type="dxa"/>
            <w:tcBorders>
              <w:top w:val="single" w:sz="4" w:space="0" w:color="000000"/>
              <w:left w:val="single" w:sz="4" w:space="0" w:color="000000"/>
              <w:right w:val="single" w:sz="4" w:space="0" w:color="000000"/>
            </w:tcBorders>
          </w:tcPr>
          <w:p>
            <w:pPr>
              <w:pStyle w:val="TableParagraph"/>
              <w:spacing w:line="329" w:lineRule="exact"/>
              <w:ind w:left="192"/>
              <w:rPr>
                <w:rFonts w:ascii="Microsoft JhengHei" w:eastAsia="Microsoft JhengHei" w:hint="eastAsia"/>
                <w:b/>
                <w:sz w:val="18"/>
              </w:rPr>
            </w:pPr>
            <w:r>
              <w:rPr>
                <w:rFonts w:ascii="Microsoft JhengHei" w:eastAsia="Microsoft JhengHei" w:hint="eastAsia"/>
                <w:b/>
                <w:sz w:val="18"/>
              </w:rPr>
              <w:t>加权平均净</w:t>
            </w:r>
          </w:p>
        </w:tc>
        <w:tc>
          <w:tcPr>
            <w:tcW w:w="1985" w:type="dxa"/>
            <w:tcBorders>
              <w:top w:val="single" w:sz="4" w:space="0" w:color="000000"/>
              <w:left w:val="single" w:sz="4" w:space="0" w:color="000000"/>
              <w:right w:val="single" w:sz="4" w:space="0" w:color="000000"/>
            </w:tcBorders>
          </w:tcPr>
          <w:p>
            <w:pPr>
              <w:pStyle w:val="TableParagraph"/>
              <w:spacing w:line="329" w:lineRule="exact"/>
              <w:ind w:left="367"/>
              <w:rPr>
                <w:rFonts w:ascii="Microsoft JhengHei" w:eastAsia="Microsoft JhengHei" w:hint="eastAsia"/>
                <w:b/>
                <w:sz w:val="18"/>
              </w:rPr>
            </w:pPr>
            <w:r>
              <w:rPr>
                <w:rFonts w:ascii="Microsoft JhengHei" w:eastAsia="Microsoft JhengHei" w:hint="eastAsia"/>
                <w:b/>
                <w:sz w:val="18"/>
              </w:rPr>
              <w:t>每股收益（元）</w:t>
            </w:r>
          </w:p>
        </w:tc>
        <w:tc>
          <w:tcPr>
            <w:tcW w:w="1274" w:type="dxa"/>
            <w:tcBorders>
              <w:top w:val="single" w:sz="4" w:space="0" w:color="000000"/>
              <w:left w:val="single" w:sz="4" w:space="0" w:color="000000"/>
              <w:right w:val="single" w:sz="4" w:space="0" w:color="000000"/>
            </w:tcBorders>
          </w:tcPr>
          <w:p>
            <w:pPr>
              <w:pStyle w:val="TableParagraph"/>
              <w:spacing w:line="329" w:lineRule="exact"/>
              <w:ind w:left="195"/>
              <w:rPr>
                <w:rFonts w:ascii="Microsoft JhengHei" w:eastAsia="Microsoft JhengHei" w:hint="eastAsia"/>
                <w:b/>
                <w:sz w:val="18"/>
              </w:rPr>
            </w:pPr>
            <w:r>
              <w:rPr>
                <w:rFonts w:ascii="Microsoft JhengHei" w:eastAsia="Microsoft JhengHei" w:hint="eastAsia"/>
                <w:b/>
                <w:sz w:val="18"/>
              </w:rPr>
              <w:t>加权平均净</w:t>
            </w:r>
          </w:p>
        </w:tc>
        <w:tc>
          <w:tcPr>
            <w:tcW w:w="1986" w:type="dxa"/>
            <w:tcBorders>
              <w:top w:val="single" w:sz="4" w:space="0" w:color="000000"/>
              <w:left w:val="single" w:sz="4" w:space="0" w:color="000000"/>
            </w:tcBorders>
          </w:tcPr>
          <w:p>
            <w:pPr>
              <w:pStyle w:val="TableParagraph"/>
              <w:spacing w:line="329" w:lineRule="exact"/>
              <w:ind w:left="371"/>
              <w:rPr>
                <w:rFonts w:ascii="Microsoft JhengHei" w:eastAsia="Microsoft JhengHei" w:hint="eastAsia"/>
                <w:b/>
                <w:sz w:val="18"/>
              </w:rPr>
            </w:pPr>
            <w:r>
              <w:rPr>
                <w:rFonts w:ascii="Microsoft JhengHei" w:eastAsia="Microsoft JhengHei" w:hint="eastAsia"/>
                <w:b/>
                <w:sz w:val="18"/>
              </w:rPr>
              <w:t>每股收益（元）</w:t>
            </w:r>
          </w:p>
        </w:tc>
      </w:tr>
    </w:tbl>
    <w:p>
      <w:pPr>
        <w:spacing w:after="0" w:line="329" w:lineRule="exact"/>
        <w:rPr>
          <w:rFonts w:ascii="Microsoft JhengHei" w:eastAsia="Microsoft JhengHei" w:hint="eastAsia"/>
          <w:sz w:val="18"/>
        </w:rPr>
        <w:sectPr>
          <w:headerReference w:type="default" r:id="rId131"/>
          <w:footerReference w:type="default" r:id="rId132"/>
          <w:pgSz w:w="11910" w:h="16840"/>
          <w:pgMar w:header="876" w:footer="1214" w:top="1440" w:bottom="1400" w:left="260" w:right="0"/>
        </w:sectPr>
      </w:pPr>
    </w:p>
    <w:p>
      <w:pPr>
        <w:pStyle w:val="BodyText"/>
        <w:spacing w:before="11"/>
        <w:rPr>
          <w:rFonts w:ascii="Microsoft JhengHei"/>
          <w:b/>
          <w:sz w:val="3"/>
        </w:rPr>
      </w:pPr>
    </w:p>
    <w:tbl>
      <w:tblPr>
        <w:tblW w:w="0" w:type="auto"/>
        <w:jc w:val="left"/>
        <w:tblInd w:w="15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127"/>
        <w:gridCol w:w="1277"/>
        <w:gridCol w:w="991"/>
        <w:gridCol w:w="994"/>
        <w:gridCol w:w="1274"/>
        <w:gridCol w:w="994"/>
        <w:gridCol w:w="991"/>
      </w:tblGrid>
      <w:tr>
        <w:trPr>
          <w:trHeight w:val="467" w:hRule="atLeast"/>
        </w:trPr>
        <w:tc>
          <w:tcPr>
            <w:tcW w:w="2127" w:type="dxa"/>
            <w:tcBorders>
              <w:bottom w:val="single" w:sz="4" w:space="0" w:color="000000"/>
              <w:right w:val="single" w:sz="4" w:space="0" w:color="000000"/>
            </w:tcBorders>
          </w:tcPr>
          <w:p>
            <w:pPr>
              <w:pStyle w:val="TableParagraph"/>
              <w:rPr>
                <w:sz w:val="20"/>
              </w:rPr>
            </w:pPr>
          </w:p>
        </w:tc>
        <w:tc>
          <w:tcPr>
            <w:tcW w:w="1277" w:type="dxa"/>
            <w:tcBorders>
              <w:left w:val="single" w:sz="4" w:space="0" w:color="000000"/>
              <w:bottom w:val="single" w:sz="4" w:space="0" w:color="000000"/>
              <w:right w:val="single" w:sz="4" w:space="0" w:color="000000"/>
            </w:tcBorders>
          </w:tcPr>
          <w:p>
            <w:pPr>
              <w:pStyle w:val="TableParagraph"/>
              <w:spacing w:line="273" w:lineRule="exact"/>
              <w:ind w:left="175" w:right="152"/>
              <w:jc w:val="center"/>
              <w:rPr>
                <w:rFonts w:ascii="Microsoft JhengHei" w:eastAsia="Microsoft JhengHei" w:hint="eastAsia"/>
                <w:b/>
                <w:sz w:val="18"/>
              </w:rPr>
            </w:pPr>
            <w:r>
              <w:rPr>
                <w:rFonts w:ascii="Microsoft JhengHei" w:eastAsia="Microsoft JhengHei" w:hint="eastAsia"/>
                <w:b/>
                <w:sz w:val="18"/>
              </w:rPr>
              <w:t>资产收益率</w:t>
            </w:r>
          </w:p>
        </w:tc>
        <w:tc>
          <w:tcPr>
            <w:tcW w:w="991" w:type="dxa"/>
            <w:tcBorders>
              <w:left w:val="single" w:sz="4" w:space="0" w:color="000000"/>
              <w:bottom w:val="single" w:sz="4" w:space="0" w:color="000000"/>
              <w:right w:val="single" w:sz="4" w:space="0" w:color="000000"/>
            </w:tcBorders>
          </w:tcPr>
          <w:p>
            <w:pPr>
              <w:pStyle w:val="TableParagraph"/>
              <w:spacing w:line="224" w:lineRule="exact"/>
              <w:ind w:left="122" w:right="99"/>
              <w:jc w:val="center"/>
              <w:rPr>
                <w:rFonts w:ascii="Microsoft JhengHei" w:eastAsia="Microsoft JhengHei" w:hint="eastAsia"/>
                <w:b/>
                <w:sz w:val="18"/>
              </w:rPr>
            </w:pPr>
            <w:r>
              <w:rPr>
                <w:rFonts w:ascii="Microsoft JhengHei" w:eastAsia="Microsoft JhengHei" w:hint="eastAsia"/>
                <w:b/>
                <w:sz w:val="18"/>
              </w:rPr>
              <w:t>基本每股</w:t>
            </w:r>
          </w:p>
          <w:p>
            <w:pPr>
              <w:pStyle w:val="TableParagraph"/>
              <w:spacing w:line="223" w:lineRule="exact"/>
              <w:ind w:left="122" w:right="96"/>
              <w:jc w:val="center"/>
              <w:rPr>
                <w:rFonts w:ascii="Microsoft JhengHei" w:eastAsia="Microsoft JhengHei" w:hint="eastAsia"/>
                <w:b/>
                <w:sz w:val="18"/>
              </w:rPr>
            </w:pPr>
            <w:r>
              <w:rPr>
                <w:rFonts w:ascii="Microsoft JhengHei" w:eastAsia="Microsoft JhengHei" w:hint="eastAsia"/>
                <w:b/>
                <w:sz w:val="18"/>
              </w:rPr>
              <w:t>收益</w:t>
            </w:r>
          </w:p>
        </w:tc>
        <w:tc>
          <w:tcPr>
            <w:tcW w:w="994" w:type="dxa"/>
            <w:tcBorders>
              <w:left w:val="single" w:sz="4" w:space="0" w:color="000000"/>
              <w:bottom w:val="single" w:sz="4" w:space="0" w:color="000000"/>
              <w:right w:val="single" w:sz="4" w:space="0" w:color="000000"/>
            </w:tcBorders>
          </w:tcPr>
          <w:p>
            <w:pPr>
              <w:pStyle w:val="TableParagraph"/>
              <w:spacing w:line="224" w:lineRule="exact"/>
              <w:ind w:left="123" w:right="97"/>
              <w:jc w:val="center"/>
              <w:rPr>
                <w:rFonts w:ascii="Microsoft JhengHei" w:eastAsia="Microsoft JhengHei" w:hint="eastAsia"/>
                <w:b/>
                <w:sz w:val="18"/>
              </w:rPr>
            </w:pPr>
            <w:r>
              <w:rPr>
                <w:rFonts w:ascii="Microsoft JhengHei" w:eastAsia="Microsoft JhengHei" w:hint="eastAsia"/>
                <w:b/>
                <w:sz w:val="18"/>
              </w:rPr>
              <w:t>稀释每股</w:t>
            </w:r>
          </w:p>
          <w:p>
            <w:pPr>
              <w:pStyle w:val="TableParagraph"/>
              <w:spacing w:line="223" w:lineRule="exact"/>
              <w:ind w:left="143" w:right="114"/>
              <w:jc w:val="center"/>
              <w:rPr>
                <w:rFonts w:ascii="Microsoft JhengHei" w:eastAsia="Microsoft JhengHei" w:hint="eastAsia"/>
                <w:b/>
                <w:sz w:val="18"/>
              </w:rPr>
            </w:pPr>
            <w:r>
              <w:rPr>
                <w:rFonts w:ascii="Microsoft JhengHei" w:eastAsia="Microsoft JhengHei" w:hint="eastAsia"/>
                <w:b/>
                <w:sz w:val="18"/>
              </w:rPr>
              <w:t>收益</w:t>
            </w:r>
          </w:p>
        </w:tc>
        <w:tc>
          <w:tcPr>
            <w:tcW w:w="1274" w:type="dxa"/>
            <w:tcBorders>
              <w:left w:val="single" w:sz="4" w:space="0" w:color="000000"/>
              <w:bottom w:val="single" w:sz="4" w:space="0" w:color="000000"/>
              <w:right w:val="single" w:sz="4" w:space="0" w:color="000000"/>
            </w:tcBorders>
          </w:tcPr>
          <w:p>
            <w:pPr>
              <w:pStyle w:val="TableParagraph"/>
              <w:spacing w:line="273" w:lineRule="exact"/>
              <w:ind w:left="175" w:right="149"/>
              <w:jc w:val="center"/>
              <w:rPr>
                <w:rFonts w:ascii="Microsoft JhengHei" w:eastAsia="Microsoft JhengHei" w:hint="eastAsia"/>
                <w:b/>
                <w:sz w:val="18"/>
              </w:rPr>
            </w:pPr>
            <w:r>
              <w:rPr>
                <w:rFonts w:ascii="Microsoft JhengHei" w:eastAsia="Microsoft JhengHei" w:hint="eastAsia"/>
                <w:b/>
                <w:sz w:val="18"/>
              </w:rPr>
              <w:t>资产收益率</w:t>
            </w:r>
          </w:p>
        </w:tc>
        <w:tc>
          <w:tcPr>
            <w:tcW w:w="994" w:type="dxa"/>
            <w:tcBorders>
              <w:left w:val="single" w:sz="4" w:space="0" w:color="000000"/>
              <w:bottom w:val="single" w:sz="4" w:space="0" w:color="000000"/>
              <w:right w:val="single" w:sz="4" w:space="0" w:color="000000"/>
            </w:tcBorders>
          </w:tcPr>
          <w:p>
            <w:pPr>
              <w:pStyle w:val="TableParagraph"/>
              <w:spacing w:line="224" w:lineRule="exact"/>
              <w:ind w:left="123" w:right="97"/>
              <w:jc w:val="center"/>
              <w:rPr>
                <w:rFonts w:ascii="Microsoft JhengHei" w:eastAsia="Microsoft JhengHei" w:hint="eastAsia"/>
                <w:b/>
                <w:sz w:val="18"/>
              </w:rPr>
            </w:pPr>
            <w:r>
              <w:rPr>
                <w:rFonts w:ascii="Microsoft JhengHei" w:eastAsia="Microsoft JhengHei" w:hint="eastAsia"/>
                <w:b/>
                <w:sz w:val="18"/>
              </w:rPr>
              <w:t>基本每股</w:t>
            </w:r>
          </w:p>
          <w:p>
            <w:pPr>
              <w:pStyle w:val="TableParagraph"/>
              <w:spacing w:line="223" w:lineRule="exact"/>
              <w:ind w:left="143" w:right="114"/>
              <w:jc w:val="center"/>
              <w:rPr>
                <w:rFonts w:ascii="Microsoft JhengHei" w:eastAsia="Microsoft JhengHei" w:hint="eastAsia"/>
                <w:b/>
                <w:sz w:val="18"/>
              </w:rPr>
            </w:pPr>
            <w:r>
              <w:rPr>
                <w:rFonts w:ascii="Microsoft JhengHei" w:eastAsia="Microsoft JhengHei" w:hint="eastAsia"/>
                <w:b/>
                <w:sz w:val="18"/>
              </w:rPr>
              <w:t>收益</w:t>
            </w:r>
          </w:p>
        </w:tc>
        <w:tc>
          <w:tcPr>
            <w:tcW w:w="991" w:type="dxa"/>
            <w:tcBorders>
              <w:left w:val="single" w:sz="4" w:space="0" w:color="000000"/>
              <w:bottom w:val="single" w:sz="4" w:space="0" w:color="000000"/>
            </w:tcBorders>
          </w:tcPr>
          <w:p>
            <w:pPr>
              <w:pStyle w:val="TableParagraph"/>
              <w:spacing w:line="224" w:lineRule="exact"/>
              <w:ind w:left="123" w:right="88"/>
              <w:jc w:val="center"/>
              <w:rPr>
                <w:rFonts w:ascii="Microsoft JhengHei" w:eastAsia="Microsoft JhengHei" w:hint="eastAsia"/>
                <w:b/>
                <w:sz w:val="18"/>
              </w:rPr>
            </w:pPr>
            <w:r>
              <w:rPr>
                <w:rFonts w:ascii="Microsoft JhengHei" w:eastAsia="Microsoft JhengHei" w:hint="eastAsia"/>
                <w:b/>
                <w:sz w:val="18"/>
              </w:rPr>
              <w:t>稀释每股</w:t>
            </w:r>
          </w:p>
          <w:p>
            <w:pPr>
              <w:pStyle w:val="TableParagraph"/>
              <w:spacing w:line="223" w:lineRule="exact"/>
              <w:ind w:left="123" w:right="86"/>
              <w:jc w:val="center"/>
              <w:rPr>
                <w:rFonts w:ascii="Microsoft JhengHei" w:eastAsia="Microsoft JhengHei" w:hint="eastAsia"/>
                <w:b/>
                <w:sz w:val="18"/>
              </w:rPr>
            </w:pPr>
            <w:r>
              <w:rPr>
                <w:rFonts w:ascii="Microsoft JhengHei" w:eastAsia="Microsoft JhengHei" w:hint="eastAsia"/>
                <w:b/>
                <w:sz w:val="18"/>
              </w:rPr>
              <w:t>收益</w:t>
            </w:r>
          </w:p>
        </w:tc>
      </w:tr>
      <w:tr>
        <w:trPr>
          <w:trHeight w:val="467" w:hRule="atLeast"/>
        </w:trPr>
        <w:tc>
          <w:tcPr>
            <w:tcW w:w="2127" w:type="dxa"/>
            <w:tcBorders>
              <w:top w:val="single" w:sz="4" w:space="0" w:color="000000"/>
              <w:bottom w:val="single" w:sz="4" w:space="0" w:color="000000"/>
              <w:right w:val="single" w:sz="4" w:space="0" w:color="000000"/>
            </w:tcBorders>
          </w:tcPr>
          <w:p>
            <w:pPr>
              <w:pStyle w:val="TableParagraph"/>
              <w:spacing w:line="230" w:lineRule="atLeast" w:before="2"/>
              <w:ind w:left="107" w:right="197"/>
              <w:rPr>
                <w:rFonts w:ascii="宋体" w:eastAsia="宋体" w:hint="eastAsia"/>
                <w:sz w:val="18"/>
              </w:rPr>
            </w:pPr>
            <w:r>
              <w:rPr>
                <w:rFonts w:ascii="宋体" w:eastAsia="宋体" w:hint="eastAsia"/>
                <w:sz w:val="18"/>
              </w:rPr>
              <w:t>归属于母公司普通股股东的净利润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before="127"/>
              <w:ind w:left="175" w:right="146"/>
              <w:jc w:val="center"/>
              <w:rPr>
                <w:sz w:val="18"/>
              </w:rPr>
            </w:pPr>
            <w:r>
              <w:rPr>
                <w:sz w:val="18"/>
              </w:rPr>
              <w:t>17.67%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27"/>
              <w:ind w:right="273"/>
              <w:jc w:val="right"/>
              <w:rPr>
                <w:sz w:val="18"/>
              </w:rPr>
            </w:pPr>
            <w:r>
              <w:rPr>
                <w:sz w:val="18"/>
              </w:rPr>
              <w:t>1.337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27"/>
              <w:ind w:left="143" w:right="116"/>
              <w:jc w:val="center"/>
              <w:rPr>
                <w:sz w:val="18"/>
              </w:rPr>
            </w:pPr>
            <w:r>
              <w:rPr>
                <w:sz w:val="18"/>
              </w:rPr>
              <w:t>1.306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127"/>
              <w:ind w:left="175" w:right="148"/>
              <w:jc w:val="center"/>
              <w:rPr>
                <w:sz w:val="18"/>
              </w:rPr>
            </w:pPr>
            <w:r>
              <w:rPr>
                <w:sz w:val="18"/>
              </w:rPr>
              <w:t>19.12%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27"/>
              <w:ind w:left="143" w:right="116"/>
              <w:jc w:val="center"/>
              <w:rPr>
                <w:sz w:val="18"/>
              </w:rPr>
            </w:pPr>
            <w:r>
              <w:rPr>
                <w:sz w:val="18"/>
              </w:rPr>
              <w:t>1.286</w:t>
            </w:r>
          </w:p>
        </w:tc>
        <w:tc>
          <w:tcPr>
            <w:tcW w:w="991" w:type="dxa"/>
            <w:tcBorders>
              <w:top w:val="single" w:sz="4" w:space="0" w:color="000000"/>
              <w:left w:val="single" w:sz="4" w:space="0" w:color="000000"/>
              <w:bottom w:val="single" w:sz="4" w:space="0" w:color="000000"/>
            </w:tcBorders>
          </w:tcPr>
          <w:p>
            <w:pPr>
              <w:pStyle w:val="TableParagraph"/>
              <w:spacing w:before="127"/>
              <w:ind w:left="123" w:right="88"/>
              <w:jc w:val="center"/>
              <w:rPr>
                <w:sz w:val="18"/>
              </w:rPr>
            </w:pPr>
            <w:r>
              <w:rPr>
                <w:sz w:val="18"/>
              </w:rPr>
              <w:t>1.191</w:t>
            </w:r>
          </w:p>
        </w:tc>
      </w:tr>
      <w:tr>
        <w:trPr>
          <w:trHeight w:val="700" w:hRule="atLeast"/>
        </w:trPr>
        <w:tc>
          <w:tcPr>
            <w:tcW w:w="2127" w:type="dxa"/>
            <w:tcBorders>
              <w:top w:val="single" w:sz="4" w:space="0" w:color="000000"/>
              <w:right w:val="single" w:sz="4" w:space="0" w:color="000000"/>
            </w:tcBorders>
          </w:tcPr>
          <w:p>
            <w:pPr>
              <w:pStyle w:val="TableParagraph"/>
              <w:ind w:left="107"/>
              <w:rPr>
                <w:rFonts w:ascii="宋体" w:eastAsia="宋体" w:hint="eastAsia"/>
                <w:sz w:val="18"/>
              </w:rPr>
            </w:pPr>
            <w:r>
              <w:rPr>
                <w:rFonts w:ascii="宋体" w:eastAsia="宋体" w:hint="eastAsia"/>
                <w:sz w:val="18"/>
              </w:rPr>
              <w:t>扣除非经常性损益后归</w:t>
            </w:r>
          </w:p>
          <w:p>
            <w:pPr>
              <w:pStyle w:val="TableParagraph"/>
              <w:spacing w:line="230" w:lineRule="atLeast" w:before="4"/>
              <w:ind w:left="107" w:right="197"/>
              <w:rPr>
                <w:rFonts w:ascii="宋体" w:eastAsia="宋体" w:hint="eastAsia"/>
                <w:sz w:val="18"/>
              </w:rPr>
            </w:pPr>
            <w:r>
              <w:rPr>
                <w:rFonts w:ascii="宋体" w:eastAsia="宋体" w:hint="eastAsia"/>
                <w:sz w:val="18"/>
              </w:rPr>
              <w:t>属于母公司普通股股东的净利润</w:t>
            </w:r>
          </w:p>
        </w:tc>
        <w:tc>
          <w:tcPr>
            <w:tcW w:w="1277" w:type="dxa"/>
            <w:tcBorders>
              <w:top w:val="single" w:sz="4" w:space="0" w:color="000000"/>
              <w:left w:val="single" w:sz="4" w:space="0" w:color="000000"/>
              <w:right w:val="single" w:sz="4" w:space="0" w:color="000000"/>
            </w:tcBorders>
          </w:tcPr>
          <w:p>
            <w:pPr>
              <w:pStyle w:val="TableParagraph"/>
              <w:spacing w:before="3"/>
              <w:rPr>
                <w:rFonts w:ascii="Microsoft JhengHei"/>
                <w:b/>
                <w:sz w:val="13"/>
              </w:rPr>
            </w:pPr>
          </w:p>
          <w:p>
            <w:pPr>
              <w:pStyle w:val="TableParagraph"/>
              <w:ind w:left="175" w:right="146"/>
              <w:jc w:val="center"/>
              <w:rPr>
                <w:sz w:val="18"/>
              </w:rPr>
            </w:pPr>
            <w:r>
              <w:rPr>
                <w:sz w:val="18"/>
              </w:rPr>
              <w:t>12.85%</w:t>
            </w:r>
          </w:p>
        </w:tc>
        <w:tc>
          <w:tcPr>
            <w:tcW w:w="991" w:type="dxa"/>
            <w:tcBorders>
              <w:top w:val="single" w:sz="4" w:space="0" w:color="000000"/>
              <w:left w:val="single" w:sz="4" w:space="0" w:color="000000"/>
              <w:right w:val="single" w:sz="4" w:space="0" w:color="000000"/>
            </w:tcBorders>
          </w:tcPr>
          <w:p>
            <w:pPr>
              <w:pStyle w:val="TableParagraph"/>
              <w:spacing w:before="3"/>
              <w:rPr>
                <w:rFonts w:ascii="Microsoft JhengHei"/>
                <w:b/>
                <w:sz w:val="13"/>
              </w:rPr>
            </w:pPr>
          </w:p>
          <w:p>
            <w:pPr>
              <w:pStyle w:val="TableParagraph"/>
              <w:ind w:right="273"/>
              <w:jc w:val="right"/>
              <w:rPr>
                <w:sz w:val="18"/>
              </w:rPr>
            </w:pPr>
            <w:r>
              <w:rPr>
                <w:sz w:val="18"/>
              </w:rPr>
              <w:t>0.973</w:t>
            </w:r>
          </w:p>
        </w:tc>
        <w:tc>
          <w:tcPr>
            <w:tcW w:w="994" w:type="dxa"/>
            <w:tcBorders>
              <w:top w:val="single" w:sz="4" w:space="0" w:color="000000"/>
              <w:left w:val="single" w:sz="4" w:space="0" w:color="000000"/>
              <w:right w:val="single" w:sz="4" w:space="0" w:color="000000"/>
            </w:tcBorders>
          </w:tcPr>
          <w:p>
            <w:pPr>
              <w:pStyle w:val="TableParagraph"/>
              <w:spacing w:before="3"/>
              <w:rPr>
                <w:rFonts w:ascii="Microsoft JhengHei"/>
                <w:b/>
                <w:sz w:val="13"/>
              </w:rPr>
            </w:pPr>
          </w:p>
          <w:p>
            <w:pPr>
              <w:pStyle w:val="TableParagraph"/>
              <w:ind w:left="143" w:right="116"/>
              <w:jc w:val="center"/>
              <w:rPr>
                <w:sz w:val="18"/>
              </w:rPr>
            </w:pPr>
            <w:r>
              <w:rPr>
                <w:sz w:val="18"/>
              </w:rPr>
              <w:t>0.942</w:t>
            </w:r>
          </w:p>
        </w:tc>
        <w:tc>
          <w:tcPr>
            <w:tcW w:w="1274" w:type="dxa"/>
            <w:tcBorders>
              <w:top w:val="single" w:sz="4" w:space="0" w:color="000000"/>
              <w:left w:val="single" w:sz="4" w:space="0" w:color="000000"/>
              <w:right w:val="single" w:sz="4" w:space="0" w:color="000000"/>
            </w:tcBorders>
          </w:tcPr>
          <w:p>
            <w:pPr>
              <w:pStyle w:val="TableParagraph"/>
              <w:spacing w:before="3"/>
              <w:rPr>
                <w:rFonts w:ascii="Microsoft JhengHei"/>
                <w:b/>
                <w:sz w:val="13"/>
              </w:rPr>
            </w:pPr>
          </w:p>
          <w:p>
            <w:pPr>
              <w:pStyle w:val="TableParagraph"/>
              <w:ind w:left="175" w:right="148"/>
              <w:jc w:val="center"/>
              <w:rPr>
                <w:sz w:val="18"/>
              </w:rPr>
            </w:pPr>
            <w:r>
              <w:rPr>
                <w:sz w:val="18"/>
              </w:rPr>
              <w:t>13.43%</w:t>
            </w:r>
          </w:p>
        </w:tc>
        <w:tc>
          <w:tcPr>
            <w:tcW w:w="994" w:type="dxa"/>
            <w:tcBorders>
              <w:top w:val="single" w:sz="4" w:space="0" w:color="000000"/>
              <w:left w:val="single" w:sz="4" w:space="0" w:color="000000"/>
              <w:right w:val="single" w:sz="4" w:space="0" w:color="000000"/>
            </w:tcBorders>
          </w:tcPr>
          <w:p>
            <w:pPr>
              <w:pStyle w:val="TableParagraph"/>
              <w:spacing w:before="3"/>
              <w:rPr>
                <w:rFonts w:ascii="Microsoft JhengHei"/>
                <w:b/>
                <w:sz w:val="13"/>
              </w:rPr>
            </w:pPr>
          </w:p>
          <w:p>
            <w:pPr>
              <w:pStyle w:val="TableParagraph"/>
              <w:ind w:left="143" w:right="116"/>
              <w:jc w:val="center"/>
              <w:rPr>
                <w:sz w:val="18"/>
              </w:rPr>
            </w:pPr>
            <w:r>
              <w:rPr>
                <w:sz w:val="18"/>
              </w:rPr>
              <w:t>0.903</w:t>
            </w:r>
          </w:p>
        </w:tc>
        <w:tc>
          <w:tcPr>
            <w:tcW w:w="991" w:type="dxa"/>
            <w:tcBorders>
              <w:top w:val="single" w:sz="4" w:space="0" w:color="000000"/>
              <w:left w:val="single" w:sz="4" w:space="0" w:color="000000"/>
            </w:tcBorders>
          </w:tcPr>
          <w:p>
            <w:pPr>
              <w:pStyle w:val="TableParagraph"/>
              <w:spacing w:before="3"/>
              <w:rPr>
                <w:rFonts w:ascii="Microsoft JhengHei"/>
                <w:b/>
                <w:sz w:val="13"/>
              </w:rPr>
            </w:pPr>
          </w:p>
          <w:p>
            <w:pPr>
              <w:pStyle w:val="TableParagraph"/>
              <w:ind w:left="123" w:right="88"/>
              <w:jc w:val="center"/>
              <w:rPr>
                <w:sz w:val="18"/>
              </w:rPr>
            </w:pPr>
            <w:r>
              <w:rPr>
                <w:sz w:val="18"/>
              </w:rPr>
              <w:t>0.866</w:t>
            </w:r>
          </w:p>
        </w:tc>
      </w:tr>
    </w:tbl>
    <w:p>
      <w:pPr>
        <w:pStyle w:val="BodyText"/>
        <w:spacing w:before="7"/>
        <w:rPr>
          <w:rFonts w:ascii="Microsoft JhengHei"/>
          <w:b/>
          <w:sz w:val="8"/>
        </w:rPr>
      </w:pPr>
    </w:p>
    <w:p>
      <w:pPr>
        <w:pStyle w:val="Heading4"/>
        <w:spacing w:before="9"/>
        <w:ind w:left="1950"/>
      </w:pPr>
      <w:r>
        <w:rPr>
          <w:rFonts w:ascii="Times New Roman" w:eastAsia="Times New Roman"/>
        </w:rPr>
        <w:t>2</w:t>
      </w:r>
      <w:r>
        <w:rPr/>
        <w:t>、非经常性损益</w:t>
      </w:r>
    </w:p>
    <w:p>
      <w:pPr>
        <w:pStyle w:val="BodyText"/>
        <w:rPr>
          <w:rFonts w:ascii="Microsoft JhengHei"/>
          <w:b/>
          <w:sz w:val="5"/>
        </w:rPr>
      </w:pPr>
    </w:p>
    <w:tbl>
      <w:tblPr>
        <w:tblW w:w="0" w:type="auto"/>
        <w:jc w:val="left"/>
        <w:tblInd w:w="170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669"/>
        <w:gridCol w:w="1985"/>
        <w:gridCol w:w="1873"/>
      </w:tblGrid>
      <w:tr>
        <w:trPr>
          <w:trHeight w:val="371" w:hRule="atLeast"/>
        </w:trPr>
        <w:tc>
          <w:tcPr>
            <w:tcW w:w="4669" w:type="dxa"/>
            <w:tcBorders>
              <w:bottom w:val="single" w:sz="4" w:space="0" w:color="000000"/>
              <w:right w:val="single" w:sz="4" w:space="0" w:color="000000"/>
            </w:tcBorders>
          </w:tcPr>
          <w:p>
            <w:pPr>
              <w:pStyle w:val="TableParagraph"/>
              <w:spacing w:before="9"/>
              <w:ind w:left="2132" w:right="2116"/>
              <w:jc w:val="center"/>
              <w:rPr>
                <w:rFonts w:ascii="Microsoft JhengHei" w:eastAsia="Microsoft JhengHei" w:hint="eastAsia"/>
                <w:b/>
                <w:sz w:val="18"/>
              </w:rPr>
            </w:pPr>
            <w:r>
              <w:rPr>
                <w:rFonts w:ascii="Microsoft JhengHei" w:eastAsia="Microsoft JhengHei" w:hint="eastAsia"/>
                <w:b/>
                <w:sz w:val="18"/>
              </w:rPr>
              <w:t>项目</w:t>
            </w:r>
          </w:p>
        </w:tc>
        <w:tc>
          <w:tcPr>
            <w:tcW w:w="1985" w:type="dxa"/>
            <w:tcBorders>
              <w:left w:val="single" w:sz="4" w:space="0" w:color="000000"/>
              <w:bottom w:val="single" w:sz="4" w:space="0" w:color="000000"/>
              <w:right w:val="single" w:sz="4" w:space="0" w:color="000000"/>
            </w:tcBorders>
          </w:tcPr>
          <w:p>
            <w:pPr>
              <w:pStyle w:val="TableParagraph"/>
              <w:spacing w:before="9"/>
              <w:ind w:left="549"/>
              <w:rPr>
                <w:rFonts w:ascii="Microsoft JhengHei" w:eastAsia="Microsoft JhengHei" w:hint="eastAsia"/>
                <w:b/>
                <w:sz w:val="18"/>
              </w:rPr>
            </w:pPr>
            <w:r>
              <w:rPr>
                <w:rFonts w:ascii="Microsoft JhengHei" w:eastAsia="Microsoft JhengHei" w:hint="eastAsia"/>
                <w:b/>
                <w:sz w:val="18"/>
              </w:rPr>
              <w:t>本期发生额</w:t>
            </w:r>
          </w:p>
        </w:tc>
        <w:tc>
          <w:tcPr>
            <w:tcW w:w="1873" w:type="dxa"/>
            <w:tcBorders>
              <w:left w:val="single" w:sz="4" w:space="0" w:color="000000"/>
              <w:bottom w:val="single" w:sz="4" w:space="0" w:color="000000"/>
            </w:tcBorders>
          </w:tcPr>
          <w:p>
            <w:pPr>
              <w:pStyle w:val="TableParagraph"/>
              <w:spacing w:before="9"/>
              <w:ind w:left="494"/>
              <w:rPr>
                <w:rFonts w:ascii="Microsoft JhengHei" w:eastAsia="Microsoft JhengHei" w:hint="eastAsia"/>
                <w:b/>
                <w:sz w:val="18"/>
              </w:rPr>
            </w:pPr>
            <w:r>
              <w:rPr>
                <w:rFonts w:ascii="Microsoft JhengHei" w:eastAsia="Microsoft JhengHei" w:hint="eastAsia"/>
                <w:b/>
                <w:sz w:val="18"/>
              </w:rPr>
              <w:t>上期发生额</w:t>
            </w:r>
          </w:p>
        </w:tc>
      </w:tr>
      <w:tr>
        <w:trPr>
          <w:trHeight w:val="366" w:hRule="atLeast"/>
        </w:trPr>
        <w:tc>
          <w:tcPr>
            <w:tcW w:w="4669" w:type="dxa"/>
            <w:tcBorders>
              <w:top w:val="single" w:sz="4" w:space="0" w:color="000000"/>
              <w:bottom w:val="single" w:sz="4" w:space="0" w:color="000000"/>
              <w:right w:val="single" w:sz="4" w:space="0" w:color="000000"/>
            </w:tcBorders>
          </w:tcPr>
          <w:p>
            <w:pPr>
              <w:pStyle w:val="TableParagraph"/>
              <w:spacing w:before="67"/>
              <w:ind w:left="104"/>
              <w:rPr>
                <w:rFonts w:ascii="宋体" w:eastAsia="宋体" w:hint="eastAsia"/>
                <w:sz w:val="18"/>
              </w:rPr>
            </w:pPr>
            <w:r>
              <w:rPr>
                <w:rFonts w:ascii="宋体" w:eastAsia="宋体" w:hint="eastAsia"/>
                <w:sz w:val="18"/>
              </w:rPr>
              <w:t>归属于母公司普通股股东的净利润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before="74"/>
              <w:ind w:left="626"/>
              <w:rPr>
                <w:sz w:val="18"/>
              </w:rPr>
            </w:pPr>
            <w:r>
              <w:rPr>
                <w:sz w:val="18"/>
              </w:rPr>
              <w:t>8,876,593,208.19</w:t>
            </w:r>
          </w:p>
        </w:tc>
        <w:tc>
          <w:tcPr>
            <w:tcW w:w="1873" w:type="dxa"/>
            <w:tcBorders>
              <w:top w:val="single" w:sz="4" w:space="0" w:color="000000"/>
              <w:left w:val="single" w:sz="4" w:space="0" w:color="000000"/>
              <w:bottom w:val="single" w:sz="4" w:space="0" w:color="000000"/>
            </w:tcBorders>
          </w:tcPr>
          <w:p>
            <w:pPr>
              <w:pStyle w:val="TableParagraph"/>
              <w:spacing w:before="74"/>
              <w:ind w:left="513"/>
              <w:rPr>
                <w:sz w:val="18"/>
              </w:rPr>
            </w:pPr>
            <w:r>
              <w:rPr>
                <w:sz w:val="18"/>
              </w:rPr>
              <w:t>8,206,247,105.96</w:t>
            </w:r>
          </w:p>
        </w:tc>
      </w:tr>
      <w:tr>
        <w:trPr>
          <w:trHeight w:val="369" w:hRule="atLeast"/>
        </w:trPr>
        <w:tc>
          <w:tcPr>
            <w:tcW w:w="4669" w:type="dxa"/>
            <w:tcBorders>
              <w:top w:val="single" w:sz="4" w:space="0" w:color="000000"/>
              <w:bottom w:val="single" w:sz="4" w:space="0" w:color="000000"/>
              <w:right w:val="single" w:sz="4" w:space="0" w:color="000000"/>
            </w:tcBorders>
          </w:tcPr>
          <w:p>
            <w:pPr>
              <w:pStyle w:val="TableParagraph"/>
              <w:spacing w:before="69"/>
              <w:ind w:left="104"/>
              <w:rPr>
                <w:rFonts w:ascii="宋体" w:eastAsia="宋体" w:hint="eastAsia"/>
                <w:sz w:val="18"/>
              </w:rPr>
            </w:pPr>
            <w:r>
              <w:rPr>
                <w:rFonts w:ascii="宋体" w:eastAsia="宋体" w:hint="eastAsia"/>
                <w:sz w:val="18"/>
              </w:rPr>
              <w:t>减：非经常性损益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before="76"/>
              <w:ind w:left="626"/>
              <w:rPr>
                <w:sz w:val="18"/>
              </w:rPr>
            </w:pPr>
            <w:r>
              <w:rPr>
                <w:sz w:val="18"/>
              </w:rPr>
              <w:t>2,418,779,872.82</w:t>
            </w:r>
          </w:p>
        </w:tc>
        <w:tc>
          <w:tcPr>
            <w:tcW w:w="1873" w:type="dxa"/>
            <w:tcBorders>
              <w:top w:val="single" w:sz="4" w:space="0" w:color="000000"/>
              <w:left w:val="single" w:sz="4" w:space="0" w:color="000000"/>
              <w:bottom w:val="single" w:sz="4" w:space="0" w:color="000000"/>
            </w:tcBorders>
          </w:tcPr>
          <w:p>
            <w:pPr>
              <w:pStyle w:val="TableParagraph"/>
              <w:spacing w:before="76"/>
              <w:ind w:left="513"/>
              <w:rPr>
                <w:sz w:val="18"/>
              </w:rPr>
            </w:pPr>
            <w:r>
              <w:rPr>
                <w:sz w:val="18"/>
              </w:rPr>
              <w:t>2,441,082,405.21</w:t>
            </w:r>
          </w:p>
        </w:tc>
      </w:tr>
      <w:tr>
        <w:trPr>
          <w:trHeight w:val="369" w:hRule="atLeast"/>
        </w:trPr>
        <w:tc>
          <w:tcPr>
            <w:tcW w:w="4669" w:type="dxa"/>
            <w:tcBorders>
              <w:top w:val="single" w:sz="4" w:space="0" w:color="000000"/>
              <w:right w:val="single" w:sz="4" w:space="0" w:color="000000"/>
            </w:tcBorders>
          </w:tcPr>
          <w:p>
            <w:pPr>
              <w:pStyle w:val="TableParagraph"/>
              <w:spacing w:before="69"/>
              <w:ind w:left="104"/>
              <w:rPr>
                <w:rFonts w:ascii="宋体" w:eastAsia="宋体" w:hint="eastAsia"/>
                <w:sz w:val="18"/>
              </w:rPr>
            </w:pPr>
            <w:r>
              <w:rPr>
                <w:rFonts w:ascii="宋体" w:eastAsia="宋体" w:hint="eastAsia"/>
                <w:sz w:val="18"/>
              </w:rPr>
              <w:t>扣除非经常性损益后归属于母公司普通股股东的净利润</w:t>
            </w:r>
          </w:p>
        </w:tc>
        <w:tc>
          <w:tcPr>
            <w:tcW w:w="1985" w:type="dxa"/>
            <w:tcBorders>
              <w:top w:val="single" w:sz="4" w:space="0" w:color="000000"/>
              <w:left w:val="single" w:sz="4" w:space="0" w:color="000000"/>
              <w:right w:val="single" w:sz="4" w:space="0" w:color="000000"/>
            </w:tcBorders>
          </w:tcPr>
          <w:p>
            <w:pPr>
              <w:pStyle w:val="TableParagraph"/>
              <w:spacing w:before="76"/>
              <w:ind w:left="626"/>
              <w:rPr>
                <w:sz w:val="18"/>
              </w:rPr>
            </w:pPr>
            <w:r>
              <w:rPr>
                <w:sz w:val="18"/>
              </w:rPr>
              <w:t>6,457,813,335.37</w:t>
            </w:r>
          </w:p>
        </w:tc>
        <w:tc>
          <w:tcPr>
            <w:tcW w:w="1873" w:type="dxa"/>
            <w:tcBorders>
              <w:top w:val="single" w:sz="4" w:space="0" w:color="000000"/>
              <w:left w:val="single" w:sz="4" w:space="0" w:color="000000"/>
            </w:tcBorders>
          </w:tcPr>
          <w:p>
            <w:pPr>
              <w:pStyle w:val="TableParagraph"/>
              <w:spacing w:before="76"/>
              <w:ind w:left="513"/>
              <w:rPr>
                <w:sz w:val="18"/>
              </w:rPr>
            </w:pPr>
            <w:r>
              <w:rPr>
                <w:sz w:val="18"/>
              </w:rPr>
              <w:t>5,765,164,700.75</w:t>
            </w:r>
          </w:p>
        </w:tc>
      </w:tr>
    </w:tbl>
    <w:p>
      <w:pPr>
        <w:pStyle w:val="BodyText"/>
        <w:spacing w:before="13"/>
        <w:rPr>
          <w:rFonts w:ascii="Microsoft JhengHei"/>
          <w:b/>
          <w:sz w:val="27"/>
        </w:rPr>
      </w:pPr>
    </w:p>
    <w:p>
      <w:pPr>
        <w:pStyle w:val="Heading3"/>
        <w:spacing w:before="0"/>
        <w:ind w:left="1950" w:right="0" w:firstLine="0"/>
      </w:pPr>
      <w:r>
        <w:rPr/>
        <w:t>本期非经常性损益明细表</w:t>
      </w:r>
    </w:p>
    <w:p>
      <w:pPr>
        <w:pStyle w:val="BodyText"/>
        <w:spacing w:before="1"/>
        <w:rPr>
          <w:sz w:val="11"/>
        </w:rPr>
      </w:pPr>
    </w:p>
    <w:tbl>
      <w:tblPr>
        <w:tblW w:w="0" w:type="auto"/>
        <w:jc w:val="left"/>
        <w:tblInd w:w="168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823"/>
        <w:gridCol w:w="2743"/>
      </w:tblGrid>
      <w:tr>
        <w:trPr>
          <w:trHeight w:val="371" w:hRule="atLeast"/>
        </w:trPr>
        <w:tc>
          <w:tcPr>
            <w:tcW w:w="5823" w:type="dxa"/>
            <w:tcBorders>
              <w:bottom w:val="single" w:sz="4" w:space="0" w:color="000000"/>
              <w:right w:val="single" w:sz="4" w:space="0" w:color="000000"/>
            </w:tcBorders>
          </w:tcPr>
          <w:p>
            <w:pPr>
              <w:pStyle w:val="TableParagraph"/>
              <w:spacing w:line="351" w:lineRule="exact"/>
              <w:ind w:left="2051" w:right="2032"/>
              <w:jc w:val="center"/>
              <w:rPr>
                <w:rFonts w:ascii="Microsoft JhengHei" w:eastAsia="Microsoft JhengHei" w:hint="eastAsia"/>
                <w:b/>
                <w:sz w:val="21"/>
              </w:rPr>
            </w:pPr>
            <w:r>
              <w:rPr>
                <w:rFonts w:ascii="Microsoft JhengHei" w:eastAsia="Microsoft JhengHei" w:hint="eastAsia"/>
                <w:b/>
                <w:sz w:val="21"/>
              </w:rPr>
              <w:t>非经常性损益项目</w:t>
            </w:r>
          </w:p>
        </w:tc>
        <w:tc>
          <w:tcPr>
            <w:tcW w:w="2743" w:type="dxa"/>
            <w:tcBorders>
              <w:left w:val="single" w:sz="4" w:space="0" w:color="000000"/>
              <w:bottom w:val="single" w:sz="4" w:space="0" w:color="000000"/>
            </w:tcBorders>
          </w:tcPr>
          <w:p>
            <w:pPr>
              <w:pStyle w:val="TableParagraph"/>
              <w:spacing w:line="351" w:lineRule="exact"/>
              <w:ind w:left="852"/>
              <w:rPr>
                <w:rFonts w:ascii="Microsoft JhengHei" w:eastAsia="Microsoft JhengHei" w:hint="eastAsia"/>
                <w:b/>
                <w:sz w:val="21"/>
              </w:rPr>
            </w:pPr>
            <w:r>
              <w:rPr>
                <w:rFonts w:ascii="Microsoft JhengHei" w:eastAsia="Microsoft JhengHei" w:hint="eastAsia"/>
                <w:b/>
                <w:sz w:val="21"/>
              </w:rPr>
              <w:t>本期发生额</w:t>
            </w:r>
          </w:p>
        </w:tc>
      </w:tr>
      <w:tr>
        <w:trPr>
          <w:trHeight w:val="366" w:hRule="atLeast"/>
        </w:trPr>
        <w:tc>
          <w:tcPr>
            <w:tcW w:w="582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非流动资产处置损益</w:t>
            </w:r>
          </w:p>
        </w:tc>
        <w:tc>
          <w:tcPr>
            <w:tcW w:w="2743" w:type="dxa"/>
            <w:tcBorders>
              <w:top w:val="single" w:sz="4" w:space="0" w:color="000000"/>
              <w:left w:val="single" w:sz="4" w:space="0" w:color="000000"/>
              <w:bottom w:val="single" w:sz="4" w:space="0" w:color="000000"/>
            </w:tcBorders>
          </w:tcPr>
          <w:p>
            <w:pPr>
              <w:pStyle w:val="TableParagraph"/>
              <w:spacing w:before="55"/>
              <w:ind w:right="75"/>
              <w:jc w:val="right"/>
              <w:rPr>
                <w:sz w:val="21"/>
              </w:rPr>
            </w:pPr>
            <w:r>
              <w:rPr>
                <w:sz w:val="21"/>
              </w:rPr>
              <w:t>-111,277,546.78</w:t>
            </w:r>
          </w:p>
        </w:tc>
      </w:tr>
      <w:tr>
        <w:trPr>
          <w:trHeight w:val="369" w:hRule="atLeast"/>
        </w:trPr>
        <w:tc>
          <w:tcPr>
            <w:tcW w:w="5823" w:type="dxa"/>
            <w:tcBorders>
              <w:top w:val="single" w:sz="4" w:space="0" w:color="000000"/>
              <w:bottom w:val="single" w:sz="4" w:space="0" w:color="000000"/>
              <w:right w:val="single" w:sz="4" w:space="0" w:color="000000"/>
            </w:tcBorders>
          </w:tcPr>
          <w:p>
            <w:pPr>
              <w:pStyle w:val="TableParagraph"/>
              <w:spacing w:before="51"/>
              <w:ind w:left="107"/>
              <w:rPr>
                <w:rFonts w:ascii="宋体" w:eastAsia="宋体" w:hint="eastAsia"/>
                <w:sz w:val="21"/>
              </w:rPr>
            </w:pPr>
            <w:r>
              <w:rPr>
                <w:rFonts w:ascii="宋体" w:eastAsia="宋体" w:hint="eastAsia"/>
                <w:sz w:val="21"/>
              </w:rPr>
              <w:t>长期股权投资处置收益</w:t>
            </w:r>
          </w:p>
        </w:tc>
        <w:tc>
          <w:tcPr>
            <w:tcW w:w="2743"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2,261,114,345.13</w:t>
            </w:r>
          </w:p>
        </w:tc>
      </w:tr>
      <w:tr>
        <w:trPr>
          <w:trHeight w:val="817" w:hRule="atLeast"/>
        </w:trPr>
        <w:tc>
          <w:tcPr>
            <w:tcW w:w="5823" w:type="dxa"/>
            <w:tcBorders>
              <w:top w:val="single" w:sz="4" w:space="0" w:color="000000"/>
              <w:bottom w:val="single" w:sz="4" w:space="0" w:color="000000"/>
              <w:right w:val="single" w:sz="4" w:space="0" w:color="000000"/>
            </w:tcBorders>
          </w:tcPr>
          <w:p>
            <w:pPr>
              <w:pStyle w:val="TableParagraph"/>
              <w:spacing w:before="1"/>
              <w:ind w:left="107"/>
              <w:rPr>
                <w:rFonts w:ascii="宋体" w:eastAsia="宋体" w:hint="eastAsia"/>
                <w:sz w:val="21"/>
              </w:rPr>
            </w:pPr>
            <w:r>
              <w:rPr>
                <w:rFonts w:ascii="宋体" w:eastAsia="宋体" w:hint="eastAsia"/>
                <w:sz w:val="21"/>
              </w:rPr>
              <w:t>计入当期损益的政府补助，但与公司正常经营业务密切相关，</w:t>
            </w:r>
          </w:p>
          <w:p>
            <w:pPr>
              <w:pStyle w:val="TableParagraph"/>
              <w:spacing w:line="270" w:lineRule="atLeast" w:before="3"/>
              <w:ind w:left="107" w:right="85"/>
              <w:rPr>
                <w:rFonts w:ascii="宋体" w:eastAsia="宋体" w:hint="eastAsia"/>
                <w:sz w:val="21"/>
              </w:rPr>
            </w:pPr>
            <w:r>
              <w:rPr>
                <w:rFonts w:ascii="宋体" w:eastAsia="宋体" w:hint="eastAsia"/>
                <w:spacing w:val="-11"/>
                <w:sz w:val="21"/>
              </w:rPr>
              <w:t>符合国家政策规定、按照一定标准定额或定量持续享受的政府</w:t>
            </w:r>
            <w:r>
              <w:rPr>
                <w:rFonts w:ascii="宋体" w:eastAsia="宋体" w:hint="eastAsia"/>
                <w:spacing w:val="-1"/>
                <w:sz w:val="21"/>
              </w:rPr>
              <w:t>补助除外</w:t>
            </w:r>
          </w:p>
        </w:tc>
        <w:tc>
          <w:tcPr>
            <w:tcW w:w="2743" w:type="dxa"/>
            <w:tcBorders>
              <w:top w:val="single" w:sz="4" w:space="0" w:color="000000"/>
              <w:left w:val="single" w:sz="4" w:space="0" w:color="000000"/>
              <w:bottom w:val="single" w:sz="4" w:space="0" w:color="000000"/>
            </w:tcBorders>
          </w:tcPr>
          <w:p>
            <w:pPr>
              <w:pStyle w:val="TableParagraph"/>
              <w:spacing w:before="12"/>
              <w:rPr>
                <w:rFonts w:ascii="宋体"/>
                <w:sz w:val="21"/>
              </w:rPr>
            </w:pPr>
          </w:p>
          <w:p>
            <w:pPr>
              <w:pStyle w:val="TableParagraph"/>
              <w:ind w:right="75"/>
              <w:jc w:val="right"/>
              <w:rPr>
                <w:sz w:val="21"/>
              </w:rPr>
            </w:pPr>
            <w:r>
              <w:rPr>
                <w:sz w:val="21"/>
              </w:rPr>
              <w:t>844,925,723.90</w:t>
            </w:r>
          </w:p>
        </w:tc>
      </w:tr>
      <w:tr>
        <w:trPr>
          <w:trHeight w:val="544" w:hRule="atLeast"/>
        </w:trPr>
        <w:tc>
          <w:tcPr>
            <w:tcW w:w="5823" w:type="dxa"/>
            <w:tcBorders>
              <w:top w:val="single" w:sz="4" w:space="0" w:color="000000"/>
              <w:bottom w:val="single" w:sz="4" w:space="0" w:color="000000"/>
              <w:right w:val="single" w:sz="4" w:space="0" w:color="000000"/>
            </w:tcBorders>
          </w:tcPr>
          <w:p>
            <w:pPr>
              <w:pStyle w:val="TableParagraph"/>
              <w:spacing w:before="1"/>
              <w:ind w:left="107"/>
              <w:rPr>
                <w:rFonts w:ascii="宋体" w:eastAsia="宋体" w:hint="eastAsia"/>
                <w:sz w:val="21"/>
              </w:rPr>
            </w:pPr>
            <w:r>
              <w:rPr>
                <w:rFonts w:ascii="宋体" w:eastAsia="宋体" w:hint="eastAsia"/>
                <w:sz w:val="21"/>
              </w:rPr>
              <w:t>企业取得子公司、联营企业及合营企业的投资成本小于取得投</w:t>
            </w:r>
          </w:p>
          <w:p>
            <w:pPr>
              <w:pStyle w:val="TableParagraph"/>
              <w:spacing w:line="250" w:lineRule="exact" w:before="4"/>
              <w:ind w:left="107"/>
              <w:rPr>
                <w:rFonts w:ascii="宋体" w:eastAsia="宋体" w:hint="eastAsia"/>
                <w:sz w:val="21"/>
              </w:rPr>
            </w:pPr>
            <w:r>
              <w:rPr>
                <w:rFonts w:ascii="宋体" w:eastAsia="宋体" w:hint="eastAsia"/>
                <w:sz w:val="21"/>
              </w:rPr>
              <w:t>资时应享有被投资单位可辨认净资产公允价值产生的收益</w:t>
            </w:r>
          </w:p>
        </w:tc>
        <w:tc>
          <w:tcPr>
            <w:tcW w:w="2743" w:type="dxa"/>
            <w:tcBorders>
              <w:top w:val="single" w:sz="4" w:space="0" w:color="000000"/>
              <w:left w:val="single" w:sz="4" w:space="0" w:color="000000"/>
              <w:bottom w:val="single" w:sz="4" w:space="0" w:color="000000"/>
            </w:tcBorders>
          </w:tcPr>
          <w:p>
            <w:pPr>
              <w:pStyle w:val="TableParagraph"/>
              <w:spacing w:before="130"/>
              <w:ind w:right="-29"/>
              <w:jc w:val="right"/>
              <w:rPr>
                <w:rFonts w:ascii="宋体"/>
                <w:sz w:val="21"/>
              </w:rPr>
            </w:pPr>
            <w:r>
              <w:rPr>
                <w:rFonts w:ascii="宋体"/>
                <w:w w:val="100"/>
                <w:sz w:val="21"/>
              </w:rPr>
              <w:t> </w:t>
            </w:r>
          </w:p>
        </w:tc>
      </w:tr>
      <w:tr>
        <w:trPr>
          <w:trHeight w:val="1089" w:hRule="atLeast"/>
        </w:trPr>
        <w:tc>
          <w:tcPr>
            <w:tcW w:w="5823" w:type="dxa"/>
            <w:tcBorders>
              <w:top w:val="single" w:sz="4" w:space="0" w:color="000000"/>
              <w:bottom w:val="single" w:sz="4" w:space="0" w:color="000000"/>
              <w:right w:val="single" w:sz="4" w:space="0" w:color="000000"/>
            </w:tcBorders>
          </w:tcPr>
          <w:p>
            <w:pPr>
              <w:pStyle w:val="TableParagraph"/>
              <w:spacing w:line="242" w:lineRule="auto" w:before="1"/>
              <w:ind w:left="107" w:right="85"/>
              <w:jc w:val="both"/>
              <w:rPr>
                <w:rFonts w:ascii="宋体" w:eastAsia="宋体" w:hint="eastAsia"/>
                <w:sz w:val="21"/>
              </w:rPr>
            </w:pPr>
            <w:r>
              <w:rPr>
                <w:rFonts w:ascii="宋体" w:eastAsia="宋体" w:hint="eastAsia"/>
                <w:spacing w:val="-7"/>
                <w:sz w:val="21"/>
              </w:rPr>
              <w:t>除同公司正常经营业务相关的有效套期保值业务外，持有交易</w:t>
            </w:r>
            <w:r>
              <w:rPr>
                <w:rFonts w:ascii="宋体" w:eastAsia="宋体" w:hint="eastAsia"/>
                <w:spacing w:val="-8"/>
                <w:sz w:val="21"/>
              </w:rPr>
              <w:t>性金融资产、交易性金融负债产生的公允价值变动损益，以及</w:t>
            </w:r>
            <w:r>
              <w:rPr>
                <w:rFonts w:ascii="宋体" w:eastAsia="宋体" w:hint="eastAsia"/>
                <w:spacing w:val="-11"/>
                <w:sz w:val="21"/>
              </w:rPr>
              <w:t>处置交易性金融资产、交易性金融负债和可供出售金融资产取</w:t>
            </w:r>
          </w:p>
          <w:p>
            <w:pPr>
              <w:pStyle w:val="TableParagraph"/>
              <w:spacing w:line="250" w:lineRule="exact" w:before="3"/>
              <w:ind w:left="107"/>
              <w:rPr>
                <w:rFonts w:ascii="宋体" w:eastAsia="宋体" w:hint="eastAsia"/>
                <w:sz w:val="21"/>
              </w:rPr>
            </w:pPr>
            <w:r>
              <w:rPr>
                <w:rFonts w:ascii="宋体" w:eastAsia="宋体" w:hint="eastAsia"/>
                <w:sz w:val="21"/>
              </w:rPr>
              <w:t>得的投资收益</w:t>
            </w:r>
          </w:p>
        </w:tc>
        <w:tc>
          <w:tcPr>
            <w:tcW w:w="2743" w:type="dxa"/>
            <w:tcBorders>
              <w:top w:val="single" w:sz="4" w:space="0" w:color="000000"/>
              <w:left w:val="single" w:sz="4" w:space="0" w:color="000000"/>
              <w:bottom w:val="single" w:sz="4" w:space="0" w:color="000000"/>
            </w:tcBorders>
          </w:tcPr>
          <w:p>
            <w:pPr>
              <w:pStyle w:val="TableParagraph"/>
              <w:spacing w:before="8"/>
              <w:rPr>
                <w:rFonts w:ascii="宋体"/>
                <w:sz w:val="32"/>
              </w:rPr>
            </w:pPr>
          </w:p>
          <w:p>
            <w:pPr>
              <w:pStyle w:val="TableParagraph"/>
              <w:ind w:right="75"/>
              <w:jc w:val="right"/>
              <w:rPr>
                <w:sz w:val="21"/>
              </w:rPr>
            </w:pPr>
            <w:r>
              <w:rPr>
                <w:sz w:val="21"/>
              </w:rPr>
              <w:t>132,357,789.61</w:t>
            </w:r>
          </w:p>
        </w:tc>
      </w:tr>
      <w:tr>
        <w:trPr>
          <w:trHeight w:val="369" w:hRule="atLeast"/>
        </w:trPr>
        <w:tc>
          <w:tcPr>
            <w:tcW w:w="582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除上述各项之外的其他营业外收入和支出</w:t>
            </w:r>
          </w:p>
        </w:tc>
        <w:tc>
          <w:tcPr>
            <w:tcW w:w="2743"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54,990,221.87</w:t>
            </w:r>
          </w:p>
        </w:tc>
      </w:tr>
      <w:tr>
        <w:trPr>
          <w:trHeight w:val="369" w:hRule="atLeast"/>
        </w:trPr>
        <w:tc>
          <w:tcPr>
            <w:tcW w:w="582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少数股东权益影响额</w:t>
            </w:r>
          </w:p>
        </w:tc>
        <w:tc>
          <w:tcPr>
            <w:tcW w:w="2743"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-389,539,423.67</w:t>
            </w:r>
          </w:p>
        </w:tc>
      </w:tr>
      <w:tr>
        <w:trPr>
          <w:trHeight w:val="369" w:hRule="atLeast"/>
        </w:trPr>
        <w:tc>
          <w:tcPr>
            <w:tcW w:w="582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所得税影响额</w:t>
            </w:r>
          </w:p>
        </w:tc>
        <w:tc>
          <w:tcPr>
            <w:tcW w:w="2743" w:type="dxa"/>
            <w:tcBorders>
              <w:top w:val="single" w:sz="4" w:space="0" w:color="000000"/>
              <w:left w:val="single" w:sz="4" w:space="0" w:color="000000"/>
              <w:bottom w:val="single" w:sz="4" w:space="0" w:color="000000"/>
            </w:tcBorders>
          </w:tcPr>
          <w:p>
            <w:pPr>
              <w:pStyle w:val="TableParagraph"/>
              <w:spacing w:before="58"/>
              <w:ind w:right="75"/>
              <w:jc w:val="right"/>
              <w:rPr>
                <w:sz w:val="21"/>
              </w:rPr>
            </w:pPr>
            <w:r>
              <w:rPr>
                <w:sz w:val="21"/>
              </w:rPr>
              <w:t>-373,791,237.24</w:t>
            </w:r>
          </w:p>
        </w:tc>
      </w:tr>
      <w:tr>
        <w:trPr>
          <w:trHeight w:val="369" w:hRule="atLeast"/>
        </w:trPr>
        <w:tc>
          <w:tcPr>
            <w:tcW w:w="5823" w:type="dxa"/>
            <w:tcBorders>
              <w:top w:val="single" w:sz="4" w:space="0" w:color="000000"/>
              <w:bottom w:val="single" w:sz="4" w:space="0" w:color="000000"/>
              <w:right w:val="single" w:sz="4" w:space="0" w:color="000000"/>
            </w:tcBorders>
          </w:tcPr>
          <w:p>
            <w:pPr>
              <w:pStyle w:val="TableParagraph"/>
              <w:spacing w:before="49"/>
              <w:ind w:left="107"/>
              <w:rPr>
                <w:rFonts w:ascii="宋体" w:eastAsia="宋体" w:hint="eastAsia"/>
                <w:sz w:val="21"/>
              </w:rPr>
            </w:pPr>
            <w:r>
              <w:rPr>
                <w:rFonts w:ascii="宋体" w:eastAsia="宋体" w:hint="eastAsia"/>
                <w:sz w:val="21"/>
              </w:rPr>
              <w:t>同一控制企业合并利润影响数</w:t>
            </w:r>
          </w:p>
        </w:tc>
        <w:tc>
          <w:tcPr>
            <w:tcW w:w="2743" w:type="dxa"/>
            <w:tcBorders>
              <w:top w:val="single" w:sz="4" w:space="0" w:color="000000"/>
              <w:left w:val="single" w:sz="4" w:space="0" w:color="000000"/>
              <w:bottom w:val="single" w:sz="4" w:space="0" w:color="000000"/>
            </w:tcBorders>
          </w:tcPr>
          <w:p>
            <w:pPr>
              <w:pStyle w:val="TableParagraph"/>
              <w:rPr>
                <w:sz w:val="20"/>
              </w:rPr>
            </w:pPr>
          </w:p>
        </w:tc>
      </w:tr>
      <w:tr>
        <w:trPr>
          <w:trHeight w:val="481" w:hRule="atLeast"/>
        </w:trPr>
        <w:tc>
          <w:tcPr>
            <w:tcW w:w="5823" w:type="dxa"/>
            <w:tcBorders>
              <w:top w:val="single" w:sz="4" w:space="0" w:color="000000"/>
              <w:right w:val="single" w:sz="4" w:space="0" w:color="000000"/>
            </w:tcBorders>
          </w:tcPr>
          <w:p>
            <w:pPr>
              <w:pStyle w:val="TableParagraph"/>
              <w:spacing w:before="106"/>
              <w:ind w:left="2051" w:right="2032"/>
              <w:jc w:val="center"/>
              <w:rPr>
                <w:rFonts w:ascii="宋体" w:eastAsia="宋体" w:hint="eastAsia"/>
                <w:sz w:val="21"/>
              </w:rPr>
            </w:pPr>
            <w:r>
              <w:rPr>
                <w:rFonts w:ascii="宋体" w:eastAsia="宋体" w:hint="eastAsia"/>
                <w:sz w:val="21"/>
              </w:rPr>
              <w:t>合计</w:t>
            </w:r>
          </w:p>
        </w:tc>
        <w:tc>
          <w:tcPr>
            <w:tcW w:w="2743" w:type="dxa"/>
            <w:tcBorders>
              <w:top w:val="single" w:sz="4" w:space="0" w:color="000000"/>
              <w:left w:val="single" w:sz="4" w:space="0" w:color="000000"/>
            </w:tcBorders>
          </w:tcPr>
          <w:p>
            <w:pPr>
              <w:pStyle w:val="TableParagraph"/>
              <w:spacing w:before="5"/>
              <w:rPr>
                <w:rFonts w:ascii="宋体"/>
                <w:sz w:val="18"/>
              </w:rPr>
            </w:pPr>
          </w:p>
          <w:p>
            <w:pPr>
              <w:pStyle w:val="TableParagraph"/>
              <w:spacing w:line="226" w:lineRule="exact"/>
              <w:ind w:right="75"/>
              <w:jc w:val="right"/>
              <w:rPr>
                <w:sz w:val="21"/>
              </w:rPr>
            </w:pPr>
            <w:r>
              <w:rPr>
                <w:sz w:val="21"/>
              </w:rPr>
              <w:t>2,418,779,872.82</w:t>
            </w:r>
          </w:p>
        </w:tc>
      </w:tr>
    </w:tbl>
    <w:p>
      <w:pPr>
        <w:pStyle w:val="BodyText"/>
        <w:spacing w:before="9"/>
        <w:rPr>
          <w:sz w:val="20"/>
        </w:rPr>
      </w:pPr>
    </w:p>
    <w:p>
      <w:pPr>
        <w:pStyle w:val="Heading4"/>
        <w:spacing w:before="1"/>
        <w:ind w:left="1958"/>
      </w:pPr>
      <w:r>
        <w:rPr>
          <w:rFonts w:ascii="Times New Roman" w:eastAsia="Times New Roman"/>
        </w:rPr>
        <w:t>3</w:t>
      </w:r>
      <w:r>
        <w:rPr/>
        <w:t>、境内外会计准则下会计数据差异</w:t>
      </w:r>
    </w:p>
    <w:p>
      <w:pPr>
        <w:pStyle w:val="BodyText"/>
        <w:spacing w:before="16"/>
        <w:ind w:left="1962"/>
      </w:pPr>
      <w:r>
        <w:rPr/>
        <w:t>□适用 √不适用</w:t>
      </w:r>
    </w:p>
    <w:p>
      <w:pPr>
        <w:pStyle w:val="BodyText"/>
        <w:spacing w:before="5"/>
        <w:rPr>
          <w:sz w:val="18"/>
        </w:rPr>
      </w:pPr>
    </w:p>
    <w:p>
      <w:pPr>
        <w:spacing w:before="0"/>
        <w:ind w:left="1958" w:right="0" w:firstLine="0"/>
        <w:jc w:val="left"/>
        <w:rPr>
          <w:rFonts w:ascii="Microsoft JhengHei" w:eastAsia="Microsoft JhengHei" w:hint="eastAsia"/>
          <w:b/>
          <w:sz w:val="21"/>
        </w:rPr>
      </w:pPr>
      <w:r>
        <w:rPr>
          <w:rFonts w:ascii="Times New Roman" w:eastAsia="Times New Roman"/>
          <w:sz w:val="21"/>
        </w:rPr>
        <w:t>4</w:t>
      </w:r>
      <w:r>
        <w:rPr>
          <w:sz w:val="21"/>
        </w:rPr>
        <w:t>、</w:t>
      </w:r>
      <w:r>
        <w:rPr>
          <w:rFonts w:ascii="Microsoft JhengHei" w:eastAsia="Microsoft JhengHei" w:hint="eastAsia"/>
          <w:b/>
          <w:sz w:val="21"/>
        </w:rPr>
        <w:t>其他</w:t>
      </w:r>
    </w:p>
    <w:p>
      <w:pPr>
        <w:pStyle w:val="BodyText"/>
        <w:tabs>
          <w:tab w:pos="2805" w:val="left" w:leader="none"/>
        </w:tabs>
        <w:spacing w:before="14"/>
        <w:ind w:left="1962"/>
      </w:pPr>
      <w:r>
        <w:rPr/>
        <w:t>□适用</w:t>
        <w:tab/>
      </w:r>
      <w:r>
        <w:rPr>
          <w:spacing w:val="-3"/>
        </w:rPr>
        <w:t>√</w:t>
      </w:r>
      <w:r>
        <w:rPr/>
        <w:t>不</w:t>
      </w:r>
      <w:r>
        <w:rPr>
          <w:spacing w:val="-3"/>
        </w:rPr>
        <w:t>适</w:t>
      </w:r>
      <w:r>
        <w:rPr/>
        <w:t>用</w:t>
      </w:r>
    </w:p>
    <w:p>
      <w:pPr>
        <w:pStyle w:val="BodyText"/>
        <w:spacing w:before="4"/>
        <w:rPr>
          <w:sz w:val="16"/>
        </w:rPr>
      </w:pPr>
    </w:p>
    <w:p>
      <w:pPr>
        <w:pStyle w:val="Heading1"/>
        <w:spacing w:line="240" w:lineRule="auto" w:before="1"/>
        <w:ind w:left="1470" w:right="1207"/>
      </w:pPr>
      <w:bookmarkStart w:name="_bookmark12" w:id="20"/>
      <w:bookmarkEnd w:id="20"/>
      <w:r>
        <w:rPr>
          <w:b w:val="0"/>
        </w:rPr>
      </w:r>
      <w:r>
        <w:rPr/>
        <w:t>第十二节  备查文件目录</w:t>
      </w:r>
    </w:p>
    <w:p>
      <w:pPr>
        <w:spacing w:after="0" w:line="240" w:lineRule="auto"/>
        <w:sectPr>
          <w:headerReference w:type="default" r:id="rId133"/>
          <w:footerReference w:type="default" r:id="rId134"/>
          <w:pgSz w:w="11910" w:h="16840"/>
          <w:pgMar w:header="876" w:footer="1214" w:top="1440" w:bottom="1400" w:left="260" w:right="0"/>
          <w:pgNumType w:start="1"/>
        </w:sectPr>
      </w:pPr>
    </w:p>
    <w:p>
      <w:pPr>
        <w:pStyle w:val="BodyText"/>
        <w:rPr>
          <w:rFonts w:ascii="Microsoft JhengHei"/>
          <w:b/>
          <w:sz w:val="20"/>
        </w:rPr>
      </w:pPr>
    </w:p>
    <w:p>
      <w:pPr>
        <w:pStyle w:val="BodyText"/>
        <w:spacing w:before="12"/>
        <w:rPr>
          <w:rFonts w:ascii="Microsoft JhengHei"/>
          <w:b/>
          <w:sz w:val="11"/>
        </w:rPr>
      </w:pPr>
    </w:p>
    <w:p>
      <w:pPr>
        <w:pStyle w:val="BodyText"/>
        <w:spacing w:before="72"/>
        <w:ind w:right="1162"/>
        <w:jc w:val="right"/>
      </w:pPr>
      <w:r>
        <w:rPr/>
        <w:pict>
          <v:shape style="position:absolute;margin-left:87.624001pt;margin-top:-25.760015pt;width:447pt;height:72.05pt;mso-position-horizontal-relative:page;mso-position-vertical-relative:paragraph;z-index:251673600"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295"/>
                    <w:gridCol w:w="6601"/>
                  </w:tblGrid>
                  <w:tr>
                    <w:trPr>
                      <w:trHeight w:val="546" w:hRule="atLeast"/>
                    </w:trPr>
                    <w:tc>
                      <w:tcPr>
                        <w:tcW w:w="2295" w:type="dxa"/>
                        <w:tcBorders>
                          <w:bottom w:val="single" w:sz="4" w:space="0" w:color="000000"/>
                          <w:right w:val="single" w:sz="4" w:space="0" w:color="000000"/>
                        </w:tcBorders>
                      </w:tcPr>
                      <w:p>
                        <w:pPr>
                          <w:pStyle w:val="TableParagraph"/>
                          <w:spacing w:before="140"/>
                          <w:ind w:left="498" w:right="476"/>
                          <w:jc w:val="center"/>
                          <w:rPr>
                            <w:rFonts w:ascii="宋体" w:eastAsia="宋体" w:hint="eastAsia"/>
                            <w:sz w:val="21"/>
                          </w:rPr>
                        </w:pPr>
                        <w:r>
                          <w:rPr>
                            <w:rFonts w:ascii="宋体" w:eastAsia="宋体" w:hint="eastAsia"/>
                            <w:sz w:val="21"/>
                          </w:rPr>
                          <w:t>备查文件目录</w:t>
                        </w:r>
                      </w:p>
                    </w:tc>
                    <w:tc>
                      <w:tcPr>
                        <w:tcW w:w="6601" w:type="dxa"/>
                        <w:tcBorders>
                          <w:left w:val="single" w:sz="4" w:space="0" w:color="000000"/>
                          <w:bottom w:val="single" w:sz="4" w:space="0" w:color="000000"/>
                        </w:tcBorders>
                      </w:tcPr>
                      <w:p>
                        <w:pPr>
                          <w:pStyle w:val="TableParagraph"/>
                          <w:spacing w:line="270" w:lineRule="atLeast" w:before="2"/>
                          <w:ind w:left="40" w:right="21"/>
                          <w:rPr>
                            <w:rFonts w:ascii="宋体" w:eastAsia="宋体" w:hint="eastAsia"/>
                            <w:sz w:val="21"/>
                          </w:rPr>
                        </w:pPr>
                        <w:r>
                          <w:rPr>
                            <w:rFonts w:ascii="宋体" w:eastAsia="宋体" w:hint="eastAsia"/>
                            <w:sz w:val="21"/>
                          </w:rPr>
                          <w:t>（一）载有法定代表人、主管会计工作负责人、会计机构负责人签名并盖章的财务报表。</w:t>
                        </w:r>
                      </w:p>
                    </w:tc>
                  </w:tr>
                  <w:tr>
                    <w:trPr>
                      <w:trHeight w:val="273" w:hRule="atLeast"/>
                    </w:trPr>
                    <w:tc>
                      <w:tcPr>
                        <w:tcW w:w="2295" w:type="dxa"/>
                        <w:tcBorders>
                          <w:top w:val="single" w:sz="4" w:space="0" w:color="000000"/>
                          <w:bottom w:val="single" w:sz="4" w:space="0" w:color="000000"/>
                          <w:right w:val="single" w:sz="4" w:space="0" w:color="000000"/>
                        </w:tcBorders>
                      </w:tcPr>
                      <w:p>
                        <w:pPr>
                          <w:pStyle w:val="TableParagraph"/>
                          <w:spacing w:line="252" w:lineRule="exact" w:before="1"/>
                          <w:ind w:left="498" w:right="476"/>
                          <w:jc w:val="center"/>
                          <w:rPr>
                            <w:rFonts w:ascii="宋体" w:eastAsia="宋体" w:hint="eastAsia"/>
                            <w:sz w:val="21"/>
                          </w:rPr>
                        </w:pPr>
                        <w:r>
                          <w:rPr>
                            <w:rFonts w:ascii="宋体" w:eastAsia="宋体" w:hint="eastAsia"/>
                            <w:sz w:val="21"/>
                          </w:rPr>
                          <w:t>备查文件目录</w:t>
                        </w:r>
                      </w:p>
                    </w:tc>
                    <w:tc>
                      <w:tcPr>
                        <w:tcW w:w="6601" w:type="dxa"/>
                        <w:tcBorders>
                          <w:top w:val="single" w:sz="4" w:space="0" w:color="000000"/>
                          <w:left w:val="single" w:sz="4" w:space="0" w:color="000000"/>
                          <w:bottom w:val="single" w:sz="4" w:space="0" w:color="000000"/>
                        </w:tcBorders>
                      </w:tcPr>
                      <w:p>
                        <w:pPr>
                          <w:pStyle w:val="TableParagraph"/>
                          <w:spacing w:line="252" w:lineRule="exact" w:before="1"/>
                          <w:ind w:left="40"/>
                          <w:rPr>
                            <w:rFonts w:ascii="宋体" w:eastAsia="宋体" w:hint="eastAsia"/>
                            <w:sz w:val="21"/>
                          </w:rPr>
                        </w:pPr>
                        <w:r>
                          <w:rPr>
                            <w:rFonts w:ascii="宋体" w:eastAsia="宋体" w:hint="eastAsia"/>
                            <w:sz w:val="21"/>
                          </w:rPr>
                          <w:t>（二）载有会计师事务所盖章、注册会计师签名并盖章的审计报告原件</w:t>
                        </w:r>
                      </w:p>
                    </w:tc>
                  </w:tr>
                  <w:tr>
                    <w:trPr>
                      <w:trHeight w:val="541" w:hRule="atLeast"/>
                    </w:trPr>
                    <w:tc>
                      <w:tcPr>
                        <w:tcW w:w="2295" w:type="dxa"/>
                        <w:tcBorders>
                          <w:top w:val="single" w:sz="4" w:space="0" w:color="000000"/>
                          <w:right w:val="single" w:sz="4" w:space="0" w:color="000000"/>
                        </w:tcBorders>
                      </w:tcPr>
                      <w:p>
                        <w:pPr>
                          <w:pStyle w:val="TableParagraph"/>
                          <w:spacing w:before="135"/>
                          <w:ind w:left="498" w:right="476"/>
                          <w:jc w:val="center"/>
                          <w:rPr>
                            <w:rFonts w:ascii="宋体" w:eastAsia="宋体" w:hint="eastAsia"/>
                            <w:sz w:val="21"/>
                          </w:rPr>
                        </w:pPr>
                        <w:r>
                          <w:rPr>
                            <w:rFonts w:ascii="宋体" w:eastAsia="宋体" w:hint="eastAsia"/>
                            <w:sz w:val="21"/>
                          </w:rPr>
                          <w:t>备查文件目录</w:t>
                        </w:r>
                      </w:p>
                    </w:tc>
                    <w:tc>
                      <w:tcPr>
                        <w:tcW w:w="6601" w:type="dxa"/>
                        <w:tcBorders>
                          <w:top w:val="single" w:sz="4" w:space="0" w:color="000000"/>
                          <w:left w:val="single" w:sz="4" w:space="0" w:color="000000"/>
                        </w:tcBorders>
                      </w:tcPr>
                      <w:p>
                        <w:pPr>
                          <w:pStyle w:val="TableParagraph"/>
                          <w:spacing w:before="1"/>
                          <w:ind w:left="40"/>
                          <w:rPr>
                            <w:rFonts w:ascii="宋体" w:eastAsia="宋体" w:hint="eastAsia"/>
                            <w:sz w:val="21"/>
                          </w:rPr>
                        </w:pPr>
                        <w:r>
                          <w:rPr>
                            <w:rFonts w:ascii="宋体" w:eastAsia="宋体" w:hint="eastAsia"/>
                            <w:sz w:val="21"/>
                          </w:rPr>
                          <w:t>（三）报告期内在中国证监会指定报纸上公开披露过的所有公司文件的</w:t>
                        </w:r>
                      </w:p>
                      <w:p>
                        <w:pPr>
                          <w:pStyle w:val="TableParagraph"/>
                          <w:spacing w:line="249" w:lineRule="exact" w:before="2"/>
                          <w:ind w:left="40"/>
                          <w:rPr>
                            <w:rFonts w:ascii="宋体" w:eastAsia="宋体" w:hint="eastAsia"/>
                            <w:sz w:val="21"/>
                          </w:rPr>
                        </w:pPr>
                        <w:r>
                          <w:rPr>
                            <w:rFonts w:ascii="宋体" w:eastAsia="宋体" w:hint="eastAsia"/>
                            <w:sz w:val="21"/>
                          </w:rPr>
                          <w:t>正本及公告的原稿。</w:t>
                        </w:r>
                      </w:p>
                    </w:tc>
                  </w:tr>
                </w:tbl>
                <w:p>
                  <w:pPr>
                    <w:pStyle w:val="BodyText"/>
                  </w:pPr>
                </w:p>
              </w:txbxContent>
            </v:textbox>
            <w10:wrap type="none"/>
          </v:shape>
        </w:pict>
      </w:r>
      <w:r>
        <w:rPr>
          <w:w w:val="100"/>
        </w:rPr>
        <w:t>。</w:t>
      </w:r>
    </w:p>
    <w:p>
      <w:pPr>
        <w:pStyle w:val="BodyText"/>
        <w:rPr>
          <w:sz w:val="20"/>
        </w:rPr>
      </w:pPr>
    </w:p>
    <w:p>
      <w:pPr>
        <w:pStyle w:val="BodyText"/>
        <w:rPr>
          <w:sz w:val="20"/>
        </w:rPr>
      </w:pPr>
    </w:p>
    <w:p>
      <w:pPr>
        <w:pStyle w:val="BodyText"/>
        <w:rPr>
          <w:sz w:val="20"/>
        </w:rPr>
      </w:pPr>
    </w:p>
    <w:p>
      <w:pPr>
        <w:pStyle w:val="BodyText"/>
        <w:spacing w:line="321" w:lineRule="auto" w:before="169"/>
        <w:ind w:left="6636" w:right="1275" w:firstLine="2259"/>
      </w:pPr>
      <w:r>
        <w:rPr>
          <w:spacing w:val="-4"/>
        </w:rPr>
        <w:t>董事长：梁海山</w:t>
      </w:r>
      <w:r>
        <w:rPr>
          <w:spacing w:val="-3"/>
        </w:rPr>
        <w:t>董事会批准报送日期：</w:t>
      </w:r>
      <w:r>
        <w:rPr>
          <w:rFonts w:ascii="Times New Roman" w:eastAsia="Times New Roman"/>
        </w:rPr>
        <w:t>2021 </w:t>
      </w:r>
      <w:r>
        <w:rPr>
          <w:spacing w:val="-26"/>
        </w:rPr>
        <w:t>年 </w:t>
      </w:r>
      <w:r>
        <w:rPr>
          <w:rFonts w:ascii="Times New Roman" w:eastAsia="Times New Roman"/>
        </w:rPr>
        <w:t>3 </w:t>
      </w:r>
      <w:r>
        <w:rPr>
          <w:spacing w:val="-26"/>
        </w:rPr>
        <w:t>月 </w:t>
      </w:r>
      <w:r>
        <w:rPr>
          <w:rFonts w:ascii="Times New Roman" w:eastAsia="Times New Roman"/>
        </w:rPr>
        <w:t>30 </w:t>
      </w:r>
      <w:r>
        <w:rPr/>
        <w:t>日</w:t>
      </w:r>
    </w:p>
    <w:p>
      <w:pPr>
        <w:pStyle w:val="BodyText"/>
        <w:spacing w:before="10"/>
        <w:rPr>
          <w:sz w:val="15"/>
        </w:rPr>
      </w:pPr>
    </w:p>
    <w:p>
      <w:pPr>
        <w:pStyle w:val="Heading2"/>
        <w:ind w:left="1538"/>
      </w:pPr>
      <w:r>
        <w:rPr/>
        <w:t>修订信息</w:t>
      </w:r>
    </w:p>
    <w:p>
      <w:pPr>
        <w:pStyle w:val="BodyText"/>
        <w:spacing w:before="104"/>
        <w:ind w:left="1962"/>
      </w:pPr>
      <w:r>
        <w:rPr/>
        <w:t>□适用 √不适用</w:t>
      </w:r>
    </w:p>
    <w:sectPr>
      <w:pgSz w:w="11910" w:h="16840"/>
      <w:pgMar w:header="876" w:footer="1214" w:top="1440" w:bottom="1400" w:left="2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Calibri">
    <w:altName w:val="Calibri"/>
    <w:charset w:val="0"/>
    <w:family w:val="swiss"/>
    <w:pitch w:val="variable"/>
  </w:font>
  <w:font w:name="Book Antiqua">
    <w:altName w:val="Book Antiqu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25pt;margin-top:770.235962pt;width:29.05pt;height:12pt;mso-position-horizontal-relative:page;mso-position-vertical-relative:page;z-index:-303831040" type="#_x0000_t202" filled="false" stroked="false">
          <v:textbox inset="0,0,0,0">
            <w:txbxContent>
              <w:p>
                <w:pPr>
                  <w:spacing w:before="12"/>
                  <w:ind w:left="60" w:right="0" w:firstLine="0"/>
                  <w:jc w:val="left"/>
                  <w:rPr>
                    <w:rFonts w:ascii="Times New Roman"/>
                    <w:b/>
                    <w:sz w:val="18"/>
                  </w:rPr>
                </w:pPr>
                <w:r>
                  <w:rPr/>
                  <w:fldChar w:fldCharType="begin"/>
                </w:r>
                <w:r>
                  <w:rPr>
                    <w:rFonts w:ascii="Times New Roman"/>
                    <w:b/>
                    <w:sz w:val="18"/>
                  </w:rPr>
                  <w:instrText> PAGE </w:instrText>
                </w:r>
                <w:r>
                  <w:rPr/>
                  <w:fldChar w:fldCharType="separate"/>
                </w:r>
                <w:r>
                  <w:rPr/>
                  <w:t>1</w:t>
                </w:r>
                <w:r>
                  <w:rPr/>
                  <w:fldChar w:fldCharType="end"/>
                </w:r>
                <w:r>
                  <w:rPr>
                    <w:rFonts w:ascii="Times New Roman"/>
                    <w:b/>
                    <w:sz w:val="18"/>
                  </w:rPr>
                  <w:t> </w:t>
                </w:r>
                <w:r>
                  <w:rPr>
                    <w:rFonts w:ascii="Times New Roman"/>
                    <w:sz w:val="18"/>
                  </w:rPr>
                  <w:t>/ </w:t>
                </w:r>
                <w:r>
                  <w:rPr>
                    <w:rFonts w:ascii="Times New Roman"/>
                    <w:b/>
                    <w:sz w:val="18"/>
                  </w:rPr>
                  <w:t>232</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970001pt;margin-top:770.235962pt;width:33.6pt;height:12pt;mso-position-horizontal-relative:page;mso-position-vertical-relative:page;z-index:-303803392" type="#_x0000_t202" filled="false" stroked="false">
          <v:textbox inset="0,0,0,0">
            <w:txbxContent>
              <w:p>
                <w:pPr>
                  <w:spacing w:before="12"/>
                  <w:ind w:left="60" w:right="0" w:firstLine="0"/>
                  <w:jc w:val="left"/>
                  <w:rPr>
                    <w:rFonts w:ascii="Times New Roman"/>
                    <w:b/>
                    <w:sz w:val="18"/>
                  </w:rPr>
                </w:pPr>
                <w:r>
                  <w:rPr/>
                  <w:fldChar w:fldCharType="begin"/>
                </w:r>
                <w:r>
                  <w:rPr>
                    <w:rFonts w:ascii="Times New Roman"/>
                    <w:b/>
                    <w:sz w:val="18"/>
                  </w:rPr>
                  <w:instrText> PAGE </w:instrText>
                </w:r>
                <w:r>
                  <w:rPr/>
                  <w:fldChar w:fldCharType="separate"/>
                </w:r>
                <w:r>
                  <w:rPr/>
                  <w:t>3</w:t>
                </w:r>
                <w:r>
                  <w:rPr/>
                  <w:fldChar w:fldCharType="end"/>
                </w:r>
                <w:r>
                  <w:rPr>
                    <w:rFonts w:ascii="Times New Roman"/>
                    <w:b/>
                    <w:sz w:val="18"/>
                  </w:rPr>
                  <w:t>9 </w:t>
                </w:r>
                <w:r>
                  <w:rPr>
                    <w:rFonts w:ascii="Times New Roman"/>
                    <w:sz w:val="18"/>
                  </w:rPr>
                  <w:t>/ </w:t>
                </w:r>
                <w:r>
                  <w:rPr>
                    <w:rFonts w:ascii="Times New Roman"/>
                    <w:b/>
                    <w:sz w:val="18"/>
                  </w:rPr>
                  <w:t>232</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970001pt;margin-top:770.235962pt;width:31.6pt;height:12pt;mso-position-horizontal-relative:page;mso-position-vertical-relative:page;z-index:-303800320" type="#_x0000_t202" filled="false" stroked="false">
          <v:textbox inset="0,0,0,0">
            <w:txbxContent>
              <w:p>
                <w:pPr>
                  <w:spacing w:before="12"/>
                  <w:ind w:left="20" w:right="0" w:firstLine="0"/>
                  <w:jc w:val="left"/>
                  <w:rPr>
                    <w:rFonts w:ascii="Times New Roman"/>
                    <w:b/>
                    <w:sz w:val="18"/>
                  </w:rPr>
                </w:pPr>
                <w:r>
                  <w:rPr>
                    <w:rFonts w:ascii="Times New Roman"/>
                    <w:b/>
                    <w:sz w:val="18"/>
                  </w:rPr>
                  <w:t>4</w:t>
                </w:r>
                <w:r>
                  <w:rPr/>
                  <w:fldChar w:fldCharType="begin"/>
                </w:r>
                <w:r>
                  <w:rPr>
                    <w:rFonts w:ascii="Times New Roman"/>
                    <w:b/>
                    <w:sz w:val="18"/>
                  </w:rPr>
                  <w:instrText> PAGE </w:instrText>
                </w:r>
                <w:r>
                  <w:rPr/>
                  <w:fldChar w:fldCharType="separate"/>
                </w:r>
                <w:r>
                  <w:rPr/>
                  <w:t>1</w:t>
                </w:r>
                <w:r>
                  <w:rPr/>
                  <w:fldChar w:fldCharType="end"/>
                </w:r>
                <w:r>
                  <w:rPr>
                    <w:rFonts w:ascii="Times New Roman"/>
                    <w:b/>
                    <w:sz w:val="18"/>
                  </w:rPr>
                  <w:t> </w:t>
                </w:r>
                <w:r>
                  <w:rPr>
                    <w:rFonts w:ascii="Times New Roman"/>
                    <w:sz w:val="18"/>
                  </w:rPr>
                  <w:t>/ </w:t>
                </w:r>
                <w:r>
                  <w:rPr>
                    <w:rFonts w:ascii="Times New Roman"/>
                    <w:b/>
                    <w:sz w:val="18"/>
                  </w:rPr>
                  <w:t>232</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3.089996pt;margin-top:523.635986pt;width:31.6pt;height:12pt;mso-position-horizontal-relative:page;mso-position-vertical-relative:page;z-index:-303797248" type="#_x0000_t202" filled="false" stroked="false">
          <v:textbox inset="0,0,0,0">
            <w:txbxContent>
              <w:p>
                <w:pPr>
                  <w:spacing w:before="12"/>
                  <w:ind w:left="20" w:right="0" w:firstLine="0"/>
                  <w:jc w:val="left"/>
                  <w:rPr>
                    <w:rFonts w:ascii="Times New Roman"/>
                    <w:b/>
                    <w:sz w:val="18"/>
                  </w:rPr>
                </w:pPr>
                <w:r>
                  <w:rPr>
                    <w:rFonts w:ascii="Times New Roman"/>
                    <w:b/>
                    <w:sz w:val="18"/>
                  </w:rPr>
                  <w:t>4</w:t>
                </w:r>
                <w:r>
                  <w:rPr/>
                  <w:fldChar w:fldCharType="begin"/>
                </w:r>
                <w:r>
                  <w:rPr>
                    <w:rFonts w:ascii="Times New Roman"/>
                    <w:b/>
                    <w:sz w:val="18"/>
                  </w:rPr>
                  <w:instrText> PAGE </w:instrText>
                </w:r>
                <w:r>
                  <w:rPr/>
                  <w:fldChar w:fldCharType="separate"/>
                </w:r>
                <w:r>
                  <w:rPr/>
                  <w:t>6</w:t>
                </w:r>
                <w:r>
                  <w:rPr/>
                  <w:fldChar w:fldCharType="end"/>
                </w:r>
                <w:r>
                  <w:rPr>
                    <w:rFonts w:ascii="Times New Roman"/>
                    <w:b/>
                    <w:sz w:val="18"/>
                  </w:rPr>
                  <w:t> </w:t>
                </w:r>
                <w:r>
                  <w:rPr>
                    <w:rFonts w:ascii="Times New Roman"/>
                    <w:sz w:val="18"/>
                  </w:rPr>
                  <w:t>/ </w:t>
                </w:r>
                <w:r>
                  <w:rPr>
                    <w:rFonts w:ascii="Times New Roman"/>
                    <w:b/>
                    <w:sz w:val="18"/>
                  </w:rPr>
                  <w:t>232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3.089996pt;margin-top:523.635986pt;width:31.6pt;height:12pt;mso-position-horizontal-relative:page;mso-position-vertical-relative:page;z-index:-303794176" type="#_x0000_t202" filled="false" stroked="false">
          <v:textbox inset="0,0,0,0">
            <w:txbxContent>
              <w:p>
                <w:pPr>
                  <w:spacing w:before="12"/>
                  <w:ind w:left="20" w:right="0" w:firstLine="0"/>
                  <w:jc w:val="left"/>
                  <w:rPr>
                    <w:rFonts w:ascii="Times New Roman"/>
                    <w:b/>
                    <w:sz w:val="18"/>
                  </w:rPr>
                </w:pPr>
                <w:r>
                  <w:rPr>
                    <w:rFonts w:ascii="Times New Roman"/>
                    <w:b/>
                    <w:sz w:val="18"/>
                  </w:rPr>
                  <w:t>50 </w:t>
                </w:r>
                <w:r>
                  <w:rPr>
                    <w:rFonts w:ascii="Times New Roman"/>
                    <w:sz w:val="18"/>
                  </w:rPr>
                  <w:t>/ </w:t>
                </w:r>
                <w:r>
                  <w:rPr>
                    <w:rFonts w:ascii="Times New Roman"/>
                    <w:b/>
                    <w:sz w:val="18"/>
                  </w:rPr>
                  <w:t>232</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3.089996pt;margin-top:523.635986pt;width:31.6pt;height:12pt;mso-position-horizontal-relative:page;mso-position-vertical-relative:page;z-index:-303791104" type="#_x0000_t202" filled="false" stroked="false">
          <v:textbox inset="0,0,0,0">
            <w:txbxContent>
              <w:p>
                <w:pPr>
                  <w:spacing w:before="12"/>
                  <w:ind w:left="20" w:right="0" w:firstLine="0"/>
                  <w:jc w:val="left"/>
                  <w:rPr>
                    <w:rFonts w:ascii="Times New Roman"/>
                    <w:b/>
                    <w:sz w:val="18"/>
                  </w:rPr>
                </w:pPr>
                <w:r>
                  <w:rPr>
                    <w:rFonts w:ascii="Times New Roman"/>
                    <w:b/>
                    <w:sz w:val="18"/>
                  </w:rPr>
                  <w:t>5</w:t>
                </w:r>
                <w:r>
                  <w:rPr/>
                  <w:fldChar w:fldCharType="begin"/>
                </w:r>
                <w:r>
                  <w:rPr>
                    <w:rFonts w:ascii="Times New Roman"/>
                    <w:b/>
                    <w:sz w:val="18"/>
                  </w:rPr>
                  <w:instrText> PAGE </w:instrText>
                </w:r>
                <w:r>
                  <w:rPr/>
                  <w:fldChar w:fldCharType="separate"/>
                </w:r>
                <w:r>
                  <w:rPr/>
                  <w:t>1</w:t>
                </w:r>
                <w:r>
                  <w:rPr/>
                  <w:fldChar w:fldCharType="end"/>
                </w:r>
                <w:r>
                  <w:rPr>
                    <w:rFonts w:ascii="Times New Roman"/>
                    <w:b/>
                    <w:sz w:val="18"/>
                  </w:rPr>
                  <w:t> </w:t>
                </w:r>
                <w:r>
                  <w:rPr>
                    <w:rFonts w:ascii="Times New Roman"/>
                    <w:sz w:val="18"/>
                  </w:rPr>
                  <w:t>/ </w:t>
                </w:r>
                <w:r>
                  <w:rPr>
                    <w:rFonts w:ascii="Times New Roman"/>
                    <w:b/>
                    <w:sz w:val="18"/>
                  </w:rPr>
                  <w:t>232</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94.970001pt;margin-top:770.235962pt;width:31.6pt;height:12pt;mso-position-horizontal-relative:page;mso-position-vertical-relative:page;z-index:-303788032" type="#_x0000_t202" filled="false" stroked="false">
          <v:textbox inset="0,0,0,0">
            <w:txbxContent>
              <w:p>
                <w:pPr>
                  <w:spacing w:before="12"/>
                  <w:ind w:left="20" w:right="0" w:firstLine="0"/>
                  <w:jc w:val="left"/>
                  <w:rPr>
                    <w:rFonts w:ascii="Times New Roman"/>
                    <w:b/>
                    <w:sz w:val="18"/>
                  </w:rPr>
                </w:pPr>
                <w:r>
                  <w:rPr>
                    <w:rFonts w:ascii="Times New Roman"/>
                    <w:b/>
                    <w:sz w:val="18"/>
                  </w:rPr>
                  <w:t>5</w:t>
                </w:r>
                <w:r>
                  <w:rPr/>
                  <w:fldChar w:fldCharType="begin"/>
                </w:r>
                <w:r>
                  <w:rPr>
                    <w:rFonts w:ascii="Times New Roman"/>
                    <w:b/>
                    <w:sz w:val="18"/>
                  </w:rPr>
                  <w:instrText> PAGE </w:instrText>
                </w:r>
                <w:r>
                  <w:rPr/>
                  <w:fldChar w:fldCharType="separate"/>
                </w:r>
                <w:r>
                  <w:rPr/>
                  <w:t>7</w:t>
                </w:r>
                <w:r>
                  <w:rPr/>
                  <w:fldChar w:fldCharType="end"/>
                </w:r>
                <w:r>
                  <w:rPr>
                    <w:rFonts w:ascii="Times New Roman"/>
                    <w:b/>
                    <w:sz w:val="18"/>
                  </w:rPr>
                  <w:t> </w:t>
                </w:r>
                <w:r>
                  <w:rPr>
                    <w:rFonts w:ascii="Times New Roman"/>
                    <w:sz w:val="18"/>
                  </w:rPr>
                  <w:t>/ </w:t>
                </w:r>
                <w:r>
                  <w:rPr>
                    <w:rFonts w:ascii="Times New Roman"/>
                    <w:b/>
                    <w:sz w:val="18"/>
                  </w:rPr>
                  <w:t>232</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970001pt;margin-top:770.235962pt;width:31.6pt;height:12pt;mso-position-horizontal-relative:page;mso-position-vertical-relative:page;z-index:-303784960" type="#_x0000_t202" filled="false" stroked="false">
          <v:textbox inset="0,0,0,0">
            <w:txbxContent>
              <w:p>
                <w:pPr>
                  <w:spacing w:before="12"/>
                  <w:ind w:left="20" w:right="0" w:firstLine="0"/>
                  <w:jc w:val="left"/>
                  <w:rPr>
                    <w:rFonts w:ascii="Times New Roman"/>
                    <w:b/>
                    <w:sz w:val="18"/>
                  </w:rPr>
                </w:pPr>
                <w:r>
                  <w:rPr>
                    <w:rFonts w:ascii="Times New Roman"/>
                    <w:b/>
                    <w:sz w:val="18"/>
                  </w:rPr>
                  <w:t>60 </w:t>
                </w:r>
                <w:r>
                  <w:rPr>
                    <w:rFonts w:ascii="Times New Roman"/>
                    <w:sz w:val="18"/>
                  </w:rPr>
                  <w:t>/ </w:t>
                </w:r>
                <w:r>
                  <w:rPr>
                    <w:rFonts w:ascii="Times New Roman"/>
                    <w:b/>
                    <w:sz w:val="18"/>
                  </w:rPr>
                  <w:t>232</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3.089996pt;margin-top:523.635986pt;width:31.6pt;height:12pt;mso-position-horizontal-relative:page;mso-position-vertical-relative:page;z-index:-303781888" type="#_x0000_t202" filled="false" stroked="false">
          <v:textbox inset="0,0,0,0">
            <w:txbxContent>
              <w:p>
                <w:pPr>
                  <w:spacing w:before="12"/>
                  <w:ind w:left="20" w:right="0" w:firstLine="0"/>
                  <w:jc w:val="left"/>
                  <w:rPr>
                    <w:rFonts w:ascii="Times New Roman"/>
                    <w:b/>
                    <w:sz w:val="18"/>
                  </w:rPr>
                </w:pPr>
                <w:r>
                  <w:rPr>
                    <w:rFonts w:ascii="Times New Roman"/>
                    <w:b/>
                    <w:sz w:val="18"/>
                  </w:rPr>
                  <w:t>6</w:t>
                </w:r>
                <w:r>
                  <w:rPr/>
                  <w:fldChar w:fldCharType="begin"/>
                </w:r>
                <w:r>
                  <w:rPr>
                    <w:rFonts w:ascii="Times New Roman"/>
                    <w:b/>
                    <w:sz w:val="18"/>
                  </w:rPr>
                  <w:instrText> PAGE </w:instrText>
                </w:r>
                <w:r>
                  <w:rPr/>
                  <w:fldChar w:fldCharType="separate"/>
                </w:r>
                <w:r>
                  <w:rPr/>
                  <w:t>1</w:t>
                </w:r>
                <w:r>
                  <w:rPr/>
                  <w:fldChar w:fldCharType="end"/>
                </w:r>
                <w:r>
                  <w:rPr>
                    <w:rFonts w:ascii="Times New Roman"/>
                    <w:b/>
                    <w:sz w:val="18"/>
                  </w:rPr>
                  <w:t> </w:t>
                </w:r>
                <w:r>
                  <w:rPr>
                    <w:rFonts w:ascii="Times New Roman"/>
                    <w:sz w:val="18"/>
                  </w:rPr>
                  <w:t>/ </w:t>
                </w:r>
                <w:r>
                  <w:rPr>
                    <w:rFonts w:ascii="Times New Roman"/>
                    <w:b/>
                    <w:sz w:val="18"/>
                  </w:rPr>
                  <w:t>232</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970001pt;margin-top:770.235962pt;width:31.6pt;height:12pt;mso-position-horizontal-relative:page;mso-position-vertical-relative:page;z-index:-303779840" type="#_x0000_t202" filled="false" stroked="false">
          <v:textbox inset="0,0,0,0">
            <w:txbxContent>
              <w:p>
                <w:pPr>
                  <w:spacing w:before="12"/>
                  <w:ind w:left="20" w:right="0" w:firstLine="0"/>
                  <w:jc w:val="left"/>
                  <w:rPr>
                    <w:rFonts w:ascii="Times New Roman"/>
                    <w:b/>
                    <w:sz w:val="18"/>
                  </w:rPr>
                </w:pPr>
                <w:r>
                  <w:rPr>
                    <w:rFonts w:ascii="Times New Roman"/>
                    <w:b/>
                    <w:sz w:val="18"/>
                  </w:rPr>
                  <w:t>6</w:t>
                </w:r>
                <w:r>
                  <w:rPr/>
                  <w:fldChar w:fldCharType="begin"/>
                </w:r>
                <w:r>
                  <w:rPr>
                    <w:rFonts w:ascii="Times New Roman"/>
                    <w:b/>
                    <w:sz w:val="18"/>
                  </w:rPr>
                  <w:instrText> PAGE </w:instrText>
                </w:r>
                <w:r>
                  <w:rPr/>
                  <w:fldChar w:fldCharType="separate"/>
                </w:r>
                <w:r>
                  <w:rPr/>
                  <w:t>3</w:t>
                </w:r>
                <w:r>
                  <w:rPr/>
                  <w:fldChar w:fldCharType="end"/>
                </w:r>
                <w:r>
                  <w:rPr>
                    <w:rFonts w:ascii="Times New Roman"/>
                    <w:b/>
                    <w:sz w:val="18"/>
                  </w:rPr>
                  <w:t> </w:t>
                </w:r>
                <w:r>
                  <w:rPr>
                    <w:rFonts w:ascii="Times New Roman"/>
                    <w:sz w:val="18"/>
                  </w:rPr>
                  <w:t>/ </w:t>
                </w:r>
                <w:r>
                  <w:rPr>
                    <w:rFonts w:ascii="Times New Roman"/>
                    <w:b/>
                    <w:sz w:val="18"/>
                  </w:rPr>
                  <w:t>232</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970001pt;margin-top:770.235962pt;width:31.6pt;height:12pt;mso-position-horizontal-relative:page;mso-position-vertical-relative:page;z-index:-303776768" type="#_x0000_t202" filled="false" stroked="false">
          <v:textbox inset="0,0,0,0">
            <w:txbxContent>
              <w:p>
                <w:pPr>
                  <w:spacing w:before="12"/>
                  <w:ind w:left="20" w:right="0" w:firstLine="0"/>
                  <w:jc w:val="left"/>
                  <w:rPr>
                    <w:rFonts w:ascii="Times New Roman"/>
                    <w:b/>
                    <w:sz w:val="18"/>
                  </w:rPr>
                </w:pPr>
                <w:r>
                  <w:rPr>
                    <w:rFonts w:ascii="Times New Roman"/>
                    <w:b/>
                    <w:sz w:val="18"/>
                  </w:rPr>
                  <w:t>6</w:t>
                </w:r>
                <w:r>
                  <w:rPr/>
                  <w:fldChar w:fldCharType="begin"/>
                </w:r>
                <w:r>
                  <w:rPr>
                    <w:rFonts w:ascii="Times New Roman"/>
                    <w:b/>
                    <w:sz w:val="18"/>
                  </w:rPr>
                  <w:instrText> PAGE </w:instrText>
                </w:r>
                <w:r>
                  <w:rPr/>
                  <w:fldChar w:fldCharType="separate"/>
                </w:r>
                <w:r>
                  <w:rPr/>
                  <w:t>5</w:t>
                </w:r>
                <w:r>
                  <w:rPr/>
                  <w:fldChar w:fldCharType="end"/>
                </w:r>
                <w:r>
                  <w:rPr>
                    <w:rFonts w:ascii="Times New Roman"/>
                    <w:b/>
                    <w:sz w:val="18"/>
                  </w:rPr>
                  <w:t> </w:t>
                </w:r>
                <w:r>
                  <w:rPr>
                    <w:rFonts w:ascii="Times New Roman"/>
                    <w:sz w:val="18"/>
                  </w:rPr>
                  <w:t>/ </w:t>
                </w:r>
                <w:r>
                  <w:rPr>
                    <w:rFonts w:ascii="Times New Roman"/>
                    <w:b/>
                    <w:sz w:val="18"/>
                  </w:rPr>
                  <w:t>232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9.209991pt;margin-top:770.235962pt;width:29.05pt;height:12pt;mso-position-horizontal-relative:page;mso-position-vertical-relative:page;z-index:-303827968" type="#_x0000_t202" filled="false" stroked="false">
          <v:textbox inset="0,0,0,0">
            <w:txbxContent>
              <w:p>
                <w:pPr>
                  <w:spacing w:before="12"/>
                  <w:ind w:left="60" w:right="0" w:firstLine="0"/>
                  <w:jc w:val="left"/>
                  <w:rPr>
                    <w:rFonts w:ascii="Times New Roman"/>
                    <w:b/>
                    <w:sz w:val="18"/>
                  </w:rPr>
                </w:pPr>
                <w:r>
                  <w:rPr/>
                  <w:fldChar w:fldCharType="begin"/>
                </w:r>
                <w:r>
                  <w:rPr>
                    <w:rFonts w:ascii="Times New Roman"/>
                    <w:b/>
                    <w:sz w:val="18"/>
                  </w:rPr>
                  <w:instrText> PAGE </w:instrText>
                </w:r>
                <w:r>
                  <w:rPr/>
                  <w:fldChar w:fldCharType="separate"/>
                </w:r>
                <w:r>
                  <w:rPr/>
                  <w:t>8</w:t>
                </w:r>
                <w:r>
                  <w:rPr/>
                  <w:fldChar w:fldCharType="end"/>
                </w:r>
                <w:r>
                  <w:rPr>
                    <w:rFonts w:ascii="Times New Roman"/>
                    <w:b/>
                    <w:sz w:val="18"/>
                  </w:rPr>
                  <w:t> </w:t>
                </w:r>
                <w:r>
                  <w:rPr>
                    <w:rFonts w:ascii="Times New Roman"/>
                    <w:sz w:val="18"/>
                  </w:rPr>
                  <w:t>/ </w:t>
                </w:r>
                <w:r>
                  <w:rPr>
                    <w:rFonts w:ascii="Times New Roman"/>
                    <w:b/>
                    <w:sz w:val="18"/>
                  </w:rPr>
                  <w:t>232</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970001pt;margin-top:770.235962pt;width:31.6pt;height:12pt;mso-position-horizontal-relative:page;mso-position-vertical-relative:page;z-index:-303773696" type="#_x0000_t202" filled="false" stroked="false">
          <v:textbox inset="0,0,0,0">
            <w:txbxContent>
              <w:p>
                <w:pPr>
                  <w:spacing w:before="12"/>
                  <w:ind w:left="20" w:right="0" w:firstLine="0"/>
                  <w:jc w:val="left"/>
                  <w:rPr>
                    <w:rFonts w:ascii="Times New Roman"/>
                    <w:b/>
                    <w:sz w:val="18"/>
                  </w:rPr>
                </w:pPr>
                <w:r>
                  <w:rPr>
                    <w:rFonts w:ascii="Times New Roman"/>
                    <w:b/>
                    <w:sz w:val="18"/>
                  </w:rPr>
                  <w:t>70 </w:t>
                </w:r>
                <w:r>
                  <w:rPr>
                    <w:rFonts w:ascii="Times New Roman"/>
                    <w:sz w:val="18"/>
                  </w:rPr>
                  <w:t>/ </w:t>
                </w:r>
                <w:r>
                  <w:rPr>
                    <w:rFonts w:ascii="Times New Roman"/>
                    <w:b/>
                    <w:sz w:val="18"/>
                  </w:rPr>
                  <w:t>232</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970001pt;margin-top:770.235962pt;width:31.6pt;height:12pt;mso-position-horizontal-relative:page;mso-position-vertical-relative:page;z-index:-303770624" type="#_x0000_t202" filled="false" stroked="false">
          <v:textbox inset="0,0,0,0">
            <w:txbxContent>
              <w:p>
                <w:pPr>
                  <w:spacing w:before="12"/>
                  <w:ind w:left="20" w:right="0" w:firstLine="0"/>
                  <w:jc w:val="left"/>
                  <w:rPr>
                    <w:rFonts w:ascii="Times New Roman"/>
                    <w:b/>
                    <w:sz w:val="18"/>
                  </w:rPr>
                </w:pPr>
                <w:r>
                  <w:rPr>
                    <w:rFonts w:ascii="Times New Roman"/>
                    <w:b/>
                    <w:sz w:val="18"/>
                  </w:rPr>
                  <w:t>7</w:t>
                </w:r>
                <w:r>
                  <w:rPr/>
                  <w:fldChar w:fldCharType="begin"/>
                </w:r>
                <w:r>
                  <w:rPr>
                    <w:rFonts w:ascii="Times New Roman"/>
                    <w:b/>
                    <w:sz w:val="18"/>
                  </w:rPr>
                  <w:instrText> PAGE </w:instrText>
                </w:r>
                <w:r>
                  <w:rPr/>
                  <w:fldChar w:fldCharType="separate"/>
                </w:r>
                <w:r>
                  <w:rPr/>
                  <w:t>1</w:t>
                </w:r>
                <w:r>
                  <w:rPr/>
                  <w:fldChar w:fldCharType="end"/>
                </w:r>
                <w:r>
                  <w:rPr>
                    <w:rFonts w:ascii="Times New Roman"/>
                    <w:b/>
                    <w:sz w:val="18"/>
                  </w:rPr>
                  <w:t> </w:t>
                </w:r>
                <w:r>
                  <w:rPr>
                    <w:rFonts w:ascii="Times New Roman"/>
                    <w:sz w:val="18"/>
                  </w:rPr>
                  <w:t>/ </w:t>
                </w:r>
                <w:r>
                  <w:rPr>
                    <w:rFonts w:ascii="Times New Roman"/>
                    <w:b/>
                    <w:sz w:val="18"/>
                  </w:rPr>
                  <w:t>232</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3.089996pt;margin-top:523.635986pt;width:31.6pt;height:12pt;mso-position-horizontal-relative:page;mso-position-vertical-relative:page;z-index:-303769600" type="#_x0000_t202" filled="false" stroked="false">
          <v:textbox inset="0,0,0,0">
            <w:txbxContent>
              <w:p>
                <w:pPr>
                  <w:spacing w:before="12"/>
                  <w:ind w:left="20" w:right="0" w:firstLine="0"/>
                  <w:jc w:val="left"/>
                  <w:rPr>
                    <w:rFonts w:ascii="Times New Roman"/>
                    <w:b/>
                    <w:sz w:val="18"/>
                  </w:rPr>
                </w:pPr>
                <w:r>
                  <w:rPr>
                    <w:rFonts w:ascii="Times New Roman"/>
                    <w:b/>
                    <w:sz w:val="18"/>
                  </w:rPr>
                  <w:t>76 </w:t>
                </w:r>
                <w:r>
                  <w:rPr>
                    <w:rFonts w:ascii="Times New Roman"/>
                    <w:sz w:val="18"/>
                  </w:rPr>
                  <w:t>/ </w:t>
                </w:r>
                <w:r>
                  <w:rPr>
                    <w:rFonts w:ascii="Times New Roman"/>
                    <w:b/>
                    <w:sz w:val="18"/>
                  </w:rPr>
                  <w:t>232</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970001pt;margin-top:770.235962pt;width:31.6pt;height:12pt;mso-position-horizontal-relative:page;mso-position-vertical-relative:page;z-index:-303766528" type="#_x0000_t202" filled="false" stroked="false">
          <v:textbox inset="0,0,0,0">
            <w:txbxContent>
              <w:p>
                <w:pPr>
                  <w:spacing w:before="12"/>
                  <w:ind w:left="20" w:right="0" w:firstLine="0"/>
                  <w:jc w:val="left"/>
                  <w:rPr>
                    <w:rFonts w:ascii="Times New Roman"/>
                    <w:b/>
                    <w:sz w:val="18"/>
                  </w:rPr>
                </w:pPr>
                <w:r>
                  <w:rPr>
                    <w:rFonts w:ascii="Times New Roman"/>
                    <w:b/>
                    <w:sz w:val="18"/>
                  </w:rPr>
                  <w:t>7</w:t>
                </w:r>
                <w:r>
                  <w:rPr/>
                  <w:fldChar w:fldCharType="begin"/>
                </w:r>
                <w:r>
                  <w:rPr>
                    <w:rFonts w:ascii="Times New Roman"/>
                    <w:b/>
                    <w:sz w:val="18"/>
                  </w:rPr>
                  <w:instrText> PAGE </w:instrText>
                </w:r>
                <w:r>
                  <w:rPr/>
                  <w:fldChar w:fldCharType="separate"/>
                </w:r>
                <w:r>
                  <w:rPr/>
                  <w:t>7</w:t>
                </w:r>
                <w:r>
                  <w:rPr/>
                  <w:fldChar w:fldCharType="end"/>
                </w:r>
                <w:r>
                  <w:rPr>
                    <w:rFonts w:ascii="Times New Roman"/>
                    <w:b/>
                    <w:sz w:val="18"/>
                  </w:rPr>
                  <w:t> </w:t>
                </w:r>
                <w:r>
                  <w:rPr>
                    <w:rFonts w:ascii="Times New Roman"/>
                    <w:sz w:val="18"/>
                  </w:rPr>
                  <w:t>/ </w:t>
                </w:r>
                <w:r>
                  <w:rPr>
                    <w:rFonts w:ascii="Times New Roman"/>
                    <w:b/>
                    <w:sz w:val="18"/>
                  </w:rPr>
                  <w:t>232</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970001pt;margin-top:770.235962pt;width:31.6pt;height:12pt;mso-position-horizontal-relative:page;mso-position-vertical-relative:page;z-index:-303763456" type="#_x0000_t202" filled="false" stroked="false">
          <v:textbox inset="0,0,0,0">
            <w:txbxContent>
              <w:p>
                <w:pPr>
                  <w:spacing w:before="12"/>
                  <w:ind w:left="20" w:right="0" w:firstLine="0"/>
                  <w:jc w:val="left"/>
                  <w:rPr>
                    <w:rFonts w:ascii="Times New Roman"/>
                    <w:b/>
                    <w:sz w:val="18"/>
                  </w:rPr>
                </w:pPr>
                <w:r>
                  <w:rPr>
                    <w:rFonts w:ascii="Times New Roman"/>
                    <w:b/>
                    <w:sz w:val="18"/>
                  </w:rPr>
                  <w:t>80 </w:t>
                </w:r>
                <w:r>
                  <w:rPr>
                    <w:rFonts w:ascii="Times New Roman"/>
                    <w:sz w:val="18"/>
                  </w:rPr>
                  <w:t>/ </w:t>
                </w:r>
                <w:r>
                  <w:rPr>
                    <w:rFonts w:ascii="Times New Roman"/>
                    <w:b/>
                    <w:sz w:val="18"/>
                  </w:rPr>
                  <w:t>232</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970001pt;margin-top:770.235962pt;width:31.6pt;height:12pt;mso-position-horizontal-relative:page;mso-position-vertical-relative:page;z-index:-303760384" type="#_x0000_t202" filled="false" stroked="false">
          <v:textbox inset="0,0,0,0">
            <w:txbxContent>
              <w:p>
                <w:pPr>
                  <w:spacing w:before="12"/>
                  <w:ind w:left="20" w:right="0" w:firstLine="0"/>
                  <w:jc w:val="left"/>
                  <w:rPr>
                    <w:rFonts w:ascii="Times New Roman"/>
                    <w:b/>
                    <w:sz w:val="18"/>
                  </w:rPr>
                </w:pPr>
                <w:r>
                  <w:rPr>
                    <w:rFonts w:ascii="Times New Roman"/>
                    <w:b/>
                    <w:sz w:val="18"/>
                  </w:rPr>
                  <w:t>8</w:t>
                </w:r>
                <w:r>
                  <w:rPr/>
                  <w:fldChar w:fldCharType="begin"/>
                </w:r>
                <w:r>
                  <w:rPr>
                    <w:rFonts w:ascii="Times New Roman"/>
                    <w:b/>
                    <w:sz w:val="18"/>
                  </w:rPr>
                  <w:instrText> PAGE </w:instrText>
                </w:r>
                <w:r>
                  <w:rPr/>
                  <w:fldChar w:fldCharType="separate"/>
                </w:r>
                <w:r>
                  <w:rPr/>
                  <w:t>1</w:t>
                </w:r>
                <w:r>
                  <w:rPr/>
                  <w:fldChar w:fldCharType="end"/>
                </w:r>
                <w:r>
                  <w:rPr>
                    <w:rFonts w:ascii="Times New Roman"/>
                    <w:b/>
                    <w:sz w:val="18"/>
                  </w:rPr>
                  <w:t> </w:t>
                </w:r>
                <w:r>
                  <w:rPr>
                    <w:rFonts w:ascii="Times New Roman"/>
                    <w:sz w:val="18"/>
                  </w:rPr>
                  <w:t>/ </w:t>
                </w:r>
                <w:r>
                  <w:rPr>
                    <w:rFonts w:ascii="Times New Roman"/>
                    <w:b/>
                    <w:sz w:val="18"/>
                  </w:rPr>
                  <w:t>232</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7.290009pt;margin-top:523.635986pt;width:31.6pt;height:12pt;mso-position-horizontal-relative:page;mso-position-vertical-relative:page;z-index:-303757312" type="#_x0000_t202" filled="false" stroked="false">
          <v:textbox inset="0,0,0,0">
            <w:txbxContent>
              <w:p>
                <w:pPr>
                  <w:spacing w:before="12"/>
                  <w:ind w:left="20" w:right="0" w:firstLine="0"/>
                  <w:jc w:val="left"/>
                  <w:rPr>
                    <w:rFonts w:ascii="Times New Roman"/>
                    <w:b/>
                    <w:sz w:val="18"/>
                  </w:rPr>
                </w:pPr>
                <w:r>
                  <w:rPr>
                    <w:rFonts w:ascii="Times New Roman"/>
                    <w:b/>
                    <w:sz w:val="18"/>
                  </w:rPr>
                  <w:t>8</w:t>
                </w:r>
                <w:r>
                  <w:rPr/>
                  <w:fldChar w:fldCharType="begin"/>
                </w:r>
                <w:r>
                  <w:rPr>
                    <w:rFonts w:ascii="Times New Roman"/>
                    <w:b/>
                    <w:sz w:val="18"/>
                  </w:rPr>
                  <w:instrText> PAGE </w:instrText>
                </w:r>
                <w:r>
                  <w:rPr/>
                  <w:fldChar w:fldCharType="separate"/>
                </w:r>
                <w:r>
                  <w:rPr/>
                  <w:t>5</w:t>
                </w:r>
                <w:r>
                  <w:rPr/>
                  <w:fldChar w:fldCharType="end"/>
                </w:r>
                <w:r>
                  <w:rPr>
                    <w:rFonts w:ascii="Times New Roman"/>
                    <w:b/>
                    <w:sz w:val="18"/>
                  </w:rPr>
                  <w:t> </w:t>
                </w:r>
                <w:r>
                  <w:rPr>
                    <w:rFonts w:ascii="Times New Roman"/>
                    <w:sz w:val="18"/>
                  </w:rPr>
                  <w:t>/ </w:t>
                </w:r>
                <w:r>
                  <w:rPr>
                    <w:rFonts w:ascii="Times New Roman"/>
                    <w:b/>
                    <w:sz w:val="18"/>
                  </w:rPr>
                  <w:t>232</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7.290009pt;margin-top:523.635986pt;width:31.6pt;height:12pt;mso-position-horizontal-relative:page;mso-position-vertical-relative:page;z-index:-303754240" type="#_x0000_t202" filled="false" stroked="false">
          <v:textbox inset="0,0,0,0">
            <w:txbxContent>
              <w:p>
                <w:pPr>
                  <w:spacing w:before="12"/>
                  <w:ind w:left="20" w:right="0" w:firstLine="0"/>
                  <w:jc w:val="left"/>
                  <w:rPr>
                    <w:rFonts w:ascii="Times New Roman"/>
                    <w:b/>
                    <w:sz w:val="18"/>
                  </w:rPr>
                </w:pPr>
                <w:r>
                  <w:rPr>
                    <w:rFonts w:ascii="Times New Roman"/>
                    <w:b/>
                    <w:sz w:val="18"/>
                  </w:rPr>
                  <w:t>90 </w:t>
                </w:r>
                <w:r>
                  <w:rPr>
                    <w:rFonts w:ascii="Times New Roman"/>
                    <w:sz w:val="18"/>
                  </w:rPr>
                  <w:t>/ </w:t>
                </w:r>
                <w:r>
                  <w:rPr>
                    <w:rFonts w:ascii="Times New Roman"/>
                    <w:b/>
                    <w:sz w:val="18"/>
                  </w:rPr>
                  <w:t>232</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7.290009pt;margin-top:523.635986pt;width:31.6pt;height:12pt;mso-position-horizontal-relative:page;mso-position-vertical-relative:page;z-index:-303751168" type="#_x0000_t202" filled="false" stroked="false">
          <v:textbox inset="0,0,0,0">
            <w:txbxContent>
              <w:p>
                <w:pPr>
                  <w:spacing w:before="12"/>
                  <w:ind w:left="20" w:right="0" w:firstLine="0"/>
                  <w:jc w:val="left"/>
                  <w:rPr>
                    <w:rFonts w:ascii="Times New Roman"/>
                    <w:b/>
                    <w:sz w:val="18"/>
                  </w:rPr>
                </w:pPr>
                <w:r>
                  <w:rPr>
                    <w:rFonts w:ascii="Times New Roman"/>
                    <w:b/>
                    <w:sz w:val="18"/>
                  </w:rPr>
                  <w:t>91 </w:t>
                </w:r>
                <w:r>
                  <w:rPr>
                    <w:rFonts w:ascii="Times New Roman"/>
                    <w:sz w:val="18"/>
                  </w:rPr>
                  <w:t>/ </w:t>
                </w:r>
                <w:r>
                  <w:rPr>
                    <w:rFonts w:ascii="Times New Roman"/>
                    <w:b/>
                    <w:sz w:val="18"/>
                  </w:rPr>
                  <w:t>232</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970001pt;margin-top:770.235962pt;width:31.6pt;height:12pt;mso-position-horizontal-relative:page;mso-position-vertical-relative:page;z-index:-303748096" type="#_x0000_t202" filled="false" stroked="false">
          <v:textbox inset="0,0,0,0">
            <w:txbxContent>
              <w:p>
                <w:pPr>
                  <w:spacing w:before="12"/>
                  <w:ind w:left="20" w:right="0" w:firstLine="0"/>
                  <w:jc w:val="left"/>
                  <w:rPr>
                    <w:rFonts w:ascii="Times New Roman"/>
                    <w:b/>
                    <w:sz w:val="18"/>
                  </w:rPr>
                </w:pPr>
                <w:r>
                  <w:rPr>
                    <w:rFonts w:ascii="Times New Roman"/>
                    <w:b/>
                    <w:sz w:val="18"/>
                  </w:rPr>
                  <w:t>9</w:t>
                </w:r>
                <w:r>
                  <w:rPr/>
                  <w:fldChar w:fldCharType="begin"/>
                </w:r>
                <w:r>
                  <w:rPr>
                    <w:rFonts w:ascii="Times New Roman"/>
                    <w:b/>
                    <w:sz w:val="18"/>
                  </w:rPr>
                  <w:instrText> PAGE </w:instrText>
                </w:r>
                <w:r>
                  <w:rPr/>
                  <w:fldChar w:fldCharType="separate"/>
                </w:r>
                <w:r>
                  <w:rPr/>
                  <w:t>2</w:t>
                </w:r>
                <w:r>
                  <w:rPr/>
                  <w:fldChar w:fldCharType="end"/>
                </w:r>
                <w:r>
                  <w:rPr>
                    <w:rFonts w:ascii="Times New Roman"/>
                    <w:b/>
                    <w:sz w:val="18"/>
                  </w:rPr>
                  <w:t> </w:t>
                </w:r>
                <w:r>
                  <w:rPr>
                    <w:rFonts w:ascii="Times New Roman"/>
                    <w:sz w:val="18"/>
                  </w:rPr>
                  <w:t>/ </w:t>
                </w:r>
                <w:r>
                  <w:rPr>
                    <w:rFonts w:ascii="Times New Roman"/>
                    <w:b/>
                    <w:sz w:val="18"/>
                  </w:rPr>
                  <w:t>232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8.929993pt;margin-top:770.235962pt;width:31.6pt;height:12pt;mso-position-horizontal-relative:page;mso-position-vertical-relative:page;z-index:-303824896" type="#_x0000_t202" filled="false" stroked="false">
          <v:textbox inset="0,0,0,0">
            <w:txbxContent>
              <w:p>
                <w:pPr>
                  <w:spacing w:before="12"/>
                  <w:ind w:left="20" w:right="0" w:firstLine="0"/>
                  <w:jc w:val="left"/>
                  <w:rPr>
                    <w:rFonts w:ascii="Times New Roman"/>
                    <w:b/>
                    <w:sz w:val="18"/>
                  </w:rPr>
                </w:pPr>
                <w:r>
                  <w:rPr>
                    <w:rFonts w:ascii="Times New Roman"/>
                    <w:b/>
                    <w:sz w:val="18"/>
                  </w:rPr>
                  <w:t>10 </w:t>
                </w:r>
                <w:r>
                  <w:rPr>
                    <w:rFonts w:ascii="Times New Roman"/>
                    <w:sz w:val="18"/>
                  </w:rPr>
                  <w:t>/ </w:t>
                </w:r>
                <w:r>
                  <w:rPr>
                    <w:rFonts w:ascii="Times New Roman"/>
                    <w:b/>
                    <w:sz w:val="18"/>
                  </w:rPr>
                  <w:t>232</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90002pt;margin-top:770.235962pt;width:36.050pt;height:12pt;mso-position-horizontal-relative:page;mso-position-vertical-relative:page;z-index:-303745024" type="#_x0000_t202" filled="false" stroked="false">
          <v:textbox inset="0,0,0,0">
            <w:txbxContent>
              <w:p>
                <w:pPr>
                  <w:spacing w:before="12"/>
                  <w:ind w:left="20" w:right="0" w:firstLine="0"/>
                  <w:jc w:val="left"/>
                  <w:rPr>
                    <w:rFonts w:ascii="Times New Roman"/>
                    <w:b/>
                    <w:sz w:val="18"/>
                  </w:rPr>
                </w:pPr>
                <w:r>
                  <w:rPr>
                    <w:rFonts w:ascii="Times New Roman"/>
                    <w:b/>
                    <w:sz w:val="18"/>
                  </w:rPr>
                  <w:t>100 </w:t>
                </w:r>
                <w:r>
                  <w:rPr>
                    <w:rFonts w:ascii="Times New Roman"/>
                    <w:sz w:val="18"/>
                  </w:rPr>
                  <w:t>/ </w:t>
                </w:r>
                <w:r>
                  <w:rPr>
                    <w:rFonts w:ascii="Times New Roman"/>
                    <w:b/>
                    <w:sz w:val="18"/>
                  </w:rPr>
                  <w:t>232</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90002pt;margin-top:770.235962pt;width:36.050pt;height:12pt;mso-position-horizontal-relative:page;mso-position-vertical-relative:page;z-index:-303741952" type="#_x0000_t202" filled="false" stroked="false">
          <v:textbox inset="0,0,0,0">
            <w:txbxContent>
              <w:p>
                <w:pPr>
                  <w:spacing w:before="12"/>
                  <w:ind w:left="20" w:right="0" w:firstLine="0"/>
                  <w:jc w:val="left"/>
                  <w:rPr>
                    <w:rFonts w:ascii="Times New Roman"/>
                    <w:b/>
                    <w:sz w:val="18"/>
                  </w:rPr>
                </w:pPr>
                <w:r>
                  <w:rPr>
                    <w:rFonts w:ascii="Times New Roman"/>
                    <w:b/>
                    <w:sz w:val="18"/>
                  </w:rPr>
                  <w:t>10</w:t>
                </w:r>
                <w:r>
                  <w:rPr/>
                  <w:fldChar w:fldCharType="begin"/>
                </w:r>
                <w:r>
                  <w:rPr>
                    <w:rFonts w:ascii="Times New Roman"/>
                    <w:b/>
                    <w:sz w:val="18"/>
                  </w:rPr>
                  <w:instrText> PAGE </w:instrText>
                </w:r>
                <w:r>
                  <w:rPr/>
                  <w:fldChar w:fldCharType="separate"/>
                </w:r>
                <w:r>
                  <w:rPr/>
                  <w:t>1</w:t>
                </w:r>
                <w:r>
                  <w:rPr/>
                  <w:fldChar w:fldCharType="end"/>
                </w:r>
                <w:r>
                  <w:rPr>
                    <w:rFonts w:ascii="Times New Roman"/>
                    <w:b/>
                    <w:sz w:val="18"/>
                  </w:rPr>
                  <w:t> </w:t>
                </w:r>
                <w:r>
                  <w:rPr>
                    <w:rFonts w:ascii="Times New Roman"/>
                    <w:sz w:val="18"/>
                  </w:rPr>
                  <w:t>/ </w:t>
                </w:r>
                <w:r>
                  <w:rPr>
                    <w:rFonts w:ascii="Times New Roman"/>
                    <w:b/>
                    <w:sz w:val="18"/>
                  </w:rPr>
                  <w:t>232</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290.929993pt;margin-top:770.235962pt;width:37.550pt;height:12pt;mso-position-horizontal-relative:page;mso-position-vertical-relative:page;z-index:-303738880" type="#_x0000_t202" filled="false" stroked="false">
          <v:textbox inset="0,0,0,0">
            <w:txbxContent>
              <w:p>
                <w:pPr>
                  <w:spacing w:before="12"/>
                  <w:ind w:left="60" w:right="0" w:firstLine="0"/>
                  <w:jc w:val="left"/>
                  <w:rPr>
                    <w:rFonts w:ascii="Times New Roman"/>
                    <w:b/>
                    <w:sz w:val="18"/>
                  </w:rPr>
                </w:pPr>
                <w:r>
                  <w:rPr/>
                  <w:fldChar w:fldCharType="begin"/>
                </w:r>
                <w:r>
                  <w:rPr>
                    <w:rFonts w:ascii="Times New Roman"/>
                    <w:b/>
                    <w:sz w:val="18"/>
                  </w:rPr>
                  <w:instrText> PAGE </w:instrText>
                </w:r>
                <w:r>
                  <w:rPr/>
                  <w:fldChar w:fldCharType="separate"/>
                </w:r>
                <w:r>
                  <w:rPr/>
                  <w:t>113</w:t>
                </w:r>
                <w:r>
                  <w:rPr/>
                  <w:fldChar w:fldCharType="end"/>
                </w:r>
                <w:r>
                  <w:rPr>
                    <w:rFonts w:ascii="Times New Roman"/>
                    <w:b/>
                    <w:sz w:val="18"/>
                  </w:rPr>
                  <w:t> </w:t>
                </w:r>
                <w:r>
                  <w:rPr>
                    <w:rFonts w:ascii="Times New Roman"/>
                    <w:sz w:val="18"/>
                  </w:rPr>
                  <w:t>/ </w:t>
                </w:r>
                <w:r>
                  <w:rPr>
                    <w:rFonts w:ascii="Times New Roman"/>
                    <w:b/>
                    <w:sz w:val="18"/>
                  </w:rPr>
                  <w:t>232</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3.25pt;margin-top:523.635986pt;width:37.550pt;height:12pt;mso-position-horizontal-relative:page;mso-position-vertical-relative:page;z-index:-303735808" type="#_x0000_t202" filled="false" stroked="false">
          <v:textbox inset="0,0,0,0">
            <w:txbxContent>
              <w:p>
                <w:pPr>
                  <w:spacing w:before="12"/>
                  <w:ind w:left="60" w:right="0" w:firstLine="0"/>
                  <w:jc w:val="left"/>
                  <w:rPr>
                    <w:rFonts w:ascii="Times New Roman"/>
                    <w:b/>
                    <w:sz w:val="18"/>
                  </w:rPr>
                </w:pPr>
                <w:r>
                  <w:rPr/>
                  <w:fldChar w:fldCharType="begin"/>
                </w:r>
                <w:r>
                  <w:rPr>
                    <w:rFonts w:ascii="Times New Roman"/>
                    <w:b/>
                    <w:sz w:val="18"/>
                  </w:rPr>
                  <w:instrText> PAGE </w:instrText>
                </w:r>
                <w:r>
                  <w:rPr/>
                  <w:fldChar w:fldCharType="separate"/>
                </w:r>
                <w:r>
                  <w:rPr/>
                  <w:t>117</w:t>
                </w:r>
                <w:r>
                  <w:rPr/>
                  <w:fldChar w:fldCharType="end"/>
                </w:r>
                <w:r>
                  <w:rPr>
                    <w:rFonts w:ascii="Times New Roman"/>
                    <w:b/>
                    <w:sz w:val="18"/>
                  </w:rPr>
                  <w:t> </w:t>
                </w:r>
                <w:r>
                  <w:rPr>
                    <w:rFonts w:ascii="Times New Roman"/>
                    <w:sz w:val="18"/>
                  </w:rPr>
                  <w:t>/ </w:t>
                </w:r>
                <w:r>
                  <w:rPr>
                    <w:rFonts w:ascii="Times New Roman"/>
                    <w:b/>
                    <w:sz w:val="18"/>
                  </w:rPr>
                  <w:t>232</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5.01001pt;margin-top:523.635986pt;width:36.050pt;height:12pt;mso-position-horizontal-relative:page;mso-position-vertical-relative:page;z-index:-303732736" type="#_x0000_t202" filled="false" stroked="false">
          <v:textbox inset="0,0,0,0">
            <w:txbxContent>
              <w:p>
                <w:pPr>
                  <w:spacing w:before="12"/>
                  <w:ind w:left="20" w:right="0" w:firstLine="0"/>
                  <w:jc w:val="left"/>
                  <w:rPr>
                    <w:rFonts w:ascii="Times New Roman"/>
                    <w:b/>
                    <w:sz w:val="18"/>
                  </w:rPr>
                </w:pPr>
                <w:r>
                  <w:rPr>
                    <w:rFonts w:ascii="Times New Roman"/>
                    <w:b/>
                    <w:sz w:val="18"/>
                  </w:rPr>
                  <w:t>120 </w:t>
                </w:r>
                <w:r>
                  <w:rPr>
                    <w:rFonts w:ascii="Times New Roman"/>
                    <w:sz w:val="18"/>
                  </w:rPr>
                  <w:t>/ </w:t>
                </w:r>
                <w:r>
                  <w:rPr>
                    <w:rFonts w:ascii="Times New Roman"/>
                    <w:b/>
                    <w:sz w:val="18"/>
                  </w:rPr>
                  <w:t>232</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5.01001pt;margin-top:523.635986pt;width:36.050pt;height:12pt;mso-position-horizontal-relative:page;mso-position-vertical-relative:page;z-index:-303729664" type="#_x0000_t202" filled="false" stroked="false">
          <v:textbox inset="0,0,0,0">
            <w:txbxContent>
              <w:p>
                <w:pPr>
                  <w:spacing w:before="12"/>
                  <w:ind w:left="20" w:right="0" w:firstLine="0"/>
                  <w:jc w:val="left"/>
                  <w:rPr>
                    <w:rFonts w:ascii="Times New Roman"/>
                    <w:b/>
                    <w:sz w:val="18"/>
                  </w:rPr>
                </w:pPr>
                <w:r>
                  <w:rPr>
                    <w:rFonts w:ascii="Times New Roman"/>
                    <w:b/>
                    <w:sz w:val="18"/>
                  </w:rPr>
                  <w:t>12</w:t>
                </w:r>
                <w:r>
                  <w:rPr/>
                  <w:fldChar w:fldCharType="begin"/>
                </w:r>
                <w:r>
                  <w:rPr>
                    <w:rFonts w:ascii="Times New Roman"/>
                    <w:b/>
                    <w:sz w:val="18"/>
                  </w:rPr>
                  <w:instrText> PAGE </w:instrText>
                </w:r>
                <w:r>
                  <w:rPr/>
                  <w:fldChar w:fldCharType="separate"/>
                </w:r>
                <w:r>
                  <w:rPr/>
                  <w:t>1</w:t>
                </w:r>
                <w:r>
                  <w:rPr/>
                  <w:fldChar w:fldCharType="end"/>
                </w:r>
                <w:r>
                  <w:rPr>
                    <w:rFonts w:ascii="Times New Roman"/>
                    <w:b/>
                    <w:sz w:val="18"/>
                  </w:rPr>
                  <w:t> </w:t>
                </w:r>
                <w:r>
                  <w:rPr>
                    <w:rFonts w:ascii="Times New Roman"/>
                    <w:sz w:val="18"/>
                  </w:rPr>
                  <w:t>/ </w:t>
                </w:r>
                <w:r>
                  <w:rPr>
                    <w:rFonts w:ascii="Times New Roman"/>
                    <w:b/>
                    <w:sz w:val="18"/>
                  </w:rPr>
                  <w:t>232</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92.690002pt;margin-top:770.235962pt;width:36.050pt;height:12pt;mso-position-horizontal-relative:page;mso-position-vertical-relative:page;z-index:-303726592" type="#_x0000_t202" filled="false" stroked="false">
          <v:textbox inset="0,0,0,0">
            <w:txbxContent>
              <w:p>
                <w:pPr>
                  <w:spacing w:before="12"/>
                  <w:ind w:left="20" w:right="0" w:firstLine="0"/>
                  <w:jc w:val="left"/>
                  <w:rPr>
                    <w:rFonts w:ascii="Times New Roman"/>
                    <w:b/>
                    <w:sz w:val="18"/>
                  </w:rPr>
                </w:pPr>
                <w:r>
                  <w:rPr>
                    <w:rFonts w:ascii="Times New Roman"/>
                    <w:b/>
                    <w:sz w:val="18"/>
                  </w:rPr>
                  <w:t>12</w:t>
                </w:r>
                <w:r>
                  <w:rPr/>
                  <w:fldChar w:fldCharType="begin"/>
                </w:r>
                <w:r>
                  <w:rPr>
                    <w:rFonts w:ascii="Times New Roman"/>
                    <w:b/>
                    <w:sz w:val="18"/>
                  </w:rPr>
                  <w:instrText> PAGE </w:instrText>
                </w:r>
                <w:r>
                  <w:rPr/>
                  <w:fldChar w:fldCharType="separate"/>
                </w:r>
                <w:r>
                  <w:rPr/>
                  <w:t>9</w:t>
                </w:r>
                <w:r>
                  <w:rPr/>
                  <w:fldChar w:fldCharType="end"/>
                </w:r>
                <w:r>
                  <w:rPr>
                    <w:rFonts w:ascii="Times New Roman"/>
                    <w:b/>
                    <w:sz w:val="18"/>
                  </w:rPr>
                  <w:t> </w:t>
                </w:r>
                <w:r>
                  <w:rPr>
                    <w:rFonts w:ascii="Times New Roman"/>
                    <w:sz w:val="18"/>
                  </w:rPr>
                  <w:t>/ </w:t>
                </w:r>
                <w:r>
                  <w:rPr>
                    <w:rFonts w:ascii="Times New Roman"/>
                    <w:b/>
                    <w:sz w:val="18"/>
                  </w:rPr>
                  <w:t>232</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90002pt;margin-top:770.235962pt;width:36.050pt;height:12pt;mso-position-horizontal-relative:page;mso-position-vertical-relative:page;z-index:-303723520" type="#_x0000_t202" filled="false" stroked="false">
          <v:textbox inset="0,0,0,0">
            <w:txbxContent>
              <w:p>
                <w:pPr>
                  <w:spacing w:before="12"/>
                  <w:ind w:left="20" w:right="0" w:firstLine="0"/>
                  <w:jc w:val="left"/>
                  <w:rPr>
                    <w:rFonts w:ascii="Times New Roman"/>
                    <w:b/>
                    <w:sz w:val="18"/>
                  </w:rPr>
                </w:pPr>
                <w:r>
                  <w:rPr>
                    <w:rFonts w:ascii="Times New Roman"/>
                    <w:b/>
                    <w:sz w:val="18"/>
                  </w:rPr>
                  <w:t>130 </w:t>
                </w:r>
                <w:r>
                  <w:rPr>
                    <w:rFonts w:ascii="Times New Roman"/>
                    <w:sz w:val="18"/>
                  </w:rPr>
                  <w:t>/ </w:t>
                </w:r>
                <w:r>
                  <w:rPr>
                    <w:rFonts w:ascii="Times New Roman"/>
                    <w:b/>
                    <w:sz w:val="18"/>
                  </w:rPr>
                  <w:t>232</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2.690002pt;margin-top:770.235962pt;width:36.050pt;height:12pt;mso-position-horizontal-relative:page;mso-position-vertical-relative:page;z-index:-303720448" type="#_x0000_t202" filled="false" stroked="false">
          <v:textbox inset="0,0,0,0">
            <w:txbxContent>
              <w:p>
                <w:pPr>
                  <w:spacing w:before="12"/>
                  <w:ind w:left="20" w:right="0" w:firstLine="0"/>
                  <w:jc w:val="left"/>
                  <w:rPr>
                    <w:rFonts w:ascii="Times New Roman"/>
                    <w:b/>
                    <w:sz w:val="18"/>
                  </w:rPr>
                </w:pPr>
                <w:r>
                  <w:rPr>
                    <w:rFonts w:ascii="Times New Roman"/>
                    <w:b/>
                    <w:sz w:val="18"/>
                  </w:rPr>
                  <w:t>13</w:t>
                </w:r>
                <w:r>
                  <w:rPr/>
                  <w:fldChar w:fldCharType="begin"/>
                </w:r>
                <w:r>
                  <w:rPr>
                    <w:rFonts w:ascii="Times New Roman"/>
                    <w:b/>
                    <w:sz w:val="18"/>
                  </w:rPr>
                  <w:instrText> PAGE </w:instrText>
                </w:r>
                <w:r>
                  <w:rPr/>
                  <w:fldChar w:fldCharType="separate"/>
                </w:r>
                <w:r>
                  <w:rPr/>
                  <w:t>7</w:t>
                </w:r>
                <w:r>
                  <w:rPr/>
                  <w:fldChar w:fldCharType="end"/>
                </w:r>
                <w:r>
                  <w:rPr>
                    <w:rFonts w:ascii="Times New Roman"/>
                    <w:b/>
                    <w:sz w:val="18"/>
                  </w:rPr>
                  <w:t> </w:t>
                </w:r>
                <w:r>
                  <w:rPr>
                    <w:rFonts w:ascii="Times New Roman"/>
                    <w:sz w:val="18"/>
                  </w:rPr>
                  <w:t>/ </w:t>
                </w:r>
                <w:r>
                  <w:rPr>
                    <w:rFonts w:ascii="Times New Roman"/>
                    <w:b/>
                    <w:sz w:val="18"/>
                  </w:rPr>
                  <w:t>232</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90002pt;margin-top:770.235962pt;width:36.050pt;height:12pt;mso-position-horizontal-relative:page;mso-position-vertical-relative:page;z-index:-303717376" type="#_x0000_t202" filled="false" stroked="false">
          <v:textbox inset="0,0,0,0">
            <w:txbxContent>
              <w:p>
                <w:pPr>
                  <w:spacing w:before="12"/>
                  <w:ind w:left="20" w:right="0" w:firstLine="0"/>
                  <w:jc w:val="left"/>
                  <w:rPr>
                    <w:rFonts w:ascii="Times New Roman"/>
                    <w:b/>
                    <w:sz w:val="18"/>
                  </w:rPr>
                </w:pPr>
                <w:r>
                  <w:rPr>
                    <w:rFonts w:ascii="Times New Roman"/>
                    <w:b/>
                    <w:sz w:val="18"/>
                  </w:rPr>
                  <w:t>140 </w:t>
                </w:r>
                <w:r>
                  <w:rPr>
                    <w:rFonts w:ascii="Times New Roman"/>
                    <w:sz w:val="18"/>
                  </w:rPr>
                  <w:t>/ </w:t>
                </w:r>
                <w:r>
                  <w:rPr>
                    <w:rFonts w:ascii="Times New Roman"/>
                    <w:b/>
                    <w:sz w:val="18"/>
                  </w:rPr>
                  <w:t>232</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9.170013pt;margin-top:770.235962pt;width:31.1pt;height:12pt;mso-position-horizontal-relative:page;mso-position-vertical-relative:page;z-index:-303821824" type="#_x0000_t202" filled="false" stroked="false">
          <v:textbox inset="0,0,0,0">
            <w:txbxContent>
              <w:p>
                <w:pPr>
                  <w:spacing w:before="12"/>
                  <w:ind w:left="20" w:right="0" w:firstLine="0"/>
                  <w:jc w:val="left"/>
                  <w:rPr>
                    <w:rFonts w:ascii="Times New Roman"/>
                    <w:b/>
                    <w:sz w:val="18"/>
                  </w:rPr>
                </w:pPr>
                <w:r>
                  <w:rPr>
                    <w:rFonts w:ascii="Times New Roman"/>
                    <w:b/>
                    <w:sz w:val="18"/>
                  </w:rPr>
                  <w:t>11 </w:t>
                </w:r>
                <w:r>
                  <w:rPr>
                    <w:rFonts w:ascii="Times New Roman"/>
                    <w:sz w:val="18"/>
                  </w:rPr>
                  <w:t>/ </w:t>
                </w:r>
                <w:r>
                  <w:rPr>
                    <w:rFonts w:ascii="Times New Roman"/>
                    <w:b/>
                    <w:sz w:val="18"/>
                  </w:rPr>
                  <w:t>232</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90002pt;margin-top:770.235962pt;width:36.050pt;height:12pt;mso-position-horizontal-relative:page;mso-position-vertical-relative:page;z-index:-303714304" type="#_x0000_t202" filled="false" stroked="false">
          <v:textbox inset="0,0,0,0">
            <w:txbxContent>
              <w:p>
                <w:pPr>
                  <w:spacing w:before="12"/>
                  <w:ind w:left="20" w:right="0" w:firstLine="0"/>
                  <w:jc w:val="left"/>
                  <w:rPr>
                    <w:rFonts w:ascii="Times New Roman"/>
                    <w:b/>
                    <w:sz w:val="18"/>
                  </w:rPr>
                </w:pPr>
                <w:r>
                  <w:rPr>
                    <w:rFonts w:ascii="Times New Roman"/>
                    <w:b/>
                    <w:sz w:val="18"/>
                  </w:rPr>
                  <w:t>14</w:t>
                </w:r>
                <w:r>
                  <w:rPr/>
                  <w:fldChar w:fldCharType="begin"/>
                </w:r>
                <w:r>
                  <w:rPr>
                    <w:rFonts w:ascii="Times New Roman"/>
                    <w:b/>
                    <w:sz w:val="18"/>
                  </w:rPr>
                  <w:instrText> PAGE </w:instrText>
                </w:r>
                <w:r>
                  <w:rPr/>
                  <w:fldChar w:fldCharType="separate"/>
                </w:r>
                <w:r>
                  <w:rPr/>
                  <w:t>1</w:t>
                </w:r>
                <w:r>
                  <w:rPr/>
                  <w:fldChar w:fldCharType="end"/>
                </w:r>
                <w:r>
                  <w:rPr>
                    <w:rFonts w:ascii="Times New Roman"/>
                    <w:b/>
                    <w:sz w:val="18"/>
                  </w:rPr>
                  <w:t> </w:t>
                </w:r>
                <w:r>
                  <w:rPr>
                    <w:rFonts w:ascii="Times New Roman"/>
                    <w:sz w:val="18"/>
                  </w:rPr>
                  <w:t>/ </w:t>
                </w:r>
                <w:r>
                  <w:rPr>
                    <w:rFonts w:ascii="Times New Roman"/>
                    <w:b/>
                    <w:sz w:val="18"/>
                  </w:rPr>
                  <w:t>232</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90002pt;margin-top:770.235962pt;width:36.050pt;height:12pt;mso-position-horizontal-relative:page;mso-position-vertical-relative:page;z-index:-303711232" type="#_x0000_t202" filled="false" stroked="false">
          <v:textbox inset="0,0,0,0">
            <w:txbxContent>
              <w:p>
                <w:pPr>
                  <w:spacing w:before="12"/>
                  <w:ind w:left="20" w:right="0" w:firstLine="0"/>
                  <w:jc w:val="left"/>
                  <w:rPr>
                    <w:rFonts w:ascii="Times New Roman"/>
                    <w:b/>
                    <w:sz w:val="18"/>
                  </w:rPr>
                </w:pPr>
                <w:r>
                  <w:rPr>
                    <w:rFonts w:ascii="Times New Roman"/>
                    <w:b/>
                    <w:sz w:val="18"/>
                  </w:rPr>
                  <w:t>150 </w:t>
                </w:r>
                <w:r>
                  <w:rPr>
                    <w:rFonts w:ascii="Times New Roman"/>
                    <w:sz w:val="18"/>
                  </w:rPr>
                  <w:t>/ </w:t>
                </w:r>
                <w:r>
                  <w:rPr>
                    <w:rFonts w:ascii="Times New Roman"/>
                    <w:b/>
                    <w:sz w:val="18"/>
                  </w:rPr>
                  <w:t>232</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92.690002pt;margin-top:770.235962pt;width:36.050pt;height:12pt;mso-position-horizontal-relative:page;mso-position-vertical-relative:page;z-index:-303708160" type="#_x0000_t202" filled="false" stroked="false">
          <v:textbox inset="0,0,0,0">
            <w:txbxContent>
              <w:p>
                <w:pPr>
                  <w:spacing w:before="12"/>
                  <w:ind w:left="20" w:right="0" w:firstLine="0"/>
                  <w:jc w:val="left"/>
                  <w:rPr>
                    <w:rFonts w:ascii="Times New Roman"/>
                    <w:b/>
                    <w:sz w:val="18"/>
                  </w:rPr>
                </w:pPr>
                <w:r>
                  <w:rPr>
                    <w:rFonts w:ascii="Times New Roman"/>
                    <w:b/>
                    <w:sz w:val="18"/>
                  </w:rPr>
                  <w:t>15</w:t>
                </w:r>
                <w:r>
                  <w:rPr/>
                  <w:fldChar w:fldCharType="begin"/>
                </w:r>
                <w:r>
                  <w:rPr>
                    <w:rFonts w:ascii="Times New Roman"/>
                    <w:b/>
                    <w:sz w:val="18"/>
                  </w:rPr>
                  <w:instrText> PAGE </w:instrText>
                </w:r>
                <w:r>
                  <w:rPr/>
                  <w:fldChar w:fldCharType="separate"/>
                </w:r>
                <w:r>
                  <w:rPr/>
                  <w:t>6</w:t>
                </w:r>
                <w:r>
                  <w:rPr/>
                  <w:fldChar w:fldCharType="end"/>
                </w:r>
                <w:r>
                  <w:rPr>
                    <w:rFonts w:ascii="Times New Roman"/>
                    <w:b/>
                    <w:sz w:val="18"/>
                  </w:rPr>
                  <w:t> </w:t>
                </w:r>
                <w:r>
                  <w:rPr>
                    <w:rFonts w:ascii="Times New Roman"/>
                    <w:sz w:val="18"/>
                  </w:rPr>
                  <w:t>/ </w:t>
                </w:r>
                <w:r>
                  <w:rPr>
                    <w:rFonts w:ascii="Times New Roman"/>
                    <w:b/>
                    <w:sz w:val="18"/>
                  </w:rPr>
                  <w:t>232</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90002pt;margin-top:770.235962pt;width:36.050pt;height:12pt;mso-position-horizontal-relative:page;mso-position-vertical-relative:page;z-index:-303705088" type="#_x0000_t202" filled="false" stroked="false">
          <v:textbox inset="0,0,0,0">
            <w:txbxContent>
              <w:p>
                <w:pPr>
                  <w:spacing w:before="12"/>
                  <w:ind w:left="20" w:right="0" w:firstLine="0"/>
                  <w:jc w:val="left"/>
                  <w:rPr>
                    <w:rFonts w:ascii="Times New Roman"/>
                    <w:b/>
                    <w:sz w:val="18"/>
                  </w:rPr>
                </w:pPr>
                <w:r>
                  <w:rPr>
                    <w:rFonts w:ascii="Times New Roman"/>
                    <w:b/>
                    <w:sz w:val="18"/>
                  </w:rPr>
                  <w:t>160 </w:t>
                </w:r>
                <w:r>
                  <w:rPr>
                    <w:rFonts w:ascii="Times New Roman"/>
                    <w:sz w:val="18"/>
                  </w:rPr>
                  <w:t>/ </w:t>
                </w:r>
                <w:r>
                  <w:rPr>
                    <w:rFonts w:ascii="Times New Roman"/>
                    <w:b/>
                    <w:sz w:val="18"/>
                  </w:rPr>
                  <w:t>232</w:t>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90002pt;margin-top:770.235962pt;width:36.050pt;height:12pt;mso-position-horizontal-relative:page;mso-position-vertical-relative:page;z-index:-303702016" type="#_x0000_t202" filled="false" stroked="false">
          <v:textbox inset="0,0,0,0">
            <w:txbxContent>
              <w:p>
                <w:pPr>
                  <w:spacing w:before="12"/>
                  <w:ind w:left="20" w:right="0" w:firstLine="0"/>
                  <w:jc w:val="left"/>
                  <w:rPr>
                    <w:rFonts w:ascii="Times New Roman"/>
                    <w:b/>
                    <w:sz w:val="18"/>
                  </w:rPr>
                </w:pPr>
                <w:r>
                  <w:rPr>
                    <w:rFonts w:ascii="Times New Roman"/>
                    <w:b/>
                    <w:sz w:val="18"/>
                  </w:rPr>
                  <w:t>16</w:t>
                </w:r>
                <w:r>
                  <w:rPr/>
                  <w:fldChar w:fldCharType="begin"/>
                </w:r>
                <w:r>
                  <w:rPr>
                    <w:rFonts w:ascii="Times New Roman"/>
                    <w:b/>
                    <w:sz w:val="18"/>
                  </w:rPr>
                  <w:instrText> PAGE </w:instrText>
                </w:r>
                <w:r>
                  <w:rPr/>
                  <w:fldChar w:fldCharType="separate"/>
                </w:r>
                <w:r>
                  <w:rPr/>
                  <w:t>1</w:t>
                </w:r>
                <w:r>
                  <w:rPr/>
                  <w:fldChar w:fldCharType="end"/>
                </w:r>
                <w:r>
                  <w:rPr>
                    <w:rFonts w:ascii="Times New Roman"/>
                    <w:b/>
                    <w:sz w:val="18"/>
                  </w:rPr>
                  <w:t> </w:t>
                </w:r>
                <w:r>
                  <w:rPr>
                    <w:rFonts w:ascii="Times New Roman"/>
                    <w:sz w:val="18"/>
                  </w:rPr>
                  <w:t>/ </w:t>
                </w:r>
                <w:r>
                  <w:rPr>
                    <w:rFonts w:ascii="Times New Roman"/>
                    <w:b/>
                    <w:sz w:val="18"/>
                  </w:rPr>
                  <w:t>232</w:t>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90002pt;margin-top:770.235962pt;width:36.050pt;height:12pt;mso-position-horizontal-relative:page;mso-position-vertical-relative:page;z-index:-303698944" type="#_x0000_t202" filled="false" stroked="false">
          <v:textbox inset="0,0,0,0">
            <w:txbxContent>
              <w:p>
                <w:pPr>
                  <w:spacing w:before="12"/>
                  <w:ind w:left="20" w:right="0" w:firstLine="0"/>
                  <w:jc w:val="left"/>
                  <w:rPr>
                    <w:rFonts w:ascii="Times New Roman"/>
                    <w:b/>
                    <w:sz w:val="18"/>
                  </w:rPr>
                </w:pPr>
                <w:r>
                  <w:rPr>
                    <w:rFonts w:ascii="Times New Roman"/>
                    <w:b/>
                    <w:sz w:val="18"/>
                  </w:rPr>
                  <w:t>170 </w:t>
                </w:r>
                <w:r>
                  <w:rPr>
                    <w:rFonts w:ascii="Times New Roman"/>
                    <w:sz w:val="18"/>
                  </w:rPr>
                  <w:t>/ </w:t>
                </w:r>
                <w:r>
                  <w:rPr>
                    <w:rFonts w:ascii="Times New Roman"/>
                    <w:b/>
                    <w:sz w:val="18"/>
                  </w:rPr>
                  <w:t>232</w:t>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2.690002pt;margin-top:770.235962pt;width:36.050pt;height:12pt;mso-position-horizontal-relative:page;mso-position-vertical-relative:page;z-index:-303695872" type="#_x0000_t202" filled="false" stroked="false">
          <v:textbox inset="0,0,0,0">
            <w:txbxContent>
              <w:p>
                <w:pPr>
                  <w:spacing w:before="12"/>
                  <w:ind w:left="20" w:right="0" w:firstLine="0"/>
                  <w:jc w:val="left"/>
                  <w:rPr>
                    <w:rFonts w:ascii="Times New Roman"/>
                    <w:b/>
                    <w:sz w:val="18"/>
                  </w:rPr>
                </w:pPr>
                <w:r>
                  <w:rPr>
                    <w:rFonts w:ascii="Times New Roman"/>
                    <w:b/>
                    <w:sz w:val="18"/>
                  </w:rPr>
                  <w:t>17</w:t>
                </w:r>
                <w:r>
                  <w:rPr/>
                  <w:fldChar w:fldCharType="begin"/>
                </w:r>
                <w:r>
                  <w:rPr>
                    <w:rFonts w:ascii="Times New Roman"/>
                    <w:b/>
                    <w:sz w:val="18"/>
                  </w:rPr>
                  <w:instrText> PAGE </w:instrText>
                </w:r>
                <w:r>
                  <w:rPr/>
                  <w:fldChar w:fldCharType="separate"/>
                </w:r>
                <w:r>
                  <w:rPr/>
                  <w:t>7</w:t>
                </w:r>
                <w:r>
                  <w:rPr/>
                  <w:fldChar w:fldCharType="end"/>
                </w:r>
                <w:r>
                  <w:rPr>
                    <w:rFonts w:ascii="Times New Roman"/>
                    <w:b/>
                    <w:sz w:val="18"/>
                  </w:rPr>
                  <w:t> </w:t>
                </w:r>
                <w:r>
                  <w:rPr>
                    <w:rFonts w:ascii="Times New Roman"/>
                    <w:sz w:val="18"/>
                  </w:rPr>
                  <w:t>/ </w:t>
                </w:r>
                <w:r>
                  <w:rPr>
                    <w:rFonts w:ascii="Times New Roman"/>
                    <w:b/>
                    <w:sz w:val="18"/>
                  </w:rPr>
                  <w:t>232</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90002pt;margin-top:770.235962pt;width:36.050pt;height:12pt;mso-position-horizontal-relative:page;mso-position-vertical-relative:page;z-index:-303692800" type="#_x0000_t202" filled="false" stroked="false">
          <v:textbox inset="0,0,0,0">
            <w:txbxContent>
              <w:p>
                <w:pPr>
                  <w:spacing w:before="12"/>
                  <w:ind w:left="20" w:right="0" w:firstLine="0"/>
                  <w:jc w:val="left"/>
                  <w:rPr>
                    <w:rFonts w:ascii="Times New Roman"/>
                    <w:b/>
                    <w:sz w:val="18"/>
                  </w:rPr>
                </w:pPr>
                <w:r>
                  <w:rPr>
                    <w:rFonts w:ascii="Times New Roman"/>
                    <w:b/>
                    <w:sz w:val="18"/>
                  </w:rPr>
                  <w:t>180 </w:t>
                </w:r>
                <w:r>
                  <w:rPr>
                    <w:rFonts w:ascii="Times New Roman"/>
                    <w:sz w:val="18"/>
                  </w:rPr>
                  <w:t>/ </w:t>
                </w:r>
                <w:r>
                  <w:rPr>
                    <w:rFonts w:ascii="Times New Roman"/>
                    <w:b/>
                    <w:sz w:val="18"/>
                  </w:rPr>
                  <w:t>232</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90002pt;margin-top:770.235962pt;width:36.050pt;height:12pt;mso-position-horizontal-relative:page;mso-position-vertical-relative:page;z-index:-303689728" type="#_x0000_t202" filled="false" stroked="false">
          <v:textbox inset="0,0,0,0">
            <w:txbxContent>
              <w:p>
                <w:pPr>
                  <w:spacing w:before="12"/>
                  <w:ind w:left="20" w:right="0" w:firstLine="0"/>
                  <w:jc w:val="left"/>
                  <w:rPr>
                    <w:rFonts w:ascii="Times New Roman"/>
                    <w:b/>
                    <w:sz w:val="18"/>
                  </w:rPr>
                </w:pPr>
                <w:r>
                  <w:rPr>
                    <w:rFonts w:ascii="Times New Roman"/>
                    <w:b/>
                    <w:sz w:val="18"/>
                  </w:rPr>
                  <w:t>18</w:t>
                </w:r>
                <w:r>
                  <w:rPr/>
                  <w:fldChar w:fldCharType="begin"/>
                </w:r>
                <w:r>
                  <w:rPr>
                    <w:rFonts w:ascii="Times New Roman"/>
                    <w:b/>
                    <w:sz w:val="18"/>
                  </w:rPr>
                  <w:instrText> PAGE </w:instrText>
                </w:r>
                <w:r>
                  <w:rPr/>
                  <w:fldChar w:fldCharType="separate"/>
                </w:r>
                <w:r>
                  <w:rPr/>
                  <w:t>1</w:t>
                </w:r>
                <w:r>
                  <w:rPr/>
                  <w:fldChar w:fldCharType="end"/>
                </w:r>
                <w:r>
                  <w:rPr>
                    <w:rFonts w:ascii="Times New Roman"/>
                    <w:b/>
                    <w:sz w:val="18"/>
                  </w:rPr>
                  <w:t> </w:t>
                </w:r>
                <w:r>
                  <w:rPr>
                    <w:rFonts w:ascii="Times New Roman"/>
                    <w:sz w:val="18"/>
                  </w:rPr>
                  <w:t>/ </w:t>
                </w:r>
                <w:r>
                  <w:rPr>
                    <w:rFonts w:ascii="Times New Roman"/>
                    <w:b/>
                    <w:sz w:val="18"/>
                  </w:rPr>
                  <w:t>232</w:t>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90002pt;margin-top:770.235962pt;width:36.050pt;height:12pt;mso-position-horizontal-relative:page;mso-position-vertical-relative:page;z-index:-303686656" type="#_x0000_t202" filled="false" stroked="false">
          <v:textbox inset="0,0,0,0">
            <w:txbxContent>
              <w:p>
                <w:pPr>
                  <w:spacing w:before="12"/>
                  <w:ind w:left="20" w:right="0" w:firstLine="0"/>
                  <w:jc w:val="left"/>
                  <w:rPr>
                    <w:rFonts w:ascii="Times New Roman"/>
                    <w:b/>
                    <w:sz w:val="18"/>
                  </w:rPr>
                </w:pPr>
                <w:r>
                  <w:rPr>
                    <w:rFonts w:ascii="Times New Roman"/>
                    <w:b/>
                    <w:sz w:val="18"/>
                  </w:rPr>
                  <w:t>190 </w:t>
                </w:r>
                <w:r>
                  <w:rPr>
                    <w:rFonts w:ascii="Times New Roman"/>
                    <w:sz w:val="18"/>
                  </w:rPr>
                  <w:t>/ </w:t>
                </w:r>
                <w:r>
                  <w:rPr>
                    <w:rFonts w:ascii="Times New Roman"/>
                    <w:b/>
                    <w:sz w:val="18"/>
                  </w:rPr>
                  <w:t>232</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8.929993pt;margin-top:770.235962pt;width:31.6pt;height:12pt;mso-position-horizontal-relative:page;mso-position-vertical-relative:page;z-index:-303818752" type="#_x0000_t202" filled="false" stroked="false">
          <v:textbox inset="0,0,0,0">
            <w:txbxContent>
              <w:p>
                <w:pPr>
                  <w:spacing w:before="12"/>
                  <w:ind w:left="20" w:right="0" w:firstLine="0"/>
                  <w:jc w:val="left"/>
                  <w:rPr>
                    <w:rFonts w:ascii="Times New Roman"/>
                    <w:b/>
                    <w:sz w:val="18"/>
                  </w:rPr>
                </w:pPr>
                <w:r>
                  <w:rPr>
                    <w:rFonts w:ascii="Times New Roman"/>
                    <w:b/>
                    <w:sz w:val="18"/>
                  </w:rPr>
                  <w:t>1</w:t>
                </w:r>
                <w:r>
                  <w:rPr/>
                  <w:fldChar w:fldCharType="begin"/>
                </w:r>
                <w:r>
                  <w:rPr>
                    <w:rFonts w:ascii="Times New Roman"/>
                    <w:b/>
                    <w:sz w:val="18"/>
                  </w:rPr>
                  <w:instrText> PAGE </w:instrText>
                </w:r>
                <w:r>
                  <w:rPr/>
                  <w:fldChar w:fldCharType="separate"/>
                </w:r>
                <w:r>
                  <w:rPr/>
                  <w:t>2</w:t>
                </w:r>
                <w:r>
                  <w:rPr/>
                  <w:fldChar w:fldCharType="end"/>
                </w:r>
                <w:r>
                  <w:rPr>
                    <w:rFonts w:ascii="Times New Roman"/>
                    <w:b/>
                    <w:sz w:val="18"/>
                  </w:rPr>
                  <w:t> </w:t>
                </w:r>
                <w:r>
                  <w:rPr>
                    <w:rFonts w:ascii="Times New Roman"/>
                    <w:sz w:val="18"/>
                  </w:rPr>
                  <w:t>/ </w:t>
                </w:r>
                <w:r>
                  <w:rPr>
                    <w:rFonts w:ascii="Times New Roman"/>
                    <w:b/>
                    <w:sz w:val="18"/>
                  </w:rPr>
                  <w:t>232</w:t>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92.690002pt;margin-top:770.235962pt;width:36.050pt;height:12pt;mso-position-horizontal-relative:page;mso-position-vertical-relative:page;z-index:-303683584" type="#_x0000_t202" filled="false" stroked="false">
          <v:textbox inset="0,0,0,0">
            <w:txbxContent>
              <w:p>
                <w:pPr>
                  <w:spacing w:before="12"/>
                  <w:ind w:left="20" w:right="0" w:firstLine="0"/>
                  <w:jc w:val="left"/>
                  <w:rPr>
                    <w:rFonts w:ascii="Times New Roman"/>
                    <w:b/>
                    <w:sz w:val="18"/>
                  </w:rPr>
                </w:pPr>
                <w:r>
                  <w:rPr>
                    <w:rFonts w:ascii="Times New Roman"/>
                    <w:b/>
                    <w:sz w:val="18"/>
                  </w:rPr>
                  <w:t>19</w:t>
                </w:r>
                <w:r>
                  <w:rPr/>
                  <w:fldChar w:fldCharType="begin"/>
                </w:r>
                <w:r>
                  <w:rPr>
                    <w:rFonts w:ascii="Times New Roman"/>
                    <w:b/>
                    <w:sz w:val="18"/>
                  </w:rPr>
                  <w:instrText> PAGE </w:instrText>
                </w:r>
                <w:r>
                  <w:rPr/>
                  <w:fldChar w:fldCharType="separate"/>
                </w:r>
                <w:r>
                  <w:rPr/>
                  <w:t>3</w:t>
                </w:r>
                <w:r>
                  <w:rPr/>
                  <w:fldChar w:fldCharType="end"/>
                </w:r>
                <w:r>
                  <w:rPr>
                    <w:rFonts w:ascii="Times New Roman"/>
                    <w:b/>
                    <w:sz w:val="18"/>
                  </w:rPr>
                  <w:t> </w:t>
                </w:r>
                <w:r>
                  <w:rPr>
                    <w:rFonts w:ascii="Times New Roman"/>
                    <w:sz w:val="18"/>
                  </w:rPr>
                  <w:t>/ </w:t>
                </w:r>
                <w:r>
                  <w:rPr>
                    <w:rFonts w:ascii="Times New Roman"/>
                    <w:b/>
                    <w:sz w:val="18"/>
                  </w:rPr>
                  <w:t>232</w:t>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90002pt;margin-top:770.235962pt;width:36.050pt;height:12pt;mso-position-horizontal-relative:page;mso-position-vertical-relative:page;z-index:-303680512" type="#_x0000_t202" filled="false" stroked="false">
          <v:textbox inset="0,0,0,0">
            <w:txbxContent>
              <w:p>
                <w:pPr>
                  <w:spacing w:before="12"/>
                  <w:ind w:left="20" w:right="0" w:firstLine="0"/>
                  <w:jc w:val="left"/>
                  <w:rPr>
                    <w:rFonts w:ascii="Times New Roman"/>
                    <w:b/>
                    <w:sz w:val="18"/>
                  </w:rPr>
                </w:pPr>
                <w:r>
                  <w:rPr>
                    <w:rFonts w:ascii="Times New Roman"/>
                    <w:b/>
                    <w:sz w:val="18"/>
                  </w:rPr>
                  <w:t>200 </w:t>
                </w:r>
                <w:r>
                  <w:rPr>
                    <w:rFonts w:ascii="Times New Roman"/>
                    <w:sz w:val="18"/>
                  </w:rPr>
                  <w:t>/ </w:t>
                </w:r>
                <w:r>
                  <w:rPr>
                    <w:rFonts w:ascii="Times New Roman"/>
                    <w:b/>
                    <w:sz w:val="18"/>
                  </w:rPr>
                  <w:t>232</w:t>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90002pt;margin-top:770.235962pt;width:36.050pt;height:12pt;mso-position-horizontal-relative:page;mso-position-vertical-relative:page;z-index:-303677440" type="#_x0000_t202" filled="false" stroked="false">
          <v:textbox inset="0,0,0,0">
            <w:txbxContent>
              <w:p>
                <w:pPr>
                  <w:spacing w:before="12"/>
                  <w:ind w:left="20" w:right="0" w:firstLine="0"/>
                  <w:jc w:val="left"/>
                  <w:rPr>
                    <w:rFonts w:ascii="Times New Roman"/>
                    <w:b/>
                    <w:sz w:val="18"/>
                  </w:rPr>
                </w:pPr>
                <w:r>
                  <w:rPr>
                    <w:rFonts w:ascii="Times New Roman"/>
                    <w:b/>
                    <w:sz w:val="18"/>
                  </w:rPr>
                  <w:t>20</w:t>
                </w:r>
                <w:r>
                  <w:rPr/>
                  <w:fldChar w:fldCharType="begin"/>
                </w:r>
                <w:r>
                  <w:rPr>
                    <w:rFonts w:ascii="Times New Roman"/>
                    <w:b/>
                    <w:sz w:val="18"/>
                  </w:rPr>
                  <w:instrText> PAGE </w:instrText>
                </w:r>
                <w:r>
                  <w:rPr/>
                  <w:fldChar w:fldCharType="separate"/>
                </w:r>
                <w:r>
                  <w:rPr/>
                  <w:t>1</w:t>
                </w:r>
                <w:r>
                  <w:rPr/>
                  <w:fldChar w:fldCharType="end"/>
                </w:r>
                <w:r>
                  <w:rPr>
                    <w:rFonts w:ascii="Times New Roman"/>
                    <w:b/>
                    <w:sz w:val="18"/>
                  </w:rPr>
                  <w:t> </w:t>
                </w:r>
                <w:r>
                  <w:rPr>
                    <w:rFonts w:ascii="Times New Roman"/>
                    <w:sz w:val="18"/>
                  </w:rPr>
                  <w:t>/ </w:t>
                </w:r>
                <w:r>
                  <w:rPr>
                    <w:rFonts w:ascii="Times New Roman"/>
                    <w:b/>
                    <w:sz w:val="18"/>
                  </w:rPr>
                  <w:t>232</w:t>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90002pt;margin-top:770.235962pt;width:36.050pt;height:12pt;mso-position-horizontal-relative:page;mso-position-vertical-relative:page;z-index:-303674368" type="#_x0000_t202" filled="false" stroked="false">
          <v:textbox inset="0,0,0,0">
            <w:txbxContent>
              <w:p>
                <w:pPr>
                  <w:spacing w:before="12"/>
                  <w:ind w:left="20" w:right="0" w:firstLine="0"/>
                  <w:jc w:val="left"/>
                  <w:rPr>
                    <w:rFonts w:ascii="Times New Roman"/>
                    <w:b/>
                    <w:sz w:val="18"/>
                  </w:rPr>
                </w:pPr>
                <w:r>
                  <w:rPr>
                    <w:rFonts w:ascii="Times New Roman"/>
                    <w:b/>
                    <w:sz w:val="18"/>
                  </w:rPr>
                  <w:t>210 </w:t>
                </w:r>
                <w:r>
                  <w:rPr>
                    <w:rFonts w:ascii="Times New Roman"/>
                    <w:sz w:val="18"/>
                  </w:rPr>
                  <w:t>/ </w:t>
                </w:r>
                <w:r>
                  <w:rPr>
                    <w:rFonts w:ascii="Times New Roman"/>
                    <w:b/>
                    <w:sz w:val="18"/>
                  </w:rPr>
                  <w:t>232</w:t>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929993pt;margin-top:770.235962pt;width:35.550pt;height:12pt;mso-position-horizontal-relative:page;mso-position-vertical-relative:page;z-index:-303671296" type="#_x0000_t202" filled="false" stroked="false">
          <v:textbox inset="0,0,0,0">
            <w:txbxContent>
              <w:p>
                <w:pPr>
                  <w:spacing w:before="12"/>
                  <w:ind w:left="20" w:right="0" w:firstLine="0"/>
                  <w:jc w:val="left"/>
                  <w:rPr>
                    <w:rFonts w:ascii="Times New Roman"/>
                    <w:b/>
                    <w:sz w:val="18"/>
                  </w:rPr>
                </w:pPr>
                <w:r>
                  <w:rPr>
                    <w:rFonts w:ascii="Times New Roman"/>
                    <w:b/>
                    <w:sz w:val="18"/>
                  </w:rPr>
                  <w:t>211 </w:t>
                </w:r>
                <w:r>
                  <w:rPr>
                    <w:rFonts w:ascii="Times New Roman"/>
                    <w:sz w:val="18"/>
                  </w:rPr>
                  <w:t>/ </w:t>
                </w:r>
                <w:r>
                  <w:rPr>
                    <w:rFonts w:ascii="Times New Roman"/>
                    <w:b/>
                    <w:sz w:val="18"/>
                  </w:rPr>
                  <w:t>232</w:t>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292.690002pt;margin-top:770.235962pt;width:36.050pt;height:12pt;mso-position-horizontal-relative:page;mso-position-vertical-relative:page;z-index:-303668224" type="#_x0000_t202" filled="false" stroked="false">
          <v:textbox inset="0,0,0,0">
            <w:txbxContent>
              <w:p>
                <w:pPr>
                  <w:spacing w:before="12"/>
                  <w:ind w:left="20" w:right="0" w:firstLine="0"/>
                  <w:jc w:val="left"/>
                  <w:rPr>
                    <w:rFonts w:ascii="Times New Roman"/>
                    <w:b/>
                    <w:sz w:val="18"/>
                  </w:rPr>
                </w:pPr>
                <w:r>
                  <w:rPr>
                    <w:rFonts w:ascii="Times New Roman"/>
                    <w:b/>
                    <w:sz w:val="18"/>
                  </w:rPr>
                  <w:t>21</w:t>
                </w:r>
                <w:r>
                  <w:rPr/>
                  <w:fldChar w:fldCharType="begin"/>
                </w:r>
                <w:r>
                  <w:rPr>
                    <w:rFonts w:ascii="Times New Roman"/>
                    <w:b/>
                    <w:sz w:val="18"/>
                  </w:rPr>
                  <w:instrText> PAGE </w:instrText>
                </w:r>
                <w:r>
                  <w:rPr/>
                  <w:fldChar w:fldCharType="separate"/>
                </w:r>
                <w:r>
                  <w:rPr/>
                  <w:t>4</w:t>
                </w:r>
                <w:r>
                  <w:rPr/>
                  <w:fldChar w:fldCharType="end"/>
                </w:r>
                <w:r>
                  <w:rPr>
                    <w:rFonts w:ascii="Times New Roman"/>
                    <w:b/>
                    <w:sz w:val="18"/>
                  </w:rPr>
                  <w:t> </w:t>
                </w:r>
                <w:r>
                  <w:rPr>
                    <w:rFonts w:ascii="Times New Roman"/>
                    <w:sz w:val="18"/>
                  </w:rPr>
                  <w:t>/ </w:t>
                </w:r>
                <w:r>
                  <w:rPr>
                    <w:rFonts w:ascii="Times New Roman"/>
                    <w:b/>
                    <w:sz w:val="18"/>
                  </w:rPr>
                  <w:t>232</w:t>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90002pt;margin-top:770.235962pt;width:36.050pt;height:12pt;mso-position-horizontal-relative:page;mso-position-vertical-relative:page;z-index:-303665152" type="#_x0000_t202" filled="false" stroked="false">
          <v:textbox inset="0,0,0,0">
            <w:txbxContent>
              <w:p>
                <w:pPr>
                  <w:spacing w:before="12"/>
                  <w:ind w:left="20" w:right="0" w:firstLine="0"/>
                  <w:jc w:val="left"/>
                  <w:rPr>
                    <w:rFonts w:ascii="Times New Roman"/>
                    <w:b/>
                    <w:sz w:val="18"/>
                  </w:rPr>
                </w:pPr>
                <w:r>
                  <w:rPr>
                    <w:rFonts w:ascii="Times New Roman"/>
                    <w:b/>
                    <w:sz w:val="18"/>
                  </w:rPr>
                  <w:t>220 </w:t>
                </w:r>
                <w:r>
                  <w:rPr>
                    <w:rFonts w:ascii="Times New Roman"/>
                    <w:sz w:val="18"/>
                  </w:rPr>
                  <w:t>/ </w:t>
                </w:r>
                <w:r>
                  <w:rPr>
                    <w:rFonts w:ascii="Times New Roman"/>
                    <w:b/>
                    <w:sz w:val="18"/>
                  </w:rPr>
                  <w:t>232</w:t>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90002pt;margin-top:770.235962pt;width:36.050pt;height:12pt;mso-position-horizontal-relative:page;mso-position-vertical-relative:page;z-index:-303662080" type="#_x0000_t202" filled="false" stroked="false">
          <v:textbox inset="0,0,0,0">
            <w:txbxContent>
              <w:p>
                <w:pPr>
                  <w:spacing w:before="12"/>
                  <w:ind w:left="20" w:right="0" w:firstLine="0"/>
                  <w:jc w:val="left"/>
                  <w:rPr>
                    <w:rFonts w:ascii="Times New Roman"/>
                    <w:b/>
                    <w:sz w:val="18"/>
                  </w:rPr>
                </w:pPr>
                <w:r>
                  <w:rPr>
                    <w:rFonts w:ascii="Times New Roman"/>
                    <w:b/>
                    <w:sz w:val="18"/>
                  </w:rPr>
                  <w:t>22</w:t>
                </w:r>
                <w:r>
                  <w:rPr/>
                  <w:fldChar w:fldCharType="begin"/>
                </w:r>
                <w:r>
                  <w:rPr>
                    <w:rFonts w:ascii="Times New Roman"/>
                    <w:b/>
                    <w:sz w:val="18"/>
                  </w:rPr>
                  <w:instrText> PAGE </w:instrText>
                </w:r>
                <w:r>
                  <w:rPr/>
                  <w:fldChar w:fldCharType="separate"/>
                </w:r>
                <w:r>
                  <w:rPr/>
                  <w:t>1</w:t>
                </w:r>
                <w:r>
                  <w:rPr/>
                  <w:fldChar w:fldCharType="end"/>
                </w:r>
                <w:r>
                  <w:rPr>
                    <w:rFonts w:ascii="Times New Roman"/>
                    <w:b/>
                    <w:sz w:val="18"/>
                  </w:rPr>
                  <w:t> </w:t>
                </w:r>
                <w:r>
                  <w:rPr>
                    <w:rFonts w:ascii="Times New Roman"/>
                    <w:sz w:val="18"/>
                  </w:rPr>
                  <w:t>/ </w:t>
                </w:r>
                <w:r>
                  <w:rPr>
                    <w:rFonts w:ascii="Times New Roman"/>
                    <w:b/>
                    <w:sz w:val="18"/>
                  </w:rPr>
                  <w:t>232</w:t>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90002pt;margin-top:770.235962pt;width:36.050pt;height:12pt;mso-position-horizontal-relative:page;mso-position-vertical-relative:page;z-index:-303659008" type="#_x0000_t202" filled="false" stroked="false">
          <v:textbox inset="0,0,0,0">
            <w:txbxContent>
              <w:p>
                <w:pPr>
                  <w:spacing w:before="12"/>
                  <w:ind w:left="20" w:right="0" w:firstLine="0"/>
                  <w:jc w:val="left"/>
                  <w:rPr>
                    <w:rFonts w:ascii="Times New Roman"/>
                    <w:b/>
                    <w:sz w:val="18"/>
                  </w:rPr>
                </w:pPr>
                <w:r>
                  <w:rPr>
                    <w:rFonts w:ascii="Times New Roman"/>
                    <w:b/>
                    <w:sz w:val="18"/>
                  </w:rPr>
                  <w:t>230 </w:t>
                </w:r>
                <w:r>
                  <w:rPr>
                    <w:rFonts w:ascii="Times New Roman"/>
                    <w:sz w:val="18"/>
                  </w:rPr>
                  <w:t>/ </w:t>
                </w:r>
                <w:r>
                  <w:rPr>
                    <w:rFonts w:ascii="Times New Roman"/>
                    <w:b/>
                    <w:sz w:val="18"/>
                  </w:rPr>
                  <w:t>232</w:t>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90002pt;margin-top:770.235962pt;width:36.050pt;height:12pt;mso-position-horizontal-relative:page;mso-position-vertical-relative:page;z-index:-303655936" type="#_x0000_t202" filled="false" stroked="false">
          <v:textbox inset="0,0,0,0">
            <w:txbxContent>
              <w:p>
                <w:pPr>
                  <w:spacing w:before="12"/>
                  <w:ind w:left="20" w:right="0" w:firstLine="0"/>
                  <w:jc w:val="left"/>
                  <w:rPr>
                    <w:rFonts w:ascii="Times New Roman"/>
                    <w:b/>
                    <w:sz w:val="18"/>
                  </w:rPr>
                </w:pPr>
                <w:r>
                  <w:rPr>
                    <w:rFonts w:ascii="Times New Roman"/>
                    <w:b/>
                    <w:sz w:val="18"/>
                  </w:rPr>
                  <w:t>23</w:t>
                </w:r>
                <w:r>
                  <w:rPr/>
                  <w:fldChar w:fldCharType="begin"/>
                </w:r>
                <w:r>
                  <w:rPr>
                    <w:rFonts w:ascii="Times New Roman"/>
                    <w:b/>
                    <w:sz w:val="18"/>
                  </w:rPr>
                  <w:instrText> PAGE </w:instrText>
                </w:r>
                <w:r>
                  <w:rPr/>
                  <w:fldChar w:fldCharType="separate"/>
                </w:r>
                <w:r>
                  <w:rPr/>
                  <w:t>1</w:t>
                </w:r>
                <w:r>
                  <w:rPr/>
                  <w:fldChar w:fldCharType="end"/>
                </w:r>
                <w:r>
                  <w:rPr>
                    <w:rFonts w:ascii="Times New Roman"/>
                    <w:b/>
                    <w:sz w:val="18"/>
                  </w:rPr>
                  <w:t> </w:t>
                </w:r>
                <w:r>
                  <w:rPr>
                    <w:rFonts w:ascii="Times New Roman"/>
                    <w:sz w:val="18"/>
                  </w:rPr>
                  <w:t>/ </w:t>
                </w:r>
                <w:r>
                  <w:rPr>
                    <w:rFonts w:ascii="Times New Roman"/>
                    <w:b/>
                    <w:sz w:val="18"/>
                  </w:rPr>
                  <w:t>232</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8.929993pt;margin-top:770.235962pt;width:31.6pt;height:12pt;mso-position-horizontal-relative:page;mso-position-vertical-relative:page;z-index:-303815680" type="#_x0000_t202" filled="false" stroked="false">
          <v:textbox inset="0,0,0,0">
            <w:txbxContent>
              <w:p>
                <w:pPr>
                  <w:spacing w:before="12"/>
                  <w:ind w:left="20" w:right="0" w:firstLine="0"/>
                  <w:jc w:val="left"/>
                  <w:rPr>
                    <w:rFonts w:ascii="Times New Roman"/>
                    <w:b/>
                    <w:sz w:val="18"/>
                  </w:rPr>
                </w:pPr>
                <w:r>
                  <w:rPr>
                    <w:rFonts w:ascii="Times New Roman"/>
                    <w:b/>
                    <w:sz w:val="18"/>
                  </w:rPr>
                  <w:t>20 </w:t>
                </w:r>
                <w:r>
                  <w:rPr>
                    <w:rFonts w:ascii="Times New Roman"/>
                    <w:sz w:val="18"/>
                  </w:rPr>
                  <w:t>/ </w:t>
                </w:r>
                <w:r>
                  <w:rPr>
                    <w:rFonts w:ascii="Times New Roman"/>
                    <w:b/>
                    <w:sz w:val="18"/>
                  </w:rPr>
                  <w:t>232</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8.929993pt;margin-top:770.235962pt;width:31.6pt;height:12pt;mso-position-horizontal-relative:page;mso-position-vertical-relative:page;z-index:-303812608" type="#_x0000_t202" filled="false" stroked="false">
          <v:textbox inset="0,0,0,0">
            <w:txbxContent>
              <w:p>
                <w:pPr>
                  <w:spacing w:before="12"/>
                  <w:ind w:left="20" w:right="0" w:firstLine="0"/>
                  <w:jc w:val="left"/>
                  <w:rPr>
                    <w:rFonts w:ascii="Times New Roman"/>
                    <w:b/>
                    <w:sz w:val="18"/>
                  </w:rPr>
                </w:pPr>
                <w:r>
                  <w:rPr>
                    <w:rFonts w:ascii="Times New Roman"/>
                    <w:b/>
                    <w:sz w:val="18"/>
                  </w:rPr>
                  <w:t>2</w:t>
                </w:r>
                <w:r>
                  <w:rPr/>
                  <w:fldChar w:fldCharType="begin"/>
                </w:r>
                <w:r>
                  <w:rPr>
                    <w:rFonts w:ascii="Times New Roman"/>
                    <w:b/>
                    <w:sz w:val="18"/>
                  </w:rPr>
                  <w:instrText> PAGE </w:instrText>
                </w:r>
                <w:r>
                  <w:rPr/>
                  <w:fldChar w:fldCharType="separate"/>
                </w:r>
                <w:r>
                  <w:rPr/>
                  <w:t>1</w:t>
                </w:r>
                <w:r>
                  <w:rPr/>
                  <w:fldChar w:fldCharType="end"/>
                </w:r>
                <w:r>
                  <w:rPr>
                    <w:rFonts w:ascii="Times New Roman"/>
                    <w:b/>
                    <w:sz w:val="18"/>
                  </w:rPr>
                  <w:t> </w:t>
                </w:r>
                <w:r>
                  <w:rPr>
                    <w:rFonts w:ascii="Times New Roman"/>
                    <w:sz w:val="18"/>
                  </w:rPr>
                  <w:t>/ </w:t>
                </w:r>
                <w:r>
                  <w:rPr>
                    <w:rFonts w:ascii="Times New Roman"/>
                    <w:b/>
                    <w:sz w:val="18"/>
                  </w:rPr>
                  <w:t>232</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8.929993pt;margin-top:770.235962pt;width:31.6pt;height:12pt;mso-position-horizontal-relative:page;mso-position-vertical-relative:page;z-index:-303809536" type="#_x0000_t202" filled="false" stroked="false">
          <v:textbox inset="0,0,0,0">
            <w:txbxContent>
              <w:p>
                <w:pPr>
                  <w:spacing w:before="12"/>
                  <w:ind w:left="20" w:right="0" w:firstLine="0"/>
                  <w:jc w:val="left"/>
                  <w:rPr>
                    <w:rFonts w:ascii="Times New Roman"/>
                    <w:b/>
                    <w:sz w:val="18"/>
                  </w:rPr>
                </w:pPr>
                <w:r>
                  <w:rPr>
                    <w:rFonts w:ascii="Times New Roman"/>
                    <w:b/>
                    <w:sz w:val="18"/>
                  </w:rPr>
                  <w:t>30 </w:t>
                </w:r>
                <w:r>
                  <w:rPr>
                    <w:rFonts w:ascii="Times New Roman"/>
                    <w:sz w:val="18"/>
                  </w:rPr>
                  <w:t>/ </w:t>
                </w:r>
                <w:r>
                  <w:rPr>
                    <w:rFonts w:ascii="Times New Roman"/>
                    <w:b/>
                    <w:sz w:val="18"/>
                  </w:rPr>
                  <w:t>232</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8.929993pt;margin-top:770.235962pt;width:31.6pt;height:12pt;mso-position-horizontal-relative:page;mso-position-vertical-relative:page;z-index:-303806464" type="#_x0000_t202" filled="false" stroked="false">
          <v:textbox inset="0,0,0,0">
            <w:txbxContent>
              <w:p>
                <w:pPr>
                  <w:spacing w:before="12"/>
                  <w:ind w:left="20" w:right="0" w:firstLine="0"/>
                  <w:jc w:val="left"/>
                  <w:rPr>
                    <w:rFonts w:ascii="Times New Roman"/>
                    <w:b/>
                    <w:sz w:val="18"/>
                  </w:rPr>
                </w:pPr>
                <w:r>
                  <w:rPr>
                    <w:rFonts w:ascii="Times New Roman"/>
                    <w:b/>
                    <w:sz w:val="18"/>
                  </w:rPr>
                  <w:t>3</w:t>
                </w:r>
                <w:r>
                  <w:rPr/>
                  <w:fldChar w:fldCharType="begin"/>
                </w:r>
                <w:r>
                  <w:rPr>
                    <w:rFonts w:ascii="Times New Roman"/>
                    <w:b/>
                    <w:sz w:val="18"/>
                  </w:rPr>
                  <w:instrText> PAGE </w:instrText>
                </w:r>
                <w:r>
                  <w:rPr/>
                  <w:fldChar w:fldCharType="separate"/>
                </w:r>
                <w:r>
                  <w:rPr/>
                  <w:t>1</w:t>
                </w:r>
                <w:r>
                  <w:rPr/>
                  <w:fldChar w:fldCharType="end"/>
                </w:r>
                <w:r>
                  <w:rPr>
                    <w:rFonts w:ascii="Times New Roman"/>
                    <w:b/>
                    <w:sz w:val="18"/>
                  </w:rPr>
                  <w:t> </w:t>
                </w:r>
                <w:r>
                  <w:rPr>
                    <w:rFonts w:ascii="Times New Roman"/>
                    <w:sz w:val="18"/>
                  </w:rPr>
                  <w:t>/ </w:t>
                </w:r>
                <w:r>
                  <w:rPr>
                    <w:rFonts w:ascii="Times New Roman"/>
                    <w:b/>
                    <w:sz w:val="18"/>
                  </w:rPr>
                  <w:t>232</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833088" from="88.463997pt,55.799984pt" to="532.053997pt,55.799984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30.289993pt;margin-top:42.699963pt;width:159.85pt;height:12pt;mso-position-horizontal-relative:page;mso-position-vertical-relative:page;z-index:-303832064"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805440" from="88.463997pt,55.799984pt" to="532.053997pt,55.799984pt" stroked="true" strokeweight=".72pt" strokecolor="#000000">
          <v:stroke dashstyle="solid"/>
          <w10:wrap type="none"/>
        </v:line>
      </w:pict>
    </w:r>
    <w:r>
      <w:rPr/>
      <w:pict>
        <v:shape style="position:absolute;margin-left:230.289993pt;margin-top:42.699963pt;width:159.85pt;height:12pt;mso-position-horizontal-relative:page;mso-position-vertical-relative:page;z-index:-303804416"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802368" from="88.463997pt,55.799984pt" to="532.053997pt,55.799984pt" stroked="true" strokeweight=".72pt" strokecolor="#000000">
          <v:stroke dashstyle="solid"/>
          <w10:wrap type="none"/>
        </v:line>
      </w:pict>
    </w:r>
    <w:r>
      <w:rPr/>
      <w:pict>
        <v:shape style="position:absolute;margin-left:230.289993pt;margin-top:42.699963pt;width:159.85pt;height:12pt;mso-position-horizontal-relative:page;mso-position-vertical-relative:page;z-index:-303801344"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799296" from="70.559998pt,55.920006pt" to="766.179998pt,55.920006pt" stroked="true" strokeweight=".72pt" strokecolor="#000000">
          <v:stroke dashstyle="solid"/>
          <w10:wrap type="none"/>
        </v:line>
      </w:pict>
    </w:r>
    <w:r>
      <w:rPr/>
      <w:pict>
        <v:shape style="position:absolute;margin-left:338.410004pt;margin-top:42.819988pt;width:159.85pt;height:12pt;mso-position-horizontal-relative:page;mso-position-vertical-relative:page;z-index:-303798272"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796224" from="70.559998pt,55.920006pt" to="766.179998pt,55.920006pt" stroked="true" strokeweight=".72pt" strokecolor="#000000">
          <v:stroke dashstyle="solid"/>
          <w10:wrap type="none"/>
        </v:line>
      </w:pict>
    </w:r>
    <w:r>
      <w:rPr/>
      <w:pict>
        <v:shape style="position:absolute;margin-left:338.410004pt;margin-top:42.819988pt;width:159.85pt;height:12pt;mso-position-horizontal-relative:page;mso-position-vertical-relative:page;z-index:-303795200"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793152" from="70.559998pt,55.920006pt" to="766.179998pt,55.920006pt" stroked="true" strokeweight=".72pt" strokecolor="#000000">
          <v:stroke dashstyle="solid"/>
          <w10:wrap type="none"/>
        </v:line>
      </w:pict>
    </w:r>
    <w:r>
      <w:rPr/>
      <w:pict>
        <v:shape style="position:absolute;margin-left:338.410004pt;margin-top:42.819988pt;width:159.85pt;height:12pt;mso-position-horizontal-relative:page;mso-position-vertical-relative:page;z-index:-303792128"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790080" from="88.463997pt,55.799984pt" to="532.053997pt,55.799984pt" stroked="true" strokeweight=".72pt" strokecolor="#000000">
          <v:stroke dashstyle="solid"/>
          <w10:wrap type="none"/>
        </v:line>
      </w:pict>
    </w:r>
    <w:r>
      <w:rPr/>
      <w:pict>
        <v:shape style="position:absolute;margin-left:230.289993pt;margin-top:42.699963pt;width:159.85pt;height:12pt;mso-position-horizontal-relative:page;mso-position-vertical-relative:page;z-index:-303789056"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787008" from="88.463997pt,55.799984pt" to="532.053997pt,55.799984pt" stroked="true" strokeweight=".72pt" strokecolor="#000000">
          <v:stroke dashstyle="solid"/>
          <w10:wrap type="none"/>
        </v:line>
      </w:pict>
    </w:r>
    <w:r>
      <w:rPr/>
      <w:pict>
        <v:shape style="position:absolute;margin-left:230.289993pt;margin-top:42.699963pt;width:159.85pt;height:12pt;mso-position-horizontal-relative:page;mso-position-vertical-relative:page;z-index:-303785984"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783936" from="70.559998pt,55.920006pt" to="766.179998pt,55.920006pt" stroked="true" strokeweight=".72pt" strokecolor="#000000">
          <v:stroke dashstyle="solid"/>
          <w10:wrap type="none"/>
        </v:line>
      </w:pict>
    </w:r>
    <w:r>
      <w:rPr/>
      <w:pict>
        <v:shape style="position:absolute;margin-left:338.410004pt;margin-top:42.819988pt;width:159.85pt;height:12pt;mso-position-horizontal-relative:page;mso-position-vertical-relative:page;z-index:-303782912"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0.289993pt;margin-top:42.699963pt;width:159.85pt;height:12pt;mso-position-horizontal-relative:page;mso-position-vertical-relative:page;z-index:-303780864"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778816" from="88.463997pt,55.799984pt" to="532.053997pt,55.799984pt" stroked="true" strokeweight=".72pt" strokecolor="#000000">
          <v:stroke dashstyle="solid"/>
          <w10:wrap type="none"/>
        </v:line>
      </w:pict>
    </w:r>
    <w:r>
      <w:rPr/>
      <w:pict>
        <v:shape style="position:absolute;margin-left:230.289993pt;margin-top:42.699963pt;width:159.85pt;height:12pt;mso-position-horizontal-relative:page;mso-position-vertical-relative:page;z-index:-303777792"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830016" from="62.400002pt,55.799984pt" to="506.020002pt,55.799984pt" stroked="true" strokeweight=".72pt" strokecolor="#000000">
          <v:stroke dashstyle="solid"/>
          <w10:wrap type="none"/>
        </v:line>
      </w:pict>
    </w:r>
    <w:r>
      <w:rPr/>
      <w:pict>
        <v:shape style="position:absolute;margin-left:204.25pt;margin-top:42.699963pt;width:159.85pt;height:12pt;mso-position-horizontal-relative:page;mso-position-vertical-relative:page;z-index:-303828992"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775744" from="88.463997pt,55.799984pt" to="532.053997pt,55.799984pt" stroked="true" strokeweight=".72pt" strokecolor="#000000">
          <v:stroke dashstyle="solid"/>
          <w10:wrap type="none"/>
        </v:line>
      </w:pict>
    </w:r>
    <w:r>
      <w:rPr/>
      <w:pict>
        <v:shape style="position:absolute;margin-left:230.289993pt;margin-top:42.699963pt;width:159.85pt;height:12pt;mso-position-horizontal-relative:page;mso-position-vertical-relative:page;z-index:-303774720"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772672" from="88.463997pt,55.799984pt" to="532.053997pt,55.799984pt" stroked="true" strokeweight=".72pt" strokecolor="#000000">
          <v:stroke dashstyle="solid"/>
          <w10:wrap type="none"/>
        </v:line>
      </w:pict>
    </w:r>
    <w:r>
      <w:rPr/>
      <w:pict>
        <v:shape style="position:absolute;margin-left:230.289993pt;margin-top:42.699963pt;width:159.85pt;height:12pt;mso-position-horizontal-relative:page;mso-position-vertical-relative:page;z-index:-303771648"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768576" from="88.463997pt,55.799984pt" to="532.053997pt,55.799984pt" stroked="true" strokeweight=".72pt" strokecolor="#000000">
          <v:stroke dashstyle="solid"/>
          <w10:wrap type="none"/>
        </v:line>
      </w:pict>
    </w:r>
    <w:r>
      <w:rPr/>
      <w:pict>
        <v:shape style="position:absolute;margin-left:230.289993pt;margin-top:42.699963pt;width:159.85pt;height:12pt;mso-position-horizontal-relative:page;mso-position-vertical-relative:page;z-index:-303767552"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765504" from="88.463997pt,55.799984pt" to="532.053997pt,55.799984pt" stroked="true" strokeweight=".72pt" strokecolor="#000000">
          <v:stroke dashstyle="solid"/>
          <w10:wrap type="none"/>
        </v:line>
      </w:pict>
    </w:r>
    <w:r>
      <w:rPr/>
      <w:pict>
        <v:shape style="position:absolute;margin-left:230.289993pt;margin-top:42.699963pt;width:159.85pt;height:12pt;mso-position-horizontal-relative:page;mso-position-vertical-relative:page;z-index:-303764480"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762432" from="88.463997pt,55.799984pt" to="532.053997pt,55.799984pt" stroked="true" strokeweight=".72pt" strokecolor="#000000">
          <v:stroke dashstyle="solid"/>
          <w10:wrap type="none"/>
        </v:line>
      </w:pict>
    </w:r>
    <w:r>
      <w:rPr/>
      <w:pict>
        <v:shape style="position:absolute;margin-left:230.289993pt;margin-top:42.699963pt;width:159.85pt;height:12pt;mso-position-horizontal-relative:page;mso-position-vertical-relative:page;z-index:-303761408"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759360" from="74.760002pt,55.800007pt" to="770.380002pt,55.800007pt" stroked="true" strokeweight=".72pt" strokecolor="#000000">
          <v:stroke dashstyle="solid"/>
          <w10:wrap type="none"/>
        </v:line>
      </w:pict>
    </w:r>
    <w:r>
      <w:rPr/>
      <w:pict>
        <v:shape style="position:absolute;margin-left:342.609985pt;margin-top:42.699989pt;width:159.85pt;height:12pt;mso-position-horizontal-relative:page;mso-position-vertical-relative:page;z-index:-303758336"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756288" from="74.760002pt,55.800007pt" to="770.380002pt,55.800007pt" stroked="true" strokeweight=".72pt" strokecolor="#000000">
          <v:stroke dashstyle="solid"/>
          <w10:wrap type="none"/>
        </v:line>
      </w:pict>
    </w:r>
    <w:r>
      <w:rPr/>
      <w:pict>
        <v:shape style="position:absolute;margin-left:342.609985pt;margin-top:42.699989pt;width:159.85pt;height:12pt;mso-position-horizontal-relative:page;mso-position-vertical-relative:page;z-index:-303755264"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753216" from="74.760002pt,55.800007pt" to="770.380002pt,55.800007pt" stroked="true" strokeweight=".72pt" strokecolor="#000000">
          <v:stroke dashstyle="solid"/>
          <w10:wrap type="none"/>
        </v:line>
      </w:pict>
    </w:r>
    <w:r>
      <w:rPr/>
      <w:pict>
        <v:shape style="position:absolute;margin-left:342.609985pt;margin-top:42.699989pt;width:159.85pt;height:12pt;mso-position-horizontal-relative:page;mso-position-vertical-relative:page;z-index:-303752192"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750144" from="88.463997pt,55.559982pt" to="532.053997pt,55.559982pt" stroked="true" strokeweight=".72pt" strokecolor="#000000">
          <v:stroke dashstyle="solid"/>
          <w10:wrap type="none"/>
        </v:line>
      </w:pict>
    </w:r>
    <w:r>
      <w:rPr/>
      <w:pict>
        <v:shape style="position:absolute;margin-left:230.289993pt;margin-top:42.579964pt;width:159.85pt;height:12pt;mso-position-horizontal-relative:page;mso-position-vertical-relative:page;z-index:-303749120"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826944" from="62.400002pt,55.799984pt" to="506.020002pt,55.799984pt" stroked="true" strokeweight=".72pt" strokecolor="#000000">
          <v:stroke dashstyle="solid"/>
          <w10:wrap type="none"/>
        </v:line>
      </w:pict>
    </w:r>
    <w:r>
      <w:rPr/>
      <w:pict>
        <v:shape style="position:absolute;margin-left:204.25pt;margin-top:42.699963pt;width:159.85pt;height:12pt;mso-position-horizontal-relative:page;mso-position-vertical-relative:page;z-index:-303825920"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747072" from="88.463997pt,55.559982pt" to="532.053997pt,55.559982pt" stroked="true" strokeweight=".72pt" strokecolor="#000000">
          <v:stroke dashstyle="solid"/>
          <w10:wrap type="none"/>
        </v:line>
      </w:pict>
    </w:r>
    <w:r>
      <w:rPr/>
      <w:pict>
        <v:shape style="position:absolute;margin-left:230.289993pt;margin-top:42.579964pt;width:159.85pt;height:12pt;mso-position-horizontal-relative:page;mso-position-vertical-relative:page;z-index:-303746048"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744000" from="88.463997pt,55.559982pt" to="532.053997pt,55.559982pt" stroked="true" strokeweight=".72pt" strokecolor="#000000">
          <v:stroke dashstyle="solid"/>
          <w10:wrap type="none"/>
        </v:line>
      </w:pict>
    </w:r>
    <w:r>
      <w:rPr/>
      <w:pict>
        <v:shape style="position:absolute;margin-left:230.289993pt;margin-top:42.579964pt;width:159.85pt;height:12pt;mso-position-horizontal-relative:page;mso-position-vertical-relative:page;z-index:-303742976"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740928" from="88.463997pt,55.919983pt" to="532.053997pt,55.919983pt" stroked="true" strokeweight=".72pt" strokecolor="#000000">
          <v:stroke dashstyle="solid"/>
          <w10:wrap type="none"/>
        </v:line>
      </w:pict>
    </w:r>
    <w:r>
      <w:rPr/>
      <w:pict>
        <v:shape style="position:absolute;margin-left:230.289993pt;margin-top:42.819962pt;width:159.85pt;height:12pt;mso-position-horizontal-relative:page;mso-position-vertical-relative:page;z-index:-303739904"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737856" from="74.760002pt,55.920006pt" to="770.380002pt,55.920006pt" stroked="true" strokeweight=".72pt" strokecolor="#000000">
          <v:stroke dashstyle="solid"/>
          <w10:wrap type="none"/>
        </v:line>
      </w:pict>
    </w:r>
    <w:r>
      <w:rPr/>
      <w:pict>
        <v:shape style="position:absolute;margin-left:342.609985pt;margin-top:42.819988pt;width:159.85pt;height:12pt;mso-position-horizontal-relative:page;mso-position-vertical-relative:page;z-index:-303736832"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734784" from="74.760002pt,55.920006pt" to="770.380002pt,55.920006pt" stroked="true" strokeweight=".72pt" strokecolor="#000000">
          <v:stroke dashstyle="solid"/>
          <w10:wrap type="none"/>
        </v:line>
      </w:pict>
    </w:r>
    <w:r>
      <w:rPr/>
      <w:pict>
        <v:shape style="position:absolute;margin-left:342.609985pt;margin-top:42.819988pt;width:159.85pt;height:12pt;mso-position-horizontal-relative:page;mso-position-vertical-relative:page;z-index:-303733760"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731712" from="74.760002pt,55.920006pt" to="770.380002pt,55.920006pt" stroked="true" strokeweight=".72pt" strokecolor="#000000">
          <v:stroke dashstyle="solid"/>
          <w10:wrap type="none"/>
        </v:line>
      </w:pict>
    </w:r>
    <w:r>
      <w:rPr/>
      <w:pict>
        <v:shape style="position:absolute;margin-left:342.609985pt;margin-top:42.819988pt;width:159.85pt;height:12pt;mso-position-horizontal-relative:page;mso-position-vertical-relative:page;z-index:-303730688"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728640" from="88.463997pt,55.919983pt" to="532.053997pt,55.919983pt" stroked="true" strokeweight=".72pt" strokecolor="#000000">
          <v:stroke dashstyle="solid"/>
          <w10:wrap type="none"/>
        </v:line>
      </w:pict>
    </w:r>
    <w:r>
      <w:rPr/>
      <w:pict>
        <v:shape style="position:absolute;margin-left:230.289993pt;margin-top:42.819962pt;width:159.85pt;height:12pt;mso-position-horizontal-relative:page;mso-position-vertical-relative:page;z-index:-303727616"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725568" from="88.463997pt,55.919983pt" to="532.053997pt,55.919983pt" stroked="true" strokeweight=".72pt" strokecolor="#000000">
          <v:stroke dashstyle="solid"/>
          <w10:wrap type="none"/>
        </v:line>
      </w:pict>
    </w:r>
    <w:r>
      <w:rPr/>
      <w:pict>
        <v:shape style="position:absolute;margin-left:230.289993pt;margin-top:42.819962pt;width:159.85pt;height:12pt;mso-position-horizontal-relative:page;mso-position-vertical-relative:page;z-index:-303724544"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722496" from="88.463997pt,55.919983pt" to="532.053997pt,55.919983pt" stroked="true" strokeweight=".72pt" strokecolor="#000000">
          <v:stroke dashstyle="solid"/>
          <w10:wrap type="none"/>
        </v:line>
      </w:pict>
    </w:r>
    <w:r>
      <w:rPr/>
      <w:pict>
        <v:shape style="position:absolute;margin-left:230.289993pt;margin-top:42.819962pt;width:159.85pt;height:12pt;mso-position-horizontal-relative:page;mso-position-vertical-relative:page;z-index:-303721472"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719424" from="88.463997pt,55.919983pt" to="532.053997pt,55.919983pt" stroked="true" strokeweight=".72pt" strokecolor="#000000">
          <v:stroke dashstyle="solid"/>
          <w10:wrap type="none"/>
        </v:line>
      </w:pict>
    </w:r>
    <w:r>
      <w:rPr/>
      <w:pict>
        <v:shape style="position:absolute;margin-left:230.289993pt;margin-top:42.819962pt;width:159.85pt;height:12pt;mso-position-horizontal-relative:page;mso-position-vertical-relative:page;z-index:-303718400"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823872" from="62.400002pt,55.799984pt" to="506.020002pt,55.799984pt" stroked="true" strokeweight=".72pt" strokecolor="#000000">
          <v:stroke dashstyle="solid"/>
          <w10:wrap type="none"/>
        </v:line>
      </w:pict>
    </w:r>
    <w:r>
      <w:rPr/>
      <w:pict>
        <v:shape style="position:absolute;margin-left:204.25pt;margin-top:42.699963pt;width:159.85pt;height:12pt;mso-position-horizontal-relative:page;mso-position-vertical-relative:page;z-index:-303822848"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716352" from="88.463997pt,55.919983pt" to="532.053997pt,55.919983pt" stroked="true" strokeweight=".72pt" strokecolor="#000000">
          <v:stroke dashstyle="solid"/>
          <w10:wrap type="none"/>
        </v:line>
      </w:pict>
    </w:r>
    <w:r>
      <w:rPr/>
      <w:pict>
        <v:shape style="position:absolute;margin-left:230.289993pt;margin-top:42.819962pt;width:159.85pt;height:12pt;mso-position-horizontal-relative:page;mso-position-vertical-relative:page;z-index:-303715328"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713280" from="88.463997pt,55.919983pt" to="532.053997pt,55.919983pt" stroked="true" strokeweight=".72pt" strokecolor="#000000">
          <v:stroke dashstyle="solid"/>
          <w10:wrap type="none"/>
        </v:line>
      </w:pict>
    </w:r>
    <w:r>
      <w:rPr/>
      <w:pict>
        <v:shape style="position:absolute;margin-left:230.289993pt;margin-top:42.819962pt;width:159.85pt;height:12pt;mso-position-horizontal-relative:page;mso-position-vertical-relative:page;z-index:-303712256"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710208" from="88.463997pt,55.919983pt" to="532.053997pt,55.919983pt" stroked="true" strokeweight=".72pt" strokecolor="#000000">
          <v:stroke dashstyle="solid"/>
          <w10:wrap type="none"/>
        </v:line>
      </w:pict>
    </w:r>
    <w:r>
      <w:rPr/>
      <w:pict>
        <v:shape style="position:absolute;margin-left:230.289993pt;margin-top:42.819962pt;width:159.85pt;height:12pt;mso-position-horizontal-relative:page;mso-position-vertical-relative:page;z-index:-303709184"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707136" from="88.463997pt,55.919983pt" to="532.053997pt,55.919983pt" stroked="true" strokeweight=".72pt" strokecolor="#000000">
          <v:stroke dashstyle="solid"/>
          <w10:wrap type="none"/>
        </v:line>
      </w:pict>
    </w:r>
    <w:r>
      <w:rPr/>
      <w:pict>
        <v:shape style="position:absolute;margin-left:230.289993pt;margin-top:42.819962pt;width:159.85pt;height:12pt;mso-position-horizontal-relative:page;mso-position-vertical-relative:page;z-index:-303706112"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704064" from="88.463997pt,55.919983pt" to="532.053997pt,55.919983pt" stroked="true" strokeweight=".72pt" strokecolor="#000000">
          <v:stroke dashstyle="solid"/>
          <w10:wrap type="none"/>
        </v:line>
      </w:pict>
    </w:r>
    <w:r>
      <w:rPr/>
      <w:pict>
        <v:shape style="position:absolute;margin-left:230.289993pt;margin-top:42.819962pt;width:159.85pt;height:12pt;mso-position-horizontal-relative:page;mso-position-vertical-relative:page;z-index:-303703040"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700992" from="88.463997pt,55.919983pt" to="532.053997pt,55.919983pt" stroked="true" strokeweight=".72pt" strokecolor="#000000">
          <v:stroke dashstyle="solid"/>
          <w10:wrap type="none"/>
        </v:line>
      </w:pict>
    </w:r>
    <w:r>
      <w:rPr/>
      <w:pict>
        <v:shape style="position:absolute;margin-left:230.289993pt;margin-top:42.819962pt;width:159.85pt;height:12pt;mso-position-horizontal-relative:page;mso-position-vertical-relative:page;z-index:-303699968"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697920" from="88.463997pt,55.919983pt" to="532.053997pt,55.919983pt" stroked="true" strokeweight=".72pt" strokecolor="#000000">
          <v:stroke dashstyle="solid"/>
          <w10:wrap type="none"/>
        </v:line>
      </w:pict>
    </w:r>
    <w:r>
      <w:rPr/>
      <w:pict>
        <v:shape style="position:absolute;margin-left:230.289993pt;margin-top:42.819962pt;width:159.85pt;height:12pt;mso-position-horizontal-relative:page;mso-position-vertical-relative:page;z-index:-303696896"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694848" from="88.463997pt,55.919983pt" to="532.053997pt,55.919983pt" stroked="true" strokeweight=".72pt" strokecolor="#000000">
          <v:stroke dashstyle="solid"/>
          <w10:wrap type="none"/>
        </v:line>
      </w:pict>
    </w:r>
    <w:r>
      <w:rPr/>
      <w:pict>
        <v:shape style="position:absolute;margin-left:230.289993pt;margin-top:42.819962pt;width:159.85pt;height:12pt;mso-position-horizontal-relative:page;mso-position-vertical-relative:page;z-index:-303693824"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691776" from="88.463997pt,55.919983pt" to="532.053997pt,55.919983pt" stroked="true" strokeweight=".72pt" strokecolor="#000000">
          <v:stroke dashstyle="solid"/>
          <w10:wrap type="none"/>
        </v:line>
      </w:pict>
    </w:r>
    <w:r>
      <w:rPr/>
      <w:pict>
        <v:shape style="position:absolute;margin-left:230.289993pt;margin-top:42.819962pt;width:159.85pt;height:12pt;mso-position-horizontal-relative:page;mso-position-vertical-relative:page;z-index:-303690752"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688704" from="88.463997pt,55.919983pt" to="532.053997pt,55.919983pt" stroked="true" strokeweight=".72pt" strokecolor="#000000">
          <v:stroke dashstyle="solid"/>
          <w10:wrap type="none"/>
        </v:line>
      </w:pict>
    </w:r>
    <w:r>
      <w:rPr/>
      <w:pict>
        <v:shape style="position:absolute;margin-left:230.289993pt;margin-top:42.819962pt;width:159.85pt;height:12pt;mso-position-horizontal-relative:page;mso-position-vertical-relative:page;z-index:-303687680"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820800" from="62.400002pt,55.799984pt" to="506.020002pt,55.799984pt" stroked="true" strokeweight=".72pt" strokecolor="#000000">
          <v:stroke dashstyle="solid"/>
          <w10:wrap type="none"/>
        </v:line>
      </w:pict>
    </w:r>
    <w:r>
      <w:rPr/>
      <w:pict>
        <v:shape style="position:absolute;margin-left:204.25pt;margin-top:42.699963pt;width:159.85pt;height:12pt;mso-position-horizontal-relative:page;mso-position-vertical-relative:page;z-index:-303819776"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685632" from="88.463997pt,55.919983pt" to="532.053997pt,55.919983pt" stroked="true" strokeweight=".72pt" strokecolor="#000000">
          <v:stroke dashstyle="solid"/>
          <w10:wrap type="none"/>
        </v:line>
      </w:pict>
    </w:r>
    <w:r>
      <w:rPr/>
      <w:pict>
        <v:shape style="position:absolute;margin-left:230.289993pt;margin-top:42.819962pt;width:159.85pt;height:12pt;mso-position-horizontal-relative:page;mso-position-vertical-relative:page;z-index:-303684608"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682560" from="88.463997pt,55.919983pt" to="532.053997pt,55.919983pt" stroked="true" strokeweight=".72pt" strokecolor="#000000">
          <v:stroke dashstyle="solid"/>
          <w10:wrap type="none"/>
        </v:line>
      </w:pict>
    </w:r>
    <w:r>
      <w:rPr/>
      <w:pict>
        <v:shape style="position:absolute;margin-left:230.289993pt;margin-top:42.819962pt;width:159.85pt;height:12pt;mso-position-horizontal-relative:page;mso-position-vertical-relative:page;z-index:-303681536"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679488" from="88.463997pt,55.919983pt" to="532.053997pt,55.919983pt" stroked="true" strokeweight=".72pt" strokecolor="#000000">
          <v:stroke dashstyle="solid"/>
          <w10:wrap type="none"/>
        </v:line>
      </w:pict>
    </w:r>
    <w:r>
      <w:rPr/>
      <w:pict>
        <v:shape style="position:absolute;margin-left:230.289993pt;margin-top:42.819962pt;width:159.85pt;height:12pt;mso-position-horizontal-relative:page;mso-position-vertical-relative:page;z-index:-303678464"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676416" from="88.463997pt,55.919983pt" to="532.053997pt,55.919983pt" stroked="true" strokeweight=".72pt" strokecolor="#000000">
          <v:stroke dashstyle="solid"/>
          <w10:wrap type="none"/>
        </v:line>
      </w:pict>
    </w:r>
    <w:r>
      <w:rPr/>
      <w:pict>
        <v:shape style="position:absolute;margin-left:230.289993pt;margin-top:42.819962pt;width:159.85pt;height:12pt;mso-position-horizontal-relative:page;mso-position-vertical-relative:page;z-index:-303675392"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673344" from="88.463997pt,55.919983pt" to="532.053997pt,55.919983pt" stroked="true" strokeweight=".72pt" strokecolor="#000000">
          <v:stroke dashstyle="solid"/>
          <w10:wrap type="none"/>
        </v:line>
      </w:pict>
    </w:r>
    <w:r>
      <w:rPr/>
      <w:pict>
        <v:shape style="position:absolute;margin-left:230.289993pt;margin-top:42.819962pt;width:159.85pt;height:12pt;mso-position-horizontal-relative:page;mso-position-vertical-relative:page;z-index:-303672320"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670272" from="88.463997pt,55.919983pt" to="532.053997pt,55.919983pt" stroked="true" strokeweight=".72pt" strokecolor="#000000">
          <v:stroke dashstyle="solid"/>
          <w10:wrap type="none"/>
        </v:line>
      </w:pict>
    </w:r>
    <w:r>
      <w:rPr/>
      <w:pict>
        <v:shape style="position:absolute;margin-left:230.289993pt;margin-top:42.819962pt;width:159.85pt;height:12pt;mso-position-horizontal-relative:page;mso-position-vertical-relative:page;z-index:-303669248"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667200" from="88.463997pt,55.919983pt" to="532.053997pt,55.919983pt" stroked="true" strokeweight=".72pt" strokecolor="#000000">
          <v:stroke dashstyle="solid"/>
          <w10:wrap type="none"/>
        </v:line>
      </w:pict>
    </w:r>
    <w:r>
      <w:rPr/>
      <w:pict>
        <v:shape style="position:absolute;margin-left:230.289993pt;margin-top:42.819962pt;width:159.85pt;height:12pt;mso-position-horizontal-relative:page;mso-position-vertical-relative:page;z-index:-303666176"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664128" from="88.463997pt,55.919983pt" to="532.053997pt,55.919983pt" stroked="true" strokeweight=".72pt" strokecolor="#000000">
          <v:stroke dashstyle="solid"/>
          <w10:wrap type="none"/>
        </v:line>
      </w:pict>
    </w:r>
    <w:r>
      <w:rPr/>
      <w:pict>
        <v:shape style="position:absolute;margin-left:230.289993pt;margin-top:42.819962pt;width:159.85pt;height:12pt;mso-position-horizontal-relative:page;mso-position-vertical-relative:page;z-index:-303663104"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661056" from="88.463997pt,55.919983pt" to="532.053997pt,55.919983pt" stroked="true" strokeweight=".72pt" strokecolor="#000000">
          <v:stroke dashstyle="solid"/>
          <w10:wrap type="none"/>
        </v:line>
      </w:pict>
    </w:r>
    <w:r>
      <w:rPr/>
      <w:pict>
        <v:shape style="position:absolute;margin-left:230.289993pt;margin-top:42.819962pt;width:159.85pt;height:12pt;mso-position-horizontal-relative:page;mso-position-vertical-relative:page;z-index:-303660032"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657984" from="88.463997pt,55.919983pt" to="532.053997pt,55.919983pt" stroked="true" strokeweight=".72pt" strokecolor="#000000">
          <v:stroke dashstyle="solid"/>
          <w10:wrap type="none"/>
        </v:line>
      </w:pict>
    </w:r>
    <w:r>
      <w:rPr/>
      <w:pict>
        <v:shape style="position:absolute;margin-left:230.289993pt;margin-top:42.819962pt;width:159.85pt;height:12pt;mso-position-horizontal-relative:page;mso-position-vertical-relative:page;z-index:-303656960"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817728" from="62.400002pt,55.799984pt" to="506.020002pt,55.799984pt" stroked="true" strokeweight=".72pt" strokecolor="#000000">
          <v:stroke dashstyle="solid"/>
          <w10:wrap type="none"/>
        </v:line>
      </w:pict>
    </w:r>
    <w:r>
      <w:rPr/>
      <w:pict>
        <v:shape style="position:absolute;margin-left:204.25pt;margin-top:42.699963pt;width:159.85pt;height:12pt;mso-position-horizontal-relative:page;mso-position-vertical-relative:page;z-index:-303816704"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814656" from="62.400002pt,55.799984pt" to="506.020002pt,55.799984pt" stroked="true" strokeweight=".72pt" strokecolor="#000000">
          <v:stroke dashstyle="solid"/>
          <w10:wrap type="none"/>
        </v:line>
      </w:pict>
    </w:r>
    <w:r>
      <w:rPr/>
      <w:pict>
        <v:shape style="position:absolute;margin-left:204.25pt;margin-top:42.699963pt;width:159.85pt;height:12pt;mso-position-horizontal-relative:page;mso-position-vertical-relative:page;z-index:-303813632"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811584" from="62.400002pt,55.799984pt" to="506.020002pt,55.799984pt" stroked="true" strokeweight=".72pt" strokecolor="#000000">
          <v:stroke dashstyle="solid"/>
          <w10:wrap type="none"/>
        </v:line>
      </w:pict>
    </w:r>
    <w:r>
      <w:rPr/>
      <w:pict>
        <v:shape style="position:absolute;margin-left:204.25pt;margin-top:42.699963pt;width:159.85pt;height:12pt;mso-position-horizontal-relative:page;mso-position-vertical-relative:page;z-index:-303810560"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3808512" from="62.400002pt,55.799984pt" to="506.020002pt,55.799984pt" stroked="true" strokeweight=".72pt" strokecolor="#000000">
          <v:stroke dashstyle="solid"/>
          <w10:wrap type="none"/>
        </v:line>
      </w:pict>
    </w:r>
    <w:r>
      <w:rPr/>
      <w:pict>
        <v:shape style="position:absolute;margin-left:204.25pt;margin-top:42.699963pt;width:159.85pt;height:12pt;mso-position-horizontal-relative:page;mso-position-vertical-relative:page;z-index:-303807488" type="#_x0000_t202" filled="false" stroked="false">
          <v:textbox inset="0,0,0,0">
            <w:txbxContent>
              <w:p>
                <w:pPr>
                  <w:spacing w:before="0"/>
                  <w:ind w:left="20" w:right="0" w:firstLine="0"/>
                  <w:jc w:val="left"/>
                  <w:rPr>
                    <w:sz w:val="18"/>
                  </w:rPr>
                </w:pPr>
                <w:r>
                  <w:rPr>
                    <w:spacing w:val="-4"/>
                    <w:sz w:val="18"/>
                  </w:rPr>
                  <w:t>海尔智家股份有限公司 </w:t>
                </w:r>
                <w:r>
                  <w:rPr>
                    <w:rFonts w:ascii="Times New Roman" w:eastAsia="Times New Roman"/>
                    <w:sz w:val="18"/>
                  </w:rPr>
                  <w:t>2020 </w:t>
                </w:r>
                <w:r>
                  <w:rPr>
                    <w:sz w:val="18"/>
                  </w:rPr>
                  <w:t>年年度报告</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2">
    <w:multiLevelType w:val="hybridMultilevel"/>
    <w:lvl w:ilvl="0">
      <w:start w:val="1"/>
      <w:numFmt w:val="decimal"/>
      <w:lvlText w:val="（%1）"/>
      <w:lvlJc w:val="left"/>
      <w:pPr>
        <w:ind w:left="2568" w:hanging="529"/>
        <w:jc w:val="right"/>
      </w:pPr>
      <w:rPr>
        <w:rFonts w:hint="default" w:ascii="宋体" w:hAnsi="宋体" w:eastAsia="宋体" w:cs="宋体"/>
        <w:spacing w:val="-3"/>
        <w:w w:val="100"/>
        <w:sz w:val="19"/>
        <w:szCs w:val="19"/>
        <w:lang w:val="zh-CN" w:eastAsia="zh-CN" w:bidi="zh-CN"/>
      </w:rPr>
    </w:lvl>
    <w:lvl w:ilvl="1">
      <w:start w:val="0"/>
      <w:numFmt w:val="bullet"/>
      <w:lvlText w:val="•"/>
      <w:lvlJc w:val="left"/>
      <w:pPr>
        <w:ind w:left="3468" w:hanging="529"/>
      </w:pPr>
      <w:rPr>
        <w:rFonts w:hint="default"/>
        <w:lang w:val="zh-CN" w:eastAsia="zh-CN" w:bidi="zh-CN"/>
      </w:rPr>
    </w:lvl>
    <w:lvl w:ilvl="2">
      <w:start w:val="0"/>
      <w:numFmt w:val="bullet"/>
      <w:lvlText w:val="•"/>
      <w:lvlJc w:val="left"/>
      <w:pPr>
        <w:ind w:left="4377" w:hanging="529"/>
      </w:pPr>
      <w:rPr>
        <w:rFonts w:hint="default"/>
        <w:lang w:val="zh-CN" w:eastAsia="zh-CN" w:bidi="zh-CN"/>
      </w:rPr>
    </w:lvl>
    <w:lvl w:ilvl="3">
      <w:start w:val="0"/>
      <w:numFmt w:val="bullet"/>
      <w:lvlText w:val="•"/>
      <w:lvlJc w:val="left"/>
      <w:pPr>
        <w:ind w:left="5285" w:hanging="529"/>
      </w:pPr>
      <w:rPr>
        <w:rFonts w:hint="default"/>
        <w:lang w:val="zh-CN" w:eastAsia="zh-CN" w:bidi="zh-CN"/>
      </w:rPr>
    </w:lvl>
    <w:lvl w:ilvl="4">
      <w:start w:val="0"/>
      <w:numFmt w:val="bullet"/>
      <w:lvlText w:val="•"/>
      <w:lvlJc w:val="left"/>
      <w:pPr>
        <w:ind w:left="6194" w:hanging="529"/>
      </w:pPr>
      <w:rPr>
        <w:rFonts w:hint="default"/>
        <w:lang w:val="zh-CN" w:eastAsia="zh-CN" w:bidi="zh-CN"/>
      </w:rPr>
    </w:lvl>
    <w:lvl w:ilvl="5">
      <w:start w:val="0"/>
      <w:numFmt w:val="bullet"/>
      <w:lvlText w:val="•"/>
      <w:lvlJc w:val="left"/>
      <w:pPr>
        <w:ind w:left="7103" w:hanging="529"/>
      </w:pPr>
      <w:rPr>
        <w:rFonts w:hint="default"/>
        <w:lang w:val="zh-CN" w:eastAsia="zh-CN" w:bidi="zh-CN"/>
      </w:rPr>
    </w:lvl>
    <w:lvl w:ilvl="6">
      <w:start w:val="0"/>
      <w:numFmt w:val="bullet"/>
      <w:lvlText w:val="•"/>
      <w:lvlJc w:val="left"/>
      <w:pPr>
        <w:ind w:left="8011" w:hanging="529"/>
      </w:pPr>
      <w:rPr>
        <w:rFonts w:hint="default"/>
        <w:lang w:val="zh-CN" w:eastAsia="zh-CN" w:bidi="zh-CN"/>
      </w:rPr>
    </w:lvl>
    <w:lvl w:ilvl="7">
      <w:start w:val="0"/>
      <w:numFmt w:val="bullet"/>
      <w:lvlText w:val="•"/>
      <w:lvlJc w:val="left"/>
      <w:pPr>
        <w:ind w:left="8920" w:hanging="529"/>
      </w:pPr>
      <w:rPr>
        <w:rFonts w:hint="default"/>
        <w:lang w:val="zh-CN" w:eastAsia="zh-CN" w:bidi="zh-CN"/>
      </w:rPr>
    </w:lvl>
    <w:lvl w:ilvl="8">
      <w:start w:val="0"/>
      <w:numFmt w:val="bullet"/>
      <w:lvlText w:val="•"/>
      <w:lvlJc w:val="left"/>
      <w:pPr>
        <w:ind w:left="9829" w:hanging="529"/>
      </w:pPr>
      <w:rPr>
        <w:rFonts w:hint="default"/>
        <w:lang w:val="zh-CN" w:eastAsia="zh-CN" w:bidi="zh-CN"/>
      </w:rPr>
    </w:lvl>
  </w:abstractNum>
  <w:abstractNum w:abstractNumId="28">
    <w:multiLevelType w:val="hybridMultilevel"/>
    <w:lvl w:ilvl="0">
      <w:start w:val="1"/>
      <w:numFmt w:val="decimal"/>
      <w:lvlText w:val="%1."/>
      <w:lvlJc w:val="left"/>
      <w:pPr>
        <w:ind w:left="1958" w:hanging="420"/>
        <w:jc w:val="left"/>
      </w:pPr>
      <w:rPr>
        <w:rFonts w:hint="default" w:ascii="Times New Roman" w:hAnsi="Times New Roman" w:eastAsia="Times New Roman" w:cs="Times New Roman"/>
        <w:b/>
        <w:bCs/>
        <w:w w:val="100"/>
        <w:sz w:val="21"/>
        <w:szCs w:val="21"/>
        <w:lang w:val="zh-CN" w:eastAsia="zh-CN" w:bidi="zh-CN"/>
      </w:rPr>
    </w:lvl>
    <w:lvl w:ilvl="1">
      <w:start w:val="0"/>
      <w:numFmt w:val="bullet"/>
      <w:lvlText w:val="•"/>
      <w:lvlJc w:val="left"/>
      <w:pPr>
        <w:ind w:left="2928" w:hanging="420"/>
      </w:pPr>
      <w:rPr>
        <w:rFonts w:hint="default"/>
        <w:lang w:val="zh-CN" w:eastAsia="zh-CN" w:bidi="zh-CN"/>
      </w:rPr>
    </w:lvl>
    <w:lvl w:ilvl="2">
      <w:start w:val="0"/>
      <w:numFmt w:val="bullet"/>
      <w:lvlText w:val="•"/>
      <w:lvlJc w:val="left"/>
      <w:pPr>
        <w:ind w:left="3897" w:hanging="420"/>
      </w:pPr>
      <w:rPr>
        <w:rFonts w:hint="default"/>
        <w:lang w:val="zh-CN" w:eastAsia="zh-CN" w:bidi="zh-CN"/>
      </w:rPr>
    </w:lvl>
    <w:lvl w:ilvl="3">
      <w:start w:val="0"/>
      <w:numFmt w:val="bullet"/>
      <w:lvlText w:val="•"/>
      <w:lvlJc w:val="left"/>
      <w:pPr>
        <w:ind w:left="4865" w:hanging="420"/>
      </w:pPr>
      <w:rPr>
        <w:rFonts w:hint="default"/>
        <w:lang w:val="zh-CN" w:eastAsia="zh-CN" w:bidi="zh-CN"/>
      </w:rPr>
    </w:lvl>
    <w:lvl w:ilvl="4">
      <w:start w:val="0"/>
      <w:numFmt w:val="bullet"/>
      <w:lvlText w:val="•"/>
      <w:lvlJc w:val="left"/>
      <w:pPr>
        <w:ind w:left="5834" w:hanging="420"/>
      </w:pPr>
      <w:rPr>
        <w:rFonts w:hint="default"/>
        <w:lang w:val="zh-CN" w:eastAsia="zh-CN" w:bidi="zh-CN"/>
      </w:rPr>
    </w:lvl>
    <w:lvl w:ilvl="5">
      <w:start w:val="0"/>
      <w:numFmt w:val="bullet"/>
      <w:lvlText w:val="•"/>
      <w:lvlJc w:val="left"/>
      <w:pPr>
        <w:ind w:left="6803" w:hanging="420"/>
      </w:pPr>
      <w:rPr>
        <w:rFonts w:hint="default"/>
        <w:lang w:val="zh-CN" w:eastAsia="zh-CN" w:bidi="zh-CN"/>
      </w:rPr>
    </w:lvl>
    <w:lvl w:ilvl="6">
      <w:start w:val="0"/>
      <w:numFmt w:val="bullet"/>
      <w:lvlText w:val="•"/>
      <w:lvlJc w:val="left"/>
      <w:pPr>
        <w:ind w:left="7771" w:hanging="420"/>
      </w:pPr>
      <w:rPr>
        <w:rFonts w:hint="default"/>
        <w:lang w:val="zh-CN" w:eastAsia="zh-CN" w:bidi="zh-CN"/>
      </w:rPr>
    </w:lvl>
    <w:lvl w:ilvl="7">
      <w:start w:val="0"/>
      <w:numFmt w:val="bullet"/>
      <w:lvlText w:val="•"/>
      <w:lvlJc w:val="left"/>
      <w:pPr>
        <w:ind w:left="8740" w:hanging="420"/>
      </w:pPr>
      <w:rPr>
        <w:rFonts w:hint="default"/>
        <w:lang w:val="zh-CN" w:eastAsia="zh-CN" w:bidi="zh-CN"/>
      </w:rPr>
    </w:lvl>
    <w:lvl w:ilvl="8">
      <w:start w:val="0"/>
      <w:numFmt w:val="bullet"/>
      <w:lvlText w:val="•"/>
      <w:lvlJc w:val="left"/>
      <w:pPr>
        <w:ind w:left="9709" w:hanging="420"/>
      </w:pPr>
      <w:rPr>
        <w:rFonts w:hint="default"/>
        <w:lang w:val="zh-CN" w:eastAsia="zh-CN" w:bidi="zh-CN"/>
      </w:rPr>
    </w:lvl>
  </w:abstractNum>
  <w:abstractNum w:abstractNumId="73">
    <w:multiLevelType w:val="hybridMultilevel"/>
    <w:lvl w:ilvl="0">
      <w:start w:val="1"/>
      <w:numFmt w:val="decimal"/>
      <w:lvlText w:val="（%1）"/>
      <w:lvlJc w:val="left"/>
      <w:pPr>
        <w:ind w:left="2489" w:hanging="529"/>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3396" w:hanging="529"/>
      </w:pPr>
      <w:rPr>
        <w:rFonts w:hint="default"/>
        <w:lang w:val="zh-CN" w:eastAsia="zh-CN" w:bidi="zh-CN"/>
      </w:rPr>
    </w:lvl>
    <w:lvl w:ilvl="2">
      <w:start w:val="0"/>
      <w:numFmt w:val="bullet"/>
      <w:lvlText w:val="•"/>
      <w:lvlJc w:val="left"/>
      <w:pPr>
        <w:ind w:left="4313" w:hanging="529"/>
      </w:pPr>
      <w:rPr>
        <w:rFonts w:hint="default"/>
        <w:lang w:val="zh-CN" w:eastAsia="zh-CN" w:bidi="zh-CN"/>
      </w:rPr>
    </w:lvl>
    <w:lvl w:ilvl="3">
      <w:start w:val="0"/>
      <w:numFmt w:val="bullet"/>
      <w:lvlText w:val="•"/>
      <w:lvlJc w:val="left"/>
      <w:pPr>
        <w:ind w:left="5229" w:hanging="529"/>
      </w:pPr>
      <w:rPr>
        <w:rFonts w:hint="default"/>
        <w:lang w:val="zh-CN" w:eastAsia="zh-CN" w:bidi="zh-CN"/>
      </w:rPr>
    </w:lvl>
    <w:lvl w:ilvl="4">
      <w:start w:val="0"/>
      <w:numFmt w:val="bullet"/>
      <w:lvlText w:val="•"/>
      <w:lvlJc w:val="left"/>
      <w:pPr>
        <w:ind w:left="6146" w:hanging="529"/>
      </w:pPr>
      <w:rPr>
        <w:rFonts w:hint="default"/>
        <w:lang w:val="zh-CN" w:eastAsia="zh-CN" w:bidi="zh-CN"/>
      </w:rPr>
    </w:lvl>
    <w:lvl w:ilvl="5">
      <w:start w:val="0"/>
      <w:numFmt w:val="bullet"/>
      <w:lvlText w:val="•"/>
      <w:lvlJc w:val="left"/>
      <w:pPr>
        <w:ind w:left="7063" w:hanging="529"/>
      </w:pPr>
      <w:rPr>
        <w:rFonts w:hint="default"/>
        <w:lang w:val="zh-CN" w:eastAsia="zh-CN" w:bidi="zh-CN"/>
      </w:rPr>
    </w:lvl>
    <w:lvl w:ilvl="6">
      <w:start w:val="0"/>
      <w:numFmt w:val="bullet"/>
      <w:lvlText w:val="•"/>
      <w:lvlJc w:val="left"/>
      <w:pPr>
        <w:ind w:left="7979" w:hanging="529"/>
      </w:pPr>
      <w:rPr>
        <w:rFonts w:hint="default"/>
        <w:lang w:val="zh-CN" w:eastAsia="zh-CN" w:bidi="zh-CN"/>
      </w:rPr>
    </w:lvl>
    <w:lvl w:ilvl="7">
      <w:start w:val="0"/>
      <w:numFmt w:val="bullet"/>
      <w:lvlText w:val="•"/>
      <w:lvlJc w:val="left"/>
      <w:pPr>
        <w:ind w:left="8896" w:hanging="529"/>
      </w:pPr>
      <w:rPr>
        <w:rFonts w:hint="default"/>
        <w:lang w:val="zh-CN" w:eastAsia="zh-CN" w:bidi="zh-CN"/>
      </w:rPr>
    </w:lvl>
    <w:lvl w:ilvl="8">
      <w:start w:val="0"/>
      <w:numFmt w:val="bullet"/>
      <w:lvlText w:val="•"/>
      <w:lvlJc w:val="left"/>
      <w:pPr>
        <w:ind w:left="9813" w:hanging="529"/>
      </w:pPr>
      <w:rPr>
        <w:rFonts w:hint="default"/>
        <w:lang w:val="zh-CN" w:eastAsia="zh-CN" w:bidi="zh-CN"/>
      </w:rPr>
    </w:lvl>
  </w:abstractNum>
  <w:abstractNum w:abstractNumId="71">
    <w:multiLevelType w:val="hybridMultilevel"/>
    <w:lvl w:ilvl="0">
      <w:start w:val="1"/>
      <w:numFmt w:val="decimal"/>
      <w:lvlText w:val="（%1）"/>
      <w:lvlJc w:val="left"/>
      <w:pPr>
        <w:ind w:left="1643" w:hanging="529"/>
        <w:jc w:val="left"/>
      </w:pPr>
      <w:rPr>
        <w:rFonts w:hint="default" w:ascii="宋体" w:hAnsi="宋体" w:eastAsia="宋体" w:cs="宋体"/>
        <w:spacing w:val="-3"/>
        <w:w w:val="100"/>
        <w:sz w:val="19"/>
        <w:szCs w:val="19"/>
        <w:lang w:val="zh-CN" w:eastAsia="zh-CN" w:bidi="zh-CN"/>
      </w:rPr>
    </w:lvl>
    <w:lvl w:ilvl="1">
      <w:start w:val="1"/>
      <w:numFmt w:val="decimal"/>
      <w:lvlText w:val="（%2）"/>
      <w:lvlJc w:val="left"/>
      <w:pPr>
        <w:ind w:left="2427" w:hanging="529"/>
        <w:jc w:val="left"/>
      </w:pPr>
      <w:rPr>
        <w:rFonts w:hint="default"/>
        <w:spacing w:val="-3"/>
        <w:w w:val="100"/>
        <w:lang w:val="zh-CN" w:eastAsia="zh-CN" w:bidi="zh-CN"/>
      </w:rPr>
    </w:lvl>
    <w:lvl w:ilvl="2">
      <w:start w:val="0"/>
      <w:numFmt w:val="bullet"/>
      <w:lvlText w:val="•"/>
      <w:lvlJc w:val="left"/>
      <w:pPr>
        <w:ind w:left="3445" w:hanging="529"/>
      </w:pPr>
      <w:rPr>
        <w:rFonts w:hint="default"/>
        <w:lang w:val="zh-CN" w:eastAsia="zh-CN" w:bidi="zh-CN"/>
      </w:rPr>
    </w:lvl>
    <w:lvl w:ilvl="3">
      <w:start w:val="0"/>
      <w:numFmt w:val="bullet"/>
      <w:lvlText w:val="•"/>
      <w:lvlJc w:val="left"/>
      <w:pPr>
        <w:ind w:left="4470" w:hanging="529"/>
      </w:pPr>
      <w:rPr>
        <w:rFonts w:hint="default"/>
        <w:lang w:val="zh-CN" w:eastAsia="zh-CN" w:bidi="zh-CN"/>
      </w:rPr>
    </w:lvl>
    <w:lvl w:ilvl="4">
      <w:start w:val="0"/>
      <w:numFmt w:val="bullet"/>
      <w:lvlText w:val="•"/>
      <w:lvlJc w:val="left"/>
      <w:pPr>
        <w:ind w:left="5495" w:hanging="529"/>
      </w:pPr>
      <w:rPr>
        <w:rFonts w:hint="default"/>
        <w:lang w:val="zh-CN" w:eastAsia="zh-CN" w:bidi="zh-CN"/>
      </w:rPr>
    </w:lvl>
    <w:lvl w:ilvl="5">
      <w:start w:val="0"/>
      <w:numFmt w:val="bullet"/>
      <w:lvlText w:val="•"/>
      <w:lvlJc w:val="left"/>
      <w:pPr>
        <w:ind w:left="6520" w:hanging="529"/>
      </w:pPr>
      <w:rPr>
        <w:rFonts w:hint="default"/>
        <w:lang w:val="zh-CN" w:eastAsia="zh-CN" w:bidi="zh-CN"/>
      </w:rPr>
    </w:lvl>
    <w:lvl w:ilvl="6">
      <w:start w:val="0"/>
      <w:numFmt w:val="bullet"/>
      <w:lvlText w:val="•"/>
      <w:lvlJc w:val="left"/>
      <w:pPr>
        <w:ind w:left="7545" w:hanging="529"/>
      </w:pPr>
      <w:rPr>
        <w:rFonts w:hint="default"/>
        <w:lang w:val="zh-CN" w:eastAsia="zh-CN" w:bidi="zh-CN"/>
      </w:rPr>
    </w:lvl>
    <w:lvl w:ilvl="7">
      <w:start w:val="0"/>
      <w:numFmt w:val="bullet"/>
      <w:lvlText w:val="•"/>
      <w:lvlJc w:val="left"/>
      <w:pPr>
        <w:ind w:left="8570" w:hanging="529"/>
      </w:pPr>
      <w:rPr>
        <w:rFonts w:hint="default"/>
        <w:lang w:val="zh-CN" w:eastAsia="zh-CN" w:bidi="zh-CN"/>
      </w:rPr>
    </w:lvl>
    <w:lvl w:ilvl="8">
      <w:start w:val="0"/>
      <w:numFmt w:val="bullet"/>
      <w:lvlText w:val="•"/>
      <w:lvlJc w:val="left"/>
      <w:pPr>
        <w:ind w:left="9596" w:hanging="529"/>
      </w:pPr>
      <w:rPr>
        <w:rFonts w:hint="default"/>
        <w:lang w:val="zh-CN" w:eastAsia="zh-CN" w:bidi="zh-CN"/>
      </w:rPr>
    </w:lvl>
  </w:abstractNum>
  <w:abstractNum w:abstractNumId="70">
    <w:multiLevelType w:val="hybridMultilevel"/>
    <w:lvl w:ilvl="0">
      <w:start w:val="1"/>
      <w:numFmt w:val="decimal"/>
      <w:lvlText w:val="（%1）"/>
      <w:lvlJc w:val="left"/>
      <w:pPr>
        <w:ind w:left="2487" w:hanging="529"/>
        <w:jc w:val="right"/>
      </w:pPr>
      <w:rPr>
        <w:rFonts w:hint="default" w:ascii="宋体" w:hAnsi="宋体" w:eastAsia="宋体" w:cs="宋体"/>
        <w:spacing w:val="-3"/>
        <w:w w:val="100"/>
        <w:sz w:val="19"/>
        <w:szCs w:val="19"/>
        <w:lang w:val="zh-CN" w:eastAsia="zh-CN" w:bidi="zh-CN"/>
      </w:rPr>
    </w:lvl>
    <w:lvl w:ilvl="1">
      <w:start w:val="0"/>
      <w:numFmt w:val="bullet"/>
      <w:lvlText w:val="•"/>
      <w:lvlJc w:val="left"/>
      <w:pPr>
        <w:ind w:left="3396" w:hanging="529"/>
      </w:pPr>
      <w:rPr>
        <w:rFonts w:hint="default"/>
        <w:lang w:val="zh-CN" w:eastAsia="zh-CN" w:bidi="zh-CN"/>
      </w:rPr>
    </w:lvl>
    <w:lvl w:ilvl="2">
      <w:start w:val="0"/>
      <w:numFmt w:val="bullet"/>
      <w:lvlText w:val="•"/>
      <w:lvlJc w:val="left"/>
      <w:pPr>
        <w:ind w:left="4313" w:hanging="529"/>
      </w:pPr>
      <w:rPr>
        <w:rFonts w:hint="default"/>
        <w:lang w:val="zh-CN" w:eastAsia="zh-CN" w:bidi="zh-CN"/>
      </w:rPr>
    </w:lvl>
    <w:lvl w:ilvl="3">
      <w:start w:val="0"/>
      <w:numFmt w:val="bullet"/>
      <w:lvlText w:val="•"/>
      <w:lvlJc w:val="left"/>
      <w:pPr>
        <w:ind w:left="5229" w:hanging="529"/>
      </w:pPr>
      <w:rPr>
        <w:rFonts w:hint="default"/>
        <w:lang w:val="zh-CN" w:eastAsia="zh-CN" w:bidi="zh-CN"/>
      </w:rPr>
    </w:lvl>
    <w:lvl w:ilvl="4">
      <w:start w:val="0"/>
      <w:numFmt w:val="bullet"/>
      <w:lvlText w:val="•"/>
      <w:lvlJc w:val="left"/>
      <w:pPr>
        <w:ind w:left="6146" w:hanging="529"/>
      </w:pPr>
      <w:rPr>
        <w:rFonts w:hint="default"/>
        <w:lang w:val="zh-CN" w:eastAsia="zh-CN" w:bidi="zh-CN"/>
      </w:rPr>
    </w:lvl>
    <w:lvl w:ilvl="5">
      <w:start w:val="0"/>
      <w:numFmt w:val="bullet"/>
      <w:lvlText w:val="•"/>
      <w:lvlJc w:val="left"/>
      <w:pPr>
        <w:ind w:left="7063" w:hanging="529"/>
      </w:pPr>
      <w:rPr>
        <w:rFonts w:hint="default"/>
        <w:lang w:val="zh-CN" w:eastAsia="zh-CN" w:bidi="zh-CN"/>
      </w:rPr>
    </w:lvl>
    <w:lvl w:ilvl="6">
      <w:start w:val="0"/>
      <w:numFmt w:val="bullet"/>
      <w:lvlText w:val="•"/>
      <w:lvlJc w:val="left"/>
      <w:pPr>
        <w:ind w:left="7979" w:hanging="529"/>
      </w:pPr>
      <w:rPr>
        <w:rFonts w:hint="default"/>
        <w:lang w:val="zh-CN" w:eastAsia="zh-CN" w:bidi="zh-CN"/>
      </w:rPr>
    </w:lvl>
    <w:lvl w:ilvl="7">
      <w:start w:val="0"/>
      <w:numFmt w:val="bullet"/>
      <w:lvlText w:val="•"/>
      <w:lvlJc w:val="left"/>
      <w:pPr>
        <w:ind w:left="8896" w:hanging="529"/>
      </w:pPr>
      <w:rPr>
        <w:rFonts w:hint="default"/>
        <w:lang w:val="zh-CN" w:eastAsia="zh-CN" w:bidi="zh-CN"/>
      </w:rPr>
    </w:lvl>
    <w:lvl w:ilvl="8">
      <w:start w:val="0"/>
      <w:numFmt w:val="bullet"/>
      <w:lvlText w:val="•"/>
      <w:lvlJc w:val="left"/>
      <w:pPr>
        <w:ind w:left="9813" w:hanging="529"/>
      </w:pPr>
      <w:rPr>
        <w:rFonts w:hint="default"/>
        <w:lang w:val="zh-CN" w:eastAsia="zh-CN" w:bidi="zh-CN"/>
      </w:rPr>
    </w:lvl>
  </w:abstractNum>
  <w:abstractNum w:abstractNumId="69">
    <w:multiLevelType w:val="hybridMultilevel"/>
    <w:lvl w:ilvl="0">
      <w:start w:val="1"/>
      <w:numFmt w:val="lowerLetter"/>
      <w:lvlText w:val="%1."/>
      <w:lvlJc w:val="left"/>
      <w:pPr>
        <w:ind w:left="2105" w:hanging="148"/>
        <w:jc w:val="left"/>
      </w:pPr>
      <w:rPr>
        <w:rFonts w:hint="default" w:ascii="Times New Roman" w:hAnsi="Times New Roman" w:eastAsia="Times New Roman" w:cs="Times New Roman"/>
        <w:spacing w:val="-1"/>
        <w:w w:val="100"/>
        <w:sz w:val="19"/>
        <w:szCs w:val="19"/>
        <w:lang w:val="zh-CN" w:eastAsia="zh-CN" w:bidi="zh-CN"/>
      </w:rPr>
    </w:lvl>
    <w:lvl w:ilvl="1">
      <w:start w:val="0"/>
      <w:numFmt w:val="bullet"/>
      <w:lvlText w:val="•"/>
      <w:lvlJc w:val="left"/>
      <w:pPr>
        <w:ind w:left="3054" w:hanging="148"/>
      </w:pPr>
      <w:rPr>
        <w:rFonts w:hint="default"/>
        <w:lang w:val="zh-CN" w:eastAsia="zh-CN" w:bidi="zh-CN"/>
      </w:rPr>
    </w:lvl>
    <w:lvl w:ilvl="2">
      <w:start w:val="0"/>
      <w:numFmt w:val="bullet"/>
      <w:lvlText w:val="•"/>
      <w:lvlJc w:val="left"/>
      <w:pPr>
        <w:ind w:left="4009" w:hanging="148"/>
      </w:pPr>
      <w:rPr>
        <w:rFonts w:hint="default"/>
        <w:lang w:val="zh-CN" w:eastAsia="zh-CN" w:bidi="zh-CN"/>
      </w:rPr>
    </w:lvl>
    <w:lvl w:ilvl="3">
      <w:start w:val="0"/>
      <w:numFmt w:val="bullet"/>
      <w:lvlText w:val="•"/>
      <w:lvlJc w:val="left"/>
      <w:pPr>
        <w:ind w:left="4963" w:hanging="148"/>
      </w:pPr>
      <w:rPr>
        <w:rFonts w:hint="default"/>
        <w:lang w:val="zh-CN" w:eastAsia="zh-CN" w:bidi="zh-CN"/>
      </w:rPr>
    </w:lvl>
    <w:lvl w:ilvl="4">
      <w:start w:val="0"/>
      <w:numFmt w:val="bullet"/>
      <w:lvlText w:val="•"/>
      <w:lvlJc w:val="left"/>
      <w:pPr>
        <w:ind w:left="5918" w:hanging="148"/>
      </w:pPr>
      <w:rPr>
        <w:rFonts w:hint="default"/>
        <w:lang w:val="zh-CN" w:eastAsia="zh-CN" w:bidi="zh-CN"/>
      </w:rPr>
    </w:lvl>
    <w:lvl w:ilvl="5">
      <w:start w:val="0"/>
      <w:numFmt w:val="bullet"/>
      <w:lvlText w:val="•"/>
      <w:lvlJc w:val="left"/>
      <w:pPr>
        <w:ind w:left="6873" w:hanging="148"/>
      </w:pPr>
      <w:rPr>
        <w:rFonts w:hint="default"/>
        <w:lang w:val="zh-CN" w:eastAsia="zh-CN" w:bidi="zh-CN"/>
      </w:rPr>
    </w:lvl>
    <w:lvl w:ilvl="6">
      <w:start w:val="0"/>
      <w:numFmt w:val="bullet"/>
      <w:lvlText w:val="•"/>
      <w:lvlJc w:val="left"/>
      <w:pPr>
        <w:ind w:left="7827" w:hanging="148"/>
      </w:pPr>
      <w:rPr>
        <w:rFonts w:hint="default"/>
        <w:lang w:val="zh-CN" w:eastAsia="zh-CN" w:bidi="zh-CN"/>
      </w:rPr>
    </w:lvl>
    <w:lvl w:ilvl="7">
      <w:start w:val="0"/>
      <w:numFmt w:val="bullet"/>
      <w:lvlText w:val="•"/>
      <w:lvlJc w:val="left"/>
      <w:pPr>
        <w:ind w:left="8782" w:hanging="148"/>
      </w:pPr>
      <w:rPr>
        <w:rFonts w:hint="default"/>
        <w:lang w:val="zh-CN" w:eastAsia="zh-CN" w:bidi="zh-CN"/>
      </w:rPr>
    </w:lvl>
    <w:lvl w:ilvl="8">
      <w:start w:val="0"/>
      <w:numFmt w:val="bullet"/>
      <w:lvlText w:val="•"/>
      <w:lvlJc w:val="left"/>
      <w:pPr>
        <w:ind w:left="9737" w:hanging="148"/>
      </w:pPr>
      <w:rPr>
        <w:rFonts w:hint="default"/>
        <w:lang w:val="zh-CN" w:eastAsia="zh-CN" w:bidi="zh-CN"/>
      </w:rPr>
    </w:lvl>
  </w:abstractNum>
  <w:abstractNum w:abstractNumId="68">
    <w:multiLevelType w:val="hybridMultilevel"/>
    <w:lvl w:ilvl="0">
      <w:start w:val="1"/>
      <w:numFmt w:val="decimal"/>
      <w:lvlText w:val="（%1）"/>
      <w:lvlJc w:val="left"/>
      <w:pPr>
        <w:ind w:left="2067" w:hanging="529"/>
        <w:jc w:val="right"/>
      </w:pPr>
      <w:rPr>
        <w:rFonts w:hint="default" w:ascii="宋体" w:hAnsi="宋体" w:eastAsia="宋体" w:cs="宋体"/>
        <w:spacing w:val="-3"/>
        <w:w w:val="100"/>
        <w:sz w:val="19"/>
        <w:szCs w:val="19"/>
        <w:lang w:val="zh-CN" w:eastAsia="zh-CN" w:bidi="zh-CN"/>
      </w:rPr>
    </w:lvl>
    <w:lvl w:ilvl="1">
      <w:start w:val="0"/>
      <w:numFmt w:val="bullet"/>
      <w:lvlText w:val="•"/>
      <w:lvlJc w:val="left"/>
      <w:pPr>
        <w:ind w:left="3018" w:hanging="529"/>
      </w:pPr>
      <w:rPr>
        <w:rFonts w:hint="default"/>
        <w:lang w:val="zh-CN" w:eastAsia="zh-CN" w:bidi="zh-CN"/>
      </w:rPr>
    </w:lvl>
    <w:lvl w:ilvl="2">
      <w:start w:val="0"/>
      <w:numFmt w:val="bullet"/>
      <w:lvlText w:val="•"/>
      <w:lvlJc w:val="left"/>
      <w:pPr>
        <w:ind w:left="3977" w:hanging="529"/>
      </w:pPr>
      <w:rPr>
        <w:rFonts w:hint="default"/>
        <w:lang w:val="zh-CN" w:eastAsia="zh-CN" w:bidi="zh-CN"/>
      </w:rPr>
    </w:lvl>
    <w:lvl w:ilvl="3">
      <w:start w:val="0"/>
      <w:numFmt w:val="bullet"/>
      <w:lvlText w:val="•"/>
      <w:lvlJc w:val="left"/>
      <w:pPr>
        <w:ind w:left="4935" w:hanging="529"/>
      </w:pPr>
      <w:rPr>
        <w:rFonts w:hint="default"/>
        <w:lang w:val="zh-CN" w:eastAsia="zh-CN" w:bidi="zh-CN"/>
      </w:rPr>
    </w:lvl>
    <w:lvl w:ilvl="4">
      <w:start w:val="0"/>
      <w:numFmt w:val="bullet"/>
      <w:lvlText w:val="•"/>
      <w:lvlJc w:val="left"/>
      <w:pPr>
        <w:ind w:left="5894" w:hanging="529"/>
      </w:pPr>
      <w:rPr>
        <w:rFonts w:hint="default"/>
        <w:lang w:val="zh-CN" w:eastAsia="zh-CN" w:bidi="zh-CN"/>
      </w:rPr>
    </w:lvl>
    <w:lvl w:ilvl="5">
      <w:start w:val="0"/>
      <w:numFmt w:val="bullet"/>
      <w:lvlText w:val="•"/>
      <w:lvlJc w:val="left"/>
      <w:pPr>
        <w:ind w:left="6853" w:hanging="529"/>
      </w:pPr>
      <w:rPr>
        <w:rFonts w:hint="default"/>
        <w:lang w:val="zh-CN" w:eastAsia="zh-CN" w:bidi="zh-CN"/>
      </w:rPr>
    </w:lvl>
    <w:lvl w:ilvl="6">
      <w:start w:val="0"/>
      <w:numFmt w:val="bullet"/>
      <w:lvlText w:val="•"/>
      <w:lvlJc w:val="left"/>
      <w:pPr>
        <w:ind w:left="7811" w:hanging="529"/>
      </w:pPr>
      <w:rPr>
        <w:rFonts w:hint="default"/>
        <w:lang w:val="zh-CN" w:eastAsia="zh-CN" w:bidi="zh-CN"/>
      </w:rPr>
    </w:lvl>
    <w:lvl w:ilvl="7">
      <w:start w:val="0"/>
      <w:numFmt w:val="bullet"/>
      <w:lvlText w:val="•"/>
      <w:lvlJc w:val="left"/>
      <w:pPr>
        <w:ind w:left="8770" w:hanging="529"/>
      </w:pPr>
      <w:rPr>
        <w:rFonts w:hint="default"/>
        <w:lang w:val="zh-CN" w:eastAsia="zh-CN" w:bidi="zh-CN"/>
      </w:rPr>
    </w:lvl>
    <w:lvl w:ilvl="8">
      <w:start w:val="0"/>
      <w:numFmt w:val="bullet"/>
      <w:lvlText w:val="•"/>
      <w:lvlJc w:val="left"/>
      <w:pPr>
        <w:ind w:left="9729" w:hanging="529"/>
      </w:pPr>
      <w:rPr>
        <w:rFonts w:hint="default"/>
        <w:lang w:val="zh-CN" w:eastAsia="zh-CN" w:bidi="zh-CN"/>
      </w:rPr>
    </w:lvl>
  </w:abstractNum>
  <w:abstractNum w:abstractNumId="67">
    <w:multiLevelType w:val="hybridMultilevel"/>
    <w:lvl w:ilvl="0">
      <w:start w:val="1"/>
      <w:numFmt w:val="decimal"/>
      <w:lvlText w:val="(%1)."/>
      <w:lvlJc w:val="left"/>
      <w:pPr>
        <w:ind w:left="1962" w:hanging="425"/>
        <w:jc w:val="left"/>
      </w:pPr>
      <w:rPr>
        <w:rFonts w:hint="default" w:ascii="Times New Roman" w:hAnsi="Times New Roman" w:eastAsia="Times New Roman" w:cs="Times New Roman"/>
        <w:b/>
        <w:bCs/>
        <w:spacing w:val="-1"/>
        <w:w w:val="100"/>
        <w:sz w:val="21"/>
        <w:szCs w:val="21"/>
        <w:lang w:val="zh-CN" w:eastAsia="zh-CN" w:bidi="zh-CN"/>
      </w:rPr>
    </w:lvl>
    <w:lvl w:ilvl="1">
      <w:start w:val="0"/>
      <w:numFmt w:val="bullet"/>
      <w:lvlText w:val="•"/>
      <w:lvlJc w:val="left"/>
      <w:pPr>
        <w:ind w:left="2928" w:hanging="425"/>
      </w:pPr>
      <w:rPr>
        <w:rFonts w:hint="default"/>
        <w:lang w:val="zh-CN" w:eastAsia="zh-CN" w:bidi="zh-CN"/>
      </w:rPr>
    </w:lvl>
    <w:lvl w:ilvl="2">
      <w:start w:val="0"/>
      <w:numFmt w:val="bullet"/>
      <w:lvlText w:val="•"/>
      <w:lvlJc w:val="left"/>
      <w:pPr>
        <w:ind w:left="3897" w:hanging="425"/>
      </w:pPr>
      <w:rPr>
        <w:rFonts w:hint="default"/>
        <w:lang w:val="zh-CN" w:eastAsia="zh-CN" w:bidi="zh-CN"/>
      </w:rPr>
    </w:lvl>
    <w:lvl w:ilvl="3">
      <w:start w:val="0"/>
      <w:numFmt w:val="bullet"/>
      <w:lvlText w:val="•"/>
      <w:lvlJc w:val="left"/>
      <w:pPr>
        <w:ind w:left="4865" w:hanging="425"/>
      </w:pPr>
      <w:rPr>
        <w:rFonts w:hint="default"/>
        <w:lang w:val="zh-CN" w:eastAsia="zh-CN" w:bidi="zh-CN"/>
      </w:rPr>
    </w:lvl>
    <w:lvl w:ilvl="4">
      <w:start w:val="0"/>
      <w:numFmt w:val="bullet"/>
      <w:lvlText w:val="•"/>
      <w:lvlJc w:val="left"/>
      <w:pPr>
        <w:ind w:left="5834" w:hanging="425"/>
      </w:pPr>
      <w:rPr>
        <w:rFonts w:hint="default"/>
        <w:lang w:val="zh-CN" w:eastAsia="zh-CN" w:bidi="zh-CN"/>
      </w:rPr>
    </w:lvl>
    <w:lvl w:ilvl="5">
      <w:start w:val="0"/>
      <w:numFmt w:val="bullet"/>
      <w:lvlText w:val="•"/>
      <w:lvlJc w:val="left"/>
      <w:pPr>
        <w:ind w:left="6803" w:hanging="425"/>
      </w:pPr>
      <w:rPr>
        <w:rFonts w:hint="default"/>
        <w:lang w:val="zh-CN" w:eastAsia="zh-CN" w:bidi="zh-CN"/>
      </w:rPr>
    </w:lvl>
    <w:lvl w:ilvl="6">
      <w:start w:val="0"/>
      <w:numFmt w:val="bullet"/>
      <w:lvlText w:val="•"/>
      <w:lvlJc w:val="left"/>
      <w:pPr>
        <w:ind w:left="7771" w:hanging="425"/>
      </w:pPr>
      <w:rPr>
        <w:rFonts w:hint="default"/>
        <w:lang w:val="zh-CN" w:eastAsia="zh-CN" w:bidi="zh-CN"/>
      </w:rPr>
    </w:lvl>
    <w:lvl w:ilvl="7">
      <w:start w:val="0"/>
      <w:numFmt w:val="bullet"/>
      <w:lvlText w:val="•"/>
      <w:lvlJc w:val="left"/>
      <w:pPr>
        <w:ind w:left="8740" w:hanging="425"/>
      </w:pPr>
      <w:rPr>
        <w:rFonts w:hint="default"/>
        <w:lang w:val="zh-CN" w:eastAsia="zh-CN" w:bidi="zh-CN"/>
      </w:rPr>
    </w:lvl>
    <w:lvl w:ilvl="8">
      <w:start w:val="0"/>
      <w:numFmt w:val="bullet"/>
      <w:lvlText w:val="•"/>
      <w:lvlJc w:val="left"/>
      <w:pPr>
        <w:ind w:left="9709" w:hanging="425"/>
      </w:pPr>
      <w:rPr>
        <w:rFonts w:hint="default"/>
        <w:lang w:val="zh-CN" w:eastAsia="zh-CN" w:bidi="zh-CN"/>
      </w:rPr>
    </w:lvl>
  </w:abstractNum>
  <w:abstractNum w:abstractNumId="66">
    <w:multiLevelType w:val="hybridMultilevel"/>
    <w:lvl w:ilvl="0">
      <w:start w:val="1"/>
      <w:numFmt w:val="decimal"/>
      <w:lvlText w:val="（%1）"/>
      <w:lvlJc w:val="left"/>
      <w:pPr>
        <w:ind w:left="2067" w:hanging="529"/>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3018" w:hanging="529"/>
      </w:pPr>
      <w:rPr>
        <w:rFonts w:hint="default"/>
        <w:lang w:val="zh-CN" w:eastAsia="zh-CN" w:bidi="zh-CN"/>
      </w:rPr>
    </w:lvl>
    <w:lvl w:ilvl="2">
      <w:start w:val="0"/>
      <w:numFmt w:val="bullet"/>
      <w:lvlText w:val="•"/>
      <w:lvlJc w:val="left"/>
      <w:pPr>
        <w:ind w:left="3977" w:hanging="529"/>
      </w:pPr>
      <w:rPr>
        <w:rFonts w:hint="default"/>
        <w:lang w:val="zh-CN" w:eastAsia="zh-CN" w:bidi="zh-CN"/>
      </w:rPr>
    </w:lvl>
    <w:lvl w:ilvl="3">
      <w:start w:val="0"/>
      <w:numFmt w:val="bullet"/>
      <w:lvlText w:val="•"/>
      <w:lvlJc w:val="left"/>
      <w:pPr>
        <w:ind w:left="4935" w:hanging="529"/>
      </w:pPr>
      <w:rPr>
        <w:rFonts w:hint="default"/>
        <w:lang w:val="zh-CN" w:eastAsia="zh-CN" w:bidi="zh-CN"/>
      </w:rPr>
    </w:lvl>
    <w:lvl w:ilvl="4">
      <w:start w:val="0"/>
      <w:numFmt w:val="bullet"/>
      <w:lvlText w:val="•"/>
      <w:lvlJc w:val="left"/>
      <w:pPr>
        <w:ind w:left="5894" w:hanging="529"/>
      </w:pPr>
      <w:rPr>
        <w:rFonts w:hint="default"/>
        <w:lang w:val="zh-CN" w:eastAsia="zh-CN" w:bidi="zh-CN"/>
      </w:rPr>
    </w:lvl>
    <w:lvl w:ilvl="5">
      <w:start w:val="0"/>
      <w:numFmt w:val="bullet"/>
      <w:lvlText w:val="•"/>
      <w:lvlJc w:val="left"/>
      <w:pPr>
        <w:ind w:left="6853" w:hanging="529"/>
      </w:pPr>
      <w:rPr>
        <w:rFonts w:hint="default"/>
        <w:lang w:val="zh-CN" w:eastAsia="zh-CN" w:bidi="zh-CN"/>
      </w:rPr>
    </w:lvl>
    <w:lvl w:ilvl="6">
      <w:start w:val="0"/>
      <w:numFmt w:val="bullet"/>
      <w:lvlText w:val="•"/>
      <w:lvlJc w:val="left"/>
      <w:pPr>
        <w:ind w:left="7811" w:hanging="529"/>
      </w:pPr>
      <w:rPr>
        <w:rFonts w:hint="default"/>
        <w:lang w:val="zh-CN" w:eastAsia="zh-CN" w:bidi="zh-CN"/>
      </w:rPr>
    </w:lvl>
    <w:lvl w:ilvl="7">
      <w:start w:val="0"/>
      <w:numFmt w:val="bullet"/>
      <w:lvlText w:val="•"/>
      <w:lvlJc w:val="left"/>
      <w:pPr>
        <w:ind w:left="8770" w:hanging="529"/>
      </w:pPr>
      <w:rPr>
        <w:rFonts w:hint="default"/>
        <w:lang w:val="zh-CN" w:eastAsia="zh-CN" w:bidi="zh-CN"/>
      </w:rPr>
    </w:lvl>
    <w:lvl w:ilvl="8">
      <w:start w:val="0"/>
      <w:numFmt w:val="bullet"/>
      <w:lvlText w:val="•"/>
      <w:lvlJc w:val="left"/>
      <w:pPr>
        <w:ind w:left="9729" w:hanging="529"/>
      </w:pPr>
      <w:rPr>
        <w:rFonts w:hint="default"/>
        <w:lang w:val="zh-CN" w:eastAsia="zh-CN" w:bidi="zh-CN"/>
      </w:rPr>
    </w:lvl>
  </w:abstractNum>
  <w:abstractNum w:abstractNumId="65">
    <w:multiLevelType w:val="hybridMultilevel"/>
    <w:lvl w:ilvl="0">
      <w:start w:val="1"/>
      <w:numFmt w:val="decimal"/>
      <w:lvlText w:val="(%1)."/>
      <w:lvlJc w:val="left"/>
      <w:pPr>
        <w:ind w:left="1965" w:hanging="428"/>
        <w:jc w:val="left"/>
      </w:pPr>
      <w:rPr>
        <w:rFonts w:hint="default" w:ascii="Times New Roman" w:hAnsi="Times New Roman" w:eastAsia="Times New Roman" w:cs="Times New Roman"/>
        <w:b/>
        <w:bCs/>
        <w:spacing w:val="-1"/>
        <w:w w:val="100"/>
        <w:sz w:val="21"/>
        <w:szCs w:val="21"/>
        <w:lang w:val="zh-CN" w:eastAsia="zh-CN" w:bidi="zh-CN"/>
      </w:rPr>
    </w:lvl>
    <w:lvl w:ilvl="1">
      <w:start w:val="1"/>
      <w:numFmt w:val="decimal"/>
      <w:lvlText w:val="（%2）"/>
      <w:lvlJc w:val="left"/>
      <w:pPr>
        <w:ind w:left="2170" w:hanging="529"/>
        <w:jc w:val="left"/>
      </w:pPr>
      <w:rPr>
        <w:rFonts w:hint="default" w:ascii="宋体" w:hAnsi="宋体" w:eastAsia="宋体" w:cs="宋体"/>
        <w:spacing w:val="-3"/>
        <w:w w:val="100"/>
        <w:sz w:val="19"/>
        <w:szCs w:val="19"/>
        <w:lang w:val="zh-CN" w:eastAsia="zh-CN" w:bidi="zh-CN"/>
      </w:rPr>
    </w:lvl>
    <w:lvl w:ilvl="2">
      <w:start w:val="1"/>
      <w:numFmt w:val="decimal"/>
      <w:lvlText w:val="（%3）"/>
      <w:lvlJc w:val="left"/>
      <w:pPr>
        <w:ind w:left="2487" w:hanging="529"/>
        <w:jc w:val="left"/>
      </w:pPr>
      <w:rPr>
        <w:rFonts w:hint="default" w:ascii="宋体" w:hAnsi="宋体" w:eastAsia="宋体" w:cs="宋体"/>
        <w:spacing w:val="-3"/>
        <w:w w:val="100"/>
        <w:sz w:val="19"/>
        <w:szCs w:val="19"/>
        <w:lang w:val="zh-CN" w:eastAsia="zh-CN" w:bidi="zh-CN"/>
      </w:rPr>
    </w:lvl>
    <w:lvl w:ilvl="3">
      <w:start w:val="0"/>
      <w:numFmt w:val="bullet"/>
      <w:lvlText w:val="•"/>
      <w:lvlJc w:val="left"/>
      <w:pPr>
        <w:ind w:left="3625" w:hanging="529"/>
      </w:pPr>
      <w:rPr>
        <w:rFonts w:hint="default"/>
        <w:lang w:val="zh-CN" w:eastAsia="zh-CN" w:bidi="zh-CN"/>
      </w:rPr>
    </w:lvl>
    <w:lvl w:ilvl="4">
      <w:start w:val="0"/>
      <w:numFmt w:val="bullet"/>
      <w:lvlText w:val="•"/>
      <w:lvlJc w:val="left"/>
      <w:pPr>
        <w:ind w:left="4771" w:hanging="529"/>
      </w:pPr>
      <w:rPr>
        <w:rFonts w:hint="default"/>
        <w:lang w:val="zh-CN" w:eastAsia="zh-CN" w:bidi="zh-CN"/>
      </w:rPr>
    </w:lvl>
    <w:lvl w:ilvl="5">
      <w:start w:val="0"/>
      <w:numFmt w:val="bullet"/>
      <w:lvlText w:val="•"/>
      <w:lvlJc w:val="left"/>
      <w:pPr>
        <w:ind w:left="5917" w:hanging="529"/>
      </w:pPr>
      <w:rPr>
        <w:rFonts w:hint="default"/>
        <w:lang w:val="zh-CN" w:eastAsia="zh-CN" w:bidi="zh-CN"/>
      </w:rPr>
    </w:lvl>
    <w:lvl w:ilvl="6">
      <w:start w:val="0"/>
      <w:numFmt w:val="bullet"/>
      <w:lvlText w:val="•"/>
      <w:lvlJc w:val="left"/>
      <w:pPr>
        <w:ind w:left="7063" w:hanging="529"/>
      </w:pPr>
      <w:rPr>
        <w:rFonts w:hint="default"/>
        <w:lang w:val="zh-CN" w:eastAsia="zh-CN" w:bidi="zh-CN"/>
      </w:rPr>
    </w:lvl>
    <w:lvl w:ilvl="7">
      <w:start w:val="0"/>
      <w:numFmt w:val="bullet"/>
      <w:lvlText w:val="•"/>
      <w:lvlJc w:val="left"/>
      <w:pPr>
        <w:ind w:left="8209" w:hanging="529"/>
      </w:pPr>
      <w:rPr>
        <w:rFonts w:hint="default"/>
        <w:lang w:val="zh-CN" w:eastAsia="zh-CN" w:bidi="zh-CN"/>
      </w:rPr>
    </w:lvl>
    <w:lvl w:ilvl="8">
      <w:start w:val="0"/>
      <w:numFmt w:val="bullet"/>
      <w:lvlText w:val="•"/>
      <w:lvlJc w:val="left"/>
      <w:pPr>
        <w:ind w:left="9354" w:hanging="529"/>
      </w:pPr>
      <w:rPr>
        <w:rFonts w:hint="default"/>
        <w:lang w:val="zh-CN" w:eastAsia="zh-CN" w:bidi="zh-CN"/>
      </w:rPr>
    </w:lvl>
  </w:abstractNum>
  <w:abstractNum w:abstractNumId="64">
    <w:multiLevelType w:val="hybridMultilevel"/>
    <w:lvl w:ilvl="0">
      <w:start w:val="1"/>
      <w:numFmt w:val="decimal"/>
      <w:lvlText w:val="(%1)."/>
      <w:lvlJc w:val="left"/>
      <w:pPr>
        <w:ind w:left="1965" w:hanging="428"/>
        <w:jc w:val="left"/>
      </w:pPr>
      <w:rPr>
        <w:rFonts w:hint="default" w:ascii="Times New Roman" w:hAnsi="Times New Roman" w:eastAsia="Times New Roman" w:cs="Times New Roman"/>
        <w:b/>
        <w:bCs/>
        <w:spacing w:val="-1"/>
        <w:w w:val="100"/>
        <w:sz w:val="21"/>
        <w:szCs w:val="21"/>
        <w:lang w:val="zh-CN" w:eastAsia="zh-CN" w:bidi="zh-CN"/>
      </w:rPr>
    </w:lvl>
    <w:lvl w:ilvl="1">
      <w:start w:val="0"/>
      <w:numFmt w:val="bullet"/>
      <w:lvlText w:val="•"/>
      <w:lvlJc w:val="left"/>
      <w:pPr>
        <w:ind w:left="2928" w:hanging="428"/>
      </w:pPr>
      <w:rPr>
        <w:rFonts w:hint="default"/>
        <w:lang w:val="zh-CN" w:eastAsia="zh-CN" w:bidi="zh-CN"/>
      </w:rPr>
    </w:lvl>
    <w:lvl w:ilvl="2">
      <w:start w:val="0"/>
      <w:numFmt w:val="bullet"/>
      <w:lvlText w:val="•"/>
      <w:lvlJc w:val="left"/>
      <w:pPr>
        <w:ind w:left="3897" w:hanging="428"/>
      </w:pPr>
      <w:rPr>
        <w:rFonts w:hint="default"/>
        <w:lang w:val="zh-CN" w:eastAsia="zh-CN" w:bidi="zh-CN"/>
      </w:rPr>
    </w:lvl>
    <w:lvl w:ilvl="3">
      <w:start w:val="0"/>
      <w:numFmt w:val="bullet"/>
      <w:lvlText w:val="•"/>
      <w:lvlJc w:val="left"/>
      <w:pPr>
        <w:ind w:left="4865" w:hanging="428"/>
      </w:pPr>
      <w:rPr>
        <w:rFonts w:hint="default"/>
        <w:lang w:val="zh-CN" w:eastAsia="zh-CN" w:bidi="zh-CN"/>
      </w:rPr>
    </w:lvl>
    <w:lvl w:ilvl="4">
      <w:start w:val="0"/>
      <w:numFmt w:val="bullet"/>
      <w:lvlText w:val="•"/>
      <w:lvlJc w:val="left"/>
      <w:pPr>
        <w:ind w:left="5834" w:hanging="428"/>
      </w:pPr>
      <w:rPr>
        <w:rFonts w:hint="default"/>
        <w:lang w:val="zh-CN" w:eastAsia="zh-CN" w:bidi="zh-CN"/>
      </w:rPr>
    </w:lvl>
    <w:lvl w:ilvl="5">
      <w:start w:val="0"/>
      <w:numFmt w:val="bullet"/>
      <w:lvlText w:val="•"/>
      <w:lvlJc w:val="left"/>
      <w:pPr>
        <w:ind w:left="6803" w:hanging="428"/>
      </w:pPr>
      <w:rPr>
        <w:rFonts w:hint="default"/>
        <w:lang w:val="zh-CN" w:eastAsia="zh-CN" w:bidi="zh-CN"/>
      </w:rPr>
    </w:lvl>
    <w:lvl w:ilvl="6">
      <w:start w:val="0"/>
      <w:numFmt w:val="bullet"/>
      <w:lvlText w:val="•"/>
      <w:lvlJc w:val="left"/>
      <w:pPr>
        <w:ind w:left="7771" w:hanging="428"/>
      </w:pPr>
      <w:rPr>
        <w:rFonts w:hint="default"/>
        <w:lang w:val="zh-CN" w:eastAsia="zh-CN" w:bidi="zh-CN"/>
      </w:rPr>
    </w:lvl>
    <w:lvl w:ilvl="7">
      <w:start w:val="0"/>
      <w:numFmt w:val="bullet"/>
      <w:lvlText w:val="•"/>
      <w:lvlJc w:val="left"/>
      <w:pPr>
        <w:ind w:left="8740" w:hanging="428"/>
      </w:pPr>
      <w:rPr>
        <w:rFonts w:hint="default"/>
        <w:lang w:val="zh-CN" w:eastAsia="zh-CN" w:bidi="zh-CN"/>
      </w:rPr>
    </w:lvl>
    <w:lvl w:ilvl="8">
      <w:start w:val="0"/>
      <w:numFmt w:val="bullet"/>
      <w:lvlText w:val="•"/>
      <w:lvlJc w:val="left"/>
      <w:pPr>
        <w:ind w:left="9709" w:hanging="428"/>
      </w:pPr>
      <w:rPr>
        <w:rFonts w:hint="default"/>
        <w:lang w:val="zh-CN" w:eastAsia="zh-CN" w:bidi="zh-CN"/>
      </w:rPr>
    </w:lvl>
  </w:abstractNum>
  <w:abstractNum w:abstractNumId="63">
    <w:multiLevelType w:val="hybridMultilevel"/>
    <w:lvl w:ilvl="0">
      <w:start w:val="1"/>
      <w:numFmt w:val="decimal"/>
      <w:lvlText w:val="（%1）"/>
      <w:lvlJc w:val="left"/>
      <w:pPr>
        <w:ind w:left="2424" w:hanging="529"/>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3342" w:hanging="529"/>
      </w:pPr>
      <w:rPr>
        <w:rFonts w:hint="default"/>
        <w:lang w:val="zh-CN" w:eastAsia="zh-CN" w:bidi="zh-CN"/>
      </w:rPr>
    </w:lvl>
    <w:lvl w:ilvl="2">
      <w:start w:val="0"/>
      <w:numFmt w:val="bullet"/>
      <w:lvlText w:val="•"/>
      <w:lvlJc w:val="left"/>
      <w:pPr>
        <w:ind w:left="4265" w:hanging="529"/>
      </w:pPr>
      <w:rPr>
        <w:rFonts w:hint="default"/>
        <w:lang w:val="zh-CN" w:eastAsia="zh-CN" w:bidi="zh-CN"/>
      </w:rPr>
    </w:lvl>
    <w:lvl w:ilvl="3">
      <w:start w:val="0"/>
      <w:numFmt w:val="bullet"/>
      <w:lvlText w:val="•"/>
      <w:lvlJc w:val="left"/>
      <w:pPr>
        <w:ind w:left="5187" w:hanging="529"/>
      </w:pPr>
      <w:rPr>
        <w:rFonts w:hint="default"/>
        <w:lang w:val="zh-CN" w:eastAsia="zh-CN" w:bidi="zh-CN"/>
      </w:rPr>
    </w:lvl>
    <w:lvl w:ilvl="4">
      <w:start w:val="0"/>
      <w:numFmt w:val="bullet"/>
      <w:lvlText w:val="•"/>
      <w:lvlJc w:val="left"/>
      <w:pPr>
        <w:ind w:left="6110" w:hanging="529"/>
      </w:pPr>
      <w:rPr>
        <w:rFonts w:hint="default"/>
        <w:lang w:val="zh-CN" w:eastAsia="zh-CN" w:bidi="zh-CN"/>
      </w:rPr>
    </w:lvl>
    <w:lvl w:ilvl="5">
      <w:start w:val="0"/>
      <w:numFmt w:val="bullet"/>
      <w:lvlText w:val="•"/>
      <w:lvlJc w:val="left"/>
      <w:pPr>
        <w:ind w:left="7033" w:hanging="529"/>
      </w:pPr>
      <w:rPr>
        <w:rFonts w:hint="default"/>
        <w:lang w:val="zh-CN" w:eastAsia="zh-CN" w:bidi="zh-CN"/>
      </w:rPr>
    </w:lvl>
    <w:lvl w:ilvl="6">
      <w:start w:val="0"/>
      <w:numFmt w:val="bullet"/>
      <w:lvlText w:val="•"/>
      <w:lvlJc w:val="left"/>
      <w:pPr>
        <w:ind w:left="7955" w:hanging="529"/>
      </w:pPr>
      <w:rPr>
        <w:rFonts w:hint="default"/>
        <w:lang w:val="zh-CN" w:eastAsia="zh-CN" w:bidi="zh-CN"/>
      </w:rPr>
    </w:lvl>
    <w:lvl w:ilvl="7">
      <w:start w:val="0"/>
      <w:numFmt w:val="bullet"/>
      <w:lvlText w:val="•"/>
      <w:lvlJc w:val="left"/>
      <w:pPr>
        <w:ind w:left="8878" w:hanging="529"/>
      </w:pPr>
      <w:rPr>
        <w:rFonts w:hint="default"/>
        <w:lang w:val="zh-CN" w:eastAsia="zh-CN" w:bidi="zh-CN"/>
      </w:rPr>
    </w:lvl>
    <w:lvl w:ilvl="8">
      <w:start w:val="0"/>
      <w:numFmt w:val="bullet"/>
      <w:lvlText w:val="•"/>
      <w:lvlJc w:val="left"/>
      <w:pPr>
        <w:ind w:left="9801" w:hanging="529"/>
      </w:pPr>
      <w:rPr>
        <w:rFonts w:hint="default"/>
        <w:lang w:val="zh-CN" w:eastAsia="zh-CN" w:bidi="zh-CN"/>
      </w:rPr>
    </w:lvl>
  </w:abstractNum>
  <w:abstractNum w:abstractNumId="62">
    <w:multiLevelType w:val="hybridMultilevel"/>
    <w:lvl w:ilvl="0">
      <w:start w:val="1"/>
      <w:numFmt w:val="decimal"/>
      <w:lvlText w:val="（%1）"/>
      <w:lvlJc w:val="left"/>
      <w:pPr>
        <w:ind w:left="2487" w:hanging="529"/>
        <w:jc w:val="left"/>
      </w:pPr>
      <w:rPr>
        <w:rFonts w:hint="default" w:ascii="宋体" w:hAnsi="宋体" w:eastAsia="宋体" w:cs="宋体"/>
        <w:spacing w:val="-2"/>
        <w:w w:val="100"/>
        <w:sz w:val="19"/>
        <w:szCs w:val="19"/>
        <w:lang w:val="zh-CN" w:eastAsia="zh-CN" w:bidi="zh-CN"/>
      </w:rPr>
    </w:lvl>
    <w:lvl w:ilvl="1">
      <w:start w:val="0"/>
      <w:numFmt w:val="bullet"/>
      <w:lvlText w:val="•"/>
      <w:lvlJc w:val="left"/>
      <w:pPr>
        <w:ind w:left="3396" w:hanging="529"/>
      </w:pPr>
      <w:rPr>
        <w:rFonts w:hint="default"/>
        <w:lang w:val="zh-CN" w:eastAsia="zh-CN" w:bidi="zh-CN"/>
      </w:rPr>
    </w:lvl>
    <w:lvl w:ilvl="2">
      <w:start w:val="0"/>
      <w:numFmt w:val="bullet"/>
      <w:lvlText w:val="•"/>
      <w:lvlJc w:val="left"/>
      <w:pPr>
        <w:ind w:left="4313" w:hanging="529"/>
      </w:pPr>
      <w:rPr>
        <w:rFonts w:hint="default"/>
        <w:lang w:val="zh-CN" w:eastAsia="zh-CN" w:bidi="zh-CN"/>
      </w:rPr>
    </w:lvl>
    <w:lvl w:ilvl="3">
      <w:start w:val="0"/>
      <w:numFmt w:val="bullet"/>
      <w:lvlText w:val="•"/>
      <w:lvlJc w:val="left"/>
      <w:pPr>
        <w:ind w:left="5229" w:hanging="529"/>
      </w:pPr>
      <w:rPr>
        <w:rFonts w:hint="default"/>
        <w:lang w:val="zh-CN" w:eastAsia="zh-CN" w:bidi="zh-CN"/>
      </w:rPr>
    </w:lvl>
    <w:lvl w:ilvl="4">
      <w:start w:val="0"/>
      <w:numFmt w:val="bullet"/>
      <w:lvlText w:val="•"/>
      <w:lvlJc w:val="left"/>
      <w:pPr>
        <w:ind w:left="6146" w:hanging="529"/>
      </w:pPr>
      <w:rPr>
        <w:rFonts w:hint="default"/>
        <w:lang w:val="zh-CN" w:eastAsia="zh-CN" w:bidi="zh-CN"/>
      </w:rPr>
    </w:lvl>
    <w:lvl w:ilvl="5">
      <w:start w:val="0"/>
      <w:numFmt w:val="bullet"/>
      <w:lvlText w:val="•"/>
      <w:lvlJc w:val="left"/>
      <w:pPr>
        <w:ind w:left="7063" w:hanging="529"/>
      </w:pPr>
      <w:rPr>
        <w:rFonts w:hint="default"/>
        <w:lang w:val="zh-CN" w:eastAsia="zh-CN" w:bidi="zh-CN"/>
      </w:rPr>
    </w:lvl>
    <w:lvl w:ilvl="6">
      <w:start w:val="0"/>
      <w:numFmt w:val="bullet"/>
      <w:lvlText w:val="•"/>
      <w:lvlJc w:val="left"/>
      <w:pPr>
        <w:ind w:left="7979" w:hanging="529"/>
      </w:pPr>
      <w:rPr>
        <w:rFonts w:hint="default"/>
        <w:lang w:val="zh-CN" w:eastAsia="zh-CN" w:bidi="zh-CN"/>
      </w:rPr>
    </w:lvl>
    <w:lvl w:ilvl="7">
      <w:start w:val="0"/>
      <w:numFmt w:val="bullet"/>
      <w:lvlText w:val="•"/>
      <w:lvlJc w:val="left"/>
      <w:pPr>
        <w:ind w:left="8896" w:hanging="529"/>
      </w:pPr>
      <w:rPr>
        <w:rFonts w:hint="default"/>
        <w:lang w:val="zh-CN" w:eastAsia="zh-CN" w:bidi="zh-CN"/>
      </w:rPr>
    </w:lvl>
    <w:lvl w:ilvl="8">
      <w:start w:val="0"/>
      <w:numFmt w:val="bullet"/>
      <w:lvlText w:val="•"/>
      <w:lvlJc w:val="left"/>
      <w:pPr>
        <w:ind w:left="9813" w:hanging="529"/>
      </w:pPr>
      <w:rPr>
        <w:rFonts w:hint="default"/>
        <w:lang w:val="zh-CN" w:eastAsia="zh-CN" w:bidi="zh-CN"/>
      </w:rPr>
    </w:lvl>
  </w:abstractNum>
  <w:abstractNum w:abstractNumId="61">
    <w:multiLevelType w:val="hybridMultilevel"/>
    <w:lvl w:ilvl="0">
      <w:start w:val="2"/>
      <w:numFmt w:val="decimal"/>
      <w:lvlText w:val="（%1）"/>
      <w:lvlJc w:val="left"/>
      <w:pPr>
        <w:ind w:left="2487" w:hanging="529"/>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3396" w:hanging="529"/>
      </w:pPr>
      <w:rPr>
        <w:rFonts w:hint="default"/>
        <w:lang w:val="zh-CN" w:eastAsia="zh-CN" w:bidi="zh-CN"/>
      </w:rPr>
    </w:lvl>
    <w:lvl w:ilvl="2">
      <w:start w:val="0"/>
      <w:numFmt w:val="bullet"/>
      <w:lvlText w:val="•"/>
      <w:lvlJc w:val="left"/>
      <w:pPr>
        <w:ind w:left="4313" w:hanging="529"/>
      </w:pPr>
      <w:rPr>
        <w:rFonts w:hint="default"/>
        <w:lang w:val="zh-CN" w:eastAsia="zh-CN" w:bidi="zh-CN"/>
      </w:rPr>
    </w:lvl>
    <w:lvl w:ilvl="3">
      <w:start w:val="0"/>
      <w:numFmt w:val="bullet"/>
      <w:lvlText w:val="•"/>
      <w:lvlJc w:val="left"/>
      <w:pPr>
        <w:ind w:left="5229" w:hanging="529"/>
      </w:pPr>
      <w:rPr>
        <w:rFonts w:hint="default"/>
        <w:lang w:val="zh-CN" w:eastAsia="zh-CN" w:bidi="zh-CN"/>
      </w:rPr>
    </w:lvl>
    <w:lvl w:ilvl="4">
      <w:start w:val="0"/>
      <w:numFmt w:val="bullet"/>
      <w:lvlText w:val="•"/>
      <w:lvlJc w:val="left"/>
      <w:pPr>
        <w:ind w:left="6146" w:hanging="529"/>
      </w:pPr>
      <w:rPr>
        <w:rFonts w:hint="default"/>
        <w:lang w:val="zh-CN" w:eastAsia="zh-CN" w:bidi="zh-CN"/>
      </w:rPr>
    </w:lvl>
    <w:lvl w:ilvl="5">
      <w:start w:val="0"/>
      <w:numFmt w:val="bullet"/>
      <w:lvlText w:val="•"/>
      <w:lvlJc w:val="left"/>
      <w:pPr>
        <w:ind w:left="7063" w:hanging="529"/>
      </w:pPr>
      <w:rPr>
        <w:rFonts w:hint="default"/>
        <w:lang w:val="zh-CN" w:eastAsia="zh-CN" w:bidi="zh-CN"/>
      </w:rPr>
    </w:lvl>
    <w:lvl w:ilvl="6">
      <w:start w:val="0"/>
      <w:numFmt w:val="bullet"/>
      <w:lvlText w:val="•"/>
      <w:lvlJc w:val="left"/>
      <w:pPr>
        <w:ind w:left="7979" w:hanging="529"/>
      </w:pPr>
      <w:rPr>
        <w:rFonts w:hint="default"/>
        <w:lang w:val="zh-CN" w:eastAsia="zh-CN" w:bidi="zh-CN"/>
      </w:rPr>
    </w:lvl>
    <w:lvl w:ilvl="7">
      <w:start w:val="0"/>
      <w:numFmt w:val="bullet"/>
      <w:lvlText w:val="•"/>
      <w:lvlJc w:val="left"/>
      <w:pPr>
        <w:ind w:left="8896" w:hanging="529"/>
      </w:pPr>
      <w:rPr>
        <w:rFonts w:hint="default"/>
        <w:lang w:val="zh-CN" w:eastAsia="zh-CN" w:bidi="zh-CN"/>
      </w:rPr>
    </w:lvl>
    <w:lvl w:ilvl="8">
      <w:start w:val="0"/>
      <w:numFmt w:val="bullet"/>
      <w:lvlText w:val="•"/>
      <w:lvlJc w:val="left"/>
      <w:pPr>
        <w:ind w:left="9813" w:hanging="529"/>
      </w:pPr>
      <w:rPr>
        <w:rFonts w:hint="default"/>
        <w:lang w:val="zh-CN" w:eastAsia="zh-CN" w:bidi="zh-CN"/>
      </w:rPr>
    </w:lvl>
  </w:abstractNum>
  <w:abstractNum w:abstractNumId="60">
    <w:multiLevelType w:val="hybridMultilevel"/>
    <w:lvl w:ilvl="0">
      <w:start w:val="1"/>
      <w:numFmt w:val="decimal"/>
      <w:lvlText w:val="(%1)."/>
      <w:lvlJc w:val="left"/>
      <w:pPr>
        <w:ind w:left="1962" w:hanging="425"/>
        <w:jc w:val="left"/>
      </w:pPr>
      <w:rPr>
        <w:rFonts w:hint="default" w:ascii="Times New Roman" w:hAnsi="Times New Roman" w:eastAsia="Times New Roman" w:cs="Times New Roman"/>
        <w:b/>
        <w:bCs/>
        <w:spacing w:val="-1"/>
        <w:w w:val="100"/>
        <w:sz w:val="21"/>
        <w:szCs w:val="21"/>
        <w:lang w:val="zh-CN" w:eastAsia="zh-CN" w:bidi="zh-CN"/>
      </w:rPr>
    </w:lvl>
    <w:lvl w:ilvl="1">
      <w:start w:val="1"/>
      <w:numFmt w:val="decimal"/>
      <w:lvlText w:val="（%2）"/>
      <w:lvlJc w:val="left"/>
      <w:pPr>
        <w:ind w:left="2568" w:hanging="529"/>
        <w:jc w:val="left"/>
      </w:pPr>
      <w:rPr>
        <w:rFonts w:hint="default" w:ascii="宋体" w:hAnsi="宋体" w:eastAsia="宋体" w:cs="宋体"/>
        <w:spacing w:val="-2"/>
        <w:w w:val="100"/>
        <w:sz w:val="19"/>
        <w:szCs w:val="19"/>
        <w:lang w:val="zh-CN" w:eastAsia="zh-CN" w:bidi="zh-CN"/>
      </w:rPr>
    </w:lvl>
    <w:lvl w:ilvl="2">
      <w:start w:val="0"/>
      <w:numFmt w:val="bullet"/>
      <w:lvlText w:val="•"/>
      <w:lvlJc w:val="left"/>
      <w:pPr>
        <w:ind w:left="2685" w:hanging="529"/>
      </w:pPr>
      <w:rPr>
        <w:rFonts w:hint="default"/>
        <w:lang w:val="zh-CN" w:eastAsia="zh-CN" w:bidi="zh-CN"/>
      </w:rPr>
    </w:lvl>
    <w:lvl w:ilvl="3">
      <w:start w:val="0"/>
      <w:numFmt w:val="bullet"/>
      <w:lvlText w:val="•"/>
      <w:lvlJc w:val="left"/>
      <w:pPr>
        <w:ind w:left="2811" w:hanging="529"/>
      </w:pPr>
      <w:rPr>
        <w:rFonts w:hint="default"/>
        <w:lang w:val="zh-CN" w:eastAsia="zh-CN" w:bidi="zh-CN"/>
      </w:rPr>
    </w:lvl>
    <w:lvl w:ilvl="4">
      <w:start w:val="0"/>
      <w:numFmt w:val="bullet"/>
      <w:lvlText w:val="•"/>
      <w:lvlJc w:val="left"/>
      <w:pPr>
        <w:ind w:left="2937" w:hanging="529"/>
      </w:pPr>
      <w:rPr>
        <w:rFonts w:hint="default"/>
        <w:lang w:val="zh-CN" w:eastAsia="zh-CN" w:bidi="zh-CN"/>
      </w:rPr>
    </w:lvl>
    <w:lvl w:ilvl="5">
      <w:start w:val="0"/>
      <w:numFmt w:val="bullet"/>
      <w:lvlText w:val="•"/>
      <w:lvlJc w:val="left"/>
      <w:pPr>
        <w:ind w:left="3063" w:hanging="529"/>
      </w:pPr>
      <w:rPr>
        <w:rFonts w:hint="default"/>
        <w:lang w:val="zh-CN" w:eastAsia="zh-CN" w:bidi="zh-CN"/>
      </w:rPr>
    </w:lvl>
    <w:lvl w:ilvl="6">
      <w:start w:val="0"/>
      <w:numFmt w:val="bullet"/>
      <w:lvlText w:val="•"/>
      <w:lvlJc w:val="left"/>
      <w:pPr>
        <w:ind w:left="3189" w:hanging="529"/>
      </w:pPr>
      <w:rPr>
        <w:rFonts w:hint="default"/>
        <w:lang w:val="zh-CN" w:eastAsia="zh-CN" w:bidi="zh-CN"/>
      </w:rPr>
    </w:lvl>
    <w:lvl w:ilvl="7">
      <w:start w:val="0"/>
      <w:numFmt w:val="bullet"/>
      <w:lvlText w:val="•"/>
      <w:lvlJc w:val="left"/>
      <w:pPr>
        <w:ind w:left="3314" w:hanging="529"/>
      </w:pPr>
      <w:rPr>
        <w:rFonts w:hint="default"/>
        <w:lang w:val="zh-CN" w:eastAsia="zh-CN" w:bidi="zh-CN"/>
      </w:rPr>
    </w:lvl>
    <w:lvl w:ilvl="8">
      <w:start w:val="0"/>
      <w:numFmt w:val="bullet"/>
      <w:lvlText w:val="•"/>
      <w:lvlJc w:val="left"/>
      <w:pPr>
        <w:ind w:left="3440" w:hanging="529"/>
      </w:pPr>
      <w:rPr>
        <w:rFonts w:hint="default"/>
        <w:lang w:val="zh-CN" w:eastAsia="zh-CN" w:bidi="zh-CN"/>
      </w:rPr>
    </w:lvl>
  </w:abstractNum>
  <w:abstractNum w:abstractNumId="59">
    <w:multiLevelType w:val="hybridMultilevel"/>
    <w:lvl w:ilvl="0">
      <w:start w:val="1"/>
      <w:numFmt w:val="decimal"/>
      <w:lvlText w:val="（%1）"/>
      <w:lvlJc w:val="left"/>
      <w:pPr>
        <w:ind w:left="2568" w:hanging="529"/>
        <w:jc w:val="right"/>
      </w:pPr>
      <w:rPr>
        <w:rFonts w:hint="default" w:ascii="宋体" w:hAnsi="宋体" w:eastAsia="宋体" w:cs="宋体"/>
        <w:spacing w:val="-3"/>
        <w:w w:val="100"/>
        <w:sz w:val="19"/>
        <w:szCs w:val="19"/>
        <w:lang w:val="zh-CN" w:eastAsia="zh-CN" w:bidi="zh-CN"/>
      </w:rPr>
    </w:lvl>
    <w:lvl w:ilvl="1">
      <w:start w:val="0"/>
      <w:numFmt w:val="bullet"/>
      <w:lvlText w:val="•"/>
      <w:lvlJc w:val="left"/>
      <w:pPr>
        <w:ind w:left="3468" w:hanging="529"/>
      </w:pPr>
      <w:rPr>
        <w:rFonts w:hint="default"/>
        <w:lang w:val="zh-CN" w:eastAsia="zh-CN" w:bidi="zh-CN"/>
      </w:rPr>
    </w:lvl>
    <w:lvl w:ilvl="2">
      <w:start w:val="0"/>
      <w:numFmt w:val="bullet"/>
      <w:lvlText w:val="•"/>
      <w:lvlJc w:val="left"/>
      <w:pPr>
        <w:ind w:left="4377" w:hanging="529"/>
      </w:pPr>
      <w:rPr>
        <w:rFonts w:hint="default"/>
        <w:lang w:val="zh-CN" w:eastAsia="zh-CN" w:bidi="zh-CN"/>
      </w:rPr>
    </w:lvl>
    <w:lvl w:ilvl="3">
      <w:start w:val="0"/>
      <w:numFmt w:val="bullet"/>
      <w:lvlText w:val="•"/>
      <w:lvlJc w:val="left"/>
      <w:pPr>
        <w:ind w:left="5285" w:hanging="529"/>
      </w:pPr>
      <w:rPr>
        <w:rFonts w:hint="default"/>
        <w:lang w:val="zh-CN" w:eastAsia="zh-CN" w:bidi="zh-CN"/>
      </w:rPr>
    </w:lvl>
    <w:lvl w:ilvl="4">
      <w:start w:val="0"/>
      <w:numFmt w:val="bullet"/>
      <w:lvlText w:val="•"/>
      <w:lvlJc w:val="left"/>
      <w:pPr>
        <w:ind w:left="6194" w:hanging="529"/>
      </w:pPr>
      <w:rPr>
        <w:rFonts w:hint="default"/>
        <w:lang w:val="zh-CN" w:eastAsia="zh-CN" w:bidi="zh-CN"/>
      </w:rPr>
    </w:lvl>
    <w:lvl w:ilvl="5">
      <w:start w:val="0"/>
      <w:numFmt w:val="bullet"/>
      <w:lvlText w:val="•"/>
      <w:lvlJc w:val="left"/>
      <w:pPr>
        <w:ind w:left="7103" w:hanging="529"/>
      </w:pPr>
      <w:rPr>
        <w:rFonts w:hint="default"/>
        <w:lang w:val="zh-CN" w:eastAsia="zh-CN" w:bidi="zh-CN"/>
      </w:rPr>
    </w:lvl>
    <w:lvl w:ilvl="6">
      <w:start w:val="0"/>
      <w:numFmt w:val="bullet"/>
      <w:lvlText w:val="•"/>
      <w:lvlJc w:val="left"/>
      <w:pPr>
        <w:ind w:left="8011" w:hanging="529"/>
      </w:pPr>
      <w:rPr>
        <w:rFonts w:hint="default"/>
        <w:lang w:val="zh-CN" w:eastAsia="zh-CN" w:bidi="zh-CN"/>
      </w:rPr>
    </w:lvl>
    <w:lvl w:ilvl="7">
      <w:start w:val="0"/>
      <w:numFmt w:val="bullet"/>
      <w:lvlText w:val="•"/>
      <w:lvlJc w:val="left"/>
      <w:pPr>
        <w:ind w:left="8920" w:hanging="529"/>
      </w:pPr>
      <w:rPr>
        <w:rFonts w:hint="default"/>
        <w:lang w:val="zh-CN" w:eastAsia="zh-CN" w:bidi="zh-CN"/>
      </w:rPr>
    </w:lvl>
    <w:lvl w:ilvl="8">
      <w:start w:val="0"/>
      <w:numFmt w:val="bullet"/>
      <w:lvlText w:val="•"/>
      <w:lvlJc w:val="left"/>
      <w:pPr>
        <w:ind w:left="9829" w:hanging="529"/>
      </w:pPr>
      <w:rPr>
        <w:rFonts w:hint="default"/>
        <w:lang w:val="zh-CN" w:eastAsia="zh-CN" w:bidi="zh-CN"/>
      </w:rPr>
    </w:lvl>
  </w:abstractNum>
  <w:abstractNum w:abstractNumId="58">
    <w:multiLevelType w:val="hybridMultilevel"/>
    <w:lvl w:ilvl="0">
      <w:start w:val="2"/>
      <w:numFmt w:val="decimal"/>
      <w:lvlText w:val="（%1）"/>
      <w:lvlJc w:val="left"/>
      <w:pPr>
        <w:ind w:left="2427" w:hanging="529"/>
        <w:jc w:val="left"/>
      </w:pPr>
      <w:rPr>
        <w:rFonts w:hint="default" w:ascii="宋体" w:hAnsi="宋体" w:eastAsia="宋体" w:cs="宋体"/>
        <w:spacing w:val="-3"/>
        <w:w w:val="100"/>
        <w:sz w:val="19"/>
        <w:szCs w:val="19"/>
        <w:lang w:val="zh-CN" w:eastAsia="zh-CN" w:bidi="zh-CN"/>
      </w:rPr>
    </w:lvl>
    <w:lvl w:ilvl="1">
      <w:start w:val="2"/>
      <w:numFmt w:val="decimal"/>
      <w:lvlText w:val="（%2）"/>
      <w:lvlJc w:val="left"/>
      <w:pPr>
        <w:ind w:left="2568" w:hanging="529"/>
        <w:jc w:val="left"/>
      </w:pPr>
      <w:rPr>
        <w:rFonts w:hint="default" w:ascii="宋体" w:hAnsi="宋体" w:eastAsia="宋体" w:cs="宋体"/>
        <w:spacing w:val="-3"/>
        <w:w w:val="100"/>
        <w:sz w:val="19"/>
        <w:szCs w:val="19"/>
        <w:lang w:val="zh-CN" w:eastAsia="zh-CN" w:bidi="zh-CN"/>
      </w:rPr>
    </w:lvl>
    <w:lvl w:ilvl="2">
      <w:start w:val="0"/>
      <w:numFmt w:val="bullet"/>
      <w:lvlText w:val="•"/>
      <w:lvlJc w:val="left"/>
      <w:pPr>
        <w:ind w:left="3569" w:hanging="529"/>
      </w:pPr>
      <w:rPr>
        <w:rFonts w:hint="default"/>
        <w:lang w:val="zh-CN" w:eastAsia="zh-CN" w:bidi="zh-CN"/>
      </w:rPr>
    </w:lvl>
    <w:lvl w:ilvl="3">
      <w:start w:val="0"/>
      <w:numFmt w:val="bullet"/>
      <w:lvlText w:val="•"/>
      <w:lvlJc w:val="left"/>
      <w:pPr>
        <w:ind w:left="4579" w:hanging="529"/>
      </w:pPr>
      <w:rPr>
        <w:rFonts w:hint="default"/>
        <w:lang w:val="zh-CN" w:eastAsia="zh-CN" w:bidi="zh-CN"/>
      </w:rPr>
    </w:lvl>
    <w:lvl w:ilvl="4">
      <w:start w:val="0"/>
      <w:numFmt w:val="bullet"/>
      <w:lvlText w:val="•"/>
      <w:lvlJc w:val="left"/>
      <w:pPr>
        <w:ind w:left="5588" w:hanging="529"/>
      </w:pPr>
      <w:rPr>
        <w:rFonts w:hint="default"/>
        <w:lang w:val="zh-CN" w:eastAsia="zh-CN" w:bidi="zh-CN"/>
      </w:rPr>
    </w:lvl>
    <w:lvl w:ilvl="5">
      <w:start w:val="0"/>
      <w:numFmt w:val="bullet"/>
      <w:lvlText w:val="•"/>
      <w:lvlJc w:val="left"/>
      <w:pPr>
        <w:ind w:left="6598" w:hanging="529"/>
      </w:pPr>
      <w:rPr>
        <w:rFonts w:hint="default"/>
        <w:lang w:val="zh-CN" w:eastAsia="zh-CN" w:bidi="zh-CN"/>
      </w:rPr>
    </w:lvl>
    <w:lvl w:ilvl="6">
      <w:start w:val="0"/>
      <w:numFmt w:val="bullet"/>
      <w:lvlText w:val="•"/>
      <w:lvlJc w:val="left"/>
      <w:pPr>
        <w:ind w:left="7608" w:hanging="529"/>
      </w:pPr>
      <w:rPr>
        <w:rFonts w:hint="default"/>
        <w:lang w:val="zh-CN" w:eastAsia="zh-CN" w:bidi="zh-CN"/>
      </w:rPr>
    </w:lvl>
    <w:lvl w:ilvl="7">
      <w:start w:val="0"/>
      <w:numFmt w:val="bullet"/>
      <w:lvlText w:val="•"/>
      <w:lvlJc w:val="left"/>
      <w:pPr>
        <w:ind w:left="8617" w:hanging="529"/>
      </w:pPr>
      <w:rPr>
        <w:rFonts w:hint="default"/>
        <w:lang w:val="zh-CN" w:eastAsia="zh-CN" w:bidi="zh-CN"/>
      </w:rPr>
    </w:lvl>
    <w:lvl w:ilvl="8">
      <w:start w:val="0"/>
      <w:numFmt w:val="bullet"/>
      <w:lvlText w:val="•"/>
      <w:lvlJc w:val="left"/>
      <w:pPr>
        <w:ind w:left="9627" w:hanging="529"/>
      </w:pPr>
      <w:rPr>
        <w:rFonts w:hint="default"/>
        <w:lang w:val="zh-CN" w:eastAsia="zh-CN" w:bidi="zh-CN"/>
      </w:rPr>
    </w:lvl>
  </w:abstractNum>
  <w:abstractNum w:abstractNumId="57">
    <w:multiLevelType w:val="hybridMultilevel"/>
    <w:lvl w:ilvl="0">
      <w:start w:val="1"/>
      <w:numFmt w:val="decimal"/>
      <w:lvlText w:val="（%1）"/>
      <w:lvlJc w:val="left"/>
      <w:pPr>
        <w:ind w:left="2278" w:hanging="529"/>
        <w:jc w:val="left"/>
      </w:pPr>
      <w:rPr>
        <w:rFonts w:hint="default" w:ascii="宋体" w:hAnsi="宋体" w:eastAsia="宋体" w:cs="宋体"/>
        <w:spacing w:val="-2"/>
        <w:w w:val="100"/>
        <w:sz w:val="19"/>
        <w:szCs w:val="19"/>
        <w:lang w:val="zh-CN" w:eastAsia="zh-CN" w:bidi="zh-CN"/>
      </w:rPr>
    </w:lvl>
    <w:lvl w:ilvl="1">
      <w:start w:val="1"/>
      <w:numFmt w:val="decimal"/>
      <w:lvlText w:val="（%2）"/>
      <w:lvlJc w:val="left"/>
      <w:pPr>
        <w:ind w:left="2424" w:hanging="529"/>
        <w:jc w:val="left"/>
      </w:pPr>
      <w:rPr>
        <w:rFonts w:hint="default" w:ascii="宋体" w:hAnsi="宋体" w:eastAsia="宋体" w:cs="宋体"/>
        <w:spacing w:val="-3"/>
        <w:w w:val="100"/>
        <w:sz w:val="19"/>
        <w:szCs w:val="19"/>
        <w:lang w:val="zh-CN" w:eastAsia="zh-CN" w:bidi="zh-CN"/>
      </w:rPr>
    </w:lvl>
    <w:lvl w:ilvl="2">
      <w:start w:val="0"/>
      <w:numFmt w:val="bullet"/>
      <w:lvlText w:val="•"/>
      <w:lvlJc w:val="left"/>
      <w:pPr>
        <w:ind w:left="3445" w:hanging="529"/>
      </w:pPr>
      <w:rPr>
        <w:rFonts w:hint="default"/>
        <w:lang w:val="zh-CN" w:eastAsia="zh-CN" w:bidi="zh-CN"/>
      </w:rPr>
    </w:lvl>
    <w:lvl w:ilvl="3">
      <w:start w:val="0"/>
      <w:numFmt w:val="bullet"/>
      <w:lvlText w:val="•"/>
      <w:lvlJc w:val="left"/>
      <w:pPr>
        <w:ind w:left="4470" w:hanging="529"/>
      </w:pPr>
      <w:rPr>
        <w:rFonts w:hint="default"/>
        <w:lang w:val="zh-CN" w:eastAsia="zh-CN" w:bidi="zh-CN"/>
      </w:rPr>
    </w:lvl>
    <w:lvl w:ilvl="4">
      <w:start w:val="0"/>
      <w:numFmt w:val="bullet"/>
      <w:lvlText w:val="•"/>
      <w:lvlJc w:val="left"/>
      <w:pPr>
        <w:ind w:left="5495" w:hanging="529"/>
      </w:pPr>
      <w:rPr>
        <w:rFonts w:hint="default"/>
        <w:lang w:val="zh-CN" w:eastAsia="zh-CN" w:bidi="zh-CN"/>
      </w:rPr>
    </w:lvl>
    <w:lvl w:ilvl="5">
      <w:start w:val="0"/>
      <w:numFmt w:val="bullet"/>
      <w:lvlText w:val="•"/>
      <w:lvlJc w:val="left"/>
      <w:pPr>
        <w:ind w:left="6520" w:hanging="529"/>
      </w:pPr>
      <w:rPr>
        <w:rFonts w:hint="default"/>
        <w:lang w:val="zh-CN" w:eastAsia="zh-CN" w:bidi="zh-CN"/>
      </w:rPr>
    </w:lvl>
    <w:lvl w:ilvl="6">
      <w:start w:val="0"/>
      <w:numFmt w:val="bullet"/>
      <w:lvlText w:val="•"/>
      <w:lvlJc w:val="left"/>
      <w:pPr>
        <w:ind w:left="7545" w:hanging="529"/>
      </w:pPr>
      <w:rPr>
        <w:rFonts w:hint="default"/>
        <w:lang w:val="zh-CN" w:eastAsia="zh-CN" w:bidi="zh-CN"/>
      </w:rPr>
    </w:lvl>
    <w:lvl w:ilvl="7">
      <w:start w:val="0"/>
      <w:numFmt w:val="bullet"/>
      <w:lvlText w:val="•"/>
      <w:lvlJc w:val="left"/>
      <w:pPr>
        <w:ind w:left="8570" w:hanging="529"/>
      </w:pPr>
      <w:rPr>
        <w:rFonts w:hint="default"/>
        <w:lang w:val="zh-CN" w:eastAsia="zh-CN" w:bidi="zh-CN"/>
      </w:rPr>
    </w:lvl>
    <w:lvl w:ilvl="8">
      <w:start w:val="0"/>
      <w:numFmt w:val="bullet"/>
      <w:lvlText w:val="•"/>
      <w:lvlJc w:val="left"/>
      <w:pPr>
        <w:ind w:left="9596" w:hanging="529"/>
      </w:pPr>
      <w:rPr>
        <w:rFonts w:hint="default"/>
        <w:lang w:val="zh-CN" w:eastAsia="zh-CN" w:bidi="zh-CN"/>
      </w:rPr>
    </w:lvl>
  </w:abstractNum>
  <w:abstractNum w:abstractNumId="56">
    <w:multiLevelType w:val="hybridMultilevel"/>
    <w:lvl w:ilvl="0">
      <w:start w:val="1"/>
      <w:numFmt w:val="decimal"/>
      <w:lvlText w:val="（%1）"/>
      <w:lvlJc w:val="left"/>
      <w:pPr>
        <w:ind w:left="2208" w:hanging="529"/>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3144" w:hanging="529"/>
      </w:pPr>
      <w:rPr>
        <w:rFonts w:hint="default"/>
        <w:lang w:val="zh-CN" w:eastAsia="zh-CN" w:bidi="zh-CN"/>
      </w:rPr>
    </w:lvl>
    <w:lvl w:ilvl="2">
      <w:start w:val="0"/>
      <w:numFmt w:val="bullet"/>
      <w:lvlText w:val="•"/>
      <w:lvlJc w:val="left"/>
      <w:pPr>
        <w:ind w:left="4089" w:hanging="529"/>
      </w:pPr>
      <w:rPr>
        <w:rFonts w:hint="default"/>
        <w:lang w:val="zh-CN" w:eastAsia="zh-CN" w:bidi="zh-CN"/>
      </w:rPr>
    </w:lvl>
    <w:lvl w:ilvl="3">
      <w:start w:val="0"/>
      <w:numFmt w:val="bullet"/>
      <w:lvlText w:val="•"/>
      <w:lvlJc w:val="left"/>
      <w:pPr>
        <w:ind w:left="5033" w:hanging="529"/>
      </w:pPr>
      <w:rPr>
        <w:rFonts w:hint="default"/>
        <w:lang w:val="zh-CN" w:eastAsia="zh-CN" w:bidi="zh-CN"/>
      </w:rPr>
    </w:lvl>
    <w:lvl w:ilvl="4">
      <w:start w:val="0"/>
      <w:numFmt w:val="bullet"/>
      <w:lvlText w:val="•"/>
      <w:lvlJc w:val="left"/>
      <w:pPr>
        <w:ind w:left="5978" w:hanging="529"/>
      </w:pPr>
      <w:rPr>
        <w:rFonts w:hint="default"/>
        <w:lang w:val="zh-CN" w:eastAsia="zh-CN" w:bidi="zh-CN"/>
      </w:rPr>
    </w:lvl>
    <w:lvl w:ilvl="5">
      <w:start w:val="0"/>
      <w:numFmt w:val="bullet"/>
      <w:lvlText w:val="•"/>
      <w:lvlJc w:val="left"/>
      <w:pPr>
        <w:ind w:left="6923" w:hanging="529"/>
      </w:pPr>
      <w:rPr>
        <w:rFonts w:hint="default"/>
        <w:lang w:val="zh-CN" w:eastAsia="zh-CN" w:bidi="zh-CN"/>
      </w:rPr>
    </w:lvl>
    <w:lvl w:ilvl="6">
      <w:start w:val="0"/>
      <w:numFmt w:val="bullet"/>
      <w:lvlText w:val="•"/>
      <w:lvlJc w:val="left"/>
      <w:pPr>
        <w:ind w:left="7867" w:hanging="529"/>
      </w:pPr>
      <w:rPr>
        <w:rFonts w:hint="default"/>
        <w:lang w:val="zh-CN" w:eastAsia="zh-CN" w:bidi="zh-CN"/>
      </w:rPr>
    </w:lvl>
    <w:lvl w:ilvl="7">
      <w:start w:val="0"/>
      <w:numFmt w:val="bullet"/>
      <w:lvlText w:val="•"/>
      <w:lvlJc w:val="left"/>
      <w:pPr>
        <w:ind w:left="8812" w:hanging="529"/>
      </w:pPr>
      <w:rPr>
        <w:rFonts w:hint="default"/>
        <w:lang w:val="zh-CN" w:eastAsia="zh-CN" w:bidi="zh-CN"/>
      </w:rPr>
    </w:lvl>
    <w:lvl w:ilvl="8">
      <w:start w:val="0"/>
      <w:numFmt w:val="bullet"/>
      <w:lvlText w:val="•"/>
      <w:lvlJc w:val="left"/>
      <w:pPr>
        <w:ind w:left="9757" w:hanging="529"/>
      </w:pPr>
      <w:rPr>
        <w:rFonts w:hint="default"/>
        <w:lang w:val="zh-CN" w:eastAsia="zh-CN" w:bidi="zh-CN"/>
      </w:rPr>
    </w:lvl>
  </w:abstractNum>
  <w:abstractNum w:abstractNumId="55">
    <w:multiLevelType w:val="hybridMultilevel"/>
    <w:lvl w:ilvl="0">
      <w:start w:val="1"/>
      <w:numFmt w:val="decimal"/>
      <w:lvlText w:val="（%1）"/>
      <w:lvlJc w:val="left"/>
      <w:pPr>
        <w:ind w:left="2427" w:hanging="529"/>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3342" w:hanging="529"/>
      </w:pPr>
      <w:rPr>
        <w:rFonts w:hint="default"/>
        <w:lang w:val="zh-CN" w:eastAsia="zh-CN" w:bidi="zh-CN"/>
      </w:rPr>
    </w:lvl>
    <w:lvl w:ilvl="2">
      <w:start w:val="0"/>
      <w:numFmt w:val="bullet"/>
      <w:lvlText w:val="•"/>
      <w:lvlJc w:val="left"/>
      <w:pPr>
        <w:ind w:left="4265" w:hanging="529"/>
      </w:pPr>
      <w:rPr>
        <w:rFonts w:hint="default"/>
        <w:lang w:val="zh-CN" w:eastAsia="zh-CN" w:bidi="zh-CN"/>
      </w:rPr>
    </w:lvl>
    <w:lvl w:ilvl="3">
      <w:start w:val="0"/>
      <w:numFmt w:val="bullet"/>
      <w:lvlText w:val="•"/>
      <w:lvlJc w:val="left"/>
      <w:pPr>
        <w:ind w:left="5187" w:hanging="529"/>
      </w:pPr>
      <w:rPr>
        <w:rFonts w:hint="default"/>
        <w:lang w:val="zh-CN" w:eastAsia="zh-CN" w:bidi="zh-CN"/>
      </w:rPr>
    </w:lvl>
    <w:lvl w:ilvl="4">
      <w:start w:val="0"/>
      <w:numFmt w:val="bullet"/>
      <w:lvlText w:val="•"/>
      <w:lvlJc w:val="left"/>
      <w:pPr>
        <w:ind w:left="6110" w:hanging="529"/>
      </w:pPr>
      <w:rPr>
        <w:rFonts w:hint="default"/>
        <w:lang w:val="zh-CN" w:eastAsia="zh-CN" w:bidi="zh-CN"/>
      </w:rPr>
    </w:lvl>
    <w:lvl w:ilvl="5">
      <w:start w:val="0"/>
      <w:numFmt w:val="bullet"/>
      <w:lvlText w:val="•"/>
      <w:lvlJc w:val="left"/>
      <w:pPr>
        <w:ind w:left="7033" w:hanging="529"/>
      </w:pPr>
      <w:rPr>
        <w:rFonts w:hint="default"/>
        <w:lang w:val="zh-CN" w:eastAsia="zh-CN" w:bidi="zh-CN"/>
      </w:rPr>
    </w:lvl>
    <w:lvl w:ilvl="6">
      <w:start w:val="0"/>
      <w:numFmt w:val="bullet"/>
      <w:lvlText w:val="•"/>
      <w:lvlJc w:val="left"/>
      <w:pPr>
        <w:ind w:left="7955" w:hanging="529"/>
      </w:pPr>
      <w:rPr>
        <w:rFonts w:hint="default"/>
        <w:lang w:val="zh-CN" w:eastAsia="zh-CN" w:bidi="zh-CN"/>
      </w:rPr>
    </w:lvl>
    <w:lvl w:ilvl="7">
      <w:start w:val="0"/>
      <w:numFmt w:val="bullet"/>
      <w:lvlText w:val="•"/>
      <w:lvlJc w:val="left"/>
      <w:pPr>
        <w:ind w:left="8878" w:hanging="529"/>
      </w:pPr>
      <w:rPr>
        <w:rFonts w:hint="default"/>
        <w:lang w:val="zh-CN" w:eastAsia="zh-CN" w:bidi="zh-CN"/>
      </w:rPr>
    </w:lvl>
    <w:lvl w:ilvl="8">
      <w:start w:val="0"/>
      <w:numFmt w:val="bullet"/>
      <w:lvlText w:val="•"/>
      <w:lvlJc w:val="left"/>
      <w:pPr>
        <w:ind w:left="9801" w:hanging="529"/>
      </w:pPr>
      <w:rPr>
        <w:rFonts w:hint="default"/>
        <w:lang w:val="zh-CN" w:eastAsia="zh-CN" w:bidi="zh-CN"/>
      </w:rPr>
    </w:lvl>
  </w:abstractNum>
  <w:abstractNum w:abstractNumId="54">
    <w:multiLevelType w:val="hybridMultilevel"/>
    <w:lvl w:ilvl="0">
      <w:start w:val="1"/>
      <w:numFmt w:val="decimal"/>
      <w:lvlText w:val="（%1）"/>
      <w:lvlJc w:val="left"/>
      <w:pPr>
        <w:ind w:left="2424" w:hanging="529"/>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3342" w:hanging="529"/>
      </w:pPr>
      <w:rPr>
        <w:rFonts w:hint="default"/>
        <w:lang w:val="zh-CN" w:eastAsia="zh-CN" w:bidi="zh-CN"/>
      </w:rPr>
    </w:lvl>
    <w:lvl w:ilvl="2">
      <w:start w:val="0"/>
      <w:numFmt w:val="bullet"/>
      <w:lvlText w:val="•"/>
      <w:lvlJc w:val="left"/>
      <w:pPr>
        <w:ind w:left="4265" w:hanging="529"/>
      </w:pPr>
      <w:rPr>
        <w:rFonts w:hint="default"/>
        <w:lang w:val="zh-CN" w:eastAsia="zh-CN" w:bidi="zh-CN"/>
      </w:rPr>
    </w:lvl>
    <w:lvl w:ilvl="3">
      <w:start w:val="0"/>
      <w:numFmt w:val="bullet"/>
      <w:lvlText w:val="•"/>
      <w:lvlJc w:val="left"/>
      <w:pPr>
        <w:ind w:left="5187" w:hanging="529"/>
      </w:pPr>
      <w:rPr>
        <w:rFonts w:hint="default"/>
        <w:lang w:val="zh-CN" w:eastAsia="zh-CN" w:bidi="zh-CN"/>
      </w:rPr>
    </w:lvl>
    <w:lvl w:ilvl="4">
      <w:start w:val="0"/>
      <w:numFmt w:val="bullet"/>
      <w:lvlText w:val="•"/>
      <w:lvlJc w:val="left"/>
      <w:pPr>
        <w:ind w:left="6110" w:hanging="529"/>
      </w:pPr>
      <w:rPr>
        <w:rFonts w:hint="default"/>
        <w:lang w:val="zh-CN" w:eastAsia="zh-CN" w:bidi="zh-CN"/>
      </w:rPr>
    </w:lvl>
    <w:lvl w:ilvl="5">
      <w:start w:val="0"/>
      <w:numFmt w:val="bullet"/>
      <w:lvlText w:val="•"/>
      <w:lvlJc w:val="left"/>
      <w:pPr>
        <w:ind w:left="7033" w:hanging="529"/>
      </w:pPr>
      <w:rPr>
        <w:rFonts w:hint="default"/>
        <w:lang w:val="zh-CN" w:eastAsia="zh-CN" w:bidi="zh-CN"/>
      </w:rPr>
    </w:lvl>
    <w:lvl w:ilvl="6">
      <w:start w:val="0"/>
      <w:numFmt w:val="bullet"/>
      <w:lvlText w:val="•"/>
      <w:lvlJc w:val="left"/>
      <w:pPr>
        <w:ind w:left="7955" w:hanging="529"/>
      </w:pPr>
      <w:rPr>
        <w:rFonts w:hint="default"/>
        <w:lang w:val="zh-CN" w:eastAsia="zh-CN" w:bidi="zh-CN"/>
      </w:rPr>
    </w:lvl>
    <w:lvl w:ilvl="7">
      <w:start w:val="0"/>
      <w:numFmt w:val="bullet"/>
      <w:lvlText w:val="•"/>
      <w:lvlJc w:val="left"/>
      <w:pPr>
        <w:ind w:left="8878" w:hanging="529"/>
      </w:pPr>
      <w:rPr>
        <w:rFonts w:hint="default"/>
        <w:lang w:val="zh-CN" w:eastAsia="zh-CN" w:bidi="zh-CN"/>
      </w:rPr>
    </w:lvl>
    <w:lvl w:ilvl="8">
      <w:start w:val="0"/>
      <w:numFmt w:val="bullet"/>
      <w:lvlText w:val="•"/>
      <w:lvlJc w:val="left"/>
      <w:pPr>
        <w:ind w:left="9801" w:hanging="529"/>
      </w:pPr>
      <w:rPr>
        <w:rFonts w:hint="default"/>
        <w:lang w:val="zh-CN" w:eastAsia="zh-CN" w:bidi="zh-CN"/>
      </w:rPr>
    </w:lvl>
  </w:abstractNum>
  <w:abstractNum w:abstractNumId="53">
    <w:multiLevelType w:val="hybridMultilevel"/>
    <w:lvl w:ilvl="0">
      <w:start w:val="2"/>
      <w:numFmt w:val="decimal"/>
      <w:lvlText w:val="（%1）"/>
      <w:lvlJc w:val="left"/>
      <w:pPr>
        <w:ind w:left="2067" w:hanging="529"/>
        <w:jc w:val="left"/>
      </w:pPr>
      <w:rPr>
        <w:rFonts w:hint="default" w:ascii="宋体" w:hAnsi="宋体" w:eastAsia="宋体" w:cs="宋体"/>
        <w:spacing w:val="-3"/>
        <w:w w:val="100"/>
        <w:sz w:val="19"/>
        <w:szCs w:val="19"/>
        <w:lang w:val="zh-CN" w:eastAsia="zh-CN" w:bidi="zh-CN"/>
      </w:rPr>
    </w:lvl>
    <w:lvl w:ilvl="1">
      <w:start w:val="1"/>
      <w:numFmt w:val="decimal"/>
      <w:lvlText w:val="（%2）"/>
      <w:lvlJc w:val="left"/>
      <w:pPr>
        <w:ind w:left="2424" w:hanging="529"/>
        <w:jc w:val="right"/>
      </w:pPr>
      <w:rPr>
        <w:rFonts w:hint="default" w:ascii="宋体" w:hAnsi="宋体" w:eastAsia="宋体" w:cs="宋体"/>
        <w:spacing w:val="-3"/>
        <w:w w:val="100"/>
        <w:sz w:val="19"/>
        <w:szCs w:val="19"/>
        <w:lang w:val="zh-CN" w:eastAsia="zh-CN" w:bidi="zh-CN"/>
      </w:rPr>
    </w:lvl>
    <w:lvl w:ilvl="2">
      <w:start w:val="0"/>
      <w:numFmt w:val="bullet"/>
      <w:lvlText w:val="•"/>
      <w:lvlJc w:val="left"/>
      <w:pPr>
        <w:ind w:left="3445" w:hanging="529"/>
      </w:pPr>
      <w:rPr>
        <w:rFonts w:hint="default"/>
        <w:lang w:val="zh-CN" w:eastAsia="zh-CN" w:bidi="zh-CN"/>
      </w:rPr>
    </w:lvl>
    <w:lvl w:ilvl="3">
      <w:start w:val="0"/>
      <w:numFmt w:val="bullet"/>
      <w:lvlText w:val="•"/>
      <w:lvlJc w:val="left"/>
      <w:pPr>
        <w:ind w:left="4470" w:hanging="529"/>
      </w:pPr>
      <w:rPr>
        <w:rFonts w:hint="default"/>
        <w:lang w:val="zh-CN" w:eastAsia="zh-CN" w:bidi="zh-CN"/>
      </w:rPr>
    </w:lvl>
    <w:lvl w:ilvl="4">
      <w:start w:val="0"/>
      <w:numFmt w:val="bullet"/>
      <w:lvlText w:val="•"/>
      <w:lvlJc w:val="left"/>
      <w:pPr>
        <w:ind w:left="5495" w:hanging="529"/>
      </w:pPr>
      <w:rPr>
        <w:rFonts w:hint="default"/>
        <w:lang w:val="zh-CN" w:eastAsia="zh-CN" w:bidi="zh-CN"/>
      </w:rPr>
    </w:lvl>
    <w:lvl w:ilvl="5">
      <w:start w:val="0"/>
      <w:numFmt w:val="bullet"/>
      <w:lvlText w:val="•"/>
      <w:lvlJc w:val="left"/>
      <w:pPr>
        <w:ind w:left="6520" w:hanging="529"/>
      </w:pPr>
      <w:rPr>
        <w:rFonts w:hint="default"/>
        <w:lang w:val="zh-CN" w:eastAsia="zh-CN" w:bidi="zh-CN"/>
      </w:rPr>
    </w:lvl>
    <w:lvl w:ilvl="6">
      <w:start w:val="0"/>
      <w:numFmt w:val="bullet"/>
      <w:lvlText w:val="•"/>
      <w:lvlJc w:val="left"/>
      <w:pPr>
        <w:ind w:left="7545" w:hanging="529"/>
      </w:pPr>
      <w:rPr>
        <w:rFonts w:hint="default"/>
        <w:lang w:val="zh-CN" w:eastAsia="zh-CN" w:bidi="zh-CN"/>
      </w:rPr>
    </w:lvl>
    <w:lvl w:ilvl="7">
      <w:start w:val="0"/>
      <w:numFmt w:val="bullet"/>
      <w:lvlText w:val="•"/>
      <w:lvlJc w:val="left"/>
      <w:pPr>
        <w:ind w:left="8570" w:hanging="529"/>
      </w:pPr>
      <w:rPr>
        <w:rFonts w:hint="default"/>
        <w:lang w:val="zh-CN" w:eastAsia="zh-CN" w:bidi="zh-CN"/>
      </w:rPr>
    </w:lvl>
    <w:lvl w:ilvl="8">
      <w:start w:val="0"/>
      <w:numFmt w:val="bullet"/>
      <w:lvlText w:val="•"/>
      <w:lvlJc w:val="left"/>
      <w:pPr>
        <w:ind w:left="9596" w:hanging="529"/>
      </w:pPr>
      <w:rPr>
        <w:rFonts w:hint="default"/>
        <w:lang w:val="zh-CN" w:eastAsia="zh-CN" w:bidi="zh-CN"/>
      </w:rPr>
    </w:lvl>
  </w:abstractNum>
  <w:abstractNum w:abstractNumId="52">
    <w:multiLevelType w:val="hybridMultilevel"/>
    <w:lvl w:ilvl="0">
      <w:start w:val="1"/>
      <w:numFmt w:val="decimal"/>
      <w:lvlText w:val="%1."/>
      <w:lvlJc w:val="left"/>
      <w:pPr>
        <w:ind w:left="1962" w:hanging="425"/>
        <w:jc w:val="left"/>
      </w:pPr>
      <w:rPr>
        <w:rFonts w:hint="default" w:ascii="Times New Roman" w:hAnsi="Times New Roman" w:eastAsia="Times New Roman" w:cs="Times New Roman"/>
        <w:b/>
        <w:bCs/>
        <w:w w:val="100"/>
        <w:sz w:val="21"/>
        <w:szCs w:val="21"/>
        <w:lang w:val="zh-CN" w:eastAsia="zh-CN" w:bidi="zh-CN"/>
      </w:rPr>
    </w:lvl>
    <w:lvl w:ilvl="1">
      <w:start w:val="0"/>
      <w:numFmt w:val="bullet"/>
      <w:lvlText w:val="•"/>
      <w:lvlJc w:val="left"/>
      <w:pPr>
        <w:ind w:left="2200" w:hanging="425"/>
      </w:pPr>
      <w:rPr>
        <w:rFonts w:hint="default"/>
        <w:lang w:val="zh-CN" w:eastAsia="zh-CN" w:bidi="zh-CN"/>
      </w:rPr>
    </w:lvl>
    <w:lvl w:ilvl="2">
      <w:start w:val="0"/>
      <w:numFmt w:val="bullet"/>
      <w:lvlText w:val="•"/>
      <w:lvlJc w:val="left"/>
      <w:pPr>
        <w:ind w:left="3249" w:hanging="425"/>
      </w:pPr>
      <w:rPr>
        <w:rFonts w:hint="default"/>
        <w:lang w:val="zh-CN" w:eastAsia="zh-CN" w:bidi="zh-CN"/>
      </w:rPr>
    </w:lvl>
    <w:lvl w:ilvl="3">
      <w:start w:val="0"/>
      <w:numFmt w:val="bullet"/>
      <w:lvlText w:val="•"/>
      <w:lvlJc w:val="left"/>
      <w:pPr>
        <w:ind w:left="4299" w:hanging="425"/>
      </w:pPr>
      <w:rPr>
        <w:rFonts w:hint="default"/>
        <w:lang w:val="zh-CN" w:eastAsia="zh-CN" w:bidi="zh-CN"/>
      </w:rPr>
    </w:lvl>
    <w:lvl w:ilvl="4">
      <w:start w:val="0"/>
      <w:numFmt w:val="bullet"/>
      <w:lvlText w:val="•"/>
      <w:lvlJc w:val="left"/>
      <w:pPr>
        <w:ind w:left="5348" w:hanging="425"/>
      </w:pPr>
      <w:rPr>
        <w:rFonts w:hint="default"/>
        <w:lang w:val="zh-CN" w:eastAsia="zh-CN" w:bidi="zh-CN"/>
      </w:rPr>
    </w:lvl>
    <w:lvl w:ilvl="5">
      <w:start w:val="0"/>
      <w:numFmt w:val="bullet"/>
      <w:lvlText w:val="•"/>
      <w:lvlJc w:val="left"/>
      <w:pPr>
        <w:ind w:left="6398" w:hanging="425"/>
      </w:pPr>
      <w:rPr>
        <w:rFonts w:hint="default"/>
        <w:lang w:val="zh-CN" w:eastAsia="zh-CN" w:bidi="zh-CN"/>
      </w:rPr>
    </w:lvl>
    <w:lvl w:ilvl="6">
      <w:start w:val="0"/>
      <w:numFmt w:val="bullet"/>
      <w:lvlText w:val="•"/>
      <w:lvlJc w:val="left"/>
      <w:pPr>
        <w:ind w:left="7448" w:hanging="425"/>
      </w:pPr>
      <w:rPr>
        <w:rFonts w:hint="default"/>
        <w:lang w:val="zh-CN" w:eastAsia="zh-CN" w:bidi="zh-CN"/>
      </w:rPr>
    </w:lvl>
    <w:lvl w:ilvl="7">
      <w:start w:val="0"/>
      <w:numFmt w:val="bullet"/>
      <w:lvlText w:val="•"/>
      <w:lvlJc w:val="left"/>
      <w:pPr>
        <w:ind w:left="8497" w:hanging="425"/>
      </w:pPr>
      <w:rPr>
        <w:rFonts w:hint="default"/>
        <w:lang w:val="zh-CN" w:eastAsia="zh-CN" w:bidi="zh-CN"/>
      </w:rPr>
    </w:lvl>
    <w:lvl w:ilvl="8">
      <w:start w:val="0"/>
      <w:numFmt w:val="bullet"/>
      <w:lvlText w:val="•"/>
      <w:lvlJc w:val="left"/>
      <w:pPr>
        <w:ind w:left="9547" w:hanging="425"/>
      </w:pPr>
      <w:rPr>
        <w:rFonts w:hint="default"/>
        <w:lang w:val="zh-CN" w:eastAsia="zh-CN" w:bidi="zh-CN"/>
      </w:rPr>
    </w:lvl>
  </w:abstractNum>
  <w:abstractNum w:abstractNumId="51">
    <w:multiLevelType w:val="hybridMultilevel"/>
    <w:lvl w:ilvl="0">
      <w:start w:val="1"/>
      <w:numFmt w:val="decimal"/>
      <w:lvlText w:val="(%1)."/>
      <w:lvlJc w:val="left"/>
      <w:pPr>
        <w:ind w:left="1965" w:hanging="428"/>
        <w:jc w:val="left"/>
      </w:pPr>
      <w:rPr>
        <w:rFonts w:hint="default" w:ascii="Times New Roman" w:hAnsi="Times New Roman" w:eastAsia="Times New Roman" w:cs="Times New Roman"/>
        <w:b/>
        <w:bCs/>
        <w:spacing w:val="-1"/>
        <w:w w:val="100"/>
        <w:sz w:val="21"/>
        <w:szCs w:val="21"/>
        <w:lang w:val="zh-CN" w:eastAsia="zh-CN" w:bidi="zh-CN"/>
      </w:rPr>
    </w:lvl>
    <w:lvl w:ilvl="1">
      <w:start w:val="0"/>
      <w:numFmt w:val="bullet"/>
      <w:lvlText w:val="•"/>
      <w:lvlJc w:val="left"/>
      <w:pPr>
        <w:ind w:left="2928" w:hanging="428"/>
      </w:pPr>
      <w:rPr>
        <w:rFonts w:hint="default"/>
        <w:lang w:val="zh-CN" w:eastAsia="zh-CN" w:bidi="zh-CN"/>
      </w:rPr>
    </w:lvl>
    <w:lvl w:ilvl="2">
      <w:start w:val="0"/>
      <w:numFmt w:val="bullet"/>
      <w:lvlText w:val="•"/>
      <w:lvlJc w:val="left"/>
      <w:pPr>
        <w:ind w:left="3897" w:hanging="428"/>
      </w:pPr>
      <w:rPr>
        <w:rFonts w:hint="default"/>
        <w:lang w:val="zh-CN" w:eastAsia="zh-CN" w:bidi="zh-CN"/>
      </w:rPr>
    </w:lvl>
    <w:lvl w:ilvl="3">
      <w:start w:val="0"/>
      <w:numFmt w:val="bullet"/>
      <w:lvlText w:val="•"/>
      <w:lvlJc w:val="left"/>
      <w:pPr>
        <w:ind w:left="4865" w:hanging="428"/>
      </w:pPr>
      <w:rPr>
        <w:rFonts w:hint="default"/>
        <w:lang w:val="zh-CN" w:eastAsia="zh-CN" w:bidi="zh-CN"/>
      </w:rPr>
    </w:lvl>
    <w:lvl w:ilvl="4">
      <w:start w:val="0"/>
      <w:numFmt w:val="bullet"/>
      <w:lvlText w:val="•"/>
      <w:lvlJc w:val="left"/>
      <w:pPr>
        <w:ind w:left="5834" w:hanging="428"/>
      </w:pPr>
      <w:rPr>
        <w:rFonts w:hint="default"/>
        <w:lang w:val="zh-CN" w:eastAsia="zh-CN" w:bidi="zh-CN"/>
      </w:rPr>
    </w:lvl>
    <w:lvl w:ilvl="5">
      <w:start w:val="0"/>
      <w:numFmt w:val="bullet"/>
      <w:lvlText w:val="•"/>
      <w:lvlJc w:val="left"/>
      <w:pPr>
        <w:ind w:left="6803" w:hanging="428"/>
      </w:pPr>
      <w:rPr>
        <w:rFonts w:hint="default"/>
        <w:lang w:val="zh-CN" w:eastAsia="zh-CN" w:bidi="zh-CN"/>
      </w:rPr>
    </w:lvl>
    <w:lvl w:ilvl="6">
      <w:start w:val="0"/>
      <w:numFmt w:val="bullet"/>
      <w:lvlText w:val="•"/>
      <w:lvlJc w:val="left"/>
      <w:pPr>
        <w:ind w:left="7771" w:hanging="428"/>
      </w:pPr>
      <w:rPr>
        <w:rFonts w:hint="default"/>
        <w:lang w:val="zh-CN" w:eastAsia="zh-CN" w:bidi="zh-CN"/>
      </w:rPr>
    </w:lvl>
    <w:lvl w:ilvl="7">
      <w:start w:val="0"/>
      <w:numFmt w:val="bullet"/>
      <w:lvlText w:val="•"/>
      <w:lvlJc w:val="left"/>
      <w:pPr>
        <w:ind w:left="8740" w:hanging="428"/>
      </w:pPr>
      <w:rPr>
        <w:rFonts w:hint="default"/>
        <w:lang w:val="zh-CN" w:eastAsia="zh-CN" w:bidi="zh-CN"/>
      </w:rPr>
    </w:lvl>
    <w:lvl w:ilvl="8">
      <w:start w:val="0"/>
      <w:numFmt w:val="bullet"/>
      <w:lvlText w:val="•"/>
      <w:lvlJc w:val="left"/>
      <w:pPr>
        <w:ind w:left="9709" w:hanging="428"/>
      </w:pPr>
      <w:rPr>
        <w:rFonts w:hint="default"/>
        <w:lang w:val="zh-CN" w:eastAsia="zh-CN" w:bidi="zh-CN"/>
      </w:rPr>
    </w:lvl>
  </w:abstractNum>
  <w:abstractNum w:abstractNumId="50">
    <w:multiLevelType w:val="hybridMultilevel"/>
    <w:lvl w:ilvl="0">
      <w:start w:val="1"/>
      <w:numFmt w:val="decimal"/>
      <w:lvlText w:val="（%1）"/>
      <w:lvlJc w:val="left"/>
      <w:pPr>
        <w:ind w:left="2350" w:hanging="529"/>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3288" w:hanging="529"/>
      </w:pPr>
      <w:rPr>
        <w:rFonts w:hint="default"/>
        <w:lang w:val="zh-CN" w:eastAsia="zh-CN" w:bidi="zh-CN"/>
      </w:rPr>
    </w:lvl>
    <w:lvl w:ilvl="2">
      <w:start w:val="0"/>
      <w:numFmt w:val="bullet"/>
      <w:lvlText w:val="•"/>
      <w:lvlJc w:val="left"/>
      <w:pPr>
        <w:ind w:left="4217" w:hanging="529"/>
      </w:pPr>
      <w:rPr>
        <w:rFonts w:hint="default"/>
        <w:lang w:val="zh-CN" w:eastAsia="zh-CN" w:bidi="zh-CN"/>
      </w:rPr>
    </w:lvl>
    <w:lvl w:ilvl="3">
      <w:start w:val="0"/>
      <w:numFmt w:val="bullet"/>
      <w:lvlText w:val="•"/>
      <w:lvlJc w:val="left"/>
      <w:pPr>
        <w:ind w:left="5145" w:hanging="529"/>
      </w:pPr>
      <w:rPr>
        <w:rFonts w:hint="default"/>
        <w:lang w:val="zh-CN" w:eastAsia="zh-CN" w:bidi="zh-CN"/>
      </w:rPr>
    </w:lvl>
    <w:lvl w:ilvl="4">
      <w:start w:val="0"/>
      <w:numFmt w:val="bullet"/>
      <w:lvlText w:val="•"/>
      <w:lvlJc w:val="left"/>
      <w:pPr>
        <w:ind w:left="6074" w:hanging="529"/>
      </w:pPr>
      <w:rPr>
        <w:rFonts w:hint="default"/>
        <w:lang w:val="zh-CN" w:eastAsia="zh-CN" w:bidi="zh-CN"/>
      </w:rPr>
    </w:lvl>
    <w:lvl w:ilvl="5">
      <w:start w:val="0"/>
      <w:numFmt w:val="bullet"/>
      <w:lvlText w:val="•"/>
      <w:lvlJc w:val="left"/>
      <w:pPr>
        <w:ind w:left="7003" w:hanging="529"/>
      </w:pPr>
      <w:rPr>
        <w:rFonts w:hint="default"/>
        <w:lang w:val="zh-CN" w:eastAsia="zh-CN" w:bidi="zh-CN"/>
      </w:rPr>
    </w:lvl>
    <w:lvl w:ilvl="6">
      <w:start w:val="0"/>
      <w:numFmt w:val="bullet"/>
      <w:lvlText w:val="•"/>
      <w:lvlJc w:val="left"/>
      <w:pPr>
        <w:ind w:left="7931" w:hanging="529"/>
      </w:pPr>
      <w:rPr>
        <w:rFonts w:hint="default"/>
        <w:lang w:val="zh-CN" w:eastAsia="zh-CN" w:bidi="zh-CN"/>
      </w:rPr>
    </w:lvl>
    <w:lvl w:ilvl="7">
      <w:start w:val="0"/>
      <w:numFmt w:val="bullet"/>
      <w:lvlText w:val="•"/>
      <w:lvlJc w:val="left"/>
      <w:pPr>
        <w:ind w:left="8860" w:hanging="529"/>
      </w:pPr>
      <w:rPr>
        <w:rFonts w:hint="default"/>
        <w:lang w:val="zh-CN" w:eastAsia="zh-CN" w:bidi="zh-CN"/>
      </w:rPr>
    </w:lvl>
    <w:lvl w:ilvl="8">
      <w:start w:val="0"/>
      <w:numFmt w:val="bullet"/>
      <w:lvlText w:val="•"/>
      <w:lvlJc w:val="left"/>
      <w:pPr>
        <w:ind w:left="9789" w:hanging="529"/>
      </w:pPr>
      <w:rPr>
        <w:rFonts w:hint="default"/>
        <w:lang w:val="zh-CN" w:eastAsia="zh-CN" w:bidi="zh-CN"/>
      </w:rPr>
    </w:lvl>
  </w:abstractNum>
  <w:abstractNum w:abstractNumId="49">
    <w:multiLevelType w:val="hybridMultilevel"/>
    <w:lvl w:ilvl="0">
      <w:start w:val="1"/>
      <w:numFmt w:val="decimal"/>
      <w:lvlText w:val="（%1）"/>
      <w:lvlJc w:val="left"/>
      <w:pPr>
        <w:ind w:left="1538" w:hanging="527"/>
        <w:jc w:val="left"/>
      </w:pPr>
      <w:rPr>
        <w:rFonts w:hint="default" w:ascii="宋体" w:hAnsi="宋体" w:eastAsia="宋体" w:cs="宋体"/>
        <w:spacing w:val="-32"/>
        <w:w w:val="100"/>
        <w:sz w:val="19"/>
        <w:szCs w:val="19"/>
        <w:lang w:val="zh-CN" w:eastAsia="zh-CN" w:bidi="zh-CN"/>
      </w:rPr>
    </w:lvl>
    <w:lvl w:ilvl="1">
      <w:start w:val="0"/>
      <w:numFmt w:val="bullet"/>
      <w:lvlText w:val="•"/>
      <w:lvlJc w:val="left"/>
      <w:pPr>
        <w:ind w:left="2550" w:hanging="527"/>
      </w:pPr>
      <w:rPr>
        <w:rFonts w:hint="default"/>
        <w:lang w:val="zh-CN" w:eastAsia="zh-CN" w:bidi="zh-CN"/>
      </w:rPr>
    </w:lvl>
    <w:lvl w:ilvl="2">
      <w:start w:val="0"/>
      <w:numFmt w:val="bullet"/>
      <w:lvlText w:val="•"/>
      <w:lvlJc w:val="left"/>
      <w:pPr>
        <w:ind w:left="3561" w:hanging="527"/>
      </w:pPr>
      <w:rPr>
        <w:rFonts w:hint="default"/>
        <w:lang w:val="zh-CN" w:eastAsia="zh-CN" w:bidi="zh-CN"/>
      </w:rPr>
    </w:lvl>
    <w:lvl w:ilvl="3">
      <w:start w:val="0"/>
      <w:numFmt w:val="bullet"/>
      <w:lvlText w:val="•"/>
      <w:lvlJc w:val="left"/>
      <w:pPr>
        <w:ind w:left="4571" w:hanging="527"/>
      </w:pPr>
      <w:rPr>
        <w:rFonts w:hint="default"/>
        <w:lang w:val="zh-CN" w:eastAsia="zh-CN" w:bidi="zh-CN"/>
      </w:rPr>
    </w:lvl>
    <w:lvl w:ilvl="4">
      <w:start w:val="0"/>
      <w:numFmt w:val="bullet"/>
      <w:lvlText w:val="•"/>
      <w:lvlJc w:val="left"/>
      <w:pPr>
        <w:ind w:left="5582" w:hanging="527"/>
      </w:pPr>
      <w:rPr>
        <w:rFonts w:hint="default"/>
        <w:lang w:val="zh-CN" w:eastAsia="zh-CN" w:bidi="zh-CN"/>
      </w:rPr>
    </w:lvl>
    <w:lvl w:ilvl="5">
      <w:start w:val="0"/>
      <w:numFmt w:val="bullet"/>
      <w:lvlText w:val="•"/>
      <w:lvlJc w:val="left"/>
      <w:pPr>
        <w:ind w:left="6593" w:hanging="527"/>
      </w:pPr>
      <w:rPr>
        <w:rFonts w:hint="default"/>
        <w:lang w:val="zh-CN" w:eastAsia="zh-CN" w:bidi="zh-CN"/>
      </w:rPr>
    </w:lvl>
    <w:lvl w:ilvl="6">
      <w:start w:val="0"/>
      <w:numFmt w:val="bullet"/>
      <w:lvlText w:val="•"/>
      <w:lvlJc w:val="left"/>
      <w:pPr>
        <w:ind w:left="7603" w:hanging="527"/>
      </w:pPr>
      <w:rPr>
        <w:rFonts w:hint="default"/>
        <w:lang w:val="zh-CN" w:eastAsia="zh-CN" w:bidi="zh-CN"/>
      </w:rPr>
    </w:lvl>
    <w:lvl w:ilvl="7">
      <w:start w:val="0"/>
      <w:numFmt w:val="bullet"/>
      <w:lvlText w:val="•"/>
      <w:lvlJc w:val="left"/>
      <w:pPr>
        <w:ind w:left="8614" w:hanging="527"/>
      </w:pPr>
      <w:rPr>
        <w:rFonts w:hint="default"/>
        <w:lang w:val="zh-CN" w:eastAsia="zh-CN" w:bidi="zh-CN"/>
      </w:rPr>
    </w:lvl>
    <w:lvl w:ilvl="8">
      <w:start w:val="0"/>
      <w:numFmt w:val="bullet"/>
      <w:lvlText w:val="•"/>
      <w:lvlJc w:val="left"/>
      <w:pPr>
        <w:ind w:left="9625" w:hanging="527"/>
      </w:pPr>
      <w:rPr>
        <w:rFonts w:hint="default"/>
        <w:lang w:val="zh-CN" w:eastAsia="zh-CN" w:bidi="zh-CN"/>
      </w:rPr>
    </w:lvl>
  </w:abstractNum>
  <w:abstractNum w:abstractNumId="48">
    <w:multiLevelType w:val="hybridMultilevel"/>
    <w:lvl w:ilvl="0">
      <w:start w:val="1"/>
      <w:numFmt w:val="decimal"/>
      <w:lvlText w:val="（%1）"/>
      <w:lvlJc w:val="left"/>
      <w:pPr>
        <w:ind w:left="2427" w:hanging="529"/>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3342" w:hanging="529"/>
      </w:pPr>
      <w:rPr>
        <w:rFonts w:hint="default"/>
        <w:lang w:val="zh-CN" w:eastAsia="zh-CN" w:bidi="zh-CN"/>
      </w:rPr>
    </w:lvl>
    <w:lvl w:ilvl="2">
      <w:start w:val="0"/>
      <w:numFmt w:val="bullet"/>
      <w:lvlText w:val="•"/>
      <w:lvlJc w:val="left"/>
      <w:pPr>
        <w:ind w:left="4265" w:hanging="529"/>
      </w:pPr>
      <w:rPr>
        <w:rFonts w:hint="default"/>
        <w:lang w:val="zh-CN" w:eastAsia="zh-CN" w:bidi="zh-CN"/>
      </w:rPr>
    </w:lvl>
    <w:lvl w:ilvl="3">
      <w:start w:val="0"/>
      <w:numFmt w:val="bullet"/>
      <w:lvlText w:val="•"/>
      <w:lvlJc w:val="left"/>
      <w:pPr>
        <w:ind w:left="5187" w:hanging="529"/>
      </w:pPr>
      <w:rPr>
        <w:rFonts w:hint="default"/>
        <w:lang w:val="zh-CN" w:eastAsia="zh-CN" w:bidi="zh-CN"/>
      </w:rPr>
    </w:lvl>
    <w:lvl w:ilvl="4">
      <w:start w:val="0"/>
      <w:numFmt w:val="bullet"/>
      <w:lvlText w:val="•"/>
      <w:lvlJc w:val="left"/>
      <w:pPr>
        <w:ind w:left="6110" w:hanging="529"/>
      </w:pPr>
      <w:rPr>
        <w:rFonts w:hint="default"/>
        <w:lang w:val="zh-CN" w:eastAsia="zh-CN" w:bidi="zh-CN"/>
      </w:rPr>
    </w:lvl>
    <w:lvl w:ilvl="5">
      <w:start w:val="0"/>
      <w:numFmt w:val="bullet"/>
      <w:lvlText w:val="•"/>
      <w:lvlJc w:val="left"/>
      <w:pPr>
        <w:ind w:left="7033" w:hanging="529"/>
      </w:pPr>
      <w:rPr>
        <w:rFonts w:hint="default"/>
        <w:lang w:val="zh-CN" w:eastAsia="zh-CN" w:bidi="zh-CN"/>
      </w:rPr>
    </w:lvl>
    <w:lvl w:ilvl="6">
      <w:start w:val="0"/>
      <w:numFmt w:val="bullet"/>
      <w:lvlText w:val="•"/>
      <w:lvlJc w:val="left"/>
      <w:pPr>
        <w:ind w:left="7955" w:hanging="529"/>
      </w:pPr>
      <w:rPr>
        <w:rFonts w:hint="default"/>
        <w:lang w:val="zh-CN" w:eastAsia="zh-CN" w:bidi="zh-CN"/>
      </w:rPr>
    </w:lvl>
    <w:lvl w:ilvl="7">
      <w:start w:val="0"/>
      <w:numFmt w:val="bullet"/>
      <w:lvlText w:val="•"/>
      <w:lvlJc w:val="left"/>
      <w:pPr>
        <w:ind w:left="8878" w:hanging="529"/>
      </w:pPr>
      <w:rPr>
        <w:rFonts w:hint="default"/>
        <w:lang w:val="zh-CN" w:eastAsia="zh-CN" w:bidi="zh-CN"/>
      </w:rPr>
    </w:lvl>
    <w:lvl w:ilvl="8">
      <w:start w:val="0"/>
      <w:numFmt w:val="bullet"/>
      <w:lvlText w:val="•"/>
      <w:lvlJc w:val="left"/>
      <w:pPr>
        <w:ind w:left="9801" w:hanging="529"/>
      </w:pPr>
      <w:rPr>
        <w:rFonts w:hint="default"/>
        <w:lang w:val="zh-CN" w:eastAsia="zh-CN" w:bidi="zh-CN"/>
      </w:rPr>
    </w:lvl>
  </w:abstractNum>
  <w:abstractNum w:abstractNumId="47">
    <w:multiLevelType w:val="hybridMultilevel"/>
    <w:lvl w:ilvl="0">
      <w:start w:val="1"/>
      <w:numFmt w:val="decimal"/>
      <w:lvlText w:val="(%1)."/>
      <w:lvlJc w:val="left"/>
      <w:pPr>
        <w:ind w:left="1965" w:hanging="428"/>
        <w:jc w:val="left"/>
      </w:pPr>
      <w:rPr>
        <w:rFonts w:hint="default" w:ascii="Times New Roman" w:hAnsi="Times New Roman" w:eastAsia="Times New Roman" w:cs="Times New Roman"/>
        <w:b/>
        <w:bCs/>
        <w:spacing w:val="-1"/>
        <w:w w:val="100"/>
        <w:sz w:val="21"/>
        <w:szCs w:val="21"/>
        <w:lang w:val="zh-CN" w:eastAsia="zh-CN" w:bidi="zh-CN"/>
      </w:rPr>
    </w:lvl>
    <w:lvl w:ilvl="1">
      <w:start w:val="1"/>
      <w:numFmt w:val="decimal"/>
      <w:lvlText w:val="（%2）"/>
      <w:lvlJc w:val="left"/>
      <w:pPr>
        <w:ind w:left="2530" w:hanging="553"/>
        <w:jc w:val="left"/>
      </w:pPr>
      <w:rPr>
        <w:rFonts w:hint="default" w:ascii="宋体" w:hAnsi="宋体" w:eastAsia="宋体" w:cs="宋体"/>
        <w:spacing w:val="-3"/>
        <w:w w:val="100"/>
        <w:sz w:val="20"/>
        <w:szCs w:val="20"/>
        <w:lang w:val="zh-CN" w:eastAsia="zh-CN" w:bidi="zh-CN"/>
      </w:rPr>
    </w:lvl>
    <w:lvl w:ilvl="2">
      <w:start w:val="0"/>
      <w:numFmt w:val="bullet"/>
      <w:lvlText w:val="•"/>
      <w:lvlJc w:val="left"/>
      <w:pPr>
        <w:ind w:left="3551" w:hanging="553"/>
      </w:pPr>
      <w:rPr>
        <w:rFonts w:hint="default"/>
        <w:lang w:val="zh-CN" w:eastAsia="zh-CN" w:bidi="zh-CN"/>
      </w:rPr>
    </w:lvl>
    <w:lvl w:ilvl="3">
      <w:start w:val="0"/>
      <w:numFmt w:val="bullet"/>
      <w:lvlText w:val="•"/>
      <w:lvlJc w:val="left"/>
      <w:pPr>
        <w:ind w:left="4563" w:hanging="553"/>
      </w:pPr>
      <w:rPr>
        <w:rFonts w:hint="default"/>
        <w:lang w:val="zh-CN" w:eastAsia="zh-CN" w:bidi="zh-CN"/>
      </w:rPr>
    </w:lvl>
    <w:lvl w:ilvl="4">
      <w:start w:val="0"/>
      <w:numFmt w:val="bullet"/>
      <w:lvlText w:val="•"/>
      <w:lvlJc w:val="left"/>
      <w:pPr>
        <w:ind w:left="5575" w:hanging="553"/>
      </w:pPr>
      <w:rPr>
        <w:rFonts w:hint="default"/>
        <w:lang w:val="zh-CN" w:eastAsia="zh-CN" w:bidi="zh-CN"/>
      </w:rPr>
    </w:lvl>
    <w:lvl w:ilvl="5">
      <w:start w:val="0"/>
      <w:numFmt w:val="bullet"/>
      <w:lvlText w:val="•"/>
      <w:lvlJc w:val="left"/>
      <w:pPr>
        <w:ind w:left="6587" w:hanging="553"/>
      </w:pPr>
      <w:rPr>
        <w:rFonts w:hint="default"/>
        <w:lang w:val="zh-CN" w:eastAsia="zh-CN" w:bidi="zh-CN"/>
      </w:rPr>
    </w:lvl>
    <w:lvl w:ilvl="6">
      <w:start w:val="0"/>
      <w:numFmt w:val="bullet"/>
      <w:lvlText w:val="•"/>
      <w:lvlJc w:val="left"/>
      <w:pPr>
        <w:ind w:left="7599" w:hanging="553"/>
      </w:pPr>
      <w:rPr>
        <w:rFonts w:hint="default"/>
        <w:lang w:val="zh-CN" w:eastAsia="zh-CN" w:bidi="zh-CN"/>
      </w:rPr>
    </w:lvl>
    <w:lvl w:ilvl="7">
      <w:start w:val="0"/>
      <w:numFmt w:val="bullet"/>
      <w:lvlText w:val="•"/>
      <w:lvlJc w:val="left"/>
      <w:pPr>
        <w:ind w:left="8610" w:hanging="553"/>
      </w:pPr>
      <w:rPr>
        <w:rFonts w:hint="default"/>
        <w:lang w:val="zh-CN" w:eastAsia="zh-CN" w:bidi="zh-CN"/>
      </w:rPr>
    </w:lvl>
    <w:lvl w:ilvl="8">
      <w:start w:val="0"/>
      <w:numFmt w:val="bullet"/>
      <w:lvlText w:val="•"/>
      <w:lvlJc w:val="left"/>
      <w:pPr>
        <w:ind w:left="9622" w:hanging="553"/>
      </w:pPr>
      <w:rPr>
        <w:rFonts w:hint="default"/>
        <w:lang w:val="zh-CN" w:eastAsia="zh-CN" w:bidi="zh-CN"/>
      </w:rPr>
    </w:lvl>
  </w:abstractNum>
  <w:abstractNum w:abstractNumId="46">
    <w:multiLevelType w:val="hybridMultilevel"/>
    <w:lvl w:ilvl="0">
      <w:start w:val="1"/>
      <w:numFmt w:val="decimal"/>
      <w:lvlText w:val="（%1）"/>
      <w:lvlJc w:val="left"/>
      <w:pPr>
        <w:ind w:left="2530" w:hanging="553"/>
        <w:jc w:val="left"/>
      </w:pPr>
      <w:rPr>
        <w:rFonts w:hint="default" w:ascii="宋体" w:hAnsi="宋体" w:eastAsia="宋体" w:cs="宋体"/>
        <w:spacing w:val="-3"/>
        <w:w w:val="100"/>
        <w:sz w:val="20"/>
        <w:szCs w:val="20"/>
        <w:lang w:val="zh-CN" w:eastAsia="zh-CN" w:bidi="zh-CN"/>
      </w:rPr>
    </w:lvl>
    <w:lvl w:ilvl="1">
      <w:start w:val="0"/>
      <w:numFmt w:val="bullet"/>
      <w:lvlText w:val="•"/>
      <w:lvlJc w:val="left"/>
      <w:pPr>
        <w:ind w:left="3450" w:hanging="553"/>
      </w:pPr>
      <w:rPr>
        <w:rFonts w:hint="default"/>
        <w:lang w:val="zh-CN" w:eastAsia="zh-CN" w:bidi="zh-CN"/>
      </w:rPr>
    </w:lvl>
    <w:lvl w:ilvl="2">
      <w:start w:val="0"/>
      <w:numFmt w:val="bullet"/>
      <w:lvlText w:val="•"/>
      <w:lvlJc w:val="left"/>
      <w:pPr>
        <w:ind w:left="4361" w:hanging="553"/>
      </w:pPr>
      <w:rPr>
        <w:rFonts w:hint="default"/>
        <w:lang w:val="zh-CN" w:eastAsia="zh-CN" w:bidi="zh-CN"/>
      </w:rPr>
    </w:lvl>
    <w:lvl w:ilvl="3">
      <w:start w:val="0"/>
      <w:numFmt w:val="bullet"/>
      <w:lvlText w:val="•"/>
      <w:lvlJc w:val="left"/>
      <w:pPr>
        <w:ind w:left="5271" w:hanging="553"/>
      </w:pPr>
      <w:rPr>
        <w:rFonts w:hint="default"/>
        <w:lang w:val="zh-CN" w:eastAsia="zh-CN" w:bidi="zh-CN"/>
      </w:rPr>
    </w:lvl>
    <w:lvl w:ilvl="4">
      <w:start w:val="0"/>
      <w:numFmt w:val="bullet"/>
      <w:lvlText w:val="•"/>
      <w:lvlJc w:val="left"/>
      <w:pPr>
        <w:ind w:left="6182" w:hanging="553"/>
      </w:pPr>
      <w:rPr>
        <w:rFonts w:hint="default"/>
        <w:lang w:val="zh-CN" w:eastAsia="zh-CN" w:bidi="zh-CN"/>
      </w:rPr>
    </w:lvl>
    <w:lvl w:ilvl="5">
      <w:start w:val="0"/>
      <w:numFmt w:val="bullet"/>
      <w:lvlText w:val="•"/>
      <w:lvlJc w:val="left"/>
      <w:pPr>
        <w:ind w:left="7093" w:hanging="553"/>
      </w:pPr>
      <w:rPr>
        <w:rFonts w:hint="default"/>
        <w:lang w:val="zh-CN" w:eastAsia="zh-CN" w:bidi="zh-CN"/>
      </w:rPr>
    </w:lvl>
    <w:lvl w:ilvl="6">
      <w:start w:val="0"/>
      <w:numFmt w:val="bullet"/>
      <w:lvlText w:val="•"/>
      <w:lvlJc w:val="left"/>
      <w:pPr>
        <w:ind w:left="8003" w:hanging="553"/>
      </w:pPr>
      <w:rPr>
        <w:rFonts w:hint="default"/>
        <w:lang w:val="zh-CN" w:eastAsia="zh-CN" w:bidi="zh-CN"/>
      </w:rPr>
    </w:lvl>
    <w:lvl w:ilvl="7">
      <w:start w:val="0"/>
      <w:numFmt w:val="bullet"/>
      <w:lvlText w:val="•"/>
      <w:lvlJc w:val="left"/>
      <w:pPr>
        <w:ind w:left="8914" w:hanging="553"/>
      </w:pPr>
      <w:rPr>
        <w:rFonts w:hint="default"/>
        <w:lang w:val="zh-CN" w:eastAsia="zh-CN" w:bidi="zh-CN"/>
      </w:rPr>
    </w:lvl>
    <w:lvl w:ilvl="8">
      <w:start w:val="0"/>
      <w:numFmt w:val="bullet"/>
      <w:lvlText w:val="•"/>
      <w:lvlJc w:val="left"/>
      <w:pPr>
        <w:ind w:left="9825" w:hanging="553"/>
      </w:pPr>
      <w:rPr>
        <w:rFonts w:hint="default"/>
        <w:lang w:val="zh-CN" w:eastAsia="zh-CN" w:bidi="zh-CN"/>
      </w:rPr>
    </w:lvl>
  </w:abstractNum>
  <w:abstractNum w:abstractNumId="45">
    <w:multiLevelType w:val="hybridMultilevel"/>
    <w:lvl w:ilvl="0">
      <w:start w:val="1"/>
      <w:numFmt w:val="decimal"/>
      <w:lvlText w:val="(%1)."/>
      <w:lvlJc w:val="left"/>
      <w:pPr>
        <w:ind w:left="1965" w:hanging="428"/>
        <w:jc w:val="left"/>
      </w:pPr>
      <w:rPr>
        <w:rFonts w:hint="default" w:ascii="Times New Roman" w:hAnsi="Times New Roman" w:eastAsia="Times New Roman" w:cs="Times New Roman"/>
        <w:b/>
        <w:bCs/>
        <w:spacing w:val="-1"/>
        <w:w w:val="100"/>
        <w:sz w:val="21"/>
        <w:szCs w:val="21"/>
        <w:lang w:val="zh-CN" w:eastAsia="zh-CN" w:bidi="zh-CN"/>
      </w:rPr>
    </w:lvl>
    <w:lvl w:ilvl="1">
      <w:start w:val="0"/>
      <w:numFmt w:val="bullet"/>
      <w:lvlText w:val="•"/>
      <w:lvlJc w:val="left"/>
      <w:pPr>
        <w:ind w:left="2928" w:hanging="428"/>
      </w:pPr>
      <w:rPr>
        <w:rFonts w:hint="default"/>
        <w:lang w:val="zh-CN" w:eastAsia="zh-CN" w:bidi="zh-CN"/>
      </w:rPr>
    </w:lvl>
    <w:lvl w:ilvl="2">
      <w:start w:val="0"/>
      <w:numFmt w:val="bullet"/>
      <w:lvlText w:val="•"/>
      <w:lvlJc w:val="left"/>
      <w:pPr>
        <w:ind w:left="3897" w:hanging="428"/>
      </w:pPr>
      <w:rPr>
        <w:rFonts w:hint="default"/>
        <w:lang w:val="zh-CN" w:eastAsia="zh-CN" w:bidi="zh-CN"/>
      </w:rPr>
    </w:lvl>
    <w:lvl w:ilvl="3">
      <w:start w:val="0"/>
      <w:numFmt w:val="bullet"/>
      <w:lvlText w:val="•"/>
      <w:lvlJc w:val="left"/>
      <w:pPr>
        <w:ind w:left="4865" w:hanging="428"/>
      </w:pPr>
      <w:rPr>
        <w:rFonts w:hint="default"/>
        <w:lang w:val="zh-CN" w:eastAsia="zh-CN" w:bidi="zh-CN"/>
      </w:rPr>
    </w:lvl>
    <w:lvl w:ilvl="4">
      <w:start w:val="0"/>
      <w:numFmt w:val="bullet"/>
      <w:lvlText w:val="•"/>
      <w:lvlJc w:val="left"/>
      <w:pPr>
        <w:ind w:left="5834" w:hanging="428"/>
      </w:pPr>
      <w:rPr>
        <w:rFonts w:hint="default"/>
        <w:lang w:val="zh-CN" w:eastAsia="zh-CN" w:bidi="zh-CN"/>
      </w:rPr>
    </w:lvl>
    <w:lvl w:ilvl="5">
      <w:start w:val="0"/>
      <w:numFmt w:val="bullet"/>
      <w:lvlText w:val="•"/>
      <w:lvlJc w:val="left"/>
      <w:pPr>
        <w:ind w:left="6803" w:hanging="428"/>
      </w:pPr>
      <w:rPr>
        <w:rFonts w:hint="default"/>
        <w:lang w:val="zh-CN" w:eastAsia="zh-CN" w:bidi="zh-CN"/>
      </w:rPr>
    </w:lvl>
    <w:lvl w:ilvl="6">
      <w:start w:val="0"/>
      <w:numFmt w:val="bullet"/>
      <w:lvlText w:val="•"/>
      <w:lvlJc w:val="left"/>
      <w:pPr>
        <w:ind w:left="7771" w:hanging="428"/>
      </w:pPr>
      <w:rPr>
        <w:rFonts w:hint="default"/>
        <w:lang w:val="zh-CN" w:eastAsia="zh-CN" w:bidi="zh-CN"/>
      </w:rPr>
    </w:lvl>
    <w:lvl w:ilvl="7">
      <w:start w:val="0"/>
      <w:numFmt w:val="bullet"/>
      <w:lvlText w:val="•"/>
      <w:lvlJc w:val="left"/>
      <w:pPr>
        <w:ind w:left="8740" w:hanging="428"/>
      </w:pPr>
      <w:rPr>
        <w:rFonts w:hint="default"/>
        <w:lang w:val="zh-CN" w:eastAsia="zh-CN" w:bidi="zh-CN"/>
      </w:rPr>
    </w:lvl>
    <w:lvl w:ilvl="8">
      <w:start w:val="0"/>
      <w:numFmt w:val="bullet"/>
      <w:lvlText w:val="•"/>
      <w:lvlJc w:val="left"/>
      <w:pPr>
        <w:ind w:left="9709" w:hanging="428"/>
      </w:pPr>
      <w:rPr>
        <w:rFonts w:hint="default"/>
        <w:lang w:val="zh-CN" w:eastAsia="zh-CN" w:bidi="zh-CN"/>
      </w:rPr>
    </w:lvl>
  </w:abstractNum>
  <w:abstractNum w:abstractNumId="44">
    <w:multiLevelType w:val="hybridMultilevel"/>
    <w:lvl w:ilvl="0">
      <w:start w:val="1"/>
      <w:numFmt w:val="decimal"/>
      <w:lvlText w:val="（%1）"/>
      <w:lvlJc w:val="left"/>
      <w:pPr>
        <w:ind w:left="2489" w:hanging="529"/>
        <w:jc w:val="right"/>
      </w:pPr>
      <w:rPr>
        <w:rFonts w:hint="default" w:ascii="宋体" w:hAnsi="宋体" w:eastAsia="宋体" w:cs="宋体"/>
        <w:spacing w:val="-3"/>
        <w:w w:val="100"/>
        <w:sz w:val="19"/>
        <w:szCs w:val="19"/>
        <w:lang w:val="zh-CN" w:eastAsia="zh-CN" w:bidi="zh-CN"/>
      </w:rPr>
    </w:lvl>
    <w:lvl w:ilvl="1">
      <w:start w:val="0"/>
      <w:numFmt w:val="bullet"/>
      <w:lvlText w:val="•"/>
      <w:lvlJc w:val="left"/>
      <w:pPr>
        <w:ind w:left="3396" w:hanging="529"/>
      </w:pPr>
      <w:rPr>
        <w:rFonts w:hint="default"/>
        <w:lang w:val="zh-CN" w:eastAsia="zh-CN" w:bidi="zh-CN"/>
      </w:rPr>
    </w:lvl>
    <w:lvl w:ilvl="2">
      <w:start w:val="0"/>
      <w:numFmt w:val="bullet"/>
      <w:lvlText w:val="•"/>
      <w:lvlJc w:val="left"/>
      <w:pPr>
        <w:ind w:left="4313" w:hanging="529"/>
      </w:pPr>
      <w:rPr>
        <w:rFonts w:hint="default"/>
        <w:lang w:val="zh-CN" w:eastAsia="zh-CN" w:bidi="zh-CN"/>
      </w:rPr>
    </w:lvl>
    <w:lvl w:ilvl="3">
      <w:start w:val="0"/>
      <w:numFmt w:val="bullet"/>
      <w:lvlText w:val="•"/>
      <w:lvlJc w:val="left"/>
      <w:pPr>
        <w:ind w:left="5229" w:hanging="529"/>
      </w:pPr>
      <w:rPr>
        <w:rFonts w:hint="default"/>
        <w:lang w:val="zh-CN" w:eastAsia="zh-CN" w:bidi="zh-CN"/>
      </w:rPr>
    </w:lvl>
    <w:lvl w:ilvl="4">
      <w:start w:val="0"/>
      <w:numFmt w:val="bullet"/>
      <w:lvlText w:val="•"/>
      <w:lvlJc w:val="left"/>
      <w:pPr>
        <w:ind w:left="6146" w:hanging="529"/>
      </w:pPr>
      <w:rPr>
        <w:rFonts w:hint="default"/>
        <w:lang w:val="zh-CN" w:eastAsia="zh-CN" w:bidi="zh-CN"/>
      </w:rPr>
    </w:lvl>
    <w:lvl w:ilvl="5">
      <w:start w:val="0"/>
      <w:numFmt w:val="bullet"/>
      <w:lvlText w:val="•"/>
      <w:lvlJc w:val="left"/>
      <w:pPr>
        <w:ind w:left="7063" w:hanging="529"/>
      </w:pPr>
      <w:rPr>
        <w:rFonts w:hint="default"/>
        <w:lang w:val="zh-CN" w:eastAsia="zh-CN" w:bidi="zh-CN"/>
      </w:rPr>
    </w:lvl>
    <w:lvl w:ilvl="6">
      <w:start w:val="0"/>
      <w:numFmt w:val="bullet"/>
      <w:lvlText w:val="•"/>
      <w:lvlJc w:val="left"/>
      <w:pPr>
        <w:ind w:left="7979" w:hanging="529"/>
      </w:pPr>
      <w:rPr>
        <w:rFonts w:hint="default"/>
        <w:lang w:val="zh-CN" w:eastAsia="zh-CN" w:bidi="zh-CN"/>
      </w:rPr>
    </w:lvl>
    <w:lvl w:ilvl="7">
      <w:start w:val="0"/>
      <w:numFmt w:val="bullet"/>
      <w:lvlText w:val="•"/>
      <w:lvlJc w:val="left"/>
      <w:pPr>
        <w:ind w:left="8896" w:hanging="529"/>
      </w:pPr>
      <w:rPr>
        <w:rFonts w:hint="default"/>
        <w:lang w:val="zh-CN" w:eastAsia="zh-CN" w:bidi="zh-CN"/>
      </w:rPr>
    </w:lvl>
    <w:lvl w:ilvl="8">
      <w:start w:val="0"/>
      <w:numFmt w:val="bullet"/>
      <w:lvlText w:val="•"/>
      <w:lvlJc w:val="left"/>
      <w:pPr>
        <w:ind w:left="9813" w:hanging="529"/>
      </w:pPr>
      <w:rPr>
        <w:rFonts w:hint="default"/>
        <w:lang w:val="zh-CN" w:eastAsia="zh-CN" w:bidi="zh-CN"/>
      </w:rPr>
    </w:lvl>
  </w:abstractNum>
  <w:abstractNum w:abstractNumId="43">
    <w:multiLevelType w:val="hybridMultilevel"/>
    <w:lvl w:ilvl="0">
      <w:start w:val="1"/>
      <w:numFmt w:val="decimal"/>
      <w:lvlText w:val="（%1）"/>
      <w:lvlJc w:val="left"/>
      <w:pPr>
        <w:ind w:left="2427" w:hanging="529"/>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3342" w:hanging="529"/>
      </w:pPr>
      <w:rPr>
        <w:rFonts w:hint="default"/>
        <w:lang w:val="zh-CN" w:eastAsia="zh-CN" w:bidi="zh-CN"/>
      </w:rPr>
    </w:lvl>
    <w:lvl w:ilvl="2">
      <w:start w:val="0"/>
      <w:numFmt w:val="bullet"/>
      <w:lvlText w:val="•"/>
      <w:lvlJc w:val="left"/>
      <w:pPr>
        <w:ind w:left="4265" w:hanging="529"/>
      </w:pPr>
      <w:rPr>
        <w:rFonts w:hint="default"/>
        <w:lang w:val="zh-CN" w:eastAsia="zh-CN" w:bidi="zh-CN"/>
      </w:rPr>
    </w:lvl>
    <w:lvl w:ilvl="3">
      <w:start w:val="0"/>
      <w:numFmt w:val="bullet"/>
      <w:lvlText w:val="•"/>
      <w:lvlJc w:val="left"/>
      <w:pPr>
        <w:ind w:left="5187" w:hanging="529"/>
      </w:pPr>
      <w:rPr>
        <w:rFonts w:hint="default"/>
        <w:lang w:val="zh-CN" w:eastAsia="zh-CN" w:bidi="zh-CN"/>
      </w:rPr>
    </w:lvl>
    <w:lvl w:ilvl="4">
      <w:start w:val="0"/>
      <w:numFmt w:val="bullet"/>
      <w:lvlText w:val="•"/>
      <w:lvlJc w:val="left"/>
      <w:pPr>
        <w:ind w:left="6110" w:hanging="529"/>
      </w:pPr>
      <w:rPr>
        <w:rFonts w:hint="default"/>
        <w:lang w:val="zh-CN" w:eastAsia="zh-CN" w:bidi="zh-CN"/>
      </w:rPr>
    </w:lvl>
    <w:lvl w:ilvl="5">
      <w:start w:val="0"/>
      <w:numFmt w:val="bullet"/>
      <w:lvlText w:val="•"/>
      <w:lvlJc w:val="left"/>
      <w:pPr>
        <w:ind w:left="7033" w:hanging="529"/>
      </w:pPr>
      <w:rPr>
        <w:rFonts w:hint="default"/>
        <w:lang w:val="zh-CN" w:eastAsia="zh-CN" w:bidi="zh-CN"/>
      </w:rPr>
    </w:lvl>
    <w:lvl w:ilvl="6">
      <w:start w:val="0"/>
      <w:numFmt w:val="bullet"/>
      <w:lvlText w:val="•"/>
      <w:lvlJc w:val="left"/>
      <w:pPr>
        <w:ind w:left="7955" w:hanging="529"/>
      </w:pPr>
      <w:rPr>
        <w:rFonts w:hint="default"/>
        <w:lang w:val="zh-CN" w:eastAsia="zh-CN" w:bidi="zh-CN"/>
      </w:rPr>
    </w:lvl>
    <w:lvl w:ilvl="7">
      <w:start w:val="0"/>
      <w:numFmt w:val="bullet"/>
      <w:lvlText w:val="•"/>
      <w:lvlJc w:val="left"/>
      <w:pPr>
        <w:ind w:left="8878" w:hanging="529"/>
      </w:pPr>
      <w:rPr>
        <w:rFonts w:hint="default"/>
        <w:lang w:val="zh-CN" w:eastAsia="zh-CN" w:bidi="zh-CN"/>
      </w:rPr>
    </w:lvl>
    <w:lvl w:ilvl="8">
      <w:start w:val="0"/>
      <w:numFmt w:val="bullet"/>
      <w:lvlText w:val="•"/>
      <w:lvlJc w:val="left"/>
      <w:pPr>
        <w:ind w:left="9801" w:hanging="529"/>
      </w:pPr>
      <w:rPr>
        <w:rFonts w:hint="default"/>
        <w:lang w:val="zh-CN" w:eastAsia="zh-CN" w:bidi="zh-CN"/>
      </w:rPr>
    </w:lvl>
  </w:abstractNum>
  <w:abstractNum w:abstractNumId="42">
    <w:multiLevelType w:val="hybridMultilevel"/>
    <w:lvl w:ilvl="0">
      <w:start w:val="1"/>
      <w:numFmt w:val="decimal"/>
      <w:lvlText w:val="（%1）"/>
      <w:lvlJc w:val="left"/>
      <w:pPr>
        <w:ind w:left="2427" w:hanging="529"/>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3342" w:hanging="529"/>
      </w:pPr>
      <w:rPr>
        <w:rFonts w:hint="default"/>
        <w:lang w:val="zh-CN" w:eastAsia="zh-CN" w:bidi="zh-CN"/>
      </w:rPr>
    </w:lvl>
    <w:lvl w:ilvl="2">
      <w:start w:val="0"/>
      <w:numFmt w:val="bullet"/>
      <w:lvlText w:val="•"/>
      <w:lvlJc w:val="left"/>
      <w:pPr>
        <w:ind w:left="4265" w:hanging="529"/>
      </w:pPr>
      <w:rPr>
        <w:rFonts w:hint="default"/>
        <w:lang w:val="zh-CN" w:eastAsia="zh-CN" w:bidi="zh-CN"/>
      </w:rPr>
    </w:lvl>
    <w:lvl w:ilvl="3">
      <w:start w:val="0"/>
      <w:numFmt w:val="bullet"/>
      <w:lvlText w:val="•"/>
      <w:lvlJc w:val="left"/>
      <w:pPr>
        <w:ind w:left="5187" w:hanging="529"/>
      </w:pPr>
      <w:rPr>
        <w:rFonts w:hint="default"/>
        <w:lang w:val="zh-CN" w:eastAsia="zh-CN" w:bidi="zh-CN"/>
      </w:rPr>
    </w:lvl>
    <w:lvl w:ilvl="4">
      <w:start w:val="0"/>
      <w:numFmt w:val="bullet"/>
      <w:lvlText w:val="•"/>
      <w:lvlJc w:val="left"/>
      <w:pPr>
        <w:ind w:left="6110" w:hanging="529"/>
      </w:pPr>
      <w:rPr>
        <w:rFonts w:hint="default"/>
        <w:lang w:val="zh-CN" w:eastAsia="zh-CN" w:bidi="zh-CN"/>
      </w:rPr>
    </w:lvl>
    <w:lvl w:ilvl="5">
      <w:start w:val="0"/>
      <w:numFmt w:val="bullet"/>
      <w:lvlText w:val="•"/>
      <w:lvlJc w:val="left"/>
      <w:pPr>
        <w:ind w:left="7033" w:hanging="529"/>
      </w:pPr>
      <w:rPr>
        <w:rFonts w:hint="default"/>
        <w:lang w:val="zh-CN" w:eastAsia="zh-CN" w:bidi="zh-CN"/>
      </w:rPr>
    </w:lvl>
    <w:lvl w:ilvl="6">
      <w:start w:val="0"/>
      <w:numFmt w:val="bullet"/>
      <w:lvlText w:val="•"/>
      <w:lvlJc w:val="left"/>
      <w:pPr>
        <w:ind w:left="7955" w:hanging="529"/>
      </w:pPr>
      <w:rPr>
        <w:rFonts w:hint="default"/>
        <w:lang w:val="zh-CN" w:eastAsia="zh-CN" w:bidi="zh-CN"/>
      </w:rPr>
    </w:lvl>
    <w:lvl w:ilvl="7">
      <w:start w:val="0"/>
      <w:numFmt w:val="bullet"/>
      <w:lvlText w:val="•"/>
      <w:lvlJc w:val="left"/>
      <w:pPr>
        <w:ind w:left="8878" w:hanging="529"/>
      </w:pPr>
      <w:rPr>
        <w:rFonts w:hint="default"/>
        <w:lang w:val="zh-CN" w:eastAsia="zh-CN" w:bidi="zh-CN"/>
      </w:rPr>
    </w:lvl>
    <w:lvl w:ilvl="8">
      <w:start w:val="0"/>
      <w:numFmt w:val="bullet"/>
      <w:lvlText w:val="•"/>
      <w:lvlJc w:val="left"/>
      <w:pPr>
        <w:ind w:left="9801" w:hanging="529"/>
      </w:pPr>
      <w:rPr>
        <w:rFonts w:hint="default"/>
        <w:lang w:val="zh-CN" w:eastAsia="zh-CN" w:bidi="zh-CN"/>
      </w:rPr>
    </w:lvl>
  </w:abstractNum>
  <w:abstractNum w:abstractNumId="41">
    <w:multiLevelType w:val="hybridMultilevel"/>
    <w:lvl w:ilvl="0">
      <w:start w:val="1"/>
      <w:numFmt w:val="decimal"/>
      <w:lvlText w:val="（%1）"/>
      <w:lvlJc w:val="left"/>
      <w:pPr>
        <w:ind w:left="2427" w:hanging="529"/>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3342" w:hanging="529"/>
      </w:pPr>
      <w:rPr>
        <w:rFonts w:hint="default"/>
        <w:lang w:val="zh-CN" w:eastAsia="zh-CN" w:bidi="zh-CN"/>
      </w:rPr>
    </w:lvl>
    <w:lvl w:ilvl="2">
      <w:start w:val="0"/>
      <w:numFmt w:val="bullet"/>
      <w:lvlText w:val="•"/>
      <w:lvlJc w:val="left"/>
      <w:pPr>
        <w:ind w:left="4265" w:hanging="529"/>
      </w:pPr>
      <w:rPr>
        <w:rFonts w:hint="default"/>
        <w:lang w:val="zh-CN" w:eastAsia="zh-CN" w:bidi="zh-CN"/>
      </w:rPr>
    </w:lvl>
    <w:lvl w:ilvl="3">
      <w:start w:val="0"/>
      <w:numFmt w:val="bullet"/>
      <w:lvlText w:val="•"/>
      <w:lvlJc w:val="left"/>
      <w:pPr>
        <w:ind w:left="5187" w:hanging="529"/>
      </w:pPr>
      <w:rPr>
        <w:rFonts w:hint="default"/>
        <w:lang w:val="zh-CN" w:eastAsia="zh-CN" w:bidi="zh-CN"/>
      </w:rPr>
    </w:lvl>
    <w:lvl w:ilvl="4">
      <w:start w:val="0"/>
      <w:numFmt w:val="bullet"/>
      <w:lvlText w:val="•"/>
      <w:lvlJc w:val="left"/>
      <w:pPr>
        <w:ind w:left="6110" w:hanging="529"/>
      </w:pPr>
      <w:rPr>
        <w:rFonts w:hint="default"/>
        <w:lang w:val="zh-CN" w:eastAsia="zh-CN" w:bidi="zh-CN"/>
      </w:rPr>
    </w:lvl>
    <w:lvl w:ilvl="5">
      <w:start w:val="0"/>
      <w:numFmt w:val="bullet"/>
      <w:lvlText w:val="•"/>
      <w:lvlJc w:val="left"/>
      <w:pPr>
        <w:ind w:left="7033" w:hanging="529"/>
      </w:pPr>
      <w:rPr>
        <w:rFonts w:hint="default"/>
        <w:lang w:val="zh-CN" w:eastAsia="zh-CN" w:bidi="zh-CN"/>
      </w:rPr>
    </w:lvl>
    <w:lvl w:ilvl="6">
      <w:start w:val="0"/>
      <w:numFmt w:val="bullet"/>
      <w:lvlText w:val="•"/>
      <w:lvlJc w:val="left"/>
      <w:pPr>
        <w:ind w:left="7955" w:hanging="529"/>
      </w:pPr>
      <w:rPr>
        <w:rFonts w:hint="default"/>
        <w:lang w:val="zh-CN" w:eastAsia="zh-CN" w:bidi="zh-CN"/>
      </w:rPr>
    </w:lvl>
    <w:lvl w:ilvl="7">
      <w:start w:val="0"/>
      <w:numFmt w:val="bullet"/>
      <w:lvlText w:val="•"/>
      <w:lvlJc w:val="left"/>
      <w:pPr>
        <w:ind w:left="8878" w:hanging="529"/>
      </w:pPr>
      <w:rPr>
        <w:rFonts w:hint="default"/>
        <w:lang w:val="zh-CN" w:eastAsia="zh-CN" w:bidi="zh-CN"/>
      </w:rPr>
    </w:lvl>
    <w:lvl w:ilvl="8">
      <w:start w:val="0"/>
      <w:numFmt w:val="bullet"/>
      <w:lvlText w:val="•"/>
      <w:lvlJc w:val="left"/>
      <w:pPr>
        <w:ind w:left="9801" w:hanging="529"/>
      </w:pPr>
      <w:rPr>
        <w:rFonts w:hint="default"/>
        <w:lang w:val="zh-CN" w:eastAsia="zh-CN" w:bidi="zh-CN"/>
      </w:rPr>
    </w:lvl>
  </w:abstractNum>
  <w:abstractNum w:abstractNumId="40">
    <w:multiLevelType w:val="hybridMultilevel"/>
    <w:lvl w:ilvl="0">
      <w:start w:val="1"/>
      <w:numFmt w:val="decimal"/>
      <w:lvlText w:val="(%1)."/>
      <w:lvlJc w:val="left"/>
      <w:pPr>
        <w:ind w:left="1962" w:hanging="425"/>
        <w:jc w:val="left"/>
      </w:pPr>
      <w:rPr>
        <w:rFonts w:hint="default" w:ascii="Times New Roman" w:hAnsi="Times New Roman" w:eastAsia="Times New Roman" w:cs="Times New Roman"/>
        <w:b/>
        <w:bCs/>
        <w:spacing w:val="-1"/>
        <w:w w:val="100"/>
        <w:sz w:val="21"/>
        <w:szCs w:val="21"/>
        <w:lang w:val="zh-CN" w:eastAsia="zh-CN" w:bidi="zh-CN"/>
      </w:rPr>
    </w:lvl>
    <w:lvl w:ilvl="1">
      <w:start w:val="0"/>
      <w:numFmt w:val="bullet"/>
      <w:lvlText w:val="•"/>
      <w:lvlJc w:val="left"/>
      <w:pPr>
        <w:ind w:left="2928" w:hanging="425"/>
      </w:pPr>
      <w:rPr>
        <w:rFonts w:hint="default"/>
        <w:lang w:val="zh-CN" w:eastAsia="zh-CN" w:bidi="zh-CN"/>
      </w:rPr>
    </w:lvl>
    <w:lvl w:ilvl="2">
      <w:start w:val="0"/>
      <w:numFmt w:val="bullet"/>
      <w:lvlText w:val="•"/>
      <w:lvlJc w:val="left"/>
      <w:pPr>
        <w:ind w:left="3897" w:hanging="425"/>
      </w:pPr>
      <w:rPr>
        <w:rFonts w:hint="default"/>
        <w:lang w:val="zh-CN" w:eastAsia="zh-CN" w:bidi="zh-CN"/>
      </w:rPr>
    </w:lvl>
    <w:lvl w:ilvl="3">
      <w:start w:val="0"/>
      <w:numFmt w:val="bullet"/>
      <w:lvlText w:val="•"/>
      <w:lvlJc w:val="left"/>
      <w:pPr>
        <w:ind w:left="4865" w:hanging="425"/>
      </w:pPr>
      <w:rPr>
        <w:rFonts w:hint="default"/>
        <w:lang w:val="zh-CN" w:eastAsia="zh-CN" w:bidi="zh-CN"/>
      </w:rPr>
    </w:lvl>
    <w:lvl w:ilvl="4">
      <w:start w:val="0"/>
      <w:numFmt w:val="bullet"/>
      <w:lvlText w:val="•"/>
      <w:lvlJc w:val="left"/>
      <w:pPr>
        <w:ind w:left="5834" w:hanging="425"/>
      </w:pPr>
      <w:rPr>
        <w:rFonts w:hint="default"/>
        <w:lang w:val="zh-CN" w:eastAsia="zh-CN" w:bidi="zh-CN"/>
      </w:rPr>
    </w:lvl>
    <w:lvl w:ilvl="5">
      <w:start w:val="0"/>
      <w:numFmt w:val="bullet"/>
      <w:lvlText w:val="•"/>
      <w:lvlJc w:val="left"/>
      <w:pPr>
        <w:ind w:left="6803" w:hanging="425"/>
      </w:pPr>
      <w:rPr>
        <w:rFonts w:hint="default"/>
        <w:lang w:val="zh-CN" w:eastAsia="zh-CN" w:bidi="zh-CN"/>
      </w:rPr>
    </w:lvl>
    <w:lvl w:ilvl="6">
      <w:start w:val="0"/>
      <w:numFmt w:val="bullet"/>
      <w:lvlText w:val="•"/>
      <w:lvlJc w:val="left"/>
      <w:pPr>
        <w:ind w:left="7771" w:hanging="425"/>
      </w:pPr>
      <w:rPr>
        <w:rFonts w:hint="default"/>
        <w:lang w:val="zh-CN" w:eastAsia="zh-CN" w:bidi="zh-CN"/>
      </w:rPr>
    </w:lvl>
    <w:lvl w:ilvl="7">
      <w:start w:val="0"/>
      <w:numFmt w:val="bullet"/>
      <w:lvlText w:val="•"/>
      <w:lvlJc w:val="left"/>
      <w:pPr>
        <w:ind w:left="8740" w:hanging="425"/>
      </w:pPr>
      <w:rPr>
        <w:rFonts w:hint="default"/>
        <w:lang w:val="zh-CN" w:eastAsia="zh-CN" w:bidi="zh-CN"/>
      </w:rPr>
    </w:lvl>
    <w:lvl w:ilvl="8">
      <w:start w:val="0"/>
      <w:numFmt w:val="bullet"/>
      <w:lvlText w:val="•"/>
      <w:lvlJc w:val="left"/>
      <w:pPr>
        <w:ind w:left="9709" w:hanging="425"/>
      </w:pPr>
      <w:rPr>
        <w:rFonts w:hint="default"/>
        <w:lang w:val="zh-CN" w:eastAsia="zh-CN" w:bidi="zh-CN"/>
      </w:rPr>
    </w:lvl>
  </w:abstractNum>
  <w:abstractNum w:abstractNumId="39">
    <w:multiLevelType w:val="hybridMultilevel"/>
    <w:lvl w:ilvl="0">
      <w:start w:val="1"/>
      <w:numFmt w:val="decimal"/>
      <w:lvlText w:val="%1）"/>
      <w:lvlJc w:val="left"/>
      <w:pPr>
        <w:ind w:left="2275" w:hanging="318"/>
        <w:jc w:val="left"/>
      </w:pPr>
      <w:rPr>
        <w:rFonts w:hint="default" w:ascii="Times New Roman" w:hAnsi="Times New Roman" w:eastAsia="Times New Roman" w:cs="Times New Roman"/>
        <w:w w:val="100"/>
        <w:sz w:val="19"/>
        <w:szCs w:val="19"/>
        <w:lang w:val="zh-CN" w:eastAsia="zh-CN" w:bidi="zh-CN"/>
      </w:rPr>
    </w:lvl>
    <w:lvl w:ilvl="1">
      <w:start w:val="0"/>
      <w:numFmt w:val="bullet"/>
      <w:lvlText w:val="•"/>
      <w:lvlJc w:val="left"/>
      <w:pPr>
        <w:ind w:left="3216" w:hanging="318"/>
      </w:pPr>
      <w:rPr>
        <w:rFonts w:hint="default"/>
        <w:lang w:val="zh-CN" w:eastAsia="zh-CN" w:bidi="zh-CN"/>
      </w:rPr>
    </w:lvl>
    <w:lvl w:ilvl="2">
      <w:start w:val="0"/>
      <w:numFmt w:val="bullet"/>
      <w:lvlText w:val="•"/>
      <w:lvlJc w:val="left"/>
      <w:pPr>
        <w:ind w:left="4153" w:hanging="318"/>
      </w:pPr>
      <w:rPr>
        <w:rFonts w:hint="default"/>
        <w:lang w:val="zh-CN" w:eastAsia="zh-CN" w:bidi="zh-CN"/>
      </w:rPr>
    </w:lvl>
    <w:lvl w:ilvl="3">
      <w:start w:val="0"/>
      <w:numFmt w:val="bullet"/>
      <w:lvlText w:val="•"/>
      <w:lvlJc w:val="left"/>
      <w:pPr>
        <w:ind w:left="5089" w:hanging="318"/>
      </w:pPr>
      <w:rPr>
        <w:rFonts w:hint="default"/>
        <w:lang w:val="zh-CN" w:eastAsia="zh-CN" w:bidi="zh-CN"/>
      </w:rPr>
    </w:lvl>
    <w:lvl w:ilvl="4">
      <w:start w:val="0"/>
      <w:numFmt w:val="bullet"/>
      <w:lvlText w:val="•"/>
      <w:lvlJc w:val="left"/>
      <w:pPr>
        <w:ind w:left="6026" w:hanging="318"/>
      </w:pPr>
      <w:rPr>
        <w:rFonts w:hint="default"/>
        <w:lang w:val="zh-CN" w:eastAsia="zh-CN" w:bidi="zh-CN"/>
      </w:rPr>
    </w:lvl>
    <w:lvl w:ilvl="5">
      <w:start w:val="0"/>
      <w:numFmt w:val="bullet"/>
      <w:lvlText w:val="•"/>
      <w:lvlJc w:val="left"/>
      <w:pPr>
        <w:ind w:left="6963" w:hanging="318"/>
      </w:pPr>
      <w:rPr>
        <w:rFonts w:hint="default"/>
        <w:lang w:val="zh-CN" w:eastAsia="zh-CN" w:bidi="zh-CN"/>
      </w:rPr>
    </w:lvl>
    <w:lvl w:ilvl="6">
      <w:start w:val="0"/>
      <w:numFmt w:val="bullet"/>
      <w:lvlText w:val="•"/>
      <w:lvlJc w:val="left"/>
      <w:pPr>
        <w:ind w:left="7899" w:hanging="318"/>
      </w:pPr>
      <w:rPr>
        <w:rFonts w:hint="default"/>
        <w:lang w:val="zh-CN" w:eastAsia="zh-CN" w:bidi="zh-CN"/>
      </w:rPr>
    </w:lvl>
    <w:lvl w:ilvl="7">
      <w:start w:val="0"/>
      <w:numFmt w:val="bullet"/>
      <w:lvlText w:val="•"/>
      <w:lvlJc w:val="left"/>
      <w:pPr>
        <w:ind w:left="8836" w:hanging="318"/>
      </w:pPr>
      <w:rPr>
        <w:rFonts w:hint="default"/>
        <w:lang w:val="zh-CN" w:eastAsia="zh-CN" w:bidi="zh-CN"/>
      </w:rPr>
    </w:lvl>
    <w:lvl w:ilvl="8">
      <w:start w:val="0"/>
      <w:numFmt w:val="bullet"/>
      <w:lvlText w:val="•"/>
      <w:lvlJc w:val="left"/>
      <w:pPr>
        <w:ind w:left="9773" w:hanging="318"/>
      </w:pPr>
      <w:rPr>
        <w:rFonts w:hint="default"/>
        <w:lang w:val="zh-CN" w:eastAsia="zh-CN" w:bidi="zh-CN"/>
      </w:rPr>
    </w:lvl>
  </w:abstractNum>
  <w:abstractNum w:abstractNumId="38">
    <w:multiLevelType w:val="hybridMultilevel"/>
    <w:lvl w:ilvl="0">
      <w:start w:val="1"/>
      <w:numFmt w:val="decimal"/>
      <w:lvlText w:val="（%1）"/>
      <w:lvlJc w:val="left"/>
      <w:pPr>
        <w:ind w:left="2427" w:hanging="529"/>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3342" w:hanging="529"/>
      </w:pPr>
      <w:rPr>
        <w:rFonts w:hint="default"/>
        <w:lang w:val="zh-CN" w:eastAsia="zh-CN" w:bidi="zh-CN"/>
      </w:rPr>
    </w:lvl>
    <w:lvl w:ilvl="2">
      <w:start w:val="0"/>
      <w:numFmt w:val="bullet"/>
      <w:lvlText w:val="•"/>
      <w:lvlJc w:val="left"/>
      <w:pPr>
        <w:ind w:left="4265" w:hanging="529"/>
      </w:pPr>
      <w:rPr>
        <w:rFonts w:hint="default"/>
        <w:lang w:val="zh-CN" w:eastAsia="zh-CN" w:bidi="zh-CN"/>
      </w:rPr>
    </w:lvl>
    <w:lvl w:ilvl="3">
      <w:start w:val="0"/>
      <w:numFmt w:val="bullet"/>
      <w:lvlText w:val="•"/>
      <w:lvlJc w:val="left"/>
      <w:pPr>
        <w:ind w:left="5187" w:hanging="529"/>
      </w:pPr>
      <w:rPr>
        <w:rFonts w:hint="default"/>
        <w:lang w:val="zh-CN" w:eastAsia="zh-CN" w:bidi="zh-CN"/>
      </w:rPr>
    </w:lvl>
    <w:lvl w:ilvl="4">
      <w:start w:val="0"/>
      <w:numFmt w:val="bullet"/>
      <w:lvlText w:val="•"/>
      <w:lvlJc w:val="left"/>
      <w:pPr>
        <w:ind w:left="6110" w:hanging="529"/>
      </w:pPr>
      <w:rPr>
        <w:rFonts w:hint="default"/>
        <w:lang w:val="zh-CN" w:eastAsia="zh-CN" w:bidi="zh-CN"/>
      </w:rPr>
    </w:lvl>
    <w:lvl w:ilvl="5">
      <w:start w:val="0"/>
      <w:numFmt w:val="bullet"/>
      <w:lvlText w:val="•"/>
      <w:lvlJc w:val="left"/>
      <w:pPr>
        <w:ind w:left="7033" w:hanging="529"/>
      </w:pPr>
      <w:rPr>
        <w:rFonts w:hint="default"/>
        <w:lang w:val="zh-CN" w:eastAsia="zh-CN" w:bidi="zh-CN"/>
      </w:rPr>
    </w:lvl>
    <w:lvl w:ilvl="6">
      <w:start w:val="0"/>
      <w:numFmt w:val="bullet"/>
      <w:lvlText w:val="•"/>
      <w:lvlJc w:val="left"/>
      <w:pPr>
        <w:ind w:left="7955" w:hanging="529"/>
      </w:pPr>
      <w:rPr>
        <w:rFonts w:hint="default"/>
        <w:lang w:val="zh-CN" w:eastAsia="zh-CN" w:bidi="zh-CN"/>
      </w:rPr>
    </w:lvl>
    <w:lvl w:ilvl="7">
      <w:start w:val="0"/>
      <w:numFmt w:val="bullet"/>
      <w:lvlText w:val="•"/>
      <w:lvlJc w:val="left"/>
      <w:pPr>
        <w:ind w:left="8878" w:hanging="529"/>
      </w:pPr>
      <w:rPr>
        <w:rFonts w:hint="default"/>
        <w:lang w:val="zh-CN" w:eastAsia="zh-CN" w:bidi="zh-CN"/>
      </w:rPr>
    </w:lvl>
    <w:lvl w:ilvl="8">
      <w:start w:val="0"/>
      <w:numFmt w:val="bullet"/>
      <w:lvlText w:val="•"/>
      <w:lvlJc w:val="left"/>
      <w:pPr>
        <w:ind w:left="9801" w:hanging="529"/>
      </w:pPr>
      <w:rPr>
        <w:rFonts w:hint="default"/>
        <w:lang w:val="zh-CN" w:eastAsia="zh-CN" w:bidi="zh-CN"/>
      </w:rPr>
    </w:lvl>
  </w:abstractNum>
  <w:abstractNum w:abstractNumId="37">
    <w:multiLevelType w:val="hybridMultilevel"/>
    <w:lvl w:ilvl="0">
      <w:start w:val="1"/>
      <w:numFmt w:val="decimal"/>
      <w:lvlText w:val="（%1）"/>
      <w:lvlJc w:val="left"/>
      <w:pPr>
        <w:ind w:left="2427" w:hanging="529"/>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3342" w:hanging="529"/>
      </w:pPr>
      <w:rPr>
        <w:rFonts w:hint="default"/>
        <w:lang w:val="zh-CN" w:eastAsia="zh-CN" w:bidi="zh-CN"/>
      </w:rPr>
    </w:lvl>
    <w:lvl w:ilvl="2">
      <w:start w:val="0"/>
      <w:numFmt w:val="bullet"/>
      <w:lvlText w:val="•"/>
      <w:lvlJc w:val="left"/>
      <w:pPr>
        <w:ind w:left="4265" w:hanging="529"/>
      </w:pPr>
      <w:rPr>
        <w:rFonts w:hint="default"/>
        <w:lang w:val="zh-CN" w:eastAsia="zh-CN" w:bidi="zh-CN"/>
      </w:rPr>
    </w:lvl>
    <w:lvl w:ilvl="3">
      <w:start w:val="0"/>
      <w:numFmt w:val="bullet"/>
      <w:lvlText w:val="•"/>
      <w:lvlJc w:val="left"/>
      <w:pPr>
        <w:ind w:left="5187" w:hanging="529"/>
      </w:pPr>
      <w:rPr>
        <w:rFonts w:hint="default"/>
        <w:lang w:val="zh-CN" w:eastAsia="zh-CN" w:bidi="zh-CN"/>
      </w:rPr>
    </w:lvl>
    <w:lvl w:ilvl="4">
      <w:start w:val="0"/>
      <w:numFmt w:val="bullet"/>
      <w:lvlText w:val="•"/>
      <w:lvlJc w:val="left"/>
      <w:pPr>
        <w:ind w:left="6110" w:hanging="529"/>
      </w:pPr>
      <w:rPr>
        <w:rFonts w:hint="default"/>
        <w:lang w:val="zh-CN" w:eastAsia="zh-CN" w:bidi="zh-CN"/>
      </w:rPr>
    </w:lvl>
    <w:lvl w:ilvl="5">
      <w:start w:val="0"/>
      <w:numFmt w:val="bullet"/>
      <w:lvlText w:val="•"/>
      <w:lvlJc w:val="left"/>
      <w:pPr>
        <w:ind w:left="7033" w:hanging="529"/>
      </w:pPr>
      <w:rPr>
        <w:rFonts w:hint="default"/>
        <w:lang w:val="zh-CN" w:eastAsia="zh-CN" w:bidi="zh-CN"/>
      </w:rPr>
    </w:lvl>
    <w:lvl w:ilvl="6">
      <w:start w:val="0"/>
      <w:numFmt w:val="bullet"/>
      <w:lvlText w:val="•"/>
      <w:lvlJc w:val="left"/>
      <w:pPr>
        <w:ind w:left="7955" w:hanging="529"/>
      </w:pPr>
      <w:rPr>
        <w:rFonts w:hint="default"/>
        <w:lang w:val="zh-CN" w:eastAsia="zh-CN" w:bidi="zh-CN"/>
      </w:rPr>
    </w:lvl>
    <w:lvl w:ilvl="7">
      <w:start w:val="0"/>
      <w:numFmt w:val="bullet"/>
      <w:lvlText w:val="•"/>
      <w:lvlJc w:val="left"/>
      <w:pPr>
        <w:ind w:left="8878" w:hanging="529"/>
      </w:pPr>
      <w:rPr>
        <w:rFonts w:hint="default"/>
        <w:lang w:val="zh-CN" w:eastAsia="zh-CN" w:bidi="zh-CN"/>
      </w:rPr>
    </w:lvl>
    <w:lvl w:ilvl="8">
      <w:start w:val="0"/>
      <w:numFmt w:val="bullet"/>
      <w:lvlText w:val="•"/>
      <w:lvlJc w:val="left"/>
      <w:pPr>
        <w:ind w:left="9801" w:hanging="529"/>
      </w:pPr>
      <w:rPr>
        <w:rFonts w:hint="default"/>
        <w:lang w:val="zh-CN" w:eastAsia="zh-CN" w:bidi="zh-CN"/>
      </w:rPr>
    </w:lvl>
  </w:abstractNum>
  <w:abstractNum w:abstractNumId="36">
    <w:multiLevelType w:val="hybridMultilevel"/>
    <w:lvl w:ilvl="0">
      <w:start w:val="1"/>
      <w:numFmt w:val="lowerLetter"/>
      <w:lvlText w:val="%1."/>
      <w:lvlJc w:val="left"/>
      <w:pPr>
        <w:ind w:left="2105" w:hanging="148"/>
        <w:jc w:val="left"/>
      </w:pPr>
      <w:rPr>
        <w:rFonts w:hint="default" w:ascii="Times New Roman" w:hAnsi="Times New Roman" w:eastAsia="Times New Roman" w:cs="Times New Roman"/>
        <w:spacing w:val="-1"/>
        <w:w w:val="100"/>
        <w:sz w:val="19"/>
        <w:szCs w:val="19"/>
        <w:lang w:val="zh-CN" w:eastAsia="zh-CN" w:bidi="zh-CN"/>
      </w:rPr>
    </w:lvl>
    <w:lvl w:ilvl="1">
      <w:start w:val="0"/>
      <w:numFmt w:val="bullet"/>
      <w:lvlText w:val="•"/>
      <w:lvlJc w:val="left"/>
      <w:pPr>
        <w:ind w:left="3054" w:hanging="148"/>
      </w:pPr>
      <w:rPr>
        <w:rFonts w:hint="default"/>
        <w:lang w:val="zh-CN" w:eastAsia="zh-CN" w:bidi="zh-CN"/>
      </w:rPr>
    </w:lvl>
    <w:lvl w:ilvl="2">
      <w:start w:val="0"/>
      <w:numFmt w:val="bullet"/>
      <w:lvlText w:val="•"/>
      <w:lvlJc w:val="left"/>
      <w:pPr>
        <w:ind w:left="4009" w:hanging="148"/>
      </w:pPr>
      <w:rPr>
        <w:rFonts w:hint="default"/>
        <w:lang w:val="zh-CN" w:eastAsia="zh-CN" w:bidi="zh-CN"/>
      </w:rPr>
    </w:lvl>
    <w:lvl w:ilvl="3">
      <w:start w:val="0"/>
      <w:numFmt w:val="bullet"/>
      <w:lvlText w:val="•"/>
      <w:lvlJc w:val="left"/>
      <w:pPr>
        <w:ind w:left="4963" w:hanging="148"/>
      </w:pPr>
      <w:rPr>
        <w:rFonts w:hint="default"/>
        <w:lang w:val="zh-CN" w:eastAsia="zh-CN" w:bidi="zh-CN"/>
      </w:rPr>
    </w:lvl>
    <w:lvl w:ilvl="4">
      <w:start w:val="0"/>
      <w:numFmt w:val="bullet"/>
      <w:lvlText w:val="•"/>
      <w:lvlJc w:val="left"/>
      <w:pPr>
        <w:ind w:left="5918" w:hanging="148"/>
      </w:pPr>
      <w:rPr>
        <w:rFonts w:hint="default"/>
        <w:lang w:val="zh-CN" w:eastAsia="zh-CN" w:bidi="zh-CN"/>
      </w:rPr>
    </w:lvl>
    <w:lvl w:ilvl="5">
      <w:start w:val="0"/>
      <w:numFmt w:val="bullet"/>
      <w:lvlText w:val="•"/>
      <w:lvlJc w:val="left"/>
      <w:pPr>
        <w:ind w:left="6873" w:hanging="148"/>
      </w:pPr>
      <w:rPr>
        <w:rFonts w:hint="default"/>
        <w:lang w:val="zh-CN" w:eastAsia="zh-CN" w:bidi="zh-CN"/>
      </w:rPr>
    </w:lvl>
    <w:lvl w:ilvl="6">
      <w:start w:val="0"/>
      <w:numFmt w:val="bullet"/>
      <w:lvlText w:val="•"/>
      <w:lvlJc w:val="left"/>
      <w:pPr>
        <w:ind w:left="7827" w:hanging="148"/>
      </w:pPr>
      <w:rPr>
        <w:rFonts w:hint="default"/>
        <w:lang w:val="zh-CN" w:eastAsia="zh-CN" w:bidi="zh-CN"/>
      </w:rPr>
    </w:lvl>
    <w:lvl w:ilvl="7">
      <w:start w:val="0"/>
      <w:numFmt w:val="bullet"/>
      <w:lvlText w:val="•"/>
      <w:lvlJc w:val="left"/>
      <w:pPr>
        <w:ind w:left="8782" w:hanging="148"/>
      </w:pPr>
      <w:rPr>
        <w:rFonts w:hint="default"/>
        <w:lang w:val="zh-CN" w:eastAsia="zh-CN" w:bidi="zh-CN"/>
      </w:rPr>
    </w:lvl>
    <w:lvl w:ilvl="8">
      <w:start w:val="0"/>
      <w:numFmt w:val="bullet"/>
      <w:lvlText w:val="•"/>
      <w:lvlJc w:val="left"/>
      <w:pPr>
        <w:ind w:left="9737" w:hanging="148"/>
      </w:pPr>
      <w:rPr>
        <w:rFonts w:hint="default"/>
        <w:lang w:val="zh-CN" w:eastAsia="zh-CN" w:bidi="zh-CN"/>
      </w:rPr>
    </w:lvl>
  </w:abstractNum>
  <w:abstractNum w:abstractNumId="35">
    <w:multiLevelType w:val="hybridMultilevel"/>
    <w:lvl w:ilvl="0">
      <w:start w:val="1"/>
      <w:numFmt w:val="lowerLetter"/>
      <w:lvlText w:val="（%1）"/>
      <w:lvlJc w:val="left"/>
      <w:pPr>
        <w:ind w:left="2415" w:hanging="517"/>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3342" w:hanging="517"/>
      </w:pPr>
      <w:rPr>
        <w:rFonts w:hint="default"/>
        <w:lang w:val="zh-CN" w:eastAsia="zh-CN" w:bidi="zh-CN"/>
      </w:rPr>
    </w:lvl>
    <w:lvl w:ilvl="2">
      <w:start w:val="0"/>
      <w:numFmt w:val="bullet"/>
      <w:lvlText w:val="•"/>
      <w:lvlJc w:val="left"/>
      <w:pPr>
        <w:ind w:left="4265" w:hanging="517"/>
      </w:pPr>
      <w:rPr>
        <w:rFonts w:hint="default"/>
        <w:lang w:val="zh-CN" w:eastAsia="zh-CN" w:bidi="zh-CN"/>
      </w:rPr>
    </w:lvl>
    <w:lvl w:ilvl="3">
      <w:start w:val="0"/>
      <w:numFmt w:val="bullet"/>
      <w:lvlText w:val="•"/>
      <w:lvlJc w:val="left"/>
      <w:pPr>
        <w:ind w:left="5187" w:hanging="517"/>
      </w:pPr>
      <w:rPr>
        <w:rFonts w:hint="default"/>
        <w:lang w:val="zh-CN" w:eastAsia="zh-CN" w:bidi="zh-CN"/>
      </w:rPr>
    </w:lvl>
    <w:lvl w:ilvl="4">
      <w:start w:val="0"/>
      <w:numFmt w:val="bullet"/>
      <w:lvlText w:val="•"/>
      <w:lvlJc w:val="left"/>
      <w:pPr>
        <w:ind w:left="6110" w:hanging="517"/>
      </w:pPr>
      <w:rPr>
        <w:rFonts w:hint="default"/>
        <w:lang w:val="zh-CN" w:eastAsia="zh-CN" w:bidi="zh-CN"/>
      </w:rPr>
    </w:lvl>
    <w:lvl w:ilvl="5">
      <w:start w:val="0"/>
      <w:numFmt w:val="bullet"/>
      <w:lvlText w:val="•"/>
      <w:lvlJc w:val="left"/>
      <w:pPr>
        <w:ind w:left="7033" w:hanging="517"/>
      </w:pPr>
      <w:rPr>
        <w:rFonts w:hint="default"/>
        <w:lang w:val="zh-CN" w:eastAsia="zh-CN" w:bidi="zh-CN"/>
      </w:rPr>
    </w:lvl>
    <w:lvl w:ilvl="6">
      <w:start w:val="0"/>
      <w:numFmt w:val="bullet"/>
      <w:lvlText w:val="•"/>
      <w:lvlJc w:val="left"/>
      <w:pPr>
        <w:ind w:left="7955" w:hanging="517"/>
      </w:pPr>
      <w:rPr>
        <w:rFonts w:hint="default"/>
        <w:lang w:val="zh-CN" w:eastAsia="zh-CN" w:bidi="zh-CN"/>
      </w:rPr>
    </w:lvl>
    <w:lvl w:ilvl="7">
      <w:start w:val="0"/>
      <w:numFmt w:val="bullet"/>
      <w:lvlText w:val="•"/>
      <w:lvlJc w:val="left"/>
      <w:pPr>
        <w:ind w:left="8878" w:hanging="517"/>
      </w:pPr>
      <w:rPr>
        <w:rFonts w:hint="default"/>
        <w:lang w:val="zh-CN" w:eastAsia="zh-CN" w:bidi="zh-CN"/>
      </w:rPr>
    </w:lvl>
    <w:lvl w:ilvl="8">
      <w:start w:val="0"/>
      <w:numFmt w:val="bullet"/>
      <w:lvlText w:val="•"/>
      <w:lvlJc w:val="left"/>
      <w:pPr>
        <w:ind w:left="9801" w:hanging="517"/>
      </w:pPr>
      <w:rPr>
        <w:rFonts w:hint="default"/>
        <w:lang w:val="zh-CN" w:eastAsia="zh-CN" w:bidi="zh-CN"/>
      </w:rPr>
    </w:lvl>
  </w:abstractNum>
  <w:abstractNum w:abstractNumId="34">
    <w:multiLevelType w:val="hybridMultilevel"/>
    <w:lvl w:ilvl="0">
      <w:start w:val="1"/>
      <w:numFmt w:val="lowerLetter"/>
      <w:lvlText w:val="%1."/>
      <w:lvlJc w:val="left"/>
      <w:pPr>
        <w:ind w:left="2203" w:hanging="306"/>
        <w:jc w:val="left"/>
      </w:pPr>
      <w:rPr>
        <w:rFonts w:hint="default" w:ascii="Times New Roman" w:hAnsi="Times New Roman" w:eastAsia="Times New Roman" w:cs="Times New Roman"/>
        <w:spacing w:val="-1"/>
        <w:w w:val="100"/>
        <w:sz w:val="19"/>
        <w:szCs w:val="19"/>
        <w:lang w:val="zh-CN" w:eastAsia="zh-CN" w:bidi="zh-CN"/>
      </w:rPr>
    </w:lvl>
    <w:lvl w:ilvl="1">
      <w:start w:val="0"/>
      <w:numFmt w:val="bullet"/>
      <w:lvlText w:val="•"/>
      <w:lvlJc w:val="left"/>
      <w:pPr>
        <w:ind w:left="3144" w:hanging="306"/>
      </w:pPr>
      <w:rPr>
        <w:rFonts w:hint="default"/>
        <w:lang w:val="zh-CN" w:eastAsia="zh-CN" w:bidi="zh-CN"/>
      </w:rPr>
    </w:lvl>
    <w:lvl w:ilvl="2">
      <w:start w:val="0"/>
      <w:numFmt w:val="bullet"/>
      <w:lvlText w:val="•"/>
      <w:lvlJc w:val="left"/>
      <w:pPr>
        <w:ind w:left="4089" w:hanging="306"/>
      </w:pPr>
      <w:rPr>
        <w:rFonts w:hint="default"/>
        <w:lang w:val="zh-CN" w:eastAsia="zh-CN" w:bidi="zh-CN"/>
      </w:rPr>
    </w:lvl>
    <w:lvl w:ilvl="3">
      <w:start w:val="0"/>
      <w:numFmt w:val="bullet"/>
      <w:lvlText w:val="•"/>
      <w:lvlJc w:val="left"/>
      <w:pPr>
        <w:ind w:left="5033" w:hanging="306"/>
      </w:pPr>
      <w:rPr>
        <w:rFonts w:hint="default"/>
        <w:lang w:val="zh-CN" w:eastAsia="zh-CN" w:bidi="zh-CN"/>
      </w:rPr>
    </w:lvl>
    <w:lvl w:ilvl="4">
      <w:start w:val="0"/>
      <w:numFmt w:val="bullet"/>
      <w:lvlText w:val="•"/>
      <w:lvlJc w:val="left"/>
      <w:pPr>
        <w:ind w:left="5978" w:hanging="306"/>
      </w:pPr>
      <w:rPr>
        <w:rFonts w:hint="default"/>
        <w:lang w:val="zh-CN" w:eastAsia="zh-CN" w:bidi="zh-CN"/>
      </w:rPr>
    </w:lvl>
    <w:lvl w:ilvl="5">
      <w:start w:val="0"/>
      <w:numFmt w:val="bullet"/>
      <w:lvlText w:val="•"/>
      <w:lvlJc w:val="left"/>
      <w:pPr>
        <w:ind w:left="6923" w:hanging="306"/>
      </w:pPr>
      <w:rPr>
        <w:rFonts w:hint="default"/>
        <w:lang w:val="zh-CN" w:eastAsia="zh-CN" w:bidi="zh-CN"/>
      </w:rPr>
    </w:lvl>
    <w:lvl w:ilvl="6">
      <w:start w:val="0"/>
      <w:numFmt w:val="bullet"/>
      <w:lvlText w:val="•"/>
      <w:lvlJc w:val="left"/>
      <w:pPr>
        <w:ind w:left="7867" w:hanging="306"/>
      </w:pPr>
      <w:rPr>
        <w:rFonts w:hint="default"/>
        <w:lang w:val="zh-CN" w:eastAsia="zh-CN" w:bidi="zh-CN"/>
      </w:rPr>
    </w:lvl>
    <w:lvl w:ilvl="7">
      <w:start w:val="0"/>
      <w:numFmt w:val="bullet"/>
      <w:lvlText w:val="•"/>
      <w:lvlJc w:val="left"/>
      <w:pPr>
        <w:ind w:left="8812" w:hanging="306"/>
      </w:pPr>
      <w:rPr>
        <w:rFonts w:hint="default"/>
        <w:lang w:val="zh-CN" w:eastAsia="zh-CN" w:bidi="zh-CN"/>
      </w:rPr>
    </w:lvl>
    <w:lvl w:ilvl="8">
      <w:start w:val="0"/>
      <w:numFmt w:val="bullet"/>
      <w:lvlText w:val="•"/>
      <w:lvlJc w:val="left"/>
      <w:pPr>
        <w:ind w:left="9757" w:hanging="306"/>
      </w:pPr>
      <w:rPr>
        <w:rFonts w:hint="default"/>
        <w:lang w:val="zh-CN" w:eastAsia="zh-CN" w:bidi="zh-CN"/>
      </w:rPr>
    </w:lvl>
  </w:abstractNum>
  <w:abstractNum w:abstractNumId="33">
    <w:multiLevelType w:val="hybridMultilevel"/>
    <w:lvl w:ilvl="0">
      <w:start w:val="1"/>
      <w:numFmt w:val="decimal"/>
      <w:lvlText w:val="（%1）"/>
      <w:lvlJc w:val="left"/>
      <w:pPr>
        <w:ind w:left="2427" w:hanging="529"/>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3342" w:hanging="529"/>
      </w:pPr>
      <w:rPr>
        <w:rFonts w:hint="default"/>
        <w:lang w:val="zh-CN" w:eastAsia="zh-CN" w:bidi="zh-CN"/>
      </w:rPr>
    </w:lvl>
    <w:lvl w:ilvl="2">
      <w:start w:val="0"/>
      <w:numFmt w:val="bullet"/>
      <w:lvlText w:val="•"/>
      <w:lvlJc w:val="left"/>
      <w:pPr>
        <w:ind w:left="4265" w:hanging="529"/>
      </w:pPr>
      <w:rPr>
        <w:rFonts w:hint="default"/>
        <w:lang w:val="zh-CN" w:eastAsia="zh-CN" w:bidi="zh-CN"/>
      </w:rPr>
    </w:lvl>
    <w:lvl w:ilvl="3">
      <w:start w:val="0"/>
      <w:numFmt w:val="bullet"/>
      <w:lvlText w:val="•"/>
      <w:lvlJc w:val="left"/>
      <w:pPr>
        <w:ind w:left="5187" w:hanging="529"/>
      </w:pPr>
      <w:rPr>
        <w:rFonts w:hint="default"/>
        <w:lang w:val="zh-CN" w:eastAsia="zh-CN" w:bidi="zh-CN"/>
      </w:rPr>
    </w:lvl>
    <w:lvl w:ilvl="4">
      <w:start w:val="0"/>
      <w:numFmt w:val="bullet"/>
      <w:lvlText w:val="•"/>
      <w:lvlJc w:val="left"/>
      <w:pPr>
        <w:ind w:left="6110" w:hanging="529"/>
      </w:pPr>
      <w:rPr>
        <w:rFonts w:hint="default"/>
        <w:lang w:val="zh-CN" w:eastAsia="zh-CN" w:bidi="zh-CN"/>
      </w:rPr>
    </w:lvl>
    <w:lvl w:ilvl="5">
      <w:start w:val="0"/>
      <w:numFmt w:val="bullet"/>
      <w:lvlText w:val="•"/>
      <w:lvlJc w:val="left"/>
      <w:pPr>
        <w:ind w:left="7033" w:hanging="529"/>
      </w:pPr>
      <w:rPr>
        <w:rFonts w:hint="default"/>
        <w:lang w:val="zh-CN" w:eastAsia="zh-CN" w:bidi="zh-CN"/>
      </w:rPr>
    </w:lvl>
    <w:lvl w:ilvl="6">
      <w:start w:val="0"/>
      <w:numFmt w:val="bullet"/>
      <w:lvlText w:val="•"/>
      <w:lvlJc w:val="left"/>
      <w:pPr>
        <w:ind w:left="7955" w:hanging="529"/>
      </w:pPr>
      <w:rPr>
        <w:rFonts w:hint="default"/>
        <w:lang w:val="zh-CN" w:eastAsia="zh-CN" w:bidi="zh-CN"/>
      </w:rPr>
    </w:lvl>
    <w:lvl w:ilvl="7">
      <w:start w:val="0"/>
      <w:numFmt w:val="bullet"/>
      <w:lvlText w:val="•"/>
      <w:lvlJc w:val="left"/>
      <w:pPr>
        <w:ind w:left="8878" w:hanging="529"/>
      </w:pPr>
      <w:rPr>
        <w:rFonts w:hint="default"/>
        <w:lang w:val="zh-CN" w:eastAsia="zh-CN" w:bidi="zh-CN"/>
      </w:rPr>
    </w:lvl>
    <w:lvl w:ilvl="8">
      <w:start w:val="0"/>
      <w:numFmt w:val="bullet"/>
      <w:lvlText w:val="•"/>
      <w:lvlJc w:val="left"/>
      <w:pPr>
        <w:ind w:left="9801" w:hanging="529"/>
      </w:pPr>
      <w:rPr>
        <w:rFonts w:hint="default"/>
        <w:lang w:val="zh-CN" w:eastAsia="zh-CN" w:bidi="zh-CN"/>
      </w:rPr>
    </w:lvl>
  </w:abstractNum>
  <w:abstractNum w:abstractNumId="32">
    <w:multiLevelType w:val="hybridMultilevel"/>
    <w:lvl w:ilvl="0">
      <w:start w:val="1"/>
      <w:numFmt w:val="decimal"/>
      <w:lvlText w:val="（%1）"/>
      <w:lvlJc w:val="left"/>
      <w:pPr>
        <w:ind w:left="2427" w:hanging="529"/>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3342" w:hanging="529"/>
      </w:pPr>
      <w:rPr>
        <w:rFonts w:hint="default"/>
        <w:lang w:val="zh-CN" w:eastAsia="zh-CN" w:bidi="zh-CN"/>
      </w:rPr>
    </w:lvl>
    <w:lvl w:ilvl="2">
      <w:start w:val="0"/>
      <w:numFmt w:val="bullet"/>
      <w:lvlText w:val="•"/>
      <w:lvlJc w:val="left"/>
      <w:pPr>
        <w:ind w:left="4265" w:hanging="529"/>
      </w:pPr>
      <w:rPr>
        <w:rFonts w:hint="default"/>
        <w:lang w:val="zh-CN" w:eastAsia="zh-CN" w:bidi="zh-CN"/>
      </w:rPr>
    </w:lvl>
    <w:lvl w:ilvl="3">
      <w:start w:val="0"/>
      <w:numFmt w:val="bullet"/>
      <w:lvlText w:val="•"/>
      <w:lvlJc w:val="left"/>
      <w:pPr>
        <w:ind w:left="5187" w:hanging="529"/>
      </w:pPr>
      <w:rPr>
        <w:rFonts w:hint="default"/>
        <w:lang w:val="zh-CN" w:eastAsia="zh-CN" w:bidi="zh-CN"/>
      </w:rPr>
    </w:lvl>
    <w:lvl w:ilvl="4">
      <w:start w:val="0"/>
      <w:numFmt w:val="bullet"/>
      <w:lvlText w:val="•"/>
      <w:lvlJc w:val="left"/>
      <w:pPr>
        <w:ind w:left="6110" w:hanging="529"/>
      </w:pPr>
      <w:rPr>
        <w:rFonts w:hint="default"/>
        <w:lang w:val="zh-CN" w:eastAsia="zh-CN" w:bidi="zh-CN"/>
      </w:rPr>
    </w:lvl>
    <w:lvl w:ilvl="5">
      <w:start w:val="0"/>
      <w:numFmt w:val="bullet"/>
      <w:lvlText w:val="•"/>
      <w:lvlJc w:val="left"/>
      <w:pPr>
        <w:ind w:left="7033" w:hanging="529"/>
      </w:pPr>
      <w:rPr>
        <w:rFonts w:hint="default"/>
        <w:lang w:val="zh-CN" w:eastAsia="zh-CN" w:bidi="zh-CN"/>
      </w:rPr>
    </w:lvl>
    <w:lvl w:ilvl="6">
      <w:start w:val="0"/>
      <w:numFmt w:val="bullet"/>
      <w:lvlText w:val="•"/>
      <w:lvlJc w:val="left"/>
      <w:pPr>
        <w:ind w:left="7955" w:hanging="529"/>
      </w:pPr>
      <w:rPr>
        <w:rFonts w:hint="default"/>
        <w:lang w:val="zh-CN" w:eastAsia="zh-CN" w:bidi="zh-CN"/>
      </w:rPr>
    </w:lvl>
    <w:lvl w:ilvl="7">
      <w:start w:val="0"/>
      <w:numFmt w:val="bullet"/>
      <w:lvlText w:val="•"/>
      <w:lvlJc w:val="left"/>
      <w:pPr>
        <w:ind w:left="8878" w:hanging="529"/>
      </w:pPr>
      <w:rPr>
        <w:rFonts w:hint="default"/>
        <w:lang w:val="zh-CN" w:eastAsia="zh-CN" w:bidi="zh-CN"/>
      </w:rPr>
    </w:lvl>
    <w:lvl w:ilvl="8">
      <w:start w:val="0"/>
      <w:numFmt w:val="bullet"/>
      <w:lvlText w:val="•"/>
      <w:lvlJc w:val="left"/>
      <w:pPr>
        <w:ind w:left="9801" w:hanging="529"/>
      </w:pPr>
      <w:rPr>
        <w:rFonts w:hint="default"/>
        <w:lang w:val="zh-CN" w:eastAsia="zh-CN" w:bidi="zh-CN"/>
      </w:rPr>
    </w:lvl>
  </w:abstractNum>
  <w:abstractNum w:abstractNumId="31">
    <w:multiLevelType w:val="hybridMultilevel"/>
    <w:lvl w:ilvl="0">
      <w:start w:val="1"/>
      <w:numFmt w:val="decimal"/>
      <w:lvlText w:val="（%1）"/>
      <w:lvlJc w:val="left"/>
      <w:pPr>
        <w:ind w:left="2427" w:hanging="529"/>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3342" w:hanging="529"/>
      </w:pPr>
      <w:rPr>
        <w:rFonts w:hint="default"/>
        <w:lang w:val="zh-CN" w:eastAsia="zh-CN" w:bidi="zh-CN"/>
      </w:rPr>
    </w:lvl>
    <w:lvl w:ilvl="2">
      <w:start w:val="0"/>
      <w:numFmt w:val="bullet"/>
      <w:lvlText w:val="•"/>
      <w:lvlJc w:val="left"/>
      <w:pPr>
        <w:ind w:left="4265" w:hanging="529"/>
      </w:pPr>
      <w:rPr>
        <w:rFonts w:hint="default"/>
        <w:lang w:val="zh-CN" w:eastAsia="zh-CN" w:bidi="zh-CN"/>
      </w:rPr>
    </w:lvl>
    <w:lvl w:ilvl="3">
      <w:start w:val="0"/>
      <w:numFmt w:val="bullet"/>
      <w:lvlText w:val="•"/>
      <w:lvlJc w:val="left"/>
      <w:pPr>
        <w:ind w:left="5187" w:hanging="529"/>
      </w:pPr>
      <w:rPr>
        <w:rFonts w:hint="default"/>
        <w:lang w:val="zh-CN" w:eastAsia="zh-CN" w:bidi="zh-CN"/>
      </w:rPr>
    </w:lvl>
    <w:lvl w:ilvl="4">
      <w:start w:val="0"/>
      <w:numFmt w:val="bullet"/>
      <w:lvlText w:val="•"/>
      <w:lvlJc w:val="left"/>
      <w:pPr>
        <w:ind w:left="6110" w:hanging="529"/>
      </w:pPr>
      <w:rPr>
        <w:rFonts w:hint="default"/>
        <w:lang w:val="zh-CN" w:eastAsia="zh-CN" w:bidi="zh-CN"/>
      </w:rPr>
    </w:lvl>
    <w:lvl w:ilvl="5">
      <w:start w:val="0"/>
      <w:numFmt w:val="bullet"/>
      <w:lvlText w:val="•"/>
      <w:lvlJc w:val="left"/>
      <w:pPr>
        <w:ind w:left="7033" w:hanging="529"/>
      </w:pPr>
      <w:rPr>
        <w:rFonts w:hint="default"/>
        <w:lang w:val="zh-CN" w:eastAsia="zh-CN" w:bidi="zh-CN"/>
      </w:rPr>
    </w:lvl>
    <w:lvl w:ilvl="6">
      <w:start w:val="0"/>
      <w:numFmt w:val="bullet"/>
      <w:lvlText w:val="•"/>
      <w:lvlJc w:val="left"/>
      <w:pPr>
        <w:ind w:left="7955" w:hanging="529"/>
      </w:pPr>
      <w:rPr>
        <w:rFonts w:hint="default"/>
        <w:lang w:val="zh-CN" w:eastAsia="zh-CN" w:bidi="zh-CN"/>
      </w:rPr>
    </w:lvl>
    <w:lvl w:ilvl="7">
      <w:start w:val="0"/>
      <w:numFmt w:val="bullet"/>
      <w:lvlText w:val="•"/>
      <w:lvlJc w:val="left"/>
      <w:pPr>
        <w:ind w:left="8878" w:hanging="529"/>
      </w:pPr>
      <w:rPr>
        <w:rFonts w:hint="default"/>
        <w:lang w:val="zh-CN" w:eastAsia="zh-CN" w:bidi="zh-CN"/>
      </w:rPr>
    </w:lvl>
    <w:lvl w:ilvl="8">
      <w:start w:val="0"/>
      <w:numFmt w:val="bullet"/>
      <w:lvlText w:val="•"/>
      <w:lvlJc w:val="left"/>
      <w:pPr>
        <w:ind w:left="9801" w:hanging="529"/>
      </w:pPr>
      <w:rPr>
        <w:rFonts w:hint="default"/>
        <w:lang w:val="zh-CN" w:eastAsia="zh-CN" w:bidi="zh-CN"/>
      </w:rPr>
    </w:lvl>
  </w:abstractNum>
  <w:abstractNum w:abstractNumId="30">
    <w:multiLevelType w:val="hybridMultilevel"/>
    <w:lvl w:ilvl="0">
      <w:start w:val="1"/>
      <w:numFmt w:val="decimal"/>
      <w:lvlText w:val="%1."/>
      <w:lvlJc w:val="left"/>
      <w:pPr>
        <w:ind w:left="1962" w:hanging="425"/>
        <w:jc w:val="left"/>
      </w:pPr>
      <w:rPr>
        <w:rFonts w:hint="default" w:ascii="Times New Roman" w:hAnsi="Times New Roman" w:eastAsia="Times New Roman" w:cs="Times New Roman"/>
        <w:b/>
        <w:bCs/>
        <w:w w:val="100"/>
        <w:sz w:val="21"/>
        <w:szCs w:val="21"/>
        <w:lang w:val="zh-CN" w:eastAsia="zh-CN" w:bidi="zh-CN"/>
      </w:rPr>
    </w:lvl>
    <w:lvl w:ilvl="1">
      <w:start w:val="1"/>
      <w:numFmt w:val="decimal"/>
      <w:lvlText w:val="（%2）"/>
      <w:lvlJc w:val="left"/>
      <w:pPr>
        <w:ind w:left="2427" w:hanging="529"/>
        <w:jc w:val="left"/>
      </w:pPr>
      <w:rPr>
        <w:rFonts w:hint="default"/>
        <w:spacing w:val="-3"/>
        <w:w w:val="100"/>
        <w:lang w:val="zh-CN" w:eastAsia="zh-CN" w:bidi="zh-CN"/>
      </w:rPr>
    </w:lvl>
    <w:lvl w:ilvl="2">
      <w:start w:val="0"/>
      <w:numFmt w:val="bullet"/>
      <w:lvlText w:val="•"/>
      <w:lvlJc w:val="left"/>
      <w:pPr>
        <w:ind w:left="3445" w:hanging="529"/>
      </w:pPr>
      <w:rPr>
        <w:rFonts w:hint="default"/>
        <w:lang w:val="zh-CN" w:eastAsia="zh-CN" w:bidi="zh-CN"/>
      </w:rPr>
    </w:lvl>
    <w:lvl w:ilvl="3">
      <w:start w:val="0"/>
      <w:numFmt w:val="bullet"/>
      <w:lvlText w:val="•"/>
      <w:lvlJc w:val="left"/>
      <w:pPr>
        <w:ind w:left="4470" w:hanging="529"/>
      </w:pPr>
      <w:rPr>
        <w:rFonts w:hint="default"/>
        <w:lang w:val="zh-CN" w:eastAsia="zh-CN" w:bidi="zh-CN"/>
      </w:rPr>
    </w:lvl>
    <w:lvl w:ilvl="4">
      <w:start w:val="0"/>
      <w:numFmt w:val="bullet"/>
      <w:lvlText w:val="•"/>
      <w:lvlJc w:val="left"/>
      <w:pPr>
        <w:ind w:left="5495" w:hanging="529"/>
      </w:pPr>
      <w:rPr>
        <w:rFonts w:hint="default"/>
        <w:lang w:val="zh-CN" w:eastAsia="zh-CN" w:bidi="zh-CN"/>
      </w:rPr>
    </w:lvl>
    <w:lvl w:ilvl="5">
      <w:start w:val="0"/>
      <w:numFmt w:val="bullet"/>
      <w:lvlText w:val="•"/>
      <w:lvlJc w:val="left"/>
      <w:pPr>
        <w:ind w:left="6520" w:hanging="529"/>
      </w:pPr>
      <w:rPr>
        <w:rFonts w:hint="default"/>
        <w:lang w:val="zh-CN" w:eastAsia="zh-CN" w:bidi="zh-CN"/>
      </w:rPr>
    </w:lvl>
    <w:lvl w:ilvl="6">
      <w:start w:val="0"/>
      <w:numFmt w:val="bullet"/>
      <w:lvlText w:val="•"/>
      <w:lvlJc w:val="left"/>
      <w:pPr>
        <w:ind w:left="7545" w:hanging="529"/>
      </w:pPr>
      <w:rPr>
        <w:rFonts w:hint="default"/>
        <w:lang w:val="zh-CN" w:eastAsia="zh-CN" w:bidi="zh-CN"/>
      </w:rPr>
    </w:lvl>
    <w:lvl w:ilvl="7">
      <w:start w:val="0"/>
      <w:numFmt w:val="bullet"/>
      <w:lvlText w:val="•"/>
      <w:lvlJc w:val="left"/>
      <w:pPr>
        <w:ind w:left="8570" w:hanging="529"/>
      </w:pPr>
      <w:rPr>
        <w:rFonts w:hint="default"/>
        <w:lang w:val="zh-CN" w:eastAsia="zh-CN" w:bidi="zh-CN"/>
      </w:rPr>
    </w:lvl>
    <w:lvl w:ilvl="8">
      <w:start w:val="0"/>
      <w:numFmt w:val="bullet"/>
      <w:lvlText w:val="•"/>
      <w:lvlJc w:val="left"/>
      <w:pPr>
        <w:ind w:left="9596" w:hanging="529"/>
      </w:pPr>
      <w:rPr>
        <w:rFonts w:hint="default"/>
        <w:lang w:val="zh-CN" w:eastAsia="zh-CN" w:bidi="zh-CN"/>
      </w:rPr>
    </w:lvl>
  </w:abstractNum>
  <w:abstractNum w:abstractNumId="29">
    <w:multiLevelType w:val="hybridMultilevel"/>
    <w:lvl w:ilvl="0">
      <w:start w:val="1"/>
      <w:numFmt w:val="decimal"/>
      <w:lvlText w:val="%1."/>
      <w:lvlJc w:val="left"/>
      <w:pPr>
        <w:ind w:left="1962" w:hanging="425"/>
        <w:jc w:val="left"/>
      </w:pPr>
      <w:rPr>
        <w:rFonts w:hint="default" w:ascii="Times New Roman" w:hAnsi="Times New Roman" w:eastAsia="Times New Roman" w:cs="Times New Roman"/>
        <w:b/>
        <w:bCs/>
        <w:w w:val="100"/>
        <w:sz w:val="21"/>
        <w:szCs w:val="21"/>
        <w:lang w:val="zh-CN" w:eastAsia="zh-CN" w:bidi="zh-CN"/>
      </w:rPr>
    </w:lvl>
    <w:lvl w:ilvl="1">
      <w:start w:val="0"/>
      <w:numFmt w:val="bullet"/>
      <w:lvlText w:val="•"/>
      <w:lvlJc w:val="left"/>
      <w:pPr>
        <w:ind w:left="2928" w:hanging="425"/>
      </w:pPr>
      <w:rPr>
        <w:rFonts w:hint="default"/>
        <w:lang w:val="zh-CN" w:eastAsia="zh-CN" w:bidi="zh-CN"/>
      </w:rPr>
    </w:lvl>
    <w:lvl w:ilvl="2">
      <w:start w:val="0"/>
      <w:numFmt w:val="bullet"/>
      <w:lvlText w:val="•"/>
      <w:lvlJc w:val="left"/>
      <w:pPr>
        <w:ind w:left="3897" w:hanging="425"/>
      </w:pPr>
      <w:rPr>
        <w:rFonts w:hint="default"/>
        <w:lang w:val="zh-CN" w:eastAsia="zh-CN" w:bidi="zh-CN"/>
      </w:rPr>
    </w:lvl>
    <w:lvl w:ilvl="3">
      <w:start w:val="0"/>
      <w:numFmt w:val="bullet"/>
      <w:lvlText w:val="•"/>
      <w:lvlJc w:val="left"/>
      <w:pPr>
        <w:ind w:left="4865" w:hanging="425"/>
      </w:pPr>
      <w:rPr>
        <w:rFonts w:hint="default"/>
        <w:lang w:val="zh-CN" w:eastAsia="zh-CN" w:bidi="zh-CN"/>
      </w:rPr>
    </w:lvl>
    <w:lvl w:ilvl="4">
      <w:start w:val="0"/>
      <w:numFmt w:val="bullet"/>
      <w:lvlText w:val="•"/>
      <w:lvlJc w:val="left"/>
      <w:pPr>
        <w:ind w:left="5834" w:hanging="425"/>
      </w:pPr>
      <w:rPr>
        <w:rFonts w:hint="default"/>
        <w:lang w:val="zh-CN" w:eastAsia="zh-CN" w:bidi="zh-CN"/>
      </w:rPr>
    </w:lvl>
    <w:lvl w:ilvl="5">
      <w:start w:val="0"/>
      <w:numFmt w:val="bullet"/>
      <w:lvlText w:val="•"/>
      <w:lvlJc w:val="left"/>
      <w:pPr>
        <w:ind w:left="6803" w:hanging="425"/>
      </w:pPr>
      <w:rPr>
        <w:rFonts w:hint="default"/>
        <w:lang w:val="zh-CN" w:eastAsia="zh-CN" w:bidi="zh-CN"/>
      </w:rPr>
    </w:lvl>
    <w:lvl w:ilvl="6">
      <w:start w:val="0"/>
      <w:numFmt w:val="bullet"/>
      <w:lvlText w:val="•"/>
      <w:lvlJc w:val="left"/>
      <w:pPr>
        <w:ind w:left="7771" w:hanging="425"/>
      </w:pPr>
      <w:rPr>
        <w:rFonts w:hint="default"/>
        <w:lang w:val="zh-CN" w:eastAsia="zh-CN" w:bidi="zh-CN"/>
      </w:rPr>
    </w:lvl>
    <w:lvl w:ilvl="7">
      <w:start w:val="0"/>
      <w:numFmt w:val="bullet"/>
      <w:lvlText w:val="•"/>
      <w:lvlJc w:val="left"/>
      <w:pPr>
        <w:ind w:left="8740" w:hanging="425"/>
      </w:pPr>
      <w:rPr>
        <w:rFonts w:hint="default"/>
        <w:lang w:val="zh-CN" w:eastAsia="zh-CN" w:bidi="zh-CN"/>
      </w:rPr>
    </w:lvl>
    <w:lvl w:ilvl="8">
      <w:start w:val="0"/>
      <w:numFmt w:val="bullet"/>
      <w:lvlText w:val="•"/>
      <w:lvlJc w:val="left"/>
      <w:pPr>
        <w:ind w:left="9709" w:hanging="425"/>
      </w:pPr>
      <w:rPr>
        <w:rFonts w:hint="default"/>
        <w:lang w:val="zh-CN" w:eastAsia="zh-CN" w:bidi="zh-CN"/>
      </w:rPr>
    </w:lvl>
  </w:abstractNum>
  <w:abstractNum w:abstractNumId="27">
    <w:multiLevelType w:val="hybridMultilevel"/>
    <w:lvl w:ilvl="0">
      <w:start w:val="1"/>
      <w:numFmt w:val="decimal"/>
      <w:lvlText w:val="（%1）"/>
      <w:lvlJc w:val="left"/>
      <w:pPr>
        <w:ind w:left="645" w:hanging="529"/>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999" w:hanging="529"/>
      </w:pPr>
      <w:rPr>
        <w:rFonts w:hint="default"/>
        <w:lang w:val="zh-CN" w:eastAsia="zh-CN" w:bidi="zh-CN"/>
      </w:rPr>
    </w:lvl>
    <w:lvl w:ilvl="2">
      <w:start w:val="0"/>
      <w:numFmt w:val="bullet"/>
      <w:lvlText w:val="•"/>
      <w:lvlJc w:val="left"/>
      <w:pPr>
        <w:ind w:left="1358" w:hanging="529"/>
      </w:pPr>
      <w:rPr>
        <w:rFonts w:hint="default"/>
        <w:lang w:val="zh-CN" w:eastAsia="zh-CN" w:bidi="zh-CN"/>
      </w:rPr>
    </w:lvl>
    <w:lvl w:ilvl="3">
      <w:start w:val="0"/>
      <w:numFmt w:val="bullet"/>
      <w:lvlText w:val="•"/>
      <w:lvlJc w:val="left"/>
      <w:pPr>
        <w:ind w:left="1718" w:hanging="529"/>
      </w:pPr>
      <w:rPr>
        <w:rFonts w:hint="default"/>
        <w:lang w:val="zh-CN" w:eastAsia="zh-CN" w:bidi="zh-CN"/>
      </w:rPr>
    </w:lvl>
    <w:lvl w:ilvl="4">
      <w:start w:val="0"/>
      <w:numFmt w:val="bullet"/>
      <w:lvlText w:val="•"/>
      <w:lvlJc w:val="left"/>
      <w:pPr>
        <w:ind w:left="2077" w:hanging="529"/>
      </w:pPr>
      <w:rPr>
        <w:rFonts w:hint="default"/>
        <w:lang w:val="zh-CN" w:eastAsia="zh-CN" w:bidi="zh-CN"/>
      </w:rPr>
    </w:lvl>
    <w:lvl w:ilvl="5">
      <w:start w:val="0"/>
      <w:numFmt w:val="bullet"/>
      <w:lvlText w:val="•"/>
      <w:lvlJc w:val="left"/>
      <w:pPr>
        <w:ind w:left="2437" w:hanging="529"/>
      </w:pPr>
      <w:rPr>
        <w:rFonts w:hint="default"/>
        <w:lang w:val="zh-CN" w:eastAsia="zh-CN" w:bidi="zh-CN"/>
      </w:rPr>
    </w:lvl>
    <w:lvl w:ilvl="6">
      <w:start w:val="0"/>
      <w:numFmt w:val="bullet"/>
      <w:lvlText w:val="•"/>
      <w:lvlJc w:val="left"/>
      <w:pPr>
        <w:ind w:left="2796" w:hanging="529"/>
      </w:pPr>
      <w:rPr>
        <w:rFonts w:hint="default"/>
        <w:lang w:val="zh-CN" w:eastAsia="zh-CN" w:bidi="zh-CN"/>
      </w:rPr>
    </w:lvl>
    <w:lvl w:ilvl="7">
      <w:start w:val="0"/>
      <w:numFmt w:val="bullet"/>
      <w:lvlText w:val="•"/>
      <w:lvlJc w:val="left"/>
      <w:pPr>
        <w:ind w:left="3155" w:hanging="529"/>
      </w:pPr>
      <w:rPr>
        <w:rFonts w:hint="default"/>
        <w:lang w:val="zh-CN" w:eastAsia="zh-CN" w:bidi="zh-CN"/>
      </w:rPr>
    </w:lvl>
    <w:lvl w:ilvl="8">
      <w:start w:val="0"/>
      <w:numFmt w:val="bullet"/>
      <w:lvlText w:val="•"/>
      <w:lvlJc w:val="left"/>
      <w:pPr>
        <w:ind w:left="3515" w:hanging="529"/>
      </w:pPr>
      <w:rPr>
        <w:rFonts w:hint="default"/>
        <w:lang w:val="zh-CN" w:eastAsia="zh-CN" w:bidi="zh-CN"/>
      </w:rPr>
    </w:lvl>
  </w:abstractNum>
  <w:abstractNum w:abstractNumId="26">
    <w:multiLevelType w:val="hybridMultilevel"/>
    <w:lvl w:ilvl="0">
      <w:start w:val="1"/>
      <w:numFmt w:val="decimal"/>
      <w:lvlText w:val="（%1）"/>
      <w:lvlJc w:val="left"/>
      <w:pPr>
        <w:ind w:left="116" w:hanging="529"/>
        <w:jc w:val="left"/>
      </w:pPr>
      <w:rPr>
        <w:rFonts w:hint="default" w:ascii="宋体" w:hAnsi="宋体" w:eastAsia="宋体" w:cs="宋体"/>
        <w:spacing w:val="-32"/>
        <w:w w:val="100"/>
        <w:sz w:val="19"/>
        <w:szCs w:val="19"/>
        <w:lang w:val="zh-CN" w:eastAsia="zh-CN" w:bidi="zh-CN"/>
      </w:rPr>
    </w:lvl>
    <w:lvl w:ilvl="1">
      <w:start w:val="0"/>
      <w:numFmt w:val="bullet"/>
      <w:lvlText w:val="•"/>
      <w:lvlJc w:val="left"/>
      <w:pPr>
        <w:ind w:left="531" w:hanging="529"/>
      </w:pPr>
      <w:rPr>
        <w:rFonts w:hint="default"/>
        <w:lang w:val="zh-CN" w:eastAsia="zh-CN" w:bidi="zh-CN"/>
      </w:rPr>
    </w:lvl>
    <w:lvl w:ilvl="2">
      <w:start w:val="0"/>
      <w:numFmt w:val="bullet"/>
      <w:lvlText w:val="•"/>
      <w:lvlJc w:val="left"/>
      <w:pPr>
        <w:ind w:left="942" w:hanging="529"/>
      </w:pPr>
      <w:rPr>
        <w:rFonts w:hint="default"/>
        <w:lang w:val="zh-CN" w:eastAsia="zh-CN" w:bidi="zh-CN"/>
      </w:rPr>
    </w:lvl>
    <w:lvl w:ilvl="3">
      <w:start w:val="0"/>
      <w:numFmt w:val="bullet"/>
      <w:lvlText w:val="•"/>
      <w:lvlJc w:val="left"/>
      <w:pPr>
        <w:ind w:left="1354" w:hanging="529"/>
      </w:pPr>
      <w:rPr>
        <w:rFonts w:hint="default"/>
        <w:lang w:val="zh-CN" w:eastAsia="zh-CN" w:bidi="zh-CN"/>
      </w:rPr>
    </w:lvl>
    <w:lvl w:ilvl="4">
      <w:start w:val="0"/>
      <w:numFmt w:val="bullet"/>
      <w:lvlText w:val="•"/>
      <w:lvlJc w:val="left"/>
      <w:pPr>
        <w:ind w:left="1765" w:hanging="529"/>
      </w:pPr>
      <w:rPr>
        <w:rFonts w:hint="default"/>
        <w:lang w:val="zh-CN" w:eastAsia="zh-CN" w:bidi="zh-CN"/>
      </w:rPr>
    </w:lvl>
    <w:lvl w:ilvl="5">
      <w:start w:val="0"/>
      <w:numFmt w:val="bullet"/>
      <w:lvlText w:val="•"/>
      <w:lvlJc w:val="left"/>
      <w:pPr>
        <w:ind w:left="2177" w:hanging="529"/>
      </w:pPr>
      <w:rPr>
        <w:rFonts w:hint="default"/>
        <w:lang w:val="zh-CN" w:eastAsia="zh-CN" w:bidi="zh-CN"/>
      </w:rPr>
    </w:lvl>
    <w:lvl w:ilvl="6">
      <w:start w:val="0"/>
      <w:numFmt w:val="bullet"/>
      <w:lvlText w:val="•"/>
      <w:lvlJc w:val="left"/>
      <w:pPr>
        <w:ind w:left="2588" w:hanging="529"/>
      </w:pPr>
      <w:rPr>
        <w:rFonts w:hint="default"/>
        <w:lang w:val="zh-CN" w:eastAsia="zh-CN" w:bidi="zh-CN"/>
      </w:rPr>
    </w:lvl>
    <w:lvl w:ilvl="7">
      <w:start w:val="0"/>
      <w:numFmt w:val="bullet"/>
      <w:lvlText w:val="•"/>
      <w:lvlJc w:val="left"/>
      <w:pPr>
        <w:ind w:left="2999" w:hanging="529"/>
      </w:pPr>
      <w:rPr>
        <w:rFonts w:hint="default"/>
        <w:lang w:val="zh-CN" w:eastAsia="zh-CN" w:bidi="zh-CN"/>
      </w:rPr>
    </w:lvl>
    <w:lvl w:ilvl="8">
      <w:start w:val="0"/>
      <w:numFmt w:val="bullet"/>
      <w:lvlText w:val="•"/>
      <w:lvlJc w:val="left"/>
      <w:pPr>
        <w:ind w:left="3411" w:hanging="529"/>
      </w:pPr>
      <w:rPr>
        <w:rFonts w:hint="default"/>
        <w:lang w:val="zh-CN" w:eastAsia="zh-CN" w:bidi="zh-CN"/>
      </w:rPr>
    </w:lvl>
  </w:abstractNum>
  <w:abstractNum w:abstractNumId="25">
    <w:multiLevelType w:val="hybridMultilevel"/>
    <w:lvl w:ilvl="0">
      <w:start w:val="1"/>
      <w:numFmt w:val="decimal"/>
      <w:lvlText w:val="（%1）"/>
      <w:lvlJc w:val="left"/>
      <w:pPr>
        <w:ind w:left="116" w:hanging="529"/>
        <w:jc w:val="left"/>
      </w:pPr>
      <w:rPr>
        <w:rFonts w:hint="default" w:ascii="宋体" w:hAnsi="宋体" w:eastAsia="宋体" w:cs="宋体"/>
        <w:spacing w:val="-60"/>
        <w:w w:val="100"/>
        <w:sz w:val="19"/>
        <w:szCs w:val="19"/>
        <w:lang w:val="zh-CN" w:eastAsia="zh-CN" w:bidi="zh-CN"/>
      </w:rPr>
    </w:lvl>
    <w:lvl w:ilvl="1">
      <w:start w:val="0"/>
      <w:numFmt w:val="bullet"/>
      <w:lvlText w:val="•"/>
      <w:lvlJc w:val="left"/>
      <w:pPr>
        <w:ind w:left="531" w:hanging="529"/>
      </w:pPr>
      <w:rPr>
        <w:rFonts w:hint="default"/>
        <w:lang w:val="zh-CN" w:eastAsia="zh-CN" w:bidi="zh-CN"/>
      </w:rPr>
    </w:lvl>
    <w:lvl w:ilvl="2">
      <w:start w:val="0"/>
      <w:numFmt w:val="bullet"/>
      <w:lvlText w:val="•"/>
      <w:lvlJc w:val="left"/>
      <w:pPr>
        <w:ind w:left="942" w:hanging="529"/>
      </w:pPr>
      <w:rPr>
        <w:rFonts w:hint="default"/>
        <w:lang w:val="zh-CN" w:eastAsia="zh-CN" w:bidi="zh-CN"/>
      </w:rPr>
    </w:lvl>
    <w:lvl w:ilvl="3">
      <w:start w:val="0"/>
      <w:numFmt w:val="bullet"/>
      <w:lvlText w:val="•"/>
      <w:lvlJc w:val="left"/>
      <w:pPr>
        <w:ind w:left="1354" w:hanging="529"/>
      </w:pPr>
      <w:rPr>
        <w:rFonts w:hint="default"/>
        <w:lang w:val="zh-CN" w:eastAsia="zh-CN" w:bidi="zh-CN"/>
      </w:rPr>
    </w:lvl>
    <w:lvl w:ilvl="4">
      <w:start w:val="0"/>
      <w:numFmt w:val="bullet"/>
      <w:lvlText w:val="•"/>
      <w:lvlJc w:val="left"/>
      <w:pPr>
        <w:ind w:left="1765" w:hanging="529"/>
      </w:pPr>
      <w:rPr>
        <w:rFonts w:hint="default"/>
        <w:lang w:val="zh-CN" w:eastAsia="zh-CN" w:bidi="zh-CN"/>
      </w:rPr>
    </w:lvl>
    <w:lvl w:ilvl="5">
      <w:start w:val="0"/>
      <w:numFmt w:val="bullet"/>
      <w:lvlText w:val="•"/>
      <w:lvlJc w:val="left"/>
      <w:pPr>
        <w:ind w:left="2177" w:hanging="529"/>
      </w:pPr>
      <w:rPr>
        <w:rFonts w:hint="default"/>
        <w:lang w:val="zh-CN" w:eastAsia="zh-CN" w:bidi="zh-CN"/>
      </w:rPr>
    </w:lvl>
    <w:lvl w:ilvl="6">
      <w:start w:val="0"/>
      <w:numFmt w:val="bullet"/>
      <w:lvlText w:val="•"/>
      <w:lvlJc w:val="left"/>
      <w:pPr>
        <w:ind w:left="2588" w:hanging="529"/>
      </w:pPr>
      <w:rPr>
        <w:rFonts w:hint="default"/>
        <w:lang w:val="zh-CN" w:eastAsia="zh-CN" w:bidi="zh-CN"/>
      </w:rPr>
    </w:lvl>
    <w:lvl w:ilvl="7">
      <w:start w:val="0"/>
      <w:numFmt w:val="bullet"/>
      <w:lvlText w:val="•"/>
      <w:lvlJc w:val="left"/>
      <w:pPr>
        <w:ind w:left="2999" w:hanging="529"/>
      </w:pPr>
      <w:rPr>
        <w:rFonts w:hint="default"/>
        <w:lang w:val="zh-CN" w:eastAsia="zh-CN" w:bidi="zh-CN"/>
      </w:rPr>
    </w:lvl>
    <w:lvl w:ilvl="8">
      <w:start w:val="0"/>
      <w:numFmt w:val="bullet"/>
      <w:lvlText w:val="•"/>
      <w:lvlJc w:val="left"/>
      <w:pPr>
        <w:ind w:left="3411" w:hanging="529"/>
      </w:pPr>
      <w:rPr>
        <w:rFonts w:hint="default"/>
        <w:lang w:val="zh-CN" w:eastAsia="zh-CN" w:bidi="zh-CN"/>
      </w:rPr>
    </w:lvl>
  </w:abstractNum>
  <w:abstractNum w:abstractNumId="24">
    <w:multiLevelType w:val="hybridMultilevel"/>
    <w:lvl w:ilvl="0">
      <w:start w:val="1"/>
      <w:numFmt w:val="decimal"/>
      <w:lvlText w:val="（%1）"/>
      <w:lvlJc w:val="left"/>
      <w:pPr>
        <w:ind w:left="238" w:hanging="529"/>
        <w:jc w:val="left"/>
      </w:pPr>
      <w:rPr>
        <w:rFonts w:hint="default" w:ascii="宋体" w:hAnsi="宋体" w:eastAsia="宋体" w:cs="宋体"/>
        <w:spacing w:val="-3"/>
        <w:w w:val="100"/>
        <w:sz w:val="19"/>
        <w:szCs w:val="19"/>
        <w:lang w:val="zh-CN" w:eastAsia="zh-CN" w:bidi="zh-CN"/>
      </w:rPr>
    </w:lvl>
    <w:lvl w:ilvl="1">
      <w:start w:val="0"/>
      <w:numFmt w:val="bullet"/>
      <w:lvlText w:val="•"/>
      <w:lvlJc w:val="left"/>
      <w:pPr>
        <w:ind w:left="1154" w:hanging="529"/>
      </w:pPr>
      <w:rPr>
        <w:rFonts w:hint="default"/>
        <w:lang w:val="zh-CN" w:eastAsia="zh-CN" w:bidi="zh-CN"/>
      </w:rPr>
    </w:lvl>
    <w:lvl w:ilvl="2">
      <w:start w:val="0"/>
      <w:numFmt w:val="bullet"/>
      <w:lvlText w:val="•"/>
      <w:lvlJc w:val="left"/>
      <w:pPr>
        <w:ind w:left="2069" w:hanging="529"/>
      </w:pPr>
      <w:rPr>
        <w:rFonts w:hint="default"/>
        <w:lang w:val="zh-CN" w:eastAsia="zh-CN" w:bidi="zh-CN"/>
      </w:rPr>
    </w:lvl>
    <w:lvl w:ilvl="3">
      <w:start w:val="0"/>
      <w:numFmt w:val="bullet"/>
      <w:lvlText w:val="•"/>
      <w:lvlJc w:val="left"/>
      <w:pPr>
        <w:ind w:left="2983" w:hanging="529"/>
      </w:pPr>
      <w:rPr>
        <w:rFonts w:hint="default"/>
        <w:lang w:val="zh-CN" w:eastAsia="zh-CN" w:bidi="zh-CN"/>
      </w:rPr>
    </w:lvl>
    <w:lvl w:ilvl="4">
      <w:start w:val="0"/>
      <w:numFmt w:val="bullet"/>
      <w:lvlText w:val="•"/>
      <w:lvlJc w:val="left"/>
      <w:pPr>
        <w:ind w:left="3898" w:hanging="529"/>
      </w:pPr>
      <w:rPr>
        <w:rFonts w:hint="default"/>
        <w:lang w:val="zh-CN" w:eastAsia="zh-CN" w:bidi="zh-CN"/>
      </w:rPr>
    </w:lvl>
    <w:lvl w:ilvl="5">
      <w:start w:val="0"/>
      <w:numFmt w:val="bullet"/>
      <w:lvlText w:val="•"/>
      <w:lvlJc w:val="left"/>
      <w:pPr>
        <w:ind w:left="4813" w:hanging="529"/>
      </w:pPr>
      <w:rPr>
        <w:rFonts w:hint="default"/>
        <w:lang w:val="zh-CN" w:eastAsia="zh-CN" w:bidi="zh-CN"/>
      </w:rPr>
    </w:lvl>
    <w:lvl w:ilvl="6">
      <w:start w:val="0"/>
      <w:numFmt w:val="bullet"/>
      <w:lvlText w:val="•"/>
      <w:lvlJc w:val="left"/>
      <w:pPr>
        <w:ind w:left="5727" w:hanging="529"/>
      </w:pPr>
      <w:rPr>
        <w:rFonts w:hint="default"/>
        <w:lang w:val="zh-CN" w:eastAsia="zh-CN" w:bidi="zh-CN"/>
      </w:rPr>
    </w:lvl>
    <w:lvl w:ilvl="7">
      <w:start w:val="0"/>
      <w:numFmt w:val="bullet"/>
      <w:lvlText w:val="•"/>
      <w:lvlJc w:val="left"/>
      <w:pPr>
        <w:ind w:left="6642" w:hanging="529"/>
      </w:pPr>
      <w:rPr>
        <w:rFonts w:hint="default"/>
        <w:lang w:val="zh-CN" w:eastAsia="zh-CN" w:bidi="zh-CN"/>
      </w:rPr>
    </w:lvl>
    <w:lvl w:ilvl="8">
      <w:start w:val="0"/>
      <w:numFmt w:val="bullet"/>
      <w:lvlText w:val="•"/>
      <w:lvlJc w:val="left"/>
      <w:pPr>
        <w:ind w:left="7557" w:hanging="529"/>
      </w:pPr>
      <w:rPr>
        <w:rFonts w:hint="default"/>
        <w:lang w:val="zh-CN" w:eastAsia="zh-CN" w:bidi="zh-CN"/>
      </w:rPr>
    </w:lvl>
  </w:abstractNum>
  <w:abstractNum w:abstractNumId="23">
    <w:multiLevelType w:val="hybridMultilevel"/>
    <w:lvl w:ilvl="0">
      <w:start w:val="1"/>
      <w:numFmt w:val="decimal"/>
      <w:lvlText w:val="（%1）"/>
      <w:lvlJc w:val="left"/>
      <w:pPr>
        <w:ind w:left="1191" w:hanging="529"/>
        <w:jc w:val="left"/>
      </w:pPr>
      <w:rPr>
        <w:rFonts w:hint="default"/>
        <w:spacing w:val="-3"/>
        <w:w w:val="100"/>
        <w:lang w:val="zh-CN" w:eastAsia="zh-CN" w:bidi="zh-CN"/>
      </w:rPr>
    </w:lvl>
    <w:lvl w:ilvl="1">
      <w:start w:val="0"/>
      <w:numFmt w:val="bullet"/>
      <w:lvlText w:val="•"/>
      <w:lvlJc w:val="left"/>
      <w:pPr>
        <w:ind w:left="2018" w:hanging="529"/>
      </w:pPr>
      <w:rPr>
        <w:rFonts w:hint="default"/>
        <w:lang w:val="zh-CN" w:eastAsia="zh-CN" w:bidi="zh-CN"/>
      </w:rPr>
    </w:lvl>
    <w:lvl w:ilvl="2">
      <w:start w:val="0"/>
      <w:numFmt w:val="bullet"/>
      <w:lvlText w:val="•"/>
      <w:lvlJc w:val="left"/>
      <w:pPr>
        <w:ind w:left="2837" w:hanging="529"/>
      </w:pPr>
      <w:rPr>
        <w:rFonts w:hint="default"/>
        <w:lang w:val="zh-CN" w:eastAsia="zh-CN" w:bidi="zh-CN"/>
      </w:rPr>
    </w:lvl>
    <w:lvl w:ilvl="3">
      <w:start w:val="0"/>
      <w:numFmt w:val="bullet"/>
      <w:lvlText w:val="•"/>
      <w:lvlJc w:val="left"/>
      <w:pPr>
        <w:ind w:left="3655" w:hanging="529"/>
      </w:pPr>
      <w:rPr>
        <w:rFonts w:hint="default"/>
        <w:lang w:val="zh-CN" w:eastAsia="zh-CN" w:bidi="zh-CN"/>
      </w:rPr>
    </w:lvl>
    <w:lvl w:ilvl="4">
      <w:start w:val="0"/>
      <w:numFmt w:val="bullet"/>
      <w:lvlText w:val="•"/>
      <w:lvlJc w:val="left"/>
      <w:pPr>
        <w:ind w:left="4474" w:hanging="529"/>
      </w:pPr>
      <w:rPr>
        <w:rFonts w:hint="default"/>
        <w:lang w:val="zh-CN" w:eastAsia="zh-CN" w:bidi="zh-CN"/>
      </w:rPr>
    </w:lvl>
    <w:lvl w:ilvl="5">
      <w:start w:val="0"/>
      <w:numFmt w:val="bullet"/>
      <w:lvlText w:val="•"/>
      <w:lvlJc w:val="left"/>
      <w:pPr>
        <w:ind w:left="5293" w:hanging="529"/>
      </w:pPr>
      <w:rPr>
        <w:rFonts w:hint="default"/>
        <w:lang w:val="zh-CN" w:eastAsia="zh-CN" w:bidi="zh-CN"/>
      </w:rPr>
    </w:lvl>
    <w:lvl w:ilvl="6">
      <w:start w:val="0"/>
      <w:numFmt w:val="bullet"/>
      <w:lvlText w:val="•"/>
      <w:lvlJc w:val="left"/>
      <w:pPr>
        <w:ind w:left="6111" w:hanging="529"/>
      </w:pPr>
      <w:rPr>
        <w:rFonts w:hint="default"/>
        <w:lang w:val="zh-CN" w:eastAsia="zh-CN" w:bidi="zh-CN"/>
      </w:rPr>
    </w:lvl>
    <w:lvl w:ilvl="7">
      <w:start w:val="0"/>
      <w:numFmt w:val="bullet"/>
      <w:lvlText w:val="•"/>
      <w:lvlJc w:val="left"/>
      <w:pPr>
        <w:ind w:left="6930" w:hanging="529"/>
      </w:pPr>
      <w:rPr>
        <w:rFonts w:hint="default"/>
        <w:lang w:val="zh-CN" w:eastAsia="zh-CN" w:bidi="zh-CN"/>
      </w:rPr>
    </w:lvl>
    <w:lvl w:ilvl="8">
      <w:start w:val="0"/>
      <w:numFmt w:val="bullet"/>
      <w:lvlText w:val="•"/>
      <w:lvlJc w:val="left"/>
      <w:pPr>
        <w:ind w:left="7749" w:hanging="529"/>
      </w:pPr>
      <w:rPr>
        <w:rFonts w:hint="default"/>
        <w:lang w:val="zh-CN" w:eastAsia="zh-CN" w:bidi="zh-CN"/>
      </w:rPr>
    </w:lvl>
  </w:abstractNum>
  <w:abstractNum w:abstractNumId="22">
    <w:multiLevelType w:val="hybridMultilevel"/>
    <w:lvl w:ilvl="0">
      <w:start w:val="1"/>
      <w:numFmt w:val="decimal"/>
      <w:lvlText w:val="%1"/>
      <w:lvlJc w:val="left"/>
      <w:pPr>
        <w:ind w:left="662" w:hanging="425"/>
        <w:jc w:val="left"/>
      </w:pPr>
      <w:rPr>
        <w:rFonts w:hint="default" w:ascii="Times New Roman" w:hAnsi="Times New Roman" w:eastAsia="Times New Roman" w:cs="Times New Roman"/>
        <w:b/>
        <w:bCs/>
        <w:w w:val="100"/>
        <w:sz w:val="21"/>
        <w:szCs w:val="21"/>
        <w:lang w:val="zh-CN" w:eastAsia="zh-CN" w:bidi="zh-CN"/>
      </w:rPr>
    </w:lvl>
    <w:lvl w:ilvl="1">
      <w:start w:val="1"/>
      <w:numFmt w:val="decimal"/>
      <w:lvlText w:val="（%2）"/>
      <w:lvlJc w:val="left"/>
      <w:pPr>
        <w:ind w:left="1191" w:hanging="529"/>
        <w:jc w:val="right"/>
      </w:pPr>
      <w:rPr>
        <w:rFonts w:hint="default" w:ascii="宋体" w:hAnsi="宋体" w:eastAsia="宋体" w:cs="宋体"/>
        <w:spacing w:val="-3"/>
        <w:w w:val="100"/>
        <w:sz w:val="19"/>
        <w:szCs w:val="19"/>
        <w:lang w:val="zh-CN" w:eastAsia="zh-CN" w:bidi="zh-CN"/>
      </w:rPr>
    </w:lvl>
    <w:lvl w:ilvl="2">
      <w:start w:val="0"/>
      <w:numFmt w:val="bullet"/>
      <w:lvlText w:val="•"/>
      <w:lvlJc w:val="left"/>
      <w:pPr>
        <w:ind w:left="2109" w:hanging="529"/>
      </w:pPr>
      <w:rPr>
        <w:rFonts w:hint="default"/>
        <w:lang w:val="zh-CN" w:eastAsia="zh-CN" w:bidi="zh-CN"/>
      </w:rPr>
    </w:lvl>
    <w:lvl w:ilvl="3">
      <w:start w:val="0"/>
      <w:numFmt w:val="bullet"/>
      <w:lvlText w:val="•"/>
      <w:lvlJc w:val="left"/>
      <w:pPr>
        <w:ind w:left="3019" w:hanging="529"/>
      </w:pPr>
      <w:rPr>
        <w:rFonts w:hint="default"/>
        <w:lang w:val="zh-CN" w:eastAsia="zh-CN" w:bidi="zh-CN"/>
      </w:rPr>
    </w:lvl>
    <w:lvl w:ilvl="4">
      <w:start w:val="0"/>
      <w:numFmt w:val="bullet"/>
      <w:lvlText w:val="•"/>
      <w:lvlJc w:val="left"/>
      <w:pPr>
        <w:ind w:left="3928" w:hanging="529"/>
      </w:pPr>
      <w:rPr>
        <w:rFonts w:hint="default"/>
        <w:lang w:val="zh-CN" w:eastAsia="zh-CN" w:bidi="zh-CN"/>
      </w:rPr>
    </w:lvl>
    <w:lvl w:ilvl="5">
      <w:start w:val="0"/>
      <w:numFmt w:val="bullet"/>
      <w:lvlText w:val="•"/>
      <w:lvlJc w:val="left"/>
      <w:pPr>
        <w:ind w:left="4838" w:hanging="529"/>
      </w:pPr>
      <w:rPr>
        <w:rFonts w:hint="default"/>
        <w:lang w:val="zh-CN" w:eastAsia="zh-CN" w:bidi="zh-CN"/>
      </w:rPr>
    </w:lvl>
    <w:lvl w:ilvl="6">
      <w:start w:val="0"/>
      <w:numFmt w:val="bullet"/>
      <w:lvlText w:val="•"/>
      <w:lvlJc w:val="left"/>
      <w:pPr>
        <w:ind w:left="5748" w:hanging="529"/>
      </w:pPr>
      <w:rPr>
        <w:rFonts w:hint="default"/>
        <w:lang w:val="zh-CN" w:eastAsia="zh-CN" w:bidi="zh-CN"/>
      </w:rPr>
    </w:lvl>
    <w:lvl w:ilvl="7">
      <w:start w:val="0"/>
      <w:numFmt w:val="bullet"/>
      <w:lvlText w:val="•"/>
      <w:lvlJc w:val="left"/>
      <w:pPr>
        <w:ind w:left="6657" w:hanging="529"/>
      </w:pPr>
      <w:rPr>
        <w:rFonts w:hint="default"/>
        <w:lang w:val="zh-CN" w:eastAsia="zh-CN" w:bidi="zh-CN"/>
      </w:rPr>
    </w:lvl>
    <w:lvl w:ilvl="8">
      <w:start w:val="0"/>
      <w:numFmt w:val="bullet"/>
      <w:lvlText w:val="•"/>
      <w:lvlJc w:val="left"/>
      <w:pPr>
        <w:ind w:left="7567" w:hanging="529"/>
      </w:pPr>
      <w:rPr>
        <w:rFonts w:hint="default"/>
        <w:lang w:val="zh-CN" w:eastAsia="zh-CN" w:bidi="zh-CN"/>
      </w:rPr>
    </w:lvl>
  </w:abstractNum>
  <w:abstractNum w:abstractNumId="21">
    <w:multiLevelType w:val="hybridMultilevel"/>
    <w:lvl w:ilvl="0">
      <w:start w:val="1"/>
      <w:numFmt w:val="decimal"/>
      <w:lvlText w:val="%1"/>
      <w:lvlJc w:val="left"/>
      <w:pPr>
        <w:ind w:left="658" w:hanging="420"/>
        <w:jc w:val="left"/>
      </w:pPr>
      <w:rPr>
        <w:rFonts w:hint="default" w:ascii="Times New Roman" w:hAnsi="Times New Roman" w:eastAsia="Times New Roman" w:cs="Times New Roman"/>
        <w:b/>
        <w:bCs/>
        <w:w w:val="100"/>
        <w:sz w:val="21"/>
        <w:szCs w:val="21"/>
        <w:lang w:val="zh-CN" w:eastAsia="zh-CN" w:bidi="zh-CN"/>
      </w:rPr>
    </w:lvl>
    <w:lvl w:ilvl="1">
      <w:start w:val="0"/>
      <w:numFmt w:val="bullet"/>
      <w:lvlText w:val="•"/>
      <w:lvlJc w:val="left"/>
      <w:pPr>
        <w:ind w:left="1582" w:hanging="420"/>
      </w:pPr>
      <w:rPr>
        <w:rFonts w:hint="default"/>
        <w:lang w:val="zh-CN" w:eastAsia="zh-CN" w:bidi="zh-CN"/>
      </w:rPr>
    </w:lvl>
    <w:lvl w:ilvl="2">
      <w:start w:val="0"/>
      <w:numFmt w:val="bullet"/>
      <w:lvlText w:val="•"/>
      <w:lvlJc w:val="left"/>
      <w:pPr>
        <w:ind w:left="2505" w:hanging="420"/>
      </w:pPr>
      <w:rPr>
        <w:rFonts w:hint="default"/>
        <w:lang w:val="zh-CN" w:eastAsia="zh-CN" w:bidi="zh-CN"/>
      </w:rPr>
    </w:lvl>
    <w:lvl w:ilvl="3">
      <w:start w:val="0"/>
      <w:numFmt w:val="bullet"/>
      <w:lvlText w:val="•"/>
      <w:lvlJc w:val="left"/>
      <w:pPr>
        <w:ind w:left="3427" w:hanging="420"/>
      </w:pPr>
      <w:rPr>
        <w:rFonts w:hint="default"/>
        <w:lang w:val="zh-CN" w:eastAsia="zh-CN" w:bidi="zh-CN"/>
      </w:rPr>
    </w:lvl>
    <w:lvl w:ilvl="4">
      <w:start w:val="0"/>
      <w:numFmt w:val="bullet"/>
      <w:lvlText w:val="•"/>
      <w:lvlJc w:val="left"/>
      <w:pPr>
        <w:ind w:left="4350" w:hanging="420"/>
      </w:pPr>
      <w:rPr>
        <w:rFonts w:hint="default"/>
        <w:lang w:val="zh-CN" w:eastAsia="zh-CN" w:bidi="zh-CN"/>
      </w:rPr>
    </w:lvl>
    <w:lvl w:ilvl="5">
      <w:start w:val="0"/>
      <w:numFmt w:val="bullet"/>
      <w:lvlText w:val="•"/>
      <w:lvlJc w:val="left"/>
      <w:pPr>
        <w:ind w:left="5273" w:hanging="420"/>
      </w:pPr>
      <w:rPr>
        <w:rFonts w:hint="default"/>
        <w:lang w:val="zh-CN" w:eastAsia="zh-CN" w:bidi="zh-CN"/>
      </w:rPr>
    </w:lvl>
    <w:lvl w:ilvl="6">
      <w:start w:val="0"/>
      <w:numFmt w:val="bullet"/>
      <w:lvlText w:val="•"/>
      <w:lvlJc w:val="left"/>
      <w:pPr>
        <w:ind w:left="6195" w:hanging="420"/>
      </w:pPr>
      <w:rPr>
        <w:rFonts w:hint="default"/>
        <w:lang w:val="zh-CN" w:eastAsia="zh-CN" w:bidi="zh-CN"/>
      </w:rPr>
    </w:lvl>
    <w:lvl w:ilvl="7">
      <w:start w:val="0"/>
      <w:numFmt w:val="bullet"/>
      <w:lvlText w:val="•"/>
      <w:lvlJc w:val="left"/>
      <w:pPr>
        <w:ind w:left="7118" w:hanging="420"/>
      </w:pPr>
      <w:rPr>
        <w:rFonts w:hint="default"/>
        <w:lang w:val="zh-CN" w:eastAsia="zh-CN" w:bidi="zh-CN"/>
      </w:rPr>
    </w:lvl>
    <w:lvl w:ilvl="8">
      <w:start w:val="0"/>
      <w:numFmt w:val="bullet"/>
      <w:lvlText w:val="•"/>
      <w:lvlJc w:val="left"/>
      <w:pPr>
        <w:ind w:left="8041" w:hanging="420"/>
      </w:pPr>
      <w:rPr>
        <w:rFonts w:hint="default"/>
        <w:lang w:val="zh-CN" w:eastAsia="zh-CN" w:bidi="zh-CN"/>
      </w:rPr>
    </w:lvl>
  </w:abstractNum>
  <w:abstractNum w:abstractNumId="20">
    <w:multiLevelType w:val="hybridMultilevel"/>
    <w:lvl w:ilvl="0">
      <w:start w:val="1"/>
      <w:numFmt w:val="decimal"/>
      <w:lvlText w:val="（%1）"/>
      <w:lvlJc w:val="left"/>
      <w:pPr>
        <w:ind w:left="116" w:hanging="530"/>
        <w:jc w:val="left"/>
      </w:pPr>
      <w:rPr>
        <w:rFonts w:hint="default" w:ascii="宋体" w:hAnsi="宋体" w:eastAsia="宋体" w:cs="宋体"/>
        <w:spacing w:val="-36"/>
        <w:w w:val="100"/>
        <w:sz w:val="19"/>
        <w:szCs w:val="19"/>
        <w:lang w:val="zh-CN" w:eastAsia="zh-CN" w:bidi="zh-CN"/>
      </w:rPr>
    </w:lvl>
    <w:lvl w:ilvl="1">
      <w:start w:val="0"/>
      <w:numFmt w:val="bullet"/>
      <w:lvlText w:val="•"/>
      <w:lvlJc w:val="left"/>
      <w:pPr>
        <w:ind w:left="644" w:hanging="530"/>
      </w:pPr>
      <w:rPr>
        <w:rFonts w:hint="default"/>
        <w:lang w:val="zh-CN" w:eastAsia="zh-CN" w:bidi="zh-CN"/>
      </w:rPr>
    </w:lvl>
    <w:lvl w:ilvl="2">
      <w:start w:val="0"/>
      <w:numFmt w:val="bullet"/>
      <w:lvlText w:val="•"/>
      <w:lvlJc w:val="left"/>
      <w:pPr>
        <w:ind w:left="1169" w:hanging="530"/>
      </w:pPr>
      <w:rPr>
        <w:rFonts w:hint="default"/>
        <w:lang w:val="zh-CN" w:eastAsia="zh-CN" w:bidi="zh-CN"/>
      </w:rPr>
    </w:lvl>
    <w:lvl w:ilvl="3">
      <w:start w:val="0"/>
      <w:numFmt w:val="bullet"/>
      <w:lvlText w:val="•"/>
      <w:lvlJc w:val="left"/>
      <w:pPr>
        <w:ind w:left="1693" w:hanging="530"/>
      </w:pPr>
      <w:rPr>
        <w:rFonts w:hint="default"/>
        <w:lang w:val="zh-CN" w:eastAsia="zh-CN" w:bidi="zh-CN"/>
      </w:rPr>
    </w:lvl>
    <w:lvl w:ilvl="4">
      <w:start w:val="0"/>
      <w:numFmt w:val="bullet"/>
      <w:lvlText w:val="•"/>
      <w:lvlJc w:val="left"/>
      <w:pPr>
        <w:ind w:left="2218" w:hanging="530"/>
      </w:pPr>
      <w:rPr>
        <w:rFonts w:hint="default"/>
        <w:lang w:val="zh-CN" w:eastAsia="zh-CN" w:bidi="zh-CN"/>
      </w:rPr>
    </w:lvl>
    <w:lvl w:ilvl="5">
      <w:start w:val="0"/>
      <w:numFmt w:val="bullet"/>
      <w:lvlText w:val="•"/>
      <w:lvlJc w:val="left"/>
      <w:pPr>
        <w:ind w:left="2742" w:hanging="530"/>
      </w:pPr>
      <w:rPr>
        <w:rFonts w:hint="default"/>
        <w:lang w:val="zh-CN" w:eastAsia="zh-CN" w:bidi="zh-CN"/>
      </w:rPr>
    </w:lvl>
    <w:lvl w:ilvl="6">
      <w:start w:val="0"/>
      <w:numFmt w:val="bullet"/>
      <w:lvlText w:val="•"/>
      <w:lvlJc w:val="left"/>
      <w:pPr>
        <w:ind w:left="3267" w:hanging="530"/>
      </w:pPr>
      <w:rPr>
        <w:rFonts w:hint="default"/>
        <w:lang w:val="zh-CN" w:eastAsia="zh-CN" w:bidi="zh-CN"/>
      </w:rPr>
    </w:lvl>
    <w:lvl w:ilvl="7">
      <w:start w:val="0"/>
      <w:numFmt w:val="bullet"/>
      <w:lvlText w:val="•"/>
      <w:lvlJc w:val="left"/>
      <w:pPr>
        <w:ind w:left="3791" w:hanging="530"/>
      </w:pPr>
      <w:rPr>
        <w:rFonts w:hint="default"/>
        <w:lang w:val="zh-CN" w:eastAsia="zh-CN" w:bidi="zh-CN"/>
      </w:rPr>
    </w:lvl>
    <w:lvl w:ilvl="8">
      <w:start w:val="0"/>
      <w:numFmt w:val="bullet"/>
      <w:lvlText w:val="•"/>
      <w:lvlJc w:val="left"/>
      <w:pPr>
        <w:ind w:left="4316" w:hanging="530"/>
      </w:pPr>
      <w:rPr>
        <w:rFonts w:hint="default"/>
        <w:lang w:val="zh-CN" w:eastAsia="zh-CN" w:bidi="zh-CN"/>
      </w:rPr>
    </w:lvl>
  </w:abstractNum>
  <w:abstractNum w:abstractNumId="19">
    <w:multiLevelType w:val="hybridMultilevel"/>
    <w:lvl w:ilvl="0">
      <w:start w:val="1"/>
      <w:numFmt w:val="decimal"/>
      <w:lvlText w:val="(%1)"/>
      <w:lvlJc w:val="left"/>
      <w:pPr>
        <w:ind w:left="1318" w:hanging="360"/>
        <w:jc w:val="left"/>
      </w:pPr>
      <w:rPr>
        <w:rFonts w:hint="default" w:ascii="Times New Roman" w:hAnsi="Times New Roman" w:eastAsia="Times New Roman" w:cs="Times New Roman"/>
        <w:b/>
        <w:bCs/>
        <w:spacing w:val="-1"/>
        <w:w w:val="100"/>
        <w:sz w:val="21"/>
        <w:szCs w:val="21"/>
        <w:lang w:val="zh-CN" w:eastAsia="zh-CN" w:bidi="zh-CN"/>
      </w:rPr>
    </w:lvl>
    <w:lvl w:ilvl="1">
      <w:start w:val="1"/>
      <w:numFmt w:val="decimal"/>
      <w:lvlText w:val="（%2）"/>
      <w:lvlJc w:val="left"/>
      <w:pPr>
        <w:ind w:left="1914" w:hanging="529"/>
        <w:jc w:val="left"/>
      </w:pPr>
      <w:rPr>
        <w:rFonts w:hint="default" w:ascii="Microsoft JhengHei" w:hAnsi="Microsoft JhengHei" w:eastAsia="Microsoft JhengHei" w:cs="Microsoft JhengHei"/>
        <w:b/>
        <w:bCs/>
        <w:spacing w:val="-3"/>
        <w:w w:val="100"/>
        <w:sz w:val="19"/>
        <w:szCs w:val="19"/>
        <w:lang w:val="zh-CN" w:eastAsia="zh-CN" w:bidi="zh-CN"/>
      </w:rPr>
    </w:lvl>
    <w:lvl w:ilvl="2">
      <w:start w:val="0"/>
      <w:numFmt w:val="bullet"/>
      <w:lvlText w:val="•"/>
      <w:lvlJc w:val="left"/>
      <w:pPr>
        <w:ind w:left="2902" w:hanging="529"/>
      </w:pPr>
      <w:rPr>
        <w:rFonts w:hint="default"/>
        <w:lang w:val="zh-CN" w:eastAsia="zh-CN" w:bidi="zh-CN"/>
      </w:rPr>
    </w:lvl>
    <w:lvl w:ilvl="3">
      <w:start w:val="0"/>
      <w:numFmt w:val="bullet"/>
      <w:lvlText w:val="•"/>
      <w:lvlJc w:val="left"/>
      <w:pPr>
        <w:ind w:left="3885" w:hanging="529"/>
      </w:pPr>
      <w:rPr>
        <w:rFonts w:hint="default"/>
        <w:lang w:val="zh-CN" w:eastAsia="zh-CN" w:bidi="zh-CN"/>
      </w:rPr>
    </w:lvl>
    <w:lvl w:ilvl="4">
      <w:start w:val="0"/>
      <w:numFmt w:val="bullet"/>
      <w:lvlText w:val="•"/>
      <w:lvlJc w:val="left"/>
      <w:pPr>
        <w:ind w:left="4868" w:hanging="529"/>
      </w:pPr>
      <w:rPr>
        <w:rFonts w:hint="default"/>
        <w:lang w:val="zh-CN" w:eastAsia="zh-CN" w:bidi="zh-CN"/>
      </w:rPr>
    </w:lvl>
    <w:lvl w:ilvl="5">
      <w:start w:val="0"/>
      <w:numFmt w:val="bullet"/>
      <w:lvlText w:val="•"/>
      <w:lvlJc w:val="left"/>
      <w:pPr>
        <w:ind w:left="5851" w:hanging="529"/>
      </w:pPr>
      <w:rPr>
        <w:rFonts w:hint="default"/>
        <w:lang w:val="zh-CN" w:eastAsia="zh-CN" w:bidi="zh-CN"/>
      </w:rPr>
    </w:lvl>
    <w:lvl w:ilvl="6">
      <w:start w:val="0"/>
      <w:numFmt w:val="bullet"/>
      <w:lvlText w:val="•"/>
      <w:lvlJc w:val="left"/>
      <w:pPr>
        <w:ind w:left="6834" w:hanging="529"/>
      </w:pPr>
      <w:rPr>
        <w:rFonts w:hint="default"/>
        <w:lang w:val="zh-CN" w:eastAsia="zh-CN" w:bidi="zh-CN"/>
      </w:rPr>
    </w:lvl>
    <w:lvl w:ilvl="7">
      <w:start w:val="0"/>
      <w:numFmt w:val="bullet"/>
      <w:lvlText w:val="•"/>
      <w:lvlJc w:val="left"/>
      <w:pPr>
        <w:ind w:left="7817" w:hanging="529"/>
      </w:pPr>
      <w:rPr>
        <w:rFonts w:hint="default"/>
        <w:lang w:val="zh-CN" w:eastAsia="zh-CN" w:bidi="zh-CN"/>
      </w:rPr>
    </w:lvl>
    <w:lvl w:ilvl="8">
      <w:start w:val="0"/>
      <w:numFmt w:val="bullet"/>
      <w:lvlText w:val="•"/>
      <w:lvlJc w:val="left"/>
      <w:pPr>
        <w:ind w:left="8800" w:hanging="529"/>
      </w:pPr>
      <w:rPr>
        <w:rFonts w:hint="default"/>
        <w:lang w:val="zh-CN" w:eastAsia="zh-CN" w:bidi="zh-CN"/>
      </w:rPr>
    </w:lvl>
  </w:abstractNum>
  <w:abstractNum w:abstractNumId="18">
    <w:multiLevelType w:val="hybridMultilevel"/>
    <w:lvl w:ilvl="0">
      <w:start w:val="1"/>
      <w:numFmt w:val="decimal"/>
      <w:lvlText w:val="%1."/>
      <w:lvlJc w:val="left"/>
      <w:pPr>
        <w:ind w:left="1382" w:hanging="425"/>
        <w:jc w:val="left"/>
      </w:pPr>
      <w:rPr>
        <w:rFonts w:hint="default" w:ascii="Times New Roman" w:hAnsi="Times New Roman" w:eastAsia="Times New Roman" w:cs="Times New Roman"/>
        <w:b/>
        <w:bCs/>
        <w:w w:val="100"/>
        <w:sz w:val="21"/>
        <w:szCs w:val="21"/>
        <w:lang w:val="zh-CN" w:eastAsia="zh-CN" w:bidi="zh-CN"/>
      </w:rPr>
    </w:lvl>
    <w:lvl w:ilvl="1">
      <w:start w:val="0"/>
      <w:numFmt w:val="bullet"/>
      <w:lvlText w:val="•"/>
      <w:lvlJc w:val="left"/>
      <w:pPr>
        <w:ind w:left="2318" w:hanging="425"/>
      </w:pPr>
      <w:rPr>
        <w:rFonts w:hint="default"/>
        <w:lang w:val="zh-CN" w:eastAsia="zh-CN" w:bidi="zh-CN"/>
      </w:rPr>
    </w:lvl>
    <w:lvl w:ilvl="2">
      <w:start w:val="0"/>
      <w:numFmt w:val="bullet"/>
      <w:lvlText w:val="•"/>
      <w:lvlJc w:val="left"/>
      <w:pPr>
        <w:ind w:left="3257" w:hanging="425"/>
      </w:pPr>
      <w:rPr>
        <w:rFonts w:hint="default"/>
        <w:lang w:val="zh-CN" w:eastAsia="zh-CN" w:bidi="zh-CN"/>
      </w:rPr>
    </w:lvl>
    <w:lvl w:ilvl="3">
      <w:start w:val="0"/>
      <w:numFmt w:val="bullet"/>
      <w:lvlText w:val="•"/>
      <w:lvlJc w:val="left"/>
      <w:pPr>
        <w:ind w:left="4195" w:hanging="425"/>
      </w:pPr>
      <w:rPr>
        <w:rFonts w:hint="default"/>
        <w:lang w:val="zh-CN" w:eastAsia="zh-CN" w:bidi="zh-CN"/>
      </w:rPr>
    </w:lvl>
    <w:lvl w:ilvl="4">
      <w:start w:val="0"/>
      <w:numFmt w:val="bullet"/>
      <w:lvlText w:val="•"/>
      <w:lvlJc w:val="left"/>
      <w:pPr>
        <w:ind w:left="5134" w:hanging="425"/>
      </w:pPr>
      <w:rPr>
        <w:rFonts w:hint="default"/>
        <w:lang w:val="zh-CN" w:eastAsia="zh-CN" w:bidi="zh-CN"/>
      </w:rPr>
    </w:lvl>
    <w:lvl w:ilvl="5">
      <w:start w:val="0"/>
      <w:numFmt w:val="bullet"/>
      <w:lvlText w:val="•"/>
      <w:lvlJc w:val="left"/>
      <w:pPr>
        <w:ind w:left="6073" w:hanging="425"/>
      </w:pPr>
      <w:rPr>
        <w:rFonts w:hint="default"/>
        <w:lang w:val="zh-CN" w:eastAsia="zh-CN" w:bidi="zh-CN"/>
      </w:rPr>
    </w:lvl>
    <w:lvl w:ilvl="6">
      <w:start w:val="0"/>
      <w:numFmt w:val="bullet"/>
      <w:lvlText w:val="•"/>
      <w:lvlJc w:val="left"/>
      <w:pPr>
        <w:ind w:left="7011" w:hanging="425"/>
      </w:pPr>
      <w:rPr>
        <w:rFonts w:hint="default"/>
        <w:lang w:val="zh-CN" w:eastAsia="zh-CN" w:bidi="zh-CN"/>
      </w:rPr>
    </w:lvl>
    <w:lvl w:ilvl="7">
      <w:start w:val="0"/>
      <w:numFmt w:val="bullet"/>
      <w:lvlText w:val="•"/>
      <w:lvlJc w:val="left"/>
      <w:pPr>
        <w:ind w:left="7950" w:hanging="425"/>
      </w:pPr>
      <w:rPr>
        <w:rFonts w:hint="default"/>
        <w:lang w:val="zh-CN" w:eastAsia="zh-CN" w:bidi="zh-CN"/>
      </w:rPr>
    </w:lvl>
    <w:lvl w:ilvl="8">
      <w:start w:val="0"/>
      <w:numFmt w:val="bullet"/>
      <w:lvlText w:val="•"/>
      <w:lvlJc w:val="left"/>
      <w:pPr>
        <w:ind w:left="8889" w:hanging="425"/>
      </w:pPr>
      <w:rPr>
        <w:rFonts w:hint="default"/>
        <w:lang w:val="zh-CN" w:eastAsia="zh-CN" w:bidi="zh-CN"/>
      </w:rPr>
    </w:lvl>
  </w:abstractNum>
  <w:abstractNum w:abstractNumId="17">
    <w:multiLevelType w:val="hybridMultilevel"/>
    <w:lvl w:ilvl="0">
      <w:start w:val="1"/>
      <w:numFmt w:val="decimal"/>
      <w:lvlText w:val="%1."/>
      <w:lvlJc w:val="left"/>
      <w:pPr>
        <w:ind w:left="1382" w:hanging="425"/>
        <w:jc w:val="left"/>
      </w:pPr>
      <w:rPr>
        <w:rFonts w:hint="default" w:ascii="Times New Roman" w:hAnsi="Times New Roman" w:eastAsia="Times New Roman" w:cs="Times New Roman"/>
        <w:b/>
        <w:bCs/>
        <w:w w:val="100"/>
        <w:sz w:val="21"/>
        <w:szCs w:val="21"/>
        <w:lang w:val="zh-CN" w:eastAsia="zh-CN" w:bidi="zh-CN"/>
      </w:rPr>
    </w:lvl>
    <w:lvl w:ilvl="1">
      <w:start w:val="0"/>
      <w:numFmt w:val="bullet"/>
      <w:lvlText w:val="•"/>
      <w:lvlJc w:val="left"/>
      <w:pPr>
        <w:ind w:left="2318" w:hanging="425"/>
      </w:pPr>
      <w:rPr>
        <w:rFonts w:hint="default"/>
        <w:lang w:val="zh-CN" w:eastAsia="zh-CN" w:bidi="zh-CN"/>
      </w:rPr>
    </w:lvl>
    <w:lvl w:ilvl="2">
      <w:start w:val="0"/>
      <w:numFmt w:val="bullet"/>
      <w:lvlText w:val="•"/>
      <w:lvlJc w:val="left"/>
      <w:pPr>
        <w:ind w:left="3257" w:hanging="425"/>
      </w:pPr>
      <w:rPr>
        <w:rFonts w:hint="default"/>
        <w:lang w:val="zh-CN" w:eastAsia="zh-CN" w:bidi="zh-CN"/>
      </w:rPr>
    </w:lvl>
    <w:lvl w:ilvl="3">
      <w:start w:val="0"/>
      <w:numFmt w:val="bullet"/>
      <w:lvlText w:val="•"/>
      <w:lvlJc w:val="left"/>
      <w:pPr>
        <w:ind w:left="4195" w:hanging="425"/>
      </w:pPr>
      <w:rPr>
        <w:rFonts w:hint="default"/>
        <w:lang w:val="zh-CN" w:eastAsia="zh-CN" w:bidi="zh-CN"/>
      </w:rPr>
    </w:lvl>
    <w:lvl w:ilvl="4">
      <w:start w:val="0"/>
      <w:numFmt w:val="bullet"/>
      <w:lvlText w:val="•"/>
      <w:lvlJc w:val="left"/>
      <w:pPr>
        <w:ind w:left="5134" w:hanging="425"/>
      </w:pPr>
      <w:rPr>
        <w:rFonts w:hint="default"/>
        <w:lang w:val="zh-CN" w:eastAsia="zh-CN" w:bidi="zh-CN"/>
      </w:rPr>
    </w:lvl>
    <w:lvl w:ilvl="5">
      <w:start w:val="0"/>
      <w:numFmt w:val="bullet"/>
      <w:lvlText w:val="•"/>
      <w:lvlJc w:val="left"/>
      <w:pPr>
        <w:ind w:left="6073" w:hanging="425"/>
      </w:pPr>
      <w:rPr>
        <w:rFonts w:hint="default"/>
        <w:lang w:val="zh-CN" w:eastAsia="zh-CN" w:bidi="zh-CN"/>
      </w:rPr>
    </w:lvl>
    <w:lvl w:ilvl="6">
      <w:start w:val="0"/>
      <w:numFmt w:val="bullet"/>
      <w:lvlText w:val="•"/>
      <w:lvlJc w:val="left"/>
      <w:pPr>
        <w:ind w:left="7011" w:hanging="425"/>
      </w:pPr>
      <w:rPr>
        <w:rFonts w:hint="default"/>
        <w:lang w:val="zh-CN" w:eastAsia="zh-CN" w:bidi="zh-CN"/>
      </w:rPr>
    </w:lvl>
    <w:lvl w:ilvl="7">
      <w:start w:val="0"/>
      <w:numFmt w:val="bullet"/>
      <w:lvlText w:val="•"/>
      <w:lvlJc w:val="left"/>
      <w:pPr>
        <w:ind w:left="7950" w:hanging="425"/>
      </w:pPr>
      <w:rPr>
        <w:rFonts w:hint="default"/>
        <w:lang w:val="zh-CN" w:eastAsia="zh-CN" w:bidi="zh-CN"/>
      </w:rPr>
    </w:lvl>
    <w:lvl w:ilvl="8">
      <w:start w:val="0"/>
      <w:numFmt w:val="bullet"/>
      <w:lvlText w:val="•"/>
      <w:lvlJc w:val="left"/>
      <w:pPr>
        <w:ind w:left="8889" w:hanging="425"/>
      </w:pPr>
      <w:rPr>
        <w:rFonts w:hint="default"/>
        <w:lang w:val="zh-CN" w:eastAsia="zh-CN" w:bidi="zh-CN"/>
      </w:rPr>
    </w:lvl>
  </w:abstractNum>
  <w:abstractNum w:abstractNumId="16">
    <w:multiLevelType w:val="hybridMultilevel"/>
    <w:lvl w:ilvl="0">
      <w:start w:val="1"/>
      <w:numFmt w:val="decimal"/>
      <w:lvlText w:val="(%1)"/>
      <w:lvlJc w:val="left"/>
      <w:pPr>
        <w:ind w:left="1318" w:hanging="360"/>
        <w:jc w:val="left"/>
      </w:pPr>
      <w:rPr>
        <w:rFonts w:hint="default" w:ascii="Times New Roman" w:hAnsi="Times New Roman" w:eastAsia="Times New Roman" w:cs="Times New Roman"/>
        <w:b/>
        <w:bCs/>
        <w:spacing w:val="-1"/>
        <w:w w:val="100"/>
        <w:sz w:val="21"/>
        <w:szCs w:val="21"/>
        <w:lang w:val="zh-CN" w:eastAsia="zh-CN" w:bidi="zh-CN"/>
      </w:rPr>
    </w:lvl>
    <w:lvl w:ilvl="1">
      <w:start w:val="0"/>
      <w:numFmt w:val="bullet"/>
      <w:lvlText w:val="•"/>
      <w:lvlJc w:val="left"/>
      <w:pPr>
        <w:ind w:left="2264" w:hanging="360"/>
      </w:pPr>
      <w:rPr>
        <w:rFonts w:hint="default"/>
        <w:lang w:val="zh-CN" w:eastAsia="zh-CN" w:bidi="zh-CN"/>
      </w:rPr>
    </w:lvl>
    <w:lvl w:ilvl="2">
      <w:start w:val="0"/>
      <w:numFmt w:val="bullet"/>
      <w:lvlText w:val="•"/>
      <w:lvlJc w:val="left"/>
      <w:pPr>
        <w:ind w:left="3209" w:hanging="360"/>
      </w:pPr>
      <w:rPr>
        <w:rFonts w:hint="default"/>
        <w:lang w:val="zh-CN" w:eastAsia="zh-CN" w:bidi="zh-CN"/>
      </w:rPr>
    </w:lvl>
    <w:lvl w:ilvl="3">
      <w:start w:val="0"/>
      <w:numFmt w:val="bullet"/>
      <w:lvlText w:val="•"/>
      <w:lvlJc w:val="left"/>
      <w:pPr>
        <w:ind w:left="4153" w:hanging="360"/>
      </w:pPr>
      <w:rPr>
        <w:rFonts w:hint="default"/>
        <w:lang w:val="zh-CN" w:eastAsia="zh-CN" w:bidi="zh-CN"/>
      </w:rPr>
    </w:lvl>
    <w:lvl w:ilvl="4">
      <w:start w:val="0"/>
      <w:numFmt w:val="bullet"/>
      <w:lvlText w:val="•"/>
      <w:lvlJc w:val="left"/>
      <w:pPr>
        <w:ind w:left="5098" w:hanging="360"/>
      </w:pPr>
      <w:rPr>
        <w:rFonts w:hint="default"/>
        <w:lang w:val="zh-CN" w:eastAsia="zh-CN" w:bidi="zh-CN"/>
      </w:rPr>
    </w:lvl>
    <w:lvl w:ilvl="5">
      <w:start w:val="0"/>
      <w:numFmt w:val="bullet"/>
      <w:lvlText w:val="•"/>
      <w:lvlJc w:val="left"/>
      <w:pPr>
        <w:ind w:left="6043" w:hanging="360"/>
      </w:pPr>
      <w:rPr>
        <w:rFonts w:hint="default"/>
        <w:lang w:val="zh-CN" w:eastAsia="zh-CN" w:bidi="zh-CN"/>
      </w:rPr>
    </w:lvl>
    <w:lvl w:ilvl="6">
      <w:start w:val="0"/>
      <w:numFmt w:val="bullet"/>
      <w:lvlText w:val="•"/>
      <w:lvlJc w:val="left"/>
      <w:pPr>
        <w:ind w:left="6987" w:hanging="360"/>
      </w:pPr>
      <w:rPr>
        <w:rFonts w:hint="default"/>
        <w:lang w:val="zh-CN" w:eastAsia="zh-CN" w:bidi="zh-CN"/>
      </w:rPr>
    </w:lvl>
    <w:lvl w:ilvl="7">
      <w:start w:val="0"/>
      <w:numFmt w:val="bullet"/>
      <w:lvlText w:val="•"/>
      <w:lvlJc w:val="left"/>
      <w:pPr>
        <w:ind w:left="7932" w:hanging="360"/>
      </w:pPr>
      <w:rPr>
        <w:rFonts w:hint="default"/>
        <w:lang w:val="zh-CN" w:eastAsia="zh-CN" w:bidi="zh-CN"/>
      </w:rPr>
    </w:lvl>
    <w:lvl w:ilvl="8">
      <w:start w:val="0"/>
      <w:numFmt w:val="bullet"/>
      <w:lvlText w:val="•"/>
      <w:lvlJc w:val="left"/>
      <w:pPr>
        <w:ind w:left="8877" w:hanging="360"/>
      </w:pPr>
      <w:rPr>
        <w:rFonts w:hint="default"/>
        <w:lang w:val="zh-CN" w:eastAsia="zh-CN" w:bidi="zh-CN"/>
      </w:rPr>
    </w:lvl>
  </w:abstractNum>
  <w:abstractNum w:abstractNumId="15">
    <w:multiLevelType w:val="hybridMultilevel"/>
    <w:lvl w:ilvl="0">
      <w:start w:val="1"/>
      <w:numFmt w:val="decimal"/>
      <w:lvlText w:val="(%1)"/>
      <w:lvlJc w:val="left"/>
      <w:pPr>
        <w:ind w:left="598" w:hanging="360"/>
        <w:jc w:val="right"/>
      </w:pPr>
      <w:rPr>
        <w:rFonts w:hint="default" w:ascii="Times New Roman" w:hAnsi="Times New Roman" w:eastAsia="Times New Roman" w:cs="Times New Roman"/>
        <w:b/>
        <w:bCs/>
        <w:spacing w:val="-1"/>
        <w:w w:val="100"/>
        <w:sz w:val="21"/>
        <w:szCs w:val="21"/>
        <w:lang w:val="zh-CN" w:eastAsia="zh-CN" w:bidi="zh-CN"/>
      </w:rPr>
    </w:lvl>
    <w:lvl w:ilvl="1">
      <w:start w:val="0"/>
      <w:numFmt w:val="bullet"/>
      <w:lvlText w:val="•"/>
      <w:lvlJc w:val="left"/>
      <w:pPr>
        <w:ind w:left="1472" w:hanging="360"/>
      </w:pPr>
      <w:rPr>
        <w:rFonts w:hint="default"/>
        <w:lang w:val="zh-CN" w:eastAsia="zh-CN" w:bidi="zh-CN"/>
      </w:rPr>
    </w:lvl>
    <w:lvl w:ilvl="2">
      <w:start w:val="0"/>
      <w:numFmt w:val="bullet"/>
      <w:lvlText w:val="•"/>
      <w:lvlJc w:val="left"/>
      <w:pPr>
        <w:ind w:left="2345" w:hanging="360"/>
      </w:pPr>
      <w:rPr>
        <w:rFonts w:hint="default"/>
        <w:lang w:val="zh-CN" w:eastAsia="zh-CN" w:bidi="zh-CN"/>
      </w:rPr>
    </w:lvl>
    <w:lvl w:ilvl="3">
      <w:start w:val="0"/>
      <w:numFmt w:val="bullet"/>
      <w:lvlText w:val="•"/>
      <w:lvlJc w:val="left"/>
      <w:pPr>
        <w:ind w:left="3217" w:hanging="360"/>
      </w:pPr>
      <w:rPr>
        <w:rFonts w:hint="default"/>
        <w:lang w:val="zh-CN" w:eastAsia="zh-CN" w:bidi="zh-CN"/>
      </w:rPr>
    </w:lvl>
    <w:lvl w:ilvl="4">
      <w:start w:val="0"/>
      <w:numFmt w:val="bullet"/>
      <w:lvlText w:val="•"/>
      <w:lvlJc w:val="left"/>
      <w:pPr>
        <w:ind w:left="4090" w:hanging="360"/>
      </w:pPr>
      <w:rPr>
        <w:rFonts w:hint="default"/>
        <w:lang w:val="zh-CN" w:eastAsia="zh-CN" w:bidi="zh-CN"/>
      </w:rPr>
    </w:lvl>
    <w:lvl w:ilvl="5">
      <w:start w:val="0"/>
      <w:numFmt w:val="bullet"/>
      <w:lvlText w:val="•"/>
      <w:lvlJc w:val="left"/>
      <w:pPr>
        <w:ind w:left="4963" w:hanging="360"/>
      </w:pPr>
      <w:rPr>
        <w:rFonts w:hint="default"/>
        <w:lang w:val="zh-CN" w:eastAsia="zh-CN" w:bidi="zh-CN"/>
      </w:rPr>
    </w:lvl>
    <w:lvl w:ilvl="6">
      <w:start w:val="0"/>
      <w:numFmt w:val="bullet"/>
      <w:lvlText w:val="•"/>
      <w:lvlJc w:val="left"/>
      <w:pPr>
        <w:ind w:left="5835" w:hanging="360"/>
      </w:pPr>
      <w:rPr>
        <w:rFonts w:hint="default"/>
        <w:lang w:val="zh-CN" w:eastAsia="zh-CN" w:bidi="zh-CN"/>
      </w:rPr>
    </w:lvl>
    <w:lvl w:ilvl="7">
      <w:start w:val="0"/>
      <w:numFmt w:val="bullet"/>
      <w:lvlText w:val="•"/>
      <w:lvlJc w:val="left"/>
      <w:pPr>
        <w:ind w:left="6708" w:hanging="360"/>
      </w:pPr>
      <w:rPr>
        <w:rFonts w:hint="default"/>
        <w:lang w:val="zh-CN" w:eastAsia="zh-CN" w:bidi="zh-CN"/>
      </w:rPr>
    </w:lvl>
    <w:lvl w:ilvl="8">
      <w:start w:val="0"/>
      <w:numFmt w:val="bullet"/>
      <w:lvlText w:val="•"/>
      <w:lvlJc w:val="left"/>
      <w:pPr>
        <w:ind w:left="7581" w:hanging="360"/>
      </w:pPr>
      <w:rPr>
        <w:rFonts w:hint="default"/>
        <w:lang w:val="zh-CN" w:eastAsia="zh-CN" w:bidi="zh-CN"/>
      </w:rPr>
    </w:lvl>
  </w:abstractNum>
  <w:abstractNum w:abstractNumId="14">
    <w:multiLevelType w:val="hybridMultilevel"/>
    <w:lvl w:ilvl="0">
      <w:start w:val="1"/>
      <w:numFmt w:val="decimal"/>
      <w:lvlText w:val="%1."/>
      <w:lvlJc w:val="left"/>
      <w:pPr>
        <w:ind w:left="662" w:hanging="425"/>
        <w:jc w:val="right"/>
      </w:pPr>
      <w:rPr>
        <w:rFonts w:hint="default" w:ascii="Times New Roman" w:hAnsi="Times New Roman" w:eastAsia="Times New Roman" w:cs="Times New Roman"/>
        <w:b/>
        <w:bCs/>
        <w:w w:val="100"/>
        <w:sz w:val="21"/>
        <w:szCs w:val="21"/>
        <w:lang w:val="zh-CN" w:eastAsia="zh-CN" w:bidi="zh-CN"/>
      </w:rPr>
    </w:lvl>
    <w:lvl w:ilvl="1">
      <w:start w:val="0"/>
      <w:numFmt w:val="bullet"/>
      <w:lvlText w:val="•"/>
      <w:lvlJc w:val="left"/>
      <w:pPr>
        <w:ind w:left="1526" w:hanging="425"/>
      </w:pPr>
      <w:rPr>
        <w:rFonts w:hint="default"/>
        <w:lang w:val="zh-CN" w:eastAsia="zh-CN" w:bidi="zh-CN"/>
      </w:rPr>
    </w:lvl>
    <w:lvl w:ilvl="2">
      <w:start w:val="0"/>
      <w:numFmt w:val="bullet"/>
      <w:lvlText w:val="•"/>
      <w:lvlJc w:val="left"/>
      <w:pPr>
        <w:ind w:left="2393" w:hanging="425"/>
      </w:pPr>
      <w:rPr>
        <w:rFonts w:hint="default"/>
        <w:lang w:val="zh-CN" w:eastAsia="zh-CN" w:bidi="zh-CN"/>
      </w:rPr>
    </w:lvl>
    <w:lvl w:ilvl="3">
      <w:start w:val="0"/>
      <w:numFmt w:val="bullet"/>
      <w:lvlText w:val="•"/>
      <w:lvlJc w:val="left"/>
      <w:pPr>
        <w:ind w:left="3259" w:hanging="425"/>
      </w:pPr>
      <w:rPr>
        <w:rFonts w:hint="default"/>
        <w:lang w:val="zh-CN" w:eastAsia="zh-CN" w:bidi="zh-CN"/>
      </w:rPr>
    </w:lvl>
    <w:lvl w:ilvl="4">
      <w:start w:val="0"/>
      <w:numFmt w:val="bullet"/>
      <w:lvlText w:val="•"/>
      <w:lvlJc w:val="left"/>
      <w:pPr>
        <w:ind w:left="4126" w:hanging="425"/>
      </w:pPr>
      <w:rPr>
        <w:rFonts w:hint="default"/>
        <w:lang w:val="zh-CN" w:eastAsia="zh-CN" w:bidi="zh-CN"/>
      </w:rPr>
    </w:lvl>
    <w:lvl w:ilvl="5">
      <w:start w:val="0"/>
      <w:numFmt w:val="bullet"/>
      <w:lvlText w:val="•"/>
      <w:lvlJc w:val="left"/>
      <w:pPr>
        <w:ind w:left="4993" w:hanging="425"/>
      </w:pPr>
      <w:rPr>
        <w:rFonts w:hint="default"/>
        <w:lang w:val="zh-CN" w:eastAsia="zh-CN" w:bidi="zh-CN"/>
      </w:rPr>
    </w:lvl>
    <w:lvl w:ilvl="6">
      <w:start w:val="0"/>
      <w:numFmt w:val="bullet"/>
      <w:lvlText w:val="•"/>
      <w:lvlJc w:val="left"/>
      <w:pPr>
        <w:ind w:left="5859" w:hanging="425"/>
      </w:pPr>
      <w:rPr>
        <w:rFonts w:hint="default"/>
        <w:lang w:val="zh-CN" w:eastAsia="zh-CN" w:bidi="zh-CN"/>
      </w:rPr>
    </w:lvl>
    <w:lvl w:ilvl="7">
      <w:start w:val="0"/>
      <w:numFmt w:val="bullet"/>
      <w:lvlText w:val="•"/>
      <w:lvlJc w:val="left"/>
      <w:pPr>
        <w:ind w:left="6726" w:hanging="425"/>
      </w:pPr>
      <w:rPr>
        <w:rFonts w:hint="default"/>
        <w:lang w:val="zh-CN" w:eastAsia="zh-CN" w:bidi="zh-CN"/>
      </w:rPr>
    </w:lvl>
    <w:lvl w:ilvl="8">
      <w:start w:val="0"/>
      <w:numFmt w:val="bullet"/>
      <w:lvlText w:val="•"/>
      <w:lvlJc w:val="left"/>
      <w:pPr>
        <w:ind w:left="7593" w:hanging="425"/>
      </w:pPr>
      <w:rPr>
        <w:rFonts w:hint="default"/>
        <w:lang w:val="zh-CN" w:eastAsia="zh-CN" w:bidi="zh-CN"/>
      </w:rPr>
    </w:lvl>
  </w:abstractNum>
  <w:abstractNum w:abstractNumId="13">
    <w:multiLevelType w:val="hybridMultilevel"/>
    <w:lvl w:ilvl="0">
      <w:start w:val="1"/>
      <w:numFmt w:val="decimal"/>
      <w:lvlText w:val="%1."/>
      <w:lvlJc w:val="left"/>
      <w:pPr>
        <w:ind w:left="662" w:hanging="425"/>
        <w:jc w:val="left"/>
      </w:pPr>
      <w:rPr>
        <w:rFonts w:hint="default" w:ascii="Times New Roman" w:hAnsi="Times New Roman" w:eastAsia="Times New Roman" w:cs="Times New Roman"/>
        <w:b/>
        <w:bCs/>
        <w:w w:val="100"/>
        <w:sz w:val="21"/>
        <w:szCs w:val="21"/>
        <w:lang w:val="zh-CN" w:eastAsia="zh-CN" w:bidi="zh-CN"/>
      </w:rPr>
    </w:lvl>
    <w:lvl w:ilvl="1">
      <w:start w:val="1"/>
      <w:numFmt w:val="decimal"/>
      <w:lvlText w:val="(%2)"/>
      <w:lvlJc w:val="left"/>
      <w:pPr>
        <w:ind w:left="1178" w:hanging="420"/>
        <w:jc w:val="left"/>
      </w:pPr>
      <w:rPr>
        <w:rFonts w:hint="default" w:ascii="Times New Roman" w:hAnsi="Times New Roman" w:eastAsia="Times New Roman" w:cs="Times New Roman"/>
        <w:b/>
        <w:bCs/>
        <w:spacing w:val="-1"/>
        <w:w w:val="100"/>
        <w:sz w:val="21"/>
        <w:szCs w:val="21"/>
        <w:lang w:val="zh-CN" w:eastAsia="zh-CN" w:bidi="zh-CN"/>
      </w:rPr>
    </w:lvl>
    <w:lvl w:ilvl="2">
      <w:start w:val="0"/>
      <w:numFmt w:val="bullet"/>
      <w:lvlText w:val="•"/>
      <w:lvlJc w:val="left"/>
      <w:pPr>
        <w:ind w:left="2171" w:hanging="420"/>
      </w:pPr>
      <w:rPr>
        <w:rFonts w:hint="default"/>
        <w:lang w:val="zh-CN" w:eastAsia="zh-CN" w:bidi="zh-CN"/>
      </w:rPr>
    </w:lvl>
    <w:lvl w:ilvl="3">
      <w:start w:val="0"/>
      <w:numFmt w:val="bullet"/>
      <w:lvlText w:val="•"/>
      <w:lvlJc w:val="left"/>
      <w:pPr>
        <w:ind w:left="3163" w:hanging="420"/>
      </w:pPr>
      <w:rPr>
        <w:rFonts w:hint="default"/>
        <w:lang w:val="zh-CN" w:eastAsia="zh-CN" w:bidi="zh-CN"/>
      </w:rPr>
    </w:lvl>
    <w:lvl w:ilvl="4">
      <w:start w:val="0"/>
      <w:numFmt w:val="bullet"/>
      <w:lvlText w:val="•"/>
      <w:lvlJc w:val="left"/>
      <w:pPr>
        <w:ind w:left="4155" w:hanging="420"/>
      </w:pPr>
      <w:rPr>
        <w:rFonts w:hint="default"/>
        <w:lang w:val="zh-CN" w:eastAsia="zh-CN" w:bidi="zh-CN"/>
      </w:rPr>
    </w:lvl>
    <w:lvl w:ilvl="5">
      <w:start w:val="0"/>
      <w:numFmt w:val="bullet"/>
      <w:lvlText w:val="•"/>
      <w:lvlJc w:val="left"/>
      <w:pPr>
        <w:ind w:left="5147" w:hanging="420"/>
      </w:pPr>
      <w:rPr>
        <w:rFonts w:hint="default"/>
        <w:lang w:val="zh-CN" w:eastAsia="zh-CN" w:bidi="zh-CN"/>
      </w:rPr>
    </w:lvl>
    <w:lvl w:ilvl="6">
      <w:start w:val="0"/>
      <w:numFmt w:val="bullet"/>
      <w:lvlText w:val="•"/>
      <w:lvlJc w:val="left"/>
      <w:pPr>
        <w:ind w:left="6139" w:hanging="420"/>
      </w:pPr>
      <w:rPr>
        <w:rFonts w:hint="default"/>
        <w:lang w:val="zh-CN" w:eastAsia="zh-CN" w:bidi="zh-CN"/>
      </w:rPr>
    </w:lvl>
    <w:lvl w:ilvl="7">
      <w:start w:val="0"/>
      <w:numFmt w:val="bullet"/>
      <w:lvlText w:val="•"/>
      <w:lvlJc w:val="left"/>
      <w:pPr>
        <w:ind w:left="7130" w:hanging="420"/>
      </w:pPr>
      <w:rPr>
        <w:rFonts w:hint="default"/>
        <w:lang w:val="zh-CN" w:eastAsia="zh-CN" w:bidi="zh-CN"/>
      </w:rPr>
    </w:lvl>
    <w:lvl w:ilvl="8">
      <w:start w:val="0"/>
      <w:numFmt w:val="bullet"/>
      <w:lvlText w:val="•"/>
      <w:lvlJc w:val="left"/>
      <w:pPr>
        <w:ind w:left="8122" w:hanging="420"/>
      </w:pPr>
      <w:rPr>
        <w:rFonts w:hint="default"/>
        <w:lang w:val="zh-CN" w:eastAsia="zh-CN" w:bidi="zh-CN"/>
      </w:rPr>
    </w:lvl>
  </w:abstractNum>
  <w:abstractNum w:abstractNumId="12">
    <w:multiLevelType w:val="hybridMultilevel"/>
    <w:lvl w:ilvl="0">
      <w:start w:val="1"/>
      <w:numFmt w:val="decimal"/>
      <w:lvlText w:val="(%1)."/>
      <w:lvlJc w:val="left"/>
      <w:pPr>
        <w:ind w:left="640" w:hanging="404"/>
        <w:jc w:val="left"/>
      </w:pPr>
      <w:rPr>
        <w:rFonts w:hint="default" w:ascii="Times New Roman" w:hAnsi="Times New Roman" w:eastAsia="Times New Roman" w:cs="Times New Roman"/>
        <w:b/>
        <w:bCs/>
        <w:spacing w:val="-1"/>
        <w:w w:val="100"/>
        <w:sz w:val="21"/>
        <w:szCs w:val="21"/>
        <w:lang w:val="zh-CN" w:eastAsia="zh-CN" w:bidi="zh-CN"/>
      </w:rPr>
    </w:lvl>
    <w:lvl w:ilvl="1">
      <w:start w:val="0"/>
      <w:numFmt w:val="bullet"/>
      <w:lvlText w:val="•"/>
      <w:lvlJc w:val="left"/>
      <w:pPr>
        <w:ind w:left="1586" w:hanging="404"/>
      </w:pPr>
      <w:rPr>
        <w:rFonts w:hint="default"/>
        <w:lang w:val="zh-CN" w:eastAsia="zh-CN" w:bidi="zh-CN"/>
      </w:rPr>
    </w:lvl>
    <w:lvl w:ilvl="2">
      <w:start w:val="0"/>
      <w:numFmt w:val="bullet"/>
      <w:lvlText w:val="•"/>
      <w:lvlJc w:val="left"/>
      <w:pPr>
        <w:ind w:left="2533" w:hanging="404"/>
      </w:pPr>
      <w:rPr>
        <w:rFonts w:hint="default"/>
        <w:lang w:val="zh-CN" w:eastAsia="zh-CN" w:bidi="zh-CN"/>
      </w:rPr>
    </w:lvl>
    <w:lvl w:ilvl="3">
      <w:start w:val="0"/>
      <w:numFmt w:val="bullet"/>
      <w:lvlText w:val="•"/>
      <w:lvlJc w:val="left"/>
      <w:pPr>
        <w:ind w:left="3479" w:hanging="404"/>
      </w:pPr>
      <w:rPr>
        <w:rFonts w:hint="default"/>
        <w:lang w:val="zh-CN" w:eastAsia="zh-CN" w:bidi="zh-CN"/>
      </w:rPr>
    </w:lvl>
    <w:lvl w:ilvl="4">
      <w:start w:val="0"/>
      <w:numFmt w:val="bullet"/>
      <w:lvlText w:val="•"/>
      <w:lvlJc w:val="left"/>
      <w:pPr>
        <w:ind w:left="4426" w:hanging="404"/>
      </w:pPr>
      <w:rPr>
        <w:rFonts w:hint="default"/>
        <w:lang w:val="zh-CN" w:eastAsia="zh-CN" w:bidi="zh-CN"/>
      </w:rPr>
    </w:lvl>
    <w:lvl w:ilvl="5">
      <w:start w:val="0"/>
      <w:numFmt w:val="bullet"/>
      <w:lvlText w:val="•"/>
      <w:lvlJc w:val="left"/>
      <w:pPr>
        <w:ind w:left="5373" w:hanging="404"/>
      </w:pPr>
      <w:rPr>
        <w:rFonts w:hint="default"/>
        <w:lang w:val="zh-CN" w:eastAsia="zh-CN" w:bidi="zh-CN"/>
      </w:rPr>
    </w:lvl>
    <w:lvl w:ilvl="6">
      <w:start w:val="0"/>
      <w:numFmt w:val="bullet"/>
      <w:lvlText w:val="•"/>
      <w:lvlJc w:val="left"/>
      <w:pPr>
        <w:ind w:left="6319" w:hanging="404"/>
      </w:pPr>
      <w:rPr>
        <w:rFonts w:hint="default"/>
        <w:lang w:val="zh-CN" w:eastAsia="zh-CN" w:bidi="zh-CN"/>
      </w:rPr>
    </w:lvl>
    <w:lvl w:ilvl="7">
      <w:start w:val="0"/>
      <w:numFmt w:val="bullet"/>
      <w:lvlText w:val="•"/>
      <w:lvlJc w:val="left"/>
      <w:pPr>
        <w:ind w:left="7266" w:hanging="404"/>
      </w:pPr>
      <w:rPr>
        <w:rFonts w:hint="default"/>
        <w:lang w:val="zh-CN" w:eastAsia="zh-CN" w:bidi="zh-CN"/>
      </w:rPr>
    </w:lvl>
    <w:lvl w:ilvl="8">
      <w:start w:val="0"/>
      <w:numFmt w:val="bullet"/>
      <w:lvlText w:val="•"/>
      <w:lvlJc w:val="left"/>
      <w:pPr>
        <w:ind w:left="8213" w:hanging="404"/>
      </w:pPr>
      <w:rPr>
        <w:rFonts w:hint="default"/>
        <w:lang w:val="zh-CN" w:eastAsia="zh-CN" w:bidi="zh-CN"/>
      </w:rPr>
    </w:lvl>
  </w:abstractNum>
  <w:abstractNum w:abstractNumId="11">
    <w:multiLevelType w:val="hybridMultilevel"/>
    <w:lvl w:ilvl="0">
      <w:start w:val="1"/>
      <w:numFmt w:val="decimal"/>
      <w:lvlText w:val="(%1)."/>
      <w:lvlJc w:val="left"/>
      <w:pPr>
        <w:ind w:left="803" w:hanging="567"/>
        <w:jc w:val="left"/>
      </w:pPr>
      <w:rPr>
        <w:rFonts w:hint="default" w:ascii="Times New Roman" w:hAnsi="Times New Roman" w:eastAsia="Times New Roman" w:cs="Times New Roman"/>
        <w:b/>
        <w:bCs/>
        <w:spacing w:val="-1"/>
        <w:w w:val="100"/>
        <w:sz w:val="21"/>
        <w:szCs w:val="21"/>
        <w:lang w:val="zh-CN" w:eastAsia="zh-CN" w:bidi="zh-CN"/>
      </w:rPr>
    </w:lvl>
    <w:lvl w:ilvl="1">
      <w:start w:val="0"/>
      <w:numFmt w:val="bullet"/>
      <w:lvlText w:val="•"/>
      <w:lvlJc w:val="left"/>
      <w:pPr>
        <w:ind w:left="1730" w:hanging="567"/>
      </w:pPr>
      <w:rPr>
        <w:rFonts w:hint="default"/>
        <w:lang w:val="zh-CN" w:eastAsia="zh-CN" w:bidi="zh-CN"/>
      </w:rPr>
    </w:lvl>
    <w:lvl w:ilvl="2">
      <w:start w:val="0"/>
      <w:numFmt w:val="bullet"/>
      <w:lvlText w:val="•"/>
      <w:lvlJc w:val="left"/>
      <w:pPr>
        <w:ind w:left="2661" w:hanging="567"/>
      </w:pPr>
      <w:rPr>
        <w:rFonts w:hint="default"/>
        <w:lang w:val="zh-CN" w:eastAsia="zh-CN" w:bidi="zh-CN"/>
      </w:rPr>
    </w:lvl>
    <w:lvl w:ilvl="3">
      <w:start w:val="0"/>
      <w:numFmt w:val="bullet"/>
      <w:lvlText w:val="•"/>
      <w:lvlJc w:val="left"/>
      <w:pPr>
        <w:ind w:left="3591" w:hanging="567"/>
      </w:pPr>
      <w:rPr>
        <w:rFonts w:hint="default"/>
        <w:lang w:val="zh-CN" w:eastAsia="zh-CN" w:bidi="zh-CN"/>
      </w:rPr>
    </w:lvl>
    <w:lvl w:ilvl="4">
      <w:start w:val="0"/>
      <w:numFmt w:val="bullet"/>
      <w:lvlText w:val="•"/>
      <w:lvlJc w:val="left"/>
      <w:pPr>
        <w:ind w:left="4522" w:hanging="567"/>
      </w:pPr>
      <w:rPr>
        <w:rFonts w:hint="default"/>
        <w:lang w:val="zh-CN" w:eastAsia="zh-CN" w:bidi="zh-CN"/>
      </w:rPr>
    </w:lvl>
    <w:lvl w:ilvl="5">
      <w:start w:val="0"/>
      <w:numFmt w:val="bullet"/>
      <w:lvlText w:val="•"/>
      <w:lvlJc w:val="left"/>
      <w:pPr>
        <w:ind w:left="5453" w:hanging="567"/>
      </w:pPr>
      <w:rPr>
        <w:rFonts w:hint="default"/>
        <w:lang w:val="zh-CN" w:eastAsia="zh-CN" w:bidi="zh-CN"/>
      </w:rPr>
    </w:lvl>
    <w:lvl w:ilvl="6">
      <w:start w:val="0"/>
      <w:numFmt w:val="bullet"/>
      <w:lvlText w:val="•"/>
      <w:lvlJc w:val="left"/>
      <w:pPr>
        <w:ind w:left="6383" w:hanging="567"/>
      </w:pPr>
      <w:rPr>
        <w:rFonts w:hint="default"/>
        <w:lang w:val="zh-CN" w:eastAsia="zh-CN" w:bidi="zh-CN"/>
      </w:rPr>
    </w:lvl>
    <w:lvl w:ilvl="7">
      <w:start w:val="0"/>
      <w:numFmt w:val="bullet"/>
      <w:lvlText w:val="•"/>
      <w:lvlJc w:val="left"/>
      <w:pPr>
        <w:ind w:left="7314" w:hanging="567"/>
      </w:pPr>
      <w:rPr>
        <w:rFonts w:hint="default"/>
        <w:lang w:val="zh-CN" w:eastAsia="zh-CN" w:bidi="zh-CN"/>
      </w:rPr>
    </w:lvl>
    <w:lvl w:ilvl="8">
      <w:start w:val="0"/>
      <w:numFmt w:val="bullet"/>
      <w:lvlText w:val="•"/>
      <w:lvlJc w:val="left"/>
      <w:pPr>
        <w:ind w:left="8245" w:hanging="567"/>
      </w:pPr>
      <w:rPr>
        <w:rFonts w:hint="default"/>
        <w:lang w:val="zh-CN" w:eastAsia="zh-CN" w:bidi="zh-CN"/>
      </w:rPr>
    </w:lvl>
  </w:abstractNum>
  <w:abstractNum w:abstractNumId="10">
    <w:multiLevelType w:val="hybridMultilevel"/>
    <w:lvl w:ilvl="0">
      <w:start w:val="1"/>
      <w:numFmt w:val="decimal"/>
      <w:lvlText w:val="%1."/>
      <w:lvlJc w:val="left"/>
      <w:pPr>
        <w:ind w:left="657" w:hanging="420"/>
        <w:jc w:val="left"/>
      </w:pPr>
      <w:rPr>
        <w:rFonts w:hint="default" w:ascii="Times New Roman" w:hAnsi="Times New Roman" w:eastAsia="Times New Roman" w:cs="Times New Roman"/>
        <w:b/>
        <w:bCs/>
        <w:w w:val="100"/>
        <w:sz w:val="21"/>
        <w:szCs w:val="21"/>
        <w:lang w:val="zh-CN" w:eastAsia="zh-CN" w:bidi="zh-CN"/>
      </w:rPr>
    </w:lvl>
    <w:lvl w:ilvl="1">
      <w:start w:val="1"/>
      <w:numFmt w:val="decimal"/>
      <w:lvlText w:val="%2)"/>
      <w:lvlJc w:val="left"/>
      <w:pPr>
        <w:ind w:left="1077" w:hanging="413"/>
        <w:jc w:val="left"/>
      </w:pPr>
      <w:rPr>
        <w:rFonts w:hint="default" w:ascii="Times New Roman" w:hAnsi="Times New Roman" w:eastAsia="Times New Roman" w:cs="Times New Roman"/>
        <w:w w:val="100"/>
        <w:sz w:val="21"/>
        <w:szCs w:val="21"/>
        <w:lang w:val="zh-CN" w:eastAsia="zh-CN" w:bidi="zh-CN"/>
      </w:rPr>
    </w:lvl>
    <w:lvl w:ilvl="2">
      <w:start w:val="0"/>
      <w:numFmt w:val="bullet"/>
      <w:lvlText w:val="•"/>
      <w:lvlJc w:val="left"/>
      <w:pPr>
        <w:ind w:left="1080" w:hanging="413"/>
      </w:pPr>
      <w:rPr>
        <w:rFonts w:hint="default"/>
        <w:lang w:val="zh-CN" w:eastAsia="zh-CN" w:bidi="zh-CN"/>
      </w:rPr>
    </w:lvl>
    <w:lvl w:ilvl="3">
      <w:start w:val="0"/>
      <w:numFmt w:val="bullet"/>
      <w:lvlText w:val="•"/>
      <w:lvlJc w:val="left"/>
      <w:pPr>
        <w:ind w:left="2208" w:hanging="413"/>
      </w:pPr>
      <w:rPr>
        <w:rFonts w:hint="default"/>
        <w:lang w:val="zh-CN" w:eastAsia="zh-CN" w:bidi="zh-CN"/>
      </w:rPr>
    </w:lvl>
    <w:lvl w:ilvl="4">
      <w:start w:val="0"/>
      <w:numFmt w:val="bullet"/>
      <w:lvlText w:val="•"/>
      <w:lvlJc w:val="left"/>
      <w:pPr>
        <w:ind w:left="3336" w:hanging="413"/>
      </w:pPr>
      <w:rPr>
        <w:rFonts w:hint="default"/>
        <w:lang w:val="zh-CN" w:eastAsia="zh-CN" w:bidi="zh-CN"/>
      </w:rPr>
    </w:lvl>
    <w:lvl w:ilvl="5">
      <w:start w:val="0"/>
      <w:numFmt w:val="bullet"/>
      <w:lvlText w:val="•"/>
      <w:lvlJc w:val="left"/>
      <w:pPr>
        <w:ind w:left="4464" w:hanging="413"/>
      </w:pPr>
      <w:rPr>
        <w:rFonts w:hint="default"/>
        <w:lang w:val="zh-CN" w:eastAsia="zh-CN" w:bidi="zh-CN"/>
      </w:rPr>
    </w:lvl>
    <w:lvl w:ilvl="6">
      <w:start w:val="0"/>
      <w:numFmt w:val="bullet"/>
      <w:lvlText w:val="•"/>
      <w:lvlJc w:val="left"/>
      <w:pPr>
        <w:ind w:left="5593" w:hanging="413"/>
      </w:pPr>
      <w:rPr>
        <w:rFonts w:hint="default"/>
        <w:lang w:val="zh-CN" w:eastAsia="zh-CN" w:bidi="zh-CN"/>
      </w:rPr>
    </w:lvl>
    <w:lvl w:ilvl="7">
      <w:start w:val="0"/>
      <w:numFmt w:val="bullet"/>
      <w:lvlText w:val="•"/>
      <w:lvlJc w:val="left"/>
      <w:pPr>
        <w:ind w:left="6721" w:hanging="413"/>
      </w:pPr>
      <w:rPr>
        <w:rFonts w:hint="default"/>
        <w:lang w:val="zh-CN" w:eastAsia="zh-CN" w:bidi="zh-CN"/>
      </w:rPr>
    </w:lvl>
    <w:lvl w:ilvl="8">
      <w:start w:val="0"/>
      <w:numFmt w:val="bullet"/>
      <w:lvlText w:val="•"/>
      <w:lvlJc w:val="left"/>
      <w:pPr>
        <w:ind w:left="7849" w:hanging="413"/>
      </w:pPr>
      <w:rPr>
        <w:rFonts w:hint="default"/>
        <w:lang w:val="zh-CN" w:eastAsia="zh-CN" w:bidi="zh-CN"/>
      </w:rPr>
    </w:lvl>
  </w:abstractNum>
  <w:abstractNum w:abstractNumId="9">
    <w:multiLevelType w:val="hybridMultilevel"/>
    <w:lvl w:ilvl="0">
      <w:start w:val="1"/>
      <w:numFmt w:val="decimal"/>
      <w:lvlText w:val="%1."/>
      <w:lvlJc w:val="left"/>
      <w:pPr>
        <w:ind w:left="923" w:hanging="262"/>
        <w:jc w:val="left"/>
      </w:pPr>
      <w:rPr>
        <w:rFonts w:hint="default" w:ascii="Times New Roman" w:hAnsi="Times New Roman" w:eastAsia="Times New Roman" w:cs="Times New Roman"/>
        <w:b/>
        <w:bCs/>
        <w:w w:val="100"/>
        <w:sz w:val="21"/>
        <w:szCs w:val="21"/>
        <w:lang w:val="zh-CN" w:eastAsia="zh-CN" w:bidi="zh-CN"/>
      </w:rPr>
    </w:lvl>
    <w:lvl w:ilvl="1">
      <w:start w:val="0"/>
      <w:numFmt w:val="bullet"/>
      <w:lvlText w:val="•"/>
      <w:lvlJc w:val="left"/>
      <w:pPr>
        <w:ind w:left="1838" w:hanging="262"/>
      </w:pPr>
      <w:rPr>
        <w:rFonts w:hint="default"/>
        <w:lang w:val="zh-CN" w:eastAsia="zh-CN" w:bidi="zh-CN"/>
      </w:rPr>
    </w:lvl>
    <w:lvl w:ilvl="2">
      <w:start w:val="0"/>
      <w:numFmt w:val="bullet"/>
      <w:lvlText w:val="•"/>
      <w:lvlJc w:val="left"/>
      <w:pPr>
        <w:ind w:left="2757" w:hanging="262"/>
      </w:pPr>
      <w:rPr>
        <w:rFonts w:hint="default"/>
        <w:lang w:val="zh-CN" w:eastAsia="zh-CN" w:bidi="zh-CN"/>
      </w:rPr>
    </w:lvl>
    <w:lvl w:ilvl="3">
      <w:start w:val="0"/>
      <w:numFmt w:val="bullet"/>
      <w:lvlText w:val="•"/>
      <w:lvlJc w:val="left"/>
      <w:pPr>
        <w:ind w:left="3675" w:hanging="262"/>
      </w:pPr>
      <w:rPr>
        <w:rFonts w:hint="default"/>
        <w:lang w:val="zh-CN" w:eastAsia="zh-CN" w:bidi="zh-CN"/>
      </w:rPr>
    </w:lvl>
    <w:lvl w:ilvl="4">
      <w:start w:val="0"/>
      <w:numFmt w:val="bullet"/>
      <w:lvlText w:val="•"/>
      <w:lvlJc w:val="left"/>
      <w:pPr>
        <w:ind w:left="4594" w:hanging="262"/>
      </w:pPr>
      <w:rPr>
        <w:rFonts w:hint="default"/>
        <w:lang w:val="zh-CN" w:eastAsia="zh-CN" w:bidi="zh-CN"/>
      </w:rPr>
    </w:lvl>
    <w:lvl w:ilvl="5">
      <w:start w:val="0"/>
      <w:numFmt w:val="bullet"/>
      <w:lvlText w:val="•"/>
      <w:lvlJc w:val="left"/>
      <w:pPr>
        <w:ind w:left="5513" w:hanging="262"/>
      </w:pPr>
      <w:rPr>
        <w:rFonts w:hint="default"/>
        <w:lang w:val="zh-CN" w:eastAsia="zh-CN" w:bidi="zh-CN"/>
      </w:rPr>
    </w:lvl>
    <w:lvl w:ilvl="6">
      <w:start w:val="0"/>
      <w:numFmt w:val="bullet"/>
      <w:lvlText w:val="•"/>
      <w:lvlJc w:val="left"/>
      <w:pPr>
        <w:ind w:left="6431" w:hanging="262"/>
      </w:pPr>
      <w:rPr>
        <w:rFonts w:hint="default"/>
        <w:lang w:val="zh-CN" w:eastAsia="zh-CN" w:bidi="zh-CN"/>
      </w:rPr>
    </w:lvl>
    <w:lvl w:ilvl="7">
      <w:start w:val="0"/>
      <w:numFmt w:val="bullet"/>
      <w:lvlText w:val="•"/>
      <w:lvlJc w:val="left"/>
      <w:pPr>
        <w:ind w:left="7350" w:hanging="262"/>
      </w:pPr>
      <w:rPr>
        <w:rFonts w:hint="default"/>
        <w:lang w:val="zh-CN" w:eastAsia="zh-CN" w:bidi="zh-CN"/>
      </w:rPr>
    </w:lvl>
    <w:lvl w:ilvl="8">
      <w:start w:val="0"/>
      <w:numFmt w:val="bullet"/>
      <w:lvlText w:val="•"/>
      <w:lvlJc w:val="left"/>
      <w:pPr>
        <w:ind w:left="8269" w:hanging="262"/>
      </w:pPr>
      <w:rPr>
        <w:rFonts w:hint="default"/>
        <w:lang w:val="zh-CN" w:eastAsia="zh-CN" w:bidi="zh-CN"/>
      </w:rPr>
    </w:lvl>
  </w:abstractNum>
  <w:abstractNum w:abstractNumId="8">
    <w:multiLevelType w:val="hybridMultilevel"/>
    <w:lvl w:ilvl="0">
      <w:start w:val="1"/>
      <w:numFmt w:val="decimal"/>
      <w:lvlText w:val="（%1）"/>
      <w:lvlJc w:val="left"/>
      <w:pPr>
        <w:ind w:left="1186" w:hanging="529"/>
        <w:jc w:val="left"/>
      </w:pPr>
      <w:rPr>
        <w:rFonts w:hint="default" w:ascii="Microsoft JhengHei" w:hAnsi="Microsoft JhengHei" w:eastAsia="Microsoft JhengHei" w:cs="Microsoft JhengHei"/>
        <w:b/>
        <w:bCs/>
        <w:spacing w:val="-3"/>
        <w:w w:val="100"/>
        <w:sz w:val="19"/>
        <w:szCs w:val="19"/>
        <w:lang w:val="zh-CN" w:eastAsia="zh-CN" w:bidi="zh-CN"/>
      </w:rPr>
    </w:lvl>
    <w:lvl w:ilvl="1">
      <w:start w:val="0"/>
      <w:numFmt w:val="bullet"/>
      <w:lvlText w:val="•"/>
      <w:lvlJc w:val="left"/>
      <w:pPr>
        <w:ind w:left="2072" w:hanging="529"/>
      </w:pPr>
      <w:rPr>
        <w:rFonts w:hint="default"/>
        <w:lang w:val="zh-CN" w:eastAsia="zh-CN" w:bidi="zh-CN"/>
      </w:rPr>
    </w:lvl>
    <w:lvl w:ilvl="2">
      <w:start w:val="0"/>
      <w:numFmt w:val="bullet"/>
      <w:lvlText w:val="•"/>
      <w:lvlJc w:val="left"/>
      <w:pPr>
        <w:ind w:left="2965" w:hanging="529"/>
      </w:pPr>
      <w:rPr>
        <w:rFonts w:hint="default"/>
        <w:lang w:val="zh-CN" w:eastAsia="zh-CN" w:bidi="zh-CN"/>
      </w:rPr>
    </w:lvl>
    <w:lvl w:ilvl="3">
      <w:start w:val="0"/>
      <w:numFmt w:val="bullet"/>
      <w:lvlText w:val="•"/>
      <w:lvlJc w:val="left"/>
      <w:pPr>
        <w:ind w:left="3857" w:hanging="529"/>
      </w:pPr>
      <w:rPr>
        <w:rFonts w:hint="default"/>
        <w:lang w:val="zh-CN" w:eastAsia="zh-CN" w:bidi="zh-CN"/>
      </w:rPr>
    </w:lvl>
    <w:lvl w:ilvl="4">
      <w:start w:val="0"/>
      <w:numFmt w:val="bullet"/>
      <w:lvlText w:val="•"/>
      <w:lvlJc w:val="left"/>
      <w:pPr>
        <w:ind w:left="4750" w:hanging="529"/>
      </w:pPr>
      <w:rPr>
        <w:rFonts w:hint="default"/>
        <w:lang w:val="zh-CN" w:eastAsia="zh-CN" w:bidi="zh-CN"/>
      </w:rPr>
    </w:lvl>
    <w:lvl w:ilvl="5">
      <w:start w:val="0"/>
      <w:numFmt w:val="bullet"/>
      <w:lvlText w:val="•"/>
      <w:lvlJc w:val="left"/>
      <w:pPr>
        <w:ind w:left="5643" w:hanging="529"/>
      </w:pPr>
      <w:rPr>
        <w:rFonts w:hint="default"/>
        <w:lang w:val="zh-CN" w:eastAsia="zh-CN" w:bidi="zh-CN"/>
      </w:rPr>
    </w:lvl>
    <w:lvl w:ilvl="6">
      <w:start w:val="0"/>
      <w:numFmt w:val="bullet"/>
      <w:lvlText w:val="•"/>
      <w:lvlJc w:val="left"/>
      <w:pPr>
        <w:ind w:left="6535" w:hanging="529"/>
      </w:pPr>
      <w:rPr>
        <w:rFonts w:hint="default"/>
        <w:lang w:val="zh-CN" w:eastAsia="zh-CN" w:bidi="zh-CN"/>
      </w:rPr>
    </w:lvl>
    <w:lvl w:ilvl="7">
      <w:start w:val="0"/>
      <w:numFmt w:val="bullet"/>
      <w:lvlText w:val="•"/>
      <w:lvlJc w:val="left"/>
      <w:pPr>
        <w:ind w:left="7428" w:hanging="529"/>
      </w:pPr>
      <w:rPr>
        <w:rFonts w:hint="default"/>
        <w:lang w:val="zh-CN" w:eastAsia="zh-CN" w:bidi="zh-CN"/>
      </w:rPr>
    </w:lvl>
    <w:lvl w:ilvl="8">
      <w:start w:val="0"/>
      <w:numFmt w:val="bullet"/>
      <w:lvlText w:val="•"/>
      <w:lvlJc w:val="left"/>
      <w:pPr>
        <w:ind w:left="8321" w:hanging="529"/>
      </w:pPr>
      <w:rPr>
        <w:rFonts w:hint="default"/>
        <w:lang w:val="zh-CN" w:eastAsia="zh-CN" w:bidi="zh-CN"/>
      </w:rPr>
    </w:lvl>
  </w:abstractNum>
  <w:abstractNum w:abstractNumId="7">
    <w:multiLevelType w:val="hybridMultilevel"/>
    <w:lvl w:ilvl="0">
      <w:start w:val="1"/>
      <w:numFmt w:val="decimal"/>
      <w:lvlText w:val="（%1）"/>
      <w:lvlJc w:val="left"/>
      <w:pPr>
        <w:ind w:left="1186" w:hanging="529"/>
        <w:jc w:val="left"/>
      </w:pPr>
      <w:rPr>
        <w:rFonts w:hint="default" w:ascii="Microsoft JhengHei" w:hAnsi="Microsoft JhengHei" w:eastAsia="Microsoft JhengHei" w:cs="Microsoft JhengHei"/>
        <w:b/>
        <w:bCs/>
        <w:spacing w:val="-3"/>
        <w:w w:val="100"/>
        <w:sz w:val="19"/>
        <w:szCs w:val="19"/>
        <w:lang w:val="zh-CN" w:eastAsia="zh-CN" w:bidi="zh-CN"/>
      </w:rPr>
    </w:lvl>
    <w:lvl w:ilvl="1">
      <w:start w:val="0"/>
      <w:numFmt w:val="bullet"/>
      <w:lvlText w:val="•"/>
      <w:lvlJc w:val="left"/>
      <w:pPr>
        <w:ind w:left="2072" w:hanging="529"/>
      </w:pPr>
      <w:rPr>
        <w:rFonts w:hint="default"/>
        <w:lang w:val="zh-CN" w:eastAsia="zh-CN" w:bidi="zh-CN"/>
      </w:rPr>
    </w:lvl>
    <w:lvl w:ilvl="2">
      <w:start w:val="0"/>
      <w:numFmt w:val="bullet"/>
      <w:lvlText w:val="•"/>
      <w:lvlJc w:val="left"/>
      <w:pPr>
        <w:ind w:left="2965" w:hanging="529"/>
      </w:pPr>
      <w:rPr>
        <w:rFonts w:hint="default"/>
        <w:lang w:val="zh-CN" w:eastAsia="zh-CN" w:bidi="zh-CN"/>
      </w:rPr>
    </w:lvl>
    <w:lvl w:ilvl="3">
      <w:start w:val="0"/>
      <w:numFmt w:val="bullet"/>
      <w:lvlText w:val="•"/>
      <w:lvlJc w:val="left"/>
      <w:pPr>
        <w:ind w:left="3857" w:hanging="529"/>
      </w:pPr>
      <w:rPr>
        <w:rFonts w:hint="default"/>
        <w:lang w:val="zh-CN" w:eastAsia="zh-CN" w:bidi="zh-CN"/>
      </w:rPr>
    </w:lvl>
    <w:lvl w:ilvl="4">
      <w:start w:val="0"/>
      <w:numFmt w:val="bullet"/>
      <w:lvlText w:val="•"/>
      <w:lvlJc w:val="left"/>
      <w:pPr>
        <w:ind w:left="4750" w:hanging="529"/>
      </w:pPr>
      <w:rPr>
        <w:rFonts w:hint="default"/>
        <w:lang w:val="zh-CN" w:eastAsia="zh-CN" w:bidi="zh-CN"/>
      </w:rPr>
    </w:lvl>
    <w:lvl w:ilvl="5">
      <w:start w:val="0"/>
      <w:numFmt w:val="bullet"/>
      <w:lvlText w:val="•"/>
      <w:lvlJc w:val="left"/>
      <w:pPr>
        <w:ind w:left="5643" w:hanging="529"/>
      </w:pPr>
      <w:rPr>
        <w:rFonts w:hint="default"/>
        <w:lang w:val="zh-CN" w:eastAsia="zh-CN" w:bidi="zh-CN"/>
      </w:rPr>
    </w:lvl>
    <w:lvl w:ilvl="6">
      <w:start w:val="0"/>
      <w:numFmt w:val="bullet"/>
      <w:lvlText w:val="•"/>
      <w:lvlJc w:val="left"/>
      <w:pPr>
        <w:ind w:left="6535" w:hanging="529"/>
      </w:pPr>
      <w:rPr>
        <w:rFonts w:hint="default"/>
        <w:lang w:val="zh-CN" w:eastAsia="zh-CN" w:bidi="zh-CN"/>
      </w:rPr>
    </w:lvl>
    <w:lvl w:ilvl="7">
      <w:start w:val="0"/>
      <w:numFmt w:val="bullet"/>
      <w:lvlText w:val="•"/>
      <w:lvlJc w:val="left"/>
      <w:pPr>
        <w:ind w:left="7428" w:hanging="529"/>
      </w:pPr>
      <w:rPr>
        <w:rFonts w:hint="default"/>
        <w:lang w:val="zh-CN" w:eastAsia="zh-CN" w:bidi="zh-CN"/>
      </w:rPr>
    </w:lvl>
    <w:lvl w:ilvl="8">
      <w:start w:val="0"/>
      <w:numFmt w:val="bullet"/>
      <w:lvlText w:val="•"/>
      <w:lvlJc w:val="left"/>
      <w:pPr>
        <w:ind w:left="8321" w:hanging="529"/>
      </w:pPr>
      <w:rPr>
        <w:rFonts w:hint="default"/>
        <w:lang w:val="zh-CN" w:eastAsia="zh-CN" w:bidi="zh-CN"/>
      </w:rPr>
    </w:lvl>
  </w:abstractNum>
  <w:abstractNum w:abstractNumId="6">
    <w:multiLevelType w:val="hybridMultilevel"/>
    <w:lvl w:ilvl="0">
      <w:start w:val="1"/>
      <w:numFmt w:val="decimal"/>
      <w:lvlText w:val="（%1）"/>
      <w:lvlJc w:val="left"/>
      <w:pPr>
        <w:ind w:left="1186" w:hanging="529"/>
        <w:jc w:val="left"/>
      </w:pPr>
      <w:rPr>
        <w:rFonts w:hint="default"/>
        <w:b/>
        <w:bCs/>
        <w:spacing w:val="-3"/>
        <w:w w:val="100"/>
        <w:lang w:val="zh-CN" w:eastAsia="zh-CN" w:bidi="zh-CN"/>
      </w:rPr>
    </w:lvl>
    <w:lvl w:ilvl="1">
      <w:start w:val="0"/>
      <w:numFmt w:val="bullet"/>
      <w:lvlText w:val="•"/>
      <w:lvlJc w:val="left"/>
      <w:pPr>
        <w:ind w:left="2072" w:hanging="529"/>
      </w:pPr>
      <w:rPr>
        <w:rFonts w:hint="default"/>
        <w:lang w:val="zh-CN" w:eastAsia="zh-CN" w:bidi="zh-CN"/>
      </w:rPr>
    </w:lvl>
    <w:lvl w:ilvl="2">
      <w:start w:val="0"/>
      <w:numFmt w:val="bullet"/>
      <w:lvlText w:val="•"/>
      <w:lvlJc w:val="left"/>
      <w:pPr>
        <w:ind w:left="2965" w:hanging="529"/>
      </w:pPr>
      <w:rPr>
        <w:rFonts w:hint="default"/>
        <w:lang w:val="zh-CN" w:eastAsia="zh-CN" w:bidi="zh-CN"/>
      </w:rPr>
    </w:lvl>
    <w:lvl w:ilvl="3">
      <w:start w:val="0"/>
      <w:numFmt w:val="bullet"/>
      <w:lvlText w:val="•"/>
      <w:lvlJc w:val="left"/>
      <w:pPr>
        <w:ind w:left="3857" w:hanging="529"/>
      </w:pPr>
      <w:rPr>
        <w:rFonts w:hint="default"/>
        <w:lang w:val="zh-CN" w:eastAsia="zh-CN" w:bidi="zh-CN"/>
      </w:rPr>
    </w:lvl>
    <w:lvl w:ilvl="4">
      <w:start w:val="0"/>
      <w:numFmt w:val="bullet"/>
      <w:lvlText w:val="•"/>
      <w:lvlJc w:val="left"/>
      <w:pPr>
        <w:ind w:left="4750" w:hanging="529"/>
      </w:pPr>
      <w:rPr>
        <w:rFonts w:hint="default"/>
        <w:lang w:val="zh-CN" w:eastAsia="zh-CN" w:bidi="zh-CN"/>
      </w:rPr>
    </w:lvl>
    <w:lvl w:ilvl="5">
      <w:start w:val="0"/>
      <w:numFmt w:val="bullet"/>
      <w:lvlText w:val="•"/>
      <w:lvlJc w:val="left"/>
      <w:pPr>
        <w:ind w:left="5643" w:hanging="529"/>
      </w:pPr>
      <w:rPr>
        <w:rFonts w:hint="default"/>
        <w:lang w:val="zh-CN" w:eastAsia="zh-CN" w:bidi="zh-CN"/>
      </w:rPr>
    </w:lvl>
    <w:lvl w:ilvl="6">
      <w:start w:val="0"/>
      <w:numFmt w:val="bullet"/>
      <w:lvlText w:val="•"/>
      <w:lvlJc w:val="left"/>
      <w:pPr>
        <w:ind w:left="6535" w:hanging="529"/>
      </w:pPr>
      <w:rPr>
        <w:rFonts w:hint="default"/>
        <w:lang w:val="zh-CN" w:eastAsia="zh-CN" w:bidi="zh-CN"/>
      </w:rPr>
    </w:lvl>
    <w:lvl w:ilvl="7">
      <w:start w:val="0"/>
      <w:numFmt w:val="bullet"/>
      <w:lvlText w:val="•"/>
      <w:lvlJc w:val="left"/>
      <w:pPr>
        <w:ind w:left="7428" w:hanging="529"/>
      </w:pPr>
      <w:rPr>
        <w:rFonts w:hint="default"/>
        <w:lang w:val="zh-CN" w:eastAsia="zh-CN" w:bidi="zh-CN"/>
      </w:rPr>
    </w:lvl>
    <w:lvl w:ilvl="8">
      <w:start w:val="0"/>
      <w:numFmt w:val="bullet"/>
      <w:lvlText w:val="•"/>
      <w:lvlJc w:val="left"/>
      <w:pPr>
        <w:ind w:left="8321" w:hanging="529"/>
      </w:pPr>
      <w:rPr>
        <w:rFonts w:hint="default"/>
        <w:lang w:val="zh-CN" w:eastAsia="zh-CN" w:bidi="zh-CN"/>
      </w:rPr>
    </w:lvl>
  </w:abstractNum>
  <w:abstractNum w:abstractNumId="5">
    <w:multiLevelType w:val="hybridMultilevel"/>
    <w:lvl w:ilvl="0">
      <w:start w:val="1"/>
      <w:numFmt w:val="decimal"/>
      <w:lvlText w:val="(%1)"/>
      <w:lvlJc w:val="left"/>
      <w:pPr>
        <w:ind w:left="1082" w:hanging="425"/>
        <w:jc w:val="left"/>
      </w:pPr>
      <w:rPr>
        <w:rFonts w:hint="default" w:ascii="Times New Roman" w:hAnsi="Times New Roman" w:eastAsia="Times New Roman" w:cs="Times New Roman"/>
        <w:b/>
        <w:bCs/>
        <w:spacing w:val="-1"/>
        <w:w w:val="100"/>
        <w:sz w:val="21"/>
        <w:szCs w:val="21"/>
        <w:lang w:val="zh-CN" w:eastAsia="zh-CN" w:bidi="zh-CN"/>
      </w:rPr>
    </w:lvl>
    <w:lvl w:ilvl="1">
      <w:start w:val="0"/>
      <w:numFmt w:val="bullet"/>
      <w:lvlText w:val="•"/>
      <w:lvlJc w:val="left"/>
      <w:pPr>
        <w:ind w:left="1982" w:hanging="425"/>
      </w:pPr>
      <w:rPr>
        <w:rFonts w:hint="default"/>
        <w:lang w:val="zh-CN" w:eastAsia="zh-CN" w:bidi="zh-CN"/>
      </w:rPr>
    </w:lvl>
    <w:lvl w:ilvl="2">
      <w:start w:val="0"/>
      <w:numFmt w:val="bullet"/>
      <w:lvlText w:val="•"/>
      <w:lvlJc w:val="left"/>
      <w:pPr>
        <w:ind w:left="2885" w:hanging="425"/>
      </w:pPr>
      <w:rPr>
        <w:rFonts w:hint="default"/>
        <w:lang w:val="zh-CN" w:eastAsia="zh-CN" w:bidi="zh-CN"/>
      </w:rPr>
    </w:lvl>
    <w:lvl w:ilvl="3">
      <w:start w:val="0"/>
      <w:numFmt w:val="bullet"/>
      <w:lvlText w:val="•"/>
      <w:lvlJc w:val="left"/>
      <w:pPr>
        <w:ind w:left="3787" w:hanging="425"/>
      </w:pPr>
      <w:rPr>
        <w:rFonts w:hint="default"/>
        <w:lang w:val="zh-CN" w:eastAsia="zh-CN" w:bidi="zh-CN"/>
      </w:rPr>
    </w:lvl>
    <w:lvl w:ilvl="4">
      <w:start w:val="0"/>
      <w:numFmt w:val="bullet"/>
      <w:lvlText w:val="•"/>
      <w:lvlJc w:val="left"/>
      <w:pPr>
        <w:ind w:left="4690" w:hanging="425"/>
      </w:pPr>
      <w:rPr>
        <w:rFonts w:hint="default"/>
        <w:lang w:val="zh-CN" w:eastAsia="zh-CN" w:bidi="zh-CN"/>
      </w:rPr>
    </w:lvl>
    <w:lvl w:ilvl="5">
      <w:start w:val="0"/>
      <w:numFmt w:val="bullet"/>
      <w:lvlText w:val="•"/>
      <w:lvlJc w:val="left"/>
      <w:pPr>
        <w:ind w:left="5593" w:hanging="425"/>
      </w:pPr>
      <w:rPr>
        <w:rFonts w:hint="default"/>
        <w:lang w:val="zh-CN" w:eastAsia="zh-CN" w:bidi="zh-CN"/>
      </w:rPr>
    </w:lvl>
    <w:lvl w:ilvl="6">
      <w:start w:val="0"/>
      <w:numFmt w:val="bullet"/>
      <w:lvlText w:val="•"/>
      <w:lvlJc w:val="left"/>
      <w:pPr>
        <w:ind w:left="6495" w:hanging="425"/>
      </w:pPr>
      <w:rPr>
        <w:rFonts w:hint="default"/>
        <w:lang w:val="zh-CN" w:eastAsia="zh-CN" w:bidi="zh-CN"/>
      </w:rPr>
    </w:lvl>
    <w:lvl w:ilvl="7">
      <w:start w:val="0"/>
      <w:numFmt w:val="bullet"/>
      <w:lvlText w:val="•"/>
      <w:lvlJc w:val="left"/>
      <w:pPr>
        <w:ind w:left="7398" w:hanging="425"/>
      </w:pPr>
      <w:rPr>
        <w:rFonts w:hint="default"/>
        <w:lang w:val="zh-CN" w:eastAsia="zh-CN" w:bidi="zh-CN"/>
      </w:rPr>
    </w:lvl>
    <w:lvl w:ilvl="8">
      <w:start w:val="0"/>
      <w:numFmt w:val="bullet"/>
      <w:lvlText w:val="•"/>
      <w:lvlJc w:val="left"/>
      <w:pPr>
        <w:ind w:left="8301" w:hanging="425"/>
      </w:pPr>
      <w:rPr>
        <w:rFonts w:hint="default"/>
        <w:lang w:val="zh-CN" w:eastAsia="zh-CN" w:bidi="zh-CN"/>
      </w:rPr>
    </w:lvl>
  </w:abstractNum>
  <w:abstractNum w:abstractNumId="4">
    <w:multiLevelType w:val="hybridMultilevel"/>
    <w:lvl w:ilvl="0">
      <w:start w:val="0"/>
      <w:numFmt w:val="bullet"/>
      <w:lvlText w:val="•"/>
      <w:lvlJc w:val="left"/>
      <w:pPr>
        <w:ind w:left="237" w:hanging="178"/>
      </w:pPr>
      <w:rPr>
        <w:rFonts w:hint="default" w:ascii="Times New Roman" w:hAnsi="Times New Roman" w:eastAsia="Times New Roman" w:cs="Times New Roman"/>
        <w:b/>
        <w:bCs/>
        <w:w w:val="100"/>
        <w:sz w:val="21"/>
        <w:szCs w:val="21"/>
        <w:lang w:val="zh-CN" w:eastAsia="zh-CN" w:bidi="zh-CN"/>
      </w:rPr>
    </w:lvl>
    <w:lvl w:ilvl="1">
      <w:start w:val="0"/>
      <w:numFmt w:val="bullet"/>
      <w:lvlText w:val="•"/>
      <w:lvlJc w:val="left"/>
      <w:pPr>
        <w:ind w:left="1226" w:hanging="178"/>
      </w:pPr>
      <w:rPr>
        <w:rFonts w:hint="default"/>
        <w:lang w:val="zh-CN" w:eastAsia="zh-CN" w:bidi="zh-CN"/>
      </w:rPr>
    </w:lvl>
    <w:lvl w:ilvl="2">
      <w:start w:val="0"/>
      <w:numFmt w:val="bullet"/>
      <w:lvlText w:val="•"/>
      <w:lvlJc w:val="left"/>
      <w:pPr>
        <w:ind w:left="2213" w:hanging="178"/>
      </w:pPr>
      <w:rPr>
        <w:rFonts w:hint="default"/>
        <w:lang w:val="zh-CN" w:eastAsia="zh-CN" w:bidi="zh-CN"/>
      </w:rPr>
    </w:lvl>
    <w:lvl w:ilvl="3">
      <w:start w:val="0"/>
      <w:numFmt w:val="bullet"/>
      <w:lvlText w:val="•"/>
      <w:lvlJc w:val="left"/>
      <w:pPr>
        <w:ind w:left="3199" w:hanging="178"/>
      </w:pPr>
      <w:rPr>
        <w:rFonts w:hint="default"/>
        <w:lang w:val="zh-CN" w:eastAsia="zh-CN" w:bidi="zh-CN"/>
      </w:rPr>
    </w:lvl>
    <w:lvl w:ilvl="4">
      <w:start w:val="0"/>
      <w:numFmt w:val="bullet"/>
      <w:lvlText w:val="•"/>
      <w:lvlJc w:val="left"/>
      <w:pPr>
        <w:ind w:left="4186" w:hanging="178"/>
      </w:pPr>
      <w:rPr>
        <w:rFonts w:hint="default"/>
        <w:lang w:val="zh-CN" w:eastAsia="zh-CN" w:bidi="zh-CN"/>
      </w:rPr>
    </w:lvl>
    <w:lvl w:ilvl="5">
      <w:start w:val="0"/>
      <w:numFmt w:val="bullet"/>
      <w:lvlText w:val="•"/>
      <w:lvlJc w:val="left"/>
      <w:pPr>
        <w:ind w:left="5173" w:hanging="178"/>
      </w:pPr>
      <w:rPr>
        <w:rFonts w:hint="default"/>
        <w:lang w:val="zh-CN" w:eastAsia="zh-CN" w:bidi="zh-CN"/>
      </w:rPr>
    </w:lvl>
    <w:lvl w:ilvl="6">
      <w:start w:val="0"/>
      <w:numFmt w:val="bullet"/>
      <w:lvlText w:val="•"/>
      <w:lvlJc w:val="left"/>
      <w:pPr>
        <w:ind w:left="6159" w:hanging="178"/>
      </w:pPr>
      <w:rPr>
        <w:rFonts w:hint="default"/>
        <w:lang w:val="zh-CN" w:eastAsia="zh-CN" w:bidi="zh-CN"/>
      </w:rPr>
    </w:lvl>
    <w:lvl w:ilvl="7">
      <w:start w:val="0"/>
      <w:numFmt w:val="bullet"/>
      <w:lvlText w:val="•"/>
      <w:lvlJc w:val="left"/>
      <w:pPr>
        <w:ind w:left="7146" w:hanging="178"/>
      </w:pPr>
      <w:rPr>
        <w:rFonts w:hint="default"/>
        <w:lang w:val="zh-CN" w:eastAsia="zh-CN" w:bidi="zh-CN"/>
      </w:rPr>
    </w:lvl>
    <w:lvl w:ilvl="8">
      <w:start w:val="0"/>
      <w:numFmt w:val="bullet"/>
      <w:lvlText w:val="•"/>
      <w:lvlJc w:val="left"/>
      <w:pPr>
        <w:ind w:left="8133" w:hanging="178"/>
      </w:pPr>
      <w:rPr>
        <w:rFonts w:hint="default"/>
        <w:lang w:val="zh-CN" w:eastAsia="zh-CN" w:bidi="zh-CN"/>
      </w:rPr>
    </w:lvl>
  </w:abstractNum>
  <w:abstractNum w:abstractNumId="3">
    <w:multiLevelType w:val="hybridMultilevel"/>
    <w:lvl w:ilvl="0">
      <w:start w:val="1"/>
      <w:numFmt w:val="decimal"/>
      <w:lvlText w:val="（%1）"/>
      <w:lvlJc w:val="left"/>
      <w:pPr>
        <w:ind w:left="237" w:hanging="529"/>
        <w:jc w:val="left"/>
      </w:pPr>
      <w:rPr>
        <w:rFonts w:hint="default" w:ascii="宋体" w:hAnsi="宋体" w:eastAsia="宋体" w:cs="宋体"/>
        <w:color w:val="221F1F"/>
        <w:spacing w:val="-27"/>
        <w:w w:val="100"/>
        <w:sz w:val="19"/>
        <w:szCs w:val="19"/>
        <w:lang w:val="zh-CN" w:eastAsia="zh-CN" w:bidi="zh-CN"/>
      </w:rPr>
    </w:lvl>
    <w:lvl w:ilvl="1">
      <w:start w:val="0"/>
      <w:numFmt w:val="bullet"/>
      <w:lvlText w:val="•"/>
      <w:lvlJc w:val="left"/>
      <w:pPr>
        <w:ind w:left="1226" w:hanging="529"/>
      </w:pPr>
      <w:rPr>
        <w:rFonts w:hint="default"/>
        <w:lang w:val="zh-CN" w:eastAsia="zh-CN" w:bidi="zh-CN"/>
      </w:rPr>
    </w:lvl>
    <w:lvl w:ilvl="2">
      <w:start w:val="0"/>
      <w:numFmt w:val="bullet"/>
      <w:lvlText w:val="•"/>
      <w:lvlJc w:val="left"/>
      <w:pPr>
        <w:ind w:left="2213" w:hanging="529"/>
      </w:pPr>
      <w:rPr>
        <w:rFonts w:hint="default"/>
        <w:lang w:val="zh-CN" w:eastAsia="zh-CN" w:bidi="zh-CN"/>
      </w:rPr>
    </w:lvl>
    <w:lvl w:ilvl="3">
      <w:start w:val="0"/>
      <w:numFmt w:val="bullet"/>
      <w:lvlText w:val="•"/>
      <w:lvlJc w:val="left"/>
      <w:pPr>
        <w:ind w:left="3199" w:hanging="529"/>
      </w:pPr>
      <w:rPr>
        <w:rFonts w:hint="default"/>
        <w:lang w:val="zh-CN" w:eastAsia="zh-CN" w:bidi="zh-CN"/>
      </w:rPr>
    </w:lvl>
    <w:lvl w:ilvl="4">
      <w:start w:val="0"/>
      <w:numFmt w:val="bullet"/>
      <w:lvlText w:val="•"/>
      <w:lvlJc w:val="left"/>
      <w:pPr>
        <w:ind w:left="4186" w:hanging="529"/>
      </w:pPr>
      <w:rPr>
        <w:rFonts w:hint="default"/>
        <w:lang w:val="zh-CN" w:eastAsia="zh-CN" w:bidi="zh-CN"/>
      </w:rPr>
    </w:lvl>
    <w:lvl w:ilvl="5">
      <w:start w:val="0"/>
      <w:numFmt w:val="bullet"/>
      <w:lvlText w:val="•"/>
      <w:lvlJc w:val="left"/>
      <w:pPr>
        <w:ind w:left="5173" w:hanging="529"/>
      </w:pPr>
      <w:rPr>
        <w:rFonts w:hint="default"/>
        <w:lang w:val="zh-CN" w:eastAsia="zh-CN" w:bidi="zh-CN"/>
      </w:rPr>
    </w:lvl>
    <w:lvl w:ilvl="6">
      <w:start w:val="0"/>
      <w:numFmt w:val="bullet"/>
      <w:lvlText w:val="•"/>
      <w:lvlJc w:val="left"/>
      <w:pPr>
        <w:ind w:left="6159" w:hanging="529"/>
      </w:pPr>
      <w:rPr>
        <w:rFonts w:hint="default"/>
        <w:lang w:val="zh-CN" w:eastAsia="zh-CN" w:bidi="zh-CN"/>
      </w:rPr>
    </w:lvl>
    <w:lvl w:ilvl="7">
      <w:start w:val="0"/>
      <w:numFmt w:val="bullet"/>
      <w:lvlText w:val="•"/>
      <w:lvlJc w:val="left"/>
      <w:pPr>
        <w:ind w:left="7146" w:hanging="529"/>
      </w:pPr>
      <w:rPr>
        <w:rFonts w:hint="default"/>
        <w:lang w:val="zh-CN" w:eastAsia="zh-CN" w:bidi="zh-CN"/>
      </w:rPr>
    </w:lvl>
    <w:lvl w:ilvl="8">
      <w:start w:val="0"/>
      <w:numFmt w:val="bullet"/>
      <w:lvlText w:val="•"/>
      <w:lvlJc w:val="left"/>
      <w:pPr>
        <w:ind w:left="8133" w:hanging="529"/>
      </w:pPr>
      <w:rPr>
        <w:rFonts w:hint="default"/>
        <w:lang w:val="zh-CN" w:eastAsia="zh-CN" w:bidi="zh-CN"/>
      </w:rPr>
    </w:lvl>
  </w:abstractNum>
  <w:abstractNum w:abstractNumId="2">
    <w:multiLevelType w:val="hybridMultilevel"/>
    <w:lvl w:ilvl="0">
      <w:start w:val="0"/>
      <w:numFmt w:val="bullet"/>
      <w:lvlText w:val="•"/>
      <w:lvlJc w:val="left"/>
      <w:pPr>
        <w:ind w:left="237" w:hanging="180"/>
      </w:pPr>
      <w:rPr>
        <w:rFonts w:hint="default" w:ascii="Times New Roman" w:hAnsi="Times New Roman" w:eastAsia="Times New Roman" w:cs="Times New Roman"/>
        <w:color w:val="221F1F"/>
        <w:w w:val="100"/>
        <w:sz w:val="21"/>
        <w:szCs w:val="21"/>
        <w:lang w:val="zh-CN" w:eastAsia="zh-CN" w:bidi="zh-CN"/>
      </w:rPr>
    </w:lvl>
    <w:lvl w:ilvl="1">
      <w:start w:val="0"/>
      <w:numFmt w:val="bullet"/>
      <w:lvlText w:val="•"/>
      <w:lvlJc w:val="left"/>
      <w:pPr>
        <w:ind w:left="1226" w:hanging="180"/>
      </w:pPr>
      <w:rPr>
        <w:rFonts w:hint="default"/>
        <w:lang w:val="zh-CN" w:eastAsia="zh-CN" w:bidi="zh-CN"/>
      </w:rPr>
    </w:lvl>
    <w:lvl w:ilvl="2">
      <w:start w:val="0"/>
      <w:numFmt w:val="bullet"/>
      <w:lvlText w:val="•"/>
      <w:lvlJc w:val="left"/>
      <w:pPr>
        <w:ind w:left="2213" w:hanging="180"/>
      </w:pPr>
      <w:rPr>
        <w:rFonts w:hint="default"/>
        <w:lang w:val="zh-CN" w:eastAsia="zh-CN" w:bidi="zh-CN"/>
      </w:rPr>
    </w:lvl>
    <w:lvl w:ilvl="3">
      <w:start w:val="0"/>
      <w:numFmt w:val="bullet"/>
      <w:lvlText w:val="•"/>
      <w:lvlJc w:val="left"/>
      <w:pPr>
        <w:ind w:left="3199" w:hanging="180"/>
      </w:pPr>
      <w:rPr>
        <w:rFonts w:hint="default"/>
        <w:lang w:val="zh-CN" w:eastAsia="zh-CN" w:bidi="zh-CN"/>
      </w:rPr>
    </w:lvl>
    <w:lvl w:ilvl="4">
      <w:start w:val="0"/>
      <w:numFmt w:val="bullet"/>
      <w:lvlText w:val="•"/>
      <w:lvlJc w:val="left"/>
      <w:pPr>
        <w:ind w:left="4186" w:hanging="180"/>
      </w:pPr>
      <w:rPr>
        <w:rFonts w:hint="default"/>
        <w:lang w:val="zh-CN" w:eastAsia="zh-CN" w:bidi="zh-CN"/>
      </w:rPr>
    </w:lvl>
    <w:lvl w:ilvl="5">
      <w:start w:val="0"/>
      <w:numFmt w:val="bullet"/>
      <w:lvlText w:val="•"/>
      <w:lvlJc w:val="left"/>
      <w:pPr>
        <w:ind w:left="5173" w:hanging="180"/>
      </w:pPr>
      <w:rPr>
        <w:rFonts w:hint="default"/>
        <w:lang w:val="zh-CN" w:eastAsia="zh-CN" w:bidi="zh-CN"/>
      </w:rPr>
    </w:lvl>
    <w:lvl w:ilvl="6">
      <w:start w:val="0"/>
      <w:numFmt w:val="bullet"/>
      <w:lvlText w:val="•"/>
      <w:lvlJc w:val="left"/>
      <w:pPr>
        <w:ind w:left="6159" w:hanging="180"/>
      </w:pPr>
      <w:rPr>
        <w:rFonts w:hint="default"/>
        <w:lang w:val="zh-CN" w:eastAsia="zh-CN" w:bidi="zh-CN"/>
      </w:rPr>
    </w:lvl>
    <w:lvl w:ilvl="7">
      <w:start w:val="0"/>
      <w:numFmt w:val="bullet"/>
      <w:lvlText w:val="•"/>
      <w:lvlJc w:val="left"/>
      <w:pPr>
        <w:ind w:left="7146" w:hanging="180"/>
      </w:pPr>
      <w:rPr>
        <w:rFonts w:hint="default"/>
        <w:lang w:val="zh-CN" w:eastAsia="zh-CN" w:bidi="zh-CN"/>
      </w:rPr>
    </w:lvl>
    <w:lvl w:ilvl="8">
      <w:start w:val="0"/>
      <w:numFmt w:val="bullet"/>
      <w:lvlText w:val="•"/>
      <w:lvlJc w:val="left"/>
      <w:pPr>
        <w:ind w:left="8133" w:hanging="180"/>
      </w:pPr>
      <w:rPr>
        <w:rFonts w:hint="default"/>
        <w:lang w:val="zh-CN" w:eastAsia="zh-CN" w:bidi="zh-CN"/>
      </w:rPr>
    </w:lvl>
  </w:abstractNum>
  <w:abstractNum w:abstractNumId="1">
    <w:multiLevelType w:val="hybridMultilevel"/>
    <w:lvl w:ilvl="0">
      <w:start w:val="1"/>
      <w:numFmt w:val="decimal"/>
      <w:lvlText w:val="（%1）"/>
      <w:lvlJc w:val="left"/>
      <w:pPr>
        <w:ind w:left="1191" w:hanging="529"/>
        <w:jc w:val="left"/>
      </w:pPr>
      <w:rPr>
        <w:rFonts w:hint="default" w:ascii="宋体" w:hAnsi="宋体" w:eastAsia="宋体" w:cs="宋体"/>
        <w:spacing w:val="-13"/>
        <w:w w:val="100"/>
        <w:sz w:val="19"/>
        <w:szCs w:val="19"/>
        <w:lang w:val="zh-CN" w:eastAsia="zh-CN" w:bidi="zh-CN"/>
      </w:rPr>
    </w:lvl>
    <w:lvl w:ilvl="1">
      <w:start w:val="0"/>
      <w:numFmt w:val="bullet"/>
      <w:lvlText w:val="•"/>
      <w:lvlJc w:val="left"/>
      <w:pPr>
        <w:ind w:left="2090" w:hanging="529"/>
      </w:pPr>
      <w:rPr>
        <w:rFonts w:hint="default"/>
        <w:lang w:val="zh-CN" w:eastAsia="zh-CN" w:bidi="zh-CN"/>
      </w:rPr>
    </w:lvl>
    <w:lvl w:ilvl="2">
      <w:start w:val="0"/>
      <w:numFmt w:val="bullet"/>
      <w:lvlText w:val="•"/>
      <w:lvlJc w:val="left"/>
      <w:pPr>
        <w:ind w:left="2981" w:hanging="529"/>
      </w:pPr>
      <w:rPr>
        <w:rFonts w:hint="default"/>
        <w:lang w:val="zh-CN" w:eastAsia="zh-CN" w:bidi="zh-CN"/>
      </w:rPr>
    </w:lvl>
    <w:lvl w:ilvl="3">
      <w:start w:val="0"/>
      <w:numFmt w:val="bullet"/>
      <w:lvlText w:val="•"/>
      <w:lvlJc w:val="left"/>
      <w:pPr>
        <w:ind w:left="3871" w:hanging="529"/>
      </w:pPr>
      <w:rPr>
        <w:rFonts w:hint="default"/>
        <w:lang w:val="zh-CN" w:eastAsia="zh-CN" w:bidi="zh-CN"/>
      </w:rPr>
    </w:lvl>
    <w:lvl w:ilvl="4">
      <w:start w:val="0"/>
      <w:numFmt w:val="bullet"/>
      <w:lvlText w:val="•"/>
      <w:lvlJc w:val="left"/>
      <w:pPr>
        <w:ind w:left="4762" w:hanging="529"/>
      </w:pPr>
      <w:rPr>
        <w:rFonts w:hint="default"/>
        <w:lang w:val="zh-CN" w:eastAsia="zh-CN" w:bidi="zh-CN"/>
      </w:rPr>
    </w:lvl>
    <w:lvl w:ilvl="5">
      <w:start w:val="0"/>
      <w:numFmt w:val="bullet"/>
      <w:lvlText w:val="•"/>
      <w:lvlJc w:val="left"/>
      <w:pPr>
        <w:ind w:left="5653" w:hanging="529"/>
      </w:pPr>
      <w:rPr>
        <w:rFonts w:hint="default"/>
        <w:lang w:val="zh-CN" w:eastAsia="zh-CN" w:bidi="zh-CN"/>
      </w:rPr>
    </w:lvl>
    <w:lvl w:ilvl="6">
      <w:start w:val="0"/>
      <w:numFmt w:val="bullet"/>
      <w:lvlText w:val="•"/>
      <w:lvlJc w:val="left"/>
      <w:pPr>
        <w:ind w:left="6543" w:hanging="529"/>
      </w:pPr>
      <w:rPr>
        <w:rFonts w:hint="default"/>
        <w:lang w:val="zh-CN" w:eastAsia="zh-CN" w:bidi="zh-CN"/>
      </w:rPr>
    </w:lvl>
    <w:lvl w:ilvl="7">
      <w:start w:val="0"/>
      <w:numFmt w:val="bullet"/>
      <w:lvlText w:val="•"/>
      <w:lvlJc w:val="left"/>
      <w:pPr>
        <w:ind w:left="7434" w:hanging="529"/>
      </w:pPr>
      <w:rPr>
        <w:rFonts w:hint="default"/>
        <w:lang w:val="zh-CN" w:eastAsia="zh-CN" w:bidi="zh-CN"/>
      </w:rPr>
    </w:lvl>
    <w:lvl w:ilvl="8">
      <w:start w:val="0"/>
      <w:numFmt w:val="bullet"/>
      <w:lvlText w:val="•"/>
      <w:lvlJc w:val="left"/>
      <w:pPr>
        <w:ind w:left="8325" w:hanging="529"/>
      </w:pPr>
      <w:rPr>
        <w:rFonts w:hint="default"/>
        <w:lang w:val="zh-CN" w:eastAsia="zh-CN" w:bidi="zh-CN"/>
      </w:rPr>
    </w:lvl>
  </w:abstractNum>
  <w:abstractNum w:abstractNumId="0">
    <w:multiLevelType w:val="hybridMultilevel"/>
    <w:lvl w:ilvl="0">
      <w:start w:val="1"/>
      <w:numFmt w:val="decimal"/>
      <w:lvlText w:val="%1."/>
      <w:lvlJc w:val="left"/>
      <w:pPr>
        <w:ind w:left="758" w:hanging="392"/>
        <w:jc w:val="left"/>
      </w:pPr>
      <w:rPr>
        <w:rFonts w:hint="default"/>
        <w:w w:val="100"/>
        <w:lang w:val="zh-CN" w:eastAsia="zh-CN" w:bidi="zh-CN"/>
      </w:rPr>
    </w:lvl>
    <w:lvl w:ilvl="1">
      <w:start w:val="0"/>
      <w:numFmt w:val="bullet"/>
      <w:lvlText w:val="•"/>
      <w:lvlJc w:val="left"/>
      <w:pPr>
        <w:ind w:left="1694" w:hanging="392"/>
      </w:pPr>
      <w:rPr>
        <w:rFonts w:hint="default"/>
        <w:lang w:val="zh-CN" w:eastAsia="zh-CN" w:bidi="zh-CN"/>
      </w:rPr>
    </w:lvl>
    <w:lvl w:ilvl="2">
      <w:start w:val="0"/>
      <w:numFmt w:val="bullet"/>
      <w:lvlText w:val="•"/>
      <w:lvlJc w:val="left"/>
      <w:pPr>
        <w:ind w:left="2629" w:hanging="392"/>
      </w:pPr>
      <w:rPr>
        <w:rFonts w:hint="default"/>
        <w:lang w:val="zh-CN" w:eastAsia="zh-CN" w:bidi="zh-CN"/>
      </w:rPr>
    </w:lvl>
    <w:lvl w:ilvl="3">
      <w:start w:val="0"/>
      <w:numFmt w:val="bullet"/>
      <w:lvlText w:val="•"/>
      <w:lvlJc w:val="left"/>
      <w:pPr>
        <w:ind w:left="3563" w:hanging="392"/>
      </w:pPr>
      <w:rPr>
        <w:rFonts w:hint="default"/>
        <w:lang w:val="zh-CN" w:eastAsia="zh-CN" w:bidi="zh-CN"/>
      </w:rPr>
    </w:lvl>
    <w:lvl w:ilvl="4">
      <w:start w:val="0"/>
      <w:numFmt w:val="bullet"/>
      <w:lvlText w:val="•"/>
      <w:lvlJc w:val="left"/>
      <w:pPr>
        <w:ind w:left="4498" w:hanging="392"/>
      </w:pPr>
      <w:rPr>
        <w:rFonts w:hint="default"/>
        <w:lang w:val="zh-CN" w:eastAsia="zh-CN" w:bidi="zh-CN"/>
      </w:rPr>
    </w:lvl>
    <w:lvl w:ilvl="5">
      <w:start w:val="0"/>
      <w:numFmt w:val="bullet"/>
      <w:lvlText w:val="•"/>
      <w:lvlJc w:val="left"/>
      <w:pPr>
        <w:ind w:left="5433" w:hanging="392"/>
      </w:pPr>
      <w:rPr>
        <w:rFonts w:hint="default"/>
        <w:lang w:val="zh-CN" w:eastAsia="zh-CN" w:bidi="zh-CN"/>
      </w:rPr>
    </w:lvl>
    <w:lvl w:ilvl="6">
      <w:start w:val="0"/>
      <w:numFmt w:val="bullet"/>
      <w:lvlText w:val="•"/>
      <w:lvlJc w:val="left"/>
      <w:pPr>
        <w:ind w:left="6367" w:hanging="392"/>
      </w:pPr>
      <w:rPr>
        <w:rFonts w:hint="default"/>
        <w:lang w:val="zh-CN" w:eastAsia="zh-CN" w:bidi="zh-CN"/>
      </w:rPr>
    </w:lvl>
    <w:lvl w:ilvl="7">
      <w:start w:val="0"/>
      <w:numFmt w:val="bullet"/>
      <w:lvlText w:val="•"/>
      <w:lvlJc w:val="left"/>
      <w:pPr>
        <w:ind w:left="7302" w:hanging="392"/>
      </w:pPr>
      <w:rPr>
        <w:rFonts w:hint="default"/>
        <w:lang w:val="zh-CN" w:eastAsia="zh-CN" w:bidi="zh-CN"/>
      </w:rPr>
    </w:lvl>
    <w:lvl w:ilvl="8">
      <w:start w:val="0"/>
      <w:numFmt w:val="bullet"/>
      <w:lvlText w:val="•"/>
      <w:lvlJc w:val="left"/>
      <w:pPr>
        <w:ind w:left="8237" w:hanging="392"/>
      </w:pPr>
      <w:rPr>
        <w:rFonts w:hint="default"/>
        <w:lang w:val="zh-CN" w:eastAsia="zh-CN" w:bidi="zh-CN"/>
      </w:rPr>
    </w:lvl>
  </w:abstractNum>
  <w:num w:numId="73">
    <w:abstractNumId w:val="72"/>
  </w:num>
  <w:num w:numId="29">
    <w:abstractNumId w:val="28"/>
  </w:num>
  <w:num w:numId="74">
    <w:abstractNumId w:val="73"/>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TOC1" w:type="paragraph">
    <w:name w:val="TOC 1"/>
    <w:basedOn w:val="Normal"/>
    <w:uiPriority w:val="1"/>
    <w:qFormat/>
    <w:pPr>
      <w:spacing w:before="139"/>
      <w:ind w:left="758"/>
    </w:pPr>
    <w:rPr>
      <w:rFonts w:ascii="宋体" w:hAnsi="宋体" w:eastAsia="宋体" w:cs="宋体"/>
      <w:sz w:val="21"/>
      <w:szCs w:val="21"/>
      <w:lang w:val="zh-CN" w:eastAsia="zh-CN" w:bidi="zh-CN"/>
    </w:rPr>
  </w:style>
  <w:style w:styleId="BodyText" w:type="paragraph">
    <w:name w:val="Body Text"/>
    <w:basedOn w:val="Normal"/>
    <w:uiPriority w:val="1"/>
    <w:qFormat/>
    <w:pPr/>
    <w:rPr>
      <w:rFonts w:ascii="宋体" w:hAnsi="宋体" w:eastAsia="宋体" w:cs="宋体"/>
      <w:sz w:val="21"/>
      <w:szCs w:val="21"/>
      <w:lang w:val="zh-CN" w:eastAsia="zh-CN" w:bidi="zh-CN"/>
    </w:rPr>
  </w:style>
  <w:style w:styleId="Heading1" w:type="paragraph">
    <w:name w:val="Heading 1"/>
    <w:basedOn w:val="Normal"/>
    <w:uiPriority w:val="1"/>
    <w:qFormat/>
    <w:pPr>
      <w:spacing w:line="484" w:lineRule="exact"/>
      <w:jc w:val="center"/>
      <w:outlineLvl w:val="1"/>
    </w:pPr>
    <w:rPr>
      <w:rFonts w:ascii="Microsoft JhengHei" w:hAnsi="Microsoft JhengHei" w:eastAsia="Microsoft JhengHei" w:cs="Microsoft JhengHei"/>
      <w:b/>
      <w:bCs/>
      <w:sz w:val="28"/>
      <w:szCs w:val="28"/>
      <w:lang w:val="zh-CN" w:eastAsia="zh-CN" w:bidi="zh-CN"/>
    </w:rPr>
  </w:style>
  <w:style w:styleId="Heading2" w:type="paragraph">
    <w:name w:val="Heading 2"/>
    <w:basedOn w:val="Normal"/>
    <w:uiPriority w:val="1"/>
    <w:qFormat/>
    <w:pPr>
      <w:ind w:left="657"/>
      <w:outlineLvl w:val="2"/>
    </w:pPr>
    <w:rPr>
      <w:rFonts w:ascii="Microsoft JhengHei" w:hAnsi="Microsoft JhengHei" w:eastAsia="Microsoft JhengHei" w:cs="Microsoft JhengHei"/>
      <w:b/>
      <w:bCs/>
      <w:sz w:val="24"/>
      <w:szCs w:val="24"/>
      <w:lang w:val="zh-CN" w:eastAsia="zh-CN" w:bidi="zh-CN"/>
    </w:rPr>
  </w:style>
  <w:style w:styleId="Heading3" w:type="paragraph">
    <w:name w:val="Heading 3"/>
    <w:basedOn w:val="Normal"/>
    <w:uiPriority w:val="1"/>
    <w:qFormat/>
    <w:pPr>
      <w:spacing w:before="179"/>
      <w:ind w:left="1538" w:right="1272" w:firstLine="439"/>
      <w:outlineLvl w:val="3"/>
    </w:pPr>
    <w:rPr>
      <w:rFonts w:ascii="宋体" w:hAnsi="宋体" w:eastAsia="宋体" w:cs="宋体"/>
      <w:sz w:val="22"/>
      <w:szCs w:val="22"/>
      <w:lang w:val="zh-CN" w:eastAsia="zh-CN" w:bidi="zh-CN"/>
    </w:rPr>
  </w:style>
  <w:style w:styleId="Heading4" w:type="paragraph">
    <w:name w:val="Heading 4"/>
    <w:basedOn w:val="Normal"/>
    <w:uiPriority w:val="1"/>
    <w:qFormat/>
    <w:pPr>
      <w:ind w:left="1538"/>
      <w:outlineLvl w:val="4"/>
    </w:pPr>
    <w:rPr>
      <w:rFonts w:ascii="Microsoft JhengHei" w:hAnsi="Microsoft JhengHei" w:eastAsia="Microsoft JhengHei" w:cs="Microsoft JhengHei"/>
      <w:b/>
      <w:bCs/>
      <w:sz w:val="21"/>
      <w:szCs w:val="21"/>
      <w:lang w:val="zh-CN" w:eastAsia="zh-CN" w:bidi="zh-CN"/>
    </w:rPr>
  </w:style>
  <w:style w:styleId="ListParagraph" w:type="paragraph">
    <w:name w:val="List Paragraph"/>
    <w:basedOn w:val="Normal"/>
    <w:uiPriority w:val="1"/>
    <w:qFormat/>
    <w:pPr>
      <w:ind w:left="1962" w:hanging="529"/>
    </w:pPr>
    <w:rPr>
      <w:rFonts w:ascii="宋体" w:hAnsi="宋体" w:eastAsia="宋体" w:cs="宋体"/>
      <w:lang w:val="zh-CN" w:eastAsia="zh-CN" w:bidi="zh-CN"/>
    </w:rPr>
  </w:style>
  <w:style w:styleId="TableParagraph" w:type="paragraph">
    <w:name w:val="Table Paragraph"/>
    <w:basedOn w:val="Normal"/>
    <w:uiPriority w:val="1"/>
    <w:qFormat/>
    <w:pPr/>
    <w:rPr>
      <w:rFonts w:ascii="Times New Roman" w:hAnsi="Times New Roman" w:eastAsia="Times New Roman" w:cs="Times New Roman"/>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yperlink" Target="mailto:finance@haier.com" TargetMode="External"/><Relationship Id="rId11" Type="http://schemas.openxmlformats.org/officeDocument/2006/relationships/hyperlink" Target="mailto:Y.sun@haier.de" TargetMode="External"/><Relationship Id="rId12" Type="http://schemas.openxmlformats.org/officeDocument/2006/relationships/hyperlink" Target="mailto:ir@haier.hk" TargetMode="External"/><Relationship Id="rId13" Type="http://schemas.openxmlformats.org/officeDocument/2006/relationships/hyperlink" Target="mailto:9999@haier.com" TargetMode="External"/><Relationship Id="rId14" Type="http://schemas.openxmlformats.org/officeDocument/2006/relationships/hyperlink" Target="http://www.sse.com.cn/" TargetMode="External"/><Relationship Id="rId15" Type="http://schemas.openxmlformats.org/officeDocument/2006/relationships/hyperlink" Target="http://www.xetra.com/" TargetMode="External"/><Relationship Id="rId16" Type="http://schemas.openxmlformats.org/officeDocument/2006/relationships/hyperlink" Target="http://www.dgap.de/" TargetMode="External"/><Relationship Id="rId17" Type="http://schemas.openxmlformats.org/officeDocument/2006/relationships/hyperlink" Target="http://www.hkexnews.hk/" TargetMode="External"/><Relationship Id="rId18" Type="http://schemas.openxmlformats.org/officeDocument/2006/relationships/header" Target="header3.xml"/><Relationship Id="rId19" Type="http://schemas.openxmlformats.org/officeDocument/2006/relationships/footer" Target="footer3.xml"/><Relationship Id="rId20" Type="http://schemas.openxmlformats.org/officeDocument/2006/relationships/header" Target="header4.xml"/><Relationship Id="rId21" Type="http://schemas.openxmlformats.org/officeDocument/2006/relationships/footer" Target="footer4.xml"/><Relationship Id="rId22" Type="http://schemas.openxmlformats.org/officeDocument/2006/relationships/header" Target="header5.xml"/><Relationship Id="rId23" Type="http://schemas.openxmlformats.org/officeDocument/2006/relationships/footer" Target="footer5.xml"/><Relationship Id="rId24" Type="http://schemas.openxmlformats.org/officeDocument/2006/relationships/header" Target="header6.xml"/><Relationship Id="rId25" Type="http://schemas.openxmlformats.org/officeDocument/2006/relationships/footer" Target="footer6.xml"/><Relationship Id="rId26" Type="http://schemas.openxmlformats.org/officeDocument/2006/relationships/header" Target="header7.xml"/><Relationship Id="rId27" Type="http://schemas.openxmlformats.org/officeDocument/2006/relationships/footer" Target="footer7.xml"/><Relationship Id="rId28" Type="http://schemas.openxmlformats.org/officeDocument/2006/relationships/header" Target="header8.xml"/><Relationship Id="rId29" Type="http://schemas.openxmlformats.org/officeDocument/2006/relationships/footer" Target="footer8.xml"/><Relationship Id="rId30" Type="http://schemas.openxmlformats.org/officeDocument/2006/relationships/header" Target="header9.xml"/><Relationship Id="rId31" Type="http://schemas.openxmlformats.org/officeDocument/2006/relationships/footer" Target="footer9.xml"/><Relationship Id="rId32" Type="http://schemas.openxmlformats.org/officeDocument/2006/relationships/header" Target="header10.xml"/><Relationship Id="rId33" Type="http://schemas.openxmlformats.org/officeDocument/2006/relationships/footer" Target="footer10.xml"/><Relationship Id="rId34" Type="http://schemas.openxmlformats.org/officeDocument/2006/relationships/header" Target="header11.xml"/><Relationship Id="rId35" Type="http://schemas.openxmlformats.org/officeDocument/2006/relationships/footer" Target="footer11.xml"/><Relationship Id="rId36" Type="http://schemas.openxmlformats.org/officeDocument/2006/relationships/header" Target="header12.xml"/><Relationship Id="rId37" Type="http://schemas.openxmlformats.org/officeDocument/2006/relationships/footer" Target="footer12.xml"/><Relationship Id="rId38" Type="http://schemas.openxmlformats.org/officeDocument/2006/relationships/header" Target="header13.xml"/><Relationship Id="rId39" Type="http://schemas.openxmlformats.org/officeDocument/2006/relationships/footer" Target="footer13.xml"/><Relationship Id="rId40" Type="http://schemas.openxmlformats.org/officeDocument/2006/relationships/header" Target="header14.xml"/><Relationship Id="rId41" Type="http://schemas.openxmlformats.org/officeDocument/2006/relationships/footer" Target="footer14.xml"/><Relationship Id="rId42" Type="http://schemas.openxmlformats.org/officeDocument/2006/relationships/header" Target="header15.xml"/><Relationship Id="rId43" Type="http://schemas.openxmlformats.org/officeDocument/2006/relationships/footer" Target="footer15.xml"/><Relationship Id="rId44" Type="http://schemas.openxmlformats.org/officeDocument/2006/relationships/hyperlink" Target="http://180.96.8.44/EquitySalesWeb/F9/BulletinNews/Bulletin.aspx?Version=2&amp;Remarks=SmartReader&amp;NewTerminal=true&amp;WindCode=600690.SH&amp;lan=cn&amp;file_39_2" TargetMode="External"/><Relationship Id="rId45" Type="http://schemas.openxmlformats.org/officeDocument/2006/relationships/header" Target="header16.xml"/><Relationship Id="rId46" Type="http://schemas.openxmlformats.org/officeDocument/2006/relationships/footer" Target="footer16.xml"/><Relationship Id="rId47" Type="http://schemas.openxmlformats.org/officeDocument/2006/relationships/header" Target="header17.xml"/><Relationship Id="rId48" Type="http://schemas.openxmlformats.org/officeDocument/2006/relationships/footer" Target="footer17.xml"/><Relationship Id="rId49" Type="http://schemas.openxmlformats.org/officeDocument/2006/relationships/header" Target="header18.xml"/><Relationship Id="rId50" Type="http://schemas.openxmlformats.org/officeDocument/2006/relationships/footer" Target="footer18.xml"/><Relationship Id="rId51" Type="http://schemas.openxmlformats.org/officeDocument/2006/relationships/header" Target="header19.xml"/><Relationship Id="rId52" Type="http://schemas.openxmlformats.org/officeDocument/2006/relationships/footer" Target="footer19.xml"/><Relationship Id="rId53" Type="http://schemas.openxmlformats.org/officeDocument/2006/relationships/header" Target="header20.xml"/><Relationship Id="rId54" Type="http://schemas.openxmlformats.org/officeDocument/2006/relationships/footer" Target="footer20.xml"/><Relationship Id="rId55" Type="http://schemas.openxmlformats.org/officeDocument/2006/relationships/header" Target="header21.xml"/><Relationship Id="rId56" Type="http://schemas.openxmlformats.org/officeDocument/2006/relationships/footer" Target="footer21.xml"/><Relationship Id="rId57" Type="http://schemas.openxmlformats.org/officeDocument/2006/relationships/header" Target="header22.xml"/><Relationship Id="rId58" Type="http://schemas.openxmlformats.org/officeDocument/2006/relationships/footer" Target="footer22.xml"/><Relationship Id="rId59" Type="http://schemas.openxmlformats.org/officeDocument/2006/relationships/header" Target="header23.xml"/><Relationship Id="rId60" Type="http://schemas.openxmlformats.org/officeDocument/2006/relationships/footer" Target="footer23.xml"/><Relationship Id="rId61" Type="http://schemas.openxmlformats.org/officeDocument/2006/relationships/header" Target="header24.xml"/><Relationship Id="rId62" Type="http://schemas.openxmlformats.org/officeDocument/2006/relationships/footer" Target="footer24.xml"/><Relationship Id="rId63" Type="http://schemas.openxmlformats.org/officeDocument/2006/relationships/header" Target="header25.xml"/><Relationship Id="rId64" Type="http://schemas.openxmlformats.org/officeDocument/2006/relationships/footer" Target="footer25.xml"/><Relationship Id="rId65" Type="http://schemas.openxmlformats.org/officeDocument/2006/relationships/image" Target="media/image2.jpeg"/><Relationship Id="rId66" Type="http://schemas.openxmlformats.org/officeDocument/2006/relationships/image" Target="media/image3.jpeg"/><Relationship Id="rId67" Type="http://schemas.openxmlformats.org/officeDocument/2006/relationships/header" Target="header26.xml"/><Relationship Id="rId68" Type="http://schemas.openxmlformats.org/officeDocument/2006/relationships/footer" Target="footer26.xml"/><Relationship Id="rId69" Type="http://schemas.openxmlformats.org/officeDocument/2006/relationships/header" Target="header27.xml"/><Relationship Id="rId70" Type="http://schemas.openxmlformats.org/officeDocument/2006/relationships/footer" Target="footer27.xml"/><Relationship Id="rId71" Type="http://schemas.openxmlformats.org/officeDocument/2006/relationships/header" Target="header28.xml"/><Relationship Id="rId72" Type="http://schemas.openxmlformats.org/officeDocument/2006/relationships/footer" Target="footer28.xml"/><Relationship Id="rId73" Type="http://schemas.openxmlformats.org/officeDocument/2006/relationships/header" Target="header29.xml"/><Relationship Id="rId74" Type="http://schemas.openxmlformats.org/officeDocument/2006/relationships/footer" Target="footer29.xml"/><Relationship Id="rId75" Type="http://schemas.openxmlformats.org/officeDocument/2006/relationships/header" Target="header30.xml"/><Relationship Id="rId76" Type="http://schemas.openxmlformats.org/officeDocument/2006/relationships/footer" Target="footer30.xml"/><Relationship Id="rId77" Type="http://schemas.openxmlformats.org/officeDocument/2006/relationships/header" Target="header31.xml"/><Relationship Id="rId78" Type="http://schemas.openxmlformats.org/officeDocument/2006/relationships/footer" Target="footer31.xml"/><Relationship Id="rId79" Type="http://schemas.openxmlformats.org/officeDocument/2006/relationships/header" Target="header32.xml"/><Relationship Id="rId80" Type="http://schemas.openxmlformats.org/officeDocument/2006/relationships/footer" Target="footer32.xml"/><Relationship Id="rId81" Type="http://schemas.openxmlformats.org/officeDocument/2006/relationships/header" Target="header33.xml"/><Relationship Id="rId82" Type="http://schemas.openxmlformats.org/officeDocument/2006/relationships/footer" Target="footer33.xml"/><Relationship Id="rId83" Type="http://schemas.openxmlformats.org/officeDocument/2006/relationships/header" Target="header34.xml"/><Relationship Id="rId84" Type="http://schemas.openxmlformats.org/officeDocument/2006/relationships/footer" Target="footer34.xml"/><Relationship Id="rId85" Type="http://schemas.openxmlformats.org/officeDocument/2006/relationships/header" Target="header35.xml"/><Relationship Id="rId86" Type="http://schemas.openxmlformats.org/officeDocument/2006/relationships/footer" Target="footer35.xml"/><Relationship Id="rId87" Type="http://schemas.openxmlformats.org/officeDocument/2006/relationships/header" Target="header36.xml"/><Relationship Id="rId88" Type="http://schemas.openxmlformats.org/officeDocument/2006/relationships/footer" Target="footer36.xml"/><Relationship Id="rId89" Type="http://schemas.openxmlformats.org/officeDocument/2006/relationships/header" Target="header37.xml"/><Relationship Id="rId90" Type="http://schemas.openxmlformats.org/officeDocument/2006/relationships/footer" Target="footer37.xml"/><Relationship Id="rId91" Type="http://schemas.openxmlformats.org/officeDocument/2006/relationships/header" Target="header38.xml"/><Relationship Id="rId92" Type="http://schemas.openxmlformats.org/officeDocument/2006/relationships/footer" Target="footer38.xml"/><Relationship Id="rId93" Type="http://schemas.openxmlformats.org/officeDocument/2006/relationships/header" Target="header39.xml"/><Relationship Id="rId94" Type="http://schemas.openxmlformats.org/officeDocument/2006/relationships/footer" Target="footer39.xml"/><Relationship Id="rId95" Type="http://schemas.openxmlformats.org/officeDocument/2006/relationships/header" Target="header40.xml"/><Relationship Id="rId96" Type="http://schemas.openxmlformats.org/officeDocument/2006/relationships/footer" Target="footer40.xml"/><Relationship Id="rId97" Type="http://schemas.openxmlformats.org/officeDocument/2006/relationships/header" Target="header41.xml"/><Relationship Id="rId98" Type="http://schemas.openxmlformats.org/officeDocument/2006/relationships/footer" Target="footer41.xml"/><Relationship Id="rId99" Type="http://schemas.openxmlformats.org/officeDocument/2006/relationships/header" Target="header42.xml"/><Relationship Id="rId100" Type="http://schemas.openxmlformats.org/officeDocument/2006/relationships/footer" Target="footer42.xml"/><Relationship Id="rId101" Type="http://schemas.openxmlformats.org/officeDocument/2006/relationships/header" Target="header43.xml"/><Relationship Id="rId102" Type="http://schemas.openxmlformats.org/officeDocument/2006/relationships/footer" Target="footer43.xml"/><Relationship Id="rId103" Type="http://schemas.openxmlformats.org/officeDocument/2006/relationships/header" Target="header44.xml"/><Relationship Id="rId104" Type="http://schemas.openxmlformats.org/officeDocument/2006/relationships/footer" Target="footer44.xml"/><Relationship Id="rId105" Type="http://schemas.openxmlformats.org/officeDocument/2006/relationships/header" Target="header45.xml"/><Relationship Id="rId106" Type="http://schemas.openxmlformats.org/officeDocument/2006/relationships/footer" Target="footer45.xml"/><Relationship Id="rId107" Type="http://schemas.openxmlformats.org/officeDocument/2006/relationships/header" Target="header46.xml"/><Relationship Id="rId108" Type="http://schemas.openxmlformats.org/officeDocument/2006/relationships/footer" Target="footer46.xml"/><Relationship Id="rId109" Type="http://schemas.openxmlformats.org/officeDocument/2006/relationships/header" Target="header47.xml"/><Relationship Id="rId110" Type="http://schemas.openxmlformats.org/officeDocument/2006/relationships/footer" Target="footer47.xml"/><Relationship Id="rId111" Type="http://schemas.openxmlformats.org/officeDocument/2006/relationships/header" Target="header48.xml"/><Relationship Id="rId112" Type="http://schemas.openxmlformats.org/officeDocument/2006/relationships/footer" Target="footer48.xml"/><Relationship Id="rId113" Type="http://schemas.openxmlformats.org/officeDocument/2006/relationships/header" Target="header49.xml"/><Relationship Id="rId114" Type="http://schemas.openxmlformats.org/officeDocument/2006/relationships/footer" Target="footer49.xml"/><Relationship Id="rId115" Type="http://schemas.openxmlformats.org/officeDocument/2006/relationships/header" Target="header50.xml"/><Relationship Id="rId116" Type="http://schemas.openxmlformats.org/officeDocument/2006/relationships/footer" Target="footer50.xml"/><Relationship Id="rId117" Type="http://schemas.openxmlformats.org/officeDocument/2006/relationships/header" Target="header51.xml"/><Relationship Id="rId118" Type="http://schemas.openxmlformats.org/officeDocument/2006/relationships/footer" Target="footer51.xml"/><Relationship Id="rId119" Type="http://schemas.openxmlformats.org/officeDocument/2006/relationships/header" Target="header52.xml"/><Relationship Id="rId120" Type="http://schemas.openxmlformats.org/officeDocument/2006/relationships/footer" Target="footer52.xml"/><Relationship Id="rId121" Type="http://schemas.openxmlformats.org/officeDocument/2006/relationships/header" Target="header53.xml"/><Relationship Id="rId122" Type="http://schemas.openxmlformats.org/officeDocument/2006/relationships/footer" Target="footer53.xml"/><Relationship Id="rId123" Type="http://schemas.openxmlformats.org/officeDocument/2006/relationships/header" Target="header54.xml"/><Relationship Id="rId124" Type="http://schemas.openxmlformats.org/officeDocument/2006/relationships/footer" Target="footer54.xml"/><Relationship Id="rId125" Type="http://schemas.openxmlformats.org/officeDocument/2006/relationships/header" Target="header55.xml"/><Relationship Id="rId126" Type="http://schemas.openxmlformats.org/officeDocument/2006/relationships/footer" Target="footer55.xml"/><Relationship Id="rId127" Type="http://schemas.openxmlformats.org/officeDocument/2006/relationships/header" Target="header56.xml"/><Relationship Id="rId128" Type="http://schemas.openxmlformats.org/officeDocument/2006/relationships/footer" Target="footer56.xml"/><Relationship Id="rId129" Type="http://schemas.openxmlformats.org/officeDocument/2006/relationships/header" Target="header57.xml"/><Relationship Id="rId130" Type="http://schemas.openxmlformats.org/officeDocument/2006/relationships/footer" Target="footer57.xml"/><Relationship Id="rId131" Type="http://schemas.openxmlformats.org/officeDocument/2006/relationships/header" Target="header58.xml"/><Relationship Id="rId132" Type="http://schemas.openxmlformats.org/officeDocument/2006/relationships/footer" Target="footer58.xml"/><Relationship Id="rId133" Type="http://schemas.openxmlformats.org/officeDocument/2006/relationships/header" Target="header59.xml"/><Relationship Id="rId134" Type="http://schemas.openxmlformats.org/officeDocument/2006/relationships/footer" Target="footer59.xml"/><Relationship Id="rId1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2022-05-19T11:58:40Z</dcterms:created>
  <dcterms:modified xsi:type="dcterms:W3CDTF">2022-05-19T11:58:40Z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Word 2016</vt:lpwstr>
  </property>
  <property fmtid="{D5CDD505-2E9C-101B-9397-08002B2CF9AE}" pid="4" name="LastSaved">
    <vt:filetime>2022-05-19T00:00:00Z</vt:filetime>
  </property>
</Properties>
</file>